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744D2" w:rsidRPr="00A744D2" w:rsidTr="00667FB3">
        <w:tc>
          <w:tcPr>
            <w:tcW w:w="4513" w:type="dxa"/>
            <w:tcBorders>
              <w:bottom w:val="single" w:sz="4" w:space="0" w:color="auto"/>
            </w:tcBorders>
            <w:tcMar>
              <w:bottom w:w="170" w:type="dxa"/>
            </w:tcMar>
          </w:tcPr>
          <w:p w:rsidR="001A5BF9" w:rsidRPr="00B470C6" w:rsidRDefault="001A5BF9" w:rsidP="001A5BF9">
            <w:pPr>
              <w:rPr>
                <w:color w:val="008000"/>
              </w:rPr>
            </w:pPr>
          </w:p>
        </w:tc>
        <w:tc>
          <w:tcPr>
            <w:tcW w:w="4337" w:type="dxa"/>
            <w:tcBorders>
              <w:bottom w:val="single" w:sz="4" w:space="0" w:color="auto"/>
            </w:tcBorders>
            <w:tcMar>
              <w:left w:w="0" w:type="dxa"/>
              <w:right w:w="0" w:type="dxa"/>
            </w:tcMar>
          </w:tcPr>
          <w:p w:rsidR="001A5BF9" w:rsidRPr="00A744D2" w:rsidRDefault="001A5BF9" w:rsidP="001A5BF9">
            <w:r w:rsidRPr="00A744D2">
              <w:rPr>
                <w:noProof/>
              </w:rPr>
              <w:drawing>
                <wp:inline distT="0" distB="0" distL="0" distR="0" wp14:anchorId="3E88D019" wp14:editId="21A42D58">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A5BF9" w:rsidRPr="00A744D2" w:rsidRDefault="001A5BF9" w:rsidP="001A5BF9">
            <w:pPr>
              <w:jc w:val="right"/>
            </w:pPr>
            <w:r w:rsidRPr="00A744D2">
              <w:rPr>
                <w:b/>
                <w:sz w:val="40"/>
                <w:szCs w:val="40"/>
              </w:rPr>
              <w:t>F</w:t>
            </w:r>
          </w:p>
        </w:tc>
      </w:tr>
      <w:tr w:rsidR="00A744D2" w:rsidRPr="00A744D2" w:rsidTr="00667FB3">
        <w:trPr>
          <w:trHeight w:hRule="exact" w:val="340"/>
        </w:trPr>
        <w:tc>
          <w:tcPr>
            <w:tcW w:w="9356" w:type="dxa"/>
            <w:gridSpan w:val="3"/>
            <w:tcBorders>
              <w:top w:val="single" w:sz="4" w:space="0" w:color="auto"/>
            </w:tcBorders>
            <w:tcMar>
              <w:top w:w="170" w:type="dxa"/>
              <w:left w:w="0" w:type="dxa"/>
              <w:right w:w="0" w:type="dxa"/>
            </w:tcMar>
            <w:vAlign w:val="bottom"/>
          </w:tcPr>
          <w:p w:rsidR="001A5BF9" w:rsidRPr="00A744D2" w:rsidRDefault="001A5BF9" w:rsidP="00F7033E">
            <w:pPr>
              <w:jc w:val="right"/>
              <w:rPr>
                <w:rFonts w:ascii="Arial Black" w:hAnsi="Arial Black"/>
                <w:caps/>
                <w:sz w:val="15"/>
              </w:rPr>
            </w:pPr>
            <w:r w:rsidRPr="00A744D2">
              <w:rPr>
                <w:rFonts w:ascii="Arial Black" w:hAnsi="Arial Black"/>
                <w:caps/>
                <w:sz w:val="15"/>
              </w:rPr>
              <w:t>a/54/</w:t>
            </w:r>
            <w:bookmarkStart w:id="0" w:name="Code"/>
            <w:bookmarkEnd w:id="0"/>
            <w:r w:rsidR="00F31840">
              <w:rPr>
                <w:rFonts w:ascii="Arial Black" w:hAnsi="Arial Black"/>
                <w:caps/>
                <w:sz w:val="15"/>
              </w:rPr>
              <w:t>6</w:t>
            </w:r>
            <w:r w:rsidR="00312E07">
              <w:rPr>
                <w:rFonts w:ascii="Arial Black" w:hAnsi="Arial Black"/>
                <w:caps/>
                <w:sz w:val="15"/>
              </w:rPr>
              <w:t> </w:t>
            </w:r>
            <w:proofErr w:type="spellStart"/>
            <w:r w:rsidR="00F7033E">
              <w:rPr>
                <w:rFonts w:ascii="Arial Black" w:hAnsi="Arial Black"/>
                <w:caps/>
                <w:sz w:val="15"/>
              </w:rPr>
              <w:t>REV.2</w:t>
            </w:r>
            <w:proofErr w:type="spellEnd"/>
          </w:p>
        </w:tc>
      </w:tr>
      <w:tr w:rsidR="00A744D2" w:rsidRPr="00A744D2" w:rsidTr="00667FB3">
        <w:trPr>
          <w:trHeight w:hRule="exact" w:val="170"/>
        </w:trPr>
        <w:tc>
          <w:tcPr>
            <w:tcW w:w="9356" w:type="dxa"/>
            <w:gridSpan w:val="3"/>
            <w:noWrap/>
            <w:tcMar>
              <w:left w:w="0" w:type="dxa"/>
              <w:right w:w="0" w:type="dxa"/>
            </w:tcMar>
            <w:vAlign w:val="bottom"/>
          </w:tcPr>
          <w:p w:rsidR="001A5BF9" w:rsidRPr="00A744D2" w:rsidRDefault="001A5BF9" w:rsidP="001A5BF9">
            <w:pPr>
              <w:jc w:val="right"/>
              <w:rPr>
                <w:rFonts w:ascii="Arial Black" w:hAnsi="Arial Black"/>
                <w:caps/>
                <w:sz w:val="15"/>
              </w:rPr>
            </w:pPr>
            <w:r w:rsidRPr="00A744D2">
              <w:rPr>
                <w:rFonts w:ascii="Arial Black" w:hAnsi="Arial Black"/>
                <w:caps/>
                <w:sz w:val="15"/>
              </w:rPr>
              <w:t xml:space="preserve">ORIGINAL : </w:t>
            </w:r>
            <w:bookmarkStart w:id="1" w:name="Original"/>
            <w:bookmarkEnd w:id="1"/>
            <w:r w:rsidRPr="00A744D2">
              <w:rPr>
                <w:rFonts w:ascii="Arial Black" w:hAnsi="Arial Black"/>
                <w:caps/>
                <w:sz w:val="15"/>
              </w:rPr>
              <w:t>anglais</w:t>
            </w:r>
          </w:p>
        </w:tc>
      </w:tr>
      <w:tr w:rsidR="00A744D2" w:rsidRPr="00A744D2" w:rsidTr="00667FB3">
        <w:trPr>
          <w:trHeight w:hRule="exact" w:val="198"/>
        </w:trPr>
        <w:tc>
          <w:tcPr>
            <w:tcW w:w="9356" w:type="dxa"/>
            <w:gridSpan w:val="3"/>
            <w:tcMar>
              <w:left w:w="0" w:type="dxa"/>
              <w:right w:w="0" w:type="dxa"/>
            </w:tcMar>
            <w:vAlign w:val="bottom"/>
          </w:tcPr>
          <w:p w:rsidR="001A5BF9" w:rsidRPr="00A744D2" w:rsidRDefault="001A5BF9">
            <w:pPr>
              <w:jc w:val="right"/>
              <w:rPr>
                <w:rFonts w:ascii="Arial Black" w:hAnsi="Arial Black"/>
                <w:caps/>
                <w:sz w:val="15"/>
              </w:rPr>
            </w:pPr>
            <w:r w:rsidRPr="00A744D2">
              <w:rPr>
                <w:rFonts w:ascii="Arial Black" w:hAnsi="Arial Black"/>
                <w:caps/>
                <w:sz w:val="15"/>
              </w:rPr>
              <w:t xml:space="preserve">DATE : </w:t>
            </w:r>
            <w:bookmarkStart w:id="2" w:name="Date"/>
            <w:bookmarkEnd w:id="2"/>
            <w:r w:rsidR="00F7033E">
              <w:rPr>
                <w:rFonts w:ascii="Arial Black" w:hAnsi="Arial Black"/>
                <w:caps/>
                <w:sz w:val="15"/>
              </w:rPr>
              <w:t xml:space="preserve">25 </w:t>
            </w:r>
            <w:r w:rsidR="00880D61">
              <w:rPr>
                <w:rFonts w:ascii="Arial Black" w:hAnsi="Arial Black"/>
                <w:caps/>
                <w:sz w:val="15"/>
              </w:rPr>
              <w:t>septembre</w:t>
            </w:r>
            <w:r w:rsidRPr="00A744D2">
              <w:rPr>
                <w:rFonts w:ascii="Arial Black" w:hAnsi="Arial Black"/>
                <w:caps/>
                <w:sz w:val="15"/>
              </w:rPr>
              <w:t> 2014</w:t>
            </w:r>
          </w:p>
        </w:tc>
      </w:tr>
    </w:tbl>
    <w:p w:rsidR="00D42474" w:rsidRDefault="00D42474" w:rsidP="001A5BF9">
      <w:pPr>
        <w:rPr>
          <w:sz w:val="22"/>
          <w:szCs w:val="22"/>
        </w:rPr>
      </w:pPr>
    </w:p>
    <w:p w:rsidR="00D42474" w:rsidRDefault="00D42474" w:rsidP="001A5BF9">
      <w:pPr>
        <w:rPr>
          <w:sz w:val="22"/>
          <w:szCs w:val="22"/>
        </w:rPr>
      </w:pPr>
    </w:p>
    <w:p w:rsidR="00D42474" w:rsidRDefault="00D42474" w:rsidP="001A5BF9">
      <w:pPr>
        <w:rPr>
          <w:sz w:val="22"/>
          <w:szCs w:val="22"/>
        </w:rPr>
      </w:pPr>
    </w:p>
    <w:p w:rsidR="00D42474" w:rsidRDefault="00D42474" w:rsidP="001A5BF9">
      <w:pPr>
        <w:rPr>
          <w:sz w:val="22"/>
          <w:szCs w:val="22"/>
        </w:rPr>
      </w:pPr>
    </w:p>
    <w:p w:rsidR="00D42474" w:rsidRDefault="00D42474" w:rsidP="001A5BF9">
      <w:pPr>
        <w:rPr>
          <w:sz w:val="22"/>
          <w:szCs w:val="22"/>
        </w:rPr>
      </w:pPr>
    </w:p>
    <w:p w:rsidR="00D42474" w:rsidRDefault="001A5BF9" w:rsidP="001A5BF9">
      <w:pPr>
        <w:rPr>
          <w:b/>
          <w:sz w:val="28"/>
          <w:szCs w:val="28"/>
        </w:rPr>
      </w:pPr>
      <w:r w:rsidRPr="00A744D2">
        <w:rPr>
          <w:b/>
          <w:sz w:val="28"/>
          <w:szCs w:val="28"/>
        </w:rPr>
        <w:t>Assemblées des États membres de l’OMPI</w:t>
      </w:r>
    </w:p>
    <w:p w:rsidR="00D42474" w:rsidRDefault="00D42474" w:rsidP="001A5BF9">
      <w:pPr>
        <w:rPr>
          <w:sz w:val="22"/>
          <w:szCs w:val="22"/>
        </w:rPr>
      </w:pPr>
    </w:p>
    <w:p w:rsidR="00D42474" w:rsidRDefault="00D42474" w:rsidP="001A5BF9">
      <w:pPr>
        <w:rPr>
          <w:sz w:val="22"/>
          <w:szCs w:val="22"/>
        </w:rPr>
      </w:pPr>
    </w:p>
    <w:p w:rsidR="00D42474" w:rsidRDefault="001A5BF9" w:rsidP="001A5BF9">
      <w:pPr>
        <w:rPr>
          <w:b/>
          <w:sz w:val="24"/>
        </w:rPr>
      </w:pPr>
      <w:r w:rsidRPr="00A744D2">
        <w:rPr>
          <w:b/>
          <w:sz w:val="24"/>
        </w:rPr>
        <w:t>Cinquante</w:t>
      </w:r>
      <w:r w:rsidRPr="00A744D2">
        <w:rPr>
          <w:b/>
          <w:sz w:val="24"/>
        </w:rPr>
        <w:noBreakHyphen/>
        <w:t>quatrième série de réunions</w:t>
      </w:r>
    </w:p>
    <w:p w:rsidR="00D42474" w:rsidRDefault="001A5BF9" w:rsidP="001A5BF9">
      <w:pPr>
        <w:rPr>
          <w:b/>
          <w:sz w:val="24"/>
        </w:rPr>
      </w:pPr>
      <w:r w:rsidRPr="00A744D2">
        <w:rPr>
          <w:b/>
          <w:sz w:val="24"/>
        </w:rPr>
        <w:t>Genève, 22 – 30 septembre 2014</w:t>
      </w:r>
    </w:p>
    <w:p w:rsidR="00D42474" w:rsidRDefault="00D42474" w:rsidP="001A5BF9">
      <w:pPr>
        <w:rPr>
          <w:sz w:val="22"/>
          <w:szCs w:val="22"/>
        </w:rPr>
      </w:pPr>
    </w:p>
    <w:p w:rsidR="00D42474" w:rsidRDefault="00D42474" w:rsidP="001A5BF9">
      <w:pPr>
        <w:rPr>
          <w:sz w:val="22"/>
          <w:szCs w:val="22"/>
        </w:rPr>
      </w:pPr>
    </w:p>
    <w:p w:rsidR="00D42474" w:rsidRDefault="00D42474" w:rsidP="001A5BF9">
      <w:pPr>
        <w:rPr>
          <w:sz w:val="22"/>
          <w:szCs w:val="22"/>
        </w:rPr>
      </w:pPr>
    </w:p>
    <w:p w:rsidR="00D42474" w:rsidRDefault="00BB3F3E" w:rsidP="001A5BF9">
      <w:pPr>
        <w:rPr>
          <w:caps/>
          <w:sz w:val="24"/>
        </w:rPr>
      </w:pPr>
      <w:r w:rsidRPr="00A744D2">
        <w:rPr>
          <w:caps/>
          <w:sz w:val="24"/>
        </w:rPr>
        <w:t>Rapport sur l</w:t>
      </w:r>
      <w:r w:rsidR="00A20444" w:rsidRPr="00A744D2">
        <w:rPr>
          <w:caps/>
          <w:sz w:val="24"/>
        </w:rPr>
        <w:t>’</w:t>
      </w:r>
      <w:r w:rsidRPr="00A744D2">
        <w:rPr>
          <w:caps/>
          <w:sz w:val="24"/>
        </w:rPr>
        <w:t>exécution du programme en</w:t>
      </w:r>
      <w:r w:rsidR="0010442A" w:rsidRPr="00A744D2">
        <w:rPr>
          <w:caps/>
          <w:sz w:val="24"/>
        </w:rPr>
        <w:t> </w:t>
      </w:r>
      <w:r w:rsidRPr="00A744D2">
        <w:rPr>
          <w:caps/>
          <w:sz w:val="24"/>
        </w:rPr>
        <w:t>2012</w:t>
      </w:r>
      <w:r w:rsidR="002D6F2A" w:rsidRPr="00A744D2">
        <w:rPr>
          <w:caps/>
          <w:sz w:val="24"/>
        </w:rPr>
        <w:noBreakHyphen/>
      </w:r>
      <w:r w:rsidR="001A5BF9" w:rsidRPr="00A744D2">
        <w:rPr>
          <w:caps/>
          <w:sz w:val="24"/>
        </w:rPr>
        <w:t>20</w:t>
      </w:r>
      <w:r w:rsidRPr="00A744D2">
        <w:rPr>
          <w:caps/>
          <w:sz w:val="24"/>
        </w:rPr>
        <w:t>13</w:t>
      </w:r>
    </w:p>
    <w:p w:rsidR="00D42474" w:rsidRDefault="00D42474" w:rsidP="001A5BF9">
      <w:pPr>
        <w:rPr>
          <w:sz w:val="22"/>
          <w:szCs w:val="22"/>
        </w:rPr>
      </w:pPr>
    </w:p>
    <w:p w:rsidR="00D42474" w:rsidRDefault="00BB3F3E" w:rsidP="001A5BF9">
      <w:pPr>
        <w:rPr>
          <w:i/>
          <w:sz w:val="22"/>
          <w:szCs w:val="22"/>
        </w:rPr>
      </w:pPr>
      <w:proofErr w:type="gramStart"/>
      <w:r w:rsidRPr="00B9205A">
        <w:rPr>
          <w:i/>
          <w:sz w:val="22"/>
          <w:szCs w:val="22"/>
        </w:rPr>
        <w:t>établi</w:t>
      </w:r>
      <w:proofErr w:type="gramEnd"/>
      <w:r w:rsidRPr="00B9205A">
        <w:rPr>
          <w:i/>
          <w:sz w:val="22"/>
          <w:szCs w:val="22"/>
        </w:rPr>
        <w:t xml:space="preserve"> par le Directeur général</w:t>
      </w:r>
    </w:p>
    <w:p w:rsidR="00D42474" w:rsidRDefault="00D42474" w:rsidP="001A5BF9">
      <w:pPr>
        <w:rPr>
          <w:sz w:val="22"/>
          <w:szCs w:val="22"/>
        </w:rPr>
      </w:pPr>
    </w:p>
    <w:p w:rsidR="00D42474" w:rsidRDefault="00D42474" w:rsidP="001A5BF9">
      <w:pPr>
        <w:rPr>
          <w:sz w:val="22"/>
          <w:szCs w:val="22"/>
        </w:rPr>
      </w:pPr>
    </w:p>
    <w:p w:rsidR="00D42474" w:rsidRDefault="00D42474" w:rsidP="001A5BF9">
      <w:pPr>
        <w:rPr>
          <w:sz w:val="22"/>
          <w:szCs w:val="22"/>
        </w:rPr>
      </w:pPr>
    </w:p>
    <w:p w:rsidR="00D42474" w:rsidRDefault="00D42474" w:rsidP="001A5BF9">
      <w:pPr>
        <w:rPr>
          <w:sz w:val="22"/>
          <w:szCs w:val="22"/>
        </w:rPr>
      </w:pPr>
    </w:p>
    <w:p w:rsidR="00D42474" w:rsidRDefault="00BB3F3E" w:rsidP="001A5BF9">
      <w:pPr>
        <w:pStyle w:val="ONUMFS"/>
      </w:pPr>
      <w:r w:rsidRPr="00B9205A">
        <w:t>Le présent document contient le Rapport sur l</w:t>
      </w:r>
      <w:r w:rsidR="00A20444" w:rsidRPr="00B9205A">
        <w:t>’</w:t>
      </w:r>
      <w:r w:rsidRPr="00B9205A">
        <w:t>exécution du programme en 2012</w:t>
      </w:r>
      <w:r w:rsidR="002D6F2A" w:rsidRPr="00B9205A">
        <w:noBreakHyphen/>
      </w:r>
      <w:r w:rsidR="00880D61">
        <w:t xml:space="preserve">2013, </w:t>
      </w:r>
      <w:r w:rsidRPr="00B9205A">
        <w:t>soumis au Comité du programme et budget (PBC) à sa vingt</w:t>
      </w:r>
      <w:r w:rsidR="002D6F2A" w:rsidRPr="00B9205A">
        <w:noBreakHyphen/>
      </w:r>
      <w:r w:rsidRPr="00B9205A">
        <w:t xml:space="preserve">deuxième session (du </w:t>
      </w:r>
      <w:r w:rsidR="00A20444" w:rsidRPr="00B9205A">
        <w:t>1</w:t>
      </w:r>
      <w:r w:rsidR="00A20444" w:rsidRPr="00B9205A">
        <w:rPr>
          <w:vertAlign w:val="superscript"/>
        </w:rPr>
        <w:t>er</w:t>
      </w:r>
      <w:r w:rsidR="00A20444" w:rsidRPr="00B9205A">
        <w:t> </w:t>
      </w:r>
      <w:r w:rsidRPr="00B9205A">
        <w:t>au 5 septembre 2014).</w:t>
      </w:r>
    </w:p>
    <w:p w:rsidR="00D42474" w:rsidRDefault="00F7033E" w:rsidP="001D553C">
      <w:pPr>
        <w:pStyle w:val="ONUMFS"/>
        <w:rPr>
          <w:lang w:val="fr-CH"/>
        </w:rPr>
      </w:pPr>
      <w:r>
        <w:rPr>
          <w:lang w:val="fr-CH"/>
        </w:rPr>
        <w:t>Outre les modifications apportées lors de</w:t>
      </w:r>
      <w:r w:rsidR="006574A9" w:rsidRPr="006574A9">
        <w:rPr>
          <w:lang w:val="fr-CH"/>
        </w:rPr>
        <w:t xml:space="preserve"> cette session</w:t>
      </w:r>
      <w:r>
        <w:rPr>
          <w:lang w:val="fr-CH"/>
        </w:rPr>
        <w:t xml:space="preserve"> </w:t>
      </w:r>
      <w:proofErr w:type="gramStart"/>
      <w:r>
        <w:rPr>
          <w:lang w:val="fr-CH"/>
        </w:rPr>
        <w:t>(</w:t>
      </w:r>
      <w:r w:rsidR="001D553C">
        <w:rPr>
          <w:lang w:val="fr-CH"/>
        </w:rPr>
        <w:t xml:space="preserve"> à</w:t>
      </w:r>
      <w:proofErr w:type="gramEnd"/>
      <w:r w:rsidR="001D553C">
        <w:rPr>
          <w:lang w:val="fr-CH"/>
        </w:rPr>
        <w:t xml:space="preserve"> l’</w:t>
      </w:r>
      <w:r w:rsidR="006574A9" w:rsidRPr="006574A9">
        <w:rPr>
          <w:lang w:val="fr-CH"/>
        </w:rPr>
        <w:t>appendice</w:t>
      </w:r>
      <w:r w:rsidR="001D553C">
        <w:rPr>
          <w:lang w:val="fr-CH"/>
        </w:rPr>
        <w:t> </w:t>
      </w:r>
      <w:r w:rsidR="006574A9" w:rsidRPr="006574A9">
        <w:rPr>
          <w:lang w:val="fr-CH"/>
        </w:rPr>
        <w:t xml:space="preserve">II (Mise en œuvre des fonds fiduciaires 2013) et </w:t>
      </w:r>
      <w:r w:rsidR="001D553C">
        <w:rPr>
          <w:lang w:val="fr-CH"/>
        </w:rPr>
        <w:t>aux programmes n</w:t>
      </w:r>
      <w:r w:rsidR="001D553C" w:rsidRPr="001D553C">
        <w:rPr>
          <w:vertAlign w:val="superscript"/>
          <w:lang w:val="fr-CH"/>
        </w:rPr>
        <w:t>os</w:t>
      </w:r>
      <w:r w:rsidR="001D553C">
        <w:rPr>
          <w:lang w:val="fr-CH"/>
        </w:rPr>
        <w:t> 9 et 30</w:t>
      </w:r>
      <w:r>
        <w:rPr>
          <w:lang w:val="fr-CH"/>
        </w:rPr>
        <w:t>), d’autres modifications ont été demandées par des États membres lors de la cinquante</w:t>
      </w:r>
      <w:r>
        <w:rPr>
          <w:lang w:val="fr-CH"/>
        </w:rPr>
        <w:noBreakHyphen/>
        <w:t>quatrième série de réunions des assemblées des États membres, en ce qui concerne les programmes 9 et 10</w:t>
      </w:r>
      <w:r w:rsidR="001D553C">
        <w:rPr>
          <w:lang w:val="fr-CH"/>
        </w:rPr>
        <w:t xml:space="preserve">.  </w:t>
      </w:r>
    </w:p>
    <w:p w:rsidR="00D42474" w:rsidRDefault="00BB3F3E" w:rsidP="001A5BF9">
      <w:pPr>
        <w:pStyle w:val="ONUMFS"/>
      </w:pPr>
      <w:r w:rsidRPr="00B9205A">
        <w:t>Toute décision</w:t>
      </w:r>
      <w:r w:rsidR="00A20444" w:rsidRPr="00B9205A">
        <w:t xml:space="preserve"> du PBC</w:t>
      </w:r>
      <w:r w:rsidRPr="00B9205A">
        <w:t xml:space="preserve"> à</w:t>
      </w:r>
      <w:r w:rsidR="0010442A" w:rsidRPr="00B9205A">
        <w:t> </w:t>
      </w:r>
      <w:r w:rsidRPr="00B9205A">
        <w:t>l</w:t>
      </w:r>
      <w:r w:rsidR="00A20444" w:rsidRPr="00B9205A">
        <w:t>’</w:t>
      </w:r>
      <w:r w:rsidRPr="00B9205A">
        <w:t xml:space="preserve">égard </w:t>
      </w:r>
      <w:r w:rsidR="006574A9">
        <w:t xml:space="preserve">du </w:t>
      </w:r>
      <w:r w:rsidR="006574A9" w:rsidRPr="006574A9">
        <w:rPr>
          <w:color w:val="000000"/>
          <w:lang w:val="fr-CH"/>
        </w:rPr>
        <w:t>document révisé</w:t>
      </w:r>
      <w:r w:rsidR="006574A9">
        <w:rPr>
          <w:color w:val="000000"/>
          <w:lang w:val="fr-CH"/>
        </w:rPr>
        <w:t xml:space="preserve"> (</w:t>
      </w:r>
      <w:proofErr w:type="spellStart"/>
      <w:r w:rsidR="006574A9">
        <w:rPr>
          <w:color w:val="000000"/>
          <w:lang w:val="fr-CH"/>
        </w:rPr>
        <w:t>WO</w:t>
      </w:r>
      <w:proofErr w:type="spellEnd"/>
      <w:r w:rsidR="006574A9">
        <w:rPr>
          <w:color w:val="000000"/>
          <w:lang w:val="fr-CH"/>
        </w:rPr>
        <w:t>/</w:t>
      </w:r>
      <w:proofErr w:type="spellStart"/>
      <w:r w:rsidR="006574A9">
        <w:rPr>
          <w:color w:val="000000"/>
          <w:lang w:val="fr-CH"/>
        </w:rPr>
        <w:t>PBC</w:t>
      </w:r>
      <w:proofErr w:type="spellEnd"/>
      <w:r w:rsidR="006574A9">
        <w:rPr>
          <w:color w:val="000000"/>
          <w:lang w:val="fr-CH"/>
        </w:rPr>
        <w:t>/22/8</w:t>
      </w:r>
      <w:r w:rsidR="001D553C">
        <w:rPr>
          <w:color w:val="000000"/>
          <w:lang w:val="fr-CH"/>
        </w:rPr>
        <w:t> </w:t>
      </w:r>
      <w:proofErr w:type="spellStart"/>
      <w:r w:rsidR="006574A9">
        <w:rPr>
          <w:color w:val="000000"/>
          <w:lang w:val="fr-CH"/>
        </w:rPr>
        <w:t>Rev</w:t>
      </w:r>
      <w:proofErr w:type="spellEnd"/>
      <w:r w:rsidR="006574A9">
        <w:rPr>
          <w:color w:val="000000"/>
          <w:lang w:val="fr-CH"/>
        </w:rPr>
        <w:t>)</w:t>
      </w:r>
      <w:r w:rsidRPr="00B9205A">
        <w:t xml:space="preserve"> figure dans la liste des décisions prises par le Comité du programme et budget à sa vingt</w:t>
      </w:r>
      <w:r w:rsidR="002D6F2A" w:rsidRPr="00B9205A">
        <w:noBreakHyphen/>
      </w:r>
      <w:r w:rsidRPr="00B9205A">
        <w:t>deuxième session (</w:t>
      </w:r>
      <w:r w:rsidR="00A20444" w:rsidRPr="00B9205A">
        <w:t>1</w:t>
      </w:r>
      <w:r w:rsidR="00A20444" w:rsidRPr="00B9205A">
        <w:rPr>
          <w:vertAlign w:val="superscript"/>
        </w:rPr>
        <w:t>er</w:t>
      </w:r>
      <w:r w:rsidR="00A20444" w:rsidRPr="00B9205A">
        <w:t> </w:t>
      </w:r>
      <w:r w:rsidRPr="00B9205A">
        <w:t>au 5 septembre 2014) (document A/54/5)</w:t>
      </w:r>
      <w:r w:rsidR="001D553C">
        <w:t>.</w:t>
      </w:r>
    </w:p>
    <w:p w:rsidR="00D42474" w:rsidRDefault="00D42474" w:rsidP="00A744D2">
      <w:pPr>
        <w:pStyle w:val="Endofdocument-Annex"/>
        <w:rPr>
          <w:szCs w:val="22"/>
        </w:rPr>
      </w:pPr>
    </w:p>
    <w:p w:rsidR="00D42474" w:rsidRDefault="00D42474" w:rsidP="00A744D2">
      <w:pPr>
        <w:pStyle w:val="Endofdocument-Annex"/>
        <w:rPr>
          <w:szCs w:val="22"/>
        </w:rPr>
      </w:pPr>
    </w:p>
    <w:p w:rsidR="00D42474" w:rsidRDefault="00BB3F3E" w:rsidP="00A744D2">
      <w:pPr>
        <w:pStyle w:val="Endofdocument-Annex"/>
        <w:rPr>
          <w:szCs w:val="22"/>
        </w:rPr>
      </w:pPr>
      <w:r w:rsidRPr="00B9205A">
        <w:rPr>
          <w:szCs w:val="22"/>
        </w:rPr>
        <w:t>[Le document WO/PBC/22/8</w:t>
      </w:r>
      <w:r w:rsidR="001D553C">
        <w:rPr>
          <w:szCs w:val="22"/>
        </w:rPr>
        <w:t> </w:t>
      </w:r>
      <w:proofErr w:type="spellStart"/>
      <w:r w:rsidR="006574A9">
        <w:rPr>
          <w:szCs w:val="22"/>
        </w:rPr>
        <w:t>Rev</w:t>
      </w:r>
      <w:r w:rsidR="001D553C">
        <w:rPr>
          <w:szCs w:val="22"/>
        </w:rPr>
        <w:t>.</w:t>
      </w:r>
      <w:r w:rsidR="00F7033E">
        <w:rPr>
          <w:szCs w:val="22"/>
        </w:rPr>
        <w:t>2</w:t>
      </w:r>
      <w:proofErr w:type="spellEnd"/>
      <w:r w:rsidRPr="00B9205A">
        <w:rPr>
          <w:szCs w:val="22"/>
        </w:rPr>
        <w:t xml:space="preserve"> suit]</w:t>
      </w:r>
    </w:p>
    <w:p w:rsidR="00D42474" w:rsidRDefault="00B470C6">
      <w:pPr>
        <w:rPr>
          <w:rFonts w:eastAsia="SimSun" w:cs="Arial"/>
          <w:sz w:val="22"/>
          <w:szCs w:val="20"/>
        </w:rPr>
      </w:pPr>
      <w:r>
        <w:br w:type="page"/>
      </w:r>
    </w:p>
    <w:p w:rsidR="00D42474" w:rsidRDefault="00D42474" w:rsidP="001A5BF9">
      <w:pPr>
        <w:pStyle w:val="Endofdocument-Annex"/>
        <w:ind w:left="0"/>
      </w:pPr>
    </w:p>
    <w:p w:rsidR="00D42474" w:rsidRDefault="00D42474" w:rsidP="001A5BF9">
      <w:pPr>
        <w:pStyle w:val="Endofdocument-Annex"/>
        <w:ind w:left="0"/>
      </w:pPr>
    </w:p>
    <w:p w:rsidR="00BB3F3E" w:rsidRPr="005C7CCE" w:rsidRDefault="00BB3F3E" w:rsidP="001A5BF9">
      <w:pPr>
        <w:sectPr w:rsidR="00BB3F3E" w:rsidRPr="005C7CCE" w:rsidSect="00BB3F3E">
          <w:headerReference w:type="default" r:id="rId10"/>
          <w:pgSz w:w="11907" w:h="16840" w:code="9"/>
          <w:pgMar w:top="567" w:right="1134" w:bottom="1418" w:left="1418" w:header="510" w:footer="1021" w:gutter="0"/>
          <w:pgNumType w:fmt="lowerRoman" w:start="1"/>
          <w:cols w:space="720"/>
          <w:titlePg/>
          <w:docGrid w:linePitch="272"/>
        </w:sectPr>
      </w:pPr>
    </w:p>
    <w:tbl>
      <w:tblPr>
        <w:tblW w:w="9356" w:type="dxa"/>
        <w:tblInd w:w="108" w:type="dxa"/>
        <w:tblLayout w:type="fixed"/>
        <w:tblLook w:val="01E0" w:firstRow="1" w:lastRow="1" w:firstColumn="1" w:lastColumn="1" w:noHBand="0" w:noVBand="0"/>
      </w:tblPr>
      <w:tblGrid>
        <w:gridCol w:w="4513"/>
        <w:gridCol w:w="4337"/>
        <w:gridCol w:w="506"/>
      </w:tblGrid>
      <w:tr w:rsidR="001A5BF9" w:rsidRPr="008B2CC1" w:rsidTr="00667FB3">
        <w:tc>
          <w:tcPr>
            <w:tcW w:w="4513" w:type="dxa"/>
            <w:tcBorders>
              <w:bottom w:val="single" w:sz="4" w:space="0" w:color="auto"/>
            </w:tcBorders>
            <w:tcMar>
              <w:bottom w:w="170" w:type="dxa"/>
            </w:tcMar>
          </w:tcPr>
          <w:p w:rsidR="001A5BF9" w:rsidRPr="008B2CC1" w:rsidRDefault="001A5BF9" w:rsidP="001A5BF9"/>
        </w:tc>
        <w:tc>
          <w:tcPr>
            <w:tcW w:w="4337" w:type="dxa"/>
            <w:tcBorders>
              <w:bottom w:val="single" w:sz="4" w:space="0" w:color="auto"/>
            </w:tcBorders>
            <w:tcMar>
              <w:left w:w="0" w:type="dxa"/>
              <w:right w:w="0" w:type="dxa"/>
            </w:tcMar>
          </w:tcPr>
          <w:p w:rsidR="001A5BF9" w:rsidRPr="008B2CC1" w:rsidRDefault="001A5BF9" w:rsidP="001A5BF9">
            <w:r>
              <w:rPr>
                <w:noProof/>
              </w:rPr>
              <w:drawing>
                <wp:inline distT="0" distB="0" distL="0" distR="0" wp14:anchorId="09B14781" wp14:editId="7110C52D">
                  <wp:extent cx="1857375" cy="1323975"/>
                  <wp:effectExtent l="0" t="0" r="9525" b="9525"/>
                  <wp:docPr id="40" name="Picture 40"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A5BF9" w:rsidRPr="008B2CC1" w:rsidRDefault="001A5BF9" w:rsidP="001A5BF9">
            <w:pPr>
              <w:jc w:val="right"/>
            </w:pPr>
            <w:r>
              <w:rPr>
                <w:b/>
                <w:sz w:val="40"/>
                <w:szCs w:val="40"/>
              </w:rPr>
              <w:t>F</w:t>
            </w:r>
          </w:p>
        </w:tc>
      </w:tr>
      <w:tr w:rsidR="001A5BF9" w:rsidRPr="001832A6" w:rsidTr="00667FB3">
        <w:trPr>
          <w:trHeight w:hRule="exact" w:val="340"/>
        </w:trPr>
        <w:tc>
          <w:tcPr>
            <w:tcW w:w="9356" w:type="dxa"/>
            <w:gridSpan w:val="3"/>
            <w:tcBorders>
              <w:top w:val="single" w:sz="4" w:space="0" w:color="auto"/>
            </w:tcBorders>
            <w:tcMar>
              <w:top w:w="170" w:type="dxa"/>
              <w:left w:w="0" w:type="dxa"/>
              <w:right w:w="0" w:type="dxa"/>
            </w:tcMar>
            <w:vAlign w:val="bottom"/>
          </w:tcPr>
          <w:p w:rsidR="001A5BF9" w:rsidRPr="0090731E" w:rsidRDefault="006574A9" w:rsidP="00F7033E">
            <w:pPr>
              <w:jc w:val="right"/>
              <w:rPr>
                <w:rFonts w:ascii="Arial Black" w:hAnsi="Arial Black"/>
                <w:caps/>
                <w:sz w:val="15"/>
              </w:rPr>
            </w:pPr>
            <w:r>
              <w:rPr>
                <w:rFonts w:ascii="Arial Black" w:hAnsi="Arial Black"/>
                <w:caps/>
                <w:sz w:val="15"/>
              </w:rPr>
              <w:t>WO/PBC/22/8</w:t>
            </w:r>
            <w:r w:rsidR="00147720">
              <w:rPr>
                <w:rFonts w:ascii="Arial Black" w:hAnsi="Arial Black"/>
                <w:caps/>
                <w:sz w:val="15"/>
              </w:rPr>
              <w:t> </w:t>
            </w:r>
            <w:proofErr w:type="spellStart"/>
            <w:r w:rsidR="00F7033E">
              <w:rPr>
                <w:rFonts w:ascii="Arial Black" w:hAnsi="Arial Black"/>
                <w:caps/>
                <w:sz w:val="15"/>
              </w:rPr>
              <w:t>REV.2</w:t>
            </w:r>
            <w:proofErr w:type="spellEnd"/>
          </w:p>
        </w:tc>
      </w:tr>
      <w:tr w:rsidR="001A5BF9" w:rsidRPr="001832A6" w:rsidTr="00667FB3">
        <w:trPr>
          <w:trHeight w:hRule="exact" w:val="170"/>
        </w:trPr>
        <w:tc>
          <w:tcPr>
            <w:tcW w:w="9356" w:type="dxa"/>
            <w:gridSpan w:val="3"/>
            <w:noWrap/>
            <w:tcMar>
              <w:left w:w="0" w:type="dxa"/>
              <w:right w:w="0" w:type="dxa"/>
            </w:tcMar>
            <w:vAlign w:val="bottom"/>
          </w:tcPr>
          <w:p w:rsidR="001A5BF9" w:rsidRPr="0090731E" w:rsidRDefault="001A5BF9" w:rsidP="001A5BF9">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w:t>
            </w:r>
            <w:r>
              <w:rPr>
                <w:rFonts w:ascii="Arial Black" w:hAnsi="Arial Black"/>
                <w:caps/>
                <w:sz w:val="15"/>
              </w:rPr>
              <w:t xml:space="preserve"> anglais</w:t>
            </w:r>
          </w:p>
        </w:tc>
      </w:tr>
      <w:tr w:rsidR="001A5BF9" w:rsidRPr="001832A6" w:rsidTr="00667FB3">
        <w:trPr>
          <w:trHeight w:hRule="exact" w:val="198"/>
        </w:trPr>
        <w:tc>
          <w:tcPr>
            <w:tcW w:w="9356" w:type="dxa"/>
            <w:gridSpan w:val="3"/>
            <w:tcMar>
              <w:left w:w="0" w:type="dxa"/>
              <w:right w:w="0" w:type="dxa"/>
            </w:tcMar>
            <w:vAlign w:val="bottom"/>
          </w:tcPr>
          <w:p w:rsidR="001A5BF9" w:rsidRPr="0090731E" w:rsidRDefault="001A5BF9" w:rsidP="006574A9">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w:t>
            </w:r>
            <w:r>
              <w:rPr>
                <w:rFonts w:ascii="Arial Black" w:hAnsi="Arial Black"/>
                <w:caps/>
                <w:sz w:val="15"/>
              </w:rPr>
              <w:t xml:space="preserve"> </w:t>
            </w:r>
            <w:r w:rsidR="00F7033E">
              <w:rPr>
                <w:rFonts w:ascii="Arial Black" w:hAnsi="Arial Black"/>
                <w:caps/>
                <w:sz w:val="15"/>
              </w:rPr>
              <w:t>2</w:t>
            </w:r>
            <w:r w:rsidR="006574A9">
              <w:rPr>
                <w:rFonts w:ascii="Arial Black" w:hAnsi="Arial Black"/>
                <w:caps/>
                <w:sz w:val="15"/>
              </w:rPr>
              <w:t>5</w:t>
            </w:r>
            <w:r>
              <w:rPr>
                <w:rFonts w:ascii="Arial Black" w:hAnsi="Arial Black"/>
                <w:caps/>
                <w:sz w:val="15"/>
              </w:rPr>
              <w:t> </w:t>
            </w:r>
            <w:r w:rsidR="006574A9">
              <w:rPr>
                <w:rFonts w:ascii="Arial Black" w:hAnsi="Arial Black"/>
                <w:caps/>
                <w:sz w:val="15"/>
              </w:rPr>
              <w:t>septembre</w:t>
            </w:r>
            <w:r>
              <w:rPr>
                <w:rFonts w:ascii="Arial Black" w:hAnsi="Arial Black"/>
                <w:caps/>
                <w:sz w:val="15"/>
              </w:rPr>
              <w:t> 2014</w:t>
            </w:r>
          </w:p>
        </w:tc>
      </w:tr>
    </w:tbl>
    <w:p w:rsidR="00D42474" w:rsidRDefault="00D42474" w:rsidP="001A5BF9">
      <w:pPr>
        <w:rPr>
          <w:sz w:val="22"/>
          <w:szCs w:val="22"/>
        </w:rPr>
      </w:pPr>
    </w:p>
    <w:p w:rsidR="00D42474" w:rsidRDefault="00D42474" w:rsidP="001A5BF9">
      <w:pPr>
        <w:rPr>
          <w:sz w:val="22"/>
          <w:szCs w:val="22"/>
        </w:rPr>
      </w:pPr>
    </w:p>
    <w:p w:rsidR="00D42474" w:rsidRDefault="00D42474" w:rsidP="001A5BF9">
      <w:pPr>
        <w:rPr>
          <w:sz w:val="22"/>
          <w:szCs w:val="22"/>
        </w:rPr>
      </w:pPr>
    </w:p>
    <w:p w:rsidR="00D42474" w:rsidRDefault="00D42474" w:rsidP="001A5BF9">
      <w:pPr>
        <w:rPr>
          <w:sz w:val="22"/>
          <w:szCs w:val="22"/>
        </w:rPr>
      </w:pPr>
    </w:p>
    <w:p w:rsidR="00D42474" w:rsidRDefault="00D42474" w:rsidP="001A5BF9">
      <w:pPr>
        <w:rPr>
          <w:sz w:val="22"/>
          <w:szCs w:val="22"/>
        </w:rPr>
      </w:pPr>
    </w:p>
    <w:p w:rsidR="00D42474" w:rsidRDefault="001A5BF9" w:rsidP="001A5BF9">
      <w:pPr>
        <w:rPr>
          <w:b/>
          <w:sz w:val="28"/>
          <w:szCs w:val="28"/>
        </w:rPr>
      </w:pPr>
      <w:r w:rsidRPr="00A744D2">
        <w:rPr>
          <w:b/>
          <w:sz w:val="28"/>
          <w:szCs w:val="28"/>
        </w:rPr>
        <w:t>Comit</w:t>
      </w:r>
      <w:r w:rsidRPr="00A744D2">
        <w:rPr>
          <w:rFonts w:cs="Simplified Arabic" w:hint="cs"/>
          <w:b/>
          <w:sz w:val="28"/>
          <w:szCs w:val="28"/>
        </w:rPr>
        <w:t>é</w:t>
      </w:r>
      <w:r w:rsidRPr="00A744D2">
        <w:rPr>
          <w:b/>
          <w:sz w:val="28"/>
          <w:szCs w:val="28"/>
        </w:rPr>
        <w:t xml:space="preserve"> du programme et budget</w:t>
      </w:r>
    </w:p>
    <w:p w:rsidR="00D42474" w:rsidRDefault="00D42474" w:rsidP="001A5BF9">
      <w:pPr>
        <w:rPr>
          <w:sz w:val="22"/>
          <w:szCs w:val="22"/>
        </w:rPr>
      </w:pPr>
    </w:p>
    <w:p w:rsidR="00D42474" w:rsidRDefault="00D42474" w:rsidP="001A5BF9">
      <w:pPr>
        <w:rPr>
          <w:sz w:val="22"/>
          <w:szCs w:val="22"/>
        </w:rPr>
      </w:pPr>
    </w:p>
    <w:p w:rsidR="00D42474" w:rsidRDefault="001A5BF9" w:rsidP="001A5BF9">
      <w:pPr>
        <w:rPr>
          <w:b/>
          <w:sz w:val="24"/>
        </w:rPr>
      </w:pPr>
      <w:r w:rsidRPr="00A744D2">
        <w:rPr>
          <w:b/>
          <w:bCs/>
          <w:sz w:val="24"/>
        </w:rPr>
        <w:t>Vingt</w:t>
      </w:r>
      <w:r w:rsidRPr="00A744D2">
        <w:rPr>
          <w:b/>
          <w:bCs/>
          <w:sz w:val="24"/>
        </w:rPr>
        <w:noBreakHyphen/>
        <w:t>deuxième se</w:t>
      </w:r>
      <w:r w:rsidRPr="00A744D2">
        <w:rPr>
          <w:b/>
          <w:sz w:val="24"/>
        </w:rPr>
        <w:t>ssion</w:t>
      </w:r>
    </w:p>
    <w:p w:rsidR="00D42474" w:rsidRDefault="001A5BF9" w:rsidP="001A5BF9">
      <w:r w:rsidRPr="00A744D2">
        <w:rPr>
          <w:b/>
          <w:sz w:val="24"/>
        </w:rPr>
        <w:t>Genève, 1</w:t>
      </w:r>
      <w:r w:rsidRPr="00A744D2">
        <w:rPr>
          <w:b/>
          <w:sz w:val="24"/>
          <w:vertAlign w:val="superscript"/>
        </w:rPr>
        <w:t>er</w:t>
      </w:r>
      <w:r w:rsidRPr="00A744D2">
        <w:rPr>
          <w:b/>
          <w:sz w:val="24"/>
        </w:rPr>
        <w:t xml:space="preserve"> – 5 septembre 2014</w:t>
      </w:r>
    </w:p>
    <w:p w:rsidR="00D42474" w:rsidRDefault="00D42474" w:rsidP="001A5BF9">
      <w:pPr>
        <w:rPr>
          <w:sz w:val="22"/>
          <w:szCs w:val="22"/>
        </w:rPr>
      </w:pPr>
    </w:p>
    <w:p w:rsidR="00D42474" w:rsidRDefault="00D42474" w:rsidP="001A5BF9">
      <w:pPr>
        <w:rPr>
          <w:sz w:val="22"/>
          <w:szCs w:val="22"/>
        </w:rPr>
      </w:pPr>
    </w:p>
    <w:p w:rsidR="00D42474" w:rsidRDefault="00BB3F3E" w:rsidP="001A5BF9">
      <w:pPr>
        <w:rPr>
          <w:caps/>
          <w:sz w:val="24"/>
        </w:rPr>
      </w:pPr>
      <w:r w:rsidRPr="00A744D2">
        <w:rPr>
          <w:caps/>
          <w:sz w:val="24"/>
        </w:rPr>
        <w:t>Rapport sur l</w:t>
      </w:r>
      <w:r w:rsidR="00A20444" w:rsidRPr="00A744D2">
        <w:rPr>
          <w:caps/>
          <w:sz w:val="24"/>
        </w:rPr>
        <w:t>’</w:t>
      </w:r>
      <w:r w:rsidRPr="00A744D2">
        <w:rPr>
          <w:caps/>
          <w:sz w:val="24"/>
        </w:rPr>
        <w:t>exécution du programme en</w:t>
      </w:r>
      <w:r w:rsidR="0010442A" w:rsidRPr="00A744D2">
        <w:rPr>
          <w:caps/>
          <w:sz w:val="24"/>
        </w:rPr>
        <w:t> </w:t>
      </w:r>
      <w:r w:rsidRPr="00A744D2">
        <w:rPr>
          <w:caps/>
          <w:sz w:val="24"/>
        </w:rPr>
        <w:t>2012</w:t>
      </w:r>
      <w:r w:rsidR="002D6F2A" w:rsidRPr="00A744D2">
        <w:rPr>
          <w:caps/>
          <w:sz w:val="24"/>
        </w:rPr>
        <w:noBreakHyphen/>
      </w:r>
      <w:r w:rsidRPr="00A744D2">
        <w:rPr>
          <w:caps/>
          <w:sz w:val="24"/>
        </w:rPr>
        <w:t>2013</w:t>
      </w:r>
    </w:p>
    <w:p w:rsidR="00D42474" w:rsidRDefault="00D42474" w:rsidP="001A5BF9">
      <w:pPr>
        <w:rPr>
          <w:sz w:val="22"/>
          <w:szCs w:val="22"/>
        </w:rPr>
      </w:pPr>
    </w:p>
    <w:p w:rsidR="00D42474" w:rsidRDefault="00BB3F3E" w:rsidP="001A5BF9">
      <w:pPr>
        <w:rPr>
          <w:i/>
          <w:sz w:val="22"/>
          <w:szCs w:val="22"/>
        </w:rPr>
      </w:pPr>
      <w:proofErr w:type="gramStart"/>
      <w:r w:rsidRPr="00B9205A">
        <w:rPr>
          <w:i/>
          <w:sz w:val="22"/>
          <w:szCs w:val="22"/>
        </w:rPr>
        <w:t>établi</w:t>
      </w:r>
      <w:proofErr w:type="gramEnd"/>
      <w:r w:rsidRPr="00B9205A">
        <w:rPr>
          <w:i/>
          <w:sz w:val="22"/>
          <w:szCs w:val="22"/>
        </w:rPr>
        <w:t xml:space="preserve"> par le Directeur général</w:t>
      </w:r>
    </w:p>
    <w:p w:rsidR="00D42474" w:rsidRDefault="00D42474" w:rsidP="001A5BF9">
      <w:pPr>
        <w:rPr>
          <w:sz w:val="22"/>
          <w:szCs w:val="22"/>
        </w:rPr>
      </w:pPr>
    </w:p>
    <w:p w:rsidR="00D42474" w:rsidRDefault="00D42474" w:rsidP="001A5BF9">
      <w:pPr>
        <w:rPr>
          <w:sz w:val="22"/>
          <w:szCs w:val="22"/>
        </w:rPr>
      </w:pPr>
    </w:p>
    <w:p w:rsidR="00D42474" w:rsidRDefault="00D42474" w:rsidP="001A5BF9">
      <w:pPr>
        <w:rPr>
          <w:sz w:val="22"/>
          <w:szCs w:val="22"/>
        </w:rPr>
      </w:pPr>
    </w:p>
    <w:p w:rsidR="00D42474" w:rsidRDefault="00D42474" w:rsidP="001A5BF9">
      <w:pPr>
        <w:rPr>
          <w:sz w:val="22"/>
          <w:szCs w:val="22"/>
        </w:rPr>
      </w:pPr>
    </w:p>
    <w:p w:rsidR="00D42474" w:rsidRPr="002B564C" w:rsidRDefault="00BB3F3E" w:rsidP="002B564C">
      <w:pPr>
        <w:pStyle w:val="ONUMFS"/>
        <w:numPr>
          <w:ilvl w:val="0"/>
          <w:numId w:val="95"/>
        </w:numPr>
      </w:pPr>
      <w:r w:rsidRPr="002B564C">
        <w:t>Le Rapport sur l</w:t>
      </w:r>
      <w:r w:rsidR="00A20444" w:rsidRPr="002B564C">
        <w:t>’</w:t>
      </w:r>
      <w:r w:rsidRPr="002B564C">
        <w:t>exécution du programme en 2012</w:t>
      </w:r>
      <w:r w:rsidR="002D6F2A" w:rsidRPr="002B564C">
        <w:noBreakHyphen/>
      </w:r>
      <w:r w:rsidRPr="002B564C">
        <w:t>2013 a été élaboré conformément au cadre budgétaire de l</w:t>
      </w:r>
      <w:r w:rsidR="00A20444" w:rsidRPr="002B564C">
        <w:t>’</w:t>
      </w:r>
      <w:r w:rsidRPr="002B564C">
        <w:t>OMPI axé sur les résultats.</w:t>
      </w:r>
      <w:r w:rsidR="004F3E42" w:rsidRPr="002B564C">
        <w:t xml:space="preserve"> </w:t>
      </w:r>
      <w:r w:rsidR="0010442A" w:rsidRPr="002B564C">
        <w:t xml:space="preserve"> </w:t>
      </w:r>
      <w:r w:rsidRPr="002B564C">
        <w:t>Le présent rapport repose sur les critères d</w:t>
      </w:r>
      <w:r w:rsidR="00A20444" w:rsidRPr="002B564C">
        <w:t>’</w:t>
      </w:r>
      <w:r w:rsidRPr="002B564C">
        <w:t xml:space="preserve">exécution établis dans le </w:t>
      </w:r>
      <w:r w:rsidR="00A744D2" w:rsidRPr="002B564C">
        <w:t>p</w:t>
      </w:r>
      <w:r w:rsidRPr="002B564C">
        <w:t>rogramme et budget pour l</w:t>
      </w:r>
      <w:r w:rsidR="00A20444" w:rsidRPr="002B564C">
        <w:t>’</w:t>
      </w:r>
      <w:r w:rsidRPr="002B564C">
        <w:t>exercice biennal 2012</w:t>
      </w:r>
      <w:r w:rsidR="002D6F2A" w:rsidRPr="002B564C">
        <w:noBreakHyphen/>
      </w:r>
      <w:r w:rsidRPr="002B564C">
        <w:t>2013, tels qu</w:t>
      </w:r>
      <w:r w:rsidR="00A20444" w:rsidRPr="002B564C">
        <w:t>’</w:t>
      </w:r>
      <w:r w:rsidRPr="002B564C">
        <w:t>approuvés par les assemblées des États membres de l</w:t>
      </w:r>
      <w:r w:rsidR="00A20444" w:rsidRPr="002B564C">
        <w:t>’</w:t>
      </w:r>
      <w:r w:rsidRPr="002B564C">
        <w:t>OMPI le 29 septembre 2011 (publication n° 360/E/</w:t>
      </w:r>
      <w:proofErr w:type="spellStart"/>
      <w:r w:rsidRPr="002B564C">
        <w:t>PB1213</w:t>
      </w:r>
      <w:proofErr w:type="spellEnd"/>
      <w:r w:rsidRPr="002B564C">
        <w:t>).</w:t>
      </w:r>
    </w:p>
    <w:p w:rsidR="00D42474" w:rsidRPr="002B564C" w:rsidRDefault="007A5394" w:rsidP="002B564C">
      <w:pPr>
        <w:pStyle w:val="ONUMFS"/>
      </w:pPr>
      <w:r w:rsidRPr="002B564C">
        <w:t>L</w:t>
      </w:r>
      <w:r w:rsidR="00BB3F3E" w:rsidRPr="002B564C">
        <w:t xml:space="preserve">e paragraphe </w:t>
      </w:r>
      <w:r w:rsidRPr="002B564C">
        <w:t>de décision ci</w:t>
      </w:r>
      <w:r w:rsidRPr="002B564C">
        <w:noBreakHyphen/>
        <w:t>après est proposé</w:t>
      </w:r>
      <w:r w:rsidR="00BB3F3E" w:rsidRPr="002B564C">
        <w:t>.</w:t>
      </w:r>
    </w:p>
    <w:p w:rsidR="00D42474" w:rsidRPr="002B564C" w:rsidRDefault="00BB3F3E" w:rsidP="002B564C">
      <w:pPr>
        <w:pStyle w:val="ONUMFS"/>
        <w:ind w:left="5533"/>
        <w:rPr>
          <w:i/>
        </w:rPr>
      </w:pPr>
      <w:r w:rsidRPr="002B564C">
        <w:rPr>
          <w:i/>
        </w:rPr>
        <w:t>Le Comité du programme et budget, après avoir examiné le rapport détaillé sur l</w:t>
      </w:r>
      <w:r w:rsidR="00A20444" w:rsidRPr="002B564C">
        <w:rPr>
          <w:i/>
        </w:rPr>
        <w:t>’</w:t>
      </w:r>
      <w:r w:rsidRPr="002B564C">
        <w:rPr>
          <w:i/>
        </w:rPr>
        <w:t>exécution du programme pour l</w:t>
      </w:r>
      <w:r w:rsidR="00A20444" w:rsidRPr="002B564C">
        <w:rPr>
          <w:i/>
        </w:rPr>
        <w:t>’</w:t>
      </w:r>
      <w:r w:rsidRPr="002B564C">
        <w:rPr>
          <w:i/>
        </w:rPr>
        <w:t>exercice biennal 2012</w:t>
      </w:r>
      <w:r w:rsidR="002D6F2A" w:rsidRPr="002B564C">
        <w:rPr>
          <w:i/>
        </w:rPr>
        <w:noBreakHyphen/>
      </w:r>
      <w:r w:rsidRPr="002B564C">
        <w:rPr>
          <w:i/>
        </w:rPr>
        <w:t>2013</w:t>
      </w:r>
      <w:r w:rsidR="006574A9" w:rsidRPr="002B564C">
        <w:rPr>
          <w:i/>
        </w:rPr>
        <w:t xml:space="preserve"> (document WO/PBC/22/8)</w:t>
      </w:r>
      <w:r w:rsidR="00734119" w:rsidRPr="002B564C">
        <w:rPr>
          <w:i/>
        </w:rPr>
        <w:t xml:space="preserve"> </w:t>
      </w:r>
      <w:r w:rsidR="007A5394" w:rsidRPr="002B564C">
        <w:rPr>
          <w:i/>
        </w:rPr>
        <w:t>et tenant compte de sa fonction d’auto</w:t>
      </w:r>
      <w:r w:rsidR="007A5394" w:rsidRPr="002B564C">
        <w:rPr>
          <w:i/>
        </w:rPr>
        <w:noBreakHyphen/>
        <w:t xml:space="preserve">évaluation du Secrétariat, </w:t>
      </w:r>
      <w:r w:rsidRPr="002B564C">
        <w:rPr>
          <w:i/>
        </w:rPr>
        <w:t>a</w:t>
      </w:r>
      <w:r w:rsidR="001655CA" w:rsidRPr="002B564C">
        <w:rPr>
          <w:i/>
        </w:rPr>
        <w:t> </w:t>
      </w:r>
      <w:r w:rsidRPr="002B564C">
        <w:rPr>
          <w:i/>
        </w:rPr>
        <w:t>recommandé aux assemblées des États membres de l</w:t>
      </w:r>
      <w:r w:rsidR="00A20444" w:rsidRPr="002B564C">
        <w:rPr>
          <w:i/>
        </w:rPr>
        <w:t>’</w:t>
      </w:r>
      <w:r w:rsidRPr="002B564C">
        <w:rPr>
          <w:i/>
        </w:rPr>
        <w:t>OMPI </w:t>
      </w:r>
    </w:p>
    <w:p w:rsidR="00D42474" w:rsidRPr="002B564C" w:rsidRDefault="007A5394" w:rsidP="00147720">
      <w:pPr>
        <w:pStyle w:val="ONUMFS"/>
        <w:numPr>
          <w:ilvl w:val="1"/>
          <w:numId w:val="93"/>
        </w:numPr>
        <w:ind w:left="6237"/>
        <w:rPr>
          <w:i/>
        </w:rPr>
      </w:pPr>
      <w:r w:rsidRPr="002B564C">
        <w:rPr>
          <w:i/>
        </w:rPr>
        <w:t xml:space="preserve">de </w:t>
      </w:r>
      <w:r w:rsidR="00BB3F3E" w:rsidRPr="002B564C">
        <w:rPr>
          <w:i/>
        </w:rPr>
        <w:t>reconnaître la contribution des programmes à la réalisation des résultats escomptés;</w:t>
      </w:r>
    </w:p>
    <w:p w:rsidR="00D42474" w:rsidRPr="002B564C" w:rsidRDefault="007A5394" w:rsidP="00147720">
      <w:pPr>
        <w:pStyle w:val="ONUMFS"/>
        <w:numPr>
          <w:ilvl w:val="1"/>
          <w:numId w:val="93"/>
        </w:numPr>
        <w:ind w:left="6237"/>
        <w:rPr>
          <w:i/>
        </w:rPr>
      </w:pPr>
      <w:r w:rsidRPr="002B564C">
        <w:rPr>
          <w:i/>
        </w:rPr>
        <w:t xml:space="preserve">de </w:t>
      </w:r>
      <w:r w:rsidR="00BB3F3E" w:rsidRPr="002B564C">
        <w:rPr>
          <w:i/>
        </w:rPr>
        <w:t>prendre note des améliorations apportées au rapport, conformément aux demandes des États membres;</w:t>
      </w:r>
    </w:p>
    <w:p w:rsidR="00D42474" w:rsidRPr="002B564C" w:rsidRDefault="007A5394" w:rsidP="00147720">
      <w:pPr>
        <w:pStyle w:val="ONUMFS"/>
        <w:numPr>
          <w:ilvl w:val="1"/>
          <w:numId w:val="93"/>
        </w:numPr>
        <w:ind w:left="6237"/>
        <w:rPr>
          <w:i/>
        </w:rPr>
      </w:pPr>
      <w:r w:rsidRPr="002B564C">
        <w:rPr>
          <w:i/>
        </w:rPr>
        <w:t xml:space="preserve">de </w:t>
      </w:r>
      <w:r w:rsidR="00BB3F3E" w:rsidRPr="002B564C">
        <w:rPr>
          <w:i/>
        </w:rPr>
        <w:t>note</w:t>
      </w:r>
      <w:r w:rsidRPr="002B564C">
        <w:rPr>
          <w:i/>
        </w:rPr>
        <w:t>r</w:t>
      </w:r>
      <w:r w:rsidR="00BB3F3E" w:rsidRPr="002B564C">
        <w:rPr>
          <w:i/>
        </w:rPr>
        <w:t xml:space="preserve"> que toutes les recommandations de la validation du rapport sur l</w:t>
      </w:r>
      <w:r w:rsidR="00A20444" w:rsidRPr="002B564C">
        <w:rPr>
          <w:i/>
        </w:rPr>
        <w:t>’</w:t>
      </w:r>
      <w:r w:rsidR="00BB3F3E" w:rsidRPr="002B564C">
        <w:rPr>
          <w:i/>
        </w:rPr>
        <w:t>exécution du programme pour l</w:t>
      </w:r>
      <w:r w:rsidR="00A20444" w:rsidRPr="002B564C">
        <w:rPr>
          <w:i/>
        </w:rPr>
        <w:t>’</w:t>
      </w:r>
      <w:r w:rsidR="00BB3F3E" w:rsidRPr="002B564C">
        <w:rPr>
          <w:i/>
        </w:rPr>
        <w:t>exercice biennal</w:t>
      </w:r>
      <w:r w:rsidR="0010442A" w:rsidRPr="002B564C">
        <w:rPr>
          <w:i/>
        </w:rPr>
        <w:t> </w:t>
      </w:r>
      <w:r w:rsidR="00BB3F3E" w:rsidRPr="002B564C">
        <w:rPr>
          <w:i/>
        </w:rPr>
        <w:t>2010</w:t>
      </w:r>
      <w:r w:rsidR="002D6F2A" w:rsidRPr="002B564C">
        <w:rPr>
          <w:i/>
        </w:rPr>
        <w:noBreakHyphen/>
      </w:r>
      <w:r w:rsidR="00BB3F3E" w:rsidRPr="002B564C">
        <w:rPr>
          <w:i/>
        </w:rPr>
        <w:t>2011 préconisée par la Division de l</w:t>
      </w:r>
      <w:r w:rsidR="00A20444" w:rsidRPr="002B564C">
        <w:rPr>
          <w:i/>
        </w:rPr>
        <w:t>’</w:t>
      </w:r>
      <w:r w:rsidR="00BB3F3E" w:rsidRPr="002B564C">
        <w:rPr>
          <w:i/>
        </w:rPr>
        <w:t>audit et de la supervision internes ont été mises en œuvre par le Secrétariat;</w:t>
      </w:r>
    </w:p>
    <w:p w:rsidR="00D42474" w:rsidRPr="002B564C" w:rsidRDefault="007A5394" w:rsidP="00147720">
      <w:pPr>
        <w:pStyle w:val="ONUMFS"/>
        <w:numPr>
          <w:ilvl w:val="1"/>
          <w:numId w:val="93"/>
        </w:numPr>
        <w:ind w:left="6237"/>
        <w:rPr>
          <w:i/>
        </w:rPr>
      </w:pPr>
      <w:r w:rsidRPr="002B564C">
        <w:rPr>
          <w:i/>
        </w:rPr>
        <w:t xml:space="preserve">compte tenu des déclarations faites par les États membres sur le </w:t>
      </w:r>
      <w:proofErr w:type="spellStart"/>
      <w:r w:rsidRPr="002B564C">
        <w:rPr>
          <w:i/>
        </w:rPr>
        <w:t>PPR</w:t>
      </w:r>
      <w:proofErr w:type="spellEnd"/>
      <w:r w:rsidRPr="002B564C">
        <w:rPr>
          <w:i/>
        </w:rPr>
        <w:t>, d’</w:t>
      </w:r>
      <w:r w:rsidR="00BB3F3E" w:rsidRPr="002B564C">
        <w:rPr>
          <w:i/>
        </w:rPr>
        <w:t>encourager le Secrétariat à</w:t>
      </w:r>
    </w:p>
    <w:p w:rsidR="00D42474" w:rsidRPr="002B564C" w:rsidRDefault="00BB3F3E" w:rsidP="00147720">
      <w:pPr>
        <w:pStyle w:val="ONUMFS"/>
        <w:numPr>
          <w:ilvl w:val="2"/>
          <w:numId w:val="93"/>
        </w:numPr>
        <w:ind w:left="6804"/>
        <w:rPr>
          <w:i/>
        </w:rPr>
      </w:pPr>
      <w:r w:rsidRPr="002B564C">
        <w:rPr>
          <w:i/>
        </w:rPr>
        <w:t>s</w:t>
      </w:r>
      <w:r w:rsidR="00A20444" w:rsidRPr="002B564C">
        <w:rPr>
          <w:i/>
        </w:rPr>
        <w:t>’</w:t>
      </w:r>
      <w:r w:rsidRPr="002B564C">
        <w:rPr>
          <w:i/>
        </w:rPr>
        <w:t>assurer que les enseignements tirés de la</w:t>
      </w:r>
      <w:r w:rsidR="004F3E42" w:rsidRPr="002B564C">
        <w:rPr>
          <w:i/>
        </w:rPr>
        <w:t> </w:t>
      </w:r>
      <w:r w:rsidRPr="002B564C">
        <w:rPr>
          <w:i/>
        </w:rPr>
        <w:t>mise en œuvre pendant l</w:t>
      </w:r>
      <w:r w:rsidR="00A20444" w:rsidRPr="002B564C">
        <w:rPr>
          <w:i/>
        </w:rPr>
        <w:t>’</w:t>
      </w:r>
      <w:r w:rsidRPr="002B564C">
        <w:rPr>
          <w:i/>
        </w:rPr>
        <w:t>exercice biennal 2012</w:t>
      </w:r>
      <w:r w:rsidR="002D6F2A" w:rsidRPr="002B564C">
        <w:rPr>
          <w:i/>
        </w:rPr>
        <w:noBreakHyphen/>
      </w:r>
      <w:r w:rsidRPr="002B564C">
        <w:rPr>
          <w:i/>
        </w:rPr>
        <w:t>2013 sont dûment pris en considération pour la mise en œuvre du programme et budget pour</w:t>
      </w:r>
      <w:r w:rsidR="0010442A" w:rsidRPr="002B564C">
        <w:rPr>
          <w:i/>
        </w:rPr>
        <w:t> </w:t>
      </w:r>
      <w:r w:rsidRPr="002B564C">
        <w:rPr>
          <w:i/>
        </w:rPr>
        <w:t>2014</w:t>
      </w:r>
      <w:r w:rsidR="002D6F2A" w:rsidRPr="002B564C">
        <w:rPr>
          <w:i/>
        </w:rPr>
        <w:noBreakHyphen/>
      </w:r>
      <w:r w:rsidRPr="002B564C">
        <w:rPr>
          <w:i/>
        </w:rPr>
        <w:t>2015;</w:t>
      </w:r>
      <w:r w:rsidR="0010442A" w:rsidRPr="002B564C">
        <w:rPr>
          <w:i/>
        </w:rPr>
        <w:t xml:space="preserve"> </w:t>
      </w:r>
    </w:p>
    <w:p w:rsidR="00D42474" w:rsidRPr="002B564C" w:rsidRDefault="009301E0" w:rsidP="00147720">
      <w:pPr>
        <w:pStyle w:val="ONUMFS"/>
        <w:numPr>
          <w:ilvl w:val="2"/>
          <w:numId w:val="93"/>
        </w:numPr>
        <w:ind w:left="6804"/>
        <w:rPr>
          <w:i/>
        </w:rPr>
      </w:pPr>
      <w:r>
        <w:rPr>
          <w:i/>
        </w:rPr>
        <w:t>traiter les cinq </w:t>
      </w:r>
      <w:r w:rsidR="006574A9" w:rsidRPr="002B564C">
        <w:rPr>
          <w:i/>
        </w:rPr>
        <w:t>recommandations contenues dans le rapport sur l</w:t>
      </w:r>
      <w:r w:rsidR="00147720">
        <w:rPr>
          <w:i/>
        </w:rPr>
        <w:t>’exécution du programme en 2012</w:t>
      </w:r>
      <w:r w:rsidR="00147720">
        <w:rPr>
          <w:i/>
        </w:rPr>
        <w:noBreakHyphen/>
      </w:r>
      <w:r w:rsidR="006574A9" w:rsidRPr="002B564C">
        <w:rPr>
          <w:i/>
        </w:rPr>
        <w:t>2013; et</w:t>
      </w:r>
    </w:p>
    <w:p w:rsidR="00D42474" w:rsidRPr="002B564C" w:rsidRDefault="00BB3F3E" w:rsidP="00147720">
      <w:pPr>
        <w:pStyle w:val="ONUMFS"/>
        <w:numPr>
          <w:ilvl w:val="2"/>
          <w:numId w:val="93"/>
        </w:numPr>
        <w:ind w:left="6804"/>
        <w:rPr>
          <w:i/>
        </w:rPr>
      </w:pPr>
      <w:r w:rsidRPr="002B564C">
        <w:rPr>
          <w:i/>
        </w:rPr>
        <w:t>poursuivre ses efforts pour améliorer sa mise en œuvre de la gestion axée sur les résultats, en particulier s</w:t>
      </w:r>
      <w:r w:rsidR="00D90B16" w:rsidRPr="002B564C">
        <w:rPr>
          <w:i/>
        </w:rPr>
        <w:t>es données relatives à l’exécution, son cadre de résultats, s</w:t>
      </w:r>
      <w:r w:rsidRPr="002B564C">
        <w:rPr>
          <w:i/>
        </w:rPr>
        <w:t>on évaluation des performances</w:t>
      </w:r>
      <w:r w:rsidR="00D90B16" w:rsidRPr="002B564C">
        <w:rPr>
          <w:i/>
        </w:rPr>
        <w:t xml:space="preserve">, ses outils de suivi et </w:t>
      </w:r>
      <w:r w:rsidRPr="002B564C">
        <w:rPr>
          <w:i/>
        </w:rPr>
        <w:t>les redditions de compte connexes</w:t>
      </w:r>
      <w:r w:rsidR="00D90B16" w:rsidRPr="002B564C">
        <w:rPr>
          <w:i/>
        </w:rPr>
        <w:t>, sur la base des suggestions faites par les États membres au sujet du rapport sur l’exécution du programme pour l’exercice biennal 2012</w:t>
      </w:r>
      <w:r w:rsidR="00D90B16" w:rsidRPr="002B564C">
        <w:rPr>
          <w:i/>
        </w:rPr>
        <w:noBreakHyphen/>
        <w:t xml:space="preserve">2013, et en tenir dûment compte, le cas échéant, </w:t>
      </w:r>
      <w:r w:rsidR="00BB7B60" w:rsidRPr="002B564C">
        <w:rPr>
          <w:i/>
        </w:rPr>
        <w:t>au cours du prochain cycle</w:t>
      </w:r>
      <w:r w:rsidR="00D90B16" w:rsidRPr="002B564C">
        <w:rPr>
          <w:i/>
        </w:rPr>
        <w:t xml:space="preserve"> </w:t>
      </w:r>
      <w:proofErr w:type="spellStart"/>
      <w:r w:rsidR="00D90B16" w:rsidRPr="002B564C">
        <w:rPr>
          <w:i/>
        </w:rPr>
        <w:t>PPR</w:t>
      </w:r>
      <w:proofErr w:type="spellEnd"/>
      <w:r w:rsidR="00D90B16" w:rsidRPr="002B564C">
        <w:rPr>
          <w:i/>
        </w:rPr>
        <w:t xml:space="preserve"> </w:t>
      </w:r>
      <w:r w:rsidR="00BB7B60" w:rsidRPr="002B564C">
        <w:rPr>
          <w:i/>
        </w:rPr>
        <w:t>et du</w:t>
      </w:r>
      <w:r w:rsidR="00D90B16" w:rsidRPr="002B564C">
        <w:rPr>
          <w:i/>
        </w:rPr>
        <w:t xml:space="preserve"> </w:t>
      </w:r>
      <w:r w:rsidR="00BB7B60" w:rsidRPr="002B564C">
        <w:rPr>
          <w:i/>
        </w:rPr>
        <w:t>programme et budget pour l’exercice biennal 2016</w:t>
      </w:r>
      <w:r w:rsidR="00BB7B60" w:rsidRPr="002B564C">
        <w:rPr>
          <w:i/>
        </w:rPr>
        <w:noBreakHyphen/>
        <w:t>2017</w:t>
      </w:r>
      <w:r w:rsidR="00D90B16" w:rsidRPr="002B564C">
        <w:rPr>
          <w:i/>
        </w:rPr>
        <w:t>.</w:t>
      </w:r>
    </w:p>
    <w:p w:rsidR="00D42474" w:rsidRDefault="00D42474" w:rsidP="00A744D2">
      <w:pPr>
        <w:pStyle w:val="Endofdocument-Annex"/>
        <w:rPr>
          <w:szCs w:val="22"/>
        </w:rPr>
      </w:pPr>
    </w:p>
    <w:p w:rsidR="00D42474" w:rsidRDefault="00D42474" w:rsidP="00A744D2">
      <w:pPr>
        <w:pStyle w:val="Endofdocument-Annex"/>
        <w:rPr>
          <w:szCs w:val="22"/>
        </w:rPr>
      </w:pPr>
    </w:p>
    <w:p w:rsidR="00D42474" w:rsidRDefault="00BB3F3E" w:rsidP="00A744D2">
      <w:pPr>
        <w:pStyle w:val="Endofdocument-Annex"/>
        <w:rPr>
          <w:szCs w:val="22"/>
          <w:lang w:val="fr-CH" w:eastAsia="zh-CN"/>
        </w:rPr>
      </w:pPr>
      <w:r w:rsidRPr="00733F94">
        <w:rPr>
          <w:szCs w:val="22"/>
          <w:lang w:val="fr-CH" w:eastAsia="zh-CN"/>
        </w:rPr>
        <w:t>[Le Rapport sur l</w:t>
      </w:r>
      <w:r w:rsidR="00A20444" w:rsidRPr="00733F94">
        <w:rPr>
          <w:szCs w:val="22"/>
          <w:lang w:val="fr-CH" w:eastAsia="zh-CN"/>
        </w:rPr>
        <w:t>’</w:t>
      </w:r>
      <w:r w:rsidRPr="00733F94">
        <w:rPr>
          <w:szCs w:val="22"/>
          <w:lang w:val="fr-CH" w:eastAsia="zh-CN"/>
        </w:rPr>
        <w:t>exécution du programme en 2012</w:t>
      </w:r>
      <w:r w:rsidR="002D6F2A" w:rsidRPr="00733F94">
        <w:rPr>
          <w:szCs w:val="22"/>
          <w:lang w:val="fr-CH" w:eastAsia="zh-CN"/>
        </w:rPr>
        <w:noBreakHyphen/>
      </w:r>
      <w:r w:rsidRPr="00733F94">
        <w:rPr>
          <w:szCs w:val="22"/>
          <w:lang w:val="fr-CH" w:eastAsia="zh-CN"/>
        </w:rPr>
        <w:t>2013 suit]</w:t>
      </w:r>
    </w:p>
    <w:p w:rsidR="00D42474" w:rsidRDefault="00D42474" w:rsidP="001A5BF9">
      <w:pPr>
        <w:tabs>
          <w:tab w:val="left" w:pos="4253"/>
        </w:tabs>
        <w:rPr>
          <w:szCs w:val="22"/>
        </w:rPr>
      </w:pPr>
    </w:p>
    <w:p w:rsidR="00BB3F3E" w:rsidRPr="005C7CCE" w:rsidRDefault="00BB3F3E" w:rsidP="001A5BF9">
      <w:pPr>
        <w:tabs>
          <w:tab w:val="left" w:pos="4253"/>
        </w:tabs>
        <w:sectPr w:rsidR="00BB3F3E" w:rsidRPr="005C7CCE" w:rsidSect="009301E0">
          <w:headerReference w:type="default" r:id="rId11"/>
          <w:type w:val="oddPage"/>
          <w:pgSz w:w="11907" w:h="16840" w:code="9"/>
          <w:pgMar w:top="567" w:right="1134" w:bottom="1418" w:left="1418" w:header="510" w:footer="1021" w:gutter="0"/>
          <w:pgNumType w:start="1"/>
          <w:cols w:space="720"/>
          <w:titlePg/>
          <w:docGrid w:linePitch="272"/>
        </w:sectPr>
      </w:pPr>
    </w:p>
    <w:p w:rsidR="00147720" w:rsidRDefault="00147720" w:rsidP="001A5BF9">
      <w:pPr>
        <w:tabs>
          <w:tab w:val="left" w:pos="4253"/>
        </w:tabs>
        <w:rPr>
          <w:sz w:val="22"/>
          <w:szCs w:val="22"/>
        </w:rPr>
        <w:sectPr w:rsidR="00147720" w:rsidSect="00BB3F3E">
          <w:headerReference w:type="default" r:id="rId12"/>
          <w:pgSz w:w="11907" w:h="16840" w:code="9"/>
          <w:pgMar w:top="567" w:right="1134" w:bottom="1418" w:left="1418" w:header="510" w:footer="1021" w:gutter="0"/>
          <w:pgNumType w:fmt="lowerRoman" w:start="1"/>
          <w:cols w:space="720"/>
          <w:docGrid w:linePitch="272"/>
        </w:sect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D42474" w:rsidP="001A5BF9">
      <w:pPr>
        <w:tabs>
          <w:tab w:val="left" w:pos="4253"/>
        </w:tabs>
        <w:rPr>
          <w:sz w:val="22"/>
          <w:szCs w:val="22"/>
        </w:rPr>
      </w:pPr>
    </w:p>
    <w:p w:rsidR="00D42474" w:rsidRDefault="003153A5" w:rsidP="001A5BF9">
      <w:pPr>
        <w:tabs>
          <w:tab w:val="left" w:pos="4253"/>
        </w:tabs>
        <w:jc w:val="center"/>
        <w:rPr>
          <w:b/>
          <w:bCs/>
          <w:sz w:val="22"/>
          <w:szCs w:val="22"/>
        </w:rPr>
      </w:pPr>
      <w:r w:rsidRPr="007B0500">
        <w:rPr>
          <w:b/>
          <w:sz w:val="22"/>
          <w:szCs w:val="22"/>
        </w:rPr>
        <w:t>RAPPORT SUR L’EXÉCUTION DU PROGRAMME EN 2012</w:t>
      </w:r>
      <w:r w:rsidRPr="007B0500">
        <w:rPr>
          <w:b/>
          <w:sz w:val="22"/>
          <w:szCs w:val="22"/>
        </w:rPr>
        <w:noBreakHyphen/>
        <w:t>2013</w:t>
      </w:r>
    </w:p>
    <w:p w:rsidR="00D42474" w:rsidRDefault="00D42474" w:rsidP="001A5BF9">
      <w:pPr>
        <w:tabs>
          <w:tab w:val="left" w:pos="4253"/>
        </w:tabs>
        <w:jc w:val="center"/>
        <w:rPr>
          <w:b/>
          <w:bCs/>
          <w:szCs w:val="22"/>
        </w:rPr>
      </w:pPr>
    </w:p>
    <w:p w:rsidR="00BB3F3E" w:rsidRPr="005C7CCE" w:rsidRDefault="00BB3F3E" w:rsidP="001A5BF9">
      <w:pPr>
        <w:tabs>
          <w:tab w:val="left" w:pos="4253"/>
        </w:tabs>
        <w:jc w:val="center"/>
        <w:sectPr w:rsidR="00BB3F3E" w:rsidRPr="005C7CCE" w:rsidSect="00147720">
          <w:type w:val="oddPage"/>
          <w:pgSz w:w="11907" w:h="16840" w:code="9"/>
          <w:pgMar w:top="567" w:right="1134" w:bottom="1418" w:left="1418" w:header="510" w:footer="1021" w:gutter="0"/>
          <w:pgNumType w:fmt="lowerRoman" w:start="1"/>
          <w:cols w:space="720"/>
          <w:docGrid w:linePitch="272"/>
        </w:sectPr>
      </w:pPr>
    </w:p>
    <w:p w:rsidR="00D42474" w:rsidRDefault="00D42474" w:rsidP="001A5BF9">
      <w:pPr>
        <w:tabs>
          <w:tab w:val="left" w:pos="4253"/>
        </w:tabs>
        <w:jc w:val="center"/>
        <w:rPr>
          <w:szCs w:val="22"/>
        </w:rPr>
      </w:pPr>
    </w:p>
    <w:p w:rsidR="00D42474" w:rsidRDefault="00D42474" w:rsidP="001A5BF9">
      <w:pPr>
        <w:rPr>
          <w:szCs w:val="22"/>
        </w:rPr>
      </w:pPr>
    </w:p>
    <w:p w:rsidR="00BB3F3E" w:rsidRPr="005C7CCE" w:rsidRDefault="00BB3F3E" w:rsidP="001A5BF9">
      <w:pPr>
        <w:pStyle w:val="Header"/>
        <w:jc w:val="center"/>
        <w:sectPr w:rsidR="00BB3F3E" w:rsidRPr="005C7CCE" w:rsidSect="00BB3F3E">
          <w:headerReference w:type="default" r:id="rId13"/>
          <w:pgSz w:w="11907" w:h="16840" w:code="9"/>
          <w:pgMar w:top="567" w:right="1134" w:bottom="1418" w:left="1418" w:header="510" w:footer="1021" w:gutter="0"/>
          <w:pgNumType w:fmt="lowerRoman" w:start="1"/>
          <w:cols w:space="720"/>
          <w:docGrid w:linePitch="272"/>
        </w:sectPr>
      </w:pPr>
    </w:p>
    <w:p w:rsidR="00D42474" w:rsidRDefault="00BB3F3E" w:rsidP="001A5BF9">
      <w:pPr>
        <w:tabs>
          <w:tab w:val="left" w:pos="4395"/>
        </w:tabs>
        <w:jc w:val="center"/>
        <w:rPr>
          <w:sz w:val="24"/>
        </w:rPr>
      </w:pPr>
      <w:r w:rsidRPr="00667FB3">
        <w:rPr>
          <w:sz w:val="24"/>
        </w:rPr>
        <w:t>TABLE DES MATIÈRES</w:t>
      </w:r>
    </w:p>
    <w:p w:rsidR="00D42474" w:rsidRDefault="00D42474" w:rsidP="001A5BF9">
      <w:pPr>
        <w:tabs>
          <w:tab w:val="left" w:pos="4395"/>
        </w:tabs>
      </w:pPr>
    </w:p>
    <w:p w:rsidR="00D42474" w:rsidRDefault="00BB3F3E">
      <w:pPr>
        <w:pStyle w:val="TOC1"/>
        <w:rPr>
          <w:rFonts w:asciiTheme="minorHAnsi" w:eastAsiaTheme="minorEastAsia" w:hAnsiTheme="minorHAnsi" w:cstheme="minorBidi"/>
          <w:b w:val="0"/>
          <w:szCs w:val="22"/>
        </w:rPr>
      </w:pPr>
      <w:r w:rsidRPr="005C7CCE">
        <w:rPr>
          <w:noProof w:val="0"/>
        </w:rPr>
        <w:fldChar w:fldCharType="begin"/>
      </w:r>
      <w:r w:rsidRPr="005C7CCE">
        <w:rPr>
          <w:noProof w:val="0"/>
        </w:rPr>
        <w:instrText xml:space="preserve"> TOC \o "1-4" \h \z \u </w:instrText>
      </w:r>
      <w:r w:rsidRPr="005C7CCE">
        <w:rPr>
          <w:noProof w:val="0"/>
        </w:rPr>
        <w:fldChar w:fldCharType="separate"/>
      </w:r>
      <w:hyperlink w:anchor="_Toc395082456" w:history="1">
        <w:r w:rsidR="006E4689" w:rsidRPr="00620531">
          <w:rPr>
            <w:rStyle w:val="Hyperlink"/>
          </w:rPr>
          <w:t>I.</w:t>
        </w:r>
        <w:r w:rsidR="006E4689">
          <w:rPr>
            <w:rFonts w:asciiTheme="minorHAnsi" w:eastAsiaTheme="minorEastAsia" w:hAnsiTheme="minorHAnsi" w:cstheme="minorBidi"/>
            <w:b w:val="0"/>
            <w:szCs w:val="22"/>
          </w:rPr>
          <w:tab/>
        </w:r>
        <w:r w:rsidR="006E4689" w:rsidRPr="00620531">
          <w:rPr>
            <w:rStyle w:val="Hyperlink"/>
          </w:rPr>
          <w:t>INTRODUCTION</w:t>
        </w:r>
        <w:r w:rsidR="006E4689">
          <w:rPr>
            <w:webHidden/>
          </w:rPr>
          <w:tab/>
        </w:r>
        <w:r w:rsidR="006E4689">
          <w:rPr>
            <w:webHidden/>
          </w:rPr>
          <w:fldChar w:fldCharType="begin"/>
        </w:r>
        <w:r w:rsidR="006E4689">
          <w:rPr>
            <w:webHidden/>
          </w:rPr>
          <w:instrText xml:space="preserve"> PAGEREF _Toc395082456 \h </w:instrText>
        </w:r>
        <w:r w:rsidR="006E4689">
          <w:rPr>
            <w:webHidden/>
          </w:rPr>
        </w:r>
        <w:r w:rsidR="006E4689">
          <w:rPr>
            <w:webHidden/>
          </w:rPr>
          <w:fldChar w:fldCharType="separate"/>
        </w:r>
        <w:r w:rsidR="005B5604">
          <w:rPr>
            <w:webHidden/>
          </w:rPr>
          <w:t>1</w:t>
        </w:r>
        <w:r w:rsidR="006E4689">
          <w:rPr>
            <w:webHidden/>
          </w:rPr>
          <w:fldChar w:fldCharType="end"/>
        </w:r>
      </w:hyperlink>
    </w:p>
    <w:p w:rsidR="00D42474" w:rsidRDefault="005B5604">
      <w:pPr>
        <w:pStyle w:val="TOC1"/>
        <w:rPr>
          <w:rFonts w:asciiTheme="minorHAnsi" w:eastAsiaTheme="minorEastAsia" w:hAnsiTheme="minorHAnsi" w:cstheme="minorBidi"/>
          <w:b w:val="0"/>
          <w:szCs w:val="22"/>
        </w:rPr>
      </w:pPr>
      <w:hyperlink w:anchor="_Toc395082457" w:history="1">
        <w:r w:rsidR="006E4689" w:rsidRPr="00620531">
          <w:rPr>
            <w:rStyle w:val="Hyperlink"/>
          </w:rPr>
          <w:t>II.</w:t>
        </w:r>
        <w:r w:rsidR="006E4689">
          <w:rPr>
            <w:rFonts w:asciiTheme="minorHAnsi" w:eastAsiaTheme="minorEastAsia" w:hAnsiTheme="minorHAnsi" w:cstheme="minorBidi"/>
            <w:b w:val="0"/>
            <w:szCs w:val="22"/>
          </w:rPr>
          <w:tab/>
        </w:r>
        <w:r w:rsidR="006E4689" w:rsidRPr="00620531">
          <w:rPr>
            <w:rStyle w:val="Hyperlink"/>
          </w:rPr>
          <w:t>RÉSUMÉ DES RÉALISATIONS EN 2012</w:t>
        </w:r>
        <w:r w:rsidR="006E4689" w:rsidRPr="00620531">
          <w:rPr>
            <w:rStyle w:val="Hyperlink"/>
          </w:rPr>
          <w:noBreakHyphen/>
          <w:t>2013</w:t>
        </w:r>
        <w:r w:rsidR="006E4689">
          <w:rPr>
            <w:webHidden/>
          </w:rPr>
          <w:tab/>
        </w:r>
        <w:r w:rsidR="006E4689">
          <w:rPr>
            <w:webHidden/>
          </w:rPr>
          <w:fldChar w:fldCharType="begin"/>
        </w:r>
        <w:r w:rsidR="006E4689">
          <w:rPr>
            <w:webHidden/>
          </w:rPr>
          <w:instrText xml:space="preserve"> PAGEREF _Toc395082457 \h </w:instrText>
        </w:r>
        <w:r w:rsidR="006E4689">
          <w:rPr>
            <w:webHidden/>
          </w:rPr>
        </w:r>
        <w:r w:rsidR="006E4689">
          <w:rPr>
            <w:webHidden/>
          </w:rPr>
          <w:fldChar w:fldCharType="separate"/>
        </w:r>
        <w:r>
          <w:rPr>
            <w:webHidden/>
          </w:rPr>
          <w:t>2</w:t>
        </w:r>
        <w:r w:rsidR="006E4689">
          <w:rPr>
            <w:webHidden/>
          </w:rPr>
          <w:fldChar w:fldCharType="end"/>
        </w:r>
      </w:hyperlink>
    </w:p>
    <w:p w:rsidR="00D42474" w:rsidRDefault="005B5604">
      <w:pPr>
        <w:pStyle w:val="TOC1"/>
        <w:rPr>
          <w:rFonts w:asciiTheme="minorHAnsi" w:eastAsiaTheme="minorEastAsia" w:hAnsiTheme="minorHAnsi" w:cstheme="minorBidi"/>
          <w:b w:val="0"/>
          <w:szCs w:val="22"/>
        </w:rPr>
      </w:pPr>
      <w:hyperlink w:anchor="_Toc395082458" w:history="1">
        <w:r w:rsidR="006E4689" w:rsidRPr="00620531">
          <w:rPr>
            <w:rStyle w:val="Hyperlink"/>
          </w:rPr>
          <w:t>III.</w:t>
        </w:r>
        <w:r w:rsidR="006E4689">
          <w:rPr>
            <w:rFonts w:asciiTheme="minorHAnsi" w:eastAsiaTheme="minorEastAsia" w:hAnsiTheme="minorHAnsi" w:cstheme="minorBidi"/>
            <w:b w:val="0"/>
            <w:szCs w:val="22"/>
          </w:rPr>
          <w:tab/>
        </w:r>
        <w:r w:rsidR="006E4689" w:rsidRPr="00620531">
          <w:rPr>
            <w:rStyle w:val="Hyperlink"/>
          </w:rPr>
          <w:t>BUDGET CONSOLIDÉ ET DÉPENSES RÉELLES POUR 2012</w:t>
        </w:r>
        <w:r w:rsidR="006E4689" w:rsidRPr="00620531">
          <w:rPr>
            <w:rStyle w:val="Hyperlink"/>
          </w:rPr>
          <w:noBreakHyphen/>
          <w:t>2013</w:t>
        </w:r>
        <w:r w:rsidR="006E4689">
          <w:rPr>
            <w:webHidden/>
          </w:rPr>
          <w:tab/>
        </w:r>
        <w:r w:rsidR="006E4689">
          <w:rPr>
            <w:webHidden/>
          </w:rPr>
          <w:fldChar w:fldCharType="begin"/>
        </w:r>
        <w:r w:rsidR="006E4689">
          <w:rPr>
            <w:webHidden/>
          </w:rPr>
          <w:instrText xml:space="preserve"> PAGEREF _Toc395082458 \h </w:instrText>
        </w:r>
        <w:r w:rsidR="006E4689">
          <w:rPr>
            <w:webHidden/>
          </w:rPr>
        </w:r>
        <w:r w:rsidR="006E4689">
          <w:rPr>
            <w:webHidden/>
          </w:rPr>
          <w:fldChar w:fldCharType="separate"/>
        </w:r>
        <w:r>
          <w:rPr>
            <w:webHidden/>
          </w:rPr>
          <w:t>33</w:t>
        </w:r>
        <w:r w:rsidR="006E4689">
          <w:rPr>
            <w:webHidden/>
          </w:rPr>
          <w:fldChar w:fldCharType="end"/>
        </w:r>
      </w:hyperlink>
    </w:p>
    <w:p w:rsidR="00D42474" w:rsidRDefault="005B5604">
      <w:pPr>
        <w:pStyle w:val="TOC1"/>
        <w:rPr>
          <w:rFonts w:asciiTheme="minorHAnsi" w:eastAsiaTheme="minorEastAsia" w:hAnsiTheme="minorHAnsi" w:cstheme="minorBidi"/>
          <w:b w:val="0"/>
          <w:szCs w:val="22"/>
        </w:rPr>
      </w:pPr>
      <w:hyperlink w:anchor="_Toc395082459" w:history="1">
        <w:r w:rsidR="006E4689" w:rsidRPr="00620531">
          <w:rPr>
            <w:rStyle w:val="Hyperlink"/>
          </w:rPr>
          <w:t>IV.</w:t>
        </w:r>
        <w:r w:rsidR="006E4689">
          <w:rPr>
            <w:rFonts w:asciiTheme="minorHAnsi" w:eastAsiaTheme="minorEastAsia" w:hAnsiTheme="minorHAnsi" w:cstheme="minorBidi"/>
            <w:b w:val="0"/>
            <w:szCs w:val="22"/>
          </w:rPr>
          <w:tab/>
        </w:r>
        <w:r w:rsidR="006E4689" w:rsidRPr="00620531">
          <w:rPr>
            <w:rStyle w:val="Hyperlink"/>
          </w:rPr>
          <w:t>RAPPORT SUR L’ÉVOLUTION DES DÉPENSES POUR 2012</w:t>
        </w:r>
        <w:r w:rsidR="006E4689" w:rsidRPr="00620531">
          <w:rPr>
            <w:rStyle w:val="Hyperlink"/>
          </w:rPr>
          <w:noBreakHyphen/>
          <w:t>2013</w:t>
        </w:r>
        <w:r w:rsidR="006E4689">
          <w:rPr>
            <w:webHidden/>
          </w:rPr>
          <w:tab/>
        </w:r>
        <w:r w:rsidR="006E4689">
          <w:rPr>
            <w:webHidden/>
          </w:rPr>
          <w:fldChar w:fldCharType="begin"/>
        </w:r>
        <w:r w:rsidR="006E4689">
          <w:rPr>
            <w:webHidden/>
          </w:rPr>
          <w:instrText xml:space="preserve"> PAGEREF _Toc395082459 \h </w:instrText>
        </w:r>
        <w:r w:rsidR="006E4689">
          <w:rPr>
            <w:webHidden/>
          </w:rPr>
        </w:r>
        <w:r w:rsidR="006E4689">
          <w:rPr>
            <w:webHidden/>
          </w:rPr>
          <w:fldChar w:fldCharType="separate"/>
        </w:r>
        <w:r>
          <w:rPr>
            <w:webHidden/>
          </w:rPr>
          <w:t>36</w:t>
        </w:r>
        <w:r w:rsidR="006E4689">
          <w:rPr>
            <w:webHidden/>
          </w:rPr>
          <w:fldChar w:fldCharType="end"/>
        </w:r>
      </w:hyperlink>
    </w:p>
    <w:p w:rsidR="00D42474" w:rsidRDefault="005B5604">
      <w:pPr>
        <w:pStyle w:val="TOC1"/>
        <w:rPr>
          <w:rFonts w:asciiTheme="minorHAnsi" w:eastAsiaTheme="minorEastAsia" w:hAnsiTheme="minorHAnsi" w:cstheme="minorBidi"/>
          <w:b w:val="0"/>
          <w:szCs w:val="22"/>
        </w:rPr>
      </w:pPr>
      <w:hyperlink w:anchor="_Toc395082460" w:history="1">
        <w:r w:rsidR="006E4689" w:rsidRPr="00620531">
          <w:rPr>
            <w:rStyle w:val="Hyperlink"/>
            <w:rFonts w:eastAsia="Calibri"/>
          </w:rPr>
          <w:t>V.</w:t>
        </w:r>
        <w:r w:rsidR="006E4689">
          <w:rPr>
            <w:rFonts w:asciiTheme="minorHAnsi" w:eastAsiaTheme="minorEastAsia" w:hAnsiTheme="minorHAnsi" w:cstheme="minorBidi"/>
            <w:b w:val="0"/>
            <w:szCs w:val="22"/>
          </w:rPr>
          <w:tab/>
        </w:r>
        <w:r w:rsidR="006E4689" w:rsidRPr="00620531">
          <w:rPr>
            <w:rStyle w:val="Hyperlink"/>
          </w:rPr>
          <w:t>RAPPORT FINAL SUR LA MISE EN ŒUVRE DES MESURES DE MAÎTRISE DES COÛTS POUR L’EXERCICE BIENNAL 2012</w:t>
        </w:r>
        <w:r w:rsidR="006E4689" w:rsidRPr="00620531">
          <w:rPr>
            <w:rStyle w:val="Hyperlink"/>
          </w:rPr>
          <w:noBreakHyphen/>
          <w:t>2013</w:t>
        </w:r>
        <w:r w:rsidR="006E4689">
          <w:rPr>
            <w:webHidden/>
          </w:rPr>
          <w:tab/>
        </w:r>
        <w:r w:rsidR="006E4689">
          <w:rPr>
            <w:webHidden/>
          </w:rPr>
          <w:fldChar w:fldCharType="begin"/>
        </w:r>
        <w:r w:rsidR="006E4689">
          <w:rPr>
            <w:webHidden/>
          </w:rPr>
          <w:instrText xml:space="preserve"> PAGEREF _Toc395082460 \h </w:instrText>
        </w:r>
        <w:r w:rsidR="006E4689">
          <w:rPr>
            <w:webHidden/>
          </w:rPr>
        </w:r>
        <w:r w:rsidR="006E4689">
          <w:rPr>
            <w:webHidden/>
          </w:rPr>
          <w:fldChar w:fldCharType="separate"/>
        </w:r>
        <w:r>
          <w:rPr>
            <w:webHidden/>
          </w:rPr>
          <w:t>40</w:t>
        </w:r>
        <w:r w:rsidR="006E4689">
          <w:rPr>
            <w:webHidden/>
          </w:rPr>
          <w:fldChar w:fldCharType="end"/>
        </w:r>
      </w:hyperlink>
    </w:p>
    <w:p w:rsidR="00D42474" w:rsidRDefault="005B5604">
      <w:pPr>
        <w:pStyle w:val="TOC1"/>
        <w:rPr>
          <w:rFonts w:asciiTheme="minorHAnsi" w:eastAsiaTheme="minorEastAsia" w:hAnsiTheme="minorHAnsi" w:cstheme="minorBidi"/>
          <w:b w:val="0"/>
          <w:szCs w:val="22"/>
        </w:rPr>
      </w:pPr>
      <w:hyperlink w:anchor="_Toc395082461" w:history="1">
        <w:r w:rsidR="006E4689" w:rsidRPr="00620531">
          <w:rPr>
            <w:rStyle w:val="Hyperlink"/>
          </w:rPr>
          <w:t>VI.</w:t>
        </w:r>
        <w:r w:rsidR="006E4689">
          <w:rPr>
            <w:rFonts w:asciiTheme="minorHAnsi" w:eastAsiaTheme="minorEastAsia" w:hAnsiTheme="minorHAnsi" w:cstheme="minorBidi"/>
            <w:b w:val="0"/>
            <w:szCs w:val="22"/>
          </w:rPr>
          <w:tab/>
        </w:r>
        <w:r w:rsidR="006E4689" w:rsidRPr="00620531">
          <w:rPr>
            <w:rStyle w:val="Hyperlink"/>
          </w:rPr>
          <w:t>RÉALISATIONS DU PROGRAMME PAR OBJECTIF STRATÉGIQUE</w:t>
        </w:r>
        <w:r w:rsidR="006E4689">
          <w:rPr>
            <w:webHidden/>
          </w:rPr>
          <w:tab/>
        </w:r>
        <w:r w:rsidR="006E4689">
          <w:rPr>
            <w:webHidden/>
          </w:rPr>
          <w:fldChar w:fldCharType="begin"/>
        </w:r>
        <w:r w:rsidR="006E4689">
          <w:rPr>
            <w:webHidden/>
          </w:rPr>
          <w:instrText xml:space="preserve"> PAGEREF _Toc395082461 \h </w:instrText>
        </w:r>
        <w:r w:rsidR="006E4689">
          <w:rPr>
            <w:webHidden/>
          </w:rPr>
        </w:r>
        <w:r w:rsidR="006E4689">
          <w:rPr>
            <w:webHidden/>
          </w:rPr>
          <w:fldChar w:fldCharType="separate"/>
        </w:r>
        <w:r>
          <w:rPr>
            <w:webHidden/>
          </w:rPr>
          <w:t>48</w:t>
        </w:r>
        <w:r w:rsidR="006E4689">
          <w:rPr>
            <w:webHidden/>
          </w:rPr>
          <w:fldChar w:fldCharType="end"/>
        </w:r>
      </w:hyperlink>
    </w:p>
    <w:p w:rsidR="00D42474" w:rsidRDefault="005B5604">
      <w:pPr>
        <w:pStyle w:val="TOC2"/>
        <w:rPr>
          <w:rFonts w:asciiTheme="minorHAnsi" w:eastAsiaTheme="minorEastAsia" w:hAnsiTheme="minorHAnsi" w:cstheme="minorBidi"/>
          <w:b w:val="0"/>
          <w:noProof/>
          <w:sz w:val="22"/>
          <w:szCs w:val="22"/>
        </w:rPr>
      </w:pPr>
      <w:hyperlink w:anchor="_Toc395082462" w:history="1">
        <w:r w:rsidR="006E4689" w:rsidRPr="00620531">
          <w:rPr>
            <w:rStyle w:val="Hyperlink"/>
            <w:noProof/>
          </w:rPr>
          <w:t>OBJECTIF STRATÉGIQUE I</w:t>
        </w:r>
        <w:r w:rsidR="006E4689">
          <w:rPr>
            <w:rFonts w:asciiTheme="minorHAnsi" w:eastAsiaTheme="minorEastAsia" w:hAnsiTheme="minorHAnsi" w:cstheme="minorBidi"/>
            <w:b w:val="0"/>
            <w:noProof/>
            <w:sz w:val="22"/>
            <w:szCs w:val="22"/>
          </w:rPr>
          <w:tab/>
        </w:r>
        <w:r w:rsidR="006E4689" w:rsidRPr="00620531">
          <w:rPr>
            <w:rStyle w:val="Hyperlink"/>
            <w:noProof/>
          </w:rPr>
          <w:t xml:space="preserve"> Évolution équilibrée du cadre normatif international de la propriété intellectuelle</w:t>
        </w:r>
        <w:r w:rsidR="006E4689">
          <w:rPr>
            <w:noProof/>
            <w:webHidden/>
          </w:rPr>
          <w:tab/>
        </w:r>
        <w:r w:rsidR="006E4689">
          <w:rPr>
            <w:noProof/>
            <w:webHidden/>
          </w:rPr>
          <w:fldChar w:fldCharType="begin"/>
        </w:r>
        <w:r w:rsidR="006E4689">
          <w:rPr>
            <w:noProof/>
            <w:webHidden/>
          </w:rPr>
          <w:instrText xml:space="preserve"> PAGEREF _Toc395082462 \h </w:instrText>
        </w:r>
        <w:r w:rsidR="006E4689">
          <w:rPr>
            <w:noProof/>
            <w:webHidden/>
          </w:rPr>
        </w:r>
        <w:r w:rsidR="006E4689">
          <w:rPr>
            <w:noProof/>
            <w:webHidden/>
          </w:rPr>
          <w:fldChar w:fldCharType="separate"/>
        </w:r>
        <w:r>
          <w:rPr>
            <w:noProof/>
            <w:webHidden/>
          </w:rPr>
          <w:t>48</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63" w:history="1">
        <w:r w:rsidR="006E4689" w:rsidRPr="00620531">
          <w:rPr>
            <w:rStyle w:val="Hyperlink"/>
            <w:noProof/>
          </w:rPr>
          <w:t>Programme 1</w:t>
        </w:r>
        <w:r w:rsidR="006E4689">
          <w:rPr>
            <w:rFonts w:asciiTheme="minorHAnsi" w:eastAsiaTheme="minorEastAsia" w:hAnsiTheme="minorHAnsi" w:cstheme="minorBidi"/>
            <w:noProof/>
            <w:sz w:val="22"/>
            <w:szCs w:val="22"/>
          </w:rPr>
          <w:tab/>
        </w:r>
        <w:r w:rsidR="006E4689" w:rsidRPr="00620531">
          <w:rPr>
            <w:rStyle w:val="Hyperlink"/>
            <w:noProof/>
          </w:rPr>
          <w:t>Droit des brevets</w:t>
        </w:r>
        <w:r w:rsidR="006E4689">
          <w:rPr>
            <w:noProof/>
            <w:webHidden/>
          </w:rPr>
          <w:tab/>
        </w:r>
        <w:r w:rsidR="006E4689">
          <w:rPr>
            <w:noProof/>
            <w:webHidden/>
          </w:rPr>
          <w:fldChar w:fldCharType="begin"/>
        </w:r>
        <w:r w:rsidR="006E4689">
          <w:rPr>
            <w:noProof/>
            <w:webHidden/>
          </w:rPr>
          <w:instrText xml:space="preserve"> PAGEREF _Toc395082463 \h </w:instrText>
        </w:r>
        <w:r w:rsidR="006E4689">
          <w:rPr>
            <w:noProof/>
            <w:webHidden/>
          </w:rPr>
        </w:r>
        <w:r w:rsidR="006E4689">
          <w:rPr>
            <w:noProof/>
            <w:webHidden/>
          </w:rPr>
          <w:fldChar w:fldCharType="separate"/>
        </w:r>
        <w:r>
          <w:rPr>
            <w:noProof/>
            <w:webHidden/>
          </w:rPr>
          <w:t>50</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64" w:history="1">
        <w:r w:rsidR="006E4689" w:rsidRPr="00620531">
          <w:rPr>
            <w:rStyle w:val="Hyperlink"/>
            <w:noProof/>
          </w:rPr>
          <w:t xml:space="preserve">Programme 2 </w:t>
        </w:r>
        <w:r w:rsidR="006E4689">
          <w:rPr>
            <w:rFonts w:asciiTheme="minorHAnsi" w:eastAsiaTheme="minorEastAsia" w:hAnsiTheme="minorHAnsi" w:cstheme="minorBidi"/>
            <w:noProof/>
            <w:sz w:val="22"/>
            <w:szCs w:val="22"/>
          </w:rPr>
          <w:tab/>
        </w:r>
        <w:r w:rsidR="006E4689" w:rsidRPr="00620531">
          <w:rPr>
            <w:rStyle w:val="Hyperlink"/>
            <w:noProof/>
          </w:rPr>
          <w:t>Marques, dessins et modèles industriels et indications géographiques</w:t>
        </w:r>
        <w:r w:rsidR="006E4689">
          <w:rPr>
            <w:noProof/>
            <w:webHidden/>
          </w:rPr>
          <w:tab/>
        </w:r>
        <w:r w:rsidR="006E4689">
          <w:rPr>
            <w:noProof/>
            <w:webHidden/>
          </w:rPr>
          <w:fldChar w:fldCharType="begin"/>
        </w:r>
        <w:r w:rsidR="006E4689">
          <w:rPr>
            <w:noProof/>
            <w:webHidden/>
          </w:rPr>
          <w:instrText xml:space="preserve"> PAGEREF _Toc395082464 \h </w:instrText>
        </w:r>
        <w:r w:rsidR="006E4689">
          <w:rPr>
            <w:noProof/>
            <w:webHidden/>
          </w:rPr>
        </w:r>
        <w:r w:rsidR="006E4689">
          <w:rPr>
            <w:noProof/>
            <w:webHidden/>
          </w:rPr>
          <w:fldChar w:fldCharType="separate"/>
        </w:r>
        <w:r>
          <w:rPr>
            <w:noProof/>
            <w:webHidden/>
          </w:rPr>
          <w:t>55</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65" w:history="1">
        <w:r w:rsidR="006E4689" w:rsidRPr="00620531">
          <w:rPr>
            <w:rStyle w:val="Hyperlink"/>
            <w:noProof/>
          </w:rPr>
          <w:t>Programme 3</w:t>
        </w:r>
        <w:r w:rsidR="006E4689">
          <w:rPr>
            <w:rFonts w:asciiTheme="minorHAnsi" w:eastAsiaTheme="minorEastAsia" w:hAnsiTheme="minorHAnsi" w:cstheme="minorBidi"/>
            <w:noProof/>
            <w:sz w:val="22"/>
            <w:szCs w:val="22"/>
          </w:rPr>
          <w:tab/>
        </w:r>
        <w:r w:rsidR="006E4689" w:rsidRPr="00620531">
          <w:rPr>
            <w:rStyle w:val="Hyperlink"/>
            <w:noProof/>
          </w:rPr>
          <w:t>Droit d’auteur et droits connexes</w:t>
        </w:r>
        <w:r w:rsidR="006E4689">
          <w:rPr>
            <w:noProof/>
            <w:webHidden/>
          </w:rPr>
          <w:tab/>
        </w:r>
        <w:r w:rsidR="006E4689">
          <w:rPr>
            <w:noProof/>
            <w:webHidden/>
          </w:rPr>
          <w:fldChar w:fldCharType="begin"/>
        </w:r>
        <w:r w:rsidR="006E4689">
          <w:rPr>
            <w:noProof/>
            <w:webHidden/>
          </w:rPr>
          <w:instrText xml:space="preserve"> PAGEREF _Toc395082465 \h </w:instrText>
        </w:r>
        <w:r w:rsidR="006E4689">
          <w:rPr>
            <w:noProof/>
            <w:webHidden/>
          </w:rPr>
        </w:r>
        <w:r w:rsidR="006E4689">
          <w:rPr>
            <w:noProof/>
            <w:webHidden/>
          </w:rPr>
          <w:fldChar w:fldCharType="separate"/>
        </w:r>
        <w:r>
          <w:rPr>
            <w:noProof/>
            <w:webHidden/>
          </w:rPr>
          <w:t>60</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66" w:history="1">
        <w:r w:rsidR="006E4689" w:rsidRPr="00620531">
          <w:rPr>
            <w:rStyle w:val="Hyperlink"/>
            <w:noProof/>
          </w:rPr>
          <w:t xml:space="preserve">Programme 4 </w:t>
        </w:r>
        <w:r w:rsidR="006E4689">
          <w:rPr>
            <w:rFonts w:asciiTheme="minorHAnsi" w:eastAsiaTheme="minorEastAsia" w:hAnsiTheme="minorHAnsi" w:cstheme="minorBidi"/>
            <w:noProof/>
            <w:sz w:val="22"/>
            <w:szCs w:val="22"/>
          </w:rPr>
          <w:tab/>
        </w:r>
        <w:r w:rsidR="006E4689" w:rsidRPr="00620531">
          <w:rPr>
            <w:rStyle w:val="Hyperlink"/>
            <w:noProof/>
          </w:rPr>
          <w:t>Savoirs traditionnels, expressions culturelles traditionnelles et ressources génétiques</w:t>
        </w:r>
        <w:r w:rsidR="006E4689">
          <w:rPr>
            <w:noProof/>
            <w:webHidden/>
          </w:rPr>
          <w:tab/>
        </w:r>
        <w:r w:rsidR="006E4689">
          <w:rPr>
            <w:noProof/>
            <w:webHidden/>
          </w:rPr>
          <w:fldChar w:fldCharType="begin"/>
        </w:r>
        <w:r w:rsidR="006E4689">
          <w:rPr>
            <w:noProof/>
            <w:webHidden/>
          </w:rPr>
          <w:instrText xml:space="preserve"> PAGEREF _Toc395082466 \h </w:instrText>
        </w:r>
        <w:r w:rsidR="006E4689">
          <w:rPr>
            <w:noProof/>
            <w:webHidden/>
          </w:rPr>
        </w:r>
        <w:r w:rsidR="006E4689">
          <w:rPr>
            <w:noProof/>
            <w:webHidden/>
          </w:rPr>
          <w:fldChar w:fldCharType="separate"/>
        </w:r>
        <w:r>
          <w:rPr>
            <w:noProof/>
            <w:webHidden/>
          </w:rPr>
          <w:t>68</w:t>
        </w:r>
        <w:r w:rsidR="006E4689">
          <w:rPr>
            <w:noProof/>
            <w:webHidden/>
          </w:rPr>
          <w:fldChar w:fldCharType="end"/>
        </w:r>
      </w:hyperlink>
    </w:p>
    <w:p w:rsidR="00D42474" w:rsidRDefault="005B5604">
      <w:pPr>
        <w:pStyle w:val="TOC2"/>
        <w:rPr>
          <w:rFonts w:asciiTheme="minorHAnsi" w:eastAsiaTheme="minorEastAsia" w:hAnsiTheme="minorHAnsi" w:cstheme="minorBidi"/>
          <w:b w:val="0"/>
          <w:noProof/>
          <w:sz w:val="22"/>
          <w:szCs w:val="22"/>
        </w:rPr>
      </w:pPr>
      <w:hyperlink w:anchor="_Toc395082467" w:history="1">
        <w:r w:rsidR="006E4689" w:rsidRPr="00620531">
          <w:rPr>
            <w:rStyle w:val="Hyperlink"/>
            <w:noProof/>
          </w:rPr>
          <w:t>OBJECTIF STRATÉGIQUE II</w:t>
        </w:r>
        <w:r w:rsidR="006E4689">
          <w:rPr>
            <w:rFonts w:asciiTheme="minorHAnsi" w:eastAsiaTheme="minorEastAsia" w:hAnsiTheme="minorHAnsi" w:cstheme="minorBidi"/>
            <w:b w:val="0"/>
            <w:noProof/>
            <w:sz w:val="22"/>
            <w:szCs w:val="22"/>
          </w:rPr>
          <w:tab/>
        </w:r>
        <w:r w:rsidR="006E4689" w:rsidRPr="00620531">
          <w:rPr>
            <w:rStyle w:val="Hyperlink"/>
            <w:noProof/>
          </w:rPr>
          <w:t xml:space="preserve"> Prestation de services mondiaux de propriété intellectuelle de premier ordre</w:t>
        </w:r>
        <w:r w:rsidR="006E4689">
          <w:rPr>
            <w:noProof/>
            <w:webHidden/>
          </w:rPr>
          <w:tab/>
        </w:r>
        <w:r w:rsidR="006E4689">
          <w:rPr>
            <w:noProof/>
            <w:webHidden/>
          </w:rPr>
          <w:fldChar w:fldCharType="begin"/>
        </w:r>
        <w:r w:rsidR="006E4689">
          <w:rPr>
            <w:noProof/>
            <w:webHidden/>
          </w:rPr>
          <w:instrText xml:space="preserve"> PAGEREF _Toc395082467 \h </w:instrText>
        </w:r>
        <w:r w:rsidR="006E4689">
          <w:rPr>
            <w:noProof/>
            <w:webHidden/>
          </w:rPr>
        </w:r>
        <w:r w:rsidR="006E4689">
          <w:rPr>
            <w:noProof/>
            <w:webHidden/>
          </w:rPr>
          <w:fldChar w:fldCharType="separate"/>
        </w:r>
        <w:r>
          <w:rPr>
            <w:noProof/>
            <w:webHidden/>
          </w:rPr>
          <w:t>73</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68" w:history="1">
        <w:r w:rsidR="006E4689" w:rsidRPr="00620531">
          <w:rPr>
            <w:rStyle w:val="Hyperlink"/>
            <w:noProof/>
          </w:rPr>
          <w:t>Programme 5</w:t>
        </w:r>
        <w:r w:rsidR="006E4689">
          <w:rPr>
            <w:rFonts w:asciiTheme="minorHAnsi" w:eastAsiaTheme="minorEastAsia" w:hAnsiTheme="minorHAnsi" w:cstheme="minorBidi"/>
            <w:noProof/>
            <w:sz w:val="22"/>
            <w:szCs w:val="22"/>
          </w:rPr>
          <w:tab/>
        </w:r>
        <w:r w:rsidR="006E4689" w:rsidRPr="00620531">
          <w:rPr>
            <w:rStyle w:val="Hyperlink"/>
            <w:noProof/>
          </w:rPr>
          <w:t>Système du PCT</w:t>
        </w:r>
        <w:r w:rsidR="006E4689">
          <w:rPr>
            <w:noProof/>
            <w:webHidden/>
          </w:rPr>
          <w:tab/>
        </w:r>
        <w:r w:rsidR="006E4689">
          <w:rPr>
            <w:noProof/>
            <w:webHidden/>
          </w:rPr>
          <w:fldChar w:fldCharType="begin"/>
        </w:r>
        <w:r w:rsidR="006E4689">
          <w:rPr>
            <w:noProof/>
            <w:webHidden/>
          </w:rPr>
          <w:instrText xml:space="preserve"> PAGEREF _Toc395082468 \h </w:instrText>
        </w:r>
        <w:r w:rsidR="006E4689">
          <w:rPr>
            <w:noProof/>
            <w:webHidden/>
          </w:rPr>
        </w:r>
        <w:r w:rsidR="006E4689">
          <w:rPr>
            <w:noProof/>
            <w:webHidden/>
          </w:rPr>
          <w:fldChar w:fldCharType="separate"/>
        </w:r>
        <w:r>
          <w:rPr>
            <w:noProof/>
            <w:webHidden/>
          </w:rPr>
          <w:t>76</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69" w:history="1">
        <w:r w:rsidR="006E4689" w:rsidRPr="00620531">
          <w:rPr>
            <w:rStyle w:val="Hyperlink"/>
            <w:noProof/>
          </w:rPr>
          <w:t>Programme 6</w:t>
        </w:r>
        <w:r w:rsidR="006E4689">
          <w:rPr>
            <w:rFonts w:asciiTheme="minorHAnsi" w:eastAsiaTheme="minorEastAsia" w:hAnsiTheme="minorHAnsi" w:cstheme="minorBidi"/>
            <w:noProof/>
            <w:sz w:val="22"/>
            <w:szCs w:val="22"/>
          </w:rPr>
          <w:tab/>
        </w:r>
        <w:r w:rsidR="006E4689" w:rsidRPr="00620531">
          <w:rPr>
            <w:rStyle w:val="Hyperlink"/>
            <w:noProof/>
          </w:rPr>
          <w:t>Systèmes de Madrid et de Lisbonne</w:t>
        </w:r>
        <w:r w:rsidR="006E4689">
          <w:rPr>
            <w:noProof/>
            <w:webHidden/>
          </w:rPr>
          <w:tab/>
        </w:r>
        <w:r w:rsidR="006E4689">
          <w:rPr>
            <w:noProof/>
            <w:webHidden/>
          </w:rPr>
          <w:fldChar w:fldCharType="begin"/>
        </w:r>
        <w:r w:rsidR="006E4689">
          <w:rPr>
            <w:noProof/>
            <w:webHidden/>
          </w:rPr>
          <w:instrText xml:space="preserve"> PAGEREF _Toc395082469 \h </w:instrText>
        </w:r>
        <w:r w:rsidR="006E4689">
          <w:rPr>
            <w:noProof/>
            <w:webHidden/>
          </w:rPr>
        </w:r>
        <w:r w:rsidR="006E4689">
          <w:rPr>
            <w:noProof/>
            <w:webHidden/>
          </w:rPr>
          <w:fldChar w:fldCharType="separate"/>
        </w:r>
        <w:r>
          <w:rPr>
            <w:noProof/>
            <w:webHidden/>
          </w:rPr>
          <w:t>91</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70" w:history="1">
        <w:r w:rsidR="006E4689" w:rsidRPr="00620531">
          <w:rPr>
            <w:rStyle w:val="Hyperlink"/>
            <w:noProof/>
          </w:rPr>
          <w:t>Programme 31</w:t>
        </w:r>
        <w:r w:rsidR="006E4689">
          <w:rPr>
            <w:rFonts w:asciiTheme="minorHAnsi" w:eastAsiaTheme="minorEastAsia" w:hAnsiTheme="minorHAnsi" w:cstheme="minorBidi"/>
            <w:noProof/>
            <w:sz w:val="22"/>
            <w:szCs w:val="22"/>
          </w:rPr>
          <w:tab/>
        </w:r>
        <w:r w:rsidR="006E4689" w:rsidRPr="00620531">
          <w:rPr>
            <w:rStyle w:val="Hyperlink"/>
            <w:noProof/>
          </w:rPr>
          <w:t>Système de la haye</w:t>
        </w:r>
        <w:r w:rsidR="006E4689">
          <w:rPr>
            <w:noProof/>
            <w:webHidden/>
          </w:rPr>
          <w:tab/>
        </w:r>
        <w:r w:rsidR="006E4689">
          <w:rPr>
            <w:noProof/>
            <w:webHidden/>
          </w:rPr>
          <w:fldChar w:fldCharType="begin"/>
        </w:r>
        <w:r w:rsidR="006E4689">
          <w:rPr>
            <w:noProof/>
            <w:webHidden/>
          </w:rPr>
          <w:instrText xml:space="preserve"> PAGEREF _Toc395082470 \h </w:instrText>
        </w:r>
        <w:r w:rsidR="006E4689">
          <w:rPr>
            <w:noProof/>
            <w:webHidden/>
          </w:rPr>
        </w:r>
        <w:r w:rsidR="006E4689">
          <w:rPr>
            <w:noProof/>
            <w:webHidden/>
          </w:rPr>
          <w:fldChar w:fldCharType="separate"/>
        </w:r>
        <w:r>
          <w:rPr>
            <w:noProof/>
            <w:webHidden/>
          </w:rPr>
          <w:t>98</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71" w:history="1">
        <w:r w:rsidR="006E4689" w:rsidRPr="00620531">
          <w:rPr>
            <w:rStyle w:val="Hyperlink"/>
            <w:noProof/>
          </w:rPr>
          <w:t>Programme 7</w:t>
        </w:r>
        <w:r w:rsidR="006E4689">
          <w:rPr>
            <w:rFonts w:asciiTheme="minorHAnsi" w:eastAsiaTheme="minorEastAsia" w:hAnsiTheme="minorHAnsi" w:cstheme="minorBidi"/>
            <w:noProof/>
            <w:sz w:val="22"/>
            <w:szCs w:val="22"/>
          </w:rPr>
          <w:tab/>
        </w:r>
        <w:r w:rsidR="006E4689" w:rsidRPr="00620531">
          <w:rPr>
            <w:rStyle w:val="Hyperlink"/>
            <w:noProof/>
          </w:rPr>
          <w:t>Arbitrage, médiation et noms de domaine</w:t>
        </w:r>
        <w:r w:rsidR="006E4689">
          <w:rPr>
            <w:noProof/>
            <w:webHidden/>
          </w:rPr>
          <w:tab/>
        </w:r>
        <w:r w:rsidR="006E4689">
          <w:rPr>
            <w:noProof/>
            <w:webHidden/>
          </w:rPr>
          <w:fldChar w:fldCharType="begin"/>
        </w:r>
        <w:r w:rsidR="006E4689">
          <w:rPr>
            <w:noProof/>
            <w:webHidden/>
          </w:rPr>
          <w:instrText xml:space="preserve"> PAGEREF _Toc395082471 \h </w:instrText>
        </w:r>
        <w:r w:rsidR="006E4689">
          <w:rPr>
            <w:noProof/>
            <w:webHidden/>
          </w:rPr>
        </w:r>
        <w:r w:rsidR="006E4689">
          <w:rPr>
            <w:noProof/>
            <w:webHidden/>
          </w:rPr>
          <w:fldChar w:fldCharType="separate"/>
        </w:r>
        <w:r>
          <w:rPr>
            <w:noProof/>
            <w:webHidden/>
          </w:rPr>
          <w:t>103</w:t>
        </w:r>
        <w:r w:rsidR="006E4689">
          <w:rPr>
            <w:noProof/>
            <w:webHidden/>
          </w:rPr>
          <w:fldChar w:fldCharType="end"/>
        </w:r>
      </w:hyperlink>
    </w:p>
    <w:p w:rsidR="00D42474" w:rsidRDefault="005B5604">
      <w:pPr>
        <w:pStyle w:val="TOC2"/>
        <w:rPr>
          <w:rFonts w:asciiTheme="minorHAnsi" w:eastAsiaTheme="minorEastAsia" w:hAnsiTheme="minorHAnsi" w:cstheme="minorBidi"/>
          <w:b w:val="0"/>
          <w:noProof/>
          <w:sz w:val="22"/>
          <w:szCs w:val="22"/>
        </w:rPr>
      </w:pPr>
      <w:hyperlink w:anchor="_Toc395082472" w:history="1">
        <w:r w:rsidR="006E4689" w:rsidRPr="00620531">
          <w:rPr>
            <w:rStyle w:val="Hyperlink"/>
            <w:noProof/>
          </w:rPr>
          <w:t>OBJECTIF STRATÉGIQUE III</w:t>
        </w:r>
        <w:r w:rsidR="006E4689">
          <w:rPr>
            <w:rFonts w:asciiTheme="minorHAnsi" w:eastAsiaTheme="minorEastAsia" w:hAnsiTheme="minorHAnsi" w:cstheme="minorBidi"/>
            <w:b w:val="0"/>
            <w:noProof/>
            <w:sz w:val="22"/>
            <w:szCs w:val="22"/>
          </w:rPr>
          <w:tab/>
        </w:r>
        <w:r w:rsidR="006E4689" w:rsidRPr="00620531">
          <w:rPr>
            <w:rStyle w:val="Hyperlink"/>
            <w:noProof/>
          </w:rPr>
          <w:t xml:space="preserve"> Favoriser l’utilisation de la propriété intellectuelle au service du développement</w:t>
        </w:r>
        <w:r w:rsidR="006E4689">
          <w:rPr>
            <w:noProof/>
            <w:webHidden/>
          </w:rPr>
          <w:tab/>
        </w:r>
        <w:r w:rsidR="006E4689">
          <w:rPr>
            <w:noProof/>
            <w:webHidden/>
          </w:rPr>
          <w:fldChar w:fldCharType="begin"/>
        </w:r>
        <w:r w:rsidR="006E4689">
          <w:rPr>
            <w:noProof/>
            <w:webHidden/>
          </w:rPr>
          <w:instrText xml:space="preserve"> PAGEREF _Toc395082472 \h </w:instrText>
        </w:r>
        <w:r w:rsidR="006E4689">
          <w:rPr>
            <w:noProof/>
            <w:webHidden/>
          </w:rPr>
        </w:r>
        <w:r w:rsidR="006E4689">
          <w:rPr>
            <w:noProof/>
            <w:webHidden/>
          </w:rPr>
          <w:fldChar w:fldCharType="separate"/>
        </w:r>
        <w:r>
          <w:rPr>
            <w:noProof/>
            <w:webHidden/>
          </w:rPr>
          <w:t>108</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73" w:history="1">
        <w:r w:rsidR="006E4689" w:rsidRPr="00620531">
          <w:rPr>
            <w:rStyle w:val="Hyperlink"/>
            <w:noProof/>
          </w:rPr>
          <w:t>Programme 8</w:t>
        </w:r>
        <w:r w:rsidR="006E4689">
          <w:rPr>
            <w:rFonts w:asciiTheme="minorHAnsi" w:eastAsiaTheme="minorEastAsia" w:hAnsiTheme="minorHAnsi" w:cstheme="minorBidi"/>
            <w:noProof/>
            <w:sz w:val="22"/>
            <w:szCs w:val="22"/>
          </w:rPr>
          <w:tab/>
        </w:r>
        <w:r w:rsidR="006E4689" w:rsidRPr="00620531">
          <w:rPr>
            <w:rStyle w:val="Hyperlink"/>
            <w:noProof/>
          </w:rPr>
          <w:t>Coordination du Plan d’action pour le développement</w:t>
        </w:r>
        <w:r w:rsidR="006E4689">
          <w:rPr>
            <w:noProof/>
            <w:webHidden/>
          </w:rPr>
          <w:tab/>
        </w:r>
        <w:r w:rsidR="006E4689">
          <w:rPr>
            <w:noProof/>
            <w:webHidden/>
          </w:rPr>
          <w:fldChar w:fldCharType="begin"/>
        </w:r>
        <w:r w:rsidR="006E4689">
          <w:rPr>
            <w:noProof/>
            <w:webHidden/>
          </w:rPr>
          <w:instrText xml:space="preserve"> PAGEREF _Toc395082473 \h </w:instrText>
        </w:r>
        <w:r w:rsidR="006E4689">
          <w:rPr>
            <w:noProof/>
            <w:webHidden/>
          </w:rPr>
        </w:r>
        <w:r w:rsidR="006E4689">
          <w:rPr>
            <w:noProof/>
            <w:webHidden/>
          </w:rPr>
          <w:fldChar w:fldCharType="separate"/>
        </w:r>
        <w:r>
          <w:rPr>
            <w:noProof/>
            <w:webHidden/>
          </w:rPr>
          <w:t>112</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74" w:history="1">
        <w:r w:rsidR="006E4689" w:rsidRPr="00620531">
          <w:rPr>
            <w:rStyle w:val="Hyperlink"/>
            <w:noProof/>
          </w:rPr>
          <w:t>Programme 9</w:t>
        </w:r>
        <w:r w:rsidR="006E4689">
          <w:rPr>
            <w:rFonts w:asciiTheme="minorHAnsi" w:eastAsiaTheme="minorEastAsia" w:hAnsiTheme="minorHAnsi" w:cstheme="minorBidi"/>
            <w:noProof/>
            <w:sz w:val="22"/>
            <w:szCs w:val="22"/>
          </w:rPr>
          <w:tab/>
        </w:r>
        <w:r w:rsidR="006E4689" w:rsidRPr="00620531">
          <w:rPr>
            <w:rStyle w:val="Hyperlink"/>
            <w:noProof/>
          </w:rPr>
          <w:t>Afrique, pays arabes, Asie et Pacifique, pays d’Amérique latine et des Caraïbes, pays les moins avancés</w:t>
        </w:r>
        <w:r w:rsidR="006E4689">
          <w:rPr>
            <w:noProof/>
            <w:webHidden/>
          </w:rPr>
          <w:tab/>
        </w:r>
        <w:r w:rsidR="006E4689">
          <w:rPr>
            <w:noProof/>
            <w:webHidden/>
          </w:rPr>
          <w:fldChar w:fldCharType="begin"/>
        </w:r>
        <w:r w:rsidR="006E4689">
          <w:rPr>
            <w:noProof/>
            <w:webHidden/>
          </w:rPr>
          <w:instrText xml:space="preserve"> PAGEREF _Toc395082474 \h </w:instrText>
        </w:r>
        <w:r w:rsidR="006E4689">
          <w:rPr>
            <w:noProof/>
            <w:webHidden/>
          </w:rPr>
        </w:r>
        <w:r w:rsidR="006E4689">
          <w:rPr>
            <w:noProof/>
            <w:webHidden/>
          </w:rPr>
          <w:fldChar w:fldCharType="separate"/>
        </w:r>
        <w:r>
          <w:rPr>
            <w:noProof/>
            <w:webHidden/>
          </w:rPr>
          <w:t>117</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75" w:history="1">
        <w:r w:rsidR="006E4689" w:rsidRPr="00620531">
          <w:rPr>
            <w:rStyle w:val="Hyperlink"/>
            <w:noProof/>
          </w:rPr>
          <w:t>Programme 10</w:t>
        </w:r>
        <w:r w:rsidR="006E4689">
          <w:rPr>
            <w:rFonts w:asciiTheme="minorHAnsi" w:eastAsiaTheme="minorEastAsia" w:hAnsiTheme="minorHAnsi" w:cstheme="minorBidi"/>
            <w:noProof/>
            <w:sz w:val="22"/>
            <w:szCs w:val="22"/>
          </w:rPr>
          <w:tab/>
        </w:r>
        <w:r w:rsidR="006E4689" w:rsidRPr="00620531">
          <w:rPr>
            <w:rStyle w:val="Hyperlink"/>
            <w:noProof/>
          </w:rPr>
          <w:t>Coopération avec certains pays d’Europe et d’Asie</w:t>
        </w:r>
        <w:r w:rsidR="006E4689">
          <w:rPr>
            <w:noProof/>
            <w:webHidden/>
          </w:rPr>
          <w:tab/>
        </w:r>
        <w:r w:rsidR="006E4689">
          <w:rPr>
            <w:noProof/>
            <w:webHidden/>
          </w:rPr>
          <w:fldChar w:fldCharType="begin"/>
        </w:r>
        <w:r w:rsidR="006E4689">
          <w:rPr>
            <w:noProof/>
            <w:webHidden/>
          </w:rPr>
          <w:instrText xml:space="preserve"> PAGEREF _Toc395082475 \h </w:instrText>
        </w:r>
        <w:r w:rsidR="006E4689">
          <w:rPr>
            <w:noProof/>
            <w:webHidden/>
          </w:rPr>
        </w:r>
        <w:r w:rsidR="006E4689">
          <w:rPr>
            <w:noProof/>
            <w:webHidden/>
          </w:rPr>
          <w:fldChar w:fldCharType="separate"/>
        </w:r>
        <w:r>
          <w:rPr>
            <w:noProof/>
            <w:webHidden/>
          </w:rPr>
          <w:t>136</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76" w:history="1">
        <w:r w:rsidR="006E4689" w:rsidRPr="00620531">
          <w:rPr>
            <w:rStyle w:val="Hyperlink"/>
            <w:noProof/>
          </w:rPr>
          <w:t>Programme 11</w:t>
        </w:r>
        <w:r w:rsidR="006E4689">
          <w:rPr>
            <w:rFonts w:asciiTheme="minorHAnsi" w:eastAsiaTheme="minorEastAsia" w:hAnsiTheme="minorHAnsi" w:cstheme="minorBidi"/>
            <w:noProof/>
            <w:sz w:val="22"/>
            <w:szCs w:val="22"/>
          </w:rPr>
          <w:tab/>
        </w:r>
        <w:r w:rsidR="006E4689" w:rsidRPr="00620531">
          <w:rPr>
            <w:rStyle w:val="Hyperlink"/>
            <w:noProof/>
          </w:rPr>
          <w:t>Académie de l’OMPI</w:t>
        </w:r>
        <w:r w:rsidR="006E4689">
          <w:rPr>
            <w:noProof/>
            <w:webHidden/>
          </w:rPr>
          <w:tab/>
        </w:r>
        <w:r w:rsidR="006E4689">
          <w:rPr>
            <w:noProof/>
            <w:webHidden/>
          </w:rPr>
          <w:fldChar w:fldCharType="begin"/>
        </w:r>
        <w:r w:rsidR="006E4689">
          <w:rPr>
            <w:noProof/>
            <w:webHidden/>
          </w:rPr>
          <w:instrText xml:space="preserve"> PAGEREF _Toc395082476 \h </w:instrText>
        </w:r>
        <w:r w:rsidR="006E4689">
          <w:rPr>
            <w:noProof/>
            <w:webHidden/>
          </w:rPr>
        </w:r>
        <w:r w:rsidR="006E4689">
          <w:rPr>
            <w:noProof/>
            <w:webHidden/>
          </w:rPr>
          <w:fldChar w:fldCharType="separate"/>
        </w:r>
        <w:r>
          <w:rPr>
            <w:noProof/>
            <w:webHidden/>
          </w:rPr>
          <w:t>142</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77" w:history="1">
        <w:r w:rsidR="006E4689" w:rsidRPr="00620531">
          <w:rPr>
            <w:rStyle w:val="Hyperlink"/>
            <w:noProof/>
          </w:rPr>
          <w:t>Programme 30</w:t>
        </w:r>
        <w:r w:rsidR="006E4689">
          <w:rPr>
            <w:rFonts w:asciiTheme="minorHAnsi" w:eastAsiaTheme="minorEastAsia" w:hAnsiTheme="minorHAnsi" w:cstheme="minorBidi"/>
            <w:noProof/>
            <w:sz w:val="22"/>
            <w:szCs w:val="22"/>
          </w:rPr>
          <w:tab/>
        </w:r>
        <w:r w:rsidR="006E4689" w:rsidRPr="00620531">
          <w:rPr>
            <w:rStyle w:val="Hyperlink"/>
            <w:noProof/>
          </w:rPr>
          <w:t>Petites et moyennes entreprises (PME) et innovation</w:t>
        </w:r>
        <w:r w:rsidR="006E4689">
          <w:rPr>
            <w:noProof/>
            <w:webHidden/>
          </w:rPr>
          <w:tab/>
        </w:r>
        <w:r w:rsidR="006E4689">
          <w:rPr>
            <w:noProof/>
            <w:webHidden/>
          </w:rPr>
          <w:fldChar w:fldCharType="begin"/>
        </w:r>
        <w:r w:rsidR="006E4689">
          <w:rPr>
            <w:noProof/>
            <w:webHidden/>
          </w:rPr>
          <w:instrText xml:space="preserve"> PAGEREF _Toc395082477 \h </w:instrText>
        </w:r>
        <w:r w:rsidR="006E4689">
          <w:rPr>
            <w:noProof/>
            <w:webHidden/>
          </w:rPr>
        </w:r>
        <w:r w:rsidR="006E4689">
          <w:rPr>
            <w:noProof/>
            <w:webHidden/>
          </w:rPr>
          <w:fldChar w:fldCharType="separate"/>
        </w:r>
        <w:r>
          <w:rPr>
            <w:noProof/>
            <w:webHidden/>
          </w:rPr>
          <w:t>150</w:t>
        </w:r>
        <w:r w:rsidR="006E4689">
          <w:rPr>
            <w:noProof/>
            <w:webHidden/>
          </w:rPr>
          <w:fldChar w:fldCharType="end"/>
        </w:r>
      </w:hyperlink>
    </w:p>
    <w:p w:rsidR="00D42474" w:rsidRDefault="005B5604">
      <w:pPr>
        <w:pStyle w:val="TOC2"/>
        <w:rPr>
          <w:rFonts w:asciiTheme="minorHAnsi" w:eastAsiaTheme="minorEastAsia" w:hAnsiTheme="minorHAnsi" w:cstheme="minorBidi"/>
          <w:b w:val="0"/>
          <w:noProof/>
          <w:sz w:val="22"/>
          <w:szCs w:val="22"/>
        </w:rPr>
      </w:pPr>
      <w:hyperlink w:anchor="_Toc395082478" w:history="1">
        <w:r w:rsidR="006E4689" w:rsidRPr="00620531">
          <w:rPr>
            <w:rStyle w:val="Hyperlink"/>
            <w:noProof/>
          </w:rPr>
          <w:t>OBJECTIF STRATÉGIQUE IV</w:t>
        </w:r>
        <w:r w:rsidR="006E4689">
          <w:rPr>
            <w:rFonts w:asciiTheme="minorHAnsi" w:eastAsiaTheme="minorEastAsia" w:hAnsiTheme="minorHAnsi" w:cstheme="minorBidi"/>
            <w:b w:val="0"/>
            <w:noProof/>
            <w:sz w:val="22"/>
            <w:szCs w:val="22"/>
          </w:rPr>
          <w:tab/>
        </w:r>
        <w:r w:rsidR="006E4689" w:rsidRPr="00620531">
          <w:rPr>
            <w:rStyle w:val="Hyperlink"/>
            <w:noProof/>
          </w:rPr>
          <w:t xml:space="preserve"> Coordination et développement de l’infrastructure mondiale en matière de propriété intellectuelle</w:t>
        </w:r>
        <w:r w:rsidR="006E4689">
          <w:rPr>
            <w:noProof/>
            <w:webHidden/>
          </w:rPr>
          <w:tab/>
        </w:r>
        <w:r w:rsidR="006E4689">
          <w:rPr>
            <w:noProof/>
            <w:webHidden/>
          </w:rPr>
          <w:fldChar w:fldCharType="begin"/>
        </w:r>
        <w:r w:rsidR="006E4689">
          <w:rPr>
            <w:noProof/>
            <w:webHidden/>
          </w:rPr>
          <w:instrText xml:space="preserve"> PAGEREF _Toc395082478 \h </w:instrText>
        </w:r>
        <w:r w:rsidR="006E4689">
          <w:rPr>
            <w:noProof/>
            <w:webHidden/>
          </w:rPr>
        </w:r>
        <w:r w:rsidR="006E4689">
          <w:rPr>
            <w:noProof/>
            <w:webHidden/>
          </w:rPr>
          <w:fldChar w:fldCharType="separate"/>
        </w:r>
        <w:r>
          <w:rPr>
            <w:noProof/>
            <w:webHidden/>
          </w:rPr>
          <w:t>156</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79" w:history="1">
        <w:r w:rsidR="006E4689" w:rsidRPr="00620531">
          <w:rPr>
            <w:rStyle w:val="Hyperlink"/>
            <w:noProof/>
          </w:rPr>
          <w:t>Programme 12</w:t>
        </w:r>
        <w:r w:rsidR="006E4689">
          <w:rPr>
            <w:rFonts w:asciiTheme="minorHAnsi" w:eastAsiaTheme="minorEastAsia" w:hAnsiTheme="minorHAnsi" w:cstheme="minorBidi"/>
            <w:noProof/>
            <w:sz w:val="22"/>
            <w:szCs w:val="22"/>
          </w:rPr>
          <w:tab/>
        </w:r>
        <w:r w:rsidR="006E4689" w:rsidRPr="00620531">
          <w:rPr>
            <w:rStyle w:val="Hyperlink"/>
            <w:noProof/>
          </w:rPr>
          <w:t>Classifications internationales et normes</w:t>
        </w:r>
        <w:r w:rsidR="006E4689">
          <w:rPr>
            <w:noProof/>
            <w:webHidden/>
          </w:rPr>
          <w:tab/>
        </w:r>
        <w:r w:rsidR="006E4689">
          <w:rPr>
            <w:noProof/>
            <w:webHidden/>
          </w:rPr>
          <w:fldChar w:fldCharType="begin"/>
        </w:r>
        <w:r w:rsidR="006E4689">
          <w:rPr>
            <w:noProof/>
            <w:webHidden/>
          </w:rPr>
          <w:instrText xml:space="preserve"> PAGEREF _Toc395082479 \h </w:instrText>
        </w:r>
        <w:r w:rsidR="006E4689">
          <w:rPr>
            <w:noProof/>
            <w:webHidden/>
          </w:rPr>
        </w:r>
        <w:r w:rsidR="006E4689">
          <w:rPr>
            <w:noProof/>
            <w:webHidden/>
          </w:rPr>
          <w:fldChar w:fldCharType="separate"/>
        </w:r>
        <w:r>
          <w:rPr>
            <w:noProof/>
            <w:webHidden/>
          </w:rPr>
          <w:t>158</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80" w:history="1">
        <w:r w:rsidR="006E4689" w:rsidRPr="00620531">
          <w:rPr>
            <w:rStyle w:val="Hyperlink"/>
            <w:noProof/>
          </w:rPr>
          <w:t>Programme 13</w:t>
        </w:r>
        <w:r w:rsidR="006E4689">
          <w:rPr>
            <w:rFonts w:asciiTheme="minorHAnsi" w:eastAsiaTheme="minorEastAsia" w:hAnsiTheme="minorHAnsi" w:cstheme="minorBidi"/>
            <w:noProof/>
            <w:sz w:val="22"/>
            <w:szCs w:val="22"/>
          </w:rPr>
          <w:tab/>
        </w:r>
        <w:r w:rsidR="006E4689" w:rsidRPr="00620531">
          <w:rPr>
            <w:rStyle w:val="Hyperlink"/>
            <w:noProof/>
          </w:rPr>
          <w:t>Bases de données mondiales</w:t>
        </w:r>
        <w:r w:rsidR="006E4689">
          <w:rPr>
            <w:noProof/>
            <w:webHidden/>
          </w:rPr>
          <w:tab/>
        </w:r>
        <w:r w:rsidR="006E4689">
          <w:rPr>
            <w:noProof/>
            <w:webHidden/>
          </w:rPr>
          <w:fldChar w:fldCharType="begin"/>
        </w:r>
        <w:r w:rsidR="006E4689">
          <w:rPr>
            <w:noProof/>
            <w:webHidden/>
          </w:rPr>
          <w:instrText xml:space="preserve"> PAGEREF _Toc395082480 \h </w:instrText>
        </w:r>
        <w:r w:rsidR="006E4689">
          <w:rPr>
            <w:noProof/>
            <w:webHidden/>
          </w:rPr>
        </w:r>
        <w:r w:rsidR="006E4689">
          <w:rPr>
            <w:noProof/>
            <w:webHidden/>
          </w:rPr>
          <w:fldChar w:fldCharType="separate"/>
        </w:r>
        <w:r>
          <w:rPr>
            <w:noProof/>
            <w:webHidden/>
          </w:rPr>
          <w:t>162</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81" w:history="1">
        <w:r w:rsidR="006E4689" w:rsidRPr="00620531">
          <w:rPr>
            <w:rStyle w:val="Hyperlink"/>
            <w:noProof/>
          </w:rPr>
          <w:t>Programme 14</w:t>
        </w:r>
        <w:r w:rsidR="006E4689">
          <w:rPr>
            <w:rFonts w:asciiTheme="minorHAnsi" w:eastAsiaTheme="minorEastAsia" w:hAnsiTheme="minorHAnsi" w:cstheme="minorBidi"/>
            <w:noProof/>
            <w:sz w:val="22"/>
            <w:szCs w:val="22"/>
          </w:rPr>
          <w:tab/>
        </w:r>
        <w:r w:rsidR="006E4689" w:rsidRPr="00620531">
          <w:rPr>
            <w:rStyle w:val="Hyperlink"/>
            <w:noProof/>
          </w:rPr>
          <w:t>Services d’accès à l’information et aux savoirs</w:t>
        </w:r>
        <w:r w:rsidR="006E4689">
          <w:rPr>
            <w:noProof/>
            <w:webHidden/>
          </w:rPr>
          <w:tab/>
        </w:r>
        <w:r w:rsidR="006E4689">
          <w:rPr>
            <w:noProof/>
            <w:webHidden/>
          </w:rPr>
          <w:fldChar w:fldCharType="begin"/>
        </w:r>
        <w:r w:rsidR="006E4689">
          <w:rPr>
            <w:noProof/>
            <w:webHidden/>
          </w:rPr>
          <w:instrText xml:space="preserve"> PAGEREF _Toc395082481 \h </w:instrText>
        </w:r>
        <w:r w:rsidR="006E4689">
          <w:rPr>
            <w:noProof/>
            <w:webHidden/>
          </w:rPr>
        </w:r>
        <w:r w:rsidR="006E4689">
          <w:rPr>
            <w:noProof/>
            <w:webHidden/>
          </w:rPr>
          <w:fldChar w:fldCharType="separate"/>
        </w:r>
        <w:r>
          <w:rPr>
            <w:noProof/>
            <w:webHidden/>
          </w:rPr>
          <w:t>167</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82" w:history="1">
        <w:r w:rsidR="006E4689" w:rsidRPr="00620531">
          <w:rPr>
            <w:rStyle w:val="Hyperlink"/>
            <w:noProof/>
          </w:rPr>
          <w:t>Programme 15</w:t>
        </w:r>
        <w:r w:rsidR="006E4689">
          <w:rPr>
            <w:rFonts w:asciiTheme="minorHAnsi" w:eastAsiaTheme="minorEastAsia" w:hAnsiTheme="minorHAnsi" w:cstheme="minorBidi"/>
            <w:noProof/>
            <w:sz w:val="22"/>
            <w:szCs w:val="22"/>
          </w:rPr>
          <w:tab/>
        </w:r>
        <w:r w:rsidR="006E4689" w:rsidRPr="00620531">
          <w:rPr>
            <w:rStyle w:val="Hyperlink"/>
            <w:noProof/>
          </w:rPr>
          <w:t>Solutions opérationnelles pour les offices de propriété intellectuelle</w:t>
        </w:r>
        <w:r w:rsidR="006E4689">
          <w:rPr>
            <w:noProof/>
            <w:webHidden/>
          </w:rPr>
          <w:tab/>
        </w:r>
        <w:r w:rsidR="006E4689">
          <w:rPr>
            <w:noProof/>
            <w:webHidden/>
          </w:rPr>
          <w:fldChar w:fldCharType="begin"/>
        </w:r>
        <w:r w:rsidR="006E4689">
          <w:rPr>
            <w:noProof/>
            <w:webHidden/>
          </w:rPr>
          <w:instrText xml:space="preserve"> PAGEREF _Toc395082482 \h </w:instrText>
        </w:r>
        <w:r w:rsidR="006E4689">
          <w:rPr>
            <w:noProof/>
            <w:webHidden/>
          </w:rPr>
        </w:r>
        <w:r w:rsidR="006E4689">
          <w:rPr>
            <w:noProof/>
            <w:webHidden/>
          </w:rPr>
          <w:fldChar w:fldCharType="separate"/>
        </w:r>
        <w:r>
          <w:rPr>
            <w:noProof/>
            <w:webHidden/>
          </w:rPr>
          <w:t>172</w:t>
        </w:r>
        <w:r w:rsidR="006E4689">
          <w:rPr>
            <w:noProof/>
            <w:webHidden/>
          </w:rPr>
          <w:fldChar w:fldCharType="end"/>
        </w:r>
      </w:hyperlink>
    </w:p>
    <w:p w:rsidR="00D42474" w:rsidRDefault="005B5604">
      <w:pPr>
        <w:pStyle w:val="TOC2"/>
        <w:rPr>
          <w:rFonts w:asciiTheme="minorHAnsi" w:eastAsiaTheme="minorEastAsia" w:hAnsiTheme="minorHAnsi" w:cstheme="minorBidi"/>
          <w:b w:val="0"/>
          <w:noProof/>
          <w:sz w:val="22"/>
          <w:szCs w:val="22"/>
        </w:rPr>
      </w:pPr>
      <w:hyperlink w:anchor="_Toc395082483" w:history="1">
        <w:r w:rsidR="006E4689" w:rsidRPr="00620531">
          <w:rPr>
            <w:rStyle w:val="Hyperlink"/>
            <w:noProof/>
          </w:rPr>
          <w:t>OBJECTIF STRATÉGIQUE V</w:t>
        </w:r>
        <w:r w:rsidR="006E4689">
          <w:rPr>
            <w:rFonts w:asciiTheme="minorHAnsi" w:eastAsiaTheme="minorEastAsia" w:hAnsiTheme="minorHAnsi" w:cstheme="minorBidi"/>
            <w:b w:val="0"/>
            <w:noProof/>
            <w:sz w:val="22"/>
            <w:szCs w:val="22"/>
          </w:rPr>
          <w:tab/>
        </w:r>
        <w:r w:rsidR="006E4689" w:rsidRPr="00620531">
          <w:rPr>
            <w:rStyle w:val="Hyperlink"/>
            <w:noProof/>
          </w:rPr>
          <w:t xml:space="preserve"> Source de références mondiale pour l’information et l’analyse en matière de propriété intellectuelle</w:t>
        </w:r>
        <w:r w:rsidR="006E4689">
          <w:rPr>
            <w:noProof/>
            <w:webHidden/>
          </w:rPr>
          <w:tab/>
        </w:r>
        <w:r w:rsidR="006E4689">
          <w:rPr>
            <w:noProof/>
            <w:webHidden/>
          </w:rPr>
          <w:fldChar w:fldCharType="begin"/>
        </w:r>
        <w:r w:rsidR="006E4689">
          <w:rPr>
            <w:noProof/>
            <w:webHidden/>
          </w:rPr>
          <w:instrText xml:space="preserve"> PAGEREF _Toc395082483 \h </w:instrText>
        </w:r>
        <w:r w:rsidR="006E4689">
          <w:rPr>
            <w:noProof/>
            <w:webHidden/>
          </w:rPr>
        </w:r>
        <w:r w:rsidR="006E4689">
          <w:rPr>
            <w:noProof/>
            <w:webHidden/>
          </w:rPr>
          <w:fldChar w:fldCharType="separate"/>
        </w:r>
        <w:r>
          <w:rPr>
            <w:noProof/>
            <w:webHidden/>
          </w:rPr>
          <w:t>177</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84" w:history="1">
        <w:r w:rsidR="006E4689" w:rsidRPr="00620531">
          <w:rPr>
            <w:rStyle w:val="Hyperlink"/>
            <w:noProof/>
          </w:rPr>
          <w:t xml:space="preserve">Programme 16 </w:t>
        </w:r>
        <w:r w:rsidR="006E4689">
          <w:rPr>
            <w:rFonts w:asciiTheme="minorHAnsi" w:eastAsiaTheme="minorEastAsia" w:hAnsiTheme="minorHAnsi" w:cstheme="minorBidi"/>
            <w:noProof/>
            <w:sz w:val="22"/>
            <w:szCs w:val="22"/>
          </w:rPr>
          <w:tab/>
        </w:r>
        <w:r w:rsidR="006E4689" w:rsidRPr="00620531">
          <w:rPr>
            <w:rStyle w:val="Hyperlink"/>
            <w:noProof/>
          </w:rPr>
          <w:t>Économie et statistiques</w:t>
        </w:r>
        <w:r w:rsidR="006E4689">
          <w:rPr>
            <w:noProof/>
            <w:webHidden/>
          </w:rPr>
          <w:tab/>
        </w:r>
        <w:r w:rsidR="006E4689">
          <w:rPr>
            <w:noProof/>
            <w:webHidden/>
          </w:rPr>
          <w:fldChar w:fldCharType="begin"/>
        </w:r>
        <w:r w:rsidR="006E4689">
          <w:rPr>
            <w:noProof/>
            <w:webHidden/>
          </w:rPr>
          <w:instrText xml:space="preserve"> PAGEREF _Toc395082484 \h </w:instrText>
        </w:r>
        <w:r w:rsidR="006E4689">
          <w:rPr>
            <w:noProof/>
            <w:webHidden/>
          </w:rPr>
        </w:r>
        <w:r w:rsidR="006E4689">
          <w:rPr>
            <w:noProof/>
            <w:webHidden/>
          </w:rPr>
          <w:fldChar w:fldCharType="separate"/>
        </w:r>
        <w:r>
          <w:rPr>
            <w:noProof/>
            <w:webHidden/>
          </w:rPr>
          <w:t>178</w:t>
        </w:r>
        <w:r w:rsidR="006E4689">
          <w:rPr>
            <w:noProof/>
            <w:webHidden/>
          </w:rPr>
          <w:fldChar w:fldCharType="end"/>
        </w:r>
      </w:hyperlink>
    </w:p>
    <w:p w:rsidR="00D42474" w:rsidRDefault="005B5604">
      <w:pPr>
        <w:pStyle w:val="TOC2"/>
        <w:rPr>
          <w:rFonts w:asciiTheme="minorHAnsi" w:eastAsiaTheme="minorEastAsia" w:hAnsiTheme="minorHAnsi" w:cstheme="minorBidi"/>
          <w:b w:val="0"/>
          <w:noProof/>
          <w:sz w:val="22"/>
          <w:szCs w:val="22"/>
        </w:rPr>
      </w:pPr>
      <w:hyperlink w:anchor="_Toc395082485" w:history="1">
        <w:r w:rsidR="006E4689" w:rsidRPr="00620531">
          <w:rPr>
            <w:rStyle w:val="Hyperlink"/>
            <w:noProof/>
          </w:rPr>
          <w:t>OBJECTIF STRATÉGIQUE VI</w:t>
        </w:r>
        <w:r w:rsidR="006E4689">
          <w:rPr>
            <w:rFonts w:asciiTheme="minorHAnsi" w:eastAsiaTheme="minorEastAsia" w:hAnsiTheme="minorHAnsi" w:cstheme="minorBidi"/>
            <w:b w:val="0"/>
            <w:noProof/>
            <w:sz w:val="22"/>
            <w:szCs w:val="22"/>
          </w:rPr>
          <w:tab/>
        </w:r>
        <w:r w:rsidR="006E4689" w:rsidRPr="00620531">
          <w:rPr>
            <w:rStyle w:val="Hyperlink"/>
            <w:noProof/>
          </w:rPr>
          <w:t xml:space="preserve"> Coopération internationale pour le respect de la propriété intellectuelle</w:t>
        </w:r>
        <w:r w:rsidR="006E4689">
          <w:rPr>
            <w:noProof/>
            <w:webHidden/>
          </w:rPr>
          <w:tab/>
        </w:r>
        <w:r w:rsidR="006E4689">
          <w:rPr>
            <w:noProof/>
            <w:webHidden/>
          </w:rPr>
          <w:fldChar w:fldCharType="begin"/>
        </w:r>
        <w:r w:rsidR="006E4689">
          <w:rPr>
            <w:noProof/>
            <w:webHidden/>
          </w:rPr>
          <w:instrText xml:space="preserve"> PAGEREF _Toc395082485 \h </w:instrText>
        </w:r>
        <w:r w:rsidR="006E4689">
          <w:rPr>
            <w:noProof/>
            <w:webHidden/>
          </w:rPr>
        </w:r>
        <w:r w:rsidR="006E4689">
          <w:rPr>
            <w:noProof/>
            <w:webHidden/>
          </w:rPr>
          <w:fldChar w:fldCharType="separate"/>
        </w:r>
        <w:r>
          <w:rPr>
            <w:noProof/>
            <w:webHidden/>
          </w:rPr>
          <w:t>183</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86" w:history="1">
        <w:r w:rsidR="006E4689" w:rsidRPr="00620531">
          <w:rPr>
            <w:rStyle w:val="Hyperlink"/>
            <w:noProof/>
          </w:rPr>
          <w:t>Programme 17</w:t>
        </w:r>
        <w:r w:rsidR="006E4689">
          <w:rPr>
            <w:rFonts w:asciiTheme="minorHAnsi" w:eastAsiaTheme="minorEastAsia" w:hAnsiTheme="minorHAnsi" w:cstheme="minorBidi"/>
            <w:noProof/>
            <w:sz w:val="22"/>
            <w:szCs w:val="22"/>
          </w:rPr>
          <w:tab/>
        </w:r>
        <w:r w:rsidR="006E4689" w:rsidRPr="00620531">
          <w:rPr>
            <w:rStyle w:val="Hyperlink"/>
            <w:noProof/>
          </w:rPr>
          <w:t>Promouvoir le respect de la propriété intellectuelle</w:t>
        </w:r>
        <w:r w:rsidR="006E4689">
          <w:rPr>
            <w:noProof/>
            <w:webHidden/>
          </w:rPr>
          <w:tab/>
        </w:r>
        <w:r w:rsidR="006E4689">
          <w:rPr>
            <w:noProof/>
            <w:webHidden/>
          </w:rPr>
          <w:fldChar w:fldCharType="begin"/>
        </w:r>
        <w:r w:rsidR="006E4689">
          <w:rPr>
            <w:noProof/>
            <w:webHidden/>
          </w:rPr>
          <w:instrText xml:space="preserve"> PAGEREF _Toc395082486 \h </w:instrText>
        </w:r>
        <w:r w:rsidR="006E4689">
          <w:rPr>
            <w:noProof/>
            <w:webHidden/>
          </w:rPr>
        </w:r>
        <w:r w:rsidR="006E4689">
          <w:rPr>
            <w:noProof/>
            <w:webHidden/>
          </w:rPr>
          <w:fldChar w:fldCharType="separate"/>
        </w:r>
        <w:r>
          <w:rPr>
            <w:noProof/>
            <w:webHidden/>
          </w:rPr>
          <w:t>184</w:t>
        </w:r>
        <w:r w:rsidR="006E4689">
          <w:rPr>
            <w:noProof/>
            <w:webHidden/>
          </w:rPr>
          <w:fldChar w:fldCharType="end"/>
        </w:r>
      </w:hyperlink>
    </w:p>
    <w:p w:rsidR="00D42474" w:rsidRDefault="005B5604">
      <w:pPr>
        <w:pStyle w:val="TOC2"/>
        <w:rPr>
          <w:rFonts w:asciiTheme="minorHAnsi" w:eastAsiaTheme="minorEastAsia" w:hAnsiTheme="minorHAnsi" w:cstheme="minorBidi"/>
          <w:b w:val="0"/>
          <w:noProof/>
          <w:sz w:val="22"/>
          <w:szCs w:val="22"/>
        </w:rPr>
      </w:pPr>
      <w:hyperlink w:anchor="_Toc395082487" w:history="1">
        <w:r w:rsidR="006E4689" w:rsidRPr="00620531">
          <w:rPr>
            <w:rStyle w:val="Hyperlink"/>
            <w:noProof/>
          </w:rPr>
          <w:t>OBJECTIF STRATÉGIQUE VII</w:t>
        </w:r>
        <w:r w:rsidR="006E4689">
          <w:rPr>
            <w:rFonts w:asciiTheme="minorHAnsi" w:eastAsiaTheme="minorEastAsia" w:hAnsiTheme="minorHAnsi" w:cstheme="minorBidi"/>
            <w:b w:val="0"/>
            <w:noProof/>
            <w:sz w:val="22"/>
            <w:szCs w:val="22"/>
          </w:rPr>
          <w:tab/>
        </w:r>
        <w:r w:rsidR="006E4689" w:rsidRPr="00620531">
          <w:rPr>
            <w:rStyle w:val="Hyperlink"/>
            <w:noProof/>
          </w:rPr>
          <w:t xml:space="preserve"> Propriété intellectuelle et enjeux mondiaux</w:t>
        </w:r>
        <w:r w:rsidR="006E4689">
          <w:rPr>
            <w:noProof/>
            <w:webHidden/>
          </w:rPr>
          <w:tab/>
        </w:r>
        <w:r w:rsidR="006E4689">
          <w:rPr>
            <w:noProof/>
            <w:webHidden/>
          </w:rPr>
          <w:fldChar w:fldCharType="begin"/>
        </w:r>
        <w:r w:rsidR="006E4689">
          <w:rPr>
            <w:noProof/>
            <w:webHidden/>
          </w:rPr>
          <w:instrText xml:space="preserve"> PAGEREF _Toc395082487 \h </w:instrText>
        </w:r>
        <w:r w:rsidR="006E4689">
          <w:rPr>
            <w:noProof/>
            <w:webHidden/>
          </w:rPr>
        </w:r>
        <w:r w:rsidR="006E4689">
          <w:rPr>
            <w:noProof/>
            <w:webHidden/>
          </w:rPr>
          <w:fldChar w:fldCharType="separate"/>
        </w:r>
        <w:r>
          <w:rPr>
            <w:noProof/>
            <w:webHidden/>
          </w:rPr>
          <w:t>189</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88" w:history="1">
        <w:r w:rsidR="006E4689" w:rsidRPr="00620531">
          <w:rPr>
            <w:rStyle w:val="Hyperlink"/>
            <w:noProof/>
          </w:rPr>
          <w:t>Programme 18</w:t>
        </w:r>
        <w:r w:rsidR="006E4689">
          <w:rPr>
            <w:rFonts w:asciiTheme="minorHAnsi" w:eastAsiaTheme="minorEastAsia" w:hAnsiTheme="minorHAnsi" w:cstheme="minorBidi"/>
            <w:noProof/>
            <w:sz w:val="22"/>
            <w:szCs w:val="22"/>
          </w:rPr>
          <w:tab/>
        </w:r>
        <w:r w:rsidR="006E4689" w:rsidRPr="00620531">
          <w:rPr>
            <w:rStyle w:val="Hyperlink"/>
            <w:noProof/>
          </w:rPr>
          <w:t>Propriété intellectuelle et défis mondiaux</w:t>
        </w:r>
        <w:r w:rsidR="006E4689">
          <w:rPr>
            <w:noProof/>
            <w:webHidden/>
          </w:rPr>
          <w:tab/>
        </w:r>
        <w:r w:rsidR="006E4689">
          <w:rPr>
            <w:noProof/>
            <w:webHidden/>
          </w:rPr>
          <w:fldChar w:fldCharType="begin"/>
        </w:r>
        <w:r w:rsidR="006E4689">
          <w:rPr>
            <w:noProof/>
            <w:webHidden/>
          </w:rPr>
          <w:instrText xml:space="preserve"> PAGEREF _Toc395082488 \h </w:instrText>
        </w:r>
        <w:r w:rsidR="006E4689">
          <w:rPr>
            <w:noProof/>
            <w:webHidden/>
          </w:rPr>
        </w:r>
        <w:r w:rsidR="006E4689">
          <w:rPr>
            <w:noProof/>
            <w:webHidden/>
          </w:rPr>
          <w:fldChar w:fldCharType="separate"/>
        </w:r>
        <w:r>
          <w:rPr>
            <w:noProof/>
            <w:webHidden/>
          </w:rPr>
          <w:t>190</w:t>
        </w:r>
        <w:r w:rsidR="006E4689">
          <w:rPr>
            <w:noProof/>
            <w:webHidden/>
          </w:rPr>
          <w:fldChar w:fldCharType="end"/>
        </w:r>
      </w:hyperlink>
    </w:p>
    <w:p w:rsidR="00D42474" w:rsidRDefault="005B5604">
      <w:pPr>
        <w:pStyle w:val="TOC2"/>
        <w:rPr>
          <w:rFonts w:asciiTheme="minorHAnsi" w:eastAsiaTheme="minorEastAsia" w:hAnsiTheme="minorHAnsi" w:cstheme="minorBidi"/>
          <w:b w:val="0"/>
          <w:noProof/>
          <w:sz w:val="22"/>
          <w:szCs w:val="22"/>
        </w:rPr>
      </w:pPr>
      <w:hyperlink w:anchor="_Toc395082489" w:history="1">
        <w:r w:rsidR="006E4689" w:rsidRPr="00620531">
          <w:rPr>
            <w:rStyle w:val="Hyperlink"/>
            <w:noProof/>
          </w:rPr>
          <w:t>OBJECTIF STRATÉGIQUE VIII</w:t>
        </w:r>
        <w:r w:rsidR="006E4689">
          <w:rPr>
            <w:rFonts w:asciiTheme="minorHAnsi" w:eastAsiaTheme="minorEastAsia" w:hAnsiTheme="minorHAnsi" w:cstheme="minorBidi"/>
            <w:b w:val="0"/>
            <w:noProof/>
            <w:sz w:val="22"/>
            <w:szCs w:val="22"/>
          </w:rPr>
          <w:tab/>
        </w:r>
        <w:r w:rsidR="006E4689" w:rsidRPr="00620531">
          <w:rPr>
            <w:rStyle w:val="Hyperlink"/>
            <w:noProof/>
          </w:rPr>
          <w:t xml:space="preserve"> Interface de communication dynamique entre l’OMPI, ses états membres et l’ensemble des parties prenantes</w:t>
        </w:r>
        <w:r w:rsidR="006E4689">
          <w:rPr>
            <w:noProof/>
            <w:webHidden/>
          </w:rPr>
          <w:tab/>
        </w:r>
        <w:r w:rsidR="006E4689">
          <w:rPr>
            <w:noProof/>
            <w:webHidden/>
          </w:rPr>
          <w:fldChar w:fldCharType="begin"/>
        </w:r>
        <w:r w:rsidR="006E4689">
          <w:rPr>
            <w:noProof/>
            <w:webHidden/>
          </w:rPr>
          <w:instrText xml:space="preserve"> PAGEREF _Toc395082489 \h </w:instrText>
        </w:r>
        <w:r w:rsidR="006E4689">
          <w:rPr>
            <w:noProof/>
            <w:webHidden/>
          </w:rPr>
        </w:r>
        <w:r w:rsidR="006E4689">
          <w:rPr>
            <w:noProof/>
            <w:webHidden/>
          </w:rPr>
          <w:fldChar w:fldCharType="separate"/>
        </w:r>
        <w:r>
          <w:rPr>
            <w:noProof/>
            <w:webHidden/>
          </w:rPr>
          <w:t>197</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90" w:history="1">
        <w:r w:rsidR="006E4689" w:rsidRPr="00620531">
          <w:rPr>
            <w:rStyle w:val="Hyperlink"/>
            <w:noProof/>
          </w:rPr>
          <w:t>Programme 19</w:t>
        </w:r>
        <w:r w:rsidR="006E4689">
          <w:rPr>
            <w:rFonts w:asciiTheme="minorHAnsi" w:eastAsiaTheme="minorEastAsia" w:hAnsiTheme="minorHAnsi" w:cstheme="minorBidi"/>
            <w:noProof/>
            <w:sz w:val="22"/>
            <w:szCs w:val="22"/>
          </w:rPr>
          <w:tab/>
        </w:r>
        <w:r w:rsidR="006E4689" w:rsidRPr="00620531">
          <w:rPr>
            <w:rStyle w:val="Hyperlink"/>
            <w:noProof/>
          </w:rPr>
          <w:t>Communications</w:t>
        </w:r>
        <w:r w:rsidR="006E4689">
          <w:rPr>
            <w:noProof/>
            <w:webHidden/>
          </w:rPr>
          <w:tab/>
        </w:r>
        <w:r w:rsidR="006E4689">
          <w:rPr>
            <w:noProof/>
            <w:webHidden/>
          </w:rPr>
          <w:fldChar w:fldCharType="begin"/>
        </w:r>
        <w:r w:rsidR="006E4689">
          <w:rPr>
            <w:noProof/>
            <w:webHidden/>
          </w:rPr>
          <w:instrText xml:space="preserve"> PAGEREF _Toc395082490 \h </w:instrText>
        </w:r>
        <w:r w:rsidR="006E4689">
          <w:rPr>
            <w:noProof/>
            <w:webHidden/>
          </w:rPr>
        </w:r>
        <w:r w:rsidR="006E4689">
          <w:rPr>
            <w:noProof/>
            <w:webHidden/>
          </w:rPr>
          <w:fldChar w:fldCharType="separate"/>
        </w:r>
        <w:r>
          <w:rPr>
            <w:noProof/>
            <w:webHidden/>
          </w:rPr>
          <w:t>199</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91" w:history="1">
        <w:r w:rsidR="006E4689" w:rsidRPr="00620531">
          <w:rPr>
            <w:rStyle w:val="Hyperlink"/>
            <w:noProof/>
          </w:rPr>
          <w:t>Programme 20</w:t>
        </w:r>
        <w:r w:rsidR="006E4689">
          <w:rPr>
            <w:rFonts w:asciiTheme="minorHAnsi" w:eastAsiaTheme="minorEastAsia" w:hAnsiTheme="minorHAnsi" w:cstheme="minorBidi"/>
            <w:noProof/>
            <w:sz w:val="22"/>
            <w:szCs w:val="22"/>
          </w:rPr>
          <w:tab/>
        </w:r>
        <w:r w:rsidR="006E4689" w:rsidRPr="00620531">
          <w:rPr>
            <w:rStyle w:val="Hyperlink"/>
            <w:noProof/>
          </w:rPr>
          <w:t>Relations extérieures, partenariats et bureaux extérieurs</w:t>
        </w:r>
        <w:r w:rsidR="006E4689">
          <w:rPr>
            <w:noProof/>
            <w:webHidden/>
          </w:rPr>
          <w:tab/>
        </w:r>
        <w:r w:rsidR="006E4689">
          <w:rPr>
            <w:noProof/>
            <w:webHidden/>
          </w:rPr>
          <w:fldChar w:fldCharType="begin"/>
        </w:r>
        <w:r w:rsidR="006E4689">
          <w:rPr>
            <w:noProof/>
            <w:webHidden/>
          </w:rPr>
          <w:instrText xml:space="preserve"> PAGEREF _Toc395082491 \h </w:instrText>
        </w:r>
        <w:r w:rsidR="006E4689">
          <w:rPr>
            <w:noProof/>
            <w:webHidden/>
          </w:rPr>
        </w:r>
        <w:r w:rsidR="006E4689">
          <w:rPr>
            <w:noProof/>
            <w:webHidden/>
          </w:rPr>
          <w:fldChar w:fldCharType="separate"/>
        </w:r>
        <w:r>
          <w:rPr>
            <w:noProof/>
            <w:webHidden/>
          </w:rPr>
          <w:t>204</w:t>
        </w:r>
        <w:r w:rsidR="006E4689">
          <w:rPr>
            <w:noProof/>
            <w:webHidden/>
          </w:rPr>
          <w:fldChar w:fldCharType="end"/>
        </w:r>
      </w:hyperlink>
    </w:p>
    <w:p w:rsidR="00D42474" w:rsidRDefault="005B5604">
      <w:pPr>
        <w:pStyle w:val="TOC2"/>
        <w:rPr>
          <w:rFonts w:asciiTheme="minorHAnsi" w:eastAsiaTheme="minorEastAsia" w:hAnsiTheme="minorHAnsi" w:cstheme="minorBidi"/>
          <w:b w:val="0"/>
          <w:noProof/>
          <w:sz w:val="22"/>
          <w:szCs w:val="22"/>
        </w:rPr>
      </w:pPr>
      <w:hyperlink w:anchor="_Toc395082492" w:history="1">
        <w:r w:rsidR="006E4689" w:rsidRPr="00620531">
          <w:rPr>
            <w:rStyle w:val="Hyperlink"/>
            <w:noProof/>
          </w:rPr>
          <w:t>OBJECTIF STRATÉGIQUE IX</w:t>
        </w:r>
        <w:r w:rsidR="006E4689">
          <w:rPr>
            <w:rFonts w:asciiTheme="minorHAnsi" w:eastAsiaTheme="minorEastAsia" w:hAnsiTheme="minorHAnsi" w:cstheme="minorBidi"/>
            <w:b w:val="0"/>
            <w:noProof/>
            <w:sz w:val="22"/>
            <w:szCs w:val="22"/>
          </w:rPr>
          <w:tab/>
        </w:r>
        <w:r w:rsidR="006E4689" w:rsidRPr="00620531">
          <w:rPr>
            <w:rStyle w:val="Hyperlink"/>
            <w:noProof/>
          </w:rPr>
          <w:t xml:space="preserve">  Une structure d’appui administratif et financier efficace</w:t>
        </w:r>
        <w:r w:rsidR="006E4689">
          <w:rPr>
            <w:noProof/>
            <w:webHidden/>
          </w:rPr>
          <w:tab/>
        </w:r>
        <w:r w:rsidR="006E4689">
          <w:rPr>
            <w:noProof/>
            <w:webHidden/>
          </w:rPr>
          <w:fldChar w:fldCharType="begin"/>
        </w:r>
        <w:r w:rsidR="006E4689">
          <w:rPr>
            <w:noProof/>
            <w:webHidden/>
          </w:rPr>
          <w:instrText xml:space="preserve"> PAGEREF _Toc395082492 \h </w:instrText>
        </w:r>
        <w:r w:rsidR="006E4689">
          <w:rPr>
            <w:noProof/>
            <w:webHidden/>
          </w:rPr>
        </w:r>
        <w:r w:rsidR="006E4689">
          <w:rPr>
            <w:noProof/>
            <w:webHidden/>
          </w:rPr>
          <w:fldChar w:fldCharType="separate"/>
        </w:r>
        <w:r>
          <w:rPr>
            <w:noProof/>
            <w:webHidden/>
          </w:rPr>
          <w:t>213</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93" w:history="1">
        <w:r w:rsidR="006E4689" w:rsidRPr="00620531">
          <w:rPr>
            <w:rStyle w:val="Hyperlink"/>
            <w:noProof/>
          </w:rPr>
          <w:t>Programme 21</w:t>
        </w:r>
        <w:r w:rsidR="006E4689">
          <w:rPr>
            <w:rFonts w:asciiTheme="minorHAnsi" w:eastAsiaTheme="minorEastAsia" w:hAnsiTheme="minorHAnsi" w:cstheme="minorBidi"/>
            <w:noProof/>
            <w:sz w:val="22"/>
            <w:szCs w:val="22"/>
          </w:rPr>
          <w:tab/>
        </w:r>
        <w:r w:rsidR="006E4689" w:rsidRPr="00620531">
          <w:rPr>
            <w:rStyle w:val="Hyperlink"/>
            <w:noProof/>
          </w:rPr>
          <w:t>Direction générale</w:t>
        </w:r>
        <w:r w:rsidR="006E4689">
          <w:rPr>
            <w:noProof/>
            <w:webHidden/>
          </w:rPr>
          <w:tab/>
        </w:r>
        <w:r w:rsidR="006E4689">
          <w:rPr>
            <w:noProof/>
            <w:webHidden/>
          </w:rPr>
          <w:fldChar w:fldCharType="begin"/>
        </w:r>
        <w:r w:rsidR="006E4689">
          <w:rPr>
            <w:noProof/>
            <w:webHidden/>
          </w:rPr>
          <w:instrText xml:space="preserve"> PAGEREF _Toc395082493 \h </w:instrText>
        </w:r>
        <w:r w:rsidR="006E4689">
          <w:rPr>
            <w:noProof/>
            <w:webHidden/>
          </w:rPr>
        </w:r>
        <w:r w:rsidR="006E4689">
          <w:rPr>
            <w:noProof/>
            <w:webHidden/>
          </w:rPr>
          <w:fldChar w:fldCharType="separate"/>
        </w:r>
        <w:r>
          <w:rPr>
            <w:noProof/>
            <w:webHidden/>
          </w:rPr>
          <w:t>216</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94" w:history="1">
        <w:r w:rsidR="006E4689" w:rsidRPr="00620531">
          <w:rPr>
            <w:rStyle w:val="Hyperlink"/>
            <w:noProof/>
          </w:rPr>
          <w:t>Programme 22</w:t>
        </w:r>
        <w:r w:rsidR="006E4689">
          <w:rPr>
            <w:rFonts w:asciiTheme="minorHAnsi" w:eastAsiaTheme="minorEastAsia" w:hAnsiTheme="minorHAnsi" w:cstheme="minorBidi"/>
            <w:noProof/>
            <w:sz w:val="22"/>
            <w:szCs w:val="22"/>
          </w:rPr>
          <w:tab/>
        </w:r>
        <w:r w:rsidR="006E4689" w:rsidRPr="00620531">
          <w:rPr>
            <w:rStyle w:val="Hyperlink"/>
            <w:noProof/>
          </w:rPr>
          <w:t>Gestion du programme et des ressources</w:t>
        </w:r>
        <w:r w:rsidR="006E4689">
          <w:rPr>
            <w:noProof/>
            <w:webHidden/>
          </w:rPr>
          <w:tab/>
        </w:r>
        <w:r w:rsidR="006E4689">
          <w:rPr>
            <w:noProof/>
            <w:webHidden/>
          </w:rPr>
          <w:fldChar w:fldCharType="begin"/>
        </w:r>
        <w:r w:rsidR="006E4689">
          <w:rPr>
            <w:noProof/>
            <w:webHidden/>
          </w:rPr>
          <w:instrText xml:space="preserve"> PAGEREF _Toc395082494 \h </w:instrText>
        </w:r>
        <w:r w:rsidR="006E4689">
          <w:rPr>
            <w:noProof/>
            <w:webHidden/>
          </w:rPr>
        </w:r>
        <w:r w:rsidR="006E4689">
          <w:rPr>
            <w:noProof/>
            <w:webHidden/>
          </w:rPr>
          <w:fldChar w:fldCharType="separate"/>
        </w:r>
        <w:r>
          <w:rPr>
            <w:noProof/>
            <w:webHidden/>
          </w:rPr>
          <w:t>222</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95" w:history="1">
        <w:r w:rsidR="006E4689" w:rsidRPr="00620531">
          <w:rPr>
            <w:rStyle w:val="Hyperlink"/>
            <w:noProof/>
          </w:rPr>
          <w:t>Programme 23</w:t>
        </w:r>
        <w:r w:rsidR="006E4689">
          <w:rPr>
            <w:rFonts w:asciiTheme="minorHAnsi" w:eastAsiaTheme="minorEastAsia" w:hAnsiTheme="minorHAnsi" w:cstheme="minorBidi"/>
            <w:noProof/>
            <w:sz w:val="22"/>
            <w:szCs w:val="22"/>
          </w:rPr>
          <w:tab/>
        </w:r>
        <w:r w:rsidR="006E4689" w:rsidRPr="00620531">
          <w:rPr>
            <w:rStyle w:val="Hyperlink"/>
            <w:noProof/>
          </w:rPr>
          <w:t>Gestion et mise en valeur des ressources humaines</w:t>
        </w:r>
        <w:r w:rsidR="006E4689">
          <w:rPr>
            <w:noProof/>
            <w:webHidden/>
          </w:rPr>
          <w:tab/>
        </w:r>
        <w:r w:rsidR="006E4689">
          <w:rPr>
            <w:noProof/>
            <w:webHidden/>
          </w:rPr>
          <w:fldChar w:fldCharType="begin"/>
        </w:r>
        <w:r w:rsidR="006E4689">
          <w:rPr>
            <w:noProof/>
            <w:webHidden/>
          </w:rPr>
          <w:instrText xml:space="preserve"> PAGEREF _Toc395082495 \h </w:instrText>
        </w:r>
        <w:r w:rsidR="006E4689">
          <w:rPr>
            <w:noProof/>
            <w:webHidden/>
          </w:rPr>
        </w:r>
        <w:r w:rsidR="006E4689">
          <w:rPr>
            <w:noProof/>
            <w:webHidden/>
          </w:rPr>
          <w:fldChar w:fldCharType="separate"/>
        </w:r>
        <w:r>
          <w:rPr>
            <w:noProof/>
            <w:webHidden/>
          </w:rPr>
          <w:t>226</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96" w:history="1">
        <w:r w:rsidR="006E4689" w:rsidRPr="00620531">
          <w:rPr>
            <w:rStyle w:val="Hyperlink"/>
            <w:noProof/>
          </w:rPr>
          <w:t>Programme 24</w:t>
        </w:r>
        <w:r w:rsidR="006E4689">
          <w:rPr>
            <w:rFonts w:asciiTheme="minorHAnsi" w:eastAsiaTheme="minorEastAsia" w:hAnsiTheme="minorHAnsi" w:cstheme="minorBidi"/>
            <w:noProof/>
            <w:sz w:val="22"/>
            <w:szCs w:val="22"/>
          </w:rPr>
          <w:tab/>
        </w:r>
        <w:r w:rsidR="006E4689" w:rsidRPr="00620531">
          <w:rPr>
            <w:rStyle w:val="Hyperlink"/>
            <w:noProof/>
          </w:rPr>
          <w:t>Services d’appui généraux</w:t>
        </w:r>
        <w:r w:rsidR="006E4689">
          <w:rPr>
            <w:noProof/>
            <w:webHidden/>
          </w:rPr>
          <w:tab/>
        </w:r>
        <w:r w:rsidR="006E4689">
          <w:rPr>
            <w:noProof/>
            <w:webHidden/>
          </w:rPr>
          <w:fldChar w:fldCharType="begin"/>
        </w:r>
        <w:r w:rsidR="006E4689">
          <w:rPr>
            <w:noProof/>
            <w:webHidden/>
          </w:rPr>
          <w:instrText xml:space="preserve"> PAGEREF _Toc395082496 \h </w:instrText>
        </w:r>
        <w:r w:rsidR="006E4689">
          <w:rPr>
            <w:noProof/>
            <w:webHidden/>
          </w:rPr>
        </w:r>
        <w:r w:rsidR="006E4689">
          <w:rPr>
            <w:noProof/>
            <w:webHidden/>
          </w:rPr>
          <w:fldChar w:fldCharType="separate"/>
        </w:r>
        <w:r>
          <w:rPr>
            <w:noProof/>
            <w:webHidden/>
          </w:rPr>
          <w:t>231</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97" w:history="1">
        <w:r w:rsidR="006E4689" w:rsidRPr="00620531">
          <w:rPr>
            <w:rStyle w:val="Hyperlink"/>
            <w:noProof/>
          </w:rPr>
          <w:t>Programme 25</w:t>
        </w:r>
        <w:r w:rsidR="006E4689">
          <w:rPr>
            <w:rFonts w:asciiTheme="minorHAnsi" w:eastAsiaTheme="minorEastAsia" w:hAnsiTheme="minorHAnsi" w:cstheme="minorBidi"/>
            <w:noProof/>
            <w:sz w:val="22"/>
            <w:szCs w:val="22"/>
          </w:rPr>
          <w:tab/>
        </w:r>
        <w:r w:rsidR="006E4689" w:rsidRPr="00620531">
          <w:rPr>
            <w:rStyle w:val="Hyperlink"/>
            <w:noProof/>
          </w:rPr>
          <w:t>Technologies de l’information et de la communication</w:t>
        </w:r>
        <w:r w:rsidR="006E4689">
          <w:rPr>
            <w:noProof/>
            <w:webHidden/>
          </w:rPr>
          <w:tab/>
        </w:r>
        <w:r w:rsidR="006E4689">
          <w:rPr>
            <w:noProof/>
            <w:webHidden/>
          </w:rPr>
          <w:fldChar w:fldCharType="begin"/>
        </w:r>
        <w:r w:rsidR="006E4689">
          <w:rPr>
            <w:noProof/>
            <w:webHidden/>
          </w:rPr>
          <w:instrText xml:space="preserve"> PAGEREF _Toc395082497 \h </w:instrText>
        </w:r>
        <w:r w:rsidR="006E4689">
          <w:rPr>
            <w:noProof/>
            <w:webHidden/>
          </w:rPr>
        </w:r>
        <w:r w:rsidR="006E4689">
          <w:rPr>
            <w:noProof/>
            <w:webHidden/>
          </w:rPr>
          <w:fldChar w:fldCharType="separate"/>
        </w:r>
        <w:r>
          <w:rPr>
            <w:noProof/>
            <w:webHidden/>
          </w:rPr>
          <w:t>239</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98" w:history="1">
        <w:r w:rsidR="006E4689" w:rsidRPr="00620531">
          <w:rPr>
            <w:rStyle w:val="Hyperlink"/>
            <w:noProof/>
          </w:rPr>
          <w:t>Programme 26</w:t>
        </w:r>
        <w:r w:rsidR="006E4689">
          <w:rPr>
            <w:rFonts w:asciiTheme="minorHAnsi" w:eastAsiaTheme="minorEastAsia" w:hAnsiTheme="minorHAnsi" w:cstheme="minorBidi"/>
            <w:noProof/>
            <w:sz w:val="22"/>
            <w:szCs w:val="22"/>
          </w:rPr>
          <w:tab/>
        </w:r>
        <w:r w:rsidR="006E4689" w:rsidRPr="00620531">
          <w:rPr>
            <w:rStyle w:val="Hyperlink"/>
            <w:noProof/>
          </w:rPr>
          <w:t>Supervision interne</w:t>
        </w:r>
        <w:r w:rsidR="006E4689">
          <w:rPr>
            <w:noProof/>
            <w:webHidden/>
          </w:rPr>
          <w:tab/>
        </w:r>
        <w:r w:rsidR="006E4689">
          <w:rPr>
            <w:noProof/>
            <w:webHidden/>
          </w:rPr>
          <w:fldChar w:fldCharType="begin"/>
        </w:r>
        <w:r w:rsidR="006E4689">
          <w:rPr>
            <w:noProof/>
            <w:webHidden/>
          </w:rPr>
          <w:instrText xml:space="preserve"> PAGEREF _Toc395082498 \h </w:instrText>
        </w:r>
        <w:r w:rsidR="006E4689">
          <w:rPr>
            <w:noProof/>
            <w:webHidden/>
          </w:rPr>
        </w:r>
        <w:r w:rsidR="006E4689">
          <w:rPr>
            <w:noProof/>
            <w:webHidden/>
          </w:rPr>
          <w:fldChar w:fldCharType="separate"/>
        </w:r>
        <w:r>
          <w:rPr>
            <w:noProof/>
            <w:webHidden/>
          </w:rPr>
          <w:t>244</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499" w:history="1">
        <w:r w:rsidR="006E4689" w:rsidRPr="00620531">
          <w:rPr>
            <w:rStyle w:val="Hyperlink"/>
            <w:noProof/>
          </w:rPr>
          <w:t>Programme 27</w:t>
        </w:r>
        <w:r w:rsidR="006E4689">
          <w:rPr>
            <w:rFonts w:asciiTheme="minorHAnsi" w:eastAsiaTheme="minorEastAsia" w:hAnsiTheme="minorHAnsi" w:cstheme="minorBidi"/>
            <w:noProof/>
            <w:sz w:val="22"/>
            <w:szCs w:val="22"/>
          </w:rPr>
          <w:tab/>
        </w:r>
        <w:r w:rsidR="006E4689" w:rsidRPr="00620531">
          <w:rPr>
            <w:rStyle w:val="Hyperlink"/>
            <w:noProof/>
          </w:rPr>
          <w:t>Services de conférence et services linguistiques</w:t>
        </w:r>
        <w:r w:rsidR="006E4689">
          <w:rPr>
            <w:noProof/>
            <w:webHidden/>
          </w:rPr>
          <w:tab/>
        </w:r>
        <w:r w:rsidR="006E4689">
          <w:rPr>
            <w:noProof/>
            <w:webHidden/>
          </w:rPr>
          <w:fldChar w:fldCharType="begin"/>
        </w:r>
        <w:r w:rsidR="006E4689">
          <w:rPr>
            <w:noProof/>
            <w:webHidden/>
          </w:rPr>
          <w:instrText xml:space="preserve"> PAGEREF _Toc395082499 \h </w:instrText>
        </w:r>
        <w:r w:rsidR="006E4689">
          <w:rPr>
            <w:noProof/>
            <w:webHidden/>
          </w:rPr>
        </w:r>
        <w:r w:rsidR="006E4689">
          <w:rPr>
            <w:noProof/>
            <w:webHidden/>
          </w:rPr>
          <w:fldChar w:fldCharType="separate"/>
        </w:r>
        <w:r>
          <w:rPr>
            <w:noProof/>
            <w:webHidden/>
          </w:rPr>
          <w:t>248</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500" w:history="1">
        <w:r w:rsidR="006E4689" w:rsidRPr="00620531">
          <w:rPr>
            <w:rStyle w:val="Hyperlink"/>
            <w:noProof/>
          </w:rPr>
          <w:t>Programme 28</w:t>
        </w:r>
        <w:r w:rsidR="006E4689">
          <w:rPr>
            <w:rFonts w:asciiTheme="minorHAnsi" w:eastAsiaTheme="minorEastAsia" w:hAnsiTheme="minorHAnsi" w:cstheme="minorBidi"/>
            <w:noProof/>
            <w:sz w:val="22"/>
            <w:szCs w:val="22"/>
          </w:rPr>
          <w:tab/>
        </w:r>
        <w:r w:rsidR="006E4689" w:rsidRPr="00620531">
          <w:rPr>
            <w:rStyle w:val="Hyperlink"/>
            <w:noProof/>
          </w:rPr>
          <w:t>Sûreté et sécurité</w:t>
        </w:r>
        <w:r w:rsidR="006E4689">
          <w:rPr>
            <w:noProof/>
            <w:webHidden/>
          </w:rPr>
          <w:tab/>
        </w:r>
        <w:r w:rsidR="006E4689">
          <w:rPr>
            <w:noProof/>
            <w:webHidden/>
          </w:rPr>
          <w:fldChar w:fldCharType="begin"/>
        </w:r>
        <w:r w:rsidR="006E4689">
          <w:rPr>
            <w:noProof/>
            <w:webHidden/>
          </w:rPr>
          <w:instrText xml:space="preserve"> PAGEREF _Toc395082500 \h </w:instrText>
        </w:r>
        <w:r w:rsidR="006E4689">
          <w:rPr>
            <w:noProof/>
            <w:webHidden/>
          </w:rPr>
        </w:r>
        <w:r w:rsidR="006E4689">
          <w:rPr>
            <w:noProof/>
            <w:webHidden/>
          </w:rPr>
          <w:fldChar w:fldCharType="separate"/>
        </w:r>
        <w:r>
          <w:rPr>
            <w:noProof/>
            <w:webHidden/>
          </w:rPr>
          <w:t>252</w:t>
        </w:r>
        <w:r w:rsidR="006E4689">
          <w:rPr>
            <w:noProof/>
            <w:webHidden/>
          </w:rPr>
          <w:fldChar w:fldCharType="end"/>
        </w:r>
      </w:hyperlink>
    </w:p>
    <w:p w:rsidR="00D42474" w:rsidRDefault="005B5604">
      <w:pPr>
        <w:pStyle w:val="TOC3"/>
        <w:rPr>
          <w:rFonts w:asciiTheme="minorHAnsi" w:eastAsiaTheme="minorEastAsia" w:hAnsiTheme="minorHAnsi" w:cstheme="minorBidi"/>
          <w:noProof/>
          <w:sz w:val="22"/>
          <w:szCs w:val="22"/>
        </w:rPr>
      </w:pPr>
      <w:hyperlink w:anchor="_Toc395082501" w:history="1">
        <w:r w:rsidR="006E4689" w:rsidRPr="00620531">
          <w:rPr>
            <w:rStyle w:val="Hyperlink"/>
            <w:noProof/>
          </w:rPr>
          <w:t>Programme 29</w:t>
        </w:r>
        <w:r w:rsidR="006E4689">
          <w:rPr>
            <w:rFonts w:asciiTheme="minorHAnsi" w:eastAsiaTheme="minorEastAsia" w:hAnsiTheme="minorHAnsi" w:cstheme="minorBidi"/>
            <w:noProof/>
            <w:sz w:val="22"/>
            <w:szCs w:val="22"/>
          </w:rPr>
          <w:tab/>
        </w:r>
        <w:r w:rsidR="006E4689" w:rsidRPr="00620531">
          <w:rPr>
            <w:rStyle w:val="Hyperlink"/>
            <w:noProof/>
          </w:rPr>
          <w:t>Projets de construction</w:t>
        </w:r>
        <w:r w:rsidR="006E4689">
          <w:rPr>
            <w:noProof/>
            <w:webHidden/>
          </w:rPr>
          <w:tab/>
        </w:r>
        <w:r w:rsidR="006E4689">
          <w:rPr>
            <w:noProof/>
            <w:webHidden/>
          </w:rPr>
          <w:fldChar w:fldCharType="begin"/>
        </w:r>
        <w:r w:rsidR="006E4689">
          <w:rPr>
            <w:noProof/>
            <w:webHidden/>
          </w:rPr>
          <w:instrText xml:space="preserve"> PAGEREF _Toc395082501 \h </w:instrText>
        </w:r>
        <w:r w:rsidR="006E4689">
          <w:rPr>
            <w:noProof/>
            <w:webHidden/>
          </w:rPr>
        </w:r>
        <w:r w:rsidR="006E4689">
          <w:rPr>
            <w:noProof/>
            <w:webHidden/>
          </w:rPr>
          <w:fldChar w:fldCharType="separate"/>
        </w:r>
        <w:r>
          <w:rPr>
            <w:noProof/>
            <w:webHidden/>
          </w:rPr>
          <w:t>255</w:t>
        </w:r>
        <w:r w:rsidR="006E4689">
          <w:rPr>
            <w:noProof/>
            <w:webHidden/>
          </w:rPr>
          <w:fldChar w:fldCharType="end"/>
        </w:r>
      </w:hyperlink>
    </w:p>
    <w:p w:rsidR="00D42474" w:rsidRDefault="005B5604">
      <w:pPr>
        <w:pStyle w:val="TOC1"/>
        <w:rPr>
          <w:rFonts w:asciiTheme="minorHAnsi" w:eastAsiaTheme="minorEastAsia" w:hAnsiTheme="minorHAnsi" w:cstheme="minorBidi"/>
          <w:b w:val="0"/>
          <w:szCs w:val="22"/>
        </w:rPr>
      </w:pPr>
      <w:hyperlink w:anchor="_Toc395082502" w:history="1">
        <w:r w:rsidR="006E4689" w:rsidRPr="00620531">
          <w:rPr>
            <w:rStyle w:val="Hyperlink"/>
          </w:rPr>
          <w:t>VII.</w:t>
        </w:r>
        <w:r w:rsidR="006E4689">
          <w:rPr>
            <w:rFonts w:asciiTheme="minorHAnsi" w:eastAsiaTheme="minorEastAsia" w:hAnsiTheme="minorHAnsi" w:cstheme="minorBidi"/>
            <w:b w:val="0"/>
            <w:szCs w:val="22"/>
          </w:rPr>
          <w:tab/>
        </w:r>
        <w:r w:rsidR="006E4689" w:rsidRPr="00620531">
          <w:rPr>
            <w:rStyle w:val="Hyperlink"/>
          </w:rPr>
          <w:t>ANNEXES</w:t>
        </w:r>
        <w:r w:rsidR="006E4689">
          <w:rPr>
            <w:webHidden/>
          </w:rPr>
          <w:tab/>
        </w:r>
        <w:r w:rsidR="006E4689">
          <w:rPr>
            <w:webHidden/>
          </w:rPr>
          <w:fldChar w:fldCharType="begin"/>
        </w:r>
        <w:r w:rsidR="006E4689">
          <w:rPr>
            <w:webHidden/>
          </w:rPr>
          <w:instrText xml:space="preserve"> PAGEREF _Toc395082502 \h </w:instrText>
        </w:r>
        <w:r w:rsidR="006E4689">
          <w:rPr>
            <w:webHidden/>
          </w:rPr>
        </w:r>
        <w:r w:rsidR="006E4689">
          <w:rPr>
            <w:webHidden/>
          </w:rPr>
          <w:fldChar w:fldCharType="separate"/>
        </w:r>
        <w:r>
          <w:rPr>
            <w:webHidden/>
          </w:rPr>
          <w:t>258</w:t>
        </w:r>
        <w:r w:rsidR="006E4689">
          <w:rPr>
            <w:webHidden/>
          </w:rPr>
          <w:fldChar w:fldCharType="end"/>
        </w:r>
      </w:hyperlink>
    </w:p>
    <w:p w:rsidR="00D42474" w:rsidRDefault="005B5604">
      <w:pPr>
        <w:pStyle w:val="TOC4"/>
        <w:rPr>
          <w:rFonts w:asciiTheme="minorHAnsi" w:eastAsiaTheme="minorEastAsia" w:hAnsiTheme="minorHAnsi" w:cstheme="minorBidi"/>
          <w:sz w:val="22"/>
          <w:szCs w:val="22"/>
        </w:rPr>
      </w:pPr>
      <w:hyperlink w:anchor="_Toc395082503" w:history="1">
        <w:r w:rsidR="006E4689" w:rsidRPr="00620531">
          <w:rPr>
            <w:rStyle w:val="Hyperlink"/>
          </w:rPr>
          <w:t xml:space="preserve">Annexe I  </w:t>
        </w:r>
        <w:r w:rsidR="006E4689">
          <w:rPr>
            <w:rStyle w:val="Hyperlink"/>
          </w:rPr>
          <w:tab/>
        </w:r>
        <w:r w:rsidR="006E4689" w:rsidRPr="00620531">
          <w:rPr>
            <w:rStyle w:val="Hyperlink"/>
          </w:rPr>
          <w:t>Répartition des évaluations de l’exécution par programme</w:t>
        </w:r>
        <w:r w:rsidR="006E4689">
          <w:rPr>
            <w:webHidden/>
          </w:rPr>
          <w:tab/>
        </w:r>
        <w:r w:rsidR="006E4689">
          <w:rPr>
            <w:webHidden/>
          </w:rPr>
          <w:fldChar w:fldCharType="begin"/>
        </w:r>
        <w:r w:rsidR="006E4689">
          <w:rPr>
            <w:webHidden/>
          </w:rPr>
          <w:instrText xml:space="preserve"> PAGEREF _Toc395082503 \h </w:instrText>
        </w:r>
        <w:r w:rsidR="006E4689">
          <w:rPr>
            <w:webHidden/>
          </w:rPr>
        </w:r>
        <w:r w:rsidR="006E4689">
          <w:rPr>
            <w:webHidden/>
          </w:rPr>
          <w:fldChar w:fldCharType="separate"/>
        </w:r>
        <w:r>
          <w:rPr>
            <w:webHidden/>
          </w:rPr>
          <w:t>258</w:t>
        </w:r>
        <w:r w:rsidR="006E4689">
          <w:rPr>
            <w:webHidden/>
          </w:rPr>
          <w:fldChar w:fldCharType="end"/>
        </w:r>
      </w:hyperlink>
    </w:p>
    <w:p w:rsidR="00D42474" w:rsidRDefault="005B5604">
      <w:pPr>
        <w:pStyle w:val="TOC4"/>
        <w:rPr>
          <w:rFonts w:asciiTheme="minorHAnsi" w:eastAsiaTheme="minorEastAsia" w:hAnsiTheme="minorHAnsi" w:cstheme="minorBidi"/>
          <w:sz w:val="22"/>
          <w:szCs w:val="22"/>
        </w:rPr>
      </w:pPr>
      <w:hyperlink w:anchor="_Toc395082504" w:history="1">
        <w:r w:rsidR="006E4689" w:rsidRPr="00620531">
          <w:rPr>
            <w:rStyle w:val="Hyperlink"/>
          </w:rPr>
          <w:t xml:space="preserve">Annexe II  </w:t>
        </w:r>
        <w:r w:rsidR="006E4689">
          <w:rPr>
            <w:rStyle w:val="Hyperlink"/>
          </w:rPr>
          <w:tab/>
        </w:r>
        <w:r w:rsidR="006E4689" w:rsidRPr="00620531">
          <w:rPr>
            <w:rStyle w:val="Hyperlink"/>
          </w:rPr>
          <w:t>Mise en œuvre des fonds fiduciaires 2013</w:t>
        </w:r>
        <w:r w:rsidR="006E4689">
          <w:rPr>
            <w:webHidden/>
          </w:rPr>
          <w:tab/>
        </w:r>
        <w:r w:rsidR="006E4689">
          <w:rPr>
            <w:webHidden/>
          </w:rPr>
          <w:fldChar w:fldCharType="begin"/>
        </w:r>
        <w:r w:rsidR="006E4689">
          <w:rPr>
            <w:webHidden/>
          </w:rPr>
          <w:instrText xml:space="preserve"> PAGEREF _Toc395082504 \h </w:instrText>
        </w:r>
        <w:r w:rsidR="006E4689">
          <w:rPr>
            <w:webHidden/>
          </w:rPr>
        </w:r>
        <w:r w:rsidR="006E4689">
          <w:rPr>
            <w:webHidden/>
          </w:rPr>
          <w:fldChar w:fldCharType="separate"/>
        </w:r>
        <w:r>
          <w:rPr>
            <w:webHidden/>
          </w:rPr>
          <w:t>259</w:t>
        </w:r>
        <w:r w:rsidR="006E4689">
          <w:rPr>
            <w:webHidden/>
          </w:rPr>
          <w:fldChar w:fldCharType="end"/>
        </w:r>
      </w:hyperlink>
    </w:p>
    <w:p w:rsidR="00D42474" w:rsidRDefault="005B5604">
      <w:pPr>
        <w:pStyle w:val="TOC4"/>
        <w:rPr>
          <w:rFonts w:asciiTheme="minorHAnsi" w:eastAsiaTheme="minorEastAsia" w:hAnsiTheme="minorHAnsi" w:cstheme="minorBidi"/>
          <w:sz w:val="22"/>
          <w:szCs w:val="22"/>
        </w:rPr>
      </w:pPr>
      <w:hyperlink w:anchor="_Toc395082505" w:history="1">
        <w:r w:rsidR="006E4689" w:rsidRPr="00620531">
          <w:rPr>
            <w:rStyle w:val="Hyperlink"/>
          </w:rPr>
          <w:t xml:space="preserve">Annexe III  </w:t>
        </w:r>
        <w:r w:rsidR="006E4689">
          <w:rPr>
            <w:rStyle w:val="Hyperlink"/>
          </w:rPr>
          <w:tab/>
        </w:r>
        <w:r w:rsidR="006E4689" w:rsidRPr="00620531">
          <w:rPr>
            <w:rStyle w:val="Hyperlink"/>
          </w:rPr>
          <w:t>Sigles utilisés dans le présent document</w:t>
        </w:r>
        <w:r w:rsidR="006E4689">
          <w:rPr>
            <w:webHidden/>
          </w:rPr>
          <w:tab/>
        </w:r>
        <w:r w:rsidR="006E4689">
          <w:rPr>
            <w:webHidden/>
          </w:rPr>
          <w:fldChar w:fldCharType="begin"/>
        </w:r>
        <w:r w:rsidR="006E4689">
          <w:rPr>
            <w:webHidden/>
          </w:rPr>
          <w:instrText xml:space="preserve"> PAGEREF _Toc395082505 \h </w:instrText>
        </w:r>
        <w:r w:rsidR="006E4689">
          <w:rPr>
            <w:webHidden/>
          </w:rPr>
        </w:r>
        <w:r w:rsidR="006E4689">
          <w:rPr>
            <w:webHidden/>
          </w:rPr>
          <w:fldChar w:fldCharType="separate"/>
        </w:r>
        <w:r>
          <w:rPr>
            <w:webHidden/>
          </w:rPr>
          <w:t>293</w:t>
        </w:r>
        <w:r w:rsidR="006E4689">
          <w:rPr>
            <w:webHidden/>
          </w:rPr>
          <w:fldChar w:fldCharType="end"/>
        </w:r>
      </w:hyperlink>
    </w:p>
    <w:p w:rsidR="00D42474" w:rsidRDefault="00BB3F3E" w:rsidP="001A5BF9">
      <w:pPr>
        <w:pStyle w:val="TOC1"/>
        <w:rPr>
          <w:noProof w:val="0"/>
        </w:rPr>
      </w:pPr>
      <w:r w:rsidRPr="005C7CCE">
        <w:rPr>
          <w:b w:val="0"/>
          <w:noProof w:val="0"/>
        </w:rPr>
        <w:fldChar w:fldCharType="end"/>
      </w:r>
    </w:p>
    <w:p w:rsidR="00BB3F3E" w:rsidRPr="005C7CCE" w:rsidRDefault="00BB3F3E" w:rsidP="001A5BF9">
      <w:pPr>
        <w:sectPr w:rsidR="00BB3F3E" w:rsidRPr="005C7CCE" w:rsidSect="00BB3F3E">
          <w:headerReference w:type="default" r:id="rId14"/>
          <w:footerReference w:type="default" r:id="rId15"/>
          <w:pgSz w:w="11907" w:h="16840" w:code="9"/>
          <w:pgMar w:top="567" w:right="1134" w:bottom="1418" w:left="1418" w:header="510" w:footer="1021" w:gutter="0"/>
          <w:pgNumType w:fmt="lowerRoman" w:start="1"/>
          <w:cols w:space="720"/>
          <w:docGrid w:linePitch="272"/>
        </w:sectPr>
      </w:pPr>
    </w:p>
    <w:p w:rsidR="00D42474" w:rsidRDefault="00667FB3" w:rsidP="007B0500">
      <w:pPr>
        <w:pStyle w:val="Heading1"/>
      </w:pPr>
      <w:bookmarkStart w:id="3" w:name="_Toc395082456"/>
      <w:r w:rsidRPr="007B0500">
        <w:t>INTRODUCTION</w:t>
      </w:r>
      <w:bookmarkEnd w:id="3"/>
    </w:p>
    <w:p w:rsidR="00D42474" w:rsidRDefault="00D42474" w:rsidP="001A5BF9">
      <w:pPr>
        <w:jc w:val="both"/>
      </w:pPr>
    </w:p>
    <w:p w:rsidR="00D42474" w:rsidRDefault="00BB3F3E" w:rsidP="001A5BF9">
      <w:pPr>
        <w:jc w:val="both"/>
      </w:pPr>
      <w:r w:rsidRPr="00083EF7">
        <w:t>Le Rapport sur l</w:t>
      </w:r>
      <w:r w:rsidR="00A20444" w:rsidRPr="00083EF7">
        <w:t>’</w:t>
      </w:r>
      <w:r w:rsidRPr="00083EF7">
        <w:t>exécution du programme est le principal outil qui permet de rendre compte aux États membres de l</w:t>
      </w:r>
      <w:r w:rsidR="00A20444" w:rsidRPr="00083EF7">
        <w:t>’</w:t>
      </w:r>
      <w:r w:rsidRPr="00083EF7">
        <w:t>exécution du programme de l</w:t>
      </w:r>
      <w:r w:rsidR="00A20444" w:rsidRPr="00083EF7">
        <w:t>’</w:t>
      </w:r>
      <w:r w:rsidRPr="00083EF7">
        <w:t>Organisation et il fait partie intégrante du cadre de gestion axée sur les résultats mis en œuvre par l</w:t>
      </w:r>
      <w:r w:rsidR="00A20444" w:rsidRPr="00083EF7">
        <w:t>’</w:t>
      </w:r>
      <w:r w:rsidRPr="00083EF7">
        <w:t>OMPI.</w:t>
      </w:r>
      <w:r w:rsidR="004F3E42" w:rsidRPr="00083EF7">
        <w:t xml:space="preserve"> </w:t>
      </w:r>
      <w:r w:rsidR="0010442A" w:rsidRPr="00083EF7">
        <w:t xml:space="preserve"> </w:t>
      </w:r>
      <w:r w:rsidRPr="00083EF7">
        <w:t>Il constitue également un moyen de référence important, car il permet de tirer des enseignements des résultats précédents et d</w:t>
      </w:r>
      <w:r w:rsidR="00A20444" w:rsidRPr="00083EF7">
        <w:t>’</w:t>
      </w:r>
      <w:r w:rsidRPr="00083EF7">
        <w:t>en tenir dûment compte dans la mise en œuvre future des activités de l</w:t>
      </w:r>
      <w:r w:rsidR="00A20444" w:rsidRPr="00083EF7">
        <w:t>’</w:t>
      </w:r>
      <w:r w:rsidRPr="00083EF7">
        <w:t>OMPI.</w:t>
      </w:r>
      <w:r w:rsidR="004F3E42" w:rsidRPr="00083EF7">
        <w:t xml:space="preserve"> </w:t>
      </w:r>
      <w:r w:rsidR="0010442A" w:rsidRPr="00083EF7">
        <w:t xml:space="preserve"> </w:t>
      </w:r>
      <w:r w:rsidRPr="00083EF7">
        <w:t>Le rapport sur l</w:t>
      </w:r>
      <w:r w:rsidR="00A20444" w:rsidRPr="00083EF7">
        <w:t>’</w:t>
      </w:r>
      <w:r w:rsidRPr="00083EF7">
        <w:t>exécution du programme est une auto</w:t>
      </w:r>
      <w:r w:rsidR="002D6F2A" w:rsidRPr="00083EF7">
        <w:noBreakHyphen/>
      </w:r>
      <w:r w:rsidRPr="00083EF7">
        <w:t xml:space="preserve">évaluation par les chefs de programme sur la base du cadre de résultats approuvé par les États membres. </w:t>
      </w:r>
      <w:r w:rsidR="0010442A" w:rsidRPr="00083EF7">
        <w:t xml:space="preserve"> </w:t>
      </w:r>
      <w:r w:rsidRPr="00083EF7">
        <w:t>Pour renforcer la validité de ce rapport, la Division de l</w:t>
      </w:r>
      <w:r w:rsidR="00A20444" w:rsidRPr="00083EF7">
        <w:t>’</w:t>
      </w:r>
      <w:r w:rsidRPr="00083EF7">
        <w:t>audit et de la supervision internes procède à une validation des données relatives à l</w:t>
      </w:r>
      <w:r w:rsidR="00A20444" w:rsidRPr="00083EF7">
        <w:t>’</w:t>
      </w:r>
      <w:r w:rsidRPr="00083EF7">
        <w:t xml:space="preserve">exécution sur une base biennale. </w:t>
      </w:r>
      <w:r w:rsidR="0010442A" w:rsidRPr="00083EF7">
        <w:t xml:space="preserve"> </w:t>
      </w:r>
      <w:r w:rsidRPr="00083EF7">
        <w:t>La validation du rapport sur l</w:t>
      </w:r>
      <w:r w:rsidR="00A20444" w:rsidRPr="00083EF7">
        <w:t>’</w:t>
      </w:r>
      <w:r w:rsidRPr="00083EF7">
        <w:t>exécution du programme en 2012</w:t>
      </w:r>
      <w:r w:rsidR="002D6F2A" w:rsidRPr="00083EF7">
        <w:noBreakHyphen/>
      </w:r>
      <w:r w:rsidRPr="00083EF7">
        <w:t>2013 figure dans le document WO/PBC/22/9.</w:t>
      </w:r>
    </w:p>
    <w:p w:rsidR="00D42474" w:rsidRDefault="00D42474" w:rsidP="001A5BF9">
      <w:pPr>
        <w:jc w:val="both"/>
      </w:pPr>
    </w:p>
    <w:p w:rsidR="00D42474" w:rsidRDefault="00BB3F3E" w:rsidP="001A5BF9">
      <w:pPr>
        <w:jc w:val="both"/>
      </w:pPr>
      <w:r w:rsidRPr="00083EF7">
        <w:t>Le rapport sur l</w:t>
      </w:r>
      <w:r w:rsidR="00A20444" w:rsidRPr="00083EF7">
        <w:t>’</w:t>
      </w:r>
      <w:r w:rsidRPr="00083EF7">
        <w:t>exécution du programme en 2012</w:t>
      </w:r>
      <w:r w:rsidR="002D6F2A" w:rsidRPr="00083EF7">
        <w:noBreakHyphen/>
      </w:r>
      <w:r w:rsidRPr="00083EF7">
        <w:t>2013 est un rapport de fin d</w:t>
      </w:r>
      <w:r w:rsidR="00A20444" w:rsidRPr="00083EF7">
        <w:t>’</w:t>
      </w:r>
      <w:r w:rsidRPr="00083EF7">
        <w:t>exercice biennal qui évalue les progrès accomplis et/ou la réalisation des résultats escomptés, mesurés au moyen des indicateurs d</w:t>
      </w:r>
      <w:r w:rsidR="00A20444" w:rsidRPr="00083EF7">
        <w:t>’</w:t>
      </w:r>
      <w:r w:rsidRPr="00083EF7">
        <w:t xml:space="preserve">exécution et avec les ressources approuvées dans le </w:t>
      </w:r>
      <w:r w:rsidR="00667FB3" w:rsidRPr="00083EF7">
        <w:t>programme et budget</w:t>
      </w:r>
      <w:r w:rsidRPr="00083EF7">
        <w:t> 2012</w:t>
      </w:r>
      <w:r w:rsidR="002D6F2A" w:rsidRPr="00083EF7">
        <w:noBreakHyphen/>
      </w:r>
      <w:r w:rsidRPr="00083EF7">
        <w:t xml:space="preserve">2013. </w:t>
      </w:r>
      <w:r w:rsidR="0010442A" w:rsidRPr="00083EF7">
        <w:t xml:space="preserve"> </w:t>
      </w:r>
      <w:r w:rsidRPr="00083EF7">
        <w:t>Un indicateur d</w:t>
      </w:r>
      <w:r w:rsidR="00A20444" w:rsidRPr="00083EF7">
        <w:t>’</w:t>
      </w:r>
      <w:r w:rsidRPr="00083EF7">
        <w:t>exécution a pu être mesuré au regard de plusieurs cibles.</w:t>
      </w:r>
      <w:r w:rsidR="0010442A" w:rsidRPr="00083EF7">
        <w:t xml:space="preserve"> </w:t>
      </w:r>
      <w:r w:rsidRPr="00083EF7">
        <w:t xml:space="preserve"> Dans ce cas, la notation pour chaque cible est indiquée, ce qui donne lieu à plusieurs notations</w:t>
      </w:r>
      <w:r w:rsidR="002D6F2A" w:rsidRPr="00083EF7">
        <w:t>.</w:t>
      </w:r>
      <w:r w:rsidR="0010442A" w:rsidRPr="00083EF7">
        <w:t xml:space="preserve"> </w:t>
      </w:r>
      <w:r w:rsidR="004F3E42" w:rsidRPr="00083EF7">
        <w:t xml:space="preserve"> </w:t>
      </w:r>
      <w:r w:rsidRPr="00083EF7">
        <w:t>Les critères d</w:t>
      </w:r>
      <w:r w:rsidR="00A20444" w:rsidRPr="00083EF7">
        <w:t>’</w:t>
      </w:r>
      <w:r w:rsidRPr="00083EF7">
        <w:t>évaluation ci</w:t>
      </w:r>
      <w:r w:rsidR="002D6F2A" w:rsidRPr="00083EF7">
        <w:noBreakHyphen/>
      </w:r>
      <w:r w:rsidRPr="00083EF7">
        <w:t>après ont été utilisés pour le Rapport sur l</w:t>
      </w:r>
      <w:r w:rsidR="00A20444" w:rsidRPr="00083EF7">
        <w:t>’</w:t>
      </w:r>
      <w:r w:rsidRPr="00083EF7">
        <w:t>exécution du programme en 2012</w:t>
      </w:r>
      <w:r w:rsidR="002D6F2A" w:rsidRPr="00083EF7">
        <w:noBreakHyphen/>
      </w:r>
      <w:r w:rsidRPr="00083EF7">
        <w:t>2013.</w:t>
      </w:r>
    </w:p>
    <w:p w:rsidR="00D42474" w:rsidRDefault="00D42474" w:rsidP="001A5BF9">
      <w:pPr>
        <w:jc w:val="both"/>
      </w:pPr>
    </w:p>
    <w:p w:rsidR="00D42474" w:rsidRDefault="00BB3F3E" w:rsidP="001A5BF9">
      <w:pPr>
        <w:pStyle w:val="BodyText"/>
        <w:autoSpaceDE w:val="0"/>
        <w:autoSpaceDN w:val="0"/>
        <w:adjustRightInd w:val="0"/>
        <w:jc w:val="both"/>
      </w:pPr>
      <w:r w:rsidRPr="00083EF7">
        <w:t>Code de couleurs</w:t>
      </w:r>
      <w:r w:rsidR="0010442A" w:rsidRPr="00083EF7">
        <w:t> </w:t>
      </w:r>
      <w:r w:rsidRPr="00083EF7">
        <w:t>:</w:t>
      </w:r>
    </w:p>
    <w:p w:rsidR="00D42474" w:rsidRDefault="00D42474" w:rsidP="001A5BF9">
      <w:pPr>
        <w:pStyle w:val="BodyText"/>
        <w:autoSpaceDE w:val="0"/>
        <w:autoSpaceDN w:val="0"/>
        <w:adjustRightInd w:val="0"/>
        <w:jc w:val="both"/>
        <w:rPr>
          <w:sz w:val="16"/>
          <w:szCs w:val="16"/>
        </w:rPr>
      </w:pPr>
    </w:p>
    <w:p w:rsidR="00D42474" w:rsidRDefault="00BB3F3E" w:rsidP="001A5BF9">
      <w:pPr>
        <w:numPr>
          <w:ilvl w:val="0"/>
          <w:numId w:val="84"/>
        </w:numPr>
        <w:jc w:val="both"/>
      </w:pPr>
      <w:r w:rsidRPr="005C7CCE">
        <w:rPr>
          <w:b/>
          <w:color w:val="008000"/>
        </w:rPr>
        <w:t xml:space="preserve">Pleinement atteint </w:t>
      </w:r>
      <w:r w:rsidRPr="005C7CCE">
        <w:t>est utilisé lorsque les données relatives à l</w:t>
      </w:r>
      <w:r w:rsidR="00A20444" w:rsidRPr="005C7CCE">
        <w:t>’</w:t>
      </w:r>
      <w:r w:rsidRPr="005C7CCE">
        <w:t>exécution laissent entendre que l</w:t>
      </w:r>
      <w:r w:rsidR="00A20444" w:rsidRPr="005C7CCE">
        <w:t>’</w:t>
      </w:r>
      <w:r w:rsidRPr="005C7CCE">
        <w:t>objectif de l</w:t>
      </w:r>
      <w:r w:rsidR="00A20444" w:rsidRPr="005C7CCE">
        <w:t>’</w:t>
      </w:r>
      <w:r w:rsidRPr="005C7CCE">
        <w:t>indicateur d</w:t>
      </w:r>
      <w:r w:rsidR="00A20444" w:rsidRPr="005C7CCE">
        <w:t>’</w:t>
      </w:r>
      <w:r w:rsidRPr="005C7CCE">
        <w:t>exécution a été atteint à 80</w:t>
      </w:r>
      <w:r w:rsidR="007E442D" w:rsidRPr="005C7CCE">
        <w:t>%</w:t>
      </w:r>
      <w:r w:rsidRPr="005C7CCE">
        <w:t xml:space="preserve"> ou plus.</w:t>
      </w:r>
    </w:p>
    <w:p w:rsidR="00D42474" w:rsidRDefault="00D42474" w:rsidP="001A5BF9">
      <w:pPr>
        <w:ind w:left="964"/>
        <w:jc w:val="both"/>
        <w:rPr>
          <w:sz w:val="12"/>
          <w:szCs w:val="12"/>
        </w:rPr>
      </w:pPr>
    </w:p>
    <w:p w:rsidR="00D42474" w:rsidRDefault="00BB3F3E" w:rsidP="001A5BF9">
      <w:pPr>
        <w:numPr>
          <w:ilvl w:val="0"/>
          <w:numId w:val="84"/>
        </w:numPr>
        <w:jc w:val="both"/>
      </w:pPr>
      <w:r w:rsidRPr="005C7CCE">
        <w:rPr>
          <w:b/>
          <w:color w:val="E36C0A"/>
        </w:rPr>
        <w:t>Partie</w:t>
      </w:r>
      <w:r w:rsidRPr="0015421B">
        <w:rPr>
          <w:b/>
          <w:color w:val="E36C0A"/>
        </w:rPr>
        <w:t>lle</w:t>
      </w:r>
      <w:r w:rsidRPr="005C7CCE">
        <w:rPr>
          <w:b/>
          <w:color w:val="E36C0A"/>
        </w:rPr>
        <w:t xml:space="preserve">ment atteint </w:t>
      </w:r>
      <w:r w:rsidRPr="005C7CCE">
        <w:t>est utilisé lorsque les données relatives à l</w:t>
      </w:r>
      <w:r w:rsidR="00A20444" w:rsidRPr="005C7CCE">
        <w:t>’</w:t>
      </w:r>
      <w:r w:rsidRPr="005C7CCE">
        <w:t>exécution indiquent que l</w:t>
      </w:r>
      <w:r w:rsidR="00A20444" w:rsidRPr="005C7CCE">
        <w:t>’</w:t>
      </w:r>
      <w:r w:rsidRPr="005C7CCE">
        <w:t>objectif de l</w:t>
      </w:r>
      <w:r w:rsidR="00A20444" w:rsidRPr="005C7CCE">
        <w:t>’</w:t>
      </w:r>
      <w:r w:rsidRPr="005C7CCE">
        <w:t>indicateur d</w:t>
      </w:r>
      <w:r w:rsidR="00A20444" w:rsidRPr="005C7CCE">
        <w:t>’</w:t>
      </w:r>
      <w:r w:rsidRPr="005C7CCE">
        <w:t>exécution a été atteint pour 30 à 80</w:t>
      </w:r>
      <w:r w:rsidR="007E442D" w:rsidRPr="005C7CCE">
        <w:t>%</w:t>
      </w:r>
      <w:r w:rsidRPr="005C7CCE">
        <w:t>.</w:t>
      </w:r>
    </w:p>
    <w:p w:rsidR="00D42474" w:rsidRDefault="00D42474" w:rsidP="001A5BF9">
      <w:pPr>
        <w:ind w:left="964"/>
        <w:jc w:val="both"/>
        <w:rPr>
          <w:sz w:val="12"/>
          <w:szCs w:val="12"/>
        </w:rPr>
      </w:pPr>
    </w:p>
    <w:p w:rsidR="00D42474" w:rsidRDefault="00BB3F3E" w:rsidP="001A5BF9">
      <w:pPr>
        <w:numPr>
          <w:ilvl w:val="0"/>
          <w:numId w:val="84"/>
        </w:numPr>
        <w:jc w:val="both"/>
      </w:pPr>
      <w:r w:rsidRPr="005C7CCE">
        <w:rPr>
          <w:b/>
          <w:color w:val="FF0000"/>
        </w:rPr>
        <w:t xml:space="preserve">Pas atteint </w:t>
      </w:r>
      <w:r w:rsidRPr="005C7CCE">
        <w:t>est utilisé lorsque les données relatives à l</w:t>
      </w:r>
      <w:r w:rsidR="00A20444" w:rsidRPr="005C7CCE">
        <w:t>’</w:t>
      </w:r>
      <w:r w:rsidRPr="005C7CCE">
        <w:t>exécution indiquent que l</w:t>
      </w:r>
      <w:r w:rsidR="00A20444" w:rsidRPr="005C7CCE">
        <w:t>’</w:t>
      </w:r>
      <w:r w:rsidRPr="005C7CCE">
        <w:t>objectif de l</w:t>
      </w:r>
      <w:r w:rsidR="00A20444" w:rsidRPr="005C7CCE">
        <w:t>’</w:t>
      </w:r>
      <w:r w:rsidRPr="005C7CCE">
        <w:t>indicateur d</w:t>
      </w:r>
      <w:r w:rsidR="00A20444" w:rsidRPr="005C7CCE">
        <w:t>’</w:t>
      </w:r>
      <w:r w:rsidRPr="005C7CCE">
        <w:t>exécution a été atteint à moins de 30</w:t>
      </w:r>
      <w:r w:rsidR="007E442D" w:rsidRPr="005C7CCE">
        <w:t>%</w:t>
      </w:r>
      <w:r w:rsidRPr="005C7CCE">
        <w:t>.</w:t>
      </w:r>
    </w:p>
    <w:p w:rsidR="00D42474" w:rsidRDefault="00D42474" w:rsidP="001A5BF9">
      <w:pPr>
        <w:ind w:left="964"/>
        <w:jc w:val="both"/>
        <w:rPr>
          <w:sz w:val="8"/>
          <w:szCs w:val="8"/>
        </w:rPr>
      </w:pPr>
    </w:p>
    <w:p w:rsidR="00D42474" w:rsidRDefault="00BB3F3E" w:rsidP="001A5BF9">
      <w:pPr>
        <w:numPr>
          <w:ilvl w:val="0"/>
          <w:numId w:val="84"/>
        </w:numPr>
        <w:jc w:val="both"/>
      </w:pPr>
      <w:r w:rsidRPr="005C7CCE">
        <w:rPr>
          <w:b/>
        </w:rPr>
        <w:t>Abandonné</w:t>
      </w:r>
      <w:r w:rsidRPr="005C7CCE">
        <w:t xml:space="preserve"> est utilisé lorsque l</w:t>
      </w:r>
      <w:r w:rsidR="00A20444" w:rsidRPr="005C7CCE">
        <w:t>’</w:t>
      </w:r>
      <w:r w:rsidRPr="005C7CCE">
        <w:t>indicateur d</w:t>
      </w:r>
      <w:r w:rsidR="00A20444" w:rsidRPr="005C7CCE">
        <w:t>’</w:t>
      </w:r>
      <w:r w:rsidRPr="005C7CCE">
        <w:t>exécution n</w:t>
      </w:r>
      <w:r w:rsidR="00A20444" w:rsidRPr="005C7CCE">
        <w:t>’</w:t>
      </w:r>
      <w:r w:rsidRPr="005C7CCE">
        <w:t>est plus utilisé pour mesurer la contribution du programme aux résultats escomptés.</w:t>
      </w:r>
    </w:p>
    <w:p w:rsidR="00D42474" w:rsidRDefault="00D42474" w:rsidP="001A5BF9">
      <w:pPr>
        <w:ind w:left="964"/>
        <w:jc w:val="both"/>
        <w:rPr>
          <w:sz w:val="12"/>
          <w:szCs w:val="12"/>
        </w:rPr>
      </w:pPr>
    </w:p>
    <w:p w:rsidR="00D42474" w:rsidRDefault="00BB3F3E" w:rsidP="001A5BF9">
      <w:pPr>
        <w:numPr>
          <w:ilvl w:val="0"/>
          <w:numId w:val="84"/>
        </w:numPr>
        <w:jc w:val="both"/>
      </w:pPr>
      <w:r w:rsidRPr="005C7CCE">
        <w:rPr>
          <w:b/>
          <w:color w:val="7F7F7F"/>
        </w:rPr>
        <w:t>N</w:t>
      </w:r>
      <w:r w:rsidRPr="0015421B">
        <w:rPr>
          <w:b/>
          <w:color w:val="7F7F7F"/>
        </w:rPr>
        <w:t>on</w:t>
      </w:r>
      <w:r w:rsidRPr="005C7CCE">
        <w:rPr>
          <w:b/>
          <w:color w:val="7F7F7F"/>
        </w:rPr>
        <w:t xml:space="preserve"> évaluable</w:t>
      </w:r>
      <w:r w:rsidRPr="005C7CCE">
        <w:t xml:space="preserve"> est utilisé lorsque l</w:t>
      </w:r>
      <w:r w:rsidR="00A20444" w:rsidRPr="005C7CCE">
        <w:t>’</w:t>
      </w:r>
      <w:r w:rsidRPr="005C7CCE">
        <w:t>évaluation de l</w:t>
      </w:r>
      <w:r w:rsidR="00A20444" w:rsidRPr="005C7CCE">
        <w:t>’</w:t>
      </w:r>
      <w:r w:rsidRPr="005C7CCE">
        <w:t>exécution n</w:t>
      </w:r>
      <w:r w:rsidR="00A20444" w:rsidRPr="005C7CCE">
        <w:t>’</w:t>
      </w:r>
      <w:r w:rsidRPr="005C7CCE">
        <w:t>est pas faisable parce que les données relatives à la cible n</w:t>
      </w:r>
      <w:r w:rsidR="00A20444" w:rsidRPr="005C7CCE">
        <w:t>’</w:t>
      </w:r>
      <w:r w:rsidRPr="005C7CCE">
        <w:t>ont pas été correctement définies, ou lorsque les données relatives à l</w:t>
      </w:r>
      <w:r w:rsidR="00A20444" w:rsidRPr="005C7CCE">
        <w:t>’</w:t>
      </w:r>
      <w:r w:rsidRPr="005C7CCE">
        <w:t>exécution sont insuffisantes pour déterminer le code de couleurs.</w:t>
      </w:r>
    </w:p>
    <w:p w:rsidR="00D42474" w:rsidRDefault="00D42474" w:rsidP="001A5BF9">
      <w:pPr>
        <w:jc w:val="both"/>
      </w:pPr>
    </w:p>
    <w:p w:rsidR="00D42474" w:rsidRDefault="00BB3F3E" w:rsidP="001A5BF9">
      <w:pPr>
        <w:jc w:val="both"/>
      </w:pPr>
      <w:r w:rsidRPr="005C7CCE">
        <w:t>Sur un total de 299 indicateurs d</w:t>
      </w:r>
      <w:r w:rsidR="00A20444" w:rsidRPr="005C7CCE">
        <w:t>’</w:t>
      </w:r>
      <w:r w:rsidRPr="005C7CCE">
        <w:t>exécution que contient le programme et budget 2012</w:t>
      </w:r>
      <w:r w:rsidR="002D6F2A" w:rsidRPr="005C7CCE">
        <w:noBreakHyphen/>
      </w:r>
      <w:r w:rsidRPr="005C7CCE">
        <w:t>2013, 21</w:t>
      </w:r>
      <w:r w:rsidR="00BB7B60">
        <w:t>4</w:t>
      </w:r>
      <w:r w:rsidRPr="005C7CCE">
        <w:t> indicateurs ont été évalués et jugés “pleinement atteints”, soit 72</w:t>
      </w:r>
      <w:r w:rsidR="0010442A" w:rsidRPr="005C7CCE">
        <w:t xml:space="preserve">%. </w:t>
      </w:r>
      <w:r w:rsidRPr="005C7CCE">
        <w:t xml:space="preserve"> L</w:t>
      </w:r>
      <w:r w:rsidR="00A20444" w:rsidRPr="005C7CCE">
        <w:t>’</w:t>
      </w:r>
      <w:r w:rsidRPr="005C7CCE">
        <w:t>exécution, sur un total de 2</w:t>
      </w:r>
      <w:r w:rsidR="00BB7B60">
        <w:t>9</w:t>
      </w:r>
      <w:r w:rsidRPr="005C7CCE">
        <w:t> indicateurs, soit 9</w:t>
      </w:r>
      <w:r w:rsidR="007E442D" w:rsidRPr="005C7CCE">
        <w:t>%</w:t>
      </w:r>
      <w:r w:rsidRPr="005C7CCE">
        <w:t>, a été notée comme “Partiellement atteinte” et 23 indicateurs, soit environ 8</w:t>
      </w:r>
      <w:r w:rsidR="007E442D" w:rsidRPr="005C7CCE">
        <w:t>%</w:t>
      </w:r>
      <w:r w:rsidRPr="005C7CCE">
        <w:t>, ont été jugés comme n</w:t>
      </w:r>
      <w:r w:rsidR="00A20444" w:rsidRPr="005C7CCE">
        <w:t>’</w:t>
      </w:r>
      <w:r w:rsidRPr="005C7CCE">
        <w:t xml:space="preserve">étant “pas atteints”. </w:t>
      </w:r>
      <w:r w:rsidR="0010442A" w:rsidRPr="005C7CCE">
        <w:t xml:space="preserve"> </w:t>
      </w:r>
      <w:r w:rsidRPr="005C7CCE">
        <w:t>Quelque 26 indicateurs, soit 9</w:t>
      </w:r>
      <w:r w:rsidR="007E442D" w:rsidRPr="005C7CCE">
        <w:t>%</w:t>
      </w:r>
      <w:r w:rsidRPr="005C7CCE">
        <w:t>, étaient “non évaluables” et 7 indicateurs, soit 2</w:t>
      </w:r>
      <w:r w:rsidR="007E442D" w:rsidRPr="005C7CCE">
        <w:t>%</w:t>
      </w:r>
      <w:r w:rsidRPr="005C7CCE">
        <w:t>, ont été abandonnés.</w:t>
      </w:r>
    </w:p>
    <w:p w:rsidR="00D42474" w:rsidRDefault="00D42474" w:rsidP="001A5BF9">
      <w:pPr>
        <w:jc w:val="both"/>
      </w:pPr>
    </w:p>
    <w:p w:rsidR="00D42474" w:rsidRDefault="00D42474" w:rsidP="001A5BF9">
      <w:pPr>
        <w:jc w:val="both"/>
      </w:pPr>
    </w:p>
    <w:p w:rsidR="00D42474" w:rsidRDefault="00D97BB3" w:rsidP="001A5BF9">
      <w:pPr>
        <w:jc w:val="center"/>
      </w:pPr>
      <w:r w:rsidRPr="00D97BB3">
        <w:rPr>
          <w:noProof/>
        </w:rPr>
        <w:drawing>
          <wp:inline distT="0" distB="0" distL="0" distR="0" wp14:anchorId="74EFD6A2" wp14:editId="300A0AF9">
            <wp:extent cx="5003442" cy="2537428"/>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07854" cy="2539666"/>
                    </a:xfrm>
                    <a:prstGeom prst="rect">
                      <a:avLst/>
                    </a:prstGeom>
                    <a:noFill/>
                    <a:ln>
                      <a:noFill/>
                    </a:ln>
                  </pic:spPr>
                </pic:pic>
              </a:graphicData>
            </a:graphic>
          </wp:inline>
        </w:drawing>
      </w:r>
    </w:p>
    <w:p w:rsidR="00D42474" w:rsidRDefault="00D42474" w:rsidP="001A5BF9">
      <w:pPr>
        <w:jc w:val="both"/>
      </w:pPr>
    </w:p>
    <w:p w:rsidR="00D42474" w:rsidRDefault="00BB3F3E" w:rsidP="007B0500">
      <w:pPr>
        <w:pStyle w:val="Heading1"/>
      </w:pPr>
      <w:bookmarkStart w:id="4" w:name="_Toc395082457"/>
      <w:r w:rsidRPr="005C7CCE">
        <w:t>RÉSUMÉ DES RÉALISATIONS EN 2012</w:t>
      </w:r>
      <w:r w:rsidR="002D6F2A" w:rsidRPr="005C7CCE">
        <w:noBreakHyphen/>
      </w:r>
      <w:r w:rsidR="00A930EA">
        <w:t>20</w:t>
      </w:r>
      <w:r w:rsidRPr="005C7CCE">
        <w:t>13</w:t>
      </w:r>
      <w:bookmarkEnd w:id="4"/>
    </w:p>
    <w:p w:rsidR="00D42474" w:rsidRDefault="00D42474" w:rsidP="001A5BF9"/>
    <w:p w:rsidR="00D42474" w:rsidRDefault="00BB3F3E" w:rsidP="001A5BF9">
      <w:pPr>
        <w:jc w:val="both"/>
      </w:pPr>
      <w:r w:rsidRPr="00083EF7">
        <w:t>L</w:t>
      </w:r>
      <w:r w:rsidR="00A20444" w:rsidRPr="00083EF7">
        <w:t>’</w:t>
      </w:r>
      <w:r w:rsidRPr="00083EF7">
        <w:t>exercice biennal</w:t>
      </w:r>
      <w:r w:rsidR="0010442A" w:rsidRPr="00083EF7">
        <w:t> </w:t>
      </w:r>
      <w:r w:rsidRPr="00083EF7">
        <w:t>2012</w:t>
      </w:r>
      <w:r w:rsidR="002D6F2A" w:rsidRPr="00083EF7">
        <w:noBreakHyphen/>
      </w:r>
      <w:r w:rsidRPr="00083EF7">
        <w:t>2013 est le deuxième exercice biennal de la mise en œuvre du Plan stratégique à moyen terme 2010</w:t>
      </w:r>
      <w:r w:rsidR="002D6F2A" w:rsidRPr="00083EF7">
        <w:noBreakHyphen/>
      </w:r>
      <w:r w:rsidRPr="00083EF7">
        <w:t>2015.</w:t>
      </w:r>
      <w:r w:rsidR="004F3E42" w:rsidRPr="00083EF7">
        <w:t xml:space="preserve"> </w:t>
      </w:r>
      <w:r w:rsidR="0010442A" w:rsidRPr="00083EF7">
        <w:t xml:space="preserve"> </w:t>
      </w:r>
      <w:r w:rsidRPr="00083EF7">
        <w:t>C</w:t>
      </w:r>
      <w:r w:rsidR="00A20444" w:rsidRPr="00083EF7">
        <w:t>’</w:t>
      </w:r>
      <w:r w:rsidRPr="00083EF7">
        <w:t>est, en outre, la première fois que l</w:t>
      </w:r>
      <w:r w:rsidR="00A20444" w:rsidRPr="00083EF7">
        <w:t>’</w:t>
      </w:r>
      <w:r w:rsidRPr="00083EF7">
        <w:t>Organisation peut effectuer un rapport sur l</w:t>
      </w:r>
      <w:r w:rsidR="00A20444" w:rsidRPr="00083EF7">
        <w:t>’</w:t>
      </w:r>
      <w:r w:rsidRPr="00083EF7">
        <w:t>exécution en se fondant sur une présentation axée sur les résultats du budget.</w:t>
      </w:r>
      <w:r w:rsidR="004F3E42" w:rsidRPr="00083EF7">
        <w:t xml:space="preserve"> </w:t>
      </w:r>
      <w:r w:rsidR="0010442A" w:rsidRPr="00083EF7">
        <w:t xml:space="preserve"> </w:t>
      </w:r>
      <w:r w:rsidRPr="00083EF7">
        <w:t>En conséquence, le rapport sur l</w:t>
      </w:r>
      <w:r w:rsidR="00A20444" w:rsidRPr="00083EF7">
        <w:t>’</w:t>
      </w:r>
      <w:r w:rsidRPr="00083EF7">
        <w:t>exécution du programme en 2012</w:t>
      </w:r>
      <w:r w:rsidR="002D6F2A" w:rsidRPr="00083EF7">
        <w:noBreakHyphen/>
      </w:r>
      <w:r w:rsidRPr="00083EF7">
        <w:t xml:space="preserve">2013 contient plusieurs améliorations clés en termes de reddition de compte, notamment des aperçus des </w:t>
      </w:r>
      <w:r w:rsidRPr="005C7CCE">
        <w:t>dépenses réelles de l</w:t>
      </w:r>
      <w:r w:rsidR="00A20444" w:rsidRPr="005C7CCE">
        <w:t>’</w:t>
      </w:r>
      <w:r w:rsidRPr="005C7CCE">
        <w:t xml:space="preserve">exercice biennal au regard des résultats escomptés. </w:t>
      </w:r>
      <w:r w:rsidR="0010442A" w:rsidRPr="005C7CCE">
        <w:t xml:space="preserve"> </w:t>
      </w:r>
      <w:r w:rsidRPr="005C7CCE">
        <w:t xml:space="preserve">De plus, conformément à la demande des États membres exprimée aux vingtième et </w:t>
      </w:r>
      <w:r w:rsidR="00106829">
        <w:t>vingt et unième</w:t>
      </w:r>
      <w:r w:rsidRPr="005C7CCE">
        <w:t> sessions du Comité du programme et budget, le rapport sur l</w:t>
      </w:r>
      <w:r w:rsidR="00A20444" w:rsidRPr="005C7CCE">
        <w:t>’</w:t>
      </w:r>
      <w:r w:rsidRPr="005C7CCE">
        <w:t>exécution du programme en 2012</w:t>
      </w:r>
      <w:r w:rsidR="002D6F2A" w:rsidRPr="005C7CCE">
        <w:noBreakHyphen/>
      </w:r>
      <w:r w:rsidRPr="005C7CCE">
        <w:t>2013 comprend des tableaux de bord de l</w:t>
      </w:r>
      <w:r w:rsidR="00A20444" w:rsidRPr="005C7CCE">
        <w:t>’</w:t>
      </w:r>
      <w:r w:rsidRPr="005C7CCE">
        <w:t>exécution du programme biennal pour chacun des neuf objectifs stratégiques, ainsi qu</w:t>
      </w:r>
      <w:r w:rsidR="00A20444" w:rsidRPr="005C7CCE">
        <w:t>’</w:t>
      </w:r>
      <w:r w:rsidRPr="005C7CCE">
        <w:t xml:space="preserve">un aperçu des réalisations par résultat escompté. </w:t>
      </w:r>
      <w:r w:rsidR="0010442A" w:rsidRPr="005C7CCE">
        <w:t xml:space="preserve"> </w:t>
      </w:r>
      <w:r w:rsidRPr="005C7CCE">
        <w:t>Les améliorations comprennent une synthèse graphique de la réalisation des résultats escomptés au cours de l</w:t>
      </w:r>
      <w:r w:rsidR="00A20444" w:rsidRPr="005C7CCE">
        <w:t>’</w:t>
      </w:r>
      <w:r w:rsidRPr="005C7CCE">
        <w:t>exercice biennal, telle que mesurée au moyen des indicateurs d</w:t>
      </w:r>
      <w:r w:rsidR="00A20444" w:rsidRPr="005C7CCE">
        <w:t>’</w:t>
      </w:r>
      <w:r w:rsidRPr="005C7CCE">
        <w:t>exécution dans le cadre des programmes contribuant aux objectifs stratégiques respectifs.</w:t>
      </w:r>
    </w:p>
    <w:p w:rsidR="00D42474" w:rsidRDefault="00D42474" w:rsidP="001A5BF9">
      <w:pPr>
        <w:jc w:val="both"/>
      </w:pPr>
    </w:p>
    <w:p w:rsidR="00D42474" w:rsidRDefault="00BB3F3E" w:rsidP="001A5BF9">
      <w:pPr>
        <w:jc w:val="both"/>
      </w:pPr>
      <w:r w:rsidRPr="005C7CCE">
        <w:t>On trouvera ci</w:t>
      </w:r>
      <w:r w:rsidR="002D6F2A" w:rsidRPr="005C7CCE">
        <w:noBreakHyphen/>
      </w:r>
      <w:r w:rsidRPr="005C7CCE">
        <w:t>dessous une synthèse de l</w:t>
      </w:r>
      <w:r w:rsidR="00A20444" w:rsidRPr="005C7CCE">
        <w:t>’</w:t>
      </w:r>
      <w:r w:rsidRPr="005C7CCE">
        <w:t>essentiel des progrès accomplis pendant l</w:t>
      </w:r>
      <w:r w:rsidR="00A20444" w:rsidRPr="005C7CCE">
        <w:t>’</w:t>
      </w:r>
      <w:r w:rsidRPr="005C7CCE">
        <w:t>exercice biennal 2012</w:t>
      </w:r>
      <w:r w:rsidR="002D6F2A" w:rsidRPr="005C7CCE">
        <w:noBreakHyphen/>
      </w:r>
      <w:r w:rsidRPr="005C7CCE">
        <w:t>2013 quant à la réalisation des neuf objectifs stratégiques.</w:t>
      </w:r>
    </w:p>
    <w:p w:rsidR="00D42474" w:rsidRDefault="00D42474" w:rsidP="001A5BF9">
      <w:pPr>
        <w:jc w:val="both"/>
      </w:pPr>
    </w:p>
    <w:p w:rsidR="00D42474" w:rsidRDefault="00D42474" w:rsidP="001A5BF9">
      <w:pPr>
        <w:jc w:val="center"/>
        <w:rPr>
          <w:b/>
          <w:sz w:val="18"/>
          <w:szCs w:val="18"/>
        </w:rPr>
      </w:pPr>
    </w:p>
    <w:p w:rsidR="00D42474" w:rsidRDefault="00BB3F3E" w:rsidP="00A930EA">
      <w:pPr>
        <w:keepNext/>
        <w:keepLines/>
        <w:jc w:val="center"/>
        <w:rPr>
          <w:b/>
          <w:sz w:val="18"/>
          <w:szCs w:val="18"/>
        </w:rPr>
      </w:pPr>
      <w:r w:rsidRPr="007B0500">
        <w:rPr>
          <w:b/>
          <w:sz w:val="18"/>
          <w:szCs w:val="18"/>
        </w:rPr>
        <w:t>Résumé des réalisations de l</w:t>
      </w:r>
      <w:r w:rsidR="00A20444" w:rsidRPr="007B0500">
        <w:rPr>
          <w:b/>
          <w:sz w:val="18"/>
          <w:szCs w:val="18"/>
        </w:rPr>
        <w:t>’</w:t>
      </w:r>
      <w:r w:rsidRPr="007B0500">
        <w:rPr>
          <w:b/>
          <w:sz w:val="18"/>
          <w:szCs w:val="18"/>
        </w:rPr>
        <w:t>exercice biennal 2012</w:t>
      </w:r>
      <w:r w:rsidR="002D6F2A" w:rsidRPr="007B0500">
        <w:rPr>
          <w:b/>
          <w:sz w:val="18"/>
          <w:szCs w:val="18"/>
        </w:rPr>
        <w:noBreakHyphen/>
      </w:r>
      <w:r w:rsidRPr="007B0500">
        <w:rPr>
          <w:b/>
          <w:sz w:val="18"/>
          <w:szCs w:val="18"/>
        </w:rPr>
        <w:t>2013 par objectif stratégique.</w:t>
      </w:r>
    </w:p>
    <w:p w:rsidR="00D42474" w:rsidRDefault="00D42474" w:rsidP="00A930EA">
      <w:pPr>
        <w:keepNext/>
        <w:keepLines/>
        <w:jc w:val="center"/>
      </w:pPr>
    </w:p>
    <w:p w:rsidR="00D42474" w:rsidRDefault="00BF4F45" w:rsidP="00A930EA">
      <w:pPr>
        <w:keepNext/>
        <w:keepLines/>
        <w:jc w:val="center"/>
      </w:pPr>
      <w:r w:rsidRPr="00BF4F45">
        <w:rPr>
          <w:noProof/>
        </w:rPr>
        <w:drawing>
          <wp:inline distT="0" distB="0" distL="0" distR="0" wp14:anchorId="0C53D18B" wp14:editId="069A883B">
            <wp:extent cx="5940425" cy="3271820"/>
            <wp:effectExtent l="0" t="0" r="3175" b="508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3271820"/>
                    </a:xfrm>
                    <a:prstGeom prst="rect">
                      <a:avLst/>
                    </a:prstGeom>
                    <a:noFill/>
                    <a:ln>
                      <a:noFill/>
                    </a:ln>
                  </pic:spPr>
                </pic:pic>
              </a:graphicData>
            </a:graphic>
          </wp:inline>
        </w:drawing>
      </w:r>
    </w:p>
    <w:p w:rsidR="00D42474" w:rsidRDefault="00D42474" w:rsidP="001A5BF9">
      <w:pPr>
        <w:jc w:val="both"/>
        <w:rPr>
          <w:i/>
          <w:iCs/>
        </w:rPr>
      </w:pPr>
    </w:p>
    <w:p w:rsidR="00D42474" w:rsidRDefault="00D42474" w:rsidP="001A5BF9">
      <w:pPr>
        <w:jc w:val="both"/>
        <w:rPr>
          <w:i/>
          <w:iCs/>
        </w:rPr>
      </w:pPr>
    </w:p>
    <w:p w:rsidR="00D42474" w:rsidRDefault="00BB3F3E" w:rsidP="007B0500">
      <w:pPr>
        <w:keepNext/>
        <w:keepLines/>
        <w:ind w:left="1134" w:right="1134"/>
        <w:jc w:val="center"/>
        <w:rPr>
          <w:b/>
          <w:iCs/>
        </w:rPr>
      </w:pPr>
      <w:r w:rsidRPr="00083EF7">
        <w:rPr>
          <w:b/>
        </w:rPr>
        <w:t>Objectif stratégique I</w:t>
      </w:r>
      <w:r w:rsidR="0010442A" w:rsidRPr="00083EF7">
        <w:rPr>
          <w:b/>
        </w:rPr>
        <w:t> </w:t>
      </w:r>
      <w:r w:rsidRPr="00083EF7">
        <w:rPr>
          <w:b/>
        </w:rPr>
        <w:t>: Évolution équilibrée du cadre normatif international de la propriété intellectuelle</w:t>
      </w:r>
    </w:p>
    <w:p w:rsidR="00D42474" w:rsidRDefault="00D42474" w:rsidP="007B0500">
      <w:pPr>
        <w:keepNext/>
        <w:keepLines/>
        <w:autoSpaceDE w:val="0"/>
        <w:autoSpaceDN w:val="0"/>
        <w:adjustRightInd w:val="0"/>
        <w:jc w:val="both"/>
        <w:rPr>
          <w:rFonts w:cs="Arial"/>
        </w:rPr>
      </w:pPr>
    </w:p>
    <w:p w:rsidR="00D42474" w:rsidRDefault="00D42474" w:rsidP="007B0500">
      <w:pPr>
        <w:keepNext/>
        <w:keepLines/>
        <w:jc w:val="center"/>
        <w:rPr>
          <w:b/>
          <w:sz w:val="18"/>
          <w:szCs w:val="18"/>
        </w:rPr>
      </w:pPr>
    </w:p>
    <w:p w:rsidR="00D42474" w:rsidRDefault="00BB3F3E" w:rsidP="007B0500">
      <w:pPr>
        <w:keepNext/>
        <w:keepLines/>
        <w:jc w:val="center"/>
        <w:rPr>
          <w:b/>
          <w:sz w:val="18"/>
          <w:szCs w:val="18"/>
        </w:rPr>
      </w:pPr>
      <w:r w:rsidRPr="007B0500">
        <w:rPr>
          <w:b/>
          <w:sz w:val="18"/>
          <w:szCs w:val="18"/>
        </w:rPr>
        <w:t>Résumé des réalisations par résultat escompté</w:t>
      </w:r>
    </w:p>
    <w:p w:rsidR="00D42474" w:rsidRDefault="00D42474" w:rsidP="007B0500">
      <w:pPr>
        <w:keepNext/>
        <w:keepLines/>
        <w:jc w:val="center"/>
        <w:rPr>
          <w:b/>
          <w:sz w:val="18"/>
          <w:szCs w:val="18"/>
        </w:rPr>
      </w:pPr>
    </w:p>
    <w:p w:rsidR="00D42474" w:rsidRDefault="00D656BD" w:rsidP="007B0500">
      <w:pPr>
        <w:keepNext/>
        <w:keepLines/>
        <w:autoSpaceDE w:val="0"/>
        <w:autoSpaceDN w:val="0"/>
        <w:adjustRightInd w:val="0"/>
        <w:jc w:val="both"/>
        <w:rPr>
          <w:rFonts w:cs="Arial"/>
        </w:rPr>
      </w:pPr>
      <w:r w:rsidRPr="005C7CCE">
        <w:rPr>
          <w:noProof/>
        </w:rPr>
        <w:drawing>
          <wp:inline distT="0" distB="0" distL="0" distR="0" wp14:anchorId="716904E4" wp14:editId="64ED8747">
            <wp:extent cx="6040192" cy="2582214"/>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2315" cy="2583122"/>
                    </a:xfrm>
                    <a:prstGeom prst="rect">
                      <a:avLst/>
                    </a:prstGeom>
                    <a:noFill/>
                    <a:ln>
                      <a:noFill/>
                    </a:ln>
                  </pic:spPr>
                </pic:pic>
              </a:graphicData>
            </a:graphic>
          </wp:inline>
        </w:drawing>
      </w:r>
    </w:p>
    <w:p w:rsidR="00D42474" w:rsidRDefault="00D42474" w:rsidP="001A5BF9">
      <w:pPr>
        <w:jc w:val="both"/>
        <w:rPr>
          <w:i/>
          <w:iCs/>
        </w:rPr>
      </w:pPr>
    </w:p>
    <w:p w:rsidR="00D42474" w:rsidRDefault="00D42474" w:rsidP="001A5BF9"/>
    <w:p w:rsidR="00D42474" w:rsidRDefault="00BB3F3E" w:rsidP="001A5BF9">
      <w:pPr>
        <w:jc w:val="center"/>
        <w:rPr>
          <w:b/>
          <w:szCs w:val="20"/>
        </w:rPr>
      </w:pPr>
      <w:r w:rsidRPr="005C7CCE">
        <w:rPr>
          <w:b/>
        </w:rPr>
        <w:t>Tableau de bord de l</w:t>
      </w:r>
      <w:r w:rsidR="00A20444" w:rsidRPr="005C7CCE">
        <w:rPr>
          <w:b/>
        </w:rPr>
        <w:t>’</w:t>
      </w:r>
      <w:r w:rsidRPr="005C7CCE">
        <w:rPr>
          <w:b/>
        </w:rPr>
        <w:t>exécution du programme biennal</w:t>
      </w:r>
    </w:p>
    <w:p w:rsidR="00D42474" w:rsidRDefault="00D42474" w:rsidP="001A5BF9">
      <w:pPr>
        <w:jc w:val="center"/>
      </w:pPr>
    </w:p>
    <w:p w:rsidR="00D42474" w:rsidRDefault="00BB3F3E"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BB3F3E" w:rsidRPr="005C7CCE" w:rsidRDefault="00BB3F3E" w:rsidP="001A5BF9">
      <w:pPr>
        <w:jc w:val="both"/>
        <w:rPr>
          <w:i/>
          <w:iCs/>
        </w:rPr>
      </w:pPr>
    </w:p>
    <w:tbl>
      <w:tblPr>
        <w:tblW w:w="0" w:type="auto"/>
        <w:tblInd w:w="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99"/>
        <w:gridCol w:w="3284"/>
        <w:gridCol w:w="1418"/>
        <w:gridCol w:w="1265"/>
      </w:tblGrid>
      <w:tr w:rsidR="00BB3F3E" w:rsidRPr="00083EF7" w:rsidTr="00391253">
        <w:trPr>
          <w:tblHeader/>
        </w:trPr>
        <w:tc>
          <w:tcPr>
            <w:tcW w:w="3399" w:type="dxa"/>
            <w:tcBorders>
              <w:top w:val="single" w:sz="4" w:space="0" w:color="auto"/>
              <w:bottom w:val="single" w:sz="4" w:space="0" w:color="auto"/>
            </w:tcBorders>
            <w:shd w:val="clear" w:color="auto" w:fill="CCFFFF"/>
            <w:vAlign w:val="center"/>
          </w:tcPr>
          <w:p w:rsidR="00BB3F3E" w:rsidRPr="00083EF7" w:rsidRDefault="00BB3F3E" w:rsidP="001A5BF9">
            <w:pPr>
              <w:spacing w:before="120" w:after="120"/>
              <w:rPr>
                <w:rFonts w:cs="Arial"/>
                <w:b/>
                <w:bCs/>
                <w:sz w:val="14"/>
                <w:szCs w:val="14"/>
              </w:rPr>
            </w:pPr>
            <w:r w:rsidRPr="00083EF7">
              <w:rPr>
                <w:b/>
                <w:sz w:val="14"/>
              </w:rPr>
              <w:t>Résultats escomptés</w:t>
            </w:r>
          </w:p>
        </w:tc>
        <w:tc>
          <w:tcPr>
            <w:tcW w:w="3284" w:type="dxa"/>
            <w:tcBorders>
              <w:top w:val="single" w:sz="4" w:space="0" w:color="auto"/>
              <w:bottom w:val="single" w:sz="4" w:space="0" w:color="auto"/>
            </w:tcBorders>
            <w:shd w:val="clear" w:color="auto" w:fill="CCFFFF"/>
            <w:vAlign w:val="center"/>
          </w:tcPr>
          <w:p w:rsidR="00BB3F3E" w:rsidRPr="00083EF7" w:rsidRDefault="00BB3F3E" w:rsidP="001A5BF9">
            <w:pPr>
              <w:spacing w:before="120" w:after="120"/>
              <w:rPr>
                <w:rFonts w:cs="Arial"/>
                <w:b/>
                <w:bCs/>
                <w:sz w:val="14"/>
                <w:szCs w:val="14"/>
              </w:rPr>
            </w:pPr>
            <w:r w:rsidRPr="00083EF7">
              <w:rPr>
                <w:b/>
                <w:sz w:val="14"/>
              </w:rPr>
              <w:t>Indicateurs d</w:t>
            </w:r>
            <w:r w:rsidR="00A20444" w:rsidRPr="00083EF7">
              <w:rPr>
                <w:b/>
                <w:sz w:val="14"/>
              </w:rPr>
              <w:t>’</w:t>
            </w:r>
            <w:r w:rsidRPr="00083EF7">
              <w:rPr>
                <w:b/>
                <w:sz w:val="14"/>
              </w:rPr>
              <w:t>exécution</w:t>
            </w:r>
          </w:p>
        </w:tc>
        <w:tc>
          <w:tcPr>
            <w:tcW w:w="1418" w:type="dxa"/>
            <w:tcBorders>
              <w:top w:val="single" w:sz="4" w:space="0" w:color="auto"/>
              <w:bottom w:val="single" w:sz="4" w:space="0" w:color="auto"/>
            </w:tcBorders>
            <w:shd w:val="clear" w:color="auto" w:fill="CCFFFF"/>
            <w:vAlign w:val="center"/>
          </w:tcPr>
          <w:p w:rsidR="00BB3F3E" w:rsidRPr="00083EF7" w:rsidRDefault="00BB3F3E" w:rsidP="001A5BF9">
            <w:pPr>
              <w:spacing w:before="120" w:after="120"/>
              <w:jc w:val="center"/>
              <w:rPr>
                <w:rFonts w:cs="Arial"/>
                <w:b/>
                <w:bCs/>
                <w:sz w:val="14"/>
                <w:szCs w:val="14"/>
              </w:rPr>
            </w:pPr>
            <w:r w:rsidRPr="00083EF7">
              <w:rPr>
                <w:b/>
                <w:sz w:val="14"/>
              </w:rPr>
              <w:t>Programme(s) concerné(s)</w:t>
            </w:r>
          </w:p>
        </w:tc>
        <w:tc>
          <w:tcPr>
            <w:tcW w:w="1265" w:type="dxa"/>
            <w:tcBorders>
              <w:top w:val="single" w:sz="4" w:space="0" w:color="auto"/>
              <w:bottom w:val="single" w:sz="4" w:space="0" w:color="auto"/>
            </w:tcBorders>
            <w:shd w:val="clear" w:color="auto" w:fill="CCFFFF"/>
            <w:vAlign w:val="center"/>
          </w:tcPr>
          <w:p w:rsidR="00BB3F3E" w:rsidRPr="00083EF7" w:rsidRDefault="00BB3F3E" w:rsidP="001A5BF9">
            <w:pPr>
              <w:spacing w:before="120" w:after="120"/>
              <w:jc w:val="center"/>
              <w:rPr>
                <w:rFonts w:cs="Arial"/>
                <w:b/>
                <w:bCs/>
                <w:sz w:val="14"/>
                <w:szCs w:val="14"/>
              </w:rPr>
            </w:pPr>
            <w:r w:rsidRPr="00083EF7">
              <w:rPr>
                <w:b/>
                <w:sz w:val="14"/>
              </w:rPr>
              <w:t>Code de couleurs</w:t>
            </w:r>
          </w:p>
        </w:tc>
      </w:tr>
      <w:tr w:rsidR="00BB3F3E" w:rsidRPr="005C7CCE" w:rsidTr="00391253">
        <w:tc>
          <w:tcPr>
            <w:tcW w:w="3399" w:type="dxa"/>
            <w:vMerge w:val="restart"/>
            <w:tcBorders>
              <w:top w:val="single" w:sz="4" w:space="0" w:color="auto"/>
            </w:tcBorders>
            <w:shd w:val="clear" w:color="auto" w:fill="auto"/>
            <w:tcMar>
              <w:top w:w="113" w:type="dxa"/>
            </w:tcMar>
          </w:tcPr>
          <w:p w:rsidR="00BB3F3E" w:rsidRPr="00083EF7" w:rsidRDefault="00BB3F3E" w:rsidP="001A5BF9">
            <w:pPr>
              <w:spacing w:before="80"/>
              <w:rPr>
                <w:rFonts w:cs="Arial"/>
                <w:sz w:val="14"/>
                <w:szCs w:val="14"/>
              </w:rPr>
            </w:pPr>
            <w:r w:rsidRPr="00083EF7">
              <w:rPr>
                <w:sz w:val="14"/>
              </w:rPr>
              <w:t>Une coopération et un consensus renforcés entre les États membres en matière d</w:t>
            </w:r>
            <w:r w:rsidR="00A20444" w:rsidRPr="00083EF7">
              <w:rPr>
                <w:sz w:val="14"/>
              </w:rPr>
              <w:t>’</w:t>
            </w:r>
            <w:r w:rsidRPr="00083EF7">
              <w:rPr>
                <w:sz w:val="14"/>
              </w:rPr>
              <w:t>élaboration d</w:t>
            </w:r>
            <w:r w:rsidR="00A20444" w:rsidRPr="00083EF7">
              <w:rPr>
                <w:sz w:val="14"/>
              </w:rPr>
              <w:t>’</w:t>
            </w:r>
            <w:r w:rsidRPr="00083EF7">
              <w:rPr>
                <w:sz w:val="14"/>
              </w:rPr>
              <w:t>une politique équilibrée et d</w:t>
            </w:r>
            <w:r w:rsidR="00A20444" w:rsidRPr="00083EF7">
              <w:rPr>
                <w:sz w:val="14"/>
              </w:rPr>
              <w:t>’</w:t>
            </w:r>
            <w:r w:rsidRPr="00083EF7">
              <w:rPr>
                <w:sz w:val="14"/>
              </w:rPr>
              <w:t>un cadre normatif pour le système international des brevets, des marques, des dessins et modèles industriels, des indications géographiques, du droit d</w:t>
            </w:r>
            <w:r w:rsidR="00A20444" w:rsidRPr="00083EF7">
              <w:rPr>
                <w:sz w:val="14"/>
              </w:rPr>
              <w:t>’</w:t>
            </w:r>
            <w:r w:rsidRPr="00083EF7">
              <w:rPr>
                <w:sz w:val="14"/>
              </w:rPr>
              <w:t>auteur, des droits connexes, des savoirs traditionnels, des expressions culturelles traditionnelles et des ressources génétiques</w:t>
            </w:r>
          </w:p>
        </w:tc>
        <w:tc>
          <w:tcPr>
            <w:tcW w:w="3284" w:type="dxa"/>
            <w:tcBorders>
              <w:top w:val="single" w:sz="4" w:space="0" w:color="auto"/>
            </w:tcBorders>
            <w:shd w:val="clear" w:color="auto" w:fill="auto"/>
            <w:tcMar>
              <w:top w:w="113" w:type="dxa"/>
            </w:tcMar>
          </w:tcPr>
          <w:p w:rsidR="00BB3F3E" w:rsidRPr="00083EF7" w:rsidRDefault="00BB3F3E" w:rsidP="001A5BF9">
            <w:pPr>
              <w:spacing w:before="80"/>
              <w:rPr>
                <w:rFonts w:cs="Arial"/>
                <w:sz w:val="14"/>
                <w:szCs w:val="14"/>
              </w:rPr>
            </w:pPr>
            <w:r w:rsidRPr="00083EF7">
              <w:rPr>
                <w:sz w:val="14"/>
              </w:rPr>
              <w:t>Avancement des travaux concernant la mise en œuvre des mesures et des programmes convenus par le SCP</w:t>
            </w:r>
          </w:p>
        </w:tc>
        <w:tc>
          <w:tcPr>
            <w:tcW w:w="1418" w:type="dxa"/>
            <w:tcBorders>
              <w:top w:val="single" w:sz="4" w:space="0" w:color="auto"/>
            </w:tcBorders>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1</w:t>
            </w:r>
          </w:p>
        </w:tc>
        <w:tc>
          <w:tcPr>
            <w:tcW w:w="1265" w:type="dxa"/>
            <w:tcBorders>
              <w:top w:val="single" w:sz="4" w:space="0" w:color="auto"/>
            </w:tcBorders>
          </w:tcPr>
          <w:p w:rsidR="00BB3F3E" w:rsidRPr="005C7CCE" w:rsidRDefault="00BB3F3E" w:rsidP="001A5BF9">
            <w:pPr>
              <w:spacing w:before="20"/>
              <w:jc w:val="center"/>
              <w:rPr>
                <w:rFonts w:cs="Arial"/>
                <w:b/>
                <w:color w:val="008000"/>
                <w:szCs w:val="22"/>
              </w:rPr>
            </w:pPr>
            <w:r w:rsidRPr="005C7CCE">
              <w:rPr>
                <w:color w:val="008000"/>
              </w:rPr>
              <w:sym w:font="Wingdings" w:char="F06C"/>
            </w:r>
          </w:p>
        </w:tc>
      </w:tr>
      <w:tr w:rsidR="00BB3F3E" w:rsidRPr="005C7CCE" w:rsidTr="00391253">
        <w:tc>
          <w:tcPr>
            <w:tcW w:w="3399" w:type="dxa"/>
            <w:vMerge/>
            <w:shd w:val="clear" w:color="auto" w:fill="auto"/>
            <w:tcMar>
              <w:top w:w="113" w:type="dxa"/>
            </w:tcMar>
          </w:tcPr>
          <w:p w:rsidR="00BB3F3E" w:rsidRPr="00083EF7" w:rsidRDefault="00BB3F3E" w:rsidP="001A5BF9">
            <w:pPr>
              <w:spacing w:before="8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 xml:space="preserve">Accord international sur un cadre normatif pour les dessins et modèles industriels </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2</w:t>
            </w:r>
          </w:p>
        </w:tc>
        <w:tc>
          <w:tcPr>
            <w:tcW w:w="1265" w:type="dxa"/>
          </w:tcPr>
          <w:p w:rsidR="00BB3F3E" w:rsidRPr="005C7CCE" w:rsidRDefault="00BB3F3E" w:rsidP="001A5BF9">
            <w:pPr>
              <w:spacing w:before="20"/>
              <w:jc w:val="center"/>
              <w:rPr>
                <w:rFonts w:cs="Arial"/>
                <w:b/>
                <w:color w:val="E36C0A"/>
                <w:szCs w:val="22"/>
              </w:rPr>
            </w:pPr>
            <w:r w:rsidRPr="005C7CCE">
              <w:rPr>
                <w:color w:val="E36C0A"/>
              </w:rPr>
              <w:sym w:font="Wingdings" w:char="F06C"/>
            </w:r>
          </w:p>
        </w:tc>
      </w:tr>
      <w:tr w:rsidR="00BB3F3E" w:rsidRPr="005C7CCE" w:rsidTr="00391253">
        <w:tc>
          <w:tcPr>
            <w:tcW w:w="3399" w:type="dxa"/>
            <w:vMerge/>
            <w:shd w:val="clear" w:color="auto" w:fill="auto"/>
            <w:tcMar>
              <w:top w:w="113" w:type="dxa"/>
            </w:tcMar>
          </w:tcPr>
          <w:p w:rsidR="00BB3F3E" w:rsidRPr="00083EF7" w:rsidRDefault="00BB3F3E" w:rsidP="001A5BF9">
            <w:pPr>
              <w:spacing w:before="8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Progrès visant à parvenir à un accord sur les points en cours de l</w:t>
            </w:r>
            <w:r w:rsidR="00A20444" w:rsidRPr="00083EF7">
              <w:rPr>
                <w:sz w:val="14"/>
              </w:rPr>
              <w:t>’</w:t>
            </w:r>
            <w:r w:rsidRPr="00083EF7">
              <w:rPr>
                <w:sz w:val="14"/>
              </w:rPr>
              <w:t>ordre du jour du SCT</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2</w:t>
            </w:r>
          </w:p>
        </w:tc>
        <w:tc>
          <w:tcPr>
            <w:tcW w:w="1265" w:type="dxa"/>
          </w:tcPr>
          <w:p w:rsidR="00BB3F3E" w:rsidRPr="005C7CCE" w:rsidRDefault="00BB3F3E" w:rsidP="001A5BF9">
            <w:pPr>
              <w:spacing w:before="20"/>
              <w:jc w:val="center"/>
              <w:rPr>
                <w:rFonts w:cs="Arial"/>
                <w:b/>
                <w:color w:val="10862C"/>
                <w:szCs w:val="22"/>
              </w:rPr>
            </w:pPr>
            <w:r w:rsidRPr="005C7CCE">
              <w:rPr>
                <w:color w:val="10862C"/>
              </w:rPr>
              <w:sym w:font="Wingdings" w:char="F06C"/>
            </w:r>
          </w:p>
        </w:tc>
      </w:tr>
      <w:tr w:rsidR="00BB3F3E" w:rsidRPr="005C7CCE" w:rsidTr="00391253">
        <w:tc>
          <w:tcPr>
            <w:tcW w:w="3399" w:type="dxa"/>
            <w:vMerge/>
            <w:shd w:val="clear" w:color="auto" w:fill="auto"/>
            <w:tcMar>
              <w:top w:w="113" w:type="dxa"/>
            </w:tcMar>
          </w:tcPr>
          <w:p w:rsidR="00BB3F3E" w:rsidRPr="00083EF7" w:rsidRDefault="00BB3F3E" w:rsidP="001A5BF9">
            <w:pPr>
              <w:spacing w:before="8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Conclusions approuvées par les États membres dans chacune des sessions</w:t>
            </w:r>
            <w:r w:rsidR="00A20444" w:rsidRPr="00083EF7">
              <w:rPr>
                <w:sz w:val="14"/>
              </w:rPr>
              <w:t xml:space="preserve"> du SCC</w:t>
            </w:r>
            <w:r w:rsidRPr="00083EF7">
              <w:rPr>
                <w:sz w:val="14"/>
              </w:rPr>
              <w:t>R</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3</w:t>
            </w:r>
          </w:p>
        </w:tc>
        <w:tc>
          <w:tcPr>
            <w:tcW w:w="1265" w:type="dxa"/>
          </w:tcPr>
          <w:p w:rsidR="00BB3F3E" w:rsidRPr="005C7CCE" w:rsidRDefault="00BB3F3E" w:rsidP="001A5BF9">
            <w:pPr>
              <w:spacing w:before="20"/>
              <w:jc w:val="center"/>
              <w:rPr>
                <w:rFonts w:cs="Arial"/>
                <w:b/>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Progrès accomplis dans la conclusion d</w:t>
            </w:r>
            <w:r w:rsidR="00A20444" w:rsidRPr="00083EF7">
              <w:rPr>
                <w:sz w:val="14"/>
              </w:rPr>
              <w:t>’</w:t>
            </w:r>
            <w:r w:rsidRPr="00083EF7">
              <w:rPr>
                <w:sz w:val="14"/>
              </w:rPr>
              <w:t>accords sur les questions actuellement inscrites à l</w:t>
            </w:r>
            <w:r w:rsidR="00A20444" w:rsidRPr="00083EF7">
              <w:rPr>
                <w:sz w:val="14"/>
              </w:rPr>
              <w:t>’</w:t>
            </w:r>
            <w:r w:rsidRPr="00083EF7">
              <w:rPr>
                <w:sz w:val="14"/>
              </w:rPr>
              <w:t>ordre du jour des travaux du SCCR</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3</w:t>
            </w:r>
          </w:p>
        </w:tc>
        <w:tc>
          <w:tcPr>
            <w:tcW w:w="1265" w:type="dxa"/>
          </w:tcPr>
          <w:p w:rsidR="00BB3F3E" w:rsidRPr="005C7CCE" w:rsidRDefault="00BB3F3E" w:rsidP="001A5BF9">
            <w:pPr>
              <w:spacing w:before="20"/>
              <w:jc w:val="center"/>
              <w:rPr>
                <w:rFonts w:cs="Arial"/>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Avancement des négociations au sein de l</w:t>
            </w:r>
            <w:r w:rsidR="00A20444" w:rsidRPr="00083EF7">
              <w:rPr>
                <w:sz w:val="14"/>
              </w:rPr>
              <w:t>’</w:t>
            </w:r>
            <w:r w:rsidRPr="00083EF7">
              <w:rPr>
                <w:sz w:val="14"/>
              </w:rPr>
              <w:t>IGC en vue de l</w:t>
            </w:r>
            <w:r w:rsidR="00A20444" w:rsidRPr="00083EF7">
              <w:rPr>
                <w:sz w:val="14"/>
              </w:rPr>
              <w:t>’</w:t>
            </w:r>
            <w:r w:rsidRPr="00083EF7">
              <w:rPr>
                <w:sz w:val="14"/>
              </w:rPr>
              <w:t>élaboration d</w:t>
            </w:r>
            <w:r w:rsidR="00A20444" w:rsidRPr="00083EF7">
              <w:rPr>
                <w:sz w:val="14"/>
              </w:rPr>
              <w:t>’</w:t>
            </w:r>
            <w:r w:rsidRPr="00083EF7">
              <w:rPr>
                <w:sz w:val="14"/>
              </w:rPr>
              <w:t>un ou plusieurs instruments juridiques internationaux</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4</w:t>
            </w:r>
          </w:p>
        </w:tc>
        <w:tc>
          <w:tcPr>
            <w:tcW w:w="1265" w:type="dxa"/>
          </w:tcPr>
          <w:p w:rsidR="00BB3F3E" w:rsidRPr="005C7CCE" w:rsidRDefault="00BB3F3E" w:rsidP="001A5BF9">
            <w:pPr>
              <w:spacing w:before="20"/>
              <w:jc w:val="center"/>
              <w:rPr>
                <w:rFonts w:cs="Arial"/>
                <w:szCs w:val="22"/>
              </w:rPr>
            </w:pPr>
            <w:r w:rsidRPr="005C7CCE">
              <w:rPr>
                <w:color w:val="E36C0A"/>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Début des travaux par</w:t>
            </w:r>
            <w:r w:rsidR="00A20444" w:rsidRPr="00083EF7">
              <w:rPr>
                <w:sz w:val="14"/>
              </w:rPr>
              <w:t xml:space="preserve"> le SCT</w:t>
            </w:r>
            <w:r w:rsidRPr="00083EF7">
              <w:rPr>
                <w:sz w:val="14"/>
              </w:rPr>
              <w:t xml:space="preserve"> sur les indications géographiques</w:t>
            </w:r>
            <w:r w:rsidR="004F3E42" w:rsidRPr="00083EF7">
              <w:rPr>
                <w:sz w:val="14"/>
              </w:rPr>
              <w:t xml:space="preserve"> </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2</w:t>
            </w:r>
          </w:p>
        </w:tc>
        <w:tc>
          <w:tcPr>
            <w:tcW w:w="1265" w:type="dxa"/>
          </w:tcPr>
          <w:p w:rsidR="00BB3F3E" w:rsidRPr="005C7CCE" w:rsidRDefault="00BB3F3E" w:rsidP="001A5BF9">
            <w:pPr>
              <w:spacing w:before="20"/>
              <w:jc w:val="center"/>
              <w:rPr>
                <w:rFonts w:cs="Arial"/>
                <w:szCs w:val="22"/>
              </w:rPr>
            </w:pPr>
            <w:r w:rsidRPr="005C7CCE">
              <w:rPr>
                <w:color w:val="E36C0A"/>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Nombre de ratifications du Traité de Singapour ou d</w:t>
            </w:r>
            <w:r w:rsidR="00A20444" w:rsidRPr="00083EF7">
              <w:rPr>
                <w:sz w:val="14"/>
              </w:rPr>
              <w:t>’</w:t>
            </w:r>
            <w:r w:rsidRPr="00083EF7">
              <w:rPr>
                <w:sz w:val="14"/>
              </w:rPr>
              <w:t>adhésions à ce traité</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2</w:t>
            </w:r>
          </w:p>
        </w:tc>
        <w:tc>
          <w:tcPr>
            <w:tcW w:w="1265" w:type="dxa"/>
          </w:tcPr>
          <w:p w:rsidR="00BB3F3E" w:rsidRPr="005C7CCE" w:rsidRDefault="00BB3F3E" w:rsidP="001A5BF9">
            <w:pPr>
              <w:spacing w:before="20"/>
              <w:jc w:val="center"/>
              <w:rPr>
                <w:rFonts w:cs="Arial"/>
                <w:szCs w:val="22"/>
              </w:rPr>
            </w:pPr>
            <w:r w:rsidRPr="005C7CCE">
              <w:rPr>
                <w:color w:val="E36C0A"/>
              </w:rPr>
              <w:sym w:font="Wingdings" w:char="F06C"/>
            </w:r>
          </w:p>
        </w:tc>
      </w:tr>
      <w:tr w:rsidR="00BB3F3E" w:rsidRPr="005C7CCE" w:rsidTr="00391253">
        <w:tc>
          <w:tcPr>
            <w:tcW w:w="3399" w:type="dxa"/>
            <w:vMerge w:val="restart"/>
            <w:shd w:val="clear" w:color="auto" w:fill="auto"/>
            <w:tcMar>
              <w:top w:w="113" w:type="dxa"/>
            </w:tcMar>
          </w:tcPr>
          <w:p w:rsidR="00BB3F3E" w:rsidRPr="00083EF7" w:rsidRDefault="00BB3F3E" w:rsidP="001A5BF9">
            <w:pPr>
              <w:spacing w:before="80"/>
              <w:rPr>
                <w:rFonts w:cs="Arial"/>
                <w:sz w:val="14"/>
                <w:szCs w:val="14"/>
              </w:rPr>
            </w:pPr>
            <w:r w:rsidRPr="00083EF7">
              <w:rPr>
                <w:sz w:val="14"/>
              </w:rPr>
              <w:t>Protection renforcée des emblèmes d</w:t>
            </w:r>
            <w:r w:rsidR="00A20444" w:rsidRPr="00083EF7">
              <w:rPr>
                <w:sz w:val="14"/>
              </w:rPr>
              <w:t>’</w:t>
            </w:r>
            <w:r w:rsidRPr="00083EF7">
              <w:rPr>
                <w:sz w:val="14"/>
              </w:rPr>
              <w:t>États et des noms et emblèmes d</w:t>
            </w:r>
            <w:r w:rsidR="00A20444" w:rsidRPr="00083EF7">
              <w:rPr>
                <w:sz w:val="14"/>
              </w:rPr>
              <w:t>’</w:t>
            </w:r>
            <w:r w:rsidRPr="00083EF7">
              <w:rPr>
                <w:sz w:val="14"/>
              </w:rPr>
              <w:t>organisations internationales intergouvernementales</w:t>
            </w: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Nombre de demandes de communication aux termes de l</w:t>
            </w:r>
            <w:r w:rsidR="00A20444" w:rsidRPr="00083EF7">
              <w:rPr>
                <w:sz w:val="14"/>
              </w:rPr>
              <w:t>’</w:t>
            </w:r>
            <w:r w:rsidRPr="00083EF7">
              <w:rPr>
                <w:sz w:val="14"/>
              </w:rPr>
              <w:t>article</w:t>
            </w:r>
            <w:r w:rsidR="0010442A" w:rsidRPr="00083EF7">
              <w:rPr>
                <w:sz w:val="14"/>
              </w:rPr>
              <w:t> </w:t>
            </w:r>
            <w:proofErr w:type="spellStart"/>
            <w:r w:rsidRPr="00083EF7">
              <w:rPr>
                <w:sz w:val="14"/>
              </w:rPr>
              <w:t>6</w:t>
            </w:r>
            <w:r w:rsidRPr="00083EF7">
              <w:rPr>
                <w:i/>
                <w:sz w:val="14"/>
              </w:rPr>
              <w:t>ter</w:t>
            </w:r>
            <w:proofErr w:type="spellEnd"/>
            <w:r w:rsidRPr="00083EF7">
              <w:rPr>
                <w:sz w:val="14"/>
              </w:rPr>
              <w:t xml:space="preserve"> de la Convention de Paris, à traiter</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2</w:t>
            </w:r>
          </w:p>
        </w:tc>
        <w:tc>
          <w:tcPr>
            <w:tcW w:w="1265" w:type="dxa"/>
          </w:tcPr>
          <w:p w:rsidR="00BB3F3E" w:rsidRPr="005C7CCE" w:rsidRDefault="00BB3F3E" w:rsidP="001A5BF9">
            <w:pPr>
              <w:spacing w:before="20"/>
              <w:jc w:val="center"/>
              <w:rPr>
                <w:rFonts w:cs="Arial"/>
                <w:color w:val="10862C"/>
                <w:szCs w:val="22"/>
              </w:rPr>
            </w:pPr>
            <w:r w:rsidRPr="005C7CCE">
              <w:rPr>
                <w:color w:val="10862C"/>
              </w:rPr>
              <w:sym w:font="Wingdings" w:char="F06C"/>
            </w:r>
          </w:p>
        </w:tc>
      </w:tr>
      <w:tr w:rsidR="00BB3F3E" w:rsidRPr="005C7CCE" w:rsidTr="00391253">
        <w:tc>
          <w:tcPr>
            <w:tcW w:w="3399" w:type="dxa"/>
            <w:vMerge/>
            <w:shd w:val="clear" w:color="auto" w:fill="auto"/>
            <w:tcMar>
              <w:top w:w="113" w:type="dxa"/>
            </w:tcMar>
          </w:tcPr>
          <w:p w:rsidR="00BB3F3E" w:rsidRPr="00083EF7" w:rsidRDefault="00BB3F3E" w:rsidP="001A5BF9">
            <w:pPr>
              <w:spacing w:before="8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Nombre de signes publiés dans la base de données relative à l</w:t>
            </w:r>
            <w:r w:rsidR="00A20444" w:rsidRPr="00083EF7">
              <w:rPr>
                <w:sz w:val="14"/>
              </w:rPr>
              <w:t>’</w:t>
            </w:r>
            <w:r w:rsidRPr="00083EF7">
              <w:rPr>
                <w:sz w:val="14"/>
              </w:rPr>
              <w:t>article </w:t>
            </w:r>
            <w:proofErr w:type="spellStart"/>
            <w:r w:rsidRPr="00083EF7">
              <w:rPr>
                <w:sz w:val="14"/>
              </w:rPr>
              <w:t>6</w:t>
            </w:r>
            <w:r w:rsidRPr="00083EF7">
              <w:rPr>
                <w:i/>
                <w:sz w:val="14"/>
              </w:rPr>
              <w:t>ter</w:t>
            </w:r>
            <w:proofErr w:type="spellEnd"/>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2</w:t>
            </w:r>
          </w:p>
        </w:tc>
        <w:tc>
          <w:tcPr>
            <w:tcW w:w="1265" w:type="dxa"/>
          </w:tcPr>
          <w:p w:rsidR="00BB3F3E" w:rsidRPr="005C7CCE" w:rsidRDefault="00BB3F3E" w:rsidP="001A5BF9">
            <w:pPr>
              <w:spacing w:before="20"/>
              <w:jc w:val="center"/>
              <w:rPr>
                <w:rFonts w:cs="Arial"/>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Principes directeurs complets pour l</w:t>
            </w:r>
            <w:r w:rsidR="00A20444" w:rsidRPr="00083EF7">
              <w:rPr>
                <w:sz w:val="14"/>
              </w:rPr>
              <w:t>’</w:t>
            </w:r>
            <w:r w:rsidRPr="00083EF7">
              <w:rPr>
                <w:sz w:val="14"/>
              </w:rPr>
              <w:t>application de l</w:t>
            </w:r>
            <w:r w:rsidR="00A20444" w:rsidRPr="00083EF7">
              <w:rPr>
                <w:sz w:val="14"/>
              </w:rPr>
              <w:t>’</w:t>
            </w:r>
            <w:r w:rsidRPr="00083EF7">
              <w:rPr>
                <w:sz w:val="14"/>
              </w:rPr>
              <w:t>article</w:t>
            </w:r>
            <w:r w:rsidR="0010442A" w:rsidRPr="00083EF7">
              <w:rPr>
                <w:sz w:val="14"/>
              </w:rPr>
              <w:t> </w:t>
            </w:r>
            <w:proofErr w:type="spellStart"/>
            <w:r w:rsidRPr="00083EF7">
              <w:rPr>
                <w:sz w:val="14"/>
              </w:rPr>
              <w:t>6</w:t>
            </w:r>
            <w:r w:rsidRPr="00083EF7">
              <w:rPr>
                <w:i/>
                <w:sz w:val="14"/>
              </w:rPr>
              <w:t>ter</w:t>
            </w:r>
            <w:proofErr w:type="spellEnd"/>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2</w:t>
            </w:r>
          </w:p>
        </w:tc>
        <w:tc>
          <w:tcPr>
            <w:tcW w:w="1265" w:type="dxa"/>
          </w:tcPr>
          <w:p w:rsidR="00BB3F3E" w:rsidRPr="005C7CCE" w:rsidRDefault="00BB3F3E" w:rsidP="001A5BF9">
            <w:pPr>
              <w:spacing w:before="20"/>
              <w:jc w:val="center"/>
              <w:rPr>
                <w:rFonts w:cs="Arial"/>
                <w:szCs w:val="22"/>
              </w:rPr>
            </w:pPr>
            <w:r w:rsidRPr="005C7CCE">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Prise de décisions fondées sur des données probantes concernant les questions de droit d</w:t>
            </w:r>
            <w:r w:rsidR="00A20444" w:rsidRPr="00083EF7">
              <w:rPr>
                <w:sz w:val="14"/>
              </w:rPr>
              <w:t>’</w:t>
            </w:r>
            <w:r w:rsidRPr="00083EF7">
              <w:rPr>
                <w:sz w:val="14"/>
              </w:rPr>
              <w:t>auteur</w:t>
            </w: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Nombre de demandes de suivi d</w:t>
            </w:r>
            <w:r w:rsidR="00A20444" w:rsidRPr="00083EF7">
              <w:rPr>
                <w:sz w:val="14"/>
              </w:rPr>
              <w:t>’</w:t>
            </w:r>
            <w:r w:rsidRPr="00083EF7">
              <w:rPr>
                <w:sz w:val="14"/>
              </w:rPr>
              <w:t>études ou d</w:t>
            </w:r>
            <w:r w:rsidR="00A20444" w:rsidRPr="00083EF7">
              <w:rPr>
                <w:sz w:val="14"/>
              </w:rPr>
              <w:t>’</w:t>
            </w:r>
            <w:r w:rsidRPr="00083EF7">
              <w:rPr>
                <w:sz w:val="14"/>
              </w:rPr>
              <w:t xml:space="preserve">orientations spécifiques sur des activités contribuant à la prise de décisions de politique générale </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3</w:t>
            </w:r>
          </w:p>
        </w:tc>
        <w:tc>
          <w:tcPr>
            <w:tcW w:w="1265"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Nombre de pays utilisant des études de l</w:t>
            </w:r>
            <w:r w:rsidR="00A20444" w:rsidRPr="00083EF7">
              <w:rPr>
                <w:sz w:val="14"/>
              </w:rPr>
              <w:t>’</w:t>
            </w:r>
            <w:r w:rsidRPr="00083EF7">
              <w:rPr>
                <w:sz w:val="14"/>
              </w:rPr>
              <w:t>OMPI dans le cadre de leurs industries de la création pour élaborer des stratégies dans ce domaine</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3</w:t>
            </w:r>
          </w:p>
        </w:tc>
        <w:tc>
          <w:tcPr>
            <w:tcW w:w="1265"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Nombre de téléchargements, de demandes et de diffusion d</w:t>
            </w:r>
            <w:r w:rsidR="00A20444" w:rsidRPr="00083EF7">
              <w:rPr>
                <w:sz w:val="14"/>
              </w:rPr>
              <w:t>’</w:t>
            </w:r>
            <w:r w:rsidRPr="00083EF7">
              <w:rPr>
                <w:sz w:val="14"/>
              </w:rPr>
              <w:t>outils de l</w:t>
            </w:r>
            <w:r w:rsidR="00A20444" w:rsidRPr="00083EF7">
              <w:rPr>
                <w:sz w:val="14"/>
              </w:rPr>
              <w:t>’</w:t>
            </w:r>
            <w:r w:rsidRPr="00083EF7">
              <w:rPr>
                <w:sz w:val="14"/>
              </w:rPr>
              <w:t>OMPI pour la gestion du droit d</w:t>
            </w:r>
            <w:r w:rsidR="00A20444" w:rsidRPr="00083EF7">
              <w:rPr>
                <w:sz w:val="14"/>
              </w:rPr>
              <w:t>’</w:t>
            </w:r>
            <w:r w:rsidRPr="00083EF7">
              <w:rPr>
                <w:sz w:val="14"/>
              </w:rPr>
              <w:t xml:space="preserve">auteur dans des industries créatives spécifiques </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3</w:t>
            </w:r>
          </w:p>
        </w:tc>
        <w:tc>
          <w:tcPr>
            <w:tcW w:w="1265"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Cadres législatifs, réglementaires et politiques de propriété intellectuelle adaptés et équilibrés</w:t>
            </w:r>
            <w:r w:rsidR="004F3E42" w:rsidRPr="00083EF7">
              <w:rPr>
                <w:sz w:val="14"/>
              </w:rPr>
              <w:t xml:space="preserve"> </w:t>
            </w: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Nombre de pays ayant entamé une réforme législative dans le domaine du droit d</w:t>
            </w:r>
            <w:r w:rsidR="00A20444" w:rsidRPr="00083EF7">
              <w:rPr>
                <w:sz w:val="14"/>
              </w:rPr>
              <w:t>’</w:t>
            </w:r>
            <w:r w:rsidRPr="00083EF7">
              <w:rPr>
                <w:sz w:val="14"/>
              </w:rPr>
              <w:t>auteur et des droits connexes</w:t>
            </w:r>
          </w:p>
        </w:tc>
        <w:tc>
          <w:tcPr>
            <w:tcW w:w="1418" w:type="dxa"/>
            <w:shd w:val="clear" w:color="auto" w:fill="auto"/>
            <w:tcMar>
              <w:top w:w="113" w:type="dxa"/>
            </w:tcMar>
          </w:tcPr>
          <w:p w:rsidR="00BB3F3E" w:rsidRPr="00083EF7" w:rsidRDefault="00BB3F3E" w:rsidP="001A5BF9">
            <w:pPr>
              <w:spacing w:before="80"/>
              <w:ind w:left="176"/>
              <w:rPr>
                <w:rFonts w:cs="Arial"/>
                <w:sz w:val="14"/>
                <w:szCs w:val="14"/>
              </w:rPr>
            </w:pPr>
            <w:r w:rsidRPr="00083EF7">
              <w:rPr>
                <w:sz w:val="14"/>
              </w:rPr>
              <w:t>Programme 3</w:t>
            </w:r>
          </w:p>
        </w:tc>
        <w:tc>
          <w:tcPr>
            <w:tcW w:w="1265"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spacing w:before="80"/>
              <w:rPr>
                <w:rFonts w:cs="Arial"/>
                <w:sz w:val="14"/>
                <w:szCs w:val="14"/>
              </w:rPr>
            </w:pPr>
            <w:r w:rsidRPr="00083EF7">
              <w:rPr>
                <w:sz w:val="14"/>
              </w:rPr>
              <w:t xml:space="preserve">Nombre et types de conseils législatifs apportés aux États </w:t>
            </w:r>
            <w:r w:rsidR="00106829" w:rsidRPr="00083EF7">
              <w:rPr>
                <w:sz w:val="14"/>
              </w:rPr>
              <w:t>membres</w:t>
            </w:r>
            <w:r w:rsidRPr="00083EF7">
              <w:rPr>
                <w:sz w:val="14"/>
              </w:rPr>
              <w:t xml:space="preserve"> au sujet des brevets, des modèles d</w:t>
            </w:r>
            <w:r w:rsidR="00A20444" w:rsidRPr="00083EF7">
              <w:rPr>
                <w:sz w:val="14"/>
              </w:rPr>
              <w:t>’</w:t>
            </w:r>
            <w:r w:rsidRPr="00083EF7">
              <w:rPr>
                <w:sz w:val="14"/>
              </w:rPr>
              <w:t>utilité, des secrets commerciaux et des circuits intégrés</w:t>
            </w:r>
          </w:p>
        </w:tc>
        <w:tc>
          <w:tcPr>
            <w:tcW w:w="1418" w:type="dxa"/>
            <w:shd w:val="clear" w:color="auto" w:fill="auto"/>
            <w:tcMar>
              <w:top w:w="113" w:type="dxa"/>
            </w:tcMar>
          </w:tcPr>
          <w:p w:rsidR="00D42474" w:rsidRDefault="00BB3F3E" w:rsidP="001A5BF9">
            <w:pPr>
              <w:spacing w:before="80"/>
              <w:ind w:left="176"/>
              <w:rPr>
                <w:rFonts w:cs="Arial"/>
                <w:sz w:val="14"/>
                <w:szCs w:val="14"/>
              </w:rPr>
            </w:pPr>
            <w:r w:rsidRPr="00083EF7">
              <w:rPr>
                <w:sz w:val="14"/>
              </w:rPr>
              <w:t>Programme 1</w:t>
            </w:r>
          </w:p>
          <w:p w:rsidR="00D42474" w:rsidRDefault="00BB3F3E" w:rsidP="001A5BF9">
            <w:pPr>
              <w:spacing w:before="80"/>
              <w:ind w:left="176"/>
              <w:rPr>
                <w:rFonts w:cs="Arial"/>
                <w:sz w:val="14"/>
                <w:szCs w:val="14"/>
              </w:rPr>
            </w:pPr>
            <w:r w:rsidRPr="00083EF7">
              <w:rPr>
                <w:sz w:val="14"/>
              </w:rPr>
              <w:t>Programme 9</w:t>
            </w:r>
          </w:p>
          <w:p w:rsidR="00BB3F3E" w:rsidRPr="00083EF7" w:rsidRDefault="00BB3F3E" w:rsidP="001A5BF9">
            <w:pPr>
              <w:spacing w:before="80"/>
              <w:ind w:left="176"/>
              <w:rPr>
                <w:rFonts w:cs="Arial"/>
                <w:sz w:val="14"/>
                <w:szCs w:val="14"/>
              </w:rPr>
            </w:pPr>
            <w:r w:rsidRPr="00083EF7">
              <w:rPr>
                <w:sz w:val="14"/>
              </w:rPr>
              <w:t>Programme 10</w:t>
            </w:r>
          </w:p>
        </w:tc>
        <w:tc>
          <w:tcPr>
            <w:tcW w:w="1265" w:type="dxa"/>
          </w:tcPr>
          <w:p w:rsidR="00D42474" w:rsidRDefault="00BB3F3E" w:rsidP="001A5BF9">
            <w:pPr>
              <w:jc w:val="center"/>
              <w:rPr>
                <w:rFonts w:cs="Arial"/>
                <w:color w:val="10862C"/>
                <w:szCs w:val="22"/>
              </w:rPr>
            </w:pPr>
            <w:r w:rsidRPr="005C7CCE">
              <w:rPr>
                <w:color w:val="10862C"/>
              </w:rPr>
              <w:sym w:font="Wingdings" w:char="F06C"/>
            </w:r>
          </w:p>
          <w:p w:rsidR="00D42474" w:rsidRDefault="00BB3F3E" w:rsidP="001A5BF9">
            <w:pPr>
              <w:jc w:val="center"/>
              <w:rPr>
                <w:rFonts w:cs="Arial"/>
                <w:color w:val="10862C"/>
                <w:szCs w:val="22"/>
              </w:rPr>
            </w:pPr>
            <w:r w:rsidRPr="005C7CCE">
              <w:rPr>
                <w:color w:val="10862C"/>
              </w:rPr>
              <w:sym w:font="Wingdings" w:char="F06C"/>
            </w:r>
          </w:p>
          <w:p w:rsidR="00BB3F3E" w:rsidRPr="005C7CCE" w:rsidRDefault="00BB3F3E" w:rsidP="001A5BF9">
            <w:pPr>
              <w:jc w:val="center"/>
              <w:rPr>
                <w:rFonts w:cs="Arial"/>
                <w:color w:val="006600"/>
                <w:szCs w:val="22"/>
              </w:rPr>
            </w:pPr>
            <w:r w:rsidRPr="005C7CCE">
              <w:rPr>
                <w:color w:val="A6A6A6"/>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keepNext/>
              <w:keepLines/>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keepNext/>
              <w:keepLines/>
              <w:spacing w:before="60"/>
              <w:rPr>
                <w:rFonts w:cs="Arial"/>
                <w:sz w:val="14"/>
                <w:szCs w:val="14"/>
              </w:rPr>
            </w:pPr>
            <w:r w:rsidRPr="00083EF7">
              <w:rPr>
                <w:sz w:val="14"/>
              </w:rPr>
              <w:t>Pourcentage de pays satisfaits par les conseils législatifs fournis par l</w:t>
            </w:r>
            <w:r w:rsidR="00A20444" w:rsidRPr="00083EF7">
              <w:rPr>
                <w:sz w:val="14"/>
              </w:rPr>
              <w:t>’</w:t>
            </w:r>
            <w:r w:rsidRPr="00083EF7">
              <w:rPr>
                <w:sz w:val="14"/>
              </w:rPr>
              <w:t>OMPI en matière de brevets, modèles d</w:t>
            </w:r>
            <w:r w:rsidR="00A20444" w:rsidRPr="00083EF7">
              <w:rPr>
                <w:sz w:val="14"/>
              </w:rPr>
              <w:t>’</w:t>
            </w:r>
            <w:r w:rsidRPr="00083EF7">
              <w:rPr>
                <w:sz w:val="14"/>
              </w:rPr>
              <w:t>utilité, secrets commerciaux et circuits intégrés</w:t>
            </w:r>
          </w:p>
        </w:tc>
        <w:tc>
          <w:tcPr>
            <w:tcW w:w="1418" w:type="dxa"/>
            <w:shd w:val="clear" w:color="auto" w:fill="auto"/>
            <w:tcMar>
              <w:top w:w="113" w:type="dxa"/>
            </w:tcMar>
          </w:tcPr>
          <w:p w:rsidR="00D42474" w:rsidRDefault="00BB3F3E" w:rsidP="001A5BF9">
            <w:pPr>
              <w:keepNext/>
              <w:keepLines/>
              <w:spacing w:before="80"/>
              <w:ind w:left="176"/>
              <w:rPr>
                <w:rFonts w:cs="Arial"/>
                <w:sz w:val="14"/>
                <w:szCs w:val="14"/>
              </w:rPr>
            </w:pPr>
            <w:r w:rsidRPr="00083EF7">
              <w:rPr>
                <w:sz w:val="14"/>
              </w:rPr>
              <w:t>Programme 1</w:t>
            </w:r>
          </w:p>
          <w:p w:rsidR="00D42474" w:rsidRDefault="00BB3F3E" w:rsidP="001A5BF9">
            <w:pPr>
              <w:keepNext/>
              <w:keepLines/>
              <w:spacing w:before="80"/>
              <w:ind w:left="176"/>
              <w:rPr>
                <w:rFonts w:cs="Arial"/>
                <w:sz w:val="14"/>
                <w:szCs w:val="14"/>
              </w:rPr>
            </w:pPr>
            <w:r w:rsidRPr="00083EF7">
              <w:rPr>
                <w:sz w:val="14"/>
              </w:rPr>
              <w:t>Programme 9</w:t>
            </w:r>
          </w:p>
          <w:p w:rsidR="00BB3F3E" w:rsidRPr="00083EF7" w:rsidRDefault="00BB3F3E" w:rsidP="001A5BF9">
            <w:pPr>
              <w:keepNext/>
              <w:keepLines/>
              <w:spacing w:before="80"/>
              <w:ind w:left="176"/>
              <w:rPr>
                <w:rFonts w:cs="Arial"/>
                <w:sz w:val="14"/>
                <w:szCs w:val="14"/>
              </w:rPr>
            </w:pPr>
            <w:r w:rsidRPr="00083EF7">
              <w:rPr>
                <w:sz w:val="14"/>
              </w:rPr>
              <w:t>Programme 10</w:t>
            </w:r>
          </w:p>
        </w:tc>
        <w:tc>
          <w:tcPr>
            <w:tcW w:w="1265" w:type="dxa"/>
          </w:tcPr>
          <w:p w:rsidR="00D42474" w:rsidRDefault="00BB3F3E" w:rsidP="001A5BF9">
            <w:pPr>
              <w:keepNext/>
              <w:keepLines/>
              <w:jc w:val="center"/>
              <w:rPr>
                <w:rFonts w:cs="Arial"/>
                <w:color w:val="10862C"/>
                <w:szCs w:val="22"/>
              </w:rPr>
            </w:pPr>
            <w:r w:rsidRPr="005C7CCE">
              <w:rPr>
                <w:color w:val="10862C"/>
              </w:rPr>
              <w:sym w:font="Wingdings" w:char="F06C"/>
            </w:r>
          </w:p>
          <w:p w:rsidR="00D42474" w:rsidRDefault="00BB3F3E" w:rsidP="001A5BF9">
            <w:pPr>
              <w:keepNext/>
              <w:keepLines/>
              <w:jc w:val="center"/>
              <w:rPr>
                <w:rFonts w:cs="Arial"/>
                <w:color w:val="10862C"/>
                <w:szCs w:val="22"/>
              </w:rPr>
            </w:pPr>
            <w:r w:rsidRPr="005C7CCE">
              <w:rPr>
                <w:color w:val="10862C"/>
              </w:rPr>
              <w:sym w:font="Wingdings" w:char="F06C"/>
            </w:r>
          </w:p>
          <w:p w:rsidR="00BB3F3E" w:rsidRPr="005C7CCE" w:rsidRDefault="00BB3F3E" w:rsidP="001A5BF9">
            <w:pPr>
              <w:keepNext/>
              <w:keepLines/>
              <w:jc w:val="center"/>
              <w:rPr>
                <w:rFonts w:cs="Arial"/>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keepNext/>
              <w:keepLines/>
              <w:spacing w:before="60"/>
              <w:rPr>
                <w:rFonts w:cs="Arial"/>
                <w:sz w:val="14"/>
                <w:szCs w:val="14"/>
              </w:rPr>
            </w:pPr>
            <w:r w:rsidRPr="00083EF7">
              <w:rPr>
                <w:sz w:val="14"/>
              </w:rPr>
              <w:t>Pourcentage de pays ayant trouvé utiles les informations fournies concernant les principes juridiques et les pratiques en rapport avec le système des brevets, notamment les éléments de flexibilité existants dans le système et les difficultés auxquelles il est confronté</w:t>
            </w:r>
          </w:p>
        </w:tc>
        <w:tc>
          <w:tcPr>
            <w:tcW w:w="1418" w:type="dxa"/>
            <w:shd w:val="clear" w:color="auto" w:fill="auto"/>
            <w:tcMar>
              <w:top w:w="113" w:type="dxa"/>
            </w:tcMar>
          </w:tcPr>
          <w:p w:rsidR="00D42474" w:rsidRDefault="00BB3F3E" w:rsidP="001A5BF9">
            <w:pPr>
              <w:keepNext/>
              <w:keepLines/>
              <w:spacing w:before="60"/>
              <w:ind w:left="176"/>
              <w:rPr>
                <w:rFonts w:cs="Arial"/>
                <w:sz w:val="14"/>
                <w:szCs w:val="14"/>
              </w:rPr>
            </w:pPr>
            <w:r w:rsidRPr="00083EF7">
              <w:rPr>
                <w:sz w:val="14"/>
              </w:rPr>
              <w:t>Programme 1</w:t>
            </w:r>
          </w:p>
          <w:p w:rsidR="00D42474" w:rsidRDefault="00BB3F3E" w:rsidP="001A5BF9">
            <w:pPr>
              <w:keepNext/>
              <w:keepLines/>
              <w:spacing w:before="80"/>
              <w:ind w:left="176"/>
              <w:rPr>
                <w:rFonts w:cs="Arial"/>
                <w:sz w:val="14"/>
                <w:szCs w:val="14"/>
              </w:rPr>
            </w:pPr>
            <w:r w:rsidRPr="00083EF7">
              <w:rPr>
                <w:sz w:val="14"/>
              </w:rPr>
              <w:t>Programme 9</w:t>
            </w:r>
          </w:p>
          <w:p w:rsidR="00BB3F3E" w:rsidRPr="00083EF7" w:rsidRDefault="00BB3F3E" w:rsidP="001A5BF9">
            <w:pPr>
              <w:keepNext/>
              <w:keepLines/>
              <w:spacing w:before="80"/>
              <w:ind w:left="176"/>
              <w:rPr>
                <w:rFonts w:cs="Arial"/>
                <w:sz w:val="14"/>
                <w:szCs w:val="14"/>
              </w:rPr>
            </w:pPr>
            <w:r w:rsidRPr="00083EF7">
              <w:rPr>
                <w:sz w:val="14"/>
              </w:rPr>
              <w:t>Programme 10</w:t>
            </w:r>
          </w:p>
        </w:tc>
        <w:tc>
          <w:tcPr>
            <w:tcW w:w="1265" w:type="dxa"/>
          </w:tcPr>
          <w:p w:rsidR="00D42474" w:rsidRDefault="00BB3F3E" w:rsidP="001A5BF9">
            <w:pPr>
              <w:keepNext/>
              <w:keepLines/>
              <w:jc w:val="center"/>
              <w:rPr>
                <w:rFonts w:cs="Arial"/>
                <w:color w:val="10862C"/>
                <w:szCs w:val="22"/>
              </w:rPr>
            </w:pPr>
            <w:r w:rsidRPr="005C7CCE">
              <w:rPr>
                <w:color w:val="10862C"/>
              </w:rPr>
              <w:sym w:font="Wingdings" w:char="F06C"/>
            </w:r>
          </w:p>
          <w:p w:rsidR="00D42474" w:rsidRDefault="00BB3F3E" w:rsidP="001A5BF9">
            <w:pPr>
              <w:keepNext/>
              <w:keepLines/>
              <w:jc w:val="center"/>
              <w:rPr>
                <w:rFonts w:cs="Arial"/>
                <w:color w:val="10862C"/>
                <w:szCs w:val="22"/>
              </w:rPr>
            </w:pPr>
            <w:r w:rsidRPr="005C7CCE">
              <w:rPr>
                <w:color w:val="10862C"/>
              </w:rPr>
              <w:sym w:font="Wingdings" w:char="F06C"/>
            </w:r>
          </w:p>
          <w:p w:rsidR="00BB3F3E" w:rsidRPr="005C7CCE" w:rsidRDefault="00BB3F3E" w:rsidP="001A5BF9">
            <w:pPr>
              <w:keepNext/>
              <w:keepLines/>
              <w:jc w:val="center"/>
              <w:rPr>
                <w:rFonts w:cs="Arial"/>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keepNext/>
              <w:keepLines/>
              <w:spacing w:before="60"/>
              <w:rPr>
                <w:rFonts w:cs="Arial"/>
                <w:sz w:val="14"/>
                <w:szCs w:val="14"/>
              </w:rPr>
            </w:pPr>
            <w:r w:rsidRPr="00083EF7">
              <w:rPr>
                <w:sz w:val="14"/>
              </w:rPr>
              <w:t>Pourcentage de participants satisfaits dans des ateliers</w:t>
            </w:r>
            <w:r w:rsidR="00BD43F2" w:rsidRPr="00083EF7">
              <w:rPr>
                <w:sz w:val="14"/>
              </w:rPr>
              <w:t>/</w:t>
            </w:r>
            <w:r w:rsidRPr="00083EF7">
              <w:rPr>
                <w:sz w:val="14"/>
              </w:rPr>
              <w:t xml:space="preserve">séminaires ciblés, organisés sur des questions spécifiques aux brevets </w:t>
            </w:r>
          </w:p>
        </w:tc>
        <w:tc>
          <w:tcPr>
            <w:tcW w:w="1418" w:type="dxa"/>
            <w:shd w:val="clear" w:color="auto" w:fill="auto"/>
            <w:tcMar>
              <w:top w:w="113" w:type="dxa"/>
            </w:tcMar>
          </w:tcPr>
          <w:p w:rsidR="00D42474" w:rsidRDefault="00BB3F3E" w:rsidP="001A5BF9">
            <w:pPr>
              <w:keepNext/>
              <w:keepLines/>
              <w:spacing w:before="60"/>
              <w:ind w:left="176"/>
              <w:rPr>
                <w:rFonts w:cs="Arial"/>
                <w:sz w:val="14"/>
                <w:szCs w:val="14"/>
              </w:rPr>
            </w:pPr>
            <w:r w:rsidRPr="00083EF7">
              <w:rPr>
                <w:sz w:val="14"/>
              </w:rPr>
              <w:t>Programme 1</w:t>
            </w:r>
          </w:p>
          <w:p w:rsidR="00D42474" w:rsidRDefault="00BB3F3E" w:rsidP="001A5BF9">
            <w:pPr>
              <w:keepNext/>
              <w:keepLines/>
              <w:spacing w:before="80"/>
              <w:ind w:left="176"/>
              <w:rPr>
                <w:rFonts w:cs="Arial"/>
                <w:sz w:val="14"/>
                <w:szCs w:val="14"/>
              </w:rPr>
            </w:pPr>
            <w:r w:rsidRPr="00083EF7">
              <w:rPr>
                <w:sz w:val="14"/>
              </w:rPr>
              <w:t>Programme 9</w:t>
            </w:r>
          </w:p>
          <w:p w:rsidR="00BB3F3E" w:rsidRPr="00083EF7" w:rsidRDefault="00BB3F3E" w:rsidP="001A5BF9">
            <w:pPr>
              <w:keepNext/>
              <w:keepLines/>
              <w:spacing w:before="80"/>
              <w:ind w:left="176"/>
              <w:rPr>
                <w:rFonts w:cs="Arial"/>
                <w:sz w:val="14"/>
                <w:szCs w:val="14"/>
              </w:rPr>
            </w:pPr>
            <w:r w:rsidRPr="00083EF7">
              <w:rPr>
                <w:sz w:val="14"/>
              </w:rPr>
              <w:t>Programme 10</w:t>
            </w:r>
          </w:p>
        </w:tc>
        <w:tc>
          <w:tcPr>
            <w:tcW w:w="1265" w:type="dxa"/>
          </w:tcPr>
          <w:p w:rsidR="00D42474" w:rsidRDefault="00BB3F3E" w:rsidP="001A5BF9">
            <w:pPr>
              <w:keepNext/>
              <w:keepLines/>
              <w:jc w:val="center"/>
              <w:rPr>
                <w:rFonts w:cs="Arial"/>
                <w:color w:val="10862C"/>
                <w:szCs w:val="22"/>
              </w:rPr>
            </w:pPr>
            <w:r w:rsidRPr="005C7CCE">
              <w:rPr>
                <w:color w:val="10862C"/>
              </w:rPr>
              <w:sym w:font="Wingdings" w:char="F06C"/>
            </w:r>
          </w:p>
          <w:p w:rsidR="00D42474" w:rsidRDefault="00BB3F3E" w:rsidP="001A5BF9">
            <w:pPr>
              <w:keepNext/>
              <w:keepLines/>
              <w:jc w:val="center"/>
              <w:rPr>
                <w:rFonts w:cs="Arial"/>
                <w:color w:val="10862C"/>
                <w:szCs w:val="22"/>
              </w:rPr>
            </w:pPr>
            <w:r w:rsidRPr="005C7CCE">
              <w:rPr>
                <w:color w:val="10862C"/>
              </w:rPr>
              <w:sym w:font="Wingdings" w:char="F06C"/>
            </w:r>
          </w:p>
          <w:p w:rsidR="00BB3F3E" w:rsidRPr="005C7CCE" w:rsidRDefault="00BB3F3E" w:rsidP="001A5BF9">
            <w:pPr>
              <w:keepNext/>
              <w:keepLines/>
              <w:jc w:val="center"/>
              <w:rPr>
                <w:rFonts w:cs="Arial"/>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spacing w:before="60"/>
              <w:rPr>
                <w:rFonts w:cs="Arial"/>
                <w:sz w:val="14"/>
                <w:szCs w:val="14"/>
              </w:rPr>
            </w:pPr>
            <w:r w:rsidRPr="00083EF7">
              <w:rPr>
                <w:sz w:val="14"/>
              </w:rPr>
              <w:t>Nombre d</w:t>
            </w:r>
            <w:r w:rsidR="00A20444" w:rsidRPr="00083EF7">
              <w:rPr>
                <w:sz w:val="14"/>
              </w:rPr>
              <w:t>’</w:t>
            </w:r>
            <w:r w:rsidRPr="00083EF7">
              <w:rPr>
                <w:sz w:val="14"/>
              </w:rPr>
              <w:t xml:space="preserve">États membres ayant reçu des conseils législatifs dans le domaine des marques, des modèles et dessins industriels et des indications géographiques </w:t>
            </w:r>
          </w:p>
        </w:tc>
        <w:tc>
          <w:tcPr>
            <w:tcW w:w="1418" w:type="dxa"/>
            <w:shd w:val="clear" w:color="auto" w:fill="auto"/>
            <w:tcMar>
              <w:top w:w="113" w:type="dxa"/>
            </w:tcMar>
          </w:tcPr>
          <w:p w:rsidR="00D42474" w:rsidRDefault="00BB3F3E" w:rsidP="001A5BF9">
            <w:pPr>
              <w:spacing w:before="60"/>
              <w:ind w:left="176"/>
              <w:rPr>
                <w:rFonts w:cs="Arial"/>
                <w:sz w:val="14"/>
                <w:szCs w:val="14"/>
              </w:rPr>
            </w:pPr>
            <w:r w:rsidRPr="00083EF7">
              <w:rPr>
                <w:sz w:val="14"/>
              </w:rPr>
              <w:t>Programme 2</w:t>
            </w:r>
          </w:p>
          <w:p w:rsidR="00D42474" w:rsidRDefault="00BB3F3E" w:rsidP="001A5BF9">
            <w:pPr>
              <w:spacing w:before="80"/>
              <w:ind w:left="176"/>
              <w:rPr>
                <w:rFonts w:cs="Arial"/>
                <w:sz w:val="14"/>
                <w:szCs w:val="14"/>
              </w:rPr>
            </w:pPr>
            <w:r w:rsidRPr="00083EF7">
              <w:rPr>
                <w:sz w:val="14"/>
              </w:rPr>
              <w:t>Programme 9</w:t>
            </w:r>
          </w:p>
          <w:p w:rsidR="00BB3F3E" w:rsidRPr="00083EF7" w:rsidRDefault="00BB3F3E" w:rsidP="001A5BF9">
            <w:pPr>
              <w:spacing w:before="80"/>
              <w:ind w:left="176"/>
              <w:rPr>
                <w:rFonts w:cs="Arial"/>
                <w:sz w:val="14"/>
                <w:szCs w:val="14"/>
              </w:rPr>
            </w:pPr>
            <w:r w:rsidRPr="00083EF7">
              <w:rPr>
                <w:sz w:val="14"/>
              </w:rPr>
              <w:t>Programme 10</w:t>
            </w:r>
          </w:p>
        </w:tc>
        <w:tc>
          <w:tcPr>
            <w:tcW w:w="1265" w:type="dxa"/>
          </w:tcPr>
          <w:p w:rsidR="00D42474" w:rsidRDefault="00BB3F3E" w:rsidP="001A5BF9">
            <w:pPr>
              <w:jc w:val="center"/>
              <w:rPr>
                <w:rFonts w:cs="Arial"/>
                <w:color w:val="E36C0A"/>
                <w:szCs w:val="22"/>
              </w:rPr>
            </w:pPr>
            <w:r w:rsidRPr="005C7CCE">
              <w:rPr>
                <w:color w:val="E36C0A"/>
              </w:rPr>
              <w:sym w:font="Wingdings" w:char="F06C"/>
            </w:r>
          </w:p>
          <w:p w:rsidR="00D42474" w:rsidRDefault="00BB3F3E" w:rsidP="001A5BF9">
            <w:pPr>
              <w:jc w:val="center"/>
              <w:rPr>
                <w:rFonts w:cs="Arial"/>
                <w:color w:val="E36C0A"/>
                <w:szCs w:val="22"/>
              </w:rPr>
            </w:pPr>
            <w:r w:rsidRPr="005C7CCE">
              <w:rPr>
                <w:color w:val="E36C0A"/>
              </w:rPr>
              <w:sym w:font="Wingdings" w:char="F06C"/>
            </w:r>
          </w:p>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BB3F3E" w:rsidRPr="00083EF7" w:rsidRDefault="00BB3F3E" w:rsidP="001A5BF9">
            <w:pPr>
              <w:spacing w:before="60"/>
              <w:rPr>
                <w:rFonts w:cs="Arial"/>
                <w:sz w:val="14"/>
                <w:szCs w:val="14"/>
              </w:rPr>
            </w:pPr>
            <w:r w:rsidRPr="00083EF7">
              <w:rPr>
                <w:sz w:val="14"/>
              </w:rPr>
              <w:t>Nombre de pays ayant donné un avis positif en retour sur l</w:t>
            </w:r>
            <w:r w:rsidR="00A20444" w:rsidRPr="00083EF7">
              <w:rPr>
                <w:sz w:val="14"/>
              </w:rPr>
              <w:t>’</w:t>
            </w:r>
            <w:r w:rsidRPr="00083EF7">
              <w:rPr>
                <w:sz w:val="14"/>
              </w:rPr>
              <w:t xml:space="preserve">utilité des conseils de législation fournis dans le domaine des marques, des modèles et dessins industriels et des indications géographiques </w:t>
            </w:r>
          </w:p>
        </w:tc>
        <w:tc>
          <w:tcPr>
            <w:tcW w:w="1418" w:type="dxa"/>
            <w:shd w:val="clear" w:color="auto" w:fill="auto"/>
            <w:tcMar>
              <w:top w:w="113" w:type="dxa"/>
            </w:tcMar>
          </w:tcPr>
          <w:p w:rsidR="00D42474" w:rsidRDefault="00BB3F3E" w:rsidP="001A5BF9">
            <w:pPr>
              <w:spacing w:before="60"/>
              <w:ind w:left="176"/>
              <w:rPr>
                <w:rFonts w:cs="Arial"/>
                <w:sz w:val="14"/>
                <w:szCs w:val="14"/>
              </w:rPr>
            </w:pPr>
            <w:r w:rsidRPr="00083EF7">
              <w:rPr>
                <w:sz w:val="14"/>
              </w:rPr>
              <w:t>Programme 2</w:t>
            </w:r>
          </w:p>
          <w:p w:rsidR="00D42474" w:rsidRDefault="00BB3F3E" w:rsidP="001A5BF9">
            <w:pPr>
              <w:spacing w:before="80"/>
              <w:ind w:left="176"/>
              <w:rPr>
                <w:rFonts w:cs="Arial"/>
                <w:sz w:val="14"/>
                <w:szCs w:val="14"/>
              </w:rPr>
            </w:pPr>
            <w:r w:rsidRPr="00083EF7">
              <w:rPr>
                <w:sz w:val="14"/>
              </w:rPr>
              <w:t>Programme 9</w:t>
            </w:r>
          </w:p>
          <w:p w:rsidR="00BB3F3E" w:rsidRPr="00083EF7" w:rsidRDefault="00BB3F3E" w:rsidP="001A5BF9">
            <w:pPr>
              <w:spacing w:before="80"/>
              <w:ind w:left="176"/>
              <w:rPr>
                <w:rFonts w:cs="Arial"/>
                <w:sz w:val="14"/>
                <w:szCs w:val="14"/>
              </w:rPr>
            </w:pPr>
            <w:r w:rsidRPr="00083EF7">
              <w:rPr>
                <w:sz w:val="14"/>
              </w:rPr>
              <w:t>Programme 10</w:t>
            </w:r>
          </w:p>
        </w:tc>
        <w:tc>
          <w:tcPr>
            <w:tcW w:w="1265" w:type="dxa"/>
          </w:tcPr>
          <w:p w:rsidR="00D42474" w:rsidRDefault="00BB3F3E" w:rsidP="001A5BF9">
            <w:pPr>
              <w:jc w:val="center"/>
              <w:rPr>
                <w:rFonts w:cs="Arial"/>
                <w:color w:val="10862C"/>
                <w:szCs w:val="22"/>
              </w:rPr>
            </w:pPr>
            <w:r w:rsidRPr="005C7CCE">
              <w:rPr>
                <w:color w:val="10862C"/>
              </w:rPr>
              <w:sym w:font="Wingdings" w:char="F06C"/>
            </w:r>
          </w:p>
          <w:p w:rsidR="00D42474" w:rsidRDefault="00BB3F3E" w:rsidP="001A5BF9">
            <w:pPr>
              <w:jc w:val="center"/>
              <w:rPr>
                <w:rFonts w:cs="Arial"/>
                <w:color w:val="10862C"/>
                <w:szCs w:val="22"/>
              </w:rPr>
            </w:pPr>
            <w:r w:rsidRPr="005C7CCE">
              <w:rPr>
                <w:color w:val="10862C"/>
              </w:rPr>
              <w:sym w:font="Wingdings" w:char="F06C"/>
            </w:r>
          </w:p>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391253">
        <w:tc>
          <w:tcPr>
            <w:tcW w:w="3399" w:type="dxa"/>
            <w:shd w:val="clear" w:color="auto" w:fill="auto"/>
            <w:tcMar>
              <w:top w:w="113" w:type="dxa"/>
            </w:tcMar>
          </w:tcPr>
          <w:p w:rsidR="00BB3F3E" w:rsidRPr="00083EF7" w:rsidRDefault="00BB3F3E" w:rsidP="001A5BF9">
            <w:pPr>
              <w:spacing w:before="80"/>
              <w:ind w:firstLineChars="100" w:firstLine="140"/>
              <w:rPr>
                <w:rFonts w:cs="Arial"/>
                <w:sz w:val="14"/>
                <w:szCs w:val="14"/>
              </w:rPr>
            </w:pPr>
          </w:p>
        </w:tc>
        <w:tc>
          <w:tcPr>
            <w:tcW w:w="3284" w:type="dxa"/>
            <w:shd w:val="clear" w:color="auto" w:fill="auto"/>
            <w:tcMar>
              <w:top w:w="113" w:type="dxa"/>
            </w:tcMar>
          </w:tcPr>
          <w:p w:rsidR="00D42474" w:rsidRDefault="00BB3F3E" w:rsidP="001A5BF9">
            <w:pPr>
              <w:spacing w:before="60"/>
              <w:rPr>
                <w:sz w:val="14"/>
                <w:szCs w:val="14"/>
                <w:lang w:bidi="th-TH"/>
              </w:rPr>
            </w:pPr>
            <w:r w:rsidRPr="00083EF7">
              <w:rPr>
                <w:sz w:val="14"/>
              </w:rPr>
              <w:t>Nombre de pays ayant bénéficié d</w:t>
            </w:r>
            <w:r w:rsidR="00A20444" w:rsidRPr="00083EF7">
              <w:rPr>
                <w:sz w:val="14"/>
              </w:rPr>
              <w:t>’</w:t>
            </w:r>
            <w:r w:rsidRPr="00083EF7">
              <w:rPr>
                <w:sz w:val="14"/>
              </w:rPr>
              <w:t>une assistance technique concernant des cadres législatifs nouveaux ou actualisés aux fins d</w:t>
            </w:r>
            <w:r w:rsidR="00A20444" w:rsidRPr="00083EF7">
              <w:rPr>
                <w:sz w:val="14"/>
              </w:rPr>
              <w:t>’</w:t>
            </w:r>
            <w:r w:rsidRPr="00083EF7">
              <w:rPr>
                <w:sz w:val="14"/>
              </w:rPr>
              <w:t>une application efficace des droits, compte tenu des éléments de flexibilité prévus dans la troisième partie de l</w:t>
            </w:r>
            <w:r w:rsidR="00A20444" w:rsidRPr="00083EF7">
              <w:rPr>
                <w:sz w:val="14"/>
              </w:rPr>
              <w:t>’</w:t>
            </w:r>
            <w:r w:rsidRPr="00083EF7">
              <w:rPr>
                <w:sz w:val="14"/>
              </w:rPr>
              <w:t>Accord sur</w:t>
            </w:r>
            <w:r w:rsidR="00A20444" w:rsidRPr="00083EF7">
              <w:rPr>
                <w:sz w:val="14"/>
              </w:rPr>
              <w:t xml:space="preserve"> les ADP</w:t>
            </w:r>
            <w:r w:rsidRPr="00083EF7">
              <w:rPr>
                <w:sz w:val="14"/>
              </w:rPr>
              <w:t>IC</w:t>
            </w:r>
          </w:p>
          <w:p w:rsidR="00BB3F3E" w:rsidRPr="00083EF7" w:rsidRDefault="00BB3F3E" w:rsidP="001A5BF9">
            <w:pPr>
              <w:spacing w:before="60"/>
              <w:rPr>
                <w:rFonts w:cs="Arial"/>
                <w:sz w:val="14"/>
                <w:szCs w:val="14"/>
              </w:rPr>
            </w:pPr>
          </w:p>
        </w:tc>
        <w:tc>
          <w:tcPr>
            <w:tcW w:w="1418" w:type="dxa"/>
            <w:shd w:val="clear" w:color="auto" w:fill="auto"/>
            <w:tcMar>
              <w:top w:w="113" w:type="dxa"/>
            </w:tcMar>
          </w:tcPr>
          <w:p w:rsidR="00D42474" w:rsidRDefault="00BB3F3E" w:rsidP="001A5BF9">
            <w:pPr>
              <w:spacing w:before="60"/>
              <w:ind w:left="176"/>
              <w:rPr>
                <w:rFonts w:cs="Arial"/>
                <w:sz w:val="14"/>
                <w:szCs w:val="14"/>
              </w:rPr>
            </w:pPr>
            <w:r w:rsidRPr="00083EF7">
              <w:rPr>
                <w:sz w:val="14"/>
              </w:rPr>
              <w:t>Programme 17</w:t>
            </w:r>
          </w:p>
          <w:p w:rsidR="00BB3F3E" w:rsidRPr="00083EF7" w:rsidRDefault="00BB3F3E" w:rsidP="001A5BF9">
            <w:pPr>
              <w:spacing w:before="80"/>
              <w:ind w:left="176"/>
              <w:rPr>
                <w:rFonts w:cs="Arial"/>
                <w:sz w:val="14"/>
                <w:szCs w:val="14"/>
              </w:rPr>
            </w:pPr>
            <w:r w:rsidRPr="00083EF7">
              <w:rPr>
                <w:sz w:val="14"/>
              </w:rPr>
              <w:t>Programme 9</w:t>
            </w:r>
          </w:p>
        </w:tc>
        <w:tc>
          <w:tcPr>
            <w:tcW w:w="1265" w:type="dxa"/>
          </w:tcPr>
          <w:p w:rsidR="00D42474" w:rsidRDefault="00BB3F3E" w:rsidP="001A5BF9">
            <w:pPr>
              <w:jc w:val="center"/>
              <w:rPr>
                <w:rFonts w:cs="Arial"/>
                <w:color w:val="10862C"/>
                <w:szCs w:val="22"/>
              </w:rPr>
            </w:pPr>
            <w:r w:rsidRPr="005C7CCE">
              <w:rPr>
                <w:color w:val="10862C"/>
              </w:rPr>
              <w:sym w:font="Wingdings" w:char="F06C"/>
            </w:r>
          </w:p>
          <w:p w:rsidR="00BB3F3E" w:rsidRPr="005C7CCE" w:rsidRDefault="00BB3F3E" w:rsidP="001A5BF9">
            <w:pPr>
              <w:jc w:val="center"/>
              <w:rPr>
                <w:rFonts w:cs="Arial"/>
                <w:color w:val="10862C"/>
                <w:szCs w:val="22"/>
              </w:rPr>
            </w:pPr>
            <w:r w:rsidRPr="005C7CCE">
              <w:rPr>
                <w:color w:val="10862C"/>
              </w:rPr>
              <w:sym w:font="Wingdings" w:char="F06C"/>
            </w:r>
          </w:p>
        </w:tc>
      </w:tr>
    </w:tbl>
    <w:p w:rsidR="00D42474" w:rsidRDefault="00D42474" w:rsidP="001A5BF9">
      <w:pPr>
        <w:jc w:val="both"/>
      </w:pPr>
    </w:p>
    <w:p w:rsidR="00D42474" w:rsidRDefault="00D42474" w:rsidP="001A5BF9">
      <w:pPr>
        <w:jc w:val="both"/>
      </w:pPr>
    </w:p>
    <w:p w:rsidR="00D42474" w:rsidRDefault="00BB3F3E" w:rsidP="001A5BF9">
      <w:pPr>
        <w:jc w:val="both"/>
      </w:pPr>
      <w:r w:rsidRPr="00083EF7">
        <w:t>Des progrès considérables ont été accomplis en 2012</w:t>
      </w:r>
      <w:r w:rsidR="002D6F2A" w:rsidRPr="00083EF7">
        <w:noBreakHyphen/>
      </w:r>
      <w:r w:rsidRPr="00083EF7">
        <w:t>2013 dans le cadre de cet objectif stratégique grâce à l</w:t>
      </w:r>
      <w:r w:rsidR="00A20444" w:rsidRPr="00083EF7">
        <w:t>’</w:t>
      </w:r>
      <w:r w:rsidRPr="00083EF7">
        <w:t>adoption du texte de deux nouveaux traités relatifs au droit d</w:t>
      </w:r>
      <w:r w:rsidR="00A20444" w:rsidRPr="00083EF7">
        <w:t>’</w:t>
      </w:r>
      <w:r w:rsidRPr="00083EF7">
        <w:t>auteur : le Traité de Beijing sur les interprétations et exécutions audiovisuelles (le “Traité de Beijing”) et le Traité de Marrakech visant à faciliter l</w:t>
      </w:r>
      <w:r w:rsidR="00A20444" w:rsidRPr="00083EF7">
        <w:t>’</w:t>
      </w:r>
      <w:r w:rsidRPr="00083EF7">
        <w:t>accès des aveugles, des déficients visuels et des personnes ayant d</w:t>
      </w:r>
      <w:r w:rsidR="00A20444" w:rsidRPr="00083EF7">
        <w:t>’</w:t>
      </w:r>
      <w:r w:rsidRPr="00083EF7">
        <w:t xml:space="preserve">autres difficultés de lecture des textes imprimés aux œuvres publiées (“le Traité de Marrakech”). </w:t>
      </w:r>
      <w:r w:rsidR="0010442A" w:rsidRPr="00083EF7">
        <w:t xml:space="preserve"> </w:t>
      </w:r>
      <w:r w:rsidRPr="00083EF7">
        <w:t>D</w:t>
      </w:r>
      <w:r w:rsidR="00A20444" w:rsidRPr="00083EF7">
        <w:t>’</w:t>
      </w:r>
      <w:r w:rsidRPr="00083EF7">
        <w:t>autres avancées ont été accomplies sur les autres points de l</w:t>
      </w:r>
      <w:r w:rsidR="00A20444" w:rsidRPr="00083EF7">
        <w:t>’</w:t>
      </w:r>
      <w:r w:rsidRPr="00083EF7">
        <w:t>ordre du jour du Comité permanent du droit d</w:t>
      </w:r>
      <w:r w:rsidR="00A20444" w:rsidRPr="00083EF7">
        <w:t>’</w:t>
      </w:r>
      <w:r w:rsidRPr="00083EF7">
        <w:t>auteur et des droits connexes (SCCR) au cours des trois réunions qui se sont tenues en juillet 2012, novembre 2012 et décembre 2013.</w:t>
      </w:r>
      <w:r w:rsidR="00A20444" w:rsidRPr="00083EF7">
        <w:t xml:space="preserve"> </w:t>
      </w:r>
      <w:r w:rsidR="0010442A" w:rsidRPr="00083EF7">
        <w:t xml:space="preserve"> </w:t>
      </w:r>
      <w:r w:rsidR="00A20444" w:rsidRPr="00083EF7">
        <w:t>Le SCC</w:t>
      </w:r>
      <w:r w:rsidRPr="00083EF7">
        <w:t xml:space="preserve">R a également adopté et soumis aux </w:t>
      </w:r>
      <w:r w:rsidR="00083EF7" w:rsidRPr="00083EF7">
        <w:t>a</w:t>
      </w:r>
      <w:r w:rsidRPr="00083EF7">
        <w:t>ssemblées générales de</w:t>
      </w:r>
      <w:r w:rsidR="0010442A" w:rsidRPr="00083EF7">
        <w:t> </w:t>
      </w:r>
      <w:r w:rsidRPr="00083EF7">
        <w:t>2012 un programme de travail actualisé visant à examiner un autre traité proposé et plusieurs autres sujets de limitations et exception</w:t>
      </w:r>
      <w:r w:rsidR="0010442A" w:rsidRPr="00083EF7">
        <w:t> </w:t>
      </w:r>
      <w:r w:rsidRPr="00083EF7">
        <w:t>: un traité pour les organisations de radiodiffusion et des limitations et exceptions en faveur des bibliothèques et des services d</w:t>
      </w:r>
      <w:r w:rsidR="00A20444" w:rsidRPr="00083EF7">
        <w:t>’</w:t>
      </w:r>
      <w:r w:rsidRPr="00083EF7">
        <w:t>archives, des établissements d</w:t>
      </w:r>
      <w:r w:rsidR="00A20444" w:rsidRPr="00083EF7">
        <w:t>’</w:t>
      </w:r>
      <w:r w:rsidRPr="00083EF7">
        <w:t>enseignement et des instituts de recherche et des personnes présentant d</w:t>
      </w:r>
      <w:r w:rsidR="00A20444" w:rsidRPr="00083EF7">
        <w:t>’</w:t>
      </w:r>
      <w:r w:rsidRPr="00083EF7">
        <w:t>autres handicaps.</w:t>
      </w:r>
      <w:r w:rsidR="004F3E42" w:rsidRPr="00083EF7">
        <w:t xml:space="preserve"> </w:t>
      </w:r>
      <w:r w:rsidR="0010442A" w:rsidRPr="00083EF7">
        <w:t xml:space="preserve"> </w:t>
      </w:r>
      <w:r w:rsidRPr="00083EF7">
        <w:t>Les travaux consacrés à l</w:t>
      </w:r>
      <w:r w:rsidR="00A20444" w:rsidRPr="00083EF7">
        <w:t>’</w:t>
      </w:r>
      <w:r w:rsidRPr="00083EF7">
        <w:t xml:space="preserve">élaboration des textes de travail sur ces questions ont progressé à chaque session </w:t>
      </w:r>
      <w:r w:rsidRPr="005C7CCE">
        <w:t>du SCCR.</w:t>
      </w:r>
    </w:p>
    <w:p w:rsidR="00D42474" w:rsidRDefault="00D42474" w:rsidP="001A5BF9">
      <w:pPr>
        <w:jc w:val="both"/>
      </w:pPr>
    </w:p>
    <w:p w:rsidR="00D42474" w:rsidRDefault="00BB3F3E" w:rsidP="001A5BF9">
      <w:pPr>
        <w:jc w:val="both"/>
      </w:pPr>
      <w:r w:rsidRPr="005C7CCE">
        <w:t>Dans le cadre de son nouveau mandat pour l</w:t>
      </w:r>
      <w:r w:rsidR="00A20444" w:rsidRPr="005C7CCE">
        <w:t>’</w:t>
      </w:r>
      <w:r w:rsidRPr="005C7CCE">
        <w:t>exercice biennal établi à la fin de l</w:t>
      </w:r>
      <w:r w:rsidR="00A20444" w:rsidRPr="005C7CCE">
        <w:t>’</w:t>
      </w:r>
      <w:r w:rsidRPr="005C7CCE">
        <w:t xml:space="preserve">année 2011, le Comité intergouvernemental de la propriété intellectuelle relative aux ressources génétiques, </w:t>
      </w:r>
      <w:r w:rsidRPr="00083EF7">
        <w:t>aux savoirs traditionnels et au folklore (IGC) s</w:t>
      </w:r>
      <w:r w:rsidR="00A20444" w:rsidRPr="00083EF7">
        <w:t>’</w:t>
      </w:r>
      <w:r w:rsidRPr="00083EF7">
        <w:t>est réuni six fois (de la vingtième à la vingt</w:t>
      </w:r>
      <w:r w:rsidR="002D6F2A" w:rsidRPr="00083EF7">
        <w:noBreakHyphen/>
      </w:r>
      <w:r w:rsidRPr="00083EF7">
        <w:t>cinquième session de l</w:t>
      </w:r>
      <w:r w:rsidR="00A20444" w:rsidRPr="00083EF7">
        <w:t>’</w:t>
      </w:r>
      <w:r w:rsidRPr="00083EF7">
        <w:t xml:space="preserve">IGC). </w:t>
      </w:r>
      <w:r w:rsidR="0010442A" w:rsidRPr="00083EF7">
        <w:t xml:space="preserve"> </w:t>
      </w:r>
      <w:r w:rsidRPr="00083EF7">
        <w:t>L</w:t>
      </w:r>
      <w:r w:rsidR="00A20444" w:rsidRPr="00083EF7">
        <w:t>’</w:t>
      </w:r>
      <w:r w:rsidRPr="00083EF7">
        <w:t>IGC a élaboré un programme et des méthodes de travail clairement définis et précis, et a considérablement progressé dans ses négociations axées sur les textes, conformément aux exigences de son mandat.</w:t>
      </w:r>
      <w:r w:rsidR="004F3E42" w:rsidRPr="00083EF7">
        <w:t xml:space="preserve"> </w:t>
      </w:r>
      <w:r w:rsidR="0010442A" w:rsidRPr="00083EF7">
        <w:t xml:space="preserve"> </w:t>
      </w:r>
      <w:r w:rsidRPr="00083EF7">
        <w:t>À la fin de la sixième session de l</w:t>
      </w:r>
      <w:r w:rsidR="00A20444" w:rsidRPr="00083EF7">
        <w:t>’</w:t>
      </w:r>
      <w:r w:rsidRPr="00083EF7">
        <w:t>exercice biennal (vingt</w:t>
      </w:r>
      <w:r w:rsidR="002D6F2A" w:rsidRPr="00083EF7">
        <w:noBreakHyphen/>
      </w:r>
      <w:r w:rsidRPr="00083EF7">
        <w:t>cinquième session de l</w:t>
      </w:r>
      <w:r w:rsidR="00A20444" w:rsidRPr="00083EF7">
        <w:t>’</w:t>
      </w:r>
      <w:r w:rsidRPr="00083EF7">
        <w:t>IGC), l</w:t>
      </w:r>
      <w:r w:rsidR="00A20444" w:rsidRPr="00083EF7">
        <w:t>’</w:t>
      </w:r>
      <w:r w:rsidRPr="00083EF7">
        <w:t xml:space="preserve">IGC avait encore amélioré les textes de </w:t>
      </w:r>
      <w:r w:rsidRPr="005C7CCE">
        <w:t>négociation rationalisés et consolidés sur chacun des trois thèmes de l</w:t>
      </w:r>
      <w:r w:rsidR="00A20444" w:rsidRPr="005C7CCE">
        <w:t>’</w:t>
      </w:r>
      <w:r w:rsidRPr="005C7CCE">
        <w:t>IGC (</w:t>
      </w:r>
      <w:r w:rsidR="00A20444" w:rsidRPr="005C7CCE">
        <w:t>à savoir</w:t>
      </w:r>
      <w:r w:rsidRPr="005C7CCE">
        <w:t xml:space="preserve">, les ressources génétiques, les savoirs traditionnels et les expressions culturelles traditionnelles). </w:t>
      </w:r>
      <w:r w:rsidR="0010442A" w:rsidRPr="005C7CCE">
        <w:t xml:space="preserve"> </w:t>
      </w:r>
      <w:r w:rsidRPr="005C7CCE">
        <w:t>Une évaluation menée par la Division de l</w:t>
      </w:r>
      <w:r w:rsidR="00A20444" w:rsidRPr="005C7CCE">
        <w:t>’</w:t>
      </w:r>
      <w:r w:rsidRPr="005C7CCE">
        <w:t>audit et de la supervision internes de l</w:t>
      </w:r>
      <w:r w:rsidR="00A20444" w:rsidRPr="005C7CCE">
        <w:t>’</w:t>
      </w:r>
      <w:r w:rsidRPr="005C7CCE">
        <w:t>OMPI en 2013 a révélé un taux de satisfaction élevé parmi les participants à l</w:t>
      </w:r>
      <w:r w:rsidR="00A20444" w:rsidRPr="005C7CCE">
        <w:t>’</w:t>
      </w:r>
      <w:r w:rsidRPr="005C7CCE">
        <w:t>IGC à</w:t>
      </w:r>
      <w:r w:rsidR="0010442A" w:rsidRPr="005C7CCE">
        <w:t> </w:t>
      </w:r>
      <w:r w:rsidRPr="005C7CCE">
        <w:t>l</w:t>
      </w:r>
      <w:r w:rsidR="00A20444" w:rsidRPr="005C7CCE">
        <w:t>’</w:t>
      </w:r>
      <w:r w:rsidRPr="005C7CCE">
        <w:t>égard des services fournis à l</w:t>
      </w:r>
      <w:r w:rsidR="00A20444" w:rsidRPr="005C7CCE">
        <w:t>’</w:t>
      </w:r>
      <w:r w:rsidRPr="005C7CCE">
        <w:t>IGC par le Secrétariat.</w:t>
      </w:r>
      <w:r w:rsidR="0010442A" w:rsidRPr="005C7CCE">
        <w:t xml:space="preserve"> </w:t>
      </w:r>
      <w:r w:rsidRPr="005C7CCE">
        <w:t xml:space="preserve"> Conformément au mandat de l</w:t>
      </w:r>
      <w:r w:rsidR="00A20444" w:rsidRPr="005C7CCE">
        <w:t>’</w:t>
      </w:r>
      <w:r w:rsidRPr="005C7CCE">
        <w:t>IGC pour l</w:t>
      </w:r>
      <w:r w:rsidR="00A20444" w:rsidRPr="005C7CCE">
        <w:t>’</w:t>
      </w:r>
      <w:r w:rsidRPr="005C7CCE">
        <w:t>exercice biennal 2012</w:t>
      </w:r>
      <w:r w:rsidR="002D6F2A" w:rsidRPr="005C7CCE">
        <w:noBreakHyphen/>
      </w:r>
      <w:r w:rsidRPr="005C7CCE">
        <w:t>2013, l</w:t>
      </w:r>
      <w:r w:rsidR="00A20444" w:rsidRPr="005C7CCE">
        <w:t>’</w:t>
      </w:r>
      <w:r w:rsidRPr="005C7CCE">
        <w:t>Assemblée générale de l</w:t>
      </w:r>
      <w:r w:rsidR="00A20444" w:rsidRPr="005C7CCE">
        <w:t>’</w:t>
      </w:r>
      <w:r w:rsidRPr="005C7CCE">
        <w:t>OMPI d</w:t>
      </w:r>
      <w:r w:rsidR="00A20444" w:rsidRPr="005C7CCE">
        <w:t>’</w:t>
      </w:r>
      <w:r w:rsidRPr="005C7CCE">
        <w:t>octobre 2013 a convenu d</w:t>
      </w:r>
      <w:r w:rsidR="00A20444" w:rsidRPr="005C7CCE">
        <w:t>’</w:t>
      </w:r>
      <w:r w:rsidRPr="005C7CCE">
        <w:t>un mandat renouvelé pour l</w:t>
      </w:r>
      <w:r w:rsidR="00A20444" w:rsidRPr="005C7CCE">
        <w:t>’</w:t>
      </w:r>
      <w:r w:rsidRPr="005C7CCE">
        <w:t>IGC pour</w:t>
      </w:r>
      <w:r w:rsidR="0010442A" w:rsidRPr="005C7CCE">
        <w:t> </w:t>
      </w:r>
      <w:r w:rsidRPr="005C7CCE">
        <w:t>2014</w:t>
      </w:r>
      <w:r w:rsidR="002D6F2A" w:rsidRPr="005C7CCE">
        <w:noBreakHyphen/>
      </w:r>
      <w:r w:rsidRPr="005C7CCE">
        <w:t>2015 et d</w:t>
      </w:r>
      <w:r w:rsidR="00A20444" w:rsidRPr="005C7CCE">
        <w:t>’</w:t>
      </w:r>
      <w:r w:rsidRPr="005C7CCE">
        <w:t>un programme de travail pour 2014.</w:t>
      </w:r>
    </w:p>
    <w:p w:rsidR="00D42474" w:rsidRDefault="00D42474" w:rsidP="001A5BF9">
      <w:pPr>
        <w:jc w:val="both"/>
      </w:pPr>
    </w:p>
    <w:p w:rsidR="00D42474" w:rsidRDefault="00BB3F3E" w:rsidP="00083EF7">
      <w:pPr>
        <w:autoSpaceDE w:val="0"/>
        <w:autoSpaceDN w:val="0"/>
        <w:adjustRightInd w:val="0"/>
        <w:jc w:val="both"/>
        <w:rPr>
          <w:szCs w:val="22"/>
        </w:rPr>
      </w:pPr>
      <w:r w:rsidRPr="00083EF7">
        <w:t xml:space="preserve">Le Comité permanent du droit des marques, des dessins et modèles industriels et des indications géographiques (SCT) a réalisé des progrès majeurs dans ses travaux visant à parvenir à un accord international sur le droit des modèles industriels et les pratiques. </w:t>
      </w:r>
      <w:r w:rsidR="0010442A" w:rsidRPr="00083EF7">
        <w:t xml:space="preserve"> </w:t>
      </w:r>
      <w:r w:rsidRPr="00083EF7">
        <w:t xml:space="preserve">À sa </w:t>
      </w:r>
      <w:r w:rsidRPr="005C7CCE">
        <w:t xml:space="preserve">session de </w:t>
      </w:r>
      <w:r w:rsidR="00A20444" w:rsidRPr="005C7CCE">
        <w:t>décembre 20</w:t>
      </w:r>
      <w:r w:rsidRPr="005C7CCE">
        <w:t>13, l</w:t>
      </w:r>
      <w:r w:rsidR="00A20444" w:rsidRPr="005C7CCE">
        <w:t>’</w:t>
      </w:r>
      <w:r w:rsidRPr="005C7CCE">
        <w:t>Assemblée générale de l</w:t>
      </w:r>
      <w:r w:rsidR="00A20444" w:rsidRPr="005C7CCE">
        <w:t>’</w:t>
      </w:r>
      <w:r w:rsidRPr="005C7CCE">
        <w:t>OMPI a demandé</w:t>
      </w:r>
      <w:r w:rsidR="00A20444" w:rsidRPr="005C7CCE">
        <w:t xml:space="preserve"> au SCT</w:t>
      </w:r>
      <w:r w:rsidRPr="005C7CCE">
        <w:t xml:space="preserve"> de finaliser ses travaux sur le texte d</w:t>
      </w:r>
      <w:r w:rsidR="00A20444" w:rsidRPr="005C7CCE">
        <w:t>’</w:t>
      </w:r>
      <w:r w:rsidRPr="005C7CCE">
        <w:t>une proposition de base concernant un traité sur le droit des dessins et modèles et a convenu qu</w:t>
      </w:r>
      <w:r w:rsidR="00A20444" w:rsidRPr="005C7CCE">
        <w:t>’</w:t>
      </w:r>
      <w:r w:rsidRPr="005C7CCE">
        <w:t>elle prendrait une décision sur la convocation d</w:t>
      </w:r>
      <w:r w:rsidR="00A20444" w:rsidRPr="005C7CCE">
        <w:t>’</w:t>
      </w:r>
      <w:r w:rsidRPr="005C7CCE">
        <w:t xml:space="preserve">une conférence diplomatique lors de sa session extraordinaire de mai 2014. </w:t>
      </w:r>
      <w:r w:rsidR="0010442A" w:rsidRPr="005C7CCE">
        <w:t xml:space="preserve"> </w:t>
      </w:r>
      <w:r w:rsidRPr="005C7CCE">
        <w:t>De la même manière, le SCT a continué ses travaux sur la protection des noms de pays et a examiné une étude préparée par le Secrétariat, ainsi qu</w:t>
      </w:r>
      <w:r w:rsidR="00A20444" w:rsidRPr="005C7CCE">
        <w:t>’</w:t>
      </w:r>
      <w:r w:rsidRPr="005C7CCE">
        <w:t>un certain nombre de propositions des États membres.</w:t>
      </w:r>
    </w:p>
    <w:p w:rsidR="00D42474" w:rsidRDefault="00D42474" w:rsidP="001A5BF9">
      <w:pPr>
        <w:autoSpaceDE w:val="0"/>
        <w:autoSpaceDN w:val="0"/>
        <w:adjustRightInd w:val="0"/>
        <w:jc w:val="both"/>
      </w:pPr>
    </w:p>
    <w:p w:rsidR="00D42474" w:rsidRDefault="00BB3F3E" w:rsidP="001A5BF9">
      <w:pPr>
        <w:jc w:val="both"/>
        <w:rPr>
          <w:i/>
          <w:iCs/>
        </w:rPr>
      </w:pPr>
      <w:r w:rsidRPr="005C7CCE">
        <w:t>En vue de renforcer la coopération entre les États membres en faveur de la poursuite de l</w:t>
      </w:r>
      <w:r w:rsidR="00A20444" w:rsidRPr="005C7CCE">
        <w:t>’</w:t>
      </w:r>
      <w:r w:rsidRPr="005C7CCE">
        <w:t>élaboration d</w:t>
      </w:r>
      <w:r w:rsidR="00A20444" w:rsidRPr="005C7CCE">
        <w:t>’</w:t>
      </w:r>
      <w:r w:rsidRPr="005C7CCE">
        <w:t xml:space="preserve">une politique équilibrée et de cadres normatifs pour le système international des </w:t>
      </w:r>
      <w:r w:rsidRPr="00083EF7">
        <w:t>brevets, la dix</w:t>
      </w:r>
      <w:r w:rsidR="002D6F2A" w:rsidRPr="00083EF7">
        <w:noBreakHyphen/>
      </w:r>
      <w:r w:rsidRPr="00083EF7">
        <w:t>huitième et la dix</w:t>
      </w:r>
      <w:r w:rsidR="002D6F2A" w:rsidRPr="00083EF7">
        <w:noBreakHyphen/>
      </w:r>
      <w:r w:rsidRPr="00083EF7">
        <w:t xml:space="preserve">neuvième session du Comité permanent du droit des brevets (SCP) se sont tenues respectivement en mai 2012 et février 2013. </w:t>
      </w:r>
      <w:r w:rsidR="0010442A" w:rsidRPr="00083EF7">
        <w:t xml:space="preserve"> </w:t>
      </w:r>
      <w:r w:rsidRPr="00083EF7">
        <w:t>Ce Comité a poursuivi l</w:t>
      </w:r>
      <w:r w:rsidR="00A20444" w:rsidRPr="00083EF7">
        <w:t>’</w:t>
      </w:r>
      <w:r w:rsidRPr="00083EF7">
        <w:t>examen de cinq</w:t>
      </w:r>
      <w:r w:rsidR="0010442A" w:rsidRPr="00083EF7">
        <w:t> </w:t>
      </w:r>
      <w:r w:rsidRPr="00083EF7">
        <w:t>points inscrits à son ordre du jour, notamment</w:t>
      </w:r>
      <w:r w:rsidR="0010442A" w:rsidRPr="00083EF7">
        <w:t> </w:t>
      </w:r>
      <w:r w:rsidRPr="00083EF7">
        <w:t>: i)</w:t>
      </w:r>
      <w:r w:rsidR="0010442A" w:rsidRPr="00083EF7">
        <w:t> </w:t>
      </w:r>
      <w:r w:rsidRPr="00083EF7">
        <w:t>les exceptions et limitations aux droits des brevets;</w:t>
      </w:r>
      <w:r w:rsidR="004F3E42" w:rsidRPr="00083EF7">
        <w:t xml:space="preserve"> </w:t>
      </w:r>
      <w:r w:rsidR="0010442A" w:rsidRPr="00083EF7">
        <w:t xml:space="preserve"> </w:t>
      </w:r>
      <w:r w:rsidRPr="00083EF7">
        <w:t>ii)</w:t>
      </w:r>
      <w:r w:rsidR="0010442A" w:rsidRPr="00083EF7">
        <w:t> </w:t>
      </w:r>
      <w:r w:rsidRPr="00083EF7">
        <w:t>la qualité des brevets, y</w:t>
      </w:r>
      <w:r w:rsidR="0010442A" w:rsidRPr="00083EF7">
        <w:t> </w:t>
      </w:r>
      <w:r w:rsidRPr="00083EF7">
        <w:t>compris des systèmes d</w:t>
      </w:r>
      <w:r w:rsidR="00A20444" w:rsidRPr="00083EF7">
        <w:t>’</w:t>
      </w:r>
      <w:r w:rsidRPr="00083EF7">
        <w:t>opposition;</w:t>
      </w:r>
      <w:r w:rsidR="004F3E42" w:rsidRPr="00083EF7">
        <w:t xml:space="preserve"> </w:t>
      </w:r>
      <w:r w:rsidR="0010442A" w:rsidRPr="00083EF7">
        <w:t xml:space="preserve"> </w:t>
      </w:r>
      <w:r w:rsidRPr="00083EF7">
        <w:t>iii)</w:t>
      </w:r>
      <w:r w:rsidR="0010442A" w:rsidRPr="00083EF7">
        <w:t> </w:t>
      </w:r>
      <w:r w:rsidRPr="00083EF7">
        <w:t>les brevets et la santé;</w:t>
      </w:r>
      <w:r w:rsidR="004F3E42" w:rsidRPr="00083EF7">
        <w:t xml:space="preserve"> </w:t>
      </w:r>
      <w:r w:rsidR="0010442A" w:rsidRPr="00083EF7">
        <w:t xml:space="preserve"> </w:t>
      </w:r>
      <w:r w:rsidRPr="00083EF7">
        <w:t>iv)</w:t>
      </w:r>
      <w:r w:rsidR="0010442A" w:rsidRPr="00083EF7">
        <w:t> </w:t>
      </w:r>
      <w:r w:rsidRPr="00083EF7">
        <w:t>la confidentialité de la communication entre les clients et les mandataires de brevets;</w:t>
      </w:r>
      <w:r w:rsidR="004F3E42" w:rsidRPr="00083EF7">
        <w:t xml:space="preserve"> </w:t>
      </w:r>
      <w:r w:rsidR="0010442A" w:rsidRPr="00083EF7">
        <w:t xml:space="preserve"> </w:t>
      </w:r>
      <w:r w:rsidRPr="00083EF7">
        <w:t>et v)</w:t>
      </w:r>
      <w:r w:rsidR="0010442A" w:rsidRPr="00083EF7">
        <w:t> </w:t>
      </w:r>
      <w:r w:rsidRPr="00083EF7">
        <w:t>le transfert de la technologie.</w:t>
      </w:r>
    </w:p>
    <w:p w:rsidR="00D42474" w:rsidRDefault="00D42474" w:rsidP="001A5BF9">
      <w:pPr>
        <w:jc w:val="both"/>
        <w:rPr>
          <w:i/>
          <w:iCs/>
        </w:rPr>
      </w:pPr>
    </w:p>
    <w:p w:rsidR="00D42474" w:rsidRDefault="00D42474" w:rsidP="001A5BF9">
      <w:pPr>
        <w:jc w:val="both"/>
        <w:rPr>
          <w:i/>
          <w:iCs/>
        </w:rPr>
      </w:pPr>
    </w:p>
    <w:p w:rsidR="00D42474" w:rsidRDefault="00C959B5">
      <w:pPr>
        <w:rPr>
          <w:b/>
        </w:rPr>
      </w:pPr>
      <w:r>
        <w:rPr>
          <w:b/>
        </w:rPr>
        <w:br w:type="page"/>
      </w:r>
    </w:p>
    <w:p w:rsidR="00D42474" w:rsidRDefault="00BB3F3E" w:rsidP="001A5BF9">
      <w:pPr>
        <w:jc w:val="center"/>
        <w:rPr>
          <w:i/>
          <w:iCs/>
        </w:rPr>
      </w:pPr>
      <w:r w:rsidRPr="007B0500">
        <w:rPr>
          <w:b/>
        </w:rPr>
        <w:t>O</w:t>
      </w:r>
      <w:r w:rsidR="007B0500" w:rsidRPr="007B0500">
        <w:rPr>
          <w:b/>
        </w:rPr>
        <w:t>bjectif stratégique </w:t>
      </w:r>
      <w:r w:rsidRPr="007B0500">
        <w:rPr>
          <w:b/>
        </w:rPr>
        <w:t>II</w:t>
      </w:r>
      <w:r w:rsidR="0010442A" w:rsidRPr="007B0500">
        <w:rPr>
          <w:b/>
        </w:rPr>
        <w:t> </w:t>
      </w:r>
      <w:r w:rsidRPr="007B0500">
        <w:rPr>
          <w:b/>
        </w:rPr>
        <w:t>:</w:t>
      </w:r>
      <w:r w:rsidR="004F3E42" w:rsidRPr="007B0500">
        <w:rPr>
          <w:b/>
        </w:rPr>
        <w:t xml:space="preserve"> </w:t>
      </w:r>
      <w:r w:rsidRPr="007B0500">
        <w:rPr>
          <w:b/>
        </w:rPr>
        <w:t xml:space="preserve">Prestation de services mondiaux de propriété intellectuelle </w:t>
      </w:r>
      <w:r w:rsidR="007B0500" w:rsidRPr="007B0500">
        <w:rPr>
          <w:b/>
        </w:rPr>
        <w:br/>
      </w:r>
      <w:r w:rsidRPr="007B0500">
        <w:rPr>
          <w:b/>
        </w:rPr>
        <w:t>de premier ordre</w:t>
      </w:r>
    </w:p>
    <w:p w:rsidR="00D42474" w:rsidRDefault="00D42474" w:rsidP="001A5BF9">
      <w:pPr>
        <w:jc w:val="both"/>
        <w:rPr>
          <w:i/>
          <w:iCs/>
        </w:rPr>
      </w:pPr>
    </w:p>
    <w:p w:rsidR="00D42474" w:rsidRDefault="00D42474" w:rsidP="001A5BF9">
      <w:pPr>
        <w:jc w:val="both"/>
        <w:rPr>
          <w:i/>
          <w:iCs/>
        </w:rPr>
      </w:pPr>
    </w:p>
    <w:p w:rsidR="00D42474" w:rsidRDefault="00BB3F3E" w:rsidP="001A5BF9">
      <w:pPr>
        <w:jc w:val="center"/>
        <w:rPr>
          <w:b/>
          <w:sz w:val="18"/>
          <w:szCs w:val="18"/>
        </w:rPr>
      </w:pPr>
      <w:r w:rsidRPr="005C7CCE">
        <w:rPr>
          <w:b/>
          <w:sz w:val="18"/>
        </w:rPr>
        <w:t>Résumé des réalisations par résultat escompté</w:t>
      </w:r>
    </w:p>
    <w:p w:rsidR="00D42474" w:rsidRDefault="00D656BD" w:rsidP="001A5BF9">
      <w:pPr>
        <w:jc w:val="both"/>
        <w:rPr>
          <w:i/>
          <w:iCs/>
        </w:rPr>
      </w:pPr>
      <w:r w:rsidRPr="005C7CCE">
        <w:rPr>
          <w:noProof/>
        </w:rPr>
        <w:drawing>
          <wp:inline distT="0" distB="0" distL="0" distR="0" wp14:anchorId="076B9094" wp14:editId="449632D1">
            <wp:extent cx="5975796" cy="5177307"/>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6357" cy="5186457"/>
                    </a:xfrm>
                    <a:prstGeom prst="rect">
                      <a:avLst/>
                    </a:prstGeom>
                    <a:noFill/>
                    <a:ln>
                      <a:noFill/>
                    </a:ln>
                  </pic:spPr>
                </pic:pic>
              </a:graphicData>
            </a:graphic>
          </wp:inline>
        </w:drawing>
      </w:r>
    </w:p>
    <w:p w:rsidR="00D42474" w:rsidRDefault="00D42474" w:rsidP="001A5BF9">
      <w:pPr>
        <w:jc w:val="center"/>
      </w:pPr>
    </w:p>
    <w:p w:rsidR="00D42474" w:rsidRDefault="00D42474" w:rsidP="001A5BF9">
      <w:pPr>
        <w:jc w:val="center"/>
      </w:pPr>
    </w:p>
    <w:p w:rsidR="00D42474" w:rsidRDefault="00D42474" w:rsidP="001A5BF9">
      <w:pPr>
        <w:rPr>
          <w:b/>
          <w:sz w:val="18"/>
          <w:szCs w:val="18"/>
        </w:rPr>
      </w:pPr>
    </w:p>
    <w:p w:rsidR="00D42474" w:rsidRDefault="00D42474" w:rsidP="001A5BF9">
      <w:pPr>
        <w:jc w:val="center"/>
        <w:rPr>
          <w:b/>
          <w:sz w:val="18"/>
          <w:szCs w:val="18"/>
        </w:rPr>
      </w:pPr>
    </w:p>
    <w:p w:rsidR="00D42474" w:rsidRDefault="00D42474" w:rsidP="001A5BF9">
      <w:pPr>
        <w:jc w:val="center"/>
        <w:rPr>
          <w:b/>
          <w:sz w:val="18"/>
          <w:szCs w:val="18"/>
        </w:rPr>
      </w:pPr>
    </w:p>
    <w:p w:rsidR="00D42474" w:rsidRDefault="00D42474" w:rsidP="001A5BF9">
      <w:pPr>
        <w:jc w:val="center"/>
        <w:rPr>
          <w:b/>
          <w:sz w:val="18"/>
          <w:szCs w:val="18"/>
        </w:rPr>
      </w:pPr>
    </w:p>
    <w:p w:rsidR="00D42474" w:rsidRDefault="00D42474" w:rsidP="001A5BF9">
      <w:pPr>
        <w:jc w:val="center"/>
        <w:rPr>
          <w:b/>
          <w:sz w:val="18"/>
          <w:szCs w:val="18"/>
        </w:rPr>
      </w:pPr>
    </w:p>
    <w:p w:rsidR="00D42474" w:rsidRDefault="00BB3F3E" w:rsidP="001A5BF9">
      <w:pPr>
        <w:rPr>
          <w:b/>
          <w:sz w:val="18"/>
          <w:szCs w:val="18"/>
        </w:rPr>
      </w:pPr>
      <w:r w:rsidRPr="005C7CCE">
        <w:br w:type="page"/>
      </w:r>
    </w:p>
    <w:p w:rsidR="00D42474" w:rsidRDefault="00BB3F3E" w:rsidP="001A5BF9">
      <w:pPr>
        <w:jc w:val="center"/>
        <w:rPr>
          <w:b/>
          <w:szCs w:val="20"/>
        </w:rPr>
      </w:pPr>
      <w:r w:rsidRPr="005C7CCE">
        <w:rPr>
          <w:b/>
        </w:rPr>
        <w:t>Tableau de bord de l</w:t>
      </w:r>
      <w:r w:rsidR="00A20444" w:rsidRPr="005C7CCE">
        <w:rPr>
          <w:b/>
        </w:rPr>
        <w:t>’</w:t>
      </w:r>
      <w:r w:rsidRPr="005C7CCE">
        <w:rPr>
          <w:b/>
        </w:rPr>
        <w:t>exécution du programme biennal</w:t>
      </w:r>
    </w:p>
    <w:p w:rsidR="00D42474" w:rsidRDefault="00D42474" w:rsidP="001A5BF9">
      <w:pPr>
        <w:jc w:val="center"/>
        <w:rPr>
          <w:sz w:val="16"/>
          <w:szCs w:val="16"/>
        </w:rPr>
      </w:pPr>
    </w:p>
    <w:p w:rsidR="00D42474" w:rsidRDefault="00BB3F3E"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BB3F3E" w:rsidRPr="005C7CCE" w:rsidRDefault="00BB3F3E" w:rsidP="001A5BF9">
      <w:pPr>
        <w:jc w:val="both"/>
        <w:rPr>
          <w:i/>
          <w:iCs/>
          <w:sz w:val="16"/>
          <w:szCs w:val="16"/>
        </w:rPr>
      </w:pPr>
    </w:p>
    <w:tbl>
      <w:tblPr>
        <w:tblW w:w="0" w:type="auto"/>
        <w:tblInd w:w="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24"/>
        <w:gridCol w:w="3533"/>
        <w:gridCol w:w="1267"/>
        <w:gridCol w:w="1342"/>
      </w:tblGrid>
      <w:tr w:rsidR="00BB3F3E" w:rsidRPr="007B0500" w:rsidTr="00AA3983">
        <w:trPr>
          <w:cantSplit/>
          <w:tblHeader/>
        </w:trPr>
        <w:tc>
          <w:tcPr>
            <w:tcW w:w="3224" w:type="dxa"/>
            <w:tcBorders>
              <w:top w:val="single" w:sz="4" w:space="0" w:color="auto"/>
              <w:bottom w:val="single" w:sz="4" w:space="0" w:color="auto"/>
            </w:tcBorders>
            <w:shd w:val="clear" w:color="auto" w:fill="CCFFFF"/>
            <w:vAlign w:val="center"/>
          </w:tcPr>
          <w:p w:rsidR="00BB3F3E" w:rsidRPr="007B0500" w:rsidRDefault="00BB3F3E" w:rsidP="001A5BF9">
            <w:pPr>
              <w:spacing w:before="120" w:after="120"/>
              <w:jc w:val="center"/>
              <w:rPr>
                <w:rFonts w:cs="Arial"/>
                <w:b/>
                <w:bCs/>
                <w:sz w:val="14"/>
                <w:szCs w:val="14"/>
              </w:rPr>
            </w:pPr>
            <w:r w:rsidRPr="007B0500">
              <w:rPr>
                <w:b/>
                <w:sz w:val="14"/>
              </w:rPr>
              <w:t>Résultats escomptés</w:t>
            </w:r>
          </w:p>
        </w:tc>
        <w:tc>
          <w:tcPr>
            <w:tcW w:w="3533" w:type="dxa"/>
            <w:tcBorders>
              <w:top w:val="single" w:sz="4" w:space="0" w:color="auto"/>
              <w:bottom w:val="single" w:sz="4" w:space="0" w:color="auto"/>
            </w:tcBorders>
            <w:shd w:val="clear" w:color="auto" w:fill="CCFFFF"/>
            <w:vAlign w:val="center"/>
          </w:tcPr>
          <w:p w:rsidR="00BB3F3E" w:rsidRPr="007B0500" w:rsidRDefault="00BB3F3E" w:rsidP="001A5BF9">
            <w:pPr>
              <w:spacing w:before="120" w:after="120"/>
              <w:jc w:val="center"/>
              <w:rPr>
                <w:rFonts w:cs="Arial"/>
                <w:b/>
                <w:bCs/>
                <w:sz w:val="14"/>
                <w:szCs w:val="14"/>
              </w:rPr>
            </w:pPr>
            <w:r w:rsidRPr="007B0500">
              <w:rPr>
                <w:b/>
                <w:sz w:val="14"/>
              </w:rPr>
              <w:t>Indicateurs d</w:t>
            </w:r>
            <w:r w:rsidR="00A20444" w:rsidRPr="007B0500">
              <w:rPr>
                <w:b/>
                <w:sz w:val="14"/>
              </w:rPr>
              <w:t>’</w:t>
            </w:r>
            <w:r w:rsidRPr="007B0500">
              <w:rPr>
                <w:b/>
                <w:sz w:val="14"/>
              </w:rPr>
              <w:t>exécution</w:t>
            </w:r>
          </w:p>
        </w:tc>
        <w:tc>
          <w:tcPr>
            <w:tcW w:w="1267" w:type="dxa"/>
            <w:tcBorders>
              <w:top w:val="single" w:sz="4" w:space="0" w:color="auto"/>
              <w:bottom w:val="single" w:sz="4" w:space="0" w:color="auto"/>
            </w:tcBorders>
            <w:shd w:val="clear" w:color="auto" w:fill="CCFFFF"/>
            <w:vAlign w:val="center"/>
          </w:tcPr>
          <w:p w:rsidR="00BB3F3E" w:rsidRPr="007B0500" w:rsidRDefault="00BB3F3E" w:rsidP="001A5BF9">
            <w:pPr>
              <w:spacing w:before="120" w:after="120"/>
              <w:jc w:val="center"/>
              <w:rPr>
                <w:rFonts w:cs="Arial"/>
                <w:b/>
                <w:bCs/>
                <w:sz w:val="14"/>
                <w:szCs w:val="14"/>
              </w:rPr>
            </w:pPr>
            <w:r w:rsidRPr="007B0500">
              <w:rPr>
                <w:b/>
                <w:sz w:val="14"/>
              </w:rPr>
              <w:t>Programme(s) concerné(s)</w:t>
            </w:r>
          </w:p>
        </w:tc>
        <w:tc>
          <w:tcPr>
            <w:tcW w:w="1342" w:type="dxa"/>
            <w:tcBorders>
              <w:top w:val="single" w:sz="4" w:space="0" w:color="auto"/>
              <w:bottom w:val="single" w:sz="4" w:space="0" w:color="auto"/>
            </w:tcBorders>
            <w:shd w:val="clear" w:color="auto" w:fill="CCFFFF"/>
            <w:vAlign w:val="center"/>
          </w:tcPr>
          <w:p w:rsidR="00BB3F3E" w:rsidRPr="007B0500" w:rsidRDefault="00BB3F3E" w:rsidP="001A5BF9">
            <w:pPr>
              <w:spacing w:before="120" w:after="120"/>
              <w:jc w:val="center"/>
              <w:rPr>
                <w:rFonts w:cs="Arial"/>
                <w:b/>
                <w:bCs/>
                <w:sz w:val="14"/>
                <w:szCs w:val="14"/>
              </w:rPr>
            </w:pPr>
            <w:r w:rsidRPr="007B0500">
              <w:rPr>
                <w:b/>
                <w:sz w:val="14"/>
              </w:rPr>
              <w:t>Code de couleurs</w:t>
            </w:r>
          </w:p>
        </w:tc>
      </w:tr>
      <w:tr w:rsidR="00BB3F3E" w:rsidRPr="005C7CCE" w:rsidTr="00AA3983">
        <w:trPr>
          <w:cantSplit/>
        </w:trPr>
        <w:tc>
          <w:tcPr>
            <w:tcW w:w="3224" w:type="dxa"/>
            <w:tcBorders>
              <w:top w:val="single" w:sz="4" w:space="0" w:color="auto"/>
            </w:tcBorders>
            <w:shd w:val="clear" w:color="auto" w:fill="auto"/>
            <w:tcMar>
              <w:top w:w="113" w:type="dxa"/>
            </w:tcMar>
          </w:tcPr>
          <w:p w:rsidR="00BB3F3E" w:rsidRPr="007B0500" w:rsidRDefault="00BB3F3E" w:rsidP="001A5BF9">
            <w:pPr>
              <w:spacing w:before="80"/>
              <w:rPr>
                <w:rFonts w:cs="Arial"/>
                <w:sz w:val="14"/>
                <w:szCs w:val="14"/>
              </w:rPr>
            </w:pPr>
            <w:r w:rsidRPr="007B0500">
              <w:rPr>
                <w:sz w:val="14"/>
              </w:rPr>
              <w:t>Une utilisation avisée</w:t>
            </w:r>
            <w:r w:rsidR="00A20444" w:rsidRPr="007B0500">
              <w:rPr>
                <w:sz w:val="14"/>
              </w:rPr>
              <w:t xml:space="preserve"> du PCT</w:t>
            </w:r>
            <w:r w:rsidRPr="007B0500">
              <w:rPr>
                <w:sz w:val="14"/>
              </w:rPr>
              <w:t xml:space="preserve"> par tous les innovateurs qui pourraient en tirer parti</w:t>
            </w:r>
          </w:p>
        </w:tc>
        <w:tc>
          <w:tcPr>
            <w:tcW w:w="3533" w:type="dxa"/>
            <w:tcBorders>
              <w:top w:val="single" w:sz="4" w:space="0" w:color="auto"/>
            </w:tcBorders>
            <w:shd w:val="clear" w:color="auto" w:fill="auto"/>
            <w:tcMar>
              <w:top w:w="113" w:type="dxa"/>
            </w:tcMar>
          </w:tcPr>
          <w:p w:rsidR="00D42474" w:rsidRDefault="00BB3F3E" w:rsidP="001A5BF9">
            <w:pPr>
              <w:spacing w:before="80"/>
              <w:rPr>
                <w:rFonts w:cs="Arial"/>
                <w:sz w:val="14"/>
                <w:szCs w:val="14"/>
              </w:rPr>
            </w:pPr>
            <w:r w:rsidRPr="007B0500">
              <w:rPr>
                <w:sz w:val="14"/>
              </w:rPr>
              <w:t>Dépôts de demandes de brevet selon</w:t>
            </w:r>
            <w:r w:rsidR="00A20444" w:rsidRPr="007B0500">
              <w:rPr>
                <w:sz w:val="14"/>
              </w:rPr>
              <w:t xml:space="preserve"> le PCT</w:t>
            </w:r>
          </w:p>
          <w:p w:rsidR="00BB3F3E" w:rsidRPr="007B0500" w:rsidRDefault="00BB3F3E" w:rsidP="001A5BF9">
            <w:pPr>
              <w:spacing w:before="80"/>
              <w:rPr>
                <w:rFonts w:cs="Arial"/>
                <w:sz w:val="14"/>
                <w:szCs w:val="14"/>
              </w:rPr>
            </w:pPr>
            <w:r w:rsidRPr="007B0500">
              <w:rPr>
                <w:sz w:val="14"/>
              </w:rPr>
              <w:t>Part des entrées en phase nationale selon</w:t>
            </w:r>
            <w:r w:rsidR="00A20444" w:rsidRPr="007B0500">
              <w:rPr>
                <w:sz w:val="14"/>
              </w:rPr>
              <w:t xml:space="preserve"> le PCT</w:t>
            </w:r>
            <w:r w:rsidRPr="007B0500">
              <w:rPr>
                <w:sz w:val="14"/>
              </w:rPr>
              <w:t xml:space="preserve"> dans le nombre total de demandes internationales de brevet</w:t>
            </w:r>
          </w:p>
        </w:tc>
        <w:tc>
          <w:tcPr>
            <w:tcW w:w="1267" w:type="dxa"/>
            <w:tcBorders>
              <w:top w:val="single" w:sz="4" w:space="0" w:color="auto"/>
            </w:tcBorders>
            <w:shd w:val="clear" w:color="auto" w:fill="auto"/>
            <w:tcMar>
              <w:top w:w="113" w:type="dxa"/>
            </w:tcMar>
          </w:tcPr>
          <w:p w:rsidR="00D42474" w:rsidRDefault="00BB3F3E" w:rsidP="001A5BF9">
            <w:pPr>
              <w:spacing w:before="80"/>
              <w:jc w:val="center"/>
              <w:rPr>
                <w:rFonts w:cs="Arial"/>
                <w:sz w:val="14"/>
                <w:szCs w:val="14"/>
              </w:rPr>
            </w:pPr>
            <w:r w:rsidRPr="007B0500">
              <w:rPr>
                <w:sz w:val="14"/>
              </w:rPr>
              <w:t>Programme 5</w:t>
            </w:r>
          </w:p>
          <w:p w:rsidR="00BB3F3E" w:rsidRPr="007B0500" w:rsidRDefault="00BB3F3E" w:rsidP="001A5BF9">
            <w:pPr>
              <w:spacing w:before="80"/>
              <w:jc w:val="center"/>
              <w:rPr>
                <w:rFonts w:cs="Arial"/>
                <w:sz w:val="14"/>
                <w:szCs w:val="14"/>
              </w:rPr>
            </w:pPr>
            <w:r w:rsidRPr="007B0500">
              <w:rPr>
                <w:sz w:val="14"/>
              </w:rPr>
              <w:t>Programme 5</w:t>
            </w:r>
          </w:p>
        </w:tc>
        <w:tc>
          <w:tcPr>
            <w:tcW w:w="1342" w:type="dxa"/>
            <w:tcBorders>
              <w:top w:val="single" w:sz="4" w:space="0" w:color="auto"/>
            </w:tcBorders>
          </w:tcPr>
          <w:p w:rsidR="00D42474" w:rsidRDefault="00BB3F3E" w:rsidP="001A5BF9">
            <w:pPr>
              <w:jc w:val="center"/>
              <w:rPr>
                <w:rFonts w:cs="Arial"/>
                <w:color w:val="10862C"/>
                <w:szCs w:val="22"/>
              </w:rPr>
            </w:pPr>
            <w:r w:rsidRPr="005C7CCE">
              <w:rPr>
                <w:color w:val="10862C"/>
              </w:rPr>
              <w:sym w:font="Wingdings" w:char="F06C"/>
            </w:r>
          </w:p>
          <w:p w:rsidR="00BB3F3E" w:rsidRPr="005C7CCE" w:rsidRDefault="00BB3F3E" w:rsidP="001A5BF9">
            <w:pPr>
              <w:spacing w:before="20"/>
              <w:jc w:val="center"/>
              <w:rPr>
                <w:rFonts w:cs="Arial"/>
                <w:color w:val="10862C"/>
                <w:szCs w:val="22"/>
              </w:rPr>
            </w:pPr>
            <w:r w:rsidRPr="005C7CCE">
              <w:rPr>
                <w:color w:val="10862C"/>
              </w:rPr>
              <w:sym w:font="Wingdings" w:char="F06C"/>
            </w:r>
          </w:p>
        </w:tc>
      </w:tr>
      <w:tr w:rsidR="00BB3F3E" w:rsidRPr="005C7CCE" w:rsidTr="00AA3983">
        <w:trPr>
          <w:cantSplit/>
        </w:trPr>
        <w:tc>
          <w:tcPr>
            <w:tcW w:w="3224" w:type="dxa"/>
            <w:vMerge w:val="restart"/>
            <w:shd w:val="clear" w:color="auto" w:fill="auto"/>
            <w:tcMar>
              <w:top w:w="113" w:type="dxa"/>
            </w:tcMar>
          </w:tcPr>
          <w:p w:rsidR="00BB3F3E" w:rsidRPr="007B0500" w:rsidRDefault="00BB3F3E" w:rsidP="001A5BF9">
            <w:pPr>
              <w:spacing w:before="60"/>
              <w:rPr>
                <w:rFonts w:cs="Arial"/>
                <w:sz w:val="14"/>
                <w:szCs w:val="14"/>
              </w:rPr>
            </w:pPr>
            <w:r w:rsidRPr="007B0500">
              <w:rPr>
                <w:sz w:val="14"/>
              </w:rPr>
              <w:t>Liens renforcés avec les utilisateurs</w:t>
            </w:r>
            <w:r w:rsidR="00A20444" w:rsidRPr="007B0500">
              <w:rPr>
                <w:sz w:val="14"/>
              </w:rPr>
              <w:t xml:space="preserve"> du PCT</w:t>
            </w:r>
            <w:r w:rsidRPr="007B0500">
              <w:rPr>
                <w:sz w:val="14"/>
              </w:rPr>
              <w:t xml:space="preserve"> et les offices</w:t>
            </w: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Satisfaction des offices et des administrations internationales à l</w:t>
            </w:r>
            <w:r w:rsidR="00A20444" w:rsidRPr="007B0500">
              <w:rPr>
                <w:sz w:val="14"/>
              </w:rPr>
              <w:t>’</w:t>
            </w:r>
            <w:r w:rsidRPr="007B0500">
              <w:rPr>
                <w:sz w:val="14"/>
              </w:rPr>
              <w:t>égard des activités de coopération du PCT</w:t>
            </w:r>
          </w:p>
        </w:tc>
        <w:tc>
          <w:tcPr>
            <w:tcW w:w="1267" w:type="dxa"/>
            <w:shd w:val="clear" w:color="auto" w:fill="auto"/>
            <w:tcMar>
              <w:top w:w="113" w:type="dxa"/>
            </w:tcMar>
          </w:tcPr>
          <w:p w:rsidR="00BB3F3E" w:rsidRPr="007B0500" w:rsidRDefault="00BB3F3E" w:rsidP="001A5BF9">
            <w:pPr>
              <w:spacing w:before="60"/>
              <w:jc w:val="center"/>
              <w:rPr>
                <w:rFonts w:cs="Arial"/>
                <w:sz w:val="14"/>
                <w:szCs w:val="14"/>
              </w:rPr>
            </w:pPr>
            <w:r w:rsidRPr="007B0500">
              <w:rPr>
                <w:sz w:val="14"/>
              </w:rPr>
              <w:t>Programme 5</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vMerge/>
            <w:shd w:val="clear" w:color="auto" w:fill="auto"/>
            <w:tcMar>
              <w:top w:w="113" w:type="dxa"/>
            </w:tcMar>
            <w:vAlign w:val="center"/>
          </w:tcPr>
          <w:p w:rsidR="00BB3F3E" w:rsidRPr="007B0500" w:rsidRDefault="00BB3F3E" w:rsidP="001A5BF9">
            <w:pPr>
              <w:spacing w:before="8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Contact constructif avec les utilisateurs</w:t>
            </w:r>
            <w:r w:rsidR="00A20444" w:rsidRPr="007B0500">
              <w:rPr>
                <w:sz w:val="14"/>
              </w:rPr>
              <w:t xml:space="preserve"> du PCT</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5</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shd w:val="clear" w:color="auto" w:fill="auto"/>
            <w:tcMar>
              <w:top w:w="113" w:type="dxa"/>
            </w:tcMar>
            <w:vAlign w:val="center"/>
          </w:tcPr>
          <w:p w:rsidR="00BB3F3E" w:rsidRPr="007B0500" w:rsidRDefault="00BB3F3E" w:rsidP="001A5BF9">
            <w:pPr>
              <w:spacing w:before="8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accru de réactions des utilisateurs</w:t>
            </w:r>
            <w:r w:rsidR="00A20444" w:rsidRPr="007B0500">
              <w:rPr>
                <w:sz w:val="14"/>
              </w:rPr>
              <w:t xml:space="preserve"> du PCT</w:t>
            </w:r>
            <w:r w:rsidRPr="007B0500">
              <w:rPr>
                <w:sz w:val="14"/>
              </w:rPr>
              <w:t xml:space="preserve"> concernant la performance globale du système</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5</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Amélioration globale du système</w:t>
            </w:r>
            <w:r w:rsidR="00A20444" w:rsidRPr="007B0500">
              <w:rPr>
                <w:sz w:val="14"/>
              </w:rPr>
              <w:t xml:space="preserve"> du PCT</w:t>
            </w: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Progrès vers la mise en œuvre des recommandations adoptées en</w:t>
            </w:r>
            <w:r w:rsidR="0010442A" w:rsidRPr="007B0500">
              <w:rPr>
                <w:sz w:val="14"/>
              </w:rPr>
              <w:t> </w:t>
            </w:r>
            <w:r w:rsidRPr="007B0500">
              <w:rPr>
                <w:sz w:val="14"/>
              </w:rPr>
              <w:t>2010 par le Groupe de travail</w:t>
            </w:r>
            <w:r w:rsidR="00A20444" w:rsidRPr="007B0500">
              <w:rPr>
                <w:sz w:val="14"/>
              </w:rPr>
              <w:t xml:space="preserve"> du PCT</w:t>
            </w:r>
            <w:r w:rsidRPr="007B0500">
              <w:rPr>
                <w:sz w:val="14"/>
              </w:rPr>
              <w:t xml:space="preserve"> sur les moyens d</w:t>
            </w:r>
            <w:r w:rsidR="00A20444" w:rsidRPr="007B0500">
              <w:rPr>
                <w:sz w:val="14"/>
              </w:rPr>
              <w:t>’</w:t>
            </w:r>
            <w:r w:rsidRPr="007B0500">
              <w:rPr>
                <w:sz w:val="14"/>
              </w:rPr>
              <w:t>améliorer le fonctionnement</w:t>
            </w:r>
            <w:r w:rsidR="00A20444" w:rsidRPr="007B0500">
              <w:rPr>
                <w:sz w:val="14"/>
              </w:rPr>
              <w:t xml:space="preserve"> du PCT</w:t>
            </w:r>
            <w:r w:rsidRPr="007B0500">
              <w:rPr>
                <w:sz w:val="14"/>
              </w:rPr>
              <w:t>, s</w:t>
            </w:r>
            <w:r w:rsidR="00A20444" w:rsidRPr="007B0500">
              <w:rPr>
                <w:sz w:val="14"/>
              </w:rPr>
              <w:t>’</w:t>
            </w:r>
            <w:r w:rsidRPr="007B0500">
              <w:rPr>
                <w:sz w:val="14"/>
              </w:rPr>
              <w:t>agissant des six</w:t>
            </w:r>
            <w:r w:rsidR="0010442A" w:rsidRPr="007B0500">
              <w:rPr>
                <w:sz w:val="14"/>
              </w:rPr>
              <w:t> </w:t>
            </w:r>
            <w:r w:rsidRPr="007B0500">
              <w:rPr>
                <w:sz w:val="14"/>
              </w:rPr>
              <w:t>groupes de questions ci</w:t>
            </w:r>
            <w:r w:rsidR="002D6F2A" w:rsidRPr="007B0500">
              <w:rPr>
                <w:sz w:val="14"/>
              </w:rPr>
              <w:noBreakHyphen/>
            </w:r>
            <w:r w:rsidRPr="007B0500">
              <w:rPr>
                <w:sz w:val="14"/>
              </w:rPr>
              <w:t>après</w:t>
            </w:r>
            <w:r w:rsidR="0010442A" w:rsidRPr="007B0500">
              <w:rPr>
                <w:sz w:val="14"/>
              </w:rPr>
              <w:t> </w:t>
            </w:r>
            <w:r w:rsidRPr="007B0500">
              <w:rPr>
                <w:sz w:val="14"/>
              </w:rPr>
              <w:t>: i)</w:t>
            </w:r>
            <w:r w:rsidR="0010442A" w:rsidRPr="007B0500">
              <w:rPr>
                <w:sz w:val="14"/>
              </w:rPr>
              <w:t> </w:t>
            </w:r>
            <w:r w:rsidRPr="007B0500">
              <w:rPr>
                <w:sz w:val="14"/>
              </w:rPr>
              <w:t>retards de traitement;</w:t>
            </w:r>
            <w:r w:rsidR="004F3E42" w:rsidRPr="007B0500">
              <w:rPr>
                <w:sz w:val="14"/>
              </w:rPr>
              <w:t xml:space="preserve"> </w:t>
            </w:r>
            <w:r w:rsidR="0010442A" w:rsidRPr="007B0500">
              <w:rPr>
                <w:sz w:val="14"/>
              </w:rPr>
              <w:t xml:space="preserve"> </w:t>
            </w:r>
            <w:r w:rsidRPr="007B0500">
              <w:rPr>
                <w:sz w:val="14"/>
              </w:rPr>
              <w:t>amélioration de la qualité des brevets délivrés;</w:t>
            </w:r>
            <w:r w:rsidR="004F3E42" w:rsidRPr="007B0500">
              <w:rPr>
                <w:sz w:val="14"/>
              </w:rPr>
              <w:t xml:space="preserve"> </w:t>
            </w:r>
            <w:r w:rsidR="0010442A" w:rsidRPr="007B0500">
              <w:rPr>
                <w:sz w:val="14"/>
              </w:rPr>
              <w:t xml:space="preserve"> </w:t>
            </w:r>
            <w:r w:rsidRPr="007B0500">
              <w:rPr>
                <w:sz w:val="14"/>
              </w:rPr>
              <w:t>ii)</w:t>
            </w:r>
            <w:r w:rsidR="0010442A" w:rsidRPr="007B0500">
              <w:rPr>
                <w:sz w:val="14"/>
              </w:rPr>
              <w:t> </w:t>
            </w:r>
            <w:r w:rsidRPr="007B0500">
              <w:rPr>
                <w:sz w:val="14"/>
              </w:rPr>
              <w:t>respect des délais dans la phase internationale;</w:t>
            </w:r>
            <w:r w:rsidR="004F3E42" w:rsidRPr="007B0500">
              <w:rPr>
                <w:sz w:val="14"/>
              </w:rPr>
              <w:t xml:space="preserve"> </w:t>
            </w:r>
            <w:r w:rsidR="0010442A" w:rsidRPr="007B0500">
              <w:rPr>
                <w:sz w:val="14"/>
              </w:rPr>
              <w:t xml:space="preserve"> </w:t>
            </w:r>
            <w:r w:rsidRPr="007B0500">
              <w:rPr>
                <w:sz w:val="14"/>
              </w:rPr>
              <w:t>iii)</w:t>
            </w:r>
            <w:r w:rsidR="0010442A" w:rsidRPr="007B0500">
              <w:rPr>
                <w:sz w:val="14"/>
              </w:rPr>
              <w:t> </w:t>
            </w:r>
            <w:r w:rsidRPr="007B0500">
              <w:rPr>
                <w:sz w:val="14"/>
              </w:rPr>
              <w:t>qualité de la recherche internationale et de l</w:t>
            </w:r>
            <w:r w:rsidR="00A20444" w:rsidRPr="007B0500">
              <w:rPr>
                <w:sz w:val="14"/>
              </w:rPr>
              <w:t>’</w:t>
            </w:r>
            <w:r w:rsidRPr="007B0500">
              <w:rPr>
                <w:sz w:val="14"/>
              </w:rPr>
              <w:t>examen préliminaire international;</w:t>
            </w:r>
            <w:r w:rsidR="004F3E42" w:rsidRPr="007B0500">
              <w:rPr>
                <w:sz w:val="14"/>
              </w:rPr>
              <w:t xml:space="preserve"> </w:t>
            </w:r>
            <w:r w:rsidR="0010442A" w:rsidRPr="007B0500">
              <w:rPr>
                <w:sz w:val="14"/>
              </w:rPr>
              <w:t xml:space="preserve"> </w:t>
            </w:r>
            <w:r w:rsidRPr="007B0500">
              <w:rPr>
                <w:sz w:val="14"/>
              </w:rPr>
              <w:t>iv)</w:t>
            </w:r>
            <w:r w:rsidR="0010442A" w:rsidRPr="007B0500">
              <w:rPr>
                <w:sz w:val="14"/>
              </w:rPr>
              <w:t> </w:t>
            </w:r>
            <w:r w:rsidRPr="007B0500">
              <w:rPr>
                <w:sz w:val="14"/>
              </w:rPr>
              <w:t>incitations offertes aux déposants pour qu</w:t>
            </w:r>
            <w:r w:rsidR="00A20444" w:rsidRPr="007B0500">
              <w:rPr>
                <w:sz w:val="14"/>
              </w:rPr>
              <w:t>’</w:t>
            </w:r>
            <w:r w:rsidRPr="007B0500">
              <w:rPr>
                <w:sz w:val="14"/>
              </w:rPr>
              <w:t>ils utilisent le système avec efficacité;</w:t>
            </w:r>
            <w:r w:rsidR="004F3E42" w:rsidRPr="007B0500">
              <w:rPr>
                <w:sz w:val="14"/>
              </w:rPr>
              <w:t xml:space="preserve"> </w:t>
            </w:r>
            <w:r w:rsidR="0010442A" w:rsidRPr="007B0500">
              <w:rPr>
                <w:sz w:val="14"/>
              </w:rPr>
              <w:t xml:space="preserve"> </w:t>
            </w:r>
            <w:r w:rsidRPr="007B0500">
              <w:rPr>
                <w:sz w:val="14"/>
              </w:rPr>
              <w:t>insuffisance des qualifications et de l</w:t>
            </w:r>
            <w:r w:rsidR="00A20444" w:rsidRPr="007B0500">
              <w:rPr>
                <w:sz w:val="14"/>
              </w:rPr>
              <w:t>’</w:t>
            </w:r>
            <w:r w:rsidRPr="007B0500">
              <w:rPr>
                <w:sz w:val="14"/>
              </w:rPr>
              <w:t>effectif;</w:t>
            </w:r>
            <w:r w:rsidR="004F3E42" w:rsidRPr="007B0500">
              <w:rPr>
                <w:sz w:val="14"/>
              </w:rPr>
              <w:t xml:space="preserve"> </w:t>
            </w:r>
            <w:r w:rsidR="0010442A" w:rsidRPr="007B0500">
              <w:rPr>
                <w:sz w:val="14"/>
              </w:rPr>
              <w:t xml:space="preserve"> </w:t>
            </w:r>
            <w:r w:rsidRPr="007B0500">
              <w:rPr>
                <w:sz w:val="14"/>
              </w:rPr>
              <w:t>v)</w:t>
            </w:r>
            <w:r w:rsidR="0010442A" w:rsidRPr="007B0500">
              <w:rPr>
                <w:sz w:val="14"/>
              </w:rPr>
              <w:t> </w:t>
            </w:r>
            <w:r w:rsidRPr="007B0500">
              <w:rPr>
                <w:sz w:val="14"/>
              </w:rPr>
              <w:t>coûts et autres aspects de l</w:t>
            </w:r>
            <w:r w:rsidR="00A20444" w:rsidRPr="007B0500">
              <w:rPr>
                <w:sz w:val="14"/>
              </w:rPr>
              <w:t>’</w:t>
            </w:r>
            <w:r w:rsidRPr="007B0500">
              <w:rPr>
                <w:sz w:val="14"/>
              </w:rPr>
              <w:t>accessibilité;</w:t>
            </w:r>
            <w:r w:rsidR="004F3E42" w:rsidRPr="007B0500">
              <w:rPr>
                <w:sz w:val="14"/>
              </w:rPr>
              <w:t xml:space="preserve"> </w:t>
            </w:r>
            <w:r w:rsidR="0010442A" w:rsidRPr="007B0500">
              <w:rPr>
                <w:sz w:val="14"/>
              </w:rPr>
              <w:t xml:space="preserve"> </w:t>
            </w:r>
            <w:r w:rsidRPr="007B0500">
              <w:rPr>
                <w:sz w:val="14"/>
              </w:rPr>
              <w:t>cohérence et disponibilité des garanties;</w:t>
            </w:r>
            <w:r w:rsidR="004F3E42" w:rsidRPr="007B0500">
              <w:rPr>
                <w:sz w:val="14"/>
              </w:rPr>
              <w:t xml:space="preserve"> </w:t>
            </w:r>
            <w:r w:rsidR="0010442A" w:rsidRPr="007B0500">
              <w:rPr>
                <w:sz w:val="14"/>
              </w:rPr>
              <w:t xml:space="preserve"> </w:t>
            </w:r>
            <w:r w:rsidRPr="007B0500">
              <w:rPr>
                <w:sz w:val="14"/>
              </w:rPr>
              <w:t>et vi)</w:t>
            </w:r>
            <w:r w:rsidR="0010442A" w:rsidRPr="007B0500">
              <w:rPr>
                <w:sz w:val="14"/>
              </w:rPr>
              <w:t> </w:t>
            </w:r>
            <w:r w:rsidRPr="007B0500">
              <w:rPr>
                <w:sz w:val="14"/>
              </w:rPr>
              <w:t>assistance technique;</w:t>
            </w:r>
            <w:r w:rsidR="004F3E42" w:rsidRPr="007B0500">
              <w:rPr>
                <w:sz w:val="14"/>
              </w:rPr>
              <w:t xml:space="preserve"> </w:t>
            </w:r>
            <w:r w:rsidR="0010442A" w:rsidRPr="007B0500">
              <w:rPr>
                <w:sz w:val="14"/>
              </w:rPr>
              <w:t xml:space="preserve"> </w:t>
            </w:r>
            <w:r w:rsidRPr="007B0500">
              <w:rPr>
                <w:sz w:val="14"/>
              </w:rPr>
              <w:t>transfert d</w:t>
            </w:r>
            <w:r w:rsidR="00A20444" w:rsidRPr="007B0500">
              <w:rPr>
                <w:sz w:val="14"/>
              </w:rPr>
              <w:t>’</w:t>
            </w:r>
            <w:r w:rsidRPr="007B0500">
              <w:rPr>
                <w:sz w:val="14"/>
              </w:rPr>
              <w:t>information et de technologie dans le cadre</w:t>
            </w:r>
            <w:r w:rsidR="00A20444" w:rsidRPr="007B0500">
              <w:rPr>
                <w:sz w:val="14"/>
              </w:rPr>
              <w:t xml:space="preserve"> du PCT</w:t>
            </w:r>
            <w:r w:rsidRPr="007B0500">
              <w:rPr>
                <w:sz w:val="14"/>
              </w:rPr>
              <w:t>.</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5</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vMerge w:val="restart"/>
            <w:shd w:val="clear" w:color="auto" w:fill="auto"/>
            <w:tcMar>
              <w:top w:w="113" w:type="dxa"/>
            </w:tcMar>
          </w:tcPr>
          <w:p w:rsidR="00BB3F3E" w:rsidRPr="007B0500" w:rsidRDefault="00BB3F3E" w:rsidP="001A5BF9">
            <w:pPr>
              <w:spacing w:before="60"/>
              <w:rPr>
                <w:rFonts w:cs="Arial"/>
                <w:sz w:val="14"/>
                <w:szCs w:val="14"/>
              </w:rPr>
            </w:pPr>
            <w:r w:rsidRPr="007B0500">
              <w:rPr>
                <w:sz w:val="14"/>
              </w:rPr>
              <w:t>Amélioration du fonctionnement du Bureau international (voir l</w:t>
            </w:r>
            <w:r w:rsidR="00A20444" w:rsidRPr="007B0500">
              <w:rPr>
                <w:sz w:val="14"/>
              </w:rPr>
              <w:t>’</w:t>
            </w:r>
            <w:r w:rsidRPr="007B0500">
              <w:rPr>
                <w:sz w:val="14"/>
              </w:rPr>
              <w:t>annexe VI)</w:t>
            </w: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Coût unitaire du traitement d</w:t>
            </w:r>
            <w:r w:rsidR="00A20444" w:rsidRPr="007B0500">
              <w:rPr>
                <w:sz w:val="14"/>
              </w:rPr>
              <w:t>’</w:t>
            </w:r>
            <w:r w:rsidRPr="007B0500">
              <w:rPr>
                <w:sz w:val="14"/>
              </w:rPr>
              <w:t>une demande</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5</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Productivité de l</w:t>
            </w:r>
            <w:r w:rsidR="00A20444" w:rsidRPr="007B0500">
              <w:rPr>
                <w:sz w:val="14"/>
              </w:rPr>
              <w:t>’</w:t>
            </w:r>
            <w:r w:rsidRPr="007B0500">
              <w:rPr>
                <w:sz w:val="14"/>
              </w:rPr>
              <w:t>examen des formalités</w:t>
            </w:r>
          </w:p>
        </w:tc>
        <w:tc>
          <w:tcPr>
            <w:tcW w:w="1267" w:type="dxa"/>
            <w:shd w:val="clear" w:color="auto" w:fill="auto"/>
            <w:tcMar>
              <w:top w:w="113" w:type="dxa"/>
            </w:tcMar>
          </w:tcPr>
          <w:p w:rsidR="00BB3F3E" w:rsidRPr="007B0500" w:rsidRDefault="00BB3F3E" w:rsidP="001A5BF9">
            <w:pPr>
              <w:spacing w:before="60"/>
              <w:jc w:val="center"/>
              <w:rPr>
                <w:rFonts w:cs="Arial"/>
                <w:sz w:val="14"/>
                <w:szCs w:val="14"/>
              </w:rPr>
            </w:pPr>
            <w:r w:rsidRPr="007B0500">
              <w:rPr>
                <w:sz w:val="14"/>
              </w:rPr>
              <w:t>Programme 5</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Qualité de l</w:t>
            </w:r>
            <w:r w:rsidR="00A20444" w:rsidRPr="007B0500">
              <w:rPr>
                <w:sz w:val="14"/>
              </w:rPr>
              <w:t>’</w:t>
            </w:r>
            <w:r w:rsidRPr="007B0500">
              <w:rPr>
                <w:sz w:val="14"/>
              </w:rPr>
              <w:t>examen des formalités</w:t>
            </w:r>
          </w:p>
        </w:tc>
        <w:tc>
          <w:tcPr>
            <w:tcW w:w="1267" w:type="dxa"/>
            <w:shd w:val="clear" w:color="auto" w:fill="auto"/>
            <w:tcMar>
              <w:top w:w="113" w:type="dxa"/>
            </w:tcMar>
          </w:tcPr>
          <w:p w:rsidR="00BB3F3E" w:rsidRPr="007B0500" w:rsidRDefault="00BB3F3E" w:rsidP="001A5BF9">
            <w:pPr>
              <w:spacing w:before="60"/>
              <w:jc w:val="center"/>
              <w:rPr>
                <w:rFonts w:cs="Arial"/>
                <w:sz w:val="14"/>
                <w:szCs w:val="14"/>
              </w:rPr>
            </w:pPr>
            <w:r w:rsidRPr="007B0500">
              <w:rPr>
                <w:sz w:val="14"/>
              </w:rPr>
              <w:t>Programme 5</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Rapidité de l</w:t>
            </w:r>
            <w:r w:rsidR="00A20444" w:rsidRPr="007B0500">
              <w:rPr>
                <w:sz w:val="14"/>
              </w:rPr>
              <w:t>’</w:t>
            </w:r>
            <w:r w:rsidRPr="007B0500">
              <w:rPr>
                <w:sz w:val="14"/>
              </w:rPr>
              <w:t>examen de forme (pourcentage accompli dans les trois semaines suivant la réception)</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5</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 xml:space="preserve">Rapidité de la publication (pourcentage publié dans les </w:t>
            </w:r>
            <w:r w:rsidR="00BD43F2" w:rsidRPr="007B0500">
              <w:rPr>
                <w:sz w:val="14"/>
              </w:rPr>
              <w:t>18 </w:t>
            </w:r>
            <w:r w:rsidRPr="007B0500">
              <w:rPr>
                <w:sz w:val="14"/>
              </w:rPr>
              <w:t>mois + trois</w:t>
            </w:r>
            <w:r w:rsidR="0010442A" w:rsidRPr="007B0500">
              <w:rPr>
                <w:sz w:val="14"/>
              </w:rPr>
              <w:t> </w:t>
            </w:r>
            <w:r w:rsidRPr="007B0500">
              <w:rPr>
                <w:sz w:val="14"/>
              </w:rPr>
              <w:t>semaines suivant la date de priorité)</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5</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Qualité des traductions (pourcentage passant avec succès le contrôle qualité)</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5</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Demandes déposées auprès du Bureau international en tant qu</w:t>
            </w:r>
            <w:r w:rsidR="00A20444" w:rsidRPr="007B0500">
              <w:rPr>
                <w:sz w:val="14"/>
              </w:rPr>
              <w:t>’</w:t>
            </w:r>
            <w:r w:rsidRPr="007B0500">
              <w:rPr>
                <w:sz w:val="14"/>
              </w:rPr>
              <w:t>office récepteur</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5</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vMerge w:val="restart"/>
            <w:shd w:val="clear" w:color="auto" w:fill="auto"/>
            <w:tcMar>
              <w:top w:w="113" w:type="dxa"/>
            </w:tcMar>
          </w:tcPr>
          <w:p w:rsidR="00BB3F3E" w:rsidRPr="007B0500" w:rsidRDefault="00BB3F3E" w:rsidP="001A5BF9">
            <w:pPr>
              <w:spacing w:before="60"/>
              <w:rPr>
                <w:rFonts w:cs="Arial"/>
                <w:sz w:val="14"/>
                <w:szCs w:val="14"/>
              </w:rPr>
            </w:pPr>
            <w:r w:rsidRPr="007B0500">
              <w:rPr>
                <w:sz w:val="14"/>
              </w:rPr>
              <w:t>Meilleure utilisation des systèmes de Madrid et de Lisbonne, notamment par les pays en développement et</w:t>
            </w:r>
            <w:r w:rsidR="00A20444" w:rsidRPr="007B0500">
              <w:rPr>
                <w:sz w:val="14"/>
              </w:rPr>
              <w:t xml:space="preserve"> les PMA</w:t>
            </w: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de nouveaux enregistrements (système de Madrid)</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de renouvellements (système de Madrid)</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rFonts w:cs="Arial"/>
                <w:color w:val="10862C"/>
                <w:szCs w:val="22"/>
              </w:rPr>
            </w:pPr>
            <w:r w:rsidRPr="005C7CCE">
              <w:rPr>
                <w:color w:val="10862C"/>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Pourcentage de lettres signalant des irrégularités par rapport au nombre total de demandes reçues (système de Madrid)</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rFonts w:cs="Arial"/>
                <w:szCs w:val="22"/>
              </w:rPr>
            </w:pPr>
            <w:r w:rsidRPr="005C7CCE">
              <w:rPr>
                <w:color w:val="FF0000"/>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keepNext/>
              <w:keepLines/>
              <w:spacing w:before="60"/>
              <w:rPr>
                <w:rFonts w:cs="Arial"/>
                <w:sz w:val="14"/>
                <w:szCs w:val="14"/>
              </w:rPr>
            </w:pPr>
            <w:r w:rsidRPr="007B0500">
              <w:rPr>
                <w:sz w:val="14"/>
              </w:rPr>
              <w:t>Pourcentage de demandes internationales provenant des pays en développement et</w:t>
            </w:r>
            <w:r w:rsidR="00A20444" w:rsidRPr="007B0500">
              <w:rPr>
                <w:sz w:val="14"/>
              </w:rPr>
              <w:t xml:space="preserve"> des PMA</w:t>
            </w:r>
            <w:r w:rsidRPr="007B0500">
              <w:rPr>
                <w:sz w:val="14"/>
              </w:rPr>
              <w:t xml:space="preserve"> (système de Madrid)</w:t>
            </w:r>
          </w:p>
        </w:tc>
        <w:tc>
          <w:tcPr>
            <w:tcW w:w="1267" w:type="dxa"/>
            <w:shd w:val="clear" w:color="auto" w:fill="auto"/>
            <w:tcMar>
              <w:top w:w="113" w:type="dxa"/>
            </w:tcMar>
          </w:tcPr>
          <w:p w:rsidR="00BB3F3E" w:rsidRPr="007B0500" w:rsidRDefault="00BB3F3E" w:rsidP="001A5BF9">
            <w:pPr>
              <w:keepNext/>
              <w:keepLines/>
              <w:spacing w:before="80"/>
              <w:jc w:val="center"/>
              <w:rPr>
                <w:rFonts w:cs="Arial"/>
                <w:sz w:val="14"/>
                <w:szCs w:val="14"/>
              </w:rPr>
            </w:pPr>
            <w:r w:rsidRPr="007B0500">
              <w:rPr>
                <w:sz w:val="14"/>
              </w:rPr>
              <w:t>Programme 6</w:t>
            </w:r>
          </w:p>
        </w:tc>
        <w:tc>
          <w:tcPr>
            <w:tcW w:w="1342" w:type="dxa"/>
          </w:tcPr>
          <w:p w:rsidR="00BB3F3E" w:rsidRPr="005C7CCE" w:rsidRDefault="00BB3F3E" w:rsidP="001A5BF9">
            <w:pPr>
              <w:keepNext/>
              <w:keepLines/>
              <w:jc w:val="center"/>
              <w:rPr>
                <w:rFonts w:cs="Arial"/>
                <w:szCs w:val="22"/>
              </w:rPr>
            </w:pPr>
            <w:r w:rsidRPr="005C7CCE">
              <w:rPr>
                <w:color w:val="FF0000"/>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keepNext/>
              <w:keepLines/>
              <w:spacing w:before="60"/>
              <w:rPr>
                <w:rFonts w:cs="Arial"/>
                <w:sz w:val="14"/>
                <w:szCs w:val="14"/>
              </w:rPr>
            </w:pPr>
            <w:r w:rsidRPr="007B0500">
              <w:rPr>
                <w:sz w:val="14"/>
              </w:rPr>
              <w:t>Nombre de parties contractantes au Protocole de Madrid</w:t>
            </w:r>
          </w:p>
        </w:tc>
        <w:tc>
          <w:tcPr>
            <w:tcW w:w="1267" w:type="dxa"/>
            <w:shd w:val="clear" w:color="auto" w:fill="auto"/>
            <w:tcMar>
              <w:top w:w="113" w:type="dxa"/>
            </w:tcMar>
          </w:tcPr>
          <w:p w:rsidR="00BB3F3E" w:rsidRPr="007B0500" w:rsidRDefault="00BB3F3E" w:rsidP="001A5BF9">
            <w:pPr>
              <w:keepNext/>
              <w:keepLines/>
              <w:spacing w:before="80"/>
              <w:jc w:val="center"/>
              <w:rPr>
                <w:rFonts w:cs="Arial"/>
                <w:sz w:val="14"/>
                <w:szCs w:val="14"/>
              </w:rPr>
            </w:pPr>
            <w:r w:rsidRPr="007B0500">
              <w:rPr>
                <w:sz w:val="14"/>
              </w:rPr>
              <w:t>Programme 6</w:t>
            </w:r>
          </w:p>
        </w:tc>
        <w:tc>
          <w:tcPr>
            <w:tcW w:w="1342" w:type="dxa"/>
          </w:tcPr>
          <w:p w:rsidR="00BB3F3E" w:rsidRPr="005C7CCE" w:rsidRDefault="00BB3F3E" w:rsidP="001A5BF9">
            <w:pPr>
              <w:keepNext/>
              <w:keepLines/>
              <w:jc w:val="center"/>
              <w:rPr>
                <w:rFonts w:cs="Arial"/>
                <w:szCs w:val="22"/>
              </w:rPr>
            </w:pPr>
            <w:r w:rsidRPr="005C7CCE">
              <w:rPr>
                <w:color w:val="10862C"/>
              </w:rPr>
              <w:sym w:font="Wingdings" w:char="F06C"/>
            </w:r>
          </w:p>
        </w:tc>
      </w:tr>
      <w:tr w:rsidR="00BB3F3E" w:rsidRPr="005C7CCE" w:rsidTr="00AA3983">
        <w:trPr>
          <w:cantSplit/>
        </w:trPr>
        <w:tc>
          <w:tcPr>
            <w:tcW w:w="3224" w:type="dxa"/>
            <w:shd w:val="clear" w:color="auto" w:fill="auto"/>
          </w:tcPr>
          <w:p w:rsidR="00BB3F3E" w:rsidRPr="007B0500" w:rsidRDefault="00BB3F3E" w:rsidP="001A5BF9">
            <w:pPr>
              <w:rPr>
                <w:rFonts w:cs="Arial"/>
                <w:sz w:val="14"/>
                <w:szCs w:val="14"/>
              </w:rPr>
            </w:pPr>
          </w:p>
        </w:tc>
        <w:tc>
          <w:tcPr>
            <w:tcW w:w="3533" w:type="dxa"/>
            <w:shd w:val="clear" w:color="auto" w:fill="auto"/>
            <w:tcMar>
              <w:top w:w="113" w:type="dxa"/>
              <w:bottom w:w="113" w:type="dxa"/>
            </w:tcMar>
          </w:tcPr>
          <w:p w:rsidR="00BB3F3E" w:rsidRPr="007B0500" w:rsidRDefault="00BB3F3E" w:rsidP="001A5BF9">
            <w:pPr>
              <w:spacing w:before="60"/>
              <w:rPr>
                <w:rFonts w:cs="Arial"/>
                <w:sz w:val="14"/>
                <w:szCs w:val="14"/>
              </w:rPr>
            </w:pPr>
            <w:r w:rsidRPr="007B0500">
              <w:rPr>
                <w:sz w:val="14"/>
              </w:rPr>
              <w:t>Nombre de parties contractantes de l</w:t>
            </w:r>
            <w:r w:rsidR="00A20444" w:rsidRPr="007B0500">
              <w:rPr>
                <w:sz w:val="14"/>
              </w:rPr>
              <w:t>’</w:t>
            </w:r>
            <w:r w:rsidRPr="007B0500">
              <w:rPr>
                <w:sz w:val="14"/>
              </w:rPr>
              <w:t>Arrangement de Lisbonne</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rFonts w:cs="Arial"/>
                <w:szCs w:val="22"/>
              </w:rPr>
            </w:pPr>
            <w:r w:rsidRPr="005C7CCE">
              <w:rPr>
                <w:color w:val="E36C0A"/>
              </w:rPr>
              <w:sym w:font="Wingdings" w:char="F06C"/>
            </w:r>
          </w:p>
        </w:tc>
      </w:tr>
      <w:tr w:rsidR="00BB3F3E" w:rsidRPr="005C7CCE" w:rsidTr="00AA3983">
        <w:trPr>
          <w:cantSplit/>
          <w:trHeight w:val="410"/>
        </w:trPr>
        <w:tc>
          <w:tcPr>
            <w:tcW w:w="3224" w:type="dxa"/>
            <w:shd w:val="clear" w:color="auto" w:fill="auto"/>
            <w:tcMar>
              <w:top w:w="113" w:type="dxa"/>
            </w:tcMar>
          </w:tcPr>
          <w:p w:rsidR="00BB3F3E" w:rsidRPr="007B0500" w:rsidRDefault="00BB3F3E" w:rsidP="001A5BF9">
            <w:pPr>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w:t>
            </w:r>
            <w:r w:rsidR="00A20444" w:rsidRPr="007B0500">
              <w:rPr>
                <w:sz w:val="14"/>
              </w:rPr>
              <w:t>’</w:t>
            </w:r>
            <w:r w:rsidRPr="007B0500">
              <w:rPr>
                <w:sz w:val="14"/>
              </w:rPr>
              <w:t>enregistrements internationaux en vigueur en vertu du système de Lisbonne concernant les appellations d</w:t>
            </w:r>
            <w:r w:rsidR="00A20444" w:rsidRPr="007B0500">
              <w:rPr>
                <w:sz w:val="14"/>
              </w:rPr>
              <w:t>’</w:t>
            </w:r>
            <w:r w:rsidRPr="007B0500">
              <w:rPr>
                <w:sz w:val="14"/>
              </w:rPr>
              <w:t>origine émanant des pays en développement et</w:t>
            </w:r>
            <w:r w:rsidR="00A20444" w:rsidRPr="007B0500">
              <w:rPr>
                <w:sz w:val="14"/>
              </w:rPr>
              <w:t xml:space="preserve"> des PMA</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rFonts w:cs="Arial"/>
                <w:szCs w:val="22"/>
              </w:rPr>
            </w:pPr>
            <w:r w:rsidRPr="005C7CCE">
              <w:rPr>
                <w:color w:val="10862C"/>
              </w:rPr>
              <w:sym w:font="Wingdings" w:char="F06C"/>
            </w:r>
          </w:p>
        </w:tc>
      </w:tr>
      <w:tr w:rsidR="00BB3F3E" w:rsidRPr="005C7CCE" w:rsidTr="00AA3983">
        <w:trPr>
          <w:cantSplit/>
        </w:trPr>
        <w:tc>
          <w:tcPr>
            <w:tcW w:w="3224" w:type="dxa"/>
            <w:vMerge w:val="restart"/>
            <w:shd w:val="clear" w:color="auto" w:fill="auto"/>
            <w:tcMar>
              <w:top w:w="113" w:type="dxa"/>
            </w:tcMar>
          </w:tcPr>
          <w:p w:rsidR="00D42474" w:rsidRDefault="001F665F" w:rsidP="001A5BF9">
            <w:pPr>
              <w:spacing w:before="60"/>
              <w:rPr>
                <w:rFonts w:cs="Arial"/>
                <w:bCs/>
                <w:sz w:val="14"/>
                <w:szCs w:val="14"/>
              </w:rPr>
            </w:pPr>
            <w:r w:rsidRPr="007B0500">
              <w:rPr>
                <w:rFonts w:cs="Arial"/>
                <w:bCs/>
                <w:sz w:val="14"/>
                <w:szCs w:val="14"/>
              </w:rPr>
              <w:t xml:space="preserve">Meilleure exploitation </w:t>
            </w:r>
            <w:r w:rsidR="00A4797D" w:rsidRPr="007B0500">
              <w:rPr>
                <w:rFonts w:cs="Arial"/>
                <w:bCs/>
                <w:sz w:val="14"/>
                <w:szCs w:val="14"/>
              </w:rPr>
              <w:t>des systèmes de Madrid et de Lisbonne</w:t>
            </w:r>
          </w:p>
          <w:p w:rsidR="00BB3F3E" w:rsidRPr="007B0500" w:rsidRDefault="00BB3F3E" w:rsidP="001A5BF9">
            <w:pPr>
              <w:spacing w:before="6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Durée moyenne du traitement des nouvelles demandes sans irrégularités (système de Madrid)</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szCs w:val="22"/>
              </w:rPr>
            </w:pPr>
            <w:r w:rsidRPr="005C7CCE">
              <w:rPr>
                <w:color w:val="E36C0A"/>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w:t>
            </w:r>
            <w:r w:rsidR="00A20444" w:rsidRPr="007B0500">
              <w:rPr>
                <w:sz w:val="14"/>
              </w:rPr>
              <w:t>’</w:t>
            </w:r>
            <w:r w:rsidRPr="007B0500">
              <w:rPr>
                <w:sz w:val="14"/>
              </w:rPr>
              <w:t>offices envoyant les demandes au format XML et recevant les désignations au format XML (système de Madrid)</w:t>
            </w:r>
          </w:p>
        </w:tc>
        <w:tc>
          <w:tcPr>
            <w:tcW w:w="1267" w:type="dxa"/>
            <w:shd w:val="clear" w:color="auto" w:fill="auto"/>
            <w:tcMar>
              <w:top w:w="113" w:type="dxa"/>
            </w:tcMar>
          </w:tcPr>
          <w:p w:rsidR="00BB3F3E" w:rsidRPr="007B0500" w:rsidRDefault="00BB3F3E" w:rsidP="001A5BF9">
            <w:pPr>
              <w:spacing w:before="60"/>
              <w:jc w:val="center"/>
              <w:rPr>
                <w:rFonts w:cs="Arial"/>
                <w:sz w:val="14"/>
                <w:szCs w:val="14"/>
              </w:rPr>
            </w:pPr>
            <w:r w:rsidRPr="007B0500">
              <w:rPr>
                <w:sz w:val="14"/>
              </w:rPr>
              <w:t>Programme 6</w:t>
            </w:r>
          </w:p>
        </w:tc>
        <w:tc>
          <w:tcPr>
            <w:tcW w:w="1342" w:type="dxa"/>
          </w:tcPr>
          <w:p w:rsidR="00BB3F3E" w:rsidRPr="005C7CCE" w:rsidRDefault="00BB3F3E" w:rsidP="001A5BF9">
            <w:pPr>
              <w:jc w:val="center"/>
              <w:rPr>
                <w:color w:val="10862C"/>
                <w:szCs w:val="22"/>
              </w:rPr>
            </w:pPr>
            <w:r w:rsidRPr="005C7CCE">
              <w:rPr>
                <w:color w:val="10862C"/>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Pourcentage de documents reçus par voie électronique (système de Madrid)</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color w:val="10862C"/>
                <w:szCs w:val="22"/>
              </w:rPr>
            </w:pPr>
            <w:r w:rsidRPr="005C7CCE">
              <w:rPr>
                <w:color w:val="10862C"/>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8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de clients recevant des notifications par courrier électronique (système de Madrid)</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color w:val="10862C"/>
                <w:szCs w:val="22"/>
              </w:rPr>
            </w:pPr>
            <w:r w:rsidRPr="005C7CCE">
              <w:rPr>
                <w:color w:val="10862C"/>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de clients utilisant le Madrid Portfolio Manager (système de Madrid)</w:t>
            </w:r>
          </w:p>
        </w:tc>
        <w:tc>
          <w:tcPr>
            <w:tcW w:w="1267" w:type="dxa"/>
            <w:shd w:val="clear" w:color="auto" w:fill="auto"/>
            <w:tcMar>
              <w:top w:w="113" w:type="dxa"/>
            </w:tcMar>
          </w:tcPr>
          <w:p w:rsidR="00BB3F3E" w:rsidRPr="007B0500" w:rsidRDefault="00BB3F3E" w:rsidP="001A5BF9">
            <w:pPr>
              <w:spacing w:before="60"/>
              <w:jc w:val="center"/>
              <w:rPr>
                <w:rFonts w:cs="Arial"/>
                <w:sz w:val="14"/>
                <w:szCs w:val="14"/>
              </w:rPr>
            </w:pPr>
            <w:r w:rsidRPr="007B0500">
              <w:rPr>
                <w:sz w:val="14"/>
              </w:rPr>
              <w:t>Programme 6</w:t>
            </w:r>
          </w:p>
        </w:tc>
        <w:tc>
          <w:tcPr>
            <w:tcW w:w="1342" w:type="dxa"/>
          </w:tcPr>
          <w:p w:rsidR="00BB3F3E" w:rsidRPr="005C7CCE" w:rsidRDefault="00BB3F3E" w:rsidP="001A5BF9">
            <w:pPr>
              <w:jc w:val="center"/>
              <w:rPr>
                <w:color w:val="10862C"/>
                <w:szCs w:val="22"/>
              </w:rPr>
            </w:pPr>
            <w:r w:rsidRPr="005C7CCE">
              <w:rPr>
                <w:color w:val="10862C"/>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 xml:space="preserve">Nombre de procédures entièrement automatisées (système de Madrid) </w:t>
            </w:r>
          </w:p>
        </w:tc>
        <w:tc>
          <w:tcPr>
            <w:tcW w:w="1267" w:type="dxa"/>
            <w:shd w:val="clear" w:color="auto" w:fill="auto"/>
            <w:tcMar>
              <w:top w:w="113" w:type="dxa"/>
            </w:tcMar>
          </w:tcPr>
          <w:p w:rsidR="00BB3F3E" w:rsidRPr="007B0500" w:rsidRDefault="00BB3F3E" w:rsidP="001A5BF9">
            <w:pPr>
              <w:spacing w:before="60"/>
              <w:jc w:val="center"/>
              <w:rPr>
                <w:rFonts w:cs="Arial"/>
                <w:sz w:val="14"/>
                <w:szCs w:val="14"/>
              </w:rPr>
            </w:pPr>
            <w:r w:rsidRPr="007B0500">
              <w:rPr>
                <w:sz w:val="14"/>
              </w:rPr>
              <w:t>Programme 6</w:t>
            </w:r>
          </w:p>
        </w:tc>
        <w:tc>
          <w:tcPr>
            <w:tcW w:w="1342" w:type="dxa"/>
          </w:tcPr>
          <w:p w:rsidR="00BB3F3E" w:rsidRPr="005C7CCE" w:rsidRDefault="00BB3F3E" w:rsidP="001A5BF9">
            <w:pPr>
              <w:jc w:val="center"/>
              <w:rPr>
                <w:color w:val="10862C"/>
                <w:szCs w:val="22"/>
              </w:rPr>
            </w:pPr>
            <w:r w:rsidRPr="005C7CCE">
              <w:rPr>
                <w:color w:val="10862C"/>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6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Pourcentage de corrections inscrites par rapport au total des opérations inscrites (à l</w:t>
            </w:r>
            <w:r w:rsidR="00A20444" w:rsidRPr="007B0500">
              <w:rPr>
                <w:sz w:val="14"/>
              </w:rPr>
              <w:t>’</w:t>
            </w:r>
            <w:r w:rsidRPr="007B0500">
              <w:rPr>
                <w:sz w:val="14"/>
              </w:rPr>
              <w:t>exception des refus et des décisions finales) (système de Madrid)</w:t>
            </w:r>
          </w:p>
        </w:tc>
        <w:tc>
          <w:tcPr>
            <w:tcW w:w="1267" w:type="dxa"/>
            <w:shd w:val="clear" w:color="auto" w:fill="auto"/>
            <w:tcMar>
              <w:top w:w="113" w:type="dxa"/>
            </w:tcMar>
          </w:tcPr>
          <w:p w:rsidR="00BB3F3E" w:rsidRPr="007B0500" w:rsidRDefault="00BB3F3E" w:rsidP="001A5BF9">
            <w:pPr>
              <w:spacing w:before="60"/>
              <w:jc w:val="center"/>
              <w:rPr>
                <w:rFonts w:cs="Arial"/>
                <w:sz w:val="14"/>
                <w:szCs w:val="14"/>
              </w:rPr>
            </w:pPr>
            <w:r w:rsidRPr="007B0500">
              <w:rPr>
                <w:sz w:val="14"/>
              </w:rPr>
              <w:t>Programme 6</w:t>
            </w:r>
          </w:p>
        </w:tc>
        <w:tc>
          <w:tcPr>
            <w:tcW w:w="1342" w:type="dxa"/>
          </w:tcPr>
          <w:p w:rsidR="00BB3F3E" w:rsidRPr="005C7CCE" w:rsidRDefault="00BB3F3E" w:rsidP="001A5BF9">
            <w:pPr>
              <w:jc w:val="center"/>
              <w:rPr>
                <w:szCs w:val="22"/>
              </w:rPr>
            </w:pPr>
            <w:r w:rsidRPr="005C7CCE">
              <w:rPr>
                <w:color w:val="E36C0A"/>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Création d</w:t>
            </w:r>
            <w:r w:rsidR="00A20444" w:rsidRPr="007B0500">
              <w:rPr>
                <w:sz w:val="14"/>
              </w:rPr>
              <w:t>’</w:t>
            </w:r>
            <w:r w:rsidRPr="007B0500">
              <w:rPr>
                <w:sz w:val="14"/>
              </w:rPr>
              <w:t>un registre international automatisé (système de Lisbonne)</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accru d</w:t>
            </w:r>
            <w:r w:rsidR="00A20444" w:rsidRPr="007B0500">
              <w:rPr>
                <w:sz w:val="14"/>
              </w:rPr>
              <w:t>’</w:t>
            </w:r>
            <w:r w:rsidRPr="007B0500">
              <w:rPr>
                <w:sz w:val="14"/>
              </w:rPr>
              <w:t>administrations compétentes utilisant des moyens électroniques de communication en vertu des procédures de Lisbonne</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Adoption de dispositions rationalisant ou modernisant le cadre juridique du système de Lisbonne</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szCs w:val="22"/>
              </w:rPr>
            </w:pPr>
            <w:r w:rsidRPr="005C7CCE">
              <w:rPr>
                <w:color w:val="E36C0A"/>
              </w:rPr>
              <w:sym w:font="Wingdings" w:char="F06C"/>
            </w:r>
          </w:p>
        </w:tc>
      </w:tr>
      <w:tr w:rsidR="00BB3F3E" w:rsidRPr="005C7CCE" w:rsidTr="00AA3983">
        <w:trPr>
          <w:cantSplit/>
        </w:trPr>
        <w:tc>
          <w:tcPr>
            <w:tcW w:w="3224" w:type="dxa"/>
            <w:vMerge w:val="restart"/>
            <w:shd w:val="clear" w:color="auto" w:fill="auto"/>
            <w:tcMar>
              <w:top w:w="113" w:type="dxa"/>
            </w:tcMar>
          </w:tcPr>
          <w:p w:rsidR="00D42474" w:rsidRDefault="001F665F" w:rsidP="001A5BF9">
            <w:pPr>
              <w:spacing w:before="60"/>
              <w:rPr>
                <w:rFonts w:cs="Arial"/>
                <w:sz w:val="14"/>
                <w:szCs w:val="14"/>
              </w:rPr>
            </w:pPr>
            <w:r w:rsidRPr="007B0500">
              <w:rPr>
                <w:rFonts w:cs="Arial"/>
                <w:sz w:val="14"/>
                <w:szCs w:val="14"/>
              </w:rPr>
              <w:t>Connaissance</w:t>
            </w:r>
            <w:r w:rsidR="00A4797D" w:rsidRPr="007B0500">
              <w:rPr>
                <w:rFonts w:cs="Arial"/>
                <w:sz w:val="14"/>
                <w:szCs w:val="14"/>
              </w:rPr>
              <w:t xml:space="preserve"> accrue </w:t>
            </w:r>
            <w:r w:rsidRPr="007B0500">
              <w:rPr>
                <w:rFonts w:cs="Arial"/>
                <w:sz w:val="14"/>
                <w:szCs w:val="14"/>
              </w:rPr>
              <w:t>des</w:t>
            </w:r>
            <w:r w:rsidR="00A4797D" w:rsidRPr="007B0500">
              <w:rPr>
                <w:rFonts w:cs="Arial"/>
                <w:sz w:val="14"/>
                <w:szCs w:val="14"/>
              </w:rPr>
              <w:t xml:space="preserve"> systèmes de Madrid et de Lisbonne</w:t>
            </w:r>
          </w:p>
          <w:p w:rsidR="00BB3F3E" w:rsidRPr="007B0500" w:rsidRDefault="00BB3F3E" w:rsidP="001A5BF9">
            <w:pPr>
              <w:spacing w:before="6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Pourcentage de participants des manifestations associées au système de Madrid qui sont satisfaits et signalent une meilleure compréhension du système à la suite d</w:t>
            </w:r>
            <w:r w:rsidR="00A20444" w:rsidRPr="007B0500">
              <w:rPr>
                <w:sz w:val="14"/>
              </w:rPr>
              <w:t>’</w:t>
            </w:r>
            <w:r w:rsidRPr="007B0500">
              <w:rPr>
                <w:sz w:val="14"/>
              </w:rPr>
              <w:t>une manifestation de formation</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Pourcentage de participants des manifestations associées au système de Lisbonne qui sont satisfaits et qui signalent une meilleure connaissance du système à la suite de séminaires ou d</w:t>
            </w:r>
            <w:r w:rsidR="00A20444" w:rsidRPr="007B0500">
              <w:rPr>
                <w:sz w:val="14"/>
              </w:rPr>
              <w:t>’</w:t>
            </w:r>
            <w:r w:rsidRPr="007B0500">
              <w:rPr>
                <w:sz w:val="14"/>
              </w:rPr>
              <w:t>ateliers</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6</w:t>
            </w:r>
          </w:p>
        </w:tc>
        <w:tc>
          <w:tcPr>
            <w:tcW w:w="134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rPr>
          <w:cantSplit/>
        </w:trPr>
        <w:tc>
          <w:tcPr>
            <w:tcW w:w="3224" w:type="dxa"/>
            <w:vMerge w:val="restart"/>
            <w:shd w:val="clear" w:color="auto" w:fill="auto"/>
            <w:tcMar>
              <w:top w:w="113" w:type="dxa"/>
            </w:tcMar>
          </w:tcPr>
          <w:p w:rsidR="00BB3F3E" w:rsidRPr="007B0500" w:rsidRDefault="00BB3F3E" w:rsidP="001A5BF9">
            <w:pPr>
              <w:spacing w:before="60"/>
              <w:rPr>
                <w:rFonts w:cs="Arial"/>
                <w:sz w:val="14"/>
                <w:szCs w:val="14"/>
              </w:rPr>
            </w:pPr>
            <w:r w:rsidRPr="007B0500">
              <w:rPr>
                <w:sz w:val="14"/>
              </w:rPr>
              <w:t>Connaissance accrue du système de La</w:t>
            </w:r>
            <w:r w:rsidR="0010442A" w:rsidRPr="007B0500">
              <w:rPr>
                <w:sz w:val="14"/>
              </w:rPr>
              <w:t> </w:t>
            </w:r>
            <w:r w:rsidRPr="007B0500">
              <w:rPr>
                <w:sz w:val="14"/>
              </w:rPr>
              <w:t>Haye</w:t>
            </w: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de déposants d</w:t>
            </w:r>
            <w:r w:rsidR="00A20444" w:rsidRPr="007B0500">
              <w:rPr>
                <w:sz w:val="14"/>
              </w:rPr>
              <w:t>’</w:t>
            </w:r>
            <w:r w:rsidRPr="007B0500">
              <w:rPr>
                <w:sz w:val="14"/>
              </w:rPr>
              <w:t>une première demande</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31</w:t>
            </w:r>
          </w:p>
        </w:tc>
        <w:tc>
          <w:tcPr>
            <w:tcW w:w="1342" w:type="dxa"/>
          </w:tcPr>
          <w:p w:rsidR="00BB3F3E" w:rsidRPr="005C7CCE" w:rsidRDefault="00BB3F3E" w:rsidP="001A5BF9">
            <w:pPr>
              <w:spacing w:before="20"/>
              <w:jc w:val="center"/>
              <w:rPr>
                <w:szCs w:val="22"/>
              </w:rPr>
            </w:pPr>
            <w:r w:rsidRPr="005C7CCE">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de langues dans lesquelles l</w:t>
            </w:r>
            <w:r w:rsidR="00A20444" w:rsidRPr="007B0500">
              <w:rPr>
                <w:sz w:val="14"/>
              </w:rPr>
              <w:t>’</w:t>
            </w:r>
            <w:r w:rsidRPr="007B0500">
              <w:rPr>
                <w:sz w:val="14"/>
              </w:rPr>
              <w:t>information générale est disponible</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31</w:t>
            </w:r>
          </w:p>
        </w:tc>
        <w:tc>
          <w:tcPr>
            <w:tcW w:w="1342" w:type="dxa"/>
          </w:tcPr>
          <w:p w:rsidR="00BB3F3E" w:rsidRPr="005C7CCE" w:rsidRDefault="00BB3F3E" w:rsidP="001A5BF9">
            <w:pPr>
              <w:jc w:val="center"/>
              <w:rPr>
                <w:szCs w:val="22"/>
              </w:rPr>
            </w:pPr>
            <w:r w:rsidRPr="005C7CCE">
              <w:rPr>
                <w:color w:val="008000"/>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w:t>
            </w:r>
            <w:r w:rsidR="00A20444" w:rsidRPr="007B0500">
              <w:rPr>
                <w:sz w:val="14"/>
              </w:rPr>
              <w:t>’</w:t>
            </w:r>
            <w:r w:rsidRPr="007B0500">
              <w:rPr>
                <w:sz w:val="14"/>
              </w:rPr>
              <w:t>offices nationaux ou régionaux fournissant des informations appropriées sur le système de La</w:t>
            </w:r>
            <w:r w:rsidR="00AA3983" w:rsidRPr="007B0500">
              <w:rPr>
                <w:sz w:val="14"/>
              </w:rPr>
              <w:t> </w:t>
            </w:r>
            <w:r w:rsidRPr="007B0500">
              <w:rPr>
                <w:sz w:val="14"/>
              </w:rPr>
              <w:t>Haye</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31</w:t>
            </w:r>
          </w:p>
        </w:tc>
        <w:tc>
          <w:tcPr>
            <w:tcW w:w="1342" w:type="dxa"/>
          </w:tcPr>
          <w:p w:rsidR="00BB3F3E" w:rsidRPr="005C7CCE" w:rsidRDefault="00BB3F3E" w:rsidP="001A5BF9">
            <w:pPr>
              <w:jc w:val="center"/>
              <w:rPr>
                <w:szCs w:val="22"/>
              </w:rPr>
            </w:pPr>
            <w:r w:rsidRPr="005C7CCE">
              <w:rPr>
                <w:color w:val="E36C0A"/>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keepNext/>
              <w:keepLines/>
              <w:spacing w:before="60"/>
              <w:rPr>
                <w:rFonts w:cs="Arial"/>
                <w:sz w:val="14"/>
                <w:szCs w:val="14"/>
              </w:rPr>
            </w:pPr>
            <w:r w:rsidRPr="007B0500">
              <w:rPr>
                <w:sz w:val="14"/>
              </w:rPr>
              <w:t>Utilisation plus fréquente et améliorée du système de La</w:t>
            </w:r>
            <w:r w:rsidR="0010442A" w:rsidRPr="007B0500">
              <w:rPr>
                <w:sz w:val="14"/>
              </w:rPr>
              <w:t> </w:t>
            </w:r>
            <w:r w:rsidRPr="007B0500">
              <w:rPr>
                <w:sz w:val="14"/>
              </w:rPr>
              <w:t>Haye</w:t>
            </w:r>
          </w:p>
        </w:tc>
        <w:tc>
          <w:tcPr>
            <w:tcW w:w="3533" w:type="dxa"/>
            <w:shd w:val="clear" w:color="auto" w:fill="auto"/>
            <w:tcMar>
              <w:top w:w="113" w:type="dxa"/>
            </w:tcMar>
          </w:tcPr>
          <w:p w:rsidR="00BB3F3E" w:rsidRPr="007B0500" w:rsidRDefault="00BB3F3E" w:rsidP="001A5BF9">
            <w:pPr>
              <w:keepNext/>
              <w:keepLines/>
              <w:spacing w:before="60"/>
              <w:rPr>
                <w:rFonts w:cs="Arial"/>
                <w:sz w:val="14"/>
                <w:szCs w:val="14"/>
              </w:rPr>
            </w:pPr>
            <w:r w:rsidRPr="007B0500">
              <w:rPr>
                <w:sz w:val="14"/>
              </w:rPr>
              <w:t>Nombre d</w:t>
            </w:r>
            <w:r w:rsidR="00A20444" w:rsidRPr="007B0500">
              <w:rPr>
                <w:sz w:val="14"/>
              </w:rPr>
              <w:t>’</w:t>
            </w:r>
            <w:r w:rsidRPr="007B0500">
              <w:rPr>
                <w:sz w:val="14"/>
              </w:rPr>
              <w:t>enregistrements, de dessins et modèles industriels figurant dans les enregistrements, les renouvellements et d</w:t>
            </w:r>
            <w:r w:rsidR="00A20444" w:rsidRPr="007B0500">
              <w:rPr>
                <w:sz w:val="14"/>
              </w:rPr>
              <w:t>’</w:t>
            </w:r>
            <w:r w:rsidRPr="007B0500">
              <w:rPr>
                <w:sz w:val="14"/>
              </w:rPr>
              <w:t>autres inscriptions</w:t>
            </w:r>
          </w:p>
        </w:tc>
        <w:tc>
          <w:tcPr>
            <w:tcW w:w="1267" w:type="dxa"/>
            <w:shd w:val="clear" w:color="auto" w:fill="auto"/>
            <w:tcMar>
              <w:top w:w="113" w:type="dxa"/>
            </w:tcMar>
          </w:tcPr>
          <w:p w:rsidR="00BB3F3E" w:rsidRPr="007B0500" w:rsidRDefault="00BB3F3E" w:rsidP="001A5BF9">
            <w:pPr>
              <w:keepNext/>
              <w:keepLines/>
              <w:spacing w:before="80"/>
              <w:jc w:val="center"/>
              <w:rPr>
                <w:rFonts w:cs="Arial"/>
                <w:sz w:val="14"/>
                <w:szCs w:val="14"/>
              </w:rPr>
            </w:pPr>
            <w:r w:rsidRPr="007B0500">
              <w:rPr>
                <w:sz w:val="14"/>
              </w:rPr>
              <w:t>Programme 31</w:t>
            </w:r>
          </w:p>
        </w:tc>
        <w:tc>
          <w:tcPr>
            <w:tcW w:w="1342" w:type="dxa"/>
          </w:tcPr>
          <w:p w:rsidR="00BB3F3E" w:rsidRPr="005C7CCE" w:rsidRDefault="00BB3F3E" w:rsidP="001A5BF9">
            <w:pPr>
              <w:keepNext/>
              <w:keepLines/>
              <w:spacing w:before="40"/>
              <w:jc w:val="center"/>
              <w:rPr>
                <w:szCs w:val="22"/>
              </w:rPr>
            </w:pPr>
            <w:r w:rsidRPr="005C7CCE">
              <w:rPr>
                <w:color w:val="FF0000"/>
              </w:rPr>
              <w:sym w:font="Wingdings" w:char="F06C"/>
            </w:r>
            <w:r w:rsidRPr="005C7CCE">
              <w:rPr>
                <w:color w:val="FF0000"/>
              </w:rPr>
              <w:sym w:font="Wingdings" w:char="F06C"/>
            </w:r>
            <w:r w:rsidRPr="005C7CCE">
              <w:rPr>
                <w:color w:val="008000"/>
              </w:rPr>
              <w:sym w:font="Wingdings" w:char="F06C"/>
            </w:r>
            <w:r w:rsidRPr="005C7CCE">
              <w:rPr>
                <w:color w:val="FF0000"/>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de demandes présentées par des pays en développement et</w:t>
            </w:r>
            <w:r w:rsidR="00A20444" w:rsidRPr="007B0500">
              <w:rPr>
                <w:sz w:val="14"/>
              </w:rPr>
              <w:t xml:space="preserve"> des PMA</w:t>
            </w:r>
            <w:r w:rsidRPr="007B0500">
              <w:rPr>
                <w:sz w:val="14"/>
              </w:rPr>
              <w:t xml:space="preserve"> et de désignations de ces pays</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31</w:t>
            </w:r>
          </w:p>
        </w:tc>
        <w:tc>
          <w:tcPr>
            <w:tcW w:w="1342" w:type="dxa"/>
          </w:tcPr>
          <w:p w:rsidR="00BB3F3E" w:rsidRPr="005C7CCE" w:rsidRDefault="00BB3F3E" w:rsidP="001A5BF9">
            <w:pPr>
              <w:jc w:val="center"/>
              <w:rPr>
                <w:szCs w:val="22"/>
              </w:rPr>
            </w:pPr>
            <w:r w:rsidRPr="005C7CCE">
              <w:rPr>
                <w:color w:val="FF0000"/>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Pourcentage de demandes irrégulières</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31</w:t>
            </w:r>
          </w:p>
        </w:tc>
        <w:tc>
          <w:tcPr>
            <w:tcW w:w="1342" w:type="dxa"/>
          </w:tcPr>
          <w:p w:rsidR="00BB3F3E" w:rsidRPr="005C7CCE" w:rsidRDefault="00BB3F3E" w:rsidP="001A5BF9">
            <w:pPr>
              <w:jc w:val="center"/>
              <w:rPr>
                <w:szCs w:val="22"/>
              </w:rPr>
            </w:pPr>
            <w:r w:rsidRPr="005C7CCE">
              <w:rPr>
                <w:color w:val="FF0000"/>
              </w:rPr>
              <w:sym w:font="Wingdings" w:char="F06C"/>
            </w:r>
          </w:p>
        </w:tc>
      </w:tr>
      <w:tr w:rsidR="00BB3F3E" w:rsidRPr="005C7CCE" w:rsidTr="00AA3983">
        <w:trPr>
          <w:cantSplit/>
        </w:trPr>
        <w:tc>
          <w:tcPr>
            <w:tcW w:w="3224" w:type="dxa"/>
            <w:vMerge w:val="restart"/>
            <w:shd w:val="clear" w:color="auto" w:fill="auto"/>
            <w:tcMar>
              <w:top w:w="113" w:type="dxa"/>
            </w:tcMar>
          </w:tcPr>
          <w:p w:rsidR="00BB3F3E" w:rsidRPr="007B0500" w:rsidRDefault="00BB3F3E" w:rsidP="001A5BF9">
            <w:pPr>
              <w:spacing w:before="60"/>
              <w:rPr>
                <w:rFonts w:cs="Arial"/>
                <w:sz w:val="14"/>
                <w:szCs w:val="14"/>
              </w:rPr>
            </w:pPr>
            <w:r w:rsidRPr="007B0500">
              <w:rPr>
                <w:sz w:val="14"/>
              </w:rPr>
              <w:t>Meilleure administration du système de La</w:t>
            </w:r>
            <w:r w:rsidR="0010442A" w:rsidRPr="007B0500">
              <w:rPr>
                <w:sz w:val="14"/>
              </w:rPr>
              <w:t> </w:t>
            </w:r>
            <w:r w:rsidRPr="007B0500">
              <w:rPr>
                <w:sz w:val="14"/>
              </w:rPr>
              <w:t>Haye</w:t>
            </w: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Prédominance de l</w:t>
            </w:r>
            <w:r w:rsidR="00A20444" w:rsidRPr="007B0500">
              <w:rPr>
                <w:sz w:val="14"/>
              </w:rPr>
              <w:t>’</w:t>
            </w:r>
            <w:r w:rsidRPr="007B0500">
              <w:rPr>
                <w:sz w:val="14"/>
              </w:rPr>
              <w:t>Acte de Genève dans l</w:t>
            </w:r>
            <w:r w:rsidR="00A20444" w:rsidRPr="007B0500">
              <w:rPr>
                <w:sz w:val="14"/>
              </w:rPr>
              <w:t>’</w:t>
            </w:r>
            <w:r w:rsidRPr="007B0500">
              <w:rPr>
                <w:sz w:val="14"/>
              </w:rPr>
              <w:t>ensemble du système</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31</w:t>
            </w:r>
          </w:p>
        </w:tc>
        <w:tc>
          <w:tcPr>
            <w:tcW w:w="1342" w:type="dxa"/>
          </w:tcPr>
          <w:p w:rsidR="00BB3F3E" w:rsidRPr="005C7CCE" w:rsidRDefault="00BB3F3E" w:rsidP="001A5BF9">
            <w:pPr>
              <w:jc w:val="center"/>
              <w:rPr>
                <w:szCs w:val="22"/>
              </w:rPr>
            </w:pPr>
            <w:r w:rsidRPr="005C7CCE">
              <w:rPr>
                <w:color w:val="E36C0A"/>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Temps de traitement d</w:t>
            </w:r>
            <w:r w:rsidR="00A20444" w:rsidRPr="007B0500">
              <w:rPr>
                <w:sz w:val="14"/>
              </w:rPr>
              <w:t>’</w:t>
            </w:r>
            <w:r w:rsidRPr="007B0500">
              <w:rPr>
                <w:sz w:val="14"/>
              </w:rPr>
              <w:t>une demande régulière non différée, jusqu</w:t>
            </w:r>
            <w:r w:rsidR="00A20444" w:rsidRPr="007B0500">
              <w:rPr>
                <w:sz w:val="14"/>
              </w:rPr>
              <w:t>’</w:t>
            </w:r>
            <w:r w:rsidRPr="007B0500">
              <w:rPr>
                <w:sz w:val="14"/>
              </w:rPr>
              <w:t xml:space="preserve">à sa publication </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31</w:t>
            </w:r>
          </w:p>
        </w:tc>
        <w:tc>
          <w:tcPr>
            <w:tcW w:w="134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de procédures entièrement automatisées</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31</w:t>
            </w:r>
          </w:p>
        </w:tc>
        <w:tc>
          <w:tcPr>
            <w:tcW w:w="134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Pourcentage de demandes déposées au moyen d</w:t>
            </w:r>
            <w:r w:rsidR="00A20444" w:rsidRPr="007B0500">
              <w:rPr>
                <w:sz w:val="14"/>
              </w:rPr>
              <w:t>’</w:t>
            </w:r>
            <w:r w:rsidRPr="007B0500">
              <w:rPr>
                <w:sz w:val="14"/>
              </w:rPr>
              <w:t>interfaces électroniques</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31</w:t>
            </w:r>
          </w:p>
        </w:tc>
        <w:tc>
          <w:tcPr>
            <w:tcW w:w="134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rPr>
          <w:cantSplit/>
        </w:trPr>
        <w:tc>
          <w:tcPr>
            <w:tcW w:w="3224" w:type="dxa"/>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Pourcentage d</w:t>
            </w:r>
            <w:r w:rsidR="00A20444" w:rsidRPr="007B0500">
              <w:rPr>
                <w:sz w:val="14"/>
              </w:rPr>
              <w:t>’</w:t>
            </w:r>
            <w:r w:rsidRPr="007B0500">
              <w:rPr>
                <w:sz w:val="14"/>
              </w:rPr>
              <w:t xml:space="preserve">utilisateurs satisfaits des services fournis par le Bureau international </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31</w:t>
            </w:r>
          </w:p>
        </w:tc>
        <w:tc>
          <w:tcPr>
            <w:tcW w:w="1342" w:type="dxa"/>
          </w:tcPr>
          <w:p w:rsidR="00BB3F3E" w:rsidRPr="005C7CCE" w:rsidRDefault="00BB3F3E" w:rsidP="001A5BF9">
            <w:pPr>
              <w:jc w:val="center"/>
              <w:rPr>
                <w:szCs w:val="22"/>
              </w:rPr>
            </w:pPr>
            <w:r w:rsidRPr="005C7CCE">
              <w:rPr>
                <w:color w:val="A6A6A6"/>
              </w:rPr>
              <w:sym w:font="Wingdings" w:char="F06C"/>
            </w:r>
          </w:p>
        </w:tc>
      </w:tr>
      <w:tr w:rsidR="00BB3F3E" w:rsidRPr="005C7CCE" w:rsidTr="00AA3983">
        <w:trPr>
          <w:cantSplit/>
        </w:trPr>
        <w:tc>
          <w:tcPr>
            <w:tcW w:w="3224" w:type="dxa"/>
            <w:vMerge w:val="restart"/>
            <w:shd w:val="clear" w:color="auto" w:fill="auto"/>
            <w:tcMar>
              <w:top w:w="113" w:type="dxa"/>
            </w:tcMar>
          </w:tcPr>
          <w:p w:rsidR="00BB3F3E" w:rsidRPr="007B0500" w:rsidRDefault="00BB3F3E" w:rsidP="001A5BF9">
            <w:pPr>
              <w:spacing w:before="60"/>
              <w:rPr>
                <w:rFonts w:cs="Arial"/>
                <w:sz w:val="14"/>
                <w:szCs w:val="14"/>
              </w:rPr>
            </w:pPr>
            <w:r w:rsidRPr="007B0500">
              <w:rPr>
                <w:sz w:val="14"/>
              </w:rPr>
              <w:t>De plus en plus de litiges internationaux ou nationaux de propriété intellectuelle sont évités ou réglés par la médiation, l</w:t>
            </w:r>
            <w:r w:rsidR="00A20444" w:rsidRPr="007B0500">
              <w:rPr>
                <w:sz w:val="14"/>
              </w:rPr>
              <w:t>’</w:t>
            </w:r>
            <w:r w:rsidRPr="007B0500">
              <w:rPr>
                <w:sz w:val="14"/>
              </w:rPr>
              <w:t>arbitrage et d</w:t>
            </w:r>
            <w:r w:rsidR="00A20444" w:rsidRPr="007B0500">
              <w:rPr>
                <w:sz w:val="14"/>
              </w:rPr>
              <w:t>’</w:t>
            </w:r>
            <w:r w:rsidRPr="007B0500">
              <w:rPr>
                <w:sz w:val="14"/>
              </w:rPr>
              <w:t>autres modes extrajudiciaires de règlement des litiges</w:t>
            </w: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Prise en considération accrue de l</w:t>
            </w:r>
            <w:r w:rsidR="00A20444" w:rsidRPr="007B0500">
              <w:rPr>
                <w:sz w:val="14"/>
              </w:rPr>
              <w:t>’</w:t>
            </w:r>
            <w:r w:rsidRPr="007B0500">
              <w:rPr>
                <w:sz w:val="14"/>
              </w:rPr>
              <w:t>utilisation de services de règlement extrajudiciaire des litiges dans les transactions de propriété intellectuelle, notamment par le recours aux procédures de l</w:t>
            </w:r>
            <w:r w:rsidR="00A20444" w:rsidRPr="007B0500">
              <w:rPr>
                <w:sz w:val="14"/>
              </w:rPr>
              <w:t>’</w:t>
            </w:r>
            <w:r w:rsidRPr="007B0500">
              <w:rPr>
                <w:sz w:val="14"/>
              </w:rPr>
              <w:t>OMPI</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7</w:t>
            </w:r>
          </w:p>
        </w:tc>
        <w:tc>
          <w:tcPr>
            <w:tcW w:w="1342" w:type="dxa"/>
          </w:tcPr>
          <w:p w:rsidR="00BB3F3E" w:rsidRPr="005C7CCE" w:rsidRDefault="00BB3F3E" w:rsidP="001A5BF9">
            <w:pPr>
              <w:spacing w:before="40"/>
              <w:jc w:val="center"/>
              <w:rPr>
                <w:szCs w:val="22"/>
              </w:rPr>
            </w:pPr>
            <w:r w:rsidRPr="005C7CCE">
              <w:rPr>
                <w:color w:val="008000"/>
              </w:rPr>
              <w:sym w:font="Wingdings" w:char="F06C"/>
            </w:r>
            <w:r w:rsidRPr="005C7CCE">
              <w:rPr>
                <w:color w:val="008000"/>
              </w:rPr>
              <w:sym w:font="Wingdings" w:char="F06C"/>
            </w:r>
            <w:r w:rsidRPr="005C7CCE">
              <w:rPr>
                <w:color w:val="008000"/>
              </w:rPr>
              <w:sym w:font="Wingdings" w:char="F06C"/>
            </w:r>
            <w:r w:rsidRPr="005C7CCE">
              <w:rPr>
                <w:color w:val="FF0000"/>
              </w:rPr>
              <w:sym w:font="Wingdings" w:char="F06C"/>
            </w:r>
            <w:r w:rsidRPr="005C7CCE">
              <w:rPr>
                <w:color w:val="E36C0A"/>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Politiques de règlement extrajudiciaire des litiges à l</w:t>
            </w:r>
            <w:r w:rsidR="00A20444" w:rsidRPr="007B0500">
              <w:rPr>
                <w:sz w:val="14"/>
              </w:rPr>
              <w:t>’</w:t>
            </w:r>
            <w:r w:rsidRPr="007B0500">
              <w:rPr>
                <w:sz w:val="14"/>
              </w:rPr>
              <w:t>élaboration et la mise en œuvre desquelles le Centre a contribué</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7</w:t>
            </w:r>
          </w:p>
        </w:tc>
        <w:tc>
          <w:tcPr>
            <w:tcW w:w="134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rPr>
          <w:cantSplit/>
        </w:trPr>
        <w:tc>
          <w:tcPr>
            <w:tcW w:w="3224" w:type="dxa"/>
            <w:vMerge w:val="restart"/>
            <w:shd w:val="clear" w:color="auto" w:fill="auto"/>
            <w:tcMar>
              <w:top w:w="113" w:type="dxa"/>
            </w:tcMar>
          </w:tcPr>
          <w:p w:rsidR="00BB3F3E" w:rsidRPr="007B0500" w:rsidRDefault="00BB3F3E" w:rsidP="001A5BF9">
            <w:pPr>
              <w:spacing w:before="60"/>
              <w:rPr>
                <w:rFonts w:cs="Arial"/>
                <w:sz w:val="14"/>
                <w:szCs w:val="14"/>
              </w:rPr>
            </w:pPr>
            <w:r w:rsidRPr="007B0500">
              <w:rPr>
                <w:sz w:val="14"/>
              </w:rPr>
              <w:t>Protection efficace de la propriété intellectuelle dans les gTLD et les ccTLD</w:t>
            </w: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 xml:space="preserve">Nombre de litiges relatifs à des gTLD </w:t>
            </w:r>
            <w:r w:rsidR="00667FB3" w:rsidRPr="007B0500">
              <w:rPr>
                <w:sz w:val="14"/>
              </w:rPr>
              <w:t>administrés selon les principes </w:t>
            </w:r>
            <w:r w:rsidRPr="007B0500">
              <w:rPr>
                <w:sz w:val="14"/>
              </w:rPr>
              <w:t>UDRP</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7</w:t>
            </w:r>
          </w:p>
        </w:tc>
        <w:tc>
          <w:tcPr>
            <w:tcW w:w="134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de litiges relatifs aux c</w:t>
            </w:r>
            <w:r w:rsidR="00667FB3" w:rsidRPr="007B0500">
              <w:rPr>
                <w:sz w:val="14"/>
              </w:rPr>
              <w:t>cTLD réglés selon les principes </w:t>
            </w:r>
            <w:r w:rsidRPr="007B0500">
              <w:rPr>
                <w:sz w:val="14"/>
              </w:rPr>
              <w:t>UDRP</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7</w:t>
            </w:r>
          </w:p>
        </w:tc>
        <w:tc>
          <w:tcPr>
            <w:tcW w:w="134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Politiques de règlement des litiges dans le système des noms de domaine à l</w:t>
            </w:r>
            <w:r w:rsidR="00A20444" w:rsidRPr="007B0500">
              <w:rPr>
                <w:sz w:val="14"/>
              </w:rPr>
              <w:t>’</w:t>
            </w:r>
            <w:r w:rsidRPr="007B0500">
              <w:rPr>
                <w:sz w:val="14"/>
              </w:rPr>
              <w:t>élaboration et à la mise en œuvre desquelles le Centre a contribué</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7</w:t>
            </w:r>
          </w:p>
        </w:tc>
        <w:tc>
          <w:tcPr>
            <w:tcW w:w="134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rPr>
          <w:cantSplit/>
        </w:trPr>
        <w:tc>
          <w:tcPr>
            <w:tcW w:w="3224" w:type="dxa"/>
            <w:vMerge/>
            <w:shd w:val="clear" w:color="auto" w:fill="auto"/>
            <w:tcMar>
              <w:top w:w="113" w:type="dxa"/>
            </w:tcMar>
          </w:tcPr>
          <w:p w:rsidR="00BB3F3E" w:rsidRPr="007B0500" w:rsidRDefault="00BB3F3E" w:rsidP="001A5BF9">
            <w:pPr>
              <w:spacing w:before="80"/>
              <w:ind w:firstLineChars="100" w:firstLine="140"/>
              <w:rPr>
                <w:rFonts w:cs="Arial"/>
                <w:sz w:val="14"/>
                <w:szCs w:val="14"/>
              </w:rPr>
            </w:pPr>
          </w:p>
        </w:tc>
        <w:tc>
          <w:tcPr>
            <w:tcW w:w="3533" w:type="dxa"/>
            <w:shd w:val="clear" w:color="auto" w:fill="auto"/>
            <w:tcMar>
              <w:top w:w="113" w:type="dxa"/>
            </w:tcMar>
          </w:tcPr>
          <w:p w:rsidR="00BB3F3E" w:rsidRPr="007B0500" w:rsidRDefault="00BB3F3E" w:rsidP="001A5BF9">
            <w:pPr>
              <w:spacing w:before="60"/>
              <w:rPr>
                <w:rFonts w:cs="Arial"/>
                <w:sz w:val="14"/>
                <w:szCs w:val="14"/>
              </w:rPr>
            </w:pPr>
            <w:r w:rsidRPr="007B0500">
              <w:rPr>
                <w:sz w:val="14"/>
              </w:rPr>
              <w:t>Nombre d</w:t>
            </w:r>
            <w:r w:rsidR="00A20444" w:rsidRPr="007B0500">
              <w:rPr>
                <w:sz w:val="14"/>
              </w:rPr>
              <w:t>’</w:t>
            </w:r>
            <w:r w:rsidRPr="007B0500">
              <w:rPr>
                <w:sz w:val="14"/>
              </w:rPr>
              <w:t>administrateurs de ccTLD dotés de mécanismes de protection de la propriété intellectuelle conçus ou administrés avec l</w:t>
            </w:r>
            <w:r w:rsidR="00A20444" w:rsidRPr="007B0500">
              <w:rPr>
                <w:sz w:val="14"/>
              </w:rPr>
              <w:t>’</w:t>
            </w:r>
            <w:r w:rsidRPr="007B0500">
              <w:rPr>
                <w:sz w:val="14"/>
              </w:rPr>
              <w:t>aide de l</w:t>
            </w:r>
            <w:r w:rsidR="00A20444" w:rsidRPr="007B0500">
              <w:rPr>
                <w:sz w:val="14"/>
              </w:rPr>
              <w:t>’</w:t>
            </w:r>
            <w:r w:rsidRPr="007B0500">
              <w:rPr>
                <w:sz w:val="14"/>
              </w:rPr>
              <w:t>OMPI et conformes aux normes internationales</w:t>
            </w:r>
          </w:p>
        </w:tc>
        <w:tc>
          <w:tcPr>
            <w:tcW w:w="1267" w:type="dxa"/>
            <w:shd w:val="clear" w:color="auto" w:fill="auto"/>
            <w:tcMar>
              <w:top w:w="113" w:type="dxa"/>
            </w:tcMar>
          </w:tcPr>
          <w:p w:rsidR="00BB3F3E" w:rsidRPr="007B0500" w:rsidRDefault="00BB3F3E" w:rsidP="001A5BF9">
            <w:pPr>
              <w:spacing w:before="80"/>
              <w:jc w:val="center"/>
              <w:rPr>
                <w:rFonts w:cs="Arial"/>
                <w:sz w:val="14"/>
                <w:szCs w:val="14"/>
              </w:rPr>
            </w:pPr>
            <w:r w:rsidRPr="007B0500">
              <w:rPr>
                <w:sz w:val="14"/>
              </w:rPr>
              <w:t>Programme 7</w:t>
            </w:r>
          </w:p>
        </w:tc>
        <w:tc>
          <w:tcPr>
            <w:tcW w:w="1342" w:type="dxa"/>
          </w:tcPr>
          <w:p w:rsidR="00BB3F3E" w:rsidRPr="005C7CCE" w:rsidRDefault="00BB3F3E" w:rsidP="001A5BF9">
            <w:pPr>
              <w:jc w:val="center"/>
              <w:rPr>
                <w:rFonts w:cs="Arial"/>
                <w:color w:val="008000"/>
                <w:szCs w:val="22"/>
              </w:rPr>
            </w:pPr>
            <w:r w:rsidRPr="005C7CCE">
              <w:rPr>
                <w:color w:val="008000"/>
              </w:rPr>
              <w:sym w:font="Wingdings" w:char="F06C"/>
            </w:r>
          </w:p>
        </w:tc>
      </w:tr>
    </w:tbl>
    <w:p w:rsidR="00D42474" w:rsidRDefault="00D42474" w:rsidP="001A5BF9">
      <w:pPr>
        <w:jc w:val="both"/>
      </w:pPr>
    </w:p>
    <w:p w:rsidR="00D42474" w:rsidRDefault="00D42474" w:rsidP="001A5BF9">
      <w:pPr>
        <w:jc w:val="both"/>
      </w:pPr>
    </w:p>
    <w:p w:rsidR="00D42474" w:rsidRDefault="00BB3F3E" w:rsidP="001A5BF9">
      <w:pPr>
        <w:jc w:val="both"/>
      </w:pPr>
      <w:r w:rsidRPr="007B0500">
        <w:t>L</w:t>
      </w:r>
      <w:r w:rsidR="00A20444" w:rsidRPr="007B0500">
        <w:t>’</w:t>
      </w:r>
      <w:r w:rsidRPr="007B0500">
        <w:t>exercice biennal</w:t>
      </w:r>
      <w:r w:rsidR="0010442A" w:rsidRPr="007B0500">
        <w:t> </w:t>
      </w:r>
      <w:r w:rsidRPr="007B0500">
        <w:t>2012</w:t>
      </w:r>
      <w:r w:rsidR="002D6F2A" w:rsidRPr="007B0500">
        <w:noBreakHyphen/>
      </w:r>
      <w:r w:rsidRPr="007B0500">
        <w:t>2013 met en évidence une croissance majeure des systèmes d</w:t>
      </w:r>
      <w:r w:rsidR="00A20444" w:rsidRPr="007B0500">
        <w:t>’</w:t>
      </w:r>
      <w:r w:rsidRPr="007B0500">
        <w:t>enregistrement internationaux en dépit de la fragilité persistante de l</w:t>
      </w:r>
      <w:r w:rsidR="00A20444" w:rsidRPr="007B0500">
        <w:t>’</w:t>
      </w:r>
      <w:r w:rsidRPr="007B0500">
        <w:t>économie mondiale.</w:t>
      </w:r>
      <w:r w:rsidR="004F3E42" w:rsidRPr="007B0500">
        <w:t xml:space="preserve"> </w:t>
      </w:r>
      <w:r w:rsidR="0010442A" w:rsidRPr="007B0500">
        <w:t xml:space="preserve"> </w:t>
      </w:r>
      <w:r w:rsidRPr="007B0500">
        <w:t>L</w:t>
      </w:r>
      <w:r w:rsidR="00A20444" w:rsidRPr="007B0500">
        <w:t>’</w:t>
      </w:r>
      <w:r w:rsidRPr="007B0500">
        <w:t>Organisation a assuré la prestation de services de grande qualité, ce qui s</w:t>
      </w:r>
      <w:r w:rsidR="00A20444" w:rsidRPr="007B0500">
        <w:t>’</w:t>
      </w:r>
      <w:r w:rsidRPr="007B0500">
        <w:t>est traduit par une plus grande satisfaction des clients et a également permis d</w:t>
      </w:r>
      <w:r w:rsidR="00A20444" w:rsidRPr="007B0500">
        <w:t>’</w:t>
      </w:r>
      <w:r w:rsidRPr="007B0500">
        <w:t>augmenter la productivité par le biais de techniques d</w:t>
      </w:r>
      <w:r w:rsidR="00A20444" w:rsidRPr="007B0500">
        <w:t>’</w:t>
      </w:r>
      <w:r w:rsidRPr="007B0500">
        <w:t>information et de communication (TIC) bien conçues.</w:t>
      </w:r>
    </w:p>
    <w:p w:rsidR="00D42474" w:rsidRDefault="00D42474" w:rsidP="001A5BF9">
      <w:pPr>
        <w:jc w:val="both"/>
      </w:pPr>
    </w:p>
    <w:p w:rsidR="00D42474" w:rsidRDefault="00BB3F3E" w:rsidP="001A5BF9">
      <w:pPr>
        <w:shd w:val="clear" w:color="auto" w:fill="FFFFFF"/>
        <w:jc w:val="both"/>
      </w:pPr>
      <w:r w:rsidRPr="007B0500">
        <w:t xml:space="preserve">On observe une solide augmentation des demandes internationales de brevets en vertu du Traité de coopération en matière de brevets (PCT) en 2012, comme en 2013. </w:t>
      </w:r>
      <w:r w:rsidR="0010442A" w:rsidRPr="007B0500">
        <w:t xml:space="preserve"> </w:t>
      </w:r>
      <w:r w:rsidRPr="007B0500">
        <w:t>Pour la première fois, le nombre annuel de demandes internationales de brevets dépasse les 200 000 en 2013, avec 205 300 demandes, soit une augmentation de 5,1</w:t>
      </w:r>
      <w:r w:rsidR="007E442D" w:rsidRPr="007B0500">
        <w:t>%</w:t>
      </w:r>
      <w:r w:rsidRPr="007B0500">
        <w:t xml:space="preserve"> sur 2012 et de 12,5</w:t>
      </w:r>
      <w:r w:rsidR="007E442D" w:rsidRPr="007B0500">
        <w:t>%</w:t>
      </w:r>
      <w:r w:rsidRPr="007B0500">
        <w:t xml:space="preserve"> sur 2011.</w:t>
      </w:r>
      <w:r w:rsidR="0010442A" w:rsidRPr="007B0500">
        <w:t xml:space="preserve"> </w:t>
      </w:r>
      <w:r w:rsidRPr="007B0500">
        <w:t xml:space="preserve"> De plus, on note une augmentation de la part des demandes provenant de pays à revenu faible ou moyen, avec une hausse significative des demandes provenant de la Chine, qui s</w:t>
      </w:r>
      <w:r w:rsidR="00A20444" w:rsidRPr="007B0500">
        <w:t>’</w:t>
      </w:r>
      <w:r w:rsidRPr="007B0500">
        <w:t>est hissée au troisième rang du classement des principaux utilisateurs du PCT en 2013.</w:t>
      </w:r>
    </w:p>
    <w:p w:rsidR="00D42474" w:rsidRDefault="00D42474" w:rsidP="001A5BF9">
      <w:pPr>
        <w:shd w:val="clear" w:color="auto" w:fill="FFFFFF"/>
        <w:jc w:val="both"/>
      </w:pPr>
    </w:p>
    <w:p w:rsidR="00D42474" w:rsidRDefault="00BB3F3E" w:rsidP="001A5BF9">
      <w:pPr>
        <w:shd w:val="clear" w:color="auto" w:fill="FFFFFF"/>
        <w:jc w:val="both"/>
      </w:pPr>
      <w:r w:rsidRPr="007B0500">
        <w:t>En</w:t>
      </w:r>
      <w:r w:rsidR="0010442A" w:rsidRPr="007B0500">
        <w:t> </w:t>
      </w:r>
      <w:r w:rsidRPr="007B0500">
        <w:t>2010, le Groupe de travail</w:t>
      </w:r>
      <w:r w:rsidR="00A20444" w:rsidRPr="007B0500">
        <w:t xml:space="preserve"> du PCT</w:t>
      </w:r>
      <w:r w:rsidRPr="007B0500">
        <w:t xml:space="preserve"> a avalisé les recommandations visant à améliorer</w:t>
      </w:r>
      <w:r w:rsidR="00A20444" w:rsidRPr="007B0500">
        <w:t xml:space="preserve"> le PCT</w:t>
      </w:r>
      <w:r w:rsidRPr="007B0500">
        <w:t xml:space="preserve"> (“feuille d</w:t>
      </w:r>
      <w:r w:rsidR="00106829" w:rsidRPr="007B0500">
        <w:t>e</w:t>
      </w:r>
      <w:r w:rsidRPr="007B0500">
        <w:t xml:space="preserve"> route</w:t>
      </w:r>
      <w:r w:rsidR="00A20444" w:rsidRPr="007B0500">
        <w:t xml:space="preserve"> du PCT</w:t>
      </w:r>
      <w:r w:rsidRPr="007B0500">
        <w:t xml:space="preserve">”). </w:t>
      </w:r>
      <w:r w:rsidR="0010442A" w:rsidRPr="007B0500">
        <w:t xml:space="preserve"> </w:t>
      </w:r>
      <w:r w:rsidRPr="007B0500">
        <w:t>Des progrès majeurs ont été accomplis au cours de l</w:t>
      </w:r>
      <w:r w:rsidR="00A20444" w:rsidRPr="007B0500">
        <w:t>’</w:t>
      </w:r>
      <w:r w:rsidRPr="007B0500">
        <w:t>exercice biennal 2012</w:t>
      </w:r>
      <w:r w:rsidR="002D6F2A" w:rsidRPr="007B0500">
        <w:noBreakHyphen/>
      </w:r>
      <w:r w:rsidRPr="007B0500">
        <w:t>2013 dans les domaines suivants</w:t>
      </w:r>
      <w:r w:rsidR="0010442A" w:rsidRPr="007B0500">
        <w:t> </w:t>
      </w:r>
      <w:r w:rsidRPr="007B0500">
        <w:t>: a)</w:t>
      </w:r>
      <w:r w:rsidR="0010442A" w:rsidRPr="007B0500">
        <w:t> </w:t>
      </w:r>
      <w:r w:rsidRPr="007B0500">
        <w:t>l</w:t>
      </w:r>
      <w:r w:rsidR="00A20444" w:rsidRPr="007B0500">
        <w:t>’</w:t>
      </w:r>
      <w:r w:rsidRPr="007B0500">
        <w:t>ordre du jour</w:t>
      </w:r>
      <w:r w:rsidR="00A20444" w:rsidRPr="007B0500">
        <w:t xml:space="preserve"> du PCT</w:t>
      </w:r>
      <w:r w:rsidRPr="007B0500">
        <w:t xml:space="preserve"> se caractérise par la qualité de ses travaux, qui comprennent des rapports de recherche internationaux et des rédactions de commentaires, ainsi que l</w:t>
      </w:r>
      <w:r w:rsidR="00A20444" w:rsidRPr="007B0500">
        <w:t>’</w:t>
      </w:r>
      <w:r w:rsidRPr="007B0500">
        <w:t>administration du Bureau international et des offices;</w:t>
      </w:r>
      <w:r w:rsidR="004F3E42" w:rsidRPr="007B0500">
        <w:t xml:space="preserve"> </w:t>
      </w:r>
      <w:r w:rsidR="0010442A" w:rsidRPr="007B0500">
        <w:t xml:space="preserve"> </w:t>
      </w:r>
      <w:r w:rsidRPr="007B0500">
        <w:t>b)</w:t>
      </w:r>
      <w:r w:rsidR="0010442A" w:rsidRPr="007B0500">
        <w:t> </w:t>
      </w:r>
      <w:r w:rsidRPr="007B0500">
        <w:t>les parties prenantes au niveau national reconnaissent l</w:t>
      </w:r>
      <w:r w:rsidR="00A20444" w:rsidRPr="007B0500">
        <w:t>’</w:t>
      </w:r>
      <w:r w:rsidRPr="007B0500">
        <w:t>utilité des produits de haute qualité</w:t>
      </w:r>
      <w:r w:rsidR="00A20444" w:rsidRPr="007B0500">
        <w:t xml:space="preserve"> du PCT</w:t>
      </w:r>
      <w:r w:rsidRPr="007B0500">
        <w:t xml:space="preserve"> et la fonction essentielle</w:t>
      </w:r>
      <w:r w:rsidR="00A20444" w:rsidRPr="007B0500">
        <w:t xml:space="preserve"> du PCT</w:t>
      </w:r>
      <w:r w:rsidRPr="007B0500">
        <w:t xml:space="preserve"> dans le fonctionnement du système international de brevets;</w:t>
      </w:r>
      <w:r w:rsidR="004F3E42" w:rsidRPr="007B0500">
        <w:t xml:space="preserve"> </w:t>
      </w:r>
      <w:r w:rsidR="0010442A" w:rsidRPr="007B0500">
        <w:t xml:space="preserve"> </w:t>
      </w:r>
      <w:r w:rsidRPr="007B0500">
        <w:t>c)</w:t>
      </w:r>
      <w:r w:rsidR="0010442A" w:rsidRPr="007B0500">
        <w:t> </w:t>
      </w:r>
      <w:r w:rsidRPr="007B0500">
        <w:t>les parties concernées comprennent mieux le rôle joué par</w:t>
      </w:r>
      <w:r w:rsidR="00A20444" w:rsidRPr="007B0500">
        <w:t xml:space="preserve"> le PCT</w:t>
      </w:r>
      <w:r w:rsidRPr="007B0500">
        <w:t xml:space="preserve"> en matière de diffusion efficace des informations techniques;</w:t>
      </w:r>
      <w:r w:rsidR="004F3E42" w:rsidRPr="007B0500">
        <w:t xml:space="preserve"> </w:t>
      </w:r>
      <w:r w:rsidR="0010442A" w:rsidRPr="007B0500">
        <w:t xml:space="preserve"> </w:t>
      </w:r>
      <w:r w:rsidRPr="007B0500">
        <w:t>et d)</w:t>
      </w:r>
      <w:r w:rsidR="0010442A" w:rsidRPr="007B0500">
        <w:t> </w:t>
      </w:r>
      <w:r w:rsidRPr="007B0500">
        <w:t>il existe une meilleure compréhension des besoins des États contractants relatifs aux dépôts internationaux de haute qualité et aux produits</w:t>
      </w:r>
      <w:r w:rsidR="00A20444" w:rsidRPr="007B0500">
        <w:t xml:space="preserve"> du PCT</w:t>
      </w:r>
      <w:r w:rsidRPr="007B0500">
        <w:t>, de la capacité des États contractants à effectuer leurs propres recherches et examens et des besoins d</w:t>
      </w:r>
      <w:r w:rsidR="00A20444" w:rsidRPr="007B0500">
        <w:t>’</w:t>
      </w:r>
      <w:r w:rsidRPr="007B0500">
        <w:t>une assistance technique continue dans ce domaine pour les pays en développement et les pays les moins avancés.</w:t>
      </w:r>
    </w:p>
    <w:p w:rsidR="00D42474" w:rsidRDefault="00D42474" w:rsidP="001A5BF9">
      <w:pPr>
        <w:jc w:val="both"/>
      </w:pPr>
    </w:p>
    <w:p w:rsidR="00D42474" w:rsidRDefault="00BB3F3E" w:rsidP="001A5BF9">
      <w:pPr>
        <w:jc w:val="both"/>
        <w:rPr>
          <w:bCs/>
          <w:szCs w:val="22"/>
        </w:rPr>
      </w:pPr>
      <w:r w:rsidRPr="005C7CCE">
        <w:t>Le système de Madrid a poursuivi son développement au cours de l</w:t>
      </w:r>
      <w:r w:rsidR="00A20444" w:rsidRPr="005C7CCE">
        <w:t>’</w:t>
      </w:r>
      <w:r w:rsidRPr="005C7CCE">
        <w:t>exercice biennal 2012</w:t>
      </w:r>
      <w:r w:rsidR="002D6F2A" w:rsidRPr="005C7CCE">
        <w:noBreakHyphen/>
      </w:r>
      <w:r w:rsidRPr="005C7CCE">
        <w:t xml:space="preserve">2013 en termes de dépôt de demandes internationales, désignations postérieures et renouvellements. </w:t>
      </w:r>
      <w:r w:rsidR="0010442A" w:rsidRPr="005C7CCE">
        <w:t xml:space="preserve"> </w:t>
      </w:r>
      <w:r w:rsidRPr="005C7CCE">
        <w:t>L</w:t>
      </w:r>
      <w:r w:rsidR="00A20444" w:rsidRPr="005C7CCE">
        <w:t>’</w:t>
      </w:r>
      <w:r w:rsidRPr="005C7CCE">
        <w:t>OMPI a ainsi reçu un total de 44 018 et 46 829 demandes internationales respectivement en 2012 et 2013, ce qui correspond à une augmentation de 4,1</w:t>
      </w:r>
      <w:r w:rsidR="007E442D" w:rsidRPr="005C7CCE">
        <w:t>%</w:t>
      </w:r>
      <w:r w:rsidRPr="005C7CCE">
        <w:t xml:space="preserve"> et 6,4</w:t>
      </w:r>
      <w:r w:rsidR="007E442D" w:rsidRPr="005C7CCE">
        <w:t>%</w:t>
      </w:r>
      <w:r w:rsidRPr="005C7CCE">
        <w:t xml:space="preserve"> par rapport aux années précédentes.</w:t>
      </w:r>
      <w:r w:rsidR="0010442A" w:rsidRPr="005C7CCE">
        <w:t xml:space="preserve"> </w:t>
      </w:r>
      <w:r w:rsidRPr="005C7CCE">
        <w:t xml:space="preserve"> Le Bureau international a enregistré un total de 41 954 et 44 414 demandes en 2012 et 2013 respectivement, soit une augmentation de 5,9</w:t>
      </w:r>
      <w:r w:rsidR="007E442D" w:rsidRPr="005C7CCE">
        <w:t>%</w:t>
      </w:r>
      <w:r w:rsidRPr="005C7CCE">
        <w:t xml:space="preserve"> en 2013 par rapport à 2012.</w:t>
      </w:r>
      <w:r w:rsidR="0010442A" w:rsidRPr="005C7CCE">
        <w:t xml:space="preserve"> </w:t>
      </w:r>
      <w:r w:rsidRPr="005C7CCE">
        <w:t xml:space="preserve"> Le nombre total de demandes reçues par le Bureau international, qu</w:t>
      </w:r>
      <w:r w:rsidR="00A20444" w:rsidRPr="005C7CCE">
        <w:t>’</w:t>
      </w:r>
      <w:r w:rsidRPr="005C7CCE">
        <w:t>il s</w:t>
      </w:r>
      <w:r w:rsidR="00A20444" w:rsidRPr="005C7CCE">
        <w:t>’</w:t>
      </w:r>
      <w:r w:rsidRPr="005C7CCE">
        <w:t>agisse de modifications, décisions des offices des parties contractantes et de renouvellements, a augmenté de 4,5</w:t>
      </w:r>
      <w:r w:rsidR="007E442D" w:rsidRPr="005C7CCE">
        <w:t>%</w:t>
      </w:r>
      <w:r w:rsidRPr="005C7CCE">
        <w:t xml:space="preserve"> en</w:t>
      </w:r>
      <w:r w:rsidR="0010442A" w:rsidRPr="005C7CCE">
        <w:t> </w:t>
      </w:r>
      <w:r w:rsidRPr="005C7CCE">
        <w:t>2013 (456 877 demandes) au regard de</w:t>
      </w:r>
      <w:r w:rsidR="0010442A" w:rsidRPr="005C7CCE">
        <w:t> </w:t>
      </w:r>
      <w:r w:rsidRPr="005C7CCE">
        <w:t xml:space="preserve">2012 (437 082 demandes). </w:t>
      </w:r>
      <w:r w:rsidR="0010442A" w:rsidRPr="005C7CCE">
        <w:t xml:space="preserve"> </w:t>
      </w:r>
      <w:r w:rsidRPr="005C7CCE">
        <w:t>Sur le total des demandes reçues respectivement en 2012 et </w:t>
      </w:r>
      <w:proofErr w:type="gramStart"/>
      <w:r w:rsidR="00BD43F2">
        <w:t>2013 </w:t>
      </w:r>
      <w:r w:rsidRPr="005C7CCE">
        <w:t>,</w:t>
      </w:r>
      <w:proofErr w:type="gramEnd"/>
      <w:r w:rsidRPr="005C7CCE">
        <w:t xml:space="preserve"> 7 et 6,8</w:t>
      </w:r>
      <w:r w:rsidR="007E442D" w:rsidRPr="005C7CCE">
        <w:t>%</w:t>
      </w:r>
      <w:r w:rsidRPr="005C7CCE">
        <w:t xml:space="preserve"> provenaient de pays en développement et de pays les moins avancés (PMA).</w:t>
      </w:r>
      <w:r w:rsidR="0010442A" w:rsidRPr="005C7CCE">
        <w:t xml:space="preserve"> </w:t>
      </w:r>
      <w:r w:rsidRPr="005C7CCE">
        <w:t xml:space="preserve"> À la fin de l</w:t>
      </w:r>
      <w:r w:rsidR="00A20444" w:rsidRPr="005C7CCE">
        <w:t>’</w:t>
      </w:r>
      <w:r w:rsidRPr="005C7CCE">
        <w:t>exercice biennal 2012</w:t>
      </w:r>
      <w:r w:rsidR="002D6F2A" w:rsidRPr="005C7CCE">
        <w:noBreakHyphen/>
      </w:r>
      <w:r w:rsidRPr="005C7CCE">
        <w:t>2013, le Protocole de Madrid et le système de Madrid comptaient respectivement 91 et 92 membres, suite à l</w:t>
      </w:r>
      <w:r w:rsidR="00A20444" w:rsidRPr="005C7CCE">
        <w:t>’</w:t>
      </w:r>
      <w:r w:rsidRPr="005C7CCE">
        <w:t>adhésion de la Colombie, de l</w:t>
      </w:r>
      <w:r w:rsidR="00A20444" w:rsidRPr="005C7CCE">
        <w:t>’</w:t>
      </w:r>
      <w:r w:rsidRPr="005C7CCE">
        <w:t>Inde, du Mexique, de la Nouvelle</w:t>
      </w:r>
      <w:r w:rsidR="002D6F2A" w:rsidRPr="005C7CCE">
        <w:noBreakHyphen/>
      </w:r>
      <w:r w:rsidRPr="005C7CCE">
        <w:t xml:space="preserve">Zélande, des Philippines, du Rwanda et de la Tunisie. </w:t>
      </w:r>
      <w:r w:rsidR="0010442A" w:rsidRPr="005C7CCE">
        <w:t xml:space="preserve"> </w:t>
      </w:r>
      <w:r w:rsidRPr="005C7CCE">
        <w:t xml:space="preserve">Ces nouvelles adhésions représentent une étape importante </w:t>
      </w:r>
      <w:r w:rsidRPr="001A7B94">
        <w:t>dans la poursuite de l</w:t>
      </w:r>
      <w:r w:rsidR="00A20444" w:rsidRPr="001A7B94">
        <w:t>’</w:t>
      </w:r>
      <w:r w:rsidRPr="001A7B94">
        <w:t>expansion géographique du système de Madrid, en particulier avec l</w:t>
      </w:r>
      <w:r w:rsidR="00A20444" w:rsidRPr="001A7B94">
        <w:t>’</w:t>
      </w:r>
      <w:r w:rsidRPr="001A7B94">
        <w:t>entrée de deux pays de la région de l</w:t>
      </w:r>
      <w:r w:rsidR="00A20444" w:rsidRPr="001A7B94">
        <w:t>’</w:t>
      </w:r>
      <w:r w:rsidRPr="001A7B94">
        <w:t xml:space="preserve">Amérique latine. </w:t>
      </w:r>
      <w:r w:rsidR="0010442A" w:rsidRPr="001A7B94">
        <w:t xml:space="preserve"> </w:t>
      </w:r>
      <w:r w:rsidRPr="001A7B94">
        <w:t>Un pays n</w:t>
      </w:r>
      <w:r w:rsidR="00A20444" w:rsidRPr="001A7B94">
        <w:t>’</w:t>
      </w:r>
      <w:r w:rsidRPr="001A7B94">
        <w:t>a adhéré qu</w:t>
      </w:r>
      <w:r w:rsidR="00A20444" w:rsidRPr="001A7B94">
        <w:t>’</w:t>
      </w:r>
      <w:r w:rsidRPr="001A7B94">
        <w:t>à l</w:t>
      </w:r>
      <w:r w:rsidR="00A20444" w:rsidRPr="001A7B94">
        <w:t>’</w:t>
      </w:r>
      <w:r w:rsidRPr="001A7B94">
        <w:t>Arrangement de Madrid uniquement.</w:t>
      </w:r>
    </w:p>
    <w:p w:rsidR="00D42474" w:rsidRDefault="00D42474" w:rsidP="001A5BF9">
      <w:pPr>
        <w:jc w:val="both"/>
      </w:pPr>
    </w:p>
    <w:p w:rsidR="00D42474" w:rsidRDefault="00BB3F3E" w:rsidP="001A5BF9">
      <w:pPr>
        <w:jc w:val="both"/>
      </w:pPr>
      <w:r w:rsidRPr="001A7B94">
        <w:t>Les enregistrements internationaux en vertu du système de La Haye sont passés de </w:t>
      </w:r>
      <w:r w:rsidR="0010442A" w:rsidRPr="001A7B94">
        <w:t>2363</w:t>
      </w:r>
      <w:r w:rsidRPr="001A7B94">
        <w:t xml:space="preserve"> en 2011 à </w:t>
      </w:r>
      <w:r w:rsidR="0010442A" w:rsidRPr="001A7B94">
        <w:t>2440</w:t>
      </w:r>
      <w:r w:rsidRPr="001A7B94">
        <w:t xml:space="preserve"> et à </w:t>
      </w:r>
      <w:r w:rsidR="0010442A" w:rsidRPr="001A7B94">
        <w:t>2734</w:t>
      </w:r>
      <w:r w:rsidRPr="001A7B94">
        <w:t xml:space="preserve"> en 2012 et 2013 respectivement.</w:t>
      </w:r>
      <w:r w:rsidR="0010442A" w:rsidRPr="001A7B94">
        <w:t xml:space="preserve"> </w:t>
      </w:r>
      <w:r w:rsidRPr="001A7B94">
        <w:t xml:space="preserve"> En dépit de l</w:t>
      </w:r>
      <w:r w:rsidR="00A20444" w:rsidRPr="001A7B94">
        <w:t>’</w:t>
      </w:r>
      <w:r w:rsidRPr="001A7B94">
        <w:t>augmentation générale des dépôts de dossiers et des activités d</w:t>
      </w:r>
      <w:r w:rsidR="00A20444" w:rsidRPr="001A7B94">
        <w:t>’</w:t>
      </w:r>
      <w:r w:rsidRPr="001A7B94">
        <w:t xml:space="preserve">enregistrement, avec notamment de plus en plus de dépôts en faveur et provenant de pays en développement et de PMA, et bien que sur la bonne voie en termes de renouvellements, les volumes restent </w:t>
      </w:r>
      <w:r w:rsidR="00106829" w:rsidRPr="001A7B94">
        <w:t>en deçà</w:t>
      </w:r>
      <w:r w:rsidRPr="001A7B94">
        <w:t xml:space="preserve"> des niveaux de croissance envisagés. </w:t>
      </w:r>
      <w:r w:rsidR="0010442A" w:rsidRPr="001A7B94">
        <w:t xml:space="preserve"> </w:t>
      </w:r>
      <w:r w:rsidRPr="001A7B94">
        <w:t>Au cours de l</w:t>
      </w:r>
      <w:r w:rsidR="00A20444" w:rsidRPr="001A7B94">
        <w:t>’</w:t>
      </w:r>
      <w:r w:rsidRPr="001A7B94">
        <w:t xml:space="preserve">exercice biennal, le </w:t>
      </w:r>
      <w:proofErr w:type="spellStart"/>
      <w:r w:rsidRPr="001A7B94">
        <w:t>Brun</w:t>
      </w:r>
      <w:r w:rsidR="00106829" w:rsidRPr="001A7B94">
        <w:t>é</w:t>
      </w:r>
      <w:r w:rsidRPr="001A7B94">
        <w:t>i</w:t>
      </w:r>
      <w:proofErr w:type="spellEnd"/>
      <w:r w:rsidRPr="001A7B94">
        <w:t xml:space="preserve"> Darussalam, le </w:t>
      </w:r>
      <w:r w:rsidR="00106829" w:rsidRPr="001A7B94">
        <w:t>Monténégro</w:t>
      </w:r>
      <w:r w:rsidRPr="001A7B94">
        <w:t>, le Tadjikistan et la Tunisie sont devenus parties à l</w:t>
      </w:r>
      <w:r w:rsidR="00A20444" w:rsidRPr="001A7B94">
        <w:t>’</w:t>
      </w:r>
      <w:r w:rsidRPr="001A7B94">
        <w:t>Acte de Genève de l</w:t>
      </w:r>
      <w:r w:rsidR="00A20444" w:rsidRPr="001A7B94">
        <w:t>’</w:t>
      </w:r>
      <w:r w:rsidRPr="001A7B94">
        <w:t xml:space="preserve">Arrangement de La Haye (1999). </w:t>
      </w:r>
      <w:r w:rsidR="0010442A" w:rsidRPr="001A7B94">
        <w:t xml:space="preserve"> </w:t>
      </w:r>
      <w:r w:rsidRPr="001A7B94">
        <w:t>L</w:t>
      </w:r>
      <w:r w:rsidR="00A20444" w:rsidRPr="001A7B94">
        <w:t>’</w:t>
      </w:r>
      <w:r w:rsidRPr="001A7B94">
        <w:t>adhésion de la Tunisie constitue une étape marquante vers la réalisation de l</w:t>
      </w:r>
      <w:r w:rsidR="00A20444" w:rsidRPr="001A7B94">
        <w:t>’</w:t>
      </w:r>
      <w:r w:rsidRPr="001A7B94">
        <w:t>objectif d</w:t>
      </w:r>
      <w:r w:rsidR="00A20444" w:rsidRPr="001A7B94">
        <w:t>’</w:t>
      </w:r>
      <w:r w:rsidRPr="001A7B94">
        <w:t>instauration d</w:t>
      </w:r>
      <w:r w:rsidR="00A20444" w:rsidRPr="001A7B94">
        <w:t>’</w:t>
      </w:r>
      <w:r w:rsidRPr="001A7B94">
        <w:t>une prédominance de l</w:t>
      </w:r>
      <w:r w:rsidR="00A20444" w:rsidRPr="001A7B94">
        <w:t>’</w:t>
      </w:r>
      <w:r w:rsidRPr="001A7B94">
        <w:t>Acte de</w:t>
      </w:r>
      <w:r w:rsidR="0010442A" w:rsidRPr="001A7B94">
        <w:t> </w:t>
      </w:r>
      <w:r w:rsidRPr="001A7B94">
        <w:t>1999 dans le système, puisque, en raison de cette adhésion, il ne reste plus d</w:t>
      </w:r>
      <w:r w:rsidR="00A20444" w:rsidRPr="001A7B94">
        <w:t>’</w:t>
      </w:r>
      <w:r w:rsidRPr="001A7B94">
        <w:t>État contractant lié uniquement par l</w:t>
      </w:r>
      <w:r w:rsidR="00A20444" w:rsidRPr="001A7B94">
        <w:t>’</w:t>
      </w:r>
      <w:r w:rsidRPr="001A7B94">
        <w:t>Acte de</w:t>
      </w:r>
      <w:r w:rsidR="0010442A" w:rsidRPr="001A7B94">
        <w:t> </w:t>
      </w:r>
      <w:r w:rsidRPr="001A7B94">
        <w:t>1934.</w:t>
      </w:r>
      <w:r w:rsidR="0010442A" w:rsidRPr="001A7B94">
        <w:t xml:space="preserve"> </w:t>
      </w:r>
      <w:r w:rsidRPr="001A7B94">
        <w:t xml:space="preserve"> D</w:t>
      </w:r>
      <w:r w:rsidR="00A20444" w:rsidRPr="001A7B94">
        <w:t>’</w:t>
      </w:r>
      <w:r w:rsidRPr="001A7B94">
        <w:t>autres progrès en faveur de l</w:t>
      </w:r>
      <w:r w:rsidR="00A20444" w:rsidRPr="001A7B94">
        <w:t>’</w:t>
      </w:r>
      <w:r w:rsidRPr="001A7B94">
        <w:t xml:space="preserve">extinction de ce dernier traité ont été accomplis puisque quatre consentements ont été reçus à cet effet. </w:t>
      </w:r>
      <w:r w:rsidR="0010442A" w:rsidRPr="001A7B94">
        <w:t xml:space="preserve"> </w:t>
      </w:r>
      <w:r w:rsidRPr="001A7B94">
        <w:t>À la fin de l</w:t>
      </w:r>
      <w:r w:rsidR="00A20444" w:rsidRPr="001A7B94">
        <w:t>’</w:t>
      </w:r>
      <w:r w:rsidRPr="001A7B94">
        <w:t>exercice biennal, il manquait encore trois consentements pour que l</w:t>
      </w:r>
      <w:r w:rsidR="00A20444" w:rsidRPr="001A7B94">
        <w:t>’</w:t>
      </w:r>
      <w:r w:rsidRPr="001A7B94">
        <w:t>extinction normale du traité puisse être prononcée.</w:t>
      </w:r>
    </w:p>
    <w:p w:rsidR="00D42474" w:rsidRDefault="00D42474" w:rsidP="001A5BF9">
      <w:pPr>
        <w:tabs>
          <w:tab w:val="left" w:pos="5309"/>
        </w:tabs>
        <w:jc w:val="both"/>
      </w:pPr>
    </w:p>
    <w:p w:rsidR="00D42474" w:rsidRDefault="00BB3F3E" w:rsidP="001A5BF9">
      <w:pPr>
        <w:tabs>
          <w:tab w:val="left" w:pos="5309"/>
        </w:tabs>
        <w:jc w:val="both"/>
      </w:pPr>
      <w:r w:rsidRPr="001A7B94">
        <w:t>L</w:t>
      </w:r>
      <w:r w:rsidR="00A20444" w:rsidRPr="001A7B94">
        <w:t>’</w:t>
      </w:r>
      <w:r w:rsidRPr="001A7B94">
        <w:t>Assemblée de l</w:t>
      </w:r>
      <w:r w:rsidR="00A20444" w:rsidRPr="001A7B94">
        <w:t>’</w:t>
      </w:r>
      <w:r w:rsidRPr="001A7B94">
        <w:t>Union de Lisbonne a mandaté le Groupe de travail sur le développement du système de Lisbonne, en</w:t>
      </w:r>
      <w:r w:rsidR="0010442A" w:rsidRPr="001A7B94">
        <w:t> </w:t>
      </w:r>
      <w:r w:rsidRPr="001A7B94">
        <w:t xml:space="preserve">2009, pour entreprendre un examen de ce système de Lisbonne afin de le rendre plus attractif pour les utilisateurs et les nouveaux Membres potentiels, tout en conservant ses principes et ses objectifs. </w:t>
      </w:r>
      <w:r w:rsidR="0010442A" w:rsidRPr="001A7B94">
        <w:t xml:space="preserve"> </w:t>
      </w:r>
      <w:r w:rsidRPr="001A7B94">
        <w:t>Dans le cadre de ce mandat et au vu des progrès considérables accomplis aux sessions du groupe de travail de décembre 2012 et avril/mai </w:t>
      </w:r>
      <w:r w:rsidR="00BD43F2" w:rsidRPr="001A7B94">
        <w:t>2013 </w:t>
      </w:r>
      <w:r w:rsidRPr="001A7B94">
        <w:t>consacrées à l</w:t>
      </w:r>
      <w:r w:rsidR="00A20444" w:rsidRPr="001A7B94">
        <w:t>’</w:t>
      </w:r>
      <w:r w:rsidRPr="001A7B94">
        <w:t>élaboration d</w:t>
      </w:r>
      <w:r w:rsidR="00A20444" w:rsidRPr="001A7B94">
        <w:t>’</w:t>
      </w:r>
      <w:r w:rsidRPr="001A7B94">
        <w:t>un projet d</w:t>
      </w:r>
      <w:r w:rsidR="00A20444" w:rsidRPr="001A7B94">
        <w:t>’</w:t>
      </w:r>
      <w:r w:rsidRPr="001A7B94">
        <w:t xml:space="preserve">Arrangement de Lisbonne révisé et de </w:t>
      </w:r>
      <w:r w:rsidR="0010442A" w:rsidRPr="001A7B94">
        <w:t>règle</w:t>
      </w:r>
      <w:r w:rsidRPr="001A7B94">
        <w:t>ments révisés dans le cadre dudit arrangement révisé de Lisbonne, l</w:t>
      </w:r>
      <w:r w:rsidR="00A20444" w:rsidRPr="001A7B94">
        <w:t>’</w:t>
      </w:r>
      <w:r w:rsidRPr="001A7B94">
        <w:t>Assemblée a approuvé la convocation d</w:t>
      </w:r>
      <w:r w:rsidR="00A20444" w:rsidRPr="001A7B94">
        <w:t>’</w:t>
      </w:r>
      <w:r w:rsidRPr="001A7B94">
        <w:t>une conférence diplomatique en vue de l</w:t>
      </w:r>
      <w:r w:rsidR="00A20444" w:rsidRPr="001A7B94">
        <w:t>’</w:t>
      </w:r>
      <w:r w:rsidRPr="001A7B94">
        <w:t>adoption d</w:t>
      </w:r>
      <w:r w:rsidR="00A20444" w:rsidRPr="001A7B94">
        <w:t>’</w:t>
      </w:r>
      <w:r w:rsidRPr="001A7B94">
        <w:t>un Arrangement de Lisbonne révisé concernant les appellations d</w:t>
      </w:r>
      <w:r w:rsidR="00A20444" w:rsidRPr="001A7B94">
        <w:t>’</w:t>
      </w:r>
      <w:r w:rsidRPr="001A7B94">
        <w:t xml:space="preserve">origine et les indications géographiques en 2015. </w:t>
      </w:r>
      <w:r w:rsidR="0010442A" w:rsidRPr="001A7B94">
        <w:t xml:space="preserve"> </w:t>
      </w:r>
      <w:r w:rsidRPr="001A7B94">
        <w:t>Conformément à la feuille de route convenue par l</w:t>
      </w:r>
      <w:r w:rsidR="00A20444" w:rsidRPr="001A7B94">
        <w:t>’</w:t>
      </w:r>
      <w:r w:rsidRPr="001A7B94">
        <w:t>Assemblée, une autre session du groupe de travail s</w:t>
      </w:r>
      <w:r w:rsidR="00A20444" w:rsidRPr="001A7B94">
        <w:t>’</w:t>
      </w:r>
      <w:r w:rsidRPr="001A7B94">
        <w:t>est déroulée en décembre 2013 et deux autres sessions sont programmées respectivement pour juin et octobre 2014.</w:t>
      </w:r>
    </w:p>
    <w:p w:rsidR="00D42474" w:rsidRDefault="00D42474" w:rsidP="001A5BF9">
      <w:pPr>
        <w:tabs>
          <w:tab w:val="left" w:pos="5309"/>
        </w:tabs>
        <w:jc w:val="both"/>
      </w:pPr>
    </w:p>
    <w:p w:rsidR="00D42474" w:rsidRDefault="00BB3F3E" w:rsidP="001A5BF9">
      <w:pPr>
        <w:pStyle w:val="Header"/>
        <w:keepNext/>
        <w:keepLines/>
        <w:tabs>
          <w:tab w:val="right" w:pos="9000"/>
        </w:tabs>
        <w:autoSpaceDE w:val="0"/>
        <w:autoSpaceDN w:val="0"/>
        <w:adjustRightInd w:val="0"/>
        <w:jc w:val="both"/>
      </w:pPr>
      <w:r w:rsidRPr="001A7B94">
        <w:t>En</w:t>
      </w:r>
      <w:r w:rsidR="0010442A" w:rsidRPr="001A7B94">
        <w:t> </w:t>
      </w:r>
      <w:r w:rsidRPr="001A7B94">
        <w:t>2012, le Centre d</w:t>
      </w:r>
      <w:r w:rsidR="00A20444" w:rsidRPr="001A7B94">
        <w:t>’</w:t>
      </w:r>
      <w:r w:rsidRPr="001A7B94">
        <w:t>arbitrage et de médiation de l</w:t>
      </w:r>
      <w:r w:rsidR="00A20444" w:rsidRPr="001A7B94">
        <w:t>’</w:t>
      </w:r>
      <w:r w:rsidRPr="001A7B94">
        <w:t>OMPI a poursuivi ses travaux visant à optimiser le potentiel de ses procédures afin de mieux répondre aux besoins des utilisateurs et des titulaires de droits de propriété intellectuelle.</w:t>
      </w:r>
      <w:r w:rsidR="004F3E42" w:rsidRPr="001A7B94">
        <w:t xml:space="preserve"> </w:t>
      </w:r>
      <w:r w:rsidR="0010442A" w:rsidRPr="001A7B94">
        <w:t xml:space="preserve"> </w:t>
      </w:r>
      <w:r w:rsidRPr="001A7B94">
        <w:t>Dans le domaine du règlement extrajudiciaire des litiges, l</w:t>
      </w:r>
      <w:r w:rsidR="00A20444" w:rsidRPr="001A7B94">
        <w:t>’</w:t>
      </w:r>
      <w:r w:rsidRPr="001A7B94">
        <w:t>année 2012 a vu le premier règlement satisfaisant en vertu d</w:t>
      </w:r>
      <w:r w:rsidR="00A20444" w:rsidRPr="001A7B94">
        <w:t>’</w:t>
      </w:r>
      <w:r w:rsidRPr="001A7B94">
        <w:t>une</w:t>
      </w:r>
      <w:r w:rsidR="005B5604">
        <w:fldChar w:fldCharType="begin"/>
      </w:r>
      <w:r w:rsidR="005B5604">
        <w:instrText xml:space="preserve"> HYPERLINK "http://www.ipos.gov.sg/Services/HearingsandMediation/MediationOptionforTradeMarks.aspx" </w:instrText>
      </w:r>
      <w:r w:rsidR="005B5604">
        <w:fldChar w:fldCharType="separate"/>
      </w:r>
      <w:r w:rsidRPr="001A7B94">
        <w:t xml:space="preserve"> procédure</w:t>
      </w:r>
      <w:r w:rsidR="005B5604">
        <w:fldChar w:fldCharType="end"/>
      </w:r>
      <w:r w:rsidRPr="001A7B94">
        <w:t xml:space="preserve"> pour la médiation des oppositions en matière de marques gérée par l</w:t>
      </w:r>
      <w:r w:rsidR="00A20444" w:rsidRPr="001A7B94">
        <w:t>’</w:t>
      </w:r>
      <w:r w:rsidRPr="001A7B94">
        <w:t>Office de la propriété intellectuelle de Singapour (</w:t>
      </w:r>
      <w:proofErr w:type="spellStart"/>
      <w:r w:rsidRPr="001A7B94">
        <w:t>IPOS</w:t>
      </w:r>
      <w:proofErr w:type="spellEnd"/>
      <w:r w:rsidRPr="001A7B94">
        <w:t xml:space="preserve">). </w:t>
      </w:r>
      <w:r w:rsidR="0010442A" w:rsidRPr="001A7B94">
        <w:t xml:space="preserve"> </w:t>
      </w:r>
      <w:r w:rsidRPr="001A7B94">
        <w:t>Le centre de l</w:t>
      </w:r>
      <w:r w:rsidR="00A20444" w:rsidRPr="001A7B94">
        <w:t>’</w:t>
      </w:r>
      <w:r w:rsidRPr="001A7B94">
        <w:t xml:space="preserve">OMPI a </w:t>
      </w:r>
      <w:r w:rsidRPr="005C7CCE">
        <w:t>également contribué à développer une option de médiation similaire pour les procédures liées aux marques auprès de l</w:t>
      </w:r>
      <w:r w:rsidR="00A20444" w:rsidRPr="005C7CCE">
        <w:t>’</w:t>
      </w:r>
      <w:r w:rsidRPr="005C7CCE">
        <w:t>Institut national de la propriété industrielle du Brésil (</w:t>
      </w:r>
      <w:proofErr w:type="spellStart"/>
      <w:r w:rsidRPr="005C7CCE">
        <w:t>INPI</w:t>
      </w:r>
      <w:proofErr w:type="spellEnd"/>
      <w:r w:rsidR="002D6F2A" w:rsidRPr="005C7CCE">
        <w:noBreakHyphen/>
      </w:r>
      <w:r w:rsidRPr="005C7CCE">
        <w:t xml:space="preserve">BR) qui a été mise à la disposition des parties en juillet 2013. </w:t>
      </w:r>
      <w:r w:rsidR="0010442A" w:rsidRPr="005C7CCE">
        <w:t xml:space="preserve"> </w:t>
      </w:r>
      <w:r w:rsidRPr="005C7CCE">
        <w:t>En matière de noms de domaine, le Centre de l</w:t>
      </w:r>
      <w:r w:rsidR="00A20444" w:rsidRPr="005C7CCE">
        <w:t>’</w:t>
      </w:r>
      <w:r w:rsidRPr="005C7CCE">
        <w:t>OMPI a géré, en 2012</w:t>
      </w:r>
      <w:r w:rsidR="002D6F2A" w:rsidRPr="005C7CCE">
        <w:noBreakHyphen/>
      </w:r>
      <w:r w:rsidRPr="005C7CCE">
        <w:t xml:space="preserve">2013, </w:t>
      </w:r>
      <w:r w:rsidR="0010442A" w:rsidRPr="005C7CCE">
        <w:t>5469</w:t>
      </w:r>
      <w:r w:rsidRPr="005C7CCE">
        <w:t xml:space="preserve"> affaires de </w:t>
      </w:r>
      <w:proofErr w:type="spellStart"/>
      <w:r w:rsidRPr="005C7CCE">
        <w:t>cybersquattage</w:t>
      </w:r>
      <w:proofErr w:type="spellEnd"/>
      <w:r w:rsidRPr="005C7CCE">
        <w:t xml:space="preserve"> couvrant 11 271 noms en vertu de procédures reposant sur les Principes directeurs concernant le règlement uniforme des litiges relatifs aux noms de domaine (principes</w:t>
      </w:r>
      <w:r w:rsidR="00667FB3">
        <w:t> </w:t>
      </w:r>
      <w:r w:rsidRPr="005C7CCE">
        <w:t xml:space="preserve">UDRP). </w:t>
      </w:r>
      <w:r w:rsidR="0010442A" w:rsidRPr="005C7CCE">
        <w:t xml:space="preserve"> </w:t>
      </w:r>
      <w:r w:rsidRPr="005C7CCE">
        <w:t>Les dossiers de litige relevant des principes</w:t>
      </w:r>
      <w:r w:rsidR="00667FB3">
        <w:t> </w:t>
      </w:r>
      <w:r w:rsidRPr="005C7CCE">
        <w:t>UDRP que l</w:t>
      </w:r>
      <w:r w:rsidR="00A20444" w:rsidRPr="005C7CCE">
        <w:t>’</w:t>
      </w:r>
      <w:r w:rsidRPr="005C7CCE">
        <w:t xml:space="preserve">OMPI a reçus depuis 1999 portent, au total, sur plus de 50 000 noms de domaine. </w:t>
      </w:r>
      <w:r w:rsidR="0010442A" w:rsidRPr="005C7CCE">
        <w:t xml:space="preserve"> </w:t>
      </w:r>
      <w:r w:rsidRPr="005C7CCE">
        <w:t>Le Centre de l</w:t>
      </w:r>
      <w:r w:rsidR="00A20444" w:rsidRPr="005C7CCE">
        <w:t>’</w:t>
      </w:r>
      <w:r w:rsidRPr="005C7CCE">
        <w:t xml:space="preserve">OMPI a également poursuivi ses relations avec les administrateurs de noms de domaine pour les domaines correspondant à des codes de pays (ccTLD) dans différentes régions en lien avec les règlements des litiges. </w:t>
      </w:r>
      <w:r w:rsidR="0010442A" w:rsidRPr="005C7CCE">
        <w:t xml:space="preserve"> </w:t>
      </w:r>
      <w:r w:rsidRPr="005C7CCE">
        <w:t>En 2012</w:t>
      </w:r>
      <w:r w:rsidR="002D6F2A" w:rsidRPr="005C7CCE">
        <w:noBreakHyphen/>
      </w:r>
      <w:r w:rsidRPr="005C7CCE">
        <w:t>2013, le Centre de l</w:t>
      </w:r>
      <w:r w:rsidR="00A20444" w:rsidRPr="005C7CCE">
        <w:t>’</w:t>
      </w:r>
      <w:r w:rsidRPr="005C7CCE">
        <w:t>OMPI est devenu un prestataire de services pour les domaines .FM (Micronésie [États fédérés de]), .GD (Grenade), .ML (Mali) .</w:t>
      </w:r>
      <w:proofErr w:type="spellStart"/>
      <w:r w:rsidRPr="005C7CCE">
        <w:t>PW</w:t>
      </w:r>
      <w:proofErr w:type="spellEnd"/>
      <w:r w:rsidRPr="005C7CCE">
        <w:t xml:space="preserve"> (Palaos) et .</w:t>
      </w:r>
      <w:proofErr w:type="spellStart"/>
      <w:r w:rsidRPr="005C7CCE">
        <w:t>TZ</w:t>
      </w:r>
      <w:proofErr w:type="spellEnd"/>
      <w:r w:rsidRPr="005C7CCE">
        <w:t xml:space="preserve"> (Tanzanie), ce qui porte le nombre total de ccTLD pour lesquels l</w:t>
      </w:r>
      <w:r w:rsidR="00A20444" w:rsidRPr="005C7CCE">
        <w:t>’</w:t>
      </w:r>
      <w:r w:rsidRPr="005C7CCE">
        <w:t>OMPI fournit des services de cette nature à 70.</w:t>
      </w:r>
    </w:p>
    <w:p w:rsidR="00D42474" w:rsidRDefault="00A13E94" w:rsidP="001A5BF9">
      <w:pPr>
        <w:pStyle w:val="Header"/>
        <w:tabs>
          <w:tab w:val="right" w:pos="9000"/>
        </w:tabs>
        <w:autoSpaceDE w:val="0"/>
        <w:autoSpaceDN w:val="0"/>
        <w:adjustRightInd w:val="0"/>
        <w:jc w:val="both"/>
      </w:pPr>
      <w:r w:rsidRPr="005C7CCE">
        <w:br w:type="page"/>
      </w:r>
    </w:p>
    <w:p w:rsidR="00D42474" w:rsidRDefault="00D42474" w:rsidP="001A5BF9">
      <w:pPr>
        <w:pStyle w:val="Header"/>
        <w:tabs>
          <w:tab w:val="right" w:pos="9000"/>
        </w:tabs>
        <w:autoSpaceDE w:val="0"/>
        <w:autoSpaceDN w:val="0"/>
        <w:adjustRightInd w:val="0"/>
        <w:jc w:val="both"/>
      </w:pPr>
    </w:p>
    <w:p w:rsidR="00D42474" w:rsidRDefault="00BB3F3E" w:rsidP="001A5BF9">
      <w:pPr>
        <w:jc w:val="center"/>
        <w:rPr>
          <w:b/>
          <w:iCs/>
        </w:rPr>
      </w:pPr>
      <w:r w:rsidRPr="001A7B94">
        <w:rPr>
          <w:b/>
        </w:rPr>
        <w:t>Objectif stratégique III</w:t>
      </w:r>
      <w:r w:rsidR="0010442A" w:rsidRPr="001A7B94">
        <w:rPr>
          <w:b/>
        </w:rPr>
        <w:t> </w:t>
      </w:r>
      <w:r w:rsidRPr="001A7B94">
        <w:rPr>
          <w:b/>
        </w:rPr>
        <w:t>: Favoriser l</w:t>
      </w:r>
      <w:r w:rsidR="00A20444" w:rsidRPr="001A7B94">
        <w:rPr>
          <w:b/>
        </w:rPr>
        <w:t>’</w:t>
      </w:r>
      <w:r w:rsidRPr="001A7B94">
        <w:rPr>
          <w:b/>
        </w:rPr>
        <w:t xml:space="preserve">utilisation de la propriété intellectuelle </w:t>
      </w:r>
      <w:r w:rsidR="001A7B94">
        <w:rPr>
          <w:b/>
        </w:rPr>
        <w:br/>
      </w:r>
      <w:r w:rsidRPr="001A7B94">
        <w:rPr>
          <w:b/>
        </w:rPr>
        <w:t>au service du développement</w:t>
      </w:r>
    </w:p>
    <w:p w:rsidR="00D42474" w:rsidRDefault="00D42474" w:rsidP="001A5BF9">
      <w:pPr>
        <w:jc w:val="both"/>
        <w:rPr>
          <w:i/>
          <w:iCs/>
        </w:rPr>
      </w:pPr>
    </w:p>
    <w:p w:rsidR="00D42474" w:rsidRDefault="00D42474" w:rsidP="001A5BF9">
      <w:pPr>
        <w:jc w:val="both"/>
        <w:rPr>
          <w:i/>
          <w:iCs/>
        </w:rPr>
      </w:pPr>
    </w:p>
    <w:p w:rsidR="00D42474" w:rsidRDefault="00BB3F3E" w:rsidP="001A5BF9">
      <w:pPr>
        <w:jc w:val="center"/>
        <w:rPr>
          <w:b/>
          <w:sz w:val="18"/>
          <w:szCs w:val="18"/>
        </w:rPr>
      </w:pPr>
      <w:r w:rsidRPr="001A7B94">
        <w:rPr>
          <w:b/>
          <w:sz w:val="18"/>
        </w:rPr>
        <w:t>Résumé des réalisations par résultat escompté</w:t>
      </w:r>
    </w:p>
    <w:p w:rsidR="00D42474" w:rsidRDefault="00D42474" w:rsidP="001A5BF9">
      <w:pPr>
        <w:jc w:val="both"/>
      </w:pPr>
    </w:p>
    <w:p w:rsidR="00D42474" w:rsidRDefault="00D656BD" w:rsidP="001A5BF9">
      <w:pPr>
        <w:jc w:val="both"/>
        <w:rPr>
          <w:i/>
          <w:iCs/>
        </w:rPr>
      </w:pPr>
      <w:r w:rsidRPr="005C7CCE">
        <w:rPr>
          <w:noProof/>
        </w:rPr>
        <w:drawing>
          <wp:inline distT="0" distB="0" distL="0" distR="0" wp14:anchorId="5128467B" wp14:editId="1124AC43">
            <wp:extent cx="5937161" cy="4964806"/>
            <wp:effectExtent l="0" t="0" r="698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4967004"/>
                    </a:xfrm>
                    <a:prstGeom prst="rect">
                      <a:avLst/>
                    </a:prstGeom>
                    <a:noFill/>
                    <a:ln>
                      <a:noFill/>
                    </a:ln>
                  </pic:spPr>
                </pic:pic>
              </a:graphicData>
            </a:graphic>
          </wp:inline>
        </w:drawing>
      </w:r>
    </w:p>
    <w:p w:rsidR="00D42474" w:rsidRDefault="00D42474" w:rsidP="001A5BF9">
      <w:pPr>
        <w:jc w:val="both"/>
        <w:rPr>
          <w:iCs/>
        </w:rPr>
      </w:pPr>
    </w:p>
    <w:p w:rsidR="00D42474" w:rsidRDefault="00D42474" w:rsidP="001A5BF9">
      <w:pPr>
        <w:jc w:val="center"/>
      </w:pPr>
    </w:p>
    <w:p w:rsidR="00D42474" w:rsidRDefault="00D42474" w:rsidP="001A5BF9">
      <w:pPr>
        <w:jc w:val="center"/>
        <w:rPr>
          <w:b/>
          <w:sz w:val="18"/>
          <w:szCs w:val="18"/>
        </w:rPr>
      </w:pPr>
    </w:p>
    <w:p w:rsidR="00D42474" w:rsidRDefault="00D42474" w:rsidP="001A5BF9">
      <w:pPr>
        <w:jc w:val="center"/>
        <w:rPr>
          <w:b/>
          <w:sz w:val="18"/>
          <w:szCs w:val="18"/>
        </w:rPr>
      </w:pPr>
    </w:p>
    <w:p w:rsidR="00D42474" w:rsidRDefault="00D42474" w:rsidP="001A5BF9">
      <w:pPr>
        <w:jc w:val="center"/>
        <w:rPr>
          <w:b/>
          <w:sz w:val="18"/>
          <w:szCs w:val="18"/>
        </w:rPr>
      </w:pPr>
    </w:p>
    <w:p w:rsidR="00D42474" w:rsidRDefault="00BB3F3E" w:rsidP="001A5BF9">
      <w:pPr>
        <w:rPr>
          <w:b/>
          <w:sz w:val="18"/>
          <w:szCs w:val="18"/>
        </w:rPr>
      </w:pPr>
      <w:r w:rsidRPr="005C7CCE">
        <w:br w:type="page"/>
      </w:r>
    </w:p>
    <w:p w:rsidR="00D42474" w:rsidRDefault="00BB3F3E" w:rsidP="001A5BF9">
      <w:pPr>
        <w:jc w:val="center"/>
        <w:rPr>
          <w:b/>
          <w:szCs w:val="20"/>
        </w:rPr>
      </w:pPr>
      <w:r w:rsidRPr="005C7CCE">
        <w:rPr>
          <w:b/>
        </w:rPr>
        <w:t>Tableau de bord de l</w:t>
      </w:r>
      <w:r w:rsidR="00A20444" w:rsidRPr="005C7CCE">
        <w:rPr>
          <w:b/>
        </w:rPr>
        <w:t>’</w:t>
      </w:r>
      <w:r w:rsidRPr="005C7CCE">
        <w:rPr>
          <w:b/>
        </w:rPr>
        <w:t>exécution du programme biennal</w:t>
      </w:r>
    </w:p>
    <w:p w:rsidR="00D42474" w:rsidRDefault="00D42474" w:rsidP="001A5BF9">
      <w:pPr>
        <w:jc w:val="center"/>
      </w:pPr>
    </w:p>
    <w:p w:rsidR="00D42474" w:rsidRDefault="00BB3F3E"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BB3F3E" w:rsidRPr="005C7CCE" w:rsidRDefault="00BB3F3E" w:rsidP="001A5BF9">
      <w:pPr>
        <w:jc w:val="both"/>
      </w:pPr>
    </w:p>
    <w:tbl>
      <w:tblPr>
        <w:tblW w:w="0" w:type="auto"/>
        <w:tblInd w:w="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17"/>
        <w:gridCol w:w="3828"/>
        <w:gridCol w:w="1225"/>
        <w:gridCol w:w="901"/>
      </w:tblGrid>
      <w:tr w:rsidR="00BB3F3E" w:rsidRPr="00B54F87" w:rsidTr="00AA3983">
        <w:trPr>
          <w:tblHeader/>
        </w:trPr>
        <w:tc>
          <w:tcPr>
            <w:tcW w:w="3417" w:type="dxa"/>
            <w:tcBorders>
              <w:top w:val="single" w:sz="4" w:space="0" w:color="auto"/>
              <w:bottom w:val="single" w:sz="4" w:space="0" w:color="auto"/>
            </w:tcBorders>
            <w:shd w:val="clear" w:color="auto" w:fill="CCFFFF"/>
            <w:vAlign w:val="center"/>
          </w:tcPr>
          <w:p w:rsidR="00BB3F3E" w:rsidRPr="00B54F87" w:rsidRDefault="00BB3F3E" w:rsidP="001A5BF9">
            <w:pPr>
              <w:spacing w:before="120" w:after="120"/>
              <w:jc w:val="center"/>
              <w:rPr>
                <w:b/>
                <w:bCs/>
                <w:sz w:val="14"/>
                <w:szCs w:val="14"/>
                <w:lang w:bidi="th-TH"/>
              </w:rPr>
            </w:pPr>
            <w:r w:rsidRPr="00B54F87">
              <w:rPr>
                <w:b/>
                <w:sz w:val="14"/>
              </w:rPr>
              <w:t>Résultats escomptés</w:t>
            </w:r>
          </w:p>
        </w:tc>
        <w:tc>
          <w:tcPr>
            <w:tcW w:w="3828" w:type="dxa"/>
            <w:tcBorders>
              <w:top w:val="single" w:sz="4" w:space="0" w:color="auto"/>
              <w:bottom w:val="single" w:sz="4" w:space="0" w:color="auto"/>
            </w:tcBorders>
            <w:shd w:val="clear" w:color="auto" w:fill="CCFFFF"/>
            <w:vAlign w:val="center"/>
          </w:tcPr>
          <w:p w:rsidR="00BB3F3E" w:rsidRPr="00B54F87" w:rsidRDefault="00BB3F3E" w:rsidP="001A5BF9">
            <w:pPr>
              <w:spacing w:before="120" w:after="120"/>
              <w:jc w:val="center"/>
              <w:rPr>
                <w:b/>
                <w:bCs/>
                <w:sz w:val="14"/>
                <w:szCs w:val="14"/>
                <w:lang w:bidi="th-TH"/>
              </w:rPr>
            </w:pPr>
            <w:r w:rsidRPr="00B54F87">
              <w:rPr>
                <w:b/>
                <w:sz w:val="14"/>
              </w:rPr>
              <w:t>Indicateurs d</w:t>
            </w:r>
            <w:r w:rsidR="00A20444" w:rsidRPr="00B54F87">
              <w:rPr>
                <w:b/>
                <w:sz w:val="14"/>
              </w:rPr>
              <w:t>’</w:t>
            </w:r>
            <w:r w:rsidRPr="00B54F87">
              <w:rPr>
                <w:b/>
                <w:sz w:val="14"/>
              </w:rPr>
              <w:t>exécution</w:t>
            </w:r>
          </w:p>
        </w:tc>
        <w:tc>
          <w:tcPr>
            <w:tcW w:w="1225" w:type="dxa"/>
            <w:tcBorders>
              <w:top w:val="single" w:sz="4" w:space="0" w:color="auto"/>
              <w:bottom w:val="single" w:sz="4" w:space="0" w:color="auto"/>
            </w:tcBorders>
            <w:shd w:val="clear" w:color="auto" w:fill="CCFFFF"/>
            <w:vAlign w:val="center"/>
          </w:tcPr>
          <w:p w:rsidR="00BB3F3E" w:rsidRPr="00B54F87" w:rsidRDefault="00BB3F3E" w:rsidP="001A5BF9">
            <w:pPr>
              <w:spacing w:before="120" w:after="120"/>
              <w:jc w:val="center"/>
              <w:rPr>
                <w:b/>
                <w:bCs/>
                <w:sz w:val="14"/>
                <w:szCs w:val="14"/>
                <w:lang w:bidi="th-TH"/>
              </w:rPr>
            </w:pPr>
            <w:r w:rsidRPr="00B54F87">
              <w:rPr>
                <w:b/>
                <w:sz w:val="14"/>
              </w:rPr>
              <w:t>Programme(s) concerné(s)</w:t>
            </w:r>
          </w:p>
        </w:tc>
        <w:tc>
          <w:tcPr>
            <w:tcW w:w="901" w:type="dxa"/>
            <w:tcBorders>
              <w:top w:val="single" w:sz="4" w:space="0" w:color="auto"/>
              <w:bottom w:val="single" w:sz="4" w:space="0" w:color="auto"/>
            </w:tcBorders>
            <w:shd w:val="clear" w:color="auto" w:fill="CCFFFF"/>
          </w:tcPr>
          <w:p w:rsidR="00BB3F3E" w:rsidRPr="00B54F87" w:rsidRDefault="00BB3F3E" w:rsidP="001A5BF9">
            <w:pPr>
              <w:spacing w:before="120" w:after="120"/>
              <w:jc w:val="center"/>
              <w:rPr>
                <w:b/>
                <w:bCs/>
                <w:sz w:val="14"/>
                <w:szCs w:val="14"/>
                <w:lang w:bidi="th-TH"/>
              </w:rPr>
            </w:pPr>
            <w:r w:rsidRPr="00B54F87">
              <w:rPr>
                <w:b/>
                <w:sz w:val="14"/>
              </w:rPr>
              <w:t>Code de couleurs</w:t>
            </w:r>
          </w:p>
        </w:tc>
      </w:tr>
      <w:tr w:rsidR="00BB3F3E" w:rsidRPr="005C7CCE" w:rsidTr="00AA3983">
        <w:tc>
          <w:tcPr>
            <w:tcW w:w="3417" w:type="dxa"/>
            <w:vMerge w:val="restart"/>
            <w:tcBorders>
              <w:top w:val="single" w:sz="4" w:space="0" w:color="auto"/>
            </w:tcBorders>
            <w:shd w:val="clear" w:color="auto" w:fill="auto"/>
          </w:tcPr>
          <w:p w:rsidR="00D42474" w:rsidRDefault="00BB3F3E" w:rsidP="001A5BF9">
            <w:pPr>
              <w:spacing w:before="80"/>
              <w:rPr>
                <w:sz w:val="14"/>
              </w:rPr>
            </w:pPr>
            <w:r w:rsidRPr="00B54F87">
              <w:rPr>
                <w:sz w:val="14"/>
              </w:rPr>
              <w:t>Politiques, stratégies et plans de développement nationaux clairement définis et cohérents en matière d</w:t>
            </w:r>
            <w:r w:rsidR="00A20444" w:rsidRPr="00B54F87">
              <w:rPr>
                <w:sz w:val="14"/>
              </w:rPr>
              <w:t>’</w:t>
            </w:r>
            <w:r w:rsidRPr="00B54F87">
              <w:rPr>
                <w:sz w:val="14"/>
              </w:rPr>
              <w:t>innovation et de propriété intellectuelle, conformes aux objectifs et aux priorités de développement à l</w:t>
            </w:r>
            <w:r w:rsidR="00A20444" w:rsidRPr="00B54F87">
              <w:rPr>
                <w:sz w:val="14"/>
              </w:rPr>
              <w:t>’</w:t>
            </w:r>
            <w:r w:rsidRPr="00B54F87">
              <w:rPr>
                <w:sz w:val="14"/>
              </w:rPr>
              <w:t>échelle nationale</w:t>
            </w:r>
          </w:p>
          <w:p w:rsidR="00BB3F3E" w:rsidRPr="00B54F87" w:rsidRDefault="00BB3F3E" w:rsidP="001A5BF9">
            <w:pPr>
              <w:spacing w:before="80"/>
              <w:rPr>
                <w:sz w:val="14"/>
                <w:szCs w:val="14"/>
                <w:lang w:bidi="th-TH"/>
              </w:rPr>
            </w:pPr>
          </w:p>
        </w:tc>
        <w:tc>
          <w:tcPr>
            <w:tcW w:w="3828" w:type="dxa"/>
            <w:tcBorders>
              <w:top w:val="single" w:sz="4" w:space="0" w:color="auto"/>
            </w:tcBorders>
            <w:shd w:val="clear" w:color="auto" w:fill="auto"/>
          </w:tcPr>
          <w:p w:rsidR="00BB3F3E" w:rsidRPr="00B54F87" w:rsidRDefault="00BB3F3E" w:rsidP="001A5BF9">
            <w:pPr>
              <w:spacing w:before="80"/>
              <w:rPr>
                <w:sz w:val="14"/>
                <w:szCs w:val="14"/>
                <w:lang w:bidi="th-TH"/>
              </w:rPr>
            </w:pPr>
            <w:r w:rsidRPr="00B54F87">
              <w:rPr>
                <w:sz w:val="14"/>
              </w:rPr>
              <w:t>Nombre de pays ayant élaboré leurs politiques, leurs stratégies ou leurs plans en matière de propriété intellectuelle ou ayant entrepris leur mise en œuvre chaque année (Afrique)</w:t>
            </w:r>
          </w:p>
        </w:tc>
        <w:tc>
          <w:tcPr>
            <w:tcW w:w="1225" w:type="dxa"/>
            <w:tcBorders>
              <w:top w:val="single" w:sz="4" w:space="0" w:color="auto"/>
            </w:tcBorders>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Borders>
              <w:top w:val="single" w:sz="4" w:space="0" w:color="auto"/>
            </w:tcBorders>
          </w:tcPr>
          <w:p w:rsidR="00BB3F3E" w:rsidRPr="005C7CCE" w:rsidRDefault="00BB3F3E" w:rsidP="001A5BF9">
            <w:pPr>
              <w:spacing w:before="40"/>
              <w:jc w:val="center"/>
              <w:rPr>
                <w:szCs w:val="22"/>
                <w:lang w:bidi="th-TH"/>
              </w:rPr>
            </w:pPr>
            <w:r w:rsidRPr="005C7CCE">
              <w:rPr>
                <w:color w:val="E36C0A"/>
              </w:rPr>
              <w:sym w:font="Wingdings" w:char="F06C"/>
            </w:r>
            <w:r w:rsidRPr="005C7CCE">
              <w:rPr>
                <w:color w:val="FF0000"/>
              </w:rPr>
              <w:sym w:font="Wingdings" w:char="F06C"/>
            </w:r>
            <w:r w:rsidRPr="005C7CCE">
              <w:rPr>
                <w:color w:val="008000"/>
              </w:rPr>
              <w:sym w:font="Wingdings" w:char="F06C"/>
            </w:r>
          </w:p>
        </w:tc>
      </w:tr>
      <w:tr w:rsidR="00BB3F3E" w:rsidRPr="005C7CCE" w:rsidTr="00AA3983">
        <w:tc>
          <w:tcPr>
            <w:tcW w:w="3417" w:type="dxa"/>
            <w:vMerge/>
            <w:shd w:val="clear" w:color="auto" w:fill="auto"/>
          </w:tcPr>
          <w:p w:rsidR="00BB3F3E" w:rsidRPr="00B54F87" w:rsidRDefault="00BB3F3E" w:rsidP="001A5BF9">
            <w:pPr>
              <w:spacing w:before="80"/>
              <w:ind w:firstLineChars="100" w:firstLine="14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pays dotés de mécanismes appropriés pour l</w:t>
            </w:r>
            <w:r w:rsidR="00A20444" w:rsidRPr="00B54F87">
              <w:rPr>
                <w:sz w:val="14"/>
              </w:rPr>
              <w:t>’</w:t>
            </w:r>
            <w:r w:rsidRPr="00B54F87">
              <w:rPr>
                <w:sz w:val="14"/>
              </w:rPr>
              <w:t>élaboration et la mise en œuvre de stratégies en matière de propriété intellectuelle (pays arabes)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szCs w:val="22"/>
              </w:rPr>
            </w:pPr>
            <w:r w:rsidRPr="005C7CCE">
              <w:rPr>
                <w:color w:val="E36C0A"/>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pays ayant des initiatives présentant des liens avec les plans nationaux en matière de propriété intellectuelle (pays arabes)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pays ayant introduit des politiques et des stratégies en matière de propriété intellectuelle dans leurs procédures nationales d</w:t>
            </w:r>
            <w:r w:rsidR="00A20444" w:rsidRPr="00B54F87">
              <w:rPr>
                <w:sz w:val="14"/>
              </w:rPr>
              <w:t>’</w:t>
            </w:r>
            <w:r w:rsidRPr="00B54F87">
              <w:rPr>
                <w:sz w:val="14"/>
              </w:rPr>
              <w:t>approbation (Asie et Pacifique)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szCs w:val="22"/>
              </w:rPr>
            </w:pPr>
            <w:r w:rsidRPr="005C7CCE">
              <w:rPr>
                <w:color w:val="E36C0A"/>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C8367A">
            <w:pPr>
              <w:spacing w:before="80"/>
              <w:rPr>
                <w:sz w:val="14"/>
                <w:szCs w:val="14"/>
                <w:lang w:bidi="th-TH"/>
              </w:rPr>
            </w:pPr>
            <w:r w:rsidRPr="00B54F87">
              <w:rPr>
                <w:sz w:val="14"/>
              </w:rPr>
              <w:t>Nombre de pays ayant adopté des politiques et des stratégies en matière de propriété intellectuelle (</w:t>
            </w:r>
            <w:r w:rsidR="00C8367A">
              <w:rPr>
                <w:sz w:val="14"/>
              </w:rPr>
              <w:t>Amérique la</w:t>
            </w:r>
            <w:r w:rsidRPr="00B54F87">
              <w:rPr>
                <w:sz w:val="14"/>
              </w:rPr>
              <w:t xml:space="preserve"> et Pacifique)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pays dans lesquels ont été menés des activités ou des projets qui contribuent à l</w:t>
            </w:r>
            <w:r w:rsidR="00A20444" w:rsidRPr="00B54F87">
              <w:rPr>
                <w:sz w:val="14"/>
              </w:rPr>
              <w:t>’</w:t>
            </w:r>
            <w:r w:rsidRPr="00B54F87">
              <w:rPr>
                <w:sz w:val="14"/>
              </w:rPr>
              <w:t xml:space="preserve">élaboration de stratégies et politiques en matière de propriété intellectuelle (Amérique latine et Caraïbes) </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 xml:space="preserve">Nombre de pays dans lesquels ont été menés des activités ou projets qui contribuent à la mise en œuvre de stratégies et politiques en matière de propriété intellectuelle (Amérique latine et Caraïbes) </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szCs w:val="22"/>
              </w:rPr>
            </w:pPr>
            <w:r w:rsidRPr="005C7CCE">
              <w:rPr>
                <w:color w:val="E36C0A"/>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PMA ayant introduit des considérations de propriété intellectuelle propres</w:t>
            </w:r>
            <w:r w:rsidR="00A20444" w:rsidRPr="00B54F87">
              <w:rPr>
                <w:sz w:val="14"/>
              </w:rPr>
              <w:t xml:space="preserve"> aux PMA</w:t>
            </w:r>
            <w:r w:rsidRPr="00B54F87">
              <w:rPr>
                <w:sz w:val="14"/>
              </w:rPr>
              <w:t xml:space="preserve"> dans leurs stratégies ou politiques nationales en matière de propriété intellectuelle (PMA)</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 xml:space="preserve">Nombre de pays ayant élaboré des stratégies ou des plans nationaux en matière de propriété intellectuelle conformes aux objectifs nationaux de développement </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10</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val="restart"/>
            <w:shd w:val="clear" w:color="auto" w:fill="auto"/>
          </w:tcPr>
          <w:p w:rsidR="00BB3F3E" w:rsidRPr="00B54F87" w:rsidRDefault="00BB3F3E" w:rsidP="001A5BF9">
            <w:pPr>
              <w:spacing w:before="80"/>
              <w:rPr>
                <w:sz w:val="14"/>
                <w:szCs w:val="14"/>
                <w:lang w:bidi="th-TH"/>
              </w:rPr>
            </w:pPr>
            <w:r w:rsidRPr="00B54F87">
              <w:rPr>
                <w:sz w:val="14"/>
              </w:rPr>
              <w:t>Mise en valeur des ressources humaines pour répondre aux diverses exigences en matière d</w:t>
            </w:r>
            <w:r w:rsidR="00A20444" w:rsidRPr="00B54F87">
              <w:rPr>
                <w:sz w:val="14"/>
              </w:rPr>
              <w:t>’</w:t>
            </w:r>
            <w:r w:rsidRPr="00B54F87">
              <w:rPr>
                <w:sz w:val="14"/>
              </w:rPr>
              <w:t>utilisation efficace de la propriété intellectuelle au service du développement dans les pays en développement,</w:t>
            </w:r>
            <w:r w:rsidR="00A20444" w:rsidRPr="00B54F87">
              <w:rPr>
                <w:sz w:val="14"/>
              </w:rPr>
              <w:t xml:space="preserve"> les PMA</w:t>
            </w:r>
            <w:r w:rsidRPr="00B54F87">
              <w:rPr>
                <w:sz w:val="14"/>
              </w:rPr>
              <w:t xml:space="preserve"> et les pays en transition</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stratégies nationales en matière de propriété intellectuelle comprenant une composante innovation ou technologie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30</w:t>
            </w:r>
          </w:p>
        </w:tc>
        <w:tc>
          <w:tcPr>
            <w:tcW w:w="901" w:type="dxa"/>
          </w:tcPr>
          <w:p w:rsidR="00BB3F3E" w:rsidRPr="005C7CCE" w:rsidRDefault="00BB3F3E" w:rsidP="001A5BF9">
            <w:pPr>
              <w:spacing w:before="20"/>
              <w:jc w:val="center"/>
              <w:rPr>
                <w:szCs w:val="22"/>
                <w:highlight w:val="yellow"/>
              </w:rPr>
            </w:pPr>
            <w:r w:rsidRPr="005C7CCE">
              <w:rPr>
                <w:color w:val="A6A6A6"/>
              </w:rPr>
              <w:sym w:font="Wingdings" w:char="F06C"/>
            </w:r>
          </w:p>
        </w:tc>
      </w:tr>
      <w:tr w:rsidR="00BB3F3E" w:rsidRPr="005C7CCE" w:rsidTr="00AA3983">
        <w:tc>
          <w:tcPr>
            <w:tcW w:w="3417" w:type="dxa"/>
            <w:vMerge/>
            <w:shd w:val="clear" w:color="auto" w:fill="auto"/>
          </w:tcPr>
          <w:p w:rsidR="00BB3F3E" w:rsidRPr="00B54F87" w:rsidRDefault="00BB3F3E" w:rsidP="001A5BF9">
            <w:pPr>
              <w:spacing w:before="80"/>
              <w:ind w:firstLineChars="100" w:firstLine="14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Pourcentage de décideurs, de fonctionnaires gouvernementaux, de spécialistes de la propriété intellectuelle et d</w:t>
            </w:r>
            <w:r w:rsidR="00A20444" w:rsidRPr="00B54F87">
              <w:rPr>
                <w:sz w:val="14"/>
              </w:rPr>
              <w:t>’</w:t>
            </w:r>
            <w:r w:rsidRPr="00B54F87">
              <w:rPr>
                <w:sz w:val="14"/>
              </w:rPr>
              <w:t>examinateurs, d</w:t>
            </w:r>
            <w:r w:rsidR="00A20444" w:rsidRPr="00B54F87">
              <w:rPr>
                <w:sz w:val="14"/>
              </w:rPr>
              <w:t>’</w:t>
            </w:r>
            <w:r w:rsidRPr="00B54F87">
              <w:rPr>
                <w:sz w:val="14"/>
              </w:rPr>
              <w:t>agents chargés de l</w:t>
            </w:r>
            <w:r w:rsidR="00A20444" w:rsidRPr="00B54F87">
              <w:rPr>
                <w:sz w:val="14"/>
              </w:rPr>
              <w:t>’</w:t>
            </w:r>
            <w:r w:rsidRPr="00B54F87">
              <w:rPr>
                <w:sz w:val="14"/>
              </w:rPr>
              <w:t>application des droits et d</w:t>
            </w:r>
            <w:r w:rsidR="00A20444" w:rsidRPr="00B54F87">
              <w:rPr>
                <w:sz w:val="14"/>
              </w:rPr>
              <w:t>’</w:t>
            </w:r>
            <w:r w:rsidRPr="00B54F87">
              <w:rPr>
                <w:sz w:val="14"/>
              </w:rPr>
              <w:t>utilisateurs de la propriété intellectuelle ayant une connaissance renforcée des questions de propriété intellectuelle et de la manière d</w:t>
            </w:r>
            <w:r w:rsidR="00A20444" w:rsidRPr="00B54F87">
              <w:rPr>
                <w:sz w:val="14"/>
              </w:rPr>
              <w:t>’</w:t>
            </w:r>
            <w:r w:rsidRPr="00B54F87">
              <w:rPr>
                <w:sz w:val="14"/>
              </w:rPr>
              <w:t>utiliser la propriété intellectuelle au service du développement</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color w:val="00B050"/>
                <w:szCs w:val="22"/>
              </w:rPr>
            </w:pPr>
            <w:r w:rsidRPr="005C7CCE">
              <w:rPr>
                <w:color w:val="008000"/>
              </w:rPr>
              <w:sym w:font="Wingdings" w:char="F06C"/>
            </w:r>
          </w:p>
        </w:tc>
      </w:tr>
      <w:tr w:rsidR="00BB3F3E" w:rsidRPr="005C7CCE" w:rsidTr="00AA3983">
        <w:tc>
          <w:tcPr>
            <w:tcW w:w="3417" w:type="dxa"/>
            <w:vMerge/>
            <w:shd w:val="clear" w:color="auto" w:fill="auto"/>
          </w:tcPr>
          <w:p w:rsidR="00BB3F3E" w:rsidRPr="00B54F87" w:rsidRDefault="00BB3F3E" w:rsidP="001A5BF9">
            <w:pPr>
              <w:spacing w:before="80"/>
              <w:ind w:firstLineChars="100" w:firstLine="14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pays ayant mis en place des programmes de formation en propriété intellectuelle et offrant des possibilités de carrière dans le domaine de la propriété intellectuelle (pays arabes)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shd w:val="clear" w:color="auto" w:fill="auto"/>
          </w:tcPr>
          <w:p w:rsidR="00BB3F3E" w:rsidRPr="00B54F87" w:rsidRDefault="00BB3F3E" w:rsidP="001A5BF9">
            <w:pPr>
              <w:spacing w:before="80"/>
              <w:ind w:firstLineChars="100" w:firstLine="140"/>
              <w:rPr>
                <w:sz w:val="14"/>
                <w:szCs w:val="14"/>
                <w:lang w:bidi="th-TH"/>
              </w:rPr>
            </w:pPr>
          </w:p>
        </w:tc>
        <w:tc>
          <w:tcPr>
            <w:tcW w:w="3828" w:type="dxa"/>
            <w:shd w:val="clear" w:color="auto" w:fill="auto"/>
            <w:tcMar>
              <w:top w:w="113" w:type="dxa"/>
            </w:tcMar>
          </w:tcPr>
          <w:p w:rsidR="00BB3F3E" w:rsidRPr="00B54F87" w:rsidRDefault="00BB3F3E" w:rsidP="001A5BF9">
            <w:pPr>
              <w:spacing w:before="60"/>
              <w:rPr>
                <w:sz w:val="14"/>
                <w:szCs w:val="14"/>
                <w:lang w:bidi="th-TH"/>
              </w:rPr>
            </w:pPr>
            <w:r w:rsidRPr="00B54F87">
              <w:rPr>
                <w:sz w:val="14"/>
              </w:rPr>
              <w:t>Pourcentage d</w:t>
            </w:r>
            <w:r w:rsidR="00A20444" w:rsidRPr="00B54F87">
              <w:rPr>
                <w:sz w:val="14"/>
              </w:rPr>
              <w:t>’</w:t>
            </w:r>
            <w:r w:rsidRPr="00B54F87">
              <w:rPr>
                <w:sz w:val="14"/>
              </w:rPr>
              <w:t>examinateurs formés qui utilisent des compétences améliorées dans le cadre de leurs activités professionnelles (Asie et Pacifique)</w:t>
            </w:r>
          </w:p>
        </w:tc>
        <w:tc>
          <w:tcPr>
            <w:tcW w:w="1225" w:type="dxa"/>
            <w:shd w:val="clear" w:color="auto" w:fill="auto"/>
            <w:tcMar>
              <w:top w:w="113" w:type="dxa"/>
            </w:tcMar>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Pourcentage de décideurs, de fonctionnaires gouvernementaux et de spécialistes de la propriété intellectuelle ayant une connaissance accrue des questions de propriété intellectuelle, notamment de la manière d</w:t>
            </w:r>
            <w:r w:rsidR="00A20444" w:rsidRPr="00B54F87">
              <w:rPr>
                <w:sz w:val="14"/>
              </w:rPr>
              <w:t>’</w:t>
            </w:r>
            <w:r w:rsidRPr="00B54F87">
              <w:rPr>
                <w:sz w:val="14"/>
              </w:rPr>
              <w:t>utiliser efficacement la propriété intellectuelle au service du développement (Asie et Pacifique)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formateurs/d</w:t>
            </w:r>
            <w:r w:rsidR="00A20444" w:rsidRPr="00B54F87">
              <w:rPr>
                <w:sz w:val="14"/>
              </w:rPr>
              <w:t>’</w:t>
            </w:r>
            <w:r w:rsidRPr="00B54F87">
              <w:rPr>
                <w:sz w:val="14"/>
              </w:rPr>
              <w:t>experts nationaux en propriété intellectuelle (Amérique latine et Caraïbes)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programmes nationaux de formation structurés (Amérique latine et Caraïbes)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rPr>
          <w:trHeight w:val="286"/>
        </w:trPr>
        <w:tc>
          <w:tcPr>
            <w:tcW w:w="3417" w:type="dxa"/>
            <w:shd w:val="clear" w:color="auto" w:fill="auto"/>
          </w:tcPr>
          <w:p w:rsidR="00BB3F3E" w:rsidRPr="00B54F87" w:rsidRDefault="00BB3F3E" w:rsidP="001A5BF9">
            <w:pPr>
              <w:ind w:firstLineChars="100" w:firstLine="140"/>
              <w:rPr>
                <w:sz w:val="14"/>
                <w:szCs w:val="14"/>
                <w:lang w:bidi="th-TH"/>
              </w:rPr>
            </w:pPr>
          </w:p>
        </w:tc>
        <w:tc>
          <w:tcPr>
            <w:tcW w:w="3828" w:type="dxa"/>
            <w:shd w:val="clear" w:color="auto" w:fill="auto"/>
            <w:tcMar>
              <w:top w:w="142" w:type="dxa"/>
            </w:tcMar>
          </w:tcPr>
          <w:p w:rsidR="00BB3F3E" w:rsidRPr="00B54F87" w:rsidRDefault="00BB3F3E" w:rsidP="001A5BF9">
            <w:pPr>
              <w:rPr>
                <w:sz w:val="14"/>
                <w:szCs w:val="14"/>
                <w:lang w:bidi="th-TH"/>
              </w:rPr>
            </w:pPr>
            <w:r w:rsidRPr="00B54F87">
              <w:rPr>
                <w:sz w:val="14"/>
              </w:rPr>
              <w:t>Nombre de pays dans lesquels les besoins d</w:t>
            </w:r>
            <w:r w:rsidR="00A20444" w:rsidRPr="00B54F87">
              <w:rPr>
                <w:sz w:val="14"/>
              </w:rPr>
              <w:t>’</w:t>
            </w:r>
            <w:r w:rsidRPr="00B54F87">
              <w:rPr>
                <w:sz w:val="14"/>
              </w:rPr>
              <w:t>assistance technique et de renforcement des capacités ont été évalués (PMA)</w:t>
            </w:r>
          </w:p>
        </w:tc>
        <w:tc>
          <w:tcPr>
            <w:tcW w:w="1225" w:type="dxa"/>
            <w:shd w:val="clear" w:color="auto" w:fill="auto"/>
          </w:tcPr>
          <w:p w:rsidR="00BB3F3E" w:rsidRPr="00B54F87" w:rsidRDefault="00BB3F3E" w:rsidP="001A5BF9">
            <w:pPr>
              <w:jc w:val="center"/>
              <w:rPr>
                <w:sz w:val="14"/>
                <w:szCs w:val="14"/>
                <w:lang w:bidi="th-TH"/>
              </w:rPr>
            </w:pPr>
            <w:r w:rsidRPr="00B54F87">
              <w:rPr>
                <w:sz w:val="14"/>
              </w:rPr>
              <w:t>Programme 9</w:t>
            </w:r>
          </w:p>
        </w:tc>
        <w:tc>
          <w:tcPr>
            <w:tcW w:w="901"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keepNext/>
              <w:keepLines/>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keepNext/>
              <w:keepLines/>
              <w:spacing w:before="80"/>
              <w:rPr>
                <w:sz w:val="14"/>
                <w:szCs w:val="14"/>
                <w:lang w:bidi="th-TH"/>
              </w:rPr>
            </w:pPr>
            <w:r w:rsidRPr="00B54F87">
              <w:rPr>
                <w:sz w:val="14"/>
              </w:rPr>
              <w:t>Nombre de personnes formées/participantes par année et répartition géographique (PMA)</w:t>
            </w:r>
          </w:p>
        </w:tc>
        <w:tc>
          <w:tcPr>
            <w:tcW w:w="1225" w:type="dxa"/>
            <w:shd w:val="clear" w:color="auto" w:fill="auto"/>
          </w:tcPr>
          <w:p w:rsidR="00BB3F3E" w:rsidRPr="00B54F87" w:rsidRDefault="00BB3F3E" w:rsidP="001A5BF9">
            <w:pPr>
              <w:keepNext/>
              <w:keepLines/>
              <w:spacing w:before="80"/>
              <w:jc w:val="center"/>
              <w:rPr>
                <w:sz w:val="14"/>
                <w:szCs w:val="14"/>
                <w:lang w:bidi="th-TH"/>
              </w:rPr>
            </w:pPr>
            <w:r w:rsidRPr="00B54F87">
              <w:rPr>
                <w:sz w:val="14"/>
              </w:rPr>
              <w:t>Programme 9</w:t>
            </w:r>
          </w:p>
        </w:tc>
        <w:tc>
          <w:tcPr>
            <w:tcW w:w="901" w:type="dxa"/>
          </w:tcPr>
          <w:p w:rsidR="00BB3F3E" w:rsidRPr="005C7CCE" w:rsidRDefault="00BB3F3E" w:rsidP="001A5BF9">
            <w:pPr>
              <w:keepNext/>
              <w:keepLines/>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keepNext/>
              <w:keepLines/>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keepNext/>
              <w:keepLines/>
              <w:spacing w:before="80"/>
              <w:rPr>
                <w:sz w:val="14"/>
                <w:szCs w:val="14"/>
                <w:lang w:bidi="th-TH"/>
              </w:rPr>
            </w:pPr>
            <w:r w:rsidRPr="00B54F87">
              <w:rPr>
                <w:sz w:val="14"/>
              </w:rPr>
              <w:t>Pourcentage de participants aux activités de renforcement des capacités qui font part de meilleures compréhension et utilisation des principes, des systèmes et des outils de propriété intellectuelle en vue d</w:t>
            </w:r>
            <w:r w:rsidR="00A20444" w:rsidRPr="00B54F87">
              <w:rPr>
                <w:sz w:val="14"/>
              </w:rPr>
              <w:t>’</w:t>
            </w:r>
            <w:r w:rsidRPr="00B54F87">
              <w:rPr>
                <w:sz w:val="14"/>
              </w:rPr>
              <w:t xml:space="preserve">assurer la protection des savoirs traditionnels et des expressions culturelles traditionnelles et de mieux gérer la relation entre la protection intellectuelle et les ressources génétiques </w:t>
            </w:r>
          </w:p>
        </w:tc>
        <w:tc>
          <w:tcPr>
            <w:tcW w:w="1225" w:type="dxa"/>
            <w:shd w:val="clear" w:color="auto" w:fill="auto"/>
          </w:tcPr>
          <w:p w:rsidR="00D42474" w:rsidRDefault="00BB3F3E" w:rsidP="001A5BF9">
            <w:pPr>
              <w:keepNext/>
              <w:keepLines/>
              <w:spacing w:before="80"/>
              <w:jc w:val="center"/>
              <w:rPr>
                <w:sz w:val="14"/>
                <w:szCs w:val="14"/>
                <w:lang w:bidi="th-TH"/>
              </w:rPr>
            </w:pPr>
            <w:r w:rsidRPr="00B54F87">
              <w:rPr>
                <w:sz w:val="14"/>
              </w:rPr>
              <w:t>Programme 9</w:t>
            </w:r>
          </w:p>
          <w:p w:rsidR="00BB3F3E" w:rsidRPr="00B54F87" w:rsidRDefault="00BB3F3E" w:rsidP="001A5BF9">
            <w:pPr>
              <w:keepNext/>
              <w:keepLines/>
              <w:spacing w:before="80"/>
              <w:jc w:val="center"/>
              <w:rPr>
                <w:sz w:val="14"/>
                <w:szCs w:val="14"/>
                <w:lang w:bidi="th-TH"/>
              </w:rPr>
            </w:pPr>
            <w:r w:rsidRPr="00B54F87">
              <w:rPr>
                <w:sz w:val="14"/>
              </w:rPr>
              <w:t>Programme 4</w:t>
            </w:r>
          </w:p>
        </w:tc>
        <w:tc>
          <w:tcPr>
            <w:tcW w:w="901" w:type="dxa"/>
          </w:tcPr>
          <w:p w:rsidR="00D42474" w:rsidRDefault="00BB3F3E" w:rsidP="001A5BF9">
            <w:pPr>
              <w:keepNext/>
              <w:keepLines/>
              <w:spacing w:before="20"/>
              <w:jc w:val="center"/>
              <w:rPr>
                <w:rFonts w:cs="Arial"/>
                <w:color w:val="008000"/>
                <w:szCs w:val="22"/>
              </w:rPr>
            </w:pPr>
            <w:r w:rsidRPr="005C7CCE">
              <w:rPr>
                <w:color w:val="008000"/>
              </w:rPr>
              <w:sym w:font="Wingdings" w:char="F06C"/>
            </w:r>
          </w:p>
          <w:p w:rsidR="00BB3F3E" w:rsidRPr="005C7CCE" w:rsidRDefault="00BB3F3E" w:rsidP="001A5BF9">
            <w:pPr>
              <w:keepNext/>
              <w:keepLines/>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Pourcentage de fonctionnaires d</w:t>
            </w:r>
            <w:r w:rsidR="00A20444" w:rsidRPr="00B54F87">
              <w:rPr>
                <w:sz w:val="14"/>
              </w:rPr>
              <w:t>’</w:t>
            </w:r>
            <w:r w:rsidRPr="00B54F87">
              <w:rPr>
                <w:sz w:val="14"/>
              </w:rPr>
              <w:t>offices de propriété intellectuelle formés qui utilisent leurs compétences améliorées dans le cadre de leur travail</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10</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Pourcentage de spécialistes de la propriété intellectuelle qui font part d</w:t>
            </w:r>
            <w:r w:rsidR="00A20444" w:rsidRPr="00B54F87">
              <w:rPr>
                <w:sz w:val="14"/>
              </w:rPr>
              <w:t>’</w:t>
            </w:r>
            <w:r w:rsidRPr="00B54F87">
              <w:rPr>
                <w:sz w:val="14"/>
              </w:rPr>
              <w:t>une meilleure compréhension des questions de propriété intellectuelle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10</w:t>
            </w:r>
          </w:p>
        </w:tc>
        <w:tc>
          <w:tcPr>
            <w:tcW w:w="901" w:type="dxa"/>
          </w:tcPr>
          <w:p w:rsidR="00BB3F3E" w:rsidRPr="005C7CCE" w:rsidRDefault="00BB3F3E" w:rsidP="001A5BF9">
            <w:pPr>
              <w:spacing w:before="20"/>
              <w:jc w:val="center"/>
              <w:rPr>
                <w:rFonts w:cs="Arial"/>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Incorporation de questions relatives au développement dans les programmes de formation à l</w:t>
            </w:r>
            <w:r w:rsidR="00A20444" w:rsidRPr="00B54F87">
              <w:rPr>
                <w:sz w:val="14"/>
              </w:rPr>
              <w:t>’</w:t>
            </w:r>
            <w:r w:rsidRPr="00B54F87">
              <w:rPr>
                <w:sz w:val="14"/>
              </w:rPr>
              <w:t>application des droits mis en place par l</w:t>
            </w:r>
            <w:r w:rsidR="00A20444" w:rsidRPr="00B54F87">
              <w:rPr>
                <w:sz w:val="14"/>
              </w:rPr>
              <w:t>’</w:t>
            </w:r>
            <w:r w:rsidRPr="00B54F87">
              <w:rPr>
                <w:sz w:val="14"/>
              </w:rPr>
              <w:t>OMPI</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17</w:t>
            </w:r>
          </w:p>
        </w:tc>
        <w:tc>
          <w:tcPr>
            <w:tcW w:w="901" w:type="dxa"/>
          </w:tcPr>
          <w:p w:rsidR="00BB3F3E" w:rsidRPr="005C7CCE" w:rsidRDefault="00BB3F3E" w:rsidP="001A5BF9">
            <w:pPr>
              <w:jc w:val="center"/>
              <w:rPr>
                <w:rFonts w:cs="Arial"/>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Pourcentage d</w:t>
            </w:r>
            <w:r w:rsidR="00A20444" w:rsidRPr="00B54F87">
              <w:rPr>
                <w:sz w:val="14"/>
              </w:rPr>
              <w:t>’</w:t>
            </w:r>
            <w:r w:rsidRPr="00B54F87">
              <w:rPr>
                <w:sz w:val="14"/>
              </w:rPr>
              <w:t>agents chargés de l</w:t>
            </w:r>
            <w:r w:rsidR="00A20444" w:rsidRPr="00B54F87">
              <w:rPr>
                <w:sz w:val="14"/>
              </w:rPr>
              <w:t>’</w:t>
            </w:r>
            <w:r w:rsidRPr="00B54F87">
              <w:rPr>
                <w:sz w:val="14"/>
              </w:rPr>
              <w:t>application des droits qui font état de leur satisfaction à</w:t>
            </w:r>
            <w:r w:rsidR="0010442A" w:rsidRPr="00B54F87">
              <w:rPr>
                <w:sz w:val="14"/>
              </w:rPr>
              <w:t> </w:t>
            </w:r>
            <w:r w:rsidRPr="00B54F87">
              <w:rPr>
                <w:sz w:val="14"/>
              </w:rPr>
              <w:t>l</w:t>
            </w:r>
            <w:r w:rsidR="00A20444" w:rsidRPr="00B54F87">
              <w:rPr>
                <w:sz w:val="14"/>
              </w:rPr>
              <w:t>’</w:t>
            </w:r>
            <w:r w:rsidRPr="00B54F87">
              <w:rPr>
                <w:sz w:val="14"/>
              </w:rPr>
              <w:t>égard de la formation reçue, y</w:t>
            </w:r>
            <w:r w:rsidR="0010442A" w:rsidRPr="00B54F87">
              <w:rPr>
                <w:sz w:val="14"/>
              </w:rPr>
              <w:t> </w:t>
            </w:r>
            <w:r w:rsidRPr="00B54F87">
              <w:rPr>
                <w:sz w:val="14"/>
              </w:rPr>
              <w:t xml:space="preserve">compris les orientations sur la coopération stratégique, et de son utilité pour leur vie professionnelle </w:t>
            </w:r>
          </w:p>
        </w:tc>
        <w:tc>
          <w:tcPr>
            <w:tcW w:w="1225" w:type="dxa"/>
            <w:shd w:val="clear" w:color="auto" w:fill="auto"/>
          </w:tcPr>
          <w:p w:rsidR="00D42474" w:rsidRDefault="00BB3F3E" w:rsidP="001A5BF9">
            <w:pPr>
              <w:spacing w:before="80"/>
              <w:jc w:val="center"/>
              <w:rPr>
                <w:sz w:val="14"/>
                <w:szCs w:val="14"/>
                <w:lang w:bidi="th-TH"/>
              </w:rPr>
            </w:pPr>
            <w:r w:rsidRPr="00B54F87">
              <w:rPr>
                <w:sz w:val="14"/>
              </w:rPr>
              <w:t>Programme 9</w:t>
            </w:r>
          </w:p>
          <w:p w:rsidR="00BB3F3E" w:rsidRPr="00B54F87" w:rsidRDefault="00BB3F3E" w:rsidP="001A5BF9">
            <w:pPr>
              <w:spacing w:before="120"/>
              <w:jc w:val="center"/>
              <w:rPr>
                <w:sz w:val="14"/>
                <w:szCs w:val="14"/>
                <w:lang w:bidi="th-TH"/>
              </w:rPr>
            </w:pPr>
            <w:r w:rsidRPr="00B54F87">
              <w:rPr>
                <w:sz w:val="14"/>
              </w:rPr>
              <w:t>Programme 17</w:t>
            </w:r>
          </w:p>
        </w:tc>
        <w:tc>
          <w:tcPr>
            <w:tcW w:w="901" w:type="dxa"/>
          </w:tcPr>
          <w:p w:rsidR="00D42474" w:rsidRDefault="00BB3F3E" w:rsidP="001A5BF9">
            <w:pPr>
              <w:jc w:val="center"/>
              <w:rPr>
                <w:rFonts w:cs="Arial"/>
                <w:color w:val="008000"/>
                <w:szCs w:val="22"/>
              </w:rPr>
            </w:pPr>
            <w:r w:rsidRPr="005C7CCE">
              <w:rPr>
                <w:color w:val="008000"/>
              </w:rPr>
              <w:sym w:font="Wingdings" w:char="F06C"/>
            </w:r>
          </w:p>
          <w:p w:rsidR="00BB3F3E" w:rsidRPr="005C7CCE" w:rsidRDefault="00BB3F3E" w:rsidP="001A5BF9">
            <w:pPr>
              <w:jc w:val="center"/>
              <w:rPr>
                <w:rFonts w:cs="Arial"/>
                <w:color w:val="008000"/>
                <w:szCs w:val="22"/>
                <w:highlight w:val="yellow"/>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Pourcentage de participants satisfaits de la qualité des ateliers et des séminaires sur l</w:t>
            </w:r>
            <w:r w:rsidR="00A20444" w:rsidRPr="00B54F87">
              <w:rPr>
                <w:sz w:val="14"/>
              </w:rPr>
              <w:t>’</w:t>
            </w:r>
            <w:r w:rsidRPr="00B54F87">
              <w:rPr>
                <w:sz w:val="14"/>
              </w:rPr>
              <w:t>innovation et sa commercialisation</w:t>
            </w:r>
          </w:p>
        </w:tc>
        <w:tc>
          <w:tcPr>
            <w:tcW w:w="1225" w:type="dxa"/>
            <w:shd w:val="clear" w:color="auto" w:fill="auto"/>
          </w:tcPr>
          <w:p w:rsidR="00D42474" w:rsidRDefault="00BB3F3E" w:rsidP="001A5BF9">
            <w:pPr>
              <w:spacing w:before="80"/>
              <w:jc w:val="center"/>
              <w:rPr>
                <w:sz w:val="14"/>
                <w:szCs w:val="14"/>
                <w:lang w:bidi="th-TH"/>
              </w:rPr>
            </w:pPr>
            <w:r w:rsidRPr="00B54F87">
              <w:rPr>
                <w:sz w:val="14"/>
              </w:rPr>
              <w:t>Programme 9</w:t>
            </w:r>
          </w:p>
          <w:p w:rsidR="00D42474" w:rsidRDefault="00BB3F3E" w:rsidP="001A5BF9">
            <w:pPr>
              <w:spacing w:before="80"/>
              <w:jc w:val="center"/>
              <w:rPr>
                <w:sz w:val="14"/>
                <w:szCs w:val="14"/>
                <w:lang w:bidi="th-TH"/>
              </w:rPr>
            </w:pPr>
            <w:r w:rsidRPr="00B54F87">
              <w:rPr>
                <w:sz w:val="14"/>
              </w:rPr>
              <w:t>Programme 10</w:t>
            </w:r>
          </w:p>
          <w:p w:rsidR="00BB3F3E" w:rsidRPr="00B54F87" w:rsidRDefault="00BB3F3E" w:rsidP="001A5BF9">
            <w:pPr>
              <w:spacing w:before="80"/>
              <w:jc w:val="center"/>
              <w:rPr>
                <w:sz w:val="14"/>
                <w:szCs w:val="14"/>
                <w:lang w:bidi="th-TH"/>
              </w:rPr>
            </w:pPr>
            <w:r w:rsidRPr="00B54F87">
              <w:rPr>
                <w:sz w:val="14"/>
              </w:rPr>
              <w:t>Programme 30</w:t>
            </w:r>
          </w:p>
        </w:tc>
        <w:tc>
          <w:tcPr>
            <w:tcW w:w="901" w:type="dxa"/>
          </w:tcPr>
          <w:p w:rsidR="00D42474" w:rsidRDefault="00BB3F3E" w:rsidP="001A5BF9">
            <w:pPr>
              <w:jc w:val="center"/>
              <w:rPr>
                <w:rFonts w:cs="Arial"/>
                <w:color w:val="008000"/>
                <w:szCs w:val="22"/>
              </w:rPr>
            </w:pPr>
            <w:r w:rsidRPr="005C7CCE">
              <w:rPr>
                <w:color w:val="008000"/>
              </w:rPr>
              <w:sym w:font="Wingdings" w:char="F06C"/>
            </w:r>
          </w:p>
          <w:p w:rsidR="00D42474" w:rsidRDefault="00BB3F3E" w:rsidP="001A5BF9">
            <w:pPr>
              <w:jc w:val="center"/>
              <w:rPr>
                <w:rFonts w:cs="Arial"/>
                <w:color w:val="008000"/>
                <w:szCs w:val="22"/>
              </w:rPr>
            </w:pPr>
            <w:r w:rsidRPr="005C7CCE">
              <w:rPr>
                <w:color w:val="008000"/>
              </w:rPr>
              <w:sym w:font="Wingdings" w:char="F06C"/>
            </w:r>
          </w:p>
          <w:p w:rsidR="00BB3F3E" w:rsidRPr="005C7CCE" w:rsidRDefault="00BB3F3E" w:rsidP="001A5BF9">
            <w:pPr>
              <w:jc w:val="center"/>
              <w:rPr>
                <w:color w:val="008000"/>
                <w:szCs w:val="22"/>
                <w:highlight w:val="yellow"/>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rPr>
                <w:sz w:val="14"/>
                <w:szCs w:val="14"/>
                <w:lang w:bidi="th-TH"/>
              </w:rPr>
            </w:pPr>
          </w:p>
        </w:tc>
        <w:tc>
          <w:tcPr>
            <w:tcW w:w="3828" w:type="dxa"/>
            <w:shd w:val="clear" w:color="auto" w:fill="auto"/>
          </w:tcPr>
          <w:p w:rsidR="00BB3F3E" w:rsidRPr="00B54F87" w:rsidRDefault="00BB3F3E" w:rsidP="001A5BF9">
            <w:pPr>
              <w:keepNext/>
              <w:keepLines/>
              <w:spacing w:before="80"/>
              <w:rPr>
                <w:sz w:val="14"/>
                <w:szCs w:val="14"/>
                <w:lang w:bidi="th-TH"/>
              </w:rPr>
            </w:pPr>
            <w:r w:rsidRPr="00B54F87">
              <w:rPr>
                <w:sz w:val="14"/>
              </w:rPr>
              <w:t>Pourcentage de participants satisfaits des ateliers de renforcement des capacités liées au droit d</w:t>
            </w:r>
            <w:r w:rsidR="00A20444" w:rsidRPr="00B54F87">
              <w:rPr>
                <w:sz w:val="14"/>
              </w:rPr>
              <w:t>’</w:t>
            </w:r>
            <w:r w:rsidRPr="00B54F87">
              <w:rPr>
                <w:sz w:val="14"/>
              </w:rPr>
              <w:t>auteur, et les ayant évalués comme utiles</w:t>
            </w:r>
          </w:p>
        </w:tc>
        <w:tc>
          <w:tcPr>
            <w:tcW w:w="1225" w:type="dxa"/>
            <w:shd w:val="clear" w:color="auto" w:fill="auto"/>
          </w:tcPr>
          <w:p w:rsidR="00BB3F3E" w:rsidRPr="00B54F87" w:rsidRDefault="00BB3F3E" w:rsidP="001A5BF9">
            <w:pPr>
              <w:keepNext/>
              <w:keepLines/>
              <w:spacing w:before="80"/>
              <w:jc w:val="center"/>
              <w:rPr>
                <w:sz w:val="14"/>
                <w:szCs w:val="14"/>
                <w:lang w:bidi="th-TH"/>
              </w:rPr>
            </w:pPr>
            <w:r w:rsidRPr="00B54F87">
              <w:rPr>
                <w:sz w:val="14"/>
              </w:rPr>
              <w:t>Programme 3</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rPr>
                <w:sz w:val="14"/>
                <w:szCs w:val="14"/>
                <w:lang w:bidi="th-TH"/>
              </w:rPr>
            </w:pPr>
          </w:p>
        </w:tc>
        <w:tc>
          <w:tcPr>
            <w:tcW w:w="3828" w:type="dxa"/>
            <w:shd w:val="clear" w:color="auto" w:fill="auto"/>
          </w:tcPr>
          <w:p w:rsidR="00BB3F3E" w:rsidRPr="00B54F87" w:rsidRDefault="00BB3F3E" w:rsidP="001A5BF9">
            <w:pPr>
              <w:keepNext/>
              <w:keepLines/>
              <w:spacing w:before="80"/>
              <w:rPr>
                <w:sz w:val="14"/>
                <w:szCs w:val="14"/>
                <w:lang w:bidi="th-TH"/>
              </w:rPr>
            </w:pPr>
            <w:r w:rsidRPr="00B54F87">
              <w:rPr>
                <w:sz w:val="14"/>
              </w:rPr>
              <w:t>Pourcentage de participants ayant évalué l</w:t>
            </w:r>
            <w:r w:rsidR="00A20444" w:rsidRPr="00B54F87">
              <w:rPr>
                <w:sz w:val="14"/>
              </w:rPr>
              <w:t>’</w:t>
            </w:r>
            <w:r w:rsidRPr="00B54F87">
              <w:rPr>
                <w:sz w:val="14"/>
              </w:rPr>
              <w:t>utilité des ateliers sur le droit d</w:t>
            </w:r>
            <w:r w:rsidR="00A20444" w:rsidRPr="00B54F87">
              <w:rPr>
                <w:sz w:val="14"/>
              </w:rPr>
              <w:t>’</w:t>
            </w:r>
            <w:r w:rsidRPr="00B54F87">
              <w:rPr>
                <w:sz w:val="14"/>
              </w:rPr>
              <w:t>auteur et l</w:t>
            </w:r>
            <w:r w:rsidR="00A20444" w:rsidRPr="00B54F87">
              <w:rPr>
                <w:sz w:val="14"/>
              </w:rPr>
              <w:t>’</w:t>
            </w:r>
            <w:r w:rsidRPr="00B54F87">
              <w:rPr>
                <w:sz w:val="14"/>
              </w:rPr>
              <w:t>utilisation pratique du savoir six mois après l</w:t>
            </w:r>
            <w:r w:rsidR="00A20444" w:rsidRPr="00B54F87">
              <w:rPr>
                <w:sz w:val="14"/>
              </w:rPr>
              <w:t>’</w:t>
            </w:r>
            <w:r w:rsidRPr="00B54F87">
              <w:rPr>
                <w:sz w:val="14"/>
              </w:rPr>
              <w:t>atelier</w:t>
            </w:r>
          </w:p>
        </w:tc>
        <w:tc>
          <w:tcPr>
            <w:tcW w:w="1225" w:type="dxa"/>
            <w:shd w:val="clear" w:color="auto" w:fill="auto"/>
          </w:tcPr>
          <w:p w:rsidR="00BB3F3E" w:rsidRPr="00B54F87" w:rsidRDefault="00BB3F3E" w:rsidP="001A5BF9">
            <w:pPr>
              <w:keepNext/>
              <w:keepLines/>
              <w:spacing w:before="80"/>
              <w:jc w:val="center"/>
              <w:rPr>
                <w:sz w:val="14"/>
                <w:szCs w:val="14"/>
                <w:lang w:bidi="th-TH"/>
              </w:rPr>
            </w:pPr>
            <w:r w:rsidRPr="00B54F87">
              <w:rPr>
                <w:sz w:val="14"/>
              </w:rPr>
              <w:t>Programme 3</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projets relatifs au droit d</w:t>
            </w:r>
            <w:r w:rsidR="00A20444" w:rsidRPr="00B54F87">
              <w:rPr>
                <w:sz w:val="14"/>
              </w:rPr>
              <w:t>’</w:t>
            </w:r>
            <w:r w:rsidRPr="00B54F87">
              <w:rPr>
                <w:sz w:val="14"/>
              </w:rPr>
              <w:t>auteur et aux droits connexes, li</w:t>
            </w:r>
            <w:r w:rsidR="00106829" w:rsidRPr="00B54F87">
              <w:rPr>
                <w:sz w:val="14"/>
              </w:rPr>
              <w:t>é</w:t>
            </w:r>
            <w:r w:rsidRPr="00B54F87">
              <w:rPr>
                <w:sz w:val="14"/>
              </w:rPr>
              <w:t>s aux thèmes abordés par les ateliers et mis en œuvre directement après la tenue de ces ateliers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3</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val="restart"/>
            <w:shd w:val="clear" w:color="auto" w:fill="auto"/>
            <w:vAlign w:val="center"/>
          </w:tcPr>
          <w:p w:rsidR="00D42474" w:rsidRDefault="00D42474" w:rsidP="001A5BF9">
            <w:pPr>
              <w:spacing w:before="80"/>
              <w:rPr>
                <w:sz w:val="14"/>
              </w:rPr>
            </w:pPr>
          </w:p>
          <w:p w:rsidR="00D42474" w:rsidRDefault="00BB3F3E" w:rsidP="001A5BF9">
            <w:pPr>
              <w:spacing w:before="80"/>
              <w:rPr>
                <w:sz w:val="14"/>
                <w:szCs w:val="14"/>
                <w:lang w:bidi="th-TH"/>
              </w:rPr>
            </w:pPr>
            <w:r w:rsidRPr="00B54F87">
              <w:rPr>
                <w:sz w:val="14"/>
              </w:rPr>
              <w:t>Renforcement ou établissement de mécanismes, de programmes et de partenariats de coopération dans</w:t>
            </w:r>
            <w:r w:rsidR="00A20444" w:rsidRPr="00B54F87">
              <w:rPr>
                <w:sz w:val="14"/>
              </w:rPr>
              <w:t xml:space="preserve"> les PMA</w:t>
            </w:r>
          </w:p>
          <w:p w:rsidR="00BB3F3E" w:rsidRPr="00B54F87" w:rsidRDefault="00BB3F3E" w:rsidP="001A5BF9">
            <w:pPr>
              <w:spacing w:before="80"/>
              <w:ind w:firstLineChars="100" w:firstLine="14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w:t>
            </w:r>
            <w:r w:rsidR="00A20444" w:rsidRPr="00B54F87">
              <w:rPr>
                <w:sz w:val="14"/>
              </w:rPr>
              <w:t>’</w:t>
            </w:r>
            <w:r w:rsidRPr="00B54F87">
              <w:rPr>
                <w:sz w:val="14"/>
              </w:rPr>
              <w:t>utilisateurs provenant de pays en développement, utilisant des instruments, des modèles et du matériel élaborés par l</w:t>
            </w:r>
            <w:r w:rsidR="00A20444" w:rsidRPr="00B54F87">
              <w:rPr>
                <w:sz w:val="14"/>
              </w:rPr>
              <w:t>’</w:t>
            </w:r>
            <w:r w:rsidRPr="00B54F87">
              <w:rPr>
                <w:sz w:val="14"/>
              </w:rPr>
              <w:t>OMPI, concernant l</w:t>
            </w:r>
            <w:r w:rsidR="00A20444" w:rsidRPr="00B54F87">
              <w:rPr>
                <w:sz w:val="14"/>
              </w:rPr>
              <w:t>’</w:t>
            </w:r>
            <w:r w:rsidRPr="00B54F87">
              <w:rPr>
                <w:sz w:val="14"/>
              </w:rPr>
              <w:t>innovation et sa commercialisation</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30</w:t>
            </w:r>
          </w:p>
        </w:tc>
        <w:tc>
          <w:tcPr>
            <w:tcW w:w="901" w:type="dxa"/>
          </w:tcPr>
          <w:p w:rsidR="00BB3F3E" w:rsidRPr="005C7CCE" w:rsidRDefault="00BB3F3E" w:rsidP="001A5BF9">
            <w:pPr>
              <w:spacing w:before="20"/>
              <w:jc w:val="center"/>
              <w:rPr>
                <w:rFonts w:cs="Arial"/>
                <w:color w:val="008000"/>
                <w:szCs w:val="22"/>
              </w:rPr>
            </w:pPr>
            <w:r w:rsidRPr="005C7CCE">
              <w:rPr>
                <w:color w:val="008000"/>
              </w:rPr>
              <w:sym w:font="Wingdings" w:char="F06C"/>
            </w:r>
          </w:p>
        </w:tc>
      </w:tr>
      <w:tr w:rsidR="00BB3F3E" w:rsidRPr="005C7CCE" w:rsidTr="00AA3983">
        <w:tc>
          <w:tcPr>
            <w:tcW w:w="3417" w:type="dxa"/>
            <w:vMerge/>
            <w:shd w:val="clear" w:color="auto" w:fill="auto"/>
          </w:tcPr>
          <w:p w:rsidR="00BB3F3E" w:rsidRPr="00B54F87" w:rsidRDefault="00BB3F3E" w:rsidP="001A5BF9">
            <w:pPr>
              <w:spacing w:before="80"/>
              <w:ind w:firstLineChars="100" w:firstLine="14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partenariats établis dans</w:t>
            </w:r>
            <w:r w:rsidR="00A20444" w:rsidRPr="00B54F87">
              <w:rPr>
                <w:sz w:val="14"/>
              </w:rPr>
              <w:t xml:space="preserve"> les PMA</w:t>
            </w:r>
            <w:r w:rsidRPr="00B54F87">
              <w:rPr>
                <w:sz w:val="14"/>
              </w:rPr>
              <w:t xml:space="preserve"> entre les organismes gouvernementaux, le secteur privé,</w:t>
            </w:r>
            <w:r w:rsidR="00A20444" w:rsidRPr="00B54F87">
              <w:rPr>
                <w:sz w:val="14"/>
              </w:rPr>
              <w:t xml:space="preserve"> les ONG</w:t>
            </w:r>
            <w:r w:rsidRPr="00B54F87">
              <w:rPr>
                <w:sz w:val="14"/>
              </w:rPr>
              <w:t xml:space="preserve"> et d</w:t>
            </w:r>
            <w:r w:rsidR="00A20444" w:rsidRPr="00B54F87">
              <w:rPr>
                <w:sz w:val="14"/>
              </w:rPr>
              <w:t>’</w:t>
            </w:r>
            <w:r w:rsidRPr="00B54F87">
              <w:rPr>
                <w:sz w:val="14"/>
              </w:rPr>
              <w:t>autres partenaires du développement (PMA)</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shd w:val="clear" w:color="auto" w:fill="auto"/>
          </w:tcPr>
          <w:p w:rsidR="00BB3F3E" w:rsidRPr="00B54F87" w:rsidRDefault="00BB3F3E" w:rsidP="001A5BF9">
            <w:pPr>
              <w:spacing w:before="80"/>
              <w:ind w:firstLineChars="100" w:firstLine="14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programmes de propriété intellectuelle mis en œuvre conjointement avec d</w:t>
            </w:r>
            <w:r w:rsidR="00A20444" w:rsidRPr="00B54F87">
              <w:rPr>
                <w:sz w:val="14"/>
              </w:rPr>
              <w:t>’</w:t>
            </w:r>
            <w:r w:rsidRPr="00B54F87">
              <w:rPr>
                <w:sz w:val="14"/>
              </w:rPr>
              <w:t xml:space="preserve">autres organismes des </w:t>
            </w:r>
            <w:r w:rsidR="00A20444" w:rsidRPr="00B54F87">
              <w:rPr>
                <w:sz w:val="14"/>
              </w:rPr>
              <w:t>Nations Unies</w:t>
            </w:r>
            <w:r w:rsidRPr="00B54F87">
              <w:rPr>
                <w:sz w:val="14"/>
              </w:rPr>
              <w:t xml:space="preserve"> et d</w:t>
            </w:r>
            <w:r w:rsidR="00A20444" w:rsidRPr="00B54F87">
              <w:rPr>
                <w:sz w:val="14"/>
              </w:rPr>
              <w:t>’</w:t>
            </w:r>
            <w:r w:rsidRPr="00B54F87">
              <w:rPr>
                <w:sz w:val="14"/>
              </w:rPr>
              <w:t xml:space="preserve">autres organisations intergouvernementales (PMA) </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9</w:t>
            </w:r>
          </w:p>
        </w:tc>
        <w:tc>
          <w:tcPr>
            <w:tcW w:w="901" w:type="dxa"/>
          </w:tcPr>
          <w:p w:rsidR="00BB3F3E" w:rsidRPr="005C7CCE" w:rsidRDefault="00BB3F3E" w:rsidP="001A5BF9">
            <w:pPr>
              <w:spacing w:before="20"/>
              <w:jc w:val="center"/>
              <w:rPr>
                <w:szCs w:val="22"/>
              </w:rPr>
            </w:pPr>
            <w:r w:rsidRPr="005C7CCE">
              <w:rPr>
                <w:color w:val="E36C0A"/>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Pourcentage de personnes qui font part de leur satisfaction à</w:t>
            </w:r>
            <w:r w:rsidR="0010442A" w:rsidRPr="00B54F87">
              <w:rPr>
                <w:sz w:val="14"/>
              </w:rPr>
              <w:t> </w:t>
            </w:r>
            <w:r w:rsidRPr="00B54F87">
              <w:rPr>
                <w:sz w:val="14"/>
              </w:rPr>
              <w:t>l</w:t>
            </w:r>
            <w:r w:rsidR="00A20444" w:rsidRPr="00B54F87">
              <w:rPr>
                <w:sz w:val="14"/>
              </w:rPr>
              <w:t>’</w:t>
            </w:r>
            <w:r w:rsidRPr="00B54F87">
              <w:rPr>
                <w:sz w:val="14"/>
              </w:rPr>
              <w:t>égard de la formation reçue dans les offices de propriété intellectuelle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Pourcentage de personnes formées qui font état d</w:t>
            </w:r>
            <w:r w:rsidR="00A20444" w:rsidRPr="00B54F87">
              <w:rPr>
                <w:sz w:val="14"/>
              </w:rPr>
              <w:t>’</w:t>
            </w:r>
            <w:r w:rsidRPr="00B54F87">
              <w:rPr>
                <w:sz w:val="14"/>
              </w:rPr>
              <w:t>une utilisation effective, dans le cadre de leur travail, des compétences acquises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60"/>
              <w:ind w:firstLineChars="100" w:firstLine="140"/>
              <w:rPr>
                <w:sz w:val="14"/>
                <w:szCs w:val="14"/>
                <w:lang w:bidi="th-TH"/>
              </w:rPr>
            </w:pPr>
            <w:r w:rsidRPr="00B54F87">
              <w:rPr>
                <w:sz w:val="14"/>
              </w:rPr>
              <w:t> </w:t>
            </w:r>
          </w:p>
        </w:tc>
        <w:tc>
          <w:tcPr>
            <w:tcW w:w="3828" w:type="dxa"/>
            <w:shd w:val="clear" w:color="auto" w:fill="auto"/>
            <w:tcMar>
              <w:top w:w="113" w:type="dxa"/>
            </w:tcMar>
          </w:tcPr>
          <w:p w:rsidR="00BB3F3E" w:rsidRPr="00B54F87" w:rsidRDefault="00BB3F3E" w:rsidP="001A5BF9">
            <w:pPr>
              <w:spacing w:before="60"/>
              <w:rPr>
                <w:sz w:val="14"/>
                <w:szCs w:val="14"/>
                <w:lang w:bidi="th-TH"/>
              </w:rPr>
            </w:pPr>
            <w:r w:rsidRPr="00B54F87">
              <w:rPr>
                <w:sz w:val="14"/>
              </w:rPr>
              <w:t>Pourcentage de superviseurs qui certifient que les compétences acquises après une année de formation sont utilisées de manière satisfaisante</w:t>
            </w:r>
          </w:p>
        </w:tc>
        <w:tc>
          <w:tcPr>
            <w:tcW w:w="1225" w:type="dxa"/>
            <w:shd w:val="clear" w:color="auto" w:fill="auto"/>
          </w:tcPr>
          <w:p w:rsidR="00BB3F3E" w:rsidRPr="00B54F87" w:rsidRDefault="00BB3F3E" w:rsidP="001A5BF9">
            <w:pPr>
              <w:spacing w:before="6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personnes diplômées de l</w:t>
            </w:r>
            <w:r w:rsidR="00A20444" w:rsidRPr="00B54F87">
              <w:rPr>
                <w:sz w:val="14"/>
              </w:rPr>
              <w:t>’</w:t>
            </w:r>
            <w:r w:rsidRPr="00B54F87">
              <w:rPr>
                <w:sz w:val="14"/>
              </w:rPr>
              <w:t>Académie de l</w:t>
            </w:r>
            <w:r w:rsidR="00A20444" w:rsidRPr="00B54F87">
              <w:rPr>
                <w:sz w:val="14"/>
              </w:rPr>
              <w:t>’</w:t>
            </w:r>
            <w:r w:rsidRPr="00B54F87">
              <w:rPr>
                <w:sz w:val="14"/>
              </w:rPr>
              <w:t>OMPI et d</w:t>
            </w:r>
            <w:r w:rsidR="00A20444" w:rsidRPr="00B54F87">
              <w:rPr>
                <w:sz w:val="14"/>
              </w:rPr>
              <w:t>’</w:t>
            </w:r>
            <w:r w:rsidRPr="00B54F87">
              <w:rPr>
                <w:sz w:val="14"/>
              </w:rPr>
              <w:t>établissements universitaires partenaires (diplômes communs)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participants formés dans le cadre des cours d</w:t>
            </w:r>
            <w:r w:rsidR="00A20444" w:rsidRPr="00B54F87">
              <w:rPr>
                <w:sz w:val="14"/>
              </w:rPr>
              <w:t>’</w:t>
            </w:r>
            <w:r w:rsidRPr="00B54F87">
              <w:rPr>
                <w:sz w:val="14"/>
              </w:rPr>
              <w:t>été dispensés par l</w:t>
            </w:r>
            <w:r w:rsidR="00A20444" w:rsidRPr="00B54F87">
              <w:rPr>
                <w:sz w:val="14"/>
              </w:rPr>
              <w:t>’</w:t>
            </w:r>
            <w:r w:rsidRPr="00B54F87">
              <w:rPr>
                <w:sz w:val="14"/>
              </w:rPr>
              <w:t>OMPI chaque année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w:t>
            </w:r>
            <w:r w:rsidR="00A20444" w:rsidRPr="00B54F87">
              <w:rPr>
                <w:sz w:val="14"/>
              </w:rPr>
              <w:t>’</w:t>
            </w:r>
            <w:r w:rsidRPr="00B54F87">
              <w:rPr>
                <w:sz w:val="14"/>
              </w:rPr>
              <w:t>enseignants en propriété intellectuelle formés par l</w:t>
            </w:r>
            <w:r w:rsidR="00A20444" w:rsidRPr="00B54F87">
              <w:rPr>
                <w:sz w:val="14"/>
              </w:rPr>
              <w:t>’</w:t>
            </w:r>
            <w:r w:rsidRPr="00B54F87">
              <w:rPr>
                <w:sz w:val="14"/>
              </w:rPr>
              <w:t>Académie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 xml:space="preserve">Nombre de nouvelles académies créées </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nouveaux accords de coopération interinstitutionnelle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rPr>
                <w:sz w:val="14"/>
                <w:szCs w:val="14"/>
                <w:lang w:bidi="th-TH"/>
              </w:rPr>
            </w:pPr>
            <w:r w:rsidRPr="00B54F87">
              <w:rPr>
                <w:sz w:val="14"/>
              </w:rPr>
              <w:t>Accès facilité à l</w:t>
            </w:r>
            <w:r w:rsidR="00A20444" w:rsidRPr="00B54F87">
              <w:rPr>
                <w:sz w:val="14"/>
              </w:rPr>
              <w:t>’</w:t>
            </w:r>
            <w:r w:rsidRPr="00B54F87">
              <w:rPr>
                <w:sz w:val="14"/>
              </w:rPr>
              <w:t>enseignement en matière de propriété intellectuelle</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w:t>
            </w:r>
            <w:r w:rsidR="00A20444" w:rsidRPr="00B54F87">
              <w:rPr>
                <w:sz w:val="14"/>
              </w:rPr>
              <w:t>’</w:t>
            </w:r>
            <w:r w:rsidRPr="00B54F87">
              <w:rPr>
                <w:sz w:val="14"/>
              </w:rPr>
              <w:t>inscriptions en ligne aux cours d</w:t>
            </w:r>
            <w:r w:rsidR="00A20444" w:rsidRPr="00B54F87">
              <w:rPr>
                <w:sz w:val="14"/>
              </w:rPr>
              <w:t>’</w:t>
            </w:r>
            <w:r w:rsidRPr="00B54F87">
              <w:rPr>
                <w:sz w:val="14"/>
              </w:rPr>
              <w:t>enseignement à distance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rPr>
          <w:trHeight w:val="225"/>
        </w:trPr>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Taux d</w:t>
            </w:r>
            <w:r w:rsidR="00A20444" w:rsidRPr="00B54F87">
              <w:rPr>
                <w:sz w:val="14"/>
              </w:rPr>
              <w:t>’</w:t>
            </w:r>
            <w:r w:rsidRPr="00B54F87">
              <w:rPr>
                <w:sz w:val="14"/>
              </w:rPr>
              <w:t>achèvement des cours d</w:t>
            </w:r>
            <w:r w:rsidR="00A20444" w:rsidRPr="00B54F87">
              <w:rPr>
                <w:sz w:val="14"/>
              </w:rPr>
              <w:t>’</w:t>
            </w:r>
            <w:r w:rsidRPr="00B54F87">
              <w:rPr>
                <w:sz w:val="14"/>
              </w:rPr>
              <w:t>enseignement à distance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Pourcentage de participants aux cours d</w:t>
            </w:r>
            <w:r w:rsidR="00A20444" w:rsidRPr="00B54F87">
              <w:rPr>
                <w:sz w:val="14"/>
              </w:rPr>
              <w:t>’</w:t>
            </w:r>
            <w:r w:rsidRPr="00B54F87">
              <w:rPr>
                <w:sz w:val="14"/>
              </w:rPr>
              <w:t>enseignement à distance ayant réussi l</w:t>
            </w:r>
            <w:r w:rsidR="00A20444" w:rsidRPr="00B54F87">
              <w:rPr>
                <w:sz w:val="14"/>
              </w:rPr>
              <w:t>’</w:t>
            </w:r>
            <w:r w:rsidRPr="00B54F87">
              <w:rPr>
                <w:sz w:val="14"/>
              </w:rPr>
              <w:t>examen </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cours de l</w:t>
            </w:r>
            <w:r w:rsidR="00A20444" w:rsidRPr="00B54F87">
              <w:rPr>
                <w:sz w:val="14"/>
              </w:rPr>
              <w:t>’</w:t>
            </w:r>
            <w:r w:rsidRPr="00B54F87">
              <w:rPr>
                <w:sz w:val="14"/>
              </w:rPr>
              <w:t>Académie introduits dans des programmes d</w:t>
            </w:r>
            <w:r w:rsidR="00A20444" w:rsidRPr="00B54F87">
              <w:rPr>
                <w:sz w:val="14"/>
              </w:rPr>
              <w:t>’</w:t>
            </w:r>
            <w:r w:rsidRPr="00B54F87">
              <w:rPr>
                <w:sz w:val="14"/>
              </w:rPr>
              <w:t>établissements d</w:t>
            </w:r>
            <w:r w:rsidR="00A20444" w:rsidRPr="00B54F87">
              <w:rPr>
                <w:sz w:val="14"/>
              </w:rPr>
              <w:t>’</w:t>
            </w:r>
            <w:r w:rsidRPr="00B54F87">
              <w:rPr>
                <w:sz w:val="14"/>
              </w:rPr>
              <w:t>enseignement</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nouveaux cours en ligne à différents niveaux de spécialisation</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szCs w:val="22"/>
              </w:rPr>
            </w:pPr>
            <w:r w:rsidRPr="005C7CCE">
              <w:rPr>
                <w:color w:val="FF0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langues dans lesquelles les cours sont dispensés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keepNext/>
              <w:keepLines/>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keepNext/>
              <w:keepLines/>
              <w:spacing w:before="80"/>
              <w:rPr>
                <w:sz w:val="14"/>
                <w:szCs w:val="14"/>
                <w:lang w:bidi="th-TH"/>
              </w:rPr>
            </w:pPr>
            <w:r w:rsidRPr="00B54F87">
              <w:rPr>
                <w:sz w:val="14"/>
              </w:rPr>
              <w:t>Nombre de bourses d</w:t>
            </w:r>
            <w:r w:rsidR="00A20444" w:rsidRPr="00B54F87">
              <w:rPr>
                <w:sz w:val="14"/>
              </w:rPr>
              <w:t>’</w:t>
            </w:r>
            <w:r w:rsidRPr="00B54F87">
              <w:rPr>
                <w:sz w:val="14"/>
              </w:rPr>
              <w:t>études accordées à des participants venant de pays en développement, de PMA et de pays en transition</w:t>
            </w:r>
          </w:p>
        </w:tc>
        <w:tc>
          <w:tcPr>
            <w:tcW w:w="1225" w:type="dxa"/>
            <w:shd w:val="clear" w:color="auto" w:fill="auto"/>
          </w:tcPr>
          <w:p w:rsidR="00BB3F3E" w:rsidRPr="00B54F87" w:rsidRDefault="00BB3F3E" w:rsidP="001A5BF9">
            <w:pPr>
              <w:keepNext/>
              <w:keepLines/>
              <w:spacing w:before="80"/>
              <w:jc w:val="center"/>
              <w:rPr>
                <w:sz w:val="14"/>
                <w:szCs w:val="14"/>
                <w:lang w:bidi="th-TH"/>
              </w:rPr>
            </w:pPr>
            <w:r w:rsidRPr="00B54F87">
              <w:rPr>
                <w:sz w:val="14"/>
              </w:rPr>
              <w:t>Programme 11</w:t>
            </w:r>
          </w:p>
        </w:tc>
        <w:tc>
          <w:tcPr>
            <w:tcW w:w="901" w:type="dxa"/>
          </w:tcPr>
          <w:p w:rsidR="00BB3F3E" w:rsidRPr="005C7CCE" w:rsidRDefault="00BB3F3E" w:rsidP="001A5BF9">
            <w:pPr>
              <w:keepNext/>
              <w:keepLines/>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rPr>
                <w:sz w:val="14"/>
                <w:szCs w:val="14"/>
                <w:lang w:bidi="th-TH"/>
              </w:rPr>
            </w:pPr>
            <w:r w:rsidRPr="00B54F87">
              <w:rPr>
                <w:sz w:val="14"/>
              </w:rPr>
              <w:t>Mise à niveau des compétences en matière de gestion de la propriété intellectuelle pour les entreprises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Pourcentage de participants qui font part de leur satisfaction à</w:t>
            </w:r>
            <w:r w:rsidR="0010442A" w:rsidRPr="00B54F87">
              <w:rPr>
                <w:sz w:val="14"/>
              </w:rPr>
              <w:t> </w:t>
            </w:r>
            <w:r w:rsidRPr="00B54F87">
              <w:rPr>
                <w:sz w:val="14"/>
              </w:rPr>
              <w:t>l</w:t>
            </w:r>
            <w:r w:rsidR="00A20444" w:rsidRPr="00B54F87">
              <w:rPr>
                <w:sz w:val="14"/>
              </w:rPr>
              <w:t>’</w:t>
            </w:r>
            <w:r w:rsidRPr="00B54F87">
              <w:rPr>
                <w:sz w:val="14"/>
              </w:rPr>
              <w:t>égard de la formation reçue</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Pourcentage de personnes formées qui font état d</w:t>
            </w:r>
            <w:r w:rsidR="00A20444" w:rsidRPr="00B54F87">
              <w:rPr>
                <w:sz w:val="14"/>
              </w:rPr>
              <w:t>’</w:t>
            </w:r>
            <w:r w:rsidRPr="00B54F87">
              <w:rPr>
                <w:sz w:val="14"/>
              </w:rPr>
              <w:t>une utilisation effective, dans le cadre de leur travail, des compétences acquises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demandes de cours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11</w:t>
            </w:r>
          </w:p>
        </w:tc>
        <w:tc>
          <w:tcPr>
            <w:tcW w:w="901" w:type="dxa"/>
          </w:tcPr>
          <w:p w:rsidR="00BB3F3E" w:rsidRPr="005C7CCE" w:rsidRDefault="00BB3F3E" w:rsidP="001A5BF9">
            <w:pPr>
              <w:spacing w:before="20"/>
              <w:jc w:val="center"/>
              <w:rPr>
                <w:color w:val="00B050"/>
                <w:szCs w:val="22"/>
              </w:rPr>
            </w:pPr>
            <w:r w:rsidRPr="005C7CCE">
              <w:rPr>
                <w:color w:val="FF0000"/>
              </w:rPr>
              <w:sym w:font="Wingdings" w:char="F06C"/>
            </w:r>
          </w:p>
        </w:tc>
      </w:tr>
      <w:tr w:rsidR="00BB3F3E" w:rsidRPr="005C7CCE" w:rsidTr="00AA3983">
        <w:tc>
          <w:tcPr>
            <w:tcW w:w="3417" w:type="dxa"/>
            <w:vMerge w:val="restart"/>
            <w:shd w:val="clear" w:color="auto" w:fill="auto"/>
          </w:tcPr>
          <w:p w:rsidR="00BB3F3E" w:rsidRPr="00B54F87" w:rsidRDefault="00BB3F3E" w:rsidP="001A5BF9">
            <w:pPr>
              <w:spacing w:before="60"/>
              <w:rPr>
                <w:sz w:val="14"/>
                <w:szCs w:val="14"/>
                <w:lang w:bidi="th-TH"/>
              </w:rPr>
            </w:pPr>
            <w:r w:rsidRPr="00B54F87">
              <w:rPr>
                <w:sz w:val="14"/>
              </w:rPr>
              <w:t>Amélioration de la compréhension/la capacité des PME et des organismes de soutien aux PME pour mettre la propriété intellectuelle au service de l</w:t>
            </w:r>
            <w:r w:rsidR="00A20444" w:rsidRPr="00B54F87">
              <w:rPr>
                <w:sz w:val="14"/>
              </w:rPr>
              <w:t>’</w:t>
            </w:r>
            <w:r w:rsidRPr="00B54F87">
              <w:rPr>
                <w:sz w:val="14"/>
              </w:rPr>
              <w:t xml:space="preserve">innovation et de sa commercialisation </w:t>
            </w:r>
          </w:p>
        </w:tc>
        <w:tc>
          <w:tcPr>
            <w:tcW w:w="3828" w:type="dxa"/>
            <w:shd w:val="clear" w:color="auto" w:fill="auto"/>
          </w:tcPr>
          <w:p w:rsidR="00BB3F3E" w:rsidRPr="00B54F87" w:rsidRDefault="00BB3F3E" w:rsidP="001A5BF9">
            <w:pPr>
              <w:spacing w:before="60"/>
              <w:rPr>
                <w:sz w:val="14"/>
                <w:szCs w:val="14"/>
                <w:lang w:bidi="th-TH"/>
              </w:rPr>
            </w:pPr>
            <w:r w:rsidRPr="00B54F87">
              <w:rPr>
                <w:sz w:val="14"/>
              </w:rPr>
              <w:t>Pourcentage d</w:t>
            </w:r>
            <w:r w:rsidR="00A20444" w:rsidRPr="00B54F87">
              <w:rPr>
                <w:sz w:val="14"/>
              </w:rPr>
              <w:t>’</w:t>
            </w:r>
            <w:r w:rsidRPr="00B54F87">
              <w:rPr>
                <w:sz w:val="14"/>
              </w:rPr>
              <w:t>institutions d</w:t>
            </w:r>
            <w:r w:rsidR="00A20444" w:rsidRPr="00B54F87">
              <w:rPr>
                <w:sz w:val="14"/>
              </w:rPr>
              <w:t>’</w:t>
            </w:r>
            <w:r w:rsidRPr="00B54F87">
              <w:rPr>
                <w:sz w:val="14"/>
              </w:rPr>
              <w:t xml:space="preserve">appui ayant obtenu une assistance qui </w:t>
            </w:r>
            <w:proofErr w:type="gramStart"/>
            <w:r w:rsidRPr="00B54F87">
              <w:rPr>
                <w:sz w:val="14"/>
              </w:rPr>
              <w:t>fournissent</w:t>
            </w:r>
            <w:proofErr w:type="gramEnd"/>
            <w:r w:rsidRPr="00B54F87">
              <w:rPr>
                <w:sz w:val="14"/>
              </w:rPr>
              <w:t xml:space="preserve"> des services d</w:t>
            </w:r>
            <w:r w:rsidR="00A20444" w:rsidRPr="00B54F87">
              <w:rPr>
                <w:sz w:val="14"/>
              </w:rPr>
              <w:t>’</w:t>
            </w:r>
            <w:r w:rsidRPr="00B54F87">
              <w:rPr>
                <w:sz w:val="14"/>
              </w:rPr>
              <w:t>information, d</w:t>
            </w:r>
            <w:r w:rsidR="00A20444" w:rsidRPr="00B54F87">
              <w:rPr>
                <w:sz w:val="14"/>
              </w:rPr>
              <w:t>’</w:t>
            </w:r>
            <w:r w:rsidRPr="00B54F87">
              <w:rPr>
                <w:sz w:val="14"/>
              </w:rPr>
              <w:t xml:space="preserve">appui et de conseil/consultation en matière de gestion des actifs de propriété intellectuelle </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30</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shd w:val="clear" w:color="auto" w:fill="auto"/>
          </w:tcPr>
          <w:p w:rsidR="00BB3F3E" w:rsidRPr="00B54F87" w:rsidRDefault="00BB3F3E" w:rsidP="001A5BF9">
            <w:pPr>
              <w:spacing w:before="60"/>
              <w:rPr>
                <w:sz w:val="14"/>
                <w:szCs w:val="14"/>
                <w:lang w:bidi="th-TH"/>
              </w:rPr>
            </w:pPr>
          </w:p>
        </w:tc>
        <w:tc>
          <w:tcPr>
            <w:tcW w:w="3828" w:type="dxa"/>
            <w:shd w:val="clear" w:color="auto" w:fill="auto"/>
          </w:tcPr>
          <w:p w:rsidR="00BB3F3E" w:rsidRPr="00B54F87" w:rsidRDefault="00BB3F3E" w:rsidP="001A5BF9">
            <w:pPr>
              <w:spacing w:before="60"/>
              <w:rPr>
                <w:sz w:val="14"/>
                <w:szCs w:val="14"/>
                <w:lang w:bidi="th-TH"/>
              </w:rPr>
            </w:pPr>
            <w:r w:rsidRPr="00B54F87">
              <w:rPr>
                <w:sz w:val="14"/>
              </w:rPr>
              <w:t xml:space="preserve">Nombre de programmes de formation nationaux et régionaux sur la gestion des actifs de propriété intellectuelle </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30</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60"/>
              <w:rPr>
                <w:sz w:val="14"/>
                <w:szCs w:val="14"/>
                <w:lang w:bidi="th-TH"/>
              </w:rPr>
            </w:pPr>
          </w:p>
        </w:tc>
        <w:tc>
          <w:tcPr>
            <w:tcW w:w="3828" w:type="dxa"/>
            <w:shd w:val="clear" w:color="auto" w:fill="auto"/>
          </w:tcPr>
          <w:p w:rsidR="00BB3F3E" w:rsidRPr="00B54F87" w:rsidRDefault="00B54F87" w:rsidP="00B54F87">
            <w:pPr>
              <w:spacing w:before="60"/>
              <w:rPr>
                <w:sz w:val="14"/>
                <w:szCs w:val="14"/>
                <w:lang w:bidi="th-TH"/>
              </w:rPr>
            </w:pPr>
            <w:r>
              <w:rPr>
                <w:sz w:val="14"/>
              </w:rPr>
              <w:t xml:space="preserve">Pourcentage </w:t>
            </w:r>
            <w:r w:rsidR="00BB3F3E" w:rsidRPr="00B54F87">
              <w:rPr>
                <w:sz w:val="14"/>
              </w:rPr>
              <w:t>d</w:t>
            </w:r>
            <w:r w:rsidR="00A20444" w:rsidRPr="00B54F87">
              <w:rPr>
                <w:sz w:val="14"/>
              </w:rPr>
              <w:t>’</w:t>
            </w:r>
            <w:r w:rsidR="00BB3F3E" w:rsidRPr="00B54F87">
              <w:rPr>
                <w:sz w:val="14"/>
              </w:rPr>
              <w:t>organismes de soutien aux PME satisfaits des formations assurées en matière de gestion d</w:t>
            </w:r>
            <w:r w:rsidR="00A20444" w:rsidRPr="00B54F87">
              <w:rPr>
                <w:sz w:val="14"/>
              </w:rPr>
              <w:t>’</w:t>
            </w:r>
            <w:r w:rsidR="00BB3F3E" w:rsidRPr="00B54F87">
              <w:rPr>
                <w:sz w:val="14"/>
              </w:rPr>
              <w:t xml:space="preserve">actifs de propriété intellectuelle </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30</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val="restart"/>
            <w:shd w:val="clear" w:color="auto" w:fill="auto"/>
          </w:tcPr>
          <w:p w:rsidR="00D42474" w:rsidRDefault="00BB3F3E" w:rsidP="001A5BF9">
            <w:pPr>
              <w:spacing w:before="60"/>
              <w:rPr>
                <w:sz w:val="14"/>
                <w:szCs w:val="14"/>
                <w:lang w:bidi="th-TH"/>
              </w:rPr>
            </w:pPr>
            <w:r w:rsidRPr="00B54F87">
              <w:rPr>
                <w:sz w:val="14"/>
              </w:rPr>
              <w:t>Principes du Plan d</w:t>
            </w:r>
            <w:r w:rsidR="00A20444" w:rsidRPr="00B54F87">
              <w:rPr>
                <w:sz w:val="14"/>
              </w:rPr>
              <w:t>’</w:t>
            </w:r>
            <w:r w:rsidRPr="00B54F87">
              <w:rPr>
                <w:sz w:val="14"/>
              </w:rPr>
              <w:t>action pour le développement intégrés dans les programmes et activités de l</w:t>
            </w:r>
            <w:r w:rsidR="00A20444" w:rsidRPr="00B54F87">
              <w:rPr>
                <w:sz w:val="14"/>
              </w:rPr>
              <w:t>’</w:t>
            </w:r>
            <w:r w:rsidRPr="00B54F87">
              <w:rPr>
                <w:sz w:val="14"/>
              </w:rPr>
              <w:t>Organisation</w:t>
            </w:r>
          </w:p>
          <w:p w:rsidR="00BB3F3E" w:rsidRPr="00B54F87" w:rsidRDefault="00BB3F3E" w:rsidP="001A5BF9">
            <w:pPr>
              <w:spacing w:before="60"/>
              <w:ind w:firstLineChars="100" w:firstLine="140"/>
              <w:rPr>
                <w:sz w:val="14"/>
                <w:szCs w:val="14"/>
                <w:lang w:bidi="th-TH"/>
              </w:rPr>
            </w:pPr>
          </w:p>
        </w:tc>
        <w:tc>
          <w:tcPr>
            <w:tcW w:w="3828" w:type="dxa"/>
            <w:shd w:val="clear" w:color="auto" w:fill="auto"/>
          </w:tcPr>
          <w:p w:rsidR="00BB3F3E" w:rsidRPr="00B54F87" w:rsidRDefault="00BB3F3E" w:rsidP="001A5BF9">
            <w:pPr>
              <w:spacing w:before="60"/>
              <w:rPr>
                <w:sz w:val="14"/>
                <w:szCs w:val="14"/>
                <w:lang w:bidi="th-TH"/>
              </w:rPr>
            </w:pPr>
            <w:r w:rsidRPr="00B54F87">
              <w:rPr>
                <w:sz w:val="14"/>
              </w:rPr>
              <w:t>Nombre de recommandations du Plan d</w:t>
            </w:r>
            <w:r w:rsidR="00A20444" w:rsidRPr="00B54F87">
              <w:rPr>
                <w:sz w:val="14"/>
              </w:rPr>
              <w:t>’</w:t>
            </w:r>
            <w:r w:rsidRPr="00B54F87">
              <w:rPr>
                <w:sz w:val="14"/>
              </w:rPr>
              <w:t>action pour le développement qui se rapportent à des résultats escomptés inscrits dans le programme et budget pour</w:t>
            </w:r>
            <w:r w:rsidR="00AA3983" w:rsidRPr="00B54F87">
              <w:rPr>
                <w:sz w:val="14"/>
              </w:rPr>
              <w:t> </w:t>
            </w:r>
            <w:r w:rsidRPr="00B54F87">
              <w:rPr>
                <w:sz w:val="14"/>
              </w:rPr>
              <w:t>2010</w:t>
            </w:r>
            <w:r w:rsidR="002D6F2A" w:rsidRPr="00B54F87">
              <w:rPr>
                <w:sz w:val="14"/>
              </w:rPr>
              <w:noBreakHyphen/>
            </w:r>
            <w:r w:rsidRPr="00B54F87">
              <w:rPr>
                <w:sz w:val="14"/>
              </w:rPr>
              <w:t>2011</w:t>
            </w:r>
          </w:p>
        </w:tc>
        <w:tc>
          <w:tcPr>
            <w:tcW w:w="1225" w:type="dxa"/>
            <w:shd w:val="clear" w:color="auto" w:fill="auto"/>
          </w:tcPr>
          <w:p w:rsidR="00BB3F3E" w:rsidRPr="00B54F87" w:rsidRDefault="00BB3F3E" w:rsidP="001A5BF9">
            <w:pPr>
              <w:spacing w:before="60"/>
              <w:jc w:val="center"/>
              <w:rPr>
                <w:sz w:val="14"/>
                <w:szCs w:val="14"/>
                <w:lang w:bidi="th-TH"/>
              </w:rPr>
            </w:pPr>
            <w:r w:rsidRPr="00B54F87">
              <w:rPr>
                <w:sz w:val="14"/>
              </w:rPr>
              <w:t>Programme 8</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shd w:val="clear" w:color="auto" w:fill="auto"/>
          </w:tcPr>
          <w:p w:rsidR="00BB3F3E" w:rsidRPr="00B54F87" w:rsidRDefault="00BB3F3E" w:rsidP="001A5BF9">
            <w:pPr>
              <w:spacing w:before="60"/>
              <w:ind w:firstLineChars="100" w:firstLine="140"/>
              <w:rPr>
                <w:sz w:val="14"/>
                <w:szCs w:val="14"/>
                <w:lang w:bidi="th-TH"/>
              </w:rPr>
            </w:pPr>
          </w:p>
        </w:tc>
        <w:tc>
          <w:tcPr>
            <w:tcW w:w="3828" w:type="dxa"/>
            <w:shd w:val="clear" w:color="auto" w:fill="auto"/>
          </w:tcPr>
          <w:p w:rsidR="00BB3F3E" w:rsidRPr="00B54F87" w:rsidRDefault="00BB3F3E" w:rsidP="001A5BF9">
            <w:pPr>
              <w:spacing w:before="60"/>
              <w:rPr>
                <w:sz w:val="14"/>
                <w:szCs w:val="14"/>
                <w:lang w:bidi="th-TH"/>
              </w:rPr>
            </w:pPr>
            <w:r w:rsidRPr="00B54F87">
              <w:rPr>
                <w:sz w:val="14"/>
              </w:rPr>
              <w:t>Nombre de recommandations du Plan d</w:t>
            </w:r>
            <w:r w:rsidR="00A20444" w:rsidRPr="00B54F87">
              <w:rPr>
                <w:sz w:val="14"/>
              </w:rPr>
              <w:t>’</w:t>
            </w:r>
            <w:r w:rsidRPr="00B54F87">
              <w:rPr>
                <w:sz w:val="14"/>
              </w:rPr>
              <w:t>action pour le développement qui se rapportent à des indicateurs d</w:t>
            </w:r>
            <w:r w:rsidR="00A20444" w:rsidRPr="00B54F87">
              <w:rPr>
                <w:sz w:val="14"/>
              </w:rPr>
              <w:t>’</w:t>
            </w:r>
            <w:r w:rsidRPr="00B54F87">
              <w:rPr>
                <w:sz w:val="14"/>
              </w:rPr>
              <w:t>exécution inscrits dans le programme et budget pour</w:t>
            </w:r>
            <w:r w:rsidR="00AA3983" w:rsidRPr="00B54F87">
              <w:rPr>
                <w:sz w:val="14"/>
              </w:rPr>
              <w:t> </w:t>
            </w:r>
            <w:r w:rsidRPr="00B54F87">
              <w:rPr>
                <w:sz w:val="14"/>
              </w:rPr>
              <w:t>2010</w:t>
            </w:r>
            <w:r w:rsidR="002D6F2A" w:rsidRPr="00B54F87">
              <w:rPr>
                <w:sz w:val="14"/>
              </w:rPr>
              <w:noBreakHyphen/>
            </w:r>
            <w:r w:rsidRPr="00B54F87">
              <w:rPr>
                <w:sz w:val="14"/>
              </w:rPr>
              <w:t>2011</w:t>
            </w:r>
          </w:p>
        </w:tc>
        <w:tc>
          <w:tcPr>
            <w:tcW w:w="1225" w:type="dxa"/>
            <w:shd w:val="clear" w:color="auto" w:fill="auto"/>
          </w:tcPr>
          <w:p w:rsidR="00BB3F3E" w:rsidRPr="00B54F87" w:rsidRDefault="00BB3F3E" w:rsidP="001A5BF9">
            <w:pPr>
              <w:spacing w:before="60"/>
              <w:jc w:val="center"/>
              <w:rPr>
                <w:sz w:val="14"/>
                <w:szCs w:val="14"/>
                <w:lang w:bidi="th-TH"/>
              </w:rPr>
            </w:pPr>
            <w:r w:rsidRPr="00B54F87">
              <w:rPr>
                <w:sz w:val="14"/>
              </w:rPr>
              <w:t>Programme 8</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6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60"/>
              <w:rPr>
                <w:sz w:val="14"/>
                <w:szCs w:val="14"/>
                <w:lang w:bidi="th-TH"/>
              </w:rPr>
            </w:pPr>
            <w:r w:rsidRPr="00B54F87">
              <w:rPr>
                <w:sz w:val="14"/>
              </w:rPr>
              <w:t>Mise en œuvre du mécanisme de coordination tel qu</w:t>
            </w:r>
            <w:r w:rsidR="00A20444" w:rsidRPr="00B54F87">
              <w:rPr>
                <w:sz w:val="14"/>
              </w:rPr>
              <w:t>’</w:t>
            </w:r>
            <w:r w:rsidRPr="00B54F87">
              <w:rPr>
                <w:sz w:val="14"/>
              </w:rPr>
              <w:t xml:space="preserve">approuvé par les États membres </w:t>
            </w:r>
          </w:p>
        </w:tc>
        <w:tc>
          <w:tcPr>
            <w:tcW w:w="1225" w:type="dxa"/>
            <w:shd w:val="clear" w:color="auto" w:fill="auto"/>
          </w:tcPr>
          <w:p w:rsidR="00BB3F3E" w:rsidRPr="00B54F87" w:rsidRDefault="00BB3F3E" w:rsidP="001A5BF9">
            <w:pPr>
              <w:spacing w:before="60"/>
              <w:jc w:val="center"/>
              <w:rPr>
                <w:sz w:val="14"/>
                <w:szCs w:val="14"/>
                <w:lang w:bidi="th-TH"/>
              </w:rPr>
            </w:pPr>
            <w:r w:rsidRPr="00B54F87">
              <w:rPr>
                <w:sz w:val="14"/>
              </w:rPr>
              <w:t>Programme 8</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val="restart"/>
            <w:shd w:val="clear" w:color="auto" w:fill="auto"/>
          </w:tcPr>
          <w:p w:rsidR="00D42474" w:rsidRDefault="00BB3F3E" w:rsidP="001A5BF9">
            <w:pPr>
              <w:spacing w:before="80"/>
              <w:rPr>
                <w:sz w:val="14"/>
                <w:szCs w:val="14"/>
                <w:lang w:bidi="th-TH"/>
              </w:rPr>
            </w:pPr>
            <w:r w:rsidRPr="00B54F87">
              <w:rPr>
                <w:sz w:val="14"/>
              </w:rPr>
              <w:t>Planification, mise en œuvre, suivi, évaluation et établissement de rapports efficaces en ce qui concerne les recommandations du Plan d</w:t>
            </w:r>
            <w:r w:rsidR="00A20444" w:rsidRPr="00B54F87">
              <w:rPr>
                <w:sz w:val="14"/>
              </w:rPr>
              <w:t>’</w:t>
            </w:r>
            <w:r w:rsidRPr="00B54F87">
              <w:rPr>
                <w:sz w:val="14"/>
              </w:rPr>
              <w:t>action pour le développement</w:t>
            </w:r>
          </w:p>
          <w:p w:rsidR="00BB3F3E" w:rsidRPr="00B54F87" w:rsidRDefault="00BB3F3E" w:rsidP="001A5BF9">
            <w:pPr>
              <w:spacing w:before="80"/>
              <w:ind w:firstLineChars="100" w:firstLine="14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recommandations du Plan d</w:t>
            </w:r>
            <w:r w:rsidR="00A20444" w:rsidRPr="00B54F87">
              <w:rPr>
                <w:sz w:val="14"/>
              </w:rPr>
              <w:t>’</w:t>
            </w:r>
            <w:r w:rsidRPr="00B54F87">
              <w:rPr>
                <w:sz w:val="14"/>
              </w:rPr>
              <w:t>action pour le développement qui ont été mises en œuvre par le CDIP dans des projets, des activités et des études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8</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shd w:val="clear" w:color="auto" w:fill="auto"/>
          </w:tcPr>
          <w:p w:rsidR="00BB3F3E" w:rsidRPr="00B54F87" w:rsidRDefault="00BB3F3E" w:rsidP="001A5BF9">
            <w:pPr>
              <w:spacing w:before="80"/>
              <w:ind w:firstLineChars="100" w:firstLine="140"/>
              <w:rPr>
                <w:sz w:val="14"/>
                <w:szCs w:val="14"/>
                <w:lang w:bidi="th-TH"/>
              </w:rPr>
            </w:pPr>
          </w:p>
        </w:tc>
        <w:tc>
          <w:tcPr>
            <w:tcW w:w="3828" w:type="dxa"/>
            <w:shd w:val="clear" w:color="auto" w:fill="auto"/>
          </w:tcPr>
          <w:p w:rsidR="00BB3F3E" w:rsidRPr="00B54F87" w:rsidRDefault="00BB3F3E" w:rsidP="001A5BF9">
            <w:pPr>
              <w:spacing w:before="60"/>
              <w:rPr>
                <w:sz w:val="14"/>
                <w:szCs w:val="14"/>
                <w:lang w:bidi="th-TH"/>
              </w:rPr>
            </w:pPr>
            <w:r w:rsidRPr="00B54F87">
              <w:rPr>
                <w:sz w:val="14"/>
              </w:rPr>
              <w:t>Nombre de projets approuvés par</w:t>
            </w:r>
            <w:r w:rsidR="00A20444" w:rsidRPr="00B54F87">
              <w:rPr>
                <w:sz w:val="14"/>
              </w:rPr>
              <w:t xml:space="preserve"> le CDI</w:t>
            </w:r>
            <w:r w:rsidRPr="00B54F87">
              <w:rPr>
                <w:sz w:val="14"/>
              </w:rPr>
              <w:t>P</w:t>
            </w:r>
          </w:p>
        </w:tc>
        <w:tc>
          <w:tcPr>
            <w:tcW w:w="1225" w:type="dxa"/>
            <w:shd w:val="clear" w:color="auto" w:fill="auto"/>
          </w:tcPr>
          <w:p w:rsidR="00BB3F3E" w:rsidRPr="00B54F87" w:rsidRDefault="00BB3F3E" w:rsidP="001A5BF9">
            <w:pPr>
              <w:spacing w:before="60"/>
              <w:jc w:val="center"/>
              <w:rPr>
                <w:sz w:val="14"/>
                <w:szCs w:val="14"/>
                <w:lang w:bidi="th-TH"/>
              </w:rPr>
            </w:pPr>
            <w:r w:rsidRPr="00B54F87">
              <w:rPr>
                <w:sz w:val="14"/>
              </w:rPr>
              <w:t>Programme 8</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shd w:val="clear" w:color="auto" w:fill="auto"/>
          </w:tcPr>
          <w:p w:rsidR="00BB3F3E" w:rsidRPr="00B54F87" w:rsidRDefault="00BB3F3E" w:rsidP="001A5BF9">
            <w:pPr>
              <w:spacing w:before="80"/>
              <w:ind w:firstLineChars="100" w:firstLine="140"/>
              <w:rPr>
                <w:sz w:val="14"/>
                <w:szCs w:val="14"/>
                <w:lang w:bidi="th-TH"/>
              </w:rPr>
            </w:pPr>
          </w:p>
        </w:tc>
        <w:tc>
          <w:tcPr>
            <w:tcW w:w="3828" w:type="dxa"/>
            <w:shd w:val="clear" w:color="auto" w:fill="auto"/>
          </w:tcPr>
          <w:p w:rsidR="00BB3F3E" w:rsidRPr="00B54F87" w:rsidRDefault="00BB3F3E" w:rsidP="001A5BF9">
            <w:pPr>
              <w:spacing w:before="60"/>
              <w:rPr>
                <w:sz w:val="14"/>
                <w:szCs w:val="14"/>
                <w:lang w:bidi="th-TH"/>
              </w:rPr>
            </w:pPr>
            <w:r w:rsidRPr="00B54F87">
              <w:rPr>
                <w:sz w:val="14"/>
              </w:rPr>
              <w:t>Nombre de projets proposés par des États membres, qui sont soumis à l</w:t>
            </w:r>
            <w:r w:rsidR="00A20444" w:rsidRPr="00B54F87">
              <w:rPr>
                <w:sz w:val="14"/>
              </w:rPr>
              <w:t>’</w:t>
            </w:r>
            <w:r w:rsidRPr="00B54F87">
              <w:rPr>
                <w:sz w:val="14"/>
              </w:rPr>
              <w:t>examen</w:t>
            </w:r>
            <w:r w:rsidR="00A20444" w:rsidRPr="00B54F87">
              <w:rPr>
                <w:sz w:val="14"/>
              </w:rPr>
              <w:t xml:space="preserve"> du CDI</w:t>
            </w:r>
            <w:r w:rsidRPr="00B54F87">
              <w:rPr>
                <w:sz w:val="14"/>
              </w:rPr>
              <w:t>P</w:t>
            </w:r>
          </w:p>
        </w:tc>
        <w:tc>
          <w:tcPr>
            <w:tcW w:w="1225" w:type="dxa"/>
            <w:shd w:val="clear" w:color="auto" w:fill="auto"/>
          </w:tcPr>
          <w:p w:rsidR="00BB3F3E" w:rsidRPr="00B54F87" w:rsidRDefault="00BB3F3E" w:rsidP="001A5BF9">
            <w:pPr>
              <w:spacing w:before="60"/>
              <w:jc w:val="center"/>
              <w:rPr>
                <w:sz w:val="14"/>
                <w:szCs w:val="14"/>
                <w:lang w:bidi="th-TH"/>
              </w:rPr>
            </w:pPr>
            <w:r w:rsidRPr="00B54F87">
              <w:rPr>
                <w:sz w:val="14"/>
              </w:rPr>
              <w:t>Programme 8</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60"/>
              <w:rPr>
                <w:sz w:val="14"/>
                <w:szCs w:val="14"/>
                <w:lang w:bidi="th-TH"/>
              </w:rPr>
            </w:pPr>
            <w:r w:rsidRPr="00B54F87">
              <w:rPr>
                <w:sz w:val="14"/>
              </w:rPr>
              <w:t>Pourcentage de projets faisant l</w:t>
            </w:r>
            <w:r w:rsidR="00A20444" w:rsidRPr="00B54F87">
              <w:rPr>
                <w:sz w:val="14"/>
              </w:rPr>
              <w:t>’</w:t>
            </w:r>
            <w:r w:rsidRPr="00B54F87">
              <w:rPr>
                <w:sz w:val="14"/>
              </w:rPr>
              <w:t>objet d</w:t>
            </w:r>
            <w:r w:rsidR="00A20444" w:rsidRPr="00B54F87">
              <w:rPr>
                <w:sz w:val="14"/>
              </w:rPr>
              <w:t>’</w:t>
            </w:r>
            <w:r w:rsidRPr="00B54F87">
              <w:rPr>
                <w:sz w:val="14"/>
              </w:rPr>
              <w:t>un suivi systématique</w:t>
            </w:r>
          </w:p>
        </w:tc>
        <w:tc>
          <w:tcPr>
            <w:tcW w:w="1225" w:type="dxa"/>
            <w:shd w:val="clear" w:color="auto" w:fill="auto"/>
          </w:tcPr>
          <w:p w:rsidR="00BB3F3E" w:rsidRPr="00B54F87" w:rsidRDefault="00BB3F3E" w:rsidP="001A5BF9">
            <w:pPr>
              <w:spacing w:before="60"/>
              <w:jc w:val="center"/>
              <w:rPr>
                <w:sz w:val="14"/>
                <w:szCs w:val="14"/>
                <w:lang w:bidi="th-TH"/>
              </w:rPr>
            </w:pPr>
            <w:r w:rsidRPr="00B54F87">
              <w:rPr>
                <w:sz w:val="14"/>
              </w:rPr>
              <w:t>Programme 8</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60"/>
              <w:rPr>
                <w:sz w:val="14"/>
                <w:szCs w:val="14"/>
                <w:lang w:bidi="th-TH"/>
              </w:rPr>
            </w:pPr>
            <w:r w:rsidRPr="00B54F87">
              <w:rPr>
                <w:sz w:val="14"/>
              </w:rPr>
              <w:t>Pourcentage de projets ayant fait l</w:t>
            </w:r>
            <w:r w:rsidR="00A20444" w:rsidRPr="00B54F87">
              <w:rPr>
                <w:sz w:val="14"/>
              </w:rPr>
              <w:t>’</w:t>
            </w:r>
            <w:r w:rsidRPr="00B54F87">
              <w:rPr>
                <w:sz w:val="14"/>
              </w:rPr>
              <w:t>objet d</w:t>
            </w:r>
            <w:r w:rsidR="00A20444" w:rsidRPr="00B54F87">
              <w:rPr>
                <w:sz w:val="14"/>
              </w:rPr>
              <w:t>’</w:t>
            </w:r>
            <w:r w:rsidRPr="00B54F87">
              <w:rPr>
                <w:sz w:val="14"/>
              </w:rPr>
              <w:t>une évaluation au cours de l</w:t>
            </w:r>
            <w:r w:rsidR="00A20444" w:rsidRPr="00B54F87">
              <w:rPr>
                <w:sz w:val="14"/>
              </w:rPr>
              <w:t>’</w:t>
            </w:r>
            <w:r w:rsidRPr="00B54F87">
              <w:rPr>
                <w:sz w:val="14"/>
              </w:rPr>
              <w:t>exercice biennal</w:t>
            </w:r>
          </w:p>
        </w:tc>
        <w:tc>
          <w:tcPr>
            <w:tcW w:w="1225" w:type="dxa"/>
            <w:shd w:val="clear" w:color="auto" w:fill="auto"/>
          </w:tcPr>
          <w:p w:rsidR="00BB3F3E" w:rsidRPr="00B54F87" w:rsidRDefault="00BB3F3E" w:rsidP="001A5BF9">
            <w:pPr>
              <w:spacing w:before="60"/>
              <w:jc w:val="center"/>
              <w:rPr>
                <w:sz w:val="14"/>
                <w:szCs w:val="14"/>
                <w:lang w:bidi="th-TH"/>
              </w:rPr>
            </w:pPr>
            <w:r w:rsidRPr="00B54F87">
              <w:rPr>
                <w:sz w:val="14"/>
              </w:rPr>
              <w:t>Programme 8</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ind w:firstLineChars="100" w:firstLine="140"/>
              <w:rPr>
                <w:sz w:val="14"/>
                <w:szCs w:val="14"/>
                <w:lang w:bidi="th-TH"/>
              </w:rPr>
            </w:pPr>
            <w:r w:rsidRPr="00B54F87">
              <w:rPr>
                <w:sz w:val="14"/>
              </w:rPr>
              <w:t> </w:t>
            </w:r>
          </w:p>
        </w:tc>
        <w:tc>
          <w:tcPr>
            <w:tcW w:w="3828" w:type="dxa"/>
            <w:shd w:val="clear" w:color="auto" w:fill="auto"/>
          </w:tcPr>
          <w:p w:rsidR="00BB3F3E" w:rsidRPr="00B54F87" w:rsidRDefault="00BB3F3E" w:rsidP="001A5BF9">
            <w:pPr>
              <w:spacing w:before="60"/>
              <w:rPr>
                <w:sz w:val="14"/>
                <w:szCs w:val="14"/>
                <w:lang w:bidi="th-TH"/>
              </w:rPr>
            </w:pPr>
            <w:r w:rsidRPr="00B54F87">
              <w:rPr>
                <w:sz w:val="14"/>
              </w:rPr>
              <w:t>Informations reçues sur la qualité des rapports relatifs à la mise en œuvre des recommandations du Plan d</w:t>
            </w:r>
            <w:r w:rsidR="00A20444" w:rsidRPr="00B54F87">
              <w:rPr>
                <w:sz w:val="14"/>
              </w:rPr>
              <w:t>’</w:t>
            </w:r>
            <w:r w:rsidRPr="00B54F87">
              <w:rPr>
                <w:sz w:val="14"/>
              </w:rPr>
              <w:t>action pour le développement qui ont été présentés</w:t>
            </w:r>
            <w:r w:rsidR="00A20444" w:rsidRPr="00B54F87">
              <w:rPr>
                <w:sz w:val="14"/>
              </w:rPr>
              <w:t xml:space="preserve"> au CDI</w:t>
            </w:r>
            <w:r w:rsidRPr="00B54F87">
              <w:rPr>
                <w:sz w:val="14"/>
              </w:rPr>
              <w:t>P</w:t>
            </w:r>
          </w:p>
        </w:tc>
        <w:tc>
          <w:tcPr>
            <w:tcW w:w="1225" w:type="dxa"/>
            <w:shd w:val="clear" w:color="auto" w:fill="auto"/>
          </w:tcPr>
          <w:p w:rsidR="00BB3F3E" w:rsidRPr="00B54F87" w:rsidRDefault="00BB3F3E" w:rsidP="001A5BF9">
            <w:pPr>
              <w:spacing w:before="60"/>
              <w:jc w:val="center"/>
              <w:rPr>
                <w:sz w:val="14"/>
                <w:szCs w:val="14"/>
                <w:lang w:bidi="th-TH"/>
              </w:rPr>
            </w:pPr>
            <w:r w:rsidRPr="00B54F87">
              <w:rPr>
                <w:sz w:val="14"/>
              </w:rPr>
              <w:t>Programme 8</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rPr>
                <w:sz w:val="14"/>
                <w:szCs w:val="14"/>
                <w:lang w:bidi="th-TH"/>
              </w:rPr>
            </w:pPr>
            <w:r w:rsidRPr="00B54F87">
              <w:rPr>
                <w:sz w:val="14"/>
              </w:rPr>
              <w:t>Meilleure compréhension du Plan d</w:t>
            </w:r>
            <w:r w:rsidR="00A20444" w:rsidRPr="00B54F87">
              <w:rPr>
                <w:sz w:val="14"/>
              </w:rPr>
              <w:t>’</w:t>
            </w:r>
            <w:r w:rsidRPr="00B54F87">
              <w:rPr>
                <w:sz w:val="14"/>
              </w:rPr>
              <w:t>action pour le développement par les États membres, les organisations intergouvernementales, la société civile et les autres parties prenantes</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pays demandant une assistance technique dans le cadre des projets du Plan d</w:t>
            </w:r>
            <w:r w:rsidR="00A20444" w:rsidRPr="00B54F87">
              <w:rPr>
                <w:sz w:val="14"/>
              </w:rPr>
              <w:t>’</w:t>
            </w:r>
            <w:r w:rsidRPr="00B54F87">
              <w:rPr>
                <w:sz w:val="14"/>
              </w:rPr>
              <w:t>action pour le développement et manifestant leur intérêt pour des activités en rapport avec le Plan d</w:t>
            </w:r>
            <w:r w:rsidR="00A20444" w:rsidRPr="00B54F87">
              <w:rPr>
                <w:sz w:val="14"/>
              </w:rPr>
              <w:t>’</w:t>
            </w:r>
            <w:r w:rsidRPr="00B54F87">
              <w:rPr>
                <w:sz w:val="14"/>
              </w:rPr>
              <w:t>action pour le développement</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8</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shd w:val="clear" w:color="auto" w:fill="auto"/>
          </w:tcPr>
          <w:p w:rsidR="00BB3F3E" w:rsidRPr="00B54F87" w:rsidRDefault="00BB3F3E" w:rsidP="001A5BF9">
            <w:pPr>
              <w:spacing w:before="80"/>
              <w:rPr>
                <w:spacing w:val="-2"/>
                <w:sz w:val="14"/>
                <w:szCs w:val="14"/>
                <w:lang w:bidi="th-TH"/>
              </w:rPr>
            </w:pPr>
            <w:r w:rsidRPr="00B54F87">
              <w:rPr>
                <w:spacing w:val="-2"/>
                <w:sz w:val="14"/>
              </w:rPr>
              <w:t>Reconnaissance par les États membres, les communautés, les organisations et les autres parties prenantes de l</w:t>
            </w:r>
            <w:r w:rsidR="00A20444" w:rsidRPr="00B54F87">
              <w:rPr>
                <w:spacing w:val="-2"/>
                <w:sz w:val="14"/>
              </w:rPr>
              <w:t>’</w:t>
            </w:r>
            <w:r w:rsidRPr="00B54F87">
              <w:rPr>
                <w:spacing w:val="-2"/>
                <w:sz w:val="14"/>
              </w:rPr>
              <w:t>utilité et de l</w:t>
            </w:r>
            <w:r w:rsidR="00A20444" w:rsidRPr="00B54F87">
              <w:rPr>
                <w:spacing w:val="-2"/>
                <w:sz w:val="14"/>
              </w:rPr>
              <w:t>’</w:t>
            </w:r>
            <w:r w:rsidRPr="00B54F87">
              <w:rPr>
                <w:spacing w:val="-2"/>
                <w:sz w:val="14"/>
              </w:rPr>
              <w:t>efficacité des ressources, des programmes et des instruments de l</w:t>
            </w:r>
            <w:r w:rsidR="00A20444" w:rsidRPr="00B54F87">
              <w:rPr>
                <w:spacing w:val="-2"/>
                <w:sz w:val="14"/>
              </w:rPr>
              <w:t>’</w:t>
            </w:r>
            <w:r w:rsidRPr="00B54F87">
              <w:rPr>
                <w:spacing w:val="-2"/>
                <w:sz w:val="14"/>
              </w:rPr>
              <w:t>OMPI</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de demandes d</w:t>
            </w:r>
            <w:r w:rsidR="00A20444" w:rsidRPr="00B54F87">
              <w:rPr>
                <w:sz w:val="14"/>
              </w:rPr>
              <w:t>’</w:t>
            </w:r>
            <w:r w:rsidRPr="00B54F87">
              <w:rPr>
                <w:sz w:val="14"/>
              </w:rPr>
              <w:t>assistance reçues par l</w:t>
            </w:r>
            <w:r w:rsidR="00A20444" w:rsidRPr="00B54F87">
              <w:rPr>
                <w:sz w:val="14"/>
              </w:rPr>
              <w:t>’</w:t>
            </w:r>
            <w:r w:rsidRPr="00B54F87">
              <w:rPr>
                <w:sz w:val="14"/>
              </w:rPr>
              <w:t xml:space="preserve">OMPI </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4</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val="restart"/>
            <w:shd w:val="clear" w:color="auto" w:fill="auto"/>
          </w:tcPr>
          <w:p w:rsidR="00BB3F3E" w:rsidRPr="00B54F87" w:rsidRDefault="00BB3F3E" w:rsidP="001A5BF9">
            <w:pPr>
              <w:spacing w:before="80"/>
              <w:rPr>
                <w:sz w:val="14"/>
                <w:szCs w:val="14"/>
                <w:lang w:bidi="th-TH"/>
              </w:rPr>
            </w:pPr>
            <w:r w:rsidRPr="00B54F87">
              <w:rPr>
                <w:sz w:val="14"/>
              </w:rPr>
              <w:t>Augmentation des ressources extrabudgétaires disponibles aux fins du développement de la propriété intellectuelle, soit par des contributions directes à l</w:t>
            </w:r>
            <w:r w:rsidR="00A20444" w:rsidRPr="00B54F87">
              <w:rPr>
                <w:sz w:val="14"/>
              </w:rPr>
              <w:t>’</w:t>
            </w:r>
            <w:r w:rsidRPr="00B54F87">
              <w:rPr>
                <w:sz w:val="14"/>
              </w:rPr>
              <w:t>OMPI soit par accès à d</w:t>
            </w:r>
            <w:r w:rsidR="00A20444" w:rsidRPr="00B54F87">
              <w:rPr>
                <w:sz w:val="14"/>
              </w:rPr>
              <w:t>’</w:t>
            </w:r>
            <w:r w:rsidRPr="00B54F87">
              <w:rPr>
                <w:sz w:val="14"/>
              </w:rPr>
              <w:t>autres moyens externes de financement</w:t>
            </w:r>
          </w:p>
        </w:tc>
        <w:tc>
          <w:tcPr>
            <w:tcW w:w="3828" w:type="dxa"/>
            <w:shd w:val="clear" w:color="auto" w:fill="auto"/>
          </w:tcPr>
          <w:p w:rsidR="00BB3F3E" w:rsidRPr="00B54F87" w:rsidRDefault="00BB3F3E" w:rsidP="001A5BF9">
            <w:pPr>
              <w:spacing w:before="80"/>
              <w:rPr>
                <w:sz w:val="14"/>
                <w:szCs w:val="14"/>
                <w:lang w:bidi="th-TH"/>
              </w:rPr>
            </w:pPr>
            <w:r w:rsidRPr="00B54F87">
              <w:rPr>
                <w:sz w:val="14"/>
              </w:rPr>
              <w:t>Augmentation des ressources disponibles dans les fonds fiduciaires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20</w:t>
            </w:r>
          </w:p>
        </w:tc>
        <w:tc>
          <w:tcPr>
            <w:tcW w:w="901"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AA3983">
        <w:tc>
          <w:tcPr>
            <w:tcW w:w="3417" w:type="dxa"/>
            <w:vMerge/>
            <w:shd w:val="clear" w:color="auto" w:fill="auto"/>
          </w:tcPr>
          <w:p w:rsidR="00BB3F3E" w:rsidRPr="00B54F87" w:rsidRDefault="00BB3F3E" w:rsidP="001A5BF9">
            <w:pPr>
              <w:spacing w:before="8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Nombre et poids financier des projets mis en œuvre par l</w:t>
            </w:r>
            <w:r w:rsidR="00A20444" w:rsidRPr="00B54F87">
              <w:rPr>
                <w:sz w:val="14"/>
              </w:rPr>
              <w:t>’</w:t>
            </w:r>
            <w:r w:rsidRPr="00B54F87">
              <w:rPr>
                <w:sz w:val="14"/>
              </w:rPr>
              <w:t>OMPI qui sont financés par des mécanismes externes existants financés par des donateurs</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20</w:t>
            </w:r>
          </w:p>
        </w:tc>
        <w:tc>
          <w:tcPr>
            <w:tcW w:w="901" w:type="dxa"/>
          </w:tcPr>
          <w:p w:rsidR="00BB3F3E" w:rsidRPr="005C7CCE" w:rsidRDefault="00BB3F3E" w:rsidP="001A5BF9">
            <w:pPr>
              <w:spacing w:before="20"/>
              <w:jc w:val="center"/>
              <w:rPr>
                <w:szCs w:val="22"/>
              </w:rPr>
            </w:pPr>
            <w:r w:rsidRPr="005C7CCE">
              <w:sym w:font="Wingdings" w:char="F06C"/>
            </w:r>
          </w:p>
        </w:tc>
      </w:tr>
      <w:tr w:rsidR="00BB3F3E" w:rsidRPr="005C7CCE" w:rsidTr="00AA3983">
        <w:tc>
          <w:tcPr>
            <w:tcW w:w="3417" w:type="dxa"/>
            <w:shd w:val="clear" w:color="auto" w:fill="auto"/>
          </w:tcPr>
          <w:p w:rsidR="00BB3F3E" w:rsidRPr="00B54F87" w:rsidRDefault="00BB3F3E" w:rsidP="001A5BF9">
            <w:pPr>
              <w:spacing w:before="80"/>
              <w:rPr>
                <w:sz w:val="14"/>
                <w:szCs w:val="14"/>
                <w:lang w:bidi="th-TH"/>
              </w:rPr>
            </w:pPr>
          </w:p>
        </w:tc>
        <w:tc>
          <w:tcPr>
            <w:tcW w:w="3828" w:type="dxa"/>
            <w:shd w:val="clear" w:color="auto" w:fill="auto"/>
          </w:tcPr>
          <w:p w:rsidR="00BB3F3E" w:rsidRPr="00B54F87" w:rsidRDefault="00BB3F3E" w:rsidP="001A5BF9">
            <w:pPr>
              <w:spacing w:before="80"/>
              <w:rPr>
                <w:sz w:val="14"/>
                <w:szCs w:val="14"/>
                <w:lang w:bidi="th-TH"/>
              </w:rPr>
            </w:pPr>
            <w:r w:rsidRPr="00B54F87">
              <w:rPr>
                <w:sz w:val="14"/>
              </w:rPr>
              <w:t>Élaboration des lignes directrices de l</w:t>
            </w:r>
            <w:r w:rsidR="00A20444" w:rsidRPr="00B54F87">
              <w:rPr>
                <w:sz w:val="14"/>
              </w:rPr>
              <w:t>’</w:t>
            </w:r>
            <w:r w:rsidRPr="00B54F87">
              <w:rPr>
                <w:sz w:val="14"/>
              </w:rPr>
              <w:t>OMPI pour la recherche de partenariats avec le secteur privé</w:t>
            </w:r>
          </w:p>
        </w:tc>
        <w:tc>
          <w:tcPr>
            <w:tcW w:w="1225" w:type="dxa"/>
            <w:shd w:val="clear" w:color="auto" w:fill="auto"/>
          </w:tcPr>
          <w:p w:rsidR="00BB3F3E" w:rsidRPr="00B54F87" w:rsidRDefault="00BB3F3E" w:rsidP="001A5BF9">
            <w:pPr>
              <w:spacing w:before="80"/>
              <w:jc w:val="center"/>
              <w:rPr>
                <w:sz w:val="14"/>
                <w:szCs w:val="14"/>
                <w:lang w:bidi="th-TH"/>
              </w:rPr>
            </w:pPr>
            <w:r w:rsidRPr="00B54F87">
              <w:rPr>
                <w:sz w:val="14"/>
              </w:rPr>
              <w:t>Programme 20</w:t>
            </w:r>
          </w:p>
        </w:tc>
        <w:tc>
          <w:tcPr>
            <w:tcW w:w="901" w:type="dxa"/>
          </w:tcPr>
          <w:p w:rsidR="00BB3F3E" w:rsidRPr="005C7CCE" w:rsidRDefault="00BB3F3E" w:rsidP="001A5BF9">
            <w:pPr>
              <w:spacing w:before="20"/>
              <w:jc w:val="center"/>
              <w:rPr>
                <w:szCs w:val="22"/>
                <w:lang w:bidi="th-TH"/>
              </w:rPr>
            </w:pPr>
            <w:r w:rsidRPr="005C7CCE">
              <w:rPr>
                <w:color w:val="FF0000"/>
              </w:rPr>
              <w:sym w:font="Wingdings" w:char="F06C"/>
            </w:r>
          </w:p>
        </w:tc>
      </w:tr>
    </w:tbl>
    <w:p w:rsidR="00D42474" w:rsidRDefault="00D42474" w:rsidP="001A5BF9">
      <w:pPr>
        <w:jc w:val="both"/>
      </w:pPr>
    </w:p>
    <w:p w:rsidR="00D42474" w:rsidRDefault="00BB3F3E" w:rsidP="001A5BF9">
      <w:pPr>
        <w:jc w:val="both"/>
        <w:rPr>
          <w:spacing w:val="-2"/>
        </w:rPr>
      </w:pPr>
      <w:r w:rsidRPr="005C7CCE">
        <w:rPr>
          <w:spacing w:val="-2"/>
        </w:rPr>
        <w:t>Favoriser l</w:t>
      </w:r>
      <w:r w:rsidR="00A20444" w:rsidRPr="005C7CCE">
        <w:rPr>
          <w:spacing w:val="-2"/>
        </w:rPr>
        <w:t>’</w:t>
      </w:r>
      <w:r w:rsidRPr="005C7CCE">
        <w:rPr>
          <w:spacing w:val="-2"/>
        </w:rPr>
        <w:t>utilisation de la propriété intellectuelle au service du développement et donner aux pays en développement, aux PMA et aux pays en transition les moyens de maîtriser la propriété intellectuelle pour renforcer leur potentiel et leurs capacités en matière d</w:t>
      </w:r>
      <w:r w:rsidR="00A20444" w:rsidRPr="005C7CCE">
        <w:rPr>
          <w:spacing w:val="-2"/>
        </w:rPr>
        <w:t>’</w:t>
      </w:r>
      <w:r w:rsidRPr="005C7CCE">
        <w:rPr>
          <w:spacing w:val="-2"/>
        </w:rPr>
        <w:t>innovation est resté une priorité en 2012</w:t>
      </w:r>
      <w:r w:rsidR="002D6F2A" w:rsidRPr="005C7CCE">
        <w:rPr>
          <w:spacing w:val="-2"/>
        </w:rPr>
        <w:noBreakHyphen/>
      </w:r>
      <w:r w:rsidRPr="005C7CCE">
        <w:rPr>
          <w:spacing w:val="-2"/>
        </w:rPr>
        <w:t>2013.</w:t>
      </w:r>
    </w:p>
    <w:p w:rsidR="00D42474" w:rsidRDefault="00D42474" w:rsidP="001A5BF9">
      <w:pPr>
        <w:jc w:val="both"/>
      </w:pPr>
    </w:p>
    <w:p w:rsidR="00D42474" w:rsidRDefault="00BB3F3E" w:rsidP="001A5BF9">
      <w:pPr>
        <w:jc w:val="both"/>
      </w:pPr>
      <w:r w:rsidRPr="005C7CCE">
        <w:t>L</w:t>
      </w:r>
      <w:r w:rsidR="00A20444" w:rsidRPr="005C7CCE">
        <w:t>’</w:t>
      </w:r>
      <w:r w:rsidRPr="005C7CCE">
        <w:t>OMPI a continué d</w:t>
      </w:r>
      <w:r w:rsidR="00A20444" w:rsidRPr="005C7CCE">
        <w:t>’</w:t>
      </w:r>
      <w:r w:rsidRPr="005C7CCE">
        <w:t>apporter son assistance aux pays en développement et aux PMA pour la conception, l</w:t>
      </w:r>
      <w:r w:rsidR="00A20444" w:rsidRPr="005C7CCE">
        <w:t>’</w:t>
      </w:r>
      <w:r w:rsidRPr="005C7CCE">
        <w:t xml:space="preserve">élaboration et la mise en œuvre de stratégies nationales de propriété intellectuelle qui sont à la fois cohérentes avec leurs plans de développement généraux et favorisent la stimulation de </w:t>
      </w:r>
      <w:r w:rsidRPr="00B54F87">
        <w:t>l</w:t>
      </w:r>
      <w:r w:rsidR="00A20444" w:rsidRPr="00B54F87">
        <w:t>’</w:t>
      </w:r>
      <w:r w:rsidRPr="00B54F87">
        <w:t xml:space="preserve">innovation et de la créativité. </w:t>
      </w:r>
      <w:r w:rsidR="0010442A" w:rsidRPr="00B54F87">
        <w:t xml:space="preserve"> </w:t>
      </w:r>
      <w:r w:rsidRPr="00B54F87">
        <w:t xml:space="preserve">Dans le cadre du projet sur le renforcement des capacités des institutions et des utilisateurs de propriété intellectuelle, aux niveaux national, sous régional et régional, achevé en </w:t>
      </w:r>
      <w:r w:rsidR="00A20444" w:rsidRPr="00B54F87">
        <w:t>mai 20</w:t>
      </w:r>
      <w:r w:rsidRPr="00B54F87">
        <w:t>12, l</w:t>
      </w:r>
      <w:r w:rsidR="00A20444" w:rsidRPr="00B54F87">
        <w:t>’</w:t>
      </w:r>
      <w:r w:rsidRPr="00B54F87">
        <w:t>Organisation a mis au point une méthodologie uniformisée mais souple ainsi que des outils pratiques permettant d</w:t>
      </w:r>
      <w:r w:rsidR="00A20444" w:rsidRPr="00B54F87">
        <w:t>’</w:t>
      </w:r>
      <w:r w:rsidRPr="00B54F87">
        <w:t>élaborer des stratégies et des plans nationaux en matière de propriété intellectuelle.</w:t>
      </w:r>
      <w:r w:rsidR="0010442A" w:rsidRPr="00B54F87">
        <w:t xml:space="preserve"> </w:t>
      </w:r>
      <w:r w:rsidRPr="00B54F87">
        <w:t xml:space="preserve"> La méthodologie et les outils ont été rationalisés en 2013 pour pouvoir être utilisés dans les processus de formulation des stratégies de propriété intellectuelle dans les pays en développement et les PMA.</w:t>
      </w:r>
      <w:r w:rsidR="004F3E42" w:rsidRPr="00B54F87">
        <w:t xml:space="preserve"> </w:t>
      </w:r>
      <w:r w:rsidR="0010442A" w:rsidRPr="00B54F87">
        <w:t xml:space="preserve"> </w:t>
      </w:r>
      <w:r w:rsidRPr="00B54F87">
        <w:t>Au cours de l</w:t>
      </w:r>
      <w:r w:rsidR="00A20444" w:rsidRPr="00B54F87">
        <w:t>’</w:t>
      </w:r>
      <w:r w:rsidRPr="00B54F87">
        <w:t>exercice biennal, des plans/stratégies de propriété intellectuelle ont été adoptés dans 11 pays (trois en Afrique, deux</w:t>
      </w:r>
      <w:r w:rsidR="0010442A" w:rsidRPr="00B54F87">
        <w:t> </w:t>
      </w:r>
      <w:r w:rsidRPr="00B54F87">
        <w:t>dans des pays arabes, trois</w:t>
      </w:r>
      <w:r w:rsidR="0010442A" w:rsidRPr="00B54F87">
        <w:t> </w:t>
      </w:r>
      <w:r w:rsidRPr="00B54F87">
        <w:t>dans la région d</w:t>
      </w:r>
      <w:r w:rsidR="00A20444" w:rsidRPr="00B54F87">
        <w:t>’</w:t>
      </w:r>
      <w:r w:rsidRPr="00B54F87">
        <w:t>Asie et du Pacifique et trois</w:t>
      </w:r>
      <w:r w:rsidR="0010442A" w:rsidRPr="00B54F87">
        <w:t> </w:t>
      </w:r>
      <w:r w:rsidRPr="00B54F87">
        <w:t>dans la région Amérique latine et Caraïbes).</w:t>
      </w:r>
      <w:r w:rsidR="0010442A" w:rsidRPr="00B54F87">
        <w:t xml:space="preserve"> </w:t>
      </w:r>
      <w:r w:rsidRPr="00B54F87">
        <w:t xml:space="preserve"> La formulation et la mise en œuvre de stratégies de propriété intellectuelle ont été initiées ou se sont poursuivies dans 32 pays (13 en Afrique, trois</w:t>
      </w:r>
      <w:r w:rsidR="0010442A" w:rsidRPr="00B54F87">
        <w:t> </w:t>
      </w:r>
      <w:r w:rsidRPr="00B54F87">
        <w:t>dans des pays arabes, huit</w:t>
      </w:r>
      <w:r w:rsidR="0010442A" w:rsidRPr="00B54F87">
        <w:t> </w:t>
      </w:r>
      <w:r w:rsidRPr="00B54F87">
        <w:t>dans la région d</w:t>
      </w:r>
      <w:r w:rsidR="00A20444" w:rsidRPr="00B54F87">
        <w:t>’</w:t>
      </w:r>
      <w:r w:rsidRPr="00B54F87">
        <w:t>Asie et du Pacifique, et huit</w:t>
      </w:r>
      <w:r w:rsidR="0010442A" w:rsidRPr="00B54F87">
        <w:t> </w:t>
      </w:r>
      <w:r w:rsidRPr="00B54F87">
        <w:t>dans la région Amérique latine et Caraïbes).</w:t>
      </w:r>
      <w:r w:rsidR="0010442A" w:rsidRPr="00B54F87">
        <w:t xml:space="preserve"> </w:t>
      </w:r>
      <w:r w:rsidRPr="00B54F87">
        <w:t xml:space="preserve"> Deux PMA (le Bangladesh et l</w:t>
      </w:r>
      <w:r w:rsidR="00A20444" w:rsidRPr="00B54F87">
        <w:t>’</w:t>
      </w:r>
      <w:r w:rsidRPr="00B54F87">
        <w:t>Éthiopie) ont inclus des considérations de propriété intellectuelle spécifiques aux PMA dans leurs stratégies et/ou politiques de propriété intellectuelle au cours de l</w:t>
      </w:r>
      <w:r w:rsidR="00A20444" w:rsidRPr="00B54F87">
        <w:t>’</w:t>
      </w:r>
      <w:r w:rsidRPr="00B54F87">
        <w:t xml:space="preserve">exercice biennal, portant le nombre de PMA ayant inclus des considérations de cette nature à six, et deux PMA (Madagascar et le Népal) se trouvent en phase finale. </w:t>
      </w:r>
      <w:r w:rsidR="0010442A" w:rsidRPr="00B54F87">
        <w:t xml:space="preserve"> </w:t>
      </w:r>
      <w:r w:rsidRPr="00B54F87">
        <w:t>Les activités/projets qui contribuent à la mise en œuvre des stratégies/politiques de propriété intellectuelle ont été menés dans 21 pays (cinq en Afrique, quatre</w:t>
      </w:r>
      <w:r w:rsidR="0010442A" w:rsidRPr="00B54F87">
        <w:t> </w:t>
      </w:r>
      <w:r w:rsidRPr="00B54F87">
        <w:t>dans des pays arabes et 12 dans la région Amérique latine et Caraïbes).</w:t>
      </w:r>
    </w:p>
    <w:p w:rsidR="00D42474" w:rsidRDefault="00D42474" w:rsidP="001A5BF9">
      <w:pPr>
        <w:jc w:val="both"/>
      </w:pPr>
    </w:p>
    <w:p w:rsidR="00D42474" w:rsidRDefault="00BB3F3E" w:rsidP="001A5BF9">
      <w:pPr>
        <w:jc w:val="both"/>
      </w:pPr>
      <w:r w:rsidRPr="00B54F87">
        <w:t>Les pays d</w:t>
      </w:r>
      <w:r w:rsidR="00A20444" w:rsidRPr="00B54F87">
        <w:t>’</w:t>
      </w:r>
      <w:r w:rsidRPr="00B54F87">
        <w:t>Europe centrale et les États baltes, les pays d</w:t>
      </w:r>
      <w:r w:rsidR="00A20444" w:rsidRPr="00B54F87">
        <w:t>’</w:t>
      </w:r>
      <w:r w:rsidRPr="00B54F87">
        <w:t>Asie centrale, d</w:t>
      </w:r>
      <w:r w:rsidR="00A20444" w:rsidRPr="00B54F87">
        <w:t>’</w:t>
      </w:r>
      <w:r w:rsidRPr="00B54F87">
        <w:t>Europe orientale et les pays du Caucase suivants ainsi que certains pays méditerranéens ont modifié leur législation nationale en matière de propriété intellectuelle, conformément à leurs stratégies nationales de propriété intellectuelle : Albanie, Arménie, Bélarus, Bosnie</w:t>
      </w:r>
      <w:r w:rsidR="002D6F2A" w:rsidRPr="00B54F87">
        <w:noBreakHyphen/>
      </w:r>
      <w:r w:rsidRPr="00B54F87">
        <w:t xml:space="preserve">Herzégovine, Pologne, Roumanie, Slovénie et Tadjikistan. </w:t>
      </w:r>
      <w:r w:rsidR="0010442A" w:rsidRPr="00B54F87">
        <w:t xml:space="preserve"> </w:t>
      </w:r>
      <w:r w:rsidRPr="00B54F87">
        <w:t>Le Kazakhstan et la Fédération de Russie ont entrepris d</w:t>
      </w:r>
      <w:r w:rsidR="00A20444" w:rsidRPr="00B54F87">
        <w:t>’</w:t>
      </w:r>
      <w:r w:rsidRPr="00B54F87">
        <w:t>apporter des modifications à leur législation.</w:t>
      </w:r>
    </w:p>
    <w:p w:rsidR="00D42474" w:rsidRDefault="00D42474" w:rsidP="001A5BF9">
      <w:pPr>
        <w:autoSpaceDE w:val="0"/>
        <w:autoSpaceDN w:val="0"/>
        <w:adjustRightInd w:val="0"/>
        <w:jc w:val="both"/>
        <w:rPr>
          <w:rFonts w:eastAsia="MS Mincho"/>
        </w:rPr>
      </w:pPr>
    </w:p>
    <w:p w:rsidR="00D42474" w:rsidRDefault="00BB3F3E" w:rsidP="001A5BF9">
      <w:pPr>
        <w:autoSpaceDE w:val="0"/>
        <w:autoSpaceDN w:val="0"/>
        <w:adjustRightInd w:val="0"/>
        <w:jc w:val="both"/>
      </w:pPr>
      <w:r w:rsidRPr="00B54F87">
        <w:t>Afin de renforcer les capacités nationales et régionales en vue d</w:t>
      </w:r>
      <w:r w:rsidR="00A20444" w:rsidRPr="00B54F87">
        <w:t>’</w:t>
      </w:r>
      <w:r w:rsidRPr="00B54F87">
        <w:t>assurer la mise en œuvre efficace de la propriété intellectuelle au service du développement, une nouvelle plate</w:t>
      </w:r>
      <w:r w:rsidR="002D6F2A" w:rsidRPr="00B54F87">
        <w:noBreakHyphen/>
      </w:r>
      <w:r w:rsidRPr="00B54F87">
        <w:t>forme d</w:t>
      </w:r>
      <w:r w:rsidR="00A20444" w:rsidRPr="00B54F87">
        <w:t>’</w:t>
      </w:r>
      <w:r w:rsidRPr="00B54F87">
        <w:t>enseignement en ligne améliorée a été créée fin 2011.</w:t>
      </w:r>
      <w:r w:rsidR="004F3E42" w:rsidRPr="00B54F87">
        <w:t xml:space="preserve"> </w:t>
      </w:r>
      <w:r w:rsidR="0010442A" w:rsidRPr="00B54F87">
        <w:t xml:space="preserve"> </w:t>
      </w:r>
      <w:r w:rsidRPr="00B54F87">
        <w:t xml:space="preserve">En 2012, 81 484 personnes provenant de 189 pays, au total, ont profité des activités multilingues (11 langues) du </w:t>
      </w:r>
      <w:r w:rsidR="00A93636" w:rsidRPr="00B54F87">
        <w:t>p</w:t>
      </w:r>
      <w:r w:rsidRPr="00B54F87">
        <w:t>rogramme d</w:t>
      </w:r>
      <w:r w:rsidR="00A20444" w:rsidRPr="00B54F87">
        <w:t>’</w:t>
      </w:r>
      <w:r w:rsidRPr="00B54F87">
        <w:t>enseignement à distance de l</w:t>
      </w:r>
      <w:r w:rsidR="00A20444" w:rsidRPr="00B54F87">
        <w:t>’</w:t>
      </w:r>
      <w:r w:rsidRPr="00B54F87">
        <w:t>Académie de l</w:t>
      </w:r>
      <w:r w:rsidR="00A20444" w:rsidRPr="00B54F87">
        <w:t>’</w:t>
      </w:r>
      <w:r w:rsidRPr="00B54F87">
        <w:t xml:space="preserve">OMPI. </w:t>
      </w:r>
      <w:r w:rsidR="0010442A" w:rsidRPr="00B54F87">
        <w:t xml:space="preserve"> </w:t>
      </w:r>
      <w:r w:rsidRPr="00B54F87">
        <w:t>En vue harmoniser le contenu des cours avec les objectifs du Plan d</w:t>
      </w:r>
      <w:r w:rsidR="00A20444" w:rsidRPr="00B54F87">
        <w:t>’</w:t>
      </w:r>
      <w:r w:rsidRPr="00B54F87">
        <w:t>action pour le développement, plus de 100 professionnels de six pays bénéficiaires impliqués dans les projets de nouvelles académies ont été formés dans le cadre de la session spéciale “former les formateurs” pour devenir d</w:t>
      </w:r>
      <w:r w:rsidR="00A20444" w:rsidRPr="00B54F87">
        <w:t>’</w:t>
      </w:r>
      <w:r w:rsidRPr="00B54F87">
        <w:t>éventuels professeurs d</w:t>
      </w:r>
      <w:r w:rsidR="00A20444" w:rsidRPr="00B54F87">
        <w:t>’</w:t>
      </w:r>
      <w:r w:rsidRPr="00B54F87">
        <w:t xml:space="preserve">enseignement en ligne. </w:t>
      </w:r>
      <w:r w:rsidR="0010442A" w:rsidRPr="00B54F87">
        <w:t xml:space="preserve"> </w:t>
      </w:r>
      <w:r w:rsidRPr="00B54F87">
        <w:t>En outre, un certain nombre de sessions personnalisées ont également été organisées avec : i) des offices de propriété intellectuelle (Brésil, Chine, Fédération de Russie, Mexique);</w:t>
      </w:r>
      <w:r w:rsidR="004F3E42" w:rsidRPr="00B54F87">
        <w:t xml:space="preserve"> </w:t>
      </w:r>
      <w:r w:rsidR="0010442A" w:rsidRPr="00B54F87">
        <w:t xml:space="preserve"> </w:t>
      </w:r>
      <w:r w:rsidRPr="00B54F87">
        <w:t>ii) d</w:t>
      </w:r>
      <w:r w:rsidR="00A20444" w:rsidRPr="00B54F87">
        <w:t>’</w:t>
      </w:r>
      <w:r w:rsidRPr="00B54F87">
        <w:t xml:space="preserve">autres organismes nationaux intéressés (Brésil, Bulgarie, Chine, Croatie, Honduras, Mexique, Organisation régionale de la propriété intellectuelle africaine </w:t>
      </w:r>
      <w:r w:rsidR="00A93636" w:rsidRPr="00B54F87">
        <w:t>(</w:t>
      </w:r>
      <w:r w:rsidRPr="00B54F87">
        <w:t>ARIPO</w:t>
      </w:r>
      <w:r w:rsidR="00A93636" w:rsidRPr="00B54F87">
        <w:t>)</w:t>
      </w:r>
      <w:r w:rsidRPr="00B54F87">
        <w:t>, République de Corée et Serbie);</w:t>
      </w:r>
      <w:r w:rsidR="004F3E42" w:rsidRPr="00B54F87">
        <w:t xml:space="preserve"> </w:t>
      </w:r>
      <w:r w:rsidR="0010442A" w:rsidRPr="00B54F87">
        <w:t xml:space="preserve"> </w:t>
      </w:r>
      <w:r w:rsidRPr="00B54F87">
        <w:t>iii) des centres d</w:t>
      </w:r>
      <w:r w:rsidR="00A20444" w:rsidRPr="00B54F87">
        <w:t>’</w:t>
      </w:r>
      <w:r w:rsidRPr="00B54F87">
        <w:t>appui à la technologie et à l</w:t>
      </w:r>
      <w:r w:rsidR="00A20444" w:rsidRPr="00B54F87">
        <w:t>’</w:t>
      </w:r>
      <w:r w:rsidRPr="00B54F87">
        <w:t xml:space="preserve">innovation (Éthiopie, Fédération de Russie, Philippines et Uruguay); </w:t>
      </w:r>
      <w:r w:rsidR="0010442A" w:rsidRPr="00B54F87">
        <w:t xml:space="preserve"> </w:t>
      </w:r>
      <w:r w:rsidRPr="00B54F87">
        <w:t>et iv) 11 universités.</w:t>
      </w:r>
      <w:r w:rsidR="0010442A" w:rsidRPr="00B54F87">
        <w:t xml:space="preserve"> </w:t>
      </w:r>
      <w:r w:rsidRPr="00B54F87">
        <w:t xml:space="preserve"> Quatre nouvelles académies de propriété intellectuelle ont vu le jour à la fin de l</w:t>
      </w:r>
      <w:r w:rsidR="00A20444" w:rsidRPr="00B54F87">
        <w:t>’</w:t>
      </w:r>
      <w:r w:rsidRPr="00B54F87">
        <w:t xml:space="preserve">année 2013 en Colombie, en République dominicaine, au Pérou et en Tunisie. </w:t>
      </w:r>
      <w:r w:rsidR="0010442A" w:rsidRPr="00B54F87">
        <w:t xml:space="preserve"> </w:t>
      </w:r>
      <w:r w:rsidRPr="00B54F87">
        <w:t>La création d</w:t>
      </w:r>
      <w:r w:rsidR="00A20444" w:rsidRPr="00B54F87">
        <w:t>’</w:t>
      </w:r>
      <w:r w:rsidRPr="00B54F87">
        <w:t>institutions en Égypte et en Éthiopie avait bien avancé à la fin de l</w:t>
      </w:r>
      <w:r w:rsidR="00A20444" w:rsidRPr="00B54F87">
        <w:t>’</w:t>
      </w:r>
      <w:r w:rsidRPr="00B54F87">
        <w:t>année 2013.</w:t>
      </w:r>
      <w:r w:rsidR="0010442A" w:rsidRPr="00B54F87">
        <w:t xml:space="preserve"> </w:t>
      </w:r>
      <w:r w:rsidRPr="00B54F87">
        <w:t xml:space="preserve"> Elle devrait s</w:t>
      </w:r>
      <w:r w:rsidR="00A20444" w:rsidRPr="00B54F87">
        <w:t>’</w:t>
      </w:r>
      <w:r w:rsidRPr="00B54F87">
        <w:t>achever au cours de l</w:t>
      </w:r>
      <w:r w:rsidR="00A20444" w:rsidRPr="00B54F87">
        <w:t>’</w:t>
      </w:r>
      <w:r w:rsidRPr="00B54F87">
        <w:t>exercice biennal 2014</w:t>
      </w:r>
      <w:r w:rsidR="002D6F2A" w:rsidRPr="00B54F87">
        <w:noBreakHyphen/>
      </w:r>
      <w:r w:rsidRPr="00B54F87">
        <w:t>2015.</w:t>
      </w:r>
    </w:p>
    <w:p w:rsidR="00D42474" w:rsidRDefault="00D42474" w:rsidP="001A5BF9">
      <w:pPr>
        <w:jc w:val="both"/>
        <w:rPr>
          <w:rFonts w:cs="Tahoma"/>
        </w:rPr>
      </w:pPr>
    </w:p>
    <w:p w:rsidR="00D42474" w:rsidRDefault="00BB3F3E" w:rsidP="001A5BF9">
      <w:pPr>
        <w:jc w:val="both"/>
      </w:pPr>
      <w:r w:rsidRPr="005C7CCE">
        <w:t>Afin de favoriser la coordination des projets dans l</w:t>
      </w:r>
      <w:r w:rsidR="00A20444" w:rsidRPr="005C7CCE">
        <w:t>’</w:t>
      </w:r>
      <w:r w:rsidRPr="005C7CCE">
        <w:t>ensemble de l</w:t>
      </w:r>
      <w:r w:rsidR="00A20444" w:rsidRPr="005C7CCE">
        <w:t>’</w:t>
      </w:r>
      <w:r w:rsidRPr="005C7CCE">
        <w:t>Organisation, la Division des projets spéciaux, créée en mai 2012, continue à concentrer ses efforts sur l</w:t>
      </w:r>
      <w:r w:rsidR="00A20444" w:rsidRPr="005C7CCE">
        <w:t>’</w:t>
      </w:r>
      <w:r w:rsidRPr="005C7CCE">
        <w:t xml:space="preserve">élaboration de projets de développement et de propriété intellectuelle innovants, en coopération avec les secteurs spécialisés concernés et les bureaux régionaux. </w:t>
      </w:r>
      <w:r w:rsidR="0010442A" w:rsidRPr="005C7CCE">
        <w:t xml:space="preserve"> </w:t>
      </w:r>
      <w:r w:rsidRPr="005C7CCE">
        <w:t>Cela a inclus la mise en œuvre de méthodologies visant à définir, protéger et commercialiser des produits d</w:t>
      </w:r>
      <w:r w:rsidR="00A20444" w:rsidRPr="005C7CCE">
        <w:t>’</w:t>
      </w:r>
      <w:r w:rsidRPr="005C7CCE">
        <w:t>origine dans des pays en développement choisis;</w:t>
      </w:r>
      <w:r w:rsidR="004F3E42" w:rsidRPr="005C7CCE">
        <w:t xml:space="preserve"> </w:t>
      </w:r>
      <w:r w:rsidR="0010442A" w:rsidRPr="005C7CCE">
        <w:t xml:space="preserve"> </w:t>
      </w:r>
      <w:r w:rsidRPr="005C7CCE">
        <w:t>sensibiliser les entreprises africaines spécialisées dans la mode aux considérations de propriété intellectuelle;</w:t>
      </w:r>
      <w:r w:rsidR="004F3E42" w:rsidRPr="005C7CCE">
        <w:t xml:space="preserve"> </w:t>
      </w:r>
      <w:r w:rsidR="0010442A" w:rsidRPr="005C7CCE">
        <w:t xml:space="preserve"> </w:t>
      </w:r>
      <w:r w:rsidRPr="005C7CCE">
        <w:t>protéger le patrimoine culturel et les expressions culturelles aux Caraïbes;</w:t>
      </w:r>
      <w:r w:rsidR="004F3E42" w:rsidRPr="005C7CCE">
        <w:t xml:space="preserve"> </w:t>
      </w:r>
      <w:r w:rsidR="0010442A" w:rsidRPr="005C7CCE">
        <w:t xml:space="preserve"> </w:t>
      </w:r>
      <w:r w:rsidRPr="005C7CCE">
        <w:t>et développer des outils pratiques pour l</w:t>
      </w:r>
      <w:r w:rsidR="00A20444" w:rsidRPr="005C7CCE">
        <w:t>’</w:t>
      </w:r>
      <w:r w:rsidRPr="005C7CCE">
        <w:t>évaluation de la propriété intellectuelle.</w:t>
      </w:r>
      <w:r w:rsidR="0010442A" w:rsidRPr="005C7CCE">
        <w:t xml:space="preserve"> </w:t>
      </w:r>
      <w:r w:rsidRPr="005C7CCE">
        <w:t xml:space="preserve"> La gestion et l</w:t>
      </w:r>
      <w:r w:rsidR="00A20444" w:rsidRPr="005C7CCE">
        <w:t>’</w:t>
      </w:r>
      <w:r w:rsidRPr="005C7CCE">
        <w:t xml:space="preserve">exploitation de trois bases de données du secteur du développement, </w:t>
      </w:r>
      <w:r w:rsidR="00A20444" w:rsidRPr="005C7CCE">
        <w:t>à savoir</w:t>
      </w:r>
      <w:r w:rsidRPr="005C7CCE">
        <w:t xml:space="preserve"> la base de données d</w:t>
      </w:r>
      <w:r w:rsidR="00A20444" w:rsidRPr="005C7CCE">
        <w:t>’</w:t>
      </w:r>
      <w:r w:rsidRPr="005C7CCE">
        <w:t>assistance technique en matière de propriété intellectuelle (IP</w:t>
      </w:r>
      <w:r w:rsidR="002D6F2A" w:rsidRPr="005C7CCE">
        <w:noBreakHyphen/>
      </w:r>
      <w:proofErr w:type="spellStart"/>
      <w:r w:rsidRPr="005C7CCE">
        <w:t>TAD</w:t>
      </w:r>
      <w:proofErr w:type="spellEnd"/>
      <w:r w:rsidRPr="005C7CCE">
        <w:t>), la liste des consultants (ROC) et la base de données de mise en parallèle des besoins de développement liés à la propriété intellectuelle (IP</w:t>
      </w:r>
      <w:r w:rsidR="002D6F2A" w:rsidRPr="005C7CCE">
        <w:noBreakHyphen/>
      </w:r>
      <w:proofErr w:type="spellStart"/>
      <w:r w:rsidRPr="005C7CCE">
        <w:t>DMD</w:t>
      </w:r>
      <w:proofErr w:type="spellEnd"/>
      <w:r w:rsidRPr="005C7CCE">
        <w:t>) ont été intégrées dans les activités régulières de l</w:t>
      </w:r>
      <w:r w:rsidR="00A20444" w:rsidRPr="005C7CCE">
        <w:t>’</w:t>
      </w:r>
      <w:r w:rsidRPr="005C7CCE">
        <w:t>OMPI en 2013, en tenant dûment compte des recommandations des évaluations du projet du Plan d</w:t>
      </w:r>
      <w:r w:rsidR="00A20444" w:rsidRPr="005C7CCE">
        <w:t>’</w:t>
      </w:r>
      <w:r w:rsidRPr="005C7CCE">
        <w:t xml:space="preserve">action pour le développement. </w:t>
      </w:r>
      <w:r w:rsidR="0010442A" w:rsidRPr="005C7CCE">
        <w:t xml:space="preserve"> </w:t>
      </w:r>
      <w:r w:rsidRPr="005C7CCE">
        <w:t>En outre, deux nouvelles bases de données personnalisées ont été créées et mises en œuvre afin d</w:t>
      </w:r>
      <w:r w:rsidR="00A20444" w:rsidRPr="005C7CCE">
        <w:t>’</w:t>
      </w:r>
      <w:r w:rsidRPr="005C7CCE">
        <w:t>appuyer l</w:t>
      </w:r>
      <w:r w:rsidR="00A20444" w:rsidRPr="005C7CCE">
        <w:t>’</w:t>
      </w:r>
      <w:r w:rsidRPr="005C7CCE">
        <w:t>intégration des recommandations du Plan d</w:t>
      </w:r>
      <w:r w:rsidR="00A20444" w:rsidRPr="005C7CCE">
        <w:t>’</w:t>
      </w:r>
      <w:r w:rsidRPr="005C7CCE">
        <w:t>action pour le développement dans les travaux de l</w:t>
      </w:r>
      <w:r w:rsidR="00A20444" w:rsidRPr="005C7CCE">
        <w:t>’</w:t>
      </w:r>
      <w:r w:rsidRPr="005C7CCE">
        <w:t xml:space="preserve">OMPI axés sur le développement, </w:t>
      </w:r>
      <w:r w:rsidR="00A20444" w:rsidRPr="005C7CCE">
        <w:t>à savoir</w:t>
      </w:r>
      <w:r w:rsidRPr="005C7CCE">
        <w:t xml:space="preserve"> une base de données pour la saisie des données de référence à utiliser dans les processus nationaux pour l</w:t>
      </w:r>
      <w:r w:rsidR="00A20444" w:rsidRPr="005C7CCE">
        <w:t>’</w:t>
      </w:r>
      <w:r w:rsidRPr="005C7CCE">
        <w:t>élaboration des stratégies nationales de propriété intellectuelle (</w:t>
      </w:r>
      <w:proofErr w:type="spellStart"/>
      <w:r w:rsidRPr="005C7CCE">
        <w:t>NIPS</w:t>
      </w:r>
      <w:proofErr w:type="spellEnd"/>
      <w:r w:rsidR="002D6F2A" w:rsidRPr="005C7CCE">
        <w:noBreakHyphen/>
      </w:r>
      <w:r w:rsidRPr="005C7CCE">
        <w:t>D) et une interface pour le projet Sud</w:t>
      </w:r>
      <w:r w:rsidR="002D6F2A" w:rsidRPr="005C7CCE">
        <w:noBreakHyphen/>
      </w:r>
      <w:r w:rsidRPr="005C7CCE">
        <w:t>Sud du Plan d</w:t>
      </w:r>
      <w:r w:rsidR="00A20444" w:rsidRPr="005C7CCE">
        <w:t>’</w:t>
      </w:r>
      <w:r w:rsidRPr="005C7CCE">
        <w:t>action pour le développement permettant le partage des informations figurant dans IP</w:t>
      </w:r>
      <w:r w:rsidR="002D6F2A" w:rsidRPr="005C7CCE">
        <w:noBreakHyphen/>
      </w:r>
      <w:proofErr w:type="spellStart"/>
      <w:r w:rsidRPr="005C7CCE">
        <w:t>TAD</w:t>
      </w:r>
      <w:proofErr w:type="spellEnd"/>
      <w:r w:rsidRPr="005C7CCE">
        <w:t xml:space="preserve"> et IP</w:t>
      </w:r>
      <w:r w:rsidR="002D6F2A" w:rsidRPr="005C7CCE">
        <w:noBreakHyphen/>
      </w:r>
      <w:r w:rsidRPr="005C7CCE">
        <w:t>ROC pour les pays de l</w:t>
      </w:r>
      <w:r w:rsidR="00A20444" w:rsidRPr="005C7CCE">
        <w:t>’</w:t>
      </w:r>
      <w:r w:rsidRPr="005C7CCE">
        <w:t>hémisphère Sud.</w:t>
      </w:r>
    </w:p>
    <w:p w:rsidR="00D42474" w:rsidRDefault="00BB3F3E" w:rsidP="001A5BF9">
      <w:pPr>
        <w:jc w:val="both"/>
      </w:pPr>
      <w:r w:rsidRPr="005C7CCE">
        <w:t>Au cours de ses quatre sessions qui se sont déroulées en 2012</w:t>
      </w:r>
      <w:r w:rsidR="002D6F2A" w:rsidRPr="005C7CCE">
        <w:noBreakHyphen/>
      </w:r>
      <w:r w:rsidRPr="005C7CCE">
        <w:t>2013, le CDIP a approuvé deux nouveaux projets proposés par le Burkina Faso et la République de Corée et examiné deux rapports annuels du Directeur général sur la mise en œuvre du Plan d</w:t>
      </w:r>
      <w:r w:rsidR="00A20444" w:rsidRPr="005C7CCE">
        <w:t>’</w:t>
      </w:r>
      <w:r w:rsidRPr="005C7CCE">
        <w:t>action pour le développement, deux</w:t>
      </w:r>
      <w:r w:rsidR="0010442A" w:rsidRPr="005C7CCE">
        <w:t> </w:t>
      </w:r>
      <w:r w:rsidRPr="005C7CCE">
        <w:t>rapports annuels sur l</w:t>
      </w:r>
      <w:r w:rsidR="00A20444" w:rsidRPr="005C7CCE">
        <w:t>’</w:t>
      </w:r>
      <w:r w:rsidRPr="005C7CCE">
        <w:t>état d</w:t>
      </w:r>
      <w:r w:rsidR="00A20444" w:rsidRPr="005C7CCE">
        <w:t>’</w:t>
      </w:r>
      <w:r w:rsidRPr="005C7CCE">
        <w:t>avancement de la mise en œuvre des recommandations pour application immédiate ainsi que des projets du Plan d</w:t>
      </w:r>
      <w:r w:rsidR="00A20444" w:rsidRPr="005C7CCE">
        <w:t>’</w:t>
      </w:r>
      <w:r w:rsidRPr="005C7CCE">
        <w:t xml:space="preserve">action pour le </w:t>
      </w:r>
      <w:r w:rsidRPr="00B54F87">
        <w:t>développement et 14 rapports d</w:t>
      </w:r>
      <w:r w:rsidR="00A20444" w:rsidRPr="00B54F87">
        <w:t>’</w:t>
      </w:r>
      <w:r w:rsidRPr="00B54F87">
        <w:t>évaluation indépendante de projets.</w:t>
      </w:r>
      <w:r w:rsidR="004F3E42" w:rsidRPr="00B54F87">
        <w:t xml:space="preserve"> </w:t>
      </w:r>
      <w:r w:rsidR="0010442A" w:rsidRPr="00B54F87">
        <w:t xml:space="preserve"> </w:t>
      </w:r>
      <w:r w:rsidRPr="00B54F87">
        <w:t xml:space="preserve">En outre, le </w:t>
      </w:r>
      <w:r w:rsidR="00083EF7" w:rsidRPr="00B54F87">
        <w:t>comité</w:t>
      </w:r>
      <w:r w:rsidRPr="00B54F87">
        <w:t xml:space="preserve"> a approuvé les deuxièmes phases de quatre</w:t>
      </w:r>
      <w:r w:rsidR="0010442A" w:rsidRPr="00B54F87">
        <w:t> </w:t>
      </w:r>
      <w:r w:rsidRPr="00B54F87">
        <w:t>projets terminés et évalués.</w:t>
      </w:r>
      <w:r w:rsidR="0010442A" w:rsidRPr="00B54F87">
        <w:t xml:space="preserve"> </w:t>
      </w:r>
      <w:r w:rsidR="004F3E42" w:rsidRPr="00B54F87">
        <w:t xml:space="preserve"> </w:t>
      </w:r>
      <w:r w:rsidRPr="00B54F87">
        <w:t>Le comité a étudié deux documents transmis par l</w:t>
      </w:r>
      <w:r w:rsidR="00A20444" w:rsidRPr="00B54F87">
        <w:t>’</w:t>
      </w:r>
      <w:r w:rsidRPr="00B54F87">
        <w:t xml:space="preserve">Assemblée générale, </w:t>
      </w:r>
      <w:r w:rsidR="00A20444" w:rsidRPr="00B54F87">
        <w:t>à savoir</w:t>
      </w:r>
      <w:r w:rsidRPr="00B54F87">
        <w:t xml:space="preserve"> la description de la contribution des organes compétents de l</w:t>
      </w:r>
      <w:r w:rsidR="00A20444" w:rsidRPr="00B54F87">
        <w:t>’</w:t>
      </w:r>
      <w:r w:rsidRPr="00B54F87">
        <w:t xml:space="preserve">OMPI à </w:t>
      </w:r>
      <w:r w:rsidRPr="005C7CCE">
        <w:t>la mise en œuvre des recommandations du Plan d</w:t>
      </w:r>
      <w:r w:rsidR="00A20444" w:rsidRPr="005C7CCE">
        <w:t>’</w:t>
      </w:r>
      <w:r w:rsidRPr="005C7CCE">
        <w:t xml:space="preserve">action pour le développement et une décision du CDIP sur des questions connexes. </w:t>
      </w:r>
      <w:r w:rsidR="0010442A" w:rsidRPr="005C7CCE">
        <w:t xml:space="preserve"> </w:t>
      </w:r>
      <w:r w:rsidRPr="005C7CCE">
        <w:t>Le comité a également examiné un rapport concernant l</w:t>
      </w:r>
      <w:r w:rsidR="00A20444" w:rsidRPr="005C7CCE">
        <w:t>’</w:t>
      </w:r>
      <w:r w:rsidRPr="005C7CCE">
        <w:t>évaluation de la contribution de l</w:t>
      </w:r>
      <w:r w:rsidR="00A20444" w:rsidRPr="005C7CCE">
        <w:t>’</w:t>
      </w:r>
      <w:r w:rsidRPr="005C7CCE">
        <w:t xml:space="preserve">OMPI à la réalisation des </w:t>
      </w:r>
      <w:r w:rsidR="0010442A" w:rsidRPr="005C7CCE">
        <w:t>objectifs</w:t>
      </w:r>
      <w:r w:rsidRPr="005C7CCE">
        <w:t xml:space="preserve"> du Millénaire pour le développement (</w:t>
      </w:r>
      <w:proofErr w:type="spellStart"/>
      <w:r w:rsidRPr="005C7CCE">
        <w:t>OMD</w:t>
      </w:r>
      <w:proofErr w:type="spellEnd"/>
      <w:r w:rsidRPr="005C7CCE">
        <w:t>) et a pris note : i) de l</w:t>
      </w:r>
      <w:r w:rsidR="00A20444" w:rsidRPr="005C7CCE">
        <w:t>’</w:t>
      </w:r>
      <w:r w:rsidRPr="005C7CCE">
        <w:t xml:space="preserve">étude sur la </w:t>
      </w:r>
      <w:r w:rsidR="00A93636">
        <w:t>f</w:t>
      </w:r>
      <w:r w:rsidRPr="005C7CCE">
        <w:t xml:space="preserve">aisabilité de la prise en considération des besoins et résultats visés dans les </w:t>
      </w:r>
      <w:r w:rsidR="0010442A" w:rsidRPr="005C7CCE">
        <w:t>objectifs</w:t>
      </w:r>
      <w:r w:rsidRPr="005C7CCE">
        <w:t xml:space="preserve"> du Millénaire pour le développement dans le tableau des résultats de l</w:t>
      </w:r>
      <w:r w:rsidR="00A20444" w:rsidRPr="005C7CCE">
        <w:t>’</w:t>
      </w:r>
      <w:r w:rsidRPr="005C7CCE">
        <w:t>exercice biennal de l</w:t>
      </w:r>
      <w:r w:rsidR="00A20444" w:rsidRPr="005C7CCE">
        <w:t>’</w:t>
      </w:r>
      <w:r w:rsidRPr="005C7CCE">
        <w:t>OMPI;</w:t>
      </w:r>
      <w:r w:rsidR="004F3E42" w:rsidRPr="005C7CCE">
        <w:t xml:space="preserve"> </w:t>
      </w:r>
      <w:r w:rsidR="0010442A" w:rsidRPr="005C7CCE">
        <w:t xml:space="preserve"> </w:t>
      </w:r>
      <w:r w:rsidRPr="005C7CCE">
        <w:t>et ii) d</w:t>
      </w:r>
      <w:r w:rsidR="00A20444" w:rsidRPr="005C7CCE">
        <w:t>’</w:t>
      </w:r>
      <w:r w:rsidRPr="005C7CCE">
        <w:t>un document sur l</w:t>
      </w:r>
      <w:r w:rsidR="00A20444" w:rsidRPr="005C7CCE">
        <w:t>’</w:t>
      </w:r>
      <w:r w:rsidRPr="005C7CCE">
        <w:t>évaluation des </w:t>
      </w:r>
      <w:proofErr w:type="spellStart"/>
      <w:r w:rsidRPr="005C7CCE">
        <w:t>OMD</w:t>
      </w:r>
      <w:proofErr w:type="spellEnd"/>
      <w:r w:rsidRPr="005C7CCE">
        <w:t xml:space="preserve"> au sein d</w:t>
      </w:r>
      <w:r w:rsidR="00A20444" w:rsidRPr="005C7CCE">
        <w:t>’</w:t>
      </w:r>
      <w:r w:rsidRPr="005C7CCE">
        <w:t xml:space="preserve">autres institutions spécialisées des </w:t>
      </w:r>
      <w:r w:rsidR="00A20444" w:rsidRPr="005C7CCE">
        <w:t>Nations Unies</w:t>
      </w:r>
      <w:r w:rsidRPr="005C7CCE">
        <w:t xml:space="preserve"> ainsi que de la contribution de l</w:t>
      </w:r>
      <w:r w:rsidR="00A20444" w:rsidRPr="005C7CCE">
        <w:t>’</w:t>
      </w:r>
      <w:r w:rsidRPr="005C7CCE">
        <w:t xml:space="preserve">OMPI aux </w:t>
      </w:r>
      <w:r w:rsidR="0010442A" w:rsidRPr="005C7CCE">
        <w:t>objectifs</w:t>
      </w:r>
      <w:r w:rsidRPr="005C7CCE">
        <w:t xml:space="preserve"> du Millénaire pour le développement.</w:t>
      </w:r>
    </w:p>
    <w:p w:rsidR="00D42474" w:rsidRDefault="00D42474" w:rsidP="001A5BF9">
      <w:pPr>
        <w:jc w:val="both"/>
        <w:rPr>
          <w:bCs/>
        </w:rPr>
      </w:pPr>
    </w:p>
    <w:p w:rsidR="00D42474" w:rsidRDefault="00D42474" w:rsidP="001A5BF9">
      <w:pPr>
        <w:jc w:val="both"/>
        <w:rPr>
          <w:iCs/>
        </w:rPr>
      </w:pPr>
    </w:p>
    <w:p w:rsidR="00D42474" w:rsidRDefault="00BB3F3E" w:rsidP="001A5BF9">
      <w:pPr>
        <w:jc w:val="center"/>
        <w:rPr>
          <w:b/>
          <w:iCs/>
        </w:rPr>
      </w:pPr>
      <w:r w:rsidRPr="00B54F87">
        <w:rPr>
          <w:b/>
        </w:rPr>
        <w:t>Objectif stratégique IV : Coordination et développement de l</w:t>
      </w:r>
      <w:r w:rsidR="00A20444" w:rsidRPr="00B54F87">
        <w:rPr>
          <w:b/>
        </w:rPr>
        <w:t>’</w:t>
      </w:r>
      <w:r w:rsidRPr="00B54F87">
        <w:rPr>
          <w:b/>
        </w:rPr>
        <w:t xml:space="preserve">infrastructure mondiale </w:t>
      </w:r>
      <w:r w:rsidR="00B54F87">
        <w:rPr>
          <w:b/>
        </w:rPr>
        <w:br/>
      </w:r>
      <w:r w:rsidRPr="00B54F87">
        <w:rPr>
          <w:b/>
        </w:rPr>
        <w:t>en matière de propriété intellectuelle</w:t>
      </w:r>
    </w:p>
    <w:p w:rsidR="00D42474" w:rsidRDefault="00D42474" w:rsidP="001A5BF9">
      <w:pPr>
        <w:jc w:val="both"/>
        <w:rPr>
          <w:b/>
          <w:iCs/>
        </w:rPr>
      </w:pPr>
    </w:p>
    <w:p w:rsidR="00D42474" w:rsidRDefault="00D42474" w:rsidP="001A5BF9">
      <w:pPr>
        <w:jc w:val="both"/>
      </w:pPr>
    </w:p>
    <w:p w:rsidR="00D42474" w:rsidRDefault="00BB3F3E" w:rsidP="001A5BF9">
      <w:pPr>
        <w:jc w:val="center"/>
        <w:rPr>
          <w:b/>
          <w:sz w:val="18"/>
          <w:szCs w:val="18"/>
        </w:rPr>
      </w:pPr>
      <w:r w:rsidRPr="005C7CCE">
        <w:rPr>
          <w:b/>
          <w:sz w:val="18"/>
        </w:rPr>
        <w:t>Résumé des réalisations par résultat escompté</w:t>
      </w:r>
    </w:p>
    <w:p w:rsidR="00D42474" w:rsidRDefault="00D42474" w:rsidP="001A5BF9">
      <w:pPr>
        <w:jc w:val="center"/>
        <w:rPr>
          <w:b/>
          <w:sz w:val="18"/>
          <w:szCs w:val="18"/>
        </w:rPr>
      </w:pPr>
    </w:p>
    <w:p w:rsidR="00D42474" w:rsidRDefault="00D656BD" w:rsidP="001A5BF9">
      <w:pPr>
        <w:jc w:val="center"/>
        <w:rPr>
          <w:b/>
          <w:sz w:val="18"/>
          <w:szCs w:val="18"/>
        </w:rPr>
      </w:pPr>
      <w:r w:rsidRPr="005C7CCE">
        <w:rPr>
          <w:noProof/>
        </w:rPr>
        <w:drawing>
          <wp:inline distT="0" distB="0" distL="0" distR="0" wp14:anchorId="46F13612" wp14:editId="2EB41F11">
            <wp:extent cx="5930720" cy="273032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2805" cy="2731281"/>
                    </a:xfrm>
                    <a:prstGeom prst="rect">
                      <a:avLst/>
                    </a:prstGeom>
                    <a:noFill/>
                    <a:ln>
                      <a:noFill/>
                    </a:ln>
                  </pic:spPr>
                </pic:pic>
              </a:graphicData>
            </a:graphic>
          </wp:inline>
        </w:drawing>
      </w:r>
    </w:p>
    <w:p w:rsidR="00D42474" w:rsidRDefault="00D42474" w:rsidP="001A5BF9">
      <w:pPr>
        <w:jc w:val="center"/>
        <w:rPr>
          <w:b/>
          <w:sz w:val="18"/>
          <w:szCs w:val="18"/>
        </w:rPr>
      </w:pPr>
    </w:p>
    <w:p w:rsidR="00D42474" w:rsidRDefault="00D42474" w:rsidP="001A5BF9">
      <w:pPr>
        <w:jc w:val="center"/>
        <w:rPr>
          <w:b/>
          <w:sz w:val="18"/>
          <w:szCs w:val="18"/>
        </w:rPr>
      </w:pPr>
    </w:p>
    <w:p w:rsidR="00D42474" w:rsidRDefault="00D42474" w:rsidP="001A5BF9">
      <w:pPr>
        <w:jc w:val="center"/>
        <w:rPr>
          <w:b/>
          <w:sz w:val="18"/>
          <w:szCs w:val="18"/>
        </w:rPr>
      </w:pPr>
    </w:p>
    <w:p w:rsidR="00D42474" w:rsidRDefault="00D42474" w:rsidP="001A5BF9">
      <w:pPr>
        <w:jc w:val="center"/>
        <w:rPr>
          <w:b/>
          <w:sz w:val="18"/>
          <w:szCs w:val="18"/>
        </w:rPr>
      </w:pPr>
    </w:p>
    <w:p w:rsidR="00D42474" w:rsidRDefault="00D42474" w:rsidP="001A5BF9">
      <w:pPr>
        <w:jc w:val="center"/>
        <w:rPr>
          <w:b/>
          <w:sz w:val="18"/>
          <w:szCs w:val="18"/>
        </w:rPr>
      </w:pPr>
    </w:p>
    <w:p w:rsidR="00D42474" w:rsidRDefault="00BB3F3E" w:rsidP="001A5BF9">
      <w:pPr>
        <w:rPr>
          <w:b/>
          <w:sz w:val="18"/>
          <w:szCs w:val="18"/>
        </w:rPr>
      </w:pPr>
      <w:r w:rsidRPr="005C7CCE">
        <w:br w:type="page"/>
      </w:r>
    </w:p>
    <w:p w:rsidR="00D42474" w:rsidRDefault="00BB3F3E" w:rsidP="001A5BF9">
      <w:pPr>
        <w:jc w:val="center"/>
        <w:rPr>
          <w:b/>
          <w:szCs w:val="20"/>
        </w:rPr>
      </w:pPr>
      <w:r w:rsidRPr="005C7CCE">
        <w:rPr>
          <w:b/>
        </w:rPr>
        <w:t>Tableau de bord de l</w:t>
      </w:r>
      <w:r w:rsidR="00A20444" w:rsidRPr="005C7CCE">
        <w:rPr>
          <w:b/>
        </w:rPr>
        <w:t>’</w:t>
      </w:r>
      <w:r w:rsidRPr="005C7CCE">
        <w:rPr>
          <w:b/>
        </w:rPr>
        <w:t>exécution du programme biennal</w:t>
      </w:r>
    </w:p>
    <w:p w:rsidR="00D42474" w:rsidRDefault="00D42474" w:rsidP="001A5BF9">
      <w:pPr>
        <w:rPr>
          <w:b/>
          <w:sz w:val="18"/>
          <w:szCs w:val="18"/>
        </w:rPr>
      </w:pPr>
    </w:p>
    <w:p w:rsidR="00D42474" w:rsidRDefault="00BB3F3E" w:rsidP="001A5BF9">
      <w:pPr>
        <w:autoSpaceDE w:val="0"/>
        <w:autoSpaceDN w:val="0"/>
        <w:adjustRightInd w:val="0"/>
        <w:jc w:val="both"/>
        <w:rPr>
          <w:rFonts w:cs="Arial"/>
        </w:rPr>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w:t>
      </w:r>
      <w:r w:rsidR="00B6612B" w:rsidRPr="005C7CCE">
        <w:t>ant à cet objectif stratégique.</w:t>
      </w:r>
    </w:p>
    <w:p w:rsidR="00BB3F3E" w:rsidRPr="005C7CCE" w:rsidRDefault="00BB3F3E" w:rsidP="001A5BF9">
      <w:pPr>
        <w:jc w:val="center"/>
        <w:rPr>
          <w:b/>
          <w:sz w:val="18"/>
          <w:szCs w:val="18"/>
        </w:rPr>
      </w:pPr>
    </w:p>
    <w:tbl>
      <w:tblPr>
        <w:tblW w:w="0" w:type="auto"/>
        <w:tblInd w:w="9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6"/>
        <w:gridCol w:w="3588"/>
        <w:gridCol w:w="1418"/>
        <w:gridCol w:w="1162"/>
      </w:tblGrid>
      <w:tr w:rsidR="00B54F87" w:rsidRPr="00B54F87" w:rsidTr="00B54F87">
        <w:trPr>
          <w:cantSplit/>
          <w:tblHeader/>
        </w:trPr>
        <w:tc>
          <w:tcPr>
            <w:tcW w:w="3226" w:type="dxa"/>
            <w:tcBorders>
              <w:top w:val="single" w:sz="4" w:space="0" w:color="auto"/>
              <w:bottom w:val="single" w:sz="4" w:space="0" w:color="auto"/>
            </w:tcBorders>
            <w:shd w:val="clear" w:color="auto" w:fill="CCFFFF"/>
            <w:vAlign w:val="center"/>
          </w:tcPr>
          <w:p w:rsidR="00BB3F3E" w:rsidRPr="00B54F87" w:rsidRDefault="00BB3F3E" w:rsidP="001A5BF9">
            <w:pPr>
              <w:spacing w:before="120" w:after="120"/>
              <w:jc w:val="center"/>
              <w:rPr>
                <w:rFonts w:cs="Arial"/>
                <w:b/>
                <w:bCs/>
                <w:sz w:val="14"/>
                <w:szCs w:val="14"/>
              </w:rPr>
            </w:pPr>
            <w:r w:rsidRPr="00B54F87">
              <w:rPr>
                <w:b/>
                <w:sz w:val="14"/>
              </w:rPr>
              <w:t>Résultats escomptés</w:t>
            </w:r>
          </w:p>
        </w:tc>
        <w:tc>
          <w:tcPr>
            <w:tcW w:w="3588" w:type="dxa"/>
            <w:tcBorders>
              <w:top w:val="single" w:sz="4" w:space="0" w:color="auto"/>
              <w:bottom w:val="single" w:sz="4" w:space="0" w:color="auto"/>
            </w:tcBorders>
            <w:shd w:val="clear" w:color="auto" w:fill="CCFFFF"/>
            <w:vAlign w:val="center"/>
          </w:tcPr>
          <w:p w:rsidR="00BB3F3E" w:rsidRPr="00B54F87" w:rsidRDefault="00BB3F3E" w:rsidP="001A5BF9">
            <w:pPr>
              <w:spacing w:before="120" w:after="120"/>
              <w:jc w:val="center"/>
              <w:rPr>
                <w:rFonts w:cs="Arial"/>
                <w:b/>
                <w:bCs/>
                <w:sz w:val="14"/>
                <w:szCs w:val="14"/>
              </w:rPr>
            </w:pPr>
            <w:r w:rsidRPr="00B54F87">
              <w:rPr>
                <w:b/>
                <w:sz w:val="14"/>
              </w:rPr>
              <w:t>Indicateurs d</w:t>
            </w:r>
            <w:r w:rsidR="00A20444" w:rsidRPr="00B54F87">
              <w:rPr>
                <w:b/>
                <w:sz w:val="14"/>
              </w:rPr>
              <w:t>’</w:t>
            </w:r>
            <w:r w:rsidRPr="00B54F87">
              <w:rPr>
                <w:b/>
                <w:sz w:val="14"/>
              </w:rPr>
              <w:t>exécution</w:t>
            </w:r>
          </w:p>
        </w:tc>
        <w:tc>
          <w:tcPr>
            <w:tcW w:w="1418" w:type="dxa"/>
            <w:tcBorders>
              <w:top w:val="single" w:sz="4" w:space="0" w:color="auto"/>
              <w:bottom w:val="single" w:sz="4" w:space="0" w:color="auto"/>
            </w:tcBorders>
            <w:shd w:val="clear" w:color="auto" w:fill="CCFFFF"/>
            <w:vAlign w:val="center"/>
          </w:tcPr>
          <w:p w:rsidR="00BB3F3E" w:rsidRPr="00B54F87" w:rsidRDefault="00BB3F3E" w:rsidP="001A5BF9">
            <w:pPr>
              <w:spacing w:before="120" w:after="120"/>
              <w:jc w:val="center"/>
              <w:rPr>
                <w:rFonts w:cs="Arial"/>
                <w:b/>
                <w:bCs/>
                <w:sz w:val="14"/>
                <w:szCs w:val="14"/>
              </w:rPr>
            </w:pPr>
            <w:r w:rsidRPr="00B54F87">
              <w:rPr>
                <w:b/>
                <w:sz w:val="14"/>
              </w:rPr>
              <w:t>Programme(s) concerné(s)</w:t>
            </w:r>
          </w:p>
        </w:tc>
        <w:tc>
          <w:tcPr>
            <w:tcW w:w="1162" w:type="dxa"/>
            <w:tcBorders>
              <w:top w:val="single" w:sz="4" w:space="0" w:color="auto"/>
              <w:bottom w:val="single" w:sz="4" w:space="0" w:color="auto"/>
            </w:tcBorders>
            <w:shd w:val="clear" w:color="auto" w:fill="CCFFFF"/>
          </w:tcPr>
          <w:p w:rsidR="00BB3F3E" w:rsidRPr="00B54F87" w:rsidRDefault="00BB3F3E" w:rsidP="001A5BF9">
            <w:pPr>
              <w:spacing w:before="120" w:after="120"/>
              <w:jc w:val="center"/>
              <w:rPr>
                <w:rFonts w:cs="Arial"/>
                <w:b/>
                <w:bCs/>
                <w:sz w:val="14"/>
                <w:szCs w:val="14"/>
              </w:rPr>
            </w:pPr>
            <w:r w:rsidRPr="00B54F87">
              <w:rPr>
                <w:b/>
                <w:sz w:val="14"/>
              </w:rPr>
              <w:t>Code de couleurs</w:t>
            </w:r>
          </w:p>
        </w:tc>
      </w:tr>
      <w:tr w:rsidR="00BB3F3E" w:rsidRPr="005C7CCE" w:rsidTr="00B54F87">
        <w:trPr>
          <w:cantSplit/>
        </w:trPr>
        <w:tc>
          <w:tcPr>
            <w:tcW w:w="3226" w:type="dxa"/>
            <w:vMerge w:val="restart"/>
            <w:tcBorders>
              <w:top w:val="single" w:sz="4" w:space="0" w:color="auto"/>
            </w:tcBorders>
            <w:shd w:val="clear" w:color="auto" w:fill="auto"/>
            <w:tcMar>
              <w:top w:w="113" w:type="dxa"/>
            </w:tcMar>
          </w:tcPr>
          <w:p w:rsidR="00BB3F3E" w:rsidRPr="00B54F87" w:rsidRDefault="00BB3F3E" w:rsidP="001A5BF9">
            <w:pPr>
              <w:spacing w:before="80"/>
              <w:rPr>
                <w:rFonts w:cs="Arial"/>
                <w:sz w:val="14"/>
                <w:szCs w:val="14"/>
              </w:rPr>
            </w:pPr>
            <w:r w:rsidRPr="00B54F87">
              <w:rPr>
                <w:sz w:val="14"/>
              </w:rPr>
              <w:t>Système actualisé et mondialement accepté des classifications internationales et des normes de l</w:t>
            </w:r>
            <w:r w:rsidR="00A20444" w:rsidRPr="00B54F87">
              <w:rPr>
                <w:sz w:val="14"/>
              </w:rPr>
              <w:t>’</w:t>
            </w:r>
            <w:r w:rsidRPr="00B54F87">
              <w:rPr>
                <w:sz w:val="14"/>
              </w:rPr>
              <w:t>OMPI pour faciliter l</w:t>
            </w:r>
            <w:r w:rsidR="00A20444" w:rsidRPr="00B54F87">
              <w:rPr>
                <w:sz w:val="14"/>
              </w:rPr>
              <w:t>’</w:t>
            </w:r>
            <w:r w:rsidRPr="00B54F87">
              <w:rPr>
                <w:sz w:val="14"/>
              </w:rPr>
              <w:t>accès des parties prenantes du monde entier à l</w:t>
            </w:r>
            <w:r w:rsidR="00A20444" w:rsidRPr="00B54F87">
              <w:rPr>
                <w:sz w:val="14"/>
              </w:rPr>
              <w:t>’</w:t>
            </w:r>
            <w:r w:rsidRPr="00B54F87">
              <w:rPr>
                <w:sz w:val="14"/>
              </w:rPr>
              <w:t>information en matière de propriété intellectuelle, ainsi que son utilisation et sa diffusion</w:t>
            </w:r>
          </w:p>
        </w:tc>
        <w:tc>
          <w:tcPr>
            <w:tcW w:w="3588" w:type="dxa"/>
            <w:tcBorders>
              <w:top w:val="single" w:sz="4" w:space="0" w:color="auto"/>
            </w:tcBorders>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offices qui utilisent les normes de l</w:t>
            </w:r>
            <w:r w:rsidR="00A20444" w:rsidRPr="00B54F87">
              <w:rPr>
                <w:sz w:val="14"/>
              </w:rPr>
              <w:t>’</w:t>
            </w:r>
            <w:r w:rsidRPr="00B54F87">
              <w:rPr>
                <w:sz w:val="14"/>
              </w:rPr>
              <w:t>OMPI</w:t>
            </w:r>
          </w:p>
        </w:tc>
        <w:tc>
          <w:tcPr>
            <w:tcW w:w="1418" w:type="dxa"/>
            <w:tcBorders>
              <w:top w:val="single" w:sz="4" w:space="0" w:color="auto"/>
            </w:tcBorders>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12</w:t>
            </w:r>
          </w:p>
        </w:tc>
        <w:tc>
          <w:tcPr>
            <w:tcW w:w="1162" w:type="dxa"/>
            <w:tcBorders>
              <w:top w:val="single" w:sz="4" w:space="0" w:color="auto"/>
            </w:tcBorders>
          </w:tcPr>
          <w:p w:rsidR="00BB3F3E" w:rsidRPr="005C7CCE" w:rsidRDefault="00BB3F3E" w:rsidP="001A5BF9">
            <w:pPr>
              <w:spacing w:before="20"/>
              <w:jc w:val="center"/>
              <w:rPr>
                <w:rFonts w:cs="Arial"/>
                <w:szCs w:val="22"/>
              </w:rPr>
            </w:pPr>
            <w:r w:rsidRPr="005C7CCE">
              <w:rPr>
                <w:color w:val="A6A6A6"/>
              </w:rPr>
              <w:sym w:font="Wingdings" w:char="F06C"/>
            </w:r>
          </w:p>
        </w:tc>
      </w:tr>
      <w:tr w:rsidR="00BB3F3E" w:rsidRPr="005C7CCE" w:rsidTr="00B54F87">
        <w:trPr>
          <w:cantSplit/>
        </w:trPr>
        <w:tc>
          <w:tcPr>
            <w:tcW w:w="3226" w:type="dxa"/>
            <w:vMerge/>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de modifications apportées à la Classification de Nice</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12</w:t>
            </w:r>
          </w:p>
        </w:tc>
        <w:tc>
          <w:tcPr>
            <w:tcW w:w="1162" w:type="dxa"/>
          </w:tcPr>
          <w:p w:rsidR="00BB3F3E" w:rsidRPr="005C7CCE" w:rsidRDefault="00BB3F3E" w:rsidP="001A5BF9">
            <w:pPr>
              <w:spacing w:before="20"/>
              <w:jc w:val="center"/>
              <w:rPr>
                <w:szCs w:val="22"/>
              </w:rPr>
            </w:pPr>
            <w:r w:rsidRPr="005C7CCE">
              <w:rPr>
                <w:color w:val="FF0000"/>
              </w:rPr>
              <w:sym w:font="Wingdings" w:char="F06C"/>
            </w:r>
          </w:p>
        </w:tc>
      </w:tr>
      <w:tr w:rsidR="00BB3F3E" w:rsidRPr="005C7CCE" w:rsidTr="00B54F87">
        <w:trPr>
          <w:cantSplit/>
        </w:trPr>
        <w:tc>
          <w:tcPr>
            <w:tcW w:w="3226" w:type="dxa"/>
            <w:vMerge/>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Unification de l</w:t>
            </w:r>
            <w:r w:rsidR="00A20444" w:rsidRPr="00B54F87">
              <w:rPr>
                <w:sz w:val="14"/>
              </w:rPr>
              <w:t>’</w:t>
            </w:r>
            <w:proofErr w:type="spellStart"/>
            <w:r w:rsidRPr="00B54F87">
              <w:rPr>
                <w:sz w:val="14"/>
              </w:rPr>
              <w:t>ECLA</w:t>
            </w:r>
            <w:proofErr w:type="spellEnd"/>
            <w:r w:rsidRPr="00B54F87">
              <w:rPr>
                <w:sz w:val="14"/>
              </w:rPr>
              <w:t xml:space="preserve"> et de la FI à l</w:t>
            </w:r>
            <w:r w:rsidR="00A20444" w:rsidRPr="00B54F87">
              <w:rPr>
                <w:sz w:val="14"/>
              </w:rPr>
              <w:t>’</w:t>
            </w:r>
            <w:r w:rsidRPr="00B54F87">
              <w:rPr>
                <w:sz w:val="14"/>
              </w:rPr>
              <w:t>intérieur de</w:t>
            </w:r>
            <w:r w:rsidR="00A20444" w:rsidRPr="00B54F87">
              <w:rPr>
                <w:sz w:val="14"/>
              </w:rPr>
              <w:t xml:space="preserve"> la </w:t>
            </w:r>
            <w:proofErr w:type="spellStart"/>
            <w:r w:rsidR="00A20444" w:rsidRPr="00B54F87">
              <w:rPr>
                <w:sz w:val="14"/>
              </w:rPr>
              <w:t>CIB</w:t>
            </w:r>
            <w:proofErr w:type="spellEnd"/>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12</w:t>
            </w:r>
          </w:p>
        </w:tc>
        <w:tc>
          <w:tcPr>
            <w:tcW w:w="1162" w:type="dxa"/>
          </w:tcPr>
          <w:p w:rsidR="00BB3F3E" w:rsidRPr="005C7CCE" w:rsidRDefault="00BB3F3E" w:rsidP="001A5BF9">
            <w:pPr>
              <w:spacing w:before="20"/>
              <w:jc w:val="center"/>
              <w:rPr>
                <w:szCs w:val="22"/>
              </w:rPr>
            </w:pPr>
            <w:r w:rsidRPr="005C7CCE">
              <w:rPr>
                <w:color w:val="E36C0A"/>
              </w:rPr>
              <w:sym w:font="Wingdings" w:char="F06C"/>
            </w:r>
          </w:p>
        </w:tc>
      </w:tr>
      <w:tr w:rsidR="00BB3F3E" w:rsidRPr="005C7CCE" w:rsidTr="00B54F87">
        <w:trPr>
          <w:cantSplit/>
        </w:trPr>
        <w:tc>
          <w:tcPr>
            <w:tcW w:w="3226" w:type="dxa"/>
            <w:vMerge/>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Intégration dans la classification de Locarno d</w:t>
            </w:r>
            <w:r w:rsidR="00A20444" w:rsidRPr="00B54F87">
              <w:rPr>
                <w:sz w:val="14"/>
              </w:rPr>
              <w:t>’</w:t>
            </w:r>
            <w:r w:rsidRPr="00B54F87">
              <w:rPr>
                <w:sz w:val="14"/>
              </w:rPr>
              <w:t>un outil permettant la recherche des caractéristiques visuelles des demandes d</w:t>
            </w:r>
            <w:r w:rsidR="00A20444" w:rsidRPr="00B54F87">
              <w:rPr>
                <w:sz w:val="14"/>
              </w:rPr>
              <w:t>’</w:t>
            </w:r>
            <w:r w:rsidRPr="00B54F87">
              <w:rPr>
                <w:sz w:val="14"/>
              </w:rPr>
              <w:t>enregistrement des dessins et modèles</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12</w:t>
            </w:r>
          </w:p>
        </w:tc>
        <w:tc>
          <w:tcPr>
            <w:tcW w:w="1162" w:type="dxa"/>
          </w:tcPr>
          <w:p w:rsidR="00BB3F3E" w:rsidRPr="005C7CCE" w:rsidRDefault="00BB3F3E" w:rsidP="001A5BF9">
            <w:pPr>
              <w:spacing w:before="20"/>
              <w:jc w:val="center"/>
              <w:rPr>
                <w:szCs w:val="22"/>
              </w:rPr>
            </w:pPr>
            <w:r w:rsidRPr="005C7CCE">
              <w:rPr>
                <w:color w:val="FF0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de normes modifiées et nouvelles adoptées</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12</w:t>
            </w:r>
          </w:p>
        </w:tc>
        <w:tc>
          <w:tcPr>
            <w:tcW w:w="1162" w:type="dxa"/>
          </w:tcPr>
          <w:p w:rsidR="00BB3F3E" w:rsidRPr="005C7CCE" w:rsidRDefault="00BB3F3E" w:rsidP="001A5BF9">
            <w:pPr>
              <w:spacing w:before="20"/>
              <w:jc w:val="center"/>
              <w:rPr>
                <w:color w:val="A6A6A6"/>
                <w:szCs w:val="22"/>
              </w:rPr>
            </w:pPr>
            <w:r w:rsidRPr="005C7CCE">
              <w:rPr>
                <w:color w:val="A6A6A6"/>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offices se déclarant satisfaits de la formation reçue pour améliorer leurs compétences dans l</w:t>
            </w:r>
            <w:r w:rsidR="00A20444" w:rsidRPr="00B54F87">
              <w:rPr>
                <w:sz w:val="14"/>
              </w:rPr>
              <w:t>’</w:t>
            </w:r>
            <w:r w:rsidRPr="00B54F87">
              <w:rPr>
                <w:sz w:val="14"/>
              </w:rPr>
              <w:t>utilisation des classifications</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12</w:t>
            </w:r>
          </w:p>
        </w:tc>
        <w:tc>
          <w:tcPr>
            <w:tcW w:w="1162" w:type="dxa"/>
          </w:tcPr>
          <w:p w:rsidR="00BB3F3E" w:rsidRPr="005C7CCE" w:rsidRDefault="00BB3F3E" w:rsidP="001A5BF9">
            <w:pPr>
              <w:spacing w:before="20"/>
              <w:jc w:val="center"/>
              <w:rPr>
                <w:color w:val="A6A6A6"/>
                <w:szCs w:val="22"/>
              </w:rPr>
            </w:pPr>
            <w:r w:rsidRPr="005C7CCE">
              <w:rPr>
                <w:color w:val="A6A6A6"/>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utilisateurs consultant les publications sur l</w:t>
            </w:r>
            <w:r w:rsidR="00A20444" w:rsidRPr="00B54F87">
              <w:rPr>
                <w:sz w:val="14"/>
              </w:rPr>
              <w:t>’</w:t>
            </w:r>
            <w:r w:rsidRPr="00B54F87">
              <w:rPr>
                <w:sz w:val="14"/>
              </w:rPr>
              <w:t>Internet des classifications internationales et des normes, notamment dans les pays en développement</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12</w:t>
            </w:r>
          </w:p>
        </w:tc>
        <w:tc>
          <w:tcPr>
            <w:tcW w:w="1162"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B54F87">
        <w:trPr>
          <w:cantSplit/>
        </w:trPr>
        <w:tc>
          <w:tcPr>
            <w:tcW w:w="3226" w:type="dxa"/>
            <w:vMerge w:val="restart"/>
            <w:shd w:val="clear" w:color="auto" w:fill="auto"/>
            <w:tcMar>
              <w:top w:w="113" w:type="dxa"/>
            </w:tcMar>
          </w:tcPr>
          <w:p w:rsidR="00BB3F3E" w:rsidRPr="00B54F87" w:rsidRDefault="00BB3F3E" w:rsidP="001A5BF9">
            <w:pPr>
              <w:spacing w:before="80"/>
              <w:rPr>
                <w:rFonts w:cs="Arial"/>
                <w:sz w:val="14"/>
                <w:szCs w:val="14"/>
              </w:rPr>
            </w:pPr>
            <w:r w:rsidRPr="00B54F87">
              <w:rPr>
                <w:sz w:val="14"/>
              </w:rPr>
              <w:t>Accès amélioré à l</w:t>
            </w:r>
            <w:r w:rsidR="00A20444" w:rsidRPr="00B54F87">
              <w:rPr>
                <w:sz w:val="14"/>
              </w:rPr>
              <w:t>’</w:t>
            </w:r>
            <w:r w:rsidRPr="00B54F87">
              <w:rPr>
                <w:sz w:val="14"/>
              </w:rPr>
              <w:t>information et aux savoirs en matière de propriété intellectuelle, et meilleure utilisation de cette information et de ces savoirs, par les institutions de propriété intellectuelle et le public, pour promouvoir l</w:t>
            </w:r>
            <w:r w:rsidR="00A20444" w:rsidRPr="00B54F87">
              <w:rPr>
                <w:sz w:val="14"/>
              </w:rPr>
              <w:t>’</w:t>
            </w:r>
            <w:r w:rsidRPr="00B54F87">
              <w:rPr>
                <w:sz w:val="14"/>
              </w:rPr>
              <w:t>innovation et faciliter l</w:t>
            </w:r>
            <w:r w:rsidR="00A20444" w:rsidRPr="00B54F87">
              <w:rPr>
                <w:sz w:val="14"/>
              </w:rPr>
              <w:t>’</w:t>
            </w:r>
            <w:r w:rsidRPr="00B54F87">
              <w:rPr>
                <w:sz w:val="14"/>
              </w:rPr>
              <w:t>accès aux œuvres de création protégées et aux œuvres de création dans le domaine public</w:t>
            </w: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utilisateurs différents par trimestre/système (PATENTSCOPE/Base de données mondiale sur les marques)</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13</w:t>
            </w:r>
          </w:p>
        </w:tc>
        <w:tc>
          <w:tcPr>
            <w:tcW w:w="1162"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B54F87">
        <w:trPr>
          <w:cantSplit/>
        </w:trPr>
        <w:tc>
          <w:tcPr>
            <w:tcW w:w="3226" w:type="dxa"/>
            <w:vMerge/>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de langues dans lesquelles il est possible de faire des recherches multilingues</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13</w:t>
            </w:r>
          </w:p>
        </w:tc>
        <w:tc>
          <w:tcPr>
            <w:tcW w:w="1162"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B54F87">
        <w:trPr>
          <w:cantSplit/>
        </w:trPr>
        <w:tc>
          <w:tcPr>
            <w:tcW w:w="3226" w:type="dxa"/>
            <w:vMerge/>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de réseaux nationaux de centres d</w:t>
            </w:r>
            <w:r w:rsidR="00A20444" w:rsidRPr="00B54F87">
              <w:rPr>
                <w:sz w:val="14"/>
              </w:rPr>
              <w:t>’</w:t>
            </w:r>
            <w:r w:rsidRPr="00B54F87">
              <w:rPr>
                <w:sz w:val="14"/>
              </w:rPr>
              <w:t>appui à la technologie et à l</w:t>
            </w:r>
            <w:r w:rsidR="00A20444" w:rsidRPr="00B54F87">
              <w:rPr>
                <w:sz w:val="14"/>
              </w:rPr>
              <w:t>’</w:t>
            </w:r>
            <w:r w:rsidRPr="00B54F87">
              <w:rPr>
                <w:sz w:val="14"/>
              </w:rPr>
              <w:t>innovation lancés</w:t>
            </w:r>
          </w:p>
        </w:tc>
        <w:tc>
          <w:tcPr>
            <w:tcW w:w="1418" w:type="dxa"/>
            <w:shd w:val="clear" w:color="auto" w:fill="auto"/>
            <w:tcMar>
              <w:top w:w="113" w:type="dxa"/>
            </w:tcMar>
          </w:tcPr>
          <w:p w:rsidR="00D42474" w:rsidRDefault="00BB3F3E" w:rsidP="001A5BF9">
            <w:pPr>
              <w:spacing w:before="80"/>
              <w:ind w:left="175"/>
              <w:rPr>
                <w:rFonts w:cs="Arial"/>
                <w:sz w:val="14"/>
                <w:szCs w:val="14"/>
              </w:rPr>
            </w:pPr>
            <w:r w:rsidRPr="00B54F87">
              <w:rPr>
                <w:sz w:val="14"/>
              </w:rPr>
              <w:t>Programme 14</w:t>
            </w:r>
          </w:p>
          <w:p w:rsidR="00D42474" w:rsidRDefault="00BB3F3E" w:rsidP="001A5BF9">
            <w:pPr>
              <w:spacing w:before="120"/>
              <w:ind w:left="176"/>
              <w:rPr>
                <w:sz w:val="14"/>
              </w:rPr>
            </w:pPr>
            <w:r w:rsidRPr="00B54F87">
              <w:rPr>
                <w:sz w:val="14"/>
              </w:rPr>
              <w:t>Programme 9</w:t>
            </w:r>
          </w:p>
          <w:p w:rsidR="00BB3F3E" w:rsidRPr="00B54F87" w:rsidRDefault="00BB3F3E" w:rsidP="001A5BF9">
            <w:pPr>
              <w:spacing w:before="120"/>
              <w:ind w:left="176"/>
              <w:rPr>
                <w:rFonts w:cs="Arial"/>
                <w:sz w:val="14"/>
                <w:szCs w:val="14"/>
              </w:rPr>
            </w:pPr>
            <w:r w:rsidRPr="00B54F87">
              <w:rPr>
                <w:sz w:val="14"/>
              </w:rPr>
              <w:t>Programme 10</w:t>
            </w:r>
          </w:p>
        </w:tc>
        <w:tc>
          <w:tcPr>
            <w:tcW w:w="1162" w:type="dxa"/>
          </w:tcPr>
          <w:p w:rsidR="00D42474" w:rsidRDefault="00BB3F3E" w:rsidP="001A5BF9">
            <w:pPr>
              <w:spacing w:before="20"/>
              <w:jc w:val="center"/>
              <w:rPr>
                <w:rFonts w:cs="Arial"/>
                <w:color w:val="008000"/>
                <w:szCs w:val="22"/>
              </w:rPr>
            </w:pPr>
            <w:r w:rsidRPr="005C7CCE">
              <w:rPr>
                <w:color w:val="008000"/>
              </w:rPr>
              <w:sym w:font="Wingdings" w:char="F06C"/>
            </w:r>
          </w:p>
          <w:p w:rsidR="00D42474" w:rsidRDefault="00BB3F3E" w:rsidP="001A5BF9">
            <w:pPr>
              <w:jc w:val="center"/>
              <w:rPr>
                <w:rFonts w:cs="Arial"/>
                <w:color w:val="008000"/>
                <w:szCs w:val="22"/>
              </w:rPr>
            </w:pPr>
            <w:r w:rsidRPr="005C7CCE">
              <w:rPr>
                <w:color w:val="008000"/>
              </w:rPr>
              <w:sym w:font="Wingdings" w:char="F06C"/>
            </w:r>
          </w:p>
          <w:p w:rsidR="00BB3F3E" w:rsidRPr="005C7CCE" w:rsidRDefault="00BB3F3E" w:rsidP="001A5BF9">
            <w:pPr>
              <w:jc w:val="center"/>
              <w:rPr>
                <w:szCs w:val="22"/>
              </w:rPr>
            </w:pPr>
            <w:r w:rsidRPr="005C7CCE">
              <w:rPr>
                <w:color w:val="FF0000"/>
              </w:rPr>
              <w:sym w:font="Wingdings" w:char="F06C"/>
            </w:r>
          </w:p>
        </w:tc>
      </w:tr>
      <w:tr w:rsidR="00BB3F3E" w:rsidRPr="005C7CCE" w:rsidTr="00B54F87">
        <w:trPr>
          <w:cantSplit/>
        </w:trPr>
        <w:tc>
          <w:tcPr>
            <w:tcW w:w="3226" w:type="dxa"/>
            <w:vMerge/>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utilisateurs bénéficiant des services des centres d</w:t>
            </w:r>
            <w:r w:rsidR="00A20444" w:rsidRPr="00B54F87">
              <w:rPr>
                <w:sz w:val="14"/>
              </w:rPr>
              <w:t>’</w:t>
            </w:r>
            <w:r w:rsidRPr="00B54F87">
              <w:rPr>
                <w:sz w:val="14"/>
              </w:rPr>
              <w:t>appui à la technologie et à l</w:t>
            </w:r>
            <w:r w:rsidR="00A20444" w:rsidRPr="00B54F87">
              <w:rPr>
                <w:sz w:val="14"/>
              </w:rPr>
              <w:t>’</w:t>
            </w:r>
            <w:r w:rsidRPr="00B54F87">
              <w:rPr>
                <w:sz w:val="14"/>
              </w:rPr>
              <w:t>innovation par trimestre et pays</w:t>
            </w:r>
          </w:p>
        </w:tc>
        <w:tc>
          <w:tcPr>
            <w:tcW w:w="1418" w:type="dxa"/>
            <w:shd w:val="clear" w:color="auto" w:fill="auto"/>
            <w:tcMar>
              <w:top w:w="113" w:type="dxa"/>
            </w:tcMar>
          </w:tcPr>
          <w:p w:rsidR="00D42474" w:rsidRDefault="00BB3F3E" w:rsidP="001A5BF9">
            <w:pPr>
              <w:spacing w:before="80"/>
              <w:ind w:left="175"/>
              <w:rPr>
                <w:rFonts w:cs="Arial"/>
                <w:sz w:val="14"/>
                <w:szCs w:val="14"/>
              </w:rPr>
            </w:pPr>
            <w:r w:rsidRPr="00B54F87">
              <w:rPr>
                <w:sz w:val="14"/>
              </w:rPr>
              <w:t>Programme 14</w:t>
            </w:r>
          </w:p>
          <w:p w:rsidR="00D42474" w:rsidRDefault="00BB3F3E" w:rsidP="001A5BF9">
            <w:pPr>
              <w:spacing w:before="120"/>
              <w:ind w:left="176"/>
              <w:rPr>
                <w:sz w:val="14"/>
              </w:rPr>
            </w:pPr>
            <w:r w:rsidRPr="00B54F87">
              <w:rPr>
                <w:sz w:val="14"/>
              </w:rPr>
              <w:t>Programme 9</w:t>
            </w:r>
          </w:p>
          <w:p w:rsidR="00BB3F3E" w:rsidRPr="00B54F87" w:rsidRDefault="00BB3F3E" w:rsidP="001A5BF9">
            <w:pPr>
              <w:spacing w:before="120"/>
              <w:ind w:left="176"/>
              <w:rPr>
                <w:rFonts w:cs="Arial"/>
                <w:sz w:val="14"/>
                <w:szCs w:val="14"/>
              </w:rPr>
            </w:pPr>
            <w:r w:rsidRPr="00B54F87">
              <w:rPr>
                <w:sz w:val="14"/>
              </w:rPr>
              <w:t>Programme 10</w:t>
            </w:r>
          </w:p>
        </w:tc>
        <w:tc>
          <w:tcPr>
            <w:tcW w:w="1162" w:type="dxa"/>
          </w:tcPr>
          <w:p w:rsidR="00D42474" w:rsidRDefault="00BB3F3E" w:rsidP="001A5BF9">
            <w:pPr>
              <w:jc w:val="center"/>
              <w:rPr>
                <w:rFonts w:cs="Arial"/>
                <w:color w:val="A6A6A6"/>
                <w:szCs w:val="22"/>
              </w:rPr>
            </w:pPr>
            <w:r w:rsidRPr="005C7CCE">
              <w:rPr>
                <w:color w:val="A6A6A6"/>
              </w:rPr>
              <w:sym w:font="Wingdings" w:char="F06C"/>
            </w:r>
          </w:p>
          <w:p w:rsidR="00D42474" w:rsidRDefault="00BB3F3E" w:rsidP="001A5BF9">
            <w:pPr>
              <w:jc w:val="center"/>
              <w:rPr>
                <w:rFonts w:cs="Arial"/>
                <w:color w:val="A6A6A6"/>
                <w:szCs w:val="22"/>
              </w:rPr>
            </w:pPr>
            <w:r w:rsidRPr="005C7CCE">
              <w:rPr>
                <w:color w:val="A6A6A6"/>
              </w:rPr>
              <w:sym w:font="Wingdings" w:char="F06C"/>
            </w:r>
          </w:p>
          <w:p w:rsidR="00BB3F3E" w:rsidRPr="005C7CCE" w:rsidRDefault="00BB3F3E" w:rsidP="001A5BF9">
            <w:pPr>
              <w:jc w:val="center"/>
              <w:rPr>
                <w:szCs w:val="22"/>
              </w:rPr>
            </w:pPr>
            <w:r w:rsidRPr="005C7CCE">
              <w:rPr>
                <w:color w:val="A6A6A6"/>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utilisateurs de services d</w:t>
            </w:r>
            <w:r w:rsidR="00A20444" w:rsidRPr="00B54F87">
              <w:rPr>
                <w:sz w:val="14"/>
              </w:rPr>
              <w:t>’</w:t>
            </w:r>
            <w:r w:rsidRPr="00B54F87">
              <w:rPr>
                <w:sz w:val="14"/>
              </w:rPr>
              <w:t>information à valeur ajoutée (service de recherche d</w:t>
            </w:r>
            <w:r w:rsidR="00A20444" w:rsidRPr="00B54F87">
              <w:rPr>
                <w:sz w:val="14"/>
              </w:rPr>
              <w:t>’</w:t>
            </w:r>
            <w:r w:rsidRPr="00B54F87">
              <w:rPr>
                <w:sz w:val="14"/>
              </w:rPr>
              <w:t>informations techniques, rapports sur la cartographie des brevets et coopération internationale en matière d</w:t>
            </w:r>
            <w:r w:rsidR="00A20444" w:rsidRPr="00B54F87">
              <w:rPr>
                <w:sz w:val="14"/>
              </w:rPr>
              <w:t>’</w:t>
            </w:r>
            <w:r w:rsidRPr="00B54F87">
              <w:rPr>
                <w:sz w:val="14"/>
              </w:rPr>
              <w:t>examen)</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14</w:t>
            </w:r>
          </w:p>
        </w:tc>
        <w:tc>
          <w:tcPr>
            <w:tcW w:w="1162" w:type="dxa"/>
          </w:tcPr>
          <w:p w:rsidR="00BB3F3E" w:rsidRPr="005C7CCE" w:rsidRDefault="00BB3F3E" w:rsidP="001A5BF9">
            <w:pPr>
              <w:jc w:val="center"/>
              <w:rPr>
                <w:szCs w:val="22"/>
              </w:rPr>
            </w:pPr>
            <w:r w:rsidRPr="005C7CCE">
              <w:rPr>
                <w:color w:val="A6A6A6"/>
              </w:rPr>
              <w:sym w:font="Wingdings" w:char="F06C"/>
            </w:r>
            <w:r w:rsidRPr="005C7CCE">
              <w:rPr>
                <w:color w:val="A6A6A6"/>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Pourcentage de bénéficiaires satisfaits des services d</w:t>
            </w:r>
            <w:r w:rsidR="00A20444" w:rsidRPr="00B54F87">
              <w:rPr>
                <w:sz w:val="14"/>
              </w:rPr>
              <w:t>’</w:t>
            </w:r>
            <w:r w:rsidRPr="00B54F87">
              <w:rPr>
                <w:sz w:val="14"/>
              </w:rPr>
              <w:t>information à valeur ajoutée (service de recherche d</w:t>
            </w:r>
            <w:r w:rsidR="00A20444" w:rsidRPr="00B54F87">
              <w:rPr>
                <w:sz w:val="14"/>
              </w:rPr>
              <w:t>’</w:t>
            </w:r>
            <w:r w:rsidRPr="00B54F87">
              <w:rPr>
                <w:sz w:val="14"/>
              </w:rPr>
              <w:t>informations techniques, rapports sur la cartographie des brevets et coopération internationale en matière d</w:t>
            </w:r>
            <w:r w:rsidR="00A20444" w:rsidRPr="00B54F87">
              <w:rPr>
                <w:sz w:val="14"/>
              </w:rPr>
              <w:t>’</w:t>
            </w:r>
            <w:r w:rsidRPr="00B54F87">
              <w:rPr>
                <w:sz w:val="14"/>
              </w:rPr>
              <w:t>examen)</w:t>
            </w:r>
            <w:r w:rsidR="004F3E42" w:rsidRPr="00B54F87">
              <w:rPr>
                <w:sz w:val="14"/>
              </w:rPr>
              <w:t xml:space="preserve"> </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14</w:t>
            </w:r>
          </w:p>
        </w:tc>
        <w:tc>
          <w:tcPr>
            <w:tcW w:w="1162" w:type="dxa"/>
          </w:tcPr>
          <w:p w:rsidR="00BB3F3E" w:rsidRPr="005C7CCE" w:rsidRDefault="00BB3F3E" w:rsidP="001A5BF9">
            <w:pPr>
              <w:jc w:val="center"/>
              <w:rPr>
                <w:szCs w:val="22"/>
              </w:rPr>
            </w:pPr>
            <w:r w:rsidRPr="005C7CCE">
              <w:rPr>
                <w:color w:val="FF0000"/>
              </w:rPr>
              <w:sym w:font="Wingdings" w:char="F06C"/>
            </w: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7E442D" w:rsidP="001A5BF9">
            <w:pPr>
              <w:spacing w:before="80"/>
              <w:rPr>
                <w:rFonts w:cs="Arial"/>
                <w:sz w:val="14"/>
                <w:szCs w:val="14"/>
              </w:rPr>
            </w:pPr>
            <w:r w:rsidRPr="00B54F87">
              <w:rPr>
                <w:sz w:val="14"/>
              </w:rPr>
              <w:t xml:space="preserve"> %</w:t>
            </w:r>
            <w:r w:rsidR="00BB3F3E" w:rsidRPr="00B54F87">
              <w:rPr>
                <w:sz w:val="14"/>
              </w:rPr>
              <w:t xml:space="preserve"> d</w:t>
            </w:r>
            <w:r w:rsidR="00A20444" w:rsidRPr="00B54F87">
              <w:rPr>
                <w:sz w:val="14"/>
              </w:rPr>
              <w:t>’</w:t>
            </w:r>
            <w:r w:rsidR="00BB3F3E" w:rsidRPr="00B54F87">
              <w:rPr>
                <w:sz w:val="14"/>
              </w:rPr>
              <w:t>utilisateurs satisfaits des services par les centres</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14</w:t>
            </w:r>
          </w:p>
        </w:tc>
        <w:tc>
          <w:tcPr>
            <w:tcW w:w="1162" w:type="dxa"/>
          </w:tcPr>
          <w:p w:rsidR="00BB3F3E" w:rsidRPr="005C7CCE" w:rsidRDefault="00BB3F3E" w:rsidP="001A5BF9">
            <w:pPr>
              <w:jc w:val="center"/>
              <w:rPr>
                <w:szCs w:val="22"/>
              </w:rPr>
            </w:pPr>
            <w:r w:rsidRPr="005C7CCE">
              <w:rPr>
                <w:color w:val="FF0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 xml:space="preserve">utilisateurs inscrits aux programmes </w:t>
            </w:r>
            <w:proofErr w:type="spellStart"/>
            <w:r w:rsidRPr="00B54F87">
              <w:rPr>
                <w:sz w:val="14"/>
              </w:rPr>
              <w:t>aRDI</w:t>
            </w:r>
            <w:proofErr w:type="spellEnd"/>
            <w:r w:rsidRPr="00B54F87">
              <w:rPr>
                <w:sz w:val="14"/>
              </w:rPr>
              <w:t xml:space="preserve"> et ASPI</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14</w:t>
            </w:r>
          </w:p>
        </w:tc>
        <w:tc>
          <w:tcPr>
            <w:tcW w:w="1162" w:type="dxa"/>
          </w:tcPr>
          <w:p w:rsidR="00BB3F3E" w:rsidRPr="005C7CCE" w:rsidRDefault="00BB3F3E" w:rsidP="001A5BF9">
            <w:pPr>
              <w:jc w:val="center"/>
              <w:rPr>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 xml:space="preserve">États membres qui ont élaboré leur cadre de propriété intellectuelle et établi des bureaux de transfert de technologie </w:t>
            </w:r>
          </w:p>
        </w:tc>
        <w:tc>
          <w:tcPr>
            <w:tcW w:w="1418" w:type="dxa"/>
            <w:shd w:val="clear" w:color="auto" w:fill="auto"/>
            <w:tcMar>
              <w:top w:w="113" w:type="dxa"/>
            </w:tcMar>
          </w:tcPr>
          <w:p w:rsidR="00D42474" w:rsidRDefault="00BB3F3E" w:rsidP="001A5BF9">
            <w:pPr>
              <w:spacing w:before="80"/>
              <w:ind w:left="175"/>
              <w:rPr>
                <w:rFonts w:cs="Arial"/>
                <w:sz w:val="14"/>
                <w:szCs w:val="14"/>
              </w:rPr>
            </w:pPr>
            <w:r w:rsidRPr="00B54F87">
              <w:rPr>
                <w:sz w:val="14"/>
              </w:rPr>
              <w:t>Programme 30</w:t>
            </w:r>
          </w:p>
          <w:p w:rsidR="00D42474" w:rsidRDefault="00BB3F3E" w:rsidP="001A5BF9">
            <w:pPr>
              <w:spacing w:before="120"/>
              <w:ind w:left="176"/>
              <w:rPr>
                <w:rFonts w:cs="Arial"/>
                <w:sz w:val="14"/>
                <w:szCs w:val="14"/>
              </w:rPr>
            </w:pPr>
            <w:r w:rsidRPr="00B54F87">
              <w:rPr>
                <w:sz w:val="14"/>
              </w:rPr>
              <w:t>Programme 9</w:t>
            </w:r>
          </w:p>
          <w:p w:rsidR="00BB3F3E" w:rsidRPr="00B54F87" w:rsidRDefault="00BB3F3E" w:rsidP="001A5BF9">
            <w:pPr>
              <w:spacing w:before="120"/>
              <w:ind w:left="176"/>
              <w:rPr>
                <w:rFonts w:cs="Arial"/>
                <w:sz w:val="14"/>
                <w:szCs w:val="14"/>
              </w:rPr>
            </w:pPr>
            <w:r w:rsidRPr="00B54F87">
              <w:rPr>
                <w:sz w:val="14"/>
              </w:rPr>
              <w:t>Programme 10</w:t>
            </w:r>
          </w:p>
        </w:tc>
        <w:tc>
          <w:tcPr>
            <w:tcW w:w="1162" w:type="dxa"/>
          </w:tcPr>
          <w:p w:rsidR="00C9554C" w:rsidRPr="006F518D" w:rsidRDefault="00C9554C" w:rsidP="00C9554C">
            <w:pPr>
              <w:jc w:val="center"/>
              <w:rPr>
                <w:rFonts w:cs="Arial"/>
                <w:color w:val="E36C0A" w:themeColor="accent6" w:themeShade="BF"/>
                <w:sz w:val="22"/>
                <w:szCs w:val="22"/>
              </w:rPr>
            </w:pPr>
            <w:r w:rsidRPr="006F518D">
              <w:rPr>
                <w:rFonts w:cs="Arial"/>
                <w:color w:val="E36C0A" w:themeColor="accent6" w:themeShade="BF"/>
                <w:sz w:val="22"/>
                <w:szCs w:val="22"/>
              </w:rPr>
              <w:sym w:font="Wingdings" w:char="F06C"/>
            </w:r>
          </w:p>
          <w:p w:rsidR="00D42474" w:rsidRDefault="00BB3F3E" w:rsidP="001A5BF9">
            <w:pPr>
              <w:jc w:val="center"/>
              <w:rPr>
                <w:rFonts w:cs="Arial"/>
                <w:color w:val="A6A6A6"/>
                <w:szCs w:val="22"/>
              </w:rPr>
            </w:pPr>
            <w:r w:rsidRPr="005C7CCE">
              <w:rPr>
                <w:color w:val="A6A6A6"/>
              </w:rPr>
              <w:sym w:font="Wingdings" w:char="F06C"/>
            </w:r>
          </w:p>
          <w:p w:rsidR="00BB3F3E" w:rsidRPr="005C7CCE" w:rsidRDefault="00BB3F3E" w:rsidP="001A5BF9">
            <w:pPr>
              <w:jc w:val="center"/>
              <w:rPr>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keepNext/>
              <w:keepLines/>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keepNext/>
              <w:keepLines/>
              <w:spacing w:before="80"/>
              <w:rPr>
                <w:rFonts w:cs="Arial"/>
                <w:sz w:val="14"/>
                <w:szCs w:val="14"/>
              </w:rPr>
            </w:pPr>
            <w:r w:rsidRPr="00B54F87">
              <w:rPr>
                <w:sz w:val="14"/>
              </w:rPr>
              <w:t>Nombre d</w:t>
            </w:r>
            <w:r w:rsidR="00A20444" w:rsidRPr="00B54F87">
              <w:rPr>
                <w:sz w:val="14"/>
              </w:rPr>
              <w:t>’</w:t>
            </w:r>
            <w:r w:rsidRPr="00B54F87">
              <w:rPr>
                <w:sz w:val="14"/>
              </w:rPr>
              <w:t>intermédiaires de confiance et de titulaires de droits qui ont rejoint le réseau du système TIGAR, y compris de pays en développement et de PMA</w:t>
            </w:r>
          </w:p>
        </w:tc>
        <w:tc>
          <w:tcPr>
            <w:tcW w:w="1418" w:type="dxa"/>
            <w:shd w:val="clear" w:color="auto" w:fill="auto"/>
            <w:tcMar>
              <w:top w:w="113" w:type="dxa"/>
            </w:tcMar>
          </w:tcPr>
          <w:p w:rsidR="00BB3F3E" w:rsidRPr="00B54F87" w:rsidRDefault="00BB3F3E" w:rsidP="001A5BF9">
            <w:pPr>
              <w:keepNext/>
              <w:keepLines/>
              <w:spacing w:before="80"/>
              <w:ind w:left="175"/>
              <w:rPr>
                <w:rFonts w:cs="Arial"/>
                <w:sz w:val="14"/>
                <w:szCs w:val="14"/>
              </w:rPr>
            </w:pPr>
            <w:r w:rsidRPr="00B54F87">
              <w:rPr>
                <w:sz w:val="14"/>
              </w:rPr>
              <w:t>Programme 3</w:t>
            </w:r>
          </w:p>
        </w:tc>
        <w:tc>
          <w:tcPr>
            <w:tcW w:w="1162" w:type="dxa"/>
          </w:tcPr>
          <w:p w:rsidR="00BB3F3E" w:rsidRPr="005C7CCE" w:rsidRDefault="00BB3F3E" w:rsidP="001A5BF9">
            <w:pPr>
              <w:keepNext/>
              <w:keepLines/>
              <w:jc w:val="center"/>
              <w:rPr>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œuvres protégées par le droit d</w:t>
            </w:r>
            <w:r w:rsidR="00A20444" w:rsidRPr="00B54F87">
              <w:rPr>
                <w:sz w:val="14"/>
              </w:rPr>
              <w:t>’</w:t>
            </w:r>
            <w:r w:rsidRPr="00B54F87">
              <w:rPr>
                <w:sz w:val="14"/>
              </w:rPr>
              <w:t>auteur distribuées auprès des intermédiaires de confiance et rendues accessibles aux déficients visuels par</w:t>
            </w:r>
            <w:r w:rsidR="002D6F2A" w:rsidRPr="00B54F87">
              <w:rPr>
                <w:sz w:val="14"/>
              </w:rPr>
              <w:noBreakHyphen/>
            </w:r>
            <w:r w:rsidRPr="00B54F87">
              <w:rPr>
                <w:sz w:val="14"/>
              </w:rPr>
              <w:t xml:space="preserve">delà les frontières par le réseau du système TIGAR </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3</w:t>
            </w:r>
          </w:p>
        </w:tc>
        <w:tc>
          <w:tcPr>
            <w:tcW w:w="116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Diffusion accrue des collections numérisées de brevets des offices nationaux ou régionaux des États membres de l</w:t>
            </w:r>
            <w:r w:rsidR="00A20444" w:rsidRPr="00B54F87">
              <w:rPr>
                <w:sz w:val="14"/>
              </w:rPr>
              <w:t>’</w:t>
            </w:r>
            <w:r w:rsidRPr="00B54F87">
              <w:rPr>
                <w:sz w:val="14"/>
              </w:rPr>
              <w:t>OMPI</w:t>
            </w: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 xml:space="preserve">Nombre des entrées dans PATENTSCOPE/Base de données mondiales sur les marques qui ne sont pas </w:t>
            </w:r>
            <w:r w:rsidR="00A93636" w:rsidRPr="00B54F87">
              <w:rPr>
                <w:sz w:val="14"/>
              </w:rPr>
              <w:t>produites</w:t>
            </w:r>
            <w:r w:rsidRPr="00B54F87">
              <w:rPr>
                <w:sz w:val="14"/>
              </w:rPr>
              <w:t xml:space="preserve"> par l</w:t>
            </w:r>
            <w:r w:rsidR="00A93636" w:rsidRPr="00B54F87">
              <w:rPr>
                <w:sz w:val="14"/>
              </w:rPr>
              <w:t>e</w:t>
            </w:r>
            <w:r w:rsidRPr="00B54F87">
              <w:rPr>
                <w:sz w:val="14"/>
              </w:rPr>
              <w:t xml:space="preserve"> Bureau international</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13</w:t>
            </w:r>
          </w:p>
        </w:tc>
        <w:tc>
          <w:tcPr>
            <w:tcW w:w="116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6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60"/>
              <w:rPr>
                <w:rFonts w:cs="Arial"/>
                <w:sz w:val="14"/>
                <w:szCs w:val="14"/>
              </w:rPr>
            </w:pPr>
            <w:r w:rsidRPr="00B54F87">
              <w:rPr>
                <w:sz w:val="14"/>
              </w:rPr>
              <w:t>Nombre de collections nationales dans PATENTSCOPE</w:t>
            </w:r>
          </w:p>
        </w:tc>
        <w:tc>
          <w:tcPr>
            <w:tcW w:w="1418" w:type="dxa"/>
            <w:shd w:val="clear" w:color="auto" w:fill="auto"/>
            <w:tcMar>
              <w:top w:w="113" w:type="dxa"/>
            </w:tcMar>
          </w:tcPr>
          <w:p w:rsidR="00BB3F3E" w:rsidRPr="00B54F87" w:rsidRDefault="00BB3F3E" w:rsidP="001A5BF9">
            <w:pPr>
              <w:spacing w:before="60"/>
              <w:ind w:left="175"/>
              <w:rPr>
                <w:rFonts w:cs="Arial"/>
                <w:sz w:val="14"/>
                <w:szCs w:val="14"/>
              </w:rPr>
            </w:pPr>
            <w:r w:rsidRPr="00B54F87">
              <w:rPr>
                <w:sz w:val="14"/>
              </w:rPr>
              <w:t>Programme 13</w:t>
            </w:r>
          </w:p>
        </w:tc>
        <w:tc>
          <w:tcPr>
            <w:tcW w:w="116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6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60"/>
              <w:rPr>
                <w:rFonts w:cs="Arial"/>
                <w:sz w:val="14"/>
                <w:szCs w:val="14"/>
              </w:rPr>
            </w:pPr>
            <w:r w:rsidRPr="00B54F87">
              <w:rPr>
                <w:sz w:val="14"/>
              </w:rPr>
              <w:t>Nombre de collections nationales dans la Base de données mondiale sur les marques</w:t>
            </w:r>
          </w:p>
        </w:tc>
        <w:tc>
          <w:tcPr>
            <w:tcW w:w="1418" w:type="dxa"/>
            <w:shd w:val="clear" w:color="auto" w:fill="auto"/>
            <w:tcMar>
              <w:top w:w="113" w:type="dxa"/>
            </w:tcMar>
          </w:tcPr>
          <w:p w:rsidR="00BB3F3E" w:rsidRPr="00B54F87" w:rsidRDefault="00BB3F3E" w:rsidP="001A5BF9">
            <w:pPr>
              <w:spacing w:before="60"/>
              <w:ind w:left="175"/>
              <w:rPr>
                <w:rFonts w:cs="Arial"/>
                <w:sz w:val="14"/>
                <w:szCs w:val="14"/>
              </w:rPr>
            </w:pPr>
            <w:r w:rsidRPr="00B54F87">
              <w:rPr>
                <w:sz w:val="14"/>
              </w:rPr>
              <w:t>Programme 13</w:t>
            </w:r>
          </w:p>
        </w:tc>
        <w:tc>
          <w:tcPr>
            <w:tcW w:w="116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keepNext/>
              <w:keepLines/>
              <w:spacing w:before="80"/>
              <w:rPr>
                <w:rFonts w:cs="Arial"/>
                <w:sz w:val="14"/>
                <w:szCs w:val="14"/>
              </w:rPr>
            </w:pPr>
            <w:r w:rsidRPr="00B54F87">
              <w:rPr>
                <w:sz w:val="14"/>
              </w:rPr>
              <w:t>Mise à jour régulière de PATENTSCOPE en ce qui concerne les demandes selon</w:t>
            </w:r>
            <w:r w:rsidR="00A20444" w:rsidRPr="00B54F87">
              <w:rPr>
                <w:sz w:val="14"/>
              </w:rPr>
              <w:t xml:space="preserve"> le PCT</w:t>
            </w:r>
          </w:p>
        </w:tc>
        <w:tc>
          <w:tcPr>
            <w:tcW w:w="3588" w:type="dxa"/>
            <w:shd w:val="clear" w:color="auto" w:fill="auto"/>
            <w:tcMar>
              <w:top w:w="113" w:type="dxa"/>
            </w:tcMar>
          </w:tcPr>
          <w:p w:rsidR="00BB3F3E" w:rsidRPr="00B54F87" w:rsidRDefault="00BB3F3E" w:rsidP="001A5BF9">
            <w:pPr>
              <w:keepNext/>
              <w:keepLines/>
              <w:spacing w:before="80"/>
              <w:rPr>
                <w:rFonts w:cs="Arial"/>
                <w:sz w:val="14"/>
                <w:szCs w:val="14"/>
              </w:rPr>
            </w:pPr>
            <w:r w:rsidRPr="00B54F87">
              <w:rPr>
                <w:sz w:val="14"/>
              </w:rPr>
              <w:t>Retard (en mois) dans la mise en œuvre des changements apportés aux règles</w:t>
            </w:r>
            <w:r w:rsidR="00A20444" w:rsidRPr="00B54F87">
              <w:rPr>
                <w:sz w:val="14"/>
              </w:rPr>
              <w:t xml:space="preserve"> du PCT</w:t>
            </w:r>
            <w:r w:rsidRPr="00B54F87">
              <w:rPr>
                <w:sz w:val="14"/>
              </w:rPr>
              <w:t xml:space="preserve"> en ce qui concerne PATENTSCOPE</w:t>
            </w:r>
          </w:p>
        </w:tc>
        <w:tc>
          <w:tcPr>
            <w:tcW w:w="1418" w:type="dxa"/>
            <w:shd w:val="clear" w:color="auto" w:fill="auto"/>
            <w:tcMar>
              <w:top w:w="113" w:type="dxa"/>
            </w:tcMar>
          </w:tcPr>
          <w:p w:rsidR="00BB3F3E" w:rsidRPr="00B54F87" w:rsidRDefault="00BB3F3E" w:rsidP="001A5BF9">
            <w:pPr>
              <w:keepNext/>
              <w:keepLines/>
              <w:spacing w:before="80"/>
              <w:ind w:left="175"/>
              <w:rPr>
                <w:rFonts w:cs="Arial"/>
                <w:sz w:val="14"/>
                <w:szCs w:val="14"/>
              </w:rPr>
            </w:pPr>
            <w:r w:rsidRPr="00B54F87">
              <w:rPr>
                <w:sz w:val="14"/>
              </w:rPr>
              <w:t>Programme 13</w:t>
            </w:r>
          </w:p>
        </w:tc>
        <w:tc>
          <w:tcPr>
            <w:tcW w:w="1162" w:type="dxa"/>
          </w:tcPr>
          <w:p w:rsidR="00BB3F3E" w:rsidRPr="005C7CCE" w:rsidRDefault="00BB3F3E" w:rsidP="001A5BF9">
            <w:pPr>
              <w:keepNext/>
              <w:keepLines/>
              <w:jc w:val="center"/>
              <w:rPr>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keepNext/>
              <w:keepLines/>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keepNext/>
              <w:keepLines/>
              <w:spacing w:before="80"/>
              <w:rPr>
                <w:rFonts w:cs="Arial"/>
                <w:sz w:val="14"/>
                <w:szCs w:val="14"/>
              </w:rPr>
            </w:pPr>
            <w:r w:rsidRPr="00B54F87">
              <w:rPr>
                <w:sz w:val="14"/>
              </w:rPr>
              <w:t>Nombre de semaines par an où la publication n</w:t>
            </w:r>
            <w:r w:rsidR="00A20444" w:rsidRPr="00B54F87">
              <w:rPr>
                <w:sz w:val="14"/>
              </w:rPr>
              <w:t>’</w:t>
            </w:r>
            <w:r w:rsidRPr="00B54F87">
              <w:rPr>
                <w:sz w:val="14"/>
              </w:rPr>
              <w:t>est pas disponible à 20 heures (heure de Genève) le jour de publication</w:t>
            </w:r>
          </w:p>
        </w:tc>
        <w:tc>
          <w:tcPr>
            <w:tcW w:w="1418" w:type="dxa"/>
            <w:shd w:val="clear" w:color="auto" w:fill="auto"/>
            <w:tcMar>
              <w:top w:w="113" w:type="dxa"/>
            </w:tcMar>
          </w:tcPr>
          <w:p w:rsidR="00BB3F3E" w:rsidRPr="00B54F87" w:rsidRDefault="00BB3F3E" w:rsidP="001A5BF9">
            <w:pPr>
              <w:keepNext/>
              <w:keepLines/>
              <w:spacing w:before="80"/>
              <w:ind w:left="175"/>
              <w:rPr>
                <w:rFonts w:cs="Arial"/>
                <w:sz w:val="14"/>
                <w:szCs w:val="14"/>
              </w:rPr>
            </w:pPr>
            <w:r w:rsidRPr="00B54F87">
              <w:rPr>
                <w:sz w:val="14"/>
              </w:rPr>
              <w:t>Programme 13</w:t>
            </w:r>
          </w:p>
        </w:tc>
        <w:tc>
          <w:tcPr>
            <w:tcW w:w="1162" w:type="dxa"/>
          </w:tcPr>
          <w:p w:rsidR="00BB3F3E" w:rsidRPr="005C7CCE" w:rsidRDefault="00BB3F3E" w:rsidP="001A5BF9">
            <w:pPr>
              <w:keepNext/>
              <w:keepLines/>
              <w:jc w:val="center"/>
              <w:rPr>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Amélioration de l</w:t>
            </w:r>
            <w:r w:rsidR="00A20444" w:rsidRPr="00B54F87">
              <w:rPr>
                <w:sz w:val="14"/>
              </w:rPr>
              <w:t>’</w:t>
            </w:r>
            <w:r w:rsidRPr="00B54F87">
              <w:rPr>
                <w:sz w:val="14"/>
              </w:rPr>
              <w:t>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offices dotés de systèmes d</w:t>
            </w:r>
            <w:r w:rsidR="00A20444" w:rsidRPr="00B54F87">
              <w:rPr>
                <w:sz w:val="14"/>
              </w:rPr>
              <w:t>’</w:t>
            </w:r>
            <w:r w:rsidRPr="00B54F87">
              <w:rPr>
                <w:sz w:val="14"/>
              </w:rPr>
              <w:t>administration de la propriété intellectuelle pleinement ou partiellement automatisés fournis par l</w:t>
            </w:r>
            <w:r w:rsidR="00A20444" w:rsidRPr="00B54F87">
              <w:rPr>
                <w:sz w:val="14"/>
              </w:rPr>
              <w:t>’</w:t>
            </w:r>
            <w:r w:rsidRPr="00B54F87">
              <w:rPr>
                <w:sz w:val="14"/>
              </w:rPr>
              <w:t>OMPI</w:t>
            </w:r>
          </w:p>
        </w:tc>
        <w:tc>
          <w:tcPr>
            <w:tcW w:w="1418" w:type="dxa"/>
            <w:shd w:val="clear" w:color="auto" w:fill="auto"/>
            <w:tcMar>
              <w:top w:w="113" w:type="dxa"/>
            </w:tcMar>
          </w:tcPr>
          <w:p w:rsidR="00D42474" w:rsidRDefault="00BB3F3E" w:rsidP="001A5BF9">
            <w:pPr>
              <w:spacing w:before="80"/>
              <w:ind w:left="175"/>
              <w:rPr>
                <w:rFonts w:cs="Arial"/>
                <w:sz w:val="14"/>
                <w:szCs w:val="14"/>
              </w:rPr>
            </w:pPr>
            <w:r w:rsidRPr="00B54F87">
              <w:rPr>
                <w:sz w:val="14"/>
              </w:rPr>
              <w:t>Programme 15</w:t>
            </w:r>
          </w:p>
          <w:p w:rsidR="00D42474" w:rsidRDefault="00BB3F3E" w:rsidP="001A5BF9">
            <w:pPr>
              <w:spacing w:before="120"/>
              <w:ind w:left="176"/>
              <w:rPr>
                <w:rFonts w:cs="Arial"/>
                <w:sz w:val="14"/>
                <w:szCs w:val="14"/>
              </w:rPr>
            </w:pPr>
            <w:r w:rsidRPr="00B54F87">
              <w:rPr>
                <w:sz w:val="14"/>
              </w:rPr>
              <w:t>Programme 9</w:t>
            </w:r>
          </w:p>
          <w:p w:rsidR="00BB3F3E" w:rsidRPr="00B54F87" w:rsidRDefault="00BB3F3E" w:rsidP="001A5BF9">
            <w:pPr>
              <w:spacing w:before="120"/>
              <w:ind w:left="176"/>
              <w:rPr>
                <w:rFonts w:cs="Arial"/>
                <w:sz w:val="14"/>
                <w:szCs w:val="14"/>
              </w:rPr>
            </w:pPr>
            <w:r w:rsidRPr="00B54F87">
              <w:rPr>
                <w:sz w:val="14"/>
              </w:rPr>
              <w:t>Programme 10</w:t>
            </w:r>
          </w:p>
        </w:tc>
        <w:tc>
          <w:tcPr>
            <w:tcW w:w="1162" w:type="dxa"/>
          </w:tcPr>
          <w:p w:rsidR="00D42474" w:rsidRDefault="00BB3F3E" w:rsidP="001A5BF9">
            <w:pPr>
              <w:jc w:val="center"/>
              <w:rPr>
                <w:rFonts w:cs="Arial"/>
                <w:color w:val="008000"/>
                <w:szCs w:val="22"/>
              </w:rPr>
            </w:pPr>
            <w:r w:rsidRPr="005C7CCE">
              <w:rPr>
                <w:color w:val="008000"/>
              </w:rPr>
              <w:sym w:font="Wingdings" w:char="F06C"/>
            </w:r>
          </w:p>
          <w:p w:rsidR="00D42474" w:rsidRDefault="00BB3F3E" w:rsidP="001A5BF9">
            <w:pPr>
              <w:jc w:val="center"/>
              <w:rPr>
                <w:rFonts w:cs="Arial"/>
                <w:color w:val="008000"/>
                <w:szCs w:val="22"/>
              </w:rPr>
            </w:pPr>
            <w:r w:rsidRPr="005C7CCE">
              <w:rPr>
                <w:color w:val="008000"/>
              </w:rPr>
              <w:sym w:font="Wingdings" w:char="F06C"/>
            </w:r>
          </w:p>
          <w:p w:rsidR="00BB3F3E" w:rsidRPr="005C7CCE" w:rsidRDefault="00BB3F3E" w:rsidP="001A5BF9">
            <w:pPr>
              <w:jc w:val="center"/>
              <w:rPr>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offices avec des données de propriété intellectuelle en ligne dans les bases de données de</w:t>
            </w:r>
            <w:r w:rsidR="00B6612B" w:rsidRPr="00B54F87">
              <w:rPr>
                <w:sz w:val="14"/>
              </w:rPr>
              <w:t> </w:t>
            </w:r>
            <w:r w:rsidRPr="00B54F87">
              <w:rPr>
                <w:sz w:val="14"/>
              </w:rPr>
              <w:t>l</w:t>
            </w:r>
            <w:r w:rsidR="00A20444" w:rsidRPr="00B54F87">
              <w:rPr>
                <w:sz w:val="14"/>
              </w:rPr>
              <w:t>’</w:t>
            </w:r>
            <w:r w:rsidRPr="00B54F87">
              <w:rPr>
                <w:sz w:val="14"/>
              </w:rPr>
              <w:t>OMPI</w:t>
            </w:r>
          </w:p>
        </w:tc>
        <w:tc>
          <w:tcPr>
            <w:tcW w:w="1418" w:type="dxa"/>
            <w:shd w:val="clear" w:color="auto" w:fill="auto"/>
            <w:tcMar>
              <w:top w:w="113" w:type="dxa"/>
            </w:tcMar>
          </w:tcPr>
          <w:p w:rsidR="00D42474" w:rsidRDefault="00BB3F3E" w:rsidP="001A5BF9">
            <w:pPr>
              <w:spacing w:before="80"/>
              <w:ind w:left="175"/>
              <w:rPr>
                <w:rFonts w:cs="Arial"/>
                <w:sz w:val="14"/>
                <w:szCs w:val="14"/>
              </w:rPr>
            </w:pPr>
            <w:r w:rsidRPr="00B54F87">
              <w:rPr>
                <w:sz w:val="14"/>
              </w:rPr>
              <w:t>Programme 15</w:t>
            </w:r>
          </w:p>
          <w:p w:rsidR="00D42474" w:rsidRDefault="00BB3F3E" w:rsidP="001A5BF9">
            <w:pPr>
              <w:spacing w:before="120"/>
              <w:ind w:left="176"/>
              <w:rPr>
                <w:rFonts w:cs="Arial"/>
                <w:sz w:val="14"/>
                <w:szCs w:val="14"/>
              </w:rPr>
            </w:pPr>
            <w:r w:rsidRPr="00B54F87">
              <w:rPr>
                <w:sz w:val="14"/>
              </w:rPr>
              <w:t>Programme 9</w:t>
            </w:r>
          </w:p>
          <w:p w:rsidR="00BB3F3E" w:rsidRPr="00B54F87" w:rsidRDefault="00BB3F3E" w:rsidP="001A5BF9">
            <w:pPr>
              <w:spacing w:before="120"/>
              <w:ind w:left="176"/>
              <w:rPr>
                <w:rFonts w:cs="Arial"/>
                <w:sz w:val="14"/>
                <w:szCs w:val="14"/>
              </w:rPr>
            </w:pPr>
            <w:r w:rsidRPr="00B54F87">
              <w:rPr>
                <w:sz w:val="14"/>
              </w:rPr>
              <w:t>Programme 10</w:t>
            </w:r>
          </w:p>
        </w:tc>
        <w:tc>
          <w:tcPr>
            <w:tcW w:w="1162" w:type="dxa"/>
          </w:tcPr>
          <w:p w:rsidR="00D42474" w:rsidRDefault="00BB3F3E" w:rsidP="001A5BF9">
            <w:pPr>
              <w:jc w:val="center"/>
              <w:rPr>
                <w:rFonts w:cs="Arial"/>
                <w:color w:val="008000"/>
                <w:szCs w:val="22"/>
              </w:rPr>
            </w:pPr>
            <w:r w:rsidRPr="005C7CCE">
              <w:rPr>
                <w:color w:val="008000"/>
              </w:rPr>
              <w:sym w:font="Wingdings" w:char="F06C"/>
            </w:r>
          </w:p>
          <w:p w:rsidR="00D42474" w:rsidRDefault="00BB3F3E" w:rsidP="001A5BF9">
            <w:pPr>
              <w:jc w:val="center"/>
              <w:rPr>
                <w:rFonts w:cs="Arial"/>
                <w:color w:val="008000"/>
                <w:szCs w:val="22"/>
              </w:rPr>
            </w:pPr>
            <w:r w:rsidRPr="005C7CCE">
              <w:rPr>
                <w:color w:val="008000"/>
              </w:rPr>
              <w:sym w:font="Wingdings" w:char="F06C"/>
            </w:r>
          </w:p>
          <w:p w:rsidR="00BB3F3E" w:rsidRPr="005C7CCE" w:rsidRDefault="00BB3F3E" w:rsidP="001A5BF9">
            <w:pPr>
              <w:jc w:val="center"/>
              <w:rPr>
                <w:rFonts w:cs="Arial"/>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de groupes d</w:t>
            </w:r>
            <w:r w:rsidR="00A20444" w:rsidRPr="00B54F87">
              <w:rPr>
                <w:sz w:val="14"/>
              </w:rPr>
              <w:t>’</w:t>
            </w:r>
            <w:r w:rsidRPr="00B54F87">
              <w:rPr>
                <w:sz w:val="14"/>
              </w:rPr>
              <w:t>offices participant à une plate</w:t>
            </w:r>
            <w:r w:rsidR="002D6F2A" w:rsidRPr="00B54F87">
              <w:rPr>
                <w:sz w:val="14"/>
              </w:rPr>
              <w:noBreakHyphen/>
            </w:r>
            <w:r w:rsidRPr="00B54F87">
              <w:rPr>
                <w:sz w:val="14"/>
              </w:rPr>
              <w:t>forme commune</w:t>
            </w:r>
          </w:p>
        </w:tc>
        <w:tc>
          <w:tcPr>
            <w:tcW w:w="1418" w:type="dxa"/>
            <w:shd w:val="clear" w:color="auto" w:fill="auto"/>
            <w:tcMar>
              <w:top w:w="113" w:type="dxa"/>
            </w:tcMar>
          </w:tcPr>
          <w:p w:rsidR="00D42474" w:rsidRDefault="00BB3F3E" w:rsidP="001A5BF9">
            <w:pPr>
              <w:spacing w:before="80"/>
              <w:ind w:left="175"/>
              <w:rPr>
                <w:rFonts w:cs="Arial"/>
                <w:sz w:val="14"/>
                <w:szCs w:val="14"/>
              </w:rPr>
            </w:pPr>
            <w:r w:rsidRPr="00B54F87">
              <w:rPr>
                <w:sz w:val="14"/>
              </w:rPr>
              <w:t>Programme 15</w:t>
            </w:r>
          </w:p>
          <w:p w:rsidR="00BB3F3E" w:rsidRPr="00B54F87" w:rsidRDefault="00BB3F3E" w:rsidP="001A5BF9">
            <w:pPr>
              <w:spacing w:before="120"/>
              <w:ind w:left="176"/>
              <w:rPr>
                <w:rFonts w:cs="Arial"/>
                <w:sz w:val="14"/>
                <w:szCs w:val="14"/>
              </w:rPr>
            </w:pPr>
            <w:r w:rsidRPr="00B54F87">
              <w:rPr>
                <w:sz w:val="14"/>
              </w:rPr>
              <w:t>Programme 9</w:t>
            </w:r>
          </w:p>
        </w:tc>
        <w:tc>
          <w:tcPr>
            <w:tcW w:w="1162" w:type="dxa"/>
          </w:tcPr>
          <w:p w:rsidR="00D42474" w:rsidRDefault="00BB3F3E" w:rsidP="001A5BF9">
            <w:pPr>
              <w:jc w:val="center"/>
              <w:rPr>
                <w:rFonts w:cs="Arial"/>
                <w:color w:val="008000"/>
                <w:szCs w:val="22"/>
              </w:rPr>
            </w:pPr>
            <w:r w:rsidRPr="005C7CCE">
              <w:rPr>
                <w:color w:val="008000"/>
              </w:rPr>
              <w:sym w:font="Wingdings" w:char="F06C"/>
            </w:r>
          </w:p>
          <w:p w:rsidR="00BB3F3E" w:rsidRPr="005C7CCE" w:rsidRDefault="00BB3F3E" w:rsidP="001A5BF9">
            <w:pPr>
              <w:jc w:val="center"/>
              <w:rPr>
                <w:rFonts w:cs="Arial"/>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offices traitant des données</w:t>
            </w:r>
            <w:r w:rsidR="00A20444" w:rsidRPr="00B54F87">
              <w:rPr>
                <w:sz w:val="14"/>
              </w:rPr>
              <w:t xml:space="preserve"> du PCT</w:t>
            </w:r>
            <w:r w:rsidRPr="00B54F87">
              <w:rPr>
                <w:sz w:val="14"/>
              </w:rPr>
              <w:t xml:space="preserve"> et du système de Madrid avec l</w:t>
            </w:r>
            <w:r w:rsidR="00A20444" w:rsidRPr="00B54F87">
              <w:rPr>
                <w:sz w:val="14"/>
              </w:rPr>
              <w:t>’</w:t>
            </w:r>
            <w:r w:rsidRPr="00B54F87">
              <w:rPr>
                <w:sz w:val="14"/>
              </w:rPr>
              <w:t>appui de systèmes fournis par l</w:t>
            </w:r>
            <w:r w:rsidR="00A20444" w:rsidRPr="00B54F87">
              <w:rPr>
                <w:sz w:val="14"/>
              </w:rPr>
              <w:t>’</w:t>
            </w:r>
            <w:r w:rsidRPr="00B54F87">
              <w:rPr>
                <w:sz w:val="14"/>
              </w:rPr>
              <w:t>OMPI</w:t>
            </w:r>
          </w:p>
        </w:tc>
        <w:tc>
          <w:tcPr>
            <w:tcW w:w="1418" w:type="dxa"/>
            <w:shd w:val="clear" w:color="auto" w:fill="auto"/>
            <w:tcMar>
              <w:top w:w="113" w:type="dxa"/>
            </w:tcMar>
          </w:tcPr>
          <w:p w:rsidR="00D42474" w:rsidRDefault="00BB3F3E" w:rsidP="001A5BF9">
            <w:pPr>
              <w:spacing w:before="80"/>
              <w:ind w:left="175"/>
              <w:rPr>
                <w:rFonts w:cs="Arial"/>
                <w:sz w:val="14"/>
                <w:szCs w:val="14"/>
              </w:rPr>
            </w:pPr>
            <w:r w:rsidRPr="00B54F87">
              <w:rPr>
                <w:sz w:val="14"/>
              </w:rPr>
              <w:t>Programme 15</w:t>
            </w:r>
          </w:p>
          <w:p w:rsidR="00D42474" w:rsidRDefault="00BB3F3E" w:rsidP="001A5BF9">
            <w:pPr>
              <w:spacing w:before="120"/>
              <w:ind w:left="176"/>
              <w:rPr>
                <w:rFonts w:cs="Arial"/>
                <w:sz w:val="14"/>
                <w:szCs w:val="14"/>
              </w:rPr>
            </w:pPr>
            <w:r w:rsidRPr="00B54F87">
              <w:rPr>
                <w:sz w:val="14"/>
              </w:rPr>
              <w:t>Programme 9</w:t>
            </w:r>
          </w:p>
          <w:p w:rsidR="00BB3F3E" w:rsidRPr="00B54F87" w:rsidRDefault="00BB3F3E" w:rsidP="001A5BF9">
            <w:pPr>
              <w:spacing w:before="120"/>
              <w:ind w:left="176"/>
              <w:rPr>
                <w:rFonts w:cs="Arial"/>
                <w:sz w:val="14"/>
                <w:szCs w:val="14"/>
              </w:rPr>
            </w:pPr>
            <w:r w:rsidRPr="00B54F87">
              <w:rPr>
                <w:sz w:val="14"/>
              </w:rPr>
              <w:t>Programme 10</w:t>
            </w:r>
          </w:p>
        </w:tc>
        <w:tc>
          <w:tcPr>
            <w:tcW w:w="1162" w:type="dxa"/>
          </w:tcPr>
          <w:p w:rsidR="00D42474" w:rsidRDefault="00BB3F3E" w:rsidP="001A5BF9">
            <w:pPr>
              <w:jc w:val="center"/>
              <w:rPr>
                <w:rFonts w:cs="Arial"/>
                <w:color w:val="008000"/>
                <w:szCs w:val="22"/>
              </w:rPr>
            </w:pPr>
            <w:r w:rsidRPr="005C7CCE">
              <w:rPr>
                <w:color w:val="008000"/>
              </w:rPr>
              <w:sym w:font="Wingdings" w:char="F06C"/>
            </w:r>
          </w:p>
          <w:p w:rsidR="00D42474" w:rsidRDefault="00BB3F3E" w:rsidP="001A5BF9">
            <w:pPr>
              <w:jc w:val="center"/>
              <w:rPr>
                <w:rFonts w:cs="Arial"/>
                <w:color w:val="008000"/>
                <w:szCs w:val="22"/>
              </w:rPr>
            </w:pPr>
            <w:r w:rsidRPr="005C7CCE">
              <w:rPr>
                <w:color w:val="008000"/>
              </w:rPr>
              <w:sym w:font="Wingdings" w:char="F06C"/>
            </w:r>
          </w:p>
          <w:p w:rsidR="00BB3F3E" w:rsidRPr="005C7CCE" w:rsidRDefault="00BB3F3E" w:rsidP="001A5BF9">
            <w:pPr>
              <w:jc w:val="center"/>
              <w:rPr>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tcMar>
          </w:tcPr>
          <w:p w:rsidR="00BB3F3E" w:rsidRPr="00B54F87" w:rsidRDefault="00BB3F3E" w:rsidP="001A5BF9">
            <w:pPr>
              <w:spacing w:before="80"/>
              <w:rPr>
                <w:rFonts w:cs="Arial"/>
                <w:sz w:val="14"/>
                <w:szCs w:val="14"/>
              </w:rPr>
            </w:pPr>
            <w:r w:rsidRPr="00B54F87">
              <w:rPr>
                <w:sz w:val="14"/>
              </w:rPr>
              <w:t>Nombre d</w:t>
            </w:r>
            <w:r w:rsidR="00A20444" w:rsidRPr="00B54F87">
              <w:rPr>
                <w:sz w:val="14"/>
              </w:rPr>
              <w:t>’</w:t>
            </w:r>
            <w:r w:rsidRPr="00B54F87">
              <w:rPr>
                <w:sz w:val="14"/>
              </w:rPr>
              <w:t>institutions utilisant des systèmes de l</w:t>
            </w:r>
            <w:r w:rsidR="00A20444" w:rsidRPr="00B54F87">
              <w:rPr>
                <w:sz w:val="14"/>
              </w:rPr>
              <w:t>’</w:t>
            </w:r>
            <w:r w:rsidRPr="00B54F87">
              <w:rPr>
                <w:sz w:val="14"/>
              </w:rPr>
              <w:t>infrastructure du droit d</w:t>
            </w:r>
            <w:r w:rsidR="00A20444" w:rsidRPr="00B54F87">
              <w:rPr>
                <w:sz w:val="14"/>
              </w:rPr>
              <w:t>’</w:t>
            </w:r>
            <w:r w:rsidRPr="00B54F87">
              <w:rPr>
                <w:sz w:val="14"/>
              </w:rPr>
              <w:t>auteur de l</w:t>
            </w:r>
            <w:r w:rsidR="00A20444" w:rsidRPr="00B54F87">
              <w:rPr>
                <w:sz w:val="14"/>
              </w:rPr>
              <w:t>’</w:t>
            </w:r>
            <w:r w:rsidRPr="00B54F87">
              <w:rPr>
                <w:sz w:val="14"/>
              </w:rPr>
              <w:t xml:space="preserve">OMPI (WIPOCOS et </w:t>
            </w:r>
            <w:proofErr w:type="spellStart"/>
            <w:r w:rsidRPr="00B54F87">
              <w:rPr>
                <w:sz w:val="14"/>
              </w:rPr>
              <w:t>GDA</w:t>
            </w:r>
            <w:proofErr w:type="spellEnd"/>
            <w:r w:rsidRPr="00B54F87">
              <w:rPr>
                <w:sz w:val="14"/>
              </w:rPr>
              <w:t>))</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3</w:t>
            </w:r>
          </w:p>
        </w:tc>
        <w:tc>
          <w:tcPr>
            <w:tcW w:w="1162"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B54F87">
        <w:trPr>
          <w:cantSplit/>
        </w:trPr>
        <w:tc>
          <w:tcPr>
            <w:tcW w:w="3226" w:type="dxa"/>
            <w:shd w:val="clear" w:color="auto" w:fill="auto"/>
            <w:tcMar>
              <w:top w:w="113" w:type="dxa"/>
            </w:tcMar>
          </w:tcPr>
          <w:p w:rsidR="00BB3F3E" w:rsidRPr="00B54F87" w:rsidRDefault="00BB3F3E" w:rsidP="001A5BF9">
            <w:pPr>
              <w:spacing w:before="80"/>
              <w:ind w:firstLineChars="100" w:firstLine="140"/>
              <w:rPr>
                <w:rFonts w:cs="Arial"/>
                <w:sz w:val="14"/>
                <w:szCs w:val="14"/>
              </w:rPr>
            </w:pPr>
          </w:p>
        </w:tc>
        <w:tc>
          <w:tcPr>
            <w:tcW w:w="3588" w:type="dxa"/>
            <w:shd w:val="clear" w:color="auto" w:fill="auto"/>
            <w:tcMar>
              <w:top w:w="113" w:type="dxa"/>
              <w:bottom w:w="85" w:type="dxa"/>
            </w:tcMar>
          </w:tcPr>
          <w:p w:rsidR="00BB3F3E" w:rsidRPr="00B54F87" w:rsidRDefault="00BB3F3E" w:rsidP="001A5BF9">
            <w:pPr>
              <w:spacing w:before="80"/>
              <w:rPr>
                <w:rFonts w:cs="Arial"/>
                <w:sz w:val="14"/>
                <w:szCs w:val="14"/>
              </w:rPr>
            </w:pPr>
            <w:r w:rsidRPr="00B54F87">
              <w:rPr>
                <w:sz w:val="14"/>
              </w:rPr>
              <w:t>Pourcentage de gouvernements ayant présenté un rapport positif sur l</w:t>
            </w:r>
            <w:r w:rsidR="00A20444" w:rsidRPr="00B54F87">
              <w:rPr>
                <w:sz w:val="14"/>
              </w:rPr>
              <w:t>’</w:t>
            </w:r>
            <w:r w:rsidRPr="00B54F87">
              <w:rPr>
                <w:sz w:val="14"/>
              </w:rPr>
              <w:t>efficacité et la gouvernance des organismes du droit d</w:t>
            </w:r>
            <w:r w:rsidR="00A20444" w:rsidRPr="00B54F87">
              <w:rPr>
                <w:sz w:val="14"/>
              </w:rPr>
              <w:t>’</w:t>
            </w:r>
            <w:r w:rsidRPr="00B54F87">
              <w:rPr>
                <w:sz w:val="14"/>
              </w:rPr>
              <w:t>auteur dans le pays</w:t>
            </w:r>
          </w:p>
        </w:tc>
        <w:tc>
          <w:tcPr>
            <w:tcW w:w="1418" w:type="dxa"/>
            <w:shd w:val="clear" w:color="auto" w:fill="auto"/>
            <w:tcMar>
              <w:top w:w="113" w:type="dxa"/>
            </w:tcMar>
          </w:tcPr>
          <w:p w:rsidR="00BB3F3E" w:rsidRPr="00B54F87" w:rsidRDefault="00BB3F3E" w:rsidP="001A5BF9">
            <w:pPr>
              <w:spacing w:before="80"/>
              <w:ind w:left="175"/>
              <w:rPr>
                <w:rFonts w:cs="Arial"/>
                <w:sz w:val="14"/>
                <w:szCs w:val="14"/>
              </w:rPr>
            </w:pPr>
            <w:r w:rsidRPr="00B54F87">
              <w:rPr>
                <w:sz w:val="14"/>
              </w:rPr>
              <w:t>Programme 3</w:t>
            </w:r>
          </w:p>
        </w:tc>
        <w:tc>
          <w:tcPr>
            <w:tcW w:w="1162" w:type="dxa"/>
          </w:tcPr>
          <w:p w:rsidR="00BB3F3E" w:rsidRPr="005C7CCE" w:rsidRDefault="00BB3F3E" w:rsidP="001A5BF9">
            <w:pPr>
              <w:jc w:val="center"/>
              <w:rPr>
                <w:color w:val="008000"/>
                <w:szCs w:val="22"/>
              </w:rPr>
            </w:pPr>
            <w:r w:rsidRPr="005C7CCE">
              <w:rPr>
                <w:color w:val="008000"/>
              </w:rPr>
              <w:sym w:font="Wingdings" w:char="F06C"/>
            </w:r>
          </w:p>
        </w:tc>
      </w:tr>
    </w:tbl>
    <w:p w:rsidR="00D42474" w:rsidRDefault="00D42474" w:rsidP="001A5BF9">
      <w:pPr>
        <w:jc w:val="both"/>
        <w:rPr>
          <w:sz w:val="16"/>
        </w:rPr>
      </w:pPr>
    </w:p>
    <w:p w:rsidR="00D42474" w:rsidRDefault="00D42474" w:rsidP="001A5BF9">
      <w:pPr>
        <w:jc w:val="both"/>
        <w:rPr>
          <w:sz w:val="16"/>
        </w:rPr>
      </w:pPr>
    </w:p>
    <w:p w:rsidR="00D42474" w:rsidRDefault="00BB3F3E" w:rsidP="001A5BF9">
      <w:pPr>
        <w:autoSpaceDE w:val="0"/>
        <w:autoSpaceDN w:val="0"/>
        <w:adjustRightInd w:val="0"/>
        <w:jc w:val="both"/>
        <w:rPr>
          <w:bCs/>
        </w:rPr>
      </w:pPr>
      <w:r w:rsidRPr="00B54F87">
        <w:t>En</w:t>
      </w:r>
      <w:r w:rsidR="0010442A" w:rsidRPr="00B54F87">
        <w:t> </w:t>
      </w:r>
      <w:r w:rsidRPr="00B54F87">
        <w:t>2012</w:t>
      </w:r>
      <w:r w:rsidR="002D6F2A" w:rsidRPr="00B54F87">
        <w:noBreakHyphen/>
      </w:r>
      <w:r w:rsidRPr="00B54F87">
        <w:t>2013, les travaux ont visé à améliorer l</w:t>
      </w:r>
      <w:r w:rsidR="00A20444" w:rsidRPr="00B54F87">
        <w:t>’</w:t>
      </w:r>
      <w:r w:rsidRPr="00B54F87">
        <w:t>infrastructure mondiale en matière de propriété intellectuelle afin de répondre à la demande mondiale croissante pesant sur le système de propriété intellectuelle et à favoriser la participation des pays en développement et des pays les moins avancés à ce système.</w:t>
      </w:r>
    </w:p>
    <w:p w:rsidR="00D42474" w:rsidRDefault="00D42474" w:rsidP="001A5BF9">
      <w:pPr>
        <w:autoSpaceDE w:val="0"/>
        <w:autoSpaceDN w:val="0"/>
        <w:adjustRightInd w:val="0"/>
        <w:jc w:val="both"/>
        <w:rPr>
          <w:bCs/>
          <w:sz w:val="16"/>
        </w:rPr>
      </w:pPr>
    </w:p>
    <w:p w:rsidR="00D42474" w:rsidRDefault="00BB3F3E" w:rsidP="001A5BF9">
      <w:pPr>
        <w:autoSpaceDE w:val="0"/>
        <w:autoSpaceDN w:val="0"/>
        <w:adjustRightInd w:val="0"/>
        <w:jc w:val="both"/>
        <w:rPr>
          <w:bCs/>
        </w:rPr>
      </w:pPr>
      <w:r w:rsidRPr="00B54F87">
        <w:t>La mise au point du nouveau système PATENTSCOPE introduit vers la fin de l</w:t>
      </w:r>
      <w:r w:rsidR="00A20444" w:rsidRPr="00B54F87">
        <w:t>’</w:t>
      </w:r>
      <w:r w:rsidRPr="00B54F87">
        <w:t>exercice biennal précédent s</w:t>
      </w:r>
      <w:r w:rsidR="00A20444" w:rsidRPr="00B54F87">
        <w:t>’</w:t>
      </w:r>
      <w:r w:rsidRPr="00B54F87">
        <w:t>est poursuivie pour améliorer et faciliter l</w:t>
      </w:r>
      <w:r w:rsidR="00A20444" w:rsidRPr="00B54F87">
        <w:t>’</w:t>
      </w:r>
      <w:r w:rsidRPr="00B54F87">
        <w:t xml:space="preserve">accès des utilisateurs. </w:t>
      </w:r>
      <w:r w:rsidR="0010442A" w:rsidRPr="00B54F87">
        <w:t xml:space="preserve"> </w:t>
      </w:r>
      <w:r w:rsidRPr="00B54F87">
        <w:t>Trois nouvelles langues (l</w:t>
      </w:r>
      <w:r w:rsidR="00A20444" w:rsidRPr="00B54F87">
        <w:t>’</w:t>
      </w:r>
      <w:r w:rsidRPr="00B54F87">
        <w:t>allemand, l</w:t>
      </w:r>
      <w:r w:rsidR="00A20444" w:rsidRPr="00B54F87">
        <w:t>’</w:t>
      </w:r>
      <w:r w:rsidRPr="00B54F87">
        <w:t xml:space="preserve">italien et le suédois) ont été ajoutées aux neuf langues déjà existantes dans le système de recherches “Cross Lingual Information </w:t>
      </w:r>
      <w:proofErr w:type="spellStart"/>
      <w:r w:rsidRPr="00B54F87">
        <w:t>Retrieval</w:t>
      </w:r>
      <w:proofErr w:type="spellEnd"/>
      <w:r w:rsidRPr="00B54F87">
        <w:t>” (</w:t>
      </w:r>
      <w:proofErr w:type="spellStart"/>
      <w:r w:rsidRPr="00B54F87">
        <w:t>CLIR</w:t>
      </w:r>
      <w:proofErr w:type="spellEnd"/>
      <w:r w:rsidRPr="00B54F87">
        <w:t>).</w:t>
      </w:r>
      <w:r w:rsidR="004F3E42" w:rsidRPr="00B54F87">
        <w:t xml:space="preserve"> </w:t>
      </w:r>
      <w:r w:rsidR="0010442A" w:rsidRPr="00B54F87">
        <w:t xml:space="preserve"> </w:t>
      </w:r>
      <w:r w:rsidRPr="00B54F87">
        <w:t xml:space="preserve">Le système de traduction automatique </w:t>
      </w:r>
      <w:proofErr w:type="spellStart"/>
      <w:r w:rsidRPr="00B54F87">
        <w:t>TAPTA</w:t>
      </w:r>
      <w:proofErr w:type="spellEnd"/>
      <w:r w:rsidRPr="00B54F87">
        <w:t>, conçu en interne, a été appliqué à deux</w:t>
      </w:r>
      <w:r w:rsidR="0010442A" w:rsidRPr="00B54F87">
        <w:t> </w:t>
      </w:r>
      <w:r w:rsidRPr="00B54F87">
        <w:t>autres couples de langues difficiles, l</w:t>
      </w:r>
      <w:r w:rsidR="00A20444" w:rsidRPr="00B54F87">
        <w:t>’</w:t>
      </w:r>
      <w:r w:rsidRPr="00B54F87">
        <w:t>anglais et l</w:t>
      </w:r>
      <w:r w:rsidR="00A20444" w:rsidRPr="00B54F87">
        <w:t>’</w:t>
      </w:r>
      <w:r w:rsidRPr="00B54F87">
        <w:t>allemand ainsi que l</w:t>
      </w:r>
      <w:r w:rsidR="00A20444" w:rsidRPr="00B54F87">
        <w:t>’</w:t>
      </w:r>
      <w:r w:rsidRPr="00B54F87">
        <w:t>anglais et le japonais.</w:t>
      </w:r>
      <w:r w:rsidR="004F3E42" w:rsidRPr="00B54F87">
        <w:t xml:space="preserve"> </w:t>
      </w:r>
      <w:r w:rsidR="0010442A" w:rsidRPr="00B54F87">
        <w:t xml:space="preserve"> </w:t>
      </w:r>
      <w:r w:rsidRPr="00B54F87">
        <w:t>L</w:t>
      </w:r>
      <w:r w:rsidR="00A20444" w:rsidRPr="00B54F87">
        <w:t>’</w:t>
      </w:r>
      <w:r w:rsidRPr="00B54F87">
        <w:t>utilisation</w:t>
      </w:r>
      <w:r w:rsidR="00A20444" w:rsidRPr="00B54F87">
        <w:t xml:space="preserve"> du PAT</w:t>
      </w:r>
      <w:r w:rsidRPr="00B54F87">
        <w:t>ENTSCOPE a augmenté de 10</w:t>
      </w:r>
      <w:r w:rsidR="007E442D" w:rsidRPr="00B54F87">
        <w:t>%</w:t>
      </w:r>
      <w:r w:rsidRPr="00B54F87">
        <w:t xml:space="preserve">, passant de 216 289 utilisateurs par trimestre en 2011 à 237 446 utilisateurs par trimestre en 2013, en dépit de problèmes de réseau de distribution de contenu rencontrés en 2012. </w:t>
      </w:r>
      <w:r w:rsidR="0010442A" w:rsidRPr="00B54F87">
        <w:t xml:space="preserve"> </w:t>
      </w:r>
      <w:r w:rsidRPr="00B54F87">
        <w:t>Le nombre de collections nationales détenues dans PATENTSCOPE est passé de 28 en 2011 à 36 en 2013 et comprend l</w:t>
      </w:r>
      <w:r w:rsidR="00A20444" w:rsidRPr="00B54F87">
        <w:t>’</w:t>
      </w:r>
      <w:r w:rsidRPr="00B54F87">
        <w:t>importante adjonction des collections américaines, japonaises et chinoises qui a plus que triplé le nombre d</w:t>
      </w:r>
      <w:r w:rsidR="00A20444" w:rsidRPr="00B54F87">
        <w:t>’</w:t>
      </w:r>
      <w:r w:rsidRPr="00B54F87">
        <w:t>enregistrements, passé de 10 à 34 millions.</w:t>
      </w:r>
    </w:p>
    <w:p w:rsidR="00D42474" w:rsidRDefault="00D42474" w:rsidP="001A5BF9">
      <w:pPr>
        <w:autoSpaceDE w:val="0"/>
        <w:autoSpaceDN w:val="0"/>
        <w:adjustRightInd w:val="0"/>
        <w:jc w:val="both"/>
        <w:rPr>
          <w:sz w:val="16"/>
        </w:rPr>
      </w:pPr>
    </w:p>
    <w:p w:rsidR="00D42474" w:rsidRDefault="00BB3F3E" w:rsidP="001A5BF9">
      <w:pPr>
        <w:jc w:val="both"/>
      </w:pPr>
      <w:r w:rsidRPr="00B54F87">
        <w:t>La base de données mondiale sur les marques a été mise en œuvre en 2012 de concert avec les systèmes de Madrid et Lisbonne et les collections de l</w:t>
      </w:r>
      <w:r w:rsidR="00A20444" w:rsidRPr="00B54F87">
        <w:t>’</w:t>
      </w:r>
      <w:r w:rsidRPr="00B54F87">
        <w:t>article </w:t>
      </w:r>
      <w:proofErr w:type="spellStart"/>
      <w:r w:rsidRPr="00B54F87">
        <w:t>6</w:t>
      </w:r>
      <w:r w:rsidRPr="00B54F87">
        <w:rPr>
          <w:i/>
        </w:rPr>
        <w:t>ter</w:t>
      </w:r>
      <w:proofErr w:type="spellEnd"/>
      <w:r w:rsidRPr="00B54F87">
        <w:t xml:space="preserve"> et l</w:t>
      </w:r>
      <w:r w:rsidR="00A20444" w:rsidRPr="00B54F87">
        <w:t>’</w:t>
      </w:r>
      <w:r w:rsidRPr="00B54F87">
        <w:t xml:space="preserve">on constate une augmentation régulière du nombre de visiteurs tout au long de 2012 et 2013, avec respectivement </w:t>
      </w:r>
      <w:r w:rsidR="00BD43F2" w:rsidRPr="00B54F87">
        <w:t>13 000 </w:t>
      </w:r>
      <w:r w:rsidRPr="00B54F87">
        <w:t xml:space="preserve">et 23 000 utilisateurs par trimestre contre </w:t>
      </w:r>
      <w:r w:rsidR="0010442A" w:rsidRPr="00B54F87">
        <w:t>9000</w:t>
      </w:r>
      <w:r w:rsidRPr="00B54F87">
        <w:t> en 2011.</w:t>
      </w:r>
      <w:r w:rsidR="0010442A" w:rsidRPr="00B54F87">
        <w:t xml:space="preserve"> </w:t>
      </w:r>
      <w:r w:rsidRPr="00B54F87">
        <w:t xml:space="preserve"> De plus, le processus d</w:t>
      </w:r>
      <w:r w:rsidR="00A20444" w:rsidRPr="00B54F87">
        <w:t>’</w:t>
      </w:r>
      <w:r w:rsidRPr="00B54F87">
        <w:t>adjonction de collections nationales initié en 2012 s</w:t>
      </w:r>
      <w:r w:rsidR="00A20444" w:rsidRPr="00B54F87">
        <w:t>’</w:t>
      </w:r>
      <w:r w:rsidRPr="00B54F87">
        <w:t xml:space="preserve">est poursuivi avec trois collections nationales en 2013, portant le nombre total </w:t>
      </w:r>
      <w:r w:rsidRPr="00FC3E1C">
        <w:t xml:space="preserve">de collections nationales à 12. </w:t>
      </w:r>
      <w:r w:rsidR="0010442A" w:rsidRPr="00FC3E1C">
        <w:t xml:space="preserve"> </w:t>
      </w:r>
      <w:r w:rsidRPr="00FC3E1C">
        <w:t>Par conséquent, le nombre d</w:t>
      </w:r>
      <w:r w:rsidR="00A20444" w:rsidRPr="00FC3E1C">
        <w:t>’</w:t>
      </w:r>
      <w:r w:rsidRPr="00FC3E1C">
        <w:t>enregistrements détenus dans le système a considérablement augmenté, passant de 700 000 en 2011 à deux millions en 2012 et à 12 millions à la fin de l</w:t>
      </w:r>
      <w:r w:rsidR="00A20444" w:rsidRPr="00FC3E1C">
        <w:t>’</w:t>
      </w:r>
      <w:r w:rsidRPr="00FC3E1C">
        <w:t>exercice biennal.</w:t>
      </w:r>
    </w:p>
    <w:p w:rsidR="00D42474" w:rsidRDefault="00D42474" w:rsidP="001A5BF9">
      <w:pPr>
        <w:jc w:val="both"/>
      </w:pPr>
    </w:p>
    <w:p w:rsidR="00D42474" w:rsidRDefault="00BB3F3E" w:rsidP="001A5BF9">
      <w:pPr>
        <w:autoSpaceDE w:val="0"/>
        <w:autoSpaceDN w:val="0"/>
        <w:adjustRightInd w:val="0"/>
        <w:jc w:val="both"/>
      </w:pPr>
      <w:r w:rsidRPr="00FC3E1C">
        <w:t>En ce qui concerne les classifications internationales et les normes de propriété industrielle de l</w:t>
      </w:r>
      <w:r w:rsidR="00A20444" w:rsidRPr="00FC3E1C">
        <w:t>’</w:t>
      </w:r>
      <w:r w:rsidRPr="00FC3E1C">
        <w:t>OMPI, des progrès majeurs ont été accomplis en</w:t>
      </w:r>
      <w:r w:rsidR="0010442A" w:rsidRPr="00FC3E1C">
        <w:t> </w:t>
      </w:r>
      <w:r w:rsidRPr="00FC3E1C">
        <w:t>2012</w:t>
      </w:r>
      <w:r w:rsidR="002D6F2A" w:rsidRPr="00FC3E1C">
        <w:noBreakHyphen/>
      </w:r>
      <w:r w:rsidRPr="00FC3E1C">
        <w:t>2013.</w:t>
      </w:r>
      <w:r w:rsidR="0010442A" w:rsidRPr="00FC3E1C">
        <w:t xml:space="preserve"> </w:t>
      </w:r>
      <w:r w:rsidR="004F3E42" w:rsidRPr="00FC3E1C">
        <w:t xml:space="preserve"> </w:t>
      </w:r>
      <w:r w:rsidRPr="00FC3E1C">
        <w:t>La réforme de la classification de Nice a été mise en œuvre et le Comité d</w:t>
      </w:r>
      <w:r w:rsidR="00A20444" w:rsidRPr="00FC3E1C">
        <w:t>’</w:t>
      </w:r>
      <w:r w:rsidRPr="00FC3E1C">
        <w:t>experts s</w:t>
      </w:r>
      <w:r w:rsidR="00A20444" w:rsidRPr="00FC3E1C">
        <w:t>’</w:t>
      </w:r>
      <w:r w:rsidRPr="00FC3E1C">
        <w:t>est réuni pour la première fois en une session annuelle au cours de laquelle il a adopté les modifications publiées dans la classification, qui à compter de</w:t>
      </w:r>
      <w:r w:rsidR="0010442A" w:rsidRPr="00FC3E1C">
        <w:t> </w:t>
      </w:r>
      <w:r w:rsidRPr="00FC3E1C">
        <w:t>2013, est devenue une classification annuelle.</w:t>
      </w:r>
      <w:r w:rsidR="0010442A" w:rsidRPr="00FC3E1C">
        <w:t xml:space="preserve"> </w:t>
      </w:r>
      <w:r w:rsidR="004F3E42" w:rsidRPr="00FC3E1C">
        <w:t xml:space="preserve"> </w:t>
      </w:r>
      <w:r w:rsidRPr="00FC3E1C">
        <w:t>Une nouvelle plate</w:t>
      </w:r>
      <w:r w:rsidR="002D6F2A" w:rsidRPr="00FC3E1C">
        <w:noBreakHyphen/>
      </w:r>
      <w:r w:rsidRPr="00FC3E1C">
        <w:t>forme de publication de la classification de Nice, qui prévoit la publication de nouvelles versions annuelles, a été mise en service avec succès.</w:t>
      </w:r>
      <w:r w:rsidR="004F3E42" w:rsidRPr="00FC3E1C">
        <w:t xml:space="preserve"> </w:t>
      </w:r>
      <w:r w:rsidR="0010442A" w:rsidRPr="00FC3E1C">
        <w:t xml:space="preserve"> </w:t>
      </w:r>
      <w:r w:rsidRPr="00FC3E1C">
        <w:t>En outre, cette nouvelle plate</w:t>
      </w:r>
      <w:r w:rsidR="002D6F2A" w:rsidRPr="00FC3E1C">
        <w:noBreakHyphen/>
      </w:r>
      <w:r w:rsidRPr="00FC3E1C">
        <w:t>forme intégrera également la taxonomie qui a été finalisée en 2012, en coopération avec l</w:t>
      </w:r>
      <w:r w:rsidR="00A20444" w:rsidRPr="00FC3E1C">
        <w:t>’</w:t>
      </w:r>
      <w:r w:rsidRPr="00FC3E1C">
        <w:t xml:space="preserve">OHMI. </w:t>
      </w:r>
      <w:r w:rsidR="0010442A" w:rsidRPr="00FC3E1C">
        <w:t xml:space="preserve"> </w:t>
      </w:r>
      <w:r w:rsidRPr="00FC3E1C">
        <w:t>La nouvelle et septième édition de la classification de Vienne a été publiée comme prévu.</w:t>
      </w:r>
      <w:r w:rsidR="0010442A" w:rsidRPr="00FC3E1C">
        <w:t xml:space="preserve"> </w:t>
      </w:r>
      <w:r w:rsidRPr="00FC3E1C">
        <w:t xml:space="preserve"> Le comité d</w:t>
      </w:r>
      <w:r w:rsidR="00A20444" w:rsidRPr="00FC3E1C">
        <w:t>’</w:t>
      </w:r>
      <w:r w:rsidRPr="00FC3E1C">
        <w:t>experts pour la classification de Locarno s</w:t>
      </w:r>
      <w:r w:rsidR="00A20444" w:rsidRPr="00FC3E1C">
        <w:t>’</w:t>
      </w:r>
      <w:r w:rsidRPr="00FC3E1C">
        <w:t>est réuni en novembre 2012 et a adopté les modifications de la dixième édition de la classification qui a été publiée en 2013.</w:t>
      </w:r>
    </w:p>
    <w:p w:rsidR="00D42474" w:rsidRDefault="00D42474" w:rsidP="001A5BF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p>
    <w:p w:rsidR="00D42474" w:rsidRDefault="00BB3F3E" w:rsidP="001A5BF9">
      <w:pPr>
        <w:jc w:val="both"/>
      </w:pPr>
      <w:r w:rsidRPr="00FC3E1C">
        <w:t>L</w:t>
      </w:r>
      <w:r w:rsidR="00A20444" w:rsidRPr="00FC3E1C">
        <w:t>’</w:t>
      </w:r>
      <w:r w:rsidRPr="00FC3E1C">
        <w:t>exercice biennal</w:t>
      </w:r>
      <w:r w:rsidR="0010442A" w:rsidRPr="00FC3E1C">
        <w:t> </w:t>
      </w:r>
      <w:r w:rsidRPr="00FC3E1C">
        <w:t>2012</w:t>
      </w:r>
      <w:r w:rsidR="002D6F2A" w:rsidRPr="00FC3E1C">
        <w:noBreakHyphen/>
      </w:r>
      <w:r w:rsidRPr="00FC3E1C">
        <w:t>2013 a porté le nombre d</w:t>
      </w:r>
      <w:r w:rsidR="00A20444" w:rsidRPr="00FC3E1C">
        <w:t>’</w:t>
      </w:r>
      <w:r w:rsidRPr="00FC3E1C">
        <w:t>États membres ayant établi des centres d</w:t>
      </w:r>
      <w:r w:rsidR="00A20444" w:rsidRPr="00FC3E1C">
        <w:t>’</w:t>
      </w:r>
      <w:r w:rsidRPr="00FC3E1C">
        <w:t>appui à la technologie et à l</w:t>
      </w:r>
      <w:r w:rsidR="00A20444" w:rsidRPr="00FC3E1C">
        <w:t>’</w:t>
      </w:r>
      <w:r w:rsidRPr="00FC3E1C">
        <w:t xml:space="preserve">innovation (CATI) dans leur pays à un total de 39. </w:t>
      </w:r>
      <w:r w:rsidR="0010442A" w:rsidRPr="00FC3E1C">
        <w:t xml:space="preserve"> </w:t>
      </w:r>
      <w:r w:rsidRPr="00FC3E1C">
        <w:t>L</w:t>
      </w:r>
      <w:r w:rsidR="00A20444" w:rsidRPr="00FC3E1C">
        <w:t>’</w:t>
      </w:r>
      <w:r w:rsidRPr="00FC3E1C">
        <w:t>élaboration de réseaux en ligne par le biais de la plate</w:t>
      </w:r>
      <w:r w:rsidR="002D6F2A" w:rsidRPr="00FC3E1C">
        <w:noBreakHyphen/>
      </w:r>
      <w:r w:rsidRPr="00FC3E1C">
        <w:t>forme de gestion des connaissances et de médias sociaux en ligne “</w:t>
      </w:r>
      <w:proofErr w:type="spellStart"/>
      <w:r w:rsidRPr="00FC3E1C">
        <w:t>eTISC</w:t>
      </w:r>
      <w:proofErr w:type="spellEnd"/>
      <w:r w:rsidRPr="00FC3E1C">
        <w:t xml:space="preserve">”, lancée </w:t>
      </w:r>
      <w:r w:rsidR="00C26F40" w:rsidRPr="00FC3E1C">
        <w:t>fin </w:t>
      </w:r>
      <w:r w:rsidRPr="00FC3E1C">
        <w:t>2012, a également encouragé les échanges d</w:t>
      </w:r>
      <w:r w:rsidR="00A20444" w:rsidRPr="00FC3E1C">
        <w:t>’</w:t>
      </w:r>
      <w:r w:rsidRPr="00FC3E1C">
        <w:t>expériences et de bonnes pratiques en ligne, avec près de 700 utilisateurs enregistrés à la fin de l</w:t>
      </w:r>
      <w:r w:rsidR="00A20444" w:rsidRPr="00FC3E1C">
        <w:t>’</w:t>
      </w:r>
      <w:r w:rsidRPr="00FC3E1C">
        <w:t xml:space="preserve">année 2013. </w:t>
      </w:r>
      <w:r w:rsidR="0010442A" w:rsidRPr="00FC3E1C">
        <w:t xml:space="preserve"> </w:t>
      </w:r>
      <w:r w:rsidRPr="00FC3E1C">
        <w:t>Les six premiers séminaires sur le Web, reproduisant les formations proposées sur le terrain et comprenant des séances de questions</w:t>
      </w:r>
      <w:r w:rsidR="002D6F2A" w:rsidRPr="00FC3E1C">
        <w:noBreakHyphen/>
      </w:r>
      <w:r w:rsidRPr="00FC3E1C">
        <w:t>réponses en direct, ont démarré au milieu de l</w:t>
      </w:r>
      <w:r w:rsidR="00A20444" w:rsidRPr="00FC3E1C">
        <w:t>’</w:t>
      </w:r>
      <w:r w:rsidRPr="00FC3E1C">
        <w:t>année 2013 et le programme a rapidement pris de l</w:t>
      </w:r>
      <w:r w:rsidR="00A20444" w:rsidRPr="00FC3E1C">
        <w:t>’</w:t>
      </w:r>
      <w:r w:rsidRPr="00FC3E1C">
        <w:t>ampleur.</w:t>
      </w:r>
    </w:p>
    <w:p w:rsidR="00D42474" w:rsidRDefault="00D42474" w:rsidP="001A5BF9">
      <w:pPr>
        <w:jc w:val="both"/>
      </w:pPr>
    </w:p>
    <w:p w:rsidR="00D42474" w:rsidRDefault="00BB3F3E" w:rsidP="001A5BF9">
      <w:pPr>
        <w:keepNext/>
        <w:keepLines/>
        <w:jc w:val="both"/>
        <w:rPr>
          <w:spacing w:val="-4"/>
        </w:rPr>
      </w:pPr>
      <w:r w:rsidRPr="00FC3E1C">
        <w:rPr>
          <w:spacing w:val="-4"/>
        </w:rPr>
        <w:t>La mise en place et l</w:t>
      </w:r>
      <w:r w:rsidR="00A20444" w:rsidRPr="00FC3E1C">
        <w:rPr>
          <w:spacing w:val="-4"/>
        </w:rPr>
        <w:t>’</w:t>
      </w:r>
      <w:r w:rsidRPr="00FC3E1C">
        <w:rPr>
          <w:spacing w:val="-4"/>
        </w:rPr>
        <w:t>actualisation des logiciels d</w:t>
      </w:r>
      <w:r w:rsidR="00A20444" w:rsidRPr="00FC3E1C">
        <w:rPr>
          <w:spacing w:val="-4"/>
        </w:rPr>
        <w:t>’</w:t>
      </w:r>
      <w:r w:rsidRPr="00FC3E1C">
        <w:rPr>
          <w:spacing w:val="-4"/>
        </w:rPr>
        <w:t>automatisation des offices de propriété intellectuelle (IPAS) se sont poursuivies dans toutes les régions.</w:t>
      </w:r>
      <w:r w:rsidR="004F3E42" w:rsidRPr="00FC3E1C">
        <w:rPr>
          <w:spacing w:val="-4"/>
        </w:rPr>
        <w:t xml:space="preserve"> </w:t>
      </w:r>
      <w:r w:rsidR="0010442A" w:rsidRPr="00FC3E1C">
        <w:rPr>
          <w:spacing w:val="-4"/>
        </w:rPr>
        <w:t xml:space="preserve"> </w:t>
      </w:r>
      <w:r w:rsidRPr="00FC3E1C">
        <w:rPr>
          <w:spacing w:val="-4"/>
        </w:rPr>
        <w:t>Quelque 61 offices de propriété intellectuelle utilisaient les outils de gestion de l</w:t>
      </w:r>
      <w:r w:rsidR="00A20444" w:rsidRPr="00FC3E1C">
        <w:rPr>
          <w:spacing w:val="-4"/>
        </w:rPr>
        <w:t>’</w:t>
      </w:r>
      <w:r w:rsidRPr="00FC3E1C">
        <w:rPr>
          <w:spacing w:val="-4"/>
        </w:rPr>
        <w:t>OMPI à la fin de l</w:t>
      </w:r>
      <w:r w:rsidR="00A20444" w:rsidRPr="00FC3E1C">
        <w:rPr>
          <w:spacing w:val="-4"/>
        </w:rPr>
        <w:t>’</w:t>
      </w:r>
      <w:r w:rsidRPr="00FC3E1C">
        <w:rPr>
          <w:spacing w:val="-4"/>
        </w:rPr>
        <w:t>exercice biennal 2012</w:t>
      </w:r>
      <w:r w:rsidR="002D6F2A" w:rsidRPr="00FC3E1C">
        <w:rPr>
          <w:spacing w:val="-4"/>
        </w:rPr>
        <w:noBreakHyphen/>
      </w:r>
      <w:r w:rsidRPr="00FC3E1C">
        <w:rPr>
          <w:spacing w:val="-4"/>
        </w:rPr>
        <w:t>2013 (dont IPAS, le système arabe de gestion de la propriété industrielle de l</w:t>
      </w:r>
      <w:r w:rsidR="00A20444" w:rsidRPr="00FC3E1C">
        <w:rPr>
          <w:spacing w:val="-4"/>
        </w:rPr>
        <w:t>’</w:t>
      </w:r>
      <w:r w:rsidRPr="00FC3E1C">
        <w:rPr>
          <w:spacing w:val="-4"/>
        </w:rPr>
        <w:t xml:space="preserve">OMPI </w:t>
      </w:r>
      <w:r w:rsidR="00A93636" w:rsidRPr="00FC3E1C">
        <w:rPr>
          <w:spacing w:val="-4"/>
        </w:rPr>
        <w:t>(</w:t>
      </w:r>
      <w:proofErr w:type="spellStart"/>
      <w:r w:rsidR="00A93636" w:rsidRPr="00FC3E1C">
        <w:rPr>
          <w:spacing w:val="-4"/>
        </w:rPr>
        <w:t>AIPMS</w:t>
      </w:r>
      <w:proofErr w:type="spellEnd"/>
      <w:r w:rsidR="00A93636" w:rsidRPr="00FC3E1C">
        <w:rPr>
          <w:spacing w:val="-4"/>
        </w:rPr>
        <w:t>)</w:t>
      </w:r>
      <w:r w:rsidRPr="00FC3E1C">
        <w:rPr>
          <w:spacing w:val="-4"/>
        </w:rPr>
        <w:t xml:space="preserve">, </w:t>
      </w:r>
      <w:proofErr w:type="spellStart"/>
      <w:r w:rsidRPr="00FC3E1C">
        <w:rPr>
          <w:spacing w:val="-4"/>
        </w:rPr>
        <w:t>EDMS</w:t>
      </w:r>
      <w:proofErr w:type="spellEnd"/>
      <w:r w:rsidRPr="00FC3E1C">
        <w:rPr>
          <w:spacing w:val="-4"/>
        </w:rPr>
        <w:t xml:space="preserve">, </w:t>
      </w:r>
      <w:proofErr w:type="spellStart"/>
      <w:r w:rsidRPr="00FC3E1C">
        <w:rPr>
          <w:spacing w:val="-4"/>
        </w:rPr>
        <w:t>WIPOScan</w:t>
      </w:r>
      <w:proofErr w:type="spellEnd"/>
      <w:r w:rsidRPr="00FC3E1C">
        <w:rPr>
          <w:spacing w:val="-4"/>
        </w:rPr>
        <w:t xml:space="preserve"> et le module de Madrid de l</w:t>
      </w:r>
      <w:r w:rsidR="00A20444" w:rsidRPr="00FC3E1C">
        <w:rPr>
          <w:spacing w:val="-4"/>
        </w:rPr>
        <w:t>’</w:t>
      </w:r>
      <w:r w:rsidRPr="00FC3E1C">
        <w:rPr>
          <w:spacing w:val="-4"/>
        </w:rPr>
        <w:t xml:space="preserve">OMPI). </w:t>
      </w:r>
      <w:r w:rsidR="0010442A" w:rsidRPr="00FC3E1C">
        <w:rPr>
          <w:spacing w:val="-4"/>
        </w:rPr>
        <w:t xml:space="preserve"> </w:t>
      </w:r>
      <w:r w:rsidRPr="00FC3E1C">
        <w:rPr>
          <w:spacing w:val="-4"/>
        </w:rPr>
        <w:t>En outre, sept offices de propriété intellectuelle utilisaient WIPO CASE (accès centralisé aux résultats de la recherche et de l</w:t>
      </w:r>
      <w:r w:rsidR="00A20444" w:rsidRPr="00FC3E1C">
        <w:rPr>
          <w:spacing w:val="-4"/>
        </w:rPr>
        <w:t>’</w:t>
      </w:r>
      <w:r w:rsidRPr="00FC3E1C">
        <w:rPr>
          <w:spacing w:val="-4"/>
        </w:rPr>
        <w:t>examen) et 11 offices utilisaient le service DAS (service d</w:t>
      </w:r>
      <w:r w:rsidR="00A20444" w:rsidRPr="00FC3E1C">
        <w:rPr>
          <w:spacing w:val="-4"/>
        </w:rPr>
        <w:t>’</w:t>
      </w:r>
      <w:r w:rsidRPr="00FC3E1C">
        <w:rPr>
          <w:spacing w:val="-4"/>
        </w:rPr>
        <w:t>accès numérique).</w:t>
      </w:r>
    </w:p>
    <w:p w:rsidR="00D42474" w:rsidRDefault="00D42474" w:rsidP="001A5BF9">
      <w:pPr>
        <w:keepNext/>
        <w:keepLines/>
        <w:jc w:val="both"/>
        <w:rPr>
          <w:bCs/>
        </w:rPr>
      </w:pPr>
    </w:p>
    <w:p w:rsidR="00D42474" w:rsidRDefault="00BB3F3E" w:rsidP="001A5BF9">
      <w:pPr>
        <w:jc w:val="both"/>
        <w:rPr>
          <w:spacing w:val="-2"/>
        </w:rPr>
      </w:pPr>
      <w:r w:rsidRPr="00FC3E1C">
        <w:rPr>
          <w:spacing w:val="-2"/>
        </w:rPr>
        <w:t>Afin de gérer la demande croissante en faveur des systèmes de l</w:t>
      </w:r>
      <w:r w:rsidR="00A20444" w:rsidRPr="00FC3E1C">
        <w:rPr>
          <w:spacing w:val="-2"/>
        </w:rPr>
        <w:t>’</w:t>
      </w:r>
      <w:r w:rsidRPr="00FC3E1C">
        <w:rPr>
          <w:spacing w:val="-2"/>
        </w:rPr>
        <w:t>OMPI et les besoins toujours plus complexes des utilisateurs, une nouvelle stratégie de soutien a été définie au cours de l</w:t>
      </w:r>
      <w:r w:rsidR="00A20444" w:rsidRPr="00FC3E1C">
        <w:rPr>
          <w:spacing w:val="-2"/>
        </w:rPr>
        <w:t>’</w:t>
      </w:r>
      <w:r w:rsidRPr="00FC3E1C">
        <w:rPr>
          <w:spacing w:val="-2"/>
        </w:rPr>
        <w:t>exercice biennal, axée sur des procédures d</w:t>
      </w:r>
      <w:r w:rsidR="00A20444" w:rsidRPr="00FC3E1C">
        <w:rPr>
          <w:spacing w:val="-2"/>
        </w:rPr>
        <w:t>’</w:t>
      </w:r>
      <w:r w:rsidRPr="00FC3E1C">
        <w:rPr>
          <w:spacing w:val="-2"/>
        </w:rPr>
        <w:t xml:space="preserve">assistance plus systématiques des logiciels, une meilleure appropriation des systèmes par les utilisateurs, un transfert des connaissances aux niveaux national et régional, et une plus grande contribution aux priorités en faveur du développement de systèmes de la part de la communauté des utilisateurs, tout en continuant de prendre en considération les besoins spécifiques et les capacités de chaque office. </w:t>
      </w:r>
      <w:r w:rsidR="0010442A" w:rsidRPr="00FC3E1C">
        <w:rPr>
          <w:spacing w:val="-2"/>
        </w:rPr>
        <w:t xml:space="preserve"> </w:t>
      </w:r>
      <w:r w:rsidRPr="00FC3E1C">
        <w:rPr>
          <w:spacing w:val="-2"/>
        </w:rPr>
        <w:t>L</w:t>
      </w:r>
      <w:r w:rsidR="00A20444" w:rsidRPr="00FC3E1C">
        <w:rPr>
          <w:spacing w:val="-2"/>
        </w:rPr>
        <w:t>’</w:t>
      </w:r>
      <w:r w:rsidRPr="00FC3E1C">
        <w:rPr>
          <w:spacing w:val="-2"/>
        </w:rPr>
        <w:t>une des principales améliorations de l</w:t>
      </w:r>
      <w:r w:rsidR="00A20444" w:rsidRPr="00FC3E1C">
        <w:rPr>
          <w:spacing w:val="-2"/>
        </w:rPr>
        <w:t>’</w:t>
      </w:r>
      <w:r w:rsidRPr="00FC3E1C">
        <w:rPr>
          <w:spacing w:val="-2"/>
        </w:rPr>
        <w:t>IPAS a été initiée en 2012 et a consisté à intégrer avec succès le système de gestion des documents électroniques de l</w:t>
      </w:r>
      <w:r w:rsidR="00A20444" w:rsidRPr="00FC3E1C">
        <w:rPr>
          <w:spacing w:val="-2"/>
        </w:rPr>
        <w:t>’</w:t>
      </w:r>
      <w:r w:rsidRPr="00FC3E1C">
        <w:rPr>
          <w:spacing w:val="-2"/>
        </w:rPr>
        <w:t>OMPI (</w:t>
      </w:r>
      <w:proofErr w:type="spellStart"/>
      <w:r w:rsidRPr="00FC3E1C">
        <w:rPr>
          <w:spacing w:val="-2"/>
        </w:rPr>
        <w:t>EDMS</w:t>
      </w:r>
      <w:proofErr w:type="spellEnd"/>
      <w:r w:rsidRPr="00FC3E1C">
        <w:rPr>
          <w:spacing w:val="-2"/>
        </w:rPr>
        <w:t>).</w:t>
      </w:r>
      <w:r w:rsidR="004F3E42" w:rsidRPr="00FC3E1C">
        <w:rPr>
          <w:spacing w:val="-2"/>
        </w:rPr>
        <w:t xml:space="preserve"> </w:t>
      </w:r>
      <w:r w:rsidR="0010442A" w:rsidRPr="00FC3E1C">
        <w:rPr>
          <w:spacing w:val="-2"/>
        </w:rPr>
        <w:t xml:space="preserve"> </w:t>
      </w:r>
      <w:r w:rsidRPr="00FC3E1C">
        <w:rPr>
          <w:spacing w:val="-2"/>
        </w:rPr>
        <w:t>Il convient également de noter les progrès majeurs réalisés avec la mise au point de la plate</w:t>
      </w:r>
      <w:r w:rsidR="002D6F2A" w:rsidRPr="00FC3E1C">
        <w:rPr>
          <w:spacing w:val="-2"/>
        </w:rPr>
        <w:noBreakHyphen/>
      </w:r>
      <w:r w:rsidRPr="00FC3E1C">
        <w:rPr>
          <w:spacing w:val="-2"/>
        </w:rPr>
        <w:t>forme WIPO CASE (Accès centralisé aux résultats des recherches et des examens) et de la plate</w:t>
      </w:r>
      <w:r w:rsidR="002D6F2A" w:rsidRPr="00FC3E1C">
        <w:rPr>
          <w:spacing w:val="-2"/>
        </w:rPr>
        <w:noBreakHyphen/>
      </w:r>
      <w:r w:rsidRPr="00FC3E1C">
        <w:rPr>
          <w:spacing w:val="-2"/>
        </w:rPr>
        <w:t>forme DAS (services d</w:t>
      </w:r>
      <w:r w:rsidR="00A20444" w:rsidRPr="00FC3E1C">
        <w:rPr>
          <w:spacing w:val="-2"/>
        </w:rPr>
        <w:t>’</w:t>
      </w:r>
      <w:r w:rsidRPr="00FC3E1C">
        <w:rPr>
          <w:spacing w:val="-2"/>
        </w:rPr>
        <w:t>accès numérique aux documents de priorité) même si le nombre des offices les utilisant et l</w:t>
      </w:r>
      <w:r w:rsidR="00A20444" w:rsidRPr="00FC3E1C">
        <w:rPr>
          <w:spacing w:val="-2"/>
        </w:rPr>
        <w:t>’</w:t>
      </w:r>
      <w:r w:rsidRPr="00FC3E1C">
        <w:rPr>
          <w:spacing w:val="-2"/>
        </w:rPr>
        <w:t>activité générale dans ce domaine restent relativement limités.</w:t>
      </w:r>
      <w:r w:rsidR="004F3E42" w:rsidRPr="00FC3E1C">
        <w:rPr>
          <w:spacing w:val="-2"/>
        </w:rPr>
        <w:t xml:space="preserve"> </w:t>
      </w:r>
      <w:r w:rsidR="0010442A" w:rsidRPr="00FC3E1C">
        <w:rPr>
          <w:spacing w:val="-2"/>
        </w:rPr>
        <w:t xml:space="preserve"> </w:t>
      </w:r>
      <w:r w:rsidRPr="00FC3E1C">
        <w:rPr>
          <w:spacing w:val="-2"/>
        </w:rPr>
        <w:t>Ces deux</w:t>
      </w:r>
      <w:r w:rsidR="0010442A" w:rsidRPr="00FC3E1C">
        <w:rPr>
          <w:spacing w:val="-2"/>
        </w:rPr>
        <w:t> </w:t>
      </w:r>
      <w:r w:rsidRPr="00FC3E1C">
        <w:rPr>
          <w:spacing w:val="-2"/>
        </w:rPr>
        <w:t>systèmes ont été actualisés au cours de l</w:t>
      </w:r>
      <w:r w:rsidR="00A20444" w:rsidRPr="00FC3E1C">
        <w:rPr>
          <w:spacing w:val="-2"/>
        </w:rPr>
        <w:t>’</w:t>
      </w:r>
      <w:r w:rsidRPr="00FC3E1C">
        <w:rPr>
          <w:spacing w:val="-2"/>
        </w:rPr>
        <w:t>année 2012.</w:t>
      </w:r>
    </w:p>
    <w:p w:rsidR="00D42474" w:rsidRDefault="00D42474" w:rsidP="001A5BF9">
      <w:pPr>
        <w:jc w:val="both"/>
      </w:pPr>
    </w:p>
    <w:p w:rsidR="00D42474" w:rsidRDefault="00D42474" w:rsidP="001A5BF9">
      <w:pPr>
        <w:jc w:val="both"/>
        <w:rPr>
          <w:i/>
          <w:iCs/>
        </w:rPr>
      </w:pPr>
    </w:p>
    <w:p w:rsidR="00D42474" w:rsidRDefault="00BB3F3E" w:rsidP="001126A2">
      <w:pPr>
        <w:keepNext/>
        <w:keepLines/>
        <w:jc w:val="center"/>
        <w:rPr>
          <w:b/>
          <w:iCs/>
        </w:rPr>
      </w:pPr>
      <w:r w:rsidRPr="00FC3E1C">
        <w:rPr>
          <w:b/>
        </w:rPr>
        <w:t>Objectif stratégique V : Source de références mondiale pour l</w:t>
      </w:r>
      <w:r w:rsidR="00A20444" w:rsidRPr="00FC3E1C">
        <w:rPr>
          <w:b/>
        </w:rPr>
        <w:t>’</w:t>
      </w:r>
      <w:r w:rsidRPr="00FC3E1C">
        <w:rPr>
          <w:b/>
        </w:rPr>
        <w:t>information</w:t>
      </w:r>
      <w:r w:rsidR="004F3E42" w:rsidRPr="00FC3E1C">
        <w:rPr>
          <w:b/>
        </w:rPr>
        <w:t xml:space="preserve"> </w:t>
      </w:r>
      <w:r w:rsidRPr="00FC3E1C">
        <w:rPr>
          <w:b/>
        </w:rPr>
        <w:t>et l</w:t>
      </w:r>
      <w:r w:rsidR="00A20444" w:rsidRPr="00FC3E1C">
        <w:rPr>
          <w:b/>
        </w:rPr>
        <w:t>’</w:t>
      </w:r>
      <w:r w:rsidRPr="00FC3E1C">
        <w:rPr>
          <w:b/>
        </w:rPr>
        <w:t xml:space="preserve">analyse </w:t>
      </w:r>
      <w:r w:rsidR="001126A2">
        <w:rPr>
          <w:b/>
        </w:rPr>
        <w:br/>
      </w:r>
      <w:r w:rsidRPr="00FC3E1C">
        <w:rPr>
          <w:b/>
        </w:rPr>
        <w:t>en matière de propriété intellectuelle</w:t>
      </w:r>
    </w:p>
    <w:p w:rsidR="00D42474" w:rsidRDefault="00D42474" w:rsidP="001126A2">
      <w:pPr>
        <w:keepNext/>
        <w:keepLines/>
        <w:jc w:val="both"/>
        <w:rPr>
          <w:i/>
          <w:iCs/>
        </w:rPr>
      </w:pPr>
    </w:p>
    <w:p w:rsidR="00D42474" w:rsidRDefault="00BB3F3E" w:rsidP="001126A2">
      <w:pPr>
        <w:keepNext/>
        <w:keepLines/>
        <w:jc w:val="center"/>
        <w:rPr>
          <w:b/>
          <w:sz w:val="18"/>
          <w:szCs w:val="18"/>
        </w:rPr>
      </w:pPr>
      <w:r w:rsidRPr="005C7CCE">
        <w:rPr>
          <w:b/>
          <w:sz w:val="18"/>
        </w:rPr>
        <w:t>Résumé des réalisations par résultat escompté</w:t>
      </w:r>
    </w:p>
    <w:p w:rsidR="00D42474" w:rsidRDefault="00D42474" w:rsidP="001126A2">
      <w:pPr>
        <w:keepNext/>
        <w:keepLines/>
        <w:jc w:val="center"/>
        <w:rPr>
          <w:b/>
          <w:sz w:val="18"/>
          <w:szCs w:val="18"/>
        </w:rPr>
      </w:pPr>
    </w:p>
    <w:p w:rsidR="00D42474" w:rsidRDefault="00D656BD" w:rsidP="001126A2">
      <w:pPr>
        <w:keepNext/>
        <w:keepLines/>
        <w:jc w:val="center"/>
        <w:rPr>
          <w:b/>
          <w:sz w:val="18"/>
          <w:szCs w:val="18"/>
        </w:rPr>
      </w:pPr>
      <w:r w:rsidRPr="005C7CCE">
        <w:rPr>
          <w:noProof/>
        </w:rPr>
        <w:drawing>
          <wp:inline distT="0" distB="0" distL="0" distR="0" wp14:anchorId="4F189070" wp14:editId="7C69FA8A">
            <wp:extent cx="5932805" cy="20485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2805" cy="2048510"/>
                    </a:xfrm>
                    <a:prstGeom prst="rect">
                      <a:avLst/>
                    </a:prstGeom>
                    <a:noFill/>
                    <a:ln>
                      <a:noFill/>
                    </a:ln>
                  </pic:spPr>
                </pic:pic>
              </a:graphicData>
            </a:graphic>
          </wp:inline>
        </w:drawing>
      </w:r>
    </w:p>
    <w:p w:rsidR="00D42474" w:rsidRDefault="00D42474" w:rsidP="001A5BF9">
      <w:pPr>
        <w:jc w:val="center"/>
        <w:rPr>
          <w:b/>
        </w:rPr>
      </w:pPr>
    </w:p>
    <w:p w:rsidR="00D42474" w:rsidRDefault="00BB3F3E" w:rsidP="001A5BF9">
      <w:pPr>
        <w:jc w:val="center"/>
        <w:rPr>
          <w:b/>
          <w:szCs w:val="20"/>
        </w:rPr>
      </w:pPr>
      <w:r w:rsidRPr="005C7CCE">
        <w:rPr>
          <w:b/>
        </w:rPr>
        <w:t>Tableau de bord de l</w:t>
      </w:r>
      <w:r w:rsidR="00A20444" w:rsidRPr="005C7CCE">
        <w:rPr>
          <w:b/>
        </w:rPr>
        <w:t>’</w:t>
      </w:r>
      <w:r w:rsidRPr="005C7CCE">
        <w:rPr>
          <w:b/>
        </w:rPr>
        <w:t>exécution du programme biennal</w:t>
      </w:r>
    </w:p>
    <w:p w:rsidR="00D42474" w:rsidRDefault="00D42474" w:rsidP="001A5BF9">
      <w:pPr>
        <w:rPr>
          <w:b/>
          <w:sz w:val="18"/>
          <w:szCs w:val="18"/>
        </w:rPr>
      </w:pPr>
    </w:p>
    <w:p w:rsidR="00D42474" w:rsidRDefault="00BB3F3E"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BB3F3E" w:rsidRPr="005C7CCE" w:rsidRDefault="00BB3F3E" w:rsidP="001A5BF9">
      <w:pPr>
        <w:jc w:val="center"/>
        <w:rPr>
          <w:b/>
          <w:sz w:val="18"/>
          <w:szCs w:val="18"/>
        </w:rPr>
      </w:pPr>
    </w:p>
    <w:tbl>
      <w:tblPr>
        <w:tblW w:w="0" w:type="auto"/>
        <w:tblInd w:w="98" w:type="dxa"/>
        <w:tblLook w:val="0000" w:firstRow="0" w:lastRow="0" w:firstColumn="0" w:lastColumn="0" w:noHBand="0" w:noVBand="0"/>
      </w:tblPr>
      <w:tblGrid>
        <w:gridCol w:w="3206"/>
        <w:gridCol w:w="3750"/>
        <w:gridCol w:w="1276"/>
        <w:gridCol w:w="1134"/>
      </w:tblGrid>
      <w:tr w:rsidR="00BB3F3E" w:rsidRPr="001126A2" w:rsidTr="00B6612B">
        <w:tc>
          <w:tcPr>
            <w:tcW w:w="3206" w:type="dxa"/>
            <w:tcBorders>
              <w:top w:val="single" w:sz="4" w:space="0" w:color="auto"/>
              <w:left w:val="single" w:sz="4" w:space="0" w:color="auto"/>
              <w:bottom w:val="single" w:sz="4" w:space="0" w:color="auto"/>
            </w:tcBorders>
            <w:shd w:val="clear" w:color="auto" w:fill="CCFFFF"/>
            <w:vAlign w:val="center"/>
          </w:tcPr>
          <w:p w:rsidR="00BB3F3E" w:rsidRPr="001126A2" w:rsidRDefault="00BB3F3E" w:rsidP="001A5BF9">
            <w:pPr>
              <w:spacing w:before="120" w:after="120"/>
              <w:jc w:val="center"/>
              <w:rPr>
                <w:rFonts w:cs="Arial"/>
                <w:b/>
                <w:bCs/>
                <w:sz w:val="14"/>
                <w:szCs w:val="14"/>
              </w:rPr>
            </w:pPr>
            <w:r w:rsidRPr="001126A2">
              <w:rPr>
                <w:b/>
                <w:sz w:val="14"/>
              </w:rPr>
              <w:t>Résultats escomptés</w:t>
            </w:r>
          </w:p>
        </w:tc>
        <w:tc>
          <w:tcPr>
            <w:tcW w:w="3750" w:type="dxa"/>
            <w:tcBorders>
              <w:top w:val="single" w:sz="4" w:space="0" w:color="auto"/>
              <w:bottom w:val="single" w:sz="4" w:space="0" w:color="auto"/>
            </w:tcBorders>
            <w:shd w:val="clear" w:color="auto" w:fill="CCFFFF"/>
            <w:vAlign w:val="center"/>
          </w:tcPr>
          <w:p w:rsidR="00BB3F3E" w:rsidRPr="001126A2" w:rsidRDefault="00BB3F3E" w:rsidP="001A5BF9">
            <w:pPr>
              <w:spacing w:before="120" w:after="120"/>
              <w:jc w:val="center"/>
              <w:rPr>
                <w:rFonts w:cs="Arial"/>
                <w:b/>
                <w:bCs/>
                <w:sz w:val="14"/>
                <w:szCs w:val="14"/>
              </w:rPr>
            </w:pPr>
            <w:r w:rsidRPr="001126A2">
              <w:rPr>
                <w:b/>
                <w:sz w:val="14"/>
              </w:rPr>
              <w:t>Indicateurs d</w:t>
            </w:r>
            <w:r w:rsidR="00A20444" w:rsidRPr="001126A2">
              <w:rPr>
                <w:b/>
                <w:sz w:val="14"/>
              </w:rPr>
              <w:t>’</w:t>
            </w:r>
            <w:r w:rsidRPr="001126A2">
              <w:rPr>
                <w:b/>
                <w:sz w:val="14"/>
              </w:rPr>
              <w:t>exécution</w:t>
            </w:r>
          </w:p>
        </w:tc>
        <w:tc>
          <w:tcPr>
            <w:tcW w:w="1276" w:type="dxa"/>
            <w:tcBorders>
              <w:top w:val="single" w:sz="4" w:space="0" w:color="auto"/>
              <w:bottom w:val="single" w:sz="4" w:space="0" w:color="auto"/>
            </w:tcBorders>
            <w:shd w:val="clear" w:color="auto" w:fill="CCFFFF"/>
            <w:vAlign w:val="center"/>
          </w:tcPr>
          <w:p w:rsidR="00BB3F3E" w:rsidRPr="001126A2" w:rsidRDefault="00BB3F3E" w:rsidP="001A5BF9">
            <w:pPr>
              <w:spacing w:before="120" w:after="120"/>
              <w:jc w:val="center"/>
              <w:rPr>
                <w:rFonts w:cs="Arial"/>
                <w:b/>
                <w:bCs/>
                <w:sz w:val="14"/>
                <w:szCs w:val="14"/>
              </w:rPr>
            </w:pPr>
            <w:r w:rsidRPr="001126A2">
              <w:rPr>
                <w:b/>
                <w:sz w:val="14"/>
              </w:rPr>
              <w:t>Programme(s) concerné(s)</w:t>
            </w:r>
          </w:p>
        </w:tc>
        <w:tc>
          <w:tcPr>
            <w:tcW w:w="1134" w:type="dxa"/>
            <w:tcBorders>
              <w:top w:val="single" w:sz="4" w:space="0" w:color="auto"/>
              <w:left w:val="nil"/>
              <w:bottom w:val="single" w:sz="4" w:space="0" w:color="auto"/>
              <w:right w:val="single" w:sz="4" w:space="0" w:color="auto"/>
            </w:tcBorders>
            <w:shd w:val="clear" w:color="auto" w:fill="CCFFFF"/>
            <w:vAlign w:val="center"/>
          </w:tcPr>
          <w:p w:rsidR="00BB3F3E" w:rsidRPr="001126A2" w:rsidRDefault="00BB3F3E" w:rsidP="001A5BF9">
            <w:pPr>
              <w:spacing w:before="120" w:after="120"/>
              <w:jc w:val="center"/>
              <w:rPr>
                <w:rFonts w:cs="Arial"/>
                <w:b/>
                <w:bCs/>
                <w:sz w:val="14"/>
                <w:szCs w:val="14"/>
              </w:rPr>
            </w:pPr>
            <w:r w:rsidRPr="001126A2">
              <w:rPr>
                <w:b/>
                <w:sz w:val="14"/>
              </w:rPr>
              <w:t>Code de couleurs</w:t>
            </w:r>
          </w:p>
        </w:tc>
      </w:tr>
      <w:tr w:rsidR="00BB3F3E" w:rsidRPr="005C7CCE" w:rsidTr="00B6612B">
        <w:tc>
          <w:tcPr>
            <w:tcW w:w="3206" w:type="dxa"/>
            <w:vMerge w:val="restart"/>
            <w:tcBorders>
              <w:top w:val="single" w:sz="4" w:space="0" w:color="auto"/>
              <w:left w:val="single" w:sz="4" w:space="0" w:color="auto"/>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Utilisation accrue de l</w:t>
            </w:r>
            <w:r w:rsidR="00A20444" w:rsidRPr="001126A2">
              <w:rPr>
                <w:sz w:val="14"/>
              </w:rPr>
              <w:t>’</w:t>
            </w:r>
            <w:r w:rsidRPr="001126A2">
              <w:rPr>
                <w:sz w:val="14"/>
              </w:rPr>
              <w:t>information statistique de l</w:t>
            </w:r>
            <w:r w:rsidR="00A20444" w:rsidRPr="001126A2">
              <w:rPr>
                <w:sz w:val="14"/>
              </w:rPr>
              <w:t>’</w:t>
            </w:r>
            <w:r w:rsidRPr="001126A2">
              <w:rPr>
                <w:sz w:val="14"/>
              </w:rPr>
              <w:t>OMPI concernant le fonctionnement du système international de la propriété intellectuelle</w:t>
            </w:r>
          </w:p>
        </w:tc>
        <w:tc>
          <w:tcPr>
            <w:tcW w:w="3750" w:type="dxa"/>
            <w:tcBorders>
              <w:top w:val="single" w:sz="4" w:space="0" w:color="auto"/>
              <w:left w:val="nil"/>
              <w:bottom w:val="nil"/>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Nombre de téléchargements de deux</w:t>
            </w:r>
            <w:r w:rsidR="0010442A" w:rsidRPr="001126A2">
              <w:rPr>
                <w:sz w:val="14"/>
              </w:rPr>
              <w:t> </w:t>
            </w:r>
            <w:r w:rsidRPr="001126A2">
              <w:rPr>
                <w:sz w:val="14"/>
              </w:rPr>
              <w:t>principaux rapports statistiques</w:t>
            </w:r>
          </w:p>
        </w:tc>
        <w:tc>
          <w:tcPr>
            <w:tcW w:w="1276" w:type="dxa"/>
            <w:tcBorders>
              <w:top w:val="single" w:sz="4" w:space="0" w:color="auto"/>
              <w:left w:val="nil"/>
              <w:bottom w:val="nil"/>
            </w:tcBorders>
            <w:shd w:val="clear" w:color="auto" w:fill="auto"/>
            <w:tcMar>
              <w:top w:w="113" w:type="dxa"/>
            </w:tcMar>
          </w:tcPr>
          <w:p w:rsidR="00BB3F3E" w:rsidRPr="001126A2" w:rsidRDefault="00BB3F3E" w:rsidP="001A5BF9">
            <w:pPr>
              <w:spacing w:before="80"/>
              <w:jc w:val="center"/>
              <w:rPr>
                <w:rFonts w:cs="Arial"/>
                <w:sz w:val="14"/>
                <w:szCs w:val="14"/>
              </w:rPr>
            </w:pPr>
            <w:r w:rsidRPr="001126A2">
              <w:rPr>
                <w:sz w:val="14"/>
              </w:rPr>
              <w:t>Programme 16</w:t>
            </w:r>
          </w:p>
        </w:tc>
        <w:tc>
          <w:tcPr>
            <w:tcW w:w="1134" w:type="dxa"/>
            <w:tcBorders>
              <w:top w:val="single" w:sz="4" w:space="0" w:color="auto"/>
              <w:left w:val="nil"/>
              <w:bottom w:val="nil"/>
              <w:right w:val="single" w:sz="4" w:space="0" w:color="auto"/>
            </w:tcBorders>
          </w:tcPr>
          <w:p w:rsidR="00BB3F3E" w:rsidRPr="005C7CCE" w:rsidRDefault="00BB3F3E" w:rsidP="001A5BF9">
            <w:pPr>
              <w:jc w:val="center"/>
              <w:rPr>
                <w:rFonts w:cs="Arial"/>
                <w:color w:val="A6A6A6"/>
                <w:szCs w:val="22"/>
              </w:rPr>
            </w:pPr>
            <w:r w:rsidRPr="005C7CCE">
              <w:rPr>
                <w:color w:val="A6A6A6"/>
              </w:rPr>
              <w:sym w:font="Wingdings" w:char="F06C"/>
            </w:r>
          </w:p>
        </w:tc>
      </w:tr>
      <w:tr w:rsidR="00BB3F3E" w:rsidRPr="005C7CCE" w:rsidTr="00B6612B">
        <w:tc>
          <w:tcPr>
            <w:tcW w:w="3206" w:type="dxa"/>
            <w:vMerge/>
            <w:tcBorders>
              <w:left w:val="single" w:sz="4" w:space="0" w:color="auto"/>
              <w:bottom w:val="nil"/>
              <w:right w:val="nil"/>
            </w:tcBorders>
            <w:shd w:val="clear" w:color="auto" w:fill="auto"/>
            <w:tcMar>
              <w:top w:w="113" w:type="dxa"/>
            </w:tcMar>
          </w:tcPr>
          <w:p w:rsidR="00BB3F3E" w:rsidRPr="001126A2" w:rsidRDefault="00BB3F3E" w:rsidP="001A5BF9">
            <w:pPr>
              <w:spacing w:before="80"/>
              <w:rPr>
                <w:rFonts w:cs="Arial"/>
                <w:sz w:val="14"/>
                <w:szCs w:val="14"/>
              </w:rPr>
            </w:pPr>
          </w:p>
        </w:tc>
        <w:tc>
          <w:tcPr>
            <w:tcW w:w="3750" w:type="dxa"/>
            <w:tcBorders>
              <w:left w:val="nil"/>
              <w:bottom w:val="nil"/>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Nombre de téléchargements de données</w:t>
            </w:r>
          </w:p>
        </w:tc>
        <w:tc>
          <w:tcPr>
            <w:tcW w:w="1276" w:type="dxa"/>
            <w:tcBorders>
              <w:left w:val="nil"/>
              <w:bottom w:val="nil"/>
            </w:tcBorders>
            <w:shd w:val="clear" w:color="auto" w:fill="auto"/>
            <w:tcMar>
              <w:top w:w="113" w:type="dxa"/>
            </w:tcMar>
          </w:tcPr>
          <w:p w:rsidR="00BB3F3E" w:rsidRPr="001126A2" w:rsidRDefault="00BB3F3E" w:rsidP="001A5BF9">
            <w:pPr>
              <w:spacing w:before="80"/>
              <w:jc w:val="center"/>
              <w:rPr>
                <w:rFonts w:cs="Arial"/>
                <w:sz w:val="14"/>
                <w:szCs w:val="14"/>
              </w:rPr>
            </w:pPr>
            <w:r w:rsidRPr="001126A2">
              <w:rPr>
                <w:sz w:val="14"/>
              </w:rPr>
              <w:t>Programme 16</w:t>
            </w:r>
          </w:p>
        </w:tc>
        <w:tc>
          <w:tcPr>
            <w:tcW w:w="1134" w:type="dxa"/>
            <w:tcBorders>
              <w:left w:val="nil"/>
              <w:bottom w:val="nil"/>
              <w:right w:val="single" w:sz="4" w:space="0" w:color="auto"/>
            </w:tcBorders>
          </w:tcPr>
          <w:p w:rsidR="00BB3F3E" w:rsidRPr="005C7CCE" w:rsidRDefault="00BB3F3E" w:rsidP="001A5BF9">
            <w:pPr>
              <w:jc w:val="center"/>
              <w:rPr>
                <w:color w:val="A6A6A6"/>
                <w:szCs w:val="22"/>
              </w:rPr>
            </w:pPr>
            <w:r w:rsidRPr="005C7CCE">
              <w:rPr>
                <w:color w:val="A6A6A6"/>
              </w:rPr>
              <w:sym w:font="Wingdings" w:char="F06C"/>
            </w:r>
          </w:p>
        </w:tc>
      </w:tr>
      <w:tr w:rsidR="00BB3F3E" w:rsidRPr="005C7CCE" w:rsidTr="00B6612B">
        <w:tc>
          <w:tcPr>
            <w:tcW w:w="3206" w:type="dxa"/>
            <w:vMerge w:val="restart"/>
            <w:tcBorders>
              <w:top w:val="nil"/>
              <w:left w:val="single" w:sz="4" w:space="0" w:color="auto"/>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Utilisation d</w:t>
            </w:r>
            <w:r w:rsidR="00A20444" w:rsidRPr="001126A2">
              <w:rPr>
                <w:sz w:val="14"/>
              </w:rPr>
              <w:t>’</w:t>
            </w:r>
            <w:r w:rsidRPr="001126A2">
              <w:rPr>
                <w:sz w:val="14"/>
              </w:rPr>
              <w:t>une analyse économique de l</w:t>
            </w:r>
            <w:r w:rsidR="00A20444" w:rsidRPr="001126A2">
              <w:rPr>
                <w:sz w:val="14"/>
              </w:rPr>
              <w:t>’</w:t>
            </w:r>
            <w:r w:rsidRPr="001126A2">
              <w:rPr>
                <w:sz w:val="14"/>
              </w:rPr>
              <w:t>OMPI pour l</w:t>
            </w:r>
            <w:r w:rsidR="00A20444" w:rsidRPr="001126A2">
              <w:rPr>
                <w:sz w:val="14"/>
              </w:rPr>
              <w:t>’</w:t>
            </w:r>
            <w:r w:rsidRPr="001126A2">
              <w:rPr>
                <w:sz w:val="14"/>
              </w:rPr>
              <w:t>élaboration d</w:t>
            </w:r>
            <w:r w:rsidR="00A20444" w:rsidRPr="001126A2">
              <w:rPr>
                <w:sz w:val="14"/>
              </w:rPr>
              <w:t>’</w:t>
            </w:r>
            <w:r w:rsidRPr="001126A2">
              <w:rPr>
                <w:sz w:val="14"/>
              </w:rPr>
              <w:t>une politique de propriété intellectuelle</w:t>
            </w:r>
          </w:p>
        </w:tc>
        <w:tc>
          <w:tcPr>
            <w:tcW w:w="3750" w:type="dxa"/>
            <w:tcBorders>
              <w:top w:val="nil"/>
              <w:left w:val="nil"/>
              <w:bottom w:val="nil"/>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Nombre de citations dans les publications économiques et les rapports d</w:t>
            </w:r>
            <w:r w:rsidR="00A20444" w:rsidRPr="001126A2">
              <w:rPr>
                <w:sz w:val="14"/>
              </w:rPr>
              <w:t>’</w:t>
            </w:r>
            <w:r w:rsidRPr="001126A2">
              <w:rPr>
                <w:sz w:val="14"/>
              </w:rPr>
              <w:t>orientation des pouvoirs publics</w:t>
            </w:r>
          </w:p>
        </w:tc>
        <w:tc>
          <w:tcPr>
            <w:tcW w:w="1276" w:type="dxa"/>
            <w:tcBorders>
              <w:top w:val="nil"/>
              <w:left w:val="nil"/>
              <w:bottom w:val="nil"/>
            </w:tcBorders>
            <w:shd w:val="clear" w:color="auto" w:fill="auto"/>
            <w:tcMar>
              <w:top w:w="113" w:type="dxa"/>
            </w:tcMar>
          </w:tcPr>
          <w:p w:rsidR="00BB3F3E" w:rsidRPr="001126A2" w:rsidRDefault="00BB3F3E" w:rsidP="001A5BF9">
            <w:pPr>
              <w:spacing w:before="80"/>
              <w:jc w:val="center"/>
              <w:rPr>
                <w:rFonts w:cs="Arial"/>
                <w:sz w:val="14"/>
                <w:szCs w:val="14"/>
              </w:rPr>
            </w:pPr>
            <w:r w:rsidRPr="001126A2">
              <w:rPr>
                <w:sz w:val="14"/>
              </w:rPr>
              <w:t>Programme 16</w:t>
            </w:r>
          </w:p>
        </w:tc>
        <w:tc>
          <w:tcPr>
            <w:tcW w:w="1134" w:type="dxa"/>
            <w:tcBorders>
              <w:top w:val="nil"/>
              <w:left w:val="nil"/>
              <w:bottom w:val="nil"/>
              <w:right w:val="single" w:sz="4" w:space="0" w:color="auto"/>
            </w:tcBorders>
          </w:tcPr>
          <w:p w:rsidR="00BB3F3E" w:rsidRPr="005C7CCE" w:rsidRDefault="00BB3F3E" w:rsidP="001A5BF9">
            <w:pPr>
              <w:jc w:val="center"/>
              <w:rPr>
                <w:color w:val="A6A6A6"/>
                <w:szCs w:val="22"/>
              </w:rPr>
            </w:pPr>
            <w:r w:rsidRPr="005C7CCE">
              <w:rPr>
                <w:color w:val="A6A6A6"/>
              </w:rPr>
              <w:sym w:font="Wingdings" w:char="F06C"/>
            </w:r>
          </w:p>
        </w:tc>
      </w:tr>
      <w:tr w:rsidR="00BB3F3E" w:rsidRPr="005C7CCE" w:rsidTr="00B6612B">
        <w:tc>
          <w:tcPr>
            <w:tcW w:w="3206" w:type="dxa"/>
            <w:vMerge/>
            <w:tcBorders>
              <w:left w:val="single" w:sz="4" w:space="0" w:color="auto"/>
              <w:bottom w:val="nil"/>
              <w:right w:val="nil"/>
            </w:tcBorders>
            <w:shd w:val="clear" w:color="auto" w:fill="auto"/>
            <w:tcMar>
              <w:top w:w="113" w:type="dxa"/>
            </w:tcMar>
          </w:tcPr>
          <w:p w:rsidR="00BB3F3E" w:rsidRPr="001126A2" w:rsidRDefault="00BB3F3E" w:rsidP="001A5BF9">
            <w:pPr>
              <w:spacing w:before="80"/>
              <w:rPr>
                <w:rFonts w:cs="Arial"/>
                <w:sz w:val="14"/>
                <w:szCs w:val="14"/>
              </w:rPr>
            </w:pPr>
          </w:p>
        </w:tc>
        <w:tc>
          <w:tcPr>
            <w:tcW w:w="3750" w:type="dxa"/>
            <w:tcBorders>
              <w:top w:val="nil"/>
              <w:left w:val="nil"/>
              <w:bottom w:val="nil"/>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Nombre de pays en développement jugeant utiles les études économiques de l</w:t>
            </w:r>
            <w:r w:rsidR="00A20444" w:rsidRPr="001126A2">
              <w:rPr>
                <w:sz w:val="14"/>
              </w:rPr>
              <w:t>’</w:t>
            </w:r>
            <w:r w:rsidRPr="001126A2">
              <w:rPr>
                <w:sz w:val="14"/>
              </w:rPr>
              <w:t>OMPI et degré d</w:t>
            </w:r>
            <w:r w:rsidR="00A20444" w:rsidRPr="001126A2">
              <w:rPr>
                <w:sz w:val="14"/>
              </w:rPr>
              <w:t>’</w:t>
            </w:r>
            <w:r w:rsidRPr="001126A2">
              <w:rPr>
                <w:sz w:val="14"/>
              </w:rPr>
              <w:t>utilité</w:t>
            </w:r>
          </w:p>
        </w:tc>
        <w:tc>
          <w:tcPr>
            <w:tcW w:w="1276" w:type="dxa"/>
            <w:tcBorders>
              <w:top w:val="nil"/>
              <w:left w:val="nil"/>
              <w:bottom w:val="nil"/>
            </w:tcBorders>
            <w:shd w:val="clear" w:color="auto" w:fill="auto"/>
            <w:tcMar>
              <w:top w:w="113" w:type="dxa"/>
            </w:tcMar>
          </w:tcPr>
          <w:p w:rsidR="00BB3F3E" w:rsidRPr="001126A2" w:rsidRDefault="00BB3F3E" w:rsidP="001A5BF9">
            <w:pPr>
              <w:spacing w:before="80"/>
              <w:jc w:val="center"/>
              <w:rPr>
                <w:rFonts w:cs="Arial"/>
                <w:sz w:val="14"/>
                <w:szCs w:val="14"/>
              </w:rPr>
            </w:pPr>
            <w:r w:rsidRPr="001126A2">
              <w:rPr>
                <w:sz w:val="14"/>
              </w:rPr>
              <w:t>Programme 16</w:t>
            </w:r>
          </w:p>
        </w:tc>
        <w:tc>
          <w:tcPr>
            <w:tcW w:w="1134" w:type="dxa"/>
            <w:tcBorders>
              <w:top w:val="nil"/>
              <w:left w:val="nil"/>
              <w:bottom w:val="nil"/>
              <w:right w:val="single" w:sz="4" w:space="0" w:color="auto"/>
            </w:tcBorders>
          </w:tcPr>
          <w:p w:rsidR="00BB3F3E" w:rsidRPr="005C7CCE" w:rsidRDefault="00BB3F3E" w:rsidP="001A5BF9">
            <w:pPr>
              <w:jc w:val="center"/>
              <w:rPr>
                <w:color w:val="A6A6A6"/>
                <w:szCs w:val="22"/>
              </w:rPr>
            </w:pPr>
            <w:r w:rsidRPr="005C7CCE">
              <w:rPr>
                <w:color w:val="A6A6A6"/>
              </w:rPr>
              <w:sym w:font="Wingdings" w:char="F06C"/>
            </w:r>
          </w:p>
        </w:tc>
      </w:tr>
      <w:tr w:rsidR="00BB3F3E" w:rsidRPr="005C7CCE" w:rsidTr="00B6612B">
        <w:tc>
          <w:tcPr>
            <w:tcW w:w="3206" w:type="dxa"/>
            <w:tcBorders>
              <w:top w:val="nil"/>
              <w:left w:val="single" w:sz="4" w:space="0" w:color="auto"/>
              <w:bottom w:val="single" w:sz="4" w:space="0" w:color="auto"/>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Accès amélioré à l</w:t>
            </w:r>
            <w:r w:rsidR="00A20444" w:rsidRPr="001126A2">
              <w:rPr>
                <w:sz w:val="14"/>
              </w:rPr>
              <w:t>’</w:t>
            </w:r>
            <w:r w:rsidRPr="001126A2">
              <w:rPr>
                <w:sz w:val="14"/>
              </w:rPr>
              <w:t>information juridique en matière de propriété intellectuelle et utilisation améliorée de celle</w:t>
            </w:r>
            <w:r w:rsidR="002D6F2A" w:rsidRPr="001126A2">
              <w:rPr>
                <w:sz w:val="14"/>
              </w:rPr>
              <w:noBreakHyphen/>
            </w:r>
            <w:r w:rsidRPr="001126A2">
              <w:rPr>
                <w:sz w:val="14"/>
              </w:rPr>
              <w:t>ci</w:t>
            </w:r>
          </w:p>
        </w:tc>
        <w:tc>
          <w:tcPr>
            <w:tcW w:w="3750" w:type="dxa"/>
            <w:tcBorders>
              <w:top w:val="nil"/>
              <w:left w:val="nil"/>
              <w:bottom w:val="single" w:sz="4" w:space="0" w:color="auto"/>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 xml:space="preserve">Traitement accru dans la base de données WIPO </w:t>
            </w:r>
            <w:proofErr w:type="spellStart"/>
            <w:r w:rsidRPr="001126A2">
              <w:rPr>
                <w:sz w:val="14"/>
              </w:rPr>
              <w:t>Lex</w:t>
            </w:r>
            <w:proofErr w:type="spellEnd"/>
            <w:r w:rsidRPr="001126A2">
              <w:rPr>
                <w:sz w:val="14"/>
              </w:rPr>
              <w:t xml:space="preserve"> d</w:t>
            </w:r>
            <w:r w:rsidR="00A20444" w:rsidRPr="001126A2">
              <w:rPr>
                <w:sz w:val="14"/>
              </w:rPr>
              <w:t>’</w:t>
            </w:r>
            <w:r w:rsidRPr="001126A2">
              <w:rPr>
                <w:sz w:val="14"/>
              </w:rPr>
              <w:t>informations juridiques en rapport avec la propriété intellectuelle</w:t>
            </w:r>
          </w:p>
        </w:tc>
        <w:tc>
          <w:tcPr>
            <w:tcW w:w="1276" w:type="dxa"/>
            <w:tcBorders>
              <w:top w:val="nil"/>
              <w:left w:val="nil"/>
              <w:bottom w:val="single" w:sz="4" w:space="0" w:color="auto"/>
            </w:tcBorders>
            <w:shd w:val="clear" w:color="auto" w:fill="auto"/>
            <w:tcMar>
              <w:top w:w="113" w:type="dxa"/>
            </w:tcMar>
          </w:tcPr>
          <w:p w:rsidR="00BB3F3E" w:rsidRPr="001126A2" w:rsidRDefault="00BB3F3E" w:rsidP="001A5BF9">
            <w:pPr>
              <w:spacing w:before="80"/>
              <w:jc w:val="center"/>
              <w:rPr>
                <w:rFonts w:cs="Arial"/>
                <w:sz w:val="14"/>
                <w:szCs w:val="14"/>
              </w:rPr>
            </w:pPr>
            <w:r w:rsidRPr="001126A2">
              <w:rPr>
                <w:sz w:val="14"/>
              </w:rPr>
              <w:t>Programme 21</w:t>
            </w:r>
          </w:p>
        </w:tc>
        <w:tc>
          <w:tcPr>
            <w:tcW w:w="1134" w:type="dxa"/>
            <w:tcBorders>
              <w:top w:val="nil"/>
              <w:left w:val="nil"/>
              <w:bottom w:val="single" w:sz="4" w:space="0" w:color="auto"/>
              <w:right w:val="single" w:sz="4" w:space="0" w:color="auto"/>
            </w:tcBorders>
          </w:tcPr>
          <w:p w:rsidR="00BB3F3E" w:rsidRPr="005C7CCE" w:rsidRDefault="00BB3F3E" w:rsidP="001A5BF9">
            <w:pPr>
              <w:jc w:val="center"/>
              <w:rPr>
                <w:rFonts w:cs="Arial"/>
                <w:szCs w:val="22"/>
              </w:rPr>
            </w:pPr>
            <w:r w:rsidRPr="005C7CCE">
              <w:rPr>
                <w:color w:val="008000"/>
              </w:rPr>
              <w:sym w:font="Wingdings" w:char="F06C"/>
            </w:r>
          </w:p>
        </w:tc>
      </w:tr>
    </w:tbl>
    <w:p w:rsidR="00D42474" w:rsidRDefault="00D42474" w:rsidP="001A5BF9">
      <w:pPr>
        <w:jc w:val="both"/>
        <w:rPr>
          <w:i/>
          <w:iCs/>
        </w:rPr>
      </w:pPr>
    </w:p>
    <w:p w:rsidR="00D42474" w:rsidRDefault="00D42474" w:rsidP="001A5BF9">
      <w:pPr>
        <w:jc w:val="both"/>
        <w:rPr>
          <w:i/>
          <w:iCs/>
        </w:rPr>
      </w:pPr>
    </w:p>
    <w:p w:rsidR="00D42474" w:rsidRDefault="00BB3F3E" w:rsidP="001A5BF9">
      <w:pPr>
        <w:jc w:val="both"/>
      </w:pPr>
      <w:r w:rsidRPr="005C7CCE">
        <w:t>Dans le cadre de cet objectif stratégique, l</w:t>
      </w:r>
      <w:r w:rsidR="00A20444" w:rsidRPr="005C7CCE">
        <w:t>’</w:t>
      </w:r>
      <w:r w:rsidRPr="005C7CCE">
        <w:t>exercice biennal a été marqué par la rédaction d</w:t>
      </w:r>
      <w:r w:rsidR="00A20444" w:rsidRPr="005C7CCE">
        <w:t>’</w:t>
      </w:r>
      <w:r w:rsidRPr="005C7CCE">
        <w:t>un rapport élargi sur les indicateurs mondiaux relatifs à la propriété intellectuelle qui fournissait, pour la première fois, des informations relatives aux procédures accélérées d</w:t>
      </w:r>
      <w:r w:rsidR="00A20444" w:rsidRPr="005C7CCE">
        <w:t>’</w:t>
      </w:r>
      <w:r w:rsidRPr="005C7CCE">
        <w:t>examen des demandes de brevet et aux dépôts concernant les obtentions végétales;</w:t>
      </w:r>
      <w:r w:rsidR="004F3E42" w:rsidRPr="005C7CCE">
        <w:t xml:space="preserve"> </w:t>
      </w:r>
      <w:r w:rsidR="0010442A" w:rsidRPr="005C7CCE">
        <w:t xml:space="preserve"> </w:t>
      </w:r>
      <w:r w:rsidRPr="005C7CCE">
        <w:t>la publication du second rapport mondial sur la propriété intellectuelle sur le rôle des marques dans l</w:t>
      </w:r>
      <w:r w:rsidR="00A20444" w:rsidRPr="005C7CCE">
        <w:t>’</w:t>
      </w:r>
      <w:r w:rsidRPr="005C7CCE">
        <w:t>économie mondiale;</w:t>
      </w:r>
      <w:r w:rsidR="004F3E42" w:rsidRPr="005C7CCE">
        <w:t xml:space="preserve"> </w:t>
      </w:r>
      <w:r w:rsidR="0010442A" w:rsidRPr="005C7CCE">
        <w:t xml:space="preserve"> </w:t>
      </w:r>
      <w:r w:rsidRPr="005C7CCE">
        <w:t>et la création d</w:t>
      </w:r>
      <w:r w:rsidR="00A20444" w:rsidRPr="005C7CCE">
        <w:t>’</w:t>
      </w:r>
      <w:r w:rsidRPr="005C7CCE">
        <w:t>un nouveau centre de données statistiques de propriété intellectuelle de l</w:t>
      </w:r>
      <w:r w:rsidR="00A20444" w:rsidRPr="005C7CCE">
        <w:t>’</w:t>
      </w:r>
      <w:r w:rsidRPr="005C7CCE">
        <w:t>OMPI.</w:t>
      </w:r>
      <w:r w:rsidR="0010442A" w:rsidRPr="005C7CCE">
        <w:t xml:space="preserve"> </w:t>
      </w:r>
      <w:r w:rsidRPr="005C7CCE">
        <w:t xml:space="preserve"> Ces produits phares ont donné lieu à un grand nombre d</w:t>
      </w:r>
      <w:r w:rsidR="00A20444" w:rsidRPr="005C7CCE">
        <w:t>’</w:t>
      </w:r>
      <w:r w:rsidRPr="005C7CCE">
        <w:t>articles et suscité l</w:t>
      </w:r>
      <w:r w:rsidR="00A20444" w:rsidRPr="005C7CCE">
        <w:t>’</w:t>
      </w:r>
      <w:r w:rsidRPr="005C7CCE">
        <w:t xml:space="preserve">intérêt des décideurs et des milieux universitaires. </w:t>
      </w:r>
      <w:r w:rsidR="0010442A" w:rsidRPr="005C7CCE">
        <w:t xml:space="preserve"> </w:t>
      </w:r>
      <w:r w:rsidRPr="005C7CCE">
        <w:t>En outre, de nouveaux rapports statistiques relatifs aux systèmes de La Haye et de Madrid ont été élaborés et viennent compléter les outils de reddition de compte de longue date en matière de statistiques de l</w:t>
      </w:r>
      <w:r w:rsidR="00A20444" w:rsidRPr="005C7CCE">
        <w:t>’</w:t>
      </w:r>
      <w:r w:rsidRPr="005C7CCE">
        <w:t xml:space="preserve">OMPI, en particulier les statistiques de propriété intellectuelle par pays, les indicateurs mondiaux relatifs à la propriété intellectuelle, les faits et chiffres de propriété intellectuelle ainsi que les rapports du PCT. </w:t>
      </w:r>
      <w:r w:rsidR="0010442A" w:rsidRPr="005C7CCE">
        <w:t xml:space="preserve"> </w:t>
      </w:r>
      <w:r w:rsidRPr="005C7CCE">
        <w:t>En outre, l</w:t>
      </w:r>
      <w:r w:rsidR="00A20444" w:rsidRPr="005C7CCE">
        <w:t>’</w:t>
      </w:r>
      <w:r w:rsidRPr="005C7CCE">
        <w:t>OMPI a assumé le rôle de coéditeur, avec l</w:t>
      </w:r>
      <w:r w:rsidR="00A20444" w:rsidRPr="005C7CCE">
        <w:t>’</w:t>
      </w:r>
      <w:proofErr w:type="spellStart"/>
      <w:r w:rsidRPr="005C7CCE">
        <w:t>INSEAD</w:t>
      </w:r>
      <w:proofErr w:type="spellEnd"/>
      <w:r w:rsidRPr="005C7CCE">
        <w:t xml:space="preserve"> et l</w:t>
      </w:r>
      <w:r w:rsidR="00A20444" w:rsidRPr="005C7CCE">
        <w:t>’</w:t>
      </w:r>
      <w:r w:rsidRPr="005C7CCE">
        <w:t xml:space="preserve">Université </w:t>
      </w:r>
      <w:proofErr w:type="spellStart"/>
      <w:r w:rsidRPr="005C7CCE">
        <w:t>Cornell</w:t>
      </w:r>
      <w:proofErr w:type="spellEnd"/>
      <w:r w:rsidRPr="005C7CCE">
        <w:t>, de l</w:t>
      </w:r>
      <w:r w:rsidR="00A20444" w:rsidRPr="005C7CCE">
        <w:t>’</w:t>
      </w:r>
      <w:r w:rsidRPr="005C7CCE">
        <w:t>Indice mondial de l</w:t>
      </w:r>
      <w:r w:rsidR="00A20444" w:rsidRPr="005C7CCE">
        <w:t>’</w:t>
      </w:r>
      <w:r w:rsidRPr="005C7CCE">
        <w:t xml:space="preserve">innovation. </w:t>
      </w:r>
      <w:r w:rsidR="0010442A" w:rsidRPr="005C7CCE">
        <w:t xml:space="preserve"> </w:t>
      </w:r>
      <w:r w:rsidRPr="005C7CCE">
        <w:t>Le lancement annuel de l</w:t>
      </w:r>
      <w:r w:rsidR="00A20444" w:rsidRPr="005C7CCE">
        <w:t>’</w:t>
      </w:r>
      <w:r w:rsidRPr="005C7CCE">
        <w:t>Indice mondial de l</w:t>
      </w:r>
      <w:r w:rsidR="00A20444" w:rsidRPr="005C7CCE">
        <w:t>’</w:t>
      </w:r>
      <w:r w:rsidRPr="005C7CCE">
        <w:t>innovation (</w:t>
      </w:r>
      <w:proofErr w:type="spellStart"/>
      <w:r w:rsidRPr="005C7CCE">
        <w:t>GII</w:t>
      </w:r>
      <w:proofErr w:type="spellEnd"/>
      <w:r w:rsidRPr="005C7CCE">
        <w:t xml:space="preserve">) en 2013, en présence du Secrétaire général des </w:t>
      </w:r>
      <w:r w:rsidR="00A20444" w:rsidRPr="005C7CCE">
        <w:t>Nations Unies</w:t>
      </w:r>
      <w:r w:rsidRPr="005C7CCE">
        <w:t>, a largement attiré l</w:t>
      </w:r>
      <w:r w:rsidR="00A20444" w:rsidRPr="005C7CCE">
        <w:t>’</w:t>
      </w:r>
      <w:r w:rsidRPr="005C7CCE">
        <w:t>attention des médias.</w:t>
      </w:r>
    </w:p>
    <w:p w:rsidR="00D42474" w:rsidRDefault="00D42474" w:rsidP="001A5BF9">
      <w:pPr>
        <w:autoSpaceDE w:val="0"/>
        <w:autoSpaceDN w:val="0"/>
        <w:adjustRightInd w:val="0"/>
        <w:jc w:val="both"/>
        <w:rPr>
          <w:bCs/>
        </w:rPr>
      </w:pPr>
    </w:p>
    <w:p w:rsidR="00D42474" w:rsidRDefault="00BB3F3E" w:rsidP="001A5BF9">
      <w:pPr>
        <w:jc w:val="both"/>
      </w:pPr>
      <w:r w:rsidRPr="005C7CCE">
        <w:t>Le projet pluriannuel du CDIP sur l</w:t>
      </w:r>
      <w:r w:rsidR="00A20444" w:rsidRPr="005C7CCE">
        <w:t>’</w:t>
      </w:r>
      <w:r w:rsidRPr="005C7CCE">
        <w:t>incidence de la propriété intellectuelle sur l</w:t>
      </w:r>
      <w:r w:rsidR="00A20444" w:rsidRPr="005C7CCE">
        <w:t>’</w:t>
      </w:r>
      <w:r w:rsidRPr="005C7CCE">
        <w:t>évolution socioéconomique a considérablement progressé au cours de l</w:t>
      </w:r>
      <w:r w:rsidR="00A20444" w:rsidRPr="005C7CCE">
        <w:t>’</w:t>
      </w:r>
      <w:r w:rsidRPr="005C7CCE">
        <w:t>exercice biennal et les études de pays ont été achevées dans l</w:t>
      </w:r>
      <w:r w:rsidR="00A20444" w:rsidRPr="005C7CCE">
        <w:t>’</w:t>
      </w:r>
      <w:r w:rsidRPr="005C7CCE">
        <w:t>ensemble des six pays : Brésil, Chili, Chine, Égypte, Thaïlande et Uruguay, quatre études ayant été présentées au cours de l</w:t>
      </w:r>
      <w:r w:rsidR="00A20444" w:rsidRPr="005C7CCE">
        <w:t>’</w:t>
      </w:r>
      <w:r w:rsidRPr="005C7CCE">
        <w:t>exercice biennal et deux</w:t>
      </w:r>
      <w:r w:rsidR="0010442A" w:rsidRPr="005C7CCE">
        <w:t> </w:t>
      </w:r>
      <w:r w:rsidRPr="005C7CCE">
        <w:t>devant être présentées à la treizième session du CDIP.</w:t>
      </w:r>
      <w:r w:rsidR="0010442A" w:rsidRPr="005C7CCE">
        <w:t xml:space="preserve"> </w:t>
      </w:r>
      <w:r w:rsidRPr="005C7CCE">
        <w:t xml:space="preserve"> Les données générées par ce projet ainsi que les deux projets du CDIP sur la propriété intellectuelle et l</w:t>
      </w:r>
      <w:r w:rsidR="00A20444" w:rsidRPr="005C7CCE">
        <w:t>’</w:t>
      </w:r>
      <w:r w:rsidRPr="005C7CCE">
        <w:t>économie informelle et la propriété intellectuelle et la fuite des cerveaux ont contribué à renforcer le rôle de l</w:t>
      </w:r>
      <w:r w:rsidR="00A20444" w:rsidRPr="005C7CCE">
        <w:t>’</w:t>
      </w:r>
      <w:r w:rsidRPr="005C7CCE">
        <w:t>OMPI en termes d</w:t>
      </w:r>
      <w:r w:rsidR="00A20444" w:rsidRPr="005C7CCE">
        <w:t>’</w:t>
      </w:r>
      <w:r w:rsidRPr="005C7CCE">
        <w:t>encouragement et de facilitation des recherches empiriques et scientifiquement rigoureuses sur la propriété intellectuelle au service du développement.</w:t>
      </w:r>
    </w:p>
    <w:p w:rsidR="00D42474" w:rsidRDefault="00D42474" w:rsidP="001A5BF9">
      <w:pPr>
        <w:jc w:val="both"/>
        <w:rPr>
          <w:i/>
          <w:iCs/>
        </w:rPr>
      </w:pPr>
    </w:p>
    <w:p w:rsidR="00D42474" w:rsidRDefault="00D42474" w:rsidP="001A5BF9">
      <w:pPr>
        <w:jc w:val="both"/>
        <w:rPr>
          <w:b/>
          <w:iCs/>
        </w:rPr>
      </w:pPr>
    </w:p>
    <w:p w:rsidR="00D42474" w:rsidRDefault="00BB3F3E" w:rsidP="001A5BF9">
      <w:pPr>
        <w:jc w:val="center"/>
        <w:rPr>
          <w:b/>
          <w:iCs/>
        </w:rPr>
      </w:pPr>
      <w:r w:rsidRPr="001126A2">
        <w:rPr>
          <w:b/>
        </w:rPr>
        <w:t>Objectif stratégique VI : Coopération internationale pour le respect de la propriété intellectuelle</w:t>
      </w:r>
    </w:p>
    <w:p w:rsidR="00D42474" w:rsidRDefault="00D42474" w:rsidP="001A5BF9">
      <w:pPr>
        <w:jc w:val="both"/>
        <w:rPr>
          <w:i/>
          <w:iCs/>
        </w:rPr>
      </w:pPr>
    </w:p>
    <w:p w:rsidR="00D42474" w:rsidRDefault="00BB3F3E" w:rsidP="001A5BF9">
      <w:pPr>
        <w:jc w:val="center"/>
        <w:rPr>
          <w:b/>
          <w:sz w:val="18"/>
          <w:szCs w:val="18"/>
        </w:rPr>
      </w:pPr>
      <w:r w:rsidRPr="005C7CCE">
        <w:rPr>
          <w:b/>
          <w:sz w:val="18"/>
        </w:rPr>
        <w:t>Résumé des réalisations par résultat escompté</w:t>
      </w:r>
    </w:p>
    <w:p w:rsidR="00D42474" w:rsidRDefault="00D42474" w:rsidP="001A5BF9">
      <w:pPr>
        <w:jc w:val="center"/>
        <w:rPr>
          <w:b/>
          <w:sz w:val="18"/>
          <w:szCs w:val="18"/>
        </w:rPr>
      </w:pPr>
    </w:p>
    <w:p w:rsidR="00D42474" w:rsidRDefault="00D656BD" w:rsidP="001A5BF9">
      <w:pPr>
        <w:jc w:val="center"/>
        <w:rPr>
          <w:b/>
          <w:sz w:val="18"/>
          <w:szCs w:val="18"/>
        </w:rPr>
      </w:pPr>
      <w:r w:rsidRPr="005C7CCE">
        <w:rPr>
          <w:noProof/>
        </w:rPr>
        <w:drawing>
          <wp:inline distT="0" distB="0" distL="0" distR="0" wp14:anchorId="08BD88E1" wp14:editId="6A38E63E">
            <wp:extent cx="5939790" cy="152908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9790" cy="1529080"/>
                    </a:xfrm>
                    <a:prstGeom prst="rect">
                      <a:avLst/>
                    </a:prstGeom>
                    <a:noFill/>
                    <a:ln>
                      <a:noFill/>
                    </a:ln>
                  </pic:spPr>
                </pic:pic>
              </a:graphicData>
            </a:graphic>
          </wp:inline>
        </w:drawing>
      </w:r>
    </w:p>
    <w:p w:rsidR="00D42474" w:rsidRDefault="00D42474" w:rsidP="001A5BF9">
      <w:pPr>
        <w:jc w:val="center"/>
        <w:rPr>
          <w:b/>
        </w:rPr>
      </w:pPr>
    </w:p>
    <w:p w:rsidR="00D42474" w:rsidRDefault="00BB3F3E" w:rsidP="001A5BF9">
      <w:pPr>
        <w:jc w:val="center"/>
        <w:rPr>
          <w:b/>
          <w:szCs w:val="20"/>
        </w:rPr>
      </w:pPr>
      <w:r w:rsidRPr="005C7CCE">
        <w:rPr>
          <w:b/>
        </w:rPr>
        <w:t>Tableau de bord de l</w:t>
      </w:r>
      <w:r w:rsidR="00A20444" w:rsidRPr="005C7CCE">
        <w:rPr>
          <w:b/>
        </w:rPr>
        <w:t>’</w:t>
      </w:r>
      <w:r w:rsidRPr="005C7CCE">
        <w:rPr>
          <w:b/>
        </w:rPr>
        <w:t>exécution du programme biennal</w:t>
      </w:r>
    </w:p>
    <w:p w:rsidR="00D42474" w:rsidRDefault="00D42474" w:rsidP="001A5BF9">
      <w:pPr>
        <w:rPr>
          <w:b/>
          <w:sz w:val="18"/>
          <w:szCs w:val="18"/>
        </w:rPr>
      </w:pPr>
    </w:p>
    <w:p w:rsidR="00D42474" w:rsidRDefault="00BB3F3E"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BB3F3E" w:rsidRPr="005C7CCE" w:rsidRDefault="00BB3F3E" w:rsidP="001A5BF9">
      <w:pPr>
        <w:jc w:val="center"/>
        <w:rPr>
          <w:b/>
          <w:sz w:val="18"/>
          <w:szCs w:val="18"/>
        </w:rPr>
      </w:pPr>
    </w:p>
    <w:tbl>
      <w:tblPr>
        <w:tblW w:w="0" w:type="auto"/>
        <w:tblInd w:w="98" w:type="dxa"/>
        <w:tblLook w:val="0000" w:firstRow="0" w:lastRow="0" w:firstColumn="0" w:lastColumn="0" w:noHBand="0" w:noVBand="0"/>
      </w:tblPr>
      <w:tblGrid>
        <w:gridCol w:w="3323"/>
        <w:gridCol w:w="3270"/>
        <w:gridCol w:w="1388"/>
        <w:gridCol w:w="1385"/>
      </w:tblGrid>
      <w:tr w:rsidR="00BB3F3E" w:rsidRPr="001126A2" w:rsidTr="00BB3F3E">
        <w:tc>
          <w:tcPr>
            <w:tcW w:w="3323" w:type="dxa"/>
            <w:tcBorders>
              <w:top w:val="single" w:sz="4" w:space="0" w:color="auto"/>
              <w:left w:val="single" w:sz="4" w:space="0" w:color="auto"/>
              <w:bottom w:val="single" w:sz="4" w:space="0" w:color="auto"/>
            </w:tcBorders>
            <w:shd w:val="clear" w:color="auto" w:fill="CCFFFF"/>
            <w:vAlign w:val="center"/>
          </w:tcPr>
          <w:p w:rsidR="00BB3F3E" w:rsidRPr="001126A2" w:rsidRDefault="00BB3F3E" w:rsidP="001A5BF9">
            <w:pPr>
              <w:spacing w:before="120" w:after="120"/>
              <w:jc w:val="center"/>
              <w:rPr>
                <w:rFonts w:cs="Arial"/>
                <w:b/>
                <w:bCs/>
                <w:sz w:val="14"/>
                <w:szCs w:val="14"/>
              </w:rPr>
            </w:pPr>
            <w:r w:rsidRPr="001126A2">
              <w:rPr>
                <w:b/>
                <w:sz w:val="14"/>
              </w:rPr>
              <w:t>Résultats escomptés</w:t>
            </w:r>
          </w:p>
        </w:tc>
        <w:tc>
          <w:tcPr>
            <w:tcW w:w="3270" w:type="dxa"/>
            <w:tcBorders>
              <w:top w:val="single" w:sz="4" w:space="0" w:color="auto"/>
              <w:bottom w:val="single" w:sz="4" w:space="0" w:color="auto"/>
            </w:tcBorders>
            <w:shd w:val="clear" w:color="auto" w:fill="CCFFFF"/>
            <w:vAlign w:val="center"/>
          </w:tcPr>
          <w:p w:rsidR="00BB3F3E" w:rsidRPr="001126A2" w:rsidRDefault="00BB3F3E" w:rsidP="001A5BF9">
            <w:pPr>
              <w:spacing w:before="120" w:after="120"/>
              <w:jc w:val="center"/>
              <w:rPr>
                <w:rFonts w:cs="Arial"/>
                <w:b/>
                <w:bCs/>
                <w:sz w:val="14"/>
                <w:szCs w:val="14"/>
              </w:rPr>
            </w:pPr>
            <w:r w:rsidRPr="001126A2">
              <w:rPr>
                <w:b/>
                <w:sz w:val="14"/>
              </w:rPr>
              <w:t>Indicateurs d</w:t>
            </w:r>
            <w:r w:rsidR="00A20444" w:rsidRPr="001126A2">
              <w:rPr>
                <w:b/>
                <w:sz w:val="14"/>
              </w:rPr>
              <w:t>’</w:t>
            </w:r>
            <w:r w:rsidRPr="001126A2">
              <w:rPr>
                <w:b/>
                <w:sz w:val="14"/>
              </w:rPr>
              <w:t>exécution</w:t>
            </w:r>
          </w:p>
        </w:tc>
        <w:tc>
          <w:tcPr>
            <w:tcW w:w="1388" w:type="dxa"/>
            <w:tcBorders>
              <w:top w:val="single" w:sz="4" w:space="0" w:color="auto"/>
              <w:bottom w:val="single" w:sz="4" w:space="0" w:color="auto"/>
            </w:tcBorders>
            <w:shd w:val="clear" w:color="auto" w:fill="CCFFFF"/>
            <w:vAlign w:val="center"/>
          </w:tcPr>
          <w:p w:rsidR="00BB3F3E" w:rsidRPr="001126A2" w:rsidRDefault="00BB3F3E" w:rsidP="001A5BF9">
            <w:pPr>
              <w:spacing w:before="120" w:after="120"/>
              <w:jc w:val="center"/>
              <w:rPr>
                <w:rFonts w:cs="Arial"/>
                <w:b/>
                <w:bCs/>
                <w:sz w:val="14"/>
                <w:szCs w:val="14"/>
              </w:rPr>
            </w:pPr>
            <w:r w:rsidRPr="001126A2">
              <w:rPr>
                <w:b/>
                <w:sz w:val="14"/>
              </w:rPr>
              <w:t>Programme(s) concerné(s)</w:t>
            </w:r>
          </w:p>
        </w:tc>
        <w:tc>
          <w:tcPr>
            <w:tcW w:w="1385" w:type="dxa"/>
            <w:tcBorders>
              <w:top w:val="single" w:sz="4" w:space="0" w:color="auto"/>
              <w:left w:val="nil"/>
              <w:bottom w:val="single" w:sz="4" w:space="0" w:color="auto"/>
              <w:right w:val="single" w:sz="4" w:space="0" w:color="auto"/>
            </w:tcBorders>
            <w:shd w:val="clear" w:color="auto" w:fill="CCFFFF"/>
            <w:vAlign w:val="center"/>
          </w:tcPr>
          <w:p w:rsidR="00BB3F3E" w:rsidRPr="001126A2" w:rsidRDefault="00BB3F3E" w:rsidP="001A5BF9">
            <w:pPr>
              <w:spacing w:before="120" w:after="120"/>
              <w:jc w:val="center"/>
              <w:rPr>
                <w:rFonts w:cs="Arial"/>
                <w:b/>
                <w:bCs/>
                <w:sz w:val="14"/>
                <w:szCs w:val="14"/>
              </w:rPr>
            </w:pPr>
            <w:r w:rsidRPr="001126A2">
              <w:rPr>
                <w:b/>
                <w:sz w:val="14"/>
              </w:rPr>
              <w:t>Code de couleurs</w:t>
            </w:r>
          </w:p>
        </w:tc>
      </w:tr>
      <w:tr w:rsidR="00BB3F3E" w:rsidRPr="005C7CCE" w:rsidTr="00BB3F3E">
        <w:tc>
          <w:tcPr>
            <w:tcW w:w="3323" w:type="dxa"/>
            <w:tcBorders>
              <w:top w:val="nil"/>
              <w:left w:val="single" w:sz="4" w:space="0" w:color="auto"/>
              <w:bottom w:val="nil"/>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Progrès du dialogue international de politique générale entre les États membres de l</w:t>
            </w:r>
            <w:r w:rsidR="00A20444" w:rsidRPr="001126A2">
              <w:rPr>
                <w:sz w:val="14"/>
              </w:rPr>
              <w:t>’</w:t>
            </w:r>
            <w:r w:rsidRPr="001126A2">
              <w:rPr>
                <w:sz w:val="14"/>
              </w:rPr>
              <w:t>OMPI en ce qui concerne la promotion du respect de la propriété intellectuelle, compte tenu de la recommandation n°</w:t>
            </w:r>
            <w:r w:rsidR="0010442A" w:rsidRPr="001126A2">
              <w:rPr>
                <w:sz w:val="14"/>
              </w:rPr>
              <w:t> </w:t>
            </w:r>
            <w:r w:rsidRPr="001126A2">
              <w:rPr>
                <w:sz w:val="14"/>
              </w:rPr>
              <w:t>45 du Plan d</w:t>
            </w:r>
            <w:r w:rsidR="00A20444" w:rsidRPr="001126A2">
              <w:rPr>
                <w:sz w:val="14"/>
              </w:rPr>
              <w:t>’</w:t>
            </w:r>
            <w:r w:rsidRPr="001126A2">
              <w:rPr>
                <w:sz w:val="14"/>
              </w:rPr>
              <w:t>action pour le développement</w:t>
            </w:r>
          </w:p>
        </w:tc>
        <w:tc>
          <w:tcPr>
            <w:tcW w:w="3270" w:type="dxa"/>
            <w:tcBorders>
              <w:top w:val="nil"/>
              <w:left w:val="nil"/>
              <w:bottom w:val="nil"/>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Accord permanent des États membres sur les activités de fond du Comité consultatif de l</w:t>
            </w:r>
            <w:r w:rsidR="00A20444" w:rsidRPr="001126A2">
              <w:rPr>
                <w:sz w:val="14"/>
              </w:rPr>
              <w:t>’</w:t>
            </w:r>
            <w:r w:rsidRPr="001126A2">
              <w:rPr>
                <w:sz w:val="14"/>
              </w:rPr>
              <w:t>OMPI sur l</w:t>
            </w:r>
            <w:r w:rsidR="00A20444" w:rsidRPr="001126A2">
              <w:rPr>
                <w:sz w:val="14"/>
              </w:rPr>
              <w:t>’</w:t>
            </w:r>
            <w:r w:rsidRPr="001126A2">
              <w:rPr>
                <w:sz w:val="14"/>
              </w:rPr>
              <w:t>application des droits (ACE) au cours de l</w:t>
            </w:r>
            <w:r w:rsidR="00A20444" w:rsidRPr="001126A2">
              <w:rPr>
                <w:sz w:val="14"/>
              </w:rPr>
              <w:t>’</w:t>
            </w:r>
            <w:r w:rsidRPr="001126A2">
              <w:rPr>
                <w:sz w:val="14"/>
              </w:rPr>
              <w:t>exercice biennal, en prenant en considération les préoccupations relatives au développement</w:t>
            </w:r>
          </w:p>
        </w:tc>
        <w:tc>
          <w:tcPr>
            <w:tcW w:w="1388" w:type="dxa"/>
            <w:tcBorders>
              <w:top w:val="nil"/>
              <w:left w:val="nil"/>
              <w:bottom w:val="nil"/>
            </w:tcBorders>
            <w:shd w:val="clear" w:color="auto" w:fill="auto"/>
            <w:tcMar>
              <w:top w:w="113" w:type="dxa"/>
            </w:tcMar>
          </w:tcPr>
          <w:p w:rsidR="00BB3F3E" w:rsidRPr="001126A2" w:rsidRDefault="00BB3F3E" w:rsidP="001A5BF9">
            <w:pPr>
              <w:spacing w:before="80"/>
              <w:ind w:left="179"/>
              <w:rPr>
                <w:rFonts w:cs="Arial"/>
                <w:sz w:val="14"/>
                <w:szCs w:val="14"/>
              </w:rPr>
            </w:pPr>
            <w:r w:rsidRPr="001126A2">
              <w:rPr>
                <w:sz w:val="14"/>
              </w:rPr>
              <w:t>Programme 17</w:t>
            </w:r>
          </w:p>
        </w:tc>
        <w:tc>
          <w:tcPr>
            <w:tcW w:w="1385" w:type="dxa"/>
            <w:tcBorders>
              <w:top w:val="nil"/>
              <w:left w:val="nil"/>
              <w:bottom w:val="nil"/>
              <w:right w:val="single" w:sz="4" w:space="0" w:color="auto"/>
            </w:tcBorders>
          </w:tcPr>
          <w:p w:rsidR="00BB3F3E" w:rsidRPr="005C7CCE" w:rsidRDefault="00BB3F3E" w:rsidP="001A5BF9">
            <w:pPr>
              <w:ind w:left="179"/>
              <w:jc w:val="center"/>
              <w:rPr>
                <w:rFonts w:cs="Arial"/>
                <w:color w:val="008000"/>
                <w:szCs w:val="22"/>
              </w:rPr>
            </w:pPr>
            <w:r w:rsidRPr="005C7CCE">
              <w:rPr>
                <w:color w:val="008000"/>
              </w:rPr>
              <w:sym w:font="Wingdings" w:char="F06C"/>
            </w:r>
          </w:p>
        </w:tc>
      </w:tr>
      <w:tr w:rsidR="00BB3F3E" w:rsidRPr="005C7CCE" w:rsidTr="00BB3F3E">
        <w:tc>
          <w:tcPr>
            <w:tcW w:w="3323" w:type="dxa"/>
            <w:vMerge w:val="restart"/>
            <w:tcBorders>
              <w:top w:val="nil"/>
              <w:left w:val="single" w:sz="4" w:space="0" w:color="auto"/>
              <w:right w:val="nil"/>
            </w:tcBorders>
            <w:shd w:val="clear" w:color="auto" w:fill="auto"/>
            <w:tcMar>
              <w:top w:w="113" w:type="dxa"/>
            </w:tcMar>
          </w:tcPr>
          <w:p w:rsidR="00D42474" w:rsidRDefault="00BB3F3E" w:rsidP="001A5BF9">
            <w:pPr>
              <w:spacing w:before="80"/>
              <w:rPr>
                <w:sz w:val="14"/>
              </w:rPr>
            </w:pPr>
            <w:r w:rsidRPr="001126A2">
              <w:rPr>
                <w:sz w:val="14"/>
              </w:rPr>
              <w:t>Coopération et coordination systématiques et efficaces entre les travaux de l</w:t>
            </w:r>
            <w:r w:rsidR="00A20444" w:rsidRPr="001126A2">
              <w:rPr>
                <w:sz w:val="14"/>
              </w:rPr>
              <w:t>’</w:t>
            </w:r>
            <w:r w:rsidRPr="001126A2">
              <w:rPr>
                <w:sz w:val="14"/>
              </w:rPr>
              <w:t>OMPI et ceux d</w:t>
            </w:r>
            <w:r w:rsidR="00A20444" w:rsidRPr="001126A2">
              <w:rPr>
                <w:sz w:val="14"/>
              </w:rPr>
              <w:t>’</w:t>
            </w:r>
            <w:r w:rsidRPr="001126A2">
              <w:rPr>
                <w:sz w:val="14"/>
              </w:rPr>
              <w:t>autres organisations internationales dans le domaine de la promotion du respect de la propriété intellectuelle</w:t>
            </w:r>
          </w:p>
          <w:p w:rsidR="00BB3F3E" w:rsidRPr="001126A2" w:rsidRDefault="00BB3F3E" w:rsidP="001A5BF9">
            <w:pPr>
              <w:spacing w:before="80"/>
              <w:rPr>
                <w:rFonts w:cs="Arial"/>
                <w:sz w:val="14"/>
                <w:szCs w:val="14"/>
              </w:rPr>
            </w:pPr>
          </w:p>
        </w:tc>
        <w:tc>
          <w:tcPr>
            <w:tcW w:w="3270" w:type="dxa"/>
            <w:tcBorders>
              <w:top w:val="nil"/>
              <w:left w:val="nil"/>
              <w:bottom w:val="nil"/>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Nombre de mécanismes de coopération officiels en place</w:t>
            </w:r>
          </w:p>
        </w:tc>
        <w:tc>
          <w:tcPr>
            <w:tcW w:w="1388" w:type="dxa"/>
            <w:tcBorders>
              <w:top w:val="nil"/>
              <w:left w:val="nil"/>
              <w:bottom w:val="nil"/>
            </w:tcBorders>
            <w:shd w:val="clear" w:color="auto" w:fill="auto"/>
            <w:tcMar>
              <w:top w:w="113" w:type="dxa"/>
            </w:tcMar>
          </w:tcPr>
          <w:p w:rsidR="00BB3F3E" w:rsidRPr="001126A2" w:rsidRDefault="00BB3F3E" w:rsidP="001A5BF9">
            <w:pPr>
              <w:spacing w:before="80"/>
              <w:ind w:left="179"/>
              <w:rPr>
                <w:rFonts w:cs="Arial"/>
                <w:sz w:val="14"/>
                <w:szCs w:val="14"/>
              </w:rPr>
            </w:pPr>
            <w:r w:rsidRPr="001126A2">
              <w:rPr>
                <w:sz w:val="14"/>
              </w:rPr>
              <w:t>Programme 17</w:t>
            </w:r>
          </w:p>
        </w:tc>
        <w:tc>
          <w:tcPr>
            <w:tcW w:w="1385" w:type="dxa"/>
            <w:tcBorders>
              <w:top w:val="nil"/>
              <w:left w:val="nil"/>
              <w:bottom w:val="nil"/>
              <w:right w:val="single" w:sz="4" w:space="0" w:color="auto"/>
            </w:tcBorders>
          </w:tcPr>
          <w:p w:rsidR="00BB3F3E" w:rsidRPr="005C7CCE" w:rsidRDefault="00BB3F3E" w:rsidP="001A5BF9">
            <w:pPr>
              <w:ind w:left="179"/>
              <w:jc w:val="center"/>
              <w:rPr>
                <w:rFonts w:cs="Arial"/>
                <w:color w:val="008000"/>
                <w:szCs w:val="22"/>
              </w:rPr>
            </w:pPr>
            <w:r w:rsidRPr="005C7CCE">
              <w:rPr>
                <w:color w:val="008000"/>
              </w:rPr>
              <w:sym w:font="Wingdings" w:char="F06C"/>
            </w:r>
          </w:p>
        </w:tc>
      </w:tr>
      <w:tr w:rsidR="00BB3F3E" w:rsidRPr="005C7CCE" w:rsidTr="00BB3F3E">
        <w:tc>
          <w:tcPr>
            <w:tcW w:w="3323" w:type="dxa"/>
            <w:vMerge/>
            <w:tcBorders>
              <w:left w:val="single" w:sz="4" w:space="0" w:color="auto"/>
              <w:bottom w:val="single" w:sz="4" w:space="0" w:color="auto"/>
              <w:right w:val="nil"/>
            </w:tcBorders>
            <w:shd w:val="clear" w:color="auto" w:fill="auto"/>
            <w:tcMar>
              <w:top w:w="113" w:type="dxa"/>
            </w:tcMar>
          </w:tcPr>
          <w:p w:rsidR="00BB3F3E" w:rsidRPr="001126A2" w:rsidRDefault="00BB3F3E" w:rsidP="001A5BF9">
            <w:pPr>
              <w:spacing w:before="80"/>
              <w:rPr>
                <w:rFonts w:cs="Arial"/>
                <w:sz w:val="14"/>
                <w:szCs w:val="14"/>
              </w:rPr>
            </w:pPr>
          </w:p>
        </w:tc>
        <w:tc>
          <w:tcPr>
            <w:tcW w:w="3270" w:type="dxa"/>
            <w:tcBorders>
              <w:top w:val="nil"/>
              <w:left w:val="nil"/>
              <w:bottom w:val="single" w:sz="4" w:space="0" w:color="auto"/>
              <w:right w:val="nil"/>
            </w:tcBorders>
            <w:shd w:val="clear" w:color="auto" w:fill="auto"/>
            <w:tcMar>
              <w:top w:w="113" w:type="dxa"/>
            </w:tcMar>
          </w:tcPr>
          <w:p w:rsidR="00BB3F3E" w:rsidRPr="001126A2" w:rsidRDefault="00BB3F3E" w:rsidP="001A5BF9">
            <w:pPr>
              <w:spacing w:before="80"/>
              <w:rPr>
                <w:rFonts w:cs="Arial"/>
                <w:sz w:val="14"/>
                <w:szCs w:val="14"/>
              </w:rPr>
            </w:pPr>
            <w:r w:rsidRPr="001126A2">
              <w:rPr>
                <w:sz w:val="14"/>
              </w:rPr>
              <w:t>Nombre d</w:t>
            </w:r>
            <w:r w:rsidR="00A20444" w:rsidRPr="001126A2">
              <w:rPr>
                <w:sz w:val="14"/>
              </w:rPr>
              <w:t>’</w:t>
            </w:r>
            <w:r w:rsidRPr="001126A2">
              <w:rPr>
                <w:sz w:val="14"/>
              </w:rPr>
              <w:t>activités communes</w:t>
            </w:r>
          </w:p>
        </w:tc>
        <w:tc>
          <w:tcPr>
            <w:tcW w:w="1388" w:type="dxa"/>
            <w:tcBorders>
              <w:top w:val="nil"/>
              <w:left w:val="nil"/>
              <w:bottom w:val="single" w:sz="4" w:space="0" w:color="auto"/>
            </w:tcBorders>
            <w:shd w:val="clear" w:color="auto" w:fill="auto"/>
            <w:tcMar>
              <w:top w:w="113" w:type="dxa"/>
            </w:tcMar>
          </w:tcPr>
          <w:p w:rsidR="00BB3F3E" w:rsidRPr="001126A2" w:rsidRDefault="00BB3F3E" w:rsidP="001A5BF9">
            <w:pPr>
              <w:spacing w:before="80"/>
              <w:ind w:left="179"/>
              <w:rPr>
                <w:rFonts w:cs="Arial"/>
                <w:sz w:val="14"/>
                <w:szCs w:val="14"/>
              </w:rPr>
            </w:pPr>
            <w:r w:rsidRPr="001126A2">
              <w:rPr>
                <w:sz w:val="14"/>
              </w:rPr>
              <w:t>Programme 17</w:t>
            </w:r>
          </w:p>
        </w:tc>
        <w:tc>
          <w:tcPr>
            <w:tcW w:w="1385" w:type="dxa"/>
            <w:tcBorders>
              <w:top w:val="nil"/>
              <w:left w:val="nil"/>
              <w:bottom w:val="single" w:sz="4" w:space="0" w:color="auto"/>
              <w:right w:val="single" w:sz="4" w:space="0" w:color="auto"/>
            </w:tcBorders>
          </w:tcPr>
          <w:p w:rsidR="00BB3F3E" w:rsidRPr="005C7CCE" w:rsidRDefault="00BB3F3E" w:rsidP="001A5BF9">
            <w:pPr>
              <w:ind w:left="179"/>
              <w:jc w:val="center"/>
              <w:rPr>
                <w:rFonts w:cs="Arial"/>
                <w:color w:val="008000"/>
                <w:szCs w:val="22"/>
              </w:rPr>
            </w:pPr>
            <w:r w:rsidRPr="005C7CCE">
              <w:rPr>
                <w:color w:val="008000"/>
              </w:rPr>
              <w:sym w:font="Wingdings" w:char="F06C"/>
            </w:r>
          </w:p>
        </w:tc>
      </w:tr>
    </w:tbl>
    <w:p w:rsidR="00D42474" w:rsidRDefault="00D42474" w:rsidP="001A5BF9">
      <w:pPr>
        <w:jc w:val="both"/>
        <w:rPr>
          <w:i/>
          <w:iCs/>
        </w:rPr>
      </w:pPr>
    </w:p>
    <w:p w:rsidR="00D42474" w:rsidRDefault="00D42474" w:rsidP="001A5BF9">
      <w:pPr>
        <w:jc w:val="both"/>
        <w:rPr>
          <w:i/>
          <w:iCs/>
        </w:rPr>
      </w:pPr>
    </w:p>
    <w:p w:rsidR="00D42474" w:rsidRDefault="00BB3F3E" w:rsidP="001A5BF9">
      <w:pPr>
        <w:jc w:val="both"/>
        <w:rPr>
          <w:iCs/>
        </w:rPr>
      </w:pPr>
      <w:r w:rsidRPr="005C7CCE">
        <w:rPr>
          <w:color w:val="000000"/>
        </w:rPr>
        <w:t>Par le biais d</w:t>
      </w:r>
      <w:r w:rsidR="00A20444" w:rsidRPr="005C7CCE">
        <w:rPr>
          <w:color w:val="000000"/>
        </w:rPr>
        <w:t>’</w:t>
      </w:r>
      <w:r w:rsidRPr="005C7CCE">
        <w:rPr>
          <w:color w:val="000000"/>
        </w:rPr>
        <w:t>un processus consultatif, des progrès constants continuent d</w:t>
      </w:r>
      <w:r w:rsidR="00A20444" w:rsidRPr="005C7CCE">
        <w:rPr>
          <w:color w:val="000000"/>
        </w:rPr>
        <w:t>’</w:t>
      </w:r>
      <w:r w:rsidRPr="005C7CCE">
        <w:rPr>
          <w:color w:val="000000"/>
        </w:rPr>
        <w:t>être accomplis en faveur de la création d</w:t>
      </w:r>
      <w:r w:rsidR="00A20444" w:rsidRPr="005C7CCE">
        <w:rPr>
          <w:color w:val="000000"/>
        </w:rPr>
        <w:t>’</w:t>
      </w:r>
      <w:r w:rsidRPr="005C7CCE">
        <w:rPr>
          <w:color w:val="000000"/>
        </w:rPr>
        <w:t>un environnement propice au respect de la propriété intellectuelle d</w:t>
      </w:r>
      <w:r w:rsidR="00A20444" w:rsidRPr="005C7CCE">
        <w:rPr>
          <w:color w:val="000000"/>
        </w:rPr>
        <w:t>’</w:t>
      </w:r>
      <w:r w:rsidRPr="005C7CCE">
        <w:rPr>
          <w:color w:val="000000"/>
        </w:rPr>
        <w:t xml:space="preserve">une manière durable. </w:t>
      </w:r>
      <w:r w:rsidR="0010442A" w:rsidRPr="005C7CCE">
        <w:rPr>
          <w:color w:val="000000"/>
        </w:rPr>
        <w:t xml:space="preserve"> </w:t>
      </w:r>
      <w:r w:rsidRPr="005C7CCE">
        <w:t>À sa huitième session, l</w:t>
      </w:r>
      <w:r w:rsidR="00A20444" w:rsidRPr="005C7CCE">
        <w:t>’</w:t>
      </w:r>
      <w:r w:rsidRPr="005C7CCE">
        <w:t>ACE a procédé à un recensement des motifs, y compris des variables socioéconomiques, à l</w:t>
      </w:r>
      <w:r w:rsidR="00A20444" w:rsidRPr="005C7CCE">
        <w:t>’</w:t>
      </w:r>
      <w:r w:rsidRPr="005C7CCE">
        <w:t>origine des violations des droits de la propriété intellectuelle, a élaboré des méthodologies analytiques pour mesurer l</w:t>
      </w:r>
      <w:r w:rsidR="00A20444" w:rsidRPr="005C7CCE">
        <w:t>’</w:t>
      </w:r>
      <w:r w:rsidRPr="005C7CCE">
        <w:t>incidence de la contrefaçon et du piratage, et a étudié d</w:t>
      </w:r>
      <w:r w:rsidR="00A20444" w:rsidRPr="005C7CCE">
        <w:t>’</w:t>
      </w:r>
      <w:r w:rsidRPr="005C7CCE">
        <w:t xml:space="preserve">autres modèles de lutte contre la contrefaçon et le piratage. </w:t>
      </w:r>
      <w:r w:rsidR="0010442A" w:rsidRPr="005C7CCE">
        <w:t xml:space="preserve"> </w:t>
      </w:r>
      <w:r w:rsidRPr="005C7CCE">
        <w:t>Les États membres sont convenus d</w:t>
      </w:r>
      <w:r w:rsidR="00A20444" w:rsidRPr="005C7CCE">
        <w:t>’</w:t>
      </w:r>
      <w:r w:rsidRPr="005C7CCE">
        <w:t>un programme de travail pour la neuvième session de l</w:t>
      </w:r>
      <w:r w:rsidR="00A20444" w:rsidRPr="005C7CCE">
        <w:t>’</w:t>
      </w:r>
      <w:r w:rsidRPr="005C7CCE">
        <w:t>ACE, axé sur i) la mise en œuvre d</w:t>
      </w:r>
      <w:r w:rsidR="00A20444" w:rsidRPr="005C7CCE">
        <w:t>’</w:t>
      </w:r>
      <w:r w:rsidRPr="005C7CCE">
        <w:t>autres pratiques de résolution des litiges dans le domaine de la propriété intellectuelle et ii) des actions et des mesures de prévention, ou des expériences positives visant à compléter les mesures d</w:t>
      </w:r>
      <w:r w:rsidR="00A20444" w:rsidRPr="005C7CCE">
        <w:t>’</w:t>
      </w:r>
      <w:r w:rsidRPr="005C7CCE">
        <w:t>exécution.</w:t>
      </w:r>
    </w:p>
    <w:p w:rsidR="00D42474" w:rsidRDefault="00D42474" w:rsidP="001A5BF9">
      <w:pPr>
        <w:jc w:val="both"/>
        <w:rPr>
          <w:b/>
          <w:iCs/>
        </w:rPr>
      </w:pPr>
    </w:p>
    <w:p w:rsidR="00D42474" w:rsidRDefault="00D42474" w:rsidP="001A5BF9">
      <w:pPr>
        <w:jc w:val="both"/>
        <w:rPr>
          <w:b/>
          <w:iCs/>
        </w:rPr>
      </w:pPr>
    </w:p>
    <w:p w:rsidR="00D42474" w:rsidRDefault="00D42474" w:rsidP="001A5BF9">
      <w:pPr>
        <w:jc w:val="both"/>
        <w:rPr>
          <w:b/>
          <w:iCs/>
        </w:rPr>
      </w:pPr>
    </w:p>
    <w:p w:rsidR="00D42474" w:rsidRDefault="00BB3F3E" w:rsidP="001126A2">
      <w:pPr>
        <w:keepNext/>
        <w:keepLines/>
        <w:jc w:val="center"/>
        <w:rPr>
          <w:b/>
          <w:iCs/>
        </w:rPr>
      </w:pPr>
      <w:r w:rsidRPr="001126A2">
        <w:rPr>
          <w:b/>
        </w:rPr>
        <w:t>Objectif stratégique VII</w:t>
      </w:r>
      <w:r w:rsidR="0010442A" w:rsidRPr="001126A2">
        <w:rPr>
          <w:b/>
        </w:rPr>
        <w:t> </w:t>
      </w:r>
      <w:r w:rsidRPr="001126A2">
        <w:rPr>
          <w:b/>
        </w:rPr>
        <w:t>: Propriété intellectuelle et enjeux mondiaux</w:t>
      </w:r>
    </w:p>
    <w:p w:rsidR="00D42474" w:rsidRDefault="00D42474" w:rsidP="001126A2">
      <w:pPr>
        <w:keepNext/>
        <w:keepLines/>
        <w:jc w:val="both"/>
        <w:rPr>
          <w:i/>
          <w:iCs/>
        </w:rPr>
      </w:pPr>
    </w:p>
    <w:p w:rsidR="00D42474" w:rsidRDefault="00BB3F3E" w:rsidP="001126A2">
      <w:pPr>
        <w:keepNext/>
        <w:keepLines/>
        <w:jc w:val="center"/>
        <w:rPr>
          <w:b/>
          <w:sz w:val="18"/>
          <w:szCs w:val="18"/>
        </w:rPr>
      </w:pPr>
      <w:r w:rsidRPr="005C7CCE">
        <w:rPr>
          <w:b/>
          <w:sz w:val="18"/>
        </w:rPr>
        <w:t>Résumé des réalisations par résultat escompté</w:t>
      </w:r>
    </w:p>
    <w:p w:rsidR="00D42474" w:rsidRDefault="00D42474" w:rsidP="001126A2">
      <w:pPr>
        <w:keepNext/>
        <w:keepLines/>
        <w:jc w:val="center"/>
        <w:rPr>
          <w:b/>
          <w:sz w:val="18"/>
          <w:szCs w:val="18"/>
        </w:rPr>
      </w:pPr>
    </w:p>
    <w:p w:rsidR="00D42474" w:rsidRDefault="00D656BD" w:rsidP="001126A2">
      <w:pPr>
        <w:keepNext/>
        <w:keepLines/>
        <w:jc w:val="center"/>
        <w:rPr>
          <w:b/>
          <w:sz w:val="18"/>
          <w:szCs w:val="18"/>
        </w:rPr>
      </w:pPr>
      <w:r w:rsidRPr="005C7CCE">
        <w:rPr>
          <w:noProof/>
        </w:rPr>
        <w:drawing>
          <wp:inline distT="0" distB="0" distL="0" distR="0" wp14:anchorId="23E5D5CE" wp14:editId="43480E49">
            <wp:extent cx="5939790" cy="225298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790" cy="2252980"/>
                    </a:xfrm>
                    <a:prstGeom prst="rect">
                      <a:avLst/>
                    </a:prstGeom>
                    <a:noFill/>
                    <a:ln>
                      <a:noFill/>
                    </a:ln>
                  </pic:spPr>
                </pic:pic>
              </a:graphicData>
            </a:graphic>
          </wp:inline>
        </w:drawing>
      </w:r>
    </w:p>
    <w:p w:rsidR="00D42474" w:rsidRDefault="00D42474" w:rsidP="001A5BF9">
      <w:pPr>
        <w:jc w:val="center"/>
        <w:rPr>
          <w:b/>
          <w:sz w:val="18"/>
          <w:szCs w:val="18"/>
        </w:rPr>
      </w:pPr>
    </w:p>
    <w:p w:rsidR="00D42474" w:rsidRDefault="00D42474" w:rsidP="001A5BF9">
      <w:pPr>
        <w:jc w:val="center"/>
        <w:rPr>
          <w:b/>
        </w:rPr>
      </w:pPr>
    </w:p>
    <w:p w:rsidR="00D42474" w:rsidRDefault="00BB3F3E" w:rsidP="001A5BF9">
      <w:pPr>
        <w:jc w:val="center"/>
        <w:rPr>
          <w:b/>
          <w:szCs w:val="20"/>
        </w:rPr>
      </w:pPr>
      <w:r w:rsidRPr="005C7CCE">
        <w:rPr>
          <w:b/>
        </w:rPr>
        <w:t>Tableau de bord de l</w:t>
      </w:r>
      <w:r w:rsidR="00A20444" w:rsidRPr="005C7CCE">
        <w:rPr>
          <w:b/>
        </w:rPr>
        <w:t>’</w:t>
      </w:r>
      <w:r w:rsidRPr="005C7CCE">
        <w:rPr>
          <w:b/>
        </w:rPr>
        <w:t>exécution du programme biennal</w:t>
      </w:r>
    </w:p>
    <w:p w:rsidR="00D42474" w:rsidRDefault="00D42474" w:rsidP="001A5BF9">
      <w:pPr>
        <w:jc w:val="both"/>
        <w:rPr>
          <w:i/>
          <w:iCs/>
        </w:rPr>
      </w:pPr>
    </w:p>
    <w:p w:rsidR="00D42474" w:rsidRDefault="00BB3F3E"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BB3F3E" w:rsidRPr="005C7CCE" w:rsidRDefault="00BB3F3E" w:rsidP="001A5BF9">
      <w:pPr>
        <w:jc w:val="both"/>
        <w:rPr>
          <w:i/>
          <w:iCs/>
        </w:rPr>
      </w:pPr>
    </w:p>
    <w:tbl>
      <w:tblPr>
        <w:tblW w:w="0" w:type="auto"/>
        <w:tblInd w:w="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42"/>
        <w:gridCol w:w="3572"/>
        <w:gridCol w:w="1203"/>
        <w:gridCol w:w="1349"/>
      </w:tblGrid>
      <w:tr w:rsidR="00BB3F3E" w:rsidRPr="00D74EB9" w:rsidTr="002A2523">
        <w:tc>
          <w:tcPr>
            <w:tcW w:w="3242"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Résultats escomptés</w:t>
            </w:r>
          </w:p>
        </w:tc>
        <w:tc>
          <w:tcPr>
            <w:tcW w:w="3572"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Indicateurs d</w:t>
            </w:r>
            <w:r w:rsidR="00A20444" w:rsidRPr="00D74EB9">
              <w:rPr>
                <w:b/>
                <w:sz w:val="14"/>
              </w:rPr>
              <w:t>’</w:t>
            </w:r>
            <w:r w:rsidRPr="00D74EB9">
              <w:rPr>
                <w:b/>
                <w:sz w:val="14"/>
              </w:rPr>
              <w:t>exécution</w:t>
            </w:r>
          </w:p>
        </w:tc>
        <w:tc>
          <w:tcPr>
            <w:tcW w:w="1203"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Programme(s) concerné(s)</w:t>
            </w:r>
          </w:p>
        </w:tc>
        <w:tc>
          <w:tcPr>
            <w:tcW w:w="1349"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Code de couleurs</w:t>
            </w:r>
          </w:p>
        </w:tc>
      </w:tr>
      <w:tr w:rsidR="00BB3F3E" w:rsidRPr="005C7CCE" w:rsidTr="002A2523">
        <w:tc>
          <w:tcPr>
            <w:tcW w:w="3242" w:type="dxa"/>
            <w:vMerge w:val="restart"/>
            <w:tcBorders>
              <w:top w:val="single" w:sz="4" w:space="0" w:color="auto"/>
            </w:tcBorders>
            <w:shd w:val="clear" w:color="auto" w:fill="auto"/>
            <w:tcMar>
              <w:top w:w="113" w:type="dxa"/>
            </w:tcMar>
          </w:tcPr>
          <w:p w:rsidR="00BB3F3E" w:rsidRPr="00D74EB9" w:rsidRDefault="00BB3F3E" w:rsidP="001A5BF9">
            <w:pPr>
              <w:spacing w:before="80"/>
              <w:rPr>
                <w:rFonts w:cs="Arial"/>
                <w:sz w:val="14"/>
                <w:szCs w:val="14"/>
              </w:rPr>
            </w:pPr>
            <w:r w:rsidRPr="00D74EB9">
              <w:rPr>
                <w:sz w:val="14"/>
              </w:rPr>
              <w:t>Meilleure compréhension par les décideurs du rapport entre les défis mondiaux, l</w:t>
            </w:r>
            <w:r w:rsidR="00A20444" w:rsidRPr="00D74EB9">
              <w:rPr>
                <w:sz w:val="14"/>
              </w:rPr>
              <w:t>’</w:t>
            </w:r>
            <w:r w:rsidRPr="00D74EB9">
              <w:rPr>
                <w:sz w:val="14"/>
              </w:rPr>
              <w:t>innovation et la propriété intellectuelle afin d</w:t>
            </w:r>
            <w:r w:rsidR="00A20444" w:rsidRPr="00D74EB9">
              <w:rPr>
                <w:sz w:val="14"/>
              </w:rPr>
              <w:t>’</w:t>
            </w:r>
            <w:r w:rsidRPr="00D74EB9">
              <w:rPr>
                <w:sz w:val="14"/>
              </w:rPr>
              <w:t>améliorer la prise de décisions de politique générale</w:t>
            </w:r>
          </w:p>
        </w:tc>
        <w:tc>
          <w:tcPr>
            <w:tcW w:w="3572" w:type="dxa"/>
            <w:tcBorders>
              <w:top w:val="single" w:sz="4" w:space="0" w:color="auto"/>
              <w:bottom w:val="nil"/>
            </w:tcBorders>
            <w:shd w:val="clear" w:color="auto" w:fill="auto"/>
            <w:tcMar>
              <w:top w:w="113" w:type="dxa"/>
            </w:tcMar>
          </w:tcPr>
          <w:p w:rsidR="00BB3F3E" w:rsidRPr="00D74EB9" w:rsidRDefault="00BB3F3E" w:rsidP="001A5BF9">
            <w:pPr>
              <w:spacing w:before="80"/>
              <w:rPr>
                <w:rFonts w:cs="Arial"/>
                <w:sz w:val="14"/>
                <w:szCs w:val="14"/>
              </w:rPr>
            </w:pPr>
            <w:r w:rsidRPr="00D74EB9">
              <w:rPr>
                <w:sz w:val="14"/>
              </w:rPr>
              <w:t>Mention des activités de l</w:t>
            </w:r>
            <w:r w:rsidR="00A20444" w:rsidRPr="00D74EB9">
              <w:rPr>
                <w:sz w:val="14"/>
              </w:rPr>
              <w:t>’</w:t>
            </w:r>
            <w:r w:rsidRPr="00D74EB9">
              <w:rPr>
                <w:sz w:val="14"/>
              </w:rPr>
              <w:t>OMPI dans le domaine des défis mondiaux dans les autres instances d</w:t>
            </w:r>
            <w:r w:rsidR="00A20444" w:rsidRPr="00D74EB9">
              <w:rPr>
                <w:sz w:val="14"/>
              </w:rPr>
              <w:t>’</w:t>
            </w:r>
            <w:r w:rsidRPr="00D74EB9">
              <w:rPr>
                <w:sz w:val="14"/>
              </w:rPr>
              <w:t>élaboration de politiques</w:t>
            </w:r>
          </w:p>
        </w:tc>
        <w:tc>
          <w:tcPr>
            <w:tcW w:w="1203" w:type="dxa"/>
            <w:tcBorders>
              <w:top w:val="single" w:sz="4" w:space="0" w:color="auto"/>
              <w:bottom w:val="nil"/>
            </w:tcBorders>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 xml:space="preserve">Programme 18 </w:t>
            </w:r>
          </w:p>
        </w:tc>
        <w:tc>
          <w:tcPr>
            <w:tcW w:w="1349" w:type="dxa"/>
            <w:tcBorders>
              <w:top w:val="single" w:sz="4" w:space="0" w:color="auto"/>
              <w:bottom w:val="nil"/>
            </w:tcBorders>
          </w:tcPr>
          <w:p w:rsidR="00BB3F3E" w:rsidRPr="005C7CCE" w:rsidRDefault="00BB3F3E" w:rsidP="001A5BF9">
            <w:pPr>
              <w:jc w:val="center"/>
              <w:rPr>
                <w:rFonts w:cs="Arial"/>
                <w:color w:val="008000"/>
                <w:szCs w:val="22"/>
              </w:rPr>
            </w:pPr>
            <w:r w:rsidRPr="005C7CCE">
              <w:rPr>
                <w:color w:val="008000"/>
              </w:rPr>
              <w:sym w:font="Wingdings" w:char="F06C"/>
            </w:r>
          </w:p>
        </w:tc>
      </w:tr>
      <w:tr w:rsidR="00BB3F3E" w:rsidRPr="005C7CCE" w:rsidTr="002A2523">
        <w:tc>
          <w:tcPr>
            <w:tcW w:w="3242"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572" w:type="dxa"/>
            <w:tcBorders>
              <w:top w:val="nil"/>
              <w:bottom w:val="nil"/>
            </w:tcBorders>
            <w:shd w:val="clear" w:color="auto" w:fill="auto"/>
            <w:tcMar>
              <w:top w:w="113" w:type="dxa"/>
            </w:tcMar>
          </w:tcPr>
          <w:p w:rsidR="00BB3F3E" w:rsidRPr="00D74EB9" w:rsidRDefault="00BB3F3E" w:rsidP="001A5BF9">
            <w:pPr>
              <w:spacing w:before="80"/>
              <w:rPr>
                <w:rFonts w:cs="Arial"/>
                <w:sz w:val="14"/>
                <w:szCs w:val="14"/>
              </w:rPr>
            </w:pPr>
            <w:r w:rsidRPr="00D74EB9">
              <w:rPr>
                <w:sz w:val="14"/>
              </w:rPr>
              <w:t>Utilisation accrue de documents à partir de la page du site</w:t>
            </w:r>
            <w:r w:rsidR="0010442A" w:rsidRPr="00D74EB9">
              <w:rPr>
                <w:sz w:val="14"/>
              </w:rPr>
              <w:t> </w:t>
            </w:r>
            <w:r w:rsidRPr="00D74EB9">
              <w:rPr>
                <w:sz w:val="14"/>
              </w:rPr>
              <w:t>Web consacrée aux enjeux mondiaux</w:t>
            </w:r>
          </w:p>
        </w:tc>
        <w:tc>
          <w:tcPr>
            <w:tcW w:w="1203" w:type="dxa"/>
            <w:tcBorders>
              <w:top w:val="nil"/>
              <w:bottom w:val="nil"/>
            </w:tcBorders>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18</w:t>
            </w:r>
          </w:p>
        </w:tc>
        <w:tc>
          <w:tcPr>
            <w:tcW w:w="1349" w:type="dxa"/>
            <w:tcBorders>
              <w:top w:val="nil"/>
              <w:bottom w:val="nil"/>
            </w:tcBorders>
          </w:tcPr>
          <w:p w:rsidR="00BB3F3E" w:rsidRPr="005C7CCE" w:rsidRDefault="00BB3F3E" w:rsidP="001A5BF9">
            <w:pPr>
              <w:jc w:val="center"/>
              <w:rPr>
                <w:rFonts w:cs="Arial"/>
                <w:color w:val="008000"/>
                <w:szCs w:val="22"/>
              </w:rPr>
            </w:pPr>
            <w:r w:rsidRPr="005C7CCE">
              <w:rPr>
                <w:color w:val="008000"/>
              </w:rPr>
              <w:sym w:font="Wingdings" w:char="F06C"/>
            </w:r>
          </w:p>
        </w:tc>
      </w:tr>
      <w:tr w:rsidR="00BB3F3E" w:rsidRPr="005C7CCE" w:rsidTr="002A2523">
        <w:tc>
          <w:tcPr>
            <w:tcW w:w="3242"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572" w:type="dxa"/>
            <w:tcBorders>
              <w:top w:val="nil"/>
            </w:tcBorders>
            <w:shd w:val="clear" w:color="auto" w:fill="auto"/>
            <w:tcMar>
              <w:top w:w="113" w:type="dxa"/>
            </w:tcMar>
          </w:tcPr>
          <w:p w:rsidR="00BB3F3E" w:rsidRPr="00D74EB9" w:rsidRDefault="00BB3F3E" w:rsidP="001A5BF9">
            <w:pPr>
              <w:spacing w:before="80"/>
              <w:rPr>
                <w:rFonts w:cs="Arial"/>
                <w:sz w:val="14"/>
                <w:szCs w:val="14"/>
              </w:rPr>
            </w:pPr>
            <w:r w:rsidRPr="00D74EB9">
              <w:rPr>
                <w:sz w:val="14"/>
              </w:rPr>
              <w:t>Retours d</w:t>
            </w:r>
            <w:r w:rsidR="00A20444" w:rsidRPr="00D74EB9">
              <w:rPr>
                <w:sz w:val="14"/>
              </w:rPr>
              <w:t>’</w:t>
            </w:r>
            <w:r w:rsidRPr="00D74EB9">
              <w:rPr>
                <w:sz w:val="14"/>
              </w:rPr>
              <w:t>information des participants des instances d</w:t>
            </w:r>
            <w:r w:rsidR="00A20444" w:rsidRPr="00D74EB9">
              <w:rPr>
                <w:sz w:val="14"/>
              </w:rPr>
              <w:t>’</w:t>
            </w:r>
            <w:r w:rsidRPr="00D74EB9">
              <w:rPr>
                <w:sz w:val="14"/>
              </w:rPr>
              <w:t>examen des questions de politique générale</w:t>
            </w:r>
          </w:p>
        </w:tc>
        <w:tc>
          <w:tcPr>
            <w:tcW w:w="1203" w:type="dxa"/>
            <w:tcBorders>
              <w:top w:val="nil"/>
            </w:tcBorders>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 xml:space="preserve">Programme 18 </w:t>
            </w:r>
          </w:p>
        </w:tc>
        <w:tc>
          <w:tcPr>
            <w:tcW w:w="1349" w:type="dxa"/>
            <w:tcBorders>
              <w:top w:val="nil"/>
            </w:tcBorders>
          </w:tcPr>
          <w:p w:rsidR="00BB3F3E" w:rsidRPr="005C7CCE" w:rsidRDefault="00BB3F3E" w:rsidP="001A5BF9">
            <w:pPr>
              <w:jc w:val="center"/>
              <w:rPr>
                <w:rFonts w:cs="Arial"/>
                <w:color w:val="008000"/>
                <w:szCs w:val="22"/>
              </w:rPr>
            </w:pPr>
            <w:r w:rsidRPr="005C7CCE">
              <w:rPr>
                <w:color w:val="008000"/>
              </w:rPr>
              <w:sym w:font="Wingdings" w:char="F06C"/>
            </w:r>
          </w:p>
        </w:tc>
      </w:tr>
      <w:tr w:rsidR="00BB3F3E" w:rsidRPr="005C7CCE" w:rsidTr="002A2523">
        <w:tc>
          <w:tcPr>
            <w:tcW w:w="324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Reconnaissance de l</w:t>
            </w:r>
            <w:r w:rsidR="00A20444" w:rsidRPr="00D74EB9">
              <w:rPr>
                <w:sz w:val="14"/>
              </w:rPr>
              <w:t>’</w:t>
            </w:r>
            <w:r w:rsidRPr="00D74EB9">
              <w:rPr>
                <w:sz w:val="14"/>
              </w:rPr>
              <w:t>OMPI en tant que source fiable d</w:t>
            </w:r>
            <w:r w:rsidR="00A20444" w:rsidRPr="00D74EB9">
              <w:rPr>
                <w:sz w:val="14"/>
              </w:rPr>
              <w:t>’</w:t>
            </w:r>
            <w:r w:rsidRPr="00D74EB9">
              <w:rPr>
                <w:sz w:val="14"/>
              </w:rPr>
              <w:t>appui, d</w:t>
            </w:r>
            <w:r w:rsidR="00A20444" w:rsidRPr="00D74EB9">
              <w:rPr>
                <w:sz w:val="14"/>
              </w:rPr>
              <w:t>’</w:t>
            </w:r>
            <w:r w:rsidRPr="00D74EB9">
              <w:rPr>
                <w:sz w:val="14"/>
              </w:rPr>
              <w:t>assistance et de référence en ce qui concerne l</w:t>
            </w:r>
            <w:r w:rsidR="00A20444" w:rsidRPr="00D74EB9">
              <w:rPr>
                <w:sz w:val="14"/>
              </w:rPr>
              <w:t>’</w:t>
            </w:r>
            <w:r w:rsidRPr="00D74EB9">
              <w:rPr>
                <w:sz w:val="14"/>
              </w:rPr>
              <w:t>information en matière d</w:t>
            </w:r>
            <w:r w:rsidR="00A20444" w:rsidRPr="00D74EB9">
              <w:rPr>
                <w:sz w:val="14"/>
              </w:rPr>
              <w:t>’</w:t>
            </w:r>
            <w:r w:rsidRPr="00D74EB9">
              <w:rPr>
                <w:sz w:val="14"/>
              </w:rPr>
              <w:t xml:space="preserve">innovation et de propriété intellectuelle dans les processus de politique publique pertinents </w:t>
            </w:r>
          </w:p>
        </w:tc>
        <w:tc>
          <w:tcPr>
            <w:tcW w:w="357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et éventail de demandes émanant des États membres et des organisations internationales concernant des contributions de l</w:t>
            </w:r>
            <w:r w:rsidR="00A20444" w:rsidRPr="00D74EB9">
              <w:rPr>
                <w:sz w:val="14"/>
              </w:rPr>
              <w:t>’</w:t>
            </w:r>
            <w:r w:rsidRPr="00D74EB9">
              <w:rPr>
                <w:sz w:val="14"/>
              </w:rPr>
              <w:t>OMPI dans le domaine de la propriété intellectuelle en rapport avec les questions d</w:t>
            </w:r>
            <w:r w:rsidR="00A20444" w:rsidRPr="00D74EB9">
              <w:rPr>
                <w:sz w:val="14"/>
              </w:rPr>
              <w:t>’</w:t>
            </w:r>
            <w:r w:rsidRPr="00D74EB9">
              <w:rPr>
                <w:sz w:val="14"/>
              </w:rPr>
              <w:t>intérêt général à l</w:t>
            </w:r>
            <w:r w:rsidR="00A20444" w:rsidRPr="00D74EB9">
              <w:rPr>
                <w:sz w:val="14"/>
              </w:rPr>
              <w:t>’</w:t>
            </w:r>
            <w:r w:rsidRPr="00D74EB9">
              <w:rPr>
                <w:sz w:val="14"/>
              </w:rPr>
              <w:t>échelle mondiale</w:t>
            </w:r>
          </w:p>
        </w:tc>
        <w:tc>
          <w:tcPr>
            <w:tcW w:w="1203"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 xml:space="preserve">Programme 18 </w:t>
            </w:r>
          </w:p>
        </w:tc>
        <w:tc>
          <w:tcPr>
            <w:tcW w:w="1349" w:type="dxa"/>
          </w:tcPr>
          <w:p w:rsidR="00BB3F3E" w:rsidRPr="005C7CCE" w:rsidRDefault="00BB3F3E" w:rsidP="001A5BF9">
            <w:pPr>
              <w:jc w:val="center"/>
              <w:rPr>
                <w:rFonts w:cs="Arial"/>
                <w:color w:val="008000"/>
                <w:szCs w:val="22"/>
              </w:rPr>
            </w:pPr>
            <w:r w:rsidRPr="005C7CCE">
              <w:rPr>
                <w:color w:val="008000"/>
              </w:rPr>
              <w:sym w:font="Wingdings" w:char="F06C"/>
            </w:r>
          </w:p>
        </w:tc>
      </w:tr>
      <w:tr w:rsidR="00BB3F3E" w:rsidRPr="005C7CCE" w:rsidTr="002A2523">
        <w:tc>
          <w:tcPr>
            <w:tcW w:w="3242" w:type="dxa"/>
            <w:vMerge w:val="restart"/>
            <w:shd w:val="clear" w:color="auto" w:fill="auto"/>
            <w:tcMar>
              <w:top w:w="113" w:type="dxa"/>
            </w:tcMar>
          </w:tcPr>
          <w:p w:rsidR="00BB3F3E" w:rsidRPr="00D74EB9" w:rsidRDefault="00BB3F3E" w:rsidP="001A5BF9">
            <w:pPr>
              <w:spacing w:before="80"/>
              <w:rPr>
                <w:rFonts w:cs="Arial"/>
                <w:sz w:val="14"/>
                <w:szCs w:val="14"/>
              </w:rPr>
            </w:pPr>
            <w:r w:rsidRPr="00D74EB9">
              <w:rPr>
                <w:sz w:val="14"/>
              </w:rPr>
              <w:t>Les instruments axés sur la propriété intellectuelle sont utilisés pour le transfert de connaissances entre les pays développés et les pays en développement, notamment les pays les moins avancés, pour répondre aux défis mondiaux</w:t>
            </w:r>
          </w:p>
        </w:tc>
        <w:tc>
          <w:tcPr>
            <w:tcW w:w="357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de participants des plates</w:t>
            </w:r>
            <w:r w:rsidR="002D6F2A" w:rsidRPr="00D74EB9">
              <w:rPr>
                <w:sz w:val="14"/>
              </w:rPr>
              <w:noBreakHyphen/>
            </w:r>
            <w:r w:rsidRPr="00D74EB9">
              <w:rPr>
                <w:sz w:val="14"/>
              </w:rPr>
              <w:t>formes axées sur la propriété intellectuelle</w:t>
            </w:r>
          </w:p>
        </w:tc>
        <w:tc>
          <w:tcPr>
            <w:tcW w:w="1203"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 xml:space="preserve">Programme 18 </w:t>
            </w:r>
          </w:p>
        </w:tc>
        <w:tc>
          <w:tcPr>
            <w:tcW w:w="1349" w:type="dxa"/>
          </w:tcPr>
          <w:p w:rsidR="00BB3F3E" w:rsidRPr="005C7CCE" w:rsidRDefault="00BB3F3E" w:rsidP="001A5BF9">
            <w:pPr>
              <w:jc w:val="center"/>
              <w:rPr>
                <w:rFonts w:cs="Arial"/>
                <w:color w:val="00B050"/>
                <w:szCs w:val="22"/>
              </w:rPr>
            </w:pPr>
            <w:r w:rsidRPr="005C7CCE">
              <w:rPr>
                <w:color w:val="008000"/>
              </w:rPr>
              <w:sym w:font="Wingdings" w:char="F06C"/>
            </w:r>
          </w:p>
        </w:tc>
      </w:tr>
      <w:tr w:rsidR="00BB3F3E" w:rsidRPr="005C7CCE" w:rsidTr="002A2523">
        <w:tc>
          <w:tcPr>
            <w:tcW w:w="3242" w:type="dxa"/>
            <w:vMerge/>
            <w:shd w:val="clear" w:color="auto" w:fill="auto"/>
            <w:tcMar>
              <w:top w:w="113" w:type="dxa"/>
            </w:tcMar>
          </w:tcPr>
          <w:p w:rsidR="00BB3F3E" w:rsidRPr="00D74EB9" w:rsidRDefault="00BB3F3E" w:rsidP="001A5BF9">
            <w:pPr>
              <w:spacing w:before="80"/>
              <w:rPr>
                <w:rFonts w:cs="Arial"/>
                <w:sz w:val="14"/>
                <w:szCs w:val="14"/>
              </w:rPr>
            </w:pPr>
          </w:p>
        </w:tc>
        <w:tc>
          <w:tcPr>
            <w:tcW w:w="357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de transactions conclues au moyen des plates</w:t>
            </w:r>
            <w:r w:rsidR="002D6F2A" w:rsidRPr="00D74EB9">
              <w:rPr>
                <w:sz w:val="14"/>
              </w:rPr>
              <w:noBreakHyphen/>
            </w:r>
            <w:r w:rsidRPr="00D74EB9">
              <w:rPr>
                <w:sz w:val="14"/>
              </w:rPr>
              <w:t>formes</w:t>
            </w:r>
          </w:p>
        </w:tc>
        <w:tc>
          <w:tcPr>
            <w:tcW w:w="1203"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18</w:t>
            </w:r>
          </w:p>
        </w:tc>
        <w:tc>
          <w:tcPr>
            <w:tcW w:w="1349" w:type="dxa"/>
          </w:tcPr>
          <w:p w:rsidR="00BB3F3E" w:rsidRPr="005C7CCE" w:rsidRDefault="00BB3F3E" w:rsidP="001A5BF9">
            <w:pPr>
              <w:jc w:val="center"/>
              <w:rPr>
                <w:rFonts w:cs="Arial"/>
                <w:szCs w:val="22"/>
              </w:rPr>
            </w:pPr>
            <w:r w:rsidRPr="005C7CCE">
              <w:rPr>
                <w:color w:val="E36C0A"/>
              </w:rPr>
              <w:sym w:font="Wingdings" w:char="F06C"/>
            </w:r>
          </w:p>
        </w:tc>
      </w:tr>
      <w:tr w:rsidR="00BB3F3E" w:rsidRPr="005C7CCE" w:rsidTr="002A2523">
        <w:tc>
          <w:tcPr>
            <w:tcW w:w="324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Reconnaissance de l</w:t>
            </w:r>
            <w:r w:rsidR="00A20444" w:rsidRPr="00D74EB9">
              <w:rPr>
                <w:sz w:val="14"/>
              </w:rPr>
              <w:t>’</w:t>
            </w:r>
            <w:r w:rsidRPr="00D74EB9">
              <w:rPr>
                <w:sz w:val="14"/>
              </w:rPr>
              <w:t>OMPI en tant qu</w:t>
            </w:r>
            <w:r w:rsidR="00A20444" w:rsidRPr="00D74EB9">
              <w:rPr>
                <w:sz w:val="14"/>
              </w:rPr>
              <w:t>’</w:t>
            </w:r>
            <w:r w:rsidRPr="00D74EB9">
              <w:rPr>
                <w:sz w:val="14"/>
              </w:rPr>
              <w:t>instance compétente pour examiner les questions relatives à la propriété intellectuelle et à la politique en matière de concurrence</w:t>
            </w:r>
          </w:p>
        </w:tc>
        <w:tc>
          <w:tcPr>
            <w:tcW w:w="357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de pays demandant à l</w:t>
            </w:r>
            <w:r w:rsidR="00A20444" w:rsidRPr="00D74EB9">
              <w:rPr>
                <w:sz w:val="14"/>
              </w:rPr>
              <w:t>’</w:t>
            </w:r>
            <w:r w:rsidRPr="00D74EB9">
              <w:rPr>
                <w:sz w:val="14"/>
              </w:rPr>
              <w:t>OMPI une contribution dans le domaine de la propriété intellectuelle en rapport avec des questions relatives au droit de la concurrence</w:t>
            </w:r>
          </w:p>
        </w:tc>
        <w:tc>
          <w:tcPr>
            <w:tcW w:w="1203"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18</w:t>
            </w:r>
          </w:p>
        </w:tc>
        <w:tc>
          <w:tcPr>
            <w:tcW w:w="1349" w:type="dxa"/>
          </w:tcPr>
          <w:p w:rsidR="00BB3F3E" w:rsidRPr="005C7CCE" w:rsidRDefault="00BB3F3E" w:rsidP="001A5BF9">
            <w:pPr>
              <w:jc w:val="center"/>
              <w:rPr>
                <w:rFonts w:cs="Arial"/>
                <w:color w:val="008000"/>
                <w:szCs w:val="22"/>
              </w:rPr>
            </w:pPr>
            <w:r w:rsidRPr="005C7CCE">
              <w:rPr>
                <w:color w:val="008000"/>
              </w:rPr>
              <w:sym w:font="Wingdings" w:char="F06C"/>
            </w:r>
          </w:p>
        </w:tc>
      </w:tr>
      <w:tr w:rsidR="00BB3F3E" w:rsidRPr="005C7CCE" w:rsidTr="002A2523">
        <w:tc>
          <w:tcPr>
            <w:tcW w:w="3242" w:type="dxa"/>
            <w:shd w:val="clear" w:color="auto" w:fill="auto"/>
            <w:tcMar>
              <w:top w:w="113" w:type="dxa"/>
            </w:tcMar>
          </w:tcPr>
          <w:p w:rsidR="00BB3F3E" w:rsidRPr="00D74EB9" w:rsidRDefault="00BB3F3E" w:rsidP="001A5BF9">
            <w:pPr>
              <w:spacing w:before="80"/>
              <w:ind w:firstLineChars="100" w:firstLine="140"/>
              <w:rPr>
                <w:rFonts w:cs="Arial"/>
                <w:sz w:val="14"/>
                <w:szCs w:val="14"/>
              </w:rPr>
            </w:pPr>
            <w:r w:rsidRPr="00D74EB9">
              <w:rPr>
                <w:sz w:val="14"/>
              </w:rPr>
              <w:t> </w:t>
            </w:r>
          </w:p>
        </w:tc>
        <w:tc>
          <w:tcPr>
            <w:tcW w:w="357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et éventail de parties prenantes (offices de propriété intellectuelle, services chargés de l</w:t>
            </w:r>
            <w:r w:rsidR="00A20444" w:rsidRPr="00D74EB9">
              <w:rPr>
                <w:sz w:val="14"/>
              </w:rPr>
              <w:t>’</w:t>
            </w:r>
            <w:r w:rsidRPr="00D74EB9">
              <w:rPr>
                <w:sz w:val="14"/>
              </w:rPr>
              <w:t>application du droit de la concurrence, organisations intergouvernementales et ONG compétentes) ayant engagé un dialogue avec l</w:t>
            </w:r>
            <w:r w:rsidR="00A20444" w:rsidRPr="00D74EB9">
              <w:rPr>
                <w:sz w:val="14"/>
              </w:rPr>
              <w:t>’</w:t>
            </w:r>
            <w:r w:rsidRPr="00D74EB9">
              <w:rPr>
                <w:sz w:val="14"/>
              </w:rPr>
              <w:t>OMPI</w:t>
            </w:r>
          </w:p>
        </w:tc>
        <w:tc>
          <w:tcPr>
            <w:tcW w:w="1203"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18</w:t>
            </w:r>
          </w:p>
        </w:tc>
        <w:tc>
          <w:tcPr>
            <w:tcW w:w="1349" w:type="dxa"/>
          </w:tcPr>
          <w:p w:rsidR="00BB3F3E" w:rsidRPr="005C7CCE" w:rsidRDefault="00BB3F3E" w:rsidP="001A5BF9">
            <w:pPr>
              <w:jc w:val="center"/>
              <w:rPr>
                <w:rFonts w:cs="Arial"/>
                <w:color w:val="008000"/>
                <w:szCs w:val="22"/>
              </w:rPr>
            </w:pPr>
            <w:r w:rsidRPr="005C7CCE">
              <w:rPr>
                <w:color w:val="008000"/>
              </w:rPr>
              <w:sym w:font="Wingdings" w:char="F06C"/>
            </w:r>
          </w:p>
        </w:tc>
      </w:tr>
    </w:tbl>
    <w:p w:rsidR="00D42474" w:rsidRDefault="00D42474" w:rsidP="001A5BF9">
      <w:pPr>
        <w:jc w:val="both"/>
        <w:rPr>
          <w:i/>
          <w:iCs/>
        </w:rPr>
      </w:pPr>
    </w:p>
    <w:p w:rsidR="00D42474" w:rsidRDefault="00D42474" w:rsidP="001A5BF9">
      <w:pPr>
        <w:jc w:val="both"/>
        <w:rPr>
          <w:i/>
          <w:iCs/>
        </w:rPr>
      </w:pPr>
    </w:p>
    <w:p w:rsidR="00D42474" w:rsidRDefault="00BB3F3E" w:rsidP="001A5BF9">
      <w:pPr>
        <w:jc w:val="both"/>
      </w:pPr>
      <w:r w:rsidRPr="005C7CCE">
        <w:t xml:space="preserve">Il convient également de noter les progrès significatifs accomplis sur des questions urgentes et interdépendantes qui se posent au niveau mondial, comme la santé publique, le changement climatique et la sécurité alimentaire. </w:t>
      </w:r>
      <w:r w:rsidR="0010442A" w:rsidRPr="005C7CCE">
        <w:t xml:space="preserve"> </w:t>
      </w:r>
      <w:r w:rsidRPr="005C7CCE">
        <w:t>Ces progrès ont permis aux décideurs en la matière de mieux comprendre le rapport entre ces défis à relever à l</w:t>
      </w:r>
      <w:r w:rsidR="00A20444" w:rsidRPr="005C7CCE">
        <w:t>’</w:t>
      </w:r>
      <w:r w:rsidRPr="005C7CCE">
        <w:t>échelle mondiale et l</w:t>
      </w:r>
      <w:r w:rsidR="00A20444" w:rsidRPr="005C7CCE">
        <w:t>’</w:t>
      </w:r>
      <w:r w:rsidRPr="005C7CCE">
        <w:t>innovation et la propriété intellectuelle.</w:t>
      </w:r>
      <w:r w:rsidR="0010442A" w:rsidRPr="005C7CCE">
        <w:t xml:space="preserve"> </w:t>
      </w:r>
      <w:r w:rsidRPr="005C7CCE">
        <w:t xml:space="preserve"> Le lancement, en novembre 2013, de la plate</w:t>
      </w:r>
      <w:r w:rsidR="002D6F2A" w:rsidRPr="005C7CCE">
        <w:noBreakHyphen/>
      </w:r>
      <w:r w:rsidRPr="005C7CCE">
        <w:t>forme opérationnelle WIPO GREEN, marché interactif conçu pour promouvoir l</w:t>
      </w:r>
      <w:r w:rsidR="00A20444" w:rsidRPr="005C7CCE">
        <w:t>’</w:t>
      </w:r>
      <w:r w:rsidRPr="005C7CCE">
        <w:t>innovation, le transfert et la diffusion de technologies “vertes” en connectant des fournisseurs de technologies et de services aux personnes en quête de solution</w:t>
      </w:r>
      <w:r w:rsidR="00A93636">
        <w:t xml:space="preserve">s </w:t>
      </w:r>
      <w:r w:rsidRPr="005C7CCE">
        <w:t>innovantes, constitue une réalisation majeure de l</w:t>
      </w:r>
      <w:r w:rsidR="00A20444" w:rsidRPr="005C7CCE">
        <w:t>’</w:t>
      </w:r>
      <w:r w:rsidRPr="005C7CCE">
        <w:t xml:space="preserve">exercice biennal. </w:t>
      </w:r>
      <w:r w:rsidR="0010442A" w:rsidRPr="005C7CCE">
        <w:t xml:space="preserve"> </w:t>
      </w:r>
      <w:r w:rsidRPr="005C7CCE">
        <w:t>À la fin de l</w:t>
      </w:r>
      <w:r w:rsidR="00A20444" w:rsidRPr="005C7CCE">
        <w:t>’</w:t>
      </w:r>
      <w:r w:rsidRPr="005C7CCE">
        <w:t xml:space="preserve">exercice biennal, WIPO GREEN comptait un total cumulé de 62 membres (37 partenaires et 25 fournisseurs de technologies et services) et </w:t>
      </w:r>
      <w:r w:rsidRPr="00D74EB9">
        <w:t xml:space="preserve">737 entrées dans la base de données. </w:t>
      </w:r>
      <w:r w:rsidR="0010442A" w:rsidRPr="00D74EB9">
        <w:t xml:space="preserve"> </w:t>
      </w:r>
      <w:r w:rsidRPr="00D74EB9">
        <w:t>Une autre réalisation notable a été la publication en 2013 d</w:t>
      </w:r>
      <w:r w:rsidR="00A20444" w:rsidRPr="00D74EB9">
        <w:t>’</w:t>
      </w:r>
      <w:r w:rsidRPr="00D74EB9">
        <w:t xml:space="preserve">une étude technique conjointe intitulée </w:t>
      </w:r>
      <w:r w:rsidR="00D74EB9">
        <w:t>“</w:t>
      </w:r>
      <w:r w:rsidRPr="00D74EB9">
        <w:t>Promouvoir l</w:t>
      </w:r>
      <w:r w:rsidR="00A20444" w:rsidRPr="00D74EB9">
        <w:t>’</w:t>
      </w:r>
      <w:r w:rsidRPr="00D74EB9">
        <w:t>accès aux technologies et l</w:t>
      </w:r>
      <w:r w:rsidR="00A20444" w:rsidRPr="00D74EB9">
        <w:t>’</w:t>
      </w:r>
      <w:r w:rsidRPr="00D74EB9">
        <w:t>innovation dans le domaine médical : Convergences entre santé publique, propriété intellectuelle et commerce</w:t>
      </w:r>
      <w:r w:rsidR="00D74EB9">
        <w:t>”</w:t>
      </w:r>
      <w:r w:rsidRPr="00D74EB9">
        <w:t>, issue de la</w:t>
      </w:r>
      <w:r w:rsidRPr="005C7CCE">
        <w:t xml:space="preserve"> coopération trilatérale entre l</w:t>
      </w:r>
      <w:r w:rsidR="00A20444" w:rsidRPr="005C7CCE">
        <w:t>’</w:t>
      </w:r>
      <w:r w:rsidRPr="005C7CCE">
        <w:t>OMPI, l</w:t>
      </w:r>
      <w:r w:rsidR="00A20444" w:rsidRPr="005C7CCE">
        <w:t>’</w:t>
      </w:r>
      <w:r w:rsidRPr="005C7CCE">
        <w:t>OMS et l</w:t>
      </w:r>
      <w:r w:rsidR="00A20444" w:rsidRPr="005C7CCE">
        <w:t>’</w:t>
      </w:r>
      <w:r w:rsidRPr="005C7CCE">
        <w:t>OMC.</w:t>
      </w:r>
    </w:p>
    <w:p w:rsidR="00D42474" w:rsidRDefault="00D42474" w:rsidP="001A5BF9">
      <w:pPr>
        <w:jc w:val="both"/>
        <w:rPr>
          <w:sz w:val="18"/>
        </w:rPr>
      </w:pPr>
    </w:p>
    <w:p w:rsidR="00D42474" w:rsidRDefault="00BB3F3E" w:rsidP="001A5BF9">
      <w:pPr>
        <w:jc w:val="both"/>
      </w:pPr>
      <w:r w:rsidRPr="005C7CCE">
        <w:t>Offrant un forum aux participants pour échanger des idées, leur expertise et des informations se rapportant à ces trois</w:t>
      </w:r>
      <w:r w:rsidR="0010442A" w:rsidRPr="005C7CCE">
        <w:t> </w:t>
      </w:r>
      <w:r w:rsidRPr="005C7CCE">
        <w:t>principaux domaines, trois séminaires ont été organisés au cours de l</w:t>
      </w:r>
      <w:r w:rsidR="00A20444" w:rsidRPr="005C7CCE">
        <w:t>’</w:t>
      </w:r>
      <w:r w:rsidRPr="005C7CCE">
        <w:t>exercice biennal dans le cadre de la série de séminaires de l</w:t>
      </w:r>
      <w:r w:rsidR="00A20444" w:rsidRPr="005C7CCE">
        <w:t>’</w:t>
      </w:r>
      <w:r w:rsidRPr="005C7CCE">
        <w:t>OMPI sur les enjeux mondiaux, lancée en mars 2012.</w:t>
      </w:r>
    </w:p>
    <w:p w:rsidR="00D42474" w:rsidRDefault="00D42474" w:rsidP="001A5BF9">
      <w:pPr>
        <w:jc w:val="both"/>
        <w:rPr>
          <w:bCs/>
          <w:iCs/>
          <w:sz w:val="18"/>
        </w:rPr>
      </w:pPr>
    </w:p>
    <w:p w:rsidR="00D42474" w:rsidRDefault="00BB3F3E" w:rsidP="001A5BF9">
      <w:pPr>
        <w:jc w:val="both"/>
      </w:pPr>
      <w:r w:rsidRPr="00D74EB9">
        <w:t>L</w:t>
      </w:r>
      <w:r w:rsidR="00A20444" w:rsidRPr="00D74EB9">
        <w:t>’</w:t>
      </w:r>
      <w:r w:rsidRPr="00D74EB9">
        <w:t>exercice biennal a également été marqué par les pro</w:t>
      </w:r>
      <w:r w:rsidR="00A93636" w:rsidRPr="00D74EB9">
        <w:t>grès majeurs accomplis par WIPO </w:t>
      </w:r>
      <w:proofErr w:type="spellStart"/>
      <w:r w:rsidRPr="00D74EB9">
        <w:t>Re:Search</w:t>
      </w:r>
      <w:proofErr w:type="spellEnd"/>
      <w:r w:rsidRPr="00D74EB9">
        <w:t>, nouveau consortium d</w:t>
      </w:r>
      <w:r w:rsidR="00A20444" w:rsidRPr="00D74EB9">
        <w:t>’</w:t>
      </w:r>
      <w:r w:rsidRPr="00D74EB9">
        <w:t>institutions des secteurs public et privé de pays développés et en développement, qui fournissent un accès sans redevance à des actifs de propriété intellectuelle pour stimuler de nouveaux travaux de recherche et développement sur des maladies tropicales négligées, le paludisme, et la tuberculose.</w:t>
      </w:r>
      <w:r w:rsidR="004F3E42" w:rsidRPr="00D74EB9">
        <w:t xml:space="preserve"> </w:t>
      </w:r>
      <w:r w:rsidR="0010442A" w:rsidRPr="00D74EB9">
        <w:t xml:space="preserve"> </w:t>
      </w:r>
      <w:proofErr w:type="spellStart"/>
      <w:r w:rsidR="00A93636" w:rsidRPr="00D74EB9">
        <w:t>Wipo</w:t>
      </w:r>
      <w:proofErr w:type="spellEnd"/>
      <w:r w:rsidR="00A93636" w:rsidRPr="00D74EB9">
        <w:t> </w:t>
      </w:r>
      <w:proofErr w:type="spellStart"/>
      <w:r w:rsidRPr="00D74EB9">
        <w:t>Re:Search</w:t>
      </w:r>
      <w:proofErr w:type="spellEnd"/>
      <w:r w:rsidRPr="00D74EB9">
        <w:t xml:space="preserve"> a acquis un statut de plate</w:t>
      </w:r>
      <w:r w:rsidR="002D6F2A" w:rsidRPr="00D74EB9">
        <w:noBreakHyphen/>
      </w:r>
      <w:r w:rsidRPr="00D74EB9">
        <w:t xml:space="preserve">forme reconnue, avec 30 nouveaux membres </w:t>
      </w:r>
      <w:r w:rsidRPr="005C7CCE">
        <w:t xml:space="preserve">et 11 accords de recherche en collaboration en 2012 et 19 nouveaux membres et 33 nouveaux accords de recherche en 2013. </w:t>
      </w:r>
      <w:r w:rsidR="0010442A" w:rsidRPr="005C7CCE">
        <w:t xml:space="preserve"> </w:t>
      </w:r>
      <w:r w:rsidRPr="005C7CCE">
        <w:t>Cela a porté le nombre total de membres à 80 et de collaborations à 44 à la fin de l</w:t>
      </w:r>
      <w:r w:rsidR="00A20444" w:rsidRPr="005C7CCE">
        <w:t>’</w:t>
      </w:r>
      <w:r w:rsidRPr="005C7CCE">
        <w:t>exercice biennal, une augmentation de 260</w:t>
      </w:r>
      <w:r w:rsidR="007E442D" w:rsidRPr="005C7CCE">
        <w:t>%</w:t>
      </w:r>
      <w:r w:rsidRPr="005C7CCE">
        <w:t xml:space="preserve"> du nombre de membres depuis le lancement de la plate</w:t>
      </w:r>
      <w:r w:rsidR="002D6F2A" w:rsidRPr="005C7CCE">
        <w:noBreakHyphen/>
      </w:r>
      <w:r w:rsidRPr="005C7CCE">
        <w:t>forme en octobre 2011.</w:t>
      </w:r>
      <w:r w:rsidR="0010442A" w:rsidRPr="005C7CCE">
        <w:t xml:space="preserve"> </w:t>
      </w:r>
      <w:r w:rsidR="005C3E25">
        <w:t xml:space="preserve"> En outre, WIPO </w:t>
      </w:r>
      <w:proofErr w:type="spellStart"/>
      <w:r w:rsidRPr="005C7CCE">
        <w:t>Re:Search</w:t>
      </w:r>
      <w:proofErr w:type="spellEnd"/>
      <w:r w:rsidRPr="005C7CCE">
        <w:t xml:space="preserve"> comprend 15 membres de 10 pays africains, point particulièrement important pour les objectifs politiques plus larges de l</w:t>
      </w:r>
      <w:r w:rsidR="00A20444" w:rsidRPr="005C7CCE">
        <w:t>’</w:t>
      </w:r>
      <w:r w:rsidRPr="005C7CCE">
        <w:t>OMPI énoncés dans le cadre de son Plan d</w:t>
      </w:r>
      <w:r w:rsidR="00A20444" w:rsidRPr="005C7CCE">
        <w:t>’</w:t>
      </w:r>
      <w:r w:rsidRPr="005C7CCE">
        <w:t>action pour le développement.</w:t>
      </w:r>
    </w:p>
    <w:p w:rsidR="00D42474" w:rsidRDefault="00D42474" w:rsidP="001A5BF9">
      <w:pPr>
        <w:keepNext/>
        <w:keepLines/>
        <w:jc w:val="both"/>
        <w:rPr>
          <w:b/>
          <w:iCs/>
        </w:rPr>
      </w:pPr>
    </w:p>
    <w:p w:rsidR="00D42474" w:rsidRDefault="00D42474" w:rsidP="001A5BF9">
      <w:pPr>
        <w:rPr>
          <w:b/>
          <w:iCs/>
        </w:rPr>
      </w:pPr>
    </w:p>
    <w:p w:rsidR="00D42474" w:rsidRDefault="00BB3F3E" w:rsidP="00D74EB9">
      <w:pPr>
        <w:keepNext/>
        <w:keepLines/>
        <w:jc w:val="center"/>
        <w:rPr>
          <w:b/>
          <w:iCs/>
        </w:rPr>
      </w:pPr>
      <w:r w:rsidRPr="00D74EB9">
        <w:rPr>
          <w:b/>
        </w:rPr>
        <w:t>Objectif stratégique VIII</w:t>
      </w:r>
      <w:r w:rsidR="00D74EB9" w:rsidRPr="00D74EB9">
        <w:rPr>
          <w:b/>
        </w:rPr>
        <w:t> :</w:t>
      </w:r>
      <w:r w:rsidRPr="00D74EB9">
        <w:rPr>
          <w:b/>
        </w:rPr>
        <w:t xml:space="preserve"> Interface de communication dynamique entre l</w:t>
      </w:r>
      <w:r w:rsidR="00A20444" w:rsidRPr="00D74EB9">
        <w:rPr>
          <w:b/>
        </w:rPr>
        <w:t>’</w:t>
      </w:r>
      <w:r w:rsidRPr="00D74EB9">
        <w:rPr>
          <w:b/>
        </w:rPr>
        <w:t xml:space="preserve">OMPI, </w:t>
      </w:r>
      <w:r w:rsidR="00D74EB9" w:rsidRPr="00D74EB9">
        <w:rPr>
          <w:b/>
        </w:rPr>
        <w:br/>
      </w:r>
      <w:r w:rsidRPr="00D74EB9">
        <w:rPr>
          <w:b/>
        </w:rPr>
        <w:t>ses États membres et l</w:t>
      </w:r>
      <w:r w:rsidR="00A20444" w:rsidRPr="00D74EB9">
        <w:rPr>
          <w:b/>
        </w:rPr>
        <w:t>’</w:t>
      </w:r>
      <w:r w:rsidRPr="00D74EB9">
        <w:rPr>
          <w:b/>
        </w:rPr>
        <w:t>ensemble des parties prenantes</w:t>
      </w:r>
    </w:p>
    <w:p w:rsidR="00D42474" w:rsidRDefault="00D42474" w:rsidP="001A5BF9">
      <w:pPr>
        <w:keepNext/>
        <w:keepLines/>
        <w:jc w:val="both"/>
        <w:rPr>
          <w:i/>
          <w:iCs/>
        </w:rPr>
      </w:pPr>
    </w:p>
    <w:p w:rsidR="00D42474" w:rsidRDefault="00BB3F3E" w:rsidP="001A5BF9">
      <w:pPr>
        <w:jc w:val="center"/>
        <w:rPr>
          <w:b/>
          <w:sz w:val="18"/>
          <w:szCs w:val="18"/>
        </w:rPr>
      </w:pPr>
      <w:r w:rsidRPr="005C7CCE">
        <w:rPr>
          <w:b/>
          <w:sz w:val="18"/>
        </w:rPr>
        <w:t>Résumé des réalisations par résultat escompté</w:t>
      </w:r>
    </w:p>
    <w:p w:rsidR="00D42474" w:rsidRDefault="00D42474" w:rsidP="001A5BF9">
      <w:pPr>
        <w:jc w:val="center"/>
        <w:rPr>
          <w:b/>
          <w:sz w:val="18"/>
          <w:szCs w:val="18"/>
        </w:rPr>
      </w:pPr>
    </w:p>
    <w:p w:rsidR="00D42474" w:rsidRDefault="00D656BD" w:rsidP="001A5BF9">
      <w:pPr>
        <w:jc w:val="center"/>
        <w:rPr>
          <w:b/>
          <w:sz w:val="18"/>
          <w:szCs w:val="18"/>
        </w:rPr>
      </w:pPr>
      <w:r w:rsidRPr="005C7CCE">
        <w:rPr>
          <w:noProof/>
        </w:rPr>
        <w:drawing>
          <wp:inline distT="0" distB="0" distL="0" distR="0" wp14:anchorId="3E58E72D" wp14:editId="73A98F52">
            <wp:extent cx="5939790" cy="246507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9790" cy="2465070"/>
                    </a:xfrm>
                    <a:prstGeom prst="rect">
                      <a:avLst/>
                    </a:prstGeom>
                    <a:noFill/>
                    <a:ln>
                      <a:noFill/>
                    </a:ln>
                  </pic:spPr>
                </pic:pic>
              </a:graphicData>
            </a:graphic>
          </wp:inline>
        </w:drawing>
      </w:r>
    </w:p>
    <w:p w:rsidR="00D42474" w:rsidRDefault="00D42474" w:rsidP="001A5BF9">
      <w:pPr>
        <w:jc w:val="center"/>
        <w:rPr>
          <w:b/>
          <w:sz w:val="14"/>
          <w:szCs w:val="18"/>
        </w:rPr>
      </w:pPr>
    </w:p>
    <w:p w:rsidR="00D42474" w:rsidRDefault="00D42474" w:rsidP="001A5BF9">
      <w:pPr>
        <w:jc w:val="center"/>
        <w:rPr>
          <w:b/>
          <w:sz w:val="14"/>
          <w:szCs w:val="18"/>
        </w:rPr>
      </w:pPr>
    </w:p>
    <w:p w:rsidR="00D42474" w:rsidRDefault="00BB3F3E" w:rsidP="001A5BF9">
      <w:pPr>
        <w:jc w:val="center"/>
        <w:rPr>
          <w:b/>
          <w:szCs w:val="20"/>
        </w:rPr>
      </w:pPr>
      <w:r w:rsidRPr="005C7CCE">
        <w:rPr>
          <w:b/>
        </w:rPr>
        <w:t>Tableau de bord de l</w:t>
      </w:r>
      <w:r w:rsidR="00A20444" w:rsidRPr="005C7CCE">
        <w:rPr>
          <w:b/>
        </w:rPr>
        <w:t>’</w:t>
      </w:r>
      <w:r w:rsidRPr="005C7CCE">
        <w:rPr>
          <w:b/>
        </w:rPr>
        <w:t>exécution du programme biennal</w:t>
      </w:r>
    </w:p>
    <w:p w:rsidR="00D42474" w:rsidRDefault="00D42474" w:rsidP="001A5BF9">
      <w:pPr>
        <w:jc w:val="center"/>
        <w:rPr>
          <w:b/>
          <w:sz w:val="14"/>
          <w:szCs w:val="18"/>
        </w:rPr>
      </w:pPr>
    </w:p>
    <w:p w:rsidR="00D42474" w:rsidRDefault="00BB3F3E"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BB3F3E" w:rsidRPr="005C7CCE" w:rsidRDefault="00BB3F3E" w:rsidP="001A5BF9">
      <w:pPr>
        <w:jc w:val="center"/>
        <w:rPr>
          <w:b/>
          <w:sz w:val="14"/>
          <w:szCs w:val="18"/>
        </w:rPr>
      </w:pPr>
    </w:p>
    <w:tbl>
      <w:tblPr>
        <w:tblW w:w="0" w:type="auto"/>
        <w:tblInd w:w="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04"/>
        <w:gridCol w:w="4252"/>
        <w:gridCol w:w="1174"/>
        <w:gridCol w:w="1236"/>
      </w:tblGrid>
      <w:tr w:rsidR="00D74EB9" w:rsidRPr="00D74EB9" w:rsidTr="00D74EB9">
        <w:trPr>
          <w:cantSplit/>
          <w:tblHeader/>
        </w:trPr>
        <w:tc>
          <w:tcPr>
            <w:tcW w:w="2704"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Résultats escomptés</w:t>
            </w:r>
          </w:p>
        </w:tc>
        <w:tc>
          <w:tcPr>
            <w:tcW w:w="4252"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Indicateurs d</w:t>
            </w:r>
            <w:r w:rsidR="00A20444" w:rsidRPr="00D74EB9">
              <w:rPr>
                <w:b/>
                <w:sz w:val="14"/>
              </w:rPr>
              <w:t>’</w:t>
            </w:r>
            <w:r w:rsidRPr="00D74EB9">
              <w:rPr>
                <w:b/>
                <w:sz w:val="14"/>
              </w:rPr>
              <w:t>exécution</w:t>
            </w:r>
          </w:p>
        </w:tc>
        <w:tc>
          <w:tcPr>
            <w:tcW w:w="1174"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Programme(s) concerné(s)</w:t>
            </w:r>
          </w:p>
        </w:tc>
        <w:tc>
          <w:tcPr>
            <w:tcW w:w="1236"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Code de couleurs</w:t>
            </w:r>
          </w:p>
        </w:tc>
      </w:tr>
      <w:tr w:rsidR="00BB3F3E" w:rsidRPr="005C7CCE" w:rsidTr="002A2523">
        <w:trPr>
          <w:cantSplit/>
        </w:trPr>
        <w:tc>
          <w:tcPr>
            <w:tcW w:w="2704" w:type="dxa"/>
            <w:vMerge w:val="restart"/>
            <w:tcBorders>
              <w:top w:val="single" w:sz="4" w:space="0" w:color="auto"/>
            </w:tcBorders>
            <w:shd w:val="clear" w:color="auto" w:fill="auto"/>
            <w:tcMar>
              <w:top w:w="113" w:type="dxa"/>
            </w:tcMar>
          </w:tcPr>
          <w:p w:rsidR="00BB3F3E" w:rsidRPr="00D74EB9" w:rsidRDefault="00BB3F3E" w:rsidP="001A5BF9">
            <w:pPr>
              <w:spacing w:before="80"/>
              <w:rPr>
                <w:rFonts w:cs="Arial"/>
                <w:sz w:val="14"/>
                <w:szCs w:val="14"/>
              </w:rPr>
            </w:pPr>
            <w:r w:rsidRPr="00D74EB9">
              <w:rPr>
                <w:sz w:val="14"/>
              </w:rPr>
              <w:t>Communication plus efficace avec le grand public concernant la propriété intellectuelle et le rôle de l</w:t>
            </w:r>
            <w:r w:rsidR="00A20444" w:rsidRPr="00D74EB9">
              <w:rPr>
                <w:sz w:val="14"/>
              </w:rPr>
              <w:t>’</w:t>
            </w:r>
            <w:r w:rsidRPr="00D74EB9">
              <w:rPr>
                <w:sz w:val="14"/>
              </w:rPr>
              <w:t xml:space="preserve">OMPI </w:t>
            </w:r>
          </w:p>
        </w:tc>
        <w:tc>
          <w:tcPr>
            <w:tcW w:w="4252" w:type="dxa"/>
            <w:tcBorders>
              <w:top w:val="single" w:sz="4" w:space="0" w:color="auto"/>
            </w:tcBorders>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w:t>
            </w:r>
            <w:r w:rsidR="00A20444" w:rsidRPr="00D74EB9">
              <w:rPr>
                <w:sz w:val="14"/>
              </w:rPr>
              <w:t>’</w:t>
            </w:r>
            <w:r w:rsidRPr="00D74EB9">
              <w:rPr>
                <w:sz w:val="14"/>
              </w:rPr>
              <w:t>articles de presse sur les activités de l</w:t>
            </w:r>
            <w:r w:rsidR="00A20444" w:rsidRPr="00D74EB9">
              <w:rPr>
                <w:sz w:val="14"/>
              </w:rPr>
              <w:t>’</w:t>
            </w:r>
            <w:r w:rsidRPr="00D74EB9">
              <w:rPr>
                <w:sz w:val="14"/>
              </w:rPr>
              <w:t>OMPI</w:t>
            </w:r>
          </w:p>
        </w:tc>
        <w:tc>
          <w:tcPr>
            <w:tcW w:w="1174" w:type="dxa"/>
            <w:tcBorders>
              <w:top w:val="single" w:sz="4" w:space="0" w:color="auto"/>
            </w:tcBorders>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19</w:t>
            </w:r>
          </w:p>
        </w:tc>
        <w:tc>
          <w:tcPr>
            <w:tcW w:w="1236" w:type="dxa"/>
            <w:tcBorders>
              <w:top w:val="single" w:sz="4" w:space="0" w:color="auto"/>
            </w:tcBorders>
          </w:tcPr>
          <w:p w:rsidR="00BB3F3E" w:rsidRPr="005C7CCE" w:rsidRDefault="00BB3F3E" w:rsidP="001A5BF9">
            <w:pPr>
              <w:spacing w:before="20"/>
              <w:jc w:val="center"/>
              <w:rPr>
                <w:rFonts w:cs="Arial"/>
                <w:color w:val="008000"/>
                <w:szCs w:val="22"/>
              </w:rPr>
            </w:pPr>
            <w:r w:rsidRPr="005C7CCE">
              <w:rPr>
                <w:color w:val="008000"/>
              </w:rPr>
              <w:sym w:font="Wingdings" w:char="F06C"/>
            </w:r>
          </w:p>
        </w:tc>
      </w:tr>
      <w:tr w:rsidR="00BB3F3E" w:rsidRPr="005C7CCE" w:rsidTr="002A2523">
        <w:trPr>
          <w:cantSplit/>
        </w:trPr>
        <w:tc>
          <w:tcPr>
            <w:tcW w:w="2704" w:type="dxa"/>
            <w:vMerge/>
            <w:shd w:val="clear" w:color="auto" w:fill="auto"/>
            <w:tcMar>
              <w:top w:w="113" w:type="dxa"/>
            </w:tcMar>
          </w:tcPr>
          <w:p w:rsidR="00BB3F3E" w:rsidRPr="00D74EB9" w:rsidRDefault="00BB3F3E" w:rsidP="001A5BF9">
            <w:pPr>
              <w:spacing w:before="80"/>
              <w:rPr>
                <w:rFonts w:cs="Arial"/>
                <w:sz w:val="14"/>
                <w:szCs w:val="14"/>
              </w:rPr>
            </w:pP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des publications essentielles de l</w:t>
            </w:r>
            <w:r w:rsidR="00A20444" w:rsidRPr="00D74EB9">
              <w:rPr>
                <w:sz w:val="14"/>
              </w:rPr>
              <w:t>’</w:t>
            </w:r>
            <w:r w:rsidRPr="00D74EB9">
              <w:rPr>
                <w:sz w:val="14"/>
              </w:rPr>
              <w:t xml:space="preserve">OMPI disponibles dans toutes les langues officielles des </w:t>
            </w:r>
            <w:r w:rsidR="00A20444" w:rsidRPr="00D74EB9">
              <w:rPr>
                <w:sz w:val="14"/>
              </w:rPr>
              <w:t>Nations Unies</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19</w:t>
            </w:r>
          </w:p>
        </w:tc>
        <w:tc>
          <w:tcPr>
            <w:tcW w:w="1236"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704" w:type="dxa"/>
            <w:shd w:val="clear" w:color="auto" w:fill="auto"/>
            <w:tcMar>
              <w:top w:w="113" w:type="dxa"/>
            </w:tcMar>
          </w:tcPr>
          <w:p w:rsidR="00BB3F3E" w:rsidRPr="00D74EB9" w:rsidRDefault="00BB3F3E" w:rsidP="001A5BF9">
            <w:pPr>
              <w:spacing w:before="80"/>
              <w:ind w:firstLineChars="100" w:firstLine="140"/>
              <w:rPr>
                <w:rFonts w:cs="Arial"/>
                <w:sz w:val="14"/>
                <w:szCs w:val="14"/>
              </w:rPr>
            </w:pPr>
            <w:r w:rsidRPr="00D74EB9">
              <w:rPr>
                <w:sz w:val="14"/>
              </w:rPr>
              <w:t> </w:t>
            </w: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moyen de visionnements par vidéo de l</w:t>
            </w:r>
            <w:r w:rsidR="00A20444" w:rsidRPr="00D74EB9">
              <w:rPr>
                <w:sz w:val="14"/>
              </w:rPr>
              <w:t>’</w:t>
            </w:r>
            <w:r w:rsidRPr="00D74EB9">
              <w:rPr>
                <w:sz w:val="14"/>
              </w:rPr>
              <w:t xml:space="preserve">OMPI sur YouTube </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19</w:t>
            </w:r>
          </w:p>
        </w:tc>
        <w:tc>
          <w:tcPr>
            <w:tcW w:w="1236"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704" w:type="dxa"/>
            <w:shd w:val="clear" w:color="auto" w:fill="auto"/>
            <w:tcMar>
              <w:top w:w="113" w:type="dxa"/>
            </w:tcMar>
          </w:tcPr>
          <w:p w:rsidR="00BB3F3E" w:rsidRPr="00D74EB9" w:rsidRDefault="00BB3F3E" w:rsidP="001A5BF9">
            <w:pPr>
              <w:spacing w:before="80"/>
              <w:ind w:firstLineChars="100" w:firstLine="140"/>
              <w:rPr>
                <w:rFonts w:cs="Arial"/>
                <w:sz w:val="14"/>
                <w:szCs w:val="14"/>
              </w:rPr>
            </w:pPr>
            <w:r w:rsidRPr="00D74EB9">
              <w:rPr>
                <w:sz w:val="14"/>
              </w:rPr>
              <w:t> </w:t>
            </w: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moyen de téléchargements par publication de l</w:t>
            </w:r>
            <w:r w:rsidR="00A20444" w:rsidRPr="00D74EB9">
              <w:rPr>
                <w:sz w:val="14"/>
              </w:rPr>
              <w:t>’</w:t>
            </w:r>
            <w:r w:rsidRPr="00D74EB9">
              <w:rPr>
                <w:sz w:val="14"/>
              </w:rPr>
              <w:t xml:space="preserve">OMPI </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19</w:t>
            </w:r>
          </w:p>
        </w:tc>
        <w:tc>
          <w:tcPr>
            <w:tcW w:w="1236"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704" w:type="dxa"/>
            <w:shd w:val="clear" w:color="auto" w:fill="auto"/>
            <w:tcMar>
              <w:top w:w="113" w:type="dxa"/>
            </w:tcMar>
          </w:tcPr>
          <w:p w:rsidR="00BB3F3E" w:rsidRPr="00D74EB9" w:rsidRDefault="00BB3F3E" w:rsidP="001A5BF9">
            <w:pPr>
              <w:spacing w:before="80"/>
              <w:ind w:firstLineChars="100" w:firstLine="140"/>
              <w:rPr>
                <w:rFonts w:cs="Arial"/>
                <w:sz w:val="14"/>
                <w:szCs w:val="14"/>
              </w:rPr>
            </w:pPr>
            <w:r w:rsidRPr="00D74EB9">
              <w:rPr>
                <w:sz w:val="14"/>
              </w:rPr>
              <w:t> </w:t>
            </w: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 xml:space="preserve">Nombre de pays signalant des manifestations et des activités liées à la Journée mondiale de la propriété intellectuelle </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19</w:t>
            </w:r>
          </w:p>
        </w:tc>
        <w:tc>
          <w:tcPr>
            <w:tcW w:w="1236"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704" w:type="dxa"/>
            <w:shd w:val="clear" w:color="auto" w:fill="auto"/>
            <w:tcMar>
              <w:top w:w="113" w:type="dxa"/>
            </w:tcMar>
          </w:tcPr>
          <w:p w:rsidR="00BB3F3E" w:rsidRPr="00D74EB9" w:rsidRDefault="00BB3F3E" w:rsidP="001A5BF9">
            <w:pPr>
              <w:spacing w:before="80"/>
              <w:ind w:firstLineChars="100" w:firstLine="140"/>
              <w:rPr>
                <w:rFonts w:cs="Arial"/>
                <w:sz w:val="14"/>
                <w:szCs w:val="14"/>
              </w:rPr>
            </w:pPr>
            <w:r w:rsidRPr="00D74EB9">
              <w:rPr>
                <w:sz w:val="14"/>
              </w:rPr>
              <w:t> </w:t>
            </w: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de demandes externes de renseignements ayant reçu une réponse de la bibliothèque de l</w:t>
            </w:r>
            <w:r w:rsidR="00A20444" w:rsidRPr="00D74EB9">
              <w:rPr>
                <w:sz w:val="14"/>
              </w:rPr>
              <w:t>’</w:t>
            </w:r>
            <w:r w:rsidRPr="00D74EB9">
              <w:rPr>
                <w:sz w:val="14"/>
              </w:rPr>
              <w:t>OMPI</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19</w:t>
            </w:r>
          </w:p>
        </w:tc>
        <w:tc>
          <w:tcPr>
            <w:tcW w:w="1236"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704" w:type="dxa"/>
            <w:shd w:val="clear" w:color="auto" w:fill="auto"/>
            <w:tcMar>
              <w:top w:w="113" w:type="dxa"/>
            </w:tcMar>
          </w:tcPr>
          <w:p w:rsidR="00BB3F3E" w:rsidRPr="00D74EB9" w:rsidRDefault="00BB3F3E" w:rsidP="001A5BF9">
            <w:pPr>
              <w:spacing w:before="80"/>
              <w:ind w:firstLineChars="100" w:firstLine="140"/>
              <w:rPr>
                <w:rFonts w:cs="Arial"/>
                <w:sz w:val="14"/>
                <w:szCs w:val="14"/>
              </w:rPr>
            </w:pPr>
            <w:r w:rsidRPr="00D74EB9">
              <w:rPr>
                <w:sz w:val="14"/>
              </w:rPr>
              <w:t> </w:t>
            </w: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parties prenantes conscientes de la mission, des activités et de l</w:t>
            </w:r>
            <w:r w:rsidR="00A20444" w:rsidRPr="00D74EB9">
              <w:rPr>
                <w:sz w:val="14"/>
              </w:rPr>
              <w:t>’</w:t>
            </w:r>
            <w:r w:rsidRPr="00D74EB9">
              <w:rPr>
                <w:sz w:val="14"/>
              </w:rPr>
              <w:t>image de marque de l</w:t>
            </w:r>
            <w:r w:rsidR="00A20444" w:rsidRPr="00D74EB9">
              <w:rPr>
                <w:sz w:val="14"/>
              </w:rPr>
              <w:t>’</w:t>
            </w:r>
            <w:r w:rsidRPr="00D74EB9">
              <w:rPr>
                <w:sz w:val="14"/>
              </w:rPr>
              <w:t xml:space="preserve">OMPI </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19</w:t>
            </w:r>
          </w:p>
        </w:tc>
        <w:tc>
          <w:tcPr>
            <w:tcW w:w="1236"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704" w:type="dxa"/>
            <w:vMerge w:val="restart"/>
            <w:shd w:val="clear" w:color="auto" w:fill="auto"/>
            <w:tcMar>
              <w:top w:w="113" w:type="dxa"/>
            </w:tcMar>
          </w:tcPr>
          <w:p w:rsidR="00BB3F3E" w:rsidRPr="00D74EB9" w:rsidRDefault="00BB3F3E" w:rsidP="001A5BF9">
            <w:pPr>
              <w:spacing w:before="80"/>
              <w:rPr>
                <w:rFonts w:cs="Arial"/>
                <w:sz w:val="14"/>
                <w:szCs w:val="14"/>
              </w:rPr>
            </w:pPr>
            <w:r w:rsidRPr="00D74EB9">
              <w:rPr>
                <w:sz w:val="14"/>
              </w:rPr>
              <w:t>Amélioration de l</w:t>
            </w:r>
            <w:r w:rsidR="00A20444" w:rsidRPr="00D74EB9">
              <w:rPr>
                <w:sz w:val="14"/>
              </w:rPr>
              <w:t>’</w:t>
            </w:r>
            <w:r w:rsidRPr="00D74EB9">
              <w:rPr>
                <w:sz w:val="14"/>
              </w:rPr>
              <w:t>orientation vers les services et de la réactivité à la demande</w:t>
            </w: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Taux de satisfaction des clients et des parties prenantes</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19</w:t>
            </w:r>
          </w:p>
        </w:tc>
        <w:tc>
          <w:tcPr>
            <w:tcW w:w="1236"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704" w:type="dxa"/>
            <w:vMerge/>
            <w:shd w:val="clear" w:color="auto" w:fill="auto"/>
            <w:tcMar>
              <w:top w:w="113" w:type="dxa"/>
            </w:tcMar>
          </w:tcPr>
          <w:p w:rsidR="00BB3F3E" w:rsidRPr="00D74EB9" w:rsidRDefault="00BB3F3E" w:rsidP="001A5BF9">
            <w:pPr>
              <w:spacing w:before="80"/>
              <w:rPr>
                <w:rFonts w:cs="Arial"/>
                <w:sz w:val="14"/>
                <w:szCs w:val="14"/>
              </w:rPr>
            </w:pP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Durée de traitement des demandes de renseignements gérées par un système de tickets</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19</w:t>
            </w:r>
          </w:p>
        </w:tc>
        <w:tc>
          <w:tcPr>
            <w:tcW w:w="1236"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Height w:val="20"/>
        </w:trPr>
        <w:tc>
          <w:tcPr>
            <w:tcW w:w="2704" w:type="dxa"/>
            <w:vMerge w:val="restart"/>
            <w:shd w:val="clear" w:color="auto" w:fill="auto"/>
            <w:tcMar>
              <w:top w:w="113" w:type="dxa"/>
            </w:tcMar>
          </w:tcPr>
          <w:p w:rsidR="00BB3F3E" w:rsidRPr="00D74EB9" w:rsidRDefault="00BB3F3E" w:rsidP="001A5BF9">
            <w:pPr>
              <w:spacing w:before="80"/>
              <w:rPr>
                <w:rFonts w:cs="Arial"/>
                <w:sz w:val="14"/>
                <w:szCs w:val="14"/>
              </w:rPr>
            </w:pPr>
            <w:r w:rsidRPr="00D74EB9">
              <w:rPr>
                <w:sz w:val="14"/>
              </w:rPr>
              <w:t>L</w:t>
            </w:r>
            <w:r w:rsidR="00A20444" w:rsidRPr="00D74EB9">
              <w:rPr>
                <w:sz w:val="14"/>
              </w:rPr>
              <w:t>’</w:t>
            </w:r>
            <w:r w:rsidRPr="00D74EB9">
              <w:rPr>
                <w:sz w:val="14"/>
              </w:rPr>
              <w:t>OMPI collabore efficacement avec d</w:t>
            </w:r>
            <w:r w:rsidR="00A20444" w:rsidRPr="00D74EB9">
              <w:rPr>
                <w:sz w:val="14"/>
              </w:rPr>
              <w:t>’</w:t>
            </w:r>
            <w:r w:rsidRPr="00D74EB9">
              <w:rPr>
                <w:sz w:val="14"/>
              </w:rPr>
              <w:t>autres processus et instances de négociation de l</w:t>
            </w:r>
            <w:r w:rsidR="00A20444" w:rsidRPr="00D74EB9">
              <w:rPr>
                <w:sz w:val="14"/>
              </w:rPr>
              <w:t>’</w:t>
            </w:r>
            <w:r w:rsidRPr="00D74EB9">
              <w:rPr>
                <w:sz w:val="14"/>
              </w:rPr>
              <w:t>ONU et d</w:t>
            </w:r>
            <w:r w:rsidR="00A20444" w:rsidRPr="00D74EB9">
              <w:rPr>
                <w:sz w:val="14"/>
              </w:rPr>
              <w:t>’</w:t>
            </w:r>
            <w:r w:rsidRPr="00D74EB9">
              <w:rPr>
                <w:sz w:val="14"/>
              </w:rPr>
              <w:t>autres organisations intergouvernementales</w:t>
            </w: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Utilisation des contributions de l</w:t>
            </w:r>
            <w:r w:rsidR="00A20444" w:rsidRPr="00D74EB9">
              <w:rPr>
                <w:sz w:val="14"/>
              </w:rPr>
              <w:t>’</w:t>
            </w:r>
            <w:r w:rsidRPr="00D74EB9">
              <w:rPr>
                <w:sz w:val="14"/>
              </w:rPr>
              <w:t>OMPI dans les rapports, les résolutions et les documents des processus ciblés</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20</w:t>
            </w:r>
          </w:p>
        </w:tc>
        <w:tc>
          <w:tcPr>
            <w:tcW w:w="1236"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704"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Retours d</w:t>
            </w:r>
            <w:r w:rsidR="00A20444" w:rsidRPr="00D74EB9">
              <w:rPr>
                <w:sz w:val="14"/>
              </w:rPr>
              <w:t>’</w:t>
            </w:r>
            <w:r w:rsidRPr="00D74EB9">
              <w:rPr>
                <w:sz w:val="14"/>
              </w:rPr>
              <w:t>information concernant la contribution ou la participation de l</w:t>
            </w:r>
            <w:r w:rsidR="00A20444" w:rsidRPr="00D74EB9">
              <w:rPr>
                <w:sz w:val="14"/>
              </w:rPr>
              <w:t>’</w:t>
            </w:r>
            <w:r w:rsidRPr="00D74EB9">
              <w:rPr>
                <w:sz w:val="14"/>
              </w:rPr>
              <w:t xml:space="preserve">OMPI aux processus et forums des </w:t>
            </w:r>
            <w:r w:rsidR="00A20444" w:rsidRPr="00D74EB9">
              <w:rPr>
                <w:sz w:val="14"/>
              </w:rPr>
              <w:t>Nations Unies</w:t>
            </w:r>
            <w:r w:rsidRPr="00D74EB9">
              <w:rPr>
                <w:sz w:val="14"/>
              </w:rPr>
              <w:t xml:space="preserve"> et des autres organisations intergouvernementales</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20</w:t>
            </w:r>
          </w:p>
        </w:tc>
        <w:tc>
          <w:tcPr>
            <w:tcW w:w="1236" w:type="dxa"/>
          </w:tcPr>
          <w:p w:rsidR="00BB3F3E" w:rsidRPr="005C7CCE" w:rsidRDefault="00BB3F3E" w:rsidP="001A5BF9">
            <w:pPr>
              <w:spacing w:before="20"/>
              <w:jc w:val="center"/>
              <w:rPr>
                <w:szCs w:val="22"/>
              </w:rPr>
            </w:pPr>
            <w:r w:rsidRPr="005C7CCE">
              <w:sym w:font="Wingdings" w:char="F06C"/>
            </w:r>
          </w:p>
        </w:tc>
      </w:tr>
      <w:tr w:rsidR="00BB3F3E" w:rsidRPr="005C7CCE" w:rsidTr="002A2523">
        <w:trPr>
          <w:cantSplit/>
        </w:trPr>
        <w:tc>
          <w:tcPr>
            <w:tcW w:w="2704"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 xml:space="preserve">Pourcentage de réponses aux demandes externes de contributions émanant des </w:t>
            </w:r>
            <w:r w:rsidR="00A20444" w:rsidRPr="00D74EB9">
              <w:rPr>
                <w:sz w:val="14"/>
              </w:rPr>
              <w:t>Nations Unies</w:t>
            </w:r>
            <w:r w:rsidRPr="00D74EB9">
              <w:rPr>
                <w:sz w:val="14"/>
              </w:rPr>
              <w:t>, des organisations intergouvernementales, etc., soumises à temps</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20</w:t>
            </w:r>
          </w:p>
        </w:tc>
        <w:tc>
          <w:tcPr>
            <w:tcW w:w="1236"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704"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w:t>
            </w:r>
            <w:r w:rsidR="00A20444" w:rsidRPr="00D74EB9">
              <w:rPr>
                <w:sz w:val="14"/>
              </w:rPr>
              <w:t>’</w:t>
            </w:r>
            <w:r w:rsidRPr="00D74EB9">
              <w:rPr>
                <w:sz w:val="14"/>
              </w:rPr>
              <w:t>activités et de plans de travail communs mis en œuvre et examinés conformément aux accords avec des organisations partenaires (</w:t>
            </w:r>
            <w:proofErr w:type="spellStart"/>
            <w:r w:rsidRPr="00D74EB9">
              <w:rPr>
                <w:sz w:val="14"/>
              </w:rPr>
              <w:t>mémorandums</w:t>
            </w:r>
            <w:proofErr w:type="spellEnd"/>
            <w:r w:rsidRPr="00D74EB9">
              <w:rPr>
                <w:sz w:val="14"/>
              </w:rPr>
              <w:t xml:space="preserve"> d</w:t>
            </w:r>
            <w:r w:rsidR="00A20444" w:rsidRPr="00D74EB9">
              <w:rPr>
                <w:sz w:val="14"/>
              </w:rPr>
              <w:t>’</w:t>
            </w:r>
            <w:r w:rsidRPr="00D74EB9">
              <w:rPr>
                <w:sz w:val="14"/>
              </w:rPr>
              <w:t>accord nouveaux et actuels avec des organisations intergouvernementales)</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20</w:t>
            </w:r>
          </w:p>
        </w:tc>
        <w:tc>
          <w:tcPr>
            <w:tcW w:w="1236"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704" w:type="dxa"/>
            <w:vMerge/>
            <w:shd w:val="clear" w:color="auto" w:fill="auto"/>
            <w:tcMar>
              <w:top w:w="113" w:type="dxa"/>
            </w:tcMar>
          </w:tcPr>
          <w:p w:rsidR="00BB3F3E" w:rsidRPr="00D74EB9" w:rsidRDefault="00BB3F3E" w:rsidP="001A5BF9">
            <w:pPr>
              <w:spacing w:before="80"/>
              <w:rPr>
                <w:rFonts w:cs="Arial"/>
                <w:sz w:val="14"/>
                <w:szCs w:val="14"/>
              </w:rPr>
            </w:pP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Nouvelles initiatives communes avec d</w:t>
            </w:r>
            <w:r w:rsidR="00A20444" w:rsidRPr="00D74EB9">
              <w:rPr>
                <w:sz w:val="14"/>
              </w:rPr>
              <w:t>’</w:t>
            </w:r>
            <w:r w:rsidRPr="00D74EB9">
              <w:rPr>
                <w:sz w:val="14"/>
              </w:rPr>
              <w:t xml:space="preserve">autres organismes des </w:t>
            </w:r>
            <w:r w:rsidR="00A20444" w:rsidRPr="00D74EB9">
              <w:rPr>
                <w:sz w:val="14"/>
              </w:rPr>
              <w:t>Nations Unies</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21</w:t>
            </w:r>
          </w:p>
        </w:tc>
        <w:tc>
          <w:tcPr>
            <w:tcW w:w="1236"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704"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Échanges ouverts, transparents et dynamiques avec</w:t>
            </w:r>
            <w:r w:rsidR="00A20444" w:rsidRPr="00D74EB9">
              <w:rPr>
                <w:sz w:val="14"/>
              </w:rPr>
              <w:t xml:space="preserve"> les ONG</w:t>
            </w: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de séances d</w:t>
            </w:r>
            <w:r w:rsidR="00A20444" w:rsidRPr="00D74EB9">
              <w:rPr>
                <w:sz w:val="14"/>
              </w:rPr>
              <w:t>’</w:t>
            </w:r>
            <w:r w:rsidRPr="00D74EB9">
              <w:rPr>
                <w:sz w:val="14"/>
              </w:rPr>
              <w:t>information, de réunions et d</w:t>
            </w:r>
            <w:r w:rsidR="00A20444" w:rsidRPr="00D74EB9">
              <w:rPr>
                <w:sz w:val="14"/>
              </w:rPr>
              <w:t>’</w:t>
            </w:r>
            <w:r w:rsidRPr="00D74EB9">
              <w:rPr>
                <w:sz w:val="14"/>
              </w:rPr>
              <w:t>activités organisées à l</w:t>
            </w:r>
            <w:r w:rsidR="00A20444" w:rsidRPr="00D74EB9">
              <w:rPr>
                <w:sz w:val="14"/>
              </w:rPr>
              <w:t>’</w:t>
            </w:r>
            <w:r w:rsidRPr="00D74EB9">
              <w:rPr>
                <w:sz w:val="14"/>
              </w:rPr>
              <w:t>intention</w:t>
            </w:r>
            <w:r w:rsidR="00A20444" w:rsidRPr="00D74EB9">
              <w:rPr>
                <w:sz w:val="14"/>
              </w:rPr>
              <w:t xml:space="preserve"> des ONG</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20</w:t>
            </w:r>
          </w:p>
        </w:tc>
        <w:tc>
          <w:tcPr>
            <w:tcW w:w="1236"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704" w:type="dxa"/>
            <w:shd w:val="clear" w:color="auto" w:fill="auto"/>
            <w:tcMar>
              <w:top w:w="113" w:type="dxa"/>
            </w:tcMar>
          </w:tcPr>
          <w:p w:rsidR="00BB3F3E" w:rsidRPr="00D74EB9" w:rsidRDefault="00BB3F3E" w:rsidP="001A5BF9">
            <w:pPr>
              <w:rPr>
                <w:rFonts w:cs="Arial"/>
                <w:sz w:val="14"/>
                <w:szCs w:val="14"/>
              </w:rPr>
            </w:pPr>
          </w:p>
        </w:tc>
        <w:tc>
          <w:tcPr>
            <w:tcW w:w="4252" w:type="dxa"/>
            <w:shd w:val="clear" w:color="auto" w:fill="auto"/>
            <w:tcMar>
              <w:top w:w="113" w:type="dxa"/>
            </w:tcMar>
          </w:tcPr>
          <w:p w:rsidR="00BB3F3E" w:rsidRPr="00D74EB9" w:rsidRDefault="00BB3F3E" w:rsidP="001A5BF9">
            <w:pPr>
              <w:rPr>
                <w:rFonts w:cs="Arial"/>
                <w:sz w:val="14"/>
                <w:szCs w:val="14"/>
              </w:rPr>
            </w:pPr>
            <w:r w:rsidRPr="00D74EB9">
              <w:rPr>
                <w:sz w:val="14"/>
              </w:rPr>
              <w:t>Nombre de séances de présentation/activités organisées pour</w:t>
            </w:r>
            <w:r w:rsidR="00A20444" w:rsidRPr="00D74EB9">
              <w:rPr>
                <w:sz w:val="14"/>
              </w:rPr>
              <w:t xml:space="preserve"> les ONG</w:t>
            </w:r>
            <w:r w:rsidRPr="00D74EB9">
              <w:rPr>
                <w:sz w:val="14"/>
              </w:rPr>
              <w:t xml:space="preserve"> de pays en développement et de PMA</w:t>
            </w:r>
          </w:p>
        </w:tc>
        <w:tc>
          <w:tcPr>
            <w:tcW w:w="1174" w:type="dxa"/>
            <w:shd w:val="clear" w:color="auto" w:fill="auto"/>
            <w:tcMar>
              <w:top w:w="113" w:type="dxa"/>
            </w:tcMar>
          </w:tcPr>
          <w:p w:rsidR="00BB3F3E" w:rsidRPr="00D74EB9" w:rsidRDefault="00BB3F3E" w:rsidP="001A5BF9">
            <w:pPr>
              <w:jc w:val="center"/>
              <w:rPr>
                <w:rFonts w:cs="Arial"/>
                <w:sz w:val="14"/>
                <w:szCs w:val="14"/>
              </w:rPr>
            </w:pPr>
            <w:r w:rsidRPr="00D74EB9">
              <w:rPr>
                <w:sz w:val="14"/>
              </w:rPr>
              <w:t>Programme 20</w:t>
            </w:r>
          </w:p>
        </w:tc>
        <w:tc>
          <w:tcPr>
            <w:tcW w:w="1236" w:type="dxa"/>
          </w:tcPr>
          <w:p w:rsidR="00BB3F3E" w:rsidRPr="005C7CCE" w:rsidRDefault="00BB3F3E" w:rsidP="001A5BF9">
            <w:pPr>
              <w:jc w:val="center"/>
              <w:rPr>
                <w:color w:val="00B050"/>
                <w:szCs w:val="22"/>
              </w:rPr>
            </w:pPr>
            <w:r w:rsidRPr="005C7CCE">
              <w:sym w:font="Wingdings" w:char="F06C"/>
            </w:r>
          </w:p>
        </w:tc>
      </w:tr>
      <w:tr w:rsidR="00BB3F3E" w:rsidRPr="005C7CCE" w:rsidTr="002A2523">
        <w:trPr>
          <w:cantSplit/>
        </w:trPr>
        <w:tc>
          <w:tcPr>
            <w:tcW w:w="2704"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 xml:space="preserve">Engagement réel auprès des États membres </w:t>
            </w: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réunions des comités pour lesquels des réunions d</w:t>
            </w:r>
            <w:r w:rsidR="00A20444" w:rsidRPr="00D74EB9">
              <w:rPr>
                <w:sz w:val="14"/>
              </w:rPr>
              <w:t>’</w:t>
            </w:r>
            <w:r w:rsidRPr="00D74EB9">
              <w:rPr>
                <w:sz w:val="14"/>
              </w:rPr>
              <w:t>information préalables sont tenues pour les États membres</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21</w:t>
            </w:r>
          </w:p>
        </w:tc>
        <w:tc>
          <w:tcPr>
            <w:tcW w:w="1236"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704" w:type="dxa"/>
            <w:shd w:val="clear" w:color="auto" w:fill="auto"/>
            <w:tcMar>
              <w:top w:w="113" w:type="dxa"/>
            </w:tcMar>
          </w:tcPr>
          <w:p w:rsidR="00BB3F3E" w:rsidRPr="00D74EB9" w:rsidRDefault="00BB3F3E" w:rsidP="001A5BF9">
            <w:pPr>
              <w:spacing w:before="80"/>
              <w:ind w:firstLineChars="100" w:firstLine="140"/>
              <w:rPr>
                <w:rFonts w:cs="Arial"/>
                <w:sz w:val="14"/>
                <w:szCs w:val="14"/>
              </w:rPr>
            </w:pPr>
            <w:r w:rsidRPr="00D74EB9">
              <w:rPr>
                <w:sz w:val="14"/>
              </w:rPr>
              <w:t> </w:t>
            </w: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lettres adressées par les États membres au Directeur général qui obtiennent une réponse dans un délai de deux semaines</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21</w:t>
            </w:r>
          </w:p>
        </w:tc>
        <w:tc>
          <w:tcPr>
            <w:tcW w:w="1236"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704" w:type="dxa"/>
            <w:shd w:val="clear" w:color="auto" w:fill="auto"/>
            <w:tcMar>
              <w:top w:w="113" w:type="dxa"/>
            </w:tcMar>
          </w:tcPr>
          <w:p w:rsidR="00BB3F3E" w:rsidRPr="00D74EB9" w:rsidRDefault="00BB3F3E" w:rsidP="001A5BF9">
            <w:pPr>
              <w:spacing w:before="80"/>
              <w:ind w:firstLineChars="100" w:firstLine="140"/>
              <w:rPr>
                <w:rFonts w:cs="Arial"/>
                <w:sz w:val="14"/>
                <w:szCs w:val="14"/>
              </w:rPr>
            </w:pPr>
            <w:r w:rsidRPr="00D74EB9">
              <w:rPr>
                <w:sz w:val="14"/>
              </w:rPr>
              <w:t> </w:t>
            </w:r>
          </w:p>
        </w:tc>
        <w:tc>
          <w:tcPr>
            <w:tcW w:w="4252"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Niveaux de satisfaction des États membres quant à la préparation et au fonctionnement des assemblées</w:t>
            </w: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21</w:t>
            </w:r>
          </w:p>
        </w:tc>
        <w:tc>
          <w:tcPr>
            <w:tcW w:w="1236"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704" w:type="dxa"/>
            <w:shd w:val="clear" w:color="auto" w:fill="auto"/>
            <w:tcMar>
              <w:top w:w="113" w:type="dxa"/>
            </w:tcMar>
          </w:tcPr>
          <w:p w:rsidR="00BB3F3E" w:rsidRPr="00D74EB9" w:rsidRDefault="00BB3F3E" w:rsidP="001A5BF9">
            <w:pPr>
              <w:ind w:firstLineChars="100" w:firstLine="140"/>
              <w:rPr>
                <w:rFonts w:cs="Arial"/>
                <w:sz w:val="14"/>
                <w:szCs w:val="14"/>
              </w:rPr>
            </w:pPr>
            <w:r w:rsidRPr="00D74EB9">
              <w:rPr>
                <w:sz w:val="14"/>
              </w:rPr>
              <w:t> </w:t>
            </w:r>
          </w:p>
        </w:tc>
        <w:tc>
          <w:tcPr>
            <w:tcW w:w="4252" w:type="dxa"/>
            <w:shd w:val="clear" w:color="auto" w:fill="auto"/>
            <w:tcMar>
              <w:top w:w="113" w:type="dxa"/>
            </w:tcMar>
          </w:tcPr>
          <w:p w:rsidR="00D42474" w:rsidRDefault="00BB3F3E" w:rsidP="001A5BF9">
            <w:pPr>
              <w:spacing w:before="80"/>
              <w:rPr>
                <w:rFonts w:cs="Arial"/>
                <w:sz w:val="14"/>
                <w:szCs w:val="14"/>
              </w:rPr>
            </w:pPr>
            <w:r w:rsidRPr="00D74EB9">
              <w:rPr>
                <w:sz w:val="14"/>
              </w:rPr>
              <w:t>Délais de publication des documents des assemblées</w:t>
            </w:r>
          </w:p>
          <w:p w:rsidR="00BB3F3E" w:rsidRPr="00D74EB9" w:rsidRDefault="00BB3F3E" w:rsidP="001A5BF9">
            <w:pPr>
              <w:spacing w:before="80"/>
              <w:rPr>
                <w:rFonts w:cs="Arial"/>
                <w:sz w:val="14"/>
                <w:szCs w:val="14"/>
              </w:rPr>
            </w:pPr>
          </w:p>
        </w:tc>
        <w:tc>
          <w:tcPr>
            <w:tcW w:w="1174"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21</w:t>
            </w:r>
          </w:p>
        </w:tc>
        <w:tc>
          <w:tcPr>
            <w:tcW w:w="1236" w:type="dxa"/>
          </w:tcPr>
          <w:p w:rsidR="00BB3F3E" w:rsidRPr="005C7CCE" w:rsidRDefault="00BB3F3E" w:rsidP="001A5BF9">
            <w:pPr>
              <w:jc w:val="center"/>
              <w:rPr>
                <w:color w:val="008000"/>
                <w:szCs w:val="22"/>
              </w:rPr>
            </w:pPr>
            <w:r w:rsidRPr="005C7CCE">
              <w:rPr>
                <w:color w:val="008000"/>
              </w:rPr>
              <w:sym w:font="Wingdings" w:char="F06C"/>
            </w:r>
          </w:p>
        </w:tc>
      </w:tr>
    </w:tbl>
    <w:p w:rsidR="00D42474" w:rsidRDefault="00D42474" w:rsidP="001A5BF9">
      <w:pPr>
        <w:keepNext/>
        <w:keepLines/>
        <w:jc w:val="both"/>
        <w:rPr>
          <w:i/>
          <w:iCs/>
        </w:rPr>
      </w:pPr>
    </w:p>
    <w:p w:rsidR="00D42474" w:rsidRDefault="00D42474" w:rsidP="001A5BF9">
      <w:pPr>
        <w:keepNext/>
        <w:keepLines/>
        <w:jc w:val="both"/>
        <w:rPr>
          <w:i/>
          <w:iCs/>
        </w:rPr>
      </w:pPr>
    </w:p>
    <w:p w:rsidR="00D42474" w:rsidRDefault="00BB3F3E" w:rsidP="001A5BF9">
      <w:pPr>
        <w:keepNext/>
        <w:keepLines/>
        <w:jc w:val="both"/>
      </w:pPr>
      <w:r w:rsidRPr="005C7CCE">
        <w:t>Les autres principaux projets d</w:t>
      </w:r>
      <w:r w:rsidR="00A20444" w:rsidRPr="005C7CCE">
        <w:t>’</w:t>
      </w:r>
      <w:r w:rsidRPr="005C7CCE">
        <w:t>amélioration stratégique de l</w:t>
      </w:r>
      <w:r w:rsidR="00A20444" w:rsidRPr="005C7CCE">
        <w:t>’</w:t>
      </w:r>
      <w:r w:rsidRPr="005C7CCE">
        <w:t>OMPI relatifs aux communications sur le Web, à l</w:t>
      </w:r>
      <w:r w:rsidR="00A20444" w:rsidRPr="005C7CCE">
        <w:t>’</w:t>
      </w:r>
      <w:r w:rsidRPr="005C7CCE">
        <w:t>identité de l</w:t>
      </w:r>
      <w:r w:rsidR="00A20444" w:rsidRPr="005C7CCE">
        <w:t>’</w:t>
      </w:r>
      <w:r w:rsidRPr="005C7CCE">
        <w:t>Organisation, aux services à la clientèle et à la communication interne qui ont contribué à améliorer la qualité, l</w:t>
      </w:r>
      <w:r w:rsidR="00A20444" w:rsidRPr="005C7CCE">
        <w:t>’</w:t>
      </w:r>
      <w:r w:rsidRPr="005C7CCE">
        <w:t>utilisation et la mise à disposition des contenus de l</w:t>
      </w:r>
      <w:r w:rsidR="00A20444" w:rsidRPr="005C7CCE">
        <w:t>’</w:t>
      </w:r>
      <w:r w:rsidRPr="005C7CCE">
        <w:t>OMPI, à renforcer la compréhension des travaux de l</w:t>
      </w:r>
      <w:r w:rsidR="00A20444" w:rsidRPr="005C7CCE">
        <w:t>’</w:t>
      </w:r>
      <w:r w:rsidRPr="005C7CCE">
        <w:t>OMPI et l</w:t>
      </w:r>
      <w:r w:rsidR="00A20444" w:rsidRPr="005C7CCE">
        <w:t>’</w:t>
      </w:r>
      <w:r w:rsidRPr="005C7CCE">
        <w:t>identité de l</w:t>
      </w:r>
      <w:r w:rsidR="00A20444" w:rsidRPr="005C7CCE">
        <w:t>’</w:t>
      </w:r>
      <w:r w:rsidRPr="005C7CCE">
        <w:t>Organisation ainsi qu</w:t>
      </w:r>
      <w:r w:rsidR="00A20444" w:rsidRPr="005C7CCE">
        <w:t>’</w:t>
      </w:r>
      <w:r w:rsidRPr="005C7CCE">
        <w:t xml:space="preserve">à développer une culture interne de communication et de service ont également bien progressé. </w:t>
      </w:r>
      <w:r w:rsidR="0010442A" w:rsidRPr="005C7CCE">
        <w:t xml:space="preserve"> </w:t>
      </w:r>
      <w:r w:rsidRPr="005C7CCE">
        <w:t>Suite à l</w:t>
      </w:r>
      <w:r w:rsidR="00A20444" w:rsidRPr="005C7CCE">
        <w:t>’</w:t>
      </w:r>
      <w:r w:rsidRPr="005C7CCE">
        <w:t>institution de nouvelles stratégies médiatiques, le nombre de personnes qui ont pu accéder aux contenus uniques de l</w:t>
      </w:r>
      <w:r w:rsidR="00A20444" w:rsidRPr="005C7CCE">
        <w:t>’</w:t>
      </w:r>
      <w:r w:rsidRPr="005C7CCE">
        <w:t>OMPI dans le monde a connu une augmentation exceptionnelle en 2012</w:t>
      </w:r>
      <w:r w:rsidR="002D6F2A" w:rsidRPr="005C7CCE">
        <w:noBreakHyphen/>
      </w:r>
      <w:r w:rsidRPr="005C7CCE">
        <w:t>2013.</w:t>
      </w:r>
    </w:p>
    <w:p w:rsidR="00D42474" w:rsidRDefault="00D42474" w:rsidP="001A5BF9">
      <w:pPr>
        <w:keepNext/>
        <w:keepLines/>
        <w:jc w:val="both"/>
      </w:pPr>
    </w:p>
    <w:p w:rsidR="00D42474" w:rsidRDefault="00BB3F3E" w:rsidP="001A5BF9">
      <w:pPr>
        <w:autoSpaceDE w:val="0"/>
        <w:autoSpaceDN w:val="0"/>
        <w:adjustRightInd w:val="0"/>
        <w:jc w:val="both"/>
      </w:pPr>
      <w:r w:rsidRPr="005C7CCE">
        <w:t>Autre réalisation majeure de l</w:t>
      </w:r>
      <w:r w:rsidR="00A20444" w:rsidRPr="005C7CCE">
        <w:t>’</w:t>
      </w:r>
      <w:r w:rsidRPr="005C7CCE">
        <w:t>exercice biennal, la réorganisation totale du site</w:t>
      </w:r>
      <w:r w:rsidR="0010442A" w:rsidRPr="005C7CCE">
        <w:t> </w:t>
      </w:r>
      <w:r w:rsidRPr="005C7CCE">
        <w:t>Web de l</w:t>
      </w:r>
      <w:r w:rsidR="00A20444" w:rsidRPr="005C7CCE">
        <w:t>’</w:t>
      </w:r>
      <w:r w:rsidRPr="005C7CCE">
        <w:t>OMPI.</w:t>
      </w:r>
      <w:r w:rsidR="0010442A" w:rsidRPr="005C7CCE">
        <w:t xml:space="preserve"> </w:t>
      </w:r>
      <w:r w:rsidRPr="005C7CCE">
        <w:t xml:space="preserve"> Lancé en novembre 2013, le nouveau site a fait l</w:t>
      </w:r>
      <w:r w:rsidR="00A20444" w:rsidRPr="005C7CCE">
        <w:t>’</w:t>
      </w:r>
      <w:r w:rsidRPr="005C7CCE">
        <w:t xml:space="preserve">objet de retours très largement positifs de la part des utilisateurs. </w:t>
      </w:r>
      <w:r w:rsidR="0010442A" w:rsidRPr="005C7CCE">
        <w:t xml:space="preserve"> </w:t>
      </w:r>
      <w:r w:rsidRPr="005C7CCE">
        <w:t>Parmi les améliorations populaires au niveau du contenu figurent les nouvelles pages consacrées aux profils de pays de l</w:t>
      </w:r>
      <w:r w:rsidR="00A20444" w:rsidRPr="005C7CCE">
        <w:t>’</w:t>
      </w:r>
      <w:r w:rsidRPr="005C7CCE">
        <w:t>OMPI, qui rassemblent le contenu dynamique de plus de 190 pays à partir d</w:t>
      </w:r>
      <w:r w:rsidR="00A20444" w:rsidRPr="005C7CCE">
        <w:t>’</w:t>
      </w:r>
      <w:r w:rsidRPr="005C7CCE">
        <w:t>une vingtaine de bases de données sous</w:t>
      </w:r>
      <w:r w:rsidR="002D6F2A" w:rsidRPr="005C7CCE">
        <w:noBreakHyphen/>
      </w:r>
      <w:r w:rsidRPr="005C7CCE">
        <w:t>jacentes de l</w:t>
      </w:r>
      <w:r w:rsidR="00A20444" w:rsidRPr="005C7CCE">
        <w:t>’</w:t>
      </w:r>
      <w:r w:rsidRPr="005C7CCE">
        <w:t>OMPI.</w:t>
      </w:r>
    </w:p>
    <w:p w:rsidR="00D42474" w:rsidRDefault="00D42474" w:rsidP="001A5BF9">
      <w:pPr>
        <w:jc w:val="both"/>
        <w:rPr>
          <w:sz w:val="16"/>
          <w:szCs w:val="16"/>
        </w:rPr>
      </w:pPr>
    </w:p>
    <w:p w:rsidR="00D42474" w:rsidRDefault="00BB3F3E" w:rsidP="001A5BF9">
      <w:pPr>
        <w:autoSpaceDE w:val="0"/>
        <w:autoSpaceDN w:val="0"/>
        <w:adjustRightInd w:val="0"/>
        <w:jc w:val="both"/>
      </w:pPr>
      <w:r w:rsidRPr="005C7CCE">
        <w:t>La stratégie améliorée de l</w:t>
      </w:r>
      <w:r w:rsidR="00A20444" w:rsidRPr="005C7CCE">
        <w:t>’</w:t>
      </w:r>
      <w:r w:rsidRPr="005C7CCE">
        <w:t>OMPI en matière de médias sociaux, lancée en mars 2012, a permis une implication directe avec les parties prenantes et une amélioration de la mise à disposition des contenus de l</w:t>
      </w:r>
      <w:r w:rsidR="00A20444" w:rsidRPr="005C7CCE">
        <w:t>’</w:t>
      </w:r>
      <w:r w:rsidRPr="005C7CCE">
        <w:t xml:space="preserve">OMPI à de larges publics et publics spécialisés. </w:t>
      </w:r>
      <w:r w:rsidR="0010442A" w:rsidRPr="005C7CCE">
        <w:t xml:space="preserve"> </w:t>
      </w:r>
      <w:r w:rsidRPr="005C7CCE">
        <w:t>Le nombre total de photos de l</w:t>
      </w:r>
      <w:r w:rsidR="00A20444" w:rsidRPr="005C7CCE">
        <w:t>’</w:t>
      </w:r>
      <w:r w:rsidRPr="005C7CCE">
        <w:t>OMPI visualisées sur Flickr est passé de 150 000 à la fin de l</w:t>
      </w:r>
      <w:r w:rsidR="00A20444" w:rsidRPr="005C7CCE">
        <w:t>’</w:t>
      </w:r>
      <w:r w:rsidRPr="005C7CCE">
        <w:t>année 2012 à plus de 900 000 à la fin de l</w:t>
      </w:r>
      <w:r w:rsidR="00A20444" w:rsidRPr="005C7CCE">
        <w:t>’</w:t>
      </w:r>
      <w:r w:rsidRPr="005C7CCE">
        <w:t xml:space="preserve">année 2013. </w:t>
      </w:r>
      <w:r w:rsidR="0010442A" w:rsidRPr="005C7CCE">
        <w:t xml:space="preserve"> </w:t>
      </w:r>
      <w:r w:rsidRPr="005C7CCE">
        <w:t>Au total, 122 nouvelles vidéos ont été créées au cours de l</w:t>
      </w:r>
      <w:r w:rsidR="00A20444" w:rsidRPr="005C7CCE">
        <w:t>’</w:t>
      </w:r>
      <w:r w:rsidRPr="005C7CCE">
        <w:t>exercice biennal pour la chaîne YouTube et le site</w:t>
      </w:r>
      <w:r w:rsidR="0010442A" w:rsidRPr="005C7CCE">
        <w:t> </w:t>
      </w:r>
      <w:r w:rsidRPr="005C7CCE">
        <w:t>Web de l</w:t>
      </w:r>
      <w:r w:rsidR="00A20444" w:rsidRPr="005C7CCE">
        <w:t>’</w:t>
      </w:r>
      <w:r w:rsidRPr="005C7CCE">
        <w:t xml:space="preserve">OMPI, avec plus de contenus de type actualités et histoires de propriété intellectuelle, ainsi que des didacticiels et présentations. </w:t>
      </w:r>
      <w:r w:rsidR="0010442A" w:rsidRPr="005C7CCE">
        <w:t xml:space="preserve"> </w:t>
      </w:r>
      <w:r w:rsidRPr="005C7CCE">
        <w:t>Le nombre de consultations suite à l</w:t>
      </w:r>
      <w:r w:rsidR="00A20444" w:rsidRPr="005C7CCE">
        <w:t>’</w:t>
      </w:r>
      <w:r w:rsidRPr="005C7CCE">
        <w:t>ajout des animations pour enfants “</w:t>
      </w:r>
      <w:proofErr w:type="spellStart"/>
      <w:r w:rsidRPr="005C3E25">
        <w:t>Pororo</w:t>
      </w:r>
      <w:proofErr w:type="spellEnd"/>
      <w:r w:rsidRPr="005C7CCE">
        <w:t>” (plus de 3,8 millions de visualisations) a augmenté de façon spectaculaire, l</w:t>
      </w:r>
      <w:r w:rsidR="00A20444" w:rsidRPr="005C7CCE">
        <w:t>’</w:t>
      </w:r>
      <w:r w:rsidRPr="005C7CCE">
        <w:t>exercice biennal s</w:t>
      </w:r>
      <w:r w:rsidR="00A20444" w:rsidRPr="005C7CCE">
        <w:t>’</w:t>
      </w:r>
      <w:r w:rsidRPr="005C7CCE">
        <w:t>achevant avec une augmentation exponentielle du total des consultations de la chaîne de l</w:t>
      </w:r>
      <w:r w:rsidR="00A20444" w:rsidRPr="005C7CCE">
        <w:t>’</w:t>
      </w:r>
      <w:r w:rsidRPr="005C7CCE">
        <w:t xml:space="preserve">OMPI de plus de </w:t>
      </w:r>
      <w:r w:rsidR="0010442A" w:rsidRPr="005C7CCE">
        <w:t>2900</w:t>
      </w:r>
      <w:r w:rsidR="007E442D" w:rsidRPr="005C7CCE">
        <w:t>%</w:t>
      </w:r>
      <w:r w:rsidRPr="005C7CCE">
        <w:t xml:space="preserve"> par rapport à fin 2011.</w:t>
      </w:r>
    </w:p>
    <w:p w:rsidR="00D42474" w:rsidRDefault="00D42474" w:rsidP="001A5BF9">
      <w:pPr>
        <w:autoSpaceDE w:val="0"/>
        <w:autoSpaceDN w:val="0"/>
        <w:adjustRightInd w:val="0"/>
        <w:jc w:val="both"/>
      </w:pPr>
    </w:p>
    <w:p w:rsidR="00D42474" w:rsidRDefault="00BB3F3E" w:rsidP="001A5BF9">
      <w:pPr>
        <w:autoSpaceDE w:val="0"/>
        <w:autoSpaceDN w:val="0"/>
        <w:adjustRightInd w:val="0"/>
        <w:jc w:val="both"/>
      </w:pPr>
      <w:r w:rsidRPr="005C7CCE">
        <w:t>Pour la campagne annuelle sur la Journée mondiale de la propriété intellectuelle, principale activité annuelle de sensibilisation du public menée par l</w:t>
      </w:r>
      <w:r w:rsidR="00A20444" w:rsidRPr="005C7CCE">
        <w:t>’</w:t>
      </w:r>
      <w:r w:rsidRPr="005C7CCE">
        <w:t>OMPI, l</w:t>
      </w:r>
      <w:r w:rsidR="00A20444" w:rsidRPr="005C7CCE">
        <w:t>’</w:t>
      </w:r>
      <w:r w:rsidRPr="005C7CCE">
        <w:t>OMPI a intensifié son recours aux médias sociaux pour générer un profond sens d</w:t>
      </w:r>
      <w:r w:rsidR="00A20444" w:rsidRPr="005C7CCE">
        <w:t>’</w:t>
      </w:r>
      <w:r w:rsidRPr="005C7CCE">
        <w:t>engagement et d</w:t>
      </w:r>
      <w:r w:rsidR="00A20444" w:rsidRPr="005C7CCE">
        <w:t>’</w:t>
      </w:r>
      <w:r w:rsidRPr="005C7CCE">
        <w:t xml:space="preserve">adoption par le public dans un sens plus large. </w:t>
      </w:r>
      <w:r w:rsidR="0010442A" w:rsidRPr="005C7CCE">
        <w:t xml:space="preserve"> </w:t>
      </w:r>
      <w:r w:rsidRPr="005C7CCE">
        <w:t>Le nombre total de personnes ayant consulté la page</w:t>
      </w:r>
      <w:r w:rsidR="0010442A" w:rsidRPr="005C7CCE">
        <w:t> </w:t>
      </w:r>
      <w:r w:rsidRPr="005C7CCE">
        <w:t>Facebook de la Journée mondiale de la propriété intellectuelle a plus que doublé en 2013 (375 000 personnes) par rapport à 2012, la plupart des commentaires “j</w:t>
      </w:r>
      <w:r w:rsidR="00A20444" w:rsidRPr="005C7CCE">
        <w:t>’</w:t>
      </w:r>
      <w:r w:rsidRPr="005C7CCE">
        <w:t>aime” provenant de l</w:t>
      </w:r>
      <w:r w:rsidR="00A20444" w:rsidRPr="005C7CCE">
        <w:t>’</w:t>
      </w:r>
      <w:r w:rsidRPr="005C7CCE">
        <w:t>Inde, des États</w:t>
      </w:r>
      <w:r w:rsidR="002D6F2A" w:rsidRPr="005C7CCE">
        <w:noBreakHyphen/>
      </w:r>
      <w:r w:rsidRPr="005C7CCE">
        <w:t>Unis d</w:t>
      </w:r>
      <w:r w:rsidR="00A20444" w:rsidRPr="005C7CCE">
        <w:t>’</w:t>
      </w:r>
      <w:r w:rsidRPr="005C7CCE">
        <w:t>Amérique, du Mexique, du Brésil et du Royaume</w:t>
      </w:r>
      <w:r w:rsidR="002D6F2A" w:rsidRPr="005C7CCE">
        <w:noBreakHyphen/>
      </w:r>
      <w:r w:rsidRPr="005C7CCE">
        <w:t xml:space="preserve">Uni. </w:t>
      </w:r>
      <w:r w:rsidR="0010442A" w:rsidRPr="005C7CCE">
        <w:t xml:space="preserve"> </w:t>
      </w:r>
      <w:r w:rsidRPr="005C7CCE">
        <w:t>Le site</w:t>
      </w:r>
      <w:r w:rsidR="0010442A" w:rsidRPr="005C7CCE">
        <w:t> </w:t>
      </w:r>
      <w:r w:rsidRPr="005C7CCE">
        <w:t>Web de l</w:t>
      </w:r>
      <w:r w:rsidR="00A20444" w:rsidRPr="005C7CCE">
        <w:t>’</w:t>
      </w:r>
      <w:r w:rsidRPr="005C7CCE">
        <w:t xml:space="preserve">OMPI a enregistré plus du double de visites le 26 avril 2013 que tout autre jour des </w:t>
      </w:r>
      <w:r w:rsidR="0010442A" w:rsidRPr="005C7CCE">
        <w:t>12</w:t>
      </w:r>
      <w:r w:rsidRPr="005C7CCE">
        <w:t> mois précédents.</w:t>
      </w:r>
      <w:r w:rsidR="0010442A" w:rsidRPr="005C7CCE">
        <w:t xml:space="preserve"> </w:t>
      </w:r>
      <w:r w:rsidRPr="005C7CCE">
        <w:t xml:space="preserve"> Les contenus thématiques incluaient “Innovateurs visionnaires” et “Créativité : la prochaine génération”, et les expositions de la Journée mondiale de la propriété intellectuelle sur les brevets de Steve Jobs (2012) ainsi que l</w:t>
      </w:r>
      <w:r w:rsidR="00A20444" w:rsidRPr="005C7CCE">
        <w:t>’</w:t>
      </w:r>
      <w:r w:rsidRPr="005C7CCE">
        <w:t>impression 3D (2013).</w:t>
      </w:r>
    </w:p>
    <w:p w:rsidR="00D42474" w:rsidRDefault="00D42474" w:rsidP="001A5BF9">
      <w:pPr>
        <w:jc w:val="both"/>
      </w:pPr>
    </w:p>
    <w:p w:rsidR="00D42474" w:rsidRDefault="00BB3F3E" w:rsidP="001A5BF9">
      <w:pPr>
        <w:autoSpaceDE w:val="0"/>
        <w:autoSpaceDN w:val="0"/>
        <w:adjustRightInd w:val="0"/>
        <w:jc w:val="both"/>
      </w:pPr>
      <w:r w:rsidRPr="00D74EB9">
        <w:t>Une approche plus intégrée visant à promouvoir les manifestations, les produits et les réalisations majeures de l</w:t>
      </w:r>
      <w:r w:rsidR="00A20444" w:rsidRPr="00D74EB9">
        <w:t>’</w:t>
      </w:r>
      <w:r w:rsidRPr="00D74EB9">
        <w:t>OMPI a permis d</w:t>
      </w:r>
      <w:r w:rsidR="00A20444" w:rsidRPr="00D74EB9">
        <w:t>’</w:t>
      </w:r>
      <w:r w:rsidRPr="00D74EB9">
        <w:t>améliorer la visibilité de l</w:t>
      </w:r>
      <w:r w:rsidR="00A20444" w:rsidRPr="00D74EB9">
        <w:t>’</w:t>
      </w:r>
      <w:r w:rsidRPr="00D74EB9">
        <w:t>Organisation et de mieux faire comprendre ses activités au public.</w:t>
      </w:r>
      <w:r w:rsidR="004F3E42" w:rsidRPr="00D74EB9">
        <w:t xml:space="preserve"> </w:t>
      </w:r>
      <w:r w:rsidR="0010442A" w:rsidRPr="00D74EB9">
        <w:t xml:space="preserve"> </w:t>
      </w:r>
      <w:r w:rsidRPr="00D74EB9">
        <w:t>Cette approche s</w:t>
      </w:r>
      <w:r w:rsidR="00A20444" w:rsidRPr="00D74EB9">
        <w:t>’</w:t>
      </w:r>
      <w:r w:rsidRPr="00D74EB9">
        <w:t>est fondée sur la mise en place de cadres d</w:t>
      </w:r>
      <w:r w:rsidR="00A20444" w:rsidRPr="00D74EB9">
        <w:t>’</w:t>
      </w:r>
      <w:r w:rsidRPr="00D74EB9">
        <w:t>élaboration de messages plus homogènes, la création de contenus originaux, réalisés sur mesures (éditoriaux, visuels et Web) en six</w:t>
      </w:r>
      <w:r w:rsidR="0010442A" w:rsidRPr="00D74EB9">
        <w:t> </w:t>
      </w:r>
      <w:r w:rsidRPr="00D74EB9">
        <w:t>langues, le maintien des relations avec la presse et les parties prenantes, le recours à des personnalités bien connues comme porte</w:t>
      </w:r>
      <w:r w:rsidR="002D6F2A" w:rsidRPr="00D74EB9">
        <w:noBreakHyphen/>
      </w:r>
      <w:r w:rsidRPr="00D74EB9">
        <w:t>paroles, et la diffusion via de multiples canaux de communication.</w:t>
      </w:r>
      <w:r w:rsidR="004F3E42" w:rsidRPr="00D74EB9">
        <w:t xml:space="preserve"> </w:t>
      </w:r>
      <w:r w:rsidR="0010442A" w:rsidRPr="00D74EB9">
        <w:t xml:space="preserve"> </w:t>
      </w:r>
      <w:r w:rsidRPr="00D74EB9">
        <w:t>Des activités de communications concertées ont été consacrées à des manifestations, produits et résultats importants au cours de l</w:t>
      </w:r>
      <w:r w:rsidR="00A20444" w:rsidRPr="00D74EB9">
        <w:t>’</w:t>
      </w:r>
      <w:r w:rsidRPr="00D74EB9">
        <w:t>exercice biennal, tels que l</w:t>
      </w:r>
      <w:r w:rsidR="00A20444" w:rsidRPr="00D74EB9">
        <w:t>’</w:t>
      </w:r>
      <w:r w:rsidRPr="00D74EB9">
        <w:t>adoption de deux nouveaux traités de l</w:t>
      </w:r>
      <w:r w:rsidR="00A20444" w:rsidRPr="00D74EB9">
        <w:t>’</w:t>
      </w:r>
      <w:r w:rsidRPr="00D74EB9">
        <w:t xml:space="preserve">OMPI, la publication de ses rapports de renom mondial sur la propriété intellectuelle, les </w:t>
      </w:r>
      <w:r w:rsidRPr="005C7CCE">
        <w:t>principales étapes de l</w:t>
      </w:r>
      <w:r w:rsidR="00A20444" w:rsidRPr="005C7CCE">
        <w:t>’</w:t>
      </w:r>
      <w:r w:rsidRPr="005C7CCE">
        <w:t>expansion de la base de données mondiale sur les marques et PATENTSCOPE, ainsi que le lancement de l</w:t>
      </w:r>
      <w:r w:rsidR="00A20444" w:rsidRPr="005C7CCE">
        <w:t>’</w:t>
      </w:r>
      <w:r w:rsidRPr="005C7CCE">
        <w:t xml:space="preserve">initiative de partenariat WIPO GREEN. </w:t>
      </w:r>
      <w:r w:rsidR="0010442A" w:rsidRPr="005C7CCE">
        <w:t xml:space="preserve"> </w:t>
      </w:r>
      <w:r w:rsidRPr="005C7CCE">
        <w:t>L</w:t>
      </w:r>
      <w:r w:rsidR="00A20444" w:rsidRPr="005C7CCE">
        <w:t>’</w:t>
      </w:r>
      <w:r w:rsidRPr="005C7CCE">
        <w:t>approche intégrée a également stimulé la couverture médiatique des indicateurs mondiaux de propriété intellectuelle (dont 2,3 millions d</w:t>
      </w:r>
      <w:r w:rsidR="00A20444" w:rsidRPr="005C7CCE">
        <w:t>’</w:t>
      </w:r>
      <w:r w:rsidRPr="005C7CCE">
        <w:t>impressions potentielles du principal tweet) et de l</w:t>
      </w:r>
      <w:r w:rsidR="00A20444" w:rsidRPr="005C7CCE">
        <w:t>’</w:t>
      </w:r>
      <w:r w:rsidRPr="005C7CCE">
        <w:t>Indice mondial de l</w:t>
      </w:r>
      <w:r w:rsidR="00A20444" w:rsidRPr="005C7CCE">
        <w:t>’</w:t>
      </w:r>
      <w:r w:rsidRPr="005C7CCE">
        <w:t>innovation (plus de 400 articles dans le monde et plus de 400</w:t>
      </w:r>
      <w:r w:rsidR="007E442D" w:rsidRPr="005C7CCE">
        <w:t>%</w:t>
      </w:r>
      <w:r w:rsidRPr="005C7CCE">
        <w:t> d</w:t>
      </w:r>
      <w:r w:rsidR="00A20444" w:rsidRPr="005C7CCE">
        <w:t>’</w:t>
      </w:r>
      <w:r w:rsidRPr="005C7CCE">
        <w:t>augmentation des consultations de la page en 2012 et 2013 par rapport à 2011).</w:t>
      </w:r>
    </w:p>
    <w:p w:rsidR="00D42474" w:rsidRDefault="00D42474" w:rsidP="001A5BF9">
      <w:pPr>
        <w:jc w:val="both"/>
        <w:rPr>
          <w:i/>
          <w:iCs/>
        </w:rPr>
      </w:pPr>
    </w:p>
    <w:p w:rsidR="00D42474" w:rsidRDefault="00D42474" w:rsidP="001A5BF9">
      <w:pPr>
        <w:jc w:val="both"/>
        <w:rPr>
          <w:b/>
          <w:iCs/>
        </w:rPr>
      </w:pPr>
    </w:p>
    <w:p w:rsidR="00D42474" w:rsidRDefault="00D74EB9">
      <w:pPr>
        <w:rPr>
          <w:b/>
        </w:rPr>
      </w:pPr>
      <w:r>
        <w:rPr>
          <w:b/>
          <w:color w:val="008000"/>
        </w:rPr>
        <w:br w:type="page"/>
      </w:r>
    </w:p>
    <w:p w:rsidR="00D42474" w:rsidRDefault="00BB3F3E" w:rsidP="001A5BF9">
      <w:pPr>
        <w:jc w:val="center"/>
        <w:rPr>
          <w:b/>
          <w:iCs/>
        </w:rPr>
      </w:pPr>
      <w:r w:rsidRPr="00D74EB9">
        <w:rPr>
          <w:b/>
        </w:rPr>
        <w:t>Objectif stratégique IX</w:t>
      </w:r>
      <w:r w:rsidR="00D74EB9">
        <w:rPr>
          <w:b/>
        </w:rPr>
        <w:t> :</w:t>
      </w:r>
      <w:r w:rsidRPr="00D74EB9">
        <w:rPr>
          <w:b/>
        </w:rPr>
        <w:t xml:space="preserve"> Structure d</w:t>
      </w:r>
      <w:r w:rsidR="00A20444" w:rsidRPr="00D74EB9">
        <w:rPr>
          <w:b/>
        </w:rPr>
        <w:t>’</w:t>
      </w:r>
      <w:r w:rsidRPr="00D74EB9">
        <w:rPr>
          <w:b/>
        </w:rPr>
        <w:t xml:space="preserve">appui administratif et financier efficace </w:t>
      </w:r>
      <w:r w:rsidR="00D74EB9">
        <w:rPr>
          <w:b/>
        </w:rPr>
        <w:br/>
      </w:r>
      <w:r w:rsidRPr="00D74EB9">
        <w:rPr>
          <w:b/>
        </w:rPr>
        <w:t>afin de permettre à</w:t>
      </w:r>
      <w:r w:rsidR="002A2523" w:rsidRPr="00D74EB9">
        <w:rPr>
          <w:b/>
        </w:rPr>
        <w:t> </w:t>
      </w:r>
      <w:r w:rsidRPr="00D74EB9">
        <w:rPr>
          <w:b/>
        </w:rPr>
        <w:t>l</w:t>
      </w:r>
      <w:r w:rsidR="00A20444" w:rsidRPr="00D74EB9">
        <w:rPr>
          <w:b/>
        </w:rPr>
        <w:t>’</w:t>
      </w:r>
      <w:r w:rsidRPr="00D74EB9">
        <w:rPr>
          <w:b/>
        </w:rPr>
        <w:t>OMPI d</w:t>
      </w:r>
      <w:r w:rsidR="00A20444" w:rsidRPr="00D74EB9">
        <w:rPr>
          <w:b/>
        </w:rPr>
        <w:t>’</w:t>
      </w:r>
      <w:r w:rsidRPr="00D74EB9">
        <w:rPr>
          <w:b/>
        </w:rPr>
        <w:t>exécuter ses programmes</w:t>
      </w:r>
    </w:p>
    <w:p w:rsidR="00D42474" w:rsidRDefault="00D42474" w:rsidP="001A5BF9">
      <w:pPr>
        <w:jc w:val="both"/>
      </w:pPr>
    </w:p>
    <w:p w:rsidR="00D42474" w:rsidRDefault="00D42474" w:rsidP="001A5BF9">
      <w:pPr>
        <w:jc w:val="both"/>
      </w:pPr>
    </w:p>
    <w:p w:rsidR="00D42474" w:rsidRDefault="00BB3F3E" w:rsidP="001A5BF9">
      <w:pPr>
        <w:jc w:val="center"/>
        <w:rPr>
          <w:b/>
          <w:sz w:val="18"/>
          <w:szCs w:val="18"/>
        </w:rPr>
      </w:pPr>
      <w:r w:rsidRPr="005C7CCE">
        <w:rPr>
          <w:b/>
          <w:sz w:val="18"/>
        </w:rPr>
        <w:t>Résumé des réalisations par résultat escompté</w:t>
      </w:r>
    </w:p>
    <w:p w:rsidR="00D42474" w:rsidRDefault="00D42474" w:rsidP="001A5BF9">
      <w:pPr>
        <w:jc w:val="center"/>
        <w:rPr>
          <w:b/>
          <w:sz w:val="18"/>
          <w:szCs w:val="18"/>
        </w:rPr>
      </w:pPr>
    </w:p>
    <w:p w:rsidR="00D42474" w:rsidRDefault="00D656BD" w:rsidP="001A5BF9">
      <w:pPr>
        <w:jc w:val="center"/>
        <w:rPr>
          <w:b/>
          <w:sz w:val="18"/>
          <w:szCs w:val="18"/>
        </w:rPr>
      </w:pPr>
      <w:r w:rsidRPr="005C7CCE">
        <w:rPr>
          <w:noProof/>
        </w:rPr>
        <w:drawing>
          <wp:inline distT="0" distB="0" distL="0" distR="0" wp14:anchorId="4AEC4529" wp14:editId="6525FFD9">
            <wp:extent cx="5939790" cy="543496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5434965"/>
                    </a:xfrm>
                    <a:prstGeom prst="rect">
                      <a:avLst/>
                    </a:prstGeom>
                    <a:noFill/>
                    <a:ln>
                      <a:noFill/>
                    </a:ln>
                  </pic:spPr>
                </pic:pic>
              </a:graphicData>
            </a:graphic>
          </wp:inline>
        </w:drawing>
      </w:r>
    </w:p>
    <w:p w:rsidR="00D42474" w:rsidRDefault="00D42474" w:rsidP="001A5BF9">
      <w:pPr>
        <w:jc w:val="center"/>
        <w:rPr>
          <w:b/>
          <w:sz w:val="18"/>
          <w:szCs w:val="18"/>
        </w:rPr>
      </w:pPr>
    </w:p>
    <w:p w:rsidR="00D42474" w:rsidRDefault="00D42474" w:rsidP="001A5BF9">
      <w:pPr>
        <w:jc w:val="center"/>
        <w:rPr>
          <w:b/>
          <w:sz w:val="18"/>
          <w:szCs w:val="18"/>
        </w:rPr>
      </w:pPr>
    </w:p>
    <w:p w:rsidR="00D42474" w:rsidRDefault="00BB3F3E" w:rsidP="001A5BF9">
      <w:pPr>
        <w:rPr>
          <w:b/>
          <w:sz w:val="18"/>
          <w:szCs w:val="18"/>
        </w:rPr>
      </w:pPr>
      <w:r w:rsidRPr="005C7CCE">
        <w:br w:type="page"/>
      </w:r>
    </w:p>
    <w:p w:rsidR="00D42474" w:rsidRDefault="00BB3F3E" w:rsidP="001A5BF9">
      <w:pPr>
        <w:jc w:val="center"/>
        <w:rPr>
          <w:b/>
          <w:szCs w:val="20"/>
        </w:rPr>
      </w:pPr>
      <w:r w:rsidRPr="005C7CCE">
        <w:rPr>
          <w:b/>
        </w:rPr>
        <w:t>Tableau de bord de l</w:t>
      </w:r>
      <w:r w:rsidR="00A20444" w:rsidRPr="005C7CCE">
        <w:rPr>
          <w:b/>
        </w:rPr>
        <w:t>’</w:t>
      </w:r>
      <w:r w:rsidRPr="005C7CCE">
        <w:rPr>
          <w:b/>
        </w:rPr>
        <w:t>exécution du programme biennal</w:t>
      </w:r>
    </w:p>
    <w:p w:rsidR="00D42474" w:rsidRDefault="00D42474" w:rsidP="001A5BF9">
      <w:pPr>
        <w:jc w:val="center"/>
        <w:rPr>
          <w:b/>
          <w:sz w:val="18"/>
          <w:szCs w:val="18"/>
        </w:rPr>
      </w:pPr>
    </w:p>
    <w:p w:rsidR="00D42474" w:rsidRDefault="00BB3F3E"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BB3F3E" w:rsidRPr="005C7CCE" w:rsidRDefault="00BB3F3E" w:rsidP="001A5BF9">
      <w:pPr>
        <w:jc w:val="center"/>
        <w:rPr>
          <w:b/>
          <w:sz w:val="18"/>
          <w:szCs w:val="18"/>
        </w:rPr>
      </w:pPr>
    </w:p>
    <w:tbl>
      <w:tblPr>
        <w:tblW w:w="0" w:type="auto"/>
        <w:tblInd w:w="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87"/>
        <w:gridCol w:w="3969"/>
        <w:gridCol w:w="1247"/>
        <w:gridCol w:w="1163"/>
      </w:tblGrid>
      <w:tr w:rsidR="00BB3F3E" w:rsidRPr="00D74EB9" w:rsidTr="002A2523">
        <w:trPr>
          <w:cantSplit/>
          <w:tblHeader/>
        </w:trPr>
        <w:tc>
          <w:tcPr>
            <w:tcW w:w="2987"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Résultats escomptés</w:t>
            </w:r>
          </w:p>
        </w:tc>
        <w:tc>
          <w:tcPr>
            <w:tcW w:w="3969"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Indicateurs d</w:t>
            </w:r>
            <w:r w:rsidR="00A20444" w:rsidRPr="00D74EB9">
              <w:rPr>
                <w:b/>
                <w:sz w:val="14"/>
              </w:rPr>
              <w:t>’</w:t>
            </w:r>
            <w:r w:rsidRPr="00D74EB9">
              <w:rPr>
                <w:b/>
                <w:sz w:val="14"/>
              </w:rPr>
              <w:t>exécution</w:t>
            </w:r>
          </w:p>
        </w:tc>
        <w:tc>
          <w:tcPr>
            <w:tcW w:w="1247"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Programme(s) concerné(s)</w:t>
            </w:r>
          </w:p>
        </w:tc>
        <w:tc>
          <w:tcPr>
            <w:tcW w:w="1163" w:type="dxa"/>
            <w:tcBorders>
              <w:top w:val="single" w:sz="4" w:space="0" w:color="auto"/>
              <w:bottom w:val="single" w:sz="4" w:space="0" w:color="auto"/>
            </w:tcBorders>
            <w:shd w:val="clear" w:color="auto" w:fill="CCFFFF"/>
            <w:vAlign w:val="center"/>
          </w:tcPr>
          <w:p w:rsidR="00BB3F3E" w:rsidRPr="00D74EB9" w:rsidRDefault="00BB3F3E" w:rsidP="001A5BF9">
            <w:pPr>
              <w:spacing w:before="120" w:after="120"/>
              <w:jc w:val="center"/>
              <w:rPr>
                <w:rFonts w:cs="Arial"/>
                <w:b/>
                <w:bCs/>
                <w:sz w:val="14"/>
                <w:szCs w:val="14"/>
              </w:rPr>
            </w:pPr>
            <w:r w:rsidRPr="00D74EB9">
              <w:rPr>
                <w:b/>
                <w:sz w:val="14"/>
              </w:rPr>
              <w:t>Code de couleurs</w:t>
            </w:r>
          </w:p>
        </w:tc>
      </w:tr>
      <w:tr w:rsidR="00BB3F3E" w:rsidRPr="005C7CCE" w:rsidTr="002A2523">
        <w:trPr>
          <w:cantSplit/>
        </w:trPr>
        <w:tc>
          <w:tcPr>
            <w:tcW w:w="2987" w:type="dxa"/>
            <w:vMerge w:val="restart"/>
            <w:tcBorders>
              <w:top w:val="single" w:sz="4" w:space="0" w:color="auto"/>
            </w:tcBorders>
            <w:shd w:val="clear" w:color="auto" w:fill="auto"/>
            <w:tcMar>
              <w:top w:w="113" w:type="dxa"/>
            </w:tcMar>
          </w:tcPr>
          <w:p w:rsidR="00BB3F3E" w:rsidRPr="00D74EB9" w:rsidRDefault="00BB3F3E" w:rsidP="001A5BF9">
            <w:pPr>
              <w:spacing w:before="80"/>
              <w:rPr>
                <w:rFonts w:cs="Arial"/>
                <w:sz w:val="14"/>
                <w:szCs w:val="14"/>
              </w:rPr>
            </w:pPr>
            <w:r w:rsidRPr="00D74EB9">
              <w:rPr>
                <w:sz w:val="14"/>
              </w:rPr>
              <w:t>Services d</w:t>
            </w:r>
            <w:r w:rsidR="00A20444" w:rsidRPr="00D74EB9">
              <w:rPr>
                <w:sz w:val="14"/>
              </w:rPr>
              <w:t>’</w:t>
            </w:r>
            <w:r w:rsidRPr="00D74EB9">
              <w:rPr>
                <w:sz w:val="14"/>
              </w:rPr>
              <w:t>appui efficaces, efficients, de qualité et tournés vers la clientèle, à l</w:t>
            </w:r>
            <w:r w:rsidR="00A20444" w:rsidRPr="00D74EB9">
              <w:rPr>
                <w:sz w:val="14"/>
              </w:rPr>
              <w:t>’</w:t>
            </w:r>
            <w:r w:rsidRPr="00D74EB9">
              <w:rPr>
                <w:sz w:val="14"/>
              </w:rPr>
              <w:t xml:space="preserve">intention à la fois des clients </w:t>
            </w:r>
            <w:r w:rsidR="005C3E25" w:rsidRPr="00D74EB9">
              <w:rPr>
                <w:sz w:val="14"/>
              </w:rPr>
              <w:t>internes</w:t>
            </w:r>
            <w:r w:rsidRPr="00D74EB9">
              <w:rPr>
                <w:sz w:val="14"/>
              </w:rPr>
              <w:t xml:space="preserve"> et des parties prenantes externes (ressources humaines, informatique, conférences, service linguistique, achats, voyages, imprimerie et publications, gestion des locaux)</w:t>
            </w:r>
          </w:p>
        </w:tc>
        <w:tc>
          <w:tcPr>
            <w:tcW w:w="3969" w:type="dxa"/>
            <w:tcBorders>
              <w:top w:val="single" w:sz="4" w:space="0" w:color="auto"/>
            </w:tcBorders>
            <w:shd w:val="clear" w:color="auto" w:fill="auto"/>
            <w:tcMar>
              <w:top w:w="113" w:type="dxa"/>
            </w:tcMar>
          </w:tcPr>
          <w:p w:rsidR="00BB3F3E" w:rsidRPr="00D74EB9" w:rsidRDefault="00BB3F3E" w:rsidP="001A5BF9">
            <w:pPr>
              <w:spacing w:before="80"/>
              <w:rPr>
                <w:rFonts w:cs="Arial"/>
                <w:sz w:val="14"/>
                <w:szCs w:val="14"/>
              </w:rPr>
            </w:pPr>
            <w:r w:rsidRPr="00D74EB9">
              <w:rPr>
                <w:sz w:val="14"/>
              </w:rPr>
              <w:t>Économies sur les achats de biens et de services effectués par l</w:t>
            </w:r>
            <w:r w:rsidR="00A20444" w:rsidRPr="00D74EB9">
              <w:rPr>
                <w:sz w:val="14"/>
              </w:rPr>
              <w:t>’</w:t>
            </w:r>
            <w:r w:rsidRPr="00D74EB9">
              <w:rPr>
                <w:sz w:val="14"/>
              </w:rPr>
              <w:t>OMPI (par suite d</w:t>
            </w:r>
            <w:r w:rsidR="00A20444" w:rsidRPr="00D74EB9">
              <w:rPr>
                <w:sz w:val="14"/>
              </w:rPr>
              <w:t>’</w:t>
            </w:r>
            <w:r w:rsidRPr="00D74EB9">
              <w:rPr>
                <w:sz w:val="14"/>
              </w:rPr>
              <w:t xml:space="preserve">invitations à soumissionner, de négociations ou de mesures de mondialisation – </w:t>
            </w:r>
            <w:r w:rsidR="00A20444" w:rsidRPr="00D74EB9">
              <w:rPr>
                <w:sz w:val="14"/>
              </w:rPr>
              <w:t>Nations Unies</w:t>
            </w:r>
            <w:r w:rsidRPr="00D74EB9">
              <w:rPr>
                <w:sz w:val="14"/>
              </w:rPr>
              <w:t>)</w:t>
            </w:r>
          </w:p>
        </w:tc>
        <w:tc>
          <w:tcPr>
            <w:tcW w:w="1247" w:type="dxa"/>
            <w:tcBorders>
              <w:top w:val="single" w:sz="4" w:space="0" w:color="auto"/>
            </w:tcBorders>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24</w:t>
            </w:r>
          </w:p>
        </w:tc>
        <w:tc>
          <w:tcPr>
            <w:tcW w:w="1163" w:type="dxa"/>
            <w:tcBorders>
              <w:top w:val="single" w:sz="4" w:space="0" w:color="auto"/>
            </w:tcBorders>
          </w:tcPr>
          <w:p w:rsidR="00BB3F3E" w:rsidRPr="005C7CCE" w:rsidRDefault="00BB3F3E" w:rsidP="001A5BF9">
            <w:pPr>
              <w:spacing w:before="20"/>
              <w:jc w:val="center"/>
              <w:rPr>
                <w:szCs w:val="22"/>
              </w:rPr>
            </w:pPr>
            <w:r w:rsidRPr="005C7CCE">
              <w:rPr>
                <w:color w:val="008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clients internes satisfaits des services d</w:t>
            </w:r>
            <w:r w:rsidR="00A20444" w:rsidRPr="00D74EB9">
              <w:rPr>
                <w:sz w:val="14"/>
              </w:rPr>
              <w:t>’</w:t>
            </w:r>
            <w:r w:rsidRPr="00D74EB9">
              <w:rPr>
                <w:sz w:val="14"/>
              </w:rPr>
              <w:t xml:space="preserve">achat </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24</w:t>
            </w:r>
          </w:p>
        </w:tc>
        <w:tc>
          <w:tcPr>
            <w:tcW w:w="1163" w:type="dxa"/>
          </w:tcPr>
          <w:p w:rsidR="00BB3F3E" w:rsidRPr="005C7CCE" w:rsidRDefault="00BB3F3E" w:rsidP="001A5BF9">
            <w:pPr>
              <w:jc w:val="center"/>
              <w:rPr>
                <w:rFonts w:cs="Arial"/>
                <w:color w:val="A6A6A6"/>
                <w:szCs w:val="22"/>
              </w:rPr>
            </w:pPr>
            <w:r w:rsidRPr="005C7CCE">
              <w:rPr>
                <w:color w:val="A6A6A6"/>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dépenses soumises à effet de levier ou à une évaluation de l</w:t>
            </w:r>
            <w:r w:rsidR="00A20444" w:rsidRPr="00D74EB9">
              <w:rPr>
                <w:sz w:val="14"/>
              </w:rPr>
              <w:t>’</w:t>
            </w:r>
            <w:r w:rsidRPr="00D74EB9">
              <w:rPr>
                <w:sz w:val="14"/>
              </w:rPr>
              <w:t>ONU</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24</w:t>
            </w:r>
          </w:p>
        </w:tc>
        <w:tc>
          <w:tcPr>
            <w:tcW w:w="1163" w:type="dxa"/>
          </w:tcPr>
          <w:p w:rsidR="00BB3F3E" w:rsidRPr="005C7CCE" w:rsidRDefault="00BB3F3E" w:rsidP="001A5BF9">
            <w:pPr>
              <w:jc w:val="center"/>
              <w:rPr>
                <w:rFonts w:cs="Arial"/>
                <w:color w:val="A6A6A6"/>
                <w:szCs w:val="22"/>
              </w:rPr>
            </w:pPr>
            <w:r w:rsidRPr="005C7CCE">
              <w:rPr>
                <w:color w:val="A6A6A6"/>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60"/>
              <w:rPr>
                <w:rFonts w:cs="Arial"/>
                <w:sz w:val="14"/>
                <w:szCs w:val="14"/>
              </w:rPr>
            </w:pPr>
            <w:r w:rsidRPr="00D74EB9">
              <w:rPr>
                <w:sz w:val="14"/>
              </w:rPr>
              <w:t>Temps de traitement des autorisations de voyage et des demandes de manifestation électroniques (sous condition de respect des délais)</w:t>
            </w:r>
          </w:p>
        </w:tc>
        <w:tc>
          <w:tcPr>
            <w:tcW w:w="1247" w:type="dxa"/>
            <w:shd w:val="clear" w:color="auto" w:fill="auto"/>
            <w:tcMar>
              <w:top w:w="113" w:type="dxa"/>
            </w:tcMar>
          </w:tcPr>
          <w:p w:rsidR="00BB3F3E" w:rsidRPr="00D74EB9" w:rsidRDefault="00BB3F3E" w:rsidP="001A5BF9">
            <w:pPr>
              <w:spacing w:before="60"/>
              <w:jc w:val="center"/>
              <w:rPr>
                <w:rFonts w:cs="Arial"/>
                <w:sz w:val="14"/>
                <w:szCs w:val="14"/>
              </w:rPr>
            </w:pPr>
            <w:r w:rsidRPr="00D74EB9">
              <w:rPr>
                <w:sz w:val="14"/>
              </w:rPr>
              <w:t xml:space="preserve">Programme 24 </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60"/>
              <w:rPr>
                <w:rFonts w:cs="Arial"/>
                <w:sz w:val="14"/>
                <w:szCs w:val="14"/>
              </w:rPr>
            </w:pPr>
            <w:r w:rsidRPr="00D74EB9">
              <w:rPr>
                <w:sz w:val="14"/>
              </w:rPr>
              <w:t>Temps de traitement des visas de tiers</w:t>
            </w:r>
          </w:p>
        </w:tc>
        <w:tc>
          <w:tcPr>
            <w:tcW w:w="1247" w:type="dxa"/>
            <w:shd w:val="clear" w:color="auto" w:fill="auto"/>
            <w:tcMar>
              <w:top w:w="113" w:type="dxa"/>
            </w:tcMar>
          </w:tcPr>
          <w:p w:rsidR="00BB3F3E" w:rsidRPr="00D74EB9" w:rsidRDefault="00BB3F3E" w:rsidP="001A5BF9">
            <w:pPr>
              <w:spacing w:before="60"/>
              <w:jc w:val="center"/>
              <w:rPr>
                <w:rFonts w:cs="Arial"/>
                <w:sz w:val="14"/>
                <w:szCs w:val="14"/>
              </w:rPr>
            </w:pPr>
            <w:r w:rsidRPr="00D74EB9">
              <w:rPr>
                <w:sz w:val="14"/>
              </w:rPr>
              <w:t>Programme 24</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Réduction du coût des voyages du fait des conférences électroniques et des visioconférences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24</w:t>
            </w:r>
          </w:p>
        </w:tc>
        <w:tc>
          <w:tcPr>
            <w:tcW w:w="1163" w:type="dxa"/>
          </w:tcPr>
          <w:p w:rsidR="00BB3F3E" w:rsidRPr="005C7CCE" w:rsidRDefault="00BB3F3E" w:rsidP="001A5BF9">
            <w:pPr>
              <w:jc w:val="center"/>
              <w:rPr>
                <w:color w:val="008000"/>
                <w:szCs w:val="22"/>
              </w:rPr>
            </w:pPr>
            <w:r w:rsidRPr="005C7CCE">
              <w:rPr>
                <w:color w:val="A6A6A6"/>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Moins de temps passé entre la demande et la réalisation d</w:t>
            </w:r>
            <w:r w:rsidR="00A20444" w:rsidRPr="00D74EB9">
              <w:rPr>
                <w:sz w:val="14"/>
              </w:rPr>
              <w:t>’</w:t>
            </w:r>
            <w:r w:rsidRPr="00D74EB9">
              <w:rPr>
                <w:sz w:val="14"/>
              </w:rPr>
              <w:t>opérations standard en matière de ressources humaines (indemnité pour frais d</w:t>
            </w:r>
            <w:r w:rsidR="00A20444" w:rsidRPr="00D74EB9">
              <w:rPr>
                <w:sz w:val="14"/>
              </w:rPr>
              <w:t>’</w:t>
            </w:r>
            <w:r w:rsidRPr="00D74EB9">
              <w:rPr>
                <w:sz w:val="14"/>
              </w:rPr>
              <w:t>étude, indemnité pour charges de famille)</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23</w:t>
            </w:r>
          </w:p>
        </w:tc>
        <w:tc>
          <w:tcPr>
            <w:tcW w:w="1163" w:type="dxa"/>
          </w:tcPr>
          <w:p w:rsidR="00BB3F3E" w:rsidRPr="005C7CCE" w:rsidRDefault="00BB3F3E" w:rsidP="001A5BF9">
            <w:pPr>
              <w:spacing w:before="20"/>
              <w:jc w:val="center"/>
              <w:rPr>
                <w:rFonts w:cs="Arial"/>
                <w:color w:val="FF0000"/>
                <w:szCs w:val="22"/>
              </w:rPr>
            </w:pPr>
            <w:r w:rsidRPr="005C7CCE">
              <w:rPr>
                <w:color w:val="FF0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Rapport entre les membres du personnel (équivalent plein temps) et le personnel chargé des ressources humaines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23</w:t>
            </w:r>
          </w:p>
        </w:tc>
        <w:tc>
          <w:tcPr>
            <w:tcW w:w="1163" w:type="dxa"/>
          </w:tcPr>
          <w:p w:rsidR="00BB3F3E" w:rsidRPr="005C7CCE" w:rsidRDefault="00BB3F3E" w:rsidP="001A5BF9">
            <w:pPr>
              <w:spacing w:before="20"/>
              <w:jc w:val="center"/>
              <w:rPr>
                <w:szCs w:val="22"/>
              </w:rPr>
            </w:pPr>
            <w:r w:rsidRPr="005C7CCE">
              <w:rPr>
                <w:color w:val="FF0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des membres du personnel satisfaits des services en matière de ressources humaines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23</w:t>
            </w:r>
          </w:p>
        </w:tc>
        <w:tc>
          <w:tcPr>
            <w:tcW w:w="1163" w:type="dxa"/>
          </w:tcPr>
          <w:p w:rsidR="00BB3F3E" w:rsidRPr="005C7CCE" w:rsidRDefault="00BB3F3E" w:rsidP="001A5BF9">
            <w:pPr>
              <w:spacing w:before="20"/>
              <w:jc w:val="center"/>
              <w:rPr>
                <w:szCs w:val="22"/>
              </w:rPr>
            </w:pPr>
            <w:r w:rsidRPr="005C7CCE">
              <w:rPr>
                <w:color w:val="E36C0A"/>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Taux de productivité pour les calculs, l</w:t>
            </w:r>
            <w:r w:rsidR="00A20444" w:rsidRPr="00D74EB9">
              <w:rPr>
                <w:sz w:val="14"/>
              </w:rPr>
              <w:t>’</w:t>
            </w:r>
            <w:r w:rsidRPr="00D74EB9">
              <w:rPr>
                <w:sz w:val="14"/>
              </w:rPr>
              <w:t>introduction de données, le rassemblement et la fourniture de statistiques (remise du courrier)</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27</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documents presse PCT sur papier et sous forme électronique respectant les délais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27</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 xml:space="preserve">Pourcentage de notifications Madrid sur papier respectant les délais </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27</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données Romarin du système de Madrid sous forme électronique respectant les délais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27</w:t>
            </w:r>
          </w:p>
        </w:tc>
        <w:tc>
          <w:tcPr>
            <w:tcW w:w="1163" w:type="dxa"/>
          </w:tcPr>
          <w:p w:rsidR="00BB3F3E" w:rsidRPr="005C7CCE" w:rsidRDefault="00BB3F3E" w:rsidP="001A5BF9">
            <w:pPr>
              <w:spacing w:before="20"/>
              <w:jc w:val="center"/>
              <w:rPr>
                <w:szCs w:val="22"/>
              </w:rPr>
            </w:pPr>
            <w:r w:rsidRPr="005C7CCE">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des utilisateurs internes et externes satisfaits des services de conférence de l</w:t>
            </w:r>
            <w:r w:rsidR="00A20444" w:rsidRPr="00D74EB9">
              <w:rPr>
                <w:sz w:val="14"/>
              </w:rPr>
              <w:t>’</w:t>
            </w:r>
            <w:r w:rsidRPr="00D74EB9">
              <w:rPr>
                <w:sz w:val="14"/>
              </w:rPr>
              <w:t xml:space="preserve">OMPI </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27</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Normes de productivité de traduction et coût par page de traduction</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27</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noWrap/>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Politique linguistique globale adoptée par les États membres et exigences connexes en matière d</w:t>
            </w:r>
            <w:r w:rsidR="00A20444" w:rsidRPr="00D74EB9">
              <w:rPr>
                <w:sz w:val="14"/>
              </w:rPr>
              <w:t>’</w:t>
            </w:r>
            <w:r w:rsidRPr="00D74EB9">
              <w:rPr>
                <w:sz w:val="14"/>
              </w:rPr>
              <w:t>affectation des ressources</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Programme 27</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Externalisation de l</w:t>
            </w:r>
            <w:r w:rsidR="00A20444" w:rsidRPr="00D74EB9">
              <w:rPr>
                <w:sz w:val="14"/>
              </w:rPr>
              <w:t>’</w:t>
            </w:r>
            <w:r w:rsidRPr="00D74EB9">
              <w:rPr>
                <w:sz w:val="14"/>
              </w:rPr>
              <w:t>exploitation et de la fourniture de l</w:t>
            </w:r>
            <w:r w:rsidR="00A20444" w:rsidRPr="00D74EB9">
              <w:rPr>
                <w:sz w:val="14"/>
              </w:rPr>
              <w:t>’</w:t>
            </w:r>
            <w:r w:rsidRPr="00D74EB9">
              <w:rPr>
                <w:sz w:val="14"/>
              </w:rPr>
              <w:t>infrastructure technique informatique</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25</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Les réunions de l</w:t>
            </w:r>
            <w:r w:rsidR="00A20444" w:rsidRPr="00D74EB9">
              <w:rPr>
                <w:sz w:val="14"/>
              </w:rPr>
              <w:t>’</w:t>
            </w:r>
            <w:r w:rsidRPr="00D74EB9">
              <w:rPr>
                <w:sz w:val="14"/>
              </w:rPr>
              <w:t>OMPI sont accessibles en temps réel sur Internet ou après la rencontre</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25</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de voies de communication harmonieusement intégrées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25</w:t>
            </w:r>
          </w:p>
        </w:tc>
        <w:tc>
          <w:tcPr>
            <w:tcW w:w="1163" w:type="dxa"/>
          </w:tcPr>
          <w:p w:rsidR="00BB3F3E" w:rsidRPr="005C7CCE" w:rsidRDefault="00BB3F3E" w:rsidP="001A5BF9">
            <w:pPr>
              <w:jc w:val="center"/>
              <w:rPr>
                <w:szCs w:val="22"/>
              </w:rPr>
            </w:pPr>
            <w:r w:rsidRPr="005C7CCE">
              <w:rPr>
                <w:color w:val="E36C0A"/>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Location de lieux de travail supplémentaires et d</w:t>
            </w:r>
            <w:r w:rsidR="00A20444" w:rsidRPr="00D74EB9">
              <w:rPr>
                <w:sz w:val="14"/>
              </w:rPr>
              <w:t>’</w:t>
            </w:r>
            <w:r w:rsidRPr="00D74EB9">
              <w:rPr>
                <w:sz w:val="14"/>
              </w:rPr>
              <w:t>installations connexes (sur la base des mêmes effectifs qu</w:t>
            </w:r>
            <w:r w:rsidR="00A20444" w:rsidRPr="00D74EB9">
              <w:rPr>
                <w:sz w:val="14"/>
              </w:rPr>
              <w:t>’</w:t>
            </w:r>
            <w:r w:rsidRPr="00D74EB9">
              <w:rPr>
                <w:sz w:val="14"/>
              </w:rPr>
              <w:t>à la fin 2011)</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24</w:t>
            </w:r>
          </w:p>
        </w:tc>
        <w:tc>
          <w:tcPr>
            <w:tcW w:w="1163" w:type="dxa"/>
          </w:tcPr>
          <w:p w:rsidR="00BB3F3E" w:rsidRPr="005C7CCE" w:rsidRDefault="00BB3F3E" w:rsidP="001A5BF9">
            <w:pPr>
              <w:jc w:val="center"/>
              <w:rPr>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de grandes installations techniques (électriques, sanitaires, chauffage et climatisation) améliorées conformément aux normes en vigueur (à définir)</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 xml:space="preserve">Programme 24 </w:t>
            </w:r>
          </w:p>
        </w:tc>
        <w:tc>
          <w:tcPr>
            <w:tcW w:w="1163" w:type="dxa"/>
          </w:tcPr>
          <w:p w:rsidR="00BB3F3E" w:rsidRPr="005C7CCE" w:rsidRDefault="00BB3F3E" w:rsidP="001A5BF9">
            <w:pPr>
              <w:jc w:val="center"/>
              <w:rPr>
                <w:szCs w:val="22"/>
              </w:rPr>
            </w:pPr>
            <w:r w:rsidRPr="005C7CCE">
              <w:rPr>
                <w:color w:val="A6A6A6"/>
              </w:rPr>
              <w:sym w:font="Wingdings" w:char="F06C"/>
            </w:r>
          </w:p>
        </w:tc>
      </w:tr>
      <w:tr w:rsidR="00BB3F3E" w:rsidRPr="005C7CCE" w:rsidTr="002A2523">
        <w:trPr>
          <w:cantSplit/>
        </w:trPr>
        <w:tc>
          <w:tcPr>
            <w:tcW w:w="2987" w:type="dxa"/>
            <w:vMerge w:val="restart"/>
            <w:shd w:val="clear" w:color="auto" w:fill="auto"/>
            <w:tcMar>
              <w:top w:w="113" w:type="dxa"/>
            </w:tcMar>
          </w:tcPr>
          <w:p w:rsidR="00BB3F3E" w:rsidRPr="00D74EB9" w:rsidRDefault="00BB3F3E" w:rsidP="001A5BF9">
            <w:pPr>
              <w:keepNext/>
              <w:keepLines/>
              <w:spacing w:before="60"/>
              <w:rPr>
                <w:rFonts w:cs="Arial"/>
                <w:sz w:val="14"/>
                <w:szCs w:val="14"/>
              </w:rPr>
            </w:pPr>
            <w:r w:rsidRPr="00D74EB9">
              <w:rPr>
                <w:sz w:val="14"/>
              </w:rPr>
              <w:t>Les investissements dans</w:t>
            </w:r>
            <w:r w:rsidR="00A20444" w:rsidRPr="00D74EB9">
              <w:rPr>
                <w:sz w:val="14"/>
              </w:rPr>
              <w:t xml:space="preserve"> les TIC</w:t>
            </w:r>
            <w:r w:rsidRPr="00D74EB9">
              <w:rPr>
                <w:sz w:val="14"/>
              </w:rPr>
              <w:t xml:space="preserve"> sont étroitement alignés sur les priorités stratégiques et entraînent des avantages sur le plan opérationnel</w:t>
            </w:r>
          </w:p>
        </w:tc>
        <w:tc>
          <w:tcPr>
            <w:tcW w:w="3969" w:type="dxa"/>
            <w:shd w:val="clear" w:color="auto" w:fill="auto"/>
            <w:tcMar>
              <w:top w:w="113" w:type="dxa"/>
            </w:tcMar>
          </w:tcPr>
          <w:p w:rsidR="00BB3F3E" w:rsidRPr="00D74EB9" w:rsidRDefault="00BB3F3E" w:rsidP="001A5BF9">
            <w:pPr>
              <w:keepNext/>
              <w:keepLines/>
              <w:spacing w:before="60"/>
              <w:rPr>
                <w:rFonts w:cs="Arial"/>
                <w:sz w:val="14"/>
                <w:szCs w:val="14"/>
              </w:rPr>
            </w:pPr>
            <w:r w:rsidRPr="00D74EB9">
              <w:rPr>
                <w:sz w:val="14"/>
              </w:rPr>
              <w:t>Pourcentage de projets dont les retombées ont été évaluées après la mise en œuvre du projet</w:t>
            </w:r>
          </w:p>
        </w:tc>
        <w:tc>
          <w:tcPr>
            <w:tcW w:w="1247" w:type="dxa"/>
            <w:shd w:val="clear" w:color="auto" w:fill="auto"/>
            <w:tcMar>
              <w:top w:w="113" w:type="dxa"/>
            </w:tcMar>
          </w:tcPr>
          <w:p w:rsidR="00BB3F3E" w:rsidRPr="00D74EB9" w:rsidRDefault="00BB3F3E" w:rsidP="001A5BF9">
            <w:pPr>
              <w:keepNext/>
              <w:keepLines/>
              <w:spacing w:before="60"/>
              <w:jc w:val="center"/>
              <w:rPr>
                <w:rFonts w:cs="Arial"/>
                <w:sz w:val="14"/>
                <w:szCs w:val="14"/>
              </w:rPr>
            </w:pPr>
            <w:r w:rsidRPr="00D74EB9">
              <w:rPr>
                <w:sz w:val="14"/>
              </w:rPr>
              <w:t>Programme 25</w:t>
            </w:r>
          </w:p>
        </w:tc>
        <w:tc>
          <w:tcPr>
            <w:tcW w:w="1163" w:type="dxa"/>
          </w:tcPr>
          <w:p w:rsidR="00BB3F3E" w:rsidRPr="005C7CCE" w:rsidRDefault="00BB3F3E" w:rsidP="001A5BF9">
            <w:pPr>
              <w:keepNext/>
              <w:keepLines/>
              <w:spacing w:before="20"/>
              <w:jc w:val="center"/>
              <w:rPr>
                <w:szCs w:val="22"/>
              </w:rPr>
            </w:pPr>
            <w:r w:rsidRPr="005C7CCE">
              <w:rPr>
                <w:color w:val="E36C0A"/>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60"/>
              <w:rPr>
                <w:rFonts w:cs="Arial"/>
                <w:sz w:val="14"/>
                <w:szCs w:val="14"/>
              </w:rPr>
            </w:pPr>
            <w:r w:rsidRPr="00D74EB9">
              <w:rPr>
                <w:sz w:val="14"/>
              </w:rPr>
              <w:t>Niveau de maturité d</w:t>
            </w:r>
            <w:r w:rsidR="00A20444" w:rsidRPr="00D74EB9">
              <w:rPr>
                <w:sz w:val="14"/>
              </w:rPr>
              <w:t>’</w:t>
            </w:r>
            <w:proofErr w:type="spellStart"/>
            <w:r w:rsidRPr="00D74EB9">
              <w:rPr>
                <w:sz w:val="14"/>
              </w:rPr>
              <w:t>ITIL</w:t>
            </w:r>
            <w:proofErr w:type="spellEnd"/>
            <w:r w:rsidRPr="00D74EB9">
              <w:rPr>
                <w:sz w:val="14"/>
              </w:rPr>
              <w:t xml:space="preserve"> en fonction de l</w:t>
            </w:r>
            <w:r w:rsidR="00A20444" w:rsidRPr="00D74EB9">
              <w:rPr>
                <w:sz w:val="14"/>
              </w:rPr>
              <w:t>’</w:t>
            </w:r>
            <w:r w:rsidRPr="00D74EB9">
              <w:rPr>
                <w:sz w:val="14"/>
              </w:rPr>
              <w:t>auto</w:t>
            </w:r>
            <w:r w:rsidR="002D6F2A" w:rsidRPr="00D74EB9">
              <w:rPr>
                <w:sz w:val="14"/>
              </w:rPr>
              <w:noBreakHyphen/>
            </w:r>
            <w:r w:rsidRPr="00D74EB9">
              <w:rPr>
                <w:sz w:val="14"/>
              </w:rPr>
              <w:t>évaluation officielle à l</w:t>
            </w:r>
            <w:r w:rsidR="00A20444" w:rsidRPr="00D74EB9">
              <w:rPr>
                <w:sz w:val="14"/>
              </w:rPr>
              <w:t>’</w:t>
            </w:r>
            <w:r w:rsidRPr="00D74EB9">
              <w:rPr>
                <w:sz w:val="14"/>
              </w:rPr>
              <w:t>échelle 5</w:t>
            </w:r>
          </w:p>
        </w:tc>
        <w:tc>
          <w:tcPr>
            <w:tcW w:w="1247" w:type="dxa"/>
            <w:shd w:val="clear" w:color="auto" w:fill="auto"/>
            <w:tcMar>
              <w:top w:w="113" w:type="dxa"/>
            </w:tcMar>
          </w:tcPr>
          <w:p w:rsidR="00BB3F3E" w:rsidRPr="00D74EB9" w:rsidRDefault="00BB3F3E" w:rsidP="001A5BF9">
            <w:pPr>
              <w:spacing w:before="60"/>
              <w:jc w:val="center"/>
              <w:rPr>
                <w:rFonts w:cs="Arial"/>
                <w:sz w:val="14"/>
                <w:szCs w:val="14"/>
              </w:rPr>
            </w:pPr>
            <w:r w:rsidRPr="00D74EB9">
              <w:rPr>
                <w:sz w:val="14"/>
              </w:rPr>
              <w:t>Programme 25</w:t>
            </w:r>
          </w:p>
        </w:tc>
        <w:tc>
          <w:tcPr>
            <w:tcW w:w="1163" w:type="dxa"/>
          </w:tcPr>
          <w:p w:rsidR="00BB3F3E" w:rsidRPr="005C7CCE" w:rsidRDefault="00BB3F3E" w:rsidP="001A5BF9">
            <w:pPr>
              <w:spacing w:before="20"/>
              <w:jc w:val="center"/>
              <w:rPr>
                <w:color w:val="006600"/>
                <w:szCs w:val="22"/>
              </w:rPr>
            </w:pPr>
            <w:r w:rsidRPr="005C7CCE">
              <w:rPr>
                <w:color w:val="E36C0A"/>
              </w:rPr>
              <w:sym w:font="Wingdings" w:char="F06C"/>
            </w:r>
          </w:p>
        </w:tc>
      </w:tr>
      <w:tr w:rsidR="00BB3F3E" w:rsidRPr="005C7CCE" w:rsidTr="002A2523">
        <w:trPr>
          <w:cantSplit/>
        </w:trPr>
        <w:tc>
          <w:tcPr>
            <w:tcW w:w="2987" w:type="dxa"/>
            <w:vMerge w:val="restart"/>
            <w:shd w:val="clear" w:color="auto" w:fill="auto"/>
            <w:tcMar>
              <w:top w:w="113" w:type="dxa"/>
            </w:tcMar>
          </w:tcPr>
          <w:p w:rsidR="00BB3F3E" w:rsidRPr="00D74EB9" w:rsidRDefault="00BB3F3E" w:rsidP="001A5BF9">
            <w:pPr>
              <w:spacing w:before="60"/>
              <w:rPr>
                <w:rFonts w:cs="Arial"/>
                <w:sz w:val="14"/>
                <w:szCs w:val="14"/>
              </w:rPr>
            </w:pPr>
            <w:r w:rsidRPr="00D74EB9">
              <w:rPr>
                <w:sz w:val="14"/>
              </w:rPr>
              <w:t xml:space="preserve">Planification, traitement, mise en œuvre, évaluation et établissement de rapports efficaces, efficients et fondés sur les résultats en matière de programmation et de finances </w:t>
            </w:r>
          </w:p>
        </w:tc>
        <w:tc>
          <w:tcPr>
            <w:tcW w:w="3969" w:type="dxa"/>
            <w:shd w:val="clear" w:color="auto" w:fill="auto"/>
            <w:tcMar>
              <w:top w:w="113" w:type="dxa"/>
            </w:tcMar>
          </w:tcPr>
          <w:p w:rsidR="00BB3F3E" w:rsidRPr="00D74EB9" w:rsidRDefault="00BB3F3E" w:rsidP="001A5BF9">
            <w:pPr>
              <w:spacing w:before="60"/>
              <w:rPr>
                <w:sz w:val="14"/>
                <w:szCs w:val="14"/>
                <w:lang w:bidi="th-TH"/>
              </w:rPr>
            </w:pPr>
            <w:r w:rsidRPr="00D74EB9">
              <w:rPr>
                <w:sz w:val="14"/>
              </w:rPr>
              <w:t>Pourcentage de programmes de l</w:t>
            </w:r>
            <w:r w:rsidR="00A20444" w:rsidRPr="00D74EB9">
              <w:rPr>
                <w:sz w:val="14"/>
              </w:rPr>
              <w:t>’</w:t>
            </w:r>
            <w:r w:rsidRPr="00D74EB9">
              <w:rPr>
                <w:sz w:val="14"/>
              </w:rPr>
              <w:t>OMPI utilisant les données relatives à l</w:t>
            </w:r>
            <w:r w:rsidR="00A20444" w:rsidRPr="00D74EB9">
              <w:rPr>
                <w:sz w:val="14"/>
              </w:rPr>
              <w:t>’</w:t>
            </w:r>
            <w:r w:rsidRPr="00D74EB9">
              <w:rPr>
                <w:sz w:val="14"/>
              </w:rPr>
              <w:t>exécution du programme pour gérer cette exécution</w:t>
            </w:r>
          </w:p>
        </w:tc>
        <w:tc>
          <w:tcPr>
            <w:tcW w:w="1247" w:type="dxa"/>
            <w:shd w:val="clear" w:color="auto" w:fill="auto"/>
            <w:noWrap/>
            <w:tcMar>
              <w:top w:w="113" w:type="dxa"/>
            </w:tcMar>
          </w:tcPr>
          <w:p w:rsidR="00BB3F3E" w:rsidRPr="00D74EB9" w:rsidRDefault="00BB3F3E" w:rsidP="001A5BF9">
            <w:pPr>
              <w:spacing w:before="60"/>
              <w:jc w:val="center"/>
              <w:rPr>
                <w:rFonts w:cs="Arial"/>
                <w:sz w:val="14"/>
                <w:szCs w:val="14"/>
              </w:rPr>
            </w:pPr>
            <w:r w:rsidRPr="00D74EB9">
              <w:rPr>
                <w:sz w:val="14"/>
              </w:rPr>
              <w:t xml:space="preserve">Programme 22 </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sz w:val="14"/>
                <w:szCs w:val="14"/>
                <w:lang w:bidi="th-TH"/>
              </w:rPr>
            </w:pPr>
            <w:r w:rsidRPr="00D74EB9">
              <w:rPr>
                <w:sz w:val="14"/>
              </w:rPr>
              <w:t>Pourcentage de répondants (OMPI) qui estiment que l</w:t>
            </w:r>
            <w:r w:rsidR="00A20444" w:rsidRPr="00D74EB9">
              <w:rPr>
                <w:sz w:val="14"/>
              </w:rPr>
              <w:t>’</w:t>
            </w:r>
            <w:r w:rsidRPr="00D74EB9">
              <w:rPr>
                <w:sz w:val="14"/>
              </w:rPr>
              <w:t>OMPI doit rendre des comptes sur ses résultats</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 xml:space="preserve">Programme 22 </w:t>
            </w:r>
          </w:p>
        </w:tc>
        <w:tc>
          <w:tcPr>
            <w:tcW w:w="1163"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Opérations financières et gestion du budget conformes aux dispositions des conventions et des traités en vigueur de l</w:t>
            </w:r>
            <w:r w:rsidR="00A20444" w:rsidRPr="00D74EB9">
              <w:rPr>
                <w:sz w:val="14"/>
              </w:rPr>
              <w:t>’</w:t>
            </w:r>
            <w:r w:rsidR="005C3E25" w:rsidRPr="00D74EB9">
              <w:rPr>
                <w:sz w:val="14"/>
              </w:rPr>
              <w:t>OMPI, à ses R</w:t>
            </w:r>
            <w:r w:rsidRPr="00D74EB9">
              <w:rPr>
                <w:sz w:val="14"/>
              </w:rPr>
              <w:t>èglement financier et règlement d</w:t>
            </w:r>
            <w:r w:rsidR="00A20444" w:rsidRPr="00D74EB9">
              <w:rPr>
                <w:sz w:val="14"/>
              </w:rPr>
              <w:t>’</w:t>
            </w:r>
            <w:r w:rsidRPr="00D74EB9">
              <w:rPr>
                <w:sz w:val="14"/>
              </w:rPr>
              <w:t>exécution et aux normes comptables applicables</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 xml:space="preserve">Programme 22 </w:t>
            </w:r>
          </w:p>
        </w:tc>
        <w:tc>
          <w:tcPr>
            <w:tcW w:w="1163" w:type="dxa"/>
          </w:tcPr>
          <w:p w:rsidR="00BB3F3E" w:rsidRPr="005C7CCE" w:rsidRDefault="00BB3F3E" w:rsidP="001A5BF9">
            <w:pPr>
              <w:jc w:val="center"/>
              <w:rPr>
                <w:color w:val="E36C0A"/>
                <w:szCs w:val="22"/>
              </w:rPr>
            </w:pPr>
            <w:r w:rsidRPr="005C7CCE">
              <w:rPr>
                <w:color w:val="E36C0A"/>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Le rapport financier satisfaisant produit par les commissaires aux comptes confirme la conformité des opérations comptables avec les règlements et normes en vigueur.</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 xml:space="preserve">Programme 22 </w:t>
            </w:r>
          </w:p>
        </w:tc>
        <w:tc>
          <w:tcPr>
            <w:tcW w:w="1163" w:type="dxa"/>
          </w:tcPr>
          <w:p w:rsidR="00BB3F3E" w:rsidRPr="005C7CCE" w:rsidRDefault="00BB3F3E" w:rsidP="001A5BF9">
            <w:pPr>
              <w:jc w:val="center"/>
              <w:rPr>
                <w:color w:val="00B050"/>
                <w:szCs w:val="22"/>
              </w:rPr>
            </w:pPr>
            <w:r w:rsidRPr="005C7CCE">
              <w:rPr>
                <w:color w:val="A6A6A6"/>
              </w:rPr>
              <w:sym w:font="Wingdings" w:char="F06C"/>
            </w:r>
          </w:p>
        </w:tc>
      </w:tr>
      <w:tr w:rsidR="00BB3F3E" w:rsidRPr="005C7CCE" w:rsidTr="002A2523">
        <w:trPr>
          <w:cantSplit/>
        </w:trPr>
        <w:tc>
          <w:tcPr>
            <w:tcW w:w="2987" w:type="dxa"/>
            <w:vMerge w:val="restart"/>
            <w:shd w:val="clear" w:color="auto" w:fill="auto"/>
            <w:tcMar>
              <w:top w:w="113" w:type="dxa"/>
            </w:tcMar>
          </w:tcPr>
          <w:p w:rsidR="00BB3F3E" w:rsidRPr="00D74EB9" w:rsidRDefault="00BB3F3E" w:rsidP="001A5BF9">
            <w:pPr>
              <w:spacing w:before="80"/>
              <w:rPr>
                <w:rFonts w:cs="Arial"/>
                <w:sz w:val="14"/>
                <w:szCs w:val="14"/>
              </w:rPr>
            </w:pPr>
            <w:r w:rsidRPr="00D74EB9">
              <w:rPr>
                <w:sz w:val="14"/>
              </w:rPr>
              <w:t>Effectifs gérés correctement, diversifiés, motivés et qualifiés</w:t>
            </w: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du personnel dont le travail est évalué en fonction de leurs objectifs et de leurs compétences individuels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23</w:t>
            </w:r>
          </w:p>
        </w:tc>
        <w:tc>
          <w:tcPr>
            <w:tcW w:w="1163" w:type="dxa"/>
          </w:tcPr>
          <w:p w:rsidR="00BB3F3E" w:rsidRPr="005C7CCE" w:rsidRDefault="00BB3F3E" w:rsidP="001A5BF9">
            <w:pPr>
              <w:jc w:val="center"/>
              <w:rPr>
                <w:color w:val="00B050"/>
                <w:szCs w:val="22"/>
              </w:rPr>
            </w:pPr>
            <w:r w:rsidRPr="005C7CCE">
              <w:rPr>
                <w:color w:val="008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Délais de recrutement</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23</w:t>
            </w:r>
          </w:p>
        </w:tc>
        <w:tc>
          <w:tcPr>
            <w:tcW w:w="1163" w:type="dxa"/>
          </w:tcPr>
          <w:p w:rsidR="00BB3F3E" w:rsidRPr="005C7CCE" w:rsidRDefault="00BB3F3E" w:rsidP="001A5BF9">
            <w:pPr>
              <w:jc w:val="center"/>
              <w:rPr>
                <w:color w:val="00B050"/>
                <w:szCs w:val="22"/>
              </w:rPr>
            </w:pPr>
            <w:r w:rsidRPr="005C7CCE">
              <w:rPr>
                <w:color w:val="008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la masse salariale totale consacrée à la formation du personnel</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23</w:t>
            </w:r>
          </w:p>
        </w:tc>
        <w:tc>
          <w:tcPr>
            <w:tcW w:w="1163" w:type="dxa"/>
          </w:tcPr>
          <w:p w:rsidR="00BB3F3E" w:rsidRPr="005C7CCE" w:rsidRDefault="00BB3F3E" w:rsidP="001A5BF9">
            <w:pPr>
              <w:jc w:val="center"/>
              <w:rPr>
                <w:szCs w:val="22"/>
              </w:rPr>
            </w:pPr>
            <w:r w:rsidRPr="005C7CCE">
              <w:rPr>
                <w:color w:val="E36C0A"/>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Diversité géographique – Pourcentage d</w:t>
            </w:r>
            <w:r w:rsidR="00A20444" w:rsidRPr="00D74EB9">
              <w:rPr>
                <w:sz w:val="14"/>
              </w:rPr>
              <w:t>’</w:t>
            </w:r>
            <w:r w:rsidRPr="00D74EB9">
              <w:rPr>
                <w:sz w:val="14"/>
              </w:rPr>
              <w:t>États membres représentés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23</w:t>
            </w:r>
          </w:p>
        </w:tc>
        <w:tc>
          <w:tcPr>
            <w:tcW w:w="1163" w:type="dxa"/>
          </w:tcPr>
          <w:p w:rsidR="00BB3F3E" w:rsidRPr="005C7CCE" w:rsidRDefault="00BB3F3E" w:rsidP="001A5BF9">
            <w:pPr>
              <w:jc w:val="center"/>
              <w:rPr>
                <w:szCs w:val="22"/>
              </w:rPr>
            </w:pPr>
            <w:r w:rsidRPr="005C7CCE">
              <w:rPr>
                <w:color w:val="008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femmes dans des postes d</w:t>
            </w:r>
            <w:r w:rsidR="00A20444" w:rsidRPr="00D74EB9">
              <w:rPr>
                <w:sz w:val="14"/>
              </w:rPr>
              <w:t>’</w:t>
            </w:r>
            <w:r w:rsidRPr="00D74EB9">
              <w:rPr>
                <w:sz w:val="14"/>
              </w:rPr>
              <w:t>administrateur et les catégories supérieures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23</w:t>
            </w:r>
          </w:p>
        </w:tc>
        <w:tc>
          <w:tcPr>
            <w:tcW w:w="1163" w:type="dxa"/>
          </w:tcPr>
          <w:p w:rsidR="00BB3F3E" w:rsidRPr="005C7CCE" w:rsidRDefault="00BB3F3E" w:rsidP="001A5BF9">
            <w:pPr>
              <w:jc w:val="center"/>
              <w:rPr>
                <w:color w:val="FF0000"/>
                <w:szCs w:val="22"/>
              </w:rPr>
            </w:pPr>
            <w:r w:rsidRPr="005C7CCE">
              <w:rPr>
                <w:color w:val="FF0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Absentéisme en baisse</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23</w:t>
            </w:r>
          </w:p>
        </w:tc>
        <w:tc>
          <w:tcPr>
            <w:tcW w:w="1163" w:type="dxa"/>
          </w:tcPr>
          <w:p w:rsidR="00BB3F3E" w:rsidRPr="005C7CCE" w:rsidRDefault="00BB3F3E" w:rsidP="001A5BF9">
            <w:pPr>
              <w:jc w:val="center"/>
              <w:rPr>
                <w:color w:val="FF0000"/>
                <w:szCs w:val="22"/>
              </w:rPr>
            </w:pPr>
            <w:r w:rsidRPr="005C7CCE">
              <w:rPr>
                <w:color w:val="FF0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Diminution du nombre de recours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23</w:t>
            </w:r>
          </w:p>
        </w:tc>
        <w:tc>
          <w:tcPr>
            <w:tcW w:w="1163" w:type="dxa"/>
          </w:tcPr>
          <w:p w:rsidR="00BB3F3E" w:rsidRPr="005C7CCE" w:rsidRDefault="00BB3F3E" w:rsidP="001A5BF9">
            <w:pPr>
              <w:jc w:val="center"/>
              <w:rPr>
                <w:color w:val="FF0000"/>
                <w:szCs w:val="22"/>
              </w:rPr>
            </w:pPr>
            <w:r w:rsidRPr="005C7CCE">
              <w:rPr>
                <w:color w:val="FF0000"/>
              </w:rPr>
              <w:sym w:font="Wingdings" w:char="F06C"/>
            </w:r>
          </w:p>
        </w:tc>
      </w:tr>
      <w:tr w:rsidR="00BB3F3E" w:rsidRPr="005C7CCE" w:rsidTr="002A2523">
        <w:trPr>
          <w:cantSplit/>
        </w:trPr>
        <w:tc>
          <w:tcPr>
            <w:tcW w:w="2987" w:type="dxa"/>
            <w:vMerge w:val="restart"/>
            <w:shd w:val="clear" w:color="auto" w:fill="auto"/>
            <w:tcMar>
              <w:top w:w="113" w:type="dxa"/>
            </w:tcMar>
          </w:tcPr>
          <w:p w:rsidR="00BB3F3E" w:rsidRPr="00D74EB9" w:rsidRDefault="00BB3F3E" w:rsidP="001A5BF9">
            <w:pPr>
              <w:spacing w:before="80"/>
              <w:rPr>
                <w:rFonts w:cs="Arial"/>
                <w:sz w:val="14"/>
                <w:szCs w:val="14"/>
              </w:rPr>
            </w:pPr>
            <w:r w:rsidRPr="00D74EB9">
              <w:rPr>
                <w:sz w:val="14"/>
              </w:rPr>
              <w:t>Sûreté et sécurité des membres du personnel, des délégués, des visiteurs, des données et des biens de l</w:t>
            </w:r>
            <w:r w:rsidR="00A20444" w:rsidRPr="00D74EB9">
              <w:rPr>
                <w:sz w:val="14"/>
              </w:rPr>
              <w:t>’</w:t>
            </w:r>
            <w:r w:rsidRPr="00D74EB9">
              <w:rPr>
                <w:sz w:val="14"/>
              </w:rPr>
              <w:t>OMPI</w:t>
            </w: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membres du personnel, de délégués et de visiteurs de l</w:t>
            </w:r>
            <w:r w:rsidR="00A20444" w:rsidRPr="00D74EB9">
              <w:rPr>
                <w:sz w:val="14"/>
              </w:rPr>
              <w:t>’</w:t>
            </w:r>
            <w:r w:rsidRPr="00D74EB9">
              <w:rPr>
                <w:sz w:val="14"/>
              </w:rPr>
              <w:t>OMPI qui signalent une blessure ou un incident du travail</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Programme 28</w:t>
            </w:r>
          </w:p>
        </w:tc>
        <w:tc>
          <w:tcPr>
            <w:tcW w:w="1163" w:type="dxa"/>
          </w:tcPr>
          <w:p w:rsidR="00BB3F3E" w:rsidRPr="005C7CCE" w:rsidRDefault="00BB3F3E" w:rsidP="001A5BF9">
            <w:pPr>
              <w:jc w:val="center"/>
              <w:rPr>
                <w:szCs w:val="22"/>
              </w:rPr>
            </w:pPr>
            <w:r w:rsidRPr="005C7CCE">
              <w:rPr>
                <w:color w:val="008000"/>
              </w:rPr>
              <w:sym w:font="Wingdings" w:char="F06C"/>
            </w:r>
          </w:p>
        </w:tc>
      </w:tr>
      <w:tr w:rsidR="00BB3F3E" w:rsidRPr="005C7CCE" w:rsidTr="002A2523">
        <w:trPr>
          <w:cantSplit/>
        </w:trPr>
        <w:tc>
          <w:tcPr>
            <w:tcW w:w="2987" w:type="dxa"/>
            <w:vMerge/>
            <w:shd w:val="clear" w:color="auto" w:fill="auto"/>
            <w:noWrap/>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demandes d</w:t>
            </w:r>
            <w:r w:rsidR="00A20444" w:rsidRPr="00D74EB9">
              <w:rPr>
                <w:sz w:val="14"/>
              </w:rPr>
              <w:t>’</w:t>
            </w:r>
            <w:r w:rsidRPr="00D74EB9">
              <w:rPr>
                <w:sz w:val="14"/>
              </w:rPr>
              <w:t>assistance en matière de sûreté et de sécurité reçues dans les délais pour des conférences ou des manifestations organisées à Genève ou hors de Genève</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Programme 28</w:t>
            </w:r>
          </w:p>
        </w:tc>
        <w:tc>
          <w:tcPr>
            <w:tcW w:w="1163" w:type="dxa"/>
          </w:tcPr>
          <w:p w:rsidR="00BB3F3E" w:rsidRPr="005C7CCE" w:rsidRDefault="00BB3F3E" w:rsidP="001A5BF9">
            <w:pPr>
              <w:jc w:val="center"/>
              <w:rPr>
                <w:szCs w:val="22"/>
              </w:rPr>
            </w:pPr>
            <w:r w:rsidRPr="005C7CCE">
              <w:rPr>
                <w:color w:val="008000"/>
              </w:rPr>
              <w:sym w:font="Wingdings" w:char="F06C"/>
            </w:r>
            <w:r w:rsidRPr="005C7CCE">
              <w:rPr>
                <w:color w:val="E36C0A"/>
              </w:rPr>
              <w:sym w:font="Wingdings" w:char="F06C"/>
            </w:r>
          </w:p>
        </w:tc>
      </w:tr>
      <w:tr w:rsidR="00BB3F3E" w:rsidRPr="005C7CCE" w:rsidTr="002A2523">
        <w:trPr>
          <w:cantSplit/>
        </w:trPr>
        <w:tc>
          <w:tcPr>
            <w:tcW w:w="2987" w:type="dxa"/>
            <w:vMerge/>
            <w:shd w:val="clear" w:color="auto" w:fill="auto"/>
            <w:noWrap/>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Caractère exhaustif et pertinence de la série de politiques, procédures et normes en matière de sécurité de l</w:t>
            </w:r>
            <w:r w:rsidR="00A20444" w:rsidRPr="00D74EB9">
              <w:rPr>
                <w:sz w:val="14"/>
              </w:rPr>
              <w:t>’</w:t>
            </w:r>
            <w:r w:rsidRPr="00D74EB9">
              <w:rPr>
                <w:sz w:val="14"/>
              </w:rPr>
              <w:t>information</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Programme 25</w:t>
            </w:r>
          </w:p>
        </w:tc>
        <w:tc>
          <w:tcPr>
            <w:tcW w:w="1163"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noWrap/>
            <w:tcMar>
              <w:top w:w="113" w:type="dxa"/>
            </w:tcMar>
          </w:tcPr>
          <w:p w:rsidR="00BB3F3E" w:rsidRPr="00D74EB9" w:rsidRDefault="00BB3F3E" w:rsidP="001A5BF9">
            <w:pPr>
              <w:spacing w:before="8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Registre actualisé des risques en matière de sécurité de l</w:t>
            </w:r>
            <w:r w:rsidR="00A20444" w:rsidRPr="00D74EB9">
              <w:rPr>
                <w:sz w:val="14"/>
              </w:rPr>
              <w:t>’</w:t>
            </w:r>
            <w:r w:rsidRPr="00D74EB9">
              <w:rPr>
                <w:sz w:val="14"/>
              </w:rPr>
              <w:t>information</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Programme 25</w:t>
            </w:r>
          </w:p>
        </w:tc>
        <w:tc>
          <w:tcPr>
            <w:tcW w:w="1163"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Coûts relatifs au nouveau bâtiment administratif maintenus au minimum</w:t>
            </w: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Utilisation des fonds restants disponibles dans le cadre du budget consolidé et des provisions approuvées pendant la période de garantie relative à la construction</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Programme 29</w:t>
            </w:r>
          </w:p>
        </w:tc>
        <w:tc>
          <w:tcPr>
            <w:tcW w:w="1163" w:type="dxa"/>
          </w:tcPr>
          <w:p w:rsidR="00BB3F3E" w:rsidRPr="005C7CCE" w:rsidRDefault="00BB3F3E" w:rsidP="001A5BF9">
            <w:pPr>
              <w:jc w:val="center"/>
              <w:rPr>
                <w:color w:val="A6A6A6"/>
                <w:szCs w:val="22"/>
              </w:rPr>
            </w:pPr>
            <w:r w:rsidRPr="005C7CCE">
              <w:rPr>
                <w:color w:val="A6A6A6"/>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 xml:space="preserve">Nouvelle salle de conférence et installations connexes pour les réunions des États membres </w:t>
            </w: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Construction d</w:t>
            </w:r>
            <w:r w:rsidR="00A20444" w:rsidRPr="00D74EB9">
              <w:rPr>
                <w:sz w:val="14"/>
              </w:rPr>
              <w:t>’</w:t>
            </w:r>
            <w:r w:rsidRPr="00D74EB9">
              <w:rPr>
                <w:sz w:val="14"/>
              </w:rPr>
              <w:t>une nouvelle salle de conférence et d</w:t>
            </w:r>
            <w:r w:rsidR="00A20444" w:rsidRPr="00D74EB9">
              <w:rPr>
                <w:sz w:val="14"/>
              </w:rPr>
              <w:t>’</w:t>
            </w:r>
            <w:r w:rsidRPr="00D74EB9">
              <w:rPr>
                <w:sz w:val="14"/>
              </w:rPr>
              <w:t>installations connexes conformément aux critères de qualité, au budget et aux délais approuvés</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Programme 29</w:t>
            </w:r>
          </w:p>
        </w:tc>
        <w:tc>
          <w:tcPr>
            <w:tcW w:w="1163" w:type="dxa"/>
          </w:tcPr>
          <w:p w:rsidR="00BB3F3E" w:rsidRPr="005C7CCE" w:rsidRDefault="00BB3F3E" w:rsidP="001A5BF9">
            <w:pPr>
              <w:jc w:val="center"/>
              <w:rPr>
                <w:color w:val="A6A6A6"/>
                <w:szCs w:val="22"/>
              </w:rPr>
            </w:pPr>
            <w:r w:rsidRPr="005C7CCE">
              <w:rPr>
                <w:color w:val="A6A6A6"/>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Meilleure coordination et meilleure cohésion au sein du Secrétariat</w:t>
            </w: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Achèvement</w:t>
            </w:r>
            <w:r w:rsidR="00A20444" w:rsidRPr="00D74EB9">
              <w:rPr>
                <w:sz w:val="14"/>
              </w:rPr>
              <w:t xml:space="preserve"> du PRS</w:t>
            </w:r>
            <w:r w:rsidRPr="00D74EB9">
              <w:rPr>
                <w:sz w:val="14"/>
              </w:rPr>
              <w:t xml:space="preserve"> </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21</w:t>
            </w:r>
          </w:p>
        </w:tc>
        <w:tc>
          <w:tcPr>
            <w:tcW w:w="1163"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noWrap/>
            <w:tcMar>
              <w:top w:w="113" w:type="dxa"/>
            </w:tcMar>
          </w:tcPr>
          <w:p w:rsidR="00BB3F3E" w:rsidRPr="00D74EB9" w:rsidRDefault="00BB3F3E" w:rsidP="001A5BF9">
            <w:pPr>
              <w:keepNext/>
              <w:keepLines/>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keepNext/>
              <w:keepLines/>
              <w:spacing w:before="80"/>
              <w:rPr>
                <w:rFonts w:cs="Arial"/>
                <w:sz w:val="14"/>
                <w:szCs w:val="14"/>
              </w:rPr>
            </w:pPr>
            <w:r w:rsidRPr="00D74EB9">
              <w:rPr>
                <w:sz w:val="14"/>
              </w:rPr>
              <w:t>Obtention de résultats de niveau de valeur PRS</w:t>
            </w:r>
          </w:p>
        </w:tc>
        <w:tc>
          <w:tcPr>
            <w:tcW w:w="1247" w:type="dxa"/>
            <w:shd w:val="clear" w:color="auto" w:fill="auto"/>
            <w:tcMar>
              <w:top w:w="113" w:type="dxa"/>
            </w:tcMar>
          </w:tcPr>
          <w:p w:rsidR="00BB3F3E" w:rsidRPr="00D74EB9" w:rsidRDefault="00BB3F3E" w:rsidP="001A5BF9">
            <w:pPr>
              <w:keepNext/>
              <w:keepLines/>
              <w:spacing w:before="80"/>
              <w:jc w:val="center"/>
              <w:rPr>
                <w:rFonts w:cs="Arial"/>
                <w:sz w:val="14"/>
                <w:szCs w:val="14"/>
              </w:rPr>
            </w:pPr>
            <w:r w:rsidRPr="00D74EB9">
              <w:rPr>
                <w:sz w:val="14"/>
              </w:rPr>
              <w:t>Programme 21</w:t>
            </w:r>
          </w:p>
        </w:tc>
        <w:tc>
          <w:tcPr>
            <w:tcW w:w="1163" w:type="dxa"/>
          </w:tcPr>
          <w:p w:rsidR="00BB3F3E" w:rsidRPr="005C7CCE" w:rsidRDefault="00BB3F3E" w:rsidP="001A5BF9">
            <w:pPr>
              <w:keepNext/>
              <w:keepLines/>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noWrap/>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demandes d</w:t>
            </w:r>
            <w:r w:rsidR="00A20444" w:rsidRPr="00D74EB9">
              <w:rPr>
                <w:sz w:val="14"/>
              </w:rPr>
              <w:t>’</w:t>
            </w:r>
            <w:r w:rsidRPr="00D74EB9">
              <w:rPr>
                <w:sz w:val="14"/>
              </w:rPr>
              <w:t>avis juridique qui reçoivent une réponse du Bureau du conseiller juridique</w:t>
            </w:r>
            <w:r w:rsidR="004F3E42" w:rsidRPr="00D74EB9">
              <w:rPr>
                <w:sz w:val="14"/>
              </w:rPr>
              <w:t xml:space="preserve"> </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21</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notifications d</w:t>
            </w:r>
            <w:r w:rsidR="00A20444" w:rsidRPr="00D74EB9">
              <w:rPr>
                <w:sz w:val="14"/>
              </w:rPr>
              <w:t>’</w:t>
            </w:r>
            <w:r w:rsidRPr="00D74EB9">
              <w:rPr>
                <w:sz w:val="14"/>
              </w:rPr>
              <w:t>adhésion traitées dans les délais requis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21</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vMerge w:val="restart"/>
            <w:shd w:val="clear" w:color="auto" w:fill="auto"/>
            <w:tcMar>
              <w:top w:w="113" w:type="dxa"/>
            </w:tcMar>
          </w:tcPr>
          <w:p w:rsidR="00D42474" w:rsidRDefault="00D42474" w:rsidP="001A5BF9">
            <w:pPr>
              <w:spacing w:before="80"/>
              <w:rPr>
                <w:rFonts w:cs="Arial"/>
                <w:sz w:val="14"/>
                <w:szCs w:val="14"/>
              </w:rPr>
            </w:pPr>
          </w:p>
          <w:p w:rsidR="00BB3F3E" w:rsidRPr="00D74EB9" w:rsidRDefault="00BB3F3E" w:rsidP="001A5BF9">
            <w:pPr>
              <w:spacing w:before="80"/>
              <w:rPr>
                <w:rFonts w:cs="Arial"/>
                <w:sz w:val="14"/>
                <w:szCs w:val="14"/>
              </w:rPr>
            </w:pPr>
            <w:r w:rsidRPr="00D74EB9">
              <w:rPr>
                <w:sz w:val="14"/>
              </w:rPr>
              <w:t>Environnement de travail amélioré fondé sur un cadre réglementaire orienté vers le progrès et des voies effectives de prise en considération des préoccupations du personnel</w:t>
            </w: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w:t>
            </w:r>
            <w:r w:rsidR="00A20444" w:rsidRPr="00D74EB9">
              <w:rPr>
                <w:sz w:val="14"/>
              </w:rPr>
              <w:t>’</w:t>
            </w:r>
            <w:r w:rsidRPr="00D74EB9">
              <w:rPr>
                <w:sz w:val="14"/>
              </w:rPr>
              <w:t>utilisateurs satisfaits du niveau des services obtenus du Bureau du médiateur</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21</w:t>
            </w:r>
          </w:p>
        </w:tc>
        <w:tc>
          <w:tcPr>
            <w:tcW w:w="1163" w:type="dxa"/>
          </w:tcPr>
          <w:p w:rsidR="00BB3F3E" w:rsidRPr="005C7CCE" w:rsidRDefault="00BB3F3E" w:rsidP="001A5BF9">
            <w:pPr>
              <w:spacing w:before="20"/>
              <w:jc w:val="center"/>
              <w:rPr>
                <w:color w:val="008000"/>
                <w:szCs w:val="22"/>
              </w:rPr>
            </w:pPr>
            <w:r w:rsidRPr="005C7CCE">
              <w:rPr>
                <w:color w:val="008000"/>
              </w:rPr>
              <w:sym w:font="Wingdings" w:char="F06C"/>
            </w:r>
          </w:p>
        </w:tc>
      </w:tr>
      <w:tr w:rsidR="00BB3F3E" w:rsidRPr="005C7CCE" w:rsidTr="002A2523">
        <w:trPr>
          <w:cantSplit/>
        </w:trPr>
        <w:tc>
          <w:tcPr>
            <w:tcW w:w="2987" w:type="dxa"/>
            <w:vMerge/>
            <w:shd w:val="clear" w:color="auto" w:fill="auto"/>
            <w:noWrap/>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fonctionnaires ayant connaissance des principes et des politiques de l</w:t>
            </w:r>
            <w:r w:rsidR="00A20444" w:rsidRPr="00D74EB9">
              <w:rPr>
                <w:sz w:val="14"/>
              </w:rPr>
              <w:t>’</w:t>
            </w:r>
            <w:r w:rsidRPr="00D74EB9">
              <w:rPr>
                <w:sz w:val="14"/>
              </w:rPr>
              <w:t>OMPI dans le domaine éthique</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21</w:t>
            </w:r>
          </w:p>
        </w:tc>
        <w:tc>
          <w:tcPr>
            <w:tcW w:w="1163"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987" w:type="dxa"/>
            <w:vMerge w:val="restart"/>
            <w:shd w:val="clear" w:color="auto" w:fill="auto"/>
            <w:tcMar>
              <w:top w:w="113" w:type="dxa"/>
            </w:tcMar>
          </w:tcPr>
          <w:p w:rsidR="00BB3F3E" w:rsidRPr="00D74EB9" w:rsidRDefault="00BB3F3E" w:rsidP="001A5BF9">
            <w:pPr>
              <w:spacing w:before="80"/>
              <w:rPr>
                <w:rFonts w:cs="Arial"/>
                <w:sz w:val="14"/>
                <w:szCs w:val="14"/>
              </w:rPr>
            </w:pPr>
            <w:r w:rsidRPr="00D74EB9">
              <w:rPr>
                <w:sz w:val="14"/>
              </w:rPr>
              <w:t>Réduction de l</w:t>
            </w:r>
            <w:r w:rsidR="00A20444" w:rsidRPr="00D74EB9">
              <w:rPr>
                <w:sz w:val="14"/>
              </w:rPr>
              <w:t>’</w:t>
            </w:r>
            <w:r w:rsidRPr="00D74EB9">
              <w:rPr>
                <w:sz w:val="14"/>
              </w:rPr>
              <w:t>impact environnemental des activités de l</w:t>
            </w:r>
            <w:r w:rsidR="00A20444" w:rsidRPr="00D74EB9">
              <w:rPr>
                <w:sz w:val="14"/>
              </w:rPr>
              <w:t>’</w:t>
            </w:r>
            <w:r w:rsidRPr="00D74EB9">
              <w:rPr>
                <w:sz w:val="14"/>
              </w:rPr>
              <w:t xml:space="preserve">OMPI </w:t>
            </w: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de programmes assortis d</w:t>
            </w:r>
            <w:r w:rsidR="00A20444" w:rsidRPr="00D74EB9">
              <w:rPr>
                <w:sz w:val="14"/>
              </w:rPr>
              <w:t>’</w:t>
            </w:r>
            <w:r w:rsidRPr="00D74EB9">
              <w:rPr>
                <w:sz w:val="14"/>
              </w:rPr>
              <w:t>indicateurs, de niveaux de référence et de cibles d</w:t>
            </w:r>
            <w:r w:rsidR="00A20444" w:rsidRPr="00D74EB9">
              <w:rPr>
                <w:sz w:val="14"/>
              </w:rPr>
              <w:t>’</w:t>
            </w:r>
            <w:r w:rsidRPr="00D74EB9">
              <w:rPr>
                <w:sz w:val="14"/>
              </w:rPr>
              <w:t>amélioration de l</w:t>
            </w:r>
            <w:r w:rsidR="00A20444" w:rsidRPr="00D74EB9">
              <w:rPr>
                <w:sz w:val="14"/>
              </w:rPr>
              <w:t>’</w:t>
            </w:r>
            <w:r w:rsidRPr="00D74EB9">
              <w:rPr>
                <w:sz w:val="14"/>
              </w:rPr>
              <w:t>environnement</w:t>
            </w:r>
            <w:r w:rsidR="004F3E42" w:rsidRPr="00D74EB9">
              <w:rPr>
                <w:sz w:val="14"/>
              </w:rPr>
              <w:t xml:space="preserve"> </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24</w:t>
            </w:r>
          </w:p>
        </w:tc>
        <w:tc>
          <w:tcPr>
            <w:tcW w:w="1163" w:type="dxa"/>
          </w:tcPr>
          <w:p w:rsidR="00BB3F3E" w:rsidRPr="005C7CCE" w:rsidRDefault="00BB3F3E" w:rsidP="001A5BF9">
            <w:pPr>
              <w:jc w:val="center"/>
              <w:rPr>
                <w:szCs w:val="22"/>
              </w:rPr>
            </w:pPr>
            <w:r w:rsidRPr="005C7CCE">
              <w:rPr>
                <w:color w:val="FF0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Pourcentage de réduction des émissions de carbone par rapport à la consommation d</w:t>
            </w:r>
            <w:r w:rsidR="00A20444" w:rsidRPr="00D74EB9">
              <w:rPr>
                <w:sz w:val="14"/>
              </w:rPr>
              <w:t>’</w:t>
            </w:r>
            <w:r w:rsidRPr="00D74EB9">
              <w:rPr>
                <w:sz w:val="14"/>
              </w:rPr>
              <w:t>énergie (s</w:t>
            </w:r>
            <w:r w:rsidR="00A20444" w:rsidRPr="00D74EB9">
              <w:rPr>
                <w:sz w:val="14"/>
              </w:rPr>
              <w:t>’</w:t>
            </w:r>
            <w:r w:rsidRPr="00D74EB9">
              <w:rPr>
                <w:sz w:val="14"/>
              </w:rPr>
              <w:t>agissant des bâtiments de l</w:t>
            </w:r>
            <w:r w:rsidR="00A20444" w:rsidRPr="00D74EB9">
              <w:rPr>
                <w:sz w:val="14"/>
              </w:rPr>
              <w:t>’</w:t>
            </w:r>
            <w:r w:rsidRPr="00D74EB9">
              <w:rPr>
                <w:sz w:val="14"/>
              </w:rPr>
              <w:t>OMPI)</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24</w:t>
            </w:r>
          </w:p>
        </w:tc>
        <w:tc>
          <w:tcPr>
            <w:tcW w:w="1163" w:type="dxa"/>
          </w:tcPr>
          <w:p w:rsidR="00BB3F3E" w:rsidRPr="005C7CCE" w:rsidRDefault="00BB3F3E" w:rsidP="001A5BF9">
            <w:pPr>
              <w:jc w:val="center"/>
              <w:rPr>
                <w:szCs w:val="22"/>
              </w:rPr>
            </w:pPr>
            <w:r w:rsidRPr="005C7CCE">
              <w:rPr>
                <w:color w:val="A6A6A6"/>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Amélioration de l</w:t>
            </w:r>
            <w:r w:rsidR="00A20444" w:rsidRPr="00D74EB9">
              <w:rPr>
                <w:sz w:val="14"/>
              </w:rPr>
              <w:t>’</w:t>
            </w:r>
            <w:r w:rsidRPr="00D74EB9">
              <w:rPr>
                <w:sz w:val="14"/>
              </w:rPr>
              <w:t>accès physique au campus de l</w:t>
            </w:r>
            <w:r w:rsidR="00A20444" w:rsidRPr="00D74EB9">
              <w:rPr>
                <w:sz w:val="14"/>
              </w:rPr>
              <w:t>’</w:t>
            </w:r>
            <w:r w:rsidRPr="00D74EB9">
              <w:rPr>
                <w:sz w:val="14"/>
              </w:rPr>
              <w:t xml:space="preserve">OMPI </w:t>
            </w: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de programmes assortis d</w:t>
            </w:r>
            <w:r w:rsidR="00A20444" w:rsidRPr="00D74EB9">
              <w:rPr>
                <w:sz w:val="14"/>
              </w:rPr>
              <w:t>’</w:t>
            </w:r>
            <w:r w:rsidRPr="00D74EB9">
              <w:rPr>
                <w:sz w:val="14"/>
              </w:rPr>
              <w:t>indicateurs, de niveaux de référence et de cibles d</w:t>
            </w:r>
            <w:r w:rsidR="00A20444" w:rsidRPr="00D74EB9">
              <w:rPr>
                <w:sz w:val="14"/>
              </w:rPr>
              <w:t>’</w:t>
            </w:r>
            <w:r w:rsidRPr="00D74EB9">
              <w:rPr>
                <w:sz w:val="14"/>
              </w:rPr>
              <w:t xml:space="preserve">accessibilité physique </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24</w:t>
            </w:r>
          </w:p>
        </w:tc>
        <w:tc>
          <w:tcPr>
            <w:tcW w:w="1163" w:type="dxa"/>
          </w:tcPr>
          <w:p w:rsidR="00BB3F3E" w:rsidRPr="005C7CCE" w:rsidRDefault="00BB3F3E" w:rsidP="001A5BF9">
            <w:pPr>
              <w:jc w:val="center"/>
              <w:rPr>
                <w:szCs w:val="22"/>
              </w:rPr>
            </w:pPr>
            <w:r w:rsidRPr="005C7CCE">
              <w:rPr>
                <w:color w:val="E36C0A"/>
              </w:rPr>
              <w:sym w:font="Wingdings" w:char="F06C"/>
            </w:r>
          </w:p>
        </w:tc>
      </w:tr>
      <w:tr w:rsidR="00BB3F3E" w:rsidRPr="005C7CCE" w:rsidTr="002A2523">
        <w:trPr>
          <w:cantSplit/>
        </w:trPr>
        <w:tc>
          <w:tcPr>
            <w:tcW w:w="2987" w:type="dxa"/>
            <w:vMerge w:val="restart"/>
            <w:shd w:val="clear" w:color="auto" w:fill="auto"/>
            <w:tcMar>
              <w:top w:w="113" w:type="dxa"/>
            </w:tcMar>
          </w:tcPr>
          <w:p w:rsidR="00BB3F3E" w:rsidRPr="00D74EB9" w:rsidRDefault="00BB3F3E" w:rsidP="001A5BF9">
            <w:pPr>
              <w:spacing w:before="80"/>
              <w:rPr>
                <w:rFonts w:cs="Arial"/>
                <w:sz w:val="14"/>
                <w:szCs w:val="14"/>
              </w:rPr>
            </w:pPr>
            <w:r w:rsidRPr="00D74EB9">
              <w:rPr>
                <w:sz w:val="14"/>
              </w:rPr>
              <w:t>Fonction d</w:t>
            </w:r>
            <w:r w:rsidR="00A20444" w:rsidRPr="00D74EB9">
              <w:rPr>
                <w:sz w:val="14"/>
              </w:rPr>
              <w:t>’</w:t>
            </w:r>
            <w:r w:rsidRPr="00D74EB9">
              <w:rPr>
                <w:sz w:val="14"/>
              </w:rPr>
              <w:t>audit interne efficace et professionnelle couvrant tous les secteurs à haut risque</w:t>
            </w: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Nombre d</w:t>
            </w:r>
            <w:r w:rsidR="00A20444" w:rsidRPr="00D74EB9">
              <w:rPr>
                <w:sz w:val="14"/>
              </w:rPr>
              <w:t>’</w:t>
            </w:r>
            <w:r w:rsidRPr="00D74EB9">
              <w:rPr>
                <w:sz w:val="14"/>
              </w:rPr>
              <w:t xml:space="preserve">audits effectués dans des domaines à haut risque </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26</w:t>
            </w:r>
          </w:p>
        </w:tc>
        <w:tc>
          <w:tcPr>
            <w:tcW w:w="1163"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Les normes professionnelles, le code de déontologie et les pratiques recommandées de l</w:t>
            </w:r>
            <w:r w:rsidR="00A20444" w:rsidRPr="00D74EB9">
              <w:rPr>
                <w:sz w:val="14"/>
              </w:rPr>
              <w:t>’</w:t>
            </w:r>
            <w:r w:rsidRPr="00D74EB9">
              <w:rPr>
                <w:sz w:val="14"/>
              </w:rPr>
              <w:t>Institut des auditeurs internes (IIA) sont appliqués.</w:t>
            </w:r>
          </w:p>
        </w:tc>
        <w:tc>
          <w:tcPr>
            <w:tcW w:w="1247" w:type="dxa"/>
            <w:shd w:val="clear" w:color="auto" w:fill="auto"/>
            <w:tcMar>
              <w:top w:w="113" w:type="dxa"/>
            </w:tcMar>
          </w:tcPr>
          <w:p w:rsidR="00BB3F3E" w:rsidRPr="00D74EB9" w:rsidRDefault="00BB3F3E" w:rsidP="001A5BF9">
            <w:pPr>
              <w:spacing w:before="80"/>
              <w:jc w:val="center"/>
              <w:rPr>
                <w:rFonts w:cs="Arial"/>
                <w:sz w:val="14"/>
                <w:szCs w:val="14"/>
              </w:rPr>
            </w:pPr>
            <w:r w:rsidRPr="00D74EB9">
              <w:rPr>
                <w:sz w:val="14"/>
              </w:rPr>
              <w:t>Programme 26</w:t>
            </w:r>
          </w:p>
        </w:tc>
        <w:tc>
          <w:tcPr>
            <w:tcW w:w="1163" w:type="dxa"/>
          </w:tcPr>
          <w:p w:rsidR="00BB3F3E" w:rsidRPr="005C7CCE" w:rsidRDefault="00BB3F3E" w:rsidP="001A5BF9">
            <w:pPr>
              <w:jc w:val="center"/>
              <w:rPr>
                <w:rFonts w:cs="Arial"/>
                <w:color w:val="008000"/>
                <w:szCs w:val="22"/>
              </w:rPr>
            </w:pPr>
            <w:r w:rsidRPr="005C7CCE">
              <w:rPr>
                <w:color w:val="008000"/>
              </w:rPr>
              <w:sym w:font="Wingdings" w:char="F06C"/>
            </w:r>
          </w:p>
        </w:tc>
      </w:tr>
      <w:tr w:rsidR="00BB3F3E" w:rsidRPr="005C7CCE" w:rsidTr="002A2523">
        <w:trPr>
          <w:cantSplit/>
        </w:trPr>
        <w:tc>
          <w:tcPr>
            <w:tcW w:w="2987" w:type="dxa"/>
            <w:vMerge/>
            <w:shd w:val="clear" w:color="auto" w:fill="auto"/>
            <w:tcMar>
              <w:top w:w="113" w:type="dxa"/>
            </w:tcMar>
          </w:tcPr>
          <w:p w:rsidR="00BB3F3E" w:rsidRPr="00D74EB9" w:rsidRDefault="00BB3F3E" w:rsidP="001A5BF9">
            <w:pPr>
              <w:spacing w:before="80"/>
              <w:ind w:firstLineChars="100" w:firstLine="140"/>
              <w:rPr>
                <w:rFonts w:cs="Arial"/>
                <w:sz w:val="14"/>
                <w:szCs w:val="14"/>
              </w:rPr>
            </w:pP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Suivi complet et précis de la mise en œuvre des recommandations relatives à la supervision, montrant les recommandations passées, les recommandations nouvelles ajoutées et l</w:t>
            </w:r>
            <w:r w:rsidR="00A20444" w:rsidRPr="00D74EB9">
              <w:rPr>
                <w:sz w:val="14"/>
              </w:rPr>
              <w:t>’</w:t>
            </w:r>
            <w:r w:rsidRPr="00D74EB9">
              <w:rPr>
                <w:sz w:val="14"/>
              </w:rPr>
              <w:t>état de leur application</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Programme 26</w:t>
            </w:r>
          </w:p>
        </w:tc>
        <w:tc>
          <w:tcPr>
            <w:tcW w:w="1163"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Les rapports d</w:t>
            </w:r>
            <w:r w:rsidR="00A20444" w:rsidRPr="00D74EB9">
              <w:rPr>
                <w:sz w:val="14"/>
              </w:rPr>
              <w:t>’</w:t>
            </w:r>
            <w:r w:rsidRPr="00D74EB9">
              <w:rPr>
                <w:sz w:val="14"/>
              </w:rPr>
              <w:t>investigation constituent une base fiable pour les décisions du Directeur général</w:t>
            </w: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Les enquêtes sont menées conformément à la Charte de la supervision interne, aux lignes directrices uniformes pour les enquêtes de l</w:t>
            </w:r>
            <w:r w:rsidR="00A20444" w:rsidRPr="00D74EB9">
              <w:rPr>
                <w:sz w:val="14"/>
              </w:rPr>
              <w:t>’</w:t>
            </w:r>
            <w:r w:rsidRPr="00D74EB9">
              <w:rPr>
                <w:sz w:val="14"/>
              </w:rPr>
              <w:t>ONU, au Manuel de procédure en matière d</w:t>
            </w:r>
            <w:r w:rsidR="00A20444" w:rsidRPr="00D74EB9">
              <w:rPr>
                <w:sz w:val="14"/>
              </w:rPr>
              <w:t>’</w:t>
            </w:r>
            <w:r w:rsidRPr="00D74EB9">
              <w:rPr>
                <w:sz w:val="14"/>
              </w:rPr>
              <w:t>enquêtes et à la politique en matière d</w:t>
            </w:r>
            <w:r w:rsidR="00A20444" w:rsidRPr="00D74EB9">
              <w:rPr>
                <w:sz w:val="14"/>
              </w:rPr>
              <w:t>’</w:t>
            </w:r>
            <w:r w:rsidRPr="00D74EB9">
              <w:rPr>
                <w:sz w:val="14"/>
              </w:rPr>
              <w:t>enquêtes (en cours d</w:t>
            </w:r>
            <w:r w:rsidR="00A20444" w:rsidRPr="00D74EB9">
              <w:rPr>
                <w:sz w:val="14"/>
              </w:rPr>
              <w:t>’</w:t>
            </w:r>
            <w:r w:rsidRPr="00D74EB9">
              <w:rPr>
                <w:sz w:val="14"/>
              </w:rPr>
              <w:t>élaboration).</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Programme 26</w:t>
            </w:r>
          </w:p>
        </w:tc>
        <w:tc>
          <w:tcPr>
            <w:tcW w:w="1163" w:type="dxa"/>
          </w:tcPr>
          <w:p w:rsidR="00BB3F3E" w:rsidRPr="005C7CCE" w:rsidRDefault="00BB3F3E" w:rsidP="001A5BF9">
            <w:pPr>
              <w:jc w:val="center"/>
              <w:rPr>
                <w:color w:val="008000"/>
                <w:szCs w:val="22"/>
              </w:rPr>
            </w:pPr>
            <w:r w:rsidRPr="005C7CCE">
              <w:rPr>
                <w:color w:val="008000"/>
              </w:rPr>
              <w:sym w:font="Wingdings" w:char="F06C"/>
            </w:r>
          </w:p>
        </w:tc>
      </w:tr>
      <w:tr w:rsidR="00BB3F3E" w:rsidRPr="005C7CCE" w:rsidTr="002A2523">
        <w:trPr>
          <w:cantSplit/>
        </w:trPr>
        <w:tc>
          <w:tcPr>
            <w:tcW w:w="2987"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Des données d</w:t>
            </w:r>
            <w:r w:rsidR="00A20444" w:rsidRPr="00D74EB9">
              <w:rPr>
                <w:sz w:val="14"/>
              </w:rPr>
              <w:t>’</w:t>
            </w:r>
            <w:r w:rsidRPr="00D74EB9">
              <w:rPr>
                <w:sz w:val="14"/>
              </w:rPr>
              <w:t>évaluation fondées sur des éléments probants sont mises à la disposition de la haute direction, des chefs de programmes et des États membres aux fins de la prise de décisions</w:t>
            </w:r>
          </w:p>
        </w:tc>
        <w:tc>
          <w:tcPr>
            <w:tcW w:w="3969" w:type="dxa"/>
            <w:shd w:val="clear" w:color="auto" w:fill="auto"/>
            <w:tcMar>
              <w:top w:w="113" w:type="dxa"/>
            </w:tcMar>
          </w:tcPr>
          <w:p w:rsidR="00BB3F3E" w:rsidRPr="00D74EB9" w:rsidRDefault="00BB3F3E" w:rsidP="001A5BF9">
            <w:pPr>
              <w:spacing w:before="80"/>
              <w:rPr>
                <w:rFonts w:cs="Arial"/>
                <w:sz w:val="14"/>
                <w:szCs w:val="14"/>
              </w:rPr>
            </w:pPr>
            <w:r w:rsidRPr="00D74EB9">
              <w:rPr>
                <w:sz w:val="14"/>
              </w:rPr>
              <w:t>Les évaluations sont établies conformément à la politique d</w:t>
            </w:r>
            <w:r w:rsidR="00A20444" w:rsidRPr="00D74EB9">
              <w:rPr>
                <w:sz w:val="14"/>
              </w:rPr>
              <w:t>’</w:t>
            </w:r>
            <w:r w:rsidRPr="00D74EB9">
              <w:rPr>
                <w:sz w:val="14"/>
              </w:rPr>
              <w:t>évaluation et à la section du Manuel de procédures portant sur l</w:t>
            </w:r>
            <w:r w:rsidR="00A20444" w:rsidRPr="00D74EB9">
              <w:rPr>
                <w:sz w:val="14"/>
              </w:rPr>
              <w:t>’</w:t>
            </w:r>
            <w:r w:rsidRPr="00D74EB9">
              <w:rPr>
                <w:sz w:val="14"/>
              </w:rPr>
              <w:t>évaluation.</w:t>
            </w:r>
          </w:p>
        </w:tc>
        <w:tc>
          <w:tcPr>
            <w:tcW w:w="1247" w:type="dxa"/>
            <w:shd w:val="clear" w:color="auto" w:fill="auto"/>
            <w:noWrap/>
            <w:tcMar>
              <w:top w:w="113" w:type="dxa"/>
            </w:tcMar>
          </w:tcPr>
          <w:p w:rsidR="00BB3F3E" w:rsidRPr="00D74EB9" w:rsidRDefault="00BB3F3E" w:rsidP="001A5BF9">
            <w:pPr>
              <w:spacing w:before="80"/>
              <w:jc w:val="center"/>
              <w:rPr>
                <w:rFonts w:cs="Arial"/>
                <w:sz w:val="14"/>
                <w:szCs w:val="14"/>
              </w:rPr>
            </w:pPr>
            <w:r w:rsidRPr="00D74EB9">
              <w:rPr>
                <w:sz w:val="14"/>
              </w:rPr>
              <w:t>Programme 26</w:t>
            </w:r>
          </w:p>
        </w:tc>
        <w:tc>
          <w:tcPr>
            <w:tcW w:w="1163" w:type="dxa"/>
          </w:tcPr>
          <w:p w:rsidR="00BB3F3E" w:rsidRPr="005C7CCE" w:rsidRDefault="00BB3F3E" w:rsidP="001A5BF9">
            <w:pPr>
              <w:jc w:val="center"/>
              <w:rPr>
                <w:color w:val="008000"/>
                <w:szCs w:val="22"/>
              </w:rPr>
            </w:pPr>
            <w:r w:rsidRPr="005C7CCE">
              <w:rPr>
                <w:color w:val="008000"/>
              </w:rPr>
              <w:sym w:font="Wingdings" w:char="F06C"/>
            </w:r>
          </w:p>
        </w:tc>
      </w:tr>
    </w:tbl>
    <w:p w:rsidR="00D42474" w:rsidRDefault="00D42474" w:rsidP="001A5BF9">
      <w:pPr>
        <w:jc w:val="both"/>
      </w:pPr>
    </w:p>
    <w:p w:rsidR="00D42474" w:rsidRDefault="00D42474" w:rsidP="001A5BF9">
      <w:pPr>
        <w:jc w:val="both"/>
      </w:pPr>
    </w:p>
    <w:p w:rsidR="00D42474" w:rsidRDefault="00BB3F3E" w:rsidP="001A5BF9">
      <w:pPr>
        <w:jc w:val="both"/>
        <w:rPr>
          <w:i/>
        </w:rPr>
      </w:pPr>
      <w:r w:rsidRPr="00D74EB9">
        <w:t>L</w:t>
      </w:r>
      <w:r w:rsidR="00A20444" w:rsidRPr="00D74EB9">
        <w:t>’</w:t>
      </w:r>
      <w:r w:rsidRPr="00D74EB9">
        <w:t>administration et la direction ont, par le biais de leurs programmes, permis à l</w:t>
      </w:r>
      <w:r w:rsidR="00A20444" w:rsidRPr="00D74EB9">
        <w:t>’</w:t>
      </w:r>
      <w:r w:rsidRPr="00D74EB9">
        <w:t>Organisation de donner les résultats attendus par les États membres et les parties prenantes, d</w:t>
      </w:r>
      <w:r w:rsidR="00A20444" w:rsidRPr="00D74EB9">
        <w:t>’</w:t>
      </w:r>
      <w:r w:rsidRPr="00D74EB9">
        <w:t>une part, tout en devant faire face à l</w:t>
      </w:r>
      <w:r w:rsidR="00A20444" w:rsidRPr="00D74EB9">
        <w:t>’</w:t>
      </w:r>
      <w:r w:rsidRPr="00D74EB9">
        <w:t>instabilité financière actuelle et aux incertitudes économiques d</w:t>
      </w:r>
      <w:r w:rsidR="00A20444" w:rsidRPr="00D74EB9">
        <w:t>’</w:t>
      </w:r>
      <w:r w:rsidRPr="00D74EB9">
        <w:t>autre part</w:t>
      </w:r>
      <w:r w:rsidRPr="00D74EB9">
        <w:rPr>
          <w:i/>
        </w:rPr>
        <w:t>.</w:t>
      </w:r>
    </w:p>
    <w:p w:rsidR="00D42474" w:rsidRDefault="00D42474" w:rsidP="001A5BF9">
      <w:pPr>
        <w:jc w:val="both"/>
        <w:rPr>
          <w:i/>
        </w:rPr>
      </w:pPr>
    </w:p>
    <w:p w:rsidR="00D42474" w:rsidRDefault="00BB3F3E" w:rsidP="001A5BF9">
      <w:pPr>
        <w:jc w:val="both"/>
      </w:pPr>
      <w:r w:rsidRPr="00D74EB9">
        <w:t>En dépit de ces incertitudes, l</w:t>
      </w:r>
      <w:r w:rsidR="00A20444" w:rsidRPr="00D74EB9">
        <w:t>’</w:t>
      </w:r>
      <w:r w:rsidRPr="00D74EB9">
        <w:t>OMPI a clos l</w:t>
      </w:r>
      <w:r w:rsidR="00A20444" w:rsidRPr="00D74EB9">
        <w:t>’</w:t>
      </w:r>
      <w:r w:rsidRPr="00D74EB9">
        <w:t>exercice biennal sur un résultat global positif de 34,6 millions de francs suisses sur la base des normes</w:t>
      </w:r>
      <w:r w:rsidR="0010442A" w:rsidRPr="00D74EB9">
        <w:t> </w:t>
      </w:r>
      <w:r w:rsidRPr="00D74EB9">
        <w:t>IPSAS, suite à des recettes supérieures à celles escomptées, à la mise en œuvre de mesures de maîtrise des coûts et à une gestion prudente des dépenses.</w:t>
      </w:r>
    </w:p>
    <w:p w:rsidR="00D42474" w:rsidRDefault="00D42474" w:rsidP="001A5BF9">
      <w:pPr>
        <w:jc w:val="both"/>
      </w:pPr>
    </w:p>
    <w:p w:rsidR="00D42474" w:rsidRDefault="00BB3F3E" w:rsidP="001A5BF9">
      <w:pPr>
        <w:tabs>
          <w:tab w:val="left" w:pos="709"/>
        </w:tabs>
        <w:autoSpaceDE w:val="0"/>
        <w:autoSpaceDN w:val="0"/>
        <w:adjustRightInd w:val="0"/>
        <w:jc w:val="both"/>
      </w:pPr>
      <w:r w:rsidRPr="00D74EB9">
        <w:t xml:space="preserve">Le portefeuille de projets ERP, approuvé par les </w:t>
      </w:r>
      <w:r w:rsidR="005C3E25" w:rsidRPr="00D74EB9">
        <w:t>a</w:t>
      </w:r>
      <w:r w:rsidRPr="00D74EB9">
        <w:t xml:space="preserve">ssemblées </w:t>
      </w:r>
      <w:r w:rsidR="005C3E25" w:rsidRPr="00D74EB9">
        <w:t>g</w:t>
      </w:r>
      <w:r w:rsidRPr="00D74EB9">
        <w:t>énérales de l</w:t>
      </w:r>
      <w:r w:rsidR="00A20444" w:rsidRPr="00D74EB9">
        <w:t>’</w:t>
      </w:r>
      <w:r w:rsidRPr="00D74EB9">
        <w:t>OMPI en</w:t>
      </w:r>
      <w:r w:rsidR="0010442A" w:rsidRPr="00D74EB9">
        <w:t> </w:t>
      </w:r>
      <w:r w:rsidRPr="00D74EB9">
        <w:t>2010, dans le cadre de la modernisation du secteur responsable de l</w:t>
      </w:r>
      <w:r w:rsidR="00A20444" w:rsidRPr="00D74EB9">
        <w:t>’</w:t>
      </w:r>
      <w:r w:rsidRPr="00D74EB9">
        <w:t>administration et la gestion, a poursuivi sa progression.</w:t>
      </w:r>
      <w:r w:rsidR="004F3E42" w:rsidRPr="00D74EB9">
        <w:t xml:space="preserve"> </w:t>
      </w:r>
      <w:r w:rsidR="0010442A" w:rsidRPr="00D74EB9">
        <w:t xml:space="preserve"> </w:t>
      </w:r>
      <w:r w:rsidRPr="00D74EB9">
        <w:t>L</w:t>
      </w:r>
      <w:r w:rsidR="00A20444" w:rsidRPr="00D74EB9">
        <w:t>’</w:t>
      </w:r>
      <w:r w:rsidRPr="00D74EB9">
        <w:t>exercice biennal 2012</w:t>
      </w:r>
      <w:r w:rsidR="002D6F2A" w:rsidRPr="00D74EB9">
        <w:noBreakHyphen/>
      </w:r>
      <w:r w:rsidRPr="00D74EB9">
        <w:t xml:space="preserve">2013 a été marqué par la mise à niveau du logiciel </w:t>
      </w:r>
      <w:proofErr w:type="spellStart"/>
      <w:r w:rsidRPr="00D74EB9">
        <w:t>PeopleSoft</w:t>
      </w:r>
      <w:proofErr w:type="spellEnd"/>
      <w:r w:rsidRPr="00D74EB9">
        <w:t xml:space="preserve">, dont la dernière version (9.1) est actuellement utilisée, afin de préparer la mise en œuvre du portefeuille de projets ERP. </w:t>
      </w:r>
      <w:r w:rsidR="0010442A" w:rsidRPr="00D74EB9">
        <w:t xml:space="preserve"> </w:t>
      </w:r>
      <w:r w:rsidRPr="00D74EB9">
        <w:t>À la fin de l</w:t>
      </w:r>
      <w:r w:rsidR="00A20444" w:rsidRPr="00D74EB9">
        <w:t>’</w:t>
      </w:r>
      <w:r w:rsidRPr="00D74EB9">
        <w:t>année 2013, les phases de développement et d</w:t>
      </w:r>
      <w:r w:rsidR="00A20444" w:rsidRPr="00D74EB9">
        <w:t>’</w:t>
      </w:r>
      <w:r w:rsidRPr="00D74EB9">
        <w:t xml:space="preserve">essai du module des ressources humaines </w:t>
      </w:r>
      <w:proofErr w:type="spellStart"/>
      <w:r w:rsidRPr="00D74EB9">
        <w:t>PeopleSoft</w:t>
      </w:r>
      <w:proofErr w:type="spellEnd"/>
      <w:r w:rsidRPr="00D74EB9">
        <w:t xml:space="preserve"> ont été achevées et le système a ensuite été lancé en janvier 2014, pour devenir le nouveau système d</w:t>
      </w:r>
      <w:r w:rsidR="00A20444" w:rsidRPr="00D74EB9">
        <w:t>’</w:t>
      </w:r>
      <w:r w:rsidRPr="00D74EB9">
        <w:t xml:space="preserve">enregistrement pour les questions relatives aux ressources humaines. </w:t>
      </w:r>
      <w:r w:rsidR="0010442A" w:rsidRPr="00D74EB9">
        <w:t xml:space="preserve"> </w:t>
      </w:r>
      <w:r w:rsidRPr="00D74EB9">
        <w:t>Dans le cadre du projet de gestion des performances de l</w:t>
      </w:r>
      <w:r w:rsidR="00A20444" w:rsidRPr="00D74EB9">
        <w:t>’</w:t>
      </w:r>
      <w:r w:rsidRPr="00D74EB9">
        <w:t>Organisation, les processus de planification annuelle des activités 2012</w:t>
      </w:r>
      <w:r w:rsidR="002D6F2A" w:rsidRPr="00D74EB9">
        <w:noBreakHyphen/>
      </w:r>
      <w:r w:rsidRPr="00D74EB9">
        <w:t>2013 ont également été approuvés au moyen d</w:t>
      </w:r>
      <w:r w:rsidR="00A20444" w:rsidRPr="00D74EB9">
        <w:t>’</w:t>
      </w:r>
      <w:r w:rsidRPr="00D74EB9">
        <w:t>outils de première et deuxième génération visant à faciliter la planification annuelle des activités, en alignant étroitement les ressources sur les résultats attendus par le biais des activités du programme de travail.</w:t>
      </w:r>
      <w:r w:rsidR="004F3E42" w:rsidRPr="00D74EB9">
        <w:t xml:space="preserve"> </w:t>
      </w:r>
      <w:r w:rsidR="0010442A" w:rsidRPr="00D74EB9">
        <w:t xml:space="preserve"> </w:t>
      </w:r>
      <w:r w:rsidRPr="00D74EB9">
        <w:t xml:space="preserve">Cela a pour la première fois permis au Secrétariat de faire une analyse </w:t>
      </w:r>
      <w:proofErr w:type="spellStart"/>
      <w:r w:rsidRPr="00D74EB9">
        <w:t>interorganisations</w:t>
      </w:r>
      <w:proofErr w:type="spellEnd"/>
      <w:r w:rsidRPr="00D74EB9">
        <w:t xml:space="preserve"> d</w:t>
      </w:r>
      <w:r w:rsidR="00A20444" w:rsidRPr="00D74EB9">
        <w:t>’</w:t>
      </w:r>
      <w:r w:rsidRPr="00D74EB9">
        <w:t>activités du programme de travail sur plusieurs dimensions comme les résultats et pays, contribuant ainsi à une meilleure coordination entre les agents d</w:t>
      </w:r>
      <w:r w:rsidR="00A20444" w:rsidRPr="00D74EB9">
        <w:t>’</w:t>
      </w:r>
      <w:r w:rsidRPr="00D74EB9">
        <w:t>exécution.</w:t>
      </w:r>
      <w:r w:rsidR="004F3E42" w:rsidRPr="00D74EB9">
        <w:t xml:space="preserve"> </w:t>
      </w:r>
      <w:r w:rsidR="0010442A" w:rsidRPr="00D74EB9">
        <w:t xml:space="preserve"> </w:t>
      </w:r>
      <w:r w:rsidRPr="00D74EB9">
        <w:t>Ce système a par ailleurs permis aux chefs de programme de suivre pour la première fois les dépenses réelles par rapport à leur programme de travail durant son exécution.</w:t>
      </w:r>
      <w:r w:rsidR="004F3E42" w:rsidRPr="00D74EB9">
        <w:t xml:space="preserve"> </w:t>
      </w:r>
      <w:r w:rsidR="0010442A" w:rsidRPr="00D74EB9">
        <w:t xml:space="preserve"> </w:t>
      </w:r>
      <w:r w:rsidRPr="00D74EB9">
        <w:t>En outre, l</w:t>
      </w:r>
      <w:r w:rsidR="00A20444" w:rsidRPr="00D74EB9">
        <w:t>’</w:t>
      </w:r>
      <w:r w:rsidRPr="00D74EB9">
        <w:t>outil de gestion des performances de l</w:t>
      </w:r>
      <w:r w:rsidR="00A20444" w:rsidRPr="00D74EB9">
        <w:t>’</w:t>
      </w:r>
      <w:r w:rsidRPr="00D74EB9">
        <w:t>Organisation visant à faciliter le processus de planification pour l</w:t>
      </w:r>
      <w:r w:rsidR="00A20444" w:rsidRPr="00D74EB9">
        <w:t>’</w:t>
      </w:r>
      <w:r w:rsidRPr="00D74EB9">
        <w:t>exercice biennal 2014</w:t>
      </w:r>
      <w:r w:rsidR="002D6F2A" w:rsidRPr="00D74EB9">
        <w:noBreakHyphen/>
      </w:r>
      <w:r w:rsidRPr="00D74EB9">
        <w:t>2015 a été achevé et transmis aux chefs de projet au début de l</w:t>
      </w:r>
      <w:r w:rsidR="00A20444" w:rsidRPr="00D74EB9">
        <w:t>’</w:t>
      </w:r>
      <w:r w:rsidRPr="00D74EB9">
        <w:t xml:space="preserve">année 2013. </w:t>
      </w:r>
      <w:r w:rsidR="0010442A" w:rsidRPr="00D74EB9">
        <w:t xml:space="preserve"> </w:t>
      </w:r>
      <w:r w:rsidRPr="00D74EB9">
        <w:t>Cet outil a renforcé l</w:t>
      </w:r>
      <w:r w:rsidR="00A20444" w:rsidRPr="00D74EB9">
        <w:t>’</w:t>
      </w:r>
      <w:r w:rsidRPr="00D74EB9">
        <w:t>efficacité du processus de planification et a considérablement amélioré les capacités d</w:t>
      </w:r>
      <w:r w:rsidR="00A20444" w:rsidRPr="00D74EB9">
        <w:t>’</w:t>
      </w:r>
      <w:r w:rsidRPr="00D74EB9">
        <w:t xml:space="preserve">analyse des informations fournies par les chefs de programme. </w:t>
      </w:r>
      <w:r w:rsidR="0010442A" w:rsidRPr="00D74EB9">
        <w:t xml:space="preserve"> </w:t>
      </w:r>
      <w:r w:rsidRPr="00D74EB9">
        <w:t>Des présentations et formations exhaustives relatives à la planification, aux processus de bout en bout et à l</w:t>
      </w:r>
      <w:r w:rsidR="00A20444" w:rsidRPr="00D74EB9">
        <w:t>’</w:t>
      </w:r>
      <w:r w:rsidRPr="00D74EB9">
        <w:t>utilisation de ces systèmes nouveaux et mis à jour ont été dispensées à 900 membres du personnel tout au long de l</w:t>
      </w:r>
      <w:r w:rsidR="00A20444" w:rsidRPr="00D74EB9">
        <w:t>’</w:t>
      </w:r>
      <w:r w:rsidRPr="00D74EB9">
        <w:t>exercice biennal.</w:t>
      </w:r>
    </w:p>
    <w:p w:rsidR="00D42474" w:rsidRDefault="00D42474" w:rsidP="001A5BF9">
      <w:pPr>
        <w:jc w:val="both"/>
      </w:pPr>
    </w:p>
    <w:p w:rsidR="00D42474" w:rsidRDefault="00BB3F3E" w:rsidP="001A5BF9">
      <w:pPr>
        <w:jc w:val="both"/>
      </w:pPr>
      <w:r w:rsidRPr="005C7CCE">
        <w:t>L</w:t>
      </w:r>
      <w:r w:rsidR="00A20444" w:rsidRPr="005C7CCE">
        <w:t>’</w:t>
      </w:r>
      <w:r w:rsidRPr="005C7CCE">
        <w:t>une des initiatives mises en œuvre dans le cadre du programme de réorientation stratégique est liée au renforcement des systèmes de gestion des risques et de contrôle interne de l</w:t>
      </w:r>
      <w:r w:rsidR="00A20444" w:rsidRPr="005C7CCE">
        <w:t>’</w:t>
      </w:r>
      <w:r w:rsidRPr="005C7CCE">
        <w:t xml:space="preserve">OMPI. </w:t>
      </w:r>
      <w:r w:rsidR="0010442A" w:rsidRPr="005C7CCE">
        <w:t xml:space="preserve"> </w:t>
      </w:r>
      <w:r w:rsidRPr="005C7CCE">
        <w:t>Un certain nombre d</w:t>
      </w:r>
      <w:r w:rsidR="00A20444" w:rsidRPr="005C7CCE">
        <w:t>’</w:t>
      </w:r>
      <w:r w:rsidRPr="005C7CCE">
        <w:t>étapes importantes ont été franchies au cours de l</w:t>
      </w:r>
      <w:r w:rsidR="00A20444" w:rsidRPr="005C7CCE">
        <w:t>’</w:t>
      </w:r>
      <w:r w:rsidRPr="005C7CCE">
        <w:t>exercice biennal, faisant progresser l</w:t>
      </w:r>
      <w:r w:rsidR="00A20444" w:rsidRPr="005C7CCE">
        <w:t>’</w:t>
      </w:r>
      <w:r w:rsidRPr="005C7CCE">
        <w:t>Organisation sur la voie établie dans le cadre de sa feuille de route relative à la gestion des risques et sur la voie de la mise en œuvre complète de sa politique en matière de gestion des risques à l</w:t>
      </w:r>
      <w:r w:rsidR="00A20444" w:rsidRPr="005C7CCE">
        <w:t>’</w:t>
      </w:r>
      <w:r w:rsidRPr="005C7CCE">
        <w:t>échelle de l</w:t>
      </w:r>
      <w:r w:rsidR="00A20444" w:rsidRPr="005C7CCE">
        <w:t>’</w:t>
      </w:r>
      <w:r w:rsidRPr="005C7CCE">
        <w:t>Organisation d</w:t>
      </w:r>
      <w:r w:rsidR="00A20444" w:rsidRPr="005C7CCE">
        <w:t>’</w:t>
      </w:r>
      <w:r w:rsidRPr="005C7CCE">
        <w:t>ici la fin de l</w:t>
      </w:r>
      <w:r w:rsidR="00A20444" w:rsidRPr="005C7CCE">
        <w:t>’</w:t>
      </w:r>
      <w:r w:rsidRPr="005C7CCE">
        <w:t>exercice biennal 2016</w:t>
      </w:r>
      <w:r w:rsidR="002D6F2A" w:rsidRPr="005C7CCE">
        <w:noBreakHyphen/>
      </w:r>
      <w:r w:rsidRPr="005C7CCE">
        <w:t xml:space="preserve">2017. </w:t>
      </w:r>
      <w:r w:rsidR="0010442A" w:rsidRPr="005C7CCE">
        <w:t xml:space="preserve"> </w:t>
      </w:r>
      <w:r w:rsidRPr="005C7CCE">
        <w:t>Ces étapes comprennent l</w:t>
      </w:r>
      <w:r w:rsidR="00A20444" w:rsidRPr="005C7CCE">
        <w:t>’</w:t>
      </w:r>
      <w:r w:rsidRPr="005C7CCE">
        <w:t>intégration de la gestion des risques dans le cycle de planification annuelle des activités, ainsi que du recensement des risques et des mesures de prévention dans le programme et budget 2014</w:t>
      </w:r>
      <w:r w:rsidR="002D6F2A" w:rsidRPr="005C7CCE">
        <w:noBreakHyphen/>
      </w:r>
      <w:r w:rsidRPr="005C7CCE">
        <w:t xml:space="preserve">2015. </w:t>
      </w:r>
      <w:r w:rsidR="0010442A" w:rsidRPr="005C7CCE">
        <w:t xml:space="preserve"> </w:t>
      </w:r>
      <w:r w:rsidRPr="005C7CCE">
        <w:t>Une évaluation des risques est actuellement en cours dans l</w:t>
      </w:r>
      <w:r w:rsidR="00A20444" w:rsidRPr="005C7CCE">
        <w:t>’</w:t>
      </w:r>
      <w:r w:rsidRPr="005C7CCE">
        <w:t>ensemble de l</w:t>
      </w:r>
      <w:r w:rsidR="00A20444" w:rsidRPr="005C7CCE">
        <w:t>’</w:t>
      </w:r>
      <w:r w:rsidRPr="005C7CCE">
        <w:t>Organisation afin de recenser les facteurs de risque et d</w:t>
      </w:r>
      <w:r w:rsidR="00A20444" w:rsidRPr="005C7CCE">
        <w:t>’</w:t>
      </w:r>
      <w:r w:rsidRPr="005C7CCE">
        <w:t xml:space="preserve">estimer leur probabilité et leur incidence éventuelle sur les résultats escomptés. </w:t>
      </w:r>
      <w:r w:rsidR="0010442A" w:rsidRPr="005C7CCE">
        <w:t xml:space="preserve"> </w:t>
      </w:r>
      <w:r w:rsidRPr="005C7CCE">
        <w:t>Cette évaluation constitue la base de l</w:t>
      </w:r>
      <w:r w:rsidR="00A20444" w:rsidRPr="005C7CCE">
        <w:t>’</w:t>
      </w:r>
      <w:r w:rsidRPr="005C7CCE">
        <w:t>élaboration de plans d</w:t>
      </w:r>
      <w:r w:rsidR="00A20444" w:rsidRPr="005C7CCE">
        <w:t>’</w:t>
      </w:r>
      <w:r w:rsidRPr="005C7CCE">
        <w:t>intervention appropriés pour traiter correctement ces risques, qui peuvent prendre la forme de mesures ponctuelles ou de contrôles internes récurrents.</w:t>
      </w:r>
    </w:p>
    <w:p w:rsidR="00D42474" w:rsidRDefault="00D42474" w:rsidP="001A5BF9">
      <w:pPr>
        <w:jc w:val="both"/>
      </w:pPr>
    </w:p>
    <w:p w:rsidR="00D42474" w:rsidRDefault="00BB3F3E" w:rsidP="001A5BF9">
      <w:pPr>
        <w:jc w:val="both"/>
      </w:pPr>
      <w:r w:rsidRPr="005C7CCE">
        <w:t>L</w:t>
      </w:r>
      <w:r w:rsidR="00A20444" w:rsidRPr="005C7CCE">
        <w:t>’</w:t>
      </w:r>
      <w:r w:rsidRPr="005C7CCE">
        <w:t>exercice biennal 2012</w:t>
      </w:r>
      <w:r w:rsidR="002D6F2A" w:rsidRPr="005C7CCE">
        <w:noBreakHyphen/>
      </w:r>
      <w:r w:rsidRPr="005C7CCE">
        <w:t>2013 a été marqué par la mise en place de la planification des ressources humaines en tant qu</w:t>
      </w:r>
      <w:r w:rsidR="00A20444" w:rsidRPr="005C7CCE">
        <w:t>’</w:t>
      </w:r>
      <w:r w:rsidRPr="005C7CCE">
        <w:t>activité clé de l</w:t>
      </w:r>
      <w:r w:rsidR="00A20444" w:rsidRPr="005C7CCE">
        <w:t>’</w:t>
      </w:r>
      <w:r w:rsidRPr="005C7CCE">
        <w:t>organisation systématiquement intégrée dans les cycles de planification annuels et biennaux des travaux de l</w:t>
      </w:r>
      <w:r w:rsidR="00A20444" w:rsidRPr="005C7CCE">
        <w:t>’</w:t>
      </w:r>
      <w:r w:rsidRPr="005C7CCE">
        <w:t xml:space="preserve">OMPI. </w:t>
      </w:r>
      <w:r w:rsidR="0010442A" w:rsidRPr="005C7CCE">
        <w:t xml:space="preserve"> </w:t>
      </w:r>
      <w:r w:rsidRPr="005C7CCE">
        <w:t>L</w:t>
      </w:r>
      <w:r w:rsidR="00A20444" w:rsidRPr="005C7CCE">
        <w:t>’</w:t>
      </w:r>
      <w:r w:rsidRPr="005C7CCE">
        <w:t>OMPI a poursuivi ses efforts visant à garantir que les ressources humaines de l</w:t>
      </w:r>
      <w:r w:rsidR="00A20444" w:rsidRPr="005C7CCE">
        <w:t>’</w:t>
      </w:r>
      <w:r w:rsidRPr="005C7CCE">
        <w:t>Organisation soient régulièrement évaluées au regard des futurs besoins en termes d</w:t>
      </w:r>
      <w:r w:rsidR="00A20444" w:rsidRPr="005C7CCE">
        <w:t>’</w:t>
      </w:r>
      <w:r w:rsidRPr="005C7CCE">
        <w:t>effectifs et que l</w:t>
      </w:r>
      <w:r w:rsidR="00A20444" w:rsidRPr="005C7CCE">
        <w:t>’</w:t>
      </w:r>
      <w:r w:rsidRPr="005C7CCE">
        <w:t xml:space="preserve">Organisation aligne ainsi ses ressources humaines pour répondre aux besoins de ses programmes de la manière la plus efficace possible. </w:t>
      </w:r>
      <w:r w:rsidR="0010442A" w:rsidRPr="005C7CCE">
        <w:t xml:space="preserve"> </w:t>
      </w:r>
      <w:r w:rsidRPr="005C7CCE">
        <w:t>Les observations tirées des examens de la structure de l</w:t>
      </w:r>
      <w:r w:rsidR="00A20444" w:rsidRPr="005C7CCE">
        <w:t>’</w:t>
      </w:r>
      <w:r w:rsidRPr="005C7CCE">
        <w:t>organisation de 2012 ont été utilisées pour élaborer la planification biennale du programme et budget pour 2014</w:t>
      </w:r>
      <w:r w:rsidR="002D6F2A" w:rsidRPr="005C7CCE">
        <w:noBreakHyphen/>
      </w:r>
      <w:r w:rsidRPr="005C7CCE">
        <w:t>2015, en garantissant les ressources humaines appropriées nécessaires pour chaque programme en vue de l</w:t>
      </w:r>
      <w:r w:rsidR="00A20444" w:rsidRPr="005C7CCE">
        <w:t>’</w:t>
      </w:r>
      <w:r w:rsidRPr="005C7CCE">
        <w:t xml:space="preserve">obtention effective des résultats visés. </w:t>
      </w:r>
      <w:r w:rsidR="0010442A" w:rsidRPr="005C7CCE">
        <w:t xml:space="preserve"> </w:t>
      </w:r>
      <w:r w:rsidRPr="005C7CCE">
        <w:t>Des améliorations ont également été apportées au système de gestion des performances de l</w:t>
      </w:r>
      <w:r w:rsidR="00A20444" w:rsidRPr="005C7CCE">
        <w:t>’</w:t>
      </w:r>
      <w:r w:rsidRPr="005C7CCE">
        <w:t>Organisation pour permettre une plus grande justesse dans l</w:t>
      </w:r>
      <w:r w:rsidR="00A20444" w:rsidRPr="005C7CCE">
        <w:t>’</w:t>
      </w:r>
      <w:r w:rsidRPr="005C7CCE">
        <w:t>attribution du personnel aux activités des programmes et pour mieux rendre compte de l</w:t>
      </w:r>
      <w:r w:rsidR="00A20444" w:rsidRPr="005C7CCE">
        <w:t>’</w:t>
      </w:r>
      <w:r w:rsidRPr="005C7CCE">
        <w:t>utilisation des ressources de l</w:t>
      </w:r>
      <w:r w:rsidR="00A20444" w:rsidRPr="005C7CCE">
        <w:t>’</w:t>
      </w:r>
      <w:r w:rsidRPr="005C7CCE">
        <w:t>organisation.</w:t>
      </w:r>
    </w:p>
    <w:p w:rsidR="00D42474" w:rsidRDefault="00D42474" w:rsidP="001A5BF9">
      <w:pPr>
        <w:jc w:val="both"/>
      </w:pPr>
    </w:p>
    <w:p w:rsidR="00D42474" w:rsidRDefault="00BB3F3E" w:rsidP="001A5BF9">
      <w:pPr>
        <w:jc w:val="both"/>
      </w:pPr>
      <w:r w:rsidRPr="005C7CCE">
        <w:t>Le processus de régularisation des agents temporaires de longue durée, approuvé par les États membres en 2010, a quasiment été achevé pendant l</w:t>
      </w:r>
      <w:r w:rsidR="00A20444" w:rsidRPr="005C7CCE">
        <w:t>’</w:t>
      </w:r>
      <w:r w:rsidRPr="005C7CCE">
        <w:t>exercice biennal.</w:t>
      </w:r>
      <w:r w:rsidR="004F3E42" w:rsidRPr="005C7CCE">
        <w:t xml:space="preserve"> </w:t>
      </w:r>
      <w:r w:rsidR="0010442A" w:rsidRPr="005C7CCE">
        <w:t xml:space="preserve"> </w:t>
      </w:r>
      <w:r w:rsidR="001462DD" w:rsidRPr="005C7CCE">
        <w:t>Q</w:t>
      </w:r>
      <w:r w:rsidRPr="005C7CCE">
        <w:t>uelque 67 agents temporaires de longue durée ayant donné pleine satisfaction dans leurs fonctions, sans interruption, depuis cinq</w:t>
      </w:r>
      <w:r w:rsidR="0010442A" w:rsidRPr="005C7CCE">
        <w:t> </w:t>
      </w:r>
      <w:r w:rsidRPr="005C7CCE">
        <w:t>années au moins le 1er janvier 2012 ont été régularisés au cours de l</w:t>
      </w:r>
      <w:r w:rsidR="00A20444" w:rsidRPr="005C7CCE">
        <w:t>’</w:t>
      </w:r>
      <w:r w:rsidRPr="005C7CCE">
        <w:t xml:space="preserve">exercice biennal après un concours. </w:t>
      </w:r>
      <w:r w:rsidR="0010442A" w:rsidRPr="005C7CCE">
        <w:t xml:space="preserve"> </w:t>
      </w:r>
      <w:r w:rsidRPr="005C7CCE">
        <w:t>Ce processus de régularisation s</w:t>
      </w:r>
      <w:r w:rsidR="00A20444" w:rsidRPr="005C7CCE">
        <w:t>’</w:t>
      </w:r>
      <w:r w:rsidRPr="005C7CCE">
        <w:t>achèvera en 2014.</w:t>
      </w:r>
      <w:r w:rsidR="0010442A" w:rsidRPr="005C7CCE">
        <w:t xml:space="preserve"> </w:t>
      </w:r>
      <w:r w:rsidRPr="005C7CCE">
        <w:t xml:space="preserve"> </w:t>
      </w:r>
      <w:r w:rsidR="00A4797D" w:rsidRPr="005C7CCE">
        <w:t>En out</w:t>
      </w:r>
      <w:r w:rsidR="00830A0F" w:rsidRPr="005C7CCE">
        <w:t>re, l</w:t>
      </w:r>
      <w:r w:rsidR="00A20444" w:rsidRPr="005C7CCE">
        <w:t>’</w:t>
      </w:r>
      <w:r w:rsidR="00830A0F" w:rsidRPr="005C7CCE">
        <w:t>application du Statut et r</w:t>
      </w:r>
      <w:r w:rsidR="00A4797D" w:rsidRPr="005C7CCE">
        <w:t>èglement du personnel révisé au recrutement, la nouvelle composition du Comité des nominations mise en place en 2012 et la rationalisation des processus de recrutement ont réduit de 57</w:t>
      </w:r>
      <w:r w:rsidR="007E442D" w:rsidRPr="005C7CCE">
        <w:t>%</w:t>
      </w:r>
      <w:r w:rsidR="00A4797D" w:rsidRPr="005C7CCE">
        <w:t xml:space="preserve"> la longueur du processus de recrutement (durée moyenne de 16 semaines par rapport à 37,7 semaines à la fin de 2011).</w:t>
      </w:r>
    </w:p>
    <w:p w:rsidR="00D42474" w:rsidRDefault="00D42474" w:rsidP="001A5BF9">
      <w:pPr>
        <w:jc w:val="both"/>
      </w:pPr>
    </w:p>
    <w:p w:rsidR="00D42474" w:rsidRDefault="00BB3F3E" w:rsidP="001A5BF9">
      <w:pPr>
        <w:jc w:val="both"/>
      </w:pPr>
      <w:r w:rsidRPr="00D74EB9">
        <w:t>Suite à un important processus consultatif, l</w:t>
      </w:r>
      <w:r w:rsidR="00A20444" w:rsidRPr="00D74EB9">
        <w:t>’</w:t>
      </w:r>
      <w:r w:rsidRPr="00D74EB9">
        <w:t xml:space="preserve">OMPI a modernisé son Statut et règlement du personnel, conformément aux normes de la Commission de la fonction publique internationale (CFPI) et aux pratiques recommandées du système commun des </w:t>
      </w:r>
      <w:r w:rsidR="00A20444" w:rsidRPr="00D74EB9">
        <w:t>Nations Unies</w:t>
      </w:r>
      <w:r w:rsidRPr="00D74EB9">
        <w:t xml:space="preserve">. </w:t>
      </w:r>
      <w:r w:rsidR="0010442A" w:rsidRPr="00D74EB9">
        <w:t xml:space="preserve"> </w:t>
      </w:r>
      <w:r w:rsidRPr="00D74EB9">
        <w:t xml:space="preserve">Ce Statut et règlement du personnel révisé est entré en application au </w:t>
      </w:r>
      <w:r w:rsidR="00A20444" w:rsidRPr="00D74EB9">
        <w:t>1</w:t>
      </w:r>
      <w:r w:rsidR="00A20444" w:rsidRPr="00D74EB9">
        <w:rPr>
          <w:vertAlign w:val="superscript"/>
        </w:rPr>
        <w:t>er</w:t>
      </w:r>
      <w:r w:rsidR="00A20444" w:rsidRPr="00D74EB9">
        <w:t> janvier 20</w:t>
      </w:r>
      <w:r w:rsidRPr="00D74EB9">
        <w:t>13, en se fondant sur un cadre exhaustif mis à jour d</w:t>
      </w:r>
      <w:r w:rsidR="00A20444" w:rsidRPr="00D74EB9">
        <w:t>’</w:t>
      </w:r>
      <w:r w:rsidRPr="00D74EB9">
        <w:t>ordres de service.</w:t>
      </w:r>
      <w:r w:rsidR="004F3E42" w:rsidRPr="00D74EB9">
        <w:t xml:space="preserve"> </w:t>
      </w:r>
      <w:r w:rsidR="0010442A" w:rsidRPr="00D74EB9">
        <w:t xml:space="preserve"> </w:t>
      </w:r>
      <w:r w:rsidRPr="00D74EB9">
        <w:t>L</w:t>
      </w:r>
      <w:r w:rsidR="00A20444" w:rsidRPr="00D74EB9">
        <w:t>’</w:t>
      </w:r>
      <w:r w:rsidRPr="00D74EB9">
        <w:t>OMPI a également mis en œuvre un cadre contractuel intégré en</w:t>
      </w:r>
      <w:r w:rsidR="0010442A" w:rsidRPr="00D74EB9">
        <w:t> </w:t>
      </w:r>
      <w:r w:rsidRPr="00D74EB9">
        <w:t>2012, conformément aux recommandations de</w:t>
      </w:r>
      <w:r w:rsidR="00A20444" w:rsidRPr="00D74EB9">
        <w:t xml:space="preserve"> la CFP</w:t>
      </w:r>
      <w:r w:rsidRPr="00D74EB9">
        <w:t>I.</w:t>
      </w:r>
      <w:r w:rsidR="0010442A" w:rsidRPr="00D74EB9">
        <w:t xml:space="preserve"> </w:t>
      </w:r>
      <w:r w:rsidR="004F3E42" w:rsidRPr="00D74EB9">
        <w:t xml:space="preserve"> </w:t>
      </w:r>
      <w:r w:rsidRPr="00D74EB9">
        <w:t>Selon ce nouveau cadre, les agents temporaires se sont vus accorder le statut de membres du personnel, avec les avantages que cela signifie.</w:t>
      </w:r>
      <w:r w:rsidR="004F3E42" w:rsidRPr="00D74EB9">
        <w:t xml:space="preserve"> </w:t>
      </w:r>
      <w:r w:rsidR="0010442A" w:rsidRPr="00D74EB9">
        <w:t xml:space="preserve"> </w:t>
      </w:r>
      <w:r w:rsidRPr="00D74EB9">
        <w:t>En outre, un examen du système judiciaire international, qui comprenait une étude détaillée réalisée par un expert externe et des consultations intensives avec les diverses parties prenantes, a donné lieu à des modifications du Statut et règlement du personnel, entrées en vigueur au 1er janvier 2014.</w:t>
      </w:r>
    </w:p>
    <w:p w:rsidR="00D42474" w:rsidRDefault="00D42474" w:rsidP="001A5BF9">
      <w:pPr>
        <w:jc w:val="both"/>
        <w:rPr>
          <w:rFonts w:eastAsia="Batang"/>
          <w:bCs/>
        </w:rPr>
      </w:pPr>
    </w:p>
    <w:p w:rsidR="00D42474" w:rsidRDefault="00BB3F3E" w:rsidP="001A5BF9">
      <w:pPr>
        <w:pStyle w:val="Test"/>
        <w:numPr>
          <w:ilvl w:val="0"/>
          <w:numId w:val="0"/>
        </w:numPr>
        <w:jc w:val="both"/>
        <w:rPr>
          <w:sz w:val="20"/>
          <w:szCs w:val="20"/>
        </w:rPr>
      </w:pPr>
      <w:r w:rsidRPr="00D74EB9">
        <w:rPr>
          <w:sz w:val="20"/>
        </w:rPr>
        <w:t>Dans le domaine des achats et des voyages, les économies se poursuivent grâce aux appels à soumission menés dans le cadre d</w:t>
      </w:r>
      <w:r w:rsidR="00A20444" w:rsidRPr="00D74EB9">
        <w:rPr>
          <w:sz w:val="20"/>
        </w:rPr>
        <w:t>’</w:t>
      </w:r>
      <w:r w:rsidRPr="00D74EB9">
        <w:rPr>
          <w:sz w:val="20"/>
        </w:rPr>
        <w:t xml:space="preserve">une coopération avec les autres organisations internationales. </w:t>
      </w:r>
      <w:r w:rsidR="0010442A" w:rsidRPr="00D74EB9">
        <w:rPr>
          <w:sz w:val="20"/>
        </w:rPr>
        <w:t xml:space="preserve"> </w:t>
      </w:r>
      <w:r w:rsidRPr="00D74EB9">
        <w:rPr>
          <w:sz w:val="20"/>
        </w:rPr>
        <w:t>Cet exercice biennal a été considérablement marqué par la mise à niveau des modules d</w:t>
      </w:r>
      <w:r w:rsidR="00A20444" w:rsidRPr="00D74EB9">
        <w:rPr>
          <w:sz w:val="20"/>
        </w:rPr>
        <w:t>’</w:t>
      </w:r>
      <w:r w:rsidRPr="00D74EB9">
        <w:rPr>
          <w:sz w:val="20"/>
        </w:rPr>
        <w:t>achat ERP et par l</w:t>
      </w:r>
      <w:r w:rsidR="00A20444" w:rsidRPr="00D74EB9">
        <w:rPr>
          <w:sz w:val="20"/>
        </w:rPr>
        <w:t>’</w:t>
      </w:r>
      <w:r w:rsidRPr="00D74EB9">
        <w:rPr>
          <w:sz w:val="20"/>
        </w:rPr>
        <w:t>intégration des demandes de voyages autres que celles des fonctionnaires dans le système de gestion électronique des formulaires e</w:t>
      </w:r>
      <w:r w:rsidR="002D6F2A" w:rsidRPr="00D74EB9">
        <w:rPr>
          <w:sz w:val="20"/>
        </w:rPr>
        <w:noBreakHyphen/>
      </w:r>
      <w:r w:rsidRPr="00D74EB9">
        <w:rPr>
          <w:sz w:val="20"/>
        </w:rPr>
        <w:t xml:space="preserve">Works. </w:t>
      </w:r>
      <w:r w:rsidR="0010442A" w:rsidRPr="00D74EB9">
        <w:rPr>
          <w:sz w:val="20"/>
        </w:rPr>
        <w:t xml:space="preserve"> </w:t>
      </w:r>
      <w:r w:rsidRPr="00D74EB9">
        <w:rPr>
          <w:sz w:val="20"/>
        </w:rPr>
        <w:t>Le cadre réglementaire a lui aussi été mis à jour et amélioré par une nouvelle procédure d</w:t>
      </w:r>
      <w:r w:rsidR="00A20444" w:rsidRPr="00D74EB9">
        <w:rPr>
          <w:sz w:val="20"/>
        </w:rPr>
        <w:t>’</w:t>
      </w:r>
      <w:r w:rsidRPr="00D74EB9">
        <w:rPr>
          <w:sz w:val="20"/>
        </w:rPr>
        <w:t>achats en vue du parachèvement du nouveau projet de salle de conférence, d</w:t>
      </w:r>
      <w:r w:rsidR="00A20444" w:rsidRPr="00D74EB9">
        <w:rPr>
          <w:sz w:val="20"/>
        </w:rPr>
        <w:t>’</w:t>
      </w:r>
      <w:r w:rsidRPr="00D74EB9">
        <w:rPr>
          <w:sz w:val="20"/>
        </w:rPr>
        <w:t>un code de conduite pour la gestion des relations avec les fournisseurs et d</w:t>
      </w:r>
      <w:r w:rsidR="00A20444" w:rsidRPr="00D74EB9">
        <w:rPr>
          <w:sz w:val="20"/>
        </w:rPr>
        <w:t>’</w:t>
      </w:r>
      <w:r w:rsidRPr="00D74EB9">
        <w:rPr>
          <w:sz w:val="20"/>
        </w:rPr>
        <w:t>une nouvelle politique sur les voyages, notamment un changement du seuil ouvrant droit à la classe affaires.</w:t>
      </w:r>
    </w:p>
    <w:p w:rsidR="00D42474" w:rsidRDefault="00D42474" w:rsidP="001A5BF9">
      <w:pPr>
        <w:pStyle w:val="Test"/>
        <w:numPr>
          <w:ilvl w:val="0"/>
          <w:numId w:val="0"/>
        </w:numPr>
        <w:jc w:val="both"/>
        <w:rPr>
          <w:sz w:val="20"/>
          <w:szCs w:val="20"/>
        </w:rPr>
      </w:pPr>
    </w:p>
    <w:p w:rsidR="00D42474" w:rsidRDefault="00BB3F3E" w:rsidP="001A5BF9">
      <w:pPr>
        <w:pStyle w:val="Test"/>
        <w:numPr>
          <w:ilvl w:val="0"/>
          <w:numId w:val="0"/>
        </w:numPr>
        <w:jc w:val="both"/>
        <w:rPr>
          <w:sz w:val="20"/>
          <w:szCs w:val="20"/>
        </w:rPr>
      </w:pPr>
      <w:r w:rsidRPr="005C7CCE">
        <w:rPr>
          <w:sz w:val="20"/>
        </w:rPr>
        <w:t>Dans le domaine des technologies de l</w:t>
      </w:r>
      <w:r w:rsidR="00A20444" w:rsidRPr="005C7CCE">
        <w:rPr>
          <w:sz w:val="20"/>
        </w:rPr>
        <w:t>’</w:t>
      </w:r>
      <w:r w:rsidRPr="005C7CCE">
        <w:rPr>
          <w:sz w:val="20"/>
        </w:rPr>
        <w:t>information et de la communication, l</w:t>
      </w:r>
      <w:r w:rsidR="00A20444" w:rsidRPr="005C7CCE">
        <w:rPr>
          <w:sz w:val="20"/>
        </w:rPr>
        <w:t>’</w:t>
      </w:r>
      <w:r w:rsidRPr="005C7CCE">
        <w:rPr>
          <w:sz w:val="20"/>
        </w:rPr>
        <w:t>année a également été marquée par les améliorations suivantes : mise en place d</w:t>
      </w:r>
      <w:r w:rsidR="00A20444" w:rsidRPr="005C7CCE">
        <w:rPr>
          <w:sz w:val="20"/>
        </w:rPr>
        <w:t>’</w:t>
      </w:r>
      <w:r w:rsidRPr="005C7CCE">
        <w:rPr>
          <w:sz w:val="20"/>
        </w:rPr>
        <w:t>une nouvelle architecture de réseau interne de données à l</w:t>
      </w:r>
      <w:r w:rsidR="00A20444" w:rsidRPr="005C7CCE">
        <w:rPr>
          <w:sz w:val="20"/>
        </w:rPr>
        <w:t>’</w:t>
      </w:r>
      <w:r w:rsidRPr="005C7CCE">
        <w:rPr>
          <w:sz w:val="20"/>
        </w:rPr>
        <w:t>échelle de l</w:t>
      </w:r>
      <w:r w:rsidR="00A20444" w:rsidRPr="005C7CCE">
        <w:rPr>
          <w:sz w:val="20"/>
        </w:rPr>
        <w:t>’</w:t>
      </w:r>
      <w:r w:rsidRPr="005C7CCE">
        <w:rPr>
          <w:sz w:val="20"/>
        </w:rPr>
        <w:t>Organisation, renforçant les contrôles de sécurité du réseau et la gestion efficace du trafic multimédia (systèmes vocaux, vidéo et données);</w:t>
      </w:r>
      <w:r w:rsidR="004F3E42" w:rsidRPr="005C7CCE">
        <w:rPr>
          <w:sz w:val="20"/>
        </w:rPr>
        <w:t xml:space="preserve"> </w:t>
      </w:r>
      <w:r w:rsidR="0010442A" w:rsidRPr="005C7CCE">
        <w:rPr>
          <w:sz w:val="20"/>
        </w:rPr>
        <w:t xml:space="preserve"> </w:t>
      </w:r>
      <w:r w:rsidRPr="005C7CCE">
        <w:rPr>
          <w:sz w:val="20"/>
        </w:rPr>
        <w:t>un nouveau système de téléphonie sur IP;</w:t>
      </w:r>
      <w:r w:rsidR="0010442A" w:rsidRPr="005C7CCE">
        <w:rPr>
          <w:sz w:val="20"/>
        </w:rPr>
        <w:t xml:space="preserve"> </w:t>
      </w:r>
      <w:r w:rsidR="004F3E42" w:rsidRPr="005C7CCE">
        <w:rPr>
          <w:sz w:val="20"/>
        </w:rPr>
        <w:t xml:space="preserve"> </w:t>
      </w:r>
      <w:r w:rsidRPr="005C7CCE">
        <w:rPr>
          <w:sz w:val="20"/>
        </w:rPr>
        <w:t>la diffusion en direct sur le Web (par le biais d</w:t>
      </w:r>
      <w:r w:rsidR="00A20444" w:rsidRPr="005C7CCE">
        <w:rPr>
          <w:sz w:val="20"/>
        </w:rPr>
        <w:t>’</w:t>
      </w:r>
      <w:r w:rsidRPr="005C7CCE">
        <w:rPr>
          <w:sz w:val="20"/>
        </w:rPr>
        <w:t>Internet) de 40 réunions de l</w:t>
      </w:r>
      <w:r w:rsidR="00A20444" w:rsidRPr="005C7CCE">
        <w:rPr>
          <w:sz w:val="20"/>
        </w:rPr>
        <w:t>’</w:t>
      </w:r>
      <w:r w:rsidRPr="005C7CCE">
        <w:rPr>
          <w:sz w:val="20"/>
        </w:rPr>
        <w:t>OMPI, ainsi que les réunions des conférences diplomatiques de Beijing et Marrakech;</w:t>
      </w:r>
      <w:r w:rsidR="004F3E42" w:rsidRPr="005C7CCE">
        <w:rPr>
          <w:sz w:val="20"/>
        </w:rPr>
        <w:t xml:space="preserve"> </w:t>
      </w:r>
      <w:r w:rsidR="0010442A" w:rsidRPr="005C7CCE">
        <w:rPr>
          <w:sz w:val="20"/>
        </w:rPr>
        <w:t xml:space="preserve"> </w:t>
      </w:r>
      <w:r w:rsidRPr="005C7CCE">
        <w:rPr>
          <w:sz w:val="20"/>
        </w:rPr>
        <w:t>la mise à niveau des systèmes de productivité vers une plate</w:t>
      </w:r>
      <w:r w:rsidR="002D6F2A" w:rsidRPr="005C7CCE">
        <w:rPr>
          <w:sz w:val="20"/>
        </w:rPr>
        <w:noBreakHyphen/>
      </w:r>
      <w:r w:rsidRPr="005C7CCE">
        <w:rPr>
          <w:sz w:val="20"/>
        </w:rPr>
        <w:t>forme aux normes de l</w:t>
      </w:r>
      <w:r w:rsidR="00A20444" w:rsidRPr="005C7CCE">
        <w:rPr>
          <w:sz w:val="20"/>
        </w:rPr>
        <w:t>’</w:t>
      </w:r>
      <w:r w:rsidRPr="005C7CCE">
        <w:rPr>
          <w:sz w:val="20"/>
        </w:rPr>
        <w:t>industrie;</w:t>
      </w:r>
      <w:r w:rsidR="0010442A" w:rsidRPr="005C7CCE">
        <w:rPr>
          <w:sz w:val="20"/>
        </w:rPr>
        <w:t xml:space="preserve"> </w:t>
      </w:r>
      <w:r w:rsidR="004F3E42" w:rsidRPr="005C7CCE">
        <w:rPr>
          <w:sz w:val="20"/>
        </w:rPr>
        <w:t xml:space="preserve"> </w:t>
      </w:r>
      <w:r w:rsidRPr="005C7CCE">
        <w:rPr>
          <w:sz w:val="20"/>
        </w:rPr>
        <w:t>la mise en œuvre d</w:t>
      </w:r>
      <w:r w:rsidR="00A20444" w:rsidRPr="005C7CCE">
        <w:rPr>
          <w:sz w:val="20"/>
        </w:rPr>
        <w:t>’</w:t>
      </w:r>
      <w:r w:rsidRPr="005C7CCE">
        <w:rPr>
          <w:sz w:val="20"/>
        </w:rPr>
        <w:t>une plate</w:t>
      </w:r>
      <w:r w:rsidR="002D6F2A" w:rsidRPr="005C7CCE">
        <w:rPr>
          <w:sz w:val="20"/>
        </w:rPr>
        <w:noBreakHyphen/>
      </w:r>
      <w:r w:rsidRPr="005C7CCE">
        <w:rPr>
          <w:sz w:val="20"/>
        </w:rPr>
        <w:t xml:space="preserve">forme Single </w:t>
      </w:r>
      <w:proofErr w:type="spellStart"/>
      <w:r w:rsidRPr="005C7CCE">
        <w:rPr>
          <w:sz w:val="20"/>
        </w:rPr>
        <w:t>Sign</w:t>
      </w:r>
      <w:proofErr w:type="spellEnd"/>
      <w:r w:rsidR="002D6F2A" w:rsidRPr="005C7CCE">
        <w:rPr>
          <w:sz w:val="20"/>
        </w:rPr>
        <w:noBreakHyphen/>
      </w:r>
      <w:r w:rsidRPr="005C7CCE">
        <w:rPr>
          <w:sz w:val="20"/>
        </w:rPr>
        <w:t>On (authentification unique et unifiée sur le Web) assurant une utilisation plus sécurisée et plus efficace des nouveaux modules de gestion des performances de l</w:t>
      </w:r>
      <w:r w:rsidR="00A20444" w:rsidRPr="005C7CCE">
        <w:rPr>
          <w:sz w:val="20"/>
        </w:rPr>
        <w:t>’</w:t>
      </w:r>
      <w:r w:rsidRPr="005C7CCE">
        <w:rPr>
          <w:sz w:val="20"/>
        </w:rPr>
        <w:t xml:space="preserve">Organisation du logiciel </w:t>
      </w:r>
      <w:proofErr w:type="spellStart"/>
      <w:r w:rsidRPr="005C7CCE">
        <w:rPr>
          <w:sz w:val="20"/>
        </w:rPr>
        <w:t>PeopleSoft</w:t>
      </w:r>
      <w:proofErr w:type="spellEnd"/>
      <w:r w:rsidRPr="005C7CCE">
        <w:rPr>
          <w:sz w:val="20"/>
        </w:rPr>
        <w:t xml:space="preserve"> et Oracle </w:t>
      </w:r>
      <w:proofErr w:type="spellStart"/>
      <w:r w:rsidRPr="005C7CCE">
        <w:rPr>
          <w:sz w:val="20"/>
        </w:rPr>
        <w:t>Hyperion</w:t>
      </w:r>
      <w:proofErr w:type="spellEnd"/>
      <w:r w:rsidRPr="005C7CCE">
        <w:rPr>
          <w:sz w:val="20"/>
        </w:rPr>
        <w:t xml:space="preserve"> mis en œuvre dans le cadre du projet ERP;</w:t>
      </w:r>
      <w:r w:rsidR="004F3E42" w:rsidRPr="005C7CCE">
        <w:rPr>
          <w:sz w:val="20"/>
        </w:rPr>
        <w:t xml:space="preserve"> </w:t>
      </w:r>
      <w:r w:rsidR="0010442A" w:rsidRPr="005C7CCE">
        <w:rPr>
          <w:sz w:val="20"/>
        </w:rPr>
        <w:t xml:space="preserve"> </w:t>
      </w:r>
      <w:r w:rsidRPr="005C7CCE">
        <w:rPr>
          <w:sz w:val="20"/>
        </w:rPr>
        <w:t>et des améliorations d</w:t>
      </w:r>
      <w:r w:rsidR="00A20444" w:rsidRPr="005C7CCE">
        <w:rPr>
          <w:sz w:val="20"/>
        </w:rPr>
        <w:t>’</w:t>
      </w:r>
      <w:r w:rsidRPr="005C7CCE">
        <w:rPr>
          <w:sz w:val="20"/>
        </w:rPr>
        <w:t>un certain nombre d</w:t>
      </w:r>
      <w:r w:rsidR="00A20444" w:rsidRPr="005C7CCE">
        <w:rPr>
          <w:sz w:val="20"/>
        </w:rPr>
        <w:t>’</w:t>
      </w:r>
      <w:r w:rsidRPr="005C7CCE">
        <w:rPr>
          <w:sz w:val="20"/>
        </w:rPr>
        <w:t>applications administratives qui ont renforcé l</w:t>
      </w:r>
      <w:r w:rsidR="00A20444" w:rsidRPr="005C7CCE">
        <w:rPr>
          <w:sz w:val="20"/>
        </w:rPr>
        <w:t>’</w:t>
      </w:r>
      <w:r w:rsidRPr="005C7CCE">
        <w:rPr>
          <w:sz w:val="20"/>
        </w:rPr>
        <w:t xml:space="preserve">efficacité des processus administratifs. </w:t>
      </w:r>
      <w:r w:rsidR="0010442A" w:rsidRPr="005C7CCE">
        <w:rPr>
          <w:sz w:val="20"/>
        </w:rPr>
        <w:t xml:space="preserve"> </w:t>
      </w:r>
      <w:r w:rsidRPr="005C7CCE">
        <w:rPr>
          <w:sz w:val="20"/>
        </w:rPr>
        <w:t>En outre, dans le domaine de la sécurité des informations, l</w:t>
      </w:r>
      <w:r w:rsidR="00A20444" w:rsidRPr="005C7CCE">
        <w:rPr>
          <w:sz w:val="20"/>
        </w:rPr>
        <w:t>’</w:t>
      </w:r>
      <w:r w:rsidRPr="005C7CCE">
        <w:rPr>
          <w:sz w:val="20"/>
        </w:rPr>
        <w:t xml:space="preserve">OMPI a obtenu une certification ISO 27001 pour la gestion de la sécurité des informations en novembre 2013. </w:t>
      </w:r>
      <w:r w:rsidR="0010442A" w:rsidRPr="005C7CCE">
        <w:rPr>
          <w:sz w:val="20"/>
        </w:rPr>
        <w:t xml:space="preserve"> </w:t>
      </w:r>
      <w:r w:rsidRPr="005C7CCE">
        <w:rPr>
          <w:sz w:val="20"/>
        </w:rPr>
        <w:t>L</w:t>
      </w:r>
      <w:r w:rsidR="00A20444" w:rsidRPr="005C7CCE">
        <w:rPr>
          <w:sz w:val="20"/>
        </w:rPr>
        <w:t>’</w:t>
      </w:r>
      <w:r w:rsidRPr="005C7CCE">
        <w:rPr>
          <w:sz w:val="20"/>
        </w:rPr>
        <w:t>OMPI est l</w:t>
      </w:r>
      <w:r w:rsidR="00A20444" w:rsidRPr="005C7CCE">
        <w:rPr>
          <w:sz w:val="20"/>
        </w:rPr>
        <w:t>’</w:t>
      </w:r>
      <w:r w:rsidRPr="005C7CCE">
        <w:rPr>
          <w:sz w:val="20"/>
        </w:rPr>
        <w:t xml:space="preserve">une des trois entités des </w:t>
      </w:r>
      <w:r w:rsidR="00A20444" w:rsidRPr="005C7CCE">
        <w:rPr>
          <w:sz w:val="20"/>
        </w:rPr>
        <w:t>Nations Unies</w:t>
      </w:r>
      <w:r w:rsidRPr="005C7CCE">
        <w:rPr>
          <w:sz w:val="20"/>
        </w:rPr>
        <w:t xml:space="preserve"> à avoir obtenu cette certification.</w:t>
      </w:r>
      <w:r w:rsidR="0010442A" w:rsidRPr="005C7CCE">
        <w:rPr>
          <w:sz w:val="20"/>
        </w:rPr>
        <w:t xml:space="preserve"> </w:t>
      </w:r>
      <w:r w:rsidRPr="005C7CCE">
        <w:rPr>
          <w:sz w:val="20"/>
        </w:rPr>
        <w:t xml:space="preserve"> La capacité de résistance en cas d</w:t>
      </w:r>
      <w:r w:rsidR="00A20444" w:rsidRPr="005C7CCE">
        <w:rPr>
          <w:sz w:val="20"/>
        </w:rPr>
        <w:t>’</w:t>
      </w:r>
      <w:r w:rsidRPr="005C7CCE">
        <w:rPr>
          <w:sz w:val="20"/>
        </w:rPr>
        <w:t>attaques extérieures, y compris en cas d</w:t>
      </w:r>
      <w:r w:rsidR="00A20444" w:rsidRPr="005C7CCE">
        <w:rPr>
          <w:sz w:val="20"/>
        </w:rPr>
        <w:t>’</w:t>
      </w:r>
      <w:r w:rsidRPr="005C7CCE">
        <w:rPr>
          <w:sz w:val="20"/>
        </w:rPr>
        <w:t>attaques par déni de service distribué, a été renforcée par le biais de l</w:t>
      </w:r>
      <w:r w:rsidR="00A20444" w:rsidRPr="005C7CCE">
        <w:rPr>
          <w:sz w:val="20"/>
        </w:rPr>
        <w:t>’</w:t>
      </w:r>
      <w:r w:rsidRPr="005C7CCE">
        <w:rPr>
          <w:sz w:val="20"/>
        </w:rPr>
        <w:t>adoption d</w:t>
      </w:r>
      <w:r w:rsidR="00A20444" w:rsidRPr="005C7CCE">
        <w:rPr>
          <w:sz w:val="20"/>
        </w:rPr>
        <w:t>’</w:t>
      </w:r>
      <w:r w:rsidRPr="005C7CCE">
        <w:rPr>
          <w:sz w:val="20"/>
        </w:rPr>
        <w:t>un réseau de distribution de contenus et grâce au déploiement de systèmes de contrôles technologiques.</w:t>
      </w:r>
    </w:p>
    <w:p w:rsidR="00D42474" w:rsidRDefault="00D42474" w:rsidP="001A5BF9">
      <w:pPr>
        <w:pStyle w:val="Test"/>
        <w:numPr>
          <w:ilvl w:val="0"/>
          <w:numId w:val="0"/>
        </w:numPr>
        <w:jc w:val="both"/>
        <w:rPr>
          <w:sz w:val="20"/>
          <w:szCs w:val="20"/>
        </w:rPr>
      </w:pPr>
    </w:p>
    <w:p w:rsidR="00D42474" w:rsidRDefault="00BB3F3E" w:rsidP="001A5BF9">
      <w:pPr>
        <w:jc w:val="both"/>
        <w:rPr>
          <w:rFonts w:eastAsia="Batang"/>
          <w:bCs/>
        </w:rPr>
      </w:pPr>
      <w:r w:rsidRPr="005C7CCE">
        <w:t>La mise en œuvre de la politique linguistique de l</w:t>
      </w:r>
      <w:r w:rsidR="00A20444" w:rsidRPr="005C7CCE">
        <w:t>’</w:t>
      </w:r>
      <w:r w:rsidRPr="005C7CCE">
        <w:t>OMPI, adoptée par les États membres lors des Assemblées de 2011 et initiée en 2012, s</w:t>
      </w:r>
      <w:r w:rsidR="00A20444" w:rsidRPr="005C7CCE">
        <w:t>’</w:t>
      </w:r>
      <w:r w:rsidRPr="005C7CCE">
        <w:t>est achevée à la fin de l</w:t>
      </w:r>
      <w:r w:rsidR="00A20444" w:rsidRPr="005C7CCE">
        <w:t>’</w:t>
      </w:r>
      <w:r w:rsidRPr="005C7CCE">
        <w:t xml:space="preserve">exercice biennal avec la couverture de six langues pour les documents des réunions de tous les </w:t>
      </w:r>
      <w:r w:rsidR="003133EE">
        <w:t>c</w:t>
      </w:r>
      <w:r w:rsidRPr="005C7CCE">
        <w:t>omités de l</w:t>
      </w:r>
      <w:r w:rsidR="00A20444" w:rsidRPr="005C7CCE">
        <w:t>’</w:t>
      </w:r>
      <w:r w:rsidRPr="005C7CCE">
        <w:t>OMPI et de la plupart des principaux organes.</w:t>
      </w:r>
    </w:p>
    <w:p w:rsidR="00D42474" w:rsidRDefault="00D42474" w:rsidP="001A5BF9">
      <w:pPr>
        <w:jc w:val="both"/>
        <w:rPr>
          <w:rFonts w:eastAsia="Batang"/>
          <w:bCs/>
        </w:rPr>
      </w:pPr>
    </w:p>
    <w:p w:rsidR="00D42474" w:rsidRDefault="00BB3F3E" w:rsidP="001A5BF9">
      <w:pPr>
        <w:jc w:val="both"/>
      </w:pPr>
      <w:r w:rsidRPr="00D74EB9">
        <w:t>Les travaux du projet de la nouvelle salle de conférence ont démarré à la mi</w:t>
      </w:r>
      <w:r w:rsidR="002D6F2A" w:rsidRPr="00D74EB9">
        <w:noBreakHyphen/>
      </w:r>
      <w:r w:rsidR="00A20444" w:rsidRPr="00D74EB9">
        <w:t>août 20</w:t>
      </w:r>
      <w:r w:rsidRPr="00D74EB9">
        <w:t>11, et les opérations d</w:t>
      </w:r>
      <w:r w:rsidR="00A20444" w:rsidRPr="00D74EB9">
        <w:t>’</w:t>
      </w:r>
      <w:r w:rsidRPr="00D74EB9">
        <w:t>excavation et de construction de la structure principale se sont poursuivies jusqu</w:t>
      </w:r>
      <w:r w:rsidR="00A20444" w:rsidRPr="00D74EB9">
        <w:t>’</w:t>
      </w:r>
      <w:r w:rsidRPr="00D74EB9">
        <w:t xml:space="preserve">à </w:t>
      </w:r>
      <w:proofErr w:type="spellStart"/>
      <w:r w:rsidRPr="00D74EB9">
        <w:t>mi</w:t>
      </w:r>
      <w:r w:rsidR="002D6F2A" w:rsidRPr="00D74EB9">
        <w:noBreakHyphen/>
      </w:r>
      <w:r w:rsidRPr="00D74EB9">
        <w:t>2011</w:t>
      </w:r>
      <w:proofErr w:type="spellEnd"/>
      <w:r w:rsidRPr="00D74EB9">
        <w:t>.</w:t>
      </w:r>
      <w:r w:rsidR="004F3E42" w:rsidRPr="00D74EB9">
        <w:t xml:space="preserve"> </w:t>
      </w:r>
      <w:r w:rsidR="0010442A" w:rsidRPr="00D74EB9">
        <w:t xml:space="preserve"> </w:t>
      </w:r>
      <w:r w:rsidRPr="00D74EB9">
        <w:t>Au cours des six</w:t>
      </w:r>
      <w:r w:rsidR="0010442A" w:rsidRPr="00D74EB9">
        <w:t> </w:t>
      </w:r>
      <w:r w:rsidRPr="00D74EB9">
        <w:t>premiers mois de</w:t>
      </w:r>
      <w:r w:rsidR="0010442A" w:rsidRPr="00D74EB9">
        <w:t> </w:t>
      </w:r>
      <w:r w:rsidRPr="00D74EB9">
        <w:t>2012, l</w:t>
      </w:r>
      <w:r w:rsidR="00A20444" w:rsidRPr="00D74EB9">
        <w:t>’</w:t>
      </w:r>
      <w:r w:rsidRPr="00D74EB9">
        <w:t>OMPI a pris part à des discussions de haut niveau avec l</w:t>
      </w:r>
      <w:r w:rsidR="00A20444" w:rsidRPr="00D74EB9">
        <w:t>’</w:t>
      </w:r>
      <w:r w:rsidRPr="00D74EB9">
        <w:t>entreprise générale, qui ont abouti à une séparation à l</w:t>
      </w:r>
      <w:r w:rsidR="00A20444" w:rsidRPr="00D74EB9">
        <w:t>’</w:t>
      </w:r>
      <w:r w:rsidRPr="00D74EB9">
        <w:t>amiable avec cette dernière.</w:t>
      </w:r>
      <w:r w:rsidR="004F3E42" w:rsidRPr="00D74EB9">
        <w:t xml:space="preserve"> </w:t>
      </w:r>
      <w:r w:rsidR="0010442A" w:rsidRPr="00D74EB9">
        <w:t xml:space="preserve"> </w:t>
      </w:r>
      <w:r w:rsidR="00E15133" w:rsidRPr="00D74EB9">
        <w:t>Au mois</w:t>
      </w:r>
      <w:r w:rsidRPr="00D74EB9">
        <w:t xml:space="preserve"> d</w:t>
      </w:r>
      <w:r w:rsidR="00A20444" w:rsidRPr="00D74EB9">
        <w:t>’</w:t>
      </w:r>
      <w:r w:rsidRPr="00D74EB9">
        <w:t>août 2012, le chantier est passé sous la responsabilité directe de l</w:t>
      </w:r>
      <w:r w:rsidR="00A20444" w:rsidRPr="00D74EB9">
        <w:t>’</w:t>
      </w:r>
      <w:r w:rsidRPr="00D74EB9">
        <w:t>OMPI.</w:t>
      </w:r>
      <w:r w:rsidR="0010442A" w:rsidRPr="00D74EB9">
        <w:t xml:space="preserve"> </w:t>
      </w:r>
      <w:r w:rsidRPr="00D74EB9">
        <w:t xml:space="preserve"> Par conséquent, un certain nombre de modifications ont été apportées à la structure de gouvernance et de gestion du projet, ainsi qu</w:t>
      </w:r>
      <w:r w:rsidR="00A20444" w:rsidRPr="00D74EB9">
        <w:t>’</w:t>
      </w:r>
      <w:r w:rsidRPr="00D74EB9">
        <w:t>au cadre contractuel, et des mandats supplémentaires ont été confiés à l</w:t>
      </w:r>
      <w:r w:rsidR="00A20444" w:rsidRPr="00D74EB9">
        <w:t>’</w:t>
      </w:r>
      <w:r w:rsidRPr="00D74EB9">
        <w:t>architecte</w:t>
      </w:r>
      <w:r w:rsidR="00830A0F" w:rsidRPr="00D74EB9">
        <w:t>, au pilote et aux bureaux d</w:t>
      </w:r>
      <w:r w:rsidR="00A20444" w:rsidRPr="00D74EB9">
        <w:t>’</w:t>
      </w:r>
      <w:r w:rsidR="00830A0F" w:rsidRPr="00D74EB9">
        <w:t xml:space="preserve">ingénieurs </w:t>
      </w:r>
      <w:r w:rsidRPr="00D74EB9">
        <w:t>afin de répartir tous les éléments relevant précédemment du mandat de l</w:t>
      </w:r>
      <w:r w:rsidR="00A20444" w:rsidRPr="00D74EB9">
        <w:t>’</w:t>
      </w:r>
      <w:r w:rsidRPr="00D74EB9">
        <w:t xml:space="preserve">entrepreneur </w:t>
      </w:r>
      <w:r w:rsidRPr="005C7CCE">
        <w:t xml:space="preserve">général. </w:t>
      </w:r>
      <w:r w:rsidR="0010442A" w:rsidRPr="005C7CCE">
        <w:t xml:space="preserve"> </w:t>
      </w:r>
      <w:r w:rsidRPr="005C7CCE">
        <w:t xml:space="preserve">La structure remaniée de gouvernance et de gestion du projet a apporté une plus grande souplesse et agilité, et a conduit à une amélioration des délais de réactivité. </w:t>
      </w:r>
      <w:r w:rsidR="0010442A" w:rsidRPr="005C7CCE">
        <w:t xml:space="preserve"> </w:t>
      </w:r>
      <w:r w:rsidR="00F34A22" w:rsidRPr="005C7CCE">
        <w:t>Les dispositions susvisées ont également facilité la gestion d</w:t>
      </w:r>
      <w:r w:rsidR="00A20444" w:rsidRPr="005C7CCE">
        <w:t>’</w:t>
      </w:r>
      <w:r w:rsidR="00F34A22" w:rsidRPr="005C7CCE">
        <w:t>un certain nombre de modifications et questions imprévues au titre du projet, identifiées lors de son exécution de manière dynamique et opportune.</w:t>
      </w:r>
      <w:r w:rsidR="004F3E42" w:rsidRPr="005C7CCE">
        <w:t xml:space="preserve"> </w:t>
      </w:r>
      <w:r w:rsidR="0010442A" w:rsidRPr="005C7CCE">
        <w:t xml:space="preserve"> </w:t>
      </w:r>
      <w:r w:rsidRPr="005C7CCE">
        <w:t>L</w:t>
      </w:r>
      <w:r w:rsidR="00A20444" w:rsidRPr="005C7CCE">
        <w:t>’</w:t>
      </w:r>
      <w:r w:rsidRPr="005C7CCE">
        <w:t>année 2013 a été marquée par la livraison et l</w:t>
      </w:r>
      <w:r w:rsidR="00A20444" w:rsidRPr="005C7CCE">
        <w:t>’</w:t>
      </w:r>
      <w:r w:rsidRPr="005C7CCE">
        <w:t>utilisation du sous</w:t>
      </w:r>
      <w:r w:rsidR="002D6F2A" w:rsidRPr="005C7CCE">
        <w:noBreakHyphen/>
      </w:r>
      <w:r w:rsidRPr="005C7CCE">
        <w:t>sol rénové du bâtiment AB depuis septembre et d</w:t>
      </w:r>
      <w:r w:rsidR="00A20444" w:rsidRPr="005C7CCE">
        <w:t>’</w:t>
      </w:r>
      <w:r w:rsidRPr="005C7CCE">
        <w:t>une nouvelle salle de réunion dans la mezzanine du bâtiment AB depuis octobre 2013.</w:t>
      </w:r>
    </w:p>
    <w:p w:rsidR="00D42474" w:rsidRDefault="00D42474" w:rsidP="001A5BF9">
      <w:pPr>
        <w:rPr>
          <w:rFonts w:cs="Arial"/>
          <w:b/>
          <w:bCs/>
          <w:iCs/>
          <w:szCs w:val="28"/>
        </w:rPr>
      </w:pPr>
    </w:p>
    <w:p w:rsidR="00D42474" w:rsidRDefault="00D42474" w:rsidP="001A5BF9">
      <w:pPr>
        <w:rPr>
          <w:b/>
          <w:iCs/>
        </w:rPr>
      </w:pPr>
    </w:p>
    <w:p w:rsidR="00D42474" w:rsidRDefault="00BB3F3E" w:rsidP="001A5BF9">
      <w:pPr>
        <w:rPr>
          <w:b/>
          <w:iCs/>
        </w:rPr>
      </w:pPr>
      <w:r w:rsidRPr="005C7CCE">
        <w:br w:type="page"/>
      </w:r>
    </w:p>
    <w:p w:rsidR="00D42474" w:rsidRDefault="00BB3F3E" w:rsidP="001A5BF9">
      <w:pPr>
        <w:jc w:val="both"/>
        <w:rPr>
          <w:b/>
        </w:rPr>
      </w:pPr>
      <w:r w:rsidRPr="00D74EB9">
        <w:rPr>
          <w:b/>
        </w:rPr>
        <w:t>Le Programme de réorientation stratégique (PRS)</w:t>
      </w:r>
    </w:p>
    <w:p w:rsidR="00D42474" w:rsidRDefault="00D42474" w:rsidP="001A5BF9">
      <w:pPr>
        <w:jc w:val="both"/>
        <w:rPr>
          <w:sz w:val="16"/>
          <w:szCs w:val="16"/>
        </w:rPr>
      </w:pPr>
    </w:p>
    <w:p w:rsidR="00D42474" w:rsidRDefault="00BB3F3E" w:rsidP="001A5BF9">
      <w:pPr>
        <w:jc w:val="both"/>
      </w:pPr>
      <w:r w:rsidRPr="00D74EB9">
        <w:t>Le programme de réorientation stratégique (PRS) a pris fin en tant que programme d</w:t>
      </w:r>
      <w:r w:rsidR="00A20444" w:rsidRPr="00D74EB9">
        <w:t>’</w:t>
      </w:r>
      <w:r w:rsidRPr="00D74EB9">
        <w:t xml:space="preserve">initiatives de réformes en décembre 2012. </w:t>
      </w:r>
      <w:r w:rsidR="0010442A" w:rsidRPr="00D74EB9">
        <w:t xml:space="preserve"> </w:t>
      </w:r>
      <w:r w:rsidRPr="00D74EB9">
        <w:t>Au cours de ces trois</w:t>
      </w:r>
      <w:r w:rsidR="0010442A" w:rsidRPr="00D74EB9">
        <w:t> </w:t>
      </w:r>
      <w:r w:rsidRPr="00D74EB9">
        <w:t>années, il a engendré un changement de culture et de valeurs de l</w:t>
      </w:r>
      <w:r w:rsidR="00A20444" w:rsidRPr="00D74EB9">
        <w:t>’</w:t>
      </w:r>
      <w:r w:rsidRPr="00D74EB9">
        <w:t>Organisation, ainsi qu</w:t>
      </w:r>
      <w:r w:rsidR="00A20444" w:rsidRPr="00D74EB9">
        <w:t>’</w:t>
      </w:r>
      <w:r w:rsidRPr="00D74EB9">
        <w:t>une amélioration de ses procédures de travail et un meilleur alignement de ses programmes, de sa structure et de ses ressources par rapport aux neuf</w:t>
      </w:r>
      <w:r w:rsidR="0010442A" w:rsidRPr="00D74EB9">
        <w:t> </w:t>
      </w:r>
      <w:r w:rsidRPr="00D74EB9">
        <w:t>objectifs stratégiques.</w:t>
      </w:r>
      <w:r w:rsidR="0010442A" w:rsidRPr="00D74EB9">
        <w:t xml:space="preserve"> </w:t>
      </w:r>
      <w:r w:rsidR="004F3E42" w:rsidRPr="00D74EB9">
        <w:t xml:space="preserve"> </w:t>
      </w:r>
      <w:r w:rsidRPr="00D74EB9">
        <w:t>Ces initiatives ont toutes contribué au renforcement des quatre valeurs essentielles de l</w:t>
      </w:r>
      <w:r w:rsidR="00A20444" w:rsidRPr="00D74EB9">
        <w:t>’</w:t>
      </w:r>
      <w:r w:rsidRPr="00D74EB9">
        <w:t>Organisation, comme l</w:t>
      </w:r>
      <w:r w:rsidR="00A20444" w:rsidRPr="00D74EB9">
        <w:t>’</w:t>
      </w:r>
      <w:r w:rsidRPr="00D74EB9">
        <w:t>indiquent les résultats de l</w:t>
      </w:r>
      <w:r w:rsidR="00A20444" w:rsidRPr="00D74EB9">
        <w:t>’</w:t>
      </w:r>
      <w:r w:rsidRPr="00D74EB9">
        <w:t>enquête sur les valeurs essentielles de la fin 2012.</w:t>
      </w:r>
    </w:p>
    <w:p w:rsidR="00D42474" w:rsidRDefault="00D42474" w:rsidP="001A5BF9">
      <w:pPr>
        <w:jc w:val="both"/>
      </w:pPr>
    </w:p>
    <w:p w:rsidR="00D42474" w:rsidRDefault="00BB3F3E" w:rsidP="001A5BF9">
      <w:pPr>
        <w:jc w:val="both"/>
      </w:pPr>
      <w:r w:rsidRPr="00D74EB9">
        <w:t>Afin de promouvoir l</w:t>
      </w:r>
      <w:r w:rsidR="00A20444" w:rsidRPr="00D74EB9">
        <w:t>’</w:t>
      </w:r>
      <w:r w:rsidRPr="00D74EB9">
        <w:t>orientation vers les services, valeur de l</w:t>
      </w:r>
      <w:r w:rsidR="00A20444" w:rsidRPr="00D74EB9">
        <w:t>’</w:t>
      </w:r>
      <w:r w:rsidRPr="00D74EB9">
        <w:t>Organisation, le personnel a été spécialement formé et de meilleurs systèmes ont été mis en place.</w:t>
      </w:r>
      <w:r w:rsidR="004F3E42" w:rsidRPr="00D74EB9">
        <w:t xml:space="preserve"> </w:t>
      </w:r>
      <w:r w:rsidR="0010442A" w:rsidRPr="00D74EB9">
        <w:t xml:space="preserve"> </w:t>
      </w:r>
      <w:r w:rsidRPr="00D74EB9">
        <w:t xml:space="preserve">En outre, des bureaux extérieurs ont été mobilisés pour assurer la fourniture de services améliorés </w:t>
      </w:r>
      <w:r w:rsidR="00BD43F2" w:rsidRPr="00D74EB9">
        <w:t>24 </w:t>
      </w:r>
      <w:r w:rsidRPr="00D74EB9">
        <w:t>heures sur 24.</w:t>
      </w:r>
      <w:r w:rsidR="004F3E42" w:rsidRPr="00D74EB9">
        <w:t xml:space="preserve"> </w:t>
      </w:r>
      <w:r w:rsidR="0010442A" w:rsidRPr="00D74EB9">
        <w:t xml:space="preserve"> </w:t>
      </w:r>
      <w:r w:rsidRPr="00D74EB9">
        <w:t>Les communications externes ont été fortement améliorées de plusieurs manières</w:t>
      </w:r>
      <w:r w:rsidR="0010442A" w:rsidRPr="00D74EB9">
        <w:t> </w:t>
      </w:r>
      <w:r w:rsidRPr="00D74EB9">
        <w:t>: les publications de l</w:t>
      </w:r>
      <w:r w:rsidR="00A20444" w:rsidRPr="00D74EB9">
        <w:t>’</w:t>
      </w:r>
      <w:r w:rsidRPr="00D74EB9">
        <w:t>OMPI ont été plus rapidement mises à disposition et dans un plus grand nombre de langues, et l</w:t>
      </w:r>
      <w:r w:rsidR="00A20444" w:rsidRPr="00D74EB9">
        <w:t>’</w:t>
      </w:r>
      <w:r w:rsidRPr="00D74EB9">
        <w:t xml:space="preserve">Organisation a renforcé sa visibilité dans les réseaux sociaux, notamment, en étant présente sur Twitter, Facebook, Flickr et </w:t>
      </w:r>
      <w:proofErr w:type="spellStart"/>
      <w:r w:rsidRPr="00D74EB9">
        <w:t>Scribd</w:t>
      </w:r>
      <w:proofErr w:type="spellEnd"/>
      <w:r w:rsidRPr="00D74EB9">
        <w:t>.</w:t>
      </w:r>
    </w:p>
    <w:p w:rsidR="00D42474" w:rsidRDefault="00D42474" w:rsidP="001A5BF9">
      <w:pPr>
        <w:jc w:val="both"/>
      </w:pPr>
    </w:p>
    <w:p w:rsidR="00D42474" w:rsidRDefault="00BB3F3E" w:rsidP="001A5BF9">
      <w:pPr>
        <w:jc w:val="both"/>
      </w:pPr>
      <w:r w:rsidRPr="00D74EB9">
        <w:t>De nombreuses initiatives ont contribué à améliorer “Le travail comme un tout”, autre valeur de l</w:t>
      </w:r>
      <w:r w:rsidR="00A20444" w:rsidRPr="00D74EB9">
        <w:t>’</w:t>
      </w:r>
      <w:r w:rsidRPr="00D74EB9">
        <w:t>Organisation.</w:t>
      </w:r>
      <w:r w:rsidR="004F3E42" w:rsidRPr="00D74EB9">
        <w:t xml:space="preserve"> </w:t>
      </w:r>
      <w:r w:rsidR="0010442A" w:rsidRPr="00D74EB9">
        <w:t xml:space="preserve"> </w:t>
      </w:r>
      <w:r w:rsidRPr="00D74EB9">
        <w:t>Il s</w:t>
      </w:r>
      <w:r w:rsidR="00A20444" w:rsidRPr="00D74EB9">
        <w:t>’</w:t>
      </w:r>
      <w:r w:rsidRPr="00D74EB9">
        <w:t>agit de l</w:t>
      </w:r>
      <w:r w:rsidR="00A20444" w:rsidRPr="00D74EB9">
        <w:t>’</w:t>
      </w:r>
      <w:r w:rsidRPr="00D74EB9">
        <w:t>utilisation plus stratégique de la technologie de l</w:t>
      </w:r>
      <w:r w:rsidR="00A20444" w:rsidRPr="00D74EB9">
        <w:t>’</w:t>
      </w:r>
      <w:r w:rsidRPr="00D74EB9">
        <w:t>information, de la modernisation du cadre réglementaire des ressources humaines, et du renforcement du partage des connaissances au sein de l</w:t>
      </w:r>
      <w:r w:rsidR="00A20444" w:rsidRPr="00D74EB9">
        <w:t>’</w:t>
      </w:r>
      <w:r w:rsidRPr="00D74EB9">
        <w:t>Organisation.</w:t>
      </w:r>
    </w:p>
    <w:p w:rsidR="00D42474" w:rsidRDefault="00D42474" w:rsidP="001A5BF9">
      <w:pPr>
        <w:jc w:val="both"/>
      </w:pPr>
    </w:p>
    <w:p w:rsidR="00D42474" w:rsidRDefault="00BB3F3E" w:rsidP="001A5BF9">
      <w:pPr>
        <w:jc w:val="both"/>
      </w:pPr>
      <w:r w:rsidRPr="00D74EB9">
        <w:t>Le cadre des résultats de l</w:t>
      </w:r>
      <w:r w:rsidR="00A20444" w:rsidRPr="00D74EB9">
        <w:t>’</w:t>
      </w:r>
      <w:r w:rsidRPr="00D74EB9">
        <w:t>OMPI se définit d</w:t>
      </w:r>
      <w:r w:rsidR="00A20444" w:rsidRPr="00D74EB9">
        <w:t>’</w:t>
      </w:r>
      <w:r w:rsidRPr="00D74EB9">
        <w:t>abord au niveau des objectifs stratégiques et se répercute dans tous les résultats escomptés de l</w:t>
      </w:r>
      <w:r w:rsidR="00A20444" w:rsidRPr="00D74EB9">
        <w:t>’</w:t>
      </w:r>
      <w:r w:rsidRPr="00D74EB9">
        <w:t>Organisation jusqu</w:t>
      </w:r>
      <w:r w:rsidR="00A20444" w:rsidRPr="00D74EB9">
        <w:t>’</w:t>
      </w:r>
      <w:r w:rsidRPr="00D74EB9">
        <w:t>aux objectifs de travail individuels, ce qui s</w:t>
      </w:r>
      <w:r w:rsidR="00A20444" w:rsidRPr="00D74EB9">
        <w:t>’</w:t>
      </w:r>
      <w:r w:rsidRPr="00D74EB9">
        <w:t>est traduit par l</w:t>
      </w:r>
      <w:r w:rsidR="00A20444" w:rsidRPr="00D74EB9">
        <w:t>’</w:t>
      </w:r>
      <w:r w:rsidRPr="00D74EB9">
        <w:t>amélioration de la responsabilisation au service des résultats, autre valeur de l</w:t>
      </w:r>
      <w:r w:rsidR="00A20444" w:rsidRPr="00D74EB9">
        <w:t>’</w:t>
      </w:r>
      <w:r w:rsidRPr="00D74EB9">
        <w:t>Organisation.</w:t>
      </w:r>
      <w:r w:rsidR="004F3E42" w:rsidRPr="00D74EB9">
        <w:t xml:space="preserve"> </w:t>
      </w:r>
      <w:r w:rsidR="0010442A" w:rsidRPr="00D74EB9">
        <w:t xml:space="preserve"> </w:t>
      </w:r>
      <w:r w:rsidRPr="00D74EB9">
        <w:t>Fin 2012, la gestion des risques a été intégrée aux processus de planification des activités des exercices annuels et biennaux.</w:t>
      </w:r>
    </w:p>
    <w:p w:rsidR="00D42474" w:rsidRDefault="00D42474" w:rsidP="001A5BF9">
      <w:pPr>
        <w:jc w:val="both"/>
      </w:pPr>
    </w:p>
    <w:p w:rsidR="00D42474" w:rsidRDefault="00BB3F3E" w:rsidP="001A5BF9">
      <w:pPr>
        <w:jc w:val="both"/>
      </w:pPr>
      <w:r w:rsidRPr="00D74EB9">
        <w:t>Dans le but d</w:t>
      </w:r>
      <w:r w:rsidR="00A20444" w:rsidRPr="00D74EB9">
        <w:t>’</w:t>
      </w:r>
      <w:r w:rsidRPr="00D74EB9">
        <w:t>améliorer la responsabilité sur les plans environnemental et social, et en termes de gouvernance, un code de déontologie et une politique de dénonciation des abus ont été élaborés.</w:t>
      </w:r>
      <w:r w:rsidR="004F3E42" w:rsidRPr="00D74EB9">
        <w:t xml:space="preserve"> </w:t>
      </w:r>
      <w:r w:rsidR="0010442A" w:rsidRPr="00D74EB9">
        <w:t xml:space="preserve"> </w:t>
      </w:r>
      <w:r w:rsidRPr="00D74EB9">
        <w:t>Des mesures ont également été prises afin de réduire l</w:t>
      </w:r>
      <w:r w:rsidR="00A20444" w:rsidRPr="00D74EB9">
        <w:t>’</w:t>
      </w:r>
      <w:r w:rsidRPr="00D74EB9">
        <w:t>empreinte carbone de l</w:t>
      </w:r>
      <w:r w:rsidR="00A20444" w:rsidRPr="00D74EB9">
        <w:t>’</w:t>
      </w:r>
      <w:r w:rsidRPr="00D74EB9">
        <w:t>Organisation, et de faciliter l</w:t>
      </w:r>
      <w:r w:rsidR="00A20444" w:rsidRPr="00D74EB9">
        <w:t>’</w:t>
      </w:r>
      <w:r w:rsidRPr="00D74EB9">
        <w:t>accès au campus et aux services pour tous de l</w:t>
      </w:r>
      <w:r w:rsidR="00A20444" w:rsidRPr="00D74EB9">
        <w:t>’</w:t>
      </w:r>
      <w:r w:rsidRPr="00D74EB9">
        <w:t>OMPI.</w:t>
      </w:r>
    </w:p>
    <w:p w:rsidR="00D42474" w:rsidRDefault="00D42474" w:rsidP="001A5BF9">
      <w:pPr>
        <w:jc w:val="both"/>
      </w:pPr>
    </w:p>
    <w:p w:rsidR="00D42474" w:rsidRDefault="00BB3F3E" w:rsidP="001A5BF9">
      <w:pPr>
        <w:jc w:val="both"/>
      </w:pPr>
      <w:r w:rsidRPr="00D74EB9">
        <w:t>En 2013, l</w:t>
      </w:r>
      <w:r w:rsidR="00A20444" w:rsidRPr="00D74EB9">
        <w:t>’</w:t>
      </w:r>
      <w:r w:rsidRPr="00D74EB9">
        <w:t>Organisation est entrée dans une phase “d</w:t>
      </w:r>
      <w:r w:rsidR="00A20444" w:rsidRPr="00D74EB9">
        <w:t>’</w:t>
      </w:r>
      <w:r w:rsidRPr="00D74EB9">
        <w:t>amélioration régulière” afin d</w:t>
      </w:r>
      <w:r w:rsidR="00A20444" w:rsidRPr="00D74EB9">
        <w:t>’</w:t>
      </w:r>
      <w:r w:rsidRPr="00D74EB9">
        <w:t>assurer la durabilité et de tirer parti des réalisations</w:t>
      </w:r>
      <w:r w:rsidR="00A20444" w:rsidRPr="00D74EB9">
        <w:t xml:space="preserve"> du PRS</w:t>
      </w:r>
      <w:r w:rsidRPr="00D74EB9">
        <w:t xml:space="preserve">. </w:t>
      </w:r>
      <w:r w:rsidR="0010442A" w:rsidRPr="00D74EB9">
        <w:t xml:space="preserve"> </w:t>
      </w:r>
      <w:r w:rsidRPr="00D74EB9">
        <w:t>Au moment de la rédaction du présent rapport, le Secrétariat est en possession de l</w:t>
      </w:r>
      <w:r w:rsidR="00A20444" w:rsidRPr="00D74EB9">
        <w:t>’</w:t>
      </w:r>
      <w:r w:rsidRPr="00D74EB9">
        <w:t>Examen de la gestion et de l</w:t>
      </w:r>
      <w:r w:rsidR="00A20444" w:rsidRPr="00D74EB9">
        <w:t>’</w:t>
      </w:r>
      <w:r w:rsidRPr="00D74EB9">
        <w:t>administration de l</w:t>
      </w:r>
      <w:r w:rsidR="00A20444" w:rsidRPr="00D74EB9">
        <w:t>’</w:t>
      </w:r>
      <w:r w:rsidRPr="00D74EB9">
        <w:t>OMPI du Corps commun d</w:t>
      </w:r>
      <w:r w:rsidR="00A20444" w:rsidRPr="00D74EB9">
        <w:t>’</w:t>
      </w:r>
      <w:r w:rsidRPr="00D74EB9">
        <w:t xml:space="preserve">inspection (CCI). </w:t>
      </w:r>
      <w:r w:rsidR="0010442A" w:rsidRPr="00D74EB9">
        <w:t xml:space="preserve"> </w:t>
      </w:r>
      <w:r w:rsidRPr="00D74EB9">
        <w:t>La mise en œuvre des principales recommandations de cet examen contribuera à tirer parti des bénéfices procurés par le programme de réorientation stratégique et sera pleinement intégrée dans les travaux de l</w:t>
      </w:r>
      <w:r w:rsidR="00A20444" w:rsidRPr="00D74EB9">
        <w:t>’</w:t>
      </w:r>
      <w:r w:rsidRPr="00D74EB9">
        <w:t>exercice biennal en cours.</w:t>
      </w:r>
    </w:p>
    <w:p w:rsidR="00D42474" w:rsidRDefault="00D42474" w:rsidP="001A5BF9">
      <w:pPr>
        <w:rPr>
          <w:rFonts w:cs="Arial"/>
          <w:b/>
          <w:bCs/>
          <w:iCs/>
          <w:szCs w:val="28"/>
        </w:rPr>
      </w:pPr>
    </w:p>
    <w:p w:rsidR="00D42474" w:rsidRDefault="00BB3F3E" w:rsidP="001A5BF9">
      <w:pPr>
        <w:rPr>
          <w:rFonts w:ascii="Arial Bold" w:hAnsi="Arial Bold"/>
          <w:b/>
          <w:bCs/>
          <w:caps/>
          <w:szCs w:val="28"/>
        </w:rPr>
      </w:pPr>
      <w:r w:rsidRPr="005C7CCE">
        <w:br w:type="page"/>
      </w:r>
    </w:p>
    <w:p w:rsidR="00D42474" w:rsidRDefault="00D42474" w:rsidP="001A5BF9">
      <w:pPr>
        <w:pStyle w:val="Heading4"/>
      </w:pPr>
    </w:p>
    <w:p w:rsidR="00D42474" w:rsidRDefault="00BB3F3E" w:rsidP="007B0500">
      <w:pPr>
        <w:pStyle w:val="Heading1"/>
      </w:pPr>
      <w:bookmarkStart w:id="5" w:name="_Toc395082458"/>
      <w:r w:rsidRPr="005C7CCE">
        <w:t>BUDGET CONSOLIDÉ ET DÉPENSES RÉELLES POUR 2012</w:t>
      </w:r>
      <w:r w:rsidR="002D6F2A" w:rsidRPr="005C7CCE">
        <w:noBreakHyphen/>
      </w:r>
      <w:r w:rsidRPr="005C7CCE">
        <w:t>2013</w:t>
      </w:r>
      <w:bookmarkEnd w:id="5"/>
    </w:p>
    <w:p w:rsidR="00D42474" w:rsidRDefault="00D42474" w:rsidP="001A5BF9">
      <w:pPr>
        <w:jc w:val="center"/>
        <w:rPr>
          <w:b/>
        </w:rPr>
      </w:pPr>
    </w:p>
    <w:p w:rsidR="00D42474" w:rsidRDefault="00BB3F3E" w:rsidP="001A5BF9">
      <w:pPr>
        <w:jc w:val="center"/>
        <w:rPr>
          <w:b/>
          <w:sz w:val="18"/>
          <w:szCs w:val="18"/>
        </w:rPr>
      </w:pPr>
      <w:r w:rsidRPr="005C7CCE">
        <w:rPr>
          <w:b/>
          <w:sz w:val="18"/>
        </w:rPr>
        <w:t>Tableau 1 : Résumé par programme pour 2012</w:t>
      </w:r>
      <w:r w:rsidR="002D6F2A" w:rsidRPr="005C7CCE">
        <w:rPr>
          <w:b/>
          <w:sz w:val="18"/>
        </w:rPr>
        <w:noBreakHyphen/>
      </w:r>
      <w:r w:rsidRPr="005C7CCE">
        <w:rPr>
          <w:b/>
          <w:sz w:val="18"/>
        </w:rPr>
        <w:t>2013</w:t>
      </w:r>
    </w:p>
    <w:p w:rsidR="00D42474" w:rsidRDefault="00BB3F3E" w:rsidP="001A5BF9">
      <w:pPr>
        <w:jc w:val="center"/>
        <w:rPr>
          <w:i/>
          <w:sz w:val="18"/>
          <w:szCs w:val="18"/>
        </w:rPr>
      </w:pPr>
      <w:r w:rsidRPr="00CE6E2B">
        <w:rPr>
          <w:i/>
          <w:sz w:val="18"/>
        </w:rPr>
        <w:t>(</w:t>
      </w:r>
      <w:proofErr w:type="gramStart"/>
      <w:r w:rsidRPr="00CE6E2B">
        <w:rPr>
          <w:i/>
          <w:sz w:val="18"/>
        </w:rPr>
        <w:t>en</w:t>
      </w:r>
      <w:proofErr w:type="gramEnd"/>
      <w:r w:rsidRPr="00CE6E2B">
        <w:rPr>
          <w:i/>
          <w:sz w:val="18"/>
        </w:rPr>
        <w:t xml:space="preserve"> milliers de francs suisses)</w:t>
      </w:r>
    </w:p>
    <w:p w:rsidR="00D42474" w:rsidRDefault="00D42474" w:rsidP="001A5BF9">
      <w:pPr>
        <w:pStyle w:val="Caption"/>
        <w:keepNext/>
        <w:jc w:val="center"/>
      </w:pPr>
    </w:p>
    <w:p w:rsidR="00D42474" w:rsidRDefault="004D2DC5" w:rsidP="001A5BF9">
      <w:r w:rsidRPr="004D2DC5">
        <w:rPr>
          <w:noProof/>
        </w:rPr>
        <w:drawing>
          <wp:inline distT="0" distB="0" distL="0" distR="0" wp14:anchorId="7DD50C62" wp14:editId="714902A9">
            <wp:extent cx="5940425" cy="628016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6280164"/>
                    </a:xfrm>
                    <a:prstGeom prst="rect">
                      <a:avLst/>
                    </a:prstGeom>
                    <a:noFill/>
                    <a:ln>
                      <a:noFill/>
                    </a:ln>
                  </pic:spPr>
                </pic:pic>
              </a:graphicData>
            </a:graphic>
          </wp:inline>
        </w:drawing>
      </w:r>
    </w:p>
    <w:p w:rsidR="00D42474" w:rsidRDefault="00BB3F3E" w:rsidP="001A5BF9">
      <w:pPr>
        <w:rPr>
          <w:rFonts w:ascii="Arial Bold" w:hAnsi="Arial Bold" w:cs="Arial"/>
          <w:b/>
          <w:bCs/>
          <w:iCs/>
          <w:caps/>
          <w:szCs w:val="28"/>
        </w:rPr>
      </w:pPr>
      <w:r w:rsidRPr="005C7CCE">
        <w:br w:type="page"/>
      </w:r>
    </w:p>
    <w:p w:rsidR="00D42474" w:rsidRDefault="00BB3F3E" w:rsidP="001A5BF9">
      <w:pPr>
        <w:jc w:val="center"/>
        <w:rPr>
          <w:b/>
          <w:sz w:val="18"/>
          <w:szCs w:val="18"/>
        </w:rPr>
      </w:pPr>
      <w:r w:rsidRPr="005C7CCE">
        <w:rPr>
          <w:b/>
          <w:sz w:val="18"/>
        </w:rPr>
        <w:t>Tableau 2 : Résumé par résultat escompté pour 2012</w:t>
      </w:r>
      <w:r w:rsidR="002D6F2A" w:rsidRPr="005C7CCE">
        <w:rPr>
          <w:b/>
          <w:sz w:val="18"/>
        </w:rPr>
        <w:noBreakHyphen/>
      </w:r>
      <w:r w:rsidRPr="005C7CCE">
        <w:rPr>
          <w:b/>
          <w:sz w:val="18"/>
        </w:rPr>
        <w:t>2013</w:t>
      </w:r>
    </w:p>
    <w:p w:rsidR="00D42474" w:rsidRDefault="00BB3F3E" w:rsidP="001A5BF9">
      <w:pPr>
        <w:jc w:val="center"/>
        <w:rPr>
          <w:i/>
          <w:sz w:val="18"/>
        </w:rPr>
      </w:pPr>
      <w:r w:rsidRPr="004D2DC5">
        <w:rPr>
          <w:i/>
          <w:sz w:val="18"/>
        </w:rPr>
        <w:t>(</w:t>
      </w:r>
      <w:proofErr w:type="gramStart"/>
      <w:r w:rsidRPr="004D2DC5">
        <w:rPr>
          <w:i/>
          <w:sz w:val="18"/>
        </w:rPr>
        <w:t>en</w:t>
      </w:r>
      <w:proofErr w:type="gramEnd"/>
      <w:r w:rsidRPr="004D2DC5">
        <w:rPr>
          <w:i/>
          <w:sz w:val="18"/>
        </w:rPr>
        <w:t xml:space="preserve"> milliers de francs suisses)</w:t>
      </w:r>
    </w:p>
    <w:p w:rsidR="00D42474" w:rsidRDefault="00D42474" w:rsidP="001A5BF9">
      <w:pPr>
        <w:jc w:val="center"/>
        <w:rPr>
          <w:b/>
          <w:sz w:val="16"/>
          <w:szCs w:val="16"/>
        </w:rPr>
      </w:pPr>
    </w:p>
    <w:p w:rsidR="00D42474" w:rsidRDefault="004D2DC5" w:rsidP="001A5BF9">
      <w:pPr>
        <w:jc w:val="center"/>
        <w:rPr>
          <w:b/>
          <w:sz w:val="16"/>
          <w:szCs w:val="16"/>
        </w:rPr>
      </w:pPr>
      <w:r w:rsidRPr="004D2DC5">
        <w:rPr>
          <w:noProof/>
        </w:rPr>
        <w:drawing>
          <wp:inline distT="0" distB="0" distL="0" distR="0" wp14:anchorId="18F7FF5D" wp14:editId="7D0C50E6">
            <wp:extent cx="5940425" cy="7882554"/>
            <wp:effectExtent l="0" t="0" r="317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7882554"/>
                    </a:xfrm>
                    <a:prstGeom prst="rect">
                      <a:avLst/>
                    </a:prstGeom>
                    <a:noFill/>
                    <a:ln>
                      <a:noFill/>
                    </a:ln>
                  </pic:spPr>
                </pic:pic>
              </a:graphicData>
            </a:graphic>
          </wp:inline>
        </w:drawing>
      </w:r>
    </w:p>
    <w:p w:rsidR="00D42474" w:rsidRDefault="00D42474" w:rsidP="001A5BF9">
      <w:pPr>
        <w:jc w:val="center"/>
        <w:rPr>
          <w:b/>
          <w:sz w:val="16"/>
          <w:szCs w:val="16"/>
        </w:rPr>
      </w:pPr>
    </w:p>
    <w:p w:rsidR="00D42474" w:rsidRDefault="00BB3F3E" w:rsidP="001A5BF9">
      <w:pPr>
        <w:rPr>
          <w:b/>
          <w:sz w:val="16"/>
          <w:szCs w:val="16"/>
        </w:rPr>
      </w:pPr>
      <w:r w:rsidRPr="005C7CCE">
        <w:br w:type="page"/>
      </w:r>
    </w:p>
    <w:p w:rsidR="00D42474" w:rsidRDefault="004D2DC5" w:rsidP="004D2DC5">
      <w:pPr>
        <w:jc w:val="center"/>
      </w:pPr>
      <w:r w:rsidRPr="004D2DC5">
        <w:rPr>
          <w:noProof/>
        </w:rPr>
        <w:drawing>
          <wp:inline distT="0" distB="0" distL="0" distR="0" wp14:anchorId="5C8877A5" wp14:editId="7A62EAF3">
            <wp:extent cx="5940425" cy="8681816"/>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8681816"/>
                    </a:xfrm>
                    <a:prstGeom prst="rect">
                      <a:avLst/>
                    </a:prstGeom>
                    <a:noFill/>
                    <a:ln>
                      <a:noFill/>
                    </a:ln>
                  </pic:spPr>
                </pic:pic>
              </a:graphicData>
            </a:graphic>
          </wp:inline>
        </w:drawing>
      </w:r>
    </w:p>
    <w:p w:rsidR="00D42474" w:rsidRDefault="00BB3F3E" w:rsidP="001A5BF9">
      <w:pPr>
        <w:rPr>
          <w:rFonts w:ascii="Arial Bold" w:hAnsi="Arial Bold"/>
          <w:b/>
          <w:bCs/>
          <w:caps/>
          <w:szCs w:val="28"/>
        </w:rPr>
      </w:pPr>
      <w:r w:rsidRPr="005C7CCE">
        <w:br w:type="page"/>
      </w:r>
    </w:p>
    <w:p w:rsidR="00D42474" w:rsidRDefault="00BB3F3E" w:rsidP="007B0500">
      <w:pPr>
        <w:pStyle w:val="Heading1"/>
      </w:pPr>
      <w:bookmarkStart w:id="6" w:name="_Toc395082459"/>
      <w:r w:rsidRPr="005C7CCE">
        <w:t>RAPPORT SUR L</w:t>
      </w:r>
      <w:r w:rsidR="00A20444" w:rsidRPr="005C7CCE">
        <w:t>’</w:t>
      </w:r>
      <w:r w:rsidRPr="005C7CCE">
        <w:t>ÉVOLUTION DES DÉPENSES POUR 2012</w:t>
      </w:r>
      <w:r w:rsidR="002D6F2A" w:rsidRPr="005C7CCE">
        <w:noBreakHyphen/>
      </w:r>
      <w:r w:rsidRPr="005C7CCE">
        <w:t>2013</w:t>
      </w:r>
      <w:bookmarkEnd w:id="6"/>
    </w:p>
    <w:p w:rsidR="00D42474" w:rsidRDefault="00D42474" w:rsidP="001A5BF9">
      <w:pPr>
        <w:keepNext/>
        <w:rPr>
          <w:rFonts w:cs="Arial"/>
          <w:u w:val="single"/>
        </w:rPr>
      </w:pPr>
    </w:p>
    <w:p w:rsidR="00D42474" w:rsidRDefault="00D42474" w:rsidP="001A5BF9">
      <w:pPr>
        <w:autoSpaceDE w:val="0"/>
        <w:autoSpaceDN w:val="0"/>
        <w:adjustRightInd w:val="0"/>
        <w:jc w:val="both"/>
        <w:rPr>
          <w:rFonts w:cs="Arial"/>
        </w:rPr>
      </w:pPr>
    </w:p>
    <w:p w:rsidR="00D42474" w:rsidRDefault="00BB3F3E" w:rsidP="001A5BF9">
      <w:pPr>
        <w:autoSpaceDE w:val="0"/>
        <w:autoSpaceDN w:val="0"/>
        <w:adjustRightInd w:val="0"/>
        <w:jc w:val="both"/>
      </w:pPr>
      <w:r w:rsidRPr="00A9776E">
        <w:t>Le programme et budget pour 2012</w:t>
      </w:r>
      <w:r w:rsidR="002D6F2A" w:rsidRPr="00A9776E">
        <w:noBreakHyphen/>
      </w:r>
      <w:r w:rsidRPr="00A9776E">
        <w:t>2013 (</w:t>
      </w:r>
      <w:r w:rsidR="003133EE" w:rsidRPr="00A9776E">
        <w:t>t</w:t>
      </w:r>
      <w:r w:rsidRPr="00A9776E">
        <w:t>ableau 9) propose une estimation de l</w:t>
      </w:r>
      <w:r w:rsidR="00A20444" w:rsidRPr="00A9776E">
        <w:t>’</w:t>
      </w:r>
      <w:r w:rsidRPr="00A9776E">
        <w:t>évolution des dépenses pour l</w:t>
      </w:r>
      <w:r w:rsidR="00A20444" w:rsidRPr="00A9776E">
        <w:t>’</w:t>
      </w:r>
      <w:r w:rsidRPr="00A9776E">
        <w:t>exercice biennal 2012</w:t>
      </w:r>
      <w:r w:rsidR="002D6F2A" w:rsidRPr="00A9776E">
        <w:noBreakHyphen/>
      </w:r>
      <w:r w:rsidRPr="00A9776E">
        <w:t>2013 par programme (programme et budget pour 2012</w:t>
      </w:r>
      <w:r w:rsidR="002D6F2A" w:rsidRPr="00A9776E">
        <w:noBreakHyphen/>
      </w:r>
      <w:r w:rsidRPr="00A9776E">
        <w:t>2013 par programme (programme et budget 2012</w:t>
      </w:r>
      <w:r w:rsidR="002D6F2A" w:rsidRPr="00A9776E">
        <w:noBreakHyphen/>
      </w:r>
      <w:r w:rsidRPr="00A9776E">
        <w:t xml:space="preserve">2013, </w:t>
      </w:r>
      <w:r w:rsidR="003133EE" w:rsidRPr="00A9776E">
        <w:t>t</w:t>
      </w:r>
      <w:r w:rsidRPr="00A9776E">
        <w:t>ableau 9) et par résultat escompté (</w:t>
      </w:r>
      <w:r w:rsidR="003133EE" w:rsidRPr="00A9776E">
        <w:t>t</w:t>
      </w:r>
      <w:r w:rsidRPr="00A9776E">
        <w:t>ableau du cadre de résultats page 12 (version anglaise) dans le programme et budget 2012</w:t>
      </w:r>
      <w:r w:rsidR="002D6F2A" w:rsidRPr="00A9776E">
        <w:noBreakHyphen/>
      </w:r>
      <w:r w:rsidRPr="00A9776E">
        <w:t xml:space="preserve">2013). </w:t>
      </w:r>
      <w:r w:rsidR="0010442A" w:rsidRPr="00A9776E">
        <w:t xml:space="preserve"> </w:t>
      </w:r>
      <w:r w:rsidRPr="00A9776E">
        <w:t>Ces ressources sont qualifiées de dépenses consacrées au développement uniquement lorsque le bénéficiaire est un pays en développement, et des ressources équivalentes ne sont pas disponibles pour des pays développés.</w:t>
      </w:r>
      <w:r w:rsidR="004F3E42" w:rsidRPr="00A9776E">
        <w:t xml:space="preserve"> </w:t>
      </w:r>
      <w:r w:rsidR="0010442A" w:rsidRPr="00A9776E">
        <w:t xml:space="preserve"> </w:t>
      </w:r>
      <w:r w:rsidRPr="00A9776E">
        <w:t>Les montants indiqués ne tiennent pas compte des réductions de taxes accordées aux déposants de pays en développement dans le cadre des systèmes d</w:t>
      </w:r>
      <w:r w:rsidR="00A20444" w:rsidRPr="00A9776E">
        <w:t>’</w:t>
      </w:r>
      <w:r w:rsidRPr="00A9776E">
        <w:t>enregistrement international</w:t>
      </w:r>
      <w:r w:rsidRPr="00A9776E">
        <w:rPr>
          <w:rStyle w:val="FootnoteReference"/>
        </w:rPr>
        <w:footnoteReference w:id="2"/>
      </w:r>
      <w:r w:rsidRPr="00A9776E">
        <w:t>.</w:t>
      </w:r>
    </w:p>
    <w:p w:rsidR="00D42474" w:rsidRDefault="00D42474" w:rsidP="001A5BF9">
      <w:pPr>
        <w:autoSpaceDE w:val="0"/>
        <w:autoSpaceDN w:val="0"/>
        <w:adjustRightInd w:val="0"/>
        <w:jc w:val="both"/>
        <w:rPr>
          <w:rFonts w:eastAsia="MS Mincho" w:cs="Arial"/>
          <w:szCs w:val="20"/>
          <w:lang w:bidi="th-TH"/>
        </w:rPr>
      </w:pPr>
    </w:p>
    <w:p w:rsidR="00D42474" w:rsidRDefault="00BB3F3E" w:rsidP="001A5BF9">
      <w:pPr>
        <w:autoSpaceDE w:val="0"/>
        <w:autoSpaceDN w:val="0"/>
        <w:adjustRightInd w:val="0"/>
        <w:jc w:val="both"/>
      </w:pPr>
      <w:r w:rsidRPr="00A9776E">
        <w:t>L</w:t>
      </w:r>
      <w:r w:rsidR="00A20444" w:rsidRPr="00A9776E">
        <w:t>’</w:t>
      </w:r>
      <w:r w:rsidRPr="00A9776E">
        <w:t>objet de cette annexe est de rendre compte de l</w:t>
      </w:r>
      <w:r w:rsidR="00A20444" w:rsidRPr="00A9776E">
        <w:t>’</w:t>
      </w:r>
      <w:r w:rsidRPr="00A9776E">
        <w:t>évolution des dépenses réelles au cours de l</w:t>
      </w:r>
      <w:r w:rsidR="00A20444" w:rsidRPr="00A9776E">
        <w:t>’</w:t>
      </w:r>
      <w:r w:rsidRPr="00A9776E">
        <w:t>exercice biennal 2012</w:t>
      </w:r>
      <w:r w:rsidR="002D6F2A" w:rsidRPr="00A9776E">
        <w:noBreakHyphen/>
      </w:r>
      <w:r w:rsidRPr="00A9776E">
        <w:t>2013.</w:t>
      </w:r>
    </w:p>
    <w:p w:rsidR="00D42474" w:rsidRDefault="00D42474" w:rsidP="001A5BF9">
      <w:pPr>
        <w:autoSpaceDE w:val="0"/>
        <w:autoSpaceDN w:val="0"/>
        <w:adjustRightInd w:val="0"/>
        <w:jc w:val="both"/>
        <w:rPr>
          <w:rFonts w:cs="Arial"/>
        </w:rPr>
      </w:pPr>
    </w:p>
    <w:p w:rsidR="00D42474" w:rsidRDefault="00BB3F3E" w:rsidP="001A5BF9">
      <w:pPr>
        <w:autoSpaceDE w:val="0"/>
        <w:autoSpaceDN w:val="0"/>
        <w:adjustRightInd w:val="0"/>
        <w:jc w:val="both"/>
        <w:rPr>
          <w:rFonts w:cs="Arial"/>
        </w:rPr>
      </w:pPr>
      <w:r w:rsidRPr="00A9776E">
        <w:t>Il convient de rappeler qu</w:t>
      </w:r>
      <w:r w:rsidR="00A20444" w:rsidRPr="00A9776E">
        <w:t>’</w:t>
      </w:r>
      <w:r w:rsidRPr="00A9776E">
        <w:t>une estimation détaillée des dépenses de développement a été introduite pour la première fois dans le programme et le budget révisés de l</w:t>
      </w:r>
      <w:r w:rsidR="00A20444" w:rsidRPr="00A9776E">
        <w:t>’</w:t>
      </w:r>
      <w:r w:rsidRPr="00A9776E">
        <w:t>exercice 2008</w:t>
      </w:r>
      <w:r w:rsidR="002D6F2A" w:rsidRPr="00A9776E">
        <w:noBreakHyphen/>
      </w:r>
      <w:r w:rsidRPr="00A9776E">
        <w:t>2009.</w:t>
      </w:r>
      <w:r w:rsidR="004F3E42" w:rsidRPr="00A9776E">
        <w:t xml:space="preserve"> </w:t>
      </w:r>
      <w:r w:rsidR="0010442A" w:rsidRPr="00A9776E">
        <w:t xml:space="preserve"> </w:t>
      </w:r>
      <w:r w:rsidRPr="00A9776E">
        <w:t>Au cours des derniers exercices biennaux, le Secrétariat a continué à affiner la méthodologie d</w:t>
      </w:r>
      <w:r w:rsidR="00A20444" w:rsidRPr="00A9776E">
        <w:t>’</w:t>
      </w:r>
      <w:r w:rsidRPr="00A9776E">
        <w:t>estimation des dépenses de développement et s</w:t>
      </w:r>
      <w:r w:rsidR="00A20444" w:rsidRPr="00A9776E">
        <w:t>’</w:t>
      </w:r>
      <w:r w:rsidRPr="00A9776E">
        <w:t>est attaché à mettre au point des mécanismes adaptés de suivi des dépenses.</w:t>
      </w:r>
      <w:r w:rsidR="004F3E42" w:rsidRPr="00A9776E">
        <w:t xml:space="preserve"> </w:t>
      </w:r>
      <w:r w:rsidR="0010442A" w:rsidRPr="00A9776E">
        <w:t xml:space="preserve"> </w:t>
      </w:r>
      <w:r w:rsidRPr="00A9776E">
        <w:t>La méthodologie élaborée pour 2010</w:t>
      </w:r>
      <w:r w:rsidR="002D6F2A" w:rsidRPr="00A9776E">
        <w:noBreakHyphen/>
      </w:r>
      <w:r w:rsidRPr="00A9776E">
        <w:t>2011 était, comme pour l</w:t>
      </w:r>
      <w:r w:rsidR="00A20444" w:rsidRPr="00A9776E">
        <w:t>’</w:t>
      </w:r>
      <w:r w:rsidRPr="00A9776E">
        <w:t>exercice 2008</w:t>
      </w:r>
      <w:r w:rsidR="002D6F2A" w:rsidRPr="00A9776E">
        <w:noBreakHyphen/>
      </w:r>
      <w:r w:rsidRPr="00A9776E">
        <w:t>2009, basée sur des estimations élevées au titre du programme, alors que la méthode a été considérablement améliorée pour le programme et budget 2012</w:t>
      </w:r>
      <w:r w:rsidR="002D6F2A" w:rsidRPr="00A9776E">
        <w:noBreakHyphen/>
      </w:r>
      <w:r w:rsidRPr="00A9776E">
        <w:t>2013, en s</w:t>
      </w:r>
      <w:r w:rsidR="00A20444" w:rsidRPr="00A9776E">
        <w:t>’</w:t>
      </w:r>
      <w:r w:rsidRPr="00A9776E">
        <w:t>appuyant sur une stratégie ascendante par niveaux d</w:t>
      </w:r>
      <w:r w:rsidR="00A20444" w:rsidRPr="00A9776E">
        <w:t>’</w:t>
      </w:r>
      <w:r w:rsidRPr="00A9776E">
        <w:t xml:space="preserve">activité. </w:t>
      </w:r>
      <w:r w:rsidR="0010442A" w:rsidRPr="00A9776E">
        <w:t xml:space="preserve"> </w:t>
      </w:r>
      <w:r w:rsidRPr="00A9776E">
        <w:t>Cette méthodologie révisée pour 2012</w:t>
      </w:r>
      <w:r w:rsidR="002D6F2A" w:rsidRPr="00A9776E">
        <w:noBreakHyphen/>
      </w:r>
      <w:r w:rsidRPr="00A9776E">
        <w:t>2013, complétée par la création de mécanismes de suivi des dépenses de développement par le biais de la gestion des performances de l</w:t>
      </w:r>
      <w:r w:rsidR="00A20444" w:rsidRPr="00A9776E">
        <w:t>’</w:t>
      </w:r>
      <w:r w:rsidRPr="00A9776E">
        <w:t xml:space="preserve">Organisation, a abouti à une reddition de compte plus affinée en ce qui concerne les dépenses de développement </w:t>
      </w:r>
      <w:r w:rsidRPr="005C7CCE">
        <w:t>pour</w:t>
      </w:r>
      <w:r w:rsidR="0010442A" w:rsidRPr="005C7CCE">
        <w:t> </w:t>
      </w:r>
      <w:r w:rsidRPr="005C7CCE">
        <w:t>2012</w:t>
      </w:r>
      <w:r w:rsidR="002D6F2A" w:rsidRPr="005C7CCE">
        <w:noBreakHyphen/>
      </w:r>
      <w:r w:rsidRPr="005C7CCE">
        <w:t>2013 au regard des estimations générales au niveau des programmes appliquées en 2010</w:t>
      </w:r>
      <w:r w:rsidR="002D6F2A" w:rsidRPr="005C7CCE">
        <w:noBreakHyphen/>
      </w:r>
      <w:r w:rsidRPr="005C7CCE">
        <w:t>2011.</w:t>
      </w:r>
      <w:r w:rsidR="0010442A" w:rsidRPr="005C7CCE">
        <w:t xml:space="preserve"> </w:t>
      </w:r>
      <w:r w:rsidRPr="005C7CCE">
        <w:t xml:space="preserve"> Ce</w:t>
      </w:r>
      <w:r w:rsidR="00147BB4" w:rsidRPr="005C7CCE">
        <w:t> </w:t>
      </w:r>
      <w:r w:rsidRPr="005C7CCE">
        <w:t>mécanisme a encore été davantage peaufiné pour l</w:t>
      </w:r>
      <w:r w:rsidR="00A20444" w:rsidRPr="005C7CCE">
        <w:t>’</w:t>
      </w:r>
      <w:r w:rsidRPr="005C7CCE">
        <w:t>exercice biennal 2014</w:t>
      </w:r>
      <w:r w:rsidR="002D6F2A" w:rsidRPr="005C7CCE">
        <w:noBreakHyphen/>
      </w:r>
      <w:r w:rsidRPr="005C7CCE">
        <w:t>2015.</w:t>
      </w:r>
    </w:p>
    <w:p w:rsidR="00D42474" w:rsidRDefault="00D42474" w:rsidP="001A5BF9">
      <w:pPr>
        <w:autoSpaceDE w:val="0"/>
        <w:autoSpaceDN w:val="0"/>
        <w:adjustRightInd w:val="0"/>
        <w:jc w:val="both"/>
        <w:rPr>
          <w:rFonts w:cs="Arial"/>
        </w:rPr>
      </w:pPr>
    </w:p>
    <w:p w:rsidR="00D42474" w:rsidRDefault="00BB3F3E" w:rsidP="001A5BF9">
      <w:pPr>
        <w:autoSpaceDE w:val="0"/>
        <w:autoSpaceDN w:val="0"/>
        <w:adjustRightInd w:val="0"/>
        <w:ind w:left="1"/>
        <w:jc w:val="both"/>
        <w:rPr>
          <w:rFonts w:cs="Arial"/>
        </w:rPr>
      </w:pPr>
      <w:r w:rsidRPr="005C7CCE">
        <w:t>Les tableaux 3 et 4 ci</w:t>
      </w:r>
      <w:r w:rsidR="002D6F2A" w:rsidRPr="005C7CCE">
        <w:noBreakHyphen/>
      </w:r>
      <w:r w:rsidRPr="005C7CCE">
        <w:t>dessous donnent un aperçu des dépenses de développement estimées par programme et résultat escompté, sur la base du budget après virements et des dépenses réelles en 2012</w:t>
      </w:r>
      <w:r w:rsidR="002D6F2A" w:rsidRPr="005C7CCE">
        <w:noBreakHyphen/>
      </w:r>
      <w:r w:rsidRPr="005C7CCE">
        <w:t xml:space="preserve">2013. </w:t>
      </w:r>
      <w:r w:rsidR="0010442A" w:rsidRPr="005C7CCE">
        <w:t xml:space="preserve"> </w:t>
      </w:r>
      <w:r w:rsidRPr="005C7CCE">
        <w:t>Pour de plus amples informations sur les résultats obtenus liés au développement et sur l</w:t>
      </w:r>
      <w:r w:rsidR="00A20444" w:rsidRPr="005C7CCE">
        <w:t>’</w:t>
      </w:r>
      <w:r w:rsidRPr="005C7CCE">
        <w:t>utilisation du budget au cours de l</w:t>
      </w:r>
      <w:r w:rsidR="00A20444" w:rsidRPr="005C7CCE">
        <w:t>’</w:t>
      </w:r>
      <w:r w:rsidRPr="005C7CCE">
        <w:t xml:space="preserve">exercice biennal, </w:t>
      </w:r>
      <w:proofErr w:type="spellStart"/>
      <w:r w:rsidRPr="005C7CCE">
        <w:t>veuillez vous</w:t>
      </w:r>
      <w:proofErr w:type="spellEnd"/>
      <w:r w:rsidRPr="005C7CCE">
        <w:t xml:space="preserve"> référer aux évaluations individuelles de l</w:t>
      </w:r>
      <w:r w:rsidR="00A20444" w:rsidRPr="005C7CCE">
        <w:t>’</w:t>
      </w:r>
      <w:r w:rsidRPr="005C7CCE">
        <w:t>exécution des programmes figurant dans le présent rapport.</w:t>
      </w:r>
    </w:p>
    <w:p w:rsidR="00D42474" w:rsidRDefault="00D42474" w:rsidP="001A5BF9">
      <w:pPr>
        <w:autoSpaceDE w:val="0"/>
        <w:autoSpaceDN w:val="0"/>
        <w:adjustRightInd w:val="0"/>
        <w:ind w:left="1"/>
        <w:jc w:val="both"/>
        <w:rPr>
          <w:rFonts w:cs="Arial"/>
        </w:rPr>
      </w:pPr>
    </w:p>
    <w:p w:rsidR="00D42474" w:rsidRDefault="00BB3F3E" w:rsidP="001A5BF9">
      <w:pPr>
        <w:autoSpaceDE w:val="0"/>
        <w:autoSpaceDN w:val="0"/>
        <w:adjustRightInd w:val="0"/>
        <w:ind w:left="1"/>
        <w:jc w:val="both"/>
      </w:pPr>
      <w:r w:rsidRPr="005C7CCE">
        <w:t>Les explications des différences entre le budget approuvé, le budget après virements et les dépenses réelles de l</w:t>
      </w:r>
      <w:r w:rsidR="00A20444" w:rsidRPr="005C7CCE">
        <w:t>’</w:t>
      </w:r>
      <w:r w:rsidRPr="005C7CCE">
        <w:t>exercice biennal 2012</w:t>
      </w:r>
      <w:r w:rsidR="002D6F2A" w:rsidRPr="005C7CCE">
        <w:noBreakHyphen/>
      </w:r>
      <w:r w:rsidRPr="005C7CCE">
        <w:t>2013 figurent dans les commentaires du budget et des dépenses réelles sous chaque programme.</w:t>
      </w:r>
    </w:p>
    <w:p w:rsidR="00D42474" w:rsidRDefault="00BB3F3E" w:rsidP="001A5BF9">
      <w:pPr>
        <w:autoSpaceDE w:val="0"/>
        <w:autoSpaceDN w:val="0"/>
        <w:adjustRightInd w:val="0"/>
        <w:ind w:left="1"/>
        <w:jc w:val="both"/>
        <w:rPr>
          <w:rFonts w:cs="Arial"/>
        </w:rPr>
      </w:pPr>
      <w:r w:rsidRPr="005C7CCE">
        <w:br w:type="page"/>
      </w:r>
    </w:p>
    <w:p w:rsidR="00D42474" w:rsidRDefault="00D42474" w:rsidP="001A5BF9"/>
    <w:p w:rsidR="00D42474" w:rsidRDefault="00BB3F3E" w:rsidP="001A5BF9">
      <w:pPr>
        <w:jc w:val="center"/>
        <w:rPr>
          <w:rFonts w:cs="Arial"/>
          <w:b/>
          <w:sz w:val="18"/>
          <w:szCs w:val="18"/>
        </w:rPr>
      </w:pPr>
      <w:r w:rsidRPr="005C7CCE">
        <w:rPr>
          <w:b/>
          <w:sz w:val="18"/>
        </w:rPr>
        <w:t>Tableau 3 : Dépenses de développement par programme pour 2012</w:t>
      </w:r>
      <w:r w:rsidR="002D6F2A" w:rsidRPr="005C7CCE">
        <w:rPr>
          <w:b/>
          <w:sz w:val="18"/>
        </w:rPr>
        <w:noBreakHyphen/>
      </w:r>
      <w:r w:rsidRPr="005C7CCE">
        <w:rPr>
          <w:b/>
          <w:sz w:val="18"/>
        </w:rPr>
        <w:t>2013</w:t>
      </w:r>
    </w:p>
    <w:p w:rsidR="00D42474" w:rsidRDefault="00BB3F3E" w:rsidP="001A5BF9">
      <w:pPr>
        <w:jc w:val="center"/>
        <w:rPr>
          <w:rFonts w:cs="Arial"/>
          <w:i/>
          <w:sz w:val="18"/>
          <w:szCs w:val="18"/>
        </w:rPr>
      </w:pPr>
      <w:r w:rsidRPr="00A9776E">
        <w:rPr>
          <w:i/>
          <w:sz w:val="18"/>
        </w:rPr>
        <w:t>(</w:t>
      </w:r>
      <w:proofErr w:type="gramStart"/>
      <w:r w:rsidRPr="00A9776E">
        <w:rPr>
          <w:i/>
          <w:sz w:val="18"/>
        </w:rPr>
        <w:t>en</w:t>
      </w:r>
      <w:proofErr w:type="gramEnd"/>
      <w:r w:rsidRPr="00A9776E">
        <w:rPr>
          <w:i/>
          <w:sz w:val="18"/>
        </w:rPr>
        <w:t xml:space="preserve"> milliers de francs suisses)</w:t>
      </w:r>
    </w:p>
    <w:p w:rsidR="00D42474" w:rsidRDefault="00D42474" w:rsidP="001A5BF9"/>
    <w:p w:rsidR="00D42474" w:rsidRDefault="00D42474" w:rsidP="001A5BF9"/>
    <w:p w:rsidR="00D42474" w:rsidRDefault="00A9776E" w:rsidP="001A5BF9">
      <w:pPr>
        <w:ind w:left="-1134" w:right="-1134"/>
        <w:jc w:val="center"/>
      </w:pPr>
      <w:r w:rsidRPr="00A9776E">
        <w:rPr>
          <w:noProof/>
        </w:rPr>
        <w:drawing>
          <wp:inline distT="0" distB="0" distL="0" distR="0" wp14:anchorId="3FDC6FB4" wp14:editId="06B616CC">
            <wp:extent cx="6383861" cy="4048676"/>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93426" cy="4054742"/>
                    </a:xfrm>
                    <a:prstGeom prst="rect">
                      <a:avLst/>
                    </a:prstGeom>
                    <a:noFill/>
                    <a:ln>
                      <a:noFill/>
                    </a:ln>
                  </pic:spPr>
                </pic:pic>
              </a:graphicData>
            </a:graphic>
          </wp:inline>
        </w:drawing>
      </w:r>
      <w:r w:rsidRPr="00A9776E">
        <w:t xml:space="preserve"> </w:t>
      </w:r>
    </w:p>
    <w:p w:rsidR="00D42474" w:rsidRDefault="00BB3F3E" w:rsidP="001A5BF9">
      <w:pPr>
        <w:rPr>
          <w:rFonts w:cs="Arial"/>
          <w:szCs w:val="20"/>
        </w:rPr>
      </w:pPr>
      <w:r w:rsidRPr="005C7CCE">
        <w:br w:type="page"/>
      </w:r>
    </w:p>
    <w:p w:rsidR="00D42474" w:rsidRDefault="00BB3F3E" w:rsidP="001A5BF9">
      <w:pPr>
        <w:jc w:val="center"/>
        <w:rPr>
          <w:rFonts w:cs="Arial"/>
          <w:b/>
          <w:sz w:val="18"/>
          <w:szCs w:val="18"/>
        </w:rPr>
      </w:pPr>
      <w:r w:rsidRPr="005C7CCE">
        <w:rPr>
          <w:b/>
          <w:sz w:val="18"/>
        </w:rPr>
        <w:t>Tableau 4 : Dépenses de développement par résultat escompté pour 2012</w:t>
      </w:r>
      <w:r w:rsidR="002D6F2A" w:rsidRPr="005C7CCE">
        <w:rPr>
          <w:b/>
          <w:sz w:val="18"/>
        </w:rPr>
        <w:noBreakHyphen/>
      </w:r>
      <w:r w:rsidRPr="005C7CCE">
        <w:rPr>
          <w:b/>
          <w:sz w:val="18"/>
        </w:rPr>
        <w:t>2013*</w:t>
      </w:r>
    </w:p>
    <w:p w:rsidR="00D42474" w:rsidRDefault="00BB3F3E" w:rsidP="001A5BF9">
      <w:pPr>
        <w:jc w:val="center"/>
        <w:rPr>
          <w:rFonts w:cs="Arial"/>
          <w:i/>
          <w:sz w:val="18"/>
          <w:szCs w:val="18"/>
        </w:rPr>
      </w:pPr>
      <w:r w:rsidRPr="00ED5274">
        <w:rPr>
          <w:i/>
          <w:sz w:val="18"/>
        </w:rPr>
        <w:t>(</w:t>
      </w:r>
      <w:proofErr w:type="gramStart"/>
      <w:r w:rsidRPr="00ED5274">
        <w:rPr>
          <w:i/>
          <w:sz w:val="18"/>
        </w:rPr>
        <w:t>en</w:t>
      </w:r>
      <w:proofErr w:type="gramEnd"/>
      <w:r w:rsidRPr="00ED5274">
        <w:rPr>
          <w:i/>
          <w:sz w:val="18"/>
        </w:rPr>
        <w:t xml:space="preserve"> milliers de francs suisses)</w:t>
      </w:r>
    </w:p>
    <w:p w:rsidR="00D42474" w:rsidRDefault="00D42474" w:rsidP="001A5BF9">
      <w:pPr>
        <w:jc w:val="center"/>
        <w:rPr>
          <w:rFonts w:cs="Arial"/>
          <w:i/>
          <w:sz w:val="18"/>
          <w:szCs w:val="18"/>
        </w:rPr>
      </w:pPr>
    </w:p>
    <w:p w:rsidR="00D42474" w:rsidRDefault="00ED5274" w:rsidP="001A5BF9">
      <w:pPr>
        <w:jc w:val="center"/>
      </w:pPr>
      <w:r w:rsidRPr="00ED5274">
        <w:rPr>
          <w:noProof/>
        </w:rPr>
        <w:drawing>
          <wp:inline distT="0" distB="0" distL="0" distR="0" wp14:anchorId="129551C0" wp14:editId="056DEABA">
            <wp:extent cx="5940425" cy="6536886"/>
            <wp:effectExtent l="0" t="0" r="317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6536886"/>
                    </a:xfrm>
                    <a:prstGeom prst="rect">
                      <a:avLst/>
                    </a:prstGeom>
                    <a:noFill/>
                    <a:ln>
                      <a:noFill/>
                    </a:ln>
                  </pic:spPr>
                </pic:pic>
              </a:graphicData>
            </a:graphic>
          </wp:inline>
        </w:drawing>
      </w:r>
    </w:p>
    <w:p w:rsidR="00D42474" w:rsidRDefault="00ED5274">
      <w:r>
        <w:br w:type="page"/>
      </w:r>
    </w:p>
    <w:p w:rsidR="00D42474" w:rsidRDefault="00ED5274" w:rsidP="001A5BF9">
      <w:pPr>
        <w:jc w:val="center"/>
      </w:pPr>
      <w:r w:rsidRPr="00ED5274">
        <w:rPr>
          <w:noProof/>
        </w:rPr>
        <w:drawing>
          <wp:inline distT="0" distB="0" distL="0" distR="0" wp14:anchorId="64D288FB" wp14:editId="7BDDF3D9">
            <wp:extent cx="5940425" cy="5951551"/>
            <wp:effectExtent l="0" t="0" r="317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5951551"/>
                    </a:xfrm>
                    <a:prstGeom prst="rect">
                      <a:avLst/>
                    </a:prstGeom>
                    <a:noFill/>
                    <a:ln>
                      <a:noFill/>
                    </a:ln>
                  </pic:spPr>
                </pic:pic>
              </a:graphicData>
            </a:graphic>
          </wp:inline>
        </w:drawing>
      </w:r>
    </w:p>
    <w:p w:rsidR="00D42474" w:rsidRDefault="00BB3F3E" w:rsidP="001A5BF9">
      <w:r w:rsidRPr="005C7CCE">
        <w:br w:type="page"/>
      </w:r>
    </w:p>
    <w:p w:rsidR="00D42474" w:rsidRDefault="00BB3F3E" w:rsidP="007B0500">
      <w:pPr>
        <w:pStyle w:val="Heading1"/>
        <w:rPr>
          <w:rFonts w:eastAsia="Calibri"/>
        </w:rPr>
      </w:pPr>
      <w:bookmarkStart w:id="7" w:name="_Toc395082460"/>
      <w:r w:rsidRPr="005C7CCE">
        <w:t>RAPPORT FINAL SUR LA MISE EN ŒUVRE</w:t>
      </w:r>
      <w:r w:rsidRPr="005C7CCE">
        <w:br/>
        <w:t>DES MESURES DE MAÎTRISE DES COÛTS POUR L</w:t>
      </w:r>
      <w:r w:rsidR="00A20444" w:rsidRPr="005C7CCE">
        <w:t>’</w:t>
      </w:r>
      <w:r w:rsidRPr="005C7CCE">
        <w:t>EXERCICE BIENNAL 2012</w:t>
      </w:r>
      <w:r w:rsidR="002D6F2A" w:rsidRPr="005C7CCE">
        <w:noBreakHyphen/>
      </w:r>
      <w:r w:rsidRPr="005C7CCE">
        <w:t>2013</w:t>
      </w:r>
      <w:bookmarkEnd w:id="7"/>
    </w:p>
    <w:p w:rsidR="00D42474" w:rsidRDefault="00D42474" w:rsidP="001A5BF9">
      <w:pPr>
        <w:jc w:val="both"/>
        <w:rPr>
          <w:rFonts w:eastAsia="Calibri" w:cs="Arial"/>
          <w:szCs w:val="20"/>
        </w:rPr>
      </w:pPr>
    </w:p>
    <w:p w:rsidR="00D42474" w:rsidRDefault="00BB3F3E" w:rsidP="001A5BF9">
      <w:pPr>
        <w:jc w:val="both"/>
        <w:rPr>
          <w:rFonts w:eastAsia="Calibri" w:cs="Arial"/>
          <w:szCs w:val="20"/>
        </w:rPr>
      </w:pPr>
      <w:r w:rsidRPr="005C7CCE">
        <w:t>En septembre 2011, les assemblées de l</w:t>
      </w:r>
      <w:r w:rsidR="00A20444" w:rsidRPr="005C7CCE">
        <w:t>’</w:t>
      </w:r>
      <w:r w:rsidRPr="005C7CCE">
        <w:t>OMPI ont approuvé le programme et budget 2012</w:t>
      </w:r>
      <w:r w:rsidR="002D6F2A" w:rsidRPr="005C7CCE">
        <w:noBreakHyphen/>
      </w:r>
      <w:r w:rsidRPr="005C7CCE">
        <w:t>2013, sous réserve du point suivant : “efforts du Secrétariat pour réduire les dépenses au moyen de mesures de maîtrise des coûts de l</w:t>
      </w:r>
      <w:r w:rsidR="00A20444" w:rsidRPr="005C7CCE">
        <w:t>’</w:t>
      </w:r>
      <w:r w:rsidRPr="005C7CCE">
        <w:t>ordre de 10,2 millions de francs suisses, ramenant le budget de 647,4 millions de francs suisses à 637,2 millions de francs suisses, et portant notamment sur les politiques en matière de voyages de fonctionnaires et de tiers, la gestion des locaux, les politiques en matière de rémunération des contrats de louage de services et de paiement des honoraires d</w:t>
      </w:r>
      <w:r w:rsidR="00A20444" w:rsidRPr="005C7CCE">
        <w:t>’</w:t>
      </w:r>
      <w:r w:rsidRPr="005C7CCE">
        <w:t>experts et de conférenciers, les programmes de stage, les réceptions et la location de locaux et de matériel durant les conférences, ainsi qu</w:t>
      </w:r>
      <w:r w:rsidR="00A20444" w:rsidRPr="005C7CCE">
        <w:t>’</w:t>
      </w:r>
      <w:r w:rsidRPr="005C7CCE">
        <w:t>au moyen d</w:t>
      </w:r>
      <w:r w:rsidR="00A20444" w:rsidRPr="005C7CCE">
        <w:t>’</w:t>
      </w:r>
      <w:r w:rsidRPr="005C7CCE">
        <w:t>une réduction des dépenses de personnel grâce à des mesures de restructuration”.</w:t>
      </w:r>
    </w:p>
    <w:p w:rsidR="00D42474" w:rsidRDefault="00D42474" w:rsidP="001A5BF9">
      <w:pPr>
        <w:jc w:val="both"/>
        <w:rPr>
          <w:rFonts w:eastAsia="Calibri" w:cs="Arial"/>
          <w:szCs w:val="20"/>
        </w:rPr>
      </w:pPr>
    </w:p>
    <w:p w:rsidR="00D42474" w:rsidRDefault="00BB3F3E" w:rsidP="001A5BF9">
      <w:pPr>
        <w:jc w:val="both"/>
      </w:pPr>
      <w:r w:rsidRPr="005C7CCE">
        <w:t>Au cours de l</w:t>
      </w:r>
      <w:r w:rsidR="00A20444" w:rsidRPr="005C7CCE">
        <w:t>’</w:t>
      </w:r>
      <w:r w:rsidRPr="005C7CCE">
        <w:t>exercice biennal, le Secrétariat a présenté des mises à jour régulières aux États membres de l</w:t>
      </w:r>
      <w:r w:rsidR="00A20444" w:rsidRPr="005C7CCE">
        <w:t>’</w:t>
      </w:r>
      <w:r w:rsidRPr="005C7CCE">
        <w:t>état d</w:t>
      </w:r>
      <w:r w:rsidR="00A20444" w:rsidRPr="005C7CCE">
        <w:t>’</w:t>
      </w:r>
      <w:r w:rsidRPr="005C7CCE">
        <w:t xml:space="preserve">avancement des différentes mesures de maîtrise des coûts mises en place au cours de cette période. </w:t>
      </w:r>
      <w:r w:rsidR="0010442A" w:rsidRPr="005C7CCE">
        <w:t xml:space="preserve"> </w:t>
      </w:r>
      <w:r w:rsidRPr="005C7CCE">
        <w:t>Le Secrétariat a notamment présenté un rapport sur les premiers progrès accomplis dans la mise en œuvre des mesures de maîtrise des coûts dans le document WO/PBC/19/9 soumis à la dix</w:t>
      </w:r>
      <w:r w:rsidR="002D6F2A" w:rsidRPr="005C7CCE">
        <w:noBreakHyphen/>
      </w:r>
      <w:r w:rsidRPr="005C7CCE">
        <w:t xml:space="preserve">neuvième session du PBC en septembre 2012. </w:t>
      </w:r>
      <w:r w:rsidR="0010442A" w:rsidRPr="005C7CCE">
        <w:t xml:space="preserve"> </w:t>
      </w:r>
      <w:r w:rsidRPr="005C7CCE">
        <w:t xml:space="preserve">La deuxième mise à jour a été présentée dans le document WO/PBC/21/19, soumis à la </w:t>
      </w:r>
      <w:r w:rsidR="00106829">
        <w:t>vingt et unième</w:t>
      </w:r>
      <w:r w:rsidRPr="005C7CCE">
        <w:t> session du PBC en septembre 2013.</w:t>
      </w:r>
    </w:p>
    <w:p w:rsidR="00D42474" w:rsidRDefault="00D42474" w:rsidP="001A5BF9">
      <w:pPr>
        <w:jc w:val="both"/>
        <w:rPr>
          <w:rFonts w:eastAsia="Calibri" w:cs="Arial"/>
          <w:szCs w:val="20"/>
        </w:rPr>
      </w:pPr>
    </w:p>
    <w:p w:rsidR="00D42474" w:rsidRDefault="00BB3F3E" w:rsidP="001A5BF9">
      <w:pPr>
        <w:jc w:val="both"/>
      </w:pPr>
      <w:r w:rsidRPr="005C7CCE">
        <w:t>Le présent rapport offre une vue d</w:t>
      </w:r>
      <w:r w:rsidR="00A20444" w:rsidRPr="005C7CCE">
        <w:t>’</w:t>
      </w:r>
      <w:r w:rsidRPr="005C7CCE">
        <w:t>ensemble finale des mesures de maîtrise des coûts mises en œuvre par le Secrétariat au cours de l</w:t>
      </w:r>
      <w:r w:rsidR="00A20444" w:rsidRPr="005C7CCE">
        <w:t>’</w:t>
      </w:r>
      <w:r w:rsidRPr="005C7CCE">
        <w:t>exercice biennal 2012</w:t>
      </w:r>
      <w:r w:rsidR="002D6F2A" w:rsidRPr="005C7CCE">
        <w:noBreakHyphen/>
      </w:r>
      <w:r w:rsidRPr="005C7CCE">
        <w:t xml:space="preserve">2013. </w:t>
      </w:r>
      <w:r w:rsidR="0010442A" w:rsidRPr="005C7CCE">
        <w:t xml:space="preserve"> </w:t>
      </w:r>
      <w:r w:rsidRPr="005C7CCE">
        <w:t>Ces mesures ont porté sur un grand nombre de domaines, traduisant la ferme volonté du Secrétariat d</w:t>
      </w:r>
      <w:r w:rsidR="00A20444" w:rsidRPr="005C7CCE">
        <w:t>’</w:t>
      </w:r>
      <w:r w:rsidRPr="005C7CCE">
        <w:t>envisager toutes les voies possibles d</w:t>
      </w:r>
      <w:r w:rsidR="00A20444" w:rsidRPr="005C7CCE">
        <w:t>’</w:t>
      </w:r>
      <w:r w:rsidRPr="005C7CCE">
        <w:t>amélioration de la maîtrise des coûts, y compris au</w:t>
      </w:r>
      <w:r w:rsidR="002D6F2A" w:rsidRPr="005C7CCE">
        <w:noBreakHyphen/>
      </w:r>
      <w:r w:rsidRPr="005C7CCE">
        <w:t>delà de celles entérinées par les États membres lors de l</w:t>
      </w:r>
      <w:r w:rsidR="00A20444" w:rsidRPr="005C7CCE">
        <w:t>’</w:t>
      </w:r>
      <w:r w:rsidRPr="005C7CCE">
        <w:t>approbation du programme et budget pour 2012</w:t>
      </w:r>
      <w:r w:rsidR="002D6F2A" w:rsidRPr="005C7CCE">
        <w:noBreakHyphen/>
      </w:r>
      <w:r w:rsidRPr="005C7CCE">
        <w:t xml:space="preserve">2013. </w:t>
      </w:r>
      <w:r w:rsidR="0010442A" w:rsidRPr="005C7CCE">
        <w:t xml:space="preserve"> </w:t>
      </w:r>
      <w:r w:rsidRPr="005C7CCE">
        <w:t>Il s</w:t>
      </w:r>
      <w:r w:rsidR="00A20444" w:rsidRPr="005C7CCE">
        <w:t>’</w:t>
      </w:r>
      <w:r w:rsidRPr="005C7CCE">
        <w:t>agissait en particulier de se conformer aux principales stratégies suivantes :</w:t>
      </w:r>
    </w:p>
    <w:p w:rsidR="00D42474" w:rsidRDefault="00D42474" w:rsidP="001A5BF9">
      <w:pPr>
        <w:jc w:val="both"/>
        <w:rPr>
          <w:rFonts w:eastAsia="Calibri" w:cs="Arial"/>
          <w:szCs w:val="20"/>
        </w:rPr>
      </w:pPr>
    </w:p>
    <w:p w:rsidR="00D42474" w:rsidRDefault="00BB3F3E" w:rsidP="001A5BF9">
      <w:pPr>
        <w:numPr>
          <w:ilvl w:val="0"/>
          <w:numId w:val="85"/>
        </w:numPr>
        <w:tabs>
          <w:tab w:val="left" w:pos="714"/>
        </w:tabs>
        <w:ind w:left="714" w:hanging="357"/>
        <w:contextualSpacing/>
        <w:rPr>
          <w:rFonts w:eastAsia="Calibri" w:cs="Arial"/>
          <w:szCs w:val="20"/>
        </w:rPr>
      </w:pPr>
      <w:r w:rsidRPr="005C7CCE">
        <w:t>viser des gains de productivité lorsque l</w:t>
      </w:r>
      <w:r w:rsidR="00A20444" w:rsidRPr="005C7CCE">
        <w:t>’</w:t>
      </w:r>
      <w:r w:rsidRPr="005C7CCE">
        <w:t>automatisation le permet;</w:t>
      </w:r>
    </w:p>
    <w:p w:rsidR="00D42474" w:rsidRDefault="00BB3F3E" w:rsidP="001A5BF9">
      <w:pPr>
        <w:numPr>
          <w:ilvl w:val="0"/>
          <w:numId w:val="85"/>
        </w:numPr>
        <w:tabs>
          <w:tab w:val="left" w:pos="714"/>
        </w:tabs>
        <w:ind w:left="714" w:hanging="357"/>
        <w:contextualSpacing/>
        <w:rPr>
          <w:rFonts w:eastAsia="Calibri" w:cs="Arial"/>
          <w:szCs w:val="20"/>
        </w:rPr>
      </w:pPr>
      <w:r w:rsidRPr="005C7CCE">
        <w:t>viser des gains de productivité par l</w:t>
      </w:r>
      <w:r w:rsidR="00A20444" w:rsidRPr="005C7CCE">
        <w:t>’</w:t>
      </w:r>
      <w:r w:rsidRPr="005C7CCE">
        <w:t>utilisation de nouveaux services et instruments;</w:t>
      </w:r>
    </w:p>
    <w:p w:rsidR="00D42474" w:rsidRDefault="00BB3F3E" w:rsidP="001A5BF9">
      <w:pPr>
        <w:numPr>
          <w:ilvl w:val="0"/>
          <w:numId w:val="85"/>
        </w:numPr>
        <w:tabs>
          <w:tab w:val="left" w:pos="714"/>
        </w:tabs>
        <w:ind w:left="714" w:hanging="357"/>
        <w:contextualSpacing/>
        <w:rPr>
          <w:rFonts w:eastAsia="Calibri" w:cs="Arial"/>
          <w:szCs w:val="20"/>
        </w:rPr>
      </w:pPr>
      <w:r w:rsidRPr="005C7CCE">
        <w:t>entreprendre régulièrement des examens des contrats afin de maintenir des niveaux de prix unitaires et une tarification compétitifs ainsi que mettre l</w:t>
      </w:r>
      <w:r w:rsidR="00A20444" w:rsidRPr="005C7CCE">
        <w:t>’</w:t>
      </w:r>
      <w:r w:rsidRPr="005C7CCE">
        <w:t>accent sur des initiatives d</w:t>
      </w:r>
      <w:r w:rsidR="00A20444" w:rsidRPr="005C7CCE">
        <w:t>’</w:t>
      </w:r>
      <w:r w:rsidRPr="005C7CCE">
        <w:t>achats en commun avec d</w:t>
      </w:r>
      <w:r w:rsidR="00A20444" w:rsidRPr="005C7CCE">
        <w:t>’</w:t>
      </w:r>
      <w:r w:rsidRPr="005C7CCE">
        <w:t xml:space="preserve">autres organisations des </w:t>
      </w:r>
      <w:r w:rsidR="00A20444" w:rsidRPr="005C7CCE">
        <w:t>Nations Unies</w:t>
      </w:r>
      <w:r w:rsidRPr="005C7CCE">
        <w:t>;</w:t>
      </w:r>
    </w:p>
    <w:p w:rsidR="00D42474" w:rsidRDefault="00BB3F3E" w:rsidP="001A5BF9">
      <w:pPr>
        <w:numPr>
          <w:ilvl w:val="0"/>
          <w:numId w:val="85"/>
        </w:numPr>
        <w:tabs>
          <w:tab w:val="left" w:pos="714"/>
        </w:tabs>
        <w:ind w:left="714" w:hanging="357"/>
        <w:contextualSpacing/>
        <w:rPr>
          <w:rFonts w:eastAsia="Calibri" w:cs="Arial"/>
          <w:szCs w:val="20"/>
        </w:rPr>
      </w:pPr>
      <w:r w:rsidRPr="005C7CCE">
        <w:t>procéder à des examens réguliers des services administratifs pour évaluer la pertinence et l</w:t>
      </w:r>
      <w:r w:rsidR="00A20444" w:rsidRPr="005C7CCE">
        <w:t>’</w:t>
      </w:r>
      <w:r w:rsidRPr="005C7CCE">
        <w:t>efficacité continues dans l</w:t>
      </w:r>
      <w:r w:rsidR="00A20444" w:rsidRPr="005C7CCE">
        <w:t>’</w:t>
      </w:r>
      <w:r w:rsidRPr="005C7CCE">
        <w:t>obtention des résultats requis;</w:t>
      </w:r>
    </w:p>
    <w:p w:rsidR="00D42474" w:rsidRDefault="00BB3F3E" w:rsidP="001A5BF9">
      <w:pPr>
        <w:numPr>
          <w:ilvl w:val="0"/>
          <w:numId w:val="85"/>
        </w:numPr>
        <w:tabs>
          <w:tab w:val="left" w:pos="714"/>
        </w:tabs>
        <w:ind w:left="714" w:hanging="357"/>
        <w:contextualSpacing/>
        <w:rPr>
          <w:rFonts w:eastAsia="Calibri" w:cs="Arial"/>
          <w:szCs w:val="20"/>
        </w:rPr>
      </w:pPr>
      <w:r w:rsidRPr="005C7CCE">
        <w:t>procéder à des examens réguliers des politiques et procédures pour évaluer l</w:t>
      </w:r>
      <w:r w:rsidR="00A20444" w:rsidRPr="005C7CCE">
        <w:t>’</w:t>
      </w:r>
      <w:r w:rsidRPr="005C7CCE">
        <w:t xml:space="preserve">harmonisation avec les autres organisations du système des </w:t>
      </w:r>
      <w:r w:rsidR="00A20444" w:rsidRPr="005C7CCE">
        <w:t>Nations Unies</w:t>
      </w:r>
      <w:r w:rsidRPr="005C7CCE">
        <w:t xml:space="preserve"> ou le secteur privé pouvant donner lieu à une maîtrise des coûts;</w:t>
      </w:r>
      <w:r w:rsidR="006851DA">
        <w:t xml:space="preserve">  et</w:t>
      </w:r>
    </w:p>
    <w:p w:rsidR="00D42474" w:rsidRDefault="00BB3F3E" w:rsidP="001A5BF9">
      <w:pPr>
        <w:numPr>
          <w:ilvl w:val="0"/>
          <w:numId w:val="85"/>
        </w:numPr>
        <w:tabs>
          <w:tab w:val="left" w:pos="714"/>
        </w:tabs>
        <w:ind w:left="714" w:hanging="357"/>
        <w:contextualSpacing/>
        <w:rPr>
          <w:rFonts w:eastAsia="Calibri" w:cs="Arial"/>
          <w:szCs w:val="20"/>
        </w:rPr>
      </w:pPr>
      <w:r w:rsidRPr="005C7CCE">
        <w:t xml:space="preserve">appliquer des stratégies de </w:t>
      </w:r>
      <w:r w:rsidR="003133EE">
        <w:t>sous-traitance</w:t>
      </w:r>
      <w:r w:rsidRPr="005C7CCE">
        <w:t xml:space="preserve"> de manière judicieuse en utilisant d</w:t>
      </w:r>
      <w:r w:rsidR="00A20444" w:rsidRPr="005C7CCE">
        <w:t>’</w:t>
      </w:r>
      <w:r w:rsidRPr="005C7CCE">
        <w:t>autres ressources, le cas échéant.</w:t>
      </w:r>
    </w:p>
    <w:p w:rsidR="00D42474" w:rsidRDefault="00D42474" w:rsidP="001A5BF9">
      <w:pPr>
        <w:spacing w:line="276" w:lineRule="auto"/>
        <w:ind w:left="720"/>
        <w:contextualSpacing/>
        <w:jc w:val="both"/>
        <w:rPr>
          <w:rFonts w:eastAsia="Calibri" w:cs="Arial"/>
          <w:szCs w:val="20"/>
        </w:rPr>
      </w:pPr>
    </w:p>
    <w:p w:rsidR="00D42474" w:rsidRDefault="00BB3F3E" w:rsidP="001A5BF9">
      <w:pPr>
        <w:jc w:val="both"/>
      </w:pPr>
      <w:r w:rsidRPr="005C7CCE">
        <w:t>Les domaines spécifiques ciblés étaient les suivants : la gestion des locaux;</w:t>
      </w:r>
      <w:r w:rsidR="004F3E42" w:rsidRPr="005C7CCE">
        <w:t xml:space="preserve"> </w:t>
      </w:r>
      <w:r w:rsidR="0010442A" w:rsidRPr="005C7CCE">
        <w:t xml:space="preserve"> </w:t>
      </w:r>
      <w:r w:rsidRPr="005C7CCE">
        <w:t>les voyages de fonctionnaires et de tiers;</w:t>
      </w:r>
      <w:r w:rsidR="004F3E42" w:rsidRPr="005C7CCE">
        <w:t xml:space="preserve"> </w:t>
      </w:r>
      <w:r w:rsidR="0010442A" w:rsidRPr="005C7CCE">
        <w:t xml:space="preserve"> </w:t>
      </w:r>
      <w:r w:rsidRPr="005C7CCE">
        <w:t>l</w:t>
      </w:r>
      <w:r w:rsidR="00A20444" w:rsidRPr="005C7CCE">
        <w:t>’</w:t>
      </w:r>
      <w:r w:rsidRPr="005C7CCE">
        <w:t>organisation de réunions et autres manifestations;</w:t>
      </w:r>
      <w:r w:rsidR="004F3E42" w:rsidRPr="005C7CCE">
        <w:t xml:space="preserve"> </w:t>
      </w:r>
      <w:r w:rsidR="0010442A" w:rsidRPr="005C7CCE">
        <w:t xml:space="preserve"> </w:t>
      </w:r>
      <w:r w:rsidRPr="005C7CCE">
        <w:t>les achats, les technologies de l</w:t>
      </w:r>
      <w:r w:rsidR="00A20444" w:rsidRPr="005C7CCE">
        <w:t>’</w:t>
      </w:r>
      <w:r w:rsidRPr="005C7CCE">
        <w:t>information et la communication;</w:t>
      </w:r>
      <w:r w:rsidR="004F3E42" w:rsidRPr="005C7CCE">
        <w:t xml:space="preserve"> </w:t>
      </w:r>
      <w:r w:rsidR="0010442A" w:rsidRPr="005C7CCE">
        <w:t xml:space="preserve"> </w:t>
      </w:r>
      <w:r w:rsidRPr="005C7CCE">
        <w:t>les services d</w:t>
      </w:r>
      <w:r w:rsidR="00A20444" w:rsidRPr="005C7CCE">
        <w:t>’</w:t>
      </w:r>
      <w:r w:rsidRPr="005C7CCE">
        <w:t>expédition du courrier;</w:t>
      </w:r>
      <w:r w:rsidR="0010442A" w:rsidRPr="005C7CCE">
        <w:t xml:space="preserve"> </w:t>
      </w:r>
      <w:r w:rsidR="004F3E42" w:rsidRPr="005C7CCE">
        <w:t xml:space="preserve"> </w:t>
      </w:r>
      <w:r w:rsidRPr="005C7CCE">
        <w:t>les coûts de personnel, les contrats de louage de service (</w:t>
      </w:r>
      <w:proofErr w:type="spellStart"/>
      <w:r w:rsidRPr="005C7CCE">
        <w:t>SSA</w:t>
      </w:r>
      <w:proofErr w:type="spellEnd"/>
      <w:r w:rsidRPr="005C7CCE">
        <w:t>)/services contractuels de personnes et d</w:t>
      </w:r>
      <w:r w:rsidR="00A20444" w:rsidRPr="005C7CCE">
        <w:t>’</w:t>
      </w:r>
      <w:r w:rsidRPr="005C7CCE">
        <w:t xml:space="preserve">autres processus internes généraux et aspects de la culture des dépenses. </w:t>
      </w:r>
      <w:r w:rsidR="0010442A" w:rsidRPr="005C7CCE">
        <w:t xml:space="preserve"> </w:t>
      </w:r>
      <w:r w:rsidRPr="005C7CCE">
        <w:t>Des informations sont également fournies ci</w:t>
      </w:r>
      <w:r w:rsidR="002D6F2A" w:rsidRPr="005C7CCE">
        <w:noBreakHyphen/>
      </w:r>
      <w:r w:rsidRPr="005C7CCE">
        <w:t>dessous concernant les gains d</w:t>
      </w:r>
      <w:r w:rsidR="00A20444" w:rsidRPr="005C7CCE">
        <w:t>’</w:t>
      </w:r>
      <w:r w:rsidRPr="005C7CCE">
        <w:t>efficacité dans le cadre des systèmes d</w:t>
      </w:r>
      <w:r w:rsidR="00A20444" w:rsidRPr="005C7CCE">
        <w:t>’</w:t>
      </w:r>
      <w:r w:rsidRPr="005C7CCE">
        <w:t>enregistrement internationaux du PCT, de Madrid et de La Haye.</w:t>
      </w:r>
    </w:p>
    <w:p w:rsidR="00D42474" w:rsidRDefault="00D42474" w:rsidP="001A5BF9">
      <w:pPr>
        <w:jc w:val="both"/>
        <w:rPr>
          <w:rFonts w:eastAsia="Calibri" w:cs="Arial"/>
          <w:b/>
          <w:caps/>
          <w:szCs w:val="20"/>
        </w:rPr>
      </w:pPr>
    </w:p>
    <w:p w:rsidR="00D42474" w:rsidRDefault="00BB3F3E" w:rsidP="001A5BF9">
      <w:pPr>
        <w:jc w:val="both"/>
        <w:rPr>
          <w:rFonts w:eastAsia="Calibri" w:cs="Arial"/>
          <w:b/>
          <w:caps/>
          <w:szCs w:val="20"/>
        </w:rPr>
      </w:pPr>
      <w:r w:rsidRPr="006851DA">
        <w:rPr>
          <w:b/>
          <w:caps/>
        </w:rPr>
        <w:t>GESTION DES LOCAUX</w:t>
      </w:r>
    </w:p>
    <w:p w:rsidR="00D42474" w:rsidRDefault="00D42474" w:rsidP="001A5BF9">
      <w:pPr>
        <w:jc w:val="both"/>
        <w:rPr>
          <w:rFonts w:eastAsia="Calibri" w:cs="Arial"/>
          <w:b/>
          <w:caps/>
          <w:szCs w:val="20"/>
        </w:rPr>
      </w:pPr>
    </w:p>
    <w:p w:rsidR="00D42474" w:rsidRDefault="00BB3F3E" w:rsidP="001A5BF9">
      <w:pPr>
        <w:jc w:val="both"/>
        <w:rPr>
          <w:rFonts w:eastAsia="Calibri" w:cs="Arial"/>
          <w:szCs w:val="20"/>
        </w:rPr>
      </w:pPr>
      <w:r w:rsidRPr="005C7CCE">
        <w:t>Dans le domaine de la gestion des locaux, les mesures de maîtrise des coûts suivantes ont été mises en œuvre :</w:t>
      </w:r>
    </w:p>
    <w:p w:rsidR="00D42474" w:rsidRDefault="00D42474" w:rsidP="001A5BF9">
      <w:pPr>
        <w:jc w:val="both"/>
        <w:rPr>
          <w:rFonts w:eastAsia="Calibri" w:cs="Arial"/>
          <w:szCs w:val="20"/>
        </w:rPr>
      </w:pPr>
    </w:p>
    <w:p w:rsidR="00D42474" w:rsidRDefault="00BB3F3E" w:rsidP="001A5BF9">
      <w:pPr>
        <w:numPr>
          <w:ilvl w:val="0"/>
          <w:numId w:val="85"/>
        </w:numPr>
        <w:tabs>
          <w:tab w:val="left" w:pos="714"/>
        </w:tabs>
        <w:contextualSpacing/>
        <w:jc w:val="both"/>
        <w:rPr>
          <w:rFonts w:eastAsia="Calibri" w:cs="Arial"/>
          <w:szCs w:val="20"/>
        </w:rPr>
      </w:pPr>
      <w:r w:rsidRPr="005C7CCE">
        <w:t>application de la nouvelle politique d</w:t>
      </w:r>
      <w:r w:rsidR="00A20444" w:rsidRPr="005C7CCE">
        <w:t>’</w:t>
      </w:r>
      <w:r w:rsidRPr="005C7CCE">
        <w:t>attribution des bureaux qui a permis de supprimer la nécessité de louer deux</w:t>
      </w:r>
      <w:r w:rsidR="0010442A" w:rsidRPr="005C7CCE">
        <w:t> </w:t>
      </w:r>
      <w:r w:rsidRPr="005C7CCE">
        <w:t>étages supplémentaires de bureaux dans un bâtiment à l</w:t>
      </w:r>
      <w:r w:rsidR="00A20444" w:rsidRPr="005C7CCE">
        <w:t>’</w:t>
      </w:r>
      <w:r w:rsidRPr="005C7CCE">
        <w:t>extérieur du campus de l</w:t>
      </w:r>
      <w:r w:rsidR="00A20444" w:rsidRPr="005C7CCE">
        <w:t>’</w:t>
      </w:r>
      <w:r w:rsidRPr="005C7CCE">
        <w:t>OMPI;</w:t>
      </w:r>
    </w:p>
    <w:p w:rsidR="00D42474" w:rsidRDefault="00BB3F3E" w:rsidP="001A5BF9">
      <w:pPr>
        <w:numPr>
          <w:ilvl w:val="0"/>
          <w:numId w:val="85"/>
        </w:numPr>
        <w:tabs>
          <w:tab w:val="left" w:pos="714"/>
        </w:tabs>
        <w:contextualSpacing/>
        <w:jc w:val="both"/>
        <w:rPr>
          <w:rFonts w:eastAsia="Calibri" w:cs="Arial"/>
          <w:szCs w:val="20"/>
        </w:rPr>
      </w:pPr>
      <w:r w:rsidRPr="005C7CCE">
        <w:t>report de la création d</w:t>
      </w:r>
      <w:r w:rsidR="00A20444" w:rsidRPr="005C7CCE">
        <w:t>’</w:t>
      </w:r>
      <w:r w:rsidRPr="005C7CCE">
        <w:t>un Fonds d</w:t>
      </w:r>
      <w:r w:rsidR="00A20444" w:rsidRPr="005C7CCE">
        <w:t>’</w:t>
      </w:r>
      <w:r w:rsidRPr="005C7CCE">
        <w:t>entretien des bâtiments;</w:t>
      </w:r>
    </w:p>
    <w:p w:rsidR="00D42474" w:rsidRDefault="00BB3F3E" w:rsidP="001A5BF9">
      <w:pPr>
        <w:numPr>
          <w:ilvl w:val="0"/>
          <w:numId w:val="85"/>
        </w:numPr>
        <w:tabs>
          <w:tab w:val="left" w:pos="714"/>
        </w:tabs>
        <w:contextualSpacing/>
        <w:jc w:val="both"/>
        <w:rPr>
          <w:rFonts w:eastAsia="Calibri" w:cs="Arial"/>
          <w:szCs w:val="20"/>
        </w:rPr>
      </w:pPr>
      <w:r w:rsidRPr="005C7CCE">
        <w:t>rationalisation des espaces de stockage et de stationnement;</w:t>
      </w:r>
      <w:r w:rsidR="006851DA">
        <w:t xml:space="preserve">  et</w:t>
      </w:r>
    </w:p>
    <w:p w:rsidR="00D42474" w:rsidRDefault="00BB3F3E" w:rsidP="001A5BF9">
      <w:pPr>
        <w:numPr>
          <w:ilvl w:val="0"/>
          <w:numId w:val="85"/>
        </w:numPr>
        <w:tabs>
          <w:tab w:val="left" w:pos="714"/>
        </w:tabs>
        <w:contextualSpacing/>
        <w:jc w:val="both"/>
        <w:rPr>
          <w:rFonts w:eastAsia="Calibri" w:cs="Arial"/>
          <w:szCs w:val="20"/>
        </w:rPr>
      </w:pPr>
      <w:r w:rsidRPr="005C7CCE">
        <w:t>réduction de la consommation d</w:t>
      </w:r>
      <w:r w:rsidR="00A20444" w:rsidRPr="005C7CCE">
        <w:t>’</w:t>
      </w:r>
      <w:r w:rsidRPr="005C7CCE">
        <w:t>eau et d</w:t>
      </w:r>
      <w:r w:rsidR="00A20444" w:rsidRPr="005C7CCE">
        <w:t>’</w:t>
      </w:r>
      <w:r w:rsidRPr="005C7CCE">
        <w:t>électricité.</w:t>
      </w:r>
    </w:p>
    <w:p w:rsidR="00D42474" w:rsidRDefault="00D42474" w:rsidP="001A5BF9">
      <w:pPr>
        <w:ind w:left="720"/>
        <w:contextualSpacing/>
        <w:jc w:val="both"/>
        <w:rPr>
          <w:rFonts w:eastAsia="Calibri" w:cs="Arial"/>
          <w:szCs w:val="20"/>
        </w:rPr>
      </w:pPr>
    </w:p>
    <w:p w:rsidR="00D42474" w:rsidRDefault="00BB3F3E" w:rsidP="001A5BF9">
      <w:pPr>
        <w:jc w:val="both"/>
      </w:pPr>
      <w:r w:rsidRPr="005C7CCE">
        <w:t>Le programme et budget pour 2012</w:t>
      </w:r>
      <w:r w:rsidR="002D6F2A" w:rsidRPr="005C7CCE">
        <w:noBreakHyphen/>
      </w:r>
      <w:r w:rsidRPr="005C7CCE">
        <w:t>2013 comprenait des dispositions pour louer deux</w:t>
      </w:r>
      <w:r w:rsidR="0010442A" w:rsidRPr="005C7CCE">
        <w:t> </w:t>
      </w:r>
      <w:r w:rsidRPr="005C7CCE">
        <w:t>étages de bureaux supplémentaires et instituer un Fonds d</w:t>
      </w:r>
      <w:r w:rsidR="00A20444" w:rsidRPr="005C7CCE">
        <w:t>’</w:t>
      </w:r>
      <w:r w:rsidRPr="005C7CCE">
        <w:t>entretien des bâtiments.</w:t>
      </w:r>
      <w:r w:rsidR="0010442A" w:rsidRPr="005C7CCE">
        <w:t xml:space="preserve"> </w:t>
      </w:r>
      <w:r w:rsidRPr="005C7CCE">
        <w:t xml:space="preserve"> La rationalisation de l</w:t>
      </w:r>
      <w:r w:rsidR="00A20444" w:rsidRPr="005C7CCE">
        <w:t>’</w:t>
      </w:r>
      <w:r w:rsidRPr="005C7CCE">
        <w:t>utilisation des espaces de bureaux et le report de la création du Fonds d</w:t>
      </w:r>
      <w:r w:rsidR="00A20444" w:rsidRPr="005C7CCE">
        <w:t>’</w:t>
      </w:r>
      <w:r w:rsidRPr="005C7CCE">
        <w:t>entretien des bâtiments ont engendré des économies pour l</w:t>
      </w:r>
      <w:r w:rsidR="00A20444" w:rsidRPr="005C7CCE">
        <w:t>’</w:t>
      </w:r>
      <w:r w:rsidRPr="005C7CCE">
        <w:t>exercice biennal s</w:t>
      </w:r>
      <w:r w:rsidR="00A20444" w:rsidRPr="005C7CCE">
        <w:t>’</w:t>
      </w:r>
      <w:r w:rsidRPr="005C7CCE">
        <w:t>élevant à quelque 4,5 millions de francs suisses.</w:t>
      </w:r>
    </w:p>
    <w:p w:rsidR="00D42474" w:rsidRDefault="00D42474" w:rsidP="001A5BF9">
      <w:pPr>
        <w:jc w:val="both"/>
        <w:rPr>
          <w:rFonts w:eastAsia="Calibri" w:cs="Arial"/>
          <w:sz w:val="16"/>
          <w:szCs w:val="20"/>
        </w:rPr>
      </w:pPr>
    </w:p>
    <w:p w:rsidR="00D42474" w:rsidRDefault="00BB3F3E" w:rsidP="001A5BF9">
      <w:pPr>
        <w:keepNext/>
        <w:keepLines/>
        <w:jc w:val="both"/>
      </w:pPr>
      <w:r w:rsidRPr="005C7CCE">
        <w:t>La nouvelle politique d</w:t>
      </w:r>
      <w:r w:rsidR="00A20444" w:rsidRPr="005C7CCE">
        <w:t>’</w:t>
      </w:r>
      <w:r w:rsidRPr="005C7CCE">
        <w:t>attribution des espaces de bureaux, mise en place en décembre 2010, était pleinement mise en œuvre dans l</w:t>
      </w:r>
      <w:r w:rsidR="00A20444" w:rsidRPr="005C7CCE">
        <w:t>’</w:t>
      </w:r>
      <w:r w:rsidRPr="005C7CCE">
        <w:t>ensemble des bâtiments de l</w:t>
      </w:r>
      <w:r w:rsidR="00A20444" w:rsidRPr="005C7CCE">
        <w:t>’</w:t>
      </w:r>
      <w:r w:rsidRPr="005C7CCE">
        <w:t>OMPI à la fin de l</w:t>
      </w:r>
      <w:r w:rsidR="00A20444" w:rsidRPr="005C7CCE">
        <w:t>’</w:t>
      </w:r>
      <w:r w:rsidRPr="005C7CCE">
        <w:t xml:space="preserve">année 2012. </w:t>
      </w:r>
      <w:r w:rsidR="0010442A" w:rsidRPr="005C7CCE">
        <w:t xml:space="preserve"> </w:t>
      </w:r>
      <w:r w:rsidRPr="005C7CCE">
        <w:t>Par conséquent, à la fin de l</w:t>
      </w:r>
      <w:r w:rsidR="00A20444" w:rsidRPr="005C7CCE">
        <w:t>’</w:t>
      </w:r>
      <w:r w:rsidRPr="005C7CCE">
        <w:t xml:space="preserve">année 2013, </w:t>
      </w:r>
      <w:r w:rsidR="0010442A" w:rsidRPr="005C7CCE">
        <w:t>1627</w:t>
      </w:r>
      <w:r w:rsidRPr="005C7CCE">
        <w:t> espaces de travail étaient disponibles dans l</w:t>
      </w:r>
      <w:r w:rsidR="00A20444" w:rsidRPr="005C7CCE">
        <w:t>’</w:t>
      </w:r>
      <w:r w:rsidRPr="005C7CCE">
        <w:t>ensemble des bâtiments (locaux détenus ou loués par l</w:t>
      </w:r>
      <w:r w:rsidR="00A20444" w:rsidRPr="005C7CCE">
        <w:t>’</w:t>
      </w:r>
      <w:r w:rsidRPr="005C7CCE">
        <w:t xml:space="preserve">OMPI), soit une augmentation de 48 espaces de travail supplémentaires par rapport à la fin du précédent exercice biennal (1 579 espaces de travail en 2011). </w:t>
      </w:r>
      <w:r w:rsidR="0010442A" w:rsidRPr="005C7CCE">
        <w:t xml:space="preserve"> </w:t>
      </w:r>
      <w:r w:rsidRPr="006851DA">
        <w:t>Sur ce nombre, 85,6</w:t>
      </w:r>
      <w:r w:rsidR="007E442D" w:rsidRPr="006851DA">
        <w:t>%</w:t>
      </w:r>
      <w:r w:rsidRPr="006851DA">
        <w:t xml:space="preserve"> étaient occupés en</w:t>
      </w:r>
      <w:r w:rsidR="0010442A" w:rsidRPr="006851DA">
        <w:t> </w:t>
      </w:r>
      <w:r w:rsidRPr="006851DA">
        <w:t>2013, contre 87</w:t>
      </w:r>
      <w:r w:rsidR="007E442D" w:rsidRPr="006851DA">
        <w:t>%</w:t>
      </w:r>
      <w:r w:rsidRPr="006851DA">
        <w:t xml:space="preserve"> à la fin de</w:t>
      </w:r>
      <w:r w:rsidR="0010442A" w:rsidRPr="006851DA">
        <w:t> </w:t>
      </w:r>
      <w:r w:rsidRPr="006851DA">
        <w:t>2011.</w:t>
      </w:r>
    </w:p>
    <w:p w:rsidR="00D42474" w:rsidRDefault="00D42474" w:rsidP="001A5BF9">
      <w:pPr>
        <w:jc w:val="both"/>
        <w:rPr>
          <w:rFonts w:eastAsia="Calibri" w:cs="Arial"/>
          <w:sz w:val="16"/>
          <w:szCs w:val="20"/>
        </w:rPr>
      </w:pPr>
    </w:p>
    <w:p w:rsidR="00D42474" w:rsidRDefault="00BB3F3E" w:rsidP="001A5BF9">
      <w:pPr>
        <w:jc w:val="both"/>
      </w:pPr>
      <w:r w:rsidRPr="005C7CCE">
        <w:t>S</w:t>
      </w:r>
      <w:r w:rsidR="00A20444" w:rsidRPr="005C7CCE">
        <w:t>’</w:t>
      </w:r>
      <w:r w:rsidRPr="005C7CCE">
        <w:t>agissant de la rationalisation des espaces de stockage, un certain volume de documents, matériels et équipements stockés a été liquidé au cours de l</w:t>
      </w:r>
      <w:r w:rsidR="00A20444" w:rsidRPr="005C7CCE">
        <w:t>’</w:t>
      </w:r>
      <w:r w:rsidRPr="005C7CCE">
        <w:t xml:space="preserve">exercice biennal, ce qui a contribué à un stockage plus efficace et une utilisation plus rentable des espaces de stockage sur site et hors site. </w:t>
      </w:r>
      <w:r w:rsidR="0010442A" w:rsidRPr="005C7CCE">
        <w:t xml:space="preserve"> </w:t>
      </w:r>
      <w:r w:rsidRPr="005C7CCE">
        <w:t>Cette rationalisation a permis de mettre fin à la location de deux espaces de stockage hors site au cours de l</w:t>
      </w:r>
      <w:r w:rsidR="00A20444" w:rsidRPr="005C7CCE">
        <w:t>’</w:t>
      </w:r>
      <w:r w:rsidRPr="005C7CCE">
        <w:t xml:space="preserve">année 2012. </w:t>
      </w:r>
      <w:r w:rsidR="0010442A" w:rsidRPr="005C7CCE">
        <w:t xml:space="preserve"> </w:t>
      </w:r>
      <w:r w:rsidRPr="005C7CCE">
        <w:t xml:space="preserve">En outre, la location de </w:t>
      </w:r>
      <w:r w:rsidR="0010442A" w:rsidRPr="005C7CCE">
        <w:t>10</w:t>
      </w:r>
      <w:r w:rsidRPr="005C7CCE">
        <w:t> espaces de stationnement a été résiliée en</w:t>
      </w:r>
      <w:r w:rsidR="0010442A" w:rsidRPr="005C7CCE">
        <w:t> </w:t>
      </w:r>
      <w:r w:rsidRPr="005C7CCE">
        <w:t>2013.</w:t>
      </w:r>
      <w:r w:rsidR="0010442A" w:rsidRPr="005C7CCE">
        <w:t xml:space="preserve"> </w:t>
      </w:r>
      <w:r w:rsidRPr="005C7CCE">
        <w:t xml:space="preserve"> La rationalisation des espaces de stockage hors site et des espaces de stationnement a généré une économie totale d</w:t>
      </w:r>
      <w:r w:rsidR="00A20444" w:rsidRPr="005C7CCE">
        <w:t>’</w:t>
      </w:r>
      <w:r w:rsidRPr="005C7CCE">
        <w:t>environ 57 250 francs suisses.</w:t>
      </w:r>
    </w:p>
    <w:p w:rsidR="00D42474" w:rsidRDefault="00D42474" w:rsidP="001A5BF9">
      <w:pPr>
        <w:jc w:val="both"/>
        <w:rPr>
          <w:rFonts w:eastAsia="Calibri" w:cs="Arial"/>
          <w:sz w:val="16"/>
          <w:szCs w:val="20"/>
        </w:rPr>
      </w:pPr>
    </w:p>
    <w:p w:rsidR="00D42474" w:rsidRDefault="00BB3F3E" w:rsidP="001A5BF9">
      <w:pPr>
        <w:jc w:val="both"/>
        <w:rPr>
          <w:rFonts w:eastAsia="Calibri" w:cs="Arial"/>
          <w:spacing w:val="-2"/>
          <w:szCs w:val="20"/>
        </w:rPr>
      </w:pPr>
      <w:r w:rsidRPr="005C7CCE">
        <w:rPr>
          <w:spacing w:val="-2"/>
        </w:rPr>
        <w:t>Le Secrétariat a entrepris différentes mesures visant à réduire la consommation d</w:t>
      </w:r>
      <w:r w:rsidR="00A20444" w:rsidRPr="005C7CCE">
        <w:rPr>
          <w:spacing w:val="-2"/>
        </w:rPr>
        <w:t>’</w:t>
      </w:r>
      <w:r w:rsidRPr="005C7CCE">
        <w:rPr>
          <w:spacing w:val="-2"/>
        </w:rPr>
        <w:t>électric</w:t>
      </w:r>
      <w:r w:rsidR="002D6F2A" w:rsidRPr="005C7CCE">
        <w:rPr>
          <w:spacing w:val="-2"/>
        </w:rPr>
        <w:t xml:space="preserve">ité, dont : </w:t>
      </w:r>
      <w:r w:rsidRPr="005C7CCE">
        <w:rPr>
          <w:spacing w:val="-2"/>
        </w:rPr>
        <w:t>i) une mise à niveau des installations électriques dans le plus vieux bâtiment du campus de l</w:t>
      </w:r>
      <w:r w:rsidR="00A20444" w:rsidRPr="005C7CCE">
        <w:rPr>
          <w:spacing w:val="-2"/>
        </w:rPr>
        <w:t>’</w:t>
      </w:r>
      <w:r w:rsidRPr="005C7CCE">
        <w:rPr>
          <w:spacing w:val="-2"/>
        </w:rPr>
        <w:t>OMPI (</w:t>
      </w:r>
      <w:proofErr w:type="spellStart"/>
      <w:r w:rsidRPr="005C7CCE">
        <w:rPr>
          <w:spacing w:val="-2"/>
        </w:rPr>
        <w:t>GBI</w:t>
      </w:r>
      <w:proofErr w:type="spellEnd"/>
      <w:r w:rsidRPr="005C7CCE">
        <w:rPr>
          <w:spacing w:val="-2"/>
        </w:rPr>
        <w:t>) qui s</w:t>
      </w:r>
      <w:r w:rsidR="00A20444" w:rsidRPr="005C7CCE">
        <w:rPr>
          <w:spacing w:val="-2"/>
        </w:rPr>
        <w:t>’</w:t>
      </w:r>
      <w:r w:rsidRPr="005C7CCE">
        <w:rPr>
          <w:spacing w:val="-2"/>
        </w:rPr>
        <w:t>est achevée en 2013;</w:t>
      </w:r>
      <w:r w:rsidR="004F3E42" w:rsidRPr="005C7CCE">
        <w:rPr>
          <w:spacing w:val="-2"/>
        </w:rPr>
        <w:t xml:space="preserve"> </w:t>
      </w:r>
      <w:r w:rsidR="0010442A" w:rsidRPr="005C7CCE">
        <w:rPr>
          <w:spacing w:val="-2"/>
        </w:rPr>
        <w:t xml:space="preserve"> </w:t>
      </w:r>
      <w:r w:rsidRPr="005C7CCE">
        <w:rPr>
          <w:spacing w:val="-2"/>
        </w:rPr>
        <w:t>ii) le déploiement d</w:t>
      </w:r>
      <w:r w:rsidR="00A20444" w:rsidRPr="005C7CCE">
        <w:rPr>
          <w:spacing w:val="-2"/>
        </w:rPr>
        <w:t>’</w:t>
      </w:r>
      <w:r w:rsidRPr="005C7CCE">
        <w:rPr>
          <w:spacing w:val="-2"/>
        </w:rPr>
        <w:t>un système de refroidissement économique et respectueux de l</w:t>
      </w:r>
      <w:r w:rsidR="00A20444" w:rsidRPr="005C7CCE">
        <w:rPr>
          <w:spacing w:val="-2"/>
        </w:rPr>
        <w:t>’</w:t>
      </w:r>
      <w:r w:rsidRPr="005C7CCE">
        <w:rPr>
          <w:spacing w:val="-2"/>
        </w:rPr>
        <w:t xml:space="preserve">environnement dans le bâtiment </w:t>
      </w:r>
      <w:proofErr w:type="spellStart"/>
      <w:r w:rsidRPr="005C7CCE">
        <w:rPr>
          <w:spacing w:val="-2"/>
        </w:rPr>
        <w:t>GBI</w:t>
      </w:r>
      <w:proofErr w:type="spellEnd"/>
      <w:r w:rsidRPr="005C7CCE">
        <w:rPr>
          <w:spacing w:val="-2"/>
        </w:rPr>
        <w:t xml:space="preserve"> en 2012 et le bâtiment </w:t>
      </w:r>
      <w:proofErr w:type="spellStart"/>
      <w:r w:rsidRPr="005C7CCE">
        <w:rPr>
          <w:spacing w:val="-2"/>
        </w:rPr>
        <w:t>GBII</w:t>
      </w:r>
      <w:proofErr w:type="spellEnd"/>
      <w:r w:rsidRPr="005C7CCE">
        <w:rPr>
          <w:spacing w:val="-2"/>
        </w:rPr>
        <w:t xml:space="preserve"> en 2013;</w:t>
      </w:r>
      <w:r w:rsidR="004F3E42" w:rsidRPr="005C7CCE">
        <w:rPr>
          <w:spacing w:val="-2"/>
        </w:rPr>
        <w:t xml:space="preserve"> </w:t>
      </w:r>
      <w:r w:rsidR="0010442A" w:rsidRPr="005C7CCE">
        <w:rPr>
          <w:spacing w:val="-2"/>
        </w:rPr>
        <w:t xml:space="preserve"> </w:t>
      </w:r>
      <w:r w:rsidRPr="005C7CCE">
        <w:rPr>
          <w:spacing w:val="-2"/>
        </w:rPr>
        <w:t>iii) la réduction de 50</w:t>
      </w:r>
      <w:r w:rsidR="007E442D" w:rsidRPr="005C7CCE">
        <w:rPr>
          <w:spacing w:val="-2"/>
        </w:rPr>
        <w:t>%</w:t>
      </w:r>
      <w:r w:rsidRPr="005C7CCE">
        <w:rPr>
          <w:spacing w:val="-2"/>
        </w:rPr>
        <w:t xml:space="preserve"> des sources de lumières dans les étages de bureaux du bâtiment AB en 2013;</w:t>
      </w:r>
      <w:r w:rsidR="0010442A" w:rsidRPr="005C7CCE">
        <w:rPr>
          <w:spacing w:val="-2"/>
        </w:rPr>
        <w:t xml:space="preserve"> </w:t>
      </w:r>
      <w:r w:rsidR="004F3E42" w:rsidRPr="005C7CCE">
        <w:rPr>
          <w:spacing w:val="-2"/>
        </w:rPr>
        <w:t xml:space="preserve"> </w:t>
      </w:r>
      <w:r w:rsidR="002D6F2A" w:rsidRPr="005C7CCE">
        <w:rPr>
          <w:spacing w:val="-2"/>
        </w:rPr>
        <w:t xml:space="preserve">et </w:t>
      </w:r>
      <w:r w:rsidRPr="005C7CCE">
        <w:rPr>
          <w:spacing w:val="-2"/>
        </w:rPr>
        <w:t>iv) l</w:t>
      </w:r>
      <w:r w:rsidR="00A20444" w:rsidRPr="005C7CCE">
        <w:rPr>
          <w:spacing w:val="-2"/>
        </w:rPr>
        <w:t>’</w:t>
      </w:r>
      <w:r w:rsidRPr="005C7CCE">
        <w:rPr>
          <w:spacing w:val="-2"/>
        </w:rPr>
        <w:t xml:space="preserve">installation de minuteries dans les couloirs des bâtiments </w:t>
      </w:r>
      <w:r w:rsidR="003133EE">
        <w:rPr>
          <w:spacing w:val="-2"/>
        </w:rPr>
        <w:t>A</w:t>
      </w:r>
      <w:r w:rsidRPr="005C7CCE">
        <w:rPr>
          <w:spacing w:val="-2"/>
        </w:rPr>
        <w:t xml:space="preserve">B et </w:t>
      </w:r>
      <w:proofErr w:type="spellStart"/>
      <w:r w:rsidRPr="005C7CCE">
        <w:rPr>
          <w:spacing w:val="-2"/>
        </w:rPr>
        <w:t>GBI</w:t>
      </w:r>
      <w:proofErr w:type="spellEnd"/>
      <w:r w:rsidRPr="005C7CCE">
        <w:rPr>
          <w:spacing w:val="-2"/>
        </w:rPr>
        <w:t xml:space="preserve"> et de capteurs de pénombre dans le bâtiment </w:t>
      </w:r>
      <w:proofErr w:type="spellStart"/>
      <w:r w:rsidRPr="005C7CCE">
        <w:rPr>
          <w:spacing w:val="-2"/>
        </w:rPr>
        <w:t>GBI</w:t>
      </w:r>
      <w:proofErr w:type="spellEnd"/>
      <w:r w:rsidRPr="005C7CCE">
        <w:rPr>
          <w:spacing w:val="-2"/>
        </w:rPr>
        <w:t xml:space="preserve"> en 2013. </w:t>
      </w:r>
      <w:r w:rsidR="0010442A" w:rsidRPr="005C7CCE">
        <w:rPr>
          <w:spacing w:val="-2"/>
        </w:rPr>
        <w:t xml:space="preserve"> </w:t>
      </w:r>
      <w:r w:rsidRPr="005C7CCE">
        <w:rPr>
          <w:spacing w:val="-2"/>
        </w:rPr>
        <w:t>Ces mesures ont abouti à une réduction annuelle de la consommation d</w:t>
      </w:r>
      <w:r w:rsidR="00A20444" w:rsidRPr="005C7CCE">
        <w:rPr>
          <w:spacing w:val="-2"/>
        </w:rPr>
        <w:t>’</w:t>
      </w:r>
      <w:r w:rsidRPr="005C7CCE">
        <w:rPr>
          <w:spacing w:val="-2"/>
        </w:rPr>
        <w:t>électricité d</w:t>
      </w:r>
      <w:r w:rsidR="00A20444" w:rsidRPr="005C7CCE">
        <w:rPr>
          <w:spacing w:val="-2"/>
        </w:rPr>
        <w:t>’</w:t>
      </w:r>
      <w:r w:rsidRPr="005C7CCE">
        <w:rPr>
          <w:spacing w:val="-2"/>
        </w:rPr>
        <w:t>environ 2</w:t>
      </w:r>
      <w:r w:rsidR="007E442D" w:rsidRPr="005C7CCE">
        <w:rPr>
          <w:spacing w:val="-2"/>
        </w:rPr>
        <w:t>%</w:t>
      </w:r>
      <w:r w:rsidRPr="005C7CCE">
        <w:rPr>
          <w:spacing w:val="-2"/>
        </w:rPr>
        <w:t xml:space="preserve"> (140 000 kWh) entre 2012 et 2013, ce qui représente une économie annuelle d</w:t>
      </w:r>
      <w:r w:rsidR="00A20444" w:rsidRPr="005C7CCE">
        <w:rPr>
          <w:spacing w:val="-2"/>
        </w:rPr>
        <w:t>’</w:t>
      </w:r>
      <w:r w:rsidRPr="005C7CCE">
        <w:rPr>
          <w:spacing w:val="-2"/>
        </w:rPr>
        <w:t>environ 15 000 francs suisses.</w:t>
      </w:r>
    </w:p>
    <w:p w:rsidR="00D42474" w:rsidRDefault="00D42474" w:rsidP="001A5BF9">
      <w:pPr>
        <w:jc w:val="both"/>
        <w:rPr>
          <w:rFonts w:eastAsia="Calibri" w:cs="Arial"/>
          <w:sz w:val="16"/>
          <w:szCs w:val="20"/>
        </w:rPr>
      </w:pPr>
    </w:p>
    <w:p w:rsidR="00D42474" w:rsidRDefault="00BB3F3E" w:rsidP="001A5BF9">
      <w:pPr>
        <w:jc w:val="both"/>
        <w:rPr>
          <w:rFonts w:eastAsia="Calibri" w:cs="Arial"/>
          <w:szCs w:val="20"/>
        </w:rPr>
      </w:pPr>
      <w:r w:rsidRPr="005C7CCE">
        <w:t>Les coûts associés à la consommation d</w:t>
      </w:r>
      <w:r w:rsidR="00A20444" w:rsidRPr="005C7CCE">
        <w:t>’</w:t>
      </w:r>
      <w:r w:rsidRPr="005C7CCE">
        <w:t>eau ont été réduits d</w:t>
      </w:r>
      <w:r w:rsidR="00A20444" w:rsidRPr="005C7CCE">
        <w:t>’</w:t>
      </w:r>
      <w:r w:rsidRPr="005C7CCE">
        <w:t>environ 12 000 francs suisses en 2013 par rapport à 2012, suite au raccord de l</w:t>
      </w:r>
      <w:r w:rsidR="00A20444" w:rsidRPr="005C7CCE">
        <w:t>’</w:t>
      </w:r>
      <w:r w:rsidRPr="005C7CCE">
        <w:t xml:space="preserve">une des unités de refroidissement du Centre de données du bâtiment AB au système de refroidissement utilisant les eaux du lac Léman. </w:t>
      </w:r>
      <w:r w:rsidR="0010442A" w:rsidRPr="005C7CCE">
        <w:t xml:space="preserve"> </w:t>
      </w:r>
      <w:r w:rsidRPr="005C7CCE">
        <w:t>De plus, la mise à niveau des systèmes individuels de refroidissement et de chauffage dans les bureaux situés dans l</w:t>
      </w:r>
      <w:r w:rsidR="00A20444" w:rsidRPr="005C7CCE">
        <w:t>’</w:t>
      </w:r>
      <w:r w:rsidRPr="005C7CCE">
        <w:t>angle du nouveau bâtiment s</w:t>
      </w:r>
      <w:r w:rsidR="00A20444" w:rsidRPr="005C7CCE">
        <w:t>’</w:t>
      </w:r>
      <w:r w:rsidRPr="005C7CCE">
        <w:t xml:space="preserve">est achevée </w:t>
      </w:r>
      <w:proofErr w:type="spellStart"/>
      <w:r w:rsidRPr="005C7CCE">
        <w:t>mi</w:t>
      </w:r>
      <w:r w:rsidR="002D6F2A" w:rsidRPr="005C7CCE">
        <w:noBreakHyphen/>
      </w:r>
      <w:r w:rsidRPr="005C7CCE">
        <w:t>2013</w:t>
      </w:r>
      <w:proofErr w:type="spellEnd"/>
      <w:r w:rsidRPr="005C7CCE">
        <w:t>, offrant un meilleur contrôle de la température des pièces dans un certain nombre de bureaux.</w:t>
      </w:r>
    </w:p>
    <w:p w:rsidR="00D42474" w:rsidRDefault="00D42474" w:rsidP="001A5BF9">
      <w:pPr>
        <w:jc w:val="both"/>
        <w:rPr>
          <w:rFonts w:eastAsia="Calibri" w:cs="Arial"/>
          <w:sz w:val="16"/>
          <w:szCs w:val="20"/>
        </w:rPr>
      </w:pPr>
    </w:p>
    <w:p w:rsidR="00D42474" w:rsidRDefault="00BB3F3E" w:rsidP="001A5BF9">
      <w:pPr>
        <w:jc w:val="both"/>
        <w:rPr>
          <w:spacing w:val="-2"/>
        </w:rPr>
      </w:pPr>
      <w:r w:rsidRPr="005C7CCE">
        <w:rPr>
          <w:spacing w:val="-2"/>
        </w:rPr>
        <w:t>Conformément à la stratégie de l</w:t>
      </w:r>
      <w:r w:rsidR="00A20444" w:rsidRPr="005C7CCE">
        <w:rPr>
          <w:spacing w:val="-2"/>
        </w:rPr>
        <w:t>’</w:t>
      </w:r>
      <w:r w:rsidRPr="005C7CCE">
        <w:rPr>
          <w:spacing w:val="-2"/>
        </w:rPr>
        <w:t>OMPI visant à réduire progressivement sa flotte de véhicules et à remplacer les véhicules existants par des solutions alternatives respectueuses de l</w:t>
      </w:r>
      <w:r w:rsidR="00A20444" w:rsidRPr="005C7CCE">
        <w:rPr>
          <w:spacing w:val="-2"/>
        </w:rPr>
        <w:t>’</w:t>
      </w:r>
      <w:r w:rsidRPr="005C7CCE">
        <w:rPr>
          <w:spacing w:val="-2"/>
        </w:rPr>
        <w:t>environnement, quatre</w:t>
      </w:r>
      <w:r w:rsidR="0010442A" w:rsidRPr="005C7CCE">
        <w:rPr>
          <w:spacing w:val="-2"/>
        </w:rPr>
        <w:t> </w:t>
      </w:r>
      <w:r w:rsidRPr="005C7CCE">
        <w:rPr>
          <w:spacing w:val="-2"/>
        </w:rPr>
        <w:t xml:space="preserve">des </w:t>
      </w:r>
      <w:r w:rsidR="0010442A" w:rsidRPr="005C7CCE">
        <w:rPr>
          <w:spacing w:val="-2"/>
        </w:rPr>
        <w:t>11</w:t>
      </w:r>
      <w:r w:rsidRPr="005C7CCE">
        <w:rPr>
          <w:spacing w:val="-2"/>
        </w:rPr>
        <w:t> véhicules officiels de l</w:t>
      </w:r>
      <w:r w:rsidR="00A20444" w:rsidRPr="005C7CCE">
        <w:rPr>
          <w:spacing w:val="-2"/>
        </w:rPr>
        <w:t>’</w:t>
      </w:r>
      <w:r w:rsidRPr="005C7CCE">
        <w:rPr>
          <w:spacing w:val="-2"/>
        </w:rPr>
        <w:t>OMPI ont été vendus et un nouveau véhicule hybride a été acheté au cours de l</w:t>
      </w:r>
      <w:r w:rsidR="00A20444" w:rsidRPr="005C7CCE">
        <w:rPr>
          <w:spacing w:val="-2"/>
        </w:rPr>
        <w:t>’</w:t>
      </w:r>
      <w:r w:rsidRPr="005C7CCE">
        <w:rPr>
          <w:spacing w:val="-2"/>
        </w:rPr>
        <w:t xml:space="preserve">exercice biennal. </w:t>
      </w:r>
      <w:r w:rsidR="0010442A" w:rsidRPr="005C7CCE">
        <w:rPr>
          <w:spacing w:val="-2"/>
        </w:rPr>
        <w:t xml:space="preserve"> </w:t>
      </w:r>
      <w:r w:rsidRPr="005C7CCE">
        <w:rPr>
          <w:spacing w:val="-2"/>
        </w:rPr>
        <w:t>En conséquence, le coût de l</w:t>
      </w:r>
      <w:r w:rsidR="00A20444" w:rsidRPr="005C7CCE">
        <w:rPr>
          <w:spacing w:val="-2"/>
        </w:rPr>
        <w:t>’</w:t>
      </w:r>
      <w:r w:rsidRPr="005C7CCE">
        <w:rPr>
          <w:spacing w:val="-2"/>
        </w:rPr>
        <w:t>entretien de la flotte est passé de 99 225 francs suisses en 2010</w:t>
      </w:r>
      <w:r w:rsidR="002D6F2A" w:rsidRPr="005C7CCE">
        <w:rPr>
          <w:spacing w:val="-2"/>
        </w:rPr>
        <w:noBreakHyphen/>
      </w:r>
      <w:r w:rsidRPr="005C7CCE">
        <w:rPr>
          <w:spacing w:val="-2"/>
        </w:rPr>
        <w:t>2011 à 79 265 francs suisses en 2012</w:t>
      </w:r>
      <w:r w:rsidR="002D6F2A" w:rsidRPr="005C7CCE">
        <w:rPr>
          <w:spacing w:val="-2"/>
        </w:rPr>
        <w:noBreakHyphen/>
      </w:r>
      <w:r w:rsidRPr="005C7CCE">
        <w:rPr>
          <w:spacing w:val="-2"/>
        </w:rPr>
        <w:t>2013, soit une économie d</w:t>
      </w:r>
      <w:r w:rsidR="00A20444" w:rsidRPr="005C7CCE">
        <w:rPr>
          <w:spacing w:val="-2"/>
        </w:rPr>
        <w:t>’</w:t>
      </w:r>
      <w:r w:rsidRPr="005C7CCE">
        <w:rPr>
          <w:spacing w:val="-2"/>
        </w:rPr>
        <w:t>environ 20 000 francs suisses.</w:t>
      </w:r>
    </w:p>
    <w:p w:rsidR="00D42474" w:rsidRDefault="00D42474" w:rsidP="001A5BF9">
      <w:pPr>
        <w:jc w:val="both"/>
        <w:rPr>
          <w:rFonts w:eastAsia="Calibri" w:cs="Arial"/>
          <w:sz w:val="16"/>
          <w:szCs w:val="20"/>
        </w:rPr>
      </w:pPr>
    </w:p>
    <w:p w:rsidR="00D42474" w:rsidRDefault="00BB3F3E" w:rsidP="001A5BF9">
      <w:pPr>
        <w:jc w:val="both"/>
        <w:rPr>
          <w:rFonts w:eastAsia="Calibri" w:cs="Arial"/>
          <w:szCs w:val="20"/>
        </w:rPr>
      </w:pPr>
      <w:r w:rsidRPr="005C7CCE">
        <w:t>Le tableau ci</w:t>
      </w:r>
      <w:r w:rsidR="002D6F2A" w:rsidRPr="005C7CCE">
        <w:noBreakHyphen/>
      </w:r>
      <w:r w:rsidRPr="005C7CCE">
        <w:t>dessous résume les économies et/ou gains d</w:t>
      </w:r>
      <w:r w:rsidR="00A20444" w:rsidRPr="005C7CCE">
        <w:t>’</w:t>
      </w:r>
      <w:r w:rsidRPr="005C7CCE">
        <w:t>efficacité obtenus dans le domaine de la gestion des locaux.</w:t>
      </w:r>
    </w:p>
    <w:p w:rsidR="00BB3F3E" w:rsidRPr="005C7CCE" w:rsidRDefault="00BB3F3E" w:rsidP="001A5BF9">
      <w:pPr>
        <w:jc w:val="both"/>
        <w:rPr>
          <w:rFonts w:eastAsia="Calibri" w:cs="Arial"/>
          <w:sz w:val="16"/>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6851DA" w:rsidRPr="006851DA" w:rsidTr="006851DA">
        <w:tc>
          <w:tcPr>
            <w:tcW w:w="4678" w:type="dxa"/>
            <w:shd w:val="clear" w:color="auto" w:fill="B8CCE4" w:themeFill="accent1" w:themeFillTint="66"/>
            <w:vAlign w:val="center"/>
          </w:tcPr>
          <w:p w:rsidR="00BB3F3E" w:rsidRPr="006851DA" w:rsidRDefault="00BB3F3E" w:rsidP="001A5BF9">
            <w:pPr>
              <w:spacing w:before="120" w:after="120"/>
              <w:jc w:val="center"/>
              <w:rPr>
                <w:rFonts w:eastAsiaTheme="minorHAnsi" w:cs="Arial"/>
                <w:b/>
                <w:sz w:val="18"/>
                <w:szCs w:val="18"/>
                <w:lang w:val="en-US" w:eastAsia="en-US"/>
              </w:rPr>
            </w:pPr>
            <w:r w:rsidRPr="006851DA">
              <w:rPr>
                <w:rFonts w:eastAsiaTheme="minorHAnsi" w:cs="Arial"/>
                <w:b/>
                <w:sz w:val="18"/>
                <w:szCs w:val="18"/>
                <w:lang w:val="en-US" w:eastAsia="en-US"/>
              </w:rPr>
              <w:t>Description</w:t>
            </w:r>
          </w:p>
        </w:tc>
        <w:tc>
          <w:tcPr>
            <w:tcW w:w="4678" w:type="dxa"/>
            <w:shd w:val="clear" w:color="auto" w:fill="B8CCE4" w:themeFill="accent1" w:themeFillTint="66"/>
            <w:vAlign w:val="center"/>
          </w:tcPr>
          <w:p w:rsidR="00BB3F3E" w:rsidRPr="006851DA" w:rsidRDefault="00BB3F3E" w:rsidP="001A5BF9">
            <w:pPr>
              <w:spacing w:before="120" w:after="120"/>
              <w:jc w:val="center"/>
              <w:rPr>
                <w:rFonts w:eastAsiaTheme="minorHAnsi" w:cs="Arial"/>
                <w:b/>
                <w:sz w:val="18"/>
                <w:szCs w:val="18"/>
                <w:lang w:val="en-US" w:eastAsia="en-US"/>
              </w:rPr>
            </w:pPr>
            <w:proofErr w:type="spellStart"/>
            <w:r w:rsidRPr="006851DA">
              <w:rPr>
                <w:rFonts w:eastAsiaTheme="minorHAnsi" w:cs="Arial"/>
                <w:b/>
                <w:sz w:val="18"/>
                <w:szCs w:val="18"/>
                <w:lang w:val="en-US" w:eastAsia="en-US"/>
              </w:rPr>
              <w:t>Économie</w:t>
            </w:r>
            <w:proofErr w:type="spellEnd"/>
            <w:r w:rsidRPr="006851DA">
              <w:rPr>
                <w:rFonts w:eastAsiaTheme="minorHAnsi" w:cs="Arial"/>
                <w:b/>
                <w:sz w:val="18"/>
                <w:szCs w:val="18"/>
                <w:lang w:val="en-US" w:eastAsia="en-US"/>
              </w:rPr>
              <w:t xml:space="preserve">/gain </w:t>
            </w:r>
            <w:proofErr w:type="spellStart"/>
            <w:r w:rsidRPr="006851DA">
              <w:rPr>
                <w:rFonts w:eastAsiaTheme="minorHAnsi" w:cs="Arial"/>
                <w:b/>
                <w:sz w:val="18"/>
                <w:szCs w:val="18"/>
                <w:lang w:val="en-US" w:eastAsia="en-US"/>
              </w:rPr>
              <w:t>d</w:t>
            </w:r>
            <w:r w:rsidR="00A20444" w:rsidRPr="006851DA">
              <w:rPr>
                <w:rFonts w:eastAsiaTheme="minorHAnsi" w:cs="Arial"/>
                <w:b/>
                <w:sz w:val="18"/>
                <w:szCs w:val="18"/>
                <w:lang w:val="en-US" w:eastAsia="en-US"/>
              </w:rPr>
              <w:t>’</w:t>
            </w:r>
            <w:r w:rsidRPr="006851DA">
              <w:rPr>
                <w:rFonts w:eastAsiaTheme="minorHAnsi" w:cs="Arial"/>
                <w:b/>
                <w:sz w:val="18"/>
                <w:szCs w:val="18"/>
                <w:lang w:val="en-US" w:eastAsia="en-US"/>
              </w:rPr>
              <w:t>efficacité</w:t>
            </w:r>
            <w:proofErr w:type="spellEnd"/>
          </w:p>
        </w:tc>
      </w:tr>
      <w:tr w:rsidR="00BB3F3E" w:rsidRPr="005C7CCE" w:rsidTr="00BB3F3E">
        <w:tc>
          <w:tcPr>
            <w:tcW w:w="4678" w:type="dxa"/>
            <w:shd w:val="clear" w:color="auto" w:fill="auto"/>
          </w:tcPr>
          <w:p w:rsidR="00BB3F3E" w:rsidRPr="005C7CCE" w:rsidRDefault="00BB3F3E" w:rsidP="001A5BF9">
            <w:pPr>
              <w:spacing w:before="120" w:after="120"/>
              <w:rPr>
                <w:rFonts w:eastAsia="Calibri" w:cs="Arial"/>
                <w:sz w:val="16"/>
                <w:szCs w:val="16"/>
              </w:rPr>
            </w:pPr>
            <w:r w:rsidRPr="005C7CCE">
              <w:rPr>
                <w:sz w:val="16"/>
              </w:rPr>
              <w:t>Mise en œuvre de la nouvelle politique d</w:t>
            </w:r>
            <w:r w:rsidR="00A20444" w:rsidRPr="005C7CCE">
              <w:rPr>
                <w:sz w:val="16"/>
              </w:rPr>
              <w:t>’</w:t>
            </w:r>
            <w:r w:rsidRPr="005C7CCE">
              <w:rPr>
                <w:sz w:val="16"/>
              </w:rPr>
              <w:t>attribution d</w:t>
            </w:r>
            <w:r w:rsidR="00A20444" w:rsidRPr="005C7CCE">
              <w:rPr>
                <w:sz w:val="16"/>
              </w:rPr>
              <w:t>’</w:t>
            </w:r>
            <w:r w:rsidRPr="005C7CCE">
              <w:rPr>
                <w:sz w:val="16"/>
              </w:rPr>
              <w:t>espaces de bureaux</w:t>
            </w:r>
          </w:p>
        </w:tc>
        <w:tc>
          <w:tcPr>
            <w:tcW w:w="4678" w:type="dxa"/>
            <w:shd w:val="clear" w:color="auto" w:fill="auto"/>
          </w:tcPr>
          <w:p w:rsidR="00D42474" w:rsidRDefault="00BB3F3E" w:rsidP="001A5BF9">
            <w:pPr>
              <w:spacing w:before="120" w:after="120"/>
              <w:rPr>
                <w:rFonts w:eastAsia="Calibri" w:cs="Arial"/>
                <w:sz w:val="16"/>
                <w:szCs w:val="16"/>
              </w:rPr>
            </w:pPr>
            <w:r w:rsidRPr="005C7CCE">
              <w:rPr>
                <w:sz w:val="16"/>
              </w:rPr>
              <w:t>Suppression de la nécessité de louer des espaces de bureaux supplémentaires d</w:t>
            </w:r>
            <w:r w:rsidR="00A20444" w:rsidRPr="005C7CCE">
              <w:rPr>
                <w:sz w:val="16"/>
              </w:rPr>
              <w:t>’</w:t>
            </w:r>
            <w:r w:rsidRPr="005C7CCE">
              <w:rPr>
                <w:sz w:val="16"/>
              </w:rPr>
              <w:t>un montant d</w:t>
            </w:r>
            <w:r w:rsidR="00A20444" w:rsidRPr="005C7CCE">
              <w:rPr>
                <w:sz w:val="16"/>
              </w:rPr>
              <w:t>’</w:t>
            </w:r>
            <w:r w:rsidRPr="005C7CCE">
              <w:rPr>
                <w:sz w:val="16"/>
              </w:rPr>
              <w:t>environ 2 millions de francs suisses</w:t>
            </w:r>
          </w:p>
          <w:p w:rsidR="00BB3F3E" w:rsidRPr="005C7CCE" w:rsidRDefault="00BB3F3E" w:rsidP="001A5BF9">
            <w:pPr>
              <w:spacing w:before="120" w:after="120"/>
              <w:rPr>
                <w:rFonts w:eastAsia="Calibri" w:cs="Arial"/>
                <w:sz w:val="16"/>
                <w:szCs w:val="16"/>
              </w:rPr>
            </w:pPr>
            <w:r w:rsidRPr="005C7CCE">
              <w:rPr>
                <w:sz w:val="16"/>
              </w:rPr>
              <w:t>48 espaces de travail supplémentaires disponibles à la fin de 2013 par rapport à la fin de 2010</w:t>
            </w:r>
            <w:r w:rsidR="002D6F2A" w:rsidRPr="005C7CCE">
              <w:rPr>
                <w:sz w:val="16"/>
              </w:rPr>
              <w:noBreakHyphen/>
            </w:r>
            <w:r w:rsidRPr="005C7CCE">
              <w:rPr>
                <w:sz w:val="16"/>
              </w:rPr>
              <w:t>2011</w:t>
            </w:r>
          </w:p>
        </w:tc>
      </w:tr>
      <w:tr w:rsidR="00BB3F3E" w:rsidRPr="005C7CCE" w:rsidTr="00BB3F3E">
        <w:tc>
          <w:tcPr>
            <w:tcW w:w="4678" w:type="dxa"/>
            <w:shd w:val="clear" w:color="auto" w:fill="auto"/>
          </w:tcPr>
          <w:p w:rsidR="00BB3F3E" w:rsidRPr="005C7CCE" w:rsidRDefault="00BB3F3E" w:rsidP="001A5BF9">
            <w:pPr>
              <w:spacing w:before="120" w:after="120"/>
              <w:rPr>
                <w:rFonts w:eastAsia="Calibri" w:cs="Arial"/>
                <w:sz w:val="16"/>
                <w:szCs w:val="16"/>
              </w:rPr>
            </w:pPr>
            <w:r w:rsidRPr="005C7CCE">
              <w:rPr>
                <w:sz w:val="16"/>
              </w:rPr>
              <w:t>Report de la création du Fonds d</w:t>
            </w:r>
            <w:r w:rsidR="00A20444" w:rsidRPr="005C7CCE">
              <w:rPr>
                <w:sz w:val="16"/>
              </w:rPr>
              <w:t>’</w:t>
            </w:r>
            <w:r w:rsidRPr="005C7CCE">
              <w:rPr>
                <w:sz w:val="16"/>
              </w:rPr>
              <w:t xml:space="preserve">entretien des bâtiments </w:t>
            </w:r>
          </w:p>
        </w:tc>
        <w:tc>
          <w:tcPr>
            <w:tcW w:w="4678" w:type="dxa"/>
            <w:shd w:val="clear" w:color="auto" w:fill="auto"/>
          </w:tcPr>
          <w:p w:rsidR="00BB3F3E" w:rsidRPr="005C7CCE" w:rsidRDefault="00BB3F3E" w:rsidP="001A5BF9">
            <w:pPr>
              <w:spacing w:before="120" w:after="120"/>
              <w:rPr>
                <w:rFonts w:eastAsia="Calibri" w:cs="Arial"/>
                <w:sz w:val="16"/>
                <w:szCs w:val="16"/>
              </w:rPr>
            </w:pPr>
            <w:r w:rsidRPr="005C7CCE">
              <w:rPr>
                <w:sz w:val="16"/>
              </w:rPr>
              <w:t>2,5 millions de francs suisses en 2012</w:t>
            </w:r>
            <w:r w:rsidR="002D6F2A" w:rsidRPr="005C7CCE">
              <w:rPr>
                <w:sz w:val="16"/>
              </w:rPr>
              <w:noBreakHyphen/>
            </w:r>
            <w:r w:rsidRPr="005C7CCE">
              <w:rPr>
                <w:sz w:val="16"/>
              </w:rPr>
              <w:t>2013</w:t>
            </w:r>
          </w:p>
        </w:tc>
      </w:tr>
      <w:tr w:rsidR="00BB3F3E" w:rsidRPr="005C7CCE" w:rsidTr="00BB3F3E">
        <w:tc>
          <w:tcPr>
            <w:tcW w:w="4678" w:type="dxa"/>
            <w:shd w:val="clear" w:color="auto" w:fill="auto"/>
          </w:tcPr>
          <w:p w:rsidR="00BB3F3E" w:rsidRPr="005C7CCE" w:rsidRDefault="00BB3F3E" w:rsidP="001A5BF9">
            <w:pPr>
              <w:spacing w:before="120" w:after="120"/>
              <w:rPr>
                <w:rFonts w:eastAsia="Calibri" w:cs="Arial"/>
                <w:sz w:val="16"/>
                <w:szCs w:val="16"/>
              </w:rPr>
            </w:pPr>
            <w:r w:rsidRPr="005C7CCE">
              <w:rPr>
                <w:sz w:val="16"/>
              </w:rPr>
              <w:t>Rationalisation des espaces de stockage et de stationnement</w:t>
            </w:r>
          </w:p>
        </w:tc>
        <w:tc>
          <w:tcPr>
            <w:tcW w:w="4678" w:type="dxa"/>
            <w:shd w:val="clear" w:color="auto" w:fill="auto"/>
          </w:tcPr>
          <w:p w:rsidR="00BB3F3E" w:rsidRPr="005C7CCE" w:rsidRDefault="00BB3F3E" w:rsidP="001A5BF9">
            <w:pPr>
              <w:spacing w:before="120" w:after="120"/>
              <w:rPr>
                <w:rFonts w:eastAsia="Calibri" w:cs="Arial"/>
                <w:sz w:val="16"/>
                <w:szCs w:val="16"/>
              </w:rPr>
            </w:pPr>
            <w:r w:rsidRPr="005C7CCE">
              <w:rPr>
                <w:sz w:val="16"/>
              </w:rPr>
              <w:t>57 250 francs suisses en 2012</w:t>
            </w:r>
            <w:r w:rsidR="002D6F2A" w:rsidRPr="005C7CCE">
              <w:rPr>
                <w:sz w:val="16"/>
              </w:rPr>
              <w:noBreakHyphen/>
            </w:r>
            <w:r w:rsidRPr="005C7CCE">
              <w:rPr>
                <w:sz w:val="16"/>
              </w:rPr>
              <w:t>2013</w:t>
            </w:r>
          </w:p>
        </w:tc>
      </w:tr>
      <w:tr w:rsidR="00BB3F3E" w:rsidRPr="005C7CCE" w:rsidTr="00BB3F3E">
        <w:tc>
          <w:tcPr>
            <w:tcW w:w="4678" w:type="dxa"/>
            <w:shd w:val="clear" w:color="auto" w:fill="auto"/>
          </w:tcPr>
          <w:p w:rsidR="00BB3F3E" w:rsidRPr="005C7CCE" w:rsidRDefault="00BB3F3E" w:rsidP="001A5BF9">
            <w:pPr>
              <w:spacing w:before="120" w:after="120"/>
              <w:rPr>
                <w:rFonts w:eastAsia="Calibri" w:cs="Arial"/>
                <w:sz w:val="16"/>
                <w:szCs w:val="16"/>
              </w:rPr>
            </w:pPr>
            <w:r w:rsidRPr="005C7CCE">
              <w:rPr>
                <w:sz w:val="16"/>
              </w:rPr>
              <w:t>Réduction de la consommation d</w:t>
            </w:r>
            <w:r w:rsidR="00A20444" w:rsidRPr="005C7CCE">
              <w:rPr>
                <w:sz w:val="16"/>
              </w:rPr>
              <w:t>’</w:t>
            </w:r>
            <w:r w:rsidRPr="005C7CCE">
              <w:rPr>
                <w:sz w:val="16"/>
              </w:rPr>
              <w:t>électricité</w:t>
            </w:r>
          </w:p>
        </w:tc>
        <w:tc>
          <w:tcPr>
            <w:tcW w:w="4678" w:type="dxa"/>
            <w:shd w:val="clear" w:color="auto" w:fill="auto"/>
          </w:tcPr>
          <w:p w:rsidR="00BB3F3E" w:rsidRPr="005C7CCE" w:rsidRDefault="00BB3F3E" w:rsidP="001A5BF9">
            <w:pPr>
              <w:spacing w:before="120" w:after="120"/>
              <w:rPr>
                <w:rFonts w:eastAsia="Calibri" w:cs="Arial"/>
                <w:sz w:val="16"/>
                <w:szCs w:val="16"/>
              </w:rPr>
            </w:pPr>
            <w:r w:rsidRPr="005C7CCE">
              <w:rPr>
                <w:sz w:val="16"/>
              </w:rPr>
              <w:t>Réduction annuelle de 2</w:t>
            </w:r>
            <w:r w:rsidR="007E442D" w:rsidRPr="005C7CCE">
              <w:rPr>
                <w:sz w:val="16"/>
              </w:rPr>
              <w:t>%</w:t>
            </w:r>
            <w:r w:rsidRPr="005C7CCE">
              <w:rPr>
                <w:sz w:val="16"/>
              </w:rPr>
              <w:t xml:space="preserve"> (140 000 kWh) équivalant à une économie d</w:t>
            </w:r>
            <w:r w:rsidR="00A20444" w:rsidRPr="005C7CCE">
              <w:rPr>
                <w:sz w:val="16"/>
              </w:rPr>
              <w:t>’</w:t>
            </w:r>
            <w:r w:rsidRPr="005C7CCE">
              <w:rPr>
                <w:sz w:val="16"/>
              </w:rPr>
              <w:t>environ 15 000 francs suisses en 2013.</w:t>
            </w:r>
          </w:p>
        </w:tc>
      </w:tr>
      <w:tr w:rsidR="00BB3F3E" w:rsidRPr="006851DA" w:rsidTr="00BB3F3E">
        <w:tc>
          <w:tcPr>
            <w:tcW w:w="4678" w:type="dxa"/>
            <w:shd w:val="clear" w:color="auto" w:fill="auto"/>
          </w:tcPr>
          <w:p w:rsidR="00BB3F3E" w:rsidRPr="006851DA" w:rsidRDefault="00BB3F3E" w:rsidP="001A5BF9">
            <w:pPr>
              <w:spacing w:before="120" w:after="120"/>
              <w:rPr>
                <w:rFonts w:eastAsia="Calibri" w:cs="Arial"/>
                <w:sz w:val="16"/>
                <w:szCs w:val="16"/>
              </w:rPr>
            </w:pPr>
            <w:r w:rsidRPr="006851DA">
              <w:rPr>
                <w:sz w:val="16"/>
              </w:rPr>
              <w:t>Réduction des coûts liés à la consommation d</w:t>
            </w:r>
            <w:r w:rsidR="00A20444" w:rsidRPr="006851DA">
              <w:rPr>
                <w:sz w:val="16"/>
              </w:rPr>
              <w:t>’</w:t>
            </w:r>
            <w:r w:rsidRPr="006851DA">
              <w:rPr>
                <w:sz w:val="16"/>
              </w:rPr>
              <w:t>eau</w:t>
            </w:r>
          </w:p>
        </w:tc>
        <w:tc>
          <w:tcPr>
            <w:tcW w:w="4678" w:type="dxa"/>
            <w:shd w:val="clear" w:color="auto" w:fill="auto"/>
          </w:tcPr>
          <w:p w:rsidR="00BB3F3E" w:rsidRPr="006851DA" w:rsidRDefault="00BB3F3E" w:rsidP="001A5BF9">
            <w:pPr>
              <w:spacing w:before="120" w:after="120"/>
              <w:rPr>
                <w:rFonts w:eastAsia="Calibri" w:cs="Arial"/>
                <w:sz w:val="16"/>
                <w:szCs w:val="16"/>
              </w:rPr>
            </w:pPr>
            <w:r w:rsidRPr="006851DA">
              <w:rPr>
                <w:sz w:val="16"/>
              </w:rPr>
              <w:t>12 000 francs suisses en</w:t>
            </w:r>
            <w:r w:rsidR="0010442A" w:rsidRPr="006851DA">
              <w:rPr>
                <w:sz w:val="16"/>
              </w:rPr>
              <w:t> </w:t>
            </w:r>
            <w:r w:rsidRPr="006851DA">
              <w:rPr>
                <w:sz w:val="16"/>
              </w:rPr>
              <w:t>2013</w:t>
            </w:r>
          </w:p>
        </w:tc>
      </w:tr>
      <w:tr w:rsidR="00BB3F3E" w:rsidRPr="005C7CCE" w:rsidTr="00BB3F3E">
        <w:tc>
          <w:tcPr>
            <w:tcW w:w="4678" w:type="dxa"/>
            <w:shd w:val="clear" w:color="auto" w:fill="auto"/>
          </w:tcPr>
          <w:p w:rsidR="00BB3F3E" w:rsidRPr="005C7CCE" w:rsidRDefault="00BB3F3E" w:rsidP="001A5BF9">
            <w:pPr>
              <w:spacing w:before="120" w:after="120"/>
              <w:rPr>
                <w:rFonts w:eastAsia="Calibri" w:cs="Arial"/>
                <w:sz w:val="16"/>
                <w:szCs w:val="16"/>
              </w:rPr>
            </w:pPr>
            <w:r w:rsidRPr="005C7CCE">
              <w:rPr>
                <w:sz w:val="16"/>
              </w:rPr>
              <w:t>Réduction des coûts d</w:t>
            </w:r>
            <w:r w:rsidR="00A20444" w:rsidRPr="005C7CCE">
              <w:rPr>
                <w:sz w:val="16"/>
              </w:rPr>
              <w:t>’</w:t>
            </w:r>
            <w:r w:rsidRPr="005C7CCE">
              <w:rPr>
                <w:sz w:val="16"/>
              </w:rPr>
              <w:t xml:space="preserve">entretien de la flotte de véhicules </w:t>
            </w:r>
          </w:p>
        </w:tc>
        <w:tc>
          <w:tcPr>
            <w:tcW w:w="4678" w:type="dxa"/>
            <w:shd w:val="clear" w:color="auto" w:fill="auto"/>
          </w:tcPr>
          <w:p w:rsidR="00BB3F3E" w:rsidRPr="005C7CCE" w:rsidRDefault="00BB3F3E" w:rsidP="001A5BF9">
            <w:pPr>
              <w:spacing w:before="120" w:after="120"/>
              <w:rPr>
                <w:rFonts w:eastAsia="Calibri" w:cs="Arial"/>
                <w:sz w:val="16"/>
                <w:szCs w:val="16"/>
              </w:rPr>
            </w:pPr>
            <w:r w:rsidRPr="005C7CCE">
              <w:rPr>
                <w:sz w:val="16"/>
              </w:rPr>
              <w:t xml:space="preserve">20 000 francs </w:t>
            </w:r>
            <w:r w:rsidR="003133EE">
              <w:rPr>
                <w:sz w:val="16"/>
              </w:rPr>
              <w:t>suisses</w:t>
            </w:r>
            <w:r w:rsidRPr="005C7CCE">
              <w:rPr>
                <w:sz w:val="16"/>
              </w:rPr>
              <w:t xml:space="preserve"> entre 2010</w:t>
            </w:r>
            <w:r w:rsidR="002D6F2A" w:rsidRPr="005C7CCE">
              <w:rPr>
                <w:sz w:val="16"/>
              </w:rPr>
              <w:noBreakHyphen/>
            </w:r>
            <w:r w:rsidRPr="005C7CCE">
              <w:rPr>
                <w:sz w:val="16"/>
              </w:rPr>
              <w:t>2011 et 2012</w:t>
            </w:r>
            <w:r w:rsidR="002D6F2A" w:rsidRPr="005C7CCE">
              <w:rPr>
                <w:sz w:val="16"/>
              </w:rPr>
              <w:noBreakHyphen/>
            </w:r>
            <w:r w:rsidRPr="005C7CCE">
              <w:rPr>
                <w:sz w:val="16"/>
              </w:rPr>
              <w:t>2013</w:t>
            </w:r>
          </w:p>
        </w:tc>
      </w:tr>
    </w:tbl>
    <w:p w:rsidR="00D42474" w:rsidRDefault="00D42474" w:rsidP="001A5BF9">
      <w:pPr>
        <w:rPr>
          <w:rFonts w:eastAsia="Calibri" w:cs="Arial"/>
          <w:b/>
          <w:szCs w:val="20"/>
        </w:rPr>
      </w:pPr>
    </w:p>
    <w:p w:rsidR="00D42474" w:rsidRDefault="00BB3F3E" w:rsidP="001A5BF9">
      <w:pPr>
        <w:spacing w:after="200"/>
        <w:jc w:val="both"/>
        <w:rPr>
          <w:rFonts w:eastAsia="Calibri" w:cs="Arial"/>
          <w:b/>
          <w:szCs w:val="20"/>
        </w:rPr>
      </w:pPr>
      <w:r w:rsidRPr="005C7CCE">
        <w:rPr>
          <w:b/>
        </w:rPr>
        <w:t>VOYAGES DE FONCTIONNAIRES ET DE TIERS</w:t>
      </w:r>
    </w:p>
    <w:p w:rsidR="00D42474" w:rsidRDefault="00BB3F3E" w:rsidP="001A5BF9">
      <w:pPr>
        <w:jc w:val="both"/>
        <w:rPr>
          <w:rFonts w:eastAsia="Calibri" w:cs="Arial"/>
          <w:szCs w:val="20"/>
        </w:rPr>
      </w:pPr>
      <w:r w:rsidRPr="005C7CCE">
        <w:t>Le Secrétariat a entrepris un effort concerté pour parvenir à une maîtrise des coûts en ce qui concerne les voyages de fonctionnaires et de tiers au cours de l</w:t>
      </w:r>
      <w:r w:rsidR="00A20444" w:rsidRPr="005C7CCE">
        <w:t>’</w:t>
      </w:r>
      <w:r w:rsidRPr="005C7CCE">
        <w:t xml:space="preserve">exercice biennal. </w:t>
      </w:r>
      <w:r w:rsidR="0010442A" w:rsidRPr="005C7CCE">
        <w:t xml:space="preserve"> </w:t>
      </w:r>
      <w:r w:rsidRPr="005C7CCE">
        <w:t>À cette fin, les mesures politiques suivantes ont été élaborées et/ou mises en œuvre pendant l</w:t>
      </w:r>
      <w:r w:rsidR="00A20444" w:rsidRPr="005C7CCE">
        <w:t>’</w:t>
      </w:r>
      <w:r w:rsidRPr="005C7CCE">
        <w:t>exercice biennal :</w:t>
      </w:r>
    </w:p>
    <w:p w:rsidR="00D42474" w:rsidRDefault="00D42474" w:rsidP="001A5BF9">
      <w:pPr>
        <w:jc w:val="both"/>
        <w:rPr>
          <w:rFonts w:eastAsia="Calibri" w:cs="Arial"/>
          <w:szCs w:val="20"/>
        </w:rPr>
      </w:pPr>
    </w:p>
    <w:p w:rsidR="00D42474" w:rsidRDefault="00BB3F3E" w:rsidP="001A5BF9">
      <w:pPr>
        <w:numPr>
          <w:ilvl w:val="0"/>
          <w:numId w:val="86"/>
        </w:numPr>
        <w:tabs>
          <w:tab w:val="left" w:pos="714"/>
        </w:tabs>
        <w:ind w:left="714" w:hanging="357"/>
        <w:contextualSpacing/>
        <w:rPr>
          <w:rFonts w:eastAsia="Calibri" w:cs="Arial"/>
          <w:szCs w:val="20"/>
        </w:rPr>
      </w:pPr>
      <w:r w:rsidRPr="005C7CCE">
        <w:t>obligation de voyager en classe économique pour les voyages n</w:t>
      </w:r>
      <w:r w:rsidR="00A20444" w:rsidRPr="005C7CCE">
        <w:t>’</w:t>
      </w:r>
      <w:r w:rsidRPr="005C7CCE">
        <w:t>excédant pas neuf heures, escales comprises;</w:t>
      </w:r>
    </w:p>
    <w:p w:rsidR="00D42474" w:rsidRDefault="00BB3F3E" w:rsidP="001A5BF9">
      <w:pPr>
        <w:numPr>
          <w:ilvl w:val="0"/>
          <w:numId w:val="86"/>
        </w:numPr>
        <w:tabs>
          <w:tab w:val="left" w:pos="714"/>
        </w:tabs>
        <w:ind w:left="714" w:hanging="357"/>
        <w:contextualSpacing/>
        <w:rPr>
          <w:rFonts w:eastAsia="Calibri" w:cs="Arial"/>
          <w:szCs w:val="20"/>
        </w:rPr>
      </w:pPr>
      <w:r w:rsidRPr="005C7CCE">
        <w:t>obligation de se déplacer en empruntant l</w:t>
      </w:r>
      <w:r w:rsidR="00A20444" w:rsidRPr="005C7CCE">
        <w:t>’</w:t>
      </w:r>
      <w:r w:rsidRPr="005C7CCE">
        <w:t>itinéraire le plus direct et le plus économique;</w:t>
      </w:r>
    </w:p>
    <w:p w:rsidR="00D42474" w:rsidRDefault="00BB3F3E" w:rsidP="001A5BF9">
      <w:pPr>
        <w:numPr>
          <w:ilvl w:val="0"/>
          <w:numId w:val="86"/>
        </w:numPr>
        <w:tabs>
          <w:tab w:val="left" w:pos="714"/>
        </w:tabs>
        <w:ind w:left="714" w:hanging="357"/>
        <w:contextualSpacing/>
      </w:pPr>
      <w:r w:rsidRPr="005C7CCE">
        <w:t xml:space="preserve">obligation achat des billets au moins </w:t>
      </w:r>
      <w:r w:rsidR="0010442A" w:rsidRPr="005C7CCE">
        <w:t>10</w:t>
      </w:r>
      <w:r w:rsidRPr="005C7CCE">
        <w:t> jours ouvrés avant la date du départ;</w:t>
      </w:r>
    </w:p>
    <w:p w:rsidR="00D42474" w:rsidRDefault="00BB3F3E" w:rsidP="001A5BF9">
      <w:pPr>
        <w:numPr>
          <w:ilvl w:val="0"/>
          <w:numId w:val="86"/>
        </w:numPr>
        <w:tabs>
          <w:tab w:val="left" w:pos="714"/>
        </w:tabs>
        <w:ind w:left="714" w:hanging="357"/>
        <w:contextualSpacing/>
        <w:rPr>
          <w:rFonts w:eastAsia="Calibri" w:cs="Arial"/>
          <w:szCs w:val="20"/>
        </w:rPr>
      </w:pPr>
      <w:r w:rsidRPr="005C7CCE">
        <w:t>réduction de l</w:t>
      </w:r>
      <w:r w:rsidR="00A20444" w:rsidRPr="005C7CCE">
        <w:t>’</w:t>
      </w:r>
      <w:r w:rsidRPr="005C7CCE">
        <w:t>indemnité journalière de subsistance de 50</w:t>
      </w:r>
      <w:r w:rsidR="007E442D" w:rsidRPr="005C7CCE">
        <w:t>%</w:t>
      </w:r>
      <w:r w:rsidRPr="005C7CCE">
        <w:t xml:space="preserve"> pour les voyages aériens de nuit;</w:t>
      </w:r>
    </w:p>
    <w:p w:rsidR="00D42474" w:rsidRDefault="00BB3F3E" w:rsidP="001A5BF9">
      <w:pPr>
        <w:numPr>
          <w:ilvl w:val="0"/>
          <w:numId w:val="86"/>
        </w:numPr>
        <w:tabs>
          <w:tab w:val="left" w:pos="714"/>
        </w:tabs>
        <w:ind w:left="714" w:hanging="357"/>
        <w:contextualSpacing/>
        <w:rPr>
          <w:rFonts w:eastAsia="Calibri" w:cs="Arial"/>
          <w:szCs w:val="20"/>
        </w:rPr>
      </w:pPr>
      <w:r w:rsidRPr="005C7CCE">
        <w:t>La politique de congés dans les foyers a été révisée.</w:t>
      </w:r>
    </w:p>
    <w:p w:rsidR="00D42474" w:rsidRDefault="00D42474" w:rsidP="001A5BF9">
      <w:pPr>
        <w:ind w:left="720"/>
        <w:contextualSpacing/>
        <w:jc w:val="both"/>
        <w:rPr>
          <w:rFonts w:eastAsia="Calibri" w:cs="Arial"/>
          <w:szCs w:val="20"/>
        </w:rPr>
      </w:pPr>
    </w:p>
    <w:p w:rsidR="00D42474" w:rsidRDefault="00BB3F3E" w:rsidP="001A5BF9">
      <w:pPr>
        <w:jc w:val="both"/>
      </w:pPr>
      <w:r w:rsidRPr="005C7CCE">
        <w:t>La politique révisée de congés dans les foyers a été promulguée au début de l</w:t>
      </w:r>
      <w:r w:rsidR="00A20444" w:rsidRPr="005C7CCE">
        <w:t>’</w:t>
      </w:r>
      <w:r w:rsidRPr="005C7CCE">
        <w:t xml:space="preserve">année 2014. </w:t>
      </w:r>
      <w:r w:rsidR="0010442A" w:rsidRPr="005C7CCE">
        <w:t xml:space="preserve"> </w:t>
      </w:r>
      <w:r w:rsidRPr="005C7CCE">
        <w:t>Elle comprend des conditions de voyage beaucoup plus strictes et devrait engendrer d</w:t>
      </w:r>
      <w:r w:rsidR="00A20444" w:rsidRPr="005C7CCE">
        <w:t>’</w:t>
      </w:r>
      <w:r w:rsidRPr="005C7CCE">
        <w:t>importantes économies pour l</w:t>
      </w:r>
      <w:r w:rsidR="00A20444" w:rsidRPr="005C7CCE">
        <w:t>’</w:t>
      </w:r>
      <w:r w:rsidRPr="005C7CCE">
        <w:t>Organisation au cours de l</w:t>
      </w:r>
      <w:r w:rsidR="00A20444" w:rsidRPr="005C7CCE">
        <w:t>’</w:t>
      </w:r>
      <w:r w:rsidRPr="005C7CCE">
        <w:t>exercice biennal 2016</w:t>
      </w:r>
      <w:r w:rsidR="002D6F2A" w:rsidRPr="005C7CCE">
        <w:noBreakHyphen/>
      </w:r>
      <w:r w:rsidRPr="005C7CCE">
        <w:t>2017.</w:t>
      </w:r>
    </w:p>
    <w:p w:rsidR="00D42474" w:rsidRDefault="00D42474" w:rsidP="001A5BF9">
      <w:pPr>
        <w:jc w:val="both"/>
        <w:rPr>
          <w:rFonts w:eastAsia="Calibri" w:cs="Arial"/>
          <w:szCs w:val="20"/>
        </w:rPr>
      </w:pPr>
    </w:p>
    <w:p w:rsidR="00D42474" w:rsidRDefault="00BB3F3E" w:rsidP="001A5BF9">
      <w:pPr>
        <w:jc w:val="both"/>
      </w:pPr>
      <w:r w:rsidRPr="005C7CCE">
        <w:t>Les économies réalisées grâce i) aux voyages en classe économique pour les trajets n</w:t>
      </w:r>
      <w:r w:rsidR="00A20444" w:rsidRPr="005C7CCE">
        <w:t>’</w:t>
      </w:r>
      <w:r w:rsidRPr="005C7CCE">
        <w:t>excédant pas neuf heures, ii) à la réduction de l</w:t>
      </w:r>
      <w:r w:rsidR="00A20444" w:rsidRPr="005C7CCE">
        <w:t>’</w:t>
      </w:r>
      <w:r w:rsidRPr="005C7CCE">
        <w:t>indemnité de subsistance pour les vols de nuit et iii) à la réservation anticipée des billets sont estimées à 923 000 francs suisses en 2012</w:t>
      </w:r>
      <w:r w:rsidR="002D6F2A" w:rsidRPr="005C7CCE">
        <w:noBreakHyphen/>
      </w:r>
      <w:r w:rsidRPr="005C7CCE">
        <w:t xml:space="preserve">2013. </w:t>
      </w:r>
      <w:r w:rsidR="0010442A" w:rsidRPr="005C7CCE">
        <w:t xml:space="preserve"> </w:t>
      </w:r>
      <w:r w:rsidRPr="005C7CCE">
        <w:t xml:space="preserve">Le prix moyen des billets toutes classes de voyage, tous types de voyageur et vendeur confondus a baissé de </w:t>
      </w:r>
      <w:r w:rsidR="0010442A" w:rsidRPr="005C7CCE">
        <w:t>1914</w:t>
      </w:r>
      <w:r w:rsidRPr="005C7CCE">
        <w:t xml:space="preserve"> francs suisses en 2012 à </w:t>
      </w:r>
      <w:r w:rsidR="0010442A" w:rsidRPr="005C7CCE">
        <w:t>1728</w:t>
      </w:r>
      <w:r w:rsidRPr="005C7CCE">
        <w:t> francs suisses en 2013.</w:t>
      </w:r>
      <w:r w:rsidR="0010442A" w:rsidRPr="005C7CCE">
        <w:t xml:space="preserve"> </w:t>
      </w:r>
      <w:r w:rsidRPr="005C7CCE">
        <w:t xml:space="preserve"> D</w:t>
      </w:r>
      <w:r w:rsidR="00A20444" w:rsidRPr="005C7CCE">
        <w:t>’</w:t>
      </w:r>
      <w:r w:rsidRPr="005C7CCE">
        <w:t>autres gains d</w:t>
      </w:r>
      <w:r w:rsidR="00A20444" w:rsidRPr="005C7CCE">
        <w:t>’</w:t>
      </w:r>
      <w:r w:rsidRPr="005C7CCE">
        <w:t>efficacité internes ont également été réalisés en ce qui concerne le traitement des visas de tiers et des demandes liées à des voyages et à des manifestations.</w:t>
      </w:r>
    </w:p>
    <w:p w:rsidR="00D42474" w:rsidRDefault="00D42474" w:rsidP="001A5BF9">
      <w:pPr>
        <w:jc w:val="both"/>
        <w:rPr>
          <w:rFonts w:eastAsia="Calibri" w:cs="Arial"/>
          <w:szCs w:val="20"/>
        </w:rPr>
      </w:pPr>
    </w:p>
    <w:p w:rsidR="00D42474" w:rsidRDefault="00BB3F3E" w:rsidP="001A5BF9">
      <w:pPr>
        <w:jc w:val="both"/>
        <w:rPr>
          <w:rFonts w:eastAsia="Calibri" w:cs="Arial"/>
          <w:szCs w:val="20"/>
        </w:rPr>
      </w:pPr>
      <w:r w:rsidRPr="005C7CCE">
        <w:t>La participation régulière de l</w:t>
      </w:r>
      <w:r w:rsidR="00A20444" w:rsidRPr="005C7CCE">
        <w:t>’</w:t>
      </w:r>
      <w:r w:rsidRPr="005C7CCE">
        <w:t>Organisation aux négociations conjointes avec des compagnies aériennes au côté d</w:t>
      </w:r>
      <w:r w:rsidR="00A20444" w:rsidRPr="005C7CCE">
        <w:t>’</w:t>
      </w:r>
      <w:r w:rsidRPr="005C7CCE">
        <w:t xml:space="preserve">autres institutions des </w:t>
      </w:r>
      <w:r w:rsidR="00A20444" w:rsidRPr="005C7CCE">
        <w:t>Nations Unies</w:t>
      </w:r>
      <w:r w:rsidRPr="005C7CCE">
        <w:t>, dans le cadre du Groupe des activités communes d</w:t>
      </w:r>
      <w:r w:rsidR="00A20444" w:rsidRPr="005C7CCE">
        <w:t>’</w:t>
      </w:r>
      <w:r w:rsidRPr="005C7CCE">
        <w:t xml:space="preserve">achat des </w:t>
      </w:r>
      <w:r w:rsidR="00A20444" w:rsidRPr="005C7CCE">
        <w:t>Nations Unies</w:t>
      </w:r>
      <w:r w:rsidRPr="005C7CCE">
        <w:t xml:space="preserve"> (groupe ACA), s</w:t>
      </w:r>
      <w:r w:rsidR="00A20444" w:rsidRPr="005C7CCE">
        <w:t>’</w:t>
      </w:r>
      <w:r w:rsidRPr="005C7CCE">
        <w:t xml:space="preserve">est avérée efficace pour obtenir des conditions et prix plus avantageux de la part des compagnies aériennes. </w:t>
      </w:r>
      <w:r w:rsidR="0010442A" w:rsidRPr="005C7CCE">
        <w:t xml:space="preserve"> </w:t>
      </w:r>
      <w:r w:rsidRPr="005C7CCE">
        <w:t>Les économies réalisées par l</w:t>
      </w:r>
      <w:r w:rsidR="00A20444" w:rsidRPr="005C7CCE">
        <w:t>’</w:t>
      </w:r>
      <w:r w:rsidRPr="005C7CCE">
        <w:t>OMPI dans ce domaine ont été estimées à environ 880 000 francs suisses pour l</w:t>
      </w:r>
      <w:r w:rsidR="00A20444" w:rsidRPr="005C7CCE">
        <w:t>’</w:t>
      </w:r>
      <w:r w:rsidRPr="005C7CCE">
        <w:t>année 2012 et 740 000 francs suisses pour l</w:t>
      </w:r>
      <w:r w:rsidR="00A20444" w:rsidRPr="005C7CCE">
        <w:t>’</w:t>
      </w:r>
      <w:r w:rsidRPr="005C7CCE">
        <w:t>année 2013.</w:t>
      </w:r>
    </w:p>
    <w:p w:rsidR="00D42474" w:rsidRDefault="00D42474" w:rsidP="001A5BF9">
      <w:pPr>
        <w:jc w:val="both"/>
        <w:rPr>
          <w:rFonts w:eastAsia="Calibri" w:cs="Arial"/>
          <w:szCs w:val="20"/>
        </w:rPr>
      </w:pPr>
    </w:p>
    <w:p w:rsidR="00D42474" w:rsidRDefault="00BB3F3E" w:rsidP="001A5BF9">
      <w:pPr>
        <w:jc w:val="both"/>
        <w:rPr>
          <w:spacing w:val="-2"/>
        </w:rPr>
      </w:pPr>
      <w:r w:rsidRPr="005C7CCE">
        <w:rPr>
          <w:spacing w:val="-2"/>
        </w:rPr>
        <w:t>Les efforts supplémentaires déployés par le Secrétariat pour parvenir à des gains d</w:t>
      </w:r>
      <w:r w:rsidR="00A20444" w:rsidRPr="005C7CCE">
        <w:rPr>
          <w:spacing w:val="-2"/>
        </w:rPr>
        <w:t>’</w:t>
      </w:r>
      <w:r w:rsidRPr="005C7CCE">
        <w:rPr>
          <w:spacing w:val="-2"/>
        </w:rPr>
        <w:t>efficacité en matière de voyages ont été décrits dans le document WO/PBC/21/19, notamment l</w:t>
      </w:r>
      <w:r w:rsidR="00A20444" w:rsidRPr="005C7CCE">
        <w:rPr>
          <w:spacing w:val="-2"/>
        </w:rPr>
        <w:t>’</w:t>
      </w:r>
      <w:r w:rsidRPr="005C7CCE">
        <w:rPr>
          <w:spacing w:val="-2"/>
        </w:rPr>
        <w:t>introduction d</w:t>
      </w:r>
      <w:r w:rsidR="00A20444" w:rsidRPr="005C7CCE">
        <w:rPr>
          <w:spacing w:val="-2"/>
        </w:rPr>
        <w:t>’</w:t>
      </w:r>
      <w:r w:rsidRPr="005C7CCE">
        <w:rPr>
          <w:spacing w:val="-2"/>
        </w:rPr>
        <w:t xml:space="preserve">un outil de réservation en ligne visant à améliorer les processus internes en place, en obtenant des prix de billets considérablement plus avantageux et une réduction des frais de transaction auprès des agences de voyage. </w:t>
      </w:r>
      <w:r w:rsidR="0010442A" w:rsidRPr="005C7CCE">
        <w:rPr>
          <w:spacing w:val="-2"/>
        </w:rPr>
        <w:t xml:space="preserve"> </w:t>
      </w:r>
      <w:r w:rsidRPr="005C7CCE">
        <w:rPr>
          <w:spacing w:val="-2"/>
        </w:rPr>
        <w:t>Les travaux en ce qui concerne l</w:t>
      </w:r>
      <w:r w:rsidR="00A20444" w:rsidRPr="005C7CCE">
        <w:rPr>
          <w:spacing w:val="-2"/>
        </w:rPr>
        <w:t>’</w:t>
      </w:r>
      <w:r w:rsidRPr="005C7CCE">
        <w:rPr>
          <w:spacing w:val="-2"/>
        </w:rPr>
        <w:t>outil de réservation en ligne ont commencé en 2012</w:t>
      </w:r>
      <w:r w:rsidR="002D6F2A" w:rsidRPr="005C7CCE">
        <w:rPr>
          <w:spacing w:val="-2"/>
        </w:rPr>
        <w:noBreakHyphen/>
      </w:r>
      <w:r w:rsidRPr="005C7CCE">
        <w:rPr>
          <w:spacing w:val="-2"/>
        </w:rPr>
        <w:t>2013.</w:t>
      </w:r>
      <w:r w:rsidR="0010442A" w:rsidRPr="005C7CCE">
        <w:rPr>
          <w:spacing w:val="-2"/>
        </w:rPr>
        <w:t xml:space="preserve"> </w:t>
      </w:r>
      <w:r w:rsidRPr="005C7CCE">
        <w:rPr>
          <w:spacing w:val="-2"/>
        </w:rPr>
        <w:t xml:space="preserve"> L</w:t>
      </w:r>
      <w:r w:rsidR="00A20444" w:rsidRPr="005C7CCE">
        <w:rPr>
          <w:spacing w:val="-2"/>
        </w:rPr>
        <w:t>’</w:t>
      </w:r>
      <w:r w:rsidRPr="005C7CCE">
        <w:rPr>
          <w:spacing w:val="-2"/>
        </w:rPr>
        <w:t>outil devrait être lancé en 2014 et permettre de réaliser des économies supplémentaires à compter de 2015.</w:t>
      </w:r>
    </w:p>
    <w:p w:rsidR="00D42474" w:rsidRDefault="00D42474" w:rsidP="001A5BF9">
      <w:pPr>
        <w:jc w:val="both"/>
        <w:rPr>
          <w:rFonts w:eastAsia="Calibri" w:cs="Arial"/>
          <w:szCs w:val="20"/>
        </w:rPr>
      </w:pPr>
    </w:p>
    <w:p w:rsidR="00D42474" w:rsidRDefault="00BB3F3E" w:rsidP="001A5BF9">
      <w:pPr>
        <w:jc w:val="both"/>
        <w:rPr>
          <w:rFonts w:eastAsia="Calibri" w:cs="Arial"/>
          <w:szCs w:val="20"/>
        </w:rPr>
      </w:pPr>
      <w:r w:rsidRPr="005C7CCE">
        <w:t>L</w:t>
      </w:r>
      <w:r w:rsidR="00A20444" w:rsidRPr="005C7CCE">
        <w:t>’</w:t>
      </w:r>
      <w:r w:rsidRPr="005C7CCE">
        <w:t>OMPI a continué à améliorer l</w:t>
      </w:r>
      <w:r w:rsidR="00A20444" w:rsidRPr="005C7CCE">
        <w:t>’</w:t>
      </w:r>
      <w:r w:rsidRPr="005C7CCE">
        <w:t>efficacité de ses processus relatifs aux déplacements, ce qui s</w:t>
      </w:r>
      <w:r w:rsidR="00A20444" w:rsidRPr="005C7CCE">
        <w:t>’</w:t>
      </w:r>
      <w:r w:rsidRPr="005C7CCE">
        <w:t>est soldé par l</w:t>
      </w:r>
      <w:r w:rsidR="00A20444" w:rsidRPr="005C7CCE">
        <w:t>’</w:t>
      </w:r>
      <w:r w:rsidRPr="005C7CCE">
        <w:t>absorption de la hausse de 19,3</w:t>
      </w:r>
      <w:r w:rsidR="007E442D" w:rsidRPr="005C7CCE">
        <w:t>%</w:t>
      </w:r>
      <w:r w:rsidRPr="005C7CCE">
        <w:t xml:space="preserve"> du nombre d</w:t>
      </w:r>
      <w:r w:rsidR="00A20444" w:rsidRPr="005C7CCE">
        <w:t>’</w:t>
      </w:r>
      <w:r w:rsidRPr="005C7CCE">
        <w:t>autorisations de voyage électroniques traitées entre 2012 et 2013.</w:t>
      </w:r>
    </w:p>
    <w:p w:rsidR="00D42474" w:rsidRDefault="00D42474" w:rsidP="001A5BF9">
      <w:pPr>
        <w:jc w:val="both"/>
        <w:rPr>
          <w:rFonts w:eastAsia="Calibri" w:cs="Arial"/>
          <w:szCs w:val="20"/>
        </w:rPr>
      </w:pPr>
    </w:p>
    <w:p w:rsidR="00D42474" w:rsidRDefault="00F40E87" w:rsidP="001A5BF9">
      <w:pPr>
        <w:jc w:val="both"/>
        <w:rPr>
          <w:rFonts w:eastAsia="Calibri" w:cs="Arial"/>
          <w:szCs w:val="20"/>
        </w:rPr>
      </w:pPr>
      <w:r w:rsidRPr="005C7CCE">
        <w:t>Le tableau ci</w:t>
      </w:r>
      <w:r w:rsidR="002D6F2A" w:rsidRPr="005C7CCE">
        <w:noBreakHyphen/>
      </w:r>
      <w:r w:rsidRPr="005C7CCE">
        <w:t>dessous résume les économies et/ou gains d</w:t>
      </w:r>
      <w:r w:rsidR="00A20444" w:rsidRPr="005C7CCE">
        <w:t>’</w:t>
      </w:r>
      <w:r w:rsidRPr="005C7CCE">
        <w:t>efficacité obtenus sur les voyages de fonctionnaires et de tiers.</w:t>
      </w:r>
    </w:p>
    <w:p w:rsidR="00F40E87" w:rsidRPr="005C7CCE" w:rsidRDefault="00F40E87" w:rsidP="001A5BF9">
      <w:pPr>
        <w:jc w:val="both"/>
        <w:rPr>
          <w:rFonts w:eastAsia="Calibri" w:cs="Arial"/>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6851DA" w:rsidRPr="006851DA" w:rsidTr="006851DA">
        <w:trPr>
          <w:trHeight w:val="386"/>
        </w:trPr>
        <w:tc>
          <w:tcPr>
            <w:tcW w:w="4678" w:type="dxa"/>
            <w:shd w:val="clear" w:color="auto" w:fill="B8CCE4" w:themeFill="accent1" w:themeFillTint="66"/>
            <w:vAlign w:val="center"/>
          </w:tcPr>
          <w:p w:rsidR="00F40E87" w:rsidRPr="006851DA" w:rsidRDefault="00F40E87" w:rsidP="001A5BF9">
            <w:pPr>
              <w:spacing w:before="120" w:after="120"/>
              <w:jc w:val="center"/>
              <w:rPr>
                <w:rFonts w:eastAsia="Calibri" w:cs="Arial"/>
                <w:b/>
                <w:sz w:val="18"/>
                <w:szCs w:val="18"/>
              </w:rPr>
            </w:pPr>
            <w:r w:rsidRPr="006851DA">
              <w:rPr>
                <w:b/>
                <w:sz w:val="18"/>
              </w:rPr>
              <w:t>Description</w:t>
            </w:r>
          </w:p>
        </w:tc>
        <w:tc>
          <w:tcPr>
            <w:tcW w:w="4678" w:type="dxa"/>
            <w:shd w:val="clear" w:color="auto" w:fill="B8CCE4" w:themeFill="accent1" w:themeFillTint="66"/>
            <w:vAlign w:val="center"/>
          </w:tcPr>
          <w:p w:rsidR="00F40E87" w:rsidRPr="006851DA" w:rsidRDefault="00F40E87" w:rsidP="001A5BF9">
            <w:pPr>
              <w:spacing w:before="120" w:after="120"/>
              <w:jc w:val="center"/>
              <w:rPr>
                <w:rFonts w:eastAsia="Calibri" w:cs="Arial"/>
                <w:b/>
                <w:sz w:val="18"/>
                <w:szCs w:val="18"/>
              </w:rPr>
            </w:pPr>
            <w:r w:rsidRPr="006851DA">
              <w:rPr>
                <w:b/>
                <w:sz w:val="18"/>
              </w:rPr>
              <w:t>Économie/gain d</w:t>
            </w:r>
            <w:r w:rsidR="00A20444" w:rsidRPr="006851DA">
              <w:rPr>
                <w:b/>
                <w:sz w:val="18"/>
              </w:rPr>
              <w:t>’</w:t>
            </w:r>
            <w:r w:rsidRPr="006851DA">
              <w:rPr>
                <w:b/>
                <w:sz w:val="18"/>
              </w:rPr>
              <w:t>efficacité</w:t>
            </w:r>
          </w:p>
        </w:tc>
      </w:tr>
      <w:tr w:rsidR="00F40E87" w:rsidRPr="005C7CCE" w:rsidTr="00BB3F3E">
        <w:trPr>
          <w:trHeight w:val="341"/>
        </w:trPr>
        <w:tc>
          <w:tcPr>
            <w:tcW w:w="4678" w:type="dxa"/>
            <w:shd w:val="clear" w:color="auto" w:fill="auto"/>
            <w:vAlign w:val="center"/>
          </w:tcPr>
          <w:p w:rsidR="00F40E87" w:rsidRPr="005C7CCE" w:rsidRDefault="00F40E87" w:rsidP="001A5BF9">
            <w:pPr>
              <w:spacing w:before="120" w:after="120"/>
              <w:rPr>
                <w:rFonts w:eastAsia="Calibri" w:cs="Arial"/>
                <w:sz w:val="16"/>
                <w:szCs w:val="16"/>
              </w:rPr>
            </w:pPr>
            <w:r w:rsidRPr="005C7CCE">
              <w:rPr>
                <w:sz w:val="16"/>
              </w:rPr>
              <w:t xml:space="preserve">Économies découlant des mesures relatives aux voyages </w:t>
            </w:r>
          </w:p>
        </w:tc>
        <w:tc>
          <w:tcPr>
            <w:tcW w:w="4678" w:type="dxa"/>
            <w:shd w:val="clear" w:color="auto" w:fill="auto"/>
            <w:vAlign w:val="center"/>
          </w:tcPr>
          <w:p w:rsidR="00F40E87" w:rsidRPr="005C7CCE" w:rsidRDefault="00F40E87" w:rsidP="001A5BF9">
            <w:pPr>
              <w:spacing w:before="120" w:after="120"/>
              <w:rPr>
                <w:rFonts w:eastAsia="Calibri" w:cs="Arial"/>
                <w:sz w:val="16"/>
                <w:szCs w:val="16"/>
              </w:rPr>
            </w:pPr>
            <w:r w:rsidRPr="005C7CCE">
              <w:rPr>
                <w:sz w:val="16"/>
              </w:rPr>
              <w:t>923 000 en 2012</w:t>
            </w:r>
            <w:r w:rsidR="002D6F2A" w:rsidRPr="005C7CCE">
              <w:rPr>
                <w:sz w:val="16"/>
              </w:rPr>
              <w:noBreakHyphen/>
            </w:r>
            <w:r w:rsidRPr="005C7CCE">
              <w:rPr>
                <w:sz w:val="16"/>
              </w:rPr>
              <w:t xml:space="preserve">2013 </w:t>
            </w:r>
          </w:p>
        </w:tc>
      </w:tr>
      <w:tr w:rsidR="00F40E87" w:rsidRPr="005C7CCE" w:rsidTr="00BB3F3E">
        <w:trPr>
          <w:trHeight w:val="539"/>
        </w:trPr>
        <w:tc>
          <w:tcPr>
            <w:tcW w:w="4678" w:type="dxa"/>
            <w:shd w:val="clear" w:color="auto" w:fill="auto"/>
            <w:vAlign w:val="center"/>
          </w:tcPr>
          <w:p w:rsidR="00F40E87" w:rsidRPr="005C7CCE" w:rsidRDefault="00F40E87" w:rsidP="001A5BF9">
            <w:pPr>
              <w:spacing w:before="120" w:after="120"/>
              <w:rPr>
                <w:rFonts w:eastAsia="Calibri" w:cs="Arial"/>
                <w:sz w:val="16"/>
                <w:szCs w:val="16"/>
              </w:rPr>
            </w:pPr>
            <w:r w:rsidRPr="005C7CCE">
              <w:rPr>
                <w:sz w:val="16"/>
              </w:rPr>
              <w:t>Réduction du prix moyen des billets (toutes classes de voyage, tous types de voyageur et vendeur confondus)</w:t>
            </w:r>
          </w:p>
        </w:tc>
        <w:tc>
          <w:tcPr>
            <w:tcW w:w="4678" w:type="dxa"/>
            <w:shd w:val="clear" w:color="auto" w:fill="auto"/>
            <w:vAlign w:val="center"/>
          </w:tcPr>
          <w:p w:rsidR="00F40E87" w:rsidRPr="005C7CCE" w:rsidRDefault="00F40E87" w:rsidP="001A5BF9">
            <w:pPr>
              <w:spacing w:before="120" w:after="120"/>
              <w:rPr>
                <w:rFonts w:eastAsia="Calibri" w:cs="Arial"/>
                <w:sz w:val="16"/>
                <w:szCs w:val="16"/>
              </w:rPr>
            </w:pPr>
            <w:r w:rsidRPr="005C7CCE">
              <w:rPr>
                <w:sz w:val="16"/>
              </w:rPr>
              <w:t>1 914 francs suisses en 2012 et </w:t>
            </w:r>
            <w:r w:rsidR="0010442A" w:rsidRPr="005C7CCE">
              <w:rPr>
                <w:sz w:val="16"/>
              </w:rPr>
              <w:t>1728</w:t>
            </w:r>
            <w:r w:rsidRPr="005C7CCE">
              <w:rPr>
                <w:sz w:val="16"/>
              </w:rPr>
              <w:t> francs suisses en 2013</w:t>
            </w:r>
          </w:p>
        </w:tc>
      </w:tr>
      <w:tr w:rsidR="00F40E87" w:rsidRPr="005C7CCE" w:rsidTr="00BB3F3E">
        <w:trPr>
          <w:trHeight w:val="440"/>
        </w:trPr>
        <w:tc>
          <w:tcPr>
            <w:tcW w:w="4678" w:type="dxa"/>
            <w:shd w:val="clear" w:color="auto" w:fill="auto"/>
            <w:vAlign w:val="center"/>
          </w:tcPr>
          <w:p w:rsidR="00F40E87" w:rsidRPr="005C7CCE" w:rsidRDefault="00F40E87" w:rsidP="001A5BF9">
            <w:pPr>
              <w:spacing w:before="120" w:after="120"/>
              <w:rPr>
                <w:rFonts w:eastAsia="Calibri" w:cs="Arial"/>
                <w:sz w:val="16"/>
                <w:szCs w:val="16"/>
              </w:rPr>
            </w:pPr>
            <w:r w:rsidRPr="005C7CCE">
              <w:rPr>
                <w:sz w:val="16"/>
              </w:rPr>
              <w:t>Économies relatives à une participation active au groupe commun chargé de négocier avec les compagnies aériennes</w:t>
            </w:r>
          </w:p>
        </w:tc>
        <w:tc>
          <w:tcPr>
            <w:tcW w:w="4678" w:type="dxa"/>
            <w:shd w:val="clear" w:color="auto" w:fill="auto"/>
            <w:vAlign w:val="center"/>
          </w:tcPr>
          <w:p w:rsidR="00F40E87" w:rsidRPr="005C7CCE" w:rsidRDefault="00F40E87" w:rsidP="001A5BF9">
            <w:pPr>
              <w:spacing w:before="120" w:after="120"/>
              <w:rPr>
                <w:rFonts w:eastAsia="Calibri" w:cs="Arial"/>
                <w:sz w:val="16"/>
                <w:szCs w:val="16"/>
              </w:rPr>
            </w:pPr>
            <w:r w:rsidRPr="005C7CCE">
              <w:rPr>
                <w:sz w:val="16"/>
              </w:rPr>
              <w:t>880 000 en 2012 et 740 000 en 2013</w:t>
            </w:r>
          </w:p>
        </w:tc>
      </w:tr>
      <w:tr w:rsidR="00F40E87" w:rsidRPr="005C7CCE" w:rsidTr="00BB3F3E">
        <w:trPr>
          <w:trHeight w:val="683"/>
        </w:trPr>
        <w:tc>
          <w:tcPr>
            <w:tcW w:w="4678" w:type="dxa"/>
            <w:shd w:val="clear" w:color="auto" w:fill="auto"/>
          </w:tcPr>
          <w:p w:rsidR="00F40E87" w:rsidRPr="005C7CCE" w:rsidRDefault="00F40E87" w:rsidP="001A5BF9">
            <w:pPr>
              <w:spacing w:before="120" w:after="120"/>
              <w:rPr>
                <w:rFonts w:eastAsia="Calibri" w:cs="Arial"/>
                <w:sz w:val="16"/>
                <w:szCs w:val="16"/>
              </w:rPr>
            </w:pPr>
            <w:r w:rsidRPr="005C7CCE">
              <w:rPr>
                <w:sz w:val="16"/>
              </w:rPr>
              <w:t>Gains d</w:t>
            </w:r>
            <w:r w:rsidR="00A20444" w:rsidRPr="005C7CCE">
              <w:rPr>
                <w:sz w:val="16"/>
              </w:rPr>
              <w:t>’</w:t>
            </w:r>
            <w:r w:rsidRPr="005C7CCE">
              <w:rPr>
                <w:sz w:val="16"/>
              </w:rPr>
              <w:t>efficacité découlant de l</w:t>
            </w:r>
            <w:r w:rsidR="00A20444" w:rsidRPr="005C7CCE">
              <w:rPr>
                <w:sz w:val="16"/>
              </w:rPr>
              <w:t>’</w:t>
            </w:r>
            <w:r w:rsidRPr="005C7CCE">
              <w:rPr>
                <w:sz w:val="16"/>
              </w:rPr>
              <w:t>amélioration des procédures d</w:t>
            </w:r>
            <w:r w:rsidR="00A20444" w:rsidRPr="005C7CCE">
              <w:rPr>
                <w:sz w:val="16"/>
              </w:rPr>
              <w:t>’</w:t>
            </w:r>
            <w:r w:rsidRPr="005C7CCE">
              <w:rPr>
                <w:sz w:val="16"/>
              </w:rPr>
              <w:t>achat</w:t>
            </w:r>
          </w:p>
        </w:tc>
        <w:tc>
          <w:tcPr>
            <w:tcW w:w="4678" w:type="dxa"/>
            <w:shd w:val="clear" w:color="auto" w:fill="auto"/>
          </w:tcPr>
          <w:p w:rsidR="00F40E87" w:rsidRPr="005C7CCE" w:rsidRDefault="00F40E87" w:rsidP="001A5BF9">
            <w:pPr>
              <w:spacing w:before="120" w:after="120"/>
              <w:contextualSpacing/>
              <w:rPr>
                <w:rFonts w:eastAsia="Calibri" w:cs="Arial"/>
                <w:sz w:val="16"/>
                <w:szCs w:val="16"/>
              </w:rPr>
            </w:pPr>
            <w:r w:rsidRPr="005C7CCE">
              <w:rPr>
                <w:sz w:val="16"/>
              </w:rPr>
              <w:t>Absorption de la croissance des volumes d</w:t>
            </w:r>
            <w:r w:rsidR="00A20444" w:rsidRPr="005C7CCE">
              <w:rPr>
                <w:sz w:val="16"/>
              </w:rPr>
              <w:t>’</w:t>
            </w:r>
            <w:r w:rsidRPr="005C7CCE">
              <w:rPr>
                <w:sz w:val="16"/>
              </w:rPr>
              <w:t>autorisations de voyage électroniques (19,3</w:t>
            </w:r>
            <w:r w:rsidR="007E442D" w:rsidRPr="005C7CCE">
              <w:rPr>
                <w:sz w:val="16"/>
              </w:rPr>
              <w:t>%</w:t>
            </w:r>
            <w:r w:rsidRPr="005C7CCE">
              <w:rPr>
                <w:sz w:val="16"/>
              </w:rPr>
              <w:t> d</w:t>
            </w:r>
            <w:r w:rsidR="00A20444" w:rsidRPr="005C7CCE">
              <w:rPr>
                <w:sz w:val="16"/>
              </w:rPr>
              <w:t>’</w:t>
            </w:r>
            <w:r w:rsidRPr="005C7CCE">
              <w:rPr>
                <w:sz w:val="16"/>
              </w:rPr>
              <w:t>augmentation) et de bons de commandes et appels à soumission (16</w:t>
            </w:r>
            <w:r w:rsidR="007E442D" w:rsidRPr="005C7CCE">
              <w:rPr>
                <w:sz w:val="16"/>
              </w:rPr>
              <w:t>%</w:t>
            </w:r>
            <w:r w:rsidRPr="005C7CCE">
              <w:rPr>
                <w:sz w:val="16"/>
              </w:rPr>
              <w:t xml:space="preserve"> d</w:t>
            </w:r>
            <w:r w:rsidR="00A20444" w:rsidRPr="005C7CCE">
              <w:rPr>
                <w:sz w:val="16"/>
              </w:rPr>
              <w:t>’</w:t>
            </w:r>
            <w:r w:rsidRPr="005C7CCE">
              <w:rPr>
                <w:sz w:val="16"/>
              </w:rPr>
              <w:t>augmentation) entre 2012 et 2013.</w:t>
            </w:r>
          </w:p>
        </w:tc>
      </w:tr>
    </w:tbl>
    <w:p w:rsidR="00D42474" w:rsidRDefault="00D42474" w:rsidP="001A5BF9">
      <w:pPr>
        <w:rPr>
          <w:rFonts w:eastAsia="Calibri" w:cs="Arial"/>
          <w:b/>
          <w:bCs/>
          <w:caps/>
          <w:szCs w:val="20"/>
        </w:rPr>
      </w:pPr>
    </w:p>
    <w:p w:rsidR="00D42474" w:rsidRDefault="00D42474" w:rsidP="001A5BF9">
      <w:pPr>
        <w:rPr>
          <w:rFonts w:eastAsia="Calibri" w:cs="Arial"/>
          <w:b/>
          <w:bCs/>
          <w:caps/>
          <w:szCs w:val="20"/>
        </w:rPr>
      </w:pPr>
    </w:p>
    <w:p w:rsidR="00D42474" w:rsidRDefault="00F40E87" w:rsidP="001A5BF9">
      <w:pPr>
        <w:keepNext/>
        <w:keepLines/>
        <w:spacing w:after="200"/>
        <w:jc w:val="both"/>
        <w:rPr>
          <w:rFonts w:eastAsia="Calibri" w:cs="Arial"/>
          <w:b/>
          <w:bCs/>
          <w:caps/>
          <w:szCs w:val="20"/>
        </w:rPr>
      </w:pPr>
      <w:r w:rsidRPr="006851DA">
        <w:rPr>
          <w:b/>
          <w:caps/>
        </w:rPr>
        <w:t>ORGANISATION DE RÉUNIONS ET AUTRES MANIFESTATIONS</w:t>
      </w:r>
    </w:p>
    <w:p w:rsidR="00D42474" w:rsidRDefault="00F40E87" w:rsidP="001A5BF9">
      <w:pPr>
        <w:keepNext/>
        <w:keepLines/>
        <w:jc w:val="both"/>
        <w:rPr>
          <w:spacing w:val="-4"/>
        </w:rPr>
      </w:pPr>
      <w:r w:rsidRPr="005C7CCE">
        <w:rPr>
          <w:spacing w:val="-4"/>
        </w:rPr>
        <w:t>Un certain nombre de mesures de maîtrise des coûts relatives à l</w:t>
      </w:r>
      <w:r w:rsidR="00A20444" w:rsidRPr="005C7CCE">
        <w:rPr>
          <w:spacing w:val="-4"/>
        </w:rPr>
        <w:t>’</w:t>
      </w:r>
      <w:r w:rsidRPr="005C7CCE">
        <w:rPr>
          <w:spacing w:val="-4"/>
        </w:rPr>
        <w:t>organisation de réunions et de manifestations ont été mises en œuvre au cours de l</w:t>
      </w:r>
      <w:r w:rsidR="00A20444" w:rsidRPr="005C7CCE">
        <w:rPr>
          <w:spacing w:val="-4"/>
        </w:rPr>
        <w:t>’</w:t>
      </w:r>
      <w:r w:rsidRPr="005C7CCE">
        <w:rPr>
          <w:spacing w:val="-4"/>
        </w:rPr>
        <w:t>exercice biennal 2012</w:t>
      </w:r>
      <w:r w:rsidR="002D6F2A" w:rsidRPr="005C7CCE">
        <w:rPr>
          <w:spacing w:val="-4"/>
        </w:rPr>
        <w:noBreakHyphen/>
      </w:r>
      <w:r w:rsidRPr="005C7CCE">
        <w:rPr>
          <w:spacing w:val="-4"/>
        </w:rPr>
        <w:t xml:space="preserve">2013. </w:t>
      </w:r>
      <w:r w:rsidR="0010442A" w:rsidRPr="005C7CCE">
        <w:rPr>
          <w:spacing w:val="-4"/>
        </w:rPr>
        <w:t xml:space="preserve"> </w:t>
      </w:r>
      <w:r w:rsidRPr="005C7CCE">
        <w:rPr>
          <w:spacing w:val="-4"/>
        </w:rPr>
        <w:t>Ces mesures sont décrites en détail dans les documents WO/PBC/19/9 et WO/PBC/21/19.</w:t>
      </w:r>
      <w:r w:rsidR="0010442A" w:rsidRPr="005C7CCE">
        <w:rPr>
          <w:spacing w:val="-4"/>
        </w:rPr>
        <w:t xml:space="preserve"> </w:t>
      </w:r>
      <w:r w:rsidRPr="005C7CCE">
        <w:rPr>
          <w:spacing w:val="-4"/>
        </w:rPr>
        <w:t xml:space="preserve"> Parmi ces mesures figurent la limitation du nombre de fonctionnaires de l</w:t>
      </w:r>
      <w:r w:rsidR="00A20444" w:rsidRPr="005C7CCE">
        <w:rPr>
          <w:spacing w:val="-4"/>
        </w:rPr>
        <w:t>’</w:t>
      </w:r>
      <w:r w:rsidRPr="005C7CCE">
        <w:rPr>
          <w:spacing w:val="-4"/>
        </w:rPr>
        <w:t>OMPI assistant à une manifestation donnée, des indications pour l</w:t>
      </w:r>
      <w:r w:rsidR="00A20444" w:rsidRPr="005C7CCE">
        <w:rPr>
          <w:spacing w:val="-4"/>
        </w:rPr>
        <w:t>’</w:t>
      </w:r>
      <w:r w:rsidRPr="005C7CCE">
        <w:rPr>
          <w:spacing w:val="-4"/>
        </w:rPr>
        <w:t>utilisation d</w:t>
      </w:r>
      <w:r w:rsidR="00A20444" w:rsidRPr="005C7CCE">
        <w:rPr>
          <w:spacing w:val="-4"/>
        </w:rPr>
        <w:t>’</w:t>
      </w:r>
      <w:r w:rsidRPr="005C7CCE">
        <w:rPr>
          <w:spacing w:val="-4"/>
        </w:rPr>
        <w:t>hôtels moins onéreux, la limitation des réceptions à Genève, la limitation de la contribution maximale de l</w:t>
      </w:r>
      <w:r w:rsidR="00A20444" w:rsidRPr="005C7CCE">
        <w:rPr>
          <w:spacing w:val="-4"/>
        </w:rPr>
        <w:t>’</w:t>
      </w:r>
      <w:r w:rsidRPr="005C7CCE">
        <w:rPr>
          <w:spacing w:val="-4"/>
        </w:rPr>
        <w:t>OMPI aux manifestations organisées à l</w:t>
      </w:r>
      <w:r w:rsidR="00A20444" w:rsidRPr="005C7CCE">
        <w:rPr>
          <w:spacing w:val="-4"/>
        </w:rPr>
        <w:t>’</w:t>
      </w:r>
      <w:r w:rsidRPr="005C7CCE">
        <w:rPr>
          <w:spacing w:val="-4"/>
        </w:rPr>
        <w:t xml:space="preserve">étranger, la réduction des honoraires versés aux conférenciers, un plus large recours à la </w:t>
      </w:r>
      <w:proofErr w:type="spellStart"/>
      <w:r w:rsidRPr="005C7CCE">
        <w:rPr>
          <w:spacing w:val="-4"/>
        </w:rPr>
        <w:t>visioconférence</w:t>
      </w:r>
      <w:proofErr w:type="spellEnd"/>
      <w:r w:rsidRPr="005C7CCE">
        <w:rPr>
          <w:spacing w:val="-4"/>
        </w:rPr>
        <w:t xml:space="preserve"> et à la diffusion sur le Web pour les manifestations, les réunions et les activités de recrutement (entretiens), ainsi qu</w:t>
      </w:r>
      <w:r w:rsidR="00A20444" w:rsidRPr="005C7CCE">
        <w:rPr>
          <w:spacing w:val="-4"/>
        </w:rPr>
        <w:t>’</w:t>
      </w:r>
      <w:r w:rsidRPr="005C7CCE">
        <w:rPr>
          <w:spacing w:val="-4"/>
        </w:rPr>
        <w:t>une utilisation plus efficace et plus ciblée des bureaux extérieurs de l</w:t>
      </w:r>
      <w:r w:rsidR="00A20444" w:rsidRPr="005C7CCE">
        <w:rPr>
          <w:spacing w:val="-4"/>
        </w:rPr>
        <w:t>’</w:t>
      </w:r>
      <w:r w:rsidRPr="005C7CCE">
        <w:rPr>
          <w:spacing w:val="-4"/>
        </w:rPr>
        <w:t>OMPI pour représenter à moindre coût l</w:t>
      </w:r>
      <w:r w:rsidR="00A20444" w:rsidRPr="005C7CCE">
        <w:rPr>
          <w:spacing w:val="-4"/>
        </w:rPr>
        <w:t>’</w:t>
      </w:r>
      <w:r w:rsidRPr="005C7CCE">
        <w:rPr>
          <w:spacing w:val="-4"/>
        </w:rPr>
        <w:t>Organisation lors de certaines réunions.</w:t>
      </w:r>
    </w:p>
    <w:p w:rsidR="00D42474" w:rsidRDefault="00D42474" w:rsidP="001A5BF9">
      <w:pPr>
        <w:jc w:val="both"/>
        <w:rPr>
          <w:rFonts w:eastAsia="Calibri" w:cs="Arial"/>
          <w:bCs/>
          <w:sz w:val="12"/>
          <w:szCs w:val="20"/>
        </w:rPr>
      </w:pPr>
    </w:p>
    <w:p w:rsidR="00D42474" w:rsidRDefault="00F40E87" w:rsidP="001A5BF9">
      <w:pPr>
        <w:jc w:val="both"/>
      </w:pPr>
      <w:r w:rsidRPr="005C7CCE">
        <w:t>Malgré la rationalisation et les mesures de contrôle, l</w:t>
      </w:r>
      <w:r w:rsidR="00A20444" w:rsidRPr="005C7CCE">
        <w:t>’</w:t>
      </w:r>
      <w:r w:rsidRPr="005C7CCE">
        <w:t>extension de la couverture linguistique aux six</w:t>
      </w:r>
      <w:r w:rsidR="0010442A" w:rsidRPr="005C7CCE">
        <w:t> </w:t>
      </w:r>
      <w:r w:rsidRPr="005C7CCE">
        <w:t>langues officielles de l</w:t>
      </w:r>
      <w:r w:rsidR="00A20444" w:rsidRPr="005C7CCE">
        <w:t>’</w:t>
      </w:r>
      <w:r w:rsidRPr="005C7CCE">
        <w:t>ONU conformément à la politique linguistique de l</w:t>
      </w:r>
      <w:r w:rsidR="00A20444" w:rsidRPr="005C7CCE">
        <w:t>’</w:t>
      </w:r>
      <w:r w:rsidRPr="005C7CCE">
        <w:t>OMPI, adoptée en</w:t>
      </w:r>
      <w:r w:rsidR="0010442A" w:rsidRPr="005C7CCE">
        <w:t> </w:t>
      </w:r>
      <w:r w:rsidRPr="005C7CCE">
        <w:t>2011 par les assemblées de l</w:t>
      </w:r>
      <w:r w:rsidR="00A20444" w:rsidRPr="005C7CCE">
        <w:t>’</w:t>
      </w:r>
      <w:r w:rsidRPr="005C7CCE">
        <w:t>OMPI, a eu pour résultat une augmentation de 35</w:t>
      </w:r>
      <w:r w:rsidR="007E442D" w:rsidRPr="005C7CCE">
        <w:t>%</w:t>
      </w:r>
      <w:r w:rsidRPr="005C7CCE">
        <w:t xml:space="preserve"> de la charge de travail par rapport à l</w:t>
      </w:r>
      <w:r w:rsidR="00A20444" w:rsidRPr="005C7CCE">
        <w:t>’</w:t>
      </w:r>
      <w:r w:rsidRPr="005C7CCE">
        <w:t>exercice biennal 2010</w:t>
      </w:r>
      <w:r w:rsidR="002D6F2A" w:rsidRPr="005C7CCE">
        <w:noBreakHyphen/>
      </w:r>
      <w:r w:rsidRPr="005C7CCE">
        <w:t>2011.</w:t>
      </w:r>
      <w:r w:rsidR="0010442A" w:rsidRPr="005C7CCE">
        <w:t xml:space="preserve"> </w:t>
      </w:r>
      <w:r w:rsidRPr="005C7CCE">
        <w:t xml:space="preserve"> Consécutivement à un recours accru à la sous</w:t>
      </w:r>
      <w:r w:rsidR="002D6F2A" w:rsidRPr="005C7CCE">
        <w:noBreakHyphen/>
      </w:r>
      <w:r w:rsidRPr="005C7CCE">
        <w:t>traitance, à la rationalisation des procédures internes aussi bien en amont du travail de traduction que dans le cadre de ce dernier et à l</w:t>
      </w:r>
      <w:r w:rsidR="00A20444" w:rsidRPr="005C7CCE">
        <w:t>’</w:t>
      </w:r>
      <w:r w:rsidRPr="005C7CCE">
        <w:t>utilisation efficace des outils informatiques relatifs à la traduction, le coût moyen des traductions a été réduit de 213 francs suisses en 2010</w:t>
      </w:r>
      <w:r w:rsidR="002D6F2A" w:rsidRPr="005C7CCE">
        <w:noBreakHyphen/>
      </w:r>
      <w:r w:rsidRPr="005C7CCE">
        <w:t>2011 à 191 francs suisses en 2012</w:t>
      </w:r>
      <w:r w:rsidR="002D6F2A" w:rsidRPr="005C7CCE">
        <w:noBreakHyphen/>
      </w:r>
      <w:r w:rsidRPr="005C7CCE">
        <w:t xml:space="preserve">2013. </w:t>
      </w:r>
      <w:r w:rsidR="0010442A" w:rsidRPr="005C7CCE">
        <w:t xml:space="preserve"> </w:t>
      </w:r>
      <w:r w:rsidRPr="005C7CCE">
        <w:t>Les réductions de coûts qui en résultent s</w:t>
      </w:r>
      <w:r w:rsidR="00A20444" w:rsidRPr="005C7CCE">
        <w:t>’</w:t>
      </w:r>
      <w:r w:rsidRPr="005C7CCE">
        <w:t>élèvent à 2,2 millions de francs suisses.</w:t>
      </w:r>
    </w:p>
    <w:p w:rsidR="00D42474" w:rsidRDefault="00D42474" w:rsidP="001A5BF9">
      <w:pPr>
        <w:jc w:val="both"/>
        <w:rPr>
          <w:rFonts w:eastAsia="Calibri" w:cs="Arial"/>
          <w:sz w:val="12"/>
          <w:szCs w:val="20"/>
        </w:rPr>
      </w:pPr>
    </w:p>
    <w:p w:rsidR="00F40E87" w:rsidRPr="005C7CCE" w:rsidRDefault="00F40E87" w:rsidP="001A5BF9">
      <w:pPr>
        <w:spacing w:after="200"/>
        <w:jc w:val="both"/>
        <w:rPr>
          <w:rFonts w:eastAsia="Calibri" w:cs="Arial"/>
          <w:szCs w:val="20"/>
        </w:rPr>
      </w:pPr>
      <w:r w:rsidRPr="005C7CCE">
        <w:t>Le tableau ci</w:t>
      </w:r>
      <w:r w:rsidR="002D6F2A" w:rsidRPr="005C7CCE">
        <w:noBreakHyphen/>
      </w:r>
      <w:r w:rsidRPr="005C7CCE">
        <w:t>dessous résume les économies et/ou gains d</w:t>
      </w:r>
      <w:r w:rsidR="00A20444" w:rsidRPr="005C7CCE">
        <w:t>’</w:t>
      </w:r>
      <w:r w:rsidRPr="005C7CCE">
        <w:t>efficacité obtenus sur l</w:t>
      </w:r>
      <w:r w:rsidR="00A20444" w:rsidRPr="005C7CCE">
        <w:t>’</w:t>
      </w:r>
      <w:r w:rsidRPr="005C7CCE">
        <w:t>organisation des réunions et des manifestations.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678"/>
        <w:gridCol w:w="4678"/>
      </w:tblGrid>
      <w:tr w:rsidR="006851DA" w:rsidRPr="006851DA" w:rsidTr="006851DA">
        <w:tc>
          <w:tcPr>
            <w:tcW w:w="4678" w:type="dxa"/>
            <w:shd w:val="clear" w:color="auto" w:fill="B8CCE4" w:themeFill="accent1" w:themeFillTint="66"/>
            <w:vAlign w:val="center"/>
          </w:tcPr>
          <w:p w:rsidR="00F40E87" w:rsidRPr="006851DA" w:rsidRDefault="00F40E87" w:rsidP="001A5BF9">
            <w:pPr>
              <w:jc w:val="center"/>
              <w:rPr>
                <w:rFonts w:eastAsia="Calibri" w:cs="Arial"/>
                <w:b/>
                <w:sz w:val="18"/>
                <w:szCs w:val="18"/>
              </w:rPr>
            </w:pPr>
            <w:r w:rsidRPr="006851DA">
              <w:rPr>
                <w:b/>
                <w:sz w:val="18"/>
              </w:rPr>
              <w:t>Description</w:t>
            </w:r>
          </w:p>
        </w:tc>
        <w:tc>
          <w:tcPr>
            <w:tcW w:w="4678" w:type="dxa"/>
            <w:shd w:val="clear" w:color="auto" w:fill="B8CCE4" w:themeFill="accent1" w:themeFillTint="66"/>
            <w:vAlign w:val="center"/>
          </w:tcPr>
          <w:p w:rsidR="00F40E87" w:rsidRPr="006851DA" w:rsidRDefault="00F40E87" w:rsidP="001A5BF9">
            <w:pPr>
              <w:jc w:val="center"/>
              <w:rPr>
                <w:rFonts w:eastAsia="Calibri" w:cs="Arial"/>
                <w:b/>
                <w:sz w:val="18"/>
                <w:szCs w:val="18"/>
              </w:rPr>
            </w:pPr>
            <w:r w:rsidRPr="006851DA">
              <w:rPr>
                <w:b/>
                <w:sz w:val="18"/>
              </w:rPr>
              <w:t>Économie/gain d</w:t>
            </w:r>
            <w:r w:rsidR="00A20444" w:rsidRPr="006851DA">
              <w:rPr>
                <w:b/>
                <w:sz w:val="18"/>
              </w:rPr>
              <w:t>’</w:t>
            </w:r>
            <w:r w:rsidRPr="006851DA">
              <w:rPr>
                <w:b/>
                <w:sz w:val="18"/>
              </w:rPr>
              <w:t>efficacité</w:t>
            </w:r>
          </w:p>
        </w:tc>
      </w:tr>
      <w:tr w:rsidR="00F40E87" w:rsidRPr="005C7CCE" w:rsidTr="00063B6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Rationalisation des</w:t>
            </w:r>
            <w:r w:rsidR="004F3E42" w:rsidRPr="005C7CCE">
              <w:rPr>
                <w:sz w:val="16"/>
              </w:rPr>
              <w:t xml:space="preserve"> </w:t>
            </w:r>
            <w:r w:rsidRPr="005C7CCE">
              <w:rPr>
                <w:sz w:val="16"/>
              </w:rPr>
              <w:t>volumes de traduction suite à la mise en œuvre de la politique linguistique de l</w:t>
            </w:r>
            <w:r w:rsidR="00A20444" w:rsidRPr="005C7CCE">
              <w:rPr>
                <w:sz w:val="16"/>
              </w:rPr>
              <w:t>’</w:t>
            </w:r>
            <w:r w:rsidRPr="005C7CCE">
              <w:rPr>
                <w:sz w:val="16"/>
              </w:rPr>
              <w:t xml:space="preserve">OMPI </w:t>
            </w:r>
          </w:p>
        </w:tc>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Augmentation de 35</w:t>
            </w:r>
            <w:r w:rsidR="007E442D" w:rsidRPr="005C7CCE">
              <w:rPr>
                <w:sz w:val="16"/>
              </w:rPr>
              <w:t>%</w:t>
            </w:r>
            <w:r w:rsidRPr="005C7CCE">
              <w:rPr>
                <w:sz w:val="16"/>
              </w:rPr>
              <w:t xml:space="preserve"> de la charge de travail entre 2010</w:t>
            </w:r>
            <w:r w:rsidR="002D6F2A" w:rsidRPr="005C7CCE">
              <w:rPr>
                <w:sz w:val="16"/>
              </w:rPr>
              <w:noBreakHyphen/>
            </w:r>
            <w:r w:rsidRPr="005C7CCE">
              <w:rPr>
                <w:sz w:val="16"/>
              </w:rPr>
              <w:t>2011 et 2012</w:t>
            </w:r>
            <w:r w:rsidR="002D6F2A" w:rsidRPr="005C7CCE">
              <w:rPr>
                <w:sz w:val="16"/>
              </w:rPr>
              <w:noBreakHyphen/>
            </w:r>
            <w:r w:rsidRPr="005C7CCE">
              <w:rPr>
                <w:sz w:val="16"/>
              </w:rPr>
              <w:t>2013, atténuée par une baisse de 18</w:t>
            </w:r>
            <w:r w:rsidR="007E442D" w:rsidRPr="005C7CCE">
              <w:rPr>
                <w:sz w:val="16"/>
              </w:rPr>
              <w:t>%</w:t>
            </w:r>
            <w:r w:rsidRPr="005C7CCE">
              <w:rPr>
                <w:sz w:val="16"/>
              </w:rPr>
              <w:t> de la charge de travail entre 2012 et 2013</w:t>
            </w:r>
          </w:p>
        </w:tc>
      </w:tr>
      <w:tr w:rsidR="00F40E87" w:rsidRPr="005C7CCE" w:rsidTr="00063B6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Réduction du coût par page grâce à diverses mesures de maîtrise des coûts, à la mise en œuvre d</w:t>
            </w:r>
            <w:r w:rsidR="00A20444" w:rsidRPr="005C7CCE">
              <w:rPr>
                <w:sz w:val="16"/>
              </w:rPr>
              <w:t>’</w:t>
            </w:r>
            <w:r w:rsidRPr="005C7CCE">
              <w:rPr>
                <w:sz w:val="16"/>
              </w:rPr>
              <w:t>outils de TAO et à la mixité des traductions (traductions internes et sous</w:t>
            </w:r>
            <w:r w:rsidR="002D6F2A" w:rsidRPr="005C7CCE">
              <w:rPr>
                <w:sz w:val="16"/>
              </w:rPr>
              <w:noBreakHyphen/>
            </w:r>
            <w:r w:rsidRPr="005C7CCE">
              <w:rPr>
                <w:sz w:val="16"/>
              </w:rPr>
              <w:t>traitées)</w:t>
            </w:r>
          </w:p>
        </w:tc>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213 francs suisses en 2010</w:t>
            </w:r>
            <w:r w:rsidR="002D6F2A" w:rsidRPr="005C7CCE">
              <w:rPr>
                <w:sz w:val="16"/>
              </w:rPr>
              <w:noBreakHyphen/>
            </w:r>
            <w:r w:rsidRPr="005C7CCE">
              <w:rPr>
                <w:sz w:val="16"/>
              </w:rPr>
              <w:t>2011 et 191 francs suisses en 2012</w:t>
            </w:r>
            <w:r w:rsidR="002D6F2A" w:rsidRPr="005C7CCE">
              <w:rPr>
                <w:sz w:val="16"/>
              </w:rPr>
              <w:noBreakHyphen/>
            </w:r>
            <w:r w:rsidRPr="005C7CCE">
              <w:rPr>
                <w:sz w:val="16"/>
              </w:rPr>
              <w:t>2013, entraînant une réduction des coûts de 2,2 millions de francs suisses</w:t>
            </w:r>
          </w:p>
        </w:tc>
      </w:tr>
    </w:tbl>
    <w:p w:rsidR="00D42474" w:rsidRDefault="00D42474" w:rsidP="001A5BF9">
      <w:pPr>
        <w:keepNext/>
        <w:keepLines/>
        <w:spacing w:after="200"/>
        <w:rPr>
          <w:rFonts w:eastAsia="Calibri" w:cs="Arial"/>
          <w:b/>
          <w:bCs/>
          <w:sz w:val="12"/>
          <w:szCs w:val="20"/>
        </w:rPr>
      </w:pPr>
    </w:p>
    <w:p w:rsidR="00D42474" w:rsidRDefault="00F40E87" w:rsidP="001A5BF9">
      <w:pPr>
        <w:keepNext/>
        <w:keepLines/>
        <w:spacing w:after="200"/>
        <w:jc w:val="both"/>
        <w:rPr>
          <w:rFonts w:eastAsia="Calibri" w:cs="Arial"/>
          <w:b/>
          <w:bCs/>
          <w:szCs w:val="20"/>
        </w:rPr>
      </w:pPr>
      <w:r w:rsidRPr="006851DA">
        <w:rPr>
          <w:b/>
        </w:rPr>
        <w:t>AUTRES MESURES</w:t>
      </w:r>
    </w:p>
    <w:p w:rsidR="00D42474" w:rsidRDefault="00F40E87" w:rsidP="001A5BF9">
      <w:pPr>
        <w:keepNext/>
        <w:keepLines/>
        <w:spacing w:after="200"/>
        <w:jc w:val="both"/>
        <w:rPr>
          <w:rFonts w:eastAsia="Calibri" w:cs="Arial"/>
          <w:b/>
          <w:bCs/>
          <w:i/>
          <w:szCs w:val="20"/>
        </w:rPr>
      </w:pPr>
      <w:r w:rsidRPr="006851DA">
        <w:rPr>
          <w:b/>
          <w:i/>
        </w:rPr>
        <w:t>Contrats d</w:t>
      </w:r>
      <w:r w:rsidR="00A20444" w:rsidRPr="006851DA">
        <w:rPr>
          <w:b/>
          <w:i/>
        </w:rPr>
        <w:t>’</w:t>
      </w:r>
      <w:r w:rsidRPr="006851DA">
        <w:rPr>
          <w:b/>
          <w:i/>
        </w:rPr>
        <w:t>achat</w:t>
      </w:r>
    </w:p>
    <w:p w:rsidR="00D42474" w:rsidRDefault="00F40E87" w:rsidP="001A5BF9">
      <w:pPr>
        <w:jc w:val="both"/>
        <w:rPr>
          <w:rFonts w:eastAsia="Calibri" w:cs="Arial"/>
          <w:spacing w:val="-4"/>
          <w:szCs w:val="20"/>
        </w:rPr>
      </w:pPr>
      <w:r w:rsidRPr="006851DA">
        <w:rPr>
          <w:spacing w:val="-4"/>
        </w:rPr>
        <w:t>La réalisation d</w:t>
      </w:r>
      <w:r w:rsidR="00A20444" w:rsidRPr="006851DA">
        <w:rPr>
          <w:spacing w:val="-4"/>
        </w:rPr>
        <w:t>’</w:t>
      </w:r>
      <w:r w:rsidRPr="006851DA">
        <w:rPr>
          <w:spacing w:val="-4"/>
        </w:rPr>
        <w:t>économies dans l</w:t>
      </w:r>
      <w:r w:rsidR="00A20444" w:rsidRPr="006851DA">
        <w:rPr>
          <w:spacing w:val="-4"/>
        </w:rPr>
        <w:t>’</w:t>
      </w:r>
      <w:r w:rsidRPr="006851DA">
        <w:rPr>
          <w:spacing w:val="-4"/>
        </w:rPr>
        <w:t>achat de produits et de services a continué à être renforcée au cours de l</w:t>
      </w:r>
      <w:r w:rsidR="00A20444" w:rsidRPr="006851DA">
        <w:rPr>
          <w:spacing w:val="-4"/>
        </w:rPr>
        <w:t>’</w:t>
      </w:r>
      <w:r w:rsidRPr="006851DA">
        <w:rPr>
          <w:spacing w:val="-4"/>
        </w:rPr>
        <w:t xml:space="preserve">exercice biennal. </w:t>
      </w:r>
      <w:r w:rsidR="0010442A" w:rsidRPr="006851DA">
        <w:rPr>
          <w:spacing w:val="-4"/>
        </w:rPr>
        <w:t xml:space="preserve"> </w:t>
      </w:r>
      <w:r w:rsidRPr="006851DA">
        <w:rPr>
          <w:spacing w:val="-4"/>
        </w:rPr>
        <w:t>À cet égard, divers contrats d</w:t>
      </w:r>
      <w:r w:rsidR="00A20444" w:rsidRPr="006851DA">
        <w:rPr>
          <w:spacing w:val="-4"/>
        </w:rPr>
        <w:t>’</w:t>
      </w:r>
      <w:r w:rsidRPr="006851DA">
        <w:rPr>
          <w:spacing w:val="-4"/>
        </w:rPr>
        <w:t>achat de produits et de services ont été renégociés et/ou ont fait l</w:t>
      </w:r>
      <w:r w:rsidR="00A20444" w:rsidRPr="006851DA">
        <w:rPr>
          <w:spacing w:val="-4"/>
        </w:rPr>
        <w:t>’</w:t>
      </w:r>
      <w:r w:rsidRPr="006851DA">
        <w:rPr>
          <w:spacing w:val="-4"/>
        </w:rPr>
        <w:t>objet de nouveaux appels d</w:t>
      </w:r>
      <w:r w:rsidR="00A20444" w:rsidRPr="006851DA">
        <w:rPr>
          <w:spacing w:val="-4"/>
        </w:rPr>
        <w:t>’</w:t>
      </w:r>
      <w:r w:rsidRPr="006851DA">
        <w:rPr>
          <w:spacing w:val="-4"/>
        </w:rPr>
        <w:t>offres afin d</w:t>
      </w:r>
      <w:r w:rsidR="00A20444" w:rsidRPr="006851DA">
        <w:rPr>
          <w:spacing w:val="-4"/>
        </w:rPr>
        <w:t>’</w:t>
      </w:r>
      <w:r w:rsidRPr="006851DA">
        <w:rPr>
          <w:spacing w:val="-4"/>
        </w:rPr>
        <w:t xml:space="preserve">obtenir de meilleurs prix et conditions de la part des fournisseurs. </w:t>
      </w:r>
      <w:r w:rsidR="0010442A" w:rsidRPr="006851DA">
        <w:rPr>
          <w:spacing w:val="-4"/>
        </w:rPr>
        <w:t xml:space="preserve"> </w:t>
      </w:r>
      <w:r w:rsidRPr="006851DA">
        <w:rPr>
          <w:spacing w:val="-4"/>
        </w:rPr>
        <w:t>Ces contrats portaient sur un grand nombre de domaines, dont les locaux, l</w:t>
      </w:r>
      <w:r w:rsidR="00A20444" w:rsidRPr="006851DA">
        <w:rPr>
          <w:spacing w:val="-4"/>
        </w:rPr>
        <w:t>’</w:t>
      </w:r>
      <w:r w:rsidRPr="006851DA">
        <w:rPr>
          <w:spacing w:val="-4"/>
        </w:rPr>
        <w:t>informatique, les services de traduction, les services de sécurité, etc.</w:t>
      </w:r>
      <w:r w:rsidR="004F3E42" w:rsidRPr="006851DA">
        <w:rPr>
          <w:spacing w:val="-4"/>
        </w:rPr>
        <w:t xml:space="preserve"> </w:t>
      </w:r>
      <w:r w:rsidR="0010442A" w:rsidRPr="006851DA">
        <w:rPr>
          <w:spacing w:val="-4"/>
        </w:rPr>
        <w:t xml:space="preserve"> </w:t>
      </w:r>
      <w:r w:rsidRPr="006851DA">
        <w:rPr>
          <w:spacing w:val="-4"/>
        </w:rPr>
        <w:t>Notamment, un certain nombre de contrats importants ont été soumis à de nouveaux appels d</w:t>
      </w:r>
      <w:r w:rsidR="00A20444" w:rsidRPr="006851DA">
        <w:rPr>
          <w:spacing w:val="-4"/>
        </w:rPr>
        <w:t>’</w:t>
      </w:r>
      <w:r w:rsidRPr="006851DA">
        <w:rPr>
          <w:spacing w:val="-4"/>
        </w:rPr>
        <w:t>offres en 2012, y compris pour les services de traduction</w:t>
      </w:r>
      <w:r w:rsidR="00A20444" w:rsidRPr="006851DA">
        <w:rPr>
          <w:spacing w:val="-4"/>
        </w:rPr>
        <w:t xml:space="preserve"> du PCT</w:t>
      </w:r>
      <w:r w:rsidRPr="006851DA">
        <w:rPr>
          <w:spacing w:val="-4"/>
        </w:rPr>
        <w:t xml:space="preserve">, les licences logicielles pour le projet ERP et les services de sécurité physique. </w:t>
      </w:r>
      <w:r w:rsidR="0010442A" w:rsidRPr="006851DA">
        <w:rPr>
          <w:spacing w:val="-4"/>
        </w:rPr>
        <w:t xml:space="preserve"> </w:t>
      </w:r>
      <w:r w:rsidRPr="006851DA">
        <w:rPr>
          <w:spacing w:val="-4"/>
        </w:rPr>
        <w:t>Des contrats pour la numérisation des dossiers de propriété intellectuelle, des demandes selon</w:t>
      </w:r>
      <w:r w:rsidR="00A20444" w:rsidRPr="006851DA">
        <w:rPr>
          <w:spacing w:val="-4"/>
        </w:rPr>
        <w:t xml:space="preserve"> le PCT</w:t>
      </w:r>
      <w:r w:rsidRPr="006851DA">
        <w:rPr>
          <w:spacing w:val="-4"/>
        </w:rPr>
        <w:t xml:space="preserve"> et des contrats avec des agences de voyage </w:t>
      </w:r>
      <w:r w:rsidRPr="005C7CCE">
        <w:rPr>
          <w:spacing w:val="-4"/>
        </w:rPr>
        <w:t>ont été soumis à de nouveaux appels d</w:t>
      </w:r>
      <w:r w:rsidR="00A20444" w:rsidRPr="005C7CCE">
        <w:rPr>
          <w:spacing w:val="-4"/>
        </w:rPr>
        <w:t>’</w:t>
      </w:r>
      <w:r w:rsidRPr="005C7CCE">
        <w:rPr>
          <w:spacing w:val="-4"/>
        </w:rPr>
        <w:t>offres ou ont été signés au cours de l</w:t>
      </w:r>
      <w:r w:rsidR="00A20444" w:rsidRPr="005C7CCE">
        <w:rPr>
          <w:spacing w:val="-4"/>
        </w:rPr>
        <w:t>’</w:t>
      </w:r>
      <w:r w:rsidRPr="005C7CCE">
        <w:rPr>
          <w:spacing w:val="-4"/>
        </w:rPr>
        <w:t>année</w:t>
      </w:r>
      <w:r w:rsidR="00FA4203" w:rsidRPr="005C7CCE">
        <w:rPr>
          <w:spacing w:val="-4"/>
        </w:rPr>
        <w:t> 2013.</w:t>
      </w:r>
    </w:p>
    <w:p w:rsidR="00D42474" w:rsidRDefault="00D42474" w:rsidP="001A5BF9">
      <w:pPr>
        <w:jc w:val="both"/>
        <w:rPr>
          <w:rFonts w:eastAsia="Calibri" w:cs="Arial"/>
          <w:sz w:val="12"/>
          <w:szCs w:val="20"/>
        </w:rPr>
      </w:pPr>
    </w:p>
    <w:p w:rsidR="00D42474" w:rsidRDefault="00F40E87" w:rsidP="001A5BF9">
      <w:pPr>
        <w:spacing w:after="200"/>
        <w:jc w:val="both"/>
        <w:rPr>
          <w:rFonts w:cs="Arial"/>
          <w:szCs w:val="20"/>
        </w:rPr>
      </w:pPr>
      <w:r w:rsidRPr="005C7CCE">
        <w:t>Comme indiqué dans les deux</w:t>
      </w:r>
      <w:r w:rsidR="0010442A" w:rsidRPr="005C7CCE">
        <w:t> </w:t>
      </w:r>
      <w:r w:rsidRPr="005C7CCE">
        <w:t>rapports précédents sur l</w:t>
      </w:r>
      <w:r w:rsidR="00A20444" w:rsidRPr="005C7CCE">
        <w:t>’</w:t>
      </w:r>
      <w:r w:rsidRPr="005C7CCE">
        <w:t>état d</w:t>
      </w:r>
      <w:r w:rsidR="00A20444" w:rsidRPr="005C7CCE">
        <w:t>’</w:t>
      </w:r>
      <w:r w:rsidRPr="005C7CCE">
        <w:t>avancement, l</w:t>
      </w:r>
      <w:r w:rsidR="00A20444" w:rsidRPr="005C7CCE">
        <w:t>’</w:t>
      </w:r>
      <w:r w:rsidRPr="005C7CCE">
        <w:t xml:space="preserve">OMPI est restée active dans le domaine de la coopération avec les autres organisations des </w:t>
      </w:r>
      <w:r w:rsidR="00A20444" w:rsidRPr="005C7CCE">
        <w:t>Nations Unies</w:t>
      </w:r>
      <w:r w:rsidRPr="005C7CCE">
        <w:t xml:space="preserve">. </w:t>
      </w:r>
      <w:r w:rsidR="0010442A" w:rsidRPr="005C7CCE">
        <w:t xml:space="preserve"> </w:t>
      </w:r>
      <w:r w:rsidRPr="005C7CCE">
        <w:t>Dans le cadre du Groupe des activités communes d</w:t>
      </w:r>
      <w:r w:rsidR="00A20444" w:rsidRPr="005C7CCE">
        <w:t>’</w:t>
      </w:r>
      <w:r w:rsidRPr="005C7CCE">
        <w:t>achat (groupe ACA), l</w:t>
      </w:r>
      <w:r w:rsidR="00A20444" w:rsidRPr="005C7CCE">
        <w:t>’</w:t>
      </w:r>
      <w:r w:rsidRPr="005C7CCE">
        <w:t>OMPI a continué de bénéficier des appels d</w:t>
      </w:r>
      <w:r w:rsidR="00A20444" w:rsidRPr="005C7CCE">
        <w:t>’</w:t>
      </w:r>
      <w:r w:rsidRPr="005C7CCE">
        <w:t>offres communs dans des domaines tels que la fourniture d</w:t>
      </w:r>
      <w:r w:rsidR="00A20444" w:rsidRPr="005C7CCE">
        <w:t>’</w:t>
      </w:r>
      <w:r w:rsidRPr="005C7CCE">
        <w:t>électricité, les tarifs aériens, l</w:t>
      </w:r>
      <w:r w:rsidR="00A20444" w:rsidRPr="005C7CCE">
        <w:t>’</w:t>
      </w:r>
      <w:r w:rsidRPr="005C7CCE">
        <w:t>achat de matériel informatique tels les ordinateurs de bureau et les ordinateurs portables, la location de machines réseau multifonctions, les services de voyagistes, etc.</w:t>
      </w:r>
      <w:r w:rsidR="004F3E42" w:rsidRPr="005C7CCE">
        <w:t xml:space="preserve"> </w:t>
      </w:r>
      <w:r w:rsidR="0010442A" w:rsidRPr="005C7CCE">
        <w:t xml:space="preserve"> </w:t>
      </w:r>
      <w:r w:rsidRPr="005C7CCE">
        <w:t>Les économies réalisées sur les services achetés par l</w:t>
      </w:r>
      <w:r w:rsidR="00A20444" w:rsidRPr="005C7CCE">
        <w:t>’</w:t>
      </w:r>
      <w:r w:rsidRPr="005C7CCE">
        <w:t>OMPI sont évaluées à environ 1,9 million de francs suisses pour 2012</w:t>
      </w:r>
      <w:r w:rsidR="002D6F2A" w:rsidRPr="005C7CCE">
        <w:noBreakHyphen/>
      </w:r>
      <w:r w:rsidRPr="005C7CCE">
        <w:t>2013.</w:t>
      </w:r>
    </w:p>
    <w:p w:rsidR="00D42474" w:rsidRDefault="00F40E87" w:rsidP="001A5BF9">
      <w:pPr>
        <w:jc w:val="both"/>
      </w:pPr>
      <w:r w:rsidRPr="005C7CCE">
        <w:t>L</w:t>
      </w:r>
      <w:r w:rsidR="00A20444" w:rsidRPr="005C7CCE">
        <w:t>’</w:t>
      </w:r>
      <w:r w:rsidRPr="005C7CCE">
        <w:t>OMPI a continué à améliorer ses procédures d</w:t>
      </w:r>
      <w:r w:rsidR="00A20444" w:rsidRPr="005C7CCE">
        <w:t>’</w:t>
      </w:r>
      <w:r w:rsidRPr="005C7CCE">
        <w:t xml:space="preserve">achat afin de parvenir à une meilleure efficacité. </w:t>
      </w:r>
      <w:r w:rsidR="0010442A" w:rsidRPr="005C7CCE">
        <w:t xml:space="preserve"> </w:t>
      </w:r>
      <w:r w:rsidRPr="005C7CCE">
        <w:t>Dans le cadre de cette démarche, les procédures relatives aux achats de faible valeur ont été simplifiées, ce qui a permis d</w:t>
      </w:r>
      <w:r w:rsidR="00A20444" w:rsidRPr="005C7CCE">
        <w:t>’</w:t>
      </w:r>
      <w:r w:rsidRPr="005C7CCE">
        <w:t xml:space="preserve">éliminer des étapes administratives inutiles. </w:t>
      </w:r>
      <w:r w:rsidR="0010442A" w:rsidRPr="005C7CCE">
        <w:t xml:space="preserve"> </w:t>
      </w:r>
      <w:r w:rsidRPr="005C7CCE">
        <w:t>Les nouvelles procédures ont été mises en œuvre au début de l</w:t>
      </w:r>
      <w:r w:rsidR="00A20444" w:rsidRPr="005C7CCE">
        <w:t>’</w:t>
      </w:r>
      <w:r w:rsidRPr="005C7CCE">
        <w:t>année 2013 et ont entraîné les gains d</w:t>
      </w:r>
      <w:r w:rsidR="00A20444" w:rsidRPr="005C7CCE">
        <w:t>’</w:t>
      </w:r>
      <w:r w:rsidRPr="005C7CCE">
        <w:t>efficacité suivants :</w:t>
      </w:r>
    </w:p>
    <w:p w:rsidR="00D42474" w:rsidRDefault="00D42474" w:rsidP="001A5BF9">
      <w:pPr>
        <w:jc w:val="both"/>
        <w:rPr>
          <w:rFonts w:eastAsia="Calibri" w:cs="Arial"/>
          <w:szCs w:val="20"/>
        </w:rPr>
      </w:pPr>
    </w:p>
    <w:p w:rsidR="00D42474" w:rsidRDefault="006851DA" w:rsidP="001A5BF9">
      <w:pPr>
        <w:numPr>
          <w:ilvl w:val="0"/>
          <w:numId w:val="87"/>
        </w:numPr>
        <w:tabs>
          <w:tab w:val="left" w:pos="714"/>
        </w:tabs>
        <w:ind w:left="714" w:hanging="357"/>
        <w:contextualSpacing/>
        <w:rPr>
          <w:rFonts w:eastAsia="Calibri" w:cs="Arial"/>
          <w:szCs w:val="20"/>
        </w:rPr>
      </w:pPr>
      <w:r>
        <w:t>a</w:t>
      </w:r>
      <w:r w:rsidR="00F40E87" w:rsidRPr="005C7CCE">
        <w:t>bsorption d</w:t>
      </w:r>
      <w:r w:rsidR="00A20444" w:rsidRPr="005C7CCE">
        <w:t>’</w:t>
      </w:r>
      <w:r w:rsidR="00F40E87" w:rsidRPr="005C7CCE">
        <w:t>une augmentation de 19,3</w:t>
      </w:r>
      <w:r w:rsidR="007E442D" w:rsidRPr="005C7CCE">
        <w:t>%</w:t>
      </w:r>
      <w:r w:rsidR="00F40E87" w:rsidRPr="005C7CCE">
        <w:t xml:space="preserve"> du nombre d</w:t>
      </w:r>
      <w:r w:rsidR="00A20444" w:rsidRPr="005C7CCE">
        <w:t>’</w:t>
      </w:r>
      <w:r w:rsidR="00F40E87" w:rsidRPr="005C7CCE">
        <w:t>autorisations de voyage électroniques traitées entre 2012 et 2013</w:t>
      </w:r>
      <w:r>
        <w:t>;</w:t>
      </w:r>
    </w:p>
    <w:p w:rsidR="00D42474" w:rsidRDefault="006851DA" w:rsidP="001A5BF9">
      <w:pPr>
        <w:numPr>
          <w:ilvl w:val="0"/>
          <w:numId w:val="87"/>
        </w:numPr>
        <w:tabs>
          <w:tab w:val="left" w:pos="714"/>
        </w:tabs>
        <w:ind w:left="714" w:hanging="357"/>
        <w:contextualSpacing/>
        <w:rPr>
          <w:rFonts w:eastAsia="Calibri" w:cs="Arial"/>
          <w:szCs w:val="20"/>
        </w:rPr>
      </w:pPr>
      <w:r>
        <w:t>a</w:t>
      </w:r>
      <w:r w:rsidR="00F40E87" w:rsidRPr="005C7CCE">
        <w:t>bsorption d</w:t>
      </w:r>
      <w:r w:rsidR="00A20444" w:rsidRPr="005C7CCE">
        <w:t>’</w:t>
      </w:r>
      <w:r w:rsidR="00F40E87" w:rsidRPr="005C7CCE">
        <w:t>une augmentation de 16</w:t>
      </w:r>
      <w:r w:rsidR="007E442D" w:rsidRPr="005C7CCE">
        <w:t>%</w:t>
      </w:r>
      <w:r w:rsidR="00F40E87" w:rsidRPr="005C7CCE">
        <w:t xml:space="preserve"> du nombre d</w:t>
      </w:r>
      <w:r w:rsidR="00A20444" w:rsidRPr="005C7CCE">
        <w:t>’</w:t>
      </w:r>
      <w:r w:rsidR="00F40E87" w:rsidRPr="005C7CCE">
        <w:t>autorisations de voyage électroniques traitées entre 2012 et 2013</w:t>
      </w:r>
      <w:r>
        <w:t>;</w:t>
      </w:r>
    </w:p>
    <w:p w:rsidR="00D42474" w:rsidRDefault="006851DA" w:rsidP="001A5BF9">
      <w:pPr>
        <w:numPr>
          <w:ilvl w:val="0"/>
          <w:numId w:val="87"/>
        </w:numPr>
        <w:tabs>
          <w:tab w:val="left" w:pos="714"/>
        </w:tabs>
        <w:ind w:left="714" w:hanging="357"/>
        <w:contextualSpacing/>
        <w:rPr>
          <w:rFonts w:eastAsia="Calibri" w:cs="Arial"/>
          <w:szCs w:val="20"/>
        </w:rPr>
      </w:pPr>
      <w:r>
        <w:t>r</w:t>
      </w:r>
      <w:r w:rsidR="00F40E87" w:rsidRPr="005C7CCE">
        <w:t>éduction de 50</w:t>
      </w:r>
      <w:r w:rsidR="007E442D" w:rsidRPr="005C7CCE">
        <w:t>%</w:t>
      </w:r>
      <w:r w:rsidR="00F40E87" w:rsidRPr="005C7CCE">
        <w:t> du délai de traitement des ordres d</w:t>
      </w:r>
      <w:r w:rsidR="00A20444" w:rsidRPr="005C7CCE">
        <w:t>’</w:t>
      </w:r>
      <w:r w:rsidR="00F40E87" w:rsidRPr="005C7CCE">
        <w:t>achat entre 2011 et 2013</w:t>
      </w:r>
      <w:r>
        <w:t>;</w:t>
      </w:r>
    </w:p>
    <w:p w:rsidR="00D42474" w:rsidRDefault="006851DA" w:rsidP="001A5BF9">
      <w:pPr>
        <w:numPr>
          <w:ilvl w:val="0"/>
          <w:numId w:val="87"/>
        </w:numPr>
        <w:tabs>
          <w:tab w:val="left" w:pos="714"/>
        </w:tabs>
        <w:ind w:left="714" w:hanging="357"/>
        <w:contextualSpacing/>
        <w:rPr>
          <w:rFonts w:eastAsia="Calibri" w:cs="Arial"/>
          <w:szCs w:val="20"/>
        </w:rPr>
      </w:pPr>
      <w:r>
        <w:t>d</w:t>
      </w:r>
      <w:r w:rsidR="00F40E87" w:rsidRPr="005C7CCE">
        <w:t>iminution du taux de bons de commande annulés de 14</w:t>
      </w:r>
      <w:r w:rsidR="007E442D" w:rsidRPr="005C7CCE">
        <w:t>%</w:t>
      </w:r>
      <w:r w:rsidR="00F40E87" w:rsidRPr="005C7CCE">
        <w:t> en 2010 à 6,7</w:t>
      </w:r>
      <w:r w:rsidR="007E442D" w:rsidRPr="005C7CCE">
        <w:t>%</w:t>
      </w:r>
      <w:r w:rsidR="00F40E87" w:rsidRPr="005C7CCE">
        <w:t> en 2013</w:t>
      </w:r>
    </w:p>
    <w:p w:rsidR="00D42474" w:rsidRDefault="00F40E87" w:rsidP="001A5BF9">
      <w:pPr>
        <w:keepNext/>
        <w:keepLines/>
        <w:spacing w:before="200" w:after="200"/>
        <w:jc w:val="both"/>
        <w:rPr>
          <w:rFonts w:eastAsia="Calibri" w:cs="Arial"/>
          <w:b/>
          <w:i/>
          <w:szCs w:val="20"/>
        </w:rPr>
      </w:pPr>
      <w:r w:rsidRPr="006851DA">
        <w:rPr>
          <w:b/>
          <w:i/>
        </w:rPr>
        <w:t>Technologies de l</w:t>
      </w:r>
      <w:r w:rsidR="00A20444" w:rsidRPr="006851DA">
        <w:rPr>
          <w:b/>
          <w:i/>
        </w:rPr>
        <w:t>’</w:t>
      </w:r>
      <w:r w:rsidRPr="006851DA">
        <w:rPr>
          <w:b/>
          <w:i/>
        </w:rPr>
        <w:t>information et de la communication (TIC)</w:t>
      </w:r>
    </w:p>
    <w:p w:rsidR="00D42474" w:rsidRDefault="00F40E87" w:rsidP="001A5BF9">
      <w:pPr>
        <w:spacing w:after="200"/>
        <w:jc w:val="both"/>
        <w:rPr>
          <w:rFonts w:eastAsia="Calibri" w:cs="Arial"/>
          <w:szCs w:val="20"/>
        </w:rPr>
      </w:pPr>
      <w:r w:rsidRPr="005C7CCE">
        <w:t>Des progrès considérables ont été accomplis en 2012</w:t>
      </w:r>
      <w:r w:rsidR="002D6F2A" w:rsidRPr="005C7CCE">
        <w:noBreakHyphen/>
      </w:r>
      <w:r w:rsidRPr="005C7CCE">
        <w:t>2013 pour améliorer les niveaux de service et la maîtrise des coûts des services d</w:t>
      </w:r>
      <w:r w:rsidR="00A20444" w:rsidRPr="005C7CCE">
        <w:t>’</w:t>
      </w:r>
      <w:r w:rsidRPr="005C7CCE">
        <w:t>infrastructure d</w:t>
      </w:r>
      <w:r w:rsidR="00A20444" w:rsidRPr="005C7CCE">
        <w:t>’</w:t>
      </w:r>
      <w:r w:rsidRPr="005C7CCE">
        <w:t>information et de communication, grâce à une sous</w:t>
      </w:r>
      <w:r w:rsidR="002D6F2A" w:rsidRPr="005C7CCE">
        <w:noBreakHyphen/>
      </w:r>
      <w:r w:rsidRPr="005C7CCE">
        <w:t xml:space="preserve">traitance stratégique des opérations, en particulier au Centre international de calcul des </w:t>
      </w:r>
      <w:r w:rsidR="00A20444" w:rsidRPr="005C7CCE">
        <w:t>Nations Unies</w:t>
      </w:r>
      <w:r w:rsidRPr="005C7CCE">
        <w:t xml:space="preserve"> (CIC). </w:t>
      </w:r>
      <w:r w:rsidR="0010442A" w:rsidRPr="005C7CCE">
        <w:t xml:space="preserve"> </w:t>
      </w:r>
      <w:r w:rsidRPr="005C7CCE">
        <w:t>En ce qui concerne les contrats de services, le recours à des contrats à prix fixes, associés à des indicateurs clairement définis, a été généralisé.</w:t>
      </w:r>
    </w:p>
    <w:p w:rsidR="00D42474" w:rsidRDefault="00F40E87" w:rsidP="001A5BF9">
      <w:pPr>
        <w:spacing w:after="200"/>
        <w:jc w:val="both"/>
      </w:pPr>
      <w:r w:rsidRPr="005C7CCE">
        <w:t>Pour répondre à la nécessité de disponibilité et de robustesse des services d</w:t>
      </w:r>
      <w:r w:rsidR="00A20444" w:rsidRPr="005C7CCE">
        <w:t>’</w:t>
      </w:r>
      <w:r w:rsidRPr="005C7CCE">
        <w:t>information et de communication, un tournant radical a été pris au cours de l</w:t>
      </w:r>
      <w:r w:rsidR="00A20444" w:rsidRPr="005C7CCE">
        <w:t>’</w:t>
      </w:r>
      <w:r w:rsidRPr="005C7CCE">
        <w:t>exercice biennal avec le recours à une centaine de nouveaux serveurs virtuels installés chaque année depuis le début de l</w:t>
      </w:r>
      <w:r w:rsidR="00A20444" w:rsidRPr="005C7CCE">
        <w:t>’</w:t>
      </w:r>
      <w:r w:rsidRPr="005C7CCE">
        <w:t xml:space="preserve">année 2012. </w:t>
      </w:r>
      <w:r w:rsidR="0010442A" w:rsidRPr="005C7CCE">
        <w:t xml:space="preserve"> </w:t>
      </w:r>
      <w:r w:rsidRPr="005C7CCE">
        <w:t>La souplesse et la facilité de gestion accrues offertes par cette solution ont entraîné des économies de l</w:t>
      </w:r>
      <w:r w:rsidR="00A20444" w:rsidRPr="005C7CCE">
        <w:t>’</w:t>
      </w:r>
      <w:r w:rsidRPr="005C7CCE">
        <w:t xml:space="preserve">ordre de 150 000 francs suisses par an. </w:t>
      </w:r>
      <w:r w:rsidR="0010442A" w:rsidRPr="005C7CCE">
        <w:t xml:space="preserve"> </w:t>
      </w:r>
      <w:r w:rsidRPr="005C7CCE">
        <w:t>En outre, la délocalisation est de plus en plus systématiquement envisagée et utilisée pour les grands contrats de développement informatique, d</w:t>
      </w:r>
      <w:r w:rsidR="00A20444" w:rsidRPr="005C7CCE">
        <w:t>’</w:t>
      </w:r>
      <w:r w:rsidRPr="005C7CCE">
        <w:t>où une utilisation plus rationnelle des ressources disponibles.</w:t>
      </w:r>
    </w:p>
    <w:p w:rsidR="00D42474" w:rsidRDefault="00F40E87" w:rsidP="001A5BF9">
      <w:pPr>
        <w:spacing w:after="200"/>
        <w:jc w:val="both"/>
        <w:rPr>
          <w:rFonts w:eastAsia="Calibri" w:cs="Arial"/>
          <w:szCs w:val="20"/>
        </w:rPr>
      </w:pPr>
      <w:r w:rsidRPr="005C7CCE">
        <w:t>Le contrat de télécommunications mobiles avec Swisscom a été révisé et renégocié au cours de l</w:t>
      </w:r>
      <w:r w:rsidR="00A20444" w:rsidRPr="005C7CCE">
        <w:t>’</w:t>
      </w:r>
      <w:r w:rsidRPr="005C7CCE">
        <w:t>exercice biennal avec une lettre d</w:t>
      </w:r>
      <w:r w:rsidR="00A20444" w:rsidRPr="005C7CCE">
        <w:t>’</w:t>
      </w:r>
      <w:r w:rsidRPr="005C7CCE">
        <w:t xml:space="preserve">intention signée en janvier 2014. </w:t>
      </w:r>
      <w:r w:rsidR="0010442A" w:rsidRPr="005C7CCE">
        <w:t xml:space="preserve"> </w:t>
      </w:r>
      <w:r w:rsidRPr="005C7CCE">
        <w:t>Le montant total des dépenses annuelles, qui s</w:t>
      </w:r>
      <w:r w:rsidR="00A20444" w:rsidRPr="005C7CCE">
        <w:t>’</w:t>
      </w:r>
      <w:r w:rsidRPr="005C7CCE">
        <w:t>élevait à environ 550 000 francs suisses lors de l</w:t>
      </w:r>
      <w:r w:rsidR="00A20444" w:rsidRPr="005C7CCE">
        <w:t>’</w:t>
      </w:r>
      <w:r w:rsidRPr="005C7CCE">
        <w:t>exercice biennal 2012</w:t>
      </w:r>
      <w:r w:rsidR="002D6F2A" w:rsidRPr="005C7CCE">
        <w:noBreakHyphen/>
      </w:r>
      <w:r w:rsidRPr="005C7CCE">
        <w:t xml:space="preserve">2013, devrait enregistrer une baisse pouvant atteindre les 200 000 francs suisses. </w:t>
      </w:r>
      <w:r w:rsidR="0010442A" w:rsidRPr="005C7CCE">
        <w:t xml:space="preserve"> </w:t>
      </w:r>
      <w:r w:rsidRPr="005C7CCE">
        <w:t>Les économies réalisées permettront la mise en œuvre de la solution de gestion des appareils mobiles, avec une baisse significative du coût unitaire de l</w:t>
      </w:r>
      <w:r w:rsidR="00A20444" w:rsidRPr="005C7CCE">
        <w:t>’</w:t>
      </w:r>
      <w:r w:rsidRPr="005C7CCE">
        <w:t>utilisation des appareils mobiles.</w:t>
      </w:r>
    </w:p>
    <w:p w:rsidR="00D42474" w:rsidRDefault="00F40E87" w:rsidP="001A5BF9">
      <w:pPr>
        <w:spacing w:after="200"/>
        <w:jc w:val="both"/>
      </w:pPr>
      <w:r w:rsidRPr="006851DA">
        <w:t>Les contrats sur les services d</w:t>
      </w:r>
      <w:r w:rsidR="00A20444" w:rsidRPr="006851DA">
        <w:t>’</w:t>
      </w:r>
      <w:r w:rsidRPr="006851DA">
        <w:t>imprimerie réseau ont été renégociés.</w:t>
      </w:r>
      <w:r w:rsidR="004F3E42" w:rsidRPr="006851DA">
        <w:t xml:space="preserve"> </w:t>
      </w:r>
      <w:r w:rsidR="0010442A" w:rsidRPr="006851DA">
        <w:t xml:space="preserve"> </w:t>
      </w:r>
      <w:r w:rsidRPr="006851DA">
        <w:t>Un nouvel accord a été signé avec le fournisseur à la fin de l</w:t>
      </w:r>
      <w:r w:rsidR="00A20444" w:rsidRPr="006851DA">
        <w:t>’</w:t>
      </w:r>
      <w:r w:rsidRPr="006851DA">
        <w:t>année 2012, entraînant une diminution du coût annuel des services d</w:t>
      </w:r>
      <w:r w:rsidR="00A20444" w:rsidRPr="006851DA">
        <w:t>’</w:t>
      </w:r>
      <w:r w:rsidRPr="006851DA">
        <w:t>imprimerie réseau de 300 000 francs suisses en 2012 à environ 200 000 francs suisses en 2013.</w:t>
      </w:r>
    </w:p>
    <w:p w:rsidR="00D42474" w:rsidRDefault="00F40E87" w:rsidP="001A5BF9">
      <w:pPr>
        <w:spacing w:after="200"/>
        <w:jc w:val="both"/>
      </w:pPr>
      <w:r w:rsidRPr="006851DA">
        <w:t>L</w:t>
      </w:r>
      <w:r w:rsidR="00A20444" w:rsidRPr="006851DA">
        <w:t>’</w:t>
      </w:r>
      <w:r w:rsidRPr="006851DA">
        <w:t xml:space="preserve">OMPI utilise environ </w:t>
      </w:r>
      <w:r w:rsidR="0010442A" w:rsidRPr="006851DA">
        <w:t>3000</w:t>
      </w:r>
      <w:r w:rsidRPr="006851DA">
        <w:t> boîtes à lettres électroniques.</w:t>
      </w:r>
      <w:r w:rsidR="0010442A" w:rsidRPr="006851DA">
        <w:t xml:space="preserve"> </w:t>
      </w:r>
      <w:r w:rsidRPr="006851DA">
        <w:t xml:space="preserve"> L</w:t>
      </w:r>
      <w:r w:rsidR="00A20444" w:rsidRPr="006851DA">
        <w:t>’</w:t>
      </w:r>
      <w:r w:rsidRPr="006851DA">
        <w:t>introduction de procédures rationalisées pour la gestion de ces comptes a engendré une réduction des coûts opérationnels associés avoisinant les 100 000 francs suisses par an.</w:t>
      </w:r>
    </w:p>
    <w:p w:rsidR="00D42474" w:rsidRDefault="00F40E87" w:rsidP="001A5BF9">
      <w:pPr>
        <w:spacing w:after="200"/>
        <w:jc w:val="both"/>
        <w:rPr>
          <w:rFonts w:eastAsia="Calibri" w:cs="Arial"/>
          <w:szCs w:val="20"/>
        </w:rPr>
      </w:pPr>
      <w:r w:rsidRPr="006851DA">
        <w:t>En 2013, l</w:t>
      </w:r>
      <w:r w:rsidR="00A20444" w:rsidRPr="006851DA">
        <w:t>’</w:t>
      </w:r>
      <w:r w:rsidRPr="006851DA">
        <w:t xml:space="preserve">Organisation a mis en œuvre une politique permettant aux utilisateurs de choisir entre un ordinateur portable et un ordinateur de bureau. </w:t>
      </w:r>
      <w:r w:rsidR="0010442A" w:rsidRPr="006851DA">
        <w:t xml:space="preserve"> </w:t>
      </w:r>
      <w:r w:rsidRPr="006851DA">
        <w:t>Les économies annuelles consécutives à la mise en œuvre de cette politique devraient être de l</w:t>
      </w:r>
      <w:r w:rsidR="00A20444" w:rsidRPr="006851DA">
        <w:t>’</w:t>
      </w:r>
      <w:r w:rsidRPr="006851DA">
        <w:t>ordre de 50 000 francs suisses.</w:t>
      </w:r>
    </w:p>
    <w:p w:rsidR="00D42474" w:rsidRDefault="00F40E87" w:rsidP="001A5BF9">
      <w:pPr>
        <w:keepNext/>
        <w:keepLines/>
        <w:spacing w:after="200"/>
        <w:jc w:val="both"/>
        <w:rPr>
          <w:rFonts w:eastAsia="Calibri" w:cs="Arial"/>
          <w:b/>
          <w:i/>
          <w:szCs w:val="20"/>
        </w:rPr>
      </w:pPr>
      <w:r w:rsidRPr="006851DA">
        <w:rPr>
          <w:b/>
          <w:i/>
        </w:rPr>
        <w:t>Service d</w:t>
      </w:r>
      <w:r w:rsidR="00A20444" w:rsidRPr="006851DA">
        <w:rPr>
          <w:b/>
          <w:i/>
        </w:rPr>
        <w:t>’</w:t>
      </w:r>
      <w:r w:rsidRPr="006851DA">
        <w:rPr>
          <w:b/>
          <w:i/>
        </w:rPr>
        <w:t>expédition du courrier</w:t>
      </w:r>
    </w:p>
    <w:p w:rsidR="00D42474" w:rsidRDefault="00F40E87" w:rsidP="001A5BF9">
      <w:pPr>
        <w:keepNext/>
        <w:keepLines/>
        <w:jc w:val="both"/>
        <w:rPr>
          <w:rFonts w:eastAsia="Calibri" w:cs="Arial"/>
          <w:szCs w:val="20"/>
        </w:rPr>
      </w:pPr>
      <w:r w:rsidRPr="005C7CCE">
        <w:t>Les négociations des tarifs et des services postaux ont continué avec des partenaires externes et les pratiques internes ont connu des améliorations (telles que le groupement d</w:t>
      </w:r>
      <w:r w:rsidR="00A20444" w:rsidRPr="005C7CCE">
        <w:t>’</w:t>
      </w:r>
      <w:r w:rsidRPr="005C7CCE">
        <w:t xml:space="preserve">adresses) afin de réduire le coût global des services postaux. </w:t>
      </w:r>
      <w:r w:rsidR="0010442A" w:rsidRPr="005C7CCE">
        <w:t xml:space="preserve"> </w:t>
      </w:r>
      <w:r w:rsidRPr="005C7CCE">
        <w:t>Des tarifs plus bas complétés par un recours accru aux services de messagerie électronique ont entraîné une diminution globale des frais postaux de 23</w:t>
      </w:r>
      <w:r w:rsidR="007E442D" w:rsidRPr="005C7CCE">
        <w:t>%</w:t>
      </w:r>
      <w:r w:rsidRPr="005C7CCE">
        <w:t xml:space="preserve"> en 2013 par rapport à 2012.</w:t>
      </w:r>
      <w:r w:rsidR="0010442A" w:rsidRPr="005C7CCE">
        <w:t xml:space="preserve"> </w:t>
      </w:r>
      <w:r w:rsidRPr="005C7CCE">
        <w:t xml:space="preserve"> En 2013, 1,4 million d</w:t>
      </w:r>
      <w:r w:rsidR="00A20444" w:rsidRPr="005C7CCE">
        <w:t>’</w:t>
      </w:r>
      <w:r w:rsidRPr="005C7CCE">
        <w:t>envois postaux ont été effectués pour un coût s</w:t>
      </w:r>
      <w:r w:rsidR="00A20444" w:rsidRPr="005C7CCE">
        <w:t>’</w:t>
      </w:r>
      <w:r w:rsidRPr="005C7CCE">
        <w:t>élevant à 1,7 million de francs suisses, contre 1,8 million d</w:t>
      </w:r>
      <w:r w:rsidR="00A20444" w:rsidRPr="005C7CCE">
        <w:t>’</w:t>
      </w:r>
      <w:r w:rsidRPr="005C7CCE">
        <w:t xml:space="preserve">envois postaux effectués pour un coût de </w:t>
      </w:r>
      <w:r w:rsidR="003133EE">
        <w:t>2,2 millions</w:t>
      </w:r>
      <w:r w:rsidRPr="005C7CCE">
        <w:t xml:space="preserve"> de francs suisses en 2012. </w:t>
      </w:r>
      <w:r w:rsidR="0010442A" w:rsidRPr="005C7CCE">
        <w:t xml:space="preserve"> </w:t>
      </w:r>
      <w:r w:rsidRPr="005C7CCE">
        <w:t>À titre de comparaison, en 2011, 1,7 million d</w:t>
      </w:r>
      <w:r w:rsidR="00A20444" w:rsidRPr="005C7CCE">
        <w:t>’</w:t>
      </w:r>
      <w:r w:rsidRPr="005C7CCE">
        <w:t>envois postaux avaient été effectués pour un coût total de 2,5 millions de francs suisses.</w:t>
      </w:r>
    </w:p>
    <w:p w:rsidR="00D42474" w:rsidRDefault="00D42474" w:rsidP="001A5BF9">
      <w:pPr>
        <w:keepNext/>
        <w:keepLines/>
        <w:jc w:val="both"/>
        <w:rPr>
          <w:rFonts w:eastAsia="Calibri" w:cs="Arial"/>
          <w:szCs w:val="20"/>
        </w:rPr>
      </w:pPr>
    </w:p>
    <w:p w:rsidR="00D42474" w:rsidRDefault="00F40E87" w:rsidP="001A5BF9">
      <w:pPr>
        <w:keepNext/>
        <w:keepLines/>
        <w:spacing w:after="200"/>
        <w:jc w:val="both"/>
        <w:rPr>
          <w:rFonts w:eastAsia="Calibri" w:cs="Arial"/>
          <w:b/>
          <w:bCs/>
          <w:i/>
          <w:szCs w:val="20"/>
        </w:rPr>
      </w:pPr>
      <w:r w:rsidRPr="006851DA">
        <w:rPr>
          <w:b/>
          <w:i/>
        </w:rPr>
        <w:t>Dépenses de personnel</w:t>
      </w:r>
    </w:p>
    <w:p w:rsidR="00D42474" w:rsidRDefault="00F40E87" w:rsidP="001A5BF9">
      <w:pPr>
        <w:spacing w:after="200"/>
        <w:jc w:val="both"/>
        <w:rPr>
          <w:rFonts w:eastAsia="Calibri" w:cs="Arial"/>
          <w:spacing w:val="-2"/>
          <w:szCs w:val="20"/>
        </w:rPr>
      </w:pPr>
      <w:r w:rsidRPr="005C7CCE">
        <w:rPr>
          <w:spacing w:val="-2"/>
        </w:rPr>
        <w:t>La majorité des mesures de maîtrise des coûts engagées au cours de l</w:t>
      </w:r>
      <w:r w:rsidR="00A20444" w:rsidRPr="005C7CCE">
        <w:rPr>
          <w:spacing w:val="-2"/>
        </w:rPr>
        <w:t>’</w:t>
      </w:r>
      <w:r w:rsidRPr="005C7CCE">
        <w:rPr>
          <w:spacing w:val="-2"/>
        </w:rPr>
        <w:t xml:space="preserve">exercice biennal actuel ont ciblé les dépenses autres que les dépenses de personnel. </w:t>
      </w:r>
      <w:r w:rsidR="0010442A" w:rsidRPr="005C7CCE">
        <w:rPr>
          <w:spacing w:val="-2"/>
        </w:rPr>
        <w:t xml:space="preserve"> </w:t>
      </w:r>
      <w:r w:rsidRPr="005C7CCE">
        <w:rPr>
          <w:spacing w:val="-2"/>
        </w:rPr>
        <w:t>Comme indiqué dans le document WO/PBC/21/19, l</w:t>
      </w:r>
      <w:r w:rsidR="00A20444" w:rsidRPr="005C7CCE">
        <w:rPr>
          <w:spacing w:val="-2"/>
        </w:rPr>
        <w:t>’</w:t>
      </w:r>
      <w:r w:rsidRPr="005C7CCE">
        <w:rPr>
          <w:spacing w:val="-2"/>
        </w:rPr>
        <w:t xml:space="preserve">étendue de telles mesures en ce qui concerne les coûts de personnel est limitée. </w:t>
      </w:r>
      <w:r w:rsidR="0010442A" w:rsidRPr="005C7CCE">
        <w:rPr>
          <w:spacing w:val="-2"/>
        </w:rPr>
        <w:t xml:space="preserve"> </w:t>
      </w:r>
      <w:r w:rsidRPr="005C7CCE">
        <w:rPr>
          <w:spacing w:val="-2"/>
        </w:rPr>
        <w:t>Néanmoins, la rationalisation du programme de stages entreprise au cours de l</w:t>
      </w:r>
      <w:r w:rsidR="00A20444" w:rsidRPr="005C7CCE">
        <w:rPr>
          <w:spacing w:val="-2"/>
        </w:rPr>
        <w:t>’</w:t>
      </w:r>
      <w:r w:rsidRPr="005C7CCE">
        <w:rPr>
          <w:spacing w:val="-2"/>
        </w:rPr>
        <w:t>exercice biennal actuel a entraîné des économies sur les coûts liés au personnel, notamment une réduction de 305 000 francs suisses dans les dépenses effectives consacrées aux stages par rapport à un budget approuvé de 795 000 francs suisses pour l</w:t>
      </w:r>
      <w:r w:rsidR="00A20444" w:rsidRPr="005C7CCE">
        <w:rPr>
          <w:spacing w:val="-2"/>
        </w:rPr>
        <w:t>’</w:t>
      </w:r>
      <w:r w:rsidRPr="005C7CCE">
        <w:rPr>
          <w:spacing w:val="-2"/>
        </w:rPr>
        <w:t xml:space="preserve">exercice biennal. </w:t>
      </w:r>
      <w:r w:rsidR="0010442A" w:rsidRPr="005C7CCE">
        <w:rPr>
          <w:spacing w:val="-2"/>
        </w:rPr>
        <w:t xml:space="preserve"> </w:t>
      </w:r>
      <w:r w:rsidRPr="005C7CCE">
        <w:rPr>
          <w:spacing w:val="-2"/>
        </w:rPr>
        <w:t>Des niveaux de recettes plus élevés lors de l</w:t>
      </w:r>
      <w:r w:rsidR="00A20444" w:rsidRPr="005C7CCE">
        <w:rPr>
          <w:spacing w:val="-2"/>
        </w:rPr>
        <w:t>’</w:t>
      </w:r>
      <w:r w:rsidRPr="005C7CCE">
        <w:rPr>
          <w:spacing w:val="-2"/>
        </w:rPr>
        <w:t>exercice biennal ont permis le rétablissement partiel des dotations pour l</w:t>
      </w:r>
      <w:r w:rsidR="00A20444" w:rsidRPr="005C7CCE">
        <w:rPr>
          <w:spacing w:val="-2"/>
        </w:rPr>
        <w:t>’</w:t>
      </w:r>
      <w:r w:rsidRPr="005C7CCE">
        <w:rPr>
          <w:spacing w:val="-2"/>
        </w:rPr>
        <w:t>assurance maladie après cessation de service (</w:t>
      </w:r>
      <w:proofErr w:type="spellStart"/>
      <w:r w:rsidRPr="005C7CCE">
        <w:rPr>
          <w:spacing w:val="-2"/>
        </w:rPr>
        <w:t>AMCS</w:t>
      </w:r>
      <w:proofErr w:type="spellEnd"/>
      <w:r w:rsidRPr="005C7CCE">
        <w:rPr>
          <w:spacing w:val="-2"/>
        </w:rPr>
        <w:t>), conformément au programme et budget 2012</w:t>
      </w:r>
      <w:r w:rsidR="002D6F2A" w:rsidRPr="005C7CCE">
        <w:rPr>
          <w:spacing w:val="-2"/>
        </w:rPr>
        <w:noBreakHyphen/>
      </w:r>
      <w:r w:rsidRPr="005C7CCE">
        <w:rPr>
          <w:spacing w:val="-2"/>
        </w:rPr>
        <w:t>2013, où il est indiqué qu</w:t>
      </w:r>
      <w:r w:rsidR="00A20444" w:rsidRPr="005C7CCE">
        <w:rPr>
          <w:spacing w:val="-2"/>
        </w:rPr>
        <w:t>’</w:t>
      </w:r>
      <w:r w:rsidRPr="005C7CCE">
        <w:rPr>
          <w:spacing w:val="-2"/>
        </w:rPr>
        <w:t>il sera proposé d</w:t>
      </w:r>
      <w:r w:rsidR="00A20444" w:rsidRPr="005C7CCE">
        <w:rPr>
          <w:spacing w:val="-2"/>
        </w:rPr>
        <w:t>’</w:t>
      </w:r>
      <w:r w:rsidRPr="005C7CCE">
        <w:rPr>
          <w:spacing w:val="-2"/>
        </w:rPr>
        <w:t xml:space="preserve">“utiliser en priorité toute augmentation du montant des recettes pour reconstituer cette provision au moment opportun”. </w:t>
      </w:r>
      <w:r w:rsidR="0010442A" w:rsidRPr="005C7CCE">
        <w:rPr>
          <w:spacing w:val="-2"/>
        </w:rPr>
        <w:t xml:space="preserve"> </w:t>
      </w:r>
      <w:r w:rsidRPr="005C7CCE">
        <w:rPr>
          <w:spacing w:val="-2"/>
        </w:rPr>
        <w:t>En outre, les coûts de personnel ont été inférieurs de 2</w:t>
      </w:r>
      <w:r w:rsidR="007E442D" w:rsidRPr="005C7CCE">
        <w:rPr>
          <w:spacing w:val="-2"/>
        </w:rPr>
        <w:t>%</w:t>
      </w:r>
      <w:r w:rsidRPr="005C7CCE">
        <w:rPr>
          <w:spacing w:val="-2"/>
        </w:rPr>
        <w:t xml:space="preserve"> à ce qui était prévu, principalement en raison du coût moindre en régularisations et en reclassements, ainsi que d</w:t>
      </w:r>
      <w:r w:rsidR="00A20444" w:rsidRPr="005C7CCE">
        <w:rPr>
          <w:spacing w:val="-2"/>
        </w:rPr>
        <w:t>’</w:t>
      </w:r>
      <w:r w:rsidRPr="005C7CCE">
        <w:rPr>
          <w:spacing w:val="-2"/>
        </w:rPr>
        <w:t>un taux de vacance supérieur.</w:t>
      </w:r>
    </w:p>
    <w:p w:rsidR="00D42474" w:rsidRDefault="00F40E87" w:rsidP="001A5BF9">
      <w:pPr>
        <w:keepNext/>
        <w:keepLines/>
        <w:spacing w:after="200"/>
        <w:jc w:val="both"/>
        <w:rPr>
          <w:b/>
          <w:i/>
        </w:rPr>
      </w:pPr>
      <w:r w:rsidRPr="005C7CCE">
        <w:rPr>
          <w:b/>
          <w:i/>
        </w:rPr>
        <w:t>Contrats de louage de services/Services contractuels de personnes</w:t>
      </w:r>
    </w:p>
    <w:p w:rsidR="00D42474" w:rsidRDefault="00F40E87" w:rsidP="001A5BF9">
      <w:pPr>
        <w:keepNext/>
        <w:keepLines/>
        <w:jc w:val="both"/>
      </w:pPr>
      <w:r w:rsidRPr="005C7CCE">
        <w:t>Le programme et budget 2012</w:t>
      </w:r>
      <w:r w:rsidR="002D6F2A" w:rsidRPr="005C7CCE">
        <w:noBreakHyphen/>
      </w:r>
      <w:r w:rsidRPr="005C7CCE">
        <w:t>2013 comprenait une dotation globale d</w:t>
      </w:r>
      <w:r w:rsidR="00A20444" w:rsidRPr="005C7CCE">
        <w:t>’</w:t>
      </w:r>
      <w:r w:rsidRPr="005C7CCE">
        <w:t xml:space="preserve">environ 24 millions de francs suisses pour les services contractuels de personnes. </w:t>
      </w:r>
      <w:r w:rsidR="0010442A" w:rsidRPr="005C7CCE">
        <w:t xml:space="preserve"> </w:t>
      </w:r>
      <w:r w:rsidRPr="005C7CCE">
        <w:t>Une part non négligeable du budget des contrats de louage de services se rapportait aux coûts de traduction, en particulier pour les systèmes</w:t>
      </w:r>
      <w:r w:rsidR="00A20444" w:rsidRPr="005C7CCE">
        <w:t xml:space="preserve"> du PCT</w:t>
      </w:r>
      <w:r w:rsidRPr="005C7CCE">
        <w:t xml:space="preserve"> et de Madrid. </w:t>
      </w:r>
      <w:r w:rsidR="0010442A" w:rsidRPr="005C7CCE">
        <w:t xml:space="preserve"> </w:t>
      </w:r>
      <w:r w:rsidRPr="005C7CCE">
        <w:t>L</w:t>
      </w:r>
      <w:r w:rsidR="00A20444" w:rsidRPr="005C7CCE">
        <w:t>’</w:t>
      </w:r>
      <w:r w:rsidRPr="005C7CCE">
        <w:t>Organisation ayant continué de développer l</w:t>
      </w:r>
      <w:r w:rsidR="00A20444" w:rsidRPr="005C7CCE">
        <w:t>’</w:t>
      </w:r>
      <w:r w:rsidRPr="005C7CCE">
        <w:t xml:space="preserve">utilisation de divers outils de traduction automatisée, les dépenses relatives aux contrats de louage de services se sont chiffrées au total à 22,5 millions de francs suisses, soit une réduction de 1,5 million de francs suisses par rapport au budget approuvé. </w:t>
      </w:r>
      <w:r w:rsidR="0010442A" w:rsidRPr="005C7CCE">
        <w:t xml:space="preserve"> </w:t>
      </w:r>
      <w:r w:rsidRPr="005C7CCE">
        <w:t>Cette réduction a été réalisée malgré des volumes de traduction croissants.</w:t>
      </w:r>
    </w:p>
    <w:p w:rsidR="00D42474" w:rsidRDefault="00D42474" w:rsidP="001A5BF9">
      <w:pPr>
        <w:jc w:val="both"/>
        <w:rPr>
          <w:rFonts w:eastAsia="Calibri" w:cs="Arial"/>
          <w:sz w:val="16"/>
          <w:szCs w:val="20"/>
        </w:rPr>
      </w:pPr>
    </w:p>
    <w:p w:rsidR="00D42474" w:rsidRDefault="00F40E87" w:rsidP="001A5BF9">
      <w:pPr>
        <w:jc w:val="both"/>
        <w:rPr>
          <w:spacing w:val="-2"/>
        </w:rPr>
      </w:pPr>
      <w:r w:rsidRPr="005C7CCE">
        <w:rPr>
          <w:spacing w:val="-2"/>
        </w:rPr>
        <w:t>En 2013, le vérificateur externe des comptes a recommandé que l</w:t>
      </w:r>
      <w:r w:rsidR="00A20444" w:rsidRPr="005C7CCE">
        <w:rPr>
          <w:spacing w:val="-2"/>
        </w:rPr>
        <w:t>’</w:t>
      </w:r>
      <w:r w:rsidRPr="005C7CCE">
        <w:rPr>
          <w:spacing w:val="-2"/>
        </w:rPr>
        <w:t>OMPI “élabore et mette en œuvre une stratégie efficace et économiquement rationnelle concernant les dépenses relatives aux contrats de louage de services”, soulignant que cette stratégie pourrait s</w:t>
      </w:r>
      <w:r w:rsidR="00A20444" w:rsidRPr="005C7CCE">
        <w:rPr>
          <w:spacing w:val="-2"/>
        </w:rPr>
        <w:t>’</w:t>
      </w:r>
      <w:r w:rsidRPr="005C7CCE">
        <w:rPr>
          <w:spacing w:val="-2"/>
        </w:rPr>
        <w:t>articuler autour de l</w:t>
      </w:r>
      <w:r w:rsidR="00A20444" w:rsidRPr="005C7CCE">
        <w:rPr>
          <w:spacing w:val="-2"/>
        </w:rPr>
        <w:t>’</w:t>
      </w:r>
      <w:r w:rsidRPr="005C7CCE">
        <w:rPr>
          <w:spacing w:val="-2"/>
        </w:rPr>
        <w:t>attribution concurrentielle des contrats de louage de services et d</w:t>
      </w:r>
      <w:r w:rsidR="00A20444" w:rsidRPr="005C7CCE">
        <w:rPr>
          <w:spacing w:val="-2"/>
        </w:rPr>
        <w:t>’</w:t>
      </w:r>
      <w:r w:rsidRPr="005C7CCE">
        <w:rPr>
          <w:spacing w:val="-2"/>
        </w:rPr>
        <w:t>une certification du chef de programme selon laquelle la mission ne comporte pas de fonctions attribuées ou qu</w:t>
      </w:r>
      <w:r w:rsidR="00A20444" w:rsidRPr="005C7CCE">
        <w:rPr>
          <w:spacing w:val="-2"/>
        </w:rPr>
        <w:t>’</w:t>
      </w:r>
      <w:r w:rsidRPr="005C7CCE">
        <w:rPr>
          <w:spacing w:val="-2"/>
        </w:rPr>
        <w:t>il est prévu d</w:t>
      </w:r>
      <w:r w:rsidR="00A20444" w:rsidRPr="005C7CCE">
        <w:rPr>
          <w:spacing w:val="-2"/>
        </w:rPr>
        <w:t>’</w:t>
      </w:r>
      <w:r w:rsidRPr="005C7CCE">
        <w:rPr>
          <w:spacing w:val="-2"/>
        </w:rPr>
        <w:t>attribuer à du personnel permanent.</w:t>
      </w:r>
    </w:p>
    <w:p w:rsidR="00D42474" w:rsidRDefault="00D42474" w:rsidP="001A5BF9">
      <w:pPr>
        <w:keepNext/>
        <w:keepLines/>
        <w:jc w:val="both"/>
        <w:rPr>
          <w:rFonts w:eastAsia="Calibri" w:cs="Arial"/>
          <w:sz w:val="16"/>
          <w:szCs w:val="20"/>
        </w:rPr>
      </w:pPr>
    </w:p>
    <w:p w:rsidR="00D42474" w:rsidRDefault="00F40E87" w:rsidP="001A5BF9">
      <w:pPr>
        <w:keepNext/>
        <w:keepLines/>
        <w:spacing w:after="200"/>
        <w:jc w:val="both"/>
      </w:pPr>
      <w:r w:rsidRPr="005C7CCE">
        <w:t>En réponse à la recommandation du vérificateur externe des comptes et dans le but de renforcer les contrôles et processus internes du recours à des services contractuels de personnes pour parvenir de la meilleure manière aux résultats escomptés, une nouvelle politique de l</w:t>
      </w:r>
      <w:r w:rsidR="00A20444" w:rsidRPr="005C7CCE">
        <w:t>’</w:t>
      </w:r>
      <w:r w:rsidRPr="005C7CCE">
        <w:t>OMPI en matière de services contractuels de personnes (Ordre de service 45/2013) a été élaborée et promulguée à la fin de l</w:t>
      </w:r>
      <w:r w:rsidR="00A20444" w:rsidRPr="005C7CCE">
        <w:t>’</w:t>
      </w:r>
      <w:r w:rsidRPr="005C7CCE">
        <w:t xml:space="preserve">année 2013. </w:t>
      </w:r>
      <w:r w:rsidR="0010442A" w:rsidRPr="005C7CCE">
        <w:t xml:space="preserve"> </w:t>
      </w:r>
      <w:r w:rsidRPr="005C7CCE">
        <w:t xml:space="preserve">Le nouveau cadre remplace les contrats de louage de services et autres types de contrat externe précédents. </w:t>
      </w:r>
      <w:r w:rsidR="0010442A" w:rsidRPr="005C7CCE">
        <w:t xml:space="preserve"> </w:t>
      </w:r>
      <w:r w:rsidRPr="005C7CCE">
        <w:t>Le recours à des services contractuels de personnes est limité aux tâches et fonctions n</w:t>
      </w:r>
      <w:r w:rsidR="00A20444" w:rsidRPr="005C7CCE">
        <w:t>’</w:t>
      </w:r>
      <w:r w:rsidRPr="005C7CCE">
        <w:t xml:space="preserve">étant pas de nature continue. </w:t>
      </w:r>
      <w:r w:rsidR="0010442A" w:rsidRPr="005C7CCE">
        <w:t xml:space="preserve"> </w:t>
      </w:r>
      <w:r w:rsidRPr="005C7CCE">
        <w:t>Les principes généraux sur lesquels repose le recours à de tels contrats sont les suivants : i) des procédures de sélection compétitives et efficaces;</w:t>
      </w:r>
      <w:r w:rsidR="004F3E42" w:rsidRPr="005C7CCE">
        <w:t xml:space="preserve"> </w:t>
      </w:r>
      <w:r w:rsidR="0010442A" w:rsidRPr="005C7CCE">
        <w:t xml:space="preserve"> </w:t>
      </w:r>
      <w:r w:rsidRPr="005C7CCE">
        <w:t>ii) une prestation de services efficace à l</w:t>
      </w:r>
      <w:r w:rsidR="00A20444" w:rsidRPr="005C7CCE">
        <w:t>’</w:t>
      </w:r>
      <w:r w:rsidRPr="005C7CCE">
        <w:t>Organisation;</w:t>
      </w:r>
      <w:r w:rsidR="004F3E42" w:rsidRPr="005C7CCE">
        <w:t xml:space="preserve"> </w:t>
      </w:r>
      <w:r w:rsidR="0010442A" w:rsidRPr="005C7CCE">
        <w:t xml:space="preserve"> </w:t>
      </w:r>
      <w:r w:rsidRPr="005C7CCE">
        <w:t>iii) l</w:t>
      </w:r>
      <w:r w:rsidR="00A20444" w:rsidRPr="005C7CCE">
        <w:t>’</w:t>
      </w:r>
      <w:r w:rsidRPr="005C7CCE">
        <w:t xml:space="preserve">optimisation des ressources; </w:t>
      </w:r>
      <w:r w:rsidR="0010442A" w:rsidRPr="005C7CCE">
        <w:t xml:space="preserve"> </w:t>
      </w:r>
      <w:r w:rsidRPr="005C7CCE">
        <w:t>iv) intégrité, confidentialité et transparence dans la mise en œuvre;</w:t>
      </w:r>
      <w:r w:rsidR="004F3E42" w:rsidRPr="005C7CCE">
        <w:t xml:space="preserve"> </w:t>
      </w:r>
      <w:r w:rsidR="0010442A" w:rsidRPr="005C7CCE">
        <w:t xml:space="preserve"> </w:t>
      </w:r>
      <w:r w:rsidRPr="005C7CCE">
        <w:t>v) la préservation des intérêts de l</w:t>
      </w:r>
      <w:r w:rsidR="00A20444" w:rsidRPr="005C7CCE">
        <w:t>’</w:t>
      </w:r>
      <w:r w:rsidRPr="005C7CCE">
        <w:t>OMPI;</w:t>
      </w:r>
      <w:r w:rsidR="004F3E42" w:rsidRPr="005C7CCE">
        <w:t xml:space="preserve"> </w:t>
      </w:r>
      <w:r w:rsidR="0010442A" w:rsidRPr="005C7CCE">
        <w:t xml:space="preserve"> </w:t>
      </w:r>
      <w:r w:rsidRPr="005C7CCE">
        <w:t>et vi) des pratiques d</w:t>
      </w:r>
      <w:r w:rsidR="00A20444" w:rsidRPr="005C7CCE">
        <w:t>’</w:t>
      </w:r>
      <w:r w:rsidRPr="005C7CCE">
        <w:t>engagement prudentes.</w:t>
      </w:r>
      <w:r w:rsidR="0010442A" w:rsidRPr="005C7CCE">
        <w:t xml:space="preserve"> </w:t>
      </w:r>
      <w:r w:rsidRPr="005C7CCE">
        <w:t xml:space="preserve"> Les nouvelles procédures établies doivent également mener à un meilleur suivi de l</w:t>
      </w:r>
      <w:r w:rsidR="00A20444" w:rsidRPr="005C7CCE">
        <w:t>’</w:t>
      </w:r>
      <w:r w:rsidRPr="005C7CCE">
        <w:t>utilisation et des coûts associés à de telles ressources.</w:t>
      </w:r>
    </w:p>
    <w:p w:rsidR="00D42474" w:rsidRDefault="00F40E87" w:rsidP="001A5BF9">
      <w:pPr>
        <w:keepNext/>
        <w:keepLines/>
        <w:spacing w:after="200"/>
        <w:jc w:val="both"/>
        <w:rPr>
          <w:rFonts w:eastAsia="Calibri" w:cs="Arial"/>
          <w:b/>
          <w:i/>
          <w:szCs w:val="20"/>
        </w:rPr>
      </w:pPr>
      <w:r w:rsidRPr="006851DA">
        <w:rPr>
          <w:b/>
          <w:i/>
        </w:rPr>
        <w:t>Processus opérationnels et culture de responsabilité en matière de dépenses</w:t>
      </w:r>
    </w:p>
    <w:p w:rsidR="00D42474" w:rsidRDefault="00F40E87" w:rsidP="001A5BF9">
      <w:pPr>
        <w:autoSpaceDE w:val="0"/>
        <w:autoSpaceDN w:val="0"/>
        <w:adjustRightInd w:val="0"/>
        <w:jc w:val="both"/>
        <w:rPr>
          <w:spacing w:val="-2"/>
        </w:rPr>
      </w:pPr>
      <w:r w:rsidRPr="006851DA">
        <w:rPr>
          <w:spacing w:val="-2"/>
        </w:rPr>
        <w:t>La mise en œuvre d</w:t>
      </w:r>
      <w:r w:rsidR="00A20444" w:rsidRPr="006851DA">
        <w:rPr>
          <w:spacing w:val="-2"/>
        </w:rPr>
        <w:t>’</w:t>
      </w:r>
      <w:r w:rsidRPr="006851DA">
        <w:rPr>
          <w:spacing w:val="-2"/>
        </w:rPr>
        <w:t>initiatives de réformes dans le cadre du programme de réorientation stratégique s</w:t>
      </w:r>
      <w:r w:rsidR="00A20444" w:rsidRPr="006851DA">
        <w:rPr>
          <w:spacing w:val="-2"/>
        </w:rPr>
        <w:t>’</w:t>
      </w:r>
      <w:r w:rsidRPr="006851DA">
        <w:rPr>
          <w:spacing w:val="-2"/>
        </w:rPr>
        <w:t>est achevée à la fin de l</w:t>
      </w:r>
      <w:r w:rsidR="00A20444" w:rsidRPr="006851DA">
        <w:rPr>
          <w:spacing w:val="-2"/>
        </w:rPr>
        <w:t>’</w:t>
      </w:r>
      <w:r w:rsidRPr="006851DA">
        <w:rPr>
          <w:spacing w:val="-2"/>
        </w:rPr>
        <w:t xml:space="preserve">année 2012. </w:t>
      </w:r>
      <w:r w:rsidR="0010442A" w:rsidRPr="006851DA">
        <w:rPr>
          <w:spacing w:val="-2"/>
        </w:rPr>
        <w:t xml:space="preserve"> </w:t>
      </w:r>
      <w:r w:rsidRPr="006851DA">
        <w:rPr>
          <w:spacing w:val="-2"/>
        </w:rPr>
        <w:t>Le programme de réorientation stratégique visait à rationaliser les structures et systèmes de l</w:t>
      </w:r>
      <w:r w:rsidR="00A20444" w:rsidRPr="006851DA">
        <w:rPr>
          <w:spacing w:val="-2"/>
        </w:rPr>
        <w:t>’</w:t>
      </w:r>
      <w:r w:rsidRPr="006851DA">
        <w:rPr>
          <w:spacing w:val="-2"/>
        </w:rPr>
        <w:t xml:space="preserve">Organisation et à la rendre plus professionnelle avec des procédures internes fondées sur les meilleures pratiques. </w:t>
      </w:r>
      <w:r w:rsidR="0010442A" w:rsidRPr="006851DA">
        <w:rPr>
          <w:spacing w:val="-2"/>
        </w:rPr>
        <w:t xml:space="preserve"> </w:t>
      </w:r>
      <w:r w:rsidRPr="006851DA">
        <w:rPr>
          <w:spacing w:val="-2"/>
        </w:rPr>
        <w:t>Ce programme a apporté un nouveau regard sur la culture et les valeurs du Secrétariat, une efficacité renforcée à ses procédures internes et un meilleur alignement des programmes, de la structure et des ressources pour les objectifs stratégiques de l</w:t>
      </w:r>
      <w:r w:rsidR="00A20444" w:rsidRPr="006851DA">
        <w:rPr>
          <w:spacing w:val="-2"/>
        </w:rPr>
        <w:t>’</w:t>
      </w:r>
      <w:r w:rsidRPr="006851DA">
        <w:rPr>
          <w:spacing w:val="-2"/>
        </w:rPr>
        <w:t>Organisation.</w:t>
      </w:r>
      <w:r w:rsidR="004F3E42" w:rsidRPr="006851DA">
        <w:rPr>
          <w:spacing w:val="-2"/>
        </w:rPr>
        <w:t xml:space="preserve"> </w:t>
      </w:r>
      <w:r w:rsidR="0010442A" w:rsidRPr="006851DA">
        <w:rPr>
          <w:spacing w:val="-2"/>
        </w:rPr>
        <w:t xml:space="preserve"> </w:t>
      </w:r>
      <w:r w:rsidRPr="006851DA">
        <w:rPr>
          <w:spacing w:val="-2"/>
        </w:rPr>
        <w:t>À</w:t>
      </w:r>
      <w:r w:rsidR="00063B6A" w:rsidRPr="006851DA">
        <w:rPr>
          <w:spacing w:val="-2"/>
        </w:rPr>
        <w:t> </w:t>
      </w:r>
      <w:r w:rsidRPr="006851DA">
        <w:rPr>
          <w:spacing w:val="-2"/>
        </w:rPr>
        <w:t>compter de 2013, l</w:t>
      </w:r>
      <w:r w:rsidR="00A20444" w:rsidRPr="006851DA">
        <w:rPr>
          <w:spacing w:val="-2"/>
        </w:rPr>
        <w:t>’</w:t>
      </w:r>
      <w:r w:rsidRPr="006851DA">
        <w:rPr>
          <w:spacing w:val="-2"/>
        </w:rPr>
        <w:t>Organisation est entrée dans une phase “d</w:t>
      </w:r>
      <w:r w:rsidR="00A20444" w:rsidRPr="006851DA">
        <w:rPr>
          <w:spacing w:val="-2"/>
        </w:rPr>
        <w:t>’</w:t>
      </w:r>
      <w:r w:rsidRPr="006851DA">
        <w:rPr>
          <w:spacing w:val="-2"/>
        </w:rPr>
        <w:t>amélioration continue” afin de veiller à ce que les améliorations apportées dans le cadre du Programme de réorientation stratégique se poursuivent.</w:t>
      </w:r>
    </w:p>
    <w:p w:rsidR="00D42474" w:rsidRDefault="00D42474" w:rsidP="001A5BF9">
      <w:pPr>
        <w:jc w:val="both"/>
        <w:rPr>
          <w:rFonts w:eastAsia="Calibri" w:cs="Arial"/>
          <w:sz w:val="16"/>
          <w:szCs w:val="20"/>
        </w:rPr>
      </w:pPr>
    </w:p>
    <w:p w:rsidR="00D42474" w:rsidRDefault="00F40E87" w:rsidP="001A5BF9">
      <w:pPr>
        <w:jc w:val="both"/>
        <w:rPr>
          <w:rFonts w:eastAsia="Calibri" w:cs="Arial"/>
          <w:b/>
          <w:i/>
          <w:iCs/>
          <w:caps/>
          <w:szCs w:val="20"/>
        </w:rPr>
      </w:pPr>
      <w:r w:rsidRPr="006851DA">
        <w:t>L</w:t>
      </w:r>
      <w:r w:rsidR="00A20444" w:rsidRPr="006851DA">
        <w:t>’</w:t>
      </w:r>
      <w:r w:rsidRPr="006851DA">
        <w:t>élaboration des programmes de travail annuels pour 2012 et 2013, appuyée par une première génération d</w:t>
      </w:r>
      <w:r w:rsidR="00A20444" w:rsidRPr="006851DA">
        <w:t>’</w:t>
      </w:r>
      <w:r w:rsidRPr="006851DA">
        <w:t>outils de programmation mis au point dans le cadre du projet relatif à la gestion des performances de l</w:t>
      </w:r>
      <w:r w:rsidR="00A20444" w:rsidRPr="006851DA">
        <w:t>’</w:t>
      </w:r>
      <w:r w:rsidRPr="006851DA">
        <w:t>Organisation (</w:t>
      </w:r>
      <w:proofErr w:type="spellStart"/>
      <w:r w:rsidRPr="006851DA">
        <w:t>EPM</w:t>
      </w:r>
      <w:proofErr w:type="spellEnd"/>
      <w:r w:rsidRPr="006851DA">
        <w:t>) relevant de l</w:t>
      </w:r>
      <w:r w:rsidR="00A20444" w:rsidRPr="006851DA">
        <w:t>’</w:t>
      </w:r>
      <w:r w:rsidRPr="006851DA">
        <w:t>ERP, s</w:t>
      </w:r>
      <w:r w:rsidR="00A20444" w:rsidRPr="006851DA">
        <w:t>’</w:t>
      </w:r>
      <w:r w:rsidRPr="006851DA">
        <w:t>est concentrée sur la réduction des chevauchements entre programmes et les gains de productivité.</w:t>
      </w:r>
      <w:r w:rsidR="004F3E42" w:rsidRPr="006851DA">
        <w:t xml:space="preserve"> </w:t>
      </w:r>
      <w:r w:rsidR="0010442A" w:rsidRPr="006851DA">
        <w:t xml:space="preserve"> </w:t>
      </w:r>
      <w:r w:rsidRPr="006851DA">
        <w:t>Les outils de programmation ont encore été améliorés pour le lancement de l</w:t>
      </w:r>
      <w:r w:rsidR="00A20444" w:rsidRPr="006851DA">
        <w:t>’</w:t>
      </w:r>
      <w:r w:rsidRPr="006851DA">
        <w:t>exercice biennal 2014</w:t>
      </w:r>
      <w:r w:rsidR="002D6F2A" w:rsidRPr="006851DA">
        <w:noBreakHyphen/>
      </w:r>
      <w:r w:rsidRPr="006851DA">
        <w:t>2015.</w:t>
      </w:r>
    </w:p>
    <w:p w:rsidR="00D42474" w:rsidRDefault="00D42474" w:rsidP="001A5BF9">
      <w:pPr>
        <w:jc w:val="both"/>
        <w:rPr>
          <w:sz w:val="16"/>
        </w:rPr>
      </w:pPr>
    </w:p>
    <w:p w:rsidR="00D42474" w:rsidRDefault="00F40E87" w:rsidP="001A5BF9">
      <w:pPr>
        <w:jc w:val="both"/>
      </w:pPr>
      <w:r w:rsidRPr="006851DA">
        <w:t>La mise en œuvre de l</w:t>
      </w:r>
      <w:r w:rsidR="00A20444" w:rsidRPr="006851DA">
        <w:t>’</w:t>
      </w:r>
      <w:r w:rsidRPr="006851DA">
        <w:t>ERP continuera de permettre à l</w:t>
      </w:r>
      <w:r w:rsidR="00A20444" w:rsidRPr="006851DA">
        <w:t>’</w:t>
      </w:r>
      <w:r w:rsidRPr="006851DA">
        <w:t>Organisation d</w:t>
      </w:r>
      <w:r w:rsidR="00A20444" w:rsidRPr="006851DA">
        <w:t>’</w:t>
      </w:r>
      <w:r w:rsidRPr="006851DA">
        <w:t>harmoniser les processus, de mieux comprendre les structures de coûts, de rechercher de nouveaux gains de productivité et, par conséquent, de réduire les coûts et d</w:t>
      </w:r>
      <w:r w:rsidR="00A20444" w:rsidRPr="006851DA">
        <w:t>’</w:t>
      </w:r>
      <w:r w:rsidRPr="006851DA">
        <w:t xml:space="preserve">offrir davantage de visibilité aux chefs de programme pour leur permettre de prendre des décisions en connaissance de cause. </w:t>
      </w:r>
      <w:r w:rsidR="0010442A" w:rsidRPr="006851DA">
        <w:t xml:space="preserve"> </w:t>
      </w:r>
      <w:r w:rsidRPr="006851DA">
        <w:t xml:space="preserve">Le module </w:t>
      </w:r>
      <w:proofErr w:type="spellStart"/>
      <w:r w:rsidRPr="006851DA">
        <w:t>PeopleSoft</w:t>
      </w:r>
      <w:proofErr w:type="spellEnd"/>
      <w:r w:rsidRPr="006851DA">
        <w:t xml:space="preserve"> pour les ressources humaines, mis en service au début de l</w:t>
      </w:r>
      <w:r w:rsidR="00A20444" w:rsidRPr="006851DA">
        <w:t>’</w:t>
      </w:r>
      <w:r w:rsidRPr="006851DA">
        <w:t>année 2014, automatise de nombreuses tâches administratives relatives aux ressources humaines et devrait améliorer l</w:t>
      </w:r>
      <w:r w:rsidR="00A20444" w:rsidRPr="006851DA">
        <w:t>’</w:t>
      </w:r>
      <w:r w:rsidRPr="006851DA">
        <w:t>efficacité des procédures en matière de ressources humaines, stimuler la productivité et réduire les coûts administratifs.</w:t>
      </w:r>
    </w:p>
    <w:p w:rsidR="00D42474" w:rsidRDefault="00D42474" w:rsidP="001A5BF9">
      <w:pPr>
        <w:jc w:val="both"/>
        <w:rPr>
          <w:rFonts w:eastAsia="Calibri" w:cs="Arial"/>
          <w:b/>
          <w:i/>
          <w:iCs/>
          <w:caps/>
          <w:sz w:val="16"/>
          <w:szCs w:val="20"/>
        </w:rPr>
      </w:pPr>
    </w:p>
    <w:p w:rsidR="00D42474" w:rsidRDefault="00F40E87" w:rsidP="001A5BF9">
      <w:pPr>
        <w:keepLines/>
        <w:spacing w:after="200"/>
        <w:jc w:val="both"/>
        <w:rPr>
          <w:rFonts w:eastAsia="Calibri" w:cs="Arial"/>
          <w:b/>
          <w:i/>
          <w:szCs w:val="20"/>
        </w:rPr>
      </w:pPr>
      <w:r w:rsidRPr="006851DA">
        <w:rPr>
          <w:b/>
          <w:i/>
        </w:rPr>
        <w:t>Gains d</w:t>
      </w:r>
      <w:r w:rsidR="00A20444" w:rsidRPr="006851DA">
        <w:rPr>
          <w:b/>
          <w:i/>
        </w:rPr>
        <w:t>’</w:t>
      </w:r>
      <w:r w:rsidRPr="006851DA">
        <w:rPr>
          <w:b/>
          <w:i/>
        </w:rPr>
        <w:t>efficacité réalisés dans les systèmes d</w:t>
      </w:r>
      <w:r w:rsidR="00A20444" w:rsidRPr="006851DA">
        <w:rPr>
          <w:b/>
          <w:i/>
        </w:rPr>
        <w:t>’</w:t>
      </w:r>
      <w:r w:rsidRPr="006851DA">
        <w:rPr>
          <w:b/>
          <w:i/>
        </w:rPr>
        <w:t>enregistrement international (PCT, Madrid et La Haye)</w:t>
      </w:r>
    </w:p>
    <w:p w:rsidR="00D42474" w:rsidRDefault="00F40E87" w:rsidP="001A5BF9">
      <w:pPr>
        <w:keepLines/>
        <w:jc w:val="both"/>
      </w:pPr>
      <w:r w:rsidRPr="005C7CCE">
        <w:t>L</w:t>
      </w:r>
      <w:r w:rsidR="00A20444" w:rsidRPr="005C7CCE">
        <w:t>’</w:t>
      </w:r>
      <w:r w:rsidRPr="005C7CCE">
        <w:t>exercice biennal 2012</w:t>
      </w:r>
      <w:r w:rsidR="002D6F2A" w:rsidRPr="005C7CCE">
        <w:noBreakHyphen/>
      </w:r>
      <w:r w:rsidRPr="005C7CCE">
        <w:t>2013 a connu une augmentation considérable des activités d</w:t>
      </w:r>
      <w:r w:rsidR="00A20444" w:rsidRPr="005C7CCE">
        <w:t>’</w:t>
      </w:r>
      <w:r w:rsidRPr="005C7CCE">
        <w:t>enregistrement dans le cadre des systèmes</w:t>
      </w:r>
      <w:r w:rsidR="00A20444" w:rsidRPr="005C7CCE">
        <w:t xml:space="preserve"> du PCT</w:t>
      </w:r>
      <w:r w:rsidRPr="005C7CCE">
        <w:t xml:space="preserve">, de Madrid et de La Haye. </w:t>
      </w:r>
      <w:r w:rsidR="0010442A" w:rsidRPr="005C7CCE">
        <w:t xml:space="preserve"> </w:t>
      </w:r>
      <w:r w:rsidRPr="005C7CCE">
        <w:t xml:space="preserve">Dans le même temps, le Bureau international a continué à fournir des services de qualité à ses utilisateurs tout en améliorant la productivité et la maîtrise des coûts. </w:t>
      </w:r>
      <w:r w:rsidR="0010442A" w:rsidRPr="005C7CCE">
        <w:t xml:space="preserve"> </w:t>
      </w:r>
      <w:r w:rsidRPr="005C7CCE">
        <w:t>Différentes initiatives dans le domaine</w:t>
      </w:r>
      <w:r w:rsidR="00A20444" w:rsidRPr="005C7CCE">
        <w:t xml:space="preserve"> des TIC</w:t>
      </w:r>
      <w:r w:rsidRPr="005C7CCE">
        <w:t xml:space="preserve"> ayant renforcé l</w:t>
      </w:r>
      <w:r w:rsidR="00A20444" w:rsidRPr="005C7CCE">
        <w:t>’</w:t>
      </w:r>
      <w:r w:rsidRPr="005C7CCE">
        <w:t>automatisation ont joué un rôle important dans l</w:t>
      </w:r>
      <w:r w:rsidR="00A20444" w:rsidRPr="005C7CCE">
        <w:t>’</w:t>
      </w:r>
      <w:r w:rsidRPr="005C7CCE">
        <w:t>amélioration de la productivité et du rapport coût</w:t>
      </w:r>
      <w:r w:rsidR="002D6F2A" w:rsidRPr="005C7CCE">
        <w:noBreakHyphen/>
      </w:r>
      <w:r w:rsidRPr="005C7CCE">
        <w:t>efficacité, comme l</w:t>
      </w:r>
      <w:r w:rsidR="00A20444" w:rsidRPr="005C7CCE">
        <w:t>’</w:t>
      </w:r>
      <w:r w:rsidRPr="005C7CCE">
        <w:t>indique le document WO/PBC/21/19.</w:t>
      </w:r>
    </w:p>
    <w:p w:rsidR="00D42474" w:rsidRDefault="00F40E87" w:rsidP="001A5BF9">
      <w:pPr>
        <w:spacing w:after="200"/>
        <w:jc w:val="both"/>
        <w:rPr>
          <w:rFonts w:eastAsia="Calibri" w:cs="Arial"/>
          <w:i/>
          <w:szCs w:val="20"/>
        </w:rPr>
      </w:pPr>
      <w:r w:rsidRPr="006851DA">
        <w:rPr>
          <w:i/>
        </w:rPr>
        <w:t>Système du Traité de coopération en matière de brevets (PCT)</w:t>
      </w:r>
    </w:p>
    <w:p w:rsidR="00D42474" w:rsidRDefault="00F40E87" w:rsidP="001A5BF9">
      <w:pPr>
        <w:jc w:val="both"/>
      </w:pPr>
      <w:r w:rsidRPr="005C7CCE">
        <w:t xml:space="preserve">Le Bureau international a reçu environ </w:t>
      </w:r>
      <w:r w:rsidR="00BD43F2">
        <w:t>196 200 </w:t>
      </w:r>
      <w:r w:rsidRPr="005C7CCE">
        <w:t>et 202 700 exemplaires originaux en 2012 et 2013, ce qui représente une augmentation de 9</w:t>
      </w:r>
      <w:r w:rsidR="007E442D" w:rsidRPr="005C7CCE">
        <w:t>%</w:t>
      </w:r>
      <w:r w:rsidRPr="005C7CCE">
        <w:t xml:space="preserve"> et 3</w:t>
      </w:r>
      <w:r w:rsidR="007E442D" w:rsidRPr="005C7CCE">
        <w:t>%</w:t>
      </w:r>
      <w:r w:rsidRPr="005C7CCE">
        <w:t xml:space="preserve">, respectivement, par rapport aux années précédentes. </w:t>
      </w:r>
      <w:r w:rsidR="0010442A" w:rsidRPr="005C7CCE">
        <w:t xml:space="preserve"> </w:t>
      </w:r>
      <w:r w:rsidRPr="005C7CCE">
        <w:t>La productivité en matière d</w:t>
      </w:r>
      <w:r w:rsidR="00A20444" w:rsidRPr="005C7CCE">
        <w:t>’</w:t>
      </w:r>
      <w:r w:rsidRPr="005C7CCE">
        <w:t>examen de forme a augmenté de 10</w:t>
      </w:r>
      <w:r w:rsidR="007E442D" w:rsidRPr="005C7CCE">
        <w:t>%</w:t>
      </w:r>
      <w:r w:rsidRPr="005C7CCE">
        <w:t xml:space="preserve"> de 2011 à 2012, puis de 8</w:t>
      </w:r>
      <w:r w:rsidR="007E442D" w:rsidRPr="005C7CCE">
        <w:t>%</w:t>
      </w:r>
      <w:r w:rsidRPr="005C7CCE">
        <w:t xml:space="preserve"> de 2012 à 2013.</w:t>
      </w:r>
      <w:r w:rsidR="0010442A" w:rsidRPr="005C7CCE">
        <w:t xml:space="preserve"> </w:t>
      </w:r>
      <w:r w:rsidRPr="005C7CCE">
        <w:t xml:space="preserve"> Cela tenait essentiellement aux progrès significatifs accomplis dans l</w:t>
      </w:r>
      <w:r w:rsidR="00A20444" w:rsidRPr="005C7CCE">
        <w:t>’</w:t>
      </w:r>
      <w:r w:rsidRPr="005C7CCE">
        <w:t>automatisation de certains processus associés à l</w:t>
      </w:r>
      <w:r w:rsidR="00A20444" w:rsidRPr="005C7CCE">
        <w:t>’</w:t>
      </w:r>
      <w:r w:rsidRPr="005C7CCE">
        <w:t xml:space="preserve">examen de forme, qui a permis de traiter des charges de travail beaucoup plus importantes avec les mêmes effectifs. </w:t>
      </w:r>
      <w:r w:rsidR="0010442A" w:rsidRPr="005C7CCE">
        <w:t xml:space="preserve"> </w:t>
      </w:r>
      <w:r w:rsidRPr="005C7CCE">
        <w:t>La productivité de l</w:t>
      </w:r>
      <w:r w:rsidR="00A20444" w:rsidRPr="005C7CCE">
        <w:t>’</w:t>
      </w:r>
      <w:r w:rsidRPr="005C7CCE">
        <w:t>examen de forme est le rapport entre le nombre de publications selon</w:t>
      </w:r>
      <w:r w:rsidR="00A20444" w:rsidRPr="005C7CCE">
        <w:t xml:space="preserve"> le PCT</w:t>
      </w:r>
      <w:r w:rsidRPr="005C7CCE">
        <w:t xml:space="preserve"> et l</w:t>
      </w:r>
      <w:r w:rsidR="00A20444" w:rsidRPr="005C7CCE">
        <w:t>’</w:t>
      </w:r>
      <w:r w:rsidRPr="005C7CCE">
        <w:t>effectif disponible pour l</w:t>
      </w:r>
      <w:r w:rsidR="00A20444" w:rsidRPr="005C7CCE">
        <w:t>’</w:t>
      </w:r>
      <w:r w:rsidRPr="005C7CCE">
        <w:t>examen de forme.</w:t>
      </w:r>
    </w:p>
    <w:p w:rsidR="00D42474" w:rsidRDefault="00D42474" w:rsidP="001A5BF9">
      <w:pPr>
        <w:jc w:val="both"/>
        <w:rPr>
          <w:rFonts w:eastAsia="Calibri" w:cs="Arial"/>
          <w:sz w:val="18"/>
          <w:szCs w:val="20"/>
        </w:rPr>
      </w:pPr>
    </w:p>
    <w:p w:rsidR="00D42474" w:rsidRDefault="00F40E87" w:rsidP="001A5BF9">
      <w:pPr>
        <w:jc w:val="both"/>
      </w:pPr>
      <w:r w:rsidRPr="005C7CCE">
        <w:t>La part des dépôts entièrement électroniques a continué de croître en 2012</w:t>
      </w:r>
      <w:r w:rsidR="002D6F2A" w:rsidRPr="005C7CCE">
        <w:noBreakHyphen/>
      </w:r>
      <w:r w:rsidRPr="005C7CCE">
        <w:t>2013, représentant désormais 89</w:t>
      </w:r>
      <w:r w:rsidR="007E442D" w:rsidRPr="005C7CCE">
        <w:t>%</w:t>
      </w:r>
      <w:r w:rsidRPr="005C7CCE">
        <w:t> du nombre total des dépôts en</w:t>
      </w:r>
      <w:r w:rsidR="0010442A" w:rsidRPr="005C7CCE">
        <w:t> </w:t>
      </w:r>
      <w:r w:rsidRPr="005C7CCE">
        <w:t>2013.</w:t>
      </w:r>
      <w:r w:rsidR="0010442A" w:rsidRPr="005C7CCE">
        <w:t xml:space="preserve"> </w:t>
      </w:r>
      <w:r w:rsidRPr="005C7CCE">
        <w:t xml:space="preserve"> Le Bureau international a continué de promouvoir l</w:t>
      </w:r>
      <w:r w:rsidR="00A20444" w:rsidRPr="005C7CCE">
        <w:t>’</w:t>
      </w:r>
      <w:r w:rsidRPr="005C7CCE">
        <w:t>échange électronique de documents et de données avec les offices, 92 et 93</w:t>
      </w:r>
      <w:r w:rsidR="007E442D" w:rsidRPr="005C7CCE">
        <w:t>%</w:t>
      </w:r>
      <w:r w:rsidRPr="005C7CCE">
        <w:t xml:space="preserve"> des documents émanant des offices reçus en 2012 et 2013, respectivement, par le Bureau international étant sous forme électronique. </w:t>
      </w:r>
      <w:r w:rsidR="0010442A" w:rsidRPr="005C7CCE">
        <w:t xml:space="preserve"> </w:t>
      </w:r>
      <w:r w:rsidRPr="005C7CCE">
        <w:t xml:space="preserve">Le système électronique du PCT a été mis à la disposition des offices ainsi que des déposants et propose un large éventail de nouvelles fonctions. </w:t>
      </w:r>
      <w:r w:rsidR="0010442A" w:rsidRPr="005C7CCE">
        <w:t xml:space="preserve"> </w:t>
      </w:r>
      <w:r w:rsidRPr="005C7CCE">
        <w:t>L</w:t>
      </w:r>
      <w:r w:rsidR="00A20444" w:rsidRPr="005C7CCE">
        <w:t>’</w:t>
      </w:r>
      <w:r w:rsidRPr="005C7CCE">
        <w:t>utilisation de ces nouveaux services a contribué à un traitement plus rapide et plus homogène en phase internationale, avec un risque d</w:t>
      </w:r>
      <w:r w:rsidR="00A20444" w:rsidRPr="005C7CCE">
        <w:t>’</w:t>
      </w:r>
      <w:r w:rsidRPr="005C7CCE">
        <w:t xml:space="preserve">erreurs réduit. </w:t>
      </w:r>
      <w:r w:rsidR="0010442A" w:rsidRPr="005C7CCE">
        <w:t xml:space="preserve"> </w:t>
      </w:r>
      <w:r w:rsidRPr="005C7CCE">
        <w:t>L</w:t>
      </w:r>
      <w:r w:rsidR="00A20444" w:rsidRPr="005C7CCE">
        <w:t>’</w:t>
      </w:r>
      <w:r w:rsidRPr="005C7CCE">
        <w:t>automatisation a sensiblement amélioré la ponctualité effective de l</w:t>
      </w:r>
      <w:r w:rsidR="00A20444" w:rsidRPr="005C7CCE">
        <w:t>’</w:t>
      </w:r>
      <w:r w:rsidRPr="005C7CCE">
        <w:t>examen de forme des demandes internationales selon</w:t>
      </w:r>
      <w:r w:rsidR="00A20444" w:rsidRPr="005C7CCE">
        <w:t xml:space="preserve"> le PCT</w:t>
      </w:r>
      <w:r w:rsidRPr="005C7CCE">
        <w:t xml:space="preserve"> en</w:t>
      </w:r>
      <w:r w:rsidR="0010442A" w:rsidRPr="005C7CCE">
        <w:t> </w:t>
      </w:r>
      <w:r w:rsidRPr="005C7CCE">
        <w:t>2013 : 82,58</w:t>
      </w:r>
      <w:r w:rsidR="007E442D" w:rsidRPr="005C7CCE">
        <w:t>%</w:t>
      </w:r>
      <w:r w:rsidRPr="005C7CCE">
        <w:t xml:space="preserve"> d</w:t>
      </w:r>
      <w:r w:rsidR="00A20444" w:rsidRPr="005C7CCE">
        <w:t>’</w:t>
      </w:r>
      <w:r w:rsidRPr="005C7CCE">
        <w:t>achèvement dans un délai de trois semaines à compter de la réception, contre 69,46</w:t>
      </w:r>
      <w:r w:rsidR="007E442D" w:rsidRPr="005C7CCE">
        <w:t>%</w:t>
      </w:r>
      <w:r w:rsidRPr="005C7CCE">
        <w:t xml:space="preserve"> en 2012 et 71,37</w:t>
      </w:r>
      <w:r w:rsidR="007E442D" w:rsidRPr="005C7CCE">
        <w:t>%</w:t>
      </w:r>
      <w:r w:rsidRPr="005C7CCE">
        <w:t xml:space="preserve"> en 2011.</w:t>
      </w:r>
    </w:p>
    <w:p w:rsidR="00D42474" w:rsidRDefault="00D42474" w:rsidP="001A5BF9">
      <w:pPr>
        <w:jc w:val="both"/>
        <w:rPr>
          <w:rFonts w:eastAsia="Calibri" w:cs="Arial"/>
          <w:sz w:val="18"/>
          <w:szCs w:val="20"/>
        </w:rPr>
      </w:pPr>
    </w:p>
    <w:p w:rsidR="00D42474" w:rsidRDefault="00F40E87" w:rsidP="001A5BF9">
      <w:pPr>
        <w:spacing w:after="200"/>
        <w:jc w:val="both"/>
        <w:rPr>
          <w:spacing w:val="-4"/>
        </w:rPr>
      </w:pPr>
      <w:r w:rsidRPr="005C7CCE">
        <w:rPr>
          <w:spacing w:val="-4"/>
        </w:rPr>
        <w:t>Le Secrétariat a également fait des progrès en introduisant davantage de souplesse dans la gestion des opérations de traduction par le biais du système de gestion des traductions, World Server, afin de semi</w:t>
      </w:r>
      <w:r w:rsidR="002D6F2A" w:rsidRPr="005C7CCE">
        <w:rPr>
          <w:spacing w:val="-4"/>
        </w:rPr>
        <w:noBreakHyphen/>
      </w:r>
      <w:r w:rsidRPr="005C7CCE">
        <w:rPr>
          <w:spacing w:val="-4"/>
        </w:rPr>
        <w:t>automatiser les processus d</w:t>
      </w:r>
      <w:r w:rsidR="00A20444" w:rsidRPr="005C7CCE">
        <w:rPr>
          <w:spacing w:val="-4"/>
        </w:rPr>
        <w:t>’</w:t>
      </w:r>
      <w:r w:rsidRPr="005C7CCE">
        <w:rPr>
          <w:spacing w:val="-4"/>
        </w:rPr>
        <w:t xml:space="preserve">attribution et de répartition des traductions. </w:t>
      </w:r>
      <w:r w:rsidR="0010442A" w:rsidRPr="005C7CCE">
        <w:rPr>
          <w:spacing w:val="-4"/>
        </w:rPr>
        <w:t xml:space="preserve"> </w:t>
      </w:r>
      <w:r w:rsidRPr="005C7CCE">
        <w:rPr>
          <w:spacing w:val="-4"/>
        </w:rPr>
        <w:t>Le succès du programme de bourses a entraîné d</w:t>
      </w:r>
      <w:r w:rsidR="00A20444" w:rsidRPr="005C7CCE">
        <w:rPr>
          <w:spacing w:val="-4"/>
        </w:rPr>
        <w:t>’</w:t>
      </w:r>
      <w:r w:rsidRPr="005C7CCE">
        <w:rPr>
          <w:spacing w:val="-4"/>
        </w:rPr>
        <w:t xml:space="preserve">autres économies, les diplômés du programme devenant des traducteurs externes à des tarifs inférieurs à ceux payés précédemment aux agences de traduction. </w:t>
      </w:r>
      <w:r w:rsidR="0010442A" w:rsidRPr="005C7CCE">
        <w:rPr>
          <w:spacing w:val="-4"/>
        </w:rPr>
        <w:t xml:space="preserve"> </w:t>
      </w:r>
      <w:r w:rsidRPr="005C7CCE">
        <w:rPr>
          <w:spacing w:val="-4"/>
        </w:rPr>
        <w:t>Les travaux sur des appels d</w:t>
      </w:r>
      <w:r w:rsidR="00A20444" w:rsidRPr="005C7CCE">
        <w:rPr>
          <w:spacing w:val="-4"/>
        </w:rPr>
        <w:t>’</w:t>
      </w:r>
      <w:r w:rsidRPr="005C7CCE">
        <w:rPr>
          <w:spacing w:val="-4"/>
        </w:rPr>
        <w:t>offres publics au cours de l</w:t>
      </w:r>
      <w:r w:rsidR="00A20444" w:rsidRPr="005C7CCE">
        <w:rPr>
          <w:spacing w:val="-4"/>
        </w:rPr>
        <w:t>’</w:t>
      </w:r>
      <w:r w:rsidRPr="005C7CCE">
        <w:rPr>
          <w:spacing w:val="-4"/>
        </w:rPr>
        <w:t>année 2013 ont également posé les fondations pour de nouvelles économies à venir.</w:t>
      </w:r>
    </w:p>
    <w:p w:rsidR="00D42474" w:rsidRDefault="00F40E87" w:rsidP="001A5BF9">
      <w:pPr>
        <w:jc w:val="both"/>
        <w:rPr>
          <w:spacing w:val="-4"/>
        </w:rPr>
      </w:pPr>
      <w:r w:rsidRPr="005C7CCE">
        <w:rPr>
          <w:spacing w:val="-4"/>
        </w:rPr>
        <w:t>La renégociation du contrat avec un agent extérieur pour l</w:t>
      </w:r>
      <w:r w:rsidR="00A20444" w:rsidRPr="005C7CCE">
        <w:rPr>
          <w:spacing w:val="-4"/>
        </w:rPr>
        <w:t>’</w:t>
      </w:r>
      <w:r w:rsidRPr="005C7CCE">
        <w:rPr>
          <w:spacing w:val="-4"/>
        </w:rPr>
        <w:t>archivage physique et le transport des dossiers</w:t>
      </w:r>
      <w:r w:rsidR="00A20444" w:rsidRPr="005C7CCE">
        <w:rPr>
          <w:spacing w:val="-4"/>
        </w:rPr>
        <w:t xml:space="preserve"> du PCT</w:t>
      </w:r>
      <w:r w:rsidRPr="005C7CCE">
        <w:rPr>
          <w:spacing w:val="-4"/>
        </w:rPr>
        <w:t xml:space="preserve"> dans des entrepôts de stockage a débouché sur une réduction significative des coûts, qui ont été </w:t>
      </w:r>
      <w:r w:rsidRPr="006851DA">
        <w:rPr>
          <w:spacing w:val="-4"/>
        </w:rPr>
        <w:t>ram</w:t>
      </w:r>
      <w:r w:rsidR="004356CF" w:rsidRPr="006851DA">
        <w:rPr>
          <w:spacing w:val="-4"/>
        </w:rPr>
        <w:t xml:space="preserve">enés de 217 000 à 37 500 francs </w:t>
      </w:r>
      <w:r w:rsidRPr="006851DA">
        <w:rPr>
          <w:spacing w:val="-4"/>
        </w:rPr>
        <w:t>suisses par an</w:t>
      </w:r>
      <w:r w:rsidR="004356CF" w:rsidRPr="006851DA">
        <w:rPr>
          <w:spacing w:val="-4"/>
        </w:rPr>
        <w:t xml:space="preserve"> (document WO/PBC/21/19)</w:t>
      </w:r>
      <w:r w:rsidRPr="006851DA">
        <w:rPr>
          <w:spacing w:val="-4"/>
        </w:rPr>
        <w:t xml:space="preserve">. </w:t>
      </w:r>
      <w:r w:rsidR="0010442A" w:rsidRPr="006851DA">
        <w:rPr>
          <w:spacing w:val="-4"/>
        </w:rPr>
        <w:t xml:space="preserve"> </w:t>
      </w:r>
      <w:r w:rsidRPr="006851DA">
        <w:rPr>
          <w:spacing w:val="-4"/>
        </w:rPr>
        <w:t>Cette réduction a été rendue possible par une diminution considérable du nombre d</w:t>
      </w:r>
      <w:r w:rsidR="00A20444" w:rsidRPr="006851DA">
        <w:rPr>
          <w:spacing w:val="-4"/>
        </w:rPr>
        <w:t>’</w:t>
      </w:r>
      <w:r w:rsidRPr="006851DA">
        <w:rPr>
          <w:spacing w:val="-4"/>
        </w:rPr>
        <w:t>interventions du sous</w:t>
      </w:r>
      <w:r w:rsidR="002D6F2A" w:rsidRPr="006851DA">
        <w:rPr>
          <w:spacing w:val="-4"/>
        </w:rPr>
        <w:noBreakHyphen/>
      </w:r>
      <w:r w:rsidRPr="006851DA">
        <w:rPr>
          <w:spacing w:val="-4"/>
        </w:rPr>
        <w:t>traitant et une réorganisation des aires de stockage internes.</w:t>
      </w:r>
      <w:r w:rsidR="004F3E42" w:rsidRPr="006851DA">
        <w:rPr>
          <w:spacing w:val="-4"/>
        </w:rPr>
        <w:t xml:space="preserve"> </w:t>
      </w:r>
      <w:r w:rsidR="0010442A" w:rsidRPr="006851DA">
        <w:rPr>
          <w:spacing w:val="-4"/>
        </w:rPr>
        <w:t xml:space="preserve"> </w:t>
      </w:r>
      <w:r w:rsidRPr="006851DA">
        <w:rPr>
          <w:spacing w:val="-4"/>
        </w:rPr>
        <w:t>D</w:t>
      </w:r>
      <w:r w:rsidR="00A20444" w:rsidRPr="006851DA">
        <w:rPr>
          <w:spacing w:val="-4"/>
        </w:rPr>
        <w:t>’</w:t>
      </w:r>
      <w:r w:rsidRPr="006851DA">
        <w:rPr>
          <w:spacing w:val="-4"/>
        </w:rPr>
        <w:t>autres économies sont également attendues compte tenu des plans actuels de numérisation et de stockage électronique des anciens dossiers de demandes selon</w:t>
      </w:r>
      <w:r w:rsidR="00A20444" w:rsidRPr="006851DA">
        <w:rPr>
          <w:spacing w:val="-4"/>
        </w:rPr>
        <w:t xml:space="preserve"> le PCT</w:t>
      </w:r>
      <w:r w:rsidRPr="006851DA">
        <w:rPr>
          <w:spacing w:val="-4"/>
        </w:rPr>
        <w:t>.</w:t>
      </w:r>
    </w:p>
    <w:p w:rsidR="00D42474" w:rsidRDefault="00D42474" w:rsidP="001A5BF9">
      <w:pPr>
        <w:jc w:val="both"/>
        <w:rPr>
          <w:rFonts w:eastAsia="Calibri" w:cs="Arial"/>
          <w:szCs w:val="20"/>
        </w:rPr>
      </w:pPr>
    </w:p>
    <w:p w:rsidR="00D42474" w:rsidRDefault="00F40E87" w:rsidP="001A5BF9">
      <w:pPr>
        <w:spacing w:after="200"/>
        <w:jc w:val="both"/>
        <w:rPr>
          <w:rFonts w:eastAsia="Calibri" w:cs="Arial"/>
          <w:i/>
          <w:szCs w:val="20"/>
        </w:rPr>
      </w:pPr>
      <w:r w:rsidRPr="006851DA">
        <w:rPr>
          <w:i/>
        </w:rPr>
        <w:t>Système de Madrid</w:t>
      </w:r>
    </w:p>
    <w:p w:rsidR="00D42474" w:rsidRDefault="00F40E87" w:rsidP="001A5BF9">
      <w:pPr>
        <w:jc w:val="both"/>
        <w:rPr>
          <w:rFonts w:eastAsia="Calibri" w:cs="Arial"/>
          <w:szCs w:val="20"/>
        </w:rPr>
      </w:pPr>
      <w:r w:rsidRPr="005C7CCE">
        <w:t>Au cours de l</w:t>
      </w:r>
      <w:r w:rsidR="00A20444" w:rsidRPr="005C7CCE">
        <w:t>’</w:t>
      </w:r>
      <w:r w:rsidRPr="005C7CCE">
        <w:t>exercice biennal 2012</w:t>
      </w:r>
      <w:r w:rsidR="002D6F2A" w:rsidRPr="005C7CCE">
        <w:noBreakHyphen/>
      </w:r>
      <w:r w:rsidRPr="005C7CCE">
        <w:t>2013, le Service des opérations de Madrid a continué à se concentrer sur l</w:t>
      </w:r>
      <w:r w:rsidR="00A20444" w:rsidRPr="005C7CCE">
        <w:t>’</w:t>
      </w:r>
      <w:r w:rsidRPr="005C7CCE">
        <w:t xml:space="preserve">amélioration de son efficacité globale et de sa productivité. </w:t>
      </w:r>
      <w:r w:rsidR="0010442A" w:rsidRPr="005C7CCE">
        <w:t xml:space="preserve"> </w:t>
      </w:r>
      <w:r w:rsidRPr="005C7CCE">
        <w:t>La charge de travail a augmenté de manière sensible, avec un total de 574 761 demandes reçues en 2013 (pour l</w:t>
      </w:r>
      <w:r w:rsidR="00A20444" w:rsidRPr="005C7CCE">
        <w:t>’</w:t>
      </w:r>
      <w:r w:rsidRPr="005C7CCE">
        <w:t>acquisition et le maintien des droits, les décisions des parties contractantes désignées et les modifications apportées au registre international), soit 7,9</w:t>
      </w:r>
      <w:r w:rsidR="007E442D" w:rsidRPr="005C7CCE">
        <w:t>%</w:t>
      </w:r>
      <w:r w:rsidRPr="005C7CCE">
        <w:t xml:space="preserve"> d</w:t>
      </w:r>
      <w:r w:rsidR="00A20444" w:rsidRPr="005C7CCE">
        <w:t>’</w:t>
      </w:r>
      <w:r w:rsidRPr="005C7CCE">
        <w:t xml:space="preserve">augmentation par rapport à 2012. </w:t>
      </w:r>
      <w:r w:rsidR="0010442A" w:rsidRPr="005C7CCE">
        <w:t xml:space="preserve"> </w:t>
      </w:r>
      <w:r w:rsidRPr="005C7CCE">
        <w:t>L</w:t>
      </w:r>
      <w:r w:rsidR="00A20444" w:rsidRPr="005C7CCE">
        <w:t>’</w:t>
      </w:r>
      <w:r w:rsidRPr="005C7CCE">
        <w:t>augmentation entre 2011 et 2012 s</w:t>
      </w:r>
      <w:r w:rsidR="00A20444" w:rsidRPr="005C7CCE">
        <w:t>’</w:t>
      </w:r>
      <w:r w:rsidRPr="005C7CCE">
        <w:t>élevait à 3</w:t>
      </w:r>
      <w:r w:rsidR="007E442D" w:rsidRPr="005C7CCE">
        <w:t>%</w:t>
      </w:r>
      <w:r w:rsidRPr="005C7CCE">
        <w:t>.</w:t>
      </w:r>
    </w:p>
    <w:p w:rsidR="00D42474" w:rsidRDefault="00D42474" w:rsidP="001A5BF9">
      <w:pPr>
        <w:jc w:val="both"/>
        <w:rPr>
          <w:rFonts w:eastAsia="Calibri" w:cs="Arial"/>
          <w:sz w:val="18"/>
          <w:szCs w:val="20"/>
        </w:rPr>
      </w:pPr>
    </w:p>
    <w:p w:rsidR="00D42474" w:rsidRDefault="00F40E87" w:rsidP="001A5BF9">
      <w:pPr>
        <w:jc w:val="both"/>
      </w:pPr>
      <w:r w:rsidRPr="005C7CCE">
        <w:t>Le principal gain d</w:t>
      </w:r>
      <w:r w:rsidR="00A20444" w:rsidRPr="005C7CCE">
        <w:t>’</w:t>
      </w:r>
      <w:r w:rsidRPr="005C7CCE">
        <w:t>efficacité réalisé par le Service des opérations de Madrid au cours de l</w:t>
      </w:r>
      <w:r w:rsidR="00A20444" w:rsidRPr="005C7CCE">
        <w:t>’</w:t>
      </w:r>
      <w:r w:rsidRPr="005C7CCE">
        <w:t>exercice biennal découlait de l</w:t>
      </w:r>
      <w:r w:rsidR="00A20444" w:rsidRPr="005C7CCE">
        <w:t>’</w:t>
      </w:r>
      <w:r w:rsidRPr="005C7CCE">
        <w:t xml:space="preserve">automatisation, en particulier dans le domaine de la traduction. </w:t>
      </w:r>
      <w:r w:rsidR="0010442A" w:rsidRPr="005C7CCE">
        <w:t xml:space="preserve"> </w:t>
      </w:r>
      <w:r w:rsidRPr="005C7CCE">
        <w:t>Entre 2012 et 2013, la diminution du coût unitaire par demande s</w:t>
      </w:r>
      <w:r w:rsidR="00A20444" w:rsidRPr="005C7CCE">
        <w:t>’</w:t>
      </w:r>
      <w:r w:rsidRPr="005C7CCE">
        <w:t>élève à 7,4</w:t>
      </w:r>
      <w:r w:rsidR="007E442D" w:rsidRPr="005C7CCE">
        <w:t>%</w:t>
      </w:r>
      <w:r w:rsidRPr="005C7CCE">
        <w:t>.</w:t>
      </w:r>
    </w:p>
    <w:p w:rsidR="00D42474" w:rsidRDefault="00D42474" w:rsidP="001A5BF9">
      <w:pPr>
        <w:jc w:val="both"/>
        <w:rPr>
          <w:rFonts w:eastAsia="Calibri" w:cs="Arial"/>
          <w:sz w:val="18"/>
          <w:szCs w:val="20"/>
        </w:rPr>
      </w:pPr>
    </w:p>
    <w:p w:rsidR="00D42474" w:rsidRDefault="00F40E87" w:rsidP="001A5BF9">
      <w:pPr>
        <w:jc w:val="both"/>
        <w:rPr>
          <w:rFonts w:eastAsia="Calibri" w:cs="Arial"/>
          <w:szCs w:val="20"/>
        </w:rPr>
      </w:pPr>
      <w:r w:rsidRPr="005C7CCE">
        <w:t>Le recours accru aux communications électroniques et les changements dans la politique en matière d</w:t>
      </w:r>
      <w:r w:rsidR="00A20444" w:rsidRPr="005C7CCE">
        <w:t>’</w:t>
      </w:r>
      <w:r w:rsidRPr="005C7CCE">
        <w:t xml:space="preserve">expéditions postales et de publication ont mené à une diminution des frais postaux. </w:t>
      </w:r>
      <w:r w:rsidR="0010442A" w:rsidRPr="005C7CCE">
        <w:t xml:space="preserve"> </w:t>
      </w:r>
      <w:r w:rsidRPr="005C7CCE">
        <w:t>La part des fichiers électroniques a continué à croître lors de l</w:t>
      </w:r>
      <w:r w:rsidR="00A20444" w:rsidRPr="005C7CCE">
        <w:t>’</w:t>
      </w:r>
      <w:r w:rsidRPr="005C7CCE">
        <w:t>exercice biennal 2012</w:t>
      </w:r>
      <w:r w:rsidR="002D6F2A" w:rsidRPr="005C7CCE">
        <w:noBreakHyphen/>
      </w:r>
      <w:r w:rsidRPr="005C7CCE">
        <w:t>2013 : 65</w:t>
      </w:r>
      <w:r w:rsidR="007E442D" w:rsidRPr="005C7CCE">
        <w:t>%</w:t>
      </w:r>
      <w:r w:rsidRPr="005C7CCE">
        <w:t xml:space="preserve"> des documents ont été reçus par voie électronique en 2012 et 67</w:t>
      </w:r>
      <w:r w:rsidR="007E442D" w:rsidRPr="005C7CCE">
        <w:t>%</w:t>
      </w:r>
      <w:r w:rsidRPr="005C7CCE">
        <w:t xml:space="preserve"> en 2013.</w:t>
      </w:r>
      <w:r w:rsidR="0010442A" w:rsidRPr="005C7CCE">
        <w:t xml:space="preserve"> </w:t>
      </w:r>
      <w:r w:rsidRPr="005C7CCE">
        <w:t xml:space="preserve"> </w:t>
      </w:r>
      <w:r w:rsidRPr="005C7CCE">
        <w:rPr>
          <w:color w:val="000080"/>
        </w:rPr>
        <w:t>L</w:t>
      </w:r>
      <w:r w:rsidR="00A20444" w:rsidRPr="005C7CCE">
        <w:t>’</w:t>
      </w:r>
      <w:r w:rsidRPr="005C7CCE">
        <w:t>Organisation s</w:t>
      </w:r>
      <w:r w:rsidR="00A20444" w:rsidRPr="005C7CCE">
        <w:t>’</w:t>
      </w:r>
      <w:r w:rsidRPr="005C7CCE">
        <w:t>efforce d</w:t>
      </w:r>
      <w:r w:rsidR="00A20444" w:rsidRPr="005C7CCE">
        <w:t>’</w:t>
      </w:r>
      <w:r w:rsidRPr="005C7CCE">
        <w:t>augmenter ce taux pour accroître par la suite les niveaux de traitement électronique.</w:t>
      </w:r>
    </w:p>
    <w:p w:rsidR="00D42474" w:rsidRDefault="00D42474" w:rsidP="001A5BF9">
      <w:pPr>
        <w:jc w:val="both"/>
        <w:rPr>
          <w:rFonts w:eastAsia="Calibri" w:cs="Arial"/>
          <w:sz w:val="18"/>
          <w:szCs w:val="20"/>
        </w:rPr>
      </w:pPr>
    </w:p>
    <w:p w:rsidR="00D42474" w:rsidRDefault="00F40E87" w:rsidP="001A5BF9">
      <w:pPr>
        <w:spacing w:after="200"/>
        <w:jc w:val="both"/>
        <w:rPr>
          <w:rFonts w:eastAsia="Calibri" w:cs="Arial"/>
          <w:i/>
          <w:szCs w:val="20"/>
        </w:rPr>
      </w:pPr>
      <w:r w:rsidRPr="006851DA">
        <w:rPr>
          <w:i/>
        </w:rPr>
        <w:t>Système de La Haye</w:t>
      </w:r>
    </w:p>
    <w:p w:rsidR="00D42474" w:rsidRDefault="00F40E87" w:rsidP="001A5BF9">
      <w:pPr>
        <w:spacing w:after="200"/>
        <w:jc w:val="both"/>
      </w:pPr>
      <w:r w:rsidRPr="005C7CCE">
        <w:t>Des efforts ont été poursuivis pour accroître l</w:t>
      </w:r>
      <w:r w:rsidR="00A20444" w:rsidRPr="005C7CCE">
        <w:t>’</w:t>
      </w:r>
      <w:r w:rsidRPr="005C7CCE">
        <w:t xml:space="preserve">efficacité des activités de promotion et de sensibilisation dans le cadre du système de La Haye, comme indiqué dans le document WO/PBC/21/19. </w:t>
      </w:r>
      <w:r w:rsidR="0010442A" w:rsidRPr="005C7CCE">
        <w:t xml:space="preserve"> </w:t>
      </w:r>
      <w:r w:rsidRPr="005C7CCE">
        <w:t>Ces efforts ont notamment porté sur l</w:t>
      </w:r>
      <w:r w:rsidR="00A20444" w:rsidRPr="005C7CCE">
        <w:t>’</w:t>
      </w:r>
      <w:r w:rsidRPr="005C7CCE">
        <w:t>exploitation des synergies entre les activités relevant du système de Madrid et celles relevant du système de La Haye, une meilleure utilisation des consultants régionaux pour développer des plans d</w:t>
      </w:r>
      <w:r w:rsidR="00A20444" w:rsidRPr="005C7CCE">
        <w:t>’</w:t>
      </w:r>
      <w:r w:rsidRPr="005C7CCE">
        <w:t xml:space="preserve">adhésion aux systèmes de Madrid et de La Haye, un recours plus large aux outils de </w:t>
      </w:r>
      <w:proofErr w:type="spellStart"/>
      <w:r w:rsidRPr="005C7CCE">
        <w:t>visioconférence</w:t>
      </w:r>
      <w:proofErr w:type="spellEnd"/>
      <w:r w:rsidRPr="005C7CCE">
        <w:t xml:space="preserve">, et le remplacement des documents papier par différents types de matériel </w:t>
      </w:r>
      <w:r w:rsidRPr="006851DA">
        <w:t>électronique, tels que des clés USB.</w:t>
      </w:r>
    </w:p>
    <w:p w:rsidR="00D42474" w:rsidRDefault="00F40E87" w:rsidP="001A5BF9">
      <w:pPr>
        <w:spacing w:after="200"/>
        <w:jc w:val="both"/>
        <w:rPr>
          <w:rFonts w:eastAsia="Calibri" w:cs="Arial"/>
          <w:spacing w:val="-4"/>
          <w:szCs w:val="20"/>
        </w:rPr>
      </w:pPr>
      <w:r w:rsidRPr="006851DA">
        <w:rPr>
          <w:spacing w:val="-4"/>
        </w:rPr>
        <w:t>Le nouvel outil de dépôt électronique lancé en juin 2013 comprend des mécanismes de protection dynamiques permettant aux déposants d</w:t>
      </w:r>
      <w:r w:rsidR="00A20444" w:rsidRPr="006851DA">
        <w:rPr>
          <w:spacing w:val="-4"/>
        </w:rPr>
        <w:t>’</w:t>
      </w:r>
      <w:r w:rsidRPr="006851DA">
        <w:rPr>
          <w:spacing w:val="-4"/>
        </w:rPr>
        <w:t>éviter les erreurs de forme et encourageant ainsi le dépôt des demandes par voie électronique.</w:t>
      </w:r>
      <w:r w:rsidR="004F3E42" w:rsidRPr="006851DA">
        <w:rPr>
          <w:spacing w:val="-4"/>
        </w:rPr>
        <w:t xml:space="preserve"> </w:t>
      </w:r>
      <w:r w:rsidR="0010442A" w:rsidRPr="006851DA">
        <w:rPr>
          <w:spacing w:val="-4"/>
        </w:rPr>
        <w:t xml:space="preserve"> </w:t>
      </w:r>
      <w:r w:rsidRPr="006851DA">
        <w:rPr>
          <w:spacing w:val="-4"/>
        </w:rPr>
        <w:t>En</w:t>
      </w:r>
      <w:r w:rsidR="0010442A" w:rsidRPr="006851DA">
        <w:rPr>
          <w:spacing w:val="-4"/>
        </w:rPr>
        <w:t> </w:t>
      </w:r>
      <w:r w:rsidRPr="006851DA">
        <w:rPr>
          <w:spacing w:val="-4"/>
        </w:rPr>
        <w:t>2013, les demandes déposées par voie électronique représentaient 86</w:t>
      </w:r>
      <w:r w:rsidR="007E442D" w:rsidRPr="006851DA">
        <w:rPr>
          <w:spacing w:val="-4"/>
        </w:rPr>
        <w:t>%</w:t>
      </w:r>
      <w:r w:rsidRPr="006851DA">
        <w:rPr>
          <w:spacing w:val="-4"/>
        </w:rPr>
        <w:t xml:space="preserve"> du nombre total de demandes, contre 85</w:t>
      </w:r>
      <w:r w:rsidR="007E442D" w:rsidRPr="006851DA">
        <w:rPr>
          <w:spacing w:val="-4"/>
        </w:rPr>
        <w:t>%</w:t>
      </w:r>
      <w:r w:rsidRPr="006851DA">
        <w:rPr>
          <w:spacing w:val="-4"/>
        </w:rPr>
        <w:t xml:space="preserve"> en</w:t>
      </w:r>
      <w:r w:rsidR="0010442A" w:rsidRPr="006851DA">
        <w:rPr>
          <w:spacing w:val="-4"/>
        </w:rPr>
        <w:t> </w:t>
      </w:r>
      <w:r w:rsidRPr="006851DA">
        <w:rPr>
          <w:spacing w:val="-4"/>
        </w:rPr>
        <w:t>2012.</w:t>
      </w:r>
      <w:r w:rsidR="0010442A" w:rsidRPr="006851DA">
        <w:rPr>
          <w:spacing w:val="-4"/>
        </w:rPr>
        <w:t xml:space="preserve"> </w:t>
      </w:r>
      <w:r w:rsidR="004F3E42" w:rsidRPr="006851DA">
        <w:rPr>
          <w:spacing w:val="-4"/>
        </w:rPr>
        <w:t xml:space="preserve"> </w:t>
      </w:r>
      <w:r w:rsidRPr="006851DA">
        <w:rPr>
          <w:spacing w:val="-4"/>
        </w:rPr>
        <w:t>En outre, le gestionnaire de portefeuille dont le lancement est prévu introduira des interfaces électroniques supplémentaires.</w:t>
      </w:r>
      <w:r w:rsidR="004F3E42" w:rsidRPr="006851DA">
        <w:rPr>
          <w:spacing w:val="-4"/>
        </w:rPr>
        <w:t xml:space="preserve"> </w:t>
      </w:r>
      <w:r w:rsidR="0010442A" w:rsidRPr="006851DA">
        <w:rPr>
          <w:spacing w:val="-4"/>
        </w:rPr>
        <w:t xml:space="preserve"> </w:t>
      </w:r>
      <w:r w:rsidRPr="006851DA">
        <w:rPr>
          <w:spacing w:val="-4"/>
        </w:rPr>
        <w:t>Il est prévu que toutes les communications entre le déposant/titulaire/mandataire et le Bureau international s</w:t>
      </w:r>
      <w:r w:rsidR="00A20444" w:rsidRPr="006851DA">
        <w:rPr>
          <w:spacing w:val="-4"/>
        </w:rPr>
        <w:t>’</w:t>
      </w:r>
      <w:r w:rsidRPr="006851DA">
        <w:rPr>
          <w:spacing w:val="-4"/>
        </w:rPr>
        <w:t>effectuent par l</w:t>
      </w:r>
      <w:r w:rsidR="00A20444" w:rsidRPr="006851DA">
        <w:rPr>
          <w:spacing w:val="-4"/>
        </w:rPr>
        <w:t>’</w:t>
      </w:r>
      <w:r w:rsidRPr="006851DA">
        <w:rPr>
          <w:spacing w:val="-4"/>
        </w:rPr>
        <w:t>intermédiaire du gestionnaire de portefeuille.</w:t>
      </w:r>
      <w:r w:rsidR="004F3E42" w:rsidRPr="006851DA">
        <w:rPr>
          <w:spacing w:val="-4"/>
        </w:rPr>
        <w:t xml:space="preserve"> </w:t>
      </w:r>
      <w:r w:rsidR="0010442A" w:rsidRPr="006851DA">
        <w:rPr>
          <w:spacing w:val="-4"/>
        </w:rPr>
        <w:t xml:space="preserve"> </w:t>
      </w:r>
      <w:r w:rsidRPr="006851DA">
        <w:rPr>
          <w:spacing w:val="-4"/>
        </w:rPr>
        <w:t>Ces initiatives devraient se traduire par une réduction du nombre de demandes papier et des économies sur les coûts d</w:t>
      </w:r>
      <w:r w:rsidR="00A20444" w:rsidRPr="006851DA">
        <w:rPr>
          <w:spacing w:val="-4"/>
        </w:rPr>
        <w:t>’</w:t>
      </w:r>
      <w:r w:rsidRPr="006851DA">
        <w:rPr>
          <w:spacing w:val="-4"/>
        </w:rPr>
        <w:t xml:space="preserve">expédition. </w:t>
      </w:r>
      <w:r w:rsidR="0010442A" w:rsidRPr="006851DA">
        <w:rPr>
          <w:spacing w:val="-4"/>
        </w:rPr>
        <w:t xml:space="preserve"> </w:t>
      </w:r>
      <w:proofErr w:type="spellStart"/>
      <w:r w:rsidRPr="006851DA">
        <w:rPr>
          <w:spacing w:val="-4"/>
        </w:rPr>
        <w:t>Mi</w:t>
      </w:r>
      <w:r w:rsidR="002D6F2A" w:rsidRPr="006851DA">
        <w:rPr>
          <w:spacing w:val="-4"/>
        </w:rPr>
        <w:noBreakHyphen/>
      </w:r>
      <w:r w:rsidRPr="006851DA">
        <w:rPr>
          <w:spacing w:val="-4"/>
        </w:rPr>
        <w:t>2013</w:t>
      </w:r>
      <w:proofErr w:type="spellEnd"/>
      <w:r w:rsidRPr="006851DA">
        <w:rPr>
          <w:spacing w:val="-4"/>
        </w:rPr>
        <w:t xml:space="preserve">, les opérations relatives au système de La Haye ont commencé à bénéficier de certains outils de traduction automatisée élaborés pour le système </w:t>
      </w:r>
      <w:r w:rsidRPr="005C7CCE">
        <w:rPr>
          <w:spacing w:val="-4"/>
        </w:rPr>
        <w:t>de Madrid.</w:t>
      </w:r>
    </w:p>
    <w:p w:rsidR="00D42474" w:rsidRDefault="00F40E87" w:rsidP="001A5BF9">
      <w:pPr>
        <w:keepNext/>
        <w:keepLines/>
        <w:jc w:val="both"/>
      </w:pPr>
      <w:r w:rsidRPr="005C7CCE">
        <w:t>Le tableau ci</w:t>
      </w:r>
      <w:r w:rsidR="002D6F2A" w:rsidRPr="005C7CCE">
        <w:noBreakHyphen/>
      </w:r>
      <w:r w:rsidRPr="005C7CCE">
        <w:t>dessous résume les économies et/ou gains d</w:t>
      </w:r>
      <w:r w:rsidR="00A20444" w:rsidRPr="005C7CCE">
        <w:t>’</w:t>
      </w:r>
      <w:r w:rsidRPr="005C7CCE">
        <w:t>efficacité obtenus suite à la mise en œuvre d</w:t>
      </w:r>
      <w:r w:rsidR="00A20444" w:rsidRPr="005C7CCE">
        <w:t>’</w:t>
      </w:r>
      <w:r w:rsidRPr="005C7CCE">
        <w:t xml:space="preserve">autres mesures, </w:t>
      </w:r>
      <w:r w:rsidR="00A20444" w:rsidRPr="005C7CCE">
        <w:t>à savoir</w:t>
      </w:r>
      <w:r w:rsidRPr="005C7CCE">
        <w:t xml:space="preserve"> les contrats d</w:t>
      </w:r>
      <w:r w:rsidR="00A20444" w:rsidRPr="005C7CCE">
        <w:t>’</w:t>
      </w:r>
      <w:r w:rsidRPr="005C7CCE">
        <w:t>achat,</w:t>
      </w:r>
      <w:r w:rsidR="00A20444" w:rsidRPr="005C7CCE">
        <w:t xml:space="preserve"> les TIC</w:t>
      </w:r>
      <w:r w:rsidRPr="005C7CCE">
        <w:t>, le service d</w:t>
      </w:r>
      <w:r w:rsidR="00A20444" w:rsidRPr="005C7CCE">
        <w:t>’</w:t>
      </w:r>
      <w:r w:rsidRPr="005C7CCE">
        <w:t>expédition du courrier, les coûts de personnel, les contrats de louage de services, les procédures internes et la culture en matière de dépenses ainsi que les gains d</w:t>
      </w:r>
      <w:r w:rsidR="00A20444" w:rsidRPr="005C7CCE">
        <w:t>’</w:t>
      </w:r>
      <w:r w:rsidRPr="005C7CCE">
        <w:t>efficacité dans le cadre des systèmes d</w:t>
      </w:r>
      <w:r w:rsidR="00A20444" w:rsidRPr="005C7CCE">
        <w:t>’</w:t>
      </w:r>
      <w:r w:rsidRPr="005C7CCE">
        <w:t>enregistrement internationaux (PCT, Madrid et La Haye).</w:t>
      </w:r>
    </w:p>
    <w:p w:rsidR="00F40E87" w:rsidRPr="005C7CCE" w:rsidRDefault="00F40E87" w:rsidP="001A5BF9">
      <w:pPr>
        <w:spacing w:after="200"/>
        <w:rPr>
          <w:rFonts w:eastAsia="Calibri" w:cs="Arial"/>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678"/>
        <w:gridCol w:w="4678"/>
      </w:tblGrid>
      <w:tr w:rsidR="006851DA" w:rsidRPr="006851DA" w:rsidTr="006851DA">
        <w:tc>
          <w:tcPr>
            <w:tcW w:w="4678" w:type="dxa"/>
            <w:shd w:val="clear" w:color="auto" w:fill="B8CCE4" w:themeFill="accent1" w:themeFillTint="66"/>
            <w:vAlign w:val="center"/>
          </w:tcPr>
          <w:p w:rsidR="00F40E87" w:rsidRPr="006851DA" w:rsidRDefault="00F40E87" w:rsidP="001A5BF9">
            <w:pPr>
              <w:jc w:val="center"/>
              <w:rPr>
                <w:rFonts w:eastAsia="Calibri" w:cs="Arial"/>
                <w:b/>
                <w:sz w:val="18"/>
                <w:szCs w:val="18"/>
              </w:rPr>
            </w:pPr>
            <w:r w:rsidRPr="006851DA">
              <w:rPr>
                <w:b/>
                <w:sz w:val="18"/>
              </w:rPr>
              <w:t>Description</w:t>
            </w:r>
          </w:p>
        </w:tc>
        <w:tc>
          <w:tcPr>
            <w:tcW w:w="4678" w:type="dxa"/>
            <w:shd w:val="clear" w:color="auto" w:fill="B8CCE4" w:themeFill="accent1" w:themeFillTint="66"/>
            <w:vAlign w:val="center"/>
          </w:tcPr>
          <w:p w:rsidR="00F40E87" w:rsidRPr="006851DA" w:rsidRDefault="00F40E87" w:rsidP="001A5BF9">
            <w:pPr>
              <w:jc w:val="center"/>
              <w:rPr>
                <w:rFonts w:eastAsia="Calibri" w:cs="Arial"/>
                <w:b/>
                <w:sz w:val="18"/>
                <w:szCs w:val="18"/>
              </w:rPr>
            </w:pPr>
            <w:r w:rsidRPr="006851DA">
              <w:rPr>
                <w:b/>
                <w:sz w:val="18"/>
              </w:rPr>
              <w:t>Économie/gain d</w:t>
            </w:r>
            <w:r w:rsidR="00A20444" w:rsidRPr="006851DA">
              <w:rPr>
                <w:b/>
                <w:sz w:val="18"/>
              </w:rPr>
              <w:t>’</w:t>
            </w:r>
            <w:r w:rsidRPr="006851DA">
              <w:rPr>
                <w:b/>
                <w:sz w:val="18"/>
              </w:rPr>
              <w:t>efficacité</w:t>
            </w:r>
          </w:p>
        </w:tc>
      </w:tr>
      <w:tr w:rsidR="00F40E87" w:rsidRPr="005C7CCE" w:rsidTr="006851D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Réduction des coûts consécutive à la renégociation de contrats et/ou au lancement de nouveaux appels d</w:t>
            </w:r>
            <w:r w:rsidR="00A20444" w:rsidRPr="005C7CCE">
              <w:rPr>
                <w:sz w:val="16"/>
              </w:rPr>
              <w:t>’</w:t>
            </w:r>
            <w:r w:rsidRPr="005C7CCE">
              <w:rPr>
                <w:sz w:val="16"/>
              </w:rPr>
              <w:t>offres, ainsi qu</w:t>
            </w:r>
            <w:r w:rsidR="00A20444" w:rsidRPr="005C7CCE">
              <w:rPr>
                <w:sz w:val="16"/>
              </w:rPr>
              <w:t>’</w:t>
            </w:r>
            <w:r w:rsidRPr="005C7CCE">
              <w:rPr>
                <w:sz w:val="16"/>
              </w:rPr>
              <w:t>à une coopération active avec d</w:t>
            </w:r>
            <w:r w:rsidR="00A20444" w:rsidRPr="005C7CCE">
              <w:rPr>
                <w:sz w:val="16"/>
              </w:rPr>
              <w:t>’</w:t>
            </w:r>
            <w:r w:rsidRPr="005C7CCE">
              <w:rPr>
                <w:sz w:val="16"/>
              </w:rPr>
              <w:t xml:space="preserve">autres institutions des </w:t>
            </w:r>
            <w:r w:rsidR="00A20444" w:rsidRPr="005C7CCE">
              <w:rPr>
                <w:sz w:val="16"/>
              </w:rPr>
              <w:t>Nations Unies</w:t>
            </w:r>
            <w:r w:rsidRPr="005C7CCE">
              <w:rPr>
                <w:sz w:val="16"/>
              </w:rPr>
              <w:t>, en particulier par le biais du Groupe des activités communes d</w:t>
            </w:r>
            <w:r w:rsidR="00A20444" w:rsidRPr="005C7CCE">
              <w:rPr>
                <w:sz w:val="16"/>
              </w:rPr>
              <w:t>’</w:t>
            </w:r>
            <w:r w:rsidRPr="005C7CCE">
              <w:rPr>
                <w:sz w:val="16"/>
              </w:rPr>
              <w:t xml:space="preserve">achat des </w:t>
            </w:r>
            <w:r w:rsidR="00A20444" w:rsidRPr="005C7CCE">
              <w:rPr>
                <w:sz w:val="16"/>
              </w:rPr>
              <w:t>Nations Unies</w:t>
            </w:r>
            <w:r w:rsidRPr="005C7CCE">
              <w:rPr>
                <w:sz w:val="16"/>
              </w:rPr>
              <w:t xml:space="preserve"> (groupe ACA)</w:t>
            </w:r>
          </w:p>
        </w:tc>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1,9 million de francs suisses en 2012</w:t>
            </w:r>
            <w:r w:rsidR="002D6F2A" w:rsidRPr="005C7CCE">
              <w:rPr>
                <w:sz w:val="16"/>
              </w:rPr>
              <w:noBreakHyphen/>
            </w:r>
            <w:r w:rsidRPr="005C7CCE">
              <w:rPr>
                <w:sz w:val="16"/>
              </w:rPr>
              <w:t>2013</w:t>
            </w:r>
          </w:p>
        </w:tc>
      </w:tr>
      <w:tr w:rsidR="00F40E87" w:rsidRPr="005C7CCE" w:rsidTr="006851D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Gains d</w:t>
            </w:r>
            <w:r w:rsidR="00A20444" w:rsidRPr="005C7CCE">
              <w:rPr>
                <w:sz w:val="16"/>
              </w:rPr>
              <w:t>’</w:t>
            </w:r>
            <w:r w:rsidRPr="005C7CCE">
              <w:rPr>
                <w:sz w:val="16"/>
              </w:rPr>
              <w:t>efficacité découlant de l</w:t>
            </w:r>
            <w:r w:rsidR="00A20444" w:rsidRPr="005C7CCE">
              <w:rPr>
                <w:sz w:val="16"/>
              </w:rPr>
              <w:t>’</w:t>
            </w:r>
            <w:r w:rsidRPr="005C7CCE">
              <w:rPr>
                <w:sz w:val="16"/>
              </w:rPr>
              <w:t>amélioration des procédures d</w:t>
            </w:r>
            <w:r w:rsidR="00A20444" w:rsidRPr="005C7CCE">
              <w:rPr>
                <w:sz w:val="16"/>
              </w:rPr>
              <w:t>’</w:t>
            </w:r>
            <w:r w:rsidRPr="005C7CCE">
              <w:rPr>
                <w:sz w:val="16"/>
              </w:rPr>
              <w:t>achat</w:t>
            </w:r>
          </w:p>
        </w:tc>
        <w:tc>
          <w:tcPr>
            <w:tcW w:w="4678" w:type="dxa"/>
            <w:shd w:val="clear" w:color="auto" w:fill="auto"/>
            <w:vAlign w:val="center"/>
          </w:tcPr>
          <w:p w:rsidR="00D42474" w:rsidRDefault="00F40E87" w:rsidP="001A5BF9">
            <w:pPr>
              <w:numPr>
                <w:ilvl w:val="0"/>
                <w:numId w:val="88"/>
              </w:numPr>
              <w:contextualSpacing/>
              <w:rPr>
                <w:rFonts w:eastAsia="Calibri" w:cs="Arial"/>
                <w:sz w:val="16"/>
                <w:szCs w:val="16"/>
              </w:rPr>
            </w:pPr>
            <w:r w:rsidRPr="005C7CCE">
              <w:rPr>
                <w:sz w:val="16"/>
              </w:rPr>
              <w:t>Réduction de 50</w:t>
            </w:r>
            <w:r w:rsidR="007E442D" w:rsidRPr="005C7CCE">
              <w:rPr>
                <w:sz w:val="16"/>
              </w:rPr>
              <w:t>%</w:t>
            </w:r>
            <w:r w:rsidRPr="005C7CCE">
              <w:rPr>
                <w:sz w:val="16"/>
              </w:rPr>
              <w:t> du délai de traitement des ordres d</w:t>
            </w:r>
            <w:r w:rsidR="00A20444" w:rsidRPr="005C7CCE">
              <w:rPr>
                <w:sz w:val="16"/>
              </w:rPr>
              <w:t>’</w:t>
            </w:r>
            <w:r w:rsidRPr="005C7CCE">
              <w:rPr>
                <w:sz w:val="16"/>
              </w:rPr>
              <w:t>achat entre 2011 et 2013</w:t>
            </w:r>
          </w:p>
          <w:p w:rsidR="00F40E87" w:rsidRPr="005C7CCE" w:rsidRDefault="00F40E87" w:rsidP="001A5BF9">
            <w:pPr>
              <w:numPr>
                <w:ilvl w:val="0"/>
                <w:numId w:val="88"/>
              </w:numPr>
              <w:contextualSpacing/>
              <w:rPr>
                <w:rFonts w:eastAsia="Calibri" w:cs="Arial"/>
                <w:sz w:val="16"/>
                <w:szCs w:val="16"/>
              </w:rPr>
            </w:pPr>
            <w:r w:rsidRPr="005C7CCE">
              <w:rPr>
                <w:sz w:val="16"/>
              </w:rPr>
              <w:t>Diminution du taux de bons de commande annulés de 14</w:t>
            </w:r>
            <w:r w:rsidR="007E442D" w:rsidRPr="005C7CCE">
              <w:rPr>
                <w:sz w:val="16"/>
              </w:rPr>
              <w:t>%</w:t>
            </w:r>
            <w:r w:rsidRPr="005C7CCE">
              <w:rPr>
                <w:sz w:val="16"/>
              </w:rPr>
              <w:t> en 2010 à 6,7</w:t>
            </w:r>
            <w:r w:rsidR="007E442D" w:rsidRPr="005C7CCE">
              <w:rPr>
                <w:sz w:val="16"/>
              </w:rPr>
              <w:t>%</w:t>
            </w:r>
            <w:r w:rsidRPr="005C7CCE">
              <w:rPr>
                <w:sz w:val="16"/>
              </w:rPr>
              <w:t xml:space="preserve"> en 2013.</w:t>
            </w:r>
          </w:p>
        </w:tc>
      </w:tr>
      <w:tr w:rsidR="00F40E87" w:rsidRPr="005C7CCE" w:rsidTr="006851D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Réductions de coûts résultant</w:t>
            </w:r>
            <w:r w:rsidR="0010442A" w:rsidRPr="005C7CCE">
              <w:rPr>
                <w:sz w:val="16"/>
              </w:rPr>
              <w:t> </w:t>
            </w:r>
            <w:r w:rsidRPr="005C7CCE">
              <w:rPr>
                <w:sz w:val="16"/>
              </w:rPr>
              <w:t>: i) du recours à une technologie de serveurs virtuels, ii) d</w:t>
            </w:r>
            <w:r w:rsidR="00A20444" w:rsidRPr="005C7CCE">
              <w:rPr>
                <w:sz w:val="16"/>
              </w:rPr>
              <w:t>’</w:t>
            </w:r>
            <w:r w:rsidRPr="005C7CCE">
              <w:rPr>
                <w:sz w:val="16"/>
              </w:rPr>
              <w:t>une procédure rationalisée pour la gestion des comptes de messagerie électronique, iii) de la mise en œuvre d</w:t>
            </w:r>
            <w:r w:rsidR="00A20444" w:rsidRPr="005C7CCE">
              <w:rPr>
                <w:sz w:val="16"/>
              </w:rPr>
              <w:t>’</w:t>
            </w:r>
            <w:r w:rsidRPr="005C7CCE">
              <w:rPr>
                <w:sz w:val="16"/>
              </w:rPr>
              <w:t>une politique permettant aux membres du personnel de choisir entre ordinateur portable et ordinateur de</w:t>
            </w:r>
            <w:r w:rsidR="002400BF" w:rsidRPr="005C7CCE">
              <w:rPr>
                <w:sz w:val="16"/>
              </w:rPr>
              <w:t> </w:t>
            </w:r>
            <w:r w:rsidRPr="005C7CCE">
              <w:rPr>
                <w:sz w:val="16"/>
              </w:rPr>
              <w:t xml:space="preserve">bureau </w:t>
            </w:r>
          </w:p>
        </w:tc>
        <w:tc>
          <w:tcPr>
            <w:tcW w:w="4678" w:type="dxa"/>
            <w:shd w:val="clear" w:color="auto" w:fill="auto"/>
            <w:vAlign w:val="center"/>
          </w:tcPr>
          <w:p w:rsidR="00D42474" w:rsidRDefault="00F40E87" w:rsidP="001A5BF9">
            <w:pPr>
              <w:numPr>
                <w:ilvl w:val="0"/>
                <w:numId w:val="89"/>
              </w:numPr>
              <w:contextualSpacing/>
              <w:rPr>
                <w:rFonts w:eastAsia="Calibri" w:cs="Arial"/>
                <w:sz w:val="16"/>
                <w:szCs w:val="16"/>
              </w:rPr>
            </w:pPr>
            <w:r w:rsidRPr="005C7CCE">
              <w:rPr>
                <w:sz w:val="16"/>
              </w:rPr>
              <w:t>150 000 francs suisses par an</w:t>
            </w:r>
          </w:p>
          <w:p w:rsidR="00D42474" w:rsidRDefault="00F40E87" w:rsidP="001A5BF9">
            <w:pPr>
              <w:numPr>
                <w:ilvl w:val="0"/>
                <w:numId w:val="89"/>
              </w:numPr>
              <w:contextualSpacing/>
              <w:rPr>
                <w:rFonts w:eastAsia="Calibri" w:cs="Arial"/>
                <w:sz w:val="16"/>
                <w:szCs w:val="16"/>
              </w:rPr>
            </w:pPr>
            <w:r w:rsidRPr="005C7CCE">
              <w:rPr>
                <w:sz w:val="16"/>
              </w:rPr>
              <w:t>Environ 100 000 francs suisses par an</w:t>
            </w:r>
          </w:p>
          <w:p w:rsidR="00F40E87" w:rsidRPr="005C7CCE" w:rsidRDefault="00F40E87" w:rsidP="001A5BF9">
            <w:pPr>
              <w:numPr>
                <w:ilvl w:val="0"/>
                <w:numId w:val="89"/>
              </w:numPr>
              <w:contextualSpacing/>
              <w:rPr>
                <w:rFonts w:eastAsia="Calibri" w:cs="Arial"/>
                <w:sz w:val="16"/>
                <w:szCs w:val="16"/>
              </w:rPr>
            </w:pPr>
            <w:r w:rsidRPr="005C7CCE">
              <w:rPr>
                <w:sz w:val="16"/>
              </w:rPr>
              <w:t>Environ 50 000 francs suisses en 2013</w:t>
            </w:r>
          </w:p>
        </w:tc>
      </w:tr>
      <w:tr w:rsidR="00F40E87" w:rsidRPr="005C7CCE" w:rsidTr="006851D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Réduction des coûts annuels d</w:t>
            </w:r>
            <w:r w:rsidR="00A20444" w:rsidRPr="005C7CCE">
              <w:rPr>
                <w:sz w:val="16"/>
              </w:rPr>
              <w:t>’</w:t>
            </w:r>
            <w:r w:rsidRPr="005C7CCE">
              <w:rPr>
                <w:sz w:val="16"/>
              </w:rPr>
              <w:t xml:space="preserve">imprimerie réseau </w:t>
            </w:r>
          </w:p>
        </w:tc>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Économie de 100 000 francs suisses en 2013</w:t>
            </w:r>
          </w:p>
        </w:tc>
      </w:tr>
      <w:tr w:rsidR="00F40E87" w:rsidRPr="005C7CCE" w:rsidTr="006851D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Réduction du montant total des frais postaux grâce à des négociations avec des partenaires extérieurs et de meilleures pratiques internes</w:t>
            </w:r>
          </w:p>
        </w:tc>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23</w:t>
            </w:r>
            <w:r w:rsidR="007E442D" w:rsidRPr="005C7CCE">
              <w:rPr>
                <w:sz w:val="16"/>
              </w:rPr>
              <w:t>%</w:t>
            </w:r>
            <w:r w:rsidRPr="005C7CCE">
              <w:rPr>
                <w:sz w:val="16"/>
              </w:rPr>
              <w:t xml:space="preserve"> de réduction des frais généraux d</w:t>
            </w:r>
            <w:r w:rsidR="00A20444" w:rsidRPr="005C7CCE">
              <w:rPr>
                <w:sz w:val="16"/>
              </w:rPr>
              <w:t>’</w:t>
            </w:r>
            <w:r w:rsidRPr="005C7CCE">
              <w:rPr>
                <w:sz w:val="16"/>
              </w:rPr>
              <w:t xml:space="preserve">expédition </w:t>
            </w:r>
          </w:p>
        </w:tc>
      </w:tr>
      <w:tr w:rsidR="00F40E87" w:rsidRPr="005C7CCE" w:rsidTr="006851D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 xml:space="preserve">Réduction des dépenses effectives engagées pour les stagiaires en raison de la rationalisation du programme de stages </w:t>
            </w:r>
          </w:p>
        </w:tc>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305 000 francs suisses en 2012</w:t>
            </w:r>
            <w:r w:rsidR="002D6F2A" w:rsidRPr="005C7CCE">
              <w:rPr>
                <w:sz w:val="16"/>
              </w:rPr>
              <w:noBreakHyphen/>
            </w:r>
            <w:r w:rsidRPr="005C7CCE">
              <w:rPr>
                <w:sz w:val="16"/>
              </w:rPr>
              <w:t>2013</w:t>
            </w:r>
          </w:p>
        </w:tc>
      </w:tr>
      <w:tr w:rsidR="00F40E87" w:rsidRPr="005C7CCE" w:rsidTr="006851D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Réduction des dépenses effectives sur les contrats de louage de services en raison d</w:t>
            </w:r>
            <w:r w:rsidR="00A20444" w:rsidRPr="005C7CCE">
              <w:rPr>
                <w:sz w:val="16"/>
              </w:rPr>
              <w:t>’</w:t>
            </w:r>
            <w:r w:rsidRPr="005C7CCE">
              <w:rPr>
                <w:sz w:val="16"/>
              </w:rPr>
              <w:t>une utilisation accrue des outils de traduction automatisée, notamment dans le cadre des systèmes</w:t>
            </w:r>
            <w:r w:rsidR="00A20444" w:rsidRPr="005C7CCE">
              <w:rPr>
                <w:sz w:val="16"/>
              </w:rPr>
              <w:t xml:space="preserve"> du PCT</w:t>
            </w:r>
            <w:r w:rsidRPr="005C7CCE">
              <w:rPr>
                <w:sz w:val="16"/>
              </w:rPr>
              <w:t xml:space="preserve"> et de Madrid </w:t>
            </w:r>
          </w:p>
        </w:tc>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1,5 million de francs suisses en 2012</w:t>
            </w:r>
            <w:r w:rsidR="002D6F2A" w:rsidRPr="005C7CCE">
              <w:rPr>
                <w:sz w:val="16"/>
              </w:rPr>
              <w:noBreakHyphen/>
            </w:r>
            <w:r w:rsidRPr="005C7CCE">
              <w:rPr>
                <w:sz w:val="16"/>
              </w:rPr>
              <w:t>2013</w:t>
            </w:r>
          </w:p>
        </w:tc>
      </w:tr>
      <w:tr w:rsidR="00F40E87" w:rsidRPr="005C7CCE" w:rsidTr="006851D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Productivité accrue de l</w:t>
            </w:r>
            <w:r w:rsidR="00A20444" w:rsidRPr="005C7CCE">
              <w:rPr>
                <w:sz w:val="16"/>
              </w:rPr>
              <w:t>’</w:t>
            </w:r>
            <w:r w:rsidRPr="005C7CCE">
              <w:rPr>
                <w:sz w:val="16"/>
              </w:rPr>
              <w:t>examen de forme (le ratio entre le nombre de publications</w:t>
            </w:r>
            <w:r w:rsidR="00A20444" w:rsidRPr="005C7CCE">
              <w:rPr>
                <w:sz w:val="16"/>
              </w:rPr>
              <w:t xml:space="preserve"> du PCT</w:t>
            </w:r>
            <w:r w:rsidRPr="005C7CCE">
              <w:rPr>
                <w:sz w:val="16"/>
              </w:rPr>
              <w:t xml:space="preserve"> et le nombre de membres du personnel disponibles) résultant de l</w:t>
            </w:r>
            <w:r w:rsidR="00A20444" w:rsidRPr="005C7CCE">
              <w:rPr>
                <w:sz w:val="16"/>
              </w:rPr>
              <w:t>’</w:t>
            </w:r>
            <w:r w:rsidRPr="005C7CCE">
              <w:rPr>
                <w:sz w:val="16"/>
              </w:rPr>
              <w:t>automatisation de certain</w:t>
            </w:r>
            <w:r w:rsidR="003133EE">
              <w:rPr>
                <w:sz w:val="16"/>
              </w:rPr>
              <w:t xml:space="preserve">s </w:t>
            </w:r>
            <w:r w:rsidRPr="005C7CCE">
              <w:rPr>
                <w:sz w:val="16"/>
              </w:rPr>
              <w:t>processus</w:t>
            </w:r>
          </w:p>
        </w:tc>
        <w:tc>
          <w:tcPr>
            <w:tcW w:w="4678" w:type="dxa"/>
            <w:shd w:val="clear" w:color="auto" w:fill="auto"/>
            <w:vAlign w:val="center"/>
          </w:tcPr>
          <w:p w:rsidR="00D42474" w:rsidRDefault="00F40E87" w:rsidP="001A5BF9">
            <w:pPr>
              <w:rPr>
                <w:sz w:val="16"/>
              </w:rPr>
            </w:pPr>
            <w:r w:rsidRPr="005C7CCE">
              <w:rPr>
                <w:sz w:val="16"/>
              </w:rPr>
              <w:t>10</w:t>
            </w:r>
            <w:r w:rsidR="007E442D" w:rsidRPr="005C7CCE">
              <w:rPr>
                <w:sz w:val="16"/>
              </w:rPr>
              <w:t>%</w:t>
            </w:r>
            <w:r w:rsidRPr="005C7CCE">
              <w:rPr>
                <w:sz w:val="16"/>
              </w:rPr>
              <w:t xml:space="preserve"> d</w:t>
            </w:r>
            <w:r w:rsidR="00A20444" w:rsidRPr="005C7CCE">
              <w:rPr>
                <w:sz w:val="16"/>
              </w:rPr>
              <w:t>’</w:t>
            </w:r>
            <w:r w:rsidRPr="005C7CCE">
              <w:rPr>
                <w:sz w:val="16"/>
              </w:rPr>
              <w:t>augmentation entre 2011 et 2012, et</w:t>
            </w:r>
          </w:p>
          <w:p w:rsidR="00F40E87" w:rsidRPr="005C7CCE" w:rsidRDefault="00F40E87" w:rsidP="001A5BF9">
            <w:pPr>
              <w:rPr>
                <w:rFonts w:eastAsia="Calibri" w:cs="Arial"/>
                <w:sz w:val="16"/>
                <w:szCs w:val="16"/>
              </w:rPr>
            </w:pPr>
            <w:r w:rsidRPr="005C7CCE">
              <w:rPr>
                <w:sz w:val="16"/>
              </w:rPr>
              <w:t>8</w:t>
            </w:r>
            <w:r w:rsidR="007E442D" w:rsidRPr="005C7CCE">
              <w:rPr>
                <w:sz w:val="16"/>
              </w:rPr>
              <w:t>%</w:t>
            </w:r>
            <w:r w:rsidRPr="005C7CCE">
              <w:rPr>
                <w:sz w:val="16"/>
              </w:rPr>
              <w:t xml:space="preserve"> d</w:t>
            </w:r>
            <w:r w:rsidR="00A20444" w:rsidRPr="005C7CCE">
              <w:rPr>
                <w:sz w:val="16"/>
              </w:rPr>
              <w:t>’</w:t>
            </w:r>
            <w:r w:rsidRPr="005C7CCE">
              <w:rPr>
                <w:sz w:val="16"/>
              </w:rPr>
              <w:t>augmentation entre 2012 et 2013</w:t>
            </w:r>
          </w:p>
        </w:tc>
      </w:tr>
      <w:tr w:rsidR="00F40E87" w:rsidRPr="005C7CCE" w:rsidTr="006851D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Plus grande ponctualité de l</w:t>
            </w:r>
            <w:r w:rsidR="00A20444" w:rsidRPr="005C7CCE">
              <w:rPr>
                <w:sz w:val="16"/>
              </w:rPr>
              <w:t>’</w:t>
            </w:r>
            <w:r w:rsidRPr="005C7CCE">
              <w:rPr>
                <w:sz w:val="16"/>
              </w:rPr>
              <w:t>examen de forme des demandes internationales selon</w:t>
            </w:r>
            <w:r w:rsidR="00A20444" w:rsidRPr="005C7CCE">
              <w:rPr>
                <w:sz w:val="16"/>
              </w:rPr>
              <w:t xml:space="preserve"> le PCT</w:t>
            </w:r>
          </w:p>
        </w:tc>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82,58</w:t>
            </w:r>
            <w:r w:rsidR="007E442D" w:rsidRPr="005C7CCE">
              <w:rPr>
                <w:sz w:val="16"/>
              </w:rPr>
              <w:t>%</w:t>
            </w:r>
            <w:r w:rsidRPr="005C7CCE">
              <w:rPr>
                <w:sz w:val="16"/>
              </w:rPr>
              <w:t xml:space="preserve"> de taux d</w:t>
            </w:r>
            <w:r w:rsidR="00A20444" w:rsidRPr="005C7CCE">
              <w:rPr>
                <w:sz w:val="16"/>
              </w:rPr>
              <w:t>’</w:t>
            </w:r>
            <w:r w:rsidRPr="005C7CCE">
              <w:rPr>
                <w:sz w:val="16"/>
              </w:rPr>
              <w:t>achèvement trois semaines après la réception en 2013, contre 69,46</w:t>
            </w:r>
            <w:r w:rsidR="007E442D" w:rsidRPr="005C7CCE">
              <w:rPr>
                <w:sz w:val="16"/>
              </w:rPr>
              <w:t>%</w:t>
            </w:r>
            <w:r w:rsidRPr="005C7CCE">
              <w:rPr>
                <w:sz w:val="16"/>
              </w:rPr>
              <w:t xml:space="preserve"> en 2012</w:t>
            </w:r>
          </w:p>
        </w:tc>
      </w:tr>
      <w:tr w:rsidR="00F40E87" w:rsidRPr="005C7CCE" w:rsidTr="006851D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Réduction des coûts consécutive à la renégociation des contrats pour l</w:t>
            </w:r>
            <w:r w:rsidR="00A20444" w:rsidRPr="005C7CCE">
              <w:rPr>
                <w:sz w:val="16"/>
              </w:rPr>
              <w:t>’</w:t>
            </w:r>
            <w:r w:rsidRPr="005C7CCE">
              <w:rPr>
                <w:sz w:val="16"/>
              </w:rPr>
              <w:t>archivage physique et le transport des dossiers</w:t>
            </w:r>
            <w:r w:rsidR="00A20444" w:rsidRPr="005C7CCE">
              <w:rPr>
                <w:sz w:val="16"/>
              </w:rPr>
              <w:t xml:space="preserve"> du PCT</w:t>
            </w:r>
          </w:p>
        </w:tc>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De 217 000 francs suisses par an à 37 500 francs suisses par</w:t>
            </w:r>
            <w:r w:rsidR="002400BF" w:rsidRPr="005C7CCE">
              <w:rPr>
                <w:sz w:val="16"/>
              </w:rPr>
              <w:t> </w:t>
            </w:r>
            <w:r w:rsidRPr="005C7CCE">
              <w:rPr>
                <w:sz w:val="16"/>
              </w:rPr>
              <w:t>an</w:t>
            </w:r>
          </w:p>
        </w:tc>
      </w:tr>
      <w:tr w:rsidR="00F40E87" w:rsidRPr="005C7CCE" w:rsidTr="006851DA">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Réduction des coûts découlant de l</w:t>
            </w:r>
            <w:r w:rsidR="00A20444" w:rsidRPr="005C7CCE">
              <w:rPr>
                <w:sz w:val="16"/>
              </w:rPr>
              <w:t>’</w:t>
            </w:r>
            <w:r w:rsidRPr="005C7CCE">
              <w:rPr>
                <w:sz w:val="16"/>
              </w:rPr>
              <w:t>automatisation de la traduction dans les opérations de Madrid</w:t>
            </w:r>
          </w:p>
        </w:tc>
        <w:tc>
          <w:tcPr>
            <w:tcW w:w="4678" w:type="dxa"/>
            <w:shd w:val="clear" w:color="auto" w:fill="auto"/>
            <w:vAlign w:val="center"/>
          </w:tcPr>
          <w:p w:rsidR="00F40E87" w:rsidRPr="005C7CCE" w:rsidRDefault="00F40E87" w:rsidP="001A5BF9">
            <w:pPr>
              <w:rPr>
                <w:rFonts w:eastAsia="Calibri" w:cs="Arial"/>
                <w:sz w:val="16"/>
                <w:szCs w:val="16"/>
              </w:rPr>
            </w:pPr>
            <w:r w:rsidRPr="005C7CCE">
              <w:rPr>
                <w:sz w:val="16"/>
              </w:rPr>
              <w:t>7,4</w:t>
            </w:r>
            <w:r w:rsidR="007E442D" w:rsidRPr="005C7CCE">
              <w:rPr>
                <w:sz w:val="16"/>
              </w:rPr>
              <w:t>%</w:t>
            </w:r>
            <w:r w:rsidRPr="005C7CCE">
              <w:rPr>
                <w:sz w:val="16"/>
              </w:rPr>
              <w:t xml:space="preserve"> de diminution du coût unitaire par demande entre 2012 et 2013</w:t>
            </w:r>
          </w:p>
        </w:tc>
      </w:tr>
    </w:tbl>
    <w:p w:rsidR="00D42474" w:rsidRDefault="00D42474" w:rsidP="001A5BF9">
      <w:pPr>
        <w:rPr>
          <w:rFonts w:eastAsia="Calibri" w:cs="Arial"/>
          <w:szCs w:val="22"/>
        </w:rPr>
      </w:pPr>
    </w:p>
    <w:p w:rsidR="00D42474" w:rsidRDefault="00F40E87" w:rsidP="001A5BF9">
      <w:r w:rsidRPr="005C7CCE">
        <w:br w:type="page"/>
      </w:r>
    </w:p>
    <w:p w:rsidR="00D42474" w:rsidRDefault="00D42474" w:rsidP="001A5BF9"/>
    <w:p w:rsidR="00D42474" w:rsidRDefault="00F40E87" w:rsidP="007B0500">
      <w:pPr>
        <w:pStyle w:val="Heading1"/>
      </w:pPr>
      <w:bookmarkStart w:id="8" w:name="_Toc395082461"/>
      <w:r w:rsidRPr="005C7CCE">
        <w:t>RÉALISATIONS DU PROGRAMME PAR OBJECTIF STRATÉGIQUE</w:t>
      </w:r>
      <w:bookmarkEnd w:id="8"/>
    </w:p>
    <w:p w:rsidR="00D42474" w:rsidRDefault="00D42474" w:rsidP="001A5BF9"/>
    <w:p w:rsidR="00D42474" w:rsidRDefault="00901475" w:rsidP="003D32C1">
      <w:pPr>
        <w:pStyle w:val="Heading2"/>
        <w:tabs>
          <w:tab w:val="clear" w:pos="9072"/>
        </w:tabs>
      </w:pPr>
      <w:bookmarkStart w:id="9" w:name="_Toc395082462"/>
      <w:r>
        <w:rPr>
          <w:caps w:val="0"/>
        </w:rPr>
        <w:t>O</w:t>
      </w:r>
      <w:r w:rsidRPr="006851DA">
        <w:rPr>
          <w:caps w:val="0"/>
        </w:rPr>
        <w:t>BJECTIF STRAT</w:t>
      </w:r>
      <w:r w:rsidRPr="006851DA">
        <w:rPr>
          <w:rFonts w:hint="eastAsia"/>
          <w:caps w:val="0"/>
        </w:rPr>
        <w:t>É</w:t>
      </w:r>
      <w:r w:rsidRPr="006851DA">
        <w:rPr>
          <w:caps w:val="0"/>
        </w:rPr>
        <w:t xml:space="preserve">GIQUE </w:t>
      </w:r>
      <w:r w:rsidR="003D32C1">
        <w:t>I</w:t>
      </w:r>
      <w:r w:rsidR="003D32C1" w:rsidRPr="006851DA">
        <w:tab/>
      </w:r>
      <w:r w:rsidR="003D32C1" w:rsidRPr="006851DA">
        <w:br/>
      </w:r>
      <w:r w:rsidR="003D32C1">
        <w:t>É</w:t>
      </w:r>
      <w:r w:rsidR="003D32C1" w:rsidRPr="006851DA">
        <w:t xml:space="preserve">volution </w:t>
      </w:r>
      <w:r w:rsidR="003D32C1" w:rsidRPr="006851DA">
        <w:rPr>
          <w:rFonts w:hint="eastAsia"/>
        </w:rPr>
        <w:t>é</w:t>
      </w:r>
      <w:r w:rsidR="003D32C1" w:rsidRPr="006851DA">
        <w:t>quilibr</w:t>
      </w:r>
      <w:r w:rsidR="003D32C1" w:rsidRPr="006851DA">
        <w:rPr>
          <w:rFonts w:hint="eastAsia"/>
        </w:rPr>
        <w:t>é</w:t>
      </w:r>
      <w:r w:rsidR="003D32C1" w:rsidRPr="006851DA">
        <w:t>e du cadre normatif international de la propri</w:t>
      </w:r>
      <w:r w:rsidR="003D32C1" w:rsidRPr="006851DA">
        <w:rPr>
          <w:rFonts w:hint="eastAsia"/>
        </w:rPr>
        <w:t>é</w:t>
      </w:r>
      <w:r w:rsidR="003D32C1" w:rsidRPr="006851DA">
        <w:t>t</w:t>
      </w:r>
      <w:r w:rsidR="003D32C1" w:rsidRPr="006851DA">
        <w:rPr>
          <w:rFonts w:hint="eastAsia"/>
        </w:rPr>
        <w:t>é</w:t>
      </w:r>
      <w:r w:rsidR="003D32C1" w:rsidRPr="006851DA">
        <w:t xml:space="preserve"> intellectuelle</w:t>
      </w:r>
      <w:bookmarkEnd w:id="9"/>
    </w:p>
    <w:p w:rsidR="00D42474" w:rsidRDefault="00D42474" w:rsidP="001A5BF9"/>
    <w:p w:rsidR="00D42474" w:rsidRDefault="00D42474" w:rsidP="001A5BF9">
      <w:pPr>
        <w:jc w:val="center"/>
      </w:pPr>
    </w:p>
    <w:p w:rsidR="00D42474" w:rsidRDefault="00D42474" w:rsidP="001A5BF9">
      <w:pPr>
        <w:jc w:val="center"/>
      </w:pPr>
    </w:p>
    <w:p w:rsidR="00D42474" w:rsidRDefault="00F40E87" w:rsidP="001A5BF9">
      <w:pPr>
        <w:jc w:val="center"/>
      </w:pPr>
      <w:r w:rsidRPr="005C7CCE">
        <w:t>TABLEAU DE BORD DE L</w:t>
      </w:r>
      <w:r w:rsidR="00A20444" w:rsidRPr="005C7CCE">
        <w:t>’</w:t>
      </w:r>
      <w:r w:rsidRPr="005C7CCE">
        <w:t>EXÉCUTION DU PROGRAMME BIENNAL</w:t>
      </w:r>
    </w:p>
    <w:p w:rsidR="00D42474" w:rsidRDefault="00D42474" w:rsidP="001A5BF9">
      <w:pPr>
        <w:jc w:val="center"/>
      </w:pPr>
    </w:p>
    <w:p w:rsidR="00D42474" w:rsidRDefault="00F40E87"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D42474" w:rsidRDefault="00D42474" w:rsidP="001A5BF9">
      <w:pPr>
        <w:autoSpaceDE w:val="0"/>
        <w:autoSpaceDN w:val="0"/>
        <w:adjustRightInd w:val="0"/>
        <w:jc w:val="center"/>
      </w:pPr>
    </w:p>
    <w:p w:rsidR="00D42474" w:rsidRDefault="00401321" w:rsidP="001A5BF9">
      <w:pPr>
        <w:autoSpaceDE w:val="0"/>
        <w:autoSpaceDN w:val="0"/>
        <w:adjustRightInd w:val="0"/>
        <w:jc w:val="center"/>
        <w:rPr>
          <w:rFonts w:cs="Arial"/>
        </w:rPr>
      </w:pPr>
      <w:r w:rsidRPr="00401321">
        <w:rPr>
          <w:noProof/>
        </w:rPr>
        <w:drawing>
          <wp:inline distT="0" distB="0" distL="0" distR="0" wp14:anchorId="0CE0D6E7" wp14:editId="28A11431">
            <wp:extent cx="4262907" cy="2340971"/>
            <wp:effectExtent l="0" t="0" r="444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62305" cy="2340641"/>
                    </a:xfrm>
                    <a:prstGeom prst="rect">
                      <a:avLst/>
                    </a:prstGeom>
                    <a:noFill/>
                    <a:ln>
                      <a:noFill/>
                    </a:ln>
                  </pic:spPr>
                </pic:pic>
              </a:graphicData>
            </a:graphic>
          </wp:inline>
        </w:drawing>
      </w:r>
    </w:p>
    <w:p w:rsidR="00D42474" w:rsidRDefault="00D42474" w:rsidP="001A5BF9">
      <w:pPr>
        <w:autoSpaceDE w:val="0"/>
        <w:autoSpaceDN w:val="0"/>
        <w:adjustRightInd w:val="0"/>
        <w:jc w:val="center"/>
        <w:rPr>
          <w:rFonts w:cs="Arial"/>
        </w:rPr>
      </w:pPr>
    </w:p>
    <w:p w:rsidR="00F40E87" w:rsidRPr="005C7CCE" w:rsidRDefault="00F40E87" w:rsidP="001A5BF9">
      <w:pPr>
        <w:tabs>
          <w:tab w:val="left" w:pos="0"/>
        </w:tabs>
        <w:rPr>
          <w:rFonts w:cs="Arial"/>
          <w:i/>
          <w:szCs w:val="22"/>
        </w:rPr>
      </w:pPr>
    </w:p>
    <w:tbl>
      <w:tblPr>
        <w:tblW w:w="0" w:type="auto"/>
        <w:tblInd w:w="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99"/>
        <w:gridCol w:w="3284"/>
        <w:gridCol w:w="1474"/>
        <w:gridCol w:w="1209"/>
      </w:tblGrid>
      <w:tr w:rsidR="00F40E87" w:rsidRPr="006851DA" w:rsidTr="002C52FC">
        <w:trPr>
          <w:cantSplit/>
          <w:tblHeader/>
        </w:trPr>
        <w:tc>
          <w:tcPr>
            <w:tcW w:w="3399" w:type="dxa"/>
            <w:tcBorders>
              <w:top w:val="single" w:sz="4" w:space="0" w:color="auto"/>
              <w:bottom w:val="single" w:sz="4" w:space="0" w:color="auto"/>
            </w:tcBorders>
            <w:shd w:val="clear" w:color="auto" w:fill="CCFFFF"/>
            <w:vAlign w:val="center"/>
          </w:tcPr>
          <w:p w:rsidR="00F40E87" w:rsidRPr="006851DA" w:rsidRDefault="00F40E87" w:rsidP="001A5BF9">
            <w:pPr>
              <w:spacing w:before="120" w:after="120"/>
              <w:rPr>
                <w:rFonts w:cs="Arial"/>
                <w:b/>
                <w:bCs/>
                <w:sz w:val="14"/>
                <w:szCs w:val="14"/>
              </w:rPr>
            </w:pPr>
            <w:r w:rsidRPr="006851DA">
              <w:rPr>
                <w:b/>
                <w:sz w:val="14"/>
              </w:rPr>
              <w:t>Résultats escomptés</w:t>
            </w:r>
          </w:p>
        </w:tc>
        <w:tc>
          <w:tcPr>
            <w:tcW w:w="3284" w:type="dxa"/>
            <w:tcBorders>
              <w:top w:val="single" w:sz="4" w:space="0" w:color="auto"/>
              <w:bottom w:val="single" w:sz="4" w:space="0" w:color="auto"/>
            </w:tcBorders>
            <w:shd w:val="clear" w:color="auto" w:fill="CCFFFF"/>
            <w:vAlign w:val="center"/>
          </w:tcPr>
          <w:p w:rsidR="00F40E87" w:rsidRPr="006851DA" w:rsidRDefault="00F40E87" w:rsidP="001A5BF9">
            <w:pPr>
              <w:spacing w:before="120" w:after="120"/>
              <w:rPr>
                <w:rFonts w:cs="Arial"/>
                <w:b/>
                <w:bCs/>
                <w:sz w:val="14"/>
                <w:szCs w:val="14"/>
              </w:rPr>
            </w:pPr>
            <w:r w:rsidRPr="006851DA">
              <w:rPr>
                <w:b/>
                <w:sz w:val="14"/>
              </w:rPr>
              <w:t>Indicateurs d</w:t>
            </w:r>
            <w:r w:rsidR="00A20444" w:rsidRPr="006851DA">
              <w:rPr>
                <w:b/>
                <w:sz w:val="14"/>
              </w:rPr>
              <w:t>’</w:t>
            </w:r>
            <w:r w:rsidRPr="006851DA">
              <w:rPr>
                <w:b/>
                <w:sz w:val="14"/>
              </w:rPr>
              <w:t>exécution</w:t>
            </w:r>
          </w:p>
        </w:tc>
        <w:tc>
          <w:tcPr>
            <w:tcW w:w="1474" w:type="dxa"/>
            <w:tcBorders>
              <w:top w:val="single" w:sz="4" w:space="0" w:color="auto"/>
              <w:bottom w:val="single" w:sz="4" w:space="0" w:color="auto"/>
            </w:tcBorders>
            <w:shd w:val="clear" w:color="auto" w:fill="CCFFFF"/>
            <w:vAlign w:val="center"/>
          </w:tcPr>
          <w:p w:rsidR="00F40E87" w:rsidRPr="006851DA" w:rsidRDefault="00F40E87" w:rsidP="001A5BF9">
            <w:pPr>
              <w:spacing w:before="120" w:after="120"/>
              <w:jc w:val="center"/>
              <w:rPr>
                <w:rFonts w:cs="Arial"/>
                <w:b/>
                <w:bCs/>
                <w:sz w:val="14"/>
                <w:szCs w:val="14"/>
              </w:rPr>
            </w:pPr>
            <w:r w:rsidRPr="006851DA">
              <w:rPr>
                <w:b/>
                <w:sz w:val="14"/>
              </w:rPr>
              <w:t>Programme(s) concerné(s)</w:t>
            </w:r>
          </w:p>
        </w:tc>
        <w:tc>
          <w:tcPr>
            <w:tcW w:w="1209" w:type="dxa"/>
            <w:tcBorders>
              <w:top w:val="single" w:sz="4" w:space="0" w:color="auto"/>
              <w:bottom w:val="single" w:sz="4" w:space="0" w:color="auto"/>
            </w:tcBorders>
            <w:shd w:val="clear" w:color="auto" w:fill="CCFFFF"/>
            <w:vAlign w:val="center"/>
          </w:tcPr>
          <w:p w:rsidR="00F40E87" w:rsidRPr="006851DA" w:rsidRDefault="00F40E87" w:rsidP="001A5BF9">
            <w:pPr>
              <w:spacing w:before="120" w:after="120"/>
              <w:jc w:val="center"/>
              <w:rPr>
                <w:rFonts w:cs="Arial"/>
                <w:b/>
                <w:bCs/>
                <w:sz w:val="14"/>
                <w:szCs w:val="14"/>
              </w:rPr>
            </w:pPr>
            <w:r w:rsidRPr="006851DA">
              <w:rPr>
                <w:b/>
                <w:sz w:val="14"/>
              </w:rPr>
              <w:t>Code de couleurs</w:t>
            </w:r>
          </w:p>
        </w:tc>
      </w:tr>
      <w:tr w:rsidR="00F40E87" w:rsidRPr="005C7CCE" w:rsidTr="002C52FC">
        <w:trPr>
          <w:cantSplit/>
        </w:trPr>
        <w:tc>
          <w:tcPr>
            <w:tcW w:w="3399" w:type="dxa"/>
            <w:vMerge w:val="restart"/>
            <w:tcBorders>
              <w:top w:val="single" w:sz="4" w:space="0" w:color="auto"/>
            </w:tcBorders>
            <w:shd w:val="clear" w:color="auto" w:fill="auto"/>
            <w:tcMar>
              <w:top w:w="113" w:type="dxa"/>
            </w:tcMar>
          </w:tcPr>
          <w:p w:rsidR="00F40E87" w:rsidRPr="006851DA" w:rsidRDefault="00F40E87" w:rsidP="001A5BF9">
            <w:pPr>
              <w:spacing w:before="80"/>
              <w:rPr>
                <w:rFonts w:cs="Arial"/>
                <w:sz w:val="14"/>
                <w:szCs w:val="14"/>
              </w:rPr>
            </w:pPr>
            <w:r w:rsidRPr="006851DA">
              <w:rPr>
                <w:sz w:val="14"/>
              </w:rPr>
              <w:t>Coopération et consensus renforcés entre les États membres en ce qui concerne le développement des cadres politiques et juridiques pour le système international des brevets, les marques, les dessins et modèles industriels, les indications géographiques, le droit d</w:t>
            </w:r>
            <w:r w:rsidR="00A20444" w:rsidRPr="006851DA">
              <w:rPr>
                <w:sz w:val="14"/>
              </w:rPr>
              <w:t>’</w:t>
            </w:r>
            <w:r w:rsidRPr="006851DA">
              <w:rPr>
                <w:sz w:val="14"/>
              </w:rPr>
              <w:t>auteur et les droits connexes, les savoirs traditionnels, les expressions culturelles traditionnelles et les ressources génétiques</w:t>
            </w:r>
          </w:p>
        </w:tc>
        <w:tc>
          <w:tcPr>
            <w:tcW w:w="3284" w:type="dxa"/>
            <w:tcBorders>
              <w:top w:val="single" w:sz="4" w:space="0" w:color="auto"/>
            </w:tcBorders>
            <w:shd w:val="clear" w:color="auto" w:fill="auto"/>
            <w:tcMar>
              <w:top w:w="113" w:type="dxa"/>
            </w:tcMar>
          </w:tcPr>
          <w:p w:rsidR="00F40E87" w:rsidRPr="006851DA" w:rsidRDefault="00F40E87" w:rsidP="001A5BF9">
            <w:pPr>
              <w:spacing w:before="80"/>
              <w:rPr>
                <w:rFonts w:cs="Arial"/>
                <w:sz w:val="14"/>
                <w:szCs w:val="14"/>
              </w:rPr>
            </w:pPr>
            <w:r w:rsidRPr="006851DA">
              <w:rPr>
                <w:sz w:val="14"/>
              </w:rPr>
              <w:t>Avancement des travaux concernant la mise en œuvre des mesures et des programmes convenus par le SCP</w:t>
            </w:r>
          </w:p>
        </w:tc>
        <w:tc>
          <w:tcPr>
            <w:tcW w:w="1474" w:type="dxa"/>
            <w:tcBorders>
              <w:top w:val="single" w:sz="4" w:space="0" w:color="auto"/>
            </w:tcBorders>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1</w:t>
            </w:r>
          </w:p>
        </w:tc>
        <w:tc>
          <w:tcPr>
            <w:tcW w:w="1209" w:type="dxa"/>
            <w:tcBorders>
              <w:top w:val="single" w:sz="4" w:space="0" w:color="auto"/>
            </w:tcBorders>
          </w:tcPr>
          <w:p w:rsidR="00F40E87" w:rsidRPr="005C7CCE" w:rsidRDefault="00F40E87" w:rsidP="001A5BF9">
            <w:pPr>
              <w:spacing w:before="20"/>
              <w:jc w:val="center"/>
              <w:rPr>
                <w:rFonts w:cs="Arial"/>
                <w:b/>
                <w:color w:val="008000"/>
                <w:szCs w:val="22"/>
              </w:rPr>
            </w:pPr>
            <w:r w:rsidRPr="005C7CCE">
              <w:rPr>
                <w:color w:val="008000"/>
              </w:rPr>
              <w:sym w:font="Wingdings" w:char="F06C"/>
            </w:r>
          </w:p>
        </w:tc>
      </w:tr>
      <w:tr w:rsidR="00F40E87" w:rsidRPr="005C7CCE" w:rsidTr="002C52FC">
        <w:trPr>
          <w:cantSplit/>
        </w:trPr>
        <w:tc>
          <w:tcPr>
            <w:tcW w:w="3399" w:type="dxa"/>
            <w:vMerge/>
            <w:shd w:val="clear" w:color="auto" w:fill="auto"/>
            <w:tcMar>
              <w:top w:w="113" w:type="dxa"/>
            </w:tcMar>
          </w:tcPr>
          <w:p w:rsidR="00F40E87" w:rsidRPr="006851DA" w:rsidRDefault="00F40E87" w:rsidP="001A5BF9">
            <w:pPr>
              <w:spacing w:before="8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 xml:space="preserve">Accord international sur un cadre normatif pour les dessins et modèles industriels </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2</w:t>
            </w:r>
          </w:p>
        </w:tc>
        <w:tc>
          <w:tcPr>
            <w:tcW w:w="1209" w:type="dxa"/>
          </w:tcPr>
          <w:p w:rsidR="00F40E87" w:rsidRPr="005C7CCE" w:rsidRDefault="00F40E87" w:rsidP="001A5BF9">
            <w:pPr>
              <w:spacing w:before="20"/>
              <w:jc w:val="center"/>
              <w:rPr>
                <w:rFonts w:cs="Arial"/>
                <w:b/>
                <w:color w:val="E36C0A"/>
                <w:szCs w:val="22"/>
              </w:rPr>
            </w:pPr>
            <w:r w:rsidRPr="005C7CCE">
              <w:rPr>
                <w:color w:val="E36C0A"/>
              </w:rPr>
              <w:sym w:font="Wingdings" w:char="F06C"/>
            </w:r>
          </w:p>
        </w:tc>
      </w:tr>
      <w:tr w:rsidR="00F40E87" w:rsidRPr="005C7CCE" w:rsidTr="002C52FC">
        <w:trPr>
          <w:cantSplit/>
        </w:trPr>
        <w:tc>
          <w:tcPr>
            <w:tcW w:w="3399" w:type="dxa"/>
            <w:vMerge/>
            <w:shd w:val="clear" w:color="auto" w:fill="auto"/>
            <w:tcMar>
              <w:top w:w="113" w:type="dxa"/>
            </w:tcMar>
          </w:tcPr>
          <w:p w:rsidR="00F40E87" w:rsidRPr="006851DA" w:rsidRDefault="00F40E87" w:rsidP="001A5BF9">
            <w:pPr>
              <w:spacing w:before="8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Progrès visant à parvenir à un accord sur les points en cours de l</w:t>
            </w:r>
            <w:r w:rsidR="00A20444" w:rsidRPr="006851DA">
              <w:rPr>
                <w:sz w:val="14"/>
              </w:rPr>
              <w:t>’</w:t>
            </w:r>
            <w:r w:rsidRPr="006851DA">
              <w:rPr>
                <w:sz w:val="14"/>
              </w:rPr>
              <w:t>ordre du jour du SCT</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2</w:t>
            </w:r>
          </w:p>
        </w:tc>
        <w:tc>
          <w:tcPr>
            <w:tcW w:w="1209" w:type="dxa"/>
          </w:tcPr>
          <w:p w:rsidR="00F40E87" w:rsidRPr="005C7CCE" w:rsidRDefault="00F40E87" w:rsidP="001A5BF9">
            <w:pPr>
              <w:spacing w:before="20"/>
              <w:jc w:val="center"/>
              <w:rPr>
                <w:rFonts w:cs="Arial"/>
                <w:b/>
                <w:color w:val="10862C"/>
                <w:szCs w:val="22"/>
              </w:rPr>
            </w:pPr>
            <w:r w:rsidRPr="005C7CCE">
              <w:rPr>
                <w:color w:val="10862C"/>
              </w:rPr>
              <w:sym w:font="Wingdings" w:char="F06C"/>
            </w:r>
          </w:p>
        </w:tc>
      </w:tr>
      <w:tr w:rsidR="00F40E87" w:rsidRPr="005C7CCE" w:rsidTr="002C52FC">
        <w:trPr>
          <w:cantSplit/>
        </w:trPr>
        <w:tc>
          <w:tcPr>
            <w:tcW w:w="3399" w:type="dxa"/>
            <w:vMerge/>
            <w:shd w:val="clear" w:color="auto" w:fill="auto"/>
            <w:tcMar>
              <w:top w:w="113" w:type="dxa"/>
            </w:tcMar>
          </w:tcPr>
          <w:p w:rsidR="00F40E87" w:rsidRPr="006851DA" w:rsidRDefault="00F40E87" w:rsidP="001A5BF9">
            <w:pPr>
              <w:spacing w:before="8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Conclusions approuvées par les États membres dans chacune des sessions</w:t>
            </w:r>
            <w:r w:rsidR="00A20444" w:rsidRPr="006851DA">
              <w:rPr>
                <w:sz w:val="14"/>
              </w:rPr>
              <w:t xml:space="preserve"> du SCC</w:t>
            </w:r>
            <w:r w:rsidRPr="006851DA">
              <w:rPr>
                <w:sz w:val="14"/>
              </w:rPr>
              <w:t>R</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3</w:t>
            </w:r>
          </w:p>
        </w:tc>
        <w:tc>
          <w:tcPr>
            <w:tcW w:w="1209" w:type="dxa"/>
          </w:tcPr>
          <w:p w:rsidR="00F40E87" w:rsidRPr="005C7CCE" w:rsidRDefault="00F40E87" w:rsidP="001A5BF9">
            <w:pPr>
              <w:spacing w:before="20"/>
              <w:jc w:val="center"/>
              <w:rPr>
                <w:rFonts w:cs="Arial"/>
                <w:b/>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Progrès accomplis dans la conclusion d</w:t>
            </w:r>
            <w:r w:rsidR="00A20444" w:rsidRPr="006851DA">
              <w:rPr>
                <w:sz w:val="14"/>
              </w:rPr>
              <w:t>’</w:t>
            </w:r>
            <w:r w:rsidRPr="006851DA">
              <w:rPr>
                <w:sz w:val="14"/>
              </w:rPr>
              <w:t>accords sur les questions actuellement inscrites à l</w:t>
            </w:r>
            <w:r w:rsidR="00A20444" w:rsidRPr="006851DA">
              <w:rPr>
                <w:sz w:val="14"/>
              </w:rPr>
              <w:t>’</w:t>
            </w:r>
            <w:r w:rsidRPr="006851DA">
              <w:rPr>
                <w:sz w:val="14"/>
              </w:rPr>
              <w:t>ordre du jour des travaux du SCCR</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3</w:t>
            </w:r>
          </w:p>
        </w:tc>
        <w:tc>
          <w:tcPr>
            <w:tcW w:w="1209" w:type="dxa"/>
          </w:tcPr>
          <w:p w:rsidR="00F40E87" w:rsidRPr="005C7CCE" w:rsidRDefault="00F40E87" w:rsidP="001A5BF9">
            <w:pPr>
              <w:spacing w:before="20"/>
              <w:jc w:val="center"/>
              <w:rPr>
                <w:rFonts w:cs="Arial"/>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Avancement des négociations au sein de l</w:t>
            </w:r>
            <w:r w:rsidR="00A20444" w:rsidRPr="006851DA">
              <w:rPr>
                <w:sz w:val="14"/>
              </w:rPr>
              <w:t>’</w:t>
            </w:r>
            <w:r w:rsidRPr="006851DA">
              <w:rPr>
                <w:sz w:val="14"/>
              </w:rPr>
              <w:t>IGC en vue de l</w:t>
            </w:r>
            <w:r w:rsidR="00A20444" w:rsidRPr="006851DA">
              <w:rPr>
                <w:sz w:val="14"/>
              </w:rPr>
              <w:t>’</w:t>
            </w:r>
            <w:r w:rsidRPr="006851DA">
              <w:rPr>
                <w:sz w:val="14"/>
              </w:rPr>
              <w:t>élaboration d</w:t>
            </w:r>
            <w:r w:rsidR="00A20444" w:rsidRPr="006851DA">
              <w:rPr>
                <w:sz w:val="14"/>
              </w:rPr>
              <w:t>’</w:t>
            </w:r>
            <w:r w:rsidRPr="006851DA">
              <w:rPr>
                <w:sz w:val="14"/>
              </w:rPr>
              <w:t>un ou plusieurs instruments juridiques internationaux</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4</w:t>
            </w:r>
          </w:p>
        </w:tc>
        <w:tc>
          <w:tcPr>
            <w:tcW w:w="1209" w:type="dxa"/>
          </w:tcPr>
          <w:p w:rsidR="00F40E87" w:rsidRPr="005C7CCE" w:rsidRDefault="00F40E87" w:rsidP="001A5BF9">
            <w:pPr>
              <w:spacing w:before="20"/>
              <w:jc w:val="center"/>
              <w:rPr>
                <w:rFonts w:cs="Arial"/>
                <w:szCs w:val="22"/>
              </w:rPr>
            </w:pPr>
            <w:r w:rsidRPr="005C7CCE">
              <w:rPr>
                <w:color w:val="E36C0A"/>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Début des travaux par</w:t>
            </w:r>
            <w:r w:rsidR="00A20444" w:rsidRPr="006851DA">
              <w:rPr>
                <w:sz w:val="14"/>
              </w:rPr>
              <w:t xml:space="preserve"> le SCT</w:t>
            </w:r>
            <w:r w:rsidRPr="006851DA">
              <w:rPr>
                <w:sz w:val="14"/>
              </w:rPr>
              <w:t xml:space="preserve"> sur les indications géographiques</w:t>
            </w:r>
            <w:r w:rsidR="004F3E42" w:rsidRPr="006851DA">
              <w:rPr>
                <w:sz w:val="14"/>
              </w:rPr>
              <w:t xml:space="preserve"> </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2</w:t>
            </w:r>
          </w:p>
        </w:tc>
        <w:tc>
          <w:tcPr>
            <w:tcW w:w="1209" w:type="dxa"/>
          </w:tcPr>
          <w:p w:rsidR="00F40E87" w:rsidRPr="005C7CCE" w:rsidRDefault="00F40E87" w:rsidP="001A5BF9">
            <w:pPr>
              <w:spacing w:before="20"/>
              <w:jc w:val="center"/>
              <w:rPr>
                <w:rFonts w:cs="Arial"/>
                <w:szCs w:val="22"/>
              </w:rPr>
            </w:pPr>
            <w:r w:rsidRPr="005C7CCE">
              <w:rPr>
                <w:color w:val="E36C0A"/>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Nombre de ratifications du Traité de Singapour ou d</w:t>
            </w:r>
            <w:r w:rsidR="00A20444" w:rsidRPr="006851DA">
              <w:rPr>
                <w:sz w:val="14"/>
              </w:rPr>
              <w:t>’</w:t>
            </w:r>
            <w:r w:rsidRPr="006851DA">
              <w:rPr>
                <w:sz w:val="14"/>
              </w:rPr>
              <w:t>adhésions à ce traité</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2</w:t>
            </w:r>
          </w:p>
        </w:tc>
        <w:tc>
          <w:tcPr>
            <w:tcW w:w="1209" w:type="dxa"/>
          </w:tcPr>
          <w:p w:rsidR="00F40E87" w:rsidRPr="005C7CCE" w:rsidRDefault="00F40E87" w:rsidP="001A5BF9">
            <w:pPr>
              <w:spacing w:before="20"/>
              <w:jc w:val="center"/>
              <w:rPr>
                <w:rFonts w:cs="Arial"/>
                <w:szCs w:val="22"/>
              </w:rPr>
            </w:pPr>
            <w:r w:rsidRPr="005C7CCE">
              <w:rPr>
                <w:color w:val="E36C0A"/>
              </w:rPr>
              <w:sym w:font="Wingdings" w:char="F06C"/>
            </w:r>
          </w:p>
        </w:tc>
      </w:tr>
      <w:tr w:rsidR="00F40E87" w:rsidRPr="005C7CCE" w:rsidTr="002C52FC">
        <w:trPr>
          <w:cantSplit/>
        </w:trPr>
        <w:tc>
          <w:tcPr>
            <w:tcW w:w="3399" w:type="dxa"/>
            <w:vMerge w:val="restart"/>
            <w:shd w:val="clear" w:color="auto" w:fill="auto"/>
            <w:tcMar>
              <w:top w:w="113" w:type="dxa"/>
            </w:tcMar>
          </w:tcPr>
          <w:p w:rsidR="00F40E87" w:rsidRPr="006851DA" w:rsidRDefault="00F40E87" w:rsidP="001A5BF9">
            <w:pPr>
              <w:spacing w:before="80"/>
              <w:rPr>
                <w:rFonts w:cs="Arial"/>
                <w:sz w:val="14"/>
                <w:szCs w:val="14"/>
              </w:rPr>
            </w:pPr>
            <w:r w:rsidRPr="006851DA">
              <w:rPr>
                <w:sz w:val="14"/>
              </w:rPr>
              <w:t>Protection renforcée des emblèmes d</w:t>
            </w:r>
            <w:r w:rsidR="00A20444" w:rsidRPr="006851DA">
              <w:rPr>
                <w:sz w:val="14"/>
              </w:rPr>
              <w:t>’</w:t>
            </w:r>
            <w:r w:rsidRPr="006851DA">
              <w:rPr>
                <w:sz w:val="14"/>
              </w:rPr>
              <w:t>États et des noms et emblèmes d</w:t>
            </w:r>
            <w:r w:rsidR="00A20444" w:rsidRPr="006851DA">
              <w:rPr>
                <w:sz w:val="14"/>
              </w:rPr>
              <w:t>’</w:t>
            </w:r>
            <w:r w:rsidRPr="006851DA">
              <w:rPr>
                <w:sz w:val="14"/>
              </w:rPr>
              <w:t>organisations internationales intergouvernementales</w:t>
            </w: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Nombre de demandes de communication aux termes de l</w:t>
            </w:r>
            <w:r w:rsidR="00A20444" w:rsidRPr="006851DA">
              <w:rPr>
                <w:sz w:val="14"/>
              </w:rPr>
              <w:t>’</w:t>
            </w:r>
            <w:r w:rsidRPr="006851DA">
              <w:rPr>
                <w:sz w:val="14"/>
              </w:rPr>
              <w:t>article</w:t>
            </w:r>
            <w:r w:rsidR="0010442A" w:rsidRPr="006851DA">
              <w:rPr>
                <w:sz w:val="14"/>
              </w:rPr>
              <w:t> </w:t>
            </w:r>
            <w:proofErr w:type="spellStart"/>
            <w:r w:rsidRPr="006851DA">
              <w:rPr>
                <w:sz w:val="14"/>
              </w:rPr>
              <w:t>6</w:t>
            </w:r>
            <w:r w:rsidRPr="006851DA">
              <w:rPr>
                <w:i/>
                <w:sz w:val="14"/>
              </w:rPr>
              <w:t>ter</w:t>
            </w:r>
            <w:proofErr w:type="spellEnd"/>
            <w:r w:rsidRPr="006851DA">
              <w:rPr>
                <w:sz w:val="14"/>
              </w:rPr>
              <w:t xml:space="preserve"> de la Convention de Paris, à traiter</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2</w:t>
            </w:r>
          </w:p>
        </w:tc>
        <w:tc>
          <w:tcPr>
            <w:tcW w:w="1209" w:type="dxa"/>
          </w:tcPr>
          <w:p w:rsidR="00F40E87" w:rsidRPr="005C7CCE" w:rsidRDefault="00F40E87" w:rsidP="001A5BF9">
            <w:pPr>
              <w:spacing w:before="20"/>
              <w:jc w:val="center"/>
              <w:rPr>
                <w:rFonts w:cs="Arial"/>
                <w:color w:val="10862C"/>
                <w:szCs w:val="22"/>
              </w:rPr>
            </w:pPr>
            <w:r w:rsidRPr="005C7CCE">
              <w:rPr>
                <w:color w:val="10862C"/>
              </w:rPr>
              <w:sym w:font="Wingdings" w:char="F06C"/>
            </w:r>
          </w:p>
        </w:tc>
      </w:tr>
      <w:tr w:rsidR="00F40E87" w:rsidRPr="005C7CCE" w:rsidTr="002C52FC">
        <w:trPr>
          <w:cantSplit/>
        </w:trPr>
        <w:tc>
          <w:tcPr>
            <w:tcW w:w="3399" w:type="dxa"/>
            <w:vMerge/>
            <w:shd w:val="clear" w:color="auto" w:fill="auto"/>
            <w:tcMar>
              <w:top w:w="113" w:type="dxa"/>
            </w:tcMar>
          </w:tcPr>
          <w:p w:rsidR="00F40E87" w:rsidRPr="006851DA" w:rsidRDefault="00F40E87" w:rsidP="001A5BF9">
            <w:pPr>
              <w:spacing w:before="8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Nombre de signes publiés dans la base de données relative à l</w:t>
            </w:r>
            <w:r w:rsidR="00A20444" w:rsidRPr="006851DA">
              <w:rPr>
                <w:sz w:val="14"/>
              </w:rPr>
              <w:t>’</w:t>
            </w:r>
            <w:r w:rsidRPr="006851DA">
              <w:rPr>
                <w:sz w:val="14"/>
              </w:rPr>
              <w:t>article </w:t>
            </w:r>
            <w:proofErr w:type="spellStart"/>
            <w:r w:rsidRPr="006851DA">
              <w:rPr>
                <w:sz w:val="14"/>
              </w:rPr>
              <w:t>6</w:t>
            </w:r>
            <w:r w:rsidRPr="006851DA">
              <w:rPr>
                <w:i/>
                <w:sz w:val="14"/>
              </w:rPr>
              <w:t>ter</w:t>
            </w:r>
            <w:proofErr w:type="spellEnd"/>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2</w:t>
            </w:r>
          </w:p>
        </w:tc>
        <w:tc>
          <w:tcPr>
            <w:tcW w:w="1209" w:type="dxa"/>
          </w:tcPr>
          <w:p w:rsidR="00F40E87" w:rsidRPr="005C7CCE" w:rsidRDefault="00F40E87" w:rsidP="001A5BF9">
            <w:pPr>
              <w:spacing w:before="20"/>
              <w:jc w:val="center"/>
              <w:rPr>
                <w:rFonts w:cs="Arial"/>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Principes directeurs complets pour l</w:t>
            </w:r>
            <w:r w:rsidR="00A20444" w:rsidRPr="006851DA">
              <w:rPr>
                <w:sz w:val="14"/>
              </w:rPr>
              <w:t>’</w:t>
            </w:r>
            <w:r w:rsidRPr="006851DA">
              <w:rPr>
                <w:sz w:val="14"/>
              </w:rPr>
              <w:t>application de l</w:t>
            </w:r>
            <w:r w:rsidR="00A20444" w:rsidRPr="006851DA">
              <w:rPr>
                <w:sz w:val="14"/>
              </w:rPr>
              <w:t>’</w:t>
            </w:r>
            <w:r w:rsidRPr="006851DA">
              <w:rPr>
                <w:sz w:val="14"/>
              </w:rPr>
              <w:t>article</w:t>
            </w:r>
            <w:r w:rsidR="0010442A" w:rsidRPr="006851DA">
              <w:rPr>
                <w:sz w:val="14"/>
              </w:rPr>
              <w:t> </w:t>
            </w:r>
            <w:proofErr w:type="spellStart"/>
            <w:r w:rsidRPr="006851DA">
              <w:rPr>
                <w:sz w:val="14"/>
              </w:rPr>
              <w:t>6</w:t>
            </w:r>
            <w:r w:rsidRPr="006851DA">
              <w:rPr>
                <w:i/>
                <w:sz w:val="14"/>
              </w:rPr>
              <w:t>ter</w:t>
            </w:r>
            <w:proofErr w:type="spellEnd"/>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2</w:t>
            </w:r>
          </w:p>
        </w:tc>
        <w:tc>
          <w:tcPr>
            <w:tcW w:w="1209" w:type="dxa"/>
          </w:tcPr>
          <w:p w:rsidR="00F40E87" w:rsidRPr="005C7CCE" w:rsidRDefault="00F40E87" w:rsidP="001A5BF9">
            <w:pPr>
              <w:spacing w:before="20"/>
              <w:jc w:val="center"/>
              <w:rPr>
                <w:rFonts w:cs="Arial"/>
                <w:szCs w:val="22"/>
              </w:rPr>
            </w:pPr>
            <w:r w:rsidRPr="005C7CCE">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Prise de décisions fondées sur des données probantes concernant les questions de droit d</w:t>
            </w:r>
            <w:r w:rsidR="00A20444" w:rsidRPr="006851DA">
              <w:rPr>
                <w:sz w:val="14"/>
              </w:rPr>
              <w:t>’</w:t>
            </w:r>
            <w:r w:rsidRPr="006851DA">
              <w:rPr>
                <w:sz w:val="14"/>
              </w:rPr>
              <w:t>auteur</w:t>
            </w: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Nombre de demandes de suivi d</w:t>
            </w:r>
            <w:r w:rsidR="00A20444" w:rsidRPr="006851DA">
              <w:rPr>
                <w:sz w:val="14"/>
              </w:rPr>
              <w:t>’</w:t>
            </w:r>
            <w:r w:rsidRPr="006851DA">
              <w:rPr>
                <w:sz w:val="14"/>
              </w:rPr>
              <w:t>études ou d</w:t>
            </w:r>
            <w:r w:rsidR="00A20444" w:rsidRPr="006851DA">
              <w:rPr>
                <w:sz w:val="14"/>
              </w:rPr>
              <w:t>’</w:t>
            </w:r>
            <w:r w:rsidRPr="006851DA">
              <w:rPr>
                <w:sz w:val="14"/>
              </w:rPr>
              <w:t xml:space="preserve">orientations spécifiques sur des activités contribuant à la prise de décisions de politique générale </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3</w:t>
            </w:r>
          </w:p>
        </w:tc>
        <w:tc>
          <w:tcPr>
            <w:tcW w:w="1209" w:type="dxa"/>
          </w:tcPr>
          <w:p w:rsidR="00F40E87" w:rsidRPr="005C7CCE" w:rsidRDefault="00F40E87" w:rsidP="001A5BF9">
            <w:pPr>
              <w:jc w:val="center"/>
              <w:rPr>
                <w:rFonts w:cs="Arial"/>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Nombre de pays utilisant des études de l</w:t>
            </w:r>
            <w:r w:rsidR="00A20444" w:rsidRPr="006851DA">
              <w:rPr>
                <w:sz w:val="14"/>
              </w:rPr>
              <w:t>’</w:t>
            </w:r>
            <w:r w:rsidRPr="006851DA">
              <w:rPr>
                <w:sz w:val="14"/>
              </w:rPr>
              <w:t>OMPI dans le cadre de leurs industries de la création pour élaborer des stratégies dans ce domaine</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3</w:t>
            </w:r>
          </w:p>
        </w:tc>
        <w:tc>
          <w:tcPr>
            <w:tcW w:w="1209" w:type="dxa"/>
          </w:tcPr>
          <w:p w:rsidR="00F40E87" w:rsidRPr="005C7CCE" w:rsidRDefault="00F40E87" w:rsidP="001A5BF9">
            <w:pPr>
              <w:jc w:val="center"/>
              <w:rPr>
                <w:rFonts w:cs="Arial"/>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Nombre de téléchargements, de demandes et de diffusion d</w:t>
            </w:r>
            <w:r w:rsidR="00A20444" w:rsidRPr="006851DA">
              <w:rPr>
                <w:sz w:val="14"/>
              </w:rPr>
              <w:t>’</w:t>
            </w:r>
            <w:r w:rsidRPr="006851DA">
              <w:rPr>
                <w:sz w:val="14"/>
              </w:rPr>
              <w:t>outils de l</w:t>
            </w:r>
            <w:r w:rsidR="00A20444" w:rsidRPr="006851DA">
              <w:rPr>
                <w:sz w:val="14"/>
              </w:rPr>
              <w:t>’</w:t>
            </w:r>
            <w:r w:rsidRPr="006851DA">
              <w:rPr>
                <w:sz w:val="14"/>
              </w:rPr>
              <w:t>OMPI pour la gestion du droit d</w:t>
            </w:r>
            <w:r w:rsidR="00A20444" w:rsidRPr="006851DA">
              <w:rPr>
                <w:sz w:val="14"/>
              </w:rPr>
              <w:t>’</w:t>
            </w:r>
            <w:r w:rsidRPr="006851DA">
              <w:rPr>
                <w:sz w:val="14"/>
              </w:rPr>
              <w:t xml:space="preserve">auteur dans des industries créatives spécifiques </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3</w:t>
            </w:r>
          </w:p>
        </w:tc>
        <w:tc>
          <w:tcPr>
            <w:tcW w:w="1209" w:type="dxa"/>
          </w:tcPr>
          <w:p w:rsidR="00F40E87" w:rsidRPr="005C7CCE" w:rsidRDefault="00F40E87" w:rsidP="001A5BF9">
            <w:pPr>
              <w:jc w:val="center"/>
              <w:rPr>
                <w:rFonts w:cs="Arial"/>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Cadres législatifs, réglementaires et politiques de propriété intellectuelle adaptés et équilibrés</w:t>
            </w:r>
            <w:r w:rsidR="004F3E42" w:rsidRPr="006851DA">
              <w:rPr>
                <w:sz w:val="14"/>
              </w:rPr>
              <w:t xml:space="preserve"> </w:t>
            </w: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Nombre de pays ayant entamé une réforme législative dans le domaine du droit d</w:t>
            </w:r>
            <w:r w:rsidR="00A20444" w:rsidRPr="006851DA">
              <w:rPr>
                <w:sz w:val="14"/>
              </w:rPr>
              <w:t>’</w:t>
            </w:r>
            <w:r w:rsidRPr="006851DA">
              <w:rPr>
                <w:sz w:val="14"/>
              </w:rPr>
              <w:t>auteur et des droits connexes</w:t>
            </w:r>
          </w:p>
        </w:tc>
        <w:tc>
          <w:tcPr>
            <w:tcW w:w="1474" w:type="dxa"/>
            <w:shd w:val="clear" w:color="auto" w:fill="auto"/>
            <w:tcMar>
              <w:top w:w="113" w:type="dxa"/>
            </w:tcMar>
          </w:tcPr>
          <w:p w:rsidR="00F40E87" w:rsidRPr="006851DA" w:rsidRDefault="00F40E87" w:rsidP="001A5BF9">
            <w:pPr>
              <w:spacing w:before="80"/>
              <w:ind w:left="176"/>
              <w:rPr>
                <w:rFonts w:cs="Arial"/>
                <w:sz w:val="14"/>
                <w:szCs w:val="14"/>
              </w:rPr>
            </w:pPr>
            <w:r w:rsidRPr="006851DA">
              <w:rPr>
                <w:sz w:val="14"/>
              </w:rPr>
              <w:t>Programme 3</w:t>
            </w:r>
          </w:p>
        </w:tc>
        <w:tc>
          <w:tcPr>
            <w:tcW w:w="1209" w:type="dxa"/>
          </w:tcPr>
          <w:p w:rsidR="00F40E87" w:rsidRPr="005C7CCE" w:rsidRDefault="00F40E87" w:rsidP="001A5BF9">
            <w:pPr>
              <w:jc w:val="center"/>
              <w:rPr>
                <w:rFonts w:cs="Arial"/>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spacing w:before="80"/>
              <w:rPr>
                <w:rFonts w:cs="Arial"/>
                <w:sz w:val="14"/>
                <w:szCs w:val="14"/>
              </w:rPr>
            </w:pPr>
            <w:r w:rsidRPr="006851DA">
              <w:rPr>
                <w:sz w:val="14"/>
              </w:rPr>
              <w:t xml:space="preserve">Nombre et types de conseils législatifs apportés aux États </w:t>
            </w:r>
            <w:r w:rsidR="003133EE" w:rsidRPr="006851DA">
              <w:rPr>
                <w:sz w:val="14"/>
              </w:rPr>
              <w:t>membres</w:t>
            </w:r>
            <w:r w:rsidRPr="006851DA">
              <w:rPr>
                <w:sz w:val="14"/>
              </w:rPr>
              <w:t xml:space="preserve"> au sujet des brevets, des modèles d</w:t>
            </w:r>
            <w:r w:rsidR="00A20444" w:rsidRPr="006851DA">
              <w:rPr>
                <w:sz w:val="14"/>
              </w:rPr>
              <w:t>’</w:t>
            </w:r>
            <w:r w:rsidRPr="006851DA">
              <w:rPr>
                <w:sz w:val="14"/>
              </w:rPr>
              <w:t>utilité, des secrets commerciaux et des circuits intégrés</w:t>
            </w:r>
          </w:p>
        </w:tc>
        <w:tc>
          <w:tcPr>
            <w:tcW w:w="1474" w:type="dxa"/>
            <w:shd w:val="clear" w:color="auto" w:fill="auto"/>
            <w:tcMar>
              <w:top w:w="113" w:type="dxa"/>
            </w:tcMar>
          </w:tcPr>
          <w:p w:rsidR="00D42474" w:rsidRDefault="00F40E87" w:rsidP="001A5BF9">
            <w:pPr>
              <w:spacing w:before="80"/>
              <w:ind w:left="176"/>
              <w:rPr>
                <w:rFonts w:cs="Arial"/>
                <w:sz w:val="14"/>
                <w:szCs w:val="14"/>
              </w:rPr>
            </w:pPr>
            <w:r w:rsidRPr="006851DA">
              <w:rPr>
                <w:sz w:val="14"/>
              </w:rPr>
              <w:t>Programme 1</w:t>
            </w:r>
          </w:p>
          <w:p w:rsidR="00D42474" w:rsidRDefault="00F40E87" w:rsidP="001A5BF9">
            <w:pPr>
              <w:spacing w:before="120"/>
              <w:ind w:left="176"/>
              <w:rPr>
                <w:rFonts w:cs="Arial"/>
                <w:sz w:val="14"/>
                <w:szCs w:val="14"/>
              </w:rPr>
            </w:pPr>
            <w:r w:rsidRPr="006851DA">
              <w:rPr>
                <w:sz w:val="14"/>
              </w:rPr>
              <w:t>Programme 9</w:t>
            </w:r>
          </w:p>
          <w:p w:rsidR="00F40E87" w:rsidRPr="006851DA" w:rsidRDefault="00F40E87" w:rsidP="001A5BF9">
            <w:pPr>
              <w:spacing w:before="120"/>
              <w:ind w:left="176"/>
              <w:rPr>
                <w:rFonts w:cs="Arial"/>
                <w:sz w:val="14"/>
                <w:szCs w:val="14"/>
              </w:rPr>
            </w:pPr>
            <w:r w:rsidRPr="006851DA">
              <w:rPr>
                <w:sz w:val="14"/>
              </w:rPr>
              <w:t>Programme 10</w:t>
            </w:r>
          </w:p>
        </w:tc>
        <w:tc>
          <w:tcPr>
            <w:tcW w:w="1209" w:type="dxa"/>
          </w:tcPr>
          <w:p w:rsidR="00D42474" w:rsidRDefault="00F40E87" w:rsidP="001A5BF9">
            <w:pPr>
              <w:jc w:val="center"/>
              <w:rPr>
                <w:rFonts w:cs="Arial"/>
                <w:color w:val="10862C"/>
                <w:szCs w:val="22"/>
              </w:rPr>
            </w:pPr>
            <w:r w:rsidRPr="005C7CCE">
              <w:rPr>
                <w:color w:val="10862C"/>
              </w:rPr>
              <w:sym w:font="Wingdings" w:char="F06C"/>
            </w:r>
          </w:p>
          <w:p w:rsidR="00D42474" w:rsidRDefault="00F40E87" w:rsidP="001A5BF9">
            <w:pPr>
              <w:jc w:val="center"/>
              <w:rPr>
                <w:rFonts w:cs="Arial"/>
                <w:color w:val="10862C"/>
                <w:szCs w:val="22"/>
              </w:rPr>
            </w:pPr>
            <w:r w:rsidRPr="005C7CCE">
              <w:rPr>
                <w:color w:val="10862C"/>
              </w:rPr>
              <w:sym w:font="Wingdings" w:char="F06C"/>
            </w:r>
          </w:p>
          <w:p w:rsidR="00F40E87" w:rsidRPr="005C7CCE" w:rsidRDefault="00F40E87" w:rsidP="001A5BF9">
            <w:pPr>
              <w:jc w:val="center"/>
              <w:rPr>
                <w:rFonts w:cs="Arial"/>
                <w:color w:val="006600"/>
                <w:szCs w:val="22"/>
              </w:rPr>
            </w:pPr>
            <w:r w:rsidRPr="005C7CCE">
              <w:rPr>
                <w:color w:val="A6A6A6"/>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keepNext/>
              <w:keepLines/>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keepNext/>
              <w:keepLines/>
              <w:spacing w:before="60"/>
              <w:rPr>
                <w:rFonts w:cs="Arial"/>
                <w:sz w:val="14"/>
                <w:szCs w:val="14"/>
              </w:rPr>
            </w:pPr>
            <w:r w:rsidRPr="006851DA">
              <w:rPr>
                <w:sz w:val="14"/>
              </w:rPr>
              <w:t>Pourcentage de pays satisfaits par les conseils législatifs fournis par l</w:t>
            </w:r>
            <w:r w:rsidR="00A20444" w:rsidRPr="006851DA">
              <w:rPr>
                <w:sz w:val="14"/>
              </w:rPr>
              <w:t>’</w:t>
            </w:r>
            <w:r w:rsidRPr="006851DA">
              <w:rPr>
                <w:sz w:val="14"/>
              </w:rPr>
              <w:t>OMPI en matière de brevets, modèles d</w:t>
            </w:r>
            <w:r w:rsidR="00A20444" w:rsidRPr="006851DA">
              <w:rPr>
                <w:sz w:val="14"/>
              </w:rPr>
              <w:t>’</w:t>
            </w:r>
            <w:r w:rsidRPr="006851DA">
              <w:rPr>
                <w:sz w:val="14"/>
              </w:rPr>
              <w:t>utilité, secrets commerciaux et circuits intégrés</w:t>
            </w:r>
          </w:p>
        </w:tc>
        <w:tc>
          <w:tcPr>
            <w:tcW w:w="1474" w:type="dxa"/>
            <w:shd w:val="clear" w:color="auto" w:fill="auto"/>
            <w:tcMar>
              <w:top w:w="113" w:type="dxa"/>
            </w:tcMar>
          </w:tcPr>
          <w:p w:rsidR="00D42474" w:rsidRDefault="00F40E87" w:rsidP="001A5BF9">
            <w:pPr>
              <w:keepNext/>
              <w:keepLines/>
              <w:spacing w:before="80"/>
              <w:ind w:left="176"/>
              <w:rPr>
                <w:rFonts w:cs="Arial"/>
                <w:sz w:val="14"/>
                <w:szCs w:val="14"/>
              </w:rPr>
            </w:pPr>
            <w:r w:rsidRPr="006851DA">
              <w:rPr>
                <w:sz w:val="14"/>
              </w:rPr>
              <w:t>Programme 1</w:t>
            </w:r>
          </w:p>
          <w:p w:rsidR="00D42474" w:rsidRDefault="00F40E87" w:rsidP="001A5BF9">
            <w:pPr>
              <w:keepNext/>
              <w:keepLines/>
              <w:spacing w:before="120"/>
              <w:ind w:left="176"/>
              <w:rPr>
                <w:rFonts w:cs="Arial"/>
                <w:sz w:val="14"/>
                <w:szCs w:val="14"/>
              </w:rPr>
            </w:pPr>
            <w:r w:rsidRPr="006851DA">
              <w:rPr>
                <w:sz w:val="14"/>
              </w:rPr>
              <w:t>Programme 9</w:t>
            </w:r>
          </w:p>
          <w:p w:rsidR="00F40E87" w:rsidRPr="006851DA" w:rsidRDefault="00F40E87" w:rsidP="001A5BF9">
            <w:pPr>
              <w:keepNext/>
              <w:keepLines/>
              <w:spacing w:before="120"/>
              <w:ind w:left="176"/>
              <w:rPr>
                <w:rFonts w:cs="Arial"/>
                <w:sz w:val="14"/>
                <w:szCs w:val="14"/>
              </w:rPr>
            </w:pPr>
            <w:r w:rsidRPr="006851DA">
              <w:rPr>
                <w:sz w:val="14"/>
              </w:rPr>
              <w:t>Programme 10</w:t>
            </w:r>
          </w:p>
        </w:tc>
        <w:tc>
          <w:tcPr>
            <w:tcW w:w="1209" w:type="dxa"/>
          </w:tcPr>
          <w:p w:rsidR="00D42474" w:rsidRDefault="00F40E87" w:rsidP="001A5BF9">
            <w:pPr>
              <w:keepNext/>
              <w:keepLines/>
              <w:jc w:val="center"/>
              <w:rPr>
                <w:rFonts w:cs="Arial"/>
                <w:color w:val="10862C"/>
                <w:szCs w:val="22"/>
              </w:rPr>
            </w:pPr>
            <w:r w:rsidRPr="005C7CCE">
              <w:rPr>
                <w:color w:val="10862C"/>
              </w:rPr>
              <w:sym w:font="Wingdings" w:char="F06C"/>
            </w:r>
          </w:p>
          <w:p w:rsidR="00D42474" w:rsidRDefault="00F40E87" w:rsidP="001A5BF9">
            <w:pPr>
              <w:keepNext/>
              <w:keepLines/>
              <w:jc w:val="center"/>
              <w:rPr>
                <w:rFonts w:cs="Arial"/>
                <w:color w:val="10862C"/>
                <w:szCs w:val="22"/>
              </w:rPr>
            </w:pPr>
            <w:r w:rsidRPr="005C7CCE">
              <w:rPr>
                <w:color w:val="10862C"/>
              </w:rPr>
              <w:sym w:font="Wingdings" w:char="F06C"/>
            </w:r>
          </w:p>
          <w:p w:rsidR="00F40E87" w:rsidRPr="005C7CCE" w:rsidRDefault="00F40E87" w:rsidP="001A5BF9">
            <w:pPr>
              <w:keepNext/>
              <w:keepLines/>
              <w:jc w:val="center"/>
              <w:rPr>
                <w:rFonts w:cs="Arial"/>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keepNext/>
              <w:keepLines/>
              <w:spacing w:before="60"/>
              <w:rPr>
                <w:rFonts w:cs="Arial"/>
                <w:sz w:val="14"/>
                <w:szCs w:val="14"/>
              </w:rPr>
            </w:pPr>
            <w:r w:rsidRPr="006851DA">
              <w:rPr>
                <w:sz w:val="14"/>
              </w:rPr>
              <w:t>Pourcentage de pays ayant trouvé utiles les informations fournies concernant les principes juridiques et les pratiques en rapport avec le système des brevets, notamment les éléments de flexibilité existants dans le système et les difficultés auxquelles il est confronté</w:t>
            </w:r>
          </w:p>
        </w:tc>
        <w:tc>
          <w:tcPr>
            <w:tcW w:w="1474" w:type="dxa"/>
            <w:shd w:val="clear" w:color="auto" w:fill="auto"/>
            <w:tcMar>
              <w:top w:w="113" w:type="dxa"/>
            </w:tcMar>
          </w:tcPr>
          <w:p w:rsidR="00D42474" w:rsidRDefault="00F40E87" w:rsidP="001A5BF9">
            <w:pPr>
              <w:keepNext/>
              <w:keepLines/>
              <w:spacing w:before="60"/>
              <w:ind w:left="176"/>
              <w:rPr>
                <w:rFonts w:cs="Arial"/>
                <w:sz w:val="14"/>
                <w:szCs w:val="14"/>
              </w:rPr>
            </w:pPr>
            <w:r w:rsidRPr="006851DA">
              <w:rPr>
                <w:sz w:val="14"/>
              </w:rPr>
              <w:t>Programme 1</w:t>
            </w:r>
          </w:p>
          <w:p w:rsidR="00D42474" w:rsidRDefault="00F40E87" w:rsidP="001A5BF9">
            <w:pPr>
              <w:keepNext/>
              <w:keepLines/>
              <w:spacing w:before="120"/>
              <w:ind w:left="176"/>
              <w:rPr>
                <w:rFonts w:cs="Arial"/>
                <w:sz w:val="14"/>
                <w:szCs w:val="14"/>
              </w:rPr>
            </w:pPr>
            <w:r w:rsidRPr="006851DA">
              <w:rPr>
                <w:sz w:val="14"/>
              </w:rPr>
              <w:t>Programme 9</w:t>
            </w:r>
          </w:p>
          <w:p w:rsidR="00F40E87" w:rsidRPr="006851DA" w:rsidRDefault="00F40E87" w:rsidP="001A5BF9">
            <w:pPr>
              <w:keepNext/>
              <w:keepLines/>
              <w:spacing w:before="120"/>
              <w:ind w:left="176"/>
              <w:rPr>
                <w:rFonts w:cs="Arial"/>
                <w:sz w:val="14"/>
                <w:szCs w:val="14"/>
              </w:rPr>
            </w:pPr>
            <w:r w:rsidRPr="006851DA">
              <w:rPr>
                <w:sz w:val="14"/>
              </w:rPr>
              <w:t>Programme 10</w:t>
            </w:r>
          </w:p>
        </w:tc>
        <w:tc>
          <w:tcPr>
            <w:tcW w:w="1209" w:type="dxa"/>
          </w:tcPr>
          <w:p w:rsidR="00D42474" w:rsidRDefault="00F40E87" w:rsidP="001A5BF9">
            <w:pPr>
              <w:keepNext/>
              <w:keepLines/>
              <w:jc w:val="center"/>
              <w:rPr>
                <w:rFonts w:cs="Arial"/>
                <w:color w:val="10862C"/>
                <w:szCs w:val="22"/>
              </w:rPr>
            </w:pPr>
            <w:r w:rsidRPr="005C7CCE">
              <w:rPr>
                <w:color w:val="10862C"/>
              </w:rPr>
              <w:sym w:font="Wingdings" w:char="F06C"/>
            </w:r>
          </w:p>
          <w:p w:rsidR="00D42474" w:rsidRDefault="00F40E87" w:rsidP="001A5BF9">
            <w:pPr>
              <w:keepNext/>
              <w:keepLines/>
              <w:jc w:val="center"/>
              <w:rPr>
                <w:rFonts w:cs="Arial"/>
                <w:color w:val="10862C"/>
                <w:szCs w:val="22"/>
              </w:rPr>
            </w:pPr>
            <w:r w:rsidRPr="005C7CCE">
              <w:rPr>
                <w:color w:val="10862C"/>
              </w:rPr>
              <w:sym w:font="Wingdings" w:char="F06C"/>
            </w:r>
          </w:p>
          <w:p w:rsidR="00F40E87" w:rsidRPr="005C7CCE" w:rsidRDefault="00F40E87" w:rsidP="001A5BF9">
            <w:pPr>
              <w:keepNext/>
              <w:keepLines/>
              <w:jc w:val="center"/>
              <w:rPr>
                <w:rFonts w:cs="Arial"/>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keepNext/>
              <w:keepLines/>
              <w:spacing w:before="60"/>
              <w:rPr>
                <w:rFonts w:cs="Arial"/>
                <w:sz w:val="14"/>
                <w:szCs w:val="14"/>
              </w:rPr>
            </w:pPr>
            <w:r w:rsidRPr="006851DA">
              <w:rPr>
                <w:sz w:val="14"/>
              </w:rPr>
              <w:t>Pourcentage de participants satisfaits dans des ateliers</w:t>
            </w:r>
            <w:r w:rsidR="00BD43F2" w:rsidRPr="006851DA">
              <w:rPr>
                <w:sz w:val="14"/>
              </w:rPr>
              <w:t>/</w:t>
            </w:r>
            <w:r w:rsidRPr="006851DA">
              <w:rPr>
                <w:sz w:val="14"/>
              </w:rPr>
              <w:t xml:space="preserve">séminaires ciblés, organisés sur des questions spécifiques aux brevets </w:t>
            </w:r>
          </w:p>
        </w:tc>
        <w:tc>
          <w:tcPr>
            <w:tcW w:w="1474" w:type="dxa"/>
            <w:shd w:val="clear" w:color="auto" w:fill="auto"/>
            <w:tcMar>
              <w:top w:w="113" w:type="dxa"/>
            </w:tcMar>
          </w:tcPr>
          <w:p w:rsidR="00D42474" w:rsidRDefault="00F40E87" w:rsidP="001A5BF9">
            <w:pPr>
              <w:keepNext/>
              <w:keepLines/>
              <w:spacing w:before="60"/>
              <w:ind w:left="176"/>
              <w:rPr>
                <w:rFonts w:cs="Arial"/>
                <w:sz w:val="14"/>
                <w:szCs w:val="14"/>
              </w:rPr>
            </w:pPr>
            <w:r w:rsidRPr="006851DA">
              <w:rPr>
                <w:sz w:val="14"/>
              </w:rPr>
              <w:t>Programme 1</w:t>
            </w:r>
          </w:p>
          <w:p w:rsidR="00D42474" w:rsidRDefault="00F40E87" w:rsidP="001A5BF9">
            <w:pPr>
              <w:keepNext/>
              <w:keepLines/>
              <w:spacing w:before="120"/>
              <w:ind w:left="176"/>
              <w:rPr>
                <w:rFonts w:cs="Arial"/>
                <w:sz w:val="14"/>
                <w:szCs w:val="14"/>
              </w:rPr>
            </w:pPr>
            <w:r w:rsidRPr="006851DA">
              <w:rPr>
                <w:sz w:val="14"/>
              </w:rPr>
              <w:t>Programme 9</w:t>
            </w:r>
          </w:p>
          <w:p w:rsidR="00F40E87" w:rsidRPr="006851DA" w:rsidRDefault="00F40E87" w:rsidP="001A5BF9">
            <w:pPr>
              <w:keepNext/>
              <w:keepLines/>
              <w:spacing w:before="120"/>
              <w:ind w:left="176"/>
              <w:rPr>
                <w:rFonts w:cs="Arial"/>
                <w:sz w:val="14"/>
                <w:szCs w:val="14"/>
              </w:rPr>
            </w:pPr>
            <w:r w:rsidRPr="006851DA">
              <w:rPr>
                <w:sz w:val="14"/>
              </w:rPr>
              <w:t>Programme 10</w:t>
            </w:r>
          </w:p>
        </w:tc>
        <w:tc>
          <w:tcPr>
            <w:tcW w:w="1209" w:type="dxa"/>
          </w:tcPr>
          <w:p w:rsidR="00D42474" w:rsidRDefault="00F40E87" w:rsidP="001A5BF9">
            <w:pPr>
              <w:keepNext/>
              <w:keepLines/>
              <w:jc w:val="center"/>
              <w:rPr>
                <w:rFonts w:cs="Arial"/>
                <w:color w:val="10862C"/>
                <w:szCs w:val="22"/>
              </w:rPr>
            </w:pPr>
            <w:r w:rsidRPr="005C7CCE">
              <w:rPr>
                <w:color w:val="10862C"/>
              </w:rPr>
              <w:sym w:font="Wingdings" w:char="F06C"/>
            </w:r>
          </w:p>
          <w:p w:rsidR="00D42474" w:rsidRDefault="00F40E87" w:rsidP="001A5BF9">
            <w:pPr>
              <w:keepNext/>
              <w:keepLines/>
              <w:jc w:val="center"/>
              <w:rPr>
                <w:rFonts w:cs="Arial"/>
                <w:color w:val="10862C"/>
                <w:szCs w:val="22"/>
              </w:rPr>
            </w:pPr>
            <w:r w:rsidRPr="005C7CCE">
              <w:rPr>
                <w:color w:val="10862C"/>
              </w:rPr>
              <w:sym w:font="Wingdings" w:char="F06C"/>
            </w:r>
          </w:p>
          <w:p w:rsidR="00F40E87" w:rsidRPr="005C7CCE" w:rsidRDefault="00F40E87" w:rsidP="001A5BF9">
            <w:pPr>
              <w:keepNext/>
              <w:keepLines/>
              <w:jc w:val="center"/>
              <w:rPr>
                <w:rFonts w:cs="Arial"/>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spacing w:before="60"/>
              <w:rPr>
                <w:rFonts w:cs="Arial"/>
                <w:sz w:val="14"/>
                <w:szCs w:val="14"/>
              </w:rPr>
            </w:pPr>
            <w:r w:rsidRPr="006851DA">
              <w:rPr>
                <w:sz w:val="14"/>
              </w:rPr>
              <w:t>Nombre d</w:t>
            </w:r>
            <w:r w:rsidR="00A20444" w:rsidRPr="006851DA">
              <w:rPr>
                <w:sz w:val="14"/>
              </w:rPr>
              <w:t>’</w:t>
            </w:r>
            <w:r w:rsidRPr="006851DA">
              <w:rPr>
                <w:sz w:val="14"/>
              </w:rPr>
              <w:t xml:space="preserve">États membres ayant reçu des conseils législatifs dans le domaine des marques, des modèles et dessins industriels et des indications géographiques </w:t>
            </w:r>
          </w:p>
        </w:tc>
        <w:tc>
          <w:tcPr>
            <w:tcW w:w="1474" w:type="dxa"/>
            <w:shd w:val="clear" w:color="auto" w:fill="auto"/>
            <w:tcMar>
              <w:top w:w="113" w:type="dxa"/>
            </w:tcMar>
          </w:tcPr>
          <w:p w:rsidR="00D42474" w:rsidRDefault="00F40E87" w:rsidP="001A5BF9">
            <w:pPr>
              <w:spacing w:before="60"/>
              <w:ind w:left="176"/>
              <w:rPr>
                <w:rFonts w:cs="Arial"/>
                <w:sz w:val="14"/>
                <w:szCs w:val="14"/>
              </w:rPr>
            </w:pPr>
            <w:r w:rsidRPr="006851DA">
              <w:rPr>
                <w:sz w:val="14"/>
              </w:rPr>
              <w:t>Programme 2</w:t>
            </w:r>
          </w:p>
          <w:p w:rsidR="00D42474" w:rsidRDefault="00F40E87" w:rsidP="001A5BF9">
            <w:pPr>
              <w:spacing w:before="120"/>
              <w:ind w:left="176"/>
              <w:rPr>
                <w:rFonts w:cs="Arial"/>
                <w:sz w:val="14"/>
                <w:szCs w:val="14"/>
              </w:rPr>
            </w:pPr>
            <w:r w:rsidRPr="006851DA">
              <w:rPr>
                <w:sz w:val="14"/>
              </w:rPr>
              <w:t>Programme 9</w:t>
            </w:r>
          </w:p>
          <w:p w:rsidR="00F40E87" w:rsidRPr="006851DA" w:rsidRDefault="00F40E87" w:rsidP="001A5BF9">
            <w:pPr>
              <w:spacing w:before="120"/>
              <w:ind w:left="176"/>
              <w:rPr>
                <w:rFonts w:cs="Arial"/>
                <w:sz w:val="14"/>
                <w:szCs w:val="14"/>
              </w:rPr>
            </w:pPr>
            <w:r w:rsidRPr="006851DA">
              <w:rPr>
                <w:sz w:val="14"/>
              </w:rPr>
              <w:t>Programme 10</w:t>
            </w:r>
          </w:p>
        </w:tc>
        <w:tc>
          <w:tcPr>
            <w:tcW w:w="1209" w:type="dxa"/>
          </w:tcPr>
          <w:p w:rsidR="00D42474" w:rsidRDefault="00F40E87" w:rsidP="001A5BF9">
            <w:pPr>
              <w:jc w:val="center"/>
              <w:rPr>
                <w:rFonts w:cs="Arial"/>
                <w:color w:val="E36C0A"/>
                <w:szCs w:val="22"/>
              </w:rPr>
            </w:pPr>
            <w:r w:rsidRPr="005C7CCE">
              <w:rPr>
                <w:color w:val="E36C0A"/>
              </w:rPr>
              <w:sym w:font="Wingdings" w:char="F06C"/>
            </w:r>
          </w:p>
          <w:p w:rsidR="00D42474" w:rsidRDefault="00F40E87" w:rsidP="001A5BF9">
            <w:pPr>
              <w:jc w:val="center"/>
              <w:rPr>
                <w:rFonts w:cs="Arial"/>
                <w:color w:val="E36C0A"/>
                <w:szCs w:val="22"/>
              </w:rPr>
            </w:pPr>
            <w:r w:rsidRPr="005C7CCE">
              <w:rPr>
                <w:color w:val="E36C0A"/>
              </w:rPr>
              <w:sym w:font="Wingdings" w:char="F06C"/>
            </w:r>
          </w:p>
          <w:p w:rsidR="00F40E87" w:rsidRPr="005C7CCE" w:rsidRDefault="00F40E87" w:rsidP="001A5BF9">
            <w:pPr>
              <w:jc w:val="center"/>
              <w:rPr>
                <w:rFonts w:cs="Arial"/>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spacing w:before="60"/>
              <w:rPr>
                <w:rFonts w:cs="Arial"/>
                <w:sz w:val="14"/>
                <w:szCs w:val="14"/>
              </w:rPr>
            </w:pPr>
            <w:r w:rsidRPr="006851DA">
              <w:rPr>
                <w:sz w:val="14"/>
              </w:rPr>
              <w:t>Nombre de pays ayant donné un avis positif en retour sur l</w:t>
            </w:r>
            <w:r w:rsidR="00A20444" w:rsidRPr="006851DA">
              <w:rPr>
                <w:sz w:val="14"/>
              </w:rPr>
              <w:t>’</w:t>
            </w:r>
            <w:r w:rsidRPr="006851DA">
              <w:rPr>
                <w:sz w:val="14"/>
              </w:rPr>
              <w:t xml:space="preserve">utilité des conseils de législation fournis dans le domaine des marques, des modèles et dessins industriels et des indications géographiques </w:t>
            </w:r>
          </w:p>
        </w:tc>
        <w:tc>
          <w:tcPr>
            <w:tcW w:w="1474" w:type="dxa"/>
            <w:shd w:val="clear" w:color="auto" w:fill="auto"/>
            <w:tcMar>
              <w:top w:w="113" w:type="dxa"/>
            </w:tcMar>
          </w:tcPr>
          <w:p w:rsidR="00D42474" w:rsidRDefault="00F40E87" w:rsidP="001A5BF9">
            <w:pPr>
              <w:spacing w:before="60"/>
              <w:ind w:left="176"/>
              <w:rPr>
                <w:rFonts w:cs="Arial"/>
                <w:sz w:val="14"/>
                <w:szCs w:val="14"/>
              </w:rPr>
            </w:pPr>
            <w:r w:rsidRPr="006851DA">
              <w:rPr>
                <w:sz w:val="14"/>
              </w:rPr>
              <w:t>Programme 2</w:t>
            </w:r>
          </w:p>
          <w:p w:rsidR="00D42474" w:rsidRDefault="00F40E87" w:rsidP="001A5BF9">
            <w:pPr>
              <w:spacing w:before="120"/>
              <w:ind w:left="176"/>
              <w:rPr>
                <w:rFonts w:cs="Arial"/>
                <w:sz w:val="14"/>
                <w:szCs w:val="14"/>
              </w:rPr>
            </w:pPr>
            <w:r w:rsidRPr="006851DA">
              <w:rPr>
                <w:sz w:val="14"/>
              </w:rPr>
              <w:t>Programme 9</w:t>
            </w:r>
          </w:p>
          <w:p w:rsidR="00F40E87" w:rsidRPr="006851DA" w:rsidRDefault="00F40E87" w:rsidP="001A5BF9">
            <w:pPr>
              <w:spacing w:before="120"/>
              <w:ind w:left="176"/>
              <w:rPr>
                <w:rFonts w:cs="Arial"/>
                <w:sz w:val="14"/>
                <w:szCs w:val="14"/>
              </w:rPr>
            </w:pPr>
            <w:r w:rsidRPr="006851DA">
              <w:rPr>
                <w:sz w:val="14"/>
              </w:rPr>
              <w:t>Programme 10</w:t>
            </w:r>
          </w:p>
        </w:tc>
        <w:tc>
          <w:tcPr>
            <w:tcW w:w="1209" w:type="dxa"/>
          </w:tcPr>
          <w:p w:rsidR="00D42474" w:rsidRDefault="00F40E87" w:rsidP="001A5BF9">
            <w:pPr>
              <w:jc w:val="center"/>
              <w:rPr>
                <w:rFonts w:cs="Arial"/>
                <w:color w:val="10862C"/>
                <w:szCs w:val="22"/>
              </w:rPr>
            </w:pPr>
            <w:r w:rsidRPr="005C7CCE">
              <w:rPr>
                <w:color w:val="10862C"/>
              </w:rPr>
              <w:sym w:font="Wingdings" w:char="F06C"/>
            </w:r>
          </w:p>
          <w:p w:rsidR="00D42474" w:rsidRDefault="00F40E87" w:rsidP="001A5BF9">
            <w:pPr>
              <w:jc w:val="center"/>
              <w:rPr>
                <w:rFonts w:cs="Arial"/>
                <w:color w:val="10862C"/>
                <w:szCs w:val="22"/>
              </w:rPr>
            </w:pPr>
            <w:r w:rsidRPr="005C7CCE">
              <w:rPr>
                <w:color w:val="10862C"/>
              </w:rPr>
              <w:sym w:font="Wingdings" w:char="F06C"/>
            </w:r>
          </w:p>
          <w:p w:rsidR="00F40E87" w:rsidRPr="005C7CCE" w:rsidRDefault="00F40E87" w:rsidP="001A5BF9">
            <w:pPr>
              <w:jc w:val="center"/>
              <w:rPr>
                <w:rFonts w:cs="Arial"/>
                <w:color w:val="10862C"/>
                <w:szCs w:val="22"/>
              </w:rPr>
            </w:pPr>
            <w:r w:rsidRPr="005C7CCE">
              <w:rPr>
                <w:color w:val="10862C"/>
              </w:rPr>
              <w:sym w:font="Wingdings" w:char="F06C"/>
            </w:r>
          </w:p>
        </w:tc>
      </w:tr>
      <w:tr w:rsidR="00F40E87" w:rsidRPr="005C7CCE" w:rsidTr="002C52FC">
        <w:trPr>
          <w:cantSplit/>
        </w:trPr>
        <w:tc>
          <w:tcPr>
            <w:tcW w:w="3399" w:type="dxa"/>
            <w:shd w:val="clear" w:color="auto" w:fill="auto"/>
            <w:tcMar>
              <w:top w:w="113" w:type="dxa"/>
            </w:tcMar>
          </w:tcPr>
          <w:p w:rsidR="00F40E87" w:rsidRPr="006851DA" w:rsidRDefault="00F40E87" w:rsidP="001A5BF9">
            <w:pPr>
              <w:spacing w:before="80"/>
              <w:ind w:firstLineChars="100" w:firstLine="140"/>
              <w:rPr>
                <w:rFonts w:cs="Arial"/>
                <w:sz w:val="14"/>
                <w:szCs w:val="14"/>
              </w:rPr>
            </w:pPr>
          </w:p>
        </w:tc>
        <w:tc>
          <w:tcPr>
            <w:tcW w:w="3284" w:type="dxa"/>
            <w:shd w:val="clear" w:color="auto" w:fill="auto"/>
            <w:tcMar>
              <w:top w:w="113" w:type="dxa"/>
            </w:tcMar>
          </w:tcPr>
          <w:p w:rsidR="00F40E87" w:rsidRPr="006851DA" w:rsidRDefault="00F40E87" w:rsidP="001A5BF9">
            <w:pPr>
              <w:spacing w:before="60"/>
              <w:rPr>
                <w:sz w:val="14"/>
                <w:szCs w:val="14"/>
                <w:lang w:bidi="th-TH"/>
              </w:rPr>
            </w:pPr>
            <w:r w:rsidRPr="006851DA">
              <w:rPr>
                <w:sz w:val="14"/>
              </w:rPr>
              <w:t>Nombre de pays ayant bénéficié d</w:t>
            </w:r>
            <w:r w:rsidR="00A20444" w:rsidRPr="006851DA">
              <w:rPr>
                <w:sz w:val="14"/>
              </w:rPr>
              <w:t>’</w:t>
            </w:r>
            <w:r w:rsidRPr="006851DA">
              <w:rPr>
                <w:sz w:val="14"/>
              </w:rPr>
              <w:t>une assistance technique concernant des cadres législatifs nouveaux ou actualisés aux fins d</w:t>
            </w:r>
            <w:r w:rsidR="00A20444" w:rsidRPr="006851DA">
              <w:rPr>
                <w:sz w:val="14"/>
              </w:rPr>
              <w:t>’</w:t>
            </w:r>
            <w:r w:rsidRPr="006851DA">
              <w:rPr>
                <w:sz w:val="14"/>
              </w:rPr>
              <w:t>une application efficace des droits, compte tenu des éléments de flexibilité prévus dans la troisième partie de l</w:t>
            </w:r>
            <w:r w:rsidR="00A20444" w:rsidRPr="006851DA">
              <w:rPr>
                <w:sz w:val="14"/>
              </w:rPr>
              <w:t>’</w:t>
            </w:r>
            <w:r w:rsidRPr="006851DA">
              <w:rPr>
                <w:sz w:val="14"/>
              </w:rPr>
              <w:t>Accord sur</w:t>
            </w:r>
            <w:r w:rsidR="00A20444" w:rsidRPr="006851DA">
              <w:rPr>
                <w:sz w:val="14"/>
              </w:rPr>
              <w:t xml:space="preserve"> les ADP</w:t>
            </w:r>
            <w:r w:rsidRPr="006851DA">
              <w:rPr>
                <w:sz w:val="14"/>
              </w:rPr>
              <w:t>IC</w:t>
            </w:r>
          </w:p>
        </w:tc>
        <w:tc>
          <w:tcPr>
            <w:tcW w:w="1474" w:type="dxa"/>
            <w:shd w:val="clear" w:color="auto" w:fill="auto"/>
            <w:tcMar>
              <w:top w:w="113" w:type="dxa"/>
            </w:tcMar>
          </w:tcPr>
          <w:p w:rsidR="00D42474" w:rsidRDefault="00F40E87" w:rsidP="001A5BF9">
            <w:pPr>
              <w:spacing w:before="60"/>
              <w:ind w:left="176"/>
              <w:rPr>
                <w:rFonts w:cs="Arial"/>
                <w:sz w:val="14"/>
                <w:szCs w:val="14"/>
              </w:rPr>
            </w:pPr>
            <w:r w:rsidRPr="006851DA">
              <w:rPr>
                <w:sz w:val="14"/>
              </w:rPr>
              <w:t>Programme 17</w:t>
            </w:r>
          </w:p>
          <w:p w:rsidR="00F40E87" w:rsidRPr="006851DA" w:rsidRDefault="00F40E87" w:rsidP="001A5BF9">
            <w:pPr>
              <w:spacing w:before="120"/>
              <w:ind w:left="176"/>
              <w:rPr>
                <w:rFonts w:cs="Arial"/>
                <w:sz w:val="14"/>
                <w:szCs w:val="14"/>
              </w:rPr>
            </w:pPr>
            <w:r w:rsidRPr="006851DA">
              <w:rPr>
                <w:sz w:val="14"/>
              </w:rPr>
              <w:t>Programme 9</w:t>
            </w:r>
          </w:p>
        </w:tc>
        <w:tc>
          <w:tcPr>
            <w:tcW w:w="1209" w:type="dxa"/>
          </w:tcPr>
          <w:p w:rsidR="00D42474" w:rsidRDefault="00F40E87" w:rsidP="001A5BF9">
            <w:pPr>
              <w:jc w:val="center"/>
              <w:rPr>
                <w:rFonts w:cs="Arial"/>
                <w:color w:val="10862C"/>
                <w:szCs w:val="22"/>
              </w:rPr>
            </w:pPr>
            <w:r w:rsidRPr="005C7CCE">
              <w:rPr>
                <w:color w:val="10862C"/>
              </w:rPr>
              <w:sym w:font="Wingdings" w:char="F06C"/>
            </w:r>
          </w:p>
          <w:p w:rsidR="00F40E87" w:rsidRPr="005C7CCE" w:rsidRDefault="00F40E87" w:rsidP="001A5BF9">
            <w:pPr>
              <w:jc w:val="center"/>
              <w:rPr>
                <w:rFonts w:cs="Arial"/>
                <w:color w:val="10862C"/>
                <w:szCs w:val="22"/>
              </w:rPr>
            </w:pPr>
            <w:r w:rsidRPr="005C7CCE">
              <w:rPr>
                <w:color w:val="10862C"/>
              </w:rPr>
              <w:sym w:font="Wingdings" w:char="F06C"/>
            </w:r>
          </w:p>
        </w:tc>
      </w:tr>
    </w:tbl>
    <w:p w:rsidR="00D42474" w:rsidRDefault="00D42474" w:rsidP="001A5BF9">
      <w:pPr>
        <w:tabs>
          <w:tab w:val="left" w:pos="0"/>
        </w:tabs>
        <w:rPr>
          <w:rFonts w:cs="Arial"/>
          <w:iCs/>
          <w:sz w:val="21"/>
          <w:szCs w:val="21"/>
        </w:rPr>
      </w:pPr>
    </w:p>
    <w:p w:rsidR="00D42474" w:rsidRDefault="00D42474" w:rsidP="001A5BF9">
      <w:pPr>
        <w:tabs>
          <w:tab w:val="left" w:pos="0"/>
        </w:tabs>
        <w:rPr>
          <w:b/>
          <w:iCs/>
        </w:rPr>
      </w:pPr>
    </w:p>
    <w:p w:rsidR="00D42474" w:rsidRDefault="00D42474" w:rsidP="001A5BF9">
      <w:pPr>
        <w:jc w:val="center"/>
        <w:rPr>
          <w:rFonts w:ascii="Arial Bold" w:hAnsi="Arial Bold" w:cs="Arial"/>
          <w:b/>
          <w:bCs/>
          <w:iCs/>
          <w:caps/>
          <w:szCs w:val="28"/>
        </w:rPr>
      </w:pPr>
    </w:p>
    <w:p w:rsidR="00D42474" w:rsidRDefault="00F40E87" w:rsidP="001A5BF9">
      <w:pPr>
        <w:pStyle w:val="Heading3"/>
        <w:pageBreakBefore/>
        <w:rPr>
          <w:szCs w:val="22"/>
        </w:rPr>
      </w:pPr>
      <w:bookmarkStart w:id="10" w:name="_Toc395082463"/>
      <w:r w:rsidRPr="006851DA">
        <w:rPr>
          <w:szCs w:val="22"/>
        </w:rPr>
        <w:t>Programme 1</w:t>
      </w:r>
      <w:r w:rsidRPr="006851DA">
        <w:rPr>
          <w:szCs w:val="22"/>
        </w:rPr>
        <w:tab/>
        <w:t>Droit des brevets</w:t>
      </w:r>
      <w:bookmarkEnd w:id="10"/>
    </w:p>
    <w:p w:rsidR="00D42474" w:rsidRDefault="00D42474" w:rsidP="001A5BF9">
      <w:pPr>
        <w:rPr>
          <w:sz w:val="22"/>
          <w:szCs w:val="22"/>
        </w:rPr>
      </w:pPr>
    </w:p>
    <w:p w:rsidR="00D42474" w:rsidRDefault="00F40E87" w:rsidP="001A5BF9">
      <w:pPr>
        <w:ind w:left="2268" w:hanging="2268"/>
        <w:rPr>
          <w:rFonts w:cs="Arial"/>
          <w:b/>
          <w:sz w:val="22"/>
          <w:szCs w:val="22"/>
        </w:rPr>
      </w:pPr>
      <w:r w:rsidRPr="006851DA">
        <w:rPr>
          <w:b/>
          <w:sz w:val="22"/>
          <w:szCs w:val="22"/>
        </w:rPr>
        <w:t>Chef de programme</w:t>
      </w:r>
      <w:r w:rsidRPr="006851DA">
        <w:rPr>
          <w:b/>
          <w:sz w:val="22"/>
          <w:szCs w:val="22"/>
        </w:rPr>
        <w:tab/>
      </w:r>
      <w:r w:rsidRPr="006851DA">
        <w:rPr>
          <w:b/>
          <w:sz w:val="22"/>
          <w:szCs w:val="22"/>
        </w:rPr>
        <w:tab/>
        <w:t>M. J.</w:t>
      </w:r>
      <w:r w:rsidR="0010442A" w:rsidRPr="006851DA">
        <w:rPr>
          <w:b/>
          <w:sz w:val="22"/>
          <w:szCs w:val="22"/>
        </w:rPr>
        <w:t> </w:t>
      </w:r>
      <w:r w:rsidRPr="006851DA">
        <w:rPr>
          <w:b/>
          <w:sz w:val="22"/>
          <w:szCs w:val="22"/>
        </w:rPr>
        <w:t>Pooley</w:t>
      </w:r>
    </w:p>
    <w:p w:rsidR="00D42474" w:rsidRDefault="00D42474" w:rsidP="001A5BF9">
      <w:pPr>
        <w:rPr>
          <w:sz w:val="22"/>
          <w:szCs w:val="22"/>
        </w:rPr>
      </w:pPr>
    </w:p>
    <w:p w:rsidR="00D42474" w:rsidRDefault="00D42474" w:rsidP="001A5BF9">
      <w:pPr>
        <w:rPr>
          <w:sz w:val="22"/>
          <w:szCs w:val="22"/>
        </w:rPr>
      </w:pPr>
    </w:p>
    <w:p w:rsidR="00D42474" w:rsidRDefault="00F40E87" w:rsidP="001A5BF9">
      <w:pPr>
        <w:rPr>
          <w:rFonts w:cs="Arial"/>
          <w:sz w:val="22"/>
          <w:szCs w:val="22"/>
        </w:rPr>
      </w:pPr>
      <w:r w:rsidRPr="006851DA">
        <w:rPr>
          <w:sz w:val="22"/>
          <w:szCs w:val="22"/>
        </w:rPr>
        <w:t>RÉALISATIONS EN 2012</w:t>
      </w:r>
      <w:r w:rsidR="002D6F2A" w:rsidRPr="006851DA">
        <w:rPr>
          <w:sz w:val="22"/>
          <w:szCs w:val="22"/>
        </w:rPr>
        <w:noBreakHyphen/>
      </w:r>
      <w:r w:rsidRPr="006851DA">
        <w:rPr>
          <w:sz w:val="22"/>
          <w:szCs w:val="22"/>
        </w:rPr>
        <w:t>2013</w:t>
      </w:r>
    </w:p>
    <w:p w:rsidR="00D42474" w:rsidRDefault="00D42474" w:rsidP="001A5BF9">
      <w:pPr>
        <w:rPr>
          <w:sz w:val="16"/>
          <w:szCs w:val="20"/>
        </w:rPr>
      </w:pPr>
    </w:p>
    <w:p w:rsidR="00D42474" w:rsidRDefault="00F40E87" w:rsidP="001A5BF9">
      <w:pPr>
        <w:tabs>
          <w:tab w:val="left" w:pos="709"/>
        </w:tabs>
        <w:autoSpaceDE w:val="0"/>
        <w:autoSpaceDN w:val="0"/>
        <w:adjustRightInd w:val="0"/>
        <w:jc w:val="both"/>
        <w:rPr>
          <w:rFonts w:eastAsia="SimSun" w:cs="Arial"/>
          <w:bCs/>
          <w:szCs w:val="20"/>
        </w:rPr>
      </w:pPr>
      <w:r w:rsidRPr="006851DA">
        <w:t>1.1.</w:t>
      </w:r>
      <w:r w:rsidRPr="006851DA">
        <w:tab/>
        <w:t>En vue de renforcer la coopération entre les États membres en faveur de la poursuite de l</w:t>
      </w:r>
      <w:r w:rsidR="00A20444" w:rsidRPr="006851DA">
        <w:t>’</w:t>
      </w:r>
      <w:r w:rsidRPr="006851DA">
        <w:t>élaboration d</w:t>
      </w:r>
      <w:r w:rsidR="00A20444" w:rsidRPr="006851DA">
        <w:t>’</w:t>
      </w:r>
      <w:r w:rsidRPr="006851DA">
        <w:t>une politique équilibrée et de cadres normatifs pour le système international des brevets, la dix</w:t>
      </w:r>
      <w:r w:rsidR="002D6F2A" w:rsidRPr="006851DA">
        <w:noBreakHyphen/>
      </w:r>
      <w:r w:rsidRPr="006851DA">
        <w:t>huitième et la dix</w:t>
      </w:r>
      <w:r w:rsidR="002D6F2A" w:rsidRPr="006851DA">
        <w:noBreakHyphen/>
      </w:r>
      <w:r w:rsidRPr="006851DA">
        <w:t xml:space="preserve">neuvième session du Comité permanent du droit des brevets (SCP) se sont tenues respectivement en mai 2012 et février 2013. </w:t>
      </w:r>
      <w:r w:rsidR="0010442A" w:rsidRPr="006851DA">
        <w:t xml:space="preserve"> </w:t>
      </w:r>
      <w:r w:rsidRPr="006851DA">
        <w:t>Le SCP a poursuivi l</w:t>
      </w:r>
      <w:r w:rsidR="00A20444" w:rsidRPr="006851DA">
        <w:t>’</w:t>
      </w:r>
      <w:r w:rsidRPr="006851DA">
        <w:t>examen des cinq points inscrits à son ordre du jour, notamment</w:t>
      </w:r>
      <w:r w:rsidR="0010442A" w:rsidRPr="006851DA">
        <w:t> </w:t>
      </w:r>
      <w:r w:rsidRPr="006851DA">
        <w:t>: i) les exceptions et limitations aux droits des brevets;</w:t>
      </w:r>
      <w:r w:rsidR="004F3E42" w:rsidRPr="006851DA">
        <w:t xml:space="preserve"> </w:t>
      </w:r>
      <w:r w:rsidR="0010442A" w:rsidRPr="006851DA">
        <w:t xml:space="preserve"> </w:t>
      </w:r>
      <w:r w:rsidRPr="006851DA">
        <w:t>ii) la qualité des brevets, notamment les systèmes d</w:t>
      </w:r>
      <w:r w:rsidR="00A20444" w:rsidRPr="006851DA">
        <w:t>’</w:t>
      </w:r>
      <w:r w:rsidRPr="006851DA">
        <w:t>opposition;</w:t>
      </w:r>
      <w:r w:rsidR="004F3E42" w:rsidRPr="006851DA">
        <w:t xml:space="preserve"> </w:t>
      </w:r>
      <w:r w:rsidR="0010442A" w:rsidRPr="006851DA">
        <w:t xml:space="preserve"> </w:t>
      </w:r>
      <w:r w:rsidRPr="006851DA">
        <w:t xml:space="preserve">iii) les brevets et la santé; </w:t>
      </w:r>
      <w:r w:rsidR="0010442A" w:rsidRPr="006851DA">
        <w:t xml:space="preserve"> </w:t>
      </w:r>
      <w:r w:rsidRPr="006851DA">
        <w:t>iv) la confidentialité des échanges entre les clients et leurs conseils en brevets;</w:t>
      </w:r>
      <w:r w:rsidR="0010442A" w:rsidRPr="006851DA">
        <w:t xml:space="preserve"> </w:t>
      </w:r>
      <w:r w:rsidR="004F3E42" w:rsidRPr="006851DA">
        <w:t xml:space="preserve"> </w:t>
      </w:r>
      <w:r w:rsidRPr="006851DA">
        <w:t>et v) le transfert de technologies.</w:t>
      </w:r>
    </w:p>
    <w:p w:rsidR="00D42474" w:rsidRDefault="00D42474" w:rsidP="001A5BF9">
      <w:pPr>
        <w:tabs>
          <w:tab w:val="left" w:pos="709"/>
        </w:tabs>
        <w:autoSpaceDE w:val="0"/>
        <w:autoSpaceDN w:val="0"/>
        <w:adjustRightInd w:val="0"/>
        <w:jc w:val="both"/>
        <w:rPr>
          <w:rFonts w:eastAsia="SimSun" w:cs="Arial"/>
          <w:bCs/>
          <w:sz w:val="16"/>
          <w:szCs w:val="20"/>
        </w:rPr>
      </w:pPr>
    </w:p>
    <w:p w:rsidR="00D42474" w:rsidRDefault="00F40E87" w:rsidP="001A5BF9">
      <w:pPr>
        <w:tabs>
          <w:tab w:val="left" w:pos="709"/>
        </w:tabs>
        <w:autoSpaceDE w:val="0"/>
        <w:autoSpaceDN w:val="0"/>
        <w:adjustRightInd w:val="0"/>
        <w:jc w:val="both"/>
        <w:rPr>
          <w:rFonts w:eastAsia="SimSun" w:cs="Arial"/>
          <w:bCs/>
          <w:color w:val="000000"/>
          <w:szCs w:val="20"/>
        </w:rPr>
      </w:pPr>
      <w:r w:rsidRPr="005C7CCE">
        <w:rPr>
          <w:color w:val="000000"/>
        </w:rPr>
        <w:t>1.2.</w:t>
      </w:r>
      <w:r w:rsidRPr="005C7CCE">
        <w:rPr>
          <w:color w:val="000000"/>
        </w:rPr>
        <w:tab/>
        <w:t>L</w:t>
      </w:r>
      <w:r w:rsidR="00A20444" w:rsidRPr="005C7CCE">
        <w:rPr>
          <w:color w:val="000000"/>
        </w:rPr>
        <w:t>’</w:t>
      </w:r>
      <w:r w:rsidRPr="005C7CCE">
        <w:rPr>
          <w:color w:val="000000"/>
        </w:rPr>
        <w:t>examen des études de fond a permis au SCP d</w:t>
      </w:r>
      <w:r w:rsidR="00A20444" w:rsidRPr="005C7CCE">
        <w:rPr>
          <w:color w:val="000000"/>
        </w:rPr>
        <w:t>’</w:t>
      </w:r>
      <w:r w:rsidRPr="005C7CCE">
        <w:rPr>
          <w:color w:val="000000"/>
        </w:rPr>
        <w:t xml:space="preserve">analyser le système international des brevets actuel, en se fondant sur une approche globale prenant en compte les différents besoins et intérêts des États </w:t>
      </w:r>
      <w:r w:rsidR="003133EE">
        <w:rPr>
          <w:color w:val="000000"/>
        </w:rPr>
        <w:t>membres</w:t>
      </w:r>
      <w:r w:rsidRPr="005C7CCE">
        <w:rPr>
          <w:color w:val="000000"/>
        </w:rPr>
        <w:t xml:space="preserve"> et des parties prenantes. </w:t>
      </w:r>
      <w:r w:rsidR="0010442A" w:rsidRPr="005C7CCE">
        <w:rPr>
          <w:color w:val="000000"/>
        </w:rPr>
        <w:t xml:space="preserve"> </w:t>
      </w:r>
      <w:r w:rsidRPr="005C7CCE">
        <w:rPr>
          <w:color w:val="000000"/>
        </w:rPr>
        <w:t xml:space="preserve">Une approche progressive a élargi la base commune à partir de laquelle le comité pourrait développer ses débats. </w:t>
      </w:r>
      <w:r w:rsidR="0010442A" w:rsidRPr="005C7CCE">
        <w:rPr>
          <w:color w:val="000000"/>
        </w:rPr>
        <w:t xml:space="preserve"> </w:t>
      </w:r>
      <w:r w:rsidRPr="005C7CCE">
        <w:rPr>
          <w:color w:val="000000"/>
        </w:rPr>
        <w:t>En outre, diverses méthodologies employées par le comité, notamment la préparation des études de fond et le partage d</w:t>
      </w:r>
      <w:r w:rsidR="00A20444" w:rsidRPr="005C7CCE">
        <w:rPr>
          <w:color w:val="000000"/>
        </w:rPr>
        <w:t>’</w:t>
      </w:r>
      <w:r w:rsidRPr="005C7CCE">
        <w:rPr>
          <w:color w:val="000000"/>
        </w:rPr>
        <w:t>informations sur la mise en œuvre nationale d</w:t>
      </w:r>
      <w:r w:rsidR="00A20444" w:rsidRPr="005C7CCE">
        <w:rPr>
          <w:color w:val="000000"/>
        </w:rPr>
        <w:t>’</w:t>
      </w:r>
      <w:r w:rsidRPr="005C7CCE">
        <w:rPr>
          <w:color w:val="000000"/>
        </w:rPr>
        <w:t>une législation relative aux brevets et les expériences et enjeux nationaux, ont contribué à faire progresser les débats sur les questions d</w:t>
      </w:r>
      <w:r w:rsidR="00A20444" w:rsidRPr="005C7CCE">
        <w:rPr>
          <w:color w:val="000000"/>
        </w:rPr>
        <w:t>’</w:t>
      </w:r>
      <w:r w:rsidRPr="005C7CCE">
        <w:rPr>
          <w:color w:val="000000"/>
        </w:rPr>
        <w:t xml:space="preserve">intérêt commun au sein du SCP. </w:t>
      </w:r>
      <w:r w:rsidR="0010442A" w:rsidRPr="005C7CCE">
        <w:rPr>
          <w:color w:val="000000"/>
        </w:rPr>
        <w:t xml:space="preserve"> </w:t>
      </w:r>
      <w:r w:rsidRPr="005C7CCE">
        <w:rPr>
          <w:color w:val="000000"/>
        </w:rPr>
        <w:t>Lors de l</w:t>
      </w:r>
      <w:r w:rsidR="00A20444" w:rsidRPr="005C7CCE">
        <w:rPr>
          <w:color w:val="000000"/>
        </w:rPr>
        <w:t>’</w:t>
      </w:r>
      <w:r w:rsidRPr="005C7CCE">
        <w:rPr>
          <w:color w:val="000000"/>
        </w:rPr>
        <w:t>exercice biennal 2012</w:t>
      </w:r>
      <w:r w:rsidR="002D6F2A" w:rsidRPr="005C7CCE">
        <w:rPr>
          <w:color w:val="000000"/>
        </w:rPr>
        <w:noBreakHyphen/>
      </w:r>
      <w:r w:rsidRPr="005C7CCE">
        <w:rPr>
          <w:color w:val="000000"/>
        </w:rPr>
        <w:t>2013, un certain nombre de propositions ont été avancées par des États membres sur les thèmes susvisés, démontrant l</w:t>
      </w:r>
      <w:r w:rsidR="00A20444" w:rsidRPr="005C7CCE">
        <w:rPr>
          <w:color w:val="000000"/>
        </w:rPr>
        <w:t>’</w:t>
      </w:r>
      <w:r w:rsidRPr="005C7CCE">
        <w:rPr>
          <w:color w:val="000000"/>
        </w:rPr>
        <w:t xml:space="preserve">engagement des États membres dans le processus du SCP. </w:t>
      </w:r>
      <w:r w:rsidR="0010442A" w:rsidRPr="005C7CCE">
        <w:rPr>
          <w:color w:val="000000"/>
        </w:rPr>
        <w:t xml:space="preserve"> </w:t>
      </w:r>
      <w:r w:rsidRPr="005C7CCE">
        <w:rPr>
          <w:color w:val="000000"/>
        </w:rPr>
        <w:t>Grâce à la participation active des États membres, les discussions qui se sont tenues au sein du comité se sont traduites par une concrétisation progressive de ses activités.</w:t>
      </w:r>
    </w:p>
    <w:p w:rsidR="00D42474" w:rsidRDefault="00D42474" w:rsidP="001A5BF9">
      <w:pPr>
        <w:tabs>
          <w:tab w:val="left" w:pos="709"/>
        </w:tabs>
        <w:autoSpaceDE w:val="0"/>
        <w:autoSpaceDN w:val="0"/>
        <w:adjustRightInd w:val="0"/>
        <w:jc w:val="both"/>
        <w:rPr>
          <w:rFonts w:eastAsia="SimSun" w:cs="Arial"/>
          <w:bCs/>
          <w:color w:val="000000"/>
          <w:sz w:val="16"/>
          <w:szCs w:val="20"/>
        </w:rPr>
      </w:pPr>
    </w:p>
    <w:p w:rsidR="00D42474" w:rsidRDefault="00F40E87" w:rsidP="001A5BF9">
      <w:pPr>
        <w:tabs>
          <w:tab w:val="left" w:pos="709"/>
        </w:tabs>
        <w:autoSpaceDE w:val="0"/>
        <w:autoSpaceDN w:val="0"/>
        <w:adjustRightInd w:val="0"/>
        <w:jc w:val="both"/>
        <w:rPr>
          <w:rFonts w:eastAsia="SimSun" w:cs="Arial"/>
          <w:bCs/>
          <w:color w:val="000000"/>
          <w:szCs w:val="20"/>
        </w:rPr>
      </w:pPr>
      <w:r w:rsidRPr="005C7CCE">
        <w:rPr>
          <w:color w:val="000000"/>
        </w:rPr>
        <w:t>1.3.</w:t>
      </w:r>
      <w:r w:rsidRPr="005C7CCE">
        <w:rPr>
          <w:color w:val="000000"/>
        </w:rPr>
        <w:tab/>
        <w:t>En ce qui concerne les traités administrés par l</w:t>
      </w:r>
      <w:r w:rsidR="00A20444" w:rsidRPr="005C7CCE">
        <w:rPr>
          <w:color w:val="000000"/>
        </w:rPr>
        <w:t>’</w:t>
      </w:r>
      <w:r w:rsidRPr="005C7CCE">
        <w:rPr>
          <w:color w:val="000000"/>
        </w:rPr>
        <w:t>OMPI dans le domaine des brevets, en 2012</w:t>
      </w:r>
      <w:r w:rsidR="002D6F2A" w:rsidRPr="005C7CCE">
        <w:rPr>
          <w:color w:val="000000"/>
        </w:rPr>
        <w:noBreakHyphen/>
      </w:r>
      <w:r w:rsidRPr="005C7CCE">
        <w:rPr>
          <w:color w:val="000000"/>
        </w:rPr>
        <w:t>2013, Samoa a intégré la Convention de Paris;</w:t>
      </w:r>
      <w:r w:rsidR="004F3E42" w:rsidRPr="005C7CCE">
        <w:rPr>
          <w:color w:val="000000"/>
        </w:rPr>
        <w:t xml:space="preserve"> </w:t>
      </w:r>
      <w:r w:rsidR="0010442A" w:rsidRPr="005C7CCE">
        <w:rPr>
          <w:color w:val="000000"/>
        </w:rPr>
        <w:t xml:space="preserve"> </w:t>
      </w:r>
      <w:r w:rsidRPr="005C7CCE">
        <w:rPr>
          <w:color w:val="000000"/>
        </w:rPr>
        <w:t>l</w:t>
      </w:r>
      <w:r w:rsidR="00A20444" w:rsidRPr="005C7CCE">
        <w:rPr>
          <w:color w:val="000000"/>
        </w:rPr>
        <w:t>’Arabie saoudite</w:t>
      </w:r>
      <w:r w:rsidRPr="005C7CCE">
        <w:rPr>
          <w:color w:val="000000"/>
        </w:rPr>
        <w:t>, l</w:t>
      </w:r>
      <w:r w:rsidR="00A20444" w:rsidRPr="005C7CCE">
        <w:rPr>
          <w:color w:val="000000"/>
        </w:rPr>
        <w:t>’</w:t>
      </w:r>
      <w:r w:rsidRPr="005C7CCE">
        <w:rPr>
          <w:color w:val="000000"/>
        </w:rPr>
        <w:t>Arménie, la Bosnie</w:t>
      </w:r>
      <w:r w:rsidR="002D6F2A" w:rsidRPr="005C7CCE">
        <w:rPr>
          <w:color w:val="000000"/>
        </w:rPr>
        <w:noBreakHyphen/>
      </w:r>
      <w:r w:rsidRPr="005C7CCE">
        <w:rPr>
          <w:color w:val="000000"/>
        </w:rPr>
        <w:t>Herzégovine, l</w:t>
      </w:r>
      <w:r w:rsidR="00A20444" w:rsidRPr="005C7CCE">
        <w:rPr>
          <w:color w:val="000000"/>
        </w:rPr>
        <w:t>’</w:t>
      </w:r>
      <w:r w:rsidRPr="005C7CCE">
        <w:rPr>
          <w:color w:val="000000"/>
        </w:rPr>
        <w:t>Espagne, les États</w:t>
      </w:r>
      <w:r w:rsidR="002D6F2A" w:rsidRPr="005C7CCE">
        <w:rPr>
          <w:color w:val="000000"/>
        </w:rPr>
        <w:noBreakHyphen/>
      </w:r>
      <w:r w:rsidRPr="005C7CCE">
        <w:rPr>
          <w:color w:val="000000"/>
        </w:rPr>
        <w:t>Unis d</w:t>
      </w:r>
      <w:r w:rsidR="00A20444" w:rsidRPr="005C7CCE">
        <w:rPr>
          <w:color w:val="000000"/>
        </w:rPr>
        <w:t>’</w:t>
      </w:r>
      <w:r w:rsidRPr="005C7CCE">
        <w:rPr>
          <w:color w:val="000000"/>
        </w:rPr>
        <w:t>Amérique et l</w:t>
      </w:r>
      <w:r w:rsidR="00A20444" w:rsidRPr="005C7CCE">
        <w:rPr>
          <w:color w:val="000000"/>
        </w:rPr>
        <w:t>’</w:t>
      </w:r>
      <w:r w:rsidRPr="005C7CCE">
        <w:rPr>
          <w:color w:val="000000"/>
        </w:rPr>
        <w:t>Irlande ont adhéré au Traité sur le droit des brevets (PLT);</w:t>
      </w:r>
      <w:r w:rsidR="004F3E42" w:rsidRPr="005C7CCE">
        <w:rPr>
          <w:color w:val="000000"/>
        </w:rPr>
        <w:t xml:space="preserve"> </w:t>
      </w:r>
      <w:r w:rsidR="0010442A" w:rsidRPr="005C7CCE">
        <w:rPr>
          <w:color w:val="000000"/>
        </w:rPr>
        <w:t xml:space="preserve"> </w:t>
      </w:r>
      <w:r w:rsidRPr="005C7CCE">
        <w:rPr>
          <w:color w:val="000000"/>
        </w:rPr>
        <w:t xml:space="preserve">et Bahreïn, </w:t>
      </w:r>
      <w:proofErr w:type="spellStart"/>
      <w:r w:rsidRPr="005C7CCE">
        <w:rPr>
          <w:color w:val="000000"/>
        </w:rPr>
        <w:t>Brunéi</w:t>
      </w:r>
      <w:proofErr w:type="spellEnd"/>
      <w:r w:rsidRPr="005C7CCE">
        <w:rPr>
          <w:color w:val="000000"/>
        </w:rPr>
        <w:t xml:space="preserve"> Darussalam, Panama ainsi que le Qatar sont devenus parties au Traité de Budapest.</w:t>
      </w:r>
    </w:p>
    <w:p w:rsidR="00D42474" w:rsidRDefault="00D42474" w:rsidP="001A5BF9">
      <w:pPr>
        <w:tabs>
          <w:tab w:val="left" w:pos="709"/>
        </w:tabs>
        <w:autoSpaceDE w:val="0"/>
        <w:autoSpaceDN w:val="0"/>
        <w:adjustRightInd w:val="0"/>
        <w:jc w:val="both"/>
        <w:rPr>
          <w:rFonts w:eastAsia="SimSun" w:cs="Arial"/>
          <w:bCs/>
          <w:color w:val="000000"/>
          <w:sz w:val="16"/>
          <w:szCs w:val="20"/>
        </w:rPr>
      </w:pPr>
    </w:p>
    <w:p w:rsidR="00D42474" w:rsidRDefault="00F40E87" w:rsidP="001A5BF9">
      <w:pPr>
        <w:tabs>
          <w:tab w:val="left" w:pos="709"/>
        </w:tabs>
        <w:autoSpaceDE w:val="0"/>
        <w:autoSpaceDN w:val="0"/>
        <w:adjustRightInd w:val="0"/>
        <w:jc w:val="both"/>
        <w:rPr>
          <w:rFonts w:eastAsia="SimSun" w:cs="Arial"/>
          <w:bCs/>
          <w:color w:val="000000"/>
          <w:spacing w:val="-2"/>
          <w:szCs w:val="20"/>
        </w:rPr>
      </w:pPr>
      <w:r w:rsidRPr="005C7CCE">
        <w:rPr>
          <w:color w:val="000000"/>
          <w:spacing w:val="-2"/>
        </w:rPr>
        <w:t>1.4.</w:t>
      </w:r>
      <w:r w:rsidRPr="005C7CCE">
        <w:rPr>
          <w:color w:val="000000"/>
          <w:spacing w:val="-2"/>
        </w:rPr>
        <w:tab/>
        <w:t>Dans les domaines législatif et politique, l</w:t>
      </w:r>
      <w:r w:rsidR="00A20444" w:rsidRPr="005C7CCE">
        <w:rPr>
          <w:color w:val="000000"/>
          <w:spacing w:val="-2"/>
        </w:rPr>
        <w:t>’</w:t>
      </w:r>
      <w:r w:rsidRPr="005C7CCE">
        <w:rPr>
          <w:color w:val="000000"/>
          <w:spacing w:val="-2"/>
        </w:rPr>
        <w:t>assistance de l</w:t>
      </w:r>
      <w:r w:rsidR="00A20444" w:rsidRPr="005C7CCE">
        <w:rPr>
          <w:color w:val="000000"/>
          <w:spacing w:val="-2"/>
        </w:rPr>
        <w:t>’</w:t>
      </w:r>
      <w:r w:rsidRPr="005C7CCE">
        <w:rPr>
          <w:color w:val="000000"/>
          <w:spacing w:val="-2"/>
        </w:rPr>
        <w:t>OMPI s</w:t>
      </w:r>
      <w:r w:rsidR="00A20444" w:rsidRPr="005C7CCE">
        <w:rPr>
          <w:color w:val="000000"/>
          <w:spacing w:val="-2"/>
        </w:rPr>
        <w:t>’</w:t>
      </w:r>
      <w:r w:rsidRPr="005C7CCE">
        <w:rPr>
          <w:color w:val="000000"/>
          <w:spacing w:val="-2"/>
        </w:rPr>
        <w:t xml:space="preserve">est toujours fondée sur le cadre juridique multilatéral. </w:t>
      </w:r>
      <w:r w:rsidR="0010442A" w:rsidRPr="005C7CCE">
        <w:rPr>
          <w:color w:val="000000"/>
          <w:spacing w:val="-2"/>
        </w:rPr>
        <w:t xml:space="preserve"> </w:t>
      </w:r>
      <w:r w:rsidRPr="005C7CCE">
        <w:rPr>
          <w:color w:val="000000"/>
          <w:spacing w:val="-2"/>
        </w:rPr>
        <w:t>Les activités législatives des États membres ont évolué, en particulier grâce à leur participation aux processus régionaux d</w:t>
      </w:r>
      <w:r w:rsidR="00A20444" w:rsidRPr="005C7CCE">
        <w:rPr>
          <w:color w:val="000000"/>
          <w:spacing w:val="-2"/>
        </w:rPr>
        <w:t>’</w:t>
      </w:r>
      <w:r w:rsidRPr="005C7CCE">
        <w:rPr>
          <w:color w:val="000000"/>
          <w:spacing w:val="-2"/>
        </w:rPr>
        <w:t>intégration économique et à des accords bilatéraux de libre</w:t>
      </w:r>
      <w:r w:rsidR="002D6F2A" w:rsidRPr="005C7CCE">
        <w:rPr>
          <w:color w:val="000000"/>
          <w:spacing w:val="-2"/>
        </w:rPr>
        <w:noBreakHyphen/>
      </w:r>
      <w:r w:rsidRPr="005C7CCE">
        <w:rPr>
          <w:color w:val="000000"/>
          <w:spacing w:val="-2"/>
        </w:rPr>
        <w:t xml:space="preserve">échange. </w:t>
      </w:r>
      <w:r w:rsidR="0010442A" w:rsidRPr="005C7CCE">
        <w:rPr>
          <w:color w:val="000000"/>
          <w:spacing w:val="-2"/>
        </w:rPr>
        <w:t xml:space="preserve"> </w:t>
      </w:r>
      <w:r w:rsidRPr="005C7CCE">
        <w:rPr>
          <w:color w:val="000000"/>
          <w:spacing w:val="-2"/>
        </w:rPr>
        <w:t>En outre, un certain nombre d</w:t>
      </w:r>
      <w:r w:rsidR="00A20444" w:rsidRPr="005C7CCE">
        <w:rPr>
          <w:color w:val="000000"/>
          <w:spacing w:val="-2"/>
        </w:rPr>
        <w:t>’</w:t>
      </w:r>
      <w:r w:rsidRPr="005C7CCE">
        <w:rPr>
          <w:color w:val="000000"/>
          <w:spacing w:val="-2"/>
        </w:rPr>
        <w:t xml:space="preserve">États membres révisent leur droit des brevets en fonction de leurs politiques publiques locales ou de leur adhésion aux traités multilatéraux relatifs aux brevets, </w:t>
      </w:r>
      <w:r w:rsidR="00A20444" w:rsidRPr="005C7CCE">
        <w:rPr>
          <w:color w:val="000000"/>
          <w:spacing w:val="-2"/>
        </w:rPr>
        <w:t>à savoir le PCT</w:t>
      </w:r>
      <w:r w:rsidRPr="005C7CCE">
        <w:rPr>
          <w:color w:val="000000"/>
          <w:spacing w:val="-2"/>
        </w:rPr>
        <w:t>, Budapest et</w:t>
      </w:r>
      <w:r w:rsidR="00A20444" w:rsidRPr="005C7CCE">
        <w:rPr>
          <w:color w:val="000000"/>
          <w:spacing w:val="-2"/>
        </w:rPr>
        <w:t xml:space="preserve"> le PLT</w:t>
      </w:r>
      <w:r w:rsidRPr="005C7CCE">
        <w:rPr>
          <w:color w:val="000000"/>
          <w:spacing w:val="-2"/>
        </w:rPr>
        <w:t xml:space="preserve">. </w:t>
      </w:r>
      <w:r w:rsidR="0010442A" w:rsidRPr="005C7CCE">
        <w:rPr>
          <w:color w:val="000000"/>
          <w:spacing w:val="-2"/>
        </w:rPr>
        <w:t xml:space="preserve"> </w:t>
      </w:r>
      <w:r w:rsidRPr="005C7CCE">
        <w:rPr>
          <w:color w:val="000000"/>
          <w:spacing w:val="-2"/>
        </w:rPr>
        <w:t>Il va sans dire que les pays qui intègrent l</w:t>
      </w:r>
      <w:r w:rsidR="00A20444" w:rsidRPr="005C7CCE">
        <w:rPr>
          <w:color w:val="000000"/>
          <w:spacing w:val="-2"/>
        </w:rPr>
        <w:t>’</w:t>
      </w:r>
      <w:r w:rsidRPr="005C7CCE">
        <w:rPr>
          <w:color w:val="000000"/>
          <w:spacing w:val="-2"/>
        </w:rPr>
        <w:t>OMC révisent systématiquement leur cadre juridique.</w:t>
      </w:r>
      <w:r w:rsidR="0010442A" w:rsidRPr="005C7CCE">
        <w:rPr>
          <w:color w:val="000000"/>
          <w:spacing w:val="-2"/>
        </w:rPr>
        <w:t xml:space="preserve"> </w:t>
      </w:r>
      <w:r w:rsidRPr="005C7CCE">
        <w:rPr>
          <w:color w:val="000000"/>
          <w:spacing w:val="-2"/>
        </w:rPr>
        <w:t xml:space="preserve"> Les demandes de conseils en matière de législation suivent donc la même tendance.</w:t>
      </w:r>
    </w:p>
    <w:p w:rsidR="00D42474" w:rsidRDefault="00D42474" w:rsidP="001A5BF9">
      <w:pPr>
        <w:tabs>
          <w:tab w:val="left" w:pos="709"/>
        </w:tabs>
        <w:autoSpaceDE w:val="0"/>
        <w:autoSpaceDN w:val="0"/>
        <w:adjustRightInd w:val="0"/>
        <w:jc w:val="both"/>
        <w:rPr>
          <w:rFonts w:eastAsia="SimSun" w:cs="Arial"/>
          <w:bCs/>
          <w:color w:val="000000"/>
          <w:sz w:val="16"/>
          <w:szCs w:val="20"/>
        </w:rPr>
      </w:pPr>
    </w:p>
    <w:p w:rsidR="00D42474" w:rsidRDefault="00F40E87" w:rsidP="001A5BF9">
      <w:pPr>
        <w:tabs>
          <w:tab w:val="left" w:pos="709"/>
        </w:tabs>
        <w:autoSpaceDE w:val="0"/>
        <w:autoSpaceDN w:val="0"/>
        <w:adjustRightInd w:val="0"/>
        <w:jc w:val="both"/>
        <w:rPr>
          <w:spacing w:val="-4"/>
          <w:szCs w:val="22"/>
        </w:rPr>
      </w:pPr>
      <w:r w:rsidRPr="005C7CCE">
        <w:rPr>
          <w:color w:val="000000"/>
          <w:spacing w:val="-4"/>
        </w:rPr>
        <w:t>1.5.</w:t>
      </w:r>
      <w:r w:rsidRPr="005C7CCE">
        <w:rPr>
          <w:color w:val="000000"/>
          <w:spacing w:val="-4"/>
        </w:rPr>
        <w:tab/>
      </w:r>
      <w:r w:rsidRPr="005C7CCE">
        <w:rPr>
          <w:spacing w:val="-4"/>
        </w:rPr>
        <w:t>Par ailleurs, lors de l</w:t>
      </w:r>
      <w:r w:rsidR="00A20444" w:rsidRPr="005C7CCE">
        <w:rPr>
          <w:spacing w:val="-4"/>
        </w:rPr>
        <w:t>’</w:t>
      </w:r>
      <w:r w:rsidRPr="005C7CCE">
        <w:rPr>
          <w:spacing w:val="-4"/>
        </w:rPr>
        <w:t>exercice biennal, le Secrétariat a poursuivi sa contribution afin de promouvoir la sensibilisation aux principes et pratiques juridiques du système des brevets, et ce par le biais d</w:t>
      </w:r>
      <w:r w:rsidR="00A20444" w:rsidRPr="005C7CCE">
        <w:rPr>
          <w:spacing w:val="-4"/>
        </w:rPr>
        <w:t>’</w:t>
      </w:r>
      <w:r w:rsidRPr="005C7CCE">
        <w:rPr>
          <w:spacing w:val="-4"/>
        </w:rPr>
        <w:t>apport d</w:t>
      </w:r>
      <w:r w:rsidR="00A20444" w:rsidRPr="005C7CCE">
        <w:rPr>
          <w:spacing w:val="-4"/>
        </w:rPr>
        <w:t>’</w:t>
      </w:r>
      <w:r w:rsidRPr="005C7CCE">
        <w:rPr>
          <w:spacing w:val="-4"/>
        </w:rPr>
        <w:t xml:space="preserve">informations pertinentes aux organisations intergouvernementales, aux organes des </w:t>
      </w:r>
      <w:r w:rsidR="00A20444" w:rsidRPr="005C7CCE">
        <w:rPr>
          <w:spacing w:val="-4"/>
        </w:rPr>
        <w:t>Nations Unies</w:t>
      </w:r>
      <w:r w:rsidRPr="005C7CCE">
        <w:rPr>
          <w:spacing w:val="-4"/>
        </w:rPr>
        <w:t>, aux organisations non gouvernementales (ONG) et aux autres parties sur des sujets couverts par ce programme.</w:t>
      </w:r>
    </w:p>
    <w:p w:rsidR="00D42474" w:rsidRDefault="00D42474" w:rsidP="001A5BF9">
      <w:pPr>
        <w:tabs>
          <w:tab w:val="left" w:pos="709"/>
        </w:tabs>
        <w:autoSpaceDE w:val="0"/>
        <w:autoSpaceDN w:val="0"/>
        <w:adjustRightInd w:val="0"/>
        <w:jc w:val="both"/>
        <w:rPr>
          <w:sz w:val="16"/>
          <w:szCs w:val="20"/>
        </w:rPr>
      </w:pPr>
    </w:p>
    <w:p w:rsidR="00D42474" w:rsidRDefault="00D42474" w:rsidP="001A5BF9">
      <w:pPr>
        <w:tabs>
          <w:tab w:val="left" w:pos="709"/>
        </w:tabs>
        <w:autoSpaceDE w:val="0"/>
        <w:autoSpaceDN w:val="0"/>
        <w:adjustRightInd w:val="0"/>
        <w:jc w:val="both"/>
        <w:rPr>
          <w:sz w:val="16"/>
          <w:szCs w:val="20"/>
        </w:rPr>
      </w:pPr>
    </w:p>
    <w:p w:rsidR="00D42474" w:rsidRDefault="00F40E87" w:rsidP="001A5BF9">
      <w:r w:rsidRPr="00761625">
        <w:rPr>
          <w:sz w:val="22"/>
        </w:rPr>
        <w:t>MISE EN ŒUVRE DU PLAN D</w:t>
      </w:r>
      <w:r w:rsidR="00A20444" w:rsidRPr="00761625">
        <w:rPr>
          <w:sz w:val="22"/>
        </w:rPr>
        <w:t>’</w:t>
      </w:r>
      <w:r w:rsidRPr="00761625">
        <w:rPr>
          <w:sz w:val="22"/>
        </w:rPr>
        <w:t>ACTION POUR LE DÉVELOPPEMENT</w:t>
      </w:r>
    </w:p>
    <w:p w:rsidR="00D42474" w:rsidRDefault="00D42474" w:rsidP="001A5BF9">
      <w:pPr>
        <w:autoSpaceDE w:val="0"/>
        <w:autoSpaceDN w:val="0"/>
        <w:adjustRightInd w:val="0"/>
        <w:jc w:val="both"/>
        <w:rPr>
          <w:sz w:val="16"/>
          <w:szCs w:val="20"/>
        </w:rPr>
      </w:pPr>
    </w:p>
    <w:p w:rsidR="00D42474" w:rsidRDefault="00F40E87" w:rsidP="001A5BF9">
      <w:pPr>
        <w:tabs>
          <w:tab w:val="left" w:pos="709"/>
        </w:tabs>
        <w:autoSpaceDE w:val="0"/>
        <w:autoSpaceDN w:val="0"/>
        <w:adjustRightInd w:val="0"/>
        <w:jc w:val="both"/>
        <w:rPr>
          <w:spacing w:val="-4"/>
          <w:szCs w:val="22"/>
        </w:rPr>
      </w:pPr>
      <w:r w:rsidRPr="006851DA">
        <w:rPr>
          <w:spacing w:val="-4"/>
        </w:rPr>
        <w:t>1.6.</w:t>
      </w:r>
      <w:r w:rsidRPr="006851DA">
        <w:rPr>
          <w:spacing w:val="-4"/>
        </w:rPr>
        <w:tab/>
        <w:t>La conception, la préparation et la mise en œuvre des activités du programme 1 ont été guidées et structurées par les recommandations pertinentes du Plan d</w:t>
      </w:r>
      <w:r w:rsidR="00A20444" w:rsidRPr="006851DA">
        <w:rPr>
          <w:spacing w:val="-4"/>
        </w:rPr>
        <w:t>’</w:t>
      </w:r>
      <w:r w:rsidRPr="006851DA">
        <w:rPr>
          <w:spacing w:val="-4"/>
        </w:rPr>
        <w:t>action pour le développement.</w:t>
      </w:r>
      <w:r w:rsidR="004F3E42" w:rsidRPr="006851DA">
        <w:rPr>
          <w:spacing w:val="-4"/>
        </w:rPr>
        <w:t xml:space="preserve"> </w:t>
      </w:r>
      <w:r w:rsidR="0010442A" w:rsidRPr="006851DA">
        <w:rPr>
          <w:spacing w:val="-4"/>
        </w:rPr>
        <w:t xml:space="preserve"> </w:t>
      </w:r>
      <w:r w:rsidRPr="006851DA">
        <w:rPr>
          <w:spacing w:val="-4"/>
        </w:rPr>
        <w:t>Les débats relatifs à l</w:t>
      </w:r>
      <w:r w:rsidR="00A20444" w:rsidRPr="006851DA">
        <w:rPr>
          <w:spacing w:val="-4"/>
        </w:rPr>
        <w:t>’</w:t>
      </w:r>
      <w:r w:rsidRPr="006851DA">
        <w:rPr>
          <w:spacing w:val="-4"/>
        </w:rPr>
        <w:t>évolution progressive du système international des brevets au sein</w:t>
      </w:r>
      <w:r w:rsidR="00A20444" w:rsidRPr="006851DA">
        <w:rPr>
          <w:spacing w:val="-4"/>
        </w:rPr>
        <w:t xml:space="preserve"> du SCP</w:t>
      </w:r>
      <w:r w:rsidRPr="006851DA">
        <w:rPr>
          <w:spacing w:val="-4"/>
        </w:rPr>
        <w:t xml:space="preserve"> ont continué d</w:t>
      </w:r>
      <w:r w:rsidR="00A20444" w:rsidRPr="006851DA">
        <w:rPr>
          <w:spacing w:val="-4"/>
        </w:rPr>
        <w:t>’</w:t>
      </w:r>
      <w:r w:rsidRPr="006851DA">
        <w:rPr>
          <w:spacing w:val="-4"/>
        </w:rPr>
        <w:t>être exhaustifs et réalisés à l</w:t>
      </w:r>
      <w:r w:rsidR="00A20444" w:rsidRPr="006851DA">
        <w:rPr>
          <w:spacing w:val="-4"/>
        </w:rPr>
        <w:t>’</w:t>
      </w:r>
      <w:r w:rsidRPr="006851DA">
        <w:rPr>
          <w:spacing w:val="-4"/>
        </w:rPr>
        <w:t>initiative des membres.</w:t>
      </w:r>
      <w:r w:rsidR="004F3E42" w:rsidRPr="006851DA">
        <w:rPr>
          <w:spacing w:val="-4"/>
        </w:rPr>
        <w:t xml:space="preserve"> </w:t>
      </w:r>
      <w:r w:rsidR="0010442A" w:rsidRPr="006851DA">
        <w:rPr>
          <w:spacing w:val="-4"/>
        </w:rPr>
        <w:t xml:space="preserve"> </w:t>
      </w:r>
      <w:r w:rsidRPr="006851DA">
        <w:rPr>
          <w:spacing w:val="-4"/>
        </w:rPr>
        <w:t>Ils ont pris en compte les différents niveaux de développement, se fondant ainsi sur une approche participative qui s</w:t>
      </w:r>
      <w:r w:rsidR="00A20444" w:rsidRPr="006851DA">
        <w:rPr>
          <w:spacing w:val="-4"/>
        </w:rPr>
        <w:t>’</w:t>
      </w:r>
      <w:r w:rsidRPr="006851DA">
        <w:rPr>
          <w:spacing w:val="-4"/>
        </w:rPr>
        <w:t>inscrit dans le principe de neutralité du Secrétariat de l</w:t>
      </w:r>
      <w:r w:rsidR="00A20444" w:rsidRPr="006851DA">
        <w:rPr>
          <w:spacing w:val="-4"/>
        </w:rPr>
        <w:t>’</w:t>
      </w:r>
      <w:r w:rsidRPr="006851DA">
        <w:rPr>
          <w:spacing w:val="-4"/>
        </w:rPr>
        <w:t>OMPI (recommandation n° 15).</w:t>
      </w:r>
      <w:r w:rsidR="004F3E42" w:rsidRPr="006851DA">
        <w:rPr>
          <w:spacing w:val="-4"/>
        </w:rPr>
        <w:t xml:space="preserve"> </w:t>
      </w:r>
      <w:r w:rsidR="0010442A" w:rsidRPr="006851DA">
        <w:rPr>
          <w:spacing w:val="-4"/>
        </w:rPr>
        <w:t xml:space="preserve"> </w:t>
      </w:r>
      <w:r w:rsidRPr="006851DA">
        <w:rPr>
          <w:spacing w:val="-4"/>
        </w:rPr>
        <w:t>Les discussions ont aussi pris en compte les éléments de flexibilité prévus dans les instruments internationaux relatifs à la propriété intellectuelle (recommandation n° 17).</w:t>
      </w:r>
      <w:r w:rsidR="0010442A" w:rsidRPr="006851DA">
        <w:rPr>
          <w:spacing w:val="-4"/>
        </w:rPr>
        <w:t xml:space="preserve">  </w:t>
      </w:r>
      <w:r w:rsidRPr="006851DA">
        <w:rPr>
          <w:spacing w:val="-4"/>
        </w:rPr>
        <w:t>Les activités</w:t>
      </w:r>
      <w:r w:rsidR="00A20444" w:rsidRPr="006851DA">
        <w:rPr>
          <w:spacing w:val="-4"/>
        </w:rPr>
        <w:t xml:space="preserve"> du SCP</w:t>
      </w:r>
      <w:r w:rsidRPr="006851DA">
        <w:rPr>
          <w:spacing w:val="-4"/>
        </w:rPr>
        <w:t xml:space="preserve"> se sont fondées sur des consultations ouvertes et équilibrées (recommandations n</w:t>
      </w:r>
      <w:r w:rsidRPr="006851DA">
        <w:rPr>
          <w:spacing w:val="-4"/>
          <w:vertAlign w:val="superscript"/>
        </w:rPr>
        <w:t>os</w:t>
      </w:r>
      <w:r w:rsidRPr="006851DA">
        <w:rPr>
          <w:spacing w:val="-4"/>
        </w:rPr>
        <w:t xml:space="preserve"> 21 et 42) tout en soutenant les objectifs de développement des </w:t>
      </w:r>
      <w:r w:rsidR="00A20444" w:rsidRPr="006851DA">
        <w:rPr>
          <w:spacing w:val="-4"/>
        </w:rPr>
        <w:t>Nations Unies</w:t>
      </w:r>
      <w:r w:rsidRPr="006851DA">
        <w:rPr>
          <w:spacing w:val="-4"/>
        </w:rPr>
        <w:t xml:space="preserve"> (recommandation n° 22).</w:t>
      </w:r>
      <w:r w:rsidR="004F3E42" w:rsidRPr="006851DA">
        <w:rPr>
          <w:spacing w:val="-4"/>
        </w:rPr>
        <w:t xml:space="preserve"> </w:t>
      </w:r>
      <w:r w:rsidR="0010442A" w:rsidRPr="006851DA">
        <w:rPr>
          <w:spacing w:val="-4"/>
        </w:rPr>
        <w:t xml:space="preserve"> </w:t>
      </w:r>
      <w:r w:rsidRPr="006851DA">
        <w:rPr>
          <w:spacing w:val="-4"/>
        </w:rPr>
        <w:t>En particulier, conformément à la recommandation n° 22, les documents de travail du SCP ont abordé des questions telles que : i) le transfert de technologie en rapport avec la propriété intellectuelle;</w:t>
      </w:r>
      <w:r w:rsidR="004F3E42" w:rsidRPr="006851DA">
        <w:rPr>
          <w:spacing w:val="-4"/>
        </w:rPr>
        <w:t xml:space="preserve"> </w:t>
      </w:r>
      <w:r w:rsidR="0010442A" w:rsidRPr="006851DA">
        <w:rPr>
          <w:spacing w:val="-4"/>
        </w:rPr>
        <w:t xml:space="preserve"> </w:t>
      </w:r>
      <w:r w:rsidRPr="006851DA">
        <w:rPr>
          <w:spacing w:val="-4"/>
        </w:rPr>
        <w:t>et ii) les éléments de flexibilité potentiels, les exceptions et les limitations pour les États membres.</w:t>
      </w:r>
    </w:p>
    <w:p w:rsidR="00D42474" w:rsidRDefault="00D42474" w:rsidP="001A5BF9">
      <w:pPr>
        <w:autoSpaceDE w:val="0"/>
        <w:autoSpaceDN w:val="0"/>
        <w:adjustRightInd w:val="0"/>
        <w:jc w:val="both"/>
        <w:rPr>
          <w:sz w:val="18"/>
          <w:szCs w:val="22"/>
        </w:rPr>
      </w:pPr>
    </w:p>
    <w:p w:rsidR="00D42474" w:rsidRDefault="00F40E87" w:rsidP="001A5BF9">
      <w:pPr>
        <w:tabs>
          <w:tab w:val="left" w:pos="709"/>
        </w:tabs>
        <w:autoSpaceDE w:val="0"/>
        <w:autoSpaceDN w:val="0"/>
        <w:adjustRightInd w:val="0"/>
        <w:jc w:val="both"/>
        <w:rPr>
          <w:szCs w:val="20"/>
        </w:rPr>
      </w:pPr>
      <w:r w:rsidRPr="00D10EBC">
        <w:rPr>
          <w:szCs w:val="20"/>
        </w:rPr>
        <w:t>1.7.</w:t>
      </w:r>
      <w:r w:rsidRPr="00D10EBC">
        <w:rPr>
          <w:szCs w:val="20"/>
        </w:rPr>
        <w:tab/>
        <w:t>Les activités d</w:t>
      </w:r>
      <w:r w:rsidR="00A20444" w:rsidRPr="00D10EBC">
        <w:rPr>
          <w:szCs w:val="20"/>
        </w:rPr>
        <w:t>’</w:t>
      </w:r>
      <w:r w:rsidRPr="00D10EBC">
        <w:rPr>
          <w:szCs w:val="20"/>
        </w:rPr>
        <w:t>assistance dans les domaines législatifs et politiques et de renforcement des capacités du programme ont été axées sur le développement, initiées en fonction de la demande et mises en œuvre dans les délais prévus (recommandations n</w:t>
      </w:r>
      <w:r w:rsidRPr="00D10EBC">
        <w:rPr>
          <w:szCs w:val="20"/>
          <w:vertAlign w:val="superscript"/>
        </w:rPr>
        <w:t>os</w:t>
      </w:r>
      <w:r w:rsidRPr="00D10EBC">
        <w:rPr>
          <w:szCs w:val="20"/>
        </w:rPr>
        <w:t> 1, 13 et 14).</w:t>
      </w:r>
    </w:p>
    <w:p w:rsidR="00D42474" w:rsidRDefault="00D42474" w:rsidP="001A5BF9">
      <w:pPr>
        <w:tabs>
          <w:tab w:val="left" w:pos="709"/>
        </w:tabs>
        <w:autoSpaceDE w:val="0"/>
        <w:autoSpaceDN w:val="0"/>
        <w:adjustRightInd w:val="0"/>
        <w:jc w:val="both"/>
        <w:rPr>
          <w:szCs w:val="20"/>
        </w:rPr>
      </w:pPr>
    </w:p>
    <w:p w:rsidR="00D42474" w:rsidRDefault="00F40E87" w:rsidP="001A5BF9">
      <w:pPr>
        <w:tabs>
          <w:tab w:val="left" w:pos="709"/>
        </w:tabs>
        <w:autoSpaceDE w:val="0"/>
        <w:autoSpaceDN w:val="0"/>
        <w:adjustRightInd w:val="0"/>
        <w:jc w:val="both"/>
        <w:rPr>
          <w:szCs w:val="22"/>
        </w:rPr>
      </w:pPr>
      <w:r w:rsidRPr="005C7CCE">
        <w:t>1.8.</w:t>
      </w:r>
      <w:r w:rsidRPr="005C7CCE">
        <w:tab/>
        <w:t>En outre, conformément aux recommandations n</w:t>
      </w:r>
      <w:r w:rsidRPr="003133EE">
        <w:rPr>
          <w:vertAlign w:val="superscript"/>
        </w:rPr>
        <w:t>os</w:t>
      </w:r>
      <w:r w:rsidRPr="005C7CCE">
        <w:t xml:space="preserve"> 16 et 20, ce programme a été lancé dans le cadre de la mise en œuvre du </w:t>
      </w:r>
      <w:r w:rsidR="003133EE">
        <w:t>p</w:t>
      </w:r>
      <w:r w:rsidRPr="005C7CCE">
        <w:t>rojet sur les brevets et le domaine public du Plan d</w:t>
      </w:r>
      <w:r w:rsidR="00A20444" w:rsidRPr="005C7CCE">
        <w:t>’</w:t>
      </w:r>
      <w:r w:rsidRPr="005C7CCE">
        <w:t xml:space="preserve">action pour le développement. </w:t>
      </w:r>
      <w:r w:rsidR="0010442A" w:rsidRPr="005C7CCE">
        <w:t xml:space="preserve"> </w:t>
      </w:r>
      <w:r w:rsidRPr="005C7CCE">
        <w:t xml:space="preserve">À cet égard, une Étude sur les brevets et le domaine public (II) a été présentée à la douzième session du CDIP. </w:t>
      </w:r>
      <w:r w:rsidR="0010442A" w:rsidRPr="005C7CCE">
        <w:t xml:space="preserve"> </w:t>
      </w:r>
      <w:r w:rsidRPr="005C7CCE">
        <w:t>Le programme a également contribué à l</w:t>
      </w:r>
      <w:r w:rsidR="00A20444" w:rsidRPr="005C7CCE">
        <w:t>’</w:t>
      </w:r>
      <w:r w:rsidRPr="005C7CCE">
        <w:t>évaluation des projets sur la propriété intellectuelle et le domaine public ainsi que sur les brevets et le domaine public.</w:t>
      </w:r>
    </w:p>
    <w:p w:rsidR="00D42474" w:rsidRDefault="00D42474" w:rsidP="001A5BF9">
      <w:pPr>
        <w:tabs>
          <w:tab w:val="num" w:pos="680"/>
        </w:tabs>
        <w:autoSpaceDE w:val="0"/>
        <w:autoSpaceDN w:val="0"/>
        <w:adjustRightInd w:val="0"/>
        <w:jc w:val="both"/>
        <w:rPr>
          <w:szCs w:val="22"/>
        </w:rPr>
      </w:pPr>
    </w:p>
    <w:p w:rsidR="00D42474" w:rsidRDefault="00F40E87" w:rsidP="001A5BF9">
      <w:pPr>
        <w:tabs>
          <w:tab w:val="left" w:pos="709"/>
        </w:tabs>
        <w:autoSpaceDE w:val="0"/>
        <w:autoSpaceDN w:val="0"/>
        <w:adjustRightInd w:val="0"/>
        <w:jc w:val="both"/>
        <w:rPr>
          <w:szCs w:val="22"/>
        </w:rPr>
      </w:pPr>
      <w:r w:rsidRPr="005C7CCE">
        <w:t>1.9.</w:t>
      </w:r>
      <w:r w:rsidRPr="005C7CCE">
        <w:tab/>
        <w:t xml:space="preserve">Le programme a également présenté un document sur le programme de travail sur les éléments de flexibilité dans le système de propriété intellectuelle, nouveaux éléments proposés à la huitième session du CDIP (CDIP/9/11), lors de la neuvième session du CDIP. </w:t>
      </w:r>
      <w:r w:rsidR="0010442A" w:rsidRPr="005C7CCE">
        <w:t xml:space="preserve"> </w:t>
      </w:r>
      <w:r w:rsidRPr="005C7CCE">
        <w:t>Des documents contenant des informations sur quatre thèmes en rapport avec les éléments de flexibilité relatifs aux brevets (</w:t>
      </w:r>
      <w:proofErr w:type="spellStart"/>
      <w:r w:rsidRPr="005C7CCE">
        <w:t>CDIP10</w:t>
      </w:r>
      <w:proofErr w:type="spellEnd"/>
      <w:r w:rsidRPr="005C7CCE">
        <w:t>/11 et CDIP/10/11</w:t>
      </w:r>
      <w:r w:rsidR="0010442A" w:rsidRPr="005C7CCE">
        <w:t> </w:t>
      </w:r>
      <w:proofErr w:type="spellStart"/>
      <w:r w:rsidRPr="005C7CCE">
        <w:t>Add</w:t>
      </w:r>
      <w:proofErr w:type="spellEnd"/>
      <w:r w:rsidRPr="005C7CCE">
        <w:t xml:space="preserve">.) ont été préparés et débattus par le CDIP lors de </w:t>
      </w:r>
      <w:proofErr w:type="gramStart"/>
      <w:r w:rsidRPr="005C7CCE">
        <w:t>ses dixième</w:t>
      </w:r>
      <w:proofErr w:type="gramEnd"/>
      <w:r w:rsidRPr="005C7CCE">
        <w:t xml:space="preserve"> et onzième sessions.</w:t>
      </w:r>
    </w:p>
    <w:p w:rsidR="00D42474" w:rsidRDefault="00D42474" w:rsidP="001A5BF9">
      <w:pPr>
        <w:tabs>
          <w:tab w:val="num" w:pos="680"/>
        </w:tabs>
        <w:autoSpaceDE w:val="0"/>
        <w:autoSpaceDN w:val="0"/>
        <w:adjustRightInd w:val="0"/>
        <w:jc w:val="both"/>
        <w:rPr>
          <w:szCs w:val="22"/>
        </w:rPr>
      </w:pPr>
    </w:p>
    <w:p w:rsidR="00D42474" w:rsidRDefault="00F40E87" w:rsidP="001A5BF9">
      <w:pPr>
        <w:tabs>
          <w:tab w:val="left" w:pos="709"/>
        </w:tabs>
        <w:autoSpaceDE w:val="0"/>
        <w:autoSpaceDN w:val="0"/>
        <w:adjustRightInd w:val="0"/>
        <w:jc w:val="both"/>
        <w:rPr>
          <w:szCs w:val="22"/>
        </w:rPr>
      </w:pPr>
      <w:r w:rsidRPr="005C7CCE">
        <w:t>1.10.</w:t>
      </w:r>
      <w:r w:rsidRPr="005C7CCE">
        <w:tab/>
        <w:t>Le programme s</w:t>
      </w:r>
      <w:r w:rsidR="00A20444" w:rsidRPr="005C7CCE">
        <w:t>’</w:t>
      </w:r>
      <w:r w:rsidRPr="005C7CCE">
        <w:t>est également engagé dans des activités de sensibilisation sur la mise en œuvre d</w:t>
      </w:r>
      <w:r w:rsidR="00A20444" w:rsidRPr="005C7CCE">
        <w:t>’</w:t>
      </w:r>
      <w:r w:rsidRPr="005C7CCE">
        <w:t>un point de vue pratique des éléments de flexibilité à l</w:t>
      </w:r>
      <w:r w:rsidR="00A20444" w:rsidRPr="005C7CCE">
        <w:t>’</w:t>
      </w:r>
      <w:r w:rsidRPr="005C7CCE">
        <w:t xml:space="preserve">échelle nationale. </w:t>
      </w:r>
      <w:r w:rsidR="0010442A" w:rsidRPr="005C7CCE">
        <w:t xml:space="preserve"> </w:t>
      </w:r>
      <w:r w:rsidRPr="005C7CCE">
        <w:t xml:space="preserve">À cet égard, </w:t>
      </w:r>
      <w:r w:rsidR="003203D3" w:rsidRPr="005C7CCE">
        <w:t xml:space="preserve">en 2013, </w:t>
      </w:r>
      <w:r w:rsidRPr="005C7CCE">
        <w:t>un séminaire régional de l</w:t>
      </w:r>
      <w:r w:rsidR="00A20444" w:rsidRPr="005C7CCE">
        <w:t>’</w:t>
      </w:r>
      <w:r w:rsidRPr="005C7CCE">
        <w:t>OMPI à l</w:t>
      </w:r>
      <w:r w:rsidR="00A20444" w:rsidRPr="005C7CCE">
        <w:t>’</w:t>
      </w:r>
      <w:r w:rsidRPr="005C7CCE">
        <w:t>intention de certains pays d</w:t>
      </w:r>
      <w:r w:rsidR="00A20444" w:rsidRPr="005C7CCE">
        <w:t>’</w:t>
      </w:r>
      <w:r w:rsidRPr="005C7CCE">
        <w:t>Afrique, sur la mise en œuvre et l</w:t>
      </w:r>
      <w:r w:rsidR="00A20444" w:rsidRPr="005C7CCE">
        <w:t>’</w:t>
      </w:r>
      <w:r w:rsidRPr="005C7CCE">
        <w:t>utilisation de plusieurs éléments de flexibilité relatifs aux brevets, a été organisé à Durban (Afrique du Sud);</w:t>
      </w:r>
      <w:r w:rsidR="004F3E42" w:rsidRPr="005C7CCE">
        <w:t xml:space="preserve"> </w:t>
      </w:r>
      <w:r w:rsidR="0010442A" w:rsidRPr="005C7CCE">
        <w:t xml:space="preserve"> </w:t>
      </w:r>
      <w:r w:rsidRPr="005C7CCE">
        <w:t>et un séminaire pour certains pays d</w:t>
      </w:r>
      <w:r w:rsidR="00A20444" w:rsidRPr="005C7CCE">
        <w:t>’</w:t>
      </w:r>
      <w:r w:rsidRPr="005C7CCE">
        <w:t>Asie centrale, du Caucase et d</w:t>
      </w:r>
      <w:r w:rsidR="00A20444" w:rsidRPr="005C7CCE">
        <w:t>’</w:t>
      </w:r>
      <w:r w:rsidRPr="005C7CCE">
        <w:t>Europe orientale, des pays d</w:t>
      </w:r>
      <w:r w:rsidR="00A20444" w:rsidRPr="005C7CCE">
        <w:t>’</w:t>
      </w:r>
      <w:r w:rsidRPr="005C7CCE">
        <w:t>Europe centrale et des États baltes et des pays méditerranéens, sur la mise en œuvre et l</w:t>
      </w:r>
      <w:r w:rsidR="00A20444" w:rsidRPr="005C7CCE">
        <w:t>’</w:t>
      </w:r>
      <w:r w:rsidRPr="005C7CCE">
        <w:t>utilisation de plusieurs éléments de flexibilité relatifs aux brevets, a été organisé à Astana, Kazakhstan.</w:t>
      </w:r>
    </w:p>
    <w:p w:rsidR="00D42474" w:rsidRDefault="00D42474" w:rsidP="001A5BF9">
      <w:pPr>
        <w:rPr>
          <w:rFonts w:cs="Arial"/>
          <w:bCs/>
          <w:szCs w:val="20"/>
        </w:rPr>
      </w:pPr>
    </w:p>
    <w:p w:rsidR="00D42474" w:rsidRDefault="00D42474" w:rsidP="001A5BF9">
      <w:pPr>
        <w:jc w:val="both"/>
        <w:rPr>
          <w:rFonts w:cs="Arial"/>
          <w:szCs w:val="20"/>
        </w:rPr>
      </w:pPr>
    </w:p>
    <w:p w:rsidR="00D42474" w:rsidRDefault="00F40E87" w:rsidP="001A5BF9">
      <w:pPr>
        <w:jc w:val="both"/>
        <w:rPr>
          <w:rFonts w:cs="Arial"/>
          <w:szCs w:val="22"/>
        </w:rPr>
      </w:pPr>
      <w:r w:rsidRPr="00486AEA">
        <w:rPr>
          <w:sz w:val="22"/>
        </w:rPr>
        <w:t>DONNÉES RELATIVES À L</w:t>
      </w:r>
      <w:r w:rsidR="00A20444" w:rsidRPr="00486AEA">
        <w:rPr>
          <w:sz w:val="22"/>
        </w:rPr>
        <w:t>’</w:t>
      </w:r>
      <w:r w:rsidRPr="00486AEA">
        <w:rPr>
          <w:sz w:val="22"/>
        </w:rPr>
        <w:t>EXÉCUTION</w:t>
      </w:r>
    </w:p>
    <w:p w:rsidR="00D42474" w:rsidRDefault="00D42474" w:rsidP="001A5BF9">
      <w:pPr>
        <w:rPr>
          <w:b/>
          <w:szCs w:val="20"/>
        </w:rPr>
      </w:pPr>
    </w:p>
    <w:p w:rsidR="00A515B4" w:rsidRPr="00A515B4" w:rsidRDefault="00A515B4" w:rsidP="001A5BF9">
      <w:pPr>
        <w:rPr>
          <w:b/>
          <w:szCs w:val="20"/>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05"/>
        <w:gridCol w:w="2407"/>
        <w:gridCol w:w="1409"/>
        <w:gridCol w:w="2837"/>
        <w:gridCol w:w="999"/>
      </w:tblGrid>
      <w:tr w:rsidR="00A515B4" w:rsidRPr="00A515B4" w:rsidTr="00A515B4">
        <w:trPr>
          <w:cantSplit/>
        </w:trPr>
        <w:tc>
          <w:tcPr>
            <w:tcW w:w="5000" w:type="pct"/>
            <w:gridSpan w:val="5"/>
            <w:tcBorders>
              <w:top w:val="single" w:sz="4" w:space="0" w:color="auto"/>
              <w:bottom w:val="single" w:sz="4" w:space="0" w:color="auto"/>
            </w:tcBorders>
            <w:shd w:val="clear" w:color="auto" w:fill="CCFFFF"/>
            <w:vAlign w:val="center"/>
          </w:tcPr>
          <w:p w:rsidR="00F40E87" w:rsidRPr="00A515B4" w:rsidRDefault="00F40E87" w:rsidP="001A5BF9">
            <w:pPr>
              <w:keepNext/>
              <w:keepLines/>
              <w:tabs>
                <w:tab w:val="left" w:pos="1735"/>
              </w:tabs>
              <w:spacing w:before="120" w:after="120"/>
              <w:ind w:left="1735" w:hanging="1735"/>
              <w:rPr>
                <w:rFonts w:cs="Arial"/>
                <w:b/>
                <w:bCs/>
                <w:sz w:val="16"/>
                <w:szCs w:val="16"/>
              </w:rPr>
            </w:pPr>
            <w:r w:rsidRPr="00A515B4">
              <w:rPr>
                <w:b/>
                <w:sz w:val="16"/>
              </w:rPr>
              <w:t>Résultat escompté</w:t>
            </w:r>
            <w:r w:rsidR="0010442A" w:rsidRPr="00A515B4">
              <w:rPr>
                <w:b/>
                <w:sz w:val="16"/>
              </w:rPr>
              <w:t> </w:t>
            </w:r>
            <w:r w:rsidRPr="00A515B4">
              <w:rPr>
                <w:b/>
                <w:sz w:val="16"/>
              </w:rPr>
              <w:t xml:space="preserve">: </w:t>
            </w:r>
            <w:r w:rsidRPr="00A515B4">
              <w:rPr>
                <w:b/>
                <w:sz w:val="16"/>
              </w:rPr>
              <w:tab/>
            </w:r>
            <w:r w:rsidRPr="00A515B4">
              <w:rPr>
                <w:sz w:val="16"/>
              </w:rPr>
              <w:t>Coopération et consensus renforcés entre les États membres en ce qui concerne l</w:t>
            </w:r>
            <w:r w:rsidR="00A20444" w:rsidRPr="00A515B4">
              <w:rPr>
                <w:sz w:val="16"/>
              </w:rPr>
              <w:t>’</w:t>
            </w:r>
            <w:r w:rsidRPr="00A515B4">
              <w:rPr>
                <w:sz w:val="16"/>
              </w:rPr>
              <w:t>élaboration des cadres politiques et normatifs équilibrés pour le système international des brevets, les marques, les dessins et modèles industriels, les indications géographiques, le droit d</w:t>
            </w:r>
            <w:r w:rsidR="00A20444" w:rsidRPr="00A515B4">
              <w:rPr>
                <w:sz w:val="16"/>
              </w:rPr>
              <w:t>’</w:t>
            </w:r>
            <w:r w:rsidRPr="00A515B4">
              <w:rPr>
                <w:sz w:val="16"/>
              </w:rPr>
              <w:t>auteur et les droits connexes, les savoirs traditionnels, les expressions culturelles traditionnelles et les ressources génétiques</w:t>
            </w:r>
          </w:p>
        </w:tc>
      </w:tr>
      <w:tr w:rsidR="00A515B4" w:rsidRPr="00A515B4" w:rsidTr="00A515B4">
        <w:trPr>
          <w:cantSplit/>
        </w:trPr>
        <w:tc>
          <w:tcPr>
            <w:tcW w:w="911" w:type="pct"/>
            <w:tcBorders>
              <w:top w:val="single" w:sz="4" w:space="0" w:color="auto"/>
            </w:tcBorders>
            <w:shd w:val="clear" w:color="auto" w:fill="auto"/>
            <w:vAlign w:val="center"/>
          </w:tcPr>
          <w:p w:rsidR="00F40E87" w:rsidRPr="00A515B4" w:rsidRDefault="00F40E87" w:rsidP="001A5BF9">
            <w:pPr>
              <w:rPr>
                <w:rFonts w:cs="Arial"/>
                <w:sz w:val="16"/>
                <w:szCs w:val="16"/>
              </w:rPr>
            </w:pPr>
            <w:r w:rsidRPr="00A515B4">
              <w:rPr>
                <w:b/>
                <w:sz w:val="16"/>
              </w:rPr>
              <w:t>Indicateurs d</w:t>
            </w:r>
            <w:r w:rsidR="00A20444" w:rsidRPr="00A515B4">
              <w:rPr>
                <w:b/>
                <w:sz w:val="16"/>
              </w:rPr>
              <w:t>’</w:t>
            </w:r>
            <w:r w:rsidRPr="00A515B4">
              <w:rPr>
                <w:b/>
                <w:sz w:val="16"/>
              </w:rPr>
              <w:t>exécution</w:t>
            </w:r>
          </w:p>
        </w:tc>
        <w:tc>
          <w:tcPr>
            <w:tcW w:w="1286" w:type="pct"/>
            <w:tcBorders>
              <w:top w:val="single" w:sz="4" w:space="0" w:color="auto"/>
            </w:tcBorders>
            <w:shd w:val="clear" w:color="auto" w:fill="auto"/>
            <w:vAlign w:val="center"/>
          </w:tcPr>
          <w:p w:rsidR="00F40E87" w:rsidRPr="00A515B4" w:rsidRDefault="00F40E87" w:rsidP="001A5BF9">
            <w:pPr>
              <w:rPr>
                <w:rFonts w:cs="Arial"/>
                <w:b/>
                <w:bCs/>
                <w:sz w:val="16"/>
                <w:szCs w:val="16"/>
              </w:rPr>
            </w:pPr>
            <w:r w:rsidRPr="00A515B4">
              <w:rPr>
                <w:b/>
                <w:sz w:val="16"/>
              </w:rPr>
              <w:t>Niveaux de référence</w:t>
            </w:r>
          </w:p>
        </w:tc>
        <w:tc>
          <w:tcPr>
            <w:tcW w:w="753" w:type="pct"/>
            <w:tcBorders>
              <w:top w:val="single" w:sz="4" w:space="0" w:color="auto"/>
            </w:tcBorders>
            <w:shd w:val="clear" w:color="auto" w:fill="auto"/>
            <w:tcMar>
              <w:top w:w="110" w:type="dxa"/>
            </w:tcMar>
            <w:vAlign w:val="center"/>
          </w:tcPr>
          <w:p w:rsidR="00F40E87" w:rsidRPr="00A515B4" w:rsidRDefault="00F40E87" w:rsidP="001A5BF9">
            <w:pPr>
              <w:rPr>
                <w:rFonts w:cs="Arial"/>
                <w:b/>
                <w:sz w:val="16"/>
                <w:szCs w:val="16"/>
              </w:rPr>
            </w:pPr>
            <w:r w:rsidRPr="00A515B4">
              <w:rPr>
                <w:b/>
                <w:sz w:val="16"/>
              </w:rPr>
              <w:t>Objectifs visés</w:t>
            </w:r>
          </w:p>
        </w:tc>
        <w:tc>
          <w:tcPr>
            <w:tcW w:w="1516" w:type="pct"/>
            <w:tcBorders>
              <w:top w:val="single" w:sz="4" w:space="0" w:color="auto"/>
            </w:tcBorders>
            <w:shd w:val="clear" w:color="auto" w:fill="FFFFFF"/>
            <w:tcMar>
              <w:top w:w="110" w:type="dxa"/>
            </w:tcMar>
            <w:vAlign w:val="center"/>
          </w:tcPr>
          <w:p w:rsidR="00F40E87" w:rsidRPr="00A515B4" w:rsidRDefault="00F40E87" w:rsidP="001A5BF9">
            <w:pPr>
              <w:rPr>
                <w:rFonts w:cs="Arial"/>
                <w:sz w:val="16"/>
                <w:szCs w:val="16"/>
              </w:rPr>
            </w:pPr>
            <w:r w:rsidRPr="00A515B4">
              <w:rPr>
                <w:b/>
                <w:sz w:val="16"/>
              </w:rPr>
              <w:t>Données relatives à l</w:t>
            </w:r>
            <w:r w:rsidR="00A20444" w:rsidRPr="00A515B4">
              <w:rPr>
                <w:b/>
                <w:sz w:val="16"/>
              </w:rPr>
              <w:t>’</w:t>
            </w:r>
            <w:r w:rsidRPr="00A515B4">
              <w:rPr>
                <w:b/>
                <w:sz w:val="16"/>
              </w:rPr>
              <w:t>exécution</w:t>
            </w:r>
          </w:p>
        </w:tc>
        <w:tc>
          <w:tcPr>
            <w:tcW w:w="534" w:type="pct"/>
            <w:tcBorders>
              <w:top w:val="single" w:sz="4" w:space="0" w:color="auto"/>
            </w:tcBorders>
            <w:shd w:val="clear" w:color="auto" w:fill="auto"/>
            <w:tcMar>
              <w:top w:w="110" w:type="dxa"/>
            </w:tcMar>
            <w:vAlign w:val="center"/>
          </w:tcPr>
          <w:p w:rsidR="00F40E87" w:rsidRPr="00A515B4" w:rsidRDefault="00F40E87" w:rsidP="001A5BF9">
            <w:pPr>
              <w:keepNext/>
              <w:keepLines/>
              <w:jc w:val="center"/>
              <w:rPr>
                <w:rFonts w:cs="Arial"/>
                <w:b/>
                <w:sz w:val="16"/>
                <w:szCs w:val="16"/>
              </w:rPr>
            </w:pPr>
            <w:r w:rsidRPr="00A515B4">
              <w:rPr>
                <w:b/>
                <w:sz w:val="16"/>
              </w:rPr>
              <w:t>Code de couleurs</w:t>
            </w:r>
          </w:p>
        </w:tc>
      </w:tr>
      <w:tr w:rsidR="008E60FE" w:rsidRPr="005C7CCE" w:rsidTr="00A515B4">
        <w:trPr>
          <w:cantSplit/>
        </w:trPr>
        <w:tc>
          <w:tcPr>
            <w:tcW w:w="911" w:type="pct"/>
            <w:tcBorders>
              <w:bottom w:val="single" w:sz="4" w:space="0" w:color="auto"/>
            </w:tcBorders>
            <w:shd w:val="clear" w:color="auto" w:fill="auto"/>
          </w:tcPr>
          <w:p w:rsidR="00F40E87" w:rsidRPr="005C7CCE" w:rsidRDefault="00F40E87" w:rsidP="001A5BF9">
            <w:pPr>
              <w:rPr>
                <w:rFonts w:cs="Arial"/>
                <w:sz w:val="16"/>
                <w:szCs w:val="16"/>
              </w:rPr>
            </w:pPr>
            <w:r w:rsidRPr="00A515B4">
              <w:rPr>
                <w:sz w:val="16"/>
              </w:rPr>
              <w:t>Avancement des travaux concernant la mise en œuvre des mesures et des programmes convenus par le SCP</w:t>
            </w:r>
          </w:p>
        </w:tc>
        <w:tc>
          <w:tcPr>
            <w:tcW w:w="1286" w:type="pct"/>
            <w:tcBorders>
              <w:bottom w:val="single" w:sz="4" w:space="0" w:color="auto"/>
            </w:tcBorders>
            <w:shd w:val="clear" w:color="auto" w:fill="auto"/>
          </w:tcPr>
          <w:p w:rsidR="00D42474" w:rsidRDefault="00F40E87" w:rsidP="001A5BF9">
            <w:pPr>
              <w:rPr>
                <w:rFonts w:cs="Arial"/>
                <w:i/>
                <w:color w:val="002060"/>
                <w:sz w:val="16"/>
                <w:szCs w:val="16"/>
              </w:rPr>
            </w:pPr>
            <w:r w:rsidRPr="005C7CCE">
              <w:rPr>
                <w:i/>
                <w:color w:val="002060"/>
                <w:sz w:val="16"/>
              </w:rPr>
              <w:t>Niveau de référence actualisé</w:t>
            </w:r>
            <w:r w:rsidRPr="005C7CCE">
              <w:br/>
            </w:r>
            <w:r w:rsidRPr="005C7CCE">
              <w:rPr>
                <w:i/>
                <w:color w:val="002060"/>
                <w:sz w:val="16"/>
              </w:rPr>
              <w:t xml:space="preserve">fin 2011 : </w:t>
            </w:r>
            <w:r w:rsidRPr="005C7CCE">
              <w:rPr>
                <w:color w:val="002060"/>
                <w:sz w:val="16"/>
              </w:rPr>
              <w:t>la dix</w:t>
            </w:r>
            <w:r w:rsidR="002D6F2A" w:rsidRPr="005C7CCE">
              <w:rPr>
                <w:color w:val="002060"/>
                <w:sz w:val="16"/>
              </w:rPr>
              <w:noBreakHyphen/>
            </w:r>
            <w:r w:rsidRPr="005C7CCE">
              <w:rPr>
                <w:color w:val="002060"/>
                <w:sz w:val="16"/>
              </w:rPr>
              <w:t>septième session du SCP a accepté de poursuivre les travaux relatifs à cinq questions (décembre 2011)</w:t>
            </w:r>
          </w:p>
          <w:p w:rsidR="00D42474" w:rsidRDefault="00D42474" w:rsidP="001A5BF9">
            <w:pPr>
              <w:rPr>
                <w:rFonts w:cs="Arial"/>
                <w:i/>
                <w:sz w:val="8"/>
                <w:szCs w:val="8"/>
              </w:rPr>
            </w:pPr>
          </w:p>
          <w:p w:rsidR="00F40E87" w:rsidRPr="005C7CCE" w:rsidRDefault="00F40E87" w:rsidP="001A5BF9">
            <w:pPr>
              <w:rPr>
                <w:rFonts w:cs="Arial"/>
                <w:i/>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Pr="005C7CCE">
              <w:rPr>
                <w:sz w:val="16"/>
              </w:rPr>
              <w:t>la quinzième session du SCP a convenu de ses futurs travaux dans cinq domaines (15 octobre 2010)</w:t>
            </w:r>
          </w:p>
        </w:tc>
        <w:tc>
          <w:tcPr>
            <w:tcW w:w="753" w:type="pct"/>
            <w:tcBorders>
              <w:bottom w:val="single" w:sz="4" w:space="0" w:color="auto"/>
            </w:tcBorders>
            <w:shd w:val="clear" w:color="auto" w:fill="auto"/>
            <w:tcMar>
              <w:top w:w="110" w:type="dxa"/>
            </w:tcMar>
          </w:tcPr>
          <w:p w:rsidR="00F40E87" w:rsidRPr="005C7CCE" w:rsidRDefault="00F40E87" w:rsidP="001A5BF9">
            <w:pPr>
              <w:rPr>
                <w:rFonts w:cs="Arial"/>
                <w:i/>
                <w:sz w:val="16"/>
                <w:szCs w:val="16"/>
              </w:rPr>
            </w:pPr>
            <w:r w:rsidRPr="005C7CCE">
              <w:rPr>
                <w:sz w:val="16"/>
              </w:rPr>
              <w:t>Avancement des travaux concernant la mise en œuvre des</w:t>
            </w:r>
            <w:r w:rsidR="008E60FE" w:rsidRPr="005C7CCE">
              <w:rPr>
                <w:sz w:val="16"/>
              </w:rPr>
              <w:t xml:space="preserve"> </w:t>
            </w:r>
            <w:r w:rsidRPr="005C7CCE">
              <w:rPr>
                <w:sz w:val="16"/>
              </w:rPr>
              <w:t xml:space="preserve">mesures et des programmes convenus par le SCP </w:t>
            </w:r>
          </w:p>
        </w:tc>
        <w:tc>
          <w:tcPr>
            <w:tcW w:w="1516" w:type="pct"/>
            <w:tcBorders>
              <w:bottom w:val="single" w:sz="4" w:space="0" w:color="auto"/>
            </w:tcBorders>
            <w:shd w:val="clear" w:color="auto" w:fill="FFFFFF"/>
            <w:tcMar>
              <w:top w:w="110" w:type="dxa"/>
            </w:tcMar>
          </w:tcPr>
          <w:p w:rsidR="00F40E87" w:rsidRPr="005C7CCE" w:rsidRDefault="00F40E87" w:rsidP="001A5BF9">
            <w:pPr>
              <w:rPr>
                <w:rFonts w:cs="Arial"/>
                <w:sz w:val="16"/>
                <w:szCs w:val="16"/>
              </w:rPr>
            </w:pPr>
            <w:r w:rsidRPr="005C7CCE">
              <w:rPr>
                <w:sz w:val="16"/>
              </w:rPr>
              <w:t>Le SCP a concentré ses efforts sur la progression des cinq thèmes sur son ordre du jour et a fait avancer ses discussions, par exemple, en collectant des informations au moyen d</w:t>
            </w:r>
            <w:r w:rsidR="00A20444" w:rsidRPr="005C7CCE">
              <w:rPr>
                <w:sz w:val="16"/>
              </w:rPr>
              <w:t>’</w:t>
            </w:r>
            <w:r w:rsidRPr="005C7CCE">
              <w:rPr>
                <w:sz w:val="16"/>
              </w:rPr>
              <w:t>un questionnaire, en préparant des études et en échangeant des pratiques et expériences nationales entre les États membres.</w:t>
            </w:r>
          </w:p>
        </w:tc>
        <w:tc>
          <w:tcPr>
            <w:tcW w:w="534" w:type="pct"/>
            <w:tcBorders>
              <w:bottom w:val="single" w:sz="4" w:space="0" w:color="auto"/>
            </w:tcBorders>
            <w:shd w:val="clear" w:color="auto" w:fill="auto"/>
            <w:tcMar>
              <w:top w:w="110" w:type="dxa"/>
            </w:tcMar>
          </w:tcPr>
          <w:p w:rsidR="00F40E87" w:rsidRPr="005C7CCE" w:rsidRDefault="00F40E87" w:rsidP="001A5BF9">
            <w:pPr>
              <w:keepNext/>
              <w:keepLines/>
              <w:spacing w:after="240"/>
              <w:jc w:val="center"/>
              <w:rPr>
                <w:rFonts w:cs="Arial"/>
                <w:color w:val="10862C"/>
                <w:sz w:val="16"/>
                <w:szCs w:val="16"/>
              </w:rPr>
            </w:pPr>
            <w:r w:rsidRPr="00B470C6">
              <w:rPr>
                <w:color w:val="008000"/>
                <w:sz w:val="16"/>
              </w:rPr>
              <w:t>Objectif pleinement atteint</w:t>
            </w:r>
          </w:p>
        </w:tc>
      </w:tr>
      <w:tr w:rsidR="00A515B4" w:rsidRPr="00A515B4" w:rsidTr="00A515B4">
        <w:trPr>
          <w:cantSplit/>
        </w:trPr>
        <w:tc>
          <w:tcPr>
            <w:tcW w:w="5000" w:type="pct"/>
            <w:gridSpan w:val="5"/>
            <w:tcBorders>
              <w:top w:val="single" w:sz="4" w:space="0" w:color="auto"/>
              <w:bottom w:val="single" w:sz="4" w:space="0" w:color="auto"/>
            </w:tcBorders>
            <w:shd w:val="clear" w:color="auto" w:fill="CCFFFF"/>
            <w:vAlign w:val="center"/>
          </w:tcPr>
          <w:p w:rsidR="00F40E87" w:rsidRPr="00A515B4" w:rsidRDefault="00F40E87" w:rsidP="00A515B4">
            <w:pPr>
              <w:keepNext/>
              <w:keepLines/>
              <w:tabs>
                <w:tab w:val="left" w:pos="1735"/>
              </w:tabs>
              <w:spacing w:before="120" w:after="120"/>
              <w:ind w:left="1735" w:hanging="1735"/>
              <w:rPr>
                <w:rFonts w:cs="Arial"/>
                <w:b/>
                <w:bCs/>
                <w:sz w:val="16"/>
                <w:szCs w:val="16"/>
              </w:rPr>
            </w:pPr>
            <w:r w:rsidRPr="00A515B4">
              <w:rPr>
                <w:b/>
                <w:sz w:val="16"/>
              </w:rPr>
              <w:t>Résultat escompté</w:t>
            </w:r>
            <w:r w:rsidR="0010442A" w:rsidRPr="00A515B4">
              <w:rPr>
                <w:b/>
                <w:sz w:val="16"/>
              </w:rPr>
              <w:t> </w:t>
            </w:r>
            <w:r w:rsidRPr="00A515B4">
              <w:rPr>
                <w:b/>
                <w:sz w:val="16"/>
              </w:rPr>
              <w:t xml:space="preserve">: </w:t>
            </w:r>
            <w:r w:rsidRPr="00A515B4">
              <w:rPr>
                <w:b/>
                <w:sz w:val="16"/>
              </w:rPr>
              <w:tab/>
            </w:r>
            <w:r w:rsidRPr="004B047D">
              <w:rPr>
                <w:sz w:val="16"/>
              </w:rPr>
              <w:t>Cadres législatif, réglementaires et politiques équilibrés et adaptés en matière de propriété intellectuelle</w:t>
            </w:r>
          </w:p>
        </w:tc>
      </w:tr>
      <w:tr w:rsidR="00A515B4" w:rsidRPr="00A515B4" w:rsidTr="00A515B4">
        <w:trPr>
          <w:cantSplit/>
        </w:trPr>
        <w:tc>
          <w:tcPr>
            <w:tcW w:w="911" w:type="pct"/>
            <w:tcBorders>
              <w:top w:val="single" w:sz="4" w:space="0" w:color="auto"/>
            </w:tcBorders>
            <w:shd w:val="clear" w:color="auto" w:fill="auto"/>
            <w:vAlign w:val="center"/>
          </w:tcPr>
          <w:p w:rsidR="00F40E87" w:rsidRPr="00A515B4" w:rsidRDefault="00F40E87" w:rsidP="00A515B4">
            <w:pPr>
              <w:keepNext/>
              <w:keepLines/>
              <w:rPr>
                <w:rFonts w:cs="Arial"/>
                <w:sz w:val="16"/>
                <w:szCs w:val="16"/>
              </w:rPr>
            </w:pPr>
            <w:r w:rsidRPr="00A515B4">
              <w:rPr>
                <w:b/>
                <w:sz w:val="16"/>
              </w:rPr>
              <w:t>Indicateurs d</w:t>
            </w:r>
            <w:r w:rsidR="00A20444" w:rsidRPr="00A515B4">
              <w:rPr>
                <w:b/>
                <w:sz w:val="16"/>
              </w:rPr>
              <w:t>’</w:t>
            </w:r>
            <w:r w:rsidRPr="00A515B4">
              <w:rPr>
                <w:b/>
                <w:sz w:val="16"/>
              </w:rPr>
              <w:t>exécution</w:t>
            </w:r>
          </w:p>
        </w:tc>
        <w:tc>
          <w:tcPr>
            <w:tcW w:w="1286" w:type="pct"/>
            <w:tcBorders>
              <w:top w:val="single" w:sz="4" w:space="0" w:color="auto"/>
            </w:tcBorders>
            <w:shd w:val="clear" w:color="auto" w:fill="auto"/>
            <w:vAlign w:val="center"/>
          </w:tcPr>
          <w:p w:rsidR="00F40E87" w:rsidRPr="00A515B4" w:rsidRDefault="00F40E87" w:rsidP="00A515B4">
            <w:pPr>
              <w:keepNext/>
              <w:keepLines/>
              <w:rPr>
                <w:rFonts w:cs="Arial"/>
                <w:b/>
                <w:bCs/>
                <w:sz w:val="16"/>
                <w:szCs w:val="16"/>
              </w:rPr>
            </w:pPr>
            <w:r w:rsidRPr="00A515B4">
              <w:rPr>
                <w:b/>
                <w:sz w:val="16"/>
              </w:rPr>
              <w:t>Niveaux de référence</w:t>
            </w:r>
          </w:p>
        </w:tc>
        <w:tc>
          <w:tcPr>
            <w:tcW w:w="753" w:type="pct"/>
            <w:tcBorders>
              <w:top w:val="single" w:sz="4" w:space="0" w:color="auto"/>
            </w:tcBorders>
            <w:shd w:val="clear" w:color="auto" w:fill="auto"/>
            <w:tcMar>
              <w:top w:w="110" w:type="dxa"/>
            </w:tcMar>
            <w:vAlign w:val="center"/>
          </w:tcPr>
          <w:p w:rsidR="00F40E87" w:rsidRPr="00A515B4" w:rsidRDefault="00F40E87" w:rsidP="00A515B4">
            <w:pPr>
              <w:keepNext/>
              <w:keepLines/>
              <w:rPr>
                <w:rFonts w:cs="Arial"/>
                <w:b/>
                <w:sz w:val="16"/>
                <w:szCs w:val="16"/>
              </w:rPr>
            </w:pPr>
            <w:r w:rsidRPr="00A515B4">
              <w:rPr>
                <w:b/>
                <w:sz w:val="16"/>
              </w:rPr>
              <w:t>Objectifs visés</w:t>
            </w:r>
          </w:p>
        </w:tc>
        <w:tc>
          <w:tcPr>
            <w:tcW w:w="1516" w:type="pct"/>
            <w:tcBorders>
              <w:top w:val="single" w:sz="4" w:space="0" w:color="auto"/>
            </w:tcBorders>
            <w:shd w:val="clear" w:color="auto" w:fill="auto"/>
            <w:tcMar>
              <w:top w:w="110" w:type="dxa"/>
            </w:tcMar>
            <w:vAlign w:val="center"/>
          </w:tcPr>
          <w:p w:rsidR="00F40E87" w:rsidRPr="00A515B4" w:rsidRDefault="00F40E87" w:rsidP="00A515B4">
            <w:pPr>
              <w:keepNext/>
              <w:keepLines/>
              <w:rPr>
                <w:rFonts w:cs="Arial"/>
                <w:sz w:val="16"/>
                <w:szCs w:val="16"/>
              </w:rPr>
            </w:pPr>
            <w:r w:rsidRPr="00A515B4">
              <w:rPr>
                <w:b/>
                <w:sz w:val="16"/>
              </w:rPr>
              <w:t>Données relatives à l</w:t>
            </w:r>
            <w:r w:rsidR="00A20444" w:rsidRPr="00A515B4">
              <w:rPr>
                <w:b/>
                <w:sz w:val="16"/>
              </w:rPr>
              <w:t>’</w:t>
            </w:r>
            <w:r w:rsidRPr="00A515B4">
              <w:rPr>
                <w:b/>
                <w:sz w:val="16"/>
              </w:rPr>
              <w:t>exécution</w:t>
            </w:r>
          </w:p>
        </w:tc>
        <w:tc>
          <w:tcPr>
            <w:tcW w:w="534" w:type="pct"/>
            <w:tcBorders>
              <w:top w:val="single" w:sz="4" w:space="0" w:color="auto"/>
            </w:tcBorders>
            <w:shd w:val="clear" w:color="auto" w:fill="auto"/>
            <w:tcMar>
              <w:top w:w="110" w:type="dxa"/>
            </w:tcMar>
            <w:vAlign w:val="center"/>
          </w:tcPr>
          <w:p w:rsidR="00F40E87" w:rsidRPr="00A515B4" w:rsidRDefault="00F40E87" w:rsidP="00A515B4">
            <w:pPr>
              <w:keepNext/>
              <w:keepLines/>
              <w:jc w:val="center"/>
              <w:rPr>
                <w:rFonts w:cs="Arial"/>
                <w:b/>
                <w:sz w:val="16"/>
                <w:szCs w:val="16"/>
              </w:rPr>
            </w:pPr>
            <w:r w:rsidRPr="00A515B4">
              <w:rPr>
                <w:b/>
                <w:sz w:val="16"/>
              </w:rPr>
              <w:t>Code de couleurs</w:t>
            </w:r>
          </w:p>
        </w:tc>
      </w:tr>
      <w:tr w:rsidR="008E60FE" w:rsidRPr="005C7CCE" w:rsidTr="00A515B4">
        <w:trPr>
          <w:cantSplit/>
        </w:trPr>
        <w:tc>
          <w:tcPr>
            <w:tcW w:w="911" w:type="pct"/>
            <w:shd w:val="clear" w:color="auto" w:fill="FFFFFF"/>
          </w:tcPr>
          <w:p w:rsidR="00F40E87" w:rsidRPr="005C7CCE" w:rsidRDefault="00F40E87" w:rsidP="00A515B4">
            <w:pPr>
              <w:keepNext/>
              <w:keepLines/>
              <w:rPr>
                <w:rFonts w:cs="Arial"/>
                <w:sz w:val="16"/>
                <w:szCs w:val="16"/>
                <w:lang w:bidi="th-TH"/>
              </w:rPr>
            </w:pPr>
            <w:r w:rsidRPr="00A515B4">
              <w:rPr>
                <w:sz w:val="16"/>
              </w:rPr>
              <w:t xml:space="preserve">Nombre et types de conseils législatifs apportés aux États </w:t>
            </w:r>
            <w:r w:rsidR="003133EE" w:rsidRPr="00A515B4">
              <w:rPr>
                <w:sz w:val="16"/>
              </w:rPr>
              <w:t>membres</w:t>
            </w:r>
            <w:r w:rsidRPr="00A515B4">
              <w:rPr>
                <w:sz w:val="16"/>
              </w:rPr>
              <w:t xml:space="preserve"> au sujet des brevets, des modèles d</w:t>
            </w:r>
            <w:r w:rsidR="00A20444" w:rsidRPr="00A515B4">
              <w:rPr>
                <w:sz w:val="16"/>
              </w:rPr>
              <w:t>’</w:t>
            </w:r>
            <w:r w:rsidRPr="00A515B4">
              <w:rPr>
                <w:sz w:val="16"/>
              </w:rPr>
              <w:t>utilité, des secrets commerciaux et des circuits intégrés</w:t>
            </w:r>
          </w:p>
        </w:tc>
        <w:tc>
          <w:tcPr>
            <w:tcW w:w="1286" w:type="pct"/>
            <w:shd w:val="clear" w:color="auto" w:fill="auto"/>
          </w:tcPr>
          <w:p w:rsidR="00D42474" w:rsidRDefault="00F40E87" w:rsidP="00A515B4">
            <w:pPr>
              <w:keepNext/>
              <w:keepLines/>
              <w:rPr>
                <w:i/>
                <w:color w:val="002060"/>
                <w:sz w:val="16"/>
              </w:rPr>
            </w:pPr>
            <w:r w:rsidRPr="005C7CCE">
              <w:rPr>
                <w:i/>
                <w:color w:val="002060"/>
                <w:sz w:val="16"/>
              </w:rPr>
              <w:t>Niveau de référence actualisé</w:t>
            </w:r>
            <w:r w:rsidRPr="005C7CCE">
              <w:br/>
            </w:r>
            <w:r w:rsidRPr="005C7CCE">
              <w:rPr>
                <w:i/>
                <w:color w:val="002060"/>
                <w:sz w:val="16"/>
              </w:rPr>
              <w:t xml:space="preserve">fin 2011 : </w:t>
            </w:r>
            <w:r w:rsidR="00A515B4">
              <w:rPr>
                <w:color w:val="002060"/>
                <w:sz w:val="16"/>
              </w:rPr>
              <w:t>e</w:t>
            </w:r>
            <w:r w:rsidRPr="005C7CCE">
              <w:rPr>
                <w:color w:val="002060"/>
                <w:sz w:val="16"/>
              </w:rPr>
              <w:t>n 2011, 10 observations écrites ont été transmises aux États membres;</w:t>
            </w:r>
            <w:r w:rsidR="004F3E42" w:rsidRPr="005C7CCE">
              <w:rPr>
                <w:color w:val="002060"/>
                <w:sz w:val="16"/>
              </w:rPr>
              <w:t xml:space="preserve"> </w:t>
            </w:r>
            <w:r w:rsidR="0010442A" w:rsidRPr="005C7CCE">
              <w:rPr>
                <w:color w:val="002060"/>
                <w:sz w:val="16"/>
              </w:rPr>
              <w:t xml:space="preserve"> </w:t>
            </w:r>
            <w:r w:rsidRPr="005C7CCE">
              <w:rPr>
                <w:color w:val="002060"/>
                <w:sz w:val="16"/>
              </w:rPr>
              <w:t>en outre, huit manifestations ont été organisées en vue d</w:t>
            </w:r>
            <w:r w:rsidR="00A20444" w:rsidRPr="005C7CCE">
              <w:rPr>
                <w:color w:val="002060"/>
                <w:sz w:val="16"/>
              </w:rPr>
              <w:t>’</w:t>
            </w:r>
            <w:r w:rsidRPr="005C7CCE">
              <w:rPr>
                <w:color w:val="002060"/>
                <w:sz w:val="16"/>
              </w:rPr>
              <w:t>examiner, de réviser et de rédiger des textes juridiques ou d</w:t>
            </w:r>
            <w:r w:rsidR="00A20444" w:rsidRPr="005C7CCE">
              <w:rPr>
                <w:color w:val="002060"/>
                <w:sz w:val="16"/>
              </w:rPr>
              <w:t>’</w:t>
            </w:r>
            <w:r w:rsidRPr="005C7CCE">
              <w:rPr>
                <w:color w:val="002060"/>
                <w:sz w:val="16"/>
              </w:rPr>
              <w:t>analyser des options stratégiques</w:t>
            </w:r>
          </w:p>
          <w:p w:rsidR="00D42474" w:rsidRDefault="00D42474" w:rsidP="00A515B4">
            <w:pPr>
              <w:keepNext/>
              <w:keepLines/>
              <w:rPr>
                <w:rFonts w:cs="Arial"/>
                <w:i/>
                <w:sz w:val="8"/>
                <w:szCs w:val="8"/>
                <w:lang w:bidi="th-TH"/>
              </w:rPr>
            </w:pPr>
          </w:p>
          <w:p w:rsidR="00F40E87" w:rsidRPr="005C7CCE" w:rsidRDefault="00F40E87" w:rsidP="00A515B4">
            <w:pPr>
              <w:keepNext/>
              <w:keepLines/>
              <w:rPr>
                <w:rFonts w:cs="Arial"/>
                <w:i/>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00A515B4" w:rsidRPr="00A515B4">
              <w:rPr>
                <w:sz w:val="16"/>
              </w:rPr>
              <w:t>e</w:t>
            </w:r>
            <w:r w:rsidRPr="005C7CCE">
              <w:rPr>
                <w:sz w:val="16"/>
              </w:rPr>
              <w:t>n 2010, 12 observations ont été transmises aux États membres</w:t>
            </w:r>
          </w:p>
        </w:tc>
        <w:tc>
          <w:tcPr>
            <w:tcW w:w="753" w:type="pct"/>
            <w:shd w:val="clear" w:color="auto" w:fill="auto"/>
            <w:tcMar>
              <w:top w:w="110" w:type="dxa"/>
            </w:tcMar>
          </w:tcPr>
          <w:p w:rsidR="00F40E87" w:rsidRPr="005C7CCE" w:rsidRDefault="00F40E87" w:rsidP="00A515B4">
            <w:pPr>
              <w:keepNext/>
              <w:keepLines/>
              <w:autoSpaceDE w:val="0"/>
              <w:autoSpaceDN w:val="0"/>
              <w:adjustRightInd w:val="0"/>
              <w:rPr>
                <w:rFonts w:cs="Arial"/>
                <w:sz w:val="16"/>
                <w:szCs w:val="16"/>
              </w:rPr>
            </w:pPr>
            <w:r w:rsidRPr="00A515B4">
              <w:rPr>
                <w:sz w:val="16"/>
              </w:rPr>
              <w:t xml:space="preserve">25 observations sur des projets établis par des États membres et 10 projets de lois établis par le Secrétariat </w:t>
            </w:r>
          </w:p>
        </w:tc>
        <w:tc>
          <w:tcPr>
            <w:tcW w:w="1516" w:type="pct"/>
            <w:shd w:val="clear" w:color="auto" w:fill="FFFFFF"/>
            <w:tcMar>
              <w:top w:w="110" w:type="dxa"/>
            </w:tcMar>
          </w:tcPr>
          <w:p w:rsidR="00D42474" w:rsidRDefault="00F40E87" w:rsidP="00A515B4">
            <w:pPr>
              <w:keepNext/>
              <w:keepLines/>
              <w:rPr>
                <w:rFonts w:cs="Arial"/>
                <w:sz w:val="16"/>
                <w:szCs w:val="16"/>
                <w:lang w:bidi="th-TH"/>
              </w:rPr>
            </w:pPr>
            <w:r w:rsidRPr="005C7CCE">
              <w:rPr>
                <w:sz w:val="16"/>
              </w:rPr>
              <w:t>19 observations écrites/projets de lois sur les brevets ont été transmis aux États membres</w:t>
            </w:r>
          </w:p>
          <w:p w:rsidR="00D42474" w:rsidRDefault="00F40E87" w:rsidP="00A515B4">
            <w:pPr>
              <w:keepNext/>
              <w:keepLines/>
              <w:rPr>
                <w:sz w:val="16"/>
              </w:rPr>
            </w:pPr>
            <w:r w:rsidRPr="005C7CCE">
              <w:rPr>
                <w:sz w:val="16"/>
              </w:rPr>
              <w:t>(Afrique 3;</w:t>
            </w:r>
            <w:r w:rsidR="004F3E42" w:rsidRPr="005C7CCE">
              <w:rPr>
                <w:sz w:val="16"/>
              </w:rPr>
              <w:t xml:space="preserve"> </w:t>
            </w:r>
            <w:r w:rsidR="0010442A" w:rsidRPr="005C7CCE">
              <w:rPr>
                <w:sz w:val="16"/>
              </w:rPr>
              <w:t xml:space="preserve"> </w:t>
            </w:r>
            <w:r w:rsidRPr="005C7CCE">
              <w:rPr>
                <w:sz w:val="16"/>
              </w:rPr>
              <w:t>Asie et Pacifique 9;</w:t>
            </w:r>
            <w:r w:rsidR="004F3E42" w:rsidRPr="005C7CCE">
              <w:rPr>
                <w:sz w:val="16"/>
              </w:rPr>
              <w:t xml:space="preserve"> </w:t>
            </w:r>
            <w:r w:rsidR="0010442A" w:rsidRPr="005C7CCE">
              <w:rPr>
                <w:sz w:val="16"/>
              </w:rPr>
              <w:t xml:space="preserve"> </w:t>
            </w:r>
            <w:r w:rsidRPr="005C7CCE">
              <w:rPr>
                <w:sz w:val="16"/>
              </w:rPr>
              <w:t>Amérique latine et Caraïbes 6;</w:t>
            </w:r>
            <w:r w:rsidR="0010442A" w:rsidRPr="005C7CCE">
              <w:rPr>
                <w:sz w:val="16"/>
              </w:rPr>
              <w:t xml:space="preserve"> </w:t>
            </w:r>
            <w:r w:rsidR="004F3E42" w:rsidRPr="005C7CCE">
              <w:rPr>
                <w:sz w:val="16"/>
              </w:rPr>
              <w:t xml:space="preserve"> </w:t>
            </w:r>
            <w:r w:rsidRPr="005C7CCE">
              <w:rPr>
                <w:sz w:val="16"/>
              </w:rPr>
              <w:t>Autre 1).</w:t>
            </w:r>
          </w:p>
          <w:p w:rsidR="00F40E87" w:rsidRPr="005C7CCE" w:rsidRDefault="00F40E87" w:rsidP="00A515B4">
            <w:pPr>
              <w:keepNext/>
              <w:keepLines/>
              <w:rPr>
                <w:rFonts w:cs="Arial"/>
                <w:sz w:val="16"/>
                <w:szCs w:val="16"/>
                <w:lang w:bidi="th-TH"/>
              </w:rPr>
            </w:pPr>
            <w:r w:rsidRPr="005C7CCE">
              <w:rPr>
                <w:sz w:val="16"/>
              </w:rPr>
              <w:t>En outre, dans le but d</w:t>
            </w:r>
            <w:r w:rsidR="00A20444" w:rsidRPr="005C7CCE">
              <w:rPr>
                <w:sz w:val="16"/>
              </w:rPr>
              <w:t>’</w:t>
            </w:r>
            <w:r w:rsidRPr="005C7CCE">
              <w:rPr>
                <w:sz w:val="16"/>
              </w:rPr>
              <w:t>examiner, de réviser et de rédiger des textes juridiques ou d</w:t>
            </w:r>
            <w:r w:rsidR="00A20444" w:rsidRPr="005C7CCE">
              <w:rPr>
                <w:sz w:val="16"/>
              </w:rPr>
              <w:t>’</w:t>
            </w:r>
            <w:r w:rsidRPr="005C7CCE">
              <w:rPr>
                <w:sz w:val="16"/>
              </w:rPr>
              <w:t>analyser des options stratégiques, un nombre croissant de consultations avec les autorités et autres parties prenantes ont été organisées (Afrique 4;</w:t>
            </w:r>
            <w:r w:rsidR="004F3E42" w:rsidRPr="005C7CCE">
              <w:rPr>
                <w:sz w:val="16"/>
              </w:rPr>
              <w:t xml:space="preserve"> </w:t>
            </w:r>
            <w:r w:rsidR="0010442A" w:rsidRPr="005C7CCE">
              <w:rPr>
                <w:sz w:val="16"/>
              </w:rPr>
              <w:t xml:space="preserve"> </w:t>
            </w:r>
            <w:r w:rsidRPr="005C7CCE">
              <w:rPr>
                <w:sz w:val="16"/>
              </w:rPr>
              <w:t>Asie et Pacifique 9;</w:t>
            </w:r>
            <w:r w:rsidR="004F3E42" w:rsidRPr="005C7CCE">
              <w:rPr>
                <w:sz w:val="16"/>
              </w:rPr>
              <w:t xml:space="preserve"> </w:t>
            </w:r>
            <w:r w:rsidR="0010442A" w:rsidRPr="005C7CCE">
              <w:rPr>
                <w:sz w:val="16"/>
              </w:rPr>
              <w:t xml:space="preserve"> </w:t>
            </w:r>
            <w:r w:rsidRPr="005C7CCE">
              <w:rPr>
                <w:sz w:val="16"/>
              </w:rPr>
              <w:t>Amérique latine et Caraïbes 7).</w:t>
            </w:r>
          </w:p>
        </w:tc>
        <w:tc>
          <w:tcPr>
            <w:tcW w:w="534" w:type="pct"/>
            <w:shd w:val="clear" w:color="auto" w:fill="auto"/>
            <w:tcMar>
              <w:top w:w="110" w:type="dxa"/>
            </w:tcMar>
          </w:tcPr>
          <w:p w:rsidR="00F40E87" w:rsidRPr="005C7CCE" w:rsidRDefault="00F40E87" w:rsidP="00A515B4">
            <w:pPr>
              <w:keepNext/>
              <w:keepLines/>
              <w:spacing w:after="240"/>
              <w:jc w:val="center"/>
              <w:rPr>
                <w:rFonts w:cs="Arial"/>
                <w:color w:val="00B050"/>
                <w:sz w:val="16"/>
                <w:szCs w:val="16"/>
              </w:rPr>
            </w:pPr>
            <w:r w:rsidRPr="00B470C6">
              <w:rPr>
                <w:color w:val="008000"/>
                <w:sz w:val="16"/>
              </w:rPr>
              <w:t>Objectif pleinement atteint</w:t>
            </w:r>
          </w:p>
        </w:tc>
      </w:tr>
      <w:tr w:rsidR="00F40E87" w:rsidRPr="005C7CCE" w:rsidTr="00A515B4">
        <w:trPr>
          <w:cantSplit/>
        </w:trPr>
        <w:tc>
          <w:tcPr>
            <w:tcW w:w="911" w:type="pct"/>
            <w:shd w:val="clear" w:color="auto" w:fill="auto"/>
          </w:tcPr>
          <w:p w:rsidR="00F40E87" w:rsidRPr="00A515B4" w:rsidRDefault="00F40E87" w:rsidP="00A515B4">
            <w:pPr>
              <w:keepNext/>
              <w:keepLines/>
              <w:rPr>
                <w:rFonts w:cs="Arial"/>
                <w:sz w:val="16"/>
                <w:szCs w:val="16"/>
                <w:lang w:bidi="th-TH"/>
              </w:rPr>
            </w:pPr>
            <w:r w:rsidRPr="00A515B4">
              <w:rPr>
                <w:sz w:val="16"/>
              </w:rPr>
              <w:t>Pourcentage de pays satisfaits par les conseils législatifs fournis par l</w:t>
            </w:r>
            <w:r w:rsidR="00A20444" w:rsidRPr="00A515B4">
              <w:rPr>
                <w:sz w:val="16"/>
              </w:rPr>
              <w:t>’</w:t>
            </w:r>
            <w:r w:rsidRPr="00A515B4">
              <w:rPr>
                <w:sz w:val="16"/>
              </w:rPr>
              <w:t>OMPI en matière de brevets, modèles d</w:t>
            </w:r>
            <w:r w:rsidR="00A20444" w:rsidRPr="00A515B4">
              <w:rPr>
                <w:sz w:val="16"/>
              </w:rPr>
              <w:t>’</w:t>
            </w:r>
            <w:r w:rsidRPr="00A515B4">
              <w:rPr>
                <w:sz w:val="16"/>
              </w:rPr>
              <w:t>utilité, secrets commerciaux et circuits intégrés</w:t>
            </w:r>
          </w:p>
        </w:tc>
        <w:tc>
          <w:tcPr>
            <w:tcW w:w="1286" w:type="pct"/>
            <w:shd w:val="clear" w:color="auto" w:fill="auto"/>
          </w:tcPr>
          <w:p w:rsidR="00F40E87" w:rsidRPr="00A515B4" w:rsidRDefault="00F40E87" w:rsidP="00A515B4">
            <w:pPr>
              <w:keepNext/>
              <w:keepLines/>
              <w:rPr>
                <w:rFonts w:cs="Arial"/>
                <w:sz w:val="16"/>
                <w:szCs w:val="16"/>
                <w:lang w:bidi="th-TH"/>
              </w:rPr>
            </w:pPr>
            <w:r w:rsidRPr="00A515B4">
              <w:rPr>
                <w:sz w:val="16"/>
              </w:rPr>
              <w:t>Non disponible</w:t>
            </w:r>
          </w:p>
        </w:tc>
        <w:tc>
          <w:tcPr>
            <w:tcW w:w="753" w:type="pct"/>
            <w:shd w:val="clear" w:color="auto" w:fill="auto"/>
            <w:tcMar>
              <w:top w:w="110" w:type="dxa"/>
            </w:tcMar>
          </w:tcPr>
          <w:p w:rsidR="00F40E87" w:rsidRPr="005C7CCE" w:rsidRDefault="00F40E87" w:rsidP="00A515B4">
            <w:pPr>
              <w:keepNext/>
              <w:keepLines/>
              <w:rPr>
                <w:rFonts w:cs="Arial"/>
                <w:sz w:val="16"/>
                <w:szCs w:val="16"/>
                <w:lang w:bidi="th-TH"/>
              </w:rPr>
            </w:pPr>
            <w:r w:rsidRPr="005C7CCE">
              <w:rPr>
                <w:sz w:val="16"/>
              </w:rPr>
              <w:t>90</w:t>
            </w:r>
            <w:r w:rsidR="007E442D" w:rsidRPr="005C7CCE">
              <w:rPr>
                <w:sz w:val="16"/>
              </w:rPr>
              <w:t>%</w:t>
            </w:r>
          </w:p>
        </w:tc>
        <w:tc>
          <w:tcPr>
            <w:tcW w:w="1516" w:type="pct"/>
            <w:shd w:val="clear" w:color="auto" w:fill="FFFFFF"/>
            <w:tcMar>
              <w:top w:w="110" w:type="dxa"/>
            </w:tcMar>
          </w:tcPr>
          <w:p w:rsidR="00F40E87" w:rsidRPr="005C7CCE" w:rsidRDefault="00F40E87" w:rsidP="00A515B4">
            <w:pPr>
              <w:keepNext/>
              <w:keepLines/>
              <w:rPr>
                <w:rFonts w:cs="Arial"/>
                <w:sz w:val="16"/>
                <w:szCs w:val="16"/>
                <w:lang w:bidi="th-TH"/>
              </w:rPr>
            </w:pPr>
            <w:r w:rsidRPr="005C7CCE">
              <w:rPr>
                <w:sz w:val="16"/>
              </w:rPr>
              <w:t>Une enquête réalisée par la Division de l</w:t>
            </w:r>
            <w:r w:rsidR="00A20444" w:rsidRPr="005C7CCE">
              <w:rPr>
                <w:sz w:val="16"/>
              </w:rPr>
              <w:t>’</w:t>
            </w:r>
            <w:r w:rsidRPr="005C7CCE">
              <w:rPr>
                <w:sz w:val="16"/>
              </w:rPr>
              <w:t>audit et de la supervision internes couvrant un nombre représentatif d</w:t>
            </w:r>
            <w:r w:rsidR="00A20444" w:rsidRPr="005C7CCE">
              <w:rPr>
                <w:sz w:val="16"/>
              </w:rPr>
              <w:t>’</w:t>
            </w:r>
            <w:r w:rsidRPr="005C7CCE">
              <w:rPr>
                <w:sz w:val="16"/>
              </w:rPr>
              <w:t>États membres, bénéficiaires de conseils juridiques dispensés par l</w:t>
            </w:r>
            <w:r w:rsidR="00A20444" w:rsidRPr="005C7CCE">
              <w:rPr>
                <w:sz w:val="16"/>
              </w:rPr>
              <w:t>’</w:t>
            </w:r>
            <w:r w:rsidRPr="005C7CCE">
              <w:rPr>
                <w:sz w:val="16"/>
              </w:rPr>
              <w:t>OMPI, ainsi que des questionnaires d</w:t>
            </w:r>
            <w:r w:rsidR="00A20444" w:rsidRPr="005C7CCE">
              <w:rPr>
                <w:sz w:val="16"/>
              </w:rPr>
              <w:t>’</w:t>
            </w:r>
            <w:r w:rsidRPr="005C7CCE">
              <w:rPr>
                <w:sz w:val="16"/>
              </w:rPr>
              <w:t>évaluation reçus par le Secrétariat ont indiqué un niveau de satisfaction de plus de 90</w:t>
            </w:r>
            <w:r w:rsidR="007E442D" w:rsidRPr="005C7CCE">
              <w:rPr>
                <w:sz w:val="16"/>
              </w:rPr>
              <w:t>%</w:t>
            </w:r>
            <w:r w:rsidRPr="005C7CCE">
              <w:rPr>
                <w:sz w:val="16"/>
              </w:rPr>
              <w:t xml:space="preserve"> concernant la qualité de l</w:t>
            </w:r>
            <w:r w:rsidR="00A20444" w:rsidRPr="005C7CCE">
              <w:rPr>
                <w:sz w:val="16"/>
              </w:rPr>
              <w:t>’</w:t>
            </w:r>
            <w:r w:rsidRPr="005C7CCE">
              <w:rPr>
                <w:sz w:val="16"/>
              </w:rPr>
              <w:t xml:space="preserve">assistance fournie. </w:t>
            </w:r>
            <w:r w:rsidR="0010442A" w:rsidRPr="005C7CCE">
              <w:rPr>
                <w:sz w:val="16"/>
              </w:rPr>
              <w:t xml:space="preserve"> </w:t>
            </w:r>
            <w:r w:rsidRPr="005C7CCE">
              <w:rPr>
                <w:sz w:val="16"/>
              </w:rPr>
              <w:t>Un mécanisme d</w:t>
            </w:r>
            <w:r w:rsidR="00A20444" w:rsidRPr="005C7CCE">
              <w:rPr>
                <w:sz w:val="16"/>
              </w:rPr>
              <w:t>’</w:t>
            </w:r>
            <w:r w:rsidRPr="005C7CCE">
              <w:rPr>
                <w:sz w:val="16"/>
              </w:rPr>
              <w:t>évaluation systématique a été mis en place pour l</w:t>
            </w:r>
            <w:r w:rsidR="00A20444" w:rsidRPr="005C7CCE">
              <w:rPr>
                <w:sz w:val="16"/>
              </w:rPr>
              <w:t>’</w:t>
            </w:r>
            <w:r w:rsidRPr="005C7CCE">
              <w:rPr>
                <w:sz w:val="16"/>
              </w:rPr>
              <w:t>exercice biennal 2014</w:t>
            </w:r>
            <w:r w:rsidR="002D6F2A" w:rsidRPr="005C7CCE">
              <w:rPr>
                <w:sz w:val="16"/>
              </w:rPr>
              <w:noBreakHyphen/>
            </w:r>
            <w:r w:rsidRPr="005C7CCE">
              <w:rPr>
                <w:sz w:val="16"/>
              </w:rPr>
              <w:t>2015.</w:t>
            </w:r>
          </w:p>
        </w:tc>
        <w:tc>
          <w:tcPr>
            <w:tcW w:w="534" w:type="pct"/>
            <w:shd w:val="clear" w:color="auto" w:fill="auto"/>
          </w:tcPr>
          <w:p w:rsidR="00F40E87" w:rsidRPr="005C7CCE" w:rsidRDefault="00F40E87" w:rsidP="00A515B4">
            <w:pPr>
              <w:keepNext/>
              <w:keepLines/>
              <w:jc w:val="center"/>
              <w:rPr>
                <w:rFonts w:cs="Arial"/>
                <w:bCs/>
                <w:color w:val="333333"/>
                <w:sz w:val="16"/>
                <w:szCs w:val="16"/>
              </w:rPr>
            </w:pPr>
            <w:r w:rsidRPr="00B470C6">
              <w:rPr>
                <w:color w:val="008000"/>
                <w:sz w:val="16"/>
              </w:rPr>
              <w:t>Objectif pleinement atteint</w:t>
            </w:r>
          </w:p>
        </w:tc>
      </w:tr>
      <w:tr w:rsidR="00F40E87" w:rsidRPr="005C7CCE" w:rsidTr="00A515B4">
        <w:trPr>
          <w:cantSplit/>
        </w:trPr>
        <w:tc>
          <w:tcPr>
            <w:tcW w:w="911" w:type="pct"/>
            <w:shd w:val="clear" w:color="auto" w:fill="auto"/>
          </w:tcPr>
          <w:p w:rsidR="00F40E87" w:rsidRPr="00A515B4" w:rsidRDefault="00F40E87" w:rsidP="001A5BF9">
            <w:pPr>
              <w:rPr>
                <w:rFonts w:cs="Arial"/>
                <w:sz w:val="16"/>
                <w:szCs w:val="16"/>
                <w:lang w:bidi="th-TH"/>
              </w:rPr>
            </w:pPr>
            <w:r w:rsidRPr="00A515B4">
              <w:rPr>
                <w:sz w:val="16"/>
              </w:rPr>
              <w:t>Pourcentage des États membres satisfaits par les informations fournies au sujet des principes et des pratiques juridiques du système des brevets y</w:t>
            </w:r>
            <w:r w:rsidR="0010442A" w:rsidRPr="00A515B4">
              <w:rPr>
                <w:sz w:val="16"/>
              </w:rPr>
              <w:t> </w:t>
            </w:r>
            <w:r w:rsidRPr="00A515B4">
              <w:rPr>
                <w:sz w:val="16"/>
              </w:rPr>
              <w:t>compris les éléments de flexibilité existant présents dans le système et les difficultés auxquelles ce système est confronté</w:t>
            </w:r>
          </w:p>
        </w:tc>
        <w:tc>
          <w:tcPr>
            <w:tcW w:w="1286" w:type="pct"/>
            <w:shd w:val="clear" w:color="auto" w:fill="auto"/>
          </w:tcPr>
          <w:p w:rsidR="00D42474" w:rsidRDefault="00F40E87" w:rsidP="001A5BF9">
            <w:pPr>
              <w:rPr>
                <w:rFonts w:cs="Arial"/>
                <w:i/>
                <w:color w:val="002060"/>
                <w:sz w:val="16"/>
                <w:szCs w:val="16"/>
              </w:rPr>
            </w:pPr>
            <w:r w:rsidRPr="005C7CCE">
              <w:rPr>
                <w:i/>
                <w:color w:val="002060"/>
                <w:sz w:val="16"/>
              </w:rPr>
              <w:t>Niveau de référence actualisé</w:t>
            </w:r>
            <w:r w:rsidRPr="005C7CCE">
              <w:br/>
            </w:r>
            <w:r w:rsidRPr="005C7CCE">
              <w:rPr>
                <w:i/>
                <w:color w:val="002060"/>
                <w:sz w:val="16"/>
              </w:rPr>
              <w:t xml:space="preserve">fin 2011 : </w:t>
            </w:r>
            <w:r w:rsidR="00A515B4">
              <w:rPr>
                <w:color w:val="002060"/>
                <w:sz w:val="16"/>
              </w:rPr>
              <w:t>l</w:t>
            </w:r>
            <w:r w:rsidRPr="005C7CCE">
              <w:rPr>
                <w:color w:val="002060"/>
                <w:sz w:val="16"/>
              </w:rPr>
              <w:t>es rapports du SCP et du CDIP précisent les réactions des États membres (statistiques non disponibles)</w:t>
            </w:r>
          </w:p>
          <w:p w:rsidR="00D42474" w:rsidRDefault="00D42474" w:rsidP="001A5BF9">
            <w:pPr>
              <w:rPr>
                <w:rFonts w:cs="Arial"/>
                <w:sz w:val="8"/>
                <w:szCs w:val="8"/>
                <w:lang w:bidi="th-TH"/>
              </w:rPr>
            </w:pPr>
          </w:p>
          <w:p w:rsidR="00F40E87" w:rsidRPr="005C7CCE" w:rsidRDefault="00F40E87" w:rsidP="00A515B4">
            <w:pPr>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w:t>
            </w:r>
            <w:r w:rsidR="00A515B4">
              <w:rPr>
                <w:sz w:val="16"/>
              </w:rPr>
              <w:t>d</w:t>
            </w:r>
            <w:r w:rsidRPr="005C7CCE">
              <w:rPr>
                <w:sz w:val="16"/>
              </w:rPr>
              <w:t>onnées non disponibles</w:t>
            </w:r>
          </w:p>
        </w:tc>
        <w:tc>
          <w:tcPr>
            <w:tcW w:w="753" w:type="pct"/>
            <w:shd w:val="clear" w:color="auto" w:fill="auto"/>
            <w:tcMar>
              <w:top w:w="110" w:type="dxa"/>
            </w:tcMar>
          </w:tcPr>
          <w:p w:rsidR="00F40E87" w:rsidRPr="005C7CCE" w:rsidRDefault="00F40E87" w:rsidP="001A5BF9">
            <w:pPr>
              <w:rPr>
                <w:rFonts w:cs="Arial"/>
                <w:sz w:val="16"/>
                <w:szCs w:val="16"/>
                <w:lang w:bidi="th-TH"/>
              </w:rPr>
            </w:pPr>
            <w:r w:rsidRPr="005C7CCE">
              <w:rPr>
                <w:sz w:val="16"/>
              </w:rPr>
              <w:t>90</w:t>
            </w:r>
            <w:r w:rsidR="007E442D" w:rsidRPr="005C7CCE">
              <w:rPr>
                <w:sz w:val="16"/>
              </w:rPr>
              <w:t>%</w:t>
            </w:r>
          </w:p>
        </w:tc>
        <w:tc>
          <w:tcPr>
            <w:tcW w:w="1516" w:type="pct"/>
            <w:shd w:val="clear" w:color="auto" w:fill="FFFFFF"/>
            <w:tcMar>
              <w:top w:w="110" w:type="dxa"/>
            </w:tcMar>
          </w:tcPr>
          <w:p w:rsidR="00F40E87" w:rsidRPr="005C7CCE" w:rsidRDefault="00F40E87" w:rsidP="001A5BF9">
            <w:pPr>
              <w:rPr>
                <w:rFonts w:cs="Arial"/>
                <w:sz w:val="16"/>
                <w:szCs w:val="16"/>
                <w:lang w:bidi="th-TH"/>
              </w:rPr>
            </w:pPr>
            <w:r w:rsidRPr="005C7CCE">
              <w:rPr>
                <w:sz w:val="16"/>
              </w:rPr>
              <w:t>Toutes les réactions reçues indiquaient que les informations fournies étaient utiles.</w:t>
            </w:r>
            <w:r w:rsidR="0010442A" w:rsidRPr="005C7CCE">
              <w:rPr>
                <w:sz w:val="16"/>
              </w:rPr>
              <w:t xml:space="preserve"> </w:t>
            </w:r>
            <w:r w:rsidRPr="005C7CCE">
              <w:rPr>
                <w:sz w:val="16"/>
              </w:rPr>
              <w:t xml:space="preserve"> Selon une enquête menée conjointement avec l</w:t>
            </w:r>
            <w:r w:rsidR="00A20444" w:rsidRPr="005C7CCE">
              <w:rPr>
                <w:sz w:val="16"/>
              </w:rPr>
              <w:t>’</w:t>
            </w:r>
            <w:r w:rsidRPr="005C7CCE">
              <w:rPr>
                <w:sz w:val="16"/>
              </w:rPr>
              <w:t>évaluation du programme 1 de la Division de l</w:t>
            </w:r>
            <w:r w:rsidR="00A20444" w:rsidRPr="005C7CCE">
              <w:rPr>
                <w:sz w:val="16"/>
              </w:rPr>
              <w:t>’</w:t>
            </w:r>
            <w:r w:rsidRPr="005C7CCE">
              <w:rPr>
                <w:sz w:val="16"/>
              </w:rPr>
              <w:t>audit et de la supervision internes, plus de 90</w:t>
            </w:r>
            <w:r w:rsidR="007E442D" w:rsidRPr="005C7CCE">
              <w:rPr>
                <w:sz w:val="16"/>
              </w:rPr>
              <w:t>%</w:t>
            </w:r>
            <w:r w:rsidRPr="005C7CCE">
              <w:rPr>
                <w:sz w:val="16"/>
              </w:rPr>
              <w:t xml:space="preserve"> des participants ont jugé la qualité des documents de fond préparés par le Secrétariat “excellente” ou “bonne”.</w:t>
            </w:r>
          </w:p>
        </w:tc>
        <w:tc>
          <w:tcPr>
            <w:tcW w:w="534" w:type="pct"/>
            <w:shd w:val="clear" w:color="auto" w:fill="auto"/>
            <w:tcMar>
              <w:top w:w="110" w:type="dxa"/>
            </w:tcMar>
          </w:tcPr>
          <w:p w:rsidR="00F40E87" w:rsidRPr="005C7CCE" w:rsidRDefault="00F40E87" w:rsidP="001A5BF9">
            <w:pPr>
              <w:keepNext/>
              <w:keepLines/>
              <w:spacing w:after="120"/>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F40E87" w:rsidRPr="005C7CCE" w:rsidTr="00A515B4">
        <w:trPr>
          <w:cantSplit/>
        </w:trPr>
        <w:tc>
          <w:tcPr>
            <w:tcW w:w="911" w:type="pct"/>
            <w:shd w:val="clear" w:color="auto" w:fill="auto"/>
          </w:tcPr>
          <w:p w:rsidR="00F40E87" w:rsidRPr="00A515B4" w:rsidRDefault="00F40E87" w:rsidP="001A5BF9">
            <w:pPr>
              <w:rPr>
                <w:rFonts w:cs="Arial"/>
                <w:sz w:val="16"/>
                <w:szCs w:val="16"/>
                <w:lang w:bidi="th-TH"/>
              </w:rPr>
            </w:pPr>
            <w:r w:rsidRPr="00A515B4">
              <w:rPr>
                <w:sz w:val="16"/>
              </w:rPr>
              <w:t>Pourcentage de participants satisfaits dans des ateliers</w:t>
            </w:r>
            <w:r w:rsidR="00BD43F2" w:rsidRPr="00A515B4">
              <w:rPr>
                <w:sz w:val="16"/>
              </w:rPr>
              <w:t>/</w:t>
            </w:r>
            <w:r w:rsidRPr="00A515B4">
              <w:rPr>
                <w:sz w:val="16"/>
              </w:rPr>
              <w:t xml:space="preserve">séminaires ciblés, organisés sur des questions spécifiques aux brevets </w:t>
            </w:r>
          </w:p>
        </w:tc>
        <w:tc>
          <w:tcPr>
            <w:tcW w:w="1286" w:type="pct"/>
            <w:shd w:val="clear" w:color="auto" w:fill="auto"/>
          </w:tcPr>
          <w:p w:rsidR="00F40E87" w:rsidRPr="00A515B4" w:rsidRDefault="00F40E87" w:rsidP="001A5BF9">
            <w:pPr>
              <w:rPr>
                <w:rFonts w:cs="Arial"/>
                <w:sz w:val="16"/>
                <w:szCs w:val="16"/>
                <w:lang w:bidi="th-TH"/>
              </w:rPr>
            </w:pPr>
            <w:r w:rsidRPr="00A515B4">
              <w:rPr>
                <w:sz w:val="16"/>
              </w:rPr>
              <w:t>Non disponible</w:t>
            </w:r>
          </w:p>
        </w:tc>
        <w:tc>
          <w:tcPr>
            <w:tcW w:w="753" w:type="pct"/>
            <w:shd w:val="clear" w:color="auto" w:fill="auto"/>
            <w:tcMar>
              <w:top w:w="110" w:type="dxa"/>
            </w:tcMar>
          </w:tcPr>
          <w:p w:rsidR="00F40E87" w:rsidRPr="005C7CCE" w:rsidRDefault="00F40E87" w:rsidP="001A5BF9">
            <w:pPr>
              <w:rPr>
                <w:rFonts w:cs="Arial"/>
                <w:i/>
                <w:sz w:val="16"/>
                <w:szCs w:val="16"/>
                <w:lang w:bidi="th-TH"/>
              </w:rPr>
            </w:pPr>
            <w:r w:rsidRPr="005C7CCE">
              <w:rPr>
                <w:sz w:val="16"/>
              </w:rPr>
              <w:t>90</w:t>
            </w:r>
            <w:r w:rsidR="007E442D" w:rsidRPr="005C7CCE">
              <w:rPr>
                <w:sz w:val="16"/>
              </w:rPr>
              <w:t>%</w:t>
            </w:r>
          </w:p>
        </w:tc>
        <w:tc>
          <w:tcPr>
            <w:tcW w:w="1516" w:type="pct"/>
            <w:shd w:val="clear" w:color="auto" w:fill="FFFFFF"/>
            <w:tcMar>
              <w:top w:w="110" w:type="dxa"/>
            </w:tcMar>
          </w:tcPr>
          <w:p w:rsidR="00F40E87" w:rsidRPr="005C7CCE" w:rsidRDefault="00F40E87" w:rsidP="001A5BF9">
            <w:pPr>
              <w:rPr>
                <w:rFonts w:cs="Arial"/>
                <w:sz w:val="16"/>
                <w:szCs w:val="16"/>
              </w:rPr>
            </w:pPr>
            <w:r w:rsidRPr="005C7CCE">
              <w:rPr>
                <w:sz w:val="16"/>
              </w:rPr>
              <w:t>92,5</w:t>
            </w:r>
            <w:r w:rsidR="007E442D" w:rsidRPr="005C7CCE">
              <w:rPr>
                <w:sz w:val="16"/>
              </w:rPr>
              <w:t>%</w:t>
            </w:r>
            <w:r w:rsidRPr="005C7CCE">
              <w:rPr>
                <w:sz w:val="16"/>
              </w:rPr>
              <w:t> des participants aux ateliers/séminaires organisés par le programme se sont déclarés satisfaits des manifestations organisées.</w:t>
            </w:r>
          </w:p>
        </w:tc>
        <w:tc>
          <w:tcPr>
            <w:tcW w:w="534" w:type="pct"/>
            <w:shd w:val="clear" w:color="auto" w:fill="auto"/>
          </w:tcPr>
          <w:p w:rsidR="00D42474" w:rsidRDefault="00F40E87" w:rsidP="001A5BF9">
            <w:pPr>
              <w:keepNext/>
              <w:keepLines/>
              <w:jc w:val="center"/>
              <w:rPr>
                <w:rStyle w:val="Style5"/>
                <w:rFonts w:ascii="Arial" w:hAnsi="Arial" w:cs="Arial"/>
                <w:color w:val="008000"/>
                <w:sz w:val="16"/>
                <w:szCs w:val="16"/>
              </w:rPr>
            </w:pPr>
            <w:r w:rsidRPr="00B470C6">
              <w:rPr>
                <w:rStyle w:val="Style5"/>
                <w:rFonts w:ascii="Arial" w:hAnsi="Arial"/>
                <w:color w:val="008000"/>
                <w:sz w:val="16"/>
              </w:rPr>
              <w:t>Objectif pleinement atteint</w:t>
            </w:r>
          </w:p>
          <w:p w:rsidR="00F40E87" w:rsidRPr="005C7CCE" w:rsidRDefault="00F40E87" w:rsidP="001A5BF9">
            <w:pPr>
              <w:keepNext/>
              <w:keepLines/>
              <w:jc w:val="center"/>
              <w:rPr>
                <w:rFonts w:cs="Arial"/>
                <w:bCs/>
                <w:color w:val="333333"/>
                <w:sz w:val="16"/>
                <w:szCs w:val="16"/>
              </w:rPr>
            </w:pPr>
          </w:p>
        </w:tc>
      </w:tr>
    </w:tbl>
    <w:p w:rsidR="00D42474" w:rsidRDefault="00D42474" w:rsidP="001A5BF9">
      <w:pPr>
        <w:rPr>
          <w:szCs w:val="20"/>
        </w:rPr>
      </w:pPr>
    </w:p>
    <w:p w:rsidR="00D42474" w:rsidRDefault="00D42474" w:rsidP="001A5BF9">
      <w:pPr>
        <w:rPr>
          <w:szCs w:val="20"/>
        </w:rPr>
      </w:pPr>
    </w:p>
    <w:p w:rsidR="00D42474" w:rsidRDefault="00A515B4">
      <w:pPr>
        <w:rPr>
          <w:rFonts w:cs="Arial"/>
          <w:sz w:val="22"/>
          <w:szCs w:val="18"/>
        </w:rPr>
      </w:pPr>
      <w:r>
        <w:rPr>
          <w:color w:val="008000"/>
          <w:sz w:val="22"/>
        </w:rPr>
        <w:br w:type="page"/>
      </w:r>
    </w:p>
    <w:p w:rsidR="00D42474" w:rsidRDefault="00F40E87" w:rsidP="001A5BF9">
      <w:pPr>
        <w:pStyle w:val="NormalWeb"/>
        <w:spacing w:before="0" w:beforeAutospacing="0" w:after="0" w:afterAutospacing="0"/>
        <w:rPr>
          <w:sz w:val="22"/>
          <w:szCs w:val="22"/>
        </w:rPr>
      </w:pPr>
      <w:r w:rsidRPr="00A515B4">
        <w:rPr>
          <w:sz w:val="22"/>
        </w:rPr>
        <w:t>BUDGET ET DÉPENSES EFFECTIVES</w:t>
      </w:r>
    </w:p>
    <w:p w:rsidR="00D42474" w:rsidRDefault="00D42474" w:rsidP="001A5BF9">
      <w:pPr>
        <w:rPr>
          <w:szCs w:val="20"/>
        </w:rPr>
      </w:pPr>
    </w:p>
    <w:p w:rsidR="00D42474" w:rsidRDefault="00D42474" w:rsidP="001A5BF9">
      <w:pPr>
        <w:rPr>
          <w:szCs w:val="20"/>
        </w:rPr>
      </w:pPr>
    </w:p>
    <w:p w:rsidR="00D42474" w:rsidRDefault="00F40E87" w:rsidP="001A5BF9">
      <w:pPr>
        <w:pStyle w:val="NormalWeb"/>
        <w:spacing w:before="0" w:beforeAutospacing="0" w:after="0" w:afterAutospacing="0"/>
        <w:jc w:val="center"/>
        <w:rPr>
          <w:sz w:val="20"/>
          <w:szCs w:val="20"/>
        </w:rPr>
      </w:pPr>
      <w:r w:rsidRPr="00A515B4">
        <w:rPr>
          <w:sz w:val="20"/>
        </w:rPr>
        <w:t>Budget et dépenses effectives (par résultat)</w:t>
      </w:r>
    </w:p>
    <w:p w:rsidR="00D42474" w:rsidRDefault="00F40E87" w:rsidP="001A5BF9">
      <w:pPr>
        <w:pStyle w:val="NormalWeb"/>
        <w:spacing w:before="0" w:beforeAutospacing="0" w:after="0" w:afterAutospacing="0"/>
        <w:jc w:val="center"/>
        <w:rPr>
          <w:i/>
          <w:iCs/>
          <w:sz w:val="20"/>
          <w:szCs w:val="20"/>
        </w:rPr>
      </w:pPr>
      <w:r w:rsidRPr="00A515B4">
        <w:rPr>
          <w:i/>
          <w:sz w:val="20"/>
        </w:rPr>
        <w:t>(</w:t>
      </w:r>
      <w:proofErr w:type="gramStart"/>
      <w:r w:rsidRPr="00A515B4">
        <w:rPr>
          <w:i/>
          <w:sz w:val="20"/>
        </w:rPr>
        <w:t>en</w:t>
      </w:r>
      <w:proofErr w:type="gramEnd"/>
      <w:r w:rsidRPr="00A515B4">
        <w:rPr>
          <w:i/>
          <w:sz w:val="20"/>
        </w:rPr>
        <w:t xml:space="preserve"> milliers de francs suisses)</w:t>
      </w:r>
    </w:p>
    <w:p w:rsidR="00F40E87" w:rsidRPr="00A515B4" w:rsidRDefault="00F40E87" w:rsidP="001A5BF9"/>
    <w:tbl>
      <w:tblPr>
        <w:tblW w:w="0" w:type="auto"/>
        <w:tblInd w:w="108" w:type="dxa"/>
        <w:tblLayout w:type="fixed"/>
        <w:tblLook w:val="04A0" w:firstRow="1" w:lastRow="0" w:firstColumn="1" w:lastColumn="0" w:noHBand="0" w:noVBand="1"/>
      </w:tblPr>
      <w:tblGrid>
        <w:gridCol w:w="709"/>
        <w:gridCol w:w="4536"/>
        <w:gridCol w:w="1417"/>
        <w:gridCol w:w="1418"/>
        <w:gridCol w:w="1276"/>
      </w:tblGrid>
      <w:tr w:rsidR="00F40E87" w:rsidRPr="00A515B4" w:rsidTr="00BB3F3E">
        <w:tc>
          <w:tcPr>
            <w:tcW w:w="5245"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F40E87" w:rsidRPr="00A515B4" w:rsidRDefault="00F40E87" w:rsidP="001A5BF9">
            <w:pPr>
              <w:spacing w:before="120" w:after="120"/>
              <w:jc w:val="center"/>
              <w:rPr>
                <w:rFonts w:cs="Arial"/>
                <w:bCs/>
                <w:sz w:val="16"/>
                <w:szCs w:val="16"/>
              </w:rPr>
            </w:pPr>
            <w:r w:rsidRPr="00A515B4">
              <w:rPr>
                <w:sz w:val="16"/>
              </w:rPr>
              <w:t>Numéro et description du résultat escompté</w:t>
            </w:r>
          </w:p>
        </w:tc>
        <w:tc>
          <w:tcPr>
            <w:tcW w:w="1417" w:type="dxa"/>
            <w:tcBorders>
              <w:top w:val="single" w:sz="4" w:space="0" w:color="auto"/>
              <w:left w:val="nil"/>
              <w:bottom w:val="single" w:sz="4" w:space="0" w:color="auto"/>
              <w:right w:val="single" w:sz="4" w:space="0" w:color="auto"/>
            </w:tcBorders>
            <w:shd w:val="clear" w:color="000000" w:fill="CCFFFF"/>
            <w:vAlign w:val="center"/>
          </w:tcPr>
          <w:p w:rsidR="00F40E87" w:rsidRPr="00A515B4" w:rsidRDefault="00F40E87" w:rsidP="001A5BF9">
            <w:pPr>
              <w:spacing w:before="120" w:after="120"/>
              <w:jc w:val="center"/>
              <w:rPr>
                <w:rFonts w:cs="Arial"/>
                <w:bCs/>
                <w:sz w:val="16"/>
                <w:szCs w:val="16"/>
              </w:rPr>
            </w:pPr>
            <w:r w:rsidRPr="00A515B4">
              <w:rPr>
                <w:sz w:val="16"/>
              </w:rPr>
              <w:t>Budget</w:t>
            </w:r>
            <w:r w:rsidRPr="00A515B4">
              <w:br/>
            </w:r>
            <w:r w:rsidRPr="00A515B4">
              <w:rPr>
                <w:sz w:val="16"/>
              </w:rPr>
              <w:t>2012–2013 approuvé</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F40E87" w:rsidRPr="00A515B4" w:rsidRDefault="00F40E87" w:rsidP="001A5BF9">
            <w:pPr>
              <w:spacing w:before="120" w:after="120"/>
              <w:jc w:val="center"/>
              <w:rPr>
                <w:rFonts w:cs="Arial"/>
                <w:bCs/>
                <w:sz w:val="16"/>
                <w:szCs w:val="16"/>
              </w:rPr>
            </w:pPr>
            <w:r w:rsidRPr="00A515B4">
              <w:rPr>
                <w:sz w:val="16"/>
              </w:rPr>
              <w:t>Budget</w:t>
            </w:r>
            <w:r w:rsidRPr="00A515B4">
              <w:br/>
            </w:r>
            <w:r w:rsidRPr="00A515B4">
              <w:rPr>
                <w:sz w:val="16"/>
              </w:rPr>
              <w:t>2012</w:t>
            </w:r>
            <w:r w:rsidR="002D6F2A" w:rsidRPr="00A515B4">
              <w:rPr>
                <w:sz w:val="16"/>
              </w:rPr>
              <w:noBreakHyphen/>
            </w:r>
            <w:r w:rsidRPr="00A515B4">
              <w:rPr>
                <w:sz w:val="16"/>
              </w:rPr>
              <w:t>2013 après virements</w:t>
            </w:r>
          </w:p>
        </w:tc>
        <w:tc>
          <w:tcPr>
            <w:tcW w:w="1276" w:type="dxa"/>
            <w:tcBorders>
              <w:top w:val="single" w:sz="4" w:space="0" w:color="auto"/>
              <w:left w:val="nil"/>
              <w:bottom w:val="single" w:sz="4" w:space="0" w:color="auto"/>
              <w:right w:val="single" w:sz="4" w:space="0" w:color="auto"/>
            </w:tcBorders>
            <w:shd w:val="clear" w:color="000000" w:fill="CCFFFF"/>
            <w:vAlign w:val="center"/>
          </w:tcPr>
          <w:p w:rsidR="00F40E87" w:rsidRPr="00A515B4" w:rsidRDefault="00F40E87" w:rsidP="001A5BF9">
            <w:pPr>
              <w:spacing w:before="120" w:after="120"/>
              <w:jc w:val="center"/>
              <w:rPr>
                <w:rFonts w:cs="Arial"/>
                <w:bCs/>
                <w:sz w:val="16"/>
                <w:szCs w:val="16"/>
              </w:rPr>
            </w:pPr>
            <w:r w:rsidRPr="00A515B4">
              <w:rPr>
                <w:sz w:val="16"/>
              </w:rPr>
              <w:t>Dépenses</w:t>
            </w:r>
            <w:r w:rsidRPr="00A515B4">
              <w:br/>
            </w:r>
            <w:r w:rsidRPr="00A515B4">
              <w:rPr>
                <w:sz w:val="16"/>
              </w:rPr>
              <w:t>2012</w:t>
            </w:r>
            <w:r w:rsidR="002D6F2A" w:rsidRPr="00A515B4">
              <w:rPr>
                <w:sz w:val="16"/>
              </w:rPr>
              <w:noBreakHyphen/>
            </w:r>
            <w:r w:rsidRPr="00A515B4">
              <w:rPr>
                <w:sz w:val="16"/>
              </w:rPr>
              <w:t>2013</w:t>
            </w:r>
          </w:p>
        </w:tc>
      </w:tr>
      <w:tr w:rsidR="00F40E87" w:rsidRPr="00A515B4" w:rsidTr="00BB3F3E">
        <w:tc>
          <w:tcPr>
            <w:tcW w:w="709" w:type="dxa"/>
            <w:tcBorders>
              <w:top w:val="nil"/>
              <w:left w:val="single" w:sz="4" w:space="0" w:color="auto"/>
              <w:bottom w:val="nil"/>
              <w:right w:val="nil"/>
            </w:tcBorders>
            <w:shd w:val="clear" w:color="000000" w:fill="FFFFFF"/>
            <w:noWrap/>
          </w:tcPr>
          <w:p w:rsidR="00F40E87" w:rsidRPr="00A515B4" w:rsidRDefault="00F40E87" w:rsidP="001A5BF9">
            <w:pPr>
              <w:spacing w:before="120"/>
              <w:jc w:val="center"/>
              <w:rPr>
                <w:rFonts w:cs="Arial"/>
                <w:sz w:val="16"/>
                <w:szCs w:val="16"/>
              </w:rPr>
            </w:pPr>
            <w:proofErr w:type="spellStart"/>
            <w:r w:rsidRPr="00A515B4">
              <w:rPr>
                <w:sz w:val="16"/>
              </w:rPr>
              <w:t>I.1</w:t>
            </w:r>
            <w:proofErr w:type="spellEnd"/>
          </w:p>
        </w:tc>
        <w:tc>
          <w:tcPr>
            <w:tcW w:w="4536" w:type="dxa"/>
            <w:tcBorders>
              <w:top w:val="nil"/>
              <w:left w:val="nil"/>
              <w:bottom w:val="nil"/>
              <w:right w:val="nil"/>
            </w:tcBorders>
            <w:shd w:val="clear" w:color="000000" w:fill="FFFFFF"/>
          </w:tcPr>
          <w:p w:rsidR="00F40E87" w:rsidRPr="00A515B4" w:rsidRDefault="00F40E87" w:rsidP="001A5BF9">
            <w:pPr>
              <w:spacing w:before="120"/>
              <w:rPr>
                <w:rFonts w:cs="Arial"/>
                <w:sz w:val="16"/>
                <w:szCs w:val="16"/>
              </w:rPr>
            </w:pPr>
            <w:r w:rsidRPr="00A515B4">
              <w:rPr>
                <w:sz w:val="16"/>
              </w:rPr>
              <w:t>Coopération et consensus renforcés entre les États membres en ce qui concerne le développement des cadres politiques et juridiques pour le système international des brevets, les marques, les dessins et modèles industriels, les indications géographiques, le droit d</w:t>
            </w:r>
            <w:r w:rsidR="00A20444" w:rsidRPr="00A515B4">
              <w:rPr>
                <w:sz w:val="16"/>
              </w:rPr>
              <w:t>’</w:t>
            </w:r>
            <w:r w:rsidRPr="00A515B4">
              <w:rPr>
                <w:sz w:val="16"/>
              </w:rPr>
              <w:t>auteur et les droits connexes, les savoirs traditionnels, les expressions culturelles traditionnelles et les ressources génétiques</w:t>
            </w:r>
          </w:p>
        </w:tc>
        <w:tc>
          <w:tcPr>
            <w:tcW w:w="1417" w:type="dxa"/>
            <w:tcBorders>
              <w:top w:val="nil"/>
              <w:left w:val="nil"/>
              <w:bottom w:val="nil"/>
              <w:right w:val="nil"/>
            </w:tcBorders>
            <w:shd w:val="clear" w:color="000000" w:fill="FFFFFF"/>
            <w:vAlign w:val="center"/>
          </w:tcPr>
          <w:p w:rsidR="00F40E87" w:rsidRPr="00A515B4" w:rsidRDefault="00F40E87" w:rsidP="001A5BF9">
            <w:pPr>
              <w:spacing w:before="120"/>
              <w:jc w:val="right"/>
              <w:rPr>
                <w:rFonts w:cs="Arial"/>
                <w:sz w:val="16"/>
                <w:szCs w:val="16"/>
              </w:rPr>
            </w:pPr>
            <w:r w:rsidRPr="00A515B4">
              <w:rPr>
                <w:sz w:val="16"/>
              </w:rPr>
              <w:t xml:space="preserve">3 105 </w:t>
            </w:r>
          </w:p>
        </w:tc>
        <w:tc>
          <w:tcPr>
            <w:tcW w:w="1418" w:type="dxa"/>
            <w:tcBorders>
              <w:top w:val="nil"/>
              <w:left w:val="nil"/>
              <w:bottom w:val="nil"/>
              <w:right w:val="nil"/>
            </w:tcBorders>
            <w:shd w:val="clear" w:color="000000" w:fill="FFFFFF"/>
            <w:vAlign w:val="center"/>
          </w:tcPr>
          <w:p w:rsidR="00F40E87" w:rsidRPr="00A515B4" w:rsidRDefault="00F40E87" w:rsidP="001A5BF9">
            <w:pPr>
              <w:spacing w:before="120"/>
              <w:jc w:val="right"/>
              <w:rPr>
                <w:rFonts w:cs="Arial"/>
                <w:sz w:val="16"/>
                <w:szCs w:val="16"/>
              </w:rPr>
            </w:pPr>
            <w:r w:rsidRPr="00A515B4">
              <w:rPr>
                <w:sz w:val="16"/>
              </w:rPr>
              <w:t xml:space="preserve">2 914 </w:t>
            </w:r>
          </w:p>
        </w:tc>
        <w:tc>
          <w:tcPr>
            <w:tcW w:w="1276" w:type="dxa"/>
            <w:tcBorders>
              <w:top w:val="nil"/>
              <w:left w:val="nil"/>
              <w:bottom w:val="nil"/>
              <w:right w:val="single" w:sz="4" w:space="0" w:color="auto"/>
            </w:tcBorders>
            <w:shd w:val="clear" w:color="000000" w:fill="FFFFFF"/>
            <w:vAlign w:val="center"/>
          </w:tcPr>
          <w:p w:rsidR="00F40E87" w:rsidRPr="00A515B4" w:rsidRDefault="00F40E87" w:rsidP="001A5BF9">
            <w:pPr>
              <w:spacing w:before="120"/>
              <w:jc w:val="right"/>
              <w:rPr>
                <w:rFonts w:cs="Arial"/>
                <w:sz w:val="16"/>
                <w:szCs w:val="16"/>
              </w:rPr>
            </w:pPr>
            <w:r w:rsidRPr="00A515B4">
              <w:rPr>
                <w:sz w:val="16"/>
              </w:rPr>
              <w:t xml:space="preserve">2 677 </w:t>
            </w:r>
          </w:p>
        </w:tc>
      </w:tr>
      <w:tr w:rsidR="00F40E87" w:rsidRPr="00A515B4" w:rsidTr="00BB3F3E">
        <w:tc>
          <w:tcPr>
            <w:tcW w:w="709" w:type="dxa"/>
            <w:tcBorders>
              <w:top w:val="nil"/>
              <w:left w:val="single" w:sz="4" w:space="0" w:color="auto"/>
              <w:bottom w:val="nil"/>
              <w:right w:val="nil"/>
            </w:tcBorders>
            <w:shd w:val="clear" w:color="000000" w:fill="FFFFFF"/>
            <w:noWrap/>
          </w:tcPr>
          <w:p w:rsidR="00F40E87" w:rsidRPr="00A515B4" w:rsidRDefault="00F40E87" w:rsidP="001A5BF9">
            <w:pPr>
              <w:spacing w:before="120"/>
              <w:jc w:val="center"/>
              <w:rPr>
                <w:rFonts w:cs="Arial"/>
                <w:sz w:val="16"/>
                <w:szCs w:val="16"/>
              </w:rPr>
            </w:pPr>
            <w:proofErr w:type="spellStart"/>
            <w:r w:rsidRPr="00A515B4">
              <w:rPr>
                <w:sz w:val="16"/>
              </w:rPr>
              <w:t>I.4</w:t>
            </w:r>
            <w:proofErr w:type="spellEnd"/>
          </w:p>
        </w:tc>
        <w:tc>
          <w:tcPr>
            <w:tcW w:w="4536" w:type="dxa"/>
            <w:tcBorders>
              <w:top w:val="nil"/>
              <w:left w:val="nil"/>
              <w:bottom w:val="nil"/>
              <w:right w:val="nil"/>
            </w:tcBorders>
            <w:shd w:val="clear" w:color="000000" w:fill="FFFFFF"/>
          </w:tcPr>
          <w:p w:rsidR="00F40E87" w:rsidRPr="00A515B4" w:rsidRDefault="00F40E87" w:rsidP="001A5BF9">
            <w:pPr>
              <w:spacing w:before="120"/>
              <w:rPr>
                <w:rFonts w:cs="Arial"/>
                <w:sz w:val="16"/>
                <w:szCs w:val="16"/>
              </w:rPr>
            </w:pPr>
            <w:r w:rsidRPr="00A515B4">
              <w:rPr>
                <w:sz w:val="16"/>
              </w:rPr>
              <w:t>Cadres législatifs, réglementaires et politiques de propriété intellectuelle adaptés et équilibrés</w:t>
            </w:r>
          </w:p>
        </w:tc>
        <w:tc>
          <w:tcPr>
            <w:tcW w:w="1417" w:type="dxa"/>
            <w:tcBorders>
              <w:top w:val="nil"/>
              <w:left w:val="nil"/>
              <w:bottom w:val="nil"/>
              <w:right w:val="nil"/>
            </w:tcBorders>
            <w:shd w:val="clear" w:color="000000" w:fill="FFFFFF"/>
            <w:vAlign w:val="center"/>
          </w:tcPr>
          <w:p w:rsidR="00F40E87" w:rsidRPr="00A515B4" w:rsidRDefault="00F40E87" w:rsidP="001A5BF9">
            <w:pPr>
              <w:spacing w:before="120"/>
              <w:jc w:val="right"/>
              <w:rPr>
                <w:rFonts w:cs="Arial"/>
                <w:sz w:val="16"/>
                <w:szCs w:val="16"/>
              </w:rPr>
            </w:pPr>
            <w:r w:rsidRPr="00A515B4">
              <w:rPr>
                <w:sz w:val="16"/>
              </w:rPr>
              <w:t xml:space="preserve">1 611 </w:t>
            </w:r>
          </w:p>
        </w:tc>
        <w:tc>
          <w:tcPr>
            <w:tcW w:w="1418" w:type="dxa"/>
            <w:tcBorders>
              <w:top w:val="nil"/>
              <w:left w:val="nil"/>
              <w:bottom w:val="nil"/>
              <w:right w:val="nil"/>
            </w:tcBorders>
            <w:shd w:val="clear" w:color="000000" w:fill="FFFFFF"/>
            <w:vAlign w:val="center"/>
          </w:tcPr>
          <w:p w:rsidR="00F40E87" w:rsidRPr="00A515B4" w:rsidRDefault="00F40E87" w:rsidP="001A5BF9">
            <w:pPr>
              <w:spacing w:before="120"/>
              <w:jc w:val="right"/>
              <w:rPr>
                <w:rFonts w:cs="Arial"/>
                <w:sz w:val="16"/>
                <w:szCs w:val="16"/>
              </w:rPr>
            </w:pPr>
            <w:r w:rsidRPr="00A515B4">
              <w:rPr>
                <w:sz w:val="16"/>
              </w:rPr>
              <w:t xml:space="preserve">2 463 </w:t>
            </w:r>
          </w:p>
        </w:tc>
        <w:tc>
          <w:tcPr>
            <w:tcW w:w="1276" w:type="dxa"/>
            <w:tcBorders>
              <w:top w:val="nil"/>
              <w:left w:val="nil"/>
              <w:bottom w:val="nil"/>
              <w:right w:val="single" w:sz="4" w:space="0" w:color="auto"/>
            </w:tcBorders>
            <w:shd w:val="clear" w:color="000000" w:fill="FFFFFF"/>
            <w:vAlign w:val="center"/>
          </w:tcPr>
          <w:p w:rsidR="00F40E87" w:rsidRPr="00A515B4" w:rsidRDefault="00F40E87" w:rsidP="001A5BF9">
            <w:pPr>
              <w:spacing w:before="120"/>
              <w:jc w:val="right"/>
              <w:rPr>
                <w:rFonts w:cs="Arial"/>
                <w:sz w:val="16"/>
                <w:szCs w:val="16"/>
              </w:rPr>
            </w:pPr>
            <w:r w:rsidRPr="00A515B4">
              <w:rPr>
                <w:sz w:val="16"/>
              </w:rPr>
              <w:t xml:space="preserve">2 101 </w:t>
            </w:r>
          </w:p>
        </w:tc>
      </w:tr>
      <w:tr w:rsidR="00F40E87" w:rsidRPr="00A515B4" w:rsidTr="00BB3F3E">
        <w:tc>
          <w:tcPr>
            <w:tcW w:w="709" w:type="dxa"/>
            <w:tcBorders>
              <w:top w:val="nil"/>
              <w:left w:val="single" w:sz="4" w:space="0" w:color="auto"/>
              <w:bottom w:val="single" w:sz="4" w:space="0" w:color="auto"/>
              <w:right w:val="nil"/>
            </w:tcBorders>
            <w:shd w:val="clear" w:color="000000" w:fill="FFFFFF"/>
            <w:noWrap/>
          </w:tcPr>
          <w:p w:rsidR="00F40E87" w:rsidRPr="00A515B4" w:rsidRDefault="00F40E87" w:rsidP="001A5BF9">
            <w:pPr>
              <w:spacing w:before="120" w:after="120"/>
              <w:jc w:val="center"/>
              <w:rPr>
                <w:rFonts w:cs="Arial"/>
                <w:sz w:val="16"/>
                <w:szCs w:val="16"/>
              </w:rPr>
            </w:pPr>
            <w:proofErr w:type="spellStart"/>
            <w:r w:rsidRPr="00A515B4">
              <w:rPr>
                <w:sz w:val="16"/>
              </w:rPr>
              <w:t>VII.1</w:t>
            </w:r>
            <w:proofErr w:type="spellEnd"/>
          </w:p>
        </w:tc>
        <w:tc>
          <w:tcPr>
            <w:tcW w:w="4536" w:type="dxa"/>
            <w:tcBorders>
              <w:top w:val="nil"/>
              <w:left w:val="nil"/>
              <w:bottom w:val="single" w:sz="4" w:space="0" w:color="auto"/>
              <w:right w:val="nil"/>
            </w:tcBorders>
            <w:shd w:val="clear" w:color="000000" w:fill="FFFFFF"/>
          </w:tcPr>
          <w:p w:rsidR="00F40E87" w:rsidRPr="00A515B4" w:rsidRDefault="00F40E87" w:rsidP="001A5BF9">
            <w:pPr>
              <w:spacing w:before="120" w:after="120"/>
              <w:rPr>
                <w:rFonts w:cs="Arial"/>
                <w:sz w:val="16"/>
                <w:szCs w:val="16"/>
              </w:rPr>
            </w:pPr>
            <w:r w:rsidRPr="00A515B4">
              <w:rPr>
                <w:sz w:val="16"/>
              </w:rPr>
              <w:t>Meilleure compréhension par les décideurs du rapport entre les défis mondiaux, l</w:t>
            </w:r>
            <w:r w:rsidR="00A20444" w:rsidRPr="00A515B4">
              <w:rPr>
                <w:sz w:val="16"/>
              </w:rPr>
              <w:t>’</w:t>
            </w:r>
            <w:r w:rsidRPr="00A515B4">
              <w:rPr>
                <w:sz w:val="16"/>
              </w:rPr>
              <w:t>innovation et la propriété intellectuelle afin d</w:t>
            </w:r>
            <w:r w:rsidR="00A20444" w:rsidRPr="00A515B4">
              <w:rPr>
                <w:sz w:val="16"/>
              </w:rPr>
              <w:t>’</w:t>
            </w:r>
            <w:r w:rsidRPr="00A515B4">
              <w:rPr>
                <w:sz w:val="16"/>
              </w:rPr>
              <w:t>améliorer la prise de décisions de politique générale</w:t>
            </w:r>
          </w:p>
        </w:tc>
        <w:tc>
          <w:tcPr>
            <w:tcW w:w="1417" w:type="dxa"/>
            <w:tcBorders>
              <w:top w:val="nil"/>
              <w:left w:val="nil"/>
              <w:bottom w:val="single" w:sz="4" w:space="0" w:color="auto"/>
              <w:right w:val="nil"/>
            </w:tcBorders>
            <w:shd w:val="clear" w:color="000000" w:fill="FFFFFF"/>
            <w:vAlign w:val="center"/>
          </w:tcPr>
          <w:p w:rsidR="00F40E87" w:rsidRPr="00A515B4" w:rsidRDefault="00F40E87" w:rsidP="001A5BF9">
            <w:pPr>
              <w:spacing w:before="120" w:after="120"/>
              <w:jc w:val="right"/>
              <w:rPr>
                <w:rFonts w:cs="Arial"/>
                <w:sz w:val="16"/>
                <w:szCs w:val="16"/>
              </w:rPr>
            </w:pPr>
            <w:r w:rsidRPr="00A515B4">
              <w:rPr>
                <w:sz w:val="16"/>
              </w:rPr>
              <w:t xml:space="preserve">128 </w:t>
            </w:r>
          </w:p>
        </w:tc>
        <w:tc>
          <w:tcPr>
            <w:tcW w:w="1418" w:type="dxa"/>
            <w:tcBorders>
              <w:top w:val="nil"/>
              <w:left w:val="nil"/>
              <w:bottom w:val="single" w:sz="4" w:space="0" w:color="auto"/>
              <w:right w:val="nil"/>
            </w:tcBorders>
            <w:shd w:val="clear" w:color="000000" w:fill="FFFFFF"/>
            <w:vAlign w:val="center"/>
          </w:tcPr>
          <w:p w:rsidR="00F40E87" w:rsidRPr="00A515B4" w:rsidRDefault="00F40E87" w:rsidP="001A5BF9">
            <w:pPr>
              <w:spacing w:before="120" w:after="120"/>
              <w:jc w:val="right"/>
              <w:rPr>
                <w:rFonts w:cs="Arial"/>
                <w:sz w:val="16"/>
                <w:szCs w:val="16"/>
              </w:rPr>
            </w:pPr>
            <w:r w:rsidRPr="00A515B4">
              <w:rPr>
                <w:sz w:val="16"/>
              </w:rPr>
              <w:t xml:space="preserve">50 </w:t>
            </w:r>
          </w:p>
        </w:tc>
        <w:tc>
          <w:tcPr>
            <w:tcW w:w="1276" w:type="dxa"/>
            <w:tcBorders>
              <w:top w:val="nil"/>
              <w:left w:val="nil"/>
              <w:bottom w:val="single" w:sz="4" w:space="0" w:color="auto"/>
              <w:right w:val="single" w:sz="4" w:space="0" w:color="auto"/>
            </w:tcBorders>
            <w:shd w:val="clear" w:color="000000" w:fill="FFFFFF"/>
            <w:vAlign w:val="center"/>
          </w:tcPr>
          <w:p w:rsidR="00F40E87" w:rsidRPr="00A515B4" w:rsidRDefault="00F40E87" w:rsidP="001A5BF9">
            <w:pPr>
              <w:spacing w:before="120" w:after="120"/>
              <w:jc w:val="right"/>
              <w:rPr>
                <w:rFonts w:cs="Arial"/>
                <w:sz w:val="16"/>
                <w:szCs w:val="16"/>
              </w:rPr>
            </w:pPr>
            <w:r w:rsidRPr="00A515B4">
              <w:rPr>
                <w:sz w:val="16"/>
              </w:rPr>
              <w:t xml:space="preserve">42 </w:t>
            </w:r>
          </w:p>
        </w:tc>
      </w:tr>
      <w:tr w:rsidR="00F40E87" w:rsidRPr="00A515B4" w:rsidTr="00BB3F3E">
        <w:tc>
          <w:tcPr>
            <w:tcW w:w="709" w:type="dxa"/>
            <w:tcBorders>
              <w:top w:val="nil"/>
              <w:left w:val="single" w:sz="4" w:space="0" w:color="auto"/>
              <w:bottom w:val="single" w:sz="4" w:space="0" w:color="auto"/>
              <w:right w:val="nil"/>
            </w:tcBorders>
            <w:shd w:val="clear" w:color="000000" w:fill="CCFFFF"/>
            <w:noWrap/>
            <w:vAlign w:val="bottom"/>
          </w:tcPr>
          <w:p w:rsidR="00F40E87" w:rsidRPr="00A515B4" w:rsidRDefault="00F40E87" w:rsidP="001A5BF9">
            <w:pPr>
              <w:spacing w:before="120" w:after="120"/>
              <w:rPr>
                <w:rFonts w:cs="Arial"/>
                <w:b/>
                <w:bCs/>
                <w:sz w:val="16"/>
                <w:szCs w:val="16"/>
              </w:rPr>
            </w:pPr>
            <w:r w:rsidRPr="00A515B4">
              <w:rPr>
                <w:b/>
                <w:sz w:val="16"/>
              </w:rPr>
              <w:t> </w:t>
            </w:r>
          </w:p>
        </w:tc>
        <w:tc>
          <w:tcPr>
            <w:tcW w:w="4536" w:type="dxa"/>
            <w:tcBorders>
              <w:top w:val="nil"/>
              <w:left w:val="nil"/>
              <w:bottom w:val="single" w:sz="4" w:space="0" w:color="auto"/>
              <w:right w:val="nil"/>
            </w:tcBorders>
            <w:shd w:val="clear" w:color="000000" w:fill="CCFFFF"/>
            <w:noWrap/>
            <w:vAlign w:val="center"/>
          </w:tcPr>
          <w:p w:rsidR="00F40E87" w:rsidRPr="00A515B4" w:rsidRDefault="00F40E87" w:rsidP="001A5BF9">
            <w:pPr>
              <w:spacing w:before="120" w:after="120"/>
              <w:rPr>
                <w:rFonts w:cs="Arial"/>
                <w:b/>
                <w:bCs/>
                <w:sz w:val="16"/>
                <w:szCs w:val="16"/>
              </w:rPr>
            </w:pPr>
            <w:r w:rsidRPr="00A515B4">
              <w:rPr>
                <w:b/>
                <w:sz w:val="16"/>
              </w:rPr>
              <w:t>Total</w:t>
            </w:r>
          </w:p>
        </w:tc>
        <w:tc>
          <w:tcPr>
            <w:tcW w:w="1417" w:type="dxa"/>
            <w:tcBorders>
              <w:top w:val="nil"/>
              <w:left w:val="single" w:sz="4" w:space="0" w:color="auto"/>
              <w:bottom w:val="single" w:sz="4" w:space="0" w:color="auto"/>
              <w:right w:val="single" w:sz="4" w:space="0" w:color="auto"/>
            </w:tcBorders>
            <w:shd w:val="clear" w:color="000000" w:fill="CCFFFF"/>
            <w:vAlign w:val="center"/>
          </w:tcPr>
          <w:p w:rsidR="00F40E87" w:rsidRPr="00A515B4" w:rsidRDefault="00F40E87" w:rsidP="001A5BF9">
            <w:pPr>
              <w:spacing w:before="120" w:after="120"/>
              <w:jc w:val="right"/>
              <w:rPr>
                <w:rFonts w:cs="Arial"/>
                <w:b/>
                <w:bCs/>
                <w:sz w:val="16"/>
                <w:szCs w:val="16"/>
              </w:rPr>
            </w:pPr>
            <w:r w:rsidRPr="00A515B4">
              <w:rPr>
                <w:b/>
                <w:sz w:val="16"/>
              </w:rPr>
              <w:t>4 843</w:t>
            </w:r>
          </w:p>
        </w:tc>
        <w:tc>
          <w:tcPr>
            <w:tcW w:w="1418" w:type="dxa"/>
            <w:tcBorders>
              <w:top w:val="nil"/>
              <w:left w:val="nil"/>
              <w:bottom w:val="single" w:sz="4" w:space="0" w:color="auto"/>
              <w:right w:val="single" w:sz="4" w:space="0" w:color="auto"/>
            </w:tcBorders>
            <w:shd w:val="clear" w:color="000000" w:fill="CCFFFF"/>
            <w:noWrap/>
            <w:vAlign w:val="center"/>
          </w:tcPr>
          <w:p w:rsidR="00F40E87" w:rsidRPr="00A515B4" w:rsidRDefault="00F40E87" w:rsidP="001A5BF9">
            <w:pPr>
              <w:spacing w:before="120" w:after="120"/>
              <w:jc w:val="right"/>
              <w:rPr>
                <w:rFonts w:cs="Arial"/>
                <w:b/>
                <w:bCs/>
                <w:sz w:val="16"/>
                <w:szCs w:val="16"/>
              </w:rPr>
            </w:pPr>
            <w:r w:rsidRPr="00A515B4">
              <w:rPr>
                <w:b/>
                <w:sz w:val="16"/>
              </w:rPr>
              <w:t>5 427</w:t>
            </w:r>
          </w:p>
        </w:tc>
        <w:tc>
          <w:tcPr>
            <w:tcW w:w="1276" w:type="dxa"/>
            <w:tcBorders>
              <w:top w:val="nil"/>
              <w:left w:val="nil"/>
              <w:bottom w:val="single" w:sz="4" w:space="0" w:color="auto"/>
              <w:right w:val="single" w:sz="4" w:space="0" w:color="auto"/>
            </w:tcBorders>
            <w:shd w:val="clear" w:color="000000" w:fill="CCFFFF"/>
            <w:vAlign w:val="center"/>
          </w:tcPr>
          <w:p w:rsidR="00F40E87" w:rsidRPr="00A515B4" w:rsidRDefault="00F40E87" w:rsidP="001A5BF9">
            <w:pPr>
              <w:spacing w:before="120" w:after="120"/>
              <w:jc w:val="right"/>
              <w:rPr>
                <w:rFonts w:cs="Arial"/>
                <w:b/>
                <w:bCs/>
                <w:sz w:val="16"/>
                <w:szCs w:val="16"/>
              </w:rPr>
            </w:pPr>
            <w:r w:rsidRPr="00A515B4">
              <w:rPr>
                <w:b/>
                <w:sz w:val="16"/>
              </w:rPr>
              <w:t>4 819</w:t>
            </w:r>
          </w:p>
        </w:tc>
      </w:tr>
    </w:tbl>
    <w:p w:rsidR="00D42474" w:rsidRDefault="00D42474" w:rsidP="001A5BF9"/>
    <w:p w:rsidR="00D42474" w:rsidRDefault="00D42474" w:rsidP="001A5BF9"/>
    <w:p w:rsidR="00D42474" w:rsidRDefault="00F40E87" w:rsidP="001A5BF9">
      <w:pPr>
        <w:pStyle w:val="NormalWeb"/>
        <w:keepNext/>
        <w:keepLines/>
        <w:spacing w:before="0" w:beforeAutospacing="0" w:after="0" w:afterAutospacing="0"/>
        <w:jc w:val="center"/>
        <w:rPr>
          <w:color w:val="000000"/>
          <w:sz w:val="20"/>
        </w:rPr>
      </w:pPr>
      <w:r w:rsidRPr="005C7CCE">
        <w:rPr>
          <w:color w:val="000000"/>
          <w:sz w:val="20"/>
        </w:rPr>
        <w:t xml:space="preserve">Budget et dépenses effectives (dépenses de </w:t>
      </w:r>
      <w:proofErr w:type="gramStart"/>
      <w:r w:rsidRPr="005C7CCE">
        <w:rPr>
          <w:color w:val="000000"/>
          <w:sz w:val="20"/>
        </w:rPr>
        <w:t>personnel et autres dépenses</w:t>
      </w:r>
      <w:proofErr w:type="gramEnd"/>
      <w:r w:rsidRPr="005C7CCE">
        <w:rPr>
          <w:color w:val="000000"/>
          <w:sz w:val="20"/>
        </w:rPr>
        <w:t>)</w:t>
      </w:r>
    </w:p>
    <w:p w:rsidR="00D42474" w:rsidRDefault="00F40E87" w:rsidP="001A5BF9">
      <w:pPr>
        <w:pStyle w:val="NormalWeb"/>
        <w:keepNext/>
        <w:keepLines/>
        <w:spacing w:before="0" w:beforeAutospacing="0" w:after="0" w:afterAutospacing="0"/>
        <w:jc w:val="center"/>
        <w:rPr>
          <w:i/>
          <w:iCs/>
          <w:sz w:val="20"/>
          <w:szCs w:val="20"/>
        </w:rPr>
      </w:pPr>
      <w:r w:rsidRPr="00A515B4">
        <w:rPr>
          <w:i/>
          <w:sz w:val="20"/>
        </w:rPr>
        <w:t>(</w:t>
      </w:r>
      <w:proofErr w:type="gramStart"/>
      <w:r w:rsidRPr="00A515B4">
        <w:rPr>
          <w:i/>
          <w:sz w:val="20"/>
        </w:rPr>
        <w:t>en</w:t>
      </w:r>
      <w:proofErr w:type="gramEnd"/>
      <w:r w:rsidRPr="00A515B4">
        <w:rPr>
          <w:i/>
          <w:sz w:val="20"/>
        </w:rPr>
        <w:t xml:space="preserve"> milliers de francs suisses)</w:t>
      </w:r>
    </w:p>
    <w:p w:rsidR="00F40E87" w:rsidRPr="005C7CCE" w:rsidRDefault="00F40E87" w:rsidP="001A5BF9">
      <w:pPr>
        <w:pStyle w:val="NormalWeb"/>
        <w:keepNext/>
        <w:keepLines/>
        <w:spacing w:before="0" w:beforeAutospacing="0" w:after="0" w:afterAutospacing="0"/>
        <w:jc w:val="center"/>
      </w:pPr>
    </w:p>
    <w:tbl>
      <w:tblPr>
        <w:tblW w:w="0" w:type="auto"/>
        <w:tblInd w:w="93" w:type="dxa"/>
        <w:tblLayout w:type="fixed"/>
        <w:tblLook w:val="04A0" w:firstRow="1" w:lastRow="0" w:firstColumn="1" w:lastColumn="0" w:noHBand="0" w:noVBand="1"/>
      </w:tblPr>
      <w:tblGrid>
        <w:gridCol w:w="2283"/>
        <w:gridCol w:w="1772"/>
        <w:gridCol w:w="1772"/>
        <w:gridCol w:w="1772"/>
        <w:gridCol w:w="1772"/>
      </w:tblGrid>
      <w:tr w:rsidR="00F40E87" w:rsidRPr="00A515B4" w:rsidTr="00BB3F3E">
        <w:tc>
          <w:tcPr>
            <w:tcW w:w="2283"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F40E87" w:rsidRPr="00A515B4" w:rsidRDefault="00F40E87" w:rsidP="001A5BF9">
            <w:pPr>
              <w:keepNext/>
              <w:keepLines/>
              <w:spacing w:before="120" w:after="120"/>
              <w:rPr>
                <w:rFonts w:cs="Arial"/>
                <w:sz w:val="16"/>
                <w:szCs w:val="16"/>
              </w:rPr>
            </w:pPr>
            <w:r w:rsidRPr="00A515B4">
              <w:rPr>
                <w:sz w:val="16"/>
              </w:rPr>
              <w:t> </w:t>
            </w:r>
          </w:p>
        </w:tc>
        <w:tc>
          <w:tcPr>
            <w:tcW w:w="1772" w:type="dxa"/>
            <w:tcBorders>
              <w:top w:val="single" w:sz="4" w:space="0" w:color="auto"/>
              <w:left w:val="nil"/>
              <w:bottom w:val="nil"/>
              <w:right w:val="single" w:sz="4" w:space="0" w:color="auto"/>
            </w:tcBorders>
            <w:shd w:val="clear" w:color="000000" w:fill="CCFFFF"/>
            <w:vAlign w:val="center"/>
          </w:tcPr>
          <w:p w:rsidR="00F40E87" w:rsidRPr="00A515B4" w:rsidRDefault="00F40E87" w:rsidP="001A5BF9">
            <w:pPr>
              <w:keepNext/>
              <w:keepLines/>
              <w:spacing w:before="120" w:after="120"/>
              <w:jc w:val="center"/>
              <w:rPr>
                <w:rFonts w:cs="Arial"/>
                <w:bCs/>
                <w:sz w:val="16"/>
                <w:szCs w:val="16"/>
              </w:rPr>
            </w:pPr>
            <w:r w:rsidRPr="00A515B4">
              <w:rPr>
                <w:sz w:val="16"/>
              </w:rPr>
              <w:t>Budget</w:t>
            </w:r>
            <w:r w:rsidRPr="00A515B4">
              <w:br/>
            </w:r>
            <w:r w:rsidRPr="00A515B4">
              <w:rPr>
                <w:sz w:val="16"/>
              </w:rPr>
              <w:t>2012</w:t>
            </w:r>
            <w:r w:rsidR="002D6F2A" w:rsidRPr="00A515B4">
              <w:rPr>
                <w:sz w:val="16"/>
              </w:rPr>
              <w:noBreakHyphen/>
            </w:r>
            <w:r w:rsidRPr="00A515B4">
              <w:rPr>
                <w:sz w:val="16"/>
              </w:rPr>
              <w:t>2013</w:t>
            </w:r>
            <w:r w:rsidRPr="00A515B4">
              <w:br/>
            </w:r>
            <w:r w:rsidRPr="00A515B4">
              <w:rPr>
                <w:sz w:val="16"/>
              </w:rPr>
              <w:t>approuvé</w:t>
            </w:r>
          </w:p>
        </w:tc>
        <w:tc>
          <w:tcPr>
            <w:tcW w:w="1772" w:type="dxa"/>
            <w:tcBorders>
              <w:top w:val="single" w:sz="4" w:space="0" w:color="auto"/>
              <w:left w:val="nil"/>
              <w:bottom w:val="nil"/>
              <w:right w:val="single" w:sz="4" w:space="0" w:color="auto"/>
            </w:tcBorders>
            <w:shd w:val="clear" w:color="000000" w:fill="CCFFFF"/>
            <w:vAlign w:val="center"/>
          </w:tcPr>
          <w:p w:rsidR="00F40E87" w:rsidRPr="00A515B4" w:rsidRDefault="00F40E87" w:rsidP="001A5BF9">
            <w:pPr>
              <w:keepNext/>
              <w:keepLines/>
              <w:spacing w:before="120" w:after="120"/>
              <w:jc w:val="center"/>
              <w:rPr>
                <w:rFonts w:cs="Arial"/>
                <w:bCs/>
                <w:sz w:val="16"/>
                <w:szCs w:val="16"/>
              </w:rPr>
            </w:pPr>
            <w:r w:rsidRPr="00A515B4">
              <w:rPr>
                <w:sz w:val="16"/>
              </w:rPr>
              <w:t>Budget</w:t>
            </w:r>
            <w:r w:rsidRPr="00A515B4">
              <w:br/>
            </w:r>
            <w:r w:rsidRPr="00A515B4">
              <w:rPr>
                <w:sz w:val="16"/>
              </w:rPr>
              <w:t>2012</w:t>
            </w:r>
            <w:r w:rsidR="002D6F2A" w:rsidRPr="00A515B4">
              <w:rPr>
                <w:sz w:val="16"/>
              </w:rPr>
              <w:noBreakHyphen/>
            </w:r>
            <w:r w:rsidRPr="00A515B4">
              <w:rPr>
                <w:sz w:val="16"/>
              </w:rPr>
              <w:t>2013</w:t>
            </w:r>
            <w:r w:rsidRPr="00A515B4">
              <w:br/>
            </w:r>
            <w:r w:rsidRPr="00A515B4">
              <w:rPr>
                <w:sz w:val="16"/>
              </w:rPr>
              <w:t>après virements</w:t>
            </w:r>
          </w:p>
        </w:tc>
        <w:tc>
          <w:tcPr>
            <w:tcW w:w="1772" w:type="dxa"/>
            <w:tcBorders>
              <w:top w:val="single" w:sz="4" w:space="0" w:color="auto"/>
              <w:left w:val="nil"/>
              <w:bottom w:val="nil"/>
              <w:right w:val="single" w:sz="4" w:space="0" w:color="auto"/>
            </w:tcBorders>
            <w:shd w:val="clear" w:color="000000" w:fill="CCFFFF"/>
            <w:vAlign w:val="center"/>
          </w:tcPr>
          <w:p w:rsidR="00F40E87" w:rsidRPr="00A515B4" w:rsidRDefault="00F40E87" w:rsidP="001A5BF9">
            <w:pPr>
              <w:keepNext/>
              <w:keepLines/>
              <w:spacing w:before="120" w:after="120"/>
              <w:jc w:val="center"/>
              <w:rPr>
                <w:rFonts w:cs="Arial"/>
                <w:bCs/>
                <w:sz w:val="16"/>
                <w:szCs w:val="16"/>
              </w:rPr>
            </w:pPr>
            <w:r w:rsidRPr="00A515B4">
              <w:rPr>
                <w:sz w:val="16"/>
              </w:rPr>
              <w:t>Dépenses</w:t>
            </w:r>
            <w:r w:rsidRPr="00A515B4">
              <w:br/>
            </w:r>
            <w:r w:rsidRPr="00A515B4">
              <w:rPr>
                <w:sz w:val="16"/>
              </w:rPr>
              <w:t>2012</w:t>
            </w:r>
            <w:r w:rsidR="002D6F2A" w:rsidRPr="00A515B4">
              <w:rPr>
                <w:sz w:val="16"/>
              </w:rPr>
              <w:noBreakHyphen/>
            </w:r>
            <w:r w:rsidRPr="00A515B4">
              <w:rPr>
                <w:sz w:val="16"/>
              </w:rPr>
              <w:t>2013</w:t>
            </w:r>
          </w:p>
        </w:tc>
        <w:tc>
          <w:tcPr>
            <w:tcW w:w="1772" w:type="dxa"/>
            <w:tcBorders>
              <w:top w:val="single" w:sz="4" w:space="0" w:color="auto"/>
              <w:left w:val="nil"/>
              <w:bottom w:val="nil"/>
              <w:right w:val="single" w:sz="4" w:space="0" w:color="auto"/>
            </w:tcBorders>
            <w:shd w:val="clear" w:color="000000" w:fill="CCFFFF"/>
            <w:vAlign w:val="center"/>
          </w:tcPr>
          <w:p w:rsidR="00F40E87" w:rsidRPr="00A515B4" w:rsidRDefault="00F40E87" w:rsidP="001A5BF9">
            <w:pPr>
              <w:keepNext/>
              <w:keepLines/>
              <w:spacing w:before="120" w:after="120"/>
              <w:jc w:val="center"/>
              <w:rPr>
                <w:rFonts w:cs="Arial"/>
                <w:bCs/>
                <w:sz w:val="16"/>
                <w:szCs w:val="16"/>
              </w:rPr>
            </w:pPr>
            <w:r w:rsidRPr="00A515B4">
              <w:rPr>
                <w:sz w:val="16"/>
              </w:rPr>
              <w:t>Taux d</w:t>
            </w:r>
            <w:r w:rsidR="00A20444" w:rsidRPr="00A515B4">
              <w:rPr>
                <w:sz w:val="16"/>
              </w:rPr>
              <w:t>’</w:t>
            </w:r>
            <w:r w:rsidRPr="00A515B4">
              <w:rPr>
                <w:sz w:val="16"/>
              </w:rPr>
              <w:t xml:space="preserve">utilisation </w:t>
            </w:r>
            <w:r w:rsidR="00BD43F2" w:rsidRPr="00A515B4">
              <w:rPr>
                <w:sz w:val="16"/>
              </w:rPr>
              <w:t>(</w:t>
            </w:r>
            <w:r w:rsidR="007E442D" w:rsidRPr="00A515B4">
              <w:rPr>
                <w:sz w:val="16"/>
              </w:rPr>
              <w:t>%</w:t>
            </w:r>
            <w:r w:rsidRPr="00A515B4">
              <w:rPr>
                <w:sz w:val="16"/>
              </w:rPr>
              <w:t>)</w:t>
            </w:r>
          </w:p>
        </w:tc>
      </w:tr>
      <w:tr w:rsidR="00F40E87" w:rsidRPr="00A515B4" w:rsidTr="00BB3F3E">
        <w:tc>
          <w:tcPr>
            <w:tcW w:w="2283" w:type="dxa"/>
            <w:tcBorders>
              <w:top w:val="nil"/>
              <w:left w:val="single" w:sz="4" w:space="0" w:color="auto"/>
              <w:bottom w:val="single" w:sz="4" w:space="0" w:color="auto"/>
              <w:right w:val="single" w:sz="4" w:space="0" w:color="auto"/>
            </w:tcBorders>
            <w:shd w:val="clear" w:color="auto" w:fill="auto"/>
            <w:noWrap/>
            <w:vAlign w:val="center"/>
          </w:tcPr>
          <w:p w:rsidR="00F40E87" w:rsidRPr="00A515B4" w:rsidRDefault="00F40E87" w:rsidP="001A5BF9">
            <w:pPr>
              <w:keepNext/>
              <w:keepLines/>
              <w:spacing w:before="120" w:after="120"/>
              <w:rPr>
                <w:rFonts w:cs="Arial"/>
                <w:sz w:val="16"/>
                <w:szCs w:val="16"/>
              </w:rPr>
            </w:pPr>
            <w:r w:rsidRPr="00A515B4">
              <w:rPr>
                <w:sz w:val="16"/>
              </w:rPr>
              <w:t>Dépenses de personnel</w:t>
            </w:r>
            <w:r w:rsidR="004F3E42" w:rsidRPr="00A515B4">
              <w:rPr>
                <w:sz w:val="16"/>
              </w:rPr>
              <w:t xml:space="preserve"> </w:t>
            </w:r>
          </w:p>
        </w:tc>
        <w:tc>
          <w:tcPr>
            <w:tcW w:w="1772" w:type="dxa"/>
            <w:tcBorders>
              <w:top w:val="single" w:sz="4" w:space="0" w:color="auto"/>
              <w:left w:val="nil"/>
              <w:bottom w:val="single" w:sz="4" w:space="0" w:color="auto"/>
              <w:right w:val="single" w:sz="4" w:space="0" w:color="auto"/>
            </w:tcBorders>
            <w:shd w:val="clear" w:color="auto" w:fill="auto"/>
            <w:vAlign w:val="center"/>
          </w:tcPr>
          <w:p w:rsidR="00F40E87" w:rsidRPr="00A515B4" w:rsidRDefault="00F40E87" w:rsidP="001A5BF9">
            <w:pPr>
              <w:keepNext/>
              <w:keepLines/>
              <w:spacing w:before="120" w:after="120"/>
              <w:jc w:val="center"/>
              <w:rPr>
                <w:rFonts w:cs="Arial"/>
                <w:sz w:val="16"/>
                <w:szCs w:val="16"/>
              </w:rPr>
            </w:pPr>
            <w:r w:rsidRPr="00A515B4">
              <w:rPr>
                <w:sz w:val="16"/>
              </w:rPr>
              <w:t>3 107</w:t>
            </w:r>
          </w:p>
        </w:tc>
        <w:tc>
          <w:tcPr>
            <w:tcW w:w="1772" w:type="dxa"/>
            <w:tcBorders>
              <w:top w:val="single" w:sz="4" w:space="0" w:color="auto"/>
              <w:left w:val="nil"/>
              <w:bottom w:val="single" w:sz="4" w:space="0" w:color="auto"/>
              <w:right w:val="single" w:sz="4" w:space="0" w:color="auto"/>
            </w:tcBorders>
            <w:shd w:val="clear" w:color="auto" w:fill="auto"/>
            <w:vAlign w:val="center"/>
          </w:tcPr>
          <w:p w:rsidR="00F40E87" w:rsidRPr="00A515B4" w:rsidRDefault="00F40E87" w:rsidP="001A5BF9">
            <w:pPr>
              <w:keepNext/>
              <w:keepLines/>
              <w:spacing w:before="120" w:after="120"/>
              <w:jc w:val="center"/>
              <w:rPr>
                <w:rFonts w:cs="Arial"/>
                <w:sz w:val="16"/>
                <w:szCs w:val="16"/>
              </w:rPr>
            </w:pPr>
            <w:r w:rsidRPr="00A515B4">
              <w:rPr>
                <w:sz w:val="16"/>
              </w:rPr>
              <w:t>3 936</w:t>
            </w:r>
          </w:p>
        </w:tc>
        <w:tc>
          <w:tcPr>
            <w:tcW w:w="1772" w:type="dxa"/>
            <w:tcBorders>
              <w:top w:val="single" w:sz="4" w:space="0" w:color="auto"/>
              <w:left w:val="nil"/>
              <w:bottom w:val="single" w:sz="4" w:space="0" w:color="auto"/>
              <w:right w:val="single" w:sz="4" w:space="0" w:color="auto"/>
            </w:tcBorders>
            <w:shd w:val="clear" w:color="auto" w:fill="auto"/>
            <w:vAlign w:val="center"/>
          </w:tcPr>
          <w:p w:rsidR="00F40E87" w:rsidRPr="00A515B4" w:rsidRDefault="00F40E87" w:rsidP="001A5BF9">
            <w:pPr>
              <w:keepNext/>
              <w:keepLines/>
              <w:spacing w:before="120" w:after="120"/>
              <w:jc w:val="center"/>
              <w:rPr>
                <w:rFonts w:cs="Arial"/>
                <w:sz w:val="16"/>
                <w:szCs w:val="16"/>
              </w:rPr>
            </w:pPr>
            <w:r w:rsidRPr="00A515B4">
              <w:rPr>
                <w:sz w:val="16"/>
              </w:rPr>
              <w:t>3 936</w:t>
            </w:r>
          </w:p>
        </w:tc>
        <w:tc>
          <w:tcPr>
            <w:tcW w:w="1772" w:type="dxa"/>
            <w:tcBorders>
              <w:top w:val="single" w:sz="4" w:space="0" w:color="auto"/>
              <w:left w:val="nil"/>
              <w:bottom w:val="single" w:sz="4" w:space="0" w:color="auto"/>
              <w:right w:val="single" w:sz="4" w:space="0" w:color="auto"/>
            </w:tcBorders>
            <w:shd w:val="clear" w:color="auto" w:fill="auto"/>
            <w:vAlign w:val="center"/>
          </w:tcPr>
          <w:p w:rsidR="00F40E87" w:rsidRPr="00A515B4" w:rsidRDefault="00F40E87" w:rsidP="001A5BF9">
            <w:pPr>
              <w:keepNext/>
              <w:keepLines/>
              <w:spacing w:before="120" w:after="120"/>
              <w:jc w:val="center"/>
              <w:rPr>
                <w:rFonts w:cs="Arial"/>
                <w:sz w:val="16"/>
                <w:szCs w:val="16"/>
              </w:rPr>
            </w:pPr>
            <w:r w:rsidRPr="00A515B4">
              <w:rPr>
                <w:sz w:val="16"/>
              </w:rPr>
              <w:t>100</w:t>
            </w:r>
            <w:r w:rsidR="007E442D" w:rsidRPr="00A515B4">
              <w:rPr>
                <w:sz w:val="16"/>
              </w:rPr>
              <w:t>%</w:t>
            </w:r>
          </w:p>
        </w:tc>
      </w:tr>
      <w:tr w:rsidR="00F40E87" w:rsidRPr="00A515B4" w:rsidTr="00BB3F3E">
        <w:tc>
          <w:tcPr>
            <w:tcW w:w="2283" w:type="dxa"/>
            <w:tcBorders>
              <w:top w:val="nil"/>
              <w:left w:val="single" w:sz="4" w:space="0" w:color="auto"/>
              <w:bottom w:val="single" w:sz="4" w:space="0" w:color="auto"/>
              <w:right w:val="single" w:sz="4" w:space="0" w:color="auto"/>
            </w:tcBorders>
            <w:shd w:val="clear" w:color="auto" w:fill="auto"/>
            <w:noWrap/>
            <w:vAlign w:val="center"/>
          </w:tcPr>
          <w:p w:rsidR="00F40E87" w:rsidRPr="00A515B4" w:rsidRDefault="00F40E87" w:rsidP="001A5BF9">
            <w:pPr>
              <w:keepNext/>
              <w:keepLines/>
              <w:spacing w:before="120" w:after="120"/>
              <w:rPr>
                <w:rFonts w:cs="Arial"/>
                <w:sz w:val="16"/>
                <w:szCs w:val="16"/>
              </w:rPr>
            </w:pPr>
            <w:r w:rsidRPr="00A515B4">
              <w:rPr>
                <w:sz w:val="16"/>
              </w:rPr>
              <w:t xml:space="preserve">Autres dépenses </w:t>
            </w:r>
          </w:p>
        </w:tc>
        <w:tc>
          <w:tcPr>
            <w:tcW w:w="1772" w:type="dxa"/>
            <w:tcBorders>
              <w:top w:val="nil"/>
              <w:left w:val="nil"/>
              <w:bottom w:val="single" w:sz="4" w:space="0" w:color="auto"/>
              <w:right w:val="single" w:sz="4" w:space="0" w:color="auto"/>
            </w:tcBorders>
            <w:shd w:val="clear" w:color="auto" w:fill="auto"/>
            <w:vAlign w:val="center"/>
          </w:tcPr>
          <w:p w:rsidR="00F40E87" w:rsidRPr="00A515B4" w:rsidRDefault="00F40E87" w:rsidP="001A5BF9">
            <w:pPr>
              <w:keepNext/>
              <w:keepLines/>
              <w:spacing w:before="120" w:after="120"/>
              <w:jc w:val="center"/>
              <w:rPr>
                <w:rFonts w:cs="Arial"/>
                <w:sz w:val="16"/>
                <w:szCs w:val="16"/>
              </w:rPr>
            </w:pPr>
            <w:r w:rsidRPr="00A515B4">
              <w:rPr>
                <w:sz w:val="16"/>
              </w:rPr>
              <w:t>1 736</w:t>
            </w:r>
          </w:p>
        </w:tc>
        <w:tc>
          <w:tcPr>
            <w:tcW w:w="1772" w:type="dxa"/>
            <w:tcBorders>
              <w:top w:val="nil"/>
              <w:left w:val="nil"/>
              <w:bottom w:val="single" w:sz="4" w:space="0" w:color="auto"/>
              <w:right w:val="single" w:sz="4" w:space="0" w:color="auto"/>
            </w:tcBorders>
            <w:shd w:val="clear" w:color="auto" w:fill="auto"/>
            <w:vAlign w:val="center"/>
          </w:tcPr>
          <w:p w:rsidR="00F40E87" w:rsidRPr="00A515B4" w:rsidRDefault="00F40E87" w:rsidP="001A5BF9">
            <w:pPr>
              <w:keepNext/>
              <w:keepLines/>
              <w:spacing w:before="120" w:after="120"/>
              <w:jc w:val="center"/>
              <w:rPr>
                <w:rFonts w:cs="Arial"/>
                <w:sz w:val="16"/>
                <w:szCs w:val="16"/>
              </w:rPr>
            </w:pPr>
            <w:r w:rsidRPr="00A515B4">
              <w:rPr>
                <w:sz w:val="16"/>
              </w:rPr>
              <w:t>1 491</w:t>
            </w:r>
          </w:p>
        </w:tc>
        <w:tc>
          <w:tcPr>
            <w:tcW w:w="1772" w:type="dxa"/>
            <w:tcBorders>
              <w:top w:val="nil"/>
              <w:left w:val="nil"/>
              <w:bottom w:val="single" w:sz="4" w:space="0" w:color="auto"/>
              <w:right w:val="single" w:sz="4" w:space="0" w:color="auto"/>
            </w:tcBorders>
            <w:shd w:val="clear" w:color="auto" w:fill="auto"/>
            <w:vAlign w:val="center"/>
          </w:tcPr>
          <w:p w:rsidR="00F40E87" w:rsidRPr="00A515B4" w:rsidRDefault="00F40E87" w:rsidP="001A5BF9">
            <w:pPr>
              <w:keepNext/>
              <w:keepLines/>
              <w:spacing w:before="120" w:after="120"/>
              <w:jc w:val="center"/>
              <w:rPr>
                <w:rFonts w:cs="Arial"/>
                <w:sz w:val="16"/>
                <w:szCs w:val="16"/>
              </w:rPr>
            </w:pPr>
            <w:r w:rsidRPr="00A515B4">
              <w:rPr>
                <w:sz w:val="16"/>
              </w:rPr>
              <w:t>883</w:t>
            </w:r>
          </w:p>
        </w:tc>
        <w:tc>
          <w:tcPr>
            <w:tcW w:w="1772" w:type="dxa"/>
            <w:tcBorders>
              <w:top w:val="nil"/>
              <w:left w:val="nil"/>
              <w:bottom w:val="single" w:sz="4" w:space="0" w:color="auto"/>
              <w:right w:val="single" w:sz="4" w:space="0" w:color="auto"/>
            </w:tcBorders>
            <w:shd w:val="clear" w:color="auto" w:fill="auto"/>
            <w:vAlign w:val="center"/>
          </w:tcPr>
          <w:p w:rsidR="00F40E87" w:rsidRPr="00A515B4" w:rsidRDefault="00F40E87" w:rsidP="001A5BF9">
            <w:pPr>
              <w:keepNext/>
              <w:keepLines/>
              <w:spacing w:before="120" w:after="120"/>
              <w:jc w:val="center"/>
              <w:rPr>
                <w:rFonts w:cs="Arial"/>
                <w:sz w:val="16"/>
                <w:szCs w:val="16"/>
              </w:rPr>
            </w:pPr>
            <w:r w:rsidRPr="00A515B4">
              <w:rPr>
                <w:sz w:val="16"/>
              </w:rPr>
              <w:t>59</w:t>
            </w:r>
            <w:r w:rsidR="007E442D" w:rsidRPr="00A515B4">
              <w:rPr>
                <w:sz w:val="16"/>
              </w:rPr>
              <w:t>%</w:t>
            </w:r>
          </w:p>
        </w:tc>
      </w:tr>
      <w:tr w:rsidR="00F40E87" w:rsidRPr="00A515B4" w:rsidTr="00BB3F3E">
        <w:tc>
          <w:tcPr>
            <w:tcW w:w="2283" w:type="dxa"/>
            <w:tcBorders>
              <w:top w:val="nil"/>
              <w:left w:val="single" w:sz="4" w:space="0" w:color="auto"/>
              <w:bottom w:val="single" w:sz="4" w:space="0" w:color="auto"/>
              <w:right w:val="single" w:sz="4" w:space="0" w:color="auto"/>
            </w:tcBorders>
            <w:shd w:val="clear" w:color="auto" w:fill="auto"/>
            <w:noWrap/>
            <w:vAlign w:val="center"/>
          </w:tcPr>
          <w:p w:rsidR="00F40E87" w:rsidRPr="00A515B4" w:rsidRDefault="00F40E87" w:rsidP="001A5BF9">
            <w:pPr>
              <w:spacing w:before="120" w:after="120"/>
              <w:jc w:val="right"/>
              <w:rPr>
                <w:rFonts w:cs="Arial"/>
                <w:b/>
                <w:bCs/>
                <w:sz w:val="16"/>
                <w:szCs w:val="16"/>
              </w:rPr>
            </w:pPr>
            <w:r w:rsidRPr="00A515B4">
              <w:rPr>
                <w:b/>
                <w:sz w:val="16"/>
              </w:rPr>
              <w:t xml:space="preserve">TOTAL </w:t>
            </w:r>
          </w:p>
        </w:tc>
        <w:tc>
          <w:tcPr>
            <w:tcW w:w="1772" w:type="dxa"/>
            <w:tcBorders>
              <w:top w:val="nil"/>
              <w:left w:val="nil"/>
              <w:bottom w:val="single" w:sz="4" w:space="0" w:color="auto"/>
              <w:right w:val="single" w:sz="4" w:space="0" w:color="auto"/>
            </w:tcBorders>
            <w:shd w:val="clear" w:color="auto" w:fill="auto"/>
            <w:vAlign w:val="center"/>
          </w:tcPr>
          <w:p w:rsidR="00F40E87" w:rsidRPr="00A515B4" w:rsidRDefault="00F40E87" w:rsidP="001A5BF9">
            <w:pPr>
              <w:spacing w:before="120" w:after="120"/>
              <w:jc w:val="center"/>
              <w:rPr>
                <w:rFonts w:cs="Arial"/>
                <w:b/>
                <w:bCs/>
                <w:sz w:val="16"/>
                <w:szCs w:val="16"/>
              </w:rPr>
            </w:pPr>
            <w:r w:rsidRPr="00A515B4">
              <w:rPr>
                <w:b/>
                <w:sz w:val="16"/>
              </w:rPr>
              <w:t>4 843</w:t>
            </w:r>
          </w:p>
        </w:tc>
        <w:tc>
          <w:tcPr>
            <w:tcW w:w="1772" w:type="dxa"/>
            <w:tcBorders>
              <w:top w:val="nil"/>
              <w:left w:val="nil"/>
              <w:bottom w:val="single" w:sz="4" w:space="0" w:color="auto"/>
              <w:right w:val="single" w:sz="4" w:space="0" w:color="auto"/>
            </w:tcBorders>
            <w:shd w:val="clear" w:color="auto" w:fill="auto"/>
            <w:vAlign w:val="center"/>
          </w:tcPr>
          <w:p w:rsidR="00F40E87" w:rsidRPr="00A515B4" w:rsidRDefault="00F40E87" w:rsidP="001A5BF9">
            <w:pPr>
              <w:spacing w:before="120" w:after="120"/>
              <w:jc w:val="center"/>
              <w:rPr>
                <w:rFonts w:cs="Arial"/>
                <w:b/>
                <w:bCs/>
                <w:sz w:val="16"/>
                <w:szCs w:val="16"/>
              </w:rPr>
            </w:pPr>
            <w:r w:rsidRPr="00A515B4">
              <w:rPr>
                <w:b/>
                <w:sz w:val="16"/>
              </w:rPr>
              <w:t>5 427</w:t>
            </w:r>
          </w:p>
        </w:tc>
        <w:tc>
          <w:tcPr>
            <w:tcW w:w="1772" w:type="dxa"/>
            <w:tcBorders>
              <w:top w:val="nil"/>
              <w:left w:val="nil"/>
              <w:bottom w:val="single" w:sz="4" w:space="0" w:color="auto"/>
              <w:right w:val="single" w:sz="4" w:space="0" w:color="auto"/>
            </w:tcBorders>
            <w:shd w:val="clear" w:color="auto" w:fill="auto"/>
            <w:vAlign w:val="center"/>
          </w:tcPr>
          <w:p w:rsidR="00F40E87" w:rsidRPr="00A515B4" w:rsidRDefault="00F40E87" w:rsidP="001A5BF9">
            <w:pPr>
              <w:spacing w:before="120" w:after="120"/>
              <w:jc w:val="center"/>
              <w:rPr>
                <w:rFonts w:cs="Arial"/>
                <w:b/>
                <w:bCs/>
                <w:sz w:val="16"/>
                <w:szCs w:val="16"/>
              </w:rPr>
            </w:pPr>
            <w:r w:rsidRPr="00A515B4">
              <w:rPr>
                <w:b/>
                <w:sz w:val="16"/>
              </w:rPr>
              <w:t>4 819</w:t>
            </w:r>
          </w:p>
        </w:tc>
        <w:tc>
          <w:tcPr>
            <w:tcW w:w="1772" w:type="dxa"/>
            <w:tcBorders>
              <w:top w:val="nil"/>
              <w:left w:val="nil"/>
              <w:bottom w:val="single" w:sz="4" w:space="0" w:color="auto"/>
              <w:right w:val="single" w:sz="4" w:space="0" w:color="auto"/>
            </w:tcBorders>
            <w:shd w:val="clear" w:color="auto" w:fill="auto"/>
            <w:vAlign w:val="center"/>
          </w:tcPr>
          <w:p w:rsidR="00F40E87" w:rsidRPr="00A515B4" w:rsidRDefault="00F40E87" w:rsidP="001A5BF9">
            <w:pPr>
              <w:spacing w:before="120" w:after="120"/>
              <w:jc w:val="center"/>
              <w:rPr>
                <w:rFonts w:cs="Arial"/>
                <w:b/>
                <w:bCs/>
                <w:sz w:val="16"/>
                <w:szCs w:val="16"/>
              </w:rPr>
            </w:pPr>
            <w:r w:rsidRPr="00A515B4">
              <w:rPr>
                <w:b/>
                <w:sz w:val="16"/>
              </w:rPr>
              <w:t>89</w:t>
            </w:r>
            <w:r w:rsidR="007E442D" w:rsidRPr="00A515B4">
              <w:rPr>
                <w:b/>
                <w:sz w:val="16"/>
              </w:rPr>
              <w:t>%</w:t>
            </w:r>
          </w:p>
        </w:tc>
      </w:tr>
    </w:tbl>
    <w:p w:rsidR="00D42474" w:rsidRDefault="00D42474" w:rsidP="001A5BF9">
      <w:pPr>
        <w:rPr>
          <w:szCs w:val="20"/>
        </w:rPr>
      </w:pPr>
    </w:p>
    <w:p w:rsidR="00D42474" w:rsidRDefault="00F40E87" w:rsidP="001A5BF9">
      <w:pPr>
        <w:keepNext/>
        <w:autoSpaceDE w:val="0"/>
        <w:autoSpaceDN w:val="0"/>
        <w:rPr>
          <w:sz w:val="16"/>
          <w:szCs w:val="16"/>
        </w:rPr>
      </w:pPr>
      <w:proofErr w:type="gramStart"/>
      <w:r w:rsidRPr="00A515B4">
        <w:rPr>
          <w:sz w:val="16"/>
        </w:rPr>
        <w:t>REMARQUES</w:t>
      </w:r>
      <w:proofErr w:type="gramEnd"/>
      <w:r w:rsidRPr="00A515B4">
        <w:rPr>
          <w:sz w:val="16"/>
        </w:rPr>
        <w:t> :</w:t>
      </w:r>
    </w:p>
    <w:p w:rsidR="00D42474" w:rsidRDefault="00D42474" w:rsidP="001A5BF9">
      <w:pPr>
        <w:keepNext/>
        <w:autoSpaceDE w:val="0"/>
        <w:autoSpaceDN w:val="0"/>
        <w:rPr>
          <w:sz w:val="16"/>
          <w:szCs w:val="16"/>
        </w:rPr>
      </w:pPr>
    </w:p>
    <w:p w:rsidR="00D42474" w:rsidRDefault="00F40E87" w:rsidP="00A515B4">
      <w:pPr>
        <w:keepNext/>
        <w:tabs>
          <w:tab w:val="left" w:pos="567"/>
        </w:tabs>
        <w:autoSpaceDE w:val="0"/>
        <w:autoSpaceDN w:val="0"/>
        <w:rPr>
          <w:sz w:val="16"/>
          <w:szCs w:val="16"/>
        </w:rPr>
      </w:pPr>
      <w:r w:rsidRPr="00A515B4">
        <w:rPr>
          <w:sz w:val="16"/>
        </w:rPr>
        <w:t>1)</w:t>
      </w:r>
      <w:r w:rsidR="00A515B4" w:rsidRPr="00A515B4">
        <w:rPr>
          <w:sz w:val="16"/>
        </w:rPr>
        <w:tab/>
      </w:r>
      <w:r w:rsidRPr="00A515B4">
        <w:rPr>
          <w:sz w:val="16"/>
        </w:rPr>
        <w:t>Le budget restructuré après virements tient compte du budget ajusté des programmes après les virements réalisés au cours de l</w:t>
      </w:r>
      <w:r w:rsidR="00A20444" w:rsidRPr="00A515B4">
        <w:rPr>
          <w:sz w:val="16"/>
        </w:rPr>
        <w:t>’</w:t>
      </w:r>
      <w:r w:rsidRPr="00A515B4">
        <w:rPr>
          <w:sz w:val="16"/>
        </w:rPr>
        <w:t>exercice 2012</w:t>
      </w:r>
      <w:r w:rsidR="002D6F2A" w:rsidRPr="00A515B4">
        <w:rPr>
          <w:sz w:val="16"/>
        </w:rPr>
        <w:noBreakHyphen/>
      </w:r>
      <w:r w:rsidRPr="00A515B4">
        <w:rPr>
          <w:sz w:val="16"/>
        </w:rPr>
        <w:t xml:space="preserve">2013, conformément à </w:t>
      </w:r>
      <w:r w:rsidR="00E15133" w:rsidRPr="00A515B4">
        <w:rPr>
          <w:sz w:val="16"/>
        </w:rPr>
        <w:t>l</w:t>
      </w:r>
      <w:r w:rsidR="00A20444" w:rsidRPr="00A515B4">
        <w:rPr>
          <w:sz w:val="16"/>
        </w:rPr>
        <w:t>’</w:t>
      </w:r>
      <w:r w:rsidR="00E15133" w:rsidRPr="00A515B4">
        <w:rPr>
          <w:sz w:val="16"/>
        </w:rPr>
        <w:t>article 5.5</w:t>
      </w:r>
      <w:r w:rsidRPr="00A515B4">
        <w:rPr>
          <w:sz w:val="16"/>
        </w:rPr>
        <w:t xml:space="preserve"> du règlement d</w:t>
      </w:r>
      <w:r w:rsidR="00A20444" w:rsidRPr="00A515B4">
        <w:rPr>
          <w:sz w:val="16"/>
        </w:rPr>
        <w:t>’</w:t>
      </w:r>
      <w:r w:rsidRPr="00A515B4">
        <w:rPr>
          <w:sz w:val="16"/>
        </w:rPr>
        <w:t>exécution du Règlement financier.</w:t>
      </w:r>
    </w:p>
    <w:p w:rsidR="00D42474" w:rsidRDefault="00D42474" w:rsidP="001A5BF9">
      <w:pPr>
        <w:keepNext/>
        <w:autoSpaceDE w:val="0"/>
        <w:autoSpaceDN w:val="0"/>
        <w:rPr>
          <w:sz w:val="16"/>
          <w:szCs w:val="16"/>
        </w:rPr>
      </w:pPr>
    </w:p>
    <w:p w:rsidR="00D42474" w:rsidRDefault="00A515B4" w:rsidP="00A515B4">
      <w:pPr>
        <w:keepNext/>
        <w:tabs>
          <w:tab w:val="left" w:pos="567"/>
        </w:tabs>
        <w:autoSpaceDE w:val="0"/>
        <w:autoSpaceDN w:val="0"/>
        <w:rPr>
          <w:sz w:val="16"/>
        </w:rPr>
      </w:pPr>
      <w:r w:rsidRPr="00A515B4">
        <w:rPr>
          <w:sz w:val="16"/>
        </w:rPr>
        <w:t>2)</w:t>
      </w:r>
      <w:r w:rsidRPr="00A515B4">
        <w:rPr>
          <w:sz w:val="16"/>
        </w:rPr>
        <w:tab/>
      </w:r>
      <w:r w:rsidR="00F40E87" w:rsidRPr="00A515B4">
        <w:rPr>
          <w:sz w:val="16"/>
        </w:rPr>
        <w:t>Les dépenses de personnel indiquées dans le budget de l</w:t>
      </w:r>
      <w:r w:rsidR="00A20444" w:rsidRPr="00A515B4">
        <w:rPr>
          <w:sz w:val="16"/>
        </w:rPr>
        <w:t>’</w:t>
      </w:r>
      <w:r w:rsidR="00F40E87" w:rsidRPr="00A515B4">
        <w:rPr>
          <w:sz w:val="16"/>
        </w:rPr>
        <w:t>exercice 2012</w:t>
      </w:r>
      <w:r w:rsidR="002D6F2A" w:rsidRPr="00A515B4">
        <w:rPr>
          <w:sz w:val="16"/>
        </w:rPr>
        <w:noBreakHyphen/>
      </w:r>
      <w:r w:rsidR="00F40E87" w:rsidRPr="00A515B4">
        <w:rPr>
          <w:sz w:val="16"/>
        </w:rPr>
        <w:t>2013 après virements représentent les dépenses réelles engagées pendant l</w:t>
      </w:r>
      <w:r w:rsidR="00A20444" w:rsidRPr="00A515B4">
        <w:rPr>
          <w:sz w:val="16"/>
        </w:rPr>
        <w:t>’</w:t>
      </w:r>
      <w:r w:rsidR="00F40E87" w:rsidRPr="00A515B4">
        <w:rPr>
          <w:sz w:val="16"/>
        </w:rPr>
        <w:t>exercice biennal.</w:t>
      </w:r>
    </w:p>
    <w:p w:rsidR="00D42474" w:rsidRDefault="00D42474" w:rsidP="001A5BF9">
      <w:pPr>
        <w:autoSpaceDE w:val="0"/>
        <w:autoSpaceDN w:val="0"/>
        <w:adjustRightInd w:val="0"/>
        <w:rPr>
          <w:rFonts w:cs="Arial"/>
          <w:szCs w:val="20"/>
        </w:rPr>
      </w:pPr>
    </w:p>
    <w:p w:rsidR="00D42474" w:rsidRDefault="00D42474" w:rsidP="001A5BF9">
      <w:pPr>
        <w:autoSpaceDE w:val="0"/>
        <w:autoSpaceDN w:val="0"/>
        <w:adjustRightInd w:val="0"/>
        <w:rPr>
          <w:rFonts w:cs="Arial"/>
          <w:szCs w:val="20"/>
        </w:rPr>
      </w:pPr>
    </w:p>
    <w:p w:rsidR="00D42474" w:rsidRDefault="00F40E87" w:rsidP="001A5BF9">
      <w:pPr>
        <w:tabs>
          <w:tab w:val="left" w:pos="709"/>
        </w:tabs>
        <w:rPr>
          <w:rFonts w:cs="Arial"/>
          <w:u w:val="single"/>
        </w:rPr>
      </w:pPr>
      <w:r w:rsidRPr="00A515B4">
        <w:t>A.</w:t>
      </w:r>
      <w:r w:rsidRPr="00A515B4">
        <w:rPr>
          <w:i/>
        </w:rPr>
        <w:tab/>
      </w:r>
      <w:r w:rsidRPr="00A515B4">
        <w:rPr>
          <w:u w:val="single"/>
        </w:rPr>
        <w:t>Budget 2013</w:t>
      </w:r>
      <w:r w:rsidR="002D6F2A" w:rsidRPr="00A515B4">
        <w:rPr>
          <w:u w:val="single"/>
        </w:rPr>
        <w:noBreakHyphen/>
      </w:r>
      <w:r w:rsidRPr="00A515B4">
        <w:rPr>
          <w:u w:val="single"/>
        </w:rPr>
        <w:t>2013 après virements</w:t>
      </w:r>
    </w:p>
    <w:p w:rsidR="00D42474" w:rsidRDefault="00D42474" w:rsidP="001A5BF9">
      <w:pPr>
        <w:rPr>
          <w:rFonts w:cs="Arial"/>
          <w:u w:val="single"/>
        </w:rPr>
      </w:pPr>
    </w:p>
    <w:p w:rsidR="00D42474" w:rsidRDefault="00F40E87" w:rsidP="001A5BF9">
      <w:pPr>
        <w:pStyle w:val="Paragraphedeliste"/>
        <w:tabs>
          <w:tab w:val="left" w:pos="709"/>
        </w:tabs>
        <w:ind w:left="0"/>
        <w:jc w:val="both"/>
      </w:pPr>
      <w:r w:rsidRPr="00A515B4">
        <w:t>1.11.</w:t>
      </w:r>
      <w:r w:rsidRPr="00A515B4">
        <w:tab/>
        <w:t>L</w:t>
      </w:r>
      <w:r w:rsidR="00A20444" w:rsidRPr="00A515B4">
        <w:t>’</w:t>
      </w:r>
      <w:r w:rsidRPr="00A515B4">
        <w:t xml:space="preserve">augmentation totale du budget après virements était le résultat de ressources supplémentaires affectées aux dépenses de personnel, </w:t>
      </w:r>
      <w:r w:rsidR="00A20444" w:rsidRPr="00A515B4">
        <w:t>à savoir</w:t>
      </w:r>
      <w:r w:rsidRPr="00A515B4">
        <w:t>, le résultat </w:t>
      </w:r>
      <w:proofErr w:type="spellStart"/>
      <w:r w:rsidRPr="00A515B4">
        <w:t>I.4</w:t>
      </w:r>
      <w:proofErr w:type="spellEnd"/>
      <w:r w:rsidRPr="00A515B4">
        <w:t xml:space="preserve"> (Conseils législatifs), suite à une augmentation des demandes de conseils en matière de législation de la part des États membres.</w:t>
      </w:r>
    </w:p>
    <w:p w:rsidR="00D42474" w:rsidRDefault="00D42474" w:rsidP="001A5BF9">
      <w:pPr>
        <w:pStyle w:val="Paragraphedeliste"/>
        <w:tabs>
          <w:tab w:val="num" w:pos="709"/>
        </w:tabs>
        <w:ind w:left="0"/>
        <w:jc w:val="both"/>
      </w:pPr>
    </w:p>
    <w:p w:rsidR="00D42474" w:rsidRDefault="00F40E87" w:rsidP="001A5BF9">
      <w:pPr>
        <w:pStyle w:val="Paragraphedeliste"/>
        <w:tabs>
          <w:tab w:val="left" w:pos="709"/>
        </w:tabs>
        <w:ind w:left="0"/>
        <w:jc w:val="both"/>
      </w:pPr>
      <w:r w:rsidRPr="00A515B4">
        <w:t>1.12.</w:t>
      </w:r>
      <w:r w:rsidRPr="00A515B4">
        <w:tab/>
        <w:t>L</w:t>
      </w:r>
      <w:r w:rsidR="00A20444" w:rsidRPr="00A515B4">
        <w:t>’</w:t>
      </w:r>
      <w:r w:rsidRPr="00A515B4">
        <w:t>affectation aux dépenses autres pour le budget 2012</w:t>
      </w:r>
      <w:r w:rsidR="002D6F2A" w:rsidRPr="00A515B4">
        <w:noBreakHyphen/>
      </w:r>
      <w:r w:rsidRPr="00A515B4">
        <w:t>2013 après virements, tient compte des ajustements à la baisse opérés pour réduire les coûts conformément aux engagements de l</w:t>
      </w:r>
      <w:r w:rsidR="00A20444" w:rsidRPr="00A515B4">
        <w:t>’</w:t>
      </w:r>
      <w:r w:rsidRPr="00A515B4">
        <w:t>Organisation de réduire les dépenses de 10,2</w:t>
      </w:r>
      <w:r w:rsidR="0010442A" w:rsidRPr="00A515B4">
        <w:t> </w:t>
      </w:r>
      <w:r w:rsidRPr="00A515B4">
        <w:t>millions de francs suisses pour l</w:t>
      </w:r>
      <w:r w:rsidR="00A20444" w:rsidRPr="00A515B4">
        <w:t>’</w:t>
      </w:r>
      <w:r w:rsidRPr="00A515B4">
        <w:t>exercice biennal</w:t>
      </w:r>
      <w:r w:rsidR="0010442A" w:rsidRPr="00A515B4">
        <w:t> </w:t>
      </w:r>
      <w:r w:rsidRPr="00A515B4">
        <w:t>2012</w:t>
      </w:r>
      <w:r w:rsidR="002D6F2A" w:rsidRPr="00A515B4">
        <w:noBreakHyphen/>
      </w:r>
      <w:r w:rsidRPr="00A515B4">
        <w:t>2013.</w:t>
      </w:r>
    </w:p>
    <w:p w:rsidR="00D42474" w:rsidRDefault="00D42474" w:rsidP="001A5BF9">
      <w:pPr>
        <w:autoSpaceDE w:val="0"/>
        <w:autoSpaceDN w:val="0"/>
        <w:jc w:val="both"/>
        <w:rPr>
          <w:rFonts w:cs="Arial"/>
          <w:szCs w:val="20"/>
        </w:rPr>
      </w:pPr>
    </w:p>
    <w:p w:rsidR="00D42474" w:rsidRDefault="00F40E87" w:rsidP="00A515B4">
      <w:pPr>
        <w:keepNext/>
        <w:keepLines/>
        <w:tabs>
          <w:tab w:val="left" w:pos="709"/>
        </w:tabs>
        <w:jc w:val="both"/>
        <w:rPr>
          <w:rFonts w:cs="Arial"/>
          <w:szCs w:val="20"/>
          <w:u w:val="single"/>
        </w:rPr>
      </w:pPr>
      <w:r w:rsidRPr="00A515B4">
        <w:t>B.</w:t>
      </w:r>
      <w:r w:rsidRPr="00A515B4">
        <w:tab/>
      </w:r>
      <w:r w:rsidRPr="00A515B4">
        <w:rPr>
          <w:u w:val="single"/>
        </w:rPr>
        <w:t>Utilisation du budget 2012</w:t>
      </w:r>
      <w:r w:rsidR="002D6F2A" w:rsidRPr="00A515B4">
        <w:rPr>
          <w:u w:val="single"/>
        </w:rPr>
        <w:noBreakHyphen/>
      </w:r>
      <w:r w:rsidRPr="00A515B4">
        <w:rPr>
          <w:u w:val="single"/>
        </w:rPr>
        <w:t>2013</w:t>
      </w:r>
    </w:p>
    <w:p w:rsidR="00D42474" w:rsidRDefault="00D42474" w:rsidP="00A515B4">
      <w:pPr>
        <w:keepNext/>
        <w:keepLines/>
        <w:tabs>
          <w:tab w:val="left" w:pos="709"/>
        </w:tabs>
        <w:jc w:val="both"/>
        <w:rPr>
          <w:rFonts w:cs="Arial"/>
          <w:szCs w:val="20"/>
          <w:u w:val="single"/>
        </w:rPr>
      </w:pPr>
    </w:p>
    <w:p w:rsidR="00D42474" w:rsidRDefault="00F40E87" w:rsidP="00A515B4">
      <w:pPr>
        <w:pStyle w:val="Paragraphedeliste"/>
        <w:keepNext/>
        <w:keepLines/>
        <w:tabs>
          <w:tab w:val="left" w:pos="709"/>
        </w:tabs>
        <w:autoSpaceDE w:val="0"/>
        <w:autoSpaceDN w:val="0"/>
        <w:ind w:left="0"/>
        <w:jc w:val="both"/>
      </w:pPr>
      <w:r w:rsidRPr="00A515B4">
        <w:t>1.13.</w:t>
      </w:r>
      <w:r w:rsidRPr="00A515B4">
        <w:tab/>
        <w:t>Le taux d</w:t>
      </w:r>
      <w:r w:rsidR="00A20444" w:rsidRPr="00A515B4">
        <w:t>’</w:t>
      </w:r>
      <w:r w:rsidRPr="00A515B4">
        <w:t>utilisation des ressources hors personnel était faible, principalement en raison :</w:t>
      </w:r>
    </w:p>
    <w:p w:rsidR="00D42474" w:rsidRDefault="00D42474" w:rsidP="00A515B4">
      <w:pPr>
        <w:keepNext/>
        <w:keepLines/>
        <w:autoSpaceDE w:val="0"/>
        <w:autoSpaceDN w:val="0"/>
        <w:jc w:val="both"/>
        <w:rPr>
          <w:rFonts w:cs="Arial"/>
          <w:szCs w:val="20"/>
        </w:rPr>
      </w:pPr>
    </w:p>
    <w:p w:rsidR="00D42474" w:rsidRDefault="00F40E87" w:rsidP="00A515B4">
      <w:pPr>
        <w:pStyle w:val="Paragraphedeliste"/>
        <w:keepNext/>
        <w:keepLines/>
        <w:numPr>
          <w:ilvl w:val="0"/>
          <w:numId w:val="2"/>
        </w:numPr>
        <w:autoSpaceDE w:val="0"/>
        <w:autoSpaceDN w:val="0"/>
        <w:ind w:left="993" w:hanging="283"/>
        <w:jc w:val="both"/>
        <w:rPr>
          <w:rFonts w:cs="Arial"/>
        </w:rPr>
      </w:pPr>
      <w:r w:rsidRPr="00A515B4">
        <w:t>du report de deux sessions</w:t>
      </w:r>
      <w:r w:rsidR="00A20444" w:rsidRPr="00A515B4">
        <w:t xml:space="preserve"> du SCP</w:t>
      </w:r>
      <w:r w:rsidRPr="00A515B4">
        <w:t xml:space="preserve"> sur les quatre prévues au cours de l</w:t>
      </w:r>
      <w:r w:rsidR="00A20444" w:rsidRPr="00A515B4">
        <w:t>’</w:t>
      </w:r>
      <w:r w:rsidRPr="00A515B4">
        <w:t>exercice biennal, tel qu</w:t>
      </w:r>
      <w:r w:rsidR="00A20444" w:rsidRPr="00A515B4">
        <w:t>’</w:t>
      </w:r>
      <w:r w:rsidRPr="00A515B4">
        <w:t>indiqué au titre du résultat </w:t>
      </w:r>
      <w:proofErr w:type="spellStart"/>
      <w:r w:rsidRPr="00A515B4">
        <w:t>I.1</w:t>
      </w:r>
      <w:proofErr w:type="spellEnd"/>
      <w:r w:rsidRPr="00A515B4">
        <w:t xml:space="preserve"> (Élaboration de cadres normatifs internationaux équilibrés dans le domaine de la propriété intellectuelle);</w:t>
      </w:r>
      <w:r w:rsidR="004F3E42" w:rsidRPr="00A515B4">
        <w:t xml:space="preserve"> </w:t>
      </w:r>
      <w:r w:rsidR="0010442A" w:rsidRPr="00A515B4">
        <w:t xml:space="preserve"> </w:t>
      </w:r>
      <w:r w:rsidRPr="00A515B4">
        <w:t>et</w:t>
      </w:r>
    </w:p>
    <w:p w:rsidR="00D42474" w:rsidRDefault="00D42474" w:rsidP="001A5BF9">
      <w:pPr>
        <w:autoSpaceDE w:val="0"/>
        <w:autoSpaceDN w:val="0"/>
        <w:ind w:left="993" w:hanging="283"/>
        <w:jc w:val="both"/>
        <w:rPr>
          <w:rFonts w:cs="Arial"/>
          <w:szCs w:val="20"/>
        </w:rPr>
      </w:pPr>
    </w:p>
    <w:p w:rsidR="00D42474" w:rsidRDefault="00F40E87" w:rsidP="001A5BF9">
      <w:pPr>
        <w:pStyle w:val="Paragraphedeliste"/>
        <w:numPr>
          <w:ilvl w:val="0"/>
          <w:numId w:val="3"/>
        </w:numPr>
        <w:autoSpaceDE w:val="0"/>
        <w:autoSpaceDN w:val="0"/>
        <w:ind w:left="993" w:hanging="283"/>
        <w:jc w:val="both"/>
      </w:pPr>
      <w:r w:rsidRPr="005C7CCE">
        <w:t>du report à 2014 d</w:t>
      </w:r>
      <w:r w:rsidR="00A20444" w:rsidRPr="005C7CCE">
        <w:t>’</w:t>
      </w:r>
      <w:r w:rsidRPr="005C7CCE">
        <w:t>une réunion sur la politique des brevets et sa mise en œuvre législative et de l</w:t>
      </w:r>
      <w:r w:rsidR="00A20444" w:rsidRPr="005C7CCE">
        <w:t>’</w:t>
      </w:r>
      <w:r w:rsidRPr="005C7CCE">
        <w:t>annulation d</w:t>
      </w:r>
      <w:r w:rsidR="00A20444" w:rsidRPr="005C7CCE">
        <w:t>’</w:t>
      </w:r>
      <w:r w:rsidRPr="005C7CCE">
        <w:t>une conférence régionale sur les brevets et l</w:t>
      </w:r>
      <w:r w:rsidR="00A20444" w:rsidRPr="005C7CCE">
        <w:t>’</w:t>
      </w:r>
      <w:r w:rsidRPr="005C7CCE">
        <w:t>innovation ainsi qu</w:t>
      </w:r>
      <w:r w:rsidR="00A20444" w:rsidRPr="005C7CCE">
        <w:t>’</w:t>
      </w:r>
      <w:r w:rsidRPr="005C7CCE">
        <w:t>une conférence/réunion d</w:t>
      </w:r>
      <w:r w:rsidR="00A20444" w:rsidRPr="005C7CCE">
        <w:t>’</w:t>
      </w:r>
      <w:r w:rsidRPr="005C7CCE">
        <w:t>experts sur les brevets et les normes, comme indiqué au titre du résultat </w:t>
      </w:r>
      <w:proofErr w:type="spellStart"/>
      <w:r w:rsidRPr="005C7CCE">
        <w:t>I.4</w:t>
      </w:r>
      <w:proofErr w:type="spellEnd"/>
      <w:r w:rsidRPr="005C7CCE">
        <w:t xml:space="preserve"> (Conseils législatifs).</w:t>
      </w:r>
    </w:p>
    <w:p w:rsidR="00D42474" w:rsidRDefault="00D42474" w:rsidP="001A5BF9">
      <w:pPr>
        <w:pStyle w:val="Paragraphedeliste"/>
        <w:autoSpaceDE w:val="0"/>
        <w:autoSpaceDN w:val="0"/>
        <w:ind w:left="993"/>
        <w:jc w:val="both"/>
        <w:rPr>
          <w:rFonts w:cs="Arial"/>
        </w:rPr>
      </w:pPr>
    </w:p>
    <w:p w:rsidR="00D42474" w:rsidRDefault="00F40E87" w:rsidP="001A5BF9">
      <w:pPr>
        <w:rPr>
          <w:rFonts w:cs="Arial"/>
          <w:szCs w:val="20"/>
        </w:rPr>
      </w:pPr>
      <w:r w:rsidRPr="005C7CCE">
        <w:br w:type="page"/>
      </w:r>
    </w:p>
    <w:p w:rsidR="00D42474" w:rsidRDefault="003D32C1" w:rsidP="003D32C1">
      <w:pPr>
        <w:pStyle w:val="Heading3"/>
      </w:pPr>
      <w:bookmarkStart w:id="11" w:name="_Toc395082464"/>
      <w:r>
        <w:t>P</w:t>
      </w:r>
      <w:r w:rsidRPr="0015421B">
        <w:t>rogramme</w:t>
      </w:r>
      <w:r w:rsidRPr="0015421B">
        <w:rPr>
          <w:rFonts w:hint="eastAsia"/>
        </w:rPr>
        <w:t> </w:t>
      </w:r>
      <w:r w:rsidRPr="0015421B">
        <w:t xml:space="preserve">2 </w:t>
      </w:r>
      <w:r w:rsidRPr="0015421B">
        <w:tab/>
      </w:r>
      <w:r>
        <w:t>M</w:t>
      </w:r>
      <w:r w:rsidRPr="0015421B">
        <w:t>arques, dessins et mod</w:t>
      </w:r>
      <w:r w:rsidRPr="0015421B">
        <w:rPr>
          <w:rFonts w:hint="eastAsia"/>
        </w:rPr>
        <w:t>è</w:t>
      </w:r>
      <w:r w:rsidRPr="0015421B">
        <w:t>les industriels et indications g</w:t>
      </w:r>
      <w:r w:rsidRPr="0015421B">
        <w:rPr>
          <w:rFonts w:hint="eastAsia"/>
        </w:rPr>
        <w:t>é</w:t>
      </w:r>
      <w:r w:rsidRPr="0015421B">
        <w:t>ographiques</w:t>
      </w:r>
      <w:bookmarkEnd w:id="11"/>
    </w:p>
    <w:p w:rsidR="00D42474" w:rsidRDefault="00D42474" w:rsidP="001A5BF9">
      <w:pPr>
        <w:tabs>
          <w:tab w:val="left" w:pos="2268"/>
        </w:tabs>
        <w:rPr>
          <w:sz w:val="22"/>
          <w:szCs w:val="22"/>
        </w:rPr>
      </w:pPr>
    </w:p>
    <w:p w:rsidR="00D42474" w:rsidRDefault="00F40E87" w:rsidP="001A5BF9">
      <w:pPr>
        <w:tabs>
          <w:tab w:val="left" w:pos="2268"/>
        </w:tabs>
        <w:rPr>
          <w:b/>
          <w:sz w:val="22"/>
          <w:szCs w:val="22"/>
        </w:rPr>
      </w:pPr>
      <w:r w:rsidRPr="0015421B">
        <w:rPr>
          <w:b/>
          <w:sz w:val="22"/>
          <w:szCs w:val="22"/>
        </w:rPr>
        <w:t>Chef de programme</w:t>
      </w:r>
      <w:r w:rsidRPr="0015421B">
        <w:rPr>
          <w:b/>
          <w:sz w:val="22"/>
          <w:szCs w:val="22"/>
        </w:rPr>
        <w:tab/>
        <w:t>Mme B. Wang</w:t>
      </w:r>
    </w:p>
    <w:p w:rsidR="00D42474" w:rsidRDefault="00D42474" w:rsidP="001A5BF9">
      <w:pPr>
        <w:tabs>
          <w:tab w:val="left" w:pos="2268"/>
        </w:tabs>
        <w:rPr>
          <w:sz w:val="22"/>
          <w:szCs w:val="22"/>
        </w:rPr>
      </w:pPr>
    </w:p>
    <w:p w:rsidR="00D42474" w:rsidRDefault="00D42474" w:rsidP="001A5BF9">
      <w:pPr>
        <w:tabs>
          <w:tab w:val="left" w:pos="2268"/>
        </w:tabs>
        <w:rPr>
          <w:bCs/>
          <w:sz w:val="22"/>
          <w:szCs w:val="22"/>
        </w:rPr>
      </w:pPr>
    </w:p>
    <w:p w:rsidR="00D42474" w:rsidRDefault="00F40E87" w:rsidP="001A5BF9">
      <w:pPr>
        <w:tabs>
          <w:tab w:val="left" w:pos="2268"/>
        </w:tabs>
        <w:rPr>
          <w:bCs/>
          <w:sz w:val="22"/>
          <w:szCs w:val="22"/>
        </w:rPr>
      </w:pPr>
      <w:r w:rsidRPr="0015421B">
        <w:rPr>
          <w:sz w:val="22"/>
          <w:szCs w:val="22"/>
        </w:rPr>
        <w:t>RÉALISATIONS EN 2012</w:t>
      </w:r>
      <w:r w:rsidR="002D6F2A" w:rsidRPr="0015421B">
        <w:rPr>
          <w:sz w:val="22"/>
          <w:szCs w:val="22"/>
        </w:rPr>
        <w:noBreakHyphen/>
      </w:r>
      <w:r w:rsidRPr="0015421B">
        <w:rPr>
          <w:sz w:val="22"/>
          <w:szCs w:val="22"/>
        </w:rPr>
        <w:t>2013</w:t>
      </w:r>
    </w:p>
    <w:p w:rsidR="00D42474" w:rsidRDefault="00D42474" w:rsidP="001A5BF9">
      <w:pPr>
        <w:tabs>
          <w:tab w:val="left" w:pos="2268"/>
        </w:tabs>
        <w:jc w:val="both"/>
        <w:rPr>
          <w:sz w:val="22"/>
          <w:szCs w:val="22"/>
        </w:rPr>
      </w:pPr>
    </w:p>
    <w:p w:rsidR="00D42474" w:rsidRDefault="00F40E87" w:rsidP="001A5BF9">
      <w:pPr>
        <w:pStyle w:val="Paragraphedeliste"/>
        <w:tabs>
          <w:tab w:val="left" w:pos="709"/>
          <w:tab w:val="left" w:pos="2268"/>
        </w:tabs>
        <w:ind w:left="0"/>
        <w:jc w:val="both"/>
      </w:pPr>
      <w:r w:rsidRPr="0015421B">
        <w:t>2.1.</w:t>
      </w:r>
      <w:r w:rsidRPr="0015421B">
        <w:tab/>
        <w:t xml:space="preserve">Sur la période examinée, le Comité permanent du droit des marques, des dessins et modèles industriels et des indications géographiques (SCT) a progressé dans ses travaux visant à parvenir à un accord international sur le droit des modèles industriels et la pratique en la matière. </w:t>
      </w:r>
      <w:r w:rsidR="0010442A" w:rsidRPr="0015421B">
        <w:t xml:space="preserve"> </w:t>
      </w:r>
      <w:r w:rsidRPr="0015421B">
        <w:t xml:space="preserve">À sa session de </w:t>
      </w:r>
      <w:r w:rsidR="00A20444" w:rsidRPr="0015421B">
        <w:t>décembre 20</w:t>
      </w:r>
      <w:r w:rsidRPr="0015421B">
        <w:t>13, l</w:t>
      </w:r>
      <w:r w:rsidR="00A20444" w:rsidRPr="0015421B">
        <w:t>’</w:t>
      </w:r>
      <w:r w:rsidRPr="0015421B">
        <w:t>Assemblée générale de l</w:t>
      </w:r>
      <w:r w:rsidR="00A20444" w:rsidRPr="0015421B">
        <w:t>’</w:t>
      </w:r>
      <w:r w:rsidRPr="0015421B">
        <w:t>OMPI a demandé</w:t>
      </w:r>
      <w:r w:rsidR="00A20444" w:rsidRPr="0015421B">
        <w:t xml:space="preserve"> au SCT</w:t>
      </w:r>
      <w:r w:rsidRPr="0015421B">
        <w:t xml:space="preserve"> de finaliser ses travaux sur le texte d</w:t>
      </w:r>
      <w:r w:rsidR="00A20444" w:rsidRPr="0015421B">
        <w:t>’</w:t>
      </w:r>
      <w:r w:rsidRPr="0015421B">
        <w:t>une proposition de base concernant un traité sur le droit des dessins et modèles et a convenu qu</w:t>
      </w:r>
      <w:r w:rsidR="00A20444" w:rsidRPr="0015421B">
        <w:t>’</w:t>
      </w:r>
      <w:r w:rsidRPr="0015421B">
        <w:t>elle prendrait une décision sur la convocation d</w:t>
      </w:r>
      <w:r w:rsidR="00A20444" w:rsidRPr="0015421B">
        <w:t>’</w:t>
      </w:r>
      <w:r w:rsidRPr="0015421B">
        <w:t xml:space="preserve">une conférence diplomatique lors de sa session extraordinaire de mai 2014. </w:t>
      </w:r>
      <w:r w:rsidR="0010442A" w:rsidRPr="0015421B">
        <w:t xml:space="preserve"> </w:t>
      </w:r>
      <w:r w:rsidRPr="0015421B">
        <w:t>De la même manière,</w:t>
      </w:r>
      <w:r w:rsidR="00A20444" w:rsidRPr="0015421B">
        <w:t xml:space="preserve"> le SCT</w:t>
      </w:r>
      <w:r w:rsidRPr="0015421B">
        <w:t xml:space="preserve"> a continué ses travaux sur la protection des noms de pays et a examiné une étude préparée par le Secrétariat, ainsi qu</w:t>
      </w:r>
      <w:r w:rsidR="00A20444" w:rsidRPr="0015421B">
        <w:t>’</w:t>
      </w:r>
      <w:r w:rsidRPr="0015421B">
        <w:t xml:space="preserve">un certain nombre de propositions des États membres. </w:t>
      </w:r>
      <w:r w:rsidR="0010442A" w:rsidRPr="0015421B">
        <w:t xml:space="preserve"> </w:t>
      </w:r>
      <w:r w:rsidRPr="0015421B">
        <w:t>Ce comité a également tenu une réunion d</w:t>
      </w:r>
      <w:r w:rsidR="00A20444" w:rsidRPr="0015421B">
        <w:t>’</w:t>
      </w:r>
      <w:r w:rsidRPr="0015421B">
        <w:t>information sur le rôle et la responsabilité des intermédiaires Internet dans le domaine des marques, mais il a, par la suite, décidé de ne pas poursuivre ses travaux sur ce sujet spécifique.</w:t>
      </w:r>
      <w:r w:rsidR="004F3E42" w:rsidRPr="0015421B">
        <w:t xml:space="preserve"> </w:t>
      </w:r>
      <w:r w:rsidR="0010442A" w:rsidRPr="0015421B">
        <w:t xml:space="preserve"> </w:t>
      </w:r>
      <w:r w:rsidRPr="0015421B">
        <w:t>Par ailleurs, un forum sur l</w:t>
      </w:r>
      <w:r w:rsidR="00A20444" w:rsidRPr="0015421B">
        <w:t>’</w:t>
      </w:r>
      <w:r w:rsidRPr="0015421B">
        <w:t>innovation par les dessins et modèles a été organisé conjointement avec la vingt</w:t>
      </w:r>
      <w:r w:rsidR="002D6F2A" w:rsidRPr="0015421B">
        <w:noBreakHyphen/>
      </w:r>
      <w:r w:rsidRPr="0015421B">
        <w:t>neuvième session du SCT, réunissant un panel d</w:t>
      </w:r>
      <w:r w:rsidR="00A20444" w:rsidRPr="0015421B">
        <w:t>’</w:t>
      </w:r>
      <w:r w:rsidRPr="0015421B">
        <w:t>éminents représentants de la communauté des dessins et modèles qui ont partagé leurs points de vue sur l</w:t>
      </w:r>
      <w:r w:rsidR="00A20444" w:rsidRPr="0015421B">
        <w:t>’</w:t>
      </w:r>
      <w:r w:rsidRPr="0015421B">
        <w:t>importance des dessins et modèles dans l</w:t>
      </w:r>
      <w:r w:rsidR="00A20444" w:rsidRPr="0015421B">
        <w:t>’</w:t>
      </w:r>
      <w:r w:rsidRPr="0015421B">
        <w:t>innovation, la créativité et la stimulation du développement économique.</w:t>
      </w:r>
    </w:p>
    <w:p w:rsidR="00D42474" w:rsidRDefault="00D42474" w:rsidP="001A5BF9">
      <w:pPr>
        <w:pStyle w:val="Paragraphedeliste"/>
        <w:tabs>
          <w:tab w:val="left" w:pos="709"/>
          <w:tab w:val="left" w:pos="2268"/>
        </w:tabs>
        <w:ind w:left="0"/>
        <w:jc w:val="both"/>
      </w:pPr>
    </w:p>
    <w:p w:rsidR="00D42474" w:rsidRDefault="00F40E87" w:rsidP="001A5BF9">
      <w:pPr>
        <w:pStyle w:val="Paragraphedeliste"/>
        <w:tabs>
          <w:tab w:val="left" w:pos="709"/>
          <w:tab w:val="left" w:pos="2268"/>
        </w:tabs>
        <w:ind w:left="0"/>
        <w:jc w:val="both"/>
      </w:pPr>
      <w:r w:rsidRPr="0015421B">
        <w:t>2.2.</w:t>
      </w:r>
      <w:r w:rsidRPr="0015421B">
        <w:tab/>
        <w:t>En ce qui concerne la protection renforcée des emblèmes des États et des noms et emblèmes des organisations internationales intergouvernementales en vertu de l</w:t>
      </w:r>
      <w:r w:rsidR="00A20444" w:rsidRPr="0015421B">
        <w:t>’</w:t>
      </w:r>
      <w:r w:rsidRPr="0015421B">
        <w:t>article</w:t>
      </w:r>
      <w:r w:rsidR="0010442A" w:rsidRPr="0015421B">
        <w:t> </w:t>
      </w:r>
      <w:proofErr w:type="spellStart"/>
      <w:r w:rsidRPr="0015421B">
        <w:t>6</w:t>
      </w:r>
      <w:r w:rsidRPr="0015421B">
        <w:rPr>
          <w:i/>
        </w:rPr>
        <w:t>ter</w:t>
      </w:r>
      <w:proofErr w:type="spellEnd"/>
      <w:r w:rsidRPr="0015421B">
        <w:t xml:space="preserve"> de la Convention de Paris, les communications et les réponses aux demandes sont indiquées comme étant en bonne voie pendant la période examinée.</w:t>
      </w:r>
      <w:r w:rsidR="004F3E42" w:rsidRPr="0015421B">
        <w:t xml:space="preserve"> </w:t>
      </w:r>
      <w:r w:rsidR="0010442A" w:rsidRPr="0015421B">
        <w:t xml:space="preserve"> </w:t>
      </w:r>
      <w:r w:rsidRPr="0015421B">
        <w:t>Les écarts entre le nombre fixé de demandes à traiter et le nombre réel de demandes s</w:t>
      </w:r>
      <w:r w:rsidR="00A20444" w:rsidRPr="0015421B">
        <w:t>’</w:t>
      </w:r>
      <w:r w:rsidRPr="0015421B">
        <w:t>expliquent par une surévaluation du nombre de demandes, lors de la phase de planification.</w:t>
      </w:r>
      <w:r w:rsidR="004F3E42" w:rsidRPr="0015421B">
        <w:t xml:space="preserve"> </w:t>
      </w:r>
      <w:r w:rsidR="0010442A" w:rsidRPr="0015421B">
        <w:t xml:space="preserve"> </w:t>
      </w:r>
      <w:r w:rsidRPr="0015421B">
        <w:t>Cela s</w:t>
      </w:r>
      <w:r w:rsidR="00A20444" w:rsidRPr="0015421B">
        <w:t>’</w:t>
      </w:r>
      <w:r w:rsidRPr="0015421B">
        <w:t>applique également au nombre effectif de signes publiés (</w:t>
      </w:r>
      <w:r w:rsidR="00A20444" w:rsidRPr="0015421B">
        <w:t>à savoir</w:t>
      </w:r>
      <w:r w:rsidRPr="0015421B">
        <w:t> 123), qui est inférieur à l</w:t>
      </w:r>
      <w:r w:rsidR="00A20444" w:rsidRPr="0015421B">
        <w:t>’</w:t>
      </w:r>
      <w:r w:rsidRPr="0015421B">
        <w:t>objectif, mais correspond au nombre de demandes effectives reçues et communiquées.</w:t>
      </w:r>
    </w:p>
    <w:p w:rsidR="00D42474" w:rsidRDefault="00D42474" w:rsidP="001A5BF9">
      <w:pPr>
        <w:pStyle w:val="Paragraphedeliste"/>
        <w:tabs>
          <w:tab w:val="left" w:pos="709"/>
          <w:tab w:val="left" w:pos="2268"/>
        </w:tabs>
        <w:ind w:left="0"/>
        <w:jc w:val="both"/>
      </w:pPr>
    </w:p>
    <w:p w:rsidR="00D42474" w:rsidRDefault="00F40E87" w:rsidP="001A5BF9">
      <w:pPr>
        <w:pStyle w:val="Paragraphedeliste"/>
        <w:tabs>
          <w:tab w:val="left" w:pos="709"/>
          <w:tab w:val="left" w:pos="2268"/>
        </w:tabs>
        <w:ind w:left="0"/>
        <w:jc w:val="both"/>
      </w:pPr>
      <w:r w:rsidRPr="0015421B">
        <w:t>2.3.</w:t>
      </w:r>
      <w:r w:rsidRPr="0015421B">
        <w:tab/>
        <w:t>En ce qui concerne les travaux sur les cadres législatifs, réglementaires et politiques adaptés et équilibrés en matière de propriété intellectuelle, le programme a fourni des conseils individuels en réponse à 36 demandes formulées dans le domaine du droit des marques, des dessins et modèles industriels et des indications géographiques, émanant de 24 États membres sur la période examinée.</w:t>
      </w:r>
    </w:p>
    <w:p w:rsidR="00D42474" w:rsidRDefault="00D42474" w:rsidP="001A5BF9">
      <w:pPr>
        <w:tabs>
          <w:tab w:val="left" w:pos="709"/>
          <w:tab w:val="left" w:pos="2268"/>
        </w:tabs>
        <w:jc w:val="both"/>
        <w:rPr>
          <w:bCs/>
          <w:szCs w:val="22"/>
        </w:rPr>
      </w:pPr>
    </w:p>
    <w:p w:rsidR="00D42474" w:rsidRDefault="00D42474" w:rsidP="001A5BF9">
      <w:pPr>
        <w:tabs>
          <w:tab w:val="left" w:pos="709"/>
          <w:tab w:val="left" w:pos="2268"/>
        </w:tabs>
        <w:jc w:val="both"/>
        <w:rPr>
          <w:bCs/>
          <w:szCs w:val="22"/>
        </w:rPr>
      </w:pPr>
    </w:p>
    <w:p w:rsidR="00D42474" w:rsidRDefault="00F40E87" w:rsidP="001A5BF9">
      <w:pPr>
        <w:tabs>
          <w:tab w:val="left" w:pos="2268"/>
        </w:tabs>
        <w:jc w:val="both"/>
      </w:pPr>
      <w:r w:rsidRPr="00761625">
        <w:rPr>
          <w:sz w:val="22"/>
        </w:rPr>
        <w:t>MISE EN ŒUVRE DU PLAN D</w:t>
      </w:r>
      <w:r w:rsidR="00A20444" w:rsidRPr="00761625">
        <w:rPr>
          <w:sz w:val="22"/>
        </w:rPr>
        <w:t>’</w:t>
      </w:r>
      <w:r w:rsidRPr="00761625">
        <w:rPr>
          <w:sz w:val="22"/>
        </w:rPr>
        <w:t>ACTION POUR LE DÉVELOPPEMENT</w:t>
      </w:r>
    </w:p>
    <w:p w:rsidR="00D42474" w:rsidRDefault="00D42474" w:rsidP="001A5BF9">
      <w:pPr>
        <w:tabs>
          <w:tab w:val="left" w:pos="2268"/>
        </w:tabs>
        <w:jc w:val="both"/>
        <w:rPr>
          <w:bCs/>
          <w:szCs w:val="22"/>
        </w:rPr>
      </w:pPr>
    </w:p>
    <w:p w:rsidR="00D42474" w:rsidRDefault="00F40E87" w:rsidP="001A5BF9">
      <w:pPr>
        <w:pStyle w:val="Paragraphedeliste"/>
        <w:tabs>
          <w:tab w:val="left" w:pos="709"/>
          <w:tab w:val="left" w:pos="2268"/>
        </w:tabs>
        <w:ind w:left="0"/>
        <w:jc w:val="both"/>
      </w:pPr>
      <w:r w:rsidRPr="0015421B">
        <w:t>2.4.</w:t>
      </w:r>
      <w:r w:rsidRPr="0015421B">
        <w:tab/>
        <w:t>La conception, la planification et la mise en œuvre des activités menées au titre du programme 2 s</w:t>
      </w:r>
      <w:r w:rsidR="00A20444" w:rsidRPr="0015421B">
        <w:t>’</w:t>
      </w:r>
      <w:r w:rsidRPr="0015421B">
        <w:t>appuient sur les recommandations pertinentes du Plan d</w:t>
      </w:r>
      <w:r w:rsidR="00A20444" w:rsidRPr="0015421B">
        <w:t>’</w:t>
      </w:r>
      <w:r w:rsidRPr="0015421B">
        <w:t>action pour le développement.</w:t>
      </w:r>
      <w:r w:rsidR="004F3E42" w:rsidRPr="0015421B">
        <w:t xml:space="preserve"> </w:t>
      </w:r>
      <w:r w:rsidR="0010442A" w:rsidRPr="0015421B">
        <w:t xml:space="preserve"> </w:t>
      </w:r>
      <w:r w:rsidRPr="0015421B">
        <w:t>Les activités d</w:t>
      </w:r>
      <w:r w:rsidR="00A20444" w:rsidRPr="0015421B">
        <w:t>’</w:t>
      </w:r>
      <w:r w:rsidRPr="0015421B">
        <w:t>établissement de normes réalisées dans le cadre de ce programme au sein</w:t>
      </w:r>
      <w:r w:rsidR="00A20444" w:rsidRPr="0015421B">
        <w:t xml:space="preserve"> du SCT</w:t>
      </w:r>
      <w:r w:rsidRPr="0015421B">
        <w:t xml:space="preserve"> se sont également avérées exhaustives et ont été initiées à la demande des membres (recommandation n° 15).</w:t>
      </w:r>
      <w:r w:rsidR="004F3E42" w:rsidRPr="0015421B">
        <w:t xml:space="preserve"> </w:t>
      </w:r>
      <w:r w:rsidR="0010442A" w:rsidRPr="0015421B">
        <w:t xml:space="preserve"> </w:t>
      </w:r>
      <w:r w:rsidRPr="0015421B">
        <w:t>Les négociations</w:t>
      </w:r>
      <w:r w:rsidR="00A20444" w:rsidRPr="0015421B">
        <w:t xml:space="preserve"> du SCT</w:t>
      </w:r>
      <w:r w:rsidRPr="0015421B">
        <w:t xml:space="preserve"> se sont fondées sur des consultations ouvertes et équilibrées (recommandations n</w:t>
      </w:r>
      <w:r w:rsidRPr="0015421B">
        <w:rPr>
          <w:vertAlign w:val="superscript"/>
        </w:rPr>
        <w:t>os</w:t>
      </w:r>
      <w:r w:rsidRPr="0015421B">
        <w:t> 21 et 42).</w:t>
      </w:r>
      <w:r w:rsidR="004F3E42" w:rsidRPr="0015421B">
        <w:t xml:space="preserve"> </w:t>
      </w:r>
      <w:r w:rsidR="0010442A" w:rsidRPr="0015421B">
        <w:t xml:space="preserve"> </w:t>
      </w:r>
      <w:r w:rsidRPr="0015421B">
        <w:t>Les activités d</w:t>
      </w:r>
      <w:r w:rsidR="00A20444" w:rsidRPr="0015421B">
        <w:t>’</w:t>
      </w:r>
      <w:r w:rsidRPr="0015421B">
        <w:t>assistance technique, de renforcement des capacités et d</w:t>
      </w:r>
      <w:r w:rsidR="00A20444" w:rsidRPr="0015421B">
        <w:t>’</w:t>
      </w:r>
      <w:r w:rsidRPr="0015421B">
        <w:t>assistance législative du programme ont été axées sur le développement, déterminées par la demande et ont fait l</w:t>
      </w:r>
      <w:r w:rsidR="00A20444" w:rsidRPr="0015421B">
        <w:t>’</w:t>
      </w:r>
      <w:r w:rsidRPr="0015421B">
        <w:t>objet de comptes rendus réguliers (recommandations n</w:t>
      </w:r>
      <w:r w:rsidRPr="0015421B">
        <w:rPr>
          <w:vertAlign w:val="superscript"/>
        </w:rPr>
        <w:t>os</w:t>
      </w:r>
      <w:r w:rsidRPr="0015421B">
        <w:t> 1 et 13).</w:t>
      </w:r>
    </w:p>
    <w:p w:rsidR="00D42474" w:rsidRDefault="00D42474" w:rsidP="001A5BF9">
      <w:pPr>
        <w:tabs>
          <w:tab w:val="left" w:pos="2268"/>
        </w:tabs>
        <w:jc w:val="both"/>
        <w:rPr>
          <w:rFonts w:eastAsia="MS Mincho"/>
          <w:szCs w:val="20"/>
          <w:lang w:bidi="th-TH"/>
        </w:rPr>
      </w:pPr>
    </w:p>
    <w:p w:rsidR="00D42474" w:rsidRDefault="00F40E87" w:rsidP="001A5BF9">
      <w:pPr>
        <w:pStyle w:val="Paragraphedeliste"/>
        <w:tabs>
          <w:tab w:val="left" w:pos="709"/>
          <w:tab w:val="left" w:pos="2268"/>
        </w:tabs>
        <w:ind w:left="0"/>
        <w:jc w:val="both"/>
      </w:pPr>
      <w:r w:rsidRPr="0015421B">
        <w:t>2.5.</w:t>
      </w:r>
      <w:r w:rsidRPr="0015421B">
        <w:tab/>
        <w:t xml:space="preserve">En outre, ce programme a fourni des conseils dans le cadre du </w:t>
      </w:r>
      <w:r w:rsidR="00667FB3" w:rsidRPr="0015421B">
        <w:t>projet</w:t>
      </w:r>
      <w:r w:rsidRPr="0015421B">
        <w:t xml:space="preserve"> relatif à la propriété intellectuelle et la création de marques de produits aux fins de développement des entreprises dans les pays en développement et les PMA. </w:t>
      </w:r>
      <w:r w:rsidR="0010442A" w:rsidRPr="0015421B">
        <w:t xml:space="preserve"> </w:t>
      </w:r>
      <w:r w:rsidRPr="0015421B">
        <w:t>Il a également géré la préparation d</w:t>
      </w:r>
      <w:r w:rsidR="00A20444" w:rsidRPr="0015421B">
        <w:t>’</w:t>
      </w:r>
      <w:r w:rsidRPr="0015421B">
        <w:t>une étude sur l</w:t>
      </w:r>
      <w:r w:rsidR="00A20444" w:rsidRPr="0015421B">
        <w:t>’</w:t>
      </w:r>
      <w:r w:rsidRPr="0015421B">
        <w:t>appropriation illicite des signes dans le contexte du projet du Plan d</w:t>
      </w:r>
      <w:r w:rsidR="00A20444" w:rsidRPr="0015421B">
        <w:t>’</w:t>
      </w:r>
      <w:r w:rsidRPr="0015421B">
        <w:t xml:space="preserve">action pour le développement relatif à la propriété intellectuelle et au domaine public, et en a présenté les résultats au CDIP. </w:t>
      </w:r>
      <w:r w:rsidR="0010442A" w:rsidRPr="0015421B">
        <w:t xml:space="preserve"> </w:t>
      </w:r>
      <w:r w:rsidRPr="0015421B">
        <w:t>Ce programme a également pris part à l</w:t>
      </w:r>
      <w:r w:rsidR="00A20444" w:rsidRPr="0015421B">
        <w:t>’</w:t>
      </w:r>
      <w:r w:rsidRPr="0015421B">
        <w:t xml:space="preserve">évaluation de ce dernier projet et a participé à la rédaction du </w:t>
      </w:r>
      <w:r w:rsidR="00C5435B" w:rsidRPr="0015421B">
        <w:t>p</w:t>
      </w:r>
      <w:r w:rsidRPr="0015421B">
        <w:t xml:space="preserve">rojet pilote sur la propriété intellectuelle et la gestion des dessins et modèles pour le développement des entreprises dans les pays en développement et les pays les moins avancés (PMA) (CDIP/12/6). </w:t>
      </w:r>
      <w:r w:rsidR="0010442A" w:rsidRPr="0015421B">
        <w:t xml:space="preserve"> </w:t>
      </w:r>
      <w:r w:rsidRPr="0015421B">
        <w:t>Ce projet a été proposé par la République de Corée et approuvé par le CDIP à sa douzième session en novembre 2013.</w:t>
      </w:r>
    </w:p>
    <w:p w:rsidR="00D42474" w:rsidRDefault="00F40E87" w:rsidP="001A5BF9">
      <w:pPr>
        <w:rPr>
          <w:rFonts w:eastAsia="MS Mincho"/>
          <w:szCs w:val="22"/>
          <w:lang w:bidi="th-TH"/>
        </w:rPr>
      </w:pPr>
      <w:r w:rsidRPr="005C7CCE">
        <w:br w:type="page"/>
      </w:r>
    </w:p>
    <w:p w:rsidR="00D42474" w:rsidRDefault="00F40E87" w:rsidP="001A5BF9">
      <w:pPr>
        <w:tabs>
          <w:tab w:val="left" w:pos="2268"/>
        </w:tabs>
        <w:rPr>
          <w:szCs w:val="22"/>
        </w:rPr>
      </w:pPr>
      <w:r w:rsidRPr="00486AEA">
        <w:rPr>
          <w:sz w:val="22"/>
        </w:rPr>
        <w:t>DONNÉES RELATIVES À L</w:t>
      </w:r>
      <w:r w:rsidR="00A20444" w:rsidRPr="00486AEA">
        <w:rPr>
          <w:sz w:val="22"/>
        </w:rPr>
        <w:t>’</w:t>
      </w:r>
      <w:r w:rsidRPr="00486AEA">
        <w:rPr>
          <w:sz w:val="22"/>
        </w:rPr>
        <w:t>EXÉCUTION</w:t>
      </w:r>
    </w:p>
    <w:p w:rsidR="00F40E87" w:rsidRPr="005C7CCE" w:rsidRDefault="00F40E87" w:rsidP="001A5BF9">
      <w:pPr>
        <w:tabs>
          <w:tab w:val="left" w:pos="2268"/>
        </w:tabs>
        <w:rPr>
          <w:b/>
          <w:szCs w:val="22"/>
        </w:rPr>
      </w:pPr>
    </w:p>
    <w:tbl>
      <w:tblPr>
        <w:tblW w:w="4884"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42"/>
        <w:gridCol w:w="1801"/>
        <w:gridCol w:w="540"/>
        <w:gridCol w:w="1304"/>
        <w:gridCol w:w="682"/>
        <w:gridCol w:w="2547"/>
        <w:gridCol w:w="1133"/>
      </w:tblGrid>
      <w:tr w:rsidR="00DD499A" w:rsidRPr="0015421B" w:rsidTr="00BB3F3E">
        <w:trPr>
          <w:cantSplit/>
        </w:trPr>
        <w:tc>
          <w:tcPr>
            <w:tcW w:w="5000" w:type="pct"/>
            <w:gridSpan w:val="7"/>
            <w:tcBorders>
              <w:top w:val="single" w:sz="4" w:space="0" w:color="auto"/>
              <w:bottom w:val="single" w:sz="4" w:space="0" w:color="auto"/>
            </w:tcBorders>
            <w:shd w:val="clear" w:color="auto" w:fill="CCFFFF"/>
            <w:vAlign w:val="center"/>
          </w:tcPr>
          <w:p w:rsidR="00F40E87" w:rsidRPr="0015421B" w:rsidRDefault="00F40E87" w:rsidP="001A5BF9">
            <w:pPr>
              <w:keepNext/>
              <w:keepLines/>
              <w:tabs>
                <w:tab w:val="left" w:pos="1735"/>
              </w:tabs>
              <w:spacing w:before="120" w:after="120"/>
              <w:ind w:left="1735" w:hanging="1735"/>
              <w:rPr>
                <w:rFonts w:cs="Arial"/>
                <w:b/>
                <w:bCs/>
                <w:sz w:val="16"/>
                <w:szCs w:val="16"/>
              </w:rPr>
            </w:pPr>
            <w:r w:rsidRPr="0015421B">
              <w:rPr>
                <w:b/>
                <w:sz w:val="16"/>
              </w:rPr>
              <w:t>Résultat escompté</w:t>
            </w:r>
            <w:r w:rsidR="0010442A" w:rsidRPr="0015421B">
              <w:rPr>
                <w:b/>
                <w:sz w:val="16"/>
              </w:rPr>
              <w:t> </w:t>
            </w:r>
            <w:r w:rsidRPr="0015421B">
              <w:rPr>
                <w:b/>
                <w:sz w:val="16"/>
              </w:rPr>
              <w:t xml:space="preserve">: </w:t>
            </w:r>
            <w:r w:rsidRPr="0015421B">
              <w:rPr>
                <w:sz w:val="16"/>
              </w:rPr>
              <w:tab/>
              <w:t>Coopération et consensus renforcés entre les États membres en ce qui concerne l</w:t>
            </w:r>
            <w:r w:rsidR="00A20444" w:rsidRPr="0015421B">
              <w:rPr>
                <w:sz w:val="16"/>
              </w:rPr>
              <w:t>’</w:t>
            </w:r>
            <w:r w:rsidRPr="0015421B">
              <w:rPr>
                <w:sz w:val="16"/>
              </w:rPr>
              <w:t>élaboration des cadres politiques et normatifs équilibrés pour le système international des brevets, les marques, les dessins et modèles industriels, les indications géographiques, le droit d</w:t>
            </w:r>
            <w:r w:rsidR="00A20444" w:rsidRPr="0015421B">
              <w:rPr>
                <w:sz w:val="16"/>
              </w:rPr>
              <w:t>’</w:t>
            </w:r>
            <w:r w:rsidRPr="0015421B">
              <w:rPr>
                <w:sz w:val="16"/>
              </w:rPr>
              <w:t>auteur et les droits connexes, les savoirs traditionnels, les expressions culturelles traditionnelles et les ressources génétiques</w:t>
            </w:r>
          </w:p>
        </w:tc>
      </w:tr>
      <w:tr w:rsidR="000A5E43" w:rsidRPr="0015421B" w:rsidTr="00DD499A">
        <w:trPr>
          <w:cantSplit/>
        </w:trPr>
        <w:tc>
          <w:tcPr>
            <w:tcW w:w="718" w:type="pct"/>
            <w:tcBorders>
              <w:top w:val="single" w:sz="4" w:space="0" w:color="auto"/>
            </w:tcBorders>
            <w:shd w:val="clear" w:color="auto" w:fill="auto"/>
            <w:vAlign w:val="center"/>
          </w:tcPr>
          <w:p w:rsidR="00F40E87" w:rsidRPr="0015421B" w:rsidRDefault="00F40E87" w:rsidP="001A5BF9">
            <w:pPr>
              <w:rPr>
                <w:rFonts w:cs="Arial"/>
                <w:sz w:val="16"/>
                <w:szCs w:val="16"/>
              </w:rPr>
            </w:pPr>
            <w:r w:rsidRPr="0015421B">
              <w:rPr>
                <w:b/>
                <w:sz w:val="16"/>
              </w:rPr>
              <w:t>Indicateurs d</w:t>
            </w:r>
            <w:r w:rsidR="00A20444" w:rsidRPr="0015421B">
              <w:rPr>
                <w:b/>
                <w:sz w:val="16"/>
              </w:rPr>
              <w:t>’</w:t>
            </w:r>
            <w:r w:rsidRPr="0015421B">
              <w:rPr>
                <w:b/>
                <w:sz w:val="16"/>
              </w:rPr>
              <w:t>exécution</w:t>
            </w:r>
          </w:p>
        </w:tc>
        <w:tc>
          <w:tcPr>
            <w:tcW w:w="1252" w:type="pct"/>
            <w:gridSpan w:val="2"/>
            <w:tcBorders>
              <w:top w:val="single" w:sz="4" w:space="0" w:color="auto"/>
            </w:tcBorders>
            <w:shd w:val="clear" w:color="auto" w:fill="auto"/>
            <w:vAlign w:val="center"/>
          </w:tcPr>
          <w:p w:rsidR="00F40E87" w:rsidRPr="0015421B" w:rsidRDefault="00F40E87" w:rsidP="001A5BF9">
            <w:pPr>
              <w:rPr>
                <w:rFonts w:cs="Arial"/>
                <w:b/>
                <w:bCs/>
                <w:sz w:val="16"/>
                <w:szCs w:val="16"/>
              </w:rPr>
            </w:pPr>
            <w:r w:rsidRPr="0015421B">
              <w:rPr>
                <w:b/>
                <w:sz w:val="16"/>
              </w:rPr>
              <w:t>Niveaux de référence</w:t>
            </w:r>
          </w:p>
        </w:tc>
        <w:tc>
          <w:tcPr>
            <w:tcW w:w="1062" w:type="pct"/>
            <w:gridSpan w:val="2"/>
            <w:tcBorders>
              <w:top w:val="single" w:sz="4" w:space="0" w:color="auto"/>
            </w:tcBorders>
            <w:shd w:val="clear" w:color="auto" w:fill="auto"/>
            <w:tcMar>
              <w:top w:w="110" w:type="dxa"/>
            </w:tcMar>
            <w:vAlign w:val="center"/>
          </w:tcPr>
          <w:p w:rsidR="00F40E87" w:rsidRPr="0015421B" w:rsidRDefault="00F40E87" w:rsidP="001A5BF9">
            <w:pPr>
              <w:rPr>
                <w:rFonts w:cs="Arial"/>
                <w:b/>
                <w:sz w:val="16"/>
                <w:szCs w:val="16"/>
              </w:rPr>
            </w:pPr>
            <w:r w:rsidRPr="0015421B">
              <w:rPr>
                <w:b/>
                <w:sz w:val="16"/>
              </w:rPr>
              <w:t>Objectifs visés</w:t>
            </w:r>
          </w:p>
        </w:tc>
        <w:tc>
          <w:tcPr>
            <w:tcW w:w="1362" w:type="pct"/>
            <w:tcBorders>
              <w:top w:val="single" w:sz="4" w:space="0" w:color="auto"/>
            </w:tcBorders>
            <w:shd w:val="clear" w:color="auto" w:fill="auto"/>
            <w:tcMar>
              <w:top w:w="110" w:type="dxa"/>
            </w:tcMar>
            <w:vAlign w:val="center"/>
          </w:tcPr>
          <w:p w:rsidR="00F40E87" w:rsidRPr="0015421B" w:rsidRDefault="00F40E87" w:rsidP="001A5BF9">
            <w:pPr>
              <w:rPr>
                <w:rFonts w:cs="Arial"/>
                <w:sz w:val="16"/>
                <w:szCs w:val="16"/>
              </w:rPr>
            </w:pPr>
            <w:r w:rsidRPr="0015421B">
              <w:rPr>
                <w:b/>
                <w:sz w:val="16"/>
              </w:rPr>
              <w:t>Données relatives à l</w:t>
            </w:r>
            <w:r w:rsidR="00A20444" w:rsidRPr="0015421B">
              <w:rPr>
                <w:b/>
                <w:sz w:val="16"/>
              </w:rPr>
              <w:t>’</w:t>
            </w:r>
            <w:r w:rsidRPr="0015421B">
              <w:rPr>
                <w:b/>
                <w:sz w:val="16"/>
              </w:rPr>
              <w:t>exécution</w:t>
            </w:r>
          </w:p>
        </w:tc>
        <w:tc>
          <w:tcPr>
            <w:tcW w:w="606" w:type="pct"/>
            <w:tcBorders>
              <w:top w:val="single" w:sz="4" w:space="0" w:color="auto"/>
            </w:tcBorders>
            <w:shd w:val="clear" w:color="auto" w:fill="auto"/>
            <w:tcMar>
              <w:top w:w="110" w:type="dxa"/>
            </w:tcMar>
            <w:vAlign w:val="center"/>
          </w:tcPr>
          <w:p w:rsidR="00F40E87" w:rsidRPr="0015421B" w:rsidRDefault="00F40E87" w:rsidP="001A5BF9">
            <w:pPr>
              <w:keepNext/>
              <w:keepLines/>
              <w:jc w:val="center"/>
              <w:rPr>
                <w:rFonts w:cs="Arial"/>
                <w:b/>
                <w:bCs/>
                <w:sz w:val="16"/>
                <w:szCs w:val="16"/>
              </w:rPr>
            </w:pPr>
            <w:r w:rsidRPr="0015421B">
              <w:rPr>
                <w:b/>
                <w:sz w:val="16"/>
              </w:rPr>
              <w:t>Code de couleurs</w:t>
            </w:r>
          </w:p>
        </w:tc>
      </w:tr>
      <w:tr w:rsidR="000A5E43" w:rsidRPr="0015421B" w:rsidTr="00DD499A">
        <w:trPr>
          <w:cantSplit/>
        </w:trPr>
        <w:tc>
          <w:tcPr>
            <w:tcW w:w="718" w:type="pct"/>
            <w:shd w:val="clear" w:color="auto" w:fill="auto"/>
          </w:tcPr>
          <w:p w:rsidR="00F40E87" w:rsidRPr="0015421B" w:rsidRDefault="00F40E87" w:rsidP="001A5BF9">
            <w:pPr>
              <w:rPr>
                <w:rFonts w:cs="Arial"/>
                <w:sz w:val="16"/>
                <w:szCs w:val="16"/>
              </w:rPr>
            </w:pPr>
            <w:r w:rsidRPr="0015421B">
              <w:rPr>
                <w:sz w:val="16"/>
              </w:rPr>
              <w:t>Accord international sur un cadre normatif pour les dessins et modèles industriels</w:t>
            </w:r>
          </w:p>
        </w:tc>
        <w:tc>
          <w:tcPr>
            <w:tcW w:w="1252" w:type="pct"/>
            <w:gridSpan w:val="2"/>
            <w:shd w:val="clear" w:color="auto" w:fill="auto"/>
          </w:tcPr>
          <w:p w:rsidR="00F40E87" w:rsidRPr="0015421B" w:rsidRDefault="00F40E87" w:rsidP="001A5BF9">
            <w:pPr>
              <w:rPr>
                <w:rFonts w:cs="Arial"/>
                <w:sz w:val="16"/>
                <w:szCs w:val="16"/>
              </w:rPr>
            </w:pPr>
            <w:r w:rsidRPr="0015421B">
              <w:rPr>
                <w:sz w:val="16"/>
              </w:rPr>
              <w:t>Pas d</w:t>
            </w:r>
            <w:r w:rsidR="00A20444" w:rsidRPr="0015421B">
              <w:rPr>
                <w:sz w:val="16"/>
              </w:rPr>
              <w:t>’</w:t>
            </w:r>
            <w:r w:rsidRPr="0015421B">
              <w:rPr>
                <w:sz w:val="16"/>
              </w:rPr>
              <w:t>accord international existant</w:t>
            </w:r>
          </w:p>
        </w:tc>
        <w:tc>
          <w:tcPr>
            <w:tcW w:w="1062" w:type="pct"/>
            <w:gridSpan w:val="2"/>
            <w:shd w:val="clear" w:color="auto" w:fill="auto"/>
            <w:tcMar>
              <w:top w:w="110" w:type="dxa"/>
            </w:tcMar>
          </w:tcPr>
          <w:p w:rsidR="00F40E87" w:rsidRPr="0015421B" w:rsidRDefault="00F40E87" w:rsidP="001A5BF9">
            <w:pPr>
              <w:autoSpaceDE w:val="0"/>
              <w:autoSpaceDN w:val="0"/>
              <w:adjustRightInd w:val="0"/>
              <w:rPr>
                <w:rFonts w:cs="Arial"/>
                <w:sz w:val="16"/>
                <w:szCs w:val="16"/>
              </w:rPr>
            </w:pPr>
            <w:r w:rsidRPr="0015421B">
              <w:rPr>
                <w:sz w:val="16"/>
              </w:rPr>
              <w:t>Convocation d</w:t>
            </w:r>
            <w:r w:rsidR="00A20444" w:rsidRPr="0015421B">
              <w:rPr>
                <w:sz w:val="16"/>
              </w:rPr>
              <w:t>’</w:t>
            </w:r>
            <w:r w:rsidRPr="0015421B">
              <w:rPr>
                <w:sz w:val="16"/>
              </w:rPr>
              <w:t>une conférence diplomatique pour l</w:t>
            </w:r>
            <w:r w:rsidR="00A20444" w:rsidRPr="0015421B">
              <w:rPr>
                <w:sz w:val="16"/>
              </w:rPr>
              <w:t>’</w:t>
            </w:r>
            <w:r w:rsidRPr="0015421B">
              <w:rPr>
                <w:sz w:val="16"/>
              </w:rPr>
              <w:t>adoption d</w:t>
            </w:r>
            <w:r w:rsidR="00A20444" w:rsidRPr="0015421B">
              <w:rPr>
                <w:sz w:val="16"/>
              </w:rPr>
              <w:t>’</w:t>
            </w:r>
            <w:r w:rsidRPr="0015421B">
              <w:rPr>
                <w:sz w:val="16"/>
              </w:rPr>
              <w:t>un traité international sur le droit des dessins et modèles industriels sous réserve de progrès suffisants dans le travail préparatoire</w:t>
            </w:r>
          </w:p>
        </w:tc>
        <w:tc>
          <w:tcPr>
            <w:tcW w:w="1362" w:type="pct"/>
            <w:shd w:val="clear" w:color="auto" w:fill="auto"/>
            <w:tcMar>
              <w:top w:w="110" w:type="dxa"/>
            </w:tcMar>
          </w:tcPr>
          <w:p w:rsidR="00F40E87" w:rsidRPr="0015421B" w:rsidRDefault="00F40E87" w:rsidP="001A5BF9">
            <w:pPr>
              <w:rPr>
                <w:rFonts w:cs="Arial"/>
                <w:sz w:val="16"/>
                <w:szCs w:val="16"/>
              </w:rPr>
            </w:pPr>
            <w:r w:rsidRPr="0015421B">
              <w:rPr>
                <w:sz w:val="16"/>
              </w:rPr>
              <w:t>Décision de l</w:t>
            </w:r>
            <w:r w:rsidR="00A20444" w:rsidRPr="0015421B">
              <w:rPr>
                <w:sz w:val="16"/>
              </w:rPr>
              <w:t>’</w:t>
            </w:r>
            <w:r w:rsidRPr="0015421B">
              <w:rPr>
                <w:sz w:val="16"/>
              </w:rPr>
              <w:t>Assemblée générale de l</w:t>
            </w:r>
            <w:r w:rsidR="00A20444" w:rsidRPr="0015421B">
              <w:rPr>
                <w:sz w:val="16"/>
              </w:rPr>
              <w:t>’</w:t>
            </w:r>
            <w:r w:rsidRPr="0015421B">
              <w:rPr>
                <w:sz w:val="16"/>
              </w:rPr>
              <w:t>OMPI “afin de prier le SCT de finaliser ses travaux sur le texte de la pro</w:t>
            </w:r>
            <w:r w:rsidR="009C658D" w:rsidRPr="0015421B">
              <w:rPr>
                <w:sz w:val="16"/>
              </w:rPr>
              <w:t>position de base concernant le T</w:t>
            </w:r>
            <w:r w:rsidRPr="0015421B">
              <w:rPr>
                <w:sz w:val="16"/>
              </w:rPr>
              <w:t>raité sur le droit des dessins et modèles” (WO/GA/46/6</w:t>
            </w:r>
            <w:r w:rsidR="0010442A" w:rsidRPr="0015421B">
              <w:rPr>
                <w:sz w:val="16"/>
              </w:rPr>
              <w:t> </w:t>
            </w:r>
            <w:r w:rsidRPr="0015421B">
              <w:rPr>
                <w:sz w:val="16"/>
              </w:rPr>
              <w:t>Prov.2, paragraphe </w:t>
            </w:r>
            <w:proofErr w:type="spellStart"/>
            <w:r w:rsidRPr="0015421B">
              <w:rPr>
                <w:sz w:val="16"/>
              </w:rPr>
              <w:t>89.a</w:t>
            </w:r>
            <w:proofErr w:type="spellEnd"/>
            <w:r w:rsidRPr="0015421B">
              <w:rPr>
                <w:sz w:val="16"/>
              </w:rPr>
              <w:t>)).</w:t>
            </w:r>
          </w:p>
        </w:tc>
        <w:tc>
          <w:tcPr>
            <w:tcW w:w="606" w:type="pct"/>
            <w:shd w:val="clear" w:color="auto" w:fill="auto"/>
            <w:tcMar>
              <w:top w:w="110" w:type="dxa"/>
            </w:tcMar>
          </w:tcPr>
          <w:p w:rsidR="00F40E87" w:rsidRPr="0015421B" w:rsidRDefault="00F40E87" w:rsidP="001A5BF9">
            <w:pPr>
              <w:keepNext/>
              <w:keepLines/>
              <w:jc w:val="center"/>
              <w:rPr>
                <w:rFonts w:cs="Arial"/>
                <w:bCs/>
                <w:sz w:val="16"/>
                <w:szCs w:val="16"/>
              </w:rPr>
            </w:pPr>
            <w:r w:rsidRPr="0015421B">
              <w:rPr>
                <w:color w:val="E36C0A"/>
                <w:sz w:val="16"/>
              </w:rPr>
              <w:t>Objectif partiellement atteint</w:t>
            </w:r>
          </w:p>
        </w:tc>
      </w:tr>
      <w:tr w:rsidR="00F40E87" w:rsidRPr="005C7CCE" w:rsidTr="00DD499A">
        <w:trPr>
          <w:cantSplit/>
        </w:trPr>
        <w:tc>
          <w:tcPr>
            <w:tcW w:w="718" w:type="pct"/>
            <w:shd w:val="clear" w:color="auto" w:fill="auto"/>
          </w:tcPr>
          <w:p w:rsidR="00F40E87" w:rsidRPr="005C7CCE" w:rsidRDefault="00F40E87" w:rsidP="001A5BF9">
            <w:pPr>
              <w:rPr>
                <w:rFonts w:cs="Arial"/>
                <w:sz w:val="16"/>
                <w:szCs w:val="16"/>
              </w:rPr>
            </w:pPr>
            <w:r w:rsidRPr="000A5E43">
              <w:rPr>
                <w:sz w:val="16"/>
              </w:rPr>
              <w:t>Progrès visant à parvenir à un accord sur les points en cours de l</w:t>
            </w:r>
            <w:r w:rsidR="00A20444" w:rsidRPr="000A5E43">
              <w:rPr>
                <w:sz w:val="16"/>
              </w:rPr>
              <w:t>’</w:t>
            </w:r>
            <w:r w:rsidRPr="000A5E43">
              <w:rPr>
                <w:sz w:val="16"/>
              </w:rPr>
              <w:t>ordre du jour du SCT</w:t>
            </w:r>
          </w:p>
        </w:tc>
        <w:tc>
          <w:tcPr>
            <w:tcW w:w="1252" w:type="pct"/>
            <w:gridSpan w:val="2"/>
            <w:shd w:val="clear" w:color="auto" w:fill="auto"/>
          </w:tcPr>
          <w:p w:rsidR="00D42474" w:rsidRDefault="00F40E87" w:rsidP="001A5BF9">
            <w:pPr>
              <w:rPr>
                <w:rFonts w:cs="Arial"/>
                <w:i/>
                <w:color w:val="002060"/>
                <w:sz w:val="16"/>
                <w:szCs w:val="16"/>
              </w:rPr>
            </w:pPr>
            <w:r w:rsidRPr="005C7CCE">
              <w:rPr>
                <w:i/>
                <w:color w:val="002060"/>
                <w:sz w:val="16"/>
              </w:rPr>
              <w:t>Niveau de référence actualisé</w:t>
            </w:r>
            <w:r w:rsidRPr="005C7CCE">
              <w:br/>
            </w:r>
            <w:r w:rsidRPr="005C7CCE">
              <w:rPr>
                <w:i/>
                <w:color w:val="002060"/>
                <w:sz w:val="16"/>
              </w:rPr>
              <w:t xml:space="preserve">fin 2011 : </w:t>
            </w:r>
            <w:r w:rsidR="00667FB3">
              <w:rPr>
                <w:color w:val="002060"/>
                <w:sz w:val="16"/>
              </w:rPr>
              <w:t>projet</w:t>
            </w:r>
            <w:r w:rsidRPr="005C7CCE">
              <w:rPr>
                <w:color w:val="002060"/>
                <w:sz w:val="16"/>
              </w:rPr>
              <w:t xml:space="preserve"> de document de référence sur la protection des noms d</w:t>
            </w:r>
            <w:r w:rsidR="00A20444" w:rsidRPr="005C7CCE">
              <w:rPr>
                <w:color w:val="002060"/>
                <w:sz w:val="16"/>
              </w:rPr>
              <w:t>’</w:t>
            </w:r>
            <w:r w:rsidRPr="005C7CCE">
              <w:rPr>
                <w:color w:val="002060"/>
                <w:sz w:val="16"/>
              </w:rPr>
              <w:t>États contre leur enregistrement et leur utilisation en tant que marques</w:t>
            </w:r>
          </w:p>
          <w:p w:rsidR="00D42474" w:rsidRDefault="00D42474" w:rsidP="001A5BF9">
            <w:pPr>
              <w:rPr>
                <w:rFonts w:cs="Arial"/>
                <w:color w:val="002060"/>
                <w:sz w:val="8"/>
                <w:szCs w:val="8"/>
                <w:lang w:bidi="th-TH"/>
              </w:rPr>
            </w:pPr>
          </w:p>
          <w:p w:rsidR="00D42474" w:rsidRDefault="00F40E87" w:rsidP="001A5BF9">
            <w:pPr>
              <w:rPr>
                <w:color w:val="002060"/>
                <w:sz w:val="16"/>
              </w:rPr>
            </w:pPr>
            <w:r w:rsidRPr="000A5E43">
              <w:rPr>
                <w:color w:val="002060"/>
                <w:sz w:val="16"/>
              </w:rPr>
              <w:t>Accord sur une réunion d</w:t>
            </w:r>
            <w:r w:rsidR="00A20444" w:rsidRPr="000A5E43">
              <w:rPr>
                <w:color w:val="002060"/>
                <w:sz w:val="16"/>
              </w:rPr>
              <w:t>’</w:t>
            </w:r>
            <w:r w:rsidRPr="000A5E43">
              <w:rPr>
                <w:color w:val="002060"/>
                <w:sz w:val="16"/>
              </w:rPr>
              <w:t>informations traitant du rôle et de la responsabilité des intermédiaires Internet dans le domaine des marques</w:t>
            </w:r>
          </w:p>
          <w:p w:rsidR="00D42474" w:rsidRDefault="00D42474" w:rsidP="001A5BF9">
            <w:pPr>
              <w:rPr>
                <w:rFonts w:cs="Arial"/>
                <w:color w:val="002060"/>
                <w:sz w:val="8"/>
                <w:szCs w:val="8"/>
                <w:lang w:bidi="th-TH"/>
              </w:rPr>
            </w:pPr>
          </w:p>
          <w:p w:rsidR="00F40E87" w:rsidRPr="005C7CCE" w:rsidRDefault="00F40E87" w:rsidP="001A5BF9">
            <w:pPr>
              <w:rPr>
                <w:rFonts w:cs="Arial"/>
                <w:sz w:val="16"/>
                <w:szCs w:val="16"/>
              </w:rPr>
            </w:pPr>
            <w:r w:rsidRPr="005C7CCE">
              <w:rPr>
                <w:i/>
                <w:sz w:val="16"/>
              </w:rPr>
              <w:t xml:space="preserve">Niveau de référence initial </w:t>
            </w:r>
            <w:r w:rsidRPr="005C7CCE">
              <w:br/>
            </w:r>
            <w:r w:rsidR="00667FB3">
              <w:rPr>
                <w:i/>
                <w:sz w:val="16"/>
              </w:rPr>
              <w:t>programme et budget</w:t>
            </w:r>
            <w:r w:rsidR="008E60FE" w:rsidRPr="005C7CCE">
              <w:rPr>
                <w:i/>
                <w:sz w:val="16"/>
              </w:rPr>
              <w:t xml:space="preserve"> </w:t>
            </w:r>
            <w:r w:rsidRPr="005C7CCE">
              <w:rPr>
                <w:i/>
                <w:sz w:val="16"/>
              </w:rPr>
              <w:t>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0A5E43">
              <w:rPr>
                <w:sz w:val="16"/>
              </w:rPr>
              <w:t>r</w:t>
            </w:r>
            <w:r w:rsidRPr="005C7CCE">
              <w:rPr>
                <w:sz w:val="16"/>
              </w:rPr>
              <w:t>ecommandation commune de 2001 concernant les marques sur Internet.</w:t>
            </w:r>
          </w:p>
        </w:tc>
        <w:tc>
          <w:tcPr>
            <w:tcW w:w="1062" w:type="pct"/>
            <w:gridSpan w:val="2"/>
            <w:shd w:val="clear" w:color="auto" w:fill="auto"/>
            <w:tcMar>
              <w:top w:w="110" w:type="dxa"/>
            </w:tcMar>
          </w:tcPr>
          <w:p w:rsidR="00F40E87" w:rsidRPr="005C7CCE" w:rsidRDefault="00F40E87" w:rsidP="001A5BF9">
            <w:pPr>
              <w:rPr>
                <w:rFonts w:cs="Arial"/>
                <w:i/>
                <w:sz w:val="16"/>
                <w:szCs w:val="16"/>
              </w:rPr>
            </w:pPr>
            <w:r w:rsidRPr="000A5E43">
              <w:rPr>
                <w:sz w:val="16"/>
              </w:rPr>
              <w:t xml:space="preserve">Résultats convenus par le SCT </w:t>
            </w:r>
          </w:p>
        </w:tc>
        <w:tc>
          <w:tcPr>
            <w:tcW w:w="1362" w:type="pct"/>
            <w:shd w:val="clear" w:color="auto" w:fill="auto"/>
            <w:tcMar>
              <w:top w:w="110" w:type="dxa"/>
            </w:tcMar>
          </w:tcPr>
          <w:p w:rsidR="00D42474" w:rsidRDefault="00F40E87" w:rsidP="001A5BF9">
            <w:pPr>
              <w:rPr>
                <w:sz w:val="16"/>
              </w:rPr>
            </w:pPr>
            <w:r w:rsidRPr="005C7CCE">
              <w:rPr>
                <w:sz w:val="16"/>
              </w:rPr>
              <w:t>Accord du SCT sur un nombre substantiel de projets d</w:t>
            </w:r>
            <w:r w:rsidR="00A20444" w:rsidRPr="005C7CCE">
              <w:rPr>
                <w:sz w:val="16"/>
              </w:rPr>
              <w:t>’</w:t>
            </w:r>
            <w:r w:rsidRPr="005C7CCE">
              <w:rPr>
                <w:sz w:val="16"/>
              </w:rPr>
              <w:t>articles et de règles d</w:t>
            </w:r>
            <w:r w:rsidR="00A20444" w:rsidRPr="005C7CCE">
              <w:rPr>
                <w:sz w:val="16"/>
              </w:rPr>
              <w:t>’</w:t>
            </w:r>
            <w:r w:rsidRPr="005C7CCE">
              <w:rPr>
                <w:sz w:val="16"/>
              </w:rPr>
              <w:t>un traité sur le droit des dessins et modèles.</w:t>
            </w:r>
          </w:p>
          <w:p w:rsidR="00D42474" w:rsidRDefault="00D42474" w:rsidP="001A5BF9">
            <w:pPr>
              <w:rPr>
                <w:rFonts w:cs="Arial"/>
                <w:sz w:val="8"/>
                <w:szCs w:val="8"/>
                <w:lang w:bidi="th-TH"/>
              </w:rPr>
            </w:pPr>
          </w:p>
          <w:p w:rsidR="00F40E87" w:rsidRPr="005C7CCE" w:rsidRDefault="00F40E87" w:rsidP="001A5BF9">
            <w:pPr>
              <w:rPr>
                <w:rFonts w:cs="Arial"/>
                <w:sz w:val="16"/>
                <w:szCs w:val="16"/>
              </w:rPr>
            </w:pPr>
            <w:r w:rsidRPr="005C7CCE">
              <w:rPr>
                <w:sz w:val="16"/>
              </w:rPr>
              <w:t>Accord du SCT sur la poursuite des travaux sur la protection des noms de pays.</w:t>
            </w:r>
          </w:p>
        </w:tc>
        <w:tc>
          <w:tcPr>
            <w:tcW w:w="606" w:type="pct"/>
            <w:shd w:val="clear" w:color="auto" w:fill="auto"/>
            <w:tcMar>
              <w:top w:w="110" w:type="dxa"/>
            </w:tcMar>
          </w:tcPr>
          <w:p w:rsidR="00F40E87" w:rsidRPr="005C7CCE" w:rsidRDefault="00F40E87" w:rsidP="001A5BF9">
            <w:pPr>
              <w:keepNext/>
              <w:keepLines/>
              <w:jc w:val="center"/>
              <w:rPr>
                <w:rFonts w:cs="Arial"/>
                <w:bCs/>
                <w:color w:val="808080"/>
                <w:sz w:val="16"/>
                <w:szCs w:val="16"/>
              </w:rPr>
            </w:pPr>
            <w:r w:rsidRPr="00B470C6">
              <w:rPr>
                <w:color w:val="008000"/>
                <w:sz w:val="16"/>
              </w:rPr>
              <w:t>Objectif pleinement atteint</w:t>
            </w:r>
          </w:p>
        </w:tc>
      </w:tr>
      <w:tr w:rsidR="00F40E87" w:rsidRPr="005C7CCE" w:rsidTr="00DD499A">
        <w:trPr>
          <w:cantSplit/>
        </w:trPr>
        <w:tc>
          <w:tcPr>
            <w:tcW w:w="718" w:type="pct"/>
            <w:shd w:val="clear" w:color="auto" w:fill="auto"/>
          </w:tcPr>
          <w:p w:rsidR="00F40E87" w:rsidRPr="000A5E43" w:rsidRDefault="00F40E87" w:rsidP="001A5BF9">
            <w:pPr>
              <w:rPr>
                <w:rFonts w:cs="Arial"/>
                <w:sz w:val="16"/>
                <w:szCs w:val="16"/>
              </w:rPr>
            </w:pPr>
            <w:r w:rsidRPr="000A5E43">
              <w:rPr>
                <w:sz w:val="16"/>
              </w:rPr>
              <w:t>Nombre de ratifications du Traité de Singapour ou d</w:t>
            </w:r>
            <w:r w:rsidR="00A20444" w:rsidRPr="000A5E43">
              <w:rPr>
                <w:sz w:val="16"/>
              </w:rPr>
              <w:t>’</w:t>
            </w:r>
            <w:r w:rsidRPr="000A5E43">
              <w:rPr>
                <w:sz w:val="16"/>
              </w:rPr>
              <w:t>adhésions à ce traité</w:t>
            </w:r>
          </w:p>
        </w:tc>
        <w:tc>
          <w:tcPr>
            <w:tcW w:w="1252" w:type="pct"/>
            <w:gridSpan w:val="2"/>
            <w:shd w:val="clear" w:color="auto" w:fill="auto"/>
          </w:tcPr>
          <w:p w:rsidR="00D42474" w:rsidRDefault="00F40E87" w:rsidP="001A5BF9">
            <w:pPr>
              <w:rPr>
                <w:rFonts w:cs="Arial"/>
                <w:color w:val="002060"/>
                <w:sz w:val="16"/>
                <w:szCs w:val="16"/>
              </w:rPr>
            </w:pPr>
            <w:r w:rsidRPr="005C7CCE">
              <w:rPr>
                <w:i/>
                <w:color w:val="002060"/>
                <w:sz w:val="16"/>
              </w:rPr>
              <w:t>Niveau de référence actualisé fin 2011 :</w:t>
            </w:r>
            <w:r w:rsidR="000A5E43">
              <w:rPr>
                <w:color w:val="002060"/>
                <w:sz w:val="16"/>
              </w:rPr>
              <w:t xml:space="preserve"> n</w:t>
            </w:r>
            <w:r w:rsidRPr="005C7CCE">
              <w:rPr>
                <w:color w:val="002060"/>
                <w:sz w:val="16"/>
              </w:rPr>
              <w:t>ombre total de parties contractantes à la fin de 2011 : 24</w:t>
            </w:r>
            <w:r w:rsidRPr="005C7CCE">
              <w:rPr>
                <w:rStyle w:val="FootnoteReference"/>
                <w:color w:val="002060"/>
                <w:sz w:val="16"/>
              </w:rPr>
              <w:footnoteReference w:id="3"/>
            </w:r>
          </w:p>
          <w:p w:rsidR="00D42474" w:rsidRDefault="00D42474" w:rsidP="001A5BF9">
            <w:pPr>
              <w:rPr>
                <w:rFonts w:cs="Arial"/>
                <w:sz w:val="8"/>
                <w:szCs w:val="8"/>
              </w:rPr>
            </w:pPr>
          </w:p>
          <w:p w:rsidR="00F40E87" w:rsidRPr="005C7CCE" w:rsidRDefault="00F40E87" w:rsidP="001A5BF9">
            <w:pPr>
              <w:rPr>
                <w:rFonts w:cs="Arial"/>
                <w:sz w:val="16"/>
                <w:szCs w:val="16"/>
              </w:rPr>
            </w:pPr>
            <w:r w:rsidRPr="005C7CCE">
              <w:rPr>
                <w:sz w:val="16"/>
              </w:rPr>
              <w:t xml:space="preserve">Niveau de référence initial </w:t>
            </w:r>
            <w:r w:rsidRPr="005C7CCE">
              <w:br/>
            </w:r>
            <w:r w:rsidR="00667FB3">
              <w:rPr>
                <w:sz w:val="16"/>
              </w:rPr>
              <w:t>programme et budget</w:t>
            </w:r>
            <w:r w:rsidR="008E60FE" w:rsidRPr="005C7CCE">
              <w:rPr>
                <w:sz w:val="16"/>
              </w:rPr>
              <w:t xml:space="preserve"> </w:t>
            </w:r>
            <w:r w:rsidRPr="005C7CCE">
              <w:rPr>
                <w:sz w:val="16"/>
              </w:rPr>
              <w:t>2012</w:t>
            </w:r>
            <w:r w:rsidR="002D6F2A" w:rsidRPr="005C7CCE">
              <w:rPr>
                <w:sz w:val="16"/>
              </w:rPr>
              <w:noBreakHyphen/>
            </w:r>
            <w:r w:rsidRPr="005C7CCE">
              <w:rPr>
                <w:sz w:val="16"/>
              </w:rPr>
              <w:t>2013 </w:t>
            </w:r>
            <w:proofErr w:type="gramStart"/>
            <w:r w:rsidRPr="005C7CCE">
              <w:rPr>
                <w:sz w:val="16"/>
              </w:rPr>
              <w:t>:</w:t>
            </w:r>
            <w:proofErr w:type="gramEnd"/>
            <w:r w:rsidRPr="005C7CCE">
              <w:br/>
            </w:r>
            <w:r w:rsidR="006A66AD">
              <w:rPr>
                <w:sz w:val="16"/>
              </w:rPr>
              <w:t>n</w:t>
            </w:r>
            <w:r w:rsidRPr="005C7CCE">
              <w:rPr>
                <w:sz w:val="16"/>
              </w:rPr>
              <w:t>ombre de ratifications/adhésions à la fin de 2011</w:t>
            </w:r>
          </w:p>
        </w:tc>
        <w:tc>
          <w:tcPr>
            <w:tcW w:w="1062" w:type="pct"/>
            <w:gridSpan w:val="2"/>
            <w:shd w:val="clear" w:color="auto" w:fill="auto"/>
            <w:tcMar>
              <w:top w:w="110" w:type="dxa"/>
            </w:tcMar>
          </w:tcPr>
          <w:p w:rsidR="00D42474" w:rsidRDefault="00F40E87" w:rsidP="001A5BF9">
            <w:pPr>
              <w:autoSpaceDE w:val="0"/>
              <w:autoSpaceDN w:val="0"/>
              <w:adjustRightInd w:val="0"/>
              <w:rPr>
                <w:rFonts w:cs="Arial"/>
                <w:sz w:val="16"/>
                <w:szCs w:val="16"/>
              </w:rPr>
            </w:pPr>
            <w:r w:rsidRPr="005C7CCE">
              <w:rPr>
                <w:sz w:val="16"/>
              </w:rPr>
              <w:t>Au moins 10</w:t>
            </w:r>
            <w:r w:rsidR="000A5E43">
              <w:rPr>
                <w:sz w:val="16"/>
              </w:rPr>
              <w:t> </w:t>
            </w:r>
            <w:r w:rsidRPr="005C7CCE">
              <w:rPr>
                <w:sz w:val="16"/>
              </w:rPr>
              <w:t>ratifications/</w:t>
            </w:r>
            <w:r w:rsidR="000A5E43">
              <w:rPr>
                <w:sz w:val="16"/>
              </w:rPr>
              <w:br/>
            </w:r>
            <w:r w:rsidRPr="005C7CCE">
              <w:rPr>
                <w:sz w:val="16"/>
              </w:rPr>
              <w:t>adhésions supplémentaires</w:t>
            </w:r>
          </w:p>
          <w:p w:rsidR="00F40E87" w:rsidRPr="005C7CCE" w:rsidRDefault="00F40E87" w:rsidP="001A5BF9">
            <w:pPr>
              <w:rPr>
                <w:rFonts w:cs="Arial"/>
                <w:sz w:val="16"/>
                <w:szCs w:val="16"/>
              </w:rPr>
            </w:pPr>
            <w:r w:rsidRPr="005C7CCE">
              <w:rPr>
                <w:sz w:val="16"/>
              </w:rPr>
              <w:t>au Traité de Singapour</w:t>
            </w:r>
          </w:p>
        </w:tc>
        <w:tc>
          <w:tcPr>
            <w:tcW w:w="1362" w:type="pct"/>
            <w:shd w:val="clear" w:color="auto" w:fill="auto"/>
            <w:tcMar>
              <w:top w:w="110" w:type="dxa"/>
            </w:tcMar>
          </w:tcPr>
          <w:p w:rsidR="00F40E87" w:rsidRPr="005C7CCE" w:rsidRDefault="00F40E87" w:rsidP="001A5BF9">
            <w:pPr>
              <w:rPr>
                <w:rFonts w:cs="Arial"/>
                <w:sz w:val="16"/>
                <w:szCs w:val="16"/>
              </w:rPr>
            </w:pPr>
            <w:r w:rsidRPr="005C7CCE">
              <w:rPr>
                <w:sz w:val="16"/>
              </w:rPr>
              <w:t>Sept ratifications en 2012</w:t>
            </w:r>
            <w:r w:rsidR="002D6F2A" w:rsidRPr="005C7CCE">
              <w:rPr>
                <w:sz w:val="16"/>
              </w:rPr>
              <w:noBreakHyphen/>
            </w:r>
            <w:r w:rsidRPr="005C7CCE">
              <w:rPr>
                <w:sz w:val="16"/>
              </w:rPr>
              <w:t xml:space="preserve">2013, </w:t>
            </w:r>
            <w:r w:rsidR="00A20444" w:rsidRPr="005C7CCE">
              <w:rPr>
                <w:sz w:val="16"/>
              </w:rPr>
              <w:t>à savoir</w:t>
            </w:r>
            <w:r w:rsidRPr="005C7CCE">
              <w:rPr>
                <w:sz w:val="16"/>
              </w:rPr>
              <w:t>, l</w:t>
            </w:r>
            <w:r w:rsidR="00A20444" w:rsidRPr="005C7CCE">
              <w:rPr>
                <w:sz w:val="16"/>
              </w:rPr>
              <w:t>’</w:t>
            </w:r>
            <w:r w:rsidRPr="005C7CCE">
              <w:rPr>
                <w:sz w:val="16"/>
              </w:rPr>
              <w:t>Allemagne, l</w:t>
            </w:r>
            <w:r w:rsidR="00A20444" w:rsidRPr="005C7CCE">
              <w:rPr>
                <w:sz w:val="16"/>
              </w:rPr>
              <w:t>’</w:t>
            </w:r>
            <w:r w:rsidRPr="005C7CCE">
              <w:rPr>
                <w:sz w:val="16"/>
              </w:rPr>
              <w:t>Arménie, l</w:t>
            </w:r>
            <w:r w:rsidR="00A20444" w:rsidRPr="005C7CCE">
              <w:rPr>
                <w:sz w:val="16"/>
              </w:rPr>
              <w:t>’</w:t>
            </w:r>
            <w:r w:rsidRPr="005C7CCE">
              <w:rPr>
                <w:sz w:val="16"/>
              </w:rPr>
              <w:t>Islande, le Kazakhstan, la Lituanie, la Nouvelle</w:t>
            </w:r>
            <w:r w:rsidR="002D6F2A" w:rsidRPr="005C7CCE">
              <w:rPr>
                <w:sz w:val="16"/>
              </w:rPr>
              <w:noBreakHyphen/>
            </w:r>
            <w:r w:rsidRPr="005C7CCE">
              <w:rPr>
                <w:sz w:val="16"/>
              </w:rPr>
              <w:t>Zélande et le Royaume</w:t>
            </w:r>
            <w:r w:rsidR="002D6F2A" w:rsidRPr="005C7CCE">
              <w:rPr>
                <w:sz w:val="16"/>
              </w:rPr>
              <w:noBreakHyphen/>
            </w:r>
            <w:r w:rsidRPr="005C7CCE">
              <w:rPr>
                <w:sz w:val="16"/>
              </w:rPr>
              <w:t>Uni, ce qui porte le nombre total de parties contractantes à 31 à la fin de 2013.</w:t>
            </w:r>
          </w:p>
        </w:tc>
        <w:tc>
          <w:tcPr>
            <w:tcW w:w="606" w:type="pct"/>
            <w:shd w:val="clear" w:color="auto" w:fill="auto"/>
            <w:tcMar>
              <w:top w:w="110" w:type="dxa"/>
            </w:tcMar>
          </w:tcPr>
          <w:p w:rsidR="00F40E87" w:rsidRPr="005C7CCE" w:rsidRDefault="0015421B" w:rsidP="001A5BF9">
            <w:pPr>
              <w:keepNext/>
              <w:keepLines/>
              <w:jc w:val="center"/>
              <w:rPr>
                <w:rFonts w:cs="Arial"/>
                <w:bCs/>
                <w:color w:val="808080"/>
                <w:sz w:val="16"/>
                <w:szCs w:val="16"/>
              </w:rPr>
            </w:pPr>
            <w:r w:rsidRPr="0015421B">
              <w:rPr>
                <w:color w:val="E36C0A"/>
                <w:sz w:val="16"/>
              </w:rPr>
              <w:t>Objectif partiellement atteint</w:t>
            </w:r>
          </w:p>
        </w:tc>
      </w:tr>
      <w:tr w:rsidR="00F40E87" w:rsidRPr="005C7CCE" w:rsidTr="00DD499A">
        <w:trPr>
          <w:cantSplit/>
        </w:trPr>
        <w:tc>
          <w:tcPr>
            <w:tcW w:w="718" w:type="pct"/>
            <w:tcBorders>
              <w:bottom w:val="single" w:sz="4" w:space="0" w:color="auto"/>
            </w:tcBorders>
            <w:shd w:val="clear" w:color="auto" w:fill="auto"/>
          </w:tcPr>
          <w:p w:rsidR="00F40E87" w:rsidRPr="000A5E43" w:rsidRDefault="00F40E87" w:rsidP="001A5BF9">
            <w:pPr>
              <w:rPr>
                <w:rFonts w:cs="Arial"/>
                <w:sz w:val="16"/>
                <w:szCs w:val="16"/>
              </w:rPr>
            </w:pPr>
            <w:r w:rsidRPr="000A5E43">
              <w:rPr>
                <w:sz w:val="16"/>
              </w:rPr>
              <w:t>Début des travaux par</w:t>
            </w:r>
            <w:r w:rsidR="00A20444" w:rsidRPr="000A5E43">
              <w:rPr>
                <w:sz w:val="16"/>
              </w:rPr>
              <w:t xml:space="preserve"> le SCT</w:t>
            </w:r>
            <w:r w:rsidRPr="000A5E43">
              <w:rPr>
                <w:sz w:val="16"/>
              </w:rPr>
              <w:t xml:space="preserve"> sur les indications géographiques</w:t>
            </w:r>
            <w:r w:rsidR="004F3E42" w:rsidRPr="000A5E43">
              <w:rPr>
                <w:sz w:val="16"/>
              </w:rPr>
              <w:t xml:space="preserve"> </w:t>
            </w:r>
          </w:p>
        </w:tc>
        <w:tc>
          <w:tcPr>
            <w:tcW w:w="1252" w:type="pct"/>
            <w:gridSpan w:val="2"/>
            <w:tcBorders>
              <w:bottom w:val="single" w:sz="4" w:space="0" w:color="auto"/>
            </w:tcBorders>
            <w:shd w:val="clear" w:color="auto" w:fill="auto"/>
          </w:tcPr>
          <w:p w:rsidR="00D42474" w:rsidRDefault="00F40E87" w:rsidP="001A5BF9">
            <w:pPr>
              <w:rPr>
                <w:rFonts w:cs="Arial"/>
                <w:i/>
                <w:color w:val="002060"/>
                <w:sz w:val="16"/>
                <w:szCs w:val="16"/>
              </w:rPr>
            </w:pPr>
            <w:r w:rsidRPr="005C7CCE">
              <w:rPr>
                <w:i/>
                <w:color w:val="002060"/>
                <w:sz w:val="16"/>
              </w:rPr>
              <w:t>Niveau de référence actualisé fin 2011 :</w:t>
            </w:r>
            <w:r w:rsidR="006A66AD">
              <w:rPr>
                <w:color w:val="002060"/>
                <w:sz w:val="16"/>
              </w:rPr>
              <w:t xml:space="preserve"> p</w:t>
            </w:r>
            <w:r w:rsidRPr="005C7CCE">
              <w:rPr>
                <w:color w:val="002060"/>
                <w:sz w:val="16"/>
              </w:rPr>
              <w:t>as de travaux en cours sur les indications géographiques réalisés par le SCT à la fin de 2011</w:t>
            </w:r>
          </w:p>
          <w:p w:rsidR="00D42474" w:rsidRDefault="00D42474" w:rsidP="001A5BF9">
            <w:pPr>
              <w:rPr>
                <w:rFonts w:cs="Arial"/>
                <w:i/>
                <w:sz w:val="8"/>
                <w:szCs w:val="8"/>
              </w:rPr>
            </w:pPr>
          </w:p>
          <w:p w:rsidR="00D42474" w:rsidRDefault="00F40E87" w:rsidP="001A5BF9">
            <w:pPr>
              <w:rPr>
                <w:rFonts w:cs="Arial"/>
                <w:sz w:val="16"/>
                <w:szCs w:val="16"/>
              </w:rPr>
            </w:pPr>
            <w:r w:rsidRPr="005C7CCE">
              <w:rPr>
                <w:i/>
                <w:sz w:val="16"/>
              </w:rPr>
              <w:t xml:space="preserve">Niveau de référence initial </w:t>
            </w:r>
            <w:r w:rsidRPr="005C7CCE">
              <w:br/>
            </w:r>
            <w:r w:rsidR="00667FB3">
              <w:rPr>
                <w:i/>
                <w:sz w:val="16"/>
              </w:rPr>
              <w:t>programme et budget</w:t>
            </w:r>
            <w:r w:rsidR="008E60FE" w:rsidRPr="005C7CCE">
              <w:rPr>
                <w:i/>
                <w:sz w:val="16"/>
              </w:rPr>
              <w:t xml:space="preserve"> </w:t>
            </w:r>
            <w:r w:rsidRPr="005C7CCE">
              <w:rPr>
                <w:i/>
                <w:sz w:val="16"/>
              </w:rPr>
              <w:t>2012</w:t>
            </w:r>
            <w:r w:rsidR="002D6F2A" w:rsidRPr="005C7CCE">
              <w:rPr>
                <w:i/>
                <w:sz w:val="16"/>
              </w:rPr>
              <w:noBreakHyphen/>
            </w:r>
            <w:r w:rsidRPr="005C7CCE">
              <w:rPr>
                <w:i/>
                <w:sz w:val="16"/>
              </w:rPr>
              <w:t>2013 :</w:t>
            </w:r>
          </w:p>
          <w:p w:rsidR="00F40E87" w:rsidRPr="005C7CCE" w:rsidRDefault="006A66AD" w:rsidP="001A5BF9">
            <w:pPr>
              <w:rPr>
                <w:rFonts w:cs="Arial"/>
                <w:sz w:val="16"/>
                <w:szCs w:val="16"/>
              </w:rPr>
            </w:pPr>
            <w:r>
              <w:rPr>
                <w:sz w:val="16"/>
              </w:rPr>
              <w:t>é</w:t>
            </w:r>
            <w:r w:rsidR="00F40E87" w:rsidRPr="006A66AD">
              <w:rPr>
                <w:sz w:val="16"/>
              </w:rPr>
              <w:t>tat d</w:t>
            </w:r>
            <w:r w:rsidR="00A20444" w:rsidRPr="006A66AD">
              <w:rPr>
                <w:sz w:val="16"/>
              </w:rPr>
              <w:t>’</w:t>
            </w:r>
            <w:r w:rsidR="00F40E87" w:rsidRPr="006A66AD">
              <w:rPr>
                <w:sz w:val="16"/>
              </w:rPr>
              <w:t>avancement des travaux</w:t>
            </w:r>
            <w:r w:rsidR="00A20444" w:rsidRPr="006A66AD">
              <w:rPr>
                <w:sz w:val="16"/>
              </w:rPr>
              <w:t xml:space="preserve"> du SCT</w:t>
            </w:r>
            <w:r w:rsidR="00F40E87" w:rsidRPr="006A66AD">
              <w:rPr>
                <w:sz w:val="16"/>
              </w:rPr>
              <w:t xml:space="preserve"> sur les indications géographiques, à</w:t>
            </w:r>
            <w:r w:rsidR="008E60FE" w:rsidRPr="006A66AD">
              <w:rPr>
                <w:sz w:val="16"/>
              </w:rPr>
              <w:t> </w:t>
            </w:r>
            <w:r w:rsidR="00F40E87" w:rsidRPr="006A66AD">
              <w:rPr>
                <w:sz w:val="16"/>
              </w:rPr>
              <w:t>la fin 2011</w:t>
            </w:r>
          </w:p>
        </w:tc>
        <w:tc>
          <w:tcPr>
            <w:tcW w:w="1062" w:type="pct"/>
            <w:gridSpan w:val="2"/>
            <w:tcBorders>
              <w:bottom w:val="single" w:sz="4" w:space="0" w:color="auto"/>
            </w:tcBorders>
            <w:shd w:val="clear" w:color="auto" w:fill="auto"/>
            <w:tcMar>
              <w:top w:w="110" w:type="dxa"/>
            </w:tcMar>
          </w:tcPr>
          <w:p w:rsidR="00D42474" w:rsidRDefault="00F40E87" w:rsidP="001A5BF9">
            <w:pPr>
              <w:autoSpaceDE w:val="0"/>
              <w:autoSpaceDN w:val="0"/>
              <w:adjustRightInd w:val="0"/>
              <w:rPr>
                <w:rFonts w:cs="Arial"/>
                <w:sz w:val="16"/>
                <w:szCs w:val="16"/>
              </w:rPr>
            </w:pPr>
            <w:r w:rsidRPr="005C7CCE">
              <w:rPr>
                <w:sz w:val="16"/>
              </w:rPr>
              <w:t>Retour d</w:t>
            </w:r>
            <w:r w:rsidR="00A20444" w:rsidRPr="005C7CCE">
              <w:rPr>
                <w:sz w:val="16"/>
              </w:rPr>
              <w:t>’</w:t>
            </w:r>
            <w:r w:rsidRPr="005C7CCE">
              <w:rPr>
                <w:sz w:val="16"/>
              </w:rPr>
              <w:t>information du SCT</w:t>
            </w:r>
          </w:p>
          <w:p w:rsidR="00F40E87" w:rsidRPr="005C7CCE" w:rsidRDefault="00F40E87" w:rsidP="001A5BF9">
            <w:pPr>
              <w:rPr>
                <w:rFonts w:cs="Arial"/>
                <w:sz w:val="16"/>
                <w:szCs w:val="16"/>
              </w:rPr>
            </w:pPr>
            <w:r w:rsidRPr="005C7CCE">
              <w:rPr>
                <w:sz w:val="16"/>
              </w:rPr>
              <w:t>sur un document concernant les indications géographiques</w:t>
            </w:r>
          </w:p>
        </w:tc>
        <w:tc>
          <w:tcPr>
            <w:tcW w:w="1362" w:type="pct"/>
            <w:tcBorders>
              <w:bottom w:val="single" w:sz="4" w:space="0" w:color="auto"/>
            </w:tcBorders>
            <w:shd w:val="clear" w:color="auto" w:fill="auto"/>
            <w:tcMar>
              <w:top w:w="110" w:type="dxa"/>
            </w:tcMar>
          </w:tcPr>
          <w:p w:rsidR="00F40E87" w:rsidRPr="005C7CCE" w:rsidRDefault="00F40E87" w:rsidP="001A5BF9">
            <w:pPr>
              <w:rPr>
                <w:rFonts w:cs="Arial"/>
                <w:sz w:val="16"/>
                <w:szCs w:val="16"/>
              </w:rPr>
            </w:pPr>
            <w:r w:rsidRPr="005C7CCE">
              <w:rPr>
                <w:sz w:val="16"/>
              </w:rPr>
              <w:t>Lancement des travaux du SCT sur les indications géographiques</w:t>
            </w:r>
          </w:p>
        </w:tc>
        <w:tc>
          <w:tcPr>
            <w:tcW w:w="606" w:type="pct"/>
            <w:tcBorders>
              <w:bottom w:val="single" w:sz="4" w:space="0" w:color="auto"/>
            </w:tcBorders>
            <w:shd w:val="clear" w:color="auto" w:fill="auto"/>
            <w:tcMar>
              <w:top w:w="110" w:type="dxa"/>
            </w:tcMar>
          </w:tcPr>
          <w:p w:rsidR="00F40E87" w:rsidRPr="005C7CCE" w:rsidRDefault="0015421B" w:rsidP="001A5BF9">
            <w:pPr>
              <w:keepNext/>
              <w:keepLines/>
              <w:jc w:val="center"/>
              <w:rPr>
                <w:rFonts w:cs="Arial"/>
                <w:bCs/>
                <w:color w:val="808080"/>
                <w:sz w:val="16"/>
                <w:szCs w:val="16"/>
              </w:rPr>
            </w:pPr>
            <w:r w:rsidRPr="0015421B">
              <w:rPr>
                <w:color w:val="E36C0A"/>
                <w:sz w:val="16"/>
              </w:rPr>
              <w:t>Objectif partiellement atteint</w:t>
            </w:r>
          </w:p>
        </w:tc>
      </w:tr>
      <w:tr w:rsidR="00DD499A" w:rsidRPr="003A3928" w:rsidTr="00BB3F3E">
        <w:trPr>
          <w:cantSplit/>
        </w:trPr>
        <w:tc>
          <w:tcPr>
            <w:tcW w:w="5000" w:type="pct"/>
            <w:gridSpan w:val="7"/>
            <w:tcBorders>
              <w:top w:val="single" w:sz="4" w:space="0" w:color="auto"/>
              <w:bottom w:val="single" w:sz="4" w:space="0" w:color="auto"/>
            </w:tcBorders>
            <w:shd w:val="clear" w:color="auto" w:fill="CCFFFF"/>
            <w:vAlign w:val="center"/>
          </w:tcPr>
          <w:p w:rsidR="00F40E87" w:rsidRPr="003A3928" w:rsidRDefault="00F40E87" w:rsidP="001A5BF9">
            <w:pPr>
              <w:keepNext/>
              <w:keepLines/>
              <w:tabs>
                <w:tab w:val="left" w:pos="1735"/>
              </w:tabs>
              <w:spacing w:before="120" w:after="120"/>
              <w:ind w:left="1735" w:hanging="1735"/>
              <w:rPr>
                <w:rFonts w:cs="Arial"/>
                <w:b/>
                <w:bCs/>
                <w:sz w:val="16"/>
                <w:szCs w:val="16"/>
              </w:rPr>
            </w:pPr>
            <w:r w:rsidRPr="003A3928">
              <w:rPr>
                <w:b/>
                <w:sz w:val="16"/>
              </w:rPr>
              <w:t>Résultat escompté</w:t>
            </w:r>
            <w:r w:rsidR="0010442A" w:rsidRPr="003A3928">
              <w:rPr>
                <w:b/>
                <w:sz w:val="16"/>
              </w:rPr>
              <w:t> </w:t>
            </w:r>
            <w:r w:rsidRPr="003A3928">
              <w:rPr>
                <w:b/>
                <w:sz w:val="16"/>
              </w:rPr>
              <w:t xml:space="preserve">: </w:t>
            </w:r>
            <w:r w:rsidRPr="003A3928">
              <w:rPr>
                <w:sz w:val="16"/>
              </w:rPr>
              <w:tab/>
              <w:t xml:space="preserve">Renforcement de la protection des emblèmes des États et des noms et emblèmes des Organisations intergouvernementales internationales </w:t>
            </w:r>
          </w:p>
        </w:tc>
      </w:tr>
      <w:tr w:rsidR="003A3928" w:rsidRPr="003A3928" w:rsidTr="00DD499A">
        <w:trPr>
          <w:cantSplit/>
        </w:trPr>
        <w:tc>
          <w:tcPr>
            <w:tcW w:w="718" w:type="pct"/>
            <w:tcBorders>
              <w:top w:val="single" w:sz="4" w:space="0" w:color="auto"/>
            </w:tcBorders>
            <w:shd w:val="clear" w:color="auto" w:fill="auto"/>
            <w:vAlign w:val="center"/>
          </w:tcPr>
          <w:p w:rsidR="00F40E87" w:rsidRPr="003A3928" w:rsidRDefault="00F40E87" w:rsidP="001A5BF9">
            <w:pPr>
              <w:keepNext/>
              <w:keepLines/>
              <w:rPr>
                <w:rFonts w:cs="Arial"/>
                <w:b/>
                <w:sz w:val="16"/>
                <w:szCs w:val="16"/>
              </w:rPr>
            </w:pPr>
            <w:r w:rsidRPr="003A3928">
              <w:rPr>
                <w:b/>
                <w:sz w:val="16"/>
              </w:rPr>
              <w:t>Indicateurs d</w:t>
            </w:r>
            <w:r w:rsidR="00A20444" w:rsidRPr="003A3928">
              <w:rPr>
                <w:b/>
                <w:sz w:val="16"/>
              </w:rPr>
              <w:t>’</w:t>
            </w:r>
            <w:r w:rsidRPr="003A3928">
              <w:rPr>
                <w:b/>
                <w:sz w:val="16"/>
              </w:rPr>
              <w:t>exécution</w:t>
            </w:r>
          </w:p>
        </w:tc>
        <w:tc>
          <w:tcPr>
            <w:tcW w:w="963" w:type="pct"/>
            <w:tcBorders>
              <w:top w:val="single" w:sz="4" w:space="0" w:color="auto"/>
            </w:tcBorders>
            <w:shd w:val="clear" w:color="auto" w:fill="auto"/>
            <w:vAlign w:val="center"/>
          </w:tcPr>
          <w:p w:rsidR="00F40E87" w:rsidRPr="003A3928" w:rsidRDefault="00F40E87" w:rsidP="001A5BF9">
            <w:pPr>
              <w:keepNext/>
              <w:keepLines/>
              <w:rPr>
                <w:rFonts w:cs="Arial"/>
                <w:b/>
                <w:bCs/>
                <w:sz w:val="16"/>
                <w:szCs w:val="16"/>
              </w:rPr>
            </w:pPr>
            <w:r w:rsidRPr="003A3928">
              <w:rPr>
                <w:b/>
                <w:sz w:val="16"/>
              </w:rPr>
              <w:t>Niveaux de référence</w:t>
            </w:r>
          </w:p>
        </w:tc>
        <w:tc>
          <w:tcPr>
            <w:tcW w:w="986" w:type="pct"/>
            <w:gridSpan w:val="2"/>
            <w:tcBorders>
              <w:top w:val="single" w:sz="4" w:space="0" w:color="auto"/>
            </w:tcBorders>
            <w:shd w:val="clear" w:color="auto" w:fill="auto"/>
            <w:tcMar>
              <w:top w:w="110" w:type="dxa"/>
            </w:tcMar>
            <w:vAlign w:val="center"/>
          </w:tcPr>
          <w:p w:rsidR="00F40E87" w:rsidRPr="003A3928" w:rsidRDefault="00F40E87" w:rsidP="001A5BF9">
            <w:pPr>
              <w:keepNext/>
              <w:keepLines/>
              <w:rPr>
                <w:rFonts w:cs="Arial"/>
                <w:b/>
                <w:sz w:val="16"/>
                <w:szCs w:val="16"/>
              </w:rPr>
            </w:pPr>
            <w:r w:rsidRPr="003A3928">
              <w:rPr>
                <w:b/>
                <w:sz w:val="16"/>
              </w:rPr>
              <w:t>Objectifs visés</w:t>
            </w:r>
          </w:p>
        </w:tc>
        <w:tc>
          <w:tcPr>
            <w:tcW w:w="1727" w:type="pct"/>
            <w:gridSpan w:val="2"/>
            <w:tcBorders>
              <w:top w:val="single" w:sz="4" w:space="0" w:color="auto"/>
            </w:tcBorders>
            <w:shd w:val="clear" w:color="auto" w:fill="auto"/>
            <w:tcMar>
              <w:top w:w="110" w:type="dxa"/>
            </w:tcMar>
            <w:vAlign w:val="center"/>
          </w:tcPr>
          <w:p w:rsidR="00F40E87" w:rsidRPr="003A3928" w:rsidRDefault="00F40E87" w:rsidP="001A5BF9">
            <w:pPr>
              <w:keepNext/>
              <w:keepLines/>
              <w:rPr>
                <w:rFonts w:cs="Arial"/>
                <w:b/>
                <w:sz w:val="16"/>
                <w:szCs w:val="16"/>
              </w:rPr>
            </w:pPr>
            <w:r w:rsidRPr="003A3928">
              <w:rPr>
                <w:b/>
                <w:sz w:val="16"/>
              </w:rPr>
              <w:t>Données relatives à l</w:t>
            </w:r>
            <w:r w:rsidR="00A20444" w:rsidRPr="003A3928">
              <w:rPr>
                <w:b/>
                <w:sz w:val="16"/>
              </w:rPr>
              <w:t>’</w:t>
            </w:r>
            <w:r w:rsidRPr="003A3928">
              <w:rPr>
                <w:b/>
                <w:sz w:val="16"/>
              </w:rPr>
              <w:t>exécution</w:t>
            </w:r>
          </w:p>
        </w:tc>
        <w:tc>
          <w:tcPr>
            <w:tcW w:w="606" w:type="pct"/>
            <w:tcBorders>
              <w:top w:val="single" w:sz="4" w:space="0" w:color="auto"/>
            </w:tcBorders>
            <w:shd w:val="clear" w:color="auto" w:fill="auto"/>
            <w:tcMar>
              <w:top w:w="110" w:type="dxa"/>
            </w:tcMar>
            <w:vAlign w:val="center"/>
          </w:tcPr>
          <w:p w:rsidR="00F40E87" w:rsidRPr="003A3928" w:rsidRDefault="00F40E87" w:rsidP="001A5BF9">
            <w:pPr>
              <w:keepNext/>
              <w:keepLines/>
              <w:jc w:val="center"/>
              <w:rPr>
                <w:rFonts w:cs="Arial"/>
                <w:b/>
                <w:bCs/>
                <w:sz w:val="16"/>
                <w:szCs w:val="16"/>
              </w:rPr>
            </w:pPr>
            <w:r w:rsidRPr="003A3928">
              <w:rPr>
                <w:b/>
                <w:sz w:val="16"/>
              </w:rPr>
              <w:t>Code de couleurs</w:t>
            </w:r>
          </w:p>
        </w:tc>
      </w:tr>
      <w:tr w:rsidR="00F40E87" w:rsidRPr="005C7CCE" w:rsidTr="00DD499A">
        <w:trPr>
          <w:cantSplit/>
        </w:trPr>
        <w:tc>
          <w:tcPr>
            <w:tcW w:w="718" w:type="pct"/>
            <w:shd w:val="clear" w:color="auto" w:fill="auto"/>
          </w:tcPr>
          <w:p w:rsidR="00F40E87" w:rsidRPr="003A3928" w:rsidRDefault="00F40E87" w:rsidP="001A5BF9">
            <w:pPr>
              <w:rPr>
                <w:rFonts w:cs="Arial"/>
                <w:sz w:val="16"/>
                <w:szCs w:val="16"/>
                <w:lang w:bidi="th-TH"/>
              </w:rPr>
            </w:pPr>
            <w:r w:rsidRPr="003A3928">
              <w:rPr>
                <w:sz w:val="16"/>
              </w:rPr>
              <w:t>Nombre de demandes de communication aux termes de l</w:t>
            </w:r>
            <w:r w:rsidR="00A20444" w:rsidRPr="003A3928">
              <w:rPr>
                <w:sz w:val="16"/>
              </w:rPr>
              <w:t>’</w:t>
            </w:r>
            <w:r w:rsidRPr="003A3928">
              <w:rPr>
                <w:sz w:val="16"/>
              </w:rPr>
              <w:t>article</w:t>
            </w:r>
            <w:r w:rsidR="0010442A" w:rsidRPr="003A3928">
              <w:rPr>
                <w:sz w:val="16"/>
              </w:rPr>
              <w:t> </w:t>
            </w:r>
            <w:proofErr w:type="spellStart"/>
            <w:r w:rsidRPr="003A3928">
              <w:rPr>
                <w:sz w:val="16"/>
              </w:rPr>
              <w:t>6</w:t>
            </w:r>
            <w:r w:rsidRPr="003A3928">
              <w:rPr>
                <w:i/>
                <w:sz w:val="16"/>
              </w:rPr>
              <w:t>ter</w:t>
            </w:r>
            <w:proofErr w:type="spellEnd"/>
            <w:r w:rsidRPr="003A3928">
              <w:rPr>
                <w:sz w:val="16"/>
              </w:rPr>
              <w:t xml:space="preserve"> de la Convention de Paris, à traiter</w:t>
            </w:r>
          </w:p>
        </w:tc>
        <w:tc>
          <w:tcPr>
            <w:tcW w:w="963" w:type="pct"/>
            <w:shd w:val="clear" w:color="auto" w:fill="auto"/>
          </w:tcPr>
          <w:p w:rsidR="00D42474" w:rsidRDefault="00F40E87" w:rsidP="001A5BF9">
            <w:pPr>
              <w:rPr>
                <w:rFonts w:cs="Arial"/>
                <w:i/>
                <w:color w:val="002060"/>
                <w:sz w:val="16"/>
                <w:szCs w:val="16"/>
              </w:rPr>
            </w:pPr>
            <w:r w:rsidRPr="005C7CCE">
              <w:rPr>
                <w:i/>
                <w:color w:val="002060"/>
                <w:sz w:val="16"/>
              </w:rPr>
              <w:t>Niveau de référence actualisé fin 2011 :</w:t>
            </w:r>
            <w:r w:rsidRPr="005C7CCE">
              <w:rPr>
                <w:color w:val="002060"/>
                <w:sz w:val="16"/>
              </w:rPr>
              <w:t xml:space="preserve"> 65 demandes reçues en 2010</w:t>
            </w:r>
            <w:r w:rsidR="002D6F2A" w:rsidRPr="005C7CCE">
              <w:rPr>
                <w:color w:val="002060"/>
                <w:sz w:val="16"/>
              </w:rPr>
              <w:noBreakHyphen/>
            </w:r>
            <w:r w:rsidRPr="005C7CCE">
              <w:rPr>
                <w:color w:val="002060"/>
                <w:sz w:val="16"/>
              </w:rPr>
              <w:t>2011, dont 52 ont été acceptées et se sont traduites par des communications</w:t>
            </w:r>
          </w:p>
          <w:p w:rsidR="00D42474" w:rsidRDefault="00D42474" w:rsidP="001A5BF9">
            <w:pPr>
              <w:rPr>
                <w:rFonts w:cs="Arial"/>
                <w:i/>
                <w:sz w:val="8"/>
                <w:szCs w:val="8"/>
              </w:rPr>
            </w:pPr>
          </w:p>
          <w:p w:rsidR="00D42474" w:rsidRDefault="00F40E87" w:rsidP="001A5BF9">
            <w:pPr>
              <w:rPr>
                <w:rFonts w:cs="Arial"/>
                <w:sz w:val="16"/>
                <w:szCs w:val="16"/>
              </w:rPr>
            </w:pPr>
            <w:r w:rsidRPr="005C7CCE">
              <w:rPr>
                <w:i/>
                <w:sz w:val="16"/>
              </w:rPr>
              <w:t xml:space="preserve">Niveau de référence initial </w:t>
            </w:r>
            <w:r w:rsidRPr="005C7CCE">
              <w:br/>
            </w:r>
            <w:r w:rsidR="00667FB3">
              <w:rPr>
                <w:i/>
                <w:sz w:val="16"/>
              </w:rPr>
              <w:t xml:space="preserve">programme et </w:t>
            </w:r>
            <w:r w:rsidR="00667FB3" w:rsidRPr="003A3928">
              <w:rPr>
                <w:i/>
                <w:sz w:val="16"/>
              </w:rPr>
              <w:t>budget</w:t>
            </w:r>
            <w:r w:rsidRPr="003A3928">
              <w:rPr>
                <w:i/>
                <w:sz w:val="16"/>
              </w:rPr>
              <w:t> 2012</w:t>
            </w:r>
            <w:r w:rsidR="002D6F2A" w:rsidRPr="003A3928">
              <w:rPr>
                <w:i/>
                <w:sz w:val="16"/>
              </w:rPr>
              <w:noBreakHyphen/>
            </w:r>
            <w:r w:rsidRPr="003A3928">
              <w:rPr>
                <w:i/>
                <w:sz w:val="16"/>
              </w:rPr>
              <w:t>2013 :</w:t>
            </w:r>
          </w:p>
          <w:p w:rsidR="00F40E87" w:rsidRPr="005C7CCE" w:rsidRDefault="003A3928" w:rsidP="001A5BF9">
            <w:pPr>
              <w:rPr>
                <w:rFonts w:cs="Arial"/>
                <w:sz w:val="16"/>
                <w:szCs w:val="16"/>
              </w:rPr>
            </w:pPr>
            <w:r w:rsidRPr="003A3928">
              <w:rPr>
                <w:sz w:val="16"/>
              </w:rPr>
              <w:t>n</w:t>
            </w:r>
            <w:r w:rsidR="00F40E87" w:rsidRPr="003A3928">
              <w:rPr>
                <w:sz w:val="16"/>
              </w:rPr>
              <w:t>ombre de demandes de communication reçues en</w:t>
            </w:r>
            <w:r w:rsidR="0010442A" w:rsidRPr="003A3928">
              <w:rPr>
                <w:sz w:val="16"/>
              </w:rPr>
              <w:t> </w:t>
            </w:r>
            <w:r w:rsidR="00F40E87" w:rsidRPr="003A3928">
              <w:rPr>
                <w:sz w:val="16"/>
              </w:rPr>
              <w:t>2010</w:t>
            </w:r>
            <w:r w:rsidR="002D6F2A" w:rsidRPr="003A3928">
              <w:rPr>
                <w:sz w:val="16"/>
              </w:rPr>
              <w:noBreakHyphen/>
            </w:r>
            <w:r w:rsidR="00F40E87" w:rsidRPr="003A3928">
              <w:rPr>
                <w:sz w:val="16"/>
              </w:rPr>
              <w:t>2011</w:t>
            </w:r>
          </w:p>
        </w:tc>
        <w:tc>
          <w:tcPr>
            <w:tcW w:w="986" w:type="pct"/>
            <w:gridSpan w:val="2"/>
            <w:shd w:val="clear" w:color="auto" w:fill="auto"/>
            <w:tcMar>
              <w:top w:w="110" w:type="dxa"/>
            </w:tcMar>
          </w:tcPr>
          <w:p w:rsidR="00F40E87" w:rsidRPr="005C7CCE" w:rsidRDefault="00F40E87" w:rsidP="001A5BF9">
            <w:pPr>
              <w:autoSpaceDE w:val="0"/>
              <w:autoSpaceDN w:val="0"/>
              <w:adjustRightInd w:val="0"/>
              <w:rPr>
                <w:rFonts w:cs="Arial"/>
                <w:sz w:val="16"/>
                <w:szCs w:val="16"/>
              </w:rPr>
            </w:pPr>
            <w:r w:rsidRPr="005C7CCE">
              <w:rPr>
                <w:color w:val="000000"/>
                <w:sz w:val="16"/>
              </w:rPr>
              <w:t>Réponse à 160 demandes d</w:t>
            </w:r>
            <w:r w:rsidR="00A20444" w:rsidRPr="005C7CCE">
              <w:rPr>
                <w:color w:val="000000"/>
                <w:sz w:val="16"/>
              </w:rPr>
              <w:t>’</w:t>
            </w:r>
            <w:r w:rsidRPr="005C7CCE">
              <w:rPr>
                <w:color w:val="000000"/>
                <w:sz w:val="16"/>
              </w:rPr>
              <w:t>États ou d</w:t>
            </w:r>
            <w:r w:rsidR="00A20444" w:rsidRPr="005C7CCE">
              <w:rPr>
                <w:color w:val="000000"/>
                <w:sz w:val="16"/>
              </w:rPr>
              <w:t>’</w:t>
            </w:r>
            <w:r w:rsidRPr="005C7CCE">
              <w:rPr>
                <w:color w:val="000000"/>
                <w:sz w:val="16"/>
              </w:rPr>
              <w:t>organisations intergouvernementales relatives aux communications au titre de l</w:t>
            </w:r>
            <w:r w:rsidR="00A20444" w:rsidRPr="005C7CCE">
              <w:rPr>
                <w:color w:val="000000"/>
                <w:sz w:val="16"/>
              </w:rPr>
              <w:t>’</w:t>
            </w:r>
            <w:r w:rsidRPr="005C7CCE">
              <w:rPr>
                <w:color w:val="000000"/>
                <w:sz w:val="16"/>
              </w:rPr>
              <w:t>article </w:t>
            </w:r>
            <w:proofErr w:type="spellStart"/>
            <w:r w:rsidRPr="005C7CCE">
              <w:rPr>
                <w:color w:val="000000"/>
                <w:sz w:val="16"/>
              </w:rPr>
              <w:t>6</w:t>
            </w:r>
            <w:r w:rsidRPr="005C7CCE">
              <w:rPr>
                <w:i/>
                <w:color w:val="000000"/>
                <w:sz w:val="16"/>
              </w:rPr>
              <w:t>ter</w:t>
            </w:r>
            <w:proofErr w:type="spellEnd"/>
            <w:r w:rsidRPr="005C7CCE">
              <w:rPr>
                <w:sz w:val="16"/>
              </w:rPr>
              <w:t xml:space="preserve"> </w:t>
            </w:r>
          </w:p>
        </w:tc>
        <w:tc>
          <w:tcPr>
            <w:tcW w:w="1727" w:type="pct"/>
            <w:gridSpan w:val="2"/>
            <w:shd w:val="clear" w:color="auto" w:fill="auto"/>
            <w:tcMar>
              <w:top w:w="110" w:type="dxa"/>
            </w:tcMar>
          </w:tcPr>
          <w:p w:rsidR="00F40E87" w:rsidRPr="005C7CCE" w:rsidRDefault="00F40E87" w:rsidP="001A5BF9">
            <w:pPr>
              <w:rPr>
                <w:rFonts w:cs="Arial"/>
                <w:sz w:val="16"/>
                <w:szCs w:val="16"/>
                <w:lang w:bidi="th-TH"/>
              </w:rPr>
            </w:pPr>
            <w:r w:rsidRPr="005C7CCE">
              <w:rPr>
                <w:sz w:val="16"/>
              </w:rPr>
              <w:t>126 demandes de communications reçues, dont 25 se sont traduites par une publication.</w:t>
            </w:r>
          </w:p>
        </w:tc>
        <w:tc>
          <w:tcPr>
            <w:tcW w:w="606" w:type="pct"/>
            <w:shd w:val="clear" w:color="auto" w:fill="auto"/>
            <w:tcMar>
              <w:top w:w="110" w:type="dxa"/>
            </w:tcMar>
          </w:tcPr>
          <w:p w:rsidR="00F40E87" w:rsidRPr="005C7CCE" w:rsidRDefault="00F40E87"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b/>
                <w:color w:val="00B050"/>
                <w:sz w:val="16"/>
              </w:rPr>
              <w:t xml:space="preserve"> </w:t>
            </w:r>
          </w:p>
        </w:tc>
      </w:tr>
      <w:tr w:rsidR="00F40E87" w:rsidRPr="005C7CCE" w:rsidTr="00DD499A">
        <w:trPr>
          <w:cantSplit/>
        </w:trPr>
        <w:tc>
          <w:tcPr>
            <w:tcW w:w="718" w:type="pct"/>
            <w:shd w:val="clear" w:color="auto" w:fill="auto"/>
          </w:tcPr>
          <w:p w:rsidR="00F40E87" w:rsidRPr="003A3928" w:rsidRDefault="00F40E87" w:rsidP="001A5BF9">
            <w:pPr>
              <w:rPr>
                <w:rFonts w:cs="Arial"/>
                <w:sz w:val="16"/>
                <w:szCs w:val="16"/>
                <w:lang w:bidi="th-TH"/>
              </w:rPr>
            </w:pPr>
            <w:r w:rsidRPr="003A3928">
              <w:rPr>
                <w:sz w:val="16"/>
              </w:rPr>
              <w:t>Nombre de signes publiés dans la base de données relative à l</w:t>
            </w:r>
            <w:r w:rsidR="00A20444" w:rsidRPr="003A3928">
              <w:rPr>
                <w:sz w:val="16"/>
              </w:rPr>
              <w:t>’</w:t>
            </w:r>
            <w:r w:rsidRPr="003A3928">
              <w:rPr>
                <w:sz w:val="16"/>
              </w:rPr>
              <w:t>article </w:t>
            </w:r>
            <w:proofErr w:type="spellStart"/>
            <w:r w:rsidRPr="003A3928">
              <w:rPr>
                <w:sz w:val="16"/>
              </w:rPr>
              <w:t>6</w:t>
            </w:r>
            <w:r w:rsidRPr="003A3928">
              <w:rPr>
                <w:i/>
                <w:sz w:val="16"/>
              </w:rPr>
              <w:t>ter</w:t>
            </w:r>
            <w:proofErr w:type="spellEnd"/>
          </w:p>
        </w:tc>
        <w:tc>
          <w:tcPr>
            <w:tcW w:w="963" w:type="pct"/>
            <w:shd w:val="clear" w:color="auto" w:fill="auto"/>
          </w:tcPr>
          <w:p w:rsidR="00D42474" w:rsidRDefault="00F40E87" w:rsidP="001A5BF9">
            <w:pPr>
              <w:rPr>
                <w:rFonts w:cs="Arial"/>
                <w:color w:val="002060"/>
                <w:sz w:val="16"/>
                <w:szCs w:val="16"/>
                <w:lang w:bidi="th-TH"/>
              </w:rPr>
            </w:pPr>
            <w:r w:rsidRPr="005C7CCE">
              <w:rPr>
                <w:i/>
                <w:color w:val="002060"/>
                <w:sz w:val="16"/>
              </w:rPr>
              <w:t>Niveau de référence actualisé fin 2011 :</w:t>
            </w:r>
            <w:r w:rsidRPr="005C7CCE">
              <w:rPr>
                <w:color w:val="002060"/>
                <w:sz w:val="16"/>
              </w:rPr>
              <w:t xml:space="preserve"> 411 signes publiés dans la base de données relative à l</w:t>
            </w:r>
            <w:r w:rsidR="00A20444" w:rsidRPr="005C7CCE">
              <w:rPr>
                <w:color w:val="002060"/>
                <w:sz w:val="16"/>
              </w:rPr>
              <w:t>’</w:t>
            </w:r>
            <w:r w:rsidRPr="005C7CCE">
              <w:rPr>
                <w:color w:val="002060"/>
                <w:sz w:val="16"/>
              </w:rPr>
              <w:t>article </w:t>
            </w:r>
            <w:proofErr w:type="spellStart"/>
            <w:r w:rsidRPr="005C7CCE">
              <w:rPr>
                <w:color w:val="002060"/>
                <w:sz w:val="16"/>
              </w:rPr>
              <w:t>6</w:t>
            </w:r>
            <w:r w:rsidRPr="003A3928">
              <w:rPr>
                <w:i/>
                <w:color w:val="002060"/>
                <w:sz w:val="16"/>
              </w:rPr>
              <w:t>ter</w:t>
            </w:r>
            <w:proofErr w:type="spellEnd"/>
            <w:r w:rsidRPr="005C7CCE">
              <w:rPr>
                <w:color w:val="002060"/>
                <w:sz w:val="16"/>
              </w:rPr>
              <w:t xml:space="preserve"> en 2010/11</w:t>
            </w:r>
          </w:p>
          <w:p w:rsidR="00D42474" w:rsidRDefault="00D42474" w:rsidP="001A5BF9">
            <w:pPr>
              <w:rPr>
                <w:rFonts w:cs="Arial"/>
                <w:color w:val="002060"/>
                <w:sz w:val="8"/>
                <w:szCs w:val="8"/>
                <w:lang w:bidi="th-TH"/>
              </w:rPr>
            </w:pPr>
          </w:p>
          <w:p w:rsidR="00D42474" w:rsidRDefault="00F40E87" w:rsidP="001A5BF9">
            <w:pPr>
              <w:rPr>
                <w:rFonts w:cs="Arial"/>
                <w:sz w:val="16"/>
                <w:szCs w:val="16"/>
              </w:rPr>
            </w:pPr>
            <w:r w:rsidRPr="005C7CCE">
              <w:rPr>
                <w:i/>
                <w:sz w:val="16"/>
              </w:rPr>
              <w:t xml:space="preserve">Niveau de référence </w:t>
            </w:r>
            <w:r w:rsidRPr="003A3928">
              <w:rPr>
                <w:i/>
                <w:sz w:val="16"/>
              </w:rPr>
              <w:t xml:space="preserve">initial </w:t>
            </w:r>
            <w:r w:rsidRPr="003A3928">
              <w:br/>
            </w:r>
            <w:r w:rsidR="00667FB3" w:rsidRPr="003A3928">
              <w:rPr>
                <w:i/>
                <w:sz w:val="16"/>
              </w:rPr>
              <w:t>programme et budget</w:t>
            </w:r>
            <w:r w:rsidRPr="003A3928">
              <w:rPr>
                <w:i/>
                <w:sz w:val="16"/>
              </w:rPr>
              <w:t> 2012</w:t>
            </w:r>
            <w:r w:rsidR="002D6F2A" w:rsidRPr="003A3928">
              <w:rPr>
                <w:i/>
                <w:sz w:val="16"/>
              </w:rPr>
              <w:noBreakHyphen/>
            </w:r>
            <w:r w:rsidRPr="003A3928">
              <w:rPr>
                <w:i/>
                <w:sz w:val="16"/>
              </w:rPr>
              <w:t>2013 :</w:t>
            </w:r>
          </w:p>
          <w:p w:rsidR="00F40E87" w:rsidRPr="005C7CCE" w:rsidRDefault="003A3928" w:rsidP="001A5BF9">
            <w:pPr>
              <w:rPr>
                <w:rFonts w:cs="Arial"/>
                <w:spacing w:val="-4"/>
                <w:sz w:val="16"/>
                <w:szCs w:val="16"/>
              </w:rPr>
            </w:pPr>
            <w:r w:rsidRPr="003A3928">
              <w:rPr>
                <w:spacing w:val="-4"/>
                <w:sz w:val="16"/>
              </w:rPr>
              <w:t>n</w:t>
            </w:r>
            <w:r w:rsidR="00F40E87" w:rsidRPr="003A3928">
              <w:rPr>
                <w:spacing w:val="-4"/>
                <w:sz w:val="16"/>
              </w:rPr>
              <w:t>ombre de signes publiés dans la base de données de l</w:t>
            </w:r>
            <w:r w:rsidR="00A20444" w:rsidRPr="003A3928">
              <w:rPr>
                <w:spacing w:val="-4"/>
                <w:sz w:val="16"/>
              </w:rPr>
              <w:t>’</w:t>
            </w:r>
            <w:r w:rsidR="00F40E87" w:rsidRPr="003A3928">
              <w:rPr>
                <w:spacing w:val="-4"/>
                <w:sz w:val="16"/>
              </w:rPr>
              <w:t>article</w:t>
            </w:r>
            <w:r w:rsidR="0010442A" w:rsidRPr="003A3928">
              <w:rPr>
                <w:spacing w:val="-4"/>
                <w:sz w:val="16"/>
              </w:rPr>
              <w:t> </w:t>
            </w:r>
            <w:proofErr w:type="spellStart"/>
            <w:r w:rsidR="00F40E87" w:rsidRPr="003A3928">
              <w:rPr>
                <w:spacing w:val="-4"/>
                <w:sz w:val="16"/>
              </w:rPr>
              <w:t>6</w:t>
            </w:r>
            <w:r w:rsidR="00F40E87" w:rsidRPr="003A3928">
              <w:rPr>
                <w:i/>
                <w:spacing w:val="-4"/>
                <w:sz w:val="16"/>
              </w:rPr>
              <w:t>ter</w:t>
            </w:r>
            <w:proofErr w:type="spellEnd"/>
            <w:r w:rsidR="00F40E87" w:rsidRPr="003A3928">
              <w:rPr>
                <w:spacing w:val="-4"/>
                <w:sz w:val="16"/>
              </w:rPr>
              <w:t xml:space="preserve"> en</w:t>
            </w:r>
            <w:r w:rsidR="0010442A" w:rsidRPr="003A3928">
              <w:rPr>
                <w:spacing w:val="-4"/>
                <w:sz w:val="16"/>
              </w:rPr>
              <w:t> </w:t>
            </w:r>
            <w:r w:rsidR="00F40E87" w:rsidRPr="003A3928">
              <w:rPr>
                <w:spacing w:val="-4"/>
                <w:sz w:val="16"/>
              </w:rPr>
              <w:t>2010</w:t>
            </w:r>
            <w:r w:rsidR="002D6F2A" w:rsidRPr="003A3928">
              <w:rPr>
                <w:spacing w:val="-4"/>
                <w:sz w:val="16"/>
              </w:rPr>
              <w:noBreakHyphen/>
            </w:r>
            <w:r w:rsidR="00F40E87" w:rsidRPr="003A3928">
              <w:rPr>
                <w:spacing w:val="-4"/>
                <w:sz w:val="16"/>
              </w:rPr>
              <w:t>2011</w:t>
            </w:r>
          </w:p>
        </w:tc>
        <w:tc>
          <w:tcPr>
            <w:tcW w:w="986" w:type="pct"/>
            <w:gridSpan w:val="2"/>
            <w:shd w:val="clear" w:color="auto" w:fill="auto"/>
            <w:tcMar>
              <w:top w:w="110" w:type="dxa"/>
            </w:tcMar>
          </w:tcPr>
          <w:p w:rsidR="00D42474" w:rsidRDefault="00F40E87" w:rsidP="001A5BF9">
            <w:pPr>
              <w:autoSpaceDE w:val="0"/>
              <w:autoSpaceDN w:val="0"/>
              <w:adjustRightInd w:val="0"/>
              <w:rPr>
                <w:rFonts w:cs="Arial"/>
                <w:sz w:val="16"/>
                <w:szCs w:val="16"/>
              </w:rPr>
            </w:pPr>
            <w:r w:rsidRPr="003A3928">
              <w:rPr>
                <w:sz w:val="16"/>
              </w:rPr>
              <w:t>300 signes publiés</w:t>
            </w:r>
          </w:p>
          <w:p w:rsidR="00F40E87" w:rsidRPr="005C7CCE" w:rsidRDefault="00F40E87" w:rsidP="004B047D">
            <w:pPr>
              <w:rPr>
                <w:rFonts w:cs="Arial"/>
                <w:sz w:val="16"/>
                <w:szCs w:val="16"/>
              </w:rPr>
            </w:pPr>
            <w:r w:rsidRPr="003A3928">
              <w:rPr>
                <w:sz w:val="16"/>
              </w:rPr>
              <w:t>(cumul)</w:t>
            </w:r>
          </w:p>
        </w:tc>
        <w:tc>
          <w:tcPr>
            <w:tcW w:w="1727" w:type="pct"/>
            <w:gridSpan w:val="2"/>
            <w:shd w:val="clear" w:color="auto" w:fill="auto"/>
            <w:tcMar>
              <w:top w:w="110" w:type="dxa"/>
            </w:tcMar>
          </w:tcPr>
          <w:p w:rsidR="00F40E87" w:rsidRPr="005C7CCE" w:rsidRDefault="00F40E87" w:rsidP="001A5BF9">
            <w:pPr>
              <w:rPr>
                <w:rFonts w:cs="Arial"/>
                <w:sz w:val="16"/>
                <w:szCs w:val="16"/>
                <w:lang w:bidi="th-TH"/>
              </w:rPr>
            </w:pPr>
            <w:r w:rsidRPr="005C7CCE">
              <w:rPr>
                <w:sz w:val="16"/>
              </w:rPr>
              <w:t>Un total de 132 signes publiés au cours de l</w:t>
            </w:r>
            <w:r w:rsidR="00A20444" w:rsidRPr="005C7CCE">
              <w:rPr>
                <w:sz w:val="16"/>
              </w:rPr>
              <w:t>’</w:t>
            </w:r>
            <w:r w:rsidRPr="005C7CCE">
              <w:rPr>
                <w:sz w:val="16"/>
              </w:rPr>
              <w:t>exercice biennal (84 signes individuels publiés en 2012 et 48 signes individuels publiés en 2013) (543 en tout).</w:t>
            </w:r>
          </w:p>
        </w:tc>
        <w:tc>
          <w:tcPr>
            <w:tcW w:w="606" w:type="pct"/>
            <w:shd w:val="clear" w:color="auto" w:fill="auto"/>
          </w:tcPr>
          <w:p w:rsidR="00F40E87" w:rsidRPr="005C7CCE" w:rsidRDefault="00F40E87" w:rsidP="001A5BF9">
            <w:pPr>
              <w:keepNext/>
              <w:keepLines/>
              <w:jc w:val="center"/>
              <w:rPr>
                <w:rFonts w:cs="Arial"/>
                <w:b/>
                <w:bCs/>
                <w:color w:val="333333"/>
                <w:sz w:val="16"/>
                <w:szCs w:val="16"/>
              </w:rPr>
            </w:pPr>
            <w:r w:rsidRPr="00B470C6">
              <w:rPr>
                <w:color w:val="008000"/>
                <w:sz w:val="16"/>
              </w:rPr>
              <w:t>Objectif pleinement atteint</w:t>
            </w:r>
          </w:p>
        </w:tc>
      </w:tr>
      <w:tr w:rsidR="003A3928" w:rsidRPr="003A3928" w:rsidTr="00DD499A">
        <w:trPr>
          <w:cantSplit/>
        </w:trPr>
        <w:tc>
          <w:tcPr>
            <w:tcW w:w="718" w:type="pct"/>
            <w:shd w:val="clear" w:color="auto" w:fill="auto"/>
          </w:tcPr>
          <w:p w:rsidR="00F40E87" w:rsidRPr="003A3928" w:rsidRDefault="00F40E87" w:rsidP="001A5BF9">
            <w:pPr>
              <w:rPr>
                <w:rFonts w:cs="Arial"/>
                <w:sz w:val="16"/>
                <w:szCs w:val="16"/>
                <w:lang w:bidi="th-TH"/>
              </w:rPr>
            </w:pPr>
            <w:r w:rsidRPr="003A3928">
              <w:rPr>
                <w:sz w:val="16"/>
              </w:rPr>
              <w:t>Principes directeurs complets pour l</w:t>
            </w:r>
            <w:r w:rsidR="00A20444" w:rsidRPr="003A3928">
              <w:rPr>
                <w:sz w:val="16"/>
              </w:rPr>
              <w:t>’</w:t>
            </w:r>
            <w:r w:rsidRPr="003A3928">
              <w:rPr>
                <w:sz w:val="16"/>
              </w:rPr>
              <w:t>application de l</w:t>
            </w:r>
            <w:r w:rsidR="00A20444" w:rsidRPr="003A3928">
              <w:rPr>
                <w:sz w:val="16"/>
              </w:rPr>
              <w:t>’</w:t>
            </w:r>
            <w:r w:rsidRPr="003A3928">
              <w:rPr>
                <w:sz w:val="16"/>
              </w:rPr>
              <w:t>article</w:t>
            </w:r>
            <w:r w:rsidR="0010442A" w:rsidRPr="003A3928">
              <w:rPr>
                <w:sz w:val="16"/>
              </w:rPr>
              <w:t> </w:t>
            </w:r>
            <w:proofErr w:type="spellStart"/>
            <w:r w:rsidRPr="003A3928">
              <w:rPr>
                <w:sz w:val="16"/>
              </w:rPr>
              <w:t>6</w:t>
            </w:r>
            <w:r w:rsidRPr="003A3928">
              <w:rPr>
                <w:i/>
                <w:sz w:val="16"/>
              </w:rPr>
              <w:t>ter</w:t>
            </w:r>
            <w:proofErr w:type="spellEnd"/>
          </w:p>
        </w:tc>
        <w:tc>
          <w:tcPr>
            <w:tcW w:w="963" w:type="pct"/>
            <w:shd w:val="clear" w:color="auto" w:fill="auto"/>
          </w:tcPr>
          <w:p w:rsidR="00F40E87" w:rsidRPr="003A3928" w:rsidRDefault="00F40E87" w:rsidP="001A5BF9">
            <w:pPr>
              <w:rPr>
                <w:rFonts w:cs="Arial"/>
                <w:sz w:val="16"/>
                <w:szCs w:val="16"/>
                <w:lang w:bidi="th-TH"/>
              </w:rPr>
            </w:pPr>
            <w:r w:rsidRPr="003A3928">
              <w:rPr>
                <w:sz w:val="16"/>
              </w:rPr>
              <w:t>Principes directeurs pour l</w:t>
            </w:r>
            <w:r w:rsidR="00A20444" w:rsidRPr="003A3928">
              <w:rPr>
                <w:sz w:val="16"/>
              </w:rPr>
              <w:t>’</w:t>
            </w:r>
            <w:r w:rsidRPr="003A3928">
              <w:rPr>
                <w:sz w:val="16"/>
              </w:rPr>
              <w:t>application de l</w:t>
            </w:r>
            <w:r w:rsidR="00A20444" w:rsidRPr="003A3928">
              <w:rPr>
                <w:sz w:val="16"/>
              </w:rPr>
              <w:t>’</w:t>
            </w:r>
            <w:r w:rsidRPr="003A3928">
              <w:rPr>
                <w:sz w:val="16"/>
              </w:rPr>
              <w:t>article</w:t>
            </w:r>
            <w:r w:rsidR="0010442A" w:rsidRPr="003A3928">
              <w:rPr>
                <w:sz w:val="16"/>
              </w:rPr>
              <w:t> </w:t>
            </w:r>
            <w:proofErr w:type="spellStart"/>
            <w:r w:rsidRPr="003A3928">
              <w:rPr>
                <w:sz w:val="16"/>
              </w:rPr>
              <w:t>6</w:t>
            </w:r>
            <w:r w:rsidRPr="003A3928">
              <w:rPr>
                <w:i/>
                <w:sz w:val="16"/>
              </w:rPr>
              <w:t>ter</w:t>
            </w:r>
            <w:r w:rsidR="00DD499A">
              <w:rPr>
                <w:sz w:val="16"/>
              </w:rPr>
              <w:t>.1</w:t>
            </w:r>
            <w:proofErr w:type="spellEnd"/>
            <w:r w:rsidR="00DD499A">
              <w:rPr>
                <w:sz w:val="16"/>
              </w:rPr>
              <w:t>)b) et </w:t>
            </w:r>
            <w:r w:rsidRPr="003A3928">
              <w:rPr>
                <w:sz w:val="16"/>
              </w:rPr>
              <w:t>3)b) de</w:t>
            </w:r>
            <w:r w:rsidR="0010442A" w:rsidRPr="003A3928">
              <w:rPr>
                <w:sz w:val="16"/>
              </w:rPr>
              <w:t> </w:t>
            </w:r>
            <w:r w:rsidRPr="003A3928">
              <w:rPr>
                <w:sz w:val="16"/>
              </w:rPr>
              <w:t>1992</w:t>
            </w:r>
          </w:p>
        </w:tc>
        <w:tc>
          <w:tcPr>
            <w:tcW w:w="986" w:type="pct"/>
            <w:gridSpan w:val="2"/>
            <w:shd w:val="clear" w:color="auto" w:fill="auto"/>
            <w:tcMar>
              <w:top w:w="110" w:type="dxa"/>
            </w:tcMar>
          </w:tcPr>
          <w:p w:rsidR="00F40E87" w:rsidRPr="003A3928" w:rsidRDefault="00F40E87" w:rsidP="001A5BF9">
            <w:pPr>
              <w:autoSpaceDE w:val="0"/>
              <w:autoSpaceDN w:val="0"/>
              <w:adjustRightInd w:val="0"/>
              <w:rPr>
                <w:rFonts w:cs="Arial"/>
                <w:sz w:val="16"/>
                <w:szCs w:val="16"/>
              </w:rPr>
            </w:pPr>
            <w:r w:rsidRPr="003A3928">
              <w:rPr>
                <w:sz w:val="16"/>
              </w:rPr>
              <w:t>Adoption de principes directeurs complets par l</w:t>
            </w:r>
            <w:r w:rsidR="00A20444" w:rsidRPr="003A3928">
              <w:rPr>
                <w:sz w:val="16"/>
              </w:rPr>
              <w:t>’</w:t>
            </w:r>
            <w:r w:rsidRPr="003A3928">
              <w:rPr>
                <w:sz w:val="16"/>
              </w:rPr>
              <w:t>Assemblée de l</w:t>
            </w:r>
            <w:r w:rsidR="00A20444" w:rsidRPr="003A3928">
              <w:rPr>
                <w:sz w:val="16"/>
              </w:rPr>
              <w:t>’</w:t>
            </w:r>
            <w:r w:rsidRPr="003A3928">
              <w:rPr>
                <w:sz w:val="16"/>
              </w:rPr>
              <w:t>Union de Paris</w:t>
            </w:r>
          </w:p>
        </w:tc>
        <w:tc>
          <w:tcPr>
            <w:tcW w:w="1727" w:type="pct"/>
            <w:gridSpan w:val="2"/>
            <w:shd w:val="clear" w:color="auto" w:fill="auto"/>
            <w:tcMar>
              <w:top w:w="110" w:type="dxa"/>
            </w:tcMar>
          </w:tcPr>
          <w:p w:rsidR="00F40E87" w:rsidRPr="003A3928" w:rsidRDefault="00F40E87" w:rsidP="001A5BF9">
            <w:pPr>
              <w:rPr>
                <w:rFonts w:cs="Arial"/>
                <w:sz w:val="16"/>
                <w:szCs w:val="16"/>
                <w:lang w:bidi="th-TH"/>
              </w:rPr>
            </w:pPr>
            <w:r w:rsidRPr="003A3928">
              <w:rPr>
                <w:sz w:val="16"/>
              </w:rPr>
              <w:t>En raison du programme de travail chargé</w:t>
            </w:r>
            <w:r w:rsidR="00A20444" w:rsidRPr="003A3928">
              <w:rPr>
                <w:sz w:val="16"/>
              </w:rPr>
              <w:t xml:space="preserve"> du SCT</w:t>
            </w:r>
            <w:r w:rsidRPr="003A3928">
              <w:rPr>
                <w:sz w:val="16"/>
              </w:rPr>
              <w:t xml:space="preserve"> et de l</w:t>
            </w:r>
            <w:r w:rsidR="00A20444" w:rsidRPr="003A3928">
              <w:rPr>
                <w:sz w:val="16"/>
              </w:rPr>
              <w:t>’</w:t>
            </w:r>
            <w:r w:rsidRPr="003A3928">
              <w:rPr>
                <w:sz w:val="16"/>
              </w:rPr>
              <w:t>absence de proposition concrète des États membres, cette activité n</w:t>
            </w:r>
            <w:r w:rsidR="00A20444" w:rsidRPr="003A3928">
              <w:rPr>
                <w:sz w:val="16"/>
              </w:rPr>
              <w:t>’</w:t>
            </w:r>
            <w:r w:rsidRPr="003A3928">
              <w:rPr>
                <w:sz w:val="16"/>
              </w:rPr>
              <w:t>a pas été poursuivie.</w:t>
            </w:r>
          </w:p>
        </w:tc>
        <w:tc>
          <w:tcPr>
            <w:tcW w:w="606" w:type="pct"/>
            <w:shd w:val="clear" w:color="auto" w:fill="auto"/>
            <w:tcMar>
              <w:top w:w="110" w:type="dxa"/>
            </w:tcMar>
          </w:tcPr>
          <w:p w:rsidR="00F40E87" w:rsidRPr="003A3928" w:rsidRDefault="00F40E87" w:rsidP="001A5BF9">
            <w:pPr>
              <w:keepNext/>
              <w:keepLines/>
              <w:spacing w:after="120"/>
              <w:jc w:val="center"/>
              <w:rPr>
                <w:rFonts w:cs="Arial"/>
                <w:bCs/>
                <w:sz w:val="16"/>
                <w:szCs w:val="16"/>
              </w:rPr>
            </w:pPr>
            <w:r w:rsidRPr="003A3928">
              <w:rPr>
                <w:sz w:val="16"/>
              </w:rPr>
              <w:t>Objectif abandonné</w:t>
            </w:r>
          </w:p>
        </w:tc>
      </w:tr>
      <w:tr w:rsidR="00DD499A" w:rsidRPr="00DD499A" w:rsidTr="00BB3F3E">
        <w:trPr>
          <w:cantSplit/>
        </w:trPr>
        <w:tc>
          <w:tcPr>
            <w:tcW w:w="5000" w:type="pct"/>
            <w:gridSpan w:val="7"/>
            <w:tcBorders>
              <w:top w:val="single" w:sz="4" w:space="0" w:color="auto"/>
              <w:bottom w:val="single" w:sz="4" w:space="0" w:color="auto"/>
            </w:tcBorders>
            <w:shd w:val="clear" w:color="auto" w:fill="CCFFFF"/>
            <w:vAlign w:val="center"/>
          </w:tcPr>
          <w:p w:rsidR="00F40E87" w:rsidRPr="00DD499A" w:rsidRDefault="00F40E87" w:rsidP="001A5BF9">
            <w:pPr>
              <w:keepNext/>
              <w:keepLines/>
              <w:tabs>
                <w:tab w:val="left" w:pos="1452"/>
              </w:tabs>
              <w:spacing w:before="120" w:after="120"/>
              <w:ind w:left="1452" w:hanging="1452"/>
              <w:rPr>
                <w:rFonts w:cs="Arial"/>
                <w:b/>
                <w:bCs/>
                <w:sz w:val="16"/>
                <w:szCs w:val="16"/>
              </w:rPr>
            </w:pPr>
            <w:r w:rsidRPr="00DD499A">
              <w:rPr>
                <w:b/>
                <w:sz w:val="16"/>
              </w:rPr>
              <w:t>Résultat escompté</w:t>
            </w:r>
            <w:r w:rsidR="0010442A" w:rsidRPr="00DD499A">
              <w:rPr>
                <w:b/>
                <w:sz w:val="16"/>
              </w:rPr>
              <w:t> </w:t>
            </w:r>
            <w:r w:rsidRPr="00DD499A">
              <w:rPr>
                <w:b/>
                <w:sz w:val="16"/>
              </w:rPr>
              <w:t xml:space="preserve">: </w:t>
            </w:r>
            <w:r w:rsidRPr="00DD499A">
              <w:rPr>
                <w:sz w:val="16"/>
              </w:rPr>
              <w:tab/>
              <w:t>Cadres législatif, réglementaires et politiques équilibrés et adaptés en matière de propriété intellectuelle</w:t>
            </w:r>
            <w:r w:rsidR="004F3E42" w:rsidRPr="00DD499A">
              <w:rPr>
                <w:sz w:val="16"/>
              </w:rPr>
              <w:t xml:space="preserve"> </w:t>
            </w:r>
          </w:p>
        </w:tc>
      </w:tr>
      <w:tr w:rsidR="00DD499A" w:rsidRPr="00DD499A" w:rsidTr="00DD499A">
        <w:trPr>
          <w:cantSplit/>
        </w:trPr>
        <w:tc>
          <w:tcPr>
            <w:tcW w:w="718" w:type="pct"/>
            <w:tcBorders>
              <w:top w:val="single" w:sz="4" w:space="0" w:color="auto"/>
            </w:tcBorders>
            <w:shd w:val="clear" w:color="auto" w:fill="auto"/>
            <w:vAlign w:val="center"/>
          </w:tcPr>
          <w:p w:rsidR="00F40E87" w:rsidRPr="00DD499A" w:rsidRDefault="00F40E87" w:rsidP="001A5BF9">
            <w:pPr>
              <w:spacing w:after="120"/>
              <w:rPr>
                <w:rFonts w:cs="Arial"/>
                <w:b/>
                <w:sz w:val="16"/>
                <w:szCs w:val="16"/>
              </w:rPr>
            </w:pPr>
            <w:r w:rsidRPr="00DD499A">
              <w:rPr>
                <w:b/>
                <w:sz w:val="16"/>
              </w:rPr>
              <w:t>Indicateurs d</w:t>
            </w:r>
            <w:r w:rsidR="00A20444" w:rsidRPr="00DD499A">
              <w:rPr>
                <w:b/>
                <w:sz w:val="16"/>
              </w:rPr>
              <w:t>’</w:t>
            </w:r>
            <w:r w:rsidRPr="00DD499A">
              <w:rPr>
                <w:b/>
                <w:sz w:val="16"/>
              </w:rPr>
              <w:t>exécution</w:t>
            </w:r>
          </w:p>
        </w:tc>
        <w:tc>
          <w:tcPr>
            <w:tcW w:w="963" w:type="pct"/>
            <w:tcBorders>
              <w:top w:val="single" w:sz="4" w:space="0" w:color="auto"/>
            </w:tcBorders>
            <w:shd w:val="clear" w:color="auto" w:fill="auto"/>
            <w:vAlign w:val="center"/>
          </w:tcPr>
          <w:p w:rsidR="00F40E87" w:rsidRPr="00DD499A" w:rsidRDefault="00F40E87" w:rsidP="001A5BF9">
            <w:pPr>
              <w:spacing w:after="120"/>
              <w:rPr>
                <w:rFonts w:cs="Arial"/>
                <w:b/>
                <w:bCs/>
                <w:sz w:val="16"/>
                <w:szCs w:val="16"/>
              </w:rPr>
            </w:pPr>
            <w:r w:rsidRPr="00DD499A">
              <w:rPr>
                <w:b/>
                <w:sz w:val="16"/>
              </w:rPr>
              <w:t>Niveaux de référence</w:t>
            </w:r>
          </w:p>
        </w:tc>
        <w:tc>
          <w:tcPr>
            <w:tcW w:w="986" w:type="pct"/>
            <w:gridSpan w:val="2"/>
            <w:tcBorders>
              <w:top w:val="single" w:sz="4" w:space="0" w:color="auto"/>
            </w:tcBorders>
            <w:shd w:val="clear" w:color="auto" w:fill="auto"/>
            <w:tcMar>
              <w:top w:w="110" w:type="dxa"/>
            </w:tcMar>
            <w:vAlign w:val="center"/>
          </w:tcPr>
          <w:p w:rsidR="00F40E87" w:rsidRPr="00DD499A" w:rsidRDefault="00F40E87" w:rsidP="001A5BF9">
            <w:pPr>
              <w:spacing w:after="120"/>
              <w:rPr>
                <w:rFonts w:cs="Arial"/>
                <w:b/>
                <w:sz w:val="16"/>
                <w:szCs w:val="16"/>
              </w:rPr>
            </w:pPr>
            <w:r w:rsidRPr="00DD499A">
              <w:rPr>
                <w:b/>
                <w:sz w:val="16"/>
              </w:rPr>
              <w:t>Objectifs visés</w:t>
            </w:r>
          </w:p>
        </w:tc>
        <w:tc>
          <w:tcPr>
            <w:tcW w:w="1727" w:type="pct"/>
            <w:gridSpan w:val="2"/>
            <w:tcBorders>
              <w:top w:val="single" w:sz="4" w:space="0" w:color="auto"/>
            </w:tcBorders>
            <w:shd w:val="clear" w:color="auto" w:fill="auto"/>
            <w:tcMar>
              <w:top w:w="110" w:type="dxa"/>
            </w:tcMar>
            <w:vAlign w:val="center"/>
          </w:tcPr>
          <w:p w:rsidR="00F40E87" w:rsidRPr="00DD499A" w:rsidRDefault="00F40E87" w:rsidP="001A5BF9">
            <w:pPr>
              <w:spacing w:after="120"/>
              <w:rPr>
                <w:rFonts w:cs="Arial"/>
                <w:b/>
                <w:sz w:val="16"/>
                <w:szCs w:val="16"/>
              </w:rPr>
            </w:pPr>
            <w:r w:rsidRPr="00DD499A">
              <w:rPr>
                <w:b/>
                <w:sz w:val="16"/>
              </w:rPr>
              <w:t>Données relatives à l</w:t>
            </w:r>
            <w:r w:rsidR="00A20444" w:rsidRPr="00DD499A">
              <w:rPr>
                <w:b/>
                <w:sz w:val="16"/>
              </w:rPr>
              <w:t>’</w:t>
            </w:r>
            <w:r w:rsidRPr="00DD499A">
              <w:rPr>
                <w:b/>
                <w:sz w:val="16"/>
              </w:rPr>
              <w:t>exécution</w:t>
            </w:r>
          </w:p>
        </w:tc>
        <w:tc>
          <w:tcPr>
            <w:tcW w:w="606" w:type="pct"/>
            <w:tcBorders>
              <w:top w:val="single" w:sz="4" w:space="0" w:color="auto"/>
            </w:tcBorders>
            <w:shd w:val="clear" w:color="auto" w:fill="auto"/>
            <w:tcMar>
              <w:top w:w="110" w:type="dxa"/>
            </w:tcMar>
            <w:vAlign w:val="center"/>
          </w:tcPr>
          <w:p w:rsidR="00F40E87" w:rsidRPr="00DD499A" w:rsidRDefault="00F40E87" w:rsidP="001A5BF9">
            <w:pPr>
              <w:keepNext/>
              <w:keepLines/>
              <w:spacing w:after="120"/>
              <w:jc w:val="center"/>
              <w:rPr>
                <w:rFonts w:cs="Arial"/>
                <w:b/>
                <w:bCs/>
                <w:sz w:val="16"/>
                <w:szCs w:val="16"/>
              </w:rPr>
            </w:pPr>
            <w:r w:rsidRPr="00DD499A">
              <w:rPr>
                <w:b/>
                <w:sz w:val="16"/>
              </w:rPr>
              <w:t>Code de couleurs</w:t>
            </w:r>
          </w:p>
        </w:tc>
      </w:tr>
      <w:tr w:rsidR="00F40E87" w:rsidRPr="005C7CCE" w:rsidTr="00DD499A">
        <w:trPr>
          <w:cantSplit/>
        </w:trPr>
        <w:tc>
          <w:tcPr>
            <w:tcW w:w="718" w:type="pct"/>
            <w:shd w:val="clear" w:color="auto" w:fill="auto"/>
          </w:tcPr>
          <w:p w:rsidR="00F40E87" w:rsidRPr="00486AEA" w:rsidRDefault="00F40E87" w:rsidP="001A5BF9">
            <w:pPr>
              <w:rPr>
                <w:rFonts w:cs="Arial"/>
                <w:sz w:val="16"/>
                <w:szCs w:val="16"/>
                <w:lang w:bidi="th-TH"/>
              </w:rPr>
            </w:pPr>
            <w:r w:rsidRPr="00486AEA">
              <w:rPr>
                <w:sz w:val="16"/>
              </w:rPr>
              <w:t>Nombre d</w:t>
            </w:r>
            <w:r w:rsidR="00A20444" w:rsidRPr="00486AEA">
              <w:rPr>
                <w:sz w:val="16"/>
              </w:rPr>
              <w:t>’</w:t>
            </w:r>
            <w:r w:rsidRPr="00486AEA">
              <w:rPr>
                <w:sz w:val="16"/>
              </w:rPr>
              <w:t>États membres ayant reçu des conseils législatifs dans le domaine des marques, des modèles et dessins industriels et des indications géographiques</w:t>
            </w:r>
          </w:p>
        </w:tc>
        <w:tc>
          <w:tcPr>
            <w:tcW w:w="963" w:type="pct"/>
            <w:shd w:val="clear" w:color="auto" w:fill="auto"/>
          </w:tcPr>
          <w:p w:rsidR="00D42474" w:rsidRDefault="00F40E87" w:rsidP="001A5BF9">
            <w:pPr>
              <w:rPr>
                <w:rFonts w:cs="Arial"/>
                <w:sz w:val="16"/>
                <w:szCs w:val="16"/>
              </w:rPr>
            </w:pPr>
            <w:r w:rsidRPr="00486AEA">
              <w:rPr>
                <w:sz w:val="16"/>
              </w:rPr>
              <w:t>19 (2010)</w:t>
            </w:r>
          </w:p>
          <w:p w:rsidR="00F40E87" w:rsidRPr="00486AEA" w:rsidRDefault="00F40E87" w:rsidP="001A5BF9">
            <w:pPr>
              <w:rPr>
                <w:rFonts w:cs="Arial"/>
                <w:sz w:val="16"/>
                <w:szCs w:val="16"/>
                <w:lang w:bidi="th-TH"/>
              </w:rPr>
            </w:pPr>
            <w:r w:rsidRPr="00486AEA">
              <w:rPr>
                <w:sz w:val="16"/>
              </w:rPr>
              <w:t>20 (2011)</w:t>
            </w:r>
          </w:p>
        </w:tc>
        <w:tc>
          <w:tcPr>
            <w:tcW w:w="986" w:type="pct"/>
            <w:gridSpan w:val="2"/>
            <w:shd w:val="clear" w:color="auto" w:fill="auto"/>
            <w:tcMar>
              <w:top w:w="110" w:type="dxa"/>
            </w:tcMar>
          </w:tcPr>
          <w:p w:rsidR="00D42474" w:rsidRDefault="00F40E87" w:rsidP="001A5BF9">
            <w:pPr>
              <w:rPr>
                <w:rFonts w:cs="Arial"/>
                <w:sz w:val="16"/>
                <w:szCs w:val="16"/>
                <w:lang w:bidi="th-TH"/>
              </w:rPr>
            </w:pPr>
            <w:r w:rsidRPr="00486AEA">
              <w:rPr>
                <w:sz w:val="16"/>
              </w:rPr>
              <w:t>Conseils d</w:t>
            </w:r>
            <w:r w:rsidR="00A20444" w:rsidRPr="00486AEA">
              <w:rPr>
                <w:sz w:val="16"/>
              </w:rPr>
              <w:t>’</w:t>
            </w:r>
            <w:r w:rsidRPr="00486AEA">
              <w:rPr>
                <w:sz w:val="16"/>
              </w:rPr>
              <w:t>ordre législatif</w:t>
            </w:r>
          </w:p>
          <w:p w:rsidR="00D42474" w:rsidRDefault="00F40E87" w:rsidP="001A5BF9">
            <w:pPr>
              <w:rPr>
                <w:rFonts w:cs="Arial"/>
                <w:sz w:val="16"/>
                <w:szCs w:val="16"/>
                <w:lang w:bidi="th-TH"/>
              </w:rPr>
            </w:pPr>
            <w:r w:rsidRPr="00486AEA">
              <w:rPr>
                <w:sz w:val="16"/>
              </w:rPr>
              <w:t>fournis à 40 États</w:t>
            </w:r>
          </w:p>
          <w:p w:rsidR="00D42474" w:rsidRDefault="00F40E87" w:rsidP="001A5BF9">
            <w:pPr>
              <w:rPr>
                <w:rFonts w:cs="Arial"/>
                <w:sz w:val="16"/>
                <w:szCs w:val="16"/>
                <w:lang w:bidi="th-TH"/>
              </w:rPr>
            </w:pPr>
            <w:r w:rsidRPr="00486AEA">
              <w:rPr>
                <w:sz w:val="16"/>
              </w:rPr>
              <w:t>membres et/ou groupes</w:t>
            </w:r>
          </w:p>
          <w:p w:rsidR="00F40E87" w:rsidRPr="00486AEA" w:rsidRDefault="00F40E87" w:rsidP="001A5BF9">
            <w:pPr>
              <w:rPr>
                <w:rFonts w:cs="Arial"/>
                <w:sz w:val="16"/>
                <w:szCs w:val="16"/>
                <w:lang w:bidi="th-TH"/>
              </w:rPr>
            </w:pPr>
            <w:r w:rsidRPr="00486AEA">
              <w:rPr>
                <w:sz w:val="16"/>
              </w:rPr>
              <w:t>régionaux d</w:t>
            </w:r>
            <w:r w:rsidR="00A20444" w:rsidRPr="00486AEA">
              <w:rPr>
                <w:sz w:val="16"/>
              </w:rPr>
              <w:t>’</w:t>
            </w:r>
            <w:r w:rsidRPr="00486AEA">
              <w:rPr>
                <w:sz w:val="16"/>
              </w:rPr>
              <w:t>États membres</w:t>
            </w:r>
          </w:p>
        </w:tc>
        <w:tc>
          <w:tcPr>
            <w:tcW w:w="1727" w:type="pct"/>
            <w:gridSpan w:val="2"/>
            <w:shd w:val="clear" w:color="auto" w:fill="auto"/>
            <w:tcMar>
              <w:top w:w="110" w:type="dxa"/>
            </w:tcMar>
          </w:tcPr>
          <w:p w:rsidR="00D42474" w:rsidRDefault="00F40E87" w:rsidP="001A5BF9">
            <w:pPr>
              <w:rPr>
                <w:rFonts w:cs="Arial"/>
                <w:sz w:val="16"/>
                <w:szCs w:val="16"/>
                <w:lang w:bidi="th-TH"/>
              </w:rPr>
            </w:pPr>
            <w:r w:rsidRPr="00486AEA">
              <w:rPr>
                <w:sz w:val="16"/>
              </w:rPr>
              <w:t>2012</w:t>
            </w:r>
            <w:r w:rsidR="0010442A" w:rsidRPr="00486AEA">
              <w:rPr>
                <w:sz w:val="16"/>
              </w:rPr>
              <w:t> </w:t>
            </w:r>
            <w:r w:rsidRPr="00486AEA">
              <w:rPr>
                <w:sz w:val="16"/>
              </w:rPr>
              <w:t xml:space="preserve">: conseils fournis à </w:t>
            </w:r>
            <w:r w:rsidR="00BD43F2" w:rsidRPr="00486AEA">
              <w:rPr>
                <w:sz w:val="16"/>
              </w:rPr>
              <w:t>11 </w:t>
            </w:r>
            <w:r w:rsidRPr="00486AEA">
              <w:rPr>
                <w:sz w:val="16"/>
              </w:rPr>
              <w:t xml:space="preserve">États membres sur </w:t>
            </w:r>
            <w:r w:rsidR="00BD43F2" w:rsidRPr="00486AEA">
              <w:rPr>
                <w:sz w:val="16"/>
              </w:rPr>
              <w:t>18 </w:t>
            </w:r>
            <w:r w:rsidRPr="00486AEA">
              <w:rPr>
                <w:sz w:val="16"/>
              </w:rPr>
              <w:t>projets de textes législatifs (deux en Afrique, un dans la région arabe, un dans la région Asie</w:t>
            </w:r>
            <w:r w:rsidR="002D6F2A" w:rsidRPr="00486AEA">
              <w:rPr>
                <w:sz w:val="16"/>
              </w:rPr>
              <w:noBreakHyphen/>
            </w:r>
            <w:r w:rsidRPr="00486AEA">
              <w:rPr>
                <w:sz w:val="16"/>
              </w:rPr>
              <w:t>Pacifique et sept</w:t>
            </w:r>
            <w:r w:rsidR="0010442A" w:rsidRPr="00486AEA">
              <w:rPr>
                <w:sz w:val="16"/>
              </w:rPr>
              <w:t> </w:t>
            </w:r>
            <w:r w:rsidRPr="00486AEA">
              <w:rPr>
                <w:sz w:val="16"/>
              </w:rPr>
              <w:t>en Amérique latine et dans les Caraïbes).</w:t>
            </w:r>
          </w:p>
          <w:p w:rsidR="00D42474" w:rsidRDefault="00D42474" w:rsidP="001A5BF9">
            <w:pPr>
              <w:rPr>
                <w:rFonts w:cs="Arial"/>
                <w:sz w:val="8"/>
                <w:szCs w:val="8"/>
                <w:lang w:bidi="th-TH"/>
              </w:rPr>
            </w:pPr>
          </w:p>
          <w:p w:rsidR="00F40E87" w:rsidRPr="00486AEA" w:rsidRDefault="00F40E87" w:rsidP="00C8367A">
            <w:pPr>
              <w:rPr>
                <w:rFonts w:cs="Arial"/>
                <w:sz w:val="16"/>
                <w:szCs w:val="16"/>
                <w:lang w:bidi="th-TH"/>
              </w:rPr>
            </w:pPr>
            <w:r w:rsidRPr="00486AEA">
              <w:rPr>
                <w:sz w:val="16"/>
              </w:rPr>
              <w:t>2013</w:t>
            </w:r>
            <w:r w:rsidR="0010442A" w:rsidRPr="00486AEA">
              <w:rPr>
                <w:sz w:val="16"/>
              </w:rPr>
              <w:t> </w:t>
            </w:r>
            <w:r w:rsidRPr="00486AEA">
              <w:rPr>
                <w:sz w:val="16"/>
              </w:rPr>
              <w:t>:</w:t>
            </w:r>
            <w:r w:rsidR="004F3E42" w:rsidRPr="00486AEA">
              <w:rPr>
                <w:sz w:val="16"/>
              </w:rPr>
              <w:t xml:space="preserve"> </w:t>
            </w:r>
            <w:r w:rsidRPr="00486AEA">
              <w:rPr>
                <w:sz w:val="16"/>
              </w:rPr>
              <w:t xml:space="preserve">conseils fournis à </w:t>
            </w:r>
            <w:r w:rsidR="00BD43F2" w:rsidRPr="00486AEA">
              <w:rPr>
                <w:sz w:val="16"/>
              </w:rPr>
              <w:t>13 </w:t>
            </w:r>
            <w:r w:rsidRPr="00486AEA">
              <w:rPr>
                <w:sz w:val="16"/>
              </w:rPr>
              <w:t xml:space="preserve">États membres sur </w:t>
            </w:r>
            <w:r w:rsidR="00BD43F2" w:rsidRPr="00486AEA">
              <w:rPr>
                <w:sz w:val="16"/>
              </w:rPr>
              <w:t>18 </w:t>
            </w:r>
            <w:r w:rsidRPr="00486AEA">
              <w:rPr>
                <w:sz w:val="16"/>
              </w:rPr>
              <w:t>projets de textes législatifs (deux en Afrique, huit</w:t>
            </w:r>
            <w:r w:rsidR="0010442A" w:rsidRPr="00486AEA">
              <w:rPr>
                <w:sz w:val="16"/>
              </w:rPr>
              <w:t> </w:t>
            </w:r>
            <w:r w:rsidRPr="00486AEA">
              <w:rPr>
                <w:sz w:val="16"/>
              </w:rPr>
              <w:t>dans la région Asie</w:t>
            </w:r>
            <w:r w:rsidR="002D6F2A" w:rsidRPr="00486AEA">
              <w:rPr>
                <w:sz w:val="16"/>
              </w:rPr>
              <w:noBreakHyphen/>
            </w:r>
            <w:r w:rsidRPr="00486AEA">
              <w:rPr>
                <w:sz w:val="16"/>
              </w:rPr>
              <w:t>Pacifique et trois</w:t>
            </w:r>
            <w:r w:rsidR="0010442A" w:rsidRPr="00486AEA">
              <w:rPr>
                <w:sz w:val="16"/>
              </w:rPr>
              <w:t> </w:t>
            </w:r>
            <w:r w:rsidR="00C8367A">
              <w:rPr>
                <w:sz w:val="16"/>
              </w:rPr>
              <w:t>dans la région</w:t>
            </w:r>
            <w:r w:rsidRPr="00486AEA">
              <w:rPr>
                <w:sz w:val="16"/>
              </w:rPr>
              <w:t xml:space="preserve"> Amérique latine et Caraïbes).</w:t>
            </w:r>
          </w:p>
        </w:tc>
        <w:tc>
          <w:tcPr>
            <w:tcW w:w="606" w:type="pct"/>
            <w:shd w:val="clear" w:color="auto" w:fill="auto"/>
            <w:tcMar>
              <w:top w:w="110" w:type="dxa"/>
            </w:tcMar>
          </w:tcPr>
          <w:p w:rsidR="00F40E87" w:rsidRPr="005C7CCE" w:rsidRDefault="0015421B" w:rsidP="001A5BF9">
            <w:pPr>
              <w:keepNext/>
              <w:keepLines/>
              <w:jc w:val="center"/>
              <w:rPr>
                <w:rFonts w:cs="Arial"/>
                <w:color w:val="E36C0A"/>
                <w:sz w:val="16"/>
                <w:szCs w:val="16"/>
              </w:rPr>
            </w:pPr>
            <w:r w:rsidRPr="0015421B">
              <w:rPr>
                <w:color w:val="E36C0A"/>
                <w:sz w:val="16"/>
              </w:rPr>
              <w:t>Objectif partiellement atteint</w:t>
            </w:r>
          </w:p>
        </w:tc>
      </w:tr>
      <w:tr w:rsidR="00DD499A" w:rsidRPr="00DD499A" w:rsidTr="004B047D">
        <w:trPr>
          <w:cantSplit/>
        </w:trPr>
        <w:tc>
          <w:tcPr>
            <w:tcW w:w="5000" w:type="pct"/>
            <w:gridSpan w:val="7"/>
            <w:tcBorders>
              <w:top w:val="single" w:sz="4" w:space="0" w:color="auto"/>
              <w:bottom w:val="single" w:sz="4" w:space="0" w:color="auto"/>
            </w:tcBorders>
            <w:shd w:val="clear" w:color="auto" w:fill="CCFFFF"/>
            <w:vAlign w:val="center"/>
          </w:tcPr>
          <w:p w:rsidR="00DD499A" w:rsidRPr="00DD499A" w:rsidRDefault="00DD499A" w:rsidP="00486AEA">
            <w:pPr>
              <w:keepNext/>
              <w:keepLines/>
              <w:tabs>
                <w:tab w:val="left" w:pos="1452"/>
              </w:tabs>
              <w:spacing w:before="120" w:after="120"/>
              <w:ind w:left="1452" w:hanging="1452"/>
              <w:rPr>
                <w:rFonts w:cs="Arial"/>
                <w:b/>
                <w:bCs/>
                <w:sz w:val="16"/>
                <w:szCs w:val="16"/>
              </w:rPr>
            </w:pPr>
            <w:r w:rsidRPr="00DD499A">
              <w:rPr>
                <w:b/>
                <w:sz w:val="16"/>
              </w:rPr>
              <w:t xml:space="preserve">Résultat escompté : </w:t>
            </w:r>
            <w:r w:rsidRPr="00DD499A">
              <w:rPr>
                <w:sz w:val="16"/>
              </w:rPr>
              <w:tab/>
              <w:t xml:space="preserve">Cadres législatif, réglementaires et politiques équilibrés et adaptés en matière de propriété intellectuelle </w:t>
            </w:r>
          </w:p>
        </w:tc>
      </w:tr>
      <w:tr w:rsidR="00DD499A" w:rsidRPr="00DD499A" w:rsidTr="004B047D">
        <w:trPr>
          <w:cantSplit/>
        </w:trPr>
        <w:tc>
          <w:tcPr>
            <w:tcW w:w="718" w:type="pct"/>
            <w:tcBorders>
              <w:top w:val="single" w:sz="4" w:space="0" w:color="auto"/>
            </w:tcBorders>
            <w:shd w:val="clear" w:color="auto" w:fill="auto"/>
            <w:vAlign w:val="center"/>
          </w:tcPr>
          <w:p w:rsidR="00DD499A" w:rsidRPr="00DD499A" w:rsidRDefault="00DD499A" w:rsidP="00486AEA">
            <w:pPr>
              <w:keepNext/>
              <w:keepLines/>
              <w:spacing w:after="120"/>
              <w:rPr>
                <w:rFonts w:cs="Arial"/>
                <w:b/>
                <w:sz w:val="16"/>
                <w:szCs w:val="16"/>
              </w:rPr>
            </w:pPr>
            <w:r w:rsidRPr="00DD499A">
              <w:rPr>
                <w:b/>
                <w:sz w:val="16"/>
              </w:rPr>
              <w:t>Indicateurs d’exécution</w:t>
            </w:r>
          </w:p>
        </w:tc>
        <w:tc>
          <w:tcPr>
            <w:tcW w:w="963" w:type="pct"/>
            <w:tcBorders>
              <w:top w:val="single" w:sz="4" w:space="0" w:color="auto"/>
            </w:tcBorders>
            <w:shd w:val="clear" w:color="auto" w:fill="auto"/>
            <w:vAlign w:val="center"/>
          </w:tcPr>
          <w:p w:rsidR="00DD499A" w:rsidRPr="00DD499A" w:rsidRDefault="00DD499A" w:rsidP="00486AEA">
            <w:pPr>
              <w:keepNext/>
              <w:keepLines/>
              <w:spacing w:after="120"/>
              <w:rPr>
                <w:rFonts w:cs="Arial"/>
                <w:b/>
                <w:bCs/>
                <w:sz w:val="16"/>
                <w:szCs w:val="16"/>
              </w:rPr>
            </w:pPr>
            <w:r w:rsidRPr="00DD499A">
              <w:rPr>
                <w:b/>
                <w:sz w:val="16"/>
              </w:rPr>
              <w:t>Niveaux de référence</w:t>
            </w:r>
          </w:p>
        </w:tc>
        <w:tc>
          <w:tcPr>
            <w:tcW w:w="986" w:type="pct"/>
            <w:gridSpan w:val="2"/>
            <w:tcBorders>
              <w:top w:val="single" w:sz="4" w:space="0" w:color="auto"/>
            </w:tcBorders>
            <w:shd w:val="clear" w:color="auto" w:fill="auto"/>
            <w:tcMar>
              <w:top w:w="110" w:type="dxa"/>
            </w:tcMar>
            <w:vAlign w:val="center"/>
          </w:tcPr>
          <w:p w:rsidR="00DD499A" w:rsidRPr="00DD499A" w:rsidRDefault="00DD499A" w:rsidP="00486AEA">
            <w:pPr>
              <w:keepNext/>
              <w:keepLines/>
              <w:spacing w:after="120"/>
              <w:rPr>
                <w:rFonts w:cs="Arial"/>
                <w:b/>
                <w:sz w:val="16"/>
                <w:szCs w:val="16"/>
              </w:rPr>
            </w:pPr>
            <w:r w:rsidRPr="00DD499A">
              <w:rPr>
                <w:b/>
                <w:sz w:val="16"/>
              </w:rPr>
              <w:t>Objectifs visés</w:t>
            </w:r>
          </w:p>
        </w:tc>
        <w:tc>
          <w:tcPr>
            <w:tcW w:w="1727" w:type="pct"/>
            <w:gridSpan w:val="2"/>
            <w:tcBorders>
              <w:top w:val="single" w:sz="4" w:space="0" w:color="auto"/>
            </w:tcBorders>
            <w:shd w:val="clear" w:color="auto" w:fill="auto"/>
            <w:tcMar>
              <w:top w:w="110" w:type="dxa"/>
            </w:tcMar>
            <w:vAlign w:val="center"/>
          </w:tcPr>
          <w:p w:rsidR="00DD499A" w:rsidRPr="00DD499A" w:rsidRDefault="00DD499A" w:rsidP="00486AEA">
            <w:pPr>
              <w:keepNext/>
              <w:keepLines/>
              <w:spacing w:after="120"/>
              <w:rPr>
                <w:rFonts w:cs="Arial"/>
                <w:b/>
                <w:sz w:val="16"/>
                <w:szCs w:val="16"/>
              </w:rPr>
            </w:pPr>
            <w:r w:rsidRPr="00DD499A">
              <w:rPr>
                <w:b/>
                <w:sz w:val="16"/>
              </w:rPr>
              <w:t>Données relatives à l’exécution</w:t>
            </w:r>
          </w:p>
        </w:tc>
        <w:tc>
          <w:tcPr>
            <w:tcW w:w="606" w:type="pct"/>
            <w:tcBorders>
              <w:top w:val="single" w:sz="4" w:space="0" w:color="auto"/>
            </w:tcBorders>
            <w:shd w:val="clear" w:color="auto" w:fill="auto"/>
            <w:tcMar>
              <w:top w:w="110" w:type="dxa"/>
            </w:tcMar>
            <w:vAlign w:val="center"/>
          </w:tcPr>
          <w:p w:rsidR="00DD499A" w:rsidRPr="00DD499A" w:rsidRDefault="00DD499A" w:rsidP="00486AEA">
            <w:pPr>
              <w:keepNext/>
              <w:keepLines/>
              <w:spacing w:after="120"/>
              <w:jc w:val="center"/>
              <w:rPr>
                <w:rFonts w:cs="Arial"/>
                <w:b/>
                <w:bCs/>
                <w:sz w:val="16"/>
                <w:szCs w:val="16"/>
              </w:rPr>
            </w:pPr>
            <w:r w:rsidRPr="00DD499A">
              <w:rPr>
                <w:b/>
                <w:sz w:val="16"/>
              </w:rPr>
              <w:t>Code de couleurs</w:t>
            </w:r>
          </w:p>
        </w:tc>
      </w:tr>
      <w:tr w:rsidR="00F40E87" w:rsidRPr="005C7CCE" w:rsidTr="00DD499A">
        <w:trPr>
          <w:cantSplit/>
        </w:trPr>
        <w:tc>
          <w:tcPr>
            <w:tcW w:w="718" w:type="pct"/>
            <w:shd w:val="clear" w:color="auto" w:fill="auto"/>
          </w:tcPr>
          <w:p w:rsidR="00F40E87" w:rsidRPr="005C7CCE" w:rsidRDefault="00F40E87" w:rsidP="00486AEA">
            <w:pPr>
              <w:keepNext/>
              <w:keepLines/>
              <w:rPr>
                <w:rFonts w:cs="Arial"/>
                <w:color w:val="000000"/>
                <w:spacing w:val="-4"/>
                <w:sz w:val="16"/>
                <w:szCs w:val="16"/>
              </w:rPr>
            </w:pPr>
            <w:r w:rsidRPr="00486AEA">
              <w:rPr>
                <w:spacing w:val="-4"/>
                <w:sz w:val="16"/>
              </w:rPr>
              <w:t>Nombre de pays ayant donné un avis positif en retour sur l</w:t>
            </w:r>
            <w:r w:rsidR="00A20444" w:rsidRPr="00486AEA">
              <w:rPr>
                <w:spacing w:val="-4"/>
                <w:sz w:val="16"/>
              </w:rPr>
              <w:t>’</w:t>
            </w:r>
            <w:r w:rsidRPr="00486AEA">
              <w:rPr>
                <w:spacing w:val="-4"/>
                <w:sz w:val="16"/>
              </w:rPr>
              <w:t>utilité des conseils de législation fournis dans le domaine des marques, des modèles et dessins industriels et des indications géographiques</w:t>
            </w:r>
          </w:p>
        </w:tc>
        <w:tc>
          <w:tcPr>
            <w:tcW w:w="963" w:type="pct"/>
            <w:shd w:val="clear" w:color="auto" w:fill="auto"/>
          </w:tcPr>
          <w:p w:rsidR="00F40E87" w:rsidRPr="005C7CCE" w:rsidRDefault="00F40E87" w:rsidP="00486AEA">
            <w:pPr>
              <w:keepNext/>
              <w:keepLines/>
              <w:rPr>
                <w:rFonts w:cs="Arial"/>
                <w:sz w:val="16"/>
                <w:szCs w:val="16"/>
                <w:lang w:bidi="th-TH"/>
              </w:rPr>
            </w:pPr>
            <w:r w:rsidRPr="00486AEA">
              <w:rPr>
                <w:sz w:val="16"/>
              </w:rPr>
              <w:t>Données non disponibles</w:t>
            </w:r>
          </w:p>
        </w:tc>
        <w:tc>
          <w:tcPr>
            <w:tcW w:w="986" w:type="pct"/>
            <w:gridSpan w:val="2"/>
            <w:shd w:val="clear" w:color="auto" w:fill="auto"/>
            <w:tcMar>
              <w:top w:w="110" w:type="dxa"/>
            </w:tcMar>
          </w:tcPr>
          <w:p w:rsidR="00F40E87" w:rsidRPr="005C7CCE" w:rsidRDefault="00F40E87" w:rsidP="00486AEA">
            <w:pPr>
              <w:keepNext/>
              <w:keepLines/>
              <w:rPr>
                <w:rFonts w:cs="Arial"/>
                <w:sz w:val="16"/>
                <w:szCs w:val="16"/>
                <w:lang w:bidi="th-TH"/>
              </w:rPr>
            </w:pPr>
            <w:r w:rsidRPr="005C7CCE">
              <w:rPr>
                <w:sz w:val="16"/>
              </w:rPr>
              <w:t>70</w:t>
            </w:r>
            <w:r w:rsidR="007E442D" w:rsidRPr="005C7CCE">
              <w:rPr>
                <w:sz w:val="16"/>
              </w:rPr>
              <w:t>%</w:t>
            </w:r>
          </w:p>
        </w:tc>
        <w:tc>
          <w:tcPr>
            <w:tcW w:w="1727" w:type="pct"/>
            <w:gridSpan w:val="2"/>
            <w:shd w:val="clear" w:color="auto" w:fill="auto"/>
            <w:tcMar>
              <w:top w:w="110" w:type="dxa"/>
            </w:tcMar>
          </w:tcPr>
          <w:p w:rsidR="00F40E87" w:rsidRPr="005C7CCE" w:rsidRDefault="00F40E87" w:rsidP="00486AEA">
            <w:pPr>
              <w:keepNext/>
              <w:keepLines/>
              <w:rPr>
                <w:rFonts w:cs="Arial"/>
                <w:sz w:val="16"/>
                <w:szCs w:val="16"/>
                <w:lang w:bidi="th-TH"/>
              </w:rPr>
            </w:pPr>
            <w:r w:rsidRPr="005C7CCE">
              <w:rPr>
                <w:sz w:val="16"/>
              </w:rPr>
              <w:t>Retour d</w:t>
            </w:r>
            <w:r w:rsidR="00A20444" w:rsidRPr="005C7CCE">
              <w:rPr>
                <w:sz w:val="16"/>
              </w:rPr>
              <w:t>’</w:t>
            </w:r>
            <w:r w:rsidRPr="005C7CCE">
              <w:rPr>
                <w:sz w:val="16"/>
              </w:rPr>
              <w:t xml:space="preserve">information positif reçu de neuf pays sur 13. </w:t>
            </w:r>
            <w:r w:rsidR="0010442A" w:rsidRPr="005C7CCE">
              <w:rPr>
                <w:sz w:val="16"/>
              </w:rPr>
              <w:t xml:space="preserve"> </w:t>
            </w:r>
            <w:r w:rsidRPr="005C7CCE">
              <w:rPr>
                <w:sz w:val="16"/>
              </w:rPr>
              <w:t>Quatre pays n</w:t>
            </w:r>
            <w:r w:rsidR="00A20444" w:rsidRPr="005C7CCE">
              <w:rPr>
                <w:sz w:val="16"/>
              </w:rPr>
              <w:t>’</w:t>
            </w:r>
            <w:r w:rsidRPr="005C7CCE">
              <w:rPr>
                <w:sz w:val="16"/>
              </w:rPr>
              <w:t>ont pas répondu.</w:t>
            </w:r>
          </w:p>
        </w:tc>
        <w:tc>
          <w:tcPr>
            <w:tcW w:w="606" w:type="pct"/>
            <w:shd w:val="clear" w:color="auto" w:fill="auto"/>
          </w:tcPr>
          <w:p w:rsidR="00F40E87" w:rsidRPr="005C7CCE" w:rsidRDefault="00F40E87" w:rsidP="00486AEA">
            <w:pPr>
              <w:keepNext/>
              <w:keepLines/>
              <w:jc w:val="center"/>
              <w:rPr>
                <w:rFonts w:cs="Arial"/>
                <w:bCs/>
                <w:color w:val="333333"/>
                <w:sz w:val="16"/>
                <w:szCs w:val="16"/>
              </w:rPr>
            </w:pPr>
            <w:r w:rsidRPr="00B470C6">
              <w:rPr>
                <w:color w:val="008000"/>
                <w:sz w:val="16"/>
              </w:rPr>
              <w:t>Objectif pleinement atteint</w:t>
            </w:r>
          </w:p>
        </w:tc>
      </w:tr>
    </w:tbl>
    <w:p w:rsidR="00D42474" w:rsidRDefault="00D42474" w:rsidP="001A5BF9">
      <w:pPr>
        <w:rPr>
          <w:rFonts w:cs="Arial"/>
          <w:szCs w:val="22"/>
        </w:rPr>
      </w:pPr>
    </w:p>
    <w:p w:rsidR="00D42474" w:rsidRDefault="00D42474" w:rsidP="001A5BF9">
      <w:pPr>
        <w:rPr>
          <w:rFonts w:cs="Arial"/>
          <w:szCs w:val="22"/>
        </w:rPr>
      </w:pPr>
    </w:p>
    <w:p w:rsidR="00D42474" w:rsidRDefault="00F40E87" w:rsidP="001A5BF9">
      <w:pPr>
        <w:pStyle w:val="NormalWeb"/>
        <w:spacing w:before="0" w:beforeAutospacing="0" w:after="0" w:afterAutospacing="0"/>
        <w:rPr>
          <w:sz w:val="22"/>
          <w:szCs w:val="22"/>
        </w:rPr>
      </w:pPr>
      <w:r w:rsidRPr="00486AEA">
        <w:rPr>
          <w:sz w:val="22"/>
        </w:rPr>
        <w:t>BUDGET ET DÉPENSES EFFECTIVES</w:t>
      </w:r>
    </w:p>
    <w:p w:rsidR="00D42474" w:rsidRDefault="00D42474" w:rsidP="001A5BF9">
      <w:pPr>
        <w:pStyle w:val="NormalWeb"/>
        <w:spacing w:before="0" w:beforeAutospacing="0" w:after="0" w:afterAutospacing="0"/>
        <w:jc w:val="center"/>
        <w:rPr>
          <w:sz w:val="22"/>
          <w:szCs w:val="22"/>
        </w:rPr>
      </w:pPr>
    </w:p>
    <w:p w:rsidR="00D42474" w:rsidRDefault="00F40E87" w:rsidP="001A5BF9">
      <w:pPr>
        <w:pStyle w:val="NormalWeb"/>
        <w:spacing w:before="0" w:beforeAutospacing="0" w:after="0" w:afterAutospacing="0"/>
        <w:jc w:val="center"/>
        <w:rPr>
          <w:sz w:val="20"/>
          <w:szCs w:val="20"/>
        </w:rPr>
      </w:pPr>
      <w:r w:rsidRPr="00486AEA">
        <w:rPr>
          <w:sz w:val="20"/>
        </w:rPr>
        <w:t>Budget et dépenses effectives (par résultat)</w:t>
      </w:r>
    </w:p>
    <w:p w:rsidR="00D42474" w:rsidRDefault="00F40E87" w:rsidP="001A5BF9">
      <w:pPr>
        <w:pStyle w:val="NormalWeb"/>
        <w:spacing w:before="0" w:beforeAutospacing="0" w:after="0" w:afterAutospacing="0"/>
        <w:jc w:val="center"/>
        <w:rPr>
          <w:i/>
          <w:iCs/>
          <w:sz w:val="20"/>
          <w:szCs w:val="20"/>
        </w:rPr>
      </w:pPr>
      <w:r w:rsidRPr="00486AEA">
        <w:rPr>
          <w:i/>
          <w:sz w:val="20"/>
        </w:rPr>
        <w:t>(</w:t>
      </w:r>
      <w:proofErr w:type="gramStart"/>
      <w:r w:rsidRPr="00486AEA">
        <w:rPr>
          <w:i/>
          <w:sz w:val="20"/>
        </w:rPr>
        <w:t>en</w:t>
      </w:r>
      <w:proofErr w:type="gramEnd"/>
      <w:r w:rsidRPr="00486AEA">
        <w:rPr>
          <w:i/>
          <w:sz w:val="20"/>
        </w:rPr>
        <w:t xml:space="preserve"> milliers de francs suisses)</w:t>
      </w:r>
    </w:p>
    <w:p w:rsidR="00F40E87" w:rsidRPr="00486AEA" w:rsidRDefault="00F40E87" w:rsidP="001A5BF9"/>
    <w:tbl>
      <w:tblPr>
        <w:tblW w:w="0" w:type="auto"/>
        <w:tblInd w:w="18" w:type="dxa"/>
        <w:tblLayout w:type="fixed"/>
        <w:tblLook w:val="04A0" w:firstRow="1" w:lastRow="0" w:firstColumn="1" w:lastColumn="0" w:noHBand="0" w:noVBand="1"/>
      </w:tblPr>
      <w:tblGrid>
        <w:gridCol w:w="445"/>
        <w:gridCol w:w="5174"/>
        <w:gridCol w:w="1275"/>
        <w:gridCol w:w="1276"/>
        <w:gridCol w:w="1276"/>
      </w:tblGrid>
      <w:tr w:rsidR="00F40E87" w:rsidRPr="00486AEA" w:rsidTr="00BB3F3E">
        <w:tc>
          <w:tcPr>
            <w:tcW w:w="5619"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F40E87" w:rsidRPr="00486AEA" w:rsidRDefault="00F40E87" w:rsidP="001A5BF9">
            <w:pPr>
              <w:spacing w:before="40" w:after="40"/>
              <w:jc w:val="center"/>
              <w:rPr>
                <w:rFonts w:cs="Arial"/>
                <w:bCs/>
                <w:sz w:val="16"/>
                <w:szCs w:val="16"/>
              </w:rPr>
            </w:pPr>
            <w:r w:rsidRPr="00486AEA">
              <w:rPr>
                <w:sz w:val="16"/>
              </w:rPr>
              <w:t>Numéro et description du résultat escompté</w:t>
            </w:r>
          </w:p>
        </w:tc>
        <w:tc>
          <w:tcPr>
            <w:tcW w:w="1275" w:type="dxa"/>
            <w:tcBorders>
              <w:top w:val="single" w:sz="4" w:space="0" w:color="auto"/>
              <w:left w:val="nil"/>
              <w:bottom w:val="single" w:sz="4" w:space="0" w:color="auto"/>
              <w:right w:val="single" w:sz="4" w:space="0" w:color="auto"/>
            </w:tcBorders>
            <w:shd w:val="clear" w:color="000000" w:fill="CCFFFF"/>
            <w:vAlign w:val="center"/>
          </w:tcPr>
          <w:p w:rsidR="00F40E87" w:rsidRPr="00486AEA" w:rsidRDefault="00F40E87" w:rsidP="001A5BF9">
            <w:pPr>
              <w:spacing w:before="40" w:after="40"/>
              <w:jc w:val="center"/>
              <w:rPr>
                <w:rFonts w:cs="Arial"/>
                <w:bCs/>
                <w:sz w:val="16"/>
                <w:szCs w:val="16"/>
              </w:rPr>
            </w:pPr>
            <w:r w:rsidRPr="00486AEA">
              <w:rPr>
                <w:sz w:val="16"/>
              </w:rPr>
              <w:t>Budget</w:t>
            </w:r>
            <w:r w:rsidRPr="00486AEA">
              <w:br/>
            </w:r>
            <w:r w:rsidRPr="00486AEA">
              <w:rPr>
                <w:sz w:val="16"/>
              </w:rPr>
              <w:t>2012–2013 approuvé</w:t>
            </w:r>
          </w:p>
        </w:tc>
        <w:tc>
          <w:tcPr>
            <w:tcW w:w="1276" w:type="dxa"/>
            <w:tcBorders>
              <w:top w:val="single" w:sz="4" w:space="0" w:color="auto"/>
              <w:left w:val="nil"/>
              <w:bottom w:val="single" w:sz="4" w:space="0" w:color="auto"/>
              <w:right w:val="single" w:sz="4" w:space="0" w:color="auto"/>
            </w:tcBorders>
            <w:shd w:val="clear" w:color="000000" w:fill="CCFFFF"/>
            <w:vAlign w:val="center"/>
          </w:tcPr>
          <w:p w:rsidR="00F40E87" w:rsidRPr="00486AEA" w:rsidRDefault="00F40E87" w:rsidP="001A5BF9">
            <w:pPr>
              <w:spacing w:before="40" w:after="40"/>
              <w:jc w:val="center"/>
              <w:rPr>
                <w:rFonts w:cs="Arial"/>
                <w:bCs/>
                <w:sz w:val="16"/>
                <w:szCs w:val="16"/>
              </w:rPr>
            </w:pPr>
            <w:r w:rsidRPr="00486AEA">
              <w:rPr>
                <w:sz w:val="16"/>
              </w:rPr>
              <w:t>Budget</w:t>
            </w:r>
            <w:r w:rsidRPr="00486AEA">
              <w:br/>
            </w:r>
            <w:r w:rsidRPr="00486AEA">
              <w:rPr>
                <w:sz w:val="16"/>
              </w:rPr>
              <w:t>2012</w:t>
            </w:r>
            <w:r w:rsidR="002D6F2A" w:rsidRPr="00486AEA">
              <w:rPr>
                <w:sz w:val="16"/>
              </w:rPr>
              <w:noBreakHyphen/>
            </w:r>
            <w:r w:rsidRPr="00486AEA">
              <w:rPr>
                <w:sz w:val="16"/>
              </w:rPr>
              <w:t>2013 après virements</w:t>
            </w:r>
          </w:p>
        </w:tc>
        <w:tc>
          <w:tcPr>
            <w:tcW w:w="1276" w:type="dxa"/>
            <w:tcBorders>
              <w:top w:val="single" w:sz="4" w:space="0" w:color="auto"/>
              <w:left w:val="nil"/>
              <w:bottom w:val="single" w:sz="4" w:space="0" w:color="auto"/>
              <w:right w:val="single" w:sz="4" w:space="0" w:color="auto"/>
            </w:tcBorders>
            <w:shd w:val="clear" w:color="000000" w:fill="CCFFFF"/>
            <w:vAlign w:val="center"/>
          </w:tcPr>
          <w:p w:rsidR="00F40E87" w:rsidRPr="00486AEA" w:rsidRDefault="00F40E87" w:rsidP="001A5BF9">
            <w:pPr>
              <w:spacing w:before="40" w:after="40"/>
              <w:jc w:val="center"/>
              <w:rPr>
                <w:rFonts w:cs="Arial"/>
                <w:bCs/>
                <w:sz w:val="16"/>
                <w:szCs w:val="16"/>
              </w:rPr>
            </w:pPr>
            <w:r w:rsidRPr="00486AEA">
              <w:rPr>
                <w:sz w:val="16"/>
              </w:rPr>
              <w:t>Dépenses</w:t>
            </w:r>
            <w:r w:rsidRPr="00486AEA">
              <w:br/>
            </w:r>
            <w:r w:rsidRPr="00486AEA">
              <w:rPr>
                <w:sz w:val="16"/>
              </w:rPr>
              <w:t>2012</w:t>
            </w:r>
            <w:r w:rsidR="002D6F2A" w:rsidRPr="00486AEA">
              <w:rPr>
                <w:sz w:val="16"/>
              </w:rPr>
              <w:noBreakHyphen/>
            </w:r>
            <w:r w:rsidRPr="00486AEA">
              <w:rPr>
                <w:sz w:val="16"/>
              </w:rPr>
              <w:t>2013</w:t>
            </w:r>
          </w:p>
        </w:tc>
      </w:tr>
      <w:tr w:rsidR="00F40E87" w:rsidRPr="00486AEA" w:rsidTr="00BB3F3E">
        <w:tc>
          <w:tcPr>
            <w:tcW w:w="445" w:type="dxa"/>
            <w:tcBorders>
              <w:top w:val="nil"/>
              <w:left w:val="single" w:sz="4" w:space="0" w:color="auto"/>
              <w:bottom w:val="nil"/>
              <w:right w:val="nil"/>
            </w:tcBorders>
            <w:shd w:val="clear" w:color="000000" w:fill="FFFFFF"/>
            <w:noWrap/>
          </w:tcPr>
          <w:p w:rsidR="00F40E87" w:rsidRPr="00486AEA" w:rsidRDefault="00F40E87" w:rsidP="001A5BF9">
            <w:pPr>
              <w:spacing w:before="60" w:after="60"/>
              <w:jc w:val="center"/>
              <w:rPr>
                <w:rFonts w:cs="Arial"/>
                <w:sz w:val="16"/>
                <w:szCs w:val="16"/>
              </w:rPr>
            </w:pPr>
            <w:proofErr w:type="spellStart"/>
            <w:r w:rsidRPr="00486AEA">
              <w:rPr>
                <w:sz w:val="16"/>
              </w:rPr>
              <w:t>I.1</w:t>
            </w:r>
            <w:proofErr w:type="spellEnd"/>
          </w:p>
        </w:tc>
        <w:tc>
          <w:tcPr>
            <w:tcW w:w="5174" w:type="dxa"/>
            <w:tcBorders>
              <w:top w:val="nil"/>
              <w:left w:val="nil"/>
              <w:bottom w:val="nil"/>
            </w:tcBorders>
            <w:shd w:val="clear" w:color="000000" w:fill="FFFFFF"/>
          </w:tcPr>
          <w:p w:rsidR="00F40E87" w:rsidRPr="00486AEA" w:rsidRDefault="00F40E87" w:rsidP="001A5BF9">
            <w:pPr>
              <w:spacing w:before="60" w:after="60"/>
              <w:rPr>
                <w:rFonts w:cs="Arial"/>
                <w:sz w:val="16"/>
                <w:szCs w:val="16"/>
              </w:rPr>
            </w:pPr>
            <w:r w:rsidRPr="00486AEA">
              <w:rPr>
                <w:sz w:val="16"/>
              </w:rPr>
              <w:t>Coopération et consensus renforcés entre les États membres en ce qui concerne le développement des cadres politiques et juridiques pour le système international des brevets, les marques, les dessins et modèles industriels, les indications géographiques, le droit d</w:t>
            </w:r>
            <w:r w:rsidR="00A20444" w:rsidRPr="00486AEA">
              <w:rPr>
                <w:sz w:val="16"/>
              </w:rPr>
              <w:t>’</w:t>
            </w:r>
            <w:r w:rsidRPr="00486AEA">
              <w:rPr>
                <w:sz w:val="16"/>
              </w:rPr>
              <w:t>auteur et les droits connexes, les savoirs traditionnels, les expressions culturelles traditionnelles et les ressources génétiques</w:t>
            </w:r>
          </w:p>
        </w:tc>
        <w:tc>
          <w:tcPr>
            <w:tcW w:w="1275" w:type="dxa"/>
            <w:tcBorders>
              <w:top w:val="single" w:sz="4" w:space="0" w:color="auto"/>
            </w:tcBorders>
            <w:shd w:val="clear" w:color="000000" w:fill="FFFFFF"/>
            <w:vAlign w:val="center"/>
          </w:tcPr>
          <w:p w:rsidR="00F40E87" w:rsidRPr="00486AEA" w:rsidRDefault="00F40E87" w:rsidP="001A5BF9">
            <w:pPr>
              <w:spacing w:before="60" w:after="60"/>
              <w:jc w:val="right"/>
              <w:rPr>
                <w:rFonts w:cs="Arial"/>
                <w:sz w:val="16"/>
                <w:szCs w:val="16"/>
              </w:rPr>
            </w:pPr>
            <w:r w:rsidRPr="00486AEA">
              <w:rPr>
                <w:sz w:val="16"/>
              </w:rPr>
              <w:t>3 753</w:t>
            </w:r>
          </w:p>
        </w:tc>
        <w:tc>
          <w:tcPr>
            <w:tcW w:w="1276" w:type="dxa"/>
            <w:tcBorders>
              <w:top w:val="single" w:sz="4" w:space="0" w:color="auto"/>
            </w:tcBorders>
            <w:shd w:val="clear" w:color="000000" w:fill="FFFFFF"/>
            <w:vAlign w:val="center"/>
          </w:tcPr>
          <w:p w:rsidR="00F40E87" w:rsidRPr="00486AEA" w:rsidRDefault="00F40E87" w:rsidP="001A5BF9">
            <w:pPr>
              <w:spacing w:before="60" w:after="60"/>
              <w:jc w:val="right"/>
              <w:rPr>
                <w:rFonts w:cs="Arial"/>
                <w:sz w:val="16"/>
                <w:szCs w:val="16"/>
              </w:rPr>
            </w:pPr>
            <w:r w:rsidRPr="00486AEA">
              <w:rPr>
                <w:sz w:val="16"/>
              </w:rPr>
              <w:t>3 054</w:t>
            </w:r>
          </w:p>
        </w:tc>
        <w:tc>
          <w:tcPr>
            <w:tcW w:w="1276" w:type="dxa"/>
            <w:tcBorders>
              <w:top w:val="single" w:sz="4" w:space="0" w:color="auto"/>
              <w:right w:val="single" w:sz="4" w:space="0" w:color="auto"/>
            </w:tcBorders>
            <w:shd w:val="clear" w:color="000000" w:fill="FFFFFF"/>
            <w:vAlign w:val="center"/>
          </w:tcPr>
          <w:p w:rsidR="00F40E87" w:rsidRPr="00486AEA" w:rsidRDefault="00F40E87" w:rsidP="001A5BF9">
            <w:pPr>
              <w:spacing w:before="60" w:after="60"/>
              <w:jc w:val="right"/>
              <w:rPr>
                <w:rFonts w:cs="Arial"/>
                <w:sz w:val="16"/>
                <w:szCs w:val="16"/>
              </w:rPr>
            </w:pPr>
            <w:r w:rsidRPr="00486AEA">
              <w:rPr>
                <w:sz w:val="16"/>
              </w:rPr>
              <w:t>3 501</w:t>
            </w:r>
          </w:p>
        </w:tc>
      </w:tr>
      <w:tr w:rsidR="00F40E87" w:rsidRPr="00486AEA" w:rsidTr="00BB3F3E">
        <w:tc>
          <w:tcPr>
            <w:tcW w:w="445" w:type="dxa"/>
            <w:tcBorders>
              <w:top w:val="nil"/>
              <w:left w:val="single" w:sz="4" w:space="0" w:color="auto"/>
              <w:bottom w:val="nil"/>
              <w:right w:val="nil"/>
            </w:tcBorders>
            <w:shd w:val="clear" w:color="000000" w:fill="FFFFFF"/>
            <w:noWrap/>
          </w:tcPr>
          <w:p w:rsidR="00F40E87" w:rsidRPr="00486AEA" w:rsidRDefault="00F40E87" w:rsidP="001A5BF9">
            <w:pPr>
              <w:spacing w:before="60" w:after="60"/>
              <w:jc w:val="center"/>
              <w:rPr>
                <w:rFonts w:cs="Arial"/>
                <w:sz w:val="16"/>
                <w:szCs w:val="16"/>
              </w:rPr>
            </w:pPr>
            <w:proofErr w:type="spellStart"/>
            <w:r w:rsidRPr="00486AEA">
              <w:rPr>
                <w:sz w:val="16"/>
              </w:rPr>
              <w:t>I.2</w:t>
            </w:r>
            <w:proofErr w:type="spellEnd"/>
          </w:p>
        </w:tc>
        <w:tc>
          <w:tcPr>
            <w:tcW w:w="5174" w:type="dxa"/>
            <w:tcBorders>
              <w:top w:val="nil"/>
              <w:left w:val="nil"/>
              <w:bottom w:val="nil"/>
            </w:tcBorders>
            <w:shd w:val="clear" w:color="000000" w:fill="FFFFFF"/>
          </w:tcPr>
          <w:p w:rsidR="00F40E87" w:rsidRPr="00486AEA" w:rsidRDefault="00F40E87" w:rsidP="001A5BF9">
            <w:pPr>
              <w:spacing w:before="60" w:after="60"/>
              <w:rPr>
                <w:rFonts w:cs="Arial"/>
                <w:sz w:val="16"/>
                <w:szCs w:val="16"/>
              </w:rPr>
            </w:pPr>
            <w:r w:rsidRPr="00486AEA">
              <w:rPr>
                <w:sz w:val="16"/>
              </w:rPr>
              <w:t>Protection renforcée des emblèmes d</w:t>
            </w:r>
            <w:r w:rsidR="00A20444" w:rsidRPr="00486AEA">
              <w:rPr>
                <w:sz w:val="16"/>
              </w:rPr>
              <w:t>’</w:t>
            </w:r>
            <w:r w:rsidRPr="00486AEA">
              <w:rPr>
                <w:sz w:val="16"/>
              </w:rPr>
              <w:t>États et des noms et emblèmes d</w:t>
            </w:r>
            <w:r w:rsidR="00A20444" w:rsidRPr="00486AEA">
              <w:rPr>
                <w:sz w:val="16"/>
              </w:rPr>
              <w:t>’</w:t>
            </w:r>
            <w:r w:rsidRPr="00486AEA">
              <w:rPr>
                <w:sz w:val="16"/>
              </w:rPr>
              <w:t>organisations internationales intergouvernementales</w:t>
            </w:r>
          </w:p>
        </w:tc>
        <w:tc>
          <w:tcPr>
            <w:tcW w:w="1275" w:type="dxa"/>
            <w:shd w:val="clear" w:color="000000" w:fill="FFFFFF"/>
            <w:vAlign w:val="center"/>
          </w:tcPr>
          <w:p w:rsidR="00F40E87" w:rsidRPr="00486AEA" w:rsidRDefault="00F40E87" w:rsidP="001A5BF9">
            <w:pPr>
              <w:spacing w:before="60" w:after="60"/>
              <w:jc w:val="right"/>
              <w:rPr>
                <w:rFonts w:cs="Arial"/>
                <w:sz w:val="16"/>
                <w:szCs w:val="16"/>
              </w:rPr>
            </w:pPr>
            <w:r w:rsidRPr="00486AEA">
              <w:rPr>
                <w:sz w:val="16"/>
              </w:rPr>
              <w:t>556</w:t>
            </w:r>
          </w:p>
        </w:tc>
        <w:tc>
          <w:tcPr>
            <w:tcW w:w="1276" w:type="dxa"/>
            <w:shd w:val="clear" w:color="000000" w:fill="FFFFFF"/>
            <w:vAlign w:val="center"/>
          </w:tcPr>
          <w:p w:rsidR="00F40E87" w:rsidRPr="00486AEA" w:rsidRDefault="00F40E87" w:rsidP="001A5BF9">
            <w:pPr>
              <w:spacing w:before="60" w:after="60"/>
              <w:jc w:val="right"/>
              <w:rPr>
                <w:rFonts w:cs="Arial"/>
                <w:sz w:val="16"/>
                <w:szCs w:val="16"/>
              </w:rPr>
            </w:pPr>
            <w:r w:rsidRPr="00486AEA">
              <w:rPr>
                <w:sz w:val="16"/>
              </w:rPr>
              <w:t>679</w:t>
            </w:r>
          </w:p>
        </w:tc>
        <w:tc>
          <w:tcPr>
            <w:tcW w:w="1276" w:type="dxa"/>
            <w:tcBorders>
              <w:right w:val="single" w:sz="4" w:space="0" w:color="auto"/>
            </w:tcBorders>
            <w:shd w:val="clear" w:color="000000" w:fill="FFFFFF"/>
            <w:vAlign w:val="center"/>
          </w:tcPr>
          <w:p w:rsidR="00F40E87" w:rsidRPr="00486AEA" w:rsidRDefault="00F40E87" w:rsidP="001A5BF9">
            <w:pPr>
              <w:spacing w:before="60" w:after="60"/>
              <w:jc w:val="right"/>
              <w:rPr>
                <w:rFonts w:cs="Arial"/>
                <w:sz w:val="16"/>
                <w:szCs w:val="16"/>
              </w:rPr>
            </w:pPr>
            <w:r w:rsidRPr="00486AEA">
              <w:rPr>
                <w:sz w:val="16"/>
              </w:rPr>
              <w:t>867</w:t>
            </w:r>
          </w:p>
        </w:tc>
      </w:tr>
      <w:tr w:rsidR="00F40E87" w:rsidRPr="00486AEA" w:rsidTr="00BB3F3E">
        <w:tc>
          <w:tcPr>
            <w:tcW w:w="445" w:type="dxa"/>
            <w:tcBorders>
              <w:top w:val="nil"/>
              <w:left w:val="single" w:sz="4" w:space="0" w:color="auto"/>
              <w:bottom w:val="single" w:sz="4" w:space="0" w:color="auto"/>
              <w:right w:val="nil"/>
            </w:tcBorders>
            <w:shd w:val="clear" w:color="000000" w:fill="FFFFFF"/>
            <w:noWrap/>
          </w:tcPr>
          <w:p w:rsidR="00F40E87" w:rsidRPr="00486AEA" w:rsidRDefault="00F40E87" w:rsidP="001A5BF9">
            <w:pPr>
              <w:spacing w:before="60" w:after="60"/>
              <w:jc w:val="center"/>
              <w:rPr>
                <w:rFonts w:cs="Arial"/>
                <w:sz w:val="16"/>
                <w:szCs w:val="16"/>
              </w:rPr>
            </w:pPr>
            <w:proofErr w:type="spellStart"/>
            <w:r w:rsidRPr="00486AEA">
              <w:rPr>
                <w:sz w:val="16"/>
              </w:rPr>
              <w:t>I.4</w:t>
            </w:r>
            <w:proofErr w:type="spellEnd"/>
          </w:p>
        </w:tc>
        <w:tc>
          <w:tcPr>
            <w:tcW w:w="5174" w:type="dxa"/>
            <w:tcBorders>
              <w:top w:val="nil"/>
              <w:left w:val="nil"/>
              <w:bottom w:val="single" w:sz="4" w:space="0" w:color="auto"/>
            </w:tcBorders>
            <w:shd w:val="clear" w:color="000000" w:fill="FFFFFF"/>
          </w:tcPr>
          <w:p w:rsidR="00F40E87" w:rsidRPr="00486AEA" w:rsidRDefault="00F40E87" w:rsidP="001A5BF9">
            <w:pPr>
              <w:spacing w:before="60" w:after="60"/>
              <w:rPr>
                <w:rFonts w:cs="Arial"/>
                <w:sz w:val="16"/>
                <w:szCs w:val="16"/>
              </w:rPr>
            </w:pPr>
            <w:r w:rsidRPr="00486AEA">
              <w:rPr>
                <w:sz w:val="16"/>
              </w:rPr>
              <w:t>Cadres législatifs, réglementaires et politiques de propriété intellectuelle adaptés et équilibrés</w:t>
            </w:r>
          </w:p>
        </w:tc>
        <w:tc>
          <w:tcPr>
            <w:tcW w:w="1275" w:type="dxa"/>
            <w:tcBorders>
              <w:bottom w:val="single" w:sz="4" w:space="0" w:color="auto"/>
            </w:tcBorders>
            <w:shd w:val="clear" w:color="000000" w:fill="FFFFFF"/>
            <w:vAlign w:val="center"/>
          </w:tcPr>
          <w:p w:rsidR="00F40E87" w:rsidRPr="00486AEA" w:rsidRDefault="00F40E87" w:rsidP="001A5BF9">
            <w:pPr>
              <w:spacing w:before="60" w:after="60"/>
              <w:jc w:val="right"/>
              <w:rPr>
                <w:rFonts w:cs="Arial"/>
                <w:sz w:val="16"/>
                <w:szCs w:val="16"/>
              </w:rPr>
            </w:pPr>
            <w:r w:rsidRPr="00486AEA">
              <w:rPr>
                <w:sz w:val="16"/>
              </w:rPr>
              <w:t xml:space="preserve">1 744 </w:t>
            </w:r>
          </w:p>
        </w:tc>
        <w:tc>
          <w:tcPr>
            <w:tcW w:w="1276" w:type="dxa"/>
            <w:tcBorders>
              <w:bottom w:val="single" w:sz="4" w:space="0" w:color="auto"/>
            </w:tcBorders>
            <w:shd w:val="clear" w:color="000000" w:fill="FFFFFF"/>
            <w:vAlign w:val="center"/>
          </w:tcPr>
          <w:p w:rsidR="00F40E87" w:rsidRPr="00486AEA" w:rsidRDefault="00F40E87" w:rsidP="001A5BF9">
            <w:pPr>
              <w:spacing w:before="60" w:after="60"/>
              <w:jc w:val="right"/>
              <w:rPr>
                <w:rFonts w:cs="Arial"/>
                <w:sz w:val="16"/>
                <w:szCs w:val="16"/>
              </w:rPr>
            </w:pPr>
            <w:r w:rsidRPr="00486AEA">
              <w:rPr>
                <w:sz w:val="16"/>
              </w:rPr>
              <w:t>1 660</w:t>
            </w:r>
          </w:p>
        </w:tc>
        <w:tc>
          <w:tcPr>
            <w:tcW w:w="1276" w:type="dxa"/>
            <w:tcBorders>
              <w:bottom w:val="single" w:sz="4" w:space="0" w:color="auto"/>
              <w:right w:val="single" w:sz="4" w:space="0" w:color="auto"/>
            </w:tcBorders>
            <w:shd w:val="clear" w:color="000000" w:fill="FFFFFF"/>
            <w:vAlign w:val="center"/>
          </w:tcPr>
          <w:p w:rsidR="00F40E87" w:rsidRPr="00486AEA" w:rsidRDefault="00F40E87" w:rsidP="001A5BF9">
            <w:pPr>
              <w:spacing w:before="60" w:after="60"/>
              <w:jc w:val="right"/>
              <w:rPr>
                <w:rFonts w:cs="Arial"/>
                <w:sz w:val="16"/>
                <w:szCs w:val="16"/>
              </w:rPr>
            </w:pPr>
            <w:r w:rsidRPr="00486AEA">
              <w:rPr>
                <w:sz w:val="16"/>
              </w:rPr>
              <w:t>944</w:t>
            </w:r>
          </w:p>
        </w:tc>
      </w:tr>
      <w:tr w:rsidR="00F40E87" w:rsidRPr="00486AEA" w:rsidTr="00BB3F3E">
        <w:tc>
          <w:tcPr>
            <w:tcW w:w="445" w:type="dxa"/>
            <w:tcBorders>
              <w:top w:val="nil"/>
              <w:left w:val="single" w:sz="4" w:space="0" w:color="auto"/>
              <w:bottom w:val="single" w:sz="4" w:space="0" w:color="auto"/>
              <w:right w:val="nil"/>
            </w:tcBorders>
            <w:shd w:val="clear" w:color="000000" w:fill="CCFFFF"/>
            <w:noWrap/>
            <w:vAlign w:val="center"/>
          </w:tcPr>
          <w:p w:rsidR="00F40E87" w:rsidRPr="00486AEA" w:rsidRDefault="00F40E87" w:rsidP="001A5BF9">
            <w:pPr>
              <w:spacing w:before="120" w:after="120"/>
              <w:rPr>
                <w:rFonts w:cs="Arial"/>
                <w:b/>
                <w:bCs/>
                <w:sz w:val="16"/>
                <w:szCs w:val="16"/>
              </w:rPr>
            </w:pPr>
            <w:r w:rsidRPr="00486AEA">
              <w:rPr>
                <w:b/>
                <w:sz w:val="16"/>
              </w:rPr>
              <w:t> </w:t>
            </w:r>
          </w:p>
        </w:tc>
        <w:tc>
          <w:tcPr>
            <w:tcW w:w="5174" w:type="dxa"/>
            <w:tcBorders>
              <w:top w:val="nil"/>
              <w:left w:val="nil"/>
              <w:bottom w:val="single" w:sz="4" w:space="0" w:color="auto"/>
              <w:right w:val="nil"/>
            </w:tcBorders>
            <w:shd w:val="clear" w:color="000000" w:fill="CCFFFF"/>
            <w:noWrap/>
            <w:vAlign w:val="center"/>
          </w:tcPr>
          <w:p w:rsidR="00F40E87" w:rsidRPr="00486AEA" w:rsidRDefault="00F40E87" w:rsidP="001A5BF9">
            <w:pPr>
              <w:spacing w:before="120" w:after="120"/>
              <w:rPr>
                <w:rFonts w:cs="Arial"/>
                <w:b/>
                <w:bCs/>
                <w:sz w:val="16"/>
                <w:szCs w:val="16"/>
              </w:rPr>
            </w:pPr>
            <w:r w:rsidRPr="00486AEA">
              <w:rPr>
                <w:b/>
                <w:sz w:val="16"/>
              </w:rPr>
              <w:t>Total</w:t>
            </w:r>
          </w:p>
        </w:tc>
        <w:tc>
          <w:tcPr>
            <w:tcW w:w="1275" w:type="dxa"/>
            <w:tcBorders>
              <w:top w:val="nil"/>
              <w:left w:val="single" w:sz="4" w:space="0" w:color="auto"/>
              <w:bottom w:val="single" w:sz="4" w:space="0" w:color="auto"/>
              <w:right w:val="single" w:sz="4" w:space="0" w:color="auto"/>
            </w:tcBorders>
            <w:shd w:val="clear" w:color="000000" w:fill="CCFFFF"/>
            <w:vAlign w:val="center"/>
          </w:tcPr>
          <w:p w:rsidR="00F40E87" w:rsidRPr="00486AEA" w:rsidRDefault="00F40E87" w:rsidP="001A5BF9">
            <w:pPr>
              <w:spacing w:before="120" w:after="120"/>
              <w:jc w:val="right"/>
              <w:rPr>
                <w:rFonts w:cs="Arial"/>
                <w:b/>
                <w:bCs/>
                <w:sz w:val="16"/>
                <w:szCs w:val="16"/>
              </w:rPr>
            </w:pPr>
            <w:r w:rsidRPr="00486AEA">
              <w:rPr>
                <w:b/>
                <w:sz w:val="16"/>
              </w:rPr>
              <w:t>6 053</w:t>
            </w:r>
          </w:p>
        </w:tc>
        <w:tc>
          <w:tcPr>
            <w:tcW w:w="1276" w:type="dxa"/>
            <w:tcBorders>
              <w:top w:val="nil"/>
              <w:left w:val="nil"/>
              <w:bottom w:val="single" w:sz="4" w:space="0" w:color="auto"/>
              <w:right w:val="single" w:sz="4" w:space="0" w:color="auto"/>
            </w:tcBorders>
            <w:shd w:val="clear" w:color="000000" w:fill="CCFFFF"/>
            <w:noWrap/>
            <w:vAlign w:val="center"/>
          </w:tcPr>
          <w:p w:rsidR="00F40E87" w:rsidRPr="00486AEA" w:rsidRDefault="00F40E87" w:rsidP="001A5BF9">
            <w:pPr>
              <w:spacing w:before="120" w:after="120"/>
              <w:jc w:val="right"/>
              <w:rPr>
                <w:rFonts w:cs="Arial"/>
                <w:b/>
                <w:bCs/>
                <w:sz w:val="16"/>
                <w:szCs w:val="16"/>
              </w:rPr>
            </w:pPr>
            <w:r w:rsidRPr="00486AEA">
              <w:rPr>
                <w:b/>
                <w:sz w:val="16"/>
              </w:rPr>
              <w:t>5 394</w:t>
            </w:r>
          </w:p>
        </w:tc>
        <w:tc>
          <w:tcPr>
            <w:tcW w:w="1276" w:type="dxa"/>
            <w:tcBorders>
              <w:top w:val="nil"/>
              <w:left w:val="nil"/>
              <w:bottom w:val="single" w:sz="4" w:space="0" w:color="auto"/>
              <w:right w:val="single" w:sz="4" w:space="0" w:color="auto"/>
            </w:tcBorders>
            <w:shd w:val="clear" w:color="000000" w:fill="CCFFFF"/>
            <w:vAlign w:val="center"/>
          </w:tcPr>
          <w:p w:rsidR="00F40E87" w:rsidRPr="00486AEA" w:rsidRDefault="00F40E87" w:rsidP="001A5BF9">
            <w:pPr>
              <w:spacing w:before="120" w:after="120"/>
              <w:jc w:val="right"/>
              <w:rPr>
                <w:rFonts w:cs="Arial"/>
                <w:b/>
                <w:bCs/>
                <w:sz w:val="16"/>
                <w:szCs w:val="16"/>
              </w:rPr>
            </w:pPr>
            <w:r w:rsidRPr="00486AEA">
              <w:rPr>
                <w:b/>
                <w:sz w:val="16"/>
              </w:rPr>
              <w:t>5 311</w:t>
            </w:r>
          </w:p>
        </w:tc>
      </w:tr>
    </w:tbl>
    <w:p w:rsidR="00D42474" w:rsidRDefault="00D42474" w:rsidP="001A5BF9">
      <w:pPr>
        <w:rPr>
          <w:sz w:val="16"/>
          <w:szCs w:val="16"/>
        </w:rPr>
      </w:pPr>
    </w:p>
    <w:p w:rsidR="00D42474" w:rsidRDefault="00D42474" w:rsidP="001A5BF9">
      <w:pPr>
        <w:pStyle w:val="NormalWeb"/>
        <w:spacing w:before="0" w:beforeAutospacing="0" w:after="0" w:afterAutospacing="0"/>
        <w:jc w:val="center"/>
        <w:rPr>
          <w:color w:val="000000"/>
          <w:sz w:val="16"/>
          <w:szCs w:val="16"/>
        </w:rPr>
      </w:pPr>
    </w:p>
    <w:p w:rsidR="00D42474" w:rsidRDefault="00F40E87" w:rsidP="001A5BF9">
      <w:pPr>
        <w:pStyle w:val="NormalWeb"/>
        <w:spacing w:before="0" w:beforeAutospacing="0" w:after="0" w:afterAutospacing="0"/>
        <w:jc w:val="center"/>
        <w:rPr>
          <w:color w:val="000000"/>
          <w:sz w:val="20"/>
        </w:rPr>
      </w:pPr>
      <w:r w:rsidRPr="005C7CCE">
        <w:rPr>
          <w:color w:val="000000"/>
          <w:sz w:val="20"/>
        </w:rPr>
        <w:t xml:space="preserve">Budget et dépenses effectives (dépenses de </w:t>
      </w:r>
      <w:proofErr w:type="gramStart"/>
      <w:r w:rsidRPr="005C7CCE">
        <w:rPr>
          <w:color w:val="000000"/>
          <w:sz w:val="20"/>
        </w:rPr>
        <w:t>personnel et autres dépenses</w:t>
      </w:r>
      <w:proofErr w:type="gramEnd"/>
      <w:r w:rsidRPr="005C7CCE">
        <w:rPr>
          <w:color w:val="000000"/>
          <w:sz w:val="20"/>
        </w:rPr>
        <w:t>)</w:t>
      </w:r>
    </w:p>
    <w:p w:rsidR="00D42474" w:rsidRDefault="00F40E87" w:rsidP="001A5BF9">
      <w:pPr>
        <w:pStyle w:val="NormalWeb"/>
        <w:spacing w:before="0" w:beforeAutospacing="0" w:after="0" w:afterAutospacing="0"/>
        <w:jc w:val="center"/>
        <w:rPr>
          <w:sz w:val="20"/>
          <w:szCs w:val="20"/>
        </w:rPr>
      </w:pPr>
      <w:r w:rsidRPr="00486AEA">
        <w:rPr>
          <w:i/>
          <w:sz w:val="20"/>
        </w:rPr>
        <w:t>(</w:t>
      </w:r>
      <w:proofErr w:type="gramStart"/>
      <w:r w:rsidRPr="00486AEA">
        <w:rPr>
          <w:i/>
          <w:sz w:val="20"/>
        </w:rPr>
        <w:t>en</w:t>
      </w:r>
      <w:proofErr w:type="gramEnd"/>
      <w:r w:rsidRPr="00486AEA">
        <w:rPr>
          <w:i/>
          <w:sz w:val="20"/>
        </w:rPr>
        <w:t xml:space="preserve"> milliers de francs suisses)</w:t>
      </w:r>
    </w:p>
    <w:p w:rsidR="00F40E87" w:rsidRPr="00486AEA" w:rsidRDefault="00F40E87" w:rsidP="001A5BF9">
      <w:pPr>
        <w:rPr>
          <w:sz w:val="16"/>
          <w:szCs w:val="16"/>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3"/>
        <w:gridCol w:w="1772"/>
        <w:gridCol w:w="1772"/>
        <w:gridCol w:w="1772"/>
        <w:gridCol w:w="1772"/>
      </w:tblGrid>
      <w:tr w:rsidR="00F40E87" w:rsidRPr="00486AEA" w:rsidTr="00BB3F3E">
        <w:trPr>
          <w:trHeight w:val="515"/>
        </w:trPr>
        <w:tc>
          <w:tcPr>
            <w:tcW w:w="2283"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F40E87" w:rsidRPr="00486AEA" w:rsidRDefault="00F40E87" w:rsidP="001A5BF9">
            <w:pPr>
              <w:spacing w:before="40" w:after="40"/>
              <w:rPr>
                <w:rFonts w:cs="Arial"/>
                <w:sz w:val="16"/>
                <w:szCs w:val="16"/>
              </w:rPr>
            </w:pPr>
            <w:r w:rsidRPr="00486AEA">
              <w:rPr>
                <w:sz w:val="16"/>
              </w:rPr>
              <w:t> </w:t>
            </w:r>
          </w:p>
        </w:tc>
        <w:tc>
          <w:tcPr>
            <w:tcW w:w="1772" w:type="dxa"/>
            <w:tcBorders>
              <w:top w:val="single" w:sz="4" w:space="0" w:color="auto"/>
              <w:left w:val="single" w:sz="4" w:space="0" w:color="auto"/>
              <w:bottom w:val="single" w:sz="4" w:space="0" w:color="auto"/>
              <w:right w:val="single" w:sz="4" w:space="0" w:color="auto"/>
            </w:tcBorders>
            <w:shd w:val="clear" w:color="000000" w:fill="CCFFFF"/>
            <w:vAlign w:val="center"/>
          </w:tcPr>
          <w:p w:rsidR="00F40E87" w:rsidRPr="00486AEA" w:rsidRDefault="00F40E87" w:rsidP="001A5BF9">
            <w:pPr>
              <w:spacing w:before="40" w:after="40"/>
              <w:jc w:val="center"/>
              <w:rPr>
                <w:rFonts w:cs="Arial"/>
                <w:bCs/>
                <w:sz w:val="16"/>
                <w:szCs w:val="16"/>
              </w:rPr>
            </w:pPr>
            <w:r w:rsidRPr="00486AEA">
              <w:rPr>
                <w:sz w:val="16"/>
              </w:rPr>
              <w:t>Budget</w:t>
            </w:r>
            <w:r w:rsidRPr="00486AEA">
              <w:br/>
            </w:r>
            <w:r w:rsidRPr="00486AEA">
              <w:rPr>
                <w:sz w:val="16"/>
              </w:rPr>
              <w:t>2012</w:t>
            </w:r>
            <w:r w:rsidR="002D6F2A" w:rsidRPr="00486AEA">
              <w:rPr>
                <w:sz w:val="16"/>
              </w:rPr>
              <w:noBreakHyphen/>
            </w:r>
            <w:r w:rsidRPr="00486AEA">
              <w:rPr>
                <w:sz w:val="16"/>
              </w:rPr>
              <w:t>2013</w:t>
            </w:r>
            <w:r w:rsidRPr="00486AEA">
              <w:br/>
            </w:r>
            <w:r w:rsidRPr="00486AEA">
              <w:rPr>
                <w:sz w:val="16"/>
              </w:rPr>
              <w:t>approuvé</w:t>
            </w:r>
          </w:p>
        </w:tc>
        <w:tc>
          <w:tcPr>
            <w:tcW w:w="1772" w:type="dxa"/>
            <w:tcBorders>
              <w:top w:val="single" w:sz="4" w:space="0" w:color="auto"/>
              <w:left w:val="single" w:sz="4" w:space="0" w:color="auto"/>
              <w:bottom w:val="single" w:sz="4" w:space="0" w:color="auto"/>
              <w:right w:val="single" w:sz="4" w:space="0" w:color="auto"/>
            </w:tcBorders>
            <w:shd w:val="clear" w:color="000000" w:fill="CCFFFF"/>
            <w:vAlign w:val="center"/>
          </w:tcPr>
          <w:p w:rsidR="00F40E87" w:rsidRPr="00486AEA" w:rsidRDefault="00F40E87" w:rsidP="001A5BF9">
            <w:pPr>
              <w:spacing w:before="40" w:after="40"/>
              <w:jc w:val="center"/>
              <w:rPr>
                <w:rFonts w:cs="Arial"/>
                <w:bCs/>
                <w:sz w:val="16"/>
                <w:szCs w:val="16"/>
              </w:rPr>
            </w:pPr>
            <w:r w:rsidRPr="00486AEA">
              <w:rPr>
                <w:sz w:val="16"/>
              </w:rPr>
              <w:t>Budget</w:t>
            </w:r>
            <w:r w:rsidRPr="00486AEA">
              <w:br/>
            </w:r>
            <w:r w:rsidRPr="00486AEA">
              <w:rPr>
                <w:sz w:val="16"/>
              </w:rPr>
              <w:t>2012</w:t>
            </w:r>
            <w:r w:rsidR="002D6F2A" w:rsidRPr="00486AEA">
              <w:rPr>
                <w:sz w:val="16"/>
              </w:rPr>
              <w:noBreakHyphen/>
            </w:r>
            <w:r w:rsidRPr="00486AEA">
              <w:rPr>
                <w:sz w:val="16"/>
              </w:rPr>
              <w:t>2013</w:t>
            </w:r>
            <w:r w:rsidRPr="00486AEA">
              <w:br/>
            </w:r>
            <w:r w:rsidRPr="00486AEA">
              <w:rPr>
                <w:sz w:val="16"/>
              </w:rPr>
              <w:t>après virements</w:t>
            </w:r>
          </w:p>
        </w:tc>
        <w:tc>
          <w:tcPr>
            <w:tcW w:w="1772" w:type="dxa"/>
            <w:tcBorders>
              <w:top w:val="single" w:sz="4" w:space="0" w:color="auto"/>
              <w:left w:val="single" w:sz="4" w:space="0" w:color="auto"/>
              <w:bottom w:val="single" w:sz="4" w:space="0" w:color="auto"/>
              <w:right w:val="single" w:sz="4" w:space="0" w:color="auto"/>
            </w:tcBorders>
            <w:shd w:val="clear" w:color="000000" w:fill="CCFFFF"/>
            <w:vAlign w:val="center"/>
          </w:tcPr>
          <w:p w:rsidR="00F40E87" w:rsidRPr="00486AEA" w:rsidRDefault="00F40E87" w:rsidP="001A5BF9">
            <w:pPr>
              <w:spacing w:before="40" w:after="40"/>
              <w:jc w:val="center"/>
              <w:rPr>
                <w:rFonts w:cs="Arial"/>
                <w:bCs/>
                <w:sz w:val="16"/>
                <w:szCs w:val="16"/>
              </w:rPr>
            </w:pPr>
            <w:r w:rsidRPr="00486AEA">
              <w:rPr>
                <w:sz w:val="16"/>
              </w:rPr>
              <w:t>Dépenses</w:t>
            </w:r>
            <w:r w:rsidRPr="00486AEA">
              <w:br/>
            </w:r>
            <w:r w:rsidRPr="00486AEA">
              <w:rPr>
                <w:sz w:val="16"/>
              </w:rPr>
              <w:t>2012</w:t>
            </w:r>
            <w:r w:rsidR="002D6F2A" w:rsidRPr="00486AEA">
              <w:rPr>
                <w:sz w:val="16"/>
              </w:rPr>
              <w:noBreakHyphen/>
            </w:r>
            <w:r w:rsidRPr="00486AEA">
              <w:rPr>
                <w:sz w:val="16"/>
              </w:rPr>
              <w:t>2013</w:t>
            </w:r>
          </w:p>
        </w:tc>
        <w:tc>
          <w:tcPr>
            <w:tcW w:w="1772" w:type="dxa"/>
            <w:tcBorders>
              <w:top w:val="single" w:sz="4" w:space="0" w:color="auto"/>
              <w:left w:val="single" w:sz="4" w:space="0" w:color="auto"/>
              <w:bottom w:val="single" w:sz="4" w:space="0" w:color="auto"/>
              <w:right w:val="single" w:sz="4" w:space="0" w:color="auto"/>
            </w:tcBorders>
            <w:shd w:val="clear" w:color="000000" w:fill="CCFFFF"/>
            <w:vAlign w:val="center"/>
          </w:tcPr>
          <w:p w:rsidR="00F40E87" w:rsidRPr="00486AEA" w:rsidRDefault="00F40E87" w:rsidP="001A5BF9">
            <w:pPr>
              <w:spacing w:before="40" w:after="40"/>
              <w:jc w:val="center"/>
              <w:rPr>
                <w:rFonts w:cs="Arial"/>
                <w:bCs/>
                <w:sz w:val="16"/>
                <w:szCs w:val="16"/>
              </w:rPr>
            </w:pPr>
            <w:r w:rsidRPr="00486AEA">
              <w:rPr>
                <w:sz w:val="16"/>
              </w:rPr>
              <w:t>Taux d</w:t>
            </w:r>
            <w:r w:rsidR="00A20444" w:rsidRPr="00486AEA">
              <w:rPr>
                <w:sz w:val="16"/>
              </w:rPr>
              <w:t>’</w:t>
            </w:r>
            <w:r w:rsidRPr="00486AEA">
              <w:rPr>
                <w:sz w:val="16"/>
              </w:rPr>
              <w:t xml:space="preserve">utilisation </w:t>
            </w:r>
            <w:r w:rsidR="00BD43F2" w:rsidRPr="00486AEA">
              <w:rPr>
                <w:sz w:val="16"/>
              </w:rPr>
              <w:t>(</w:t>
            </w:r>
            <w:r w:rsidR="007E442D" w:rsidRPr="00486AEA">
              <w:rPr>
                <w:sz w:val="16"/>
              </w:rPr>
              <w:t>%</w:t>
            </w:r>
            <w:r w:rsidRPr="00486AEA">
              <w:rPr>
                <w:sz w:val="16"/>
              </w:rPr>
              <w:t>)</w:t>
            </w:r>
          </w:p>
        </w:tc>
      </w:tr>
      <w:tr w:rsidR="00F40E87" w:rsidRPr="00486AEA" w:rsidTr="00BB3F3E">
        <w:trPr>
          <w:trHeight w:val="419"/>
        </w:trPr>
        <w:tc>
          <w:tcPr>
            <w:tcW w:w="2283" w:type="dxa"/>
            <w:shd w:val="clear" w:color="auto" w:fill="auto"/>
            <w:noWrap/>
            <w:vAlign w:val="center"/>
          </w:tcPr>
          <w:p w:rsidR="00F40E87" w:rsidRPr="00486AEA" w:rsidRDefault="00F40E87" w:rsidP="001A5BF9">
            <w:pPr>
              <w:spacing w:before="40" w:after="40"/>
              <w:rPr>
                <w:rFonts w:cs="Arial"/>
                <w:sz w:val="16"/>
                <w:szCs w:val="16"/>
              </w:rPr>
            </w:pPr>
            <w:r w:rsidRPr="00486AEA">
              <w:rPr>
                <w:sz w:val="16"/>
              </w:rPr>
              <w:t>Dépenses de personnel</w:t>
            </w:r>
            <w:r w:rsidR="004F3E42" w:rsidRPr="00486AEA">
              <w:rPr>
                <w:sz w:val="16"/>
              </w:rPr>
              <w:t xml:space="preserve"> </w:t>
            </w:r>
          </w:p>
        </w:tc>
        <w:tc>
          <w:tcPr>
            <w:tcW w:w="1772" w:type="dxa"/>
            <w:shd w:val="clear" w:color="auto" w:fill="auto"/>
            <w:vAlign w:val="center"/>
          </w:tcPr>
          <w:p w:rsidR="00F40E87" w:rsidRPr="00486AEA" w:rsidRDefault="00F40E87" w:rsidP="001A5BF9">
            <w:pPr>
              <w:spacing w:before="40" w:after="40"/>
              <w:jc w:val="center"/>
              <w:rPr>
                <w:rFonts w:cs="Arial"/>
                <w:sz w:val="16"/>
                <w:szCs w:val="16"/>
              </w:rPr>
            </w:pPr>
            <w:r w:rsidRPr="00486AEA">
              <w:rPr>
                <w:sz w:val="16"/>
              </w:rPr>
              <w:t>3 934</w:t>
            </w:r>
          </w:p>
        </w:tc>
        <w:tc>
          <w:tcPr>
            <w:tcW w:w="1772" w:type="dxa"/>
            <w:shd w:val="clear" w:color="auto" w:fill="auto"/>
            <w:vAlign w:val="center"/>
          </w:tcPr>
          <w:p w:rsidR="00F40E87" w:rsidRPr="00486AEA" w:rsidRDefault="00F40E87" w:rsidP="001A5BF9">
            <w:pPr>
              <w:spacing w:before="40" w:after="40"/>
              <w:jc w:val="center"/>
              <w:rPr>
                <w:rFonts w:cs="Arial"/>
                <w:sz w:val="16"/>
                <w:szCs w:val="16"/>
              </w:rPr>
            </w:pPr>
            <w:r w:rsidRPr="00486AEA">
              <w:rPr>
                <w:sz w:val="16"/>
              </w:rPr>
              <w:t>3 995</w:t>
            </w:r>
          </w:p>
        </w:tc>
        <w:tc>
          <w:tcPr>
            <w:tcW w:w="1772" w:type="dxa"/>
            <w:shd w:val="clear" w:color="auto" w:fill="auto"/>
            <w:vAlign w:val="center"/>
          </w:tcPr>
          <w:p w:rsidR="00F40E87" w:rsidRPr="00486AEA" w:rsidRDefault="00F40E87" w:rsidP="001A5BF9">
            <w:pPr>
              <w:spacing w:before="40" w:after="40"/>
              <w:jc w:val="center"/>
              <w:rPr>
                <w:rFonts w:cs="Arial"/>
                <w:sz w:val="16"/>
                <w:szCs w:val="16"/>
              </w:rPr>
            </w:pPr>
            <w:r w:rsidRPr="00486AEA">
              <w:rPr>
                <w:sz w:val="16"/>
              </w:rPr>
              <w:t>3 995</w:t>
            </w:r>
          </w:p>
        </w:tc>
        <w:tc>
          <w:tcPr>
            <w:tcW w:w="1772" w:type="dxa"/>
            <w:shd w:val="clear" w:color="auto" w:fill="auto"/>
            <w:vAlign w:val="center"/>
          </w:tcPr>
          <w:p w:rsidR="00F40E87" w:rsidRPr="00486AEA" w:rsidRDefault="00F40E87" w:rsidP="001A5BF9">
            <w:pPr>
              <w:spacing w:before="40" w:after="40"/>
              <w:jc w:val="center"/>
              <w:rPr>
                <w:rFonts w:cs="Arial"/>
                <w:sz w:val="16"/>
                <w:szCs w:val="16"/>
              </w:rPr>
            </w:pPr>
            <w:r w:rsidRPr="00486AEA">
              <w:rPr>
                <w:sz w:val="16"/>
              </w:rPr>
              <w:t>100</w:t>
            </w:r>
            <w:r w:rsidR="007E442D" w:rsidRPr="00486AEA">
              <w:rPr>
                <w:sz w:val="16"/>
              </w:rPr>
              <w:t>%</w:t>
            </w:r>
          </w:p>
        </w:tc>
      </w:tr>
      <w:tr w:rsidR="00F40E87" w:rsidRPr="00486AEA" w:rsidTr="00BB3F3E">
        <w:trPr>
          <w:trHeight w:val="547"/>
        </w:trPr>
        <w:tc>
          <w:tcPr>
            <w:tcW w:w="2283" w:type="dxa"/>
            <w:shd w:val="clear" w:color="auto" w:fill="auto"/>
            <w:noWrap/>
            <w:vAlign w:val="center"/>
          </w:tcPr>
          <w:p w:rsidR="00F40E87" w:rsidRPr="00486AEA" w:rsidRDefault="00F40E87" w:rsidP="001A5BF9">
            <w:pPr>
              <w:spacing w:before="40" w:after="40"/>
              <w:rPr>
                <w:rFonts w:cs="Arial"/>
                <w:sz w:val="16"/>
                <w:szCs w:val="16"/>
              </w:rPr>
            </w:pPr>
            <w:r w:rsidRPr="00486AEA">
              <w:rPr>
                <w:sz w:val="16"/>
              </w:rPr>
              <w:t xml:space="preserve">Autres dépenses </w:t>
            </w:r>
          </w:p>
        </w:tc>
        <w:tc>
          <w:tcPr>
            <w:tcW w:w="1772" w:type="dxa"/>
            <w:shd w:val="clear" w:color="auto" w:fill="auto"/>
            <w:vAlign w:val="center"/>
          </w:tcPr>
          <w:p w:rsidR="00F40E87" w:rsidRPr="00486AEA" w:rsidRDefault="00F40E87" w:rsidP="001A5BF9">
            <w:pPr>
              <w:spacing w:before="40" w:after="40"/>
              <w:jc w:val="center"/>
              <w:rPr>
                <w:rFonts w:cs="Arial"/>
                <w:sz w:val="16"/>
                <w:szCs w:val="16"/>
              </w:rPr>
            </w:pPr>
            <w:r w:rsidRPr="00486AEA">
              <w:rPr>
                <w:sz w:val="16"/>
              </w:rPr>
              <w:t>2 119</w:t>
            </w:r>
          </w:p>
        </w:tc>
        <w:tc>
          <w:tcPr>
            <w:tcW w:w="1772" w:type="dxa"/>
            <w:shd w:val="clear" w:color="auto" w:fill="auto"/>
            <w:vAlign w:val="center"/>
          </w:tcPr>
          <w:p w:rsidR="00F40E87" w:rsidRPr="00486AEA" w:rsidRDefault="00F40E87" w:rsidP="001A5BF9">
            <w:pPr>
              <w:spacing w:before="40" w:after="40"/>
              <w:jc w:val="center"/>
              <w:rPr>
                <w:rFonts w:cs="Arial"/>
                <w:sz w:val="16"/>
                <w:szCs w:val="16"/>
              </w:rPr>
            </w:pPr>
            <w:r w:rsidRPr="00486AEA">
              <w:rPr>
                <w:sz w:val="16"/>
              </w:rPr>
              <w:t>1 399</w:t>
            </w:r>
          </w:p>
        </w:tc>
        <w:tc>
          <w:tcPr>
            <w:tcW w:w="1772" w:type="dxa"/>
            <w:shd w:val="clear" w:color="auto" w:fill="auto"/>
            <w:vAlign w:val="center"/>
          </w:tcPr>
          <w:p w:rsidR="00F40E87" w:rsidRPr="00486AEA" w:rsidRDefault="00F40E87" w:rsidP="001A5BF9">
            <w:pPr>
              <w:spacing w:before="40" w:after="40"/>
              <w:jc w:val="center"/>
              <w:rPr>
                <w:rFonts w:cs="Arial"/>
                <w:sz w:val="16"/>
                <w:szCs w:val="16"/>
              </w:rPr>
            </w:pPr>
            <w:r w:rsidRPr="00486AEA">
              <w:rPr>
                <w:sz w:val="16"/>
              </w:rPr>
              <w:t>1 316</w:t>
            </w:r>
          </w:p>
        </w:tc>
        <w:tc>
          <w:tcPr>
            <w:tcW w:w="1772" w:type="dxa"/>
            <w:shd w:val="clear" w:color="auto" w:fill="auto"/>
            <w:vAlign w:val="center"/>
          </w:tcPr>
          <w:p w:rsidR="00F40E87" w:rsidRPr="00486AEA" w:rsidRDefault="00F40E87" w:rsidP="001A5BF9">
            <w:pPr>
              <w:spacing w:before="40" w:after="40"/>
              <w:jc w:val="center"/>
              <w:rPr>
                <w:rFonts w:cs="Arial"/>
                <w:sz w:val="16"/>
                <w:szCs w:val="16"/>
              </w:rPr>
            </w:pPr>
            <w:r w:rsidRPr="00486AEA">
              <w:rPr>
                <w:sz w:val="16"/>
              </w:rPr>
              <w:t>94</w:t>
            </w:r>
            <w:r w:rsidR="007E442D" w:rsidRPr="00486AEA">
              <w:rPr>
                <w:sz w:val="16"/>
              </w:rPr>
              <w:t>%</w:t>
            </w:r>
          </w:p>
        </w:tc>
      </w:tr>
      <w:tr w:rsidR="00F40E87" w:rsidRPr="00486AEA" w:rsidTr="00BB3F3E">
        <w:trPr>
          <w:trHeight w:val="432"/>
        </w:trPr>
        <w:tc>
          <w:tcPr>
            <w:tcW w:w="2283" w:type="dxa"/>
            <w:shd w:val="clear" w:color="auto" w:fill="auto"/>
            <w:noWrap/>
            <w:vAlign w:val="center"/>
          </w:tcPr>
          <w:p w:rsidR="00F40E87" w:rsidRPr="00486AEA" w:rsidRDefault="00F40E87" w:rsidP="001A5BF9">
            <w:pPr>
              <w:spacing w:before="40" w:after="40"/>
              <w:jc w:val="right"/>
              <w:rPr>
                <w:rFonts w:cs="Arial"/>
                <w:b/>
                <w:bCs/>
                <w:sz w:val="16"/>
                <w:szCs w:val="16"/>
              </w:rPr>
            </w:pPr>
            <w:r w:rsidRPr="00486AEA">
              <w:rPr>
                <w:b/>
                <w:sz w:val="16"/>
              </w:rPr>
              <w:t>TOTAL</w:t>
            </w:r>
          </w:p>
        </w:tc>
        <w:tc>
          <w:tcPr>
            <w:tcW w:w="1772" w:type="dxa"/>
            <w:shd w:val="clear" w:color="auto" w:fill="auto"/>
            <w:vAlign w:val="center"/>
          </w:tcPr>
          <w:p w:rsidR="00F40E87" w:rsidRPr="00486AEA" w:rsidRDefault="00F40E87" w:rsidP="001A5BF9">
            <w:pPr>
              <w:spacing w:before="40" w:after="40"/>
              <w:jc w:val="center"/>
              <w:rPr>
                <w:rFonts w:cs="Arial"/>
                <w:b/>
                <w:bCs/>
                <w:sz w:val="16"/>
                <w:szCs w:val="16"/>
              </w:rPr>
            </w:pPr>
            <w:r w:rsidRPr="00486AEA">
              <w:rPr>
                <w:b/>
                <w:sz w:val="16"/>
              </w:rPr>
              <w:t>6 053</w:t>
            </w:r>
          </w:p>
        </w:tc>
        <w:tc>
          <w:tcPr>
            <w:tcW w:w="1772" w:type="dxa"/>
            <w:shd w:val="clear" w:color="auto" w:fill="auto"/>
            <w:vAlign w:val="center"/>
          </w:tcPr>
          <w:p w:rsidR="00F40E87" w:rsidRPr="00486AEA" w:rsidRDefault="00F40E87" w:rsidP="001A5BF9">
            <w:pPr>
              <w:spacing w:before="40" w:after="40"/>
              <w:jc w:val="center"/>
              <w:rPr>
                <w:rFonts w:cs="Arial"/>
                <w:b/>
                <w:bCs/>
                <w:sz w:val="16"/>
                <w:szCs w:val="16"/>
              </w:rPr>
            </w:pPr>
            <w:r w:rsidRPr="00486AEA">
              <w:rPr>
                <w:b/>
                <w:sz w:val="16"/>
              </w:rPr>
              <w:t>5 394</w:t>
            </w:r>
          </w:p>
        </w:tc>
        <w:tc>
          <w:tcPr>
            <w:tcW w:w="1772" w:type="dxa"/>
            <w:shd w:val="clear" w:color="auto" w:fill="auto"/>
            <w:vAlign w:val="center"/>
          </w:tcPr>
          <w:p w:rsidR="00F40E87" w:rsidRPr="00486AEA" w:rsidRDefault="00F40E87" w:rsidP="001A5BF9">
            <w:pPr>
              <w:spacing w:before="40" w:after="40"/>
              <w:jc w:val="center"/>
              <w:rPr>
                <w:rFonts w:cs="Arial"/>
                <w:b/>
                <w:bCs/>
                <w:sz w:val="16"/>
                <w:szCs w:val="16"/>
              </w:rPr>
            </w:pPr>
            <w:r w:rsidRPr="00486AEA">
              <w:rPr>
                <w:b/>
                <w:sz w:val="16"/>
              </w:rPr>
              <w:t>5 311</w:t>
            </w:r>
          </w:p>
        </w:tc>
        <w:tc>
          <w:tcPr>
            <w:tcW w:w="1772" w:type="dxa"/>
            <w:shd w:val="clear" w:color="auto" w:fill="auto"/>
            <w:vAlign w:val="center"/>
          </w:tcPr>
          <w:p w:rsidR="00F40E87" w:rsidRPr="00486AEA" w:rsidRDefault="00F40E87" w:rsidP="001A5BF9">
            <w:pPr>
              <w:spacing w:before="40" w:after="40"/>
              <w:jc w:val="center"/>
              <w:rPr>
                <w:rFonts w:cs="Arial"/>
                <w:b/>
                <w:bCs/>
                <w:sz w:val="16"/>
                <w:szCs w:val="16"/>
              </w:rPr>
            </w:pPr>
            <w:r w:rsidRPr="00486AEA">
              <w:rPr>
                <w:b/>
                <w:sz w:val="16"/>
              </w:rPr>
              <w:t>98</w:t>
            </w:r>
            <w:r w:rsidR="007E442D" w:rsidRPr="00486AEA">
              <w:rPr>
                <w:b/>
                <w:sz w:val="16"/>
              </w:rPr>
              <w:t>%</w:t>
            </w:r>
          </w:p>
        </w:tc>
      </w:tr>
    </w:tbl>
    <w:p w:rsidR="00D42474" w:rsidRDefault="00D42474" w:rsidP="001A5BF9"/>
    <w:p w:rsidR="00D42474" w:rsidRDefault="00F40E87" w:rsidP="00486AEA">
      <w:pPr>
        <w:autoSpaceDE w:val="0"/>
        <w:autoSpaceDN w:val="0"/>
        <w:rPr>
          <w:sz w:val="16"/>
          <w:szCs w:val="16"/>
        </w:rPr>
      </w:pPr>
      <w:proofErr w:type="gramStart"/>
      <w:r w:rsidRPr="00486AEA">
        <w:rPr>
          <w:sz w:val="16"/>
        </w:rPr>
        <w:t>NOTES</w:t>
      </w:r>
      <w:proofErr w:type="gramEnd"/>
      <w:r w:rsidR="0010442A" w:rsidRPr="00486AEA">
        <w:rPr>
          <w:sz w:val="16"/>
        </w:rPr>
        <w:t> </w:t>
      </w:r>
      <w:r w:rsidRPr="00486AEA">
        <w:rPr>
          <w:sz w:val="16"/>
        </w:rPr>
        <w:t>:</w:t>
      </w:r>
    </w:p>
    <w:p w:rsidR="00D42474" w:rsidRDefault="00D42474" w:rsidP="00486AEA">
      <w:pPr>
        <w:autoSpaceDE w:val="0"/>
        <w:autoSpaceDN w:val="0"/>
        <w:rPr>
          <w:sz w:val="16"/>
          <w:szCs w:val="16"/>
        </w:rPr>
      </w:pPr>
    </w:p>
    <w:p w:rsidR="00D42474" w:rsidRDefault="00F40E87" w:rsidP="00486AEA">
      <w:pPr>
        <w:autoSpaceDE w:val="0"/>
        <w:autoSpaceDN w:val="0"/>
        <w:rPr>
          <w:sz w:val="16"/>
          <w:szCs w:val="16"/>
        </w:rPr>
      </w:pPr>
      <w:r w:rsidRPr="00486AEA">
        <w:rPr>
          <w:sz w:val="16"/>
        </w:rPr>
        <w:t>1)</w:t>
      </w:r>
      <w:r w:rsidR="004F3E42" w:rsidRPr="00486AEA">
        <w:rPr>
          <w:sz w:val="16"/>
        </w:rPr>
        <w:t xml:space="preserve"> </w:t>
      </w:r>
      <w:r w:rsidR="00486AEA">
        <w:rPr>
          <w:sz w:val="16"/>
        </w:rPr>
        <w:tab/>
      </w:r>
      <w:r w:rsidRPr="00486AEA">
        <w:rPr>
          <w:sz w:val="16"/>
        </w:rPr>
        <w:t>Le budget restructuré après virements tient compte du budget ajusté des programmes après les virements réalisés au cours de l</w:t>
      </w:r>
      <w:r w:rsidR="00A20444" w:rsidRPr="00486AEA">
        <w:rPr>
          <w:sz w:val="16"/>
        </w:rPr>
        <w:t>’</w:t>
      </w:r>
      <w:r w:rsidRPr="00486AEA">
        <w:rPr>
          <w:sz w:val="16"/>
        </w:rPr>
        <w:t>exercice 2012</w:t>
      </w:r>
      <w:r w:rsidR="002D6F2A" w:rsidRPr="00486AEA">
        <w:rPr>
          <w:sz w:val="16"/>
        </w:rPr>
        <w:noBreakHyphen/>
      </w:r>
      <w:r w:rsidRPr="00486AEA">
        <w:rPr>
          <w:sz w:val="16"/>
        </w:rPr>
        <w:t xml:space="preserve">2013, conformément à </w:t>
      </w:r>
      <w:r w:rsidR="00E15133" w:rsidRPr="00486AEA">
        <w:rPr>
          <w:sz w:val="16"/>
        </w:rPr>
        <w:t>l</w:t>
      </w:r>
      <w:r w:rsidR="00A20444" w:rsidRPr="00486AEA">
        <w:rPr>
          <w:sz w:val="16"/>
        </w:rPr>
        <w:t>’</w:t>
      </w:r>
      <w:r w:rsidR="00E15133" w:rsidRPr="00486AEA">
        <w:rPr>
          <w:sz w:val="16"/>
        </w:rPr>
        <w:t>article 5.5</w:t>
      </w:r>
      <w:r w:rsidRPr="00486AEA">
        <w:rPr>
          <w:sz w:val="16"/>
        </w:rPr>
        <w:t xml:space="preserve"> du règlement d</w:t>
      </w:r>
      <w:r w:rsidR="00A20444" w:rsidRPr="00486AEA">
        <w:rPr>
          <w:sz w:val="16"/>
        </w:rPr>
        <w:t>’</w:t>
      </w:r>
      <w:r w:rsidRPr="00486AEA">
        <w:rPr>
          <w:sz w:val="16"/>
        </w:rPr>
        <w:t>exécution du Règlement financier.</w:t>
      </w:r>
    </w:p>
    <w:p w:rsidR="00D42474" w:rsidRDefault="00D42474" w:rsidP="00486AEA">
      <w:pPr>
        <w:autoSpaceDE w:val="0"/>
        <w:autoSpaceDN w:val="0"/>
        <w:rPr>
          <w:sz w:val="16"/>
          <w:szCs w:val="16"/>
        </w:rPr>
      </w:pPr>
    </w:p>
    <w:p w:rsidR="00D42474" w:rsidRDefault="00486AEA" w:rsidP="00486AEA">
      <w:pPr>
        <w:autoSpaceDE w:val="0"/>
        <w:autoSpaceDN w:val="0"/>
        <w:rPr>
          <w:sz w:val="16"/>
        </w:rPr>
      </w:pPr>
      <w:r>
        <w:rPr>
          <w:sz w:val="16"/>
        </w:rPr>
        <w:t>2)</w:t>
      </w:r>
      <w:r>
        <w:rPr>
          <w:sz w:val="16"/>
        </w:rPr>
        <w:tab/>
      </w:r>
      <w:r w:rsidR="00F40E87" w:rsidRPr="00486AEA">
        <w:rPr>
          <w:sz w:val="16"/>
        </w:rPr>
        <w:t>Les dépenses de personnel indiquées dans le budget de l</w:t>
      </w:r>
      <w:r w:rsidR="00A20444" w:rsidRPr="00486AEA">
        <w:rPr>
          <w:sz w:val="16"/>
        </w:rPr>
        <w:t>’</w:t>
      </w:r>
      <w:r w:rsidR="00F40E87" w:rsidRPr="00486AEA">
        <w:rPr>
          <w:sz w:val="16"/>
        </w:rPr>
        <w:t>exercice 2012</w:t>
      </w:r>
      <w:r w:rsidR="002D6F2A" w:rsidRPr="00486AEA">
        <w:rPr>
          <w:sz w:val="16"/>
        </w:rPr>
        <w:noBreakHyphen/>
      </w:r>
      <w:r w:rsidR="00F40E87" w:rsidRPr="00486AEA">
        <w:rPr>
          <w:sz w:val="16"/>
        </w:rPr>
        <w:t>2013 après virements représentent les dépenses réelles engagées pendant l</w:t>
      </w:r>
      <w:r w:rsidR="00A20444" w:rsidRPr="00486AEA">
        <w:rPr>
          <w:sz w:val="16"/>
        </w:rPr>
        <w:t>’</w:t>
      </w:r>
      <w:r w:rsidR="00F40E87" w:rsidRPr="00486AEA">
        <w:rPr>
          <w:sz w:val="16"/>
        </w:rPr>
        <w:t>exercice biennal.</w:t>
      </w:r>
    </w:p>
    <w:p w:rsidR="00D42474" w:rsidRDefault="00D42474" w:rsidP="00486AEA">
      <w:pPr>
        <w:rPr>
          <w:sz w:val="16"/>
          <w:szCs w:val="16"/>
        </w:rPr>
      </w:pPr>
    </w:p>
    <w:p w:rsidR="00D42474" w:rsidRDefault="00D42474" w:rsidP="00486AEA">
      <w:pPr>
        <w:rPr>
          <w:sz w:val="16"/>
          <w:szCs w:val="16"/>
        </w:rPr>
      </w:pPr>
    </w:p>
    <w:p w:rsidR="00D42474" w:rsidRDefault="00486AEA">
      <w:r>
        <w:br w:type="page"/>
      </w:r>
    </w:p>
    <w:p w:rsidR="00D42474" w:rsidRDefault="00F40E87" w:rsidP="00486AEA">
      <w:pPr>
        <w:tabs>
          <w:tab w:val="left" w:pos="709"/>
        </w:tabs>
        <w:rPr>
          <w:u w:val="single"/>
        </w:rPr>
      </w:pPr>
      <w:r w:rsidRPr="00486AEA">
        <w:t>A.</w:t>
      </w:r>
      <w:r w:rsidRPr="00486AEA">
        <w:tab/>
      </w:r>
      <w:r w:rsidRPr="00486AEA">
        <w:rPr>
          <w:u w:val="single"/>
        </w:rPr>
        <w:t>Budget 2013</w:t>
      </w:r>
      <w:r w:rsidR="002D6F2A" w:rsidRPr="00486AEA">
        <w:rPr>
          <w:u w:val="single"/>
        </w:rPr>
        <w:noBreakHyphen/>
      </w:r>
      <w:r w:rsidRPr="00486AEA">
        <w:rPr>
          <w:u w:val="single"/>
        </w:rPr>
        <w:t>2013 après virements</w:t>
      </w:r>
    </w:p>
    <w:p w:rsidR="00D42474" w:rsidRDefault="00D42474" w:rsidP="00486AEA">
      <w:pPr>
        <w:autoSpaceDE w:val="0"/>
        <w:autoSpaceDN w:val="0"/>
        <w:adjustRightInd w:val="0"/>
        <w:jc w:val="both"/>
      </w:pPr>
    </w:p>
    <w:p w:rsidR="00D42474" w:rsidRDefault="00F40E87" w:rsidP="001A5BF9">
      <w:pPr>
        <w:pStyle w:val="Paragraphedeliste"/>
        <w:tabs>
          <w:tab w:val="left" w:pos="709"/>
        </w:tabs>
        <w:ind w:left="0"/>
        <w:jc w:val="both"/>
        <w:rPr>
          <w:rFonts w:eastAsia="Batang"/>
        </w:rPr>
      </w:pPr>
      <w:r w:rsidRPr="00486AEA">
        <w:t>2.6.</w:t>
      </w:r>
      <w:r w:rsidRPr="00486AEA">
        <w:tab/>
        <w:t>Le budget après virements tient compte d</w:t>
      </w:r>
      <w:r w:rsidR="00A20444" w:rsidRPr="00486AEA">
        <w:t>’</w:t>
      </w:r>
      <w:r w:rsidRPr="00486AEA">
        <w:t>un ajustement à la baisse au titre du résultat </w:t>
      </w:r>
      <w:proofErr w:type="spellStart"/>
      <w:r w:rsidRPr="00486AEA">
        <w:t>I.1</w:t>
      </w:r>
      <w:proofErr w:type="spellEnd"/>
      <w:r w:rsidRPr="00486AEA">
        <w:t xml:space="preserve"> (Élaboration de cadres normatifs internationaux équilibrés dans le domaine de la propriété intellectuelle) dû au transfert des ressources initialement budgétées pour l</w:t>
      </w:r>
      <w:r w:rsidR="00A20444" w:rsidRPr="00486AEA">
        <w:t>’</w:t>
      </w:r>
      <w:r w:rsidRPr="00486AEA">
        <w:t>éventuelle conférence diplomatique en vue de l</w:t>
      </w:r>
      <w:r w:rsidR="00A20444" w:rsidRPr="00486AEA">
        <w:t>’</w:t>
      </w:r>
      <w:r w:rsidRPr="00486AEA">
        <w:t>adoption d</w:t>
      </w:r>
      <w:r w:rsidR="00A20444" w:rsidRPr="00486AEA">
        <w:t>’</w:t>
      </w:r>
      <w:r w:rsidRPr="00486AEA">
        <w:t xml:space="preserve">un </w:t>
      </w:r>
      <w:r w:rsidR="009C658D" w:rsidRPr="00486AEA">
        <w:t>t</w:t>
      </w:r>
      <w:r w:rsidRPr="00486AEA">
        <w:t>raité sur le droit des marques au programme 3 pour l</w:t>
      </w:r>
      <w:r w:rsidR="00A20444" w:rsidRPr="00486AEA">
        <w:t>’</w:t>
      </w:r>
      <w:r w:rsidRPr="00486AEA">
        <w:t>organisation de la conférence diplomatique sur la protection des interprétations et exécutions audiovisuelles.</w:t>
      </w:r>
    </w:p>
    <w:p w:rsidR="00D42474" w:rsidRDefault="00D42474" w:rsidP="001A5BF9">
      <w:pPr>
        <w:jc w:val="both"/>
        <w:rPr>
          <w:rFonts w:eastAsia="Batang"/>
        </w:rPr>
      </w:pPr>
    </w:p>
    <w:p w:rsidR="00D42474" w:rsidRDefault="00F40E87" w:rsidP="001A5BF9">
      <w:pPr>
        <w:pStyle w:val="Paragraphedeliste"/>
        <w:tabs>
          <w:tab w:val="left" w:pos="709"/>
        </w:tabs>
        <w:ind w:left="0"/>
        <w:jc w:val="both"/>
      </w:pPr>
      <w:r w:rsidRPr="00486AEA">
        <w:t>2.7.</w:t>
      </w:r>
      <w:r w:rsidRPr="00486AEA">
        <w:tab/>
        <w:t>L</w:t>
      </w:r>
      <w:r w:rsidR="00A20444" w:rsidRPr="00486AEA">
        <w:t>’</w:t>
      </w:r>
      <w:r w:rsidRPr="00486AEA">
        <w:t xml:space="preserve">augmentation des ressources affectées au résultat </w:t>
      </w:r>
      <w:proofErr w:type="spellStart"/>
      <w:r w:rsidRPr="00486AEA">
        <w:t>I.2</w:t>
      </w:r>
      <w:proofErr w:type="spellEnd"/>
      <w:r w:rsidRPr="00486AEA">
        <w:t xml:space="preserve"> (protection renforcée des emblèmes des États) est essentiellement le fait de l</w:t>
      </w:r>
      <w:r w:rsidR="00A20444" w:rsidRPr="00486AEA">
        <w:t>’</w:t>
      </w:r>
      <w:r w:rsidRPr="00486AEA">
        <w:t>attribution des ressources supplémentaires de personnel à ce résultat.</w:t>
      </w:r>
    </w:p>
    <w:p w:rsidR="00D42474" w:rsidRDefault="00D42474" w:rsidP="001A5BF9">
      <w:pPr>
        <w:pStyle w:val="Paragraphedeliste"/>
        <w:tabs>
          <w:tab w:val="left" w:pos="709"/>
        </w:tabs>
        <w:ind w:left="0"/>
        <w:jc w:val="both"/>
        <w:rPr>
          <w:rFonts w:eastAsia="Batang"/>
        </w:rPr>
      </w:pPr>
    </w:p>
    <w:p w:rsidR="00D42474" w:rsidRDefault="00F40E87" w:rsidP="00486AEA">
      <w:pPr>
        <w:rPr>
          <w:rFonts w:eastAsia="Batang"/>
        </w:rPr>
      </w:pPr>
      <w:r w:rsidRPr="00486AEA">
        <w:t>B.</w:t>
      </w:r>
      <w:r w:rsidRPr="00486AEA">
        <w:tab/>
      </w:r>
      <w:r w:rsidRPr="00486AEA">
        <w:rPr>
          <w:u w:val="single"/>
        </w:rPr>
        <w:t>Utilisation du budget 2012</w:t>
      </w:r>
      <w:r w:rsidR="002D6F2A" w:rsidRPr="00486AEA">
        <w:rPr>
          <w:u w:val="single"/>
        </w:rPr>
        <w:noBreakHyphen/>
      </w:r>
      <w:r w:rsidRPr="00486AEA">
        <w:rPr>
          <w:u w:val="single"/>
        </w:rPr>
        <w:t>2013</w:t>
      </w:r>
    </w:p>
    <w:p w:rsidR="00D42474" w:rsidRDefault="00D42474" w:rsidP="001A5BF9">
      <w:pPr>
        <w:jc w:val="both"/>
      </w:pPr>
    </w:p>
    <w:p w:rsidR="00D42474" w:rsidRDefault="00F40E87" w:rsidP="001A5BF9">
      <w:pPr>
        <w:pStyle w:val="Paragraphedeliste"/>
        <w:tabs>
          <w:tab w:val="left" w:pos="709"/>
        </w:tabs>
        <w:ind w:left="0"/>
        <w:jc w:val="both"/>
      </w:pPr>
      <w:r w:rsidRPr="005C7CCE">
        <w:t>2.8.</w:t>
      </w:r>
      <w:r w:rsidRPr="005C7CCE">
        <w:tab/>
        <w:t>Le taux d</w:t>
      </w:r>
      <w:r w:rsidR="00A20444" w:rsidRPr="005C7CCE">
        <w:t>’</w:t>
      </w:r>
      <w:r w:rsidRPr="005C7CCE">
        <w:t>utilisation du budget du programme pour les dépenses autres que les dépenses de personnel s</w:t>
      </w:r>
      <w:r w:rsidR="00A20444" w:rsidRPr="005C7CCE">
        <w:t>’</w:t>
      </w:r>
      <w:r w:rsidRPr="005C7CCE">
        <w:t>élève à 94</w:t>
      </w:r>
      <w:r w:rsidR="007E442D" w:rsidRPr="005C7CCE">
        <w:t>%</w:t>
      </w:r>
      <w:r w:rsidRPr="005C7CCE">
        <w:t xml:space="preserve"> du budget après virements.</w:t>
      </w:r>
      <w:r w:rsidR="0010442A" w:rsidRPr="005C7CCE">
        <w:t xml:space="preserve"> </w:t>
      </w:r>
      <w:r w:rsidRPr="005C7CCE">
        <w:t xml:space="preserve"> La sous</w:t>
      </w:r>
      <w:r w:rsidR="002D6F2A" w:rsidRPr="005C7CCE">
        <w:noBreakHyphen/>
      </w:r>
      <w:r w:rsidRPr="005C7CCE">
        <w:t>utilisation des ressources hors personnel est due principalement aux économies réalisées grâce à la réduction des missions du personnel au titre du résultat </w:t>
      </w:r>
      <w:proofErr w:type="spellStart"/>
      <w:r w:rsidRPr="005C7CCE">
        <w:t>I.4</w:t>
      </w:r>
      <w:proofErr w:type="spellEnd"/>
      <w:r w:rsidRPr="005C7CCE">
        <w:t xml:space="preserve"> (Conseils législatifs).</w:t>
      </w:r>
    </w:p>
    <w:p w:rsidR="00D42474" w:rsidRDefault="00D42474" w:rsidP="001A5BF9">
      <w:pPr>
        <w:jc w:val="both"/>
      </w:pPr>
    </w:p>
    <w:p w:rsidR="00D42474" w:rsidRDefault="00F40E87" w:rsidP="001A5BF9">
      <w:pPr>
        <w:pStyle w:val="Paragraphedeliste"/>
        <w:tabs>
          <w:tab w:val="left" w:pos="709"/>
        </w:tabs>
        <w:ind w:left="0"/>
        <w:jc w:val="both"/>
      </w:pPr>
      <w:r w:rsidRPr="005C7CCE">
        <w:t>2.9.</w:t>
      </w:r>
      <w:r w:rsidRPr="005C7CCE">
        <w:tab/>
        <w:t>L</w:t>
      </w:r>
      <w:r w:rsidR="00A20444" w:rsidRPr="005C7CCE">
        <w:t>’</w:t>
      </w:r>
      <w:r w:rsidRPr="005C7CCE">
        <w:t>augmentation des dépenses par rapport au budget après virements au titre du résultat </w:t>
      </w:r>
      <w:proofErr w:type="spellStart"/>
      <w:r w:rsidRPr="005C7CCE">
        <w:t>I.1</w:t>
      </w:r>
      <w:proofErr w:type="spellEnd"/>
      <w:r w:rsidRPr="005C7CCE">
        <w:t xml:space="preserve"> (Élaboration de cadres normatifs internationaux équilibrés dans le domaine de la propriété intellectuelle) est due à la tenue des manifestations imprévues suivantes lors de l</w:t>
      </w:r>
      <w:r w:rsidR="00A20444" w:rsidRPr="005C7CCE">
        <w:t>’</w:t>
      </w:r>
      <w:r w:rsidRPr="005C7CCE">
        <w:t>exercice biennal :</w:t>
      </w:r>
    </w:p>
    <w:p w:rsidR="00D42474" w:rsidRDefault="00D42474" w:rsidP="001A5BF9">
      <w:pPr>
        <w:jc w:val="both"/>
      </w:pPr>
    </w:p>
    <w:p w:rsidR="00D42474" w:rsidRDefault="00F40E87" w:rsidP="001A5BF9">
      <w:pPr>
        <w:pStyle w:val="Paragraphedeliste"/>
        <w:numPr>
          <w:ilvl w:val="0"/>
          <w:numId w:val="4"/>
        </w:numPr>
        <w:ind w:left="714" w:hanging="357"/>
        <w:jc w:val="both"/>
      </w:pPr>
      <w:r w:rsidRPr="005C7CCE">
        <w:t>deux sessions supplémentaires du SCT suite au report d</w:t>
      </w:r>
      <w:r w:rsidR="00A20444" w:rsidRPr="005C7CCE">
        <w:t>’</w:t>
      </w:r>
      <w:r w:rsidRPr="005C7CCE">
        <w:t>une conférence diplomatique;</w:t>
      </w:r>
      <w:r w:rsidR="004F3E42" w:rsidRPr="005C7CCE">
        <w:t xml:space="preserve"> </w:t>
      </w:r>
      <w:r w:rsidR="0010442A" w:rsidRPr="005C7CCE">
        <w:t xml:space="preserve"> </w:t>
      </w:r>
      <w:r w:rsidRPr="005C7CCE">
        <w:t>et</w:t>
      </w:r>
    </w:p>
    <w:p w:rsidR="00D42474" w:rsidRDefault="00F40E87" w:rsidP="001A5BF9">
      <w:pPr>
        <w:pStyle w:val="Paragraphedeliste"/>
        <w:numPr>
          <w:ilvl w:val="0"/>
          <w:numId w:val="4"/>
        </w:numPr>
        <w:ind w:left="714" w:hanging="357"/>
        <w:jc w:val="both"/>
      </w:pPr>
      <w:r w:rsidRPr="005C7CCE">
        <w:t xml:space="preserve">le Colloque mondial sur les indications géographiques de Bangkok en Thaïlande, du 27 au 29 mars. </w:t>
      </w:r>
      <w:r w:rsidR="0010442A" w:rsidRPr="005C7CCE">
        <w:t xml:space="preserve"> </w:t>
      </w:r>
    </w:p>
    <w:p w:rsidR="00D42474" w:rsidRDefault="00486AEA">
      <w:pPr>
        <w:rPr>
          <w:rFonts w:ascii="Arial Bold" w:hAnsi="Arial Bold"/>
          <w:b/>
          <w:bCs/>
          <w:caps/>
          <w:sz w:val="22"/>
        </w:rPr>
      </w:pPr>
      <w:r>
        <w:rPr>
          <w:color w:val="008000"/>
        </w:rPr>
        <w:br w:type="page"/>
      </w:r>
    </w:p>
    <w:p w:rsidR="00D42474" w:rsidRDefault="00F40E87" w:rsidP="001A5BF9">
      <w:pPr>
        <w:pStyle w:val="Heading3"/>
        <w:rPr>
          <w:szCs w:val="22"/>
        </w:rPr>
      </w:pPr>
      <w:bookmarkStart w:id="12" w:name="_Toc395082465"/>
      <w:r w:rsidRPr="00486AEA">
        <w:rPr>
          <w:szCs w:val="22"/>
        </w:rPr>
        <w:t>Programme 3</w:t>
      </w:r>
      <w:r w:rsidRPr="00486AEA">
        <w:rPr>
          <w:szCs w:val="22"/>
        </w:rPr>
        <w:tab/>
        <w:t>Droit d</w:t>
      </w:r>
      <w:r w:rsidR="00A20444" w:rsidRPr="00486AEA">
        <w:rPr>
          <w:szCs w:val="22"/>
        </w:rPr>
        <w:t>’</w:t>
      </w:r>
      <w:r w:rsidRPr="00486AEA">
        <w:rPr>
          <w:szCs w:val="22"/>
        </w:rPr>
        <w:t>auteur et droits connexes</w:t>
      </w:r>
      <w:bookmarkEnd w:id="12"/>
    </w:p>
    <w:p w:rsidR="00D42474" w:rsidRDefault="00D42474" w:rsidP="001A5BF9">
      <w:pPr>
        <w:tabs>
          <w:tab w:val="left" w:pos="2268"/>
        </w:tabs>
        <w:rPr>
          <w:rFonts w:cs="Arial"/>
          <w:sz w:val="22"/>
          <w:szCs w:val="22"/>
        </w:rPr>
      </w:pPr>
    </w:p>
    <w:p w:rsidR="00D42474" w:rsidRDefault="00F40E87" w:rsidP="001A5BF9">
      <w:pPr>
        <w:tabs>
          <w:tab w:val="left" w:pos="2268"/>
        </w:tabs>
        <w:rPr>
          <w:rFonts w:cs="Arial"/>
          <w:b/>
          <w:sz w:val="22"/>
          <w:szCs w:val="22"/>
        </w:rPr>
      </w:pPr>
      <w:r w:rsidRPr="00486AEA">
        <w:rPr>
          <w:b/>
          <w:sz w:val="22"/>
          <w:szCs w:val="22"/>
        </w:rPr>
        <w:t>Chef de programme</w:t>
      </w:r>
      <w:r w:rsidRPr="00486AEA">
        <w:rPr>
          <w:b/>
          <w:sz w:val="22"/>
          <w:szCs w:val="22"/>
        </w:rPr>
        <w:tab/>
      </w:r>
      <w:r w:rsidRPr="00486AEA">
        <w:rPr>
          <w:b/>
          <w:sz w:val="22"/>
          <w:szCs w:val="22"/>
        </w:rPr>
        <w:tab/>
        <w:t>M. T. Clarke</w:t>
      </w:r>
    </w:p>
    <w:p w:rsidR="00D42474" w:rsidRDefault="00D42474" w:rsidP="001A5BF9">
      <w:pPr>
        <w:rPr>
          <w:rFonts w:cs="Arial"/>
          <w:sz w:val="22"/>
          <w:szCs w:val="22"/>
        </w:rPr>
      </w:pPr>
    </w:p>
    <w:p w:rsidR="00D42474" w:rsidRDefault="00D42474" w:rsidP="001A5BF9">
      <w:pPr>
        <w:rPr>
          <w:rFonts w:cs="Arial"/>
          <w:sz w:val="22"/>
          <w:szCs w:val="22"/>
        </w:rPr>
      </w:pPr>
    </w:p>
    <w:p w:rsidR="00D42474" w:rsidRDefault="00F40E87" w:rsidP="001A5BF9">
      <w:pPr>
        <w:rPr>
          <w:rFonts w:cs="Arial"/>
          <w:sz w:val="22"/>
          <w:szCs w:val="22"/>
        </w:rPr>
      </w:pPr>
      <w:r w:rsidRPr="00486AEA">
        <w:rPr>
          <w:sz w:val="22"/>
          <w:szCs w:val="22"/>
        </w:rPr>
        <w:t>RÉALISATIONS EN 2012</w:t>
      </w:r>
      <w:r w:rsidR="002D6F2A" w:rsidRPr="00486AEA">
        <w:rPr>
          <w:sz w:val="22"/>
          <w:szCs w:val="22"/>
        </w:rPr>
        <w:noBreakHyphen/>
      </w:r>
      <w:r w:rsidRPr="00486AEA">
        <w:rPr>
          <w:sz w:val="22"/>
          <w:szCs w:val="22"/>
        </w:rPr>
        <w:t>2013</w:t>
      </w:r>
    </w:p>
    <w:p w:rsidR="00D42474" w:rsidRDefault="00D42474" w:rsidP="001A5BF9">
      <w:pPr>
        <w:rPr>
          <w:rFonts w:cs="Arial"/>
          <w:sz w:val="22"/>
          <w:szCs w:val="22"/>
        </w:rPr>
      </w:pPr>
    </w:p>
    <w:p w:rsidR="00D42474" w:rsidRDefault="00F40E87" w:rsidP="001A5BF9">
      <w:pPr>
        <w:tabs>
          <w:tab w:val="left" w:pos="709"/>
        </w:tabs>
        <w:jc w:val="both"/>
        <w:rPr>
          <w:rFonts w:cs="Arial"/>
          <w:spacing w:val="-2"/>
          <w:szCs w:val="20"/>
        </w:rPr>
      </w:pPr>
      <w:r w:rsidRPr="005C7CCE">
        <w:rPr>
          <w:spacing w:val="-2"/>
        </w:rPr>
        <w:t>3.1.</w:t>
      </w:r>
      <w:r w:rsidRPr="005C7CCE">
        <w:rPr>
          <w:spacing w:val="-2"/>
        </w:rPr>
        <w:tab/>
        <w:t>En 2012</w:t>
      </w:r>
      <w:r w:rsidR="002D6F2A" w:rsidRPr="005C7CCE">
        <w:rPr>
          <w:spacing w:val="-2"/>
        </w:rPr>
        <w:noBreakHyphen/>
      </w:r>
      <w:r w:rsidRPr="005C7CCE">
        <w:rPr>
          <w:spacing w:val="-2"/>
        </w:rPr>
        <w:t>2013, ce programme a essentiellement visé à faire progresser les travaux d</w:t>
      </w:r>
      <w:r w:rsidR="00A20444" w:rsidRPr="005C7CCE">
        <w:rPr>
          <w:spacing w:val="-2"/>
        </w:rPr>
        <w:t>’</w:t>
      </w:r>
      <w:r w:rsidRPr="005C7CCE">
        <w:rPr>
          <w:spacing w:val="-2"/>
        </w:rPr>
        <w:t>élaboration de normes au sein du Comité permanent du droit d</w:t>
      </w:r>
      <w:r w:rsidR="00A20444" w:rsidRPr="005C7CCE">
        <w:rPr>
          <w:spacing w:val="-2"/>
        </w:rPr>
        <w:t>’</w:t>
      </w:r>
      <w:r w:rsidRPr="005C7CCE">
        <w:rPr>
          <w:spacing w:val="-2"/>
        </w:rPr>
        <w:t>auteur et des droits connexes (SCCR), à promouvoir la mise en place d</w:t>
      </w:r>
      <w:r w:rsidR="00A20444" w:rsidRPr="005C7CCE">
        <w:rPr>
          <w:spacing w:val="-2"/>
        </w:rPr>
        <w:t>’</w:t>
      </w:r>
      <w:r w:rsidRPr="005C7CCE">
        <w:rPr>
          <w:spacing w:val="-2"/>
        </w:rPr>
        <w:t>une infrastructure de droit d</w:t>
      </w:r>
      <w:r w:rsidR="00A20444" w:rsidRPr="005C7CCE">
        <w:rPr>
          <w:spacing w:val="-2"/>
        </w:rPr>
        <w:t>’</w:t>
      </w:r>
      <w:r w:rsidRPr="005C7CCE">
        <w:rPr>
          <w:spacing w:val="-2"/>
        </w:rPr>
        <w:t>auteur et à renforcer les capacités institutionnelles et humaines dans les pays en développement et les PMA afin de permettre à ces derniers d</w:t>
      </w:r>
      <w:r w:rsidR="00A20444" w:rsidRPr="005C7CCE">
        <w:rPr>
          <w:spacing w:val="-2"/>
        </w:rPr>
        <w:t>’</w:t>
      </w:r>
      <w:r w:rsidRPr="005C7CCE">
        <w:rPr>
          <w:spacing w:val="-2"/>
        </w:rPr>
        <w:t>utiliser ce système du droit d</w:t>
      </w:r>
      <w:r w:rsidR="00A20444" w:rsidRPr="005C7CCE">
        <w:rPr>
          <w:spacing w:val="-2"/>
        </w:rPr>
        <w:t>’</w:t>
      </w:r>
      <w:r w:rsidRPr="005C7CCE">
        <w:rPr>
          <w:spacing w:val="-2"/>
        </w:rPr>
        <w:t xml:space="preserve">auteur pour tirer parti du potentiel économique de leur culture. </w:t>
      </w:r>
      <w:r w:rsidR="0010442A" w:rsidRPr="005C7CCE">
        <w:rPr>
          <w:spacing w:val="-2"/>
        </w:rPr>
        <w:t xml:space="preserve"> </w:t>
      </w:r>
      <w:r w:rsidRPr="005C7CCE">
        <w:rPr>
          <w:spacing w:val="-2"/>
        </w:rPr>
        <w:t>Des progrès majeurs ont été réalisés dans tous ces domaines, comme l</w:t>
      </w:r>
      <w:r w:rsidR="00A20444" w:rsidRPr="005C7CCE">
        <w:rPr>
          <w:spacing w:val="-2"/>
        </w:rPr>
        <w:t>’</w:t>
      </w:r>
      <w:r w:rsidRPr="005C7CCE">
        <w:rPr>
          <w:spacing w:val="-2"/>
        </w:rPr>
        <w:t>ont démontré les indicateurs d</w:t>
      </w:r>
      <w:r w:rsidR="00A20444" w:rsidRPr="005C7CCE">
        <w:rPr>
          <w:spacing w:val="-2"/>
        </w:rPr>
        <w:t>’</w:t>
      </w:r>
      <w:r w:rsidRPr="005C7CCE">
        <w:rPr>
          <w:spacing w:val="-2"/>
        </w:rPr>
        <w:t>exécution présentés ci</w:t>
      </w:r>
      <w:r w:rsidR="002D6F2A" w:rsidRPr="005C7CCE">
        <w:rPr>
          <w:spacing w:val="-2"/>
        </w:rPr>
        <w:noBreakHyphen/>
      </w:r>
      <w:r w:rsidRPr="005C7CCE">
        <w:rPr>
          <w:spacing w:val="-2"/>
        </w:rPr>
        <w:t>dessous.</w:t>
      </w:r>
    </w:p>
    <w:p w:rsidR="00D42474" w:rsidRDefault="00D42474" w:rsidP="001A5BF9">
      <w:pPr>
        <w:jc w:val="both"/>
        <w:rPr>
          <w:rFonts w:cs="Arial"/>
          <w:szCs w:val="20"/>
        </w:rPr>
      </w:pPr>
    </w:p>
    <w:p w:rsidR="00D42474" w:rsidRDefault="00F40E87" w:rsidP="001A5BF9">
      <w:pPr>
        <w:keepNext/>
        <w:keepLines/>
        <w:jc w:val="both"/>
        <w:rPr>
          <w:rFonts w:eastAsia="SimSun" w:cs="Arial"/>
          <w:bCs/>
          <w:szCs w:val="20"/>
          <w:u w:val="single"/>
        </w:rPr>
      </w:pPr>
      <w:r w:rsidRPr="00486AEA">
        <w:rPr>
          <w:u w:val="single"/>
        </w:rPr>
        <w:t>Travaux en matière d</w:t>
      </w:r>
      <w:r w:rsidR="00A20444" w:rsidRPr="00486AEA">
        <w:rPr>
          <w:u w:val="single"/>
        </w:rPr>
        <w:t>’</w:t>
      </w:r>
      <w:r w:rsidRPr="00486AEA">
        <w:rPr>
          <w:u w:val="single"/>
        </w:rPr>
        <w:t>élaboration de normes et de politiques</w:t>
      </w:r>
    </w:p>
    <w:p w:rsidR="00D42474" w:rsidRDefault="00D42474" w:rsidP="001A5BF9">
      <w:pPr>
        <w:keepNext/>
        <w:keepLines/>
        <w:jc w:val="both"/>
        <w:rPr>
          <w:rFonts w:eastAsia="SimSun" w:cs="Arial"/>
          <w:bCs/>
          <w:sz w:val="16"/>
          <w:szCs w:val="16"/>
        </w:rPr>
      </w:pPr>
    </w:p>
    <w:p w:rsidR="00D42474" w:rsidRDefault="00F40E87" w:rsidP="001A5BF9">
      <w:pPr>
        <w:tabs>
          <w:tab w:val="left" w:pos="709"/>
        </w:tabs>
        <w:jc w:val="both"/>
        <w:rPr>
          <w:rFonts w:eastAsia="SimSun" w:cs="Arial"/>
          <w:szCs w:val="20"/>
        </w:rPr>
      </w:pPr>
      <w:r w:rsidRPr="00486AEA">
        <w:t>3.2.</w:t>
      </w:r>
      <w:r w:rsidRPr="00486AEA">
        <w:tab/>
        <w:t>La principale réalisation de l</w:t>
      </w:r>
      <w:r w:rsidR="00A20444" w:rsidRPr="00486AEA">
        <w:t>’</w:t>
      </w:r>
      <w:r w:rsidRPr="00486AEA">
        <w:t>exercice biennal a été l</w:t>
      </w:r>
      <w:r w:rsidR="00A20444" w:rsidRPr="00486AEA">
        <w:t>’</w:t>
      </w:r>
      <w:r w:rsidRPr="00486AEA">
        <w:t>adoption du texte pour deux</w:t>
      </w:r>
      <w:r w:rsidR="0010442A" w:rsidRPr="00486AEA">
        <w:t> </w:t>
      </w:r>
      <w:r w:rsidRPr="00486AEA">
        <w:t>nouveaux traités sur le droit d</w:t>
      </w:r>
      <w:r w:rsidR="00A20444" w:rsidRPr="00486AEA">
        <w:t>’</w:t>
      </w:r>
      <w:r w:rsidRPr="00486AEA">
        <w:t>auteur : le Traité de Beijing pour la protection des interprétations et exécutions audiovisuelles (le Traité de Beijing) et le Traité de Marrakech visant à faciliter l</w:t>
      </w:r>
      <w:r w:rsidR="00A20444" w:rsidRPr="00486AEA">
        <w:t>’</w:t>
      </w:r>
      <w:r w:rsidRPr="00486AEA">
        <w:t>accès des aveugles, des déficients visuels et des personnes ayant d</w:t>
      </w:r>
      <w:r w:rsidR="00A20444" w:rsidRPr="00486AEA">
        <w:t>’</w:t>
      </w:r>
      <w:r w:rsidRPr="00486AEA">
        <w:t xml:space="preserve">autres difficultés de lecture des textes imprimés aux œuvres publiées (le Traité de Marrakech). </w:t>
      </w:r>
      <w:r w:rsidR="0010442A" w:rsidRPr="00486AEA">
        <w:t xml:space="preserve"> </w:t>
      </w:r>
      <w:r w:rsidRPr="00486AEA">
        <w:t>La conférence diplomatique pour le Traité de Beijing a eu lieu à Beijing, en Chine, du 20 au 26 juin 2012 et la conférence diplomatique pour le Traité de Marrakech a eu lieu à Marrakech, au Maroc, du 17 au 28 juin 2013.</w:t>
      </w:r>
    </w:p>
    <w:p w:rsidR="00D42474" w:rsidRDefault="00D42474" w:rsidP="001A5BF9">
      <w:pPr>
        <w:tabs>
          <w:tab w:val="left" w:pos="709"/>
        </w:tabs>
        <w:jc w:val="both"/>
        <w:rPr>
          <w:rFonts w:eastAsia="SimSun" w:cs="Arial"/>
          <w:sz w:val="18"/>
          <w:szCs w:val="20"/>
        </w:rPr>
      </w:pPr>
    </w:p>
    <w:p w:rsidR="00D42474" w:rsidRDefault="00F40E87" w:rsidP="001A5BF9">
      <w:pPr>
        <w:tabs>
          <w:tab w:val="left" w:pos="709"/>
        </w:tabs>
        <w:jc w:val="both"/>
        <w:rPr>
          <w:rFonts w:eastAsia="SimSun" w:cs="Arial"/>
          <w:szCs w:val="20"/>
        </w:rPr>
      </w:pPr>
      <w:r w:rsidRPr="00486AEA">
        <w:t>3.3.</w:t>
      </w:r>
      <w:r w:rsidRPr="00486AEA">
        <w:tab/>
        <w:t>D</w:t>
      </w:r>
      <w:r w:rsidR="00A20444" w:rsidRPr="00486AEA">
        <w:t>’</w:t>
      </w:r>
      <w:r w:rsidRPr="00486AEA">
        <w:t>autres points inscrits à l</w:t>
      </w:r>
      <w:r w:rsidR="00A20444" w:rsidRPr="00486AEA">
        <w:t>’</w:t>
      </w:r>
      <w:r w:rsidRPr="00486AEA">
        <w:t>ordre du jour du SCCR ont bien progressé lors des trois réunions de juillet 2012, novembre 2012 et décembre 2013.</w:t>
      </w:r>
      <w:r w:rsidR="00A20444" w:rsidRPr="00486AEA">
        <w:t xml:space="preserve"> </w:t>
      </w:r>
      <w:r w:rsidR="0010442A" w:rsidRPr="00486AEA">
        <w:t xml:space="preserve"> </w:t>
      </w:r>
      <w:r w:rsidR="00A20444" w:rsidRPr="00486AEA">
        <w:t>Le SCC</w:t>
      </w:r>
      <w:r w:rsidRPr="00486AEA">
        <w:t>R a également adopté et soumis aux assemblées générales de</w:t>
      </w:r>
      <w:r w:rsidR="0010442A" w:rsidRPr="00486AEA">
        <w:t> </w:t>
      </w:r>
      <w:r w:rsidRPr="00486AEA">
        <w:t>2012 un programme de travail actualisé visant à examiner un autre traité proposé et des instruments éventuels sur plusieurs autres sujets de limitations et exceptions</w:t>
      </w:r>
      <w:r w:rsidR="0010442A" w:rsidRPr="00486AEA">
        <w:t> </w:t>
      </w:r>
      <w:r w:rsidRPr="00486AEA">
        <w:t>: un traité pour les organisations de radiodiffusion et des limitations et exceptions en faveur des bibliothèques et des services d</w:t>
      </w:r>
      <w:r w:rsidR="00A20444" w:rsidRPr="00486AEA">
        <w:t>’</w:t>
      </w:r>
      <w:r w:rsidRPr="00486AEA">
        <w:t>archives, des établissements d</w:t>
      </w:r>
      <w:r w:rsidR="00A20444" w:rsidRPr="00486AEA">
        <w:t>’</w:t>
      </w:r>
      <w:r w:rsidRPr="00486AEA">
        <w:t>enseignement et des instituts de recherche et des personnes présentant d</w:t>
      </w:r>
      <w:r w:rsidR="00A20444" w:rsidRPr="00486AEA">
        <w:t>’</w:t>
      </w:r>
      <w:r w:rsidRPr="00486AEA">
        <w:t>autres handicaps.</w:t>
      </w:r>
      <w:r w:rsidR="004F3E42" w:rsidRPr="00486AEA">
        <w:t xml:space="preserve"> </w:t>
      </w:r>
      <w:r w:rsidR="0010442A" w:rsidRPr="00486AEA">
        <w:t xml:space="preserve"> </w:t>
      </w:r>
      <w:r w:rsidRPr="00486AEA">
        <w:t>Les travaux ont avancé sur l</w:t>
      </w:r>
      <w:r w:rsidR="00A20444" w:rsidRPr="00486AEA">
        <w:t>’</w:t>
      </w:r>
      <w:r w:rsidRPr="00486AEA">
        <w:t>élaboration de textes de travail sur ces questions à chaque session du SCCR.</w:t>
      </w:r>
    </w:p>
    <w:p w:rsidR="00D42474" w:rsidRDefault="00D42474" w:rsidP="001A5BF9">
      <w:pPr>
        <w:tabs>
          <w:tab w:val="left" w:pos="709"/>
        </w:tabs>
        <w:jc w:val="both"/>
        <w:rPr>
          <w:rFonts w:eastAsia="SimSun" w:cs="Arial"/>
          <w:sz w:val="18"/>
          <w:szCs w:val="20"/>
        </w:rPr>
      </w:pPr>
    </w:p>
    <w:p w:rsidR="00D42474" w:rsidRDefault="00F40E87" w:rsidP="001A5BF9">
      <w:pPr>
        <w:tabs>
          <w:tab w:val="left" w:pos="709"/>
        </w:tabs>
        <w:jc w:val="both"/>
        <w:rPr>
          <w:rFonts w:eastAsia="SimSun" w:cs="Arial"/>
          <w:szCs w:val="20"/>
        </w:rPr>
      </w:pPr>
      <w:r w:rsidRPr="00486AEA">
        <w:t>3.4.</w:t>
      </w:r>
      <w:r w:rsidRPr="00486AEA">
        <w:tab/>
        <w:t>Des conseils en matière de législation concernant le droit d</w:t>
      </w:r>
      <w:r w:rsidR="00A20444" w:rsidRPr="00486AEA">
        <w:t>’</w:t>
      </w:r>
      <w:r w:rsidRPr="00486AEA">
        <w:t xml:space="preserve">auteur et les droits connexes ont été fournis à 24 États membres sur la base de leurs demandes. </w:t>
      </w:r>
      <w:r w:rsidR="0010442A" w:rsidRPr="00486AEA">
        <w:t xml:space="preserve"> </w:t>
      </w:r>
      <w:r w:rsidRPr="00486AEA">
        <w:t>Le nombre des demandes de ce type de conseil a augmenté, ce qui s</w:t>
      </w:r>
      <w:r w:rsidR="00A20444" w:rsidRPr="00486AEA">
        <w:t>’</w:t>
      </w:r>
      <w:r w:rsidRPr="00486AEA">
        <w:t>explique principalement par l</w:t>
      </w:r>
      <w:r w:rsidR="00A20444" w:rsidRPr="00486AEA">
        <w:t>’</w:t>
      </w:r>
      <w:r w:rsidRPr="00486AEA">
        <w:t>intérêt porté par les États membres à la ratification du Traité de Beijing et du Traité de Marrakech.</w:t>
      </w:r>
    </w:p>
    <w:p w:rsidR="00D42474" w:rsidRDefault="00D42474" w:rsidP="001A5BF9">
      <w:pPr>
        <w:tabs>
          <w:tab w:val="left" w:pos="709"/>
        </w:tabs>
        <w:jc w:val="both"/>
        <w:rPr>
          <w:rFonts w:eastAsia="SimSun" w:cs="Arial"/>
          <w:sz w:val="18"/>
          <w:szCs w:val="20"/>
        </w:rPr>
      </w:pPr>
    </w:p>
    <w:p w:rsidR="00D42474" w:rsidRDefault="00F40E87" w:rsidP="001A5BF9">
      <w:pPr>
        <w:tabs>
          <w:tab w:val="left" w:pos="709"/>
        </w:tabs>
        <w:jc w:val="both"/>
        <w:rPr>
          <w:spacing w:val="-2"/>
        </w:rPr>
      </w:pPr>
      <w:r w:rsidRPr="00486AEA">
        <w:rPr>
          <w:spacing w:val="-2"/>
        </w:rPr>
        <w:t>3.5.</w:t>
      </w:r>
      <w:r w:rsidRPr="00486AEA">
        <w:rPr>
          <w:spacing w:val="-2"/>
        </w:rPr>
        <w:tab/>
        <w:t>En outre, les divers projets visant à promouvoir le rôle de l</w:t>
      </w:r>
      <w:r w:rsidR="00A20444" w:rsidRPr="00486AEA">
        <w:rPr>
          <w:spacing w:val="-2"/>
        </w:rPr>
        <w:t>’</w:t>
      </w:r>
      <w:r w:rsidRPr="00486AEA">
        <w:rPr>
          <w:spacing w:val="-2"/>
        </w:rPr>
        <w:t>OMPI en matière de droit d</w:t>
      </w:r>
      <w:r w:rsidR="00A20444" w:rsidRPr="00486AEA">
        <w:rPr>
          <w:spacing w:val="-2"/>
        </w:rPr>
        <w:t>’</w:t>
      </w:r>
      <w:r w:rsidRPr="00486AEA">
        <w:rPr>
          <w:spacing w:val="-2"/>
        </w:rPr>
        <w:t>auteur dans l</w:t>
      </w:r>
      <w:r w:rsidR="00A20444" w:rsidRPr="00486AEA">
        <w:rPr>
          <w:spacing w:val="-2"/>
        </w:rPr>
        <w:t>’</w:t>
      </w:r>
      <w:r w:rsidRPr="00486AEA">
        <w:rPr>
          <w:spacing w:val="-2"/>
        </w:rPr>
        <w:t>environnement numérique ont bien avancé.</w:t>
      </w:r>
      <w:r w:rsidR="004F3E42" w:rsidRPr="00486AEA">
        <w:rPr>
          <w:spacing w:val="-2"/>
        </w:rPr>
        <w:t xml:space="preserve"> </w:t>
      </w:r>
      <w:r w:rsidR="0010442A" w:rsidRPr="00486AEA">
        <w:rPr>
          <w:spacing w:val="-2"/>
        </w:rPr>
        <w:t xml:space="preserve"> </w:t>
      </w:r>
      <w:r w:rsidRPr="00486AEA">
        <w:rPr>
          <w:spacing w:val="-2"/>
        </w:rPr>
        <w:t>Ce programme a réalisé deux</w:t>
      </w:r>
      <w:r w:rsidR="0010442A" w:rsidRPr="00486AEA">
        <w:rPr>
          <w:spacing w:val="-2"/>
        </w:rPr>
        <w:t> </w:t>
      </w:r>
      <w:r w:rsidRPr="00486AEA">
        <w:rPr>
          <w:spacing w:val="-2"/>
        </w:rPr>
        <w:t>études dans le but de découvrir des points communs dans la manière d</w:t>
      </w:r>
      <w:r w:rsidR="00A20444" w:rsidRPr="00486AEA">
        <w:rPr>
          <w:spacing w:val="-2"/>
        </w:rPr>
        <w:t>’</w:t>
      </w:r>
      <w:r w:rsidRPr="00486AEA">
        <w:rPr>
          <w:spacing w:val="-2"/>
        </w:rPr>
        <w:t>aborder la question de la responsabilité des intermédiaires Internet dans des juridictions différentes.</w:t>
      </w:r>
      <w:r w:rsidR="004F3E42" w:rsidRPr="00486AEA">
        <w:rPr>
          <w:spacing w:val="-2"/>
        </w:rPr>
        <w:t xml:space="preserve"> </w:t>
      </w:r>
      <w:r w:rsidR="0010442A" w:rsidRPr="00486AEA">
        <w:rPr>
          <w:spacing w:val="-2"/>
        </w:rPr>
        <w:t xml:space="preserve"> </w:t>
      </w:r>
      <w:r w:rsidRPr="00486AEA">
        <w:rPr>
          <w:spacing w:val="-2"/>
        </w:rPr>
        <w:t>Les agences multilatérales participantes ont convenu de mettre en place une licence “</w:t>
      </w:r>
      <w:proofErr w:type="spellStart"/>
      <w:r w:rsidRPr="00486AEA">
        <w:rPr>
          <w:spacing w:val="-2"/>
        </w:rPr>
        <w:t>Creative</w:t>
      </w:r>
      <w:proofErr w:type="spellEnd"/>
      <w:r w:rsidRPr="00486AEA">
        <w:rPr>
          <w:spacing w:val="-2"/>
        </w:rPr>
        <w:t xml:space="preserve"> Commons” modifiée, afin d</w:t>
      </w:r>
      <w:r w:rsidR="00A20444" w:rsidRPr="00486AEA">
        <w:rPr>
          <w:spacing w:val="-2"/>
        </w:rPr>
        <w:t>’</w:t>
      </w:r>
      <w:r w:rsidRPr="00486AEA">
        <w:rPr>
          <w:spacing w:val="-2"/>
        </w:rPr>
        <w:t>assurer une approche plus souple en matière d</w:t>
      </w:r>
      <w:r w:rsidR="00A20444" w:rsidRPr="00486AEA">
        <w:rPr>
          <w:spacing w:val="-2"/>
        </w:rPr>
        <w:t>’</w:t>
      </w:r>
      <w:r w:rsidRPr="00486AEA">
        <w:rPr>
          <w:spacing w:val="-2"/>
        </w:rPr>
        <w:t xml:space="preserve">octroi de licences pour les œuvres des organisations intergouvernementales. </w:t>
      </w:r>
      <w:r w:rsidR="0010442A" w:rsidRPr="00486AEA">
        <w:rPr>
          <w:spacing w:val="-2"/>
        </w:rPr>
        <w:t xml:space="preserve"> </w:t>
      </w:r>
      <w:r w:rsidRPr="00486AEA">
        <w:rPr>
          <w:spacing w:val="-2"/>
        </w:rPr>
        <w:t xml:space="preserve">Parallèlement, les travaux sur les contrats </w:t>
      </w:r>
      <w:proofErr w:type="spellStart"/>
      <w:r w:rsidRPr="00486AEA">
        <w:rPr>
          <w:spacing w:val="-2"/>
        </w:rPr>
        <w:t>audiovisuels</w:t>
      </w:r>
      <w:proofErr w:type="spellEnd"/>
      <w:r w:rsidRPr="00486AEA">
        <w:rPr>
          <w:spacing w:val="-2"/>
        </w:rPr>
        <w:t xml:space="preserve"> ont été menés à bien.</w:t>
      </w:r>
      <w:r w:rsidR="0010442A" w:rsidRPr="00486AEA">
        <w:rPr>
          <w:spacing w:val="-2"/>
        </w:rPr>
        <w:t xml:space="preserve"> </w:t>
      </w:r>
      <w:r w:rsidRPr="00486AEA">
        <w:rPr>
          <w:spacing w:val="-2"/>
        </w:rPr>
        <w:t xml:space="preserve"> Une étude sur le traitement des jeux vidéo dans le cadre de divers systèmes de législation sur le droit d</w:t>
      </w:r>
      <w:r w:rsidR="00A20444" w:rsidRPr="00486AEA">
        <w:rPr>
          <w:spacing w:val="-2"/>
        </w:rPr>
        <w:t>’</w:t>
      </w:r>
      <w:r w:rsidRPr="00486AEA">
        <w:rPr>
          <w:spacing w:val="-2"/>
        </w:rPr>
        <w:t>auteur a également été publiée.</w:t>
      </w:r>
    </w:p>
    <w:p w:rsidR="00D42474" w:rsidRDefault="00D42474" w:rsidP="001A5BF9">
      <w:pPr>
        <w:tabs>
          <w:tab w:val="left" w:pos="709"/>
        </w:tabs>
        <w:jc w:val="both"/>
        <w:rPr>
          <w:rFonts w:eastAsia="SimSun" w:cs="Arial"/>
          <w:sz w:val="18"/>
          <w:szCs w:val="20"/>
        </w:rPr>
      </w:pPr>
    </w:p>
    <w:p w:rsidR="00D42474" w:rsidRDefault="00F40E87" w:rsidP="001A5BF9">
      <w:pPr>
        <w:tabs>
          <w:tab w:val="left" w:pos="709"/>
        </w:tabs>
        <w:jc w:val="both"/>
        <w:rPr>
          <w:rFonts w:cs="Arial"/>
          <w:szCs w:val="20"/>
          <w:u w:val="single"/>
        </w:rPr>
      </w:pPr>
      <w:r w:rsidRPr="00486AEA">
        <w:rPr>
          <w:u w:val="single"/>
        </w:rPr>
        <w:t>Infrastructure du droit d</w:t>
      </w:r>
      <w:r w:rsidR="00A20444" w:rsidRPr="00486AEA">
        <w:rPr>
          <w:u w:val="single"/>
        </w:rPr>
        <w:t>’</w:t>
      </w:r>
      <w:r w:rsidRPr="00486AEA">
        <w:rPr>
          <w:u w:val="single"/>
        </w:rPr>
        <w:t>auteur</w:t>
      </w:r>
    </w:p>
    <w:p w:rsidR="00D42474" w:rsidRDefault="00D42474" w:rsidP="001A5BF9">
      <w:pPr>
        <w:tabs>
          <w:tab w:val="left" w:pos="709"/>
        </w:tabs>
        <w:jc w:val="both"/>
        <w:rPr>
          <w:rFonts w:cs="Arial"/>
          <w:sz w:val="14"/>
          <w:szCs w:val="16"/>
        </w:rPr>
      </w:pPr>
    </w:p>
    <w:p w:rsidR="00D42474" w:rsidRDefault="00F40E87" w:rsidP="001A5BF9">
      <w:pPr>
        <w:tabs>
          <w:tab w:val="left" w:pos="709"/>
        </w:tabs>
        <w:jc w:val="both"/>
        <w:rPr>
          <w:rFonts w:cs="Arial"/>
          <w:szCs w:val="20"/>
        </w:rPr>
      </w:pPr>
      <w:r w:rsidRPr="00486AEA">
        <w:t>3.6.</w:t>
      </w:r>
      <w:r w:rsidRPr="00486AEA">
        <w:tab/>
        <w:t>Des progrès considérables ont été accomplis dans l</w:t>
      </w:r>
      <w:r w:rsidR="00A20444" w:rsidRPr="00486AEA">
        <w:t>’</w:t>
      </w:r>
      <w:r w:rsidRPr="00486AEA">
        <w:t>élaboration d</w:t>
      </w:r>
      <w:r w:rsidR="00A20444" w:rsidRPr="00486AEA">
        <w:t>’</w:t>
      </w:r>
      <w:r w:rsidRPr="00486AEA">
        <w:t>une nouvelle norme internationale d</w:t>
      </w:r>
      <w:r w:rsidR="00A20444" w:rsidRPr="00486AEA">
        <w:t>’</w:t>
      </w:r>
      <w:r w:rsidRPr="00486AEA">
        <w:t xml:space="preserve">assurance qualité pour les organisations de gestion collective. </w:t>
      </w:r>
      <w:r w:rsidR="0010442A" w:rsidRPr="00486AEA">
        <w:t xml:space="preserve"> </w:t>
      </w:r>
      <w:r w:rsidRPr="00486AEA">
        <w:t xml:space="preserve">La norme sera connue sous la dénomination “TAG of Excellence”, </w:t>
      </w:r>
      <w:r w:rsidR="00A20444" w:rsidRPr="00486AEA">
        <w:t>à savoir</w:t>
      </w:r>
      <w:r w:rsidRPr="00486AEA">
        <w:t xml:space="preserve"> excellence en matière de transparence, de responsabilité et de gouvernance. </w:t>
      </w:r>
      <w:r w:rsidR="0010442A" w:rsidRPr="00486AEA">
        <w:t xml:space="preserve"> </w:t>
      </w:r>
      <w:r w:rsidRPr="00486AEA">
        <w:t>Ces travaux ont déjà attiré un soutien significatif.</w:t>
      </w:r>
      <w:r w:rsidR="0010442A" w:rsidRPr="00486AEA">
        <w:t xml:space="preserve"> </w:t>
      </w:r>
      <w:r w:rsidRPr="00486AEA">
        <w:t xml:space="preserve"> Un groupe de référence des principales parties prenantes a vu le jour et s</w:t>
      </w:r>
      <w:r w:rsidR="00A20444" w:rsidRPr="00486AEA">
        <w:t>’</w:t>
      </w:r>
      <w:r w:rsidRPr="00486AEA">
        <w:t>est réuni à plusieurs occasions pour élaborer les principes fondateurs du projet TAG.</w:t>
      </w:r>
    </w:p>
    <w:p w:rsidR="00D42474" w:rsidRDefault="00D42474" w:rsidP="001A5BF9">
      <w:pPr>
        <w:tabs>
          <w:tab w:val="left" w:pos="709"/>
        </w:tabs>
        <w:jc w:val="both"/>
        <w:rPr>
          <w:rFonts w:cs="Arial"/>
          <w:sz w:val="18"/>
          <w:szCs w:val="20"/>
        </w:rPr>
      </w:pPr>
    </w:p>
    <w:p w:rsidR="00D42474" w:rsidRDefault="00F40E87" w:rsidP="001A5BF9">
      <w:pPr>
        <w:tabs>
          <w:tab w:val="left" w:pos="709"/>
        </w:tabs>
        <w:jc w:val="both"/>
        <w:rPr>
          <w:spacing w:val="-2"/>
        </w:rPr>
      </w:pPr>
      <w:r w:rsidRPr="00486AEA">
        <w:rPr>
          <w:spacing w:val="-2"/>
        </w:rPr>
        <w:t>3.7.</w:t>
      </w:r>
      <w:r w:rsidRPr="00486AEA">
        <w:rPr>
          <w:spacing w:val="-2"/>
        </w:rPr>
        <w:tab/>
        <w:t>Des progrès ont aussi été accomplis en vue du renforcement du soutien de l</w:t>
      </w:r>
      <w:r w:rsidR="00A20444" w:rsidRPr="00486AEA">
        <w:rPr>
          <w:spacing w:val="-2"/>
        </w:rPr>
        <w:t>’</w:t>
      </w:r>
      <w:r w:rsidRPr="00486AEA">
        <w:rPr>
          <w:spacing w:val="-2"/>
        </w:rPr>
        <w:t xml:space="preserve">OMPI aux systèmes de gestion des données des organisations de gestion collective. </w:t>
      </w:r>
      <w:r w:rsidR="0010442A" w:rsidRPr="00486AEA">
        <w:rPr>
          <w:spacing w:val="-2"/>
        </w:rPr>
        <w:t xml:space="preserve"> </w:t>
      </w:r>
      <w:r w:rsidRPr="00486AEA">
        <w:rPr>
          <w:spacing w:val="-2"/>
        </w:rPr>
        <w:t>Une enquête indépendante et confidentielle auprès des utilisateurs menée en 2013 a indiqué un taux de satisfaction moyen supérieur à 75</w:t>
      </w:r>
      <w:r w:rsidR="007E442D" w:rsidRPr="00486AEA">
        <w:rPr>
          <w:spacing w:val="-2"/>
        </w:rPr>
        <w:t>%</w:t>
      </w:r>
      <w:r w:rsidRPr="00486AEA">
        <w:rPr>
          <w:spacing w:val="-2"/>
        </w:rPr>
        <w:t xml:space="preserve"> pour WIPOCOS (le système de gestion des données des organisations de gestion collective actuel </w:t>
      </w:r>
      <w:r w:rsidRPr="005C7CCE">
        <w:rPr>
          <w:spacing w:val="-2"/>
        </w:rPr>
        <w:t>de l</w:t>
      </w:r>
      <w:r w:rsidR="00A20444" w:rsidRPr="005C7CCE">
        <w:rPr>
          <w:spacing w:val="-2"/>
        </w:rPr>
        <w:t>’</w:t>
      </w:r>
      <w:r w:rsidRPr="005C7CCE">
        <w:rPr>
          <w:spacing w:val="-2"/>
        </w:rPr>
        <w:t xml:space="preserve">OMPI). </w:t>
      </w:r>
      <w:r w:rsidR="0010442A" w:rsidRPr="005C7CCE">
        <w:rPr>
          <w:spacing w:val="-2"/>
        </w:rPr>
        <w:t xml:space="preserve"> </w:t>
      </w:r>
      <w:r w:rsidRPr="005C7CCE">
        <w:rPr>
          <w:spacing w:val="-2"/>
        </w:rPr>
        <w:t>L</w:t>
      </w:r>
      <w:r w:rsidR="00A20444" w:rsidRPr="005C7CCE">
        <w:rPr>
          <w:spacing w:val="-2"/>
        </w:rPr>
        <w:t>’</w:t>
      </w:r>
      <w:r w:rsidRPr="005C7CCE">
        <w:rPr>
          <w:spacing w:val="-2"/>
        </w:rPr>
        <w:t>OMPI s</w:t>
      </w:r>
      <w:r w:rsidR="00A20444" w:rsidRPr="005C7CCE">
        <w:rPr>
          <w:spacing w:val="-2"/>
        </w:rPr>
        <w:t>’</w:t>
      </w:r>
      <w:r w:rsidRPr="005C7CCE">
        <w:rPr>
          <w:spacing w:val="-2"/>
        </w:rPr>
        <w:t>engage à maintenir</w:t>
      </w:r>
      <w:r w:rsidR="00A20444" w:rsidRPr="005C7CCE">
        <w:rPr>
          <w:spacing w:val="-2"/>
        </w:rPr>
        <w:t xml:space="preserve"> le WIP</w:t>
      </w:r>
      <w:r w:rsidRPr="005C7CCE">
        <w:rPr>
          <w:spacing w:val="-2"/>
        </w:rPr>
        <w:t>OCOS actuel pendant l</w:t>
      </w:r>
      <w:r w:rsidR="00A20444" w:rsidRPr="005C7CCE">
        <w:rPr>
          <w:spacing w:val="-2"/>
        </w:rPr>
        <w:t>’</w:t>
      </w:r>
      <w:r w:rsidRPr="005C7CCE">
        <w:rPr>
          <w:spacing w:val="-2"/>
        </w:rPr>
        <w:t>élaboration d</w:t>
      </w:r>
      <w:r w:rsidR="00A20444" w:rsidRPr="005C7CCE">
        <w:rPr>
          <w:spacing w:val="-2"/>
        </w:rPr>
        <w:t>’</w:t>
      </w:r>
      <w:r w:rsidRPr="005C7CCE">
        <w:rPr>
          <w:spacing w:val="-2"/>
        </w:rPr>
        <w:t>un système amélioré.</w:t>
      </w:r>
    </w:p>
    <w:p w:rsidR="00D42474" w:rsidRDefault="00F40E87" w:rsidP="001A5BF9">
      <w:pPr>
        <w:tabs>
          <w:tab w:val="left" w:pos="709"/>
        </w:tabs>
        <w:jc w:val="both"/>
        <w:rPr>
          <w:rFonts w:cs="Arial"/>
          <w:spacing w:val="-4"/>
          <w:szCs w:val="20"/>
        </w:rPr>
      </w:pPr>
      <w:r w:rsidRPr="005C7CCE">
        <w:rPr>
          <w:spacing w:val="-4"/>
        </w:rPr>
        <w:t>3.8.</w:t>
      </w:r>
      <w:r w:rsidRPr="005C7CCE">
        <w:rPr>
          <w:spacing w:val="-4"/>
        </w:rPr>
        <w:tab/>
        <w:t>Les autres projets notables visant à améliorer le fonctionnement des organisations de gestion collective comprenaient l</w:t>
      </w:r>
      <w:r w:rsidR="00A20444" w:rsidRPr="005C7CCE">
        <w:rPr>
          <w:spacing w:val="-4"/>
        </w:rPr>
        <w:t>’</w:t>
      </w:r>
      <w:r w:rsidRPr="005C7CCE">
        <w:rPr>
          <w:spacing w:val="-4"/>
        </w:rPr>
        <w:t>élaboration d</w:t>
      </w:r>
      <w:r w:rsidR="00A20444" w:rsidRPr="005C7CCE">
        <w:rPr>
          <w:spacing w:val="-4"/>
        </w:rPr>
        <w:t>’</w:t>
      </w:r>
      <w:r w:rsidRPr="005C7CCE">
        <w:rPr>
          <w:spacing w:val="-4"/>
        </w:rPr>
        <w:t>un manuel pilote de gestion collective en ligne interactif, contenant les données et chiffres clés des organisations de gestion collective de par le monde, une enquête internationale sur les systèmes de rémunération pour copie à des fins privées, un programme pilote d</w:t>
      </w:r>
      <w:r w:rsidR="00A20444" w:rsidRPr="005C7CCE">
        <w:rPr>
          <w:spacing w:val="-4"/>
        </w:rPr>
        <w:t>’</w:t>
      </w:r>
      <w:r w:rsidRPr="005C7CCE">
        <w:rPr>
          <w:spacing w:val="-4"/>
        </w:rPr>
        <w:t>une centaine d</w:t>
      </w:r>
      <w:r w:rsidR="00A20444" w:rsidRPr="005C7CCE">
        <w:rPr>
          <w:spacing w:val="-4"/>
        </w:rPr>
        <w:t>’</w:t>
      </w:r>
      <w:r w:rsidRPr="005C7CCE">
        <w:rPr>
          <w:spacing w:val="-4"/>
        </w:rPr>
        <w:t>heures d</w:t>
      </w:r>
      <w:r w:rsidR="00A20444" w:rsidRPr="005C7CCE">
        <w:rPr>
          <w:spacing w:val="-4"/>
        </w:rPr>
        <w:t>’</w:t>
      </w:r>
      <w:r w:rsidRPr="005C7CCE">
        <w:rPr>
          <w:spacing w:val="-4"/>
        </w:rPr>
        <w:t xml:space="preserve">apprentissage à distance sur les organisations de gestion collective, et une vidéo de formation à la gestion collective. </w:t>
      </w:r>
      <w:r w:rsidR="0010442A" w:rsidRPr="005C7CCE">
        <w:rPr>
          <w:spacing w:val="-4"/>
        </w:rPr>
        <w:t xml:space="preserve"> </w:t>
      </w:r>
      <w:r w:rsidRPr="005C7CCE">
        <w:rPr>
          <w:spacing w:val="-4"/>
        </w:rPr>
        <w:t xml:space="preserve">En 2013, un programme de mentorat reliant les organisations de gestion collective des pays développés et celles des pays en développement et des pays les moins avancés a été lancé. </w:t>
      </w:r>
      <w:r w:rsidR="0010442A" w:rsidRPr="005C7CCE">
        <w:rPr>
          <w:spacing w:val="-4"/>
        </w:rPr>
        <w:t xml:space="preserve"> </w:t>
      </w:r>
      <w:r w:rsidRPr="005C7CCE">
        <w:rPr>
          <w:spacing w:val="-4"/>
        </w:rPr>
        <w:t>De tels programmes (dix de ce type ont déjà été lancés) impliquent des conseillers experts en organisation de gestion collective d</w:t>
      </w:r>
      <w:r w:rsidR="00A20444" w:rsidRPr="005C7CCE">
        <w:rPr>
          <w:spacing w:val="-4"/>
        </w:rPr>
        <w:t>’</w:t>
      </w:r>
      <w:r w:rsidRPr="005C7CCE">
        <w:rPr>
          <w:spacing w:val="-4"/>
        </w:rPr>
        <w:t>une organisation de gestion collective établie fournissant des conseils sur site et à distance.</w:t>
      </w:r>
    </w:p>
    <w:p w:rsidR="00D42474" w:rsidRDefault="00D42474" w:rsidP="001A5BF9">
      <w:pPr>
        <w:tabs>
          <w:tab w:val="left" w:pos="709"/>
        </w:tabs>
        <w:jc w:val="both"/>
        <w:rPr>
          <w:rFonts w:cs="Arial"/>
          <w:szCs w:val="20"/>
        </w:rPr>
      </w:pPr>
    </w:p>
    <w:p w:rsidR="00D42474" w:rsidRDefault="00F40E87" w:rsidP="001A5BF9">
      <w:pPr>
        <w:tabs>
          <w:tab w:val="left" w:pos="709"/>
        </w:tabs>
        <w:jc w:val="both"/>
        <w:rPr>
          <w:rFonts w:cs="Arial"/>
          <w:szCs w:val="20"/>
        </w:rPr>
      </w:pPr>
      <w:r w:rsidRPr="005C7CCE">
        <w:t>3.9.</w:t>
      </w:r>
      <w:r w:rsidRPr="005C7CCE">
        <w:tab/>
        <w:t>Les travaux se sont poursuivis concernant l</w:t>
      </w:r>
      <w:r w:rsidR="00A20444" w:rsidRPr="005C7CCE">
        <w:t>’</w:t>
      </w:r>
      <w:r w:rsidRPr="005C7CCE">
        <w:t>étendue géographique des études de l</w:t>
      </w:r>
      <w:r w:rsidR="00A20444" w:rsidRPr="005C7CCE">
        <w:t>’</w:t>
      </w:r>
      <w:r w:rsidRPr="005C7CCE">
        <w:t xml:space="preserve">OMPI sur la contribution économique des industries de la création. </w:t>
      </w:r>
      <w:r w:rsidR="0010442A" w:rsidRPr="005C7CCE">
        <w:t xml:space="preserve"> </w:t>
      </w:r>
      <w:r w:rsidRPr="005C7CCE">
        <w:t>Ces études sont devenues l</w:t>
      </w:r>
      <w:r w:rsidR="00A20444" w:rsidRPr="005C7CCE">
        <w:t>’</w:t>
      </w:r>
      <w:r w:rsidRPr="005C7CCE">
        <w:t>une des sources les plus citées et respectées dans le monde sur la contribution économique du droit d</w:t>
      </w:r>
      <w:r w:rsidR="00A20444" w:rsidRPr="005C7CCE">
        <w:t>’</w:t>
      </w:r>
      <w:r w:rsidRPr="005C7CCE">
        <w:t xml:space="preserve">auteur. </w:t>
      </w:r>
      <w:r w:rsidR="0010442A" w:rsidRPr="005C7CCE">
        <w:t xml:space="preserve"> </w:t>
      </w:r>
      <w:r w:rsidRPr="005C7CCE">
        <w:t>Des études ont été réalisées dans 42 pays, 15 ayant été ajoutés au cours de cet exercice biennal.</w:t>
      </w:r>
      <w:r w:rsidR="0010442A" w:rsidRPr="005C7CCE">
        <w:t xml:space="preserve"> </w:t>
      </w:r>
      <w:r w:rsidRPr="005C7CCE">
        <w:t xml:space="preserve"> Les publications de l</w:t>
      </w:r>
      <w:r w:rsidR="00A20444" w:rsidRPr="005C7CCE">
        <w:t>’</w:t>
      </w:r>
      <w:r w:rsidRPr="005C7CCE">
        <w:t>OMPI à destination des créateurs sur la gestion de leur droit d</w:t>
      </w:r>
      <w:r w:rsidR="00A20444" w:rsidRPr="005C7CCE">
        <w:t>’</w:t>
      </w:r>
      <w:r w:rsidRPr="005C7CCE">
        <w:t>auteur dans les industries de la création ont été téléchargées plus de 53 000 fois.</w:t>
      </w:r>
    </w:p>
    <w:p w:rsidR="00D42474" w:rsidRDefault="00D42474" w:rsidP="001A5BF9">
      <w:pPr>
        <w:tabs>
          <w:tab w:val="left" w:pos="709"/>
        </w:tabs>
        <w:jc w:val="both"/>
        <w:rPr>
          <w:rFonts w:cs="Arial"/>
          <w:szCs w:val="20"/>
        </w:rPr>
      </w:pPr>
    </w:p>
    <w:p w:rsidR="00D42474" w:rsidRDefault="00F40E87" w:rsidP="001A5BF9">
      <w:pPr>
        <w:tabs>
          <w:tab w:val="left" w:pos="709"/>
        </w:tabs>
        <w:jc w:val="both"/>
      </w:pPr>
      <w:r w:rsidRPr="005C7CCE">
        <w:t>3.10.</w:t>
      </w:r>
      <w:r w:rsidRPr="005C7CCE">
        <w:tab/>
        <w:t xml:space="preserve">En collaboration avec divers partenaires, le projet TIGAR est passé de la phase pilote à la phase opérationnelle. </w:t>
      </w:r>
      <w:r w:rsidR="0010442A" w:rsidRPr="005C7CCE">
        <w:t xml:space="preserve"> </w:t>
      </w:r>
      <w:r w:rsidRPr="005C7CCE">
        <w:t xml:space="preserve">TIGAR est une base de données centralisée contenant les titres des œuvres disponibles dans des formats accessibles partout dans le monde. </w:t>
      </w:r>
      <w:r w:rsidR="0010442A" w:rsidRPr="005C7CCE">
        <w:t xml:space="preserve"> </w:t>
      </w:r>
      <w:r w:rsidRPr="005C7CCE">
        <w:t>Ce projet a pour but d</w:t>
      </w:r>
      <w:r w:rsidR="00A20444" w:rsidRPr="005C7CCE">
        <w:t>’</w:t>
      </w:r>
      <w:r w:rsidRPr="005C7CCE">
        <w:t>améliorer la connaissance et l</w:t>
      </w:r>
      <w:r w:rsidR="00A20444" w:rsidRPr="005C7CCE">
        <w:t>’</w:t>
      </w:r>
      <w:r w:rsidRPr="005C7CCE">
        <w:t>accès aux informations des déficients visuels en développant l</w:t>
      </w:r>
      <w:r w:rsidR="00A20444" w:rsidRPr="005C7CCE">
        <w:t>’</w:t>
      </w:r>
      <w:r w:rsidRPr="005C7CCE">
        <w:t>accès à des œuvres protégées par le droit d</w:t>
      </w:r>
      <w:r w:rsidR="00A20444" w:rsidRPr="005C7CCE">
        <w:t>’</w:t>
      </w:r>
      <w:r w:rsidRPr="005C7CCE">
        <w:t xml:space="preserve">auteur, telles que les livres. </w:t>
      </w:r>
      <w:r w:rsidR="0010442A" w:rsidRPr="005C7CCE">
        <w:t xml:space="preserve"> </w:t>
      </w:r>
      <w:r w:rsidRPr="005C7CCE">
        <w:t xml:space="preserve">Fin 2013, plus de 218 000 titres dans 45 langues figuraient dans la base de données TIGAR et environ 600 livres avaient été téléchargés. </w:t>
      </w:r>
      <w:r w:rsidR="0010442A" w:rsidRPr="005C7CCE">
        <w:t xml:space="preserve"> </w:t>
      </w:r>
      <w:r w:rsidRPr="005C7CCE">
        <w:t>L</w:t>
      </w:r>
      <w:r w:rsidR="00A20444" w:rsidRPr="005C7CCE">
        <w:t>’</w:t>
      </w:r>
      <w:r w:rsidRPr="005C7CCE">
        <w:t>OMPI a également lancé un programme de renforcement des capacités visant à améliorer les capacités des entités autorisées dans les pays en développement et les PMA à créer et distribuer des œuvres dans un format accessible au profit des personnes aveugles, des déficients visuels et des personnes ayant d</w:t>
      </w:r>
      <w:r w:rsidR="00A20444" w:rsidRPr="005C7CCE">
        <w:t>’</w:t>
      </w:r>
      <w:r w:rsidRPr="005C7CCE">
        <w:t>autres difficultés de lecture des textes imprimés.</w:t>
      </w:r>
    </w:p>
    <w:p w:rsidR="00D42474" w:rsidRDefault="00D42474" w:rsidP="001A5BF9">
      <w:pPr>
        <w:tabs>
          <w:tab w:val="left" w:pos="709"/>
        </w:tabs>
        <w:jc w:val="both"/>
        <w:rPr>
          <w:rFonts w:cs="Arial"/>
          <w:sz w:val="18"/>
          <w:szCs w:val="20"/>
        </w:rPr>
      </w:pPr>
    </w:p>
    <w:p w:rsidR="00D42474" w:rsidRDefault="00F40E87" w:rsidP="001A5BF9">
      <w:pPr>
        <w:tabs>
          <w:tab w:val="left" w:pos="709"/>
        </w:tabs>
        <w:jc w:val="both"/>
        <w:rPr>
          <w:spacing w:val="-4"/>
        </w:rPr>
      </w:pPr>
      <w:r w:rsidRPr="005C7CCE">
        <w:rPr>
          <w:spacing w:val="-4"/>
        </w:rPr>
        <w:t>3.11.</w:t>
      </w:r>
      <w:r w:rsidRPr="005C7CCE">
        <w:rPr>
          <w:spacing w:val="-4"/>
        </w:rPr>
        <w:tab/>
        <w:t>Enfin, le soutien continu au système </w:t>
      </w:r>
      <w:proofErr w:type="spellStart"/>
      <w:r w:rsidRPr="005C7CCE">
        <w:rPr>
          <w:spacing w:val="-4"/>
        </w:rPr>
        <w:t>GDA</w:t>
      </w:r>
      <w:proofErr w:type="spellEnd"/>
      <w:r w:rsidRPr="005C7CCE">
        <w:rPr>
          <w:spacing w:val="-4"/>
        </w:rPr>
        <w:t xml:space="preserve"> de l</w:t>
      </w:r>
      <w:r w:rsidR="00A20444" w:rsidRPr="005C7CCE">
        <w:rPr>
          <w:spacing w:val="-4"/>
        </w:rPr>
        <w:t>’</w:t>
      </w:r>
      <w:r w:rsidRPr="005C7CCE">
        <w:rPr>
          <w:spacing w:val="-4"/>
        </w:rPr>
        <w:t>OMPI, un système d</w:t>
      </w:r>
      <w:r w:rsidR="00A20444" w:rsidRPr="005C7CCE">
        <w:rPr>
          <w:spacing w:val="-4"/>
        </w:rPr>
        <w:t>’</w:t>
      </w:r>
      <w:r w:rsidRPr="005C7CCE">
        <w:rPr>
          <w:spacing w:val="-4"/>
        </w:rPr>
        <w:t>informations pour l</w:t>
      </w:r>
      <w:r w:rsidR="00A20444" w:rsidRPr="005C7CCE">
        <w:rPr>
          <w:spacing w:val="-4"/>
        </w:rPr>
        <w:t>’</w:t>
      </w:r>
      <w:r w:rsidRPr="005C7CCE">
        <w:rPr>
          <w:spacing w:val="-4"/>
        </w:rPr>
        <w:t>enregistrement public et la documentation des œuvres protégées par le droit d</w:t>
      </w:r>
      <w:r w:rsidR="00A20444" w:rsidRPr="005C7CCE">
        <w:rPr>
          <w:spacing w:val="-4"/>
        </w:rPr>
        <w:t>’</w:t>
      </w:r>
      <w:r w:rsidRPr="005C7CCE">
        <w:rPr>
          <w:spacing w:val="-4"/>
        </w:rPr>
        <w:t>auteur, qui aide les bureaux de droit d</w:t>
      </w:r>
      <w:r w:rsidR="00A20444" w:rsidRPr="005C7CCE">
        <w:rPr>
          <w:spacing w:val="-4"/>
        </w:rPr>
        <w:t>’</w:t>
      </w:r>
      <w:r w:rsidRPr="005C7CCE">
        <w:rPr>
          <w:spacing w:val="-4"/>
        </w:rPr>
        <w:t>auteur à gagner en efficacité dans leurs processus d</w:t>
      </w:r>
      <w:r w:rsidR="00A20444" w:rsidRPr="005C7CCE">
        <w:rPr>
          <w:spacing w:val="-4"/>
        </w:rPr>
        <w:t>’</w:t>
      </w:r>
      <w:r w:rsidRPr="005C7CCE">
        <w:rPr>
          <w:spacing w:val="-4"/>
        </w:rPr>
        <w:t>enregistrement du droit d</w:t>
      </w:r>
      <w:r w:rsidR="00A20444" w:rsidRPr="005C7CCE">
        <w:rPr>
          <w:spacing w:val="-4"/>
        </w:rPr>
        <w:t>’</w:t>
      </w:r>
      <w:r w:rsidRPr="005C7CCE">
        <w:rPr>
          <w:spacing w:val="-4"/>
        </w:rPr>
        <w:t xml:space="preserve">auteur. </w:t>
      </w:r>
      <w:r w:rsidR="0010442A" w:rsidRPr="005C7CCE">
        <w:rPr>
          <w:spacing w:val="-4"/>
        </w:rPr>
        <w:t xml:space="preserve"> </w:t>
      </w:r>
      <w:r w:rsidR="00C8367A">
        <w:rPr>
          <w:spacing w:val="-4"/>
        </w:rPr>
        <w:t xml:space="preserve">Le système </w:t>
      </w:r>
      <w:proofErr w:type="spellStart"/>
      <w:r w:rsidRPr="005C7CCE">
        <w:rPr>
          <w:spacing w:val="-4"/>
        </w:rPr>
        <w:t>GDA</w:t>
      </w:r>
      <w:proofErr w:type="spellEnd"/>
      <w:r w:rsidRPr="005C7CCE">
        <w:rPr>
          <w:spacing w:val="-4"/>
        </w:rPr>
        <w:t xml:space="preserve"> est désormais déployé dans 18 bureaux de droit d</w:t>
      </w:r>
      <w:r w:rsidR="00A20444" w:rsidRPr="005C7CCE">
        <w:rPr>
          <w:spacing w:val="-4"/>
        </w:rPr>
        <w:t>’</w:t>
      </w:r>
      <w:r w:rsidRPr="005C7CCE">
        <w:rPr>
          <w:spacing w:val="-4"/>
        </w:rPr>
        <w:t xml:space="preserve">auteur </w:t>
      </w:r>
      <w:r w:rsidR="00C8367A">
        <w:rPr>
          <w:spacing w:val="-4"/>
        </w:rPr>
        <w:t>dans la région</w:t>
      </w:r>
      <w:r w:rsidRPr="005C7CCE">
        <w:rPr>
          <w:spacing w:val="-4"/>
        </w:rPr>
        <w:t xml:space="preserve"> Amérique latine et </w:t>
      </w:r>
      <w:r w:rsidR="00C8367A">
        <w:rPr>
          <w:spacing w:val="-4"/>
        </w:rPr>
        <w:t xml:space="preserve">Caraïbes </w:t>
      </w:r>
      <w:r w:rsidRPr="005C7CCE">
        <w:rPr>
          <w:spacing w:val="-4"/>
        </w:rPr>
        <w:t>ainsi qu</w:t>
      </w:r>
      <w:r w:rsidR="00A20444" w:rsidRPr="005C7CCE">
        <w:rPr>
          <w:spacing w:val="-4"/>
        </w:rPr>
        <w:t>’</w:t>
      </w:r>
      <w:r w:rsidRPr="005C7CCE">
        <w:rPr>
          <w:spacing w:val="-4"/>
        </w:rPr>
        <w:t>en Afrique.</w:t>
      </w:r>
    </w:p>
    <w:p w:rsidR="00D42474" w:rsidRDefault="00D42474" w:rsidP="001A5BF9">
      <w:pPr>
        <w:tabs>
          <w:tab w:val="left" w:pos="709"/>
        </w:tabs>
        <w:jc w:val="both"/>
        <w:rPr>
          <w:rFonts w:cs="Arial"/>
          <w:sz w:val="18"/>
          <w:szCs w:val="20"/>
        </w:rPr>
      </w:pPr>
    </w:p>
    <w:p w:rsidR="00D42474" w:rsidRDefault="00F40E87" w:rsidP="001A5BF9">
      <w:pPr>
        <w:keepNext/>
        <w:keepLines/>
        <w:tabs>
          <w:tab w:val="left" w:pos="709"/>
        </w:tabs>
        <w:jc w:val="both"/>
        <w:rPr>
          <w:u w:val="single"/>
        </w:rPr>
      </w:pPr>
      <w:r w:rsidRPr="00486AEA">
        <w:rPr>
          <w:u w:val="single"/>
        </w:rPr>
        <w:t>Fourniture d</w:t>
      </w:r>
      <w:r w:rsidR="00A20444" w:rsidRPr="00486AEA">
        <w:rPr>
          <w:u w:val="single"/>
        </w:rPr>
        <w:t>’</w:t>
      </w:r>
      <w:r w:rsidRPr="00486AEA">
        <w:rPr>
          <w:u w:val="single"/>
        </w:rPr>
        <w:t>une assistance technique en faveur des pays en développement et des PMA</w:t>
      </w:r>
    </w:p>
    <w:p w:rsidR="00D42474" w:rsidRDefault="00D42474" w:rsidP="001A5BF9">
      <w:pPr>
        <w:keepNext/>
        <w:keepLines/>
        <w:tabs>
          <w:tab w:val="left" w:pos="709"/>
        </w:tabs>
        <w:jc w:val="both"/>
        <w:rPr>
          <w:rFonts w:cs="Arial"/>
          <w:bCs/>
          <w:sz w:val="18"/>
          <w:szCs w:val="20"/>
          <w:u w:val="single"/>
        </w:rPr>
      </w:pPr>
    </w:p>
    <w:p w:rsidR="00D42474" w:rsidRDefault="00F40E87" w:rsidP="001A5BF9">
      <w:pPr>
        <w:tabs>
          <w:tab w:val="left" w:pos="709"/>
        </w:tabs>
        <w:jc w:val="both"/>
        <w:rPr>
          <w:spacing w:val="-4"/>
        </w:rPr>
      </w:pPr>
      <w:r w:rsidRPr="005C7CCE">
        <w:rPr>
          <w:spacing w:val="-4"/>
        </w:rPr>
        <w:t>3.12.</w:t>
      </w:r>
      <w:r w:rsidRPr="005C7CCE">
        <w:rPr>
          <w:spacing w:val="-4"/>
        </w:rPr>
        <w:tab/>
        <w:t>Les programmes d</w:t>
      </w:r>
      <w:r w:rsidR="00A20444" w:rsidRPr="005C7CCE">
        <w:rPr>
          <w:spacing w:val="-4"/>
        </w:rPr>
        <w:t>’</w:t>
      </w:r>
      <w:r w:rsidRPr="005C7CCE">
        <w:rPr>
          <w:spacing w:val="-4"/>
        </w:rPr>
        <w:t>assistance technique et de renforcement des capacités dans le domaine du droit d</w:t>
      </w:r>
      <w:r w:rsidR="00A20444" w:rsidRPr="005C7CCE">
        <w:rPr>
          <w:spacing w:val="-4"/>
        </w:rPr>
        <w:t>’</w:t>
      </w:r>
      <w:r w:rsidRPr="005C7CCE">
        <w:rPr>
          <w:spacing w:val="-4"/>
        </w:rPr>
        <w:t>auteur et des droits connexes ont été guidés par les quatre piliers du développement : l</w:t>
      </w:r>
      <w:r w:rsidR="00A20444" w:rsidRPr="005C7CCE">
        <w:rPr>
          <w:spacing w:val="-4"/>
        </w:rPr>
        <w:t>’</w:t>
      </w:r>
      <w:r w:rsidRPr="005C7CCE">
        <w:rPr>
          <w:spacing w:val="-4"/>
        </w:rPr>
        <w:t>élaboration de politiques et stratégies nationales en matière de propriété intellectuelle,</w:t>
      </w:r>
      <w:r w:rsidR="004F3E42" w:rsidRPr="005C7CCE">
        <w:rPr>
          <w:spacing w:val="-4"/>
        </w:rPr>
        <w:t xml:space="preserve"> </w:t>
      </w:r>
      <w:r w:rsidRPr="005C7CCE">
        <w:rPr>
          <w:spacing w:val="-4"/>
        </w:rPr>
        <w:t>l</w:t>
      </w:r>
      <w:r w:rsidR="00A20444" w:rsidRPr="005C7CCE">
        <w:rPr>
          <w:spacing w:val="-4"/>
        </w:rPr>
        <w:t>’</w:t>
      </w:r>
      <w:r w:rsidRPr="005C7CCE">
        <w:rPr>
          <w:spacing w:val="-4"/>
        </w:rPr>
        <w:t>amélioration des cadres juridiques et réglementaires, l</w:t>
      </w:r>
      <w:r w:rsidR="00A20444" w:rsidRPr="005C7CCE">
        <w:rPr>
          <w:spacing w:val="-4"/>
        </w:rPr>
        <w:t>’</w:t>
      </w:r>
      <w:r w:rsidRPr="005C7CCE">
        <w:rPr>
          <w:spacing w:val="-4"/>
        </w:rPr>
        <w:t>amélioration de l</w:t>
      </w:r>
      <w:r w:rsidR="00A20444" w:rsidRPr="005C7CCE">
        <w:rPr>
          <w:spacing w:val="-4"/>
        </w:rPr>
        <w:t>’</w:t>
      </w:r>
      <w:r w:rsidRPr="005C7CCE">
        <w:rPr>
          <w:spacing w:val="-4"/>
        </w:rPr>
        <w:t>infrastructure et l</w:t>
      </w:r>
      <w:r w:rsidR="00A20444" w:rsidRPr="005C7CCE">
        <w:rPr>
          <w:spacing w:val="-4"/>
        </w:rPr>
        <w:t>’</w:t>
      </w:r>
      <w:r w:rsidRPr="005C7CCE">
        <w:rPr>
          <w:spacing w:val="-4"/>
        </w:rPr>
        <w:t>élaboration d</w:t>
      </w:r>
      <w:r w:rsidR="00A20444" w:rsidRPr="005C7CCE">
        <w:rPr>
          <w:spacing w:val="-4"/>
        </w:rPr>
        <w:t>’</w:t>
      </w:r>
      <w:r w:rsidRPr="005C7CCE">
        <w:rPr>
          <w:spacing w:val="-4"/>
        </w:rPr>
        <w:t>une expertise technique locale.</w:t>
      </w:r>
    </w:p>
    <w:p w:rsidR="00D42474" w:rsidRDefault="00D42474" w:rsidP="001A5BF9">
      <w:pPr>
        <w:tabs>
          <w:tab w:val="left" w:pos="709"/>
        </w:tabs>
        <w:jc w:val="both"/>
        <w:rPr>
          <w:rFonts w:cs="Arial"/>
          <w:sz w:val="18"/>
          <w:szCs w:val="20"/>
        </w:rPr>
      </w:pPr>
    </w:p>
    <w:p w:rsidR="00D42474" w:rsidRDefault="00F40E87" w:rsidP="001A5BF9">
      <w:pPr>
        <w:tabs>
          <w:tab w:val="left" w:pos="709"/>
        </w:tabs>
        <w:jc w:val="both"/>
      </w:pPr>
      <w:r w:rsidRPr="005C7CCE">
        <w:t>3.13.</w:t>
      </w:r>
      <w:r w:rsidRPr="005C7CCE">
        <w:tab/>
        <w:t>Au cours de l</w:t>
      </w:r>
      <w:r w:rsidR="00A20444" w:rsidRPr="005C7CCE">
        <w:t>’</w:t>
      </w:r>
      <w:r w:rsidRPr="005C7CCE">
        <w:t xml:space="preserve">exercice biennal, au total, 105 programmes de formation ont été organisés aux niveaux national, régional et interrégional. </w:t>
      </w:r>
      <w:r w:rsidR="0010442A" w:rsidRPr="005C7CCE">
        <w:t xml:space="preserve"> </w:t>
      </w:r>
      <w:r w:rsidRPr="005C7CCE">
        <w:t xml:space="preserve">Plus de </w:t>
      </w:r>
      <w:r w:rsidR="0010442A" w:rsidRPr="005C7CCE">
        <w:t>3300</w:t>
      </w:r>
      <w:r w:rsidRPr="005C7CCE">
        <w:t> fonctionnaires nationaux, spécialistes du droit d</w:t>
      </w:r>
      <w:r w:rsidR="00A20444" w:rsidRPr="005C7CCE">
        <w:t>’</w:t>
      </w:r>
      <w:r w:rsidRPr="005C7CCE">
        <w:t>auteur et représentants des organisations des parties prenantes de 118 pays en développement et PMA et quatre organisations intergouvernementales régionales ont participé aux programmes.</w:t>
      </w:r>
    </w:p>
    <w:p w:rsidR="00D42474" w:rsidRDefault="00D42474" w:rsidP="001A5BF9">
      <w:pPr>
        <w:tabs>
          <w:tab w:val="left" w:pos="709"/>
        </w:tabs>
        <w:jc w:val="both"/>
        <w:rPr>
          <w:rFonts w:cs="Arial"/>
          <w:sz w:val="18"/>
          <w:szCs w:val="20"/>
        </w:rPr>
      </w:pPr>
    </w:p>
    <w:p w:rsidR="00D42474" w:rsidRDefault="00F40E87" w:rsidP="001A5BF9">
      <w:pPr>
        <w:tabs>
          <w:tab w:val="left" w:pos="709"/>
        </w:tabs>
        <w:jc w:val="both"/>
        <w:rPr>
          <w:rFonts w:cs="Arial"/>
          <w:szCs w:val="20"/>
        </w:rPr>
      </w:pPr>
      <w:r w:rsidRPr="005C7CCE">
        <w:t>3.14.</w:t>
      </w:r>
      <w:r w:rsidRPr="005C7CCE">
        <w:tab/>
        <w:t>Les informations et les connaissances partagées dans le cadre de ces programmes ont permis de renforcer les capacités humaines et institutionnelles des bureaux du droit d</w:t>
      </w:r>
      <w:r w:rsidR="00A20444" w:rsidRPr="005C7CCE">
        <w:t>’</w:t>
      </w:r>
      <w:r w:rsidRPr="005C7CCE">
        <w:t>auteur et d</w:t>
      </w:r>
      <w:r w:rsidR="00A20444" w:rsidRPr="005C7CCE">
        <w:t>’</w:t>
      </w:r>
      <w:r w:rsidRPr="005C7CCE">
        <w:t>autres organisations liées.</w:t>
      </w:r>
      <w:r w:rsidR="004F3E42" w:rsidRPr="005C7CCE">
        <w:t xml:space="preserve"> </w:t>
      </w:r>
      <w:r w:rsidR="0010442A" w:rsidRPr="005C7CCE">
        <w:t xml:space="preserve"> </w:t>
      </w:r>
      <w:r w:rsidRPr="005C7CCE">
        <w:t>Elles ont également permis aux fonctionnaires nationaux, responsables et autres spécialistes importants de traiter plus efficacement le large éventail d</w:t>
      </w:r>
      <w:r w:rsidR="00A20444" w:rsidRPr="005C7CCE">
        <w:t>’</w:t>
      </w:r>
      <w:r w:rsidRPr="005C7CCE">
        <w:t>exigences nécessaires pour une gestion et une utilisation efficaces du système du droit d</w:t>
      </w:r>
      <w:r w:rsidR="00A20444" w:rsidRPr="005C7CCE">
        <w:t>’</w:t>
      </w:r>
      <w:r w:rsidRPr="005C7CCE">
        <w:t xml:space="preserve">auteur et des droits connexes. </w:t>
      </w:r>
      <w:r w:rsidR="0010442A" w:rsidRPr="005C7CCE">
        <w:t xml:space="preserve"> </w:t>
      </w:r>
      <w:r w:rsidRPr="005C7CCE">
        <w:t>Ces travaux incluaient l</w:t>
      </w:r>
      <w:r w:rsidR="00A20444" w:rsidRPr="005C7CCE">
        <w:t>’</w:t>
      </w:r>
      <w:r w:rsidRPr="005C7CCE">
        <w:t>objectif essentiel de la sensibilisation du public sur la pertinence économique et culturelle ainsi que l</w:t>
      </w:r>
      <w:r w:rsidR="00A20444" w:rsidRPr="005C7CCE">
        <w:t>’</w:t>
      </w:r>
      <w:r w:rsidRPr="005C7CCE">
        <w:t>importance du droit d</w:t>
      </w:r>
      <w:r w:rsidR="00A20444" w:rsidRPr="005C7CCE">
        <w:t>’</w:t>
      </w:r>
      <w:r w:rsidRPr="005C7CCE">
        <w:t>auteur et des droits connexes dans l</w:t>
      </w:r>
      <w:r w:rsidR="00A20444" w:rsidRPr="005C7CCE">
        <w:t>’</w:t>
      </w:r>
      <w:r w:rsidRPr="005C7CCE">
        <w:t>environnement numérique.</w:t>
      </w:r>
    </w:p>
    <w:p w:rsidR="00D42474" w:rsidRDefault="00D42474" w:rsidP="001A5BF9">
      <w:pPr>
        <w:tabs>
          <w:tab w:val="left" w:pos="709"/>
        </w:tabs>
        <w:jc w:val="both"/>
        <w:rPr>
          <w:rFonts w:cs="Arial"/>
          <w:sz w:val="18"/>
          <w:szCs w:val="20"/>
        </w:rPr>
      </w:pPr>
    </w:p>
    <w:p w:rsidR="00D42474" w:rsidRDefault="00F40E87" w:rsidP="001A5BF9">
      <w:pPr>
        <w:tabs>
          <w:tab w:val="left" w:pos="709"/>
        </w:tabs>
        <w:jc w:val="both"/>
        <w:rPr>
          <w:rFonts w:cs="Arial"/>
          <w:szCs w:val="20"/>
        </w:rPr>
      </w:pPr>
      <w:r w:rsidRPr="005C7CCE">
        <w:t>3.15.</w:t>
      </w:r>
      <w:r w:rsidRPr="005C7CCE">
        <w:tab/>
        <w:t>Des efforts ont été faits pour mieux hiérarchiser les programmes d</w:t>
      </w:r>
      <w:r w:rsidR="00A20444" w:rsidRPr="005C7CCE">
        <w:t>’</w:t>
      </w:r>
      <w:r w:rsidRPr="005C7CCE">
        <w:t>assistance technique, améliorer la collaboration interne tout en réduisant les coûts, contrôler et suivre l</w:t>
      </w:r>
      <w:r w:rsidR="00A20444" w:rsidRPr="005C7CCE">
        <w:t>’</w:t>
      </w:r>
      <w:r w:rsidRPr="005C7CCE">
        <w:t>assistance afin d</w:t>
      </w:r>
      <w:r w:rsidR="00A20444" w:rsidRPr="005C7CCE">
        <w:t>’</w:t>
      </w:r>
      <w:r w:rsidRPr="005C7CCE">
        <w:t>encourager l</w:t>
      </w:r>
      <w:r w:rsidR="00A20444" w:rsidRPr="005C7CCE">
        <w:t>’</w:t>
      </w:r>
      <w:r w:rsidRPr="005C7CCE">
        <w:t>action au niveau national, et faire davantage appel à des experts externes.</w:t>
      </w:r>
    </w:p>
    <w:p w:rsidR="00D42474" w:rsidRDefault="00D42474" w:rsidP="001A5BF9">
      <w:pPr>
        <w:tabs>
          <w:tab w:val="left" w:pos="709"/>
        </w:tabs>
        <w:jc w:val="both"/>
        <w:rPr>
          <w:rFonts w:cs="Arial"/>
          <w:bCs/>
          <w:szCs w:val="22"/>
        </w:rPr>
      </w:pPr>
    </w:p>
    <w:p w:rsidR="00D42474" w:rsidRDefault="00D42474" w:rsidP="001A5BF9">
      <w:pPr>
        <w:tabs>
          <w:tab w:val="left" w:pos="709"/>
        </w:tabs>
        <w:jc w:val="both"/>
        <w:rPr>
          <w:rFonts w:cs="Arial"/>
          <w:bCs/>
          <w:szCs w:val="22"/>
        </w:rPr>
      </w:pPr>
    </w:p>
    <w:p w:rsidR="00D42474" w:rsidRDefault="00F40E87" w:rsidP="001A5BF9">
      <w:pPr>
        <w:tabs>
          <w:tab w:val="left" w:pos="709"/>
        </w:tabs>
        <w:jc w:val="both"/>
        <w:rPr>
          <w:szCs w:val="20"/>
        </w:rPr>
      </w:pPr>
      <w:r w:rsidRPr="00761625">
        <w:rPr>
          <w:sz w:val="22"/>
        </w:rPr>
        <w:t>MISE EN ŒUVRE DU PLAN D</w:t>
      </w:r>
      <w:r w:rsidR="00A20444" w:rsidRPr="00761625">
        <w:rPr>
          <w:sz w:val="22"/>
        </w:rPr>
        <w:t>’</w:t>
      </w:r>
      <w:r w:rsidRPr="00761625">
        <w:rPr>
          <w:sz w:val="22"/>
        </w:rPr>
        <w:t>ACTION POUR LE DÉVELOPPEMENT</w:t>
      </w:r>
    </w:p>
    <w:p w:rsidR="00D42474" w:rsidRDefault="00D42474" w:rsidP="001A5BF9">
      <w:pPr>
        <w:tabs>
          <w:tab w:val="left" w:pos="709"/>
        </w:tabs>
        <w:jc w:val="both"/>
        <w:rPr>
          <w:rFonts w:cs="Arial"/>
          <w:bCs/>
          <w:szCs w:val="22"/>
        </w:rPr>
      </w:pPr>
    </w:p>
    <w:p w:rsidR="00D42474" w:rsidRDefault="00F40E87" w:rsidP="001A5BF9">
      <w:pPr>
        <w:tabs>
          <w:tab w:val="left" w:pos="709"/>
        </w:tabs>
        <w:jc w:val="both"/>
      </w:pPr>
      <w:r w:rsidRPr="00486AEA">
        <w:t>3.16.</w:t>
      </w:r>
      <w:r w:rsidRPr="00486AEA">
        <w:tab/>
        <w:t>La conception, la planification et la mise en œuvre des activités menées au titre du programme 3 s</w:t>
      </w:r>
      <w:r w:rsidR="00A20444" w:rsidRPr="00486AEA">
        <w:t>’</w:t>
      </w:r>
      <w:r w:rsidRPr="00486AEA">
        <w:t>appuient sur les recommandations pertinentes du Plan d</w:t>
      </w:r>
      <w:r w:rsidR="00A20444" w:rsidRPr="00486AEA">
        <w:t>’</w:t>
      </w:r>
      <w:r w:rsidRPr="00486AEA">
        <w:t>action pour le développement.</w:t>
      </w:r>
      <w:r w:rsidR="004F3E42" w:rsidRPr="00486AEA">
        <w:t xml:space="preserve"> </w:t>
      </w:r>
      <w:r w:rsidR="0010442A" w:rsidRPr="00486AEA">
        <w:t xml:space="preserve"> </w:t>
      </w:r>
      <w:r w:rsidRPr="00486AEA">
        <w:t>Les activités d</w:t>
      </w:r>
      <w:r w:rsidR="00A20444" w:rsidRPr="00486AEA">
        <w:t>’</w:t>
      </w:r>
      <w:r w:rsidRPr="00486AEA">
        <w:t>établissement de normes ont continué d</w:t>
      </w:r>
      <w:r w:rsidR="00A20444" w:rsidRPr="00486AEA">
        <w:t>’</w:t>
      </w:r>
      <w:r w:rsidRPr="00486AEA">
        <w:t>être menées au sein</w:t>
      </w:r>
      <w:r w:rsidR="00A20444" w:rsidRPr="00486AEA">
        <w:t xml:space="preserve"> du SCC</w:t>
      </w:r>
      <w:r w:rsidRPr="00486AEA">
        <w:t>R de manière exhaustive et à l</w:t>
      </w:r>
      <w:r w:rsidR="00A20444" w:rsidRPr="00486AEA">
        <w:t>’</w:t>
      </w:r>
      <w:r w:rsidRPr="00486AEA">
        <w:t>initiative des membres (recommandation n° 15), compte dûment tenu des limites, du rôle et du cadre du “domaine public” (recommandations n</w:t>
      </w:r>
      <w:r w:rsidRPr="00486AEA">
        <w:rPr>
          <w:vertAlign w:val="superscript"/>
        </w:rPr>
        <w:t>os</w:t>
      </w:r>
      <w:r w:rsidRPr="00486AEA">
        <w:t> 16 et 20) et des éléments de flexibilité prévus dans les accords internationaux dans le domaine de la propriété intellectuelle (recommandation n° 17).</w:t>
      </w:r>
    </w:p>
    <w:p w:rsidR="00D42474" w:rsidRDefault="00D42474" w:rsidP="001A5BF9">
      <w:pPr>
        <w:tabs>
          <w:tab w:val="left" w:pos="709"/>
        </w:tabs>
        <w:jc w:val="both"/>
        <w:rPr>
          <w:szCs w:val="20"/>
        </w:rPr>
      </w:pPr>
    </w:p>
    <w:p w:rsidR="00D42474" w:rsidRDefault="00F40E87" w:rsidP="001A5BF9">
      <w:pPr>
        <w:tabs>
          <w:tab w:val="left" w:pos="709"/>
        </w:tabs>
        <w:jc w:val="both"/>
        <w:rPr>
          <w:szCs w:val="20"/>
        </w:rPr>
      </w:pPr>
      <w:r w:rsidRPr="00486AEA">
        <w:t>3.17.</w:t>
      </w:r>
      <w:r w:rsidRPr="00486AEA">
        <w:tab/>
        <w:t>Les négociations menées au sein</w:t>
      </w:r>
      <w:r w:rsidR="00A20444" w:rsidRPr="00486AEA">
        <w:t xml:space="preserve"> du SCC</w:t>
      </w:r>
      <w:r w:rsidRPr="00486AEA">
        <w:t>R ont été fondées sur des consultations ouvertes et équilibrées (recommandations n</w:t>
      </w:r>
      <w:r w:rsidRPr="00486AEA">
        <w:rPr>
          <w:vertAlign w:val="superscript"/>
        </w:rPr>
        <w:t>os</w:t>
      </w:r>
      <w:r w:rsidRPr="00486AEA">
        <w:t xml:space="preserve"> 21 et 42) tout en appuyant les objectifs de développement énoncés dans le cadre des </w:t>
      </w:r>
      <w:r w:rsidR="00A20444" w:rsidRPr="00486AEA">
        <w:t>Nations Unies</w:t>
      </w:r>
      <w:r w:rsidRPr="00486AEA">
        <w:t xml:space="preserve"> (recommandation n° 22).</w:t>
      </w:r>
      <w:r w:rsidR="004F3E42" w:rsidRPr="00486AEA">
        <w:t xml:space="preserve"> </w:t>
      </w:r>
      <w:r w:rsidR="0010442A" w:rsidRPr="00486AEA">
        <w:t xml:space="preserve"> </w:t>
      </w:r>
      <w:r w:rsidRPr="00486AEA">
        <w:t>De plus, en 2013, le comité a consacré un temps significatif aux limitations et exceptions pour les personnes aveugles, les déficients visuels et les personnes ayant d</w:t>
      </w:r>
      <w:r w:rsidR="00A20444" w:rsidRPr="00486AEA">
        <w:t>’</w:t>
      </w:r>
      <w:r w:rsidRPr="00486AEA">
        <w:t xml:space="preserve">autres difficultés de lecture des textes imprimés. </w:t>
      </w:r>
      <w:r w:rsidR="0010442A" w:rsidRPr="00486AEA">
        <w:t xml:space="preserve"> </w:t>
      </w:r>
      <w:r w:rsidRPr="00486AEA">
        <w:t>La conférence diplomatique convoquée à Marrakech, au Maroc, du 17 au 28 juin 2013, a conclu ses travaux par l</w:t>
      </w:r>
      <w:r w:rsidR="00A20444" w:rsidRPr="00486AEA">
        <w:t>’</w:t>
      </w:r>
      <w:r w:rsidRPr="00486AEA">
        <w:t>adoption du Traité de Marrakech visant à faciliter l</w:t>
      </w:r>
      <w:r w:rsidR="00A20444" w:rsidRPr="00486AEA">
        <w:t>’</w:t>
      </w:r>
      <w:r w:rsidRPr="00486AEA">
        <w:t>accès des aveugles, des déficients visuels et des personnes ayant d</w:t>
      </w:r>
      <w:r w:rsidR="00A20444" w:rsidRPr="00486AEA">
        <w:t>’</w:t>
      </w:r>
      <w:r w:rsidRPr="00486AEA">
        <w:t>autres difficultés de lecture des textes imprimés aux œuvres publiées.</w:t>
      </w:r>
    </w:p>
    <w:p w:rsidR="00D42474" w:rsidRDefault="00D42474" w:rsidP="001A5BF9">
      <w:pPr>
        <w:tabs>
          <w:tab w:val="left" w:pos="709"/>
        </w:tabs>
        <w:jc w:val="both"/>
        <w:rPr>
          <w:szCs w:val="20"/>
        </w:rPr>
      </w:pPr>
    </w:p>
    <w:p w:rsidR="00D42474" w:rsidRDefault="00F40E87" w:rsidP="001A5BF9">
      <w:pPr>
        <w:tabs>
          <w:tab w:val="left" w:pos="709"/>
        </w:tabs>
        <w:jc w:val="both"/>
        <w:rPr>
          <w:szCs w:val="20"/>
        </w:rPr>
      </w:pPr>
      <w:r w:rsidRPr="00486AEA">
        <w:t>3.18.</w:t>
      </w:r>
      <w:r w:rsidRPr="00486AEA">
        <w:tab/>
        <w:t>Les activités d</w:t>
      </w:r>
      <w:r w:rsidR="00A20444" w:rsidRPr="00486AEA">
        <w:t>’</w:t>
      </w:r>
      <w:r w:rsidRPr="00486AEA">
        <w:t>assistance technique, de renforcement des capacités et d</w:t>
      </w:r>
      <w:r w:rsidR="00A20444" w:rsidRPr="00486AEA">
        <w:t>’</w:t>
      </w:r>
      <w:r w:rsidRPr="00486AEA">
        <w:t>assistance législative ont été axées sur le développement, déterminées par la demande et ont fait l</w:t>
      </w:r>
      <w:r w:rsidR="00A20444" w:rsidRPr="00486AEA">
        <w:t>’</w:t>
      </w:r>
      <w:r w:rsidRPr="00486AEA">
        <w:t>objet de comptes rendus réguliers (recommandations n</w:t>
      </w:r>
      <w:r w:rsidRPr="00486AEA">
        <w:rPr>
          <w:vertAlign w:val="superscript"/>
        </w:rPr>
        <w:t>os</w:t>
      </w:r>
      <w:r w:rsidRPr="00486AEA">
        <w:t xml:space="preserve"> 1 et 13). </w:t>
      </w:r>
      <w:r w:rsidR="0010442A" w:rsidRPr="00486AEA">
        <w:t xml:space="preserve"> </w:t>
      </w:r>
      <w:r w:rsidRPr="00486AEA">
        <w:t>En outre, l</w:t>
      </w:r>
      <w:r w:rsidR="00A20444" w:rsidRPr="00486AEA">
        <w:t>’</w:t>
      </w:r>
      <w:r w:rsidRPr="00486AEA">
        <w:t>assistance fournie dans le domaine législatif aux États membres était axée sur le développement, équilibrée et adaptée aux demandes des États membres, conformément aux principes du Plan d</w:t>
      </w:r>
      <w:r w:rsidR="00A20444" w:rsidRPr="00486AEA">
        <w:t>’</w:t>
      </w:r>
      <w:r w:rsidRPr="00486AEA">
        <w:t>action pour le développement (recommandation n° 13), et tenait compte des éléments de flexibilité applicables à des pays dont les niveaux de développement sont différents (recommandations n</w:t>
      </w:r>
      <w:r w:rsidRPr="00486AEA">
        <w:rPr>
          <w:vertAlign w:val="superscript"/>
        </w:rPr>
        <w:t>os</w:t>
      </w:r>
      <w:r w:rsidRPr="00486AEA">
        <w:t> 14 et 17).</w:t>
      </w:r>
    </w:p>
    <w:p w:rsidR="00D42474" w:rsidRDefault="00D42474" w:rsidP="001A5BF9">
      <w:pPr>
        <w:tabs>
          <w:tab w:val="left" w:pos="709"/>
        </w:tabs>
        <w:jc w:val="both"/>
        <w:rPr>
          <w:szCs w:val="20"/>
        </w:rPr>
      </w:pPr>
    </w:p>
    <w:p w:rsidR="00D42474" w:rsidRDefault="00F40E87" w:rsidP="001A5BF9">
      <w:pPr>
        <w:tabs>
          <w:tab w:val="left" w:pos="709"/>
        </w:tabs>
        <w:jc w:val="both"/>
      </w:pPr>
      <w:r w:rsidRPr="00486AEA">
        <w:t>3.19.</w:t>
      </w:r>
      <w:r w:rsidRPr="00486AEA">
        <w:tab/>
        <w:t>En outre, le programme a été mis en œuvre dans le cadre des projets relatifs au Plan d</w:t>
      </w:r>
      <w:r w:rsidR="00A20444" w:rsidRPr="00486AEA">
        <w:t>’</w:t>
      </w:r>
      <w:r w:rsidRPr="00486AEA">
        <w:t>action pour le développement suivants :</w:t>
      </w:r>
    </w:p>
    <w:p w:rsidR="00D42474" w:rsidRDefault="00D42474" w:rsidP="001A5BF9">
      <w:pPr>
        <w:tabs>
          <w:tab w:val="left" w:pos="709"/>
        </w:tabs>
        <w:jc w:val="both"/>
        <w:rPr>
          <w:szCs w:val="20"/>
        </w:rPr>
      </w:pPr>
    </w:p>
    <w:p w:rsidR="00D42474" w:rsidRDefault="00F40E87" w:rsidP="001A5BF9">
      <w:pPr>
        <w:pStyle w:val="Paragraphedeliste"/>
        <w:numPr>
          <w:ilvl w:val="0"/>
          <w:numId w:val="7"/>
        </w:numPr>
        <w:tabs>
          <w:tab w:val="left" w:pos="1134"/>
        </w:tabs>
        <w:ind w:left="1134" w:hanging="425"/>
        <w:jc w:val="both"/>
      </w:pPr>
      <w:r w:rsidRPr="00486AEA">
        <w:t>Une nouvelle réorientation du projet “Renforcement de la capacité des institutions gouvernementales et partenaires œuvrant dans le domaine de la propriété intellectuelle au niveau national pour gérer, superviser et promouvoir les industries de la création et améliorer les résultats et l</w:t>
      </w:r>
      <w:r w:rsidR="00A20444" w:rsidRPr="00486AEA">
        <w:t>’</w:t>
      </w:r>
      <w:r w:rsidRPr="00486AEA">
        <w:t>organisation en réseau des organismes de gestion collective du droit d</w:t>
      </w:r>
      <w:r w:rsidR="00A20444" w:rsidRPr="00486AEA">
        <w:t>’</w:t>
      </w:r>
      <w:r w:rsidRPr="00486AEA">
        <w:t>auteur” afin d</w:t>
      </w:r>
      <w:r w:rsidR="00A20444" w:rsidRPr="00486AEA">
        <w:t>’</w:t>
      </w:r>
      <w:r w:rsidRPr="00486AEA">
        <w:t>élargir son domaine d</w:t>
      </w:r>
      <w:r w:rsidR="00A20444" w:rsidRPr="00486AEA">
        <w:t>’</w:t>
      </w:r>
      <w:r w:rsidRPr="00486AEA">
        <w:t>application pour créer des institutions de propriété intellectuelle plus efficaces et favoriser un équilibre plus juste entre la protection de la propriété intellectuelle et le public.</w:t>
      </w:r>
    </w:p>
    <w:p w:rsidR="00D42474" w:rsidRDefault="00D42474" w:rsidP="001A5BF9">
      <w:pPr>
        <w:tabs>
          <w:tab w:val="left" w:pos="1134"/>
        </w:tabs>
        <w:ind w:left="1134" w:hanging="425"/>
        <w:jc w:val="both"/>
        <w:rPr>
          <w:szCs w:val="20"/>
        </w:rPr>
      </w:pPr>
    </w:p>
    <w:p w:rsidR="00D42474" w:rsidRDefault="00F40E87" w:rsidP="001A5BF9">
      <w:pPr>
        <w:pStyle w:val="Paragraphedeliste"/>
        <w:numPr>
          <w:ilvl w:val="0"/>
          <w:numId w:val="7"/>
        </w:numPr>
        <w:tabs>
          <w:tab w:val="left" w:pos="1134"/>
        </w:tabs>
        <w:ind w:left="1134" w:hanging="425"/>
        <w:jc w:val="both"/>
      </w:pPr>
      <w:r w:rsidRPr="00486AEA">
        <w:t>Préparation de l</w:t>
      </w:r>
      <w:r w:rsidR="00A20444" w:rsidRPr="00486AEA">
        <w:t>’</w:t>
      </w:r>
      <w:r w:rsidRPr="00486AEA">
        <w:t>analyse comparative des approches nationales en matière de renonciation volontaire au droit d</w:t>
      </w:r>
      <w:r w:rsidR="00A20444" w:rsidRPr="00486AEA">
        <w:t>’</w:t>
      </w:r>
      <w:r w:rsidRPr="00486AEA">
        <w:t>auteur conformément au mandat approuvé par le CDIP dans le cadre de la mise en œuvre des recommandations </w:t>
      </w:r>
      <w:proofErr w:type="spellStart"/>
      <w:r w:rsidRPr="00486AEA">
        <w:t>1c</w:t>
      </w:r>
      <w:proofErr w:type="spellEnd"/>
      <w:r w:rsidRPr="00486AEA">
        <w:t>, </w:t>
      </w:r>
      <w:proofErr w:type="spellStart"/>
      <w:r w:rsidRPr="00486AEA">
        <w:t>1f</w:t>
      </w:r>
      <w:proofErr w:type="spellEnd"/>
      <w:r w:rsidRPr="00486AEA">
        <w:t xml:space="preserve"> et </w:t>
      </w:r>
      <w:proofErr w:type="spellStart"/>
      <w:r w:rsidRPr="00486AEA">
        <w:t>2a</w:t>
      </w:r>
      <w:proofErr w:type="spellEnd"/>
      <w:r w:rsidRPr="00486AEA">
        <w:t xml:space="preserve"> de l</w:t>
      </w:r>
      <w:r w:rsidR="00A20444" w:rsidRPr="00486AEA">
        <w:t>’</w:t>
      </w:r>
      <w:r w:rsidRPr="00486AEA">
        <w:t>étude exploratoire sur le droit d</w:t>
      </w:r>
      <w:r w:rsidR="00A20444" w:rsidRPr="00486AEA">
        <w:t>’</w:t>
      </w:r>
      <w:r w:rsidRPr="00486AEA">
        <w:t>auteur et les droits connexes et le domaine public.</w:t>
      </w:r>
    </w:p>
    <w:p w:rsidR="00D42474" w:rsidRDefault="00D42474" w:rsidP="001A5BF9">
      <w:pPr>
        <w:tabs>
          <w:tab w:val="left" w:pos="1134"/>
        </w:tabs>
        <w:ind w:left="1134" w:hanging="425"/>
        <w:jc w:val="both"/>
        <w:rPr>
          <w:szCs w:val="20"/>
        </w:rPr>
      </w:pPr>
    </w:p>
    <w:p w:rsidR="00D42474" w:rsidRDefault="00F40E87" w:rsidP="001A5BF9">
      <w:pPr>
        <w:pStyle w:val="Paragraphedeliste"/>
        <w:numPr>
          <w:ilvl w:val="0"/>
          <w:numId w:val="7"/>
        </w:numPr>
        <w:tabs>
          <w:tab w:val="left" w:pos="1134"/>
        </w:tabs>
        <w:ind w:left="1134" w:hanging="425"/>
        <w:jc w:val="both"/>
      </w:pPr>
      <w:r w:rsidRPr="00486AEA">
        <w:t>Le projet relatif à la propriété intellectuelle, aux techniques de l</w:t>
      </w:r>
      <w:r w:rsidR="00A20444" w:rsidRPr="00486AEA">
        <w:t>’</w:t>
      </w:r>
      <w:r w:rsidRPr="00486AEA">
        <w:t>information et de la communication (TIC), à la fracture numérique et à l</w:t>
      </w:r>
      <w:r w:rsidR="00A20444" w:rsidRPr="00486AEA">
        <w:t>’</w:t>
      </w:r>
      <w:r w:rsidRPr="00486AEA">
        <w:t xml:space="preserve">accès au savoir a été achevé et évalué. </w:t>
      </w:r>
      <w:r w:rsidR="0010442A" w:rsidRPr="00486AEA">
        <w:t xml:space="preserve"> </w:t>
      </w:r>
      <w:r w:rsidRPr="00486AEA">
        <w:t>Dans le cadre de ce projet, des experts externes ont préparé et présenté une étude sur l</w:t>
      </w:r>
      <w:r w:rsidR="00A20444" w:rsidRPr="00486AEA">
        <w:t>’</w:t>
      </w:r>
      <w:r w:rsidRPr="00486AEA">
        <w:t>utilisation du droit d</w:t>
      </w:r>
      <w:r w:rsidR="00A20444" w:rsidRPr="00486AEA">
        <w:t>’</w:t>
      </w:r>
      <w:r w:rsidRPr="00486AEA">
        <w:t>auteur pour promouvoir l</w:t>
      </w:r>
      <w:r w:rsidR="00A20444" w:rsidRPr="00486AEA">
        <w:t>’</w:t>
      </w:r>
      <w:r w:rsidRPr="00486AEA">
        <w:t>accès à l</w:t>
      </w:r>
      <w:r w:rsidR="00A20444" w:rsidRPr="00486AEA">
        <w:t>’</w:t>
      </w:r>
      <w:r w:rsidRPr="00486AEA">
        <w:t xml:space="preserve">information et aux contenus créatifs lors de la neuvième session du CDIP. </w:t>
      </w:r>
      <w:r w:rsidR="0010442A" w:rsidRPr="00486AEA">
        <w:t xml:space="preserve"> </w:t>
      </w:r>
      <w:r w:rsidRPr="00486AEA">
        <w:t>À titre d</w:t>
      </w:r>
      <w:r w:rsidR="00A20444" w:rsidRPr="00486AEA">
        <w:t>’</w:t>
      </w:r>
      <w:r w:rsidRPr="00486AEA">
        <w:t>activité de suivi pour ce projet, une étude de faisabilité concernant de nouvelles activités pouvant être menées par l</w:t>
      </w:r>
      <w:r w:rsidR="00A20444" w:rsidRPr="00486AEA">
        <w:t>’</w:t>
      </w:r>
      <w:r w:rsidRPr="00486AEA">
        <w:t>OMPI dans le domaine de l</w:t>
      </w:r>
      <w:r w:rsidR="00A20444" w:rsidRPr="00486AEA">
        <w:t>’</w:t>
      </w:r>
      <w:r w:rsidRPr="00486AEA">
        <w:t>utilisation du droit d</w:t>
      </w:r>
      <w:r w:rsidR="00A20444" w:rsidRPr="00486AEA">
        <w:t>’</w:t>
      </w:r>
      <w:r w:rsidRPr="00486AEA">
        <w:t>auteur pour promouvoir l</w:t>
      </w:r>
      <w:r w:rsidR="00A20444" w:rsidRPr="00486AEA">
        <w:t>’</w:t>
      </w:r>
      <w:r w:rsidRPr="00486AEA">
        <w:t>accès à l</w:t>
      </w:r>
      <w:r w:rsidR="00A20444" w:rsidRPr="00486AEA">
        <w:t>’</w:t>
      </w:r>
      <w:r w:rsidRPr="00486AEA">
        <w:t xml:space="preserve">information et aux contenus créatifs (CDIP/11/6) a été présentée à la onzième session du CDIP. </w:t>
      </w:r>
      <w:r w:rsidR="0010442A" w:rsidRPr="00486AEA">
        <w:t xml:space="preserve"> </w:t>
      </w:r>
      <w:r w:rsidRPr="00486AEA">
        <w:t>En outre, une proposition de mise en œuvre relative à de nouvelles activités pouvant être menées par l</w:t>
      </w:r>
      <w:r w:rsidR="00A20444" w:rsidRPr="00486AEA">
        <w:t>’</w:t>
      </w:r>
      <w:r w:rsidRPr="00486AEA">
        <w:t>OMPI dans le domaine de l</w:t>
      </w:r>
      <w:r w:rsidR="00A20444" w:rsidRPr="00486AEA">
        <w:t>’</w:t>
      </w:r>
      <w:r w:rsidRPr="00486AEA">
        <w:t>utilisation du droit d</w:t>
      </w:r>
      <w:r w:rsidR="00A20444" w:rsidRPr="00486AEA">
        <w:t>’</w:t>
      </w:r>
      <w:r w:rsidRPr="00486AEA">
        <w:t>auteur pour promouvoir l</w:t>
      </w:r>
      <w:r w:rsidR="00A20444" w:rsidRPr="00486AEA">
        <w:t>’</w:t>
      </w:r>
      <w:r w:rsidRPr="00486AEA">
        <w:t>accès à l</w:t>
      </w:r>
      <w:r w:rsidR="00A20444" w:rsidRPr="00486AEA">
        <w:t>’</w:t>
      </w:r>
      <w:r w:rsidRPr="00486AEA">
        <w:t xml:space="preserve">information et aux contenus créatifs (CDIP/12/9), sur la base du document CDIP/11/6, a été présentée à la douzième session du CDIP. </w:t>
      </w:r>
      <w:r w:rsidR="0010442A" w:rsidRPr="00486AEA">
        <w:t xml:space="preserve"> </w:t>
      </w:r>
      <w:r w:rsidRPr="00486AEA">
        <w:t>À la suite de cette discussion, une version révisée du plan de mise en œuvre, prenant en compte les observations des États membres, a été préparée pour examen à la treizième session.</w:t>
      </w:r>
    </w:p>
    <w:p w:rsidR="00D42474" w:rsidRDefault="00D42474" w:rsidP="001A5BF9">
      <w:pPr>
        <w:tabs>
          <w:tab w:val="left" w:pos="1134"/>
        </w:tabs>
        <w:ind w:left="1134" w:hanging="425"/>
        <w:jc w:val="both"/>
        <w:rPr>
          <w:szCs w:val="20"/>
        </w:rPr>
      </w:pPr>
    </w:p>
    <w:p w:rsidR="00D42474" w:rsidRDefault="00F40E87" w:rsidP="001A5BF9">
      <w:pPr>
        <w:pStyle w:val="Paragraphedeliste"/>
        <w:numPr>
          <w:ilvl w:val="0"/>
          <w:numId w:val="7"/>
        </w:numPr>
        <w:tabs>
          <w:tab w:val="left" w:pos="1134"/>
        </w:tabs>
        <w:ind w:left="1134" w:hanging="425"/>
        <w:jc w:val="both"/>
      </w:pPr>
      <w:r w:rsidRPr="00486AEA">
        <w:t>La mise en œuvre du projet sur le renforcement et développement du secteur de l</w:t>
      </w:r>
      <w:r w:rsidR="00A20444" w:rsidRPr="00486AEA">
        <w:t>’</w:t>
      </w:r>
      <w:r w:rsidRPr="00486AEA">
        <w:t>audiovisuel au Burkina Faso et dans certains pays africains présenté par la délégation du Burkina Faso a été approuvée à la neuvième session du CDIP.</w:t>
      </w:r>
    </w:p>
    <w:p w:rsidR="00D42474" w:rsidRDefault="00D42474" w:rsidP="001A5BF9">
      <w:pPr>
        <w:rPr>
          <w:rFonts w:cs="Arial"/>
          <w:szCs w:val="22"/>
        </w:rPr>
      </w:pPr>
    </w:p>
    <w:p w:rsidR="00D42474" w:rsidRDefault="00D42474" w:rsidP="001A5BF9">
      <w:pPr>
        <w:rPr>
          <w:rFonts w:cs="Arial"/>
          <w:szCs w:val="22"/>
        </w:rPr>
      </w:pPr>
    </w:p>
    <w:p w:rsidR="00D42474" w:rsidRDefault="00F40E87" w:rsidP="001A5BF9">
      <w:pPr>
        <w:pageBreakBefore/>
        <w:rPr>
          <w:rFonts w:cs="Arial"/>
          <w:sz w:val="22"/>
          <w:szCs w:val="22"/>
        </w:rPr>
      </w:pPr>
      <w:r w:rsidRPr="00486AEA">
        <w:rPr>
          <w:sz w:val="22"/>
          <w:szCs w:val="22"/>
        </w:rPr>
        <w:t>DONNÉES RELATIVES À L</w:t>
      </w:r>
      <w:r w:rsidR="00A20444" w:rsidRPr="00486AEA">
        <w:rPr>
          <w:sz w:val="22"/>
          <w:szCs w:val="22"/>
        </w:rPr>
        <w:t>’</w:t>
      </w:r>
      <w:r w:rsidRPr="00486AEA">
        <w:rPr>
          <w:sz w:val="22"/>
          <w:szCs w:val="22"/>
        </w:rPr>
        <w:t>EXÉCUTION</w:t>
      </w:r>
    </w:p>
    <w:p w:rsidR="00F40E87" w:rsidRPr="00486AEA" w:rsidRDefault="00F40E87" w:rsidP="001A5BF9">
      <w:pPr>
        <w:rPr>
          <w:rFonts w:cs="Arial"/>
          <w:b/>
          <w:szCs w:val="22"/>
        </w:rPr>
      </w:pPr>
    </w:p>
    <w:tbl>
      <w:tblPr>
        <w:tblW w:w="4956"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9"/>
        <w:gridCol w:w="1842"/>
        <w:gridCol w:w="144"/>
        <w:gridCol w:w="1417"/>
        <w:gridCol w:w="2964"/>
        <w:gridCol w:w="144"/>
        <w:gridCol w:w="1277"/>
      </w:tblGrid>
      <w:tr w:rsidR="00993241" w:rsidRPr="00486AEA" w:rsidTr="00993241">
        <w:trPr>
          <w:cantSplit/>
        </w:trPr>
        <w:tc>
          <w:tcPr>
            <w:tcW w:w="5000" w:type="pct"/>
            <w:gridSpan w:val="7"/>
            <w:tcBorders>
              <w:top w:val="single" w:sz="4" w:space="0" w:color="auto"/>
              <w:bottom w:val="single" w:sz="4" w:space="0" w:color="auto"/>
            </w:tcBorders>
            <w:shd w:val="clear" w:color="auto" w:fill="CCFFFF"/>
            <w:vAlign w:val="center"/>
          </w:tcPr>
          <w:p w:rsidR="00F40E87" w:rsidRPr="00486AEA" w:rsidRDefault="00F40E87" w:rsidP="001A5BF9">
            <w:pPr>
              <w:keepNext/>
              <w:keepLines/>
              <w:tabs>
                <w:tab w:val="left" w:pos="1735"/>
              </w:tabs>
              <w:spacing w:before="120" w:after="120"/>
              <w:ind w:left="1735" w:hanging="1735"/>
              <w:rPr>
                <w:rFonts w:cs="Arial"/>
                <w:b/>
                <w:bCs/>
                <w:sz w:val="16"/>
                <w:szCs w:val="16"/>
              </w:rPr>
            </w:pPr>
            <w:r w:rsidRPr="00486AEA">
              <w:rPr>
                <w:b/>
                <w:sz w:val="16"/>
              </w:rPr>
              <w:t>Résultat escompté</w:t>
            </w:r>
            <w:r w:rsidR="0010442A" w:rsidRPr="00486AEA">
              <w:rPr>
                <w:b/>
                <w:sz w:val="16"/>
              </w:rPr>
              <w:t> </w:t>
            </w:r>
            <w:r w:rsidRPr="00486AEA">
              <w:rPr>
                <w:b/>
                <w:sz w:val="16"/>
              </w:rPr>
              <w:t xml:space="preserve">: </w:t>
            </w:r>
            <w:r w:rsidRPr="00486AEA">
              <w:rPr>
                <w:sz w:val="16"/>
              </w:rPr>
              <w:tab/>
              <w:t>Coopération et consensus renforcés entre les États membres en ce qui concerne l</w:t>
            </w:r>
            <w:r w:rsidR="00A20444" w:rsidRPr="00486AEA">
              <w:rPr>
                <w:sz w:val="16"/>
              </w:rPr>
              <w:t>’</w:t>
            </w:r>
            <w:r w:rsidRPr="00486AEA">
              <w:rPr>
                <w:sz w:val="16"/>
              </w:rPr>
              <w:t>élaboration des cadres politiques et normatifs équilibrés pour le système international des brevets, les marques, les dessins et modèles industriels, les indications géographiques, le droit d</w:t>
            </w:r>
            <w:r w:rsidR="00A20444" w:rsidRPr="00486AEA">
              <w:rPr>
                <w:sz w:val="16"/>
              </w:rPr>
              <w:t>’</w:t>
            </w:r>
            <w:r w:rsidRPr="00486AEA">
              <w:rPr>
                <w:sz w:val="16"/>
              </w:rPr>
              <w:t>auteur et les droits connexes, les savoirs traditionnels, les expressions culturelles traditionnelles et les ressources génétiques</w:t>
            </w:r>
          </w:p>
        </w:tc>
      </w:tr>
      <w:tr w:rsidR="00993241" w:rsidRPr="00486AEA" w:rsidTr="00993241">
        <w:trPr>
          <w:cantSplit/>
        </w:trPr>
        <w:tc>
          <w:tcPr>
            <w:tcW w:w="895" w:type="pct"/>
            <w:tcBorders>
              <w:top w:val="single" w:sz="4" w:space="0" w:color="auto"/>
            </w:tcBorders>
            <w:shd w:val="clear" w:color="auto" w:fill="auto"/>
            <w:vAlign w:val="center"/>
          </w:tcPr>
          <w:p w:rsidR="00F40E87" w:rsidRPr="00486AEA" w:rsidRDefault="00F40E87" w:rsidP="001A5BF9">
            <w:pPr>
              <w:rPr>
                <w:rFonts w:cs="Arial"/>
                <w:b/>
                <w:sz w:val="16"/>
                <w:szCs w:val="16"/>
              </w:rPr>
            </w:pPr>
            <w:r w:rsidRPr="00486AEA">
              <w:rPr>
                <w:b/>
                <w:sz w:val="16"/>
              </w:rPr>
              <w:t>Indicateurs d</w:t>
            </w:r>
            <w:r w:rsidR="00A20444" w:rsidRPr="00486AEA">
              <w:rPr>
                <w:b/>
                <w:sz w:val="16"/>
              </w:rPr>
              <w:t>’</w:t>
            </w:r>
            <w:r w:rsidRPr="00486AEA">
              <w:rPr>
                <w:b/>
                <w:sz w:val="16"/>
              </w:rPr>
              <w:t>exécution</w:t>
            </w:r>
          </w:p>
        </w:tc>
        <w:tc>
          <w:tcPr>
            <w:tcW w:w="1047" w:type="pct"/>
            <w:gridSpan w:val="2"/>
            <w:tcBorders>
              <w:top w:val="single" w:sz="4" w:space="0" w:color="auto"/>
            </w:tcBorders>
            <w:shd w:val="clear" w:color="auto" w:fill="auto"/>
            <w:vAlign w:val="center"/>
          </w:tcPr>
          <w:p w:rsidR="00F40E87" w:rsidRPr="00486AEA" w:rsidRDefault="00F40E87" w:rsidP="001A5BF9">
            <w:pPr>
              <w:rPr>
                <w:rFonts w:cs="Arial"/>
                <w:b/>
                <w:bCs/>
                <w:sz w:val="16"/>
                <w:szCs w:val="16"/>
              </w:rPr>
            </w:pPr>
            <w:r w:rsidRPr="00486AEA">
              <w:rPr>
                <w:b/>
                <w:sz w:val="16"/>
              </w:rPr>
              <w:t>Niveaux de référence</w:t>
            </w:r>
          </w:p>
        </w:tc>
        <w:tc>
          <w:tcPr>
            <w:tcW w:w="747" w:type="pct"/>
            <w:tcBorders>
              <w:top w:val="single" w:sz="4" w:space="0" w:color="auto"/>
            </w:tcBorders>
            <w:shd w:val="clear" w:color="auto" w:fill="auto"/>
            <w:tcMar>
              <w:top w:w="110" w:type="dxa"/>
            </w:tcMar>
            <w:vAlign w:val="center"/>
          </w:tcPr>
          <w:p w:rsidR="00F40E87" w:rsidRPr="00486AEA" w:rsidRDefault="00F40E87" w:rsidP="001A5BF9">
            <w:pPr>
              <w:rPr>
                <w:rFonts w:cs="Arial"/>
                <w:b/>
                <w:sz w:val="16"/>
                <w:szCs w:val="16"/>
              </w:rPr>
            </w:pPr>
            <w:r w:rsidRPr="00486AEA">
              <w:rPr>
                <w:b/>
                <w:sz w:val="16"/>
              </w:rPr>
              <w:t>Objectifs visés</w:t>
            </w:r>
          </w:p>
        </w:tc>
        <w:tc>
          <w:tcPr>
            <w:tcW w:w="1638" w:type="pct"/>
            <w:gridSpan w:val="2"/>
            <w:tcBorders>
              <w:top w:val="single" w:sz="4" w:space="0" w:color="auto"/>
            </w:tcBorders>
            <w:shd w:val="clear" w:color="auto" w:fill="FFFFFF"/>
            <w:tcMar>
              <w:top w:w="110" w:type="dxa"/>
            </w:tcMar>
            <w:vAlign w:val="center"/>
          </w:tcPr>
          <w:p w:rsidR="00F40E87" w:rsidRPr="00486AEA" w:rsidRDefault="00F40E87" w:rsidP="001A5BF9">
            <w:pPr>
              <w:rPr>
                <w:rFonts w:cs="Arial"/>
                <w:b/>
                <w:sz w:val="16"/>
                <w:szCs w:val="16"/>
              </w:rPr>
            </w:pPr>
            <w:r w:rsidRPr="00486AEA">
              <w:rPr>
                <w:b/>
                <w:sz w:val="16"/>
              </w:rPr>
              <w:t>Données relatives à l</w:t>
            </w:r>
            <w:r w:rsidR="00A20444" w:rsidRPr="00486AEA">
              <w:rPr>
                <w:b/>
                <w:sz w:val="16"/>
              </w:rPr>
              <w:t>’</w:t>
            </w:r>
            <w:r w:rsidRPr="00486AEA">
              <w:rPr>
                <w:b/>
                <w:sz w:val="16"/>
              </w:rPr>
              <w:t>exécution</w:t>
            </w:r>
          </w:p>
        </w:tc>
        <w:tc>
          <w:tcPr>
            <w:tcW w:w="672" w:type="pct"/>
            <w:tcBorders>
              <w:top w:val="single" w:sz="4" w:space="0" w:color="auto"/>
            </w:tcBorders>
            <w:shd w:val="clear" w:color="auto" w:fill="auto"/>
            <w:tcMar>
              <w:top w:w="110" w:type="dxa"/>
            </w:tcMar>
            <w:vAlign w:val="center"/>
          </w:tcPr>
          <w:p w:rsidR="00F40E87" w:rsidRPr="00486AEA" w:rsidRDefault="00F40E87" w:rsidP="001A5BF9">
            <w:pPr>
              <w:keepNext/>
              <w:keepLines/>
              <w:jc w:val="center"/>
              <w:rPr>
                <w:rFonts w:cs="Arial"/>
                <w:b/>
                <w:bCs/>
                <w:sz w:val="16"/>
                <w:szCs w:val="16"/>
              </w:rPr>
            </w:pPr>
            <w:r w:rsidRPr="00486AEA">
              <w:rPr>
                <w:b/>
                <w:sz w:val="16"/>
              </w:rPr>
              <w:t>Code de couleurs</w:t>
            </w:r>
          </w:p>
        </w:tc>
      </w:tr>
      <w:tr w:rsidR="00F40E87" w:rsidRPr="005C7CCE" w:rsidTr="00993241">
        <w:trPr>
          <w:cantSplit/>
        </w:trPr>
        <w:tc>
          <w:tcPr>
            <w:tcW w:w="895" w:type="pct"/>
            <w:shd w:val="clear" w:color="auto" w:fill="auto"/>
          </w:tcPr>
          <w:p w:rsidR="00F40E87" w:rsidRPr="00993241" w:rsidRDefault="00F40E87" w:rsidP="001A5BF9">
            <w:pPr>
              <w:rPr>
                <w:rFonts w:cs="Arial"/>
                <w:sz w:val="16"/>
                <w:szCs w:val="16"/>
              </w:rPr>
            </w:pPr>
            <w:r w:rsidRPr="00993241">
              <w:rPr>
                <w:sz w:val="16"/>
              </w:rPr>
              <w:t>Conclusions approuvées par les États membres dans chacune des sessions</w:t>
            </w:r>
            <w:r w:rsidR="00A20444" w:rsidRPr="00993241">
              <w:rPr>
                <w:sz w:val="16"/>
              </w:rPr>
              <w:t xml:space="preserve"> du SCC</w:t>
            </w:r>
            <w:r w:rsidRPr="00993241">
              <w:rPr>
                <w:sz w:val="16"/>
              </w:rPr>
              <w:t>R</w:t>
            </w:r>
          </w:p>
        </w:tc>
        <w:tc>
          <w:tcPr>
            <w:tcW w:w="1047" w:type="pct"/>
            <w:gridSpan w:val="2"/>
            <w:shd w:val="clear" w:color="auto" w:fill="auto"/>
          </w:tcPr>
          <w:p w:rsidR="00D42474" w:rsidRDefault="00F40E87" w:rsidP="001A5BF9">
            <w:pPr>
              <w:rPr>
                <w:color w:val="002060"/>
                <w:sz w:val="16"/>
              </w:rPr>
            </w:pPr>
            <w:r w:rsidRPr="005C7CCE">
              <w:rPr>
                <w:i/>
                <w:color w:val="002060"/>
                <w:sz w:val="16"/>
              </w:rPr>
              <w:t xml:space="preserve">Niveau de référence actualisé fin 2011 : </w:t>
            </w:r>
            <w:r w:rsidR="00993241">
              <w:rPr>
                <w:color w:val="002060"/>
                <w:sz w:val="16"/>
              </w:rPr>
              <w:t>c</w:t>
            </w:r>
            <w:r w:rsidRPr="005C7CCE">
              <w:rPr>
                <w:color w:val="002060"/>
                <w:sz w:val="16"/>
              </w:rPr>
              <w:t>onclusions formulées au cours des sessions du SCCR</w:t>
            </w:r>
          </w:p>
          <w:p w:rsidR="00D42474" w:rsidRDefault="00D42474" w:rsidP="001A5BF9">
            <w:pPr>
              <w:rPr>
                <w:rFonts w:cs="Arial"/>
                <w:color w:val="002060"/>
                <w:sz w:val="8"/>
                <w:szCs w:val="8"/>
              </w:rPr>
            </w:pPr>
          </w:p>
          <w:p w:rsidR="00F40E87" w:rsidRPr="005C7CCE" w:rsidRDefault="00F40E87" w:rsidP="001A5BF9">
            <w:pPr>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2013 :</w:t>
            </w:r>
            <w:r w:rsidR="00993241">
              <w:rPr>
                <w:sz w:val="16"/>
              </w:rPr>
              <w:t xml:space="preserve"> c</w:t>
            </w:r>
            <w:r w:rsidRPr="005C7CCE">
              <w:rPr>
                <w:sz w:val="16"/>
              </w:rPr>
              <w:t>onclusions formulées lors des sessions du SCCR au cours de l</w:t>
            </w:r>
            <w:r w:rsidR="00A20444" w:rsidRPr="005C7CCE">
              <w:rPr>
                <w:sz w:val="16"/>
              </w:rPr>
              <w:t>’</w:t>
            </w:r>
            <w:r w:rsidRPr="005C7CCE">
              <w:rPr>
                <w:sz w:val="16"/>
              </w:rPr>
              <w:t>exercice biennal 2010</w:t>
            </w:r>
            <w:r w:rsidR="002D6F2A" w:rsidRPr="005C7CCE">
              <w:rPr>
                <w:sz w:val="16"/>
              </w:rPr>
              <w:noBreakHyphen/>
            </w:r>
            <w:r w:rsidRPr="005C7CCE">
              <w:rPr>
                <w:sz w:val="16"/>
              </w:rPr>
              <w:t>2011 (3) (mars 2011)</w:t>
            </w:r>
          </w:p>
        </w:tc>
        <w:tc>
          <w:tcPr>
            <w:tcW w:w="747" w:type="pct"/>
            <w:shd w:val="clear" w:color="auto" w:fill="auto"/>
            <w:tcMar>
              <w:top w:w="110" w:type="dxa"/>
            </w:tcMar>
          </w:tcPr>
          <w:p w:rsidR="00D42474" w:rsidRDefault="00F40E87" w:rsidP="001A5BF9">
            <w:pPr>
              <w:autoSpaceDE w:val="0"/>
              <w:autoSpaceDN w:val="0"/>
              <w:adjustRightInd w:val="0"/>
              <w:rPr>
                <w:rFonts w:cs="Arial"/>
                <w:sz w:val="16"/>
                <w:szCs w:val="16"/>
              </w:rPr>
            </w:pPr>
            <w:r w:rsidRPr="005C7CCE">
              <w:rPr>
                <w:sz w:val="16"/>
              </w:rPr>
              <w:t>Conclusions formulées</w:t>
            </w:r>
          </w:p>
          <w:p w:rsidR="00D42474" w:rsidRDefault="00F40E87" w:rsidP="001A5BF9">
            <w:pPr>
              <w:autoSpaceDE w:val="0"/>
              <w:autoSpaceDN w:val="0"/>
              <w:adjustRightInd w:val="0"/>
              <w:rPr>
                <w:rFonts w:cs="Arial"/>
                <w:sz w:val="16"/>
                <w:szCs w:val="16"/>
              </w:rPr>
            </w:pPr>
            <w:r w:rsidRPr="005C7CCE">
              <w:rPr>
                <w:sz w:val="16"/>
              </w:rPr>
              <w:t>lors de toutes les sessions du SCCR</w:t>
            </w:r>
          </w:p>
          <w:p w:rsidR="00D42474" w:rsidRDefault="00F40E87" w:rsidP="001A5BF9">
            <w:pPr>
              <w:autoSpaceDE w:val="0"/>
              <w:autoSpaceDN w:val="0"/>
              <w:adjustRightInd w:val="0"/>
              <w:rPr>
                <w:rFonts w:cs="Arial"/>
                <w:sz w:val="16"/>
                <w:szCs w:val="16"/>
              </w:rPr>
            </w:pPr>
            <w:r w:rsidRPr="005C7CCE">
              <w:rPr>
                <w:sz w:val="16"/>
              </w:rPr>
              <w:t>au cours de l</w:t>
            </w:r>
            <w:r w:rsidR="00A20444" w:rsidRPr="005C7CCE">
              <w:rPr>
                <w:sz w:val="16"/>
              </w:rPr>
              <w:t>’</w:t>
            </w:r>
            <w:r w:rsidRPr="005C7CCE">
              <w:rPr>
                <w:sz w:val="16"/>
              </w:rPr>
              <w:t>exercice biennal</w:t>
            </w:r>
          </w:p>
          <w:p w:rsidR="00F40E87" w:rsidRPr="005C7CCE" w:rsidRDefault="00F40E87" w:rsidP="001A5BF9">
            <w:pPr>
              <w:rPr>
                <w:rFonts w:cs="Arial"/>
                <w:sz w:val="16"/>
                <w:szCs w:val="16"/>
                <w:lang w:bidi="th-TH"/>
              </w:rPr>
            </w:pPr>
            <w:r w:rsidRPr="005C7CCE">
              <w:rPr>
                <w:sz w:val="16"/>
              </w:rPr>
              <w:t>2012</w:t>
            </w:r>
            <w:r w:rsidR="002D6F2A" w:rsidRPr="005C7CCE">
              <w:rPr>
                <w:sz w:val="16"/>
              </w:rPr>
              <w:noBreakHyphen/>
            </w:r>
            <w:r w:rsidRPr="005C7CCE">
              <w:rPr>
                <w:sz w:val="16"/>
              </w:rPr>
              <w:t>2013</w:t>
            </w:r>
          </w:p>
        </w:tc>
        <w:tc>
          <w:tcPr>
            <w:tcW w:w="1638" w:type="pct"/>
            <w:gridSpan w:val="2"/>
            <w:shd w:val="clear" w:color="auto" w:fill="FFFFFF"/>
            <w:tcMar>
              <w:top w:w="110" w:type="dxa"/>
            </w:tcMar>
          </w:tcPr>
          <w:p w:rsidR="00F40E87" w:rsidRPr="005C7CCE" w:rsidRDefault="00F40E87" w:rsidP="001A5BF9">
            <w:pPr>
              <w:rPr>
                <w:rFonts w:cs="Arial"/>
                <w:sz w:val="16"/>
                <w:szCs w:val="16"/>
              </w:rPr>
            </w:pPr>
            <w:r w:rsidRPr="005C7CCE">
              <w:rPr>
                <w:sz w:val="16"/>
              </w:rPr>
              <w:t>Les trois sessions du SCCR</w:t>
            </w:r>
            <w:r w:rsidRPr="005C7CCE">
              <w:rPr>
                <w:sz w:val="16"/>
                <w:vertAlign w:val="superscript"/>
              </w:rPr>
              <w:footnoteReference w:id="4"/>
            </w:r>
            <w:r w:rsidRPr="005C7CCE">
              <w:rPr>
                <w:sz w:val="16"/>
              </w:rPr>
              <w:t xml:space="preserve"> ont abouti à la décision de poursuivre les travaux sur les questions inscrites à l</w:t>
            </w:r>
            <w:r w:rsidR="00A20444" w:rsidRPr="005C7CCE">
              <w:rPr>
                <w:sz w:val="16"/>
              </w:rPr>
              <w:t>’</w:t>
            </w:r>
            <w:r w:rsidRPr="005C7CCE">
              <w:rPr>
                <w:sz w:val="16"/>
              </w:rPr>
              <w:t>ordre du jour, notamment les limitations et exceptions pour les déficients visuels et autres personnes ayant des difficultés de lecture des textes imprimés, la protection pour les organisations de radiodiffusion, les limitations et exceptions pour les bibliothèques et les archives, et les limitations et les exceptions pour les établissements d</w:t>
            </w:r>
            <w:r w:rsidR="00A20444" w:rsidRPr="005C7CCE">
              <w:rPr>
                <w:sz w:val="16"/>
              </w:rPr>
              <w:t>’</w:t>
            </w:r>
            <w:r w:rsidRPr="005C7CCE">
              <w:rPr>
                <w:sz w:val="16"/>
              </w:rPr>
              <w:t>enseignement et les instituts de recherche.</w:t>
            </w:r>
          </w:p>
        </w:tc>
        <w:tc>
          <w:tcPr>
            <w:tcW w:w="672" w:type="pct"/>
            <w:shd w:val="clear" w:color="auto" w:fill="auto"/>
            <w:tcMar>
              <w:top w:w="110" w:type="dxa"/>
            </w:tcMar>
          </w:tcPr>
          <w:p w:rsidR="00F40E87" w:rsidRPr="005C7CCE" w:rsidRDefault="00F40E87" w:rsidP="001A5BF9">
            <w:pPr>
              <w:keepNext/>
              <w:keepLines/>
              <w:jc w:val="center"/>
              <w:rPr>
                <w:rFonts w:cs="Arial"/>
                <w:bCs/>
                <w:color w:val="808080"/>
                <w:sz w:val="16"/>
                <w:szCs w:val="16"/>
              </w:rPr>
            </w:pPr>
            <w:r w:rsidRPr="00B470C6">
              <w:rPr>
                <w:color w:val="008000"/>
                <w:sz w:val="16"/>
              </w:rPr>
              <w:t>Objectif pleinement atteint</w:t>
            </w:r>
          </w:p>
        </w:tc>
      </w:tr>
      <w:tr w:rsidR="00F40E87" w:rsidRPr="005C7CCE" w:rsidTr="00993241">
        <w:trPr>
          <w:cantSplit/>
        </w:trPr>
        <w:tc>
          <w:tcPr>
            <w:tcW w:w="895" w:type="pct"/>
            <w:tcBorders>
              <w:bottom w:val="single" w:sz="4" w:space="0" w:color="auto"/>
            </w:tcBorders>
            <w:shd w:val="clear" w:color="auto" w:fill="auto"/>
          </w:tcPr>
          <w:p w:rsidR="00F40E87" w:rsidRPr="00993241" w:rsidRDefault="00F40E87" w:rsidP="001A5BF9">
            <w:pPr>
              <w:keepNext/>
              <w:rPr>
                <w:rFonts w:cs="Arial"/>
                <w:sz w:val="16"/>
                <w:szCs w:val="16"/>
              </w:rPr>
            </w:pPr>
            <w:r w:rsidRPr="00993241">
              <w:rPr>
                <w:sz w:val="16"/>
              </w:rPr>
              <w:t>Progrès accomplis dans la conclusion d</w:t>
            </w:r>
            <w:r w:rsidR="00A20444" w:rsidRPr="00993241">
              <w:rPr>
                <w:sz w:val="16"/>
              </w:rPr>
              <w:t>’</w:t>
            </w:r>
            <w:r w:rsidRPr="00993241">
              <w:rPr>
                <w:sz w:val="16"/>
              </w:rPr>
              <w:t>accords sur les questions actuellement inscrites à l</w:t>
            </w:r>
            <w:r w:rsidR="00A20444" w:rsidRPr="00993241">
              <w:rPr>
                <w:sz w:val="16"/>
              </w:rPr>
              <w:t>’</w:t>
            </w:r>
            <w:r w:rsidRPr="00993241">
              <w:rPr>
                <w:sz w:val="16"/>
              </w:rPr>
              <w:t>ordre du jour des travaux du SCCR</w:t>
            </w:r>
          </w:p>
        </w:tc>
        <w:tc>
          <w:tcPr>
            <w:tcW w:w="1047" w:type="pct"/>
            <w:gridSpan w:val="2"/>
            <w:tcBorders>
              <w:bottom w:val="single" w:sz="4" w:space="0" w:color="auto"/>
            </w:tcBorders>
            <w:shd w:val="clear" w:color="auto" w:fill="auto"/>
          </w:tcPr>
          <w:p w:rsidR="00D42474" w:rsidRDefault="00F40E87" w:rsidP="001A5BF9">
            <w:pPr>
              <w:keepNext/>
              <w:rPr>
                <w:color w:val="002060"/>
                <w:sz w:val="16"/>
              </w:rPr>
            </w:pPr>
            <w:r w:rsidRPr="005C7CCE">
              <w:rPr>
                <w:i/>
                <w:color w:val="002060"/>
                <w:sz w:val="16"/>
              </w:rPr>
              <w:t xml:space="preserve">Niveau de référence actualisé fin 2011 : </w:t>
            </w:r>
            <w:r w:rsidR="00993241">
              <w:rPr>
                <w:color w:val="002060"/>
                <w:sz w:val="16"/>
              </w:rPr>
              <w:t>a</w:t>
            </w:r>
            <w:r w:rsidRPr="005C7CCE">
              <w:rPr>
                <w:color w:val="002060"/>
                <w:sz w:val="16"/>
              </w:rPr>
              <w:t>vancement des travaux sur les points inscrits à l</w:t>
            </w:r>
            <w:r w:rsidR="00A20444" w:rsidRPr="005C7CCE">
              <w:rPr>
                <w:color w:val="002060"/>
                <w:sz w:val="16"/>
              </w:rPr>
              <w:t>’</w:t>
            </w:r>
            <w:r w:rsidRPr="005C7CCE">
              <w:rPr>
                <w:color w:val="002060"/>
                <w:sz w:val="16"/>
              </w:rPr>
              <w:t>ordre du jour du SCCR</w:t>
            </w:r>
          </w:p>
          <w:p w:rsidR="00D42474" w:rsidRDefault="00D42474" w:rsidP="001A5BF9">
            <w:pPr>
              <w:keepNext/>
              <w:rPr>
                <w:rFonts w:cs="Arial"/>
                <w:i/>
                <w:sz w:val="8"/>
                <w:szCs w:val="8"/>
                <w:lang w:bidi="th-TH"/>
              </w:rPr>
            </w:pPr>
          </w:p>
          <w:p w:rsidR="00F40E87" w:rsidRPr="005C7CCE" w:rsidRDefault="00F40E87" w:rsidP="001A5BF9">
            <w:pPr>
              <w:keepNext/>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Pr="005C7CCE">
              <w:rPr>
                <w:sz w:val="16"/>
              </w:rPr>
              <w:t>Traité de l</w:t>
            </w:r>
            <w:r w:rsidR="00A20444" w:rsidRPr="005C7CCE">
              <w:rPr>
                <w:sz w:val="16"/>
              </w:rPr>
              <w:t>’</w:t>
            </w:r>
            <w:r w:rsidRPr="005C7CCE">
              <w:rPr>
                <w:sz w:val="16"/>
              </w:rPr>
              <w:t>OMPI sur le droit d</w:t>
            </w:r>
            <w:r w:rsidR="00A20444" w:rsidRPr="005C7CCE">
              <w:rPr>
                <w:sz w:val="16"/>
              </w:rPr>
              <w:t>’</w:t>
            </w:r>
            <w:r w:rsidRPr="005C7CCE">
              <w:rPr>
                <w:sz w:val="16"/>
              </w:rPr>
              <w:t>auteur (WCT), Traité de l</w:t>
            </w:r>
            <w:r w:rsidR="00A20444" w:rsidRPr="005C7CCE">
              <w:rPr>
                <w:sz w:val="16"/>
              </w:rPr>
              <w:t>’</w:t>
            </w:r>
            <w:r w:rsidRPr="005C7CCE">
              <w:rPr>
                <w:sz w:val="16"/>
              </w:rPr>
              <w:t>OMPI sur les interprétations et exécutions et les phonogrammes (WPPT) (1996), Convention de Rome (1961) (mars 2011)</w:t>
            </w:r>
          </w:p>
        </w:tc>
        <w:tc>
          <w:tcPr>
            <w:tcW w:w="747" w:type="pct"/>
            <w:tcBorders>
              <w:bottom w:val="single" w:sz="4" w:space="0" w:color="auto"/>
            </w:tcBorders>
            <w:shd w:val="clear" w:color="auto" w:fill="auto"/>
            <w:tcMar>
              <w:top w:w="110" w:type="dxa"/>
            </w:tcMar>
          </w:tcPr>
          <w:p w:rsidR="00F40E87" w:rsidRPr="005C7CCE" w:rsidRDefault="00F40E87" w:rsidP="001A5BF9">
            <w:pPr>
              <w:keepNext/>
              <w:rPr>
                <w:rFonts w:cs="Arial"/>
                <w:sz w:val="16"/>
                <w:szCs w:val="16"/>
              </w:rPr>
            </w:pPr>
            <w:r w:rsidRPr="005C7CCE">
              <w:rPr>
                <w:sz w:val="16"/>
              </w:rPr>
              <w:t>Instruments internationaux établis sur les exceptions et limitations, les organismes de radiodiffusion et les interprétations et exécutions audiovisuelles</w:t>
            </w:r>
          </w:p>
        </w:tc>
        <w:tc>
          <w:tcPr>
            <w:tcW w:w="1638" w:type="pct"/>
            <w:gridSpan w:val="2"/>
            <w:tcBorders>
              <w:bottom w:val="single" w:sz="4" w:space="0" w:color="auto"/>
            </w:tcBorders>
            <w:shd w:val="clear" w:color="auto" w:fill="FFFFFF"/>
            <w:tcMar>
              <w:top w:w="110" w:type="dxa"/>
            </w:tcMar>
          </w:tcPr>
          <w:p w:rsidR="00F40E87" w:rsidRPr="005C7CCE" w:rsidRDefault="00F40E87" w:rsidP="001A5BF9">
            <w:pPr>
              <w:rPr>
                <w:rFonts w:cs="Arial"/>
                <w:color w:val="008000"/>
                <w:sz w:val="16"/>
                <w:szCs w:val="16"/>
              </w:rPr>
            </w:pPr>
            <w:r w:rsidRPr="00993241">
              <w:rPr>
                <w:sz w:val="16"/>
              </w:rPr>
              <w:t>Texte du Traité de Beijing adopté en juin 2012.</w:t>
            </w:r>
            <w:r w:rsidR="004F3E42" w:rsidRPr="00993241">
              <w:rPr>
                <w:sz w:val="16"/>
              </w:rPr>
              <w:t xml:space="preserve"> </w:t>
            </w:r>
            <w:r w:rsidR="0010442A" w:rsidRPr="00993241">
              <w:rPr>
                <w:sz w:val="16"/>
              </w:rPr>
              <w:t xml:space="preserve"> </w:t>
            </w:r>
            <w:r w:rsidRPr="00993241">
              <w:rPr>
                <w:sz w:val="16"/>
              </w:rPr>
              <w:t>Texte du Traité de Marrakech adopté en juin 2013.</w:t>
            </w:r>
            <w:r w:rsidR="0010442A" w:rsidRPr="00993241">
              <w:rPr>
                <w:sz w:val="16"/>
              </w:rPr>
              <w:t xml:space="preserve"> </w:t>
            </w:r>
            <w:r w:rsidR="004F3E42" w:rsidRPr="00993241">
              <w:rPr>
                <w:sz w:val="16"/>
              </w:rPr>
              <w:t xml:space="preserve"> </w:t>
            </w:r>
            <w:r w:rsidRPr="00993241">
              <w:rPr>
                <w:sz w:val="16"/>
              </w:rPr>
              <w:t>Pour tous les points inscrits à l</w:t>
            </w:r>
            <w:r w:rsidR="00A20444" w:rsidRPr="00993241">
              <w:rPr>
                <w:sz w:val="16"/>
              </w:rPr>
              <w:t>’</w:t>
            </w:r>
            <w:r w:rsidRPr="00993241">
              <w:rPr>
                <w:sz w:val="16"/>
              </w:rPr>
              <w:t>ordre du jour</w:t>
            </w:r>
            <w:r w:rsidR="00A20444" w:rsidRPr="00993241">
              <w:rPr>
                <w:sz w:val="16"/>
              </w:rPr>
              <w:t xml:space="preserve"> du SCC</w:t>
            </w:r>
            <w:r w:rsidRPr="00993241">
              <w:rPr>
                <w:sz w:val="16"/>
              </w:rPr>
              <w:t>R, les travaux respectent les objectifs fixés.</w:t>
            </w:r>
          </w:p>
        </w:tc>
        <w:tc>
          <w:tcPr>
            <w:tcW w:w="672" w:type="pct"/>
            <w:tcBorders>
              <w:bottom w:val="single" w:sz="4" w:space="0" w:color="auto"/>
            </w:tcBorders>
            <w:shd w:val="clear" w:color="auto" w:fill="auto"/>
            <w:tcMar>
              <w:top w:w="110" w:type="dxa"/>
            </w:tcMar>
          </w:tcPr>
          <w:p w:rsidR="00F40E87" w:rsidRPr="005C7CCE" w:rsidRDefault="00F40E87" w:rsidP="001A5BF9">
            <w:pPr>
              <w:keepNext/>
              <w:keepLines/>
              <w:jc w:val="center"/>
              <w:rPr>
                <w:rFonts w:cs="Arial"/>
                <w:bCs/>
                <w:color w:val="008000"/>
                <w:sz w:val="16"/>
                <w:szCs w:val="16"/>
              </w:rPr>
            </w:pPr>
            <w:r w:rsidRPr="00B470C6">
              <w:rPr>
                <w:color w:val="008000"/>
                <w:sz w:val="16"/>
              </w:rPr>
              <w:t>Objectif pleinement atteint</w:t>
            </w:r>
          </w:p>
        </w:tc>
      </w:tr>
      <w:tr w:rsidR="00993241" w:rsidRPr="00993241" w:rsidTr="00993241">
        <w:trPr>
          <w:cantSplit/>
        </w:trPr>
        <w:tc>
          <w:tcPr>
            <w:tcW w:w="5000" w:type="pct"/>
            <w:gridSpan w:val="7"/>
            <w:tcBorders>
              <w:top w:val="single" w:sz="4" w:space="0" w:color="auto"/>
              <w:bottom w:val="single" w:sz="4" w:space="0" w:color="auto"/>
            </w:tcBorders>
            <w:shd w:val="clear" w:color="auto" w:fill="CCFFFF"/>
            <w:vAlign w:val="center"/>
          </w:tcPr>
          <w:p w:rsidR="00F40E87" w:rsidRPr="00993241" w:rsidRDefault="00F40E87" w:rsidP="001A5BF9">
            <w:pPr>
              <w:keepNext/>
              <w:keepLines/>
              <w:tabs>
                <w:tab w:val="left" w:pos="1735"/>
              </w:tabs>
              <w:spacing w:before="120" w:after="120"/>
              <w:ind w:left="1735" w:hanging="1735"/>
              <w:rPr>
                <w:rFonts w:cs="Arial"/>
                <w:b/>
                <w:bCs/>
                <w:sz w:val="16"/>
                <w:szCs w:val="16"/>
              </w:rPr>
            </w:pPr>
            <w:r w:rsidRPr="00993241">
              <w:rPr>
                <w:b/>
                <w:sz w:val="16"/>
              </w:rPr>
              <w:t>Résultat escompté</w:t>
            </w:r>
            <w:r w:rsidR="0010442A" w:rsidRPr="00993241">
              <w:rPr>
                <w:b/>
                <w:sz w:val="16"/>
              </w:rPr>
              <w:t> </w:t>
            </w:r>
            <w:r w:rsidRPr="00993241">
              <w:rPr>
                <w:b/>
                <w:sz w:val="16"/>
              </w:rPr>
              <w:t xml:space="preserve">: </w:t>
            </w:r>
            <w:r w:rsidRPr="00993241">
              <w:rPr>
                <w:b/>
                <w:sz w:val="16"/>
              </w:rPr>
              <w:tab/>
            </w:r>
            <w:r w:rsidRPr="00993241">
              <w:rPr>
                <w:rFonts w:cs="Arial"/>
                <w:spacing w:val="-2"/>
                <w:sz w:val="16"/>
              </w:rPr>
              <w:t>Prise de décisions fondées sur des données probantes concernant les questions de droit d</w:t>
            </w:r>
            <w:r w:rsidR="00A20444" w:rsidRPr="00993241">
              <w:rPr>
                <w:rFonts w:cs="Arial"/>
                <w:spacing w:val="-2"/>
                <w:sz w:val="16"/>
              </w:rPr>
              <w:t>’</w:t>
            </w:r>
            <w:r w:rsidRPr="00993241">
              <w:rPr>
                <w:rFonts w:cs="Arial"/>
                <w:spacing w:val="-2"/>
                <w:sz w:val="16"/>
              </w:rPr>
              <w:t>auteur</w:t>
            </w:r>
          </w:p>
        </w:tc>
      </w:tr>
      <w:tr w:rsidR="00993241" w:rsidRPr="00993241" w:rsidTr="00993241">
        <w:trPr>
          <w:cantSplit/>
        </w:trPr>
        <w:tc>
          <w:tcPr>
            <w:tcW w:w="895" w:type="pct"/>
            <w:tcBorders>
              <w:top w:val="single" w:sz="4" w:space="0" w:color="auto"/>
            </w:tcBorders>
            <w:shd w:val="clear" w:color="auto" w:fill="auto"/>
            <w:vAlign w:val="center"/>
          </w:tcPr>
          <w:p w:rsidR="00F40E87" w:rsidRPr="00993241" w:rsidRDefault="00F40E87" w:rsidP="001A5BF9">
            <w:pPr>
              <w:rPr>
                <w:rFonts w:cs="Arial"/>
                <w:b/>
                <w:sz w:val="16"/>
                <w:szCs w:val="16"/>
              </w:rPr>
            </w:pPr>
            <w:r w:rsidRPr="00993241">
              <w:rPr>
                <w:b/>
                <w:sz w:val="16"/>
              </w:rPr>
              <w:t>Indicateurs d</w:t>
            </w:r>
            <w:r w:rsidR="00A20444" w:rsidRPr="00993241">
              <w:rPr>
                <w:b/>
                <w:sz w:val="16"/>
              </w:rPr>
              <w:t>’</w:t>
            </w:r>
            <w:r w:rsidRPr="00993241">
              <w:rPr>
                <w:b/>
                <w:sz w:val="16"/>
              </w:rPr>
              <w:t>exécution</w:t>
            </w:r>
          </w:p>
        </w:tc>
        <w:tc>
          <w:tcPr>
            <w:tcW w:w="971" w:type="pct"/>
            <w:tcBorders>
              <w:top w:val="single" w:sz="4" w:space="0" w:color="auto"/>
            </w:tcBorders>
            <w:shd w:val="clear" w:color="auto" w:fill="auto"/>
            <w:vAlign w:val="center"/>
          </w:tcPr>
          <w:p w:rsidR="00F40E87" w:rsidRPr="00993241" w:rsidRDefault="00F40E87" w:rsidP="001A5BF9">
            <w:pPr>
              <w:rPr>
                <w:rFonts w:cs="Arial"/>
                <w:b/>
                <w:bCs/>
                <w:sz w:val="16"/>
                <w:szCs w:val="16"/>
              </w:rPr>
            </w:pPr>
            <w:r w:rsidRPr="00993241">
              <w:rPr>
                <w:b/>
                <w:sz w:val="16"/>
              </w:rPr>
              <w:t>Niveaux de référence</w:t>
            </w:r>
          </w:p>
        </w:tc>
        <w:tc>
          <w:tcPr>
            <w:tcW w:w="823" w:type="pct"/>
            <w:gridSpan w:val="2"/>
            <w:tcBorders>
              <w:top w:val="single" w:sz="4" w:space="0" w:color="auto"/>
            </w:tcBorders>
            <w:shd w:val="clear" w:color="auto" w:fill="auto"/>
            <w:tcMar>
              <w:top w:w="110" w:type="dxa"/>
            </w:tcMar>
            <w:vAlign w:val="center"/>
          </w:tcPr>
          <w:p w:rsidR="00F40E87" w:rsidRPr="00993241" w:rsidRDefault="00F40E87" w:rsidP="001A5BF9">
            <w:pPr>
              <w:rPr>
                <w:rFonts w:cs="Arial"/>
                <w:b/>
                <w:sz w:val="16"/>
                <w:szCs w:val="16"/>
              </w:rPr>
            </w:pPr>
            <w:r w:rsidRPr="00993241">
              <w:rPr>
                <w:b/>
                <w:sz w:val="16"/>
              </w:rPr>
              <w:t>Objectifs visés</w:t>
            </w:r>
          </w:p>
        </w:tc>
        <w:tc>
          <w:tcPr>
            <w:tcW w:w="1638" w:type="pct"/>
            <w:gridSpan w:val="2"/>
            <w:tcBorders>
              <w:top w:val="single" w:sz="4" w:space="0" w:color="auto"/>
            </w:tcBorders>
            <w:shd w:val="clear" w:color="auto" w:fill="FFFFFF"/>
            <w:tcMar>
              <w:top w:w="110" w:type="dxa"/>
            </w:tcMar>
            <w:vAlign w:val="center"/>
          </w:tcPr>
          <w:p w:rsidR="00F40E87" w:rsidRPr="00993241" w:rsidRDefault="00F40E87" w:rsidP="001A5BF9">
            <w:pPr>
              <w:rPr>
                <w:rFonts w:cs="Arial"/>
                <w:b/>
                <w:sz w:val="16"/>
                <w:szCs w:val="16"/>
              </w:rPr>
            </w:pPr>
            <w:r w:rsidRPr="00993241">
              <w:rPr>
                <w:b/>
                <w:sz w:val="16"/>
              </w:rPr>
              <w:t>Données relatives à l</w:t>
            </w:r>
            <w:r w:rsidR="00A20444" w:rsidRPr="00993241">
              <w:rPr>
                <w:b/>
                <w:sz w:val="16"/>
              </w:rPr>
              <w:t>’</w:t>
            </w:r>
            <w:r w:rsidRPr="00993241">
              <w:rPr>
                <w:b/>
                <w:sz w:val="16"/>
              </w:rPr>
              <w:t>exécution</w:t>
            </w:r>
          </w:p>
        </w:tc>
        <w:tc>
          <w:tcPr>
            <w:tcW w:w="672" w:type="pct"/>
            <w:tcBorders>
              <w:top w:val="single" w:sz="4" w:space="0" w:color="auto"/>
            </w:tcBorders>
            <w:shd w:val="clear" w:color="auto" w:fill="auto"/>
            <w:tcMar>
              <w:top w:w="110" w:type="dxa"/>
            </w:tcMar>
            <w:vAlign w:val="center"/>
          </w:tcPr>
          <w:p w:rsidR="00F40E87" w:rsidRPr="00993241" w:rsidRDefault="00F40E87" w:rsidP="001A5BF9">
            <w:pPr>
              <w:keepNext/>
              <w:keepLines/>
              <w:jc w:val="center"/>
              <w:rPr>
                <w:rFonts w:cs="Arial"/>
                <w:b/>
                <w:bCs/>
                <w:sz w:val="16"/>
                <w:szCs w:val="16"/>
              </w:rPr>
            </w:pPr>
            <w:r w:rsidRPr="00993241">
              <w:rPr>
                <w:b/>
                <w:sz w:val="16"/>
              </w:rPr>
              <w:t>Code de couleurs</w:t>
            </w:r>
          </w:p>
        </w:tc>
      </w:tr>
      <w:tr w:rsidR="00F40E87" w:rsidRPr="005C7CCE" w:rsidTr="00993241">
        <w:trPr>
          <w:cantSplit/>
        </w:trPr>
        <w:tc>
          <w:tcPr>
            <w:tcW w:w="895" w:type="pct"/>
            <w:shd w:val="clear" w:color="auto" w:fill="FFFFFF"/>
          </w:tcPr>
          <w:p w:rsidR="00F40E87" w:rsidRPr="00993241" w:rsidRDefault="00F40E87" w:rsidP="001A5BF9">
            <w:pPr>
              <w:rPr>
                <w:rFonts w:cs="Arial"/>
                <w:sz w:val="16"/>
                <w:szCs w:val="16"/>
                <w:lang w:bidi="th-TH"/>
              </w:rPr>
            </w:pPr>
            <w:r w:rsidRPr="00993241">
              <w:rPr>
                <w:sz w:val="16"/>
              </w:rPr>
              <w:t>Nombre de demandes de suivi d</w:t>
            </w:r>
            <w:r w:rsidR="00A20444" w:rsidRPr="00993241">
              <w:rPr>
                <w:sz w:val="16"/>
              </w:rPr>
              <w:t>’</w:t>
            </w:r>
            <w:r w:rsidRPr="00993241">
              <w:rPr>
                <w:sz w:val="16"/>
              </w:rPr>
              <w:t>études ou d</w:t>
            </w:r>
            <w:r w:rsidR="00A20444" w:rsidRPr="00993241">
              <w:rPr>
                <w:sz w:val="16"/>
              </w:rPr>
              <w:t>’</w:t>
            </w:r>
            <w:r w:rsidRPr="00993241">
              <w:rPr>
                <w:sz w:val="16"/>
              </w:rPr>
              <w:t>orientations spécifiques sur des activités contribuant à la prise de décisions de politique générale</w:t>
            </w:r>
          </w:p>
        </w:tc>
        <w:tc>
          <w:tcPr>
            <w:tcW w:w="971" w:type="pct"/>
            <w:shd w:val="clear" w:color="auto" w:fill="auto"/>
          </w:tcPr>
          <w:p w:rsidR="00D42474" w:rsidRDefault="00F40E87" w:rsidP="001A5BF9">
            <w:pPr>
              <w:keepNext/>
              <w:rPr>
                <w:rFonts w:cs="Arial"/>
                <w:i/>
                <w:color w:val="002060"/>
                <w:sz w:val="16"/>
                <w:szCs w:val="16"/>
              </w:rPr>
            </w:pPr>
            <w:r w:rsidRPr="005C7CCE">
              <w:rPr>
                <w:i/>
                <w:color w:val="002060"/>
                <w:sz w:val="16"/>
              </w:rPr>
              <w:t>Niveau de référence actualisé fin 2011 :</w:t>
            </w:r>
            <w:r w:rsidRPr="005C7CCE">
              <w:rPr>
                <w:color w:val="993300"/>
                <w:sz w:val="16"/>
              </w:rPr>
              <w:t xml:space="preserve"> </w:t>
            </w:r>
            <w:r w:rsidR="00993241">
              <w:rPr>
                <w:color w:val="002060"/>
                <w:sz w:val="16"/>
              </w:rPr>
              <w:t>s</w:t>
            </w:r>
            <w:r w:rsidRPr="00993241">
              <w:rPr>
                <w:color w:val="002060"/>
                <w:sz w:val="16"/>
              </w:rPr>
              <w:t>ix</w:t>
            </w:r>
            <w:r w:rsidR="0010442A" w:rsidRPr="00993241">
              <w:rPr>
                <w:color w:val="002060"/>
                <w:sz w:val="16"/>
              </w:rPr>
              <w:t> </w:t>
            </w:r>
            <w:r w:rsidRPr="005C7CCE">
              <w:rPr>
                <w:color w:val="002060"/>
                <w:sz w:val="16"/>
              </w:rPr>
              <w:t>demandes</w:t>
            </w:r>
          </w:p>
          <w:p w:rsidR="00D42474" w:rsidRDefault="00D42474" w:rsidP="001A5BF9">
            <w:pPr>
              <w:rPr>
                <w:rFonts w:cs="Arial"/>
                <w:i/>
                <w:color w:val="000000"/>
                <w:sz w:val="8"/>
                <w:szCs w:val="8"/>
                <w:lang w:bidi="th-TH"/>
              </w:rPr>
            </w:pPr>
          </w:p>
          <w:p w:rsidR="00F40E87" w:rsidRPr="005C7CCE" w:rsidRDefault="00F40E87" w:rsidP="00993241">
            <w:pPr>
              <w:rPr>
                <w:rFonts w:cs="Arial"/>
                <w:sz w:val="16"/>
                <w:szCs w:val="16"/>
                <w:lang w:bidi="th-TH"/>
              </w:rPr>
            </w:pPr>
            <w:r w:rsidRPr="005C7CCE">
              <w:rPr>
                <w:i/>
                <w:color w:val="000000"/>
                <w:sz w:val="16"/>
              </w:rPr>
              <w:t xml:space="preserve">Niveau de référence initial </w:t>
            </w:r>
            <w:r w:rsidRPr="005C7CCE">
              <w:br/>
            </w:r>
            <w:r w:rsidR="00667FB3">
              <w:rPr>
                <w:i/>
                <w:color w:val="000000"/>
                <w:sz w:val="16"/>
              </w:rPr>
              <w:t>programme et budget</w:t>
            </w:r>
            <w:r w:rsidRPr="005C7CCE">
              <w:rPr>
                <w:i/>
                <w:color w:val="000000"/>
                <w:sz w:val="16"/>
              </w:rPr>
              <w:t> 2012</w:t>
            </w:r>
            <w:r w:rsidR="002D6F2A" w:rsidRPr="005C7CCE">
              <w:rPr>
                <w:i/>
                <w:color w:val="000000"/>
                <w:sz w:val="16"/>
              </w:rPr>
              <w:noBreakHyphen/>
            </w:r>
            <w:r w:rsidRPr="005C7CCE">
              <w:rPr>
                <w:i/>
                <w:color w:val="000000"/>
                <w:sz w:val="16"/>
              </w:rPr>
              <w:t xml:space="preserve">2013 : </w:t>
            </w:r>
            <w:r w:rsidR="00993241" w:rsidRPr="00993241">
              <w:rPr>
                <w:color w:val="000000"/>
                <w:sz w:val="16"/>
              </w:rPr>
              <w:t>six</w:t>
            </w:r>
            <w:r w:rsidR="00993241">
              <w:rPr>
                <w:i/>
                <w:color w:val="000000"/>
                <w:sz w:val="16"/>
              </w:rPr>
              <w:t xml:space="preserve"> </w:t>
            </w:r>
            <w:r w:rsidRPr="005C7CCE">
              <w:rPr>
                <w:color w:val="000000"/>
                <w:sz w:val="16"/>
              </w:rPr>
              <w:t xml:space="preserve">en </w:t>
            </w:r>
            <w:r w:rsidRPr="005C7CCE">
              <w:rPr>
                <w:sz w:val="16"/>
              </w:rPr>
              <w:t>février</w:t>
            </w:r>
            <w:r w:rsidRPr="005C7CCE">
              <w:rPr>
                <w:color w:val="000000"/>
                <w:sz w:val="16"/>
              </w:rPr>
              <w:t> 2011</w:t>
            </w:r>
          </w:p>
        </w:tc>
        <w:tc>
          <w:tcPr>
            <w:tcW w:w="823" w:type="pct"/>
            <w:gridSpan w:val="2"/>
            <w:shd w:val="clear" w:color="auto" w:fill="auto"/>
            <w:tcMar>
              <w:top w:w="110" w:type="dxa"/>
            </w:tcMar>
          </w:tcPr>
          <w:p w:rsidR="00F40E87" w:rsidRPr="005C7CCE" w:rsidRDefault="00F40E87" w:rsidP="001A5BF9">
            <w:pPr>
              <w:rPr>
                <w:rFonts w:cs="Arial"/>
                <w:sz w:val="16"/>
                <w:szCs w:val="16"/>
                <w:lang w:bidi="th-TH"/>
              </w:rPr>
            </w:pPr>
            <w:r w:rsidRPr="005C7CCE">
              <w:rPr>
                <w:sz w:val="16"/>
              </w:rPr>
              <w:t>15 (en 2012</w:t>
            </w:r>
            <w:r w:rsidR="002D6F2A" w:rsidRPr="005C7CCE">
              <w:rPr>
                <w:sz w:val="16"/>
              </w:rPr>
              <w:noBreakHyphen/>
            </w:r>
            <w:r w:rsidRPr="005C7CCE">
              <w:rPr>
                <w:sz w:val="16"/>
              </w:rPr>
              <w:t>2013)</w:t>
            </w:r>
          </w:p>
        </w:tc>
        <w:tc>
          <w:tcPr>
            <w:tcW w:w="1638" w:type="pct"/>
            <w:gridSpan w:val="2"/>
            <w:shd w:val="clear" w:color="auto" w:fill="FFFFFF"/>
            <w:tcMar>
              <w:top w:w="110" w:type="dxa"/>
            </w:tcMar>
          </w:tcPr>
          <w:p w:rsidR="00F40E87" w:rsidRPr="005C7CCE" w:rsidRDefault="00F40E87" w:rsidP="001A5BF9">
            <w:pPr>
              <w:rPr>
                <w:rFonts w:cs="Arial"/>
                <w:sz w:val="16"/>
                <w:szCs w:val="16"/>
                <w:lang w:bidi="th-TH"/>
              </w:rPr>
            </w:pPr>
            <w:r w:rsidRPr="005C7CCE">
              <w:rPr>
                <w:sz w:val="16"/>
              </w:rPr>
              <w:t>16 demandes en 2012</w:t>
            </w:r>
            <w:r w:rsidR="002D6F2A" w:rsidRPr="005C7CCE">
              <w:rPr>
                <w:sz w:val="16"/>
              </w:rPr>
              <w:noBreakHyphen/>
            </w:r>
            <w:r w:rsidRPr="005C7CCE">
              <w:rPr>
                <w:sz w:val="16"/>
              </w:rPr>
              <w:t>2013 sur les performances économiques des industries spécifiques de la création</w:t>
            </w:r>
            <w:r w:rsidR="004E5112" w:rsidRPr="005C7CCE">
              <w:rPr>
                <w:sz w:val="16"/>
              </w:rPr>
              <w:t> </w:t>
            </w:r>
            <w:r w:rsidRPr="005C7CCE">
              <w:rPr>
                <w:sz w:val="16"/>
              </w:rPr>
              <w:t xml:space="preserve">: </w:t>
            </w:r>
            <w:r w:rsidR="004E5112" w:rsidRPr="005C7CCE">
              <w:rPr>
                <w:sz w:val="16"/>
              </w:rPr>
              <w:t>Afrique (2), pays arabes (1), Asie et Pacifique (7), Amérique latine et Caraïbes (4), Autre (2).</w:t>
            </w:r>
            <w:r w:rsidRPr="005C7CCE">
              <w:rPr>
                <w:sz w:val="16"/>
              </w:rPr>
              <w:t xml:space="preserve"> </w:t>
            </w:r>
            <w:r w:rsidR="0010442A" w:rsidRPr="005C7CCE">
              <w:rPr>
                <w:sz w:val="16"/>
              </w:rPr>
              <w:t xml:space="preserve"> </w:t>
            </w:r>
          </w:p>
        </w:tc>
        <w:tc>
          <w:tcPr>
            <w:tcW w:w="672" w:type="pct"/>
            <w:shd w:val="clear" w:color="auto" w:fill="auto"/>
            <w:tcMar>
              <w:top w:w="110" w:type="dxa"/>
            </w:tcMar>
          </w:tcPr>
          <w:p w:rsidR="00F40E87" w:rsidRPr="005C7CCE" w:rsidRDefault="00F40E87" w:rsidP="001A5BF9">
            <w:pPr>
              <w:keepNext/>
              <w:keepLines/>
              <w:jc w:val="center"/>
              <w:rPr>
                <w:rFonts w:cs="Arial"/>
                <w:bCs/>
                <w:color w:val="008000"/>
                <w:sz w:val="16"/>
                <w:szCs w:val="16"/>
              </w:rPr>
            </w:pPr>
            <w:r w:rsidRPr="00B470C6">
              <w:rPr>
                <w:color w:val="008000"/>
                <w:sz w:val="16"/>
              </w:rPr>
              <w:t>Objectif pleinement atteint</w:t>
            </w:r>
          </w:p>
        </w:tc>
      </w:tr>
      <w:tr w:rsidR="00993241" w:rsidRPr="00993241" w:rsidTr="00993241">
        <w:trPr>
          <w:cantSplit/>
        </w:trPr>
        <w:tc>
          <w:tcPr>
            <w:tcW w:w="5000" w:type="pct"/>
            <w:gridSpan w:val="7"/>
            <w:tcBorders>
              <w:top w:val="single" w:sz="4" w:space="0" w:color="auto"/>
              <w:bottom w:val="single" w:sz="4" w:space="0" w:color="auto"/>
            </w:tcBorders>
            <w:shd w:val="clear" w:color="auto" w:fill="CCFFFF"/>
            <w:vAlign w:val="center"/>
          </w:tcPr>
          <w:p w:rsidR="00993241" w:rsidRPr="00993241" w:rsidRDefault="00993241" w:rsidP="004B047D">
            <w:pPr>
              <w:keepNext/>
              <w:keepLines/>
              <w:tabs>
                <w:tab w:val="left" w:pos="1735"/>
              </w:tabs>
              <w:spacing w:before="120" w:after="120"/>
              <w:ind w:left="1735" w:hanging="1735"/>
              <w:rPr>
                <w:rFonts w:cs="Arial"/>
                <w:b/>
                <w:bCs/>
                <w:sz w:val="16"/>
                <w:szCs w:val="16"/>
              </w:rPr>
            </w:pPr>
            <w:r w:rsidRPr="00993241">
              <w:rPr>
                <w:b/>
                <w:sz w:val="16"/>
              </w:rPr>
              <w:t xml:space="preserve">Résultat escompté : </w:t>
            </w:r>
            <w:r w:rsidRPr="00993241">
              <w:rPr>
                <w:b/>
                <w:sz w:val="16"/>
              </w:rPr>
              <w:tab/>
            </w:r>
            <w:r w:rsidRPr="00993241">
              <w:rPr>
                <w:rFonts w:cs="Arial"/>
                <w:spacing w:val="-2"/>
                <w:sz w:val="16"/>
              </w:rPr>
              <w:t>Prise de décisions fondées sur des données probantes concernant les questions de droit d’auteur</w:t>
            </w:r>
          </w:p>
        </w:tc>
      </w:tr>
      <w:tr w:rsidR="00F40E87" w:rsidRPr="005C7CCE" w:rsidTr="00993241">
        <w:trPr>
          <w:cantSplit/>
        </w:trPr>
        <w:tc>
          <w:tcPr>
            <w:tcW w:w="895" w:type="pct"/>
            <w:shd w:val="clear" w:color="auto" w:fill="auto"/>
          </w:tcPr>
          <w:p w:rsidR="00F40E87" w:rsidRPr="00993241" w:rsidRDefault="00F40E87" w:rsidP="001A5BF9">
            <w:pPr>
              <w:rPr>
                <w:rFonts w:cs="Arial"/>
                <w:sz w:val="16"/>
                <w:szCs w:val="16"/>
                <w:lang w:bidi="th-TH"/>
              </w:rPr>
            </w:pPr>
            <w:r w:rsidRPr="00993241">
              <w:rPr>
                <w:sz w:val="16"/>
              </w:rPr>
              <w:t>Nombre de pays utilisant des études de l</w:t>
            </w:r>
            <w:r w:rsidR="00A20444" w:rsidRPr="00993241">
              <w:rPr>
                <w:sz w:val="16"/>
              </w:rPr>
              <w:t>’</w:t>
            </w:r>
            <w:r w:rsidRPr="00993241">
              <w:rPr>
                <w:sz w:val="16"/>
              </w:rPr>
              <w:t>OMPI dans le cadre de leurs industries de la création pour élaborer des stratégies dans ce domaine</w:t>
            </w:r>
          </w:p>
        </w:tc>
        <w:tc>
          <w:tcPr>
            <w:tcW w:w="971" w:type="pct"/>
            <w:shd w:val="clear" w:color="auto" w:fill="auto"/>
          </w:tcPr>
          <w:p w:rsidR="00F40E87" w:rsidRPr="00993241" w:rsidRDefault="00F40E87" w:rsidP="001A5BF9">
            <w:pPr>
              <w:rPr>
                <w:rFonts w:cs="Arial"/>
                <w:sz w:val="16"/>
                <w:szCs w:val="16"/>
                <w:lang w:bidi="th-TH"/>
              </w:rPr>
            </w:pPr>
            <w:r w:rsidRPr="00993241">
              <w:rPr>
                <w:sz w:val="16"/>
              </w:rPr>
              <w:t>Trois pays</w:t>
            </w:r>
          </w:p>
        </w:tc>
        <w:tc>
          <w:tcPr>
            <w:tcW w:w="823" w:type="pct"/>
            <w:gridSpan w:val="2"/>
            <w:shd w:val="clear" w:color="auto" w:fill="auto"/>
            <w:tcMar>
              <w:top w:w="110" w:type="dxa"/>
            </w:tcMar>
          </w:tcPr>
          <w:p w:rsidR="00D42474" w:rsidRDefault="00F40E87" w:rsidP="001A5BF9">
            <w:pPr>
              <w:rPr>
                <w:rFonts w:cs="Arial"/>
                <w:sz w:val="16"/>
                <w:szCs w:val="16"/>
                <w:lang w:bidi="th-TH"/>
              </w:rPr>
            </w:pPr>
            <w:r w:rsidRPr="00993241">
              <w:rPr>
                <w:sz w:val="16"/>
              </w:rPr>
              <w:t>10 pays</w:t>
            </w:r>
          </w:p>
          <w:p w:rsidR="00F40E87" w:rsidRPr="00993241" w:rsidRDefault="004B047D" w:rsidP="004B047D">
            <w:pPr>
              <w:rPr>
                <w:rFonts w:cs="Arial"/>
                <w:sz w:val="16"/>
                <w:szCs w:val="16"/>
                <w:lang w:bidi="th-TH"/>
              </w:rPr>
            </w:pPr>
            <w:r>
              <w:rPr>
                <w:sz w:val="16"/>
              </w:rPr>
              <w:t>(cumul</w:t>
            </w:r>
            <w:r w:rsidR="00F40E87" w:rsidRPr="00993241">
              <w:rPr>
                <w:sz w:val="16"/>
              </w:rPr>
              <w:t>)</w:t>
            </w:r>
          </w:p>
        </w:tc>
        <w:tc>
          <w:tcPr>
            <w:tcW w:w="1638" w:type="pct"/>
            <w:gridSpan w:val="2"/>
            <w:shd w:val="clear" w:color="auto" w:fill="FFFFFF"/>
            <w:tcMar>
              <w:top w:w="110" w:type="dxa"/>
            </w:tcMar>
          </w:tcPr>
          <w:p w:rsidR="00F40E87" w:rsidRPr="005C7CCE" w:rsidRDefault="00F40E87" w:rsidP="001A5BF9">
            <w:pPr>
              <w:rPr>
                <w:rFonts w:cs="Arial"/>
                <w:sz w:val="16"/>
                <w:szCs w:val="16"/>
                <w:lang w:bidi="th-TH"/>
              </w:rPr>
            </w:pPr>
            <w:r w:rsidRPr="005C7CCE">
              <w:rPr>
                <w:sz w:val="16"/>
              </w:rPr>
              <w:t>10 pays en 2012</w:t>
            </w:r>
            <w:r w:rsidR="002D6F2A" w:rsidRPr="005C7CCE">
              <w:rPr>
                <w:sz w:val="16"/>
              </w:rPr>
              <w:noBreakHyphen/>
            </w:r>
            <w:r w:rsidRPr="005C7CCE">
              <w:rPr>
                <w:sz w:val="16"/>
              </w:rPr>
              <w:t>2013 : Bulgarie, Chine, Colombie, Croatie, Jamaïque, Kenya, Malaisie, République</w:t>
            </w:r>
            <w:r w:rsidR="002D6F2A" w:rsidRPr="005C7CCE">
              <w:rPr>
                <w:sz w:val="16"/>
              </w:rPr>
              <w:noBreakHyphen/>
            </w:r>
            <w:r w:rsidRPr="005C7CCE">
              <w:rPr>
                <w:sz w:val="16"/>
              </w:rPr>
              <w:t>Unie de Tanzanie, Thaïlande et Trinité</w:t>
            </w:r>
            <w:r w:rsidR="002D6F2A" w:rsidRPr="005C7CCE">
              <w:rPr>
                <w:sz w:val="16"/>
              </w:rPr>
              <w:noBreakHyphen/>
            </w:r>
            <w:r w:rsidRPr="005C7CCE">
              <w:rPr>
                <w:sz w:val="16"/>
              </w:rPr>
              <w:t>et</w:t>
            </w:r>
            <w:r w:rsidR="002D6F2A" w:rsidRPr="005C7CCE">
              <w:rPr>
                <w:sz w:val="16"/>
              </w:rPr>
              <w:noBreakHyphen/>
            </w:r>
            <w:r w:rsidRPr="005C7CCE">
              <w:rPr>
                <w:sz w:val="16"/>
              </w:rPr>
              <w:t xml:space="preserve">Tobago. </w:t>
            </w:r>
            <w:r w:rsidR="0010442A" w:rsidRPr="005C7CCE">
              <w:rPr>
                <w:sz w:val="16"/>
              </w:rPr>
              <w:t xml:space="preserve"> </w:t>
            </w:r>
          </w:p>
        </w:tc>
        <w:tc>
          <w:tcPr>
            <w:tcW w:w="672" w:type="pct"/>
            <w:shd w:val="clear" w:color="auto" w:fill="auto"/>
          </w:tcPr>
          <w:p w:rsidR="00F40E87" w:rsidRPr="005C7CCE" w:rsidRDefault="00F40E87" w:rsidP="001A5BF9">
            <w:pPr>
              <w:keepNext/>
              <w:keepLines/>
              <w:jc w:val="center"/>
              <w:rPr>
                <w:rFonts w:cs="Arial"/>
                <w:bCs/>
                <w:color w:val="333333"/>
                <w:sz w:val="16"/>
                <w:szCs w:val="16"/>
              </w:rPr>
            </w:pPr>
            <w:r w:rsidRPr="00B470C6">
              <w:rPr>
                <w:color w:val="008000"/>
                <w:sz w:val="16"/>
              </w:rPr>
              <w:t>Objectif pleinement atteint</w:t>
            </w:r>
          </w:p>
        </w:tc>
      </w:tr>
      <w:tr w:rsidR="00F40E87" w:rsidRPr="005C7CCE" w:rsidTr="00993241">
        <w:trPr>
          <w:cantSplit/>
        </w:trPr>
        <w:tc>
          <w:tcPr>
            <w:tcW w:w="895" w:type="pct"/>
            <w:tcBorders>
              <w:bottom w:val="single" w:sz="4" w:space="0" w:color="auto"/>
            </w:tcBorders>
            <w:shd w:val="clear" w:color="auto" w:fill="auto"/>
          </w:tcPr>
          <w:p w:rsidR="00F40E87" w:rsidRPr="00993241" w:rsidRDefault="00F40E87" w:rsidP="001A5BF9">
            <w:pPr>
              <w:rPr>
                <w:rFonts w:cs="Arial"/>
                <w:sz w:val="16"/>
                <w:szCs w:val="16"/>
                <w:lang w:bidi="th-TH"/>
              </w:rPr>
            </w:pPr>
            <w:r w:rsidRPr="00993241">
              <w:rPr>
                <w:sz w:val="16"/>
              </w:rPr>
              <w:t>Nombre de téléchargements, de demandes et de diffusion d</w:t>
            </w:r>
            <w:r w:rsidR="00A20444" w:rsidRPr="00993241">
              <w:rPr>
                <w:sz w:val="16"/>
              </w:rPr>
              <w:t>’</w:t>
            </w:r>
            <w:r w:rsidRPr="00993241">
              <w:rPr>
                <w:sz w:val="16"/>
              </w:rPr>
              <w:t>outils de l</w:t>
            </w:r>
            <w:r w:rsidR="00A20444" w:rsidRPr="00993241">
              <w:rPr>
                <w:sz w:val="16"/>
              </w:rPr>
              <w:t>’</w:t>
            </w:r>
            <w:r w:rsidRPr="00993241">
              <w:rPr>
                <w:sz w:val="16"/>
              </w:rPr>
              <w:t>OMPI pour la gestion du droit d</w:t>
            </w:r>
            <w:r w:rsidR="00A20444" w:rsidRPr="00993241">
              <w:rPr>
                <w:sz w:val="16"/>
              </w:rPr>
              <w:t>’</w:t>
            </w:r>
            <w:r w:rsidRPr="00993241">
              <w:rPr>
                <w:sz w:val="16"/>
              </w:rPr>
              <w:t>auteur dans des industries créatives spécifiques</w:t>
            </w:r>
          </w:p>
        </w:tc>
        <w:tc>
          <w:tcPr>
            <w:tcW w:w="971" w:type="pct"/>
            <w:tcBorders>
              <w:bottom w:val="single" w:sz="4" w:space="0" w:color="auto"/>
            </w:tcBorders>
            <w:shd w:val="clear" w:color="auto" w:fill="auto"/>
          </w:tcPr>
          <w:p w:rsidR="00F40E87" w:rsidRPr="00993241" w:rsidRDefault="00F40E87" w:rsidP="001A5BF9">
            <w:pPr>
              <w:rPr>
                <w:rFonts w:cs="Arial"/>
                <w:sz w:val="16"/>
                <w:szCs w:val="16"/>
                <w:lang w:bidi="th-TH"/>
              </w:rPr>
            </w:pPr>
            <w:r w:rsidRPr="00993241">
              <w:rPr>
                <w:sz w:val="16"/>
              </w:rPr>
              <w:t>À définir</w:t>
            </w:r>
          </w:p>
        </w:tc>
        <w:tc>
          <w:tcPr>
            <w:tcW w:w="823" w:type="pct"/>
            <w:gridSpan w:val="2"/>
            <w:tcBorders>
              <w:bottom w:val="single" w:sz="4" w:space="0" w:color="auto"/>
            </w:tcBorders>
            <w:shd w:val="clear" w:color="auto" w:fill="auto"/>
            <w:tcMar>
              <w:top w:w="110" w:type="dxa"/>
            </w:tcMar>
          </w:tcPr>
          <w:p w:rsidR="00F40E87" w:rsidRPr="005C7CCE" w:rsidRDefault="00F40E87" w:rsidP="001A5BF9">
            <w:pPr>
              <w:rPr>
                <w:rFonts w:cs="Arial"/>
                <w:sz w:val="16"/>
                <w:szCs w:val="16"/>
                <w:lang w:bidi="th-TH"/>
              </w:rPr>
            </w:pPr>
            <w:r w:rsidRPr="005C7CCE">
              <w:rPr>
                <w:sz w:val="16"/>
              </w:rPr>
              <w:t>Augmentation du nombre de téléchargements, 10 demandes, plus de 500 copies distribuées (en 2012</w:t>
            </w:r>
            <w:r w:rsidR="002D6F2A" w:rsidRPr="005C7CCE">
              <w:rPr>
                <w:sz w:val="16"/>
              </w:rPr>
              <w:noBreakHyphen/>
            </w:r>
            <w:r w:rsidRPr="005C7CCE">
              <w:rPr>
                <w:sz w:val="16"/>
              </w:rPr>
              <w:t>2013)</w:t>
            </w:r>
          </w:p>
        </w:tc>
        <w:tc>
          <w:tcPr>
            <w:tcW w:w="1638" w:type="pct"/>
            <w:gridSpan w:val="2"/>
            <w:tcBorders>
              <w:bottom w:val="single" w:sz="4" w:space="0" w:color="auto"/>
            </w:tcBorders>
            <w:shd w:val="clear" w:color="auto" w:fill="FFFFFF"/>
            <w:tcMar>
              <w:top w:w="110" w:type="dxa"/>
            </w:tcMar>
          </w:tcPr>
          <w:p w:rsidR="00F40E87" w:rsidRPr="005C7CCE" w:rsidRDefault="00F40E87" w:rsidP="001A5BF9">
            <w:pPr>
              <w:rPr>
                <w:rFonts w:cs="Arial"/>
                <w:sz w:val="16"/>
                <w:szCs w:val="16"/>
                <w:lang w:bidi="th-TH"/>
              </w:rPr>
            </w:pPr>
            <w:r w:rsidRPr="005C7CCE">
              <w:rPr>
                <w:sz w:val="16"/>
              </w:rPr>
              <w:t>53 185 téléchargements d</w:t>
            </w:r>
            <w:r w:rsidR="00A20444" w:rsidRPr="005C7CCE">
              <w:rPr>
                <w:sz w:val="16"/>
              </w:rPr>
              <w:t>’</w:t>
            </w:r>
            <w:r w:rsidRPr="005C7CCE">
              <w:rPr>
                <w:sz w:val="16"/>
              </w:rPr>
              <w:t>outils de l</w:t>
            </w:r>
            <w:r w:rsidR="00A20444" w:rsidRPr="005C7CCE">
              <w:rPr>
                <w:sz w:val="16"/>
              </w:rPr>
              <w:t>’</w:t>
            </w:r>
            <w:r w:rsidRPr="005C7CCE">
              <w:rPr>
                <w:sz w:val="16"/>
              </w:rPr>
              <w:t xml:space="preserve">OMPI relatifs aux industries de la création. </w:t>
            </w:r>
            <w:r w:rsidR="0010442A" w:rsidRPr="005C7CCE">
              <w:rPr>
                <w:sz w:val="16"/>
              </w:rPr>
              <w:t xml:space="preserve"> </w:t>
            </w:r>
            <w:r w:rsidRPr="005C7CCE">
              <w:rPr>
                <w:sz w:val="16"/>
              </w:rPr>
              <w:t xml:space="preserve">13 demandes de publications reçues. </w:t>
            </w:r>
            <w:r w:rsidR="0010442A" w:rsidRPr="005C7CCE">
              <w:rPr>
                <w:sz w:val="16"/>
              </w:rPr>
              <w:t xml:space="preserve"> 1800</w:t>
            </w:r>
            <w:r w:rsidRPr="005C7CCE">
              <w:rPr>
                <w:sz w:val="16"/>
              </w:rPr>
              <w:t> copies d</w:t>
            </w:r>
            <w:r w:rsidR="00A20444" w:rsidRPr="005C7CCE">
              <w:rPr>
                <w:sz w:val="16"/>
              </w:rPr>
              <w:t>’</w:t>
            </w:r>
            <w:r w:rsidRPr="005C7CCE">
              <w:rPr>
                <w:sz w:val="16"/>
              </w:rPr>
              <w:t>outils de l</w:t>
            </w:r>
            <w:r w:rsidR="00A20444" w:rsidRPr="005C7CCE">
              <w:rPr>
                <w:sz w:val="16"/>
              </w:rPr>
              <w:t>’</w:t>
            </w:r>
            <w:r w:rsidRPr="005C7CCE">
              <w:rPr>
                <w:sz w:val="16"/>
              </w:rPr>
              <w:t>OMPI pour les créateurs distribués.</w:t>
            </w:r>
          </w:p>
        </w:tc>
        <w:tc>
          <w:tcPr>
            <w:tcW w:w="672" w:type="pct"/>
            <w:tcBorders>
              <w:bottom w:val="single" w:sz="4" w:space="0" w:color="auto"/>
            </w:tcBorders>
            <w:shd w:val="clear" w:color="auto" w:fill="auto"/>
          </w:tcPr>
          <w:p w:rsidR="00F40E87" w:rsidRPr="005C7CCE" w:rsidRDefault="00F40E87" w:rsidP="001A5BF9">
            <w:pPr>
              <w:keepNext/>
              <w:keepLines/>
              <w:jc w:val="center"/>
              <w:rPr>
                <w:rFonts w:cs="Arial"/>
                <w:bCs/>
                <w:color w:val="008000"/>
                <w:sz w:val="16"/>
                <w:szCs w:val="16"/>
              </w:rPr>
            </w:pPr>
            <w:r w:rsidRPr="00B470C6">
              <w:rPr>
                <w:color w:val="008000"/>
                <w:sz w:val="16"/>
              </w:rPr>
              <w:t>Objectif pleinement atteint</w:t>
            </w:r>
          </w:p>
        </w:tc>
      </w:tr>
      <w:tr w:rsidR="00F40E87" w:rsidRPr="005C7CCE" w:rsidTr="00993241">
        <w:trPr>
          <w:cantSplit/>
        </w:trPr>
        <w:tc>
          <w:tcPr>
            <w:tcW w:w="5000" w:type="pct"/>
            <w:gridSpan w:val="7"/>
            <w:tcBorders>
              <w:top w:val="single" w:sz="4" w:space="0" w:color="auto"/>
              <w:bottom w:val="single" w:sz="4" w:space="0" w:color="auto"/>
            </w:tcBorders>
            <w:shd w:val="clear" w:color="auto" w:fill="CCFFFF"/>
            <w:vAlign w:val="center"/>
          </w:tcPr>
          <w:p w:rsidR="00F40E87" w:rsidRPr="005C7CCE" w:rsidRDefault="00F40E87" w:rsidP="001A5BF9">
            <w:pPr>
              <w:tabs>
                <w:tab w:val="left" w:pos="1735"/>
              </w:tabs>
              <w:spacing w:before="120" w:after="120"/>
              <w:ind w:left="1735" w:hanging="1735"/>
              <w:rPr>
                <w:rFonts w:cs="Arial"/>
                <w:b/>
                <w:bCs/>
                <w:sz w:val="16"/>
                <w:szCs w:val="16"/>
              </w:rPr>
            </w:pPr>
            <w:r w:rsidRPr="00993241">
              <w:rPr>
                <w:b/>
                <w:sz w:val="16"/>
              </w:rPr>
              <w:t>Résultat escompté</w:t>
            </w:r>
            <w:r w:rsidR="0010442A" w:rsidRPr="00993241">
              <w:rPr>
                <w:b/>
                <w:sz w:val="16"/>
              </w:rPr>
              <w:t> </w:t>
            </w:r>
            <w:r w:rsidRPr="00993241">
              <w:rPr>
                <w:b/>
                <w:sz w:val="16"/>
              </w:rPr>
              <w:t xml:space="preserve">: </w:t>
            </w:r>
            <w:r w:rsidRPr="00993241">
              <w:rPr>
                <w:b/>
                <w:sz w:val="16"/>
              </w:rPr>
              <w:tab/>
            </w:r>
            <w:r w:rsidRPr="00993241">
              <w:rPr>
                <w:sz w:val="16"/>
              </w:rPr>
              <w:t>Cadres législatif, réglementaires et politiques équilibrés et adaptés en matière de propriété intellectuelle</w:t>
            </w:r>
            <w:r w:rsidR="004F3E42" w:rsidRPr="00993241">
              <w:rPr>
                <w:sz w:val="16"/>
              </w:rPr>
              <w:t xml:space="preserve"> </w:t>
            </w:r>
          </w:p>
        </w:tc>
      </w:tr>
      <w:tr w:rsidR="00993241" w:rsidRPr="00993241" w:rsidTr="00993241">
        <w:trPr>
          <w:cantSplit/>
        </w:trPr>
        <w:tc>
          <w:tcPr>
            <w:tcW w:w="895" w:type="pct"/>
            <w:tcBorders>
              <w:top w:val="single" w:sz="4" w:space="0" w:color="auto"/>
            </w:tcBorders>
            <w:shd w:val="clear" w:color="auto" w:fill="auto"/>
            <w:vAlign w:val="center"/>
          </w:tcPr>
          <w:p w:rsidR="00F40E87" w:rsidRPr="00993241" w:rsidRDefault="00F40E87" w:rsidP="001A5BF9">
            <w:pPr>
              <w:rPr>
                <w:rFonts w:cs="Arial"/>
                <w:b/>
                <w:sz w:val="16"/>
                <w:szCs w:val="16"/>
              </w:rPr>
            </w:pPr>
            <w:r w:rsidRPr="00993241">
              <w:rPr>
                <w:b/>
                <w:sz w:val="16"/>
              </w:rPr>
              <w:t>Indicateurs d</w:t>
            </w:r>
            <w:r w:rsidR="00A20444" w:rsidRPr="00993241">
              <w:rPr>
                <w:b/>
                <w:sz w:val="16"/>
              </w:rPr>
              <w:t>’</w:t>
            </w:r>
            <w:r w:rsidRPr="00993241">
              <w:rPr>
                <w:b/>
                <w:sz w:val="16"/>
              </w:rPr>
              <w:t>exécution</w:t>
            </w:r>
          </w:p>
        </w:tc>
        <w:tc>
          <w:tcPr>
            <w:tcW w:w="971" w:type="pct"/>
            <w:tcBorders>
              <w:top w:val="single" w:sz="4" w:space="0" w:color="auto"/>
            </w:tcBorders>
            <w:shd w:val="clear" w:color="auto" w:fill="auto"/>
            <w:vAlign w:val="center"/>
          </w:tcPr>
          <w:p w:rsidR="00F40E87" w:rsidRPr="00993241" w:rsidRDefault="00F40E87" w:rsidP="001A5BF9">
            <w:pPr>
              <w:rPr>
                <w:rFonts w:cs="Arial"/>
                <w:b/>
                <w:bCs/>
                <w:sz w:val="16"/>
                <w:szCs w:val="16"/>
              </w:rPr>
            </w:pPr>
            <w:r w:rsidRPr="00993241">
              <w:rPr>
                <w:b/>
                <w:sz w:val="16"/>
              </w:rPr>
              <w:t>Niveaux de référence</w:t>
            </w:r>
          </w:p>
        </w:tc>
        <w:tc>
          <w:tcPr>
            <w:tcW w:w="823" w:type="pct"/>
            <w:gridSpan w:val="2"/>
            <w:tcBorders>
              <w:top w:val="single" w:sz="4" w:space="0" w:color="auto"/>
            </w:tcBorders>
            <w:shd w:val="clear" w:color="auto" w:fill="auto"/>
            <w:tcMar>
              <w:top w:w="110" w:type="dxa"/>
            </w:tcMar>
            <w:vAlign w:val="center"/>
          </w:tcPr>
          <w:p w:rsidR="00F40E87" w:rsidRPr="00993241" w:rsidRDefault="00F40E87" w:rsidP="001A5BF9">
            <w:pPr>
              <w:rPr>
                <w:rFonts w:cs="Arial"/>
                <w:b/>
                <w:sz w:val="16"/>
                <w:szCs w:val="16"/>
              </w:rPr>
            </w:pPr>
            <w:r w:rsidRPr="00993241">
              <w:rPr>
                <w:b/>
                <w:sz w:val="16"/>
              </w:rPr>
              <w:t>Objectifs visés</w:t>
            </w:r>
          </w:p>
        </w:tc>
        <w:tc>
          <w:tcPr>
            <w:tcW w:w="1638" w:type="pct"/>
            <w:gridSpan w:val="2"/>
            <w:tcBorders>
              <w:top w:val="single" w:sz="4" w:space="0" w:color="auto"/>
            </w:tcBorders>
            <w:shd w:val="clear" w:color="auto" w:fill="FFFFFF"/>
            <w:tcMar>
              <w:top w:w="110" w:type="dxa"/>
            </w:tcMar>
            <w:vAlign w:val="center"/>
          </w:tcPr>
          <w:p w:rsidR="00F40E87" w:rsidRPr="00993241" w:rsidRDefault="00F40E87" w:rsidP="001A5BF9">
            <w:pPr>
              <w:rPr>
                <w:rFonts w:cs="Arial"/>
                <w:b/>
                <w:sz w:val="16"/>
                <w:szCs w:val="16"/>
              </w:rPr>
            </w:pPr>
            <w:r w:rsidRPr="00993241">
              <w:rPr>
                <w:b/>
                <w:sz w:val="16"/>
              </w:rPr>
              <w:t>Données relatives à l</w:t>
            </w:r>
            <w:r w:rsidR="00A20444" w:rsidRPr="00993241">
              <w:rPr>
                <w:b/>
                <w:sz w:val="16"/>
              </w:rPr>
              <w:t>’</w:t>
            </w:r>
            <w:r w:rsidRPr="00993241">
              <w:rPr>
                <w:b/>
                <w:sz w:val="16"/>
              </w:rPr>
              <w:t>exécution</w:t>
            </w:r>
          </w:p>
        </w:tc>
        <w:tc>
          <w:tcPr>
            <w:tcW w:w="672" w:type="pct"/>
            <w:tcBorders>
              <w:top w:val="single" w:sz="4" w:space="0" w:color="auto"/>
            </w:tcBorders>
            <w:shd w:val="clear" w:color="auto" w:fill="auto"/>
            <w:tcMar>
              <w:top w:w="110" w:type="dxa"/>
            </w:tcMar>
            <w:vAlign w:val="center"/>
          </w:tcPr>
          <w:p w:rsidR="00F40E87" w:rsidRPr="00993241" w:rsidRDefault="00F40E87" w:rsidP="001A5BF9">
            <w:pPr>
              <w:keepNext/>
              <w:keepLines/>
              <w:jc w:val="center"/>
              <w:rPr>
                <w:rFonts w:cs="Arial"/>
                <w:b/>
                <w:bCs/>
                <w:sz w:val="16"/>
                <w:szCs w:val="16"/>
              </w:rPr>
            </w:pPr>
            <w:r w:rsidRPr="00993241">
              <w:rPr>
                <w:b/>
                <w:sz w:val="16"/>
              </w:rPr>
              <w:t>Code de couleurs</w:t>
            </w:r>
          </w:p>
        </w:tc>
      </w:tr>
      <w:tr w:rsidR="00F40E87" w:rsidRPr="005C7CCE" w:rsidTr="00993241">
        <w:trPr>
          <w:cantSplit/>
        </w:trPr>
        <w:tc>
          <w:tcPr>
            <w:tcW w:w="895" w:type="pct"/>
            <w:tcBorders>
              <w:bottom w:val="single" w:sz="4" w:space="0" w:color="auto"/>
            </w:tcBorders>
            <w:shd w:val="clear" w:color="auto" w:fill="auto"/>
          </w:tcPr>
          <w:p w:rsidR="00F40E87" w:rsidRPr="005C7CCE" w:rsidRDefault="00F40E87" w:rsidP="001A5BF9">
            <w:pPr>
              <w:rPr>
                <w:rFonts w:cs="Arial"/>
                <w:sz w:val="16"/>
                <w:szCs w:val="16"/>
                <w:lang w:bidi="th-TH"/>
              </w:rPr>
            </w:pPr>
            <w:r w:rsidRPr="00993241">
              <w:rPr>
                <w:sz w:val="16"/>
              </w:rPr>
              <w:t>Nombre de pays ayant entamé une réforme législative dans le domaine du droit d</w:t>
            </w:r>
            <w:r w:rsidR="00A20444" w:rsidRPr="00993241">
              <w:rPr>
                <w:sz w:val="16"/>
              </w:rPr>
              <w:t>’</w:t>
            </w:r>
            <w:r w:rsidRPr="00993241">
              <w:rPr>
                <w:sz w:val="16"/>
              </w:rPr>
              <w:t>auteur et des droits connexes</w:t>
            </w:r>
          </w:p>
        </w:tc>
        <w:tc>
          <w:tcPr>
            <w:tcW w:w="971" w:type="pct"/>
            <w:tcBorders>
              <w:bottom w:val="single" w:sz="4" w:space="0" w:color="auto"/>
            </w:tcBorders>
            <w:shd w:val="clear" w:color="auto" w:fill="auto"/>
          </w:tcPr>
          <w:p w:rsidR="00D42474" w:rsidRDefault="00F40E87" w:rsidP="001A5BF9">
            <w:pPr>
              <w:rPr>
                <w:color w:val="002060"/>
                <w:sz w:val="16"/>
              </w:rPr>
            </w:pPr>
            <w:r w:rsidRPr="005C7CCE">
              <w:rPr>
                <w:i/>
                <w:color w:val="002060"/>
                <w:sz w:val="16"/>
              </w:rPr>
              <w:t>Niveau de référence actualisé fin 2011 :</w:t>
            </w:r>
            <w:r w:rsidRPr="005C7CCE">
              <w:rPr>
                <w:color w:val="002060"/>
                <w:sz w:val="16"/>
              </w:rPr>
              <w:t xml:space="preserve"> 19 pays</w:t>
            </w:r>
          </w:p>
          <w:p w:rsidR="00D42474" w:rsidRDefault="00D42474" w:rsidP="001A5BF9">
            <w:pPr>
              <w:rPr>
                <w:rFonts w:cs="Arial"/>
                <w:sz w:val="8"/>
                <w:szCs w:val="8"/>
                <w:lang w:bidi="th-TH"/>
              </w:rPr>
            </w:pPr>
          </w:p>
          <w:p w:rsidR="00F40E87" w:rsidRPr="005C7CCE" w:rsidRDefault="00F40E87" w:rsidP="001A5BF9">
            <w:pPr>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Pr="005C7CCE">
              <w:rPr>
                <w:sz w:val="16"/>
              </w:rPr>
              <w:t>19 pays ont reçu des conseils de l</w:t>
            </w:r>
            <w:r w:rsidR="00A20444" w:rsidRPr="005C7CCE">
              <w:rPr>
                <w:sz w:val="16"/>
              </w:rPr>
              <w:t>’</w:t>
            </w:r>
            <w:r w:rsidRPr="005C7CCE">
              <w:rPr>
                <w:sz w:val="16"/>
              </w:rPr>
              <w:t>OMPI en matière de législation en 2010</w:t>
            </w:r>
            <w:r w:rsidR="002D6F2A" w:rsidRPr="005C7CCE">
              <w:rPr>
                <w:sz w:val="16"/>
              </w:rPr>
              <w:noBreakHyphen/>
            </w:r>
            <w:r w:rsidRPr="005C7CCE">
              <w:rPr>
                <w:sz w:val="16"/>
              </w:rPr>
              <w:t>2011 (mars 2011)</w:t>
            </w:r>
          </w:p>
        </w:tc>
        <w:tc>
          <w:tcPr>
            <w:tcW w:w="823" w:type="pct"/>
            <w:gridSpan w:val="2"/>
            <w:tcBorders>
              <w:bottom w:val="single" w:sz="4" w:space="0" w:color="auto"/>
            </w:tcBorders>
            <w:shd w:val="clear" w:color="auto" w:fill="auto"/>
            <w:tcMar>
              <w:top w:w="110" w:type="dxa"/>
            </w:tcMar>
          </w:tcPr>
          <w:p w:rsidR="00F40E87" w:rsidRPr="005C7CCE" w:rsidRDefault="00F40E87" w:rsidP="001A5BF9">
            <w:pPr>
              <w:rPr>
                <w:rFonts w:cs="Arial"/>
                <w:sz w:val="16"/>
                <w:szCs w:val="16"/>
                <w:lang w:bidi="th-TH"/>
              </w:rPr>
            </w:pPr>
            <w:r w:rsidRPr="00993241">
              <w:rPr>
                <w:sz w:val="16"/>
              </w:rPr>
              <w:t>18 pays</w:t>
            </w:r>
          </w:p>
        </w:tc>
        <w:tc>
          <w:tcPr>
            <w:tcW w:w="1638" w:type="pct"/>
            <w:gridSpan w:val="2"/>
            <w:tcBorders>
              <w:bottom w:val="single" w:sz="4" w:space="0" w:color="auto"/>
            </w:tcBorders>
            <w:shd w:val="clear" w:color="auto" w:fill="FFFFFF"/>
            <w:tcMar>
              <w:top w:w="110" w:type="dxa"/>
            </w:tcMar>
          </w:tcPr>
          <w:p w:rsidR="00F40E87" w:rsidRPr="005C7CCE" w:rsidRDefault="00F40E87" w:rsidP="001A5BF9">
            <w:pPr>
              <w:rPr>
                <w:rFonts w:cs="Arial"/>
                <w:sz w:val="16"/>
                <w:szCs w:val="16"/>
                <w:lang w:bidi="th-TH"/>
              </w:rPr>
            </w:pPr>
            <w:r w:rsidRPr="005C7CCE">
              <w:rPr>
                <w:sz w:val="16"/>
              </w:rPr>
              <w:t>24 pays des régions suivantes ont reçu des conseils en matière de législation en 2012</w:t>
            </w:r>
            <w:r w:rsidR="002D6F2A" w:rsidRPr="005C7CCE">
              <w:rPr>
                <w:sz w:val="16"/>
              </w:rPr>
              <w:noBreakHyphen/>
            </w:r>
            <w:r w:rsidRPr="005C7CCE">
              <w:rPr>
                <w:sz w:val="16"/>
              </w:rPr>
              <w:t>2013 : Afrique (10), pays arabes (6), Asie et Pacifique (6), certains pays en Europe et en Asie (2).</w:t>
            </w:r>
          </w:p>
        </w:tc>
        <w:tc>
          <w:tcPr>
            <w:tcW w:w="672" w:type="pct"/>
            <w:tcBorders>
              <w:bottom w:val="single" w:sz="4" w:space="0" w:color="auto"/>
            </w:tcBorders>
            <w:shd w:val="clear" w:color="auto" w:fill="auto"/>
            <w:tcMar>
              <w:top w:w="110" w:type="dxa"/>
            </w:tcMar>
          </w:tcPr>
          <w:p w:rsidR="00F40E87" w:rsidRPr="005C7CCE" w:rsidRDefault="00F40E87" w:rsidP="001A5BF9">
            <w:pPr>
              <w:spacing w:after="120"/>
              <w:jc w:val="center"/>
              <w:rPr>
                <w:rFonts w:cs="Arial"/>
                <w:bCs/>
                <w:color w:val="008000"/>
                <w:sz w:val="16"/>
                <w:szCs w:val="16"/>
              </w:rPr>
            </w:pPr>
            <w:r w:rsidRPr="00B470C6">
              <w:rPr>
                <w:color w:val="008000"/>
                <w:sz w:val="16"/>
              </w:rPr>
              <w:t>Objectif pleinement atteint</w:t>
            </w:r>
          </w:p>
        </w:tc>
      </w:tr>
      <w:tr w:rsidR="00993241" w:rsidRPr="00993241" w:rsidTr="00993241">
        <w:trPr>
          <w:cantSplit/>
        </w:trPr>
        <w:tc>
          <w:tcPr>
            <w:tcW w:w="5000" w:type="pct"/>
            <w:gridSpan w:val="7"/>
            <w:tcBorders>
              <w:top w:val="single" w:sz="4" w:space="0" w:color="auto"/>
              <w:bottom w:val="single" w:sz="4" w:space="0" w:color="auto"/>
            </w:tcBorders>
            <w:shd w:val="clear" w:color="auto" w:fill="CCFFFF"/>
            <w:vAlign w:val="center"/>
          </w:tcPr>
          <w:p w:rsidR="00F40E87" w:rsidRPr="00993241" w:rsidRDefault="00F40E87" w:rsidP="001A5BF9">
            <w:pPr>
              <w:keepNext/>
              <w:keepLines/>
              <w:tabs>
                <w:tab w:val="left" w:pos="1735"/>
              </w:tabs>
              <w:spacing w:before="120" w:after="120"/>
              <w:ind w:left="1735" w:hanging="1735"/>
              <w:rPr>
                <w:rFonts w:cs="Arial"/>
                <w:b/>
                <w:bCs/>
                <w:sz w:val="16"/>
                <w:szCs w:val="16"/>
              </w:rPr>
            </w:pPr>
            <w:r w:rsidRPr="00993241">
              <w:rPr>
                <w:b/>
                <w:sz w:val="16"/>
              </w:rPr>
              <w:t>Résultat escompté</w:t>
            </w:r>
            <w:r w:rsidR="0010442A" w:rsidRPr="00993241">
              <w:rPr>
                <w:b/>
                <w:sz w:val="16"/>
              </w:rPr>
              <w:t> </w:t>
            </w:r>
            <w:r w:rsidRPr="00993241">
              <w:rPr>
                <w:b/>
                <w:sz w:val="16"/>
              </w:rPr>
              <w:t>:</w:t>
            </w:r>
            <w:r w:rsidRPr="00993241">
              <w:rPr>
                <w:sz w:val="16"/>
              </w:rPr>
              <w:t xml:space="preserve"> </w:t>
            </w:r>
            <w:r w:rsidRPr="00993241">
              <w:rPr>
                <w:sz w:val="16"/>
              </w:rPr>
              <w:tab/>
              <w:t>Renforcement des capacités en matière de ressources humaines pour pouvoir répondre aux nombreuses exigences en ce qui concerne l</w:t>
            </w:r>
            <w:r w:rsidR="00A20444" w:rsidRPr="00993241">
              <w:rPr>
                <w:sz w:val="16"/>
              </w:rPr>
              <w:t>’</w:t>
            </w:r>
            <w:r w:rsidRPr="00993241">
              <w:rPr>
                <w:sz w:val="16"/>
              </w:rPr>
              <w:t>utilisation efficace de la propriété intellectuelle au service du développement dans les pays en développement,</w:t>
            </w:r>
            <w:r w:rsidR="00A20444" w:rsidRPr="00993241">
              <w:rPr>
                <w:sz w:val="16"/>
              </w:rPr>
              <w:t xml:space="preserve"> les PMA</w:t>
            </w:r>
            <w:r w:rsidRPr="00993241">
              <w:rPr>
                <w:sz w:val="16"/>
              </w:rPr>
              <w:t xml:space="preserve"> et les pays en transition</w:t>
            </w:r>
          </w:p>
        </w:tc>
      </w:tr>
      <w:tr w:rsidR="00993241" w:rsidRPr="00993241" w:rsidTr="00993241">
        <w:trPr>
          <w:cantSplit/>
        </w:trPr>
        <w:tc>
          <w:tcPr>
            <w:tcW w:w="895" w:type="pct"/>
            <w:tcBorders>
              <w:top w:val="single" w:sz="4" w:space="0" w:color="auto"/>
            </w:tcBorders>
            <w:shd w:val="clear" w:color="auto" w:fill="auto"/>
            <w:vAlign w:val="center"/>
          </w:tcPr>
          <w:p w:rsidR="00F40E87" w:rsidRPr="00993241" w:rsidRDefault="00F40E87" w:rsidP="001A5BF9">
            <w:pPr>
              <w:keepNext/>
              <w:keepLines/>
              <w:rPr>
                <w:rFonts w:cs="Arial"/>
                <w:b/>
                <w:sz w:val="16"/>
                <w:szCs w:val="16"/>
              </w:rPr>
            </w:pPr>
            <w:r w:rsidRPr="00993241">
              <w:rPr>
                <w:b/>
                <w:sz w:val="16"/>
              </w:rPr>
              <w:t>Indicateurs d</w:t>
            </w:r>
            <w:r w:rsidR="00A20444" w:rsidRPr="00993241">
              <w:rPr>
                <w:b/>
                <w:sz w:val="16"/>
              </w:rPr>
              <w:t>’</w:t>
            </w:r>
            <w:r w:rsidRPr="00993241">
              <w:rPr>
                <w:b/>
                <w:sz w:val="16"/>
              </w:rPr>
              <w:t>exécution</w:t>
            </w:r>
          </w:p>
        </w:tc>
        <w:tc>
          <w:tcPr>
            <w:tcW w:w="971" w:type="pct"/>
            <w:tcBorders>
              <w:top w:val="single" w:sz="4" w:space="0" w:color="auto"/>
            </w:tcBorders>
            <w:shd w:val="clear" w:color="auto" w:fill="auto"/>
            <w:vAlign w:val="center"/>
          </w:tcPr>
          <w:p w:rsidR="00F40E87" w:rsidRPr="00993241" w:rsidRDefault="00F40E87" w:rsidP="001A5BF9">
            <w:pPr>
              <w:keepNext/>
              <w:keepLines/>
              <w:rPr>
                <w:rFonts w:cs="Arial"/>
                <w:b/>
                <w:bCs/>
                <w:sz w:val="16"/>
                <w:szCs w:val="16"/>
              </w:rPr>
            </w:pPr>
            <w:r w:rsidRPr="00993241">
              <w:rPr>
                <w:b/>
                <w:sz w:val="16"/>
              </w:rPr>
              <w:t>Niveaux de référence</w:t>
            </w:r>
          </w:p>
        </w:tc>
        <w:tc>
          <w:tcPr>
            <w:tcW w:w="823" w:type="pct"/>
            <w:gridSpan w:val="2"/>
            <w:tcBorders>
              <w:top w:val="single" w:sz="4" w:space="0" w:color="auto"/>
            </w:tcBorders>
            <w:shd w:val="clear" w:color="auto" w:fill="auto"/>
            <w:tcMar>
              <w:top w:w="110" w:type="dxa"/>
            </w:tcMar>
            <w:vAlign w:val="center"/>
          </w:tcPr>
          <w:p w:rsidR="00F40E87" w:rsidRPr="00993241" w:rsidRDefault="00F40E87" w:rsidP="001A5BF9">
            <w:pPr>
              <w:keepNext/>
              <w:keepLines/>
              <w:rPr>
                <w:rFonts w:cs="Arial"/>
                <w:b/>
                <w:sz w:val="16"/>
                <w:szCs w:val="16"/>
              </w:rPr>
            </w:pPr>
            <w:r w:rsidRPr="00993241">
              <w:rPr>
                <w:b/>
                <w:sz w:val="16"/>
              </w:rPr>
              <w:t>Objectifs visés</w:t>
            </w:r>
          </w:p>
        </w:tc>
        <w:tc>
          <w:tcPr>
            <w:tcW w:w="1562" w:type="pct"/>
            <w:tcBorders>
              <w:top w:val="single" w:sz="4" w:space="0" w:color="auto"/>
            </w:tcBorders>
            <w:shd w:val="clear" w:color="auto" w:fill="FFFFFF"/>
            <w:tcMar>
              <w:top w:w="110" w:type="dxa"/>
            </w:tcMar>
            <w:vAlign w:val="center"/>
          </w:tcPr>
          <w:p w:rsidR="00F40E87" w:rsidRPr="00993241" w:rsidRDefault="00F40E87" w:rsidP="001A5BF9">
            <w:pPr>
              <w:keepNext/>
              <w:keepLines/>
              <w:rPr>
                <w:rFonts w:cs="Arial"/>
                <w:b/>
                <w:sz w:val="16"/>
                <w:szCs w:val="16"/>
              </w:rPr>
            </w:pPr>
            <w:r w:rsidRPr="00993241">
              <w:rPr>
                <w:b/>
                <w:sz w:val="16"/>
              </w:rPr>
              <w:t>Données relatives à l</w:t>
            </w:r>
            <w:r w:rsidR="00A20444" w:rsidRPr="00993241">
              <w:rPr>
                <w:b/>
                <w:sz w:val="16"/>
              </w:rPr>
              <w:t>’</w:t>
            </w:r>
            <w:r w:rsidRPr="00993241">
              <w:rPr>
                <w:b/>
                <w:sz w:val="16"/>
              </w:rPr>
              <w:t>exécution</w:t>
            </w:r>
          </w:p>
        </w:tc>
        <w:tc>
          <w:tcPr>
            <w:tcW w:w="748" w:type="pct"/>
            <w:gridSpan w:val="2"/>
            <w:tcBorders>
              <w:top w:val="single" w:sz="4" w:space="0" w:color="auto"/>
            </w:tcBorders>
            <w:shd w:val="clear" w:color="auto" w:fill="auto"/>
            <w:tcMar>
              <w:top w:w="110" w:type="dxa"/>
            </w:tcMar>
            <w:vAlign w:val="center"/>
          </w:tcPr>
          <w:p w:rsidR="00F40E87" w:rsidRPr="00993241" w:rsidRDefault="00F40E87" w:rsidP="001A5BF9">
            <w:pPr>
              <w:keepNext/>
              <w:keepLines/>
              <w:jc w:val="center"/>
              <w:rPr>
                <w:rFonts w:cs="Arial"/>
                <w:b/>
                <w:bCs/>
                <w:sz w:val="16"/>
                <w:szCs w:val="16"/>
              </w:rPr>
            </w:pPr>
            <w:r w:rsidRPr="00993241">
              <w:rPr>
                <w:b/>
                <w:sz w:val="16"/>
              </w:rPr>
              <w:t>Code de couleurs</w:t>
            </w:r>
          </w:p>
        </w:tc>
      </w:tr>
      <w:tr w:rsidR="00F40E87" w:rsidRPr="005C7CCE" w:rsidTr="00993241">
        <w:trPr>
          <w:cantSplit/>
        </w:trPr>
        <w:tc>
          <w:tcPr>
            <w:tcW w:w="895" w:type="pct"/>
            <w:shd w:val="clear" w:color="auto" w:fill="auto"/>
          </w:tcPr>
          <w:p w:rsidR="00F40E87" w:rsidRPr="00993241" w:rsidRDefault="00F40E87" w:rsidP="001A5BF9">
            <w:pPr>
              <w:rPr>
                <w:rFonts w:cs="Arial"/>
                <w:sz w:val="16"/>
                <w:szCs w:val="16"/>
                <w:lang w:bidi="th-TH"/>
              </w:rPr>
            </w:pPr>
            <w:r w:rsidRPr="00993241">
              <w:rPr>
                <w:sz w:val="16"/>
              </w:rPr>
              <w:t>Pourcentage de participants satisfaits des ateliers de renforcement des capacités liées au droit d</w:t>
            </w:r>
            <w:r w:rsidR="00A20444" w:rsidRPr="00993241">
              <w:rPr>
                <w:sz w:val="16"/>
              </w:rPr>
              <w:t>’</w:t>
            </w:r>
            <w:r w:rsidRPr="00993241">
              <w:rPr>
                <w:sz w:val="16"/>
              </w:rPr>
              <w:t>auteur, et les ayant évalués comme utiles</w:t>
            </w:r>
          </w:p>
        </w:tc>
        <w:tc>
          <w:tcPr>
            <w:tcW w:w="971" w:type="pct"/>
            <w:shd w:val="clear" w:color="auto" w:fill="auto"/>
          </w:tcPr>
          <w:p w:rsidR="00D42474" w:rsidRDefault="00F40E87" w:rsidP="001A5BF9">
            <w:pPr>
              <w:rPr>
                <w:rFonts w:cs="Arial"/>
                <w:color w:val="002060"/>
                <w:sz w:val="16"/>
                <w:szCs w:val="16"/>
                <w:lang w:bidi="th-TH"/>
              </w:rPr>
            </w:pPr>
            <w:r w:rsidRPr="005C7CCE">
              <w:rPr>
                <w:i/>
                <w:color w:val="002060"/>
                <w:sz w:val="16"/>
              </w:rPr>
              <w:t>Niveau de référence actualisé fin 2011 :</w:t>
            </w:r>
            <w:r w:rsidR="00993241">
              <w:rPr>
                <w:color w:val="002060"/>
                <w:sz w:val="16"/>
              </w:rPr>
              <w:t xml:space="preserve"> e</w:t>
            </w:r>
            <w:r w:rsidRPr="005C7CCE">
              <w:rPr>
                <w:color w:val="002060"/>
                <w:sz w:val="16"/>
              </w:rPr>
              <w:t>nviron 70</w:t>
            </w:r>
            <w:r w:rsidR="007E442D" w:rsidRPr="005C7CCE">
              <w:rPr>
                <w:color w:val="002060"/>
                <w:sz w:val="16"/>
              </w:rPr>
              <w:t>%</w:t>
            </w:r>
          </w:p>
          <w:p w:rsidR="00D42474" w:rsidRDefault="00D42474" w:rsidP="001A5BF9">
            <w:pPr>
              <w:rPr>
                <w:rFonts w:cs="Arial"/>
                <w:color w:val="002060"/>
                <w:sz w:val="8"/>
                <w:szCs w:val="8"/>
                <w:lang w:bidi="th-TH"/>
              </w:rPr>
            </w:pPr>
          </w:p>
          <w:p w:rsidR="00F40E87" w:rsidRPr="005C7CCE" w:rsidRDefault="00F40E87" w:rsidP="001A5BF9">
            <w:pPr>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proofErr w:type="spellStart"/>
            <w:r w:rsidR="00993241">
              <w:rPr>
                <w:sz w:val="16"/>
              </w:rPr>
              <w:t>n.d</w:t>
            </w:r>
            <w:proofErr w:type="spellEnd"/>
            <w:r w:rsidR="00993241">
              <w:rPr>
                <w:sz w:val="16"/>
              </w:rPr>
              <w:t>.</w:t>
            </w:r>
          </w:p>
        </w:tc>
        <w:tc>
          <w:tcPr>
            <w:tcW w:w="823" w:type="pct"/>
            <w:gridSpan w:val="2"/>
            <w:shd w:val="clear" w:color="auto" w:fill="auto"/>
            <w:tcMar>
              <w:top w:w="110" w:type="dxa"/>
            </w:tcMar>
          </w:tcPr>
          <w:p w:rsidR="00F40E87" w:rsidRPr="005C7CCE" w:rsidRDefault="00F40E87" w:rsidP="001A5BF9">
            <w:pPr>
              <w:autoSpaceDE w:val="0"/>
              <w:autoSpaceDN w:val="0"/>
              <w:adjustRightInd w:val="0"/>
              <w:rPr>
                <w:rFonts w:cs="Arial"/>
                <w:sz w:val="16"/>
                <w:szCs w:val="16"/>
              </w:rPr>
            </w:pPr>
            <w:r w:rsidRPr="00993241">
              <w:rPr>
                <w:sz w:val="16"/>
              </w:rPr>
              <w:t>70</w:t>
            </w:r>
            <w:r w:rsidR="007E442D" w:rsidRPr="00993241">
              <w:rPr>
                <w:sz w:val="16"/>
              </w:rPr>
              <w:t>%</w:t>
            </w:r>
            <w:r w:rsidRPr="00993241">
              <w:rPr>
                <w:sz w:val="16"/>
              </w:rPr>
              <w:t xml:space="preserve"> sont d</w:t>
            </w:r>
            <w:r w:rsidR="00A20444" w:rsidRPr="00993241">
              <w:rPr>
                <w:sz w:val="16"/>
              </w:rPr>
              <w:t>’</w:t>
            </w:r>
            <w:r w:rsidRPr="00993241">
              <w:rPr>
                <w:sz w:val="16"/>
              </w:rPr>
              <w:t>accord ou absolument d</w:t>
            </w:r>
            <w:r w:rsidR="00A20444" w:rsidRPr="00993241">
              <w:rPr>
                <w:sz w:val="16"/>
              </w:rPr>
              <w:t>’</w:t>
            </w:r>
            <w:r w:rsidRPr="00993241">
              <w:rPr>
                <w:sz w:val="16"/>
              </w:rPr>
              <w:t>accord</w:t>
            </w:r>
          </w:p>
        </w:tc>
        <w:tc>
          <w:tcPr>
            <w:tcW w:w="1562" w:type="pct"/>
            <w:shd w:val="clear" w:color="auto" w:fill="FFFFFF"/>
            <w:tcMar>
              <w:top w:w="110" w:type="dxa"/>
            </w:tcMar>
          </w:tcPr>
          <w:p w:rsidR="00F40E87" w:rsidRPr="005C7CCE" w:rsidRDefault="00F40E87" w:rsidP="001A5BF9">
            <w:pPr>
              <w:rPr>
                <w:rFonts w:cs="Arial"/>
                <w:sz w:val="16"/>
                <w:szCs w:val="16"/>
                <w:lang w:bidi="th-TH"/>
              </w:rPr>
            </w:pPr>
            <w:r w:rsidRPr="005C7CCE">
              <w:rPr>
                <w:sz w:val="16"/>
              </w:rPr>
              <w:t>Plus de 80</w:t>
            </w:r>
            <w:r w:rsidR="007E442D" w:rsidRPr="005C7CCE">
              <w:rPr>
                <w:sz w:val="16"/>
              </w:rPr>
              <w:t>%</w:t>
            </w:r>
            <w:r w:rsidRPr="005C7CCE">
              <w:rPr>
                <w:sz w:val="16"/>
              </w:rPr>
              <w:t xml:space="preserve"> des participants aux programmes de renforcement des capacités en matière de droit d</w:t>
            </w:r>
            <w:r w:rsidR="00A20444" w:rsidRPr="005C7CCE">
              <w:rPr>
                <w:sz w:val="16"/>
              </w:rPr>
              <w:t>’</w:t>
            </w:r>
            <w:r w:rsidRPr="005C7CCE">
              <w:rPr>
                <w:sz w:val="16"/>
              </w:rPr>
              <w:t>auteur et de droits connexes ont qualifié la formation reçue comme étant utile.</w:t>
            </w:r>
          </w:p>
        </w:tc>
        <w:tc>
          <w:tcPr>
            <w:tcW w:w="748" w:type="pct"/>
            <w:gridSpan w:val="2"/>
            <w:shd w:val="clear" w:color="auto" w:fill="auto"/>
            <w:tcMar>
              <w:top w:w="110" w:type="dxa"/>
            </w:tcMar>
          </w:tcPr>
          <w:p w:rsidR="00F40E87" w:rsidRPr="005C7CCE" w:rsidRDefault="00F40E87" w:rsidP="001A5BF9">
            <w:pPr>
              <w:spacing w:after="120"/>
              <w:jc w:val="center"/>
              <w:rPr>
                <w:rFonts w:cs="Arial"/>
                <w:bCs/>
                <w:color w:val="008000"/>
                <w:sz w:val="16"/>
                <w:szCs w:val="16"/>
              </w:rPr>
            </w:pPr>
            <w:r w:rsidRPr="00B470C6">
              <w:rPr>
                <w:color w:val="008000"/>
                <w:sz w:val="16"/>
              </w:rPr>
              <w:t>Objectif pleinement atteint</w:t>
            </w:r>
          </w:p>
        </w:tc>
      </w:tr>
      <w:tr w:rsidR="00F40E87" w:rsidRPr="005C7CCE" w:rsidTr="00993241">
        <w:trPr>
          <w:cantSplit/>
        </w:trPr>
        <w:tc>
          <w:tcPr>
            <w:tcW w:w="895" w:type="pct"/>
            <w:shd w:val="clear" w:color="auto" w:fill="auto"/>
          </w:tcPr>
          <w:p w:rsidR="00F40E87" w:rsidRPr="00993241" w:rsidRDefault="00F40E87" w:rsidP="001A5BF9">
            <w:pPr>
              <w:rPr>
                <w:rFonts w:cs="Arial"/>
                <w:sz w:val="16"/>
                <w:szCs w:val="16"/>
                <w:lang w:bidi="th-TH"/>
              </w:rPr>
            </w:pPr>
            <w:r w:rsidRPr="00993241">
              <w:rPr>
                <w:sz w:val="16"/>
              </w:rPr>
              <w:t>Pourcentage de participants ayant évalué les ateliers relatifs au droit d</w:t>
            </w:r>
            <w:r w:rsidR="00A20444" w:rsidRPr="00993241">
              <w:rPr>
                <w:sz w:val="16"/>
              </w:rPr>
              <w:t>’</w:t>
            </w:r>
            <w:r w:rsidRPr="00993241">
              <w:rPr>
                <w:sz w:val="16"/>
              </w:rPr>
              <w:t>auteur comme utiles et ayant déclaré mettre en pratique leur enseignement, six</w:t>
            </w:r>
            <w:r w:rsidR="0010442A" w:rsidRPr="00993241">
              <w:rPr>
                <w:sz w:val="16"/>
              </w:rPr>
              <w:t> </w:t>
            </w:r>
            <w:r w:rsidRPr="00993241">
              <w:rPr>
                <w:sz w:val="16"/>
              </w:rPr>
              <w:t>mois après la formation</w:t>
            </w:r>
          </w:p>
        </w:tc>
        <w:tc>
          <w:tcPr>
            <w:tcW w:w="971" w:type="pct"/>
            <w:shd w:val="clear" w:color="auto" w:fill="auto"/>
          </w:tcPr>
          <w:p w:rsidR="00D42474" w:rsidRDefault="00F40E87" w:rsidP="001A5BF9">
            <w:pPr>
              <w:pStyle w:val="Default"/>
              <w:rPr>
                <w:color w:val="002060"/>
                <w:sz w:val="16"/>
              </w:rPr>
            </w:pPr>
            <w:r w:rsidRPr="005C7CCE">
              <w:rPr>
                <w:i/>
                <w:color w:val="002060"/>
                <w:sz w:val="16"/>
              </w:rPr>
              <w:t>Niveau de référence actualisé fin 2011 :</w:t>
            </w:r>
            <w:r w:rsidR="00993241">
              <w:rPr>
                <w:color w:val="002060"/>
                <w:sz w:val="16"/>
              </w:rPr>
              <w:t xml:space="preserve"> e</w:t>
            </w:r>
            <w:r w:rsidRPr="005C7CCE">
              <w:rPr>
                <w:color w:val="002060"/>
                <w:sz w:val="16"/>
              </w:rPr>
              <w:t>nviron 70</w:t>
            </w:r>
            <w:r w:rsidR="007E442D" w:rsidRPr="005C7CCE">
              <w:rPr>
                <w:color w:val="002060"/>
                <w:sz w:val="16"/>
              </w:rPr>
              <w:t>%</w:t>
            </w:r>
          </w:p>
          <w:p w:rsidR="00D42474" w:rsidRDefault="00D42474" w:rsidP="001A5BF9">
            <w:pPr>
              <w:rPr>
                <w:rFonts w:cs="Arial"/>
                <w:color w:val="002060"/>
                <w:sz w:val="8"/>
                <w:szCs w:val="8"/>
                <w:lang w:bidi="th-TH"/>
              </w:rPr>
            </w:pPr>
          </w:p>
          <w:p w:rsidR="00F40E87" w:rsidRPr="005C7CCE" w:rsidRDefault="00F40E87" w:rsidP="001A5BF9">
            <w:pPr>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proofErr w:type="spellStart"/>
            <w:r w:rsidR="00993241">
              <w:rPr>
                <w:sz w:val="16"/>
              </w:rPr>
              <w:t>n.d</w:t>
            </w:r>
            <w:proofErr w:type="spellEnd"/>
            <w:r w:rsidR="00993241">
              <w:rPr>
                <w:sz w:val="16"/>
              </w:rPr>
              <w:t>.</w:t>
            </w:r>
          </w:p>
        </w:tc>
        <w:tc>
          <w:tcPr>
            <w:tcW w:w="823" w:type="pct"/>
            <w:gridSpan w:val="2"/>
            <w:shd w:val="clear" w:color="auto" w:fill="auto"/>
            <w:tcMar>
              <w:top w:w="110" w:type="dxa"/>
            </w:tcMar>
          </w:tcPr>
          <w:p w:rsidR="00F40E87" w:rsidRPr="005C7CCE" w:rsidRDefault="00F40E87" w:rsidP="001A5BF9">
            <w:pPr>
              <w:rPr>
                <w:rFonts w:cs="Arial"/>
                <w:sz w:val="16"/>
                <w:szCs w:val="16"/>
                <w:lang w:bidi="th-TH"/>
              </w:rPr>
            </w:pPr>
            <w:r w:rsidRPr="005C7CCE">
              <w:rPr>
                <w:sz w:val="16"/>
              </w:rPr>
              <w:t>70</w:t>
            </w:r>
            <w:r w:rsidR="007E442D" w:rsidRPr="005C7CCE">
              <w:rPr>
                <w:sz w:val="16"/>
              </w:rPr>
              <w:t>%</w:t>
            </w:r>
          </w:p>
        </w:tc>
        <w:tc>
          <w:tcPr>
            <w:tcW w:w="1562" w:type="pct"/>
            <w:shd w:val="clear" w:color="auto" w:fill="FFFFFF"/>
            <w:tcMar>
              <w:top w:w="110" w:type="dxa"/>
            </w:tcMar>
          </w:tcPr>
          <w:p w:rsidR="00F40E87" w:rsidRPr="005C7CCE" w:rsidRDefault="00F40E87" w:rsidP="001A5BF9">
            <w:pPr>
              <w:rPr>
                <w:rFonts w:cs="Arial"/>
                <w:sz w:val="16"/>
                <w:szCs w:val="16"/>
                <w:lang w:bidi="th-TH"/>
              </w:rPr>
            </w:pPr>
            <w:r w:rsidRPr="005C7CCE">
              <w:rPr>
                <w:sz w:val="16"/>
              </w:rPr>
              <w:t>Plus de 70</w:t>
            </w:r>
            <w:r w:rsidR="007E442D" w:rsidRPr="005C7CCE">
              <w:rPr>
                <w:sz w:val="16"/>
              </w:rPr>
              <w:t>%</w:t>
            </w:r>
            <w:r w:rsidRPr="005C7CCE">
              <w:rPr>
                <w:sz w:val="16"/>
              </w:rPr>
              <w:t xml:space="preserve"> des participants aux ateliers relatifs au droit d</w:t>
            </w:r>
            <w:r w:rsidR="00A20444" w:rsidRPr="005C7CCE">
              <w:rPr>
                <w:sz w:val="16"/>
              </w:rPr>
              <w:t>’</w:t>
            </w:r>
            <w:r w:rsidRPr="005C7CCE">
              <w:rPr>
                <w:sz w:val="16"/>
              </w:rPr>
              <w:t>auteur et aux droits connexes ont qualifié les connaissances acquises comme étant pratiques à l</w:t>
            </w:r>
            <w:r w:rsidR="00A20444" w:rsidRPr="005C7CCE">
              <w:rPr>
                <w:sz w:val="16"/>
              </w:rPr>
              <w:t>’</w:t>
            </w:r>
            <w:r w:rsidRPr="005C7CCE">
              <w:rPr>
                <w:sz w:val="16"/>
              </w:rPr>
              <w:t>usage six mois après les ateliers.</w:t>
            </w:r>
          </w:p>
        </w:tc>
        <w:tc>
          <w:tcPr>
            <w:tcW w:w="748" w:type="pct"/>
            <w:gridSpan w:val="2"/>
            <w:shd w:val="clear" w:color="auto" w:fill="auto"/>
          </w:tcPr>
          <w:p w:rsidR="00F40E87" w:rsidRPr="005C7CCE" w:rsidRDefault="00F40E87" w:rsidP="001A5BF9">
            <w:pPr>
              <w:jc w:val="center"/>
              <w:rPr>
                <w:rFonts w:cs="Arial"/>
                <w:bCs/>
                <w:color w:val="333333"/>
                <w:sz w:val="16"/>
                <w:szCs w:val="16"/>
              </w:rPr>
            </w:pPr>
            <w:r w:rsidRPr="00B470C6">
              <w:rPr>
                <w:color w:val="008000"/>
                <w:sz w:val="16"/>
              </w:rPr>
              <w:t>Objectif pleinement atteint</w:t>
            </w:r>
          </w:p>
        </w:tc>
      </w:tr>
      <w:tr w:rsidR="00F40E87" w:rsidRPr="005C7CCE" w:rsidTr="00993241">
        <w:trPr>
          <w:cantSplit/>
        </w:trPr>
        <w:tc>
          <w:tcPr>
            <w:tcW w:w="895" w:type="pct"/>
            <w:tcBorders>
              <w:bottom w:val="single" w:sz="4" w:space="0" w:color="auto"/>
            </w:tcBorders>
            <w:shd w:val="clear" w:color="auto" w:fill="auto"/>
          </w:tcPr>
          <w:p w:rsidR="00F40E87" w:rsidRPr="00993241" w:rsidRDefault="00F40E87" w:rsidP="001A5BF9">
            <w:pPr>
              <w:keepNext/>
              <w:keepLines/>
              <w:rPr>
                <w:rFonts w:cs="Arial"/>
                <w:sz w:val="16"/>
                <w:szCs w:val="16"/>
                <w:lang w:bidi="th-TH"/>
              </w:rPr>
            </w:pPr>
            <w:r w:rsidRPr="00993241">
              <w:rPr>
                <w:sz w:val="16"/>
              </w:rPr>
              <w:t>Nombre de projets relatifs au droit d</w:t>
            </w:r>
            <w:r w:rsidR="00A20444" w:rsidRPr="00993241">
              <w:rPr>
                <w:sz w:val="16"/>
              </w:rPr>
              <w:t>’</w:t>
            </w:r>
            <w:r w:rsidRPr="00993241">
              <w:rPr>
                <w:sz w:val="16"/>
              </w:rPr>
              <w:t>auteur et aux droits connexes, li</w:t>
            </w:r>
            <w:r w:rsidR="00FF417E" w:rsidRPr="00993241">
              <w:rPr>
                <w:sz w:val="16"/>
              </w:rPr>
              <w:t>é</w:t>
            </w:r>
            <w:r w:rsidRPr="00993241">
              <w:rPr>
                <w:sz w:val="16"/>
              </w:rPr>
              <w:t>s aux thèmes abordés par les ateliers et mis en œuvre directement après la tenue de ces ateliers</w:t>
            </w:r>
          </w:p>
        </w:tc>
        <w:tc>
          <w:tcPr>
            <w:tcW w:w="971" w:type="pct"/>
            <w:tcBorders>
              <w:bottom w:val="single" w:sz="4" w:space="0" w:color="auto"/>
            </w:tcBorders>
            <w:shd w:val="clear" w:color="auto" w:fill="auto"/>
          </w:tcPr>
          <w:p w:rsidR="00D42474" w:rsidRDefault="00F40E87" w:rsidP="001A5BF9">
            <w:pPr>
              <w:keepNext/>
              <w:keepLines/>
              <w:rPr>
                <w:rFonts w:cs="Arial"/>
                <w:color w:val="002060"/>
                <w:sz w:val="16"/>
                <w:szCs w:val="16"/>
                <w:lang w:bidi="th-TH"/>
              </w:rPr>
            </w:pPr>
            <w:r w:rsidRPr="005C7CCE">
              <w:rPr>
                <w:i/>
                <w:color w:val="002060"/>
                <w:sz w:val="16"/>
              </w:rPr>
              <w:t>Niveau de référence actualisé fin 2011 :</w:t>
            </w:r>
            <w:r w:rsidR="00993241">
              <w:rPr>
                <w:color w:val="002060"/>
                <w:sz w:val="16"/>
              </w:rPr>
              <w:t xml:space="preserve"> a</w:t>
            </w:r>
            <w:r w:rsidRPr="005C7CCE">
              <w:rPr>
                <w:color w:val="002060"/>
                <w:sz w:val="16"/>
              </w:rPr>
              <w:t>u moins 50</w:t>
            </w:r>
            <w:r w:rsidR="007E442D" w:rsidRPr="005C7CCE">
              <w:rPr>
                <w:color w:val="002060"/>
                <w:sz w:val="16"/>
              </w:rPr>
              <w:t>%</w:t>
            </w:r>
          </w:p>
          <w:p w:rsidR="00D42474" w:rsidRDefault="00D42474" w:rsidP="001A5BF9">
            <w:pPr>
              <w:keepNext/>
              <w:keepLines/>
              <w:rPr>
                <w:rFonts w:cs="Arial"/>
                <w:sz w:val="8"/>
                <w:szCs w:val="8"/>
                <w:lang w:bidi="th-TH"/>
              </w:rPr>
            </w:pPr>
          </w:p>
          <w:p w:rsidR="00F40E87" w:rsidRPr="005C7CCE" w:rsidRDefault="00F40E87" w:rsidP="001A5BF9">
            <w:pPr>
              <w:keepNext/>
              <w:keepLines/>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proofErr w:type="spellStart"/>
            <w:r w:rsidR="00993241">
              <w:rPr>
                <w:sz w:val="16"/>
              </w:rPr>
              <w:t>n.d</w:t>
            </w:r>
            <w:proofErr w:type="spellEnd"/>
            <w:r w:rsidR="00993241">
              <w:rPr>
                <w:sz w:val="16"/>
              </w:rPr>
              <w:t>.</w:t>
            </w:r>
          </w:p>
        </w:tc>
        <w:tc>
          <w:tcPr>
            <w:tcW w:w="823" w:type="pct"/>
            <w:gridSpan w:val="2"/>
            <w:tcBorders>
              <w:bottom w:val="single" w:sz="4" w:space="0" w:color="auto"/>
            </w:tcBorders>
            <w:shd w:val="clear" w:color="auto" w:fill="auto"/>
            <w:tcMar>
              <w:top w:w="110" w:type="dxa"/>
            </w:tcMar>
          </w:tcPr>
          <w:p w:rsidR="00F40E87" w:rsidRPr="005C7CCE" w:rsidRDefault="00F40E87" w:rsidP="001A5BF9">
            <w:pPr>
              <w:keepNext/>
              <w:keepLines/>
              <w:rPr>
                <w:rFonts w:cs="Arial"/>
                <w:sz w:val="16"/>
                <w:szCs w:val="16"/>
                <w:lang w:bidi="th-TH"/>
              </w:rPr>
            </w:pPr>
            <w:r w:rsidRPr="005C7CCE">
              <w:rPr>
                <w:sz w:val="16"/>
              </w:rPr>
              <w:t>70</w:t>
            </w:r>
            <w:r w:rsidR="007E442D" w:rsidRPr="005C7CCE">
              <w:rPr>
                <w:sz w:val="16"/>
              </w:rPr>
              <w:t>%</w:t>
            </w:r>
          </w:p>
        </w:tc>
        <w:tc>
          <w:tcPr>
            <w:tcW w:w="1562" w:type="pct"/>
            <w:tcBorders>
              <w:bottom w:val="single" w:sz="4" w:space="0" w:color="auto"/>
            </w:tcBorders>
            <w:shd w:val="clear" w:color="auto" w:fill="FFFFFF"/>
            <w:tcMar>
              <w:top w:w="110" w:type="dxa"/>
            </w:tcMar>
          </w:tcPr>
          <w:p w:rsidR="00F40E87" w:rsidRPr="005C7CCE" w:rsidRDefault="00F40E87" w:rsidP="001A5BF9">
            <w:pPr>
              <w:keepNext/>
              <w:keepLines/>
              <w:rPr>
                <w:rFonts w:cs="Arial"/>
                <w:sz w:val="16"/>
                <w:szCs w:val="16"/>
                <w:lang w:bidi="th-TH"/>
              </w:rPr>
            </w:pPr>
            <w:r w:rsidRPr="005C7CCE">
              <w:rPr>
                <w:sz w:val="16"/>
              </w:rPr>
              <w:t>Plus de 60</w:t>
            </w:r>
            <w:r w:rsidR="007E442D" w:rsidRPr="005C7CCE">
              <w:rPr>
                <w:sz w:val="16"/>
              </w:rPr>
              <w:t>%</w:t>
            </w:r>
            <w:r w:rsidRPr="005C7CCE">
              <w:rPr>
                <w:sz w:val="16"/>
              </w:rPr>
              <w:t xml:space="preserve"> des initiatives nationales en matière de droit d</w:t>
            </w:r>
            <w:r w:rsidR="00A20444" w:rsidRPr="005C7CCE">
              <w:rPr>
                <w:sz w:val="16"/>
              </w:rPr>
              <w:t>’</w:t>
            </w:r>
            <w:r w:rsidRPr="005C7CCE">
              <w:rPr>
                <w:sz w:val="16"/>
              </w:rPr>
              <w:t>auteur et de droits connexes sont directement liées aux thèmes des ateliers ou d</w:t>
            </w:r>
            <w:r w:rsidR="00A20444" w:rsidRPr="005C7CCE">
              <w:rPr>
                <w:sz w:val="16"/>
              </w:rPr>
              <w:t>’</w:t>
            </w:r>
            <w:r w:rsidRPr="005C7CCE">
              <w:rPr>
                <w:sz w:val="16"/>
              </w:rPr>
              <w:t xml:space="preserve">autres programmes de renforcement des capacités. </w:t>
            </w:r>
            <w:r w:rsidR="0010442A" w:rsidRPr="005C7CCE">
              <w:rPr>
                <w:sz w:val="16"/>
              </w:rPr>
              <w:t xml:space="preserve"> </w:t>
            </w:r>
          </w:p>
        </w:tc>
        <w:tc>
          <w:tcPr>
            <w:tcW w:w="748" w:type="pct"/>
            <w:gridSpan w:val="2"/>
            <w:tcBorders>
              <w:bottom w:val="single" w:sz="4" w:space="0" w:color="auto"/>
            </w:tcBorders>
            <w:shd w:val="clear" w:color="auto" w:fill="auto"/>
          </w:tcPr>
          <w:p w:rsidR="00F40E87" w:rsidRPr="005C7CCE" w:rsidRDefault="00F40E87" w:rsidP="001A5BF9">
            <w:pPr>
              <w:keepNext/>
              <w:keepLines/>
              <w:jc w:val="center"/>
              <w:rPr>
                <w:rFonts w:cs="Arial"/>
                <w:bCs/>
                <w:color w:val="008000"/>
                <w:sz w:val="16"/>
                <w:szCs w:val="16"/>
              </w:rPr>
            </w:pPr>
            <w:r w:rsidRPr="00B470C6">
              <w:rPr>
                <w:color w:val="008000"/>
                <w:sz w:val="16"/>
              </w:rPr>
              <w:t>Objectif pleinement atteint</w:t>
            </w:r>
          </w:p>
        </w:tc>
      </w:tr>
      <w:tr w:rsidR="00F40E87" w:rsidRPr="005C7CCE" w:rsidTr="00993241">
        <w:trPr>
          <w:cantSplit/>
        </w:trPr>
        <w:tc>
          <w:tcPr>
            <w:tcW w:w="5000" w:type="pct"/>
            <w:gridSpan w:val="7"/>
            <w:tcBorders>
              <w:top w:val="single" w:sz="4" w:space="0" w:color="auto"/>
              <w:bottom w:val="single" w:sz="4" w:space="0" w:color="auto"/>
            </w:tcBorders>
            <w:shd w:val="clear" w:color="auto" w:fill="CCFFFF"/>
            <w:vAlign w:val="center"/>
          </w:tcPr>
          <w:p w:rsidR="00F40E87" w:rsidRPr="00993241" w:rsidRDefault="00F40E87" w:rsidP="001A5BF9">
            <w:pPr>
              <w:pageBreakBefore/>
              <w:tabs>
                <w:tab w:val="left" w:pos="1735"/>
              </w:tabs>
              <w:spacing w:before="120" w:after="120"/>
              <w:ind w:left="1735" w:hanging="1735"/>
              <w:rPr>
                <w:rFonts w:cs="Arial"/>
                <w:b/>
                <w:bCs/>
                <w:sz w:val="16"/>
                <w:szCs w:val="16"/>
              </w:rPr>
            </w:pPr>
            <w:r w:rsidRPr="00993241">
              <w:rPr>
                <w:b/>
                <w:sz w:val="16"/>
              </w:rPr>
              <w:t>Résultat escompté</w:t>
            </w:r>
            <w:r w:rsidR="0010442A" w:rsidRPr="00993241">
              <w:rPr>
                <w:b/>
                <w:sz w:val="16"/>
              </w:rPr>
              <w:t> </w:t>
            </w:r>
            <w:r w:rsidRPr="00993241">
              <w:rPr>
                <w:b/>
                <w:sz w:val="16"/>
              </w:rPr>
              <w:t xml:space="preserve">: </w:t>
            </w:r>
            <w:r w:rsidRPr="00993241">
              <w:rPr>
                <w:b/>
                <w:sz w:val="16"/>
              </w:rPr>
              <w:tab/>
            </w:r>
            <w:r w:rsidRPr="00993241">
              <w:rPr>
                <w:sz w:val="16"/>
              </w:rPr>
              <w:t>Amélioration de l</w:t>
            </w:r>
            <w:r w:rsidR="00A20444" w:rsidRPr="00993241">
              <w:rPr>
                <w:sz w:val="16"/>
              </w:rPr>
              <w:t>’</w:t>
            </w:r>
            <w:r w:rsidRPr="00993241">
              <w:rPr>
                <w:sz w:val="16"/>
              </w:rPr>
              <w:t>accès aux informations et au savoir en matière de propriété intellectuelle et leur utilisation par les institutions de propriété intellectuelle et le public au service de l</w:t>
            </w:r>
            <w:r w:rsidR="00A20444" w:rsidRPr="00993241">
              <w:rPr>
                <w:sz w:val="16"/>
              </w:rPr>
              <w:t>’</w:t>
            </w:r>
            <w:r w:rsidRPr="00993241">
              <w:rPr>
                <w:sz w:val="16"/>
              </w:rPr>
              <w:t>innovation, et facilité d</w:t>
            </w:r>
            <w:r w:rsidR="00A20444" w:rsidRPr="00993241">
              <w:rPr>
                <w:sz w:val="16"/>
              </w:rPr>
              <w:t>’</w:t>
            </w:r>
            <w:r w:rsidRPr="00993241">
              <w:rPr>
                <w:sz w:val="16"/>
              </w:rPr>
              <w:t>accès aux œuvres créatives protégées et aux œuvres créatives tombées dans le domaine public</w:t>
            </w:r>
          </w:p>
        </w:tc>
      </w:tr>
      <w:tr w:rsidR="004B047D" w:rsidRPr="004B047D" w:rsidTr="00993241">
        <w:trPr>
          <w:cantSplit/>
        </w:trPr>
        <w:tc>
          <w:tcPr>
            <w:tcW w:w="895" w:type="pct"/>
            <w:tcBorders>
              <w:top w:val="single" w:sz="4" w:space="0" w:color="auto"/>
            </w:tcBorders>
            <w:shd w:val="clear" w:color="auto" w:fill="auto"/>
            <w:vAlign w:val="center"/>
          </w:tcPr>
          <w:p w:rsidR="00F40E87" w:rsidRPr="004B047D" w:rsidRDefault="00F40E87" w:rsidP="001A5BF9">
            <w:pPr>
              <w:rPr>
                <w:rFonts w:cs="Arial"/>
                <w:b/>
                <w:sz w:val="16"/>
                <w:szCs w:val="16"/>
              </w:rPr>
            </w:pPr>
            <w:r w:rsidRPr="004B047D">
              <w:rPr>
                <w:b/>
                <w:sz w:val="16"/>
              </w:rPr>
              <w:t>Indicateurs d</w:t>
            </w:r>
            <w:r w:rsidR="00A20444" w:rsidRPr="004B047D">
              <w:rPr>
                <w:b/>
                <w:sz w:val="16"/>
              </w:rPr>
              <w:t>’</w:t>
            </w:r>
            <w:r w:rsidRPr="004B047D">
              <w:rPr>
                <w:b/>
                <w:sz w:val="16"/>
              </w:rPr>
              <w:t>exécution</w:t>
            </w:r>
          </w:p>
        </w:tc>
        <w:tc>
          <w:tcPr>
            <w:tcW w:w="971" w:type="pct"/>
            <w:tcBorders>
              <w:top w:val="single" w:sz="4" w:space="0" w:color="auto"/>
            </w:tcBorders>
            <w:shd w:val="clear" w:color="auto" w:fill="auto"/>
            <w:vAlign w:val="center"/>
          </w:tcPr>
          <w:p w:rsidR="00F40E87" w:rsidRPr="004B047D" w:rsidRDefault="00F40E87" w:rsidP="001A5BF9">
            <w:pPr>
              <w:rPr>
                <w:rFonts w:cs="Arial"/>
                <w:b/>
                <w:bCs/>
                <w:sz w:val="16"/>
                <w:szCs w:val="16"/>
              </w:rPr>
            </w:pPr>
            <w:r w:rsidRPr="004B047D">
              <w:rPr>
                <w:b/>
                <w:sz w:val="16"/>
              </w:rPr>
              <w:t>Niveaux de référence</w:t>
            </w:r>
          </w:p>
        </w:tc>
        <w:tc>
          <w:tcPr>
            <w:tcW w:w="823" w:type="pct"/>
            <w:gridSpan w:val="2"/>
            <w:tcBorders>
              <w:top w:val="single" w:sz="4" w:space="0" w:color="auto"/>
            </w:tcBorders>
            <w:shd w:val="clear" w:color="auto" w:fill="auto"/>
            <w:tcMar>
              <w:top w:w="110" w:type="dxa"/>
            </w:tcMar>
            <w:vAlign w:val="center"/>
          </w:tcPr>
          <w:p w:rsidR="00F40E87" w:rsidRPr="004B047D" w:rsidRDefault="00F40E87" w:rsidP="001A5BF9">
            <w:pPr>
              <w:rPr>
                <w:rFonts w:cs="Arial"/>
                <w:b/>
                <w:sz w:val="16"/>
                <w:szCs w:val="16"/>
              </w:rPr>
            </w:pPr>
            <w:r w:rsidRPr="004B047D">
              <w:rPr>
                <w:b/>
                <w:sz w:val="16"/>
              </w:rPr>
              <w:t>Objectifs visés</w:t>
            </w:r>
          </w:p>
        </w:tc>
        <w:tc>
          <w:tcPr>
            <w:tcW w:w="1638" w:type="pct"/>
            <w:gridSpan w:val="2"/>
            <w:tcBorders>
              <w:top w:val="single" w:sz="4" w:space="0" w:color="auto"/>
            </w:tcBorders>
            <w:shd w:val="clear" w:color="auto" w:fill="FFFFFF"/>
            <w:tcMar>
              <w:top w:w="110" w:type="dxa"/>
            </w:tcMar>
            <w:vAlign w:val="center"/>
          </w:tcPr>
          <w:p w:rsidR="00F40E87" w:rsidRPr="004B047D" w:rsidRDefault="00F40E87" w:rsidP="001A5BF9">
            <w:pPr>
              <w:rPr>
                <w:rFonts w:cs="Arial"/>
                <w:b/>
                <w:sz w:val="16"/>
                <w:szCs w:val="16"/>
              </w:rPr>
            </w:pPr>
            <w:r w:rsidRPr="004B047D">
              <w:rPr>
                <w:b/>
                <w:sz w:val="16"/>
              </w:rPr>
              <w:t>Données relatives à l</w:t>
            </w:r>
            <w:r w:rsidR="00A20444" w:rsidRPr="004B047D">
              <w:rPr>
                <w:b/>
                <w:sz w:val="16"/>
              </w:rPr>
              <w:t>’</w:t>
            </w:r>
            <w:r w:rsidRPr="004B047D">
              <w:rPr>
                <w:b/>
                <w:sz w:val="16"/>
              </w:rPr>
              <w:t>exécution</w:t>
            </w:r>
          </w:p>
        </w:tc>
        <w:tc>
          <w:tcPr>
            <w:tcW w:w="672" w:type="pct"/>
            <w:tcBorders>
              <w:top w:val="single" w:sz="4" w:space="0" w:color="auto"/>
            </w:tcBorders>
            <w:shd w:val="clear" w:color="auto" w:fill="auto"/>
            <w:tcMar>
              <w:top w:w="110" w:type="dxa"/>
            </w:tcMar>
            <w:vAlign w:val="center"/>
          </w:tcPr>
          <w:p w:rsidR="00F40E87" w:rsidRPr="004B047D" w:rsidRDefault="00F40E87" w:rsidP="001A5BF9">
            <w:pPr>
              <w:keepNext/>
              <w:keepLines/>
              <w:jc w:val="center"/>
              <w:rPr>
                <w:rFonts w:cs="Arial"/>
                <w:b/>
                <w:bCs/>
                <w:sz w:val="16"/>
                <w:szCs w:val="16"/>
              </w:rPr>
            </w:pPr>
            <w:r w:rsidRPr="004B047D">
              <w:rPr>
                <w:b/>
                <w:sz w:val="16"/>
              </w:rPr>
              <w:t>Code de couleurs</w:t>
            </w:r>
          </w:p>
        </w:tc>
      </w:tr>
      <w:tr w:rsidR="00F40E87" w:rsidRPr="005C7CCE" w:rsidTr="00993241">
        <w:trPr>
          <w:cantSplit/>
        </w:trPr>
        <w:tc>
          <w:tcPr>
            <w:tcW w:w="895" w:type="pct"/>
            <w:shd w:val="clear" w:color="auto" w:fill="auto"/>
          </w:tcPr>
          <w:p w:rsidR="00F40E87" w:rsidRPr="00993241" w:rsidRDefault="00F40E87" w:rsidP="001A5BF9">
            <w:pPr>
              <w:rPr>
                <w:rFonts w:cs="Arial"/>
                <w:sz w:val="16"/>
                <w:szCs w:val="16"/>
                <w:lang w:bidi="th-TH"/>
              </w:rPr>
            </w:pPr>
            <w:r w:rsidRPr="00993241">
              <w:rPr>
                <w:sz w:val="16"/>
              </w:rPr>
              <w:t>Nombre d</w:t>
            </w:r>
            <w:r w:rsidR="00A20444" w:rsidRPr="00993241">
              <w:rPr>
                <w:sz w:val="16"/>
              </w:rPr>
              <w:t>’</w:t>
            </w:r>
            <w:r w:rsidRPr="00993241">
              <w:rPr>
                <w:sz w:val="16"/>
              </w:rPr>
              <w:t>intermédiaires de confiance et de titulaires de droits qui ont rejoint le réseau du système TIGAR, y compris de pays en développement et de PMA</w:t>
            </w:r>
          </w:p>
        </w:tc>
        <w:tc>
          <w:tcPr>
            <w:tcW w:w="971" w:type="pct"/>
            <w:shd w:val="clear" w:color="auto" w:fill="auto"/>
          </w:tcPr>
          <w:p w:rsidR="00D42474" w:rsidRDefault="00F40E87" w:rsidP="001A5BF9">
            <w:pPr>
              <w:rPr>
                <w:color w:val="002060"/>
                <w:sz w:val="16"/>
              </w:rPr>
            </w:pPr>
            <w:r w:rsidRPr="005C7CCE">
              <w:rPr>
                <w:i/>
                <w:color w:val="002060"/>
                <w:sz w:val="16"/>
              </w:rPr>
              <w:t>Niveau de référence actualisé fin 2011 :</w:t>
            </w:r>
            <w:r w:rsidRPr="005C7CCE">
              <w:rPr>
                <w:color w:val="002060"/>
                <w:sz w:val="16"/>
              </w:rPr>
              <w:t xml:space="preserve"> </w:t>
            </w:r>
            <w:r w:rsidR="004B047D">
              <w:rPr>
                <w:color w:val="002060"/>
                <w:sz w:val="16"/>
              </w:rPr>
              <w:t>q</w:t>
            </w:r>
            <w:r w:rsidRPr="005C7CCE">
              <w:rPr>
                <w:color w:val="002060"/>
                <w:sz w:val="16"/>
              </w:rPr>
              <w:t>uatre intermédiaires de confiance et trois titulaires de droits</w:t>
            </w:r>
          </w:p>
          <w:p w:rsidR="00D42474" w:rsidRDefault="00D42474" w:rsidP="001A5BF9">
            <w:pPr>
              <w:rPr>
                <w:rFonts w:cs="Arial"/>
                <w:i/>
                <w:sz w:val="16"/>
                <w:szCs w:val="16"/>
                <w:lang w:bidi="th-TH"/>
              </w:rPr>
            </w:pPr>
          </w:p>
          <w:p w:rsidR="00F40E87" w:rsidRPr="005C7CCE" w:rsidRDefault="00F40E87" w:rsidP="001A5BF9">
            <w:pPr>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004B047D">
              <w:rPr>
                <w:i/>
                <w:sz w:val="16"/>
              </w:rPr>
              <w:t xml:space="preserve">2013 : </w:t>
            </w:r>
            <w:r w:rsidR="004B047D" w:rsidRPr="004B047D">
              <w:rPr>
                <w:sz w:val="16"/>
              </w:rPr>
              <w:t>q</w:t>
            </w:r>
            <w:r w:rsidRPr="004B047D">
              <w:rPr>
                <w:sz w:val="16"/>
              </w:rPr>
              <w:t>uatre </w:t>
            </w:r>
            <w:r w:rsidRPr="005C7CCE">
              <w:rPr>
                <w:sz w:val="16"/>
              </w:rPr>
              <w:t>intermédiaires de confiance et trois titulaires de droits</w:t>
            </w:r>
          </w:p>
        </w:tc>
        <w:tc>
          <w:tcPr>
            <w:tcW w:w="823" w:type="pct"/>
            <w:gridSpan w:val="2"/>
            <w:shd w:val="clear" w:color="auto" w:fill="auto"/>
            <w:tcMar>
              <w:top w:w="110" w:type="dxa"/>
            </w:tcMar>
          </w:tcPr>
          <w:p w:rsidR="00D42474" w:rsidRDefault="00F40E87" w:rsidP="001A5BF9">
            <w:pPr>
              <w:autoSpaceDE w:val="0"/>
              <w:autoSpaceDN w:val="0"/>
              <w:adjustRightInd w:val="0"/>
              <w:rPr>
                <w:rFonts w:cs="Arial"/>
                <w:sz w:val="16"/>
                <w:szCs w:val="16"/>
              </w:rPr>
            </w:pPr>
            <w:r w:rsidRPr="005C7CCE">
              <w:rPr>
                <w:sz w:val="16"/>
              </w:rPr>
              <w:t>10 nouveaux intermédiaires de confiance et</w:t>
            </w:r>
          </w:p>
          <w:p w:rsidR="00D42474" w:rsidRDefault="00F40E87" w:rsidP="001A5BF9">
            <w:pPr>
              <w:autoSpaceDE w:val="0"/>
              <w:autoSpaceDN w:val="0"/>
              <w:adjustRightInd w:val="0"/>
              <w:rPr>
                <w:rFonts w:cs="Arial"/>
                <w:sz w:val="16"/>
                <w:szCs w:val="16"/>
              </w:rPr>
            </w:pPr>
            <w:r w:rsidRPr="005C7CCE">
              <w:rPr>
                <w:sz w:val="16"/>
              </w:rPr>
              <w:t>quatre nouveaux titulaires de droits</w:t>
            </w:r>
          </w:p>
          <w:p w:rsidR="00F40E87" w:rsidRPr="005C7CCE" w:rsidRDefault="00F40E87" w:rsidP="001A5BF9">
            <w:pPr>
              <w:pStyle w:val="Default"/>
              <w:rPr>
                <w:sz w:val="16"/>
                <w:szCs w:val="16"/>
                <w:lang w:bidi="th-TH"/>
              </w:rPr>
            </w:pPr>
            <w:r w:rsidRPr="005C7CCE">
              <w:rPr>
                <w:sz w:val="16"/>
              </w:rPr>
              <w:t>(en 2012</w:t>
            </w:r>
            <w:r w:rsidR="002D6F2A" w:rsidRPr="005C7CCE">
              <w:rPr>
                <w:sz w:val="16"/>
              </w:rPr>
              <w:noBreakHyphen/>
            </w:r>
            <w:r w:rsidRPr="005C7CCE">
              <w:rPr>
                <w:sz w:val="16"/>
              </w:rPr>
              <w:t>2013)</w:t>
            </w:r>
          </w:p>
        </w:tc>
        <w:tc>
          <w:tcPr>
            <w:tcW w:w="1638" w:type="pct"/>
            <w:gridSpan w:val="2"/>
            <w:shd w:val="clear" w:color="auto" w:fill="FFFFFF"/>
            <w:tcMar>
              <w:top w:w="110" w:type="dxa"/>
            </w:tcMar>
          </w:tcPr>
          <w:p w:rsidR="00F40E87" w:rsidRPr="005C7CCE" w:rsidRDefault="00F40E87" w:rsidP="001A5BF9">
            <w:pPr>
              <w:rPr>
                <w:rFonts w:cs="Arial"/>
                <w:sz w:val="16"/>
                <w:szCs w:val="16"/>
                <w:lang w:bidi="th-TH"/>
              </w:rPr>
            </w:pPr>
            <w:r w:rsidRPr="005C7CCE">
              <w:rPr>
                <w:sz w:val="16"/>
              </w:rPr>
              <w:t>Fin 2013, 25 intermédiaires de confiance et 45 titulaires de droits avaient signé le mémorandum d</w:t>
            </w:r>
            <w:r w:rsidR="00A20444" w:rsidRPr="005C7CCE">
              <w:rPr>
                <w:sz w:val="16"/>
              </w:rPr>
              <w:t>’</w:t>
            </w:r>
            <w:r w:rsidRPr="005C7CCE">
              <w:rPr>
                <w:sz w:val="16"/>
              </w:rPr>
              <w:t xml:space="preserve">accord TIGAR, y compris les intermédiaires de confiance des pays en développement et des pays les moins avancés. </w:t>
            </w:r>
            <w:r w:rsidR="0010442A" w:rsidRPr="005C7CCE">
              <w:rPr>
                <w:sz w:val="16"/>
              </w:rPr>
              <w:t xml:space="preserve"> </w:t>
            </w:r>
            <w:r w:rsidRPr="005C7CCE">
              <w:rPr>
                <w:sz w:val="16"/>
              </w:rPr>
              <w:t>Onze intermédiaires de confiance avaient téléchargé leurs titres en formats accessibles dans la base de données TIGAR à la fin de l</w:t>
            </w:r>
            <w:r w:rsidR="00A20444" w:rsidRPr="005C7CCE">
              <w:rPr>
                <w:sz w:val="16"/>
              </w:rPr>
              <w:t>’</w:t>
            </w:r>
            <w:r w:rsidRPr="005C7CCE">
              <w:rPr>
                <w:sz w:val="16"/>
              </w:rPr>
              <w:t>année 2013.</w:t>
            </w:r>
          </w:p>
        </w:tc>
        <w:tc>
          <w:tcPr>
            <w:tcW w:w="672" w:type="pct"/>
            <w:shd w:val="clear" w:color="auto" w:fill="auto"/>
            <w:tcMar>
              <w:top w:w="110" w:type="dxa"/>
            </w:tcMar>
          </w:tcPr>
          <w:p w:rsidR="00F40E87" w:rsidRPr="005C7CCE" w:rsidRDefault="00F40E87" w:rsidP="001A5BF9">
            <w:pPr>
              <w:spacing w:after="120"/>
              <w:jc w:val="center"/>
              <w:rPr>
                <w:rFonts w:cs="Arial"/>
                <w:bCs/>
                <w:color w:val="008000"/>
                <w:sz w:val="16"/>
                <w:szCs w:val="16"/>
              </w:rPr>
            </w:pPr>
            <w:r w:rsidRPr="00B470C6">
              <w:rPr>
                <w:color w:val="008000"/>
                <w:sz w:val="16"/>
              </w:rPr>
              <w:t>Objectif pleinement atteint</w:t>
            </w:r>
          </w:p>
        </w:tc>
      </w:tr>
      <w:tr w:rsidR="00F40E87" w:rsidRPr="005C7CCE" w:rsidTr="00993241">
        <w:trPr>
          <w:cantSplit/>
        </w:trPr>
        <w:tc>
          <w:tcPr>
            <w:tcW w:w="895" w:type="pct"/>
            <w:tcBorders>
              <w:bottom w:val="single" w:sz="4" w:space="0" w:color="auto"/>
            </w:tcBorders>
            <w:shd w:val="clear" w:color="auto" w:fill="auto"/>
          </w:tcPr>
          <w:p w:rsidR="00F40E87" w:rsidRPr="00993241" w:rsidRDefault="00F40E87" w:rsidP="001A5BF9">
            <w:pPr>
              <w:rPr>
                <w:rFonts w:cs="Arial"/>
                <w:sz w:val="16"/>
                <w:szCs w:val="16"/>
                <w:lang w:bidi="th-TH"/>
              </w:rPr>
            </w:pPr>
            <w:r w:rsidRPr="00993241">
              <w:rPr>
                <w:sz w:val="16"/>
              </w:rPr>
              <w:t>Nombre d</w:t>
            </w:r>
            <w:r w:rsidR="00A20444" w:rsidRPr="00993241">
              <w:rPr>
                <w:sz w:val="16"/>
              </w:rPr>
              <w:t>’</w:t>
            </w:r>
            <w:r w:rsidRPr="00993241">
              <w:rPr>
                <w:sz w:val="16"/>
              </w:rPr>
              <w:t>œuvres protégées par le droit d</w:t>
            </w:r>
            <w:r w:rsidR="00A20444" w:rsidRPr="00993241">
              <w:rPr>
                <w:sz w:val="16"/>
              </w:rPr>
              <w:t>’</w:t>
            </w:r>
            <w:r w:rsidRPr="00993241">
              <w:rPr>
                <w:sz w:val="16"/>
              </w:rPr>
              <w:t>auteur distribuées auprès des intermédiaires de confiance et rendues accessibles aux déficients visuels par</w:t>
            </w:r>
            <w:r w:rsidR="002D6F2A" w:rsidRPr="00993241">
              <w:rPr>
                <w:sz w:val="16"/>
              </w:rPr>
              <w:noBreakHyphen/>
            </w:r>
            <w:r w:rsidRPr="00993241">
              <w:rPr>
                <w:sz w:val="16"/>
              </w:rPr>
              <w:t>delà les frontières par le réseau du système TIGAR</w:t>
            </w:r>
          </w:p>
        </w:tc>
        <w:tc>
          <w:tcPr>
            <w:tcW w:w="971" w:type="pct"/>
            <w:tcBorders>
              <w:bottom w:val="single" w:sz="4" w:space="0" w:color="auto"/>
            </w:tcBorders>
            <w:shd w:val="clear" w:color="auto" w:fill="auto"/>
          </w:tcPr>
          <w:p w:rsidR="00D42474" w:rsidRDefault="00F40E87" w:rsidP="001A5BF9">
            <w:pPr>
              <w:pStyle w:val="Default"/>
              <w:rPr>
                <w:color w:val="002060"/>
                <w:sz w:val="16"/>
              </w:rPr>
            </w:pPr>
            <w:r w:rsidRPr="005C7CCE">
              <w:rPr>
                <w:i/>
                <w:color w:val="002060"/>
                <w:sz w:val="16"/>
              </w:rPr>
              <w:t>Niveau de référence actualisé fin 2011 :</w:t>
            </w:r>
            <w:r w:rsidRPr="005C7CCE">
              <w:rPr>
                <w:color w:val="002060"/>
                <w:sz w:val="16"/>
              </w:rPr>
              <w:t xml:space="preserve"> 300 livres en formats accessibles téléchargés à l</w:t>
            </w:r>
            <w:r w:rsidR="00A20444" w:rsidRPr="005C7CCE">
              <w:rPr>
                <w:color w:val="002060"/>
                <w:sz w:val="16"/>
              </w:rPr>
              <w:t>’</w:t>
            </w:r>
            <w:r w:rsidRPr="005C7CCE">
              <w:rPr>
                <w:color w:val="002060"/>
                <w:sz w:val="16"/>
              </w:rPr>
              <w:t>aide du système TIGAR</w:t>
            </w:r>
          </w:p>
          <w:p w:rsidR="00D42474" w:rsidRDefault="00D42474" w:rsidP="001A5BF9">
            <w:pPr>
              <w:rPr>
                <w:rFonts w:cs="Arial"/>
                <w:i/>
                <w:sz w:val="16"/>
                <w:szCs w:val="16"/>
                <w:lang w:bidi="th-TH"/>
              </w:rPr>
            </w:pPr>
          </w:p>
          <w:p w:rsidR="00F40E87" w:rsidRPr="005C7CCE" w:rsidRDefault="00F40E87" w:rsidP="001A5BF9">
            <w:pPr>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004B047D">
              <w:rPr>
                <w:sz w:val="16"/>
              </w:rPr>
              <w:t>p</w:t>
            </w:r>
            <w:r w:rsidRPr="005C7CCE">
              <w:rPr>
                <w:sz w:val="16"/>
              </w:rPr>
              <w:t>as encore démarré</w:t>
            </w:r>
          </w:p>
        </w:tc>
        <w:tc>
          <w:tcPr>
            <w:tcW w:w="823" w:type="pct"/>
            <w:gridSpan w:val="2"/>
            <w:tcBorders>
              <w:bottom w:val="single" w:sz="4" w:space="0" w:color="auto"/>
            </w:tcBorders>
            <w:shd w:val="clear" w:color="auto" w:fill="auto"/>
            <w:tcMar>
              <w:top w:w="110" w:type="dxa"/>
            </w:tcMar>
          </w:tcPr>
          <w:p w:rsidR="00F40E87" w:rsidRPr="005C7CCE" w:rsidRDefault="00F40E87" w:rsidP="001A5BF9">
            <w:pPr>
              <w:rPr>
                <w:rFonts w:cs="Arial"/>
                <w:sz w:val="16"/>
                <w:szCs w:val="16"/>
                <w:lang w:bidi="th-TH"/>
              </w:rPr>
            </w:pPr>
            <w:r w:rsidRPr="004B047D">
              <w:rPr>
                <w:sz w:val="16"/>
              </w:rPr>
              <w:t>Disponibilité d</w:t>
            </w:r>
            <w:r w:rsidR="00A20444" w:rsidRPr="004B047D">
              <w:rPr>
                <w:sz w:val="16"/>
              </w:rPr>
              <w:t>’</w:t>
            </w:r>
            <w:r w:rsidRPr="004B047D">
              <w:rPr>
                <w:sz w:val="16"/>
              </w:rPr>
              <w:t xml:space="preserve">au moins </w:t>
            </w:r>
            <w:r w:rsidR="00BD43F2" w:rsidRPr="004B047D">
              <w:rPr>
                <w:sz w:val="16"/>
              </w:rPr>
              <w:t>300 </w:t>
            </w:r>
            <w:r w:rsidRPr="004B047D">
              <w:rPr>
                <w:sz w:val="16"/>
              </w:rPr>
              <w:t xml:space="preserve">livres ou ouvrages </w:t>
            </w:r>
            <w:r w:rsidRPr="004B047D">
              <w:rPr>
                <w:color w:val="000000"/>
                <w:sz w:val="16"/>
              </w:rPr>
              <w:t>(cumul)</w:t>
            </w:r>
          </w:p>
        </w:tc>
        <w:tc>
          <w:tcPr>
            <w:tcW w:w="1638" w:type="pct"/>
            <w:gridSpan w:val="2"/>
            <w:tcBorders>
              <w:bottom w:val="single" w:sz="4" w:space="0" w:color="auto"/>
            </w:tcBorders>
            <w:shd w:val="clear" w:color="auto" w:fill="FFFFFF"/>
            <w:tcMar>
              <w:top w:w="110" w:type="dxa"/>
            </w:tcMar>
          </w:tcPr>
          <w:p w:rsidR="00F40E87" w:rsidRPr="005C7CCE" w:rsidRDefault="00F40E87" w:rsidP="001A5BF9">
            <w:pPr>
              <w:rPr>
                <w:rFonts w:cs="Arial"/>
                <w:sz w:val="16"/>
                <w:szCs w:val="16"/>
                <w:lang w:bidi="th-TH"/>
              </w:rPr>
            </w:pPr>
            <w:r w:rsidRPr="005C7CCE">
              <w:rPr>
                <w:sz w:val="16"/>
              </w:rPr>
              <w:t>Fin 2013, environ 600 livres en formats accessibles avaient été téléchargés à partir de la base de données TIGAR dans différents pays.</w:t>
            </w:r>
          </w:p>
        </w:tc>
        <w:tc>
          <w:tcPr>
            <w:tcW w:w="672" w:type="pct"/>
            <w:tcBorders>
              <w:bottom w:val="single" w:sz="4" w:space="0" w:color="auto"/>
            </w:tcBorders>
            <w:shd w:val="clear" w:color="auto" w:fill="auto"/>
          </w:tcPr>
          <w:p w:rsidR="00F40E87" w:rsidRPr="005C7CCE" w:rsidRDefault="00F40E87" w:rsidP="001A5BF9">
            <w:pPr>
              <w:jc w:val="center"/>
              <w:rPr>
                <w:rFonts w:cs="Arial"/>
                <w:bCs/>
                <w:color w:val="333333"/>
                <w:sz w:val="16"/>
                <w:szCs w:val="16"/>
              </w:rPr>
            </w:pPr>
            <w:r w:rsidRPr="00B470C6">
              <w:rPr>
                <w:color w:val="008000"/>
                <w:sz w:val="16"/>
              </w:rPr>
              <w:t>Objectif pleinement atteint</w:t>
            </w:r>
          </w:p>
        </w:tc>
      </w:tr>
      <w:tr w:rsidR="00F40E87" w:rsidRPr="005C7CCE" w:rsidTr="00993241">
        <w:trPr>
          <w:cantSplit/>
        </w:trPr>
        <w:tc>
          <w:tcPr>
            <w:tcW w:w="5000" w:type="pct"/>
            <w:gridSpan w:val="7"/>
            <w:tcBorders>
              <w:top w:val="single" w:sz="4" w:space="0" w:color="auto"/>
              <w:bottom w:val="single" w:sz="4" w:space="0" w:color="auto"/>
            </w:tcBorders>
            <w:shd w:val="clear" w:color="auto" w:fill="CCFFFF"/>
            <w:vAlign w:val="center"/>
          </w:tcPr>
          <w:p w:rsidR="00F40E87" w:rsidRPr="00993241" w:rsidRDefault="00F40E87" w:rsidP="001A5BF9">
            <w:pPr>
              <w:tabs>
                <w:tab w:val="left" w:pos="1735"/>
              </w:tabs>
              <w:spacing w:before="120" w:after="120"/>
              <w:ind w:left="1735" w:hanging="1735"/>
              <w:rPr>
                <w:rFonts w:cs="Arial"/>
                <w:b/>
                <w:bCs/>
                <w:sz w:val="16"/>
                <w:szCs w:val="16"/>
              </w:rPr>
            </w:pPr>
            <w:r w:rsidRPr="00993241">
              <w:rPr>
                <w:b/>
                <w:sz w:val="16"/>
              </w:rPr>
              <w:t>Résultat escompté</w:t>
            </w:r>
            <w:r w:rsidR="0010442A" w:rsidRPr="00993241">
              <w:rPr>
                <w:b/>
                <w:sz w:val="16"/>
              </w:rPr>
              <w:t> </w:t>
            </w:r>
            <w:r w:rsidRPr="00993241">
              <w:rPr>
                <w:b/>
                <w:sz w:val="16"/>
              </w:rPr>
              <w:t xml:space="preserve">: </w:t>
            </w:r>
            <w:r w:rsidRPr="00993241">
              <w:rPr>
                <w:b/>
                <w:sz w:val="16"/>
              </w:rPr>
              <w:tab/>
            </w:r>
            <w:r w:rsidRPr="00993241">
              <w:rPr>
                <w:sz w:val="16"/>
              </w:rPr>
              <w:t>Amélioration de l</w:t>
            </w:r>
            <w:r w:rsidR="00A20444" w:rsidRPr="00993241">
              <w:rPr>
                <w:sz w:val="16"/>
              </w:rPr>
              <w:t>’</w:t>
            </w:r>
            <w:r w:rsidRPr="00993241">
              <w:rPr>
                <w:sz w:val="16"/>
              </w:rPr>
              <w:t>infrastructure technique et du savoir pour les offices de propriété intellectuelle et autres institutions de propriété intellectuelle, leur permettant de fournir à leurs parties prenantes des services améliorés (moins chers, plus rapides, de meilleure qualité)</w:t>
            </w:r>
          </w:p>
        </w:tc>
      </w:tr>
      <w:tr w:rsidR="004B047D" w:rsidRPr="004B047D" w:rsidTr="00993241">
        <w:trPr>
          <w:cantSplit/>
        </w:trPr>
        <w:tc>
          <w:tcPr>
            <w:tcW w:w="895" w:type="pct"/>
            <w:tcBorders>
              <w:top w:val="single" w:sz="4" w:space="0" w:color="auto"/>
            </w:tcBorders>
            <w:shd w:val="clear" w:color="auto" w:fill="auto"/>
            <w:vAlign w:val="center"/>
          </w:tcPr>
          <w:p w:rsidR="00F40E87" w:rsidRPr="004B047D" w:rsidRDefault="00F40E87" w:rsidP="001A5BF9">
            <w:pPr>
              <w:rPr>
                <w:rFonts w:cs="Arial"/>
                <w:b/>
                <w:sz w:val="16"/>
                <w:szCs w:val="16"/>
              </w:rPr>
            </w:pPr>
            <w:r w:rsidRPr="004B047D">
              <w:rPr>
                <w:b/>
                <w:sz w:val="16"/>
              </w:rPr>
              <w:t>Indicateurs d</w:t>
            </w:r>
            <w:r w:rsidR="00A20444" w:rsidRPr="004B047D">
              <w:rPr>
                <w:b/>
                <w:sz w:val="16"/>
              </w:rPr>
              <w:t>’</w:t>
            </w:r>
            <w:r w:rsidRPr="004B047D">
              <w:rPr>
                <w:b/>
                <w:sz w:val="16"/>
              </w:rPr>
              <w:t>exécution</w:t>
            </w:r>
          </w:p>
        </w:tc>
        <w:tc>
          <w:tcPr>
            <w:tcW w:w="971" w:type="pct"/>
            <w:tcBorders>
              <w:top w:val="single" w:sz="4" w:space="0" w:color="auto"/>
            </w:tcBorders>
            <w:shd w:val="clear" w:color="auto" w:fill="auto"/>
            <w:vAlign w:val="center"/>
          </w:tcPr>
          <w:p w:rsidR="00F40E87" w:rsidRPr="004B047D" w:rsidRDefault="00F40E87" w:rsidP="001A5BF9">
            <w:pPr>
              <w:rPr>
                <w:rFonts w:cs="Arial"/>
                <w:b/>
                <w:bCs/>
                <w:sz w:val="16"/>
                <w:szCs w:val="16"/>
              </w:rPr>
            </w:pPr>
            <w:r w:rsidRPr="004B047D">
              <w:rPr>
                <w:b/>
                <w:sz w:val="16"/>
              </w:rPr>
              <w:t>Niveaux de référence</w:t>
            </w:r>
          </w:p>
        </w:tc>
        <w:tc>
          <w:tcPr>
            <w:tcW w:w="823" w:type="pct"/>
            <w:gridSpan w:val="2"/>
            <w:tcBorders>
              <w:top w:val="single" w:sz="4" w:space="0" w:color="auto"/>
            </w:tcBorders>
            <w:shd w:val="clear" w:color="auto" w:fill="auto"/>
            <w:tcMar>
              <w:top w:w="110" w:type="dxa"/>
            </w:tcMar>
            <w:vAlign w:val="center"/>
          </w:tcPr>
          <w:p w:rsidR="00F40E87" w:rsidRPr="004B047D" w:rsidRDefault="00F40E87" w:rsidP="001A5BF9">
            <w:pPr>
              <w:rPr>
                <w:rFonts w:cs="Arial"/>
                <w:b/>
                <w:sz w:val="16"/>
                <w:szCs w:val="16"/>
              </w:rPr>
            </w:pPr>
            <w:r w:rsidRPr="004B047D">
              <w:rPr>
                <w:b/>
                <w:sz w:val="16"/>
              </w:rPr>
              <w:t>Objectifs visés</w:t>
            </w:r>
          </w:p>
        </w:tc>
        <w:tc>
          <w:tcPr>
            <w:tcW w:w="1638" w:type="pct"/>
            <w:gridSpan w:val="2"/>
            <w:tcBorders>
              <w:top w:val="single" w:sz="4" w:space="0" w:color="auto"/>
            </w:tcBorders>
            <w:shd w:val="clear" w:color="auto" w:fill="FFFFFF"/>
            <w:tcMar>
              <w:top w:w="110" w:type="dxa"/>
            </w:tcMar>
            <w:vAlign w:val="center"/>
          </w:tcPr>
          <w:p w:rsidR="00F40E87" w:rsidRPr="004B047D" w:rsidRDefault="00F40E87" w:rsidP="001A5BF9">
            <w:pPr>
              <w:rPr>
                <w:rFonts w:cs="Arial"/>
                <w:b/>
                <w:sz w:val="16"/>
                <w:szCs w:val="16"/>
              </w:rPr>
            </w:pPr>
            <w:r w:rsidRPr="004B047D">
              <w:rPr>
                <w:b/>
                <w:sz w:val="16"/>
              </w:rPr>
              <w:t>Données relatives à l</w:t>
            </w:r>
            <w:r w:rsidR="00A20444" w:rsidRPr="004B047D">
              <w:rPr>
                <w:b/>
                <w:sz w:val="16"/>
              </w:rPr>
              <w:t>’</w:t>
            </w:r>
            <w:r w:rsidRPr="004B047D">
              <w:rPr>
                <w:b/>
                <w:sz w:val="16"/>
              </w:rPr>
              <w:t>exécution</w:t>
            </w:r>
          </w:p>
        </w:tc>
        <w:tc>
          <w:tcPr>
            <w:tcW w:w="672" w:type="pct"/>
            <w:tcBorders>
              <w:top w:val="single" w:sz="4" w:space="0" w:color="auto"/>
            </w:tcBorders>
            <w:shd w:val="clear" w:color="auto" w:fill="auto"/>
            <w:tcMar>
              <w:top w:w="110" w:type="dxa"/>
            </w:tcMar>
            <w:vAlign w:val="center"/>
          </w:tcPr>
          <w:p w:rsidR="00F40E87" w:rsidRPr="004B047D" w:rsidRDefault="00F40E87" w:rsidP="001A5BF9">
            <w:pPr>
              <w:keepNext/>
              <w:keepLines/>
              <w:jc w:val="center"/>
              <w:rPr>
                <w:rFonts w:cs="Arial"/>
                <w:b/>
                <w:bCs/>
                <w:sz w:val="16"/>
                <w:szCs w:val="16"/>
              </w:rPr>
            </w:pPr>
            <w:r w:rsidRPr="004B047D">
              <w:rPr>
                <w:b/>
                <w:sz w:val="16"/>
              </w:rPr>
              <w:t>Code de couleurs</w:t>
            </w:r>
          </w:p>
        </w:tc>
      </w:tr>
      <w:tr w:rsidR="00F40E87" w:rsidRPr="005C7CCE" w:rsidTr="00993241">
        <w:trPr>
          <w:cantSplit/>
        </w:trPr>
        <w:tc>
          <w:tcPr>
            <w:tcW w:w="895" w:type="pct"/>
            <w:shd w:val="clear" w:color="auto" w:fill="auto"/>
          </w:tcPr>
          <w:p w:rsidR="00F40E87" w:rsidRPr="00993241" w:rsidRDefault="00F40E87" w:rsidP="004B047D">
            <w:pPr>
              <w:rPr>
                <w:rFonts w:cs="Arial"/>
                <w:sz w:val="16"/>
                <w:szCs w:val="16"/>
                <w:lang w:bidi="th-TH"/>
              </w:rPr>
            </w:pPr>
            <w:r w:rsidRPr="00993241">
              <w:rPr>
                <w:sz w:val="16"/>
              </w:rPr>
              <w:t>Nombre d</w:t>
            </w:r>
            <w:r w:rsidR="00A20444" w:rsidRPr="00993241">
              <w:rPr>
                <w:sz w:val="16"/>
              </w:rPr>
              <w:t>’</w:t>
            </w:r>
            <w:r w:rsidRPr="00993241">
              <w:rPr>
                <w:sz w:val="16"/>
              </w:rPr>
              <w:t>institutions utilisant des systèmes de l</w:t>
            </w:r>
            <w:r w:rsidR="00A20444" w:rsidRPr="00993241">
              <w:rPr>
                <w:sz w:val="16"/>
              </w:rPr>
              <w:t>’</w:t>
            </w:r>
            <w:r w:rsidRPr="00993241">
              <w:rPr>
                <w:sz w:val="16"/>
              </w:rPr>
              <w:t>infrastructure du droit d</w:t>
            </w:r>
            <w:r w:rsidR="00A20444" w:rsidRPr="00993241">
              <w:rPr>
                <w:sz w:val="16"/>
              </w:rPr>
              <w:t>’</w:t>
            </w:r>
            <w:r w:rsidRPr="00993241">
              <w:rPr>
                <w:sz w:val="16"/>
              </w:rPr>
              <w:t>auteur de l</w:t>
            </w:r>
            <w:r w:rsidR="00A20444" w:rsidRPr="00993241">
              <w:rPr>
                <w:sz w:val="16"/>
              </w:rPr>
              <w:t>’</w:t>
            </w:r>
            <w:r w:rsidRPr="00993241">
              <w:rPr>
                <w:sz w:val="16"/>
              </w:rPr>
              <w:t xml:space="preserve">OMPI (WIPOCOS et </w:t>
            </w:r>
            <w:proofErr w:type="spellStart"/>
            <w:r w:rsidRPr="00993241">
              <w:rPr>
                <w:sz w:val="16"/>
              </w:rPr>
              <w:t>GDA</w:t>
            </w:r>
            <w:proofErr w:type="spellEnd"/>
            <w:r w:rsidRPr="00993241">
              <w:rPr>
                <w:sz w:val="16"/>
              </w:rPr>
              <w:t>)</w:t>
            </w:r>
          </w:p>
        </w:tc>
        <w:tc>
          <w:tcPr>
            <w:tcW w:w="971" w:type="pct"/>
            <w:shd w:val="clear" w:color="auto" w:fill="auto"/>
          </w:tcPr>
          <w:p w:rsidR="00D42474" w:rsidRDefault="00F40E87" w:rsidP="001A5BF9">
            <w:pPr>
              <w:rPr>
                <w:color w:val="002060"/>
                <w:sz w:val="16"/>
              </w:rPr>
            </w:pPr>
            <w:r w:rsidRPr="005C7CCE">
              <w:rPr>
                <w:i/>
                <w:color w:val="002060"/>
                <w:sz w:val="16"/>
              </w:rPr>
              <w:t>Niveau de référence actualisé fin 2011 :</w:t>
            </w:r>
            <w:r w:rsidRPr="005C7CCE">
              <w:rPr>
                <w:color w:val="002060"/>
                <w:sz w:val="16"/>
              </w:rPr>
              <w:t xml:space="preserve"> 20 organisations de gestion collective équipées de WIPOCOS. </w:t>
            </w:r>
            <w:r w:rsidR="0010442A" w:rsidRPr="005C7CCE">
              <w:rPr>
                <w:color w:val="002060"/>
                <w:sz w:val="16"/>
              </w:rPr>
              <w:t xml:space="preserve"> </w:t>
            </w:r>
            <w:r w:rsidRPr="005C7CCE">
              <w:rPr>
                <w:color w:val="002060"/>
                <w:sz w:val="16"/>
              </w:rPr>
              <w:t>8 bureaux de droit d</w:t>
            </w:r>
            <w:r w:rsidR="00A20444" w:rsidRPr="005C7CCE">
              <w:rPr>
                <w:color w:val="002060"/>
                <w:sz w:val="16"/>
              </w:rPr>
              <w:t>’</w:t>
            </w:r>
            <w:r w:rsidRPr="005C7CCE">
              <w:rPr>
                <w:color w:val="002060"/>
                <w:sz w:val="16"/>
              </w:rPr>
              <w:t xml:space="preserve">auteur utilisant </w:t>
            </w:r>
            <w:proofErr w:type="spellStart"/>
            <w:r w:rsidRPr="005C7CCE">
              <w:rPr>
                <w:color w:val="002060"/>
                <w:sz w:val="16"/>
              </w:rPr>
              <w:t>GDA</w:t>
            </w:r>
            <w:proofErr w:type="spellEnd"/>
          </w:p>
          <w:p w:rsidR="00D42474" w:rsidRDefault="00D42474" w:rsidP="001A5BF9">
            <w:pPr>
              <w:rPr>
                <w:rFonts w:cs="Arial"/>
                <w:sz w:val="8"/>
                <w:szCs w:val="8"/>
                <w:lang w:bidi="th-TH"/>
              </w:rPr>
            </w:pPr>
          </w:p>
          <w:p w:rsidR="00D42474" w:rsidRDefault="00F40E87" w:rsidP="001A5BF9">
            <w:pPr>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Pr="005C7CCE">
              <w:rPr>
                <w:sz w:val="16"/>
              </w:rPr>
              <w:t>20 organisations de gestion collective équipées de WIPOCOS (fin 2011)</w:t>
            </w:r>
          </w:p>
          <w:p w:rsidR="00D42474" w:rsidRDefault="00D42474" w:rsidP="001A5BF9">
            <w:pPr>
              <w:rPr>
                <w:rFonts w:cs="Arial"/>
                <w:sz w:val="8"/>
                <w:szCs w:val="8"/>
                <w:lang w:bidi="th-TH"/>
              </w:rPr>
            </w:pPr>
          </w:p>
          <w:p w:rsidR="00F40E87" w:rsidRPr="005C7CCE" w:rsidRDefault="00F40E87" w:rsidP="001A5BF9">
            <w:pPr>
              <w:rPr>
                <w:rFonts w:cs="Arial"/>
                <w:sz w:val="16"/>
                <w:szCs w:val="16"/>
                <w:lang w:bidi="th-TH"/>
              </w:rPr>
            </w:pPr>
            <w:r w:rsidRPr="005C7CCE">
              <w:rPr>
                <w:sz w:val="16"/>
              </w:rPr>
              <w:t>8 bureaux de droit d</w:t>
            </w:r>
            <w:r w:rsidR="00A20444" w:rsidRPr="005C7CCE">
              <w:rPr>
                <w:sz w:val="16"/>
              </w:rPr>
              <w:t>’</w:t>
            </w:r>
            <w:r w:rsidRPr="005C7CCE">
              <w:rPr>
                <w:sz w:val="16"/>
              </w:rPr>
              <w:t xml:space="preserve">auteur utilisant </w:t>
            </w:r>
            <w:proofErr w:type="spellStart"/>
            <w:r w:rsidRPr="005C7CCE">
              <w:rPr>
                <w:sz w:val="16"/>
              </w:rPr>
              <w:t>GDA</w:t>
            </w:r>
            <w:proofErr w:type="spellEnd"/>
            <w:r w:rsidRPr="005C7CCE">
              <w:rPr>
                <w:sz w:val="16"/>
              </w:rPr>
              <w:t xml:space="preserve"> (fin 2011)</w:t>
            </w:r>
          </w:p>
        </w:tc>
        <w:tc>
          <w:tcPr>
            <w:tcW w:w="823" w:type="pct"/>
            <w:gridSpan w:val="2"/>
            <w:shd w:val="clear" w:color="auto" w:fill="auto"/>
            <w:tcMar>
              <w:top w:w="110" w:type="dxa"/>
            </w:tcMar>
          </w:tcPr>
          <w:p w:rsidR="00D42474" w:rsidRDefault="00F40E87" w:rsidP="001A5BF9">
            <w:pPr>
              <w:rPr>
                <w:rFonts w:cs="Arial"/>
                <w:sz w:val="16"/>
                <w:szCs w:val="16"/>
                <w:lang w:bidi="th-TH"/>
              </w:rPr>
            </w:pPr>
            <w:r w:rsidRPr="005C7CCE">
              <w:rPr>
                <w:sz w:val="16"/>
              </w:rPr>
              <w:t>40 organisations de gestion collective équipées</w:t>
            </w:r>
          </w:p>
          <w:p w:rsidR="00D42474" w:rsidRDefault="00F40E87" w:rsidP="001A5BF9">
            <w:pPr>
              <w:rPr>
                <w:rFonts w:cs="Arial"/>
                <w:sz w:val="16"/>
                <w:szCs w:val="16"/>
                <w:lang w:bidi="th-TH"/>
              </w:rPr>
            </w:pPr>
            <w:r w:rsidRPr="005C7CCE">
              <w:rPr>
                <w:sz w:val="16"/>
              </w:rPr>
              <w:t>de WIPOCOS</w:t>
            </w:r>
          </w:p>
          <w:p w:rsidR="00D42474" w:rsidRDefault="00F40E87" w:rsidP="001A5BF9">
            <w:pPr>
              <w:rPr>
                <w:rFonts w:cs="Arial"/>
                <w:sz w:val="16"/>
                <w:szCs w:val="16"/>
                <w:lang w:bidi="th-TH"/>
              </w:rPr>
            </w:pPr>
            <w:r w:rsidRPr="005C7CCE">
              <w:rPr>
                <w:sz w:val="16"/>
              </w:rPr>
              <w:t>(cumul)</w:t>
            </w:r>
          </w:p>
          <w:p w:rsidR="00D42474" w:rsidRDefault="00D42474" w:rsidP="001A5BF9">
            <w:pPr>
              <w:rPr>
                <w:rFonts w:cs="Arial"/>
                <w:sz w:val="16"/>
                <w:szCs w:val="16"/>
                <w:lang w:bidi="th-TH"/>
              </w:rPr>
            </w:pPr>
          </w:p>
          <w:p w:rsidR="00D42474" w:rsidRDefault="00F40E87" w:rsidP="001A5BF9">
            <w:pPr>
              <w:rPr>
                <w:rFonts w:cs="Arial"/>
                <w:sz w:val="16"/>
                <w:szCs w:val="16"/>
                <w:lang w:bidi="th-TH"/>
              </w:rPr>
            </w:pPr>
            <w:r w:rsidRPr="005C7CCE">
              <w:rPr>
                <w:sz w:val="16"/>
              </w:rPr>
              <w:t>15 bureaux de droit d</w:t>
            </w:r>
            <w:r w:rsidR="00A20444" w:rsidRPr="005C7CCE">
              <w:rPr>
                <w:sz w:val="16"/>
              </w:rPr>
              <w:t>’</w:t>
            </w:r>
            <w:r w:rsidRPr="005C7CCE">
              <w:rPr>
                <w:sz w:val="16"/>
              </w:rPr>
              <w:t>auteur</w:t>
            </w:r>
          </w:p>
          <w:p w:rsidR="00F40E87" w:rsidRPr="005C7CCE" w:rsidRDefault="00F40E87" w:rsidP="001A5BF9">
            <w:pPr>
              <w:rPr>
                <w:rFonts w:cs="Arial"/>
                <w:sz w:val="16"/>
                <w:szCs w:val="16"/>
                <w:lang w:bidi="th-TH"/>
              </w:rPr>
            </w:pPr>
            <w:r w:rsidRPr="005C7CCE">
              <w:rPr>
                <w:sz w:val="16"/>
              </w:rPr>
              <w:t xml:space="preserve">utilisant </w:t>
            </w:r>
            <w:proofErr w:type="spellStart"/>
            <w:r w:rsidRPr="005C7CCE">
              <w:rPr>
                <w:sz w:val="16"/>
              </w:rPr>
              <w:t>GDA</w:t>
            </w:r>
            <w:proofErr w:type="spellEnd"/>
            <w:r w:rsidRPr="005C7CCE">
              <w:rPr>
                <w:sz w:val="16"/>
              </w:rPr>
              <w:t xml:space="preserve"> (cumul)</w:t>
            </w:r>
          </w:p>
        </w:tc>
        <w:tc>
          <w:tcPr>
            <w:tcW w:w="1638" w:type="pct"/>
            <w:gridSpan w:val="2"/>
            <w:shd w:val="clear" w:color="auto" w:fill="FFFFFF"/>
            <w:tcMar>
              <w:top w:w="110" w:type="dxa"/>
            </w:tcMar>
          </w:tcPr>
          <w:p w:rsidR="00D42474" w:rsidRDefault="00F40E87" w:rsidP="001A5BF9">
            <w:pPr>
              <w:rPr>
                <w:sz w:val="16"/>
              </w:rPr>
            </w:pPr>
            <w:r w:rsidRPr="004B047D">
              <w:rPr>
                <w:sz w:val="16"/>
              </w:rPr>
              <w:t>26 organismes de gestion collective équipés de WIPOCOS</w:t>
            </w:r>
          </w:p>
          <w:p w:rsidR="00D42474" w:rsidRDefault="00D42474" w:rsidP="001A5BF9">
            <w:pPr>
              <w:rPr>
                <w:rFonts w:cs="Arial"/>
                <w:sz w:val="16"/>
                <w:szCs w:val="16"/>
                <w:lang w:bidi="th-TH"/>
              </w:rPr>
            </w:pPr>
          </w:p>
          <w:p w:rsidR="00D42474" w:rsidRDefault="00D42474" w:rsidP="001A5BF9">
            <w:pPr>
              <w:rPr>
                <w:rFonts w:cs="Arial"/>
                <w:sz w:val="16"/>
                <w:szCs w:val="16"/>
                <w:lang w:bidi="th-TH"/>
              </w:rPr>
            </w:pPr>
          </w:p>
          <w:p w:rsidR="00D42474" w:rsidRDefault="00D42474" w:rsidP="001A5BF9">
            <w:pPr>
              <w:rPr>
                <w:rFonts w:cs="Arial"/>
                <w:sz w:val="16"/>
                <w:szCs w:val="16"/>
                <w:lang w:bidi="th-TH"/>
              </w:rPr>
            </w:pPr>
          </w:p>
          <w:p w:rsidR="00D42474" w:rsidRDefault="00D42474" w:rsidP="001A5BF9">
            <w:pPr>
              <w:rPr>
                <w:rFonts w:cs="Arial"/>
                <w:sz w:val="16"/>
                <w:szCs w:val="16"/>
                <w:lang w:bidi="th-TH"/>
              </w:rPr>
            </w:pPr>
          </w:p>
          <w:p w:rsidR="00D42474" w:rsidRDefault="00D42474" w:rsidP="001A5BF9">
            <w:pPr>
              <w:rPr>
                <w:rFonts w:cs="Arial"/>
                <w:sz w:val="16"/>
                <w:szCs w:val="16"/>
                <w:lang w:bidi="th-TH"/>
              </w:rPr>
            </w:pPr>
          </w:p>
          <w:p w:rsidR="00F40E87" w:rsidRPr="005C7CCE" w:rsidRDefault="00F40E87" w:rsidP="001A5BF9">
            <w:pPr>
              <w:rPr>
                <w:rFonts w:cs="Arial"/>
                <w:sz w:val="16"/>
                <w:szCs w:val="16"/>
                <w:lang w:bidi="th-TH"/>
              </w:rPr>
            </w:pPr>
            <w:r w:rsidRPr="005C7CCE">
              <w:rPr>
                <w:sz w:val="16"/>
              </w:rPr>
              <w:t>18 bureaux de droit d</w:t>
            </w:r>
            <w:r w:rsidR="00A20444" w:rsidRPr="005C7CCE">
              <w:rPr>
                <w:sz w:val="16"/>
              </w:rPr>
              <w:t>’</w:t>
            </w:r>
            <w:r w:rsidRPr="005C7CCE">
              <w:rPr>
                <w:sz w:val="16"/>
              </w:rPr>
              <w:t xml:space="preserve">auteur utilisant </w:t>
            </w:r>
            <w:proofErr w:type="spellStart"/>
            <w:r w:rsidRPr="005C7CCE">
              <w:rPr>
                <w:sz w:val="16"/>
              </w:rPr>
              <w:t>GDA</w:t>
            </w:r>
            <w:proofErr w:type="spellEnd"/>
          </w:p>
        </w:tc>
        <w:tc>
          <w:tcPr>
            <w:tcW w:w="672" w:type="pct"/>
            <w:shd w:val="clear" w:color="auto" w:fill="auto"/>
            <w:tcMar>
              <w:top w:w="110" w:type="dxa"/>
            </w:tcMar>
          </w:tcPr>
          <w:p w:rsidR="00D42474" w:rsidRDefault="00F40E87" w:rsidP="001A5BF9">
            <w:pPr>
              <w:spacing w:after="120"/>
              <w:jc w:val="center"/>
              <w:rPr>
                <w:rStyle w:val="Style5"/>
                <w:rFonts w:ascii="Arial" w:hAnsi="Arial" w:cs="Arial"/>
                <w:sz w:val="16"/>
                <w:szCs w:val="16"/>
              </w:rPr>
            </w:pPr>
            <w:r w:rsidRPr="004B047D">
              <w:rPr>
                <w:rStyle w:val="Style5"/>
                <w:rFonts w:ascii="Arial" w:hAnsi="Arial"/>
                <w:sz w:val="16"/>
              </w:rPr>
              <w:t>Objectif abandonné</w:t>
            </w:r>
          </w:p>
          <w:p w:rsidR="00D42474" w:rsidRDefault="00D42474" w:rsidP="001A5BF9">
            <w:pPr>
              <w:spacing w:after="120"/>
              <w:jc w:val="center"/>
              <w:rPr>
                <w:rStyle w:val="Style5"/>
                <w:rFonts w:ascii="Arial" w:hAnsi="Arial" w:cs="Arial"/>
                <w:sz w:val="16"/>
                <w:szCs w:val="16"/>
              </w:rPr>
            </w:pPr>
          </w:p>
          <w:p w:rsidR="00D42474" w:rsidRDefault="00D42474" w:rsidP="001A5BF9">
            <w:pPr>
              <w:spacing w:after="120"/>
              <w:jc w:val="center"/>
              <w:rPr>
                <w:rStyle w:val="Style5"/>
                <w:rFonts w:ascii="Arial" w:hAnsi="Arial" w:cs="Arial"/>
                <w:sz w:val="16"/>
                <w:szCs w:val="16"/>
              </w:rPr>
            </w:pPr>
          </w:p>
          <w:p w:rsidR="00F40E87" w:rsidRPr="005C7CCE" w:rsidRDefault="00F40E87" w:rsidP="001A5BF9">
            <w:pPr>
              <w:spacing w:after="120"/>
              <w:jc w:val="center"/>
              <w:rPr>
                <w:rFonts w:cs="Arial"/>
                <w:bCs/>
                <w:color w:val="008000"/>
                <w:sz w:val="16"/>
                <w:szCs w:val="16"/>
              </w:rPr>
            </w:pPr>
            <w:r w:rsidRPr="00B470C6">
              <w:rPr>
                <w:color w:val="008000"/>
                <w:sz w:val="16"/>
              </w:rPr>
              <w:t>Objectif pleinement atteint</w:t>
            </w:r>
          </w:p>
        </w:tc>
      </w:tr>
      <w:tr w:rsidR="00F40E87" w:rsidRPr="005C7CCE" w:rsidTr="00993241">
        <w:trPr>
          <w:cantSplit/>
        </w:trPr>
        <w:tc>
          <w:tcPr>
            <w:tcW w:w="895" w:type="pct"/>
            <w:shd w:val="clear" w:color="auto" w:fill="auto"/>
          </w:tcPr>
          <w:p w:rsidR="00F40E87" w:rsidRPr="00993241" w:rsidRDefault="00F40E87" w:rsidP="001A5BF9">
            <w:pPr>
              <w:rPr>
                <w:rFonts w:cs="Arial"/>
                <w:sz w:val="16"/>
                <w:szCs w:val="16"/>
                <w:lang w:bidi="th-TH"/>
              </w:rPr>
            </w:pPr>
            <w:r w:rsidRPr="00993241">
              <w:rPr>
                <w:sz w:val="16"/>
              </w:rPr>
              <w:t>Pourcentage de gouvernements ayant présenté un rapport positif sur l</w:t>
            </w:r>
            <w:r w:rsidR="00A20444" w:rsidRPr="00993241">
              <w:rPr>
                <w:sz w:val="16"/>
              </w:rPr>
              <w:t>’</w:t>
            </w:r>
            <w:r w:rsidRPr="00993241">
              <w:rPr>
                <w:sz w:val="16"/>
              </w:rPr>
              <w:t>efficacité et la gouvernance des organismes du droit d</w:t>
            </w:r>
            <w:r w:rsidR="00A20444" w:rsidRPr="00993241">
              <w:rPr>
                <w:sz w:val="16"/>
              </w:rPr>
              <w:t>’</w:t>
            </w:r>
            <w:r w:rsidRPr="00993241">
              <w:rPr>
                <w:sz w:val="16"/>
              </w:rPr>
              <w:t>auteur dans le pays</w:t>
            </w:r>
          </w:p>
        </w:tc>
        <w:tc>
          <w:tcPr>
            <w:tcW w:w="971" w:type="pct"/>
            <w:shd w:val="clear" w:color="auto" w:fill="auto"/>
          </w:tcPr>
          <w:p w:rsidR="00D42474" w:rsidRDefault="00F40E87" w:rsidP="001A5BF9">
            <w:pPr>
              <w:rPr>
                <w:rFonts w:cs="Arial"/>
                <w:color w:val="002060"/>
                <w:sz w:val="16"/>
                <w:szCs w:val="16"/>
                <w:lang w:bidi="th-TH"/>
              </w:rPr>
            </w:pPr>
            <w:r w:rsidRPr="005C7CCE">
              <w:rPr>
                <w:i/>
                <w:color w:val="002060"/>
                <w:sz w:val="16"/>
              </w:rPr>
              <w:t>Niveau de référence actualisé fin 2011 :</w:t>
            </w:r>
            <w:r w:rsidRPr="005C7CCE">
              <w:rPr>
                <w:color w:val="002060"/>
                <w:sz w:val="16"/>
              </w:rPr>
              <w:t xml:space="preserve"> </w:t>
            </w:r>
            <w:r w:rsidR="004B047D">
              <w:rPr>
                <w:color w:val="002060"/>
                <w:sz w:val="16"/>
              </w:rPr>
              <w:t>a</w:t>
            </w:r>
            <w:r w:rsidRPr="005C7CCE">
              <w:rPr>
                <w:color w:val="002060"/>
                <w:sz w:val="16"/>
              </w:rPr>
              <w:t>u moins 70</w:t>
            </w:r>
            <w:r w:rsidR="007E442D" w:rsidRPr="005C7CCE">
              <w:rPr>
                <w:color w:val="002060"/>
                <w:sz w:val="16"/>
              </w:rPr>
              <w:t>%</w:t>
            </w:r>
          </w:p>
          <w:p w:rsidR="00D42474" w:rsidRDefault="00D42474" w:rsidP="001A5BF9">
            <w:pPr>
              <w:rPr>
                <w:rFonts w:cs="Arial"/>
                <w:sz w:val="8"/>
                <w:szCs w:val="8"/>
                <w:lang w:bidi="th-TH"/>
              </w:rPr>
            </w:pPr>
          </w:p>
          <w:p w:rsidR="00F40E87" w:rsidRPr="005C7CCE" w:rsidRDefault="00F40E87" w:rsidP="001A5BF9">
            <w:pPr>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proofErr w:type="spellStart"/>
            <w:r w:rsidR="00993241">
              <w:rPr>
                <w:sz w:val="16"/>
              </w:rPr>
              <w:t>n.d</w:t>
            </w:r>
            <w:proofErr w:type="spellEnd"/>
            <w:r w:rsidR="00993241">
              <w:rPr>
                <w:sz w:val="16"/>
              </w:rPr>
              <w:t>.</w:t>
            </w:r>
          </w:p>
        </w:tc>
        <w:tc>
          <w:tcPr>
            <w:tcW w:w="823" w:type="pct"/>
            <w:gridSpan w:val="2"/>
            <w:shd w:val="clear" w:color="auto" w:fill="auto"/>
            <w:tcMar>
              <w:top w:w="110" w:type="dxa"/>
            </w:tcMar>
          </w:tcPr>
          <w:p w:rsidR="00F40E87" w:rsidRPr="005C7CCE" w:rsidRDefault="00F40E87" w:rsidP="001A5BF9">
            <w:pPr>
              <w:pStyle w:val="Default"/>
              <w:rPr>
                <w:sz w:val="16"/>
                <w:szCs w:val="16"/>
              </w:rPr>
            </w:pPr>
            <w:r w:rsidRPr="005C7CCE">
              <w:rPr>
                <w:sz w:val="16"/>
              </w:rPr>
              <w:t>80</w:t>
            </w:r>
            <w:r w:rsidR="007E442D" w:rsidRPr="005C7CCE">
              <w:rPr>
                <w:sz w:val="16"/>
              </w:rPr>
              <w:t>%</w:t>
            </w:r>
            <w:r w:rsidRPr="005C7CCE">
              <w:rPr>
                <w:sz w:val="16"/>
              </w:rPr>
              <w:t xml:space="preserve"> des pays ayant demandé une assistance technique et ayant reçu celle</w:t>
            </w:r>
            <w:r w:rsidR="002D6F2A" w:rsidRPr="005C7CCE">
              <w:rPr>
                <w:sz w:val="16"/>
              </w:rPr>
              <w:noBreakHyphen/>
            </w:r>
            <w:r w:rsidRPr="005C7CCE">
              <w:rPr>
                <w:sz w:val="16"/>
              </w:rPr>
              <w:t>ci dans ce domaine</w:t>
            </w:r>
          </w:p>
        </w:tc>
        <w:tc>
          <w:tcPr>
            <w:tcW w:w="1638" w:type="pct"/>
            <w:gridSpan w:val="2"/>
            <w:shd w:val="clear" w:color="auto" w:fill="FFFFFF"/>
            <w:tcMar>
              <w:top w:w="110" w:type="dxa"/>
            </w:tcMar>
          </w:tcPr>
          <w:p w:rsidR="00F40E87" w:rsidRPr="005C7CCE" w:rsidRDefault="00F40E87" w:rsidP="001A5BF9">
            <w:pPr>
              <w:rPr>
                <w:rFonts w:cs="Arial"/>
                <w:sz w:val="16"/>
                <w:szCs w:val="16"/>
                <w:lang w:bidi="th-TH"/>
              </w:rPr>
            </w:pPr>
            <w:r w:rsidRPr="005C7CCE">
              <w:rPr>
                <w:sz w:val="16"/>
              </w:rPr>
              <w:t>Plus de 70</w:t>
            </w:r>
            <w:r w:rsidR="007E442D" w:rsidRPr="005C7CCE">
              <w:rPr>
                <w:sz w:val="16"/>
              </w:rPr>
              <w:t>%</w:t>
            </w:r>
            <w:r w:rsidRPr="005C7CCE">
              <w:rPr>
                <w:sz w:val="16"/>
              </w:rPr>
              <w:t> des gouvernements ayant reçu une assistance ont présenté un rapport positif sur l</w:t>
            </w:r>
            <w:r w:rsidR="00A20444" w:rsidRPr="005C7CCE">
              <w:rPr>
                <w:sz w:val="16"/>
              </w:rPr>
              <w:t>’</w:t>
            </w:r>
            <w:r w:rsidRPr="005C7CCE">
              <w:rPr>
                <w:sz w:val="16"/>
              </w:rPr>
              <w:t>efficacité et la gouvernance des organismes du droit d</w:t>
            </w:r>
            <w:r w:rsidR="00A20444" w:rsidRPr="005C7CCE">
              <w:rPr>
                <w:sz w:val="16"/>
              </w:rPr>
              <w:t>’</w:t>
            </w:r>
            <w:r w:rsidRPr="005C7CCE">
              <w:rPr>
                <w:sz w:val="16"/>
              </w:rPr>
              <w:t>auteur dans le pays après la formation.</w:t>
            </w:r>
          </w:p>
        </w:tc>
        <w:tc>
          <w:tcPr>
            <w:tcW w:w="672" w:type="pct"/>
            <w:shd w:val="clear" w:color="auto" w:fill="auto"/>
          </w:tcPr>
          <w:p w:rsidR="00F40E87" w:rsidRPr="005C7CCE" w:rsidRDefault="00F40E87" w:rsidP="001A5BF9">
            <w:pPr>
              <w:jc w:val="center"/>
              <w:rPr>
                <w:rFonts w:cs="Arial"/>
                <w:bCs/>
                <w:color w:val="333333"/>
                <w:sz w:val="16"/>
                <w:szCs w:val="16"/>
              </w:rPr>
            </w:pPr>
            <w:r w:rsidRPr="00B470C6">
              <w:rPr>
                <w:color w:val="008000"/>
                <w:sz w:val="16"/>
              </w:rPr>
              <w:t>Objectif pleinement atteint</w:t>
            </w:r>
          </w:p>
        </w:tc>
      </w:tr>
    </w:tbl>
    <w:p w:rsidR="00D42474" w:rsidRDefault="00D42474" w:rsidP="001A5BF9">
      <w:pPr>
        <w:rPr>
          <w:rFonts w:cs="Arial"/>
          <w:b/>
          <w:szCs w:val="22"/>
        </w:rPr>
      </w:pPr>
    </w:p>
    <w:p w:rsidR="00D42474" w:rsidRDefault="00D42474" w:rsidP="001A5BF9">
      <w:pPr>
        <w:rPr>
          <w:rFonts w:cs="Arial"/>
          <w:b/>
          <w:szCs w:val="22"/>
        </w:rPr>
      </w:pPr>
    </w:p>
    <w:p w:rsidR="00D42474" w:rsidRDefault="00D42474" w:rsidP="001A5BF9">
      <w:pPr>
        <w:rPr>
          <w:rFonts w:cs="Arial"/>
          <w:b/>
          <w:szCs w:val="22"/>
        </w:rPr>
      </w:pPr>
    </w:p>
    <w:p w:rsidR="00D42474" w:rsidRDefault="00D42474" w:rsidP="001A5BF9">
      <w:pPr>
        <w:rPr>
          <w:rFonts w:cs="Arial"/>
          <w:b/>
          <w:szCs w:val="22"/>
        </w:rPr>
      </w:pPr>
    </w:p>
    <w:p w:rsidR="00D42474" w:rsidRDefault="00F40E87" w:rsidP="001A5BF9">
      <w:pPr>
        <w:rPr>
          <w:rFonts w:cs="Arial"/>
          <w:color w:val="000000"/>
          <w:szCs w:val="22"/>
        </w:rPr>
      </w:pPr>
      <w:r w:rsidRPr="005C7CCE">
        <w:br w:type="page"/>
      </w:r>
    </w:p>
    <w:p w:rsidR="00D42474" w:rsidRDefault="00F40E87" w:rsidP="001A5BF9">
      <w:pPr>
        <w:pStyle w:val="NormalWeb"/>
        <w:spacing w:before="0" w:beforeAutospacing="0" w:after="0" w:afterAutospacing="0"/>
        <w:rPr>
          <w:sz w:val="22"/>
          <w:szCs w:val="22"/>
        </w:rPr>
      </w:pPr>
      <w:r w:rsidRPr="004B047D">
        <w:rPr>
          <w:sz w:val="22"/>
        </w:rPr>
        <w:t>BUDGET ET DÉPENSES EFFECTIVES</w:t>
      </w:r>
    </w:p>
    <w:p w:rsidR="00D42474" w:rsidRDefault="00D42474" w:rsidP="001A5BF9">
      <w:pPr>
        <w:pStyle w:val="NormalWeb"/>
        <w:spacing w:before="0" w:beforeAutospacing="0" w:after="0" w:afterAutospacing="0"/>
        <w:jc w:val="center"/>
        <w:rPr>
          <w:sz w:val="22"/>
          <w:szCs w:val="22"/>
        </w:rPr>
      </w:pPr>
    </w:p>
    <w:p w:rsidR="00D42474" w:rsidRDefault="00F40E87" w:rsidP="001A5BF9">
      <w:pPr>
        <w:pStyle w:val="NormalWeb"/>
        <w:spacing w:before="0" w:beforeAutospacing="0" w:after="0" w:afterAutospacing="0"/>
        <w:jc w:val="center"/>
        <w:rPr>
          <w:sz w:val="20"/>
          <w:szCs w:val="20"/>
        </w:rPr>
      </w:pPr>
      <w:r w:rsidRPr="004B047D">
        <w:rPr>
          <w:sz w:val="20"/>
        </w:rPr>
        <w:t>Budget et dépenses effectives (par résultat)</w:t>
      </w:r>
    </w:p>
    <w:p w:rsidR="00D42474" w:rsidRDefault="00F40E87" w:rsidP="001A5BF9">
      <w:pPr>
        <w:pStyle w:val="NormalWeb"/>
        <w:spacing w:before="0" w:beforeAutospacing="0" w:after="0" w:afterAutospacing="0"/>
        <w:jc w:val="center"/>
        <w:rPr>
          <w:i/>
          <w:iCs/>
          <w:sz w:val="20"/>
          <w:szCs w:val="20"/>
        </w:rPr>
      </w:pPr>
      <w:r w:rsidRPr="004B047D">
        <w:rPr>
          <w:i/>
          <w:sz w:val="20"/>
        </w:rPr>
        <w:t>(</w:t>
      </w:r>
      <w:proofErr w:type="gramStart"/>
      <w:r w:rsidRPr="004B047D">
        <w:rPr>
          <w:i/>
          <w:sz w:val="20"/>
        </w:rPr>
        <w:t>en</w:t>
      </w:r>
      <w:proofErr w:type="gramEnd"/>
      <w:r w:rsidRPr="004B047D">
        <w:rPr>
          <w:i/>
          <w:sz w:val="20"/>
        </w:rPr>
        <w:t xml:space="preserve"> milliers de francs suisses)</w:t>
      </w:r>
    </w:p>
    <w:p w:rsidR="00F40E87" w:rsidRPr="005C7CCE" w:rsidRDefault="00F40E87" w:rsidP="001A5BF9">
      <w:pPr>
        <w:rPr>
          <w:rFonts w:cs="Arial"/>
          <w:b/>
          <w:szCs w:val="22"/>
        </w:rPr>
      </w:pPr>
    </w:p>
    <w:tbl>
      <w:tblPr>
        <w:tblW w:w="0" w:type="auto"/>
        <w:tblInd w:w="103" w:type="dxa"/>
        <w:tblLayout w:type="fixed"/>
        <w:tblLook w:val="04A0" w:firstRow="1" w:lastRow="0" w:firstColumn="1" w:lastColumn="0" w:noHBand="0" w:noVBand="1"/>
      </w:tblPr>
      <w:tblGrid>
        <w:gridCol w:w="501"/>
        <w:gridCol w:w="4607"/>
        <w:gridCol w:w="1417"/>
        <w:gridCol w:w="1418"/>
        <w:gridCol w:w="1418"/>
      </w:tblGrid>
      <w:tr w:rsidR="004B047D" w:rsidRPr="004B047D" w:rsidTr="00BB3F3E">
        <w:tc>
          <w:tcPr>
            <w:tcW w:w="5108"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F40E87" w:rsidRPr="004B047D" w:rsidRDefault="00F40E87" w:rsidP="001A5BF9">
            <w:pPr>
              <w:spacing w:before="120" w:after="120"/>
              <w:jc w:val="center"/>
              <w:rPr>
                <w:rFonts w:cs="Arial"/>
                <w:bCs/>
                <w:sz w:val="16"/>
                <w:szCs w:val="16"/>
              </w:rPr>
            </w:pPr>
            <w:r w:rsidRPr="004B047D">
              <w:rPr>
                <w:sz w:val="16"/>
              </w:rPr>
              <w:t>Numéro et description du résultat escompté</w:t>
            </w:r>
          </w:p>
        </w:tc>
        <w:tc>
          <w:tcPr>
            <w:tcW w:w="1417" w:type="dxa"/>
            <w:tcBorders>
              <w:top w:val="single" w:sz="4" w:space="0" w:color="auto"/>
              <w:left w:val="nil"/>
              <w:bottom w:val="single" w:sz="4" w:space="0" w:color="auto"/>
              <w:right w:val="single" w:sz="4" w:space="0" w:color="auto"/>
            </w:tcBorders>
            <w:shd w:val="clear" w:color="000000" w:fill="CCFFFF"/>
            <w:vAlign w:val="center"/>
          </w:tcPr>
          <w:p w:rsidR="00F40E87" w:rsidRPr="004B047D" w:rsidRDefault="00F40E87" w:rsidP="001A5BF9">
            <w:pPr>
              <w:spacing w:before="120" w:after="120"/>
              <w:jc w:val="center"/>
              <w:rPr>
                <w:rFonts w:cs="Arial"/>
                <w:bCs/>
                <w:sz w:val="16"/>
                <w:szCs w:val="16"/>
              </w:rPr>
            </w:pPr>
            <w:r w:rsidRPr="004B047D">
              <w:rPr>
                <w:sz w:val="16"/>
              </w:rPr>
              <w:t>Budget</w:t>
            </w:r>
            <w:r w:rsidRPr="004B047D">
              <w:br/>
            </w:r>
            <w:r w:rsidRPr="004B047D">
              <w:rPr>
                <w:sz w:val="16"/>
              </w:rPr>
              <w:t>2012–2013 approuvé</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F40E87" w:rsidRPr="004B047D" w:rsidRDefault="00F40E87" w:rsidP="001A5BF9">
            <w:pPr>
              <w:spacing w:before="120" w:after="120"/>
              <w:jc w:val="center"/>
              <w:rPr>
                <w:rFonts w:cs="Arial"/>
                <w:bCs/>
                <w:sz w:val="16"/>
                <w:szCs w:val="16"/>
              </w:rPr>
            </w:pPr>
            <w:r w:rsidRPr="004B047D">
              <w:rPr>
                <w:sz w:val="16"/>
              </w:rPr>
              <w:t>Budget</w:t>
            </w:r>
            <w:r w:rsidRPr="004B047D">
              <w:br/>
            </w:r>
            <w:r w:rsidRPr="004B047D">
              <w:rPr>
                <w:sz w:val="16"/>
              </w:rPr>
              <w:t>2012</w:t>
            </w:r>
            <w:r w:rsidR="002D6F2A" w:rsidRPr="004B047D">
              <w:rPr>
                <w:sz w:val="16"/>
              </w:rPr>
              <w:noBreakHyphen/>
            </w:r>
            <w:r w:rsidRPr="004B047D">
              <w:rPr>
                <w:sz w:val="16"/>
              </w:rPr>
              <w:t>2013 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F40E87" w:rsidRPr="004B047D" w:rsidRDefault="00F40E87" w:rsidP="001A5BF9">
            <w:pPr>
              <w:spacing w:before="120" w:after="120"/>
              <w:jc w:val="center"/>
              <w:rPr>
                <w:rFonts w:cs="Arial"/>
                <w:bCs/>
                <w:sz w:val="16"/>
                <w:szCs w:val="16"/>
              </w:rPr>
            </w:pPr>
            <w:r w:rsidRPr="004B047D">
              <w:rPr>
                <w:sz w:val="16"/>
              </w:rPr>
              <w:t>Dépenses</w:t>
            </w:r>
            <w:r w:rsidRPr="004B047D">
              <w:br/>
            </w:r>
            <w:r w:rsidRPr="004B047D">
              <w:rPr>
                <w:sz w:val="16"/>
              </w:rPr>
              <w:t>2012</w:t>
            </w:r>
            <w:r w:rsidR="002D6F2A" w:rsidRPr="004B047D">
              <w:rPr>
                <w:sz w:val="16"/>
              </w:rPr>
              <w:noBreakHyphen/>
            </w:r>
            <w:r w:rsidRPr="004B047D">
              <w:rPr>
                <w:sz w:val="16"/>
              </w:rPr>
              <w:t>2013</w:t>
            </w:r>
          </w:p>
        </w:tc>
      </w:tr>
      <w:tr w:rsidR="004B047D" w:rsidRPr="004B047D" w:rsidTr="00BB3F3E">
        <w:tc>
          <w:tcPr>
            <w:tcW w:w="501" w:type="dxa"/>
            <w:tcBorders>
              <w:top w:val="nil"/>
              <w:left w:val="single" w:sz="4" w:space="0" w:color="auto"/>
              <w:bottom w:val="nil"/>
              <w:right w:val="nil"/>
            </w:tcBorders>
            <w:shd w:val="clear" w:color="000000" w:fill="FFFFFF"/>
            <w:noWrap/>
          </w:tcPr>
          <w:p w:rsidR="00F40E87" w:rsidRPr="004B047D" w:rsidRDefault="00F40E87" w:rsidP="001A5BF9">
            <w:pPr>
              <w:spacing w:before="120"/>
              <w:jc w:val="center"/>
              <w:rPr>
                <w:rFonts w:cs="Arial"/>
                <w:sz w:val="16"/>
                <w:szCs w:val="16"/>
              </w:rPr>
            </w:pPr>
            <w:proofErr w:type="spellStart"/>
            <w:r w:rsidRPr="004B047D">
              <w:rPr>
                <w:sz w:val="16"/>
              </w:rPr>
              <w:t>I.1</w:t>
            </w:r>
            <w:proofErr w:type="spellEnd"/>
          </w:p>
        </w:tc>
        <w:tc>
          <w:tcPr>
            <w:tcW w:w="4607" w:type="dxa"/>
            <w:tcBorders>
              <w:top w:val="nil"/>
              <w:left w:val="nil"/>
              <w:bottom w:val="nil"/>
              <w:right w:val="nil"/>
            </w:tcBorders>
            <w:shd w:val="clear" w:color="000000" w:fill="FFFFFF"/>
          </w:tcPr>
          <w:p w:rsidR="00F40E87" w:rsidRPr="004B047D" w:rsidRDefault="00F40E87" w:rsidP="001A5BF9">
            <w:pPr>
              <w:spacing w:before="120"/>
              <w:rPr>
                <w:rFonts w:cs="Arial"/>
                <w:sz w:val="16"/>
                <w:szCs w:val="16"/>
              </w:rPr>
            </w:pPr>
            <w:r w:rsidRPr="004B047D">
              <w:rPr>
                <w:sz w:val="16"/>
              </w:rPr>
              <w:t>Coopération et consensus renforcés entre les États membres en ce qui concerne le développement des cadres politiques et juridiques pour le système international des brevets, les marques, les dessins et modèles industriels, les indications géographiques, le droit d</w:t>
            </w:r>
            <w:r w:rsidR="00A20444" w:rsidRPr="004B047D">
              <w:rPr>
                <w:sz w:val="16"/>
              </w:rPr>
              <w:t>’</w:t>
            </w:r>
            <w:r w:rsidRPr="004B047D">
              <w:rPr>
                <w:sz w:val="16"/>
              </w:rPr>
              <w:t>auteur et les droits connexes, les savoirs traditionnels, les expressions culturelles traditionnelles et les ressources génétiques</w:t>
            </w:r>
          </w:p>
        </w:tc>
        <w:tc>
          <w:tcPr>
            <w:tcW w:w="1417" w:type="dxa"/>
            <w:tcBorders>
              <w:top w:val="nil"/>
              <w:left w:val="nil"/>
              <w:bottom w:val="nil"/>
              <w:right w:val="nil"/>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3 364 </w:t>
            </w:r>
          </w:p>
        </w:tc>
        <w:tc>
          <w:tcPr>
            <w:tcW w:w="1418" w:type="dxa"/>
            <w:tcBorders>
              <w:top w:val="nil"/>
              <w:left w:val="nil"/>
              <w:bottom w:val="nil"/>
              <w:right w:val="nil"/>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5 621 </w:t>
            </w:r>
          </w:p>
        </w:tc>
        <w:tc>
          <w:tcPr>
            <w:tcW w:w="1418" w:type="dxa"/>
            <w:tcBorders>
              <w:top w:val="nil"/>
              <w:left w:val="nil"/>
              <w:bottom w:val="nil"/>
              <w:right w:val="single" w:sz="4" w:space="0" w:color="auto"/>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5 179 </w:t>
            </w:r>
          </w:p>
        </w:tc>
      </w:tr>
      <w:tr w:rsidR="004B047D" w:rsidRPr="004B047D" w:rsidTr="00BB3F3E">
        <w:tc>
          <w:tcPr>
            <w:tcW w:w="501" w:type="dxa"/>
            <w:tcBorders>
              <w:top w:val="nil"/>
              <w:left w:val="single" w:sz="4" w:space="0" w:color="auto"/>
              <w:bottom w:val="nil"/>
              <w:right w:val="nil"/>
            </w:tcBorders>
            <w:shd w:val="clear" w:color="000000" w:fill="FFFFFF"/>
            <w:noWrap/>
          </w:tcPr>
          <w:p w:rsidR="00F40E87" w:rsidRPr="004B047D" w:rsidRDefault="00F40E87" w:rsidP="001A5BF9">
            <w:pPr>
              <w:spacing w:before="120"/>
              <w:jc w:val="center"/>
              <w:rPr>
                <w:rFonts w:cs="Arial"/>
                <w:sz w:val="16"/>
                <w:szCs w:val="16"/>
              </w:rPr>
            </w:pPr>
            <w:proofErr w:type="spellStart"/>
            <w:r w:rsidRPr="004B047D">
              <w:rPr>
                <w:sz w:val="16"/>
              </w:rPr>
              <w:t>I.3</w:t>
            </w:r>
            <w:proofErr w:type="spellEnd"/>
          </w:p>
        </w:tc>
        <w:tc>
          <w:tcPr>
            <w:tcW w:w="4607" w:type="dxa"/>
            <w:tcBorders>
              <w:top w:val="nil"/>
              <w:left w:val="nil"/>
              <w:bottom w:val="nil"/>
              <w:right w:val="nil"/>
            </w:tcBorders>
            <w:shd w:val="clear" w:color="000000" w:fill="FFFFFF"/>
          </w:tcPr>
          <w:p w:rsidR="00F40E87" w:rsidRPr="004B047D" w:rsidRDefault="00F40E87" w:rsidP="001A5BF9">
            <w:pPr>
              <w:spacing w:before="120"/>
              <w:rPr>
                <w:rFonts w:cs="Arial"/>
                <w:sz w:val="16"/>
                <w:szCs w:val="16"/>
              </w:rPr>
            </w:pPr>
            <w:r w:rsidRPr="004B047D">
              <w:rPr>
                <w:sz w:val="16"/>
              </w:rPr>
              <w:t>Prise de décisions fondées sur des données probantes concernant les questions de droit d</w:t>
            </w:r>
            <w:r w:rsidR="00A20444" w:rsidRPr="004B047D">
              <w:rPr>
                <w:sz w:val="16"/>
              </w:rPr>
              <w:t>’</w:t>
            </w:r>
            <w:r w:rsidRPr="004B047D">
              <w:rPr>
                <w:sz w:val="16"/>
              </w:rPr>
              <w:t>auteur</w:t>
            </w:r>
          </w:p>
        </w:tc>
        <w:tc>
          <w:tcPr>
            <w:tcW w:w="1417" w:type="dxa"/>
            <w:tcBorders>
              <w:top w:val="nil"/>
              <w:left w:val="nil"/>
              <w:bottom w:val="nil"/>
              <w:right w:val="nil"/>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2 754 </w:t>
            </w:r>
          </w:p>
        </w:tc>
        <w:tc>
          <w:tcPr>
            <w:tcW w:w="1418" w:type="dxa"/>
            <w:tcBorders>
              <w:top w:val="nil"/>
              <w:left w:val="nil"/>
              <w:bottom w:val="nil"/>
              <w:right w:val="nil"/>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2 405 </w:t>
            </w:r>
          </w:p>
        </w:tc>
        <w:tc>
          <w:tcPr>
            <w:tcW w:w="1418" w:type="dxa"/>
            <w:tcBorders>
              <w:top w:val="nil"/>
              <w:left w:val="nil"/>
              <w:bottom w:val="nil"/>
              <w:right w:val="single" w:sz="4" w:space="0" w:color="auto"/>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2 687 </w:t>
            </w:r>
          </w:p>
        </w:tc>
      </w:tr>
      <w:tr w:rsidR="004B047D" w:rsidRPr="004B047D" w:rsidTr="00BB3F3E">
        <w:tc>
          <w:tcPr>
            <w:tcW w:w="501" w:type="dxa"/>
            <w:tcBorders>
              <w:top w:val="nil"/>
              <w:left w:val="single" w:sz="4" w:space="0" w:color="auto"/>
              <w:bottom w:val="nil"/>
              <w:right w:val="nil"/>
            </w:tcBorders>
            <w:shd w:val="clear" w:color="000000" w:fill="FFFFFF"/>
            <w:noWrap/>
          </w:tcPr>
          <w:p w:rsidR="00F40E87" w:rsidRPr="004B047D" w:rsidRDefault="00F40E87" w:rsidP="001A5BF9">
            <w:pPr>
              <w:spacing w:before="120"/>
              <w:jc w:val="center"/>
              <w:rPr>
                <w:rFonts w:cs="Arial"/>
                <w:sz w:val="16"/>
                <w:szCs w:val="16"/>
              </w:rPr>
            </w:pPr>
            <w:proofErr w:type="spellStart"/>
            <w:r w:rsidRPr="004B047D">
              <w:rPr>
                <w:sz w:val="16"/>
              </w:rPr>
              <w:t>I.4</w:t>
            </w:r>
            <w:proofErr w:type="spellEnd"/>
          </w:p>
        </w:tc>
        <w:tc>
          <w:tcPr>
            <w:tcW w:w="4607" w:type="dxa"/>
            <w:tcBorders>
              <w:top w:val="nil"/>
              <w:left w:val="nil"/>
              <w:bottom w:val="nil"/>
              <w:right w:val="nil"/>
            </w:tcBorders>
            <w:shd w:val="clear" w:color="000000" w:fill="FFFFFF"/>
          </w:tcPr>
          <w:p w:rsidR="00F40E87" w:rsidRPr="004B047D" w:rsidRDefault="00F40E87" w:rsidP="001A5BF9">
            <w:pPr>
              <w:spacing w:before="120"/>
              <w:rPr>
                <w:rFonts w:cs="Arial"/>
                <w:sz w:val="16"/>
                <w:szCs w:val="16"/>
              </w:rPr>
            </w:pPr>
            <w:r w:rsidRPr="004B047D">
              <w:rPr>
                <w:sz w:val="16"/>
              </w:rPr>
              <w:t>Cadres législatifs, réglementaires et politiques de propriété intellectuelle adaptés et équilibrés</w:t>
            </w:r>
          </w:p>
        </w:tc>
        <w:tc>
          <w:tcPr>
            <w:tcW w:w="1417" w:type="dxa"/>
            <w:tcBorders>
              <w:top w:val="nil"/>
              <w:left w:val="nil"/>
              <w:bottom w:val="nil"/>
              <w:right w:val="nil"/>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1 733 </w:t>
            </w:r>
          </w:p>
        </w:tc>
        <w:tc>
          <w:tcPr>
            <w:tcW w:w="1418" w:type="dxa"/>
            <w:tcBorders>
              <w:top w:val="nil"/>
              <w:left w:val="nil"/>
              <w:bottom w:val="nil"/>
              <w:right w:val="nil"/>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1 095</w:t>
            </w:r>
          </w:p>
        </w:tc>
        <w:tc>
          <w:tcPr>
            <w:tcW w:w="1418" w:type="dxa"/>
            <w:tcBorders>
              <w:top w:val="nil"/>
              <w:left w:val="nil"/>
              <w:bottom w:val="nil"/>
              <w:right w:val="single" w:sz="4" w:space="0" w:color="auto"/>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938 </w:t>
            </w:r>
          </w:p>
        </w:tc>
      </w:tr>
      <w:tr w:rsidR="004B047D" w:rsidRPr="004B047D" w:rsidTr="00BB3F3E">
        <w:tc>
          <w:tcPr>
            <w:tcW w:w="501" w:type="dxa"/>
            <w:tcBorders>
              <w:top w:val="nil"/>
              <w:left w:val="single" w:sz="4" w:space="0" w:color="auto"/>
              <w:bottom w:val="nil"/>
              <w:right w:val="nil"/>
            </w:tcBorders>
            <w:shd w:val="clear" w:color="000000" w:fill="FFFFFF"/>
            <w:noWrap/>
          </w:tcPr>
          <w:p w:rsidR="00F40E87" w:rsidRPr="004B047D" w:rsidRDefault="00F40E87" w:rsidP="001A5BF9">
            <w:pPr>
              <w:spacing w:before="120"/>
              <w:jc w:val="center"/>
              <w:rPr>
                <w:rFonts w:cs="Arial"/>
                <w:sz w:val="16"/>
                <w:szCs w:val="16"/>
              </w:rPr>
            </w:pPr>
            <w:proofErr w:type="spellStart"/>
            <w:r w:rsidRPr="004B047D">
              <w:rPr>
                <w:sz w:val="16"/>
              </w:rPr>
              <w:t>III.2</w:t>
            </w:r>
            <w:proofErr w:type="spellEnd"/>
          </w:p>
        </w:tc>
        <w:tc>
          <w:tcPr>
            <w:tcW w:w="4607" w:type="dxa"/>
            <w:tcBorders>
              <w:top w:val="nil"/>
              <w:left w:val="nil"/>
              <w:bottom w:val="nil"/>
              <w:right w:val="nil"/>
            </w:tcBorders>
            <w:shd w:val="clear" w:color="000000" w:fill="FFFFFF"/>
          </w:tcPr>
          <w:p w:rsidR="00F40E87" w:rsidRPr="004B047D" w:rsidRDefault="00F40E87" w:rsidP="001A5BF9">
            <w:pPr>
              <w:spacing w:before="120"/>
              <w:rPr>
                <w:rFonts w:cs="Arial"/>
                <w:sz w:val="16"/>
                <w:szCs w:val="16"/>
              </w:rPr>
            </w:pPr>
            <w:r w:rsidRPr="004B047D">
              <w:rPr>
                <w:sz w:val="16"/>
              </w:rPr>
              <w:t>Renforcement des capacités en matière de ressources humaines pour pouvoir répondre aux nombreuses exigences en ce qui concerne l</w:t>
            </w:r>
            <w:r w:rsidR="00A20444" w:rsidRPr="004B047D">
              <w:rPr>
                <w:sz w:val="16"/>
              </w:rPr>
              <w:t>’</w:t>
            </w:r>
            <w:r w:rsidRPr="004B047D">
              <w:rPr>
                <w:sz w:val="16"/>
              </w:rPr>
              <w:t>utilisation efficace de la propriété intellectuelle au service du développement dans les pays en développement,</w:t>
            </w:r>
            <w:r w:rsidR="00A20444" w:rsidRPr="004B047D">
              <w:rPr>
                <w:sz w:val="16"/>
              </w:rPr>
              <w:t xml:space="preserve"> les PMA</w:t>
            </w:r>
            <w:r w:rsidRPr="004B047D">
              <w:rPr>
                <w:sz w:val="16"/>
              </w:rPr>
              <w:t xml:space="preserve"> et les pays en transition</w:t>
            </w:r>
          </w:p>
        </w:tc>
        <w:tc>
          <w:tcPr>
            <w:tcW w:w="1417" w:type="dxa"/>
            <w:tcBorders>
              <w:top w:val="nil"/>
              <w:left w:val="nil"/>
              <w:bottom w:val="nil"/>
              <w:right w:val="nil"/>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3 475 </w:t>
            </w:r>
          </w:p>
        </w:tc>
        <w:tc>
          <w:tcPr>
            <w:tcW w:w="1418" w:type="dxa"/>
            <w:tcBorders>
              <w:top w:val="nil"/>
              <w:left w:val="nil"/>
              <w:bottom w:val="nil"/>
              <w:right w:val="nil"/>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3 644</w:t>
            </w:r>
          </w:p>
        </w:tc>
        <w:tc>
          <w:tcPr>
            <w:tcW w:w="1418" w:type="dxa"/>
            <w:tcBorders>
              <w:top w:val="nil"/>
              <w:left w:val="nil"/>
              <w:bottom w:val="nil"/>
              <w:right w:val="single" w:sz="4" w:space="0" w:color="auto"/>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3 683 </w:t>
            </w:r>
          </w:p>
        </w:tc>
      </w:tr>
      <w:tr w:rsidR="004B047D" w:rsidRPr="004B047D" w:rsidTr="00BB3F3E">
        <w:tc>
          <w:tcPr>
            <w:tcW w:w="501" w:type="dxa"/>
            <w:tcBorders>
              <w:top w:val="nil"/>
              <w:left w:val="single" w:sz="4" w:space="0" w:color="auto"/>
              <w:bottom w:val="nil"/>
              <w:right w:val="nil"/>
            </w:tcBorders>
            <w:shd w:val="clear" w:color="000000" w:fill="FFFFFF"/>
            <w:noWrap/>
          </w:tcPr>
          <w:p w:rsidR="00F40E87" w:rsidRPr="004B047D" w:rsidRDefault="00F40E87" w:rsidP="001A5BF9">
            <w:pPr>
              <w:spacing w:before="120"/>
              <w:jc w:val="center"/>
              <w:rPr>
                <w:rFonts w:cs="Arial"/>
                <w:sz w:val="16"/>
                <w:szCs w:val="16"/>
              </w:rPr>
            </w:pPr>
            <w:proofErr w:type="spellStart"/>
            <w:r w:rsidRPr="004B047D">
              <w:rPr>
                <w:sz w:val="16"/>
              </w:rPr>
              <w:t>IV.2</w:t>
            </w:r>
            <w:proofErr w:type="spellEnd"/>
          </w:p>
        </w:tc>
        <w:tc>
          <w:tcPr>
            <w:tcW w:w="4607" w:type="dxa"/>
            <w:tcBorders>
              <w:top w:val="nil"/>
              <w:left w:val="nil"/>
              <w:bottom w:val="nil"/>
              <w:right w:val="nil"/>
            </w:tcBorders>
            <w:shd w:val="clear" w:color="000000" w:fill="FFFFFF"/>
          </w:tcPr>
          <w:p w:rsidR="00F40E87" w:rsidRPr="004B047D" w:rsidRDefault="00F40E87" w:rsidP="001A5BF9">
            <w:pPr>
              <w:spacing w:before="120"/>
              <w:rPr>
                <w:rFonts w:cs="Arial"/>
                <w:sz w:val="16"/>
                <w:szCs w:val="16"/>
              </w:rPr>
            </w:pPr>
            <w:r w:rsidRPr="004B047D">
              <w:rPr>
                <w:sz w:val="16"/>
              </w:rPr>
              <w:t>Accès amélioré à l</w:t>
            </w:r>
            <w:r w:rsidR="00A20444" w:rsidRPr="004B047D">
              <w:rPr>
                <w:sz w:val="16"/>
              </w:rPr>
              <w:t>’</w:t>
            </w:r>
            <w:r w:rsidRPr="004B047D">
              <w:rPr>
                <w:sz w:val="16"/>
              </w:rPr>
              <w:t>information et aux savoirs en matière de propriété intellectuelle, et meilleure utilisation de cette information et de ces savoirs, par les institutions de propriété intellectuelle et le public, pour promouvoir l</w:t>
            </w:r>
            <w:r w:rsidR="00A20444" w:rsidRPr="004B047D">
              <w:rPr>
                <w:sz w:val="16"/>
              </w:rPr>
              <w:t>’</w:t>
            </w:r>
            <w:r w:rsidRPr="004B047D">
              <w:rPr>
                <w:sz w:val="16"/>
              </w:rPr>
              <w:t>innovation et faciliter l</w:t>
            </w:r>
            <w:r w:rsidR="00A20444" w:rsidRPr="004B047D">
              <w:rPr>
                <w:sz w:val="16"/>
              </w:rPr>
              <w:t>’</w:t>
            </w:r>
            <w:r w:rsidRPr="004B047D">
              <w:rPr>
                <w:sz w:val="16"/>
              </w:rPr>
              <w:t>accès aux œuvres de création protégées et aux œuvres de création dans le domaine public</w:t>
            </w:r>
          </w:p>
        </w:tc>
        <w:tc>
          <w:tcPr>
            <w:tcW w:w="1417" w:type="dxa"/>
            <w:tcBorders>
              <w:top w:val="nil"/>
              <w:left w:val="nil"/>
              <w:bottom w:val="nil"/>
              <w:right w:val="nil"/>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3 595 </w:t>
            </w:r>
          </w:p>
        </w:tc>
        <w:tc>
          <w:tcPr>
            <w:tcW w:w="1418" w:type="dxa"/>
            <w:tcBorders>
              <w:top w:val="nil"/>
              <w:left w:val="nil"/>
              <w:bottom w:val="nil"/>
              <w:right w:val="nil"/>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2 770 </w:t>
            </w:r>
          </w:p>
        </w:tc>
        <w:tc>
          <w:tcPr>
            <w:tcW w:w="1418" w:type="dxa"/>
            <w:tcBorders>
              <w:top w:val="nil"/>
              <w:left w:val="nil"/>
              <w:bottom w:val="nil"/>
              <w:right w:val="single" w:sz="4" w:space="0" w:color="auto"/>
            </w:tcBorders>
            <w:shd w:val="clear" w:color="000000" w:fill="FFFFFF"/>
            <w:vAlign w:val="center"/>
          </w:tcPr>
          <w:p w:rsidR="00F40E87" w:rsidRPr="004B047D" w:rsidRDefault="00F40E87" w:rsidP="001A5BF9">
            <w:pPr>
              <w:spacing w:before="120"/>
              <w:jc w:val="right"/>
              <w:rPr>
                <w:rFonts w:cs="Arial"/>
                <w:sz w:val="16"/>
                <w:szCs w:val="16"/>
              </w:rPr>
            </w:pPr>
            <w:r w:rsidRPr="004B047D">
              <w:rPr>
                <w:sz w:val="16"/>
              </w:rPr>
              <w:t xml:space="preserve">2 343 </w:t>
            </w:r>
          </w:p>
        </w:tc>
      </w:tr>
      <w:tr w:rsidR="004B047D" w:rsidRPr="004B047D" w:rsidTr="00BB3F3E">
        <w:tc>
          <w:tcPr>
            <w:tcW w:w="501" w:type="dxa"/>
            <w:tcBorders>
              <w:top w:val="nil"/>
              <w:left w:val="single" w:sz="4" w:space="0" w:color="auto"/>
              <w:bottom w:val="single" w:sz="4" w:space="0" w:color="auto"/>
              <w:right w:val="nil"/>
            </w:tcBorders>
            <w:shd w:val="clear" w:color="000000" w:fill="FFFFFF"/>
            <w:noWrap/>
          </w:tcPr>
          <w:p w:rsidR="00F40E87" w:rsidRPr="004B047D" w:rsidRDefault="00F40E87" w:rsidP="001A5BF9">
            <w:pPr>
              <w:spacing w:before="120" w:after="120"/>
              <w:jc w:val="center"/>
              <w:rPr>
                <w:rFonts w:cs="Arial"/>
                <w:sz w:val="16"/>
                <w:szCs w:val="16"/>
              </w:rPr>
            </w:pPr>
            <w:proofErr w:type="spellStart"/>
            <w:r w:rsidRPr="004B047D">
              <w:rPr>
                <w:sz w:val="16"/>
              </w:rPr>
              <w:t>IV.5</w:t>
            </w:r>
            <w:proofErr w:type="spellEnd"/>
          </w:p>
        </w:tc>
        <w:tc>
          <w:tcPr>
            <w:tcW w:w="4607" w:type="dxa"/>
            <w:tcBorders>
              <w:top w:val="nil"/>
              <w:left w:val="nil"/>
              <w:bottom w:val="single" w:sz="4" w:space="0" w:color="auto"/>
              <w:right w:val="nil"/>
            </w:tcBorders>
            <w:shd w:val="clear" w:color="000000" w:fill="FFFFFF"/>
          </w:tcPr>
          <w:p w:rsidR="00F40E87" w:rsidRPr="004B047D" w:rsidRDefault="00F40E87" w:rsidP="001A5BF9">
            <w:pPr>
              <w:spacing w:before="120" w:after="120"/>
              <w:rPr>
                <w:rFonts w:cs="Arial"/>
                <w:sz w:val="16"/>
                <w:szCs w:val="16"/>
              </w:rPr>
            </w:pPr>
            <w:r w:rsidRPr="004B047D">
              <w:rPr>
                <w:sz w:val="16"/>
              </w:rPr>
              <w:t>Amélioration de l</w:t>
            </w:r>
            <w:r w:rsidR="00A20444" w:rsidRPr="004B047D">
              <w:rPr>
                <w:sz w:val="16"/>
              </w:rPr>
              <w:t>’</w:t>
            </w:r>
            <w:r w:rsidRPr="004B047D">
              <w:rPr>
                <w:sz w:val="16"/>
              </w:rPr>
              <w:t>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c>
          <w:tcPr>
            <w:tcW w:w="1417" w:type="dxa"/>
            <w:tcBorders>
              <w:top w:val="nil"/>
              <w:left w:val="nil"/>
              <w:bottom w:val="single" w:sz="4" w:space="0" w:color="auto"/>
              <w:right w:val="nil"/>
            </w:tcBorders>
            <w:shd w:val="clear" w:color="000000" w:fill="FFFFFF"/>
            <w:vAlign w:val="center"/>
          </w:tcPr>
          <w:p w:rsidR="00F40E87" w:rsidRPr="004B047D" w:rsidRDefault="00F40E87" w:rsidP="001A5BF9">
            <w:pPr>
              <w:spacing w:before="120" w:after="120"/>
              <w:jc w:val="right"/>
              <w:rPr>
                <w:rFonts w:cs="Arial"/>
                <w:sz w:val="16"/>
                <w:szCs w:val="16"/>
              </w:rPr>
            </w:pPr>
            <w:r w:rsidRPr="004B047D">
              <w:rPr>
                <w:sz w:val="16"/>
              </w:rPr>
              <w:t xml:space="preserve">3 673 </w:t>
            </w:r>
          </w:p>
        </w:tc>
        <w:tc>
          <w:tcPr>
            <w:tcW w:w="1418" w:type="dxa"/>
            <w:tcBorders>
              <w:top w:val="nil"/>
              <w:left w:val="nil"/>
              <w:bottom w:val="single" w:sz="4" w:space="0" w:color="auto"/>
              <w:right w:val="nil"/>
            </w:tcBorders>
            <w:shd w:val="clear" w:color="000000" w:fill="FFFFFF"/>
            <w:vAlign w:val="center"/>
          </w:tcPr>
          <w:p w:rsidR="00F40E87" w:rsidRPr="004B047D" w:rsidRDefault="00F40E87" w:rsidP="001A5BF9">
            <w:pPr>
              <w:spacing w:before="120" w:after="120"/>
              <w:jc w:val="right"/>
              <w:rPr>
                <w:rFonts w:cs="Arial"/>
                <w:sz w:val="16"/>
                <w:szCs w:val="16"/>
              </w:rPr>
            </w:pPr>
            <w:r w:rsidRPr="004B047D">
              <w:rPr>
                <w:sz w:val="16"/>
              </w:rPr>
              <w:t xml:space="preserve">4 165 </w:t>
            </w:r>
          </w:p>
        </w:tc>
        <w:tc>
          <w:tcPr>
            <w:tcW w:w="1418" w:type="dxa"/>
            <w:tcBorders>
              <w:top w:val="nil"/>
              <w:left w:val="nil"/>
              <w:bottom w:val="single" w:sz="4" w:space="0" w:color="auto"/>
              <w:right w:val="single" w:sz="4" w:space="0" w:color="auto"/>
            </w:tcBorders>
            <w:shd w:val="clear" w:color="000000" w:fill="FFFFFF"/>
            <w:vAlign w:val="center"/>
          </w:tcPr>
          <w:p w:rsidR="00F40E87" w:rsidRPr="004B047D" w:rsidRDefault="00F40E87" w:rsidP="001A5BF9">
            <w:pPr>
              <w:spacing w:before="120" w:after="120"/>
              <w:jc w:val="right"/>
              <w:rPr>
                <w:rFonts w:cs="Arial"/>
                <w:sz w:val="16"/>
                <w:szCs w:val="16"/>
              </w:rPr>
            </w:pPr>
            <w:r w:rsidRPr="004B047D">
              <w:rPr>
                <w:sz w:val="16"/>
              </w:rPr>
              <w:t xml:space="preserve">3 511 </w:t>
            </w:r>
          </w:p>
        </w:tc>
      </w:tr>
      <w:tr w:rsidR="004B047D" w:rsidRPr="004B047D" w:rsidTr="00BB3F3E">
        <w:tc>
          <w:tcPr>
            <w:tcW w:w="501" w:type="dxa"/>
            <w:tcBorders>
              <w:top w:val="nil"/>
              <w:left w:val="single" w:sz="4" w:space="0" w:color="auto"/>
              <w:bottom w:val="single" w:sz="4" w:space="0" w:color="auto"/>
              <w:right w:val="nil"/>
            </w:tcBorders>
            <w:shd w:val="clear" w:color="000000" w:fill="CCFFFF"/>
            <w:noWrap/>
            <w:vAlign w:val="center"/>
          </w:tcPr>
          <w:p w:rsidR="00F40E87" w:rsidRPr="004B047D" w:rsidRDefault="00F40E87" w:rsidP="001A5BF9">
            <w:pPr>
              <w:spacing w:before="120" w:after="120"/>
              <w:rPr>
                <w:rFonts w:cs="Arial"/>
                <w:b/>
                <w:bCs/>
                <w:sz w:val="16"/>
                <w:szCs w:val="16"/>
              </w:rPr>
            </w:pPr>
            <w:r w:rsidRPr="004B047D">
              <w:rPr>
                <w:b/>
                <w:sz w:val="16"/>
              </w:rPr>
              <w:t> </w:t>
            </w:r>
          </w:p>
        </w:tc>
        <w:tc>
          <w:tcPr>
            <w:tcW w:w="4607" w:type="dxa"/>
            <w:tcBorders>
              <w:top w:val="nil"/>
              <w:left w:val="nil"/>
              <w:bottom w:val="single" w:sz="4" w:space="0" w:color="auto"/>
              <w:right w:val="nil"/>
            </w:tcBorders>
            <w:shd w:val="clear" w:color="000000" w:fill="CCFFFF"/>
            <w:noWrap/>
            <w:vAlign w:val="center"/>
          </w:tcPr>
          <w:p w:rsidR="00F40E87" w:rsidRPr="004B047D" w:rsidRDefault="00F40E87" w:rsidP="001A5BF9">
            <w:pPr>
              <w:spacing w:before="120" w:after="120"/>
              <w:rPr>
                <w:rFonts w:cs="Arial"/>
                <w:b/>
                <w:bCs/>
                <w:sz w:val="16"/>
                <w:szCs w:val="16"/>
              </w:rPr>
            </w:pPr>
            <w:r w:rsidRPr="004B047D">
              <w:rPr>
                <w:b/>
                <w:sz w:val="16"/>
              </w:rPr>
              <w:t>Total</w:t>
            </w:r>
            <w:r w:rsidR="004F3E42" w:rsidRPr="004B047D">
              <w:rPr>
                <w:b/>
                <w:sz w:val="16"/>
              </w:rPr>
              <w:t xml:space="preserve"> </w:t>
            </w:r>
          </w:p>
        </w:tc>
        <w:tc>
          <w:tcPr>
            <w:tcW w:w="1417" w:type="dxa"/>
            <w:tcBorders>
              <w:top w:val="nil"/>
              <w:left w:val="single" w:sz="4" w:space="0" w:color="auto"/>
              <w:bottom w:val="single" w:sz="4" w:space="0" w:color="auto"/>
              <w:right w:val="single" w:sz="4" w:space="0" w:color="auto"/>
            </w:tcBorders>
            <w:shd w:val="clear" w:color="000000" w:fill="CCFFFF"/>
            <w:vAlign w:val="center"/>
          </w:tcPr>
          <w:p w:rsidR="00F40E87" w:rsidRPr="004B047D" w:rsidRDefault="00F40E87" w:rsidP="001A5BF9">
            <w:pPr>
              <w:spacing w:before="120" w:after="120"/>
              <w:jc w:val="right"/>
              <w:rPr>
                <w:rFonts w:cs="Arial"/>
                <w:b/>
                <w:bCs/>
                <w:sz w:val="16"/>
                <w:szCs w:val="16"/>
              </w:rPr>
            </w:pPr>
            <w:r w:rsidRPr="004B047D">
              <w:rPr>
                <w:b/>
                <w:sz w:val="16"/>
              </w:rPr>
              <w:t>18 593</w:t>
            </w:r>
          </w:p>
        </w:tc>
        <w:tc>
          <w:tcPr>
            <w:tcW w:w="1418" w:type="dxa"/>
            <w:tcBorders>
              <w:top w:val="nil"/>
              <w:left w:val="nil"/>
              <w:bottom w:val="single" w:sz="4" w:space="0" w:color="auto"/>
              <w:right w:val="single" w:sz="4" w:space="0" w:color="auto"/>
            </w:tcBorders>
            <w:shd w:val="clear" w:color="000000" w:fill="CCFFFF"/>
            <w:noWrap/>
            <w:vAlign w:val="center"/>
          </w:tcPr>
          <w:p w:rsidR="00F40E87" w:rsidRPr="004B047D" w:rsidRDefault="00F40E87" w:rsidP="001A5BF9">
            <w:pPr>
              <w:spacing w:before="120" w:after="120"/>
              <w:jc w:val="right"/>
              <w:rPr>
                <w:rFonts w:cs="Arial"/>
                <w:b/>
                <w:bCs/>
                <w:sz w:val="16"/>
                <w:szCs w:val="16"/>
              </w:rPr>
            </w:pPr>
            <w:r w:rsidRPr="004B047D">
              <w:rPr>
                <w:b/>
                <w:sz w:val="16"/>
              </w:rPr>
              <w:t>19 699</w:t>
            </w:r>
          </w:p>
        </w:tc>
        <w:tc>
          <w:tcPr>
            <w:tcW w:w="1418" w:type="dxa"/>
            <w:tcBorders>
              <w:top w:val="nil"/>
              <w:left w:val="nil"/>
              <w:bottom w:val="single" w:sz="4" w:space="0" w:color="auto"/>
              <w:right w:val="single" w:sz="4" w:space="0" w:color="auto"/>
            </w:tcBorders>
            <w:shd w:val="clear" w:color="000000" w:fill="CCFFFF"/>
            <w:vAlign w:val="center"/>
          </w:tcPr>
          <w:p w:rsidR="00F40E87" w:rsidRPr="004B047D" w:rsidRDefault="00F40E87" w:rsidP="001A5BF9">
            <w:pPr>
              <w:spacing w:before="120" w:after="120"/>
              <w:jc w:val="right"/>
              <w:rPr>
                <w:rFonts w:cs="Arial"/>
                <w:b/>
                <w:bCs/>
                <w:sz w:val="16"/>
                <w:szCs w:val="16"/>
              </w:rPr>
            </w:pPr>
            <w:r w:rsidRPr="004B047D">
              <w:rPr>
                <w:b/>
                <w:sz w:val="16"/>
              </w:rPr>
              <w:t>18 341</w:t>
            </w:r>
          </w:p>
        </w:tc>
      </w:tr>
    </w:tbl>
    <w:p w:rsidR="00D42474" w:rsidRDefault="00D42474" w:rsidP="001A5BF9">
      <w:pPr>
        <w:keepNext/>
        <w:keepLines/>
        <w:rPr>
          <w:rFonts w:cs="Arial"/>
          <w:szCs w:val="22"/>
        </w:rPr>
      </w:pPr>
    </w:p>
    <w:p w:rsidR="00D42474" w:rsidRDefault="00D42474" w:rsidP="001A5BF9">
      <w:pPr>
        <w:keepNext/>
        <w:keepLines/>
        <w:rPr>
          <w:rFonts w:cs="Arial"/>
          <w:szCs w:val="22"/>
        </w:rPr>
      </w:pPr>
    </w:p>
    <w:p w:rsidR="00D42474" w:rsidRDefault="00F40E87" w:rsidP="001A5BF9">
      <w:pPr>
        <w:pStyle w:val="NormalWeb"/>
        <w:spacing w:before="0" w:beforeAutospacing="0" w:after="0" w:afterAutospacing="0"/>
        <w:jc w:val="center"/>
        <w:rPr>
          <w:color w:val="000000"/>
          <w:sz w:val="20"/>
        </w:rPr>
      </w:pPr>
      <w:r w:rsidRPr="005C7CCE">
        <w:rPr>
          <w:color w:val="000000"/>
          <w:sz w:val="20"/>
        </w:rPr>
        <w:t xml:space="preserve">Budget et dépenses effectives (dépenses de </w:t>
      </w:r>
      <w:proofErr w:type="gramStart"/>
      <w:r w:rsidRPr="005C7CCE">
        <w:rPr>
          <w:color w:val="000000"/>
          <w:sz w:val="20"/>
        </w:rPr>
        <w:t>personnel et autres dépenses</w:t>
      </w:r>
      <w:proofErr w:type="gramEnd"/>
      <w:r w:rsidRPr="005C7CCE">
        <w:rPr>
          <w:color w:val="000000"/>
          <w:sz w:val="20"/>
        </w:rPr>
        <w:t>)</w:t>
      </w:r>
    </w:p>
    <w:p w:rsidR="00D42474" w:rsidRDefault="00F40E87" w:rsidP="001A5BF9">
      <w:pPr>
        <w:pStyle w:val="NormalWeb"/>
        <w:spacing w:before="0" w:beforeAutospacing="0" w:after="0" w:afterAutospacing="0"/>
        <w:jc w:val="center"/>
        <w:rPr>
          <w:sz w:val="20"/>
          <w:szCs w:val="20"/>
        </w:rPr>
      </w:pPr>
      <w:r w:rsidRPr="004B047D">
        <w:rPr>
          <w:i/>
          <w:sz w:val="20"/>
        </w:rPr>
        <w:t>(</w:t>
      </w:r>
      <w:proofErr w:type="gramStart"/>
      <w:r w:rsidRPr="004B047D">
        <w:rPr>
          <w:i/>
          <w:sz w:val="20"/>
        </w:rPr>
        <w:t>en</w:t>
      </w:r>
      <w:proofErr w:type="gramEnd"/>
      <w:r w:rsidRPr="004B047D">
        <w:rPr>
          <w:i/>
          <w:sz w:val="20"/>
        </w:rPr>
        <w:t xml:space="preserve"> milliers de francs suisses)</w:t>
      </w:r>
    </w:p>
    <w:p w:rsidR="00F40E87" w:rsidRPr="005C7CCE" w:rsidRDefault="00F40E87" w:rsidP="001A5BF9">
      <w:pPr>
        <w:keepNext/>
        <w:keepLines/>
        <w:rPr>
          <w:rFonts w:cs="Arial"/>
          <w:szCs w:val="20"/>
        </w:rPr>
      </w:pPr>
    </w:p>
    <w:tbl>
      <w:tblPr>
        <w:tblW w:w="9371" w:type="dxa"/>
        <w:tblInd w:w="93" w:type="dxa"/>
        <w:tblLook w:val="04A0" w:firstRow="1" w:lastRow="0" w:firstColumn="1" w:lastColumn="0" w:noHBand="0" w:noVBand="1"/>
      </w:tblPr>
      <w:tblGrid>
        <w:gridCol w:w="2283"/>
        <w:gridCol w:w="1772"/>
        <w:gridCol w:w="1772"/>
        <w:gridCol w:w="1772"/>
        <w:gridCol w:w="1772"/>
      </w:tblGrid>
      <w:tr w:rsidR="004B047D" w:rsidRPr="004B047D" w:rsidTr="00BB3F3E">
        <w:trPr>
          <w:trHeight w:val="411"/>
        </w:trPr>
        <w:tc>
          <w:tcPr>
            <w:tcW w:w="2283"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F40E87" w:rsidRPr="004B047D" w:rsidRDefault="00F40E87" w:rsidP="001A5BF9">
            <w:pPr>
              <w:spacing w:before="120" w:after="120"/>
              <w:rPr>
                <w:rFonts w:cs="Arial"/>
                <w:sz w:val="16"/>
                <w:szCs w:val="16"/>
              </w:rPr>
            </w:pPr>
            <w:r w:rsidRPr="004B047D">
              <w:rPr>
                <w:sz w:val="16"/>
              </w:rPr>
              <w:t> </w:t>
            </w:r>
          </w:p>
        </w:tc>
        <w:tc>
          <w:tcPr>
            <w:tcW w:w="1772" w:type="dxa"/>
            <w:tcBorders>
              <w:top w:val="single" w:sz="4" w:space="0" w:color="auto"/>
              <w:left w:val="nil"/>
              <w:bottom w:val="nil"/>
              <w:right w:val="single" w:sz="4" w:space="0" w:color="auto"/>
            </w:tcBorders>
            <w:shd w:val="clear" w:color="000000" w:fill="CCFFFF"/>
            <w:vAlign w:val="center"/>
          </w:tcPr>
          <w:p w:rsidR="00F40E87" w:rsidRPr="004B047D" w:rsidRDefault="00F40E87" w:rsidP="001A5BF9">
            <w:pPr>
              <w:spacing w:before="120" w:after="120"/>
              <w:jc w:val="center"/>
              <w:rPr>
                <w:rFonts w:cs="Arial"/>
                <w:bCs/>
                <w:sz w:val="16"/>
                <w:szCs w:val="16"/>
              </w:rPr>
            </w:pPr>
            <w:r w:rsidRPr="004B047D">
              <w:rPr>
                <w:sz w:val="16"/>
              </w:rPr>
              <w:t>Budget</w:t>
            </w:r>
            <w:r w:rsidRPr="004B047D">
              <w:br/>
            </w:r>
            <w:r w:rsidRPr="004B047D">
              <w:rPr>
                <w:sz w:val="16"/>
              </w:rPr>
              <w:t>2012</w:t>
            </w:r>
            <w:r w:rsidR="002D6F2A" w:rsidRPr="004B047D">
              <w:rPr>
                <w:sz w:val="16"/>
              </w:rPr>
              <w:noBreakHyphen/>
            </w:r>
            <w:r w:rsidRPr="004B047D">
              <w:rPr>
                <w:sz w:val="16"/>
              </w:rPr>
              <w:t>2013</w:t>
            </w:r>
            <w:r w:rsidRPr="004B047D">
              <w:br/>
            </w:r>
            <w:r w:rsidRPr="004B047D">
              <w:rPr>
                <w:sz w:val="16"/>
              </w:rPr>
              <w:t>approuvé</w:t>
            </w:r>
          </w:p>
        </w:tc>
        <w:tc>
          <w:tcPr>
            <w:tcW w:w="1772" w:type="dxa"/>
            <w:tcBorders>
              <w:top w:val="single" w:sz="4" w:space="0" w:color="auto"/>
              <w:left w:val="nil"/>
              <w:bottom w:val="nil"/>
              <w:right w:val="single" w:sz="4" w:space="0" w:color="auto"/>
            </w:tcBorders>
            <w:shd w:val="clear" w:color="000000" w:fill="CCFFFF"/>
            <w:vAlign w:val="center"/>
          </w:tcPr>
          <w:p w:rsidR="00F40E87" w:rsidRPr="004B047D" w:rsidRDefault="00F40E87" w:rsidP="001A5BF9">
            <w:pPr>
              <w:spacing w:before="120" w:after="120"/>
              <w:jc w:val="center"/>
              <w:rPr>
                <w:rFonts w:cs="Arial"/>
                <w:bCs/>
                <w:sz w:val="16"/>
                <w:szCs w:val="16"/>
              </w:rPr>
            </w:pPr>
            <w:r w:rsidRPr="004B047D">
              <w:rPr>
                <w:sz w:val="16"/>
              </w:rPr>
              <w:t>Budget</w:t>
            </w:r>
            <w:r w:rsidRPr="004B047D">
              <w:br/>
            </w:r>
            <w:r w:rsidRPr="004B047D">
              <w:rPr>
                <w:sz w:val="16"/>
              </w:rPr>
              <w:t>2012</w:t>
            </w:r>
            <w:r w:rsidR="002D6F2A" w:rsidRPr="004B047D">
              <w:rPr>
                <w:sz w:val="16"/>
              </w:rPr>
              <w:noBreakHyphen/>
            </w:r>
            <w:r w:rsidRPr="004B047D">
              <w:rPr>
                <w:sz w:val="16"/>
              </w:rPr>
              <w:t>2013</w:t>
            </w:r>
            <w:r w:rsidRPr="004B047D">
              <w:br/>
            </w:r>
            <w:r w:rsidRPr="004B047D">
              <w:rPr>
                <w:sz w:val="16"/>
              </w:rPr>
              <w:t>après virements</w:t>
            </w:r>
          </w:p>
        </w:tc>
        <w:tc>
          <w:tcPr>
            <w:tcW w:w="1772" w:type="dxa"/>
            <w:tcBorders>
              <w:top w:val="single" w:sz="4" w:space="0" w:color="auto"/>
              <w:left w:val="nil"/>
              <w:bottom w:val="nil"/>
              <w:right w:val="single" w:sz="4" w:space="0" w:color="auto"/>
            </w:tcBorders>
            <w:shd w:val="clear" w:color="000000" w:fill="CCFFFF"/>
            <w:vAlign w:val="center"/>
          </w:tcPr>
          <w:p w:rsidR="00F40E87" w:rsidRPr="004B047D" w:rsidRDefault="00F40E87" w:rsidP="001A5BF9">
            <w:pPr>
              <w:spacing w:before="120" w:after="120"/>
              <w:jc w:val="center"/>
              <w:rPr>
                <w:rFonts w:cs="Arial"/>
                <w:bCs/>
                <w:sz w:val="16"/>
                <w:szCs w:val="16"/>
              </w:rPr>
            </w:pPr>
            <w:r w:rsidRPr="004B047D">
              <w:rPr>
                <w:sz w:val="16"/>
              </w:rPr>
              <w:t>Dépenses</w:t>
            </w:r>
            <w:r w:rsidRPr="004B047D">
              <w:br/>
            </w:r>
            <w:r w:rsidRPr="004B047D">
              <w:rPr>
                <w:sz w:val="16"/>
              </w:rPr>
              <w:t>2012</w:t>
            </w:r>
            <w:r w:rsidR="002D6F2A" w:rsidRPr="004B047D">
              <w:rPr>
                <w:sz w:val="16"/>
              </w:rPr>
              <w:noBreakHyphen/>
            </w:r>
            <w:r w:rsidRPr="004B047D">
              <w:rPr>
                <w:sz w:val="16"/>
              </w:rPr>
              <w:t>2013</w:t>
            </w:r>
          </w:p>
        </w:tc>
        <w:tc>
          <w:tcPr>
            <w:tcW w:w="1772" w:type="dxa"/>
            <w:tcBorders>
              <w:top w:val="single" w:sz="4" w:space="0" w:color="auto"/>
              <w:left w:val="nil"/>
              <w:bottom w:val="nil"/>
              <w:right w:val="single" w:sz="4" w:space="0" w:color="auto"/>
            </w:tcBorders>
            <w:shd w:val="clear" w:color="000000" w:fill="CCFFFF"/>
            <w:vAlign w:val="center"/>
          </w:tcPr>
          <w:p w:rsidR="00F40E87" w:rsidRPr="004B047D" w:rsidRDefault="00F40E87" w:rsidP="001A5BF9">
            <w:pPr>
              <w:spacing w:before="120" w:after="120"/>
              <w:jc w:val="center"/>
              <w:rPr>
                <w:rFonts w:cs="Arial"/>
                <w:bCs/>
                <w:sz w:val="16"/>
                <w:szCs w:val="16"/>
              </w:rPr>
            </w:pPr>
            <w:r w:rsidRPr="004B047D">
              <w:rPr>
                <w:sz w:val="16"/>
              </w:rPr>
              <w:t>Taux d</w:t>
            </w:r>
            <w:r w:rsidR="00A20444" w:rsidRPr="004B047D">
              <w:rPr>
                <w:sz w:val="16"/>
              </w:rPr>
              <w:t>’</w:t>
            </w:r>
            <w:r w:rsidRPr="004B047D">
              <w:rPr>
                <w:sz w:val="16"/>
              </w:rPr>
              <w:t xml:space="preserve">utilisation </w:t>
            </w:r>
            <w:r w:rsidR="00BD43F2" w:rsidRPr="004B047D">
              <w:rPr>
                <w:sz w:val="16"/>
              </w:rPr>
              <w:t>(</w:t>
            </w:r>
            <w:r w:rsidR="007E442D" w:rsidRPr="004B047D">
              <w:rPr>
                <w:sz w:val="16"/>
              </w:rPr>
              <w:t>%</w:t>
            </w:r>
            <w:r w:rsidRPr="004B047D">
              <w:rPr>
                <w:sz w:val="16"/>
              </w:rPr>
              <w:t>)</w:t>
            </w:r>
          </w:p>
        </w:tc>
      </w:tr>
      <w:tr w:rsidR="004B047D" w:rsidRPr="004B047D" w:rsidTr="00BB3F3E">
        <w:trPr>
          <w:trHeight w:val="449"/>
        </w:trPr>
        <w:tc>
          <w:tcPr>
            <w:tcW w:w="2283" w:type="dxa"/>
            <w:tcBorders>
              <w:top w:val="nil"/>
              <w:left w:val="single" w:sz="4" w:space="0" w:color="auto"/>
              <w:bottom w:val="single" w:sz="4" w:space="0" w:color="auto"/>
              <w:right w:val="single" w:sz="4" w:space="0" w:color="auto"/>
            </w:tcBorders>
            <w:shd w:val="clear" w:color="auto" w:fill="auto"/>
            <w:noWrap/>
            <w:vAlign w:val="center"/>
          </w:tcPr>
          <w:p w:rsidR="00F40E87" w:rsidRPr="004B047D" w:rsidRDefault="00F40E87" w:rsidP="001A5BF9">
            <w:pPr>
              <w:rPr>
                <w:rFonts w:cs="Arial"/>
                <w:sz w:val="16"/>
                <w:szCs w:val="16"/>
              </w:rPr>
            </w:pPr>
            <w:r w:rsidRPr="004B047D">
              <w:rPr>
                <w:sz w:val="16"/>
              </w:rPr>
              <w:t xml:space="preserve">Dépenses de personnel </w:t>
            </w:r>
          </w:p>
        </w:tc>
        <w:tc>
          <w:tcPr>
            <w:tcW w:w="1772" w:type="dxa"/>
            <w:tcBorders>
              <w:top w:val="single" w:sz="4" w:space="0" w:color="auto"/>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sz w:val="16"/>
                <w:szCs w:val="16"/>
              </w:rPr>
            </w:pPr>
            <w:r w:rsidRPr="004B047D">
              <w:rPr>
                <w:sz w:val="16"/>
              </w:rPr>
              <w:t>10 866</w:t>
            </w:r>
          </w:p>
        </w:tc>
        <w:tc>
          <w:tcPr>
            <w:tcW w:w="1772" w:type="dxa"/>
            <w:tcBorders>
              <w:top w:val="single" w:sz="4" w:space="0" w:color="auto"/>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sz w:val="16"/>
                <w:szCs w:val="16"/>
              </w:rPr>
            </w:pPr>
            <w:r w:rsidRPr="004B047D">
              <w:rPr>
                <w:sz w:val="16"/>
              </w:rPr>
              <w:t>10 811</w:t>
            </w:r>
          </w:p>
        </w:tc>
        <w:tc>
          <w:tcPr>
            <w:tcW w:w="1772" w:type="dxa"/>
            <w:tcBorders>
              <w:top w:val="single" w:sz="4" w:space="0" w:color="auto"/>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sz w:val="16"/>
                <w:szCs w:val="16"/>
              </w:rPr>
            </w:pPr>
            <w:r w:rsidRPr="004B047D">
              <w:rPr>
                <w:sz w:val="16"/>
              </w:rPr>
              <w:t>10 811</w:t>
            </w:r>
          </w:p>
        </w:tc>
        <w:tc>
          <w:tcPr>
            <w:tcW w:w="1772" w:type="dxa"/>
            <w:tcBorders>
              <w:top w:val="single" w:sz="4" w:space="0" w:color="auto"/>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sz w:val="16"/>
                <w:szCs w:val="16"/>
              </w:rPr>
            </w:pPr>
            <w:r w:rsidRPr="004B047D">
              <w:rPr>
                <w:sz w:val="16"/>
              </w:rPr>
              <w:t>100</w:t>
            </w:r>
            <w:r w:rsidR="007E442D" w:rsidRPr="004B047D">
              <w:rPr>
                <w:sz w:val="16"/>
              </w:rPr>
              <w:t>%</w:t>
            </w:r>
          </w:p>
        </w:tc>
      </w:tr>
      <w:tr w:rsidR="004B047D" w:rsidRPr="004B047D" w:rsidTr="00BB3F3E">
        <w:trPr>
          <w:trHeight w:val="449"/>
        </w:trPr>
        <w:tc>
          <w:tcPr>
            <w:tcW w:w="2283" w:type="dxa"/>
            <w:tcBorders>
              <w:top w:val="nil"/>
              <w:left w:val="single" w:sz="4" w:space="0" w:color="auto"/>
              <w:bottom w:val="single" w:sz="4" w:space="0" w:color="auto"/>
              <w:right w:val="single" w:sz="4" w:space="0" w:color="auto"/>
            </w:tcBorders>
            <w:shd w:val="clear" w:color="auto" w:fill="auto"/>
            <w:noWrap/>
            <w:vAlign w:val="center"/>
          </w:tcPr>
          <w:p w:rsidR="00F40E87" w:rsidRPr="004B047D" w:rsidRDefault="00F40E87" w:rsidP="001A5BF9">
            <w:pPr>
              <w:rPr>
                <w:rFonts w:cs="Arial"/>
                <w:sz w:val="16"/>
                <w:szCs w:val="16"/>
              </w:rPr>
            </w:pPr>
            <w:r w:rsidRPr="004B047D">
              <w:rPr>
                <w:sz w:val="16"/>
              </w:rPr>
              <w:t xml:space="preserve">Autres dépenses </w:t>
            </w:r>
          </w:p>
        </w:tc>
        <w:tc>
          <w:tcPr>
            <w:tcW w:w="1772" w:type="dxa"/>
            <w:tcBorders>
              <w:top w:val="nil"/>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sz w:val="16"/>
                <w:szCs w:val="16"/>
              </w:rPr>
            </w:pPr>
            <w:r w:rsidRPr="004B047D">
              <w:rPr>
                <w:sz w:val="16"/>
              </w:rPr>
              <w:t>7 727</w:t>
            </w:r>
          </w:p>
        </w:tc>
        <w:tc>
          <w:tcPr>
            <w:tcW w:w="1772" w:type="dxa"/>
            <w:tcBorders>
              <w:top w:val="nil"/>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sz w:val="16"/>
                <w:szCs w:val="16"/>
              </w:rPr>
            </w:pPr>
            <w:r w:rsidRPr="004B047D">
              <w:rPr>
                <w:sz w:val="16"/>
              </w:rPr>
              <w:t>8 888</w:t>
            </w:r>
          </w:p>
        </w:tc>
        <w:tc>
          <w:tcPr>
            <w:tcW w:w="1772" w:type="dxa"/>
            <w:tcBorders>
              <w:top w:val="nil"/>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sz w:val="16"/>
                <w:szCs w:val="16"/>
              </w:rPr>
            </w:pPr>
            <w:r w:rsidRPr="004B047D">
              <w:rPr>
                <w:sz w:val="16"/>
              </w:rPr>
              <w:t>7 530</w:t>
            </w:r>
          </w:p>
        </w:tc>
        <w:tc>
          <w:tcPr>
            <w:tcW w:w="1772" w:type="dxa"/>
            <w:tcBorders>
              <w:top w:val="nil"/>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sz w:val="16"/>
                <w:szCs w:val="16"/>
              </w:rPr>
            </w:pPr>
            <w:r w:rsidRPr="004B047D">
              <w:rPr>
                <w:sz w:val="16"/>
              </w:rPr>
              <w:t>85</w:t>
            </w:r>
            <w:r w:rsidR="007E442D" w:rsidRPr="004B047D">
              <w:rPr>
                <w:sz w:val="16"/>
              </w:rPr>
              <w:t>%</w:t>
            </w:r>
          </w:p>
        </w:tc>
      </w:tr>
      <w:tr w:rsidR="004B047D" w:rsidRPr="004B047D" w:rsidTr="00BB3F3E">
        <w:trPr>
          <w:trHeight w:val="449"/>
        </w:trPr>
        <w:tc>
          <w:tcPr>
            <w:tcW w:w="2283" w:type="dxa"/>
            <w:tcBorders>
              <w:top w:val="nil"/>
              <w:left w:val="single" w:sz="4" w:space="0" w:color="auto"/>
              <w:bottom w:val="single" w:sz="4" w:space="0" w:color="auto"/>
              <w:right w:val="single" w:sz="4" w:space="0" w:color="auto"/>
            </w:tcBorders>
            <w:shd w:val="clear" w:color="auto" w:fill="auto"/>
            <w:noWrap/>
            <w:vAlign w:val="center"/>
          </w:tcPr>
          <w:p w:rsidR="00F40E87" w:rsidRPr="004B047D" w:rsidRDefault="00F40E87" w:rsidP="001A5BF9">
            <w:pPr>
              <w:jc w:val="right"/>
              <w:rPr>
                <w:rFonts w:cs="Arial"/>
                <w:b/>
                <w:bCs/>
                <w:sz w:val="16"/>
                <w:szCs w:val="16"/>
              </w:rPr>
            </w:pPr>
            <w:r w:rsidRPr="004B047D">
              <w:rPr>
                <w:b/>
                <w:sz w:val="16"/>
              </w:rPr>
              <w:t xml:space="preserve">TOTAL </w:t>
            </w:r>
          </w:p>
        </w:tc>
        <w:tc>
          <w:tcPr>
            <w:tcW w:w="1772" w:type="dxa"/>
            <w:tcBorders>
              <w:top w:val="nil"/>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b/>
                <w:bCs/>
                <w:sz w:val="16"/>
                <w:szCs w:val="16"/>
              </w:rPr>
            </w:pPr>
            <w:r w:rsidRPr="004B047D">
              <w:rPr>
                <w:b/>
                <w:sz w:val="16"/>
              </w:rPr>
              <w:t>18 593</w:t>
            </w:r>
          </w:p>
        </w:tc>
        <w:tc>
          <w:tcPr>
            <w:tcW w:w="1772" w:type="dxa"/>
            <w:tcBorders>
              <w:top w:val="nil"/>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b/>
                <w:bCs/>
                <w:sz w:val="16"/>
                <w:szCs w:val="16"/>
              </w:rPr>
            </w:pPr>
            <w:r w:rsidRPr="004B047D">
              <w:rPr>
                <w:b/>
                <w:sz w:val="16"/>
              </w:rPr>
              <w:t>19 699</w:t>
            </w:r>
          </w:p>
        </w:tc>
        <w:tc>
          <w:tcPr>
            <w:tcW w:w="1772" w:type="dxa"/>
            <w:tcBorders>
              <w:top w:val="nil"/>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b/>
                <w:bCs/>
                <w:sz w:val="16"/>
                <w:szCs w:val="16"/>
              </w:rPr>
            </w:pPr>
            <w:r w:rsidRPr="004B047D">
              <w:rPr>
                <w:b/>
                <w:sz w:val="16"/>
              </w:rPr>
              <w:t>18 341</w:t>
            </w:r>
          </w:p>
        </w:tc>
        <w:tc>
          <w:tcPr>
            <w:tcW w:w="1772" w:type="dxa"/>
            <w:tcBorders>
              <w:top w:val="nil"/>
              <w:left w:val="nil"/>
              <w:bottom w:val="single" w:sz="4" w:space="0" w:color="auto"/>
              <w:right w:val="single" w:sz="4" w:space="0" w:color="auto"/>
            </w:tcBorders>
            <w:shd w:val="clear" w:color="auto" w:fill="auto"/>
            <w:vAlign w:val="center"/>
          </w:tcPr>
          <w:p w:rsidR="00F40E87" w:rsidRPr="004B047D" w:rsidRDefault="00F40E87" w:rsidP="001A5BF9">
            <w:pPr>
              <w:jc w:val="center"/>
              <w:rPr>
                <w:rFonts w:cs="Arial"/>
                <w:b/>
                <w:bCs/>
                <w:sz w:val="16"/>
                <w:szCs w:val="16"/>
              </w:rPr>
            </w:pPr>
            <w:r w:rsidRPr="004B047D">
              <w:rPr>
                <w:b/>
                <w:sz w:val="16"/>
              </w:rPr>
              <w:t>93</w:t>
            </w:r>
            <w:r w:rsidR="007E442D" w:rsidRPr="004B047D">
              <w:rPr>
                <w:b/>
                <w:sz w:val="16"/>
              </w:rPr>
              <w:t>%</w:t>
            </w:r>
          </w:p>
        </w:tc>
      </w:tr>
    </w:tbl>
    <w:p w:rsidR="00D42474" w:rsidRDefault="00D42474" w:rsidP="001A5BF9">
      <w:pPr>
        <w:keepNext/>
        <w:keepLines/>
        <w:rPr>
          <w:rFonts w:cs="Arial"/>
          <w:szCs w:val="22"/>
        </w:rPr>
      </w:pPr>
    </w:p>
    <w:p w:rsidR="00D42474" w:rsidRDefault="00F40E87" w:rsidP="001A5BF9">
      <w:pPr>
        <w:keepNext/>
        <w:autoSpaceDE w:val="0"/>
        <w:autoSpaceDN w:val="0"/>
        <w:rPr>
          <w:sz w:val="16"/>
          <w:szCs w:val="16"/>
        </w:rPr>
      </w:pPr>
      <w:proofErr w:type="gramStart"/>
      <w:r w:rsidRPr="005C7CCE">
        <w:rPr>
          <w:sz w:val="16"/>
        </w:rPr>
        <w:t>REMARQUES</w:t>
      </w:r>
      <w:proofErr w:type="gramEnd"/>
      <w:r w:rsidRPr="005C7CCE">
        <w:rPr>
          <w:sz w:val="16"/>
        </w:rPr>
        <w:t> :</w:t>
      </w:r>
    </w:p>
    <w:p w:rsidR="00D42474" w:rsidRDefault="00D42474" w:rsidP="001A5BF9">
      <w:pPr>
        <w:keepNext/>
        <w:autoSpaceDE w:val="0"/>
        <w:autoSpaceDN w:val="0"/>
        <w:rPr>
          <w:sz w:val="16"/>
          <w:szCs w:val="16"/>
        </w:rPr>
      </w:pPr>
    </w:p>
    <w:p w:rsidR="00D42474" w:rsidRDefault="00F40E87" w:rsidP="001A5BF9">
      <w:pPr>
        <w:keepNext/>
        <w:autoSpaceDE w:val="0"/>
        <w:autoSpaceDN w:val="0"/>
        <w:rPr>
          <w:sz w:val="16"/>
          <w:szCs w:val="16"/>
        </w:rPr>
      </w:pPr>
      <w:r w:rsidRPr="004B047D">
        <w:rPr>
          <w:sz w:val="16"/>
        </w:rPr>
        <w:t>1)</w:t>
      </w:r>
      <w:r w:rsidR="004B047D" w:rsidRPr="004B047D">
        <w:rPr>
          <w:sz w:val="16"/>
        </w:rPr>
        <w:tab/>
      </w:r>
      <w:r w:rsidRPr="004B047D">
        <w:rPr>
          <w:sz w:val="16"/>
        </w:rPr>
        <w:t>Le budget restructuré après virements tient compte du budget ajusté des programmes après les virements réalisés au cours de l</w:t>
      </w:r>
      <w:r w:rsidR="00A20444" w:rsidRPr="004B047D">
        <w:rPr>
          <w:sz w:val="16"/>
        </w:rPr>
        <w:t>’</w:t>
      </w:r>
      <w:r w:rsidRPr="004B047D">
        <w:rPr>
          <w:sz w:val="16"/>
        </w:rPr>
        <w:t>exercice 2012</w:t>
      </w:r>
      <w:r w:rsidR="002D6F2A" w:rsidRPr="004B047D">
        <w:rPr>
          <w:sz w:val="16"/>
        </w:rPr>
        <w:noBreakHyphen/>
      </w:r>
      <w:r w:rsidRPr="004B047D">
        <w:rPr>
          <w:sz w:val="16"/>
        </w:rPr>
        <w:t xml:space="preserve">2013, conformément à </w:t>
      </w:r>
      <w:r w:rsidR="00E15133" w:rsidRPr="004B047D">
        <w:rPr>
          <w:sz w:val="16"/>
        </w:rPr>
        <w:t>l</w:t>
      </w:r>
      <w:r w:rsidR="00A20444" w:rsidRPr="004B047D">
        <w:rPr>
          <w:sz w:val="16"/>
        </w:rPr>
        <w:t>’</w:t>
      </w:r>
      <w:r w:rsidR="00E15133" w:rsidRPr="004B047D">
        <w:rPr>
          <w:sz w:val="16"/>
        </w:rPr>
        <w:t>article 5.5</w:t>
      </w:r>
      <w:r w:rsidRPr="004B047D">
        <w:rPr>
          <w:sz w:val="16"/>
        </w:rPr>
        <w:t xml:space="preserve"> du règlement d</w:t>
      </w:r>
      <w:r w:rsidR="00A20444" w:rsidRPr="004B047D">
        <w:rPr>
          <w:sz w:val="16"/>
        </w:rPr>
        <w:t>’</w:t>
      </w:r>
      <w:r w:rsidRPr="004B047D">
        <w:rPr>
          <w:sz w:val="16"/>
        </w:rPr>
        <w:t>exécution du Règlement financier.</w:t>
      </w:r>
    </w:p>
    <w:p w:rsidR="00D42474" w:rsidRDefault="00D42474" w:rsidP="001A5BF9">
      <w:pPr>
        <w:keepNext/>
        <w:autoSpaceDE w:val="0"/>
        <w:autoSpaceDN w:val="0"/>
        <w:rPr>
          <w:sz w:val="16"/>
          <w:szCs w:val="16"/>
        </w:rPr>
      </w:pPr>
    </w:p>
    <w:p w:rsidR="00D42474" w:rsidRDefault="004B047D" w:rsidP="001A5BF9">
      <w:pPr>
        <w:keepNext/>
        <w:autoSpaceDE w:val="0"/>
        <w:autoSpaceDN w:val="0"/>
        <w:rPr>
          <w:sz w:val="16"/>
        </w:rPr>
      </w:pPr>
      <w:r w:rsidRPr="004B047D">
        <w:rPr>
          <w:sz w:val="16"/>
        </w:rPr>
        <w:t>2)</w:t>
      </w:r>
      <w:r w:rsidRPr="004B047D">
        <w:rPr>
          <w:sz w:val="16"/>
        </w:rPr>
        <w:tab/>
      </w:r>
      <w:r w:rsidR="00F40E87" w:rsidRPr="004B047D">
        <w:rPr>
          <w:sz w:val="16"/>
        </w:rPr>
        <w:t>Les dépenses de personnel indiquées dans le budget de l</w:t>
      </w:r>
      <w:r w:rsidR="00A20444" w:rsidRPr="004B047D">
        <w:rPr>
          <w:sz w:val="16"/>
        </w:rPr>
        <w:t>’</w:t>
      </w:r>
      <w:r w:rsidR="00F40E87" w:rsidRPr="004B047D">
        <w:rPr>
          <w:sz w:val="16"/>
        </w:rPr>
        <w:t>exercice 2012</w:t>
      </w:r>
      <w:r w:rsidR="002D6F2A" w:rsidRPr="004B047D">
        <w:rPr>
          <w:sz w:val="16"/>
        </w:rPr>
        <w:noBreakHyphen/>
      </w:r>
      <w:r w:rsidR="00F40E87" w:rsidRPr="004B047D">
        <w:rPr>
          <w:sz w:val="16"/>
        </w:rPr>
        <w:t>2013 après virements représentent les dépenses réelles engagées pendant l</w:t>
      </w:r>
      <w:r w:rsidR="00A20444" w:rsidRPr="004B047D">
        <w:rPr>
          <w:sz w:val="16"/>
        </w:rPr>
        <w:t>’</w:t>
      </w:r>
      <w:r w:rsidR="00F40E87" w:rsidRPr="004B047D">
        <w:rPr>
          <w:sz w:val="16"/>
        </w:rPr>
        <w:t>exercice biennal.</w:t>
      </w:r>
    </w:p>
    <w:p w:rsidR="00D42474" w:rsidRDefault="00D42474" w:rsidP="001A5BF9">
      <w:pPr>
        <w:rPr>
          <w:rFonts w:eastAsia="SimSun" w:cs="Arial"/>
          <w:szCs w:val="22"/>
        </w:rPr>
      </w:pPr>
    </w:p>
    <w:p w:rsidR="00D42474" w:rsidRDefault="00D42474" w:rsidP="001A5BF9">
      <w:pPr>
        <w:rPr>
          <w:rFonts w:eastAsia="SimSun" w:cs="Arial"/>
          <w:szCs w:val="22"/>
        </w:rPr>
      </w:pPr>
    </w:p>
    <w:p w:rsidR="00D42474" w:rsidRDefault="00F40E87" w:rsidP="001A5BF9">
      <w:pPr>
        <w:rPr>
          <w:rFonts w:eastAsia="SimSun" w:cs="Arial"/>
          <w:szCs w:val="20"/>
        </w:rPr>
      </w:pPr>
      <w:r w:rsidRPr="005C7CCE">
        <w:br w:type="page"/>
      </w:r>
    </w:p>
    <w:p w:rsidR="00D42474" w:rsidRDefault="00F40E87" w:rsidP="001A5BF9">
      <w:pPr>
        <w:tabs>
          <w:tab w:val="left" w:pos="709"/>
        </w:tabs>
        <w:rPr>
          <w:rFonts w:eastAsia="SimSun" w:cs="Arial"/>
          <w:szCs w:val="20"/>
          <w:u w:val="single"/>
        </w:rPr>
      </w:pPr>
      <w:r w:rsidRPr="00895C47">
        <w:t>A.</w:t>
      </w:r>
      <w:r w:rsidRPr="00895C47">
        <w:rPr>
          <w:i/>
        </w:rPr>
        <w:tab/>
      </w:r>
      <w:r w:rsidRPr="00895C47">
        <w:rPr>
          <w:u w:val="single"/>
        </w:rPr>
        <w:t>Budget 2013</w:t>
      </w:r>
      <w:r w:rsidR="002D6F2A" w:rsidRPr="00895C47">
        <w:rPr>
          <w:u w:val="single"/>
        </w:rPr>
        <w:noBreakHyphen/>
      </w:r>
      <w:r w:rsidRPr="00895C47">
        <w:rPr>
          <w:u w:val="single"/>
        </w:rPr>
        <w:t>2013 après virements</w:t>
      </w:r>
    </w:p>
    <w:p w:rsidR="00D42474" w:rsidRDefault="00D42474" w:rsidP="001A5BF9">
      <w:pPr>
        <w:tabs>
          <w:tab w:val="left" w:pos="709"/>
        </w:tabs>
        <w:rPr>
          <w:rFonts w:eastAsia="SimSun" w:cs="Arial"/>
          <w:szCs w:val="20"/>
          <w:u w:val="single"/>
        </w:rPr>
      </w:pPr>
    </w:p>
    <w:p w:rsidR="00D42474" w:rsidRDefault="00F40E87" w:rsidP="001A5BF9">
      <w:pPr>
        <w:tabs>
          <w:tab w:val="left" w:pos="709"/>
        </w:tabs>
        <w:jc w:val="both"/>
      </w:pPr>
      <w:r w:rsidRPr="005C7CCE">
        <w:t>3.20.</w:t>
      </w:r>
      <w:r w:rsidRPr="005C7CCE">
        <w:tab/>
        <w:t>L</w:t>
      </w:r>
      <w:r w:rsidR="00A20444" w:rsidRPr="005C7CCE">
        <w:t>’</w:t>
      </w:r>
      <w:r w:rsidRPr="005C7CCE">
        <w:t>augmentation nette des chiffres des ressources engagées au titre de ce programme est la résultante de l</w:t>
      </w:r>
      <w:r w:rsidR="00A20444" w:rsidRPr="005C7CCE">
        <w:t>’</w:t>
      </w:r>
      <w:r w:rsidRPr="005C7CCE">
        <w:t>affectation d</w:t>
      </w:r>
      <w:r w:rsidR="00A20444" w:rsidRPr="005C7CCE">
        <w:t>’</w:t>
      </w:r>
      <w:r w:rsidRPr="005C7CCE">
        <w:t>environ 1,8 million de francs suisses à l</w:t>
      </w:r>
      <w:r w:rsidR="00A20444" w:rsidRPr="005C7CCE">
        <w:t>’</w:t>
      </w:r>
      <w:r w:rsidRPr="005C7CCE">
        <w:t>organisation des conférences diplomatiques de Beijing en 2012 et de Marrakech en 2013, comme l</w:t>
      </w:r>
      <w:r w:rsidR="00A20444" w:rsidRPr="005C7CCE">
        <w:t>’</w:t>
      </w:r>
      <w:r w:rsidRPr="005C7CCE">
        <w:t>indique le résultat </w:t>
      </w:r>
      <w:proofErr w:type="spellStart"/>
      <w:r w:rsidRPr="005C7CCE">
        <w:t>I.1</w:t>
      </w:r>
      <w:proofErr w:type="spellEnd"/>
      <w:r w:rsidRPr="005C7CCE">
        <w:t xml:space="preserve"> (Élaboration de cadres normatifs internationaux équilibrés dans le domaine de la propriété intellectuelle).</w:t>
      </w:r>
    </w:p>
    <w:p w:rsidR="00D42474" w:rsidRDefault="00D42474" w:rsidP="001A5BF9">
      <w:pPr>
        <w:tabs>
          <w:tab w:val="left" w:pos="709"/>
        </w:tabs>
        <w:jc w:val="both"/>
        <w:rPr>
          <w:rFonts w:eastAsia="SimSun" w:cs="Arial"/>
          <w:szCs w:val="20"/>
        </w:rPr>
      </w:pPr>
    </w:p>
    <w:p w:rsidR="00D42474" w:rsidRDefault="00F40E87" w:rsidP="001A5BF9">
      <w:pPr>
        <w:tabs>
          <w:tab w:val="left" w:pos="709"/>
        </w:tabs>
        <w:jc w:val="both"/>
      </w:pPr>
      <w:r w:rsidRPr="005C7CCE">
        <w:t>3.21.</w:t>
      </w:r>
      <w:r w:rsidRPr="005C7CCE">
        <w:tab/>
        <w:t>Une réduction nette d</w:t>
      </w:r>
      <w:r w:rsidR="00A20444" w:rsidRPr="005C7CCE">
        <w:t>’</w:t>
      </w:r>
      <w:r w:rsidRPr="005C7CCE">
        <w:t xml:space="preserve">environ 1 million de francs </w:t>
      </w:r>
      <w:r w:rsidR="00FF417E">
        <w:t>suisses</w:t>
      </w:r>
      <w:r w:rsidRPr="005C7CCE">
        <w:t xml:space="preserve"> au titre des résultats restants est principalement due à : i) des ajustements à la baisse des ressources hors personnel réalisés pour des gains d</w:t>
      </w:r>
      <w:r w:rsidR="00A20444" w:rsidRPr="005C7CCE">
        <w:t>’</w:t>
      </w:r>
      <w:r w:rsidRPr="005C7CCE">
        <w:t>efficacité, conformément à l</w:t>
      </w:r>
      <w:r w:rsidR="00A20444" w:rsidRPr="005C7CCE">
        <w:t>’</w:t>
      </w:r>
      <w:r w:rsidRPr="005C7CCE">
        <w:t>engagement pris par l</w:t>
      </w:r>
      <w:r w:rsidR="00A20444" w:rsidRPr="005C7CCE">
        <w:t>’</w:t>
      </w:r>
      <w:r w:rsidRPr="005C7CCE">
        <w:t>Organisation visant à réduire les dépenses de 10,2 millions de francs suisses au cours de l</w:t>
      </w:r>
      <w:r w:rsidR="00A20444" w:rsidRPr="005C7CCE">
        <w:t>’</w:t>
      </w:r>
      <w:r w:rsidRPr="005C7CCE">
        <w:t>exercice biennal 2012</w:t>
      </w:r>
      <w:r w:rsidR="002D6F2A" w:rsidRPr="005C7CCE">
        <w:noBreakHyphen/>
      </w:r>
      <w:r w:rsidRPr="005C7CCE">
        <w:t>2013;</w:t>
      </w:r>
      <w:r w:rsidR="004F3E42" w:rsidRPr="005C7CCE">
        <w:t xml:space="preserve"> </w:t>
      </w:r>
      <w:r w:rsidR="0010442A" w:rsidRPr="005C7CCE">
        <w:t xml:space="preserve"> </w:t>
      </w:r>
      <w:r w:rsidRPr="005C7CCE">
        <w:t>et ii) la réaffectation des ressources du personnel affectées à la mise en œuvre d</w:t>
      </w:r>
      <w:r w:rsidR="00A20444" w:rsidRPr="005C7CCE">
        <w:t>’</w:t>
      </w:r>
      <w:r w:rsidRPr="005C7CCE">
        <w:t>activité au titre des divers résultats.</w:t>
      </w:r>
    </w:p>
    <w:p w:rsidR="00D42474" w:rsidRDefault="00D42474" w:rsidP="001A5BF9">
      <w:pPr>
        <w:tabs>
          <w:tab w:val="left" w:pos="709"/>
        </w:tabs>
        <w:jc w:val="both"/>
        <w:rPr>
          <w:rFonts w:eastAsia="SimSun" w:cs="Arial"/>
          <w:szCs w:val="20"/>
        </w:rPr>
      </w:pPr>
    </w:p>
    <w:p w:rsidR="00D42474" w:rsidRDefault="00F40E87" w:rsidP="001A5BF9">
      <w:pPr>
        <w:keepNext/>
        <w:keepLines/>
        <w:tabs>
          <w:tab w:val="left" w:pos="709"/>
        </w:tabs>
        <w:jc w:val="both"/>
        <w:rPr>
          <w:rFonts w:eastAsia="Batang" w:cs="Arial"/>
          <w:szCs w:val="20"/>
          <w:u w:val="single"/>
        </w:rPr>
      </w:pPr>
      <w:r w:rsidRPr="005C7CCE">
        <w:t>B.</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Pr>
        <w:keepNext/>
        <w:keepLines/>
        <w:tabs>
          <w:tab w:val="left" w:pos="709"/>
        </w:tabs>
        <w:jc w:val="both"/>
        <w:rPr>
          <w:rFonts w:eastAsia="Batang" w:cs="Arial"/>
          <w:szCs w:val="20"/>
        </w:rPr>
      </w:pPr>
    </w:p>
    <w:p w:rsidR="00D42474" w:rsidRDefault="00F40E87" w:rsidP="001A5BF9">
      <w:pPr>
        <w:tabs>
          <w:tab w:val="left" w:pos="709"/>
        </w:tabs>
      </w:pPr>
      <w:r w:rsidRPr="005C7CCE">
        <w:t>3.22.</w:t>
      </w:r>
      <w:r w:rsidRPr="005C7CCE">
        <w:tab/>
        <w:t>Le taux d</w:t>
      </w:r>
      <w:r w:rsidR="00A20444" w:rsidRPr="005C7CCE">
        <w:t>’</w:t>
      </w:r>
      <w:r w:rsidRPr="005C7CCE">
        <w:t>utilisation du budget du programme pour les dépenses autres que les dépenses de personnel s</w:t>
      </w:r>
      <w:r w:rsidR="00A20444" w:rsidRPr="005C7CCE">
        <w:t>’</w:t>
      </w:r>
      <w:r w:rsidRPr="005C7CCE">
        <w:t>élève à 85</w:t>
      </w:r>
      <w:r w:rsidR="007E442D" w:rsidRPr="005C7CCE">
        <w:t>%</w:t>
      </w:r>
      <w:r w:rsidRPr="005C7CCE">
        <w:t xml:space="preserve"> du budget après virements.</w:t>
      </w:r>
      <w:r w:rsidR="0010442A" w:rsidRPr="005C7CCE">
        <w:t xml:space="preserve"> </w:t>
      </w:r>
      <w:r w:rsidRPr="005C7CCE">
        <w:t xml:space="preserve"> La sous</w:t>
      </w:r>
      <w:r w:rsidR="002D6F2A" w:rsidRPr="005C7CCE">
        <w:noBreakHyphen/>
      </w:r>
      <w:r w:rsidRPr="005C7CCE">
        <w:t>utilisation des ressources hors personnel s</w:t>
      </w:r>
      <w:r w:rsidR="00A20444" w:rsidRPr="005C7CCE">
        <w:t>’</w:t>
      </w:r>
      <w:r w:rsidRPr="005C7CCE">
        <w:t>explique principalement par :</w:t>
      </w:r>
    </w:p>
    <w:p w:rsidR="00D42474" w:rsidRDefault="00D42474" w:rsidP="001A5BF9">
      <w:pPr>
        <w:tabs>
          <w:tab w:val="left" w:pos="709"/>
        </w:tabs>
        <w:ind w:left="720"/>
        <w:rPr>
          <w:rFonts w:cs="Arial"/>
          <w:szCs w:val="20"/>
        </w:rPr>
      </w:pPr>
    </w:p>
    <w:p w:rsidR="00D42474" w:rsidRDefault="00F40E87" w:rsidP="001A5BF9">
      <w:pPr>
        <w:pStyle w:val="Paragraphedeliste"/>
        <w:numPr>
          <w:ilvl w:val="0"/>
          <w:numId w:val="6"/>
        </w:numPr>
        <w:tabs>
          <w:tab w:val="left" w:pos="709"/>
        </w:tabs>
        <w:ind w:left="1134" w:hanging="425"/>
        <w:rPr>
          <w:rFonts w:cs="Arial"/>
        </w:rPr>
      </w:pPr>
      <w:r w:rsidRPr="005C7CCE">
        <w:t>les économies découlant de la mise en commun des ressources du secteur ainsi qu</w:t>
      </w:r>
      <w:r w:rsidR="00A20444" w:rsidRPr="005C7CCE">
        <w:t>’</w:t>
      </w:r>
      <w:r w:rsidRPr="005C7CCE">
        <w:t>avec les divisions en dehors du secteur en ce qui concerne la fourniture d</w:t>
      </w:r>
      <w:r w:rsidR="00A20444" w:rsidRPr="005C7CCE">
        <w:t>’</w:t>
      </w:r>
      <w:r w:rsidRPr="005C7CCE">
        <w:t>une assistance technique;</w:t>
      </w:r>
    </w:p>
    <w:p w:rsidR="00D42474" w:rsidRDefault="00D42474" w:rsidP="001A5BF9">
      <w:pPr>
        <w:pStyle w:val="Paragraphedeliste"/>
        <w:tabs>
          <w:tab w:val="left" w:pos="709"/>
        </w:tabs>
        <w:ind w:left="1134" w:hanging="425"/>
      </w:pPr>
    </w:p>
    <w:p w:rsidR="00D42474" w:rsidRDefault="00F40E87" w:rsidP="001A5BF9">
      <w:pPr>
        <w:numPr>
          <w:ilvl w:val="0"/>
          <w:numId w:val="5"/>
        </w:numPr>
        <w:tabs>
          <w:tab w:val="left" w:pos="709"/>
        </w:tabs>
        <w:ind w:left="1134" w:hanging="425"/>
        <w:rPr>
          <w:rFonts w:cs="Arial"/>
          <w:szCs w:val="20"/>
        </w:rPr>
      </w:pPr>
      <w:r w:rsidRPr="005C7CCE">
        <w:t>les économies importantes liées à l</w:t>
      </w:r>
      <w:r w:rsidR="00A20444" w:rsidRPr="005C7CCE">
        <w:t>’</w:t>
      </w:r>
      <w:r w:rsidRPr="005C7CCE">
        <w:t>organisation des deux</w:t>
      </w:r>
      <w:r w:rsidR="0010442A" w:rsidRPr="005C7CCE">
        <w:t> </w:t>
      </w:r>
      <w:r w:rsidRPr="005C7CCE">
        <w:t>conférences diplomatiques par rapport aux estimations initiales du coût.</w:t>
      </w:r>
    </w:p>
    <w:p w:rsidR="00D42474" w:rsidRDefault="00D42474" w:rsidP="001A5BF9">
      <w:pPr>
        <w:jc w:val="center"/>
        <w:rPr>
          <w:rFonts w:cs="Arial"/>
          <w:szCs w:val="22"/>
        </w:rPr>
      </w:pPr>
    </w:p>
    <w:p w:rsidR="00D42474" w:rsidRDefault="00F40E87" w:rsidP="001A5BF9">
      <w:pPr>
        <w:rPr>
          <w:szCs w:val="20"/>
        </w:rPr>
      </w:pPr>
      <w:r w:rsidRPr="005C7CCE">
        <w:br w:type="page"/>
      </w:r>
    </w:p>
    <w:p w:rsidR="00D42474" w:rsidRDefault="00784255" w:rsidP="00784255">
      <w:pPr>
        <w:pStyle w:val="Heading3"/>
      </w:pPr>
      <w:bookmarkStart w:id="13" w:name="_Toc395082466"/>
      <w:r>
        <w:t>P</w:t>
      </w:r>
      <w:r w:rsidRPr="00895C47">
        <w:t>rogramme</w:t>
      </w:r>
      <w:r w:rsidRPr="00895C47">
        <w:rPr>
          <w:rFonts w:hint="eastAsia"/>
        </w:rPr>
        <w:t> </w:t>
      </w:r>
      <w:r w:rsidRPr="00895C47">
        <w:t xml:space="preserve">4 </w:t>
      </w:r>
      <w:r w:rsidRPr="00895C47">
        <w:tab/>
      </w:r>
      <w:r>
        <w:t>S</w:t>
      </w:r>
      <w:r w:rsidRPr="00895C47">
        <w:t>avoirs traditionnels, expressions culturelles traditionnelles et ressources g</w:t>
      </w:r>
      <w:r w:rsidRPr="00895C47">
        <w:rPr>
          <w:rFonts w:hint="eastAsia"/>
        </w:rPr>
        <w:t>é</w:t>
      </w:r>
      <w:r w:rsidRPr="00895C47">
        <w:t>n</w:t>
      </w:r>
      <w:r w:rsidRPr="00895C47">
        <w:rPr>
          <w:rFonts w:hint="eastAsia"/>
        </w:rPr>
        <w:t>é</w:t>
      </w:r>
      <w:r w:rsidRPr="00895C47">
        <w:t>tiques</w:t>
      </w:r>
      <w:bookmarkEnd w:id="13"/>
    </w:p>
    <w:p w:rsidR="00D42474" w:rsidRDefault="00D42474" w:rsidP="001A5BF9">
      <w:pPr>
        <w:rPr>
          <w:rFonts w:cs="Arial"/>
          <w:sz w:val="22"/>
          <w:szCs w:val="22"/>
        </w:rPr>
      </w:pPr>
    </w:p>
    <w:p w:rsidR="00D42474" w:rsidRDefault="00F40E87" w:rsidP="001A5BF9">
      <w:pPr>
        <w:rPr>
          <w:rFonts w:cs="Arial"/>
          <w:b/>
          <w:sz w:val="22"/>
          <w:szCs w:val="22"/>
        </w:rPr>
      </w:pPr>
      <w:r w:rsidRPr="00895C47">
        <w:rPr>
          <w:b/>
          <w:sz w:val="22"/>
          <w:szCs w:val="22"/>
        </w:rPr>
        <w:t>Chef de programme</w:t>
      </w:r>
      <w:r w:rsidRPr="00895C47">
        <w:rPr>
          <w:b/>
          <w:sz w:val="22"/>
          <w:szCs w:val="22"/>
        </w:rPr>
        <w:tab/>
        <w:t>M. J. C. </w:t>
      </w:r>
      <w:proofErr w:type="spellStart"/>
      <w:r w:rsidRPr="00895C47">
        <w:rPr>
          <w:b/>
          <w:sz w:val="22"/>
          <w:szCs w:val="22"/>
        </w:rPr>
        <w:t>Wichard</w:t>
      </w:r>
      <w:proofErr w:type="spellEnd"/>
    </w:p>
    <w:p w:rsidR="00D42474" w:rsidRDefault="00D42474" w:rsidP="001A5BF9">
      <w:pPr>
        <w:rPr>
          <w:sz w:val="22"/>
          <w:szCs w:val="22"/>
        </w:rPr>
      </w:pPr>
    </w:p>
    <w:p w:rsidR="00D42474" w:rsidRDefault="00D42474" w:rsidP="001A5BF9">
      <w:pPr>
        <w:rPr>
          <w:bCs/>
          <w:sz w:val="22"/>
          <w:szCs w:val="22"/>
        </w:rPr>
      </w:pPr>
    </w:p>
    <w:p w:rsidR="00D42474" w:rsidRDefault="00F40E87" w:rsidP="001A5BF9">
      <w:pPr>
        <w:rPr>
          <w:rFonts w:cs="Arial"/>
          <w:sz w:val="22"/>
          <w:szCs w:val="22"/>
        </w:rPr>
      </w:pPr>
      <w:r w:rsidRPr="00895C47">
        <w:rPr>
          <w:sz w:val="22"/>
          <w:szCs w:val="22"/>
        </w:rPr>
        <w:t>RÉALISATIONS EN 2012</w:t>
      </w:r>
      <w:r w:rsidR="002D6F2A" w:rsidRPr="00895C47">
        <w:rPr>
          <w:sz w:val="22"/>
          <w:szCs w:val="22"/>
        </w:rPr>
        <w:noBreakHyphen/>
      </w:r>
      <w:r w:rsidRPr="00895C47">
        <w:rPr>
          <w:sz w:val="22"/>
          <w:szCs w:val="22"/>
        </w:rPr>
        <w:t>2013</w:t>
      </w:r>
    </w:p>
    <w:p w:rsidR="00D42474" w:rsidRDefault="00D42474" w:rsidP="001A5BF9">
      <w:pPr>
        <w:rPr>
          <w:sz w:val="22"/>
          <w:szCs w:val="22"/>
        </w:rPr>
      </w:pPr>
    </w:p>
    <w:p w:rsidR="00D42474" w:rsidRDefault="00F40E87" w:rsidP="001A5BF9">
      <w:pPr>
        <w:pStyle w:val="Paragraphedeliste"/>
        <w:numPr>
          <w:ilvl w:val="1"/>
          <w:numId w:val="9"/>
        </w:numPr>
        <w:tabs>
          <w:tab w:val="left" w:pos="709"/>
        </w:tabs>
        <w:ind w:left="0" w:firstLine="0"/>
        <w:jc w:val="both"/>
        <w:rPr>
          <w:spacing w:val="-2"/>
        </w:rPr>
      </w:pPr>
      <w:r w:rsidRPr="005C7CCE">
        <w:rPr>
          <w:spacing w:val="-2"/>
        </w:rPr>
        <w:t>L</w:t>
      </w:r>
      <w:r w:rsidR="00A20444" w:rsidRPr="005C7CCE">
        <w:rPr>
          <w:spacing w:val="-2"/>
        </w:rPr>
        <w:t>’</w:t>
      </w:r>
      <w:r w:rsidRPr="005C7CCE">
        <w:rPr>
          <w:spacing w:val="-2"/>
        </w:rPr>
        <w:t>exercice biennal examiné met en évidence une avancée régulière des négociations sur le texte du Comité intergouvernemental de la propriété intellectuelle relative aux ressources génétiques, aux savoirs traditionnels et au folklore (IGC) de l</w:t>
      </w:r>
      <w:r w:rsidR="00A20444" w:rsidRPr="005C7CCE">
        <w:rPr>
          <w:spacing w:val="-2"/>
        </w:rPr>
        <w:t>’</w:t>
      </w:r>
      <w:r w:rsidRPr="005C7CCE">
        <w:rPr>
          <w:spacing w:val="-2"/>
        </w:rPr>
        <w:t xml:space="preserve">OMPI. </w:t>
      </w:r>
      <w:r w:rsidR="0010442A" w:rsidRPr="005C7CCE">
        <w:rPr>
          <w:spacing w:val="-2"/>
        </w:rPr>
        <w:t xml:space="preserve"> </w:t>
      </w:r>
      <w:r w:rsidRPr="005C7CCE">
        <w:rPr>
          <w:spacing w:val="-2"/>
        </w:rPr>
        <w:t>L</w:t>
      </w:r>
      <w:r w:rsidR="00A20444" w:rsidRPr="005C7CCE">
        <w:rPr>
          <w:spacing w:val="-2"/>
        </w:rPr>
        <w:t>’</w:t>
      </w:r>
      <w:r w:rsidRPr="005C7CCE">
        <w:rPr>
          <w:spacing w:val="-2"/>
        </w:rPr>
        <w:t>IGC s</w:t>
      </w:r>
      <w:r w:rsidR="00A20444" w:rsidRPr="005C7CCE">
        <w:rPr>
          <w:spacing w:val="-2"/>
        </w:rPr>
        <w:t>’</w:t>
      </w:r>
      <w:r w:rsidRPr="005C7CCE">
        <w:rPr>
          <w:spacing w:val="-2"/>
        </w:rPr>
        <w:t>est réuni à six reprises (de la vingtième à la vingt</w:t>
      </w:r>
      <w:r w:rsidR="002D6F2A" w:rsidRPr="005C7CCE">
        <w:rPr>
          <w:spacing w:val="-2"/>
        </w:rPr>
        <w:noBreakHyphen/>
      </w:r>
      <w:r w:rsidRPr="005C7CCE">
        <w:rPr>
          <w:spacing w:val="-2"/>
        </w:rPr>
        <w:t>cinquième session de l</w:t>
      </w:r>
      <w:r w:rsidR="00A20444" w:rsidRPr="005C7CCE">
        <w:rPr>
          <w:spacing w:val="-2"/>
        </w:rPr>
        <w:t>’</w:t>
      </w:r>
      <w:r w:rsidRPr="005C7CCE">
        <w:rPr>
          <w:spacing w:val="-2"/>
        </w:rPr>
        <w:t>IGC).</w:t>
      </w:r>
      <w:r w:rsidR="0010442A" w:rsidRPr="005C7CCE">
        <w:rPr>
          <w:spacing w:val="-2"/>
        </w:rPr>
        <w:t xml:space="preserve"> </w:t>
      </w:r>
      <w:r w:rsidRPr="005C7CCE">
        <w:rPr>
          <w:spacing w:val="-2"/>
        </w:rPr>
        <w:t xml:space="preserve"> L</w:t>
      </w:r>
      <w:r w:rsidR="00A20444" w:rsidRPr="005C7CCE">
        <w:rPr>
          <w:spacing w:val="-2"/>
        </w:rPr>
        <w:t>’</w:t>
      </w:r>
      <w:r w:rsidRPr="005C7CCE">
        <w:rPr>
          <w:spacing w:val="-2"/>
        </w:rPr>
        <w:t xml:space="preserve">IGC a établi un programme de programme de travail bien défini, fondé sur des méthodes de travail viables. </w:t>
      </w:r>
      <w:r w:rsidR="0010442A" w:rsidRPr="005C7CCE">
        <w:rPr>
          <w:spacing w:val="-2"/>
        </w:rPr>
        <w:t xml:space="preserve"> </w:t>
      </w:r>
      <w:r w:rsidRPr="005C7CCE">
        <w:rPr>
          <w:spacing w:val="-2"/>
        </w:rPr>
        <w:t>À la fin de la sixième session de l</w:t>
      </w:r>
      <w:r w:rsidR="00A20444" w:rsidRPr="005C7CCE">
        <w:rPr>
          <w:spacing w:val="-2"/>
        </w:rPr>
        <w:t>’</w:t>
      </w:r>
      <w:r w:rsidRPr="005C7CCE">
        <w:rPr>
          <w:spacing w:val="-2"/>
        </w:rPr>
        <w:t>exercice biennal (vingt</w:t>
      </w:r>
      <w:r w:rsidR="002D6F2A" w:rsidRPr="005C7CCE">
        <w:rPr>
          <w:spacing w:val="-2"/>
        </w:rPr>
        <w:noBreakHyphen/>
      </w:r>
      <w:r w:rsidRPr="005C7CCE">
        <w:rPr>
          <w:spacing w:val="-2"/>
        </w:rPr>
        <w:t>cinquième session de l</w:t>
      </w:r>
      <w:r w:rsidR="00A20444" w:rsidRPr="005C7CCE">
        <w:rPr>
          <w:spacing w:val="-2"/>
        </w:rPr>
        <w:t>’</w:t>
      </w:r>
      <w:r w:rsidRPr="005C7CCE">
        <w:rPr>
          <w:spacing w:val="-2"/>
        </w:rPr>
        <w:t>IGC), l</w:t>
      </w:r>
      <w:r w:rsidR="00A20444" w:rsidRPr="005C7CCE">
        <w:rPr>
          <w:spacing w:val="-2"/>
        </w:rPr>
        <w:t>’</w:t>
      </w:r>
      <w:r w:rsidRPr="005C7CCE">
        <w:rPr>
          <w:spacing w:val="-2"/>
        </w:rPr>
        <w:t>IGC avait encore amélioré les textes de négociation rationalisés et consolidés sur chacun des trois thèmes de l</w:t>
      </w:r>
      <w:r w:rsidR="00A20444" w:rsidRPr="005C7CCE">
        <w:rPr>
          <w:spacing w:val="-2"/>
        </w:rPr>
        <w:t>’</w:t>
      </w:r>
      <w:r w:rsidRPr="005C7CCE">
        <w:rPr>
          <w:spacing w:val="-2"/>
        </w:rPr>
        <w:t>IGC (</w:t>
      </w:r>
      <w:r w:rsidR="00A20444" w:rsidRPr="005C7CCE">
        <w:rPr>
          <w:spacing w:val="-2"/>
        </w:rPr>
        <w:t>à savoir</w:t>
      </w:r>
      <w:r w:rsidRPr="005C7CCE">
        <w:rPr>
          <w:spacing w:val="-2"/>
        </w:rPr>
        <w:t xml:space="preserve">, les ressources génétiques, les savoirs traditionnels et les expressions culturelles traditionnelles). </w:t>
      </w:r>
      <w:r w:rsidR="0010442A" w:rsidRPr="005C7CCE">
        <w:rPr>
          <w:spacing w:val="-2"/>
        </w:rPr>
        <w:t xml:space="preserve"> </w:t>
      </w:r>
      <w:r w:rsidRPr="005C7CCE">
        <w:rPr>
          <w:spacing w:val="-2"/>
        </w:rPr>
        <w:t>Des réunions intersessions organisées à l</w:t>
      </w:r>
      <w:r w:rsidR="00A20444" w:rsidRPr="005C7CCE">
        <w:rPr>
          <w:spacing w:val="-2"/>
        </w:rPr>
        <w:t>’</w:t>
      </w:r>
      <w:r w:rsidRPr="005C7CCE">
        <w:rPr>
          <w:spacing w:val="-2"/>
        </w:rPr>
        <w:t>initiative des États membres en dehors</w:t>
      </w:r>
      <w:r w:rsidR="004F3E42" w:rsidRPr="005C7CCE">
        <w:rPr>
          <w:spacing w:val="-2"/>
        </w:rPr>
        <w:t xml:space="preserve"> </w:t>
      </w:r>
      <w:r w:rsidRPr="005C7CCE">
        <w:rPr>
          <w:spacing w:val="-2"/>
        </w:rPr>
        <w:t xml:space="preserve">de Genève ont soutenu le processus. </w:t>
      </w:r>
      <w:r w:rsidR="0010442A" w:rsidRPr="005C7CCE">
        <w:rPr>
          <w:spacing w:val="-2"/>
        </w:rPr>
        <w:t xml:space="preserve"> </w:t>
      </w:r>
      <w:r w:rsidRPr="005C7CCE">
        <w:rPr>
          <w:spacing w:val="-2"/>
        </w:rPr>
        <w:t>L</w:t>
      </w:r>
      <w:r w:rsidR="00A20444" w:rsidRPr="005C7CCE">
        <w:rPr>
          <w:spacing w:val="-2"/>
        </w:rPr>
        <w:t>’</w:t>
      </w:r>
      <w:r w:rsidRPr="005C7CCE">
        <w:rPr>
          <w:spacing w:val="-2"/>
        </w:rPr>
        <w:t>Assemblée générale de l</w:t>
      </w:r>
      <w:r w:rsidR="00A20444" w:rsidRPr="005C7CCE">
        <w:rPr>
          <w:spacing w:val="-2"/>
        </w:rPr>
        <w:t>’</w:t>
      </w:r>
      <w:r w:rsidRPr="005C7CCE">
        <w:rPr>
          <w:spacing w:val="-2"/>
        </w:rPr>
        <w:t>OMPI d</w:t>
      </w:r>
      <w:r w:rsidR="00A20444" w:rsidRPr="005C7CCE">
        <w:rPr>
          <w:spacing w:val="-2"/>
        </w:rPr>
        <w:t>’</w:t>
      </w:r>
      <w:r w:rsidRPr="005C7CCE">
        <w:rPr>
          <w:spacing w:val="-2"/>
        </w:rPr>
        <w:t>octobre 2013 a convenu de renouveler le mandat de l</w:t>
      </w:r>
      <w:r w:rsidR="00A20444" w:rsidRPr="005C7CCE">
        <w:rPr>
          <w:spacing w:val="-2"/>
        </w:rPr>
        <w:t>’</w:t>
      </w:r>
      <w:r w:rsidRPr="005C7CCE">
        <w:rPr>
          <w:spacing w:val="-2"/>
        </w:rPr>
        <w:t>IGC pour 2014</w:t>
      </w:r>
      <w:r w:rsidR="002D6F2A" w:rsidRPr="005C7CCE">
        <w:rPr>
          <w:spacing w:val="-2"/>
        </w:rPr>
        <w:noBreakHyphen/>
      </w:r>
      <w:r w:rsidRPr="005C7CCE">
        <w:rPr>
          <w:spacing w:val="-2"/>
        </w:rPr>
        <w:t>2015 et aussi d</w:t>
      </w:r>
      <w:r w:rsidR="00A20444" w:rsidRPr="005C7CCE">
        <w:rPr>
          <w:spacing w:val="-2"/>
        </w:rPr>
        <w:t>’</w:t>
      </w:r>
      <w:r w:rsidRPr="005C7CCE">
        <w:rPr>
          <w:spacing w:val="-2"/>
        </w:rPr>
        <w:t xml:space="preserve">un programme de travail pour 2014. </w:t>
      </w:r>
      <w:r w:rsidR="0010442A" w:rsidRPr="005C7CCE">
        <w:rPr>
          <w:spacing w:val="-2"/>
        </w:rPr>
        <w:t xml:space="preserve"> </w:t>
      </w:r>
      <w:r w:rsidRPr="005C7CCE">
        <w:rPr>
          <w:spacing w:val="-2"/>
        </w:rPr>
        <w:t>L</w:t>
      </w:r>
      <w:r w:rsidR="00A20444" w:rsidRPr="005C7CCE">
        <w:rPr>
          <w:spacing w:val="-2"/>
        </w:rPr>
        <w:t>’</w:t>
      </w:r>
      <w:r w:rsidRPr="005C7CCE">
        <w:rPr>
          <w:spacing w:val="-2"/>
        </w:rPr>
        <w:t>IGC est un processus piloté par les États membres et le Secrétariat de l</w:t>
      </w:r>
      <w:r w:rsidR="00A20444" w:rsidRPr="005C7CCE">
        <w:rPr>
          <w:spacing w:val="-2"/>
        </w:rPr>
        <w:t>’</w:t>
      </w:r>
      <w:r w:rsidRPr="005C7CCE">
        <w:rPr>
          <w:spacing w:val="-2"/>
        </w:rPr>
        <w:t>OMPI cherche à jouer un rôle actif de soutien et d</w:t>
      </w:r>
      <w:r w:rsidR="00A20444" w:rsidRPr="005C7CCE">
        <w:rPr>
          <w:spacing w:val="-2"/>
        </w:rPr>
        <w:t>’</w:t>
      </w:r>
      <w:r w:rsidRPr="005C7CCE">
        <w:rPr>
          <w:spacing w:val="-2"/>
        </w:rPr>
        <w:t xml:space="preserve">intermédiaire, et ce de manière professionnelle, efficace et neutre. </w:t>
      </w:r>
      <w:r w:rsidR="0010442A" w:rsidRPr="005C7CCE">
        <w:rPr>
          <w:spacing w:val="-2"/>
        </w:rPr>
        <w:t xml:space="preserve"> </w:t>
      </w:r>
      <w:r w:rsidRPr="005C7CCE">
        <w:rPr>
          <w:spacing w:val="-2"/>
        </w:rPr>
        <w:t>Une évaluation menée par la Division de l</w:t>
      </w:r>
      <w:r w:rsidR="00A20444" w:rsidRPr="005C7CCE">
        <w:rPr>
          <w:spacing w:val="-2"/>
        </w:rPr>
        <w:t>’</w:t>
      </w:r>
      <w:r w:rsidRPr="005C7CCE">
        <w:rPr>
          <w:spacing w:val="-2"/>
        </w:rPr>
        <w:t>audit et de la supervision internes de l</w:t>
      </w:r>
      <w:r w:rsidR="00A20444" w:rsidRPr="005C7CCE">
        <w:rPr>
          <w:spacing w:val="-2"/>
        </w:rPr>
        <w:t>’</w:t>
      </w:r>
      <w:r w:rsidRPr="005C7CCE">
        <w:rPr>
          <w:spacing w:val="-2"/>
        </w:rPr>
        <w:t>OMPI en 2013 a constaté un taux de satisfaction élevé parmi les participants de l</w:t>
      </w:r>
      <w:r w:rsidR="00A20444" w:rsidRPr="005C7CCE">
        <w:rPr>
          <w:spacing w:val="-2"/>
        </w:rPr>
        <w:t>’</w:t>
      </w:r>
      <w:r w:rsidRPr="005C7CCE">
        <w:rPr>
          <w:spacing w:val="-2"/>
        </w:rPr>
        <w:t>IGC avec les services que le Secrétariat y propose.</w:t>
      </w:r>
    </w:p>
    <w:p w:rsidR="00D42474" w:rsidRDefault="00D42474" w:rsidP="001A5BF9">
      <w:pPr>
        <w:tabs>
          <w:tab w:val="left" w:pos="709"/>
        </w:tabs>
        <w:rPr>
          <w:rFonts w:cs="Arial"/>
        </w:rPr>
      </w:pPr>
    </w:p>
    <w:p w:rsidR="00D42474" w:rsidRDefault="00F40E87" w:rsidP="001A5BF9">
      <w:pPr>
        <w:pStyle w:val="Paragraphedeliste"/>
        <w:numPr>
          <w:ilvl w:val="0"/>
          <w:numId w:val="9"/>
        </w:numPr>
        <w:tabs>
          <w:tab w:val="left" w:pos="709"/>
        </w:tabs>
        <w:ind w:left="0" w:firstLine="0"/>
        <w:jc w:val="both"/>
      </w:pPr>
      <w:r w:rsidRPr="005C7CCE">
        <w:t>En 2012</w:t>
      </w:r>
      <w:r w:rsidR="002D6F2A" w:rsidRPr="005C7CCE">
        <w:noBreakHyphen/>
      </w:r>
      <w:r w:rsidRPr="005C7CCE">
        <w:t>2013, le Secrétariat a encore renforcé son aide aux peuples autochtones et aux communautés locales afin de faciliter leur participation effective au processus de l</w:t>
      </w:r>
      <w:r w:rsidR="00A20444" w:rsidRPr="005C7CCE">
        <w:t>’</w:t>
      </w:r>
      <w:r w:rsidRPr="005C7CCE">
        <w:t>IGC, par l</w:t>
      </w:r>
      <w:r w:rsidR="00A20444" w:rsidRPr="005C7CCE">
        <w:t>’</w:t>
      </w:r>
      <w:r w:rsidRPr="005C7CCE">
        <w:t>organisation d</w:t>
      </w:r>
      <w:r w:rsidR="00A20444" w:rsidRPr="005C7CCE">
        <w:t>’</w:t>
      </w:r>
      <w:r w:rsidRPr="005C7CCE">
        <w:t>un atelier d</w:t>
      </w:r>
      <w:r w:rsidR="00A20444" w:rsidRPr="005C7CCE">
        <w:t>’</w:t>
      </w:r>
      <w:r w:rsidRPr="005C7CCE">
        <w:t>experts des communautés autochtones avant la vingt</w:t>
      </w:r>
      <w:r w:rsidR="002D6F2A" w:rsidRPr="005C7CCE">
        <w:noBreakHyphen/>
      </w:r>
      <w:r w:rsidRPr="005C7CCE">
        <w:t>quatrième session de l</w:t>
      </w:r>
      <w:r w:rsidR="00A20444" w:rsidRPr="005C7CCE">
        <w:t>’</w:t>
      </w:r>
      <w:r w:rsidRPr="005C7CCE">
        <w:t xml:space="preserve">IGC et un atelier pratique pour les peuples autochtones à la fin de 2013. </w:t>
      </w:r>
      <w:r w:rsidR="0010442A" w:rsidRPr="005C7CCE">
        <w:t xml:space="preserve"> </w:t>
      </w:r>
      <w:r w:rsidRPr="005C7CCE">
        <w:t>L</w:t>
      </w:r>
      <w:r w:rsidR="00A20444" w:rsidRPr="005C7CCE">
        <w:t>’</w:t>
      </w:r>
      <w:r w:rsidRPr="005C7CCE">
        <w:t>IGC a débattu et appuyé des propositions visant à renforcer la participation positive des observateurs au processus de l</w:t>
      </w:r>
      <w:r w:rsidR="00A20444" w:rsidRPr="005C7CCE">
        <w:t>’</w:t>
      </w:r>
      <w:r w:rsidRPr="005C7CCE">
        <w:t xml:space="preserve">IGC. </w:t>
      </w:r>
      <w:r w:rsidR="0010442A" w:rsidRPr="005C7CCE">
        <w:t xml:space="preserve"> </w:t>
      </w:r>
      <w:r w:rsidRPr="005C7CCE">
        <w:t>Le Secrétariat a créé un Portail sur les questions autochtones sur le site de l</w:t>
      </w:r>
      <w:r w:rsidR="00A20444" w:rsidRPr="005C7CCE">
        <w:t>’</w:t>
      </w:r>
      <w:r w:rsidRPr="005C7CCE">
        <w:t>OMPI, ainsi qu</w:t>
      </w:r>
      <w:r w:rsidR="00A20444" w:rsidRPr="005C7CCE">
        <w:t>’</w:t>
      </w:r>
      <w:r w:rsidRPr="005C7CCE">
        <w:t xml:space="preserve">une bourse pour les autochtones pour 2012 et 2013. </w:t>
      </w:r>
      <w:r w:rsidR="0010442A" w:rsidRPr="005C7CCE">
        <w:t xml:space="preserve"> </w:t>
      </w:r>
      <w:r w:rsidRPr="005C7CCE">
        <w:t>Le Secrétariat a également consolidé ses bonnes relations de travail avec l</w:t>
      </w:r>
      <w:r w:rsidR="00A20444" w:rsidRPr="005C7CCE">
        <w:t>’</w:t>
      </w:r>
      <w:r w:rsidRPr="005C7CCE">
        <w:t>instance permanente de l</w:t>
      </w:r>
      <w:r w:rsidR="00A20444" w:rsidRPr="005C7CCE">
        <w:t>’</w:t>
      </w:r>
      <w:r w:rsidRPr="005C7CCE">
        <w:t xml:space="preserve">ONU sur les questions autochtones. </w:t>
      </w:r>
      <w:r w:rsidR="0010442A" w:rsidRPr="005C7CCE">
        <w:t xml:space="preserve"> </w:t>
      </w:r>
      <w:r w:rsidRPr="005C7CCE">
        <w:t>Toutefois, malgré une campagne de collecte de fonds menée par le Secrétariat de l</w:t>
      </w:r>
      <w:r w:rsidR="00A20444" w:rsidRPr="005C7CCE">
        <w:t>’</w:t>
      </w:r>
      <w:r w:rsidRPr="005C7CCE">
        <w:t>OMPI et deux</w:t>
      </w:r>
      <w:r w:rsidR="0010442A" w:rsidRPr="005C7CCE">
        <w:t> </w:t>
      </w:r>
      <w:r w:rsidRPr="005C7CCE">
        <w:t>contributions estimables aux fins de la vingt</w:t>
      </w:r>
      <w:r w:rsidR="002D6F2A" w:rsidRPr="005C7CCE">
        <w:noBreakHyphen/>
      </w:r>
      <w:r w:rsidRPr="005C7CCE">
        <w:t>cinquième session de l</w:t>
      </w:r>
      <w:r w:rsidR="00A20444" w:rsidRPr="005C7CCE">
        <w:t>’</w:t>
      </w:r>
      <w:r w:rsidRPr="005C7CCE">
        <w:t>IGC, les ressources du Fonds de contributions volontaires de l</w:t>
      </w:r>
      <w:r w:rsidR="00A20444" w:rsidRPr="005C7CCE">
        <w:t>’</w:t>
      </w:r>
      <w:r w:rsidRPr="005C7CCE">
        <w:t>OMPI pour les communautés autochtones et locales accréditées ont continué à s</w:t>
      </w:r>
      <w:r w:rsidR="00A20444" w:rsidRPr="005C7CCE">
        <w:t>’</w:t>
      </w:r>
      <w:r w:rsidRPr="005C7CCE">
        <w:t>épuiser et, à la fin de l</w:t>
      </w:r>
      <w:r w:rsidR="00A20444" w:rsidRPr="005C7CCE">
        <w:t>’</w:t>
      </w:r>
      <w:r w:rsidRPr="005C7CCE">
        <w:t>exercice biennal, le Fonds était quasiment à cours de ressources.</w:t>
      </w:r>
    </w:p>
    <w:p w:rsidR="00D42474" w:rsidRDefault="00D42474" w:rsidP="001A5BF9">
      <w:pPr>
        <w:tabs>
          <w:tab w:val="left" w:pos="709"/>
        </w:tabs>
        <w:jc w:val="both"/>
        <w:rPr>
          <w:rFonts w:cs="Arial"/>
        </w:rPr>
      </w:pPr>
    </w:p>
    <w:p w:rsidR="00D42474" w:rsidRDefault="00F40E87" w:rsidP="001A5BF9">
      <w:pPr>
        <w:pStyle w:val="Paragraphedeliste"/>
        <w:numPr>
          <w:ilvl w:val="0"/>
          <w:numId w:val="9"/>
        </w:numPr>
        <w:tabs>
          <w:tab w:val="left" w:pos="709"/>
        </w:tabs>
        <w:ind w:left="0" w:firstLine="0"/>
        <w:jc w:val="both"/>
      </w:pPr>
      <w:r w:rsidRPr="005C7CCE">
        <w:t xml:space="preserve">Le programme 4 visait également à faire mieux connaître la relation entre la propriété intellectuelle et les ressources génétiques, les savoirs traditionnels et les expressions culturelles traditionnelles et à renforcer les capacités à cet égard parmi les États, les peuples autochtones et les communautés locales ainsi que les autres parties prenantes. </w:t>
      </w:r>
      <w:r w:rsidR="0010442A" w:rsidRPr="005C7CCE">
        <w:t xml:space="preserve"> </w:t>
      </w:r>
      <w:r w:rsidRPr="005C7CCE">
        <w:t>Ces activités ont soutenu, sur demande, l</w:t>
      </w:r>
      <w:r w:rsidR="00A20444" w:rsidRPr="005C7CCE">
        <w:t>’</w:t>
      </w:r>
      <w:r w:rsidRPr="005C7CCE">
        <w:t>élaboration d</w:t>
      </w:r>
      <w:r w:rsidR="00A20444" w:rsidRPr="005C7CCE">
        <w:t>’</w:t>
      </w:r>
      <w:r w:rsidRPr="005C7CCE">
        <w:t xml:space="preserve">une législation et de règles nationales et régionales, ainsi que de solutions concrètes aux </w:t>
      </w:r>
      <w:r w:rsidRPr="00895C47">
        <w:t>niveaux régional, national et communautaire, et, par une meilleure compréhension des questions et des options, ces activités sont venues compléter les négociations de l</w:t>
      </w:r>
      <w:r w:rsidR="00A20444" w:rsidRPr="00895C47">
        <w:t>’</w:t>
      </w:r>
      <w:r w:rsidRPr="00895C47">
        <w:t>IGC sur le texte.</w:t>
      </w:r>
      <w:r w:rsidR="004F3E42" w:rsidRPr="00895C47">
        <w:t xml:space="preserve"> </w:t>
      </w:r>
      <w:r w:rsidR="0010442A" w:rsidRPr="00895C47">
        <w:t xml:space="preserve"> </w:t>
      </w:r>
      <w:r w:rsidRPr="00895C47">
        <w:t>En</w:t>
      </w:r>
      <w:r w:rsidR="0010442A" w:rsidRPr="00895C47">
        <w:t> </w:t>
      </w:r>
      <w:r w:rsidRPr="00895C47">
        <w:t>2012</w:t>
      </w:r>
      <w:r w:rsidR="002D6F2A" w:rsidRPr="00895C47">
        <w:rPr>
          <w:rFonts w:ascii="MS Gothic" w:hAnsi="MS Gothic"/>
        </w:rPr>
        <w:noBreakHyphen/>
      </w:r>
      <w:r w:rsidRPr="00895C47">
        <w:t>2013, le Secrétariat a pu répo</w:t>
      </w:r>
      <w:r w:rsidR="00807546" w:rsidRPr="00895C47">
        <w:t>ndre favorablement à environ 80 </w:t>
      </w:r>
      <w:r w:rsidRPr="00895C47">
        <w:t>demandes émises par des États membres,</w:t>
      </w:r>
      <w:r w:rsidR="00A20444" w:rsidRPr="00895C47">
        <w:t xml:space="preserve"> des ONG</w:t>
      </w:r>
      <w:r w:rsidRPr="00895C47">
        <w:t>, de peuples autochtones et des communautés locales, des associations industrielles et des universités en leur fournissant des informations et des présentations sur la propriété intellectuelle et les savoirs traditionnels, les expressions culturelles traditionnelles et les ressources génétiques, et ce, à Genève ou à l</w:t>
      </w:r>
      <w:r w:rsidR="00A20444" w:rsidRPr="00895C47">
        <w:t>’</w:t>
      </w:r>
      <w:r w:rsidRPr="00895C47">
        <w:t xml:space="preserve">étranger. </w:t>
      </w:r>
      <w:r w:rsidR="0010442A" w:rsidRPr="00895C47">
        <w:t xml:space="preserve"> </w:t>
      </w:r>
      <w:r w:rsidRPr="00895C47">
        <w:t>Le Secrétariat a organisé et/ou participé à, sur demande, un certain nombre de projets ou de manifestations d</w:t>
      </w:r>
      <w:r w:rsidR="00A20444" w:rsidRPr="00895C47">
        <w:t>’</w:t>
      </w:r>
      <w:r w:rsidRPr="00895C47">
        <w:t>envergure en matière de renforcement des capacités et d</w:t>
      </w:r>
      <w:r w:rsidR="00A20444" w:rsidRPr="00895C47">
        <w:t>’</w:t>
      </w:r>
      <w:r w:rsidRPr="00895C47">
        <w:t xml:space="preserve">assistance technique en Afrique, dans des pays arabes, en Asie, en Amérique latine, dans le Pacifique et dans les pays en transition. </w:t>
      </w:r>
      <w:r w:rsidR="0010442A" w:rsidRPr="00895C47">
        <w:t xml:space="preserve"> </w:t>
      </w:r>
      <w:r w:rsidRPr="00895C47">
        <w:t>Un certain nombre de pays et d</w:t>
      </w:r>
      <w:r w:rsidR="00A20444" w:rsidRPr="00895C47">
        <w:t>’</w:t>
      </w:r>
      <w:r w:rsidRPr="00895C47">
        <w:t xml:space="preserve">organisations régionales ont demandé et reçu une assistance en matière de législation et de politique. </w:t>
      </w:r>
      <w:r w:rsidR="0010442A" w:rsidRPr="00895C47">
        <w:t xml:space="preserve"> </w:t>
      </w:r>
      <w:r w:rsidRPr="00895C47">
        <w:t>L</w:t>
      </w:r>
      <w:r w:rsidR="00A20444" w:rsidRPr="00895C47">
        <w:t>’</w:t>
      </w:r>
      <w:r w:rsidRPr="00895C47">
        <w:t>OMPI a continué de contribuer en qualité de partenaire technique à des projets régionaux comme l</w:t>
      </w:r>
      <w:r w:rsidR="00A20444" w:rsidRPr="00895C47">
        <w:t>’</w:t>
      </w:r>
      <w:r w:rsidRPr="00895C47">
        <w:t>établissement d</w:t>
      </w:r>
      <w:r w:rsidR="00A20444" w:rsidRPr="00895C47">
        <w:t>’</w:t>
      </w:r>
      <w:r w:rsidRPr="00895C47">
        <w:t>un cadre régional sur les savoirs traditionnels, les expressions culturelles traditionnelles et les ressources génétiques pour les Caraïbes, le Plan d</w:t>
      </w:r>
      <w:r w:rsidR="00A20444" w:rsidRPr="00895C47">
        <w:t>’</w:t>
      </w:r>
      <w:r w:rsidRPr="00895C47">
        <w:t xml:space="preserve">action en faveur des savoirs traditionnels dans le Pacifique et un projet financé par le Programme des </w:t>
      </w:r>
      <w:r w:rsidR="00A20444" w:rsidRPr="00895C47">
        <w:t>Nations Unies</w:t>
      </w:r>
      <w:r w:rsidRPr="00895C47">
        <w:t xml:space="preserve"> pour l</w:t>
      </w:r>
      <w:r w:rsidR="00A20444" w:rsidRPr="00895C47">
        <w:t>’</w:t>
      </w:r>
      <w:r w:rsidRPr="00895C47">
        <w:t>environnement (PNUE) et par le Fonds pour l</w:t>
      </w:r>
      <w:r w:rsidR="00A20444" w:rsidRPr="00895C47">
        <w:t>’</w:t>
      </w:r>
      <w:r w:rsidRPr="00895C47">
        <w:t>environnement mondial (</w:t>
      </w:r>
      <w:proofErr w:type="spellStart"/>
      <w:r w:rsidRPr="00895C47">
        <w:t>FEP</w:t>
      </w:r>
      <w:proofErr w:type="spellEnd"/>
      <w:r w:rsidRPr="00895C47">
        <w:t>) dans quelques pays d</w:t>
      </w:r>
      <w:r w:rsidR="00A20444" w:rsidRPr="00895C47">
        <w:t>’</w:t>
      </w:r>
      <w:r w:rsidRPr="00895C47">
        <w:t>Amérique latine et des Caraïbes sur la mise en œuvre de l</w:t>
      </w:r>
      <w:r w:rsidR="00A20444" w:rsidRPr="00895C47">
        <w:t>’</w:t>
      </w:r>
      <w:r w:rsidRPr="00895C47">
        <w:t>accès aux ressources génétiques et au partage des avantages.</w:t>
      </w:r>
      <w:r w:rsidR="004F3E42" w:rsidRPr="00895C47">
        <w:t xml:space="preserve"> </w:t>
      </w:r>
      <w:r w:rsidR="0010442A" w:rsidRPr="00895C47">
        <w:t xml:space="preserve"> </w:t>
      </w:r>
      <w:r w:rsidRPr="00895C47">
        <w:t>L</w:t>
      </w:r>
      <w:r w:rsidR="00A20444" w:rsidRPr="00895C47">
        <w:t>’</w:t>
      </w:r>
      <w:r w:rsidRPr="00895C47">
        <w:t>OMPI a proposé une série de publications courtes et accessibles sur des sujets majeurs, et a publié un ensemble de projets de documents relatifs aux savoirs traditionnels, qui peut être consulté.</w:t>
      </w:r>
      <w:r w:rsidR="004F3E42" w:rsidRPr="00895C47">
        <w:t xml:space="preserve"> </w:t>
      </w:r>
      <w:r w:rsidR="0010442A" w:rsidRPr="00895C47">
        <w:t xml:space="preserve"> </w:t>
      </w:r>
      <w:r w:rsidRPr="00895C47">
        <w:t>Le site</w:t>
      </w:r>
      <w:r w:rsidR="0010442A" w:rsidRPr="00895C47">
        <w:t> </w:t>
      </w:r>
      <w:r w:rsidRPr="00895C47">
        <w:t>Web dédié aux savoirs traditionnels a également été remanié.</w:t>
      </w:r>
    </w:p>
    <w:p w:rsidR="00D42474" w:rsidRDefault="00D42474" w:rsidP="001A5BF9">
      <w:pPr>
        <w:pStyle w:val="Paragraphedeliste"/>
        <w:tabs>
          <w:tab w:val="left" w:pos="709"/>
        </w:tabs>
        <w:ind w:left="0"/>
        <w:jc w:val="both"/>
        <w:rPr>
          <w:rFonts w:cs="Arial"/>
        </w:rPr>
      </w:pPr>
    </w:p>
    <w:p w:rsidR="00D42474" w:rsidRDefault="00F40E87" w:rsidP="001A5BF9">
      <w:pPr>
        <w:pStyle w:val="Paragraphedeliste"/>
        <w:numPr>
          <w:ilvl w:val="0"/>
          <w:numId w:val="9"/>
        </w:numPr>
        <w:tabs>
          <w:tab w:val="left" w:pos="709"/>
        </w:tabs>
        <w:ind w:left="0" w:firstLine="0"/>
        <w:jc w:val="both"/>
        <w:rPr>
          <w:rFonts w:cs="Arial"/>
        </w:rPr>
      </w:pPr>
      <w:r w:rsidRPr="00895C47">
        <w:t>En ce qui concerne la coordination avec les activités menées dans d</w:t>
      </w:r>
      <w:r w:rsidR="00A20444" w:rsidRPr="00895C47">
        <w:t>’</w:t>
      </w:r>
      <w:r w:rsidRPr="00895C47">
        <w:t>autres instances, le Secrétariat de l</w:t>
      </w:r>
      <w:r w:rsidR="00A20444" w:rsidRPr="00895C47">
        <w:t>’</w:t>
      </w:r>
      <w:r w:rsidRPr="00895C47">
        <w:t>OMPI a participé en tant qu</w:t>
      </w:r>
      <w:r w:rsidR="00A20444" w:rsidRPr="00895C47">
        <w:t>’</w:t>
      </w:r>
      <w:r w:rsidRPr="00895C47">
        <w:t>observateur aux réunions concernant la Convention sur la diversité biologique (CDB), le Protocole de Nagoya sur l</w:t>
      </w:r>
      <w:r w:rsidR="00A20444" w:rsidRPr="00895C47">
        <w:t>’</w:t>
      </w:r>
      <w:r w:rsidRPr="00895C47">
        <w:t>accès aux ressources génétiques et le partage juste et équitable des avantages découlant de leur utilisation, et le Traité international sur les ressources phytogénétiques pour l</w:t>
      </w:r>
      <w:r w:rsidR="00A20444" w:rsidRPr="00895C47">
        <w:t>’</w:t>
      </w:r>
      <w:r w:rsidRPr="00895C47">
        <w:t>alimentation et pour l</w:t>
      </w:r>
      <w:r w:rsidR="00A20444" w:rsidRPr="00895C47">
        <w:t>’</w:t>
      </w:r>
      <w:r w:rsidRPr="00895C47">
        <w:t>agriculture (</w:t>
      </w:r>
      <w:proofErr w:type="spellStart"/>
      <w:r w:rsidRPr="00895C47">
        <w:t>ITPGRFA</w:t>
      </w:r>
      <w:proofErr w:type="spellEnd"/>
      <w:r w:rsidRPr="00895C47">
        <w:t>), adopté par la Conférence de</w:t>
      </w:r>
      <w:r w:rsidR="00A20444" w:rsidRPr="00895C47">
        <w:t xml:space="preserve"> la FAO</w:t>
      </w:r>
      <w:r w:rsidRPr="00895C47">
        <w:t>.</w:t>
      </w:r>
      <w:r w:rsidR="004F3E42" w:rsidRPr="00895C47">
        <w:t xml:space="preserve"> </w:t>
      </w:r>
      <w:r w:rsidR="0010442A" w:rsidRPr="00895C47">
        <w:t xml:space="preserve"> </w:t>
      </w:r>
      <w:r w:rsidRPr="00895C47">
        <w:t>Il a également pris part aux activités organisées par l</w:t>
      </w:r>
      <w:r w:rsidR="00A20444" w:rsidRPr="00895C47">
        <w:t>’</w:t>
      </w:r>
      <w:r w:rsidRPr="00895C47">
        <w:t>UNESCO, l</w:t>
      </w:r>
      <w:r w:rsidR="00A20444" w:rsidRPr="00895C47">
        <w:t>’</w:t>
      </w:r>
      <w:r w:rsidRPr="00895C47">
        <w:t>OMS et l</w:t>
      </w:r>
      <w:r w:rsidR="00A20444" w:rsidRPr="00895C47">
        <w:t>’</w:t>
      </w:r>
      <w:r w:rsidRPr="00895C47">
        <w:t>OMC et le Haut</w:t>
      </w:r>
      <w:r w:rsidR="002D6F2A" w:rsidRPr="00895C47">
        <w:noBreakHyphen/>
      </w:r>
      <w:r w:rsidRPr="00895C47">
        <w:t>Commissariat aux droits de l</w:t>
      </w:r>
      <w:r w:rsidR="00A20444" w:rsidRPr="00895C47">
        <w:t>’</w:t>
      </w:r>
      <w:r w:rsidRPr="00895C47">
        <w:t xml:space="preserve">homme. </w:t>
      </w:r>
      <w:r w:rsidR="0010442A" w:rsidRPr="00895C47">
        <w:t xml:space="preserve"> </w:t>
      </w:r>
      <w:r w:rsidRPr="00895C47">
        <w:t>Ces activités ont permis de renforcer la coordination et la complémentarité, conformément au mandat de l</w:t>
      </w:r>
      <w:r w:rsidR="00A20444" w:rsidRPr="00895C47">
        <w:t>’</w:t>
      </w:r>
      <w:r w:rsidRPr="00895C47">
        <w:t>IGC, qui stipule que les négociations de l</w:t>
      </w:r>
      <w:r w:rsidR="00A20444" w:rsidRPr="00895C47">
        <w:t>’</w:t>
      </w:r>
      <w:r w:rsidRPr="00895C47">
        <w:t>IGC ne doivent pas préjuger des travaux menés dans d</w:t>
      </w:r>
      <w:r w:rsidR="00A20444" w:rsidRPr="00895C47">
        <w:t>’</w:t>
      </w:r>
      <w:r w:rsidRPr="00895C47">
        <w:t>autres instances.</w:t>
      </w:r>
    </w:p>
    <w:p w:rsidR="00D42474" w:rsidRDefault="00D42474" w:rsidP="001A5BF9">
      <w:pPr>
        <w:pStyle w:val="Paragraphedeliste"/>
        <w:tabs>
          <w:tab w:val="left" w:pos="709"/>
        </w:tabs>
        <w:ind w:left="0"/>
        <w:jc w:val="both"/>
        <w:rPr>
          <w:rFonts w:cs="Arial"/>
          <w:bCs/>
          <w:szCs w:val="22"/>
        </w:rPr>
      </w:pPr>
    </w:p>
    <w:p w:rsidR="00D42474" w:rsidRDefault="00D42474" w:rsidP="001A5BF9">
      <w:pPr>
        <w:rPr>
          <w:rFonts w:cs="Arial"/>
          <w:bCs/>
          <w:szCs w:val="22"/>
        </w:rPr>
      </w:pPr>
    </w:p>
    <w:p w:rsidR="00D42474" w:rsidRDefault="00F40E87" w:rsidP="001A5BF9">
      <w:r w:rsidRPr="00761625">
        <w:rPr>
          <w:sz w:val="22"/>
        </w:rPr>
        <w:t>MISE EN ŒUVRE DU PLAN D</w:t>
      </w:r>
      <w:r w:rsidR="00A20444" w:rsidRPr="00761625">
        <w:rPr>
          <w:sz w:val="22"/>
        </w:rPr>
        <w:t>’</w:t>
      </w:r>
      <w:r w:rsidRPr="00761625">
        <w:rPr>
          <w:sz w:val="22"/>
        </w:rPr>
        <w:t>ACTION POUR LE DÉVELOPPEMENT</w:t>
      </w:r>
    </w:p>
    <w:p w:rsidR="00D42474" w:rsidRDefault="00D42474" w:rsidP="001A5BF9"/>
    <w:p w:rsidR="00D42474" w:rsidRDefault="00F40E87" w:rsidP="001A5BF9">
      <w:pPr>
        <w:pStyle w:val="Paragraphedeliste"/>
        <w:numPr>
          <w:ilvl w:val="0"/>
          <w:numId w:val="9"/>
        </w:numPr>
        <w:ind w:left="0" w:firstLine="0"/>
        <w:jc w:val="both"/>
        <w:rPr>
          <w:rFonts w:cs="Arial"/>
        </w:rPr>
      </w:pPr>
      <w:r w:rsidRPr="00895C47">
        <w:t>L</w:t>
      </w:r>
      <w:r w:rsidR="00A20444" w:rsidRPr="00895C47">
        <w:t>’</w:t>
      </w:r>
      <w:r w:rsidRPr="00895C47">
        <w:t>élaboration, la planification et la mise en œuvre des activités menées au titre de ce programme ont été guidées par les recommandations correspondantes du Plan d</w:t>
      </w:r>
      <w:r w:rsidR="00A20444" w:rsidRPr="00895C47">
        <w:t>’</w:t>
      </w:r>
      <w:r w:rsidRPr="00895C47">
        <w:t>action pour le développement.</w:t>
      </w:r>
      <w:r w:rsidR="004F3E42" w:rsidRPr="00895C47">
        <w:t xml:space="preserve"> </w:t>
      </w:r>
      <w:r w:rsidR="0010442A" w:rsidRPr="00895C47">
        <w:t xml:space="preserve"> </w:t>
      </w:r>
      <w:r w:rsidRPr="00895C47">
        <w:t>Les activités d</w:t>
      </w:r>
      <w:r w:rsidR="00A20444" w:rsidRPr="00895C47">
        <w:t>’</w:t>
      </w:r>
      <w:r w:rsidRPr="00895C47">
        <w:t>établissement de normes ont continué d</w:t>
      </w:r>
      <w:r w:rsidR="00A20444" w:rsidRPr="00895C47">
        <w:t>’</w:t>
      </w:r>
      <w:r w:rsidRPr="00895C47">
        <w:t>être effectuées dans le cadre de l</w:t>
      </w:r>
      <w:r w:rsidR="00A20444" w:rsidRPr="00895C47">
        <w:t>’</w:t>
      </w:r>
      <w:r w:rsidRPr="00895C47">
        <w:t>IGC de manière exhaustive et à l</w:t>
      </w:r>
      <w:r w:rsidR="00A20444" w:rsidRPr="00895C47">
        <w:t>’</w:t>
      </w:r>
      <w:r w:rsidRPr="00895C47">
        <w:t>initiative des membres (recommandation n° 15), compte dûment tenu des limites, du rôle et du cadre du “domaine public” (recommandations n</w:t>
      </w:r>
      <w:r w:rsidRPr="00895C47">
        <w:rPr>
          <w:vertAlign w:val="superscript"/>
        </w:rPr>
        <w:t>os</w:t>
      </w:r>
      <w:r w:rsidRPr="00895C47">
        <w:t> 16 et 20) et des éléments de flexibilité prévus dans les accords internationaux relatifs à la propriété intellectuelle (recommandation n° 17).</w:t>
      </w:r>
      <w:r w:rsidR="004F3E42" w:rsidRPr="00895C47">
        <w:t xml:space="preserve"> </w:t>
      </w:r>
      <w:r w:rsidR="0010442A" w:rsidRPr="00895C47">
        <w:t xml:space="preserve"> </w:t>
      </w:r>
      <w:r w:rsidRPr="00895C47">
        <w:t>Les négociations de l</w:t>
      </w:r>
      <w:r w:rsidR="00A20444" w:rsidRPr="00895C47">
        <w:t>’</w:t>
      </w:r>
      <w:r w:rsidRPr="00895C47">
        <w:t>IGC se sont fondées sur des consultations ouvertes et équilibrées (recommandations n</w:t>
      </w:r>
      <w:r w:rsidRPr="00895C47">
        <w:rPr>
          <w:vertAlign w:val="superscript"/>
        </w:rPr>
        <w:t>os</w:t>
      </w:r>
      <w:r w:rsidRPr="00895C47">
        <w:t xml:space="preserve"> 21 et 42), qui ont pris en considération les intérêts et les priorités de tous les États membres ainsi que les points de vue des autres parties prenantes, notamment les organisations intergouvernementales et non gouvernementales (ONG) accréditées (recommandation n° 42), tout en créant les conditions favorables à la réalisation des objectifs de développement des </w:t>
      </w:r>
      <w:r w:rsidR="00A20444" w:rsidRPr="00895C47">
        <w:t>Nations Unies</w:t>
      </w:r>
      <w:r w:rsidRPr="00895C47">
        <w:t xml:space="preserve"> (recommandation n° 22).</w:t>
      </w:r>
      <w:r w:rsidR="004F3E42" w:rsidRPr="00895C47">
        <w:t xml:space="preserve"> </w:t>
      </w:r>
      <w:r w:rsidR="0010442A" w:rsidRPr="00895C47">
        <w:t xml:space="preserve"> </w:t>
      </w:r>
      <w:r w:rsidRPr="00895C47">
        <w:t>La conclusion des négociations de l</w:t>
      </w:r>
      <w:r w:rsidR="00A20444" w:rsidRPr="00895C47">
        <w:t>’</w:t>
      </w:r>
      <w:r w:rsidRPr="00895C47">
        <w:t>IGC fait l</w:t>
      </w:r>
      <w:r w:rsidR="00A20444" w:rsidRPr="00895C47">
        <w:t>’</w:t>
      </w:r>
      <w:r w:rsidRPr="00895C47">
        <w:t>objet de la recommandation n°</w:t>
      </w:r>
      <w:r w:rsidR="0010442A" w:rsidRPr="00895C47">
        <w:t> </w:t>
      </w:r>
      <w:r w:rsidRPr="00895C47">
        <w:t>18 du Plan d</w:t>
      </w:r>
      <w:r w:rsidR="00A20444" w:rsidRPr="00895C47">
        <w:t>’</w:t>
      </w:r>
      <w:r w:rsidRPr="00895C47">
        <w:t>action pour le développement, qui “invite instamment le comité intergouvernemental à accélérer le processus concernant la protection des ressources génétiques, des savoirs traditionnels et du folklore, sans préjudice du résultat, y</w:t>
      </w:r>
      <w:r w:rsidR="0010442A" w:rsidRPr="00895C47">
        <w:t> </w:t>
      </w:r>
      <w:r w:rsidRPr="00895C47">
        <w:t>compris l</w:t>
      </w:r>
      <w:r w:rsidR="00A20444" w:rsidRPr="00895C47">
        <w:t>’</w:t>
      </w:r>
      <w:r w:rsidRPr="00895C47">
        <w:t>élaboration éventuelle d</w:t>
      </w:r>
      <w:r w:rsidR="00A20444" w:rsidRPr="00895C47">
        <w:t>’</w:t>
      </w:r>
      <w:r w:rsidRPr="00895C47">
        <w:t>un ou plusieurs instruments internationaux”.</w:t>
      </w:r>
      <w:r w:rsidR="0010442A" w:rsidRPr="00895C47">
        <w:t xml:space="preserve"> </w:t>
      </w:r>
      <w:r w:rsidR="004F3E42" w:rsidRPr="00895C47">
        <w:t xml:space="preserve"> </w:t>
      </w:r>
      <w:r w:rsidRPr="00895C47">
        <w:t>Les activités d</w:t>
      </w:r>
      <w:r w:rsidR="00A20444" w:rsidRPr="00895C47">
        <w:t>’</w:t>
      </w:r>
      <w:r w:rsidRPr="00895C47">
        <w:t>assistance technique, de renforcement des capacités et d</w:t>
      </w:r>
      <w:r w:rsidR="00A20444" w:rsidRPr="00895C47">
        <w:t>’</w:t>
      </w:r>
      <w:r w:rsidRPr="00895C47">
        <w:t>assistance législative ont été axées sur le développement, déterminées par la demande et ont fait l</w:t>
      </w:r>
      <w:r w:rsidR="00A20444" w:rsidRPr="00895C47">
        <w:t>’</w:t>
      </w:r>
      <w:r w:rsidRPr="00895C47">
        <w:t>objet de comptes rendus réguliers (recommandations n</w:t>
      </w:r>
      <w:r w:rsidRPr="00895C47">
        <w:rPr>
          <w:vertAlign w:val="superscript"/>
        </w:rPr>
        <w:t>os</w:t>
      </w:r>
      <w:r w:rsidRPr="00895C47">
        <w:t xml:space="preserve"> 1 et 13). </w:t>
      </w:r>
      <w:r w:rsidR="0010442A" w:rsidRPr="00895C47">
        <w:t xml:space="preserve"> </w:t>
      </w:r>
      <w:r w:rsidRPr="00895C47">
        <w:t>La protection des savoirs traditionnels, des expressions culturelles traditionnelles et des ressources génétiques contribue à la prise en considération du développement dans les activités de l</w:t>
      </w:r>
      <w:r w:rsidR="00A20444" w:rsidRPr="00895C47">
        <w:t>’</w:t>
      </w:r>
      <w:r w:rsidRPr="00895C47">
        <w:t>OMPI et à la compréhension et à l</w:t>
      </w:r>
      <w:r w:rsidR="00A20444" w:rsidRPr="00895C47">
        <w:t>’</w:t>
      </w:r>
      <w:r w:rsidRPr="00895C47">
        <w:t>utilisation des éléments de flexibilité (recommandations n</w:t>
      </w:r>
      <w:r w:rsidRPr="00895C47">
        <w:rPr>
          <w:vertAlign w:val="superscript"/>
        </w:rPr>
        <w:t>os</w:t>
      </w:r>
      <w:r w:rsidRPr="00895C47">
        <w:t> 12 et 14).</w:t>
      </w:r>
      <w:r w:rsidR="004F3E42" w:rsidRPr="00895C47">
        <w:t xml:space="preserve"> </w:t>
      </w:r>
      <w:r w:rsidR="0010442A" w:rsidRPr="00895C47">
        <w:t xml:space="preserve"> </w:t>
      </w:r>
      <w:r w:rsidRPr="00895C47">
        <w:t>S</w:t>
      </w:r>
      <w:r w:rsidR="00A20444" w:rsidRPr="00895C47">
        <w:t>’</w:t>
      </w:r>
      <w:r w:rsidRPr="00895C47">
        <w:t>agissant des questions de participation, de financement et d</w:t>
      </w:r>
      <w:r w:rsidR="00A20444" w:rsidRPr="00895C47">
        <w:t>’</w:t>
      </w:r>
      <w:r w:rsidRPr="00895C47">
        <w:t>autres questions institutionnelles, le mécanisme adopté par le comité intergouvernemental pour l</w:t>
      </w:r>
      <w:r w:rsidR="00A20444" w:rsidRPr="00895C47">
        <w:t>’</w:t>
      </w:r>
      <w:r w:rsidRPr="00895C47">
        <w:t>accréditation des ONG et le Fonds de contributions volontaires de l</w:t>
      </w:r>
      <w:r w:rsidR="00A20444" w:rsidRPr="00895C47">
        <w:t>’</w:t>
      </w:r>
      <w:r w:rsidRPr="00895C47">
        <w:t>OMPI pour les communautés autochtones et</w:t>
      </w:r>
      <w:r w:rsidR="00A7273C" w:rsidRPr="00895C47">
        <w:t> </w:t>
      </w:r>
      <w:r w:rsidRPr="00895C47">
        <w:t>locales accréditées a contribué à assurer une large participation de la société civile (recommandation</w:t>
      </w:r>
      <w:r w:rsidR="00A7273C" w:rsidRPr="00895C47">
        <w:t> </w:t>
      </w:r>
      <w:r w:rsidRPr="00895C47">
        <w:t>n° 42).</w:t>
      </w:r>
    </w:p>
    <w:p w:rsidR="00D42474" w:rsidRDefault="00D42474" w:rsidP="001A5BF9">
      <w:pPr>
        <w:jc w:val="both"/>
        <w:rPr>
          <w:rFonts w:cs="Arial"/>
          <w:szCs w:val="20"/>
        </w:rPr>
      </w:pPr>
    </w:p>
    <w:p w:rsidR="00D42474" w:rsidRDefault="00F40E87" w:rsidP="001A5BF9">
      <w:pPr>
        <w:pStyle w:val="Paragraphedeliste"/>
        <w:numPr>
          <w:ilvl w:val="0"/>
          <w:numId w:val="9"/>
        </w:numPr>
        <w:ind w:left="0" w:firstLine="0"/>
        <w:jc w:val="both"/>
      </w:pPr>
      <w:r w:rsidRPr="00895C47">
        <w:t>En septembre 2013, l</w:t>
      </w:r>
      <w:r w:rsidR="00A20444" w:rsidRPr="00895C47">
        <w:t>’</w:t>
      </w:r>
      <w:r w:rsidRPr="00895C47">
        <w:t>Assemblée générale a décidé de renouveler le mandat de l</w:t>
      </w:r>
      <w:r w:rsidR="00A20444" w:rsidRPr="00895C47">
        <w:t>’</w:t>
      </w:r>
      <w:r w:rsidRPr="00895C47">
        <w:t>IGC pour l</w:t>
      </w:r>
      <w:r w:rsidR="00A20444" w:rsidRPr="00895C47">
        <w:t>’</w:t>
      </w:r>
      <w:r w:rsidRPr="00895C47">
        <w:t>exercice biennal 2014</w:t>
      </w:r>
      <w:r w:rsidR="002D6F2A" w:rsidRPr="00895C47">
        <w:noBreakHyphen/>
      </w:r>
      <w:r w:rsidRPr="00895C47">
        <w:t>15.</w:t>
      </w:r>
      <w:r w:rsidR="004F3E42" w:rsidRPr="00895C47">
        <w:t xml:space="preserve"> </w:t>
      </w:r>
      <w:r w:rsidR="0010442A" w:rsidRPr="00895C47">
        <w:t xml:space="preserve"> </w:t>
      </w:r>
      <w:r w:rsidRPr="00895C47">
        <w:t>Le renouvellement de son mandat permettra à l</w:t>
      </w:r>
      <w:r w:rsidR="00A20444" w:rsidRPr="00895C47">
        <w:t>’</w:t>
      </w:r>
      <w:r w:rsidRPr="00895C47">
        <w:t>IGC : i) de continuer d</w:t>
      </w:r>
      <w:r w:rsidR="00A20444" w:rsidRPr="00895C47">
        <w:t>’</w:t>
      </w:r>
      <w:r w:rsidRPr="00895C47">
        <w:t>accélérer ses travaux, en s</w:t>
      </w:r>
      <w:r w:rsidR="00A20444" w:rsidRPr="00895C47">
        <w:t>’</w:t>
      </w:r>
      <w:r w:rsidRPr="00895C47">
        <w:t xml:space="preserve">engageant pleinement et de manière ouverte, en ce qui concerne les </w:t>
      </w:r>
      <w:r w:rsidRPr="005C7CCE">
        <w:t>négociations sur la base d</w:t>
      </w:r>
      <w:r w:rsidR="00A20444" w:rsidRPr="005C7CCE">
        <w:t>’</w:t>
      </w:r>
      <w:r w:rsidRPr="005C7CCE">
        <w:t>un texte en vue de parvenir à un accord sur le texte d</w:t>
      </w:r>
      <w:r w:rsidR="00A20444" w:rsidRPr="005C7CCE">
        <w:t>’</w:t>
      </w:r>
      <w:r w:rsidRPr="005C7CCE">
        <w:t>un ou de plusieurs instruments juridiques internationaux qui garantiront une protection efficace des ressources génétiques, des savoirs traditionnels et des expressions culturelles traditionnelles;</w:t>
      </w:r>
      <w:r w:rsidR="004F3E42" w:rsidRPr="005C7CCE">
        <w:t xml:space="preserve"> </w:t>
      </w:r>
      <w:r w:rsidR="0010442A" w:rsidRPr="005C7CCE">
        <w:t xml:space="preserve"> </w:t>
      </w:r>
      <w:r w:rsidRPr="005C7CCE">
        <w:t>ii) de suivre un programme de travail bien défini, fondé sur des méthodes de travail viables;</w:t>
      </w:r>
      <w:r w:rsidR="0010442A" w:rsidRPr="005C7CCE">
        <w:t xml:space="preserve"> </w:t>
      </w:r>
      <w:r w:rsidR="004F3E42" w:rsidRPr="005C7CCE">
        <w:t xml:space="preserve"> </w:t>
      </w:r>
      <w:r w:rsidRPr="005C7CCE">
        <w:t>iii) de s</w:t>
      </w:r>
      <w:r w:rsidR="00A20444" w:rsidRPr="005C7CCE">
        <w:t>’</w:t>
      </w:r>
      <w:r w:rsidRPr="005C7CCE">
        <w:t>appuyer sur les activités qu</w:t>
      </w:r>
      <w:r w:rsidR="00A20444" w:rsidRPr="005C7CCE">
        <w:t>’</w:t>
      </w:r>
      <w:r w:rsidRPr="005C7CCE">
        <w:t>il a déjà réalisées et d</w:t>
      </w:r>
      <w:r w:rsidR="00A20444" w:rsidRPr="005C7CCE">
        <w:t>’</w:t>
      </w:r>
      <w:r w:rsidRPr="005C7CCE">
        <w:t>utiliser comme base des négociations tous les documents de travail de l</w:t>
      </w:r>
      <w:r w:rsidR="00A20444" w:rsidRPr="005C7CCE">
        <w:t>’</w:t>
      </w:r>
      <w:r w:rsidRPr="005C7CCE">
        <w:t>OMPI, ainsi que toute autre contribution écrite des membres;</w:t>
      </w:r>
      <w:r w:rsidR="004F3E42" w:rsidRPr="005C7CCE">
        <w:t xml:space="preserve"> </w:t>
      </w:r>
      <w:r w:rsidR="0010442A" w:rsidRPr="005C7CCE">
        <w:t xml:space="preserve"> </w:t>
      </w:r>
      <w:r w:rsidRPr="005C7CCE">
        <w:t>et iv) de soumettre le texte d</w:t>
      </w:r>
      <w:r w:rsidR="00A20444" w:rsidRPr="005C7CCE">
        <w:t>’</w:t>
      </w:r>
      <w:r w:rsidRPr="005C7CCE">
        <w:t>un ou de plusieurs instruments juridiques internationaux à l</w:t>
      </w:r>
      <w:r w:rsidR="00A20444" w:rsidRPr="005C7CCE">
        <w:t>’</w:t>
      </w:r>
      <w:r w:rsidRPr="005C7CCE">
        <w:t>Assemblée générale, à sa session de 2014.</w:t>
      </w:r>
    </w:p>
    <w:p w:rsidR="00D42474" w:rsidRDefault="00A13E94" w:rsidP="001A5BF9">
      <w:pPr>
        <w:rPr>
          <w:rFonts w:cs="Arial"/>
          <w:szCs w:val="22"/>
        </w:rPr>
      </w:pPr>
      <w:r w:rsidRPr="005C7CCE">
        <w:rPr>
          <w:rFonts w:eastAsia="MS Mincho"/>
          <w:lang w:bidi="th-TH"/>
        </w:rPr>
        <w:br w:type="page"/>
      </w:r>
      <w:r w:rsidR="00F40E87" w:rsidRPr="00895C47">
        <w:rPr>
          <w:sz w:val="22"/>
        </w:rPr>
        <w:t>DONNÉES RELATIVES À L</w:t>
      </w:r>
      <w:r w:rsidR="00A20444" w:rsidRPr="00895C47">
        <w:rPr>
          <w:sz w:val="22"/>
        </w:rPr>
        <w:t>’</w:t>
      </w:r>
      <w:r w:rsidR="00F40E87" w:rsidRPr="00895C47">
        <w:rPr>
          <w:sz w:val="22"/>
        </w:rPr>
        <w:t>EXÉCUTION</w:t>
      </w:r>
    </w:p>
    <w:p w:rsidR="00F40E87" w:rsidRPr="00895C47" w:rsidRDefault="00F40E87" w:rsidP="001A5BF9"/>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316"/>
        <w:gridCol w:w="1452"/>
        <w:gridCol w:w="958"/>
        <w:gridCol w:w="575"/>
        <w:gridCol w:w="986"/>
        <w:gridCol w:w="2132"/>
        <w:gridCol w:w="150"/>
        <w:gridCol w:w="1125"/>
      </w:tblGrid>
      <w:tr w:rsidR="00F40E87" w:rsidRPr="00895C47" w:rsidTr="00BB3F3E">
        <w:trPr>
          <w:cantSplit/>
        </w:trPr>
        <w:tc>
          <w:tcPr>
            <w:tcW w:w="5000" w:type="pct"/>
            <w:gridSpan w:val="9"/>
            <w:tcBorders>
              <w:top w:val="single" w:sz="4" w:space="0" w:color="auto"/>
              <w:bottom w:val="nil"/>
            </w:tcBorders>
            <w:shd w:val="clear" w:color="auto" w:fill="CCFFFF"/>
            <w:vAlign w:val="center"/>
          </w:tcPr>
          <w:p w:rsidR="00F40E87" w:rsidRPr="00895C47" w:rsidRDefault="00F40E87" w:rsidP="00895C47">
            <w:pPr>
              <w:keepNext/>
              <w:keepLines/>
              <w:spacing w:before="120" w:after="120"/>
              <w:ind w:left="1735" w:hanging="1735"/>
              <w:rPr>
                <w:rFonts w:cs="Arial"/>
                <w:b/>
                <w:bCs/>
                <w:sz w:val="16"/>
                <w:szCs w:val="16"/>
              </w:rPr>
            </w:pPr>
            <w:r w:rsidRPr="00895C47">
              <w:rPr>
                <w:b/>
                <w:sz w:val="16"/>
              </w:rPr>
              <w:t>Résultat escompté</w:t>
            </w:r>
            <w:r w:rsidR="0010442A" w:rsidRPr="00895C47">
              <w:rPr>
                <w:b/>
                <w:sz w:val="16"/>
              </w:rPr>
              <w:t> </w:t>
            </w:r>
            <w:r w:rsidRPr="00895C47">
              <w:rPr>
                <w:b/>
                <w:sz w:val="16"/>
              </w:rPr>
              <w:t xml:space="preserve">: </w:t>
            </w:r>
            <w:r w:rsidRPr="00895C47">
              <w:rPr>
                <w:sz w:val="16"/>
              </w:rPr>
              <w:tab/>
              <w:t>Coopération et consensus renforcés entre les États membres en ce qui concerne l</w:t>
            </w:r>
            <w:r w:rsidR="00A20444" w:rsidRPr="00895C47">
              <w:rPr>
                <w:sz w:val="16"/>
              </w:rPr>
              <w:t>’</w:t>
            </w:r>
            <w:r w:rsidRPr="00895C47">
              <w:rPr>
                <w:sz w:val="16"/>
              </w:rPr>
              <w:t>élaboration des cadres politiques et normatifs équilibrés pour le système international des brevets, les marques, les dessins et modèles industriels, les indications géographiques, le droit d</w:t>
            </w:r>
            <w:r w:rsidR="00A20444" w:rsidRPr="00895C47">
              <w:rPr>
                <w:sz w:val="16"/>
              </w:rPr>
              <w:t>’</w:t>
            </w:r>
            <w:r w:rsidRPr="00895C47">
              <w:rPr>
                <w:sz w:val="16"/>
              </w:rPr>
              <w:t>auteur et les droits connexes, les savoirs traditionnels, les expressions culturelles traditionnelles et les ressources génétiques</w:t>
            </w:r>
          </w:p>
        </w:tc>
      </w:tr>
      <w:tr w:rsidR="00F40E87" w:rsidRPr="00895C47" w:rsidTr="00A7273C">
        <w:trPr>
          <w:cantSplit/>
        </w:trPr>
        <w:tc>
          <w:tcPr>
            <w:tcW w:w="1058" w:type="pct"/>
            <w:gridSpan w:val="2"/>
            <w:tcBorders>
              <w:top w:val="single" w:sz="4" w:space="0" w:color="auto"/>
              <w:bottom w:val="nil"/>
            </w:tcBorders>
            <w:vAlign w:val="center"/>
          </w:tcPr>
          <w:p w:rsidR="00F40E87" w:rsidRPr="00895C47" w:rsidRDefault="00F40E87" w:rsidP="001A5BF9">
            <w:pPr>
              <w:rPr>
                <w:rFonts w:cs="Arial"/>
                <w:b/>
                <w:sz w:val="16"/>
                <w:szCs w:val="16"/>
              </w:rPr>
            </w:pPr>
            <w:r w:rsidRPr="00895C47">
              <w:rPr>
                <w:b/>
                <w:sz w:val="16"/>
              </w:rPr>
              <w:t>Indicateurs d</w:t>
            </w:r>
            <w:r w:rsidR="00A20444" w:rsidRPr="00895C47">
              <w:rPr>
                <w:b/>
                <w:sz w:val="16"/>
              </w:rPr>
              <w:t>’</w:t>
            </w:r>
            <w:r w:rsidRPr="00895C47">
              <w:rPr>
                <w:b/>
                <w:sz w:val="16"/>
              </w:rPr>
              <w:t>exécution</w:t>
            </w:r>
          </w:p>
        </w:tc>
        <w:tc>
          <w:tcPr>
            <w:tcW w:w="1288" w:type="pct"/>
            <w:gridSpan w:val="2"/>
            <w:tcBorders>
              <w:top w:val="single" w:sz="4" w:space="0" w:color="auto"/>
              <w:bottom w:val="nil"/>
            </w:tcBorders>
            <w:shd w:val="clear" w:color="auto" w:fill="auto"/>
            <w:vAlign w:val="center"/>
          </w:tcPr>
          <w:p w:rsidR="00F40E87" w:rsidRPr="00895C47" w:rsidRDefault="00F40E87" w:rsidP="001A5BF9">
            <w:pPr>
              <w:rPr>
                <w:rFonts w:cs="Arial"/>
                <w:b/>
                <w:bCs/>
                <w:sz w:val="16"/>
                <w:szCs w:val="16"/>
              </w:rPr>
            </w:pPr>
            <w:r w:rsidRPr="00895C47">
              <w:rPr>
                <w:b/>
                <w:sz w:val="16"/>
              </w:rPr>
              <w:t>Niveaux de référence</w:t>
            </w:r>
          </w:p>
        </w:tc>
        <w:tc>
          <w:tcPr>
            <w:tcW w:w="834" w:type="pct"/>
            <w:gridSpan w:val="2"/>
            <w:tcBorders>
              <w:top w:val="single" w:sz="4" w:space="0" w:color="auto"/>
              <w:bottom w:val="nil"/>
            </w:tcBorders>
            <w:tcMar>
              <w:top w:w="110" w:type="dxa"/>
            </w:tcMar>
            <w:vAlign w:val="center"/>
          </w:tcPr>
          <w:p w:rsidR="00F40E87" w:rsidRPr="00895C47" w:rsidRDefault="00F40E87" w:rsidP="001A5BF9">
            <w:pPr>
              <w:rPr>
                <w:rFonts w:cs="Arial"/>
                <w:b/>
                <w:sz w:val="16"/>
                <w:szCs w:val="16"/>
              </w:rPr>
            </w:pPr>
            <w:r w:rsidRPr="00895C47">
              <w:rPr>
                <w:b/>
                <w:sz w:val="16"/>
              </w:rPr>
              <w:t>Objectifs visés</w:t>
            </w:r>
          </w:p>
        </w:tc>
        <w:tc>
          <w:tcPr>
            <w:tcW w:w="1139" w:type="pct"/>
            <w:tcBorders>
              <w:top w:val="single" w:sz="4" w:space="0" w:color="auto"/>
              <w:bottom w:val="nil"/>
            </w:tcBorders>
            <w:shd w:val="clear" w:color="auto" w:fill="FFFFFF"/>
            <w:tcMar>
              <w:top w:w="110" w:type="dxa"/>
            </w:tcMar>
            <w:vAlign w:val="center"/>
          </w:tcPr>
          <w:p w:rsidR="00F40E87" w:rsidRPr="00895C47" w:rsidRDefault="00F40E87" w:rsidP="001A5BF9">
            <w:pPr>
              <w:rPr>
                <w:rFonts w:cs="Arial"/>
                <w:b/>
                <w:sz w:val="16"/>
                <w:szCs w:val="16"/>
              </w:rPr>
            </w:pPr>
            <w:r w:rsidRPr="00895C47">
              <w:rPr>
                <w:b/>
                <w:sz w:val="16"/>
              </w:rPr>
              <w:t>Données relatives à l</w:t>
            </w:r>
            <w:r w:rsidR="00A20444" w:rsidRPr="00895C47">
              <w:rPr>
                <w:b/>
                <w:sz w:val="16"/>
              </w:rPr>
              <w:t>’</w:t>
            </w:r>
            <w:r w:rsidRPr="00895C47">
              <w:rPr>
                <w:b/>
                <w:sz w:val="16"/>
              </w:rPr>
              <w:t>exécution</w:t>
            </w:r>
          </w:p>
        </w:tc>
        <w:tc>
          <w:tcPr>
            <w:tcW w:w="681" w:type="pct"/>
            <w:gridSpan w:val="2"/>
            <w:tcBorders>
              <w:top w:val="single" w:sz="4" w:space="0" w:color="auto"/>
              <w:bottom w:val="nil"/>
            </w:tcBorders>
            <w:tcMar>
              <w:top w:w="110" w:type="dxa"/>
            </w:tcMar>
            <w:vAlign w:val="center"/>
          </w:tcPr>
          <w:p w:rsidR="00F40E87" w:rsidRPr="00895C47" w:rsidRDefault="00F40E87" w:rsidP="001A5BF9">
            <w:pPr>
              <w:keepNext/>
              <w:keepLines/>
              <w:jc w:val="center"/>
              <w:rPr>
                <w:rFonts w:cs="Arial"/>
                <w:b/>
                <w:bCs/>
                <w:sz w:val="16"/>
                <w:szCs w:val="16"/>
              </w:rPr>
            </w:pPr>
            <w:r w:rsidRPr="00895C47">
              <w:rPr>
                <w:b/>
                <w:sz w:val="16"/>
              </w:rPr>
              <w:t>Code de couleurs</w:t>
            </w:r>
          </w:p>
        </w:tc>
      </w:tr>
      <w:tr w:rsidR="00F40E87" w:rsidRPr="005C7CCE" w:rsidTr="00A7273C">
        <w:trPr>
          <w:cantSplit/>
        </w:trPr>
        <w:tc>
          <w:tcPr>
            <w:tcW w:w="1058" w:type="pct"/>
            <w:gridSpan w:val="2"/>
            <w:tcBorders>
              <w:top w:val="nil"/>
              <w:bottom w:val="single" w:sz="4" w:space="0" w:color="auto"/>
            </w:tcBorders>
          </w:tcPr>
          <w:p w:rsidR="00F40E87" w:rsidRPr="005C7CCE" w:rsidRDefault="00F40E87" w:rsidP="001A5BF9">
            <w:pPr>
              <w:rPr>
                <w:rFonts w:cs="Arial"/>
                <w:sz w:val="16"/>
                <w:szCs w:val="16"/>
              </w:rPr>
            </w:pPr>
            <w:r w:rsidRPr="00895C47">
              <w:rPr>
                <w:sz w:val="16"/>
              </w:rPr>
              <w:t>Avancement des négociations au sein de l</w:t>
            </w:r>
            <w:r w:rsidR="00A20444" w:rsidRPr="00895C47">
              <w:rPr>
                <w:sz w:val="16"/>
              </w:rPr>
              <w:t>’</w:t>
            </w:r>
            <w:r w:rsidRPr="00895C47">
              <w:rPr>
                <w:sz w:val="16"/>
              </w:rPr>
              <w:t>IGC en vue de l</w:t>
            </w:r>
            <w:r w:rsidR="00A20444" w:rsidRPr="00895C47">
              <w:rPr>
                <w:sz w:val="16"/>
              </w:rPr>
              <w:t>’</w:t>
            </w:r>
            <w:r w:rsidRPr="00895C47">
              <w:rPr>
                <w:sz w:val="16"/>
              </w:rPr>
              <w:t>élaboration d</w:t>
            </w:r>
            <w:r w:rsidR="00A20444" w:rsidRPr="00895C47">
              <w:rPr>
                <w:sz w:val="16"/>
              </w:rPr>
              <w:t>’</w:t>
            </w:r>
            <w:r w:rsidRPr="00895C47">
              <w:rPr>
                <w:sz w:val="16"/>
              </w:rPr>
              <w:t>un ou plusieurs instruments juridiques internationaux</w:t>
            </w:r>
          </w:p>
        </w:tc>
        <w:tc>
          <w:tcPr>
            <w:tcW w:w="1288" w:type="pct"/>
            <w:gridSpan w:val="2"/>
            <w:tcBorders>
              <w:top w:val="nil"/>
              <w:bottom w:val="single" w:sz="4" w:space="0" w:color="auto"/>
            </w:tcBorders>
            <w:shd w:val="clear" w:color="auto" w:fill="auto"/>
          </w:tcPr>
          <w:p w:rsidR="00D42474" w:rsidRDefault="00F40E87" w:rsidP="001A5BF9">
            <w:pPr>
              <w:rPr>
                <w:rFonts w:cs="Arial"/>
                <w:color w:val="002060"/>
                <w:sz w:val="16"/>
                <w:szCs w:val="16"/>
              </w:rPr>
            </w:pPr>
            <w:r w:rsidRPr="00895C47">
              <w:rPr>
                <w:rFonts w:cs="Arial"/>
                <w:i/>
                <w:color w:val="002060"/>
                <w:sz w:val="16"/>
                <w:szCs w:val="16"/>
              </w:rPr>
              <w:t xml:space="preserve">Niveau de référence actualisé fin 2011 : </w:t>
            </w:r>
            <w:r w:rsidR="00895C47">
              <w:rPr>
                <w:rFonts w:cs="Arial"/>
                <w:color w:val="002060"/>
                <w:sz w:val="16"/>
                <w:szCs w:val="16"/>
              </w:rPr>
              <w:t>l</w:t>
            </w:r>
            <w:r w:rsidRPr="00895C47">
              <w:rPr>
                <w:rFonts w:cs="Arial"/>
                <w:color w:val="002060"/>
                <w:sz w:val="16"/>
                <w:szCs w:val="16"/>
              </w:rPr>
              <w:t>e programme et budget 2012</w:t>
            </w:r>
            <w:r w:rsidR="002D6F2A" w:rsidRPr="00895C47">
              <w:rPr>
                <w:rFonts w:cs="Arial"/>
                <w:color w:val="002060"/>
                <w:sz w:val="16"/>
                <w:szCs w:val="16"/>
              </w:rPr>
              <w:noBreakHyphen/>
            </w:r>
            <w:r w:rsidRPr="00895C47">
              <w:rPr>
                <w:rFonts w:cs="Arial"/>
                <w:color w:val="002060"/>
                <w:sz w:val="16"/>
                <w:szCs w:val="16"/>
              </w:rPr>
              <w:t>2013, complété par le mandat de l</w:t>
            </w:r>
            <w:r w:rsidR="00A20444" w:rsidRPr="00895C47">
              <w:rPr>
                <w:rFonts w:cs="Arial"/>
                <w:color w:val="002060"/>
                <w:sz w:val="16"/>
                <w:szCs w:val="16"/>
              </w:rPr>
              <w:t>’</w:t>
            </w:r>
            <w:r w:rsidRPr="00895C47">
              <w:rPr>
                <w:rFonts w:cs="Arial"/>
                <w:color w:val="002060"/>
                <w:sz w:val="16"/>
                <w:szCs w:val="16"/>
              </w:rPr>
              <w:t>IGC pour</w:t>
            </w:r>
            <w:r w:rsidR="0010442A" w:rsidRPr="00895C47">
              <w:rPr>
                <w:rFonts w:cs="Arial"/>
                <w:color w:val="002060"/>
                <w:sz w:val="16"/>
                <w:szCs w:val="16"/>
              </w:rPr>
              <w:t> </w:t>
            </w:r>
            <w:r w:rsidRPr="00895C47">
              <w:rPr>
                <w:rFonts w:cs="Arial"/>
                <w:color w:val="002060"/>
                <w:sz w:val="16"/>
                <w:szCs w:val="16"/>
              </w:rPr>
              <w:t>2012</w:t>
            </w:r>
            <w:r w:rsidR="002D6F2A" w:rsidRPr="00895C47">
              <w:rPr>
                <w:rFonts w:cs="Arial"/>
                <w:color w:val="002060"/>
                <w:sz w:val="16"/>
                <w:szCs w:val="16"/>
              </w:rPr>
              <w:noBreakHyphen/>
            </w:r>
            <w:r w:rsidRPr="00895C47">
              <w:rPr>
                <w:rFonts w:cs="Arial"/>
                <w:color w:val="002060"/>
                <w:sz w:val="16"/>
                <w:szCs w:val="16"/>
              </w:rPr>
              <w:t>2013 tel que défini par l</w:t>
            </w:r>
            <w:r w:rsidR="00A20444" w:rsidRPr="00895C47">
              <w:rPr>
                <w:rFonts w:cs="Arial"/>
                <w:color w:val="002060"/>
                <w:sz w:val="16"/>
                <w:szCs w:val="16"/>
              </w:rPr>
              <w:t>’</w:t>
            </w:r>
            <w:r w:rsidRPr="00895C47">
              <w:rPr>
                <w:rFonts w:cs="Arial"/>
                <w:color w:val="002060"/>
                <w:sz w:val="16"/>
                <w:szCs w:val="16"/>
              </w:rPr>
              <w:t>Assemblée générale de l</w:t>
            </w:r>
            <w:r w:rsidR="00A20444" w:rsidRPr="00895C47">
              <w:rPr>
                <w:rFonts w:cs="Arial"/>
                <w:color w:val="002060"/>
                <w:sz w:val="16"/>
                <w:szCs w:val="16"/>
              </w:rPr>
              <w:t>’</w:t>
            </w:r>
            <w:r w:rsidRPr="00895C47">
              <w:rPr>
                <w:rFonts w:cs="Arial"/>
                <w:color w:val="002060"/>
                <w:sz w:val="16"/>
                <w:szCs w:val="16"/>
              </w:rPr>
              <w:t xml:space="preserve">OMPI en </w:t>
            </w:r>
            <w:r w:rsidR="00A20444" w:rsidRPr="00895C47">
              <w:rPr>
                <w:rFonts w:cs="Arial"/>
                <w:color w:val="002060"/>
                <w:sz w:val="16"/>
                <w:szCs w:val="16"/>
              </w:rPr>
              <w:t>octobre 20</w:t>
            </w:r>
            <w:r w:rsidRPr="00895C47">
              <w:rPr>
                <w:rFonts w:cs="Arial"/>
                <w:color w:val="002060"/>
                <w:sz w:val="16"/>
                <w:szCs w:val="16"/>
              </w:rPr>
              <w:t>11, et le programme de travail de</w:t>
            </w:r>
            <w:r w:rsidR="0010442A" w:rsidRPr="00895C47">
              <w:rPr>
                <w:rFonts w:cs="Arial"/>
                <w:color w:val="002060"/>
                <w:sz w:val="16"/>
                <w:szCs w:val="16"/>
              </w:rPr>
              <w:t> </w:t>
            </w:r>
            <w:r w:rsidRPr="00895C47">
              <w:rPr>
                <w:rFonts w:cs="Arial"/>
                <w:color w:val="002060"/>
                <w:sz w:val="16"/>
                <w:szCs w:val="16"/>
              </w:rPr>
              <w:t>2013 de l</w:t>
            </w:r>
            <w:r w:rsidR="00A20444" w:rsidRPr="00895C47">
              <w:rPr>
                <w:rFonts w:cs="Arial"/>
                <w:color w:val="002060"/>
                <w:sz w:val="16"/>
                <w:szCs w:val="16"/>
              </w:rPr>
              <w:t>’</w:t>
            </w:r>
            <w:r w:rsidRPr="00895C47">
              <w:rPr>
                <w:rFonts w:cs="Arial"/>
                <w:color w:val="002060"/>
                <w:sz w:val="16"/>
                <w:szCs w:val="16"/>
              </w:rPr>
              <w:t>IGC déterminé par l</w:t>
            </w:r>
            <w:r w:rsidR="00A20444" w:rsidRPr="00895C47">
              <w:rPr>
                <w:rFonts w:cs="Arial"/>
                <w:color w:val="002060"/>
                <w:sz w:val="16"/>
                <w:szCs w:val="16"/>
              </w:rPr>
              <w:t>’</w:t>
            </w:r>
            <w:r w:rsidRPr="00895C47">
              <w:rPr>
                <w:rFonts w:cs="Arial"/>
                <w:color w:val="002060"/>
                <w:sz w:val="16"/>
                <w:szCs w:val="16"/>
              </w:rPr>
              <w:t>Assemblée générale de l</w:t>
            </w:r>
            <w:r w:rsidR="00A20444" w:rsidRPr="00895C47">
              <w:rPr>
                <w:rFonts w:cs="Arial"/>
                <w:color w:val="002060"/>
                <w:sz w:val="16"/>
                <w:szCs w:val="16"/>
              </w:rPr>
              <w:t>’</w:t>
            </w:r>
            <w:r w:rsidRPr="00895C47">
              <w:rPr>
                <w:rFonts w:cs="Arial"/>
                <w:color w:val="002060"/>
                <w:sz w:val="16"/>
                <w:szCs w:val="16"/>
              </w:rPr>
              <w:t xml:space="preserve">OMPI en </w:t>
            </w:r>
            <w:r w:rsidR="00A20444" w:rsidRPr="00895C47">
              <w:rPr>
                <w:rFonts w:cs="Arial"/>
                <w:color w:val="002060"/>
                <w:sz w:val="16"/>
                <w:szCs w:val="16"/>
              </w:rPr>
              <w:t>septembre 20</w:t>
            </w:r>
            <w:r w:rsidRPr="00895C47">
              <w:rPr>
                <w:rFonts w:cs="Arial"/>
                <w:color w:val="002060"/>
                <w:sz w:val="16"/>
                <w:szCs w:val="16"/>
              </w:rPr>
              <w:t>12.</w:t>
            </w:r>
          </w:p>
          <w:p w:rsidR="00D42474" w:rsidRDefault="00D42474" w:rsidP="001A5BF9">
            <w:pPr>
              <w:rPr>
                <w:rFonts w:cs="Arial"/>
                <w:i/>
                <w:color w:val="002060"/>
                <w:sz w:val="8"/>
                <w:szCs w:val="8"/>
              </w:rPr>
            </w:pPr>
          </w:p>
          <w:p w:rsidR="00D42474" w:rsidRDefault="00F40E87" w:rsidP="001A5BF9">
            <w:pPr>
              <w:rPr>
                <w:rFonts w:cs="Arial"/>
                <w:sz w:val="16"/>
                <w:szCs w:val="16"/>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2013 :</w:t>
            </w:r>
          </w:p>
          <w:p w:rsidR="00F40E87" w:rsidRPr="005C7CCE" w:rsidRDefault="00895C47" w:rsidP="001A5BF9">
            <w:pPr>
              <w:rPr>
                <w:rFonts w:cs="Arial"/>
                <w:color w:val="008000"/>
                <w:sz w:val="16"/>
                <w:szCs w:val="16"/>
              </w:rPr>
            </w:pPr>
            <w:r>
              <w:rPr>
                <w:sz w:val="16"/>
              </w:rPr>
              <w:t>n</w:t>
            </w:r>
            <w:r w:rsidR="00F40E87" w:rsidRPr="00895C47">
              <w:rPr>
                <w:sz w:val="16"/>
              </w:rPr>
              <w:t>égociations en cours dans le cadre de la mission de l</w:t>
            </w:r>
            <w:r w:rsidR="00A20444" w:rsidRPr="00895C47">
              <w:rPr>
                <w:sz w:val="16"/>
              </w:rPr>
              <w:t>’</w:t>
            </w:r>
            <w:r w:rsidR="00F40E87" w:rsidRPr="00895C47">
              <w:rPr>
                <w:sz w:val="16"/>
              </w:rPr>
              <w:t>IGC pour</w:t>
            </w:r>
            <w:r w:rsidR="0010442A" w:rsidRPr="00895C47">
              <w:rPr>
                <w:sz w:val="16"/>
              </w:rPr>
              <w:t> </w:t>
            </w:r>
            <w:r w:rsidR="00F40E87" w:rsidRPr="00895C47">
              <w:rPr>
                <w:sz w:val="16"/>
              </w:rPr>
              <w:t>2010</w:t>
            </w:r>
            <w:r w:rsidR="002D6F2A" w:rsidRPr="00895C47">
              <w:rPr>
                <w:sz w:val="16"/>
              </w:rPr>
              <w:noBreakHyphen/>
            </w:r>
            <w:r w:rsidR="00F40E87" w:rsidRPr="00895C47">
              <w:rPr>
                <w:sz w:val="16"/>
              </w:rPr>
              <w:t>2011</w:t>
            </w:r>
          </w:p>
        </w:tc>
        <w:tc>
          <w:tcPr>
            <w:tcW w:w="834" w:type="pct"/>
            <w:gridSpan w:val="2"/>
            <w:tcBorders>
              <w:top w:val="nil"/>
              <w:bottom w:val="single" w:sz="4" w:space="0" w:color="auto"/>
            </w:tcBorders>
            <w:tcMar>
              <w:top w:w="110" w:type="dxa"/>
            </w:tcMar>
          </w:tcPr>
          <w:p w:rsidR="00F40E87" w:rsidRPr="005C7CCE" w:rsidRDefault="00F40E87" w:rsidP="001A5BF9">
            <w:pPr>
              <w:autoSpaceDE w:val="0"/>
              <w:autoSpaceDN w:val="0"/>
              <w:adjustRightInd w:val="0"/>
              <w:rPr>
                <w:rFonts w:cs="Arial"/>
                <w:sz w:val="16"/>
                <w:szCs w:val="16"/>
              </w:rPr>
            </w:pPr>
            <w:r w:rsidRPr="00895C47">
              <w:rPr>
                <w:sz w:val="16"/>
              </w:rPr>
              <w:t>Adoption d</w:t>
            </w:r>
            <w:r w:rsidR="00A20444" w:rsidRPr="00895C47">
              <w:rPr>
                <w:sz w:val="16"/>
              </w:rPr>
              <w:t>’</w:t>
            </w:r>
            <w:r w:rsidRPr="00895C47">
              <w:rPr>
                <w:sz w:val="16"/>
              </w:rPr>
              <w:t>un ou plusieurs instruments juridiques internationaux</w:t>
            </w:r>
          </w:p>
        </w:tc>
        <w:tc>
          <w:tcPr>
            <w:tcW w:w="1139" w:type="pct"/>
            <w:tcBorders>
              <w:top w:val="nil"/>
              <w:bottom w:val="single" w:sz="4" w:space="0" w:color="auto"/>
            </w:tcBorders>
            <w:shd w:val="clear" w:color="auto" w:fill="FFFFFF"/>
            <w:tcMar>
              <w:top w:w="110" w:type="dxa"/>
            </w:tcMar>
          </w:tcPr>
          <w:p w:rsidR="00F40E87" w:rsidRPr="005C7CCE" w:rsidRDefault="00F40E87" w:rsidP="001A5BF9">
            <w:pPr>
              <w:rPr>
                <w:rFonts w:cs="Arial"/>
                <w:sz w:val="16"/>
                <w:szCs w:val="16"/>
              </w:rPr>
            </w:pPr>
            <w:r w:rsidRPr="005C7CCE">
              <w:rPr>
                <w:sz w:val="16"/>
              </w:rPr>
              <w:t>Les négociations ont constamment progressé.</w:t>
            </w:r>
          </w:p>
        </w:tc>
        <w:tc>
          <w:tcPr>
            <w:tcW w:w="681" w:type="pct"/>
            <w:gridSpan w:val="2"/>
            <w:tcBorders>
              <w:top w:val="nil"/>
              <w:bottom w:val="single" w:sz="4" w:space="0" w:color="auto"/>
            </w:tcBorders>
            <w:tcMar>
              <w:top w:w="110" w:type="dxa"/>
            </w:tcMar>
          </w:tcPr>
          <w:p w:rsidR="00F40E87" w:rsidRPr="005C7CCE" w:rsidRDefault="0015421B" w:rsidP="001A5BF9">
            <w:pPr>
              <w:keepNext/>
              <w:keepLines/>
              <w:jc w:val="center"/>
              <w:rPr>
                <w:rFonts w:cs="Arial"/>
                <w:bCs/>
                <w:color w:val="808080"/>
                <w:sz w:val="16"/>
                <w:szCs w:val="16"/>
              </w:rPr>
            </w:pPr>
            <w:r w:rsidRPr="0015421B">
              <w:rPr>
                <w:color w:val="E36C0A"/>
                <w:sz w:val="16"/>
              </w:rPr>
              <w:t>Objectif partiellement atteint</w:t>
            </w:r>
          </w:p>
        </w:tc>
      </w:tr>
      <w:tr w:rsidR="00F40E87" w:rsidRPr="00895C47" w:rsidTr="00BB3F3E">
        <w:trPr>
          <w:cantSplit/>
        </w:trPr>
        <w:tc>
          <w:tcPr>
            <w:tcW w:w="5000" w:type="pct"/>
            <w:gridSpan w:val="9"/>
            <w:tcBorders>
              <w:top w:val="single" w:sz="4" w:space="0" w:color="auto"/>
              <w:bottom w:val="single" w:sz="4" w:space="0" w:color="auto"/>
            </w:tcBorders>
            <w:shd w:val="clear" w:color="auto" w:fill="CCFFFF"/>
            <w:vAlign w:val="center"/>
          </w:tcPr>
          <w:p w:rsidR="00F40E87" w:rsidRPr="00895C47" w:rsidRDefault="00F40E87" w:rsidP="001A5BF9">
            <w:pPr>
              <w:keepNext/>
              <w:keepLines/>
              <w:tabs>
                <w:tab w:val="left" w:pos="1735"/>
              </w:tabs>
              <w:spacing w:before="120" w:after="120"/>
              <w:ind w:left="1735" w:hanging="1735"/>
              <w:rPr>
                <w:rFonts w:cs="Arial"/>
                <w:b/>
                <w:bCs/>
                <w:sz w:val="16"/>
                <w:szCs w:val="16"/>
              </w:rPr>
            </w:pPr>
            <w:r w:rsidRPr="00895C47">
              <w:rPr>
                <w:b/>
                <w:sz w:val="16"/>
              </w:rPr>
              <w:t>Résultat escompté</w:t>
            </w:r>
            <w:r w:rsidR="0010442A" w:rsidRPr="00895C47">
              <w:rPr>
                <w:b/>
                <w:sz w:val="16"/>
              </w:rPr>
              <w:t> </w:t>
            </w:r>
            <w:r w:rsidRPr="00895C47">
              <w:rPr>
                <w:b/>
                <w:sz w:val="16"/>
              </w:rPr>
              <w:t>:</w:t>
            </w:r>
            <w:r w:rsidRPr="00895C47">
              <w:rPr>
                <w:sz w:val="16"/>
              </w:rPr>
              <w:t xml:space="preserve"> </w:t>
            </w:r>
            <w:r w:rsidRPr="00895C47">
              <w:rPr>
                <w:sz w:val="16"/>
              </w:rPr>
              <w:tab/>
              <w:t>Renforcement des capacités en matière de ressources humaines pour pouvoir répondre aux nombreuses exigences en ce qui concerne l</w:t>
            </w:r>
            <w:r w:rsidR="00A20444" w:rsidRPr="00895C47">
              <w:rPr>
                <w:sz w:val="16"/>
              </w:rPr>
              <w:t>’</w:t>
            </w:r>
            <w:r w:rsidRPr="00895C47">
              <w:rPr>
                <w:sz w:val="16"/>
              </w:rPr>
              <w:t>utilisation efficace de la propriété intellectuelle au service du développement dans les pays en développement,</w:t>
            </w:r>
            <w:r w:rsidR="00A20444" w:rsidRPr="00895C47">
              <w:rPr>
                <w:sz w:val="16"/>
              </w:rPr>
              <w:t xml:space="preserve"> les PMA</w:t>
            </w:r>
            <w:r w:rsidRPr="00895C47">
              <w:rPr>
                <w:sz w:val="16"/>
              </w:rPr>
              <w:t xml:space="preserve"> et les pays en transition</w:t>
            </w:r>
          </w:p>
        </w:tc>
      </w:tr>
      <w:tr w:rsidR="00F40E87" w:rsidRPr="00895C47" w:rsidTr="00A7273C">
        <w:trPr>
          <w:cantSplit/>
        </w:trPr>
        <w:tc>
          <w:tcPr>
            <w:tcW w:w="1058" w:type="pct"/>
            <w:gridSpan w:val="2"/>
            <w:tcBorders>
              <w:top w:val="single" w:sz="4" w:space="0" w:color="auto"/>
              <w:bottom w:val="nil"/>
            </w:tcBorders>
            <w:vAlign w:val="center"/>
          </w:tcPr>
          <w:p w:rsidR="00F40E87" w:rsidRPr="00895C47" w:rsidRDefault="00F40E87" w:rsidP="001A5BF9">
            <w:pPr>
              <w:keepNext/>
              <w:keepLines/>
              <w:spacing w:after="40"/>
              <w:rPr>
                <w:rFonts w:cs="Arial"/>
                <w:b/>
                <w:sz w:val="16"/>
                <w:szCs w:val="16"/>
              </w:rPr>
            </w:pPr>
            <w:r w:rsidRPr="00895C47">
              <w:rPr>
                <w:b/>
                <w:sz w:val="16"/>
              </w:rPr>
              <w:t>Indicateurs d</w:t>
            </w:r>
            <w:r w:rsidR="00A20444" w:rsidRPr="00895C47">
              <w:rPr>
                <w:b/>
                <w:sz w:val="16"/>
              </w:rPr>
              <w:t>’</w:t>
            </w:r>
            <w:r w:rsidRPr="00895C47">
              <w:rPr>
                <w:b/>
                <w:sz w:val="16"/>
              </w:rPr>
              <w:t>exécution</w:t>
            </w:r>
          </w:p>
        </w:tc>
        <w:tc>
          <w:tcPr>
            <w:tcW w:w="1288" w:type="pct"/>
            <w:gridSpan w:val="2"/>
            <w:tcBorders>
              <w:top w:val="single" w:sz="4" w:space="0" w:color="auto"/>
              <w:bottom w:val="nil"/>
            </w:tcBorders>
            <w:shd w:val="clear" w:color="auto" w:fill="auto"/>
            <w:vAlign w:val="center"/>
          </w:tcPr>
          <w:p w:rsidR="00F40E87" w:rsidRPr="00895C47" w:rsidRDefault="00F40E87" w:rsidP="001A5BF9">
            <w:pPr>
              <w:keepNext/>
              <w:keepLines/>
              <w:spacing w:after="40"/>
              <w:rPr>
                <w:rFonts w:cs="Arial"/>
                <w:b/>
                <w:bCs/>
                <w:sz w:val="16"/>
                <w:szCs w:val="16"/>
              </w:rPr>
            </w:pPr>
            <w:r w:rsidRPr="00895C47">
              <w:rPr>
                <w:b/>
                <w:sz w:val="16"/>
              </w:rPr>
              <w:t>Niveaux de référence</w:t>
            </w:r>
          </w:p>
        </w:tc>
        <w:tc>
          <w:tcPr>
            <w:tcW w:w="834" w:type="pct"/>
            <w:gridSpan w:val="2"/>
            <w:tcBorders>
              <w:top w:val="single" w:sz="4" w:space="0" w:color="auto"/>
              <w:bottom w:val="nil"/>
            </w:tcBorders>
            <w:tcMar>
              <w:top w:w="110" w:type="dxa"/>
            </w:tcMar>
            <w:vAlign w:val="center"/>
          </w:tcPr>
          <w:p w:rsidR="00F40E87" w:rsidRPr="00895C47" w:rsidRDefault="00F40E87" w:rsidP="001A5BF9">
            <w:pPr>
              <w:keepNext/>
              <w:keepLines/>
              <w:spacing w:after="40"/>
              <w:rPr>
                <w:rFonts w:cs="Arial"/>
                <w:b/>
                <w:sz w:val="16"/>
                <w:szCs w:val="16"/>
              </w:rPr>
            </w:pPr>
            <w:r w:rsidRPr="00895C47">
              <w:rPr>
                <w:b/>
                <w:sz w:val="16"/>
              </w:rPr>
              <w:t>Objectifs visés</w:t>
            </w:r>
          </w:p>
        </w:tc>
        <w:tc>
          <w:tcPr>
            <w:tcW w:w="1219" w:type="pct"/>
            <w:gridSpan w:val="2"/>
            <w:tcBorders>
              <w:top w:val="single" w:sz="4" w:space="0" w:color="auto"/>
              <w:bottom w:val="nil"/>
            </w:tcBorders>
            <w:shd w:val="clear" w:color="auto" w:fill="FFFFFF"/>
            <w:tcMar>
              <w:top w:w="110" w:type="dxa"/>
            </w:tcMar>
            <w:vAlign w:val="center"/>
          </w:tcPr>
          <w:p w:rsidR="00F40E87" w:rsidRPr="00895C47" w:rsidRDefault="00F40E87" w:rsidP="001A5BF9">
            <w:pPr>
              <w:keepNext/>
              <w:keepLines/>
              <w:spacing w:after="40"/>
              <w:rPr>
                <w:rFonts w:cs="Arial"/>
                <w:b/>
                <w:sz w:val="16"/>
                <w:szCs w:val="16"/>
              </w:rPr>
            </w:pPr>
            <w:r w:rsidRPr="00895C47">
              <w:rPr>
                <w:b/>
                <w:sz w:val="16"/>
              </w:rPr>
              <w:t>Données relatives à l</w:t>
            </w:r>
            <w:r w:rsidR="00A20444" w:rsidRPr="00895C47">
              <w:rPr>
                <w:b/>
                <w:sz w:val="16"/>
              </w:rPr>
              <w:t>’</w:t>
            </w:r>
            <w:r w:rsidRPr="00895C47">
              <w:rPr>
                <w:b/>
                <w:sz w:val="16"/>
              </w:rPr>
              <w:t>exécution</w:t>
            </w:r>
          </w:p>
        </w:tc>
        <w:tc>
          <w:tcPr>
            <w:tcW w:w="601" w:type="pct"/>
            <w:tcBorders>
              <w:top w:val="single" w:sz="4" w:space="0" w:color="auto"/>
              <w:bottom w:val="nil"/>
            </w:tcBorders>
            <w:tcMar>
              <w:top w:w="110" w:type="dxa"/>
            </w:tcMar>
            <w:vAlign w:val="center"/>
          </w:tcPr>
          <w:p w:rsidR="00F40E87" w:rsidRPr="00895C47" w:rsidRDefault="00F40E87" w:rsidP="001A5BF9">
            <w:pPr>
              <w:keepNext/>
              <w:keepLines/>
              <w:spacing w:after="40"/>
              <w:jc w:val="center"/>
              <w:rPr>
                <w:rFonts w:cs="Arial"/>
                <w:b/>
                <w:bCs/>
                <w:sz w:val="16"/>
                <w:szCs w:val="16"/>
              </w:rPr>
            </w:pPr>
            <w:r w:rsidRPr="00895C47">
              <w:rPr>
                <w:b/>
                <w:sz w:val="16"/>
              </w:rPr>
              <w:t>Code de couleurs</w:t>
            </w:r>
          </w:p>
        </w:tc>
      </w:tr>
      <w:tr w:rsidR="00F40E87" w:rsidRPr="005C7CCE" w:rsidTr="00A7273C">
        <w:trPr>
          <w:cantSplit/>
        </w:trPr>
        <w:tc>
          <w:tcPr>
            <w:tcW w:w="1058" w:type="pct"/>
            <w:gridSpan w:val="2"/>
            <w:tcBorders>
              <w:top w:val="nil"/>
              <w:bottom w:val="single" w:sz="4" w:space="0" w:color="auto"/>
            </w:tcBorders>
            <w:shd w:val="clear" w:color="auto" w:fill="FFFFFF"/>
          </w:tcPr>
          <w:p w:rsidR="00F40E87" w:rsidRPr="00895C47" w:rsidRDefault="00F40E87" w:rsidP="001A5BF9">
            <w:pPr>
              <w:rPr>
                <w:rFonts w:cs="Arial"/>
                <w:sz w:val="16"/>
                <w:szCs w:val="16"/>
              </w:rPr>
            </w:pPr>
            <w:r w:rsidRPr="00895C47">
              <w:rPr>
                <w:sz w:val="16"/>
              </w:rPr>
              <w:t>Pourcentage de participants aux activités de renforcement des capacités qui font part de meilleures compréhension et utilisation des principes, des systèmes et des outils de propriété intellectuelle en vue d</w:t>
            </w:r>
            <w:r w:rsidR="00A20444" w:rsidRPr="00895C47">
              <w:rPr>
                <w:sz w:val="16"/>
              </w:rPr>
              <w:t>’</w:t>
            </w:r>
            <w:r w:rsidRPr="00895C47">
              <w:rPr>
                <w:sz w:val="16"/>
              </w:rPr>
              <w:t>assurer la protection des savoirs traditionnels et des expressions culturelles traditionnelles et de mieux gérer la relation entre la protection intellectuelle et les ressources génétiques</w:t>
            </w:r>
          </w:p>
        </w:tc>
        <w:tc>
          <w:tcPr>
            <w:tcW w:w="1288" w:type="pct"/>
            <w:gridSpan w:val="2"/>
            <w:tcBorders>
              <w:top w:val="nil"/>
              <w:bottom w:val="single" w:sz="4" w:space="0" w:color="auto"/>
            </w:tcBorders>
            <w:shd w:val="clear" w:color="auto" w:fill="auto"/>
          </w:tcPr>
          <w:p w:rsidR="00F40E87" w:rsidRPr="00895C47" w:rsidRDefault="00F40E87" w:rsidP="001A5BF9">
            <w:pPr>
              <w:rPr>
                <w:rFonts w:cs="Arial"/>
                <w:sz w:val="16"/>
                <w:szCs w:val="16"/>
                <w:lang w:bidi="th-TH"/>
              </w:rPr>
            </w:pPr>
            <w:r w:rsidRPr="00895C47">
              <w:rPr>
                <w:sz w:val="16"/>
              </w:rPr>
              <w:t>Première utilisation de cet indicateur dans ce programme</w:t>
            </w:r>
          </w:p>
        </w:tc>
        <w:tc>
          <w:tcPr>
            <w:tcW w:w="834" w:type="pct"/>
            <w:gridSpan w:val="2"/>
            <w:tcBorders>
              <w:top w:val="nil"/>
              <w:bottom w:val="single" w:sz="4" w:space="0" w:color="auto"/>
            </w:tcBorders>
            <w:tcMar>
              <w:top w:w="110" w:type="dxa"/>
            </w:tcMar>
          </w:tcPr>
          <w:p w:rsidR="00F40E87" w:rsidRPr="00895C47" w:rsidRDefault="00F40E87" w:rsidP="001A5BF9">
            <w:pPr>
              <w:rPr>
                <w:rFonts w:cs="Arial"/>
                <w:sz w:val="16"/>
                <w:szCs w:val="16"/>
                <w:lang w:bidi="th-TH"/>
              </w:rPr>
            </w:pPr>
            <w:r w:rsidRPr="00895C47">
              <w:rPr>
                <w:sz w:val="16"/>
              </w:rPr>
              <w:t>75</w:t>
            </w:r>
            <w:r w:rsidR="007E442D" w:rsidRPr="00895C47">
              <w:rPr>
                <w:sz w:val="16"/>
              </w:rPr>
              <w:t>%</w:t>
            </w:r>
          </w:p>
        </w:tc>
        <w:tc>
          <w:tcPr>
            <w:tcW w:w="1219" w:type="pct"/>
            <w:gridSpan w:val="2"/>
            <w:tcBorders>
              <w:top w:val="nil"/>
              <w:bottom w:val="single" w:sz="4" w:space="0" w:color="auto"/>
            </w:tcBorders>
            <w:shd w:val="clear" w:color="auto" w:fill="FFFFFF"/>
            <w:tcMar>
              <w:top w:w="110" w:type="dxa"/>
            </w:tcMar>
          </w:tcPr>
          <w:p w:rsidR="00F40E87" w:rsidRPr="00895C47" w:rsidRDefault="00F40E87" w:rsidP="001A5BF9">
            <w:pPr>
              <w:rPr>
                <w:rFonts w:cs="Arial"/>
                <w:sz w:val="16"/>
                <w:szCs w:val="16"/>
                <w:lang w:bidi="th-TH"/>
              </w:rPr>
            </w:pPr>
            <w:r w:rsidRPr="00895C47">
              <w:rPr>
                <w:sz w:val="16"/>
              </w:rPr>
              <w:t>95</w:t>
            </w:r>
            <w:r w:rsidR="007E442D" w:rsidRPr="00895C47">
              <w:rPr>
                <w:sz w:val="16"/>
              </w:rPr>
              <w:t>%</w:t>
            </w:r>
            <w:r w:rsidRPr="00895C47">
              <w:rPr>
                <w:sz w:val="16"/>
              </w:rPr>
              <w:t xml:space="preserve"> (questionnaire de satisfaction utilisé dans cinq</w:t>
            </w:r>
            <w:r w:rsidR="0010442A" w:rsidRPr="00895C47">
              <w:rPr>
                <w:sz w:val="16"/>
              </w:rPr>
              <w:t> </w:t>
            </w:r>
            <w:r w:rsidRPr="00895C47">
              <w:rPr>
                <w:sz w:val="16"/>
              </w:rPr>
              <w:t>activités organisées par la Division des savoirs traditionnels).</w:t>
            </w:r>
          </w:p>
        </w:tc>
        <w:tc>
          <w:tcPr>
            <w:tcW w:w="601" w:type="pct"/>
            <w:tcBorders>
              <w:top w:val="nil"/>
              <w:bottom w:val="single" w:sz="4" w:space="0" w:color="auto"/>
            </w:tcBorders>
            <w:tcMar>
              <w:top w:w="110" w:type="dxa"/>
            </w:tcMar>
          </w:tcPr>
          <w:p w:rsidR="00F40E87" w:rsidRPr="005C7CCE" w:rsidRDefault="00F40E87" w:rsidP="001A5BF9">
            <w:pPr>
              <w:keepNext/>
              <w:keepLines/>
              <w:jc w:val="center"/>
              <w:rPr>
                <w:rFonts w:cs="Arial"/>
                <w:bCs/>
                <w:color w:val="008000"/>
                <w:sz w:val="16"/>
                <w:szCs w:val="16"/>
              </w:rPr>
            </w:pPr>
            <w:r w:rsidRPr="00B470C6">
              <w:rPr>
                <w:color w:val="008000"/>
                <w:sz w:val="16"/>
              </w:rPr>
              <w:t>Objectif pleinement atteint</w:t>
            </w:r>
          </w:p>
        </w:tc>
      </w:tr>
      <w:tr w:rsidR="00F40E87" w:rsidRPr="00895C47" w:rsidTr="00BB3F3E">
        <w:trPr>
          <w:cantSplit/>
        </w:trPr>
        <w:tc>
          <w:tcPr>
            <w:tcW w:w="5000" w:type="pct"/>
            <w:gridSpan w:val="9"/>
            <w:tcBorders>
              <w:top w:val="single" w:sz="4" w:space="0" w:color="auto"/>
              <w:bottom w:val="single" w:sz="4" w:space="0" w:color="auto"/>
            </w:tcBorders>
            <w:shd w:val="clear" w:color="auto" w:fill="CCFFFF"/>
            <w:vAlign w:val="center"/>
          </w:tcPr>
          <w:p w:rsidR="00F40E87" w:rsidRPr="00895C47" w:rsidRDefault="00F40E87" w:rsidP="001A5BF9">
            <w:pPr>
              <w:keepNext/>
              <w:keepLines/>
              <w:tabs>
                <w:tab w:val="left" w:pos="1735"/>
              </w:tabs>
              <w:spacing w:before="120" w:after="120"/>
              <w:ind w:left="1735" w:hanging="1735"/>
              <w:rPr>
                <w:rFonts w:cs="Arial"/>
                <w:b/>
                <w:bCs/>
                <w:sz w:val="16"/>
                <w:szCs w:val="16"/>
              </w:rPr>
            </w:pPr>
            <w:r w:rsidRPr="00895C47">
              <w:rPr>
                <w:b/>
                <w:sz w:val="16"/>
              </w:rPr>
              <w:t>Résultat escompté</w:t>
            </w:r>
            <w:r w:rsidR="0010442A" w:rsidRPr="00895C47">
              <w:rPr>
                <w:b/>
                <w:sz w:val="16"/>
              </w:rPr>
              <w:t> </w:t>
            </w:r>
            <w:r w:rsidRPr="00895C47">
              <w:rPr>
                <w:b/>
                <w:sz w:val="16"/>
              </w:rPr>
              <w:t xml:space="preserve">: </w:t>
            </w:r>
            <w:r w:rsidRPr="00895C47">
              <w:rPr>
                <w:sz w:val="16"/>
              </w:rPr>
              <w:tab/>
              <w:t>Reconnaissance par les États membres, les communautés, les organisations et les autres parties prenantes de l</w:t>
            </w:r>
            <w:r w:rsidR="00A20444" w:rsidRPr="00895C47">
              <w:rPr>
                <w:sz w:val="16"/>
              </w:rPr>
              <w:t>’</w:t>
            </w:r>
            <w:r w:rsidRPr="00895C47">
              <w:rPr>
                <w:sz w:val="16"/>
              </w:rPr>
              <w:t>utilité et de l</w:t>
            </w:r>
            <w:r w:rsidR="00A20444" w:rsidRPr="00895C47">
              <w:rPr>
                <w:sz w:val="16"/>
              </w:rPr>
              <w:t>’</w:t>
            </w:r>
            <w:r w:rsidRPr="00895C47">
              <w:rPr>
                <w:sz w:val="16"/>
              </w:rPr>
              <w:t>efficacité des ressources, des programmes et des instruments de l</w:t>
            </w:r>
            <w:r w:rsidR="00A20444" w:rsidRPr="00895C47">
              <w:rPr>
                <w:sz w:val="16"/>
              </w:rPr>
              <w:t>’</w:t>
            </w:r>
            <w:r w:rsidRPr="00895C47">
              <w:rPr>
                <w:sz w:val="16"/>
              </w:rPr>
              <w:t>OMPI</w:t>
            </w:r>
          </w:p>
        </w:tc>
      </w:tr>
      <w:tr w:rsidR="00F40E87" w:rsidRPr="00895C47" w:rsidTr="00A7273C">
        <w:trPr>
          <w:cantSplit/>
        </w:trPr>
        <w:tc>
          <w:tcPr>
            <w:tcW w:w="889" w:type="pct"/>
            <w:tcBorders>
              <w:top w:val="single" w:sz="4" w:space="0" w:color="auto"/>
              <w:bottom w:val="nil"/>
            </w:tcBorders>
            <w:vAlign w:val="center"/>
          </w:tcPr>
          <w:p w:rsidR="00F40E87" w:rsidRPr="00895C47" w:rsidRDefault="00F40E87" w:rsidP="001A5BF9">
            <w:pPr>
              <w:spacing w:after="120"/>
              <w:rPr>
                <w:rFonts w:cs="Arial"/>
                <w:b/>
                <w:sz w:val="16"/>
                <w:szCs w:val="16"/>
              </w:rPr>
            </w:pPr>
            <w:r w:rsidRPr="00895C47">
              <w:rPr>
                <w:b/>
                <w:sz w:val="16"/>
              </w:rPr>
              <w:t>Indicateurs d</w:t>
            </w:r>
            <w:r w:rsidR="00A20444" w:rsidRPr="00895C47">
              <w:rPr>
                <w:b/>
                <w:sz w:val="16"/>
              </w:rPr>
              <w:t>’</w:t>
            </w:r>
            <w:r w:rsidRPr="00895C47">
              <w:rPr>
                <w:b/>
                <w:sz w:val="16"/>
              </w:rPr>
              <w:t>exécution</w:t>
            </w:r>
          </w:p>
        </w:tc>
        <w:tc>
          <w:tcPr>
            <w:tcW w:w="945" w:type="pct"/>
            <w:gridSpan w:val="2"/>
            <w:tcBorders>
              <w:top w:val="single" w:sz="4" w:space="0" w:color="auto"/>
              <w:bottom w:val="nil"/>
            </w:tcBorders>
            <w:shd w:val="clear" w:color="auto" w:fill="auto"/>
            <w:vAlign w:val="center"/>
          </w:tcPr>
          <w:p w:rsidR="00F40E87" w:rsidRPr="00895C47" w:rsidRDefault="00F40E87" w:rsidP="001A5BF9">
            <w:pPr>
              <w:spacing w:after="120"/>
              <w:rPr>
                <w:rFonts w:cs="Arial"/>
                <w:b/>
                <w:bCs/>
                <w:sz w:val="16"/>
                <w:szCs w:val="16"/>
              </w:rPr>
            </w:pPr>
            <w:r w:rsidRPr="00895C47">
              <w:rPr>
                <w:b/>
                <w:sz w:val="16"/>
              </w:rPr>
              <w:t>Niveaux de référence</w:t>
            </w:r>
          </w:p>
        </w:tc>
        <w:tc>
          <w:tcPr>
            <w:tcW w:w="819" w:type="pct"/>
            <w:gridSpan w:val="2"/>
            <w:tcBorders>
              <w:top w:val="single" w:sz="4" w:space="0" w:color="auto"/>
              <w:bottom w:val="nil"/>
            </w:tcBorders>
            <w:tcMar>
              <w:top w:w="110" w:type="dxa"/>
            </w:tcMar>
            <w:vAlign w:val="center"/>
          </w:tcPr>
          <w:p w:rsidR="00F40E87" w:rsidRPr="00895C47" w:rsidRDefault="00F40E87" w:rsidP="001A5BF9">
            <w:pPr>
              <w:spacing w:after="120"/>
              <w:rPr>
                <w:rFonts w:cs="Arial"/>
                <w:b/>
                <w:sz w:val="16"/>
                <w:szCs w:val="16"/>
              </w:rPr>
            </w:pPr>
            <w:r w:rsidRPr="00895C47">
              <w:rPr>
                <w:b/>
                <w:sz w:val="16"/>
              </w:rPr>
              <w:t>Objectifs visés</w:t>
            </w:r>
          </w:p>
        </w:tc>
        <w:tc>
          <w:tcPr>
            <w:tcW w:w="1746" w:type="pct"/>
            <w:gridSpan w:val="3"/>
            <w:tcBorders>
              <w:top w:val="single" w:sz="4" w:space="0" w:color="auto"/>
              <w:bottom w:val="nil"/>
            </w:tcBorders>
            <w:shd w:val="clear" w:color="auto" w:fill="FFFFFF"/>
            <w:tcMar>
              <w:top w:w="110" w:type="dxa"/>
            </w:tcMar>
            <w:vAlign w:val="center"/>
          </w:tcPr>
          <w:p w:rsidR="00F40E87" w:rsidRPr="00895C47" w:rsidRDefault="00F40E87" w:rsidP="001A5BF9">
            <w:pPr>
              <w:spacing w:after="120"/>
              <w:rPr>
                <w:rFonts w:cs="Arial"/>
                <w:b/>
                <w:sz w:val="16"/>
                <w:szCs w:val="16"/>
              </w:rPr>
            </w:pPr>
            <w:r w:rsidRPr="00895C47">
              <w:rPr>
                <w:b/>
                <w:sz w:val="16"/>
              </w:rPr>
              <w:t>Données relatives à l</w:t>
            </w:r>
            <w:r w:rsidR="00A20444" w:rsidRPr="00895C47">
              <w:rPr>
                <w:b/>
                <w:sz w:val="16"/>
              </w:rPr>
              <w:t>’</w:t>
            </w:r>
            <w:r w:rsidRPr="00895C47">
              <w:rPr>
                <w:b/>
                <w:sz w:val="16"/>
              </w:rPr>
              <w:t>exécution</w:t>
            </w:r>
          </w:p>
        </w:tc>
        <w:tc>
          <w:tcPr>
            <w:tcW w:w="601" w:type="pct"/>
            <w:tcBorders>
              <w:top w:val="single" w:sz="4" w:space="0" w:color="auto"/>
              <w:bottom w:val="nil"/>
            </w:tcBorders>
            <w:tcMar>
              <w:top w:w="110" w:type="dxa"/>
            </w:tcMar>
            <w:vAlign w:val="center"/>
          </w:tcPr>
          <w:p w:rsidR="00F40E87" w:rsidRPr="00895C47" w:rsidRDefault="00F40E87" w:rsidP="001A5BF9">
            <w:pPr>
              <w:keepNext/>
              <w:keepLines/>
              <w:spacing w:after="120"/>
              <w:jc w:val="center"/>
              <w:rPr>
                <w:rFonts w:cs="Arial"/>
                <w:b/>
                <w:bCs/>
                <w:sz w:val="16"/>
                <w:szCs w:val="16"/>
              </w:rPr>
            </w:pPr>
            <w:r w:rsidRPr="00895C47">
              <w:rPr>
                <w:b/>
                <w:sz w:val="16"/>
              </w:rPr>
              <w:t>Code de couleurs</w:t>
            </w:r>
          </w:p>
        </w:tc>
      </w:tr>
      <w:tr w:rsidR="00F40E87" w:rsidRPr="005C7CCE" w:rsidTr="00A7273C">
        <w:trPr>
          <w:cantSplit/>
        </w:trPr>
        <w:tc>
          <w:tcPr>
            <w:tcW w:w="889" w:type="pct"/>
            <w:tcBorders>
              <w:top w:val="nil"/>
              <w:bottom w:val="single" w:sz="4" w:space="0" w:color="auto"/>
            </w:tcBorders>
            <w:shd w:val="clear" w:color="auto" w:fill="FFFFFF"/>
          </w:tcPr>
          <w:p w:rsidR="00F40E87" w:rsidRPr="005C7CCE" w:rsidRDefault="00F40E87" w:rsidP="001A5BF9">
            <w:pPr>
              <w:rPr>
                <w:rFonts w:cs="Arial"/>
                <w:sz w:val="16"/>
                <w:szCs w:val="16"/>
                <w:lang w:bidi="th-TH"/>
              </w:rPr>
            </w:pPr>
            <w:r w:rsidRPr="00895C47">
              <w:rPr>
                <w:sz w:val="16"/>
              </w:rPr>
              <w:t>Nombre de demandes d</w:t>
            </w:r>
            <w:r w:rsidR="00A20444" w:rsidRPr="00895C47">
              <w:rPr>
                <w:sz w:val="16"/>
              </w:rPr>
              <w:t>’</w:t>
            </w:r>
            <w:r w:rsidRPr="00895C47">
              <w:rPr>
                <w:sz w:val="16"/>
              </w:rPr>
              <w:t>assistance reçues par l</w:t>
            </w:r>
            <w:r w:rsidR="00A20444" w:rsidRPr="00895C47">
              <w:rPr>
                <w:sz w:val="16"/>
              </w:rPr>
              <w:t>’</w:t>
            </w:r>
            <w:r w:rsidRPr="00895C47">
              <w:rPr>
                <w:sz w:val="16"/>
              </w:rPr>
              <w:t xml:space="preserve">OMPI </w:t>
            </w:r>
          </w:p>
        </w:tc>
        <w:tc>
          <w:tcPr>
            <w:tcW w:w="945" w:type="pct"/>
            <w:gridSpan w:val="2"/>
            <w:tcBorders>
              <w:top w:val="nil"/>
              <w:bottom w:val="single" w:sz="4" w:space="0" w:color="auto"/>
            </w:tcBorders>
            <w:shd w:val="clear" w:color="auto" w:fill="auto"/>
          </w:tcPr>
          <w:p w:rsidR="00F40E87" w:rsidRPr="005C7CCE" w:rsidRDefault="00F40E87" w:rsidP="001A5BF9">
            <w:pPr>
              <w:rPr>
                <w:rFonts w:cs="Arial"/>
                <w:sz w:val="16"/>
                <w:szCs w:val="16"/>
                <w:lang w:bidi="th-TH"/>
              </w:rPr>
            </w:pPr>
            <w:r w:rsidRPr="005C7CCE">
              <w:rPr>
                <w:sz w:val="16"/>
              </w:rPr>
              <w:t>60 (en 2010</w:t>
            </w:r>
            <w:r w:rsidR="002D6F2A" w:rsidRPr="005C7CCE">
              <w:rPr>
                <w:sz w:val="16"/>
              </w:rPr>
              <w:noBreakHyphen/>
            </w:r>
            <w:r w:rsidRPr="005C7CCE">
              <w:rPr>
                <w:sz w:val="16"/>
              </w:rPr>
              <w:t>2011)</w:t>
            </w:r>
          </w:p>
        </w:tc>
        <w:tc>
          <w:tcPr>
            <w:tcW w:w="819" w:type="pct"/>
            <w:gridSpan w:val="2"/>
            <w:tcBorders>
              <w:top w:val="nil"/>
              <w:bottom w:val="single" w:sz="4" w:space="0" w:color="auto"/>
            </w:tcBorders>
            <w:tcMar>
              <w:top w:w="110" w:type="dxa"/>
            </w:tcMar>
          </w:tcPr>
          <w:p w:rsidR="00F40E87" w:rsidRPr="005C7CCE" w:rsidRDefault="00F40E87" w:rsidP="001A5BF9">
            <w:pPr>
              <w:rPr>
                <w:rFonts w:cs="Arial"/>
                <w:sz w:val="16"/>
                <w:szCs w:val="16"/>
                <w:lang w:bidi="th-TH"/>
              </w:rPr>
            </w:pPr>
            <w:r w:rsidRPr="005C7CCE">
              <w:rPr>
                <w:sz w:val="16"/>
              </w:rPr>
              <w:t>60 (en 2012</w:t>
            </w:r>
            <w:r w:rsidR="002D6F2A" w:rsidRPr="005C7CCE">
              <w:rPr>
                <w:sz w:val="16"/>
              </w:rPr>
              <w:noBreakHyphen/>
            </w:r>
            <w:r w:rsidRPr="005C7CCE">
              <w:rPr>
                <w:sz w:val="16"/>
              </w:rPr>
              <w:t>2013)</w:t>
            </w:r>
          </w:p>
        </w:tc>
        <w:tc>
          <w:tcPr>
            <w:tcW w:w="1746" w:type="pct"/>
            <w:gridSpan w:val="3"/>
            <w:tcBorders>
              <w:top w:val="nil"/>
              <w:bottom w:val="single" w:sz="4" w:space="0" w:color="auto"/>
            </w:tcBorders>
            <w:shd w:val="clear" w:color="auto" w:fill="FFFFFF"/>
            <w:tcMar>
              <w:top w:w="110" w:type="dxa"/>
            </w:tcMar>
          </w:tcPr>
          <w:p w:rsidR="00D42474" w:rsidRDefault="00F40E87" w:rsidP="001A5BF9">
            <w:pPr>
              <w:rPr>
                <w:rFonts w:cs="Arial"/>
                <w:sz w:val="16"/>
                <w:szCs w:val="16"/>
                <w:lang w:bidi="th-TH"/>
              </w:rPr>
            </w:pPr>
            <w:r w:rsidRPr="005C7CCE">
              <w:rPr>
                <w:sz w:val="16"/>
              </w:rPr>
              <w:t>90 (dont environ 80 demandes d</w:t>
            </w:r>
            <w:r w:rsidR="00A20444" w:rsidRPr="005C7CCE">
              <w:rPr>
                <w:sz w:val="16"/>
              </w:rPr>
              <w:t>’</w:t>
            </w:r>
            <w:r w:rsidRPr="005C7CCE">
              <w:rPr>
                <w:sz w:val="16"/>
              </w:rPr>
              <w:t>informations et de présentations générales, et 10 demandes d</w:t>
            </w:r>
            <w:r w:rsidR="00A20444" w:rsidRPr="005C7CCE">
              <w:rPr>
                <w:sz w:val="16"/>
              </w:rPr>
              <w:t>’</w:t>
            </w:r>
            <w:r w:rsidRPr="005C7CCE">
              <w:rPr>
                <w:sz w:val="16"/>
              </w:rPr>
              <w:t xml:space="preserve">assistance technique/renforcement des capacités substantielles). </w:t>
            </w:r>
            <w:r w:rsidR="0010442A" w:rsidRPr="005C7CCE">
              <w:rPr>
                <w:sz w:val="16"/>
              </w:rPr>
              <w:t xml:space="preserve"> </w:t>
            </w:r>
            <w:r w:rsidRPr="005C7CCE">
              <w:rPr>
                <w:sz w:val="16"/>
              </w:rPr>
              <w:t>Ces chiffres ne comprennent pas les présentations liées à l</w:t>
            </w:r>
            <w:r w:rsidR="00A20444" w:rsidRPr="005C7CCE">
              <w:rPr>
                <w:sz w:val="16"/>
              </w:rPr>
              <w:t>’</w:t>
            </w:r>
            <w:r w:rsidRPr="005C7CCE">
              <w:rPr>
                <w:sz w:val="16"/>
              </w:rPr>
              <w:t>IGC ni la participation à des réunions de l</w:t>
            </w:r>
            <w:r w:rsidR="00A20444" w:rsidRPr="005C7CCE">
              <w:rPr>
                <w:sz w:val="16"/>
              </w:rPr>
              <w:t>’</w:t>
            </w:r>
            <w:r w:rsidRPr="005C7CCE">
              <w:rPr>
                <w:sz w:val="16"/>
              </w:rPr>
              <w:t>ONU et d</w:t>
            </w:r>
            <w:r w:rsidR="00A20444" w:rsidRPr="005C7CCE">
              <w:rPr>
                <w:sz w:val="16"/>
              </w:rPr>
              <w:t>’</w:t>
            </w:r>
            <w:r w:rsidRPr="005C7CCE">
              <w:rPr>
                <w:sz w:val="16"/>
              </w:rPr>
              <w:t>autres organisations intergouvernementales.</w:t>
            </w:r>
          </w:p>
          <w:p w:rsidR="00F40E87" w:rsidRPr="005C7CCE" w:rsidRDefault="00F40E87" w:rsidP="001A5BF9">
            <w:pPr>
              <w:rPr>
                <w:rFonts w:cs="Arial"/>
                <w:sz w:val="16"/>
                <w:szCs w:val="16"/>
                <w:lang w:bidi="th-TH"/>
              </w:rPr>
            </w:pPr>
          </w:p>
        </w:tc>
        <w:tc>
          <w:tcPr>
            <w:tcW w:w="601" w:type="pct"/>
            <w:tcBorders>
              <w:top w:val="nil"/>
              <w:bottom w:val="single" w:sz="4" w:space="0" w:color="auto"/>
            </w:tcBorders>
            <w:tcMar>
              <w:top w:w="110" w:type="dxa"/>
            </w:tcMar>
          </w:tcPr>
          <w:p w:rsidR="00F40E87" w:rsidRPr="005C7CCE" w:rsidRDefault="00F40E87" w:rsidP="001A5BF9">
            <w:pPr>
              <w:keepNext/>
              <w:keepLines/>
              <w:jc w:val="center"/>
              <w:rPr>
                <w:rFonts w:cs="Arial"/>
                <w:bCs/>
                <w:color w:val="008000"/>
                <w:sz w:val="16"/>
                <w:szCs w:val="16"/>
              </w:rPr>
            </w:pPr>
            <w:r w:rsidRPr="00B470C6">
              <w:rPr>
                <w:color w:val="008000"/>
                <w:sz w:val="16"/>
              </w:rPr>
              <w:t>Objectif pleinement atteint</w:t>
            </w:r>
          </w:p>
        </w:tc>
      </w:tr>
    </w:tbl>
    <w:p w:rsidR="00D42474" w:rsidRDefault="00D42474" w:rsidP="001A5BF9"/>
    <w:p w:rsidR="00D42474" w:rsidRDefault="00D42474" w:rsidP="001A5BF9"/>
    <w:p w:rsidR="00D42474" w:rsidRDefault="00D42474" w:rsidP="001A5BF9"/>
    <w:p w:rsidR="00D42474" w:rsidRDefault="00F40E87" w:rsidP="001A5BF9">
      <w:pPr>
        <w:pStyle w:val="NormalWeb"/>
        <w:spacing w:before="0" w:beforeAutospacing="0" w:after="0" w:afterAutospacing="0"/>
        <w:rPr>
          <w:sz w:val="22"/>
          <w:szCs w:val="22"/>
        </w:rPr>
      </w:pPr>
      <w:r w:rsidRPr="00895C47">
        <w:rPr>
          <w:sz w:val="22"/>
        </w:rPr>
        <w:t>BUDGET ET DÉPENSES EFFECTIVES</w:t>
      </w:r>
    </w:p>
    <w:p w:rsidR="00D42474" w:rsidRDefault="00D42474" w:rsidP="001A5BF9">
      <w:pPr>
        <w:pStyle w:val="NormalWeb"/>
        <w:spacing w:before="0" w:beforeAutospacing="0" w:after="0" w:afterAutospacing="0"/>
        <w:jc w:val="center"/>
        <w:rPr>
          <w:sz w:val="22"/>
          <w:szCs w:val="22"/>
        </w:rPr>
      </w:pPr>
    </w:p>
    <w:p w:rsidR="00D42474" w:rsidRDefault="00F40E87" w:rsidP="001A5BF9">
      <w:pPr>
        <w:pStyle w:val="NormalWeb"/>
        <w:spacing w:before="0" w:beforeAutospacing="0" w:after="0" w:afterAutospacing="0"/>
        <w:jc w:val="center"/>
        <w:rPr>
          <w:sz w:val="20"/>
          <w:szCs w:val="20"/>
        </w:rPr>
      </w:pPr>
      <w:r w:rsidRPr="00895C47">
        <w:rPr>
          <w:sz w:val="20"/>
        </w:rPr>
        <w:t>Budget et dépenses effectives (par résultat)</w:t>
      </w:r>
    </w:p>
    <w:p w:rsidR="00D42474" w:rsidRDefault="00F40E87" w:rsidP="001A5BF9">
      <w:pPr>
        <w:pStyle w:val="NormalWeb"/>
        <w:spacing w:before="0" w:beforeAutospacing="0" w:after="0" w:afterAutospacing="0"/>
        <w:jc w:val="center"/>
        <w:rPr>
          <w:i/>
          <w:iCs/>
          <w:sz w:val="20"/>
          <w:szCs w:val="20"/>
        </w:rPr>
      </w:pPr>
      <w:r w:rsidRPr="00895C47">
        <w:rPr>
          <w:i/>
          <w:sz w:val="20"/>
        </w:rPr>
        <w:t>(</w:t>
      </w:r>
      <w:proofErr w:type="gramStart"/>
      <w:r w:rsidRPr="00895C47">
        <w:rPr>
          <w:i/>
          <w:sz w:val="20"/>
        </w:rPr>
        <w:t>en</w:t>
      </w:r>
      <w:proofErr w:type="gramEnd"/>
      <w:r w:rsidRPr="00895C47">
        <w:rPr>
          <w:i/>
          <w:sz w:val="20"/>
        </w:rPr>
        <w:t xml:space="preserve"> milliers de francs suisses)</w:t>
      </w:r>
    </w:p>
    <w:p w:rsidR="00F40E87" w:rsidRPr="005C7CCE" w:rsidRDefault="00F40E87" w:rsidP="001A5BF9">
      <w:pPr>
        <w:pStyle w:val="NormalWeb"/>
        <w:spacing w:before="0" w:beforeAutospacing="0" w:after="0" w:afterAutospacing="0"/>
        <w:jc w:val="center"/>
        <w:rPr>
          <w:i/>
          <w:iCs/>
          <w:color w:val="000000"/>
          <w:sz w:val="22"/>
          <w:szCs w:val="22"/>
        </w:rPr>
      </w:pPr>
    </w:p>
    <w:tbl>
      <w:tblPr>
        <w:tblW w:w="0" w:type="auto"/>
        <w:tblInd w:w="103" w:type="dxa"/>
        <w:tblLook w:val="04A0" w:firstRow="1" w:lastRow="0" w:firstColumn="1" w:lastColumn="0" w:noHBand="0" w:noVBand="1"/>
      </w:tblPr>
      <w:tblGrid>
        <w:gridCol w:w="517"/>
        <w:gridCol w:w="4733"/>
        <w:gridCol w:w="1406"/>
        <w:gridCol w:w="1406"/>
        <w:gridCol w:w="1299"/>
      </w:tblGrid>
      <w:tr w:rsidR="00F40E87" w:rsidRPr="00895C47" w:rsidTr="00BB3F3E">
        <w:tc>
          <w:tcPr>
            <w:tcW w:w="525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F40E87" w:rsidRPr="00895C47" w:rsidRDefault="00F40E87" w:rsidP="001A5BF9">
            <w:pPr>
              <w:spacing w:before="120" w:after="120"/>
              <w:jc w:val="center"/>
              <w:rPr>
                <w:rFonts w:cs="Arial"/>
                <w:bCs/>
                <w:sz w:val="16"/>
                <w:szCs w:val="16"/>
              </w:rPr>
            </w:pPr>
            <w:r w:rsidRPr="00895C47">
              <w:rPr>
                <w:sz w:val="16"/>
              </w:rPr>
              <w:t>Numéro et description du résultat escompté</w:t>
            </w:r>
          </w:p>
        </w:tc>
        <w:tc>
          <w:tcPr>
            <w:tcW w:w="1406" w:type="dxa"/>
            <w:tcBorders>
              <w:top w:val="single" w:sz="4" w:space="0" w:color="auto"/>
              <w:left w:val="nil"/>
              <w:bottom w:val="single" w:sz="4" w:space="0" w:color="auto"/>
              <w:right w:val="single" w:sz="4" w:space="0" w:color="auto"/>
            </w:tcBorders>
            <w:shd w:val="clear" w:color="000000" w:fill="CCFFFF"/>
            <w:vAlign w:val="center"/>
          </w:tcPr>
          <w:p w:rsidR="00F40E87" w:rsidRPr="00895C47" w:rsidRDefault="00F40E87" w:rsidP="001A5BF9">
            <w:pPr>
              <w:spacing w:before="120" w:after="120"/>
              <w:jc w:val="center"/>
              <w:rPr>
                <w:rFonts w:cs="Arial"/>
                <w:bCs/>
                <w:sz w:val="16"/>
                <w:szCs w:val="16"/>
              </w:rPr>
            </w:pPr>
            <w:r w:rsidRPr="00895C47">
              <w:rPr>
                <w:sz w:val="16"/>
              </w:rPr>
              <w:t>Budget</w:t>
            </w:r>
            <w:r w:rsidRPr="00895C47">
              <w:br/>
            </w:r>
            <w:r w:rsidRPr="00895C47">
              <w:rPr>
                <w:sz w:val="16"/>
              </w:rPr>
              <w:t>2012–2013 approuvé</w:t>
            </w:r>
          </w:p>
        </w:tc>
        <w:tc>
          <w:tcPr>
            <w:tcW w:w="1406" w:type="dxa"/>
            <w:tcBorders>
              <w:top w:val="single" w:sz="4" w:space="0" w:color="auto"/>
              <w:left w:val="nil"/>
              <w:bottom w:val="single" w:sz="4" w:space="0" w:color="auto"/>
              <w:right w:val="single" w:sz="4" w:space="0" w:color="auto"/>
            </w:tcBorders>
            <w:shd w:val="clear" w:color="000000" w:fill="CCFFFF"/>
            <w:vAlign w:val="center"/>
          </w:tcPr>
          <w:p w:rsidR="00F40E87" w:rsidRPr="00895C47" w:rsidRDefault="00F40E87" w:rsidP="001A5BF9">
            <w:pPr>
              <w:spacing w:before="120" w:after="120"/>
              <w:jc w:val="center"/>
              <w:rPr>
                <w:rFonts w:cs="Arial"/>
                <w:bCs/>
                <w:sz w:val="16"/>
                <w:szCs w:val="16"/>
              </w:rPr>
            </w:pPr>
            <w:r w:rsidRPr="00895C47">
              <w:rPr>
                <w:sz w:val="16"/>
              </w:rPr>
              <w:t>Budget</w:t>
            </w:r>
            <w:r w:rsidRPr="00895C47">
              <w:br/>
            </w:r>
            <w:r w:rsidRPr="00895C47">
              <w:rPr>
                <w:sz w:val="16"/>
              </w:rPr>
              <w:t>2012</w:t>
            </w:r>
            <w:r w:rsidR="002D6F2A" w:rsidRPr="00895C47">
              <w:rPr>
                <w:sz w:val="16"/>
              </w:rPr>
              <w:noBreakHyphen/>
            </w:r>
            <w:r w:rsidRPr="00895C47">
              <w:rPr>
                <w:sz w:val="16"/>
              </w:rPr>
              <w:t>2013 après virements</w:t>
            </w:r>
          </w:p>
        </w:tc>
        <w:tc>
          <w:tcPr>
            <w:tcW w:w="1299" w:type="dxa"/>
            <w:tcBorders>
              <w:top w:val="single" w:sz="4" w:space="0" w:color="auto"/>
              <w:left w:val="nil"/>
              <w:bottom w:val="single" w:sz="4" w:space="0" w:color="auto"/>
              <w:right w:val="single" w:sz="4" w:space="0" w:color="auto"/>
            </w:tcBorders>
            <w:shd w:val="clear" w:color="000000" w:fill="CCFFFF"/>
            <w:vAlign w:val="center"/>
          </w:tcPr>
          <w:p w:rsidR="00F40E87" w:rsidRPr="00895C47" w:rsidRDefault="00F40E87" w:rsidP="001A5BF9">
            <w:pPr>
              <w:spacing w:before="120" w:after="120"/>
              <w:jc w:val="center"/>
              <w:rPr>
                <w:rFonts w:cs="Arial"/>
                <w:bCs/>
                <w:sz w:val="16"/>
                <w:szCs w:val="16"/>
              </w:rPr>
            </w:pPr>
            <w:r w:rsidRPr="00895C47">
              <w:rPr>
                <w:sz w:val="16"/>
              </w:rPr>
              <w:t>Dépenses</w:t>
            </w:r>
            <w:r w:rsidRPr="00895C47">
              <w:br/>
            </w:r>
            <w:r w:rsidRPr="00895C47">
              <w:rPr>
                <w:sz w:val="16"/>
              </w:rPr>
              <w:t>2012</w:t>
            </w:r>
            <w:r w:rsidR="002D6F2A" w:rsidRPr="00895C47">
              <w:rPr>
                <w:sz w:val="16"/>
              </w:rPr>
              <w:noBreakHyphen/>
            </w:r>
            <w:r w:rsidRPr="00895C47">
              <w:rPr>
                <w:sz w:val="16"/>
              </w:rPr>
              <w:t>2013</w:t>
            </w:r>
          </w:p>
        </w:tc>
      </w:tr>
      <w:tr w:rsidR="00F40E87" w:rsidRPr="00895C47" w:rsidTr="00BB3F3E">
        <w:tc>
          <w:tcPr>
            <w:tcW w:w="517" w:type="dxa"/>
            <w:tcBorders>
              <w:top w:val="nil"/>
              <w:left w:val="single" w:sz="4" w:space="0" w:color="auto"/>
              <w:bottom w:val="nil"/>
              <w:right w:val="nil"/>
            </w:tcBorders>
            <w:shd w:val="clear" w:color="000000" w:fill="FFFFFF"/>
            <w:noWrap/>
          </w:tcPr>
          <w:p w:rsidR="00F40E87" w:rsidRPr="00895C47" w:rsidRDefault="00F40E87" w:rsidP="001A5BF9">
            <w:pPr>
              <w:spacing w:before="120"/>
              <w:jc w:val="center"/>
              <w:rPr>
                <w:rFonts w:cs="Arial"/>
                <w:sz w:val="16"/>
                <w:szCs w:val="16"/>
              </w:rPr>
            </w:pPr>
            <w:proofErr w:type="spellStart"/>
            <w:r w:rsidRPr="00895C47">
              <w:rPr>
                <w:sz w:val="16"/>
              </w:rPr>
              <w:t>I.1</w:t>
            </w:r>
            <w:proofErr w:type="spellEnd"/>
          </w:p>
        </w:tc>
        <w:tc>
          <w:tcPr>
            <w:tcW w:w="4733" w:type="dxa"/>
            <w:tcBorders>
              <w:top w:val="nil"/>
              <w:left w:val="nil"/>
              <w:bottom w:val="nil"/>
              <w:right w:val="nil"/>
            </w:tcBorders>
            <w:shd w:val="clear" w:color="000000" w:fill="FFFFFF"/>
          </w:tcPr>
          <w:p w:rsidR="00F40E87" w:rsidRPr="00895C47" w:rsidRDefault="00F40E87" w:rsidP="001A5BF9">
            <w:pPr>
              <w:spacing w:before="120"/>
              <w:rPr>
                <w:rFonts w:cs="Arial"/>
                <w:sz w:val="16"/>
                <w:szCs w:val="16"/>
              </w:rPr>
            </w:pPr>
            <w:r w:rsidRPr="00895C47">
              <w:rPr>
                <w:sz w:val="16"/>
              </w:rPr>
              <w:t>Coopération et consensus renforcés entre les États membres en ce qui concerne le développement des cadres politiques et juridiques pour le système international des brevets, les marques, les dessins et modèles industriels, les indications géographiques, le droit d</w:t>
            </w:r>
            <w:r w:rsidR="00A20444" w:rsidRPr="00895C47">
              <w:rPr>
                <w:sz w:val="16"/>
              </w:rPr>
              <w:t>’</w:t>
            </w:r>
            <w:r w:rsidRPr="00895C47">
              <w:rPr>
                <w:sz w:val="16"/>
              </w:rPr>
              <w:t>auteur et les droits connexes, les savoirs traditionnels, les expressions culturelles traditionnelles et les ressources génétiques</w:t>
            </w:r>
          </w:p>
        </w:tc>
        <w:tc>
          <w:tcPr>
            <w:tcW w:w="1406" w:type="dxa"/>
            <w:tcBorders>
              <w:top w:val="nil"/>
              <w:left w:val="nil"/>
              <w:bottom w:val="nil"/>
              <w:right w:val="nil"/>
            </w:tcBorders>
            <w:shd w:val="clear" w:color="000000" w:fill="FFFFFF"/>
            <w:vAlign w:val="center"/>
          </w:tcPr>
          <w:p w:rsidR="00F40E87" w:rsidRPr="00895C47" w:rsidRDefault="00F40E87" w:rsidP="001A5BF9">
            <w:pPr>
              <w:spacing w:before="120"/>
              <w:jc w:val="right"/>
              <w:rPr>
                <w:rFonts w:cs="Arial"/>
                <w:sz w:val="16"/>
                <w:szCs w:val="16"/>
              </w:rPr>
            </w:pPr>
            <w:r w:rsidRPr="00895C47">
              <w:rPr>
                <w:sz w:val="16"/>
              </w:rPr>
              <w:t xml:space="preserve">5 034 </w:t>
            </w:r>
          </w:p>
        </w:tc>
        <w:tc>
          <w:tcPr>
            <w:tcW w:w="1406" w:type="dxa"/>
            <w:tcBorders>
              <w:top w:val="nil"/>
              <w:left w:val="nil"/>
              <w:bottom w:val="nil"/>
              <w:right w:val="nil"/>
            </w:tcBorders>
            <w:shd w:val="clear" w:color="000000" w:fill="FFFFFF"/>
            <w:vAlign w:val="center"/>
          </w:tcPr>
          <w:p w:rsidR="00F40E87" w:rsidRPr="00895C47" w:rsidRDefault="00F40E87" w:rsidP="001A5BF9">
            <w:pPr>
              <w:spacing w:before="120"/>
              <w:jc w:val="right"/>
              <w:rPr>
                <w:rFonts w:cs="Arial"/>
                <w:sz w:val="16"/>
                <w:szCs w:val="16"/>
              </w:rPr>
            </w:pPr>
            <w:r w:rsidRPr="00895C47">
              <w:rPr>
                <w:sz w:val="16"/>
              </w:rPr>
              <w:t>3 919</w:t>
            </w:r>
          </w:p>
        </w:tc>
        <w:tc>
          <w:tcPr>
            <w:tcW w:w="1299" w:type="dxa"/>
            <w:tcBorders>
              <w:top w:val="nil"/>
              <w:left w:val="nil"/>
              <w:bottom w:val="nil"/>
              <w:right w:val="single" w:sz="4" w:space="0" w:color="auto"/>
            </w:tcBorders>
            <w:shd w:val="clear" w:color="000000" w:fill="FFFFFF"/>
            <w:vAlign w:val="center"/>
          </w:tcPr>
          <w:p w:rsidR="00F40E87" w:rsidRPr="00895C47" w:rsidRDefault="00F40E87" w:rsidP="001A5BF9">
            <w:pPr>
              <w:spacing w:before="120"/>
              <w:jc w:val="right"/>
              <w:rPr>
                <w:rFonts w:cs="Arial"/>
                <w:sz w:val="16"/>
                <w:szCs w:val="16"/>
              </w:rPr>
            </w:pPr>
            <w:r w:rsidRPr="00895C47">
              <w:rPr>
                <w:sz w:val="16"/>
              </w:rPr>
              <w:t xml:space="preserve">3 873 </w:t>
            </w:r>
          </w:p>
        </w:tc>
      </w:tr>
      <w:tr w:rsidR="00F40E87" w:rsidRPr="00895C47" w:rsidTr="00BB3F3E">
        <w:tc>
          <w:tcPr>
            <w:tcW w:w="517" w:type="dxa"/>
            <w:tcBorders>
              <w:top w:val="nil"/>
              <w:left w:val="single" w:sz="4" w:space="0" w:color="auto"/>
              <w:bottom w:val="nil"/>
              <w:right w:val="nil"/>
            </w:tcBorders>
            <w:shd w:val="clear" w:color="000000" w:fill="FFFFFF"/>
            <w:noWrap/>
          </w:tcPr>
          <w:p w:rsidR="00F40E87" w:rsidRPr="00895C47" w:rsidRDefault="00F40E87" w:rsidP="001A5BF9">
            <w:pPr>
              <w:spacing w:before="120"/>
              <w:jc w:val="center"/>
              <w:rPr>
                <w:rFonts w:cs="Arial"/>
                <w:sz w:val="16"/>
                <w:szCs w:val="16"/>
              </w:rPr>
            </w:pPr>
            <w:proofErr w:type="spellStart"/>
            <w:r w:rsidRPr="00895C47">
              <w:rPr>
                <w:sz w:val="16"/>
              </w:rPr>
              <w:t>III.2</w:t>
            </w:r>
            <w:proofErr w:type="spellEnd"/>
          </w:p>
        </w:tc>
        <w:tc>
          <w:tcPr>
            <w:tcW w:w="4733" w:type="dxa"/>
            <w:tcBorders>
              <w:top w:val="nil"/>
              <w:left w:val="nil"/>
              <w:bottom w:val="nil"/>
              <w:right w:val="nil"/>
            </w:tcBorders>
            <w:shd w:val="clear" w:color="000000" w:fill="FFFFFF"/>
          </w:tcPr>
          <w:p w:rsidR="00F40E87" w:rsidRPr="00895C47" w:rsidRDefault="00F40E87" w:rsidP="001A5BF9">
            <w:pPr>
              <w:spacing w:before="120"/>
              <w:rPr>
                <w:rFonts w:cs="Arial"/>
                <w:sz w:val="16"/>
                <w:szCs w:val="16"/>
              </w:rPr>
            </w:pPr>
            <w:r w:rsidRPr="00895C47">
              <w:rPr>
                <w:sz w:val="16"/>
              </w:rPr>
              <w:t>Renforcement des capacités en matière de ressources humaines pour pouvoir répondre aux nombreuses exigences en ce qui concerne l</w:t>
            </w:r>
            <w:r w:rsidR="00A20444" w:rsidRPr="00895C47">
              <w:rPr>
                <w:sz w:val="16"/>
              </w:rPr>
              <w:t>’</w:t>
            </w:r>
            <w:r w:rsidRPr="00895C47">
              <w:rPr>
                <w:sz w:val="16"/>
              </w:rPr>
              <w:t>utilisation efficace de la propriété intellectuelle au service du développement dans les pays en développement,</w:t>
            </w:r>
            <w:r w:rsidR="00A20444" w:rsidRPr="00895C47">
              <w:rPr>
                <w:sz w:val="16"/>
              </w:rPr>
              <w:t xml:space="preserve"> les PMA</w:t>
            </w:r>
            <w:r w:rsidRPr="00895C47">
              <w:rPr>
                <w:sz w:val="16"/>
              </w:rPr>
              <w:t xml:space="preserve"> et les pays en transition</w:t>
            </w:r>
          </w:p>
        </w:tc>
        <w:tc>
          <w:tcPr>
            <w:tcW w:w="1406" w:type="dxa"/>
            <w:tcBorders>
              <w:top w:val="nil"/>
              <w:left w:val="nil"/>
              <w:bottom w:val="nil"/>
              <w:right w:val="nil"/>
            </w:tcBorders>
            <w:shd w:val="clear" w:color="000000" w:fill="FFFFFF"/>
            <w:vAlign w:val="center"/>
          </w:tcPr>
          <w:p w:rsidR="00F40E87" w:rsidRPr="00895C47" w:rsidRDefault="00F40E87" w:rsidP="001A5BF9">
            <w:pPr>
              <w:spacing w:before="120"/>
              <w:jc w:val="right"/>
              <w:rPr>
                <w:rFonts w:cs="Arial"/>
                <w:sz w:val="16"/>
                <w:szCs w:val="16"/>
              </w:rPr>
            </w:pPr>
            <w:r w:rsidRPr="00895C47">
              <w:rPr>
                <w:sz w:val="16"/>
              </w:rPr>
              <w:t xml:space="preserve">2 121 </w:t>
            </w:r>
          </w:p>
        </w:tc>
        <w:tc>
          <w:tcPr>
            <w:tcW w:w="1406" w:type="dxa"/>
            <w:tcBorders>
              <w:top w:val="nil"/>
              <w:left w:val="nil"/>
              <w:bottom w:val="nil"/>
              <w:right w:val="nil"/>
            </w:tcBorders>
            <w:shd w:val="clear" w:color="000000" w:fill="FFFFFF"/>
            <w:vAlign w:val="center"/>
          </w:tcPr>
          <w:p w:rsidR="00F40E87" w:rsidRPr="00895C47" w:rsidRDefault="00F40E87" w:rsidP="001A5BF9">
            <w:pPr>
              <w:spacing w:before="120"/>
              <w:jc w:val="right"/>
              <w:rPr>
                <w:rFonts w:cs="Arial"/>
                <w:sz w:val="16"/>
                <w:szCs w:val="16"/>
              </w:rPr>
            </w:pPr>
            <w:r w:rsidRPr="00895C47">
              <w:rPr>
                <w:sz w:val="16"/>
              </w:rPr>
              <w:t>1 909</w:t>
            </w:r>
          </w:p>
        </w:tc>
        <w:tc>
          <w:tcPr>
            <w:tcW w:w="1299" w:type="dxa"/>
            <w:tcBorders>
              <w:top w:val="nil"/>
              <w:left w:val="nil"/>
              <w:bottom w:val="nil"/>
              <w:right w:val="single" w:sz="4" w:space="0" w:color="auto"/>
            </w:tcBorders>
            <w:shd w:val="clear" w:color="000000" w:fill="FFFFFF"/>
            <w:vAlign w:val="center"/>
          </w:tcPr>
          <w:p w:rsidR="00F40E87" w:rsidRPr="00895C47" w:rsidRDefault="00F40E87" w:rsidP="001A5BF9">
            <w:pPr>
              <w:spacing w:before="120"/>
              <w:jc w:val="right"/>
              <w:rPr>
                <w:rFonts w:cs="Arial"/>
                <w:sz w:val="16"/>
                <w:szCs w:val="16"/>
              </w:rPr>
            </w:pPr>
            <w:r w:rsidRPr="00895C47">
              <w:rPr>
                <w:sz w:val="16"/>
              </w:rPr>
              <w:t xml:space="preserve">1 658 </w:t>
            </w:r>
          </w:p>
        </w:tc>
      </w:tr>
      <w:tr w:rsidR="00F40E87" w:rsidRPr="00895C47" w:rsidTr="00BB3F3E">
        <w:tc>
          <w:tcPr>
            <w:tcW w:w="517" w:type="dxa"/>
            <w:tcBorders>
              <w:top w:val="nil"/>
              <w:left w:val="single" w:sz="4" w:space="0" w:color="auto"/>
              <w:bottom w:val="single" w:sz="4" w:space="0" w:color="auto"/>
              <w:right w:val="nil"/>
            </w:tcBorders>
            <w:shd w:val="clear" w:color="000000" w:fill="FFFFFF"/>
            <w:noWrap/>
          </w:tcPr>
          <w:p w:rsidR="00F40E87" w:rsidRPr="00895C47" w:rsidRDefault="00F40E87" w:rsidP="001A5BF9">
            <w:pPr>
              <w:spacing w:before="120" w:after="120"/>
              <w:jc w:val="center"/>
              <w:rPr>
                <w:rFonts w:cs="Arial"/>
                <w:sz w:val="16"/>
                <w:szCs w:val="16"/>
              </w:rPr>
            </w:pPr>
            <w:proofErr w:type="spellStart"/>
            <w:r w:rsidRPr="00895C47">
              <w:rPr>
                <w:sz w:val="16"/>
              </w:rPr>
              <w:t>III.9</w:t>
            </w:r>
            <w:proofErr w:type="spellEnd"/>
          </w:p>
        </w:tc>
        <w:tc>
          <w:tcPr>
            <w:tcW w:w="4733" w:type="dxa"/>
            <w:tcBorders>
              <w:top w:val="nil"/>
              <w:left w:val="nil"/>
              <w:bottom w:val="single" w:sz="4" w:space="0" w:color="auto"/>
              <w:right w:val="nil"/>
            </w:tcBorders>
            <w:shd w:val="clear" w:color="000000" w:fill="FFFFFF"/>
          </w:tcPr>
          <w:p w:rsidR="00F40E87" w:rsidRPr="00895C47" w:rsidRDefault="00F40E87" w:rsidP="001A5BF9">
            <w:pPr>
              <w:spacing w:before="120" w:after="120"/>
              <w:rPr>
                <w:rFonts w:cs="Arial"/>
                <w:sz w:val="16"/>
                <w:szCs w:val="16"/>
              </w:rPr>
            </w:pPr>
            <w:r w:rsidRPr="00895C47">
              <w:rPr>
                <w:sz w:val="16"/>
              </w:rPr>
              <w:t>Reconnaissance par les États membres, les communautés, les organisations et les autres parties prenantes de l</w:t>
            </w:r>
            <w:r w:rsidR="00A20444" w:rsidRPr="00895C47">
              <w:rPr>
                <w:sz w:val="16"/>
              </w:rPr>
              <w:t>’</w:t>
            </w:r>
            <w:r w:rsidRPr="00895C47">
              <w:rPr>
                <w:sz w:val="16"/>
              </w:rPr>
              <w:t>utilité et de l</w:t>
            </w:r>
            <w:r w:rsidR="00A20444" w:rsidRPr="00895C47">
              <w:rPr>
                <w:sz w:val="16"/>
              </w:rPr>
              <w:t>’</w:t>
            </w:r>
            <w:r w:rsidRPr="00895C47">
              <w:rPr>
                <w:sz w:val="16"/>
              </w:rPr>
              <w:t>efficacité des ressources, des programmes et des instruments de l</w:t>
            </w:r>
            <w:r w:rsidR="00A20444" w:rsidRPr="00895C47">
              <w:rPr>
                <w:sz w:val="16"/>
              </w:rPr>
              <w:t>’</w:t>
            </w:r>
            <w:r w:rsidRPr="00895C47">
              <w:rPr>
                <w:sz w:val="16"/>
              </w:rPr>
              <w:t>OMPI</w:t>
            </w:r>
          </w:p>
        </w:tc>
        <w:tc>
          <w:tcPr>
            <w:tcW w:w="1406" w:type="dxa"/>
            <w:tcBorders>
              <w:top w:val="nil"/>
              <w:left w:val="nil"/>
              <w:bottom w:val="single" w:sz="4" w:space="0" w:color="auto"/>
              <w:right w:val="nil"/>
            </w:tcBorders>
            <w:shd w:val="clear" w:color="000000" w:fill="FFFFFF"/>
            <w:vAlign w:val="center"/>
          </w:tcPr>
          <w:p w:rsidR="00F40E87" w:rsidRPr="00895C47" w:rsidRDefault="00F40E87" w:rsidP="001A5BF9">
            <w:pPr>
              <w:spacing w:before="120" w:after="120"/>
              <w:jc w:val="right"/>
              <w:rPr>
                <w:rFonts w:cs="Arial"/>
                <w:sz w:val="16"/>
                <w:szCs w:val="16"/>
              </w:rPr>
            </w:pPr>
            <w:r w:rsidRPr="00895C47">
              <w:rPr>
                <w:sz w:val="16"/>
              </w:rPr>
              <w:t xml:space="preserve">825 </w:t>
            </w:r>
          </w:p>
        </w:tc>
        <w:tc>
          <w:tcPr>
            <w:tcW w:w="1406" w:type="dxa"/>
            <w:tcBorders>
              <w:top w:val="nil"/>
              <w:left w:val="nil"/>
              <w:bottom w:val="single" w:sz="4" w:space="0" w:color="auto"/>
              <w:right w:val="nil"/>
            </w:tcBorders>
            <w:shd w:val="clear" w:color="000000" w:fill="FFFFFF"/>
            <w:vAlign w:val="center"/>
          </w:tcPr>
          <w:p w:rsidR="00F40E87" w:rsidRPr="00895C47" w:rsidRDefault="00F40E87" w:rsidP="001A5BF9">
            <w:pPr>
              <w:spacing w:before="120" w:after="120"/>
              <w:jc w:val="right"/>
              <w:rPr>
                <w:rFonts w:cs="Arial"/>
                <w:sz w:val="16"/>
                <w:szCs w:val="16"/>
              </w:rPr>
            </w:pPr>
            <w:r w:rsidRPr="00895C47">
              <w:rPr>
                <w:sz w:val="16"/>
              </w:rPr>
              <w:t xml:space="preserve">849 </w:t>
            </w:r>
          </w:p>
        </w:tc>
        <w:tc>
          <w:tcPr>
            <w:tcW w:w="1299" w:type="dxa"/>
            <w:tcBorders>
              <w:top w:val="nil"/>
              <w:left w:val="nil"/>
              <w:bottom w:val="single" w:sz="4" w:space="0" w:color="auto"/>
              <w:right w:val="single" w:sz="4" w:space="0" w:color="auto"/>
            </w:tcBorders>
            <w:shd w:val="clear" w:color="000000" w:fill="FFFFFF"/>
            <w:vAlign w:val="center"/>
          </w:tcPr>
          <w:p w:rsidR="00F40E87" w:rsidRPr="00895C47" w:rsidRDefault="00F40E87" w:rsidP="001A5BF9">
            <w:pPr>
              <w:spacing w:before="120" w:after="120"/>
              <w:jc w:val="right"/>
              <w:rPr>
                <w:rFonts w:cs="Arial"/>
                <w:sz w:val="16"/>
                <w:szCs w:val="16"/>
              </w:rPr>
            </w:pPr>
            <w:r w:rsidRPr="00895C47">
              <w:rPr>
                <w:sz w:val="16"/>
              </w:rPr>
              <w:t xml:space="preserve">812 </w:t>
            </w:r>
          </w:p>
        </w:tc>
      </w:tr>
      <w:tr w:rsidR="00F40E87" w:rsidRPr="00895C47" w:rsidTr="00BB3F3E">
        <w:tc>
          <w:tcPr>
            <w:tcW w:w="517" w:type="dxa"/>
            <w:tcBorders>
              <w:top w:val="nil"/>
              <w:left w:val="single" w:sz="4" w:space="0" w:color="auto"/>
              <w:bottom w:val="single" w:sz="4" w:space="0" w:color="auto"/>
              <w:right w:val="nil"/>
            </w:tcBorders>
            <w:shd w:val="clear" w:color="000000" w:fill="CCFFFF"/>
            <w:noWrap/>
            <w:vAlign w:val="bottom"/>
          </w:tcPr>
          <w:p w:rsidR="00F40E87" w:rsidRPr="00895C47" w:rsidRDefault="00F40E87" w:rsidP="001A5BF9">
            <w:pPr>
              <w:spacing w:before="120" w:after="120"/>
              <w:jc w:val="center"/>
              <w:rPr>
                <w:rFonts w:cs="Arial"/>
                <w:b/>
                <w:bCs/>
                <w:sz w:val="16"/>
                <w:szCs w:val="16"/>
              </w:rPr>
            </w:pPr>
            <w:r w:rsidRPr="00895C47">
              <w:rPr>
                <w:b/>
                <w:sz w:val="16"/>
              </w:rPr>
              <w:t> </w:t>
            </w:r>
          </w:p>
        </w:tc>
        <w:tc>
          <w:tcPr>
            <w:tcW w:w="4733" w:type="dxa"/>
            <w:tcBorders>
              <w:top w:val="nil"/>
              <w:left w:val="nil"/>
              <w:bottom w:val="single" w:sz="4" w:space="0" w:color="auto"/>
              <w:right w:val="nil"/>
            </w:tcBorders>
            <w:shd w:val="clear" w:color="000000" w:fill="CCFFFF"/>
            <w:noWrap/>
            <w:vAlign w:val="center"/>
          </w:tcPr>
          <w:p w:rsidR="00F40E87" w:rsidRPr="00895C47" w:rsidRDefault="00F40E87" w:rsidP="001A5BF9">
            <w:pPr>
              <w:spacing w:before="120" w:after="120"/>
              <w:rPr>
                <w:rFonts w:cs="Arial"/>
                <w:b/>
                <w:bCs/>
                <w:sz w:val="16"/>
                <w:szCs w:val="16"/>
              </w:rPr>
            </w:pPr>
            <w:r w:rsidRPr="00895C47">
              <w:rPr>
                <w:b/>
                <w:sz w:val="16"/>
              </w:rPr>
              <w:t>Total</w:t>
            </w:r>
          </w:p>
        </w:tc>
        <w:tc>
          <w:tcPr>
            <w:tcW w:w="1406" w:type="dxa"/>
            <w:tcBorders>
              <w:top w:val="nil"/>
              <w:left w:val="single" w:sz="4" w:space="0" w:color="auto"/>
              <w:bottom w:val="single" w:sz="4" w:space="0" w:color="auto"/>
              <w:right w:val="single" w:sz="4" w:space="0" w:color="auto"/>
            </w:tcBorders>
            <w:shd w:val="clear" w:color="000000" w:fill="CCFFFF"/>
            <w:vAlign w:val="center"/>
          </w:tcPr>
          <w:p w:rsidR="00F40E87" w:rsidRPr="00895C47" w:rsidRDefault="00F40E87" w:rsidP="001A5BF9">
            <w:pPr>
              <w:spacing w:before="120" w:after="120"/>
              <w:jc w:val="right"/>
              <w:rPr>
                <w:rFonts w:cs="Arial"/>
                <w:b/>
                <w:bCs/>
                <w:sz w:val="16"/>
                <w:szCs w:val="16"/>
              </w:rPr>
            </w:pPr>
            <w:r w:rsidRPr="00895C47">
              <w:rPr>
                <w:b/>
                <w:sz w:val="16"/>
              </w:rPr>
              <w:t>7 980</w:t>
            </w:r>
          </w:p>
        </w:tc>
        <w:tc>
          <w:tcPr>
            <w:tcW w:w="1406" w:type="dxa"/>
            <w:tcBorders>
              <w:top w:val="nil"/>
              <w:left w:val="nil"/>
              <w:bottom w:val="single" w:sz="4" w:space="0" w:color="auto"/>
              <w:right w:val="single" w:sz="4" w:space="0" w:color="auto"/>
            </w:tcBorders>
            <w:shd w:val="clear" w:color="000000" w:fill="CCFFFF"/>
            <w:noWrap/>
            <w:vAlign w:val="center"/>
          </w:tcPr>
          <w:p w:rsidR="00F40E87" w:rsidRPr="00895C47" w:rsidRDefault="00F40E87" w:rsidP="001A5BF9">
            <w:pPr>
              <w:spacing w:before="120" w:after="120"/>
              <w:jc w:val="right"/>
              <w:rPr>
                <w:rFonts w:cs="Arial"/>
                <w:b/>
                <w:bCs/>
                <w:sz w:val="16"/>
                <w:szCs w:val="16"/>
              </w:rPr>
            </w:pPr>
            <w:r w:rsidRPr="00895C47">
              <w:rPr>
                <w:b/>
                <w:sz w:val="16"/>
              </w:rPr>
              <w:t>6 677</w:t>
            </w:r>
          </w:p>
        </w:tc>
        <w:tc>
          <w:tcPr>
            <w:tcW w:w="1299" w:type="dxa"/>
            <w:tcBorders>
              <w:top w:val="nil"/>
              <w:left w:val="nil"/>
              <w:bottom w:val="single" w:sz="4" w:space="0" w:color="auto"/>
              <w:right w:val="single" w:sz="4" w:space="0" w:color="auto"/>
            </w:tcBorders>
            <w:shd w:val="clear" w:color="000000" w:fill="CCFFFF"/>
            <w:vAlign w:val="center"/>
          </w:tcPr>
          <w:p w:rsidR="00F40E87" w:rsidRPr="00895C47" w:rsidRDefault="00F40E87" w:rsidP="001A5BF9">
            <w:pPr>
              <w:spacing w:before="120" w:after="120"/>
              <w:jc w:val="right"/>
              <w:rPr>
                <w:rFonts w:cs="Arial"/>
                <w:b/>
                <w:bCs/>
                <w:sz w:val="16"/>
                <w:szCs w:val="16"/>
              </w:rPr>
            </w:pPr>
            <w:r w:rsidRPr="00895C47">
              <w:rPr>
                <w:b/>
                <w:sz w:val="16"/>
              </w:rPr>
              <w:t>6 343</w:t>
            </w:r>
          </w:p>
        </w:tc>
      </w:tr>
    </w:tbl>
    <w:p w:rsidR="00D42474" w:rsidRDefault="00D42474" w:rsidP="001A5BF9">
      <w:pPr>
        <w:rPr>
          <w:rFonts w:cs="Arial"/>
          <w:color w:val="000000"/>
          <w:szCs w:val="22"/>
        </w:rPr>
      </w:pPr>
    </w:p>
    <w:p w:rsidR="00D42474" w:rsidRDefault="00D42474" w:rsidP="001A5BF9">
      <w:pPr>
        <w:pStyle w:val="NormalWeb"/>
        <w:spacing w:before="0" w:beforeAutospacing="0" w:after="0" w:afterAutospacing="0"/>
        <w:jc w:val="center"/>
        <w:rPr>
          <w:color w:val="000000"/>
          <w:sz w:val="20"/>
          <w:szCs w:val="20"/>
        </w:rPr>
      </w:pPr>
    </w:p>
    <w:p w:rsidR="00D42474" w:rsidRDefault="00F40E87" w:rsidP="001A5BF9">
      <w:pPr>
        <w:pStyle w:val="NormalWeb"/>
        <w:spacing w:before="0" w:beforeAutospacing="0" w:after="0" w:afterAutospacing="0"/>
        <w:jc w:val="center"/>
        <w:rPr>
          <w:color w:val="000000"/>
          <w:sz w:val="20"/>
        </w:rPr>
      </w:pPr>
      <w:r w:rsidRPr="005C7CCE">
        <w:rPr>
          <w:color w:val="000000"/>
          <w:sz w:val="20"/>
        </w:rPr>
        <w:t xml:space="preserve">Budget et dépenses effectives (dépenses de </w:t>
      </w:r>
      <w:proofErr w:type="gramStart"/>
      <w:r w:rsidRPr="005C7CCE">
        <w:rPr>
          <w:color w:val="000000"/>
          <w:sz w:val="20"/>
        </w:rPr>
        <w:t>personnel et autres dépenses</w:t>
      </w:r>
      <w:proofErr w:type="gramEnd"/>
      <w:r w:rsidRPr="005C7CCE">
        <w:rPr>
          <w:color w:val="000000"/>
          <w:sz w:val="20"/>
        </w:rPr>
        <w:t>)</w:t>
      </w:r>
    </w:p>
    <w:p w:rsidR="00D42474" w:rsidRDefault="00F40E87" w:rsidP="001A5BF9">
      <w:pPr>
        <w:pStyle w:val="NormalWeb"/>
        <w:spacing w:before="0" w:beforeAutospacing="0" w:after="0" w:afterAutospacing="0"/>
        <w:jc w:val="center"/>
        <w:rPr>
          <w:i/>
          <w:iCs/>
          <w:sz w:val="20"/>
          <w:szCs w:val="20"/>
        </w:rPr>
      </w:pPr>
      <w:r w:rsidRPr="00895C47">
        <w:rPr>
          <w:i/>
          <w:sz w:val="20"/>
        </w:rPr>
        <w:t>(</w:t>
      </w:r>
      <w:proofErr w:type="gramStart"/>
      <w:r w:rsidRPr="00895C47">
        <w:rPr>
          <w:i/>
          <w:sz w:val="20"/>
        </w:rPr>
        <w:t>en</w:t>
      </w:r>
      <w:proofErr w:type="gramEnd"/>
      <w:r w:rsidRPr="00895C47">
        <w:rPr>
          <w:i/>
          <w:sz w:val="20"/>
        </w:rPr>
        <w:t xml:space="preserve"> milliers de francs suisses)</w:t>
      </w:r>
    </w:p>
    <w:p w:rsidR="00F40E87" w:rsidRPr="005C7CCE" w:rsidRDefault="00F40E87" w:rsidP="001A5BF9">
      <w:pPr>
        <w:pStyle w:val="NormalWeb"/>
        <w:spacing w:before="0" w:beforeAutospacing="0" w:after="0" w:afterAutospacing="0"/>
        <w:jc w:val="center"/>
        <w:rPr>
          <w:sz w:val="20"/>
          <w:szCs w:val="20"/>
        </w:rPr>
      </w:pPr>
    </w:p>
    <w:tbl>
      <w:tblPr>
        <w:tblW w:w="0" w:type="auto"/>
        <w:tblInd w:w="93" w:type="dxa"/>
        <w:tblLook w:val="04A0" w:firstRow="1" w:lastRow="0" w:firstColumn="1" w:lastColumn="0" w:noHBand="0" w:noVBand="1"/>
      </w:tblPr>
      <w:tblGrid>
        <w:gridCol w:w="2425"/>
        <w:gridCol w:w="1736"/>
        <w:gridCol w:w="1737"/>
        <w:gridCol w:w="1736"/>
        <w:gridCol w:w="1737"/>
      </w:tblGrid>
      <w:tr w:rsidR="00F40E87" w:rsidRPr="00895C47" w:rsidTr="00BB3F3E">
        <w:tc>
          <w:tcPr>
            <w:tcW w:w="2425"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F40E87" w:rsidRPr="00895C47" w:rsidRDefault="00F40E87" w:rsidP="001A5BF9">
            <w:pPr>
              <w:spacing w:before="120" w:after="120"/>
              <w:rPr>
                <w:rFonts w:cs="Arial"/>
                <w:sz w:val="16"/>
                <w:szCs w:val="16"/>
              </w:rPr>
            </w:pPr>
            <w:r w:rsidRPr="00895C47">
              <w:rPr>
                <w:sz w:val="16"/>
              </w:rPr>
              <w:t> </w:t>
            </w:r>
          </w:p>
        </w:tc>
        <w:tc>
          <w:tcPr>
            <w:tcW w:w="1736" w:type="dxa"/>
            <w:tcBorders>
              <w:top w:val="single" w:sz="4" w:space="0" w:color="auto"/>
              <w:left w:val="nil"/>
              <w:bottom w:val="nil"/>
              <w:right w:val="single" w:sz="4" w:space="0" w:color="auto"/>
            </w:tcBorders>
            <w:shd w:val="clear" w:color="000000" w:fill="CCFFFF"/>
            <w:vAlign w:val="center"/>
          </w:tcPr>
          <w:p w:rsidR="00F40E87" w:rsidRPr="00895C47" w:rsidRDefault="00F40E87" w:rsidP="001A5BF9">
            <w:pPr>
              <w:spacing w:before="120" w:after="120"/>
              <w:jc w:val="center"/>
              <w:rPr>
                <w:rFonts w:cs="Arial"/>
                <w:bCs/>
                <w:sz w:val="16"/>
                <w:szCs w:val="16"/>
              </w:rPr>
            </w:pPr>
            <w:r w:rsidRPr="00895C47">
              <w:rPr>
                <w:sz w:val="16"/>
              </w:rPr>
              <w:t>Budget</w:t>
            </w:r>
            <w:r w:rsidRPr="00895C47">
              <w:br/>
            </w:r>
            <w:r w:rsidRPr="00895C47">
              <w:rPr>
                <w:sz w:val="16"/>
              </w:rPr>
              <w:t>2012</w:t>
            </w:r>
            <w:r w:rsidR="002D6F2A" w:rsidRPr="00895C47">
              <w:rPr>
                <w:sz w:val="16"/>
              </w:rPr>
              <w:noBreakHyphen/>
            </w:r>
            <w:r w:rsidRPr="00895C47">
              <w:rPr>
                <w:sz w:val="16"/>
              </w:rPr>
              <w:t>2013</w:t>
            </w:r>
            <w:r w:rsidRPr="00895C47">
              <w:br/>
            </w:r>
            <w:r w:rsidRPr="00895C47">
              <w:rPr>
                <w:sz w:val="16"/>
              </w:rPr>
              <w:t>approuvé</w:t>
            </w:r>
          </w:p>
        </w:tc>
        <w:tc>
          <w:tcPr>
            <w:tcW w:w="1737" w:type="dxa"/>
            <w:tcBorders>
              <w:top w:val="single" w:sz="4" w:space="0" w:color="auto"/>
              <w:left w:val="nil"/>
              <w:bottom w:val="nil"/>
              <w:right w:val="single" w:sz="4" w:space="0" w:color="auto"/>
            </w:tcBorders>
            <w:shd w:val="clear" w:color="000000" w:fill="CCFFFF"/>
            <w:vAlign w:val="center"/>
          </w:tcPr>
          <w:p w:rsidR="00F40E87" w:rsidRPr="00895C47" w:rsidRDefault="00F40E87" w:rsidP="001A5BF9">
            <w:pPr>
              <w:spacing w:before="120" w:after="120"/>
              <w:jc w:val="center"/>
              <w:rPr>
                <w:rFonts w:cs="Arial"/>
                <w:bCs/>
                <w:sz w:val="16"/>
                <w:szCs w:val="16"/>
              </w:rPr>
            </w:pPr>
            <w:r w:rsidRPr="00895C47">
              <w:rPr>
                <w:sz w:val="16"/>
              </w:rPr>
              <w:t>Budget</w:t>
            </w:r>
            <w:r w:rsidRPr="00895C47">
              <w:br/>
            </w:r>
            <w:r w:rsidRPr="00895C47">
              <w:rPr>
                <w:sz w:val="16"/>
              </w:rPr>
              <w:t>2012</w:t>
            </w:r>
            <w:r w:rsidR="002D6F2A" w:rsidRPr="00895C47">
              <w:rPr>
                <w:sz w:val="16"/>
              </w:rPr>
              <w:noBreakHyphen/>
            </w:r>
            <w:r w:rsidRPr="00895C47">
              <w:rPr>
                <w:sz w:val="16"/>
              </w:rPr>
              <w:t>2013</w:t>
            </w:r>
            <w:r w:rsidRPr="00895C47">
              <w:br/>
            </w:r>
            <w:r w:rsidRPr="00895C47">
              <w:rPr>
                <w:sz w:val="16"/>
              </w:rPr>
              <w:t>après virements</w:t>
            </w:r>
          </w:p>
        </w:tc>
        <w:tc>
          <w:tcPr>
            <w:tcW w:w="1736" w:type="dxa"/>
            <w:tcBorders>
              <w:top w:val="single" w:sz="4" w:space="0" w:color="auto"/>
              <w:left w:val="nil"/>
              <w:bottom w:val="nil"/>
              <w:right w:val="single" w:sz="4" w:space="0" w:color="auto"/>
            </w:tcBorders>
            <w:shd w:val="clear" w:color="000000" w:fill="CCFFFF"/>
            <w:vAlign w:val="center"/>
          </w:tcPr>
          <w:p w:rsidR="00F40E87" w:rsidRPr="00895C47" w:rsidRDefault="00F40E87" w:rsidP="001A5BF9">
            <w:pPr>
              <w:spacing w:before="120" w:after="120"/>
              <w:jc w:val="center"/>
              <w:rPr>
                <w:rFonts w:cs="Arial"/>
                <w:bCs/>
                <w:sz w:val="16"/>
                <w:szCs w:val="16"/>
              </w:rPr>
            </w:pPr>
            <w:r w:rsidRPr="00895C47">
              <w:rPr>
                <w:sz w:val="16"/>
              </w:rPr>
              <w:t>Dépenses</w:t>
            </w:r>
            <w:r w:rsidRPr="00895C47">
              <w:br/>
            </w:r>
            <w:r w:rsidRPr="00895C47">
              <w:rPr>
                <w:sz w:val="16"/>
              </w:rPr>
              <w:t>2012</w:t>
            </w:r>
            <w:r w:rsidR="002D6F2A" w:rsidRPr="00895C47">
              <w:rPr>
                <w:sz w:val="16"/>
              </w:rPr>
              <w:noBreakHyphen/>
            </w:r>
            <w:r w:rsidRPr="00895C47">
              <w:rPr>
                <w:sz w:val="16"/>
              </w:rPr>
              <w:t>2013</w:t>
            </w:r>
          </w:p>
        </w:tc>
        <w:tc>
          <w:tcPr>
            <w:tcW w:w="1737" w:type="dxa"/>
            <w:tcBorders>
              <w:top w:val="single" w:sz="4" w:space="0" w:color="auto"/>
              <w:left w:val="nil"/>
              <w:bottom w:val="nil"/>
              <w:right w:val="single" w:sz="4" w:space="0" w:color="auto"/>
            </w:tcBorders>
            <w:shd w:val="clear" w:color="000000" w:fill="CCFFFF"/>
            <w:vAlign w:val="center"/>
          </w:tcPr>
          <w:p w:rsidR="00F40E87" w:rsidRPr="00895C47" w:rsidRDefault="00F40E87" w:rsidP="001A5BF9">
            <w:pPr>
              <w:spacing w:before="120" w:after="120"/>
              <w:jc w:val="center"/>
              <w:rPr>
                <w:rFonts w:cs="Arial"/>
                <w:bCs/>
                <w:sz w:val="16"/>
                <w:szCs w:val="16"/>
              </w:rPr>
            </w:pPr>
            <w:r w:rsidRPr="00895C47">
              <w:rPr>
                <w:sz w:val="16"/>
              </w:rPr>
              <w:t>Taux d</w:t>
            </w:r>
            <w:r w:rsidR="00A20444" w:rsidRPr="00895C47">
              <w:rPr>
                <w:sz w:val="16"/>
              </w:rPr>
              <w:t>’</w:t>
            </w:r>
            <w:r w:rsidRPr="00895C47">
              <w:rPr>
                <w:sz w:val="16"/>
              </w:rPr>
              <w:t xml:space="preserve">utilisation </w:t>
            </w:r>
            <w:r w:rsidR="00BD43F2" w:rsidRPr="00895C47">
              <w:rPr>
                <w:sz w:val="16"/>
              </w:rPr>
              <w:t>(</w:t>
            </w:r>
            <w:r w:rsidR="007E442D" w:rsidRPr="00895C47">
              <w:rPr>
                <w:sz w:val="16"/>
              </w:rPr>
              <w:t>%</w:t>
            </w:r>
            <w:r w:rsidRPr="00895C47">
              <w:rPr>
                <w:sz w:val="16"/>
              </w:rPr>
              <w:t>)</w:t>
            </w:r>
          </w:p>
        </w:tc>
      </w:tr>
      <w:tr w:rsidR="00F40E87" w:rsidRPr="00895C47" w:rsidTr="00BB3F3E">
        <w:tc>
          <w:tcPr>
            <w:tcW w:w="2425" w:type="dxa"/>
            <w:tcBorders>
              <w:top w:val="nil"/>
              <w:left w:val="single" w:sz="4" w:space="0" w:color="auto"/>
              <w:bottom w:val="single" w:sz="4" w:space="0" w:color="auto"/>
              <w:right w:val="single" w:sz="4" w:space="0" w:color="auto"/>
            </w:tcBorders>
            <w:shd w:val="clear" w:color="auto" w:fill="auto"/>
            <w:noWrap/>
            <w:vAlign w:val="center"/>
          </w:tcPr>
          <w:p w:rsidR="00F40E87" w:rsidRPr="00895C47" w:rsidRDefault="00F40E87" w:rsidP="001A5BF9">
            <w:pPr>
              <w:spacing w:before="120" w:after="120"/>
              <w:rPr>
                <w:rFonts w:cs="Arial"/>
                <w:sz w:val="16"/>
                <w:szCs w:val="16"/>
              </w:rPr>
            </w:pPr>
            <w:r w:rsidRPr="00895C47">
              <w:rPr>
                <w:sz w:val="16"/>
              </w:rPr>
              <w:t>Dépenses de personnel</w:t>
            </w:r>
            <w:r w:rsidR="004F3E42" w:rsidRPr="00895C47">
              <w:rPr>
                <w:sz w:val="16"/>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sz w:val="16"/>
                <w:szCs w:val="16"/>
              </w:rPr>
            </w:pPr>
            <w:r w:rsidRPr="00895C47">
              <w:rPr>
                <w:sz w:val="16"/>
              </w:rPr>
              <w:t>4 000</w:t>
            </w:r>
          </w:p>
        </w:tc>
        <w:tc>
          <w:tcPr>
            <w:tcW w:w="1737" w:type="dxa"/>
            <w:tcBorders>
              <w:top w:val="single" w:sz="4" w:space="0" w:color="auto"/>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sz w:val="16"/>
                <w:szCs w:val="16"/>
              </w:rPr>
            </w:pPr>
            <w:r w:rsidRPr="00895C47">
              <w:rPr>
                <w:sz w:val="16"/>
              </w:rPr>
              <w:t>3 990</w:t>
            </w:r>
          </w:p>
        </w:tc>
        <w:tc>
          <w:tcPr>
            <w:tcW w:w="1736" w:type="dxa"/>
            <w:tcBorders>
              <w:top w:val="single" w:sz="4" w:space="0" w:color="auto"/>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sz w:val="16"/>
                <w:szCs w:val="16"/>
              </w:rPr>
            </w:pPr>
            <w:r w:rsidRPr="00895C47">
              <w:rPr>
                <w:sz w:val="16"/>
              </w:rPr>
              <w:t>3 990</w:t>
            </w:r>
          </w:p>
        </w:tc>
        <w:tc>
          <w:tcPr>
            <w:tcW w:w="1737" w:type="dxa"/>
            <w:tcBorders>
              <w:top w:val="single" w:sz="4" w:space="0" w:color="auto"/>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sz w:val="16"/>
                <w:szCs w:val="16"/>
              </w:rPr>
            </w:pPr>
            <w:r w:rsidRPr="00895C47">
              <w:rPr>
                <w:sz w:val="16"/>
              </w:rPr>
              <w:t>100</w:t>
            </w:r>
            <w:r w:rsidR="007E442D" w:rsidRPr="00895C47">
              <w:rPr>
                <w:sz w:val="16"/>
              </w:rPr>
              <w:t>%</w:t>
            </w:r>
          </w:p>
        </w:tc>
      </w:tr>
      <w:tr w:rsidR="00F40E87" w:rsidRPr="00895C47" w:rsidTr="00BB3F3E">
        <w:tc>
          <w:tcPr>
            <w:tcW w:w="2425" w:type="dxa"/>
            <w:tcBorders>
              <w:top w:val="nil"/>
              <w:left w:val="single" w:sz="4" w:space="0" w:color="auto"/>
              <w:bottom w:val="single" w:sz="4" w:space="0" w:color="auto"/>
              <w:right w:val="single" w:sz="4" w:space="0" w:color="auto"/>
            </w:tcBorders>
            <w:shd w:val="clear" w:color="auto" w:fill="auto"/>
            <w:noWrap/>
            <w:vAlign w:val="center"/>
          </w:tcPr>
          <w:p w:rsidR="00F40E87" w:rsidRPr="00895C47" w:rsidRDefault="00F40E87" w:rsidP="001A5BF9">
            <w:pPr>
              <w:spacing w:before="120" w:after="120"/>
              <w:rPr>
                <w:rFonts w:cs="Arial"/>
                <w:sz w:val="16"/>
                <w:szCs w:val="16"/>
              </w:rPr>
            </w:pPr>
            <w:r w:rsidRPr="00895C47">
              <w:rPr>
                <w:sz w:val="16"/>
              </w:rPr>
              <w:t xml:space="preserve">Autres dépenses </w:t>
            </w:r>
          </w:p>
        </w:tc>
        <w:tc>
          <w:tcPr>
            <w:tcW w:w="1736" w:type="dxa"/>
            <w:tcBorders>
              <w:top w:val="nil"/>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sz w:val="16"/>
                <w:szCs w:val="16"/>
              </w:rPr>
            </w:pPr>
            <w:r w:rsidRPr="00895C47">
              <w:rPr>
                <w:sz w:val="16"/>
              </w:rPr>
              <w:t>3 980</w:t>
            </w:r>
          </w:p>
        </w:tc>
        <w:tc>
          <w:tcPr>
            <w:tcW w:w="1737" w:type="dxa"/>
            <w:tcBorders>
              <w:top w:val="nil"/>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sz w:val="16"/>
                <w:szCs w:val="16"/>
              </w:rPr>
            </w:pPr>
            <w:r w:rsidRPr="00895C47">
              <w:rPr>
                <w:sz w:val="16"/>
              </w:rPr>
              <w:t>2 687</w:t>
            </w:r>
          </w:p>
        </w:tc>
        <w:tc>
          <w:tcPr>
            <w:tcW w:w="1736" w:type="dxa"/>
            <w:tcBorders>
              <w:top w:val="nil"/>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sz w:val="16"/>
                <w:szCs w:val="16"/>
              </w:rPr>
            </w:pPr>
            <w:r w:rsidRPr="00895C47">
              <w:rPr>
                <w:sz w:val="16"/>
              </w:rPr>
              <w:t>2 352</w:t>
            </w:r>
          </w:p>
        </w:tc>
        <w:tc>
          <w:tcPr>
            <w:tcW w:w="1737" w:type="dxa"/>
            <w:tcBorders>
              <w:top w:val="nil"/>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sz w:val="16"/>
                <w:szCs w:val="16"/>
              </w:rPr>
            </w:pPr>
            <w:r w:rsidRPr="00895C47">
              <w:rPr>
                <w:sz w:val="16"/>
              </w:rPr>
              <w:t>88</w:t>
            </w:r>
            <w:r w:rsidR="007E442D" w:rsidRPr="00895C47">
              <w:rPr>
                <w:sz w:val="16"/>
              </w:rPr>
              <w:t>%</w:t>
            </w:r>
          </w:p>
        </w:tc>
      </w:tr>
      <w:tr w:rsidR="00F40E87" w:rsidRPr="00895C47" w:rsidTr="00BB3F3E">
        <w:tc>
          <w:tcPr>
            <w:tcW w:w="2425" w:type="dxa"/>
            <w:tcBorders>
              <w:top w:val="nil"/>
              <w:left w:val="single" w:sz="4" w:space="0" w:color="auto"/>
              <w:bottom w:val="single" w:sz="4" w:space="0" w:color="auto"/>
              <w:right w:val="single" w:sz="4" w:space="0" w:color="auto"/>
            </w:tcBorders>
            <w:shd w:val="clear" w:color="auto" w:fill="auto"/>
            <w:noWrap/>
            <w:vAlign w:val="center"/>
          </w:tcPr>
          <w:p w:rsidR="00F40E87" w:rsidRPr="00895C47" w:rsidRDefault="00F40E87" w:rsidP="001A5BF9">
            <w:pPr>
              <w:spacing w:before="120" w:after="120"/>
              <w:jc w:val="right"/>
              <w:rPr>
                <w:rFonts w:cs="Arial"/>
                <w:b/>
                <w:bCs/>
                <w:sz w:val="16"/>
                <w:szCs w:val="16"/>
              </w:rPr>
            </w:pPr>
            <w:r w:rsidRPr="00895C47">
              <w:rPr>
                <w:b/>
                <w:sz w:val="16"/>
              </w:rPr>
              <w:t xml:space="preserve"> TOTAL </w:t>
            </w:r>
          </w:p>
        </w:tc>
        <w:tc>
          <w:tcPr>
            <w:tcW w:w="1736" w:type="dxa"/>
            <w:tcBorders>
              <w:top w:val="nil"/>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b/>
                <w:bCs/>
                <w:sz w:val="16"/>
                <w:szCs w:val="16"/>
              </w:rPr>
            </w:pPr>
            <w:r w:rsidRPr="00895C47">
              <w:rPr>
                <w:b/>
                <w:sz w:val="16"/>
              </w:rPr>
              <w:t>7 980</w:t>
            </w:r>
          </w:p>
        </w:tc>
        <w:tc>
          <w:tcPr>
            <w:tcW w:w="1737" w:type="dxa"/>
            <w:tcBorders>
              <w:top w:val="nil"/>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b/>
                <w:bCs/>
                <w:sz w:val="16"/>
                <w:szCs w:val="16"/>
              </w:rPr>
            </w:pPr>
            <w:r w:rsidRPr="00895C47">
              <w:rPr>
                <w:b/>
                <w:sz w:val="16"/>
              </w:rPr>
              <w:t>6 677</w:t>
            </w:r>
          </w:p>
        </w:tc>
        <w:tc>
          <w:tcPr>
            <w:tcW w:w="1736" w:type="dxa"/>
            <w:tcBorders>
              <w:top w:val="nil"/>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b/>
                <w:bCs/>
                <w:sz w:val="16"/>
                <w:szCs w:val="16"/>
              </w:rPr>
            </w:pPr>
            <w:r w:rsidRPr="00895C47">
              <w:rPr>
                <w:b/>
                <w:sz w:val="16"/>
              </w:rPr>
              <w:t>6 343</w:t>
            </w:r>
          </w:p>
        </w:tc>
        <w:tc>
          <w:tcPr>
            <w:tcW w:w="1737" w:type="dxa"/>
            <w:tcBorders>
              <w:top w:val="nil"/>
              <w:left w:val="nil"/>
              <w:bottom w:val="single" w:sz="4" w:space="0" w:color="auto"/>
              <w:right w:val="single" w:sz="4" w:space="0" w:color="auto"/>
            </w:tcBorders>
            <w:shd w:val="clear" w:color="auto" w:fill="auto"/>
            <w:vAlign w:val="center"/>
          </w:tcPr>
          <w:p w:rsidR="00F40E87" w:rsidRPr="00895C47" w:rsidRDefault="00F40E87" w:rsidP="001A5BF9">
            <w:pPr>
              <w:spacing w:before="120" w:after="120"/>
              <w:jc w:val="center"/>
              <w:rPr>
                <w:rFonts w:cs="Arial"/>
                <w:b/>
                <w:bCs/>
                <w:sz w:val="16"/>
                <w:szCs w:val="16"/>
              </w:rPr>
            </w:pPr>
            <w:r w:rsidRPr="00895C47">
              <w:rPr>
                <w:b/>
                <w:sz w:val="16"/>
              </w:rPr>
              <w:t>95</w:t>
            </w:r>
            <w:r w:rsidR="007E442D" w:rsidRPr="00895C47">
              <w:rPr>
                <w:b/>
                <w:sz w:val="16"/>
              </w:rPr>
              <w:t>%</w:t>
            </w:r>
          </w:p>
        </w:tc>
      </w:tr>
    </w:tbl>
    <w:p w:rsidR="00D42474" w:rsidRDefault="00D42474" w:rsidP="001A5BF9">
      <w:pPr>
        <w:jc w:val="center"/>
      </w:pPr>
    </w:p>
    <w:p w:rsidR="00D42474" w:rsidRDefault="00F40E87" w:rsidP="001A5BF9">
      <w:pPr>
        <w:keepNext/>
        <w:autoSpaceDE w:val="0"/>
        <w:autoSpaceDN w:val="0"/>
        <w:rPr>
          <w:sz w:val="16"/>
          <w:szCs w:val="16"/>
        </w:rPr>
      </w:pPr>
      <w:proofErr w:type="gramStart"/>
      <w:r w:rsidRPr="00895C47">
        <w:rPr>
          <w:sz w:val="16"/>
        </w:rPr>
        <w:t>NOTES</w:t>
      </w:r>
      <w:proofErr w:type="gramEnd"/>
      <w:r w:rsidR="0010442A" w:rsidRPr="00895C47">
        <w:rPr>
          <w:sz w:val="16"/>
        </w:rPr>
        <w:t> </w:t>
      </w:r>
      <w:r w:rsidRPr="00895C47">
        <w:rPr>
          <w:sz w:val="16"/>
        </w:rPr>
        <w:t>:</w:t>
      </w:r>
    </w:p>
    <w:p w:rsidR="00D42474" w:rsidRDefault="00D42474" w:rsidP="001A5BF9">
      <w:pPr>
        <w:keepNext/>
        <w:autoSpaceDE w:val="0"/>
        <w:autoSpaceDN w:val="0"/>
        <w:rPr>
          <w:sz w:val="16"/>
          <w:szCs w:val="16"/>
        </w:rPr>
      </w:pPr>
    </w:p>
    <w:p w:rsidR="00D42474" w:rsidRDefault="00F40E87" w:rsidP="001A5BF9">
      <w:pPr>
        <w:keepNext/>
        <w:autoSpaceDE w:val="0"/>
        <w:autoSpaceDN w:val="0"/>
        <w:rPr>
          <w:sz w:val="16"/>
          <w:szCs w:val="16"/>
        </w:rPr>
      </w:pPr>
      <w:r w:rsidRPr="00895C47">
        <w:rPr>
          <w:sz w:val="16"/>
        </w:rPr>
        <w:t>1)</w:t>
      </w:r>
      <w:r w:rsidR="00895C47" w:rsidRPr="00895C47">
        <w:rPr>
          <w:sz w:val="16"/>
        </w:rPr>
        <w:tab/>
      </w:r>
      <w:r w:rsidRPr="00895C47">
        <w:rPr>
          <w:sz w:val="16"/>
        </w:rPr>
        <w:t>Le budget restructuré après virements tient compte du budget ajusté des programmes après les virements réalisés au cours de l</w:t>
      </w:r>
      <w:r w:rsidR="00A20444" w:rsidRPr="00895C47">
        <w:rPr>
          <w:sz w:val="16"/>
        </w:rPr>
        <w:t>’</w:t>
      </w:r>
      <w:r w:rsidRPr="00895C47">
        <w:rPr>
          <w:sz w:val="16"/>
        </w:rPr>
        <w:t>exercice 2012</w:t>
      </w:r>
      <w:r w:rsidR="002D6F2A" w:rsidRPr="00895C47">
        <w:rPr>
          <w:sz w:val="16"/>
        </w:rPr>
        <w:noBreakHyphen/>
      </w:r>
      <w:r w:rsidRPr="00895C47">
        <w:rPr>
          <w:sz w:val="16"/>
        </w:rPr>
        <w:t xml:space="preserve">2013, conformément à </w:t>
      </w:r>
      <w:r w:rsidR="00E15133" w:rsidRPr="00895C47">
        <w:rPr>
          <w:sz w:val="16"/>
        </w:rPr>
        <w:t>l</w:t>
      </w:r>
      <w:r w:rsidR="00A20444" w:rsidRPr="00895C47">
        <w:rPr>
          <w:sz w:val="16"/>
        </w:rPr>
        <w:t>’</w:t>
      </w:r>
      <w:r w:rsidR="00E15133" w:rsidRPr="00895C47">
        <w:rPr>
          <w:sz w:val="16"/>
        </w:rPr>
        <w:t>article 5.5</w:t>
      </w:r>
      <w:r w:rsidRPr="00895C47">
        <w:rPr>
          <w:sz w:val="16"/>
        </w:rPr>
        <w:t xml:space="preserve"> du règlement d</w:t>
      </w:r>
      <w:r w:rsidR="00A20444" w:rsidRPr="00895C47">
        <w:rPr>
          <w:sz w:val="16"/>
        </w:rPr>
        <w:t>’</w:t>
      </w:r>
      <w:r w:rsidRPr="00895C47">
        <w:rPr>
          <w:sz w:val="16"/>
        </w:rPr>
        <w:t>exécution du Règlement financier.</w:t>
      </w:r>
    </w:p>
    <w:p w:rsidR="00D42474" w:rsidRDefault="00D42474" w:rsidP="001A5BF9">
      <w:pPr>
        <w:keepNext/>
        <w:autoSpaceDE w:val="0"/>
        <w:autoSpaceDN w:val="0"/>
        <w:rPr>
          <w:sz w:val="16"/>
          <w:szCs w:val="16"/>
        </w:rPr>
      </w:pPr>
    </w:p>
    <w:p w:rsidR="00D42474" w:rsidRDefault="00895C47" w:rsidP="001A5BF9">
      <w:pPr>
        <w:keepNext/>
        <w:autoSpaceDE w:val="0"/>
        <w:autoSpaceDN w:val="0"/>
        <w:rPr>
          <w:sz w:val="16"/>
        </w:rPr>
      </w:pPr>
      <w:r w:rsidRPr="00895C47">
        <w:rPr>
          <w:sz w:val="16"/>
        </w:rPr>
        <w:t>2)</w:t>
      </w:r>
      <w:r w:rsidRPr="00895C47">
        <w:rPr>
          <w:sz w:val="16"/>
        </w:rPr>
        <w:tab/>
      </w:r>
      <w:r w:rsidR="00F40E87" w:rsidRPr="00895C47">
        <w:rPr>
          <w:sz w:val="16"/>
        </w:rPr>
        <w:t>Les dépenses de personnel indiquées dans le budget de l</w:t>
      </w:r>
      <w:r w:rsidR="00A20444" w:rsidRPr="00895C47">
        <w:rPr>
          <w:sz w:val="16"/>
        </w:rPr>
        <w:t>’</w:t>
      </w:r>
      <w:r w:rsidR="00F40E87" w:rsidRPr="00895C47">
        <w:rPr>
          <w:sz w:val="16"/>
        </w:rPr>
        <w:t>exercice 2012</w:t>
      </w:r>
      <w:r w:rsidR="002D6F2A" w:rsidRPr="00895C47">
        <w:rPr>
          <w:sz w:val="16"/>
        </w:rPr>
        <w:noBreakHyphen/>
      </w:r>
      <w:r w:rsidR="00F40E87" w:rsidRPr="00895C47">
        <w:rPr>
          <w:sz w:val="16"/>
        </w:rPr>
        <w:t>2013 après virements représentent les dépenses réelles engagées pendant l</w:t>
      </w:r>
      <w:r w:rsidR="00A20444" w:rsidRPr="00895C47">
        <w:rPr>
          <w:sz w:val="16"/>
        </w:rPr>
        <w:t>’</w:t>
      </w:r>
      <w:r w:rsidR="00F40E87" w:rsidRPr="00895C47">
        <w:rPr>
          <w:sz w:val="16"/>
        </w:rPr>
        <w:t>exercice biennal.</w:t>
      </w:r>
    </w:p>
    <w:p w:rsidR="00D42474" w:rsidRDefault="00D42474" w:rsidP="001A5BF9">
      <w:pPr>
        <w:keepNext/>
        <w:autoSpaceDE w:val="0"/>
        <w:autoSpaceDN w:val="0"/>
        <w:rPr>
          <w:sz w:val="16"/>
          <w:szCs w:val="16"/>
        </w:rPr>
      </w:pPr>
    </w:p>
    <w:p w:rsidR="00D42474" w:rsidRDefault="00D42474" w:rsidP="001A5BF9"/>
    <w:p w:rsidR="00D42474" w:rsidRDefault="00F40E87" w:rsidP="001A5BF9">
      <w:pPr>
        <w:keepNext/>
        <w:keepLines/>
        <w:rPr>
          <w:u w:val="single"/>
        </w:rPr>
      </w:pPr>
      <w:r w:rsidRPr="00895C47">
        <w:t>A.</w:t>
      </w:r>
      <w:r w:rsidRPr="00895C47">
        <w:rPr>
          <w:i/>
        </w:rPr>
        <w:tab/>
      </w:r>
      <w:r w:rsidRPr="00895C47">
        <w:rPr>
          <w:u w:val="single"/>
        </w:rPr>
        <w:t>Budget 2013</w:t>
      </w:r>
      <w:r w:rsidR="002D6F2A" w:rsidRPr="00895C47">
        <w:rPr>
          <w:u w:val="single"/>
        </w:rPr>
        <w:noBreakHyphen/>
      </w:r>
      <w:r w:rsidRPr="00895C47">
        <w:rPr>
          <w:u w:val="single"/>
        </w:rPr>
        <w:t>2013 après virements</w:t>
      </w:r>
    </w:p>
    <w:p w:rsidR="00D42474" w:rsidRDefault="00D42474" w:rsidP="001A5BF9">
      <w:pPr>
        <w:keepNext/>
        <w:keepLines/>
        <w:autoSpaceDE w:val="0"/>
        <w:autoSpaceDN w:val="0"/>
        <w:adjustRightInd w:val="0"/>
      </w:pPr>
    </w:p>
    <w:p w:rsidR="00D42474" w:rsidRDefault="00F40E87" w:rsidP="001A5BF9">
      <w:pPr>
        <w:pStyle w:val="Paragraphedeliste"/>
        <w:numPr>
          <w:ilvl w:val="0"/>
          <w:numId w:val="9"/>
        </w:numPr>
        <w:tabs>
          <w:tab w:val="left" w:pos="709"/>
        </w:tabs>
        <w:ind w:left="0" w:firstLine="0"/>
        <w:jc w:val="both"/>
        <w:rPr>
          <w:rFonts w:eastAsia="Batang"/>
        </w:rPr>
      </w:pPr>
      <w:r w:rsidRPr="005C7CCE">
        <w:t>Le budget après virements tient compte d</w:t>
      </w:r>
      <w:r w:rsidR="00A20444" w:rsidRPr="005C7CCE">
        <w:t>’</w:t>
      </w:r>
      <w:r w:rsidRPr="005C7CCE">
        <w:t>une réduction au titre du résultat </w:t>
      </w:r>
      <w:proofErr w:type="spellStart"/>
      <w:r w:rsidRPr="005C7CCE">
        <w:t>I.1</w:t>
      </w:r>
      <w:proofErr w:type="spellEnd"/>
      <w:r w:rsidRPr="005C7CCE">
        <w:t xml:space="preserve"> (Élaboration de cadres normatifs internationaux équilibrés dans le domaine de la propriété intellectuelle) en raison du transfert des ressources initialement budgétées pour l</w:t>
      </w:r>
      <w:r w:rsidR="00A20444" w:rsidRPr="005C7CCE">
        <w:t>’</w:t>
      </w:r>
      <w:r w:rsidRPr="005C7CCE">
        <w:t>éventuelle conférence diplomatique relative à la propriété intellectuelle et aux ressources génétiques, aux savoirs traditionnels et aux expressions culturelles traditionnelles/folklore (IGC) au programme 3 pour la tenue de la conférence diplomatique en vue de la conclusion d</w:t>
      </w:r>
      <w:r w:rsidR="00A20444" w:rsidRPr="005C7CCE">
        <w:t>’</w:t>
      </w:r>
      <w:r w:rsidRPr="005C7CCE">
        <w:t>un traité visant à faciliter l</w:t>
      </w:r>
      <w:r w:rsidR="00A20444" w:rsidRPr="005C7CCE">
        <w:t>’</w:t>
      </w:r>
      <w:r w:rsidRPr="005C7CCE">
        <w:t>accès des déficients visuels et des personnes ayant des difficultés de lecture des textes imprimés aux œuvres publiées.</w:t>
      </w:r>
    </w:p>
    <w:p w:rsidR="00D42474" w:rsidRDefault="00D42474" w:rsidP="001A5BF9">
      <w:pPr>
        <w:tabs>
          <w:tab w:val="left" w:pos="709"/>
        </w:tabs>
        <w:jc w:val="both"/>
        <w:rPr>
          <w:rFonts w:eastAsia="Batang"/>
        </w:rPr>
      </w:pPr>
    </w:p>
    <w:p w:rsidR="00D42474" w:rsidRDefault="00F40E87" w:rsidP="001A5BF9">
      <w:pPr>
        <w:pStyle w:val="Paragraphedeliste"/>
        <w:numPr>
          <w:ilvl w:val="0"/>
          <w:numId w:val="9"/>
        </w:numPr>
        <w:tabs>
          <w:tab w:val="left" w:pos="709"/>
        </w:tabs>
        <w:ind w:left="0" w:firstLine="0"/>
        <w:jc w:val="both"/>
        <w:rPr>
          <w:rFonts w:eastAsia="Batang"/>
        </w:rPr>
      </w:pPr>
      <w:r w:rsidRPr="00895C47">
        <w:t>L</w:t>
      </w:r>
      <w:r w:rsidR="00A20444" w:rsidRPr="00895C47">
        <w:t>’</w:t>
      </w:r>
      <w:r w:rsidRPr="00895C47">
        <w:t>affectation aux dépenses autres pour le budget 2012</w:t>
      </w:r>
      <w:r w:rsidR="002D6F2A" w:rsidRPr="00895C47">
        <w:noBreakHyphen/>
      </w:r>
      <w:r w:rsidRPr="00895C47">
        <w:t>2013 après virements, tient compte des ajustements à la baisse opérés pour réduire les coûts conformément aux engagements de l</w:t>
      </w:r>
      <w:r w:rsidR="00A20444" w:rsidRPr="00895C47">
        <w:t>’</w:t>
      </w:r>
      <w:r w:rsidRPr="00895C47">
        <w:t>Organisation de réduire les dépenses de 10,2</w:t>
      </w:r>
      <w:r w:rsidR="0010442A" w:rsidRPr="00895C47">
        <w:t> </w:t>
      </w:r>
      <w:r w:rsidRPr="00895C47">
        <w:t>millions de francs suisses pour l</w:t>
      </w:r>
      <w:r w:rsidR="00A20444" w:rsidRPr="00895C47">
        <w:t>’</w:t>
      </w:r>
      <w:r w:rsidRPr="00895C47">
        <w:t>exercice biennal</w:t>
      </w:r>
      <w:r w:rsidR="0010442A" w:rsidRPr="00895C47">
        <w:t> </w:t>
      </w:r>
      <w:r w:rsidRPr="00895C47">
        <w:t>2012</w:t>
      </w:r>
      <w:r w:rsidR="002D6F2A" w:rsidRPr="00895C47">
        <w:noBreakHyphen/>
      </w:r>
      <w:r w:rsidRPr="00895C47">
        <w:t>2013.</w:t>
      </w:r>
    </w:p>
    <w:p w:rsidR="00D42474" w:rsidRDefault="00F40E87" w:rsidP="001A5BF9">
      <w:pPr>
        <w:tabs>
          <w:tab w:val="left" w:pos="709"/>
        </w:tabs>
        <w:jc w:val="both"/>
        <w:rPr>
          <w:rFonts w:eastAsia="Batang"/>
          <w:u w:val="single"/>
        </w:rPr>
      </w:pPr>
      <w:r w:rsidRPr="005C7CCE">
        <w:t>B</w:t>
      </w:r>
      <w:r w:rsidR="00895C47">
        <w:t>.</w:t>
      </w:r>
      <w:r w:rsidR="0010442A" w:rsidRPr="005C7CCE">
        <w:t xml:space="preserve"> </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Pr>
        <w:jc w:val="both"/>
        <w:rPr>
          <w:rFonts w:eastAsia="Batang"/>
        </w:rPr>
      </w:pPr>
    </w:p>
    <w:p w:rsidR="00D42474" w:rsidRDefault="00F40E87" w:rsidP="001A5BF9">
      <w:pPr>
        <w:pStyle w:val="Paragraphedeliste"/>
        <w:numPr>
          <w:ilvl w:val="0"/>
          <w:numId w:val="9"/>
        </w:numPr>
        <w:tabs>
          <w:tab w:val="left" w:pos="709"/>
        </w:tabs>
        <w:ind w:left="0" w:firstLine="0"/>
        <w:jc w:val="both"/>
        <w:rPr>
          <w:rFonts w:eastAsia="Batang" w:cs="Arial"/>
        </w:rPr>
      </w:pPr>
      <w:r w:rsidRPr="005C7CCE">
        <w:t>Le taux d</w:t>
      </w:r>
      <w:r w:rsidR="00A20444" w:rsidRPr="005C7CCE">
        <w:t>’</w:t>
      </w:r>
      <w:r w:rsidRPr="005C7CCE">
        <w:t>utilisation du budget pour les dépenses autres que les dé</w:t>
      </w:r>
      <w:r w:rsidR="002E1426" w:rsidRPr="005C7CCE">
        <w:t>penses de personnel s</w:t>
      </w:r>
      <w:r w:rsidR="00A20444" w:rsidRPr="005C7CCE">
        <w:t>’</w:t>
      </w:r>
      <w:r w:rsidR="002E1426" w:rsidRPr="005C7CCE">
        <w:t>élève à 88</w:t>
      </w:r>
      <w:r w:rsidR="007E442D" w:rsidRPr="005C7CCE">
        <w:t>%</w:t>
      </w:r>
      <w:r w:rsidRPr="005C7CCE">
        <w:t xml:space="preserve"> du budget après virements.</w:t>
      </w:r>
      <w:r w:rsidR="0010442A" w:rsidRPr="005C7CCE">
        <w:t xml:space="preserve"> </w:t>
      </w:r>
      <w:r w:rsidRPr="005C7CCE">
        <w:t xml:space="preserve"> La sous</w:t>
      </w:r>
      <w:r w:rsidR="002D6F2A" w:rsidRPr="005C7CCE">
        <w:noBreakHyphen/>
      </w:r>
      <w:r w:rsidRPr="005C7CCE">
        <w:t>utilisation des ressources hors personnel s</w:t>
      </w:r>
      <w:r w:rsidR="00A20444" w:rsidRPr="005C7CCE">
        <w:t>’</w:t>
      </w:r>
      <w:r w:rsidRPr="005C7CCE">
        <w:t>explique principalement par :</w:t>
      </w:r>
    </w:p>
    <w:p w:rsidR="00D42474" w:rsidRDefault="00D42474" w:rsidP="001A5BF9">
      <w:pPr>
        <w:jc w:val="both"/>
        <w:rPr>
          <w:rFonts w:eastAsia="Batang" w:cs="Arial"/>
          <w:szCs w:val="20"/>
        </w:rPr>
      </w:pPr>
    </w:p>
    <w:p w:rsidR="00D42474" w:rsidRDefault="00F40E87" w:rsidP="001A5BF9">
      <w:pPr>
        <w:pStyle w:val="Paragraphedeliste"/>
        <w:numPr>
          <w:ilvl w:val="0"/>
          <w:numId w:val="8"/>
        </w:numPr>
        <w:ind w:left="993" w:hanging="284"/>
        <w:jc w:val="both"/>
      </w:pPr>
      <w:r w:rsidRPr="005C7CCE">
        <w:t>le report de la conférence diplomatique et les économies réalisées grâce à une réduction des frais de déplacement pour les sessions de l</w:t>
      </w:r>
      <w:r w:rsidR="00A20444" w:rsidRPr="005C7CCE">
        <w:t>’</w:t>
      </w:r>
      <w:proofErr w:type="spellStart"/>
      <w:r w:rsidRPr="005C7CCE">
        <w:t>ICG</w:t>
      </w:r>
      <w:proofErr w:type="spellEnd"/>
      <w:r w:rsidRPr="005C7CCE">
        <w:t xml:space="preserve"> au titre du résultat </w:t>
      </w:r>
      <w:proofErr w:type="spellStart"/>
      <w:r w:rsidRPr="005C7CCE">
        <w:t>I.4</w:t>
      </w:r>
      <w:proofErr w:type="spellEnd"/>
      <w:r w:rsidRPr="005C7CCE">
        <w:t xml:space="preserve"> (Conseils législatifs);</w:t>
      </w:r>
    </w:p>
    <w:p w:rsidR="00D42474" w:rsidRDefault="00D42474" w:rsidP="001A5BF9">
      <w:pPr>
        <w:pStyle w:val="Paragraphedeliste"/>
        <w:ind w:left="993" w:hanging="284"/>
        <w:jc w:val="both"/>
      </w:pPr>
    </w:p>
    <w:p w:rsidR="00D42474" w:rsidRDefault="00F40E87" w:rsidP="001A5BF9">
      <w:pPr>
        <w:pStyle w:val="Paragraphedeliste"/>
        <w:numPr>
          <w:ilvl w:val="0"/>
          <w:numId w:val="8"/>
        </w:numPr>
        <w:ind w:left="993" w:hanging="284"/>
        <w:jc w:val="both"/>
      </w:pPr>
      <w:r w:rsidRPr="005C7CCE">
        <w:t>les économies réalisées grâce à une réduction des missions du personnel au titre du résultat </w:t>
      </w:r>
      <w:proofErr w:type="spellStart"/>
      <w:r w:rsidRPr="005C7CCE">
        <w:t>III.2</w:t>
      </w:r>
      <w:proofErr w:type="spellEnd"/>
      <w:r w:rsidRPr="005C7CCE">
        <w:t xml:space="preserve"> (Renforcement des capacités en matière de ressources humaines);</w:t>
      </w:r>
      <w:r w:rsidR="004F3E42" w:rsidRPr="005C7CCE">
        <w:t xml:space="preserve"> </w:t>
      </w:r>
      <w:r w:rsidR="0010442A" w:rsidRPr="005C7CCE">
        <w:t xml:space="preserve"> </w:t>
      </w:r>
      <w:r w:rsidRPr="005C7CCE">
        <w:t>et</w:t>
      </w:r>
    </w:p>
    <w:p w:rsidR="00D42474" w:rsidRDefault="00D42474" w:rsidP="001A5BF9">
      <w:pPr>
        <w:pStyle w:val="Paragraphedeliste"/>
        <w:ind w:left="993" w:hanging="284"/>
        <w:jc w:val="both"/>
      </w:pPr>
    </w:p>
    <w:p w:rsidR="00D42474" w:rsidRDefault="00F40E87" w:rsidP="001A5BF9">
      <w:pPr>
        <w:pStyle w:val="Paragraphedeliste"/>
        <w:numPr>
          <w:ilvl w:val="0"/>
          <w:numId w:val="8"/>
        </w:numPr>
        <w:ind w:left="993" w:hanging="284"/>
        <w:jc w:val="both"/>
      </w:pPr>
      <w:r w:rsidRPr="005C7CCE">
        <w:t>le report de plusieurs activités au cours de l</w:t>
      </w:r>
      <w:r w:rsidR="00A20444" w:rsidRPr="005C7CCE">
        <w:t>’</w:t>
      </w:r>
      <w:r w:rsidRPr="005C7CCE">
        <w:t>exercice biennal au titre du résultat </w:t>
      </w:r>
      <w:proofErr w:type="spellStart"/>
      <w:r w:rsidRPr="005C7CCE">
        <w:t>III.2</w:t>
      </w:r>
      <w:proofErr w:type="spellEnd"/>
      <w:r w:rsidRPr="005C7CCE">
        <w:t xml:space="preserve"> (Renforcement des capacités en matière de ressources humaines) et du résultat </w:t>
      </w:r>
      <w:proofErr w:type="spellStart"/>
      <w:r w:rsidRPr="005C7CCE">
        <w:t>III.9</w:t>
      </w:r>
      <w:proofErr w:type="spellEnd"/>
      <w:r w:rsidRPr="005C7CCE">
        <w:t xml:space="preserve"> (Reconnaissance par les États membres).</w:t>
      </w:r>
    </w:p>
    <w:p w:rsidR="00D42474" w:rsidRDefault="00D42474" w:rsidP="001A5BF9"/>
    <w:p w:rsidR="00D42474" w:rsidRDefault="00D42474" w:rsidP="001A5BF9"/>
    <w:p w:rsidR="00D42474" w:rsidRDefault="00D42474" w:rsidP="001A5BF9"/>
    <w:p w:rsidR="00D42474" w:rsidRDefault="00D42474" w:rsidP="001A5BF9"/>
    <w:p w:rsidR="00D42474" w:rsidRDefault="00D42474" w:rsidP="001A5BF9">
      <w:pPr>
        <w:jc w:val="both"/>
        <w:rPr>
          <w:rFonts w:eastAsia="Calibri" w:cs="Arial"/>
          <w:szCs w:val="20"/>
        </w:rPr>
      </w:pPr>
    </w:p>
    <w:p w:rsidR="00D42474" w:rsidRDefault="00D42474" w:rsidP="001A5BF9">
      <w:pPr>
        <w:jc w:val="both"/>
        <w:rPr>
          <w:rFonts w:eastAsia="Calibri" w:cs="Arial"/>
          <w:szCs w:val="20"/>
        </w:rPr>
      </w:pPr>
    </w:p>
    <w:p w:rsidR="00D42474" w:rsidRDefault="00895C47">
      <w:pPr>
        <w:rPr>
          <w:rFonts w:ascii="Arial Bold" w:hAnsi="Arial Bold"/>
          <w:b/>
          <w:bCs/>
          <w:iCs/>
          <w:caps/>
          <w:color w:val="008000"/>
          <w:szCs w:val="28"/>
        </w:rPr>
      </w:pPr>
      <w:r>
        <w:rPr>
          <w:color w:val="008000"/>
        </w:rPr>
        <w:br w:type="page"/>
      </w:r>
    </w:p>
    <w:p w:rsidR="00D42474" w:rsidRDefault="009B0EB1" w:rsidP="009B0EB1">
      <w:pPr>
        <w:pStyle w:val="Heading2"/>
        <w:tabs>
          <w:tab w:val="clear" w:pos="9072"/>
        </w:tabs>
      </w:pPr>
      <w:bookmarkStart w:id="14" w:name="_Toc395082467"/>
      <w:r w:rsidRPr="00895C47">
        <w:t>OBJECTIF STRAT</w:t>
      </w:r>
      <w:r w:rsidRPr="00895C47">
        <w:rPr>
          <w:rFonts w:hint="eastAsia"/>
        </w:rPr>
        <w:t>É</w:t>
      </w:r>
      <w:r w:rsidRPr="00895C47">
        <w:t>GIQUE II</w:t>
      </w:r>
      <w:r>
        <w:tab/>
      </w:r>
      <w:r w:rsidRPr="00895C47">
        <w:br/>
      </w:r>
      <w:r w:rsidRPr="00895C47">
        <w:br/>
      </w:r>
      <w:r>
        <w:t>P</w:t>
      </w:r>
      <w:r w:rsidRPr="00895C47">
        <w:t>restation de services mondiaux de propri</w:t>
      </w:r>
      <w:r w:rsidRPr="00895C47">
        <w:rPr>
          <w:rFonts w:hint="eastAsia"/>
        </w:rPr>
        <w:t>é</w:t>
      </w:r>
      <w:r w:rsidRPr="00895C47">
        <w:t>t</w:t>
      </w:r>
      <w:r w:rsidRPr="00895C47">
        <w:rPr>
          <w:rFonts w:hint="eastAsia"/>
        </w:rPr>
        <w:t>é</w:t>
      </w:r>
      <w:r w:rsidRPr="00895C47">
        <w:t xml:space="preserve"> intellectuelle de premier ordre</w:t>
      </w:r>
      <w:bookmarkEnd w:id="14"/>
    </w:p>
    <w:p w:rsidR="00D42474" w:rsidRDefault="00D42474" w:rsidP="001A5BF9">
      <w:pPr>
        <w:jc w:val="center"/>
      </w:pPr>
    </w:p>
    <w:p w:rsidR="00D42474" w:rsidRDefault="00D42474" w:rsidP="001A5BF9">
      <w:pPr>
        <w:jc w:val="center"/>
      </w:pPr>
    </w:p>
    <w:p w:rsidR="00D42474" w:rsidRDefault="0096696E" w:rsidP="001A5BF9">
      <w:pPr>
        <w:jc w:val="center"/>
      </w:pPr>
      <w:r w:rsidRPr="005C7CCE">
        <w:t>TABLEAU DE BORD DE L</w:t>
      </w:r>
      <w:r w:rsidR="00A20444" w:rsidRPr="005C7CCE">
        <w:t>’</w:t>
      </w:r>
      <w:r w:rsidRPr="005C7CCE">
        <w:t>EXÉCUTION DU PROGRAMME BIENNAL</w:t>
      </w:r>
    </w:p>
    <w:p w:rsidR="00D42474" w:rsidRDefault="00D42474" w:rsidP="001A5BF9">
      <w:pPr>
        <w:jc w:val="center"/>
      </w:pPr>
    </w:p>
    <w:p w:rsidR="00D42474" w:rsidRDefault="0096696E"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D42474" w:rsidRDefault="00D42474" w:rsidP="001A5BF9">
      <w:pPr>
        <w:autoSpaceDE w:val="0"/>
        <w:autoSpaceDN w:val="0"/>
        <w:adjustRightInd w:val="0"/>
        <w:jc w:val="both"/>
        <w:rPr>
          <w:rFonts w:cs="Arial"/>
        </w:rPr>
      </w:pPr>
    </w:p>
    <w:p w:rsidR="00D42474" w:rsidRDefault="00401321" w:rsidP="00895C47">
      <w:pPr>
        <w:autoSpaceDE w:val="0"/>
        <w:autoSpaceDN w:val="0"/>
        <w:adjustRightInd w:val="0"/>
        <w:jc w:val="center"/>
        <w:rPr>
          <w:rFonts w:cs="Arial"/>
          <w:b/>
          <w:bCs/>
          <w:caps/>
        </w:rPr>
      </w:pPr>
      <w:r w:rsidRPr="00401321">
        <w:rPr>
          <w:noProof/>
        </w:rPr>
        <w:drawing>
          <wp:inline distT="0" distB="0" distL="0" distR="0" wp14:anchorId="46905F16" wp14:editId="2B9CAD2E">
            <wp:extent cx="3792828" cy="208282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99834" cy="2086676"/>
                    </a:xfrm>
                    <a:prstGeom prst="rect">
                      <a:avLst/>
                    </a:prstGeom>
                    <a:noFill/>
                    <a:ln>
                      <a:noFill/>
                    </a:ln>
                  </pic:spPr>
                </pic:pic>
              </a:graphicData>
            </a:graphic>
          </wp:inline>
        </w:drawing>
      </w:r>
      <w:r w:rsidR="0096696E" w:rsidRPr="005C7CCE">
        <w:br/>
      </w:r>
    </w:p>
    <w:p w:rsidR="00401321" w:rsidRPr="005C7CCE" w:rsidRDefault="00401321" w:rsidP="00895C47">
      <w:pPr>
        <w:autoSpaceDE w:val="0"/>
        <w:autoSpaceDN w:val="0"/>
        <w:adjustRightInd w:val="0"/>
        <w:jc w:val="center"/>
        <w:rPr>
          <w:rFonts w:cs="Arial"/>
          <w:b/>
          <w:bCs/>
          <w:caps/>
        </w:rPr>
      </w:pPr>
    </w:p>
    <w:tbl>
      <w:tblPr>
        <w:tblW w:w="0" w:type="auto"/>
        <w:tblInd w:w="9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98"/>
        <w:gridCol w:w="3391"/>
        <w:gridCol w:w="1775"/>
        <w:gridCol w:w="1309"/>
      </w:tblGrid>
      <w:tr w:rsidR="0096696E" w:rsidRPr="00895C47" w:rsidTr="00A7273C">
        <w:trPr>
          <w:tblHeader/>
        </w:trPr>
        <w:tc>
          <w:tcPr>
            <w:tcW w:w="2998" w:type="dxa"/>
            <w:tcBorders>
              <w:top w:val="single" w:sz="4" w:space="0" w:color="auto"/>
              <w:bottom w:val="single" w:sz="4" w:space="0" w:color="auto"/>
            </w:tcBorders>
            <w:shd w:val="clear" w:color="auto" w:fill="CCFFFF"/>
            <w:vAlign w:val="center"/>
          </w:tcPr>
          <w:p w:rsidR="0096696E" w:rsidRPr="00895C47" w:rsidRDefault="0096696E" w:rsidP="001A5BF9">
            <w:pPr>
              <w:spacing w:before="120" w:after="120"/>
              <w:jc w:val="center"/>
              <w:rPr>
                <w:rFonts w:cs="Arial"/>
                <w:b/>
                <w:bCs/>
                <w:sz w:val="14"/>
                <w:szCs w:val="14"/>
              </w:rPr>
            </w:pPr>
            <w:r w:rsidRPr="00895C47">
              <w:rPr>
                <w:b/>
                <w:sz w:val="14"/>
              </w:rPr>
              <w:t>Résultats escomptés</w:t>
            </w:r>
          </w:p>
        </w:tc>
        <w:tc>
          <w:tcPr>
            <w:tcW w:w="3391" w:type="dxa"/>
            <w:tcBorders>
              <w:top w:val="single" w:sz="4" w:space="0" w:color="auto"/>
              <w:bottom w:val="single" w:sz="4" w:space="0" w:color="auto"/>
            </w:tcBorders>
            <w:shd w:val="clear" w:color="auto" w:fill="CCFFFF"/>
            <w:vAlign w:val="center"/>
          </w:tcPr>
          <w:p w:rsidR="0096696E" w:rsidRPr="00895C47" w:rsidRDefault="0096696E" w:rsidP="001A5BF9">
            <w:pPr>
              <w:spacing w:before="120" w:after="120"/>
              <w:jc w:val="center"/>
              <w:rPr>
                <w:rFonts w:cs="Arial"/>
                <w:b/>
                <w:bCs/>
                <w:sz w:val="14"/>
                <w:szCs w:val="14"/>
              </w:rPr>
            </w:pPr>
            <w:r w:rsidRPr="00895C47">
              <w:rPr>
                <w:b/>
                <w:sz w:val="14"/>
              </w:rPr>
              <w:t>Indicateurs d</w:t>
            </w:r>
            <w:r w:rsidR="00A20444" w:rsidRPr="00895C47">
              <w:rPr>
                <w:b/>
                <w:sz w:val="14"/>
              </w:rPr>
              <w:t>’</w:t>
            </w:r>
            <w:r w:rsidRPr="00895C47">
              <w:rPr>
                <w:b/>
                <w:sz w:val="14"/>
              </w:rPr>
              <w:t>exécution</w:t>
            </w:r>
          </w:p>
        </w:tc>
        <w:tc>
          <w:tcPr>
            <w:tcW w:w="1775" w:type="dxa"/>
            <w:tcBorders>
              <w:top w:val="single" w:sz="4" w:space="0" w:color="auto"/>
              <w:bottom w:val="single" w:sz="4" w:space="0" w:color="auto"/>
            </w:tcBorders>
            <w:shd w:val="clear" w:color="auto" w:fill="CCFFFF"/>
            <w:vAlign w:val="center"/>
          </w:tcPr>
          <w:p w:rsidR="0096696E" w:rsidRPr="00895C47" w:rsidRDefault="0096696E" w:rsidP="001A5BF9">
            <w:pPr>
              <w:spacing w:before="120" w:after="120"/>
              <w:jc w:val="center"/>
              <w:rPr>
                <w:rFonts w:cs="Arial"/>
                <w:b/>
                <w:bCs/>
                <w:sz w:val="14"/>
                <w:szCs w:val="14"/>
              </w:rPr>
            </w:pPr>
            <w:r w:rsidRPr="00895C47">
              <w:rPr>
                <w:b/>
                <w:sz w:val="14"/>
              </w:rPr>
              <w:t>Programme(s)</w:t>
            </w:r>
            <w:r w:rsidR="00A7273C" w:rsidRPr="00895C47">
              <w:rPr>
                <w:b/>
                <w:sz w:val="14"/>
              </w:rPr>
              <w:t xml:space="preserve"> </w:t>
            </w:r>
            <w:r w:rsidRPr="00895C47">
              <w:rPr>
                <w:b/>
                <w:sz w:val="14"/>
              </w:rPr>
              <w:t>concerné(s)</w:t>
            </w:r>
          </w:p>
        </w:tc>
        <w:tc>
          <w:tcPr>
            <w:tcW w:w="1309" w:type="dxa"/>
            <w:tcBorders>
              <w:top w:val="single" w:sz="4" w:space="0" w:color="auto"/>
              <w:bottom w:val="single" w:sz="4" w:space="0" w:color="auto"/>
            </w:tcBorders>
            <w:shd w:val="clear" w:color="auto" w:fill="CCFFFF"/>
            <w:vAlign w:val="center"/>
          </w:tcPr>
          <w:p w:rsidR="0096696E" w:rsidRPr="00895C47" w:rsidRDefault="0096696E" w:rsidP="001A5BF9">
            <w:pPr>
              <w:spacing w:before="120" w:after="120"/>
              <w:jc w:val="center"/>
              <w:rPr>
                <w:rFonts w:cs="Arial"/>
                <w:b/>
                <w:bCs/>
                <w:sz w:val="14"/>
                <w:szCs w:val="14"/>
              </w:rPr>
            </w:pPr>
            <w:r w:rsidRPr="00895C47">
              <w:rPr>
                <w:b/>
                <w:sz w:val="14"/>
              </w:rPr>
              <w:t>Code de couleurs</w:t>
            </w:r>
          </w:p>
        </w:tc>
      </w:tr>
      <w:tr w:rsidR="0096696E" w:rsidRPr="005C7CCE" w:rsidTr="00A7273C">
        <w:tc>
          <w:tcPr>
            <w:tcW w:w="2998" w:type="dxa"/>
            <w:tcBorders>
              <w:top w:val="single" w:sz="4" w:space="0" w:color="auto"/>
            </w:tcBorders>
            <w:shd w:val="clear" w:color="auto" w:fill="auto"/>
            <w:tcMar>
              <w:top w:w="113" w:type="dxa"/>
            </w:tcMar>
          </w:tcPr>
          <w:p w:rsidR="0096696E" w:rsidRPr="00895C47" w:rsidRDefault="0096696E" w:rsidP="001A5BF9">
            <w:pPr>
              <w:spacing w:before="80"/>
              <w:rPr>
                <w:rFonts w:cs="Arial"/>
                <w:sz w:val="14"/>
                <w:szCs w:val="14"/>
              </w:rPr>
            </w:pPr>
            <w:r w:rsidRPr="00895C47">
              <w:rPr>
                <w:sz w:val="14"/>
              </w:rPr>
              <w:t>Utilisation stratégique en connaissance de cause du PCT par tous les innovateurs susceptibles d</w:t>
            </w:r>
            <w:r w:rsidR="00A20444" w:rsidRPr="00895C47">
              <w:rPr>
                <w:sz w:val="14"/>
              </w:rPr>
              <w:t>’</w:t>
            </w:r>
            <w:r w:rsidRPr="00895C47">
              <w:rPr>
                <w:sz w:val="14"/>
              </w:rPr>
              <w:t>en tirer parti</w:t>
            </w:r>
          </w:p>
        </w:tc>
        <w:tc>
          <w:tcPr>
            <w:tcW w:w="3391" w:type="dxa"/>
            <w:tcBorders>
              <w:top w:val="single" w:sz="4" w:space="0" w:color="auto"/>
            </w:tcBorders>
            <w:shd w:val="clear" w:color="auto" w:fill="auto"/>
            <w:tcMar>
              <w:top w:w="113" w:type="dxa"/>
            </w:tcMar>
          </w:tcPr>
          <w:p w:rsidR="00D42474" w:rsidRDefault="0096696E" w:rsidP="001A5BF9">
            <w:pPr>
              <w:spacing w:before="80"/>
              <w:rPr>
                <w:rFonts w:cs="Arial"/>
                <w:sz w:val="14"/>
                <w:szCs w:val="14"/>
              </w:rPr>
            </w:pPr>
            <w:r w:rsidRPr="00895C47">
              <w:rPr>
                <w:sz w:val="14"/>
              </w:rPr>
              <w:t>Dépôts selon le PCT</w:t>
            </w:r>
          </w:p>
          <w:p w:rsidR="0096696E" w:rsidRPr="00895C47" w:rsidRDefault="0096696E" w:rsidP="001A5BF9">
            <w:pPr>
              <w:spacing w:before="80"/>
              <w:rPr>
                <w:rFonts w:cs="Arial"/>
                <w:sz w:val="14"/>
                <w:szCs w:val="14"/>
              </w:rPr>
            </w:pPr>
            <w:r w:rsidRPr="00895C47">
              <w:rPr>
                <w:sz w:val="14"/>
              </w:rPr>
              <w:t>Part des entrées en phase nationale selon</w:t>
            </w:r>
            <w:r w:rsidR="00A20444" w:rsidRPr="00895C47">
              <w:rPr>
                <w:sz w:val="14"/>
              </w:rPr>
              <w:t xml:space="preserve"> le PCT</w:t>
            </w:r>
            <w:r w:rsidRPr="00895C47">
              <w:rPr>
                <w:sz w:val="14"/>
              </w:rPr>
              <w:t xml:space="preserve"> dans le nombre total de demandes internationales de brevet</w:t>
            </w:r>
          </w:p>
        </w:tc>
        <w:tc>
          <w:tcPr>
            <w:tcW w:w="1775" w:type="dxa"/>
            <w:tcBorders>
              <w:top w:val="single" w:sz="4" w:space="0" w:color="auto"/>
            </w:tcBorders>
            <w:shd w:val="clear" w:color="auto" w:fill="auto"/>
            <w:tcMar>
              <w:top w:w="113" w:type="dxa"/>
            </w:tcMar>
          </w:tcPr>
          <w:p w:rsidR="00D42474" w:rsidRDefault="0096696E" w:rsidP="001A5BF9">
            <w:pPr>
              <w:spacing w:before="80"/>
              <w:jc w:val="center"/>
              <w:rPr>
                <w:rFonts w:cs="Arial"/>
                <w:sz w:val="14"/>
                <w:szCs w:val="14"/>
              </w:rPr>
            </w:pPr>
            <w:r w:rsidRPr="00895C47">
              <w:rPr>
                <w:sz w:val="14"/>
              </w:rPr>
              <w:t>Programme 5</w:t>
            </w:r>
            <w:r w:rsidRPr="00895C47">
              <w:br/>
            </w:r>
          </w:p>
          <w:p w:rsidR="0096696E" w:rsidRPr="00895C47" w:rsidRDefault="0096696E" w:rsidP="001A5BF9">
            <w:pPr>
              <w:spacing w:before="80"/>
              <w:jc w:val="center"/>
              <w:rPr>
                <w:rFonts w:cs="Arial"/>
                <w:sz w:val="14"/>
                <w:szCs w:val="14"/>
              </w:rPr>
            </w:pPr>
            <w:r w:rsidRPr="00895C47">
              <w:rPr>
                <w:sz w:val="14"/>
              </w:rPr>
              <w:t>Programme 5</w:t>
            </w:r>
          </w:p>
        </w:tc>
        <w:tc>
          <w:tcPr>
            <w:tcW w:w="1309" w:type="dxa"/>
            <w:tcBorders>
              <w:top w:val="single" w:sz="4" w:space="0" w:color="auto"/>
            </w:tcBorders>
          </w:tcPr>
          <w:p w:rsidR="00D42474" w:rsidRDefault="0096696E" w:rsidP="001A5BF9">
            <w:pPr>
              <w:jc w:val="center"/>
              <w:rPr>
                <w:rFonts w:cs="Arial"/>
                <w:color w:val="10862C"/>
                <w:szCs w:val="22"/>
              </w:rPr>
            </w:pPr>
            <w:r w:rsidRPr="005C7CCE">
              <w:rPr>
                <w:color w:val="10862C"/>
              </w:rPr>
              <w:sym w:font="Wingdings" w:char="F06C"/>
            </w:r>
            <w:r w:rsidRPr="005C7CCE">
              <w:br/>
            </w:r>
          </w:p>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vMerge w:val="restart"/>
            <w:shd w:val="clear" w:color="auto" w:fill="auto"/>
            <w:tcMar>
              <w:top w:w="113" w:type="dxa"/>
            </w:tcMar>
          </w:tcPr>
          <w:p w:rsidR="0096696E" w:rsidRPr="00895C47" w:rsidRDefault="0096696E" w:rsidP="001A5BF9">
            <w:pPr>
              <w:spacing w:before="80"/>
              <w:rPr>
                <w:rFonts w:cs="Arial"/>
                <w:sz w:val="14"/>
                <w:szCs w:val="14"/>
              </w:rPr>
            </w:pPr>
            <w:r w:rsidRPr="00895C47">
              <w:rPr>
                <w:sz w:val="14"/>
              </w:rPr>
              <w:t>Liens renforcés avec les utilisateurs</w:t>
            </w:r>
            <w:r w:rsidR="00A20444" w:rsidRPr="00895C47">
              <w:rPr>
                <w:sz w:val="14"/>
              </w:rPr>
              <w:t xml:space="preserve"> du PCT</w:t>
            </w:r>
            <w:r w:rsidRPr="00895C47">
              <w:rPr>
                <w:sz w:val="14"/>
              </w:rPr>
              <w:t xml:space="preserve"> et les offices</w:t>
            </w: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Satisfaction des offices et des administrations internationales à l</w:t>
            </w:r>
            <w:r w:rsidR="00A20444" w:rsidRPr="00895C47">
              <w:rPr>
                <w:sz w:val="14"/>
              </w:rPr>
              <w:t>’</w:t>
            </w:r>
            <w:r w:rsidRPr="00895C47">
              <w:rPr>
                <w:sz w:val="14"/>
              </w:rPr>
              <w:t>égard des activités de coopération du PCT</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5</w:t>
            </w:r>
          </w:p>
        </w:tc>
        <w:tc>
          <w:tcPr>
            <w:tcW w:w="1309" w:type="dxa"/>
          </w:tcPr>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vMerge/>
            <w:shd w:val="clear" w:color="auto" w:fill="auto"/>
            <w:tcMar>
              <w:top w:w="113" w:type="dxa"/>
            </w:tcMar>
            <w:vAlign w:val="center"/>
          </w:tcPr>
          <w:p w:rsidR="0096696E" w:rsidRPr="00895C47" w:rsidRDefault="0096696E" w:rsidP="001A5BF9">
            <w:pPr>
              <w:spacing w:before="8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Contact constructif avec les utilisateurs</w:t>
            </w:r>
            <w:r w:rsidR="00A20444" w:rsidRPr="00895C47">
              <w:rPr>
                <w:sz w:val="14"/>
              </w:rPr>
              <w:t xml:space="preserve"> du PCT</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5</w:t>
            </w:r>
          </w:p>
        </w:tc>
        <w:tc>
          <w:tcPr>
            <w:tcW w:w="1309" w:type="dxa"/>
          </w:tcPr>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shd w:val="clear" w:color="auto" w:fill="auto"/>
            <w:tcMar>
              <w:top w:w="113" w:type="dxa"/>
            </w:tcMar>
            <w:vAlign w:val="center"/>
          </w:tcPr>
          <w:p w:rsidR="0096696E" w:rsidRPr="00895C47" w:rsidRDefault="0096696E" w:rsidP="001A5BF9">
            <w:pPr>
              <w:spacing w:before="8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Nombre accru de réactions des utilisateurs</w:t>
            </w:r>
            <w:r w:rsidR="00A20444" w:rsidRPr="00895C47">
              <w:rPr>
                <w:sz w:val="14"/>
              </w:rPr>
              <w:t xml:space="preserve"> du PCT</w:t>
            </w:r>
            <w:r w:rsidRPr="00895C47">
              <w:rPr>
                <w:sz w:val="14"/>
              </w:rPr>
              <w:t xml:space="preserve"> concernant la performance globale du système</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5</w:t>
            </w:r>
          </w:p>
        </w:tc>
        <w:tc>
          <w:tcPr>
            <w:tcW w:w="1309" w:type="dxa"/>
          </w:tcPr>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Amélioration globale du système</w:t>
            </w:r>
            <w:r w:rsidR="00A20444" w:rsidRPr="00895C47">
              <w:rPr>
                <w:sz w:val="14"/>
              </w:rPr>
              <w:t xml:space="preserve"> du PCT</w:t>
            </w: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Progrès vers la mise en œuvre des recommandations adoptées en</w:t>
            </w:r>
            <w:r w:rsidR="0010442A" w:rsidRPr="00895C47">
              <w:rPr>
                <w:sz w:val="14"/>
              </w:rPr>
              <w:t> </w:t>
            </w:r>
            <w:r w:rsidRPr="00895C47">
              <w:rPr>
                <w:sz w:val="14"/>
              </w:rPr>
              <w:t>2010 par le Groupe de travail</w:t>
            </w:r>
            <w:r w:rsidR="00A20444" w:rsidRPr="00895C47">
              <w:rPr>
                <w:sz w:val="14"/>
              </w:rPr>
              <w:t xml:space="preserve"> du PCT</w:t>
            </w:r>
            <w:r w:rsidRPr="00895C47">
              <w:rPr>
                <w:sz w:val="14"/>
              </w:rPr>
              <w:t xml:space="preserve"> sur les moyens d</w:t>
            </w:r>
            <w:r w:rsidR="00A20444" w:rsidRPr="00895C47">
              <w:rPr>
                <w:sz w:val="14"/>
              </w:rPr>
              <w:t>’</w:t>
            </w:r>
            <w:r w:rsidRPr="00895C47">
              <w:rPr>
                <w:sz w:val="14"/>
              </w:rPr>
              <w:t>améliorer le fonctionnement</w:t>
            </w:r>
            <w:r w:rsidR="00A20444" w:rsidRPr="00895C47">
              <w:rPr>
                <w:sz w:val="14"/>
              </w:rPr>
              <w:t xml:space="preserve"> du PCT</w:t>
            </w:r>
            <w:r w:rsidRPr="00895C47">
              <w:rPr>
                <w:sz w:val="14"/>
              </w:rPr>
              <w:t>, s</w:t>
            </w:r>
            <w:r w:rsidR="00A20444" w:rsidRPr="00895C47">
              <w:rPr>
                <w:sz w:val="14"/>
              </w:rPr>
              <w:t>’</w:t>
            </w:r>
            <w:r w:rsidRPr="00895C47">
              <w:rPr>
                <w:sz w:val="14"/>
              </w:rPr>
              <w:t>agissant des six</w:t>
            </w:r>
            <w:r w:rsidR="0010442A" w:rsidRPr="00895C47">
              <w:rPr>
                <w:sz w:val="14"/>
              </w:rPr>
              <w:t> </w:t>
            </w:r>
            <w:r w:rsidRPr="00895C47">
              <w:rPr>
                <w:sz w:val="14"/>
              </w:rPr>
              <w:t>groupes de questions ci</w:t>
            </w:r>
            <w:r w:rsidR="002D6F2A" w:rsidRPr="00895C47">
              <w:rPr>
                <w:sz w:val="14"/>
              </w:rPr>
              <w:noBreakHyphen/>
            </w:r>
            <w:r w:rsidRPr="00895C47">
              <w:rPr>
                <w:sz w:val="14"/>
              </w:rPr>
              <w:t>après</w:t>
            </w:r>
            <w:r w:rsidR="0010442A" w:rsidRPr="00895C47">
              <w:rPr>
                <w:sz w:val="14"/>
              </w:rPr>
              <w:t> </w:t>
            </w:r>
            <w:r w:rsidRPr="00895C47">
              <w:rPr>
                <w:sz w:val="14"/>
              </w:rPr>
              <w:t>: i)</w:t>
            </w:r>
            <w:r w:rsidR="0010442A" w:rsidRPr="00895C47">
              <w:rPr>
                <w:sz w:val="14"/>
              </w:rPr>
              <w:t> </w:t>
            </w:r>
            <w:r w:rsidRPr="00895C47">
              <w:rPr>
                <w:sz w:val="14"/>
              </w:rPr>
              <w:t>retards de traitement;</w:t>
            </w:r>
            <w:r w:rsidR="004F3E42" w:rsidRPr="00895C47">
              <w:rPr>
                <w:sz w:val="14"/>
              </w:rPr>
              <w:t xml:space="preserve"> </w:t>
            </w:r>
            <w:r w:rsidR="0010442A" w:rsidRPr="00895C47">
              <w:rPr>
                <w:sz w:val="14"/>
              </w:rPr>
              <w:t xml:space="preserve"> </w:t>
            </w:r>
            <w:r w:rsidRPr="00895C47">
              <w:rPr>
                <w:sz w:val="14"/>
              </w:rPr>
              <w:t>amélioration de la qualité des brevets délivrés;</w:t>
            </w:r>
            <w:r w:rsidR="004F3E42" w:rsidRPr="00895C47">
              <w:rPr>
                <w:sz w:val="14"/>
              </w:rPr>
              <w:t xml:space="preserve"> </w:t>
            </w:r>
            <w:r w:rsidR="0010442A" w:rsidRPr="00895C47">
              <w:rPr>
                <w:sz w:val="14"/>
              </w:rPr>
              <w:t xml:space="preserve"> </w:t>
            </w:r>
            <w:r w:rsidRPr="00895C47">
              <w:rPr>
                <w:sz w:val="14"/>
              </w:rPr>
              <w:t>ii)</w:t>
            </w:r>
            <w:r w:rsidR="0010442A" w:rsidRPr="00895C47">
              <w:rPr>
                <w:sz w:val="14"/>
              </w:rPr>
              <w:t> </w:t>
            </w:r>
            <w:r w:rsidRPr="00895C47">
              <w:rPr>
                <w:sz w:val="14"/>
              </w:rPr>
              <w:t>respect des délais dans la phase internationale;</w:t>
            </w:r>
            <w:r w:rsidR="004F3E42" w:rsidRPr="00895C47">
              <w:rPr>
                <w:sz w:val="14"/>
              </w:rPr>
              <w:t xml:space="preserve"> </w:t>
            </w:r>
            <w:r w:rsidR="0010442A" w:rsidRPr="00895C47">
              <w:rPr>
                <w:sz w:val="14"/>
              </w:rPr>
              <w:t xml:space="preserve"> </w:t>
            </w:r>
            <w:r w:rsidRPr="00895C47">
              <w:rPr>
                <w:sz w:val="14"/>
              </w:rPr>
              <w:t>iii)</w:t>
            </w:r>
            <w:r w:rsidR="0010442A" w:rsidRPr="00895C47">
              <w:rPr>
                <w:sz w:val="14"/>
              </w:rPr>
              <w:t> </w:t>
            </w:r>
            <w:r w:rsidRPr="00895C47">
              <w:rPr>
                <w:sz w:val="14"/>
              </w:rPr>
              <w:t>qualité de la recherche internationale et de l</w:t>
            </w:r>
            <w:r w:rsidR="00A20444" w:rsidRPr="00895C47">
              <w:rPr>
                <w:sz w:val="14"/>
              </w:rPr>
              <w:t>’</w:t>
            </w:r>
            <w:r w:rsidRPr="00895C47">
              <w:rPr>
                <w:sz w:val="14"/>
              </w:rPr>
              <w:t>examen préliminaire international;</w:t>
            </w:r>
            <w:r w:rsidR="004F3E42" w:rsidRPr="00895C47">
              <w:rPr>
                <w:sz w:val="14"/>
              </w:rPr>
              <w:t xml:space="preserve"> </w:t>
            </w:r>
            <w:r w:rsidR="0010442A" w:rsidRPr="00895C47">
              <w:rPr>
                <w:sz w:val="14"/>
              </w:rPr>
              <w:t xml:space="preserve"> </w:t>
            </w:r>
            <w:r w:rsidRPr="00895C47">
              <w:rPr>
                <w:sz w:val="14"/>
              </w:rPr>
              <w:t>iv)</w:t>
            </w:r>
            <w:r w:rsidR="0010442A" w:rsidRPr="00895C47">
              <w:rPr>
                <w:sz w:val="14"/>
              </w:rPr>
              <w:t> </w:t>
            </w:r>
            <w:r w:rsidRPr="00895C47">
              <w:rPr>
                <w:sz w:val="14"/>
              </w:rPr>
              <w:t>incitations offertes aux déposants pour qu</w:t>
            </w:r>
            <w:r w:rsidR="00A20444" w:rsidRPr="00895C47">
              <w:rPr>
                <w:sz w:val="14"/>
              </w:rPr>
              <w:t>’</w:t>
            </w:r>
            <w:r w:rsidRPr="00895C47">
              <w:rPr>
                <w:sz w:val="14"/>
              </w:rPr>
              <w:t>ils utilisent le système avec efficacité;</w:t>
            </w:r>
            <w:r w:rsidR="004F3E42" w:rsidRPr="00895C47">
              <w:rPr>
                <w:sz w:val="14"/>
              </w:rPr>
              <w:t xml:space="preserve"> </w:t>
            </w:r>
            <w:r w:rsidR="0010442A" w:rsidRPr="00895C47">
              <w:rPr>
                <w:sz w:val="14"/>
              </w:rPr>
              <w:t xml:space="preserve"> </w:t>
            </w:r>
            <w:r w:rsidRPr="00895C47">
              <w:rPr>
                <w:sz w:val="14"/>
              </w:rPr>
              <w:t>insuffisance des qualifications et de l</w:t>
            </w:r>
            <w:r w:rsidR="00A20444" w:rsidRPr="00895C47">
              <w:rPr>
                <w:sz w:val="14"/>
              </w:rPr>
              <w:t>’</w:t>
            </w:r>
            <w:r w:rsidRPr="00895C47">
              <w:rPr>
                <w:sz w:val="14"/>
              </w:rPr>
              <w:t>effectif;</w:t>
            </w:r>
            <w:r w:rsidR="004F3E42" w:rsidRPr="00895C47">
              <w:rPr>
                <w:sz w:val="14"/>
              </w:rPr>
              <w:t xml:space="preserve"> </w:t>
            </w:r>
            <w:r w:rsidR="0010442A" w:rsidRPr="00895C47">
              <w:rPr>
                <w:sz w:val="14"/>
              </w:rPr>
              <w:t xml:space="preserve"> </w:t>
            </w:r>
            <w:r w:rsidRPr="00895C47">
              <w:rPr>
                <w:sz w:val="14"/>
              </w:rPr>
              <w:t>v)</w:t>
            </w:r>
            <w:r w:rsidR="0010442A" w:rsidRPr="00895C47">
              <w:rPr>
                <w:sz w:val="14"/>
              </w:rPr>
              <w:t> </w:t>
            </w:r>
            <w:r w:rsidRPr="00895C47">
              <w:rPr>
                <w:sz w:val="14"/>
              </w:rPr>
              <w:t>coûts et autres aspects de l</w:t>
            </w:r>
            <w:r w:rsidR="00A20444" w:rsidRPr="00895C47">
              <w:rPr>
                <w:sz w:val="14"/>
              </w:rPr>
              <w:t>’</w:t>
            </w:r>
            <w:r w:rsidRPr="00895C47">
              <w:rPr>
                <w:sz w:val="14"/>
              </w:rPr>
              <w:t>accessibilité;</w:t>
            </w:r>
            <w:r w:rsidR="004F3E42" w:rsidRPr="00895C47">
              <w:rPr>
                <w:sz w:val="14"/>
              </w:rPr>
              <w:t xml:space="preserve"> </w:t>
            </w:r>
            <w:r w:rsidR="0010442A" w:rsidRPr="00895C47">
              <w:rPr>
                <w:sz w:val="14"/>
              </w:rPr>
              <w:t xml:space="preserve"> </w:t>
            </w:r>
            <w:r w:rsidRPr="00895C47">
              <w:rPr>
                <w:sz w:val="14"/>
              </w:rPr>
              <w:t>cohérence et disponibilité des garanties;</w:t>
            </w:r>
            <w:r w:rsidR="004F3E42" w:rsidRPr="00895C47">
              <w:rPr>
                <w:sz w:val="14"/>
              </w:rPr>
              <w:t xml:space="preserve"> </w:t>
            </w:r>
            <w:r w:rsidR="0010442A" w:rsidRPr="00895C47">
              <w:rPr>
                <w:sz w:val="14"/>
              </w:rPr>
              <w:t xml:space="preserve"> </w:t>
            </w:r>
            <w:r w:rsidRPr="00895C47">
              <w:rPr>
                <w:sz w:val="14"/>
              </w:rPr>
              <w:t>et vi)</w:t>
            </w:r>
            <w:r w:rsidR="0010442A" w:rsidRPr="00895C47">
              <w:rPr>
                <w:sz w:val="14"/>
              </w:rPr>
              <w:t> </w:t>
            </w:r>
            <w:r w:rsidRPr="00895C47">
              <w:rPr>
                <w:sz w:val="14"/>
              </w:rPr>
              <w:t>assistance technique;</w:t>
            </w:r>
            <w:r w:rsidR="004F3E42" w:rsidRPr="00895C47">
              <w:rPr>
                <w:sz w:val="14"/>
              </w:rPr>
              <w:t xml:space="preserve"> </w:t>
            </w:r>
            <w:r w:rsidR="0010442A" w:rsidRPr="00895C47">
              <w:rPr>
                <w:sz w:val="14"/>
              </w:rPr>
              <w:t xml:space="preserve"> </w:t>
            </w:r>
            <w:r w:rsidRPr="00895C47">
              <w:rPr>
                <w:sz w:val="14"/>
              </w:rPr>
              <w:t>transfert d</w:t>
            </w:r>
            <w:r w:rsidR="00A20444" w:rsidRPr="00895C47">
              <w:rPr>
                <w:sz w:val="14"/>
              </w:rPr>
              <w:t>’</w:t>
            </w:r>
            <w:r w:rsidRPr="00895C47">
              <w:rPr>
                <w:sz w:val="14"/>
              </w:rPr>
              <w:t>information et de technologie dans le cadre</w:t>
            </w:r>
            <w:r w:rsidR="00A20444" w:rsidRPr="00895C47">
              <w:rPr>
                <w:sz w:val="14"/>
              </w:rPr>
              <w:t xml:space="preserve"> du PCT</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5</w:t>
            </w:r>
          </w:p>
        </w:tc>
        <w:tc>
          <w:tcPr>
            <w:tcW w:w="1309" w:type="dxa"/>
          </w:tcPr>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vMerge w:val="restart"/>
            <w:shd w:val="clear" w:color="auto" w:fill="auto"/>
            <w:tcMar>
              <w:top w:w="113" w:type="dxa"/>
            </w:tcMar>
          </w:tcPr>
          <w:p w:rsidR="0096696E" w:rsidRPr="00895C47" w:rsidRDefault="0096696E" w:rsidP="00D7345C">
            <w:pPr>
              <w:spacing w:before="80"/>
              <w:rPr>
                <w:rFonts w:cs="Arial"/>
                <w:sz w:val="14"/>
                <w:szCs w:val="14"/>
              </w:rPr>
            </w:pPr>
            <w:r w:rsidRPr="00895C47">
              <w:rPr>
                <w:sz w:val="14"/>
              </w:rPr>
              <w:t>Amélioration du fonctionnemen</w:t>
            </w:r>
            <w:r w:rsidR="00D7345C">
              <w:rPr>
                <w:sz w:val="14"/>
              </w:rPr>
              <w:t>t du Bureau international</w:t>
            </w: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Coût unitaire du traitement d</w:t>
            </w:r>
            <w:r w:rsidR="00A20444" w:rsidRPr="00895C47">
              <w:rPr>
                <w:sz w:val="14"/>
              </w:rPr>
              <w:t>’</w:t>
            </w:r>
            <w:r w:rsidRPr="00895C47">
              <w:rPr>
                <w:sz w:val="14"/>
              </w:rPr>
              <w:t>une demande</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5</w:t>
            </w:r>
          </w:p>
        </w:tc>
        <w:tc>
          <w:tcPr>
            <w:tcW w:w="1309" w:type="dxa"/>
          </w:tcPr>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Productivité de l</w:t>
            </w:r>
            <w:r w:rsidR="00A20444" w:rsidRPr="00895C47">
              <w:rPr>
                <w:sz w:val="14"/>
              </w:rPr>
              <w:t>’</w:t>
            </w:r>
            <w:r w:rsidRPr="00895C47">
              <w:rPr>
                <w:sz w:val="14"/>
              </w:rPr>
              <w:t>examen des formalités</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5</w:t>
            </w:r>
          </w:p>
        </w:tc>
        <w:tc>
          <w:tcPr>
            <w:tcW w:w="1309" w:type="dxa"/>
          </w:tcPr>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Qualité de l</w:t>
            </w:r>
            <w:r w:rsidR="00A20444" w:rsidRPr="00895C47">
              <w:rPr>
                <w:sz w:val="14"/>
              </w:rPr>
              <w:t>’</w:t>
            </w:r>
            <w:r w:rsidRPr="00895C47">
              <w:rPr>
                <w:sz w:val="14"/>
              </w:rPr>
              <w:t>examen des formalités</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5</w:t>
            </w:r>
          </w:p>
        </w:tc>
        <w:tc>
          <w:tcPr>
            <w:tcW w:w="1309" w:type="dxa"/>
          </w:tcPr>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Rapidité de l</w:t>
            </w:r>
            <w:r w:rsidR="00A20444" w:rsidRPr="00895C47">
              <w:rPr>
                <w:sz w:val="14"/>
              </w:rPr>
              <w:t>’</w:t>
            </w:r>
            <w:r w:rsidRPr="00895C47">
              <w:rPr>
                <w:sz w:val="14"/>
              </w:rPr>
              <w:t>examen de forme (pourcentage accompli dans les trois semaines suivant la réception)</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5</w:t>
            </w:r>
          </w:p>
        </w:tc>
        <w:tc>
          <w:tcPr>
            <w:tcW w:w="1309" w:type="dxa"/>
          </w:tcPr>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shd w:val="clear" w:color="auto" w:fill="auto"/>
            <w:tcMar>
              <w:top w:w="113" w:type="dxa"/>
            </w:tcMar>
          </w:tcPr>
          <w:p w:rsidR="0096696E" w:rsidRPr="00895C47" w:rsidRDefault="0096696E" w:rsidP="00401321">
            <w:pPr>
              <w:keepNext/>
              <w:keepLines/>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401321">
            <w:pPr>
              <w:keepNext/>
              <w:keepLines/>
              <w:spacing w:before="80"/>
              <w:rPr>
                <w:rFonts w:cs="Arial"/>
                <w:sz w:val="14"/>
                <w:szCs w:val="14"/>
              </w:rPr>
            </w:pPr>
            <w:r w:rsidRPr="00895C47">
              <w:rPr>
                <w:sz w:val="14"/>
              </w:rPr>
              <w:t xml:space="preserve">Rapidité de la publication (pourcentage publié dans les </w:t>
            </w:r>
            <w:r w:rsidR="00BD43F2" w:rsidRPr="00895C47">
              <w:rPr>
                <w:sz w:val="14"/>
              </w:rPr>
              <w:t>18 </w:t>
            </w:r>
            <w:r w:rsidRPr="00895C47">
              <w:rPr>
                <w:sz w:val="14"/>
              </w:rPr>
              <w:t>mois + trois</w:t>
            </w:r>
            <w:r w:rsidR="0010442A" w:rsidRPr="00895C47">
              <w:rPr>
                <w:sz w:val="14"/>
              </w:rPr>
              <w:t> </w:t>
            </w:r>
            <w:r w:rsidRPr="00895C47">
              <w:rPr>
                <w:sz w:val="14"/>
              </w:rPr>
              <w:t>semaines suivant la date de priorité)</w:t>
            </w:r>
          </w:p>
        </w:tc>
        <w:tc>
          <w:tcPr>
            <w:tcW w:w="1775" w:type="dxa"/>
            <w:shd w:val="clear" w:color="auto" w:fill="auto"/>
            <w:tcMar>
              <w:top w:w="113" w:type="dxa"/>
            </w:tcMar>
          </w:tcPr>
          <w:p w:rsidR="0096696E" w:rsidRPr="00895C47" w:rsidRDefault="0096696E" w:rsidP="00401321">
            <w:pPr>
              <w:keepNext/>
              <w:keepLines/>
              <w:spacing w:before="80"/>
              <w:jc w:val="center"/>
              <w:rPr>
                <w:rFonts w:cs="Arial"/>
                <w:sz w:val="14"/>
                <w:szCs w:val="14"/>
              </w:rPr>
            </w:pPr>
            <w:r w:rsidRPr="00895C47">
              <w:rPr>
                <w:sz w:val="14"/>
              </w:rPr>
              <w:t>Programme 5</w:t>
            </w:r>
          </w:p>
        </w:tc>
        <w:tc>
          <w:tcPr>
            <w:tcW w:w="1309" w:type="dxa"/>
          </w:tcPr>
          <w:p w:rsidR="0096696E" w:rsidRPr="005C7CCE" w:rsidRDefault="0096696E" w:rsidP="00401321">
            <w:pPr>
              <w:keepNext/>
              <w:keepLines/>
              <w:jc w:val="center"/>
              <w:rPr>
                <w:rFonts w:cs="Arial"/>
                <w:color w:val="10862C"/>
                <w:szCs w:val="22"/>
              </w:rPr>
            </w:pPr>
            <w:r w:rsidRPr="005C7CCE">
              <w:rPr>
                <w:color w:val="10862C"/>
              </w:rPr>
              <w:sym w:font="Wingdings" w:char="F06C"/>
            </w:r>
          </w:p>
        </w:tc>
      </w:tr>
      <w:tr w:rsidR="0096696E" w:rsidRPr="005C7CCE" w:rsidTr="00A7273C">
        <w:tc>
          <w:tcPr>
            <w:tcW w:w="2998" w:type="dxa"/>
            <w:shd w:val="clear" w:color="auto" w:fill="auto"/>
            <w:tcMar>
              <w:top w:w="113" w:type="dxa"/>
            </w:tcMar>
          </w:tcPr>
          <w:p w:rsidR="0096696E" w:rsidRPr="00895C47" w:rsidRDefault="0096696E" w:rsidP="00401321">
            <w:pPr>
              <w:keepNext/>
              <w:keepLines/>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401321">
            <w:pPr>
              <w:keepNext/>
              <w:keepLines/>
              <w:spacing w:before="80"/>
              <w:rPr>
                <w:rFonts w:cs="Arial"/>
                <w:sz w:val="14"/>
                <w:szCs w:val="14"/>
              </w:rPr>
            </w:pPr>
            <w:r w:rsidRPr="00895C47">
              <w:rPr>
                <w:sz w:val="14"/>
              </w:rPr>
              <w:t>Qualité des traductions (pourcentage passant avec succès le contrôle qualité)</w:t>
            </w:r>
          </w:p>
        </w:tc>
        <w:tc>
          <w:tcPr>
            <w:tcW w:w="1775" w:type="dxa"/>
            <w:shd w:val="clear" w:color="auto" w:fill="auto"/>
            <w:tcMar>
              <w:top w:w="113" w:type="dxa"/>
            </w:tcMar>
          </w:tcPr>
          <w:p w:rsidR="0096696E" w:rsidRPr="00895C47" w:rsidRDefault="0096696E" w:rsidP="00401321">
            <w:pPr>
              <w:keepNext/>
              <w:keepLines/>
              <w:spacing w:before="80"/>
              <w:jc w:val="center"/>
              <w:rPr>
                <w:rFonts w:cs="Arial"/>
                <w:sz w:val="14"/>
                <w:szCs w:val="14"/>
              </w:rPr>
            </w:pPr>
            <w:r w:rsidRPr="00895C47">
              <w:rPr>
                <w:sz w:val="14"/>
              </w:rPr>
              <w:t>Programme 5</w:t>
            </w:r>
          </w:p>
        </w:tc>
        <w:tc>
          <w:tcPr>
            <w:tcW w:w="1309" w:type="dxa"/>
          </w:tcPr>
          <w:p w:rsidR="0096696E" w:rsidRPr="005C7CCE" w:rsidRDefault="0096696E" w:rsidP="00401321">
            <w:pPr>
              <w:keepNext/>
              <w:keepLines/>
              <w:jc w:val="center"/>
              <w:rPr>
                <w:rFonts w:cs="Arial"/>
                <w:color w:val="10862C"/>
                <w:szCs w:val="22"/>
              </w:rPr>
            </w:pPr>
            <w:r w:rsidRPr="005C7CCE">
              <w:rPr>
                <w:color w:val="10862C"/>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Demandes déposées auprès du Bureau international en tant qu</w:t>
            </w:r>
            <w:r w:rsidR="00A20444" w:rsidRPr="00895C47">
              <w:rPr>
                <w:sz w:val="14"/>
              </w:rPr>
              <w:t>’</w:t>
            </w:r>
            <w:r w:rsidRPr="00895C47">
              <w:rPr>
                <w:sz w:val="14"/>
              </w:rPr>
              <w:t>office récepteur</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5</w:t>
            </w:r>
          </w:p>
        </w:tc>
        <w:tc>
          <w:tcPr>
            <w:tcW w:w="1309" w:type="dxa"/>
          </w:tcPr>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vMerge w:val="restart"/>
            <w:shd w:val="clear" w:color="auto" w:fill="auto"/>
            <w:tcMar>
              <w:top w:w="113" w:type="dxa"/>
            </w:tcMar>
          </w:tcPr>
          <w:p w:rsidR="0096696E" w:rsidRPr="00895C47" w:rsidRDefault="0096696E" w:rsidP="001A5BF9">
            <w:pPr>
              <w:spacing w:before="80"/>
              <w:rPr>
                <w:rFonts w:cs="Arial"/>
                <w:sz w:val="14"/>
                <w:szCs w:val="14"/>
              </w:rPr>
            </w:pPr>
            <w:r w:rsidRPr="00895C47">
              <w:rPr>
                <w:sz w:val="14"/>
              </w:rPr>
              <w:t>Meilleure utilisation des systèmes de Madrid et de Lisbonne, notamment par les pays en développement et</w:t>
            </w:r>
            <w:r w:rsidR="00A20444" w:rsidRPr="00895C47">
              <w:rPr>
                <w:sz w:val="14"/>
              </w:rPr>
              <w:t xml:space="preserve"> les PMA</w:t>
            </w: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Nombre de nouveaux enregistrements (système de Madrid)</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6</w:t>
            </w:r>
          </w:p>
        </w:tc>
        <w:tc>
          <w:tcPr>
            <w:tcW w:w="1309" w:type="dxa"/>
          </w:tcPr>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8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Nombre de renouvellements (système de Madrid)</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6</w:t>
            </w:r>
          </w:p>
        </w:tc>
        <w:tc>
          <w:tcPr>
            <w:tcW w:w="1309" w:type="dxa"/>
          </w:tcPr>
          <w:p w:rsidR="0096696E" w:rsidRPr="005C7CCE" w:rsidRDefault="0096696E" w:rsidP="001A5BF9">
            <w:pPr>
              <w:jc w:val="center"/>
              <w:rPr>
                <w:rFonts w:cs="Arial"/>
                <w:color w:val="10862C"/>
                <w:szCs w:val="22"/>
              </w:rPr>
            </w:pPr>
            <w:r w:rsidRPr="005C7CCE">
              <w:rPr>
                <w:color w:val="10862C"/>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Pourcentage de lettres signalant des irrégularités par rapport au nombre total de demandes reçues (système de Madrid)</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6</w:t>
            </w:r>
          </w:p>
        </w:tc>
        <w:tc>
          <w:tcPr>
            <w:tcW w:w="1309" w:type="dxa"/>
          </w:tcPr>
          <w:p w:rsidR="0096696E" w:rsidRPr="005C7CCE" w:rsidRDefault="0096696E" w:rsidP="001A5BF9">
            <w:pPr>
              <w:jc w:val="center"/>
              <w:rPr>
                <w:rFonts w:cs="Arial"/>
                <w:szCs w:val="22"/>
              </w:rPr>
            </w:pPr>
            <w:r w:rsidRPr="005C7CCE">
              <w:rPr>
                <w:color w:val="FF0000"/>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keepNext/>
              <w:keepLines/>
              <w:spacing w:before="80"/>
              <w:rPr>
                <w:rFonts w:cs="Arial"/>
                <w:sz w:val="14"/>
                <w:szCs w:val="14"/>
              </w:rPr>
            </w:pPr>
            <w:r w:rsidRPr="00895C47">
              <w:rPr>
                <w:sz w:val="14"/>
              </w:rPr>
              <w:t>Pourcentage de demandes internationales provenant des pays en développement et</w:t>
            </w:r>
            <w:r w:rsidR="00A20444" w:rsidRPr="00895C47">
              <w:rPr>
                <w:sz w:val="14"/>
              </w:rPr>
              <w:t xml:space="preserve"> des PMA</w:t>
            </w:r>
            <w:r w:rsidRPr="00895C47">
              <w:rPr>
                <w:sz w:val="14"/>
              </w:rPr>
              <w:t xml:space="preserve"> (système de Madrid)</w:t>
            </w:r>
          </w:p>
        </w:tc>
        <w:tc>
          <w:tcPr>
            <w:tcW w:w="1775" w:type="dxa"/>
            <w:shd w:val="clear" w:color="auto" w:fill="auto"/>
            <w:tcMar>
              <w:top w:w="113" w:type="dxa"/>
            </w:tcMar>
          </w:tcPr>
          <w:p w:rsidR="0096696E" w:rsidRPr="00895C47" w:rsidRDefault="0096696E" w:rsidP="001A5BF9">
            <w:pPr>
              <w:keepNext/>
              <w:keepLines/>
              <w:spacing w:before="80"/>
              <w:jc w:val="center"/>
              <w:rPr>
                <w:rFonts w:cs="Arial"/>
                <w:sz w:val="14"/>
                <w:szCs w:val="14"/>
              </w:rPr>
            </w:pPr>
            <w:r w:rsidRPr="00895C47">
              <w:rPr>
                <w:sz w:val="14"/>
              </w:rPr>
              <w:t>Programme 6</w:t>
            </w:r>
          </w:p>
        </w:tc>
        <w:tc>
          <w:tcPr>
            <w:tcW w:w="1309" w:type="dxa"/>
          </w:tcPr>
          <w:p w:rsidR="0096696E" w:rsidRPr="005C7CCE" w:rsidRDefault="0096696E" w:rsidP="001A5BF9">
            <w:pPr>
              <w:keepNext/>
              <w:keepLines/>
              <w:jc w:val="center"/>
              <w:rPr>
                <w:rFonts w:cs="Arial"/>
                <w:szCs w:val="22"/>
              </w:rPr>
            </w:pPr>
            <w:r w:rsidRPr="005C7CCE">
              <w:rPr>
                <w:color w:val="FF0000"/>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keepNext/>
              <w:keepLines/>
              <w:spacing w:before="80"/>
              <w:rPr>
                <w:rFonts w:cs="Arial"/>
                <w:sz w:val="14"/>
                <w:szCs w:val="14"/>
              </w:rPr>
            </w:pPr>
            <w:r w:rsidRPr="00895C47">
              <w:rPr>
                <w:sz w:val="14"/>
              </w:rPr>
              <w:t>Nombre de parties contractantes au Protocole de Madrid</w:t>
            </w:r>
          </w:p>
        </w:tc>
        <w:tc>
          <w:tcPr>
            <w:tcW w:w="1775" w:type="dxa"/>
            <w:shd w:val="clear" w:color="auto" w:fill="auto"/>
            <w:tcMar>
              <w:top w:w="113" w:type="dxa"/>
            </w:tcMar>
          </w:tcPr>
          <w:p w:rsidR="0096696E" w:rsidRPr="00895C47" w:rsidRDefault="0096696E" w:rsidP="001A5BF9">
            <w:pPr>
              <w:keepNext/>
              <w:keepLines/>
              <w:spacing w:before="80"/>
              <w:jc w:val="center"/>
              <w:rPr>
                <w:rFonts w:cs="Arial"/>
                <w:sz w:val="14"/>
                <w:szCs w:val="14"/>
              </w:rPr>
            </w:pPr>
            <w:r w:rsidRPr="00895C47">
              <w:rPr>
                <w:sz w:val="14"/>
              </w:rPr>
              <w:t>Programme 6</w:t>
            </w:r>
          </w:p>
        </w:tc>
        <w:tc>
          <w:tcPr>
            <w:tcW w:w="1309" w:type="dxa"/>
          </w:tcPr>
          <w:p w:rsidR="0096696E" w:rsidRPr="005C7CCE" w:rsidRDefault="0096696E" w:rsidP="001A5BF9">
            <w:pPr>
              <w:keepNext/>
              <w:keepLines/>
              <w:jc w:val="center"/>
              <w:rPr>
                <w:rFonts w:cs="Arial"/>
                <w:szCs w:val="22"/>
              </w:rPr>
            </w:pPr>
            <w:r w:rsidRPr="005C7CCE">
              <w:rPr>
                <w:color w:val="10862C"/>
              </w:rPr>
              <w:sym w:font="Wingdings" w:char="F06C"/>
            </w:r>
          </w:p>
        </w:tc>
      </w:tr>
      <w:tr w:rsidR="0096696E" w:rsidRPr="005C7CCE" w:rsidTr="00A7273C">
        <w:trPr>
          <w:trHeight w:val="414"/>
        </w:trPr>
        <w:tc>
          <w:tcPr>
            <w:tcW w:w="2998" w:type="dxa"/>
            <w:vMerge w:val="restart"/>
            <w:shd w:val="clear" w:color="auto" w:fill="auto"/>
          </w:tcPr>
          <w:p w:rsidR="0096696E" w:rsidRPr="00895C47" w:rsidRDefault="0096696E" w:rsidP="001A5BF9">
            <w:pPr>
              <w:ind w:firstLineChars="100" w:firstLine="140"/>
              <w:rPr>
                <w:rFonts w:cs="Arial"/>
                <w:sz w:val="14"/>
                <w:szCs w:val="14"/>
              </w:rPr>
            </w:pPr>
          </w:p>
        </w:tc>
        <w:tc>
          <w:tcPr>
            <w:tcW w:w="3391" w:type="dxa"/>
            <w:shd w:val="clear" w:color="auto" w:fill="auto"/>
            <w:tcMar>
              <w:top w:w="113" w:type="dxa"/>
              <w:bottom w:w="113" w:type="dxa"/>
            </w:tcMar>
          </w:tcPr>
          <w:p w:rsidR="0096696E" w:rsidRPr="00895C47" w:rsidRDefault="0096696E" w:rsidP="001A5BF9">
            <w:pPr>
              <w:spacing w:before="80"/>
              <w:rPr>
                <w:rFonts w:cs="Arial"/>
                <w:sz w:val="14"/>
                <w:szCs w:val="14"/>
              </w:rPr>
            </w:pPr>
            <w:r w:rsidRPr="00895C47">
              <w:rPr>
                <w:sz w:val="14"/>
              </w:rPr>
              <w:t>Nombre de parties contractantes de l</w:t>
            </w:r>
            <w:r w:rsidR="00A20444" w:rsidRPr="00895C47">
              <w:rPr>
                <w:sz w:val="14"/>
              </w:rPr>
              <w:t>’</w:t>
            </w:r>
            <w:r w:rsidRPr="00895C47">
              <w:rPr>
                <w:sz w:val="14"/>
              </w:rPr>
              <w:t>Arrangement de Lisbonne</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6</w:t>
            </w:r>
          </w:p>
        </w:tc>
        <w:tc>
          <w:tcPr>
            <w:tcW w:w="1309" w:type="dxa"/>
          </w:tcPr>
          <w:p w:rsidR="0096696E" w:rsidRPr="005C7CCE" w:rsidRDefault="0096696E" w:rsidP="001A5BF9">
            <w:pPr>
              <w:jc w:val="center"/>
              <w:rPr>
                <w:rFonts w:cs="Arial"/>
                <w:szCs w:val="22"/>
              </w:rPr>
            </w:pPr>
            <w:r w:rsidRPr="005C7CCE">
              <w:rPr>
                <w:color w:val="E36C0A"/>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Nombre d</w:t>
            </w:r>
            <w:r w:rsidR="00A20444" w:rsidRPr="00895C47">
              <w:rPr>
                <w:sz w:val="14"/>
              </w:rPr>
              <w:t>’</w:t>
            </w:r>
            <w:r w:rsidRPr="00895C47">
              <w:rPr>
                <w:sz w:val="14"/>
              </w:rPr>
              <w:t>enregistrements internationaux en vigueur en vertu du système de Lisbonne concernant les appellations d</w:t>
            </w:r>
            <w:r w:rsidR="00A20444" w:rsidRPr="00895C47">
              <w:rPr>
                <w:sz w:val="14"/>
              </w:rPr>
              <w:t>’</w:t>
            </w:r>
            <w:r w:rsidRPr="00895C47">
              <w:rPr>
                <w:sz w:val="14"/>
              </w:rPr>
              <w:t>origine émanant des pays en développement et</w:t>
            </w:r>
            <w:r w:rsidR="00A20444" w:rsidRPr="00895C47">
              <w:rPr>
                <w:sz w:val="14"/>
              </w:rPr>
              <w:t xml:space="preserve"> des PMA</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6</w:t>
            </w:r>
          </w:p>
        </w:tc>
        <w:tc>
          <w:tcPr>
            <w:tcW w:w="1309" w:type="dxa"/>
          </w:tcPr>
          <w:p w:rsidR="0096696E" w:rsidRPr="005C7CCE" w:rsidRDefault="0096696E" w:rsidP="001A5BF9">
            <w:pPr>
              <w:jc w:val="center"/>
              <w:rPr>
                <w:rFonts w:cs="Arial"/>
                <w:szCs w:val="22"/>
              </w:rPr>
            </w:pPr>
            <w:r w:rsidRPr="005C7CCE">
              <w:rPr>
                <w:color w:val="10862C"/>
              </w:rPr>
              <w:sym w:font="Wingdings" w:char="F06C"/>
            </w:r>
          </w:p>
        </w:tc>
      </w:tr>
      <w:tr w:rsidR="0096696E" w:rsidRPr="005C7CCE" w:rsidTr="00A7273C">
        <w:tc>
          <w:tcPr>
            <w:tcW w:w="2998" w:type="dxa"/>
            <w:vMerge w:val="restart"/>
            <w:shd w:val="clear" w:color="auto" w:fill="auto"/>
            <w:tcMar>
              <w:top w:w="113" w:type="dxa"/>
            </w:tcMar>
          </w:tcPr>
          <w:p w:rsidR="0096696E" w:rsidRPr="00895C47" w:rsidRDefault="0096696E" w:rsidP="001A5BF9">
            <w:pPr>
              <w:spacing w:before="80"/>
              <w:rPr>
                <w:rFonts w:cs="Arial"/>
                <w:sz w:val="14"/>
                <w:szCs w:val="14"/>
              </w:rPr>
            </w:pPr>
            <w:r w:rsidRPr="00895C47">
              <w:rPr>
                <w:sz w:val="14"/>
              </w:rPr>
              <w:t xml:space="preserve">Amélioration du fonctionnement des systèmes de Madrid et de Lisbonne </w:t>
            </w: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Durée moyenne du traitement des nouvelles demandes sans irrégularités (système de Madrid)</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6</w:t>
            </w:r>
          </w:p>
        </w:tc>
        <w:tc>
          <w:tcPr>
            <w:tcW w:w="1309" w:type="dxa"/>
          </w:tcPr>
          <w:p w:rsidR="0096696E" w:rsidRPr="005C7CCE" w:rsidRDefault="0096696E" w:rsidP="001A5BF9">
            <w:pPr>
              <w:jc w:val="center"/>
              <w:rPr>
                <w:szCs w:val="22"/>
              </w:rPr>
            </w:pPr>
            <w:r w:rsidRPr="005C7CCE">
              <w:rPr>
                <w:color w:val="E36C0A"/>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Nombre d</w:t>
            </w:r>
            <w:r w:rsidR="00A20444" w:rsidRPr="00895C47">
              <w:rPr>
                <w:sz w:val="14"/>
              </w:rPr>
              <w:t>’</w:t>
            </w:r>
            <w:r w:rsidRPr="00895C47">
              <w:rPr>
                <w:sz w:val="14"/>
              </w:rPr>
              <w:t>offices envoyant les demandes au format XML et recevant les désignations au format XML (système de Madrid)</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6</w:t>
            </w:r>
          </w:p>
        </w:tc>
        <w:tc>
          <w:tcPr>
            <w:tcW w:w="1309" w:type="dxa"/>
          </w:tcPr>
          <w:p w:rsidR="0096696E" w:rsidRPr="005C7CCE" w:rsidRDefault="0096696E" w:rsidP="001A5BF9">
            <w:pPr>
              <w:jc w:val="center"/>
              <w:rPr>
                <w:color w:val="10862C"/>
                <w:szCs w:val="22"/>
              </w:rPr>
            </w:pPr>
            <w:r w:rsidRPr="005C7CCE">
              <w:rPr>
                <w:color w:val="10862C"/>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Pourcentage de documents reçus par voie électronique (système de Madrid)</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6</w:t>
            </w:r>
          </w:p>
        </w:tc>
        <w:tc>
          <w:tcPr>
            <w:tcW w:w="1309" w:type="dxa"/>
          </w:tcPr>
          <w:p w:rsidR="0096696E" w:rsidRPr="005C7CCE" w:rsidRDefault="0096696E" w:rsidP="001A5BF9">
            <w:pPr>
              <w:jc w:val="center"/>
              <w:rPr>
                <w:color w:val="10862C"/>
                <w:szCs w:val="22"/>
              </w:rPr>
            </w:pPr>
            <w:r w:rsidRPr="005C7CCE">
              <w:rPr>
                <w:color w:val="10862C"/>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Nombre de clients recevant des notifications par courrier électronique (système de Madrid)</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6</w:t>
            </w:r>
          </w:p>
        </w:tc>
        <w:tc>
          <w:tcPr>
            <w:tcW w:w="1309" w:type="dxa"/>
          </w:tcPr>
          <w:p w:rsidR="0096696E" w:rsidRPr="005C7CCE" w:rsidRDefault="0096696E" w:rsidP="001A5BF9">
            <w:pPr>
              <w:jc w:val="center"/>
              <w:rPr>
                <w:color w:val="10862C"/>
                <w:szCs w:val="22"/>
              </w:rPr>
            </w:pPr>
            <w:r w:rsidRPr="005C7CCE">
              <w:rPr>
                <w:color w:val="10862C"/>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Nombre de clients utilisant le Madrid Portfolio Manager (système de Madrid)</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6</w:t>
            </w:r>
          </w:p>
        </w:tc>
        <w:tc>
          <w:tcPr>
            <w:tcW w:w="1309" w:type="dxa"/>
          </w:tcPr>
          <w:p w:rsidR="0096696E" w:rsidRPr="005C7CCE" w:rsidRDefault="0096696E" w:rsidP="001A5BF9">
            <w:pPr>
              <w:jc w:val="center"/>
              <w:rPr>
                <w:color w:val="10862C"/>
                <w:szCs w:val="22"/>
              </w:rPr>
            </w:pPr>
            <w:r w:rsidRPr="005C7CCE">
              <w:rPr>
                <w:color w:val="10862C"/>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 xml:space="preserve">Nombre de procédures entièrement automatisées (système de Madrid) </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6</w:t>
            </w:r>
          </w:p>
        </w:tc>
        <w:tc>
          <w:tcPr>
            <w:tcW w:w="1309" w:type="dxa"/>
          </w:tcPr>
          <w:p w:rsidR="0096696E" w:rsidRPr="005C7CCE" w:rsidRDefault="0096696E" w:rsidP="001A5BF9">
            <w:pPr>
              <w:jc w:val="center"/>
              <w:rPr>
                <w:color w:val="10862C"/>
                <w:szCs w:val="22"/>
              </w:rPr>
            </w:pPr>
            <w:r w:rsidRPr="005C7CCE">
              <w:rPr>
                <w:color w:val="10862C"/>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Pourcentage de corrections inscrites par rapport au total des opérations inscrites (à l</w:t>
            </w:r>
            <w:r w:rsidR="00A20444" w:rsidRPr="00895C47">
              <w:rPr>
                <w:sz w:val="14"/>
              </w:rPr>
              <w:t>’</w:t>
            </w:r>
            <w:r w:rsidRPr="00895C47">
              <w:rPr>
                <w:sz w:val="14"/>
              </w:rPr>
              <w:t>exception des refus et des décisions finales) (système de Madrid)</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6</w:t>
            </w:r>
          </w:p>
        </w:tc>
        <w:tc>
          <w:tcPr>
            <w:tcW w:w="1309" w:type="dxa"/>
          </w:tcPr>
          <w:p w:rsidR="0096696E" w:rsidRPr="005C7CCE" w:rsidRDefault="0096696E" w:rsidP="001A5BF9">
            <w:pPr>
              <w:spacing w:before="40"/>
              <w:jc w:val="center"/>
              <w:rPr>
                <w:szCs w:val="22"/>
              </w:rPr>
            </w:pPr>
            <w:r w:rsidRPr="005C7CCE">
              <w:rPr>
                <w:color w:val="E36C0A"/>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Création d</w:t>
            </w:r>
            <w:r w:rsidR="00A20444" w:rsidRPr="00895C47">
              <w:rPr>
                <w:sz w:val="14"/>
              </w:rPr>
              <w:t>’</w:t>
            </w:r>
            <w:r w:rsidRPr="00895C47">
              <w:rPr>
                <w:sz w:val="14"/>
              </w:rPr>
              <w:t>un registre international automatisé (système de Lisbonne)</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6</w:t>
            </w:r>
          </w:p>
        </w:tc>
        <w:tc>
          <w:tcPr>
            <w:tcW w:w="1309" w:type="dxa"/>
          </w:tcPr>
          <w:p w:rsidR="0096696E" w:rsidRPr="005C7CCE" w:rsidRDefault="0096696E" w:rsidP="001A5BF9">
            <w:pPr>
              <w:spacing w:before="40"/>
              <w:jc w:val="center"/>
              <w:rPr>
                <w:color w:val="008000"/>
                <w:szCs w:val="22"/>
              </w:rPr>
            </w:pPr>
            <w:r w:rsidRPr="005C7CCE">
              <w:rPr>
                <w:color w:val="008000"/>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pacing w:val="-4"/>
                <w:sz w:val="14"/>
                <w:szCs w:val="14"/>
              </w:rPr>
            </w:pPr>
            <w:r w:rsidRPr="00895C47">
              <w:rPr>
                <w:spacing w:val="-4"/>
                <w:sz w:val="14"/>
              </w:rPr>
              <w:t>Nombre accru d</w:t>
            </w:r>
            <w:r w:rsidR="00A20444" w:rsidRPr="00895C47">
              <w:rPr>
                <w:spacing w:val="-4"/>
                <w:sz w:val="14"/>
              </w:rPr>
              <w:t>’</w:t>
            </w:r>
            <w:r w:rsidRPr="00895C47">
              <w:rPr>
                <w:spacing w:val="-4"/>
                <w:sz w:val="14"/>
              </w:rPr>
              <w:t>administrations compétentes utilisant des moyens électroniques de communication en vertu des procédures de Lisbonne</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6</w:t>
            </w:r>
          </w:p>
        </w:tc>
        <w:tc>
          <w:tcPr>
            <w:tcW w:w="1309" w:type="dxa"/>
          </w:tcPr>
          <w:p w:rsidR="0096696E" w:rsidRPr="005C7CCE" w:rsidRDefault="0096696E" w:rsidP="001A5BF9">
            <w:pPr>
              <w:spacing w:before="40"/>
              <w:jc w:val="center"/>
              <w:rPr>
                <w:color w:val="008000"/>
                <w:szCs w:val="22"/>
              </w:rPr>
            </w:pPr>
            <w:r w:rsidRPr="005C7CCE">
              <w:rPr>
                <w:color w:val="008000"/>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pacing w:val="-4"/>
                <w:sz w:val="14"/>
                <w:szCs w:val="14"/>
              </w:rPr>
            </w:pPr>
            <w:r w:rsidRPr="00895C47">
              <w:rPr>
                <w:spacing w:val="-4"/>
                <w:sz w:val="14"/>
              </w:rPr>
              <w:t>Adoption de dispositions rationalisant ou modernisant le cadre juridique du système de Lisbonne</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6</w:t>
            </w:r>
          </w:p>
        </w:tc>
        <w:tc>
          <w:tcPr>
            <w:tcW w:w="1309" w:type="dxa"/>
          </w:tcPr>
          <w:p w:rsidR="0096696E" w:rsidRPr="005C7CCE" w:rsidRDefault="0096696E" w:rsidP="001A5BF9">
            <w:pPr>
              <w:spacing w:before="40"/>
              <w:jc w:val="center"/>
              <w:rPr>
                <w:szCs w:val="22"/>
              </w:rPr>
            </w:pPr>
            <w:r w:rsidRPr="005C7CCE">
              <w:rPr>
                <w:color w:val="E36C0A"/>
              </w:rPr>
              <w:sym w:font="Wingdings" w:char="F06C"/>
            </w:r>
          </w:p>
        </w:tc>
      </w:tr>
      <w:tr w:rsidR="0096696E" w:rsidRPr="005C7CCE" w:rsidTr="00A7273C">
        <w:tc>
          <w:tcPr>
            <w:tcW w:w="2998" w:type="dxa"/>
            <w:vMerge w:val="restart"/>
            <w:shd w:val="clear" w:color="auto" w:fill="auto"/>
            <w:tcMar>
              <w:top w:w="113" w:type="dxa"/>
            </w:tcMar>
          </w:tcPr>
          <w:p w:rsidR="0096696E" w:rsidRPr="00895C47" w:rsidRDefault="0096696E" w:rsidP="001A5BF9">
            <w:pPr>
              <w:spacing w:before="40"/>
              <w:rPr>
                <w:rFonts w:cs="Arial"/>
                <w:sz w:val="14"/>
                <w:szCs w:val="14"/>
              </w:rPr>
            </w:pPr>
            <w:r w:rsidRPr="00895C47">
              <w:rPr>
                <w:sz w:val="14"/>
              </w:rPr>
              <w:t>Connaissance accrue des systèmes de Madrid et de Lisbonne</w:t>
            </w:r>
          </w:p>
        </w:tc>
        <w:tc>
          <w:tcPr>
            <w:tcW w:w="3391" w:type="dxa"/>
            <w:shd w:val="clear" w:color="auto" w:fill="auto"/>
            <w:tcMar>
              <w:top w:w="113" w:type="dxa"/>
            </w:tcMar>
          </w:tcPr>
          <w:p w:rsidR="0096696E" w:rsidRPr="00895C47" w:rsidRDefault="0096696E" w:rsidP="001A5BF9">
            <w:pPr>
              <w:spacing w:before="40"/>
              <w:rPr>
                <w:rFonts w:cs="Arial"/>
                <w:spacing w:val="-4"/>
                <w:sz w:val="14"/>
                <w:szCs w:val="14"/>
              </w:rPr>
            </w:pPr>
            <w:r w:rsidRPr="00895C47">
              <w:rPr>
                <w:spacing w:val="-4"/>
                <w:sz w:val="14"/>
              </w:rPr>
              <w:t>Pourcentage de participants des manifestations associées au système de Madrid qui sont satisfaits et signalent une meilleure compréhension du système à la suite d</w:t>
            </w:r>
            <w:r w:rsidR="00A20444" w:rsidRPr="00895C47">
              <w:rPr>
                <w:spacing w:val="-4"/>
                <w:sz w:val="14"/>
              </w:rPr>
              <w:t>’</w:t>
            </w:r>
            <w:r w:rsidRPr="00895C47">
              <w:rPr>
                <w:spacing w:val="-4"/>
                <w:sz w:val="14"/>
              </w:rPr>
              <w:t>une manifestation de formation</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6</w:t>
            </w:r>
          </w:p>
        </w:tc>
        <w:tc>
          <w:tcPr>
            <w:tcW w:w="1309" w:type="dxa"/>
          </w:tcPr>
          <w:p w:rsidR="0096696E" w:rsidRPr="005C7CCE" w:rsidRDefault="0096696E" w:rsidP="001A5BF9">
            <w:pPr>
              <w:spacing w:before="40"/>
              <w:jc w:val="center"/>
              <w:rPr>
                <w:color w:val="008000"/>
                <w:szCs w:val="22"/>
              </w:rPr>
            </w:pPr>
            <w:r w:rsidRPr="005C7CCE">
              <w:rPr>
                <w:color w:val="008000"/>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pacing w:val="-4"/>
                <w:sz w:val="14"/>
                <w:szCs w:val="14"/>
              </w:rPr>
            </w:pPr>
            <w:r w:rsidRPr="00895C47">
              <w:rPr>
                <w:spacing w:val="-4"/>
                <w:sz w:val="14"/>
              </w:rPr>
              <w:t>Pourcentage de participants des manifestations associées au système de Lisbonne qui sont satisfaits et qui signalent une meilleure connaissance du système à la suite de séminaires ou d</w:t>
            </w:r>
            <w:r w:rsidR="00A20444" w:rsidRPr="00895C47">
              <w:rPr>
                <w:spacing w:val="-4"/>
                <w:sz w:val="14"/>
              </w:rPr>
              <w:t>’</w:t>
            </w:r>
            <w:r w:rsidRPr="00895C47">
              <w:rPr>
                <w:spacing w:val="-4"/>
                <w:sz w:val="14"/>
              </w:rPr>
              <w:t>ateliers</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6</w:t>
            </w:r>
          </w:p>
        </w:tc>
        <w:tc>
          <w:tcPr>
            <w:tcW w:w="1309" w:type="dxa"/>
          </w:tcPr>
          <w:p w:rsidR="0096696E" w:rsidRPr="005C7CCE" w:rsidRDefault="0096696E" w:rsidP="001A5BF9">
            <w:pPr>
              <w:spacing w:before="40"/>
              <w:jc w:val="center"/>
              <w:rPr>
                <w:color w:val="008000"/>
                <w:szCs w:val="22"/>
              </w:rPr>
            </w:pPr>
            <w:r w:rsidRPr="005C7CCE">
              <w:rPr>
                <w:color w:val="008000"/>
              </w:rPr>
              <w:sym w:font="Wingdings" w:char="F06C"/>
            </w:r>
          </w:p>
        </w:tc>
      </w:tr>
      <w:tr w:rsidR="0096696E" w:rsidRPr="005C7CCE" w:rsidTr="00A7273C">
        <w:tc>
          <w:tcPr>
            <w:tcW w:w="2998" w:type="dxa"/>
            <w:vMerge w:val="restart"/>
            <w:shd w:val="clear" w:color="auto" w:fill="auto"/>
            <w:tcMar>
              <w:top w:w="113" w:type="dxa"/>
            </w:tcMar>
          </w:tcPr>
          <w:p w:rsidR="0096696E" w:rsidRPr="00895C47" w:rsidRDefault="0096696E" w:rsidP="001A5BF9">
            <w:pPr>
              <w:spacing w:before="40"/>
              <w:rPr>
                <w:rFonts w:cs="Arial"/>
                <w:sz w:val="14"/>
                <w:szCs w:val="14"/>
              </w:rPr>
            </w:pPr>
            <w:r w:rsidRPr="00895C47">
              <w:rPr>
                <w:sz w:val="14"/>
              </w:rPr>
              <w:t>Connaissance accrue du système de La Haye</w:t>
            </w: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Nombre de déposants d</w:t>
            </w:r>
            <w:r w:rsidR="00A20444" w:rsidRPr="00895C47">
              <w:rPr>
                <w:sz w:val="14"/>
              </w:rPr>
              <w:t>’</w:t>
            </w:r>
            <w:r w:rsidRPr="00895C47">
              <w:rPr>
                <w:sz w:val="14"/>
              </w:rPr>
              <w:t>une première demande</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31</w:t>
            </w:r>
          </w:p>
        </w:tc>
        <w:tc>
          <w:tcPr>
            <w:tcW w:w="1309" w:type="dxa"/>
          </w:tcPr>
          <w:p w:rsidR="0096696E" w:rsidRPr="005C7CCE" w:rsidRDefault="0096696E" w:rsidP="001A5BF9">
            <w:pPr>
              <w:spacing w:before="40"/>
              <w:jc w:val="center"/>
              <w:rPr>
                <w:szCs w:val="22"/>
              </w:rPr>
            </w:pPr>
            <w:r w:rsidRPr="005C7CCE">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Nombre de langues dans lesquelles l</w:t>
            </w:r>
            <w:r w:rsidR="00A20444" w:rsidRPr="00895C47">
              <w:rPr>
                <w:sz w:val="14"/>
              </w:rPr>
              <w:t>’</w:t>
            </w:r>
            <w:r w:rsidRPr="00895C47">
              <w:rPr>
                <w:sz w:val="14"/>
              </w:rPr>
              <w:t>information générale est disponible</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31</w:t>
            </w:r>
          </w:p>
        </w:tc>
        <w:tc>
          <w:tcPr>
            <w:tcW w:w="1309" w:type="dxa"/>
          </w:tcPr>
          <w:p w:rsidR="0096696E" w:rsidRPr="005C7CCE" w:rsidRDefault="0096696E" w:rsidP="001A5BF9">
            <w:pPr>
              <w:spacing w:before="40"/>
              <w:jc w:val="center"/>
              <w:rPr>
                <w:szCs w:val="22"/>
              </w:rPr>
            </w:pPr>
            <w:r w:rsidRPr="005C7CCE">
              <w:rPr>
                <w:color w:val="008000"/>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Nombre d</w:t>
            </w:r>
            <w:r w:rsidR="00A20444" w:rsidRPr="00895C47">
              <w:rPr>
                <w:sz w:val="14"/>
              </w:rPr>
              <w:t>’</w:t>
            </w:r>
            <w:r w:rsidRPr="00895C47">
              <w:rPr>
                <w:sz w:val="14"/>
              </w:rPr>
              <w:t>offices nationaux ou régionaux fournissant des informations appropriées sur le système de La</w:t>
            </w:r>
            <w:r w:rsidR="0010442A" w:rsidRPr="00895C47">
              <w:rPr>
                <w:sz w:val="14"/>
              </w:rPr>
              <w:t> </w:t>
            </w:r>
            <w:r w:rsidRPr="00895C47">
              <w:rPr>
                <w:sz w:val="14"/>
              </w:rPr>
              <w:t>Haye</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31</w:t>
            </w:r>
          </w:p>
        </w:tc>
        <w:tc>
          <w:tcPr>
            <w:tcW w:w="1309" w:type="dxa"/>
          </w:tcPr>
          <w:p w:rsidR="0096696E" w:rsidRPr="005C7CCE" w:rsidRDefault="0096696E" w:rsidP="001A5BF9">
            <w:pPr>
              <w:spacing w:before="40"/>
              <w:jc w:val="center"/>
              <w:rPr>
                <w:szCs w:val="22"/>
              </w:rPr>
            </w:pPr>
            <w:r w:rsidRPr="005C7CCE">
              <w:rPr>
                <w:color w:val="E36C0A"/>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keepNext/>
              <w:keepLines/>
              <w:spacing w:before="40"/>
              <w:rPr>
                <w:rFonts w:cs="Arial"/>
                <w:sz w:val="14"/>
                <w:szCs w:val="14"/>
              </w:rPr>
            </w:pPr>
            <w:r w:rsidRPr="00895C47">
              <w:rPr>
                <w:sz w:val="14"/>
              </w:rPr>
              <w:t>Utilisation plus fréquente et améliorée du système de La</w:t>
            </w:r>
            <w:r w:rsidR="0010442A" w:rsidRPr="00895C47">
              <w:rPr>
                <w:sz w:val="14"/>
              </w:rPr>
              <w:t> </w:t>
            </w:r>
            <w:r w:rsidRPr="00895C47">
              <w:rPr>
                <w:sz w:val="14"/>
              </w:rPr>
              <w:t>Haye</w:t>
            </w:r>
          </w:p>
        </w:tc>
        <w:tc>
          <w:tcPr>
            <w:tcW w:w="3391" w:type="dxa"/>
            <w:shd w:val="clear" w:color="auto" w:fill="auto"/>
            <w:tcMar>
              <w:top w:w="113" w:type="dxa"/>
            </w:tcMar>
          </w:tcPr>
          <w:p w:rsidR="0096696E" w:rsidRPr="00895C47" w:rsidRDefault="0096696E" w:rsidP="001A5BF9">
            <w:pPr>
              <w:keepNext/>
              <w:keepLines/>
              <w:spacing w:before="40"/>
              <w:rPr>
                <w:rFonts w:cs="Arial"/>
                <w:sz w:val="14"/>
                <w:szCs w:val="14"/>
              </w:rPr>
            </w:pPr>
            <w:r w:rsidRPr="00895C47">
              <w:rPr>
                <w:sz w:val="14"/>
              </w:rPr>
              <w:t>Nombre d</w:t>
            </w:r>
            <w:r w:rsidR="00A20444" w:rsidRPr="00895C47">
              <w:rPr>
                <w:sz w:val="14"/>
              </w:rPr>
              <w:t>’</w:t>
            </w:r>
            <w:r w:rsidRPr="00895C47">
              <w:rPr>
                <w:sz w:val="14"/>
              </w:rPr>
              <w:t>enregistrements, de dessins et modèles industriels figurant dans les enregistrements, les renouvellements et d</w:t>
            </w:r>
            <w:r w:rsidR="00A20444" w:rsidRPr="00895C47">
              <w:rPr>
                <w:sz w:val="14"/>
              </w:rPr>
              <w:t>’</w:t>
            </w:r>
            <w:r w:rsidRPr="00895C47">
              <w:rPr>
                <w:sz w:val="14"/>
              </w:rPr>
              <w:t>autres inscriptions</w:t>
            </w:r>
          </w:p>
        </w:tc>
        <w:tc>
          <w:tcPr>
            <w:tcW w:w="1775" w:type="dxa"/>
            <w:shd w:val="clear" w:color="auto" w:fill="auto"/>
            <w:tcMar>
              <w:top w:w="113" w:type="dxa"/>
            </w:tcMar>
          </w:tcPr>
          <w:p w:rsidR="0096696E" w:rsidRPr="00895C47" w:rsidRDefault="0096696E" w:rsidP="001A5BF9">
            <w:pPr>
              <w:keepNext/>
              <w:keepLines/>
              <w:spacing w:before="40"/>
              <w:jc w:val="center"/>
              <w:rPr>
                <w:rFonts w:cs="Arial"/>
                <w:sz w:val="14"/>
                <w:szCs w:val="14"/>
              </w:rPr>
            </w:pPr>
            <w:r w:rsidRPr="00895C47">
              <w:rPr>
                <w:sz w:val="14"/>
              </w:rPr>
              <w:t>Programme 31</w:t>
            </w:r>
          </w:p>
        </w:tc>
        <w:tc>
          <w:tcPr>
            <w:tcW w:w="1309" w:type="dxa"/>
          </w:tcPr>
          <w:p w:rsidR="0096696E" w:rsidRPr="005C7CCE" w:rsidRDefault="0096696E" w:rsidP="001A5BF9">
            <w:pPr>
              <w:keepNext/>
              <w:keepLines/>
              <w:spacing w:before="40"/>
              <w:jc w:val="center"/>
              <w:rPr>
                <w:szCs w:val="22"/>
              </w:rPr>
            </w:pPr>
            <w:r w:rsidRPr="005C7CCE">
              <w:rPr>
                <w:color w:val="FF0000"/>
              </w:rPr>
              <w:sym w:font="Wingdings" w:char="F06C"/>
            </w:r>
            <w:r w:rsidRPr="005C7CCE">
              <w:rPr>
                <w:color w:val="FF0000"/>
              </w:rPr>
              <w:sym w:font="Wingdings" w:char="F06C"/>
            </w:r>
            <w:r w:rsidRPr="005C7CCE">
              <w:rPr>
                <w:color w:val="008000"/>
              </w:rPr>
              <w:sym w:font="Wingdings" w:char="F06C"/>
            </w:r>
            <w:r w:rsidRPr="005C7CCE">
              <w:rPr>
                <w:color w:val="FF0000"/>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Nombre de demandes présentées par des pays en développement et</w:t>
            </w:r>
            <w:r w:rsidR="00A20444" w:rsidRPr="00895C47">
              <w:rPr>
                <w:sz w:val="14"/>
              </w:rPr>
              <w:t xml:space="preserve"> des PMA</w:t>
            </w:r>
            <w:r w:rsidRPr="00895C47">
              <w:rPr>
                <w:sz w:val="14"/>
              </w:rPr>
              <w:t xml:space="preserve"> et de désignations de ces pays</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31</w:t>
            </w:r>
          </w:p>
        </w:tc>
        <w:tc>
          <w:tcPr>
            <w:tcW w:w="1309" w:type="dxa"/>
          </w:tcPr>
          <w:p w:rsidR="0096696E" w:rsidRPr="005C7CCE" w:rsidRDefault="0096696E" w:rsidP="001A5BF9">
            <w:pPr>
              <w:spacing w:before="40"/>
              <w:jc w:val="center"/>
              <w:rPr>
                <w:szCs w:val="22"/>
              </w:rPr>
            </w:pPr>
            <w:r w:rsidRPr="005C7CCE">
              <w:rPr>
                <w:color w:val="FF0000"/>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Pourcentage de demandes irrégulières</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31</w:t>
            </w:r>
          </w:p>
        </w:tc>
        <w:tc>
          <w:tcPr>
            <w:tcW w:w="1309" w:type="dxa"/>
          </w:tcPr>
          <w:p w:rsidR="0096696E" w:rsidRPr="005C7CCE" w:rsidRDefault="0096696E" w:rsidP="001A5BF9">
            <w:pPr>
              <w:spacing w:before="40"/>
              <w:jc w:val="center"/>
              <w:rPr>
                <w:szCs w:val="22"/>
              </w:rPr>
            </w:pPr>
            <w:r w:rsidRPr="005C7CCE">
              <w:rPr>
                <w:color w:val="FF0000"/>
              </w:rPr>
              <w:sym w:font="Wingdings" w:char="F06C"/>
            </w:r>
          </w:p>
        </w:tc>
      </w:tr>
      <w:tr w:rsidR="0096696E" w:rsidRPr="005C7CCE" w:rsidTr="00A7273C">
        <w:tc>
          <w:tcPr>
            <w:tcW w:w="2998" w:type="dxa"/>
            <w:vMerge w:val="restart"/>
            <w:shd w:val="clear" w:color="auto" w:fill="auto"/>
            <w:tcMar>
              <w:top w:w="113" w:type="dxa"/>
            </w:tcMar>
          </w:tcPr>
          <w:p w:rsidR="0096696E" w:rsidRPr="00895C47" w:rsidRDefault="0096696E" w:rsidP="001A5BF9">
            <w:pPr>
              <w:spacing w:before="40"/>
              <w:rPr>
                <w:rFonts w:cs="Arial"/>
                <w:sz w:val="14"/>
                <w:szCs w:val="14"/>
              </w:rPr>
            </w:pPr>
            <w:r w:rsidRPr="00895C47">
              <w:rPr>
                <w:sz w:val="14"/>
              </w:rPr>
              <w:t>Meilleure administration du système de La</w:t>
            </w:r>
            <w:r w:rsidR="00A7273C" w:rsidRPr="00895C47">
              <w:rPr>
                <w:sz w:val="14"/>
              </w:rPr>
              <w:t> </w:t>
            </w:r>
            <w:r w:rsidRPr="00895C47">
              <w:rPr>
                <w:sz w:val="14"/>
              </w:rPr>
              <w:t>Haye</w:t>
            </w: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Prédominance de l</w:t>
            </w:r>
            <w:r w:rsidR="00A20444" w:rsidRPr="00895C47">
              <w:rPr>
                <w:sz w:val="14"/>
              </w:rPr>
              <w:t>’</w:t>
            </w:r>
            <w:r w:rsidRPr="00895C47">
              <w:rPr>
                <w:sz w:val="14"/>
              </w:rPr>
              <w:t>Acte de Genève dans l</w:t>
            </w:r>
            <w:r w:rsidR="00A20444" w:rsidRPr="00895C47">
              <w:rPr>
                <w:sz w:val="14"/>
              </w:rPr>
              <w:t>’</w:t>
            </w:r>
            <w:r w:rsidRPr="00895C47">
              <w:rPr>
                <w:sz w:val="14"/>
              </w:rPr>
              <w:t>ensemble du système</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31</w:t>
            </w:r>
          </w:p>
        </w:tc>
        <w:tc>
          <w:tcPr>
            <w:tcW w:w="1309" w:type="dxa"/>
          </w:tcPr>
          <w:p w:rsidR="0096696E" w:rsidRPr="005C7CCE" w:rsidRDefault="0096696E" w:rsidP="001A5BF9">
            <w:pPr>
              <w:spacing w:before="40"/>
              <w:jc w:val="center"/>
              <w:rPr>
                <w:szCs w:val="22"/>
              </w:rPr>
            </w:pPr>
            <w:r w:rsidRPr="005C7CCE">
              <w:rPr>
                <w:color w:val="E36C0A"/>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Temps de traitement d</w:t>
            </w:r>
            <w:r w:rsidR="00A20444" w:rsidRPr="00895C47">
              <w:rPr>
                <w:sz w:val="14"/>
              </w:rPr>
              <w:t>’</w:t>
            </w:r>
            <w:r w:rsidRPr="00895C47">
              <w:rPr>
                <w:sz w:val="14"/>
              </w:rPr>
              <w:t>une demande régulière non différée, jusqu</w:t>
            </w:r>
            <w:r w:rsidR="00A20444" w:rsidRPr="00895C47">
              <w:rPr>
                <w:sz w:val="14"/>
              </w:rPr>
              <w:t>’</w:t>
            </w:r>
            <w:r w:rsidRPr="00895C47">
              <w:rPr>
                <w:sz w:val="14"/>
              </w:rPr>
              <w:t xml:space="preserve">à sa publication </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31</w:t>
            </w:r>
          </w:p>
        </w:tc>
        <w:tc>
          <w:tcPr>
            <w:tcW w:w="1309" w:type="dxa"/>
          </w:tcPr>
          <w:p w:rsidR="0096696E" w:rsidRPr="005C7CCE" w:rsidRDefault="0096696E" w:rsidP="001A5BF9">
            <w:pPr>
              <w:spacing w:before="40"/>
              <w:jc w:val="center"/>
              <w:rPr>
                <w:color w:val="008000"/>
                <w:szCs w:val="22"/>
              </w:rPr>
            </w:pPr>
            <w:r w:rsidRPr="005C7CCE">
              <w:rPr>
                <w:color w:val="008000"/>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Nombre de procédures entièrement automatisées</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31</w:t>
            </w:r>
          </w:p>
        </w:tc>
        <w:tc>
          <w:tcPr>
            <w:tcW w:w="1309" w:type="dxa"/>
          </w:tcPr>
          <w:p w:rsidR="0096696E" w:rsidRPr="005C7CCE" w:rsidRDefault="0096696E" w:rsidP="001A5BF9">
            <w:pPr>
              <w:spacing w:before="40"/>
              <w:jc w:val="center"/>
              <w:rPr>
                <w:color w:val="008000"/>
                <w:szCs w:val="22"/>
              </w:rPr>
            </w:pPr>
            <w:r w:rsidRPr="005C7CCE">
              <w:rPr>
                <w:color w:val="008000"/>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Pourcentage de demandes déposées au moyen d</w:t>
            </w:r>
            <w:r w:rsidR="00A20444" w:rsidRPr="00895C47">
              <w:rPr>
                <w:sz w:val="14"/>
              </w:rPr>
              <w:t>’</w:t>
            </w:r>
            <w:r w:rsidRPr="00895C47">
              <w:rPr>
                <w:sz w:val="14"/>
              </w:rPr>
              <w:t>interfaces électroniques</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31</w:t>
            </w:r>
          </w:p>
        </w:tc>
        <w:tc>
          <w:tcPr>
            <w:tcW w:w="1309" w:type="dxa"/>
          </w:tcPr>
          <w:p w:rsidR="0096696E" w:rsidRPr="005C7CCE" w:rsidRDefault="0096696E" w:rsidP="001A5BF9">
            <w:pPr>
              <w:spacing w:before="40"/>
              <w:jc w:val="center"/>
              <w:rPr>
                <w:color w:val="008000"/>
                <w:szCs w:val="22"/>
              </w:rPr>
            </w:pPr>
            <w:r w:rsidRPr="005C7CCE">
              <w:rPr>
                <w:color w:val="008000"/>
              </w:rPr>
              <w:sym w:font="Wingdings" w:char="F06C"/>
            </w:r>
          </w:p>
        </w:tc>
      </w:tr>
      <w:tr w:rsidR="0096696E" w:rsidRPr="005C7CCE" w:rsidTr="00A7273C">
        <w:tc>
          <w:tcPr>
            <w:tcW w:w="2998" w:type="dxa"/>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Pourcentage d</w:t>
            </w:r>
            <w:r w:rsidR="00A20444" w:rsidRPr="00895C47">
              <w:rPr>
                <w:sz w:val="14"/>
              </w:rPr>
              <w:t>’</w:t>
            </w:r>
            <w:r w:rsidRPr="00895C47">
              <w:rPr>
                <w:sz w:val="14"/>
              </w:rPr>
              <w:t xml:space="preserve">utilisateurs satisfaits des services fournis par le Bureau international </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31</w:t>
            </w:r>
          </w:p>
        </w:tc>
        <w:tc>
          <w:tcPr>
            <w:tcW w:w="1309" w:type="dxa"/>
          </w:tcPr>
          <w:p w:rsidR="0096696E" w:rsidRPr="005C7CCE" w:rsidRDefault="0096696E" w:rsidP="001A5BF9">
            <w:pPr>
              <w:spacing w:before="40"/>
              <w:jc w:val="center"/>
              <w:rPr>
                <w:szCs w:val="22"/>
              </w:rPr>
            </w:pPr>
            <w:r w:rsidRPr="005C7CCE">
              <w:rPr>
                <w:color w:val="A6A6A6"/>
              </w:rPr>
              <w:sym w:font="Wingdings" w:char="F06C"/>
            </w:r>
          </w:p>
        </w:tc>
      </w:tr>
      <w:tr w:rsidR="0096696E" w:rsidRPr="005C7CCE" w:rsidTr="00A7273C">
        <w:tc>
          <w:tcPr>
            <w:tcW w:w="2998" w:type="dxa"/>
            <w:vMerge w:val="restart"/>
            <w:shd w:val="clear" w:color="auto" w:fill="auto"/>
            <w:tcMar>
              <w:top w:w="113" w:type="dxa"/>
            </w:tcMar>
          </w:tcPr>
          <w:p w:rsidR="0096696E" w:rsidRPr="00895C47" w:rsidRDefault="0096696E" w:rsidP="001A5BF9">
            <w:pPr>
              <w:spacing w:before="40"/>
              <w:rPr>
                <w:rFonts w:cs="Arial"/>
                <w:sz w:val="14"/>
                <w:szCs w:val="14"/>
              </w:rPr>
            </w:pPr>
            <w:r w:rsidRPr="00895C47">
              <w:rPr>
                <w:sz w:val="14"/>
              </w:rPr>
              <w:t>De plus en plus de litiges internationaux ou nationaux de propriété intellectuelle sont évités ou réglés par la médiation, l</w:t>
            </w:r>
            <w:r w:rsidR="00A20444" w:rsidRPr="00895C47">
              <w:rPr>
                <w:sz w:val="14"/>
              </w:rPr>
              <w:t>’</w:t>
            </w:r>
            <w:r w:rsidRPr="00895C47">
              <w:rPr>
                <w:sz w:val="14"/>
              </w:rPr>
              <w:t>arbitrage et d</w:t>
            </w:r>
            <w:r w:rsidR="00A20444" w:rsidRPr="00895C47">
              <w:rPr>
                <w:sz w:val="14"/>
              </w:rPr>
              <w:t>’</w:t>
            </w:r>
            <w:r w:rsidRPr="00895C47">
              <w:rPr>
                <w:sz w:val="14"/>
              </w:rPr>
              <w:t>autres modes extrajudiciaires de règlement des litiges</w:t>
            </w:r>
          </w:p>
        </w:tc>
        <w:tc>
          <w:tcPr>
            <w:tcW w:w="3391" w:type="dxa"/>
            <w:shd w:val="clear" w:color="auto" w:fill="auto"/>
            <w:tcMar>
              <w:top w:w="113" w:type="dxa"/>
            </w:tcMar>
          </w:tcPr>
          <w:p w:rsidR="0096696E" w:rsidRPr="00895C47" w:rsidRDefault="0096696E" w:rsidP="001A5BF9">
            <w:pPr>
              <w:spacing w:before="40"/>
              <w:rPr>
                <w:rFonts w:cs="Arial"/>
                <w:spacing w:val="-4"/>
                <w:sz w:val="14"/>
                <w:szCs w:val="14"/>
              </w:rPr>
            </w:pPr>
            <w:r w:rsidRPr="00895C47">
              <w:rPr>
                <w:spacing w:val="-4"/>
                <w:sz w:val="14"/>
              </w:rPr>
              <w:t>Prise en considération accrue de l</w:t>
            </w:r>
            <w:r w:rsidR="00A20444" w:rsidRPr="00895C47">
              <w:rPr>
                <w:spacing w:val="-4"/>
                <w:sz w:val="14"/>
              </w:rPr>
              <w:t>’</w:t>
            </w:r>
            <w:r w:rsidRPr="00895C47">
              <w:rPr>
                <w:spacing w:val="-4"/>
                <w:sz w:val="14"/>
              </w:rPr>
              <w:t>utilisation de services de règlement extrajudiciaire des litiges dans les transactions de propriété intellectuelle, notamment par le recours aux procédures de l</w:t>
            </w:r>
            <w:r w:rsidR="00A20444" w:rsidRPr="00895C47">
              <w:rPr>
                <w:spacing w:val="-4"/>
                <w:sz w:val="14"/>
              </w:rPr>
              <w:t>’</w:t>
            </w:r>
            <w:r w:rsidRPr="00895C47">
              <w:rPr>
                <w:spacing w:val="-4"/>
                <w:sz w:val="14"/>
              </w:rPr>
              <w:t>OMPI</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7</w:t>
            </w:r>
          </w:p>
        </w:tc>
        <w:tc>
          <w:tcPr>
            <w:tcW w:w="1309" w:type="dxa"/>
          </w:tcPr>
          <w:p w:rsidR="0096696E" w:rsidRPr="005C7CCE" w:rsidRDefault="0096696E" w:rsidP="001A5BF9">
            <w:pPr>
              <w:spacing w:before="40"/>
              <w:jc w:val="center"/>
              <w:rPr>
                <w:szCs w:val="22"/>
              </w:rPr>
            </w:pPr>
            <w:r w:rsidRPr="005C7CCE">
              <w:rPr>
                <w:color w:val="008000"/>
              </w:rPr>
              <w:sym w:font="Wingdings" w:char="F06C"/>
            </w:r>
            <w:r w:rsidRPr="005C7CCE">
              <w:rPr>
                <w:color w:val="008000"/>
              </w:rPr>
              <w:sym w:font="Wingdings" w:char="F06C"/>
            </w:r>
            <w:r w:rsidRPr="005C7CCE">
              <w:rPr>
                <w:color w:val="008000"/>
              </w:rPr>
              <w:sym w:font="Wingdings" w:char="F06C"/>
            </w:r>
            <w:r w:rsidRPr="005C7CCE">
              <w:rPr>
                <w:color w:val="FF0000"/>
              </w:rPr>
              <w:sym w:font="Wingdings" w:char="F06C"/>
            </w:r>
            <w:r w:rsidRPr="005C7CCE">
              <w:rPr>
                <w:color w:val="E36C0A"/>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Politiques de règlement extrajudiciaire des litiges à l</w:t>
            </w:r>
            <w:r w:rsidR="00A20444" w:rsidRPr="00895C47">
              <w:rPr>
                <w:sz w:val="14"/>
              </w:rPr>
              <w:t>’</w:t>
            </w:r>
            <w:r w:rsidRPr="00895C47">
              <w:rPr>
                <w:sz w:val="14"/>
              </w:rPr>
              <w:t>élaboration et la mise en œuvre desquelles le Centre a contribué</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7</w:t>
            </w:r>
          </w:p>
        </w:tc>
        <w:tc>
          <w:tcPr>
            <w:tcW w:w="1309" w:type="dxa"/>
          </w:tcPr>
          <w:p w:rsidR="0096696E" w:rsidRPr="005C7CCE" w:rsidRDefault="0096696E" w:rsidP="001A5BF9">
            <w:pPr>
              <w:spacing w:before="40"/>
              <w:jc w:val="center"/>
              <w:rPr>
                <w:color w:val="008000"/>
                <w:szCs w:val="22"/>
              </w:rPr>
            </w:pPr>
            <w:r w:rsidRPr="005C7CCE">
              <w:rPr>
                <w:color w:val="008000"/>
              </w:rPr>
              <w:sym w:font="Wingdings" w:char="F06C"/>
            </w:r>
          </w:p>
        </w:tc>
      </w:tr>
      <w:tr w:rsidR="0096696E" w:rsidRPr="005C7CCE" w:rsidTr="00A7273C">
        <w:tc>
          <w:tcPr>
            <w:tcW w:w="2998" w:type="dxa"/>
            <w:vMerge w:val="restart"/>
            <w:shd w:val="clear" w:color="auto" w:fill="auto"/>
            <w:tcMar>
              <w:top w:w="113" w:type="dxa"/>
            </w:tcMar>
          </w:tcPr>
          <w:p w:rsidR="0096696E" w:rsidRPr="00895C47" w:rsidRDefault="0096696E" w:rsidP="001A5BF9">
            <w:pPr>
              <w:spacing w:before="40"/>
              <w:rPr>
                <w:rFonts w:cs="Arial"/>
                <w:sz w:val="14"/>
                <w:szCs w:val="14"/>
              </w:rPr>
            </w:pPr>
            <w:r w:rsidRPr="00895C47">
              <w:rPr>
                <w:sz w:val="14"/>
              </w:rPr>
              <w:t>Protection efficace de la propriété intellectuelle dans les gTLD et les ccTLD</w:t>
            </w:r>
          </w:p>
        </w:tc>
        <w:tc>
          <w:tcPr>
            <w:tcW w:w="3391" w:type="dxa"/>
            <w:shd w:val="clear" w:color="auto" w:fill="auto"/>
            <w:tcMar>
              <w:top w:w="113" w:type="dxa"/>
            </w:tcMar>
          </w:tcPr>
          <w:p w:rsidR="0096696E" w:rsidRPr="00895C47" w:rsidRDefault="0096696E" w:rsidP="00667FB3">
            <w:pPr>
              <w:spacing w:before="40"/>
              <w:rPr>
                <w:rFonts w:cs="Arial"/>
                <w:sz w:val="14"/>
                <w:szCs w:val="14"/>
              </w:rPr>
            </w:pPr>
            <w:r w:rsidRPr="00895C47">
              <w:rPr>
                <w:sz w:val="14"/>
              </w:rPr>
              <w:t>Nombre de litiges relatifs à des gTLD administrés selon les principes</w:t>
            </w:r>
            <w:r w:rsidR="00667FB3" w:rsidRPr="00895C47">
              <w:rPr>
                <w:sz w:val="14"/>
              </w:rPr>
              <w:t> </w:t>
            </w:r>
            <w:r w:rsidRPr="00895C47">
              <w:rPr>
                <w:sz w:val="14"/>
              </w:rPr>
              <w:t>UDRP</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7</w:t>
            </w:r>
          </w:p>
        </w:tc>
        <w:tc>
          <w:tcPr>
            <w:tcW w:w="1309" w:type="dxa"/>
          </w:tcPr>
          <w:p w:rsidR="0096696E" w:rsidRPr="005C7CCE" w:rsidRDefault="0096696E" w:rsidP="001A5BF9">
            <w:pPr>
              <w:spacing w:before="40"/>
              <w:jc w:val="center"/>
              <w:rPr>
                <w:color w:val="008000"/>
                <w:szCs w:val="22"/>
              </w:rPr>
            </w:pPr>
            <w:r w:rsidRPr="005C7CCE">
              <w:rPr>
                <w:color w:val="008000"/>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667FB3">
            <w:pPr>
              <w:spacing w:before="40"/>
              <w:rPr>
                <w:rFonts w:cs="Arial"/>
                <w:sz w:val="14"/>
                <w:szCs w:val="14"/>
              </w:rPr>
            </w:pPr>
            <w:r w:rsidRPr="00895C47">
              <w:rPr>
                <w:sz w:val="14"/>
              </w:rPr>
              <w:t>Nombre de litiges relatifs aux ccTLD réglés selon les principes</w:t>
            </w:r>
            <w:r w:rsidR="00667FB3" w:rsidRPr="00895C47">
              <w:rPr>
                <w:sz w:val="14"/>
              </w:rPr>
              <w:t> </w:t>
            </w:r>
            <w:r w:rsidRPr="00895C47">
              <w:rPr>
                <w:sz w:val="14"/>
              </w:rPr>
              <w:t>UDRP</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7</w:t>
            </w:r>
          </w:p>
        </w:tc>
        <w:tc>
          <w:tcPr>
            <w:tcW w:w="1309" w:type="dxa"/>
          </w:tcPr>
          <w:p w:rsidR="0096696E" w:rsidRPr="005C7CCE" w:rsidRDefault="0096696E" w:rsidP="001A5BF9">
            <w:pPr>
              <w:spacing w:before="40"/>
              <w:jc w:val="center"/>
              <w:rPr>
                <w:color w:val="008000"/>
                <w:szCs w:val="22"/>
              </w:rPr>
            </w:pPr>
            <w:r w:rsidRPr="005C7CCE">
              <w:rPr>
                <w:color w:val="008000"/>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4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40"/>
              <w:rPr>
                <w:rFonts w:cs="Arial"/>
                <w:sz w:val="14"/>
                <w:szCs w:val="14"/>
              </w:rPr>
            </w:pPr>
            <w:r w:rsidRPr="00895C47">
              <w:rPr>
                <w:sz w:val="14"/>
              </w:rPr>
              <w:t>Politiques de règlement des litiges dans le système des noms de domaine à l</w:t>
            </w:r>
            <w:r w:rsidR="00A20444" w:rsidRPr="00895C47">
              <w:rPr>
                <w:sz w:val="14"/>
              </w:rPr>
              <w:t>’</w:t>
            </w:r>
            <w:r w:rsidRPr="00895C47">
              <w:rPr>
                <w:sz w:val="14"/>
              </w:rPr>
              <w:t>élaboration et à la mise en œuvre desquelles le Centre a contribué</w:t>
            </w:r>
          </w:p>
        </w:tc>
        <w:tc>
          <w:tcPr>
            <w:tcW w:w="1775" w:type="dxa"/>
            <w:shd w:val="clear" w:color="auto" w:fill="auto"/>
            <w:tcMar>
              <w:top w:w="113" w:type="dxa"/>
            </w:tcMar>
          </w:tcPr>
          <w:p w:rsidR="0096696E" w:rsidRPr="00895C47" w:rsidRDefault="0096696E" w:rsidP="001A5BF9">
            <w:pPr>
              <w:spacing w:before="40"/>
              <w:jc w:val="center"/>
              <w:rPr>
                <w:rFonts w:cs="Arial"/>
                <w:sz w:val="14"/>
                <w:szCs w:val="14"/>
              </w:rPr>
            </w:pPr>
            <w:r w:rsidRPr="00895C47">
              <w:rPr>
                <w:sz w:val="14"/>
              </w:rPr>
              <w:t>Programme 7</w:t>
            </w:r>
          </w:p>
        </w:tc>
        <w:tc>
          <w:tcPr>
            <w:tcW w:w="1309" w:type="dxa"/>
          </w:tcPr>
          <w:p w:rsidR="0096696E" w:rsidRPr="005C7CCE" w:rsidRDefault="0096696E" w:rsidP="001A5BF9">
            <w:pPr>
              <w:spacing w:before="40"/>
              <w:jc w:val="center"/>
              <w:rPr>
                <w:color w:val="008000"/>
                <w:szCs w:val="22"/>
              </w:rPr>
            </w:pPr>
            <w:r w:rsidRPr="005C7CCE">
              <w:rPr>
                <w:color w:val="008000"/>
              </w:rPr>
              <w:sym w:font="Wingdings" w:char="F06C"/>
            </w:r>
          </w:p>
        </w:tc>
      </w:tr>
      <w:tr w:rsidR="0096696E" w:rsidRPr="005C7CCE" w:rsidTr="00A7273C">
        <w:tc>
          <w:tcPr>
            <w:tcW w:w="2998" w:type="dxa"/>
            <w:vMerge/>
            <w:shd w:val="clear" w:color="auto" w:fill="auto"/>
            <w:tcMar>
              <w:top w:w="113" w:type="dxa"/>
            </w:tcMar>
          </w:tcPr>
          <w:p w:rsidR="0096696E" w:rsidRPr="00895C47" w:rsidRDefault="0096696E" w:rsidP="001A5BF9">
            <w:pPr>
              <w:spacing w:before="80"/>
              <w:ind w:firstLineChars="100" w:firstLine="140"/>
              <w:rPr>
                <w:rFonts w:cs="Arial"/>
                <w:sz w:val="14"/>
                <w:szCs w:val="14"/>
              </w:rPr>
            </w:pPr>
          </w:p>
        </w:tc>
        <w:tc>
          <w:tcPr>
            <w:tcW w:w="3391" w:type="dxa"/>
            <w:shd w:val="clear" w:color="auto" w:fill="auto"/>
            <w:tcMar>
              <w:top w:w="113" w:type="dxa"/>
            </w:tcMar>
          </w:tcPr>
          <w:p w:rsidR="0096696E" w:rsidRPr="00895C47" w:rsidRDefault="0096696E" w:rsidP="001A5BF9">
            <w:pPr>
              <w:spacing w:before="80"/>
              <w:rPr>
                <w:rFonts w:cs="Arial"/>
                <w:sz w:val="14"/>
                <w:szCs w:val="14"/>
              </w:rPr>
            </w:pPr>
            <w:r w:rsidRPr="00895C47">
              <w:rPr>
                <w:sz w:val="14"/>
              </w:rPr>
              <w:t>Nombre d</w:t>
            </w:r>
            <w:r w:rsidR="00A20444" w:rsidRPr="00895C47">
              <w:rPr>
                <w:sz w:val="14"/>
              </w:rPr>
              <w:t>’</w:t>
            </w:r>
            <w:r w:rsidRPr="00895C47">
              <w:rPr>
                <w:sz w:val="14"/>
              </w:rPr>
              <w:t>administrateurs de ccTLD dotés de mécanismes de protection de la propriété intellectuelle conçus ou administrés avec l</w:t>
            </w:r>
            <w:r w:rsidR="00A20444" w:rsidRPr="00895C47">
              <w:rPr>
                <w:sz w:val="14"/>
              </w:rPr>
              <w:t>’</w:t>
            </w:r>
            <w:r w:rsidRPr="00895C47">
              <w:rPr>
                <w:sz w:val="14"/>
              </w:rPr>
              <w:t>aide de l</w:t>
            </w:r>
            <w:r w:rsidR="00A20444" w:rsidRPr="00895C47">
              <w:rPr>
                <w:sz w:val="14"/>
              </w:rPr>
              <w:t>’</w:t>
            </w:r>
            <w:r w:rsidRPr="00895C47">
              <w:rPr>
                <w:sz w:val="14"/>
              </w:rPr>
              <w:t>OMPI et conformes aux normes internationales</w:t>
            </w:r>
          </w:p>
        </w:tc>
        <w:tc>
          <w:tcPr>
            <w:tcW w:w="1775" w:type="dxa"/>
            <w:shd w:val="clear" w:color="auto" w:fill="auto"/>
            <w:tcMar>
              <w:top w:w="113" w:type="dxa"/>
            </w:tcMar>
          </w:tcPr>
          <w:p w:rsidR="0096696E" w:rsidRPr="00895C47" w:rsidRDefault="0096696E" w:rsidP="001A5BF9">
            <w:pPr>
              <w:spacing w:before="80"/>
              <w:jc w:val="center"/>
              <w:rPr>
                <w:rFonts w:cs="Arial"/>
                <w:sz w:val="14"/>
                <w:szCs w:val="14"/>
              </w:rPr>
            </w:pPr>
            <w:r w:rsidRPr="00895C47">
              <w:rPr>
                <w:sz w:val="14"/>
              </w:rPr>
              <w:t>Programme 7</w:t>
            </w:r>
          </w:p>
        </w:tc>
        <w:tc>
          <w:tcPr>
            <w:tcW w:w="1309" w:type="dxa"/>
          </w:tcPr>
          <w:p w:rsidR="0096696E" w:rsidRPr="005C7CCE" w:rsidRDefault="0096696E" w:rsidP="001A5BF9">
            <w:pPr>
              <w:jc w:val="center"/>
              <w:rPr>
                <w:rFonts w:cs="Arial"/>
                <w:color w:val="008000"/>
                <w:szCs w:val="22"/>
              </w:rPr>
            </w:pPr>
            <w:r w:rsidRPr="005C7CCE">
              <w:rPr>
                <w:color w:val="008000"/>
              </w:rPr>
              <w:sym w:font="Wingdings" w:char="F06C"/>
            </w:r>
          </w:p>
        </w:tc>
      </w:tr>
    </w:tbl>
    <w:p w:rsidR="00D42474" w:rsidRDefault="00D42474" w:rsidP="001A5BF9">
      <w:pPr>
        <w:tabs>
          <w:tab w:val="left" w:pos="0"/>
        </w:tabs>
        <w:rPr>
          <w:rFonts w:cs="Arial"/>
          <w:iCs/>
        </w:rPr>
      </w:pPr>
    </w:p>
    <w:p w:rsidR="00D42474" w:rsidRDefault="00D42474" w:rsidP="001A5BF9">
      <w:pPr>
        <w:tabs>
          <w:tab w:val="left" w:pos="0"/>
        </w:tabs>
        <w:rPr>
          <w:b/>
          <w:iCs/>
        </w:rPr>
      </w:pPr>
    </w:p>
    <w:p w:rsidR="00D42474" w:rsidRDefault="0096696E" w:rsidP="001A5BF9">
      <w:r w:rsidRPr="005C7CCE">
        <w:br w:type="page"/>
      </w:r>
    </w:p>
    <w:p w:rsidR="00D42474" w:rsidRDefault="0096696E" w:rsidP="001A5BF9">
      <w:pPr>
        <w:pStyle w:val="Heading3"/>
        <w:rPr>
          <w:szCs w:val="22"/>
        </w:rPr>
      </w:pPr>
      <w:bookmarkStart w:id="15" w:name="_Toc395082468"/>
      <w:r w:rsidRPr="00E750E0">
        <w:rPr>
          <w:szCs w:val="22"/>
        </w:rPr>
        <w:t>Programme 5</w:t>
      </w:r>
      <w:r w:rsidRPr="00E750E0">
        <w:rPr>
          <w:szCs w:val="22"/>
        </w:rPr>
        <w:tab/>
        <w:t>Système du PCT</w:t>
      </w:r>
      <w:bookmarkEnd w:id="15"/>
    </w:p>
    <w:p w:rsidR="00D42474" w:rsidRDefault="00D42474" w:rsidP="001A5BF9">
      <w:pPr>
        <w:ind w:left="2268" w:hanging="2268"/>
        <w:rPr>
          <w:b/>
          <w:sz w:val="22"/>
          <w:szCs w:val="22"/>
        </w:rPr>
      </w:pPr>
    </w:p>
    <w:p w:rsidR="00D42474" w:rsidRDefault="0096696E" w:rsidP="001A5BF9">
      <w:pPr>
        <w:ind w:left="2268" w:hanging="2268"/>
        <w:rPr>
          <w:rFonts w:cs="Arial"/>
          <w:b/>
          <w:sz w:val="22"/>
          <w:szCs w:val="22"/>
        </w:rPr>
      </w:pPr>
      <w:r w:rsidRPr="00E750E0">
        <w:rPr>
          <w:b/>
          <w:sz w:val="22"/>
          <w:szCs w:val="22"/>
        </w:rPr>
        <w:t>Chef de programme</w:t>
      </w:r>
      <w:r w:rsidRPr="00E750E0">
        <w:rPr>
          <w:b/>
          <w:sz w:val="22"/>
          <w:szCs w:val="22"/>
        </w:rPr>
        <w:tab/>
      </w:r>
      <w:r w:rsidRPr="00E750E0">
        <w:rPr>
          <w:b/>
          <w:sz w:val="22"/>
          <w:szCs w:val="22"/>
        </w:rPr>
        <w:tab/>
        <w:t>M.</w:t>
      </w:r>
      <w:r w:rsidR="0010442A" w:rsidRPr="00E750E0">
        <w:rPr>
          <w:b/>
          <w:sz w:val="22"/>
          <w:szCs w:val="22"/>
        </w:rPr>
        <w:t> </w:t>
      </w:r>
      <w:r w:rsidRPr="00E750E0">
        <w:rPr>
          <w:b/>
          <w:sz w:val="22"/>
          <w:szCs w:val="22"/>
        </w:rPr>
        <w:t>J.</w:t>
      </w:r>
      <w:r w:rsidR="0010442A" w:rsidRPr="00E750E0">
        <w:rPr>
          <w:b/>
          <w:sz w:val="22"/>
          <w:szCs w:val="22"/>
        </w:rPr>
        <w:t> </w:t>
      </w:r>
      <w:r w:rsidRPr="00E750E0">
        <w:rPr>
          <w:b/>
          <w:sz w:val="22"/>
          <w:szCs w:val="22"/>
        </w:rPr>
        <w:t>Pooley</w:t>
      </w:r>
    </w:p>
    <w:p w:rsidR="00D42474" w:rsidRDefault="00D42474" w:rsidP="001A5BF9">
      <w:pPr>
        <w:rPr>
          <w:sz w:val="22"/>
          <w:szCs w:val="22"/>
        </w:rPr>
      </w:pPr>
    </w:p>
    <w:p w:rsidR="00D42474" w:rsidRDefault="00D42474" w:rsidP="001A5BF9">
      <w:pPr>
        <w:rPr>
          <w:bCs/>
          <w:sz w:val="22"/>
          <w:szCs w:val="22"/>
        </w:rPr>
      </w:pPr>
    </w:p>
    <w:p w:rsidR="00D42474" w:rsidRDefault="0096696E" w:rsidP="001A5BF9">
      <w:pPr>
        <w:rPr>
          <w:rFonts w:cs="Arial"/>
          <w:sz w:val="22"/>
          <w:szCs w:val="22"/>
        </w:rPr>
      </w:pPr>
      <w:r w:rsidRPr="00E750E0">
        <w:rPr>
          <w:sz w:val="22"/>
          <w:szCs w:val="22"/>
        </w:rPr>
        <w:t>RÉALISATIONS EN 2012</w:t>
      </w:r>
      <w:r w:rsidR="002D6F2A" w:rsidRPr="00E750E0">
        <w:rPr>
          <w:sz w:val="22"/>
          <w:szCs w:val="22"/>
        </w:rPr>
        <w:noBreakHyphen/>
      </w:r>
      <w:r w:rsidRPr="00E750E0">
        <w:rPr>
          <w:sz w:val="22"/>
          <w:szCs w:val="22"/>
        </w:rPr>
        <w:t>2013</w:t>
      </w:r>
    </w:p>
    <w:p w:rsidR="00D42474" w:rsidRDefault="00D42474" w:rsidP="001A5BF9">
      <w:pPr>
        <w:rPr>
          <w:rFonts w:cs="Arial"/>
          <w:sz w:val="22"/>
          <w:szCs w:val="22"/>
        </w:rPr>
      </w:pPr>
    </w:p>
    <w:p w:rsidR="00D42474" w:rsidRDefault="0096696E" w:rsidP="001A5BF9">
      <w:pPr>
        <w:pStyle w:val="Paragraphedeliste"/>
        <w:numPr>
          <w:ilvl w:val="0"/>
          <w:numId w:val="10"/>
        </w:numPr>
        <w:tabs>
          <w:tab w:val="left" w:pos="709"/>
        </w:tabs>
        <w:ind w:left="0" w:firstLine="0"/>
        <w:jc w:val="both"/>
        <w:rPr>
          <w:rFonts w:cs="Arial"/>
        </w:rPr>
      </w:pPr>
      <w:r w:rsidRPr="00E750E0">
        <w:t>En</w:t>
      </w:r>
      <w:r w:rsidR="0010442A" w:rsidRPr="00E750E0">
        <w:t> </w:t>
      </w:r>
      <w:r w:rsidRPr="00E750E0">
        <w:t xml:space="preserve">2013, le Bureau international a reçu environ </w:t>
      </w:r>
      <w:r w:rsidR="00BD43F2" w:rsidRPr="00E750E0">
        <w:t>202 700 </w:t>
      </w:r>
      <w:r w:rsidRPr="00E750E0">
        <w:t>exemplaires originaux, soit une augmentation de 3</w:t>
      </w:r>
      <w:r w:rsidR="007E442D" w:rsidRPr="00E750E0">
        <w:t>%</w:t>
      </w:r>
      <w:r w:rsidRPr="00E750E0">
        <w:t xml:space="preserve"> par rapport à 2012.</w:t>
      </w:r>
      <w:r w:rsidR="004F3E42" w:rsidRPr="00E750E0">
        <w:t xml:space="preserve"> </w:t>
      </w:r>
      <w:r w:rsidR="0010442A" w:rsidRPr="00E750E0">
        <w:t xml:space="preserve"> </w:t>
      </w:r>
      <w:r w:rsidRPr="00E750E0">
        <w:t>La part des dépôts par voie entièrement électronique n</w:t>
      </w:r>
      <w:r w:rsidR="00A20444" w:rsidRPr="00E750E0">
        <w:t>’</w:t>
      </w:r>
      <w:r w:rsidRPr="00E750E0">
        <w:t>a cessé de croître en</w:t>
      </w:r>
      <w:r w:rsidR="0010442A" w:rsidRPr="00E750E0">
        <w:t> </w:t>
      </w:r>
      <w:r w:rsidRPr="00E750E0">
        <w:t>2013 et représente désormais 89</w:t>
      </w:r>
      <w:r w:rsidR="007E442D" w:rsidRPr="00E750E0">
        <w:t>%</w:t>
      </w:r>
      <w:r w:rsidRPr="00E750E0">
        <w:t xml:space="preserve"> du nombre total des dépôts.</w:t>
      </w:r>
      <w:r w:rsidR="0010442A" w:rsidRPr="00E750E0">
        <w:t xml:space="preserve"> </w:t>
      </w:r>
      <w:r w:rsidR="004F3E42" w:rsidRPr="00E750E0">
        <w:t xml:space="preserve"> </w:t>
      </w:r>
      <w:r w:rsidRPr="00E750E0">
        <w:t>Alors que l</w:t>
      </w:r>
      <w:r w:rsidR="00A20444" w:rsidRPr="00E750E0">
        <w:t>’</w:t>
      </w:r>
      <w:r w:rsidRPr="00E750E0">
        <w:t>anglais reste de loin la langue de dépôt la plus utilisée, elle est en recul par rapport au japonais, au chinois et au coréen.</w:t>
      </w:r>
      <w:r w:rsidR="004F3E42" w:rsidRPr="00E750E0">
        <w:t xml:space="preserve"> </w:t>
      </w:r>
      <w:r w:rsidR="0010442A" w:rsidRPr="00E750E0">
        <w:t xml:space="preserve"> </w:t>
      </w:r>
      <w:r w:rsidRPr="00E750E0">
        <w:t xml:space="preserve">La part des demandes selon le PCT déposées en japonais, chinois et coréen est passée de </w:t>
      </w:r>
      <w:r w:rsidR="00BD43F2" w:rsidRPr="00E750E0">
        <w:t>29</w:t>
      </w:r>
      <w:r w:rsidR="007E442D" w:rsidRPr="00E750E0">
        <w:t>%</w:t>
      </w:r>
      <w:r w:rsidRPr="00E750E0">
        <w:t xml:space="preserve"> en 2010 à 35</w:t>
      </w:r>
      <w:r w:rsidR="007E442D" w:rsidRPr="00E750E0">
        <w:t>%</w:t>
      </w:r>
      <w:r w:rsidRPr="00E750E0">
        <w:t xml:space="preserve"> en 2013. </w:t>
      </w:r>
      <w:r w:rsidR="0010442A" w:rsidRPr="00E750E0">
        <w:t xml:space="preserve"> </w:t>
      </w:r>
      <w:r w:rsidRPr="00E750E0">
        <w:t>La qualité de l</w:t>
      </w:r>
      <w:r w:rsidR="00A20444" w:rsidRPr="00E750E0">
        <w:t>’</w:t>
      </w:r>
      <w:r w:rsidRPr="00E750E0">
        <w:t>examen de forme s</w:t>
      </w:r>
      <w:r w:rsidR="00A20444" w:rsidRPr="00E750E0">
        <w:t>’</w:t>
      </w:r>
      <w:r w:rsidRPr="00E750E0">
        <w:t>est considérablement améliorée au cours de la seconde moitié de</w:t>
      </w:r>
      <w:r w:rsidR="0010442A" w:rsidRPr="00E750E0">
        <w:t> </w:t>
      </w:r>
      <w:r w:rsidRPr="00E750E0">
        <w:t>2013 en raison de la republication plus rapide des demandes selon</w:t>
      </w:r>
      <w:r w:rsidR="00A20444" w:rsidRPr="00E750E0">
        <w:t xml:space="preserve"> le PCT</w:t>
      </w:r>
      <w:r w:rsidRPr="00E750E0">
        <w:t xml:space="preserve"> et de la </w:t>
      </w:r>
      <w:r w:rsidRPr="005C7CCE">
        <w:t>notification plus rapide de la réception de ces demandes.</w:t>
      </w:r>
    </w:p>
    <w:p w:rsidR="00D42474" w:rsidRDefault="00D42474" w:rsidP="001A5BF9">
      <w:pPr>
        <w:pStyle w:val="Paragraphedeliste"/>
        <w:tabs>
          <w:tab w:val="left" w:pos="709"/>
        </w:tabs>
        <w:ind w:left="0"/>
        <w:jc w:val="both"/>
        <w:rPr>
          <w:rFonts w:cs="Arial"/>
          <w:sz w:val="16"/>
        </w:rPr>
      </w:pPr>
    </w:p>
    <w:p w:rsidR="00D42474" w:rsidRDefault="0096696E" w:rsidP="001A5BF9">
      <w:pPr>
        <w:pStyle w:val="Paragraphedeliste"/>
        <w:numPr>
          <w:ilvl w:val="0"/>
          <w:numId w:val="10"/>
        </w:numPr>
        <w:tabs>
          <w:tab w:val="left" w:pos="709"/>
        </w:tabs>
        <w:ind w:left="0" w:firstLine="0"/>
        <w:jc w:val="both"/>
      </w:pPr>
      <w:r w:rsidRPr="005C7CCE">
        <w:t>Le Bureau international a fait d</w:t>
      </w:r>
      <w:r w:rsidR="00A20444" w:rsidRPr="005C7CCE">
        <w:t>’</w:t>
      </w:r>
      <w:r w:rsidRPr="005C7CCE">
        <w:t>importants progrès en matière d</w:t>
      </w:r>
      <w:r w:rsidR="00A20444" w:rsidRPr="005C7CCE">
        <w:t>’</w:t>
      </w:r>
      <w:r w:rsidRPr="005C7CCE">
        <w:t>automatisation de certains processus liés à l</w:t>
      </w:r>
      <w:r w:rsidR="00A20444" w:rsidRPr="005C7CCE">
        <w:t>’</w:t>
      </w:r>
      <w:r w:rsidRPr="005C7CCE">
        <w:t xml:space="preserve">examen de forme des demandes internationales selon le PCT. </w:t>
      </w:r>
      <w:r w:rsidR="0010442A" w:rsidRPr="005C7CCE">
        <w:t xml:space="preserve"> </w:t>
      </w:r>
      <w:r w:rsidRPr="005C7CCE">
        <w:t>Cela lui a permis d</w:t>
      </w:r>
      <w:r w:rsidR="00A20444" w:rsidRPr="005C7CCE">
        <w:t>’</w:t>
      </w:r>
      <w:r w:rsidRPr="005C7CCE">
        <w:t>accroître l</w:t>
      </w:r>
      <w:r w:rsidR="00A20444" w:rsidRPr="005C7CCE">
        <w:t>’</w:t>
      </w:r>
      <w:r w:rsidRPr="005C7CCE">
        <w:t xml:space="preserve">efficacité du traitement des nouvelles demandes déposées par voie électronique aux formats XML et PDF en provenance de la Chine, du Japon et de la République de Corée. </w:t>
      </w:r>
      <w:r w:rsidR="0010442A" w:rsidRPr="005C7CCE">
        <w:t xml:space="preserve"> </w:t>
      </w:r>
      <w:r w:rsidRPr="005C7CCE">
        <w:t>Bien que la cible d</w:t>
      </w:r>
      <w:r w:rsidR="00A20444" w:rsidRPr="005C7CCE">
        <w:t>’</w:t>
      </w:r>
      <w:r w:rsidRPr="005C7CCE">
        <w:t>exécution de 80</w:t>
      </w:r>
      <w:r w:rsidR="007E442D" w:rsidRPr="005C7CCE">
        <w:t>%</w:t>
      </w:r>
      <w:r w:rsidRPr="005C7CCE">
        <w:t>, définie à partir des chiffres moyens des trois dernières années, n</w:t>
      </w:r>
      <w:r w:rsidR="00A20444" w:rsidRPr="005C7CCE">
        <w:t>’</w:t>
      </w:r>
      <w:r w:rsidRPr="005C7CCE">
        <w:t>ait pas encore été atteinte, le délai réel de l</w:t>
      </w:r>
      <w:r w:rsidR="00A20444" w:rsidRPr="005C7CCE">
        <w:t>’</w:t>
      </w:r>
      <w:r w:rsidRPr="005C7CCE">
        <w:t>examen de forme des demandes internationales selon le PCT s</w:t>
      </w:r>
      <w:r w:rsidR="00A20444" w:rsidRPr="005C7CCE">
        <w:t>’</w:t>
      </w:r>
      <w:r w:rsidRPr="005C7CCE">
        <w:t>est considérablement amélioré en</w:t>
      </w:r>
      <w:r w:rsidR="0010442A" w:rsidRPr="005C7CCE">
        <w:t> </w:t>
      </w:r>
      <w:r w:rsidRPr="005C7CCE">
        <w:t>2013, avec 83</w:t>
      </w:r>
      <w:r w:rsidR="007E442D" w:rsidRPr="005C7CCE">
        <w:t>%</w:t>
      </w:r>
      <w:r w:rsidRPr="005C7CCE">
        <w:t xml:space="preserve"> des examens achevés dans les trois semaines qui suivent la réception, contre 69</w:t>
      </w:r>
      <w:r w:rsidR="007E442D" w:rsidRPr="005C7CCE">
        <w:t>%</w:t>
      </w:r>
      <w:r w:rsidRPr="005C7CCE">
        <w:t xml:space="preserve"> en</w:t>
      </w:r>
      <w:r w:rsidR="0010442A" w:rsidRPr="005C7CCE">
        <w:t> </w:t>
      </w:r>
      <w:r w:rsidR="00BD43F2">
        <w:t>2012 </w:t>
      </w:r>
      <w:r w:rsidRPr="005C7CCE">
        <w:t>et 71</w:t>
      </w:r>
      <w:r w:rsidR="007E442D" w:rsidRPr="005C7CCE">
        <w:t>%</w:t>
      </w:r>
      <w:r w:rsidRPr="005C7CCE">
        <w:t xml:space="preserve"> en</w:t>
      </w:r>
      <w:r w:rsidR="0010442A" w:rsidRPr="005C7CCE">
        <w:t> </w:t>
      </w:r>
      <w:r w:rsidRPr="005C7CCE">
        <w:t>2011.</w:t>
      </w:r>
    </w:p>
    <w:p w:rsidR="00D42474" w:rsidRDefault="00D42474" w:rsidP="001A5BF9">
      <w:pPr>
        <w:tabs>
          <w:tab w:val="left" w:pos="709"/>
        </w:tabs>
        <w:jc w:val="both"/>
        <w:rPr>
          <w:rFonts w:cs="Arial"/>
          <w:sz w:val="16"/>
          <w:szCs w:val="20"/>
        </w:rPr>
      </w:pPr>
    </w:p>
    <w:p w:rsidR="00D42474" w:rsidRDefault="0096696E" w:rsidP="001A5BF9">
      <w:pPr>
        <w:pStyle w:val="Paragraphedeliste"/>
        <w:numPr>
          <w:ilvl w:val="0"/>
          <w:numId w:val="10"/>
        </w:numPr>
        <w:tabs>
          <w:tab w:val="left" w:pos="709"/>
        </w:tabs>
        <w:ind w:left="0" w:firstLine="0"/>
        <w:jc w:val="both"/>
        <w:rPr>
          <w:rFonts w:cs="Arial"/>
        </w:rPr>
      </w:pPr>
      <w:r w:rsidRPr="005C7CCE">
        <w:t xml:space="preserve">Le Bureau international a également fait des progrès en introduisant davantage de souplesse dans la gestion des opérations de traduction. </w:t>
      </w:r>
      <w:r w:rsidR="0010442A" w:rsidRPr="005C7CCE">
        <w:t xml:space="preserve"> </w:t>
      </w:r>
      <w:r w:rsidRPr="005C7CCE">
        <w:t>Cela a été rendu possible grâce à la mise en place du système de gestion des traductions World Server afin de semi</w:t>
      </w:r>
      <w:r w:rsidR="002D6F2A" w:rsidRPr="005C7CCE">
        <w:noBreakHyphen/>
      </w:r>
      <w:r w:rsidRPr="005C7CCE">
        <w:t>automatiser les procédures d</w:t>
      </w:r>
      <w:r w:rsidR="00A20444" w:rsidRPr="005C7CCE">
        <w:t>’</w:t>
      </w:r>
      <w:r w:rsidRPr="005C7CCE">
        <w:t>attribution et de répartition des traductions.</w:t>
      </w:r>
    </w:p>
    <w:p w:rsidR="00D42474" w:rsidRDefault="00D42474" w:rsidP="001A5BF9">
      <w:pPr>
        <w:tabs>
          <w:tab w:val="left" w:pos="709"/>
        </w:tabs>
        <w:jc w:val="both"/>
        <w:rPr>
          <w:rFonts w:cs="Arial"/>
          <w:sz w:val="16"/>
          <w:szCs w:val="20"/>
        </w:rPr>
      </w:pPr>
    </w:p>
    <w:p w:rsidR="00D42474" w:rsidRDefault="0096696E" w:rsidP="001A5BF9">
      <w:pPr>
        <w:pStyle w:val="Paragraphedeliste"/>
        <w:numPr>
          <w:ilvl w:val="0"/>
          <w:numId w:val="10"/>
        </w:numPr>
        <w:tabs>
          <w:tab w:val="left" w:pos="709"/>
        </w:tabs>
        <w:ind w:left="0" w:firstLine="0"/>
        <w:jc w:val="both"/>
        <w:rPr>
          <w:rFonts w:cs="Arial"/>
        </w:rPr>
      </w:pPr>
      <w:r w:rsidRPr="005C7CCE">
        <w:t>Le Bureau international a mené diverses activités de coopération spécialement conçues avec des États membres du PCT, des offices et des administrations internationales, ainsi qu</w:t>
      </w:r>
      <w:r w:rsidR="00A20444" w:rsidRPr="005C7CCE">
        <w:t>’</w:t>
      </w:r>
      <w:r w:rsidRPr="005C7CCE">
        <w:t>avec des pays désireux d</w:t>
      </w:r>
      <w:r w:rsidR="00A20444" w:rsidRPr="005C7CCE">
        <w:t>’</w:t>
      </w:r>
      <w:r w:rsidRPr="005C7CCE">
        <w:t xml:space="preserve">adhérer au PCT. </w:t>
      </w:r>
      <w:r w:rsidR="0010442A" w:rsidRPr="005C7CCE">
        <w:t xml:space="preserve"> </w:t>
      </w:r>
      <w:r w:rsidRPr="005C7CCE">
        <w:t>Ces activités ont notamment porté sur la formation du personnel sur des aspects techniques, juridiques, opérationnels et administratifs, dans le but d</w:t>
      </w:r>
      <w:r w:rsidR="00A20444" w:rsidRPr="005C7CCE">
        <w:t>’</w:t>
      </w:r>
      <w:r w:rsidRPr="005C7CCE">
        <w:t xml:space="preserve">améliorer la mise en œuvre du PCT et de promouvoir son utilisation tant au niveau national que régional. </w:t>
      </w:r>
      <w:r w:rsidR="0010442A" w:rsidRPr="005C7CCE">
        <w:t xml:space="preserve"> </w:t>
      </w:r>
      <w:r w:rsidRPr="005C7CCE">
        <w:t>En 2012</w:t>
      </w:r>
      <w:r w:rsidR="002D6F2A" w:rsidRPr="005C7CCE">
        <w:noBreakHyphen/>
      </w:r>
      <w:r w:rsidRPr="005C7CCE">
        <w:t>2013, 89 séminaires et ateliers ont été organisés dans 51 pays avec la participation d</w:t>
      </w:r>
      <w:r w:rsidR="00A20444" w:rsidRPr="005C7CCE">
        <w:t>’</w:t>
      </w:r>
      <w:r w:rsidRPr="005C7CCE">
        <w:t>offices et d</w:t>
      </w:r>
      <w:r w:rsidR="00A20444" w:rsidRPr="005C7CCE">
        <w:t>’</w:t>
      </w:r>
      <w:r w:rsidRPr="005C7CCE">
        <w:t>administrations, ainsi que d</w:t>
      </w:r>
      <w:r w:rsidR="00A20444" w:rsidRPr="005C7CCE">
        <w:t>’</w:t>
      </w:r>
      <w:r w:rsidRPr="005C7CCE">
        <w:t>universités, d</w:t>
      </w:r>
      <w:r w:rsidR="00A20444" w:rsidRPr="005C7CCE">
        <w:t>’</w:t>
      </w:r>
      <w:r w:rsidRPr="005C7CCE">
        <w:t>instituts de recherche et d</w:t>
      </w:r>
      <w:r w:rsidR="00A20444" w:rsidRPr="005C7CCE">
        <w:t>’</w:t>
      </w:r>
      <w:r w:rsidRPr="005C7CCE">
        <w:t xml:space="preserve">autres parties intéressées de 106 pays et organisations régionales. </w:t>
      </w:r>
      <w:r w:rsidR="0010442A" w:rsidRPr="005C7CCE">
        <w:t xml:space="preserve"> </w:t>
      </w:r>
      <w:r w:rsidRPr="005C7CCE">
        <w:t xml:space="preserve">Ces séminaires et ateliers étaient plus particulièrement destinés aux offices des pays en développement et des PMA. </w:t>
      </w:r>
      <w:r w:rsidR="0010442A" w:rsidRPr="005C7CCE">
        <w:t xml:space="preserve"> </w:t>
      </w:r>
      <w:r w:rsidRPr="005C7CCE">
        <w:t>L</w:t>
      </w:r>
      <w:r w:rsidR="00A20444" w:rsidRPr="005C7CCE">
        <w:t>’</w:t>
      </w:r>
      <w:r w:rsidRPr="005C7CCE">
        <w:t>assistance dans les domaines techniques a continué à favoriser l</w:t>
      </w:r>
      <w:r w:rsidR="00A20444" w:rsidRPr="005C7CCE">
        <w:t>’</w:t>
      </w:r>
      <w:r w:rsidRPr="005C7CCE">
        <w:t>échange électronique de documents et de données entre le Bureau international et les offices, ce qui s</w:t>
      </w:r>
      <w:r w:rsidR="00A20444" w:rsidRPr="005C7CCE">
        <w:t>’</w:t>
      </w:r>
      <w:r w:rsidRPr="005C7CCE">
        <w:t>est traduit, en 2013, par la réception au Bureau international de 93</w:t>
      </w:r>
      <w:r w:rsidR="007E442D" w:rsidRPr="005C7CCE">
        <w:t>%</w:t>
      </w:r>
      <w:r w:rsidRPr="005C7CCE">
        <w:t xml:space="preserve"> des documents sous forme électronique (contre 92</w:t>
      </w:r>
      <w:r w:rsidR="007E442D" w:rsidRPr="005C7CCE">
        <w:t>%</w:t>
      </w:r>
      <w:r w:rsidRPr="005C7CCE">
        <w:t xml:space="preserve"> en</w:t>
      </w:r>
      <w:r w:rsidR="0010442A" w:rsidRPr="005C7CCE">
        <w:t> </w:t>
      </w:r>
      <w:r w:rsidRPr="005C7CCE">
        <w:t>2012).</w:t>
      </w:r>
      <w:r w:rsidR="0010442A" w:rsidRPr="005C7CCE">
        <w:t xml:space="preserve"> </w:t>
      </w:r>
      <w:r w:rsidRPr="005C7CCE">
        <w:t xml:space="preserve"> Les informations relatives aux activités d</w:t>
      </w:r>
      <w:r w:rsidR="00A20444" w:rsidRPr="005C7CCE">
        <w:t>’</w:t>
      </w:r>
      <w:r w:rsidRPr="005C7CCE">
        <w:t>assistance technique se rapportant au PCT pour l</w:t>
      </w:r>
      <w:r w:rsidR="00A20444" w:rsidRPr="005C7CCE">
        <w:t>’</w:t>
      </w:r>
      <w:r w:rsidRPr="005C7CCE">
        <w:t>exercice biennal 2012</w:t>
      </w:r>
      <w:r w:rsidR="002D6F2A" w:rsidRPr="005C7CCE">
        <w:noBreakHyphen/>
      </w:r>
      <w:r w:rsidRPr="005C7CCE">
        <w:t xml:space="preserve">2013 ont été soumises au </w:t>
      </w:r>
      <w:r w:rsidR="0010442A" w:rsidRPr="005C7CCE">
        <w:t>Groupe</w:t>
      </w:r>
      <w:r w:rsidRPr="005C7CCE">
        <w:t xml:space="preserve"> de travail du PCT en 2012 et 2013.</w:t>
      </w:r>
      <w:r w:rsidR="0010442A" w:rsidRPr="005C7CCE">
        <w:t xml:space="preserve"> </w:t>
      </w:r>
      <w:r w:rsidRPr="005C7CCE">
        <w:t xml:space="preserve"> Le Bureau international continue de recueillir systématiquement les retours d</w:t>
      </w:r>
      <w:r w:rsidR="00A20444" w:rsidRPr="005C7CCE">
        <w:t>’</w:t>
      </w:r>
      <w:r w:rsidRPr="005C7CCE">
        <w:t>information des États membres du PCT, des offices et des administrations internationales pour améliorer ces activités de coopération.</w:t>
      </w:r>
    </w:p>
    <w:p w:rsidR="00D42474" w:rsidRDefault="00D42474" w:rsidP="001A5BF9">
      <w:pPr>
        <w:tabs>
          <w:tab w:val="left" w:pos="709"/>
        </w:tabs>
        <w:jc w:val="both"/>
        <w:rPr>
          <w:rFonts w:cs="Arial"/>
          <w:sz w:val="16"/>
          <w:szCs w:val="20"/>
        </w:rPr>
      </w:pPr>
    </w:p>
    <w:p w:rsidR="00D42474" w:rsidRDefault="0096696E" w:rsidP="001A5BF9">
      <w:pPr>
        <w:pStyle w:val="Paragraphedeliste"/>
        <w:numPr>
          <w:ilvl w:val="0"/>
          <w:numId w:val="10"/>
        </w:numPr>
        <w:tabs>
          <w:tab w:val="left" w:pos="709"/>
        </w:tabs>
        <w:ind w:left="0" w:firstLine="0"/>
        <w:jc w:val="both"/>
      </w:pPr>
      <w:r w:rsidRPr="005C7CCE">
        <w:t>Des actions visant à mieux faire connaître le PCT auprès de ses utilisateurs actuels et des utilisateurs potentiels ont été menées pendant l</w:t>
      </w:r>
      <w:r w:rsidR="00A20444" w:rsidRPr="005C7CCE">
        <w:t>’</w:t>
      </w:r>
      <w:r w:rsidRPr="005C7CCE">
        <w:t>exercice biennal par le biais de diverses formations et activités de vulgarisation (122 séminaires, 60 présentations, 40 séminaires sur le Web et 55 visites d</w:t>
      </w:r>
      <w:r w:rsidR="00A20444" w:rsidRPr="005C7CCE">
        <w:t>’</w:t>
      </w:r>
      <w:r w:rsidRPr="005C7CCE">
        <w:t xml:space="preserve">utilisateurs). </w:t>
      </w:r>
      <w:r w:rsidR="0010442A" w:rsidRPr="005C7CCE">
        <w:t xml:space="preserve"> </w:t>
      </w:r>
      <w:r w:rsidRPr="005C7CCE">
        <w:t>Le Bureau international a créé et publié 29 vidéos de formation sur le PCT (série “</w:t>
      </w:r>
      <w:proofErr w:type="spellStart"/>
      <w:r w:rsidRPr="005C7CCE">
        <w:t>Learn</w:t>
      </w:r>
      <w:proofErr w:type="spellEnd"/>
      <w:r w:rsidRPr="005C7CCE">
        <w:t xml:space="preserve"> the PCT”) sur la chaîne YouTube de l</w:t>
      </w:r>
      <w:r w:rsidR="00A20444" w:rsidRPr="005C7CCE">
        <w:t>’</w:t>
      </w:r>
      <w:r w:rsidRPr="005C7CCE">
        <w:t xml:space="preserve">OMPI, utiles pour les déposants et en particulier pour les pays en développement et les pays les moins avancés ainsi que pour les PME. </w:t>
      </w:r>
      <w:r w:rsidR="0010442A" w:rsidRPr="005C7CCE">
        <w:t xml:space="preserve"> </w:t>
      </w:r>
      <w:r w:rsidRPr="005C7CCE">
        <w:t>Les modifications apportées au règlement d</w:t>
      </w:r>
      <w:r w:rsidR="00A20444" w:rsidRPr="005C7CCE">
        <w:t>’</w:t>
      </w:r>
      <w:r w:rsidRPr="005C7CCE">
        <w:t>exécution du PCT ont été mises en œuvre dans les délais impartis, tout comme le cadre juridique du PCT pour le système d</w:t>
      </w:r>
      <w:r w:rsidR="00A20444" w:rsidRPr="005C7CCE">
        <w:t>’</w:t>
      </w:r>
      <w:r w:rsidRPr="005C7CCE">
        <w:t xml:space="preserve">observations par les tiers. </w:t>
      </w:r>
      <w:r w:rsidR="0010442A" w:rsidRPr="005C7CCE">
        <w:t xml:space="preserve"> </w:t>
      </w:r>
      <w:r w:rsidRPr="005C7CCE">
        <w:t>Les directives à l</w:t>
      </w:r>
      <w:r w:rsidR="00A20444" w:rsidRPr="005C7CCE">
        <w:t>’</w:t>
      </w:r>
      <w:r w:rsidRPr="005C7CCE">
        <w:t xml:space="preserve">usage des offices récepteurs du PCT ont été modifiées pour intégrer la pratique du Bureau international en matière de restauration du droit de priorité, après examen par le </w:t>
      </w:r>
      <w:r w:rsidR="0010442A" w:rsidRPr="005C7CCE">
        <w:t>Groupe</w:t>
      </w:r>
      <w:r w:rsidRPr="005C7CCE">
        <w:t xml:space="preserve"> de travail du PCT et consultation des États membres.</w:t>
      </w:r>
      <w:r w:rsidR="0010442A" w:rsidRPr="005C7CCE">
        <w:t xml:space="preserve"> </w:t>
      </w:r>
      <w:r w:rsidRPr="005C7CCE">
        <w:t xml:space="preserve"> Une nouvelle source d</w:t>
      </w:r>
      <w:r w:rsidR="00A20444" w:rsidRPr="005C7CCE">
        <w:t>’</w:t>
      </w:r>
      <w:r w:rsidRPr="005C7CCE">
        <w:t>informations en ligne destinée aux gestionnaires et aux juristes a été mise en place (</w:t>
      </w:r>
      <w:r w:rsidRPr="005C7CCE">
        <w:rPr>
          <w:i/>
        </w:rPr>
        <w:t xml:space="preserve">PCT </w:t>
      </w:r>
      <w:proofErr w:type="spellStart"/>
      <w:r w:rsidRPr="005C7CCE">
        <w:rPr>
          <w:i/>
        </w:rPr>
        <w:t>Brief</w:t>
      </w:r>
      <w:proofErr w:type="spellEnd"/>
      <w:r w:rsidRPr="005C7CCE">
        <w:t xml:space="preserve">). </w:t>
      </w:r>
      <w:r w:rsidR="0010442A" w:rsidRPr="005C7CCE">
        <w:t xml:space="preserve"> </w:t>
      </w:r>
      <w:r w:rsidRPr="005C7CCE">
        <w:t>De plus, le Bureau international a répondu à 24 198 demandes relatives au PCT de la part d</w:t>
      </w:r>
      <w:r w:rsidR="00A20444" w:rsidRPr="005C7CCE">
        <w:t>’</w:t>
      </w:r>
      <w:r w:rsidRPr="005C7CCE">
        <w:t>utilisateurs actuels et d</w:t>
      </w:r>
      <w:r w:rsidR="00A20444" w:rsidRPr="005C7CCE">
        <w:t>’</w:t>
      </w:r>
      <w:r w:rsidRPr="005C7CCE">
        <w:t xml:space="preserve">utilisateurs potentiels (soit une moyenne de 48 demandes par jour) et résolu </w:t>
      </w:r>
      <w:r w:rsidR="0010442A" w:rsidRPr="005C7CCE">
        <w:t>2721</w:t>
      </w:r>
      <w:r w:rsidRPr="005C7CCE">
        <w:t> dossiers particuliers au cours de l</w:t>
      </w:r>
      <w:r w:rsidR="00A20444" w:rsidRPr="005C7CCE">
        <w:t>’</w:t>
      </w:r>
      <w:r w:rsidRPr="005C7CCE">
        <w:t>exercice biennal.</w:t>
      </w:r>
    </w:p>
    <w:p w:rsidR="00D42474" w:rsidRDefault="0096696E" w:rsidP="001A5BF9">
      <w:pPr>
        <w:pStyle w:val="Paragraphedeliste"/>
        <w:numPr>
          <w:ilvl w:val="0"/>
          <w:numId w:val="10"/>
        </w:numPr>
        <w:tabs>
          <w:tab w:val="left" w:pos="709"/>
        </w:tabs>
        <w:ind w:left="0" w:firstLine="0"/>
        <w:jc w:val="both"/>
        <w:rPr>
          <w:spacing w:val="-2"/>
        </w:rPr>
      </w:pPr>
      <w:r w:rsidRPr="00E750E0">
        <w:rPr>
          <w:spacing w:val="-2"/>
        </w:rPr>
        <w:t>En</w:t>
      </w:r>
      <w:r w:rsidR="0010442A" w:rsidRPr="00E750E0">
        <w:rPr>
          <w:spacing w:val="-2"/>
        </w:rPr>
        <w:t> </w:t>
      </w:r>
      <w:r w:rsidRPr="00E750E0">
        <w:rPr>
          <w:spacing w:val="-2"/>
        </w:rPr>
        <w:t>2010, le Groupe de travail</w:t>
      </w:r>
      <w:r w:rsidR="00A20444" w:rsidRPr="00E750E0">
        <w:rPr>
          <w:spacing w:val="-2"/>
        </w:rPr>
        <w:t xml:space="preserve"> du PCT</w:t>
      </w:r>
      <w:r w:rsidRPr="00E750E0">
        <w:rPr>
          <w:spacing w:val="-2"/>
        </w:rPr>
        <w:t xml:space="preserve"> a avalisé les recommandations visant à améliorer</w:t>
      </w:r>
      <w:r w:rsidR="00A20444" w:rsidRPr="00E750E0">
        <w:rPr>
          <w:spacing w:val="-2"/>
        </w:rPr>
        <w:t xml:space="preserve"> le PCT</w:t>
      </w:r>
      <w:r w:rsidRPr="00E750E0">
        <w:rPr>
          <w:spacing w:val="-2"/>
        </w:rPr>
        <w:t xml:space="preserve"> (“feuille de route</w:t>
      </w:r>
      <w:r w:rsidR="00A20444" w:rsidRPr="00E750E0">
        <w:rPr>
          <w:spacing w:val="-2"/>
        </w:rPr>
        <w:t xml:space="preserve"> du PCT</w:t>
      </w:r>
      <w:r w:rsidRPr="00E750E0">
        <w:rPr>
          <w:spacing w:val="-2"/>
        </w:rPr>
        <w:t>”).</w:t>
      </w:r>
      <w:r w:rsidR="004F3E42" w:rsidRPr="00E750E0">
        <w:rPr>
          <w:spacing w:val="-2"/>
        </w:rPr>
        <w:t xml:space="preserve"> </w:t>
      </w:r>
      <w:r w:rsidR="0010442A" w:rsidRPr="00E750E0">
        <w:rPr>
          <w:spacing w:val="-2"/>
        </w:rPr>
        <w:t xml:space="preserve"> </w:t>
      </w:r>
      <w:r w:rsidRPr="00E750E0">
        <w:rPr>
          <w:spacing w:val="-2"/>
        </w:rPr>
        <w:t xml:space="preserve">Cette feuille de route comprend des étapes particulières, néanmoins son objectif général consiste à réviser la manière dont le </w:t>
      </w:r>
      <w:r w:rsidR="009C658D" w:rsidRPr="00E750E0">
        <w:rPr>
          <w:spacing w:val="-2"/>
        </w:rPr>
        <w:t>t</w:t>
      </w:r>
      <w:r w:rsidRPr="00E750E0">
        <w:rPr>
          <w:spacing w:val="-2"/>
        </w:rPr>
        <w:t xml:space="preserve">raité est bénéfique à toutes les parties concernées, </w:t>
      </w:r>
      <w:r w:rsidR="00A20444" w:rsidRPr="00E750E0">
        <w:rPr>
          <w:spacing w:val="-2"/>
        </w:rPr>
        <w:t>à savoir</w:t>
      </w:r>
      <w:r w:rsidRPr="00E750E0">
        <w:rPr>
          <w:spacing w:val="-2"/>
        </w:rPr>
        <w:t>, déposants, offices nationaux et public.</w:t>
      </w:r>
      <w:r w:rsidR="004F3E42" w:rsidRPr="00E750E0">
        <w:rPr>
          <w:spacing w:val="-2"/>
        </w:rPr>
        <w:t xml:space="preserve"> </w:t>
      </w:r>
      <w:r w:rsidR="0010442A" w:rsidRPr="00E750E0">
        <w:rPr>
          <w:spacing w:val="-2"/>
        </w:rPr>
        <w:t xml:space="preserve"> </w:t>
      </w:r>
      <w:r w:rsidRPr="00E750E0">
        <w:rPr>
          <w:spacing w:val="-2"/>
        </w:rPr>
        <w:t>Il consiste également à promouvoir l</w:t>
      </w:r>
      <w:r w:rsidR="00A20444" w:rsidRPr="00E750E0">
        <w:rPr>
          <w:spacing w:val="-2"/>
        </w:rPr>
        <w:t>’</w:t>
      </w:r>
      <w:r w:rsidRPr="00E750E0">
        <w:rPr>
          <w:spacing w:val="-2"/>
        </w:rPr>
        <w:t>utilisation de ce système par les utilisateurs afin d</w:t>
      </w:r>
      <w:r w:rsidR="00A20444" w:rsidRPr="00E750E0">
        <w:rPr>
          <w:spacing w:val="-2"/>
        </w:rPr>
        <w:t>’</w:t>
      </w:r>
      <w:r w:rsidRPr="00E750E0">
        <w:rPr>
          <w:spacing w:val="-2"/>
        </w:rPr>
        <w:t>améliorer leurs résultats.</w:t>
      </w:r>
      <w:r w:rsidR="004F3E42" w:rsidRPr="00E750E0">
        <w:rPr>
          <w:spacing w:val="-2"/>
        </w:rPr>
        <w:t xml:space="preserve"> </w:t>
      </w:r>
      <w:r w:rsidR="0010442A" w:rsidRPr="00E750E0">
        <w:rPr>
          <w:spacing w:val="-2"/>
        </w:rPr>
        <w:t xml:space="preserve"> </w:t>
      </w:r>
      <w:r w:rsidRPr="00E750E0">
        <w:rPr>
          <w:spacing w:val="-2"/>
        </w:rPr>
        <w:t>Cet objectif passe par la mise en œuvre d</w:t>
      </w:r>
      <w:r w:rsidR="00A20444" w:rsidRPr="00E750E0">
        <w:rPr>
          <w:spacing w:val="-2"/>
        </w:rPr>
        <w:t>’</w:t>
      </w:r>
      <w:r w:rsidRPr="00E750E0">
        <w:rPr>
          <w:spacing w:val="-2"/>
        </w:rPr>
        <w:t>actions administratives et techniques et non pas nécessairement par des changements du règlement d</w:t>
      </w:r>
      <w:r w:rsidR="00A20444" w:rsidRPr="00E750E0">
        <w:rPr>
          <w:spacing w:val="-2"/>
        </w:rPr>
        <w:t>’</w:t>
      </w:r>
      <w:r w:rsidRPr="00E750E0">
        <w:rPr>
          <w:spacing w:val="-2"/>
        </w:rPr>
        <w:t>exécution</w:t>
      </w:r>
      <w:r w:rsidR="00A20444" w:rsidRPr="00E750E0">
        <w:rPr>
          <w:spacing w:val="-2"/>
        </w:rPr>
        <w:t xml:space="preserve"> du PCT</w:t>
      </w:r>
      <w:r w:rsidRPr="00E750E0">
        <w:rPr>
          <w:spacing w:val="-2"/>
        </w:rPr>
        <w:t xml:space="preserve">. </w:t>
      </w:r>
      <w:r w:rsidR="0010442A" w:rsidRPr="00E750E0">
        <w:rPr>
          <w:spacing w:val="-2"/>
        </w:rPr>
        <w:t xml:space="preserve"> </w:t>
      </w:r>
      <w:r w:rsidRPr="00E750E0">
        <w:rPr>
          <w:spacing w:val="-2"/>
        </w:rPr>
        <w:t>Des progrès majeurs ont été faits au cours de l</w:t>
      </w:r>
      <w:r w:rsidR="00A20444" w:rsidRPr="00E750E0">
        <w:rPr>
          <w:spacing w:val="-2"/>
        </w:rPr>
        <w:t>’</w:t>
      </w:r>
      <w:r w:rsidRPr="00E750E0">
        <w:rPr>
          <w:spacing w:val="-2"/>
        </w:rPr>
        <w:t>exercice biennal 2012</w:t>
      </w:r>
      <w:r w:rsidR="002D6F2A" w:rsidRPr="00E750E0">
        <w:rPr>
          <w:spacing w:val="-2"/>
        </w:rPr>
        <w:noBreakHyphen/>
      </w:r>
      <w:r w:rsidRPr="00E750E0">
        <w:rPr>
          <w:spacing w:val="-2"/>
        </w:rPr>
        <w:t>2013, conformément à la feuille de route du PCT, dans les domaines suivants : a) l</w:t>
      </w:r>
      <w:r w:rsidR="00A20444" w:rsidRPr="00E750E0">
        <w:rPr>
          <w:spacing w:val="-2"/>
        </w:rPr>
        <w:t>’</w:t>
      </w:r>
      <w:r w:rsidRPr="00E750E0">
        <w:rPr>
          <w:spacing w:val="-2"/>
        </w:rPr>
        <w:t>ordre du jour du PCT met désormais en exergue la question de la qualité des produits des travaux, y compris des rapports de recherche internationaux et des opinions écrites, ainsi que des activités d</w:t>
      </w:r>
      <w:r w:rsidR="00A20444" w:rsidRPr="00E750E0">
        <w:rPr>
          <w:spacing w:val="-2"/>
        </w:rPr>
        <w:t>’</w:t>
      </w:r>
      <w:r w:rsidRPr="00E750E0">
        <w:rPr>
          <w:spacing w:val="-2"/>
        </w:rPr>
        <w:t xml:space="preserve">administration du Bureau international et des offices; </w:t>
      </w:r>
      <w:r w:rsidR="0010442A" w:rsidRPr="00E750E0">
        <w:rPr>
          <w:spacing w:val="-2"/>
        </w:rPr>
        <w:t xml:space="preserve"> </w:t>
      </w:r>
      <w:r w:rsidRPr="00E750E0">
        <w:rPr>
          <w:spacing w:val="-2"/>
        </w:rPr>
        <w:t>b) les parties prenantes au niveau national reconnaissent l</w:t>
      </w:r>
      <w:r w:rsidR="00A20444" w:rsidRPr="00E750E0">
        <w:rPr>
          <w:spacing w:val="-2"/>
        </w:rPr>
        <w:t>’</w:t>
      </w:r>
      <w:r w:rsidRPr="00E750E0">
        <w:rPr>
          <w:spacing w:val="-2"/>
        </w:rPr>
        <w:t>utilité des produits de haute qualité du PCT et l</w:t>
      </w:r>
      <w:r w:rsidR="00A20444" w:rsidRPr="00E750E0">
        <w:rPr>
          <w:spacing w:val="-2"/>
        </w:rPr>
        <w:t>’</w:t>
      </w:r>
      <w:r w:rsidRPr="00E750E0">
        <w:rPr>
          <w:spacing w:val="-2"/>
        </w:rPr>
        <w:t>importance de l</w:t>
      </w:r>
      <w:r w:rsidR="00A20444" w:rsidRPr="00E750E0">
        <w:rPr>
          <w:spacing w:val="-2"/>
        </w:rPr>
        <w:t>’</w:t>
      </w:r>
      <w:r w:rsidRPr="00E750E0">
        <w:rPr>
          <w:spacing w:val="-2"/>
        </w:rPr>
        <w:t>intégration appropriée de ces produits dans les procédures nationales d</w:t>
      </w:r>
      <w:r w:rsidR="00A20444" w:rsidRPr="00E750E0">
        <w:rPr>
          <w:spacing w:val="-2"/>
        </w:rPr>
        <w:t>’</w:t>
      </w:r>
      <w:r w:rsidRPr="00E750E0">
        <w:rPr>
          <w:spacing w:val="-2"/>
        </w:rPr>
        <w:t>octroi de brevets, ainsi que, d</w:t>
      </w:r>
      <w:r w:rsidR="00A20444" w:rsidRPr="00E750E0">
        <w:rPr>
          <w:spacing w:val="-2"/>
        </w:rPr>
        <w:t>’</w:t>
      </w:r>
      <w:r w:rsidRPr="00E750E0">
        <w:rPr>
          <w:spacing w:val="-2"/>
        </w:rPr>
        <w:t>une manière plus générale, l</w:t>
      </w:r>
      <w:r w:rsidR="00A20444" w:rsidRPr="00E750E0">
        <w:rPr>
          <w:spacing w:val="-2"/>
        </w:rPr>
        <w:t>’</w:t>
      </w:r>
      <w:r w:rsidRPr="00E750E0">
        <w:rPr>
          <w:spacing w:val="-2"/>
        </w:rPr>
        <w:t xml:space="preserve">importance du rôle du PCT dans le fonctionnement du système international des brevets; </w:t>
      </w:r>
      <w:r w:rsidR="0010442A" w:rsidRPr="00E750E0">
        <w:rPr>
          <w:spacing w:val="-2"/>
        </w:rPr>
        <w:t xml:space="preserve"> </w:t>
      </w:r>
      <w:r w:rsidRPr="00E750E0">
        <w:rPr>
          <w:spacing w:val="-2"/>
        </w:rPr>
        <w:t xml:space="preserve">c) les parties concernées comprennent mieux le rôle joué par le PCT en matière de diffusion efficace des informations techniques; </w:t>
      </w:r>
      <w:r w:rsidR="0010442A" w:rsidRPr="00E750E0">
        <w:rPr>
          <w:spacing w:val="-2"/>
        </w:rPr>
        <w:t xml:space="preserve"> </w:t>
      </w:r>
      <w:r w:rsidRPr="00E750E0">
        <w:rPr>
          <w:spacing w:val="-2"/>
        </w:rPr>
        <w:t>et d) les besoins des États contractants relatifs à la qualité des dépôts internationaux et des produits des travaux du PCT, la capacité des États contractants à effectuer leurs propres recherches et examens, et la nécessité de fournir une assistance technique continue aux pays en développement et aux PMA à cet égard sont mieux compris.</w:t>
      </w:r>
    </w:p>
    <w:p w:rsidR="00D42474" w:rsidRDefault="00D42474" w:rsidP="00E750E0">
      <w:pPr>
        <w:pStyle w:val="Paragraphedeliste"/>
        <w:tabs>
          <w:tab w:val="left" w:pos="709"/>
        </w:tabs>
        <w:ind w:left="0"/>
        <w:jc w:val="both"/>
        <w:rPr>
          <w:rFonts w:cs="Arial"/>
          <w:bCs/>
        </w:rPr>
      </w:pPr>
    </w:p>
    <w:p w:rsidR="00D42474" w:rsidRDefault="0096696E" w:rsidP="001A5BF9">
      <w:pPr>
        <w:pStyle w:val="Paragraphedeliste"/>
        <w:numPr>
          <w:ilvl w:val="0"/>
          <w:numId w:val="10"/>
        </w:numPr>
        <w:tabs>
          <w:tab w:val="left" w:pos="709"/>
        </w:tabs>
        <w:ind w:left="0" w:firstLine="0"/>
        <w:jc w:val="both"/>
      </w:pPr>
      <w:r w:rsidRPr="00E750E0">
        <w:t xml:space="preserve">Le système électronique du PCT a été mis à la disposition des offices ainsi que des déposants et propose un large éventail de nouvelles fonctions. </w:t>
      </w:r>
      <w:r w:rsidR="0010442A" w:rsidRPr="00E750E0">
        <w:t xml:space="preserve"> </w:t>
      </w:r>
      <w:r w:rsidRPr="00E750E0">
        <w:t>L</w:t>
      </w:r>
      <w:r w:rsidR="00A20444" w:rsidRPr="00E750E0">
        <w:t>’</w:t>
      </w:r>
      <w:r w:rsidRPr="00E750E0">
        <w:t>utilisation de ces nouveaux services a contribué à un traitement plus rapide et plus homogène en phase internationale, avec un risque d</w:t>
      </w:r>
      <w:r w:rsidR="00A20444" w:rsidRPr="00E750E0">
        <w:t>’</w:t>
      </w:r>
      <w:r w:rsidRPr="00E750E0">
        <w:t xml:space="preserve">erreurs réduit. </w:t>
      </w:r>
      <w:r w:rsidR="0010442A" w:rsidRPr="00E750E0">
        <w:t xml:space="preserve"> </w:t>
      </w:r>
      <w:r w:rsidRPr="00E750E0">
        <w:t>Les services des offices associés au dépôt des dossiers par voie électronique permettent aux offices de petite taille de proposer un dépôt par voie électronique à leurs déposants locaux, sans coût et difficulté d</w:t>
      </w:r>
      <w:r w:rsidR="00A20444" w:rsidRPr="00E750E0">
        <w:t>’</w:t>
      </w:r>
      <w:r w:rsidRPr="00E750E0">
        <w:t>entretien des infrastructures concernées elles</w:t>
      </w:r>
      <w:r w:rsidR="002D6F2A" w:rsidRPr="00E750E0">
        <w:noBreakHyphen/>
      </w:r>
      <w:r w:rsidRPr="00E750E0">
        <w:t xml:space="preserve">mêmes. </w:t>
      </w:r>
      <w:r w:rsidR="0010442A" w:rsidRPr="00E750E0">
        <w:t xml:space="preserve"> </w:t>
      </w:r>
      <w:r w:rsidRPr="00E750E0">
        <w:t>Bien qu</w:t>
      </w:r>
      <w:r w:rsidR="00A20444" w:rsidRPr="00E750E0">
        <w:t>’</w:t>
      </w:r>
      <w:r w:rsidRPr="00E750E0">
        <w:t>il n</w:t>
      </w:r>
      <w:r w:rsidR="00A20444" w:rsidRPr="00E750E0">
        <w:t>’</w:t>
      </w:r>
      <w:r w:rsidRPr="00E750E0">
        <w:t>ait pas été mis en œuvre avant la fin de l</w:t>
      </w:r>
      <w:r w:rsidR="00A20444" w:rsidRPr="00E750E0">
        <w:t>’</w:t>
      </w:r>
      <w:r w:rsidRPr="00E750E0">
        <w:t>exercice biennal, le service a été évalué par les offices de plusieurs pays en développement.</w:t>
      </w:r>
    </w:p>
    <w:p w:rsidR="00D42474" w:rsidRDefault="00D42474" w:rsidP="001A5BF9">
      <w:pPr>
        <w:tabs>
          <w:tab w:val="left" w:pos="709"/>
        </w:tabs>
        <w:rPr>
          <w:rFonts w:cs="Arial"/>
          <w:bCs/>
          <w:szCs w:val="22"/>
        </w:rPr>
      </w:pPr>
    </w:p>
    <w:p w:rsidR="00D42474" w:rsidRDefault="00D42474" w:rsidP="001A5BF9">
      <w:pPr>
        <w:tabs>
          <w:tab w:val="left" w:pos="709"/>
        </w:tabs>
        <w:rPr>
          <w:rFonts w:cs="Arial"/>
          <w:bCs/>
          <w:szCs w:val="22"/>
        </w:rPr>
      </w:pPr>
    </w:p>
    <w:p w:rsidR="00D42474" w:rsidRDefault="0096696E" w:rsidP="001A5BF9">
      <w:pPr>
        <w:tabs>
          <w:tab w:val="left" w:pos="709"/>
        </w:tabs>
      </w:pPr>
      <w:r w:rsidRPr="00761625">
        <w:rPr>
          <w:sz w:val="22"/>
        </w:rPr>
        <w:t>MISE EN ŒUVRE DU PLAN D</w:t>
      </w:r>
      <w:r w:rsidR="00A20444" w:rsidRPr="00761625">
        <w:rPr>
          <w:sz w:val="22"/>
        </w:rPr>
        <w:t>’</w:t>
      </w:r>
      <w:r w:rsidRPr="00761625">
        <w:rPr>
          <w:sz w:val="22"/>
        </w:rPr>
        <w:t>ACTION POUR LE DÉVELOPPEMENT</w:t>
      </w:r>
    </w:p>
    <w:p w:rsidR="00D42474" w:rsidRDefault="00D42474" w:rsidP="001A5BF9">
      <w:pPr>
        <w:tabs>
          <w:tab w:val="left" w:pos="709"/>
        </w:tabs>
        <w:rPr>
          <w:szCs w:val="22"/>
        </w:rPr>
      </w:pPr>
    </w:p>
    <w:p w:rsidR="00D42474" w:rsidRDefault="0096696E" w:rsidP="001A5BF9">
      <w:pPr>
        <w:pStyle w:val="Paragraphedeliste"/>
        <w:numPr>
          <w:ilvl w:val="0"/>
          <w:numId w:val="10"/>
        </w:numPr>
        <w:tabs>
          <w:tab w:val="left" w:pos="709"/>
        </w:tabs>
        <w:ind w:left="0" w:firstLine="0"/>
        <w:jc w:val="both"/>
        <w:rPr>
          <w:rFonts w:cs="Arial"/>
          <w:bCs/>
        </w:rPr>
      </w:pPr>
      <w:r w:rsidRPr="00E750E0">
        <w:t>Une part importante des activités menées au titre du programme concernait la promotion du système</w:t>
      </w:r>
      <w:r w:rsidR="00A20444" w:rsidRPr="00E750E0">
        <w:t xml:space="preserve"> du PCT</w:t>
      </w:r>
      <w:r w:rsidRPr="00E750E0">
        <w:t xml:space="preserve"> et la coopération et l</w:t>
      </w:r>
      <w:r w:rsidR="00A20444" w:rsidRPr="00E750E0">
        <w:t>’</w:t>
      </w:r>
      <w:r w:rsidRPr="00E750E0">
        <w:t>assistance techniques en faveur des pays en développement et</w:t>
      </w:r>
      <w:r w:rsidR="00A20444" w:rsidRPr="00E750E0">
        <w:t xml:space="preserve"> des PMA</w:t>
      </w:r>
      <w:r w:rsidRPr="00E750E0">
        <w:t>.</w:t>
      </w:r>
      <w:r w:rsidR="004F3E42" w:rsidRPr="00E750E0">
        <w:t xml:space="preserve"> </w:t>
      </w:r>
      <w:r w:rsidR="0010442A" w:rsidRPr="00E750E0">
        <w:t xml:space="preserve"> </w:t>
      </w:r>
      <w:r w:rsidRPr="00E750E0">
        <w:t>La formation et les activités de renforcement des capacités ont été réalisées dans le but d</w:t>
      </w:r>
      <w:r w:rsidR="00A20444" w:rsidRPr="00E750E0">
        <w:t>’</w:t>
      </w:r>
      <w:r w:rsidRPr="00E750E0">
        <w:t>aider les États membres à promouvoir leurs capacités nationales afin de mieux protéger leur créativité et leurs innovations en vertu du Plan d</w:t>
      </w:r>
      <w:r w:rsidR="00A20444" w:rsidRPr="00E750E0">
        <w:t>’</w:t>
      </w:r>
      <w:r w:rsidRPr="00E750E0">
        <w:t>action pour le développement (recommandation n°</w:t>
      </w:r>
      <w:r w:rsidR="0010442A" w:rsidRPr="00E750E0">
        <w:t> </w:t>
      </w:r>
      <w:r w:rsidRPr="00E750E0">
        <w:t>11).</w:t>
      </w:r>
      <w:r w:rsidR="0010442A" w:rsidRPr="00E750E0">
        <w:t xml:space="preserve"> </w:t>
      </w:r>
      <w:r w:rsidR="004F3E42" w:rsidRPr="00E750E0">
        <w:t xml:space="preserve"> </w:t>
      </w:r>
      <w:r w:rsidRPr="00E750E0">
        <w:t xml:space="preserve">Ces activités étaient déterminées par la demande, axées sur le développement et transparentes (recommandation n° 1). </w:t>
      </w:r>
      <w:r w:rsidR="0010442A" w:rsidRPr="00E750E0">
        <w:t xml:space="preserve"> </w:t>
      </w:r>
      <w:r w:rsidRPr="00E750E0">
        <w:t xml:space="preserve">Elles ont été mises au point avec le concours des organisateurs locaux, en tenant compte du niveau de sensibilisation au PCT ou des connaissances techniques et compétences des participants liées au PCT. </w:t>
      </w:r>
      <w:r w:rsidR="0010442A" w:rsidRPr="00E750E0">
        <w:t xml:space="preserve"> </w:t>
      </w:r>
      <w:r w:rsidRPr="00E750E0">
        <w:t>Ces activités ont contribué au renforcement des capacités des États membres</w:t>
      </w:r>
      <w:r w:rsidR="00A20444" w:rsidRPr="00E750E0">
        <w:t xml:space="preserve"> du PCT</w:t>
      </w:r>
      <w:r w:rsidRPr="00E750E0">
        <w:t xml:space="preserve"> afin de protéger les inventions par le biais</w:t>
      </w:r>
      <w:r w:rsidR="00A20444" w:rsidRPr="00E750E0">
        <w:t xml:space="preserve"> du PCT</w:t>
      </w:r>
      <w:r w:rsidRPr="00E750E0">
        <w:t>.</w:t>
      </w:r>
    </w:p>
    <w:p w:rsidR="00D42474" w:rsidRDefault="00D42474" w:rsidP="00E750E0">
      <w:pPr>
        <w:pStyle w:val="Paragraphedeliste"/>
        <w:tabs>
          <w:tab w:val="left" w:pos="709"/>
        </w:tabs>
        <w:ind w:left="0"/>
        <w:jc w:val="both"/>
        <w:rPr>
          <w:rFonts w:cs="Arial"/>
          <w:bCs/>
        </w:rPr>
      </w:pPr>
    </w:p>
    <w:p w:rsidR="00D42474" w:rsidRDefault="0096696E" w:rsidP="001A5BF9">
      <w:pPr>
        <w:pStyle w:val="Paragraphedeliste"/>
        <w:numPr>
          <w:ilvl w:val="0"/>
          <w:numId w:val="10"/>
        </w:numPr>
        <w:tabs>
          <w:tab w:val="left" w:pos="709"/>
        </w:tabs>
        <w:ind w:left="0" w:firstLine="0"/>
        <w:jc w:val="both"/>
      </w:pPr>
      <w:r w:rsidRPr="00E750E0">
        <w:t>De plus, en 2012</w:t>
      </w:r>
      <w:r w:rsidR="002D6F2A" w:rsidRPr="00E750E0">
        <w:noBreakHyphen/>
      </w:r>
      <w:r w:rsidRPr="00E750E0">
        <w:t xml:space="preserve">2013, le </w:t>
      </w:r>
      <w:r w:rsidR="0010442A" w:rsidRPr="00E750E0">
        <w:t>Groupe</w:t>
      </w:r>
      <w:r w:rsidRPr="00E750E0">
        <w:t xml:space="preserve"> de travail du PCT a tenu ses cinquième et sixième sessions.</w:t>
      </w:r>
      <w:r w:rsidR="0010442A" w:rsidRPr="00E750E0">
        <w:t xml:space="preserve"> </w:t>
      </w:r>
      <w:r w:rsidR="004F3E42" w:rsidRPr="00E750E0">
        <w:t xml:space="preserve"> </w:t>
      </w:r>
      <w:r w:rsidRPr="00E750E0">
        <w:t>Le groupe de travail a poursuivi ses délibérations sur un certain nombre de propositions visant à améliorer le fonctionnement du système du PCT, conformément aux recommandations qui avaient été entérinées par le groupe de travail à sa troisième session.</w:t>
      </w:r>
      <w:r w:rsidR="004F3E42" w:rsidRPr="00E750E0">
        <w:t xml:space="preserve"> </w:t>
      </w:r>
      <w:r w:rsidR="0010442A" w:rsidRPr="00E750E0">
        <w:t xml:space="preserve"> </w:t>
      </w:r>
      <w:r w:rsidRPr="00E750E0">
        <w:t>Ces recommandations avalisées par le groupe de travail comprenaient des recommandations concernant la manière dont l</w:t>
      </w:r>
      <w:r w:rsidR="00A20444" w:rsidRPr="00E750E0">
        <w:t>’</w:t>
      </w:r>
      <w:r w:rsidRPr="00E750E0">
        <w:t>évolution du PCT pourra se conformer aux recommandations concernées du Plan d</w:t>
      </w:r>
      <w:r w:rsidR="00A20444" w:rsidRPr="00E750E0">
        <w:t>’</w:t>
      </w:r>
      <w:r w:rsidRPr="00E750E0">
        <w:t>action pour le développement, notamment, des groupes A et C.</w:t>
      </w:r>
      <w:r w:rsidR="00FF417E" w:rsidRPr="00E750E0">
        <w:t xml:space="preserve">  </w:t>
      </w:r>
      <w:r w:rsidRPr="00E750E0">
        <w:t xml:space="preserve">Lors de sa cinquième session (du 29 mai au 1er juin 2012), le </w:t>
      </w:r>
      <w:r w:rsidR="0010442A" w:rsidRPr="00E750E0">
        <w:t>Groupe</w:t>
      </w:r>
      <w:r w:rsidRPr="00E750E0">
        <w:t xml:space="preserve"> de travail du PCT a pris en considération un rapport d</w:t>
      </w:r>
      <w:r w:rsidR="00A20444" w:rsidRPr="00E750E0">
        <w:t>’</w:t>
      </w:r>
      <w:r w:rsidRPr="00E750E0">
        <w:t xml:space="preserve">avancement remis par le Bureau international sur la mise en œuvre de ces recommandations. </w:t>
      </w:r>
      <w:r w:rsidR="0010442A" w:rsidRPr="00E750E0">
        <w:t xml:space="preserve"> </w:t>
      </w:r>
      <w:r w:rsidRPr="00E750E0">
        <w:t>L</w:t>
      </w:r>
      <w:r w:rsidR="00A20444" w:rsidRPr="00E750E0">
        <w:t>’</w:t>
      </w:r>
      <w:r w:rsidRPr="00E750E0">
        <w:t>objectif prioritaire de ces améliorations, qui devaient être apportées par le Secrétariat de l</w:t>
      </w:r>
      <w:r w:rsidR="00A20444" w:rsidRPr="00E750E0">
        <w:t>’</w:t>
      </w:r>
      <w:r w:rsidRPr="00E750E0">
        <w:t>OMPI, les déposants, les États contractants et les offices nationaux (agissant à la fois en qualité d</w:t>
      </w:r>
      <w:r w:rsidR="00A20444" w:rsidRPr="00E750E0">
        <w:t>’</w:t>
      </w:r>
      <w:r w:rsidRPr="00E750E0">
        <w:t>administrations nationales et d</w:t>
      </w:r>
      <w:r w:rsidR="00A20444" w:rsidRPr="00E750E0">
        <w:t>’</w:t>
      </w:r>
      <w:r w:rsidRPr="00E750E0">
        <w:t>administrations internationales), était de rendre le système du PCT plus efficace, tant pour le traitement des demandes de brevet que pour l</w:t>
      </w:r>
      <w:r w:rsidR="00A20444" w:rsidRPr="00E750E0">
        <w:t>’</w:t>
      </w:r>
      <w:r w:rsidRPr="00E750E0">
        <w:t>appui au transfert de technologie et à l</w:t>
      </w:r>
      <w:r w:rsidR="00A20444" w:rsidRPr="00E750E0">
        <w:t>’</w:t>
      </w:r>
      <w:r w:rsidRPr="00E750E0">
        <w:t>assistance technique aux pays en développement.</w:t>
      </w:r>
    </w:p>
    <w:p w:rsidR="00D42474" w:rsidRDefault="00D42474" w:rsidP="001A5BF9">
      <w:pPr>
        <w:pStyle w:val="Paragraphedeliste"/>
        <w:tabs>
          <w:tab w:val="left" w:pos="709"/>
        </w:tabs>
        <w:ind w:left="0"/>
        <w:jc w:val="both"/>
        <w:rPr>
          <w:rFonts w:cs="Arial"/>
          <w:bCs/>
        </w:rPr>
      </w:pPr>
    </w:p>
    <w:p w:rsidR="00D42474" w:rsidRDefault="0096696E" w:rsidP="001A5BF9">
      <w:pPr>
        <w:pStyle w:val="Paragraphedeliste"/>
        <w:numPr>
          <w:ilvl w:val="0"/>
          <w:numId w:val="10"/>
        </w:numPr>
        <w:tabs>
          <w:tab w:val="left" w:pos="709"/>
        </w:tabs>
        <w:ind w:left="0" w:firstLine="0"/>
        <w:jc w:val="both"/>
        <w:rPr>
          <w:rFonts w:cs="Arial"/>
          <w:bCs/>
        </w:rPr>
      </w:pPr>
      <w:r w:rsidRPr="00E750E0">
        <w:t>Le groupe de travail a également pris note d</w:t>
      </w:r>
      <w:r w:rsidR="00A20444" w:rsidRPr="00E750E0">
        <w:t>’</w:t>
      </w:r>
      <w:r w:rsidRPr="00E750E0">
        <w:t>une étude préparée par le Bureau international sur la coordination de l</w:t>
      </w:r>
      <w:r w:rsidR="00A20444" w:rsidRPr="00E750E0">
        <w:t>’</w:t>
      </w:r>
      <w:r w:rsidRPr="00E750E0">
        <w:t>assistance technique et du financement des projets d</w:t>
      </w:r>
      <w:r w:rsidR="00A20444" w:rsidRPr="00E750E0">
        <w:t>’</w:t>
      </w:r>
      <w:r w:rsidRPr="00E750E0">
        <w:t>assistance technique pour les pays en développement, conformément à l</w:t>
      </w:r>
      <w:r w:rsidR="00A20444" w:rsidRPr="00E750E0">
        <w:t>’</w:t>
      </w:r>
      <w:r w:rsidRPr="00E750E0">
        <w:t xml:space="preserve">article 51 du PCT. </w:t>
      </w:r>
      <w:r w:rsidR="0010442A" w:rsidRPr="00E750E0">
        <w:t xml:space="preserve"> </w:t>
      </w:r>
      <w:r w:rsidRPr="00E750E0">
        <w:t>Il a également examiné le contenu d</w:t>
      </w:r>
      <w:r w:rsidR="00A20444" w:rsidRPr="00E750E0">
        <w:t>’</w:t>
      </w:r>
      <w:r w:rsidRPr="00E750E0">
        <w:t>une étude d</w:t>
      </w:r>
      <w:r w:rsidR="00A20444" w:rsidRPr="00E750E0">
        <w:t>’</w:t>
      </w:r>
      <w:r w:rsidRPr="00E750E0">
        <w:t>évaluation du mode de fonctionnement du PCT en termes de réalisation de son objectif de diffusion des informations techniques, d</w:t>
      </w:r>
      <w:r w:rsidR="00A20444" w:rsidRPr="00E750E0">
        <w:t>’</w:t>
      </w:r>
      <w:r w:rsidRPr="00E750E0">
        <w:t>accès aux technologies et d</w:t>
      </w:r>
      <w:r w:rsidR="00A20444" w:rsidRPr="00E750E0">
        <w:t>’</w:t>
      </w:r>
      <w:r w:rsidRPr="00E750E0">
        <w:t>organisation d</w:t>
      </w:r>
      <w:r w:rsidR="00A20444" w:rsidRPr="00E750E0">
        <w:t>’</w:t>
      </w:r>
      <w:r w:rsidRPr="00E750E0">
        <w:t>une assistance technique en faveur des pays en développement.</w:t>
      </w:r>
    </w:p>
    <w:p w:rsidR="00D42474" w:rsidRDefault="00D42474" w:rsidP="001A5BF9">
      <w:pPr>
        <w:pStyle w:val="Paragraphedeliste"/>
        <w:tabs>
          <w:tab w:val="left" w:pos="709"/>
        </w:tabs>
        <w:jc w:val="both"/>
        <w:rPr>
          <w:rFonts w:cs="Arial"/>
          <w:bCs/>
        </w:rPr>
      </w:pPr>
    </w:p>
    <w:p w:rsidR="00D42474" w:rsidRDefault="0096696E" w:rsidP="001A5BF9">
      <w:pPr>
        <w:pStyle w:val="Paragraphedeliste"/>
        <w:numPr>
          <w:ilvl w:val="0"/>
          <w:numId w:val="10"/>
        </w:numPr>
        <w:tabs>
          <w:tab w:val="left" w:pos="709"/>
        </w:tabs>
        <w:ind w:left="0" w:firstLine="0"/>
        <w:jc w:val="both"/>
        <w:rPr>
          <w:rFonts w:cs="Arial"/>
          <w:bCs/>
        </w:rPr>
      </w:pPr>
      <w:r w:rsidRPr="00E750E0">
        <w:t xml:space="preserve">À sa sixième session (du 21 au 24 mai 2013), le </w:t>
      </w:r>
      <w:r w:rsidR="0010442A" w:rsidRPr="00E750E0">
        <w:t>Groupe</w:t>
      </w:r>
      <w:r w:rsidRPr="00E750E0">
        <w:t xml:space="preserve"> de travail du PCT a examiné un document de travail établi par le Bureau international sur la question de la réduction des taxes du PCT. </w:t>
      </w:r>
      <w:r w:rsidR="0010442A" w:rsidRPr="00E750E0">
        <w:t xml:space="preserve"> </w:t>
      </w:r>
      <w:r w:rsidRPr="00E750E0">
        <w:t>Ce document traitait à la fois de la question de la réduction des taxes du PCT pour les petites et moyennes entreprises (PME), les universités et les instituts de recherche à but non lucratif, notamment, mais pas exclusivement, dans les pays en développement et les pays les moins avancés, et de la question des conditions à remplir par certains déposants des pays en développement et</w:t>
      </w:r>
      <w:r w:rsidR="00A20444" w:rsidRPr="00E750E0">
        <w:t xml:space="preserve"> des PMA</w:t>
      </w:r>
      <w:r w:rsidRPr="00E750E0">
        <w:t>.</w:t>
      </w:r>
    </w:p>
    <w:p w:rsidR="00D42474" w:rsidRDefault="00D42474" w:rsidP="001A5BF9">
      <w:pPr>
        <w:tabs>
          <w:tab w:val="left" w:pos="709"/>
        </w:tabs>
        <w:jc w:val="both"/>
        <w:rPr>
          <w:rFonts w:cs="Arial"/>
          <w:bCs/>
        </w:rPr>
      </w:pPr>
    </w:p>
    <w:p w:rsidR="00D42474" w:rsidRDefault="0096696E" w:rsidP="001A5BF9">
      <w:pPr>
        <w:pStyle w:val="Paragraphedeliste"/>
        <w:numPr>
          <w:ilvl w:val="0"/>
          <w:numId w:val="10"/>
        </w:numPr>
        <w:tabs>
          <w:tab w:val="left" w:pos="709"/>
        </w:tabs>
        <w:ind w:left="0" w:firstLine="0"/>
        <w:jc w:val="both"/>
        <w:rPr>
          <w:rFonts w:cs="Arial"/>
          <w:bCs/>
        </w:rPr>
      </w:pPr>
      <w:r w:rsidRPr="00E750E0">
        <w:t>Le groupe de travail a également examiné un rapport du Bureau international consacré aux projets d</w:t>
      </w:r>
      <w:r w:rsidR="00A20444" w:rsidRPr="00E750E0">
        <w:t>’</w:t>
      </w:r>
      <w:r w:rsidRPr="00E750E0">
        <w:t>assistance technique associés au PCT, menés au profit des pays en développement et des PMA, depuis 2012 jusqu</w:t>
      </w:r>
      <w:r w:rsidR="00A20444" w:rsidRPr="00E750E0">
        <w:t>’</w:t>
      </w:r>
      <w:r w:rsidRPr="00E750E0">
        <w:t>à mars 2013, de concert avec les activités d</w:t>
      </w:r>
      <w:r w:rsidR="00A20444" w:rsidRPr="00E750E0">
        <w:t>’</w:t>
      </w:r>
      <w:r w:rsidRPr="00E750E0">
        <w:t>assistance technique planifiées pour le reste de 2013.</w:t>
      </w:r>
    </w:p>
    <w:p w:rsidR="00D42474" w:rsidRDefault="00D42474" w:rsidP="001A5BF9">
      <w:pPr>
        <w:rPr>
          <w:rFonts w:eastAsia="MS Mincho"/>
          <w:szCs w:val="22"/>
          <w:lang w:bidi="th-TH"/>
        </w:rPr>
      </w:pPr>
    </w:p>
    <w:p w:rsidR="00D42474" w:rsidRDefault="00D42474" w:rsidP="001A5BF9">
      <w:pPr>
        <w:rPr>
          <w:rFonts w:cs="Arial"/>
          <w:szCs w:val="22"/>
        </w:rPr>
      </w:pPr>
    </w:p>
    <w:p w:rsidR="00D42474" w:rsidRDefault="0096696E" w:rsidP="001A5BF9">
      <w:r w:rsidRPr="00E750E0">
        <w:rPr>
          <w:sz w:val="22"/>
        </w:rPr>
        <w:t>DONNÉES RELATIVES À L</w:t>
      </w:r>
      <w:r w:rsidR="00A20444" w:rsidRPr="00E750E0">
        <w:rPr>
          <w:sz w:val="22"/>
        </w:rPr>
        <w:t>’</w:t>
      </w:r>
      <w:r w:rsidRPr="00E750E0">
        <w:rPr>
          <w:sz w:val="22"/>
        </w:rPr>
        <w:t>EXÉCUTION</w:t>
      </w:r>
    </w:p>
    <w:p w:rsidR="0096696E" w:rsidRPr="005C7CCE" w:rsidRDefault="0096696E" w:rsidP="001A5BF9">
      <w:pPr>
        <w:rPr>
          <w:b/>
          <w:szCs w:val="22"/>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79"/>
        <w:gridCol w:w="545"/>
        <w:gridCol w:w="1168"/>
        <w:gridCol w:w="393"/>
        <w:gridCol w:w="142"/>
        <w:gridCol w:w="846"/>
        <w:gridCol w:w="717"/>
        <w:gridCol w:w="2687"/>
        <w:gridCol w:w="281"/>
        <w:gridCol w:w="999"/>
      </w:tblGrid>
      <w:tr w:rsidR="00E750E0" w:rsidRPr="00E750E0" w:rsidTr="00825154">
        <w:trPr>
          <w:cantSplit/>
        </w:trPr>
        <w:tc>
          <w:tcPr>
            <w:tcW w:w="5000" w:type="pct"/>
            <w:gridSpan w:val="10"/>
            <w:tcBorders>
              <w:top w:val="single" w:sz="4" w:space="0" w:color="auto"/>
              <w:bottom w:val="single" w:sz="4" w:space="0" w:color="auto"/>
            </w:tcBorders>
            <w:shd w:val="clear" w:color="auto" w:fill="CCFFFF"/>
            <w:vAlign w:val="center"/>
          </w:tcPr>
          <w:p w:rsidR="0096696E" w:rsidRPr="00E750E0" w:rsidRDefault="0096696E" w:rsidP="001A5BF9">
            <w:pPr>
              <w:tabs>
                <w:tab w:val="left" w:pos="1452"/>
              </w:tabs>
              <w:spacing w:before="120" w:after="120"/>
              <w:ind w:left="1701" w:hanging="1701"/>
              <w:rPr>
                <w:rFonts w:cs="Arial"/>
                <w:b/>
                <w:bCs/>
                <w:sz w:val="16"/>
                <w:szCs w:val="16"/>
              </w:rPr>
            </w:pPr>
            <w:r w:rsidRPr="00E750E0">
              <w:rPr>
                <w:b/>
                <w:sz w:val="16"/>
              </w:rPr>
              <w:t>Résultat escompté</w:t>
            </w:r>
            <w:r w:rsidR="0010442A" w:rsidRPr="00E750E0">
              <w:rPr>
                <w:b/>
                <w:sz w:val="16"/>
              </w:rPr>
              <w:t xml:space="preserve"> : </w:t>
            </w:r>
            <w:r w:rsidRPr="00E750E0">
              <w:rPr>
                <w:b/>
                <w:sz w:val="16"/>
              </w:rPr>
              <w:tab/>
            </w:r>
            <w:r w:rsidRPr="00E750E0">
              <w:rPr>
                <w:sz w:val="16"/>
              </w:rPr>
              <w:t>Utilisation stratégique</w:t>
            </w:r>
            <w:r w:rsidR="00A20444" w:rsidRPr="00E750E0">
              <w:rPr>
                <w:sz w:val="16"/>
              </w:rPr>
              <w:t xml:space="preserve"> du PCT</w:t>
            </w:r>
            <w:r w:rsidRPr="00E750E0">
              <w:rPr>
                <w:sz w:val="16"/>
              </w:rPr>
              <w:t>, en connaissance de cause, par tous les innovateurs susceptibles d</w:t>
            </w:r>
            <w:r w:rsidR="00A20444" w:rsidRPr="00E750E0">
              <w:rPr>
                <w:sz w:val="16"/>
              </w:rPr>
              <w:t>’</w:t>
            </w:r>
            <w:r w:rsidRPr="00E750E0">
              <w:rPr>
                <w:sz w:val="16"/>
              </w:rPr>
              <w:t>en tirer partie</w:t>
            </w:r>
          </w:p>
        </w:tc>
      </w:tr>
      <w:tr w:rsidR="00E750E0" w:rsidRPr="00E750E0" w:rsidTr="00E750E0">
        <w:trPr>
          <w:cantSplit/>
        </w:trPr>
        <w:tc>
          <w:tcPr>
            <w:tcW w:w="844" w:type="pct"/>
            <w:tcBorders>
              <w:top w:val="single" w:sz="4" w:space="0" w:color="auto"/>
            </w:tcBorders>
            <w:shd w:val="clear" w:color="auto" w:fill="auto"/>
            <w:vAlign w:val="center"/>
          </w:tcPr>
          <w:p w:rsidR="0096696E" w:rsidRPr="00E750E0" w:rsidRDefault="0096696E" w:rsidP="001A5BF9">
            <w:pPr>
              <w:rPr>
                <w:rFonts w:cs="Arial"/>
                <w:sz w:val="16"/>
                <w:szCs w:val="16"/>
              </w:rPr>
            </w:pPr>
            <w:r w:rsidRPr="00E750E0">
              <w:rPr>
                <w:b/>
                <w:sz w:val="16"/>
              </w:rPr>
              <w:t>Indicateurs d</w:t>
            </w:r>
            <w:r w:rsidR="00A20444" w:rsidRPr="00E750E0">
              <w:rPr>
                <w:b/>
                <w:sz w:val="16"/>
              </w:rPr>
              <w:t>’</w:t>
            </w:r>
            <w:r w:rsidRPr="00E750E0">
              <w:rPr>
                <w:b/>
                <w:sz w:val="16"/>
              </w:rPr>
              <w:t>exécution</w:t>
            </w:r>
          </w:p>
        </w:tc>
        <w:tc>
          <w:tcPr>
            <w:tcW w:w="1201" w:type="pct"/>
            <w:gridSpan w:val="4"/>
            <w:tcBorders>
              <w:top w:val="single" w:sz="4" w:space="0" w:color="auto"/>
            </w:tcBorders>
            <w:shd w:val="clear" w:color="auto" w:fill="auto"/>
            <w:vAlign w:val="center"/>
          </w:tcPr>
          <w:p w:rsidR="0096696E" w:rsidRPr="00E750E0" w:rsidRDefault="0096696E" w:rsidP="001A5BF9">
            <w:pPr>
              <w:rPr>
                <w:rFonts w:cs="Arial"/>
                <w:b/>
                <w:bCs/>
                <w:sz w:val="16"/>
                <w:szCs w:val="16"/>
              </w:rPr>
            </w:pPr>
            <w:r w:rsidRPr="00E750E0">
              <w:rPr>
                <w:b/>
                <w:sz w:val="16"/>
              </w:rPr>
              <w:t>Niveaux de référence</w:t>
            </w:r>
          </w:p>
        </w:tc>
        <w:tc>
          <w:tcPr>
            <w:tcW w:w="835" w:type="pct"/>
            <w:gridSpan w:val="2"/>
            <w:tcBorders>
              <w:top w:val="single" w:sz="4" w:space="0" w:color="auto"/>
            </w:tcBorders>
            <w:shd w:val="clear" w:color="auto" w:fill="auto"/>
            <w:tcMar>
              <w:top w:w="110" w:type="dxa"/>
            </w:tcMar>
            <w:vAlign w:val="center"/>
          </w:tcPr>
          <w:p w:rsidR="0096696E" w:rsidRPr="00E750E0" w:rsidRDefault="0096696E" w:rsidP="001A5BF9">
            <w:pPr>
              <w:rPr>
                <w:rFonts w:cs="Arial"/>
                <w:b/>
                <w:sz w:val="16"/>
                <w:szCs w:val="16"/>
              </w:rPr>
            </w:pPr>
            <w:r w:rsidRPr="00E750E0">
              <w:rPr>
                <w:b/>
                <w:sz w:val="16"/>
              </w:rPr>
              <w:t>Objectifs visés</w:t>
            </w:r>
          </w:p>
        </w:tc>
        <w:tc>
          <w:tcPr>
            <w:tcW w:w="1436" w:type="pct"/>
            <w:tcBorders>
              <w:top w:val="single" w:sz="4" w:space="0" w:color="auto"/>
            </w:tcBorders>
            <w:shd w:val="clear" w:color="auto" w:fill="FFFFFF"/>
            <w:tcMar>
              <w:top w:w="110" w:type="dxa"/>
            </w:tcMar>
            <w:vAlign w:val="center"/>
          </w:tcPr>
          <w:p w:rsidR="0096696E" w:rsidRPr="00E750E0" w:rsidRDefault="0096696E" w:rsidP="001A5BF9">
            <w:pPr>
              <w:rPr>
                <w:rFonts w:cs="Arial"/>
                <w:sz w:val="16"/>
                <w:szCs w:val="16"/>
              </w:rPr>
            </w:pPr>
            <w:r w:rsidRPr="00E750E0">
              <w:rPr>
                <w:b/>
                <w:sz w:val="16"/>
              </w:rPr>
              <w:t>Données relatives à l</w:t>
            </w:r>
            <w:r w:rsidR="00A20444" w:rsidRPr="00E750E0">
              <w:rPr>
                <w:b/>
                <w:sz w:val="16"/>
              </w:rPr>
              <w:t>’</w:t>
            </w:r>
            <w:r w:rsidRPr="00E750E0">
              <w:rPr>
                <w:b/>
                <w:sz w:val="16"/>
              </w:rPr>
              <w:t>exécution</w:t>
            </w:r>
          </w:p>
        </w:tc>
        <w:tc>
          <w:tcPr>
            <w:tcW w:w="684" w:type="pct"/>
            <w:gridSpan w:val="2"/>
            <w:tcBorders>
              <w:top w:val="single" w:sz="4" w:space="0" w:color="auto"/>
            </w:tcBorders>
            <w:shd w:val="clear" w:color="auto" w:fill="auto"/>
            <w:tcMar>
              <w:top w:w="110" w:type="dxa"/>
            </w:tcMar>
            <w:vAlign w:val="center"/>
          </w:tcPr>
          <w:p w:rsidR="0096696E" w:rsidRPr="00E750E0" w:rsidRDefault="0096696E" w:rsidP="001A5BF9">
            <w:pPr>
              <w:jc w:val="center"/>
              <w:rPr>
                <w:rFonts w:cs="Arial"/>
                <w:b/>
                <w:bCs/>
                <w:sz w:val="16"/>
                <w:szCs w:val="16"/>
              </w:rPr>
            </w:pPr>
            <w:r w:rsidRPr="00E750E0">
              <w:rPr>
                <w:b/>
                <w:sz w:val="16"/>
              </w:rPr>
              <w:t>Code de couleurs</w:t>
            </w:r>
          </w:p>
        </w:tc>
      </w:tr>
      <w:tr w:rsidR="0096696E" w:rsidRPr="005C7CCE" w:rsidTr="00E750E0">
        <w:trPr>
          <w:cantSplit/>
        </w:trPr>
        <w:tc>
          <w:tcPr>
            <w:tcW w:w="844" w:type="pct"/>
            <w:shd w:val="clear" w:color="auto" w:fill="auto"/>
          </w:tcPr>
          <w:p w:rsidR="0096696E" w:rsidRPr="00E750E0" w:rsidRDefault="0096696E" w:rsidP="001A5BF9">
            <w:pPr>
              <w:rPr>
                <w:rFonts w:cs="Arial"/>
                <w:sz w:val="16"/>
                <w:szCs w:val="16"/>
              </w:rPr>
            </w:pPr>
            <w:r w:rsidRPr="00E750E0">
              <w:rPr>
                <w:sz w:val="16"/>
              </w:rPr>
              <w:t>Dépôts selon le PCT</w:t>
            </w:r>
          </w:p>
        </w:tc>
        <w:tc>
          <w:tcPr>
            <w:tcW w:w="1201" w:type="pct"/>
            <w:gridSpan w:val="4"/>
            <w:shd w:val="clear" w:color="auto" w:fill="auto"/>
          </w:tcPr>
          <w:p w:rsidR="00D42474" w:rsidRDefault="0096696E"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181 900</w:t>
            </w:r>
          </w:p>
          <w:p w:rsidR="00D42474" w:rsidRDefault="00D42474" w:rsidP="001A5BF9">
            <w:pPr>
              <w:rPr>
                <w:rFonts w:cs="Arial"/>
                <w:i/>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E750E0">
              <w:rPr>
                <w:sz w:val="16"/>
              </w:rPr>
              <w:t xml:space="preserve"> d</w:t>
            </w:r>
            <w:r w:rsidRPr="005C7CCE">
              <w:rPr>
                <w:sz w:val="16"/>
              </w:rPr>
              <w:t>emandes selon le PCT déposées (2011)</w:t>
            </w:r>
          </w:p>
        </w:tc>
        <w:tc>
          <w:tcPr>
            <w:tcW w:w="835" w:type="pct"/>
            <w:gridSpan w:val="2"/>
            <w:shd w:val="clear" w:color="auto" w:fill="auto"/>
            <w:tcMar>
              <w:top w:w="110" w:type="dxa"/>
            </w:tcMar>
          </w:tcPr>
          <w:p w:rsidR="00D42474" w:rsidRDefault="0096696E" w:rsidP="001A5BF9">
            <w:pPr>
              <w:autoSpaceDE w:val="0"/>
              <w:autoSpaceDN w:val="0"/>
              <w:adjustRightInd w:val="0"/>
              <w:rPr>
                <w:rFonts w:cs="Arial"/>
                <w:sz w:val="16"/>
                <w:szCs w:val="16"/>
              </w:rPr>
            </w:pPr>
            <w:r w:rsidRPr="005C7CCE">
              <w:rPr>
                <w:sz w:val="16"/>
              </w:rPr>
              <w:t>Demandes selon</w:t>
            </w:r>
            <w:r w:rsidR="00A20444" w:rsidRPr="005C7CCE">
              <w:rPr>
                <w:sz w:val="16"/>
              </w:rPr>
              <w:t xml:space="preserve"> le PCT</w:t>
            </w:r>
            <w:r w:rsidRPr="005C7CCE">
              <w:rPr>
                <w:sz w:val="16"/>
              </w:rPr>
              <w:t xml:space="preserve"> déposées pour</w:t>
            </w:r>
          </w:p>
          <w:p w:rsidR="00D42474" w:rsidRDefault="0096696E" w:rsidP="001A5BF9">
            <w:pPr>
              <w:autoSpaceDE w:val="0"/>
              <w:autoSpaceDN w:val="0"/>
              <w:adjustRightInd w:val="0"/>
              <w:rPr>
                <w:rFonts w:cs="Arial"/>
                <w:sz w:val="16"/>
                <w:szCs w:val="16"/>
              </w:rPr>
            </w:pPr>
            <w:r w:rsidRPr="005C7CCE">
              <w:rPr>
                <w:sz w:val="16"/>
              </w:rPr>
              <w:t>l</w:t>
            </w:r>
            <w:r w:rsidR="00A20444" w:rsidRPr="005C7CCE">
              <w:rPr>
                <w:sz w:val="16"/>
              </w:rPr>
              <w:t>’</w:t>
            </w:r>
            <w:r w:rsidRPr="005C7CCE">
              <w:rPr>
                <w:sz w:val="16"/>
              </w:rPr>
              <w:t>année en cours conformément aux</w:t>
            </w:r>
          </w:p>
          <w:p w:rsidR="0096696E" w:rsidRPr="005C7CCE" w:rsidRDefault="0096696E" w:rsidP="001A5BF9">
            <w:pPr>
              <w:rPr>
                <w:rFonts w:cs="Arial"/>
                <w:sz w:val="16"/>
                <w:szCs w:val="16"/>
                <w:lang w:bidi="th-TH"/>
              </w:rPr>
            </w:pPr>
            <w:r w:rsidRPr="005C7CCE">
              <w:rPr>
                <w:sz w:val="16"/>
              </w:rPr>
              <w:t xml:space="preserve">prévisions </w:t>
            </w:r>
          </w:p>
        </w:tc>
        <w:tc>
          <w:tcPr>
            <w:tcW w:w="1436" w:type="pct"/>
            <w:shd w:val="clear" w:color="auto" w:fill="FFFFFF"/>
            <w:tcMar>
              <w:top w:w="110" w:type="dxa"/>
            </w:tcMar>
          </w:tcPr>
          <w:p w:rsidR="00D42474" w:rsidRDefault="0096696E" w:rsidP="001A5BF9">
            <w:pPr>
              <w:rPr>
                <w:rFonts w:cs="Arial"/>
                <w:sz w:val="16"/>
                <w:szCs w:val="16"/>
                <w:lang w:bidi="th-TH"/>
              </w:rPr>
            </w:pPr>
            <w:r w:rsidRPr="005C7CCE">
              <w:rPr>
                <w:sz w:val="16"/>
              </w:rPr>
              <w:t>195 312 (2012)</w:t>
            </w:r>
            <w:r w:rsidRPr="005C7CCE">
              <w:rPr>
                <w:rStyle w:val="FootnoteReference"/>
                <w:sz w:val="16"/>
              </w:rPr>
              <w:footnoteReference w:id="5"/>
            </w:r>
          </w:p>
          <w:p w:rsidR="0096696E" w:rsidRPr="005C7CCE" w:rsidRDefault="0096696E" w:rsidP="001A5BF9">
            <w:pPr>
              <w:rPr>
                <w:rFonts w:cs="Arial"/>
                <w:sz w:val="16"/>
                <w:szCs w:val="16"/>
              </w:rPr>
            </w:pPr>
            <w:r w:rsidRPr="005C7CCE">
              <w:rPr>
                <w:sz w:val="16"/>
              </w:rPr>
              <w:t>205 300 (2013)</w:t>
            </w:r>
          </w:p>
        </w:tc>
        <w:tc>
          <w:tcPr>
            <w:tcW w:w="684" w:type="pct"/>
            <w:gridSpan w:val="2"/>
            <w:shd w:val="clear" w:color="auto" w:fill="auto"/>
            <w:tcMar>
              <w:top w:w="110" w:type="dxa"/>
            </w:tcMar>
          </w:tcPr>
          <w:p w:rsidR="0096696E" w:rsidRPr="005C7CCE" w:rsidRDefault="0096696E" w:rsidP="001A5BF9">
            <w:pPr>
              <w:jc w:val="center"/>
              <w:rPr>
                <w:rFonts w:cs="Arial"/>
                <w:bCs/>
                <w:color w:val="008000"/>
                <w:sz w:val="16"/>
                <w:szCs w:val="16"/>
              </w:rPr>
            </w:pPr>
            <w:r w:rsidRPr="00B470C6">
              <w:rPr>
                <w:color w:val="008000"/>
                <w:sz w:val="16"/>
              </w:rPr>
              <w:t>Objectif pleinement atteint</w:t>
            </w:r>
          </w:p>
        </w:tc>
      </w:tr>
      <w:tr w:rsidR="0096696E" w:rsidRPr="005C7CCE" w:rsidTr="00E750E0">
        <w:trPr>
          <w:cantSplit/>
        </w:trPr>
        <w:tc>
          <w:tcPr>
            <w:tcW w:w="844" w:type="pct"/>
            <w:tcBorders>
              <w:bottom w:val="single" w:sz="4" w:space="0" w:color="auto"/>
            </w:tcBorders>
            <w:shd w:val="clear" w:color="auto" w:fill="auto"/>
          </w:tcPr>
          <w:p w:rsidR="0096696E" w:rsidRPr="00E750E0" w:rsidRDefault="0096696E" w:rsidP="001A5BF9">
            <w:pPr>
              <w:rPr>
                <w:rFonts w:cs="Arial"/>
                <w:sz w:val="16"/>
                <w:szCs w:val="16"/>
              </w:rPr>
            </w:pPr>
            <w:r w:rsidRPr="00E750E0">
              <w:rPr>
                <w:sz w:val="16"/>
              </w:rPr>
              <w:t>Part des entrées en phase nationale selon</w:t>
            </w:r>
            <w:r w:rsidR="00A20444" w:rsidRPr="00E750E0">
              <w:rPr>
                <w:sz w:val="16"/>
              </w:rPr>
              <w:t xml:space="preserve"> le PCT</w:t>
            </w:r>
            <w:r w:rsidRPr="00E750E0">
              <w:rPr>
                <w:sz w:val="16"/>
              </w:rPr>
              <w:t xml:space="preserve"> dans le nombre total de demandes internationales de brevet</w:t>
            </w:r>
          </w:p>
        </w:tc>
        <w:tc>
          <w:tcPr>
            <w:tcW w:w="1201" w:type="pct"/>
            <w:gridSpan w:val="4"/>
            <w:tcBorders>
              <w:bottom w:val="single" w:sz="4" w:space="0" w:color="auto"/>
            </w:tcBorders>
            <w:shd w:val="clear" w:color="auto" w:fill="auto"/>
          </w:tcPr>
          <w:p w:rsidR="00D42474" w:rsidRDefault="0096696E" w:rsidP="001A5BF9">
            <w:pPr>
              <w:rPr>
                <w:rStyle w:val="FootnoteReference"/>
                <w:color w:val="002060"/>
                <w:sz w:val="16"/>
              </w:rPr>
            </w:pPr>
            <w:r w:rsidRPr="005C7CCE">
              <w:rPr>
                <w:i/>
                <w:color w:val="002060"/>
                <w:sz w:val="16"/>
              </w:rPr>
              <w:t xml:space="preserve">Niveau de référence actualisé fin 2011 : </w:t>
            </w:r>
            <w:r w:rsidRPr="005C7CCE">
              <w:rPr>
                <w:color w:val="002060"/>
                <w:sz w:val="16"/>
              </w:rPr>
              <w:t>54,9</w:t>
            </w:r>
            <w:r w:rsidR="007E442D" w:rsidRPr="005C7CCE">
              <w:rPr>
                <w:color w:val="002060"/>
                <w:sz w:val="16"/>
              </w:rPr>
              <w:t>%</w:t>
            </w:r>
            <w:r w:rsidRPr="005C7CCE">
              <w:rPr>
                <w:color w:val="002060"/>
                <w:sz w:val="16"/>
              </w:rPr>
              <w:t xml:space="preserve"> (2011)</w:t>
            </w:r>
            <w:r w:rsidRPr="005C7CCE">
              <w:rPr>
                <w:rStyle w:val="FootnoteReference"/>
                <w:color w:val="002060"/>
                <w:sz w:val="16"/>
              </w:rPr>
              <w:footnoteReference w:id="6"/>
            </w:r>
          </w:p>
          <w:p w:rsidR="00D42474" w:rsidRDefault="00D42474" w:rsidP="001A5BF9">
            <w:pPr>
              <w:rPr>
                <w:rFonts w:cs="Arial"/>
                <w:i/>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E750E0">
              <w:rPr>
                <w:sz w:val="16"/>
              </w:rPr>
              <w:t xml:space="preserve"> p</w:t>
            </w:r>
            <w:r w:rsidRPr="005C7CCE">
              <w:rPr>
                <w:sz w:val="16"/>
              </w:rPr>
              <w:t>art des entrées en phase nationale selon le PCT dans les demandes internationales de brevet (fin 2011)</w:t>
            </w:r>
          </w:p>
        </w:tc>
        <w:tc>
          <w:tcPr>
            <w:tcW w:w="835" w:type="pct"/>
            <w:gridSpan w:val="2"/>
            <w:tcBorders>
              <w:bottom w:val="single" w:sz="4" w:space="0" w:color="auto"/>
            </w:tcBorders>
            <w:shd w:val="clear" w:color="auto" w:fill="auto"/>
            <w:tcMar>
              <w:top w:w="110" w:type="dxa"/>
            </w:tcMar>
          </w:tcPr>
          <w:p w:rsidR="0096696E" w:rsidRPr="00E750E0" w:rsidRDefault="0096696E" w:rsidP="001A5BF9">
            <w:pPr>
              <w:autoSpaceDE w:val="0"/>
              <w:autoSpaceDN w:val="0"/>
              <w:adjustRightInd w:val="0"/>
              <w:rPr>
                <w:rFonts w:cs="Arial"/>
                <w:sz w:val="16"/>
                <w:szCs w:val="16"/>
              </w:rPr>
            </w:pPr>
            <w:r w:rsidRPr="00E750E0">
              <w:rPr>
                <w:sz w:val="16"/>
              </w:rPr>
              <w:t>Part accrue d</w:t>
            </w:r>
            <w:r w:rsidR="00A20444" w:rsidRPr="00E750E0">
              <w:rPr>
                <w:sz w:val="16"/>
              </w:rPr>
              <w:t>’</w:t>
            </w:r>
            <w:r w:rsidRPr="00E750E0">
              <w:rPr>
                <w:sz w:val="16"/>
              </w:rPr>
              <w:t>entrées en phase nationale selon le PCT dans le nombre de demandes internationales de brevet</w:t>
            </w:r>
          </w:p>
        </w:tc>
        <w:tc>
          <w:tcPr>
            <w:tcW w:w="1436" w:type="pct"/>
            <w:tcBorders>
              <w:bottom w:val="single" w:sz="4" w:space="0" w:color="auto"/>
            </w:tcBorders>
            <w:shd w:val="clear" w:color="auto" w:fill="FFFFFF"/>
            <w:tcMar>
              <w:top w:w="110" w:type="dxa"/>
            </w:tcMar>
          </w:tcPr>
          <w:p w:rsidR="0096696E" w:rsidRPr="00E750E0" w:rsidRDefault="0096696E" w:rsidP="001A5BF9">
            <w:pPr>
              <w:rPr>
                <w:rFonts w:cs="Arial"/>
                <w:sz w:val="16"/>
                <w:szCs w:val="16"/>
              </w:rPr>
            </w:pPr>
            <w:r w:rsidRPr="00E750E0">
              <w:rPr>
                <w:sz w:val="16"/>
              </w:rPr>
              <w:t>55,2</w:t>
            </w:r>
            <w:r w:rsidR="007E442D" w:rsidRPr="00E750E0">
              <w:rPr>
                <w:sz w:val="16"/>
              </w:rPr>
              <w:t>%</w:t>
            </w:r>
            <w:r w:rsidRPr="00E750E0">
              <w:rPr>
                <w:sz w:val="16"/>
              </w:rPr>
              <w:t xml:space="preserve"> (2012)</w:t>
            </w:r>
          </w:p>
        </w:tc>
        <w:tc>
          <w:tcPr>
            <w:tcW w:w="684" w:type="pct"/>
            <w:gridSpan w:val="2"/>
            <w:tcBorders>
              <w:bottom w:val="single" w:sz="4" w:space="0" w:color="auto"/>
            </w:tcBorders>
            <w:shd w:val="clear" w:color="auto" w:fill="auto"/>
            <w:tcMar>
              <w:top w:w="110" w:type="dxa"/>
            </w:tcMar>
          </w:tcPr>
          <w:p w:rsidR="0096696E" w:rsidRPr="005C7CCE" w:rsidRDefault="0096696E" w:rsidP="001A5BF9">
            <w:pPr>
              <w:jc w:val="center"/>
              <w:rPr>
                <w:rFonts w:cs="Arial"/>
                <w:bCs/>
                <w:color w:val="008000"/>
                <w:sz w:val="16"/>
                <w:szCs w:val="16"/>
              </w:rPr>
            </w:pPr>
            <w:r w:rsidRPr="00B470C6">
              <w:rPr>
                <w:color w:val="008000"/>
                <w:sz w:val="16"/>
              </w:rPr>
              <w:t>Objectif pleinement atteint</w:t>
            </w:r>
          </w:p>
        </w:tc>
      </w:tr>
      <w:tr w:rsidR="00E750E0" w:rsidRPr="00E750E0" w:rsidTr="00825154">
        <w:trPr>
          <w:cantSplit/>
        </w:trPr>
        <w:tc>
          <w:tcPr>
            <w:tcW w:w="5000" w:type="pct"/>
            <w:gridSpan w:val="10"/>
            <w:tcBorders>
              <w:top w:val="single" w:sz="4" w:space="0" w:color="auto"/>
              <w:bottom w:val="single" w:sz="4" w:space="0" w:color="auto"/>
            </w:tcBorders>
            <w:shd w:val="clear" w:color="auto" w:fill="CCFFFF"/>
            <w:vAlign w:val="center"/>
          </w:tcPr>
          <w:p w:rsidR="0096696E" w:rsidRPr="00E750E0" w:rsidRDefault="0096696E" w:rsidP="001A5BF9">
            <w:pPr>
              <w:tabs>
                <w:tab w:val="left" w:pos="1452"/>
              </w:tabs>
              <w:spacing w:before="120" w:after="120"/>
              <w:ind w:left="1701" w:hanging="1701"/>
              <w:rPr>
                <w:rFonts w:cs="Arial"/>
                <w:b/>
                <w:bCs/>
                <w:sz w:val="16"/>
                <w:szCs w:val="16"/>
              </w:rPr>
            </w:pPr>
            <w:r w:rsidRPr="00E750E0">
              <w:rPr>
                <w:b/>
                <w:sz w:val="16"/>
              </w:rPr>
              <w:t>Résultat escompté</w:t>
            </w:r>
            <w:r w:rsidR="0010442A" w:rsidRPr="00E750E0">
              <w:rPr>
                <w:b/>
                <w:sz w:val="16"/>
              </w:rPr>
              <w:t xml:space="preserve"> : </w:t>
            </w:r>
            <w:r w:rsidRPr="00E750E0">
              <w:rPr>
                <w:b/>
                <w:sz w:val="16"/>
              </w:rPr>
              <w:tab/>
            </w:r>
            <w:r w:rsidRPr="00E750E0">
              <w:rPr>
                <w:sz w:val="16"/>
              </w:rPr>
              <w:t>Liens renforcés avec les utilisateurs</w:t>
            </w:r>
            <w:r w:rsidR="00A20444" w:rsidRPr="00E750E0">
              <w:rPr>
                <w:sz w:val="16"/>
              </w:rPr>
              <w:t xml:space="preserve"> du PCT</w:t>
            </w:r>
            <w:r w:rsidRPr="00E750E0">
              <w:rPr>
                <w:sz w:val="16"/>
              </w:rPr>
              <w:t xml:space="preserve"> et les offices</w:t>
            </w:r>
          </w:p>
        </w:tc>
      </w:tr>
      <w:tr w:rsidR="00E750E0" w:rsidRPr="00E750E0" w:rsidTr="00E750E0">
        <w:trPr>
          <w:cantSplit/>
        </w:trPr>
        <w:tc>
          <w:tcPr>
            <w:tcW w:w="844" w:type="pct"/>
            <w:tcBorders>
              <w:top w:val="single" w:sz="4" w:space="0" w:color="auto"/>
            </w:tcBorders>
            <w:shd w:val="clear" w:color="auto" w:fill="auto"/>
            <w:vAlign w:val="center"/>
          </w:tcPr>
          <w:p w:rsidR="0096696E" w:rsidRPr="00E750E0" w:rsidRDefault="0096696E" w:rsidP="001A5BF9">
            <w:pPr>
              <w:spacing w:after="40"/>
              <w:rPr>
                <w:rFonts w:cs="Arial"/>
                <w:b/>
                <w:sz w:val="16"/>
                <w:szCs w:val="16"/>
              </w:rPr>
            </w:pPr>
            <w:r w:rsidRPr="00E750E0">
              <w:rPr>
                <w:b/>
                <w:sz w:val="16"/>
              </w:rPr>
              <w:t>Indicateurs d</w:t>
            </w:r>
            <w:r w:rsidR="00A20444" w:rsidRPr="00E750E0">
              <w:rPr>
                <w:b/>
                <w:sz w:val="16"/>
              </w:rPr>
              <w:t>’</w:t>
            </w:r>
            <w:r w:rsidRPr="00E750E0">
              <w:rPr>
                <w:b/>
                <w:sz w:val="16"/>
              </w:rPr>
              <w:t>exécution</w:t>
            </w:r>
          </w:p>
        </w:tc>
        <w:tc>
          <w:tcPr>
            <w:tcW w:w="1201" w:type="pct"/>
            <w:gridSpan w:val="4"/>
            <w:tcBorders>
              <w:top w:val="single" w:sz="4" w:space="0" w:color="auto"/>
            </w:tcBorders>
            <w:shd w:val="clear" w:color="auto" w:fill="auto"/>
            <w:vAlign w:val="center"/>
          </w:tcPr>
          <w:p w:rsidR="0096696E" w:rsidRPr="00E750E0" w:rsidRDefault="0096696E" w:rsidP="001A5BF9">
            <w:pPr>
              <w:spacing w:after="40"/>
              <w:rPr>
                <w:rFonts w:cs="Arial"/>
                <w:b/>
                <w:bCs/>
                <w:sz w:val="16"/>
                <w:szCs w:val="16"/>
              </w:rPr>
            </w:pPr>
            <w:r w:rsidRPr="00E750E0">
              <w:rPr>
                <w:b/>
                <w:sz w:val="16"/>
              </w:rPr>
              <w:t>Niveaux de référence</w:t>
            </w:r>
          </w:p>
        </w:tc>
        <w:tc>
          <w:tcPr>
            <w:tcW w:w="835" w:type="pct"/>
            <w:gridSpan w:val="2"/>
            <w:tcBorders>
              <w:top w:val="single" w:sz="4" w:space="0" w:color="auto"/>
            </w:tcBorders>
            <w:shd w:val="clear" w:color="auto" w:fill="auto"/>
            <w:tcMar>
              <w:top w:w="110" w:type="dxa"/>
            </w:tcMar>
            <w:vAlign w:val="center"/>
          </w:tcPr>
          <w:p w:rsidR="0096696E" w:rsidRPr="00E750E0" w:rsidRDefault="0096696E" w:rsidP="001A5BF9">
            <w:pPr>
              <w:spacing w:after="40"/>
              <w:rPr>
                <w:rFonts w:cs="Arial"/>
                <w:b/>
                <w:sz w:val="16"/>
                <w:szCs w:val="16"/>
              </w:rPr>
            </w:pPr>
            <w:r w:rsidRPr="00E750E0">
              <w:rPr>
                <w:b/>
                <w:sz w:val="16"/>
              </w:rPr>
              <w:t>Objectifs visés</w:t>
            </w:r>
          </w:p>
        </w:tc>
        <w:tc>
          <w:tcPr>
            <w:tcW w:w="1436" w:type="pct"/>
            <w:tcBorders>
              <w:top w:val="single" w:sz="4" w:space="0" w:color="auto"/>
            </w:tcBorders>
            <w:shd w:val="clear" w:color="auto" w:fill="FFFFFF"/>
            <w:tcMar>
              <w:top w:w="110" w:type="dxa"/>
            </w:tcMar>
            <w:vAlign w:val="center"/>
          </w:tcPr>
          <w:p w:rsidR="0096696E" w:rsidRPr="00E750E0" w:rsidRDefault="0096696E" w:rsidP="001A5BF9">
            <w:pPr>
              <w:spacing w:after="40"/>
              <w:rPr>
                <w:rFonts w:cs="Arial"/>
                <w:b/>
                <w:sz w:val="16"/>
                <w:szCs w:val="16"/>
              </w:rPr>
            </w:pPr>
            <w:r w:rsidRPr="00E750E0">
              <w:rPr>
                <w:b/>
                <w:sz w:val="16"/>
              </w:rPr>
              <w:t>Données relatives à l</w:t>
            </w:r>
            <w:r w:rsidR="00A20444" w:rsidRPr="00E750E0">
              <w:rPr>
                <w:b/>
                <w:sz w:val="16"/>
              </w:rPr>
              <w:t>’</w:t>
            </w:r>
            <w:r w:rsidRPr="00E750E0">
              <w:rPr>
                <w:b/>
                <w:sz w:val="16"/>
              </w:rPr>
              <w:t>exécution</w:t>
            </w:r>
          </w:p>
        </w:tc>
        <w:tc>
          <w:tcPr>
            <w:tcW w:w="684" w:type="pct"/>
            <w:gridSpan w:val="2"/>
            <w:tcBorders>
              <w:top w:val="single" w:sz="4" w:space="0" w:color="auto"/>
            </w:tcBorders>
            <w:shd w:val="clear" w:color="auto" w:fill="auto"/>
            <w:tcMar>
              <w:top w:w="110" w:type="dxa"/>
            </w:tcMar>
            <w:vAlign w:val="center"/>
          </w:tcPr>
          <w:p w:rsidR="0096696E" w:rsidRPr="00E750E0" w:rsidRDefault="0096696E" w:rsidP="001A5BF9">
            <w:pPr>
              <w:spacing w:after="40"/>
              <w:jc w:val="center"/>
              <w:rPr>
                <w:rFonts w:cs="Arial"/>
                <w:b/>
                <w:bCs/>
                <w:sz w:val="16"/>
                <w:szCs w:val="16"/>
              </w:rPr>
            </w:pPr>
            <w:r w:rsidRPr="00E750E0">
              <w:rPr>
                <w:b/>
                <w:sz w:val="16"/>
              </w:rPr>
              <w:t>Code de couleurs</w:t>
            </w:r>
          </w:p>
        </w:tc>
      </w:tr>
      <w:tr w:rsidR="0096696E" w:rsidRPr="005C7CCE" w:rsidTr="00E750E0">
        <w:trPr>
          <w:cantSplit/>
        </w:trPr>
        <w:tc>
          <w:tcPr>
            <w:tcW w:w="844" w:type="pct"/>
            <w:shd w:val="clear" w:color="auto" w:fill="FFFFFF"/>
          </w:tcPr>
          <w:p w:rsidR="0096696E" w:rsidRPr="00E750E0" w:rsidRDefault="0096696E" w:rsidP="001A5BF9">
            <w:pPr>
              <w:rPr>
                <w:rFonts w:cs="Arial"/>
                <w:sz w:val="16"/>
                <w:szCs w:val="16"/>
              </w:rPr>
            </w:pPr>
            <w:r w:rsidRPr="00E750E0">
              <w:rPr>
                <w:sz w:val="16"/>
              </w:rPr>
              <w:t>Satisfaction des offices et des administrations internationales à l</w:t>
            </w:r>
            <w:r w:rsidR="00A20444" w:rsidRPr="00E750E0">
              <w:rPr>
                <w:sz w:val="16"/>
              </w:rPr>
              <w:t>’</w:t>
            </w:r>
            <w:r w:rsidRPr="00E750E0">
              <w:rPr>
                <w:sz w:val="16"/>
              </w:rPr>
              <w:t>égard des activités de coopération du PCT</w:t>
            </w:r>
          </w:p>
        </w:tc>
        <w:tc>
          <w:tcPr>
            <w:tcW w:w="1201" w:type="pct"/>
            <w:gridSpan w:val="4"/>
            <w:shd w:val="clear" w:color="auto" w:fill="auto"/>
          </w:tcPr>
          <w:p w:rsidR="00D42474" w:rsidRDefault="0096696E"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59 (soit 95</w:t>
            </w:r>
            <w:r w:rsidR="007E442D" w:rsidRPr="005C7CCE">
              <w:rPr>
                <w:color w:val="002060"/>
                <w:sz w:val="16"/>
              </w:rPr>
              <w:t>%</w:t>
            </w:r>
            <w:r w:rsidRPr="005C7CCE">
              <w:rPr>
                <w:color w:val="002060"/>
                <w:sz w:val="16"/>
              </w:rPr>
              <w:t xml:space="preserve"> des 62 bénéficiaires des activités de coopération du PCT;</w:t>
            </w:r>
            <w:r w:rsidR="004F3E42" w:rsidRPr="005C7CCE">
              <w:rPr>
                <w:color w:val="002060"/>
                <w:sz w:val="16"/>
              </w:rPr>
              <w:t xml:space="preserve"> </w:t>
            </w:r>
            <w:r w:rsidR="0010442A" w:rsidRPr="005C7CCE">
              <w:rPr>
                <w:color w:val="002060"/>
                <w:sz w:val="16"/>
              </w:rPr>
              <w:t xml:space="preserve"> </w:t>
            </w:r>
            <w:r w:rsidRPr="005C7CCE">
              <w:rPr>
                <w:color w:val="002060"/>
                <w:sz w:val="16"/>
              </w:rPr>
              <w:t>86</w:t>
            </w:r>
            <w:r w:rsidR="007E442D" w:rsidRPr="005C7CCE">
              <w:rPr>
                <w:color w:val="002060"/>
                <w:sz w:val="16"/>
              </w:rPr>
              <w:t>%</w:t>
            </w:r>
            <w:r w:rsidRPr="005C7CCE">
              <w:rPr>
                <w:color w:val="002060"/>
                <w:sz w:val="16"/>
              </w:rPr>
              <w:t xml:space="preserve"> des 69 participants à l</w:t>
            </w:r>
            <w:r w:rsidR="00A20444" w:rsidRPr="005C7CCE">
              <w:rPr>
                <w:color w:val="002060"/>
                <w:sz w:val="16"/>
              </w:rPr>
              <w:t>’</w:t>
            </w:r>
            <w:r w:rsidRPr="005C7CCE">
              <w:rPr>
                <w:color w:val="002060"/>
                <w:sz w:val="16"/>
              </w:rPr>
              <w:t>enquête)</w:t>
            </w:r>
          </w:p>
          <w:p w:rsidR="00D42474" w:rsidRDefault="00D42474" w:rsidP="001A5BF9">
            <w:pPr>
              <w:rPr>
                <w:rFonts w:cs="Arial"/>
                <w:i/>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30 offices et administrations internationales ont fait part de leur satisfaction à l</w:t>
            </w:r>
            <w:r w:rsidR="00A20444" w:rsidRPr="005C7CCE">
              <w:rPr>
                <w:sz w:val="16"/>
              </w:rPr>
              <w:t>’</w:t>
            </w:r>
            <w:r w:rsidRPr="005C7CCE">
              <w:rPr>
                <w:sz w:val="16"/>
              </w:rPr>
              <w:t>égard des activités de coopération (2010) (soit 91</w:t>
            </w:r>
            <w:r w:rsidR="007E442D" w:rsidRPr="005C7CCE">
              <w:rPr>
                <w:sz w:val="16"/>
              </w:rPr>
              <w:t>%</w:t>
            </w:r>
            <w:r w:rsidRPr="005C7CCE">
              <w:rPr>
                <w:sz w:val="16"/>
              </w:rPr>
              <w:t xml:space="preserve"> des 33 bénéficiaires des activités de coopération du PCT et 46</w:t>
            </w:r>
            <w:r w:rsidR="007E442D" w:rsidRPr="005C7CCE">
              <w:rPr>
                <w:sz w:val="16"/>
              </w:rPr>
              <w:t>%</w:t>
            </w:r>
            <w:r w:rsidRPr="005C7CCE">
              <w:rPr>
                <w:sz w:val="16"/>
              </w:rPr>
              <w:t xml:space="preserve"> du total des 65 participants) </w:t>
            </w:r>
          </w:p>
        </w:tc>
        <w:tc>
          <w:tcPr>
            <w:tcW w:w="835" w:type="pct"/>
            <w:gridSpan w:val="2"/>
            <w:shd w:val="clear" w:color="auto" w:fill="auto"/>
            <w:tcMar>
              <w:top w:w="110" w:type="dxa"/>
            </w:tcMar>
          </w:tcPr>
          <w:p w:rsidR="00D42474" w:rsidRDefault="0096696E" w:rsidP="001A5BF9">
            <w:pPr>
              <w:autoSpaceDE w:val="0"/>
              <w:autoSpaceDN w:val="0"/>
              <w:adjustRightInd w:val="0"/>
              <w:rPr>
                <w:rFonts w:cs="Arial"/>
                <w:sz w:val="16"/>
                <w:szCs w:val="16"/>
              </w:rPr>
            </w:pPr>
            <w:r w:rsidRPr="00E750E0">
              <w:rPr>
                <w:sz w:val="16"/>
              </w:rPr>
              <w:t>Maintien du niveau de satisfaction</w:t>
            </w:r>
          </w:p>
          <w:p w:rsidR="0096696E" w:rsidRPr="00E750E0" w:rsidRDefault="0096696E" w:rsidP="001A5BF9">
            <w:pPr>
              <w:autoSpaceDE w:val="0"/>
              <w:autoSpaceDN w:val="0"/>
              <w:adjustRightInd w:val="0"/>
              <w:rPr>
                <w:rFonts w:cs="Arial"/>
                <w:sz w:val="16"/>
                <w:szCs w:val="16"/>
              </w:rPr>
            </w:pPr>
            <w:r w:rsidRPr="00E750E0">
              <w:rPr>
                <w:sz w:val="16"/>
              </w:rPr>
              <w:t>de 2010 des offices et administrations internationales</w:t>
            </w:r>
          </w:p>
        </w:tc>
        <w:tc>
          <w:tcPr>
            <w:tcW w:w="1436" w:type="pct"/>
            <w:shd w:val="clear" w:color="auto" w:fill="FFFFFF"/>
            <w:tcMar>
              <w:top w:w="110" w:type="dxa"/>
            </w:tcMar>
          </w:tcPr>
          <w:p w:rsidR="00D42474" w:rsidRDefault="0096696E" w:rsidP="001A5BF9">
            <w:pPr>
              <w:jc w:val="both"/>
              <w:rPr>
                <w:rFonts w:cs="Arial"/>
                <w:sz w:val="16"/>
                <w:szCs w:val="16"/>
                <w:lang w:bidi="th-TH"/>
              </w:rPr>
            </w:pPr>
            <w:r w:rsidRPr="00E750E0">
              <w:rPr>
                <w:sz w:val="16"/>
              </w:rPr>
              <w:t>56 (soit 95</w:t>
            </w:r>
            <w:r w:rsidR="007E442D" w:rsidRPr="00E750E0">
              <w:rPr>
                <w:sz w:val="16"/>
              </w:rPr>
              <w:t>%</w:t>
            </w:r>
            <w:r w:rsidRPr="00E750E0">
              <w:rPr>
                <w:sz w:val="16"/>
              </w:rPr>
              <w:t xml:space="preserve"> des 59 bénéficiaires des activités de coopération du PCT;</w:t>
            </w:r>
            <w:r w:rsidR="004F3E42" w:rsidRPr="00E750E0">
              <w:rPr>
                <w:sz w:val="16"/>
              </w:rPr>
              <w:t xml:space="preserve"> </w:t>
            </w:r>
            <w:r w:rsidR="0010442A" w:rsidRPr="00E750E0">
              <w:rPr>
                <w:sz w:val="16"/>
              </w:rPr>
              <w:t xml:space="preserve"> </w:t>
            </w:r>
            <w:r w:rsidRPr="00E750E0">
              <w:rPr>
                <w:sz w:val="16"/>
              </w:rPr>
              <w:t>85</w:t>
            </w:r>
            <w:r w:rsidR="007E442D" w:rsidRPr="00E750E0">
              <w:rPr>
                <w:sz w:val="16"/>
              </w:rPr>
              <w:t>%</w:t>
            </w:r>
            <w:r w:rsidRPr="00E750E0">
              <w:rPr>
                <w:sz w:val="16"/>
              </w:rPr>
              <w:t xml:space="preserve"> des 66 participants) (enquête de 2012)</w:t>
            </w:r>
          </w:p>
          <w:p w:rsidR="0096696E" w:rsidRPr="00E750E0" w:rsidRDefault="0096696E" w:rsidP="001A5BF9">
            <w:pPr>
              <w:jc w:val="both"/>
              <w:rPr>
                <w:rFonts w:cs="Arial"/>
                <w:sz w:val="16"/>
                <w:szCs w:val="16"/>
                <w:lang w:bidi="th-TH"/>
              </w:rPr>
            </w:pPr>
            <w:r w:rsidRPr="00E750E0">
              <w:rPr>
                <w:sz w:val="16"/>
              </w:rPr>
              <w:t>L</w:t>
            </w:r>
            <w:r w:rsidR="00A20444" w:rsidRPr="00E750E0">
              <w:rPr>
                <w:sz w:val="16"/>
              </w:rPr>
              <w:t>’</w:t>
            </w:r>
            <w:r w:rsidRPr="00E750E0">
              <w:rPr>
                <w:sz w:val="16"/>
              </w:rPr>
              <w:t>enquête de satisfaction est menée une fois par exercice biennal.</w:t>
            </w:r>
          </w:p>
        </w:tc>
        <w:tc>
          <w:tcPr>
            <w:tcW w:w="684" w:type="pct"/>
            <w:gridSpan w:val="2"/>
            <w:shd w:val="clear" w:color="auto" w:fill="auto"/>
            <w:tcMar>
              <w:top w:w="110" w:type="dxa"/>
            </w:tcMar>
          </w:tcPr>
          <w:p w:rsidR="0096696E" w:rsidRPr="005C7CCE" w:rsidRDefault="0096696E" w:rsidP="001A5BF9">
            <w:pPr>
              <w:jc w:val="center"/>
              <w:rPr>
                <w:rFonts w:cs="Arial"/>
                <w:bCs/>
                <w:color w:val="008000"/>
                <w:sz w:val="16"/>
                <w:szCs w:val="16"/>
              </w:rPr>
            </w:pPr>
            <w:r w:rsidRPr="00B470C6">
              <w:rPr>
                <w:color w:val="008000"/>
                <w:sz w:val="16"/>
              </w:rPr>
              <w:t>Objectif pleinement atteint</w:t>
            </w:r>
          </w:p>
        </w:tc>
      </w:tr>
      <w:tr w:rsidR="00E750E0" w:rsidRPr="00E750E0" w:rsidTr="0033279F">
        <w:trPr>
          <w:cantSplit/>
        </w:trPr>
        <w:tc>
          <w:tcPr>
            <w:tcW w:w="5000" w:type="pct"/>
            <w:gridSpan w:val="10"/>
            <w:tcBorders>
              <w:top w:val="single" w:sz="4" w:space="0" w:color="auto"/>
              <w:bottom w:val="single" w:sz="4" w:space="0" w:color="auto"/>
            </w:tcBorders>
            <w:shd w:val="clear" w:color="auto" w:fill="CCFFFF"/>
            <w:vAlign w:val="center"/>
          </w:tcPr>
          <w:p w:rsidR="00E750E0" w:rsidRPr="00E750E0" w:rsidRDefault="00E750E0" w:rsidP="00E750E0">
            <w:pPr>
              <w:keepNext/>
              <w:keepLines/>
              <w:tabs>
                <w:tab w:val="left" w:pos="1452"/>
              </w:tabs>
              <w:spacing w:before="120" w:after="120"/>
              <w:ind w:left="1701" w:hanging="1701"/>
              <w:rPr>
                <w:rFonts w:cs="Arial"/>
                <w:b/>
                <w:bCs/>
                <w:sz w:val="16"/>
                <w:szCs w:val="16"/>
              </w:rPr>
            </w:pPr>
            <w:r w:rsidRPr="00E750E0">
              <w:rPr>
                <w:b/>
                <w:sz w:val="16"/>
              </w:rPr>
              <w:t xml:space="preserve">Résultat escompté : </w:t>
            </w:r>
            <w:r w:rsidRPr="00E750E0">
              <w:rPr>
                <w:b/>
                <w:sz w:val="16"/>
              </w:rPr>
              <w:tab/>
            </w:r>
            <w:r w:rsidRPr="00E750E0">
              <w:rPr>
                <w:sz w:val="16"/>
              </w:rPr>
              <w:t>Liens renforcés avec les utilisateurs du PCT et les offices</w:t>
            </w:r>
          </w:p>
        </w:tc>
      </w:tr>
      <w:tr w:rsidR="0096696E" w:rsidRPr="005C7CCE" w:rsidTr="00E750E0">
        <w:trPr>
          <w:cantSplit/>
        </w:trPr>
        <w:tc>
          <w:tcPr>
            <w:tcW w:w="844" w:type="pct"/>
            <w:shd w:val="clear" w:color="auto" w:fill="auto"/>
          </w:tcPr>
          <w:p w:rsidR="0096696E" w:rsidRPr="00E750E0" w:rsidRDefault="0096696E" w:rsidP="00E750E0">
            <w:pPr>
              <w:keepNext/>
              <w:keepLines/>
              <w:rPr>
                <w:rFonts w:cs="Arial"/>
                <w:sz w:val="16"/>
                <w:szCs w:val="16"/>
              </w:rPr>
            </w:pPr>
            <w:r w:rsidRPr="00E750E0">
              <w:rPr>
                <w:sz w:val="16"/>
              </w:rPr>
              <w:t>Contact constructif avec les utilisateurs</w:t>
            </w:r>
            <w:r w:rsidR="00A20444" w:rsidRPr="00E750E0">
              <w:rPr>
                <w:sz w:val="16"/>
              </w:rPr>
              <w:t xml:space="preserve"> du PCT</w:t>
            </w:r>
          </w:p>
        </w:tc>
        <w:tc>
          <w:tcPr>
            <w:tcW w:w="1201" w:type="pct"/>
            <w:gridSpan w:val="4"/>
            <w:shd w:val="clear" w:color="auto" w:fill="auto"/>
          </w:tcPr>
          <w:p w:rsidR="00D42474" w:rsidRDefault="0096696E" w:rsidP="00E750E0">
            <w:pPr>
              <w:pStyle w:val="Default"/>
              <w:keepNext/>
              <w:keepLines/>
              <w:rPr>
                <w:color w:val="002060"/>
                <w:sz w:val="16"/>
              </w:rPr>
            </w:pPr>
            <w:r w:rsidRPr="005C7CCE">
              <w:rPr>
                <w:i/>
                <w:color w:val="002060"/>
                <w:sz w:val="16"/>
              </w:rPr>
              <w:t>Niveau de référence actualisé fin 2011 :</w:t>
            </w:r>
            <w:r w:rsidRPr="005C7CCE">
              <w:rPr>
                <w:color w:val="943634"/>
                <w:sz w:val="16"/>
              </w:rPr>
              <w:t xml:space="preserve"> </w:t>
            </w:r>
            <w:r w:rsidRPr="005C7CCE">
              <w:rPr>
                <w:color w:val="002060"/>
                <w:sz w:val="16"/>
              </w:rPr>
              <w:t>70</w:t>
            </w:r>
          </w:p>
          <w:p w:rsidR="00D42474" w:rsidRDefault="00D42474" w:rsidP="00E750E0">
            <w:pPr>
              <w:keepNext/>
              <w:keepLines/>
              <w:rPr>
                <w:rFonts w:cs="Arial"/>
                <w:i/>
                <w:sz w:val="8"/>
                <w:szCs w:val="8"/>
              </w:rPr>
            </w:pPr>
          </w:p>
          <w:p w:rsidR="0096696E" w:rsidRPr="005C7CCE" w:rsidRDefault="0096696E" w:rsidP="00E750E0">
            <w:pPr>
              <w:keepNext/>
              <w:keepLines/>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w:t>
            </w:r>
            <w:r w:rsidR="00E750E0">
              <w:rPr>
                <w:sz w:val="16"/>
              </w:rPr>
              <w:t>à</w:t>
            </w:r>
            <w:r w:rsidRPr="005C7CCE">
              <w:rPr>
                <w:sz w:val="16"/>
              </w:rPr>
              <w:t> déterminer fin 2011</w:t>
            </w:r>
          </w:p>
        </w:tc>
        <w:tc>
          <w:tcPr>
            <w:tcW w:w="835" w:type="pct"/>
            <w:gridSpan w:val="2"/>
            <w:shd w:val="clear" w:color="auto" w:fill="auto"/>
            <w:tcMar>
              <w:top w:w="110" w:type="dxa"/>
            </w:tcMar>
          </w:tcPr>
          <w:p w:rsidR="0096696E" w:rsidRPr="00E750E0" w:rsidRDefault="0096696E" w:rsidP="00E750E0">
            <w:pPr>
              <w:keepNext/>
              <w:keepLines/>
              <w:rPr>
                <w:rFonts w:cs="Arial"/>
                <w:sz w:val="16"/>
                <w:szCs w:val="16"/>
                <w:lang w:bidi="th-TH"/>
              </w:rPr>
            </w:pPr>
            <w:r w:rsidRPr="00E750E0">
              <w:rPr>
                <w:sz w:val="16"/>
              </w:rPr>
              <w:t>Contacts réguliers avec les utilisateurs du PCT à demande élevée</w:t>
            </w:r>
          </w:p>
        </w:tc>
        <w:tc>
          <w:tcPr>
            <w:tcW w:w="1436" w:type="pct"/>
            <w:shd w:val="clear" w:color="auto" w:fill="FFFFFF"/>
            <w:tcMar>
              <w:top w:w="110" w:type="dxa"/>
            </w:tcMar>
          </w:tcPr>
          <w:p w:rsidR="0096696E" w:rsidRPr="005C7CCE" w:rsidRDefault="0096696E" w:rsidP="00E750E0">
            <w:pPr>
              <w:keepNext/>
              <w:keepLines/>
              <w:rPr>
                <w:rFonts w:cs="Arial"/>
                <w:sz w:val="16"/>
                <w:szCs w:val="16"/>
                <w:lang w:bidi="th-TH"/>
              </w:rPr>
            </w:pPr>
            <w:r w:rsidRPr="005C7CCE">
              <w:rPr>
                <w:sz w:val="16"/>
              </w:rPr>
              <w:t>85 cas de contacts d</w:t>
            </w:r>
            <w:r w:rsidR="00A20444" w:rsidRPr="005C7CCE">
              <w:rPr>
                <w:sz w:val="16"/>
              </w:rPr>
              <w:t>’</w:t>
            </w:r>
            <w:r w:rsidRPr="005C7CCE">
              <w:rPr>
                <w:sz w:val="16"/>
              </w:rPr>
              <w:t>utilisateurs utiles.</w:t>
            </w:r>
          </w:p>
        </w:tc>
        <w:tc>
          <w:tcPr>
            <w:tcW w:w="684" w:type="pct"/>
            <w:gridSpan w:val="2"/>
            <w:shd w:val="clear" w:color="auto" w:fill="auto"/>
          </w:tcPr>
          <w:p w:rsidR="0096696E" w:rsidRPr="005C7CCE" w:rsidRDefault="0096696E" w:rsidP="00E750E0">
            <w:pPr>
              <w:keepNext/>
              <w:keepLines/>
              <w:jc w:val="center"/>
              <w:rPr>
                <w:rFonts w:cs="Arial"/>
                <w:bCs/>
                <w:color w:val="008000"/>
                <w:sz w:val="16"/>
                <w:szCs w:val="16"/>
              </w:rPr>
            </w:pPr>
            <w:r w:rsidRPr="00B470C6">
              <w:rPr>
                <w:color w:val="008000"/>
                <w:sz w:val="16"/>
              </w:rPr>
              <w:t>Objectif pleinement atteint</w:t>
            </w:r>
          </w:p>
        </w:tc>
      </w:tr>
      <w:tr w:rsidR="0096696E" w:rsidRPr="005C7CCE" w:rsidTr="00E750E0">
        <w:trPr>
          <w:cantSplit/>
        </w:trPr>
        <w:tc>
          <w:tcPr>
            <w:tcW w:w="844" w:type="pct"/>
            <w:tcBorders>
              <w:bottom w:val="single" w:sz="4" w:space="0" w:color="auto"/>
            </w:tcBorders>
            <w:shd w:val="clear" w:color="auto" w:fill="auto"/>
          </w:tcPr>
          <w:p w:rsidR="0096696E" w:rsidRPr="00E750E0" w:rsidRDefault="0096696E" w:rsidP="001A5BF9">
            <w:pPr>
              <w:rPr>
                <w:rFonts w:cs="Arial"/>
                <w:sz w:val="16"/>
                <w:szCs w:val="16"/>
              </w:rPr>
            </w:pPr>
            <w:r w:rsidRPr="00E750E0">
              <w:rPr>
                <w:sz w:val="16"/>
              </w:rPr>
              <w:t>Nombre accru de réactions des utilisateurs</w:t>
            </w:r>
            <w:r w:rsidR="00A20444" w:rsidRPr="00E750E0">
              <w:rPr>
                <w:sz w:val="16"/>
              </w:rPr>
              <w:t xml:space="preserve"> du PCT</w:t>
            </w:r>
            <w:r w:rsidRPr="00E750E0">
              <w:rPr>
                <w:sz w:val="16"/>
              </w:rPr>
              <w:t xml:space="preserve"> concernant la performance globale du système</w:t>
            </w:r>
          </w:p>
        </w:tc>
        <w:tc>
          <w:tcPr>
            <w:tcW w:w="1201" w:type="pct"/>
            <w:gridSpan w:val="4"/>
            <w:tcBorders>
              <w:bottom w:val="single" w:sz="4" w:space="0" w:color="auto"/>
            </w:tcBorders>
            <w:shd w:val="clear" w:color="auto" w:fill="auto"/>
          </w:tcPr>
          <w:p w:rsidR="00D42474" w:rsidRDefault="0096696E" w:rsidP="001A5BF9">
            <w:pPr>
              <w:pStyle w:val="Default"/>
              <w:rPr>
                <w:color w:val="002060"/>
                <w:sz w:val="16"/>
                <w:szCs w:val="16"/>
              </w:rPr>
            </w:pPr>
            <w:r w:rsidRPr="005C7CCE">
              <w:rPr>
                <w:i/>
                <w:color w:val="002060"/>
                <w:sz w:val="16"/>
              </w:rPr>
              <w:t>Niveau de référence actualisé fin 2011 :</w:t>
            </w:r>
            <w:r w:rsidRPr="005C7CCE">
              <w:rPr>
                <w:color w:val="002060"/>
                <w:sz w:val="16"/>
              </w:rPr>
              <w:t xml:space="preserve"> 116 demandes de retours d</w:t>
            </w:r>
            <w:r w:rsidR="00A20444" w:rsidRPr="005C7CCE">
              <w:rPr>
                <w:color w:val="002060"/>
                <w:sz w:val="16"/>
              </w:rPr>
              <w:t>’</w:t>
            </w:r>
            <w:r w:rsidRPr="005C7CCE">
              <w:rPr>
                <w:color w:val="002060"/>
                <w:sz w:val="16"/>
              </w:rPr>
              <w:t>information</w:t>
            </w:r>
          </w:p>
          <w:p w:rsidR="00D42474" w:rsidRDefault="00D42474" w:rsidP="001A5BF9">
            <w:pPr>
              <w:rPr>
                <w:rFonts w:cs="Arial"/>
                <w:i/>
                <w:sz w:val="8"/>
                <w:szCs w:val="8"/>
              </w:rPr>
            </w:pPr>
          </w:p>
          <w:p w:rsidR="0096696E" w:rsidRPr="005C7CCE" w:rsidRDefault="0096696E" w:rsidP="00E750E0">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w:t>
            </w:r>
            <w:r w:rsidR="00E750E0">
              <w:rPr>
                <w:sz w:val="16"/>
              </w:rPr>
              <w:t>à</w:t>
            </w:r>
            <w:r w:rsidRPr="005C7CCE">
              <w:rPr>
                <w:sz w:val="16"/>
              </w:rPr>
              <w:t> déterminer fin 2011</w:t>
            </w:r>
          </w:p>
        </w:tc>
        <w:tc>
          <w:tcPr>
            <w:tcW w:w="835" w:type="pct"/>
            <w:gridSpan w:val="2"/>
            <w:tcBorders>
              <w:bottom w:val="single" w:sz="4" w:space="0" w:color="auto"/>
            </w:tcBorders>
            <w:shd w:val="clear" w:color="auto" w:fill="auto"/>
            <w:tcMar>
              <w:top w:w="110" w:type="dxa"/>
            </w:tcMar>
          </w:tcPr>
          <w:p w:rsidR="0096696E" w:rsidRPr="00E750E0" w:rsidRDefault="0096696E" w:rsidP="001A5BF9">
            <w:pPr>
              <w:rPr>
                <w:rFonts w:cs="Arial"/>
                <w:sz w:val="16"/>
                <w:szCs w:val="16"/>
              </w:rPr>
            </w:pPr>
            <w:r w:rsidRPr="00E750E0">
              <w:rPr>
                <w:sz w:val="16"/>
              </w:rPr>
              <w:t>Demandes informelles de retours d</w:t>
            </w:r>
            <w:r w:rsidR="00A20444" w:rsidRPr="00E750E0">
              <w:rPr>
                <w:sz w:val="16"/>
              </w:rPr>
              <w:t>’</w:t>
            </w:r>
            <w:r w:rsidRPr="00E750E0">
              <w:rPr>
                <w:sz w:val="16"/>
              </w:rPr>
              <w:t>information à chaque contact d</w:t>
            </w:r>
            <w:r w:rsidR="00A20444" w:rsidRPr="00E750E0">
              <w:rPr>
                <w:sz w:val="16"/>
              </w:rPr>
              <w:t>’</w:t>
            </w:r>
            <w:r w:rsidRPr="00E750E0">
              <w:rPr>
                <w:sz w:val="16"/>
              </w:rPr>
              <w:t>utilisateur</w:t>
            </w:r>
          </w:p>
        </w:tc>
        <w:tc>
          <w:tcPr>
            <w:tcW w:w="1436" w:type="pct"/>
            <w:tcBorders>
              <w:bottom w:val="single" w:sz="4" w:space="0" w:color="auto"/>
            </w:tcBorders>
            <w:shd w:val="clear" w:color="auto" w:fill="FFFFFF"/>
            <w:tcMar>
              <w:top w:w="110" w:type="dxa"/>
            </w:tcMar>
          </w:tcPr>
          <w:p w:rsidR="0096696E" w:rsidRPr="005C7CCE" w:rsidRDefault="0096696E" w:rsidP="001A5BF9">
            <w:pPr>
              <w:rPr>
                <w:rFonts w:cs="Arial"/>
                <w:sz w:val="16"/>
                <w:szCs w:val="16"/>
                <w:lang w:bidi="th-TH"/>
              </w:rPr>
            </w:pPr>
            <w:r w:rsidRPr="005C7CCE">
              <w:rPr>
                <w:sz w:val="16"/>
              </w:rPr>
              <w:t>237 demandes de retours d</w:t>
            </w:r>
            <w:r w:rsidR="00A20444" w:rsidRPr="005C7CCE">
              <w:rPr>
                <w:sz w:val="16"/>
              </w:rPr>
              <w:t>’</w:t>
            </w:r>
            <w:r w:rsidRPr="005C7CCE">
              <w:rPr>
                <w:sz w:val="16"/>
              </w:rPr>
              <w:t>information d</w:t>
            </w:r>
            <w:r w:rsidR="00A20444" w:rsidRPr="005C7CCE">
              <w:rPr>
                <w:sz w:val="16"/>
              </w:rPr>
              <w:t>’</w:t>
            </w:r>
            <w:r w:rsidRPr="005C7CCE">
              <w:rPr>
                <w:sz w:val="16"/>
              </w:rPr>
              <w:t>utilisateurs du PCT.</w:t>
            </w:r>
          </w:p>
        </w:tc>
        <w:tc>
          <w:tcPr>
            <w:tcW w:w="684" w:type="pct"/>
            <w:gridSpan w:val="2"/>
            <w:tcBorders>
              <w:bottom w:val="single" w:sz="4" w:space="0" w:color="auto"/>
            </w:tcBorders>
            <w:shd w:val="clear" w:color="auto" w:fill="auto"/>
            <w:tcMar>
              <w:top w:w="110" w:type="dxa"/>
            </w:tcMar>
          </w:tcPr>
          <w:p w:rsidR="0096696E" w:rsidRPr="005C7CCE" w:rsidRDefault="0096696E" w:rsidP="001A5BF9">
            <w:pPr>
              <w:spacing w:after="120"/>
              <w:jc w:val="center"/>
              <w:rPr>
                <w:rFonts w:cs="Arial"/>
                <w:bCs/>
                <w:color w:val="008000"/>
                <w:sz w:val="16"/>
                <w:szCs w:val="16"/>
              </w:rPr>
            </w:pPr>
            <w:r w:rsidRPr="00B470C6">
              <w:rPr>
                <w:color w:val="008000"/>
                <w:sz w:val="16"/>
              </w:rPr>
              <w:t>Objectif pleinement atteint</w:t>
            </w:r>
          </w:p>
        </w:tc>
      </w:tr>
      <w:tr w:rsidR="00E750E0" w:rsidRPr="00E750E0" w:rsidTr="00825154">
        <w:trPr>
          <w:cantSplit/>
        </w:trPr>
        <w:tc>
          <w:tcPr>
            <w:tcW w:w="5000" w:type="pct"/>
            <w:gridSpan w:val="10"/>
            <w:tcBorders>
              <w:top w:val="single" w:sz="4" w:space="0" w:color="auto"/>
              <w:bottom w:val="single" w:sz="4" w:space="0" w:color="auto"/>
            </w:tcBorders>
            <w:shd w:val="clear" w:color="auto" w:fill="CCFFFF"/>
            <w:vAlign w:val="center"/>
          </w:tcPr>
          <w:p w:rsidR="0096696E" w:rsidRPr="00E750E0" w:rsidRDefault="0096696E" w:rsidP="00E750E0">
            <w:pPr>
              <w:tabs>
                <w:tab w:val="left" w:pos="1452"/>
              </w:tabs>
              <w:spacing w:before="120" w:after="120"/>
              <w:ind w:left="1452" w:hanging="1452"/>
              <w:rPr>
                <w:rFonts w:cs="Arial"/>
                <w:b/>
                <w:bCs/>
                <w:sz w:val="16"/>
                <w:szCs w:val="16"/>
              </w:rPr>
            </w:pPr>
            <w:r w:rsidRPr="00E750E0">
              <w:rPr>
                <w:b/>
                <w:sz w:val="16"/>
              </w:rPr>
              <w:t>Résultat escompté</w:t>
            </w:r>
            <w:r w:rsidR="0010442A" w:rsidRPr="00E750E0">
              <w:rPr>
                <w:b/>
                <w:sz w:val="16"/>
              </w:rPr>
              <w:t xml:space="preserve"> : </w:t>
            </w:r>
            <w:r w:rsidRPr="00E750E0">
              <w:rPr>
                <w:b/>
                <w:sz w:val="16"/>
              </w:rPr>
              <w:tab/>
            </w:r>
            <w:r w:rsidRPr="00E750E0">
              <w:rPr>
                <w:sz w:val="16"/>
              </w:rPr>
              <w:t>Amélioration globale du système du PC</w:t>
            </w:r>
          </w:p>
        </w:tc>
      </w:tr>
      <w:tr w:rsidR="00E750E0" w:rsidRPr="00E750E0" w:rsidTr="00E750E0">
        <w:trPr>
          <w:cantSplit/>
        </w:trPr>
        <w:tc>
          <w:tcPr>
            <w:tcW w:w="1135" w:type="pct"/>
            <w:gridSpan w:val="2"/>
            <w:tcBorders>
              <w:top w:val="single" w:sz="4" w:space="0" w:color="auto"/>
            </w:tcBorders>
            <w:shd w:val="clear" w:color="auto" w:fill="auto"/>
            <w:vAlign w:val="center"/>
          </w:tcPr>
          <w:p w:rsidR="0096696E" w:rsidRPr="00E750E0" w:rsidRDefault="0096696E" w:rsidP="00E750E0">
            <w:pPr>
              <w:spacing w:after="40"/>
              <w:rPr>
                <w:rFonts w:cs="Arial"/>
                <w:b/>
                <w:sz w:val="16"/>
                <w:szCs w:val="16"/>
              </w:rPr>
            </w:pPr>
            <w:r w:rsidRPr="00E750E0">
              <w:rPr>
                <w:b/>
                <w:sz w:val="16"/>
              </w:rPr>
              <w:t>Indicateurs d</w:t>
            </w:r>
            <w:r w:rsidR="00A20444" w:rsidRPr="00E750E0">
              <w:rPr>
                <w:b/>
                <w:sz w:val="16"/>
              </w:rPr>
              <w:t>’</w:t>
            </w:r>
            <w:r w:rsidRPr="00E750E0">
              <w:rPr>
                <w:b/>
                <w:sz w:val="16"/>
              </w:rPr>
              <w:t>exécution</w:t>
            </w:r>
          </w:p>
        </w:tc>
        <w:tc>
          <w:tcPr>
            <w:tcW w:w="624" w:type="pct"/>
            <w:tcBorders>
              <w:top w:val="single" w:sz="4" w:space="0" w:color="auto"/>
            </w:tcBorders>
            <w:shd w:val="clear" w:color="auto" w:fill="auto"/>
            <w:vAlign w:val="center"/>
          </w:tcPr>
          <w:p w:rsidR="0096696E" w:rsidRPr="00E750E0" w:rsidRDefault="0096696E" w:rsidP="00E750E0">
            <w:pPr>
              <w:spacing w:after="40"/>
              <w:rPr>
                <w:rFonts w:cs="Arial"/>
                <w:b/>
                <w:bCs/>
                <w:sz w:val="16"/>
                <w:szCs w:val="16"/>
              </w:rPr>
            </w:pPr>
            <w:r w:rsidRPr="00E750E0">
              <w:rPr>
                <w:b/>
                <w:sz w:val="16"/>
              </w:rPr>
              <w:t>Niveaux de référence</w:t>
            </w:r>
          </w:p>
        </w:tc>
        <w:tc>
          <w:tcPr>
            <w:tcW w:w="738" w:type="pct"/>
            <w:gridSpan w:val="3"/>
            <w:tcBorders>
              <w:top w:val="single" w:sz="4" w:space="0" w:color="auto"/>
            </w:tcBorders>
            <w:shd w:val="clear" w:color="auto" w:fill="auto"/>
            <w:tcMar>
              <w:top w:w="110" w:type="dxa"/>
            </w:tcMar>
            <w:vAlign w:val="center"/>
          </w:tcPr>
          <w:p w:rsidR="0096696E" w:rsidRPr="00E750E0" w:rsidRDefault="0096696E" w:rsidP="00E750E0">
            <w:pPr>
              <w:spacing w:after="40"/>
              <w:rPr>
                <w:rFonts w:cs="Arial"/>
                <w:b/>
                <w:sz w:val="16"/>
                <w:szCs w:val="16"/>
              </w:rPr>
            </w:pPr>
            <w:r w:rsidRPr="00E750E0">
              <w:rPr>
                <w:b/>
                <w:sz w:val="16"/>
              </w:rPr>
              <w:t>Objectifs visés</w:t>
            </w:r>
          </w:p>
        </w:tc>
        <w:tc>
          <w:tcPr>
            <w:tcW w:w="1969" w:type="pct"/>
            <w:gridSpan w:val="3"/>
            <w:tcBorders>
              <w:top w:val="single" w:sz="4" w:space="0" w:color="auto"/>
            </w:tcBorders>
            <w:shd w:val="clear" w:color="auto" w:fill="FFFFFF"/>
            <w:tcMar>
              <w:top w:w="110" w:type="dxa"/>
            </w:tcMar>
            <w:vAlign w:val="center"/>
          </w:tcPr>
          <w:p w:rsidR="0096696E" w:rsidRPr="00E750E0" w:rsidRDefault="0096696E" w:rsidP="00E750E0">
            <w:pPr>
              <w:spacing w:after="40"/>
              <w:rPr>
                <w:rFonts w:cs="Arial"/>
                <w:b/>
                <w:sz w:val="16"/>
                <w:szCs w:val="16"/>
              </w:rPr>
            </w:pPr>
            <w:r w:rsidRPr="00E750E0">
              <w:rPr>
                <w:b/>
                <w:sz w:val="16"/>
              </w:rPr>
              <w:t>Données relatives à l</w:t>
            </w:r>
            <w:r w:rsidR="00A20444" w:rsidRPr="00E750E0">
              <w:rPr>
                <w:b/>
                <w:sz w:val="16"/>
              </w:rPr>
              <w:t>’</w:t>
            </w:r>
            <w:r w:rsidRPr="00E750E0">
              <w:rPr>
                <w:b/>
                <w:sz w:val="16"/>
              </w:rPr>
              <w:t>exécution</w:t>
            </w:r>
          </w:p>
        </w:tc>
        <w:tc>
          <w:tcPr>
            <w:tcW w:w="534" w:type="pct"/>
            <w:tcBorders>
              <w:top w:val="single" w:sz="4" w:space="0" w:color="auto"/>
            </w:tcBorders>
            <w:shd w:val="clear" w:color="auto" w:fill="auto"/>
            <w:tcMar>
              <w:top w:w="110" w:type="dxa"/>
            </w:tcMar>
            <w:vAlign w:val="center"/>
          </w:tcPr>
          <w:p w:rsidR="0096696E" w:rsidRPr="00E750E0" w:rsidRDefault="0096696E" w:rsidP="00E750E0">
            <w:pPr>
              <w:spacing w:after="40"/>
              <w:jc w:val="center"/>
              <w:rPr>
                <w:rFonts w:cs="Arial"/>
                <w:b/>
                <w:bCs/>
                <w:sz w:val="16"/>
                <w:szCs w:val="16"/>
              </w:rPr>
            </w:pPr>
            <w:r w:rsidRPr="00E750E0">
              <w:rPr>
                <w:b/>
                <w:sz w:val="16"/>
              </w:rPr>
              <w:t>Code de couleurs</w:t>
            </w:r>
          </w:p>
        </w:tc>
      </w:tr>
      <w:tr w:rsidR="0096696E" w:rsidRPr="005C7CCE" w:rsidTr="00E750E0">
        <w:trPr>
          <w:cantSplit/>
        </w:trPr>
        <w:tc>
          <w:tcPr>
            <w:tcW w:w="1135" w:type="pct"/>
            <w:gridSpan w:val="2"/>
            <w:tcBorders>
              <w:bottom w:val="single" w:sz="4" w:space="0" w:color="auto"/>
            </w:tcBorders>
            <w:shd w:val="clear" w:color="auto" w:fill="FFFFFF"/>
          </w:tcPr>
          <w:p w:rsidR="00D42474" w:rsidRDefault="0096696E" w:rsidP="00E750E0">
            <w:pPr>
              <w:rPr>
                <w:sz w:val="16"/>
              </w:rPr>
            </w:pPr>
            <w:r w:rsidRPr="005C7CCE">
              <w:rPr>
                <w:sz w:val="16"/>
              </w:rPr>
              <w:t xml:space="preserve">Poursuite des progrès en matière de mise en œuvre des recommandations avalisées par le </w:t>
            </w:r>
            <w:r w:rsidR="0010442A" w:rsidRPr="005C7CCE">
              <w:rPr>
                <w:sz w:val="16"/>
              </w:rPr>
              <w:t>Groupe</w:t>
            </w:r>
            <w:r w:rsidRPr="005C7CCE">
              <w:rPr>
                <w:sz w:val="16"/>
              </w:rPr>
              <w:t xml:space="preserve"> de travail du PCT en 2010 quant à la manière d</w:t>
            </w:r>
            <w:r w:rsidR="00A20444" w:rsidRPr="005C7CCE">
              <w:rPr>
                <w:sz w:val="16"/>
              </w:rPr>
              <w:t>’</w:t>
            </w:r>
            <w:r w:rsidRPr="005C7CCE">
              <w:rPr>
                <w:sz w:val="16"/>
              </w:rPr>
              <w:t>améliorer le fonctionnement du PCT, en ce qui concerne les six groupes de questions suivants :</w:t>
            </w:r>
          </w:p>
          <w:p w:rsidR="00D42474" w:rsidRDefault="0096696E" w:rsidP="00E750E0">
            <w:pPr>
              <w:rPr>
                <w:sz w:val="16"/>
              </w:rPr>
            </w:pPr>
            <w:r w:rsidRPr="005C7CCE">
              <w:rPr>
                <w:sz w:val="16"/>
              </w:rPr>
              <w:t xml:space="preserve">i) retards de traitement; </w:t>
            </w:r>
            <w:r w:rsidR="0010442A" w:rsidRPr="005C7CCE">
              <w:rPr>
                <w:sz w:val="16"/>
              </w:rPr>
              <w:t xml:space="preserve"> </w:t>
            </w:r>
            <w:r w:rsidRPr="005C7CCE">
              <w:rPr>
                <w:sz w:val="16"/>
              </w:rPr>
              <w:t xml:space="preserve">amélioration de la qualité des brevets délivrés; </w:t>
            </w:r>
            <w:r w:rsidR="0010442A" w:rsidRPr="005C7CCE">
              <w:rPr>
                <w:sz w:val="16"/>
              </w:rPr>
              <w:t xml:space="preserve"> </w:t>
            </w:r>
            <w:r w:rsidRPr="005C7CCE">
              <w:rPr>
                <w:sz w:val="16"/>
              </w:rPr>
              <w:t>ii) respect des délais dans la phase internationale;</w:t>
            </w:r>
            <w:r w:rsidR="0010442A" w:rsidRPr="005C7CCE">
              <w:rPr>
                <w:sz w:val="16"/>
              </w:rPr>
              <w:t xml:space="preserve"> </w:t>
            </w:r>
            <w:r w:rsidRPr="005C7CCE">
              <w:rPr>
                <w:sz w:val="16"/>
              </w:rPr>
              <w:t xml:space="preserve"> iii) qualité de la recherche internationale et de l</w:t>
            </w:r>
            <w:r w:rsidR="00A20444" w:rsidRPr="005C7CCE">
              <w:rPr>
                <w:sz w:val="16"/>
              </w:rPr>
              <w:t>’</w:t>
            </w:r>
            <w:r w:rsidRPr="005C7CCE">
              <w:rPr>
                <w:sz w:val="16"/>
              </w:rPr>
              <w:t>examen préliminaire international;</w:t>
            </w:r>
          </w:p>
          <w:p w:rsidR="00D42474" w:rsidRDefault="0096696E" w:rsidP="00E750E0">
            <w:pPr>
              <w:rPr>
                <w:sz w:val="16"/>
              </w:rPr>
            </w:pPr>
            <w:r w:rsidRPr="005C7CCE">
              <w:rPr>
                <w:sz w:val="16"/>
              </w:rPr>
              <w:t>iv) incitations offertes aux déposants pour qu</w:t>
            </w:r>
            <w:r w:rsidR="00A20444" w:rsidRPr="005C7CCE">
              <w:rPr>
                <w:sz w:val="16"/>
              </w:rPr>
              <w:t>’</w:t>
            </w:r>
            <w:r w:rsidRPr="005C7CCE">
              <w:rPr>
                <w:sz w:val="16"/>
              </w:rPr>
              <w:t xml:space="preserve">ils utilisent le système avec efficacité; </w:t>
            </w:r>
            <w:r w:rsidR="0010442A" w:rsidRPr="005C7CCE">
              <w:rPr>
                <w:sz w:val="16"/>
              </w:rPr>
              <w:t xml:space="preserve"> </w:t>
            </w:r>
            <w:r w:rsidRPr="005C7CCE">
              <w:rPr>
                <w:sz w:val="16"/>
              </w:rPr>
              <w:t>insuffisance des qualifications et de l</w:t>
            </w:r>
            <w:r w:rsidR="00A20444" w:rsidRPr="005C7CCE">
              <w:rPr>
                <w:sz w:val="16"/>
              </w:rPr>
              <w:t>’</w:t>
            </w:r>
            <w:r w:rsidRPr="005C7CCE">
              <w:rPr>
                <w:sz w:val="16"/>
              </w:rPr>
              <w:t>effectif;</w:t>
            </w:r>
          </w:p>
          <w:p w:rsidR="00D42474" w:rsidRDefault="0096696E" w:rsidP="00E750E0">
            <w:pPr>
              <w:rPr>
                <w:sz w:val="16"/>
              </w:rPr>
            </w:pPr>
            <w:r w:rsidRPr="005C7CCE">
              <w:rPr>
                <w:sz w:val="16"/>
              </w:rPr>
              <w:t>v) coûts et autres aspects de l</w:t>
            </w:r>
            <w:r w:rsidR="00A20444" w:rsidRPr="005C7CCE">
              <w:rPr>
                <w:sz w:val="16"/>
              </w:rPr>
              <w:t>’</w:t>
            </w:r>
            <w:r w:rsidRPr="005C7CCE">
              <w:rPr>
                <w:sz w:val="16"/>
              </w:rPr>
              <w:t xml:space="preserve">accessibilité; </w:t>
            </w:r>
            <w:r w:rsidR="0010442A" w:rsidRPr="005C7CCE">
              <w:rPr>
                <w:sz w:val="16"/>
              </w:rPr>
              <w:t xml:space="preserve"> </w:t>
            </w:r>
            <w:r w:rsidRPr="005C7CCE">
              <w:rPr>
                <w:sz w:val="16"/>
              </w:rPr>
              <w:t>cohérence et disponibilité des garanties;</w:t>
            </w:r>
          </w:p>
          <w:p w:rsidR="0096696E" w:rsidRPr="005C7CCE" w:rsidRDefault="0096696E" w:rsidP="00E750E0">
            <w:pPr>
              <w:rPr>
                <w:rFonts w:cs="Arial"/>
                <w:sz w:val="16"/>
                <w:szCs w:val="16"/>
              </w:rPr>
            </w:pPr>
            <w:r w:rsidRPr="005C7CCE">
              <w:rPr>
                <w:sz w:val="16"/>
              </w:rPr>
              <w:t xml:space="preserve">vi) assistance technique; </w:t>
            </w:r>
            <w:r w:rsidR="0010442A" w:rsidRPr="005C7CCE">
              <w:rPr>
                <w:sz w:val="16"/>
              </w:rPr>
              <w:t xml:space="preserve"> </w:t>
            </w:r>
            <w:r w:rsidRPr="005C7CCE">
              <w:rPr>
                <w:sz w:val="16"/>
              </w:rPr>
              <w:t>transfert d</w:t>
            </w:r>
            <w:r w:rsidR="00A20444" w:rsidRPr="005C7CCE">
              <w:rPr>
                <w:sz w:val="16"/>
              </w:rPr>
              <w:t>’</w:t>
            </w:r>
            <w:r w:rsidRPr="005C7CCE">
              <w:rPr>
                <w:sz w:val="16"/>
              </w:rPr>
              <w:t>information et de technologie dans le cadre</w:t>
            </w:r>
            <w:r w:rsidR="00A20444" w:rsidRPr="005C7CCE">
              <w:rPr>
                <w:sz w:val="16"/>
              </w:rPr>
              <w:t xml:space="preserve"> du PCT</w:t>
            </w:r>
            <w:r w:rsidRPr="005C7CCE">
              <w:rPr>
                <w:sz w:val="16"/>
              </w:rPr>
              <w:t>.</w:t>
            </w:r>
          </w:p>
        </w:tc>
        <w:tc>
          <w:tcPr>
            <w:tcW w:w="624" w:type="pct"/>
            <w:tcBorders>
              <w:bottom w:val="single" w:sz="4" w:space="0" w:color="auto"/>
            </w:tcBorders>
            <w:shd w:val="clear" w:color="auto" w:fill="auto"/>
          </w:tcPr>
          <w:p w:rsidR="0096696E" w:rsidRPr="00E750E0" w:rsidRDefault="0096696E" w:rsidP="00E750E0">
            <w:pPr>
              <w:rPr>
                <w:rFonts w:cs="Arial"/>
                <w:sz w:val="16"/>
                <w:szCs w:val="16"/>
              </w:rPr>
            </w:pPr>
            <w:r w:rsidRPr="00E750E0">
              <w:rPr>
                <w:sz w:val="16"/>
              </w:rPr>
              <w:t>Décisions prises par les organes appropriés</w:t>
            </w:r>
            <w:r w:rsidR="00A20444" w:rsidRPr="00E750E0">
              <w:rPr>
                <w:sz w:val="16"/>
              </w:rPr>
              <w:t xml:space="preserve"> du PCT</w:t>
            </w:r>
            <w:r w:rsidRPr="00E750E0">
              <w:rPr>
                <w:sz w:val="16"/>
              </w:rPr>
              <w:t xml:space="preserve"> en</w:t>
            </w:r>
            <w:r w:rsidR="00825154" w:rsidRPr="00E750E0">
              <w:rPr>
                <w:sz w:val="16"/>
              </w:rPr>
              <w:t> </w:t>
            </w:r>
            <w:r w:rsidRPr="00E750E0">
              <w:rPr>
                <w:sz w:val="16"/>
              </w:rPr>
              <w:t>2011</w:t>
            </w:r>
          </w:p>
        </w:tc>
        <w:tc>
          <w:tcPr>
            <w:tcW w:w="738" w:type="pct"/>
            <w:gridSpan w:val="3"/>
            <w:tcBorders>
              <w:bottom w:val="single" w:sz="4" w:space="0" w:color="auto"/>
            </w:tcBorders>
            <w:shd w:val="clear" w:color="auto" w:fill="auto"/>
            <w:tcMar>
              <w:top w:w="110" w:type="dxa"/>
            </w:tcMar>
          </w:tcPr>
          <w:p w:rsidR="0096696E" w:rsidRPr="00E750E0" w:rsidRDefault="0096696E" w:rsidP="00E750E0">
            <w:pPr>
              <w:autoSpaceDE w:val="0"/>
              <w:autoSpaceDN w:val="0"/>
              <w:adjustRightInd w:val="0"/>
              <w:rPr>
                <w:rFonts w:cs="Arial"/>
                <w:sz w:val="16"/>
                <w:szCs w:val="16"/>
              </w:rPr>
            </w:pPr>
            <w:r w:rsidRPr="00E750E0">
              <w:rPr>
                <w:sz w:val="16"/>
              </w:rPr>
              <w:t>Décisions prises par les organes appropriés</w:t>
            </w:r>
            <w:r w:rsidR="00A20444" w:rsidRPr="00E750E0">
              <w:rPr>
                <w:sz w:val="16"/>
              </w:rPr>
              <w:t xml:space="preserve"> du PCT</w:t>
            </w:r>
            <w:r w:rsidRPr="00E750E0">
              <w:rPr>
                <w:sz w:val="16"/>
              </w:rPr>
              <w:t xml:space="preserve"> en</w:t>
            </w:r>
            <w:r w:rsidR="0010442A" w:rsidRPr="00E750E0">
              <w:rPr>
                <w:sz w:val="16"/>
              </w:rPr>
              <w:t> </w:t>
            </w:r>
            <w:r w:rsidRPr="00E750E0">
              <w:rPr>
                <w:sz w:val="16"/>
              </w:rPr>
              <w:t>2013</w:t>
            </w:r>
          </w:p>
        </w:tc>
        <w:tc>
          <w:tcPr>
            <w:tcW w:w="1969" w:type="pct"/>
            <w:gridSpan w:val="3"/>
            <w:tcBorders>
              <w:bottom w:val="single" w:sz="4" w:space="0" w:color="auto"/>
            </w:tcBorders>
            <w:shd w:val="clear" w:color="auto" w:fill="FFFFFF"/>
            <w:tcMar>
              <w:top w:w="110" w:type="dxa"/>
            </w:tcMar>
          </w:tcPr>
          <w:p w:rsidR="00D42474" w:rsidRDefault="0096696E" w:rsidP="00E750E0">
            <w:pPr>
              <w:rPr>
                <w:rFonts w:cs="Arial"/>
                <w:sz w:val="16"/>
                <w:szCs w:val="16"/>
              </w:rPr>
            </w:pPr>
            <w:r w:rsidRPr="005C7CCE">
              <w:rPr>
                <w:sz w:val="16"/>
                <w:szCs w:val="16"/>
              </w:rPr>
              <w:t>Des progrès majeurs ont été faits au cours de l</w:t>
            </w:r>
            <w:r w:rsidR="00A20444" w:rsidRPr="005C7CCE">
              <w:rPr>
                <w:sz w:val="16"/>
                <w:szCs w:val="16"/>
              </w:rPr>
              <w:t>’</w:t>
            </w:r>
            <w:r w:rsidRPr="005C7CCE">
              <w:rPr>
                <w:sz w:val="16"/>
                <w:szCs w:val="16"/>
              </w:rPr>
              <w:t>exercice biennal 2012</w:t>
            </w:r>
            <w:r w:rsidR="002D6F2A" w:rsidRPr="005C7CCE">
              <w:rPr>
                <w:sz w:val="16"/>
                <w:szCs w:val="16"/>
              </w:rPr>
              <w:noBreakHyphen/>
            </w:r>
            <w:r w:rsidRPr="005C7CCE">
              <w:rPr>
                <w:sz w:val="16"/>
                <w:szCs w:val="16"/>
              </w:rPr>
              <w:t>2013, conformément à la feuille de route du PCT, dans les domaines suivants : a) l</w:t>
            </w:r>
            <w:r w:rsidR="00A20444" w:rsidRPr="005C7CCE">
              <w:rPr>
                <w:sz w:val="16"/>
                <w:szCs w:val="16"/>
              </w:rPr>
              <w:t>’</w:t>
            </w:r>
            <w:r w:rsidRPr="005C7CCE">
              <w:rPr>
                <w:sz w:val="16"/>
                <w:szCs w:val="16"/>
              </w:rPr>
              <w:t>ordre du jour du PCT met désormais en exergue la question de la qualité des produits des travaux, y compris des rapports de recherche internationaux et des opinions écrites, ainsi que des activités d</w:t>
            </w:r>
            <w:r w:rsidR="00A20444" w:rsidRPr="005C7CCE">
              <w:rPr>
                <w:sz w:val="16"/>
                <w:szCs w:val="16"/>
              </w:rPr>
              <w:t>’</w:t>
            </w:r>
            <w:r w:rsidRPr="005C7CCE">
              <w:rPr>
                <w:sz w:val="16"/>
                <w:szCs w:val="16"/>
              </w:rPr>
              <w:t xml:space="preserve">administration du Bureau international et des offices; </w:t>
            </w:r>
            <w:r w:rsidR="0010442A" w:rsidRPr="005C7CCE">
              <w:rPr>
                <w:sz w:val="16"/>
                <w:szCs w:val="16"/>
              </w:rPr>
              <w:t xml:space="preserve"> </w:t>
            </w:r>
            <w:r w:rsidRPr="005C7CCE">
              <w:rPr>
                <w:sz w:val="16"/>
                <w:szCs w:val="16"/>
              </w:rPr>
              <w:t>b) les parties prenantes au niveau national reconnaissent l</w:t>
            </w:r>
            <w:r w:rsidR="00A20444" w:rsidRPr="005C7CCE">
              <w:rPr>
                <w:sz w:val="16"/>
                <w:szCs w:val="16"/>
              </w:rPr>
              <w:t>’</w:t>
            </w:r>
            <w:r w:rsidRPr="005C7CCE">
              <w:rPr>
                <w:sz w:val="16"/>
                <w:szCs w:val="16"/>
              </w:rPr>
              <w:t>utilité des produits de haute qualité du PCT et l</w:t>
            </w:r>
            <w:r w:rsidR="00A20444" w:rsidRPr="005C7CCE">
              <w:rPr>
                <w:sz w:val="16"/>
                <w:szCs w:val="16"/>
              </w:rPr>
              <w:t>’</w:t>
            </w:r>
            <w:r w:rsidRPr="005C7CCE">
              <w:rPr>
                <w:sz w:val="16"/>
                <w:szCs w:val="16"/>
              </w:rPr>
              <w:t>importance de l</w:t>
            </w:r>
            <w:r w:rsidR="00A20444" w:rsidRPr="005C7CCE">
              <w:rPr>
                <w:sz w:val="16"/>
                <w:szCs w:val="16"/>
              </w:rPr>
              <w:t>’</w:t>
            </w:r>
            <w:r w:rsidRPr="005C7CCE">
              <w:rPr>
                <w:sz w:val="16"/>
                <w:szCs w:val="16"/>
              </w:rPr>
              <w:t>intégration appropriée de ces produits dans les procédures nationales d</w:t>
            </w:r>
            <w:r w:rsidR="00A20444" w:rsidRPr="005C7CCE">
              <w:rPr>
                <w:sz w:val="16"/>
                <w:szCs w:val="16"/>
              </w:rPr>
              <w:t>’</w:t>
            </w:r>
            <w:r w:rsidRPr="005C7CCE">
              <w:rPr>
                <w:sz w:val="16"/>
                <w:szCs w:val="16"/>
              </w:rPr>
              <w:t>octroi de brevets, ainsi que, d</w:t>
            </w:r>
            <w:r w:rsidR="00A20444" w:rsidRPr="005C7CCE">
              <w:rPr>
                <w:sz w:val="16"/>
                <w:szCs w:val="16"/>
              </w:rPr>
              <w:t>’</w:t>
            </w:r>
            <w:r w:rsidRPr="005C7CCE">
              <w:rPr>
                <w:sz w:val="16"/>
                <w:szCs w:val="16"/>
              </w:rPr>
              <w:t>une manière plus générale, l</w:t>
            </w:r>
            <w:r w:rsidR="00A20444" w:rsidRPr="005C7CCE">
              <w:rPr>
                <w:sz w:val="16"/>
                <w:szCs w:val="16"/>
              </w:rPr>
              <w:t>’</w:t>
            </w:r>
            <w:r w:rsidRPr="005C7CCE">
              <w:rPr>
                <w:sz w:val="16"/>
                <w:szCs w:val="16"/>
              </w:rPr>
              <w:t xml:space="preserve">importance du rôle du PCT dans le fonctionnement du système international des brevets; </w:t>
            </w:r>
            <w:r w:rsidR="0010442A" w:rsidRPr="005C7CCE">
              <w:rPr>
                <w:sz w:val="16"/>
                <w:szCs w:val="16"/>
              </w:rPr>
              <w:t xml:space="preserve"> </w:t>
            </w:r>
            <w:r w:rsidRPr="005C7CCE">
              <w:rPr>
                <w:sz w:val="16"/>
                <w:szCs w:val="16"/>
              </w:rPr>
              <w:t xml:space="preserve">c) les parties concernées comprennent mieux le rôle joué par le PCT en matière de diffusion efficace des informations techniques; </w:t>
            </w:r>
            <w:r w:rsidR="0010442A" w:rsidRPr="005C7CCE">
              <w:rPr>
                <w:sz w:val="16"/>
                <w:szCs w:val="16"/>
              </w:rPr>
              <w:t xml:space="preserve"> </w:t>
            </w:r>
            <w:r w:rsidRPr="005C7CCE">
              <w:rPr>
                <w:sz w:val="16"/>
                <w:szCs w:val="16"/>
              </w:rPr>
              <w:t>et d) les besoins des États contractants relatifs à la qualité des dépôts internationaux et des produits des travaux du PCT, la capacité des États contractants à effectuer leurs propres recherches et examens, et la nécessité de fournir une assistance technique continue aux pays en développement et aux PMA à cet égard sont mieux compris.</w:t>
            </w:r>
          </w:p>
          <w:p w:rsidR="00D42474" w:rsidRDefault="00D42474" w:rsidP="00E750E0">
            <w:pPr>
              <w:rPr>
                <w:rFonts w:cs="Arial"/>
                <w:sz w:val="16"/>
                <w:szCs w:val="16"/>
              </w:rPr>
            </w:pPr>
          </w:p>
          <w:p w:rsidR="0096696E" w:rsidRPr="005C7CCE" w:rsidRDefault="0096696E" w:rsidP="00E750E0">
            <w:pPr>
              <w:rPr>
                <w:rFonts w:cs="Arial"/>
                <w:sz w:val="16"/>
                <w:szCs w:val="16"/>
              </w:rPr>
            </w:pPr>
            <w:r w:rsidRPr="005C7CCE">
              <w:rPr>
                <w:sz w:val="16"/>
              </w:rPr>
              <w:t>Le système ePCT a été mis à la disposition des offices ainsi que des déposants et offre un large éventail de nouvelles fonctions et de nouveaux services qui contribueront à un traitement plus rapide et plus homogène en phase internationale, avec un risque réduit d</w:t>
            </w:r>
            <w:r w:rsidR="00A20444" w:rsidRPr="005C7CCE">
              <w:rPr>
                <w:sz w:val="16"/>
              </w:rPr>
              <w:t>’</w:t>
            </w:r>
            <w:r w:rsidRPr="005C7CCE">
              <w:rPr>
                <w:sz w:val="16"/>
              </w:rPr>
              <w:t>erreurs.</w:t>
            </w:r>
          </w:p>
        </w:tc>
        <w:tc>
          <w:tcPr>
            <w:tcW w:w="534" w:type="pct"/>
            <w:tcBorders>
              <w:bottom w:val="single" w:sz="4" w:space="0" w:color="auto"/>
            </w:tcBorders>
            <w:shd w:val="clear" w:color="auto" w:fill="auto"/>
            <w:tcMar>
              <w:top w:w="110" w:type="dxa"/>
            </w:tcMar>
          </w:tcPr>
          <w:p w:rsidR="0096696E" w:rsidRPr="005C7CCE" w:rsidRDefault="0096696E" w:rsidP="00E750E0">
            <w:pPr>
              <w:jc w:val="center"/>
              <w:rPr>
                <w:rFonts w:cs="Arial"/>
                <w:bCs/>
                <w:color w:val="008000"/>
                <w:sz w:val="16"/>
                <w:szCs w:val="16"/>
              </w:rPr>
            </w:pPr>
            <w:r w:rsidRPr="00B470C6">
              <w:rPr>
                <w:color w:val="008000"/>
                <w:sz w:val="16"/>
              </w:rPr>
              <w:t>Objectif pleinement atteint</w:t>
            </w:r>
          </w:p>
        </w:tc>
      </w:tr>
      <w:tr w:rsidR="00E750E0" w:rsidRPr="00E750E0" w:rsidTr="00825154">
        <w:trPr>
          <w:cantSplit/>
        </w:trPr>
        <w:tc>
          <w:tcPr>
            <w:tcW w:w="5000" w:type="pct"/>
            <w:gridSpan w:val="10"/>
            <w:tcBorders>
              <w:top w:val="single" w:sz="4" w:space="0" w:color="auto"/>
              <w:bottom w:val="single" w:sz="4" w:space="0" w:color="auto"/>
            </w:tcBorders>
            <w:shd w:val="clear" w:color="auto" w:fill="CCFFFF"/>
            <w:vAlign w:val="center"/>
          </w:tcPr>
          <w:p w:rsidR="0096696E" w:rsidRPr="00E750E0" w:rsidRDefault="0096696E" w:rsidP="00E750E0">
            <w:pPr>
              <w:keepNext/>
              <w:keepLines/>
              <w:tabs>
                <w:tab w:val="left" w:pos="1452"/>
              </w:tabs>
              <w:spacing w:before="120" w:after="120"/>
              <w:ind w:left="1452" w:hanging="1452"/>
              <w:rPr>
                <w:rFonts w:cs="Arial"/>
                <w:b/>
                <w:bCs/>
                <w:sz w:val="16"/>
                <w:szCs w:val="16"/>
              </w:rPr>
            </w:pPr>
            <w:r w:rsidRPr="00E750E0">
              <w:rPr>
                <w:b/>
                <w:sz w:val="16"/>
              </w:rPr>
              <w:t>Résultat escompté</w:t>
            </w:r>
            <w:r w:rsidR="0010442A" w:rsidRPr="00E750E0">
              <w:rPr>
                <w:b/>
                <w:sz w:val="16"/>
              </w:rPr>
              <w:t xml:space="preserve"> : </w:t>
            </w:r>
            <w:r w:rsidRPr="00E750E0">
              <w:rPr>
                <w:b/>
                <w:sz w:val="16"/>
              </w:rPr>
              <w:tab/>
            </w:r>
            <w:r w:rsidRPr="00E750E0">
              <w:rPr>
                <w:sz w:val="16"/>
              </w:rPr>
              <w:t>Amélioration du fonctionnement du Bureau international (voir l</w:t>
            </w:r>
            <w:r w:rsidR="00A20444" w:rsidRPr="00E750E0">
              <w:rPr>
                <w:sz w:val="16"/>
              </w:rPr>
              <w:t>’</w:t>
            </w:r>
            <w:r w:rsidRPr="00E750E0">
              <w:rPr>
                <w:sz w:val="16"/>
              </w:rPr>
              <w:t>annexe VI)</w:t>
            </w:r>
          </w:p>
        </w:tc>
      </w:tr>
      <w:tr w:rsidR="00E750E0" w:rsidRPr="00E750E0" w:rsidTr="00E750E0">
        <w:trPr>
          <w:cantSplit/>
        </w:trPr>
        <w:tc>
          <w:tcPr>
            <w:tcW w:w="844" w:type="pct"/>
            <w:tcBorders>
              <w:top w:val="single" w:sz="4" w:space="0" w:color="auto"/>
            </w:tcBorders>
            <w:shd w:val="clear" w:color="auto" w:fill="auto"/>
            <w:vAlign w:val="center"/>
          </w:tcPr>
          <w:p w:rsidR="0096696E" w:rsidRPr="00E750E0" w:rsidRDefault="0096696E" w:rsidP="00E750E0">
            <w:pPr>
              <w:keepNext/>
              <w:keepLines/>
              <w:spacing w:after="40"/>
              <w:rPr>
                <w:rFonts w:cs="Arial"/>
                <w:b/>
                <w:sz w:val="16"/>
                <w:szCs w:val="16"/>
              </w:rPr>
            </w:pPr>
            <w:r w:rsidRPr="00E750E0">
              <w:rPr>
                <w:b/>
                <w:sz w:val="16"/>
              </w:rPr>
              <w:t>Indicateurs d</w:t>
            </w:r>
            <w:r w:rsidR="00A20444" w:rsidRPr="00E750E0">
              <w:rPr>
                <w:b/>
                <w:sz w:val="16"/>
              </w:rPr>
              <w:t>’</w:t>
            </w:r>
            <w:r w:rsidRPr="00E750E0">
              <w:rPr>
                <w:b/>
                <w:sz w:val="16"/>
              </w:rPr>
              <w:t>exécution</w:t>
            </w:r>
          </w:p>
        </w:tc>
        <w:tc>
          <w:tcPr>
            <w:tcW w:w="1125" w:type="pct"/>
            <w:gridSpan w:val="3"/>
            <w:tcBorders>
              <w:top w:val="single" w:sz="4" w:space="0" w:color="auto"/>
            </w:tcBorders>
            <w:shd w:val="clear" w:color="auto" w:fill="auto"/>
            <w:vAlign w:val="center"/>
          </w:tcPr>
          <w:p w:rsidR="0096696E" w:rsidRPr="00E750E0" w:rsidRDefault="0096696E" w:rsidP="00E750E0">
            <w:pPr>
              <w:keepNext/>
              <w:keepLines/>
              <w:spacing w:after="40"/>
              <w:rPr>
                <w:rFonts w:cs="Arial"/>
                <w:b/>
                <w:bCs/>
                <w:sz w:val="16"/>
                <w:szCs w:val="16"/>
              </w:rPr>
            </w:pPr>
            <w:r w:rsidRPr="00E750E0">
              <w:rPr>
                <w:b/>
                <w:sz w:val="16"/>
              </w:rPr>
              <w:t>Niveaux de référence</w:t>
            </w:r>
          </w:p>
        </w:tc>
        <w:tc>
          <w:tcPr>
            <w:tcW w:w="911" w:type="pct"/>
            <w:gridSpan w:val="3"/>
            <w:tcBorders>
              <w:top w:val="single" w:sz="4" w:space="0" w:color="auto"/>
            </w:tcBorders>
            <w:shd w:val="clear" w:color="auto" w:fill="auto"/>
            <w:tcMar>
              <w:top w:w="110" w:type="dxa"/>
            </w:tcMar>
            <w:vAlign w:val="center"/>
          </w:tcPr>
          <w:p w:rsidR="0096696E" w:rsidRPr="00E750E0" w:rsidRDefault="0096696E" w:rsidP="00E750E0">
            <w:pPr>
              <w:keepNext/>
              <w:keepLines/>
              <w:spacing w:after="40"/>
              <w:rPr>
                <w:rFonts w:cs="Arial"/>
                <w:b/>
                <w:sz w:val="16"/>
                <w:szCs w:val="16"/>
              </w:rPr>
            </w:pPr>
            <w:r w:rsidRPr="00E750E0">
              <w:rPr>
                <w:b/>
                <w:sz w:val="16"/>
              </w:rPr>
              <w:t>Objectifs visés</w:t>
            </w:r>
          </w:p>
        </w:tc>
        <w:tc>
          <w:tcPr>
            <w:tcW w:w="1586" w:type="pct"/>
            <w:gridSpan w:val="2"/>
            <w:tcBorders>
              <w:top w:val="single" w:sz="4" w:space="0" w:color="auto"/>
            </w:tcBorders>
            <w:shd w:val="clear" w:color="auto" w:fill="FFFFFF"/>
            <w:tcMar>
              <w:top w:w="110" w:type="dxa"/>
            </w:tcMar>
            <w:vAlign w:val="center"/>
          </w:tcPr>
          <w:p w:rsidR="0096696E" w:rsidRPr="00E750E0" w:rsidRDefault="0096696E" w:rsidP="00E750E0">
            <w:pPr>
              <w:keepNext/>
              <w:keepLines/>
              <w:spacing w:after="40"/>
              <w:rPr>
                <w:rFonts w:cs="Arial"/>
                <w:b/>
                <w:sz w:val="16"/>
                <w:szCs w:val="16"/>
              </w:rPr>
            </w:pPr>
            <w:r w:rsidRPr="00E750E0">
              <w:rPr>
                <w:b/>
                <w:sz w:val="16"/>
              </w:rPr>
              <w:t>Données relatives à l</w:t>
            </w:r>
            <w:r w:rsidR="00A20444" w:rsidRPr="00E750E0">
              <w:rPr>
                <w:b/>
                <w:sz w:val="16"/>
              </w:rPr>
              <w:t>’</w:t>
            </w:r>
            <w:r w:rsidRPr="00E750E0">
              <w:rPr>
                <w:b/>
                <w:sz w:val="16"/>
              </w:rPr>
              <w:t>exécution</w:t>
            </w:r>
          </w:p>
        </w:tc>
        <w:tc>
          <w:tcPr>
            <w:tcW w:w="534" w:type="pct"/>
            <w:tcBorders>
              <w:top w:val="single" w:sz="4" w:space="0" w:color="auto"/>
            </w:tcBorders>
            <w:shd w:val="clear" w:color="auto" w:fill="auto"/>
            <w:tcMar>
              <w:top w:w="110" w:type="dxa"/>
            </w:tcMar>
            <w:vAlign w:val="center"/>
          </w:tcPr>
          <w:p w:rsidR="0096696E" w:rsidRPr="00E750E0" w:rsidRDefault="0096696E" w:rsidP="00E750E0">
            <w:pPr>
              <w:keepNext/>
              <w:keepLines/>
              <w:spacing w:after="40"/>
              <w:jc w:val="center"/>
              <w:rPr>
                <w:rFonts w:cs="Arial"/>
                <w:b/>
                <w:bCs/>
                <w:sz w:val="16"/>
                <w:szCs w:val="16"/>
              </w:rPr>
            </w:pPr>
            <w:r w:rsidRPr="00E750E0">
              <w:rPr>
                <w:b/>
                <w:sz w:val="16"/>
              </w:rPr>
              <w:t>Code de couleurs</w:t>
            </w:r>
          </w:p>
        </w:tc>
      </w:tr>
      <w:tr w:rsidR="0096696E" w:rsidRPr="005C7CCE" w:rsidTr="00E750E0">
        <w:trPr>
          <w:cantSplit/>
        </w:trPr>
        <w:tc>
          <w:tcPr>
            <w:tcW w:w="844" w:type="pct"/>
            <w:shd w:val="clear" w:color="auto" w:fill="FFFFFF"/>
          </w:tcPr>
          <w:p w:rsidR="0096696E" w:rsidRPr="005C7CCE" w:rsidRDefault="0096696E" w:rsidP="00E750E0">
            <w:pPr>
              <w:keepNext/>
              <w:keepLines/>
              <w:rPr>
                <w:rFonts w:cs="Arial"/>
                <w:color w:val="008000"/>
                <w:sz w:val="16"/>
                <w:szCs w:val="16"/>
              </w:rPr>
            </w:pPr>
            <w:r w:rsidRPr="00E750E0">
              <w:rPr>
                <w:sz w:val="16"/>
              </w:rPr>
              <w:t>Coût unitaire du traitement d</w:t>
            </w:r>
            <w:r w:rsidR="00A20444" w:rsidRPr="00E750E0">
              <w:rPr>
                <w:sz w:val="16"/>
              </w:rPr>
              <w:t>’</w:t>
            </w:r>
            <w:r w:rsidRPr="00E750E0">
              <w:rPr>
                <w:sz w:val="16"/>
              </w:rPr>
              <w:t>une demande</w:t>
            </w:r>
          </w:p>
        </w:tc>
        <w:tc>
          <w:tcPr>
            <w:tcW w:w="1125" w:type="pct"/>
            <w:gridSpan w:val="3"/>
            <w:shd w:val="clear" w:color="auto" w:fill="auto"/>
          </w:tcPr>
          <w:p w:rsidR="00D42474" w:rsidRDefault="0096696E" w:rsidP="00E750E0">
            <w:pPr>
              <w:pStyle w:val="Default"/>
              <w:keepNext/>
              <w:keepLines/>
              <w:rPr>
                <w:color w:val="002060"/>
                <w:sz w:val="16"/>
              </w:rPr>
            </w:pPr>
            <w:r w:rsidRPr="005C7CCE">
              <w:rPr>
                <w:i/>
                <w:color w:val="002060"/>
                <w:sz w:val="16"/>
              </w:rPr>
              <w:t>Niveau de référence actualisé fin 2011 :</w:t>
            </w:r>
          </w:p>
          <w:p w:rsidR="00D42474" w:rsidRDefault="0096696E" w:rsidP="00E750E0">
            <w:pPr>
              <w:keepNext/>
              <w:keepLines/>
              <w:rPr>
                <w:rFonts w:cs="Arial"/>
                <w:color w:val="002060"/>
                <w:sz w:val="16"/>
                <w:szCs w:val="16"/>
              </w:rPr>
            </w:pPr>
            <w:r w:rsidRPr="00E750E0">
              <w:rPr>
                <w:color w:val="002060"/>
                <w:sz w:val="16"/>
              </w:rPr>
              <w:t>747 francs suisses</w:t>
            </w:r>
          </w:p>
          <w:p w:rsidR="00D42474" w:rsidRDefault="00D42474" w:rsidP="00E750E0">
            <w:pPr>
              <w:keepNext/>
              <w:keepLines/>
              <w:rPr>
                <w:rFonts w:cs="Arial"/>
                <w:i/>
                <w:sz w:val="8"/>
                <w:szCs w:val="8"/>
              </w:rPr>
            </w:pPr>
          </w:p>
          <w:p w:rsidR="0096696E" w:rsidRPr="005C7CCE" w:rsidRDefault="0096696E" w:rsidP="00E750E0">
            <w:pPr>
              <w:keepNext/>
              <w:keepLines/>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750E0">
              <w:rPr>
                <w:sz w:val="16"/>
              </w:rPr>
              <w:t>c</w:t>
            </w:r>
            <w:r w:rsidRPr="005C7CCE">
              <w:rPr>
                <w:sz w:val="16"/>
              </w:rPr>
              <w:t>oût unitaire en 2011</w:t>
            </w:r>
          </w:p>
        </w:tc>
        <w:tc>
          <w:tcPr>
            <w:tcW w:w="911" w:type="pct"/>
            <w:gridSpan w:val="3"/>
            <w:shd w:val="clear" w:color="auto" w:fill="auto"/>
            <w:tcMar>
              <w:top w:w="110" w:type="dxa"/>
            </w:tcMar>
          </w:tcPr>
          <w:p w:rsidR="0096696E" w:rsidRPr="00E750E0" w:rsidRDefault="0096696E" w:rsidP="00E750E0">
            <w:pPr>
              <w:keepNext/>
              <w:keepLines/>
              <w:rPr>
                <w:rFonts w:cs="Arial"/>
                <w:sz w:val="16"/>
                <w:szCs w:val="16"/>
              </w:rPr>
            </w:pPr>
            <w:r w:rsidRPr="00E750E0">
              <w:rPr>
                <w:sz w:val="16"/>
              </w:rPr>
              <w:t>Amélioration pendant l</w:t>
            </w:r>
            <w:r w:rsidR="00A20444" w:rsidRPr="00E750E0">
              <w:rPr>
                <w:sz w:val="16"/>
              </w:rPr>
              <w:t>’</w:t>
            </w:r>
            <w:r w:rsidRPr="00E750E0">
              <w:rPr>
                <w:sz w:val="16"/>
              </w:rPr>
              <w:t>exercice biennal</w:t>
            </w:r>
          </w:p>
        </w:tc>
        <w:tc>
          <w:tcPr>
            <w:tcW w:w="1586" w:type="pct"/>
            <w:gridSpan w:val="2"/>
            <w:shd w:val="clear" w:color="auto" w:fill="FFFFFF"/>
            <w:tcMar>
              <w:top w:w="110" w:type="dxa"/>
            </w:tcMar>
          </w:tcPr>
          <w:p w:rsidR="00D42474" w:rsidRDefault="0096696E" w:rsidP="00E750E0">
            <w:pPr>
              <w:keepNext/>
              <w:keepLines/>
              <w:rPr>
                <w:rFonts w:cs="Arial"/>
                <w:sz w:val="16"/>
                <w:szCs w:val="16"/>
                <w:lang w:bidi="th-TH"/>
              </w:rPr>
            </w:pPr>
            <w:r w:rsidRPr="00E750E0">
              <w:rPr>
                <w:sz w:val="16"/>
              </w:rPr>
              <w:t>712 francs suisses (2012)</w:t>
            </w:r>
          </w:p>
          <w:p w:rsidR="0096696E" w:rsidRPr="00E750E0" w:rsidRDefault="0096696E" w:rsidP="00E750E0">
            <w:pPr>
              <w:keepNext/>
              <w:keepLines/>
              <w:rPr>
                <w:rFonts w:cs="Arial"/>
                <w:i/>
                <w:sz w:val="16"/>
                <w:szCs w:val="16"/>
                <w:lang w:bidi="th-TH"/>
              </w:rPr>
            </w:pPr>
            <w:r w:rsidRPr="00E750E0">
              <w:rPr>
                <w:sz w:val="16"/>
              </w:rPr>
              <w:t>722 francs suisses (2013)</w:t>
            </w:r>
            <w:r w:rsidRPr="00E750E0">
              <w:rPr>
                <w:rStyle w:val="FootnoteReference"/>
                <w:i/>
                <w:sz w:val="16"/>
              </w:rPr>
              <w:footnoteReference w:id="7"/>
            </w:r>
          </w:p>
        </w:tc>
        <w:tc>
          <w:tcPr>
            <w:tcW w:w="534" w:type="pct"/>
            <w:shd w:val="clear" w:color="auto" w:fill="auto"/>
            <w:tcMar>
              <w:top w:w="110" w:type="dxa"/>
            </w:tcMar>
          </w:tcPr>
          <w:p w:rsidR="0096696E" w:rsidRPr="005C7CCE" w:rsidRDefault="0096696E" w:rsidP="00E750E0">
            <w:pPr>
              <w:keepNext/>
              <w:keepLines/>
              <w:jc w:val="center"/>
              <w:rPr>
                <w:rFonts w:cs="Arial"/>
                <w:bCs/>
                <w:color w:val="008000"/>
                <w:sz w:val="16"/>
                <w:szCs w:val="16"/>
              </w:rPr>
            </w:pPr>
            <w:r w:rsidRPr="00B470C6">
              <w:rPr>
                <w:color w:val="008000"/>
                <w:sz w:val="16"/>
              </w:rPr>
              <w:t>Objectif pleinement atteint</w:t>
            </w:r>
          </w:p>
        </w:tc>
      </w:tr>
      <w:tr w:rsidR="0096696E" w:rsidRPr="005C7CCE" w:rsidTr="00E750E0">
        <w:trPr>
          <w:cantSplit/>
        </w:trPr>
        <w:tc>
          <w:tcPr>
            <w:tcW w:w="844" w:type="pct"/>
            <w:shd w:val="clear" w:color="auto" w:fill="auto"/>
          </w:tcPr>
          <w:p w:rsidR="0096696E" w:rsidRPr="00E750E0" w:rsidRDefault="0096696E" w:rsidP="00E750E0">
            <w:pPr>
              <w:keepNext/>
              <w:keepLines/>
              <w:rPr>
                <w:rFonts w:cs="Arial"/>
                <w:sz w:val="16"/>
                <w:szCs w:val="16"/>
              </w:rPr>
            </w:pPr>
            <w:r w:rsidRPr="00E750E0">
              <w:rPr>
                <w:sz w:val="16"/>
              </w:rPr>
              <w:t>Productivité de l</w:t>
            </w:r>
            <w:r w:rsidR="00A20444" w:rsidRPr="00E750E0">
              <w:rPr>
                <w:sz w:val="16"/>
              </w:rPr>
              <w:t>’</w:t>
            </w:r>
            <w:r w:rsidRPr="00E750E0">
              <w:rPr>
                <w:sz w:val="16"/>
              </w:rPr>
              <w:t>examen des formalités</w:t>
            </w:r>
          </w:p>
        </w:tc>
        <w:tc>
          <w:tcPr>
            <w:tcW w:w="1125" w:type="pct"/>
            <w:gridSpan w:val="3"/>
            <w:shd w:val="clear" w:color="auto" w:fill="auto"/>
          </w:tcPr>
          <w:p w:rsidR="00D42474" w:rsidRDefault="0096696E" w:rsidP="00E750E0">
            <w:pPr>
              <w:pStyle w:val="Default"/>
              <w:keepNext/>
              <w:keepLines/>
              <w:rPr>
                <w:color w:val="002060"/>
                <w:sz w:val="16"/>
                <w:szCs w:val="16"/>
              </w:rPr>
            </w:pPr>
            <w:r w:rsidRPr="005C7CCE">
              <w:rPr>
                <w:i/>
                <w:color w:val="002060"/>
                <w:sz w:val="16"/>
              </w:rPr>
              <w:t xml:space="preserve">Niveau de référence actualisé fin 2011 : </w:t>
            </w:r>
            <w:r w:rsidRPr="005C7CCE">
              <w:rPr>
                <w:color w:val="002060"/>
                <w:sz w:val="16"/>
              </w:rPr>
              <w:t>7</w:t>
            </w:r>
            <w:r w:rsidR="007E442D" w:rsidRPr="005C7CCE">
              <w:rPr>
                <w:color w:val="002060"/>
                <w:sz w:val="16"/>
              </w:rPr>
              <w:t>%</w:t>
            </w:r>
          </w:p>
          <w:p w:rsidR="00D42474" w:rsidRDefault="00D42474" w:rsidP="00E750E0">
            <w:pPr>
              <w:keepNext/>
              <w:keepLines/>
              <w:rPr>
                <w:rFonts w:cs="Arial"/>
                <w:i/>
                <w:sz w:val="8"/>
                <w:szCs w:val="8"/>
              </w:rPr>
            </w:pPr>
          </w:p>
          <w:p w:rsidR="0096696E" w:rsidRPr="005C7CCE" w:rsidRDefault="0096696E" w:rsidP="00E750E0">
            <w:pPr>
              <w:keepNext/>
              <w:keepLines/>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750E0">
              <w:rPr>
                <w:sz w:val="16"/>
              </w:rPr>
              <w:t>p</w:t>
            </w:r>
            <w:r w:rsidRPr="005C7CCE">
              <w:rPr>
                <w:sz w:val="16"/>
              </w:rPr>
              <w:t>roductivité en 2011</w:t>
            </w:r>
          </w:p>
        </w:tc>
        <w:tc>
          <w:tcPr>
            <w:tcW w:w="911" w:type="pct"/>
            <w:gridSpan w:val="3"/>
            <w:shd w:val="clear" w:color="auto" w:fill="auto"/>
            <w:tcMar>
              <w:top w:w="110" w:type="dxa"/>
            </w:tcMar>
          </w:tcPr>
          <w:p w:rsidR="0096696E" w:rsidRPr="00E750E0" w:rsidRDefault="0096696E" w:rsidP="00E750E0">
            <w:pPr>
              <w:keepNext/>
              <w:keepLines/>
              <w:rPr>
                <w:rFonts w:cs="Arial"/>
                <w:sz w:val="16"/>
                <w:szCs w:val="16"/>
              </w:rPr>
            </w:pPr>
            <w:r w:rsidRPr="00E750E0">
              <w:rPr>
                <w:sz w:val="16"/>
              </w:rPr>
              <w:t>Amélioration pendant l</w:t>
            </w:r>
            <w:r w:rsidR="00A20444" w:rsidRPr="00E750E0">
              <w:rPr>
                <w:sz w:val="16"/>
              </w:rPr>
              <w:t>’</w:t>
            </w:r>
            <w:r w:rsidRPr="00E750E0">
              <w:rPr>
                <w:sz w:val="16"/>
              </w:rPr>
              <w:t>exercice biennal</w:t>
            </w:r>
          </w:p>
        </w:tc>
        <w:tc>
          <w:tcPr>
            <w:tcW w:w="1586" w:type="pct"/>
            <w:gridSpan w:val="2"/>
            <w:shd w:val="clear" w:color="auto" w:fill="FFFFFF"/>
            <w:tcMar>
              <w:top w:w="110" w:type="dxa"/>
            </w:tcMar>
          </w:tcPr>
          <w:p w:rsidR="00D42474" w:rsidRDefault="0096696E" w:rsidP="00E750E0">
            <w:pPr>
              <w:keepNext/>
              <w:keepLines/>
              <w:rPr>
                <w:rFonts w:cs="Arial"/>
                <w:sz w:val="16"/>
                <w:szCs w:val="16"/>
                <w:lang w:bidi="th-TH"/>
              </w:rPr>
            </w:pPr>
            <w:r w:rsidRPr="00E750E0">
              <w:rPr>
                <w:sz w:val="16"/>
              </w:rPr>
              <w:t>10</w:t>
            </w:r>
            <w:r w:rsidR="007E442D" w:rsidRPr="00E750E0">
              <w:rPr>
                <w:sz w:val="16"/>
              </w:rPr>
              <w:t>%</w:t>
            </w:r>
            <w:r w:rsidRPr="00E750E0">
              <w:rPr>
                <w:sz w:val="16"/>
              </w:rPr>
              <w:t xml:space="preserve"> (2012)</w:t>
            </w:r>
          </w:p>
          <w:p w:rsidR="0096696E" w:rsidRPr="00E750E0" w:rsidRDefault="0096696E" w:rsidP="00E750E0">
            <w:pPr>
              <w:keepNext/>
              <w:keepLines/>
              <w:rPr>
                <w:rFonts w:cs="Arial"/>
                <w:sz w:val="16"/>
                <w:szCs w:val="16"/>
                <w:lang w:bidi="th-TH"/>
              </w:rPr>
            </w:pPr>
            <w:r w:rsidRPr="00E750E0">
              <w:rPr>
                <w:sz w:val="16"/>
              </w:rPr>
              <w:t>8</w:t>
            </w:r>
            <w:r w:rsidR="007E442D" w:rsidRPr="00E750E0">
              <w:rPr>
                <w:sz w:val="16"/>
              </w:rPr>
              <w:t>%</w:t>
            </w:r>
            <w:r w:rsidRPr="00E750E0">
              <w:rPr>
                <w:sz w:val="16"/>
              </w:rPr>
              <w:t xml:space="preserve"> (2013)</w:t>
            </w:r>
          </w:p>
        </w:tc>
        <w:tc>
          <w:tcPr>
            <w:tcW w:w="534" w:type="pct"/>
            <w:shd w:val="clear" w:color="auto" w:fill="auto"/>
          </w:tcPr>
          <w:p w:rsidR="0096696E" w:rsidRPr="005C7CCE" w:rsidRDefault="0096696E" w:rsidP="00E750E0">
            <w:pPr>
              <w:keepNext/>
              <w:keepLines/>
              <w:jc w:val="center"/>
              <w:rPr>
                <w:rFonts w:cs="Arial"/>
                <w:bCs/>
                <w:color w:val="008000"/>
                <w:sz w:val="16"/>
                <w:szCs w:val="16"/>
              </w:rPr>
            </w:pPr>
            <w:r w:rsidRPr="00B470C6">
              <w:rPr>
                <w:color w:val="008000"/>
                <w:sz w:val="16"/>
              </w:rPr>
              <w:t>Objectif pleinement atteint</w:t>
            </w:r>
          </w:p>
        </w:tc>
      </w:tr>
      <w:tr w:rsidR="0096696E" w:rsidRPr="005C7CCE" w:rsidTr="00E750E0">
        <w:trPr>
          <w:cantSplit/>
        </w:trPr>
        <w:tc>
          <w:tcPr>
            <w:tcW w:w="844" w:type="pct"/>
            <w:shd w:val="clear" w:color="auto" w:fill="auto"/>
          </w:tcPr>
          <w:p w:rsidR="0096696E" w:rsidRPr="00E750E0" w:rsidRDefault="0096696E" w:rsidP="001A5BF9">
            <w:pPr>
              <w:rPr>
                <w:rFonts w:cs="Arial"/>
                <w:sz w:val="16"/>
                <w:szCs w:val="16"/>
              </w:rPr>
            </w:pPr>
            <w:r w:rsidRPr="00E750E0">
              <w:rPr>
                <w:sz w:val="16"/>
              </w:rPr>
              <w:t>Qualité de l</w:t>
            </w:r>
            <w:r w:rsidR="00A20444" w:rsidRPr="00E750E0">
              <w:rPr>
                <w:sz w:val="16"/>
              </w:rPr>
              <w:t>’</w:t>
            </w:r>
            <w:r w:rsidRPr="00E750E0">
              <w:rPr>
                <w:sz w:val="16"/>
              </w:rPr>
              <w:t>examen des formalités</w:t>
            </w:r>
          </w:p>
        </w:tc>
        <w:tc>
          <w:tcPr>
            <w:tcW w:w="1125" w:type="pct"/>
            <w:gridSpan w:val="3"/>
            <w:shd w:val="clear" w:color="auto" w:fill="auto"/>
          </w:tcPr>
          <w:p w:rsidR="00D42474" w:rsidRDefault="0096696E" w:rsidP="001A5BF9">
            <w:pPr>
              <w:pStyle w:val="Default"/>
              <w:rPr>
                <w:color w:val="002060"/>
                <w:sz w:val="16"/>
                <w:szCs w:val="16"/>
              </w:rPr>
            </w:pPr>
            <w:r w:rsidRPr="005C7CCE">
              <w:rPr>
                <w:i/>
                <w:color w:val="002060"/>
                <w:sz w:val="16"/>
              </w:rPr>
              <w:t xml:space="preserve">Niveau de référence actualisé fin 2011 : </w:t>
            </w:r>
            <w:r w:rsidRPr="005C7CCE">
              <w:rPr>
                <w:color w:val="002060"/>
                <w:sz w:val="16"/>
              </w:rPr>
              <w:t>90,56</w:t>
            </w:r>
            <w:r w:rsidR="007E442D" w:rsidRPr="005C7CCE">
              <w:rPr>
                <w:color w:val="002060"/>
                <w:sz w:val="16"/>
              </w:rPr>
              <w:t>%</w:t>
            </w:r>
          </w:p>
          <w:p w:rsidR="00D42474" w:rsidRDefault="00D42474" w:rsidP="001A5BF9">
            <w:pPr>
              <w:rPr>
                <w:rFonts w:cs="Arial"/>
                <w:i/>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750E0">
              <w:rPr>
                <w:sz w:val="16"/>
              </w:rPr>
              <w:t>m</w:t>
            </w:r>
            <w:r w:rsidRPr="005C7CCE">
              <w:rPr>
                <w:sz w:val="16"/>
              </w:rPr>
              <w:t>oyenne des trois dernières années</w:t>
            </w:r>
          </w:p>
        </w:tc>
        <w:tc>
          <w:tcPr>
            <w:tcW w:w="911" w:type="pct"/>
            <w:gridSpan w:val="3"/>
            <w:shd w:val="clear" w:color="auto" w:fill="auto"/>
            <w:tcMar>
              <w:top w:w="110" w:type="dxa"/>
            </w:tcMar>
          </w:tcPr>
          <w:p w:rsidR="0096696E" w:rsidRPr="00E750E0" w:rsidRDefault="0096696E" w:rsidP="001A5BF9">
            <w:pPr>
              <w:autoSpaceDE w:val="0"/>
              <w:autoSpaceDN w:val="0"/>
              <w:adjustRightInd w:val="0"/>
              <w:rPr>
                <w:rFonts w:cs="Arial"/>
                <w:sz w:val="16"/>
                <w:szCs w:val="16"/>
              </w:rPr>
            </w:pPr>
            <w:r w:rsidRPr="00E750E0">
              <w:rPr>
                <w:sz w:val="16"/>
              </w:rPr>
              <w:t>90</w:t>
            </w:r>
            <w:r w:rsidR="007E442D" w:rsidRPr="00E750E0">
              <w:rPr>
                <w:sz w:val="16"/>
              </w:rPr>
              <w:t>%</w:t>
            </w:r>
            <w:r w:rsidRPr="00E750E0">
              <w:rPr>
                <w:sz w:val="16"/>
              </w:rPr>
              <w:t xml:space="preserve"> (moyenne des trois dernières années)</w:t>
            </w:r>
          </w:p>
        </w:tc>
        <w:tc>
          <w:tcPr>
            <w:tcW w:w="1586" w:type="pct"/>
            <w:gridSpan w:val="2"/>
            <w:shd w:val="clear" w:color="auto" w:fill="FFFFFF"/>
            <w:tcMar>
              <w:top w:w="110" w:type="dxa"/>
            </w:tcMar>
          </w:tcPr>
          <w:p w:rsidR="00D42474" w:rsidRDefault="0096696E" w:rsidP="001A5BF9">
            <w:pPr>
              <w:rPr>
                <w:rFonts w:cs="Arial"/>
                <w:sz w:val="16"/>
                <w:szCs w:val="16"/>
                <w:lang w:bidi="th-TH"/>
              </w:rPr>
            </w:pPr>
            <w:r w:rsidRPr="00E750E0">
              <w:rPr>
                <w:sz w:val="16"/>
              </w:rPr>
              <w:t>90,06</w:t>
            </w:r>
            <w:r w:rsidR="007E442D" w:rsidRPr="00E750E0">
              <w:rPr>
                <w:sz w:val="16"/>
              </w:rPr>
              <w:t>%</w:t>
            </w:r>
            <w:r w:rsidRPr="00E750E0">
              <w:rPr>
                <w:sz w:val="16"/>
              </w:rPr>
              <w:t xml:space="preserve"> (moyenne 2010</w:t>
            </w:r>
            <w:r w:rsidR="002D6F2A" w:rsidRPr="00E750E0">
              <w:rPr>
                <w:sz w:val="16"/>
              </w:rPr>
              <w:noBreakHyphen/>
            </w:r>
            <w:r w:rsidRPr="00E750E0">
              <w:rPr>
                <w:sz w:val="16"/>
              </w:rPr>
              <w:t>2012)</w:t>
            </w:r>
          </w:p>
          <w:p w:rsidR="0096696E" w:rsidRPr="00E750E0" w:rsidRDefault="0096696E" w:rsidP="001A5BF9">
            <w:pPr>
              <w:rPr>
                <w:rFonts w:cs="Arial"/>
                <w:sz w:val="16"/>
                <w:szCs w:val="16"/>
                <w:lang w:bidi="th-TH"/>
              </w:rPr>
            </w:pPr>
            <w:r w:rsidRPr="00E750E0">
              <w:rPr>
                <w:sz w:val="16"/>
              </w:rPr>
              <w:t>88,74</w:t>
            </w:r>
            <w:r w:rsidR="007E442D" w:rsidRPr="00E750E0">
              <w:rPr>
                <w:sz w:val="16"/>
              </w:rPr>
              <w:t>%</w:t>
            </w:r>
            <w:r w:rsidRPr="00E750E0">
              <w:rPr>
                <w:sz w:val="16"/>
              </w:rPr>
              <w:t xml:space="preserve"> (moyenne 2011</w:t>
            </w:r>
            <w:r w:rsidR="002D6F2A" w:rsidRPr="00E750E0">
              <w:rPr>
                <w:sz w:val="16"/>
              </w:rPr>
              <w:noBreakHyphen/>
            </w:r>
            <w:r w:rsidRPr="00E750E0">
              <w:rPr>
                <w:sz w:val="16"/>
              </w:rPr>
              <w:t>2013)</w:t>
            </w:r>
          </w:p>
        </w:tc>
        <w:tc>
          <w:tcPr>
            <w:tcW w:w="534" w:type="pct"/>
            <w:shd w:val="clear" w:color="auto" w:fill="auto"/>
            <w:tcMar>
              <w:top w:w="110" w:type="dxa"/>
            </w:tcMar>
          </w:tcPr>
          <w:p w:rsidR="0096696E" w:rsidRPr="005C7CCE" w:rsidRDefault="0096696E" w:rsidP="001A5BF9">
            <w:pPr>
              <w:spacing w:after="120"/>
              <w:jc w:val="center"/>
              <w:rPr>
                <w:rFonts w:cs="Arial"/>
                <w:bCs/>
                <w:color w:val="008000"/>
                <w:sz w:val="16"/>
                <w:szCs w:val="16"/>
              </w:rPr>
            </w:pPr>
            <w:r w:rsidRPr="00B470C6">
              <w:rPr>
                <w:color w:val="008000"/>
                <w:sz w:val="16"/>
              </w:rPr>
              <w:t>Objectif pleinement atteint</w:t>
            </w:r>
          </w:p>
        </w:tc>
      </w:tr>
      <w:tr w:rsidR="0096696E" w:rsidRPr="005C7CCE" w:rsidTr="00E750E0">
        <w:trPr>
          <w:cantSplit/>
        </w:trPr>
        <w:tc>
          <w:tcPr>
            <w:tcW w:w="844" w:type="pct"/>
            <w:shd w:val="clear" w:color="auto" w:fill="auto"/>
          </w:tcPr>
          <w:p w:rsidR="0096696E" w:rsidRPr="00E750E0" w:rsidRDefault="0096696E" w:rsidP="001A5BF9">
            <w:pPr>
              <w:rPr>
                <w:rFonts w:cs="Arial"/>
                <w:sz w:val="16"/>
                <w:szCs w:val="16"/>
              </w:rPr>
            </w:pPr>
            <w:r w:rsidRPr="00E750E0">
              <w:rPr>
                <w:sz w:val="16"/>
              </w:rPr>
              <w:t>Rapidité de l</w:t>
            </w:r>
            <w:r w:rsidR="00A20444" w:rsidRPr="00E750E0">
              <w:rPr>
                <w:sz w:val="16"/>
              </w:rPr>
              <w:t>’</w:t>
            </w:r>
            <w:r w:rsidRPr="00E750E0">
              <w:rPr>
                <w:sz w:val="16"/>
              </w:rPr>
              <w:t>examen de forme (pourcentage accompli dans les trois semaines suivant la réception)</w:t>
            </w:r>
          </w:p>
        </w:tc>
        <w:tc>
          <w:tcPr>
            <w:tcW w:w="1125" w:type="pct"/>
            <w:gridSpan w:val="3"/>
            <w:shd w:val="clear" w:color="auto" w:fill="auto"/>
          </w:tcPr>
          <w:p w:rsidR="00D42474" w:rsidRDefault="0096696E" w:rsidP="001A5BF9">
            <w:pPr>
              <w:pStyle w:val="Default"/>
              <w:rPr>
                <w:color w:val="002060"/>
                <w:sz w:val="16"/>
                <w:szCs w:val="16"/>
              </w:rPr>
            </w:pPr>
            <w:r w:rsidRPr="005C7CCE">
              <w:rPr>
                <w:i/>
                <w:color w:val="002060"/>
                <w:sz w:val="16"/>
              </w:rPr>
              <w:t xml:space="preserve">Niveau de référence actualisé fin 2011 : </w:t>
            </w:r>
            <w:r w:rsidRPr="005C7CCE">
              <w:rPr>
                <w:color w:val="002060"/>
                <w:sz w:val="16"/>
              </w:rPr>
              <w:t>77,02</w:t>
            </w:r>
            <w:r w:rsidR="007E442D" w:rsidRPr="005C7CCE">
              <w:rPr>
                <w:color w:val="002060"/>
                <w:sz w:val="16"/>
              </w:rPr>
              <w:t>%</w:t>
            </w:r>
          </w:p>
          <w:p w:rsidR="00D42474" w:rsidRDefault="00D42474" w:rsidP="001A5BF9">
            <w:pPr>
              <w:rPr>
                <w:rFonts w:cs="Arial"/>
                <w:i/>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750E0">
              <w:rPr>
                <w:sz w:val="16"/>
              </w:rPr>
              <w:t>m</w:t>
            </w:r>
            <w:r w:rsidRPr="005C7CCE">
              <w:rPr>
                <w:sz w:val="16"/>
              </w:rPr>
              <w:t>oyenne des trois dernières années</w:t>
            </w:r>
          </w:p>
        </w:tc>
        <w:tc>
          <w:tcPr>
            <w:tcW w:w="911" w:type="pct"/>
            <w:gridSpan w:val="3"/>
            <w:shd w:val="clear" w:color="auto" w:fill="auto"/>
            <w:tcMar>
              <w:top w:w="110" w:type="dxa"/>
            </w:tcMar>
          </w:tcPr>
          <w:p w:rsidR="0096696E" w:rsidRPr="00E750E0" w:rsidRDefault="0096696E" w:rsidP="001A5BF9">
            <w:pPr>
              <w:rPr>
                <w:rFonts w:cs="Arial"/>
                <w:sz w:val="16"/>
                <w:szCs w:val="16"/>
              </w:rPr>
            </w:pPr>
            <w:r w:rsidRPr="00E750E0">
              <w:rPr>
                <w:sz w:val="16"/>
              </w:rPr>
              <w:t>80</w:t>
            </w:r>
            <w:r w:rsidR="007E442D" w:rsidRPr="00E750E0">
              <w:rPr>
                <w:sz w:val="16"/>
              </w:rPr>
              <w:t>%</w:t>
            </w:r>
            <w:r w:rsidRPr="00E750E0">
              <w:rPr>
                <w:sz w:val="16"/>
              </w:rPr>
              <w:t xml:space="preserve"> (moyenne des trois dernières années)</w:t>
            </w:r>
          </w:p>
        </w:tc>
        <w:tc>
          <w:tcPr>
            <w:tcW w:w="1586" w:type="pct"/>
            <w:gridSpan w:val="2"/>
            <w:shd w:val="clear" w:color="auto" w:fill="FFFFFF"/>
            <w:tcMar>
              <w:top w:w="110" w:type="dxa"/>
            </w:tcMar>
          </w:tcPr>
          <w:p w:rsidR="00D42474" w:rsidRDefault="0096696E" w:rsidP="001A5BF9">
            <w:pPr>
              <w:rPr>
                <w:rFonts w:cs="Arial"/>
                <w:sz w:val="16"/>
                <w:szCs w:val="16"/>
                <w:lang w:bidi="th-TH"/>
              </w:rPr>
            </w:pPr>
            <w:r w:rsidRPr="00E750E0">
              <w:rPr>
                <w:sz w:val="16"/>
              </w:rPr>
              <w:t>74,56</w:t>
            </w:r>
            <w:r w:rsidR="007E442D" w:rsidRPr="00E750E0">
              <w:rPr>
                <w:sz w:val="16"/>
              </w:rPr>
              <w:t>%</w:t>
            </w:r>
            <w:r w:rsidRPr="00E750E0">
              <w:rPr>
                <w:sz w:val="16"/>
              </w:rPr>
              <w:t xml:space="preserve"> (moyenne 2010</w:t>
            </w:r>
            <w:r w:rsidR="002D6F2A" w:rsidRPr="00E750E0">
              <w:rPr>
                <w:sz w:val="16"/>
              </w:rPr>
              <w:noBreakHyphen/>
            </w:r>
            <w:r w:rsidRPr="00E750E0">
              <w:rPr>
                <w:sz w:val="16"/>
              </w:rPr>
              <w:t>12)</w:t>
            </w:r>
          </w:p>
          <w:p w:rsidR="0096696E" w:rsidRPr="00E750E0" w:rsidRDefault="0096696E" w:rsidP="001A5BF9">
            <w:pPr>
              <w:rPr>
                <w:rFonts w:cs="Arial"/>
                <w:sz w:val="16"/>
                <w:szCs w:val="16"/>
                <w:lang w:bidi="th-TH"/>
              </w:rPr>
            </w:pPr>
            <w:r w:rsidRPr="00E750E0">
              <w:rPr>
                <w:sz w:val="16"/>
              </w:rPr>
              <w:t>74,47</w:t>
            </w:r>
            <w:r w:rsidR="007E442D" w:rsidRPr="00E750E0">
              <w:rPr>
                <w:sz w:val="16"/>
              </w:rPr>
              <w:t>%</w:t>
            </w:r>
            <w:r w:rsidRPr="00E750E0">
              <w:rPr>
                <w:sz w:val="16"/>
              </w:rPr>
              <w:t xml:space="preserve"> (moyenne 2011</w:t>
            </w:r>
            <w:r w:rsidR="002D6F2A" w:rsidRPr="00E750E0">
              <w:rPr>
                <w:sz w:val="16"/>
              </w:rPr>
              <w:noBreakHyphen/>
            </w:r>
            <w:r w:rsidRPr="00E750E0">
              <w:rPr>
                <w:sz w:val="16"/>
              </w:rPr>
              <w:t>13)</w:t>
            </w:r>
          </w:p>
        </w:tc>
        <w:tc>
          <w:tcPr>
            <w:tcW w:w="534" w:type="pct"/>
            <w:shd w:val="clear" w:color="auto" w:fill="auto"/>
            <w:tcMar>
              <w:top w:w="110" w:type="dxa"/>
            </w:tcMar>
          </w:tcPr>
          <w:p w:rsidR="0096696E" w:rsidRPr="005C7CCE" w:rsidRDefault="0096696E" w:rsidP="001A5BF9">
            <w:pPr>
              <w:jc w:val="center"/>
              <w:rPr>
                <w:rFonts w:cs="Arial"/>
                <w:bCs/>
                <w:color w:val="008000"/>
                <w:sz w:val="16"/>
                <w:szCs w:val="16"/>
              </w:rPr>
            </w:pPr>
            <w:r w:rsidRPr="00B470C6">
              <w:rPr>
                <w:color w:val="008000"/>
                <w:sz w:val="16"/>
              </w:rPr>
              <w:t>Objectif pleinement atteint</w:t>
            </w:r>
          </w:p>
        </w:tc>
      </w:tr>
      <w:tr w:rsidR="0096696E" w:rsidRPr="005C7CCE" w:rsidTr="00E750E0">
        <w:trPr>
          <w:cantSplit/>
        </w:trPr>
        <w:tc>
          <w:tcPr>
            <w:tcW w:w="844" w:type="pct"/>
            <w:shd w:val="clear" w:color="auto" w:fill="auto"/>
          </w:tcPr>
          <w:p w:rsidR="0096696E" w:rsidRPr="00E750E0" w:rsidRDefault="0096696E" w:rsidP="001A5BF9">
            <w:pPr>
              <w:keepNext/>
              <w:keepLines/>
              <w:rPr>
                <w:rFonts w:cs="Arial"/>
                <w:sz w:val="16"/>
                <w:szCs w:val="16"/>
              </w:rPr>
            </w:pPr>
            <w:r w:rsidRPr="00E750E0">
              <w:rPr>
                <w:sz w:val="16"/>
              </w:rPr>
              <w:t>Rapidité de la publication (pourcentage publié dans les 18 mois + trois semaines suivant la date de priorité)</w:t>
            </w:r>
          </w:p>
        </w:tc>
        <w:tc>
          <w:tcPr>
            <w:tcW w:w="1125" w:type="pct"/>
            <w:gridSpan w:val="3"/>
            <w:shd w:val="clear" w:color="auto" w:fill="auto"/>
          </w:tcPr>
          <w:p w:rsidR="00D42474" w:rsidRDefault="0096696E" w:rsidP="001A5BF9">
            <w:pPr>
              <w:pStyle w:val="Default"/>
              <w:keepNext/>
              <w:keepLines/>
              <w:rPr>
                <w:color w:val="002060"/>
                <w:sz w:val="16"/>
                <w:szCs w:val="16"/>
              </w:rPr>
            </w:pPr>
            <w:r w:rsidRPr="005C7CCE">
              <w:rPr>
                <w:i/>
                <w:color w:val="002060"/>
                <w:sz w:val="16"/>
              </w:rPr>
              <w:t xml:space="preserve">Niveau de référence actualisé fin 2011 : </w:t>
            </w:r>
            <w:r w:rsidRPr="005C7CCE">
              <w:rPr>
                <w:color w:val="002060"/>
                <w:sz w:val="16"/>
              </w:rPr>
              <w:t>97,04</w:t>
            </w:r>
            <w:r w:rsidR="007E442D" w:rsidRPr="005C7CCE">
              <w:rPr>
                <w:color w:val="002060"/>
                <w:sz w:val="16"/>
              </w:rPr>
              <w:t>%</w:t>
            </w:r>
          </w:p>
          <w:p w:rsidR="00D42474" w:rsidRDefault="00D42474" w:rsidP="001A5BF9">
            <w:pPr>
              <w:keepNext/>
              <w:keepLines/>
              <w:rPr>
                <w:rFonts w:cs="Arial"/>
                <w:i/>
                <w:sz w:val="8"/>
                <w:szCs w:val="8"/>
              </w:rPr>
            </w:pPr>
          </w:p>
          <w:p w:rsidR="0096696E" w:rsidRPr="005C7CCE" w:rsidRDefault="0096696E" w:rsidP="001A5BF9">
            <w:pPr>
              <w:keepNext/>
              <w:keepLines/>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750E0">
              <w:rPr>
                <w:sz w:val="16"/>
              </w:rPr>
              <w:t>m</w:t>
            </w:r>
            <w:r w:rsidRPr="005C7CCE">
              <w:rPr>
                <w:sz w:val="16"/>
              </w:rPr>
              <w:t>oyenne des trois dernières années</w:t>
            </w:r>
          </w:p>
        </w:tc>
        <w:tc>
          <w:tcPr>
            <w:tcW w:w="911" w:type="pct"/>
            <w:gridSpan w:val="3"/>
            <w:shd w:val="clear" w:color="auto" w:fill="auto"/>
            <w:tcMar>
              <w:top w:w="110" w:type="dxa"/>
            </w:tcMar>
          </w:tcPr>
          <w:p w:rsidR="0096696E" w:rsidRPr="00E750E0" w:rsidRDefault="0096696E" w:rsidP="00E750E0">
            <w:pPr>
              <w:keepNext/>
              <w:keepLines/>
              <w:rPr>
                <w:rFonts w:cs="Arial"/>
                <w:sz w:val="16"/>
                <w:szCs w:val="16"/>
              </w:rPr>
            </w:pPr>
            <w:r w:rsidRPr="00E750E0">
              <w:rPr>
                <w:sz w:val="16"/>
              </w:rPr>
              <w:t>96</w:t>
            </w:r>
            <w:r w:rsidR="007E442D" w:rsidRPr="00E750E0">
              <w:rPr>
                <w:sz w:val="16"/>
              </w:rPr>
              <w:t>%</w:t>
            </w:r>
            <w:r w:rsidRPr="00E750E0">
              <w:rPr>
                <w:sz w:val="16"/>
              </w:rPr>
              <w:t xml:space="preserve"> (moyenne sur les</w:t>
            </w:r>
            <w:r w:rsidR="00E750E0">
              <w:rPr>
                <w:sz w:val="16"/>
              </w:rPr>
              <w:t xml:space="preserve"> </w:t>
            </w:r>
            <w:r w:rsidRPr="00E750E0">
              <w:rPr>
                <w:sz w:val="16"/>
              </w:rPr>
              <w:t>trois dernières années)</w:t>
            </w:r>
          </w:p>
        </w:tc>
        <w:tc>
          <w:tcPr>
            <w:tcW w:w="1586" w:type="pct"/>
            <w:gridSpan w:val="2"/>
            <w:shd w:val="clear" w:color="auto" w:fill="FFFFFF"/>
            <w:tcMar>
              <w:top w:w="110" w:type="dxa"/>
            </w:tcMar>
          </w:tcPr>
          <w:p w:rsidR="00D42474" w:rsidRDefault="0096696E" w:rsidP="001A5BF9">
            <w:pPr>
              <w:keepNext/>
              <w:keepLines/>
              <w:rPr>
                <w:rFonts w:cs="Arial"/>
                <w:sz w:val="16"/>
                <w:szCs w:val="16"/>
                <w:lang w:bidi="th-TH"/>
              </w:rPr>
            </w:pPr>
            <w:r w:rsidRPr="00E750E0">
              <w:rPr>
                <w:sz w:val="16"/>
              </w:rPr>
              <w:t>97,98</w:t>
            </w:r>
            <w:r w:rsidR="007E442D" w:rsidRPr="00E750E0">
              <w:rPr>
                <w:sz w:val="16"/>
              </w:rPr>
              <w:t>%</w:t>
            </w:r>
            <w:r w:rsidRPr="00E750E0">
              <w:rPr>
                <w:sz w:val="16"/>
              </w:rPr>
              <w:t xml:space="preserve"> (moyenne 2010</w:t>
            </w:r>
            <w:r w:rsidR="002D6F2A" w:rsidRPr="00E750E0">
              <w:rPr>
                <w:sz w:val="16"/>
              </w:rPr>
              <w:noBreakHyphen/>
            </w:r>
            <w:r w:rsidRPr="00E750E0">
              <w:rPr>
                <w:sz w:val="16"/>
              </w:rPr>
              <w:t>2012)</w:t>
            </w:r>
          </w:p>
          <w:p w:rsidR="0096696E" w:rsidRPr="00E750E0" w:rsidRDefault="0096696E" w:rsidP="001A5BF9">
            <w:pPr>
              <w:keepNext/>
              <w:keepLines/>
              <w:rPr>
                <w:rFonts w:cs="Arial"/>
                <w:sz w:val="16"/>
                <w:szCs w:val="16"/>
                <w:lang w:bidi="th-TH"/>
              </w:rPr>
            </w:pPr>
            <w:r w:rsidRPr="00E750E0">
              <w:rPr>
                <w:sz w:val="16"/>
              </w:rPr>
              <w:t>98,50</w:t>
            </w:r>
            <w:r w:rsidR="007E442D" w:rsidRPr="00E750E0">
              <w:rPr>
                <w:sz w:val="16"/>
              </w:rPr>
              <w:t>%</w:t>
            </w:r>
            <w:r w:rsidRPr="00E750E0">
              <w:rPr>
                <w:sz w:val="16"/>
              </w:rPr>
              <w:t xml:space="preserve"> (</w:t>
            </w:r>
            <w:r w:rsidR="00067499" w:rsidRPr="00E750E0">
              <w:rPr>
                <w:sz w:val="16"/>
              </w:rPr>
              <w:t>moyenne</w:t>
            </w:r>
            <w:r w:rsidRPr="00E750E0">
              <w:rPr>
                <w:sz w:val="16"/>
              </w:rPr>
              <w:t xml:space="preserve"> 2011</w:t>
            </w:r>
            <w:r w:rsidR="002D6F2A" w:rsidRPr="00E750E0">
              <w:rPr>
                <w:sz w:val="16"/>
              </w:rPr>
              <w:noBreakHyphen/>
            </w:r>
            <w:r w:rsidRPr="00E750E0">
              <w:rPr>
                <w:sz w:val="16"/>
              </w:rPr>
              <w:t>2013)</w:t>
            </w:r>
          </w:p>
        </w:tc>
        <w:tc>
          <w:tcPr>
            <w:tcW w:w="534" w:type="pct"/>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E750E0">
        <w:trPr>
          <w:cantSplit/>
        </w:trPr>
        <w:tc>
          <w:tcPr>
            <w:tcW w:w="844" w:type="pct"/>
            <w:shd w:val="clear" w:color="auto" w:fill="auto"/>
          </w:tcPr>
          <w:p w:rsidR="0096696E" w:rsidRPr="00E750E0" w:rsidRDefault="0096696E" w:rsidP="001A5BF9">
            <w:pPr>
              <w:rPr>
                <w:rFonts w:cs="Arial"/>
                <w:sz w:val="16"/>
                <w:szCs w:val="16"/>
              </w:rPr>
            </w:pPr>
            <w:r w:rsidRPr="00E750E0">
              <w:rPr>
                <w:sz w:val="16"/>
              </w:rPr>
              <w:t>Qualité des traductions (pourcentage passant avec succès le contrôle qualité)</w:t>
            </w:r>
          </w:p>
        </w:tc>
        <w:tc>
          <w:tcPr>
            <w:tcW w:w="1125" w:type="pct"/>
            <w:gridSpan w:val="3"/>
            <w:shd w:val="clear" w:color="auto" w:fill="auto"/>
          </w:tcPr>
          <w:p w:rsidR="00D42474" w:rsidRDefault="0096696E" w:rsidP="001A5BF9">
            <w:pPr>
              <w:pStyle w:val="Default"/>
              <w:rPr>
                <w:color w:val="002060"/>
                <w:sz w:val="16"/>
                <w:szCs w:val="16"/>
              </w:rPr>
            </w:pPr>
            <w:r w:rsidRPr="005C7CCE">
              <w:rPr>
                <w:i/>
                <w:color w:val="002060"/>
                <w:sz w:val="16"/>
              </w:rPr>
              <w:t xml:space="preserve">Niveau de référence actualisé fin 2011 : </w:t>
            </w:r>
            <w:r w:rsidRPr="005C7CCE">
              <w:rPr>
                <w:color w:val="002060"/>
                <w:sz w:val="16"/>
              </w:rPr>
              <w:t>84,4</w:t>
            </w:r>
            <w:r w:rsidR="007E442D" w:rsidRPr="005C7CCE">
              <w:rPr>
                <w:color w:val="002060"/>
                <w:sz w:val="16"/>
              </w:rPr>
              <w:t>%</w:t>
            </w:r>
          </w:p>
          <w:p w:rsidR="00D42474" w:rsidRDefault="00D42474" w:rsidP="001A5BF9">
            <w:pPr>
              <w:rPr>
                <w:rFonts w:cs="Arial"/>
                <w:i/>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750E0">
              <w:rPr>
                <w:sz w:val="16"/>
              </w:rPr>
              <w:t>n</w:t>
            </w:r>
            <w:r w:rsidRPr="005C7CCE">
              <w:rPr>
                <w:sz w:val="16"/>
              </w:rPr>
              <w:t>iveau de qualité en 2011</w:t>
            </w:r>
          </w:p>
        </w:tc>
        <w:tc>
          <w:tcPr>
            <w:tcW w:w="911" w:type="pct"/>
            <w:gridSpan w:val="3"/>
            <w:shd w:val="clear" w:color="auto" w:fill="auto"/>
            <w:tcMar>
              <w:top w:w="110" w:type="dxa"/>
            </w:tcMar>
          </w:tcPr>
          <w:p w:rsidR="0096696E" w:rsidRPr="00E750E0" w:rsidRDefault="0096696E" w:rsidP="001A5BF9">
            <w:pPr>
              <w:rPr>
                <w:rFonts w:cs="Arial"/>
                <w:sz w:val="16"/>
                <w:szCs w:val="16"/>
              </w:rPr>
            </w:pPr>
            <w:r w:rsidRPr="00E750E0">
              <w:rPr>
                <w:sz w:val="16"/>
              </w:rPr>
              <w:t>87</w:t>
            </w:r>
            <w:r w:rsidR="007E442D" w:rsidRPr="00E750E0">
              <w:rPr>
                <w:sz w:val="16"/>
              </w:rPr>
              <w:t>%</w:t>
            </w:r>
          </w:p>
        </w:tc>
        <w:tc>
          <w:tcPr>
            <w:tcW w:w="1586" w:type="pct"/>
            <w:gridSpan w:val="2"/>
            <w:shd w:val="clear" w:color="auto" w:fill="FFFFFF"/>
            <w:tcMar>
              <w:top w:w="110" w:type="dxa"/>
            </w:tcMar>
          </w:tcPr>
          <w:p w:rsidR="00D42474" w:rsidRDefault="0096696E" w:rsidP="001A5BF9">
            <w:pPr>
              <w:rPr>
                <w:rFonts w:cs="Arial"/>
                <w:sz w:val="16"/>
                <w:szCs w:val="16"/>
                <w:lang w:bidi="th-TH"/>
              </w:rPr>
            </w:pPr>
            <w:r w:rsidRPr="00E750E0">
              <w:rPr>
                <w:sz w:val="16"/>
              </w:rPr>
              <w:t>87,2</w:t>
            </w:r>
            <w:r w:rsidR="007E442D" w:rsidRPr="00E750E0">
              <w:rPr>
                <w:sz w:val="16"/>
              </w:rPr>
              <w:t>%</w:t>
            </w:r>
            <w:r w:rsidRPr="00E750E0">
              <w:rPr>
                <w:sz w:val="16"/>
              </w:rPr>
              <w:t xml:space="preserve"> (2012)</w:t>
            </w:r>
          </w:p>
          <w:p w:rsidR="0096696E" w:rsidRPr="00E750E0" w:rsidRDefault="0096696E" w:rsidP="001A5BF9">
            <w:pPr>
              <w:rPr>
                <w:rFonts w:cs="Arial"/>
                <w:sz w:val="16"/>
                <w:szCs w:val="16"/>
                <w:lang w:bidi="th-TH"/>
              </w:rPr>
            </w:pPr>
            <w:r w:rsidRPr="00E750E0">
              <w:rPr>
                <w:sz w:val="16"/>
              </w:rPr>
              <w:t>87,1</w:t>
            </w:r>
            <w:r w:rsidR="007E442D" w:rsidRPr="00E750E0">
              <w:rPr>
                <w:sz w:val="16"/>
              </w:rPr>
              <w:t>%</w:t>
            </w:r>
            <w:r w:rsidRPr="00E750E0">
              <w:rPr>
                <w:sz w:val="16"/>
              </w:rPr>
              <w:t xml:space="preserve"> (2013)</w:t>
            </w:r>
          </w:p>
        </w:tc>
        <w:tc>
          <w:tcPr>
            <w:tcW w:w="534" w:type="pct"/>
            <w:shd w:val="clear" w:color="auto" w:fill="auto"/>
            <w:tcMar>
              <w:top w:w="110" w:type="dxa"/>
            </w:tcMar>
          </w:tcPr>
          <w:p w:rsidR="0096696E" w:rsidRPr="005C7CCE" w:rsidRDefault="0096696E" w:rsidP="001A5BF9">
            <w:pPr>
              <w:jc w:val="center"/>
              <w:rPr>
                <w:rFonts w:cs="Arial"/>
                <w:bCs/>
                <w:color w:val="008000"/>
                <w:sz w:val="16"/>
                <w:szCs w:val="16"/>
              </w:rPr>
            </w:pPr>
            <w:r w:rsidRPr="00B470C6">
              <w:rPr>
                <w:color w:val="008000"/>
                <w:sz w:val="16"/>
              </w:rPr>
              <w:t>Objectif pleinement atteint</w:t>
            </w:r>
          </w:p>
        </w:tc>
      </w:tr>
      <w:tr w:rsidR="0096696E" w:rsidRPr="005C7CCE" w:rsidTr="00E750E0">
        <w:trPr>
          <w:cantSplit/>
        </w:trPr>
        <w:tc>
          <w:tcPr>
            <w:tcW w:w="844" w:type="pct"/>
            <w:shd w:val="clear" w:color="auto" w:fill="auto"/>
          </w:tcPr>
          <w:p w:rsidR="0096696E" w:rsidRPr="00E750E0" w:rsidRDefault="0096696E" w:rsidP="001A5BF9">
            <w:pPr>
              <w:rPr>
                <w:rFonts w:cs="Arial"/>
                <w:sz w:val="16"/>
                <w:szCs w:val="16"/>
              </w:rPr>
            </w:pPr>
            <w:r w:rsidRPr="00E750E0">
              <w:rPr>
                <w:sz w:val="16"/>
              </w:rPr>
              <w:t>Demandes déposées auprès du Bureau international en tant qu</w:t>
            </w:r>
            <w:r w:rsidR="00A20444" w:rsidRPr="00E750E0">
              <w:rPr>
                <w:sz w:val="16"/>
              </w:rPr>
              <w:t>’</w:t>
            </w:r>
            <w:r w:rsidRPr="00E750E0">
              <w:rPr>
                <w:sz w:val="16"/>
              </w:rPr>
              <w:t>office récepteur</w:t>
            </w:r>
          </w:p>
        </w:tc>
        <w:tc>
          <w:tcPr>
            <w:tcW w:w="1125" w:type="pct"/>
            <w:gridSpan w:val="3"/>
            <w:shd w:val="clear" w:color="auto" w:fill="auto"/>
          </w:tcPr>
          <w:p w:rsidR="00D42474" w:rsidRDefault="0096696E" w:rsidP="001A5BF9">
            <w:pPr>
              <w:pStyle w:val="Default"/>
              <w:rPr>
                <w:color w:val="002060"/>
                <w:sz w:val="16"/>
                <w:szCs w:val="16"/>
              </w:rPr>
            </w:pPr>
            <w:r w:rsidRPr="005C7CCE">
              <w:rPr>
                <w:i/>
                <w:color w:val="002060"/>
                <w:sz w:val="16"/>
              </w:rPr>
              <w:t xml:space="preserve">Niveau de référence actualisé fin 2011 : </w:t>
            </w:r>
            <w:r w:rsidR="0010442A" w:rsidRPr="005C7CCE">
              <w:rPr>
                <w:color w:val="002060"/>
                <w:sz w:val="16"/>
              </w:rPr>
              <w:t>8753</w:t>
            </w:r>
          </w:p>
          <w:p w:rsidR="00D42474" w:rsidRDefault="00D42474" w:rsidP="001A5BF9">
            <w:pPr>
              <w:rPr>
                <w:rFonts w:cs="Arial"/>
                <w:i/>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750E0">
              <w:rPr>
                <w:sz w:val="16"/>
              </w:rPr>
              <w:t>n</w:t>
            </w:r>
            <w:r w:rsidRPr="005C7CCE">
              <w:rPr>
                <w:sz w:val="16"/>
              </w:rPr>
              <w:t>ombre de dépôts en 2011</w:t>
            </w:r>
          </w:p>
        </w:tc>
        <w:tc>
          <w:tcPr>
            <w:tcW w:w="911" w:type="pct"/>
            <w:gridSpan w:val="3"/>
            <w:shd w:val="clear" w:color="auto" w:fill="auto"/>
            <w:tcMar>
              <w:top w:w="110" w:type="dxa"/>
            </w:tcMar>
          </w:tcPr>
          <w:p w:rsidR="00D42474" w:rsidRDefault="0096696E" w:rsidP="001A5BF9">
            <w:pPr>
              <w:autoSpaceDE w:val="0"/>
              <w:autoSpaceDN w:val="0"/>
              <w:adjustRightInd w:val="0"/>
              <w:rPr>
                <w:rFonts w:cs="Arial"/>
                <w:sz w:val="16"/>
                <w:szCs w:val="16"/>
              </w:rPr>
            </w:pPr>
            <w:r w:rsidRPr="00E750E0">
              <w:rPr>
                <w:sz w:val="16"/>
              </w:rPr>
              <w:t>9 700 (2012)</w:t>
            </w:r>
          </w:p>
          <w:p w:rsidR="0096696E" w:rsidRPr="00E750E0" w:rsidRDefault="0096696E" w:rsidP="001A5BF9">
            <w:pPr>
              <w:rPr>
                <w:rFonts w:cs="Arial"/>
                <w:sz w:val="16"/>
                <w:szCs w:val="16"/>
              </w:rPr>
            </w:pPr>
            <w:r w:rsidRPr="00E750E0">
              <w:rPr>
                <w:sz w:val="16"/>
              </w:rPr>
              <w:t>10 100 (2013)</w:t>
            </w:r>
          </w:p>
        </w:tc>
        <w:tc>
          <w:tcPr>
            <w:tcW w:w="1586" w:type="pct"/>
            <w:gridSpan w:val="2"/>
            <w:shd w:val="clear" w:color="auto" w:fill="FFFFFF"/>
            <w:tcMar>
              <w:top w:w="110" w:type="dxa"/>
            </w:tcMar>
          </w:tcPr>
          <w:p w:rsidR="00D42474" w:rsidRDefault="0096696E" w:rsidP="001A5BF9">
            <w:pPr>
              <w:rPr>
                <w:rFonts w:cs="Arial"/>
                <w:sz w:val="16"/>
                <w:szCs w:val="16"/>
                <w:lang w:bidi="th-TH"/>
              </w:rPr>
            </w:pPr>
            <w:r w:rsidRPr="00E750E0">
              <w:rPr>
                <w:sz w:val="16"/>
              </w:rPr>
              <w:t>9 711 (2012)</w:t>
            </w:r>
          </w:p>
          <w:p w:rsidR="0096696E" w:rsidRPr="00E750E0" w:rsidRDefault="0096696E" w:rsidP="001A5BF9">
            <w:pPr>
              <w:rPr>
                <w:rFonts w:cs="Arial"/>
                <w:sz w:val="16"/>
                <w:szCs w:val="16"/>
                <w:lang w:bidi="th-TH"/>
              </w:rPr>
            </w:pPr>
            <w:r w:rsidRPr="00E750E0">
              <w:rPr>
                <w:sz w:val="16"/>
              </w:rPr>
              <w:t>10 313 (2013)</w:t>
            </w:r>
          </w:p>
        </w:tc>
        <w:tc>
          <w:tcPr>
            <w:tcW w:w="534" w:type="pct"/>
            <w:shd w:val="clear" w:color="auto" w:fill="auto"/>
            <w:tcMar>
              <w:top w:w="110" w:type="dxa"/>
            </w:tcMar>
          </w:tcPr>
          <w:p w:rsidR="0096696E" w:rsidRPr="005C7CCE" w:rsidRDefault="0096696E" w:rsidP="001A5BF9">
            <w:pPr>
              <w:jc w:val="center"/>
              <w:rPr>
                <w:rFonts w:cs="Arial"/>
                <w:bCs/>
                <w:color w:val="008000"/>
                <w:sz w:val="16"/>
                <w:szCs w:val="16"/>
              </w:rPr>
            </w:pPr>
            <w:r w:rsidRPr="00B470C6">
              <w:rPr>
                <w:color w:val="008000"/>
                <w:sz w:val="16"/>
              </w:rPr>
              <w:t>Objectif pleinement atteint</w:t>
            </w:r>
          </w:p>
        </w:tc>
      </w:tr>
    </w:tbl>
    <w:p w:rsidR="00D42474" w:rsidRDefault="00D42474" w:rsidP="001A5BF9">
      <w:pPr>
        <w:rPr>
          <w:rFonts w:cs="Arial"/>
        </w:rPr>
      </w:pPr>
    </w:p>
    <w:p w:rsidR="00D42474" w:rsidRDefault="00A13E94" w:rsidP="001A5BF9">
      <w:pPr>
        <w:rPr>
          <w:rFonts w:cs="Arial"/>
        </w:rPr>
      </w:pPr>
      <w:r w:rsidRPr="005C7CCE">
        <w:rPr>
          <w:rFonts w:cs="Arial"/>
        </w:rPr>
        <w:br w:type="page"/>
      </w:r>
    </w:p>
    <w:p w:rsidR="00D42474" w:rsidRDefault="0096696E" w:rsidP="001A5BF9">
      <w:pPr>
        <w:pStyle w:val="NormalWeb"/>
        <w:spacing w:before="0" w:beforeAutospacing="0" w:after="0" w:afterAutospacing="0"/>
        <w:rPr>
          <w:sz w:val="22"/>
          <w:szCs w:val="22"/>
        </w:rPr>
      </w:pPr>
      <w:r w:rsidRPr="00E750E0">
        <w:rPr>
          <w:sz w:val="22"/>
        </w:rPr>
        <w:t>BUDGET ET DÉPENSES EFFECTIVES</w:t>
      </w:r>
    </w:p>
    <w:p w:rsidR="00D42474" w:rsidRDefault="00D42474" w:rsidP="001A5BF9">
      <w:pPr>
        <w:pStyle w:val="NormalWeb"/>
        <w:spacing w:before="0" w:beforeAutospacing="0" w:after="0" w:afterAutospacing="0"/>
        <w:jc w:val="center"/>
        <w:rPr>
          <w:sz w:val="22"/>
          <w:szCs w:val="22"/>
        </w:rPr>
      </w:pPr>
    </w:p>
    <w:p w:rsidR="00D42474" w:rsidRDefault="0096696E" w:rsidP="001A5BF9">
      <w:pPr>
        <w:pStyle w:val="NormalWeb"/>
        <w:spacing w:before="0" w:beforeAutospacing="0" w:after="0" w:afterAutospacing="0"/>
        <w:jc w:val="center"/>
        <w:rPr>
          <w:sz w:val="20"/>
          <w:szCs w:val="20"/>
        </w:rPr>
      </w:pPr>
      <w:r w:rsidRPr="00E750E0">
        <w:rPr>
          <w:sz w:val="20"/>
        </w:rPr>
        <w:t>Budget et dépenses effectives (par résultat)</w:t>
      </w:r>
    </w:p>
    <w:p w:rsidR="00D42474" w:rsidRDefault="0096696E" w:rsidP="001A5BF9">
      <w:pPr>
        <w:pStyle w:val="NormalWeb"/>
        <w:spacing w:before="0" w:beforeAutospacing="0" w:after="0" w:afterAutospacing="0"/>
        <w:jc w:val="center"/>
        <w:rPr>
          <w:i/>
          <w:iCs/>
          <w:sz w:val="20"/>
          <w:szCs w:val="20"/>
        </w:rPr>
      </w:pPr>
      <w:r w:rsidRPr="00E750E0">
        <w:rPr>
          <w:i/>
          <w:sz w:val="20"/>
        </w:rPr>
        <w:t>(</w:t>
      </w:r>
      <w:proofErr w:type="gramStart"/>
      <w:r w:rsidRPr="00E750E0">
        <w:rPr>
          <w:i/>
          <w:sz w:val="20"/>
        </w:rPr>
        <w:t>en</w:t>
      </w:r>
      <w:proofErr w:type="gramEnd"/>
      <w:r w:rsidRPr="00E750E0">
        <w:rPr>
          <w:i/>
          <w:sz w:val="20"/>
        </w:rPr>
        <w:t xml:space="preserve"> milliers de francs suisses)</w:t>
      </w:r>
    </w:p>
    <w:p w:rsidR="0096696E" w:rsidRPr="00E750E0" w:rsidRDefault="0096696E" w:rsidP="001A5BF9">
      <w:pPr>
        <w:rPr>
          <w:rFonts w:cs="Arial"/>
          <w:b/>
          <w:bCs/>
          <w:sz w:val="18"/>
          <w:szCs w:val="18"/>
        </w:rPr>
      </w:pPr>
    </w:p>
    <w:tbl>
      <w:tblPr>
        <w:tblW w:w="0" w:type="auto"/>
        <w:tblInd w:w="103" w:type="dxa"/>
        <w:tblLayout w:type="fixed"/>
        <w:tblLook w:val="04A0" w:firstRow="1" w:lastRow="0" w:firstColumn="1" w:lastColumn="0" w:noHBand="0" w:noVBand="1"/>
      </w:tblPr>
      <w:tblGrid>
        <w:gridCol w:w="468"/>
        <w:gridCol w:w="4782"/>
        <w:gridCol w:w="1370"/>
        <w:gridCol w:w="1370"/>
        <w:gridCol w:w="1371"/>
      </w:tblGrid>
      <w:tr w:rsidR="0096696E" w:rsidRPr="00E750E0" w:rsidTr="00BB3F3E">
        <w:trPr>
          <w:trHeight w:val="711"/>
        </w:trPr>
        <w:tc>
          <w:tcPr>
            <w:tcW w:w="525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E750E0" w:rsidRDefault="0096696E" w:rsidP="001A5BF9">
            <w:pPr>
              <w:spacing w:before="120" w:after="120"/>
              <w:jc w:val="center"/>
              <w:rPr>
                <w:rFonts w:cs="Arial"/>
                <w:bCs/>
                <w:sz w:val="16"/>
                <w:szCs w:val="16"/>
              </w:rPr>
            </w:pPr>
            <w:r w:rsidRPr="00E750E0">
              <w:rPr>
                <w:sz w:val="16"/>
              </w:rPr>
              <w:t>Numéro et description du résultat escompté</w:t>
            </w:r>
          </w:p>
        </w:tc>
        <w:tc>
          <w:tcPr>
            <w:tcW w:w="1370" w:type="dxa"/>
            <w:tcBorders>
              <w:top w:val="single" w:sz="4" w:space="0" w:color="auto"/>
              <w:left w:val="nil"/>
              <w:bottom w:val="single" w:sz="4" w:space="0" w:color="auto"/>
              <w:right w:val="single" w:sz="4" w:space="0" w:color="auto"/>
            </w:tcBorders>
            <w:shd w:val="clear" w:color="000000" w:fill="CCFFFF"/>
            <w:vAlign w:val="center"/>
          </w:tcPr>
          <w:p w:rsidR="0096696E" w:rsidRPr="00E750E0" w:rsidRDefault="0096696E" w:rsidP="001A5BF9">
            <w:pPr>
              <w:spacing w:before="120" w:after="120"/>
              <w:jc w:val="center"/>
              <w:rPr>
                <w:rFonts w:cs="Arial"/>
                <w:bCs/>
                <w:sz w:val="16"/>
                <w:szCs w:val="16"/>
              </w:rPr>
            </w:pPr>
            <w:r w:rsidRPr="00E750E0">
              <w:rPr>
                <w:sz w:val="16"/>
              </w:rPr>
              <w:t>Budget</w:t>
            </w:r>
            <w:r w:rsidRPr="00E750E0">
              <w:br/>
            </w:r>
            <w:r w:rsidRPr="00E750E0">
              <w:rPr>
                <w:sz w:val="16"/>
              </w:rPr>
              <w:t>2012–2013 approuvé</w:t>
            </w:r>
          </w:p>
        </w:tc>
        <w:tc>
          <w:tcPr>
            <w:tcW w:w="1370" w:type="dxa"/>
            <w:tcBorders>
              <w:top w:val="single" w:sz="4" w:space="0" w:color="auto"/>
              <w:left w:val="nil"/>
              <w:bottom w:val="single" w:sz="4" w:space="0" w:color="auto"/>
              <w:right w:val="single" w:sz="4" w:space="0" w:color="auto"/>
            </w:tcBorders>
            <w:shd w:val="clear" w:color="000000" w:fill="CCFFFF"/>
            <w:vAlign w:val="center"/>
          </w:tcPr>
          <w:p w:rsidR="0096696E" w:rsidRPr="00E750E0" w:rsidRDefault="0096696E" w:rsidP="001A5BF9">
            <w:pPr>
              <w:spacing w:before="120" w:after="120"/>
              <w:jc w:val="center"/>
              <w:rPr>
                <w:rFonts w:cs="Arial"/>
                <w:bCs/>
                <w:sz w:val="16"/>
                <w:szCs w:val="16"/>
              </w:rPr>
            </w:pPr>
            <w:r w:rsidRPr="00E750E0">
              <w:rPr>
                <w:sz w:val="16"/>
              </w:rPr>
              <w:t>Budget</w:t>
            </w:r>
            <w:r w:rsidRPr="00E750E0">
              <w:br/>
            </w:r>
            <w:r w:rsidRPr="00E750E0">
              <w:rPr>
                <w:sz w:val="16"/>
              </w:rPr>
              <w:t>2012</w:t>
            </w:r>
            <w:r w:rsidR="002D6F2A" w:rsidRPr="00E750E0">
              <w:rPr>
                <w:sz w:val="16"/>
              </w:rPr>
              <w:noBreakHyphen/>
            </w:r>
            <w:r w:rsidRPr="00E750E0">
              <w:rPr>
                <w:sz w:val="16"/>
              </w:rPr>
              <w:t>2013 après virements</w:t>
            </w:r>
          </w:p>
        </w:tc>
        <w:tc>
          <w:tcPr>
            <w:tcW w:w="1371" w:type="dxa"/>
            <w:tcBorders>
              <w:top w:val="single" w:sz="4" w:space="0" w:color="auto"/>
              <w:left w:val="nil"/>
              <w:bottom w:val="single" w:sz="4" w:space="0" w:color="auto"/>
              <w:right w:val="single" w:sz="4" w:space="0" w:color="auto"/>
            </w:tcBorders>
            <w:shd w:val="clear" w:color="000000" w:fill="CCFFFF"/>
            <w:vAlign w:val="center"/>
          </w:tcPr>
          <w:p w:rsidR="0096696E" w:rsidRPr="00E750E0" w:rsidRDefault="0096696E" w:rsidP="001A5BF9">
            <w:pPr>
              <w:spacing w:before="120" w:after="120"/>
              <w:jc w:val="center"/>
              <w:rPr>
                <w:rFonts w:cs="Arial"/>
                <w:bCs/>
                <w:sz w:val="16"/>
                <w:szCs w:val="16"/>
              </w:rPr>
            </w:pPr>
            <w:r w:rsidRPr="00E750E0">
              <w:rPr>
                <w:sz w:val="16"/>
              </w:rPr>
              <w:t>Dépenses</w:t>
            </w:r>
            <w:r w:rsidRPr="00E750E0">
              <w:br/>
            </w:r>
            <w:r w:rsidRPr="00E750E0">
              <w:rPr>
                <w:sz w:val="16"/>
              </w:rPr>
              <w:t>2012</w:t>
            </w:r>
            <w:r w:rsidR="002D6F2A" w:rsidRPr="00E750E0">
              <w:rPr>
                <w:sz w:val="16"/>
              </w:rPr>
              <w:noBreakHyphen/>
            </w:r>
            <w:r w:rsidRPr="00E750E0">
              <w:rPr>
                <w:sz w:val="16"/>
              </w:rPr>
              <w:t>2013</w:t>
            </w:r>
          </w:p>
        </w:tc>
      </w:tr>
      <w:tr w:rsidR="0096696E" w:rsidRPr="00E750E0" w:rsidTr="00BB3F3E">
        <w:trPr>
          <w:trHeight w:val="536"/>
        </w:trPr>
        <w:tc>
          <w:tcPr>
            <w:tcW w:w="468" w:type="dxa"/>
            <w:tcBorders>
              <w:top w:val="nil"/>
              <w:left w:val="single" w:sz="4" w:space="0" w:color="auto"/>
              <w:bottom w:val="nil"/>
              <w:right w:val="nil"/>
            </w:tcBorders>
            <w:shd w:val="clear" w:color="000000" w:fill="FFFFFF"/>
            <w:noWrap/>
          </w:tcPr>
          <w:p w:rsidR="0096696E" w:rsidRPr="00E750E0" w:rsidRDefault="0096696E" w:rsidP="001A5BF9">
            <w:pPr>
              <w:spacing w:before="120" w:after="120"/>
              <w:rPr>
                <w:rFonts w:cs="Arial"/>
                <w:sz w:val="16"/>
                <w:szCs w:val="16"/>
              </w:rPr>
            </w:pPr>
            <w:proofErr w:type="spellStart"/>
            <w:r w:rsidRPr="00E750E0">
              <w:rPr>
                <w:sz w:val="16"/>
              </w:rPr>
              <w:t>II.1</w:t>
            </w:r>
            <w:proofErr w:type="spellEnd"/>
          </w:p>
        </w:tc>
        <w:tc>
          <w:tcPr>
            <w:tcW w:w="4782" w:type="dxa"/>
            <w:tcBorders>
              <w:top w:val="nil"/>
              <w:left w:val="nil"/>
              <w:bottom w:val="nil"/>
              <w:right w:val="nil"/>
            </w:tcBorders>
            <w:shd w:val="clear" w:color="000000" w:fill="FFFFFF"/>
          </w:tcPr>
          <w:p w:rsidR="0096696E" w:rsidRPr="00E750E0" w:rsidRDefault="0096696E" w:rsidP="001A5BF9">
            <w:pPr>
              <w:spacing w:before="120" w:after="120"/>
              <w:rPr>
                <w:rFonts w:cs="Arial"/>
                <w:sz w:val="16"/>
                <w:szCs w:val="16"/>
              </w:rPr>
            </w:pPr>
            <w:r w:rsidRPr="00E750E0">
              <w:rPr>
                <w:sz w:val="16"/>
              </w:rPr>
              <w:t>Utilisation stratégique en connaissance de cause</w:t>
            </w:r>
            <w:r w:rsidR="00A20444" w:rsidRPr="00E750E0">
              <w:rPr>
                <w:sz w:val="16"/>
              </w:rPr>
              <w:t xml:space="preserve"> du PCT</w:t>
            </w:r>
            <w:r w:rsidRPr="00E750E0">
              <w:rPr>
                <w:sz w:val="16"/>
              </w:rPr>
              <w:t xml:space="preserve"> par tous les innovateurs susceptibles d</w:t>
            </w:r>
            <w:r w:rsidR="00A20444" w:rsidRPr="00E750E0">
              <w:rPr>
                <w:sz w:val="16"/>
              </w:rPr>
              <w:t>’</w:t>
            </w:r>
            <w:r w:rsidRPr="00E750E0">
              <w:rPr>
                <w:sz w:val="16"/>
              </w:rPr>
              <w:t>en tirer parti</w:t>
            </w:r>
          </w:p>
        </w:tc>
        <w:tc>
          <w:tcPr>
            <w:tcW w:w="1370" w:type="dxa"/>
            <w:tcBorders>
              <w:top w:val="nil"/>
              <w:left w:val="nil"/>
              <w:bottom w:val="nil"/>
              <w:right w:val="nil"/>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 xml:space="preserve">6 380 </w:t>
            </w:r>
          </w:p>
        </w:tc>
        <w:tc>
          <w:tcPr>
            <w:tcW w:w="1370" w:type="dxa"/>
            <w:tcBorders>
              <w:top w:val="nil"/>
              <w:left w:val="nil"/>
              <w:bottom w:val="nil"/>
              <w:right w:val="nil"/>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5 602</w:t>
            </w:r>
          </w:p>
        </w:tc>
        <w:tc>
          <w:tcPr>
            <w:tcW w:w="1371" w:type="dxa"/>
            <w:tcBorders>
              <w:top w:val="nil"/>
              <w:left w:val="nil"/>
              <w:bottom w:val="nil"/>
              <w:right w:val="single" w:sz="4" w:space="0" w:color="auto"/>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5 139</w:t>
            </w:r>
          </w:p>
        </w:tc>
      </w:tr>
      <w:tr w:rsidR="0096696E" w:rsidRPr="00E750E0" w:rsidTr="00BB3F3E">
        <w:trPr>
          <w:trHeight w:val="402"/>
        </w:trPr>
        <w:tc>
          <w:tcPr>
            <w:tcW w:w="468" w:type="dxa"/>
            <w:tcBorders>
              <w:top w:val="nil"/>
              <w:left w:val="single" w:sz="4" w:space="0" w:color="auto"/>
              <w:bottom w:val="nil"/>
              <w:right w:val="nil"/>
            </w:tcBorders>
            <w:shd w:val="clear" w:color="000000" w:fill="FFFFFF"/>
            <w:noWrap/>
          </w:tcPr>
          <w:p w:rsidR="0096696E" w:rsidRPr="00E750E0" w:rsidRDefault="0096696E" w:rsidP="001A5BF9">
            <w:pPr>
              <w:spacing w:before="120" w:after="120"/>
              <w:jc w:val="center"/>
              <w:rPr>
                <w:rFonts w:cs="Arial"/>
                <w:sz w:val="16"/>
                <w:szCs w:val="16"/>
              </w:rPr>
            </w:pPr>
            <w:proofErr w:type="spellStart"/>
            <w:r w:rsidRPr="00E750E0">
              <w:rPr>
                <w:sz w:val="16"/>
              </w:rPr>
              <w:t>II.2</w:t>
            </w:r>
            <w:proofErr w:type="spellEnd"/>
          </w:p>
        </w:tc>
        <w:tc>
          <w:tcPr>
            <w:tcW w:w="4782" w:type="dxa"/>
            <w:tcBorders>
              <w:top w:val="nil"/>
              <w:left w:val="nil"/>
              <w:bottom w:val="nil"/>
              <w:right w:val="nil"/>
            </w:tcBorders>
            <w:shd w:val="clear" w:color="000000" w:fill="FFFFFF"/>
          </w:tcPr>
          <w:p w:rsidR="0096696E" w:rsidRPr="00E750E0" w:rsidRDefault="0096696E" w:rsidP="001A5BF9">
            <w:pPr>
              <w:spacing w:before="120" w:after="120"/>
              <w:rPr>
                <w:rFonts w:cs="Arial"/>
                <w:sz w:val="16"/>
                <w:szCs w:val="16"/>
              </w:rPr>
            </w:pPr>
            <w:r w:rsidRPr="00E750E0">
              <w:rPr>
                <w:sz w:val="16"/>
              </w:rPr>
              <w:t>Liens renforcés avec les utilisateurs</w:t>
            </w:r>
            <w:r w:rsidR="00A20444" w:rsidRPr="00E750E0">
              <w:rPr>
                <w:sz w:val="16"/>
              </w:rPr>
              <w:t xml:space="preserve"> du PCT</w:t>
            </w:r>
            <w:r w:rsidRPr="00E750E0">
              <w:rPr>
                <w:sz w:val="16"/>
              </w:rPr>
              <w:t xml:space="preserve"> et les offices</w:t>
            </w:r>
          </w:p>
        </w:tc>
        <w:tc>
          <w:tcPr>
            <w:tcW w:w="1370" w:type="dxa"/>
            <w:tcBorders>
              <w:top w:val="nil"/>
              <w:left w:val="nil"/>
              <w:bottom w:val="nil"/>
              <w:right w:val="nil"/>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 xml:space="preserve">16 897 </w:t>
            </w:r>
          </w:p>
        </w:tc>
        <w:tc>
          <w:tcPr>
            <w:tcW w:w="1370" w:type="dxa"/>
            <w:tcBorders>
              <w:top w:val="nil"/>
              <w:left w:val="nil"/>
              <w:bottom w:val="nil"/>
              <w:right w:val="nil"/>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 xml:space="preserve">15 794 </w:t>
            </w:r>
          </w:p>
        </w:tc>
        <w:tc>
          <w:tcPr>
            <w:tcW w:w="1371" w:type="dxa"/>
            <w:tcBorders>
              <w:top w:val="nil"/>
              <w:left w:val="nil"/>
              <w:bottom w:val="nil"/>
              <w:right w:val="single" w:sz="4" w:space="0" w:color="auto"/>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 xml:space="preserve">15 505 </w:t>
            </w:r>
          </w:p>
        </w:tc>
      </w:tr>
      <w:tr w:rsidR="0096696E" w:rsidRPr="00E750E0" w:rsidTr="00BB3F3E">
        <w:trPr>
          <w:trHeight w:val="416"/>
        </w:trPr>
        <w:tc>
          <w:tcPr>
            <w:tcW w:w="468" w:type="dxa"/>
            <w:tcBorders>
              <w:top w:val="nil"/>
              <w:left w:val="single" w:sz="4" w:space="0" w:color="auto"/>
              <w:bottom w:val="nil"/>
              <w:right w:val="nil"/>
            </w:tcBorders>
            <w:shd w:val="clear" w:color="000000" w:fill="FFFFFF"/>
            <w:noWrap/>
          </w:tcPr>
          <w:p w:rsidR="0096696E" w:rsidRPr="00E750E0" w:rsidRDefault="0096696E" w:rsidP="001A5BF9">
            <w:pPr>
              <w:spacing w:before="120" w:after="120"/>
              <w:jc w:val="center"/>
              <w:rPr>
                <w:rFonts w:cs="Arial"/>
                <w:sz w:val="16"/>
                <w:szCs w:val="16"/>
              </w:rPr>
            </w:pPr>
            <w:proofErr w:type="spellStart"/>
            <w:r w:rsidRPr="00E750E0">
              <w:rPr>
                <w:sz w:val="16"/>
              </w:rPr>
              <w:t>II.3</w:t>
            </w:r>
            <w:proofErr w:type="spellEnd"/>
          </w:p>
        </w:tc>
        <w:tc>
          <w:tcPr>
            <w:tcW w:w="4782" w:type="dxa"/>
            <w:tcBorders>
              <w:top w:val="nil"/>
              <w:left w:val="nil"/>
              <w:bottom w:val="nil"/>
              <w:right w:val="nil"/>
            </w:tcBorders>
            <w:shd w:val="clear" w:color="000000" w:fill="FFFFFF"/>
          </w:tcPr>
          <w:p w:rsidR="0096696E" w:rsidRPr="00E750E0" w:rsidRDefault="0096696E" w:rsidP="001A5BF9">
            <w:pPr>
              <w:spacing w:before="120" w:after="120"/>
              <w:rPr>
                <w:rFonts w:cs="Arial"/>
                <w:sz w:val="16"/>
                <w:szCs w:val="16"/>
              </w:rPr>
            </w:pPr>
            <w:r w:rsidRPr="00E750E0">
              <w:rPr>
                <w:sz w:val="16"/>
              </w:rPr>
              <w:t>Amélioration globale du système</w:t>
            </w:r>
            <w:r w:rsidR="00A20444" w:rsidRPr="00E750E0">
              <w:rPr>
                <w:sz w:val="16"/>
              </w:rPr>
              <w:t xml:space="preserve"> du PCT</w:t>
            </w:r>
          </w:p>
        </w:tc>
        <w:tc>
          <w:tcPr>
            <w:tcW w:w="1370" w:type="dxa"/>
            <w:tcBorders>
              <w:top w:val="nil"/>
              <w:left w:val="nil"/>
              <w:bottom w:val="nil"/>
              <w:right w:val="nil"/>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 xml:space="preserve">3 225 </w:t>
            </w:r>
          </w:p>
        </w:tc>
        <w:tc>
          <w:tcPr>
            <w:tcW w:w="1370" w:type="dxa"/>
            <w:tcBorders>
              <w:top w:val="nil"/>
              <w:left w:val="nil"/>
              <w:bottom w:val="nil"/>
              <w:right w:val="nil"/>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3 261</w:t>
            </w:r>
          </w:p>
        </w:tc>
        <w:tc>
          <w:tcPr>
            <w:tcW w:w="1371" w:type="dxa"/>
            <w:tcBorders>
              <w:top w:val="nil"/>
              <w:left w:val="nil"/>
              <w:bottom w:val="nil"/>
              <w:right w:val="single" w:sz="4" w:space="0" w:color="auto"/>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 xml:space="preserve">3 061 </w:t>
            </w:r>
          </w:p>
        </w:tc>
      </w:tr>
      <w:tr w:rsidR="0096696E" w:rsidRPr="00E750E0" w:rsidTr="00BB3F3E">
        <w:trPr>
          <w:trHeight w:val="349"/>
        </w:trPr>
        <w:tc>
          <w:tcPr>
            <w:tcW w:w="468" w:type="dxa"/>
            <w:tcBorders>
              <w:top w:val="nil"/>
              <w:left w:val="single" w:sz="4" w:space="0" w:color="auto"/>
              <w:bottom w:val="single" w:sz="4" w:space="0" w:color="auto"/>
              <w:right w:val="nil"/>
            </w:tcBorders>
            <w:shd w:val="clear" w:color="000000" w:fill="FFFFFF"/>
            <w:noWrap/>
          </w:tcPr>
          <w:p w:rsidR="0096696E" w:rsidRPr="00E750E0" w:rsidRDefault="0096696E" w:rsidP="001A5BF9">
            <w:pPr>
              <w:spacing w:before="120" w:after="120"/>
              <w:jc w:val="center"/>
              <w:rPr>
                <w:rFonts w:cs="Arial"/>
                <w:sz w:val="16"/>
                <w:szCs w:val="16"/>
              </w:rPr>
            </w:pPr>
            <w:proofErr w:type="spellStart"/>
            <w:r w:rsidRPr="00E750E0">
              <w:rPr>
                <w:sz w:val="16"/>
              </w:rPr>
              <w:t>II.4</w:t>
            </w:r>
            <w:proofErr w:type="spellEnd"/>
          </w:p>
        </w:tc>
        <w:tc>
          <w:tcPr>
            <w:tcW w:w="4782" w:type="dxa"/>
            <w:tcBorders>
              <w:top w:val="nil"/>
              <w:left w:val="nil"/>
              <w:bottom w:val="single" w:sz="4" w:space="0" w:color="auto"/>
              <w:right w:val="nil"/>
            </w:tcBorders>
            <w:shd w:val="clear" w:color="000000" w:fill="FFFFFF"/>
          </w:tcPr>
          <w:p w:rsidR="0096696E" w:rsidRPr="00E750E0" w:rsidRDefault="0096696E" w:rsidP="001A5BF9">
            <w:pPr>
              <w:spacing w:before="120" w:after="120"/>
              <w:rPr>
                <w:rFonts w:cs="Arial"/>
                <w:sz w:val="16"/>
                <w:szCs w:val="16"/>
              </w:rPr>
            </w:pPr>
            <w:r w:rsidRPr="00E750E0">
              <w:rPr>
                <w:sz w:val="16"/>
              </w:rPr>
              <w:t>Amélioration du fonctionnement du Bureau international</w:t>
            </w:r>
          </w:p>
        </w:tc>
        <w:tc>
          <w:tcPr>
            <w:tcW w:w="1370" w:type="dxa"/>
            <w:tcBorders>
              <w:top w:val="nil"/>
              <w:left w:val="nil"/>
              <w:bottom w:val="single" w:sz="4" w:space="0" w:color="auto"/>
              <w:right w:val="nil"/>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 xml:space="preserve">152 098 </w:t>
            </w:r>
          </w:p>
        </w:tc>
        <w:tc>
          <w:tcPr>
            <w:tcW w:w="1370" w:type="dxa"/>
            <w:tcBorders>
              <w:top w:val="nil"/>
              <w:left w:val="nil"/>
              <w:bottom w:val="single" w:sz="4" w:space="0" w:color="auto"/>
              <w:right w:val="nil"/>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 xml:space="preserve">154 558 </w:t>
            </w:r>
          </w:p>
        </w:tc>
        <w:tc>
          <w:tcPr>
            <w:tcW w:w="1371" w:type="dxa"/>
            <w:tcBorders>
              <w:top w:val="nil"/>
              <w:left w:val="nil"/>
              <w:bottom w:val="single" w:sz="4" w:space="0" w:color="auto"/>
              <w:right w:val="single" w:sz="4" w:space="0" w:color="auto"/>
            </w:tcBorders>
            <w:shd w:val="clear" w:color="000000" w:fill="FFFFFF"/>
            <w:vAlign w:val="center"/>
          </w:tcPr>
          <w:p w:rsidR="0096696E" w:rsidRPr="00E750E0" w:rsidRDefault="0096696E" w:rsidP="001A5BF9">
            <w:pPr>
              <w:spacing w:before="120" w:after="120"/>
              <w:jc w:val="right"/>
              <w:rPr>
                <w:rFonts w:cs="Arial"/>
                <w:sz w:val="16"/>
                <w:szCs w:val="16"/>
              </w:rPr>
            </w:pPr>
            <w:r w:rsidRPr="00E750E0">
              <w:rPr>
                <w:sz w:val="16"/>
              </w:rPr>
              <w:t xml:space="preserve">150 449 </w:t>
            </w:r>
          </w:p>
        </w:tc>
      </w:tr>
      <w:tr w:rsidR="0096696E" w:rsidRPr="00E750E0" w:rsidTr="00BB3F3E">
        <w:trPr>
          <w:trHeight w:val="402"/>
        </w:trPr>
        <w:tc>
          <w:tcPr>
            <w:tcW w:w="468" w:type="dxa"/>
            <w:tcBorders>
              <w:top w:val="nil"/>
              <w:left w:val="single" w:sz="4" w:space="0" w:color="auto"/>
              <w:bottom w:val="single" w:sz="4" w:space="0" w:color="auto"/>
              <w:right w:val="nil"/>
            </w:tcBorders>
            <w:shd w:val="clear" w:color="000000" w:fill="CCFFFF"/>
            <w:noWrap/>
            <w:vAlign w:val="bottom"/>
          </w:tcPr>
          <w:p w:rsidR="0096696E" w:rsidRPr="00E750E0" w:rsidRDefault="0096696E" w:rsidP="001A5BF9">
            <w:pPr>
              <w:spacing w:before="120" w:after="120"/>
              <w:jc w:val="center"/>
              <w:rPr>
                <w:rFonts w:cs="Arial"/>
                <w:b/>
                <w:bCs/>
                <w:sz w:val="16"/>
                <w:szCs w:val="16"/>
              </w:rPr>
            </w:pPr>
            <w:r w:rsidRPr="00E750E0">
              <w:rPr>
                <w:b/>
                <w:sz w:val="16"/>
              </w:rPr>
              <w:t> </w:t>
            </w:r>
          </w:p>
        </w:tc>
        <w:tc>
          <w:tcPr>
            <w:tcW w:w="4782" w:type="dxa"/>
            <w:tcBorders>
              <w:top w:val="nil"/>
              <w:left w:val="nil"/>
              <w:bottom w:val="single" w:sz="4" w:space="0" w:color="auto"/>
              <w:right w:val="nil"/>
            </w:tcBorders>
            <w:shd w:val="clear" w:color="000000" w:fill="CCFFFF"/>
            <w:noWrap/>
            <w:vAlign w:val="center"/>
          </w:tcPr>
          <w:p w:rsidR="0096696E" w:rsidRPr="00E750E0" w:rsidRDefault="0096696E" w:rsidP="001A5BF9">
            <w:pPr>
              <w:spacing w:before="120" w:after="120"/>
              <w:rPr>
                <w:rFonts w:cs="Arial"/>
                <w:b/>
                <w:bCs/>
                <w:sz w:val="16"/>
                <w:szCs w:val="16"/>
              </w:rPr>
            </w:pPr>
            <w:r w:rsidRPr="00E750E0">
              <w:rPr>
                <w:b/>
                <w:sz w:val="16"/>
              </w:rPr>
              <w:t>Total</w:t>
            </w:r>
          </w:p>
        </w:tc>
        <w:tc>
          <w:tcPr>
            <w:tcW w:w="1370" w:type="dxa"/>
            <w:tcBorders>
              <w:top w:val="nil"/>
              <w:left w:val="single" w:sz="4" w:space="0" w:color="auto"/>
              <w:bottom w:val="single" w:sz="4" w:space="0" w:color="auto"/>
              <w:right w:val="single" w:sz="4" w:space="0" w:color="auto"/>
            </w:tcBorders>
            <w:shd w:val="clear" w:color="000000" w:fill="CCFFFF"/>
            <w:vAlign w:val="center"/>
          </w:tcPr>
          <w:p w:rsidR="0096696E" w:rsidRPr="00E750E0" w:rsidRDefault="0096696E" w:rsidP="001A5BF9">
            <w:pPr>
              <w:spacing w:before="120" w:after="120"/>
              <w:jc w:val="right"/>
              <w:rPr>
                <w:rFonts w:cs="Arial"/>
                <w:b/>
                <w:bCs/>
                <w:sz w:val="16"/>
                <w:szCs w:val="16"/>
              </w:rPr>
            </w:pPr>
            <w:r w:rsidRPr="00E750E0">
              <w:rPr>
                <w:b/>
                <w:sz w:val="16"/>
              </w:rPr>
              <w:t>178 600</w:t>
            </w:r>
          </w:p>
        </w:tc>
        <w:tc>
          <w:tcPr>
            <w:tcW w:w="1370" w:type="dxa"/>
            <w:tcBorders>
              <w:top w:val="nil"/>
              <w:left w:val="nil"/>
              <w:bottom w:val="single" w:sz="4" w:space="0" w:color="auto"/>
              <w:right w:val="single" w:sz="4" w:space="0" w:color="auto"/>
            </w:tcBorders>
            <w:shd w:val="clear" w:color="000000" w:fill="CCFFFF"/>
            <w:noWrap/>
            <w:vAlign w:val="center"/>
          </w:tcPr>
          <w:p w:rsidR="0096696E" w:rsidRPr="00E750E0" w:rsidRDefault="0096696E" w:rsidP="001A5BF9">
            <w:pPr>
              <w:spacing w:before="120" w:after="120"/>
              <w:jc w:val="right"/>
              <w:rPr>
                <w:rFonts w:cs="Arial"/>
                <w:b/>
                <w:bCs/>
                <w:sz w:val="16"/>
                <w:szCs w:val="16"/>
              </w:rPr>
            </w:pPr>
            <w:r w:rsidRPr="00E750E0">
              <w:rPr>
                <w:b/>
                <w:sz w:val="16"/>
              </w:rPr>
              <w:t>179 215</w:t>
            </w:r>
          </w:p>
        </w:tc>
        <w:tc>
          <w:tcPr>
            <w:tcW w:w="1371" w:type="dxa"/>
            <w:tcBorders>
              <w:top w:val="nil"/>
              <w:left w:val="nil"/>
              <w:bottom w:val="single" w:sz="4" w:space="0" w:color="auto"/>
              <w:right w:val="single" w:sz="4" w:space="0" w:color="auto"/>
            </w:tcBorders>
            <w:shd w:val="clear" w:color="000000" w:fill="CCFFFF"/>
            <w:vAlign w:val="center"/>
          </w:tcPr>
          <w:p w:rsidR="0096696E" w:rsidRPr="00E750E0" w:rsidRDefault="0096696E" w:rsidP="001A5BF9">
            <w:pPr>
              <w:spacing w:before="120" w:after="120"/>
              <w:jc w:val="right"/>
              <w:rPr>
                <w:rFonts w:cs="Arial"/>
                <w:b/>
                <w:bCs/>
                <w:sz w:val="16"/>
                <w:szCs w:val="16"/>
              </w:rPr>
            </w:pPr>
            <w:r w:rsidRPr="00E750E0">
              <w:rPr>
                <w:b/>
                <w:sz w:val="16"/>
              </w:rPr>
              <w:t>174 154</w:t>
            </w:r>
          </w:p>
        </w:tc>
      </w:tr>
    </w:tbl>
    <w:p w:rsidR="00D42474" w:rsidRDefault="00D42474" w:rsidP="001A5BF9">
      <w:pPr>
        <w:rPr>
          <w:rFonts w:cs="Arial"/>
          <w:b/>
          <w:bCs/>
          <w:sz w:val="18"/>
          <w:szCs w:val="18"/>
        </w:rPr>
      </w:pPr>
    </w:p>
    <w:p w:rsidR="00D42474" w:rsidRDefault="00D42474" w:rsidP="001A5BF9">
      <w:pPr>
        <w:rPr>
          <w:rFonts w:cs="Arial"/>
          <w:b/>
          <w:bCs/>
          <w:sz w:val="18"/>
          <w:szCs w:val="18"/>
        </w:rPr>
      </w:pPr>
    </w:p>
    <w:p w:rsidR="00D42474" w:rsidRDefault="0096696E" w:rsidP="001A5BF9">
      <w:pPr>
        <w:pStyle w:val="NormalWeb"/>
        <w:spacing w:before="0" w:beforeAutospacing="0" w:after="0" w:afterAutospacing="0"/>
        <w:jc w:val="center"/>
        <w:rPr>
          <w:sz w:val="20"/>
        </w:rPr>
      </w:pPr>
      <w:r w:rsidRPr="00E750E0">
        <w:rPr>
          <w:sz w:val="20"/>
        </w:rPr>
        <w:t xml:space="preserve">Budget et dépenses effectives (dépenses de </w:t>
      </w:r>
      <w:proofErr w:type="gramStart"/>
      <w:r w:rsidRPr="00E750E0">
        <w:rPr>
          <w:sz w:val="20"/>
        </w:rPr>
        <w:t>personnel et autres dépenses</w:t>
      </w:r>
      <w:proofErr w:type="gramEnd"/>
      <w:r w:rsidRPr="00E750E0">
        <w:rPr>
          <w:sz w:val="20"/>
        </w:rPr>
        <w:t>)</w:t>
      </w:r>
    </w:p>
    <w:p w:rsidR="00D42474" w:rsidRDefault="0096696E" w:rsidP="001A5BF9">
      <w:pPr>
        <w:pStyle w:val="NormalWeb"/>
        <w:spacing w:before="0" w:beforeAutospacing="0" w:after="0" w:afterAutospacing="0"/>
        <w:jc w:val="center"/>
        <w:rPr>
          <w:sz w:val="20"/>
          <w:szCs w:val="20"/>
        </w:rPr>
      </w:pPr>
      <w:r w:rsidRPr="00E750E0">
        <w:rPr>
          <w:i/>
          <w:sz w:val="20"/>
        </w:rPr>
        <w:t>(</w:t>
      </w:r>
      <w:proofErr w:type="gramStart"/>
      <w:r w:rsidRPr="00E750E0">
        <w:rPr>
          <w:i/>
          <w:sz w:val="20"/>
        </w:rPr>
        <w:t>en</w:t>
      </w:r>
      <w:proofErr w:type="gramEnd"/>
      <w:r w:rsidRPr="00E750E0">
        <w:rPr>
          <w:i/>
          <w:sz w:val="20"/>
        </w:rPr>
        <w:t xml:space="preserve"> milliers de francs suisses)</w:t>
      </w:r>
    </w:p>
    <w:p w:rsidR="0096696E" w:rsidRPr="00E750E0" w:rsidRDefault="0096696E" w:rsidP="001A5BF9">
      <w:pPr>
        <w:rPr>
          <w:rFonts w:cs="Arial"/>
          <w:b/>
          <w:bCs/>
          <w:sz w:val="18"/>
          <w:szCs w:val="18"/>
        </w:rPr>
      </w:pPr>
    </w:p>
    <w:tbl>
      <w:tblPr>
        <w:tblW w:w="0" w:type="auto"/>
        <w:tblInd w:w="93" w:type="dxa"/>
        <w:tblLook w:val="04A0" w:firstRow="1" w:lastRow="0" w:firstColumn="1" w:lastColumn="0" w:noHBand="0" w:noVBand="1"/>
      </w:tblPr>
      <w:tblGrid>
        <w:gridCol w:w="2425"/>
        <w:gridCol w:w="1736"/>
        <w:gridCol w:w="1737"/>
        <w:gridCol w:w="1736"/>
        <w:gridCol w:w="1737"/>
      </w:tblGrid>
      <w:tr w:rsidR="0096696E" w:rsidRPr="00E750E0" w:rsidTr="00BB3F3E">
        <w:trPr>
          <w:trHeight w:val="330"/>
        </w:trPr>
        <w:tc>
          <w:tcPr>
            <w:tcW w:w="2425"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E750E0" w:rsidRDefault="0096696E" w:rsidP="001A5BF9">
            <w:pPr>
              <w:spacing w:before="120" w:after="120"/>
              <w:rPr>
                <w:rFonts w:cs="Arial"/>
                <w:sz w:val="16"/>
                <w:szCs w:val="16"/>
              </w:rPr>
            </w:pPr>
            <w:r w:rsidRPr="00E750E0">
              <w:rPr>
                <w:sz w:val="16"/>
              </w:rPr>
              <w:t> </w:t>
            </w:r>
          </w:p>
        </w:tc>
        <w:tc>
          <w:tcPr>
            <w:tcW w:w="1736" w:type="dxa"/>
            <w:tcBorders>
              <w:top w:val="single" w:sz="4" w:space="0" w:color="auto"/>
              <w:left w:val="nil"/>
              <w:bottom w:val="nil"/>
              <w:right w:val="single" w:sz="4" w:space="0" w:color="auto"/>
            </w:tcBorders>
            <w:shd w:val="clear" w:color="000000" w:fill="CCFFFF"/>
            <w:vAlign w:val="center"/>
          </w:tcPr>
          <w:p w:rsidR="0096696E" w:rsidRPr="00E750E0" w:rsidRDefault="0096696E" w:rsidP="001A5BF9">
            <w:pPr>
              <w:spacing w:before="120" w:after="120"/>
              <w:jc w:val="center"/>
              <w:rPr>
                <w:rFonts w:cs="Arial"/>
                <w:bCs/>
                <w:sz w:val="16"/>
                <w:szCs w:val="16"/>
              </w:rPr>
            </w:pPr>
            <w:r w:rsidRPr="00E750E0">
              <w:rPr>
                <w:sz w:val="16"/>
              </w:rPr>
              <w:t>Budget</w:t>
            </w:r>
            <w:r w:rsidRPr="00E750E0">
              <w:br/>
            </w:r>
            <w:r w:rsidRPr="00E750E0">
              <w:rPr>
                <w:sz w:val="16"/>
              </w:rPr>
              <w:t>2012</w:t>
            </w:r>
            <w:r w:rsidR="002D6F2A" w:rsidRPr="00E750E0">
              <w:rPr>
                <w:sz w:val="16"/>
              </w:rPr>
              <w:noBreakHyphen/>
            </w:r>
            <w:r w:rsidRPr="00E750E0">
              <w:rPr>
                <w:sz w:val="16"/>
              </w:rPr>
              <w:t>2013</w:t>
            </w:r>
            <w:r w:rsidRPr="00E750E0">
              <w:br/>
            </w:r>
            <w:r w:rsidRPr="00E750E0">
              <w:rPr>
                <w:sz w:val="16"/>
              </w:rPr>
              <w:t>approuvé</w:t>
            </w:r>
          </w:p>
        </w:tc>
        <w:tc>
          <w:tcPr>
            <w:tcW w:w="1737" w:type="dxa"/>
            <w:tcBorders>
              <w:top w:val="single" w:sz="4" w:space="0" w:color="auto"/>
              <w:left w:val="nil"/>
              <w:bottom w:val="nil"/>
              <w:right w:val="single" w:sz="4" w:space="0" w:color="auto"/>
            </w:tcBorders>
            <w:shd w:val="clear" w:color="000000" w:fill="CCFFFF"/>
            <w:vAlign w:val="center"/>
          </w:tcPr>
          <w:p w:rsidR="0096696E" w:rsidRPr="00E750E0" w:rsidRDefault="0096696E" w:rsidP="001A5BF9">
            <w:pPr>
              <w:spacing w:before="120" w:after="120"/>
              <w:jc w:val="center"/>
              <w:rPr>
                <w:rFonts w:cs="Arial"/>
                <w:bCs/>
                <w:sz w:val="16"/>
                <w:szCs w:val="16"/>
              </w:rPr>
            </w:pPr>
            <w:r w:rsidRPr="00E750E0">
              <w:rPr>
                <w:sz w:val="16"/>
              </w:rPr>
              <w:t>Budget</w:t>
            </w:r>
            <w:r w:rsidRPr="00E750E0">
              <w:br/>
            </w:r>
            <w:r w:rsidRPr="00E750E0">
              <w:rPr>
                <w:sz w:val="16"/>
              </w:rPr>
              <w:t>2012</w:t>
            </w:r>
            <w:r w:rsidR="002D6F2A" w:rsidRPr="00E750E0">
              <w:rPr>
                <w:sz w:val="16"/>
              </w:rPr>
              <w:noBreakHyphen/>
            </w:r>
            <w:r w:rsidRPr="00E750E0">
              <w:rPr>
                <w:sz w:val="16"/>
              </w:rPr>
              <w:t>2013</w:t>
            </w:r>
            <w:r w:rsidRPr="00E750E0">
              <w:br/>
            </w:r>
            <w:r w:rsidRPr="00E750E0">
              <w:rPr>
                <w:sz w:val="16"/>
              </w:rPr>
              <w:t>après virements</w:t>
            </w:r>
          </w:p>
        </w:tc>
        <w:tc>
          <w:tcPr>
            <w:tcW w:w="1736" w:type="dxa"/>
            <w:tcBorders>
              <w:top w:val="single" w:sz="4" w:space="0" w:color="auto"/>
              <w:left w:val="nil"/>
              <w:bottom w:val="nil"/>
              <w:right w:val="single" w:sz="4" w:space="0" w:color="auto"/>
            </w:tcBorders>
            <w:shd w:val="clear" w:color="000000" w:fill="CCFFFF"/>
            <w:vAlign w:val="center"/>
          </w:tcPr>
          <w:p w:rsidR="0096696E" w:rsidRPr="00E750E0" w:rsidRDefault="0096696E" w:rsidP="001A5BF9">
            <w:pPr>
              <w:spacing w:before="120" w:after="120"/>
              <w:jc w:val="center"/>
              <w:rPr>
                <w:rFonts w:cs="Arial"/>
                <w:bCs/>
                <w:sz w:val="16"/>
                <w:szCs w:val="16"/>
              </w:rPr>
            </w:pPr>
            <w:r w:rsidRPr="00E750E0">
              <w:rPr>
                <w:sz w:val="16"/>
              </w:rPr>
              <w:t>Dépenses</w:t>
            </w:r>
            <w:r w:rsidRPr="00E750E0">
              <w:br/>
            </w:r>
            <w:r w:rsidRPr="00E750E0">
              <w:rPr>
                <w:sz w:val="16"/>
              </w:rPr>
              <w:t>2012</w:t>
            </w:r>
            <w:r w:rsidR="002D6F2A" w:rsidRPr="00E750E0">
              <w:rPr>
                <w:sz w:val="16"/>
              </w:rPr>
              <w:noBreakHyphen/>
            </w:r>
            <w:r w:rsidRPr="00E750E0">
              <w:rPr>
                <w:sz w:val="16"/>
              </w:rPr>
              <w:t>2013</w:t>
            </w:r>
          </w:p>
        </w:tc>
        <w:tc>
          <w:tcPr>
            <w:tcW w:w="1737" w:type="dxa"/>
            <w:tcBorders>
              <w:top w:val="single" w:sz="4" w:space="0" w:color="auto"/>
              <w:left w:val="nil"/>
              <w:bottom w:val="nil"/>
              <w:right w:val="single" w:sz="4" w:space="0" w:color="auto"/>
            </w:tcBorders>
            <w:shd w:val="clear" w:color="000000" w:fill="CCFFFF"/>
            <w:vAlign w:val="center"/>
          </w:tcPr>
          <w:p w:rsidR="0096696E" w:rsidRPr="00E750E0" w:rsidRDefault="0096696E" w:rsidP="001A5BF9">
            <w:pPr>
              <w:spacing w:before="120" w:after="120"/>
              <w:jc w:val="center"/>
              <w:rPr>
                <w:rFonts w:cs="Arial"/>
                <w:bCs/>
                <w:sz w:val="16"/>
                <w:szCs w:val="16"/>
              </w:rPr>
            </w:pPr>
            <w:r w:rsidRPr="00E750E0">
              <w:rPr>
                <w:sz w:val="16"/>
              </w:rPr>
              <w:t>Taux d</w:t>
            </w:r>
            <w:r w:rsidR="00A20444" w:rsidRPr="00E750E0">
              <w:rPr>
                <w:sz w:val="16"/>
              </w:rPr>
              <w:t>’</w:t>
            </w:r>
            <w:r w:rsidRPr="00E750E0">
              <w:rPr>
                <w:sz w:val="16"/>
              </w:rPr>
              <w:t xml:space="preserve">utilisation </w:t>
            </w:r>
            <w:r w:rsidR="00BD43F2" w:rsidRPr="00E750E0">
              <w:rPr>
                <w:sz w:val="16"/>
              </w:rPr>
              <w:t>(</w:t>
            </w:r>
            <w:r w:rsidR="007E442D" w:rsidRPr="00E750E0">
              <w:rPr>
                <w:sz w:val="16"/>
              </w:rPr>
              <w:t>%</w:t>
            </w:r>
            <w:r w:rsidRPr="00E750E0">
              <w:rPr>
                <w:sz w:val="16"/>
              </w:rPr>
              <w:t>)</w:t>
            </w:r>
          </w:p>
        </w:tc>
      </w:tr>
      <w:tr w:rsidR="0096696E" w:rsidRPr="00E750E0" w:rsidTr="00BB3F3E">
        <w:trPr>
          <w:trHeight w:val="330"/>
        </w:trPr>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E750E0" w:rsidRDefault="0096696E" w:rsidP="001A5BF9">
            <w:pPr>
              <w:spacing w:before="120" w:after="120"/>
              <w:rPr>
                <w:rFonts w:cs="Arial"/>
                <w:sz w:val="16"/>
                <w:szCs w:val="16"/>
              </w:rPr>
            </w:pPr>
            <w:r w:rsidRPr="00E750E0">
              <w:rPr>
                <w:sz w:val="16"/>
              </w:rPr>
              <w:t>Dépenses de personnel</w:t>
            </w:r>
            <w:r w:rsidR="004F3E42" w:rsidRPr="00E750E0">
              <w:rPr>
                <w:sz w:val="16"/>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sz w:val="16"/>
                <w:szCs w:val="16"/>
              </w:rPr>
            </w:pPr>
            <w:r w:rsidRPr="00E750E0">
              <w:rPr>
                <w:sz w:val="16"/>
              </w:rPr>
              <w:t>118 705</w:t>
            </w:r>
          </w:p>
        </w:tc>
        <w:tc>
          <w:tcPr>
            <w:tcW w:w="1737" w:type="dxa"/>
            <w:tcBorders>
              <w:top w:val="single" w:sz="4" w:space="0" w:color="auto"/>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sz w:val="16"/>
                <w:szCs w:val="16"/>
              </w:rPr>
            </w:pPr>
            <w:r w:rsidRPr="00E750E0">
              <w:rPr>
                <w:sz w:val="16"/>
              </w:rPr>
              <w:t>117 580</w:t>
            </w:r>
          </w:p>
        </w:tc>
        <w:tc>
          <w:tcPr>
            <w:tcW w:w="1736" w:type="dxa"/>
            <w:tcBorders>
              <w:top w:val="single" w:sz="4" w:space="0" w:color="auto"/>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sz w:val="16"/>
                <w:szCs w:val="16"/>
              </w:rPr>
            </w:pPr>
            <w:r w:rsidRPr="00E750E0">
              <w:rPr>
                <w:sz w:val="16"/>
              </w:rPr>
              <w:t>117 580</w:t>
            </w:r>
          </w:p>
        </w:tc>
        <w:tc>
          <w:tcPr>
            <w:tcW w:w="1737" w:type="dxa"/>
            <w:tcBorders>
              <w:top w:val="single" w:sz="4" w:space="0" w:color="auto"/>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sz w:val="16"/>
                <w:szCs w:val="16"/>
              </w:rPr>
            </w:pPr>
            <w:r w:rsidRPr="00E750E0">
              <w:rPr>
                <w:sz w:val="16"/>
              </w:rPr>
              <w:t>100</w:t>
            </w:r>
            <w:r w:rsidR="007E442D" w:rsidRPr="00E750E0">
              <w:rPr>
                <w:sz w:val="16"/>
              </w:rPr>
              <w:t>%</w:t>
            </w:r>
          </w:p>
        </w:tc>
      </w:tr>
      <w:tr w:rsidR="0096696E" w:rsidRPr="00E750E0" w:rsidTr="00BB3F3E">
        <w:trPr>
          <w:trHeight w:val="330"/>
        </w:trPr>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E750E0" w:rsidRDefault="0096696E" w:rsidP="001A5BF9">
            <w:pPr>
              <w:spacing w:before="120" w:after="120"/>
              <w:rPr>
                <w:rFonts w:cs="Arial"/>
                <w:sz w:val="16"/>
                <w:szCs w:val="16"/>
              </w:rPr>
            </w:pPr>
            <w:r w:rsidRPr="00E750E0">
              <w:rPr>
                <w:sz w:val="16"/>
              </w:rPr>
              <w:t xml:space="preserve">Autres dépenses </w:t>
            </w:r>
          </w:p>
        </w:tc>
        <w:tc>
          <w:tcPr>
            <w:tcW w:w="1736" w:type="dxa"/>
            <w:tcBorders>
              <w:top w:val="nil"/>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sz w:val="16"/>
                <w:szCs w:val="16"/>
              </w:rPr>
            </w:pPr>
            <w:r w:rsidRPr="00E750E0">
              <w:rPr>
                <w:sz w:val="16"/>
              </w:rPr>
              <w:t>59 895</w:t>
            </w:r>
          </w:p>
        </w:tc>
        <w:tc>
          <w:tcPr>
            <w:tcW w:w="1737" w:type="dxa"/>
            <w:tcBorders>
              <w:top w:val="nil"/>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sz w:val="16"/>
                <w:szCs w:val="16"/>
              </w:rPr>
            </w:pPr>
            <w:r w:rsidRPr="00E750E0">
              <w:rPr>
                <w:sz w:val="16"/>
              </w:rPr>
              <w:t>61 635</w:t>
            </w:r>
          </w:p>
        </w:tc>
        <w:tc>
          <w:tcPr>
            <w:tcW w:w="1736" w:type="dxa"/>
            <w:tcBorders>
              <w:top w:val="nil"/>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sz w:val="16"/>
                <w:szCs w:val="16"/>
              </w:rPr>
            </w:pPr>
            <w:r w:rsidRPr="00E750E0">
              <w:rPr>
                <w:sz w:val="16"/>
              </w:rPr>
              <w:t>56 575</w:t>
            </w:r>
          </w:p>
        </w:tc>
        <w:tc>
          <w:tcPr>
            <w:tcW w:w="1737" w:type="dxa"/>
            <w:tcBorders>
              <w:top w:val="nil"/>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sz w:val="16"/>
                <w:szCs w:val="16"/>
              </w:rPr>
            </w:pPr>
            <w:r w:rsidRPr="00E750E0">
              <w:rPr>
                <w:sz w:val="16"/>
              </w:rPr>
              <w:t>92</w:t>
            </w:r>
            <w:r w:rsidR="007E442D" w:rsidRPr="00E750E0">
              <w:rPr>
                <w:sz w:val="16"/>
              </w:rPr>
              <w:t>%</w:t>
            </w:r>
          </w:p>
        </w:tc>
      </w:tr>
      <w:tr w:rsidR="0096696E" w:rsidRPr="00E750E0" w:rsidTr="00BB3F3E">
        <w:trPr>
          <w:trHeight w:val="330"/>
        </w:trPr>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E750E0" w:rsidRDefault="0096696E" w:rsidP="001A5BF9">
            <w:pPr>
              <w:spacing w:before="120" w:after="120"/>
              <w:jc w:val="right"/>
              <w:rPr>
                <w:rFonts w:cs="Arial"/>
                <w:b/>
                <w:bCs/>
                <w:sz w:val="16"/>
                <w:szCs w:val="16"/>
              </w:rPr>
            </w:pPr>
            <w:r w:rsidRPr="00E750E0">
              <w:rPr>
                <w:b/>
                <w:sz w:val="16"/>
              </w:rPr>
              <w:t xml:space="preserve"> TOTAL </w:t>
            </w:r>
          </w:p>
        </w:tc>
        <w:tc>
          <w:tcPr>
            <w:tcW w:w="1736" w:type="dxa"/>
            <w:tcBorders>
              <w:top w:val="nil"/>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b/>
                <w:bCs/>
                <w:sz w:val="16"/>
                <w:szCs w:val="16"/>
              </w:rPr>
            </w:pPr>
            <w:r w:rsidRPr="00E750E0">
              <w:rPr>
                <w:b/>
                <w:sz w:val="16"/>
              </w:rPr>
              <w:t>178 600</w:t>
            </w:r>
          </w:p>
        </w:tc>
        <w:tc>
          <w:tcPr>
            <w:tcW w:w="1737" w:type="dxa"/>
            <w:tcBorders>
              <w:top w:val="nil"/>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b/>
                <w:bCs/>
                <w:sz w:val="16"/>
                <w:szCs w:val="16"/>
              </w:rPr>
            </w:pPr>
            <w:r w:rsidRPr="00E750E0">
              <w:rPr>
                <w:b/>
                <w:sz w:val="16"/>
              </w:rPr>
              <w:t>179 215</w:t>
            </w:r>
          </w:p>
        </w:tc>
        <w:tc>
          <w:tcPr>
            <w:tcW w:w="1736" w:type="dxa"/>
            <w:tcBorders>
              <w:top w:val="nil"/>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b/>
                <w:bCs/>
                <w:sz w:val="16"/>
                <w:szCs w:val="16"/>
              </w:rPr>
            </w:pPr>
            <w:r w:rsidRPr="00E750E0">
              <w:rPr>
                <w:b/>
                <w:sz w:val="16"/>
              </w:rPr>
              <w:t>174 154</w:t>
            </w:r>
          </w:p>
        </w:tc>
        <w:tc>
          <w:tcPr>
            <w:tcW w:w="1737" w:type="dxa"/>
            <w:tcBorders>
              <w:top w:val="nil"/>
              <w:left w:val="nil"/>
              <w:bottom w:val="single" w:sz="4" w:space="0" w:color="auto"/>
              <w:right w:val="single" w:sz="4" w:space="0" w:color="auto"/>
            </w:tcBorders>
            <w:shd w:val="clear" w:color="auto" w:fill="auto"/>
            <w:vAlign w:val="center"/>
          </w:tcPr>
          <w:p w:rsidR="0096696E" w:rsidRPr="00E750E0" w:rsidRDefault="0096696E" w:rsidP="001A5BF9">
            <w:pPr>
              <w:spacing w:before="120" w:after="120"/>
              <w:jc w:val="center"/>
              <w:rPr>
                <w:rFonts w:cs="Arial"/>
                <w:b/>
                <w:bCs/>
                <w:sz w:val="16"/>
                <w:szCs w:val="16"/>
              </w:rPr>
            </w:pPr>
            <w:r w:rsidRPr="00E750E0">
              <w:rPr>
                <w:b/>
                <w:sz w:val="16"/>
              </w:rPr>
              <w:t>97</w:t>
            </w:r>
            <w:r w:rsidR="007E442D" w:rsidRPr="00E750E0">
              <w:rPr>
                <w:b/>
                <w:sz w:val="16"/>
              </w:rPr>
              <w:t>%</w:t>
            </w:r>
          </w:p>
        </w:tc>
      </w:tr>
    </w:tbl>
    <w:p w:rsidR="00D42474" w:rsidRDefault="00D42474" w:rsidP="001A5BF9">
      <w:pPr>
        <w:keepNext/>
        <w:keepLines/>
        <w:autoSpaceDE w:val="0"/>
        <w:autoSpaceDN w:val="0"/>
        <w:adjustRightInd w:val="0"/>
        <w:rPr>
          <w:rFonts w:cs="Arial"/>
          <w:sz w:val="16"/>
          <w:szCs w:val="16"/>
        </w:rPr>
      </w:pPr>
    </w:p>
    <w:p w:rsidR="00D42474" w:rsidRDefault="0096696E" w:rsidP="001A5BF9">
      <w:pPr>
        <w:keepNext/>
        <w:autoSpaceDE w:val="0"/>
        <w:autoSpaceDN w:val="0"/>
        <w:rPr>
          <w:sz w:val="16"/>
          <w:szCs w:val="16"/>
        </w:rPr>
      </w:pPr>
      <w:proofErr w:type="gramStart"/>
      <w:r w:rsidRPr="00E750E0">
        <w:rPr>
          <w:sz w:val="16"/>
        </w:rPr>
        <w:t>REMARQUES</w:t>
      </w:r>
      <w:proofErr w:type="gramEnd"/>
      <w:r w:rsidRPr="00E750E0">
        <w:rPr>
          <w:sz w:val="16"/>
        </w:rPr>
        <w:t> :</w:t>
      </w:r>
    </w:p>
    <w:p w:rsidR="00D42474" w:rsidRDefault="00D42474" w:rsidP="001A5BF9">
      <w:pPr>
        <w:keepNext/>
        <w:autoSpaceDE w:val="0"/>
        <w:autoSpaceDN w:val="0"/>
        <w:rPr>
          <w:sz w:val="16"/>
          <w:szCs w:val="16"/>
        </w:rPr>
      </w:pPr>
    </w:p>
    <w:p w:rsidR="00D42474" w:rsidRDefault="0096696E" w:rsidP="001A5BF9">
      <w:pPr>
        <w:keepNext/>
        <w:autoSpaceDE w:val="0"/>
        <w:autoSpaceDN w:val="0"/>
        <w:rPr>
          <w:sz w:val="16"/>
          <w:szCs w:val="16"/>
        </w:rPr>
      </w:pPr>
      <w:r w:rsidRPr="00E750E0">
        <w:rPr>
          <w:sz w:val="16"/>
        </w:rPr>
        <w:t>1)</w:t>
      </w:r>
      <w:r w:rsidR="004F3E42" w:rsidRPr="00E750E0">
        <w:rPr>
          <w:sz w:val="16"/>
        </w:rPr>
        <w:t xml:space="preserve"> </w:t>
      </w:r>
      <w:r w:rsidR="00E750E0">
        <w:rPr>
          <w:sz w:val="16"/>
        </w:rPr>
        <w:tab/>
      </w:r>
      <w:r w:rsidRPr="00E750E0">
        <w:rPr>
          <w:sz w:val="16"/>
        </w:rPr>
        <w:t>Le budget restructuré après virements tient compte du budget ajusté des programmes après les virements réalisés au cours de l</w:t>
      </w:r>
      <w:r w:rsidR="00A20444" w:rsidRPr="00E750E0">
        <w:rPr>
          <w:sz w:val="16"/>
        </w:rPr>
        <w:t>’</w:t>
      </w:r>
      <w:r w:rsidRPr="00E750E0">
        <w:rPr>
          <w:sz w:val="16"/>
        </w:rPr>
        <w:t>exercice 2012</w:t>
      </w:r>
      <w:r w:rsidR="002D6F2A" w:rsidRPr="00E750E0">
        <w:rPr>
          <w:sz w:val="16"/>
        </w:rPr>
        <w:noBreakHyphen/>
      </w:r>
      <w:r w:rsidRPr="00E750E0">
        <w:rPr>
          <w:sz w:val="16"/>
        </w:rPr>
        <w:t xml:space="preserve">2013, conformément à </w:t>
      </w:r>
      <w:r w:rsidR="00E15133" w:rsidRPr="00E750E0">
        <w:rPr>
          <w:sz w:val="16"/>
        </w:rPr>
        <w:t>l</w:t>
      </w:r>
      <w:r w:rsidR="00A20444" w:rsidRPr="00E750E0">
        <w:rPr>
          <w:sz w:val="16"/>
        </w:rPr>
        <w:t>’</w:t>
      </w:r>
      <w:r w:rsidR="00E15133" w:rsidRPr="00E750E0">
        <w:rPr>
          <w:sz w:val="16"/>
        </w:rPr>
        <w:t>article 5.5</w:t>
      </w:r>
      <w:r w:rsidRPr="00E750E0">
        <w:rPr>
          <w:sz w:val="16"/>
        </w:rPr>
        <w:t xml:space="preserve"> du règlement d</w:t>
      </w:r>
      <w:r w:rsidR="00A20444" w:rsidRPr="00E750E0">
        <w:rPr>
          <w:sz w:val="16"/>
        </w:rPr>
        <w:t>’</w:t>
      </w:r>
      <w:r w:rsidRPr="00E750E0">
        <w:rPr>
          <w:sz w:val="16"/>
        </w:rPr>
        <w:t>exécution du Règlement financier.</w:t>
      </w:r>
    </w:p>
    <w:p w:rsidR="00D42474" w:rsidRDefault="00D42474" w:rsidP="001A5BF9">
      <w:pPr>
        <w:keepNext/>
        <w:autoSpaceDE w:val="0"/>
        <w:autoSpaceDN w:val="0"/>
        <w:rPr>
          <w:sz w:val="16"/>
          <w:szCs w:val="16"/>
        </w:rPr>
      </w:pPr>
    </w:p>
    <w:p w:rsidR="00D42474" w:rsidRDefault="0096696E" w:rsidP="001A5BF9">
      <w:pPr>
        <w:keepNext/>
        <w:autoSpaceDE w:val="0"/>
        <w:autoSpaceDN w:val="0"/>
        <w:rPr>
          <w:sz w:val="16"/>
        </w:rPr>
      </w:pPr>
      <w:r w:rsidRPr="00E750E0">
        <w:rPr>
          <w:sz w:val="16"/>
        </w:rPr>
        <w:t>2)</w:t>
      </w:r>
      <w:r w:rsidR="00E750E0">
        <w:rPr>
          <w:sz w:val="16"/>
        </w:rPr>
        <w:tab/>
      </w:r>
      <w:r w:rsidRPr="00E750E0">
        <w:rPr>
          <w:sz w:val="16"/>
        </w:rPr>
        <w:t>Les dépenses de personnel indiquées dans le budget de l</w:t>
      </w:r>
      <w:r w:rsidR="00A20444" w:rsidRPr="00E750E0">
        <w:rPr>
          <w:sz w:val="16"/>
        </w:rPr>
        <w:t>’</w:t>
      </w:r>
      <w:r w:rsidRPr="00E750E0">
        <w:rPr>
          <w:sz w:val="16"/>
        </w:rPr>
        <w:t>exercice 2012</w:t>
      </w:r>
      <w:r w:rsidR="002D6F2A" w:rsidRPr="00E750E0">
        <w:rPr>
          <w:sz w:val="16"/>
        </w:rPr>
        <w:noBreakHyphen/>
      </w:r>
      <w:r w:rsidRPr="00E750E0">
        <w:rPr>
          <w:sz w:val="16"/>
        </w:rPr>
        <w:t>2013 après virements représentent les dépenses réelles engagées pendant l</w:t>
      </w:r>
      <w:r w:rsidR="00A20444" w:rsidRPr="00E750E0">
        <w:rPr>
          <w:sz w:val="16"/>
        </w:rPr>
        <w:t>’</w:t>
      </w:r>
      <w:r w:rsidRPr="00E750E0">
        <w:rPr>
          <w:sz w:val="16"/>
        </w:rPr>
        <w:t>exercice biennal.</w:t>
      </w:r>
    </w:p>
    <w:p w:rsidR="00D42474" w:rsidRDefault="0096696E" w:rsidP="001A5BF9">
      <w:r w:rsidRPr="005C7CCE">
        <w:br w:type="page"/>
      </w:r>
    </w:p>
    <w:p w:rsidR="00D42474" w:rsidRDefault="0096696E" w:rsidP="001A5BF9">
      <w:pPr>
        <w:tabs>
          <w:tab w:val="left" w:pos="709"/>
        </w:tabs>
        <w:rPr>
          <w:rFonts w:cs="Arial"/>
          <w:szCs w:val="20"/>
          <w:u w:val="single"/>
        </w:rPr>
      </w:pPr>
      <w:r w:rsidRPr="009712C0">
        <w:t>A.</w:t>
      </w:r>
      <w:r w:rsidRPr="009712C0">
        <w:tab/>
      </w:r>
      <w:r w:rsidRPr="009712C0">
        <w:rPr>
          <w:u w:val="single"/>
        </w:rPr>
        <w:t>Budget 2012</w:t>
      </w:r>
      <w:r w:rsidR="002D6F2A" w:rsidRPr="009712C0">
        <w:rPr>
          <w:u w:val="single"/>
        </w:rPr>
        <w:noBreakHyphen/>
      </w:r>
      <w:r w:rsidRPr="009712C0">
        <w:rPr>
          <w:u w:val="single"/>
        </w:rPr>
        <w:t>2013 après virements</w:t>
      </w:r>
    </w:p>
    <w:p w:rsidR="00D42474" w:rsidRDefault="00D42474" w:rsidP="001A5BF9">
      <w:pPr>
        <w:rPr>
          <w:rFonts w:cs="Arial"/>
          <w:szCs w:val="20"/>
          <w:u w:val="single"/>
        </w:rPr>
      </w:pPr>
    </w:p>
    <w:p w:rsidR="00D42474" w:rsidRDefault="0096696E" w:rsidP="001A5BF9">
      <w:pPr>
        <w:tabs>
          <w:tab w:val="left" w:pos="709"/>
        </w:tabs>
        <w:jc w:val="both"/>
      </w:pPr>
      <w:r w:rsidRPr="005C7CCE">
        <w:t>5.13.</w:t>
      </w:r>
      <w:r w:rsidRPr="005C7CCE">
        <w:tab/>
        <w:t>La baisse des ressources en personnel, reflétée dans l</w:t>
      </w:r>
      <w:r w:rsidR="00A20444" w:rsidRPr="005C7CCE">
        <w:t>’</w:t>
      </w:r>
      <w:r w:rsidRPr="005C7CCE">
        <w:t>ensemble des résultats, tenait essentiellement à un certain nombre de postes restés vacants dans le programme pendant l</w:t>
      </w:r>
      <w:r w:rsidR="00A20444" w:rsidRPr="005C7CCE">
        <w:t>’</w:t>
      </w:r>
      <w:r w:rsidRPr="005C7CCE">
        <w:t xml:space="preserve">exercice biennal. </w:t>
      </w:r>
      <w:r w:rsidR="0010442A" w:rsidRPr="005C7CCE">
        <w:t xml:space="preserve"> </w:t>
      </w:r>
      <w:r w:rsidRPr="005C7CCE">
        <w:t>L</w:t>
      </w:r>
      <w:r w:rsidR="00A20444" w:rsidRPr="005C7CCE">
        <w:t>’</w:t>
      </w:r>
      <w:r w:rsidRPr="005C7CCE">
        <w:t>augmentation des ressources hors personnel représente le résultat net des affectations supplémentaires au programme nécessaire pour l</w:t>
      </w:r>
      <w:r w:rsidR="00A20444" w:rsidRPr="005C7CCE">
        <w:t>’</w:t>
      </w:r>
      <w:r w:rsidRPr="005C7CCE">
        <w:t>externalisation des services de traduction et pour la session extraordinaire de l</w:t>
      </w:r>
      <w:r w:rsidR="00A20444" w:rsidRPr="005C7CCE">
        <w:t>’</w:t>
      </w:r>
      <w:r w:rsidRPr="005C7CCE">
        <w:t>Assemblée de l</w:t>
      </w:r>
      <w:r w:rsidR="00A20444" w:rsidRPr="005C7CCE">
        <w:t>’</w:t>
      </w:r>
      <w:r w:rsidRPr="005C7CCE">
        <w:t xml:space="preserve">Union du PCT. </w:t>
      </w:r>
      <w:r w:rsidR="0010442A" w:rsidRPr="005C7CCE">
        <w:t xml:space="preserve"> </w:t>
      </w:r>
      <w:r w:rsidRPr="005C7CCE">
        <w:t>Ces éléments ont engendré une augmentation générale dans le budget après virements 2012</w:t>
      </w:r>
      <w:r w:rsidR="002D6F2A" w:rsidRPr="005C7CCE">
        <w:noBreakHyphen/>
      </w:r>
      <w:r w:rsidRPr="005C7CCE">
        <w:t>2013.</w:t>
      </w:r>
    </w:p>
    <w:p w:rsidR="00D42474" w:rsidRDefault="00D42474" w:rsidP="001A5BF9">
      <w:pPr>
        <w:jc w:val="both"/>
        <w:rPr>
          <w:rFonts w:eastAsia="Batang" w:cs="Arial"/>
          <w:szCs w:val="20"/>
        </w:rPr>
      </w:pPr>
    </w:p>
    <w:p w:rsidR="00D42474" w:rsidRDefault="0096696E" w:rsidP="001A5BF9">
      <w:pPr>
        <w:tabs>
          <w:tab w:val="left" w:pos="709"/>
        </w:tabs>
        <w:jc w:val="both"/>
      </w:pPr>
      <w:r w:rsidRPr="005C7CCE">
        <w:t>5.14.</w:t>
      </w:r>
      <w:r w:rsidRPr="005C7CCE">
        <w:tab/>
        <w:t>Sous le résultat </w:t>
      </w:r>
      <w:proofErr w:type="spellStart"/>
      <w:r w:rsidRPr="005C7CCE">
        <w:t>II.1</w:t>
      </w:r>
      <w:proofErr w:type="spellEnd"/>
      <w:r w:rsidRPr="005C7CCE">
        <w:t xml:space="preserve"> (Utilisation stratégique en connaissance de cause du PCT), la diminution des ressources hors personnel tenait essentiellement à des économies anticipées liées aux mesures de maîtrise des coûts portant sur les voyages pour les réunions de l</w:t>
      </w:r>
      <w:r w:rsidR="00A20444" w:rsidRPr="005C7CCE">
        <w:t>’</w:t>
      </w:r>
      <w:r w:rsidRPr="005C7CCE">
        <w:t xml:space="preserve">Assemblée du PCT. </w:t>
      </w:r>
      <w:r w:rsidR="0010442A" w:rsidRPr="005C7CCE">
        <w:t xml:space="preserve"> </w:t>
      </w:r>
      <w:r w:rsidRPr="005C7CCE">
        <w:rPr>
          <w:color w:val="000000"/>
        </w:rPr>
        <w:t>Ces ressources hors personnel ont été réaffectées dans le programme au cours de l</w:t>
      </w:r>
      <w:r w:rsidR="00A20444" w:rsidRPr="005C7CCE">
        <w:rPr>
          <w:color w:val="000000"/>
        </w:rPr>
        <w:t>’</w:t>
      </w:r>
      <w:r w:rsidRPr="005C7CCE">
        <w:rPr>
          <w:color w:val="000000"/>
        </w:rPr>
        <w:t xml:space="preserve">exercice biennal afin de répondre aux besoins croissants en services de traduction. </w:t>
      </w:r>
      <w:r w:rsidR="0010442A" w:rsidRPr="005C7CCE">
        <w:rPr>
          <w:color w:val="000000"/>
        </w:rPr>
        <w:t xml:space="preserve"> </w:t>
      </w:r>
      <w:r w:rsidRPr="005C7CCE">
        <w:t>La réduction des ressources sous les résultats </w:t>
      </w:r>
      <w:proofErr w:type="spellStart"/>
      <w:r w:rsidRPr="005C7CCE">
        <w:t>II.2</w:t>
      </w:r>
      <w:proofErr w:type="spellEnd"/>
      <w:r w:rsidRPr="005C7CCE">
        <w:t xml:space="preserve"> (Liens renforcés avec les utilisateurs du PCT et les offices) et </w:t>
      </w:r>
      <w:proofErr w:type="spellStart"/>
      <w:r w:rsidRPr="005C7CCE">
        <w:t>II.3</w:t>
      </w:r>
      <w:proofErr w:type="spellEnd"/>
      <w:r w:rsidRPr="005C7CCE">
        <w:t xml:space="preserve"> (Amélioration globale du système du PCT) reflète ces ajustements.</w:t>
      </w:r>
    </w:p>
    <w:p w:rsidR="00D42474" w:rsidRDefault="00D42474" w:rsidP="001A5BF9">
      <w:pPr>
        <w:jc w:val="both"/>
        <w:rPr>
          <w:rFonts w:eastAsia="Batang" w:cs="Arial"/>
          <w:szCs w:val="20"/>
        </w:rPr>
      </w:pPr>
    </w:p>
    <w:p w:rsidR="00D42474" w:rsidRDefault="009712C0" w:rsidP="001A5BF9">
      <w:pPr>
        <w:tabs>
          <w:tab w:val="left" w:pos="709"/>
        </w:tabs>
        <w:jc w:val="both"/>
        <w:rPr>
          <w:rFonts w:eastAsia="Batang" w:cs="Arial"/>
          <w:szCs w:val="20"/>
          <w:u w:val="single"/>
        </w:rPr>
      </w:pPr>
      <w:r>
        <w:t>B.</w:t>
      </w:r>
      <w:r>
        <w:tab/>
      </w:r>
      <w:r w:rsidR="0096696E" w:rsidRPr="005C7CCE">
        <w:rPr>
          <w:u w:val="single"/>
        </w:rPr>
        <w:t>Utilisation du budget 2012</w:t>
      </w:r>
      <w:r w:rsidR="002D6F2A" w:rsidRPr="005C7CCE">
        <w:rPr>
          <w:u w:val="single"/>
        </w:rPr>
        <w:noBreakHyphen/>
      </w:r>
      <w:r w:rsidR="0096696E" w:rsidRPr="005C7CCE">
        <w:rPr>
          <w:u w:val="single"/>
        </w:rPr>
        <w:t>2013</w:t>
      </w:r>
    </w:p>
    <w:p w:rsidR="00D42474" w:rsidRDefault="00D42474" w:rsidP="001A5BF9">
      <w:pPr>
        <w:jc w:val="both"/>
        <w:rPr>
          <w:rFonts w:eastAsia="Batang" w:cs="Arial"/>
          <w:szCs w:val="20"/>
        </w:rPr>
      </w:pPr>
    </w:p>
    <w:p w:rsidR="00D42474" w:rsidRDefault="0096696E" w:rsidP="001A5BF9">
      <w:pPr>
        <w:tabs>
          <w:tab w:val="left" w:pos="709"/>
        </w:tabs>
        <w:jc w:val="both"/>
      </w:pPr>
      <w:r w:rsidRPr="005C7CCE">
        <w:t>5.15.</w:t>
      </w:r>
      <w:r w:rsidRPr="005C7CCE">
        <w:tab/>
        <w:t>En ce qui concerne le résultat </w:t>
      </w:r>
      <w:proofErr w:type="spellStart"/>
      <w:r w:rsidRPr="005C7CCE">
        <w:t>II.4</w:t>
      </w:r>
      <w:proofErr w:type="spellEnd"/>
      <w:r w:rsidRPr="005C7CCE">
        <w:t xml:space="preserve"> (Amélioration du fonctionnement du Bureau international), les augmentations de la productivité ont engendré des gains d</w:t>
      </w:r>
      <w:r w:rsidR="00A20444" w:rsidRPr="005C7CCE">
        <w:t>’</w:t>
      </w:r>
      <w:r w:rsidRPr="005C7CCE">
        <w:t xml:space="preserve">efficacité et une baisse des coûts généraux du traitement des demandes internationales. </w:t>
      </w:r>
      <w:r w:rsidR="0010442A" w:rsidRPr="005C7CCE">
        <w:t xml:space="preserve"> </w:t>
      </w:r>
      <w:r w:rsidRPr="005C7CCE">
        <w:t>En outre, les dépenses globales de traduction ont été inférieures à ce qui est indiqué dans le budget après virements.</w:t>
      </w:r>
    </w:p>
    <w:p w:rsidR="00D42474" w:rsidRDefault="00D42474" w:rsidP="001A5BF9">
      <w:pPr>
        <w:pStyle w:val="Paragraphedeliste"/>
        <w:autoSpaceDE w:val="0"/>
        <w:autoSpaceDN w:val="0"/>
        <w:ind w:left="0"/>
        <w:jc w:val="both"/>
      </w:pPr>
    </w:p>
    <w:p w:rsidR="00D42474" w:rsidRDefault="00D42474" w:rsidP="001A5BF9">
      <w:pPr>
        <w:pStyle w:val="Paragraphedeliste"/>
        <w:autoSpaceDE w:val="0"/>
        <w:autoSpaceDN w:val="0"/>
        <w:ind w:left="0"/>
        <w:jc w:val="both"/>
      </w:pPr>
    </w:p>
    <w:p w:rsidR="00D42474" w:rsidRDefault="0096696E" w:rsidP="001A5BF9">
      <w:pPr>
        <w:rPr>
          <w:szCs w:val="20"/>
        </w:rPr>
      </w:pPr>
      <w:r w:rsidRPr="005C7CCE">
        <w:br w:type="page"/>
      </w:r>
    </w:p>
    <w:p w:rsidR="00D42474" w:rsidRDefault="0096696E" w:rsidP="001A5BF9">
      <w:pPr>
        <w:jc w:val="both"/>
        <w:rPr>
          <w:rFonts w:cs="Arial"/>
          <w:b/>
          <w:sz w:val="22"/>
          <w:szCs w:val="22"/>
        </w:rPr>
      </w:pPr>
      <w:r w:rsidRPr="007731D1">
        <w:rPr>
          <w:b/>
          <w:sz w:val="22"/>
          <w:szCs w:val="22"/>
        </w:rPr>
        <w:t>Annexe : Indicateurs relatifs aux opérations du PCT</w:t>
      </w:r>
    </w:p>
    <w:p w:rsidR="00D42474" w:rsidRDefault="00D42474" w:rsidP="001A5BF9">
      <w:pPr>
        <w:jc w:val="both"/>
        <w:rPr>
          <w:rFonts w:cs="Arial"/>
          <w:b/>
          <w:sz w:val="22"/>
          <w:szCs w:val="22"/>
        </w:rPr>
      </w:pPr>
    </w:p>
    <w:p w:rsidR="00D42474" w:rsidRDefault="00D42474" w:rsidP="001A5BF9">
      <w:pPr>
        <w:rPr>
          <w:rFonts w:cs="Arial"/>
          <w:b/>
          <w:sz w:val="22"/>
          <w:szCs w:val="22"/>
        </w:rPr>
      </w:pPr>
    </w:p>
    <w:p w:rsidR="00D42474" w:rsidRDefault="0096696E" w:rsidP="001A5BF9">
      <w:pPr>
        <w:jc w:val="center"/>
        <w:rPr>
          <w:b/>
          <w:sz w:val="22"/>
          <w:szCs w:val="22"/>
        </w:rPr>
      </w:pPr>
      <w:r w:rsidRPr="007731D1">
        <w:rPr>
          <w:b/>
          <w:sz w:val="22"/>
          <w:szCs w:val="22"/>
        </w:rPr>
        <w:t>Indicateurs d</w:t>
      </w:r>
      <w:r w:rsidR="00A20444" w:rsidRPr="007731D1">
        <w:rPr>
          <w:b/>
          <w:sz w:val="22"/>
          <w:szCs w:val="22"/>
        </w:rPr>
        <w:t>’</w:t>
      </w:r>
      <w:r w:rsidRPr="007731D1">
        <w:rPr>
          <w:b/>
          <w:sz w:val="22"/>
          <w:szCs w:val="22"/>
        </w:rPr>
        <w:t>exécution pour le résultat escompté</w:t>
      </w:r>
    </w:p>
    <w:p w:rsidR="00D42474" w:rsidRDefault="0096696E" w:rsidP="001A5BF9">
      <w:pPr>
        <w:jc w:val="center"/>
        <w:rPr>
          <w:rFonts w:cs="Arial"/>
          <w:b/>
          <w:sz w:val="22"/>
          <w:szCs w:val="22"/>
        </w:rPr>
      </w:pPr>
      <w:r w:rsidRPr="007731D1">
        <w:rPr>
          <w:b/>
          <w:sz w:val="22"/>
          <w:szCs w:val="22"/>
        </w:rPr>
        <w:t>“Amélioration du fonctionnement du Bureau international”</w:t>
      </w:r>
    </w:p>
    <w:p w:rsidR="00D42474" w:rsidRDefault="00D42474" w:rsidP="001A5BF9">
      <w:pPr>
        <w:jc w:val="center"/>
        <w:rPr>
          <w:rFonts w:cs="Arial"/>
          <w:b/>
          <w:sz w:val="22"/>
          <w:szCs w:val="22"/>
        </w:rPr>
      </w:pPr>
    </w:p>
    <w:p w:rsidR="00D42474" w:rsidRDefault="00D42474" w:rsidP="001A5BF9">
      <w:pPr>
        <w:rPr>
          <w:rFonts w:cs="Arial"/>
          <w:b/>
          <w:sz w:val="22"/>
          <w:szCs w:val="22"/>
        </w:rPr>
      </w:pPr>
    </w:p>
    <w:p w:rsidR="00D42474" w:rsidRDefault="0096696E" w:rsidP="001A5BF9">
      <w:pPr>
        <w:rPr>
          <w:rFonts w:cs="Arial"/>
          <w:b/>
          <w:sz w:val="22"/>
          <w:szCs w:val="22"/>
        </w:rPr>
      </w:pPr>
      <w:r w:rsidRPr="007731D1">
        <w:rPr>
          <w:b/>
          <w:sz w:val="22"/>
          <w:szCs w:val="22"/>
        </w:rPr>
        <w:t>Rappel des faits</w:t>
      </w:r>
    </w:p>
    <w:p w:rsidR="00D42474" w:rsidRDefault="00D42474" w:rsidP="001A5BF9">
      <w:pPr>
        <w:rPr>
          <w:rFonts w:cs="Arial"/>
          <w:b/>
          <w:szCs w:val="22"/>
        </w:rPr>
      </w:pPr>
    </w:p>
    <w:p w:rsidR="00D42474" w:rsidRDefault="0096696E" w:rsidP="001A5BF9">
      <w:pPr>
        <w:rPr>
          <w:rFonts w:cs="Arial"/>
          <w:szCs w:val="20"/>
        </w:rPr>
      </w:pPr>
      <w:r w:rsidRPr="009712C0">
        <w:t>À titre d</w:t>
      </w:r>
      <w:r w:rsidR="00A20444" w:rsidRPr="009712C0">
        <w:t>’</w:t>
      </w:r>
      <w:r w:rsidRPr="009712C0">
        <w:t>introduction en ce qui concerne les indicateurs d</w:t>
      </w:r>
      <w:r w:rsidR="00A20444" w:rsidRPr="009712C0">
        <w:t>’</w:t>
      </w:r>
      <w:r w:rsidRPr="009712C0">
        <w:t>exécution pour le résultat escompté “Amélioration du fonctionnement du Bureau international”, il est utile d</w:t>
      </w:r>
      <w:r w:rsidR="00A20444" w:rsidRPr="009712C0">
        <w:t>’</w:t>
      </w:r>
      <w:r w:rsidRPr="009712C0">
        <w:t>examiner l</w:t>
      </w:r>
      <w:r w:rsidR="00A20444" w:rsidRPr="009712C0">
        <w:t>’</w:t>
      </w:r>
      <w:r w:rsidRPr="009712C0">
        <w:t>évolution des trois éléments ci</w:t>
      </w:r>
      <w:r w:rsidR="002D6F2A" w:rsidRPr="009712C0">
        <w:noBreakHyphen/>
      </w:r>
      <w:r w:rsidRPr="009712C0">
        <w:t>après :</w:t>
      </w:r>
    </w:p>
    <w:p w:rsidR="00D42474" w:rsidRDefault="00D42474" w:rsidP="001A5BF9">
      <w:pPr>
        <w:rPr>
          <w:rFonts w:cs="Arial"/>
          <w:szCs w:val="20"/>
        </w:rPr>
      </w:pPr>
    </w:p>
    <w:p w:rsidR="00D42474" w:rsidRDefault="0096696E" w:rsidP="001A5BF9">
      <w:pPr>
        <w:numPr>
          <w:ilvl w:val="0"/>
          <w:numId w:val="13"/>
        </w:numPr>
        <w:rPr>
          <w:rFonts w:cs="Arial"/>
          <w:szCs w:val="20"/>
        </w:rPr>
      </w:pPr>
      <w:r w:rsidRPr="009712C0">
        <w:t>la charge de travail du PCT;</w:t>
      </w:r>
    </w:p>
    <w:p w:rsidR="00D42474" w:rsidRDefault="0096696E" w:rsidP="001A5BF9">
      <w:pPr>
        <w:numPr>
          <w:ilvl w:val="0"/>
          <w:numId w:val="13"/>
        </w:numPr>
        <w:rPr>
          <w:rFonts w:cs="Arial"/>
          <w:szCs w:val="20"/>
        </w:rPr>
      </w:pPr>
      <w:r w:rsidRPr="009712C0">
        <w:t>la répartition linguistique de cette charge de travail;</w:t>
      </w:r>
      <w:r w:rsidR="004F3E42" w:rsidRPr="009712C0">
        <w:t xml:space="preserve"> </w:t>
      </w:r>
      <w:r w:rsidR="0010442A" w:rsidRPr="009712C0">
        <w:t xml:space="preserve"> </w:t>
      </w:r>
      <w:r w:rsidRPr="009712C0">
        <w:t>et</w:t>
      </w:r>
    </w:p>
    <w:p w:rsidR="00D42474" w:rsidRDefault="0096696E" w:rsidP="001A5BF9">
      <w:pPr>
        <w:numPr>
          <w:ilvl w:val="0"/>
          <w:numId w:val="13"/>
        </w:numPr>
        <w:rPr>
          <w:rFonts w:cs="Arial"/>
          <w:szCs w:val="20"/>
        </w:rPr>
      </w:pPr>
      <w:r w:rsidRPr="009712C0">
        <w:t>les effectifs affectés au traitement de cette charge de travail.</w:t>
      </w:r>
    </w:p>
    <w:p w:rsidR="00D42474" w:rsidRDefault="00D42474" w:rsidP="001A5BF9">
      <w:pPr>
        <w:rPr>
          <w:rFonts w:cs="Arial"/>
          <w:szCs w:val="20"/>
        </w:rPr>
      </w:pPr>
    </w:p>
    <w:p w:rsidR="00D42474" w:rsidRDefault="0096696E" w:rsidP="001A5BF9">
      <w:pPr>
        <w:rPr>
          <w:rFonts w:cs="Arial"/>
          <w:i/>
          <w:szCs w:val="20"/>
        </w:rPr>
      </w:pPr>
      <w:r w:rsidRPr="009712C0">
        <w:rPr>
          <w:i/>
        </w:rPr>
        <w:t>Charge de travail</w:t>
      </w:r>
    </w:p>
    <w:p w:rsidR="00D42474" w:rsidRDefault="00D42474" w:rsidP="001A5BF9">
      <w:pPr>
        <w:rPr>
          <w:rFonts w:cs="Arial"/>
          <w:szCs w:val="20"/>
        </w:rPr>
      </w:pPr>
    </w:p>
    <w:p w:rsidR="00D42474" w:rsidRDefault="0096696E" w:rsidP="001A5BF9">
      <w:r w:rsidRPr="009712C0">
        <w:t>La charge de travail est mesurée sur la base du nombre d</w:t>
      </w:r>
      <w:r w:rsidR="00A20444" w:rsidRPr="009712C0">
        <w:t>’</w:t>
      </w:r>
      <w:r w:rsidRPr="009712C0">
        <w:t>exemplaires originaux reçus chaque année par le Bureau international</w:t>
      </w:r>
      <w:r w:rsidRPr="009712C0">
        <w:rPr>
          <w:rStyle w:val="FootnoteReference"/>
        </w:rPr>
        <w:footnoteReference w:id="8"/>
      </w:r>
      <w:r w:rsidRPr="009712C0">
        <w:t>.</w:t>
      </w:r>
    </w:p>
    <w:p w:rsidR="00D42474" w:rsidRDefault="00D42474" w:rsidP="001A5BF9">
      <w:pPr>
        <w:rPr>
          <w:rFonts w:cs="Arial"/>
          <w:szCs w:val="20"/>
        </w:rPr>
      </w:pPr>
    </w:p>
    <w:p w:rsidR="00D42474" w:rsidRDefault="00D656BD" w:rsidP="001A5BF9">
      <w:pPr>
        <w:spacing w:after="120"/>
        <w:jc w:val="center"/>
        <w:rPr>
          <w:rFonts w:cs="Arial"/>
          <w:szCs w:val="22"/>
        </w:rPr>
      </w:pPr>
      <w:r w:rsidRPr="005C7CCE">
        <w:rPr>
          <w:noProof/>
        </w:rPr>
        <w:drawing>
          <wp:inline distT="0" distB="0" distL="0" distR="0" wp14:anchorId="34AC7D8D" wp14:editId="58595AC5">
            <wp:extent cx="5756910" cy="2626360"/>
            <wp:effectExtent l="0" t="0" r="0" b="254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910" cy="2626360"/>
                    </a:xfrm>
                    <a:prstGeom prst="rect">
                      <a:avLst/>
                    </a:prstGeom>
                    <a:noFill/>
                    <a:ln>
                      <a:noFill/>
                    </a:ln>
                  </pic:spPr>
                </pic:pic>
              </a:graphicData>
            </a:graphic>
          </wp:inline>
        </w:drawing>
      </w:r>
    </w:p>
    <w:p w:rsidR="00D42474" w:rsidRDefault="00D42474" w:rsidP="001A5BF9">
      <w:pPr>
        <w:spacing w:after="120"/>
        <w:jc w:val="center"/>
        <w:rPr>
          <w:rFonts w:cs="Arial"/>
          <w:b/>
          <w:kern w:val="28"/>
          <w:szCs w:val="20"/>
        </w:rPr>
      </w:pPr>
    </w:p>
    <w:p w:rsidR="00D42474" w:rsidRDefault="0096696E" w:rsidP="001A5BF9">
      <w:pPr>
        <w:pStyle w:val="BodyText2"/>
        <w:numPr>
          <w:ilvl w:val="0"/>
          <w:numId w:val="11"/>
        </w:numPr>
        <w:spacing w:after="0" w:line="240" w:lineRule="auto"/>
        <w:jc w:val="both"/>
      </w:pPr>
      <w:r w:rsidRPr="00D7345C">
        <w:t>Le Bureau international a reçu environ 202 700 exemplaires originaux en 2013, soit une augmentation de 3</w:t>
      </w:r>
      <w:r w:rsidR="007E442D" w:rsidRPr="00D7345C">
        <w:t>%</w:t>
      </w:r>
      <w:r w:rsidRPr="00D7345C">
        <w:t xml:space="preserve"> par rapport à 2012.</w:t>
      </w:r>
    </w:p>
    <w:p w:rsidR="00D42474" w:rsidRDefault="00D42474" w:rsidP="001A5BF9">
      <w:pPr>
        <w:pStyle w:val="BodyText2"/>
        <w:spacing w:after="0" w:line="240" w:lineRule="auto"/>
        <w:ind w:left="360"/>
        <w:jc w:val="both"/>
        <w:rPr>
          <w:rFonts w:cs="Arial"/>
          <w:szCs w:val="20"/>
        </w:rPr>
      </w:pPr>
    </w:p>
    <w:p w:rsidR="00D42474" w:rsidRDefault="0096696E" w:rsidP="001A5BF9">
      <w:pPr>
        <w:pStyle w:val="BodyText2"/>
        <w:numPr>
          <w:ilvl w:val="0"/>
          <w:numId w:val="11"/>
        </w:numPr>
        <w:spacing w:after="0" w:line="240" w:lineRule="auto"/>
        <w:jc w:val="both"/>
        <w:rPr>
          <w:rFonts w:cs="Arial"/>
          <w:szCs w:val="20"/>
        </w:rPr>
      </w:pPr>
      <w:r w:rsidRPr="00D7345C">
        <w:t>La part de dépôts entièrement électroniques a continué d</w:t>
      </w:r>
      <w:r w:rsidR="00A20444" w:rsidRPr="00D7345C">
        <w:t>’</w:t>
      </w:r>
      <w:r w:rsidRPr="00D7345C">
        <w:t>augmenter en</w:t>
      </w:r>
      <w:r w:rsidR="0010442A" w:rsidRPr="00D7345C">
        <w:t> </w:t>
      </w:r>
      <w:r w:rsidRPr="00D7345C">
        <w:t>2013 et représente actuellement 89</w:t>
      </w:r>
      <w:r w:rsidR="007E442D" w:rsidRPr="00D7345C">
        <w:t>%</w:t>
      </w:r>
      <w:r w:rsidRPr="00D7345C">
        <w:t xml:space="preserve"> de l</w:t>
      </w:r>
      <w:r w:rsidR="00A20444" w:rsidRPr="00D7345C">
        <w:t>’</w:t>
      </w:r>
      <w:r w:rsidRPr="00D7345C">
        <w:t>ensemble des dépôts.</w:t>
      </w:r>
    </w:p>
    <w:p w:rsidR="00D42474" w:rsidRDefault="00D42474" w:rsidP="001A5BF9">
      <w:pPr>
        <w:pStyle w:val="BodyText2"/>
        <w:spacing w:after="0" w:line="240" w:lineRule="auto"/>
        <w:jc w:val="both"/>
        <w:rPr>
          <w:rFonts w:cs="Arial"/>
          <w:szCs w:val="20"/>
        </w:rPr>
      </w:pPr>
    </w:p>
    <w:p w:rsidR="00D42474" w:rsidRDefault="00D42474" w:rsidP="001A5BF9">
      <w:pPr>
        <w:pStyle w:val="BodyText2"/>
        <w:spacing w:after="0" w:line="240" w:lineRule="auto"/>
        <w:jc w:val="both"/>
        <w:rPr>
          <w:rFonts w:cs="Arial"/>
          <w:szCs w:val="20"/>
        </w:rPr>
      </w:pPr>
    </w:p>
    <w:p w:rsidR="00D42474" w:rsidRDefault="0096696E" w:rsidP="001A5BF9">
      <w:pPr>
        <w:pStyle w:val="BodyText2"/>
        <w:pageBreakBefore/>
        <w:spacing w:after="0" w:line="240" w:lineRule="auto"/>
        <w:jc w:val="both"/>
        <w:rPr>
          <w:rFonts w:cs="Arial"/>
          <w:i/>
          <w:szCs w:val="20"/>
        </w:rPr>
      </w:pPr>
      <w:r w:rsidRPr="00D7345C">
        <w:rPr>
          <w:i/>
        </w:rPr>
        <w:t>Répartition linguistique</w:t>
      </w:r>
    </w:p>
    <w:p w:rsidR="00D42474" w:rsidRDefault="00D42474" w:rsidP="001A5BF9">
      <w:pPr>
        <w:pStyle w:val="BodyText2"/>
        <w:spacing w:after="0" w:line="240" w:lineRule="auto"/>
        <w:ind w:left="360"/>
        <w:jc w:val="both"/>
        <w:rPr>
          <w:rFonts w:cs="Arial"/>
          <w:szCs w:val="20"/>
        </w:rPr>
      </w:pPr>
    </w:p>
    <w:p w:rsidR="00D42474" w:rsidRDefault="0096696E" w:rsidP="001A5BF9">
      <w:pPr>
        <w:pStyle w:val="BodyText2"/>
        <w:spacing w:after="0" w:line="240" w:lineRule="auto"/>
        <w:jc w:val="both"/>
      </w:pPr>
      <w:r w:rsidRPr="00D7345C">
        <w:t>L</w:t>
      </w:r>
      <w:r w:rsidR="00A20444" w:rsidRPr="00D7345C">
        <w:t>’</w:t>
      </w:r>
      <w:r w:rsidRPr="00D7345C">
        <w:t>une des tendances fondamentales au sein du Bureau international est l</w:t>
      </w:r>
      <w:r w:rsidR="00A20444" w:rsidRPr="00D7345C">
        <w:t>’</w:t>
      </w:r>
      <w:r w:rsidRPr="00D7345C">
        <w:t>augmentation de la diversité linguistique des dépôts, sous l</w:t>
      </w:r>
      <w:r w:rsidR="00A20444" w:rsidRPr="00D7345C">
        <w:t>’</w:t>
      </w:r>
      <w:r w:rsidRPr="00D7345C">
        <w:t>effet notamment d</w:t>
      </w:r>
      <w:r w:rsidR="00A20444" w:rsidRPr="00D7345C">
        <w:t>’</w:t>
      </w:r>
      <w:r w:rsidRPr="00D7345C">
        <w:t>une utilisation accrue du système du PCT dans les pays d</w:t>
      </w:r>
      <w:r w:rsidR="00A20444" w:rsidRPr="00D7345C">
        <w:t>’</w:t>
      </w:r>
      <w:r w:rsidRPr="00D7345C">
        <w:t>Asie orientale.</w:t>
      </w:r>
    </w:p>
    <w:p w:rsidR="00D42474" w:rsidRDefault="00D656BD" w:rsidP="001A5BF9">
      <w:pPr>
        <w:jc w:val="both"/>
        <w:rPr>
          <w:rFonts w:cs="Arial"/>
          <w:szCs w:val="22"/>
        </w:rPr>
      </w:pPr>
      <w:r w:rsidRPr="005C7CCE">
        <w:rPr>
          <w:noProof/>
        </w:rPr>
        <w:drawing>
          <wp:inline distT="0" distB="0" distL="0" distR="0" wp14:anchorId="76FC1B85" wp14:editId="40B8A2FF">
            <wp:extent cx="5779135" cy="2903855"/>
            <wp:effectExtent l="0" t="0" r="0" b="0"/>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79135" cy="2903855"/>
                    </a:xfrm>
                    <a:prstGeom prst="rect">
                      <a:avLst/>
                    </a:prstGeom>
                    <a:noFill/>
                    <a:ln>
                      <a:noFill/>
                    </a:ln>
                  </pic:spPr>
                </pic:pic>
              </a:graphicData>
            </a:graphic>
          </wp:inline>
        </w:drawing>
      </w:r>
    </w:p>
    <w:p w:rsidR="00D42474" w:rsidRDefault="00D42474" w:rsidP="001A5BF9">
      <w:pPr>
        <w:spacing w:after="120"/>
        <w:rPr>
          <w:rFonts w:cs="Arial"/>
          <w:szCs w:val="22"/>
        </w:rPr>
      </w:pPr>
    </w:p>
    <w:p w:rsidR="00D42474" w:rsidRDefault="0096696E" w:rsidP="00D7345C">
      <w:pPr>
        <w:spacing w:after="120"/>
        <w:jc w:val="both"/>
        <w:rPr>
          <w:rFonts w:cs="Arial"/>
          <w:szCs w:val="20"/>
        </w:rPr>
      </w:pPr>
      <w:r w:rsidRPr="00D7345C">
        <w:t>Comme il ressort de ce graphique, alors que l</w:t>
      </w:r>
      <w:r w:rsidR="00A20444" w:rsidRPr="00D7345C">
        <w:t>’</w:t>
      </w:r>
      <w:r w:rsidRPr="00D7345C">
        <w:t xml:space="preserve">anglais reste de loin la langue de dépôt la plus utilisée, elle est en recul par rapport au japonais, au chinois et au coréen. </w:t>
      </w:r>
      <w:r w:rsidR="0010442A" w:rsidRPr="00D7345C">
        <w:t xml:space="preserve"> </w:t>
      </w:r>
      <w:r w:rsidRPr="00D7345C">
        <w:t>La part combinée des demandes selon</w:t>
      </w:r>
      <w:r w:rsidR="00A20444" w:rsidRPr="00D7345C">
        <w:t xml:space="preserve"> le PCT</w:t>
      </w:r>
      <w:r w:rsidRPr="00D7345C">
        <w:t xml:space="preserve"> déposées en japonais chinois et coréen est passée de 29</w:t>
      </w:r>
      <w:r w:rsidR="007E442D" w:rsidRPr="00D7345C">
        <w:t>%</w:t>
      </w:r>
      <w:r w:rsidRPr="00D7345C">
        <w:t xml:space="preserve"> en</w:t>
      </w:r>
      <w:r w:rsidR="0010442A" w:rsidRPr="00D7345C">
        <w:t> </w:t>
      </w:r>
      <w:r w:rsidRPr="00D7345C">
        <w:t>2010 à 35</w:t>
      </w:r>
      <w:r w:rsidR="007E442D" w:rsidRPr="00D7345C">
        <w:t>%</w:t>
      </w:r>
      <w:r w:rsidRPr="00D7345C">
        <w:t xml:space="preserve"> en</w:t>
      </w:r>
      <w:r w:rsidR="0010442A" w:rsidRPr="00D7345C">
        <w:t> </w:t>
      </w:r>
      <w:r w:rsidRPr="00D7345C">
        <w:t>2013.</w:t>
      </w:r>
      <w:r w:rsidR="0010442A" w:rsidRPr="00D7345C">
        <w:t xml:space="preserve"> </w:t>
      </w:r>
      <w:r w:rsidRPr="00D7345C">
        <w:t xml:space="preserve"> Le graphique ci</w:t>
      </w:r>
      <w:r w:rsidR="002D6F2A" w:rsidRPr="00D7345C">
        <w:noBreakHyphen/>
      </w:r>
      <w:r w:rsidRPr="00D7345C">
        <w:t>après présente en détail l</w:t>
      </w:r>
      <w:r w:rsidR="00A20444" w:rsidRPr="00D7345C">
        <w:t>’</w:t>
      </w:r>
      <w:r w:rsidRPr="00D7345C">
        <w:t>évolution des langues de dépôt autres que l</w:t>
      </w:r>
      <w:r w:rsidR="00A20444" w:rsidRPr="00D7345C">
        <w:t>’</w:t>
      </w:r>
      <w:r w:rsidRPr="00D7345C">
        <w:t>anglais :</w:t>
      </w:r>
    </w:p>
    <w:p w:rsidR="00D42474" w:rsidRDefault="00D656BD" w:rsidP="001A5BF9">
      <w:pPr>
        <w:spacing w:after="120"/>
        <w:rPr>
          <w:rFonts w:cs="Arial"/>
          <w:szCs w:val="22"/>
        </w:rPr>
      </w:pPr>
      <w:r w:rsidRPr="005C7CCE">
        <w:rPr>
          <w:noProof/>
        </w:rPr>
        <w:drawing>
          <wp:inline distT="0" distB="0" distL="0" distR="0" wp14:anchorId="0651D6D9" wp14:editId="0CABFDE1">
            <wp:extent cx="5844540" cy="3284220"/>
            <wp:effectExtent l="0" t="0" r="381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44540" cy="3284220"/>
                    </a:xfrm>
                    <a:prstGeom prst="rect">
                      <a:avLst/>
                    </a:prstGeom>
                    <a:noFill/>
                    <a:ln>
                      <a:noFill/>
                    </a:ln>
                  </pic:spPr>
                </pic:pic>
              </a:graphicData>
            </a:graphic>
          </wp:inline>
        </w:drawing>
      </w:r>
    </w:p>
    <w:p w:rsidR="00D42474" w:rsidRDefault="0096696E" w:rsidP="001A5BF9">
      <w:pPr>
        <w:spacing w:after="120"/>
        <w:rPr>
          <w:rFonts w:cs="Arial"/>
          <w:szCs w:val="20"/>
        </w:rPr>
      </w:pPr>
      <w:r w:rsidRPr="00D7345C">
        <w:t>Ces évolutions pèsent lourdement sur le Bureau international car il faut plusieurs années pour ajuster la composition linguistique des effectifs de la Division des opérations du PCT.</w:t>
      </w:r>
    </w:p>
    <w:p w:rsidR="00D42474" w:rsidRDefault="00D42474" w:rsidP="001A5BF9">
      <w:pPr>
        <w:spacing w:after="120"/>
        <w:rPr>
          <w:rFonts w:cs="Arial"/>
          <w:i/>
          <w:szCs w:val="20"/>
        </w:rPr>
      </w:pPr>
    </w:p>
    <w:p w:rsidR="00D42474" w:rsidRDefault="0096696E" w:rsidP="001A5BF9">
      <w:pPr>
        <w:pageBreakBefore/>
        <w:spacing w:after="120"/>
        <w:rPr>
          <w:i/>
        </w:rPr>
      </w:pPr>
      <w:r w:rsidRPr="00D7345C">
        <w:rPr>
          <w:i/>
        </w:rPr>
        <w:t>Effectifs</w:t>
      </w:r>
    </w:p>
    <w:p w:rsidR="00D42474" w:rsidRDefault="0096696E" w:rsidP="001A5BF9">
      <w:pPr>
        <w:spacing w:after="120"/>
        <w:rPr>
          <w:rFonts w:cs="Arial"/>
          <w:szCs w:val="20"/>
        </w:rPr>
      </w:pPr>
      <w:r w:rsidRPr="00D7345C">
        <w:t>Le diagramme ci</w:t>
      </w:r>
      <w:r w:rsidR="002D6F2A" w:rsidRPr="00D7345C">
        <w:noBreakHyphen/>
      </w:r>
      <w:r w:rsidRPr="00D7345C">
        <w:t>après indique l</w:t>
      </w:r>
      <w:r w:rsidR="00A20444" w:rsidRPr="00D7345C">
        <w:t>’</w:t>
      </w:r>
      <w:r w:rsidRPr="00D7345C">
        <w:t>effectif de la Division des opérations du PCT depuis 2001, en équivalent personnel à plein temps (</w:t>
      </w:r>
      <w:proofErr w:type="spellStart"/>
      <w:r w:rsidRPr="00D7345C">
        <w:t>EPPT</w:t>
      </w:r>
      <w:proofErr w:type="spellEnd"/>
      <w:r w:rsidRPr="00D7345C">
        <w:t xml:space="preserve"> – effectif total à plein temps plus équivalent à plein temps du personnel à temps partiel).</w:t>
      </w:r>
    </w:p>
    <w:p w:rsidR="00D42474" w:rsidRDefault="00D656BD" w:rsidP="001A5BF9">
      <w:pPr>
        <w:jc w:val="center"/>
        <w:rPr>
          <w:rFonts w:cs="Arial"/>
          <w:szCs w:val="22"/>
        </w:rPr>
      </w:pPr>
      <w:r w:rsidRPr="005C7CCE">
        <w:rPr>
          <w:noProof/>
        </w:rPr>
        <w:drawing>
          <wp:inline distT="0" distB="0" distL="0" distR="0" wp14:anchorId="3D37594F" wp14:editId="0F6A0ADD">
            <wp:extent cx="6020435" cy="3284220"/>
            <wp:effectExtent l="0" t="0" r="0"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20435" cy="3284220"/>
                    </a:xfrm>
                    <a:prstGeom prst="rect">
                      <a:avLst/>
                    </a:prstGeom>
                    <a:noFill/>
                    <a:ln>
                      <a:noFill/>
                    </a:ln>
                  </pic:spPr>
                </pic:pic>
              </a:graphicData>
            </a:graphic>
          </wp:inline>
        </w:drawing>
      </w:r>
    </w:p>
    <w:p w:rsidR="00D42474" w:rsidRDefault="00D42474" w:rsidP="001A5BF9">
      <w:pPr>
        <w:rPr>
          <w:rFonts w:cs="Arial"/>
          <w:szCs w:val="20"/>
        </w:rPr>
      </w:pPr>
    </w:p>
    <w:p w:rsidR="00D42474" w:rsidRDefault="0096696E" w:rsidP="001A5BF9">
      <w:pPr>
        <w:numPr>
          <w:ilvl w:val="0"/>
          <w:numId w:val="12"/>
        </w:numPr>
        <w:rPr>
          <w:rFonts w:cs="Arial"/>
          <w:szCs w:val="20"/>
        </w:rPr>
      </w:pPr>
      <w:r w:rsidRPr="005C7CCE">
        <w:t>Les effectifs de la Division des opérations du PCT ont été réduits de près de 3</w:t>
      </w:r>
      <w:r w:rsidR="007E442D" w:rsidRPr="005C7CCE">
        <w:t>%</w:t>
      </w:r>
      <w:r w:rsidRPr="005C7CCE">
        <w:t xml:space="preserve"> en 2013 par rapport à 2012.</w:t>
      </w:r>
    </w:p>
    <w:p w:rsidR="00D42474" w:rsidRDefault="00D42474" w:rsidP="001A5BF9">
      <w:pPr>
        <w:spacing w:after="120"/>
        <w:rPr>
          <w:rFonts w:cs="Arial"/>
          <w:szCs w:val="20"/>
          <w:u w:val="single"/>
        </w:rPr>
      </w:pPr>
    </w:p>
    <w:p w:rsidR="00D42474" w:rsidRDefault="0096696E" w:rsidP="001A5BF9">
      <w:pPr>
        <w:rPr>
          <w:rFonts w:cs="Arial"/>
          <w:b/>
          <w:szCs w:val="20"/>
        </w:rPr>
      </w:pPr>
      <w:r w:rsidRPr="005C7CCE">
        <w:rPr>
          <w:b/>
        </w:rPr>
        <w:t>Coût unitaire du traitement d</w:t>
      </w:r>
      <w:r w:rsidR="00A20444" w:rsidRPr="005C7CCE">
        <w:rPr>
          <w:b/>
        </w:rPr>
        <w:t>’</w:t>
      </w:r>
      <w:r w:rsidRPr="005C7CCE">
        <w:rPr>
          <w:b/>
        </w:rPr>
        <w:t>une demande</w:t>
      </w:r>
    </w:p>
    <w:p w:rsidR="00D42474" w:rsidRDefault="00D42474" w:rsidP="001A5BF9">
      <w:pPr>
        <w:rPr>
          <w:rFonts w:cs="Arial"/>
          <w:szCs w:val="20"/>
        </w:rPr>
      </w:pPr>
    </w:p>
    <w:p w:rsidR="00D42474" w:rsidRDefault="0096696E" w:rsidP="001A5BF9">
      <w:pPr>
        <w:jc w:val="both"/>
        <w:rPr>
          <w:rFonts w:cs="Arial"/>
          <w:szCs w:val="20"/>
        </w:rPr>
      </w:pPr>
      <w:r w:rsidRPr="00D7345C">
        <w:t>La productivité du Bureau international dans le traitement des demandes selon le PCT peut être mesurée à l</w:t>
      </w:r>
      <w:r w:rsidR="00A20444" w:rsidRPr="00D7345C">
        <w:t>’</w:t>
      </w:r>
      <w:r w:rsidRPr="00D7345C">
        <w:t>aide du coût unitaire de traitement, défini comme le coût total moyen de la publication d</w:t>
      </w:r>
      <w:r w:rsidR="00A20444" w:rsidRPr="00D7345C">
        <w:t>’</w:t>
      </w:r>
      <w:r w:rsidRPr="00D7345C">
        <w:t xml:space="preserve">une demande selon le PCT. </w:t>
      </w:r>
      <w:r w:rsidR="0010442A" w:rsidRPr="00D7345C">
        <w:t xml:space="preserve"> </w:t>
      </w:r>
      <w:r w:rsidRPr="00D7345C">
        <w:t>Le coût moyen total est déterminé par les dépenses totales du système du PCT auxquelles vient s</w:t>
      </w:r>
      <w:r w:rsidR="00A20444" w:rsidRPr="00D7345C">
        <w:t>’</w:t>
      </w:r>
      <w:r w:rsidRPr="00D7345C">
        <w:t>ajouter une part des dépenses liées aux activités de gestion et d</w:t>
      </w:r>
      <w:r w:rsidR="00A20444" w:rsidRPr="00D7345C">
        <w:t>’</w:t>
      </w:r>
      <w:r w:rsidRPr="00D7345C">
        <w:t xml:space="preserve">assistance. </w:t>
      </w:r>
      <w:r w:rsidR="0010442A" w:rsidRPr="00D7345C">
        <w:t xml:space="preserve"> </w:t>
      </w:r>
      <w:r w:rsidRPr="00D7345C">
        <w:t>Le coût total moyen est déterminé par les dépenses totales du PCT plus une part des dépenses en ce qui concerne les activités d</w:t>
      </w:r>
      <w:r w:rsidR="00A20444" w:rsidRPr="00D7345C">
        <w:t>’</w:t>
      </w:r>
      <w:r w:rsidRPr="00D7345C">
        <w:t>appui et de gestion.</w:t>
      </w:r>
    </w:p>
    <w:p w:rsidR="00D42474" w:rsidRDefault="00D42474" w:rsidP="001A5BF9">
      <w:pPr>
        <w:jc w:val="both"/>
        <w:rPr>
          <w:rFonts w:cs="Arial"/>
          <w:szCs w:val="20"/>
        </w:rPr>
      </w:pPr>
    </w:p>
    <w:p w:rsidR="00D42474" w:rsidRDefault="0096696E" w:rsidP="001A5BF9">
      <w:pPr>
        <w:jc w:val="both"/>
      </w:pPr>
      <w:r w:rsidRPr="00D7345C">
        <w:t>Les coûts se composent de deux</w:t>
      </w:r>
      <w:r w:rsidR="0010442A" w:rsidRPr="00D7345C">
        <w:t> </w:t>
      </w:r>
      <w:r w:rsidRPr="00D7345C">
        <w:t>éléments : les coûts directs et indirects.</w:t>
      </w:r>
      <w:r w:rsidR="0010442A" w:rsidRPr="00D7345C">
        <w:t xml:space="preserve"> </w:t>
      </w:r>
      <w:r w:rsidRPr="00D7345C">
        <w:t xml:space="preserve"> Les coûts directs reflètent les dépenses engagées par le Bureau international dans l</w:t>
      </w:r>
      <w:r w:rsidR="00A20444" w:rsidRPr="00D7345C">
        <w:t>’</w:t>
      </w:r>
      <w:r w:rsidRPr="00D7345C">
        <w:t xml:space="preserve">administration du système du PCT et les programmes associés. </w:t>
      </w:r>
      <w:r w:rsidR="0010442A" w:rsidRPr="00D7345C">
        <w:t xml:space="preserve"> </w:t>
      </w:r>
      <w:r w:rsidRPr="00D7345C">
        <w:t>Les coûts indirects reflètent les dépenses visant à soutenir les activités (comme les bâtiments et les technologies de l</w:t>
      </w:r>
      <w:r w:rsidR="00A20444" w:rsidRPr="00D7345C">
        <w:t>’</w:t>
      </w:r>
      <w:r w:rsidRPr="00D7345C">
        <w:t xml:space="preserve">information, entre autres). </w:t>
      </w:r>
      <w:r w:rsidR="0010442A" w:rsidRPr="00D7345C">
        <w:t xml:space="preserve"> </w:t>
      </w:r>
      <w:r w:rsidRPr="00D7345C">
        <w:t>Ces dernières sont pondérées pour ne prendre en compte que la part imputable au système du PCT.</w:t>
      </w:r>
    </w:p>
    <w:p w:rsidR="00D42474" w:rsidRDefault="00D42474" w:rsidP="001A5BF9">
      <w:pPr>
        <w:jc w:val="both"/>
        <w:rPr>
          <w:rFonts w:cs="Arial"/>
          <w:szCs w:val="20"/>
        </w:rPr>
      </w:pPr>
    </w:p>
    <w:p w:rsidR="00D42474" w:rsidRDefault="0096696E" w:rsidP="001A5BF9">
      <w:pPr>
        <w:jc w:val="both"/>
        <w:rPr>
          <w:rFonts w:cs="Arial"/>
          <w:szCs w:val="20"/>
        </w:rPr>
      </w:pPr>
      <w:r w:rsidRPr="00D7345C">
        <w:t>La méthodologie employée pour imputer les coûts unitaires a été révisée en 2013, afin de l</w:t>
      </w:r>
      <w:r w:rsidR="00A20444" w:rsidRPr="00D7345C">
        <w:t>’</w:t>
      </w:r>
      <w:r w:rsidRPr="00D7345C">
        <w:t>aligner sur les autres calculs de coûts unitaires/de l</w:t>
      </w:r>
      <w:r w:rsidR="00A20444" w:rsidRPr="00D7345C">
        <w:t>’</w:t>
      </w:r>
      <w:r w:rsidRPr="00D7345C">
        <w:t>Union et de mieux rendre compte de l</w:t>
      </w:r>
      <w:r w:rsidR="00A20444" w:rsidRPr="00D7345C">
        <w:t>’</w:t>
      </w:r>
      <w:r w:rsidRPr="00D7345C">
        <w:t xml:space="preserve">environnement en rapide évolution. </w:t>
      </w:r>
      <w:r w:rsidR="0010442A" w:rsidRPr="00D7345C">
        <w:t xml:space="preserve"> </w:t>
      </w:r>
      <w:r w:rsidRPr="00D7345C">
        <w:t>À titre d</w:t>
      </w:r>
      <w:r w:rsidR="00A20444" w:rsidRPr="00D7345C">
        <w:t>’</w:t>
      </w:r>
      <w:r w:rsidRPr="00D7345C">
        <w:t>exemple, l</w:t>
      </w:r>
      <w:r w:rsidR="00A20444" w:rsidRPr="00D7345C">
        <w:t>’</w:t>
      </w:r>
      <w:r w:rsidRPr="00D7345C">
        <w:t>ancienne méthode, qui avait été conçue en 2007, comprenait un coût de stockage (sur 30 ans) en entrepôts, alors que les dépôts au format papier (y compris les dépôts du système PCT </w:t>
      </w:r>
      <w:proofErr w:type="spellStart"/>
      <w:r w:rsidRPr="00D7345C">
        <w:t>EASY</w:t>
      </w:r>
      <w:proofErr w:type="spellEnd"/>
      <w:r w:rsidRPr="00D7345C">
        <w:t>) représentaient moins de 10</w:t>
      </w:r>
      <w:r w:rsidR="007E442D" w:rsidRPr="00D7345C">
        <w:t>%</w:t>
      </w:r>
      <w:r w:rsidRPr="00D7345C">
        <w:t xml:space="preserve"> des dépôts en 2013. </w:t>
      </w:r>
      <w:r w:rsidR="0010442A" w:rsidRPr="00D7345C">
        <w:t xml:space="preserve"> </w:t>
      </w:r>
      <w:r w:rsidRPr="00D7345C">
        <w:t>Le coût unitaire du PCT en 2012 a été calculé au moyen de deux méthodes.</w:t>
      </w:r>
      <w:r w:rsidR="0010442A" w:rsidRPr="00D7345C">
        <w:t xml:space="preserve"> </w:t>
      </w:r>
      <w:r w:rsidRPr="00D7345C">
        <w:t xml:space="preserve"> Le coût unitaire de 2012 s</w:t>
      </w:r>
      <w:r w:rsidR="00A20444" w:rsidRPr="00D7345C">
        <w:t>’</w:t>
      </w:r>
      <w:r w:rsidRPr="00D7345C">
        <w:t>élevait à 680 francs suisses au moyen de l</w:t>
      </w:r>
      <w:r w:rsidR="00A20444" w:rsidRPr="00D7345C">
        <w:t>’</w:t>
      </w:r>
      <w:r w:rsidRPr="00D7345C">
        <w:t xml:space="preserve">ancienne méthode et à 712 francs suisses au moyen de la nouvelle méthode. </w:t>
      </w:r>
      <w:r w:rsidR="0010442A" w:rsidRPr="00D7345C">
        <w:t xml:space="preserve"> </w:t>
      </w:r>
      <w:r w:rsidRPr="00D7345C">
        <w:t>La différence de 32 francs suisses tient à la nouvelle méthode d</w:t>
      </w:r>
      <w:r w:rsidR="00A20444" w:rsidRPr="00D7345C">
        <w:t>’</w:t>
      </w:r>
      <w:r w:rsidRPr="00D7345C">
        <w:t>affectation des coûts indirects.</w:t>
      </w:r>
    </w:p>
    <w:p w:rsidR="00D42474" w:rsidRDefault="00D42474" w:rsidP="001A5BF9">
      <w:pPr>
        <w:jc w:val="both"/>
        <w:rPr>
          <w:rFonts w:cs="Arial"/>
          <w:szCs w:val="20"/>
        </w:rPr>
      </w:pPr>
    </w:p>
    <w:p w:rsidR="00D42474" w:rsidRDefault="0096696E" w:rsidP="001A5BF9">
      <w:pPr>
        <w:jc w:val="both"/>
        <w:rPr>
          <w:rFonts w:cs="Arial"/>
          <w:szCs w:val="20"/>
        </w:rPr>
      </w:pPr>
      <w:r w:rsidRPr="00D7345C">
        <w:t>Formellement, le coût unitaire se définit comme suit :</w:t>
      </w:r>
    </w:p>
    <w:p w:rsidR="00D42474" w:rsidRDefault="00D42474" w:rsidP="001A5BF9">
      <w:pPr>
        <w:rPr>
          <w:rFonts w:cs="Arial"/>
          <w:szCs w:val="20"/>
        </w:rPr>
      </w:pPr>
    </w:p>
    <w:p w:rsidR="00D42474" w:rsidRDefault="00825154" w:rsidP="001A5BF9">
      <w:pPr>
        <w:jc w:val="center"/>
        <w:rPr>
          <w:rFonts w:cs="Arial"/>
          <w:snapToGrid w:val="0"/>
          <w:szCs w:val="20"/>
        </w:rPr>
      </w:pPr>
      <w:r w:rsidRPr="005C7CCE">
        <w:rPr>
          <w:position w:val="-28"/>
        </w:rPr>
        <w:object w:dxaOrig="39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8pt;height:33.95pt" o:ole="" fillcolor="window">
            <v:imagedata r:id="rId39" o:title=""/>
          </v:shape>
          <o:OLEObject Type="Embed" ProgID="Equation.3" ShapeID="_x0000_i1025" DrawAspect="Content" ObjectID="_1473597290" r:id="rId40"/>
        </w:object>
      </w:r>
    </w:p>
    <w:p w:rsidR="00D42474" w:rsidRDefault="00D42474" w:rsidP="001A5BF9">
      <w:pPr>
        <w:rPr>
          <w:rFonts w:cs="Arial"/>
          <w:szCs w:val="20"/>
        </w:rPr>
      </w:pPr>
    </w:p>
    <w:p w:rsidR="00D42474" w:rsidRDefault="0096696E" w:rsidP="00D7345C">
      <w:pPr>
        <w:jc w:val="both"/>
        <w:rPr>
          <w:rFonts w:cs="Arial"/>
          <w:szCs w:val="20"/>
        </w:rPr>
      </w:pPr>
      <w:r w:rsidRPr="005C7CCE">
        <w:t>Le graphique </w:t>
      </w:r>
      <w:proofErr w:type="spellStart"/>
      <w:r w:rsidRPr="005C7CCE">
        <w:t>B.1.9</w:t>
      </w:r>
      <w:proofErr w:type="spellEnd"/>
      <w:r w:rsidRPr="005C7CCE">
        <w:t xml:space="preserve"> illustre l</w:t>
      </w:r>
      <w:r w:rsidR="00A20444" w:rsidRPr="005C7CCE">
        <w:t>’</w:t>
      </w:r>
      <w:r w:rsidRPr="005C7CCE">
        <w:t>évolution des coûts unitaires de traitement entre 2004 et 2012, calculés avec l</w:t>
      </w:r>
      <w:r w:rsidR="00A20444" w:rsidRPr="005C7CCE">
        <w:t>’</w:t>
      </w:r>
      <w:r w:rsidRPr="005C7CCE">
        <w:t>ancienne méthode, et, de 2012 à 2013, avec la nouvelle méthode, y</w:t>
      </w:r>
      <w:r w:rsidR="0010442A" w:rsidRPr="005C7CCE">
        <w:t> </w:t>
      </w:r>
      <w:r w:rsidRPr="005C7CCE">
        <w:t>compris la répartition de la contribution des coûts directs et indirects.</w:t>
      </w:r>
    </w:p>
    <w:p w:rsidR="00D42474" w:rsidRDefault="00D42474" w:rsidP="00D7345C">
      <w:pPr>
        <w:jc w:val="both"/>
        <w:rPr>
          <w:rFonts w:cs="Arial"/>
          <w:szCs w:val="22"/>
        </w:rPr>
      </w:pPr>
    </w:p>
    <w:p w:rsidR="00D42474" w:rsidRDefault="00D42474" w:rsidP="001A5BF9">
      <w:pPr>
        <w:rPr>
          <w:b/>
        </w:rPr>
      </w:pPr>
    </w:p>
    <w:p w:rsidR="00D42474" w:rsidRDefault="0096696E" w:rsidP="001A5BF9">
      <w:pPr>
        <w:keepNext/>
        <w:keepLines/>
        <w:rPr>
          <w:b/>
        </w:rPr>
      </w:pPr>
      <w:r w:rsidRPr="00D7345C">
        <w:rPr>
          <w:b/>
        </w:rPr>
        <w:t xml:space="preserve">Figure </w:t>
      </w:r>
      <w:proofErr w:type="spellStart"/>
      <w:r w:rsidRPr="00D7345C">
        <w:rPr>
          <w:b/>
        </w:rPr>
        <w:t>B.1.9</w:t>
      </w:r>
      <w:proofErr w:type="spellEnd"/>
      <w:r w:rsidRPr="00D7345C">
        <w:rPr>
          <w:b/>
        </w:rPr>
        <w:t> : Coût unitaire du traitement d</w:t>
      </w:r>
      <w:r w:rsidR="00A20444" w:rsidRPr="00D7345C">
        <w:rPr>
          <w:b/>
        </w:rPr>
        <w:t>’</w:t>
      </w:r>
      <w:r w:rsidRPr="00D7345C">
        <w:rPr>
          <w:b/>
        </w:rPr>
        <w:t>une demande selon le PCT publiée</w:t>
      </w:r>
    </w:p>
    <w:p w:rsidR="0096696E" w:rsidRPr="005C7CCE" w:rsidRDefault="0096696E" w:rsidP="001A5BF9">
      <w:pPr>
        <w:keepNext/>
        <w:keepLines/>
        <w:ind w:left="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4525"/>
      </w:tblGrid>
      <w:tr w:rsidR="0096696E" w:rsidRPr="005C7CCE" w:rsidTr="00BB3F3E">
        <w:tc>
          <w:tcPr>
            <w:tcW w:w="4644" w:type="dxa"/>
            <w:shd w:val="clear" w:color="auto" w:fill="auto"/>
          </w:tcPr>
          <w:p w:rsidR="0096696E" w:rsidRPr="005C7CCE" w:rsidRDefault="0096696E" w:rsidP="001A5BF9">
            <w:pPr>
              <w:keepNext/>
              <w:keepLines/>
              <w:jc w:val="center"/>
            </w:pPr>
            <w:r w:rsidRPr="005C7CCE">
              <w:t>Ancienne méthode</w:t>
            </w:r>
          </w:p>
        </w:tc>
        <w:tc>
          <w:tcPr>
            <w:tcW w:w="4645" w:type="dxa"/>
            <w:shd w:val="clear" w:color="auto" w:fill="auto"/>
          </w:tcPr>
          <w:p w:rsidR="0096696E" w:rsidRPr="005C7CCE" w:rsidRDefault="0096696E" w:rsidP="001A5BF9">
            <w:pPr>
              <w:keepNext/>
              <w:keepLines/>
              <w:jc w:val="center"/>
            </w:pPr>
            <w:r w:rsidRPr="005C7CCE">
              <w:t>Nouvelle méthode</w:t>
            </w:r>
          </w:p>
        </w:tc>
      </w:tr>
      <w:tr w:rsidR="0096696E" w:rsidRPr="005C7CCE" w:rsidTr="00BB3F3E">
        <w:tc>
          <w:tcPr>
            <w:tcW w:w="4644" w:type="dxa"/>
            <w:shd w:val="clear" w:color="auto" w:fill="auto"/>
          </w:tcPr>
          <w:p w:rsidR="0096696E" w:rsidRPr="005C7CCE" w:rsidRDefault="00D656BD" w:rsidP="001A5BF9">
            <w:r w:rsidRPr="005C7CCE">
              <w:rPr>
                <w:noProof/>
              </w:rPr>
              <w:drawing>
                <wp:inline distT="0" distB="0" distL="0" distR="0" wp14:anchorId="722F679F" wp14:editId="1FA72677">
                  <wp:extent cx="3057525" cy="2040890"/>
                  <wp:effectExtent l="0" t="0" r="9525" b="0"/>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57525" cy="2040890"/>
                          </a:xfrm>
                          <a:prstGeom prst="rect">
                            <a:avLst/>
                          </a:prstGeom>
                          <a:noFill/>
                          <a:ln>
                            <a:noFill/>
                          </a:ln>
                        </pic:spPr>
                      </pic:pic>
                    </a:graphicData>
                  </a:graphic>
                </wp:inline>
              </w:drawing>
            </w:r>
          </w:p>
        </w:tc>
        <w:tc>
          <w:tcPr>
            <w:tcW w:w="4645" w:type="dxa"/>
            <w:shd w:val="clear" w:color="auto" w:fill="auto"/>
          </w:tcPr>
          <w:p w:rsidR="0096696E" w:rsidRPr="005C7CCE" w:rsidRDefault="00D656BD" w:rsidP="001A5BF9">
            <w:r w:rsidRPr="005C7CCE">
              <w:rPr>
                <w:noProof/>
              </w:rPr>
              <w:drawing>
                <wp:inline distT="0" distB="0" distL="0" distR="0" wp14:anchorId="6A7B65B1" wp14:editId="1AF91590">
                  <wp:extent cx="2655570" cy="2048510"/>
                  <wp:effectExtent l="0" t="0" r="0" b="8890"/>
                  <wp:docPr id="2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55570" cy="2048510"/>
                          </a:xfrm>
                          <a:prstGeom prst="rect">
                            <a:avLst/>
                          </a:prstGeom>
                          <a:noFill/>
                          <a:ln>
                            <a:noFill/>
                          </a:ln>
                        </pic:spPr>
                      </pic:pic>
                    </a:graphicData>
                  </a:graphic>
                </wp:inline>
              </w:drawing>
            </w:r>
          </w:p>
        </w:tc>
      </w:tr>
    </w:tbl>
    <w:p w:rsidR="0096696E" w:rsidRPr="005C7CCE" w:rsidRDefault="0096696E" w:rsidP="001A5BF9"/>
    <w:tbl>
      <w:tblPr>
        <w:tblW w:w="9360" w:type="dxa"/>
        <w:tblInd w:w="108" w:type="dxa"/>
        <w:tblLook w:val="04A0" w:firstRow="1" w:lastRow="0" w:firstColumn="1" w:lastColumn="0" w:noHBand="0" w:noVBand="1"/>
      </w:tblPr>
      <w:tblGrid>
        <w:gridCol w:w="9360"/>
      </w:tblGrid>
      <w:tr w:rsidR="0096696E" w:rsidRPr="00D7345C" w:rsidTr="00BB3F3E">
        <w:trPr>
          <w:trHeight w:val="255"/>
        </w:trPr>
        <w:tc>
          <w:tcPr>
            <w:tcW w:w="9360" w:type="dxa"/>
            <w:tcBorders>
              <w:top w:val="nil"/>
              <w:left w:val="nil"/>
              <w:bottom w:val="nil"/>
              <w:right w:val="nil"/>
            </w:tcBorders>
            <w:shd w:val="clear" w:color="auto" w:fill="auto"/>
            <w:noWrap/>
            <w:vAlign w:val="center"/>
          </w:tcPr>
          <w:p w:rsidR="0096696E" w:rsidRPr="00D7345C" w:rsidRDefault="0096696E" w:rsidP="001A5BF9">
            <w:pPr>
              <w:rPr>
                <w:sz w:val="15"/>
                <w:szCs w:val="15"/>
              </w:rPr>
            </w:pPr>
            <w:r w:rsidRPr="00D7345C">
              <w:rPr>
                <w:sz w:val="15"/>
              </w:rPr>
              <w:t>Source : Base de données statistiques de l</w:t>
            </w:r>
            <w:r w:rsidR="00A20444" w:rsidRPr="00D7345C">
              <w:rPr>
                <w:sz w:val="15"/>
              </w:rPr>
              <w:t>’</w:t>
            </w:r>
            <w:r w:rsidRPr="00D7345C">
              <w:rPr>
                <w:sz w:val="15"/>
              </w:rPr>
              <w:t xml:space="preserve">OMPI, </w:t>
            </w:r>
            <w:r w:rsidR="00A20444" w:rsidRPr="00D7345C">
              <w:rPr>
                <w:sz w:val="15"/>
              </w:rPr>
              <w:t>mars 20</w:t>
            </w:r>
            <w:r w:rsidRPr="00D7345C">
              <w:rPr>
                <w:sz w:val="15"/>
              </w:rPr>
              <w:t>14.</w:t>
            </w:r>
          </w:p>
        </w:tc>
      </w:tr>
      <w:tr w:rsidR="0096696E" w:rsidRPr="00D7345C" w:rsidTr="00BB3F3E">
        <w:trPr>
          <w:trHeight w:val="255"/>
        </w:trPr>
        <w:tc>
          <w:tcPr>
            <w:tcW w:w="9360" w:type="dxa"/>
            <w:tcBorders>
              <w:top w:val="nil"/>
              <w:left w:val="nil"/>
              <w:bottom w:val="nil"/>
              <w:right w:val="nil"/>
            </w:tcBorders>
            <w:shd w:val="clear" w:color="auto" w:fill="auto"/>
            <w:noWrap/>
            <w:vAlign w:val="center"/>
          </w:tcPr>
          <w:p w:rsidR="0096696E" w:rsidRPr="00D7345C" w:rsidRDefault="00D7345C" w:rsidP="001A5BF9">
            <w:pPr>
              <w:rPr>
                <w:sz w:val="15"/>
                <w:szCs w:val="15"/>
              </w:rPr>
            </w:pPr>
            <w:r>
              <w:rPr>
                <w:sz w:val="15"/>
              </w:rPr>
              <w:t>Note : l</w:t>
            </w:r>
            <w:r w:rsidR="0096696E" w:rsidRPr="00D7345C">
              <w:rPr>
                <w:sz w:val="15"/>
              </w:rPr>
              <w:t>e coût moyen d</w:t>
            </w:r>
            <w:r w:rsidR="00A20444" w:rsidRPr="00D7345C">
              <w:rPr>
                <w:sz w:val="15"/>
              </w:rPr>
              <w:t>’</w:t>
            </w:r>
            <w:r w:rsidR="0096696E" w:rsidRPr="00D7345C">
              <w:rPr>
                <w:sz w:val="15"/>
              </w:rPr>
              <w:t xml:space="preserve">une demande selon le PCT publiée est une estimation obtenue en divisant le coût total de traitement par le nombre de demandes selon le PCT publiées. </w:t>
            </w:r>
            <w:r w:rsidR="0010442A" w:rsidRPr="00D7345C">
              <w:rPr>
                <w:sz w:val="15"/>
              </w:rPr>
              <w:t xml:space="preserve"> </w:t>
            </w:r>
            <w:r w:rsidR="0096696E" w:rsidRPr="00D7345C">
              <w:rPr>
                <w:sz w:val="15"/>
              </w:rPr>
              <w:t>Les données rétrospectives ont été révisées et peuvent différer de celles figurant dans des publications précédentes.</w:t>
            </w:r>
          </w:p>
        </w:tc>
      </w:tr>
    </w:tbl>
    <w:p w:rsidR="00D42474" w:rsidRDefault="00D42474" w:rsidP="001A5BF9">
      <w:pPr>
        <w:ind w:left="720"/>
      </w:pPr>
    </w:p>
    <w:p w:rsidR="00D42474" w:rsidRDefault="0096696E" w:rsidP="00D7345C">
      <w:pPr>
        <w:pStyle w:val="Paragraphedeliste"/>
        <w:numPr>
          <w:ilvl w:val="0"/>
          <w:numId w:val="15"/>
        </w:numPr>
        <w:spacing w:line="276" w:lineRule="auto"/>
        <w:ind w:left="714" w:hanging="357"/>
        <w:contextualSpacing/>
        <w:jc w:val="both"/>
      </w:pPr>
      <w:r w:rsidRPr="005C7CCE">
        <w:t>Le coût moyen de traitement d</w:t>
      </w:r>
      <w:r w:rsidR="00A20444" w:rsidRPr="005C7CCE">
        <w:t>’</w:t>
      </w:r>
      <w:r w:rsidRPr="005C7CCE">
        <w:t>une demande selon le PCT publiée, calculé au moyen de l</w:t>
      </w:r>
      <w:r w:rsidR="00A20444" w:rsidRPr="005C7CCE">
        <w:t>’</w:t>
      </w:r>
      <w:r w:rsidRPr="005C7CCE">
        <w:t>ancienne méthode, a baissé en moyenne de 5</w:t>
      </w:r>
      <w:r w:rsidR="007E442D" w:rsidRPr="005C7CCE">
        <w:t>%</w:t>
      </w:r>
      <w:r w:rsidRPr="005C7CCE">
        <w:t xml:space="preserve"> par an, passant de </w:t>
      </w:r>
      <w:r w:rsidR="0010442A" w:rsidRPr="005C7CCE">
        <w:t>1042</w:t>
      </w:r>
      <w:r w:rsidRPr="005C7CCE">
        <w:t> francs suisses en 2004 à 680 francs suisses en 2012.</w:t>
      </w:r>
    </w:p>
    <w:p w:rsidR="00D42474" w:rsidRDefault="0096696E" w:rsidP="00D7345C">
      <w:pPr>
        <w:pStyle w:val="Paragraphedeliste"/>
        <w:numPr>
          <w:ilvl w:val="0"/>
          <w:numId w:val="15"/>
        </w:numPr>
        <w:spacing w:line="276" w:lineRule="auto"/>
        <w:ind w:left="714" w:hanging="357"/>
        <w:contextualSpacing/>
        <w:jc w:val="both"/>
        <w:rPr>
          <w:rFonts w:cs="Arial"/>
        </w:rPr>
      </w:pPr>
      <w:r w:rsidRPr="005C7CCE">
        <w:t>Le coût moyen de traitement d</w:t>
      </w:r>
      <w:r w:rsidR="00A20444" w:rsidRPr="005C7CCE">
        <w:t>’</w:t>
      </w:r>
      <w:r w:rsidRPr="005C7CCE">
        <w:t>une demande selon le PCT publiée, calculé au moyen de la nouvelle méthode, a augmenté en moyenne de 1,4</w:t>
      </w:r>
      <w:r w:rsidR="007E442D" w:rsidRPr="005C7CCE">
        <w:t>%</w:t>
      </w:r>
      <w:r w:rsidRPr="005C7CCE">
        <w:t xml:space="preserve"> en 2013 par rapport à 2012 et s</w:t>
      </w:r>
      <w:r w:rsidR="00A20444" w:rsidRPr="005C7CCE">
        <w:t>’</w:t>
      </w:r>
      <w:r w:rsidRPr="005C7CCE">
        <w:t>élève à 722 francs suisses.</w:t>
      </w:r>
      <w:r w:rsidR="0010442A" w:rsidRPr="005C7CCE">
        <w:t xml:space="preserve"> </w:t>
      </w:r>
      <w:r w:rsidRPr="005C7CCE">
        <w:t xml:space="preserve"> Cette légère hausse est due à une augmentation des coûts directs et indirects en 2013, deuxième année de l</w:t>
      </w:r>
      <w:r w:rsidR="00A20444" w:rsidRPr="005C7CCE">
        <w:t>’</w:t>
      </w:r>
      <w:r w:rsidRPr="005C7CCE">
        <w:t>exercice biennal 2012</w:t>
      </w:r>
      <w:r w:rsidR="002D6F2A" w:rsidRPr="005C7CCE">
        <w:noBreakHyphen/>
      </w:r>
      <w:r w:rsidRPr="005C7CCE">
        <w:t>2013.</w:t>
      </w:r>
    </w:p>
    <w:p w:rsidR="00D42474" w:rsidRDefault="00D42474" w:rsidP="00D7345C">
      <w:pPr>
        <w:jc w:val="both"/>
        <w:rPr>
          <w:rFonts w:cs="Arial"/>
          <w:szCs w:val="20"/>
        </w:rPr>
      </w:pPr>
    </w:p>
    <w:p w:rsidR="00D42474" w:rsidRDefault="0096696E" w:rsidP="00D7345C">
      <w:pPr>
        <w:jc w:val="both"/>
        <w:rPr>
          <w:rFonts w:cs="Arial"/>
          <w:szCs w:val="20"/>
        </w:rPr>
      </w:pPr>
      <w:r w:rsidRPr="00D7345C">
        <w:rPr>
          <w:b/>
        </w:rPr>
        <w:t>Productivité en matière d</w:t>
      </w:r>
      <w:r w:rsidR="00A20444" w:rsidRPr="00D7345C">
        <w:rPr>
          <w:b/>
        </w:rPr>
        <w:t>’</w:t>
      </w:r>
      <w:r w:rsidRPr="00D7345C">
        <w:rPr>
          <w:b/>
        </w:rPr>
        <w:t>examen de forme</w:t>
      </w:r>
    </w:p>
    <w:p w:rsidR="00D42474" w:rsidRDefault="00D42474" w:rsidP="00D7345C">
      <w:pPr>
        <w:jc w:val="both"/>
        <w:rPr>
          <w:rFonts w:cs="Arial"/>
          <w:szCs w:val="20"/>
        </w:rPr>
      </w:pPr>
    </w:p>
    <w:p w:rsidR="00D42474" w:rsidRDefault="0096696E" w:rsidP="00D7345C">
      <w:pPr>
        <w:jc w:val="both"/>
        <w:rPr>
          <w:rFonts w:cs="Arial"/>
          <w:szCs w:val="20"/>
        </w:rPr>
      </w:pPr>
      <w:r w:rsidRPr="00D7345C">
        <w:t>La productivité du personnel est calculée en divisant la production (c</w:t>
      </w:r>
      <w:r w:rsidR="00A20444" w:rsidRPr="00D7345C">
        <w:t>’</w:t>
      </w:r>
      <w:r w:rsidRPr="00D7345C">
        <w:t>est</w:t>
      </w:r>
      <w:r w:rsidR="002D6F2A" w:rsidRPr="00D7345C">
        <w:noBreakHyphen/>
      </w:r>
      <w:r w:rsidRPr="00D7345C">
        <w:t>à</w:t>
      </w:r>
      <w:r w:rsidR="002D6F2A" w:rsidRPr="00D7345C">
        <w:noBreakHyphen/>
      </w:r>
      <w:r w:rsidRPr="00D7345C">
        <w:t>dire le nombre de publications</w:t>
      </w:r>
      <w:r w:rsidR="00A20444" w:rsidRPr="00D7345C">
        <w:t xml:space="preserve"> du PCT</w:t>
      </w:r>
      <w:r w:rsidRPr="00D7345C">
        <w:t>) par l</w:t>
      </w:r>
      <w:r w:rsidR="00A20444" w:rsidRPr="00D7345C">
        <w:t>’</w:t>
      </w:r>
      <w:r w:rsidRPr="00D7345C">
        <w:t>effectif disponible aux fins de l</w:t>
      </w:r>
      <w:r w:rsidR="00A20444" w:rsidRPr="00D7345C">
        <w:t>’</w:t>
      </w:r>
      <w:r w:rsidRPr="00D7345C">
        <w:t>examen de forme.</w:t>
      </w:r>
    </w:p>
    <w:p w:rsidR="00D42474" w:rsidRDefault="00D42474" w:rsidP="001A5BF9">
      <w:pPr>
        <w:rPr>
          <w:rFonts w:cs="Arial"/>
          <w:szCs w:val="22"/>
        </w:rPr>
      </w:pPr>
    </w:p>
    <w:p w:rsidR="00D42474" w:rsidRDefault="00D656BD" w:rsidP="001A5BF9">
      <w:pPr>
        <w:jc w:val="center"/>
        <w:rPr>
          <w:rFonts w:cs="Arial"/>
          <w:szCs w:val="22"/>
        </w:rPr>
      </w:pPr>
      <w:r w:rsidRPr="005C7CCE">
        <w:rPr>
          <w:noProof/>
        </w:rPr>
        <w:drawing>
          <wp:inline distT="0" distB="0" distL="0" distR="0" wp14:anchorId="60BCFC1E" wp14:editId="4D20FDB0">
            <wp:extent cx="5969000" cy="2926080"/>
            <wp:effectExtent l="0" t="0" r="0" b="7620"/>
            <wp:docPr id="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69000" cy="2926080"/>
                    </a:xfrm>
                    <a:prstGeom prst="rect">
                      <a:avLst/>
                    </a:prstGeom>
                    <a:noFill/>
                    <a:ln>
                      <a:noFill/>
                    </a:ln>
                  </pic:spPr>
                </pic:pic>
              </a:graphicData>
            </a:graphic>
          </wp:inline>
        </w:drawing>
      </w:r>
    </w:p>
    <w:p w:rsidR="00D42474" w:rsidRDefault="00D42474" w:rsidP="00D7345C">
      <w:pPr>
        <w:jc w:val="both"/>
        <w:rPr>
          <w:rFonts w:cs="Arial"/>
          <w:szCs w:val="20"/>
        </w:rPr>
      </w:pPr>
    </w:p>
    <w:p w:rsidR="00D42474" w:rsidRDefault="0096696E" w:rsidP="00D7345C">
      <w:pPr>
        <w:numPr>
          <w:ilvl w:val="0"/>
          <w:numId w:val="12"/>
        </w:numPr>
        <w:jc w:val="both"/>
        <w:rPr>
          <w:rFonts w:cs="Arial"/>
          <w:szCs w:val="20"/>
        </w:rPr>
      </w:pPr>
      <w:r w:rsidRPr="005C7CCE">
        <w:t>Point marquant, la productivité de l</w:t>
      </w:r>
      <w:r w:rsidR="00A20444" w:rsidRPr="005C7CCE">
        <w:t>’</w:t>
      </w:r>
      <w:r w:rsidRPr="005C7CCE">
        <w:t>examen de forme a augmenté, en raison essentiellement de l</w:t>
      </w:r>
      <w:r w:rsidR="00A20444" w:rsidRPr="005C7CCE">
        <w:t>’</w:t>
      </w:r>
      <w:r w:rsidRPr="005C7CCE">
        <w:t>automatisation qui a permis le traitement de plus grandes charges de travail avec moins de personnel.</w:t>
      </w:r>
    </w:p>
    <w:p w:rsidR="00D42474" w:rsidRDefault="00D42474" w:rsidP="00D7345C">
      <w:pPr>
        <w:jc w:val="both"/>
        <w:rPr>
          <w:rFonts w:cs="Arial"/>
          <w:szCs w:val="20"/>
        </w:rPr>
      </w:pPr>
    </w:p>
    <w:p w:rsidR="00D42474" w:rsidRDefault="0096696E" w:rsidP="00D7345C">
      <w:pPr>
        <w:keepNext/>
        <w:keepLines/>
        <w:jc w:val="both"/>
        <w:rPr>
          <w:rFonts w:cs="Arial"/>
          <w:b/>
          <w:szCs w:val="20"/>
        </w:rPr>
      </w:pPr>
      <w:r w:rsidRPr="00D7345C">
        <w:rPr>
          <w:b/>
        </w:rPr>
        <w:t>Indicateur de qualité agrégé en matière d</w:t>
      </w:r>
      <w:r w:rsidR="00A20444" w:rsidRPr="00D7345C">
        <w:rPr>
          <w:b/>
        </w:rPr>
        <w:t>’</w:t>
      </w:r>
      <w:r w:rsidRPr="00D7345C">
        <w:rPr>
          <w:b/>
        </w:rPr>
        <w:t>examen de forme</w:t>
      </w:r>
    </w:p>
    <w:p w:rsidR="00D42474" w:rsidRDefault="00D42474" w:rsidP="00D7345C">
      <w:pPr>
        <w:jc w:val="both"/>
        <w:rPr>
          <w:rFonts w:cs="Arial"/>
          <w:szCs w:val="20"/>
        </w:rPr>
      </w:pPr>
    </w:p>
    <w:p w:rsidR="00D42474" w:rsidRDefault="0096696E" w:rsidP="00D7345C">
      <w:pPr>
        <w:jc w:val="both"/>
        <w:rPr>
          <w:rFonts w:cs="Arial"/>
          <w:szCs w:val="20"/>
        </w:rPr>
      </w:pPr>
      <w:r w:rsidRPr="00D7345C">
        <w:t>Pour mesurer d</w:t>
      </w:r>
      <w:r w:rsidR="00A20444" w:rsidRPr="00D7345C">
        <w:t>’</w:t>
      </w:r>
      <w:r w:rsidRPr="00D7345C">
        <w:t>une manière simple et globale la qualité du travail qu</w:t>
      </w:r>
      <w:r w:rsidR="00A20444" w:rsidRPr="00D7345C">
        <w:t>’</w:t>
      </w:r>
      <w:r w:rsidRPr="00D7345C">
        <w:t>il exécute, le Bureau international a mis au point un indicateur de qualité agrégé à partir de quatre indicateurs de qualité principaux.</w:t>
      </w:r>
      <w:r w:rsidR="004F3E42" w:rsidRPr="00D7345C">
        <w:t xml:space="preserve"> </w:t>
      </w:r>
      <w:r w:rsidR="0010442A" w:rsidRPr="00D7345C">
        <w:t xml:space="preserve"> </w:t>
      </w:r>
      <w:r w:rsidRPr="00D7345C">
        <w:t xml:space="preserve">Trois sont fondés sur le respect des délais pour les principales transactions entrant dans le cadre du système du PCT : accusé de réception de la demande selon le PCT, publication et nouvelle publication. </w:t>
      </w:r>
      <w:r w:rsidR="0010442A" w:rsidRPr="00D7345C">
        <w:t xml:space="preserve"> </w:t>
      </w:r>
      <w:r w:rsidRPr="00D7345C">
        <w:t>Le quatrième indicateur se rapporte aux erreurs commises pendant le traitement des demandes selon le PCT.</w:t>
      </w:r>
    </w:p>
    <w:p w:rsidR="00D42474" w:rsidRDefault="00D656BD" w:rsidP="00D7345C">
      <w:pPr>
        <w:jc w:val="both"/>
        <w:rPr>
          <w:rFonts w:cs="Arial"/>
          <w:szCs w:val="22"/>
        </w:rPr>
      </w:pPr>
      <w:r w:rsidRPr="005C7CCE">
        <w:rPr>
          <w:noProof/>
        </w:rPr>
        <w:drawing>
          <wp:inline distT="0" distB="0" distL="0" distR="0" wp14:anchorId="05B12D45" wp14:editId="79226BDB">
            <wp:extent cx="5793740" cy="2626360"/>
            <wp:effectExtent l="0" t="0" r="0" b="2540"/>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93740" cy="2626360"/>
                    </a:xfrm>
                    <a:prstGeom prst="rect">
                      <a:avLst/>
                    </a:prstGeom>
                    <a:noFill/>
                    <a:ln>
                      <a:noFill/>
                    </a:ln>
                  </pic:spPr>
                </pic:pic>
              </a:graphicData>
            </a:graphic>
          </wp:inline>
        </w:drawing>
      </w:r>
    </w:p>
    <w:p w:rsidR="00D42474" w:rsidRDefault="00D42474" w:rsidP="00D7345C">
      <w:pPr>
        <w:jc w:val="both"/>
        <w:rPr>
          <w:rFonts w:cs="Arial"/>
          <w:szCs w:val="20"/>
        </w:rPr>
      </w:pPr>
    </w:p>
    <w:p w:rsidR="00D42474" w:rsidRDefault="0096696E" w:rsidP="00D7345C">
      <w:pPr>
        <w:numPr>
          <w:ilvl w:val="0"/>
          <w:numId w:val="14"/>
        </w:numPr>
        <w:jc w:val="both"/>
      </w:pPr>
      <w:r w:rsidRPr="00D7345C">
        <w:t>La qualité telle que mesurée par l</w:t>
      </w:r>
      <w:r w:rsidR="00A20444" w:rsidRPr="00D7345C">
        <w:t>’</w:t>
      </w:r>
      <w:r w:rsidRPr="00D7345C">
        <w:t>indice agrégé s</w:t>
      </w:r>
      <w:r w:rsidR="00A20444" w:rsidRPr="00D7345C">
        <w:t>’</w:t>
      </w:r>
      <w:r w:rsidRPr="00D7345C">
        <w:t>est notablement améliorée de 2007 jusqu</w:t>
      </w:r>
      <w:r w:rsidR="00A20444" w:rsidRPr="00D7345C">
        <w:t>’</w:t>
      </w:r>
      <w:r w:rsidRPr="00D7345C">
        <w:t xml:space="preserve">au deuxième trimestre de 2011. </w:t>
      </w:r>
      <w:r w:rsidR="0010442A" w:rsidRPr="00D7345C">
        <w:t xml:space="preserve"> </w:t>
      </w:r>
      <w:r w:rsidRPr="00D7345C">
        <w:t>Une intensification des retards dans la republication des demandes selon le PCT a été la principale cause de la baisse observée durant la seconde moitié de 2011.</w:t>
      </w:r>
    </w:p>
    <w:p w:rsidR="00D42474" w:rsidRDefault="00D42474" w:rsidP="00D7345C">
      <w:pPr>
        <w:ind w:left="720"/>
        <w:jc w:val="both"/>
        <w:rPr>
          <w:rFonts w:cs="Arial"/>
          <w:szCs w:val="20"/>
        </w:rPr>
      </w:pPr>
    </w:p>
    <w:p w:rsidR="00D42474" w:rsidRDefault="0096696E" w:rsidP="00D7345C">
      <w:pPr>
        <w:numPr>
          <w:ilvl w:val="0"/>
          <w:numId w:val="14"/>
        </w:numPr>
        <w:jc w:val="both"/>
      </w:pPr>
      <w:r w:rsidRPr="00D7345C">
        <w:t>La qualité s</w:t>
      </w:r>
      <w:r w:rsidR="00A20444" w:rsidRPr="00D7345C">
        <w:t>’</w:t>
      </w:r>
      <w:r w:rsidRPr="00D7345C">
        <w:t>est considérablement améliorée durant le premier trimestre de</w:t>
      </w:r>
      <w:r w:rsidR="0010442A" w:rsidRPr="00D7345C">
        <w:t> </w:t>
      </w:r>
      <w:r w:rsidRPr="00D7345C">
        <w:t>2012 pour ensuite diminuer de nouveau durant les deux</w:t>
      </w:r>
      <w:r w:rsidR="0010442A" w:rsidRPr="00D7345C">
        <w:t> </w:t>
      </w:r>
      <w:r w:rsidRPr="00D7345C">
        <w:t>trimestres suivants en raison principalement d</w:t>
      </w:r>
      <w:r w:rsidR="00A20444" w:rsidRPr="00D7345C">
        <w:t>’</w:t>
      </w:r>
      <w:r w:rsidRPr="00D7345C">
        <w:t>une détérioration de la part des avis de réception d</w:t>
      </w:r>
      <w:r w:rsidR="00A20444" w:rsidRPr="00D7345C">
        <w:t>’</w:t>
      </w:r>
      <w:r w:rsidRPr="00D7345C">
        <w:t>une demande selon</w:t>
      </w:r>
      <w:r w:rsidR="00A20444" w:rsidRPr="00D7345C">
        <w:t xml:space="preserve"> le PCT</w:t>
      </w:r>
      <w:r w:rsidRPr="00D7345C">
        <w:t xml:space="preserve"> envoyées aux déposants dans les cinq</w:t>
      </w:r>
      <w:r w:rsidR="0010442A" w:rsidRPr="00D7345C">
        <w:t> </w:t>
      </w:r>
      <w:r w:rsidRPr="00D7345C">
        <w:t>semaines, part qui est tombée de 90,8</w:t>
      </w:r>
      <w:r w:rsidR="007E442D" w:rsidRPr="00D7345C">
        <w:t>%</w:t>
      </w:r>
      <w:r w:rsidRPr="00D7345C">
        <w:t xml:space="preserve"> au premier trimestre à 76,3</w:t>
      </w:r>
      <w:r w:rsidR="007E442D" w:rsidRPr="00D7345C">
        <w:t>%</w:t>
      </w:r>
      <w:r w:rsidRPr="00D7345C">
        <w:t xml:space="preserve"> au troisième.</w:t>
      </w:r>
    </w:p>
    <w:p w:rsidR="00D42474" w:rsidRDefault="00D42474" w:rsidP="00D7345C">
      <w:pPr>
        <w:ind w:left="720"/>
        <w:jc w:val="both"/>
        <w:rPr>
          <w:rFonts w:cs="Arial"/>
          <w:szCs w:val="20"/>
        </w:rPr>
      </w:pPr>
    </w:p>
    <w:p w:rsidR="00D42474" w:rsidRDefault="0096696E" w:rsidP="00D7345C">
      <w:pPr>
        <w:numPr>
          <w:ilvl w:val="0"/>
          <w:numId w:val="14"/>
        </w:numPr>
        <w:jc w:val="both"/>
        <w:rPr>
          <w:rFonts w:cs="Arial"/>
          <w:szCs w:val="20"/>
        </w:rPr>
      </w:pPr>
      <w:r w:rsidRPr="00D7345C">
        <w:t>L</w:t>
      </w:r>
      <w:r w:rsidR="00A20444" w:rsidRPr="00D7345C">
        <w:t>’</w:t>
      </w:r>
      <w:r w:rsidRPr="00D7345C">
        <w:t>indice s</w:t>
      </w:r>
      <w:r w:rsidR="00A20444" w:rsidRPr="00D7345C">
        <w:t>’</w:t>
      </w:r>
      <w:r w:rsidRPr="00D7345C">
        <w:t>est considérablement amélioré dans la seconde moitié de </w:t>
      </w:r>
      <w:r w:rsidR="00BD43F2" w:rsidRPr="00D7345C">
        <w:t>2013 </w:t>
      </w:r>
      <w:r w:rsidRPr="00D7345C">
        <w:t>suite à la republication plus rapide des demandes selon</w:t>
      </w:r>
      <w:r w:rsidR="00A20444" w:rsidRPr="00D7345C">
        <w:t xml:space="preserve"> le PCT</w:t>
      </w:r>
      <w:r w:rsidRPr="00D7345C">
        <w:t xml:space="preserve"> avec leur rapport de recherche internationale, ainsi qu</w:t>
      </w:r>
      <w:r w:rsidR="00A20444" w:rsidRPr="00D7345C">
        <w:t>’</w:t>
      </w:r>
      <w:r w:rsidRPr="00D7345C">
        <w:t>à l</w:t>
      </w:r>
      <w:r w:rsidR="00A20444" w:rsidRPr="00D7345C">
        <w:t>’</w:t>
      </w:r>
      <w:r w:rsidRPr="00D7345C">
        <w:t>automatisation d</w:t>
      </w:r>
      <w:r w:rsidR="00A20444" w:rsidRPr="00D7345C">
        <w:t>’</w:t>
      </w:r>
      <w:r w:rsidRPr="00D7345C">
        <w:t>une partie du processus d</w:t>
      </w:r>
      <w:r w:rsidR="00A20444" w:rsidRPr="00D7345C">
        <w:t>’</w:t>
      </w:r>
      <w:r w:rsidRPr="00D7345C">
        <w:t xml:space="preserve">examen pour les demandes reçues au format XML, </w:t>
      </w:r>
      <w:r w:rsidRPr="005C7CCE">
        <w:t>qui permettent au Bureau international d</w:t>
      </w:r>
      <w:r w:rsidR="00A20444" w:rsidRPr="005C7CCE">
        <w:t>’</w:t>
      </w:r>
      <w:r w:rsidRPr="005C7CCE">
        <w:t>envoyer des notifications de réception des demandes selon</w:t>
      </w:r>
      <w:r w:rsidR="00A20444" w:rsidRPr="005C7CCE">
        <w:t xml:space="preserve"> le PCT</w:t>
      </w:r>
      <w:r w:rsidRPr="005C7CCE">
        <w:t xml:space="preserve"> dans les quelques jours qui suivent leur réception.</w:t>
      </w:r>
    </w:p>
    <w:p w:rsidR="00D42474" w:rsidRDefault="00D42474" w:rsidP="00D7345C">
      <w:pPr>
        <w:jc w:val="both"/>
        <w:rPr>
          <w:rFonts w:cs="Arial"/>
          <w:szCs w:val="20"/>
        </w:rPr>
      </w:pPr>
    </w:p>
    <w:p w:rsidR="00D42474" w:rsidRDefault="00D42474" w:rsidP="00D7345C">
      <w:pPr>
        <w:jc w:val="both"/>
        <w:rPr>
          <w:rFonts w:cs="Arial"/>
          <w:szCs w:val="20"/>
        </w:rPr>
      </w:pPr>
    </w:p>
    <w:p w:rsidR="00D42474" w:rsidRDefault="0096696E" w:rsidP="00D7345C">
      <w:pPr>
        <w:jc w:val="both"/>
        <w:rPr>
          <w:rFonts w:cs="Arial"/>
          <w:b/>
          <w:szCs w:val="20"/>
        </w:rPr>
      </w:pPr>
      <w:r w:rsidRPr="00D7345C">
        <w:rPr>
          <w:b/>
        </w:rPr>
        <w:t>Délais de l</w:t>
      </w:r>
      <w:r w:rsidR="00A20444" w:rsidRPr="00D7345C">
        <w:rPr>
          <w:b/>
        </w:rPr>
        <w:t>’</w:t>
      </w:r>
      <w:r w:rsidRPr="00D7345C">
        <w:rPr>
          <w:b/>
        </w:rPr>
        <w:t>examen de forme</w:t>
      </w:r>
    </w:p>
    <w:p w:rsidR="00D42474" w:rsidRDefault="00D42474" w:rsidP="00D7345C">
      <w:pPr>
        <w:jc w:val="both"/>
        <w:rPr>
          <w:rFonts w:cs="Arial"/>
          <w:b/>
          <w:szCs w:val="20"/>
        </w:rPr>
      </w:pPr>
    </w:p>
    <w:p w:rsidR="00D42474" w:rsidRDefault="0096696E" w:rsidP="00D7345C">
      <w:pPr>
        <w:jc w:val="both"/>
        <w:rPr>
          <w:rFonts w:cs="Arial"/>
          <w:b/>
          <w:szCs w:val="20"/>
        </w:rPr>
      </w:pPr>
      <w:r w:rsidRPr="00D7345C">
        <w:t>Cet indicateur rend compte plus en détail d</w:t>
      </w:r>
      <w:r w:rsidR="00A20444" w:rsidRPr="00D7345C">
        <w:t>’</w:t>
      </w:r>
      <w:r w:rsidRPr="00D7345C">
        <w:t>un des composants de l</w:t>
      </w:r>
      <w:r w:rsidR="00A20444" w:rsidRPr="00D7345C">
        <w:t>’</w:t>
      </w:r>
      <w:r w:rsidRPr="00D7345C">
        <w:t xml:space="preserve">indicateur de qualité agrégé, </w:t>
      </w:r>
      <w:r w:rsidR="00A20444" w:rsidRPr="00D7345C">
        <w:t>à savoir</w:t>
      </w:r>
      <w:r w:rsidRPr="00D7345C">
        <w:t xml:space="preserve"> le temps qu</w:t>
      </w:r>
      <w:r w:rsidR="00A20444" w:rsidRPr="00D7345C">
        <w:t>’</w:t>
      </w:r>
      <w:r w:rsidRPr="00D7345C">
        <w:t>il faut au Bureau international pour émettre le formulaire 301.</w:t>
      </w:r>
      <w:r w:rsidR="004F3E42" w:rsidRPr="00D7345C">
        <w:t xml:space="preserve"> </w:t>
      </w:r>
      <w:r w:rsidR="0010442A" w:rsidRPr="00D7345C">
        <w:t xml:space="preserve"> </w:t>
      </w:r>
      <w:r w:rsidRPr="00D7345C">
        <w:t>Ce formulaire est émis une fois l</w:t>
      </w:r>
      <w:r w:rsidR="00A20444" w:rsidRPr="00D7345C">
        <w:t>’</w:t>
      </w:r>
      <w:r w:rsidRPr="00D7345C">
        <w:t>examen de forme de la demande terminé.</w:t>
      </w:r>
      <w:r w:rsidR="0010442A" w:rsidRPr="00D7345C">
        <w:t xml:space="preserve"> </w:t>
      </w:r>
      <w:r w:rsidR="004F3E42" w:rsidRPr="00D7345C">
        <w:t xml:space="preserve"> </w:t>
      </w:r>
      <w:r w:rsidRPr="00D7345C">
        <w:t>Les déposants apprécient de recevoir ce formulaire le plus rapidement possible car il leur permet de savoir si leur demande contient des vices de forme.</w:t>
      </w:r>
    </w:p>
    <w:p w:rsidR="00D42474" w:rsidRDefault="00D42474" w:rsidP="00D7345C">
      <w:pPr>
        <w:jc w:val="both"/>
        <w:rPr>
          <w:rFonts w:cs="Arial"/>
          <w:b/>
          <w:szCs w:val="20"/>
        </w:rPr>
      </w:pPr>
    </w:p>
    <w:p w:rsidR="00D42474" w:rsidRDefault="00D656BD" w:rsidP="001A5BF9">
      <w:pPr>
        <w:rPr>
          <w:rFonts w:cs="Arial"/>
          <w:szCs w:val="22"/>
        </w:rPr>
      </w:pPr>
      <w:r w:rsidRPr="005C7CCE">
        <w:rPr>
          <w:noProof/>
        </w:rPr>
        <w:drawing>
          <wp:inline distT="0" distB="0" distL="0" distR="0" wp14:anchorId="3890AED0" wp14:editId="218F3DF4">
            <wp:extent cx="5859780" cy="2538095"/>
            <wp:effectExtent l="0" t="0" r="7620" b="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59780" cy="2538095"/>
                    </a:xfrm>
                    <a:prstGeom prst="rect">
                      <a:avLst/>
                    </a:prstGeom>
                    <a:noFill/>
                    <a:ln>
                      <a:noFill/>
                    </a:ln>
                  </pic:spPr>
                </pic:pic>
              </a:graphicData>
            </a:graphic>
          </wp:inline>
        </w:drawing>
      </w:r>
    </w:p>
    <w:p w:rsidR="00D42474" w:rsidRDefault="00D42474" w:rsidP="001A5BF9">
      <w:pPr>
        <w:rPr>
          <w:rFonts w:cs="Arial"/>
          <w:szCs w:val="22"/>
        </w:rPr>
      </w:pPr>
    </w:p>
    <w:p w:rsidR="00D42474" w:rsidRDefault="0096696E" w:rsidP="00D7345C">
      <w:pPr>
        <w:jc w:val="both"/>
        <w:rPr>
          <w:rFonts w:cs="Arial"/>
          <w:b/>
          <w:szCs w:val="20"/>
        </w:rPr>
      </w:pPr>
      <w:r w:rsidRPr="00D7345C">
        <w:rPr>
          <w:b/>
        </w:rPr>
        <w:t>Délai de publication</w:t>
      </w:r>
    </w:p>
    <w:p w:rsidR="00D42474" w:rsidRDefault="00D42474" w:rsidP="00D7345C">
      <w:pPr>
        <w:jc w:val="both"/>
        <w:rPr>
          <w:rFonts w:cs="Arial"/>
          <w:szCs w:val="20"/>
        </w:rPr>
      </w:pPr>
    </w:p>
    <w:p w:rsidR="00D42474" w:rsidRDefault="0096696E" w:rsidP="00D7345C">
      <w:pPr>
        <w:jc w:val="both"/>
        <w:rPr>
          <w:rFonts w:cs="Arial"/>
          <w:szCs w:val="20"/>
        </w:rPr>
      </w:pPr>
      <w:r w:rsidRPr="00D7345C">
        <w:t>Cet indicateur rend compte plus en détail d</w:t>
      </w:r>
      <w:r w:rsidR="00A20444" w:rsidRPr="00D7345C">
        <w:t>’</w:t>
      </w:r>
      <w:r w:rsidRPr="00D7345C">
        <w:t>une des composantes de l</w:t>
      </w:r>
      <w:r w:rsidR="00A20444" w:rsidRPr="00D7345C">
        <w:t>’</w:t>
      </w:r>
      <w:r w:rsidRPr="00D7345C">
        <w:t xml:space="preserve">indicateur de qualité agrégé, </w:t>
      </w:r>
      <w:r w:rsidR="00A20444" w:rsidRPr="00D7345C">
        <w:t>à savoir</w:t>
      </w:r>
      <w:r w:rsidRPr="00D7345C">
        <w:t xml:space="preserve"> le temps qu</w:t>
      </w:r>
      <w:r w:rsidR="00A20444" w:rsidRPr="00D7345C">
        <w:t>’</w:t>
      </w:r>
      <w:r w:rsidRPr="00D7345C">
        <w:t xml:space="preserve">il faut au Bureau international pour publier la demande. </w:t>
      </w:r>
      <w:r w:rsidR="0010442A" w:rsidRPr="00D7345C">
        <w:t xml:space="preserve"> </w:t>
      </w:r>
      <w:r w:rsidRPr="00D7345C">
        <w:t>L</w:t>
      </w:r>
      <w:r w:rsidR="00A20444" w:rsidRPr="00D7345C">
        <w:t>’</w:t>
      </w:r>
      <w:r w:rsidRPr="00D7345C">
        <w:t>article 21.2)a) du PCT prévoit que “… la publication internationale de la demande internationale a lieu à bref délai après l</w:t>
      </w:r>
      <w:r w:rsidR="00A20444" w:rsidRPr="00D7345C">
        <w:t>’</w:t>
      </w:r>
      <w:r w:rsidRPr="00D7345C">
        <w:t>expiration d</w:t>
      </w:r>
      <w:r w:rsidR="00A20444" w:rsidRPr="00D7345C">
        <w:t>’</w:t>
      </w:r>
      <w:r w:rsidRPr="00D7345C">
        <w:t>un délai de 18 mois à compter de la date de priorité de cette demande”.</w:t>
      </w:r>
    </w:p>
    <w:p w:rsidR="00D42474" w:rsidRDefault="00D42474" w:rsidP="00D7345C">
      <w:pPr>
        <w:jc w:val="both"/>
        <w:rPr>
          <w:rFonts w:cs="Arial"/>
          <w:szCs w:val="20"/>
        </w:rPr>
      </w:pPr>
    </w:p>
    <w:p w:rsidR="00D42474" w:rsidRDefault="00D656BD" w:rsidP="001A5BF9">
      <w:pPr>
        <w:rPr>
          <w:rFonts w:cs="Arial"/>
          <w:szCs w:val="22"/>
        </w:rPr>
      </w:pPr>
      <w:r w:rsidRPr="005C7CCE">
        <w:rPr>
          <w:noProof/>
        </w:rPr>
        <w:drawing>
          <wp:inline distT="0" distB="0" distL="0" distR="0" wp14:anchorId="0F486BB2" wp14:editId="68584C06">
            <wp:extent cx="5683885" cy="2611755"/>
            <wp:effectExtent l="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83885" cy="2611755"/>
                    </a:xfrm>
                    <a:prstGeom prst="rect">
                      <a:avLst/>
                    </a:prstGeom>
                    <a:noFill/>
                    <a:ln>
                      <a:noFill/>
                    </a:ln>
                  </pic:spPr>
                </pic:pic>
              </a:graphicData>
            </a:graphic>
          </wp:inline>
        </w:drawing>
      </w:r>
    </w:p>
    <w:p w:rsidR="00D42474" w:rsidRDefault="00D42474" w:rsidP="001A5BF9">
      <w:pPr>
        <w:rPr>
          <w:rFonts w:cs="Arial"/>
          <w:b/>
          <w:szCs w:val="22"/>
        </w:rPr>
      </w:pPr>
    </w:p>
    <w:p w:rsidR="00D42474" w:rsidRDefault="0096696E" w:rsidP="001A5BF9">
      <w:pPr>
        <w:rPr>
          <w:rFonts w:cs="Arial"/>
          <w:b/>
          <w:szCs w:val="20"/>
        </w:rPr>
      </w:pPr>
      <w:r w:rsidRPr="00D7345C">
        <w:rPr>
          <w:b/>
        </w:rPr>
        <w:t>Délais de republication</w:t>
      </w:r>
    </w:p>
    <w:p w:rsidR="00D42474" w:rsidRDefault="00D42474" w:rsidP="001A5BF9">
      <w:pPr>
        <w:rPr>
          <w:rFonts w:cs="Arial"/>
          <w:szCs w:val="20"/>
        </w:rPr>
      </w:pPr>
    </w:p>
    <w:p w:rsidR="00D42474" w:rsidRDefault="0096696E" w:rsidP="00D7345C">
      <w:pPr>
        <w:jc w:val="both"/>
        <w:rPr>
          <w:rFonts w:cs="Arial"/>
          <w:szCs w:val="20"/>
        </w:rPr>
      </w:pPr>
      <w:r w:rsidRPr="005C7CCE">
        <w:t>Cet indicateur reflète de manière plus détaillée l</w:t>
      </w:r>
      <w:r w:rsidR="00A20444" w:rsidRPr="005C7CCE">
        <w:t>’</w:t>
      </w:r>
      <w:r w:rsidRPr="005C7CCE">
        <w:t xml:space="preserve">un des </w:t>
      </w:r>
      <w:r w:rsidR="00067499">
        <w:t>composants</w:t>
      </w:r>
      <w:r w:rsidRPr="005C7CCE">
        <w:t xml:space="preserve"> de l</w:t>
      </w:r>
      <w:r w:rsidR="00A20444" w:rsidRPr="005C7CCE">
        <w:t>’</w:t>
      </w:r>
      <w:r w:rsidRPr="005C7CCE">
        <w:t xml:space="preserve">indicateur de qualité agrégé, </w:t>
      </w:r>
      <w:r w:rsidR="00A20444" w:rsidRPr="005C7CCE">
        <w:t>à savoir</w:t>
      </w:r>
      <w:r w:rsidRPr="005C7CCE">
        <w:t xml:space="preserve"> le temps nécessaire au Bureau international pour republier la demande avec son rapport de recherche internationale. </w:t>
      </w:r>
      <w:r w:rsidR="0010442A" w:rsidRPr="005C7CCE">
        <w:t xml:space="preserve"> </w:t>
      </w:r>
      <w:r w:rsidRPr="005C7CCE">
        <w:t>En raison de retards dans la communication des rapports de recherche internationale par l</w:t>
      </w:r>
      <w:r w:rsidR="00A20444" w:rsidRPr="005C7CCE">
        <w:t>’</w:t>
      </w:r>
      <w:r w:rsidRPr="005C7CCE">
        <w:t xml:space="preserve">administration chargée de la recherche internationale, un certain nombre de demandes internationales sont publiées sans le rapport de recherche. </w:t>
      </w:r>
      <w:r w:rsidR="0010442A" w:rsidRPr="005C7CCE">
        <w:t xml:space="preserve"> </w:t>
      </w:r>
      <w:r w:rsidRPr="005C7CCE">
        <w:t>Une fois que le rapport de recherche internationale est disponible, la demande internationale doit être republiée accompagnée de son rapport aussi rapidement que possible, afin d</w:t>
      </w:r>
      <w:r w:rsidR="00A20444" w:rsidRPr="005C7CCE">
        <w:t>’</w:t>
      </w:r>
      <w:r w:rsidRPr="005C7CCE">
        <w:t>achever la publication internationale.</w:t>
      </w:r>
    </w:p>
    <w:p w:rsidR="00D42474" w:rsidRDefault="00D42474" w:rsidP="001A5BF9">
      <w:pPr>
        <w:rPr>
          <w:rFonts w:cs="Arial"/>
          <w:szCs w:val="20"/>
        </w:rPr>
      </w:pPr>
    </w:p>
    <w:p w:rsidR="00D42474" w:rsidRDefault="00D656BD" w:rsidP="001A5BF9">
      <w:pPr>
        <w:rPr>
          <w:rFonts w:cs="Arial"/>
          <w:szCs w:val="22"/>
        </w:rPr>
      </w:pPr>
      <w:r w:rsidRPr="005C7CCE">
        <w:rPr>
          <w:noProof/>
        </w:rPr>
        <w:drawing>
          <wp:inline distT="0" distB="0" distL="0" distR="0" wp14:anchorId="1E698382" wp14:editId="50E6D955">
            <wp:extent cx="5779135" cy="2655570"/>
            <wp:effectExtent l="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79135" cy="2655570"/>
                    </a:xfrm>
                    <a:prstGeom prst="rect">
                      <a:avLst/>
                    </a:prstGeom>
                    <a:noFill/>
                    <a:ln>
                      <a:noFill/>
                    </a:ln>
                  </pic:spPr>
                </pic:pic>
              </a:graphicData>
            </a:graphic>
          </wp:inline>
        </w:drawing>
      </w:r>
    </w:p>
    <w:p w:rsidR="00D42474" w:rsidRDefault="00D42474" w:rsidP="001A5BF9">
      <w:pPr>
        <w:rPr>
          <w:rFonts w:cs="Arial"/>
          <w:b/>
          <w:szCs w:val="22"/>
        </w:rPr>
      </w:pPr>
    </w:p>
    <w:p w:rsidR="00D42474" w:rsidRDefault="0096696E" w:rsidP="00D7345C">
      <w:pPr>
        <w:jc w:val="both"/>
        <w:rPr>
          <w:rFonts w:cs="Arial"/>
          <w:b/>
          <w:szCs w:val="20"/>
        </w:rPr>
      </w:pPr>
      <w:r w:rsidRPr="00D7345C">
        <w:rPr>
          <w:b/>
        </w:rPr>
        <w:t>Qualité de la traduction</w:t>
      </w:r>
    </w:p>
    <w:p w:rsidR="00D42474" w:rsidRDefault="00D42474" w:rsidP="00D7345C">
      <w:pPr>
        <w:jc w:val="both"/>
        <w:rPr>
          <w:rFonts w:cs="Arial"/>
          <w:b/>
          <w:szCs w:val="20"/>
        </w:rPr>
      </w:pPr>
    </w:p>
    <w:p w:rsidR="00D42474" w:rsidRDefault="0096696E" w:rsidP="00D7345C">
      <w:pPr>
        <w:jc w:val="both"/>
        <w:rPr>
          <w:rFonts w:cs="Arial"/>
          <w:szCs w:val="20"/>
        </w:rPr>
      </w:pPr>
      <w:r w:rsidRPr="00D7345C">
        <w:t>Les traductions d</w:t>
      </w:r>
      <w:r w:rsidR="00A20444" w:rsidRPr="00D7345C">
        <w:t>’</w:t>
      </w:r>
      <w:r w:rsidRPr="00D7345C">
        <w:t>abrégés et de rapports établies sous la responsabilité du Bureau international font l</w:t>
      </w:r>
      <w:r w:rsidR="00A20444" w:rsidRPr="00D7345C">
        <w:t>’</w:t>
      </w:r>
      <w:r w:rsidRPr="00D7345C">
        <w:t>objet d</w:t>
      </w:r>
      <w:r w:rsidR="00A20444" w:rsidRPr="00D7345C">
        <w:t>’</w:t>
      </w:r>
      <w:r w:rsidRPr="00D7345C">
        <w:t xml:space="preserve">un contrôle de qualité par échantillonnage. </w:t>
      </w:r>
      <w:r w:rsidR="0010442A" w:rsidRPr="00D7345C">
        <w:t xml:space="preserve"> </w:t>
      </w:r>
      <w:r w:rsidRPr="00D7345C">
        <w:t>Les résultats sont classés en deux</w:t>
      </w:r>
      <w:r w:rsidR="0010442A" w:rsidRPr="00D7345C">
        <w:t> </w:t>
      </w:r>
      <w:r w:rsidRPr="00D7345C">
        <w:t>catégories</w:t>
      </w:r>
      <w:r w:rsidR="0010442A" w:rsidRPr="00D7345C">
        <w:t> </w:t>
      </w:r>
      <w:r w:rsidRPr="00D7345C">
        <w:t>: les traductions considérées comme acceptables et celles qui ne le sont pas.</w:t>
      </w:r>
      <w:r w:rsidR="0010442A" w:rsidRPr="00D7345C">
        <w:t xml:space="preserve"> </w:t>
      </w:r>
      <w:r w:rsidR="004F3E42" w:rsidRPr="00D7345C">
        <w:t xml:space="preserve"> </w:t>
      </w:r>
      <w:r w:rsidRPr="00D7345C">
        <w:t>Cet indicateur de résultat permet de suivre la qualité des traductions telle qu</w:t>
      </w:r>
      <w:r w:rsidR="00A20444" w:rsidRPr="00D7345C">
        <w:t>’</w:t>
      </w:r>
      <w:r w:rsidRPr="00D7345C">
        <w:t>elle ressort des échantillons.</w:t>
      </w:r>
    </w:p>
    <w:p w:rsidR="00D42474" w:rsidRDefault="00D42474" w:rsidP="001A5BF9">
      <w:pPr>
        <w:rPr>
          <w:rFonts w:cs="Arial"/>
          <w:szCs w:val="20"/>
        </w:rPr>
      </w:pPr>
    </w:p>
    <w:p w:rsidR="00D42474" w:rsidRDefault="00D656BD" w:rsidP="001A5BF9">
      <w:pPr>
        <w:autoSpaceDE w:val="0"/>
        <w:autoSpaceDN w:val="0"/>
        <w:adjustRightInd w:val="0"/>
        <w:rPr>
          <w:rFonts w:cs="Arial"/>
          <w:szCs w:val="22"/>
        </w:rPr>
      </w:pPr>
      <w:r w:rsidRPr="005C7CCE">
        <w:rPr>
          <w:noProof/>
        </w:rPr>
        <w:drawing>
          <wp:inline distT="0" distB="0" distL="0" distR="0" wp14:anchorId="432C7A2E" wp14:editId="1C580A8F">
            <wp:extent cx="5895975" cy="3131185"/>
            <wp:effectExtent l="0" t="0" r="9525" b="0"/>
            <wp:docPr id="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95975" cy="3131185"/>
                    </a:xfrm>
                    <a:prstGeom prst="rect">
                      <a:avLst/>
                    </a:prstGeom>
                    <a:noFill/>
                    <a:ln>
                      <a:noFill/>
                    </a:ln>
                  </pic:spPr>
                </pic:pic>
              </a:graphicData>
            </a:graphic>
          </wp:inline>
        </w:drawing>
      </w:r>
    </w:p>
    <w:p w:rsidR="00D42474" w:rsidRDefault="00D42474" w:rsidP="001A5BF9">
      <w:pPr>
        <w:rPr>
          <w:rFonts w:cs="Arial"/>
          <w:b/>
          <w:szCs w:val="20"/>
        </w:rPr>
      </w:pPr>
    </w:p>
    <w:p w:rsidR="00D42474" w:rsidRDefault="0096696E" w:rsidP="001A5BF9">
      <w:pPr>
        <w:rPr>
          <w:rFonts w:cs="Arial"/>
          <w:b/>
          <w:szCs w:val="20"/>
        </w:rPr>
      </w:pPr>
      <w:r w:rsidRPr="00D7345C">
        <w:rPr>
          <w:b/>
        </w:rPr>
        <w:t>Dépôts auprès du Bureau international agissant en tant qu</w:t>
      </w:r>
      <w:r w:rsidR="00A20444" w:rsidRPr="00D7345C">
        <w:rPr>
          <w:b/>
        </w:rPr>
        <w:t>’</w:t>
      </w:r>
      <w:r w:rsidRPr="00D7345C">
        <w:rPr>
          <w:b/>
        </w:rPr>
        <w:t>office récepteur</w:t>
      </w:r>
    </w:p>
    <w:p w:rsidR="00D42474" w:rsidRDefault="00D42474" w:rsidP="001A5BF9">
      <w:pPr>
        <w:rPr>
          <w:rFonts w:cs="Arial"/>
          <w:b/>
          <w:szCs w:val="20"/>
        </w:rPr>
      </w:pPr>
    </w:p>
    <w:p w:rsidR="00D42474" w:rsidRDefault="0096696E" w:rsidP="001A5BF9">
      <w:pPr>
        <w:jc w:val="both"/>
        <w:rPr>
          <w:rFonts w:cs="Arial"/>
          <w:szCs w:val="20"/>
        </w:rPr>
      </w:pPr>
      <w:r w:rsidRPr="00D7345C">
        <w:t xml:space="preserve">Ce tableau indique les </w:t>
      </w:r>
      <w:r w:rsidR="00BD43F2" w:rsidRPr="00D7345C">
        <w:t>10 </w:t>
      </w:r>
      <w:r w:rsidRPr="00D7345C">
        <w:t>principaux offices récepteurs classés en fonction du nombre de demandes déposées selon le PCT au cours des cinq dernières années jusqu</w:t>
      </w:r>
      <w:r w:rsidR="00A20444" w:rsidRPr="00D7345C">
        <w:t>’</w:t>
      </w:r>
      <w:r w:rsidRPr="00D7345C">
        <w:t>en 2013.</w:t>
      </w:r>
      <w:r w:rsidR="004F3E42" w:rsidRPr="00D7345C">
        <w:t xml:space="preserve"> </w:t>
      </w:r>
      <w:r w:rsidR="0010442A" w:rsidRPr="00D7345C">
        <w:t xml:space="preserve"> </w:t>
      </w:r>
      <w:r w:rsidRPr="00D7345C">
        <w:t>En principe, une demande selon le PCT est déposée auprès de l</w:t>
      </w:r>
      <w:r w:rsidR="00A20444" w:rsidRPr="00D7345C">
        <w:t>’</w:t>
      </w:r>
      <w:r w:rsidRPr="00D7345C">
        <w:t>office des brevets national du pays d</w:t>
      </w:r>
      <w:r w:rsidR="00A20444" w:rsidRPr="00D7345C">
        <w:t>’</w:t>
      </w:r>
      <w:r w:rsidRPr="00D7345C">
        <w:t>origine du déposant ou d</w:t>
      </w:r>
      <w:r w:rsidR="00A20444" w:rsidRPr="00D7345C">
        <w:t>’</w:t>
      </w:r>
      <w:r w:rsidRPr="00D7345C">
        <w:t>un office de brevets régional agissant au nom de la juridiction dont relève le déposant.</w:t>
      </w:r>
      <w:r w:rsidR="004F3E42" w:rsidRPr="00D7345C">
        <w:t xml:space="preserve"> </w:t>
      </w:r>
      <w:r w:rsidR="0010442A" w:rsidRPr="00D7345C">
        <w:t xml:space="preserve"> </w:t>
      </w:r>
      <w:r w:rsidRPr="00D7345C">
        <w:t>Le Bureau international est compétent pour agir en qualité d</w:t>
      </w:r>
      <w:r w:rsidR="00A20444" w:rsidRPr="00D7345C">
        <w:t>’</w:t>
      </w:r>
      <w:r w:rsidRPr="00D7345C">
        <w:t>office récepteur pour les déposants de l</w:t>
      </w:r>
      <w:r w:rsidR="00A20444" w:rsidRPr="00D7345C">
        <w:t>’</w:t>
      </w:r>
      <w:r w:rsidRPr="00D7345C">
        <w:t>un quelconque des États contractants du PCT.</w:t>
      </w:r>
      <w:r w:rsidR="004F3E42" w:rsidRPr="00D7345C">
        <w:t xml:space="preserve"> </w:t>
      </w:r>
      <w:r w:rsidR="0010442A" w:rsidRPr="00D7345C">
        <w:t xml:space="preserve"> </w:t>
      </w:r>
      <w:r w:rsidRPr="00D7345C">
        <w:t>L</w:t>
      </w:r>
      <w:r w:rsidR="00A20444" w:rsidRPr="00D7345C">
        <w:t>’</w:t>
      </w:r>
      <w:r w:rsidRPr="00D7345C">
        <w:t>évolution des dépôts auprès du Bureau international, son classement par rapport à d</w:t>
      </w:r>
      <w:r w:rsidR="00A20444" w:rsidRPr="00D7345C">
        <w:t>’</w:t>
      </w:r>
      <w:r w:rsidRPr="00D7345C">
        <w:t>autres offices récepteurs, ainsi que sa part de marché sont indiqués dans ce tableau.</w:t>
      </w:r>
    </w:p>
    <w:p w:rsidR="00D42474" w:rsidRDefault="00D42474" w:rsidP="001A5BF9">
      <w:pPr>
        <w:jc w:val="both"/>
        <w:rPr>
          <w:rFonts w:cs="Arial"/>
          <w:szCs w:val="22"/>
        </w:rPr>
      </w:pPr>
    </w:p>
    <w:p w:rsidR="00D42474" w:rsidRDefault="00D7345C" w:rsidP="001A5BF9">
      <w:pPr>
        <w:jc w:val="center"/>
        <w:rPr>
          <w:rFonts w:cs="Arial"/>
          <w:szCs w:val="22"/>
        </w:rPr>
      </w:pPr>
      <w:r>
        <w:rPr>
          <w:rFonts w:cs="Arial"/>
          <w:noProof/>
          <w:szCs w:val="22"/>
        </w:rPr>
        <w:drawing>
          <wp:inline distT="0" distB="0" distL="0" distR="0" wp14:anchorId="7899CD3D" wp14:editId="3F638D54">
            <wp:extent cx="5628005" cy="2904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28005" cy="2904490"/>
                    </a:xfrm>
                    <a:prstGeom prst="rect">
                      <a:avLst/>
                    </a:prstGeom>
                    <a:noFill/>
                    <a:ln>
                      <a:noFill/>
                    </a:ln>
                  </pic:spPr>
                </pic:pic>
              </a:graphicData>
            </a:graphic>
          </wp:inline>
        </w:drawing>
      </w:r>
    </w:p>
    <w:p w:rsidR="00D42474" w:rsidRDefault="00D42474" w:rsidP="001A5BF9">
      <w:pPr>
        <w:rPr>
          <w:rFonts w:cs="Arial"/>
          <w:szCs w:val="22"/>
        </w:rPr>
      </w:pPr>
    </w:p>
    <w:p w:rsidR="00D42474" w:rsidRDefault="00D42474" w:rsidP="001A5BF9">
      <w:pPr>
        <w:rPr>
          <w:rFonts w:cs="Arial"/>
          <w:szCs w:val="22"/>
        </w:rPr>
      </w:pPr>
    </w:p>
    <w:p w:rsidR="00D42474" w:rsidRDefault="0096696E" w:rsidP="00D7345C">
      <w:pPr>
        <w:pStyle w:val="Endofdocument-Annex"/>
        <w:rPr>
          <w:sz w:val="20"/>
        </w:rPr>
      </w:pPr>
      <w:r w:rsidRPr="00D7345C">
        <w:rPr>
          <w:sz w:val="20"/>
        </w:rPr>
        <w:t>[Fin de l</w:t>
      </w:r>
      <w:r w:rsidR="00A20444" w:rsidRPr="00D7345C">
        <w:rPr>
          <w:sz w:val="20"/>
        </w:rPr>
        <w:t>’</w:t>
      </w:r>
      <w:r w:rsidRPr="00D7345C">
        <w:rPr>
          <w:sz w:val="20"/>
        </w:rPr>
        <w:t>annexe]</w:t>
      </w:r>
    </w:p>
    <w:p w:rsidR="00D42474" w:rsidRDefault="00D42474" w:rsidP="001A5BF9">
      <w:pPr>
        <w:rPr>
          <w:rFonts w:cs="Arial"/>
          <w:szCs w:val="22"/>
        </w:rPr>
      </w:pPr>
    </w:p>
    <w:p w:rsidR="00D42474" w:rsidRDefault="0096696E" w:rsidP="001A5BF9">
      <w:pPr>
        <w:rPr>
          <w:szCs w:val="20"/>
        </w:rPr>
      </w:pPr>
      <w:r w:rsidRPr="005C7CCE">
        <w:br w:type="page"/>
      </w:r>
    </w:p>
    <w:p w:rsidR="00D42474" w:rsidRDefault="0096696E" w:rsidP="001A5BF9">
      <w:pPr>
        <w:pStyle w:val="Heading3"/>
        <w:rPr>
          <w:szCs w:val="22"/>
        </w:rPr>
      </w:pPr>
      <w:bookmarkStart w:id="16" w:name="_Toc395082469"/>
      <w:r w:rsidRPr="00D7345C">
        <w:rPr>
          <w:szCs w:val="22"/>
        </w:rPr>
        <w:t>Programme 6</w:t>
      </w:r>
      <w:r w:rsidRPr="00D7345C">
        <w:rPr>
          <w:szCs w:val="22"/>
        </w:rPr>
        <w:tab/>
        <w:t>Systèmes de Madrid et de Lisbonne</w:t>
      </w:r>
      <w:bookmarkEnd w:id="16"/>
    </w:p>
    <w:p w:rsidR="00D42474" w:rsidRDefault="00D42474" w:rsidP="001A5BF9">
      <w:pPr>
        <w:ind w:left="2268" w:hanging="2268"/>
        <w:rPr>
          <w:rFonts w:cs="Arial"/>
          <w:sz w:val="22"/>
          <w:szCs w:val="22"/>
        </w:rPr>
      </w:pPr>
    </w:p>
    <w:p w:rsidR="00D42474" w:rsidRDefault="0096696E" w:rsidP="001A5BF9">
      <w:pPr>
        <w:ind w:left="2268" w:hanging="2268"/>
        <w:rPr>
          <w:rFonts w:cs="Arial"/>
          <w:b/>
          <w:sz w:val="22"/>
          <w:szCs w:val="22"/>
        </w:rPr>
      </w:pPr>
      <w:r w:rsidRPr="00D7345C">
        <w:rPr>
          <w:b/>
          <w:sz w:val="22"/>
          <w:szCs w:val="22"/>
        </w:rPr>
        <w:t>Chef de programme</w:t>
      </w:r>
      <w:r w:rsidRPr="00D7345C">
        <w:rPr>
          <w:b/>
          <w:sz w:val="22"/>
          <w:szCs w:val="22"/>
        </w:rPr>
        <w:tab/>
      </w:r>
      <w:r w:rsidRPr="00D7345C">
        <w:rPr>
          <w:b/>
          <w:sz w:val="22"/>
          <w:szCs w:val="22"/>
        </w:rPr>
        <w:tab/>
      </w:r>
      <w:r w:rsidR="00BD43F2" w:rsidRPr="00D7345C">
        <w:rPr>
          <w:b/>
          <w:sz w:val="22"/>
          <w:szCs w:val="22"/>
        </w:rPr>
        <w:t>Mme </w:t>
      </w:r>
      <w:r w:rsidRPr="00D7345C">
        <w:rPr>
          <w:b/>
          <w:sz w:val="22"/>
          <w:szCs w:val="22"/>
        </w:rPr>
        <w:t>B.</w:t>
      </w:r>
      <w:r w:rsidR="0010442A" w:rsidRPr="00D7345C">
        <w:rPr>
          <w:b/>
          <w:sz w:val="22"/>
          <w:szCs w:val="22"/>
        </w:rPr>
        <w:t> </w:t>
      </w:r>
      <w:r w:rsidRPr="00D7345C">
        <w:rPr>
          <w:b/>
          <w:sz w:val="22"/>
          <w:szCs w:val="22"/>
        </w:rPr>
        <w:t>Wang</w:t>
      </w:r>
    </w:p>
    <w:p w:rsidR="00D42474" w:rsidRDefault="00D42474" w:rsidP="001A5BF9">
      <w:pPr>
        <w:rPr>
          <w:sz w:val="22"/>
          <w:szCs w:val="22"/>
        </w:rPr>
      </w:pPr>
    </w:p>
    <w:p w:rsidR="00D42474" w:rsidRDefault="00D42474" w:rsidP="001A5BF9">
      <w:pPr>
        <w:rPr>
          <w:bCs/>
          <w:sz w:val="22"/>
          <w:szCs w:val="22"/>
        </w:rPr>
      </w:pPr>
    </w:p>
    <w:p w:rsidR="00D42474" w:rsidRDefault="0096696E" w:rsidP="001A5BF9">
      <w:pPr>
        <w:rPr>
          <w:rFonts w:cs="Arial"/>
          <w:sz w:val="22"/>
          <w:szCs w:val="22"/>
        </w:rPr>
      </w:pPr>
      <w:r w:rsidRPr="00D7345C">
        <w:rPr>
          <w:sz w:val="22"/>
          <w:szCs w:val="22"/>
        </w:rPr>
        <w:t>RÉALISATIONS EN 2012</w:t>
      </w:r>
      <w:r w:rsidR="002D6F2A" w:rsidRPr="00D7345C">
        <w:rPr>
          <w:sz w:val="22"/>
          <w:szCs w:val="22"/>
        </w:rPr>
        <w:noBreakHyphen/>
      </w:r>
      <w:r w:rsidRPr="00D7345C">
        <w:rPr>
          <w:sz w:val="22"/>
          <w:szCs w:val="22"/>
        </w:rPr>
        <w:t>2013</w:t>
      </w:r>
    </w:p>
    <w:p w:rsidR="00D42474" w:rsidRDefault="00D42474" w:rsidP="001A5BF9">
      <w:pPr>
        <w:rPr>
          <w:rFonts w:cs="Arial"/>
          <w:sz w:val="22"/>
          <w:szCs w:val="22"/>
        </w:rPr>
      </w:pPr>
    </w:p>
    <w:p w:rsidR="00D42474" w:rsidRDefault="0096696E" w:rsidP="001A5BF9">
      <w:pPr>
        <w:rPr>
          <w:rFonts w:cs="Arial"/>
          <w:bCs/>
          <w:sz w:val="22"/>
          <w:szCs w:val="22"/>
        </w:rPr>
      </w:pPr>
      <w:r w:rsidRPr="00D7345C">
        <w:rPr>
          <w:sz w:val="22"/>
          <w:szCs w:val="22"/>
        </w:rPr>
        <w:t>SYSTÈME DE MADRID</w:t>
      </w:r>
    </w:p>
    <w:p w:rsidR="00D42474" w:rsidRDefault="00D42474" w:rsidP="001A5BF9">
      <w:pPr>
        <w:rPr>
          <w:rFonts w:cs="Arial"/>
          <w:bCs/>
          <w:sz w:val="22"/>
          <w:szCs w:val="22"/>
        </w:rPr>
      </w:pPr>
    </w:p>
    <w:p w:rsidR="00D42474" w:rsidRDefault="0096696E" w:rsidP="001A5BF9">
      <w:pPr>
        <w:pStyle w:val="Paragraphedeliste"/>
        <w:numPr>
          <w:ilvl w:val="0"/>
          <w:numId w:val="17"/>
        </w:numPr>
        <w:tabs>
          <w:tab w:val="left" w:pos="709"/>
        </w:tabs>
        <w:ind w:left="0" w:firstLine="0"/>
        <w:jc w:val="both"/>
        <w:rPr>
          <w:rFonts w:cs="Arial"/>
          <w:bCs/>
          <w:color w:val="000000"/>
        </w:rPr>
      </w:pPr>
      <w:r w:rsidRPr="005C7CCE">
        <w:t>Le système de Madrid a connu une forte croissance en termes à la fois de nombre de membres au Protocole de Madrid et d</w:t>
      </w:r>
      <w:r w:rsidR="00A20444" w:rsidRPr="005C7CCE">
        <w:t>’</w:t>
      </w:r>
      <w:r w:rsidRPr="005C7CCE">
        <w:t>utilisation du système.</w:t>
      </w:r>
    </w:p>
    <w:p w:rsidR="00D42474" w:rsidRDefault="00D42474" w:rsidP="001A5BF9">
      <w:pPr>
        <w:pStyle w:val="Paragraphedeliste"/>
        <w:tabs>
          <w:tab w:val="left" w:pos="709"/>
        </w:tabs>
        <w:ind w:left="0"/>
        <w:rPr>
          <w:rFonts w:cs="Arial"/>
          <w:bCs/>
          <w:color w:val="000000"/>
          <w:sz w:val="16"/>
          <w:szCs w:val="16"/>
        </w:rPr>
      </w:pPr>
    </w:p>
    <w:p w:rsidR="00D42474" w:rsidRDefault="0096696E" w:rsidP="001A5BF9">
      <w:pPr>
        <w:pStyle w:val="Paragraphedeliste"/>
        <w:numPr>
          <w:ilvl w:val="0"/>
          <w:numId w:val="17"/>
        </w:numPr>
        <w:tabs>
          <w:tab w:val="left" w:pos="709"/>
        </w:tabs>
        <w:ind w:left="0" w:firstLine="0"/>
        <w:jc w:val="both"/>
      </w:pPr>
      <w:r w:rsidRPr="005C7CCE">
        <w:t>En 2012, les adhésions de la Colombie, du Mexique, de la Nouvelle</w:t>
      </w:r>
      <w:r w:rsidR="002D6F2A" w:rsidRPr="005C7CCE">
        <w:noBreakHyphen/>
      </w:r>
      <w:r w:rsidRPr="005C7CCE">
        <w:t>Zélande et des Philippines ont représenté une étape importante dans la poursuite de l</w:t>
      </w:r>
      <w:r w:rsidR="00A20444" w:rsidRPr="005C7CCE">
        <w:t>’</w:t>
      </w:r>
      <w:r w:rsidRPr="005C7CCE">
        <w:t>expansion géographique du système de Madrid, en particulier avec l</w:t>
      </w:r>
      <w:r w:rsidR="00A20444" w:rsidRPr="005C7CCE">
        <w:t>’</w:t>
      </w:r>
      <w:r w:rsidRPr="005C7CCE">
        <w:t>entrée de deux pays de la région de l</w:t>
      </w:r>
      <w:r w:rsidR="00A20444" w:rsidRPr="005C7CCE">
        <w:t>’</w:t>
      </w:r>
      <w:r w:rsidRPr="005C7CCE">
        <w:t xml:space="preserve">Amérique latine. </w:t>
      </w:r>
      <w:r w:rsidR="0010442A" w:rsidRPr="005C7CCE">
        <w:t xml:space="preserve"> </w:t>
      </w:r>
      <w:r w:rsidRPr="005C7CCE">
        <w:t xml:space="preserve">La couverture </w:t>
      </w:r>
      <w:r w:rsidRPr="00D7345C">
        <w:t>géographique du système de Madrid a poursuivi son expansion en 2013 avec les adhésions de l</w:t>
      </w:r>
      <w:r w:rsidR="00A20444" w:rsidRPr="00D7345C">
        <w:t>’</w:t>
      </w:r>
      <w:r w:rsidRPr="00D7345C">
        <w:t xml:space="preserve">Inde, du Rwanda et de la Tunisie. </w:t>
      </w:r>
      <w:r w:rsidR="0010442A" w:rsidRPr="00D7345C">
        <w:t xml:space="preserve"> </w:t>
      </w:r>
      <w:r w:rsidRPr="00D7345C">
        <w:t>À la fin de 2013, le système de Madrid comptait 92 membres, offrant aux propriétaires de marques la possibilité d</w:t>
      </w:r>
      <w:r w:rsidR="00A20444" w:rsidRPr="00D7345C">
        <w:t>’</w:t>
      </w:r>
      <w:r w:rsidRPr="00D7345C">
        <w:t>obtenir la protection de leurs produits et services de marque sur les territoires couverts par ses 91 pays membres et son organisation intergouvernementale membre (l</w:t>
      </w:r>
      <w:r w:rsidR="00A20444" w:rsidRPr="00D7345C">
        <w:t>’</w:t>
      </w:r>
      <w:r w:rsidRPr="00D7345C">
        <w:t>Union européenne).</w:t>
      </w:r>
      <w:r w:rsidR="004F3E42" w:rsidRPr="00D7345C">
        <w:t xml:space="preserve"> </w:t>
      </w:r>
      <w:r w:rsidR="0010442A" w:rsidRPr="00D7345C">
        <w:t xml:space="preserve"> </w:t>
      </w:r>
      <w:r w:rsidRPr="00D7345C">
        <w:t>Sur ces 92 membres, 91 sont membres du Protocole de Madrid et seul un pays reste partie à l</w:t>
      </w:r>
      <w:r w:rsidR="00A20444" w:rsidRPr="00D7345C">
        <w:t>’</w:t>
      </w:r>
      <w:r w:rsidRPr="00D7345C">
        <w:t>Arrangement uniquement.</w:t>
      </w:r>
    </w:p>
    <w:p w:rsidR="00D42474" w:rsidRDefault="00D42474" w:rsidP="001A5BF9">
      <w:pPr>
        <w:pStyle w:val="Paragraphedeliste"/>
        <w:tabs>
          <w:tab w:val="left" w:pos="709"/>
        </w:tabs>
        <w:ind w:left="0"/>
        <w:rPr>
          <w:rFonts w:cs="Arial"/>
          <w:bCs/>
          <w:sz w:val="16"/>
          <w:szCs w:val="16"/>
        </w:rPr>
      </w:pPr>
    </w:p>
    <w:p w:rsidR="00D42474" w:rsidRDefault="0096696E" w:rsidP="001A5BF9">
      <w:pPr>
        <w:pStyle w:val="Paragraphedeliste"/>
        <w:numPr>
          <w:ilvl w:val="0"/>
          <w:numId w:val="17"/>
        </w:numPr>
        <w:tabs>
          <w:tab w:val="left" w:pos="709"/>
        </w:tabs>
        <w:ind w:left="0" w:firstLine="0"/>
        <w:jc w:val="both"/>
        <w:rPr>
          <w:spacing w:val="-2"/>
        </w:rPr>
      </w:pPr>
      <w:r w:rsidRPr="00D7345C">
        <w:rPr>
          <w:spacing w:val="-2"/>
        </w:rPr>
        <w:t>La promotion du système de Madrid s</w:t>
      </w:r>
      <w:r w:rsidR="00A20444" w:rsidRPr="00D7345C">
        <w:rPr>
          <w:spacing w:val="-2"/>
        </w:rPr>
        <w:t>’</w:t>
      </w:r>
      <w:r w:rsidRPr="00D7345C">
        <w:rPr>
          <w:spacing w:val="-2"/>
        </w:rPr>
        <w:t>est intensifiée auprès des membres actuels comme des membres potentiels, en se concentrant en particulier sur les pays où le système de Madrid est jugé sous</w:t>
      </w:r>
      <w:r w:rsidR="002D6F2A" w:rsidRPr="00D7345C">
        <w:rPr>
          <w:spacing w:val="-2"/>
        </w:rPr>
        <w:noBreakHyphen/>
      </w:r>
      <w:r w:rsidRPr="00D7345C">
        <w:rPr>
          <w:spacing w:val="-2"/>
        </w:rPr>
        <w:t xml:space="preserve">utilisé. </w:t>
      </w:r>
      <w:r w:rsidR="0010442A" w:rsidRPr="00D7345C">
        <w:rPr>
          <w:spacing w:val="-2"/>
        </w:rPr>
        <w:t xml:space="preserve"> </w:t>
      </w:r>
      <w:r w:rsidRPr="00D7345C">
        <w:rPr>
          <w:spacing w:val="-2"/>
        </w:rPr>
        <w:t>Des efforts particuliers pour encourager l</w:t>
      </w:r>
      <w:r w:rsidR="00A20444" w:rsidRPr="00D7345C">
        <w:rPr>
          <w:spacing w:val="-2"/>
        </w:rPr>
        <w:t>’</w:t>
      </w:r>
      <w:r w:rsidRPr="00D7345C">
        <w:rPr>
          <w:spacing w:val="-2"/>
        </w:rPr>
        <w:t>utilisation du système par les utilisateurs existants ou potentiels ont été axés sur la Chine, le Japon, la Fédération de Russie et les États</w:t>
      </w:r>
      <w:r w:rsidR="002D6F2A" w:rsidRPr="00D7345C">
        <w:rPr>
          <w:spacing w:val="-2"/>
        </w:rPr>
        <w:noBreakHyphen/>
      </w:r>
      <w:r w:rsidRPr="00D7345C">
        <w:rPr>
          <w:spacing w:val="-2"/>
        </w:rPr>
        <w:t>Unis d</w:t>
      </w:r>
      <w:r w:rsidR="00A20444" w:rsidRPr="00D7345C">
        <w:rPr>
          <w:spacing w:val="-2"/>
        </w:rPr>
        <w:t>’</w:t>
      </w:r>
      <w:r w:rsidRPr="00D7345C">
        <w:rPr>
          <w:spacing w:val="-2"/>
        </w:rPr>
        <w:t>Amérique, ainsi sur les régions europ</w:t>
      </w:r>
      <w:r w:rsidR="00882581" w:rsidRPr="00D7345C">
        <w:rPr>
          <w:spacing w:val="-2"/>
        </w:rPr>
        <w:t>éennes et de l</w:t>
      </w:r>
      <w:r w:rsidR="00A20444" w:rsidRPr="00D7345C">
        <w:rPr>
          <w:spacing w:val="-2"/>
        </w:rPr>
        <w:t>’</w:t>
      </w:r>
      <w:r w:rsidR="00882581" w:rsidRPr="00D7345C">
        <w:rPr>
          <w:spacing w:val="-2"/>
        </w:rPr>
        <w:t>Association des n</w:t>
      </w:r>
      <w:r w:rsidRPr="00D7345C">
        <w:rPr>
          <w:spacing w:val="-2"/>
        </w:rPr>
        <w:t>ations de l</w:t>
      </w:r>
      <w:r w:rsidR="00A20444" w:rsidRPr="00D7345C">
        <w:rPr>
          <w:spacing w:val="-2"/>
        </w:rPr>
        <w:t>’</w:t>
      </w:r>
      <w:r w:rsidRPr="00D7345C">
        <w:rPr>
          <w:spacing w:val="-2"/>
        </w:rPr>
        <w:t>Asie du Sud</w:t>
      </w:r>
      <w:r w:rsidR="002D6F2A" w:rsidRPr="00D7345C">
        <w:rPr>
          <w:spacing w:val="-2"/>
        </w:rPr>
        <w:noBreakHyphen/>
      </w:r>
      <w:r w:rsidRPr="00D7345C">
        <w:rPr>
          <w:spacing w:val="-2"/>
        </w:rPr>
        <w:t>Est (</w:t>
      </w:r>
      <w:r w:rsidR="00F93985">
        <w:rPr>
          <w:spacing w:val="-2"/>
        </w:rPr>
        <w:t>ASEAN</w:t>
      </w:r>
      <w:r w:rsidRPr="00D7345C">
        <w:rPr>
          <w:spacing w:val="-2"/>
        </w:rPr>
        <w:t>).</w:t>
      </w:r>
      <w:r w:rsidR="004F3E42" w:rsidRPr="00D7345C">
        <w:rPr>
          <w:spacing w:val="-2"/>
        </w:rPr>
        <w:t xml:space="preserve"> </w:t>
      </w:r>
      <w:r w:rsidR="0010442A" w:rsidRPr="00D7345C">
        <w:rPr>
          <w:spacing w:val="-2"/>
        </w:rPr>
        <w:t xml:space="preserve"> </w:t>
      </w:r>
      <w:r w:rsidRPr="00D7345C">
        <w:rPr>
          <w:spacing w:val="-2"/>
        </w:rPr>
        <w:t>Pour s</w:t>
      </w:r>
      <w:r w:rsidR="00A20444" w:rsidRPr="00D7345C">
        <w:rPr>
          <w:spacing w:val="-2"/>
        </w:rPr>
        <w:t>’</w:t>
      </w:r>
      <w:r w:rsidRPr="00D7345C">
        <w:rPr>
          <w:spacing w:val="-2"/>
        </w:rPr>
        <w:t xml:space="preserve">assurer que les parties prenantes restent au courant des dernières informations et évolutions concernant le système de Madrid, il a été décidé de lancer en 2012 “The Madrid </w:t>
      </w:r>
      <w:proofErr w:type="spellStart"/>
      <w:r w:rsidRPr="00D7345C">
        <w:rPr>
          <w:spacing w:val="-2"/>
        </w:rPr>
        <w:t>Highlights</w:t>
      </w:r>
      <w:proofErr w:type="spellEnd"/>
      <w:r w:rsidRPr="00D7345C">
        <w:rPr>
          <w:spacing w:val="-2"/>
        </w:rPr>
        <w:t>”, bulletin trimestriel portant sur le système de Madrid, et, depuis</w:t>
      </w:r>
      <w:r w:rsidR="0010442A" w:rsidRPr="00D7345C">
        <w:rPr>
          <w:spacing w:val="-2"/>
        </w:rPr>
        <w:t> </w:t>
      </w:r>
      <w:r w:rsidRPr="00D7345C">
        <w:rPr>
          <w:spacing w:val="-2"/>
        </w:rPr>
        <w:t xml:space="preserve">2013, il est disponible dans les six langues officielles des </w:t>
      </w:r>
      <w:r w:rsidR="00A20444" w:rsidRPr="00D7345C">
        <w:rPr>
          <w:spacing w:val="-2"/>
        </w:rPr>
        <w:t>Nations Unies</w:t>
      </w:r>
      <w:r w:rsidRPr="00D7345C">
        <w:rPr>
          <w:spacing w:val="-2"/>
        </w:rPr>
        <w:t>.</w:t>
      </w:r>
    </w:p>
    <w:p w:rsidR="00D42474" w:rsidRDefault="00D42474" w:rsidP="001A5BF9">
      <w:pPr>
        <w:tabs>
          <w:tab w:val="left" w:pos="709"/>
        </w:tabs>
        <w:jc w:val="both"/>
        <w:rPr>
          <w:rFonts w:cs="Arial"/>
          <w:bCs/>
          <w:sz w:val="16"/>
          <w:szCs w:val="16"/>
        </w:rPr>
      </w:pPr>
    </w:p>
    <w:p w:rsidR="00D42474" w:rsidRDefault="0096696E" w:rsidP="001A5BF9">
      <w:pPr>
        <w:pStyle w:val="Paragraphedeliste"/>
        <w:numPr>
          <w:ilvl w:val="0"/>
          <w:numId w:val="17"/>
        </w:numPr>
        <w:tabs>
          <w:tab w:val="left" w:pos="709"/>
        </w:tabs>
        <w:ind w:left="0" w:firstLine="0"/>
        <w:jc w:val="both"/>
        <w:rPr>
          <w:rFonts w:cs="Arial"/>
        </w:rPr>
      </w:pPr>
      <w:r w:rsidRPr="00D7345C">
        <w:t>Le Bureau international a aidé plusieurs États ainsi que des organisations intergouvernementales à préparer leur éventuelle future adhésion au Protocole de Madrid, notamment l</w:t>
      </w:r>
      <w:r w:rsidR="00A20444" w:rsidRPr="00D7345C">
        <w:t>’</w:t>
      </w:r>
      <w:r w:rsidRPr="00D7345C">
        <w:t>Afrique du Sud, l</w:t>
      </w:r>
      <w:r w:rsidR="00A20444" w:rsidRPr="00D7345C">
        <w:t>’</w:t>
      </w:r>
      <w:r w:rsidRPr="00D7345C">
        <w:t xml:space="preserve">Algérie, la Barbade, le </w:t>
      </w:r>
      <w:proofErr w:type="spellStart"/>
      <w:r w:rsidRPr="00D7345C">
        <w:t>Brunéi</w:t>
      </w:r>
      <w:proofErr w:type="spellEnd"/>
      <w:r w:rsidRPr="00D7345C">
        <w:t xml:space="preserve"> Darussalam, le Cambodge, la Colombie, le Costa Rica, la Gambie, l</w:t>
      </w:r>
      <w:r w:rsidR="00A20444" w:rsidRPr="00D7345C">
        <w:t>’</w:t>
      </w:r>
      <w:r w:rsidRPr="00D7345C">
        <w:t>Inde, l</w:t>
      </w:r>
      <w:r w:rsidR="00A20444" w:rsidRPr="00D7345C">
        <w:t>’</w:t>
      </w:r>
      <w:r w:rsidRPr="00D7345C">
        <w:t>Indonésie, la Jamaïque, la Malaisie, le Mexique, le Nigeria, la Nouvelle</w:t>
      </w:r>
      <w:r w:rsidR="002D6F2A" w:rsidRPr="00D7345C">
        <w:noBreakHyphen/>
      </w:r>
      <w:r w:rsidRPr="00D7345C">
        <w:t>Zélande, le Pakistan, les Philippines, la République dominicaine, Sri Lanka, la Thaïlande, la Trinité</w:t>
      </w:r>
      <w:r w:rsidR="002D6F2A" w:rsidRPr="00D7345C">
        <w:noBreakHyphen/>
      </w:r>
      <w:r w:rsidRPr="00D7345C">
        <w:t>et</w:t>
      </w:r>
      <w:r w:rsidR="002D6F2A" w:rsidRPr="00D7345C">
        <w:noBreakHyphen/>
      </w:r>
      <w:r w:rsidRPr="00D7345C">
        <w:t>Tobago, la Tunisie, le Zimbabwe et deux organisations intergouvernementales, l</w:t>
      </w:r>
      <w:r w:rsidR="00A20444" w:rsidRPr="00D7345C">
        <w:t>’</w:t>
      </w:r>
      <w:r w:rsidRPr="00D7345C">
        <w:t>Organisation régionale africaine de propriété intellectuelle (ARIPO) et l</w:t>
      </w:r>
      <w:r w:rsidR="00A20444" w:rsidRPr="00D7345C">
        <w:t>’</w:t>
      </w:r>
      <w:r w:rsidRPr="00D7345C">
        <w:t xml:space="preserve">Organisation Africaine de la Propriété Intellectuelle (OAPI). </w:t>
      </w:r>
      <w:r w:rsidR="0010442A" w:rsidRPr="00D7345C">
        <w:t xml:space="preserve"> </w:t>
      </w:r>
      <w:r w:rsidRPr="00D7345C">
        <w:t>Ces futures adhésions potentielles renforceront la portée géographique du système de Madrid, offrant aux titulaires de marques une possibilité simple, efficace et rentable d</w:t>
      </w:r>
      <w:r w:rsidR="00A20444" w:rsidRPr="00D7345C">
        <w:t>’</w:t>
      </w:r>
      <w:r w:rsidRPr="00D7345C">
        <w:t>obtenir et de préserver la protection de leurs marques dans une zone géographique élargie.</w:t>
      </w:r>
    </w:p>
    <w:p w:rsidR="00D42474" w:rsidRDefault="00D42474" w:rsidP="001A5BF9">
      <w:pPr>
        <w:jc w:val="both"/>
        <w:rPr>
          <w:rFonts w:cs="Arial"/>
          <w:bCs/>
          <w:sz w:val="16"/>
          <w:szCs w:val="16"/>
        </w:rPr>
      </w:pPr>
    </w:p>
    <w:p w:rsidR="00D42474" w:rsidRDefault="0096696E" w:rsidP="001A5BF9">
      <w:pPr>
        <w:pStyle w:val="Paragraphedeliste"/>
        <w:numPr>
          <w:ilvl w:val="0"/>
          <w:numId w:val="17"/>
        </w:numPr>
        <w:tabs>
          <w:tab w:val="left" w:pos="709"/>
        </w:tabs>
        <w:ind w:left="0" w:firstLine="0"/>
        <w:jc w:val="both"/>
        <w:rPr>
          <w:rFonts w:cs="Arial"/>
          <w:bCs/>
        </w:rPr>
      </w:pPr>
      <w:r w:rsidRPr="00D7345C">
        <w:t>En outre, le Bureau international a organisé quatre ateliers pour des offices de propriété intellectuelle, principalement axés sur les pays en développement et les PMA, offrant une formation sur les procédures opérationnelles du système de Madrid.</w:t>
      </w:r>
    </w:p>
    <w:p w:rsidR="00D42474" w:rsidRDefault="00D42474" w:rsidP="001A5BF9">
      <w:pPr>
        <w:tabs>
          <w:tab w:val="left" w:pos="709"/>
        </w:tabs>
        <w:jc w:val="both"/>
        <w:rPr>
          <w:rFonts w:cs="Arial"/>
          <w:bCs/>
          <w:sz w:val="16"/>
          <w:szCs w:val="16"/>
        </w:rPr>
      </w:pPr>
    </w:p>
    <w:p w:rsidR="00D42474" w:rsidRDefault="0096696E" w:rsidP="001A5BF9">
      <w:pPr>
        <w:pStyle w:val="Paragraphedeliste"/>
        <w:numPr>
          <w:ilvl w:val="0"/>
          <w:numId w:val="17"/>
        </w:numPr>
        <w:tabs>
          <w:tab w:val="left" w:pos="709"/>
        </w:tabs>
        <w:ind w:left="0" w:firstLine="0"/>
        <w:jc w:val="both"/>
        <w:rPr>
          <w:rFonts w:cs="Arial"/>
          <w:bCs/>
        </w:rPr>
      </w:pPr>
      <w:r w:rsidRPr="00D7345C">
        <w:t>L</w:t>
      </w:r>
      <w:r w:rsidR="00A20444" w:rsidRPr="00D7345C">
        <w:t>’</w:t>
      </w:r>
      <w:r w:rsidRPr="00D7345C">
        <w:t xml:space="preserve">année 2013 aura constitué la troisième année de croissance consécutive du système de Madrid, en termes de dépôts de demandes internationales, de désignations postérieures et de renouvellements. </w:t>
      </w:r>
      <w:r w:rsidR="0010442A" w:rsidRPr="00D7345C">
        <w:t xml:space="preserve"> </w:t>
      </w:r>
      <w:r w:rsidRPr="00D7345C">
        <w:t>En 2013, le Bureau international a reçu 46 829 demandes internationales, soit une augmentation de 6,4</w:t>
      </w:r>
      <w:r w:rsidR="007E442D" w:rsidRPr="00D7345C">
        <w:t>%</w:t>
      </w:r>
      <w:r w:rsidRPr="00D7345C">
        <w:t xml:space="preserve"> par rapport à 2012. </w:t>
      </w:r>
      <w:r w:rsidR="0010442A" w:rsidRPr="00D7345C">
        <w:t xml:space="preserve"> </w:t>
      </w:r>
      <w:r w:rsidRPr="00D7345C">
        <w:t>Le Bureau international a enregistré 44 414 demandes, soit une hausse de 5,9</w:t>
      </w:r>
      <w:r w:rsidR="007E442D" w:rsidRPr="00D7345C">
        <w:t>%</w:t>
      </w:r>
      <w:r w:rsidRPr="00D7345C">
        <w:t xml:space="preserve"> par rapport à 2012.</w:t>
      </w:r>
      <w:r w:rsidR="0010442A" w:rsidRPr="00D7345C">
        <w:t xml:space="preserve"> </w:t>
      </w:r>
      <w:r w:rsidRPr="00D7345C">
        <w:t xml:space="preserve"> L</w:t>
      </w:r>
      <w:r w:rsidR="00A20444" w:rsidRPr="00D7345C">
        <w:t>’</w:t>
      </w:r>
      <w:r w:rsidRPr="00D7345C">
        <w:t>utilisation accrue du système a également été confirmée par le nombre de décisions des offices des parties contractantes qui a augmenté de 4,5</w:t>
      </w:r>
      <w:r w:rsidR="007E442D" w:rsidRPr="00D7345C">
        <w:t>%</w:t>
      </w:r>
      <w:r w:rsidRPr="00D7345C">
        <w:t xml:space="preserve"> en 2013 (456 877) par rapport à 2012 (437 082). </w:t>
      </w:r>
      <w:r w:rsidR="0010442A" w:rsidRPr="00D7345C">
        <w:t xml:space="preserve"> </w:t>
      </w:r>
      <w:r w:rsidRPr="00D7345C">
        <w:t>En outre, les renouvellements d</w:t>
      </w:r>
      <w:r w:rsidR="00A20444" w:rsidRPr="00D7345C">
        <w:t>’</w:t>
      </w:r>
      <w:r w:rsidRPr="00D7345C">
        <w:t>enregistrements internationaux ont augmenté de 5,3</w:t>
      </w:r>
      <w:r w:rsidR="007E442D" w:rsidRPr="00D7345C">
        <w:t>%</w:t>
      </w:r>
      <w:r w:rsidRPr="00D7345C">
        <w:t xml:space="preserve"> par rapport à 2012.</w:t>
      </w:r>
    </w:p>
    <w:p w:rsidR="00D42474" w:rsidRDefault="00D42474" w:rsidP="001A5BF9">
      <w:pPr>
        <w:tabs>
          <w:tab w:val="left" w:pos="709"/>
        </w:tabs>
        <w:jc w:val="both"/>
        <w:rPr>
          <w:rFonts w:cs="Arial"/>
          <w:b/>
          <w:bCs/>
          <w:sz w:val="16"/>
          <w:szCs w:val="16"/>
        </w:rPr>
      </w:pPr>
    </w:p>
    <w:p w:rsidR="00D42474" w:rsidRDefault="0096696E" w:rsidP="001A5BF9">
      <w:pPr>
        <w:pStyle w:val="Paragraphedeliste"/>
        <w:numPr>
          <w:ilvl w:val="0"/>
          <w:numId w:val="17"/>
        </w:numPr>
        <w:tabs>
          <w:tab w:val="left" w:pos="709"/>
        </w:tabs>
        <w:ind w:left="0" w:firstLine="0"/>
        <w:jc w:val="both"/>
      </w:pPr>
      <w:r w:rsidRPr="00D7345C">
        <w:t>Sur le total des demandes reçues respectivement en 2012 et </w:t>
      </w:r>
      <w:proofErr w:type="gramStart"/>
      <w:r w:rsidR="00BD43F2" w:rsidRPr="00D7345C">
        <w:t>2013 </w:t>
      </w:r>
      <w:r w:rsidRPr="00D7345C">
        <w:t>,</w:t>
      </w:r>
      <w:proofErr w:type="gramEnd"/>
      <w:r w:rsidRPr="00D7345C">
        <w:t xml:space="preserve"> 7 et 6,8</w:t>
      </w:r>
      <w:r w:rsidR="007E442D" w:rsidRPr="00D7345C">
        <w:t>%</w:t>
      </w:r>
      <w:r w:rsidRPr="00D7345C">
        <w:t xml:space="preserve"> provenaient de pays en développement et de PMA.</w:t>
      </w:r>
    </w:p>
    <w:p w:rsidR="00D42474" w:rsidRDefault="00D42474" w:rsidP="001A5BF9">
      <w:pPr>
        <w:pStyle w:val="Paragraphedeliste"/>
        <w:tabs>
          <w:tab w:val="left" w:pos="709"/>
        </w:tabs>
        <w:ind w:left="0"/>
        <w:jc w:val="both"/>
        <w:rPr>
          <w:rFonts w:cs="Arial"/>
        </w:rPr>
      </w:pPr>
    </w:p>
    <w:p w:rsidR="00D42474" w:rsidRDefault="0096696E" w:rsidP="001A5BF9">
      <w:pPr>
        <w:pStyle w:val="Paragraphedeliste"/>
        <w:numPr>
          <w:ilvl w:val="0"/>
          <w:numId w:val="17"/>
        </w:numPr>
        <w:tabs>
          <w:tab w:val="left" w:pos="709"/>
        </w:tabs>
        <w:ind w:left="0" w:firstLine="0"/>
        <w:jc w:val="both"/>
        <w:rPr>
          <w:rFonts w:cs="Arial"/>
        </w:rPr>
      </w:pPr>
      <w:r w:rsidRPr="00D7345C">
        <w:t xml:space="preserve">Le délai de traitement moyen des nouvelles demandes était de 24 jours ouvrés en 2013. </w:t>
      </w:r>
      <w:r w:rsidR="0010442A" w:rsidRPr="00D7345C">
        <w:t xml:space="preserve"> </w:t>
      </w:r>
      <w:r w:rsidRPr="00D7345C">
        <w:t>Les irrégularités représentaient 32,4</w:t>
      </w:r>
      <w:r w:rsidR="007E442D" w:rsidRPr="00D7345C">
        <w:t>%</w:t>
      </w:r>
      <w:r w:rsidRPr="00D7345C">
        <w:t xml:space="preserve"> du nombre total des demandes et 25,9</w:t>
      </w:r>
      <w:r w:rsidR="007E442D" w:rsidRPr="00D7345C">
        <w:t>%</w:t>
      </w:r>
      <w:r w:rsidRPr="00D7345C">
        <w:t xml:space="preserve"> d</w:t>
      </w:r>
      <w:r w:rsidR="00A20444" w:rsidRPr="00D7345C">
        <w:t>’</w:t>
      </w:r>
      <w:r w:rsidRPr="00D7345C">
        <w:t>entre elles tenaient à des problèmes de classification.</w:t>
      </w:r>
      <w:r w:rsidR="0010442A" w:rsidRPr="00D7345C">
        <w:t xml:space="preserve"> </w:t>
      </w:r>
      <w:r w:rsidRPr="00D7345C">
        <w:t xml:space="preserve"> La longueur des demandes et en particulier les listes de biens et services n</w:t>
      </w:r>
      <w:r w:rsidR="00A20444" w:rsidRPr="00D7345C">
        <w:t>’</w:t>
      </w:r>
      <w:r w:rsidRPr="00D7345C">
        <w:t>a pas cessé d</w:t>
      </w:r>
      <w:r w:rsidR="00A20444" w:rsidRPr="00D7345C">
        <w:t>’</w:t>
      </w:r>
      <w:r w:rsidRPr="00D7345C">
        <w:t>augmenter pendant l</w:t>
      </w:r>
      <w:r w:rsidR="00A20444" w:rsidRPr="00D7345C">
        <w:t>’</w:t>
      </w:r>
      <w:r w:rsidRPr="00D7345C">
        <w:t xml:space="preserve">exercice biennal. </w:t>
      </w:r>
      <w:r w:rsidR="0010442A" w:rsidRPr="00D7345C">
        <w:t xml:space="preserve"> </w:t>
      </w:r>
      <w:r w:rsidRPr="00D7345C">
        <w:t xml:space="preserve">Le nombre de mots à classifier et à traduire est passé de 5,5 millions en 2010 à 9,4 millions en 2013. </w:t>
      </w:r>
      <w:r w:rsidR="0010442A" w:rsidRPr="00D7345C">
        <w:t xml:space="preserve"> </w:t>
      </w:r>
      <w:r w:rsidRPr="00D7345C">
        <w:t>Le nombre moyen de mots figurant dans une liste de biens et services est passé de 70 en 1999 à 170 en 2011 et plus de 202 en 2013.</w:t>
      </w:r>
    </w:p>
    <w:p w:rsidR="00D42474" w:rsidRDefault="00D42474" w:rsidP="001A5BF9">
      <w:pPr>
        <w:tabs>
          <w:tab w:val="left" w:pos="567"/>
        </w:tabs>
        <w:jc w:val="both"/>
        <w:rPr>
          <w:rFonts w:cs="Arial"/>
          <w:szCs w:val="20"/>
        </w:rPr>
      </w:pPr>
    </w:p>
    <w:p w:rsidR="00D42474" w:rsidRDefault="0096696E" w:rsidP="001A5BF9">
      <w:pPr>
        <w:pStyle w:val="Paragraphedeliste"/>
        <w:numPr>
          <w:ilvl w:val="0"/>
          <w:numId w:val="17"/>
        </w:numPr>
        <w:tabs>
          <w:tab w:val="left" w:pos="709"/>
        </w:tabs>
        <w:ind w:left="0" w:firstLine="0"/>
        <w:jc w:val="both"/>
        <w:rPr>
          <w:rFonts w:eastAsia="MS Mincho"/>
        </w:rPr>
      </w:pPr>
      <w:r w:rsidRPr="00D7345C">
        <w:t>La deuxième phase du programme de modernisation informatique fait intervenir le passage de toutes les fonctions commerciales des systèmes de Madrid et de La</w:t>
      </w:r>
      <w:r w:rsidR="0010442A" w:rsidRPr="00D7345C">
        <w:t> </w:t>
      </w:r>
      <w:r w:rsidRPr="00D7345C">
        <w:t>Haye de leur ancienne technologie à une architecture technique moderne sur Internet.</w:t>
      </w:r>
      <w:r w:rsidR="004F3E42" w:rsidRPr="00D7345C">
        <w:t xml:space="preserve"> </w:t>
      </w:r>
      <w:r w:rsidR="0010442A" w:rsidRPr="00D7345C">
        <w:t xml:space="preserve"> </w:t>
      </w:r>
      <w:r w:rsidRPr="00D7345C">
        <w:t>L</w:t>
      </w:r>
      <w:r w:rsidR="00A20444" w:rsidRPr="00D7345C">
        <w:t>’</w:t>
      </w:r>
      <w:r w:rsidRPr="00D7345C">
        <w:t>exécution de la phase II est entrée dans une phase avancée au cours de l</w:t>
      </w:r>
      <w:r w:rsidR="00A20444" w:rsidRPr="00D7345C">
        <w:t>’</w:t>
      </w:r>
      <w:r w:rsidRPr="00D7345C">
        <w:t>exercice biennal.</w:t>
      </w:r>
      <w:r w:rsidR="0010442A" w:rsidRPr="00D7345C">
        <w:t xml:space="preserve"> </w:t>
      </w:r>
      <w:r w:rsidRPr="00D7345C">
        <w:t xml:space="preserve"> Suite à sa mise en œuvre, une phase III ultérieure du programme de modernisation informatique portera sur l</w:t>
      </w:r>
      <w:r w:rsidR="00A20444" w:rsidRPr="00D7345C">
        <w:t>’</w:t>
      </w:r>
      <w:r w:rsidRPr="00D7345C">
        <w:t>amélioration de l</w:t>
      </w:r>
      <w:r w:rsidR="00A20444" w:rsidRPr="00D7345C">
        <w:t>’</w:t>
      </w:r>
      <w:r w:rsidRPr="00D7345C">
        <w:t>interface utilisateur, l</w:t>
      </w:r>
      <w:r w:rsidR="00A20444" w:rsidRPr="00D7345C">
        <w:t>’</w:t>
      </w:r>
      <w:r w:rsidRPr="00D7345C">
        <w:t>optimisation des flux et la rationalisation des procédures internes.</w:t>
      </w:r>
    </w:p>
    <w:p w:rsidR="00D42474" w:rsidRDefault="00D42474" w:rsidP="001A5BF9">
      <w:pPr>
        <w:tabs>
          <w:tab w:val="left" w:pos="709"/>
        </w:tabs>
        <w:jc w:val="both"/>
        <w:rPr>
          <w:rFonts w:cs="Arial"/>
          <w:szCs w:val="20"/>
        </w:rPr>
      </w:pPr>
    </w:p>
    <w:p w:rsidR="00D42474" w:rsidRDefault="0096696E" w:rsidP="001A5BF9">
      <w:pPr>
        <w:pStyle w:val="Paragraphedeliste"/>
        <w:numPr>
          <w:ilvl w:val="0"/>
          <w:numId w:val="17"/>
        </w:numPr>
        <w:tabs>
          <w:tab w:val="left" w:pos="709"/>
        </w:tabs>
        <w:ind w:left="0" w:firstLine="0"/>
        <w:jc w:val="both"/>
        <w:rPr>
          <w:rFonts w:cs="Arial"/>
          <w:spacing w:val="-2"/>
        </w:rPr>
      </w:pPr>
      <w:r w:rsidRPr="00D7345C">
        <w:rPr>
          <w:spacing w:val="-2"/>
        </w:rPr>
        <w:t>La suite d</w:t>
      </w:r>
      <w:r w:rsidR="00A20444" w:rsidRPr="00D7345C">
        <w:rPr>
          <w:spacing w:val="-2"/>
        </w:rPr>
        <w:t>’</w:t>
      </w:r>
      <w:r w:rsidRPr="00D7345C">
        <w:rPr>
          <w:spacing w:val="-2"/>
        </w:rPr>
        <w:t xml:space="preserve">outils informatiques Internet, le service MEA (Madrid </w:t>
      </w:r>
      <w:proofErr w:type="spellStart"/>
      <w:r w:rsidRPr="00D7345C">
        <w:rPr>
          <w:spacing w:val="-2"/>
        </w:rPr>
        <w:t>Electronic</w:t>
      </w:r>
      <w:proofErr w:type="spellEnd"/>
      <w:r w:rsidRPr="00D7345C">
        <w:rPr>
          <w:spacing w:val="-2"/>
        </w:rPr>
        <w:t xml:space="preserve"> </w:t>
      </w:r>
      <w:proofErr w:type="spellStart"/>
      <w:r w:rsidRPr="00D7345C">
        <w:rPr>
          <w:spacing w:val="-2"/>
        </w:rPr>
        <w:t>Alert</w:t>
      </w:r>
      <w:proofErr w:type="spellEnd"/>
      <w:r w:rsidRPr="00D7345C">
        <w:rPr>
          <w:spacing w:val="-2"/>
        </w:rPr>
        <w:t>), le MRS (Madrid Real</w:t>
      </w:r>
      <w:r w:rsidR="002D6F2A" w:rsidRPr="00D7345C">
        <w:rPr>
          <w:spacing w:val="-2"/>
        </w:rPr>
        <w:noBreakHyphen/>
      </w:r>
      <w:r w:rsidRPr="00D7345C">
        <w:rPr>
          <w:spacing w:val="-2"/>
        </w:rPr>
        <w:t xml:space="preserve">time </w:t>
      </w:r>
      <w:proofErr w:type="spellStart"/>
      <w:r w:rsidRPr="00D7345C">
        <w:rPr>
          <w:spacing w:val="-2"/>
        </w:rPr>
        <w:t>Status</w:t>
      </w:r>
      <w:proofErr w:type="spellEnd"/>
      <w:r w:rsidRPr="00D7345C">
        <w:rPr>
          <w:spacing w:val="-2"/>
        </w:rPr>
        <w:t>) et le </w:t>
      </w:r>
      <w:proofErr w:type="spellStart"/>
      <w:r w:rsidRPr="00D7345C">
        <w:rPr>
          <w:spacing w:val="-2"/>
        </w:rPr>
        <w:t>MPM</w:t>
      </w:r>
      <w:proofErr w:type="spellEnd"/>
      <w:r w:rsidRPr="00D7345C">
        <w:rPr>
          <w:spacing w:val="-2"/>
        </w:rPr>
        <w:t xml:space="preserve"> (Madrid Portfolio Manager) ont bénéficié d</w:t>
      </w:r>
      <w:r w:rsidR="00A20444" w:rsidRPr="00D7345C">
        <w:rPr>
          <w:spacing w:val="-2"/>
        </w:rPr>
        <w:t>’</w:t>
      </w:r>
      <w:r w:rsidRPr="00D7345C">
        <w:rPr>
          <w:spacing w:val="-2"/>
        </w:rPr>
        <w:t xml:space="preserve">une utilisation accrue et de fonctionnalités améliorées. </w:t>
      </w:r>
      <w:r w:rsidR="0010442A" w:rsidRPr="00D7345C">
        <w:rPr>
          <w:spacing w:val="-2"/>
        </w:rPr>
        <w:t xml:space="preserve"> </w:t>
      </w:r>
      <w:r w:rsidRPr="00D7345C">
        <w:rPr>
          <w:spacing w:val="-2"/>
        </w:rPr>
        <w:t xml:space="preserve">Le </w:t>
      </w:r>
      <w:r w:rsidRPr="00D7345C">
        <w:rPr>
          <w:i/>
          <w:spacing w:val="-2"/>
        </w:rPr>
        <w:t>Gestionnaire de produits et services de Madrid</w:t>
      </w:r>
      <w:r w:rsidRPr="00D7345C">
        <w:rPr>
          <w:spacing w:val="-2"/>
        </w:rPr>
        <w:t xml:space="preserve"> (Gestionnaire P &amp; S) a encore été amélioré conformément aux besoins opérationnels, dont l</w:t>
      </w:r>
      <w:r w:rsidR="00A20444" w:rsidRPr="00D7345C">
        <w:rPr>
          <w:spacing w:val="-2"/>
        </w:rPr>
        <w:t>’</w:t>
      </w:r>
      <w:r w:rsidRPr="00D7345C">
        <w:rPr>
          <w:spacing w:val="-2"/>
        </w:rPr>
        <w:t>entière conformité à la classification de Nice.</w:t>
      </w:r>
    </w:p>
    <w:p w:rsidR="00D42474" w:rsidRDefault="00D42474" w:rsidP="001A5BF9">
      <w:pPr>
        <w:tabs>
          <w:tab w:val="left" w:pos="709"/>
        </w:tabs>
        <w:jc w:val="both"/>
        <w:rPr>
          <w:rFonts w:cs="Arial"/>
          <w:szCs w:val="20"/>
        </w:rPr>
      </w:pPr>
    </w:p>
    <w:p w:rsidR="00D42474" w:rsidRDefault="0096696E" w:rsidP="001A5BF9">
      <w:pPr>
        <w:pStyle w:val="Paragraphedeliste"/>
        <w:numPr>
          <w:ilvl w:val="0"/>
          <w:numId w:val="17"/>
        </w:numPr>
        <w:tabs>
          <w:tab w:val="left" w:pos="709"/>
        </w:tabs>
        <w:ind w:left="0" w:firstLine="0"/>
        <w:jc w:val="both"/>
      </w:pPr>
      <w:r w:rsidRPr="00D7345C">
        <w:t>En ce qui concerne l</w:t>
      </w:r>
      <w:r w:rsidR="00A20444" w:rsidRPr="00D7345C">
        <w:t>’</w:t>
      </w:r>
      <w:r w:rsidRPr="00D7345C">
        <w:t>évolution juridique du système de Madrid, les débats se sont poursuivis au sein du groupe de travail tout au long de l</w:t>
      </w:r>
      <w:r w:rsidR="00A20444" w:rsidRPr="00D7345C">
        <w:t>’</w:t>
      </w:r>
      <w:r w:rsidRPr="00D7345C">
        <w:t>exercice biennal afin d</w:t>
      </w:r>
      <w:r w:rsidR="00A20444" w:rsidRPr="00D7345C">
        <w:t>’</w:t>
      </w:r>
      <w:r w:rsidRPr="00D7345C">
        <w:t>étudier les possibilités de rendre le système plus efficace, plus souple et convivial.</w:t>
      </w:r>
    </w:p>
    <w:p w:rsidR="00D42474" w:rsidRDefault="00D42474" w:rsidP="001A5BF9">
      <w:pPr>
        <w:jc w:val="both"/>
        <w:rPr>
          <w:rFonts w:cs="Arial"/>
          <w:bCs/>
          <w:szCs w:val="20"/>
        </w:rPr>
      </w:pPr>
    </w:p>
    <w:p w:rsidR="00D42474" w:rsidRDefault="0096696E" w:rsidP="001A5BF9">
      <w:pPr>
        <w:jc w:val="both"/>
        <w:rPr>
          <w:rFonts w:cs="Arial"/>
          <w:bCs/>
          <w:szCs w:val="22"/>
        </w:rPr>
      </w:pPr>
      <w:r w:rsidRPr="00D7345C">
        <w:t>SYSTÈME DE LISBONNE</w:t>
      </w:r>
    </w:p>
    <w:p w:rsidR="00D42474" w:rsidRDefault="00D42474" w:rsidP="001A5BF9">
      <w:pPr>
        <w:jc w:val="both"/>
        <w:rPr>
          <w:rFonts w:cs="Arial"/>
          <w:bCs/>
          <w:szCs w:val="20"/>
        </w:rPr>
      </w:pPr>
    </w:p>
    <w:p w:rsidR="00D42474" w:rsidRDefault="0096696E" w:rsidP="001A5BF9">
      <w:pPr>
        <w:pStyle w:val="Paragraphedeliste"/>
        <w:numPr>
          <w:ilvl w:val="0"/>
          <w:numId w:val="17"/>
        </w:numPr>
        <w:tabs>
          <w:tab w:val="left" w:pos="709"/>
        </w:tabs>
        <w:ind w:left="0" w:firstLine="0"/>
      </w:pPr>
      <w:r w:rsidRPr="00D7345C">
        <w:t>Le nombre de membres de l</w:t>
      </w:r>
      <w:r w:rsidR="00A20444" w:rsidRPr="00D7345C">
        <w:t>’</w:t>
      </w:r>
      <w:r w:rsidRPr="00D7345C">
        <w:t xml:space="preserve">Arrangement de Lisbonne est passé à 28 suite </w:t>
      </w:r>
      <w:r w:rsidR="00067499" w:rsidRPr="00D7345C">
        <w:t>à</w:t>
      </w:r>
      <w:r w:rsidRPr="00D7345C">
        <w:t xml:space="preserve"> l</w:t>
      </w:r>
      <w:r w:rsidR="00A20444" w:rsidRPr="00D7345C">
        <w:t>’</w:t>
      </w:r>
      <w:r w:rsidRPr="00D7345C">
        <w:t>adhésion de la Bosnie</w:t>
      </w:r>
      <w:r w:rsidR="002D6F2A" w:rsidRPr="00D7345C">
        <w:noBreakHyphen/>
      </w:r>
      <w:r w:rsidRPr="00D7345C">
        <w:t>Herzégovine en avril 2013.</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17"/>
        </w:numPr>
        <w:tabs>
          <w:tab w:val="left" w:pos="709"/>
        </w:tabs>
        <w:ind w:left="0" w:firstLine="0"/>
        <w:jc w:val="both"/>
        <w:rPr>
          <w:rFonts w:cs="Arial"/>
          <w:bCs/>
        </w:rPr>
      </w:pPr>
      <w:r w:rsidRPr="00D7345C">
        <w:t>L</w:t>
      </w:r>
      <w:r w:rsidR="00A20444" w:rsidRPr="00D7345C">
        <w:t>’</w:t>
      </w:r>
      <w:r w:rsidRPr="00D7345C">
        <w:t>Assemblée de l</w:t>
      </w:r>
      <w:r w:rsidR="00A20444" w:rsidRPr="00D7345C">
        <w:t>’</w:t>
      </w:r>
      <w:r w:rsidRPr="00D7345C">
        <w:t>Union de Lisbonne a mandaté le Groupe de travail sur le développement du système de Lisbonne, en</w:t>
      </w:r>
      <w:r w:rsidR="0010442A" w:rsidRPr="00D7345C">
        <w:t> </w:t>
      </w:r>
      <w:r w:rsidRPr="00D7345C">
        <w:t>2009, pour entreprendre un examen de ce système de Lisbonne afin de le rendre plus attractif pour les utilisateurs et les nouveaux Membres potentiels, tout en conservant ses principes et ses objectifs.</w:t>
      </w:r>
      <w:r w:rsidR="004F3E42" w:rsidRPr="00D7345C">
        <w:t xml:space="preserve"> </w:t>
      </w:r>
      <w:r w:rsidR="0010442A" w:rsidRPr="00D7345C">
        <w:t xml:space="preserve"> </w:t>
      </w:r>
      <w:r w:rsidRPr="00D7345C">
        <w:t>Dans ce cadre</w:t>
      </w:r>
      <w:r w:rsidR="002D6F2A" w:rsidRPr="00D7345C">
        <w:noBreakHyphen/>
      </w:r>
      <w:r w:rsidRPr="00D7345C">
        <w:t>là, l</w:t>
      </w:r>
      <w:r w:rsidR="00A20444" w:rsidRPr="00D7345C">
        <w:t>’</w:t>
      </w:r>
      <w:r w:rsidRPr="00D7345C">
        <w:t>on attend du Groupe de travail, ouvert à l</w:t>
      </w:r>
      <w:r w:rsidR="00A20444" w:rsidRPr="00D7345C">
        <w:t>’</w:t>
      </w:r>
      <w:r w:rsidRPr="00D7345C">
        <w:t>ensemble des membres et des observateurs de l</w:t>
      </w:r>
      <w:r w:rsidR="00A20444" w:rsidRPr="00D7345C">
        <w:t>’</w:t>
      </w:r>
      <w:r w:rsidRPr="00D7345C">
        <w:t>OMPI, qu</w:t>
      </w:r>
      <w:r w:rsidR="00A20444" w:rsidRPr="00D7345C">
        <w:t>’</w:t>
      </w:r>
      <w:r w:rsidRPr="00D7345C">
        <w:t>il étudie les changements à apporter au système de Lisbonne pour susciter une hausse du nombre de parties contractantes.</w:t>
      </w:r>
      <w:r w:rsidR="004F3E42" w:rsidRPr="00D7345C">
        <w:t xml:space="preserve"> </w:t>
      </w:r>
      <w:r w:rsidR="0010442A" w:rsidRPr="00D7345C">
        <w:t xml:space="preserve"> </w:t>
      </w:r>
      <w:r w:rsidRPr="00D7345C">
        <w:t>Au vu des progrès considérables accomplis lors des sessions du groupe de travail de décembre 2012 et avril/mai 2013 consacrées à l</w:t>
      </w:r>
      <w:r w:rsidR="00A20444" w:rsidRPr="00D7345C">
        <w:t>’</w:t>
      </w:r>
      <w:r w:rsidRPr="00D7345C">
        <w:t>élaboration d</w:t>
      </w:r>
      <w:r w:rsidR="00A20444" w:rsidRPr="00D7345C">
        <w:t>’</w:t>
      </w:r>
      <w:r w:rsidRPr="00D7345C">
        <w:t>un projet d</w:t>
      </w:r>
      <w:r w:rsidR="00A20444" w:rsidRPr="00D7345C">
        <w:t>’</w:t>
      </w:r>
      <w:r w:rsidRPr="00D7345C">
        <w:t xml:space="preserve">Arrangement de Lisbonne révisé et de </w:t>
      </w:r>
      <w:r w:rsidR="0010442A" w:rsidRPr="00D7345C">
        <w:t>règle</w:t>
      </w:r>
      <w:r w:rsidRPr="00D7345C">
        <w:t>ments révisés dans le cadre dudit arrangement révisé de Lisbonne, l</w:t>
      </w:r>
      <w:r w:rsidR="00A20444" w:rsidRPr="00D7345C">
        <w:t>’</w:t>
      </w:r>
      <w:r w:rsidRPr="00D7345C">
        <w:t>Assemblée a approuvé la convocation d</w:t>
      </w:r>
      <w:r w:rsidR="00A20444" w:rsidRPr="00D7345C">
        <w:t>’</w:t>
      </w:r>
      <w:r w:rsidRPr="00D7345C">
        <w:t>une conférence diplomatique en vue de l</w:t>
      </w:r>
      <w:r w:rsidR="00A20444" w:rsidRPr="00D7345C">
        <w:t>’</w:t>
      </w:r>
      <w:r w:rsidRPr="00D7345C">
        <w:t>adoption d</w:t>
      </w:r>
      <w:r w:rsidR="00A20444" w:rsidRPr="00D7345C">
        <w:t>’</w:t>
      </w:r>
      <w:r w:rsidRPr="00D7345C">
        <w:t>un Arrangement de Lisbonne révisé concernant les appellations d</w:t>
      </w:r>
      <w:r w:rsidR="00A20444" w:rsidRPr="00D7345C">
        <w:t>’</w:t>
      </w:r>
      <w:r w:rsidRPr="00D7345C">
        <w:t xml:space="preserve">origine et les indications géographiques en 2015. </w:t>
      </w:r>
      <w:r w:rsidR="0010442A" w:rsidRPr="00D7345C">
        <w:t xml:space="preserve"> </w:t>
      </w:r>
      <w:r w:rsidRPr="00D7345C">
        <w:t>Conformément à la feuille de route convenue par l</w:t>
      </w:r>
      <w:r w:rsidR="00A20444" w:rsidRPr="00D7345C">
        <w:t>’</w:t>
      </w:r>
      <w:r w:rsidRPr="00D7345C">
        <w:t>Assemblée, une autre session du groupe de travail s</w:t>
      </w:r>
      <w:r w:rsidR="00A20444" w:rsidRPr="00D7345C">
        <w:t>’</w:t>
      </w:r>
      <w:r w:rsidRPr="00D7345C">
        <w:t xml:space="preserve">est déroulée en décembre 2013 et deux autres sessions sont programmées respectivement pour juin et octobre 2014. </w:t>
      </w:r>
      <w:r w:rsidR="0010442A" w:rsidRPr="00D7345C">
        <w:t xml:space="preserve"> </w:t>
      </w:r>
      <w:r w:rsidRPr="00D7345C">
        <w:t>Cette dernière sera associée à la réunion du comité préparatoire de la conférence diplomatique.</w:t>
      </w:r>
      <w:r w:rsidR="0010442A" w:rsidRPr="00D7345C">
        <w:t xml:space="preserve"> </w:t>
      </w:r>
      <w:r w:rsidRPr="00D7345C">
        <w:t xml:space="preserve"> En lien avec la session du groupe de travail de décembre 2014, une conférence d</w:t>
      </w:r>
      <w:r w:rsidR="00A20444" w:rsidRPr="00D7345C">
        <w:t>’</w:t>
      </w:r>
      <w:r w:rsidRPr="00D7345C">
        <w:t>une journée s</w:t>
      </w:r>
      <w:r w:rsidR="00A20444" w:rsidRPr="00D7345C">
        <w:t>’</w:t>
      </w:r>
      <w:r w:rsidRPr="00D7345C">
        <w:t>est tenue sur la question du règlement des litiges dans le cadre du système de Lisbonne, aux fins d</w:t>
      </w:r>
      <w:r w:rsidR="00A20444" w:rsidRPr="00D7345C">
        <w:t>’</w:t>
      </w:r>
      <w:r w:rsidRPr="00D7345C">
        <w:t>étudier dans quelles situations et sous quelle forme le règlement des litiges dans le cadre d</w:t>
      </w:r>
      <w:r w:rsidR="00067499" w:rsidRPr="00D7345C">
        <w:t xml:space="preserve">u système de Lisbonne pourrait </w:t>
      </w:r>
      <w:r w:rsidRPr="00D7345C">
        <w:t>être approprié.</w:t>
      </w:r>
    </w:p>
    <w:p w:rsidR="00D42474" w:rsidRDefault="00D42474" w:rsidP="001A5BF9">
      <w:pPr>
        <w:tabs>
          <w:tab w:val="left" w:pos="709"/>
        </w:tabs>
        <w:rPr>
          <w:rFonts w:cs="Arial"/>
          <w:bCs/>
          <w:szCs w:val="20"/>
        </w:rPr>
      </w:pPr>
    </w:p>
    <w:p w:rsidR="00D42474" w:rsidRDefault="0096696E" w:rsidP="001A5BF9">
      <w:pPr>
        <w:pStyle w:val="Paragraphedeliste"/>
        <w:numPr>
          <w:ilvl w:val="0"/>
          <w:numId w:val="17"/>
        </w:numPr>
        <w:tabs>
          <w:tab w:val="left" w:pos="709"/>
        </w:tabs>
        <w:ind w:left="0" w:firstLine="0"/>
        <w:jc w:val="both"/>
      </w:pPr>
      <w:r w:rsidRPr="00D7345C">
        <w:t>Le Bureau international a mis à jour régulièrement et planifié la révision des informations relatives au système de Lisbonne sur le site</w:t>
      </w:r>
      <w:r w:rsidR="0010442A" w:rsidRPr="00D7345C">
        <w:t> </w:t>
      </w:r>
      <w:r w:rsidRPr="00D7345C">
        <w:t>Web de l</w:t>
      </w:r>
      <w:r w:rsidR="00A20444" w:rsidRPr="00D7345C">
        <w:t>’</w:t>
      </w:r>
      <w:r w:rsidRPr="00D7345C">
        <w:t>OMPI.</w:t>
      </w:r>
      <w:r w:rsidR="0010442A" w:rsidRPr="00D7345C">
        <w:t xml:space="preserve"> </w:t>
      </w:r>
      <w:r w:rsidRPr="00D7345C">
        <w:t xml:space="preserve"> En outre, il a organisé et participé à des événements dans diverses régions en vue de promouvoir la révision constante du système de Lisbonne.</w:t>
      </w:r>
    </w:p>
    <w:p w:rsidR="00D42474" w:rsidRDefault="00D42474" w:rsidP="001A5BF9">
      <w:pPr>
        <w:rPr>
          <w:rFonts w:cs="Arial"/>
          <w:bCs/>
          <w:szCs w:val="20"/>
        </w:rPr>
      </w:pPr>
    </w:p>
    <w:p w:rsidR="00D42474" w:rsidRDefault="0096696E" w:rsidP="001A5BF9">
      <w:pPr>
        <w:pStyle w:val="Paragraphedeliste"/>
        <w:numPr>
          <w:ilvl w:val="0"/>
          <w:numId w:val="17"/>
        </w:numPr>
        <w:tabs>
          <w:tab w:val="left" w:pos="709"/>
        </w:tabs>
        <w:ind w:left="0" w:firstLine="0"/>
        <w:jc w:val="both"/>
      </w:pPr>
      <w:r w:rsidRPr="00D7345C">
        <w:t xml:space="preserve">Le </w:t>
      </w:r>
      <w:r w:rsidR="00A20444" w:rsidRPr="00D7345C">
        <w:t>1</w:t>
      </w:r>
      <w:r w:rsidR="00A20444" w:rsidRPr="00D7345C">
        <w:rPr>
          <w:vertAlign w:val="superscript"/>
        </w:rPr>
        <w:t>er</w:t>
      </w:r>
      <w:r w:rsidR="00A20444" w:rsidRPr="00D7345C">
        <w:t> janvier 20</w:t>
      </w:r>
      <w:r w:rsidRPr="00D7345C">
        <w:t>12 a vu l</w:t>
      </w:r>
      <w:r w:rsidR="00A20444" w:rsidRPr="00D7345C">
        <w:t>’</w:t>
      </w:r>
      <w:r w:rsidRPr="00D7345C">
        <w:t>entrée en vigueur des modifications apportées au règlement en vertu de l</w:t>
      </w:r>
      <w:r w:rsidR="00A20444" w:rsidRPr="00D7345C">
        <w:t>’</w:t>
      </w:r>
      <w:r w:rsidRPr="00D7345C">
        <w:t>Arrangement de Lisbonne, lesquelles avaient été adoptées par l</w:t>
      </w:r>
      <w:r w:rsidR="00A20444" w:rsidRPr="00D7345C">
        <w:t>’</w:t>
      </w:r>
      <w:r w:rsidRPr="00D7345C">
        <w:t>Assemblée de l</w:t>
      </w:r>
      <w:r w:rsidR="00A20444" w:rsidRPr="00D7345C">
        <w:t>’</w:t>
      </w:r>
      <w:r w:rsidRPr="00D7345C">
        <w:t xml:space="preserve">Union de Lisbonne en </w:t>
      </w:r>
      <w:r w:rsidR="00A20444" w:rsidRPr="00D7345C">
        <w:t>septembre 20</w:t>
      </w:r>
      <w:r w:rsidRPr="00D7345C">
        <w:t>11.</w:t>
      </w:r>
      <w:r w:rsidR="004F3E42" w:rsidRPr="00D7345C">
        <w:t xml:space="preserve"> </w:t>
      </w:r>
      <w:r w:rsidR="0010442A" w:rsidRPr="00D7345C">
        <w:t xml:space="preserve"> </w:t>
      </w:r>
      <w:r w:rsidRPr="00D7345C">
        <w:t xml:space="preserve">Ces modifications visent à renforcer la transparence du contenu du registre international et, partant, la base de données </w:t>
      </w:r>
      <w:proofErr w:type="spellStart"/>
      <w:r w:rsidRPr="00D7345C">
        <w:t>Lisbon</w:t>
      </w:r>
      <w:proofErr w:type="spellEnd"/>
      <w:r w:rsidRPr="00D7345C">
        <w:t xml:space="preserve"> Express du site</w:t>
      </w:r>
      <w:r w:rsidR="0010442A" w:rsidRPr="00D7345C">
        <w:t> </w:t>
      </w:r>
      <w:r w:rsidRPr="00D7345C">
        <w:t>Web de l</w:t>
      </w:r>
      <w:r w:rsidR="00A20444" w:rsidRPr="00D7345C">
        <w:t>’</w:t>
      </w:r>
      <w:r w:rsidRPr="00D7345C">
        <w:t>OMPI.</w:t>
      </w:r>
      <w:r w:rsidR="004F3E42" w:rsidRPr="00D7345C">
        <w:t xml:space="preserve"> </w:t>
      </w:r>
      <w:r w:rsidR="0010442A" w:rsidRPr="00D7345C">
        <w:t xml:space="preserve"> </w:t>
      </w:r>
      <w:r w:rsidRPr="00D7345C">
        <w:t>La modification de la règle</w:t>
      </w:r>
      <w:r w:rsidR="0010442A" w:rsidRPr="00D7345C">
        <w:t> </w:t>
      </w:r>
      <w:r w:rsidRPr="00D7345C">
        <w:t>5.3) du règlement offre au pays d</w:t>
      </w:r>
      <w:r w:rsidR="00A20444" w:rsidRPr="00D7345C">
        <w:t>’</w:t>
      </w:r>
      <w:r w:rsidRPr="00D7345C">
        <w:t>origine la possibilité de mentionner les informations factuelles ayant entraîné l</w:t>
      </w:r>
      <w:r w:rsidR="00A20444" w:rsidRPr="00D7345C">
        <w:t>’</w:t>
      </w:r>
      <w:r w:rsidRPr="00D7345C">
        <w:t>octroi de la protection à</w:t>
      </w:r>
      <w:r w:rsidR="0010442A" w:rsidRPr="00D7345C">
        <w:t> </w:t>
      </w:r>
      <w:r w:rsidRPr="00D7345C">
        <w:t>l</w:t>
      </w:r>
      <w:r w:rsidR="00A20444" w:rsidRPr="00D7345C">
        <w:t>’</w:t>
      </w:r>
      <w:r w:rsidRPr="00D7345C">
        <w:t>égard de l</w:t>
      </w:r>
      <w:r w:rsidR="00A20444" w:rsidRPr="00D7345C">
        <w:t>’</w:t>
      </w:r>
      <w:r w:rsidRPr="00D7345C">
        <w:t>appellation d</w:t>
      </w:r>
      <w:r w:rsidR="00A20444" w:rsidRPr="00D7345C">
        <w:t>’</w:t>
      </w:r>
      <w:r w:rsidRPr="00D7345C">
        <w:t>origine en question.</w:t>
      </w:r>
      <w:r w:rsidR="004F3E42" w:rsidRPr="00D7345C">
        <w:t xml:space="preserve"> </w:t>
      </w:r>
      <w:r w:rsidR="0010442A" w:rsidRPr="00D7345C">
        <w:t xml:space="preserve"> </w:t>
      </w:r>
      <w:r w:rsidRPr="00D7345C">
        <w:t>La modification de la règle</w:t>
      </w:r>
      <w:r w:rsidR="0010442A" w:rsidRPr="00D7345C">
        <w:t> </w:t>
      </w:r>
      <w:r w:rsidRPr="00D7345C">
        <w:t>16.1) du règlement impose aux autorités compétentes d</w:t>
      </w:r>
      <w:r w:rsidR="00A20444" w:rsidRPr="00D7345C">
        <w:t>’</w:t>
      </w:r>
      <w:r w:rsidRPr="00D7345C">
        <w:t>un État membre du système de Lisbonne présentant une notification d</w:t>
      </w:r>
      <w:r w:rsidR="00A20444" w:rsidRPr="00D7345C">
        <w:t>’</w:t>
      </w:r>
      <w:r w:rsidRPr="00D7345C">
        <w:t>invalidation des effets d</w:t>
      </w:r>
      <w:r w:rsidR="00A20444" w:rsidRPr="00D7345C">
        <w:t>’</w:t>
      </w:r>
      <w:r w:rsidRPr="00D7345C">
        <w:t>un enregistrement international sur son territoire le devoir de mentionner sur la notification le ou les motifs pour lesquels la décision d</w:t>
      </w:r>
      <w:r w:rsidR="00A20444" w:rsidRPr="00D7345C">
        <w:t>’</w:t>
      </w:r>
      <w:r w:rsidRPr="00D7345C">
        <w:t>invalidation a été prononcée.</w:t>
      </w:r>
      <w:r w:rsidR="004F3E42" w:rsidRPr="00D7345C">
        <w:t xml:space="preserve"> </w:t>
      </w:r>
      <w:r w:rsidR="0010442A" w:rsidRPr="00D7345C">
        <w:t xml:space="preserve"> </w:t>
      </w:r>
      <w:r w:rsidRPr="00D7345C">
        <w:t>Les informations fournies en vertu de ces nouvelles dispositions seront enregistrées dans le registre international dans les trois</w:t>
      </w:r>
      <w:r w:rsidR="0010442A" w:rsidRPr="00D7345C">
        <w:t> </w:t>
      </w:r>
      <w:r w:rsidRPr="00D7345C">
        <w:t>langues de travail du système de Lisbonne.</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17"/>
        </w:numPr>
        <w:tabs>
          <w:tab w:val="left" w:pos="709"/>
        </w:tabs>
        <w:ind w:left="0" w:firstLine="0"/>
        <w:jc w:val="both"/>
      </w:pPr>
      <w:r w:rsidRPr="00D7345C">
        <w:t xml:space="preserve">Depuis le mois de </w:t>
      </w:r>
      <w:r w:rsidR="00A20444" w:rsidRPr="00D7345C">
        <w:t>janvier 20</w:t>
      </w:r>
      <w:r w:rsidRPr="00D7345C">
        <w:t>12, la publication officielle du système de Lisbonne, le bulletin OMPI Appellations d</w:t>
      </w:r>
      <w:r w:rsidR="00A20444" w:rsidRPr="00D7345C">
        <w:t>’</w:t>
      </w:r>
      <w:r w:rsidRPr="00D7345C">
        <w:t>origine, est disponible uniquement en format électronique sur le site</w:t>
      </w:r>
      <w:r w:rsidR="0010442A" w:rsidRPr="00D7345C">
        <w:t> </w:t>
      </w:r>
      <w:r w:rsidRPr="00D7345C">
        <w:t>Web de l</w:t>
      </w:r>
      <w:r w:rsidR="00A20444" w:rsidRPr="00D7345C">
        <w:t>’</w:t>
      </w:r>
      <w:r w:rsidRPr="00D7345C">
        <w:t>OMPI.</w:t>
      </w:r>
      <w:r w:rsidR="0010442A" w:rsidRPr="00D7345C">
        <w:t xml:space="preserve"> </w:t>
      </w:r>
      <w:r w:rsidR="004F3E42" w:rsidRPr="00D7345C">
        <w:t xml:space="preserve"> </w:t>
      </w:r>
      <w:r w:rsidRPr="00D7345C">
        <w:t>À la fin de 2012, le nombre d</w:t>
      </w:r>
      <w:r w:rsidR="00A20444" w:rsidRPr="00D7345C">
        <w:t>’</w:t>
      </w:r>
      <w:r w:rsidRPr="00D7345C">
        <w:t>autorités compétentes ayant donné leur consentement pour l</w:t>
      </w:r>
      <w:r w:rsidR="00A20444" w:rsidRPr="00D7345C">
        <w:t>’</w:t>
      </w:r>
      <w:r w:rsidRPr="00D7345C">
        <w:t>utilisation de moyens électroniques à des fins de communication dans le cadre des procédures du système de Lisbonne était en hausse, s</w:t>
      </w:r>
      <w:r w:rsidR="00A20444" w:rsidRPr="00D7345C">
        <w:t>’</w:t>
      </w:r>
      <w:r w:rsidRPr="00D7345C">
        <w:t xml:space="preserve">élevant à 23. </w:t>
      </w:r>
      <w:r w:rsidR="0010442A" w:rsidRPr="00D7345C">
        <w:t xml:space="preserve"> </w:t>
      </w:r>
      <w:r w:rsidRPr="00D7345C">
        <w:t>Des progrès majeurs ont également été accomplis concernant la création d</w:t>
      </w:r>
      <w:r w:rsidR="00A20444" w:rsidRPr="00D7345C">
        <w:t>’</w:t>
      </w:r>
      <w:r w:rsidRPr="00D7345C">
        <w:t>un registre électrique international avec l</w:t>
      </w:r>
      <w:r w:rsidR="00A20444" w:rsidRPr="00D7345C">
        <w:t>’</w:t>
      </w:r>
      <w:r w:rsidRPr="00D7345C">
        <w:t>élaboration d</w:t>
      </w:r>
      <w:r w:rsidR="00A20444" w:rsidRPr="00D7345C">
        <w:t>’</w:t>
      </w:r>
      <w:r w:rsidRPr="00D7345C">
        <w:t xml:space="preserve">un programme informatique à cet effet. </w:t>
      </w:r>
      <w:r w:rsidR="0010442A" w:rsidRPr="00D7345C">
        <w:t xml:space="preserve"> </w:t>
      </w:r>
      <w:r w:rsidRPr="00D7345C">
        <w:t>Les contenus de la version papier du registre international ont été passés au format électronique et la procédure de mise à jour de la base de données “</w:t>
      </w:r>
      <w:proofErr w:type="spellStart"/>
      <w:r w:rsidRPr="00D7345C">
        <w:t>Lisbon</w:t>
      </w:r>
      <w:proofErr w:type="spellEnd"/>
      <w:r w:rsidRPr="00D7345C">
        <w:t xml:space="preserve"> Express” sur le site</w:t>
      </w:r>
      <w:r w:rsidR="0010442A" w:rsidRPr="00D7345C">
        <w:t> </w:t>
      </w:r>
      <w:r w:rsidRPr="00D7345C">
        <w:t>Web de l</w:t>
      </w:r>
      <w:r w:rsidR="00A20444" w:rsidRPr="00D7345C">
        <w:t>’</w:t>
      </w:r>
      <w:r w:rsidRPr="00D7345C">
        <w:t xml:space="preserve">OMPI a été rationalisée. </w:t>
      </w:r>
      <w:r w:rsidR="0010442A" w:rsidRPr="00D7345C">
        <w:t xml:space="preserve"> </w:t>
      </w:r>
      <w:r w:rsidRPr="00D7345C">
        <w:t>Les pages consacrées au système de Lisbonne sur le site</w:t>
      </w:r>
      <w:r w:rsidR="0010442A" w:rsidRPr="00D7345C">
        <w:t> </w:t>
      </w:r>
      <w:r w:rsidRPr="00D7345C">
        <w:t>Web de l</w:t>
      </w:r>
      <w:r w:rsidR="00A20444" w:rsidRPr="00D7345C">
        <w:t>’</w:t>
      </w:r>
      <w:r w:rsidRPr="00D7345C">
        <w:t>OMPI ont été adaptées en 2012 et en 2013 afin d</w:t>
      </w:r>
      <w:r w:rsidR="00A20444" w:rsidRPr="00D7345C">
        <w:t>’</w:t>
      </w:r>
      <w:r w:rsidRPr="00D7345C">
        <w:t>améliorer leur convivialité.</w:t>
      </w:r>
    </w:p>
    <w:p w:rsidR="00D42474" w:rsidRDefault="00D42474" w:rsidP="001A5BF9">
      <w:pPr>
        <w:pStyle w:val="Paragraphedeliste"/>
        <w:ind w:left="0"/>
        <w:jc w:val="both"/>
        <w:rPr>
          <w:rFonts w:cs="Arial"/>
          <w:bCs/>
        </w:rPr>
      </w:pPr>
    </w:p>
    <w:p w:rsidR="00D42474" w:rsidRDefault="00D42474" w:rsidP="001A5BF9">
      <w:pPr>
        <w:pStyle w:val="Paragraphedeliste"/>
        <w:ind w:left="0"/>
        <w:jc w:val="both"/>
        <w:rPr>
          <w:rFonts w:cs="Arial"/>
          <w:bCs/>
        </w:rPr>
      </w:pPr>
    </w:p>
    <w:p w:rsidR="00D42474" w:rsidRDefault="0096696E" w:rsidP="001A5BF9">
      <w:r w:rsidRPr="00761625">
        <w:rPr>
          <w:sz w:val="22"/>
        </w:rPr>
        <w:t>MISE EN ŒUVRE DU PLAN D</w:t>
      </w:r>
      <w:r w:rsidR="00A20444" w:rsidRPr="00761625">
        <w:rPr>
          <w:sz w:val="22"/>
        </w:rPr>
        <w:t>’</w:t>
      </w:r>
      <w:r w:rsidRPr="00761625">
        <w:rPr>
          <w:sz w:val="22"/>
        </w:rPr>
        <w:t>ACTION POUR LE DÉVELOPPEMENT</w:t>
      </w:r>
    </w:p>
    <w:p w:rsidR="00D42474" w:rsidRDefault="00D42474" w:rsidP="001A5BF9">
      <w:pPr>
        <w:rPr>
          <w:szCs w:val="22"/>
        </w:rPr>
      </w:pPr>
    </w:p>
    <w:p w:rsidR="00D42474" w:rsidRDefault="0096696E" w:rsidP="001A5BF9">
      <w:pPr>
        <w:pStyle w:val="Paragraphedeliste"/>
        <w:numPr>
          <w:ilvl w:val="0"/>
          <w:numId w:val="17"/>
        </w:numPr>
        <w:tabs>
          <w:tab w:val="left" w:pos="709"/>
        </w:tabs>
        <w:ind w:left="0" w:firstLine="0"/>
        <w:jc w:val="both"/>
      </w:pPr>
      <w:r w:rsidRPr="00D7345C">
        <w:t>La conception, la planification et la mise en œuvre des activités menées au titre du programme 6 s</w:t>
      </w:r>
      <w:r w:rsidR="00A20444" w:rsidRPr="00D7345C">
        <w:t>’</w:t>
      </w:r>
      <w:r w:rsidRPr="00D7345C">
        <w:t>appuient sur les recommandations pertinentes du Plan d</w:t>
      </w:r>
      <w:r w:rsidR="00A20444" w:rsidRPr="00D7345C">
        <w:t>’</w:t>
      </w:r>
      <w:r w:rsidRPr="00D7345C">
        <w:t>action pour le développement, notamment les recommandations n</w:t>
      </w:r>
      <w:r w:rsidRPr="00D7345C">
        <w:rPr>
          <w:vertAlign w:val="superscript"/>
        </w:rPr>
        <w:t>os</w:t>
      </w:r>
      <w:r w:rsidRPr="00D7345C">
        <w:t xml:space="preserve"> 1 et 6.</w:t>
      </w:r>
      <w:r w:rsidR="004F3E42" w:rsidRPr="00D7345C">
        <w:t xml:space="preserve"> </w:t>
      </w:r>
      <w:r w:rsidR="0010442A" w:rsidRPr="00D7345C">
        <w:t xml:space="preserve"> </w:t>
      </w:r>
      <w:r w:rsidRPr="00D7345C">
        <w:t>En outre, l</w:t>
      </w:r>
      <w:r w:rsidR="00A20444" w:rsidRPr="00D7345C">
        <w:t>’</w:t>
      </w:r>
      <w:r w:rsidRPr="00D7345C">
        <w:t>assistance législative apportée aux États membres était équilibrée, axée sur le développement et adaptée aux besoins des États membres, conformément aux principes du Plan d</w:t>
      </w:r>
      <w:r w:rsidR="00A20444" w:rsidRPr="00D7345C">
        <w:t>’</w:t>
      </w:r>
      <w:r w:rsidRPr="00D7345C">
        <w:t>action pour le développent (recommandation n°</w:t>
      </w:r>
      <w:r w:rsidR="0010442A" w:rsidRPr="00D7345C">
        <w:t> </w:t>
      </w:r>
      <w:r w:rsidRPr="00D7345C">
        <w:t>13) et en fonction des différentes possibilités d</w:t>
      </w:r>
      <w:r w:rsidR="00A20444" w:rsidRPr="00D7345C">
        <w:t>’</w:t>
      </w:r>
      <w:r w:rsidRPr="00D7345C">
        <w:t>adaptation des pays selon leur niveau de développement (recommandations n</w:t>
      </w:r>
      <w:r w:rsidRPr="00D7345C">
        <w:rPr>
          <w:vertAlign w:val="superscript"/>
        </w:rPr>
        <w:t>os</w:t>
      </w:r>
      <w:r w:rsidRPr="00D7345C">
        <w:t xml:space="preserve"> 14 et 17).</w:t>
      </w:r>
      <w:r w:rsidR="004F3E42" w:rsidRPr="00D7345C">
        <w:t xml:space="preserve"> </w:t>
      </w:r>
      <w:r w:rsidR="0010442A" w:rsidRPr="00D7345C">
        <w:t xml:space="preserve"> </w:t>
      </w:r>
      <w:r w:rsidRPr="00D7345C">
        <w:t>Par ailleurs, le développement de l</w:t>
      </w:r>
      <w:r w:rsidR="00A20444" w:rsidRPr="00D7345C">
        <w:t>’</w:t>
      </w:r>
      <w:r w:rsidRPr="00D7345C">
        <w:t>outil en ligne que constitue le portail “Madrid Office” a permis à tous les États membres d</w:t>
      </w:r>
      <w:r w:rsidR="00A20444" w:rsidRPr="00D7345C">
        <w:t>’</w:t>
      </w:r>
      <w:r w:rsidRPr="00D7345C">
        <w:t>accéder pleinement au registre électronique des marques internationales en ligne, au moyen d</w:t>
      </w:r>
      <w:r w:rsidR="00A20444" w:rsidRPr="00D7345C">
        <w:t>’</w:t>
      </w:r>
      <w:r w:rsidRPr="00D7345C">
        <w:t>une infrastructure de technologie de l</w:t>
      </w:r>
      <w:r w:rsidR="00A20444" w:rsidRPr="00D7345C">
        <w:t>’</w:t>
      </w:r>
      <w:r w:rsidRPr="00D7345C">
        <w:t xml:space="preserve">information et de la communication minimale, </w:t>
      </w:r>
      <w:r w:rsidR="00A20444" w:rsidRPr="00D7345C">
        <w:t>à savoir</w:t>
      </w:r>
      <w:r w:rsidRPr="00D7345C">
        <w:t xml:space="preserve"> une connexion Internet et un navigateur Web. </w:t>
      </w:r>
      <w:r w:rsidR="0010442A" w:rsidRPr="00D7345C">
        <w:t xml:space="preserve"> </w:t>
      </w:r>
      <w:r w:rsidRPr="00D7345C">
        <w:t>Le portail Madrid Office a également permis aux offices de remplir leurs obligations de base en tant qu</w:t>
      </w:r>
      <w:r w:rsidR="00A20444" w:rsidRPr="00D7345C">
        <w:t>’</w:t>
      </w:r>
      <w:r w:rsidRPr="00D7345C">
        <w:t>offices d</w:t>
      </w:r>
      <w:r w:rsidR="00A20444" w:rsidRPr="00D7345C">
        <w:t>’</w:t>
      </w:r>
      <w:r w:rsidRPr="00D7345C">
        <w:t>origine et de partie contractante désignée en procédant à des interactions avec le registre international par le biais d</w:t>
      </w:r>
      <w:r w:rsidR="00A20444" w:rsidRPr="00D7345C">
        <w:t>’</w:t>
      </w:r>
      <w:r w:rsidRPr="00D7345C">
        <w:t>Internet.</w:t>
      </w:r>
    </w:p>
    <w:p w:rsidR="00D42474" w:rsidRDefault="00D42474" w:rsidP="001A5BF9">
      <w:pPr>
        <w:rPr>
          <w:rFonts w:cs="Arial"/>
          <w:sz w:val="18"/>
          <w:szCs w:val="18"/>
        </w:rPr>
      </w:pPr>
    </w:p>
    <w:p w:rsidR="00D42474" w:rsidRDefault="00D42474" w:rsidP="001A5BF9">
      <w:pPr>
        <w:rPr>
          <w:rFonts w:cs="Arial"/>
          <w:sz w:val="18"/>
          <w:szCs w:val="18"/>
        </w:rPr>
      </w:pPr>
    </w:p>
    <w:p w:rsidR="00D42474" w:rsidRDefault="0096696E" w:rsidP="001A5BF9">
      <w:pPr>
        <w:rPr>
          <w:rFonts w:cs="Arial"/>
          <w:szCs w:val="22"/>
        </w:rPr>
      </w:pPr>
      <w:r w:rsidRPr="00D7345C">
        <w:rPr>
          <w:sz w:val="22"/>
        </w:rPr>
        <w:t>DONNÉES RELATIVES À L</w:t>
      </w:r>
      <w:r w:rsidR="00A20444" w:rsidRPr="00D7345C">
        <w:rPr>
          <w:sz w:val="22"/>
        </w:rPr>
        <w:t>’</w:t>
      </w:r>
      <w:r w:rsidRPr="00D7345C">
        <w:rPr>
          <w:sz w:val="22"/>
        </w:rPr>
        <w:t>EXÉCUTION</w:t>
      </w:r>
    </w:p>
    <w:p w:rsidR="0096696E" w:rsidRPr="005C7CCE" w:rsidRDefault="0096696E" w:rsidP="001A5BF9">
      <w:pPr>
        <w:rPr>
          <w:sz w:val="18"/>
          <w:szCs w:val="18"/>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3"/>
        <w:gridCol w:w="1843"/>
        <w:gridCol w:w="1566"/>
        <w:gridCol w:w="2539"/>
        <w:gridCol w:w="1276"/>
      </w:tblGrid>
      <w:tr w:rsidR="001F6424" w:rsidRPr="00D7345C" w:rsidTr="001F6424">
        <w:trPr>
          <w:cantSplit/>
        </w:trPr>
        <w:tc>
          <w:tcPr>
            <w:tcW w:w="5000" w:type="pct"/>
            <w:gridSpan w:val="5"/>
            <w:tcBorders>
              <w:top w:val="single" w:sz="4" w:space="0" w:color="auto"/>
              <w:bottom w:val="single" w:sz="4" w:space="0" w:color="auto"/>
            </w:tcBorders>
            <w:shd w:val="clear" w:color="auto" w:fill="CCFFFF"/>
            <w:vAlign w:val="center"/>
          </w:tcPr>
          <w:p w:rsidR="0096696E" w:rsidRPr="00D7345C" w:rsidRDefault="0096696E" w:rsidP="001A5BF9">
            <w:pPr>
              <w:keepNext/>
              <w:keepLines/>
              <w:tabs>
                <w:tab w:val="left" w:pos="1452"/>
              </w:tabs>
              <w:spacing w:before="120" w:after="120"/>
              <w:ind w:left="1701" w:hanging="1701"/>
              <w:rPr>
                <w:rFonts w:cs="Arial"/>
                <w:b/>
                <w:bCs/>
                <w:sz w:val="16"/>
                <w:szCs w:val="16"/>
              </w:rPr>
            </w:pPr>
            <w:r w:rsidRPr="00D7345C">
              <w:rPr>
                <w:b/>
                <w:sz w:val="16"/>
              </w:rPr>
              <w:t>Résultat escompté</w:t>
            </w:r>
            <w:r w:rsidR="0010442A" w:rsidRPr="00D7345C">
              <w:rPr>
                <w:b/>
                <w:sz w:val="16"/>
              </w:rPr>
              <w:t xml:space="preserve"> : </w:t>
            </w:r>
            <w:r w:rsidRPr="00D7345C">
              <w:rPr>
                <w:b/>
                <w:sz w:val="16"/>
              </w:rPr>
              <w:tab/>
            </w:r>
            <w:r w:rsidRPr="00D7345C">
              <w:rPr>
                <w:sz w:val="16"/>
              </w:rPr>
              <w:t>Meilleure utilisation des systèmes de Madrid et de Lisbonne, notamment par les pays en développement et</w:t>
            </w:r>
            <w:r w:rsidR="00A20444" w:rsidRPr="00D7345C">
              <w:rPr>
                <w:sz w:val="16"/>
              </w:rPr>
              <w:t xml:space="preserve"> les PMA</w:t>
            </w:r>
          </w:p>
        </w:tc>
      </w:tr>
      <w:tr w:rsidR="009A0557" w:rsidRPr="00D7345C" w:rsidTr="001F6424">
        <w:trPr>
          <w:cantSplit/>
        </w:trPr>
        <w:tc>
          <w:tcPr>
            <w:tcW w:w="1139" w:type="pct"/>
            <w:tcBorders>
              <w:top w:val="single" w:sz="4" w:space="0" w:color="auto"/>
            </w:tcBorders>
            <w:shd w:val="clear" w:color="auto" w:fill="auto"/>
            <w:vAlign w:val="center"/>
          </w:tcPr>
          <w:p w:rsidR="0096696E" w:rsidRPr="00D7345C" w:rsidRDefault="0096696E" w:rsidP="001A5BF9">
            <w:pPr>
              <w:rPr>
                <w:rFonts w:cs="Arial"/>
                <w:b/>
                <w:sz w:val="16"/>
                <w:szCs w:val="16"/>
              </w:rPr>
            </w:pPr>
            <w:r w:rsidRPr="00D7345C">
              <w:rPr>
                <w:b/>
                <w:sz w:val="16"/>
              </w:rPr>
              <w:t>Indicateurs d</w:t>
            </w:r>
            <w:r w:rsidR="00A20444" w:rsidRPr="00D7345C">
              <w:rPr>
                <w:b/>
                <w:sz w:val="16"/>
              </w:rPr>
              <w:t>’</w:t>
            </w:r>
            <w:r w:rsidRPr="00D7345C">
              <w:rPr>
                <w:b/>
                <w:sz w:val="16"/>
              </w:rPr>
              <w:t>exécution</w:t>
            </w:r>
          </w:p>
        </w:tc>
        <w:tc>
          <w:tcPr>
            <w:tcW w:w="985" w:type="pct"/>
            <w:tcBorders>
              <w:top w:val="single" w:sz="4" w:space="0" w:color="auto"/>
            </w:tcBorders>
            <w:shd w:val="clear" w:color="auto" w:fill="auto"/>
            <w:vAlign w:val="center"/>
          </w:tcPr>
          <w:p w:rsidR="0096696E" w:rsidRPr="00D7345C" w:rsidRDefault="0096696E" w:rsidP="001A5BF9">
            <w:pPr>
              <w:rPr>
                <w:rFonts w:cs="Arial"/>
                <w:b/>
                <w:bCs/>
                <w:sz w:val="16"/>
                <w:szCs w:val="16"/>
              </w:rPr>
            </w:pPr>
            <w:r w:rsidRPr="00D7345C">
              <w:rPr>
                <w:b/>
                <w:sz w:val="16"/>
              </w:rPr>
              <w:t>Niveaux de référence</w:t>
            </w:r>
          </w:p>
        </w:tc>
        <w:tc>
          <w:tcPr>
            <w:tcW w:w="837" w:type="pct"/>
            <w:tcBorders>
              <w:top w:val="single" w:sz="4" w:space="0" w:color="auto"/>
            </w:tcBorders>
            <w:shd w:val="clear" w:color="auto" w:fill="auto"/>
            <w:tcMar>
              <w:top w:w="110" w:type="dxa"/>
            </w:tcMar>
            <w:vAlign w:val="center"/>
          </w:tcPr>
          <w:p w:rsidR="0096696E" w:rsidRPr="00D7345C" w:rsidRDefault="0096696E" w:rsidP="001A5BF9">
            <w:pPr>
              <w:rPr>
                <w:rFonts w:cs="Arial"/>
                <w:b/>
                <w:sz w:val="16"/>
                <w:szCs w:val="16"/>
              </w:rPr>
            </w:pPr>
            <w:r w:rsidRPr="00D7345C">
              <w:rPr>
                <w:b/>
                <w:sz w:val="16"/>
              </w:rPr>
              <w:t>Objectifs visés</w:t>
            </w:r>
          </w:p>
        </w:tc>
        <w:tc>
          <w:tcPr>
            <w:tcW w:w="1357" w:type="pct"/>
            <w:tcBorders>
              <w:top w:val="single" w:sz="4" w:space="0" w:color="auto"/>
            </w:tcBorders>
            <w:shd w:val="clear" w:color="auto" w:fill="FFFFFF"/>
            <w:tcMar>
              <w:top w:w="110" w:type="dxa"/>
            </w:tcMar>
            <w:vAlign w:val="center"/>
          </w:tcPr>
          <w:p w:rsidR="0096696E" w:rsidRPr="00D7345C" w:rsidRDefault="0096696E" w:rsidP="001A5BF9">
            <w:pPr>
              <w:rPr>
                <w:rFonts w:cs="Arial"/>
                <w:b/>
                <w:sz w:val="16"/>
                <w:szCs w:val="16"/>
              </w:rPr>
            </w:pPr>
            <w:r w:rsidRPr="00D7345C">
              <w:rPr>
                <w:b/>
                <w:sz w:val="16"/>
              </w:rPr>
              <w:t>Données relatives à l</w:t>
            </w:r>
            <w:r w:rsidR="00A20444" w:rsidRPr="00D7345C">
              <w:rPr>
                <w:b/>
                <w:sz w:val="16"/>
              </w:rPr>
              <w:t>’</w:t>
            </w:r>
            <w:r w:rsidRPr="00D7345C">
              <w:rPr>
                <w:b/>
                <w:sz w:val="16"/>
              </w:rPr>
              <w:t>exécution</w:t>
            </w:r>
          </w:p>
        </w:tc>
        <w:tc>
          <w:tcPr>
            <w:tcW w:w="682" w:type="pct"/>
            <w:tcBorders>
              <w:top w:val="single" w:sz="4" w:space="0" w:color="auto"/>
            </w:tcBorders>
            <w:shd w:val="clear" w:color="auto" w:fill="auto"/>
            <w:tcMar>
              <w:top w:w="110" w:type="dxa"/>
            </w:tcMar>
            <w:vAlign w:val="center"/>
          </w:tcPr>
          <w:p w:rsidR="0096696E" w:rsidRPr="00D7345C" w:rsidRDefault="0096696E" w:rsidP="001A5BF9">
            <w:pPr>
              <w:keepNext/>
              <w:keepLines/>
              <w:jc w:val="center"/>
              <w:rPr>
                <w:rFonts w:cs="Arial"/>
                <w:b/>
                <w:bCs/>
                <w:sz w:val="16"/>
                <w:szCs w:val="16"/>
              </w:rPr>
            </w:pPr>
            <w:r w:rsidRPr="00D7345C">
              <w:rPr>
                <w:b/>
                <w:sz w:val="16"/>
              </w:rPr>
              <w:t>Code de couleurs</w:t>
            </w:r>
          </w:p>
        </w:tc>
      </w:tr>
      <w:tr w:rsidR="009A0557" w:rsidRPr="005C7CCE" w:rsidTr="001F6424">
        <w:trPr>
          <w:cantSplit/>
        </w:trPr>
        <w:tc>
          <w:tcPr>
            <w:tcW w:w="1139" w:type="pct"/>
            <w:shd w:val="clear" w:color="auto" w:fill="auto"/>
          </w:tcPr>
          <w:p w:rsidR="0096696E" w:rsidRPr="00D7345C" w:rsidRDefault="0096696E" w:rsidP="001A5BF9">
            <w:pPr>
              <w:rPr>
                <w:rFonts w:cs="Arial"/>
                <w:sz w:val="16"/>
                <w:szCs w:val="16"/>
              </w:rPr>
            </w:pPr>
            <w:r w:rsidRPr="00D7345C">
              <w:rPr>
                <w:sz w:val="16"/>
              </w:rPr>
              <w:t>Nombre de nouveaux enregistrements (système de Madrid)</w:t>
            </w:r>
          </w:p>
        </w:tc>
        <w:tc>
          <w:tcPr>
            <w:tcW w:w="985" w:type="pct"/>
            <w:shd w:val="clear" w:color="auto" w:fill="auto"/>
          </w:tcPr>
          <w:p w:rsidR="00D42474" w:rsidRDefault="0096696E" w:rsidP="001A5BF9">
            <w:pPr>
              <w:rPr>
                <w:rFonts w:cs="Arial"/>
                <w:i/>
                <w:color w:val="002060"/>
                <w:sz w:val="16"/>
                <w:szCs w:val="16"/>
              </w:rPr>
            </w:pPr>
            <w:r w:rsidRPr="005C7CCE">
              <w:rPr>
                <w:i/>
                <w:color w:val="002060"/>
                <w:sz w:val="16"/>
              </w:rPr>
              <w:t>Niveau de référence actualisé fin 2011 :</w:t>
            </w:r>
          </w:p>
          <w:p w:rsidR="00D42474" w:rsidRDefault="0096696E" w:rsidP="001A5BF9">
            <w:pPr>
              <w:rPr>
                <w:rFonts w:cs="Arial"/>
                <w:color w:val="002060"/>
                <w:sz w:val="16"/>
                <w:szCs w:val="16"/>
              </w:rPr>
            </w:pPr>
            <w:r w:rsidRPr="005C7CCE">
              <w:rPr>
                <w:color w:val="002060"/>
                <w:sz w:val="16"/>
              </w:rPr>
              <w:t>40 711 (2011)</w:t>
            </w:r>
          </w:p>
          <w:p w:rsidR="00D42474" w:rsidRDefault="00D42474" w:rsidP="001A5BF9">
            <w:pPr>
              <w:rPr>
                <w:rFonts w:cs="Arial"/>
                <w:color w:val="002060"/>
                <w:sz w:val="8"/>
                <w:szCs w:val="8"/>
              </w:rPr>
            </w:pPr>
          </w:p>
          <w:p w:rsidR="00D42474"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96696E" w:rsidRPr="005C7CCE" w:rsidRDefault="0096696E" w:rsidP="001A5BF9">
            <w:pPr>
              <w:rPr>
                <w:rFonts w:cs="Arial"/>
                <w:sz w:val="16"/>
                <w:szCs w:val="16"/>
              </w:rPr>
            </w:pPr>
            <w:r w:rsidRPr="005C7CCE">
              <w:rPr>
                <w:sz w:val="16"/>
              </w:rPr>
              <w:t>37 533 (2010);</w:t>
            </w:r>
            <w:r w:rsidRPr="005C7CCE">
              <w:br/>
            </w:r>
            <w:r w:rsidRPr="005C7CCE">
              <w:rPr>
                <w:sz w:val="16"/>
              </w:rPr>
              <w:t>40 900 (2011)</w:t>
            </w:r>
          </w:p>
        </w:tc>
        <w:tc>
          <w:tcPr>
            <w:tcW w:w="837" w:type="pct"/>
            <w:shd w:val="clear" w:color="auto" w:fill="auto"/>
            <w:tcMar>
              <w:top w:w="110" w:type="dxa"/>
            </w:tcMar>
          </w:tcPr>
          <w:p w:rsidR="00D42474" w:rsidRDefault="0096696E" w:rsidP="001A5BF9">
            <w:pPr>
              <w:autoSpaceDE w:val="0"/>
              <w:autoSpaceDN w:val="0"/>
              <w:adjustRightInd w:val="0"/>
              <w:rPr>
                <w:rFonts w:cs="Arial"/>
                <w:sz w:val="16"/>
                <w:szCs w:val="16"/>
              </w:rPr>
            </w:pPr>
            <w:r w:rsidRPr="00D7345C">
              <w:rPr>
                <w:sz w:val="16"/>
              </w:rPr>
              <w:t>42 100 (2012);</w:t>
            </w:r>
          </w:p>
          <w:p w:rsidR="0096696E" w:rsidRPr="00D7345C" w:rsidRDefault="0096696E" w:rsidP="001A5BF9">
            <w:pPr>
              <w:spacing w:after="120"/>
              <w:rPr>
                <w:rFonts w:cs="Arial"/>
                <w:i/>
                <w:sz w:val="16"/>
                <w:szCs w:val="16"/>
              </w:rPr>
            </w:pPr>
            <w:r w:rsidRPr="00D7345C">
              <w:rPr>
                <w:sz w:val="16"/>
              </w:rPr>
              <w:t>43 500 (2013)</w:t>
            </w:r>
          </w:p>
        </w:tc>
        <w:tc>
          <w:tcPr>
            <w:tcW w:w="1357" w:type="pct"/>
            <w:shd w:val="clear" w:color="auto" w:fill="FFFFFF"/>
            <w:tcMar>
              <w:top w:w="110" w:type="dxa"/>
            </w:tcMar>
          </w:tcPr>
          <w:p w:rsidR="00D42474" w:rsidRDefault="0096696E" w:rsidP="001A5BF9">
            <w:pPr>
              <w:rPr>
                <w:rFonts w:cs="Arial"/>
                <w:sz w:val="16"/>
                <w:szCs w:val="16"/>
                <w:lang w:bidi="th-TH"/>
              </w:rPr>
            </w:pPr>
            <w:r w:rsidRPr="00D7345C">
              <w:rPr>
                <w:sz w:val="16"/>
              </w:rPr>
              <w:t>41 954 (2012)</w:t>
            </w:r>
          </w:p>
          <w:p w:rsidR="0096696E" w:rsidRPr="00D7345C" w:rsidRDefault="0096696E" w:rsidP="001A5BF9">
            <w:pPr>
              <w:rPr>
                <w:rFonts w:cs="Arial"/>
                <w:sz w:val="16"/>
                <w:szCs w:val="16"/>
              </w:rPr>
            </w:pPr>
            <w:r w:rsidRPr="00D7345C">
              <w:rPr>
                <w:sz w:val="16"/>
              </w:rPr>
              <w:t>44 414 (2013)</w:t>
            </w:r>
          </w:p>
        </w:tc>
        <w:tc>
          <w:tcPr>
            <w:tcW w:w="682" w:type="pct"/>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A0557" w:rsidRPr="005C7CCE" w:rsidTr="001F6424">
        <w:trPr>
          <w:cantSplit/>
        </w:trPr>
        <w:tc>
          <w:tcPr>
            <w:tcW w:w="1139" w:type="pct"/>
            <w:shd w:val="clear" w:color="auto" w:fill="auto"/>
          </w:tcPr>
          <w:p w:rsidR="0096696E" w:rsidRPr="00D7345C" w:rsidRDefault="0096696E" w:rsidP="001A5BF9">
            <w:pPr>
              <w:rPr>
                <w:rFonts w:cs="Arial"/>
                <w:sz w:val="16"/>
                <w:szCs w:val="16"/>
              </w:rPr>
            </w:pPr>
            <w:r w:rsidRPr="00D7345C">
              <w:rPr>
                <w:sz w:val="16"/>
              </w:rPr>
              <w:t>Nombre de renouvellements (système de Madrid)</w:t>
            </w:r>
          </w:p>
        </w:tc>
        <w:tc>
          <w:tcPr>
            <w:tcW w:w="985" w:type="pct"/>
            <w:shd w:val="clear" w:color="auto" w:fill="auto"/>
          </w:tcPr>
          <w:p w:rsidR="00D42474" w:rsidRDefault="0096696E" w:rsidP="001A5BF9">
            <w:pPr>
              <w:rPr>
                <w:rFonts w:cs="Arial"/>
                <w:i/>
                <w:color w:val="002060"/>
                <w:sz w:val="16"/>
                <w:szCs w:val="16"/>
              </w:rPr>
            </w:pPr>
            <w:r w:rsidRPr="005C7CCE">
              <w:rPr>
                <w:i/>
                <w:color w:val="002060"/>
                <w:sz w:val="16"/>
              </w:rPr>
              <w:t>Niveau de référence actualisé fin 2011 :</w:t>
            </w:r>
          </w:p>
          <w:p w:rsidR="00D42474" w:rsidRDefault="0096696E" w:rsidP="001A5BF9">
            <w:pPr>
              <w:rPr>
                <w:rFonts w:cs="Arial"/>
                <w:i/>
                <w:color w:val="002060"/>
                <w:sz w:val="16"/>
                <w:szCs w:val="16"/>
              </w:rPr>
            </w:pPr>
            <w:r w:rsidRPr="005C7CCE">
              <w:rPr>
                <w:color w:val="002060"/>
                <w:sz w:val="16"/>
              </w:rPr>
              <w:t>21 754 (2011)</w:t>
            </w:r>
          </w:p>
          <w:p w:rsidR="00D42474" w:rsidRDefault="00D42474" w:rsidP="001A5BF9">
            <w:pPr>
              <w:rPr>
                <w:rFonts w:cs="Arial"/>
                <w:i/>
                <w:sz w:val="8"/>
                <w:szCs w:val="8"/>
              </w:rPr>
            </w:pPr>
          </w:p>
          <w:p w:rsidR="00D42474"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96696E" w:rsidRPr="005C7CCE" w:rsidRDefault="0096696E" w:rsidP="001A5BF9">
            <w:pPr>
              <w:rPr>
                <w:rFonts w:cs="Arial"/>
                <w:sz w:val="16"/>
                <w:szCs w:val="16"/>
              </w:rPr>
            </w:pPr>
            <w:r w:rsidRPr="005C7CCE">
              <w:rPr>
                <w:sz w:val="16"/>
              </w:rPr>
              <w:t>21 949 (2010);</w:t>
            </w:r>
            <w:r w:rsidRPr="005C7CCE">
              <w:br/>
            </w:r>
            <w:r w:rsidRPr="005C7CCE">
              <w:rPr>
                <w:sz w:val="16"/>
              </w:rPr>
              <w:t>21 900 (2011)</w:t>
            </w:r>
          </w:p>
        </w:tc>
        <w:tc>
          <w:tcPr>
            <w:tcW w:w="837" w:type="pct"/>
            <w:shd w:val="clear" w:color="auto" w:fill="auto"/>
            <w:tcMar>
              <w:top w:w="110" w:type="dxa"/>
            </w:tcMar>
          </w:tcPr>
          <w:p w:rsidR="00D42474" w:rsidRDefault="0096696E" w:rsidP="001A5BF9">
            <w:pPr>
              <w:autoSpaceDE w:val="0"/>
              <w:autoSpaceDN w:val="0"/>
              <w:adjustRightInd w:val="0"/>
              <w:rPr>
                <w:rFonts w:cs="Arial"/>
                <w:sz w:val="16"/>
                <w:szCs w:val="16"/>
              </w:rPr>
            </w:pPr>
            <w:r w:rsidRPr="00D7345C">
              <w:rPr>
                <w:sz w:val="16"/>
              </w:rPr>
              <w:t>21 300 (2012);</w:t>
            </w:r>
          </w:p>
          <w:p w:rsidR="0096696E" w:rsidRPr="00D7345C" w:rsidRDefault="0096696E" w:rsidP="001A5BF9">
            <w:pPr>
              <w:spacing w:after="120"/>
              <w:rPr>
                <w:rFonts w:cs="Arial"/>
                <w:i/>
                <w:sz w:val="16"/>
                <w:szCs w:val="16"/>
              </w:rPr>
            </w:pPr>
            <w:r w:rsidRPr="00D7345C">
              <w:rPr>
                <w:sz w:val="16"/>
              </w:rPr>
              <w:t>22 000 (2013)</w:t>
            </w:r>
          </w:p>
        </w:tc>
        <w:tc>
          <w:tcPr>
            <w:tcW w:w="1357" w:type="pct"/>
            <w:shd w:val="clear" w:color="auto" w:fill="FFFFFF"/>
            <w:tcMar>
              <w:top w:w="110" w:type="dxa"/>
            </w:tcMar>
          </w:tcPr>
          <w:p w:rsidR="00D42474" w:rsidRDefault="0096696E" w:rsidP="001A5BF9">
            <w:pPr>
              <w:rPr>
                <w:rFonts w:cs="Arial"/>
                <w:sz w:val="16"/>
                <w:szCs w:val="16"/>
                <w:lang w:bidi="th-TH"/>
              </w:rPr>
            </w:pPr>
            <w:r w:rsidRPr="00D7345C">
              <w:rPr>
                <w:sz w:val="16"/>
              </w:rPr>
              <w:t>21 859</w:t>
            </w:r>
            <w:r w:rsidR="004F3E42" w:rsidRPr="00D7345C">
              <w:rPr>
                <w:sz w:val="16"/>
              </w:rPr>
              <w:t xml:space="preserve"> </w:t>
            </w:r>
            <w:r w:rsidRPr="00D7345C">
              <w:rPr>
                <w:sz w:val="16"/>
              </w:rPr>
              <w:t>(2012)</w:t>
            </w:r>
          </w:p>
          <w:p w:rsidR="0096696E" w:rsidRPr="00D7345C" w:rsidRDefault="0096696E" w:rsidP="001A5BF9">
            <w:pPr>
              <w:rPr>
                <w:rFonts w:cs="Arial"/>
                <w:sz w:val="16"/>
                <w:szCs w:val="16"/>
              </w:rPr>
            </w:pPr>
            <w:r w:rsidRPr="00D7345C">
              <w:rPr>
                <w:sz w:val="16"/>
              </w:rPr>
              <w:t>23 014</w:t>
            </w:r>
            <w:r w:rsidR="004F3E42" w:rsidRPr="00D7345C">
              <w:rPr>
                <w:sz w:val="16"/>
              </w:rPr>
              <w:t xml:space="preserve"> </w:t>
            </w:r>
            <w:r w:rsidRPr="00D7345C">
              <w:rPr>
                <w:sz w:val="16"/>
              </w:rPr>
              <w:t>(2013)</w:t>
            </w:r>
          </w:p>
        </w:tc>
        <w:tc>
          <w:tcPr>
            <w:tcW w:w="682" w:type="pct"/>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A0557" w:rsidRPr="005C7CCE" w:rsidTr="001F6424">
        <w:trPr>
          <w:cantSplit/>
        </w:trPr>
        <w:tc>
          <w:tcPr>
            <w:tcW w:w="1139" w:type="pct"/>
            <w:shd w:val="clear" w:color="auto" w:fill="auto"/>
          </w:tcPr>
          <w:p w:rsidR="0096696E" w:rsidRPr="00D7345C" w:rsidRDefault="0096696E" w:rsidP="001A5BF9">
            <w:pPr>
              <w:rPr>
                <w:rFonts w:cs="Arial"/>
                <w:sz w:val="16"/>
                <w:szCs w:val="16"/>
              </w:rPr>
            </w:pPr>
            <w:r w:rsidRPr="00D7345C">
              <w:rPr>
                <w:sz w:val="16"/>
              </w:rPr>
              <w:t>Pourcentage de lettres signalant des irrégularités par rapport au nombre total de demandes reçues (système de Madrid)</w:t>
            </w:r>
          </w:p>
        </w:tc>
        <w:tc>
          <w:tcPr>
            <w:tcW w:w="985" w:type="pct"/>
            <w:shd w:val="clear" w:color="auto" w:fill="auto"/>
          </w:tcPr>
          <w:p w:rsidR="00D42474" w:rsidRDefault="0096696E" w:rsidP="001A5BF9">
            <w:pPr>
              <w:rPr>
                <w:rFonts w:cs="Arial"/>
                <w:i/>
                <w:color w:val="002060"/>
                <w:sz w:val="16"/>
                <w:szCs w:val="16"/>
              </w:rPr>
            </w:pPr>
            <w:r w:rsidRPr="005C7CCE">
              <w:rPr>
                <w:i/>
                <w:color w:val="002060"/>
                <w:sz w:val="16"/>
              </w:rPr>
              <w:t>Niveau de référence actualisé fin 2011 :</w:t>
            </w:r>
          </w:p>
          <w:p w:rsidR="00D42474" w:rsidRDefault="0096696E" w:rsidP="001A5BF9">
            <w:pPr>
              <w:rPr>
                <w:rFonts w:cs="Arial"/>
                <w:i/>
                <w:sz w:val="16"/>
                <w:szCs w:val="16"/>
              </w:rPr>
            </w:pPr>
            <w:r w:rsidRPr="00D7345C">
              <w:rPr>
                <w:sz w:val="16"/>
              </w:rPr>
              <w:t>23</w:t>
            </w:r>
            <w:r w:rsidR="007E442D" w:rsidRPr="00D7345C">
              <w:rPr>
                <w:sz w:val="16"/>
              </w:rPr>
              <w:t>%</w:t>
            </w:r>
            <w:r w:rsidRPr="00D7345C">
              <w:rPr>
                <w:sz w:val="16"/>
              </w:rPr>
              <w:t xml:space="preserve"> (fin 2011)</w:t>
            </w:r>
            <w:r w:rsidRPr="00D7345C">
              <w:rPr>
                <w:rStyle w:val="FootnoteReference"/>
                <w:i/>
                <w:sz w:val="16"/>
              </w:rPr>
              <w:footnoteReference w:id="9"/>
            </w:r>
          </w:p>
          <w:p w:rsidR="00D42474" w:rsidRDefault="00D42474" w:rsidP="001A5BF9">
            <w:pPr>
              <w:rPr>
                <w:rFonts w:cs="Arial"/>
                <w:i/>
                <w:sz w:val="8"/>
                <w:szCs w:val="8"/>
              </w:rPr>
            </w:pPr>
          </w:p>
          <w:p w:rsidR="00D42474" w:rsidRDefault="0096696E" w:rsidP="001A5BF9">
            <w:pPr>
              <w:rPr>
                <w:rFonts w:cs="Arial"/>
                <w:sz w:val="16"/>
                <w:szCs w:val="16"/>
              </w:rPr>
            </w:pPr>
            <w:r w:rsidRPr="00D7345C">
              <w:rPr>
                <w:i/>
                <w:sz w:val="16"/>
              </w:rPr>
              <w:t xml:space="preserve">Niveau de référence initial </w:t>
            </w:r>
            <w:r w:rsidR="00667FB3" w:rsidRPr="00D7345C">
              <w:rPr>
                <w:i/>
                <w:sz w:val="16"/>
              </w:rPr>
              <w:t>programme et budget</w:t>
            </w:r>
            <w:r w:rsidRPr="00D7345C">
              <w:rPr>
                <w:i/>
                <w:sz w:val="16"/>
              </w:rPr>
              <w:t> 2012</w:t>
            </w:r>
            <w:r w:rsidR="002D6F2A" w:rsidRPr="00D7345C">
              <w:rPr>
                <w:i/>
                <w:sz w:val="16"/>
              </w:rPr>
              <w:noBreakHyphen/>
            </w:r>
            <w:r w:rsidRPr="00D7345C">
              <w:rPr>
                <w:i/>
                <w:sz w:val="16"/>
              </w:rPr>
              <w:t>2013 :</w:t>
            </w:r>
          </w:p>
          <w:p w:rsidR="0096696E" w:rsidRPr="005C7CCE" w:rsidRDefault="0096696E" w:rsidP="001A5BF9">
            <w:pPr>
              <w:rPr>
                <w:rFonts w:cs="Arial"/>
                <w:sz w:val="16"/>
                <w:szCs w:val="16"/>
              </w:rPr>
            </w:pPr>
            <w:r w:rsidRPr="00D7345C">
              <w:rPr>
                <w:sz w:val="16"/>
              </w:rPr>
              <w:t>19,3</w:t>
            </w:r>
            <w:r w:rsidR="007E442D" w:rsidRPr="00D7345C">
              <w:rPr>
                <w:sz w:val="16"/>
              </w:rPr>
              <w:t>%</w:t>
            </w:r>
            <w:r w:rsidRPr="00D7345C">
              <w:rPr>
                <w:sz w:val="16"/>
              </w:rPr>
              <w:t xml:space="preserve"> (fin 2010)</w:t>
            </w:r>
            <w:r w:rsidRPr="00D7345C">
              <w:rPr>
                <w:rStyle w:val="FootnoteReference"/>
                <w:sz w:val="16"/>
              </w:rPr>
              <w:footnoteReference w:id="10"/>
            </w:r>
          </w:p>
        </w:tc>
        <w:tc>
          <w:tcPr>
            <w:tcW w:w="837" w:type="pct"/>
            <w:shd w:val="clear" w:color="auto" w:fill="auto"/>
            <w:tcMar>
              <w:top w:w="110" w:type="dxa"/>
            </w:tcMar>
          </w:tcPr>
          <w:p w:rsidR="0096696E" w:rsidRPr="00D7345C" w:rsidRDefault="0096696E" w:rsidP="001A5BF9">
            <w:pPr>
              <w:spacing w:after="120"/>
              <w:rPr>
                <w:rFonts w:cs="Arial"/>
                <w:b/>
                <w:sz w:val="16"/>
                <w:szCs w:val="16"/>
              </w:rPr>
            </w:pPr>
            <w:r w:rsidRPr="00D7345C">
              <w:rPr>
                <w:sz w:val="16"/>
              </w:rPr>
              <w:t>15</w:t>
            </w:r>
            <w:r w:rsidR="007E442D" w:rsidRPr="00D7345C">
              <w:rPr>
                <w:sz w:val="16"/>
              </w:rPr>
              <w:t>%</w:t>
            </w:r>
          </w:p>
        </w:tc>
        <w:tc>
          <w:tcPr>
            <w:tcW w:w="1357" w:type="pct"/>
            <w:shd w:val="clear" w:color="auto" w:fill="FFFFFF"/>
            <w:tcMar>
              <w:top w:w="110" w:type="dxa"/>
            </w:tcMar>
          </w:tcPr>
          <w:p w:rsidR="00D42474" w:rsidRDefault="0096696E" w:rsidP="001A5BF9">
            <w:pPr>
              <w:rPr>
                <w:sz w:val="16"/>
              </w:rPr>
            </w:pPr>
            <w:r w:rsidRPr="00D7345C">
              <w:rPr>
                <w:sz w:val="16"/>
              </w:rPr>
              <w:t>2012 : 32,1</w:t>
            </w:r>
            <w:r w:rsidR="007E442D" w:rsidRPr="00D7345C">
              <w:rPr>
                <w:sz w:val="16"/>
              </w:rPr>
              <w:t>%</w:t>
            </w:r>
            <w:r w:rsidRPr="00D7345C">
              <w:rPr>
                <w:sz w:val="16"/>
              </w:rPr>
              <w:t xml:space="preserve"> dont 22,9</w:t>
            </w:r>
            <w:r w:rsidR="007E442D" w:rsidRPr="00D7345C">
              <w:rPr>
                <w:sz w:val="16"/>
              </w:rPr>
              <w:t>%</w:t>
            </w:r>
            <w:r w:rsidRPr="00D7345C">
              <w:rPr>
                <w:sz w:val="16"/>
              </w:rPr>
              <w:t xml:space="preserve"> relevaient de problèmes de classification.</w:t>
            </w:r>
          </w:p>
          <w:p w:rsidR="0096696E" w:rsidRPr="00D7345C" w:rsidRDefault="0096696E" w:rsidP="001A5BF9">
            <w:pPr>
              <w:rPr>
                <w:rFonts w:cs="Arial"/>
                <w:sz w:val="16"/>
                <w:szCs w:val="16"/>
              </w:rPr>
            </w:pPr>
            <w:r w:rsidRPr="00D7345C">
              <w:rPr>
                <w:sz w:val="16"/>
              </w:rPr>
              <w:t>2013 : 32,4</w:t>
            </w:r>
            <w:r w:rsidR="007E442D" w:rsidRPr="00D7345C">
              <w:rPr>
                <w:sz w:val="16"/>
              </w:rPr>
              <w:t>%</w:t>
            </w:r>
            <w:r w:rsidRPr="00D7345C">
              <w:rPr>
                <w:sz w:val="16"/>
              </w:rPr>
              <w:t xml:space="preserve"> dont 25,9</w:t>
            </w:r>
            <w:r w:rsidR="007E442D" w:rsidRPr="00D7345C">
              <w:rPr>
                <w:sz w:val="16"/>
              </w:rPr>
              <w:t>%</w:t>
            </w:r>
            <w:r w:rsidRPr="00D7345C">
              <w:rPr>
                <w:sz w:val="16"/>
              </w:rPr>
              <w:t xml:space="preserve"> relevaient de problèmes de classification. </w:t>
            </w:r>
            <w:r w:rsidR="0010442A" w:rsidRPr="00D7345C">
              <w:rPr>
                <w:sz w:val="16"/>
              </w:rPr>
              <w:t xml:space="preserve"> </w:t>
            </w:r>
          </w:p>
        </w:tc>
        <w:tc>
          <w:tcPr>
            <w:tcW w:w="682" w:type="pct"/>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D7345C">
              <w:rPr>
                <w:color w:val="FF0000"/>
                <w:sz w:val="16"/>
              </w:rPr>
              <w:t>Objectif pas atteint</w:t>
            </w:r>
          </w:p>
        </w:tc>
      </w:tr>
      <w:tr w:rsidR="009A0557" w:rsidRPr="005C7CCE" w:rsidTr="001F6424">
        <w:trPr>
          <w:cantSplit/>
        </w:trPr>
        <w:tc>
          <w:tcPr>
            <w:tcW w:w="1139" w:type="pct"/>
            <w:shd w:val="clear" w:color="auto" w:fill="auto"/>
          </w:tcPr>
          <w:p w:rsidR="0096696E" w:rsidRPr="00D7345C" w:rsidRDefault="0096696E" w:rsidP="001A5BF9">
            <w:pPr>
              <w:rPr>
                <w:rFonts w:cs="Arial"/>
                <w:sz w:val="16"/>
                <w:szCs w:val="16"/>
              </w:rPr>
            </w:pPr>
            <w:r w:rsidRPr="00D7345C">
              <w:rPr>
                <w:sz w:val="16"/>
              </w:rPr>
              <w:t>Pourcentage de demandes internationales provenant des pays en développement et</w:t>
            </w:r>
            <w:r w:rsidR="00A20444" w:rsidRPr="00D7345C">
              <w:rPr>
                <w:sz w:val="16"/>
              </w:rPr>
              <w:t xml:space="preserve"> des PMA</w:t>
            </w:r>
            <w:r w:rsidRPr="00D7345C">
              <w:rPr>
                <w:sz w:val="16"/>
              </w:rPr>
              <w:t xml:space="preserve"> (système de Madrid)</w:t>
            </w:r>
          </w:p>
        </w:tc>
        <w:tc>
          <w:tcPr>
            <w:tcW w:w="985" w:type="pct"/>
            <w:shd w:val="clear" w:color="auto" w:fill="auto"/>
          </w:tcPr>
          <w:p w:rsidR="00D42474" w:rsidRDefault="0096696E" w:rsidP="001A5BF9">
            <w:pPr>
              <w:rPr>
                <w:rFonts w:cs="Arial"/>
                <w:i/>
                <w:color w:val="002060"/>
                <w:sz w:val="16"/>
                <w:szCs w:val="16"/>
              </w:rPr>
            </w:pPr>
            <w:r w:rsidRPr="005C7CCE">
              <w:rPr>
                <w:i/>
                <w:color w:val="002060"/>
                <w:sz w:val="16"/>
              </w:rPr>
              <w:t>Niveau de référence actualisé fin 2011 :</w:t>
            </w:r>
          </w:p>
          <w:p w:rsidR="00D42474" w:rsidRDefault="0096696E" w:rsidP="001A5BF9">
            <w:pPr>
              <w:rPr>
                <w:rFonts w:cs="Arial"/>
                <w:color w:val="002060"/>
                <w:sz w:val="16"/>
                <w:szCs w:val="16"/>
              </w:rPr>
            </w:pPr>
            <w:r w:rsidRPr="005C7CCE">
              <w:rPr>
                <w:color w:val="002060"/>
                <w:sz w:val="16"/>
              </w:rPr>
              <w:t>7,4</w:t>
            </w:r>
            <w:r w:rsidR="007E442D" w:rsidRPr="005C7CCE">
              <w:rPr>
                <w:color w:val="002060"/>
                <w:sz w:val="16"/>
              </w:rPr>
              <w:t>%</w:t>
            </w:r>
            <w:r w:rsidRPr="005C7CCE">
              <w:rPr>
                <w:color w:val="002060"/>
                <w:sz w:val="16"/>
              </w:rPr>
              <w:t xml:space="preserve"> (2011)</w:t>
            </w:r>
          </w:p>
          <w:p w:rsidR="00D42474" w:rsidRDefault="00D42474" w:rsidP="001A5BF9">
            <w:pPr>
              <w:rPr>
                <w:rFonts w:cs="Arial"/>
                <w:i/>
                <w:sz w:val="8"/>
                <w:szCs w:val="8"/>
              </w:rPr>
            </w:pPr>
          </w:p>
          <w:p w:rsidR="00D42474"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96696E" w:rsidRPr="005C7CCE" w:rsidRDefault="0096696E" w:rsidP="001A5BF9">
            <w:pPr>
              <w:rPr>
                <w:rFonts w:cs="Arial"/>
                <w:sz w:val="16"/>
                <w:szCs w:val="16"/>
              </w:rPr>
            </w:pPr>
            <w:r w:rsidRPr="005C7CCE">
              <w:rPr>
                <w:sz w:val="16"/>
              </w:rPr>
              <w:t>7</w:t>
            </w:r>
            <w:r w:rsidR="007E442D" w:rsidRPr="005C7CCE">
              <w:rPr>
                <w:sz w:val="16"/>
              </w:rPr>
              <w:t>%</w:t>
            </w:r>
            <w:r w:rsidRPr="005C7CCE">
              <w:rPr>
                <w:sz w:val="16"/>
              </w:rPr>
              <w:t xml:space="preserve"> des demandes internationales</w:t>
            </w:r>
          </w:p>
        </w:tc>
        <w:tc>
          <w:tcPr>
            <w:tcW w:w="837" w:type="pct"/>
            <w:shd w:val="clear" w:color="auto" w:fill="auto"/>
            <w:tcMar>
              <w:top w:w="110" w:type="dxa"/>
            </w:tcMar>
          </w:tcPr>
          <w:p w:rsidR="00D42474" w:rsidRDefault="0096696E" w:rsidP="001A5BF9">
            <w:pPr>
              <w:autoSpaceDE w:val="0"/>
              <w:autoSpaceDN w:val="0"/>
              <w:adjustRightInd w:val="0"/>
              <w:rPr>
                <w:rFonts w:cs="Arial"/>
                <w:sz w:val="16"/>
                <w:szCs w:val="16"/>
              </w:rPr>
            </w:pPr>
            <w:r w:rsidRPr="005C7CCE">
              <w:rPr>
                <w:sz w:val="16"/>
              </w:rPr>
              <w:t>Au moins 10</w:t>
            </w:r>
            <w:r w:rsidR="007E442D" w:rsidRPr="005C7CCE">
              <w:rPr>
                <w:sz w:val="16"/>
              </w:rPr>
              <w:t>%</w:t>
            </w:r>
          </w:p>
          <w:p w:rsidR="00D42474" w:rsidRDefault="0096696E" w:rsidP="001A5BF9">
            <w:pPr>
              <w:autoSpaceDE w:val="0"/>
              <w:autoSpaceDN w:val="0"/>
              <w:adjustRightInd w:val="0"/>
              <w:rPr>
                <w:rFonts w:cs="Arial"/>
                <w:sz w:val="16"/>
                <w:szCs w:val="16"/>
              </w:rPr>
            </w:pPr>
            <w:r w:rsidRPr="005C7CCE">
              <w:rPr>
                <w:sz w:val="16"/>
              </w:rPr>
              <w:t>des demandes</w:t>
            </w:r>
          </w:p>
          <w:p w:rsidR="0096696E" w:rsidRPr="005C7CCE" w:rsidRDefault="0096696E" w:rsidP="001A5BF9">
            <w:pPr>
              <w:spacing w:after="120"/>
              <w:rPr>
                <w:rFonts w:cs="Arial"/>
                <w:b/>
                <w:sz w:val="16"/>
                <w:szCs w:val="16"/>
              </w:rPr>
            </w:pPr>
            <w:r w:rsidRPr="005C7CCE">
              <w:rPr>
                <w:sz w:val="16"/>
              </w:rPr>
              <w:t>internationales</w:t>
            </w:r>
            <w:r w:rsidRPr="005C7CCE">
              <w:rPr>
                <w:b/>
                <w:sz w:val="16"/>
              </w:rPr>
              <w:t xml:space="preserve"> </w:t>
            </w:r>
          </w:p>
        </w:tc>
        <w:tc>
          <w:tcPr>
            <w:tcW w:w="1357" w:type="pct"/>
            <w:shd w:val="clear" w:color="auto" w:fill="FFFFFF"/>
            <w:tcMar>
              <w:top w:w="110" w:type="dxa"/>
            </w:tcMar>
          </w:tcPr>
          <w:p w:rsidR="00D42474" w:rsidRDefault="0096696E" w:rsidP="001A5BF9">
            <w:pPr>
              <w:rPr>
                <w:sz w:val="16"/>
              </w:rPr>
            </w:pPr>
            <w:r w:rsidRPr="00D7345C">
              <w:rPr>
                <w:sz w:val="16"/>
              </w:rPr>
              <w:t>7</w:t>
            </w:r>
            <w:r w:rsidR="007E442D" w:rsidRPr="00D7345C">
              <w:rPr>
                <w:sz w:val="16"/>
              </w:rPr>
              <w:t>%</w:t>
            </w:r>
            <w:r w:rsidRPr="00D7345C">
              <w:rPr>
                <w:sz w:val="16"/>
              </w:rPr>
              <w:t xml:space="preserve"> (2012)</w:t>
            </w:r>
          </w:p>
          <w:p w:rsidR="0096696E" w:rsidRPr="00D7345C" w:rsidRDefault="0096696E" w:rsidP="001A5BF9">
            <w:pPr>
              <w:rPr>
                <w:rFonts w:cs="Arial"/>
                <w:sz w:val="16"/>
                <w:szCs w:val="16"/>
              </w:rPr>
            </w:pPr>
            <w:r w:rsidRPr="00D7345C">
              <w:rPr>
                <w:sz w:val="16"/>
              </w:rPr>
              <w:t>6,8</w:t>
            </w:r>
            <w:r w:rsidR="007E442D" w:rsidRPr="00D7345C">
              <w:rPr>
                <w:sz w:val="16"/>
              </w:rPr>
              <w:t>%</w:t>
            </w:r>
            <w:r w:rsidRPr="00D7345C">
              <w:rPr>
                <w:sz w:val="16"/>
              </w:rPr>
              <w:t>(2013)</w:t>
            </w:r>
          </w:p>
        </w:tc>
        <w:tc>
          <w:tcPr>
            <w:tcW w:w="682" w:type="pct"/>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D7345C">
              <w:rPr>
                <w:color w:val="FF0000"/>
                <w:sz w:val="16"/>
              </w:rPr>
              <w:t>Objectif pas atteint</w:t>
            </w:r>
          </w:p>
        </w:tc>
      </w:tr>
      <w:tr w:rsidR="009A0557" w:rsidRPr="005C7CCE" w:rsidTr="001F6424">
        <w:trPr>
          <w:cantSplit/>
        </w:trPr>
        <w:tc>
          <w:tcPr>
            <w:tcW w:w="1139" w:type="pct"/>
            <w:shd w:val="clear" w:color="auto" w:fill="auto"/>
          </w:tcPr>
          <w:p w:rsidR="0096696E" w:rsidRPr="00D7345C" w:rsidRDefault="0096696E" w:rsidP="001A5BF9">
            <w:pPr>
              <w:rPr>
                <w:rFonts w:cs="Arial"/>
                <w:sz w:val="16"/>
                <w:szCs w:val="16"/>
              </w:rPr>
            </w:pPr>
            <w:r w:rsidRPr="00D7345C">
              <w:rPr>
                <w:sz w:val="16"/>
              </w:rPr>
              <w:t>Nombre de parties contractantes au Protocole de Madrid</w:t>
            </w:r>
          </w:p>
        </w:tc>
        <w:tc>
          <w:tcPr>
            <w:tcW w:w="985" w:type="pct"/>
            <w:shd w:val="clear" w:color="auto" w:fill="auto"/>
          </w:tcPr>
          <w:p w:rsidR="0096696E" w:rsidRPr="00D7345C" w:rsidRDefault="0096696E" w:rsidP="001A5BF9">
            <w:pPr>
              <w:rPr>
                <w:rFonts w:cs="Arial"/>
                <w:sz w:val="16"/>
                <w:szCs w:val="16"/>
              </w:rPr>
            </w:pPr>
            <w:r w:rsidRPr="00D7345C">
              <w:rPr>
                <w:sz w:val="16"/>
              </w:rPr>
              <w:t>85 parties contractantes du système de Madrid</w:t>
            </w:r>
          </w:p>
        </w:tc>
        <w:tc>
          <w:tcPr>
            <w:tcW w:w="837" w:type="pct"/>
            <w:shd w:val="clear" w:color="auto" w:fill="auto"/>
            <w:tcMar>
              <w:top w:w="110" w:type="dxa"/>
            </w:tcMar>
          </w:tcPr>
          <w:p w:rsidR="0096696E" w:rsidRPr="005C7CCE" w:rsidRDefault="0096696E" w:rsidP="001A5BF9">
            <w:pPr>
              <w:rPr>
                <w:rFonts w:cs="Arial"/>
                <w:sz w:val="16"/>
                <w:szCs w:val="16"/>
              </w:rPr>
            </w:pPr>
            <w:r w:rsidRPr="005C7CCE">
              <w:rPr>
                <w:sz w:val="16"/>
              </w:rPr>
              <w:t>93</w:t>
            </w:r>
          </w:p>
        </w:tc>
        <w:tc>
          <w:tcPr>
            <w:tcW w:w="1357" w:type="pct"/>
            <w:shd w:val="clear" w:color="auto" w:fill="FFFFFF"/>
            <w:tcMar>
              <w:top w:w="110" w:type="dxa"/>
            </w:tcMar>
          </w:tcPr>
          <w:p w:rsidR="0096696E" w:rsidRPr="005C7CCE" w:rsidRDefault="0096696E" w:rsidP="001A5BF9">
            <w:pPr>
              <w:rPr>
                <w:rFonts w:cs="Arial"/>
                <w:sz w:val="16"/>
                <w:szCs w:val="16"/>
              </w:rPr>
            </w:pPr>
            <w:r w:rsidRPr="005C7CCE">
              <w:rPr>
                <w:sz w:val="16"/>
              </w:rPr>
              <w:t>92 parties contractantes au système de Madrid (7 parties contractantes supplémentaires : Colombie, Mexique, Nouvelle</w:t>
            </w:r>
            <w:r w:rsidR="002D6F2A" w:rsidRPr="005C7CCE">
              <w:rPr>
                <w:sz w:val="16"/>
              </w:rPr>
              <w:noBreakHyphen/>
            </w:r>
            <w:r w:rsidRPr="005C7CCE">
              <w:rPr>
                <w:sz w:val="16"/>
              </w:rPr>
              <w:t xml:space="preserve">Zélande et Philippines en 2012; </w:t>
            </w:r>
            <w:r w:rsidR="0010442A" w:rsidRPr="005C7CCE">
              <w:rPr>
                <w:sz w:val="16"/>
              </w:rPr>
              <w:t xml:space="preserve"> </w:t>
            </w:r>
            <w:r w:rsidRPr="005C7CCE">
              <w:rPr>
                <w:sz w:val="16"/>
              </w:rPr>
              <w:t>Inde, Rwanda et Tunisie en 2013).</w:t>
            </w:r>
          </w:p>
        </w:tc>
        <w:tc>
          <w:tcPr>
            <w:tcW w:w="682" w:type="pct"/>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A0557" w:rsidRPr="005C7CCE" w:rsidTr="001F6424">
        <w:trPr>
          <w:cantSplit/>
        </w:trPr>
        <w:tc>
          <w:tcPr>
            <w:tcW w:w="1139" w:type="pct"/>
            <w:shd w:val="clear" w:color="auto" w:fill="auto"/>
          </w:tcPr>
          <w:p w:rsidR="0096696E" w:rsidRPr="00D7345C" w:rsidRDefault="0096696E" w:rsidP="001A5BF9">
            <w:pPr>
              <w:rPr>
                <w:rFonts w:cs="Arial"/>
                <w:sz w:val="16"/>
                <w:szCs w:val="16"/>
              </w:rPr>
            </w:pPr>
            <w:r w:rsidRPr="00D7345C">
              <w:rPr>
                <w:sz w:val="16"/>
              </w:rPr>
              <w:t>Nombre de parties contractantes de l</w:t>
            </w:r>
            <w:r w:rsidR="00A20444" w:rsidRPr="00D7345C">
              <w:rPr>
                <w:sz w:val="16"/>
              </w:rPr>
              <w:t>’</w:t>
            </w:r>
            <w:r w:rsidRPr="00D7345C">
              <w:rPr>
                <w:sz w:val="16"/>
              </w:rPr>
              <w:t>Arrangement de Lisbonne</w:t>
            </w:r>
          </w:p>
        </w:tc>
        <w:tc>
          <w:tcPr>
            <w:tcW w:w="985" w:type="pct"/>
            <w:shd w:val="clear" w:color="auto" w:fill="auto"/>
          </w:tcPr>
          <w:p w:rsidR="0096696E" w:rsidRPr="00D7345C" w:rsidRDefault="0096696E" w:rsidP="001A5BF9">
            <w:pPr>
              <w:rPr>
                <w:rFonts w:cs="Arial"/>
                <w:sz w:val="16"/>
                <w:szCs w:val="16"/>
              </w:rPr>
            </w:pPr>
            <w:r w:rsidRPr="00D7345C">
              <w:rPr>
                <w:sz w:val="16"/>
              </w:rPr>
              <w:t>27 (</w:t>
            </w:r>
            <w:r w:rsidR="00A20444" w:rsidRPr="00D7345C">
              <w:rPr>
                <w:sz w:val="16"/>
              </w:rPr>
              <w:t>mars 20</w:t>
            </w:r>
            <w:r w:rsidRPr="00D7345C">
              <w:rPr>
                <w:sz w:val="16"/>
              </w:rPr>
              <w:t>11)</w:t>
            </w:r>
          </w:p>
        </w:tc>
        <w:tc>
          <w:tcPr>
            <w:tcW w:w="837" w:type="pct"/>
            <w:shd w:val="clear" w:color="auto" w:fill="auto"/>
            <w:tcMar>
              <w:top w:w="110" w:type="dxa"/>
            </w:tcMar>
          </w:tcPr>
          <w:p w:rsidR="0096696E" w:rsidRPr="005C7CCE" w:rsidRDefault="0096696E" w:rsidP="001A5BF9">
            <w:pPr>
              <w:rPr>
                <w:rFonts w:cs="Arial"/>
                <w:i/>
                <w:sz w:val="16"/>
                <w:szCs w:val="16"/>
              </w:rPr>
            </w:pPr>
            <w:r w:rsidRPr="005C7CCE">
              <w:rPr>
                <w:sz w:val="16"/>
              </w:rPr>
              <w:t>30</w:t>
            </w:r>
          </w:p>
        </w:tc>
        <w:tc>
          <w:tcPr>
            <w:tcW w:w="1357" w:type="pct"/>
            <w:shd w:val="clear" w:color="auto" w:fill="FFFFFF"/>
            <w:tcMar>
              <w:top w:w="110" w:type="dxa"/>
            </w:tcMar>
          </w:tcPr>
          <w:p w:rsidR="0096696E" w:rsidRPr="005C7CCE" w:rsidRDefault="0096696E" w:rsidP="001A5BF9">
            <w:pPr>
              <w:rPr>
                <w:rFonts w:cs="Arial"/>
                <w:sz w:val="16"/>
                <w:szCs w:val="16"/>
              </w:rPr>
            </w:pPr>
            <w:r w:rsidRPr="005C7CCE">
              <w:rPr>
                <w:sz w:val="16"/>
              </w:rPr>
              <w:t>28 parties contractantes (1 partie contractante supplémentaire : Bosnie</w:t>
            </w:r>
            <w:r w:rsidR="002D6F2A" w:rsidRPr="005C7CCE">
              <w:rPr>
                <w:sz w:val="16"/>
              </w:rPr>
              <w:noBreakHyphen/>
            </w:r>
            <w:r w:rsidRPr="005C7CCE">
              <w:rPr>
                <w:sz w:val="16"/>
              </w:rPr>
              <w:t>Herzégovine</w:t>
            </w:r>
          </w:p>
        </w:tc>
        <w:tc>
          <w:tcPr>
            <w:tcW w:w="682" w:type="pct"/>
            <w:shd w:val="clear" w:color="auto" w:fill="auto"/>
            <w:tcMar>
              <w:top w:w="110" w:type="dxa"/>
            </w:tcMar>
          </w:tcPr>
          <w:p w:rsidR="0096696E" w:rsidRPr="005C7CCE" w:rsidRDefault="0015421B" w:rsidP="001A5BF9">
            <w:pPr>
              <w:keepNext/>
              <w:keepLines/>
              <w:jc w:val="center"/>
              <w:rPr>
                <w:rFonts w:cs="Arial"/>
                <w:bCs/>
                <w:color w:val="008000"/>
                <w:sz w:val="16"/>
                <w:szCs w:val="16"/>
              </w:rPr>
            </w:pPr>
            <w:r w:rsidRPr="0015421B">
              <w:rPr>
                <w:color w:val="E36C0A"/>
                <w:sz w:val="16"/>
              </w:rPr>
              <w:t>Objectif partiellement atteint</w:t>
            </w:r>
          </w:p>
        </w:tc>
      </w:tr>
      <w:tr w:rsidR="009A0557" w:rsidRPr="005C7CCE" w:rsidTr="001F6424">
        <w:trPr>
          <w:cantSplit/>
        </w:trPr>
        <w:tc>
          <w:tcPr>
            <w:tcW w:w="1139" w:type="pct"/>
            <w:tcBorders>
              <w:bottom w:val="single" w:sz="4" w:space="0" w:color="auto"/>
            </w:tcBorders>
            <w:shd w:val="clear" w:color="auto" w:fill="auto"/>
          </w:tcPr>
          <w:p w:rsidR="0096696E" w:rsidRPr="00D7345C" w:rsidRDefault="0096696E" w:rsidP="001A5BF9">
            <w:pPr>
              <w:rPr>
                <w:rFonts w:cs="Arial"/>
                <w:spacing w:val="-4"/>
                <w:sz w:val="16"/>
                <w:szCs w:val="16"/>
              </w:rPr>
            </w:pPr>
            <w:r w:rsidRPr="00D7345C">
              <w:rPr>
                <w:spacing w:val="-4"/>
                <w:sz w:val="16"/>
              </w:rPr>
              <w:t>Nombre d</w:t>
            </w:r>
            <w:r w:rsidR="00A20444" w:rsidRPr="00D7345C">
              <w:rPr>
                <w:spacing w:val="-4"/>
                <w:sz w:val="16"/>
              </w:rPr>
              <w:t>’</w:t>
            </w:r>
            <w:r w:rsidRPr="00D7345C">
              <w:rPr>
                <w:spacing w:val="-4"/>
                <w:sz w:val="16"/>
              </w:rPr>
              <w:t>enregistrements internationaux en vigueur en vertu du système de Lisbonne concernant les appellations d</w:t>
            </w:r>
            <w:r w:rsidR="00A20444" w:rsidRPr="00D7345C">
              <w:rPr>
                <w:spacing w:val="-4"/>
                <w:sz w:val="16"/>
              </w:rPr>
              <w:t>’</w:t>
            </w:r>
            <w:r w:rsidRPr="00D7345C">
              <w:rPr>
                <w:spacing w:val="-4"/>
                <w:sz w:val="16"/>
              </w:rPr>
              <w:t>origine émanant des pays en développement et</w:t>
            </w:r>
            <w:r w:rsidR="00A20444" w:rsidRPr="00D7345C">
              <w:rPr>
                <w:spacing w:val="-4"/>
                <w:sz w:val="16"/>
              </w:rPr>
              <w:t xml:space="preserve"> des PMA</w:t>
            </w:r>
          </w:p>
        </w:tc>
        <w:tc>
          <w:tcPr>
            <w:tcW w:w="985" w:type="pct"/>
            <w:tcBorders>
              <w:bottom w:val="single" w:sz="4" w:space="0" w:color="auto"/>
            </w:tcBorders>
            <w:shd w:val="clear" w:color="auto" w:fill="auto"/>
          </w:tcPr>
          <w:p w:rsidR="00D42474" w:rsidRDefault="0096696E" w:rsidP="001A5BF9">
            <w:pPr>
              <w:rPr>
                <w:rFonts w:cs="Arial"/>
                <w:color w:val="002060"/>
                <w:sz w:val="16"/>
                <w:szCs w:val="16"/>
              </w:rPr>
            </w:pPr>
            <w:r w:rsidRPr="005C7CCE">
              <w:rPr>
                <w:i/>
                <w:color w:val="002060"/>
                <w:sz w:val="16"/>
              </w:rPr>
              <w:t xml:space="preserve">Niveau de référence </w:t>
            </w:r>
            <w:r w:rsidRPr="005C7CCE">
              <w:rPr>
                <w:i/>
                <w:color w:val="002060"/>
                <w:spacing w:val="-4"/>
                <w:sz w:val="16"/>
              </w:rPr>
              <w:t>actualisé fin 2011 :</w:t>
            </w:r>
            <w:r w:rsidRPr="005C7CCE">
              <w:rPr>
                <w:color w:val="002060"/>
                <w:spacing w:val="-4"/>
                <w:sz w:val="16"/>
              </w:rPr>
              <w:t xml:space="preserve"> 75</w:t>
            </w:r>
          </w:p>
          <w:p w:rsidR="00D42474" w:rsidRDefault="00D42474" w:rsidP="001A5BF9">
            <w:pPr>
              <w:rPr>
                <w:rFonts w:cs="Arial"/>
                <w:color w:val="002060"/>
                <w:sz w:val="16"/>
                <w:szCs w:val="16"/>
              </w:rPr>
            </w:pPr>
          </w:p>
          <w:p w:rsidR="00D42474"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96696E" w:rsidRPr="005C7CCE" w:rsidRDefault="0096696E" w:rsidP="001A5BF9">
            <w:pPr>
              <w:rPr>
                <w:rFonts w:cs="Arial"/>
                <w:sz w:val="16"/>
                <w:szCs w:val="16"/>
              </w:rPr>
            </w:pPr>
            <w:r w:rsidRPr="005C7CCE">
              <w:rPr>
                <w:sz w:val="16"/>
              </w:rPr>
              <w:t>58 (sur 795)</w:t>
            </w:r>
          </w:p>
        </w:tc>
        <w:tc>
          <w:tcPr>
            <w:tcW w:w="837" w:type="pct"/>
            <w:tcBorders>
              <w:bottom w:val="single" w:sz="4" w:space="0" w:color="auto"/>
            </w:tcBorders>
            <w:shd w:val="clear" w:color="auto" w:fill="auto"/>
            <w:tcMar>
              <w:top w:w="110" w:type="dxa"/>
            </w:tcMar>
          </w:tcPr>
          <w:p w:rsidR="0096696E" w:rsidRPr="005C7CCE" w:rsidRDefault="0096696E" w:rsidP="001A5BF9">
            <w:pPr>
              <w:spacing w:after="120"/>
              <w:rPr>
                <w:rFonts w:cs="Arial"/>
                <w:sz w:val="16"/>
                <w:szCs w:val="16"/>
              </w:rPr>
            </w:pPr>
            <w:r w:rsidRPr="005C7CCE">
              <w:rPr>
                <w:sz w:val="16"/>
              </w:rPr>
              <w:t>75</w:t>
            </w:r>
          </w:p>
        </w:tc>
        <w:tc>
          <w:tcPr>
            <w:tcW w:w="1357" w:type="pct"/>
            <w:tcBorders>
              <w:bottom w:val="single" w:sz="4" w:space="0" w:color="auto"/>
            </w:tcBorders>
            <w:shd w:val="clear" w:color="auto" w:fill="FFFFFF"/>
            <w:tcMar>
              <w:top w:w="110" w:type="dxa"/>
            </w:tcMar>
          </w:tcPr>
          <w:p w:rsidR="0096696E" w:rsidRPr="005C7CCE" w:rsidRDefault="0096696E" w:rsidP="001A5BF9">
            <w:pPr>
              <w:rPr>
                <w:rFonts w:cs="Arial"/>
                <w:sz w:val="16"/>
                <w:szCs w:val="16"/>
              </w:rPr>
            </w:pPr>
            <w:r w:rsidRPr="005C7CCE">
              <w:rPr>
                <w:sz w:val="16"/>
              </w:rPr>
              <w:t>67 (sur 816)</w:t>
            </w:r>
          </w:p>
        </w:tc>
        <w:tc>
          <w:tcPr>
            <w:tcW w:w="682" w:type="pct"/>
            <w:tcBorders>
              <w:bottom w:val="single" w:sz="4" w:space="0" w:color="auto"/>
            </w:tcBorders>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1F6424" w:rsidRPr="001F6424" w:rsidTr="001F6424">
        <w:trPr>
          <w:cantSplit/>
        </w:trPr>
        <w:tc>
          <w:tcPr>
            <w:tcW w:w="5000" w:type="pct"/>
            <w:gridSpan w:val="5"/>
            <w:tcBorders>
              <w:top w:val="single" w:sz="4" w:space="0" w:color="auto"/>
              <w:bottom w:val="single" w:sz="4" w:space="0" w:color="auto"/>
            </w:tcBorders>
            <w:shd w:val="clear" w:color="auto" w:fill="CCFFFF"/>
            <w:vAlign w:val="center"/>
          </w:tcPr>
          <w:p w:rsidR="0096696E" w:rsidRPr="001F6424" w:rsidRDefault="0096696E" w:rsidP="001A5BF9">
            <w:pPr>
              <w:keepNext/>
              <w:keepLines/>
              <w:tabs>
                <w:tab w:val="left" w:pos="1452"/>
              </w:tabs>
              <w:spacing w:before="120" w:after="120"/>
              <w:ind w:left="1452" w:hanging="1452"/>
              <w:rPr>
                <w:rFonts w:cs="Arial"/>
                <w:b/>
                <w:bCs/>
                <w:sz w:val="16"/>
                <w:szCs w:val="16"/>
              </w:rPr>
            </w:pPr>
            <w:r w:rsidRPr="001F6424">
              <w:rPr>
                <w:b/>
                <w:sz w:val="16"/>
              </w:rPr>
              <w:t>Résultat escompté</w:t>
            </w:r>
            <w:r w:rsidR="0010442A" w:rsidRPr="001F6424">
              <w:rPr>
                <w:b/>
                <w:sz w:val="16"/>
              </w:rPr>
              <w:t xml:space="preserve"> : </w:t>
            </w:r>
            <w:r w:rsidRPr="001F6424">
              <w:rPr>
                <w:b/>
                <w:sz w:val="16"/>
              </w:rPr>
              <w:tab/>
            </w:r>
            <w:r w:rsidRPr="001F6424">
              <w:rPr>
                <w:sz w:val="16"/>
              </w:rPr>
              <w:t>Amélioration du fonctionnement des systèmes de Madrid et de Lisbonne</w:t>
            </w:r>
          </w:p>
        </w:tc>
      </w:tr>
      <w:tr w:rsidR="001F6424" w:rsidRPr="001F6424" w:rsidTr="001F6424">
        <w:trPr>
          <w:cantSplit/>
        </w:trPr>
        <w:tc>
          <w:tcPr>
            <w:tcW w:w="1139" w:type="pct"/>
            <w:tcBorders>
              <w:top w:val="single" w:sz="4" w:space="0" w:color="auto"/>
            </w:tcBorders>
            <w:shd w:val="clear" w:color="auto" w:fill="auto"/>
            <w:vAlign w:val="center"/>
          </w:tcPr>
          <w:p w:rsidR="0096696E" w:rsidRPr="001F6424" w:rsidRDefault="0096696E" w:rsidP="001A5BF9">
            <w:pPr>
              <w:rPr>
                <w:rFonts w:cs="Arial"/>
                <w:b/>
                <w:sz w:val="16"/>
                <w:szCs w:val="16"/>
              </w:rPr>
            </w:pPr>
            <w:r w:rsidRPr="001F6424">
              <w:rPr>
                <w:b/>
                <w:sz w:val="16"/>
              </w:rPr>
              <w:t>Indicateurs d</w:t>
            </w:r>
            <w:r w:rsidR="00A20444" w:rsidRPr="001F6424">
              <w:rPr>
                <w:b/>
                <w:sz w:val="16"/>
              </w:rPr>
              <w:t>’</w:t>
            </w:r>
            <w:r w:rsidRPr="001F6424">
              <w:rPr>
                <w:b/>
                <w:sz w:val="16"/>
              </w:rPr>
              <w:t>exécution</w:t>
            </w:r>
          </w:p>
        </w:tc>
        <w:tc>
          <w:tcPr>
            <w:tcW w:w="985" w:type="pct"/>
            <w:tcBorders>
              <w:top w:val="single" w:sz="4" w:space="0" w:color="auto"/>
            </w:tcBorders>
            <w:shd w:val="clear" w:color="auto" w:fill="auto"/>
            <w:vAlign w:val="center"/>
          </w:tcPr>
          <w:p w:rsidR="0096696E" w:rsidRPr="001F6424" w:rsidRDefault="0096696E" w:rsidP="001A5BF9">
            <w:pPr>
              <w:rPr>
                <w:rFonts w:cs="Arial"/>
                <w:b/>
                <w:bCs/>
                <w:sz w:val="16"/>
                <w:szCs w:val="16"/>
              </w:rPr>
            </w:pPr>
            <w:r w:rsidRPr="001F6424">
              <w:rPr>
                <w:b/>
                <w:sz w:val="16"/>
              </w:rPr>
              <w:t>Niveaux de référence</w:t>
            </w:r>
          </w:p>
        </w:tc>
        <w:tc>
          <w:tcPr>
            <w:tcW w:w="837" w:type="pct"/>
            <w:tcBorders>
              <w:top w:val="single" w:sz="4" w:space="0" w:color="auto"/>
            </w:tcBorders>
            <w:shd w:val="clear" w:color="auto" w:fill="auto"/>
            <w:tcMar>
              <w:top w:w="110" w:type="dxa"/>
            </w:tcMar>
            <w:vAlign w:val="center"/>
          </w:tcPr>
          <w:p w:rsidR="0096696E" w:rsidRPr="001F6424" w:rsidRDefault="0096696E" w:rsidP="001A5BF9">
            <w:pPr>
              <w:rPr>
                <w:rFonts w:cs="Arial"/>
                <w:b/>
                <w:sz w:val="16"/>
                <w:szCs w:val="16"/>
              </w:rPr>
            </w:pPr>
            <w:r w:rsidRPr="001F6424">
              <w:rPr>
                <w:b/>
                <w:sz w:val="16"/>
              </w:rPr>
              <w:t>Objectifs visés</w:t>
            </w:r>
          </w:p>
        </w:tc>
        <w:tc>
          <w:tcPr>
            <w:tcW w:w="1357" w:type="pct"/>
            <w:tcBorders>
              <w:top w:val="single" w:sz="4" w:space="0" w:color="auto"/>
            </w:tcBorders>
            <w:shd w:val="clear" w:color="auto" w:fill="FFFFFF"/>
            <w:tcMar>
              <w:top w:w="110" w:type="dxa"/>
            </w:tcMar>
            <w:vAlign w:val="center"/>
          </w:tcPr>
          <w:p w:rsidR="0096696E" w:rsidRPr="001F6424" w:rsidRDefault="0096696E" w:rsidP="001A5BF9">
            <w:pPr>
              <w:rPr>
                <w:rFonts w:cs="Arial"/>
                <w:b/>
                <w:sz w:val="16"/>
                <w:szCs w:val="16"/>
              </w:rPr>
            </w:pPr>
            <w:r w:rsidRPr="001F6424">
              <w:rPr>
                <w:b/>
                <w:sz w:val="16"/>
              </w:rPr>
              <w:t>Données relatives à l</w:t>
            </w:r>
            <w:r w:rsidR="00A20444" w:rsidRPr="001F6424">
              <w:rPr>
                <w:b/>
                <w:sz w:val="16"/>
              </w:rPr>
              <w:t>’</w:t>
            </w:r>
            <w:r w:rsidRPr="001F6424">
              <w:rPr>
                <w:b/>
                <w:sz w:val="16"/>
              </w:rPr>
              <w:t>exécution</w:t>
            </w:r>
          </w:p>
        </w:tc>
        <w:tc>
          <w:tcPr>
            <w:tcW w:w="682" w:type="pct"/>
            <w:tcBorders>
              <w:top w:val="single" w:sz="4" w:space="0" w:color="auto"/>
            </w:tcBorders>
            <w:shd w:val="clear" w:color="auto" w:fill="auto"/>
            <w:tcMar>
              <w:top w:w="110" w:type="dxa"/>
            </w:tcMar>
            <w:vAlign w:val="center"/>
          </w:tcPr>
          <w:p w:rsidR="0096696E" w:rsidRPr="001F6424" w:rsidRDefault="0096696E" w:rsidP="001A5BF9">
            <w:pPr>
              <w:keepNext/>
              <w:keepLines/>
              <w:jc w:val="center"/>
              <w:rPr>
                <w:rFonts w:cs="Arial"/>
                <w:b/>
                <w:bCs/>
                <w:sz w:val="16"/>
                <w:szCs w:val="16"/>
              </w:rPr>
            </w:pPr>
            <w:r w:rsidRPr="001F6424">
              <w:rPr>
                <w:b/>
                <w:sz w:val="16"/>
              </w:rPr>
              <w:t>Code de couleurs</w:t>
            </w:r>
          </w:p>
        </w:tc>
      </w:tr>
      <w:tr w:rsidR="0096696E" w:rsidRPr="005C7CCE" w:rsidTr="001F6424">
        <w:trPr>
          <w:cantSplit/>
        </w:trPr>
        <w:tc>
          <w:tcPr>
            <w:tcW w:w="1139" w:type="pct"/>
            <w:shd w:val="clear" w:color="auto" w:fill="FFFFFF"/>
          </w:tcPr>
          <w:p w:rsidR="0096696E" w:rsidRPr="001F6424" w:rsidRDefault="0096696E" w:rsidP="001A5BF9">
            <w:pPr>
              <w:rPr>
                <w:rFonts w:cs="Arial"/>
                <w:sz w:val="16"/>
                <w:szCs w:val="16"/>
              </w:rPr>
            </w:pPr>
            <w:r w:rsidRPr="001F6424">
              <w:rPr>
                <w:sz w:val="16"/>
              </w:rPr>
              <w:t>Durée moyenne du traitement des nouvelles demandes sans irrégularités (système de Madrid)</w:t>
            </w:r>
          </w:p>
        </w:tc>
        <w:tc>
          <w:tcPr>
            <w:tcW w:w="985" w:type="pct"/>
            <w:shd w:val="clear" w:color="auto" w:fill="auto"/>
          </w:tcPr>
          <w:p w:rsidR="00D42474" w:rsidRDefault="0096696E" w:rsidP="001A5BF9">
            <w:pPr>
              <w:rPr>
                <w:rFonts w:cs="Arial"/>
                <w:i/>
                <w:color w:val="002060"/>
                <w:sz w:val="16"/>
                <w:szCs w:val="16"/>
              </w:rPr>
            </w:pPr>
            <w:r w:rsidRPr="005C7CCE">
              <w:rPr>
                <w:i/>
                <w:color w:val="002060"/>
                <w:sz w:val="16"/>
                <w:szCs w:val="16"/>
              </w:rPr>
              <w:t>Niveau de référence actualisé fin 2011 :</w:t>
            </w:r>
          </w:p>
          <w:p w:rsidR="00D42474" w:rsidRDefault="0096696E" w:rsidP="001A5BF9">
            <w:pPr>
              <w:rPr>
                <w:rFonts w:cs="Arial"/>
                <w:sz w:val="16"/>
                <w:szCs w:val="16"/>
              </w:rPr>
            </w:pPr>
            <w:r w:rsidRPr="001F6424">
              <w:rPr>
                <w:sz w:val="16"/>
                <w:szCs w:val="16"/>
              </w:rPr>
              <w:t>25 jours (fin 2011)</w:t>
            </w:r>
          </w:p>
          <w:p w:rsidR="00D42474" w:rsidRDefault="00D42474" w:rsidP="001A5BF9">
            <w:pPr>
              <w:rPr>
                <w:rFonts w:cs="Arial"/>
                <w:i/>
                <w:sz w:val="16"/>
                <w:szCs w:val="16"/>
              </w:rPr>
            </w:pPr>
          </w:p>
          <w:p w:rsidR="00D42474" w:rsidRDefault="0096696E" w:rsidP="001A5BF9">
            <w:pPr>
              <w:rPr>
                <w:rFonts w:cs="Arial"/>
                <w:sz w:val="16"/>
                <w:szCs w:val="16"/>
              </w:rPr>
            </w:pPr>
            <w:r w:rsidRPr="005C7CCE">
              <w:rPr>
                <w:i/>
                <w:sz w:val="16"/>
                <w:szCs w:val="16"/>
              </w:rPr>
              <w:t>Niveau de référence initial :</w:t>
            </w:r>
          </w:p>
          <w:p w:rsidR="0096696E" w:rsidRPr="005C7CCE" w:rsidRDefault="0096696E" w:rsidP="001A5BF9">
            <w:pPr>
              <w:rPr>
                <w:rFonts w:cs="Arial"/>
                <w:sz w:val="16"/>
                <w:szCs w:val="16"/>
              </w:rPr>
            </w:pPr>
            <w:r w:rsidRPr="001F6424">
              <w:rPr>
                <w:sz w:val="16"/>
                <w:szCs w:val="16"/>
              </w:rPr>
              <w:t>24 jours (fin 2010)</w:t>
            </w:r>
          </w:p>
        </w:tc>
        <w:tc>
          <w:tcPr>
            <w:tcW w:w="837" w:type="pct"/>
            <w:shd w:val="clear" w:color="auto" w:fill="auto"/>
            <w:tcMar>
              <w:top w:w="110" w:type="dxa"/>
            </w:tcMar>
          </w:tcPr>
          <w:p w:rsidR="0096696E" w:rsidRPr="001F6424" w:rsidRDefault="0096696E" w:rsidP="001A5BF9">
            <w:pPr>
              <w:spacing w:after="120"/>
              <w:rPr>
                <w:rFonts w:cs="Arial"/>
                <w:sz w:val="16"/>
                <w:szCs w:val="16"/>
              </w:rPr>
            </w:pPr>
            <w:r w:rsidRPr="001F6424">
              <w:rPr>
                <w:sz w:val="16"/>
              </w:rPr>
              <w:t xml:space="preserve">20 jours </w:t>
            </w:r>
          </w:p>
        </w:tc>
        <w:tc>
          <w:tcPr>
            <w:tcW w:w="1357" w:type="pct"/>
            <w:shd w:val="clear" w:color="auto" w:fill="FFFFFF"/>
            <w:tcMar>
              <w:top w:w="110" w:type="dxa"/>
            </w:tcMar>
          </w:tcPr>
          <w:p w:rsidR="00D42474" w:rsidRDefault="0096696E" w:rsidP="001A5BF9">
            <w:pPr>
              <w:rPr>
                <w:rFonts w:cs="Arial"/>
                <w:sz w:val="16"/>
                <w:szCs w:val="16"/>
                <w:lang w:bidi="th-TH"/>
              </w:rPr>
            </w:pPr>
            <w:r w:rsidRPr="001F6424">
              <w:rPr>
                <w:sz w:val="16"/>
              </w:rPr>
              <w:t>34 jours ouvrés (2012)</w:t>
            </w:r>
          </w:p>
          <w:p w:rsidR="0096696E" w:rsidRPr="001F6424" w:rsidRDefault="0096696E" w:rsidP="001A5BF9">
            <w:pPr>
              <w:rPr>
                <w:rFonts w:cs="Arial"/>
                <w:sz w:val="16"/>
                <w:szCs w:val="16"/>
                <w:lang w:bidi="th-TH"/>
              </w:rPr>
            </w:pPr>
            <w:r w:rsidRPr="001F6424">
              <w:rPr>
                <w:sz w:val="16"/>
              </w:rPr>
              <w:t>24 jours ouvrés (2013)</w:t>
            </w:r>
          </w:p>
        </w:tc>
        <w:tc>
          <w:tcPr>
            <w:tcW w:w="682" w:type="pct"/>
            <w:shd w:val="clear" w:color="auto" w:fill="auto"/>
            <w:tcMar>
              <w:top w:w="110" w:type="dxa"/>
            </w:tcMar>
          </w:tcPr>
          <w:p w:rsidR="0096696E" w:rsidRPr="005C7CCE" w:rsidRDefault="0015421B" w:rsidP="001A5BF9">
            <w:pPr>
              <w:keepNext/>
              <w:keepLines/>
              <w:jc w:val="center"/>
              <w:rPr>
                <w:rFonts w:cs="Arial"/>
                <w:bCs/>
                <w:color w:val="008000"/>
                <w:sz w:val="16"/>
                <w:szCs w:val="16"/>
              </w:rPr>
            </w:pPr>
            <w:r w:rsidRPr="0015421B">
              <w:rPr>
                <w:rStyle w:val="Style5"/>
                <w:rFonts w:ascii="Arial" w:hAnsi="Arial"/>
                <w:color w:val="E36C0A"/>
                <w:sz w:val="16"/>
              </w:rPr>
              <w:t>Objectif partiellement atteint</w:t>
            </w:r>
            <w:r w:rsidR="0096696E" w:rsidRPr="005C7CCE">
              <w:rPr>
                <w:rStyle w:val="Style5"/>
                <w:rFonts w:ascii="Arial" w:hAnsi="Arial"/>
                <w:color w:val="008000"/>
                <w:sz w:val="16"/>
              </w:rPr>
              <w:t xml:space="preserve"> </w:t>
            </w:r>
          </w:p>
        </w:tc>
      </w:tr>
      <w:tr w:rsidR="0096696E" w:rsidRPr="005C7CCE" w:rsidTr="001F6424">
        <w:trPr>
          <w:cantSplit/>
        </w:trPr>
        <w:tc>
          <w:tcPr>
            <w:tcW w:w="1139" w:type="pct"/>
            <w:shd w:val="clear" w:color="auto" w:fill="auto"/>
          </w:tcPr>
          <w:p w:rsidR="0096696E" w:rsidRPr="001F6424" w:rsidRDefault="0096696E" w:rsidP="001A5BF9">
            <w:pPr>
              <w:rPr>
                <w:rFonts w:cs="Arial"/>
                <w:sz w:val="16"/>
                <w:szCs w:val="16"/>
              </w:rPr>
            </w:pPr>
            <w:r w:rsidRPr="001F6424">
              <w:rPr>
                <w:sz w:val="16"/>
              </w:rPr>
              <w:t>Nombre d</w:t>
            </w:r>
            <w:r w:rsidR="00A20444" w:rsidRPr="001F6424">
              <w:rPr>
                <w:sz w:val="16"/>
              </w:rPr>
              <w:t>’</w:t>
            </w:r>
            <w:r w:rsidRPr="001F6424">
              <w:rPr>
                <w:sz w:val="16"/>
              </w:rPr>
              <w:t xml:space="preserve">offices envoyant les demandes au format </w:t>
            </w:r>
            <w:proofErr w:type="spellStart"/>
            <w:r w:rsidRPr="001F6424">
              <w:rPr>
                <w:sz w:val="16"/>
              </w:rPr>
              <w:t>XLM</w:t>
            </w:r>
            <w:proofErr w:type="spellEnd"/>
            <w:r w:rsidRPr="001F6424">
              <w:rPr>
                <w:sz w:val="16"/>
              </w:rPr>
              <w:t xml:space="preserve"> et recevant les désignations au format </w:t>
            </w:r>
            <w:proofErr w:type="spellStart"/>
            <w:r w:rsidRPr="001F6424">
              <w:rPr>
                <w:sz w:val="16"/>
              </w:rPr>
              <w:t>XLM</w:t>
            </w:r>
            <w:proofErr w:type="spellEnd"/>
            <w:r w:rsidRPr="001F6424">
              <w:rPr>
                <w:sz w:val="16"/>
              </w:rPr>
              <w:t xml:space="preserve"> (système de Madrid)</w:t>
            </w:r>
          </w:p>
        </w:tc>
        <w:tc>
          <w:tcPr>
            <w:tcW w:w="985" w:type="pct"/>
            <w:shd w:val="clear" w:color="auto" w:fill="auto"/>
          </w:tcPr>
          <w:p w:rsidR="0096696E" w:rsidRPr="001F6424" w:rsidRDefault="0096696E" w:rsidP="001A5BF9">
            <w:pPr>
              <w:rPr>
                <w:rFonts w:cs="Arial"/>
                <w:sz w:val="16"/>
                <w:szCs w:val="16"/>
              </w:rPr>
            </w:pPr>
            <w:r w:rsidRPr="001F6424">
              <w:rPr>
                <w:sz w:val="16"/>
              </w:rPr>
              <w:t>Cinq offices</w:t>
            </w:r>
          </w:p>
        </w:tc>
        <w:tc>
          <w:tcPr>
            <w:tcW w:w="837" w:type="pct"/>
            <w:shd w:val="clear" w:color="auto" w:fill="auto"/>
            <w:tcMar>
              <w:top w:w="110" w:type="dxa"/>
            </w:tcMar>
          </w:tcPr>
          <w:p w:rsidR="0096696E" w:rsidRPr="001F6424" w:rsidRDefault="0096696E" w:rsidP="001A5BF9">
            <w:pPr>
              <w:rPr>
                <w:rFonts w:cs="Arial"/>
                <w:sz w:val="16"/>
                <w:szCs w:val="16"/>
                <w:lang w:bidi="th-TH"/>
              </w:rPr>
            </w:pPr>
            <w:r w:rsidRPr="001F6424">
              <w:rPr>
                <w:sz w:val="16"/>
              </w:rPr>
              <w:t xml:space="preserve">Huit offices </w:t>
            </w:r>
          </w:p>
        </w:tc>
        <w:tc>
          <w:tcPr>
            <w:tcW w:w="1357" w:type="pct"/>
            <w:shd w:val="clear" w:color="auto" w:fill="FFFFFF"/>
            <w:tcMar>
              <w:top w:w="110" w:type="dxa"/>
            </w:tcMar>
          </w:tcPr>
          <w:p w:rsidR="00D42474" w:rsidRDefault="0096696E" w:rsidP="001A5BF9">
            <w:pPr>
              <w:rPr>
                <w:rFonts w:cs="Arial"/>
                <w:sz w:val="16"/>
                <w:szCs w:val="16"/>
                <w:lang w:bidi="th-TH"/>
              </w:rPr>
            </w:pPr>
            <w:r w:rsidRPr="001F6424">
              <w:rPr>
                <w:sz w:val="16"/>
              </w:rPr>
              <w:t>10 offices (2012)</w:t>
            </w:r>
          </w:p>
          <w:p w:rsidR="0096696E" w:rsidRPr="001F6424" w:rsidRDefault="0096696E" w:rsidP="001A5BF9">
            <w:pPr>
              <w:rPr>
                <w:rFonts w:cs="Arial"/>
                <w:sz w:val="16"/>
                <w:szCs w:val="16"/>
                <w:lang w:bidi="th-TH"/>
              </w:rPr>
            </w:pPr>
            <w:r w:rsidRPr="001F6424">
              <w:rPr>
                <w:sz w:val="16"/>
              </w:rPr>
              <w:t>16 offices (2013)</w:t>
            </w:r>
          </w:p>
        </w:tc>
        <w:tc>
          <w:tcPr>
            <w:tcW w:w="682" w:type="pct"/>
            <w:shd w:val="clear" w:color="auto" w:fill="auto"/>
          </w:tcPr>
          <w:p w:rsidR="0096696E" w:rsidRPr="005C7CCE"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96696E" w:rsidRPr="005C7CCE" w:rsidTr="001F6424">
        <w:trPr>
          <w:cantSplit/>
        </w:trPr>
        <w:tc>
          <w:tcPr>
            <w:tcW w:w="1139" w:type="pct"/>
            <w:shd w:val="clear" w:color="auto" w:fill="FFFFFF"/>
          </w:tcPr>
          <w:p w:rsidR="0096696E" w:rsidRPr="001F6424" w:rsidRDefault="0096696E" w:rsidP="001A5BF9">
            <w:pPr>
              <w:rPr>
                <w:rFonts w:cs="Arial"/>
                <w:sz w:val="16"/>
                <w:szCs w:val="16"/>
              </w:rPr>
            </w:pPr>
            <w:r w:rsidRPr="001F6424">
              <w:rPr>
                <w:sz w:val="16"/>
              </w:rPr>
              <w:t>Pourcentage de documents reçus par voie électronique (système de Madrid)</w:t>
            </w:r>
          </w:p>
        </w:tc>
        <w:tc>
          <w:tcPr>
            <w:tcW w:w="985" w:type="pct"/>
            <w:shd w:val="clear" w:color="auto" w:fill="auto"/>
          </w:tcPr>
          <w:p w:rsidR="0096696E" w:rsidRPr="001F6424" w:rsidRDefault="0096696E" w:rsidP="001A5BF9">
            <w:pPr>
              <w:rPr>
                <w:rFonts w:cs="Arial"/>
                <w:sz w:val="16"/>
                <w:szCs w:val="16"/>
              </w:rPr>
            </w:pPr>
            <w:r w:rsidRPr="001F6424">
              <w:rPr>
                <w:sz w:val="16"/>
              </w:rPr>
              <w:t>46</w:t>
            </w:r>
            <w:r w:rsidR="007E442D" w:rsidRPr="001F6424">
              <w:rPr>
                <w:sz w:val="16"/>
              </w:rPr>
              <w:t>%</w:t>
            </w:r>
          </w:p>
        </w:tc>
        <w:tc>
          <w:tcPr>
            <w:tcW w:w="837" w:type="pct"/>
            <w:shd w:val="clear" w:color="auto" w:fill="auto"/>
            <w:tcMar>
              <w:top w:w="110" w:type="dxa"/>
            </w:tcMar>
          </w:tcPr>
          <w:p w:rsidR="0096696E" w:rsidRPr="001F6424" w:rsidRDefault="0096696E" w:rsidP="001A5BF9">
            <w:pPr>
              <w:rPr>
                <w:rFonts w:cs="Arial"/>
                <w:sz w:val="16"/>
                <w:szCs w:val="16"/>
              </w:rPr>
            </w:pPr>
            <w:r w:rsidRPr="001F6424">
              <w:rPr>
                <w:sz w:val="16"/>
              </w:rPr>
              <w:t>60</w:t>
            </w:r>
            <w:r w:rsidR="007E442D" w:rsidRPr="001F6424">
              <w:rPr>
                <w:sz w:val="16"/>
              </w:rPr>
              <w:t>%</w:t>
            </w:r>
          </w:p>
        </w:tc>
        <w:tc>
          <w:tcPr>
            <w:tcW w:w="1357" w:type="pct"/>
            <w:shd w:val="clear" w:color="auto" w:fill="FFFFFF"/>
            <w:tcMar>
              <w:top w:w="110" w:type="dxa"/>
            </w:tcMar>
          </w:tcPr>
          <w:p w:rsidR="00D42474" w:rsidRDefault="0096696E" w:rsidP="001A5BF9">
            <w:pPr>
              <w:rPr>
                <w:rFonts w:cs="Arial"/>
                <w:sz w:val="16"/>
                <w:szCs w:val="16"/>
                <w:lang w:bidi="th-TH"/>
              </w:rPr>
            </w:pPr>
            <w:r w:rsidRPr="001F6424">
              <w:rPr>
                <w:sz w:val="16"/>
              </w:rPr>
              <w:t>65</w:t>
            </w:r>
            <w:r w:rsidR="007E442D" w:rsidRPr="001F6424">
              <w:rPr>
                <w:sz w:val="16"/>
              </w:rPr>
              <w:t>%</w:t>
            </w:r>
            <w:r w:rsidRPr="001F6424">
              <w:rPr>
                <w:sz w:val="16"/>
              </w:rPr>
              <w:t xml:space="preserve"> (2012)</w:t>
            </w:r>
          </w:p>
          <w:p w:rsidR="0096696E" w:rsidRPr="001F6424" w:rsidRDefault="0096696E" w:rsidP="001A5BF9">
            <w:pPr>
              <w:rPr>
                <w:rFonts w:cs="Arial"/>
                <w:sz w:val="16"/>
                <w:szCs w:val="16"/>
                <w:lang w:bidi="th-TH"/>
              </w:rPr>
            </w:pPr>
            <w:r w:rsidRPr="001F6424">
              <w:rPr>
                <w:sz w:val="16"/>
              </w:rPr>
              <w:t>67</w:t>
            </w:r>
            <w:r w:rsidR="007E442D" w:rsidRPr="001F6424">
              <w:rPr>
                <w:sz w:val="16"/>
              </w:rPr>
              <w:t>%</w:t>
            </w:r>
            <w:r w:rsidRPr="001F6424">
              <w:rPr>
                <w:sz w:val="16"/>
              </w:rPr>
              <w:t xml:space="preserve"> (2013)</w:t>
            </w:r>
          </w:p>
        </w:tc>
        <w:tc>
          <w:tcPr>
            <w:tcW w:w="682" w:type="pct"/>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96696E" w:rsidRPr="005C7CCE" w:rsidTr="001F6424">
        <w:trPr>
          <w:cantSplit/>
        </w:trPr>
        <w:tc>
          <w:tcPr>
            <w:tcW w:w="1139" w:type="pct"/>
            <w:shd w:val="clear" w:color="auto" w:fill="auto"/>
          </w:tcPr>
          <w:p w:rsidR="0096696E" w:rsidRPr="001F6424" w:rsidRDefault="0096696E" w:rsidP="001A5BF9">
            <w:pPr>
              <w:rPr>
                <w:rFonts w:cs="Arial"/>
                <w:sz w:val="16"/>
                <w:szCs w:val="16"/>
              </w:rPr>
            </w:pPr>
            <w:r w:rsidRPr="001F6424">
              <w:rPr>
                <w:sz w:val="16"/>
              </w:rPr>
              <w:t>Nombre de clients recevant des notifications par courrier électronique (système de Madrid)</w:t>
            </w:r>
          </w:p>
        </w:tc>
        <w:tc>
          <w:tcPr>
            <w:tcW w:w="985" w:type="pct"/>
            <w:shd w:val="clear" w:color="auto" w:fill="auto"/>
          </w:tcPr>
          <w:p w:rsidR="0096696E" w:rsidRPr="001F6424" w:rsidRDefault="0096696E" w:rsidP="001A5BF9">
            <w:pPr>
              <w:rPr>
                <w:rFonts w:cs="Arial"/>
                <w:sz w:val="16"/>
                <w:szCs w:val="16"/>
              </w:rPr>
            </w:pPr>
            <w:r w:rsidRPr="001F6424">
              <w:rPr>
                <w:sz w:val="16"/>
              </w:rPr>
              <w:t>23</w:t>
            </w:r>
            <w:r w:rsidR="0010442A" w:rsidRPr="001F6424">
              <w:rPr>
                <w:sz w:val="16"/>
              </w:rPr>
              <w:t> </w:t>
            </w:r>
            <w:r w:rsidRPr="001F6424">
              <w:rPr>
                <w:sz w:val="16"/>
              </w:rPr>
              <w:t>800</w:t>
            </w:r>
          </w:p>
        </w:tc>
        <w:tc>
          <w:tcPr>
            <w:tcW w:w="837" w:type="pct"/>
            <w:shd w:val="clear" w:color="auto" w:fill="auto"/>
            <w:tcMar>
              <w:top w:w="110" w:type="dxa"/>
            </w:tcMar>
          </w:tcPr>
          <w:p w:rsidR="0096696E" w:rsidRPr="001F6424" w:rsidRDefault="0096696E" w:rsidP="001A5BF9">
            <w:pPr>
              <w:rPr>
                <w:rFonts w:cs="Arial"/>
                <w:sz w:val="16"/>
                <w:szCs w:val="16"/>
                <w:lang w:bidi="th-TH"/>
              </w:rPr>
            </w:pPr>
            <w:r w:rsidRPr="001F6424">
              <w:rPr>
                <w:sz w:val="16"/>
              </w:rPr>
              <w:t>26</w:t>
            </w:r>
            <w:r w:rsidR="0010442A" w:rsidRPr="001F6424">
              <w:rPr>
                <w:sz w:val="16"/>
              </w:rPr>
              <w:t> </w:t>
            </w:r>
            <w:r w:rsidRPr="001F6424">
              <w:rPr>
                <w:sz w:val="16"/>
              </w:rPr>
              <w:t>000</w:t>
            </w:r>
          </w:p>
        </w:tc>
        <w:tc>
          <w:tcPr>
            <w:tcW w:w="1357" w:type="pct"/>
            <w:shd w:val="clear" w:color="auto" w:fill="FFFFFF"/>
            <w:tcMar>
              <w:top w:w="110" w:type="dxa"/>
            </w:tcMar>
          </w:tcPr>
          <w:p w:rsidR="00D42474" w:rsidRDefault="0096696E" w:rsidP="001A5BF9">
            <w:pPr>
              <w:rPr>
                <w:sz w:val="16"/>
              </w:rPr>
            </w:pPr>
            <w:r w:rsidRPr="001F6424">
              <w:rPr>
                <w:sz w:val="16"/>
              </w:rPr>
              <w:t>Nombre de marques ayant souscrit aux notifications par courrier électronique :</w:t>
            </w:r>
          </w:p>
          <w:p w:rsidR="00D42474" w:rsidRDefault="0096696E" w:rsidP="001A5BF9">
            <w:pPr>
              <w:rPr>
                <w:sz w:val="16"/>
              </w:rPr>
            </w:pPr>
            <w:r w:rsidRPr="001F6424">
              <w:rPr>
                <w:sz w:val="16"/>
              </w:rPr>
              <w:t>50 000 (2012);</w:t>
            </w:r>
          </w:p>
          <w:p w:rsidR="0096696E" w:rsidRPr="001F6424" w:rsidRDefault="0096696E" w:rsidP="001A5BF9">
            <w:pPr>
              <w:rPr>
                <w:rFonts w:cs="Arial"/>
                <w:sz w:val="16"/>
                <w:szCs w:val="16"/>
                <w:lang w:bidi="th-TH"/>
              </w:rPr>
            </w:pPr>
            <w:r w:rsidRPr="001F6424">
              <w:rPr>
                <w:sz w:val="16"/>
              </w:rPr>
              <w:t>158 717 (2013)</w:t>
            </w:r>
          </w:p>
        </w:tc>
        <w:tc>
          <w:tcPr>
            <w:tcW w:w="682" w:type="pct"/>
            <w:shd w:val="clear" w:color="auto" w:fill="auto"/>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1F6424">
        <w:trPr>
          <w:cantSplit/>
        </w:trPr>
        <w:tc>
          <w:tcPr>
            <w:tcW w:w="1139" w:type="pct"/>
            <w:shd w:val="clear" w:color="auto" w:fill="auto"/>
          </w:tcPr>
          <w:p w:rsidR="0096696E" w:rsidRPr="001F6424" w:rsidRDefault="0096696E" w:rsidP="001A5BF9">
            <w:pPr>
              <w:rPr>
                <w:rFonts w:cs="Arial"/>
                <w:sz w:val="16"/>
                <w:szCs w:val="16"/>
              </w:rPr>
            </w:pPr>
            <w:r w:rsidRPr="001F6424">
              <w:rPr>
                <w:sz w:val="16"/>
              </w:rPr>
              <w:t>Nombre de clients utilisant le Madrid Portfolio Manager (système de Madrid)</w:t>
            </w:r>
          </w:p>
        </w:tc>
        <w:tc>
          <w:tcPr>
            <w:tcW w:w="985" w:type="pct"/>
            <w:shd w:val="clear" w:color="auto" w:fill="auto"/>
          </w:tcPr>
          <w:p w:rsidR="0096696E" w:rsidRPr="005C7CCE" w:rsidRDefault="0096696E" w:rsidP="001A5BF9">
            <w:pPr>
              <w:rPr>
                <w:rFonts w:cs="Arial"/>
                <w:sz w:val="16"/>
                <w:szCs w:val="16"/>
              </w:rPr>
            </w:pPr>
            <w:r w:rsidRPr="005C7CCE">
              <w:rPr>
                <w:sz w:val="16"/>
              </w:rPr>
              <w:t>zéro</w:t>
            </w:r>
          </w:p>
        </w:tc>
        <w:tc>
          <w:tcPr>
            <w:tcW w:w="837" w:type="pct"/>
            <w:shd w:val="clear" w:color="auto" w:fill="auto"/>
            <w:tcMar>
              <w:top w:w="110" w:type="dxa"/>
            </w:tcMar>
          </w:tcPr>
          <w:p w:rsidR="0096696E" w:rsidRPr="001F6424" w:rsidRDefault="0096696E" w:rsidP="001A5BF9">
            <w:pPr>
              <w:rPr>
                <w:rFonts w:cs="Arial"/>
                <w:sz w:val="16"/>
                <w:szCs w:val="16"/>
              </w:rPr>
            </w:pPr>
            <w:r w:rsidRPr="001F6424">
              <w:rPr>
                <w:sz w:val="16"/>
              </w:rPr>
              <w:t>400</w:t>
            </w:r>
          </w:p>
        </w:tc>
        <w:tc>
          <w:tcPr>
            <w:tcW w:w="1357" w:type="pct"/>
            <w:shd w:val="clear" w:color="auto" w:fill="FFFFFF"/>
            <w:tcMar>
              <w:top w:w="110" w:type="dxa"/>
            </w:tcMar>
          </w:tcPr>
          <w:p w:rsidR="00D42474" w:rsidRDefault="0096696E" w:rsidP="001A5BF9">
            <w:pPr>
              <w:rPr>
                <w:rFonts w:cs="Arial"/>
                <w:sz w:val="16"/>
                <w:szCs w:val="16"/>
                <w:lang w:bidi="th-TH"/>
              </w:rPr>
            </w:pPr>
            <w:r w:rsidRPr="001F6424">
              <w:rPr>
                <w:sz w:val="16"/>
              </w:rPr>
              <w:t>400 (2012)</w:t>
            </w:r>
          </w:p>
          <w:p w:rsidR="0096696E" w:rsidRPr="001F6424" w:rsidRDefault="0096696E" w:rsidP="001A5BF9">
            <w:pPr>
              <w:rPr>
                <w:rFonts w:cs="Arial"/>
                <w:sz w:val="16"/>
                <w:szCs w:val="16"/>
                <w:lang w:bidi="th-TH"/>
              </w:rPr>
            </w:pPr>
            <w:r w:rsidRPr="001F6424">
              <w:rPr>
                <w:sz w:val="16"/>
              </w:rPr>
              <w:t>714 (2013)</w:t>
            </w:r>
          </w:p>
        </w:tc>
        <w:tc>
          <w:tcPr>
            <w:tcW w:w="682" w:type="pct"/>
            <w:shd w:val="clear" w:color="auto" w:fill="auto"/>
            <w:tcMar>
              <w:top w:w="110" w:type="dxa"/>
            </w:tcMar>
            <w:vAlign w:val="center"/>
          </w:tcPr>
          <w:p w:rsidR="0096696E" w:rsidRPr="005C7CCE" w:rsidRDefault="0096696E" w:rsidP="001A5BF9">
            <w:pPr>
              <w:keepNext/>
              <w:keepLines/>
              <w:spacing w:after="120"/>
              <w:jc w:val="center"/>
              <w:rPr>
                <w:rFonts w:cs="Arial"/>
                <w:bCs/>
                <w:color w:val="008000"/>
                <w:sz w:val="16"/>
                <w:szCs w:val="16"/>
              </w:rPr>
            </w:pPr>
            <w:r w:rsidRPr="00B470C6">
              <w:rPr>
                <w:color w:val="008000"/>
                <w:sz w:val="16"/>
              </w:rPr>
              <w:t>Objectif pleinement atteint</w:t>
            </w:r>
          </w:p>
        </w:tc>
      </w:tr>
      <w:tr w:rsidR="0096696E" w:rsidRPr="005C7CCE" w:rsidTr="001F6424">
        <w:trPr>
          <w:cantSplit/>
        </w:trPr>
        <w:tc>
          <w:tcPr>
            <w:tcW w:w="1139" w:type="pct"/>
            <w:shd w:val="clear" w:color="auto" w:fill="auto"/>
          </w:tcPr>
          <w:p w:rsidR="0096696E" w:rsidRPr="001F6424" w:rsidRDefault="0096696E" w:rsidP="001A5BF9">
            <w:pPr>
              <w:rPr>
                <w:rFonts w:cs="Arial"/>
                <w:sz w:val="16"/>
                <w:szCs w:val="16"/>
              </w:rPr>
            </w:pPr>
            <w:r w:rsidRPr="001F6424">
              <w:rPr>
                <w:sz w:val="16"/>
              </w:rPr>
              <w:t xml:space="preserve">Nombre de procédures entièrement automatisées (système de Madrid) </w:t>
            </w:r>
          </w:p>
        </w:tc>
        <w:tc>
          <w:tcPr>
            <w:tcW w:w="985" w:type="pct"/>
            <w:shd w:val="clear" w:color="auto" w:fill="auto"/>
          </w:tcPr>
          <w:p w:rsidR="00D42474" w:rsidRDefault="0096696E" w:rsidP="001A5BF9">
            <w:pPr>
              <w:rPr>
                <w:rFonts w:cs="Arial"/>
                <w:i/>
                <w:color w:val="002060"/>
                <w:sz w:val="16"/>
                <w:szCs w:val="16"/>
              </w:rPr>
            </w:pPr>
            <w:r w:rsidRPr="005C7CCE">
              <w:rPr>
                <w:i/>
                <w:color w:val="002060"/>
                <w:sz w:val="16"/>
              </w:rPr>
              <w:t xml:space="preserve">Niveau de référence actualisé fin 2011 : </w:t>
            </w:r>
            <w:r w:rsidR="001F6424">
              <w:rPr>
                <w:color w:val="002060"/>
                <w:sz w:val="16"/>
              </w:rPr>
              <w:t>d</w:t>
            </w:r>
            <w:r w:rsidRPr="005C7CCE">
              <w:rPr>
                <w:color w:val="002060"/>
                <w:sz w:val="16"/>
              </w:rPr>
              <w:t>écisions par bureau : 53</w:t>
            </w:r>
            <w:r w:rsidR="007E442D" w:rsidRPr="005C7CCE">
              <w:rPr>
                <w:color w:val="002060"/>
                <w:sz w:val="16"/>
              </w:rPr>
              <w:t>%</w:t>
            </w:r>
            <w:r w:rsidRPr="005C7CCE">
              <w:rPr>
                <w:color w:val="002060"/>
                <w:sz w:val="16"/>
              </w:rPr>
              <w:t xml:space="preserve"> automatisées (2011)</w:t>
            </w:r>
          </w:p>
          <w:p w:rsidR="00D42474" w:rsidRDefault="00D42474" w:rsidP="001A5BF9">
            <w:pPr>
              <w:rPr>
                <w:rFonts w:cs="Arial"/>
                <w:i/>
                <w:sz w:val="8"/>
                <w:szCs w:val="8"/>
              </w:rPr>
            </w:pPr>
          </w:p>
          <w:p w:rsidR="00D42474" w:rsidRDefault="0096696E" w:rsidP="001A5BF9">
            <w:pPr>
              <w:rPr>
                <w:rFonts w:cs="Arial"/>
                <w:sz w:val="16"/>
                <w:szCs w:val="16"/>
              </w:rPr>
            </w:pPr>
            <w:r w:rsidRPr="005C7CCE">
              <w:rPr>
                <w:i/>
                <w:sz w:val="16"/>
              </w:rPr>
              <w:t>Niveau de référence initial :</w:t>
            </w:r>
          </w:p>
          <w:p w:rsidR="0096696E" w:rsidRPr="005C7CCE" w:rsidRDefault="001F6424" w:rsidP="001A5BF9">
            <w:pPr>
              <w:rPr>
                <w:rFonts w:cs="Arial"/>
                <w:sz w:val="16"/>
                <w:szCs w:val="16"/>
              </w:rPr>
            </w:pPr>
            <w:r>
              <w:rPr>
                <w:sz w:val="16"/>
              </w:rPr>
              <w:t>r</w:t>
            </w:r>
            <w:r w:rsidR="0096696E" w:rsidRPr="001F6424">
              <w:rPr>
                <w:sz w:val="16"/>
              </w:rPr>
              <w:t>efus provisoires, renouvellements, traduction automatique (décision finale, octroi de la protection)</w:t>
            </w:r>
          </w:p>
        </w:tc>
        <w:tc>
          <w:tcPr>
            <w:tcW w:w="837" w:type="pct"/>
            <w:shd w:val="clear" w:color="auto" w:fill="auto"/>
            <w:tcMar>
              <w:top w:w="110" w:type="dxa"/>
            </w:tcMar>
          </w:tcPr>
          <w:p w:rsidR="0096696E" w:rsidRPr="001F6424" w:rsidRDefault="0096696E" w:rsidP="001A5BF9">
            <w:pPr>
              <w:rPr>
                <w:rFonts w:cs="Arial"/>
                <w:sz w:val="16"/>
                <w:szCs w:val="16"/>
              </w:rPr>
            </w:pPr>
            <w:r w:rsidRPr="001F6424">
              <w:rPr>
                <w:sz w:val="16"/>
              </w:rPr>
              <w:t>Refus provisoires, renouvellements, traduction automatique (décision finale, octroi de la protection), limitations, désignations postérieures</w:t>
            </w:r>
          </w:p>
        </w:tc>
        <w:tc>
          <w:tcPr>
            <w:tcW w:w="1357" w:type="pct"/>
            <w:shd w:val="clear" w:color="auto" w:fill="FFFFFF"/>
            <w:tcMar>
              <w:top w:w="110" w:type="dxa"/>
            </w:tcMar>
          </w:tcPr>
          <w:p w:rsidR="00D42474" w:rsidRDefault="0096696E" w:rsidP="001A5BF9">
            <w:pPr>
              <w:rPr>
                <w:sz w:val="16"/>
              </w:rPr>
            </w:pPr>
            <w:r w:rsidRPr="005C7CCE">
              <w:rPr>
                <w:sz w:val="16"/>
              </w:rPr>
              <w:t>Décisions par bureau :</w:t>
            </w:r>
          </w:p>
          <w:p w:rsidR="00D42474" w:rsidRDefault="0096696E" w:rsidP="001A5BF9">
            <w:pPr>
              <w:rPr>
                <w:sz w:val="16"/>
              </w:rPr>
            </w:pPr>
            <w:r w:rsidRPr="005C7CCE">
              <w:rPr>
                <w:sz w:val="16"/>
              </w:rPr>
              <w:t>2012 : 55</w:t>
            </w:r>
            <w:r w:rsidR="007E442D" w:rsidRPr="005C7CCE">
              <w:rPr>
                <w:sz w:val="16"/>
              </w:rPr>
              <w:t>%</w:t>
            </w:r>
            <w:r w:rsidRPr="005C7CCE">
              <w:rPr>
                <w:rStyle w:val="FootnoteReference"/>
                <w:sz w:val="16"/>
              </w:rPr>
              <w:footnoteReference w:id="11"/>
            </w:r>
            <w:r w:rsidRPr="005C7CCE">
              <w:rPr>
                <w:sz w:val="16"/>
              </w:rPr>
              <w:t xml:space="preserve"> des transactions traitées par le biais de processus entièrement automatisés (2012);</w:t>
            </w:r>
          </w:p>
          <w:p w:rsidR="00D42474" w:rsidRDefault="0096696E" w:rsidP="001A5BF9">
            <w:pPr>
              <w:rPr>
                <w:sz w:val="16"/>
              </w:rPr>
            </w:pPr>
            <w:r w:rsidRPr="005C7CCE">
              <w:rPr>
                <w:sz w:val="16"/>
              </w:rPr>
              <w:t>2013 : 61</w:t>
            </w:r>
            <w:r w:rsidR="007E442D" w:rsidRPr="005C7CCE">
              <w:rPr>
                <w:sz w:val="16"/>
              </w:rPr>
              <w:t>%</w:t>
            </w:r>
            <w:r w:rsidRPr="005C7CCE">
              <w:rPr>
                <w:sz w:val="16"/>
              </w:rPr>
              <w:t xml:space="preserve"> des transactions traitées par le biais de processus entièrement automatisés.</w:t>
            </w:r>
          </w:p>
          <w:p w:rsidR="00D42474" w:rsidRDefault="00D42474" w:rsidP="001A5BF9">
            <w:pPr>
              <w:rPr>
                <w:rFonts w:cs="Arial"/>
                <w:sz w:val="16"/>
                <w:szCs w:val="16"/>
                <w:lang w:bidi="th-TH"/>
              </w:rPr>
            </w:pPr>
          </w:p>
          <w:p w:rsidR="0096696E" w:rsidRPr="005C7CCE" w:rsidRDefault="0096696E" w:rsidP="001A5BF9">
            <w:pPr>
              <w:rPr>
                <w:rFonts w:cs="Arial"/>
                <w:sz w:val="16"/>
                <w:szCs w:val="16"/>
              </w:rPr>
            </w:pPr>
            <w:r w:rsidRPr="005C7CCE">
              <w:rPr>
                <w:sz w:val="16"/>
              </w:rPr>
              <w:t>Renouvellements : 54</w:t>
            </w:r>
            <w:r w:rsidR="007E442D" w:rsidRPr="005C7CCE">
              <w:rPr>
                <w:sz w:val="16"/>
              </w:rPr>
              <w:t>%</w:t>
            </w:r>
            <w:r w:rsidRPr="005C7CCE">
              <w:rPr>
                <w:sz w:val="16"/>
              </w:rPr>
              <w:t xml:space="preserve"> des transactions traitées par le biais de processus entièrement automatisés (2012);</w:t>
            </w:r>
            <w:r w:rsidR="004F3E42" w:rsidRPr="005C7CCE">
              <w:rPr>
                <w:sz w:val="16"/>
              </w:rPr>
              <w:t xml:space="preserve"> </w:t>
            </w:r>
            <w:r w:rsidR="0010442A" w:rsidRPr="005C7CCE">
              <w:rPr>
                <w:sz w:val="16"/>
              </w:rPr>
              <w:t xml:space="preserve"> </w:t>
            </w:r>
            <w:r w:rsidRPr="005C7CCE">
              <w:rPr>
                <w:sz w:val="16"/>
              </w:rPr>
              <w:t>59</w:t>
            </w:r>
            <w:r w:rsidR="007E442D" w:rsidRPr="005C7CCE">
              <w:rPr>
                <w:sz w:val="16"/>
              </w:rPr>
              <w:t>%</w:t>
            </w:r>
            <w:r w:rsidRPr="005C7CCE">
              <w:rPr>
                <w:sz w:val="16"/>
              </w:rPr>
              <w:t xml:space="preserve"> des transactions traitées par le biais de processus entièrement automatisés (2013).</w:t>
            </w:r>
          </w:p>
        </w:tc>
        <w:tc>
          <w:tcPr>
            <w:tcW w:w="682" w:type="pct"/>
            <w:shd w:val="clear" w:color="auto" w:fill="auto"/>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1F6424">
        <w:trPr>
          <w:cantSplit/>
        </w:trPr>
        <w:tc>
          <w:tcPr>
            <w:tcW w:w="1139" w:type="pct"/>
            <w:shd w:val="clear" w:color="auto" w:fill="FFFFFF"/>
          </w:tcPr>
          <w:p w:rsidR="0096696E" w:rsidRPr="001F6424" w:rsidRDefault="0096696E" w:rsidP="001A5BF9">
            <w:pPr>
              <w:keepNext/>
              <w:keepLines/>
              <w:rPr>
                <w:rFonts w:cs="Arial"/>
                <w:sz w:val="16"/>
                <w:szCs w:val="16"/>
              </w:rPr>
            </w:pPr>
            <w:r w:rsidRPr="001F6424">
              <w:rPr>
                <w:sz w:val="16"/>
              </w:rPr>
              <w:t>Pourcentage de corrections inscrites par rapport au total des opérations inscrites (à l</w:t>
            </w:r>
            <w:r w:rsidR="00A20444" w:rsidRPr="001F6424">
              <w:rPr>
                <w:sz w:val="16"/>
              </w:rPr>
              <w:t>’</w:t>
            </w:r>
            <w:r w:rsidRPr="001F6424">
              <w:rPr>
                <w:sz w:val="16"/>
              </w:rPr>
              <w:t>exception des refus et des décisions finales) (système de Madrid)</w:t>
            </w:r>
          </w:p>
        </w:tc>
        <w:tc>
          <w:tcPr>
            <w:tcW w:w="985" w:type="pct"/>
            <w:shd w:val="clear" w:color="auto" w:fill="auto"/>
          </w:tcPr>
          <w:p w:rsidR="00D42474" w:rsidRDefault="0096696E" w:rsidP="001A5BF9">
            <w:pPr>
              <w:rPr>
                <w:rFonts w:cs="Arial"/>
                <w:i/>
                <w:color w:val="002060"/>
                <w:sz w:val="16"/>
                <w:szCs w:val="16"/>
              </w:rPr>
            </w:pPr>
            <w:r w:rsidRPr="005C7CCE">
              <w:rPr>
                <w:i/>
                <w:color w:val="002060"/>
                <w:sz w:val="16"/>
              </w:rPr>
              <w:t>Niveau de référence actualisé fin 2011 :</w:t>
            </w:r>
          </w:p>
          <w:p w:rsidR="00D42474" w:rsidRDefault="0096696E" w:rsidP="001A5BF9">
            <w:pPr>
              <w:rPr>
                <w:rFonts w:cs="Arial"/>
                <w:color w:val="002060"/>
                <w:sz w:val="16"/>
                <w:szCs w:val="16"/>
              </w:rPr>
            </w:pPr>
            <w:r w:rsidRPr="005C7CCE">
              <w:rPr>
                <w:color w:val="002060"/>
                <w:sz w:val="16"/>
              </w:rPr>
              <w:t>4,7</w:t>
            </w:r>
            <w:r w:rsidR="007E442D" w:rsidRPr="005C7CCE">
              <w:rPr>
                <w:color w:val="002060"/>
                <w:sz w:val="16"/>
              </w:rPr>
              <w:t>%</w:t>
            </w:r>
            <w:r w:rsidRPr="005C7CCE">
              <w:rPr>
                <w:color w:val="002060"/>
                <w:sz w:val="16"/>
              </w:rPr>
              <w:t xml:space="preserve"> (2011)</w:t>
            </w:r>
          </w:p>
          <w:p w:rsidR="00D42474" w:rsidRDefault="00D42474" w:rsidP="001A5BF9">
            <w:pPr>
              <w:rPr>
                <w:rFonts w:cs="Arial"/>
                <w:i/>
                <w:color w:val="002060"/>
                <w:sz w:val="8"/>
                <w:szCs w:val="8"/>
              </w:rPr>
            </w:pPr>
          </w:p>
          <w:p w:rsidR="00D42474" w:rsidRDefault="0096696E" w:rsidP="001A5BF9">
            <w:pPr>
              <w:keepNext/>
              <w:keepLines/>
              <w:rPr>
                <w:rFonts w:cs="Arial"/>
                <w:sz w:val="16"/>
                <w:szCs w:val="16"/>
              </w:rPr>
            </w:pPr>
            <w:r w:rsidRPr="005C7CCE">
              <w:rPr>
                <w:i/>
                <w:sz w:val="16"/>
              </w:rPr>
              <w:t>Niveau de référence initial :</w:t>
            </w:r>
          </w:p>
          <w:p w:rsidR="0096696E" w:rsidRPr="005C7CCE" w:rsidRDefault="0096696E" w:rsidP="001A5BF9">
            <w:pPr>
              <w:keepNext/>
              <w:keepLines/>
              <w:rPr>
                <w:rFonts w:cs="Arial"/>
                <w:sz w:val="16"/>
                <w:szCs w:val="16"/>
              </w:rPr>
            </w:pPr>
            <w:r w:rsidRPr="005C7CCE">
              <w:rPr>
                <w:sz w:val="16"/>
              </w:rPr>
              <w:t>5,30</w:t>
            </w:r>
            <w:r w:rsidR="007E442D" w:rsidRPr="005C7CCE">
              <w:rPr>
                <w:sz w:val="16"/>
              </w:rPr>
              <w:t>%</w:t>
            </w:r>
          </w:p>
        </w:tc>
        <w:tc>
          <w:tcPr>
            <w:tcW w:w="837" w:type="pct"/>
            <w:shd w:val="clear" w:color="auto" w:fill="auto"/>
            <w:tcMar>
              <w:top w:w="110" w:type="dxa"/>
            </w:tcMar>
          </w:tcPr>
          <w:p w:rsidR="0096696E" w:rsidRPr="001F6424" w:rsidRDefault="0096696E" w:rsidP="001A5BF9">
            <w:pPr>
              <w:rPr>
                <w:rFonts w:cs="Arial"/>
                <w:sz w:val="16"/>
                <w:szCs w:val="16"/>
                <w:lang w:bidi="th-TH"/>
              </w:rPr>
            </w:pPr>
            <w:r w:rsidRPr="001F6424">
              <w:rPr>
                <w:sz w:val="16"/>
              </w:rPr>
              <w:t>moins de 4</w:t>
            </w:r>
            <w:r w:rsidR="007E442D" w:rsidRPr="001F6424">
              <w:rPr>
                <w:sz w:val="16"/>
              </w:rPr>
              <w:t>%</w:t>
            </w:r>
          </w:p>
        </w:tc>
        <w:tc>
          <w:tcPr>
            <w:tcW w:w="1357" w:type="pct"/>
            <w:shd w:val="clear" w:color="auto" w:fill="FFFFFF"/>
            <w:tcMar>
              <w:top w:w="110" w:type="dxa"/>
            </w:tcMar>
          </w:tcPr>
          <w:p w:rsidR="00D42474" w:rsidRDefault="0096696E" w:rsidP="001A5BF9">
            <w:pPr>
              <w:rPr>
                <w:rFonts w:cs="Arial"/>
                <w:sz w:val="16"/>
                <w:szCs w:val="16"/>
                <w:lang w:bidi="th-TH"/>
              </w:rPr>
            </w:pPr>
            <w:r w:rsidRPr="001F6424">
              <w:rPr>
                <w:sz w:val="16"/>
              </w:rPr>
              <w:t>3,6</w:t>
            </w:r>
            <w:r w:rsidR="007E442D" w:rsidRPr="001F6424">
              <w:rPr>
                <w:sz w:val="16"/>
              </w:rPr>
              <w:t>%</w:t>
            </w:r>
            <w:r w:rsidRPr="001F6424">
              <w:rPr>
                <w:sz w:val="16"/>
              </w:rPr>
              <w:t xml:space="preserve"> (2012)</w:t>
            </w:r>
          </w:p>
          <w:p w:rsidR="0096696E" w:rsidRPr="005C7CCE" w:rsidRDefault="0096696E" w:rsidP="001A5BF9">
            <w:pPr>
              <w:rPr>
                <w:rFonts w:cs="Arial"/>
                <w:color w:val="008000"/>
                <w:sz w:val="16"/>
                <w:szCs w:val="16"/>
                <w:lang w:bidi="th-TH"/>
              </w:rPr>
            </w:pPr>
            <w:r w:rsidRPr="001F6424">
              <w:rPr>
                <w:sz w:val="16"/>
              </w:rPr>
              <w:t>4,1</w:t>
            </w:r>
            <w:r w:rsidR="007E442D" w:rsidRPr="001F6424">
              <w:rPr>
                <w:sz w:val="16"/>
              </w:rPr>
              <w:t>%</w:t>
            </w:r>
            <w:r w:rsidRPr="001F6424">
              <w:rPr>
                <w:sz w:val="16"/>
              </w:rPr>
              <w:t xml:space="preserve"> (2013)</w:t>
            </w:r>
          </w:p>
        </w:tc>
        <w:tc>
          <w:tcPr>
            <w:tcW w:w="682" w:type="pct"/>
            <w:shd w:val="clear" w:color="auto" w:fill="auto"/>
            <w:tcMar>
              <w:top w:w="110" w:type="dxa"/>
            </w:tcMar>
          </w:tcPr>
          <w:p w:rsidR="0096696E" w:rsidRPr="005C7CCE" w:rsidRDefault="0015421B" w:rsidP="001A5BF9">
            <w:pPr>
              <w:keepNext/>
              <w:keepLines/>
              <w:jc w:val="center"/>
              <w:rPr>
                <w:rFonts w:cs="Arial"/>
                <w:bCs/>
                <w:color w:val="008000"/>
                <w:sz w:val="16"/>
                <w:szCs w:val="16"/>
              </w:rPr>
            </w:pPr>
            <w:r w:rsidRPr="0015421B">
              <w:rPr>
                <w:rStyle w:val="Style5"/>
                <w:rFonts w:ascii="Arial" w:hAnsi="Arial"/>
                <w:color w:val="E36C0A"/>
                <w:sz w:val="16"/>
              </w:rPr>
              <w:t>Objectif partiellement atteint</w:t>
            </w:r>
            <w:r w:rsidR="0096696E" w:rsidRPr="005C7CCE">
              <w:rPr>
                <w:rStyle w:val="Style5"/>
                <w:rFonts w:ascii="Arial" w:hAnsi="Arial"/>
                <w:color w:val="008000"/>
                <w:sz w:val="16"/>
              </w:rPr>
              <w:t xml:space="preserve"> </w:t>
            </w:r>
          </w:p>
        </w:tc>
      </w:tr>
      <w:tr w:rsidR="0096696E" w:rsidRPr="005C7CCE" w:rsidTr="001F6424">
        <w:trPr>
          <w:cantSplit/>
        </w:trPr>
        <w:tc>
          <w:tcPr>
            <w:tcW w:w="1139" w:type="pct"/>
            <w:shd w:val="clear" w:color="auto" w:fill="auto"/>
          </w:tcPr>
          <w:p w:rsidR="0096696E" w:rsidRPr="001F6424" w:rsidRDefault="0096696E" w:rsidP="001A5BF9">
            <w:pPr>
              <w:spacing w:after="240"/>
              <w:rPr>
                <w:rFonts w:cs="Arial"/>
                <w:sz w:val="16"/>
                <w:szCs w:val="16"/>
              </w:rPr>
            </w:pPr>
            <w:r w:rsidRPr="001F6424">
              <w:rPr>
                <w:sz w:val="16"/>
              </w:rPr>
              <w:t>Création d</w:t>
            </w:r>
            <w:r w:rsidR="00A20444" w:rsidRPr="001F6424">
              <w:rPr>
                <w:sz w:val="16"/>
              </w:rPr>
              <w:t>’</w:t>
            </w:r>
            <w:r w:rsidRPr="001F6424">
              <w:rPr>
                <w:sz w:val="16"/>
              </w:rPr>
              <w:t>un registre international automatisé (système de Lisbonne)</w:t>
            </w:r>
          </w:p>
        </w:tc>
        <w:tc>
          <w:tcPr>
            <w:tcW w:w="985" w:type="pct"/>
            <w:shd w:val="clear" w:color="auto" w:fill="auto"/>
          </w:tcPr>
          <w:p w:rsidR="0096696E" w:rsidRPr="005C7CCE" w:rsidRDefault="0096696E" w:rsidP="001A5BF9">
            <w:pPr>
              <w:rPr>
                <w:rFonts w:cs="Arial"/>
                <w:sz w:val="16"/>
                <w:szCs w:val="16"/>
              </w:rPr>
            </w:pPr>
            <w:r w:rsidRPr="001F6424">
              <w:rPr>
                <w:sz w:val="16"/>
              </w:rPr>
              <w:t>État d</w:t>
            </w:r>
            <w:r w:rsidR="00A20444" w:rsidRPr="001F6424">
              <w:rPr>
                <w:sz w:val="16"/>
              </w:rPr>
              <w:t>’</w:t>
            </w:r>
            <w:r w:rsidRPr="001F6424">
              <w:rPr>
                <w:sz w:val="16"/>
              </w:rPr>
              <w:t>avancement de l</w:t>
            </w:r>
            <w:r w:rsidR="00A20444" w:rsidRPr="001F6424">
              <w:rPr>
                <w:sz w:val="16"/>
              </w:rPr>
              <w:t>’</w:t>
            </w:r>
            <w:r w:rsidRPr="001F6424">
              <w:rPr>
                <w:sz w:val="16"/>
              </w:rPr>
              <w:t>automatisation à la fin de</w:t>
            </w:r>
            <w:r w:rsidR="0010442A" w:rsidRPr="001F6424">
              <w:rPr>
                <w:sz w:val="16"/>
              </w:rPr>
              <w:t> </w:t>
            </w:r>
            <w:r w:rsidRPr="001F6424">
              <w:rPr>
                <w:sz w:val="16"/>
              </w:rPr>
              <w:t>2011</w:t>
            </w:r>
          </w:p>
        </w:tc>
        <w:tc>
          <w:tcPr>
            <w:tcW w:w="837" w:type="pct"/>
            <w:shd w:val="clear" w:color="auto" w:fill="auto"/>
            <w:tcMar>
              <w:top w:w="110" w:type="dxa"/>
            </w:tcMar>
          </w:tcPr>
          <w:p w:rsidR="0096696E" w:rsidRPr="001F6424" w:rsidRDefault="0096696E" w:rsidP="001A5BF9">
            <w:pPr>
              <w:rPr>
                <w:rFonts w:cs="Arial"/>
                <w:sz w:val="16"/>
                <w:szCs w:val="16"/>
              </w:rPr>
            </w:pPr>
            <w:r w:rsidRPr="001F6424">
              <w:rPr>
                <w:sz w:val="16"/>
              </w:rPr>
              <w:t>Procédures de notification et d</w:t>
            </w:r>
            <w:r w:rsidR="00A20444" w:rsidRPr="001F6424">
              <w:rPr>
                <w:sz w:val="16"/>
              </w:rPr>
              <w:t>’</w:t>
            </w:r>
            <w:r w:rsidRPr="001F6424">
              <w:rPr>
                <w:sz w:val="16"/>
              </w:rPr>
              <w:t xml:space="preserve">enregistrement entièrement automatisées </w:t>
            </w:r>
          </w:p>
        </w:tc>
        <w:tc>
          <w:tcPr>
            <w:tcW w:w="1357" w:type="pct"/>
            <w:shd w:val="clear" w:color="auto" w:fill="FFFFFF"/>
            <w:tcMar>
              <w:top w:w="110" w:type="dxa"/>
            </w:tcMar>
          </w:tcPr>
          <w:p w:rsidR="0096696E" w:rsidRPr="005C7CCE" w:rsidRDefault="0096696E" w:rsidP="001A5BF9">
            <w:pPr>
              <w:rPr>
                <w:rFonts w:cs="Arial"/>
                <w:sz w:val="16"/>
                <w:szCs w:val="16"/>
                <w:lang w:bidi="th-TH"/>
              </w:rPr>
            </w:pPr>
            <w:r w:rsidRPr="005C7CCE">
              <w:rPr>
                <w:sz w:val="16"/>
              </w:rPr>
              <w:t>Application informatique pour un registre international électronique en service depuis l</w:t>
            </w:r>
            <w:r w:rsidR="00A20444" w:rsidRPr="005C7CCE">
              <w:rPr>
                <w:sz w:val="16"/>
              </w:rPr>
              <w:t>’</w:t>
            </w:r>
            <w:r w:rsidRPr="005C7CCE">
              <w:rPr>
                <w:sz w:val="16"/>
              </w:rPr>
              <w:t>été 2013</w:t>
            </w:r>
          </w:p>
        </w:tc>
        <w:tc>
          <w:tcPr>
            <w:tcW w:w="682" w:type="pct"/>
            <w:shd w:val="clear" w:color="auto" w:fill="auto"/>
          </w:tcPr>
          <w:p w:rsidR="0096696E" w:rsidRPr="005C7CCE"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96696E" w:rsidRPr="005C7CCE" w:rsidTr="001F6424">
        <w:trPr>
          <w:cantSplit/>
        </w:trPr>
        <w:tc>
          <w:tcPr>
            <w:tcW w:w="1139" w:type="pct"/>
            <w:shd w:val="clear" w:color="auto" w:fill="auto"/>
          </w:tcPr>
          <w:p w:rsidR="0096696E" w:rsidRPr="001F6424" w:rsidRDefault="0096696E" w:rsidP="001A5BF9">
            <w:pPr>
              <w:rPr>
                <w:rFonts w:cs="Arial"/>
                <w:sz w:val="16"/>
                <w:szCs w:val="16"/>
              </w:rPr>
            </w:pPr>
            <w:r w:rsidRPr="001F6424">
              <w:rPr>
                <w:sz w:val="16"/>
              </w:rPr>
              <w:t>Nombre accru d</w:t>
            </w:r>
            <w:r w:rsidR="00A20444" w:rsidRPr="001F6424">
              <w:rPr>
                <w:sz w:val="16"/>
              </w:rPr>
              <w:t>’</w:t>
            </w:r>
            <w:r w:rsidRPr="001F6424">
              <w:rPr>
                <w:sz w:val="16"/>
              </w:rPr>
              <w:t>administrations compétentes utilisant des moyens électroniques de communication en vertu des procédures de Lisbonne</w:t>
            </w:r>
          </w:p>
        </w:tc>
        <w:tc>
          <w:tcPr>
            <w:tcW w:w="985" w:type="pct"/>
            <w:shd w:val="clear" w:color="auto" w:fill="auto"/>
          </w:tcPr>
          <w:p w:rsidR="00D42474" w:rsidRDefault="0096696E" w:rsidP="001A5BF9">
            <w:pPr>
              <w:rPr>
                <w:rFonts w:cs="Arial"/>
                <w:i/>
                <w:color w:val="002060"/>
                <w:sz w:val="16"/>
                <w:szCs w:val="16"/>
              </w:rPr>
            </w:pPr>
            <w:r w:rsidRPr="005C7CCE">
              <w:rPr>
                <w:i/>
                <w:color w:val="002060"/>
                <w:sz w:val="16"/>
              </w:rPr>
              <w:t>Niveau de référence actualisé fin 2011 :</w:t>
            </w:r>
          </w:p>
          <w:p w:rsidR="00D42474" w:rsidRDefault="0096696E" w:rsidP="001A5BF9">
            <w:pPr>
              <w:rPr>
                <w:rFonts w:cs="Arial"/>
                <w:sz w:val="16"/>
                <w:szCs w:val="16"/>
              </w:rPr>
            </w:pPr>
            <w:r w:rsidRPr="001F6424">
              <w:rPr>
                <w:sz w:val="16"/>
              </w:rPr>
              <w:t>16 (fin 2011)</w:t>
            </w:r>
          </w:p>
          <w:p w:rsidR="00D42474" w:rsidRDefault="00D42474" w:rsidP="001A5BF9">
            <w:pPr>
              <w:rPr>
                <w:rFonts w:cs="Arial"/>
                <w:i/>
                <w:sz w:val="8"/>
                <w:szCs w:val="8"/>
              </w:rPr>
            </w:pPr>
          </w:p>
          <w:p w:rsidR="00D42474" w:rsidRDefault="0096696E" w:rsidP="001A5BF9">
            <w:pPr>
              <w:rPr>
                <w:rFonts w:cs="Arial"/>
                <w:sz w:val="16"/>
                <w:szCs w:val="16"/>
              </w:rPr>
            </w:pPr>
            <w:r w:rsidRPr="005C7CCE">
              <w:rPr>
                <w:i/>
                <w:sz w:val="16"/>
              </w:rPr>
              <w:t xml:space="preserve">Niveau de référence </w:t>
            </w:r>
            <w:r w:rsidRPr="001F6424">
              <w:rPr>
                <w:i/>
                <w:sz w:val="16"/>
              </w:rPr>
              <w:t>initial :</w:t>
            </w:r>
          </w:p>
          <w:p w:rsidR="0096696E" w:rsidRPr="005C7CCE" w:rsidRDefault="0096696E" w:rsidP="001A5BF9">
            <w:pPr>
              <w:rPr>
                <w:rFonts w:cs="Arial"/>
                <w:sz w:val="16"/>
                <w:szCs w:val="16"/>
              </w:rPr>
            </w:pPr>
            <w:r w:rsidRPr="001F6424">
              <w:rPr>
                <w:sz w:val="16"/>
              </w:rPr>
              <w:t>14 (</w:t>
            </w:r>
            <w:r w:rsidR="00A20444" w:rsidRPr="001F6424">
              <w:rPr>
                <w:sz w:val="16"/>
              </w:rPr>
              <w:t>mars 20</w:t>
            </w:r>
            <w:r w:rsidRPr="001F6424">
              <w:rPr>
                <w:sz w:val="16"/>
              </w:rPr>
              <w:t>11)</w:t>
            </w:r>
          </w:p>
        </w:tc>
        <w:tc>
          <w:tcPr>
            <w:tcW w:w="837" w:type="pct"/>
            <w:shd w:val="clear" w:color="auto" w:fill="auto"/>
            <w:tcMar>
              <w:top w:w="110" w:type="dxa"/>
            </w:tcMar>
          </w:tcPr>
          <w:p w:rsidR="0096696E" w:rsidRPr="001F6424" w:rsidRDefault="0096696E" w:rsidP="001A5BF9">
            <w:pPr>
              <w:rPr>
                <w:rFonts w:cs="Arial"/>
                <w:sz w:val="16"/>
                <w:szCs w:val="16"/>
                <w:lang w:bidi="th-TH"/>
              </w:rPr>
            </w:pPr>
            <w:r w:rsidRPr="001F6424">
              <w:rPr>
                <w:sz w:val="16"/>
              </w:rPr>
              <w:t xml:space="preserve">Toutes </w:t>
            </w:r>
          </w:p>
        </w:tc>
        <w:tc>
          <w:tcPr>
            <w:tcW w:w="1357" w:type="pct"/>
            <w:shd w:val="clear" w:color="auto" w:fill="FFFFFF"/>
            <w:tcMar>
              <w:top w:w="110" w:type="dxa"/>
            </w:tcMar>
          </w:tcPr>
          <w:p w:rsidR="0096696E" w:rsidRPr="001F6424" w:rsidRDefault="0096696E" w:rsidP="001A5BF9">
            <w:pPr>
              <w:rPr>
                <w:rFonts w:cs="Arial"/>
                <w:sz w:val="16"/>
                <w:szCs w:val="16"/>
                <w:lang w:bidi="th-TH"/>
              </w:rPr>
            </w:pPr>
            <w:r w:rsidRPr="001F6424">
              <w:rPr>
                <w:sz w:val="16"/>
              </w:rPr>
              <w:t>Les autorités compétentes des 23 États membres de Lisbonne ont donné leur consentement pour une utilisation de moyens électroniques.</w:t>
            </w:r>
          </w:p>
        </w:tc>
        <w:tc>
          <w:tcPr>
            <w:tcW w:w="682" w:type="pct"/>
            <w:shd w:val="clear" w:color="auto" w:fill="auto"/>
            <w:tcMar>
              <w:top w:w="110" w:type="dxa"/>
            </w:tcMar>
          </w:tcPr>
          <w:p w:rsidR="0096696E" w:rsidRPr="005C7CCE" w:rsidRDefault="0096696E" w:rsidP="001A5BF9">
            <w:pPr>
              <w:keepNext/>
              <w:keepLines/>
              <w:spacing w:after="120"/>
              <w:jc w:val="center"/>
              <w:rPr>
                <w:rFonts w:cs="Arial"/>
                <w:bCs/>
                <w:color w:val="008000"/>
                <w:sz w:val="16"/>
                <w:szCs w:val="16"/>
              </w:rPr>
            </w:pPr>
            <w:r w:rsidRPr="00B470C6">
              <w:rPr>
                <w:color w:val="008000"/>
                <w:sz w:val="16"/>
              </w:rPr>
              <w:t>Objectif pleinement atteint</w:t>
            </w:r>
          </w:p>
        </w:tc>
      </w:tr>
      <w:tr w:rsidR="0096696E" w:rsidRPr="005C7CCE" w:rsidTr="001F6424">
        <w:trPr>
          <w:cantSplit/>
        </w:trPr>
        <w:tc>
          <w:tcPr>
            <w:tcW w:w="1139" w:type="pct"/>
            <w:tcBorders>
              <w:bottom w:val="single" w:sz="4" w:space="0" w:color="auto"/>
            </w:tcBorders>
            <w:shd w:val="clear" w:color="auto" w:fill="auto"/>
          </w:tcPr>
          <w:p w:rsidR="0096696E" w:rsidRPr="001F6424" w:rsidRDefault="0096696E" w:rsidP="001A5BF9">
            <w:pPr>
              <w:rPr>
                <w:rFonts w:cs="Arial"/>
                <w:sz w:val="16"/>
                <w:szCs w:val="16"/>
              </w:rPr>
            </w:pPr>
            <w:r w:rsidRPr="001F6424">
              <w:rPr>
                <w:sz w:val="16"/>
              </w:rPr>
              <w:t>Adoption de dispositions rationalisant ou modernisant le cadre juridique du système de Lisbonne</w:t>
            </w:r>
          </w:p>
        </w:tc>
        <w:tc>
          <w:tcPr>
            <w:tcW w:w="985" w:type="pct"/>
            <w:tcBorders>
              <w:bottom w:val="single" w:sz="4" w:space="0" w:color="auto"/>
            </w:tcBorders>
            <w:shd w:val="clear" w:color="auto" w:fill="auto"/>
          </w:tcPr>
          <w:p w:rsidR="00D42474" w:rsidRDefault="0096696E" w:rsidP="001A5BF9">
            <w:pPr>
              <w:rPr>
                <w:rFonts w:cs="Arial"/>
                <w:i/>
                <w:color w:val="002060"/>
                <w:sz w:val="16"/>
                <w:szCs w:val="16"/>
              </w:rPr>
            </w:pPr>
            <w:r w:rsidRPr="005C7CCE">
              <w:rPr>
                <w:i/>
                <w:color w:val="002060"/>
                <w:sz w:val="16"/>
              </w:rPr>
              <w:t>Niveau de référence actualisé fin 2011 :</w:t>
            </w:r>
          </w:p>
          <w:p w:rsidR="00D42474" w:rsidRDefault="001F6424" w:rsidP="001A5BF9">
            <w:pPr>
              <w:rPr>
                <w:rFonts w:cs="Arial"/>
                <w:sz w:val="16"/>
                <w:szCs w:val="16"/>
              </w:rPr>
            </w:pPr>
            <w:r>
              <w:rPr>
                <w:sz w:val="16"/>
              </w:rPr>
              <w:t>l</w:t>
            </w:r>
            <w:r w:rsidR="0096696E" w:rsidRPr="001F6424">
              <w:rPr>
                <w:sz w:val="16"/>
              </w:rPr>
              <w:t xml:space="preserve">es procédures du système de Lisbonne suite aux modifications entrées en vigueur le </w:t>
            </w:r>
            <w:r w:rsidR="00A20444" w:rsidRPr="001F6424">
              <w:rPr>
                <w:sz w:val="16"/>
              </w:rPr>
              <w:t>1er janvier 20</w:t>
            </w:r>
            <w:r w:rsidR="0096696E" w:rsidRPr="001F6424">
              <w:rPr>
                <w:sz w:val="16"/>
              </w:rPr>
              <w:t>12</w:t>
            </w:r>
          </w:p>
          <w:p w:rsidR="00D42474" w:rsidRDefault="00D42474" w:rsidP="001A5BF9">
            <w:pPr>
              <w:rPr>
                <w:rFonts w:cs="Arial"/>
                <w:sz w:val="8"/>
                <w:szCs w:val="8"/>
              </w:rPr>
            </w:pPr>
          </w:p>
          <w:p w:rsidR="00D42474" w:rsidRDefault="0096696E" w:rsidP="001A5BF9">
            <w:pPr>
              <w:rPr>
                <w:rFonts w:cs="Arial"/>
                <w:sz w:val="16"/>
                <w:szCs w:val="16"/>
              </w:rPr>
            </w:pPr>
            <w:r w:rsidRPr="001F6424">
              <w:rPr>
                <w:i/>
                <w:sz w:val="16"/>
              </w:rPr>
              <w:t>Niveau de référence initial :</w:t>
            </w:r>
          </w:p>
          <w:p w:rsidR="0096696E" w:rsidRPr="005C7CCE" w:rsidRDefault="001F6424" w:rsidP="001A5BF9">
            <w:pPr>
              <w:rPr>
                <w:rFonts w:cs="Arial"/>
                <w:sz w:val="16"/>
                <w:szCs w:val="16"/>
              </w:rPr>
            </w:pPr>
            <w:r>
              <w:rPr>
                <w:sz w:val="16"/>
              </w:rPr>
              <w:t>l</w:t>
            </w:r>
            <w:r w:rsidR="0096696E" w:rsidRPr="001F6424">
              <w:rPr>
                <w:sz w:val="16"/>
              </w:rPr>
              <w:t>es procédures du système de Lisbonne fin 2011</w:t>
            </w:r>
          </w:p>
        </w:tc>
        <w:tc>
          <w:tcPr>
            <w:tcW w:w="837" w:type="pct"/>
            <w:tcBorders>
              <w:bottom w:val="single" w:sz="4" w:space="0" w:color="auto"/>
            </w:tcBorders>
            <w:shd w:val="clear" w:color="auto" w:fill="auto"/>
            <w:tcMar>
              <w:top w:w="110" w:type="dxa"/>
            </w:tcMar>
          </w:tcPr>
          <w:p w:rsidR="0096696E" w:rsidRPr="001F6424" w:rsidRDefault="0096696E" w:rsidP="001A5BF9">
            <w:pPr>
              <w:autoSpaceDE w:val="0"/>
              <w:autoSpaceDN w:val="0"/>
              <w:adjustRightInd w:val="0"/>
              <w:rPr>
                <w:rFonts w:cs="Arial"/>
                <w:sz w:val="16"/>
                <w:szCs w:val="16"/>
              </w:rPr>
            </w:pPr>
            <w:r w:rsidRPr="001F6424">
              <w:rPr>
                <w:sz w:val="16"/>
              </w:rPr>
              <w:t>Recommandations concernant des modifications des procédures en vertu des procédures de l</w:t>
            </w:r>
            <w:r w:rsidR="00A20444" w:rsidRPr="001F6424">
              <w:rPr>
                <w:sz w:val="16"/>
              </w:rPr>
              <w:t>’</w:t>
            </w:r>
            <w:r w:rsidRPr="001F6424">
              <w:rPr>
                <w:sz w:val="16"/>
              </w:rPr>
              <w:t>Arrangement Lisbonne ou de son règlement d</w:t>
            </w:r>
            <w:r w:rsidR="00A20444" w:rsidRPr="001F6424">
              <w:rPr>
                <w:sz w:val="16"/>
              </w:rPr>
              <w:t>’</w:t>
            </w:r>
            <w:r w:rsidRPr="001F6424">
              <w:rPr>
                <w:sz w:val="16"/>
              </w:rPr>
              <w:t xml:space="preserve">exécution </w:t>
            </w:r>
          </w:p>
        </w:tc>
        <w:tc>
          <w:tcPr>
            <w:tcW w:w="1357" w:type="pct"/>
            <w:tcBorders>
              <w:bottom w:val="single" w:sz="4" w:space="0" w:color="auto"/>
            </w:tcBorders>
            <w:shd w:val="clear" w:color="auto" w:fill="FFFFFF"/>
            <w:tcMar>
              <w:top w:w="110" w:type="dxa"/>
            </w:tcMar>
          </w:tcPr>
          <w:p w:rsidR="0096696E" w:rsidRPr="001F6424" w:rsidRDefault="0096696E" w:rsidP="001A5BF9">
            <w:pPr>
              <w:rPr>
                <w:rFonts w:cs="Arial"/>
                <w:sz w:val="16"/>
                <w:szCs w:val="16"/>
                <w:lang w:bidi="th-TH"/>
              </w:rPr>
            </w:pPr>
            <w:r w:rsidRPr="001F6424">
              <w:rPr>
                <w:sz w:val="16"/>
              </w:rPr>
              <w:t>Une révision de l</w:t>
            </w:r>
            <w:r w:rsidR="00A20444" w:rsidRPr="001F6424">
              <w:rPr>
                <w:sz w:val="16"/>
              </w:rPr>
              <w:t>’</w:t>
            </w:r>
            <w:r w:rsidRPr="001F6424">
              <w:rPr>
                <w:sz w:val="16"/>
              </w:rPr>
              <w:t>Arrangement de Lisbonne et des modifications sur le règlement sont en préparation au sein du Groupe de travail sur le développement du système de Lisbonne</w:t>
            </w:r>
          </w:p>
        </w:tc>
        <w:tc>
          <w:tcPr>
            <w:tcW w:w="682" w:type="pct"/>
            <w:tcBorders>
              <w:bottom w:val="single" w:sz="4" w:space="0" w:color="auto"/>
            </w:tcBorders>
            <w:shd w:val="clear" w:color="auto" w:fill="auto"/>
          </w:tcPr>
          <w:p w:rsidR="0096696E" w:rsidRPr="005C7CCE" w:rsidRDefault="0015421B" w:rsidP="001A5BF9">
            <w:pPr>
              <w:keepNext/>
              <w:keepLines/>
              <w:jc w:val="center"/>
              <w:rPr>
                <w:rFonts w:cs="Arial"/>
                <w:bCs/>
                <w:color w:val="008000"/>
                <w:sz w:val="16"/>
                <w:szCs w:val="16"/>
              </w:rPr>
            </w:pPr>
            <w:r w:rsidRPr="0015421B">
              <w:rPr>
                <w:rStyle w:val="Style5"/>
                <w:rFonts w:ascii="Arial" w:hAnsi="Arial"/>
                <w:color w:val="E36C0A"/>
                <w:sz w:val="16"/>
              </w:rPr>
              <w:t>Objectif partiellement atteint</w:t>
            </w:r>
            <w:r w:rsidR="0096696E" w:rsidRPr="005C7CCE">
              <w:rPr>
                <w:rStyle w:val="Style5"/>
                <w:rFonts w:ascii="Arial" w:hAnsi="Arial"/>
                <w:color w:val="008000"/>
                <w:sz w:val="16"/>
              </w:rPr>
              <w:t xml:space="preserve"> </w:t>
            </w:r>
          </w:p>
        </w:tc>
      </w:tr>
      <w:tr w:rsidR="0096696E" w:rsidRPr="005C7CCE" w:rsidTr="001F6424">
        <w:trPr>
          <w:cantSplit/>
        </w:trPr>
        <w:tc>
          <w:tcPr>
            <w:tcW w:w="5000" w:type="pct"/>
            <w:gridSpan w:val="5"/>
            <w:tcBorders>
              <w:top w:val="single" w:sz="4" w:space="0" w:color="auto"/>
              <w:bottom w:val="single" w:sz="4" w:space="0" w:color="auto"/>
            </w:tcBorders>
            <w:shd w:val="clear" w:color="auto" w:fill="CCFFFF"/>
            <w:vAlign w:val="center"/>
          </w:tcPr>
          <w:p w:rsidR="0096696E" w:rsidRPr="001F6424" w:rsidRDefault="0096696E" w:rsidP="001A5BF9">
            <w:pPr>
              <w:keepNext/>
              <w:keepLines/>
              <w:tabs>
                <w:tab w:val="left" w:pos="1452"/>
              </w:tabs>
              <w:spacing w:before="120" w:after="120"/>
              <w:ind w:left="1452" w:hanging="1452"/>
              <w:rPr>
                <w:rFonts w:cs="Arial"/>
                <w:b/>
                <w:bCs/>
                <w:sz w:val="16"/>
                <w:szCs w:val="16"/>
              </w:rPr>
            </w:pPr>
            <w:r w:rsidRPr="001F6424">
              <w:rPr>
                <w:b/>
                <w:sz w:val="16"/>
              </w:rPr>
              <w:t>Résultat escompté</w:t>
            </w:r>
            <w:r w:rsidR="0010442A" w:rsidRPr="001F6424">
              <w:rPr>
                <w:b/>
                <w:sz w:val="16"/>
              </w:rPr>
              <w:t xml:space="preserve"> : </w:t>
            </w:r>
            <w:r w:rsidRPr="001F6424">
              <w:rPr>
                <w:b/>
                <w:sz w:val="16"/>
              </w:rPr>
              <w:tab/>
            </w:r>
            <w:r w:rsidRPr="001F6424">
              <w:rPr>
                <w:sz w:val="16"/>
              </w:rPr>
              <w:t>Connaissance accrue des systèmes de Madrid et de Lisbonne</w:t>
            </w:r>
          </w:p>
        </w:tc>
      </w:tr>
      <w:tr w:rsidR="001F6424" w:rsidRPr="001F6424" w:rsidTr="001F6424">
        <w:trPr>
          <w:cantSplit/>
        </w:trPr>
        <w:tc>
          <w:tcPr>
            <w:tcW w:w="1139" w:type="pct"/>
            <w:tcBorders>
              <w:top w:val="single" w:sz="4" w:space="0" w:color="auto"/>
            </w:tcBorders>
            <w:shd w:val="clear" w:color="auto" w:fill="auto"/>
            <w:vAlign w:val="center"/>
          </w:tcPr>
          <w:p w:rsidR="0096696E" w:rsidRPr="001F6424" w:rsidRDefault="0096696E" w:rsidP="001A5BF9">
            <w:pPr>
              <w:rPr>
                <w:rFonts w:cs="Arial"/>
                <w:b/>
                <w:sz w:val="16"/>
                <w:szCs w:val="16"/>
              </w:rPr>
            </w:pPr>
            <w:r w:rsidRPr="001F6424">
              <w:rPr>
                <w:b/>
                <w:sz w:val="16"/>
              </w:rPr>
              <w:t>Indicateurs d</w:t>
            </w:r>
            <w:r w:rsidR="00A20444" w:rsidRPr="001F6424">
              <w:rPr>
                <w:b/>
                <w:sz w:val="16"/>
              </w:rPr>
              <w:t>’</w:t>
            </w:r>
            <w:r w:rsidRPr="001F6424">
              <w:rPr>
                <w:b/>
                <w:sz w:val="16"/>
              </w:rPr>
              <w:t>exécution</w:t>
            </w:r>
          </w:p>
        </w:tc>
        <w:tc>
          <w:tcPr>
            <w:tcW w:w="985" w:type="pct"/>
            <w:tcBorders>
              <w:top w:val="single" w:sz="4" w:space="0" w:color="auto"/>
            </w:tcBorders>
            <w:shd w:val="clear" w:color="auto" w:fill="auto"/>
            <w:vAlign w:val="center"/>
          </w:tcPr>
          <w:p w:rsidR="0096696E" w:rsidRPr="001F6424" w:rsidRDefault="0096696E" w:rsidP="001A5BF9">
            <w:pPr>
              <w:rPr>
                <w:rFonts w:cs="Arial"/>
                <w:b/>
                <w:bCs/>
                <w:sz w:val="16"/>
                <w:szCs w:val="16"/>
              </w:rPr>
            </w:pPr>
            <w:r w:rsidRPr="001F6424">
              <w:rPr>
                <w:b/>
                <w:sz w:val="16"/>
              </w:rPr>
              <w:t>Niveaux de référence</w:t>
            </w:r>
          </w:p>
        </w:tc>
        <w:tc>
          <w:tcPr>
            <w:tcW w:w="837" w:type="pct"/>
            <w:tcBorders>
              <w:top w:val="single" w:sz="4" w:space="0" w:color="auto"/>
            </w:tcBorders>
            <w:shd w:val="clear" w:color="auto" w:fill="auto"/>
            <w:tcMar>
              <w:top w:w="110" w:type="dxa"/>
            </w:tcMar>
            <w:vAlign w:val="center"/>
          </w:tcPr>
          <w:p w:rsidR="0096696E" w:rsidRPr="001F6424" w:rsidRDefault="0096696E" w:rsidP="001A5BF9">
            <w:pPr>
              <w:rPr>
                <w:rFonts w:cs="Arial"/>
                <w:b/>
                <w:sz w:val="16"/>
                <w:szCs w:val="16"/>
              </w:rPr>
            </w:pPr>
            <w:r w:rsidRPr="001F6424">
              <w:rPr>
                <w:b/>
                <w:sz w:val="16"/>
              </w:rPr>
              <w:t>Objectifs visés</w:t>
            </w:r>
          </w:p>
        </w:tc>
        <w:tc>
          <w:tcPr>
            <w:tcW w:w="1357" w:type="pct"/>
            <w:tcBorders>
              <w:top w:val="single" w:sz="4" w:space="0" w:color="auto"/>
            </w:tcBorders>
            <w:shd w:val="clear" w:color="auto" w:fill="FFFFFF"/>
            <w:tcMar>
              <w:top w:w="110" w:type="dxa"/>
            </w:tcMar>
            <w:vAlign w:val="center"/>
          </w:tcPr>
          <w:p w:rsidR="0096696E" w:rsidRPr="001F6424" w:rsidRDefault="0096696E" w:rsidP="001A5BF9">
            <w:pPr>
              <w:rPr>
                <w:rFonts w:cs="Arial"/>
                <w:b/>
                <w:sz w:val="16"/>
                <w:szCs w:val="16"/>
              </w:rPr>
            </w:pPr>
            <w:r w:rsidRPr="001F6424">
              <w:rPr>
                <w:b/>
                <w:sz w:val="16"/>
              </w:rPr>
              <w:t>Données relatives à l</w:t>
            </w:r>
            <w:r w:rsidR="00A20444" w:rsidRPr="001F6424">
              <w:rPr>
                <w:b/>
                <w:sz w:val="16"/>
              </w:rPr>
              <w:t>’</w:t>
            </w:r>
            <w:r w:rsidRPr="001F6424">
              <w:rPr>
                <w:b/>
                <w:sz w:val="16"/>
              </w:rPr>
              <w:t>exécution</w:t>
            </w:r>
          </w:p>
        </w:tc>
        <w:tc>
          <w:tcPr>
            <w:tcW w:w="682" w:type="pct"/>
            <w:tcBorders>
              <w:top w:val="single" w:sz="4" w:space="0" w:color="auto"/>
            </w:tcBorders>
            <w:shd w:val="clear" w:color="auto" w:fill="auto"/>
            <w:tcMar>
              <w:top w:w="110" w:type="dxa"/>
            </w:tcMar>
            <w:vAlign w:val="center"/>
          </w:tcPr>
          <w:p w:rsidR="0096696E" w:rsidRPr="001F6424" w:rsidRDefault="0096696E" w:rsidP="001A5BF9">
            <w:pPr>
              <w:keepNext/>
              <w:keepLines/>
              <w:jc w:val="center"/>
              <w:rPr>
                <w:rFonts w:cs="Arial"/>
                <w:b/>
                <w:bCs/>
                <w:sz w:val="16"/>
                <w:szCs w:val="16"/>
              </w:rPr>
            </w:pPr>
            <w:r w:rsidRPr="001F6424">
              <w:rPr>
                <w:b/>
                <w:sz w:val="16"/>
              </w:rPr>
              <w:t>Code de couleurs</w:t>
            </w:r>
          </w:p>
        </w:tc>
      </w:tr>
      <w:tr w:rsidR="0096696E" w:rsidRPr="005C7CCE" w:rsidTr="001F6424">
        <w:trPr>
          <w:cantSplit/>
          <w:trHeight w:val="1420"/>
        </w:trPr>
        <w:tc>
          <w:tcPr>
            <w:tcW w:w="1139" w:type="pct"/>
            <w:shd w:val="clear" w:color="auto" w:fill="FFFFFF"/>
          </w:tcPr>
          <w:p w:rsidR="0096696E" w:rsidRPr="001F6424" w:rsidRDefault="0096696E" w:rsidP="001A5BF9">
            <w:pPr>
              <w:rPr>
                <w:rFonts w:cs="Arial"/>
                <w:sz w:val="16"/>
                <w:szCs w:val="16"/>
              </w:rPr>
            </w:pPr>
            <w:r w:rsidRPr="001F6424">
              <w:rPr>
                <w:sz w:val="16"/>
              </w:rPr>
              <w:t>Pourcentage de participants des manifestations associées au système de Madrid qui sont satisfaits et signalent une meilleure compréhension du système à la suite d</w:t>
            </w:r>
            <w:r w:rsidR="00A20444" w:rsidRPr="001F6424">
              <w:rPr>
                <w:sz w:val="16"/>
              </w:rPr>
              <w:t>’</w:t>
            </w:r>
            <w:r w:rsidRPr="001F6424">
              <w:rPr>
                <w:sz w:val="16"/>
              </w:rPr>
              <w:t>une manifestation de formation</w:t>
            </w:r>
          </w:p>
        </w:tc>
        <w:tc>
          <w:tcPr>
            <w:tcW w:w="985" w:type="pct"/>
            <w:shd w:val="clear" w:color="auto" w:fill="auto"/>
          </w:tcPr>
          <w:p w:rsidR="0096696E" w:rsidRPr="001F6424" w:rsidRDefault="0096696E" w:rsidP="001A5BF9">
            <w:pPr>
              <w:rPr>
                <w:rFonts w:cs="Arial"/>
                <w:sz w:val="16"/>
                <w:szCs w:val="16"/>
              </w:rPr>
            </w:pPr>
            <w:r w:rsidRPr="001F6424">
              <w:rPr>
                <w:sz w:val="16"/>
              </w:rPr>
              <w:t>Données non disponibles</w:t>
            </w:r>
          </w:p>
        </w:tc>
        <w:tc>
          <w:tcPr>
            <w:tcW w:w="837" w:type="pct"/>
            <w:shd w:val="clear" w:color="auto" w:fill="auto"/>
            <w:tcMar>
              <w:top w:w="110" w:type="dxa"/>
            </w:tcMar>
          </w:tcPr>
          <w:p w:rsidR="0096696E" w:rsidRPr="001F6424" w:rsidRDefault="0096696E" w:rsidP="001A5BF9">
            <w:pPr>
              <w:rPr>
                <w:rFonts w:cs="Arial"/>
                <w:sz w:val="16"/>
                <w:szCs w:val="16"/>
                <w:lang w:bidi="th-TH"/>
              </w:rPr>
            </w:pPr>
            <w:r w:rsidRPr="001F6424">
              <w:rPr>
                <w:sz w:val="16"/>
              </w:rPr>
              <w:t>Au moins 85</w:t>
            </w:r>
            <w:r w:rsidR="007E442D" w:rsidRPr="001F6424">
              <w:rPr>
                <w:sz w:val="16"/>
              </w:rPr>
              <w:t>%</w:t>
            </w:r>
          </w:p>
        </w:tc>
        <w:tc>
          <w:tcPr>
            <w:tcW w:w="1357" w:type="pct"/>
            <w:shd w:val="clear" w:color="auto" w:fill="FFFFFF"/>
            <w:tcMar>
              <w:top w:w="110" w:type="dxa"/>
            </w:tcMar>
          </w:tcPr>
          <w:p w:rsidR="00D42474" w:rsidRDefault="0096696E" w:rsidP="001A5BF9">
            <w:pPr>
              <w:rPr>
                <w:sz w:val="16"/>
              </w:rPr>
            </w:pPr>
            <w:r w:rsidRPr="001F6424">
              <w:rPr>
                <w:sz w:val="16"/>
              </w:rPr>
              <w:t xml:space="preserve">Quatre séminaires en interne sur le système de Madrid se sont tenus à Genève. </w:t>
            </w:r>
            <w:r w:rsidR="0010442A" w:rsidRPr="001F6424">
              <w:rPr>
                <w:sz w:val="16"/>
              </w:rPr>
              <w:t xml:space="preserve"> </w:t>
            </w:r>
            <w:r w:rsidRPr="001F6424">
              <w:rPr>
                <w:sz w:val="16"/>
              </w:rPr>
              <w:t>Les questionnaires d</w:t>
            </w:r>
            <w:r w:rsidR="00A20444" w:rsidRPr="001F6424">
              <w:rPr>
                <w:sz w:val="16"/>
              </w:rPr>
              <w:t>’</w:t>
            </w:r>
            <w:r w:rsidRPr="001F6424">
              <w:rPr>
                <w:sz w:val="16"/>
              </w:rPr>
              <w:t>évaluation indiquent un taux de satisfaction de plus de 90</w:t>
            </w:r>
            <w:r w:rsidR="007E442D" w:rsidRPr="001F6424">
              <w:rPr>
                <w:sz w:val="16"/>
              </w:rPr>
              <w:t>%</w:t>
            </w:r>
            <w:r w:rsidRPr="001F6424">
              <w:rPr>
                <w:sz w:val="16"/>
              </w:rPr>
              <w:t>.</w:t>
            </w:r>
          </w:p>
          <w:p w:rsidR="00D42474" w:rsidRDefault="00D42474" w:rsidP="001A5BF9">
            <w:pPr>
              <w:rPr>
                <w:rFonts w:cs="Arial"/>
                <w:sz w:val="16"/>
                <w:szCs w:val="16"/>
                <w:lang w:bidi="th-TH"/>
              </w:rPr>
            </w:pPr>
          </w:p>
          <w:p w:rsidR="0096696E" w:rsidRPr="001F6424" w:rsidRDefault="0096696E" w:rsidP="001A5BF9">
            <w:pPr>
              <w:rPr>
                <w:rFonts w:cs="Arial"/>
                <w:sz w:val="16"/>
                <w:szCs w:val="16"/>
                <w:lang w:bidi="th-TH"/>
              </w:rPr>
            </w:pPr>
            <w:r w:rsidRPr="001F6424">
              <w:rPr>
                <w:sz w:val="16"/>
              </w:rPr>
              <w:t xml:space="preserve">Pour les activités de vulgarisation : données non disponibles </w:t>
            </w:r>
          </w:p>
        </w:tc>
        <w:tc>
          <w:tcPr>
            <w:tcW w:w="682" w:type="pct"/>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96696E" w:rsidRPr="005C7CCE" w:rsidTr="001F6424">
        <w:trPr>
          <w:cantSplit/>
        </w:trPr>
        <w:tc>
          <w:tcPr>
            <w:tcW w:w="1139" w:type="pct"/>
            <w:shd w:val="clear" w:color="auto" w:fill="auto"/>
          </w:tcPr>
          <w:p w:rsidR="00D42474" w:rsidRDefault="0096696E" w:rsidP="001A5BF9">
            <w:pPr>
              <w:rPr>
                <w:rFonts w:cs="Arial"/>
                <w:sz w:val="16"/>
                <w:szCs w:val="16"/>
              </w:rPr>
            </w:pPr>
            <w:r w:rsidRPr="001F6424">
              <w:rPr>
                <w:sz w:val="16"/>
              </w:rPr>
              <w:t>Pourcentage de participants des manifestations associées au système de Lisbonne qui sont satisfaits et qui signalent une meilleure connaissance du système à la suite de séminaires ou d</w:t>
            </w:r>
            <w:r w:rsidR="00A20444" w:rsidRPr="001F6424">
              <w:rPr>
                <w:sz w:val="16"/>
              </w:rPr>
              <w:t>’</w:t>
            </w:r>
            <w:r w:rsidRPr="001F6424">
              <w:rPr>
                <w:sz w:val="16"/>
              </w:rPr>
              <w:t>ateliers</w:t>
            </w:r>
          </w:p>
          <w:p w:rsidR="0096696E" w:rsidRPr="001F6424" w:rsidRDefault="0096696E" w:rsidP="001A5BF9">
            <w:pPr>
              <w:rPr>
                <w:rFonts w:cs="Arial"/>
                <w:sz w:val="16"/>
                <w:szCs w:val="16"/>
              </w:rPr>
            </w:pPr>
          </w:p>
        </w:tc>
        <w:tc>
          <w:tcPr>
            <w:tcW w:w="985" w:type="pct"/>
            <w:shd w:val="clear" w:color="auto" w:fill="auto"/>
          </w:tcPr>
          <w:p w:rsidR="0096696E" w:rsidRPr="005C7CCE" w:rsidRDefault="0096696E" w:rsidP="001A5BF9">
            <w:pPr>
              <w:rPr>
                <w:rFonts w:cs="Arial"/>
                <w:color w:val="008000"/>
                <w:sz w:val="16"/>
                <w:szCs w:val="16"/>
              </w:rPr>
            </w:pPr>
            <w:r w:rsidRPr="005C7CCE">
              <w:rPr>
                <w:color w:val="008000"/>
                <w:sz w:val="16"/>
              </w:rPr>
              <w:t>Données non disponibles</w:t>
            </w:r>
          </w:p>
        </w:tc>
        <w:tc>
          <w:tcPr>
            <w:tcW w:w="837" w:type="pct"/>
            <w:shd w:val="clear" w:color="auto" w:fill="auto"/>
            <w:tcMar>
              <w:top w:w="110" w:type="dxa"/>
            </w:tcMar>
          </w:tcPr>
          <w:p w:rsidR="0096696E" w:rsidRPr="001F6424" w:rsidRDefault="0096696E" w:rsidP="001A5BF9">
            <w:pPr>
              <w:rPr>
                <w:rFonts w:cs="Arial"/>
                <w:sz w:val="16"/>
                <w:szCs w:val="16"/>
                <w:lang w:bidi="th-TH"/>
              </w:rPr>
            </w:pPr>
            <w:r w:rsidRPr="001F6424">
              <w:rPr>
                <w:sz w:val="16"/>
              </w:rPr>
              <w:t>Au moins 85</w:t>
            </w:r>
            <w:r w:rsidR="007E442D" w:rsidRPr="001F6424">
              <w:rPr>
                <w:sz w:val="16"/>
              </w:rPr>
              <w:t>%</w:t>
            </w:r>
          </w:p>
        </w:tc>
        <w:tc>
          <w:tcPr>
            <w:tcW w:w="1357" w:type="pct"/>
            <w:shd w:val="clear" w:color="auto" w:fill="FFFFFF"/>
            <w:tcMar>
              <w:top w:w="110" w:type="dxa"/>
            </w:tcMar>
          </w:tcPr>
          <w:p w:rsidR="0096696E" w:rsidRPr="005C7CCE" w:rsidRDefault="0096696E" w:rsidP="001A5BF9">
            <w:pPr>
              <w:rPr>
                <w:rFonts w:cs="Arial"/>
                <w:sz w:val="16"/>
                <w:szCs w:val="16"/>
                <w:lang w:bidi="th-TH"/>
              </w:rPr>
            </w:pPr>
            <w:r w:rsidRPr="005C7CCE">
              <w:rPr>
                <w:sz w:val="16"/>
              </w:rPr>
              <w:t>Les questionnaires d</w:t>
            </w:r>
            <w:r w:rsidR="00A20444" w:rsidRPr="005C7CCE">
              <w:rPr>
                <w:sz w:val="16"/>
              </w:rPr>
              <w:t>’</w:t>
            </w:r>
            <w:r w:rsidRPr="005C7CCE">
              <w:rPr>
                <w:sz w:val="16"/>
              </w:rPr>
              <w:t>évaluation indiquent un taux de satisfaction de plus de 90</w:t>
            </w:r>
            <w:r w:rsidR="007E442D" w:rsidRPr="005C7CCE">
              <w:rPr>
                <w:sz w:val="16"/>
              </w:rPr>
              <w:t>%</w:t>
            </w:r>
            <w:r w:rsidRPr="005C7CCE">
              <w:rPr>
                <w:sz w:val="16"/>
              </w:rPr>
              <w:t>.</w:t>
            </w:r>
          </w:p>
        </w:tc>
        <w:tc>
          <w:tcPr>
            <w:tcW w:w="682" w:type="pct"/>
            <w:shd w:val="clear" w:color="auto" w:fill="auto"/>
          </w:tcPr>
          <w:p w:rsidR="0096696E" w:rsidRPr="00686D5C"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686D5C">
              <w:rPr>
                <w:rStyle w:val="Style5"/>
                <w:rFonts w:ascii="Arial" w:hAnsi="Arial"/>
                <w:color w:val="008000"/>
                <w:sz w:val="16"/>
              </w:rPr>
              <w:t xml:space="preserve"> </w:t>
            </w:r>
          </w:p>
        </w:tc>
      </w:tr>
    </w:tbl>
    <w:p w:rsidR="00D42474" w:rsidRDefault="00D42474" w:rsidP="001A5BF9"/>
    <w:p w:rsidR="00D42474" w:rsidRDefault="00D42474" w:rsidP="001A5BF9">
      <w:pPr>
        <w:rPr>
          <w:rFonts w:cs="Arial"/>
          <w:szCs w:val="22"/>
        </w:rPr>
      </w:pPr>
    </w:p>
    <w:p w:rsidR="00D42474" w:rsidRDefault="0096696E" w:rsidP="00686D5C">
      <w:r w:rsidRPr="00866763">
        <w:rPr>
          <w:sz w:val="22"/>
        </w:rPr>
        <w:t>BUDGET ET DÉPENSES EFFECTIVES</w:t>
      </w:r>
    </w:p>
    <w:p w:rsidR="00D42474" w:rsidRDefault="00D42474" w:rsidP="00686D5C">
      <w:pPr>
        <w:pStyle w:val="NormalWeb"/>
        <w:spacing w:before="0" w:beforeAutospacing="0" w:after="0" w:afterAutospacing="0"/>
        <w:jc w:val="center"/>
        <w:rPr>
          <w:sz w:val="22"/>
          <w:szCs w:val="22"/>
        </w:rPr>
      </w:pPr>
    </w:p>
    <w:p w:rsidR="00D42474" w:rsidRDefault="0096696E" w:rsidP="00686D5C">
      <w:pPr>
        <w:pStyle w:val="NormalWeb"/>
        <w:spacing w:before="0" w:beforeAutospacing="0" w:after="0" w:afterAutospacing="0"/>
        <w:jc w:val="center"/>
        <w:rPr>
          <w:sz w:val="20"/>
          <w:szCs w:val="20"/>
        </w:rPr>
      </w:pPr>
      <w:r w:rsidRPr="00686D5C">
        <w:rPr>
          <w:sz w:val="20"/>
        </w:rPr>
        <w:t>Budget et dépenses effectives (par résultat)</w:t>
      </w:r>
    </w:p>
    <w:p w:rsidR="00D42474" w:rsidRDefault="0096696E" w:rsidP="00686D5C">
      <w:pPr>
        <w:pStyle w:val="NormalWeb"/>
        <w:spacing w:before="0" w:beforeAutospacing="0" w:after="0" w:afterAutospacing="0"/>
        <w:jc w:val="center"/>
        <w:rPr>
          <w:i/>
          <w:iCs/>
          <w:sz w:val="20"/>
          <w:szCs w:val="20"/>
        </w:rPr>
      </w:pPr>
      <w:r w:rsidRPr="00686D5C">
        <w:rPr>
          <w:i/>
          <w:sz w:val="20"/>
        </w:rPr>
        <w:t>(</w:t>
      </w:r>
      <w:proofErr w:type="gramStart"/>
      <w:r w:rsidRPr="00686D5C">
        <w:rPr>
          <w:i/>
          <w:sz w:val="20"/>
        </w:rPr>
        <w:t>en</w:t>
      </w:r>
      <w:proofErr w:type="gramEnd"/>
      <w:r w:rsidRPr="00686D5C">
        <w:rPr>
          <w:i/>
          <w:sz w:val="20"/>
        </w:rPr>
        <w:t xml:space="preserve"> milliers de francs suisses)</w:t>
      </w:r>
    </w:p>
    <w:p w:rsidR="0096696E" w:rsidRPr="00686D5C" w:rsidRDefault="0096696E" w:rsidP="00686D5C">
      <w:pPr>
        <w:rPr>
          <w:rFonts w:cs="Arial"/>
          <w:szCs w:val="22"/>
        </w:rPr>
      </w:pPr>
    </w:p>
    <w:tbl>
      <w:tblPr>
        <w:tblW w:w="0" w:type="auto"/>
        <w:tblInd w:w="103" w:type="dxa"/>
        <w:tblLayout w:type="fixed"/>
        <w:tblLook w:val="04A0" w:firstRow="1" w:lastRow="0" w:firstColumn="1" w:lastColumn="0" w:noHBand="0" w:noVBand="1"/>
      </w:tblPr>
      <w:tblGrid>
        <w:gridCol w:w="567"/>
        <w:gridCol w:w="4541"/>
        <w:gridCol w:w="1417"/>
        <w:gridCol w:w="1418"/>
        <w:gridCol w:w="1418"/>
      </w:tblGrid>
      <w:tr w:rsidR="0096696E" w:rsidRPr="00686D5C" w:rsidTr="00BB3F3E">
        <w:tc>
          <w:tcPr>
            <w:tcW w:w="5108"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686D5C" w:rsidRDefault="0096696E" w:rsidP="00686D5C">
            <w:pPr>
              <w:spacing w:before="120" w:after="120"/>
              <w:jc w:val="center"/>
              <w:rPr>
                <w:rFonts w:cs="Arial"/>
                <w:bCs/>
                <w:sz w:val="16"/>
                <w:szCs w:val="16"/>
              </w:rPr>
            </w:pPr>
            <w:r w:rsidRPr="00686D5C">
              <w:rPr>
                <w:sz w:val="16"/>
              </w:rPr>
              <w:t>Numéro et description du résultat escompté</w:t>
            </w:r>
          </w:p>
        </w:tc>
        <w:tc>
          <w:tcPr>
            <w:tcW w:w="1417" w:type="dxa"/>
            <w:tcBorders>
              <w:top w:val="single" w:sz="4" w:space="0" w:color="auto"/>
              <w:left w:val="nil"/>
              <w:bottom w:val="single" w:sz="4" w:space="0" w:color="auto"/>
              <w:right w:val="single" w:sz="4" w:space="0" w:color="auto"/>
            </w:tcBorders>
            <w:shd w:val="clear" w:color="000000" w:fill="CCFFFF"/>
            <w:vAlign w:val="center"/>
          </w:tcPr>
          <w:p w:rsidR="0096696E" w:rsidRPr="00686D5C" w:rsidRDefault="0096696E" w:rsidP="00686D5C">
            <w:pPr>
              <w:spacing w:before="120" w:after="120"/>
              <w:jc w:val="center"/>
              <w:rPr>
                <w:rFonts w:cs="Arial"/>
                <w:bCs/>
                <w:sz w:val="16"/>
                <w:szCs w:val="16"/>
              </w:rPr>
            </w:pPr>
            <w:r w:rsidRPr="00686D5C">
              <w:rPr>
                <w:sz w:val="16"/>
              </w:rPr>
              <w:t>Budget</w:t>
            </w:r>
            <w:r w:rsidRPr="00686D5C">
              <w:br/>
            </w:r>
            <w:r w:rsidRPr="00686D5C">
              <w:rPr>
                <w:sz w:val="16"/>
              </w:rPr>
              <w:t>2012–2013 approuvé</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96696E" w:rsidRPr="00686D5C" w:rsidRDefault="0096696E" w:rsidP="00686D5C">
            <w:pPr>
              <w:spacing w:before="120" w:after="120"/>
              <w:jc w:val="center"/>
              <w:rPr>
                <w:rFonts w:cs="Arial"/>
                <w:bCs/>
                <w:sz w:val="16"/>
                <w:szCs w:val="16"/>
              </w:rPr>
            </w:pPr>
            <w:r w:rsidRPr="00686D5C">
              <w:rPr>
                <w:sz w:val="16"/>
              </w:rPr>
              <w:t>Budget</w:t>
            </w:r>
            <w:r w:rsidRPr="00686D5C">
              <w:br/>
            </w:r>
            <w:r w:rsidRPr="00686D5C">
              <w:rPr>
                <w:sz w:val="16"/>
              </w:rPr>
              <w:t>2012</w:t>
            </w:r>
            <w:r w:rsidR="002D6F2A" w:rsidRPr="00686D5C">
              <w:rPr>
                <w:sz w:val="16"/>
              </w:rPr>
              <w:noBreakHyphen/>
            </w:r>
            <w:r w:rsidRPr="00686D5C">
              <w:rPr>
                <w:sz w:val="16"/>
              </w:rPr>
              <w:t>2013 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96696E" w:rsidRPr="00686D5C" w:rsidRDefault="0096696E" w:rsidP="00686D5C">
            <w:pPr>
              <w:spacing w:before="120" w:after="120"/>
              <w:jc w:val="center"/>
              <w:rPr>
                <w:rFonts w:cs="Arial"/>
                <w:bCs/>
                <w:sz w:val="16"/>
                <w:szCs w:val="16"/>
              </w:rPr>
            </w:pPr>
            <w:r w:rsidRPr="00686D5C">
              <w:rPr>
                <w:sz w:val="16"/>
              </w:rPr>
              <w:t>Dépenses</w:t>
            </w:r>
            <w:r w:rsidRPr="00686D5C">
              <w:br/>
            </w:r>
            <w:r w:rsidRPr="00686D5C">
              <w:rPr>
                <w:sz w:val="16"/>
              </w:rPr>
              <w:t>2012</w:t>
            </w:r>
            <w:r w:rsidR="002D6F2A" w:rsidRPr="00686D5C">
              <w:rPr>
                <w:sz w:val="16"/>
              </w:rPr>
              <w:noBreakHyphen/>
            </w:r>
            <w:r w:rsidRPr="00686D5C">
              <w:rPr>
                <w:sz w:val="16"/>
              </w:rPr>
              <w:t>2013</w:t>
            </w:r>
          </w:p>
        </w:tc>
      </w:tr>
      <w:tr w:rsidR="0096696E" w:rsidRPr="00686D5C" w:rsidTr="00BB3F3E">
        <w:tc>
          <w:tcPr>
            <w:tcW w:w="567" w:type="dxa"/>
            <w:tcBorders>
              <w:top w:val="nil"/>
              <w:left w:val="single" w:sz="4" w:space="0" w:color="auto"/>
              <w:bottom w:val="nil"/>
              <w:right w:val="nil"/>
            </w:tcBorders>
            <w:shd w:val="clear" w:color="000000" w:fill="FFFFFF"/>
            <w:noWrap/>
          </w:tcPr>
          <w:p w:rsidR="0096696E" w:rsidRPr="00686D5C" w:rsidRDefault="0096696E" w:rsidP="001A5BF9">
            <w:pPr>
              <w:spacing w:before="120"/>
              <w:jc w:val="center"/>
              <w:rPr>
                <w:rFonts w:cs="Arial"/>
                <w:sz w:val="16"/>
                <w:szCs w:val="16"/>
              </w:rPr>
            </w:pPr>
            <w:proofErr w:type="spellStart"/>
            <w:r w:rsidRPr="00686D5C">
              <w:rPr>
                <w:sz w:val="16"/>
              </w:rPr>
              <w:t>II.8</w:t>
            </w:r>
            <w:proofErr w:type="spellEnd"/>
          </w:p>
        </w:tc>
        <w:tc>
          <w:tcPr>
            <w:tcW w:w="4541" w:type="dxa"/>
            <w:tcBorders>
              <w:top w:val="nil"/>
              <w:left w:val="nil"/>
              <w:bottom w:val="nil"/>
              <w:right w:val="nil"/>
            </w:tcBorders>
            <w:shd w:val="clear" w:color="000000" w:fill="FFFFFF"/>
          </w:tcPr>
          <w:p w:rsidR="0096696E" w:rsidRPr="00686D5C" w:rsidRDefault="0096696E" w:rsidP="001A5BF9">
            <w:pPr>
              <w:spacing w:before="120"/>
              <w:rPr>
                <w:rFonts w:cs="Arial"/>
                <w:sz w:val="16"/>
                <w:szCs w:val="16"/>
              </w:rPr>
            </w:pPr>
            <w:r w:rsidRPr="00686D5C">
              <w:rPr>
                <w:sz w:val="16"/>
              </w:rPr>
              <w:t>Meilleure utilisation des systèmes de Madrid et de Lisbonne, notamment par les pays en développement et</w:t>
            </w:r>
            <w:r w:rsidR="00A20444" w:rsidRPr="00686D5C">
              <w:rPr>
                <w:sz w:val="16"/>
              </w:rPr>
              <w:t xml:space="preserve"> les PMA</w:t>
            </w:r>
          </w:p>
        </w:tc>
        <w:tc>
          <w:tcPr>
            <w:tcW w:w="1417" w:type="dxa"/>
            <w:tcBorders>
              <w:top w:val="nil"/>
              <w:left w:val="nil"/>
              <w:bottom w:val="nil"/>
              <w:right w:val="nil"/>
            </w:tcBorders>
            <w:shd w:val="clear" w:color="000000" w:fill="FFFFFF"/>
            <w:vAlign w:val="center"/>
          </w:tcPr>
          <w:p w:rsidR="0096696E" w:rsidRPr="00686D5C" w:rsidRDefault="0096696E" w:rsidP="001A5BF9">
            <w:pPr>
              <w:spacing w:before="120"/>
              <w:jc w:val="right"/>
              <w:rPr>
                <w:rFonts w:cs="Arial"/>
                <w:sz w:val="16"/>
                <w:szCs w:val="16"/>
              </w:rPr>
            </w:pPr>
            <w:r w:rsidRPr="00686D5C">
              <w:rPr>
                <w:sz w:val="16"/>
              </w:rPr>
              <w:t>7 103</w:t>
            </w:r>
          </w:p>
        </w:tc>
        <w:tc>
          <w:tcPr>
            <w:tcW w:w="1418" w:type="dxa"/>
            <w:tcBorders>
              <w:top w:val="nil"/>
              <w:left w:val="nil"/>
              <w:bottom w:val="nil"/>
              <w:right w:val="nil"/>
            </w:tcBorders>
            <w:shd w:val="clear" w:color="000000" w:fill="FFFFFF"/>
            <w:vAlign w:val="center"/>
          </w:tcPr>
          <w:p w:rsidR="0096696E" w:rsidRPr="00686D5C" w:rsidRDefault="0096696E" w:rsidP="001A5BF9">
            <w:pPr>
              <w:spacing w:before="120"/>
              <w:jc w:val="right"/>
              <w:rPr>
                <w:rFonts w:cs="Arial"/>
                <w:sz w:val="16"/>
                <w:szCs w:val="16"/>
              </w:rPr>
            </w:pPr>
            <w:r w:rsidRPr="00686D5C">
              <w:rPr>
                <w:sz w:val="16"/>
              </w:rPr>
              <w:t>7 362</w:t>
            </w:r>
          </w:p>
        </w:tc>
        <w:tc>
          <w:tcPr>
            <w:tcW w:w="1418" w:type="dxa"/>
            <w:tcBorders>
              <w:top w:val="nil"/>
              <w:left w:val="nil"/>
              <w:bottom w:val="nil"/>
              <w:right w:val="single" w:sz="4" w:space="0" w:color="auto"/>
            </w:tcBorders>
            <w:shd w:val="clear" w:color="000000" w:fill="FFFFFF"/>
            <w:vAlign w:val="center"/>
          </w:tcPr>
          <w:p w:rsidR="0096696E" w:rsidRPr="00686D5C" w:rsidRDefault="0096696E" w:rsidP="001A5BF9">
            <w:pPr>
              <w:spacing w:before="120"/>
              <w:jc w:val="right"/>
              <w:rPr>
                <w:rFonts w:cs="Arial"/>
                <w:sz w:val="16"/>
                <w:szCs w:val="16"/>
              </w:rPr>
            </w:pPr>
            <w:r w:rsidRPr="00686D5C">
              <w:rPr>
                <w:sz w:val="16"/>
              </w:rPr>
              <w:t>7 256</w:t>
            </w:r>
          </w:p>
        </w:tc>
      </w:tr>
      <w:tr w:rsidR="0096696E" w:rsidRPr="00686D5C" w:rsidTr="00BB3F3E">
        <w:tc>
          <w:tcPr>
            <w:tcW w:w="567" w:type="dxa"/>
            <w:tcBorders>
              <w:top w:val="nil"/>
              <w:left w:val="single" w:sz="4" w:space="0" w:color="auto"/>
              <w:bottom w:val="nil"/>
              <w:right w:val="nil"/>
            </w:tcBorders>
            <w:shd w:val="clear" w:color="000000" w:fill="FFFFFF"/>
            <w:noWrap/>
          </w:tcPr>
          <w:p w:rsidR="0096696E" w:rsidRPr="00686D5C" w:rsidRDefault="0096696E" w:rsidP="001A5BF9">
            <w:pPr>
              <w:spacing w:before="120"/>
              <w:jc w:val="center"/>
              <w:rPr>
                <w:rFonts w:cs="Arial"/>
                <w:sz w:val="16"/>
                <w:szCs w:val="16"/>
              </w:rPr>
            </w:pPr>
            <w:proofErr w:type="spellStart"/>
            <w:r w:rsidRPr="00686D5C">
              <w:rPr>
                <w:sz w:val="16"/>
              </w:rPr>
              <w:t>II.9</w:t>
            </w:r>
            <w:proofErr w:type="spellEnd"/>
          </w:p>
        </w:tc>
        <w:tc>
          <w:tcPr>
            <w:tcW w:w="4541" w:type="dxa"/>
            <w:tcBorders>
              <w:top w:val="nil"/>
              <w:left w:val="nil"/>
              <w:bottom w:val="nil"/>
              <w:right w:val="nil"/>
            </w:tcBorders>
            <w:shd w:val="clear" w:color="000000" w:fill="FFFFFF"/>
          </w:tcPr>
          <w:p w:rsidR="0096696E" w:rsidRPr="00686D5C" w:rsidRDefault="0096696E" w:rsidP="001A5BF9">
            <w:pPr>
              <w:spacing w:before="120"/>
              <w:rPr>
                <w:rFonts w:cs="Arial"/>
                <w:sz w:val="16"/>
                <w:szCs w:val="16"/>
              </w:rPr>
            </w:pPr>
            <w:r w:rsidRPr="00686D5C">
              <w:rPr>
                <w:sz w:val="16"/>
              </w:rPr>
              <w:t>Amélioration du fonctionnement des systèmes de Madrid et de Lisbonne</w:t>
            </w:r>
          </w:p>
        </w:tc>
        <w:tc>
          <w:tcPr>
            <w:tcW w:w="1417" w:type="dxa"/>
            <w:tcBorders>
              <w:top w:val="nil"/>
              <w:left w:val="nil"/>
              <w:bottom w:val="nil"/>
              <w:right w:val="nil"/>
            </w:tcBorders>
            <w:shd w:val="clear" w:color="000000" w:fill="FFFFFF"/>
            <w:vAlign w:val="center"/>
          </w:tcPr>
          <w:p w:rsidR="0096696E" w:rsidRPr="00686D5C" w:rsidRDefault="0096696E" w:rsidP="001A5BF9">
            <w:pPr>
              <w:spacing w:before="120"/>
              <w:jc w:val="right"/>
              <w:rPr>
                <w:rFonts w:cs="Arial"/>
                <w:sz w:val="16"/>
                <w:szCs w:val="16"/>
              </w:rPr>
            </w:pPr>
            <w:r w:rsidRPr="00686D5C">
              <w:rPr>
                <w:sz w:val="16"/>
              </w:rPr>
              <w:t>43 445</w:t>
            </w:r>
          </w:p>
        </w:tc>
        <w:tc>
          <w:tcPr>
            <w:tcW w:w="1418" w:type="dxa"/>
            <w:tcBorders>
              <w:top w:val="nil"/>
              <w:left w:val="nil"/>
              <w:bottom w:val="nil"/>
              <w:right w:val="nil"/>
            </w:tcBorders>
            <w:shd w:val="clear" w:color="000000" w:fill="FFFFFF"/>
            <w:vAlign w:val="center"/>
          </w:tcPr>
          <w:p w:rsidR="0096696E" w:rsidRPr="00686D5C" w:rsidRDefault="0096696E" w:rsidP="001A5BF9">
            <w:pPr>
              <w:spacing w:before="120"/>
              <w:jc w:val="right"/>
              <w:rPr>
                <w:rFonts w:cs="Arial"/>
                <w:sz w:val="16"/>
                <w:szCs w:val="16"/>
              </w:rPr>
            </w:pPr>
            <w:r w:rsidRPr="00686D5C">
              <w:rPr>
                <w:sz w:val="16"/>
              </w:rPr>
              <w:t>42 436</w:t>
            </w:r>
          </w:p>
        </w:tc>
        <w:tc>
          <w:tcPr>
            <w:tcW w:w="1418" w:type="dxa"/>
            <w:tcBorders>
              <w:top w:val="nil"/>
              <w:left w:val="nil"/>
              <w:bottom w:val="nil"/>
              <w:right w:val="single" w:sz="4" w:space="0" w:color="auto"/>
            </w:tcBorders>
            <w:shd w:val="clear" w:color="000000" w:fill="FFFFFF"/>
            <w:vAlign w:val="center"/>
          </w:tcPr>
          <w:p w:rsidR="0096696E" w:rsidRPr="00686D5C" w:rsidRDefault="0096696E" w:rsidP="001A5BF9">
            <w:pPr>
              <w:spacing w:before="120"/>
              <w:jc w:val="right"/>
              <w:rPr>
                <w:rFonts w:cs="Arial"/>
                <w:sz w:val="16"/>
                <w:szCs w:val="16"/>
              </w:rPr>
            </w:pPr>
            <w:r w:rsidRPr="00686D5C">
              <w:rPr>
                <w:sz w:val="16"/>
              </w:rPr>
              <w:t>41 109</w:t>
            </w:r>
          </w:p>
        </w:tc>
      </w:tr>
      <w:tr w:rsidR="0096696E" w:rsidRPr="00686D5C" w:rsidTr="00BB3F3E">
        <w:tc>
          <w:tcPr>
            <w:tcW w:w="567" w:type="dxa"/>
            <w:tcBorders>
              <w:top w:val="nil"/>
              <w:left w:val="single" w:sz="4" w:space="0" w:color="auto"/>
              <w:bottom w:val="single" w:sz="4" w:space="0" w:color="auto"/>
              <w:right w:val="nil"/>
            </w:tcBorders>
            <w:shd w:val="clear" w:color="000000" w:fill="FFFFFF"/>
            <w:noWrap/>
          </w:tcPr>
          <w:p w:rsidR="0096696E" w:rsidRPr="00686D5C" w:rsidRDefault="0096696E" w:rsidP="001A5BF9">
            <w:pPr>
              <w:spacing w:before="120" w:after="120"/>
              <w:jc w:val="center"/>
              <w:rPr>
                <w:rFonts w:cs="Arial"/>
                <w:sz w:val="16"/>
                <w:szCs w:val="16"/>
              </w:rPr>
            </w:pPr>
            <w:proofErr w:type="spellStart"/>
            <w:r w:rsidRPr="00686D5C">
              <w:rPr>
                <w:sz w:val="16"/>
              </w:rPr>
              <w:t>II.10</w:t>
            </w:r>
            <w:proofErr w:type="spellEnd"/>
          </w:p>
        </w:tc>
        <w:tc>
          <w:tcPr>
            <w:tcW w:w="4541" w:type="dxa"/>
            <w:tcBorders>
              <w:top w:val="nil"/>
              <w:left w:val="nil"/>
              <w:bottom w:val="single" w:sz="4" w:space="0" w:color="auto"/>
              <w:right w:val="nil"/>
            </w:tcBorders>
            <w:shd w:val="clear" w:color="000000" w:fill="FFFFFF"/>
          </w:tcPr>
          <w:p w:rsidR="0096696E" w:rsidRPr="00686D5C" w:rsidRDefault="0096696E" w:rsidP="001A5BF9">
            <w:pPr>
              <w:spacing w:before="120" w:after="120"/>
              <w:rPr>
                <w:rFonts w:cs="Arial"/>
                <w:sz w:val="16"/>
                <w:szCs w:val="16"/>
              </w:rPr>
            </w:pPr>
            <w:r w:rsidRPr="00686D5C">
              <w:rPr>
                <w:sz w:val="16"/>
              </w:rPr>
              <w:t>Connaissance accrue des systèmes de Madrid et de Lisbonne</w:t>
            </w:r>
          </w:p>
        </w:tc>
        <w:tc>
          <w:tcPr>
            <w:tcW w:w="1417" w:type="dxa"/>
            <w:tcBorders>
              <w:top w:val="nil"/>
              <w:left w:val="nil"/>
              <w:bottom w:val="single" w:sz="4" w:space="0" w:color="auto"/>
              <w:right w:val="nil"/>
            </w:tcBorders>
            <w:shd w:val="clear" w:color="000000" w:fill="FFFFFF"/>
            <w:vAlign w:val="center"/>
          </w:tcPr>
          <w:p w:rsidR="0096696E" w:rsidRPr="00686D5C" w:rsidRDefault="0096696E" w:rsidP="001A5BF9">
            <w:pPr>
              <w:spacing w:before="120" w:after="120"/>
              <w:jc w:val="right"/>
              <w:rPr>
                <w:rFonts w:cs="Arial"/>
                <w:sz w:val="16"/>
                <w:szCs w:val="16"/>
              </w:rPr>
            </w:pPr>
            <w:r w:rsidRPr="00686D5C">
              <w:rPr>
                <w:sz w:val="16"/>
              </w:rPr>
              <w:t>1 546</w:t>
            </w:r>
          </w:p>
        </w:tc>
        <w:tc>
          <w:tcPr>
            <w:tcW w:w="1418" w:type="dxa"/>
            <w:tcBorders>
              <w:top w:val="nil"/>
              <w:left w:val="nil"/>
              <w:bottom w:val="single" w:sz="4" w:space="0" w:color="auto"/>
              <w:right w:val="nil"/>
            </w:tcBorders>
            <w:shd w:val="clear" w:color="000000" w:fill="FFFFFF"/>
            <w:vAlign w:val="center"/>
          </w:tcPr>
          <w:p w:rsidR="0096696E" w:rsidRPr="00686D5C" w:rsidRDefault="0096696E" w:rsidP="001A5BF9">
            <w:pPr>
              <w:spacing w:before="120" w:after="120"/>
              <w:jc w:val="right"/>
              <w:rPr>
                <w:rFonts w:cs="Arial"/>
                <w:sz w:val="16"/>
                <w:szCs w:val="16"/>
              </w:rPr>
            </w:pPr>
            <w:r w:rsidRPr="00686D5C">
              <w:rPr>
                <w:sz w:val="16"/>
              </w:rPr>
              <w:t xml:space="preserve">1 356 </w:t>
            </w:r>
          </w:p>
        </w:tc>
        <w:tc>
          <w:tcPr>
            <w:tcW w:w="1418" w:type="dxa"/>
            <w:tcBorders>
              <w:top w:val="nil"/>
              <w:left w:val="nil"/>
              <w:bottom w:val="single" w:sz="4" w:space="0" w:color="auto"/>
              <w:right w:val="single" w:sz="4" w:space="0" w:color="auto"/>
            </w:tcBorders>
            <w:shd w:val="clear" w:color="000000" w:fill="FFFFFF"/>
            <w:vAlign w:val="center"/>
          </w:tcPr>
          <w:p w:rsidR="0096696E" w:rsidRPr="00686D5C" w:rsidRDefault="0096696E" w:rsidP="001A5BF9">
            <w:pPr>
              <w:spacing w:before="120" w:after="120"/>
              <w:jc w:val="right"/>
              <w:rPr>
                <w:rFonts w:cs="Arial"/>
                <w:sz w:val="16"/>
                <w:szCs w:val="16"/>
              </w:rPr>
            </w:pPr>
            <w:r w:rsidRPr="00686D5C">
              <w:rPr>
                <w:sz w:val="16"/>
              </w:rPr>
              <w:t>1 087</w:t>
            </w:r>
          </w:p>
        </w:tc>
      </w:tr>
      <w:tr w:rsidR="0096696E" w:rsidRPr="00686D5C" w:rsidTr="00BB3F3E">
        <w:tc>
          <w:tcPr>
            <w:tcW w:w="567" w:type="dxa"/>
            <w:tcBorders>
              <w:top w:val="nil"/>
              <w:left w:val="single" w:sz="4" w:space="0" w:color="auto"/>
              <w:bottom w:val="single" w:sz="4" w:space="0" w:color="auto"/>
              <w:right w:val="nil"/>
            </w:tcBorders>
            <w:shd w:val="clear" w:color="000000" w:fill="CCFFFF"/>
            <w:noWrap/>
            <w:vAlign w:val="bottom"/>
          </w:tcPr>
          <w:p w:rsidR="0096696E" w:rsidRPr="00686D5C" w:rsidRDefault="0096696E" w:rsidP="001A5BF9">
            <w:pPr>
              <w:spacing w:before="120" w:after="120"/>
              <w:jc w:val="center"/>
              <w:rPr>
                <w:rFonts w:cs="Arial"/>
                <w:b/>
                <w:bCs/>
                <w:sz w:val="16"/>
                <w:szCs w:val="16"/>
              </w:rPr>
            </w:pPr>
            <w:r w:rsidRPr="00686D5C">
              <w:rPr>
                <w:b/>
                <w:sz w:val="16"/>
              </w:rPr>
              <w:t> </w:t>
            </w:r>
          </w:p>
        </w:tc>
        <w:tc>
          <w:tcPr>
            <w:tcW w:w="4541" w:type="dxa"/>
            <w:tcBorders>
              <w:top w:val="nil"/>
              <w:left w:val="nil"/>
              <w:bottom w:val="single" w:sz="4" w:space="0" w:color="auto"/>
              <w:right w:val="nil"/>
            </w:tcBorders>
            <w:shd w:val="clear" w:color="000000" w:fill="CCFFFF"/>
            <w:noWrap/>
            <w:vAlign w:val="center"/>
          </w:tcPr>
          <w:p w:rsidR="0096696E" w:rsidRPr="00686D5C" w:rsidRDefault="0096696E" w:rsidP="001A5BF9">
            <w:pPr>
              <w:spacing w:before="120" w:after="120"/>
              <w:rPr>
                <w:rFonts w:cs="Arial"/>
                <w:b/>
                <w:bCs/>
                <w:sz w:val="16"/>
                <w:szCs w:val="16"/>
              </w:rPr>
            </w:pPr>
            <w:r w:rsidRPr="00686D5C">
              <w:rPr>
                <w:b/>
                <w:sz w:val="16"/>
              </w:rPr>
              <w:t>Total</w:t>
            </w:r>
          </w:p>
        </w:tc>
        <w:tc>
          <w:tcPr>
            <w:tcW w:w="1417" w:type="dxa"/>
            <w:tcBorders>
              <w:top w:val="nil"/>
              <w:left w:val="single" w:sz="4" w:space="0" w:color="auto"/>
              <w:bottom w:val="single" w:sz="4" w:space="0" w:color="auto"/>
              <w:right w:val="single" w:sz="4" w:space="0" w:color="auto"/>
            </w:tcBorders>
            <w:shd w:val="clear" w:color="000000" w:fill="CCFFFF"/>
            <w:vAlign w:val="center"/>
          </w:tcPr>
          <w:p w:rsidR="0096696E" w:rsidRPr="00686D5C" w:rsidRDefault="0096696E" w:rsidP="001A5BF9">
            <w:pPr>
              <w:spacing w:before="120" w:after="120"/>
              <w:jc w:val="right"/>
              <w:rPr>
                <w:rFonts w:cs="Arial"/>
                <w:b/>
                <w:bCs/>
                <w:sz w:val="16"/>
                <w:szCs w:val="16"/>
              </w:rPr>
            </w:pPr>
            <w:r w:rsidRPr="00686D5C">
              <w:rPr>
                <w:b/>
                <w:sz w:val="16"/>
              </w:rPr>
              <w:t>52 094</w:t>
            </w:r>
          </w:p>
        </w:tc>
        <w:tc>
          <w:tcPr>
            <w:tcW w:w="1418" w:type="dxa"/>
            <w:tcBorders>
              <w:top w:val="nil"/>
              <w:left w:val="nil"/>
              <w:bottom w:val="single" w:sz="4" w:space="0" w:color="auto"/>
              <w:right w:val="single" w:sz="4" w:space="0" w:color="auto"/>
            </w:tcBorders>
            <w:shd w:val="clear" w:color="000000" w:fill="CCFFFF"/>
            <w:noWrap/>
            <w:vAlign w:val="center"/>
          </w:tcPr>
          <w:p w:rsidR="0096696E" w:rsidRPr="00686D5C" w:rsidRDefault="0096696E" w:rsidP="001A5BF9">
            <w:pPr>
              <w:spacing w:before="120" w:after="120"/>
              <w:jc w:val="right"/>
              <w:rPr>
                <w:rFonts w:cs="Arial"/>
                <w:b/>
                <w:bCs/>
                <w:sz w:val="16"/>
                <w:szCs w:val="16"/>
              </w:rPr>
            </w:pPr>
            <w:r w:rsidRPr="00686D5C">
              <w:rPr>
                <w:b/>
                <w:sz w:val="16"/>
              </w:rPr>
              <w:t>51 154</w:t>
            </w:r>
          </w:p>
        </w:tc>
        <w:tc>
          <w:tcPr>
            <w:tcW w:w="1418" w:type="dxa"/>
            <w:tcBorders>
              <w:top w:val="nil"/>
              <w:left w:val="nil"/>
              <w:bottom w:val="single" w:sz="4" w:space="0" w:color="auto"/>
              <w:right w:val="single" w:sz="4" w:space="0" w:color="auto"/>
            </w:tcBorders>
            <w:shd w:val="clear" w:color="000000" w:fill="CCFFFF"/>
            <w:vAlign w:val="center"/>
          </w:tcPr>
          <w:p w:rsidR="0096696E" w:rsidRPr="00686D5C" w:rsidRDefault="0096696E" w:rsidP="001A5BF9">
            <w:pPr>
              <w:spacing w:before="120" w:after="120"/>
              <w:jc w:val="right"/>
              <w:rPr>
                <w:rFonts w:cs="Arial"/>
                <w:b/>
                <w:bCs/>
                <w:sz w:val="16"/>
                <w:szCs w:val="16"/>
              </w:rPr>
            </w:pPr>
            <w:r w:rsidRPr="00686D5C">
              <w:rPr>
                <w:b/>
                <w:sz w:val="16"/>
              </w:rPr>
              <w:t>49 452</w:t>
            </w:r>
          </w:p>
        </w:tc>
      </w:tr>
    </w:tbl>
    <w:p w:rsidR="00D42474" w:rsidRDefault="00D42474" w:rsidP="001A5BF9">
      <w:pPr>
        <w:rPr>
          <w:rFonts w:cs="Arial"/>
          <w:szCs w:val="22"/>
        </w:rPr>
      </w:pPr>
    </w:p>
    <w:p w:rsidR="00D42474" w:rsidRDefault="00D42474" w:rsidP="001A5BF9"/>
    <w:p w:rsidR="00D42474" w:rsidRDefault="0096696E" w:rsidP="001A5BF9">
      <w:pPr>
        <w:pStyle w:val="NormalWeb"/>
        <w:spacing w:before="0" w:beforeAutospacing="0" w:after="0" w:afterAutospacing="0"/>
        <w:jc w:val="center"/>
        <w:rPr>
          <w:sz w:val="20"/>
        </w:rPr>
      </w:pPr>
      <w:r w:rsidRPr="00686D5C">
        <w:rPr>
          <w:sz w:val="20"/>
        </w:rPr>
        <w:t xml:space="preserve">Budget et dépenses effectives (dépenses de </w:t>
      </w:r>
      <w:proofErr w:type="gramStart"/>
      <w:r w:rsidRPr="00686D5C">
        <w:rPr>
          <w:sz w:val="20"/>
        </w:rPr>
        <w:t>personnel et autres dépenses</w:t>
      </w:r>
      <w:proofErr w:type="gramEnd"/>
      <w:r w:rsidRPr="00686D5C">
        <w:rPr>
          <w:sz w:val="20"/>
        </w:rPr>
        <w:t>)</w:t>
      </w:r>
    </w:p>
    <w:p w:rsidR="00D42474" w:rsidRDefault="0096696E" w:rsidP="001A5BF9">
      <w:pPr>
        <w:pStyle w:val="NormalWeb"/>
        <w:spacing w:before="0" w:beforeAutospacing="0" w:after="0" w:afterAutospacing="0"/>
        <w:jc w:val="center"/>
        <w:rPr>
          <w:sz w:val="20"/>
          <w:szCs w:val="20"/>
        </w:rPr>
      </w:pPr>
      <w:r w:rsidRPr="00686D5C">
        <w:rPr>
          <w:i/>
          <w:sz w:val="20"/>
        </w:rPr>
        <w:t>(</w:t>
      </w:r>
      <w:proofErr w:type="gramStart"/>
      <w:r w:rsidRPr="00686D5C">
        <w:rPr>
          <w:i/>
          <w:sz w:val="20"/>
        </w:rPr>
        <w:t>en</w:t>
      </w:r>
      <w:proofErr w:type="gramEnd"/>
      <w:r w:rsidRPr="00686D5C">
        <w:rPr>
          <w:i/>
          <w:sz w:val="20"/>
        </w:rPr>
        <w:t xml:space="preserve"> milliers de francs suisses)</w:t>
      </w:r>
    </w:p>
    <w:p w:rsidR="0096696E" w:rsidRPr="00686D5C" w:rsidRDefault="0096696E" w:rsidP="001A5BF9"/>
    <w:tbl>
      <w:tblPr>
        <w:tblW w:w="0" w:type="auto"/>
        <w:tblInd w:w="93" w:type="dxa"/>
        <w:tblLook w:val="04A0" w:firstRow="1" w:lastRow="0" w:firstColumn="1" w:lastColumn="0" w:noHBand="0" w:noVBand="1"/>
      </w:tblPr>
      <w:tblGrid>
        <w:gridCol w:w="2425"/>
        <w:gridCol w:w="1736"/>
        <w:gridCol w:w="1737"/>
        <w:gridCol w:w="1736"/>
        <w:gridCol w:w="1737"/>
      </w:tblGrid>
      <w:tr w:rsidR="0096696E" w:rsidRPr="00686D5C" w:rsidTr="00BB3F3E">
        <w:tc>
          <w:tcPr>
            <w:tcW w:w="2425"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686D5C" w:rsidRDefault="0096696E" w:rsidP="001A5BF9">
            <w:pPr>
              <w:spacing w:before="120" w:after="120"/>
              <w:rPr>
                <w:rFonts w:cs="Arial"/>
                <w:sz w:val="16"/>
                <w:szCs w:val="16"/>
              </w:rPr>
            </w:pPr>
            <w:r w:rsidRPr="00686D5C">
              <w:rPr>
                <w:sz w:val="16"/>
              </w:rPr>
              <w:t> </w:t>
            </w:r>
          </w:p>
        </w:tc>
        <w:tc>
          <w:tcPr>
            <w:tcW w:w="1736" w:type="dxa"/>
            <w:tcBorders>
              <w:top w:val="single" w:sz="4" w:space="0" w:color="auto"/>
              <w:left w:val="nil"/>
              <w:bottom w:val="nil"/>
              <w:right w:val="single" w:sz="4" w:space="0" w:color="auto"/>
            </w:tcBorders>
            <w:shd w:val="clear" w:color="000000" w:fill="CCFFFF"/>
            <w:vAlign w:val="center"/>
          </w:tcPr>
          <w:p w:rsidR="0096696E" w:rsidRPr="00686D5C" w:rsidRDefault="0096696E" w:rsidP="001A5BF9">
            <w:pPr>
              <w:spacing w:before="120" w:after="120"/>
              <w:jc w:val="center"/>
              <w:rPr>
                <w:rFonts w:cs="Arial"/>
                <w:bCs/>
                <w:sz w:val="16"/>
                <w:szCs w:val="16"/>
              </w:rPr>
            </w:pPr>
            <w:r w:rsidRPr="00686D5C">
              <w:rPr>
                <w:sz w:val="16"/>
              </w:rPr>
              <w:t>Budget</w:t>
            </w:r>
            <w:r w:rsidRPr="00686D5C">
              <w:br/>
            </w:r>
            <w:r w:rsidRPr="00686D5C">
              <w:rPr>
                <w:sz w:val="16"/>
              </w:rPr>
              <w:t>2012</w:t>
            </w:r>
            <w:r w:rsidR="002D6F2A" w:rsidRPr="00686D5C">
              <w:rPr>
                <w:sz w:val="16"/>
              </w:rPr>
              <w:noBreakHyphen/>
            </w:r>
            <w:r w:rsidRPr="00686D5C">
              <w:rPr>
                <w:sz w:val="16"/>
              </w:rPr>
              <w:t>2013</w:t>
            </w:r>
            <w:r w:rsidRPr="00686D5C">
              <w:br/>
            </w:r>
            <w:r w:rsidRPr="00686D5C">
              <w:rPr>
                <w:sz w:val="16"/>
              </w:rPr>
              <w:t>approuvé</w:t>
            </w:r>
          </w:p>
        </w:tc>
        <w:tc>
          <w:tcPr>
            <w:tcW w:w="1737" w:type="dxa"/>
            <w:tcBorders>
              <w:top w:val="single" w:sz="4" w:space="0" w:color="auto"/>
              <w:left w:val="nil"/>
              <w:bottom w:val="nil"/>
              <w:right w:val="single" w:sz="4" w:space="0" w:color="auto"/>
            </w:tcBorders>
            <w:shd w:val="clear" w:color="000000" w:fill="CCFFFF"/>
            <w:vAlign w:val="center"/>
          </w:tcPr>
          <w:p w:rsidR="0096696E" w:rsidRPr="00686D5C" w:rsidRDefault="0096696E" w:rsidP="001A5BF9">
            <w:pPr>
              <w:spacing w:before="120" w:after="120"/>
              <w:jc w:val="center"/>
              <w:rPr>
                <w:rFonts w:cs="Arial"/>
                <w:bCs/>
                <w:sz w:val="16"/>
                <w:szCs w:val="16"/>
              </w:rPr>
            </w:pPr>
            <w:r w:rsidRPr="00686D5C">
              <w:rPr>
                <w:sz w:val="16"/>
              </w:rPr>
              <w:t>Budget</w:t>
            </w:r>
            <w:r w:rsidRPr="00686D5C">
              <w:br/>
            </w:r>
            <w:r w:rsidRPr="00686D5C">
              <w:rPr>
                <w:sz w:val="16"/>
              </w:rPr>
              <w:t>2012</w:t>
            </w:r>
            <w:r w:rsidR="002D6F2A" w:rsidRPr="00686D5C">
              <w:rPr>
                <w:sz w:val="16"/>
              </w:rPr>
              <w:noBreakHyphen/>
            </w:r>
            <w:r w:rsidRPr="00686D5C">
              <w:rPr>
                <w:sz w:val="16"/>
              </w:rPr>
              <w:t>2013</w:t>
            </w:r>
            <w:r w:rsidRPr="00686D5C">
              <w:br/>
            </w:r>
            <w:r w:rsidRPr="00686D5C">
              <w:rPr>
                <w:sz w:val="16"/>
              </w:rPr>
              <w:t>après virements</w:t>
            </w:r>
          </w:p>
        </w:tc>
        <w:tc>
          <w:tcPr>
            <w:tcW w:w="1736" w:type="dxa"/>
            <w:tcBorders>
              <w:top w:val="single" w:sz="4" w:space="0" w:color="auto"/>
              <w:left w:val="nil"/>
              <w:bottom w:val="nil"/>
              <w:right w:val="single" w:sz="4" w:space="0" w:color="auto"/>
            </w:tcBorders>
            <w:shd w:val="clear" w:color="000000" w:fill="CCFFFF"/>
            <w:vAlign w:val="center"/>
          </w:tcPr>
          <w:p w:rsidR="0096696E" w:rsidRPr="00686D5C" w:rsidRDefault="0096696E" w:rsidP="001A5BF9">
            <w:pPr>
              <w:spacing w:before="120" w:after="120"/>
              <w:jc w:val="center"/>
              <w:rPr>
                <w:rFonts w:cs="Arial"/>
                <w:bCs/>
                <w:sz w:val="16"/>
                <w:szCs w:val="16"/>
              </w:rPr>
            </w:pPr>
            <w:r w:rsidRPr="00686D5C">
              <w:rPr>
                <w:sz w:val="16"/>
              </w:rPr>
              <w:t>Dépenses</w:t>
            </w:r>
            <w:r w:rsidRPr="00686D5C">
              <w:br/>
            </w:r>
            <w:r w:rsidRPr="00686D5C">
              <w:rPr>
                <w:sz w:val="16"/>
              </w:rPr>
              <w:t>2012</w:t>
            </w:r>
            <w:r w:rsidR="002D6F2A" w:rsidRPr="00686D5C">
              <w:rPr>
                <w:sz w:val="16"/>
              </w:rPr>
              <w:noBreakHyphen/>
            </w:r>
            <w:r w:rsidRPr="00686D5C">
              <w:rPr>
                <w:sz w:val="16"/>
              </w:rPr>
              <w:t>2013</w:t>
            </w:r>
          </w:p>
        </w:tc>
        <w:tc>
          <w:tcPr>
            <w:tcW w:w="1737" w:type="dxa"/>
            <w:tcBorders>
              <w:top w:val="single" w:sz="4" w:space="0" w:color="auto"/>
              <w:left w:val="nil"/>
              <w:bottom w:val="nil"/>
              <w:right w:val="single" w:sz="4" w:space="0" w:color="auto"/>
            </w:tcBorders>
            <w:shd w:val="clear" w:color="000000" w:fill="CCFFFF"/>
            <w:vAlign w:val="center"/>
          </w:tcPr>
          <w:p w:rsidR="0096696E" w:rsidRPr="00686D5C" w:rsidRDefault="0096696E" w:rsidP="001A5BF9">
            <w:pPr>
              <w:spacing w:before="120" w:after="120"/>
              <w:jc w:val="center"/>
              <w:rPr>
                <w:rFonts w:cs="Arial"/>
                <w:bCs/>
                <w:sz w:val="16"/>
                <w:szCs w:val="16"/>
              </w:rPr>
            </w:pPr>
            <w:r w:rsidRPr="00686D5C">
              <w:rPr>
                <w:sz w:val="16"/>
              </w:rPr>
              <w:t>Taux d</w:t>
            </w:r>
            <w:r w:rsidR="00A20444" w:rsidRPr="00686D5C">
              <w:rPr>
                <w:sz w:val="16"/>
              </w:rPr>
              <w:t>’</w:t>
            </w:r>
            <w:r w:rsidRPr="00686D5C">
              <w:rPr>
                <w:sz w:val="16"/>
              </w:rPr>
              <w:t xml:space="preserve">utilisation </w:t>
            </w:r>
            <w:r w:rsidR="00BD43F2" w:rsidRPr="00686D5C">
              <w:rPr>
                <w:sz w:val="16"/>
              </w:rPr>
              <w:t>(%)</w:t>
            </w:r>
          </w:p>
        </w:tc>
      </w:tr>
      <w:tr w:rsidR="0096696E" w:rsidRPr="00686D5C" w:rsidTr="00BB3F3E">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686D5C" w:rsidRDefault="0096696E" w:rsidP="001A5BF9">
            <w:pPr>
              <w:spacing w:before="120" w:after="120"/>
              <w:rPr>
                <w:rFonts w:cs="Arial"/>
                <w:sz w:val="16"/>
                <w:szCs w:val="16"/>
              </w:rPr>
            </w:pPr>
            <w:r w:rsidRPr="00686D5C">
              <w:rPr>
                <w:sz w:val="16"/>
              </w:rPr>
              <w:t>Dépenses de personnel</w:t>
            </w:r>
            <w:r w:rsidR="004F3E42" w:rsidRPr="00686D5C">
              <w:rPr>
                <w:sz w:val="16"/>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sz w:val="16"/>
                <w:szCs w:val="16"/>
              </w:rPr>
            </w:pPr>
            <w:r w:rsidRPr="00686D5C">
              <w:rPr>
                <w:sz w:val="16"/>
              </w:rPr>
              <w:t>38 617</w:t>
            </w:r>
          </w:p>
        </w:tc>
        <w:tc>
          <w:tcPr>
            <w:tcW w:w="1737" w:type="dxa"/>
            <w:tcBorders>
              <w:top w:val="single" w:sz="4" w:space="0" w:color="auto"/>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sz w:val="16"/>
                <w:szCs w:val="16"/>
              </w:rPr>
            </w:pPr>
            <w:r w:rsidRPr="00686D5C">
              <w:rPr>
                <w:sz w:val="16"/>
              </w:rPr>
              <w:t>39 160</w:t>
            </w:r>
          </w:p>
        </w:tc>
        <w:tc>
          <w:tcPr>
            <w:tcW w:w="1736" w:type="dxa"/>
            <w:tcBorders>
              <w:top w:val="single" w:sz="4" w:space="0" w:color="auto"/>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sz w:val="16"/>
                <w:szCs w:val="16"/>
              </w:rPr>
            </w:pPr>
            <w:r w:rsidRPr="00686D5C">
              <w:rPr>
                <w:sz w:val="16"/>
              </w:rPr>
              <w:t>39 160</w:t>
            </w:r>
          </w:p>
        </w:tc>
        <w:tc>
          <w:tcPr>
            <w:tcW w:w="1737" w:type="dxa"/>
            <w:tcBorders>
              <w:top w:val="single" w:sz="4" w:space="0" w:color="auto"/>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sz w:val="16"/>
                <w:szCs w:val="16"/>
              </w:rPr>
            </w:pPr>
            <w:r w:rsidRPr="00686D5C">
              <w:rPr>
                <w:sz w:val="16"/>
              </w:rPr>
              <w:t>100</w:t>
            </w:r>
            <w:r w:rsidR="007E442D" w:rsidRPr="00686D5C">
              <w:rPr>
                <w:sz w:val="16"/>
              </w:rPr>
              <w:t>%</w:t>
            </w:r>
          </w:p>
        </w:tc>
      </w:tr>
      <w:tr w:rsidR="0096696E" w:rsidRPr="00686D5C" w:rsidTr="00BB3F3E">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686D5C" w:rsidRDefault="0096696E" w:rsidP="001A5BF9">
            <w:pPr>
              <w:spacing w:before="120" w:after="120"/>
              <w:rPr>
                <w:rFonts w:cs="Arial"/>
                <w:sz w:val="16"/>
                <w:szCs w:val="16"/>
              </w:rPr>
            </w:pPr>
            <w:r w:rsidRPr="00686D5C">
              <w:rPr>
                <w:sz w:val="16"/>
              </w:rPr>
              <w:t xml:space="preserve">Autres dépenses </w:t>
            </w:r>
          </w:p>
        </w:tc>
        <w:tc>
          <w:tcPr>
            <w:tcW w:w="1736" w:type="dxa"/>
            <w:tcBorders>
              <w:top w:val="nil"/>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sz w:val="16"/>
                <w:szCs w:val="16"/>
              </w:rPr>
            </w:pPr>
            <w:r w:rsidRPr="00686D5C">
              <w:rPr>
                <w:sz w:val="16"/>
              </w:rPr>
              <w:t>13 477</w:t>
            </w:r>
          </w:p>
        </w:tc>
        <w:tc>
          <w:tcPr>
            <w:tcW w:w="1737" w:type="dxa"/>
            <w:tcBorders>
              <w:top w:val="nil"/>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sz w:val="16"/>
                <w:szCs w:val="16"/>
              </w:rPr>
            </w:pPr>
            <w:r w:rsidRPr="00686D5C">
              <w:rPr>
                <w:sz w:val="16"/>
              </w:rPr>
              <w:t>11 994</w:t>
            </w:r>
          </w:p>
        </w:tc>
        <w:tc>
          <w:tcPr>
            <w:tcW w:w="1736" w:type="dxa"/>
            <w:tcBorders>
              <w:top w:val="nil"/>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sz w:val="16"/>
                <w:szCs w:val="16"/>
              </w:rPr>
            </w:pPr>
            <w:r w:rsidRPr="00686D5C">
              <w:rPr>
                <w:sz w:val="16"/>
              </w:rPr>
              <w:t>10 292</w:t>
            </w:r>
          </w:p>
        </w:tc>
        <w:tc>
          <w:tcPr>
            <w:tcW w:w="1737" w:type="dxa"/>
            <w:tcBorders>
              <w:top w:val="nil"/>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sz w:val="16"/>
                <w:szCs w:val="16"/>
              </w:rPr>
            </w:pPr>
            <w:r w:rsidRPr="00686D5C">
              <w:rPr>
                <w:sz w:val="16"/>
              </w:rPr>
              <w:t>86</w:t>
            </w:r>
            <w:r w:rsidR="007E442D" w:rsidRPr="00686D5C">
              <w:rPr>
                <w:sz w:val="16"/>
              </w:rPr>
              <w:t>%</w:t>
            </w:r>
          </w:p>
        </w:tc>
      </w:tr>
      <w:tr w:rsidR="0096696E" w:rsidRPr="00686D5C" w:rsidTr="00BB3F3E">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686D5C" w:rsidRDefault="0096696E" w:rsidP="001A5BF9">
            <w:pPr>
              <w:spacing w:before="120" w:after="120"/>
              <w:jc w:val="right"/>
              <w:rPr>
                <w:rFonts w:cs="Arial"/>
                <w:b/>
                <w:bCs/>
                <w:sz w:val="16"/>
                <w:szCs w:val="16"/>
              </w:rPr>
            </w:pPr>
            <w:r w:rsidRPr="00686D5C">
              <w:rPr>
                <w:b/>
                <w:sz w:val="16"/>
              </w:rPr>
              <w:t>TOTAL</w:t>
            </w:r>
          </w:p>
        </w:tc>
        <w:tc>
          <w:tcPr>
            <w:tcW w:w="1736" w:type="dxa"/>
            <w:tcBorders>
              <w:top w:val="nil"/>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b/>
                <w:bCs/>
                <w:sz w:val="16"/>
                <w:szCs w:val="16"/>
              </w:rPr>
            </w:pPr>
            <w:r w:rsidRPr="00686D5C">
              <w:rPr>
                <w:b/>
                <w:sz w:val="16"/>
              </w:rPr>
              <w:t>52 094</w:t>
            </w:r>
          </w:p>
        </w:tc>
        <w:tc>
          <w:tcPr>
            <w:tcW w:w="1737" w:type="dxa"/>
            <w:tcBorders>
              <w:top w:val="nil"/>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b/>
                <w:bCs/>
                <w:sz w:val="16"/>
                <w:szCs w:val="16"/>
              </w:rPr>
            </w:pPr>
            <w:r w:rsidRPr="00686D5C">
              <w:rPr>
                <w:b/>
                <w:sz w:val="16"/>
              </w:rPr>
              <w:t>51 154</w:t>
            </w:r>
          </w:p>
        </w:tc>
        <w:tc>
          <w:tcPr>
            <w:tcW w:w="1736" w:type="dxa"/>
            <w:tcBorders>
              <w:top w:val="nil"/>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b/>
                <w:bCs/>
                <w:sz w:val="16"/>
                <w:szCs w:val="16"/>
              </w:rPr>
            </w:pPr>
            <w:r w:rsidRPr="00686D5C">
              <w:rPr>
                <w:b/>
                <w:sz w:val="16"/>
              </w:rPr>
              <w:t>49 452</w:t>
            </w:r>
          </w:p>
        </w:tc>
        <w:tc>
          <w:tcPr>
            <w:tcW w:w="1737" w:type="dxa"/>
            <w:tcBorders>
              <w:top w:val="nil"/>
              <w:left w:val="nil"/>
              <w:bottom w:val="single" w:sz="4" w:space="0" w:color="auto"/>
              <w:right w:val="single" w:sz="4" w:space="0" w:color="auto"/>
            </w:tcBorders>
            <w:shd w:val="clear" w:color="auto" w:fill="auto"/>
            <w:vAlign w:val="center"/>
          </w:tcPr>
          <w:p w:rsidR="0096696E" w:rsidRPr="00686D5C" w:rsidRDefault="0096696E" w:rsidP="001A5BF9">
            <w:pPr>
              <w:spacing w:before="120" w:after="120"/>
              <w:jc w:val="center"/>
              <w:rPr>
                <w:rFonts w:cs="Arial"/>
                <w:b/>
                <w:bCs/>
                <w:sz w:val="16"/>
                <w:szCs w:val="16"/>
              </w:rPr>
            </w:pPr>
            <w:r w:rsidRPr="00686D5C">
              <w:rPr>
                <w:b/>
                <w:sz w:val="16"/>
              </w:rPr>
              <w:t>97</w:t>
            </w:r>
            <w:r w:rsidR="007E442D" w:rsidRPr="00686D5C">
              <w:rPr>
                <w:b/>
                <w:sz w:val="16"/>
              </w:rPr>
              <w:t>%</w:t>
            </w:r>
          </w:p>
        </w:tc>
      </w:tr>
    </w:tbl>
    <w:p w:rsidR="00D42474" w:rsidRDefault="00D42474" w:rsidP="001A5BF9">
      <w:pPr>
        <w:jc w:val="center"/>
      </w:pPr>
    </w:p>
    <w:p w:rsidR="00D42474" w:rsidRDefault="0096696E" w:rsidP="001A5BF9">
      <w:pPr>
        <w:keepNext/>
        <w:autoSpaceDE w:val="0"/>
        <w:autoSpaceDN w:val="0"/>
        <w:rPr>
          <w:sz w:val="16"/>
          <w:szCs w:val="16"/>
        </w:rPr>
      </w:pPr>
      <w:proofErr w:type="gramStart"/>
      <w:r w:rsidRPr="00686D5C">
        <w:rPr>
          <w:sz w:val="16"/>
        </w:rPr>
        <w:t>REMARQUES</w:t>
      </w:r>
      <w:proofErr w:type="gramEnd"/>
      <w:r w:rsidRPr="00686D5C">
        <w:rPr>
          <w:sz w:val="16"/>
        </w:rPr>
        <w:t> :</w:t>
      </w:r>
    </w:p>
    <w:p w:rsidR="00D42474" w:rsidRDefault="00D42474" w:rsidP="001A5BF9">
      <w:pPr>
        <w:keepNext/>
        <w:autoSpaceDE w:val="0"/>
        <w:autoSpaceDN w:val="0"/>
        <w:rPr>
          <w:sz w:val="16"/>
          <w:szCs w:val="16"/>
        </w:rPr>
      </w:pPr>
    </w:p>
    <w:p w:rsidR="00D42474" w:rsidRDefault="0096696E" w:rsidP="001A5BF9">
      <w:pPr>
        <w:keepNext/>
        <w:autoSpaceDE w:val="0"/>
        <w:autoSpaceDN w:val="0"/>
        <w:rPr>
          <w:sz w:val="16"/>
          <w:szCs w:val="16"/>
        </w:rPr>
      </w:pPr>
      <w:r w:rsidRPr="00686D5C">
        <w:rPr>
          <w:sz w:val="16"/>
        </w:rPr>
        <w:t>1)</w:t>
      </w:r>
      <w:r w:rsidR="00686D5C">
        <w:rPr>
          <w:sz w:val="16"/>
        </w:rPr>
        <w:tab/>
      </w:r>
      <w:r w:rsidRPr="00686D5C">
        <w:rPr>
          <w:sz w:val="16"/>
        </w:rPr>
        <w:t>Le budget restructuré après virements tient compte du budget ajusté des programmes après les virements réalisés au cours de l</w:t>
      </w:r>
      <w:r w:rsidR="00A20444" w:rsidRPr="00686D5C">
        <w:rPr>
          <w:sz w:val="16"/>
        </w:rPr>
        <w:t>’</w:t>
      </w:r>
      <w:r w:rsidRPr="00686D5C">
        <w:rPr>
          <w:sz w:val="16"/>
        </w:rPr>
        <w:t>exercice 2012</w:t>
      </w:r>
      <w:r w:rsidR="002D6F2A" w:rsidRPr="00686D5C">
        <w:rPr>
          <w:sz w:val="16"/>
        </w:rPr>
        <w:noBreakHyphen/>
      </w:r>
      <w:r w:rsidRPr="00686D5C">
        <w:rPr>
          <w:sz w:val="16"/>
        </w:rPr>
        <w:t xml:space="preserve">2013, conformément à </w:t>
      </w:r>
      <w:r w:rsidR="00E15133" w:rsidRPr="00686D5C">
        <w:rPr>
          <w:sz w:val="16"/>
        </w:rPr>
        <w:t>l</w:t>
      </w:r>
      <w:r w:rsidR="00A20444" w:rsidRPr="00686D5C">
        <w:rPr>
          <w:sz w:val="16"/>
        </w:rPr>
        <w:t>’</w:t>
      </w:r>
      <w:r w:rsidR="00E15133" w:rsidRPr="00686D5C">
        <w:rPr>
          <w:sz w:val="16"/>
        </w:rPr>
        <w:t>article 5.5</w:t>
      </w:r>
      <w:r w:rsidRPr="00686D5C">
        <w:rPr>
          <w:sz w:val="16"/>
        </w:rPr>
        <w:t xml:space="preserve"> du règlement d</w:t>
      </w:r>
      <w:r w:rsidR="00A20444" w:rsidRPr="00686D5C">
        <w:rPr>
          <w:sz w:val="16"/>
        </w:rPr>
        <w:t>’</w:t>
      </w:r>
      <w:r w:rsidRPr="00686D5C">
        <w:rPr>
          <w:sz w:val="16"/>
        </w:rPr>
        <w:t>exécution du Règlement financier.</w:t>
      </w:r>
    </w:p>
    <w:p w:rsidR="00D42474" w:rsidRDefault="00D42474" w:rsidP="001A5BF9">
      <w:pPr>
        <w:keepNext/>
        <w:autoSpaceDE w:val="0"/>
        <w:autoSpaceDN w:val="0"/>
        <w:rPr>
          <w:sz w:val="16"/>
          <w:szCs w:val="16"/>
        </w:rPr>
      </w:pPr>
    </w:p>
    <w:p w:rsidR="00D42474" w:rsidRDefault="00686D5C" w:rsidP="001A5BF9">
      <w:pPr>
        <w:keepNext/>
        <w:autoSpaceDE w:val="0"/>
        <w:autoSpaceDN w:val="0"/>
        <w:rPr>
          <w:sz w:val="16"/>
        </w:rPr>
      </w:pPr>
      <w:r>
        <w:rPr>
          <w:sz w:val="16"/>
        </w:rPr>
        <w:t>2)</w:t>
      </w:r>
      <w:r>
        <w:rPr>
          <w:sz w:val="16"/>
        </w:rPr>
        <w:tab/>
      </w:r>
      <w:r w:rsidR="0096696E" w:rsidRPr="00686D5C">
        <w:rPr>
          <w:sz w:val="16"/>
        </w:rPr>
        <w:t>Les dépenses de personnel indiquées dans le budget de l</w:t>
      </w:r>
      <w:r w:rsidR="00A20444" w:rsidRPr="00686D5C">
        <w:rPr>
          <w:sz w:val="16"/>
        </w:rPr>
        <w:t>’</w:t>
      </w:r>
      <w:r w:rsidR="0096696E" w:rsidRPr="00686D5C">
        <w:rPr>
          <w:sz w:val="16"/>
        </w:rPr>
        <w:t>exercice 2012</w:t>
      </w:r>
      <w:r w:rsidR="002D6F2A" w:rsidRPr="00686D5C">
        <w:rPr>
          <w:sz w:val="16"/>
        </w:rPr>
        <w:noBreakHyphen/>
      </w:r>
      <w:r w:rsidR="0096696E" w:rsidRPr="00686D5C">
        <w:rPr>
          <w:sz w:val="16"/>
        </w:rPr>
        <w:t>2013 après virements représentent les dépenses réelles engagées pendant l</w:t>
      </w:r>
      <w:r w:rsidR="00A20444" w:rsidRPr="00686D5C">
        <w:rPr>
          <w:sz w:val="16"/>
        </w:rPr>
        <w:t>’</w:t>
      </w:r>
      <w:r w:rsidR="0096696E" w:rsidRPr="00686D5C">
        <w:rPr>
          <w:sz w:val="16"/>
        </w:rPr>
        <w:t>exercice biennal.</w:t>
      </w:r>
    </w:p>
    <w:p w:rsidR="00D42474" w:rsidRDefault="00D42474" w:rsidP="001A5BF9">
      <w:pPr>
        <w:keepNext/>
        <w:autoSpaceDE w:val="0"/>
        <w:autoSpaceDN w:val="0"/>
        <w:rPr>
          <w:szCs w:val="22"/>
        </w:rPr>
      </w:pPr>
    </w:p>
    <w:p w:rsidR="00D42474" w:rsidRDefault="00D42474" w:rsidP="001A5BF9">
      <w:pPr>
        <w:rPr>
          <w:szCs w:val="22"/>
        </w:rPr>
      </w:pPr>
    </w:p>
    <w:p w:rsidR="00D42474" w:rsidRDefault="0096696E" w:rsidP="001A5BF9">
      <w:pPr>
        <w:keepNext/>
        <w:keepLines/>
        <w:tabs>
          <w:tab w:val="left" w:pos="709"/>
        </w:tabs>
        <w:rPr>
          <w:u w:val="single"/>
        </w:rPr>
      </w:pPr>
      <w:r w:rsidRPr="00686D5C">
        <w:t>A.</w:t>
      </w:r>
      <w:r w:rsidRPr="00686D5C">
        <w:tab/>
      </w:r>
      <w:r w:rsidRPr="005C7CCE">
        <w:rPr>
          <w:u w:val="single"/>
        </w:rPr>
        <w:t>Budget 2012</w:t>
      </w:r>
      <w:r w:rsidR="002D6F2A" w:rsidRPr="005C7CCE">
        <w:rPr>
          <w:u w:val="single"/>
        </w:rPr>
        <w:noBreakHyphen/>
      </w:r>
      <w:r w:rsidRPr="005C7CCE">
        <w:rPr>
          <w:u w:val="single"/>
        </w:rPr>
        <w:t>2013 après virements</w:t>
      </w:r>
    </w:p>
    <w:p w:rsidR="00D42474" w:rsidRDefault="00D42474" w:rsidP="001A5BF9">
      <w:pPr>
        <w:tabs>
          <w:tab w:val="left" w:pos="709"/>
        </w:tabs>
        <w:jc w:val="both"/>
      </w:pPr>
    </w:p>
    <w:p w:rsidR="00D42474" w:rsidRDefault="0096696E" w:rsidP="001A5BF9">
      <w:pPr>
        <w:pStyle w:val="Paragraphedeliste"/>
        <w:numPr>
          <w:ilvl w:val="0"/>
          <w:numId w:val="17"/>
        </w:numPr>
        <w:tabs>
          <w:tab w:val="left" w:pos="709"/>
        </w:tabs>
        <w:ind w:left="0" w:firstLine="0"/>
        <w:jc w:val="both"/>
      </w:pPr>
      <w:r w:rsidRPr="005C7CCE">
        <w:t>Les dépenses de personnel indiquées dans le budget de l</w:t>
      </w:r>
      <w:r w:rsidR="00A20444" w:rsidRPr="005C7CCE">
        <w:t>’</w:t>
      </w:r>
      <w:r w:rsidRPr="005C7CCE">
        <w:t>exercice 2012</w:t>
      </w:r>
      <w:r w:rsidR="002D6F2A" w:rsidRPr="005C7CCE">
        <w:noBreakHyphen/>
      </w:r>
      <w:r w:rsidRPr="005C7CCE">
        <w:t>2013 après virements reflètent une hausse des ajustements essentiellement due à la régularisation de plusieurs agents temporaires de longue durée, conformément à la décision prise par les assemblées en 2010.</w:t>
      </w:r>
    </w:p>
    <w:p w:rsidR="00D42474" w:rsidRDefault="00D42474" w:rsidP="001A5BF9">
      <w:pPr>
        <w:tabs>
          <w:tab w:val="left" w:pos="709"/>
        </w:tabs>
        <w:jc w:val="both"/>
        <w:rPr>
          <w:rFonts w:eastAsia="Batang"/>
        </w:rPr>
      </w:pPr>
    </w:p>
    <w:p w:rsidR="00D42474" w:rsidRDefault="0096696E" w:rsidP="001A5BF9">
      <w:pPr>
        <w:pStyle w:val="Paragraphedeliste"/>
        <w:numPr>
          <w:ilvl w:val="0"/>
          <w:numId w:val="17"/>
        </w:numPr>
        <w:tabs>
          <w:tab w:val="left" w:pos="709"/>
        </w:tabs>
        <w:ind w:left="0" w:firstLine="0"/>
        <w:jc w:val="both"/>
      </w:pPr>
      <w:r w:rsidRPr="00686D5C">
        <w:t>L</w:t>
      </w:r>
      <w:r w:rsidR="00A20444" w:rsidRPr="00686D5C">
        <w:t>’</w:t>
      </w:r>
      <w:r w:rsidRPr="00686D5C">
        <w:t>affectation aux dépenses autres pour le budget 2012</w:t>
      </w:r>
      <w:r w:rsidR="002D6F2A" w:rsidRPr="00686D5C">
        <w:noBreakHyphen/>
      </w:r>
      <w:r w:rsidRPr="00686D5C">
        <w:t>2013 après virements, tient compte des ajustements à la baisse opérés pour réduire les coûts conformément aux engagements de l</w:t>
      </w:r>
      <w:r w:rsidR="00A20444" w:rsidRPr="00686D5C">
        <w:t>’</w:t>
      </w:r>
      <w:r w:rsidRPr="00686D5C">
        <w:t>Organisation de réduire les dépenses de 10,2</w:t>
      </w:r>
      <w:r w:rsidR="0010442A" w:rsidRPr="00686D5C">
        <w:t> </w:t>
      </w:r>
      <w:r w:rsidRPr="00686D5C">
        <w:t>millions de francs suisses pour l</w:t>
      </w:r>
      <w:r w:rsidR="00A20444" w:rsidRPr="00686D5C">
        <w:t>’</w:t>
      </w:r>
      <w:r w:rsidRPr="00686D5C">
        <w:t>exercice biennal</w:t>
      </w:r>
      <w:r w:rsidR="0010442A" w:rsidRPr="00686D5C">
        <w:t> </w:t>
      </w:r>
      <w:r w:rsidRPr="00686D5C">
        <w:t>2012</w:t>
      </w:r>
      <w:r w:rsidR="002D6F2A" w:rsidRPr="00686D5C">
        <w:noBreakHyphen/>
      </w:r>
      <w:r w:rsidRPr="00686D5C">
        <w:t>2013.</w:t>
      </w:r>
    </w:p>
    <w:p w:rsidR="00D42474" w:rsidRDefault="00D42474" w:rsidP="001A5BF9">
      <w:pPr>
        <w:tabs>
          <w:tab w:val="left" w:pos="709"/>
        </w:tabs>
        <w:jc w:val="both"/>
        <w:rPr>
          <w:rFonts w:eastAsia="Batang"/>
        </w:rPr>
      </w:pPr>
    </w:p>
    <w:p w:rsidR="00D42474" w:rsidRDefault="00686D5C">
      <w:r>
        <w:br w:type="page"/>
      </w:r>
    </w:p>
    <w:p w:rsidR="00D42474" w:rsidRDefault="0096696E" w:rsidP="001A5BF9">
      <w:pPr>
        <w:tabs>
          <w:tab w:val="left" w:pos="709"/>
        </w:tabs>
        <w:jc w:val="both"/>
        <w:rPr>
          <w:rFonts w:eastAsia="Batang"/>
          <w:u w:val="single"/>
        </w:rPr>
      </w:pPr>
      <w:r w:rsidRPr="005C7CCE">
        <w:t>B.</w:t>
      </w:r>
      <w:r w:rsidR="00686D5C">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Pr>
        <w:tabs>
          <w:tab w:val="left" w:pos="709"/>
        </w:tabs>
        <w:jc w:val="both"/>
      </w:pPr>
    </w:p>
    <w:p w:rsidR="00D42474" w:rsidRDefault="0096696E" w:rsidP="001A5BF9">
      <w:pPr>
        <w:pStyle w:val="Paragraphedeliste"/>
        <w:numPr>
          <w:ilvl w:val="0"/>
          <w:numId w:val="17"/>
        </w:numPr>
        <w:tabs>
          <w:tab w:val="left" w:pos="709"/>
        </w:tabs>
        <w:ind w:left="0" w:firstLine="0"/>
        <w:jc w:val="both"/>
        <w:rPr>
          <w:rFonts w:eastAsia="Batang" w:cs="Arial"/>
        </w:rPr>
      </w:pPr>
      <w:r w:rsidRPr="005C7CCE">
        <w:t>Le taux d</w:t>
      </w:r>
      <w:r w:rsidR="00A20444" w:rsidRPr="005C7CCE">
        <w:t>’</w:t>
      </w:r>
      <w:r w:rsidRPr="005C7CCE">
        <w:t>utilisation du budget du programme pour les dépenses autres que les dépenses de personnel s</w:t>
      </w:r>
      <w:r w:rsidR="00A20444" w:rsidRPr="005C7CCE">
        <w:t>’</w:t>
      </w:r>
      <w:r w:rsidRPr="005C7CCE">
        <w:t>élève à 86</w:t>
      </w:r>
      <w:r w:rsidR="007E442D" w:rsidRPr="005C7CCE">
        <w:t>%</w:t>
      </w:r>
      <w:r w:rsidRPr="005C7CCE">
        <w:t xml:space="preserve"> du budget après virements.</w:t>
      </w:r>
      <w:r w:rsidR="0010442A" w:rsidRPr="005C7CCE">
        <w:t xml:space="preserve"> </w:t>
      </w:r>
      <w:r w:rsidRPr="005C7CCE">
        <w:t xml:space="preserve"> La sous</w:t>
      </w:r>
      <w:r w:rsidR="002D6F2A" w:rsidRPr="005C7CCE">
        <w:noBreakHyphen/>
      </w:r>
      <w:r w:rsidRPr="005C7CCE">
        <w:t>utilisation des ressources hors personnel s</w:t>
      </w:r>
      <w:r w:rsidR="00A20444" w:rsidRPr="005C7CCE">
        <w:t>’</w:t>
      </w:r>
      <w:r w:rsidRPr="005C7CCE">
        <w:t>explique principalement par :</w:t>
      </w:r>
    </w:p>
    <w:p w:rsidR="00D42474" w:rsidRDefault="00D42474" w:rsidP="001A5BF9">
      <w:pPr>
        <w:jc w:val="both"/>
        <w:rPr>
          <w:rFonts w:eastAsia="Batang" w:cs="Arial"/>
          <w:szCs w:val="20"/>
        </w:rPr>
      </w:pPr>
    </w:p>
    <w:p w:rsidR="00D42474" w:rsidRDefault="0096696E" w:rsidP="001A5BF9">
      <w:pPr>
        <w:pStyle w:val="Paragraphedeliste"/>
        <w:numPr>
          <w:ilvl w:val="0"/>
          <w:numId w:val="16"/>
        </w:numPr>
        <w:ind w:left="851" w:hanging="284"/>
        <w:jc w:val="both"/>
      </w:pPr>
      <w:r w:rsidRPr="005C7CCE">
        <w:t>une réduction des missions du personnel et des économies découlant des réservations anticipées pour les voyages dans le cadre des résultats </w:t>
      </w:r>
      <w:proofErr w:type="spellStart"/>
      <w:r w:rsidRPr="005C7CCE">
        <w:t>II.8</w:t>
      </w:r>
      <w:proofErr w:type="spellEnd"/>
      <w:r w:rsidRPr="005C7CCE">
        <w:t xml:space="preserve"> (Meilleure utilisation des systèmes de Madrid et Lisbonne) et </w:t>
      </w:r>
      <w:proofErr w:type="spellStart"/>
      <w:r w:rsidRPr="005C7CCE">
        <w:t>II.10</w:t>
      </w:r>
      <w:proofErr w:type="spellEnd"/>
      <w:r w:rsidRPr="005C7CCE">
        <w:t xml:space="preserve"> (Connaissance accrue des systèmes de Madrid et de Lisbonne);</w:t>
      </w:r>
    </w:p>
    <w:p w:rsidR="00D42474" w:rsidRDefault="00D42474" w:rsidP="001A5BF9">
      <w:pPr>
        <w:pStyle w:val="Paragraphedeliste"/>
        <w:ind w:left="851" w:hanging="284"/>
        <w:jc w:val="both"/>
        <w:rPr>
          <w:rFonts w:eastAsia="Batang" w:cs="Arial"/>
        </w:rPr>
      </w:pPr>
    </w:p>
    <w:p w:rsidR="00D42474" w:rsidRDefault="0096696E" w:rsidP="001A5BF9">
      <w:pPr>
        <w:pStyle w:val="Paragraphedeliste"/>
        <w:numPr>
          <w:ilvl w:val="0"/>
          <w:numId w:val="16"/>
        </w:numPr>
        <w:ind w:left="851" w:hanging="284"/>
        <w:jc w:val="both"/>
      </w:pPr>
      <w:r w:rsidRPr="005C7CCE">
        <w:t>des économies réalisées sur i) les coûts d</w:t>
      </w:r>
      <w:r w:rsidR="00A20444" w:rsidRPr="005C7CCE">
        <w:t>’</w:t>
      </w:r>
      <w:r w:rsidRPr="005C7CCE">
        <w:t xml:space="preserve">interprétation grâce à un groupe de travail de Madrid plus court, </w:t>
      </w:r>
      <w:r w:rsidR="00A20444" w:rsidRPr="005C7CCE">
        <w:t>à savoir</w:t>
      </w:r>
      <w:r w:rsidRPr="005C7CCE">
        <w:t xml:space="preserve"> trois jours au lieu de cinq, et une augmentation de l</w:t>
      </w:r>
      <w:r w:rsidR="00A20444" w:rsidRPr="005C7CCE">
        <w:t>’</w:t>
      </w:r>
      <w:r w:rsidRPr="005C7CCE">
        <w:t>utilisation du système World Server et des serv</w:t>
      </w:r>
      <w:r w:rsidR="00F80E4F">
        <w:t>ices de traduction externes, et </w:t>
      </w:r>
      <w:r w:rsidRPr="005C7CCE">
        <w:t>ii) une réduction des affranchissements dans le cadre du point </w:t>
      </w:r>
      <w:proofErr w:type="spellStart"/>
      <w:r w:rsidRPr="005C7CCE">
        <w:t>II.9</w:t>
      </w:r>
      <w:proofErr w:type="spellEnd"/>
      <w:r w:rsidRPr="005C7CCE">
        <w:t xml:space="preserve"> (Meilleur</w:t>
      </w:r>
      <w:r w:rsidR="001F665F" w:rsidRPr="005C7CCE">
        <w:t>e</w:t>
      </w:r>
      <w:r w:rsidRPr="005C7CCE">
        <w:t xml:space="preserve"> </w:t>
      </w:r>
      <w:r w:rsidR="001F665F" w:rsidRPr="005C7CCE">
        <w:t>exploitation</w:t>
      </w:r>
      <w:r w:rsidRPr="005C7CCE">
        <w:t xml:space="preserve"> des systèmes de Madrid et de Lisbonne) suite à une utilisation accrue des moyens électroniques.</w:t>
      </w:r>
    </w:p>
    <w:p w:rsidR="00D42474" w:rsidRDefault="00D42474" w:rsidP="001A5BF9">
      <w:pPr>
        <w:pStyle w:val="Paragraphedeliste"/>
        <w:ind w:left="851" w:hanging="284"/>
        <w:jc w:val="both"/>
      </w:pPr>
    </w:p>
    <w:p w:rsidR="00D42474" w:rsidRDefault="0096696E" w:rsidP="001A5BF9">
      <w:pPr>
        <w:rPr>
          <w:szCs w:val="20"/>
        </w:rPr>
      </w:pPr>
      <w:r w:rsidRPr="005C7CCE">
        <w:br w:type="page"/>
      </w:r>
    </w:p>
    <w:p w:rsidR="00D42474" w:rsidRDefault="003D32C1" w:rsidP="003D32C1">
      <w:pPr>
        <w:pStyle w:val="Heading3"/>
      </w:pPr>
      <w:bookmarkStart w:id="17" w:name="_Toc395082470"/>
      <w:r>
        <w:t>Programme 31</w:t>
      </w:r>
      <w:r>
        <w:tab/>
        <w:t>S</w:t>
      </w:r>
      <w:r w:rsidRPr="00686D5C">
        <w:t>yst</w:t>
      </w:r>
      <w:r w:rsidRPr="00686D5C">
        <w:rPr>
          <w:rFonts w:hint="eastAsia"/>
        </w:rPr>
        <w:t>è</w:t>
      </w:r>
      <w:r w:rsidRPr="00686D5C">
        <w:t>me de la</w:t>
      </w:r>
      <w:r w:rsidRPr="00686D5C">
        <w:rPr>
          <w:rFonts w:hint="eastAsia"/>
        </w:rPr>
        <w:t> </w:t>
      </w:r>
      <w:r w:rsidRPr="00686D5C">
        <w:t>haye</w:t>
      </w:r>
      <w:bookmarkEnd w:id="17"/>
    </w:p>
    <w:p w:rsidR="00D42474" w:rsidRDefault="00D42474" w:rsidP="001A5BF9">
      <w:pPr>
        <w:ind w:left="2268" w:hanging="2268"/>
        <w:rPr>
          <w:rFonts w:cs="Arial"/>
          <w:b/>
          <w:sz w:val="22"/>
          <w:szCs w:val="22"/>
        </w:rPr>
      </w:pPr>
    </w:p>
    <w:p w:rsidR="00D42474" w:rsidRDefault="0096696E" w:rsidP="001A5BF9">
      <w:pPr>
        <w:ind w:left="2268" w:hanging="2268"/>
        <w:rPr>
          <w:rFonts w:cs="Arial"/>
          <w:b/>
          <w:sz w:val="22"/>
          <w:szCs w:val="22"/>
        </w:rPr>
      </w:pPr>
      <w:r w:rsidRPr="00686D5C">
        <w:rPr>
          <w:b/>
          <w:sz w:val="22"/>
          <w:szCs w:val="22"/>
        </w:rPr>
        <w:t>Chef de programme</w:t>
      </w:r>
      <w:r w:rsidRPr="00686D5C">
        <w:rPr>
          <w:b/>
          <w:sz w:val="22"/>
          <w:szCs w:val="22"/>
        </w:rPr>
        <w:tab/>
      </w:r>
      <w:r w:rsidRPr="00686D5C">
        <w:rPr>
          <w:b/>
          <w:sz w:val="22"/>
          <w:szCs w:val="22"/>
        </w:rPr>
        <w:tab/>
        <w:t>Mme</w:t>
      </w:r>
      <w:r w:rsidR="0010442A" w:rsidRPr="00686D5C">
        <w:rPr>
          <w:b/>
          <w:sz w:val="22"/>
          <w:szCs w:val="22"/>
        </w:rPr>
        <w:t> </w:t>
      </w:r>
      <w:r w:rsidRPr="00686D5C">
        <w:rPr>
          <w:b/>
          <w:sz w:val="22"/>
          <w:szCs w:val="22"/>
        </w:rPr>
        <w:t>B.</w:t>
      </w:r>
      <w:r w:rsidR="0010442A" w:rsidRPr="00686D5C">
        <w:rPr>
          <w:b/>
          <w:sz w:val="22"/>
          <w:szCs w:val="22"/>
        </w:rPr>
        <w:t> </w:t>
      </w:r>
      <w:r w:rsidRPr="00686D5C">
        <w:rPr>
          <w:b/>
          <w:sz w:val="22"/>
          <w:szCs w:val="22"/>
        </w:rPr>
        <w:t>Wang</w:t>
      </w:r>
    </w:p>
    <w:p w:rsidR="00D42474" w:rsidRDefault="00D42474" w:rsidP="001A5BF9">
      <w:pPr>
        <w:rPr>
          <w:rFonts w:cs="Arial"/>
          <w:sz w:val="22"/>
          <w:szCs w:val="22"/>
        </w:rPr>
      </w:pPr>
    </w:p>
    <w:p w:rsidR="00D42474" w:rsidRDefault="00D42474" w:rsidP="001A5BF9">
      <w:pPr>
        <w:rPr>
          <w:rFonts w:cs="Arial"/>
          <w:bCs/>
          <w:sz w:val="22"/>
          <w:szCs w:val="22"/>
        </w:rPr>
      </w:pPr>
    </w:p>
    <w:p w:rsidR="00D42474" w:rsidRDefault="0096696E" w:rsidP="001A5BF9">
      <w:pPr>
        <w:rPr>
          <w:rFonts w:cs="Arial"/>
          <w:sz w:val="22"/>
          <w:szCs w:val="22"/>
        </w:rPr>
      </w:pPr>
      <w:r w:rsidRPr="00686D5C">
        <w:rPr>
          <w:sz w:val="22"/>
          <w:szCs w:val="22"/>
        </w:rPr>
        <w:t>RÉALISATIONS EN 2012</w:t>
      </w:r>
      <w:r w:rsidR="002D6F2A" w:rsidRPr="00686D5C">
        <w:rPr>
          <w:sz w:val="22"/>
          <w:szCs w:val="22"/>
        </w:rPr>
        <w:noBreakHyphen/>
      </w:r>
      <w:r w:rsidRPr="00686D5C">
        <w:rPr>
          <w:sz w:val="22"/>
          <w:szCs w:val="22"/>
        </w:rPr>
        <w:t>2013</w:t>
      </w:r>
    </w:p>
    <w:p w:rsidR="00D42474" w:rsidRDefault="00D42474" w:rsidP="001A5BF9">
      <w:pPr>
        <w:autoSpaceDE w:val="0"/>
        <w:autoSpaceDN w:val="0"/>
        <w:adjustRightInd w:val="0"/>
        <w:rPr>
          <w:rFonts w:cs="Arial"/>
          <w:sz w:val="22"/>
          <w:szCs w:val="22"/>
        </w:rPr>
      </w:pPr>
    </w:p>
    <w:p w:rsidR="00D42474" w:rsidRDefault="0096696E" w:rsidP="001A5BF9">
      <w:pPr>
        <w:tabs>
          <w:tab w:val="left" w:pos="709"/>
        </w:tabs>
        <w:autoSpaceDE w:val="0"/>
        <w:autoSpaceDN w:val="0"/>
        <w:adjustRightInd w:val="0"/>
        <w:jc w:val="both"/>
      </w:pPr>
      <w:r w:rsidRPr="005C7CCE">
        <w:t>31.1.</w:t>
      </w:r>
      <w:r w:rsidRPr="005C7CCE">
        <w:tab/>
        <w:t>Au cours de l</w:t>
      </w:r>
      <w:r w:rsidR="00A20444" w:rsidRPr="005C7CCE">
        <w:t>’</w:t>
      </w:r>
      <w:r w:rsidRPr="005C7CCE">
        <w:t>exercice biennal 2012</w:t>
      </w:r>
      <w:r w:rsidR="002D6F2A" w:rsidRPr="005C7CCE">
        <w:noBreakHyphen/>
      </w:r>
      <w:r w:rsidRPr="005C7CCE">
        <w:t xml:space="preserve">2013, le </w:t>
      </w:r>
      <w:proofErr w:type="spellStart"/>
      <w:r w:rsidRPr="005C7CCE">
        <w:t>Brunéi</w:t>
      </w:r>
      <w:proofErr w:type="spellEnd"/>
      <w:r w:rsidRPr="005C7CCE">
        <w:t xml:space="preserve"> Darussalam, le Monténégro, le Tadjikistan et la Tunisie sont devenus parties à L</w:t>
      </w:r>
      <w:r w:rsidR="00A20444" w:rsidRPr="005C7CCE">
        <w:t>’</w:t>
      </w:r>
      <w:r w:rsidRPr="005C7CCE">
        <w:t>Acte de Genève (1999) de l</w:t>
      </w:r>
      <w:r w:rsidR="00A20444" w:rsidRPr="005C7CCE">
        <w:t>’</w:t>
      </w:r>
      <w:r w:rsidRPr="005C7CCE">
        <w:t>Arrangement de La Haye concernant l</w:t>
      </w:r>
      <w:r w:rsidR="00A20444" w:rsidRPr="005C7CCE">
        <w:t>’</w:t>
      </w:r>
      <w:r w:rsidRPr="005C7CCE">
        <w:t>enregistrement international des dessins et modèles industriels (ci</w:t>
      </w:r>
      <w:r w:rsidR="002D6F2A" w:rsidRPr="005C7CCE">
        <w:noBreakHyphen/>
      </w:r>
      <w:r w:rsidRPr="005C7CCE">
        <w:t>après désigné par l</w:t>
      </w:r>
      <w:r w:rsidR="00A20444" w:rsidRPr="005C7CCE">
        <w:t>’</w:t>
      </w:r>
      <w:r w:rsidR="00F80E4F">
        <w:t>“</w:t>
      </w:r>
      <w:r w:rsidRPr="005C7CCE">
        <w:t>Acte de</w:t>
      </w:r>
      <w:r w:rsidR="0010442A" w:rsidRPr="005C7CCE">
        <w:t> </w:t>
      </w:r>
      <w:r w:rsidRPr="005C7CCE">
        <w:t>1999”), avec l</w:t>
      </w:r>
      <w:r w:rsidR="00A20444" w:rsidRPr="005C7CCE">
        <w:t>’</w:t>
      </w:r>
      <w:r w:rsidRPr="005C7CCE">
        <w:t>adhésion de la Tunisie qui représente une étape importante dans la réalisation de l</w:t>
      </w:r>
      <w:r w:rsidR="00A20444" w:rsidRPr="005C7CCE">
        <w:t>’</w:t>
      </w:r>
      <w:r w:rsidRPr="005C7CCE">
        <w:t>objectif consistant à établir une prédominance de l</w:t>
      </w:r>
      <w:r w:rsidR="00A20444" w:rsidRPr="005C7CCE">
        <w:t>’</w:t>
      </w:r>
      <w:r w:rsidRPr="005C7CCE">
        <w:t>Acte de</w:t>
      </w:r>
      <w:r w:rsidR="0010442A" w:rsidRPr="005C7CCE">
        <w:t> </w:t>
      </w:r>
      <w:r w:rsidRPr="005C7CCE">
        <w:t>1999 dans le système, étant donné que suite à cette adhésion, il ne reste aucun État contractant qui soit uniquement lié par l</w:t>
      </w:r>
      <w:r w:rsidR="00A20444" w:rsidRPr="005C7CCE">
        <w:t>’</w:t>
      </w:r>
      <w:r w:rsidRPr="005C7CCE">
        <w:t xml:space="preserve">Acte de 1934. </w:t>
      </w:r>
      <w:r w:rsidR="0010442A" w:rsidRPr="005C7CCE">
        <w:t xml:space="preserve"> </w:t>
      </w:r>
      <w:r w:rsidRPr="005C7CCE">
        <w:t>D</w:t>
      </w:r>
      <w:r w:rsidR="00A20444" w:rsidRPr="005C7CCE">
        <w:t>’</w:t>
      </w:r>
      <w:r w:rsidRPr="005C7CCE">
        <w:t>autres progrès en faveur de l</w:t>
      </w:r>
      <w:r w:rsidR="00A20444" w:rsidRPr="005C7CCE">
        <w:t>’</w:t>
      </w:r>
      <w:r w:rsidRPr="005C7CCE">
        <w:t xml:space="preserve">extinction de ce dernier traité ont été accomplis puisque quatre consentements ont été reçus à cet effet. </w:t>
      </w:r>
      <w:r w:rsidR="0010442A" w:rsidRPr="005C7CCE">
        <w:t xml:space="preserve"> </w:t>
      </w:r>
      <w:r w:rsidRPr="005C7CCE">
        <w:t>À la fin de l</w:t>
      </w:r>
      <w:r w:rsidR="00A20444" w:rsidRPr="005C7CCE">
        <w:t>’</w:t>
      </w:r>
      <w:r w:rsidRPr="005C7CCE">
        <w:t>exercice biennal, il manquait encore trois consentements pour que l</w:t>
      </w:r>
      <w:r w:rsidR="00A20444" w:rsidRPr="005C7CCE">
        <w:t>’</w:t>
      </w:r>
      <w:r w:rsidRPr="005C7CCE">
        <w:t>extinction normale du traité puisse être prononcée.</w:t>
      </w:r>
    </w:p>
    <w:p w:rsidR="00D42474" w:rsidRDefault="00D42474" w:rsidP="001A5BF9">
      <w:pPr>
        <w:tabs>
          <w:tab w:val="left" w:pos="709"/>
        </w:tabs>
        <w:autoSpaceDE w:val="0"/>
        <w:autoSpaceDN w:val="0"/>
        <w:adjustRightInd w:val="0"/>
        <w:jc w:val="both"/>
        <w:rPr>
          <w:rFonts w:cs="Arial"/>
          <w:szCs w:val="20"/>
        </w:rPr>
      </w:pPr>
    </w:p>
    <w:p w:rsidR="00D42474" w:rsidRDefault="0096696E" w:rsidP="001A5BF9">
      <w:pPr>
        <w:tabs>
          <w:tab w:val="left" w:pos="709"/>
        </w:tabs>
        <w:autoSpaceDE w:val="0"/>
        <w:autoSpaceDN w:val="0"/>
        <w:adjustRightInd w:val="0"/>
        <w:jc w:val="both"/>
        <w:rPr>
          <w:rFonts w:cs="Arial"/>
          <w:szCs w:val="20"/>
        </w:rPr>
      </w:pPr>
      <w:r w:rsidRPr="005C7CCE">
        <w:t>31.2.</w:t>
      </w:r>
      <w:r w:rsidRPr="005C7CCE">
        <w:tab/>
        <w:t>Un certain nombre de modifications du règlement d</w:t>
      </w:r>
      <w:r w:rsidR="00A20444" w:rsidRPr="005C7CCE">
        <w:t>’</w:t>
      </w:r>
      <w:r w:rsidRPr="005C7CCE">
        <w:t>exécution et des instructions administratives sont entrées en vigueur ou ont été adoptées au cours de l</w:t>
      </w:r>
      <w:r w:rsidR="00A20444" w:rsidRPr="005C7CCE">
        <w:t>’</w:t>
      </w:r>
      <w:r w:rsidRPr="005C7CCE">
        <w:t>exercice biennal, ce qui s</w:t>
      </w:r>
      <w:r w:rsidR="00A20444" w:rsidRPr="005C7CCE">
        <w:t>’</w:t>
      </w:r>
      <w:r w:rsidRPr="005C7CCE">
        <w:t xml:space="preserve">est traduit par une </w:t>
      </w:r>
      <w:r w:rsidRPr="00D7163E">
        <w:t xml:space="preserve">révision générale du cadre juridique. </w:t>
      </w:r>
      <w:r w:rsidR="0010442A" w:rsidRPr="00D7163E">
        <w:t xml:space="preserve"> </w:t>
      </w:r>
      <w:r w:rsidRPr="00D7163E">
        <w:t>Lors de ses deuxième et troisième sessions, tenues à Genève en novembre 2012 et octobre 2013, le groupe de travail a favorablement examiné les implications législatives de l</w:t>
      </w:r>
      <w:r w:rsidR="00A20444" w:rsidRPr="00D7163E">
        <w:t>’</w:t>
      </w:r>
      <w:r w:rsidRPr="00D7163E">
        <w:t>introduction d</w:t>
      </w:r>
      <w:r w:rsidR="00A20444" w:rsidRPr="00D7163E">
        <w:t>’</w:t>
      </w:r>
      <w:r w:rsidRPr="00D7163E">
        <w:t>innovations axées sur les technologies de l</w:t>
      </w:r>
      <w:r w:rsidR="00A20444" w:rsidRPr="00D7163E">
        <w:t>’</w:t>
      </w:r>
      <w:r w:rsidRPr="00D7163E">
        <w:t>information, telles que le service “Hague Portfolio Manager”, dans l</w:t>
      </w:r>
      <w:r w:rsidR="00A20444" w:rsidRPr="00D7163E">
        <w:t>’</w:t>
      </w:r>
      <w:r w:rsidRPr="00D7163E">
        <w:t xml:space="preserve">administration du système de La Haye, qui devrait conduire à de nouvelles modifications. </w:t>
      </w:r>
      <w:r w:rsidR="0010442A" w:rsidRPr="00D7163E">
        <w:t xml:space="preserve"> </w:t>
      </w:r>
      <w:r w:rsidRPr="00D7163E">
        <w:t xml:space="preserve">De plus, depuis le mois de janvier 2012, le Bulletin des dessins et modèles internationaux est publié sur une base hebdomadaire, ce qui a permis de réduire les délais de traitement de neuf à quatre semaines, entre le moment du dépôt et la publication pour les demandes régulières non différées. </w:t>
      </w:r>
      <w:r w:rsidR="0010442A" w:rsidRPr="00D7163E">
        <w:t xml:space="preserve"> </w:t>
      </w:r>
      <w:r w:rsidRPr="00D7163E">
        <w:t>En outre, environ 80</w:t>
      </w:r>
      <w:r w:rsidR="007E442D" w:rsidRPr="00D7163E">
        <w:t>%</w:t>
      </w:r>
      <w:r w:rsidRPr="00D7163E">
        <w:t xml:space="preserve"> des nouvelles demandes et des renouvellements ont été déposés par le biais des interfaces électroniques respectives. </w:t>
      </w:r>
      <w:r w:rsidR="0010442A" w:rsidRPr="00D7163E">
        <w:t xml:space="preserve"> </w:t>
      </w:r>
      <w:r w:rsidRPr="00D7163E">
        <w:t>Enfin, en</w:t>
      </w:r>
      <w:r w:rsidR="0010442A" w:rsidRPr="00D7163E">
        <w:t> </w:t>
      </w:r>
      <w:r w:rsidRPr="00D7163E">
        <w:t>2012, une enquête indépendante a révélé parmi les usagers un taux de satisfaction de 95</w:t>
      </w:r>
      <w:r w:rsidR="007E442D" w:rsidRPr="00D7163E">
        <w:t>%</w:t>
      </w:r>
      <w:r w:rsidRPr="00D7163E">
        <w:t xml:space="preserve"> vis</w:t>
      </w:r>
      <w:r w:rsidR="002D6F2A" w:rsidRPr="00D7163E">
        <w:noBreakHyphen/>
      </w:r>
      <w:r w:rsidRPr="00D7163E">
        <w:t>à</w:t>
      </w:r>
      <w:r w:rsidR="002D6F2A" w:rsidRPr="00D7163E">
        <w:noBreakHyphen/>
      </w:r>
      <w:r w:rsidRPr="00D7163E">
        <w:t>vis du système de La</w:t>
      </w:r>
      <w:r w:rsidR="0010442A" w:rsidRPr="00D7163E">
        <w:t> </w:t>
      </w:r>
      <w:r w:rsidRPr="00D7163E">
        <w:t>Haye.</w:t>
      </w:r>
    </w:p>
    <w:p w:rsidR="00D42474" w:rsidRDefault="00D42474" w:rsidP="001A5BF9">
      <w:pPr>
        <w:tabs>
          <w:tab w:val="left" w:pos="709"/>
        </w:tabs>
        <w:autoSpaceDE w:val="0"/>
        <w:autoSpaceDN w:val="0"/>
        <w:adjustRightInd w:val="0"/>
        <w:jc w:val="both"/>
        <w:rPr>
          <w:rFonts w:cs="Arial"/>
          <w:szCs w:val="20"/>
        </w:rPr>
      </w:pPr>
    </w:p>
    <w:p w:rsidR="00D42474" w:rsidRDefault="0096696E" w:rsidP="001A5BF9">
      <w:pPr>
        <w:tabs>
          <w:tab w:val="left" w:pos="709"/>
        </w:tabs>
        <w:autoSpaceDE w:val="0"/>
        <w:autoSpaceDN w:val="0"/>
        <w:adjustRightInd w:val="0"/>
        <w:jc w:val="both"/>
      </w:pPr>
      <w:r w:rsidRPr="00D7163E">
        <w:t>31.3.</w:t>
      </w:r>
      <w:r w:rsidRPr="00D7163E">
        <w:tab/>
        <w:t>S</w:t>
      </w:r>
      <w:r w:rsidR="00A20444" w:rsidRPr="00D7163E">
        <w:t>’</w:t>
      </w:r>
      <w:r w:rsidRPr="00D7163E">
        <w:t>agissant de mieux faire connaître le système de La Haye, le nombre de publications disponibles dans d</w:t>
      </w:r>
      <w:r w:rsidR="00A20444" w:rsidRPr="00D7163E">
        <w:t>’</w:t>
      </w:r>
      <w:r w:rsidRPr="00D7163E">
        <w:t>autres langues que les trois langues de travail du système a continué à progresser au cours de l</w:t>
      </w:r>
      <w:r w:rsidR="00A20444" w:rsidRPr="00D7163E">
        <w:t>’</w:t>
      </w:r>
      <w:r w:rsidRPr="00D7163E">
        <w:t>exercice biennal</w:t>
      </w:r>
      <w:proofErr w:type="gramStart"/>
      <w:r w:rsidRPr="00D7163E">
        <w:t>..</w:t>
      </w:r>
      <w:proofErr w:type="gramEnd"/>
      <w:r w:rsidR="004F3E42" w:rsidRPr="00D7163E">
        <w:t xml:space="preserve"> </w:t>
      </w:r>
      <w:r w:rsidR="0010442A" w:rsidRPr="00D7163E">
        <w:t xml:space="preserve"> </w:t>
      </w:r>
      <w:r w:rsidRPr="00D7163E">
        <w:t>Enfin, le nombre d</w:t>
      </w:r>
      <w:r w:rsidR="00A20444" w:rsidRPr="00D7163E">
        <w:t>’</w:t>
      </w:r>
      <w:r w:rsidRPr="00D7163E">
        <w:t>offices proposant des informations appropriées sur le système de La</w:t>
      </w:r>
      <w:r w:rsidR="0010442A" w:rsidRPr="00D7163E">
        <w:t> </w:t>
      </w:r>
      <w:r w:rsidRPr="00D7163E">
        <w:t>Haye a lui aussi augmenté.</w:t>
      </w:r>
    </w:p>
    <w:p w:rsidR="00D42474" w:rsidRDefault="00D42474" w:rsidP="001A5BF9">
      <w:pPr>
        <w:tabs>
          <w:tab w:val="left" w:pos="709"/>
        </w:tabs>
        <w:autoSpaceDE w:val="0"/>
        <w:autoSpaceDN w:val="0"/>
        <w:adjustRightInd w:val="0"/>
        <w:jc w:val="both"/>
        <w:rPr>
          <w:rFonts w:cs="Arial"/>
          <w:szCs w:val="20"/>
        </w:rPr>
      </w:pPr>
    </w:p>
    <w:p w:rsidR="00D42474" w:rsidRDefault="0096696E" w:rsidP="001A5BF9">
      <w:pPr>
        <w:tabs>
          <w:tab w:val="left" w:pos="709"/>
        </w:tabs>
        <w:jc w:val="both"/>
      </w:pPr>
      <w:r w:rsidRPr="00D7163E">
        <w:t>31.4.</w:t>
      </w:r>
      <w:r w:rsidRPr="00D7163E">
        <w:tab/>
        <w:t>En dépit de l</w:t>
      </w:r>
      <w:r w:rsidR="00A20444" w:rsidRPr="00D7163E">
        <w:t>’</w:t>
      </w:r>
      <w:r w:rsidRPr="00D7163E">
        <w:t>augmentation générale des dépôts et des activités d</w:t>
      </w:r>
      <w:r w:rsidR="00A20444" w:rsidRPr="00D7163E">
        <w:t>’</w:t>
      </w:r>
      <w:r w:rsidRPr="00D7163E">
        <w:t>enregistrement, avec notamment de plus en plus de dépôts en faveur et provenant de pays en développement et de PMA, et bien que dépassant l</w:t>
      </w:r>
      <w:r w:rsidR="00A20444" w:rsidRPr="00D7163E">
        <w:t>’</w:t>
      </w:r>
      <w:r w:rsidRPr="00D7163E">
        <w:t xml:space="preserve">objectif en termes de renouvellements, les volumes restent </w:t>
      </w:r>
      <w:r w:rsidR="00106829" w:rsidRPr="00D7163E">
        <w:t>en deçà</w:t>
      </w:r>
      <w:r w:rsidRPr="00D7163E">
        <w:t xml:space="preserve"> des niveaux de croissance envisagés. </w:t>
      </w:r>
      <w:r w:rsidR="0010442A" w:rsidRPr="00D7163E">
        <w:t xml:space="preserve"> </w:t>
      </w:r>
      <w:r w:rsidRPr="00D7163E">
        <w:t>Cela s</w:t>
      </w:r>
      <w:r w:rsidR="00A20444" w:rsidRPr="00D7163E">
        <w:t>’</w:t>
      </w:r>
      <w:r w:rsidRPr="00D7163E">
        <w:t>explique par des résultats inférieurs à ceux escomptés pendant l</w:t>
      </w:r>
      <w:r w:rsidR="00A20444" w:rsidRPr="00D7163E">
        <w:t>’</w:t>
      </w:r>
      <w:r w:rsidRPr="00D7163E">
        <w:t>exercice biennal 2010</w:t>
      </w:r>
      <w:r w:rsidR="002D6F2A" w:rsidRPr="00D7163E">
        <w:noBreakHyphen/>
      </w:r>
      <w:r w:rsidRPr="00D7163E">
        <w:t>2011, ce dernier constituant la base des prévisions pour 2012</w:t>
      </w:r>
      <w:r w:rsidR="002D6F2A" w:rsidRPr="00D7163E">
        <w:noBreakHyphen/>
      </w:r>
      <w:r w:rsidRPr="00D7163E">
        <w:t xml:space="preserve">2013. </w:t>
      </w:r>
      <w:r w:rsidR="0010442A" w:rsidRPr="00D7163E">
        <w:t xml:space="preserve"> </w:t>
      </w:r>
      <w:r w:rsidRPr="00D7163E">
        <w:t>Ces résultats moins élevés que prévu pour l</w:t>
      </w:r>
      <w:r w:rsidR="00A20444" w:rsidRPr="00D7163E">
        <w:t>’</w:t>
      </w:r>
      <w:r w:rsidRPr="00D7163E">
        <w:t>exercice biennal</w:t>
      </w:r>
      <w:r w:rsidR="0010442A" w:rsidRPr="00D7163E">
        <w:t> </w:t>
      </w:r>
      <w:r w:rsidRPr="00D7163E">
        <w:t>2010</w:t>
      </w:r>
      <w:r w:rsidR="002D6F2A" w:rsidRPr="00D7163E">
        <w:noBreakHyphen/>
      </w:r>
      <w:r w:rsidRPr="00D7163E">
        <w:t>2011 sont la conséquence de deux</w:t>
      </w:r>
      <w:r w:rsidR="0010442A" w:rsidRPr="00D7163E">
        <w:t> </w:t>
      </w:r>
      <w:r w:rsidRPr="00D7163E">
        <w:t xml:space="preserve">facteurs externes, </w:t>
      </w:r>
      <w:r w:rsidR="00A20444" w:rsidRPr="00D7163E">
        <w:t>à savoir</w:t>
      </w:r>
      <w:r w:rsidRPr="00D7163E">
        <w:t xml:space="preserve"> i) la crise économique mondiale et ii)</w:t>
      </w:r>
      <w:r w:rsidR="0010442A" w:rsidRPr="00D7163E">
        <w:t> </w:t>
      </w:r>
      <w:r w:rsidRPr="00D7163E">
        <w:t>le fait que le nombre d</w:t>
      </w:r>
      <w:r w:rsidR="00A20444" w:rsidRPr="00D7163E">
        <w:t>’</w:t>
      </w:r>
      <w:r w:rsidRPr="00D7163E">
        <w:t>adhésions à l</w:t>
      </w:r>
      <w:r w:rsidR="00A20444" w:rsidRPr="00D7163E">
        <w:t>’</w:t>
      </w:r>
      <w:r w:rsidRPr="00D7163E">
        <w:t>Acte de</w:t>
      </w:r>
      <w:r w:rsidR="0010442A" w:rsidRPr="00D7163E">
        <w:t> </w:t>
      </w:r>
      <w:r w:rsidRPr="00D7163E">
        <w:t>1999 n</w:t>
      </w:r>
      <w:r w:rsidR="00A20444" w:rsidRPr="00D7163E">
        <w:t>’</w:t>
      </w:r>
      <w:r w:rsidRPr="00D7163E">
        <w:t>a pas augmenté comme prévu.</w:t>
      </w:r>
      <w:r w:rsidR="0010442A" w:rsidRPr="00D7163E">
        <w:t xml:space="preserve"> </w:t>
      </w:r>
      <w:r w:rsidR="004F3E42" w:rsidRPr="00D7163E">
        <w:t xml:space="preserve"> </w:t>
      </w:r>
      <w:r w:rsidRPr="00D7163E">
        <w:t>S</w:t>
      </w:r>
      <w:r w:rsidR="00A20444" w:rsidRPr="00D7163E">
        <w:t>’</w:t>
      </w:r>
      <w:r w:rsidRPr="00D7163E">
        <w:t>agissant de la baisse moins marquée que prévue des demandes irrégulières, le développement d</w:t>
      </w:r>
      <w:r w:rsidR="00A20444" w:rsidRPr="00D7163E">
        <w:t>’</w:t>
      </w:r>
      <w:r w:rsidRPr="00D7163E">
        <w:t>une nouvelle interface de dépôt par voie électronique qui aurait dû aboutir à la réduction des erreurs formelles dans les demandes a été retardé et n</w:t>
      </w:r>
      <w:r w:rsidR="00A20444" w:rsidRPr="00D7163E">
        <w:t>’</w:t>
      </w:r>
      <w:r w:rsidRPr="00D7163E">
        <w:t xml:space="preserve">a finalement pas été achevé avant </w:t>
      </w:r>
      <w:proofErr w:type="spellStart"/>
      <w:r w:rsidRPr="00D7163E">
        <w:t>mi</w:t>
      </w:r>
      <w:r w:rsidR="002D6F2A" w:rsidRPr="00D7163E">
        <w:noBreakHyphen/>
      </w:r>
      <w:r w:rsidRPr="00D7163E">
        <w:t>2013</w:t>
      </w:r>
      <w:proofErr w:type="spellEnd"/>
      <w:r w:rsidRPr="00D7163E">
        <w:t>.</w:t>
      </w:r>
    </w:p>
    <w:p w:rsidR="00D42474" w:rsidRDefault="00D42474" w:rsidP="001A5BF9">
      <w:pPr>
        <w:tabs>
          <w:tab w:val="left" w:pos="709"/>
        </w:tabs>
        <w:jc w:val="both"/>
        <w:rPr>
          <w:rFonts w:cs="Arial"/>
          <w:bCs/>
          <w:szCs w:val="22"/>
        </w:rPr>
      </w:pPr>
    </w:p>
    <w:p w:rsidR="00D42474" w:rsidRDefault="00D42474" w:rsidP="001A5BF9">
      <w:pPr>
        <w:tabs>
          <w:tab w:val="left" w:pos="709"/>
        </w:tabs>
        <w:jc w:val="both"/>
        <w:rPr>
          <w:rFonts w:cs="Arial"/>
          <w:bCs/>
          <w:szCs w:val="22"/>
        </w:rPr>
      </w:pPr>
    </w:p>
    <w:p w:rsidR="00D42474" w:rsidRDefault="0096696E" w:rsidP="001A5BF9">
      <w:pPr>
        <w:tabs>
          <w:tab w:val="left" w:pos="709"/>
        </w:tabs>
        <w:jc w:val="both"/>
      </w:pPr>
      <w:r w:rsidRPr="00761625">
        <w:rPr>
          <w:sz w:val="22"/>
        </w:rPr>
        <w:t>MISE EN ŒUVRE DU PLAN D</w:t>
      </w:r>
      <w:r w:rsidR="00A20444" w:rsidRPr="00761625">
        <w:rPr>
          <w:sz w:val="22"/>
        </w:rPr>
        <w:t>’</w:t>
      </w:r>
      <w:r w:rsidRPr="00761625">
        <w:rPr>
          <w:sz w:val="22"/>
        </w:rPr>
        <w:t>ACTION POUR LE DÉVELOPPEMENT</w:t>
      </w:r>
    </w:p>
    <w:p w:rsidR="00D42474" w:rsidRDefault="00D42474" w:rsidP="001A5BF9">
      <w:pPr>
        <w:tabs>
          <w:tab w:val="left" w:pos="709"/>
        </w:tabs>
        <w:jc w:val="both"/>
        <w:rPr>
          <w:rFonts w:cs="Arial"/>
          <w:bCs/>
          <w:szCs w:val="22"/>
        </w:rPr>
      </w:pPr>
    </w:p>
    <w:p w:rsidR="00D42474" w:rsidRDefault="0096696E" w:rsidP="001A5BF9">
      <w:pPr>
        <w:tabs>
          <w:tab w:val="left" w:pos="709"/>
        </w:tabs>
        <w:jc w:val="both"/>
        <w:rPr>
          <w:rFonts w:cs="Arial"/>
          <w:bCs/>
          <w:szCs w:val="20"/>
        </w:rPr>
      </w:pPr>
      <w:r w:rsidRPr="00D7163E">
        <w:t>La conception, la planification et la mise en œuvre des activités menées au titre du programme 31 s</w:t>
      </w:r>
      <w:r w:rsidR="00A20444" w:rsidRPr="00D7163E">
        <w:t>’</w:t>
      </w:r>
      <w:r w:rsidRPr="00D7163E">
        <w:t>appuient sur les recommandations pertinentes du Plan d</w:t>
      </w:r>
      <w:r w:rsidR="00A20444" w:rsidRPr="00D7163E">
        <w:t>’</w:t>
      </w:r>
      <w:r w:rsidRPr="00D7163E">
        <w:t>action pour le développement, notamment les recommandations n</w:t>
      </w:r>
      <w:r w:rsidRPr="00D7163E">
        <w:rPr>
          <w:vertAlign w:val="superscript"/>
        </w:rPr>
        <w:t>os</w:t>
      </w:r>
      <w:r w:rsidRPr="00D7163E">
        <w:t xml:space="preserve"> 1 et 6.</w:t>
      </w:r>
    </w:p>
    <w:p w:rsidR="00D42474" w:rsidRDefault="00D42474" w:rsidP="001A5BF9">
      <w:pPr>
        <w:rPr>
          <w:rFonts w:cs="Arial"/>
          <w:b/>
          <w:bCs/>
          <w:szCs w:val="22"/>
        </w:rPr>
      </w:pPr>
    </w:p>
    <w:p w:rsidR="00D42474" w:rsidRDefault="008A271C" w:rsidP="001A5BF9">
      <w:pPr>
        <w:rPr>
          <w:rFonts w:cs="Arial"/>
          <w:szCs w:val="22"/>
        </w:rPr>
      </w:pPr>
      <w:r w:rsidRPr="005C7CCE">
        <w:rPr>
          <w:color w:val="008000"/>
        </w:rPr>
        <w:br w:type="page"/>
      </w:r>
      <w:r w:rsidR="0096696E" w:rsidRPr="00D7163E">
        <w:rPr>
          <w:sz w:val="22"/>
        </w:rPr>
        <w:t>DONNÉES RELATIVES À L</w:t>
      </w:r>
      <w:r w:rsidR="00A20444" w:rsidRPr="00D7163E">
        <w:rPr>
          <w:sz w:val="22"/>
        </w:rPr>
        <w:t>’</w:t>
      </w:r>
      <w:r w:rsidR="0096696E" w:rsidRPr="00D7163E">
        <w:rPr>
          <w:sz w:val="22"/>
        </w:rPr>
        <w:t>EXÉCUTION</w:t>
      </w:r>
    </w:p>
    <w:p w:rsidR="0096696E" w:rsidRPr="00D7163E" w:rsidRDefault="0096696E" w:rsidP="001A5BF9">
      <w:pPr>
        <w:rPr>
          <w:rFonts w:cs="Arial"/>
          <w:b/>
          <w:szCs w:val="22"/>
        </w:rPr>
      </w:pPr>
    </w:p>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75"/>
        <w:gridCol w:w="19"/>
        <w:gridCol w:w="1841"/>
        <w:gridCol w:w="125"/>
        <w:gridCol w:w="1713"/>
        <w:gridCol w:w="2553"/>
        <w:gridCol w:w="11"/>
        <w:gridCol w:w="1261"/>
      </w:tblGrid>
      <w:tr w:rsidR="00D7163E" w:rsidRPr="00D7163E" w:rsidTr="00D7163E">
        <w:trPr>
          <w:cantSplit/>
        </w:trPr>
        <w:tc>
          <w:tcPr>
            <w:tcW w:w="5000" w:type="pct"/>
            <w:gridSpan w:val="8"/>
            <w:tcBorders>
              <w:top w:val="single" w:sz="4" w:space="0" w:color="auto"/>
              <w:bottom w:val="single" w:sz="4" w:space="0" w:color="auto"/>
            </w:tcBorders>
            <w:shd w:val="clear" w:color="auto" w:fill="CCFFFF"/>
            <w:vAlign w:val="center"/>
          </w:tcPr>
          <w:p w:rsidR="0096696E" w:rsidRPr="00D7163E" w:rsidRDefault="0096696E" w:rsidP="001A5BF9">
            <w:pPr>
              <w:keepNext/>
              <w:keepLines/>
              <w:tabs>
                <w:tab w:val="left" w:pos="1452"/>
              </w:tabs>
              <w:spacing w:before="120" w:after="120"/>
              <w:ind w:left="1452" w:hanging="1452"/>
              <w:rPr>
                <w:rFonts w:cs="Arial"/>
                <w:b/>
                <w:bCs/>
                <w:sz w:val="16"/>
                <w:szCs w:val="16"/>
              </w:rPr>
            </w:pPr>
            <w:r w:rsidRPr="00D7163E">
              <w:rPr>
                <w:b/>
                <w:sz w:val="16"/>
              </w:rPr>
              <w:t>Résultat escompté</w:t>
            </w:r>
            <w:r w:rsidR="0010442A" w:rsidRPr="00D7163E">
              <w:rPr>
                <w:b/>
                <w:sz w:val="16"/>
              </w:rPr>
              <w:t xml:space="preserve"> : </w:t>
            </w:r>
            <w:r w:rsidRPr="00D7163E">
              <w:rPr>
                <w:b/>
                <w:sz w:val="16"/>
              </w:rPr>
              <w:tab/>
            </w:r>
            <w:r w:rsidRPr="00D7163E">
              <w:rPr>
                <w:sz w:val="16"/>
              </w:rPr>
              <w:t>Prise de conscience accrue du système de La</w:t>
            </w:r>
            <w:r w:rsidR="0010442A" w:rsidRPr="00D7163E">
              <w:rPr>
                <w:sz w:val="16"/>
              </w:rPr>
              <w:t> </w:t>
            </w:r>
            <w:r w:rsidRPr="00D7163E">
              <w:rPr>
                <w:sz w:val="16"/>
              </w:rPr>
              <w:t>Haye</w:t>
            </w:r>
          </w:p>
        </w:tc>
      </w:tr>
      <w:tr w:rsidR="00D7163E" w:rsidRPr="00D7163E" w:rsidTr="00D7163E">
        <w:trPr>
          <w:cantSplit/>
        </w:trPr>
        <w:tc>
          <w:tcPr>
            <w:tcW w:w="1039" w:type="pct"/>
            <w:tcBorders>
              <w:top w:val="single" w:sz="4" w:space="0" w:color="auto"/>
            </w:tcBorders>
            <w:shd w:val="clear" w:color="auto" w:fill="auto"/>
            <w:vAlign w:val="center"/>
          </w:tcPr>
          <w:p w:rsidR="0096696E" w:rsidRPr="00D7163E" w:rsidRDefault="0096696E" w:rsidP="001A5BF9">
            <w:pPr>
              <w:rPr>
                <w:rFonts w:cs="Arial"/>
                <w:b/>
                <w:sz w:val="16"/>
                <w:szCs w:val="16"/>
              </w:rPr>
            </w:pPr>
            <w:r w:rsidRPr="00D7163E">
              <w:rPr>
                <w:b/>
                <w:sz w:val="16"/>
              </w:rPr>
              <w:t>Indicateurs d</w:t>
            </w:r>
            <w:r w:rsidR="00A20444" w:rsidRPr="00D7163E">
              <w:rPr>
                <w:b/>
                <w:sz w:val="16"/>
              </w:rPr>
              <w:t>’</w:t>
            </w:r>
            <w:r w:rsidRPr="00D7163E">
              <w:rPr>
                <w:b/>
                <w:sz w:val="16"/>
              </w:rPr>
              <w:t>exécution</w:t>
            </w:r>
          </w:p>
        </w:tc>
        <w:tc>
          <w:tcPr>
            <w:tcW w:w="1045" w:type="pct"/>
            <w:gridSpan w:val="3"/>
            <w:tcBorders>
              <w:top w:val="single" w:sz="4" w:space="0" w:color="auto"/>
            </w:tcBorders>
            <w:shd w:val="clear" w:color="auto" w:fill="auto"/>
            <w:vAlign w:val="center"/>
          </w:tcPr>
          <w:p w:rsidR="0096696E" w:rsidRPr="00D7163E" w:rsidRDefault="0096696E" w:rsidP="001A5BF9">
            <w:pPr>
              <w:rPr>
                <w:rFonts w:cs="Arial"/>
                <w:b/>
                <w:bCs/>
                <w:sz w:val="16"/>
                <w:szCs w:val="16"/>
              </w:rPr>
            </w:pPr>
            <w:r w:rsidRPr="00D7163E">
              <w:rPr>
                <w:b/>
                <w:sz w:val="16"/>
              </w:rPr>
              <w:t>Niveaux de référence</w:t>
            </w:r>
          </w:p>
        </w:tc>
        <w:tc>
          <w:tcPr>
            <w:tcW w:w="902" w:type="pct"/>
            <w:tcBorders>
              <w:top w:val="single" w:sz="4" w:space="0" w:color="auto"/>
            </w:tcBorders>
            <w:shd w:val="clear" w:color="auto" w:fill="auto"/>
            <w:tcMar>
              <w:top w:w="110" w:type="dxa"/>
            </w:tcMar>
            <w:vAlign w:val="center"/>
          </w:tcPr>
          <w:p w:rsidR="0096696E" w:rsidRPr="00D7163E" w:rsidRDefault="0096696E" w:rsidP="001A5BF9">
            <w:pPr>
              <w:rPr>
                <w:rFonts w:cs="Arial"/>
                <w:b/>
                <w:sz w:val="16"/>
                <w:szCs w:val="16"/>
              </w:rPr>
            </w:pPr>
            <w:r w:rsidRPr="00D7163E">
              <w:rPr>
                <w:b/>
                <w:sz w:val="16"/>
              </w:rPr>
              <w:t>Objectifs visés</w:t>
            </w:r>
          </w:p>
        </w:tc>
        <w:tc>
          <w:tcPr>
            <w:tcW w:w="1344" w:type="pct"/>
            <w:tcBorders>
              <w:top w:val="single" w:sz="4" w:space="0" w:color="auto"/>
            </w:tcBorders>
            <w:shd w:val="clear" w:color="auto" w:fill="FFFFFF"/>
            <w:tcMar>
              <w:top w:w="110" w:type="dxa"/>
            </w:tcMar>
            <w:vAlign w:val="center"/>
          </w:tcPr>
          <w:p w:rsidR="0096696E" w:rsidRPr="00D7163E" w:rsidRDefault="0096696E" w:rsidP="001A5BF9">
            <w:pPr>
              <w:rPr>
                <w:rFonts w:cs="Arial"/>
                <w:b/>
                <w:sz w:val="16"/>
                <w:szCs w:val="16"/>
              </w:rPr>
            </w:pPr>
            <w:r w:rsidRPr="00D7163E">
              <w:rPr>
                <w:b/>
                <w:sz w:val="16"/>
              </w:rPr>
              <w:t>Données relatives à l</w:t>
            </w:r>
            <w:r w:rsidR="00A20444" w:rsidRPr="00D7163E">
              <w:rPr>
                <w:b/>
                <w:sz w:val="16"/>
              </w:rPr>
              <w:t>’</w:t>
            </w:r>
            <w:r w:rsidRPr="00D7163E">
              <w:rPr>
                <w:b/>
                <w:sz w:val="16"/>
              </w:rPr>
              <w:t>exécution</w:t>
            </w:r>
          </w:p>
        </w:tc>
        <w:tc>
          <w:tcPr>
            <w:tcW w:w="670" w:type="pct"/>
            <w:gridSpan w:val="2"/>
            <w:tcBorders>
              <w:top w:val="single" w:sz="4" w:space="0" w:color="auto"/>
            </w:tcBorders>
            <w:shd w:val="clear" w:color="auto" w:fill="auto"/>
            <w:tcMar>
              <w:top w:w="110" w:type="dxa"/>
            </w:tcMar>
            <w:vAlign w:val="center"/>
          </w:tcPr>
          <w:p w:rsidR="0096696E" w:rsidRPr="00D7163E" w:rsidRDefault="0096696E" w:rsidP="001A5BF9">
            <w:pPr>
              <w:keepNext/>
              <w:keepLines/>
              <w:jc w:val="center"/>
              <w:rPr>
                <w:rFonts w:cs="Arial"/>
                <w:b/>
                <w:bCs/>
                <w:sz w:val="16"/>
                <w:szCs w:val="16"/>
              </w:rPr>
            </w:pPr>
            <w:r w:rsidRPr="00D7163E">
              <w:rPr>
                <w:b/>
                <w:sz w:val="16"/>
              </w:rPr>
              <w:t>Code de couleurs</w:t>
            </w:r>
          </w:p>
        </w:tc>
      </w:tr>
      <w:tr w:rsidR="00D7163E" w:rsidRPr="00D7163E" w:rsidTr="00D7163E">
        <w:trPr>
          <w:cantSplit/>
        </w:trPr>
        <w:tc>
          <w:tcPr>
            <w:tcW w:w="1039" w:type="pct"/>
            <w:shd w:val="clear" w:color="auto" w:fill="auto"/>
          </w:tcPr>
          <w:p w:rsidR="0096696E" w:rsidRPr="00D7163E" w:rsidRDefault="0096696E" w:rsidP="001A5BF9">
            <w:pPr>
              <w:rPr>
                <w:rFonts w:cs="Arial"/>
                <w:sz w:val="16"/>
                <w:szCs w:val="16"/>
              </w:rPr>
            </w:pPr>
            <w:r w:rsidRPr="00D7163E">
              <w:rPr>
                <w:sz w:val="16"/>
              </w:rPr>
              <w:t>Nombre de déposants d</w:t>
            </w:r>
            <w:r w:rsidR="00A20444" w:rsidRPr="00D7163E">
              <w:rPr>
                <w:sz w:val="16"/>
              </w:rPr>
              <w:t>’</w:t>
            </w:r>
            <w:r w:rsidRPr="00D7163E">
              <w:rPr>
                <w:sz w:val="16"/>
              </w:rPr>
              <w:t>une première demande</w:t>
            </w:r>
          </w:p>
        </w:tc>
        <w:tc>
          <w:tcPr>
            <w:tcW w:w="1045" w:type="pct"/>
            <w:gridSpan w:val="3"/>
            <w:shd w:val="clear" w:color="auto" w:fill="auto"/>
          </w:tcPr>
          <w:p w:rsidR="0096696E" w:rsidRPr="00D7163E" w:rsidRDefault="0096696E" w:rsidP="001A5BF9">
            <w:pPr>
              <w:rPr>
                <w:rFonts w:cs="Arial"/>
                <w:sz w:val="16"/>
                <w:szCs w:val="16"/>
              </w:rPr>
            </w:pPr>
            <w:r w:rsidRPr="00D7163E">
              <w:rPr>
                <w:sz w:val="16"/>
              </w:rPr>
              <w:t>Non disponible</w:t>
            </w:r>
          </w:p>
        </w:tc>
        <w:tc>
          <w:tcPr>
            <w:tcW w:w="902" w:type="pct"/>
            <w:shd w:val="clear" w:color="auto" w:fill="auto"/>
            <w:tcMar>
              <w:top w:w="110" w:type="dxa"/>
            </w:tcMar>
          </w:tcPr>
          <w:p w:rsidR="0096696E" w:rsidRPr="00D7163E" w:rsidRDefault="0096696E" w:rsidP="001A5BF9">
            <w:pPr>
              <w:rPr>
                <w:rFonts w:cs="Arial"/>
                <w:sz w:val="16"/>
                <w:szCs w:val="16"/>
              </w:rPr>
            </w:pPr>
            <w:r w:rsidRPr="00D7163E">
              <w:rPr>
                <w:sz w:val="16"/>
              </w:rPr>
              <w:t>À déterminer courant 2011</w:t>
            </w:r>
          </w:p>
        </w:tc>
        <w:tc>
          <w:tcPr>
            <w:tcW w:w="1344" w:type="pct"/>
            <w:shd w:val="clear" w:color="auto" w:fill="FFFFFF"/>
            <w:tcMar>
              <w:top w:w="110" w:type="dxa"/>
            </w:tcMar>
          </w:tcPr>
          <w:p w:rsidR="0096696E" w:rsidRPr="00D7163E" w:rsidRDefault="0096696E" w:rsidP="001A5BF9">
            <w:pPr>
              <w:rPr>
                <w:rFonts w:cs="Arial"/>
                <w:sz w:val="16"/>
                <w:szCs w:val="16"/>
              </w:rPr>
            </w:pPr>
            <w:r w:rsidRPr="00D7163E">
              <w:rPr>
                <w:sz w:val="16"/>
              </w:rPr>
              <w:t>Non disponible</w:t>
            </w:r>
          </w:p>
        </w:tc>
        <w:tc>
          <w:tcPr>
            <w:tcW w:w="670" w:type="pct"/>
            <w:gridSpan w:val="2"/>
            <w:shd w:val="clear" w:color="auto" w:fill="auto"/>
            <w:tcMar>
              <w:top w:w="110" w:type="dxa"/>
            </w:tcMar>
          </w:tcPr>
          <w:p w:rsidR="0096696E" w:rsidRPr="00D7163E" w:rsidRDefault="0096696E" w:rsidP="001A5BF9">
            <w:pPr>
              <w:keepNext/>
              <w:keepLines/>
              <w:jc w:val="center"/>
              <w:rPr>
                <w:rFonts w:cs="Arial"/>
                <w:bCs/>
                <w:sz w:val="16"/>
                <w:szCs w:val="16"/>
              </w:rPr>
            </w:pPr>
            <w:r w:rsidRPr="00D7163E">
              <w:rPr>
                <w:sz w:val="16"/>
              </w:rPr>
              <w:t>Objectif abandonné</w:t>
            </w:r>
          </w:p>
        </w:tc>
      </w:tr>
      <w:tr w:rsidR="00D7163E" w:rsidRPr="00D7163E" w:rsidTr="00D7163E">
        <w:trPr>
          <w:cantSplit/>
        </w:trPr>
        <w:tc>
          <w:tcPr>
            <w:tcW w:w="1039" w:type="pct"/>
            <w:shd w:val="clear" w:color="auto" w:fill="auto"/>
          </w:tcPr>
          <w:p w:rsidR="0096696E" w:rsidRPr="00D7163E" w:rsidRDefault="0096696E" w:rsidP="001A5BF9">
            <w:pPr>
              <w:rPr>
                <w:rFonts w:cs="Arial"/>
                <w:sz w:val="16"/>
                <w:szCs w:val="16"/>
              </w:rPr>
            </w:pPr>
            <w:r w:rsidRPr="00D7163E">
              <w:rPr>
                <w:sz w:val="16"/>
              </w:rPr>
              <w:t>Nombre de langues dans lesquelles l</w:t>
            </w:r>
            <w:r w:rsidR="00A20444" w:rsidRPr="00D7163E">
              <w:rPr>
                <w:sz w:val="16"/>
              </w:rPr>
              <w:t>’</w:t>
            </w:r>
            <w:r w:rsidRPr="00D7163E">
              <w:rPr>
                <w:sz w:val="16"/>
              </w:rPr>
              <w:t>information générale est disponible</w:t>
            </w:r>
          </w:p>
        </w:tc>
        <w:tc>
          <w:tcPr>
            <w:tcW w:w="1045" w:type="pct"/>
            <w:gridSpan w:val="3"/>
            <w:shd w:val="clear" w:color="auto" w:fill="auto"/>
          </w:tcPr>
          <w:p w:rsidR="0096696E" w:rsidRPr="00D7163E" w:rsidRDefault="0096696E" w:rsidP="001A5BF9">
            <w:pPr>
              <w:rPr>
                <w:rFonts w:cs="Arial"/>
                <w:sz w:val="16"/>
                <w:szCs w:val="16"/>
              </w:rPr>
            </w:pPr>
            <w:r w:rsidRPr="00D7163E">
              <w:rPr>
                <w:sz w:val="16"/>
              </w:rPr>
              <w:t>Les trois</w:t>
            </w:r>
            <w:r w:rsidR="0010442A" w:rsidRPr="00D7163E">
              <w:rPr>
                <w:sz w:val="16"/>
              </w:rPr>
              <w:t> </w:t>
            </w:r>
            <w:r w:rsidRPr="00D7163E">
              <w:rPr>
                <w:sz w:val="16"/>
              </w:rPr>
              <w:t>langues de travail du système</w:t>
            </w:r>
          </w:p>
        </w:tc>
        <w:tc>
          <w:tcPr>
            <w:tcW w:w="902" w:type="pct"/>
            <w:shd w:val="clear" w:color="auto" w:fill="auto"/>
            <w:tcMar>
              <w:top w:w="110" w:type="dxa"/>
            </w:tcMar>
          </w:tcPr>
          <w:p w:rsidR="0096696E" w:rsidRPr="00D7163E" w:rsidRDefault="0096696E" w:rsidP="001A5BF9">
            <w:pPr>
              <w:rPr>
                <w:rFonts w:cs="Arial"/>
                <w:sz w:val="16"/>
                <w:szCs w:val="16"/>
                <w:lang w:bidi="th-TH"/>
              </w:rPr>
            </w:pPr>
            <w:r w:rsidRPr="00D7163E">
              <w:rPr>
                <w:sz w:val="16"/>
              </w:rPr>
              <w:t>Toutes les langues officielles</w:t>
            </w:r>
          </w:p>
        </w:tc>
        <w:tc>
          <w:tcPr>
            <w:tcW w:w="1344" w:type="pct"/>
            <w:shd w:val="clear" w:color="auto" w:fill="FFFFFF"/>
            <w:tcMar>
              <w:top w:w="110" w:type="dxa"/>
            </w:tcMar>
          </w:tcPr>
          <w:p w:rsidR="0096696E" w:rsidRPr="00D7163E" w:rsidRDefault="0096696E" w:rsidP="001A5BF9">
            <w:pPr>
              <w:rPr>
                <w:rFonts w:cs="Arial"/>
                <w:sz w:val="16"/>
                <w:szCs w:val="16"/>
              </w:rPr>
            </w:pPr>
            <w:r w:rsidRPr="00D7163E">
              <w:rPr>
                <w:sz w:val="16"/>
              </w:rPr>
              <w:t>80</w:t>
            </w:r>
            <w:r w:rsidR="007E442D" w:rsidRPr="00D7163E">
              <w:rPr>
                <w:sz w:val="16"/>
              </w:rPr>
              <w:t>%</w:t>
            </w:r>
            <w:r w:rsidRPr="00D7163E">
              <w:rPr>
                <w:sz w:val="16"/>
              </w:rPr>
              <w:t xml:space="preserve"> des informations générales sont disponibles dans les six langues officielles.</w:t>
            </w:r>
          </w:p>
        </w:tc>
        <w:tc>
          <w:tcPr>
            <w:tcW w:w="670" w:type="pct"/>
            <w:gridSpan w:val="2"/>
            <w:shd w:val="clear" w:color="auto" w:fill="auto"/>
            <w:tcMar>
              <w:top w:w="110" w:type="dxa"/>
            </w:tcMar>
          </w:tcPr>
          <w:p w:rsidR="0096696E" w:rsidRPr="00D7163E" w:rsidRDefault="0096696E" w:rsidP="001A5BF9">
            <w:pPr>
              <w:keepNext/>
              <w:keepLines/>
              <w:jc w:val="center"/>
              <w:rPr>
                <w:rFonts w:cs="Arial"/>
                <w:bCs/>
                <w:sz w:val="16"/>
                <w:szCs w:val="16"/>
              </w:rPr>
            </w:pPr>
            <w:r w:rsidRPr="00B470C6">
              <w:rPr>
                <w:color w:val="008000"/>
                <w:sz w:val="16"/>
              </w:rPr>
              <w:t>Objectif pleinement atteint</w:t>
            </w:r>
          </w:p>
        </w:tc>
      </w:tr>
      <w:tr w:rsidR="0096696E" w:rsidRPr="005C7CCE" w:rsidTr="00D7163E">
        <w:trPr>
          <w:cantSplit/>
        </w:trPr>
        <w:tc>
          <w:tcPr>
            <w:tcW w:w="1039" w:type="pct"/>
            <w:tcBorders>
              <w:bottom w:val="single" w:sz="4" w:space="0" w:color="auto"/>
            </w:tcBorders>
            <w:shd w:val="clear" w:color="auto" w:fill="auto"/>
          </w:tcPr>
          <w:p w:rsidR="0096696E" w:rsidRPr="00D7163E" w:rsidRDefault="0096696E" w:rsidP="001A5BF9">
            <w:pPr>
              <w:rPr>
                <w:rFonts w:cs="Arial"/>
                <w:sz w:val="16"/>
                <w:szCs w:val="16"/>
              </w:rPr>
            </w:pPr>
            <w:r w:rsidRPr="00D7163E">
              <w:rPr>
                <w:sz w:val="16"/>
              </w:rPr>
              <w:t>Nombre d</w:t>
            </w:r>
            <w:r w:rsidR="00A20444" w:rsidRPr="00D7163E">
              <w:rPr>
                <w:sz w:val="16"/>
              </w:rPr>
              <w:t>’</w:t>
            </w:r>
            <w:r w:rsidRPr="00D7163E">
              <w:rPr>
                <w:sz w:val="16"/>
              </w:rPr>
              <w:t>offices nationaux ou régionaux fournissant des informations appropriées sur le système de La</w:t>
            </w:r>
            <w:r w:rsidR="0010442A" w:rsidRPr="00D7163E">
              <w:rPr>
                <w:sz w:val="16"/>
              </w:rPr>
              <w:t> </w:t>
            </w:r>
            <w:r w:rsidRPr="00D7163E">
              <w:rPr>
                <w:sz w:val="16"/>
              </w:rPr>
              <w:t>Haye</w:t>
            </w:r>
          </w:p>
        </w:tc>
        <w:tc>
          <w:tcPr>
            <w:tcW w:w="1045" w:type="pct"/>
            <w:gridSpan w:val="3"/>
            <w:tcBorders>
              <w:bottom w:val="single" w:sz="4" w:space="0" w:color="auto"/>
            </w:tcBorders>
            <w:shd w:val="clear" w:color="auto" w:fill="auto"/>
          </w:tcPr>
          <w:p w:rsidR="0096696E" w:rsidRPr="00D7163E" w:rsidRDefault="0096696E" w:rsidP="001A5BF9">
            <w:pPr>
              <w:rPr>
                <w:rFonts w:cs="Arial"/>
                <w:sz w:val="16"/>
                <w:szCs w:val="16"/>
              </w:rPr>
            </w:pPr>
            <w:r w:rsidRPr="00D7163E">
              <w:rPr>
                <w:sz w:val="16"/>
              </w:rPr>
              <w:t>Environ les 2/3 des offices concernés</w:t>
            </w:r>
          </w:p>
        </w:tc>
        <w:tc>
          <w:tcPr>
            <w:tcW w:w="902" w:type="pct"/>
            <w:tcBorders>
              <w:bottom w:val="single" w:sz="4" w:space="0" w:color="auto"/>
            </w:tcBorders>
            <w:shd w:val="clear" w:color="auto" w:fill="auto"/>
            <w:tcMar>
              <w:top w:w="110" w:type="dxa"/>
            </w:tcMar>
          </w:tcPr>
          <w:p w:rsidR="0096696E" w:rsidRPr="00D7163E" w:rsidRDefault="0096696E" w:rsidP="001A5BF9">
            <w:pPr>
              <w:rPr>
                <w:rFonts w:cs="Arial"/>
                <w:sz w:val="16"/>
                <w:szCs w:val="16"/>
              </w:rPr>
            </w:pPr>
            <w:r w:rsidRPr="00D7163E">
              <w:rPr>
                <w:sz w:val="16"/>
              </w:rPr>
              <w:t>Tous les offices concernés</w:t>
            </w:r>
          </w:p>
        </w:tc>
        <w:tc>
          <w:tcPr>
            <w:tcW w:w="1344" w:type="pct"/>
            <w:tcBorders>
              <w:bottom w:val="single" w:sz="4" w:space="0" w:color="auto"/>
            </w:tcBorders>
            <w:shd w:val="clear" w:color="auto" w:fill="FFFFFF"/>
            <w:tcMar>
              <w:top w:w="110" w:type="dxa"/>
            </w:tcMar>
          </w:tcPr>
          <w:p w:rsidR="0096696E" w:rsidRPr="00D7163E" w:rsidRDefault="0096696E" w:rsidP="001A5BF9">
            <w:pPr>
              <w:rPr>
                <w:rFonts w:cs="Arial"/>
                <w:sz w:val="16"/>
                <w:szCs w:val="16"/>
              </w:rPr>
            </w:pPr>
            <w:r w:rsidRPr="00D7163E">
              <w:rPr>
                <w:sz w:val="16"/>
              </w:rPr>
              <w:t>42 offices nationaux ou régionaux fournissaient des informations appropriées sur le système de La</w:t>
            </w:r>
            <w:r w:rsidR="0010442A" w:rsidRPr="00D7163E">
              <w:rPr>
                <w:sz w:val="16"/>
              </w:rPr>
              <w:t> </w:t>
            </w:r>
            <w:r w:rsidRPr="00D7163E">
              <w:rPr>
                <w:sz w:val="16"/>
              </w:rPr>
              <w:t xml:space="preserve">Haye. </w:t>
            </w:r>
            <w:r w:rsidR="0010442A" w:rsidRPr="00D7163E">
              <w:rPr>
                <w:sz w:val="16"/>
              </w:rPr>
              <w:t xml:space="preserve"> </w:t>
            </w:r>
            <w:r w:rsidRPr="00D7163E">
              <w:rPr>
                <w:sz w:val="16"/>
              </w:rPr>
              <w:t>Neuf</w:t>
            </w:r>
            <w:r w:rsidR="0010442A" w:rsidRPr="00D7163E">
              <w:rPr>
                <w:sz w:val="16"/>
              </w:rPr>
              <w:t> </w:t>
            </w:r>
            <w:r w:rsidRPr="00D7163E">
              <w:rPr>
                <w:sz w:val="16"/>
              </w:rPr>
              <w:t>offices n</w:t>
            </w:r>
            <w:r w:rsidR="00A20444" w:rsidRPr="00D7163E">
              <w:rPr>
                <w:sz w:val="16"/>
              </w:rPr>
              <w:t>’</w:t>
            </w:r>
            <w:r w:rsidRPr="00D7163E">
              <w:rPr>
                <w:sz w:val="16"/>
              </w:rPr>
              <w:t>ont pas de site</w:t>
            </w:r>
            <w:r w:rsidR="0010442A" w:rsidRPr="00D7163E">
              <w:rPr>
                <w:sz w:val="16"/>
              </w:rPr>
              <w:t> </w:t>
            </w:r>
            <w:r w:rsidRPr="00D7163E">
              <w:rPr>
                <w:sz w:val="16"/>
              </w:rPr>
              <w:t>Web.</w:t>
            </w:r>
          </w:p>
        </w:tc>
        <w:tc>
          <w:tcPr>
            <w:tcW w:w="670" w:type="pct"/>
            <w:gridSpan w:val="2"/>
            <w:tcBorders>
              <w:bottom w:val="single" w:sz="4" w:space="0" w:color="auto"/>
            </w:tcBorders>
            <w:shd w:val="clear" w:color="auto" w:fill="auto"/>
            <w:tcMar>
              <w:top w:w="110" w:type="dxa"/>
            </w:tcMar>
          </w:tcPr>
          <w:p w:rsidR="0096696E" w:rsidRPr="005C7CCE" w:rsidRDefault="0015421B" w:rsidP="001A5BF9">
            <w:pPr>
              <w:keepNext/>
              <w:keepLines/>
              <w:jc w:val="center"/>
              <w:rPr>
                <w:rFonts w:cs="Arial"/>
                <w:bCs/>
                <w:color w:val="008000"/>
                <w:sz w:val="16"/>
                <w:szCs w:val="16"/>
              </w:rPr>
            </w:pPr>
            <w:r w:rsidRPr="0015421B">
              <w:rPr>
                <w:color w:val="E36C0A"/>
                <w:sz w:val="16"/>
              </w:rPr>
              <w:t>Objectif partiellement atteint</w:t>
            </w:r>
          </w:p>
        </w:tc>
      </w:tr>
      <w:tr w:rsidR="00D7163E" w:rsidRPr="00D7163E" w:rsidTr="00D7163E">
        <w:trPr>
          <w:cantSplit/>
        </w:trPr>
        <w:tc>
          <w:tcPr>
            <w:tcW w:w="5000" w:type="pct"/>
            <w:gridSpan w:val="8"/>
            <w:tcBorders>
              <w:top w:val="single" w:sz="4" w:space="0" w:color="auto"/>
              <w:bottom w:val="single" w:sz="4" w:space="0" w:color="auto"/>
            </w:tcBorders>
            <w:shd w:val="clear" w:color="auto" w:fill="CCFFFF"/>
            <w:vAlign w:val="center"/>
          </w:tcPr>
          <w:p w:rsidR="0096696E" w:rsidRPr="00D7163E" w:rsidRDefault="0096696E" w:rsidP="001A5BF9">
            <w:pPr>
              <w:keepNext/>
              <w:keepLines/>
              <w:tabs>
                <w:tab w:val="left" w:pos="1452"/>
              </w:tabs>
              <w:spacing w:before="120" w:after="120"/>
              <w:ind w:left="1452" w:hanging="1452"/>
              <w:rPr>
                <w:rFonts w:cs="Arial"/>
                <w:b/>
                <w:bCs/>
                <w:sz w:val="16"/>
                <w:szCs w:val="16"/>
              </w:rPr>
            </w:pPr>
            <w:r w:rsidRPr="00D7163E">
              <w:rPr>
                <w:b/>
                <w:sz w:val="16"/>
              </w:rPr>
              <w:t>Résultat escompté</w:t>
            </w:r>
            <w:r w:rsidR="0010442A" w:rsidRPr="00D7163E">
              <w:rPr>
                <w:b/>
                <w:sz w:val="16"/>
              </w:rPr>
              <w:t xml:space="preserve"> : </w:t>
            </w:r>
            <w:r w:rsidRPr="00D7163E">
              <w:rPr>
                <w:b/>
                <w:sz w:val="16"/>
              </w:rPr>
              <w:tab/>
            </w:r>
            <w:r w:rsidRPr="00D7163E">
              <w:rPr>
                <w:sz w:val="16"/>
              </w:rPr>
              <w:t>Utilisation plus fréquente et améliorée du système de La</w:t>
            </w:r>
            <w:r w:rsidR="0010442A" w:rsidRPr="00D7163E">
              <w:rPr>
                <w:sz w:val="16"/>
              </w:rPr>
              <w:t> </w:t>
            </w:r>
            <w:r w:rsidRPr="00D7163E">
              <w:rPr>
                <w:sz w:val="16"/>
              </w:rPr>
              <w:t>Haye</w:t>
            </w:r>
          </w:p>
        </w:tc>
      </w:tr>
      <w:tr w:rsidR="00D7163E" w:rsidRPr="00D7163E" w:rsidTr="00D7163E">
        <w:trPr>
          <w:cantSplit/>
        </w:trPr>
        <w:tc>
          <w:tcPr>
            <w:tcW w:w="1039" w:type="pct"/>
            <w:tcBorders>
              <w:top w:val="single" w:sz="4" w:space="0" w:color="auto"/>
            </w:tcBorders>
            <w:shd w:val="clear" w:color="auto" w:fill="auto"/>
            <w:vAlign w:val="center"/>
          </w:tcPr>
          <w:p w:rsidR="0096696E" w:rsidRPr="00D7163E" w:rsidRDefault="0096696E" w:rsidP="001A5BF9">
            <w:pPr>
              <w:rPr>
                <w:rFonts w:cs="Arial"/>
                <w:b/>
                <w:sz w:val="16"/>
                <w:szCs w:val="16"/>
              </w:rPr>
            </w:pPr>
            <w:r w:rsidRPr="00D7163E">
              <w:rPr>
                <w:b/>
                <w:sz w:val="16"/>
              </w:rPr>
              <w:t>Indicateurs d</w:t>
            </w:r>
            <w:r w:rsidR="00A20444" w:rsidRPr="00D7163E">
              <w:rPr>
                <w:b/>
                <w:sz w:val="16"/>
              </w:rPr>
              <w:t>’</w:t>
            </w:r>
            <w:r w:rsidRPr="00D7163E">
              <w:rPr>
                <w:b/>
                <w:sz w:val="16"/>
              </w:rPr>
              <w:t>exécution</w:t>
            </w:r>
          </w:p>
        </w:tc>
        <w:tc>
          <w:tcPr>
            <w:tcW w:w="1045" w:type="pct"/>
            <w:gridSpan w:val="3"/>
            <w:tcBorders>
              <w:top w:val="single" w:sz="4" w:space="0" w:color="auto"/>
            </w:tcBorders>
            <w:shd w:val="clear" w:color="auto" w:fill="auto"/>
            <w:vAlign w:val="center"/>
          </w:tcPr>
          <w:p w:rsidR="0096696E" w:rsidRPr="00D7163E" w:rsidRDefault="0096696E" w:rsidP="001A5BF9">
            <w:pPr>
              <w:rPr>
                <w:rFonts w:cs="Arial"/>
                <w:b/>
                <w:bCs/>
                <w:sz w:val="16"/>
                <w:szCs w:val="16"/>
              </w:rPr>
            </w:pPr>
            <w:r w:rsidRPr="00D7163E">
              <w:rPr>
                <w:b/>
                <w:sz w:val="16"/>
              </w:rPr>
              <w:t>Niveaux de référence</w:t>
            </w:r>
          </w:p>
        </w:tc>
        <w:tc>
          <w:tcPr>
            <w:tcW w:w="902" w:type="pct"/>
            <w:tcBorders>
              <w:top w:val="single" w:sz="4" w:space="0" w:color="auto"/>
            </w:tcBorders>
            <w:shd w:val="clear" w:color="auto" w:fill="auto"/>
            <w:tcMar>
              <w:top w:w="110" w:type="dxa"/>
            </w:tcMar>
            <w:vAlign w:val="center"/>
          </w:tcPr>
          <w:p w:rsidR="0096696E" w:rsidRPr="00D7163E" w:rsidRDefault="0096696E" w:rsidP="001A5BF9">
            <w:pPr>
              <w:rPr>
                <w:rFonts w:cs="Arial"/>
                <w:b/>
                <w:sz w:val="16"/>
                <w:szCs w:val="16"/>
              </w:rPr>
            </w:pPr>
            <w:r w:rsidRPr="00D7163E">
              <w:rPr>
                <w:b/>
                <w:sz w:val="16"/>
              </w:rPr>
              <w:t>Objectifs visés</w:t>
            </w:r>
          </w:p>
        </w:tc>
        <w:tc>
          <w:tcPr>
            <w:tcW w:w="1350" w:type="pct"/>
            <w:gridSpan w:val="2"/>
            <w:tcBorders>
              <w:top w:val="single" w:sz="4" w:space="0" w:color="auto"/>
            </w:tcBorders>
            <w:shd w:val="clear" w:color="auto" w:fill="FFFFFF"/>
            <w:tcMar>
              <w:top w:w="110" w:type="dxa"/>
            </w:tcMar>
            <w:vAlign w:val="center"/>
          </w:tcPr>
          <w:p w:rsidR="0096696E" w:rsidRPr="00D7163E" w:rsidRDefault="0096696E" w:rsidP="001A5BF9">
            <w:pPr>
              <w:rPr>
                <w:rFonts w:cs="Arial"/>
                <w:b/>
                <w:sz w:val="16"/>
                <w:szCs w:val="16"/>
              </w:rPr>
            </w:pPr>
            <w:r w:rsidRPr="00D7163E">
              <w:rPr>
                <w:b/>
                <w:sz w:val="16"/>
              </w:rPr>
              <w:t>Données relatives à l</w:t>
            </w:r>
            <w:r w:rsidR="00A20444" w:rsidRPr="00D7163E">
              <w:rPr>
                <w:b/>
                <w:sz w:val="16"/>
              </w:rPr>
              <w:t>’</w:t>
            </w:r>
            <w:r w:rsidRPr="00D7163E">
              <w:rPr>
                <w:b/>
                <w:sz w:val="16"/>
              </w:rPr>
              <w:t>exécution</w:t>
            </w:r>
          </w:p>
        </w:tc>
        <w:tc>
          <w:tcPr>
            <w:tcW w:w="664" w:type="pct"/>
            <w:tcBorders>
              <w:top w:val="single" w:sz="4" w:space="0" w:color="auto"/>
            </w:tcBorders>
            <w:shd w:val="clear" w:color="auto" w:fill="auto"/>
            <w:tcMar>
              <w:top w:w="110" w:type="dxa"/>
            </w:tcMar>
            <w:vAlign w:val="center"/>
          </w:tcPr>
          <w:p w:rsidR="0096696E" w:rsidRPr="00D7163E" w:rsidRDefault="0096696E" w:rsidP="001A5BF9">
            <w:pPr>
              <w:keepNext/>
              <w:keepLines/>
              <w:jc w:val="center"/>
              <w:rPr>
                <w:rFonts w:cs="Arial"/>
                <w:b/>
                <w:bCs/>
                <w:sz w:val="16"/>
                <w:szCs w:val="16"/>
              </w:rPr>
            </w:pPr>
            <w:r w:rsidRPr="00D7163E">
              <w:rPr>
                <w:b/>
                <w:sz w:val="16"/>
              </w:rPr>
              <w:t>Code de couleurs</w:t>
            </w:r>
          </w:p>
        </w:tc>
      </w:tr>
      <w:tr w:rsidR="0096696E" w:rsidRPr="005C7CCE" w:rsidTr="00D7163E">
        <w:trPr>
          <w:cantSplit/>
        </w:trPr>
        <w:tc>
          <w:tcPr>
            <w:tcW w:w="1039" w:type="pct"/>
            <w:shd w:val="clear" w:color="auto" w:fill="auto"/>
          </w:tcPr>
          <w:p w:rsidR="0096696E" w:rsidRPr="005C7CCE" w:rsidRDefault="0096696E" w:rsidP="001A5BF9">
            <w:pPr>
              <w:rPr>
                <w:rFonts w:cs="Arial"/>
                <w:color w:val="008000"/>
                <w:sz w:val="16"/>
                <w:szCs w:val="16"/>
              </w:rPr>
            </w:pPr>
            <w:r w:rsidRPr="00D7163E">
              <w:rPr>
                <w:sz w:val="16"/>
              </w:rPr>
              <w:t>Nombre d</w:t>
            </w:r>
            <w:r w:rsidR="00A20444" w:rsidRPr="00D7163E">
              <w:rPr>
                <w:sz w:val="16"/>
              </w:rPr>
              <w:t>’</w:t>
            </w:r>
            <w:r w:rsidRPr="00D7163E">
              <w:rPr>
                <w:sz w:val="16"/>
              </w:rPr>
              <w:t>enregistrements, de dessins et modèles industriels figurant dans les enregistrements, les renouvellements et d</w:t>
            </w:r>
            <w:r w:rsidR="00A20444" w:rsidRPr="00D7163E">
              <w:rPr>
                <w:sz w:val="16"/>
              </w:rPr>
              <w:t>’</w:t>
            </w:r>
            <w:r w:rsidRPr="00D7163E">
              <w:rPr>
                <w:sz w:val="16"/>
              </w:rPr>
              <w:t>autres inscriptions</w:t>
            </w:r>
          </w:p>
        </w:tc>
        <w:tc>
          <w:tcPr>
            <w:tcW w:w="1045" w:type="pct"/>
            <w:gridSpan w:val="3"/>
            <w:shd w:val="clear" w:color="auto" w:fill="auto"/>
          </w:tcPr>
          <w:p w:rsidR="00D42474" w:rsidRDefault="0096696E" w:rsidP="001A5BF9">
            <w:pPr>
              <w:rPr>
                <w:i/>
                <w:color w:val="002060"/>
                <w:sz w:val="16"/>
              </w:rPr>
            </w:pPr>
            <w:r w:rsidRPr="005C7CCE">
              <w:rPr>
                <w:i/>
                <w:color w:val="002060"/>
                <w:sz w:val="16"/>
              </w:rPr>
              <w:t>Niveau de référence actualisé fin 2011 :</w:t>
            </w:r>
          </w:p>
          <w:p w:rsidR="00D42474" w:rsidRDefault="00D42474" w:rsidP="001A5BF9">
            <w:pPr>
              <w:rPr>
                <w:rFonts w:cs="Arial"/>
                <w:i/>
                <w:color w:val="002060"/>
                <w:sz w:val="16"/>
                <w:szCs w:val="16"/>
              </w:rPr>
            </w:pPr>
          </w:p>
          <w:p w:rsidR="00D42474" w:rsidRDefault="003D2207" w:rsidP="001A5BF9">
            <w:pPr>
              <w:rPr>
                <w:rFonts w:cs="Arial"/>
                <w:color w:val="002060"/>
                <w:sz w:val="16"/>
                <w:szCs w:val="16"/>
                <w:lang w:bidi="th-TH"/>
              </w:rPr>
            </w:pPr>
            <w:r>
              <w:rPr>
                <w:color w:val="002060"/>
                <w:sz w:val="16"/>
              </w:rPr>
              <w:t>n</w:t>
            </w:r>
            <w:r w:rsidR="0096696E" w:rsidRPr="00D7163E">
              <w:rPr>
                <w:color w:val="002060"/>
                <w:sz w:val="16"/>
              </w:rPr>
              <w:t>ouveaux enregistrements</w:t>
            </w:r>
          </w:p>
          <w:p w:rsidR="00D42474" w:rsidRDefault="0096696E" w:rsidP="001A5BF9">
            <w:pPr>
              <w:rPr>
                <w:rFonts w:cs="Arial"/>
                <w:i/>
                <w:color w:val="002060"/>
                <w:sz w:val="16"/>
                <w:szCs w:val="16"/>
              </w:rPr>
            </w:pPr>
            <w:r w:rsidRPr="00D7163E">
              <w:rPr>
                <w:color w:val="002060"/>
                <w:sz w:val="16"/>
              </w:rPr>
              <w:t>2 363</w:t>
            </w:r>
          </w:p>
          <w:p w:rsidR="00D42474" w:rsidRDefault="00D42474" w:rsidP="001A5BF9">
            <w:pPr>
              <w:rPr>
                <w:rFonts w:cs="Arial"/>
                <w:color w:val="002060"/>
                <w:sz w:val="16"/>
                <w:szCs w:val="16"/>
              </w:rPr>
            </w:pPr>
          </w:p>
          <w:p w:rsidR="00D42474" w:rsidRDefault="00D42474" w:rsidP="001A5BF9">
            <w:pPr>
              <w:rPr>
                <w:rFonts w:cs="Arial"/>
                <w:color w:val="002060"/>
                <w:sz w:val="16"/>
                <w:szCs w:val="16"/>
              </w:rPr>
            </w:pPr>
          </w:p>
          <w:p w:rsidR="00D42474" w:rsidRDefault="00D7163E" w:rsidP="001A5BF9">
            <w:pPr>
              <w:rPr>
                <w:color w:val="002060"/>
                <w:sz w:val="16"/>
              </w:rPr>
            </w:pPr>
            <w:r>
              <w:rPr>
                <w:color w:val="002060"/>
                <w:sz w:val="16"/>
              </w:rPr>
              <w:t>d</w:t>
            </w:r>
            <w:r w:rsidR="0096696E" w:rsidRPr="00D7163E">
              <w:rPr>
                <w:color w:val="002060"/>
                <w:sz w:val="16"/>
              </w:rPr>
              <w:t>essins et modèles industriels compris</w:t>
            </w:r>
          </w:p>
          <w:p w:rsidR="00D42474" w:rsidRDefault="0096696E" w:rsidP="001A5BF9">
            <w:pPr>
              <w:rPr>
                <w:rFonts w:cs="Arial"/>
                <w:color w:val="002060"/>
                <w:sz w:val="16"/>
                <w:szCs w:val="16"/>
              </w:rPr>
            </w:pPr>
            <w:r w:rsidRPr="00D7163E">
              <w:rPr>
                <w:color w:val="002060"/>
                <w:sz w:val="16"/>
              </w:rPr>
              <w:t>11 077</w:t>
            </w:r>
          </w:p>
          <w:p w:rsidR="00D42474" w:rsidRDefault="00D42474" w:rsidP="001A5BF9">
            <w:pPr>
              <w:rPr>
                <w:rFonts w:cs="Arial"/>
                <w:color w:val="002060"/>
                <w:sz w:val="16"/>
                <w:szCs w:val="16"/>
              </w:rPr>
            </w:pPr>
          </w:p>
          <w:p w:rsidR="00D42474" w:rsidRDefault="00D42474" w:rsidP="001A5BF9">
            <w:pPr>
              <w:rPr>
                <w:rFonts w:cs="Arial"/>
                <w:color w:val="002060"/>
                <w:sz w:val="16"/>
                <w:szCs w:val="16"/>
              </w:rPr>
            </w:pPr>
          </w:p>
          <w:p w:rsidR="00D42474" w:rsidRDefault="00D7163E" w:rsidP="001A5BF9">
            <w:pPr>
              <w:rPr>
                <w:rFonts w:cs="Arial"/>
                <w:color w:val="002060"/>
                <w:sz w:val="16"/>
                <w:szCs w:val="16"/>
              </w:rPr>
            </w:pPr>
            <w:r>
              <w:rPr>
                <w:color w:val="002060"/>
                <w:sz w:val="16"/>
              </w:rPr>
              <w:t>r</w:t>
            </w:r>
            <w:r w:rsidR="0096696E" w:rsidRPr="00D7163E">
              <w:rPr>
                <w:color w:val="002060"/>
                <w:sz w:val="16"/>
              </w:rPr>
              <w:t>enouvellements</w:t>
            </w:r>
          </w:p>
          <w:p w:rsidR="00D42474" w:rsidRDefault="0096696E" w:rsidP="001A5BF9">
            <w:pPr>
              <w:rPr>
                <w:rFonts w:cs="Arial"/>
                <w:color w:val="002060"/>
                <w:sz w:val="16"/>
                <w:szCs w:val="16"/>
              </w:rPr>
            </w:pPr>
            <w:r w:rsidRPr="00D7163E">
              <w:rPr>
                <w:color w:val="002060"/>
                <w:sz w:val="16"/>
              </w:rPr>
              <w:t>2 821</w:t>
            </w:r>
          </w:p>
          <w:p w:rsidR="00D42474" w:rsidRDefault="00D42474" w:rsidP="001A5BF9">
            <w:pPr>
              <w:rPr>
                <w:rFonts w:cs="Arial"/>
                <w:color w:val="002060"/>
                <w:sz w:val="16"/>
                <w:szCs w:val="16"/>
              </w:rPr>
            </w:pPr>
          </w:p>
          <w:p w:rsidR="00D42474" w:rsidRDefault="00D42474" w:rsidP="001A5BF9">
            <w:pPr>
              <w:rPr>
                <w:rFonts w:cs="Arial"/>
                <w:color w:val="002060"/>
                <w:sz w:val="16"/>
                <w:szCs w:val="16"/>
              </w:rPr>
            </w:pPr>
          </w:p>
          <w:p w:rsidR="00D42474" w:rsidRDefault="00D7163E" w:rsidP="001A5BF9">
            <w:pPr>
              <w:rPr>
                <w:rFonts w:cs="Arial"/>
                <w:color w:val="002060"/>
                <w:sz w:val="16"/>
                <w:szCs w:val="16"/>
              </w:rPr>
            </w:pPr>
            <w:r>
              <w:rPr>
                <w:color w:val="002060"/>
                <w:sz w:val="16"/>
              </w:rPr>
              <w:t>a</w:t>
            </w:r>
            <w:r w:rsidR="0096696E" w:rsidRPr="00D7163E">
              <w:rPr>
                <w:color w:val="002060"/>
                <w:sz w:val="16"/>
              </w:rPr>
              <w:t>utres inscriptions</w:t>
            </w:r>
          </w:p>
          <w:p w:rsidR="00D42474" w:rsidRDefault="0096696E" w:rsidP="001A5BF9">
            <w:pPr>
              <w:rPr>
                <w:rFonts w:cs="Arial"/>
                <w:color w:val="002060"/>
                <w:sz w:val="16"/>
                <w:szCs w:val="16"/>
              </w:rPr>
            </w:pPr>
            <w:r w:rsidRPr="00D7163E">
              <w:rPr>
                <w:color w:val="002060"/>
                <w:sz w:val="16"/>
              </w:rPr>
              <w:t>4 326</w:t>
            </w:r>
          </w:p>
          <w:p w:rsidR="00D42474" w:rsidRDefault="00D42474" w:rsidP="001A5BF9">
            <w:pPr>
              <w:rPr>
                <w:rFonts w:cs="Arial"/>
                <w:color w:val="002060"/>
                <w:sz w:val="16"/>
                <w:szCs w:val="16"/>
              </w:rPr>
            </w:pPr>
          </w:p>
          <w:p w:rsidR="00D42474" w:rsidRDefault="0096696E" w:rsidP="001A5BF9">
            <w:pPr>
              <w:rPr>
                <w:rFonts w:cs="Arial"/>
                <w:sz w:val="16"/>
                <w:szCs w:val="16"/>
              </w:rPr>
            </w:pPr>
            <w:r w:rsidRPr="005C7CCE">
              <w:rPr>
                <w:i/>
                <w:sz w:val="16"/>
              </w:rPr>
              <w:t xml:space="preserve">Niveau de référence </w:t>
            </w:r>
            <w:r w:rsidRPr="00D7163E">
              <w:rPr>
                <w:i/>
                <w:sz w:val="16"/>
              </w:rPr>
              <w:t xml:space="preserve">initial </w:t>
            </w:r>
            <w:r w:rsidR="00667FB3" w:rsidRPr="00D7163E">
              <w:rPr>
                <w:i/>
                <w:sz w:val="16"/>
              </w:rPr>
              <w:t>programme et budget</w:t>
            </w:r>
            <w:r w:rsidRPr="00D7163E">
              <w:rPr>
                <w:i/>
                <w:sz w:val="16"/>
              </w:rPr>
              <w:t xml:space="preserve"> 2012</w:t>
            </w:r>
            <w:r w:rsidR="002D6F2A" w:rsidRPr="00D7163E">
              <w:rPr>
                <w:i/>
                <w:sz w:val="16"/>
              </w:rPr>
              <w:noBreakHyphen/>
            </w:r>
            <w:r w:rsidRPr="00D7163E">
              <w:rPr>
                <w:i/>
                <w:sz w:val="16"/>
              </w:rPr>
              <w:t>2013</w:t>
            </w:r>
            <w:r w:rsidR="0010442A" w:rsidRPr="00D7163E">
              <w:rPr>
                <w:i/>
                <w:sz w:val="16"/>
              </w:rPr>
              <w:t> </w:t>
            </w:r>
            <w:r w:rsidRPr="00D7163E">
              <w:rPr>
                <w:i/>
                <w:sz w:val="16"/>
              </w:rPr>
              <w:t>:</w:t>
            </w:r>
            <w:r w:rsidRPr="00D7163E">
              <w:br/>
            </w:r>
          </w:p>
          <w:p w:rsidR="00D42474" w:rsidRDefault="00D7163E" w:rsidP="001A5BF9">
            <w:pPr>
              <w:rPr>
                <w:rFonts w:cs="Arial"/>
                <w:sz w:val="16"/>
                <w:szCs w:val="16"/>
              </w:rPr>
            </w:pPr>
            <w:r>
              <w:rPr>
                <w:sz w:val="16"/>
              </w:rPr>
              <w:t>n</w:t>
            </w:r>
            <w:r w:rsidR="0096696E" w:rsidRPr="00D7163E">
              <w:rPr>
                <w:sz w:val="16"/>
              </w:rPr>
              <w:t>ouveaux enregistrements</w:t>
            </w:r>
            <w:r w:rsidR="0096696E" w:rsidRPr="00D7163E">
              <w:br/>
            </w:r>
            <w:r w:rsidR="0096696E" w:rsidRPr="00D7163E">
              <w:rPr>
                <w:sz w:val="16"/>
              </w:rPr>
              <w:t>2 216 (2010)</w:t>
            </w:r>
          </w:p>
          <w:p w:rsidR="0096696E" w:rsidRPr="005C7CCE" w:rsidRDefault="0096696E" w:rsidP="001A5BF9">
            <w:pPr>
              <w:rPr>
                <w:rFonts w:cs="Arial"/>
                <w:sz w:val="16"/>
                <w:szCs w:val="16"/>
              </w:rPr>
            </w:pPr>
            <w:r w:rsidRPr="00D7163E">
              <w:rPr>
                <w:sz w:val="16"/>
              </w:rPr>
              <w:t>2 900 (2011)</w:t>
            </w:r>
          </w:p>
        </w:tc>
        <w:tc>
          <w:tcPr>
            <w:tcW w:w="902" w:type="pct"/>
            <w:shd w:val="clear" w:color="auto" w:fill="auto"/>
            <w:tcMar>
              <w:top w:w="110" w:type="dxa"/>
            </w:tcMar>
          </w:tcPr>
          <w:p w:rsidR="00D42474" w:rsidRDefault="00D42474" w:rsidP="001A5BF9">
            <w:pPr>
              <w:autoSpaceDE w:val="0"/>
              <w:autoSpaceDN w:val="0"/>
              <w:adjustRightInd w:val="0"/>
              <w:rPr>
                <w:rFonts w:cs="Arial"/>
                <w:sz w:val="16"/>
                <w:szCs w:val="16"/>
              </w:rPr>
            </w:pPr>
          </w:p>
          <w:p w:rsidR="00D42474" w:rsidRDefault="00D42474" w:rsidP="001A5BF9">
            <w:pPr>
              <w:autoSpaceDE w:val="0"/>
              <w:autoSpaceDN w:val="0"/>
              <w:adjustRightInd w:val="0"/>
              <w:rPr>
                <w:rFonts w:cs="Arial"/>
                <w:sz w:val="16"/>
                <w:szCs w:val="16"/>
              </w:rPr>
            </w:pPr>
          </w:p>
          <w:p w:rsidR="00D42474" w:rsidRDefault="00D42474" w:rsidP="001A5BF9">
            <w:pPr>
              <w:autoSpaceDE w:val="0"/>
              <w:autoSpaceDN w:val="0"/>
              <w:adjustRightInd w:val="0"/>
              <w:rPr>
                <w:rFonts w:cs="Arial"/>
                <w:sz w:val="16"/>
                <w:szCs w:val="16"/>
              </w:rPr>
            </w:pPr>
          </w:p>
          <w:p w:rsidR="00D42474" w:rsidRDefault="0096696E" w:rsidP="001A5BF9">
            <w:pPr>
              <w:autoSpaceDE w:val="0"/>
              <w:autoSpaceDN w:val="0"/>
              <w:adjustRightInd w:val="0"/>
              <w:rPr>
                <w:rFonts w:cs="Arial"/>
                <w:sz w:val="16"/>
                <w:szCs w:val="16"/>
              </w:rPr>
            </w:pPr>
            <w:r w:rsidRPr="00D7163E">
              <w:rPr>
                <w:sz w:val="16"/>
              </w:rPr>
              <w:t>Nouveaux enregistrements</w:t>
            </w:r>
          </w:p>
          <w:p w:rsidR="00D42474" w:rsidRDefault="0096696E" w:rsidP="001A5BF9">
            <w:pPr>
              <w:rPr>
                <w:rFonts w:cs="Arial"/>
                <w:sz w:val="16"/>
                <w:szCs w:val="16"/>
              </w:rPr>
            </w:pPr>
            <w:r w:rsidRPr="00D7163E">
              <w:rPr>
                <w:sz w:val="16"/>
              </w:rPr>
              <w:t>5 000 (2012)</w:t>
            </w:r>
          </w:p>
          <w:p w:rsidR="00D42474" w:rsidRDefault="0096696E" w:rsidP="001A5BF9">
            <w:pPr>
              <w:rPr>
                <w:rFonts w:cs="Arial"/>
                <w:sz w:val="16"/>
                <w:szCs w:val="16"/>
              </w:rPr>
            </w:pPr>
            <w:r w:rsidRPr="00D7163E">
              <w:rPr>
                <w:sz w:val="16"/>
              </w:rPr>
              <w:t>7 500 (2013)</w:t>
            </w:r>
          </w:p>
          <w:p w:rsidR="00D42474" w:rsidRDefault="00D42474" w:rsidP="001A5BF9">
            <w:pPr>
              <w:rPr>
                <w:rFonts w:cs="Arial"/>
                <w:sz w:val="16"/>
                <w:szCs w:val="16"/>
              </w:rPr>
            </w:pPr>
          </w:p>
          <w:p w:rsidR="00D42474" w:rsidRDefault="0096696E" w:rsidP="001A5BF9">
            <w:pPr>
              <w:rPr>
                <w:rFonts w:cs="Arial"/>
                <w:sz w:val="16"/>
                <w:szCs w:val="16"/>
              </w:rPr>
            </w:pPr>
            <w:r w:rsidRPr="00D7163E">
              <w:rPr>
                <w:sz w:val="16"/>
              </w:rPr>
              <w:t>Dessins et modèles industriels compris</w:t>
            </w:r>
          </w:p>
          <w:p w:rsidR="00D42474" w:rsidRDefault="0096696E" w:rsidP="001A5BF9">
            <w:pPr>
              <w:rPr>
                <w:rFonts w:cs="Arial"/>
                <w:sz w:val="16"/>
                <w:szCs w:val="16"/>
              </w:rPr>
            </w:pPr>
            <w:r w:rsidRPr="00D7163E">
              <w:rPr>
                <w:sz w:val="16"/>
              </w:rPr>
              <w:t>20 000 (2012)</w:t>
            </w:r>
          </w:p>
          <w:p w:rsidR="00D42474" w:rsidRDefault="0096696E" w:rsidP="001A5BF9">
            <w:pPr>
              <w:rPr>
                <w:rFonts w:cs="Arial"/>
                <w:sz w:val="16"/>
                <w:szCs w:val="16"/>
              </w:rPr>
            </w:pPr>
            <w:r w:rsidRPr="00D7163E">
              <w:rPr>
                <w:sz w:val="16"/>
              </w:rPr>
              <w:t>25 000 (2013)</w:t>
            </w:r>
          </w:p>
          <w:p w:rsidR="00D42474" w:rsidRDefault="00D42474" w:rsidP="001A5BF9">
            <w:pPr>
              <w:rPr>
                <w:rFonts w:cs="Arial"/>
                <w:sz w:val="16"/>
                <w:szCs w:val="16"/>
              </w:rPr>
            </w:pPr>
          </w:p>
          <w:p w:rsidR="00D42474" w:rsidRDefault="0096696E" w:rsidP="001A5BF9">
            <w:pPr>
              <w:rPr>
                <w:rFonts w:cs="Arial"/>
                <w:sz w:val="16"/>
                <w:szCs w:val="16"/>
              </w:rPr>
            </w:pPr>
            <w:r w:rsidRPr="00D7163E">
              <w:rPr>
                <w:sz w:val="16"/>
              </w:rPr>
              <w:t>Renouvellements</w:t>
            </w:r>
          </w:p>
          <w:p w:rsidR="00D42474" w:rsidRDefault="0096696E" w:rsidP="001A5BF9">
            <w:pPr>
              <w:rPr>
                <w:sz w:val="16"/>
              </w:rPr>
            </w:pPr>
            <w:r w:rsidRPr="00D7163E">
              <w:rPr>
                <w:sz w:val="16"/>
              </w:rPr>
              <w:t>2 800 (2012)</w:t>
            </w:r>
          </w:p>
          <w:p w:rsidR="00D42474" w:rsidRDefault="0096696E" w:rsidP="001A5BF9">
            <w:pPr>
              <w:rPr>
                <w:rFonts w:cs="Arial"/>
                <w:sz w:val="16"/>
                <w:szCs w:val="16"/>
              </w:rPr>
            </w:pPr>
            <w:r w:rsidRPr="00D7163E">
              <w:rPr>
                <w:sz w:val="16"/>
              </w:rPr>
              <w:t>2 500 (2013)</w:t>
            </w:r>
          </w:p>
          <w:p w:rsidR="00D42474" w:rsidRDefault="00D42474" w:rsidP="001A5BF9">
            <w:pPr>
              <w:rPr>
                <w:rFonts w:cs="Arial"/>
                <w:sz w:val="16"/>
                <w:szCs w:val="16"/>
              </w:rPr>
            </w:pPr>
          </w:p>
          <w:p w:rsidR="00D42474" w:rsidRDefault="0096696E" w:rsidP="001A5BF9">
            <w:pPr>
              <w:rPr>
                <w:rFonts w:cs="Arial"/>
                <w:sz w:val="16"/>
                <w:szCs w:val="16"/>
              </w:rPr>
            </w:pPr>
            <w:r w:rsidRPr="00D7163E">
              <w:rPr>
                <w:sz w:val="16"/>
              </w:rPr>
              <w:t>Autres inscriptions</w:t>
            </w:r>
          </w:p>
          <w:p w:rsidR="00D42474" w:rsidRDefault="0096696E" w:rsidP="001A5BF9">
            <w:pPr>
              <w:rPr>
                <w:sz w:val="16"/>
              </w:rPr>
            </w:pPr>
            <w:r w:rsidRPr="00D7163E">
              <w:rPr>
                <w:sz w:val="16"/>
              </w:rPr>
              <w:t>8 000 (2012)</w:t>
            </w:r>
          </w:p>
          <w:p w:rsidR="0096696E" w:rsidRPr="00D7163E" w:rsidRDefault="0096696E" w:rsidP="001A5BF9">
            <w:pPr>
              <w:rPr>
                <w:rFonts w:cs="Arial"/>
                <w:sz w:val="16"/>
                <w:szCs w:val="16"/>
                <w:lang w:bidi="th-TH"/>
              </w:rPr>
            </w:pPr>
            <w:r w:rsidRPr="00D7163E">
              <w:rPr>
                <w:sz w:val="16"/>
              </w:rPr>
              <w:t>12 000 (2013)</w:t>
            </w:r>
          </w:p>
        </w:tc>
        <w:tc>
          <w:tcPr>
            <w:tcW w:w="1350" w:type="pct"/>
            <w:gridSpan w:val="2"/>
            <w:shd w:val="clear" w:color="auto" w:fill="FFFFFF"/>
            <w:tcMar>
              <w:top w:w="110" w:type="dxa"/>
            </w:tcMar>
          </w:tcPr>
          <w:p w:rsidR="00D42474" w:rsidRDefault="00D42474" w:rsidP="001A5BF9">
            <w:pPr>
              <w:rPr>
                <w:rFonts w:cs="Arial"/>
                <w:sz w:val="16"/>
                <w:szCs w:val="16"/>
                <w:lang w:bidi="th-TH"/>
              </w:rPr>
            </w:pPr>
          </w:p>
          <w:p w:rsidR="00D42474" w:rsidRDefault="00D42474" w:rsidP="001A5BF9">
            <w:pPr>
              <w:rPr>
                <w:rFonts w:cs="Arial"/>
                <w:sz w:val="16"/>
                <w:szCs w:val="16"/>
                <w:lang w:bidi="th-TH"/>
              </w:rPr>
            </w:pPr>
          </w:p>
          <w:p w:rsidR="00D42474" w:rsidRDefault="00D42474" w:rsidP="001A5BF9">
            <w:pPr>
              <w:rPr>
                <w:rFonts w:cs="Arial"/>
                <w:sz w:val="16"/>
                <w:szCs w:val="16"/>
                <w:lang w:bidi="th-TH"/>
              </w:rPr>
            </w:pPr>
          </w:p>
          <w:p w:rsidR="00D42474" w:rsidRDefault="0096696E" w:rsidP="001A5BF9">
            <w:pPr>
              <w:rPr>
                <w:rFonts w:cs="Arial"/>
                <w:sz w:val="16"/>
                <w:szCs w:val="16"/>
                <w:lang w:bidi="th-TH"/>
              </w:rPr>
            </w:pPr>
            <w:r w:rsidRPr="00D7163E">
              <w:rPr>
                <w:sz w:val="16"/>
              </w:rPr>
              <w:t>Nouveaux enregistrements</w:t>
            </w:r>
          </w:p>
          <w:p w:rsidR="00D42474" w:rsidRDefault="0096696E" w:rsidP="001A5BF9">
            <w:pPr>
              <w:rPr>
                <w:rFonts w:cs="Arial"/>
                <w:sz w:val="16"/>
                <w:szCs w:val="16"/>
                <w:lang w:bidi="th-TH"/>
              </w:rPr>
            </w:pPr>
            <w:r w:rsidRPr="00D7163E">
              <w:rPr>
                <w:sz w:val="16"/>
              </w:rPr>
              <w:t>2 440 (2012)</w:t>
            </w:r>
          </w:p>
          <w:p w:rsidR="00D42474" w:rsidRDefault="0096696E" w:rsidP="001A5BF9">
            <w:pPr>
              <w:rPr>
                <w:rFonts w:cs="Arial"/>
                <w:sz w:val="16"/>
                <w:szCs w:val="16"/>
                <w:lang w:bidi="th-TH"/>
              </w:rPr>
            </w:pPr>
            <w:r w:rsidRPr="00D7163E">
              <w:rPr>
                <w:sz w:val="16"/>
              </w:rPr>
              <w:t>2 734 (2013)</w:t>
            </w:r>
          </w:p>
          <w:p w:rsidR="00D42474" w:rsidRDefault="00D42474" w:rsidP="001A5BF9">
            <w:pPr>
              <w:rPr>
                <w:rFonts w:cs="Arial"/>
                <w:sz w:val="16"/>
                <w:szCs w:val="16"/>
                <w:lang w:bidi="th-TH"/>
              </w:rPr>
            </w:pPr>
          </w:p>
          <w:p w:rsidR="00D42474" w:rsidRDefault="00D42474" w:rsidP="001A5BF9">
            <w:pPr>
              <w:rPr>
                <w:rFonts w:cs="Arial"/>
                <w:sz w:val="16"/>
                <w:szCs w:val="16"/>
                <w:lang w:bidi="th-TH"/>
              </w:rPr>
            </w:pPr>
          </w:p>
          <w:p w:rsidR="00D42474" w:rsidRDefault="0096696E" w:rsidP="001A5BF9">
            <w:pPr>
              <w:rPr>
                <w:rFonts w:cs="Arial"/>
                <w:sz w:val="16"/>
                <w:szCs w:val="16"/>
                <w:lang w:bidi="th-TH"/>
              </w:rPr>
            </w:pPr>
            <w:r w:rsidRPr="00D7163E">
              <w:rPr>
                <w:sz w:val="16"/>
              </w:rPr>
              <w:t>Dessins et modèles industriels compris</w:t>
            </w:r>
          </w:p>
          <w:p w:rsidR="00D42474" w:rsidRDefault="0096696E" w:rsidP="001A5BF9">
            <w:pPr>
              <w:rPr>
                <w:rFonts w:cs="Arial"/>
                <w:sz w:val="16"/>
                <w:szCs w:val="16"/>
                <w:lang w:bidi="th-TH"/>
              </w:rPr>
            </w:pPr>
            <w:r w:rsidRPr="00D7163E">
              <w:rPr>
                <w:sz w:val="16"/>
              </w:rPr>
              <w:t>11 971 (2012)</w:t>
            </w:r>
          </w:p>
          <w:p w:rsidR="00D42474" w:rsidRDefault="0096696E" w:rsidP="001A5BF9">
            <w:pPr>
              <w:rPr>
                <w:rFonts w:cs="Arial"/>
                <w:sz w:val="16"/>
                <w:szCs w:val="16"/>
                <w:lang w:bidi="th-TH"/>
              </w:rPr>
            </w:pPr>
            <w:r w:rsidRPr="00D7163E">
              <w:rPr>
                <w:sz w:val="16"/>
              </w:rPr>
              <w:t>12 806 (2013)</w:t>
            </w:r>
          </w:p>
          <w:p w:rsidR="00D42474" w:rsidRDefault="00D42474" w:rsidP="001A5BF9">
            <w:pPr>
              <w:rPr>
                <w:rFonts w:cs="Arial"/>
                <w:sz w:val="16"/>
                <w:szCs w:val="16"/>
                <w:lang w:bidi="th-TH"/>
              </w:rPr>
            </w:pPr>
          </w:p>
          <w:p w:rsidR="00D42474" w:rsidRDefault="0096696E" w:rsidP="001A5BF9">
            <w:pPr>
              <w:rPr>
                <w:rFonts w:cs="Arial"/>
                <w:sz w:val="16"/>
                <w:szCs w:val="16"/>
                <w:lang w:bidi="th-TH"/>
              </w:rPr>
            </w:pPr>
            <w:r w:rsidRPr="00D7163E">
              <w:rPr>
                <w:sz w:val="16"/>
              </w:rPr>
              <w:t>Renouvellements</w:t>
            </w:r>
          </w:p>
          <w:p w:rsidR="00D42474" w:rsidRDefault="0096696E" w:rsidP="001A5BF9">
            <w:pPr>
              <w:rPr>
                <w:rFonts w:cs="Arial"/>
                <w:sz w:val="16"/>
                <w:szCs w:val="16"/>
                <w:lang w:bidi="th-TH"/>
              </w:rPr>
            </w:pPr>
            <w:r w:rsidRPr="00D7163E">
              <w:rPr>
                <w:sz w:val="16"/>
              </w:rPr>
              <w:t>3 120 (2012)</w:t>
            </w:r>
          </w:p>
          <w:p w:rsidR="00D42474" w:rsidRDefault="0096696E" w:rsidP="001A5BF9">
            <w:pPr>
              <w:rPr>
                <w:rFonts w:cs="Arial"/>
                <w:sz w:val="16"/>
                <w:szCs w:val="16"/>
                <w:lang w:bidi="th-TH"/>
              </w:rPr>
            </w:pPr>
            <w:r w:rsidRPr="00D7163E">
              <w:rPr>
                <w:sz w:val="16"/>
              </w:rPr>
              <w:t>2 859 (2013)</w:t>
            </w:r>
          </w:p>
          <w:p w:rsidR="00D42474" w:rsidRDefault="00D42474" w:rsidP="001A5BF9">
            <w:pPr>
              <w:rPr>
                <w:rFonts w:cs="Arial"/>
                <w:sz w:val="16"/>
                <w:szCs w:val="16"/>
                <w:lang w:bidi="th-TH"/>
              </w:rPr>
            </w:pPr>
          </w:p>
          <w:p w:rsidR="00D42474" w:rsidRDefault="0096696E" w:rsidP="001A5BF9">
            <w:pPr>
              <w:rPr>
                <w:rFonts w:cs="Arial"/>
                <w:sz w:val="16"/>
                <w:szCs w:val="16"/>
                <w:lang w:bidi="th-TH"/>
              </w:rPr>
            </w:pPr>
            <w:r w:rsidRPr="00D7163E">
              <w:rPr>
                <w:sz w:val="16"/>
              </w:rPr>
              <w:t>Autres inscriptions</w:t>
            </w:r>
          </w:p>
          <w:p w:rsidR="00D42474" w:rsidRDefault="0096696E" w:rsidP="001A5BF9">
            <w:pPr>
              <w:rPr>
                <w:rFonts w:cs="Arial"/>
                <w:sz w:val="16"/>
                <w:szCs w:val="16"/>
                <w:lang w:bidi="th-TH"/>
              </w:rPr>
            </w:pPr>
            <w:r w:rsidRPr="00D7163E">
              <w:rPr>
                <w:sz w:val="16"/>
              </w:rPr>
              <w:t>3 643 (2012)</w:t>
            </w:r>
          </w:p>
          <w:p w:rsidR="0096696E" w:rsidRPr="00D7163E" w:rsidRDefault="0096696E" w:rsidP="001A5BF9">
            <w:pPr>
              <w:rPr>
                <w:rFonts w:cs="Arial"/>
                <w:sz w:val="16"/>
                <w:szCs w:val="16"/>
                <w:lang w:bidi="th-TH"/>
              </w:rPr>
            </w:pPr>
            <w:r w:rsidRPr="00D7163E">
              <w:rPr>
                <w:sz w:val="16"/>
              </w:rPr>
              <w:t>3 631 (2013)</w:t>
            </w:r>
          </w:p>
        </w:tc>
        <w:tc>
          <w:tcPr>
            <w:tcW w:w="664" w:type="pct"/>
            <w:shd w:val="clear" w:color="auto" w:fill="auto"/>
            <w:tcMar>
              <w:top w:w="110" w:type="dxa"/>
            </w:tcMar>
          </w:tcPr>
          <w:p w:rsidR="00D42474" w:rsidRDefault="00D42474" w:rsidP="001A5BF9">
            <w:pPr>
              <w:keepNext/>
              <w:keepLines/>
              <w:jc w:val="center"/>
              <w:rPr>
                <w:rStyle w:val="Style5"/>
                <w:rFonts w:ascii="Arial" w:hAnsi="Arial" w:cs="Arial"/>
                <w:b/>
                <w:color w:val="008000"/>
                <w:sz w:val="16"/>
                <w:szCs w:val="16"/>
              </w:rPr>
            </w:pPr>
          </w:p>
          <w:p w:rsidR="00D42474" w:rsidRDefault="00D42474" w:rsidP="001A5BF9">
            <w:pPr>
              <w:keepNext/>
              <w:keepLines/>
              <w:jc w:val="center"/>
              <w:rPr>
                <w:rStyle w:val="Style5"/>
                <w:rFonts w:ascii="Arial" w:hAnsi="Arial" w:cs="Arial"/>
                <w:b/>
                <w:color w:val="008000"/>
                <w:sz w:val="16"/>
                <w:szCs w:val="16"/>
              </w:rPr>
            </w:pPr>
          </w:p>
          <w:p w:rsidR="00D42474" w:rsidRDefault="00D42474" w:rsidP="001A5BF9">
            <w:pPr>
              <w:keepNext/>
              <w:keepLines/>
              <w:jc w:val="center"/>
              <w:rPr>
                <w:rStyle w:val="Style5"/>
                <w:rFonts w:ascii="Arial" w:hAnsi="Arial" w:cs="Arial"/>
                <w:b/>
                <w:color w:val="008000"/>
                <w:sz w:val="16"/>
                <w:szCs w:val="16"/>
              </w:rPr>
            </w:pPr>
          </w:p>
          <w:p w:rsidR="00D42474" w:rsidRDefault="0096696E" w:rsidP="001A5BF9">
            <w:pPr>
              <w:keepNext/>
              <w:keepLines/>
              <w:jc w:val="center"/>
              <w:rPr>
                <w:rFonts w:cs="Arial"/>
                <w:bCs/>
                <w:color w:val="FF0000"/>
                <w:sz w:val="16"/>
                <w:szCs w:val="16"/>
              </w:rPr>
            </w:pPr>
            <w:r w:rsidRPr="00D7163E">
              <w:rPr>
                <w:color w:val="FF0000"/>
                <w:sz w:val="16"/>
              </w:rPr>
              <w:t>Objectif pas atteint</w:t>
            </w:r>
          </w:p>
          <w:p w:rsidR="00D42474" w:rsidRDefault="00D42474" w:rsidP="001A5BF9">
            <w:pPr>
              <w:keepNext/>
              <w:keepLines/>
              <w:jc w:val="center"/>
              <w:rPr>
                <w:rFonts w:cs="Arial"/>
                <w:bCs/>
                <w:color w:val="FF0000"/>
                <w:sz w:val="16"/>
                <w:szCs w:val="16"/>
              </w:rPr>
            </w:pPr>
          </w:p>
          <w:p w:rsidR="00D42474" w:rsidRDefault="00D42474" w:rsidP="001A5BF9">
            <w:pPr>
              <w:keepNext/>
              <w:keepLines/>
              <w:jc w:val="center"/>
              <w:rPr>
                <w:rFonts w:cs="Arial"/>
                <w:bCs/>
                <w:color w:val="FF0000"/>
                <w:sz w:val="16"/>
                <w:szCs w:val="16"/>
              </w:rPr>
            </w:pPr>
          </w:p>
          <w:p w:rsidR="00D42474" w:rsidRDefault="00D42474" w:rsidP="001A5BF9">
            <w:pPr>
              <w:keepNext/>
              <w:keepLines/>
              <w:jc w:val="center"/>
              <w:rPr>
                <w:rFonts w:cs="Arial"/>
                <w:bCs/>
                <w:color w:val="FF0000"/>
                <w:sz w:val="16"/>
                <w:szCs w:val="16"/>
              </w:rPr>
            </w:pPr>
          </w:p>
          <w:p w:rsidR="00D42474" w:rsidRDefault="0096696E" w:rsidP="001A5BF9">
            <w:pPr>
              <w:keepNext/>
              <w:keepLines/>
              <w:jc w:val="center"/>
              <w:rPr>
                <w:rFonts w:cs="Arial"/>
                <w:bCs/>
                <w:color w:val="FF0000"/>
                <w:sz w:val="16"/>
                <w:szCs w:val="16"/>
              </w:rPr>
            </w:pPr>
            <w:r w:rsidRPr="00D7163E">
              <w:rPr>
                <w:color w:val="FF0000"/>
                <w:sz w:val="16"/>
              </w:rPr>
              <w:t>Objectif pas atteint</w:t>
            </w:r>
          </w:p>
          <w:p w:rsidR="00D42474" w:rsidRDefault="00D42474" w:rsidP="001A5BF9">
            <w:pPr>
              <w:keepNext/>
              <w:keepLines/>
              <w:jc w:val="center"/>
              <w:rPr>
                <w:rFonts w:cs="Arial"/>
                <w:bCs/>
                <w:color w:val="008000"/>
                <w:sz w:val="16"/>
                <w:szCs w:val="16"/>
              </w:rPr>
            </w:pPr>
          </w:p>
          <w:p w:rsidR="00D42474" w:rsidRDefault="00D42474" w:rsidP="001A5BF9">
            <w:pPr>
              <w:keepNext/>
              <w:keepLines/>
              <w:jc w:val="center"/>
              <w:rPr>
                <w:rFonts w:cs="Arial"/>
                <w:bCs/>
                <w:color w:val="008000"/>
                <w:sz w:val="16"/>
                <w:szCs w:val="16"/>
              </w:rPr>
            </w:pPr>
          </w:p>
          <w:p w:rsidR="00D42474" w:rsidRDefault="00D42474" w:rsidP="001A5BF9">
            <w:pPr>
              <w:keepNext/>
              <w:keepLines/>
              <w:jc w:val="center"/>
              <w:rPr>
                <w:rStyle w:val="Style5"/>
                <w:rFonts w:ascii="Arial" w:hAnsi="Arial" w:cs="Arial"/>
                <w:b/>
                <w:color w:val="008000"/>
                <w:sz w:val="16"/>
                <w:szCs w:val="16"/>
              </w:rPr>
            </w:pPr>
          </w:p>
          <w:p w:rsidR="00D42474" w:rsidRDefault="0096696E" w:rsidP="001A5BF9">
            <w:pPr>
              <w:keepNext/>
              <w:keepLines/>
              <w:jc w:val="center"/>
              <w:rPr>
                <w:rStyle w:val="Style5"/>
                <w:rFonts w:ascii="Arial" w:hAnsi="Arial" w:cs="Arial"/>
                <w:color w:val="008000"/>
                <w:sz w:val="16"/>
                <w:szCs w:val="16"/>
              </w:rPr>
            </w:pPr>
            <w:r w:rsidRPr="00B470C6">
              <w:rPr>
                <w:rStyle w:val="Style5"/>
                <w:rFonts w:ascii="Arial" w:hAnsi="Arial"/>
                <w:color w:val="008000"/>
                <w:sz w:val="16"/>
              </w:rPr>
              <w:t>Objectif pleinement atteint</w:t>
            </w:r>
          </w:p>
          <w:p w:rsidR="00D42474" w:rsidRDefault="00D42474" w:rsidP="001A5BF9">
            <w:pPr>
              <w:keepNext/>
              <w:keepLines/>
              <w:jc w:val="center"/>
              <w:rPr>
                <w:rStyle w:val="Style5"/>
                <w:rFonts w:ascii="Arial" w:hAnsi="Arial" w:cs="Arial"/>
                <w:b/>
                <w:color w:val="008000"/>
                <w:sz w:val="16"/>
                <w:szCs w:val="16"/>
              </w:rPr>
            </w:pPr>
          </w:p>
          <w:p w:rsidR="0096696E" w:rsidRPr="005C7CCE" w:rsidRDefault="0096696E" w:rsidP="001A5BF9">
            <w:pPr>
              <w:keepNext/>
              <w:keepLines/>
              <w:jc w:val="center"/>
              <w:rPr>
                <w:rFonts w:cs="Arial"/>
                <w:bCs/>
                <w:color w:val="008000"/>
                <w:sz w:val="16"/>
                <w:szCs w:val="16"/>
              </w:rPr>
            </w:pPr>
            <w:r w:rsidRPr="00D7163E">
              <w:rPr>
                <w:color w:val="FF0000"/>
                <w:sz w:val="16"/>
              </w:rPr>
              <w:t>Objectif pas atteint</w:t>
            </w:r>
          </w:p>
        </w:tc>
      </w:tr>
      <w:tr w:rsidR="00502728" w:rsidRPr="005C7CCE" w:rsidTr="00D7163E">
        <w:trPr>
          <w:cantSplit/>
        </w:trPr>
        <w:tc>
          <w:tcPr>
            <w:tcW w:w="1039" w:type="pct"/>
            <w:shd w:val="clear" w:color="auto" w:fill="auto"/>
          </w:tcPr>
          <w:p w:rsidR="00502728" w:rsidRPr="005C7CCE" w:rsidRDefault="00502728" w:rsidP="001A5BF9">
            <w:pPr>
              <w:ind w:firstLineChars="100" w:firstLine="160"/>
              <w:rPr>
                <w:rFonts w:cs="Arial"/>
                <w:sz w:val="16"/>
                <w:szCs w:val="16"/>
              </w:rPr>
            </w:pPr>
          </w:p>
        </w:tc>
        <w:tc>
          <w:tcPr>
            <w:tcW w:w="1045" w:type="pct"/>
            <w:gridSpan w:val="3"/>
            <w:shd w:val="clear" w:color="auto" w:fill="auto"/>
          </w:tcPr>
          <w:p w:rsidR="00D42474" w:rsidRDefault="00502728" w:rsidP="001A5BF9">
            <w:pPr>
              <w:rPr>
                <w:sz w:val="16"/>
              </w:rPr>
            </w:pPr>
            <w:r w:rsidRPr="003D2207">
              <w:rPr>
                <w:sz w:val="16"/>
              </w:rPr>
              <w:t>Dessins et modèles industriels compris</w:t>
            </w:r>
          </w:p>
          <w:p w:rsidR="00D42474" w:rsidRDefault="00502728" w:rsidP="001A5BF9">
            <w:pPr>
              <w:rPr>
                <w:rFonts w:cs="Arial"/>
                <w:sz w:val="16"/>
                <w:szCs w:val="16"/>
              </w:rPr>
            </w:pPr>
            <w:r w:rsidRPr="003D2207">
              <w:rPr>
                <w:sz w:val="16"/>
              </w:rPr>
              <w:t>11 238 (2010)</w:t>
            </w:r>
          </w:p>
          <w:p w:rsidR="00502728" w:rsidRPr="003D2207" w:rsidRDefault="00502728" w:rsidP="001A5BF9">
            <w:pPr>
              <w:rPr>
                <w:rFonts w:cs="Arial"/>
                <w:sz w:val="16"/>
                <w:szCs w:val="16"/>
              </w:rPr>
            </w:pPr>
            <w:r w:rsidRPr="003D2207">
              <w:rPr>
                <w:sz w:val="16"/>
              </w:rPr>
              <w:t>15 000 (2011)</w:t>
            </w:r>
          </w:p>
        </w:tc>
        <w:tc>
          <w:tcPr>
            <w:tcW w:w="2252" w:type="pct"/>
            <w:gridSpan w:val="3"/>
            <w:shd w:val="clear" w:color="auto" w:fill="auto"/>
            <w:tcMar>
              <w:top w:w="110" w:type="dxa"/>
            </w:tcMar>
          </w:tcPr>
          <w:p w:rsidR="00502728" w:rsidRPr="005C7CCE" w:rsidRDefault="00502728" w:rsidP="001A5BF9">
            <w:pPr>
              <w:rPr>
                <w:rFonts w:cs="Arial"/>
                <w:sz w:val="16"/>
                <w:szCs w:val="16"/>
                <w:lang w:bidi="th-TH"/>
              </w:rPr>
            </w:pPr>
          </w:p>
        </w:tc>
        <w:tc>
          <w:tcPr>
            <w:tcW w:w="664" w:type="pct"/>
            <w:shd w:val="clear" w:color="auto" w:fill="auto"/>
            <w:tcMar>
              <w:top w:w="110" w:type="dxa"/>
            </w:tcMar>
          </w:tcPr>
          <w:p w:rsidR="00502728" w:rsidRPr="005C7CCE" w:rsidRDefault="00502728" w:rsidP="001A5BF9">
            <w:pPr>
              <w:keepNext/>
              <w:keepLines/>
              <w:jc w:val="center"/>
              <w:rPr>
                <w:rFonts w:cs="Arial"/>
                <w:b/>
                <w:bCs/>
                <w:color w:val="008000"/>
                <w:sz w:val="16"/>
                <w:szCs w:val="16"/>
              </w:rPr>
            </w:pPr>
          </w:p>
        </w:tc>
      </w:tr>
      <w:tr w:rsidR="00502728" w:rsidRPr="005C7CCE" w:rsidTr="00D7163E">
        <w:trPr>
          <w:cantSplit/>
        </w:trPr>
        <w:tc>
          <w:tcPr>
            <w:tcW w:w="1039" w:type="pct"/>
            <w:shd w:val="clear" w:color="auto" w:fill="auto"/>
          </w:tcPr>
          <w:p w:rsidR="00502728" w:rsidRPr="005C7CCE" w:rsidRDefault="00502728" w:rsidP="001A5BF9">
            <w:pPr>
              <w:ind w:firstLineChars="100" w:firstLine="160"/>
              <w:rPr>
                <w:rFonts w:cs="Arial"/>
                <w:sz w:val="16"/>
                <w:szCs w:val="16"/>
              </w:rPr>
            </w:pPr>
          </w:p>
        </w:tc>
        <w:tc>
          <w:tcPr>
            <w:tcW w:w="1045" w:type="pct"/>
            <w:gridSpan w:val="3"/>
            <w:shd w:val="clear" w:color="auto" w:fill="auto"/>
          </w:tcPr>
          <w:p w:rsidR="00D42474" w:rsidRDefault="00502728" w:rsidP="001A5BF9">
            <w:pPr>
              <w:rPr>
                <w:rFonts w:cs="Arial"/>
                <w:sz w:val="16"/>
                <w:szCs w:val="16"/>
              </w:rPr>
            </w:pPr>
            <w:r w:rsidRPr="003D2207">
              <w:rPr>
                <w:sz w:val="16"/>
              </w:rPr>
              <w:t>Renouvellements</w:t>
            </w:r>
          </w:p>
          <w:p w:rsidR="00D42474" w:rsidRDefault="00502728" w:rsidP="001A5BF9">
            <w:pPr>
              <w:rPr>
                <w:rFonts w:cs="Arial"/>
                <w:sz w:val="16"/>
                <w:szCs w:val="16"/>
              </w:rPr>
            </w:pPr>
            <w:r w:rsidRPr="003D2207">
              <w:rPr>
                <w:sz w:val="16"/>
              </w:rPr>
              <w:t>2 793 (2010)</w:t>
            </w:r>
          </w:p>
          <w:p w:rsidR="00502728" w:rsidRPr="003D2207" w:rsidRDefault="00502728" w:rsidP="001A5BF9">
            <w:pPr>
              <w:rPr>
                <w:rFonts w:cs="Arial"/>
                <w:sz w:val="16"/>
                <w:szCs w:val="16"/>
              </w:rPr>
            </w:pPr>
            <w:r w:rsidRPr="003D2207">
              <w:rPr>
                <w:sz w:val="16"/>
              </w:rPr>
              <w:t>2 700 (2011)</w:t>
            </w:r>
          </w:p>
        </w:tc>
        <w:tc>
          <w:tcPr>
            <w:tcW w:w="2252" w:type="pct"/>
            <w:gridSpan w:val="3"/>
            <w:shd w:val="clear" w:color="auto" w:fill="auto"/>
            <w:tcMar>
              <w:top w:w="110" w:type="dxa"/>
            </w:tcMar>
          </w:tcPr>
          <w:p w:rsidR="00502728" w:rsidRPr="005C7CCE" w:rsidRDefault="00502728" w:rsidP="001A5BF9">
            <w:pPr>
              <w:rPr>
                <w:rFonts w:cs="Arial"/>
                <w:sz w:val="16"/>
                <w:szCs w:val="16"/>
                <w:lang w:bidi="th-TH"/>
              </w:rPr>
            </w:pPr>
          </w:p>
        </w:tc>
        <w:tc>
          <w:tcPr>
            <w:tcW w:w="664" w:type="pct"/>
            <w:shd w:val="clear" w:color="auto" w:fill="auto"/>
            <w:tcMar>
              <w:top w:w="110" w:type="dxa"/>
            </w:tcMar>
          </w:tcPr>
          <w:p w:rsidR="00502728" w:rsidRPr="005C7CCE" w:rsidRDefault="00502728" w:rsidP="001A5BF9">
            <w:pPr>
              <w:keepNext/>
              <w:keepLines/>
              <w:jc w:val="center"/>
              <w:rPr>
                <w:rFonts w:cs="Arial"/>
                <w:bCs/>
                <w:color w:val="008000"/>
                <w:sz w:val="16"/>
                <w:szCs w:val="16"/>
              </w:rPr>
            </w:pPr>
          </w:p>
        </w:tc>
      </w:tr>
      <w:tr w:rsidR="00502728" w:rsidRPr="005C7CCE" w:rsidTr="00D7163E">
        <w:trPr>
          <w:cantSplit/>
        </w:trPr>
        <w:tc>
          <w:tcPr>
            <w:tcW w:w="1039" w:type="pct"/>
            <w:shd w:val="clear" w:color="auto" w:fill="auto"/>
          </w:tcPr>
          <w:p w:rsidR="00502728" w:rsidRPr="005C7CCE" w:rsidRDefault="00502728" w:rsidP="001A5BF9">
            <w:pPr>
              <w:ind w:firstLineChars="100" w:firstLine="160"/>
              <w:rPr>
                <w:rFonts w:cs="Arial"/>
                <w:sz w:val="16"/>
                <w:szCs w:val="16"/>
              </w:rPr>
            </w:pPr>
          </w:p>
        </w:tc>
        <w:tc>
          <w:tcPr>
            <w:tcW w:w="1045" w:type="pct"/>
            <w:gridSpan w:val="3"/>
            <w:shd w:val="clear" w:color="auto" w:fill="auto"/>
          </w:tcPr>
          <w:p w:rsidR="00D42474" w:rsidRDefault="00502728" w:rsidP="001A5BF9">
            <w:pPr>
              <w:rPr>
                <w:rFonts w:cs="Arial"/>
                <w:sz w:val="16"/>
                <w:szCs w:val="16"/>
              </w:rPr>
            </w:pPr>
            <w:r w:rsidRPr="003D2207">
              <w:rPr>
                <w:sz w:val="16"/>
              </w:rPr>
              <w:t>Autres inscriptions</w:t>
            </w:r>
          </w:p>
          <w:p w:rsidR="00D42474" w:rsidRDefault="00502728" w:rsidP="001A5BF9">
            <w:pPr>
              <w:rPr>
                <w:rFonts w:cs="Arial"/>
                <w:sz w:val="16"/>
                <w:szCs w:val="16"/>
              </w:rPr>
            </w:pPr>
            <w:r w:rsidRPr="003D2207">
              <w:rPr>
                <w:sz w:val="16"/>
              </w:rPr>
              <w:t>4 244 (2010)</w:t>
            </w:r>
          </w:p>
          <w:p w:rsidR="00502728" w:rsidRPr="003D2207" w:rsidRDefault="00502728" w:rsidP="001A5BF9">
            <w:pPr>
              <w:rPr>
                <w:rFonts w:cs="Arial"/>
                <w:i/>
                <w:sz w:val="16"/>
                <w:szCs w:val="16"/>
              </w:rPr>
            </w:pPr>
            <w:r w:rsidRPr="003D2207">
              <w:rPr>
                <w:sz w:val="16"/>
              </w:rPr>
              <w:t>5 100 (2011)</w:t>
            </w:r>
          </w:p>
        </w:tc>
        <w:tc>
          <w:tcPr>
            <w:tcW w:w="2252" w:type="pct"/>
            <w:gridSpan w:val="3"/>
            <w:shd w:val="clear" w:color="auto" w:fill="auto"/>
            <w:tcMar>
              <w:top w:w="110" w:type="dxa"/>
            </w:tcMar>
          </w:tcPr>
          <w:p w:rsidR="00502728" w:rsidRPr="005C7CCE" w:rsidRDefault="00502728" w:rsidP="001A5BF9">
            <w:pPr>
              <w:rPr>
                <w:rFonts w:cs="Arial"/>
                <w:sz w:val="16"/>
                <w:szCs w:val="16"/>
              </w:rPr>
            </w:pPr>
          </w:p>
        </w:tc>
        <w:tc>
          <w:tcPr>
            <w:tcW w:w="664" w:type="pct"/>
            <w:shd w:val="clear" w:color="auto" w:fill="auto"/>
            <w:tcMar>
              <w:top w:w="110" w:type="dxa"/>
            </w:tcMar>
          </w:tcPr>
          <w:p w:rsidR="00502728" w:rsidRPr="005C7CCE" w:rsidRDefault="00502728" w:rsidP="001A5BF9">
            <w:pPr>
              <w:keepNext/>
              <w:keepLines/>
              <w:jc w:val="center"/>
              <w:rPr>
                <w:rFonts w:cs="Arial"/>
                <w:bCs/>
                <w:color w:val="008000"/>
                <w:sz w:val="16"/>
                <w:szCs w:val="16"/>
              </w:rPr>
            </w:pPr>
          </w:p>
        </w:tc>
      </w:tr>
      <w:tr w:rsidR="0096696E" w:rsidRPr="005C7CCE" w:rsidTr="00D7163E">
        <w:trPr>
          <w:cantSplit/>
        </w:trPr>
        <w:tc>
          <w:tcPr>
            <w:tcW w:w="1039" w:type="pct"/>
            <w:shd w:val="clear" w:color="auto" w:fill="auto"/>
          </w:tcPr>
          <w:p w:rsidR="0096696E" w:rsidRPr="003D2207" w:rsidRDefault="0096696E" w:rsidP="001A5BF9">
            <w:pPr>
              <w:rPr>
                <w:rFonts w:cs="Arial"/>
                <w:sz w:val="16"/>
                <w:szCs w:val="16"/>
              </w:rPr>
            </w:pPr>
            <w:r w:rsidRPr="003D2207">
              <w:rPr>
                <w:sz w:val="16"/>
              </w:rPr>
              <w:t>Nombre de demandes présentées par des pays en développement et</w:t>
            </w:r>
            <w:r w:rsidR="00A20444" w:rsidRPr="003D2207">
              <w:rPr>
                <w:sz w:val="16"/>
              </w:rPr>
              <w:t xml:space="preserve"> des PMA</w:t>
            </w:r>
            <w:r w:rsidRPr="003D2207">
              <w:rPr>
                <w:sz w:val="16"/>
              </w:rPr>
              <w:t xml:space="preserve"> et de désignations de ces pays</w:t>
            </w:r>
          </w:p>
        </w:tc>
        <w:tc>
          <w:tcPr>
            <w:tcW w:w="1045" w:type="pct"/>
            <w:gridSpan w:val="3"/>
            <w:shd w:val="clear" w:color="auto" w:fill="auto"/>
          </w:tcPr>
          <w:p w:rsidR="00D42474" w:rsidRDefault="0096696E"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20 demandes</w:t>
            </w:r>
          </w:p>
          <w:p w:rsidR="00D42474" w:rsidRDefault="0096696E" w:rsidP="001A5BF9">
            <w:pPr>
              <w:rPr>
                <w:rFonts w:cs="Arial"/>
                <w:color w:val="002060"/>
                <w:sz w:val="16"/>
                <w:szCs w:val="16"/>
              </w:rPr>
            </w:pPr>
            <w:r w:rsidRPr="005C7CCE">
              <w:rPr>
                <w:color w:val="002060"/>
                <w:sz w:val="16"/>
              </w:rPr>
              <w:t>présentées par des pays en développement et des PMA,</w:t>
            </w:r>
          </w:p>
          <w:p w:rsidR="00D42474" w:rsidRDefault="0096696E" w:rsidP="001A5BF9">
            <w:pPr>
              <w:rPr>
                <w:rFonts w:cs="Arial"/>
                <w:color w:val="002060"/>
                <w:sz w:val="16"/>
                <w:szCs w:val="16"/>
              </w:rPr>
            </w:pPr>
            <w:r w:rsidRPr="005C7CCE">
              <w:rPr>
                <w:color w:val="002060"/>
                <w:sz w:val="16"/>
              </w:rPr>
              <w:t xml:space="preserve">et </w:t>
            </w:r>
            <w:r w:rsidR="0010442A" w:rsidRPr="005C7CCE">
              <w:rPr>
                <w:color w:val="002060"/>
                <w:sz w:val="16"/>
              </w:rPr>
              <w:t>2059</w:t>
            </w:r>
            <w:r w:rsidRPr="005C7CCE">
              <w:rPr>
                <w:color w:val="002060"/>
                <w:sz w:val="16"/>
              </w:rPr>
              <w:t> désignations de ces pays</w:t>
            </w:r>
          </w:p>
          <w:p w:rsidR="00D42474" w:rsidRDefault="00D42474" w:rsidP="001A5BF9">
            <w:pPr>
              <w:rPr>
                <w:rFonts w:cs="Arial"/>
                <w:i/>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12 demandes présentées par des pays en développement et des PMA, et </w:t>
            </w:r>
            <w:r w:rsidR="0010442A" w:rsidRPr="005C7CCE">
              <w:rPr>
                <w:sz w:val="16"/>
              </w:rPr>
              <w:t>2065</w:t>
            </w:r>
            <w:r w:rsidRPr="005C7CCE">
              <w:rPr>
                <w:sz w:val="16"/>
              </w:rPr>
              <w:t> désignations de ces pays (2010)</w:t>
            </w:r>
          </w:p>
        </w:tc>
        <w:tc>
          <w:tcPr>
            <w:tcW w:w="902" w:type="pct"/>
            <w:shd w:val="clear" w:color="auto" w:fill="auto"/>
            <w:tcMar>
              <w:top w:w="110" w:type="dxa"/>
            </w:tcMar>
          </w:tcPr>
          <w:p w:rsidR="0096696E" w:rsidRPr="003D2207" w:rsidRDefault="00BD43F2" w:rsidP="001A5BF9">
            <w:pPr>
              <w:autoSpaceDE w:val="0"/>
              <w:autoSpaceDN w:val="0"/>
              <w:adjustRightInd w:val="0"/>
              <w:rPr>
                <w:rFonts w:cs="Arial"/>
                <w:sz w:val="16"/>
                <w:szCs w:val="16"/>
              </w:rPr>
            </w:pPr>
            <w:r w:rsidRPr="003D2207">
              <w:rPr>
                <w:sz w:val="16"/>
              </w:rPr>
              <w:t>80 </w:t>
            </w:r>
            <w:r w:rsidR="0096696E" w:rsidRPr="003D2207">
              <w:rPr>
                <w:sz w:val="16"/>
              </w:rPr>
              <w:t xml:space="preserve">demandes présentées par des pays en développement et des PMA et </w:t>
            </w:r>
            <w:r w:rsidRPr="003D2207">
              <w:rPr>
                <w:sz w:val="16"/>
              </w:rPr>
              <w:t>7500 </w:t>
            </w:r>
            <w:r w:rsidR="0096696E" w:rsidRPr="003D2207">
              <w:rPr>
                <w:sz w:val="16"/>
              </w:rPr>
              <w:t>désignations de ces pays</w:t>
            </w:r>
          </w:p>
        </w:tc>
        <w:tc>
          <w:tcPr>
            <w:tcW w:w="1350" w:type="pct"/>
            <w:gridSpan w:val="2"/>
            <w:shd w:val="clear" w:color="auto" w:fill="FFFFFF"/>
            <w:tcMar>
              <w:top w:w="110" w:type="dxa"/>
            </w:tcMar>
          </w:tcPr>
          <w:p w:rsidR="00D42474" w:rsidRDefault="0096696E" w:rsidP="001A5BF9">
            <w:pPr>
              <w:rPr>
                <w:rFonts w:cs="Arial"/>
                <w:sz w:val="16"/>
                <w:szCs w:val="16"/>
                <w:lang w:bidi="th-TH"/>
              </w:rPr>
            </w:pPr>
            <w:r w:rsidRPr="003D2207">
              <w:rPr>
                <w:sz w:val="16"/>
              </w:rPr>
              <w:t xml:space="preserve">16 demandes présentées par des pays en développement et des PMA, et </w:t>
            </w:r>
            <w:r w:rsidR="0010442A" w:rsidRPr="003D2207">
              <w:rPr>
                <w:sz w:val="16"/>
              </w:rPr>
              <w:t>2216</w:t>
            </w:r>
            <w:r w:rsidRPr="003D2207">
              <w:rPr>
                <w:rStyle w:val="FootnoteReference"/>
                <w:sz w:val="16"/>
              </w:rPr>
              <w:footnoteReference w:id="12"/>
            </w:r>
          </w:p>
          <w:p w:rsidR="00D42474" w:rsidRDefault="0096696E" w:rsidP="001A5BF9">
            <w:pPr>
              <w:rPr>
                <w:rFonts w:cs="Arial"/>
                <w:sz w:val="16"/>
                <w:szCs w:val="16"/>
                <w:lang w:bidi="th-TH"/>
              </w:rPr>
            </w:pPr>
            <w:r w:rsidRPr="003D2207">
              <w:rPr>
                <w:sz w:val="16"/>
              </w:rPr>
              <w:t>désignations de ces pays (2012)</w:t>
            </w:r>
          </w:p>
          <w:p w:rsidR="00D42474" w:rsidRDefault="00D42474" w:rsidP="001A5BF9">
            <w:pPr>
              <w:rPr>
                <w:rFonts w:cs="Arial"/>
                <w:sz w:val="8"/>
                <w:szCs w:val="8"/>
                <w:lang w:bidi="th-TH"/>
              </w:rPr>
            </w:pPr>
          </w:p>
          <w:p w:rsidR="0096696E" w:rsidRPr="003D2207" w:rsidRDefault="0096696E" w:rsidP="001A5BF9">
            <w:pPr>
              <w:rPr>
                <w:rFonts w:cs="Arial"/>
                <w:sz w:val="16"/>
                <w:szCs w:val="16"/>
              </w:rPr>
            </w:pPr>
            <w:r w:rsidRPr="003D2207">
              <w:rPr>
                <w:sz w:val="16"/>
              </w:rPr>
              <w:t xml:space="preserve">22 demandes présentées par des pays en développement et des PMA et </w:t>
            </w:r>
            <w:r w:rsidR="00BD43F2" w:rsidRPr="003D2207">
              <w:rPr>
                <w:sz w:val="16"/>
              </w:rPr>
              <w:t>2877 </w:t>
            </w:r>
            <w:r w:rsidRPr="003D2207">
              <w:rPr>
                <w:sz w:val="16"/>
              </w:rPr>
              <w:t>désignations de ces pays (2013)</w:t>
            </w:r>
          </w:p>
        </w:tc>
        <w:tc>
          <w:tcPr>
            <w:tcW w:w="664" w:type="pct"/>
            <w:shd w:val="clear" w:color="auto" w:fill="auto"/>
            <w:tcMar>
              <w:top w:w="110" w:type="dxa"/>
            </w:tcMar>
          </w:tcPr>
          <w:p w:rsidR="0096696E" w:rsidRPr="003D2207" w:rsidRDefault="0096696E" w:rsidP="001A5BF9">
            <w:pPr>
              <w:keepNext/>
              <w:keepLines/>
              <w:jc w:val="center"/>
              <w:rPr>
                <w:rFonts w:cs="Arial"/>
                <w:bCs/>
                <w:color w:val="FF0000"/>
                <w:sz w:val="16"/>
                <w:szCs w:val="16"/>
              </w:rPr>
            </w:pPr>
            <w:r w:rsidRPr="003D2207">
              <w:rPr>
                <w:rStyle w:val="Style5"/>
                <w:rFonts w:ascii="Arial" w:hAnsi="Arial"/>
                <w:color w:val="FF0000"/>
                <w:sz w:val="16"/>
              </w:rPr>
              <w:t xml:space="preserve">Objectif pas atteint </w:t>
            </w:r>
          </w:p>
        </w:tc>
      </w:tr>
      <w:tr w:rsidR="0096696E" w:rsidRPr="005C7CCE" w:rsidTr="00D7163E">
        <w:trPr>
          <w:cantSplit/>
        </w:trPr>
        <w:tc>
          <w:tcPr>
            <w:tcW w:w="1039" w:type="pct"/>
            <w:tcBorders>
              <w:bottom w:val="single" w:sz="4" w:space="0" w:color="auto"/>
            </w:tcBorders>
            <w:shd w:val="clear" w:color="auto" w:fill="auto"/>
          </w:tcPr>
          <w:p w:rsidR="0096696E" w:rsidRPr="003D2207" w:rsidRDefault="0096696E" w:rsidP="001A5BF9">
            <w:pPr>
              <w:rPr>
                <w:rFonts w:cs="Arial"/>
                <w:sz w:val="16"/>
                <w:szCs w:val="16"/>
              </w:rPr>
            </w:pPr>
            <w:r w:rsidRPr="003D2207">
              <w:rPr>
                <w:sz w:val="16"/>
              </w:rPr>
              <w:t>Pourcentage de demandes irrégulières</w:t>
            </w:r>
          </w:p>
        </w:tc>
        <w:tc>
          <w:tcPr>
            <w:tcW w:w="1045" w:type="pct"/>
            <w:gridSpan w:val="3"/>
            <w:tcBorders>
              <w:bottom w:val="single" w:sz="4" w:space="0" w:color="auto"/>
            </w:tcBorders>
            <w:shd w:val="clear" w:color="auto" w:fill="auto"/>
          </w:tcPr>
          <w:p w:rsidR="00D42474" w:rsidRDefault="0096696E" w:rsidP="001A5BF9">
            <w:pPr>
              <w:rPr>
                <w:rFonts w:cs="Arial"/>
                <w:color w:val="002060"/>
                <w:sz w:val="16"/>
                <w:szCs w:val="16"/>
              </w:rPr>
            </w:pPr>
            <w:r w:rsidRPr="005C7CCE">
              <w:rPr>
                <w:i/>
                <w:color w:val="002060"/>
                <w:sz w:val="16"/>
              </w:rPr>
              <w:t xml:space="preserve">Niveau de référence actualisé fin 2011 : </w:t>
            </w:r>
            <w:r w:rsidRPr="005C7CCE">
              <w:rPr>
                <w:color w:val="002060"/>
                <w:sz w:val="16"/>
              </w:rPr>
              <w:t>60</w:t>
            </w:r>
            <w:r w:rsidR="007E442D" w:rsidRPr="005C7CCE">
              <w:rPr>
                <w:color w:val="002060"/>
                <w:sz w:val="16"/>
              </w:rPr>
              <w:t>%</w:t>
            </w:r>
          </w:p>
          <w:p w:rsidR="00D42474" w:rsidRDefault="00D42474" w:rsidP="001A5BF9">
            <w:pPr>
              <w:rPr>
                <w:rFonts w:cs="Arial"/>
                <w:i/>
                <w:color w:val="002060"/>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br/>
            </w:r>
            <w:r w:rsidRPr="005C7CCE">
              <w:rPr>
                <w:sz w:val="16"/>
              </w:rPr>
              <w:t>57</w:t>
            </w:r>
            <w:r w:rsidR="007E442D" w:rsidRPr="005C7CCE">
              <w:rPr>
                <w:sz w:val="16"/>
              </w:rPr>
              <w:t>%</w:t>
            </w:r>
            <w:r w:rsidRPr="005C7CCE">
              <w:rPr>
                <w:sz w:val="16"/>
              </w:rPr>
              <w:t xml:space="preserve"> (en</w:t>
            </w:r>
            <w:r w:rsidR="0010442A" w:rsidRPr="005C7CCE">
              <w:rPr>
                <w:sz w:val="16"/>
              </w:rPr>
              <w:t> </w:t>
            </w:r>
            <w:r w:rsidRPr="005C7CCE">
              <w:rPr>
                <w:sz w:val="16"/>
              </w:rPr>
              <w:t>2010)</w:t>
            </w:r>
          </w:p>
        </w:tc>
        <w:tc>
          <w:tcPr>
            <w:tcW w:w="902" w:type="pct"/>
            <w:tcBorders>
              <w:bottom w:val="single" w:sz="4" w:space="0" w:color="auto"/>
            </w:tcBorders>
            <w:shd w:val="clear" w:color="auto" w:fill="auto"/>
            <w:tcMar>
              <w:top w:w="110" w:type="dxa"/>
            </w:tcMar>
          </w:tcPr>
          <w:p w:rsidR="0096696E" w:rsidRPr="005C7CCE" w:rsidRDefault="0096696E" w:rsidP="001A5BF9">
            <w:pPr>
              <w:rPr>
                <w:rFonts w:cs="Arial"/>
                <w:sz w:val="16"/>
                <w:szCs w:val="16"/>
              </w:rPr>
            </w:pPr>
            <w:r w:rsidRPr="005C7CCE">
              <w:rPr>
                <w:sz w:val="16"/>
              </w:rPr>
              <w:t>40</w:t>
            </w:r>
            <w:r w:rsidR="007E442D" w:rsidRPr="005C7CCE">
              <w:rPr>
                <w:sz w:val="16"/>
              </w:rPr>
              <w:t>%</w:t>
            </w:r>
            <w:r w:rsidRPr="005C7CCE">
              <w:rPr>
                <w:sz w:val="16"/>
              </w:rPr>
              <w:t xml:space="preserve"> (en</w:t>
            </w:r>
            <w:r w:rsidR="0010442A" w:rsidRPr="005C7CCE">
              <w:rPr>
                <w:sz w:val="16"/>
              </w:rPr>
              <w:t> </w:t>
            </w:r>
            <w:r w:rsidRPr="005C7CCE">
              <w:rPr>
                <w:sz w:val="16"/>
              </w:rPr>
              <w:t>2013)</w:t>
            </w:r>
          </w:p>
        </w:tc>
        <w:tc>
          <w:tcPr>
            <w:tcW w:w="1350" w:type="pct"/>
            <w:gridSpan w:val="2"/>
            <w:tcBorders>
              <w:bottom w:val="single" w:sz="4" w:space="0" w:color="auto"/>
            </w:tcBorders>
            <w:shd w:val="clear" w:color="auto" w:fill="FFFFFF"/>
            <w:tcMar>
              <w:top w:w="110" w:type="dxa"/>
            </w:tcMar>
          </w:tcPr>
          <w:p w:rsidR="00D42474" w:rsidRDefault="0096696E" w:rsidP="001A5BF9">
            <w:pPr>
              <w:rPr>
                <w:rFonts w:cs="Arial"/>
                <w:sz w:val="16"/>
                <w:szCs w:val="16"/>
                <w:lang w:bidi="th-TH"/>
              </w:rPr>
            </w:pPr>
            <w:r w:rsidRPr="005C7CCE">
              <w:rPr>
                <w:sz w:val="16"/>
              </w:rPr>
              <w:t>62</w:t>
            </w:r>
            <w:r w:rsidR="007E442D" w:rsidRPr="005C7CCE">
              <w:rPr>
                <w:sz w:val="16"/>
              </w:rPr>
              <w:t>%</w:t>
            </w:r>
            <w:r w:rsidRPr="005C7CCE">
              <w:rPr>
                <w:sz w:val="16"/>
              </w:rPr>
              <w:t xml:space="preserve"> (2012)</w:t>
            </w:r>
          </w:p>
          <w:p w:rsidR="0096696E" w:rsidRPr="005C7CCE" w:rsidRDefault="0096696E" w:rsidP="001A5BF9">
            <w:pPr>
              <w:rPr>
                <w:rFonts w:cs="Arial"/>
                <w:sz w:val="16"/>
                <w:szCs w:val="16"/>
              </w:rPr>
            </w:pPr>
            <w:r w:rsidRPr="005C7CCE">
              <w:rPr>
                <w:sz w:val="16"/>
              </w:rPr>
              <w:t>61,85</w:t>
            </w:r>
            <w:r w:rsidR="007E442D" w:rsidRPr="005C7CCE">
              <w:rPr>
                <w:sz w:val="16"/>
              </w:rPr>
              <w:t>%</w:t>
            </w:r>
            <w:r w:rsidRPr="005C7CCE">
              <w:rPr>
                <w:sz w:val="16"/>
              </w:rPr>
              <w:t xml:space="preserve"> (2013)</w:t>
            </w:r>
          </w:p>
        </w:tc>
        <w:tc>
          <w:tcPr>
            <w:tcW w:w="664" w:type="pct"/>
            <w:tcBorders>
              <w:bottom w:val="single" w:sz="4" w:space="0" w:color="auto"/>
            </w:tcBorders>
            <w:shd w:val="clear" w:color="auto" w:fill="auto"/>
            <w:tcMar>
              <w:top w:w="110" w:type="dxa"/>
            </w:tcMar>
          </w:tcPr>
          <w:p w:rsidR="0096696E" w:rsidRPr="003D2207" w:rsidRDefault="0096696E" w:rsidP="001A5BF9">
            <w:pPr>
              <w:keepNext/>
              <w:keepLines/>
              <w:jc w:val="center"/>
              <w:rPr>
                <w:rFonts w:cs="Arial"/>
                <w:bCs/>
                <w:color w:val="FF0000"/>
                <w:sz w:val="16"/>
                <w:szCs w:val="16"/>
              </w:rPr>
            </w:pPr>
            <w:r w:rsidRPr="003D2207">
              <w:rPr>
                <w:rStyle w:val="Style5"/>
                <w:rFonts w:ascii="Arial" w:hAnsi="Arial"/>
                <w:color w:val="FF0000"/>
                <w:sz w:val="16"/>
              </w:rPr>
              <w:t xml:space="preserve">Objectif pas atteint </w:t>
            </w:r>
          </w:p>
        </w:tc>
      </w:tr>
      <w:tr w:rsidR="003D2207" w:rsidRPr="003D2207" w:rsidTr="00D7163E">
        <w:trPr>
          <w:cantSplit/>
        </w:trPr>
        <w:tc>
          <w:tcPr>
            <w:tcW w:w="5000" w:type="pct"/>
            <w:gridSpan w:val="8"/>
            <w:tcBorders>
              <w:top w:val="single" w:sz="4" w:space="0" w:color="auto"/>
              <w:bottom w:val="single" w:sz="4" w:space="0" w:color="auto"/>
            </w:tcBorders>
            <w:shd w:val="clear" w:color="auto" w:fill="CCFFFF"/>
            <w:vAlign w:val="center"/>
          </w:tcPr>
          <w:p w:rsidR="0096696E" w:rsidRPr="003D2207" w:rsidRDefault="0096696E" w:rsidP="001A5BF9">
            <w:pPr>
              <w:keepNext/>
              <w:keepLines/>
              <w:tabs>
                <w:tab w:val="left" w:pos="1452"/>
              </w:tabs>
              <w:spacing w:before="120" w:after="120"/>
              <w:ind w:left="1452" w:hanging="1452"/>
              <w:rPr>
                <w:rFonts w:cs="Arial"/>
                <w:b/>
                <w:bCs/>
                <w:sz w:val="16"/>
                <w:szCs w:val="16"/>
              </w:rPr>
            </w:pPr>
            <w:r w:rsidRPr="003D2207">
              <w:rPr>
                <w:b/>
                <w:sz w:val="16"/>
              </w:rPr>
              <w:t>Résultat escompté</w:t>
            </w:r>
            <w:r w:rsidR="0010442A" w:rsidRPr="003D2207">
              <w:rPr>
                <w:b/>
                <w:sz w:val="16"/>
              </w:rPr>
              <w:t xml:space="preserve"> : </w:t>
            </w:r>
            <w:r w:rsidRPr="003D2207">
              <w:rPr>
                <w:b/>
                <w:sz w:val="16"/>
              </w:rPr>
              <w:tab/>
            </w:r>
            <w:r w:rsidRPr="003D2207">
              <w:rPr>
                <w:sz w:val="16"/>
              </w:rPr>
              <w:t>Meilleure administration du système de La</w:t>
            </w:r>
            <w:r w:rsidR="0010442A" w:rsidRPr="003D2207">
              <w:rPr>
                <w:sz w:val="16"/>
              </w:rPr>
              <w:t> </w:t>
            </w:r>
            <w:r w:rsidRPr="003D2207">
              <w:rPr>
                <w:sz w:val="16"/>
              </w:rPr>
              <w:t>Haye</w:t>
            </w:r>
          </w:p>
        </w:tc>
      </w:tr>
      <w:tr w:rsidR="003D2207" w:rsidRPr="003D2207" w:rsidTr="00D7163E">
        <w:trPr>
          <w:cantSplit/>
        </w:trPr>
        <w:tc>
          <w:tcPr>
            <w:tcW w:w="1049" w:type="pct"/>
            <w:gridSpan w:val="2"/>
            <w:tcBorders>
              <w:top w:val="single" w:sz="4" w:space="0" w:color="auto"/>
            </w:tcBorders>
            <w:shd w:val="clear" w:color="auto" w:fill="auto"/>
            <w:vAlign w:val="center"/>
          </w:tcPr>
          <w:p w:rsidR="0096696E" w:rsidRPr="003D2207" w:rsidRDefault="0096696E" w:rsidP="001A5BF9">
            <w:pPr>
              <w:keepNext/>
              <w:keepLines/>
              <w:rPr>
                <w:rFonts w:cs="Arial"/>
                <w:b/>
                <w:sz w:val="16"/>
                <w:szCs w:val="16"/>
              </w:rPr>
            </w:pPr>
            <w:r w:rsidRPr="003D2207">
              <w:rPr>
                <w:b/>
                <w:sz w:val="16"/>
              </w:rPr>
              <w:t>Indicateurs d</w:t>
            </w:r>
            <w:r w:rsidR="00A20444" w:rsidRPr="003D2207">
              <w:rPr>
                <w:b/>
                <w:sz w:val="16"/>
              </w:rPr>
              <w:t>’</w:t>
            </w:r>
            <w:r w:rsidRPr="003D2207">
              <w:rPr>
                <w:b/>
                <w:sz w:val="16"/>
              </w:rPr>
              <w:t>exécution</w:t>
            </w:r>
          </w:p>
        </w:tc>
        <w:tc>
          <w:tcPr>
            <w:tcW w:w="969" w:type="pct"/>
            <w:tcBorders>
              <w:top w:val="single" w:sz="4" w:space="0" w:color="auto"/>
            </w:tcBorders>
            <w:shd w:val="clear" w:color="auto" w:fill="auto"/>
            <w:vAlign w:val="center"/>
          </w:tcPr>
          <w:p w:rsidR="0096696E" w:rsidRPr="003D2207" w:rsidRDefault="0096696E" w:rsidP="001A5BF9">
            <w:pPr>
              <w:keepNext/>
              <w:keepLines/>
              <w:rPr>
                <w:rFonts w:cs="Arial"/>
                <w:b/>
                <w:bCs/>
                <w:sz w:val="16"/>
                <w:szCs w:val="16"/>
              </w:rPr>
            </w:pPr>
            <w:r w:rsidRPr="003D2207">
              <w:rPr>
                <w:b/>
                <w:sz w:val="16"/>
              </w:rPr>
              <w:t>Niveaux de référence</w:t>
            </w:r>
          </w:p>
        </w:tc>
        <w:tc>
          <w:tcPr>
            <w:tcW w:w="968" w:type="pct"/>
            <w:gridSpan w:val="2"/>
            <w:tcBorders>
              <w:top w:val="single" w:sz="4" w:space="0" w:color="auto"/>
            </w:tcBorders>
            <w:shd w:val="clear" w:color="auto" w:fill="auto"/>
            <w:tcMar>
              <w:top w:w="110" w:type="dxa"/>
            </w:tcMar>
            <w:vAlign w:val="center"/>
          </w:tcPr>
          <w:p w:rsidR="0096696E" w:rsidRPr="003D2207" w:rsidRDefault="0096696E" w:rsidP="001A5BF9">
            <w:pPr>
              <w:keepNext/>
              <w:keepLines/>
              <w:rPr>
                <w:rFonts w:cs="Arial"/>
                <w:b/>
                <w:sz w:val="16"/>
                <w:szCs w:val="16"/>
              </w:rPr>
            </w:pPr>
            <w:r w:rsidRPr="003D2207">
              <w:rPr>
                <w:b/>
                <w:sz w:val="16"/>
              </w:rPr>
              <w:t>Objectifs visés</w:t>
            </w:r>
          </w:p>
        </w:tc>
        <w:tc>
          <w:tcPr>
            <w:tcW w:w="1350" w:type="pct"/>
            <w:gridSpan w:val="2"/>
            <w:tcBorders>
              <w:top w:val="single" w:sz="4" w:space="0" w:color="auto"/>
            </w:tcBorders>
            <w:shd w:val="clear" w:color="auto" w:fill="FFFFFF"/>
            <w:tcMar>
              <w:top w:w="110" w:type="dxa"/>
            </w:tcMar>
            <w:vAlign w:val="center"/>
          </w:tcPr>
          <w:p w:rsidR="0096696E" w:rsidRPr="003D2207" w:rsidRDefault="0096696E" w:rsidP="001A5BF9">
            <w:pPr>
              <w:keepNext/>
              <w:keepLines/>
              <w:rPr>
                <w:rFonts w:cs="Arial"/>
                <w:b/>
                <w:sz w:val="16"/>
                <w:szCs w:val="16"/>
              </w:rPr>
            </w:pPr>
            <w:r w:rsidRPr="003D2207">
              <w:rPr>
                <w:b/>
                <w:sz w:val="16"/>
              </w:rPr>
              <w:t>Données relatives à l</w:t>
            </w:r>
            <w:r w:rsidR="00A20444" w:rsidRPr="003D2207">
              <w:rPr>
                <w:b/>
                <w:sz w:val="16"/>
              </w:rPr>
              <w:t>’</w:t>
            </w:r>
            <w:r w:rsidRPr="003D2207">
              <w:rPr>
                <w:b/>
                <w:sz w:val="16"/>
              </w:rPr>
              <w:t>exécution</w:t>
            </w:r>
          </w:p>
        </w:tc>
        <w:tc>
          <w:tcPr>
            <w:tcW w:w="664" w:type="pct"/>
            <w:tcBorders>
              <w:top w:val="single" w:sz="4" w:space="0" w:color="auto"/>
            </w:tcBorders>
            <w:shd w:val="clear" w:color="auto" w:fill="auto"/>
            <w:tcMar>
              <w:top w:w="110" w:type="dxa"/>
            </w:tcMar>
            <w:vAlign w:val="center"/>
          </w:tcPr>
          <w:p w:rsidR="0096696E" w:rsidRPr="003D2207" w:rsidRDefault="0096696E" w:rsidP="001A5BF9">
            <w:pPr>
              <w:keepNext/>
              <w:keepLines/>
              <w:jc w:val="center"/>
              <w:rPr>
                <w:rFonts w:cs="Arial"/>
                <w:b/>
                <w:bCs/>
                <w:sz w:val="16"/>
                <w:szCs w:val="16"/>
              </w:rPr>
            </w:pPr>
            <w:r w:rsidRPr="003D2207">
              <w:rPr>
                <w:b/>
                <w:sz w:val="16"/>
              </w:rPr>
              <w:t>Code de couleurs</w:t>
            </w:r>
          </w:p>
        </w:tc>
      </w:tr>
      <w:tr w:rsidR="0096696E" w:rsidRPr="005C7CCE" w:rsidTr="00D7163E">
        <w:trPr>
          <w:cantSplit/>
        </w:trPr>
        <w:tc>
          <w:tcPr>
            <w:tcW w:w="1049" w:type="pct"/>
            <w:gridSpan w:val="2"/>
            <w:shd w:val="clear" w:color="auto" w:fill="auto"/>
          </w:tcPr>
          <w:p w:rsidR="0096696E" w:rsidRPr="003D2207" w:rsidRDefault="0096696E" w:rsidP="001A5BF9">
            <w:pPr>
              <w:keepNext/>
              <w:keepLines/>
              <w:rPr>
                <w:rFonts w:cs="Arial"/>
                <w:sz w:val="16"/>
                <w:szCs w:val="16"/>
              </w:rPr>
            </w:pPr>
            <w:r w:rsidRPr="003D2207">
              <w:rPr>
                <w:sz w:val="16"/>
              </w:rPr>
              <w:t>Prédominance de l</w:t>
            </w:r>
            <w:r w:rsidR="00A20444" w:rsidRPr="003D2207">
              <w:rPr>
                <w:sz w:val="16"/>
              </w:rPr>
              <w:t>’</w:t>
            </w:r>
            <w:r w:rsidRPr="003D2207">
              <w:rPr>
                <w:sz w:val="16"/>
              </w:rPr>
              <w:t>Acte de Genève dans l</w:t>
            </w:r>
            <w:r w:rsidR="00A20444" w:rsidRPr="003D2207">
              <w:rPr>
                <w:sz w:val="16"/>
              </w:rPr>
              <w:t>’</w:t>
            </w:r>
            <w:r w:rsidRPr="003D2207">
              <w:rPr>
                <w:sz w:val="16"/>
              </w:rPr>
              <w:t>ensemble du système</w:t>
            </w:r>
          </w:p>
        </w:tc>
        <w:tc>
          <w:tcPr>
            <w:tcW w:w="969" w:type="pct"/>
            <w:shd w:val="clear" w:color="auto" w:fill="auto"/>
          </w:tcPr>
          <w:p w:rsidR="00D42474" w:rsidRDefault="0096696E" w:rsidP="001A5BF9">
            <w:pPr>
              <w:keepNext/>
              <w:keepLines/>
              <w:rPr>
                <w:rFonts w:cs="Arial"/>
                <w:i/>
                <w:color w:val="002060"/>
                <w:sz w:val="16"/>
                <w:szCs w:val="16"/>
              </w:rPr>
            </w:pPr>
            <w:r w:rsidRPr="005C7CCE">
              <w:rPr>
                <w:i/>
                <w:color w:val="002060"/>
                <w:sz w:val="16"/>
              </w:rPr>
              <w:t xml:space="preserve">Niveau de référence actualisé fin 2011 : </w:t>
            </w:r>
            <w:r w:rsidRPr="005C7CCE">
              <w:rPr>
                <w:color w:val="002060"/>
                <w:sz w:val="16"/>
              </w:rPr>
              <w:t>43 parties contractantes à l</w:t>
            </w:r>
            <w:r w:rsidR="00A20444" w:rsidRPr="005C7CCE">
              <w:rPr>
                <w:color w:val="002060"/>
                <w:sz w:val="16"/>
              </w:rPr>
              <w:t>’</w:t>
            </w:r>
            <w:r w:rsidRPr="005C7CCE">
              <w:rPr>
                <w:color w:val="002060"/>
                <w:sz w:val="16"/>
              </w:rPr>
              <w:t>Acte de Genève et 17 parties contractantes liées par les autres actes seulement en 2011.</w:t>
            </w:r>
          </w:p>
          <w:p w:rsidR="00D42474" w:rsidRDefault="00D42474" w:rsidP="001A5BF9">
            <w:pPr>
              <w:keepNext/>
              <w:keepLines/>
              <w:rPr>
                <w:rFonts w:cs="Arial"/>
                <w:i/>
                <w:sz w:val="8"/>
                <w:szCs w:val="8"/>
              </w:rPr>
            </w:pPr>
          </w:p>
          <w:p w:rsidR="0096696E" w:rsidRPr="005C7CCE" w:rsidRDefault="0096696E" w:rsidP="001A5BF9">
            <w:pPr>
              <w:keepNext/>
              <w:keepLines/>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br/>
            </w:r>
            <w:r w:rsidRPr="005C7CCE">
              <w:rPr>
                <w:sz w:val="16"/>
              </w:rPr>
              <w:t>39 parties contractantes à l</w:t>
            </w:r>
            <w:r w:rsidR="00A20444" w:rsidRPr="005C7CCE">
              <w:rPr>
                <w:sz w:val="16"/>
              </w:rPr>
              <w:t>’</w:t>
            </w:r>
            <w:r w:rsidRPr="005C7CCE">
              <w:rPr>
                <w:sz w:val="16"/>
              </w:rPr>
              <w:t>Acte de Genève et 18 parties contractantes liées par les autres actes seulement en 2010.</w:t>
            </w:r>
          </w:p>
        </w:tc>
        <w:tc>
          <w:tcPr>
            <w:tcW w:w="968" w:type="pct"/>
            <w:gridSpan w:val="2"/>
            <w:shd w:val="clear" w:color="auto" w:fill="auto"/>
            <w:tcMar>
              <w:top w:w="110" w:type="dxa"/>
            </w:tcMar>
          </w:tcPr>
          <w:p w:rsidR="0096696E" w:rsidRPr="003D2207" w:rsidRDefault="0096696E" w:rsidP="001A5BF9">
            <w:pPr>
              <w:keepNext/>
              <w:keepLines/>
              <w:autoSpaceDE w:val="0"/>
              <w:autoSpaceDN w:val="0"/>
              <w:adjustRightInd w:val="0"/>
              <w:rPr>
                <w:rFonts w:cs="Arial"/>
                <w:sz w:val="16"/>
                <w:szCs w:val="16"/>
              </w:rPr>
            </w:pPr>
            <w:r w:rsidRPr="003D2207">
              <w:rPr>
                <w:sz w:val="16"/>
              </w:rPr>
              <w:t>55 parties à l</w:t>
            </w:r>
            <w:r w:rsidR="00A20444" w:rsidRPr="003D2207">
              <w:rPr>
                <w:sz w:val="16"/>
              </w:rPr>
              <w:t>’</w:t>
            </w:r>
            <w:r w:rsidRPr="003D2207">
              <w:rPr>
                <w:sz w:val="16"/>
              </w:rPr>
              <w:t>Acte de Genève, Acte de 1934 abrogé et aucun pays lié uniquement par l</w:t>
            </w:r>
            <w:r w:rsidR="00A20444" w:rsidRPr="003D2207">
              <w:rPr>
                <w:sz w:val="16"/>
              </w:rPr>
              <w:t>’</w:t>
            </w:r>
            <w:r w:rsidRPr="003D2207">
              <w:rPr>
                <w:sz w:val="16"/>
              </w:rPr>
              <w:t>Acte de 1960 hormis l</w:t>
            </w:r>
            <w:r w:rsidR="00A20444" w:rsidRPr="003D2207">
              <w:rPr>
                <w:sz w:val="16"/>
              </w:rPr>
              <w:t>’</w:t>
            </w:r>
            <w:r w:rsidRPr="003D2207">
              <w:rPr>
                <w:sz w:val="16"/>
              </w:rPr>
              <w:t>Union européenne ou l</w:t>
            </w:r>
            <w:r w:rsidR="00A20444" w:rsidRPr="003D2207">
              <w:rPr>
                <w:sz w:val="16"/>
              </w:rPr>
              <w:t>’</w:t>
            </w:r>
            <w:r w:rsidRPr="003D2207">
              <w:rPr>
                <w:sz w:val="16"/>
              </w:rPr>
              <w:t>OAPI</w:t>
            </w:r>
          </w:p>
        </w:tc>
        <w:tc>
          <w:tcPr>
            <w:tcW w:w="1344" w:type="pct"/>
            <w:shd w:val="clear" w:color="auto" w:fill="FFFFFF"/>
            <w:tcMar>
              <w:top w:w="110" w:type="dxa"/>
            </w:tcMar>
          </w:tcPr>
          <w:p w:rsidR="00D42474" w:rsidRDefault="0096696E" w:rsidP="001A5BF9">
            <w:pPr>
              <w:rPr>
                <w:sz w:val="16"/>
              </w:rPr>
            </w:pPr>
            <w:r w:rsidRPr="005C7CCE">
              <w:rPr>
                <w:sz w:val="16"/>
              </w:rPr>
              <w:t>46 parties contractantes à l</w:t>
            </w:r>
            <w:r w:rsidR="00A20444" w:rsidRPr="005C7CCE">
              <w:rPr>
                <w:sz w:val="16"/>
              </w:rPr>
              <w:t>’</w:t>
            </w:r>
            <w:r w:rsidRPr="005C7CCE">
              <w:rPr>
                <w:sz w:val="16"/>
              </w:rPr>
              <w:t>Acte de Genève (Monténégro, Tadjikistan et Tunisie en 2012;</w:t>
            </w:r>
            <w:r w:rsidR="0010442A" w:rsidRPr="005C7CCE">
              <w:rPr>
                <w:sz w:val="16"/>
              </w:rPr>
              <w:t xml:space="preserve"> </w:t>
            </w:r>
            <w:r w:rsidR="004F3E42" w:rsidRPr="005C7CCE">
              <w:rPr>
                <w:sz w:val="16"/>
              </w:rPr>
              <w:t xml:space="preserve"> </w:t>
            </w:r>
            <w:proofErr w:type="spellStart"/>
            <w:r w:rsidRPr="005C7CCE">
              <w:rPr>
                <w:sz w:val="16"/>
              </w:rPr>
              <w:t>Brunéi</w:t>
            </w:r>
            <w:proofErr w:type="spellEnd"/>
            <w:r w:rsidRPr="005C7CCE">
              <w:rPr>
                <w:sz w:val="16"/>
              </w:rPr>
              <w:t xml:space="preserve"> Darussalam en 2013).</w:t>
            </w:r>
          </w:p>
          <w:p w:rsidR="00D42474" w:rsidRDefault="00D42474" w:rsidP="001A5BF9">
            <w:pPr>
              <w:rPr>
                <w:rFonts w:cs="Arial"/>
                <w:sz w:val="8"/>
                <w:szCs w:val="8"/>
              </w:rPr>
            </w:pPr>
          </w:p>
          <w:p w:rsidR="0096696E" w:rsidRPr="005C7CCE" w:rsidRDefault="0096696E" w:rsidP="001A5BF9">
            <w:pPr>
              <w:rPr>
                <w:rFonts w:cs="Arial"/>
                <w:sz w:val="16"/>
                <w:szCs w:val="16"/>
              </w:rPr>
            </w:pPr>
            <w:r w:rsidRPr="005C7CCE">
              <w:rPr>
                <w:sz w:val="16"/>
              </w:rPr>
              <w:t>Au 31 décembre 2013, il fallait encore trois consentements pour l</w:t>
            </w:r>
            <w:r w:rsidR="00A20444" w:rsidRPr="005C7CCE">
              <w:rPr>
                <w:sz w:val="16"/>
              </w:rPr>
              <w:t>’</w:t>
            </w:r>
            <w:r w:rsidRPr="005C7CCE">
              <w:rPr>
                <w:sz w:val="16"/>
              </w:rPr>
              <w:t>extinction de l</w:t>
            </w:r>
            <w:r w:rsidR="00A20444" w:rsidRPr="005C7CCE">
              <w:rPr>
                <w:sz w:val="16"/>
              </w:rPr>
              <w:t>’</w:t>
            </w:r>
            <w:r w:rsidRPr="005C7CCE">
              <w:rPr>
                <w:sz w:val="16"/>
              </w:rPr>
              <w:t>Acte de 1934 et quatre parties contractantes en dehors de l</w:t>
            </w:r>
            <w:r w:rsidR="00A20444" w:rsidRPr="005C7CCE">
              <w:rPr>
                <w:sz w:val="16"/>
              </w:rPr>
              <w:t>’</w:t>
            </w:r>
            <w:r w:rsidRPr="005C7CCE">
              <w:rPr>
                <w:sz w:val="16"/>
              </w:rPr>
              <w:t>Union européenne et de l</w:t>
            </w:r>
            <w:r w:rsidR="00A20444" w:rsidRPr="005C7CCE">
              <w:rPr>
                <w:sz w:val="16"/>
              </w:rPr>
              <w:t>’</w:t>
            </w:r>
            <w:r w:rsidRPr="005C7CCE">
              <w:rPr>
                <w:sz w:val="16"/>
              </w:rPr>
              <w:t>OAPI restaient liées par l</w:t>
            </w:r>
            <w:r w:rsidR="00A20444" w:rsidRPr="005C7CCE">
              <w:rPr>
                <w:sz w:val="16"/>
              </w:rPr>
              <w:t>’</w:t>
            </w:r>
            <w:r w:rsidRPr="005C7CCE">
              <w:rPr>
                <w:sz w:val="16"/>
              </w:rPr>
              <w:t xml:space="preserve">Acte de 1960. </w:t>
            </w:r>
            <w:r w:rsidR="0010442A" w:rsidRPr="005C7CCE">
              <w:rPr>
                <w:sz w:val="16"/>
              </w:rPr>
              <w:t xml:space="preserve"> </w:t>
            </w:r>
          </w:p>
        </w:tc>
        <w:tc>
          <w:tcPr>
            <w:tcW w:w="670" w:type="pct"/>
            <w:gridSpan w:val="2"/>
            <w:shd w:val="clear" w:color="auto" w:fill="auto"/>
            <w:tcMar>
              <w:top w:w="110" w:type="dxa"/>
            </w:tcMar>
          </w:tcPr>
          <w:p w:rsidR="0096696E" w:rsidRPr="005C7CCE" w:rsidRDefault="0015421B" w:rsidP="001A5BF9">
            <w:pPr>
              <w:keepNext/>
              <w:keepLines/>
              <w:jc w:val="center"/>
              <w:rPr>
                <w:rFonts w:cs="Arial"/>
                <w:bCs/>
                <w:color w:val="008000"/>
                <w:sz w:val="16"/>
                <w:szCs w:val="16"/>
              </w:rPr>
            </w:pPr>
            <w:r w:rsidRPr="0015421B">
              <w:rPr>
                <w:color w:val="E36C0A"/>
                <w:sz w:val="16"/>
              </w:rPr>
              <w:t>Objectif partiellement atteint</w:t>
            </w:r>
          </w:p>
        </w:tc>
      </w:tr>
      <w:tr w:rsidR="0096696E" w:rsidRPr="005C7CCE" w:rsidTr="00D7163E">
        <w:trPr>
          <w:cantSplit/>
        </w:trPr>
        <w:tc>
          <w:tcPr>
            <w:tcW w:w="1049" w:type="pct"/>
            <w:gridSpan w:val="2"/>
            <w:shd w:val="clear" w:color="auto" w:fill="auto"/>
          </w:tcPr>
          <w:p w:rsidR="0096696E" w:rsidRPr="003D2207" w:rsidRDefault="0096696E" w:rsidP="001A5BF9">
            <w:pPr>
              <w:rPr>
                <w:rFonts w:cs="Arial"/>
                <w:sz w:val="16"/>
                <w:szCs w:val="16"/>
              </w:rPr>
            </w:pPr>
            <w:r w:rsidRPr="003D2207">
              <w:rPr>
                <w:sz w:val="16"/>
              </w:rPr>
              <w:t>Temps de traitement d</w:t>
            </w:r>
            <w:r w:rsidR="00A20444" w:rsidRPr="003D2207">
              <w:rPr>
                <w:sz w:val="16"/>
              </w:rPr>
              <w:t>’</w:t>
            </w:r>
            <w:r w:rsidRPr="003D2207">
              <w:rPr>
                <w:sz w:val="16"/>
              </w:rPr>
              <w:t>une demande régulière non différée, jusqu</w:t>
            </w:r>
            <w:r w:rsidR="00A20444" w:rsidRPr="003D2207">
              <w:rPr>
                <w:sz w:val="16"/>
              </w:rPr>
              <w:t>’</w:t>
            </w:r>
            <w:r w:rsidRPr="003D2207">
              <w:rPr>
                <w:sz w:val="16"/>
              </w:rPr>
              <w:t xml:space="preserve">à sa publication </w:t>
            </w:r>
          </w:p>
        </w:tc>
        <w:tc>
          <w:tcPr>
            <w:tcW w:w="969" w:type="pct"/>
            <w:shd w:val="clear" w:color="auto" w:fill="auto"/>
          </w:tcPr>
          <w:p w:rsidR="00D42474" w:rsidRDefault="0096696E" w:rsidP="001A5BF9">
            <w:pPr>
              <w:rPr>
                <w:rFonts w:cs="Arial"/>
                <w:i/>
                <w:color w:val="002060"/>
                <w:sz w:val="16"/>
                <w:szCs w:val="16"/>
              </w:rPr>
            </w:pPr>
            <w:r w:rsidRPr="005C7CCE">
              <w:rPr>
                <w:i/>
                <w:color w:val="002060"/>
                <w:sz w:val="16"/>
              </w:rPr>
              <w:t xml:space="preserve">Niveau de </w:t>
            </w:r>
            <w:r w:rsidR="003D2207">
              <w:rPr>
                <w:i/>
                <w:color w:val="002060"/>
                <w:sz w:val="16"/>
              </w:rPr>
              <w:t xml:space="preserve">référence actualisé fin 2011 : </w:t>
            </w:r>
            <w:r w:rsidR="003D2207" w:rsidRPr="003D2207">
              <w:rPr>
                <w:color w:val="002060"/>
                <w:sz w:val="16"/>
              </w:rPr>
              <w:t>q</w:t>
            </w:r>
            <w:r w:rsidRPr="003D2207">
              <w:rPr>
                <w:color w:val="002060"/>
                <w:sz w:val="16"/>
              </w:rPr>
              <w:t>uatre s</w:t>
            </w:r>
            <w:r w:rsidRPr="005C7CCE">
              <w:rPr>
                <w:color w:val="002060"/>
                <w:sz w:val="16"/>
              </w:rPr>
              <w:t>emaines</w:t>
            </w:r>
          </w:p>
          <w:p w:rsidR="00D42474" w:rsidRDefault="00D42474" w:rsidP="001A5BF9">
            <w:pPr>
              <w:rPr>
                <w:rFonts w:cs="Arial"/>
                <w:i/>
                <w:color w:val="002060"/>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3D2207">
              <w:rPr>
                <w:sz w:val="16"/>
              </w:rPr>
              <w:t xml:space="preserve"> n</w:t>
            </w:r>
            <w:r w:rsidRPr="005C7CCE">
              <w:rPr>
                <w:sz w:val="16"/>
              </w:rPr>
              <w:t>euf semaines</w:t>
            </w:r>
          </w:p>
        </w:tc>
        <w:tc>
          <w:tcPr>
            <w:tcW w:w="968" w:type="pct"/>
            <w:gridSpan w:val="2"/>
            <w:shd w:val="clear" w:color="auto" w:fill="auto"/>
            <w:tcMar>
              <w:top w:w="110" w:type="dxa"/>
            </w:tcMar>
          </w:tcPr>
          <w:p w:rsidR="0096696E" w:rsidRPr="003D2207" w:rsidRDefault="0096696E" w:rsidP="001A5BF9">
            <w:pPr>
              <w:rPr>
                <w:rFonts w:cs="Arial"/>
                <w:sz w:val="16"/>
                <w:szCs w:val="16"/>
              </w:rPr>
            </w:pPr>
            <w:r w:rsidRPr="003D2207">
              <w:rPr>
                <w:sz w:val="16"/>
              </w:rPr>
              <w:t>Trois semaines</w:t>
            </w:r>
          </w:p>
        </w:tc>
        <w:tc>
          <w:tcPr>
            <w:tcW w:w="1344" w:type="pct"/>
            <w:shd w:val="clear" w:color="auto" w:fill="FFFFFF"/>
            <w:tcMar>
              <w:top w:w="110" w:type="dxa"/>
            </w:tcMar>
          </w:tcPr>
          <w:p w:rsidR="00D42474" w:rsidRDefault="0096696E" w:rsidP="001A5BF9">
            <w:pPr>
              <w:rPr>
                <w:rFonts w:cs="Arial"/>
                <w:sz w:val="16"/>
                <w:szCs w:val="16"/>
                <w:lang w:bidi="th-TH"/>
              </w:rPr>
            </w:pPr>
            <w:r w:rsidRPr="003D2207">
              <w:rPr>
                <w:sz w:val="16"/>
              </w:rPr>
              <w:t>Quatre semaines (2012)</w:t>
            </w:r>
          </w:p>
          <w:p w:rsidR="0096696E" w:rsidRPr="003D2207" w:rsidRDefault="0096696E" w:rsidP="001A5BF9">
            <w:pPr>
              <w:rPr>
                <w:rFonts w:cs="Arial"/>
                <w:sz w:val="16"/>
                <w:szCs w:val="16"/>
              </w:rPr>
            </w:pPr>
            <w:r w:rsidRPr="003D2207">
              <w:rPr>
                <w:sz w:val="16"/>
              </w:rPr>
              <w:t>Deux semaines (2013)</w:t>
            </w:r>
          </w:p>
        </w:tc>
        <w:tc>
          <w:tcPr>
            <w:tcW w:w="670" w:type="pct"/>
            <w:gridSpan w:val="2"/>
            <w:shd w:val="clear" w:color="auto" w:fill="auto"/>
            <w:tcMar>
              <w:top w:w="110" w:type="dxa"/>
            </w:tcMar>
          </w:tcPr>
          <w:p w:rsidR="0096696E" w:rsidRPr="00C72113"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D7163E">
        <w:trPr>
          <w:cantSplit/>
        </w:trPr>
        <w:tc>
          <w:tcPr>
            <w:tcW w:w="1049" w:type="pct"/>
            <w:gridSpan w:val="2"/>
            <w:shd w:val="clear" w:color="auto" w:fill="auto"/>
          </w:tcPr>
          <w:p w:rsidR="0096696E" w:rsidRPr="003D2207" w:rsidRDefault="0096696E" w:rsidP="001A5BF9">
            <w:pPr>
              <w:rPr>
                <w:rFonts w:cs="Arial"/>
                <w:sz w:val="16"/>
                <w:szCs w:val="16"/>
              </w:rPr>
            </w:pPr>
            <w:r w:rsidRPr="003D2207">
              <w:rPr>
                <w:sz w:val="16"/>
              </w:rPr>
              <w:t>Nombre de procédures entièrement automatisées</w:t>
            </w:r>
          </w:p>
        </w:tc>
        <w:tc>
          <w:tcPr>
            <w:tcW w:w="969" w:type="pct"/>
            <w:shd w:val="clear" w:color="auto" w:fill="auto"/>
          </w:tcPr>
          <w:p w:rsidR="00D42474" w:rsidRDefault="0096696E" w:rsidP="001A5BF9">
            <w:pPr>
              <w:rPr>
                <w:rFonts w:cs="Arial"/>
                <w:i/>
                <w:color w:val="002060"/>
                <w:sz w:val="16"/>
                <w:szCs w:val="16"/>
              </w:rPr>
            </w:pPr>
            <w:r w:rsidRPr="005C7CCE">
              <w:rPr>
                <w:i/>
                <w:color w:val="002060"/>
                <w:sz w:val="16"/>
              </w:rPr>
              <w:t xml:space="preserve">Niveau de référence actualisé fin 2011 : </w:t>
            </w:r>
            <w:r w:rsidR="003D2207">
              <w:rPr>
                <w:color w:val="002060"/>
                <w:sz w:val="16"/>
              </w:rPr>
              <w:t>u</w:t>
            </w:r>
            <w:r w:rsidRPr="005C7CCE">
              <w:rPr>
                <w:color w:val="002060"/>
                <w:sz w:val="16"/>
              </w:rPr>
              <w:t>ne</w:t>
            </w:r>
          </w:p>
          <w:p w:rsidR="00D42474" w:rsidRDefault="00D42474" w:rsidP="001A5BF9">
            <w:pPr>
              <w:rPr>
                <w:rFonts w:cs="Arial"/>
                <w:i/>
                <w:color w:val="002060"/>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3D2207">
              <w:rPr>
                <w:sz w:val="16"/>
              </w:rPr>
              <w:t xml:space="preserve"> z</w:t>
            </w:r>
            <w:r w:rsidRPr="005C7CCE">
              <w:rPr>
                <w:sz w:val="16"/>
              </w:rPr>
              <w:t>éro</w:t>
            </w:r>
          </w:p>
        </w:tc>
        <w:tc>
          <w:tcPr>
            <w:tcW w:w="968" w:type="pct"/>
            <w:gridSpan w:val="2"/>
            <w:shd w:val="clear" w:color="auto" w:fill="auto"/>
            <w:tcMar>
              <w:top w:w="110" w:type="dxa"/>
            </w:tcMar>
          </w:tcPr>
          <w:p w:rsidR="0096696E" w:rsidRPr="003D2207" w:rsidRDefault="0096696E" w:rsidP="001A5BF9">
            <w:pPr>
              <w:rPr>
                <w:rFonts w:cs="Arial"/>
                <w:sz w:val="16"/>
                <w:szCs w:val="16"/>
              </w:rPr>
            </w:pPr>
            <w:r w:rsidRPr="003D2207">
              <w:rPr>
                <w:sz w:val="16"/>
              </w:rPr>
              <w:t xml:space="preserve">Deux </w:t>
            </w:r>
          </w:p>
        </w:tc>
        <w:tc>
          <w:tcPr>
            <w:tcW w:w="1344" w:type="pct"/>
            <w:shd w:val="clear" w:color="auto" w:fill="FFFFFF"/>
            <w:tcMar>
              <w:top w:w="110" w:type="dxa"/>
            </w:tcMar>
          </w:tcPr>
          <w:p w:rsidR="0096696E" w:rsidRPr="003D2207" w:rsidRDefault="0096696E" w:rsidP="001A5BF9">
            <w:pPr>
              <w:rPr>
                <w:rFonts w:cs="Arial"/>
                <w:sz w:val="16"/>
                <w:szCs w:val="16"/>
              </w:rPr>
            </w:pPr>
            <w:r w:rsidRPr="003D2207">
              <w:rPr>
                <w:sz w:val="16"/>
              </w:rPr>
              <w:t>Deux (renouvellement et octroi de protection)</w:t>
            </w:r>
          </w:p>
        </w:tc>
        <w:tc>
          <w:tcPr>
            <w:tcW w:w="670" w:type="pct"/>
            <w:gridSpan w:val="2"/>
            <w:shd w:val="clear" w:color="auto" w:fill="auto"/>
            <w:tcMar>
              <w:top w:w="110" w:type="dxa"/>
            </w:tcMar>
          </w:tcPr>
          <w:p w:rsidR="0096696E" w:rsidRPr="00C72113"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C72113">
              <w:rPr>
                <w:rStyle w:val="Style5"/>
                <w:rFonts w:ascii="Arial" w:hAnsi="Arial"/>
                <w:color w:val="008000"/>
                <w:sz w:val="16"/>
              </w:rPr>
              <w:t xml:space="preserve"> </w:t>
            </w:r>
          </w:p>
        </w:tc>
      </w:tr>
      <w:tr w:rsidR="0096696E" w:rsidRPr="005C7CCE" w:rsidTr="00D7163E">
        <w:trPr>
          <w:cantSplit/>
        </w:trPr>
        <w:tc>
          <w:tcPr>
            <w:tcW w:w="1049" w:type="pct"/>
            <w:gridSpan w:val="2"/>
            <w:shd w:val="clear" w:color="auto" w:fill="auto"/>
          </w:tcPr>
          <w:p w:rsidR="0096696E" w:rsidRPr="003D2207" w:rsidRDefault="0096696E" w:rsidP="001A5BF9">
            <w:pPr>
              <w:rPr>
                <w:rFonts w:cs="Arial"/>
                <w:sz w:val="16"/>
                <w:szCs w:val="16"/>
              </w:rPr>
            </w:pPr>
            <w:r w:rsidRPr="003D2207">
              <w:rPr>
                <w:sz w:val="16"/>
              </w:rPr>
              <w:t>Pourcentage de demandes déposées au moyen d</w:t>
            </w:r>
            <w:r w:rsidR="00A20444" w:rsidRPr="003D2207">
              <w:rPr>
                <w:sz w:val="16"/>
              </w:rPr>
              <w:t>’</w:t>
            </w:r>
            <w:r w:rsidRPr="003D2207">
              <w:rPr>
                <w:sz w:val="16"/>
              </w:rPr>
              <w:t>interfaces électroniques</w:t>
            </w:r>
          </w:p>
        </w:tc>
        <w:tc>
          <w:tcPr>
            <w:tcW w:w="969" w:type="pct"/>
            <w:shd w:val="clear" w:color="auto" w:fill="auto"/>
          </w:tcPr>
          <w:p w:rsidR="00D42474" w:rsidRDefault="0096696E" w:rsidP="001A5BF9">
            <w:pPr>
              <w:rPr>
                <w:i/>
                <w:color w:val="002060"/>
                <w:sz w:val="16"/>
              </w:rPr>
            </w:pPr>
            <w:r w:rsidRPr="005C7CCE">
              <w:rPr>
                <w:i/>
                <w:color w:val="002060"/>
                <w:sz w:val="16"/>
              </w:rPr>
              <w:t>Niveau de référence actualisé fin 2011 :</w:t>
            </w:r>
          </w:p>
          <w:p w:rsidR="00D42474" w:rsidRDefault="0096696E" w:rsidP="001A5BF9">
            <w:pPr>
              <w:rPr>
                <w:rFonts w:cs="Arial"/>
                <w:color w:val="002060"/>
                <w:sz w:val="16"/>
                <w:szCs w:val="16"/>
              </w:rPr>
            </w:pPr>
            <w:r w:rsidRPr="00C4659B">
              <w:rPr>
                <w:color w:val="002060"/>
                <w:sz w:val="16"/>
              </w:rPr>
              <w:t>80</w:t>
            </w:r>
            <w:r w:rsidR="007E442D" w:rsidRPr="00C4659B">
              <w:rPr>
                <w:color w:val="002060"/>
                <w:sz w:val="16"/>
              </w:rPr>
              <w:t>%</w:t>
            </w:r>
            <w:r w:rsidRPr="00C4659B">
              <w:rPr>
                <w:color w:val="002060"/>
                <w:sz w:val="16"/>
              </w:rPr>
              <w:t xml:space="preserve"> des demandes</w:t>
            </w:r>
          </w:p>
          <w:p w:rsidR="00D42474" w:rsidRDefault="0096696E" w:rsidP="001A5BF9">
            <w:pPr>
              <w:rPr>
                <w:rFonts w:cs="Arial"/>
                <w:color w:val="002060"/>
                <w:sz w:val="16"/>
                <w:szCs w:val="16"/>
              </w:rPr>
            </w:pPr>
            <w:r w:rsidRPr="00C4659B">
              <w:rPr>
                <w:color w:val="002060"/>
                <w:sz w:val="16"/>
              </w:rPr>
              <w:t>60</w:t>
            </w:r>
            <w:r w:rsidR="007E442D" w:rsidRPr="00C4659B">
              <w:rPr>
                <w:color w:val="002060"/>
                <w:sz w:val="16"/>
              </w:rPr>
              <w:t>%</w:t>
            </w:r>
            <w:r w:rsidRPr="00C4659B">
              <w:rPr>
                <w:color w:val="002060"/>
                <w:sz w:val="16"/>
              </w:rPr>
              <w:t xml:space="preserve"> des renouvellements</w:t>
            </w:r>
          </w:p>
          <w:p w:rsidR="00D42474" w:rsidRDefault="00D42474" w:rsidP="001A5BF9">
            <w:pPr>
              <w:rPr>
                <w:rFonts w:cs="Arial"/>
                <w:i/>
                <w:color w:val="002060"/>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br/>
            </w:r>
            <w:r w:rsidRPr="005C7CCE">
              <w:rPr>
                <w:color w:val="000000"/>
                <w:sz w:val="16"/>
              </w:rPr>
              <w:t>64</w:t>
            </w:r>
            <w:r w:rsidR="007E442D" w:rsidRPr="005C7CCE">
              <w:rPr>
                <w:color w:val="000000"/>
                <w:sz w:val="16"/>
              </w:rPr>
              <w:t>%</w:t>
            </w:r>
            <w:r w:rsidRPr="005C7CCE">
              <w:rPr>
                <w:color w:val="000000"/>
                <w:sz w:val="16"/>
              </w:rPr>
              <w:t xml:space="preserve"> des demandes internationales déposées par le biais d</w:t>
            </w:r>
            <w:r w:rsidR="00A20444" w:rsidRPr="005C7CCE">
              <w:rPr>
                <w:color w:val="000000"/>
                <w:sz w:val="16"/>
              </w:rPr>
              <w:t>’</w:t>
            </w:r>
            <w:r w:rsidRPr="005C7CCE">
              <w:rPr>
                <w:color w:val="000000"/>
                <w:sz w:val="16"/>
              </w:rPr>
              <w:t>interfaces électroniques en 2010, aucune autre demande n</w:t>
            </w:r>
            <w:r w:rsidR="00A20444" w:rsidRPr="005C7CCE">
              <w:rPr>
                <w:color w:val="000000"/>
                <w:sz w:val="16"/>
              </w:rPr>
              <w:t>’</w:t>
            </w:r>
            <w:r w:rsidRPr="005C7CCE">
              <w:rPr>
                <w:color w:val="000000"/>
                <w:sz w:val="16"/>
              </w:rPr>
              <w:t>étant effectuée par le biais d</w:t>
            </w:r>
            <w:r w:rsidR="00A20444" w:rsidRPr="005C7CCE">
              <w:rPr>
                <w:color w:val="000000"/>
                <w:sz w:val="16"/>
              </w:rPr>
              <w:t>’</w:t>
            </w:r>
            <w:r w:rsidRPr="005C7CCE">
              <w:rPr>
                <w:color w:val="000000"/>
                <w:sz w:val="16"/>
              </w:rPr>
              <w:t>un processus électronique.</w:t>
            </w:r>
          </w:p>
        </w:tc>
        <w:tc>
          <w:tcPr>
            <w:tcW w:w="968" w:type="pct"/>
            <w:gridSpan w:val="2"/>
            <w:shd w:val="clear" w:color="auto" w:fill="auto"/>
            <w:tcMar>
              <w:top w:w="110" w:type="dxa"/>
            </w:tcMar>
          </w:tcPr>
          <w:p w:rsidR="0096696E" w:rsidRPr="003D2207" w:rsidRDefault="0096696E" w:rsidP="001A5BF9">
            <w:pPr>
              <w:autoSpaceDE w:val="0"/>
              <w:autoSpaceDN w:val="0"/>
              <w:adjustRightInd w:val="0"/>
              <w:rPr>
                <w:rFonts w:cs="Arial"/>
                <w:sz w:val="16"/>
                <w:szCs w:val="16"/>
              </w:rPr>
            </w:pPr>
            <w:r w:rsidRPr="003D2207">
              <w:rPr>
                <w:sz w:val="16"/>
              </w:rPr>
              <w:t>80</w:t>
            </w:r>
            <w:r w:rsidR="007E442D" w:rsidRPr="003D2207">
              <w:rPr>
                <w:sz w:val="16"/>
              </w:rPr>
              <w:t>%</w:t>
            </w:r>
            <w:r w:rsidRPr="003D2207">
              <w:rPr>
                <w:sz w:val="16"/>
              </w:rPr>
              <w:t xml:space="preserve"> des demandes et des demandes de renouvellement déposées par voie électronique</w:t>
            </w:r>
          </w:p>
        </w:tc>
        <w:tc>
          <w:tcPr>
            <w:tcW w:w="1344" w:type="pct"/>
            <w:shd w:val="clear" w:color="auto" w:fill="FFFFFF"/>
            <w:tcMar>
              <w:top w:w="110" w:type="dxa"/>
            </w:tcMar>
          </w:tcPr>
          <w:p w:rsidR="00D42474" w:rsidRDefault="0096696E" w:rsidP="001A5BF9">
            <w:pPr>
              <w:rPr>
                <w:rFonts w:cs="Arial"/>
                <w:sz w:val="16"/>
                <w:szCs w:val="16"/>
                <w:lang w:bidi="th-TH"/>
              </w:rPr>
            </w:pPr>
            <w:r w:rsidRPr="003D2207">
              <w:rPr>
                <w:sz w:val="16"/>
              </w:rPr>
              <w:t>83</w:t>
            </w:r>
            <w:r w:rsidR="007E442D" w:rsidRPr="003D2207">
              <w:rPr>
                <w:sz w:val="16"/>
              </w:rPr>
              <w:t>%</w:t>
            </w:r>
            <w:r w:rsidRPr="003D2207">
              <w:rPr>
                <w:sz w:val="16"/>
              </w:rPr>
              <w:t xml:space="preserve"> des demandes (2012)</w:t>
            </w:r>
          </w:p>
          <w:p w:rsidR="00D42474" w:rsidRDefault="0096696E" w:rsidP="001A5BF9">
            <w:pPr>
              <w:rPr>
                <w:rFonts w:cs="Arial"/>
                <w:sz w:val="16"/>
                <w:szCs w:val="16"/>
                <w:lang w:bidi="th-TH"/>
              </w:rPr>
            </w:pPr>
            <w:r w:rsidRPr="003D2207">
              <w:rPr>
                <w:sz w:val="16"/>
              </w:rPr>
              <w:t>86</w:t>
            </w:r>
            <w:r w:rsidR="007E442D" w:rsidRPr="003D2207">
              <w:rPr>
                <w:sz w:val="16"/>
              </w:rPr>
              <w:t>%</w:t>
            </w:r>
            <w:r w:rsidRPr="003D2207">
              <w:rPr>
                <w:sz w:val="16"/>
              </w:rPr>
              <w:t xml:space="preserve"> des demandes (2013)</w:t>
            </w:r>
          </w:p>
          <w:p w:rsidR="00D42474" w:rsidRDefault="00D42474" w:rsidP="001A5BF9">
            <w:pPr>
              <w:rPr>
                <w:rFonts w:cs="Arial"/>
                <w:sz w:val="8"/>
                <w:szCs w:val="8"/>
                <w:lang w:bidi="th-TH"/>
              </w:rPr>
            </w:pPr>
          </w:p>
          <w:p w:rsidR="00D42474" w:rsidRDefault="0096696E" w:rsidP="001A5BF9">
            <w:pPr>
              <w:rPr>
                <w:sz w:val="16"/>
              </w:rPr>
            </w:pPr>
            <w:r w:rsidRPr="003D2207">
              <w:rPr>
                <w:sz w:val="16"/>
              </w:rPr>
              <w:t>54</w:t>
            </w:r>
            <w:r w:rsidR="007E442D" w:rsidRPr="003D2207">
              <w:rPr>
                <w:sz w:val="16"/>
              </w:rPr>
              <w:t>%</w:t>
            </w:r>
            <w:r w:rsidRPr="003D2207">
              <w:rPr>
                <w:sz w:val="16"/>
              </w:rPr>
              <w:t xml:space="preserve"> des renouvellements (2012)</w:t>
            </w:r>
          </w:p>
          <w:p w:rsidR="0096696E" w:rsidRPr="003D2207" w:rsidRDefault="0096696E" w:rsidP="001A5BF9">
            <w:pPr>
              <w:rPr>
                <w:rFonts w:cs="Arial"/>
                <w:sz w:val="16"/>
                <w:szCs w:val="16"/>
              </w:rPr>
            </w:pPr>
            <w:r w:rsidRPr="003D2207">
              <w:rPr>
                <w:sz w:val="16"/>
              </w:rPr>
              <w:t>65</w:t>
            </w:r>
            <w:r w:rsidR="007E442D" w:rsidRPr="003D2207">
              <w:rPr>
                <w:sz w:val="16"/>
              </w:rPr>
              <w:t>%</w:t>
            </w:r>
            <w:r w:rsidRPr="003D2207">
              <w:rPr>
                <w:sz w:val="16"/>
              </w:rPr>
              <w:t xml:space="preserve"> des renouvellements (2013)</w:t>
            </w:r>
          </w:p>
        </w:tc>
        <w:tc>
          <w:tcPr>
            <w:tcW w:w="670" w:type="pct"/>
            <w:gridSpan w:val="2"/>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D7163E">
        <w:trPr>
          <w:cantSplit/>
        </w:trPr>
        <w:tc>
          <w:tcPr>
            <w:tcW w:w="1049" w:type="pct"/>
            <w:gridSpan w:val="2"/>
            <w:shd w:val="clear" w:color="auto" w:fill="auto"/>
          </w:tcPr>
          <w:p w:rsidR="0096696E" w:rsidRPr="003D2207" w:rsidRDefault="0096696E" w:rsidP="001A5BF9">
            <w:pPr>
              <w:rPr>
                <w:rFonts w:cs="Arial"/>
                <w:sz w:val="16"/>
                <w:szCs w:val="16"/>
              </w:rPr>
            </w:pPr>
            <w:r w:rsidRPr="003D2207">
              <w:rPr>
                <w:sz w:val="16"/>
              </w:rPr>
              <w:t>Pourcentage d</w:t>
            </w:r>
            <w:r w:rsidR="00A20444" w:rsidRPr="003D2207">
              <w:rPr>
                <w:sz w:val="16"/>
              </w:rPr>
              <w:t>’</w:t>
            </w:r>
            <w:r w:rsidRPr="003D2207">
              <w:rPr>
                <w:sz w:val="16"/>
              </w:rPr>
              <w:t xml:space="preserve">utilisateurs satisfaits des services fournis par le Bureau international </w:t>
            </w:r>
          </w:p>
        </w:tc>
        <w:tc>
          <w:tcPr>
            <w:tcW w:w="969" w:type="pct"/>
            <w:shd w:val="clear" w:color="auto" w:fill="auto"/>
          </w:tcPr>
          <w:p w:rsidR="0096696E" w:rsidRPr="005C7CCE" w:rsidRDefault="0096696E" w:rsidP="001A5BF9">
            <w:pPr>
              <w:rPr>
                <w:rFonts w:cs="Arial"/>
                <w:color w:val="008000"/>
                <w:sz w:val="16"/>
                <w:szCs w:val="16"/>
              </w:rPr>
            </w:pPr>
            <w:r w:rsidRPr="00C4659B">
              <w:rPr>
                <w:sz w:val="16"/>
              </w:rPr>
              <w:t>À déterminer fin 2011</w:t>
            </w:r>
          </w:p>
        </w:tc>
        <w:tc>
          <w:tcPr>
            <w:tcW w:w="968" w:type="pct"/>
            <w:gridSpan w:val="2"/>
            <w:shd w:val="clear" w:color="auto" w:fill="auto"/>
            <w:tcMar>
              <w:top w:w="110" w:type="dxa"/>
            </w:tcMar>
          </w:tcPr>
          <w:p w:rsidR="0096696E" w:rsidRPr="003D2207" w:rsidRDefault="0096696E" w:rsidP="001A5BF9">
            <w:pPr>
              <w:rPr>
                <w:rFonts w:cs="Arial"/>
                <w:sz w:val="16"/>
                <w:szCs w:val="16"/>
              </w:rPr>
            </w:pPr>
            <w:r w:rsidRPr="003D2207">
              <w:rPr>
                <w:sz w:val="16"/>
              </w:rPr>
              <w:t>À déterminer fin 2011</w:t>
            </w:r>
          </w:p>
        </w:tc>
        <w:tc>
          <w:tcPr>
            <w:tcW w:w="1344" w:type="pct"/>
            <w:shd w:val="clear" w:color="auto" w:fill="FFFFFF"/>
            <w:tcMar>
              <w:top w:w="110" w:type="dxa"/>
            </w:tcMar>
          </w:tcPr>
          <w:p w:rsidR="00D42474" w:rsidRDefault="0096696E" w:rsidP="001A5BF9">
            <w:pPr>
              <w:pStyle w:val="CommentText"/>
              <w:rPr>
                <w:rFonts w:cs="Arial"/>
                <w:sz w:val="16"/>
                <w:szCs w:val="16"/>
              </w:rPr>
            </w:pPr>
            <w:r w:rsidRPr="003D2207">
              <w:rPr>
                <w:sz w:val="16"/>
              </w:rPr>
              <w:t>10</w:t>
            </w:r>
            <w:r w:rsidR="007E442D" w:rsidRPr="003D2207">
              <w:rPr>
                <w:sz w:val="16"/>
              </w:rPr>
              <w:t>%</w:t>
            </w:r>
            <w:r w:rsidRPr="003D2207">
              <w:rPr>
                <w:sz w:val="16"/>
              </w:rPr>
              <w:t xml:space="preserve"> des utilisateurs étaient extrêmement satisfaits;</w:t>
            </w:r>
            <w:r w:rsidR="004F3E42" w:rsidRPr="003D2207">
              <w:rPr>
                <w:sz w:val="16"/>
              </w:rPr>
              <w:t xml:space="preserve"> </w:t>
            </w:r>
            <w:r w:rsidR="0010442A" w:rsidRPr="003D2207">
              <w:rPr>
                <w:sz w:val="16"/>
              </w:rPr>
              <w:t xml:space="preserve"> </w:t>
            </w:r>
            <w:r w:rsidRPr="003D2207">
              <w:rPr>
                <w:sz w:val="16"/>
              </w:rPr>
              <w:t>42</w:t>
            </w:r>
            <w:r w:rsidR="007E442D" w:rsidRPr="003D2207">
              <w:rPr>
                <w:sz w:val="16"/>
              </w:rPr>
              <w:t>%</w:t>
            </w:r>
            <w:r w:rsidRPr="003D2207">
              <w:rPr>
                <w:sz w:val="16"/>
              </w:rPr>
              <w:t xml:space="preserve"> étaient très satisfaits;</w:t>
            </w:r>
            <w:r w:rsidR="004F3E42" w:rsidRPr="003D2207">
              <w:rPr>
                <w:sz w:val="16"/>
              </w:rPr>
              <w:t xml:space="preserve"> </w:t>
            </w:r>
            <w:r w:rsidR="0010442A" w:rsidRPr="003D2207">
              <w:rPr>
                <w:sz w:val="16"/>
              </w:rPr>
              <w:t xml:space="preserve"> </w:t>
            </w:r>
            <w:r w:rsidRPr="003D2207">
              <w:rPr>
                <w:sz w:val="16"/>
              </w:rPr>
              <w:t>42</w:t>
            </w:r>
            <w:r w:rsidR="007E442D" w:rsidRPr="003D2207">
              <w:rPr>
                <w:sz w:val="16"/>
              </w:rPr>
              <w:t>%</w:t>
            </w:r>
            <w:r w:rsidRPr="003D2207">
              <w:rPr>
                <w:sz w:val="16"/>
              </w:rPr>
              <w:t xml:space="preserve"> étaient satisfaits et 5</w:t>
            </w:r>
            <w:r w:rsidR="007E442D" w:rsidRPr="003D2207">
              <w:rPr>
                <w:sz w:val="16"/>
              </w:rPr>
              <w:t>%</w:t>
            </w:r>
            <w:r w:rsidRPr="003D2207">
              <w:rPr>
                <w:sz w:val="16"/>
              </w:rPr>
              <w:t xml:space="preserve"> étaient modérément satisfaits (enquête réalisée le 22 mai 2012).</w:t>
            </w:r>
          </w:p>
          <w:p w:rsidR="00D42474" w:rsidRDefault="00D42474" w:rsidP="001A5BF9">
            <w:pPr>
              <w:rPr>
                <w:rFonts w:cs="Arial"/>
                <w:sz w:val="8"/>
                <w:szCs w:val="8"/>
                <w:lang w:bidi="th-TH"/>
              </w:rPr>
            </w:pPr>
          </w:p>
          <w:p w:rsidR="00D42474" w:rsidRDefault="0096696E" w:rsidP="001A5BF9">
            <w:pPr>
              <w:rPr>
                <w:rFonts w:cs="Arial"/>
                <w:sz w:val="16"/>
                <w:szCs w:val="16"/>
                <w:lang w:bidi="th-TH"/>
              </w:rPr>
            </w:pPr>
            <w:r w:rsidRPr="003D2207">
              <w:rPr>
                <w:sz w:val="16"/>
              </w:rPr>
              <w:t>Aucune enquête n</w:t>
            </w:r>
            <w:r w:rsidR="00A20444" w:rsidRPr="003D2207">
              <w:rPr>
                <w:sz w:val="16"/>
              </w:rPr>
              <w:t>’</w:t>
            </w:r>
            <w:r w:rsidRPr="003D2207">
              <w:rPr>
                <w:sz w:val="16"/>
              </w:rPr>
              <w:t>a été menée en 2013.</w:t>
            </w:r>
          </w:p>
          <w:p w:rsidR="0096696E" w:rsidRPr="003D2207" w:rsidRDefault="0096696E" w:rsidP="001A5BF9">
            <w:pPr>
              <w:rPr>
                <w:rFonts w:cs="Arial"/>
                <w:sz w:val="16"/>
                <w:szCs w:val="16"/>
              </w:rPr>
            </w:pPr>
          </w:p>
        </w:tc>
        <w:tc>
          <w:tcPr>
            <w:tcW w:w="670" w:type="pct"/>
            <w:gridSpan w:val="2"/>
            <w:shd w:val="clear" w:color="auto" w:fill="auto"/>
            <w:tcMar>
              <w:top w:w="110" w:type="dxa"/>
            </w:tcMar>
          </w:tcPr>
          <w:p w:rsidR="0096696E" w:rsidRPr="005C7CCE" w:rsidRDefault="0096696E" w:rsidP="001A5BF9">
            <w:pPr>
              <w:keepNext/>
              <w:keepLines/>
              <w:jc w:val="center"/>
              <w:rPr>
                <w:rFonts w:cs="Arial"/>
                <w:bCs/>
                <w:color w:val="808080"/>
                <w:sz w:val="16"/>
                <w:szCs w:val="16"/>
              </w:rPr>
            </w:pPr>
            <w:r w:rsidRPr="005C7CCE">
              <w:rPr>
                <w:rStyle w:val="Style5"/>
                <w:rFonts w:ascii="Arial" w:hAnsi="Arial"/>
                <w:color w:val="808080"/>
                <w:sz w:val="16"/>
              </w:rPr>
              <w:t>Non évaluable</w:t>
            </w:r>
          </w:p>
        </w:tc>
      </w:tr>
    </w:tbl>
    <w:p w:rsidR="00D42474" w:rsidRDefault="00D42474" w:rsidP="001A5BF9">
      <w:pPr>
        <w:rPr>
          <w:rFonts w:cs="Arial"/>
        </w:rPr>
      </w:pPr>
    </w:p>
    <w:p w:rsidR="00D42474" w:rsidRDefault="00D42474" w:rsidP="001A5BF9">
      <w:pPr>
        <w:rPr>
          <w:rFonts w:cs="Arial"/>
        </w:rPr>
      </w:pPr>
    </w:p>
    <w:p w:rsidR="00D42474" w:rsidRDefault="00D42474" w:rsidP="001A5BF9">
      <w:pPr>
        <w:rPr>
          <w:rFonts w:cs="Arial"/>
        </w:rPr>
      </w:pPr>
    </w:p>
    <w:p w:rsidR="00D42474" w:rsidRDefault="0096696E" w:rsidP="001A5BF9">
      <w:pPr>
        <w:pStyle w:val="NormalWeb"/>
        <w:spacing w:before="0" w:beforeAutospacing="0" w:after="0" w:afterAutospacing="0"/>
        <w:rPr>
          <w:sz w:val="22"/>
          <w:szCs w:val="22"/>
        </w:rPr>
      </w:pPr>
      <w:r w:rsidRPr="008F19EC">
        <w:rPr>
          <w:sz w:val="22"/>
        </w:rPr>
        <w:t>BUDGET ET DÉPENSES EFFECTIVES</w:t>
      </w:r>
    </w:p>
    <w:p w:rsidR="00D42474" w:rsidRDefault="00D42474" w:rsidP="001A5BF9">
      <w:pPr>
        <w:pStyle w:val="NormalWeb"/>
        <w:spacing w:before="0" w:beforeAutospacing="0" w:after="0" w:afterAutospacing="0"/>
        <w:jc w:val="center"/>
        <w:rPr>
          <w:sz w:val="22"/>
          <w:szCs w:val="22"/>
        </w:rPr>
      </w:pPr>
    </w:p>
    <w:p w:rsidR="00D42474" w:rsidRDefault="0096696E" w:rsidP="001A5BF9">
      <w:pPr>
        <w:pStyle w:val="NormalWeb"/>
        <w:spacing w:before="0" w:beforeAutospacing="0" w:after="0" w:afterAutospacing="0"/>
        <w:jc w:val="center"/>
        <w:rPr>
          <w:sz w:val="20"/>
          <w:szCs w:val="20"/>
        </w:rPr>
      </w:pPr>
      <w:r w:rsidRPr="008F19EC">
        <w:rPr>
          <w:sz w:val="20"/>
        </w:rPr>
        <w:t>Budget et dépenses effectives (par résultat)</w:t>
      </w:r>
    </w:p>
    <w:p w:rsidR="00D42474" w:rsidRDefault="0096696E" w:rsidP="001A5BF9">
      <w:pPr>
        <w:pStyle w:val="NormalWeb"/>
        <w:spacing w:before="0" w:beforeAutospacing="0" w:after="0" w:afterAutospacing="0"/>
        <w:jc w:val="center"/>
        <w:rPr>
          <w:i/>
          <w:iCs/>
          <w:sz w:val="20"/>
          <w:szCs w:val="20"/>
        </w:rPr>
      </w:pPr>
      <w:r w:rsidRPr="008F19EC">
        <w:rPr>
          <w:i/>
          <w:sz w:val="20"/>
        </w:rPr>
        <w:t>(</w:t>
      </w:r>
      <w:proofErr w:type="gramStart"/>
      <w:r w:rsidRPr="008F19EC">
        <w:rPr>
          <w:i/>
          <w:sz w:val="20"/>
        </w:rPr>
        <w:t>en</w:t>
      </w:r>
      <w:proofErr w:type="gramEnd"/>
      <w:r w:rsidRPr="008F19EC">
        <w:rPr>
          <w:i/>
          <w:sz w:val="20"/>
        </w:rPr>
        <w:t xml:space="preserve"> milliers de francs suisses)</w:t>
      </w:r>
    </w:p>
    <w:p w:rsidR="0096696E" w:rsidRPr="008F19EC" w:rsidRDefault="0096696E" w:rsidP="001A5BF9">
      <w:pPr>
        <w:pStyle w:val="NormalWeb"/>
        <w:spacing w:before="0" w:beforeAutospacing="0" w:after="0" w:afterAutospacing="0"/>
        <w:jc w:val="center"/>
      </w:pPr>
    </w:p>
    <w:tbl>
      <w:tblPr>
        <w:tblW w:w="0" w:type="auto"/>
        <w:tblInd w:w="103" w:type="dxa"/>
        <w:tblLook w:val="04A0" w:firstRow="1" w:lastRow="0" w:firstColumn="1" w:lastColumn="0" w:noHBand="0" w:noVBand="1"/>
      </w:tblPr>
      <w:tblGrid>
        <w:gridCol w:w="439"/>
        <w:gridCol w:w="4244"/>
        <w:gridCol w:w="1559"/>
        <w:gridCol w:w="1559"/>
        <w:gridCol w:w="1560"/>
      </w:tblGrid>
      <w:tr w:rsidR="0096696E" w:rsidRPr="008F19EC" w:rsidTr="00BB3F3E">
        <w:tc>
          <w:tcPr>
            <w:tcW w:w="4683"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8F19EC" w:rsidRDefault="0096696E" w:rsidP="001A5BF9">
            <w:pPr>
              <w:spacing w:before="120" w:after="120"/>
              <w:jc w:val="center"/>
              <w:rPr>
                <w:rFonts w:cs="Arial"/>
                <w:bCs/>
                <w:sz w:val="16"/>
                <w:szCs w:val="16"/>
              </w:rPr>
            </w:pPr>
            <w:r w:rsidRPr="008F19EC">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96696E" w:rsidRPr="008F19EC" w:rsidRDefault="0096696E" w:rsidP="001A5BF9">
            <w:pPr>
              <w:spacing w:before="120" w:after="120"/>
              <w:jc w:val="center"/>
              <w:rPr>
                <w:rFonts w:cs="Arial"/>
                <w:bCs/>
                <w:sz w:val="16"/>
                <w:szCs w:val="16"/>
              </w:rPr>
            </w:pPr>
            <w:r w:rsidRPr="008F19EC">
              <w:rPr>
                <w:sz w:val="16"/>
              </w:rPr>
              <w:t>Budget</w:t>
            </w:r>
            <w:r w:rsidRPr="008F19EC">
              <w:br/>
            </w:r>
            <w:r w:rsidRPr="008F19EC">
              <w:rPr>
                <w:sz w:val="16"/>
              </w:rPr>
              <w:t>2012–2013 approuvé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96696E" w:rsidRPr="008F19EC" w:rsidRDefault="0096696E" w:rsidP="001A5BF9">
            <w:pPr>
              <w:spacing w:before="120" w:after="120"/>
              <w:jc w:val="center"/>
              <w:rPr>
                <w:rFonts w:cs="Arial"/>
                <w:bCs/>
                <w:sz w:val="16"/>
                <w:szCs w:val="16"/>
              </w:rPr>
            </w:pPr>
            <w:r w:rsidRPr="008F19EC">
              <w:rPr>
                <w:sz w:val="16"/>
              </w:rPr>
              <w:t>Budget</w:t>
            </w:r>
            <w:r w:rsidRPr="008F19EC">
              <w:br/>
            </w:r>
            <w:r w:rsidRPr="008F19EC">
              <w:rPr>
                <w:sz w:val="16"/>
              </w:rPr>
              <w:t>2012</w:t>
            </w:r>
            <w:r w:rsidR="002D6F2A" w:rsidRPr="008F19EC">
              <w:rPr>
                <w:sz w:val="16"/>
              </w:rPr>
              <w:noBreakHyphen/>
            </w:r>
            <w:r w:rsidRPr="008F19EC">
              <w:rPr>
                <w:sz w:val="16"/>
              </w:rPr>
              <w:t>2013 après virements</w:t>
            </w:r>
          </w:p>
        </w:tc>
        <w:tc>
          <w:tcPr>
            <w:tcW w:w="1560" w:type="dxa"/>
            <w:tcBorders>
              <w:top w:val="single" w:sz="4" w:space="0" w:color="auto"/>
              <w:left w:val="nil"/>
              <w:bottom w:val="single" w:sz="4" w:space="0" w:color="auto"/>
              <w:right w:val="single" w:sz="4" w:space="0" w:color="auto"/>
            </w:tcBorders>
            <w:shd w:val="clear" w:color="000000" w:fill="CCFFFF"/>
            <w:vAlign w:val="center"/>
          </w:tcPr>
          <w:p w:rsidR="0096696E" w:rsidRPr="008F19EC" w:rsidRDefault="0096696E" w:rsidP="001A5BF9">
            <w:pPr>
              <w:spacing w:before="120" w:after="120"/>
              <w:jc w:val="center"/>
              <w:rPr>
                <w:rFonts w:cs="Arial"/>
                <w:bCs/>
                <w:sz w:val="16"/>
                <w:szCs w:val="16"/>
              </w:rPr>
            </w:pPr>
            <w:r w:rsidRPr="008F19EC">
              <w:rPr>
                <w:sz w:val="16"/>
              </w:rPr>
              <w:t>Dépenses</w:t>
            </w:r>
            <w:r w:rsidRPr="008F19EC">
              <w:br/>
            </w:r>
            <w:r w:rsidRPr="008F19EC">
              <w:rPr>
                <w:sz w:val="16"/>
              </w:rPr>
              <w:t>2012</w:t>
            </w:r>
            <w:r w:rsidR="002D6F2A" w:rsidRPr="008F19EC">
              <w:rPr>
                <w:sz w:val="16"/>
              </w:rPr>
              <w:noBreakHyphen/>
            </w:r>
            <w:r w:rsidRPr="008F19EC">
              <w:rPr>
                <w:sz w:val="16"/>
              </w:rPr>
              <w:t>2013</w:t>
            </w:r>
          </w:p>
        </w:tc>
      </w:tr>
      <w:tr w:rsidR="0096696E" w:rsidRPr="008F19EC" w:rsidTr="00BB3F3E">
        <w:tc>
          <w:tcPr>
            <w:tcW w:w="439" w:type="dxa"/>
            <w:tcBorders>
              <w:top w:val="nil"/>
              <w:left w:val="single" w:sz="4" w:space="0" w:color="auto"/>
              <w:bottom w:val="nil"/>
              <w:right w:val="nil"/>
            </w:tcBorders>
            <w:shd w:val="clear" w:color="000000" w:fill="FFFFFF"/>
            <w:noWrap/>
          </w:tcPr>
          <w:p w:rsidR="0096696E" w:rsidRPr="008F19EC" w:rsidRDefault="0096696E" w:rsidP="001A5BF9">
            <w:pPr>
              <w:spacing w:before="120" w:after="120"/>
              <w:jc w:val="center"/>
              <w:rPr>
                <w:rFonts w:cs="Arial"/>
                <w:sz w:val="16"/>
                <w:szCs w:val="16"/>
              </w:rPr>
            </w:pPr>
            <w:proofErr w:type="spellStart"/>
            <w:r w:rsidRPr="008F19EC">
              <w:rPr>
                <w:sz w:val="16"/>
              </w:rPr>
              <w:t>II.5</w:t>
            </w:r>
            <w:proofErr w:type="spellEnd"/>
          </w:p>
        </w:tc>
        <w:tc>
          <w:tcPr>
            <w:tcW w:w="4244" w:type="dxa"/>
            <w:tcBorders>
              <w:top w:val="nil"/>
              <w:left w:val="nil"/>
              <w:bottom w:val="nil"/>
              <w:right w:val="nil"/>
            </w:tcBorders>
            <w:shd w:val="clear" w:color="000000" w:fill="FFFFFF"/>
          </w:tcPr>
          <w:p w:rsidR="0096696E" w:rsidRPr="008F19EC" w:rsidRDefault="0096696E" w:rsidP="001A5BF9">
            <w:pPr>
              <w:spacing w:before="120" w:after="120"/>
              <w:rPr>
                <w:rFonts w:cs="Arial"/>
                <w:sz w:val="16"/>
                <w:szCs w:val="16"/>
              </w:rPr>
            </w:pPr>
            <w:r w:rsidRPr="008F19EC">
              <w:rPr>
                <w:sz w:val="16"/>
              </w:rPr>
              <w:t>Connaissance accrue du système de La</w:t>
            </w:r>
            <w:r w:rsidR="0010442A" w:rsidRPr="008F19EC">
              <w:rPr>
                <w:sz w:val="16"/>
              </w:rPr>
              <w:t> </w:t>
            </w:r>
            <w:r w:rsidRPr="008F19EC">
              <w:rPr>
                <w:sz w:val="16"/>
              </w:rPr>
              <w:t>Haye</w:t>
            </w:r>
          </w:p>
        </w:tc>
        <w:tc>
          <w:tcPr>
            <w:tcW w:w="1559" w:type="dxa"/>
            <w:tcBorders>
              <w:top w:val="nil"/>
              <w:left w:val="nil"/>
              <w:bottom w:val="nil"/>
              <w:right w:val="nil"/>
            </w:tcBorders>
            <w:shd w:val="clear" w:color="000000" w:fill="FFFFFF"/>
            <w:vAlign w:val="center"/>
          </w:tcPr>
          <w:p w:rsidR="0096696E" w:rsidRPr="008F19EC" w:rsidRDefault="0096696E" w:rsidP="001A5BF9">
            <w:pPr>
              <w:spacing w:before="120" w:after="120"/>
              <w:jc w:val="right"/>
              <w:rPr>
                <w:rFonts w:cs="Arial"/>
                <w:sz w:val="16"/>
                <w:szCs w:val="16"/>
              </w:rPr>
            </w:pPr>
            <w:r w:rsidRPr="008F19EC">
              <w:rPr>
                <w:sz w:val="16"/>
              </w:rPr>
              <w:t xml:space="preserve">2 185 </w:t>
            </w:r>
          </w:p>
        </w:tc>
        <w:tc>
          <w:tcPr>
            <w:tcW w:w="1559" w:type="dxa"/>
            <w:tcBorders>
              <w:top w:val="nil"/>
              <w:left w:val="nil"/>
              <w:bottom w:val="nil"/>
              <w:right w:val="nil"/>
            </w:tcBorders>
            <w:shd w:val="clear" w:color="000000" w:fill="FFFFFF"/>
            <w:vAlign w:val="bottom"/>
          </w:tcPr>
          <w:p w:rsidR="0096696E" w:rsidRPr="008F19EC" w:rsidRDefault="0096696E" w:rsidP="001A5BF9">
            <w:pPr>
              <w:spacing w:before="120" w:after="120"/>
              <w:jc w:val="right"/>
              <w:rPr>
                <w:rFonts w:cs="Arial"/>
                <w:sz w:val="16"/>
                <w:szCs w:val="16"/>
              </w:rPr>
            </w:pPr>
            <w:r w:rsidRPr="008F19EC">
              <w:rPr>
                <w:sz w:val="16"/>
              </w:rPr>
              <w:t>1 815</w:t>
            </w:r>
          </w:p>
        </w:tc>
        <w:tc>
          <w:tcPr>
            <w:tcW w:w="1560" w:type="dxa"/>
            <w:tcBorders>
              <w:top w:val="nil"/>
              <w:left w:val="nil"/>
              <w:bottom w:val="nil"/>
              <w:right w:val="single" w:sz="4" w:space="0" w:color="auto"/>
            </w:tcBorders>
            <w:shd w:val="clear" w:color="000000" w:fill="FFFFFF"/>
            <w:vAlign w:val="bottom"/>
          </w:tcPr>
          <w:p w:rsidR="0096696E" w:rsidRPr="008F19EC" w:rsidRDefault="0096696E" w:rsidP="001A5BF9">
            <w:pPr>
              <w:spacing w:before="120" w:after="120"/>
              <w:jc w:val="right"/>
              <w:rPr>
                <w:rFonts w:cs="Arial"/>
                <w:sz w:val="16"/>
                <w:szCs w:val="16"/>
              </w:rPr>
            </w:pPr>
            <w:r w:rsidRPr="008F19EC">
              <w:rPr>
                <w:sz w:val="16"/>
              </w:rPr>
              <w:t>1 752</w:t>
            </w:r>
          </w:p>
        </w:tc>
      </w:tr>
      <w:tr w:rsidR="0096696E" w:rsidRPr="008F19EC" w:rsidTr="00BB3F3E">
        <w:tc>
          <w:tcPr>
            <w:tcW w:w="439" w:type="dxa"/>
            <w:tcBorders>
              <w:top w:val="nil"/>
              <w:left w:val="single" w:sz="4" w:space="0" w:color="auto"/>
              <w:bottom w:val="nil"/>
              <w:right w:val="nil"/>
            </w:tcBorders>
            <w:shd w:val="clear" w:color="000000" w:fill="FFFFFF"/>
            <w:noWrap/>
          </w:tcPr>
          <w:p w:rsidR="0096696E" w:rsidRPr="008F19EC" w:rsidRDefault="0096696E" w:rsidP="001A5BF9">
            <w:pPr>
              <w:spacing w:before="120" w:after="120"/>
              <w:jc w:val="center"/>
              <w:rPr>
                <w:rFonts w:cs="Arial"/>
                <w:sz w:val="16"/>
                <w:szCs w:val="16"/>
              </w:rPr>
            </w:pPr>
            <w:proofErr w:type="spellStart"/>
            <w:r w:rsidRPr="008F19EC">
              <w:rPr>
                <w:sz w:val="16"/>
              </w:rPr>
              <w:t>II.6</w:t>
            </w:r>
            <w:proofErr w:type="spellEnd"/>
          </w:p>
        </w:tc>
        <w:tc>
          <w:tcPr>
            <w:tcW w:w="4244" w:type="dxa"/>
            <w:tcBorders>
              <w:top w:val="nil"/>
              <w:left w:val="nil"/>
              <w:bottom w:val="nil"/>
              <w:right w:val="nil"/>
            </w:tcBorders>
            <w:shd w:val="clear" w:color="000000" w:fill="FFFFFF"/>
          </w:tcPr>
          <w:p w:rsidR="0096696E" w:rsidRPr="008F19EC" w:rsidRDefault="0096696E" w:rsidP="001A5BF9">
            <w:pPr>
              <w:spacing w:before="120" w:after="120"/>
              <w:rPr>
                <w:rFonts w:cs="Arial"/>
                <w:sz w:val="16"/>
                <w:szCs w:val="16"/>
              </w:rPr>
            </w:pPr>
            <w:r w:rsidRPr="008F19EC">
              <w:rPr>
                <w:sz w:val="16"/>
              </w:rPr>
              <w:t>Utilisation plus fréquente et améliorée du système de La</w:t>
            </w:r>
            <w:r w:rsidR="009A0557" w:rsidRPr="008F19EC">
              <w:rPr>
                <w:sz w:val="16"/>
              </w:rPr>
              <w:t> </w:t>
            </w:r>
            <w:r w:rsidRPr="008F19EC">
              <w:rPr>
                <w:sz w:val="16"/>
              </w:rPr>
              <w:t>Haye</w:t>
            </w:r>
          </w:p>
        </w:tc>
        <w:tc>
          <w:tcPr>
            <w:tcW w:w="1559" w:type="dxa"/>
            <w:tcBorders>
              <w:top w:val="nil"/>
              <w:left w:val="nil"/>
              <w:bottom w:val="nil"/>
              <w:right w:val="nil"/>
            </w:tcBorders>
            <w:shd w:val="clear" w:color="000000" w:fill="FFFFFF"/>
            <w:vAlign w:val="center"/>
          </w:tcPr>
          <w:p w:rsidR="0096696E" w:rsidRPr="008F19EC" w:rsidRDefault="0096696E" w:rsidP="001A5BF9">
            <w:pPr>
              <w:spacing w:before="120" w:after="120"/>
              <w:jc w:val="right"/>
              <w:rPr>
                <w:rFonts w:cs="Arial"/>
                <w:sz w:val="16"/>
                <w:szCs w:val="16"/>
              </w:rPr>
            </w:pPr>
            <w:r w:rsidRPr="008F19EC">
              <w:rPr>
                <w:sz w:val="16"/>
              </w:rPr>
              <w:t xml:space="preserve">2 153 </w:t>
            </w:r>
          </w:p>
        </w:tc>
        <w:tc>
          <w:tcPr>
            <w:tcW w:w="1559" w:type="dxa"/>
            <w:tcBorders>
              <w:top w:val="nil"/>
              <w:left w:val="nil"/>
              <w:bottom w:val="nil"/>
              <w:right w:val="nil"/>
            </w:tcBorders>
            <w:shd w:val="clear" w:color="000000" w:fill="FFFFFF"/>
            <w:vAlign w:val="bottom"/>
          </w:tcPr>
          <w:p w:rsidR="0096696E" w:rsidRPr="008F19EC" w:rsidRDefault="0096696E" w:rsidP="001A5BF9">
            <w:pPr>
              <w:spacing w:before="120" w:after="120"/>
              <w:jc w:val="right"/>
              <w:rPr>
                <w:rFonts w:cs="Arial"/>
                <w:sz w:val="16"/>
                <w:szCs w:val="16"/>
              </w:rPr>
            </w:pPr>
            <w:r w:rsidRPr="008F19EC">
              <w:rPr>
                <w:sz w:val="16"/>
              </w:rPr>
              <w:t>2 806</w:t>
            </w:r>
          </w:p>
        </w:tc>
        <w:tc>
          <w:tcPr>
            <w:tcW w:w="1560" w:type="dxa"/>
            <w:tcBorders>
              <w:top w:val="nil"/>
              <w:left w:val="nil"/>
              <w:bottom w:val="nil"/>
              <w:right w:val="single" w:sz="4" w:space="0" w:color="auto"/>
            </w:tcBorders>
            <w:shd w:val="clear" w:color="000000" w:fill="FFFFFF"/>
            <w:vAlign w:val="bottom"/>
          </w:tcPr>
          <w:p w:rsidR="0096696E" w:rsidRPr="008F19EC" w:rsidRDefault="0096696E" w:rsidP="001A5BF9">
            <w:pPr>
              <w:spacing w:before="120" w:after="120"/>
              <w:jc w:val="right"/>
              <w:rPr>
                <w:rFonts w:cs="Arial"/>
                <w:sz w:val="16"/>
                <w:szCs w:val="16"/>
              </w:rPr>
            </w:pPr>
            <w:r w:rsidRPr="008F19EC">
              <w:rPr>
                <w:sz w:val="16"/>
              </w:rPr>
              <w:t>2 784</w:t>
            </w:r>
          </w:p>
        </w:tc>
      </w:tr>
      <w:tr w:rsidR="0096696E" w:rsidRPr="008F19EC" w:rsidTr="00BB3F3E">
        <w:tc>
          <w:tcPr>
            <w:tcW w:w="439" w:type="dxa"/>
            <w:tcBorders>
              <w:top w:val="nil"/>
              <w:left w:val="single" w:sz="4" w:space="0" w:color="auto"/>
              <w:bottom w:val="single" w:sz="4" w:space="0" w:color="auto"/>
              <w:right w:val="nil"/>
            </w:tcBorders>
            <w:shd w:val="clear" w:color="000000" w:fill="FFFFFF"/>
            <w:noWrap/>
          </w:tcPr>
          <w:p w:rsidR="0096696E" w:rsidRPr="008F19EC" w:rsidRDefault="0096696E" w:rsidP="001A5BF9">
            <w:pPr>
              <w:spacing w:before="120" w:after="120"/>
              <w:jc w:val="center"/>
              <w:rPr>
                <w:rFonts w:cs="Arial"/>
                <w:sz w:val="16"/>
                <w:szCs w:val="16"/>
              </w:rPr>
            </w:pPr>
            <w:proofErr w:type="spellStart"/>
            <w:r w:rsidRPr="008F19EC">
              <w:rPr>
                <w:sz w:val="16"/>
              </w:rPr>
              <w:t>II.7</w:t>
            </w:r>
            <w:proofErr w:type="spellEnd"/>
          </w:p>
        </w:tc>
        <w:tc>
          <w:tcPr>
            <w:tcW w:w="4244" w:type="dxa"/>
            <w:tcBorders>
              <w:top w:val="nil"/>
              <w:left w:val="nil"/>
              <w:bottom w:val="single" w:sz="4" w:space="0" w:color="auto"/>
              <w:right w:val="nil"/>
            </w:tcBorders>
            <w:shd w:val="clear" w:color="000000" w:fill="FFFFFF"/>
          </w:tcPr>
          <w:p w:rsidR="0096696E" w:rsidRPr="008F19EC" w:rsidRDefault="0096696E" w:rsidP="001A5BF9">
            <w:pPr>
              <w:spacing w:before="120" w:after="120"/>
              <w:rPr>
                <w:rFonts w:cs="Arial"/>
                <w:sz w:val="16"/>
                <w:szCs w:val="16"/>
              </w:rPr>
            </w:pPr>
            <w:r w:rsidRPr="008F19EC">
              <w:rPr>
                <w:sz w:val="16"/>
              </w:rPr>
              <w:t>Meilleure administration du système de La</w:t>
            </w:r>
            <w:r w:rsidR="0010442A" w:rsidRPr="008F19EC">
              <w:rPr>
                <w:sz w:val="16"/>
              </w:rPr>
              <w:t> </w:t>
            </w:r>
            <w:r w:rsidRPr="008F19EC">
              <w:rPr>
                <w:sz w:val="16"/>
              </w:rPr>
              <w:t>Haye</w:t>
            </w:r>
          </w:p>
        </w:tc>
        <w:tc>
          <w:tcPr>
            <w:tcW w:w="1559" w:type="dxa"/>
            <w:tcBorders>
              <w:top w:val="nil"/>
              <w:left w:val="nil"/>
              <w:bottom w:val="single" w:sz="4" w:space="0" w:color="auto"/>
              <w:right w:val="nil"/>
            </w:tcBorders>
            <w:shd w:val="clear" w:color="000000" w:fill="FFFFFF"/>
            <w:vAlign w:val="center"/>
          </w:tcPr>
          <w:p w:rsidR="0096696E" w:rsidRPr="008F19EC" w:rsidRDefault="0096696E" w:rsidP="001A5BF9">
            <w:pPr>
              <w:spacing w:before="120" w:after="120"/>
              <w:jc w:val="right"/>
              <w:rPr>
                <w:rFonts w:cs="Arial"/>
                <w:sz w:val="16"/>
                <w:szCs w:val="16"/>
              </w:rPr>
            </w:pPr>
            <w:r w:rsidRPr="008F19EC">
              <w:rPr>
                <w:sz w:val="16"/>
              </w:rPr>
              <w:t xml:space="preserve">2 633 </w:t>
            </w:r>
          </w:p>
        </w:tc>
        <w:tc>
          <w:tcPr>
            <w:tcW w:w="1559" w:type="dxa"/>
            <w:tcBorders>
              <w:top w:val="nil"/>
              <w:left w:val="nil"/>
              <w:bottom w:val="single" w:sz="4" w:space="0" w:color="auto"/>
              <w:right w:val="nil"/>
            </w:tcBorders>
            <w:shd w:val="clear" w:color="000000" w:fill="FFFFFF"/>
            <w:vAlign w:val="bottom"/>
          </w:tcPr>
          <w:p w:rsidR="0096696E" w:rsidRPr="008F19EC" w:rsidRDefault="0096696E" w:rsidP="001A5BF9">
            <w:pPr>
              <w:spacing w:before="120" w:after="120"/>
              <w:jc w:val="right"/>
              <w:rPr>
                <w:rFonts w:cs="Arial"/>
                <w:sz w:val="16"/>
                <w:szCs w:val="16"/>
              </w:rPr>
            </w:pPr>
            <w:r w:rsidRPr="008F19EC">
              <w:rPr>
                <w:sz w:val="16"/>
              </w:rPr>
              <w:t>2 630</w:t>
            </w:r>
          </w:p>
        </w:tc>
        <w:tc>
          <w:tcPr>
            <w:tcW w:w="1560" w:type="dxa"/>
            <w:tcBorders>
              <w:top w:val="nil"/>
              <w:left w:val="nil"/>
              <w:bottom w:val="single" w:sz="4" w:space="0" w:color="auto"/>
              <w:right w:val="single" w:sz="4" w:space="0" w:color="auto"/>
            </w:tcBorders>
            <w:shd w:val="clear" w:color="000000" w:fill="FFFFFF"/>
            <w:vAlign w:val="bottom"/>
          </w:tcPr>
          <w:p w:rsidR="0096696E" w:rsidRPr="008F19EC" w:rsidRDefault="0096696E" w:rsidP="001A5BF9">
            <w:pPr>
              <w:spacing w:before="120" w:after="120"/>
              <w:jc w:val="right"/>
              <w:rPr>
                <w:rFonts w:cs="Arial"/>
                <w:sz w:val="16"/>
                <w:szCs w:val="16"/>
              </w:rPr>
            </w:pPr>
            <w:r w:rsidRPr="008F19EC">
              <w:rPr>
                <w:sz w:val="16"/>
              </w:rPr>
              <w:t>2 413</w:t>
            </w:r>
          </w:p>
        </w:tc>
      </w:tr>
      <w:tr w:rsidR="0096696E" w:rsidRPr="008F19EC" w:rsidTr="00BB3F3E">
        <w:tc>
          <w:tcPr>
            <w:tcW w:w="439" w:type="dxa"/>
            <w:tcBorders>
              <w:top w:val="nil"/>
              <w:left w:val="single" w:sz="4" w:space="0" w:color="auto"/>
              <w:bottom w:val="single" w:sz="4" w:space="0" w:color="auto"/>
              <w:right w:val="nil"/>
            </w:tcBorders>
            <w:shd w:val="clear" w:color="000000" w:fill="CCFFFF"/>
            <w:noWrap/>
            <w:vAlign w:val="bottom"/>
          </w:tcPr>
          <w:p w:rsidR="0096696E" w:rsidRPr="008F19EC" w:rsidRDefault="0096696E" w:rsidP="001A5BF9">
            <w:pPr>
              <w:spacing w:before="120" w:after="120"/>
              <w:jc w:val="center"/>
              <w:rPr>
                <w:rFonts w:cs="Arial"/>
                <w:b/>
                <w:bCs/>
                <w:sz w:val="16"/>
                <w:szCs w:val="16"/>
              </w:rPr>
            </w:pPr>
            <w:r w:rsidRPr="008F19EC">
              <w:rPr>
                <w:b/>
                <w:sz w:val="16"/>
              </w:rPr>
              <w:t> </w:t>
            </w:r>
          </w:p>
        </w:tc>
        <w:tc>
          <w:tcPr>
            <w:tcW w:w="4244" w:type="dxa"/>
            <w:tcBorders>
              <w:top w:val="nil"/>
              <w:left w:val="nil"/>
              <w:bottom w:val="single" w:sz="4" w:space="0" w:color="auto"/>
              <w:right w:val="nil"/>
            </w:tcBorders>
            <w:shd w:val="clear" w:color="000000" w:fill="CCFFFF"/>
            <w:noWrap/>
            <w:vAlign w:val="center"/>
          </w:tcPr>
          <w:p w:rsidR="0096696E" w:rsidRPr="008F19EC" w:rsidRDefault="0096696E" w:rsidP="001A5BF9">
            <w:pPr>
              <w:spacing w:before="120" w:after="120"/>
              <w:rPr>
                <w:rFonts w:cs="Arial"/>
                <w:b/>
                <w:bCs/>
                <w:sz w:val="16"/>
                <w:szCs w:val="16"/>
              </w:rPr>
            </w:pPr>
            <w:r w:rsidRPr="008F19EC">
              <w:rPr>
                <w:b/>
                <w:sz w:val="16"/>
              </w:rPr>
              <w:t>Total</w:t>
            </w:r>
          </w:p>
        </w:tc>
        <w:tc>
          <w:tcPr>
            <w:tcW w:w="1559" w:type="dxa"/>
            <w:tcBorders>
              <w:top w:val="nil"/>
              <w:left w:val="single" w:sz="4" w:space="0" w:color="auto"/>
              <w:bottom w:val="single" w:sz="4" w:space="0" w:color="auto"/>
              <w:right w:val="single" w:sz="4" w:space="0" w:color="auto"/>
            </w:tcBorders>
            <w:shd w:val="clear" w:color="000000" w:fill="CCFFFF"/>
            <w:vAlign w:val="center"/>
          </w:tcPr>
          <w:p w:rsidR="0096696E" w:rsidRPr="008F19EC" w:rsidRDefault="0096696E" w:rsidP="001A5BF9">
            <w:pPr>
              <w:spacing w:before="120" w:after="120"/>
              <w:jc w:val="right"/>
              <w:rPr>
                <w:rFonts w:cs="Arial"/>
                <w:b/>
                <w:bCs/>
                <w:sz w:val="16"/>
                <w:szCs w:val="16"/>
              </w:rPr>
            </w:pPr>
            <w:r w:rsidRPr="008F19EC">
              <w:rPr>
                <w:b/>
                <w:sz w:val="16"/>
              </w:rPr>
              <w:t>6 970</w:t>
            </w:r>
          </w:p>
        </w:tc>
        <w:tc>
          <w:tcPr>
            <w:tcW w:w="1559" w:type="dxa"/>
            <w:tcBorders>
              <w:top w:val="nil"/>
              <w:left w:val="nil"/>
              <w:bottom w:val="single" w:sz="4" w:space="0" w:color="auto"/>
              <w:right w:val="single" w:sz="4" w:space="0" w:color="auto"/>
            </w:tcBorders>
            <w:shd w:val="clear" w:color="000000" w:fill="CCFFFF"/>
            <w:noWrap/>
            <w:vAlign w:val="center"/>
          </w:tcPr>
          <w:p w:rsidR="0096696E" w:rsidRPr="008F19EC" w:rsidRDefault="0096696E" w:rsidP="001A5BF9">
            <w:pPr>
              <w:spacing w:before="120" w:after="120"/>
              <w:jc w:val="right"/>
              <w:rPr>
                <w:rFonts w:cs="Arial"/>
                <w:b/>
                <w:bCs/>
                <w:sz w:val="16"/>
                <w:szCs w:val="16"/>
              </w:rPr>
            </w:pPr>
            <w:r w:rsidRPr="008F19EC">
              <w:rPr>
                <w:b/>
                <w:sz w:val="16"/>
              </w:rPr>
              <w:t>7 251</w:t>
            </w:r>
          </w:p>
        </w:tc>
        <w:tc>
          <w:tcPr>
            <w:tcW w:w="1560" w:type="dxa"/>
            <w:tcBorders>
              <w:top w:val="nil"/>
              <w:left w:val="nil"/>
              <w:bottom w:val="single" w:sz="4" w:space="0" w:color="auto"/>
              <w:right w:val="single" w:sz="4" w:space="0" w:color="auto"/>
            </w:tcBorders>
            <w:shd w:val="clear" w:color="000000" w:fill="CCFFFF"/>
            <w:vAlign w:val="center"/>
          </w:tcPr>
          <w:p w:rsidR="0096696E" w:rsidRPr="008F19EC" w:rsidRDefault="0096696E" w:rsidP="001A5BF9">
            <w:pPr>
              <w:spacing w:before="120" w:after="120"/>
              <w:jc w:val="right"/>
              <w:rPr>
                <w:rFonts w:cs="Arial"/>
                <w:b/>
                <w:bCs/>
                <w:sz w:val="16"/>
                <w:szCs w:val="16"/>
              </w:rPr>
            </w:pPr>
            <w:r w:rsidRPr="008F19EC">
              <w:rPr>
                <w:b/>
                <w:sz w:val="16"/>
              </w:rPr>
              <w:t>6 950</w:t>
            </w:r>
          </w:p>
        </w:tc>
      </w:tr>
    </w:tbl>
    <w:p w:rsidR="00D42474" w:rsidRDefault="00D42474" w:rsidP="001A5BF9">
      <w:pPr>
        <w:rPr>
          <w:rFonts w:cs="Arial"/>
          <w:szCs w:val="20"/>
        </w:rPr>
      </w:pPr>
    </w:p>
    <w:p w:rsidR="00D42474" w:rsidRDefault="00D42474" w:rsidP="001A5BF9">
      <w:pPr>
        <w:rPr>
          <w:rFonts w:cs="Arial"/>
          <w:szCs w:val="20"/>
        </w:rPr>
      </w:pPr>
    </w:p>
    <w:p w:rsidR="00D42474" w:rsidRDefault="008F19EC">
      <w:pPr>
        <w:rPr>
          <w:rFonts w:cs="Arial"/>
          <w:color w:val="000000"/>
          <w:szCs w:val="18"/>
        </w:rPr>
      </w:pPr>
      <w:r>
        <w:rPr>
          <w:color w:val="000000"/>
        </w:rPr>
        <w:br w:type="page"/>
      </w:r>
    </w:p>
    <w:p w:rsidR="00D42474" w:rsidRDefault="0096696E" w:rsidP="001A5BF9">
      <w:pPr>
        <w:pStyle w:val="NormalWeb"/>
        <w:spacing w:before="0" w:beforeAutospacing="0" w:after="0" w:afterAutospacing="0"/>
        <w:jc w:val="center"/>
        <w:rPr>
          <w:sz w:val="20"/>
        </w:rPr>
      </w:pPr>
      <w:r w:rsidRPr="008F19EC">
        <w:rPr>
          <w:sz w:val="20"/>
        </w:rPr>
        <w:t xml:space="preserve">Budget et dépenses effectives (dépenses de </w:t>
      </w:r>
      <w:proofErr w:type="gramStart"/>
      <w:r w:rsidRPr="008F19EC">
        <w:rPr>
          <w:sz w:val="20"/>
        </w:rPr>
        <w:t>personnel et autres dépenses</w:t>
      </w:r>
      <w:proofErr w:type="gramEnd"/>
      <w:r w:rsidRPr="008F19EC">
        <w:rPr>
          <w:sz w:val="20"/>
        </w:rPr>
        <w:t>)</w:t>
      </w:r>
    </w:p>
    <w:p w:rsidR="00D42474" w:rsidRDefault="0096696E" w:rsidP="001A5BF9">
      <w:pPr>
        <w:pStyle w:val="NormalWeb"/>
        <w:spacing w:before="0" w:beforeAutospacing="0" w:after="0" w:afterAutospacing="0"/>
        <w:jc w:val="center"/>
        <w:rPr>
          <w:i/>
          <w:iCs/>
          <w:sz w:val="20"/>
          <w:szCs w:val="20"/>
        </w:rPr>
      </w:pPr>
      <w:r w:rsidRPr="008F19EC">
        <w:rPr>
          <w:i/>
          <w:sz w:val="20"/>
        </w:rPr>
        <w:t>(</w:t>
      </w:r>
      <w:proofErr w:type="gramStart"/>
      <w:r w:rsidRPr="008F19EC">
        <w:rPr>
          <w:i/>
          <w:sz w:val="20"/>
        </w:rPr>
        <w:t>en</w:t>
      </w:r>
      <w:proofErr w:type="gramEnd"/>
      <w:r w:rsidRPr="008F19EC">
        <w:rPr>
          <w:i/>
          <w:sz w:val="20"/>
        </w:rPr>
        <w:t xml:space="preserve"> milliers de francs suisses)</w:t>
      </w:r>
    </w:p>
    <w:p w:rsidR="0096696E" w:rsidRPr="008F19EC" w:rsidRDefault="0096696E" w:rsidP="001A5BF9">
      <w:pPr>
        <w:pStyle w:val="NormalWeb"/>
        <w:spacing w:before="0" w:beforeAutospacing="0" w:after="0" w:afterAutospacing="0"/>
        <w:jc w:val="center"/>
      </w:pPr>
    </w:p>
    <w:tbl>
      <w:tblPr>
        <w:tblW w:w="0" w:type="auto"/>
        <w:tblInd w:w="93" w:type="dxa"/>
        <w:tblLook w:val="04A0" w:firstRow="1" w:lastRow="0" w:firstColumn="1" w:lastColumn="0" w:noHBand="0" w:noVBand="1"/>
      </w:tblPr>
      <w:tblGrid>
        <w:gridCol w:w="2425"/>
        <w:gridCol w:w="1736"/>
        <w:gridCol w:w="1737"/>
        <w:gridCol w:w="1736"/>
        <w:gridCol w:w="1737"/>
      </w:tblGrid>
      <w:tr w:rsidR="0096696E" w:rsidRPr="008F19EC" w:rsidTr="00BB3F3E">
        <w:tc>
          <w:tcPr>
            <w:tcW w:w="2425"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8F19EC" w:rsidRDefault="0096696E" w:rsidP="001A5BF9">
            <w:pPr>
              <w:spacing w:before="120" w:after="120"/>
              <w:rPr>
                <w:rFonts w:cs="Arial"/>
                <w:sz w:val="16"/>
                <w:szCs w:val="16"/>
              </w:rPr>
            </w:pPr>
            <w:r w:rsidRPr="008F19EC">
              <w:rPr>
                <w:sz w:val="16"/>
              </w:rPr>
              <w:t> </w:t>
            </w:r>
          </w:p>
        </w:tc>
        <w:tc>
          <w:tcPr>
            <w:tcW w:w="1736" w:type="dxa"/>
            <w:tcBorders>
              <w:top w:val="single" w:sz="4" w:space="0" w:color="auto"/>
              <w:left w:val="nil"/>
              <w:bottom w:val="nil"/>
              <w:right w:val="single" w:sz="4" w:space="0" w:color="auto"/>
            </w:tcBorders>
            <w:shd w:val="clear" w:color="000000" w:fill="CCFFFF"/>
            <w:vAlign w:val="center"/>
          </w:tcPr>
          <w:p w:rsidR="0096696E" w:rsidRPr="008F19EC" w:rsidRDefault="0096696E" w:rsidP="001A5BF9">
            <w:pPr>
              <w:spacing w:before="120" w:after="120"/>
              <w:jc w:val="center"/>
              <w:rPr>
                <w:rFonts w:cs="Arial"/>
                <w:bCs/>
                <w:sz w:val="16"/>
                <w:szCs w:val="16"/>
              </w:rPr>
            </w:pPr>
            <w:r w:rsidRPr="008F19EC">
              <w:rPr>
                <w:sz w:val="16"/>
              </w:rPr>
              <w:t>Budget</w:t>
            </w:r>
            <w:r w:rsidRPr="008F19EC">
              <w:br/>
            </w:r>
            <w:r w:rsidRPr="008F19EC">
              <w:rPr>
                <w:sz w:val="16"/>
              </w:rPr>
              <w:t>2012</w:t>
            </w:r>
            <w:r w:rsidR="002D6F2A" w:rsidRPr="008F19EC">
              <w:rPr>
                <w:sz w:val="16"/>
              </w:rPr>
              <w:noBreakHyphen/>
            </w:r>
            <w:r w:rsidRPr="008F19EC">
              <w:rPr>
                <w:sz w:val="16"/>
              </w:rPr>
              <w:t>2013</w:t>
            </w:r>
            <w:r w:rsidRPr="008F19EC">
              <w:br/>
            </w:r>
            <w:r w:rsidRPr="008F19EC">
              <w:rPr>
                <w:sz w:val="16"/>
              </w:rPr>
              <w:t>approuvé</w:t>
            </w:r>
          </w:p>
        </w:tc>
        <w:tc>
          <w:tcPr>
            <w:tcW w:w="1737" w:type="dxa"/>
            <w:tcBorders>
              <w:top w:val="single" w:sz="4" w:space="0" w:color="auto"/>
              <w:left w:val="nil"/>
              <w:bottom w:val="nil"/>
              <w:right w:val="single" w:sz="4" w:space="0" w:color="auto"/>
            </w:tcBorders>
            <w:shd w:val="clear" w:color="000000" w:fill="CCFFFF"/>
            <w:vAlign w:val="center"/>
          </w:tcPr>
          <w:p w:rsidR="0096696E" w:rsidRPr="008F19EC" w:rsidRDefault="0096696E" w:rsidP="001A5BF9">
            <w:pPr>
              <w:spacing w:before="120" w:after="120"/>
              <w:jc w:val="center"/>
              <w:rPr>
                <w:rFonts w:cs="Arial"/>
                <w:bCs/>
                <w:sz w:val="16"/>
                <w:szCs w:val="16"/>
              </w:rPr>
            </w:pPr>
            <w:r w:rsidRPr="008F19EC">
              <w:rPr>
                <w:sz w:val="16"/>
              </w:rPr>
              <w:t>Budget</w:t>
            </w:r>
            <w:r w:rsidRPr="008F19EC">
              <w:br/>
            </w:r>
            <w:r w:rsidRPr="008F19EC">
              <w:rPr>
                <w:sz w:val="16"/>
              </w:rPr>
              <w:t>2012</w:t>
            </w:r>
            <w:r w:rsidR="002D6F2A" w:rsidRPr="008F19EC">
              <w:rPr>
                <w:sz w:val="16"/>
              </w:rPr>
              <w:noBreakHyphen/>
            </w:r>
            <w:r w:rsidRPr="008F19EC">
              <w:rPr>
                <w:sz w:val="16"/>
              </w:rPr>
              <w:t>2013</w:t>
            </w:r>
            <w:r w:rsidRPr="008F19EC">
              <w:br/>
            </w:r>
            <w:r w:rsidRPr="008F19EC">
              <w:rPr>
                <w:sz w:val="16"/>
              </w:rPr>
              <w:t>après virements</w:t>
            </w:r>
          </w:p>
        </w:tc>
        <w:tc>
          <w:tcPr>
            <w:tcW w:w="1736" w:type="dxa"/>
            <w:tcBorders>
              <w:top w:val="single" w:sz="4" w:space="0" w:color="auto"/>
              <w:left w:val="nil"/>
              <w:bottom w:val="nil"/>
              <w:right w:val="single" w:sz="4" w:space="0" w:color="auto"/>
            </w:tcBorders>
            <w:shd w:val="clear" w:color="000000" w:fill="CCFFFF"/>
            <w:vAlign w:val="center"/>
          </w:tcPr>
          <w:p w:rsidR="0096696E" w:rsidRPr="008F19EC" w:rsidRDefault="0096696E" w:rsidP="001A5BF9">
            <w:pPr>
              <w:spacing w:before="120" w:after="120"/>
              <w:jc w:val="center"/>
              <w:rPr>
                <w:rFonts w:cs="Arial"/>
                <w:bCs/>
                <w:sz w:val="16"/>
                <w:szCs w:val="16"/>
              </w:rPr>
            </w:pPr>
            <w:r w:rsidRPr="008F19EC">
              <w:rPr>
                <w:sz w:val="16"/>
              </w:rPr>
              <w:t>Dépenses</w:t>
            </w:r>
            <w:r w:rsidRPr="008F19EC">
              <w:br/>
            </w:r>
            <w:r w:rsidRPr="008F19EC">
              <w:rPr>
                <w:sz w:val="16"/>
              </w:rPr>
              <w:t>2012</w:t>
            </w:r>
            <w:r w:rsidR="002D6F2A" w:rsidRPr="008F19EC">
              <w:rPr>
                <w:sz w:val="16"/>
              </w:rPr>
              <w:noBreakHyphen/>
            </w:r>
            <w:r w:rsidRPr="008F19EC">
              <w:rPr>
                <w:sz w:val="16"/>
              </w:rPr>
              <w:t>2013</w:t>
            </w:r>
          </w:p>
        </w:tc>
        <w:tc>
          <w:tcPr>
            <w:tcW w:w="1737" w:type="dxa"/>
            <w:tcBorders>
              <w:top w:val="single" w:sz="4" w:space="0" w:color="auto"/>
              <w:left w:val="nil"/>
              <w:bottom w:val="nil"/>
              <w:right w:val="single" w:sz="4" w:space="0" w:color="auto"/>
            </w:tcBorders>
            <w:shd w:val="clear" w:color="000000" w:fill="CCFFFF"/>
            <w:vAlign w:val="center"/>
          </w:tcPr>
          <w:p w:rsidR="0096696E" w:rsidRPr="008F19EC" w:rsidRDefault="0096696E" w:rsidP="001A5BF9">
            <w:pPr>
              <w:spacing w:before="120" w:after="120"/>
              <w:jc w:val="center"/>
              <w:rPr>
                <w:rFonts w:cs="Arial"/>
                <w:bCs/>
                <w:sz w:val="16"/>
                <w:szCs w:val="16"/>
              </w:rPr>
            </w:pPr>
            <w:r w:rsidRPr="008F19EC">
              <w:rPr>
                <w:sz w:val="16"/>
              </w:rPr>
              <w:t>Taux d</w:t>
            </w:r>
            <w:r w:rsidR="00A20444" w:rsidRPr="008F19EC">
              <w:rPr>
                <w:sz w:val="16"/>
              </w:rPr>
              <w:t>’</w:t>
            </w:r>
            <w:r w:rsidRPr="008F19EC">
              <w:rPr>
                <w:sz w:val="16"/>
              </w:rPr>
              <w:t xml:space="preserve">utilisation </w:t>
            </w:r>
            <w:r w:rsidR="00BD43F2" w:rsidRPr="008F19EC">
              <w:rPr>
                <w:sz w:val="16"/>
              </w:rPr>
              <w:t>(</w:t>
            </w:r>
            <w:r w:rsidR="007E442D" w:rsidRPr="008F19EC">
              <w:rPr>
                <w:sz w:val="16"/>
              </w:rPr>
              <w:t>%</w:t>
            </w:r>
            <w:r w:rsidRPr="008F19EC">
              <w:rPr>
                <w:sz w:val="16"/>
              </w:rPr>
              <w:t>)</w:t>
            </w:r>
          </w:p>
        </w:tc>
      </w:tr>
      <w:tr w:rsidR="0096696E" w:rsidRPr="008F19EC" w:rsidTr="00BB3F3E">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8F19EC" w:rsidRDefault="0096696E" w:rsidP="001A5BF9">
            <w:pPr>
              <w:spacing w:before="120" w:after="120"/>
              <w:rPr>
                <w:rFonts w:cs="Arial"/>
                <w:sz w:val="16"/>
                <w:szCs w:val="16"/>
              </w:rPr>
            </w:pPr>
            <w:r w:rsidRPr="008F19EC">
              <w:rPr>
                <w:sz w:val="16"/>
              </w:rPr>
              <w:t>Dépenses de personnel</w:t>
            </w:r>
            <w:r w:rsidR="004F3E42" w:rsidRPr="008F19EC">
              <w:rPr>
                <w:sz w:val="16"/>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sz w:val="16"/>
                <w:szCs w:val="16"/>
              </w:rPr>
            </w:pPr>
            <w:r w:rsidRPr="008F19EC">
              <w:rPr>
                <w:sz w:val="16"/>
              </w:rPr>
              <w:t>5 373</w:t>
            </w:r>
          </w:p>
        </w:tc>
        <w:tc>
          <w:tcPr>
            <w:tcW w:w="1737" w:type="dxa"/>
            <w:tcBorders>
              <w:top w:val="single" w:sz="4" w:space="0" w:color="auto"/>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sz w:val="16"/>
                <w:szCs w:val="16"/>
              </w:rPr>
            </w:pPr>
            <w:r w:rsidRPr="008F19EC">
              <w:rPr>
                <w:sz w:val="16"/>
              </w:rPr>
              <w:t>5 814</w:t>
            </w:r>
          </w:p>
        </w:tc>
        <w:tc>
          <w:tcPr>
            <w:tcW w:w="1736" w:type="dxa"/>
            <w:tcBorders>
              <w:top w:val="single" w:sz="4" w:space="0" w:color="auto"/>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sz w:val="16"/>
                <w:szCs w:val="16"/>
              </w:rPr>
            </w:pPr>
            <w:r w:rsidRPr="008F19EC">
              <w:rPr>
                <w:sz w:val="16"/>
              </w:rPr>
              <w:t>5 814</w:t>
            </w:r>
          </w:p>
        </w:tc>
        <w:tc>
          <w:tcPr>
            <w:tcW w:w="1737" w:type="dxa"/>
            <w:tcBorders>
              <w:top w:val="single" w:sz="4" w:space="0" w:color="auto"/>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sz w:val="16"/>
                <w:szCs w:val="16"/>
              </w:rPr>
            </w:pPr>
            <w:r w:rsidRPr="008F19EC">
              <w:rPr>
                <w:sz w:val="16"/>
              </w:rPr>
              <w:t>100</w:t>
            </w:r>
            <w:r w:rsidR="007E442D" w:rsidRPr="008F19EC">
              <w:rPr>
                <w:sz w:val="16"/>
              </w:rPr>
              <w:t>%</w:t>
            </w:r>
          </w:p>
        </w:tc>
      </w:tr>
      <w:tr w:rsidR="0096696E" w:rsidRPr="008F19EC" w:rsidTr="00BB3F3E">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8F19EC" w:rsidRDefault="0096696E" w:rsidP="001A5BF9">
            <w:pPr>
              <w:spacing w:before="120" w:after="120"/>
              <w:rPr>
                <w:rFonts w:cs="Arial"/>
                <w:sz w:val="16"/>
                <w:szCs w:val="16"/>
              </w:rPr>
            </w:pPr>
            <w:r w:rsidRPr="008F19EC">
              <w:rPr>
                <w:sz w:val="16"/>
              </w:rPr>
              <w:t xml:space="preserve">Autres dépenses </w:t>
            </w:r>
          </w:p>
        </w:tc>
        <w:tc>
          <w:tcPr>
            <w:tcW w:w="1736"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sz w:val="16"/>
                <w:szCs w:val="16"/>
              </w:rPr>
            </w:pPr>
            <w:r w:rsidRPr="008F19EC">
              <w:rPr>
                <w:sz w:val="16"/>
              </w:rPr>
              <w:t>1 597</w:t>
            </w:r>
          </w:p>
        </w:tc>
        <w:tc>
          <w:tcPr>
            <w:tcW w:w="1737"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sz w:val="16"/>
                <w:szCs w:val="16"/>
              </w:rPr>
            </w:pPr>
            <w:r w:rsidRPr="008F19EC">
              <w:rPr>
                <w:sz w:val="16"/>
              </w:rPr>
              <w:t>1 437</w:t>
            </w:r>
          </w:p>
        </w:tc>
        <w:tc>
          <w:tcPr>
            <w:tcW w:w="1736"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sz w:val="16"/>
                <w:szCs w:val="16"/>
              </w:rPr>
            </w:pPr>
            <w:r w:rsidRPr="008F19EC">
              <w:rPr>
                <w:sz w:val="16"/>
              </w:rPr>
              <w:t>1 136</w:t>
            </w:r>
          </w:p>
        </w:tc>
        <w:tc>
          <w:tcPr>
            <w:tcW w:w="1737"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sz w:val="16"/>
                <w:szCs w:val="16"/>
              </w:rPr>
            </w:pPr>
            <w:r w:rsidRPr="008F19EC">
              <w:rPr>
                <w:sz w:val="16"/>
              </w:rPr>
              <w:t>79</w:t>
            </w:r>
            <w:r w:rsidR="007E442D" w:rsidRPr="008F19EC">
              <w:rPr>
                <w:sz w:val="16"/>
              </w:rPr>
              <w:t>%</w:t>
            </w:r>
          </w:p>
        </w:tc>
      </w:tr>
      <w:tr w:rsidR="0096696E" w:rsidRPr="008F19EC" w:rsidTr="00BB3F3E">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8F19EC" w:rsidRDefault="0096696E" w:rsidP="001A5BF9">
            <w:pPr>
              <w:spacing w:before="120" w:after="120"/>
              <w:jc w:val="right"/>
              <w:rPr>
                <w:rFonts w:cs="Arial"/>
                <w:b/>
                <w:bCs/>
                <w:sz w:val="16"/>
                <w:szCs w:val="16"/>
              </w:rPr>
            </w:pPr>
            <w:r w:rsidRPr="008F19EC">
              <w:rPr>
                <w:b/>
                <w:sz w:val="16"/>
              </w:rPr>
              <w:t xml:space="preserve">TOTAL </w:t>
            </w:r>
          </w:p>
        </w:tc>
        <w:tc>
          <w:tcPr>
            <w:tcW w:w="1736"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b/>
                <w:bCs/>
                <w:sz w:val="16"/>
                <w:szCs w:val="16"/>
              </w:rPr>
            </w:pPr>
            <w:r w:rsidRPr="008F19EC">
              <w:rPr>
                <w:b/>
                <w:sz w:val="16"/>
              </w:rPr>
              <w:t>6 970</w:t>
            </w:r>
          </w:p>
        </w:tc>
        <w:tc>
          <w:tcPr>
            <w:tcW w:w="1737"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b/>
                <w:bCs/>
                <w:sz w:val="16"/>
                <w:szCs w:val="16"/>
              </w:rPr>
            </w:pPr>
            <w:r w:rsidRPr="008F19EC">
              <w:rPr>
                <w:b/>
                <w:sz w:val="16"/>
              </w:rPr>
              <w:t>7 251</w:t>
            </w:r>
          </w:p>
        </w:tc>
        <w:tc>
          <w:tcPr>
            <w:tcW w:w="1736"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b/>
                <w:bCs/>
                <w:sz w:val="16"/>
                <w:szCs w:val="16"/>
              </w:rPr>
            </w:pPr>
            <w:r w:rsidRPr="008F19EC">
              <w:rPr>
                <w:b/>
                <w:sz w:val="16"/>
              </w:rPr>
              <w:t>6 950</w:t>
            </w:r>
          </w:p>
        </w:tc>
        <w:tc>
          <w:tcPr>
            <w:tcW w:w="1737"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spacing w:before="120" w:after="120"/>
              <w:jc w:val="center"/>
              <w:rPr>
                <w:rFonts w:cs="Arial"/>
                <w:b/>
                <w:bCs/>
                <w:sz w:val="16"/>
                <w:szCs w:val="16"/>
              </w:rPr>
            </w:pPr>
            <w:r w:rsidRPr="008F19EC">
              <w:rPr>
                <w:b/>
                <w:sz w:val="16"/>
              </w:rPr>
              <w:t>96</w:t>
            </w:r>
            <w:r w:rsidR="007E442D" w:rsidRPr="008F19EC">
              <w:rPr>
                <w:b/>
                <w:sz w:val="16"/>
              </w:rPr>
              <w:t>%</w:t>
            </w:r>
          </w:p>
        </w:tc>
      </w:tr>
    </w:tbl>
    <w:p w:rsidR="00D42474" w:rsidRDefault="00D42474" w:rsidP="001A5BF9">
      <w:pPr>
        <w:rPr>
          <w:rFonts w:cs="Arial"/>
          <w:szCs w:val="20"/>
        </w:rPr>
      </w:pPr>
    </w:p>
    <w:p w:rsidR="00D42474" w:rsidRDefault="0096696E" w:rsidP="001A5BF9">
      <w:pPr>
        <w:keepNext/>
        <w:autoSpaceDE w:val="0"/>
        <w:autoSpaceDN w:val="0"/>
        <w:rPr>
          <w:rFonts w:cs="Arial"/>
          <w:sz w:val="16"/>
          <w:szCs w:val="16"/>
        </w:rPr>
      </w:pPr>
      <w:proofErr w:type="gramStart"/>
      <w:r w:rsidRPr="008F19EC">
        <w:rPr>
          <w:sz w:val="16"/>
        </w:rPr>
        <w:t>NOTES</w:t>
      </w:r>
      <w:proofErr w:type="gramEnd"/>
      <w:r w:rsidR="0010442A" w:rsidRPr="008F19EC">
        <w:rPr>
          <w:sz w:val="16"/>
        </w:rPr>
        <w:t> </w:t>
      </w:r>
      <w:r w:rsidRPr="008F19EC">
        <w:rPr>
          <w:sz w:val="16"/>
        </w:rPr>
        <w:t>:</w:t>
      </w:r>
    </w:p>
    <w:p w:rsidR="00D42474" w:rsidRDefault="00D42474" w:rsidP="001A5BF9">
      <w:pPr>
        <w:keepNext/>
        <w:autoSpaceDE w:val="0"/>
        <w:autoSpaceDN w:val="0"/>
        <w:rPr>
          <w:rFonts w:cs="Arial"/>
          <w:sz w:val="16"/>
          <w:szCs w:val="16"/>
        </w:rPr>
      </w:pPr>
    </w:p>
    <w:p w:rsidR="00D42474" w:rsidRDefault="0096696E" w:rsidP="001A5BF9">
      <w:pPr>
        <w:keepNext/>
        <w:autoSpaceDE w:val="0"/>
        <w:autoSpaceDN w:val="0"/>
        <w:rPr>
          <w:rFonts w:cs="Arial"/>
          <w:sz w:val="16"/>
          <w:szCs w:val="16"/>
        </w:rPr>
      </w:pPr>
      <w:r w:rsidRPr="008F19EC">
        <w:rPr>
          <w:sz w:val="16"/>
        </w:rPr>
        <w:t>1)</w:t>
      </w:r>
      <w:r w:rsidR="004F3E42" w:rsidRPr="008F19EC">
        <w:rPr>
          <w:sz w:val="16"/>
        </w:rPr>
        <w:t xml:space="preserve"> </w:t>
      </w:r>
      <w:r w:rsidR="008F19EC">
        <w:rPr>
          <w:sz w:val="16"/>
        </w:rPr>
        <w:tab/>
      </w:r>
      <w:r w:rsidRPr="008F19EC">
        <w:rPr>
          <w:sz w:val="16"/>
        </w:rPr>
        <w:t>Le budget restructuré après virements tient compte du budget ajusté des programmes après les virements réalisés au cours de l</w:t>
      </w:r>
      <w:r w:rsidR="00A20444" w:rsidRPr="008F19EC">
        <w:rPr>
          <w:sz w:val="16"/>
        </w:rPr>
        <w:t>’</w:t>
      </w:r>
      <w:r w:rsidRPr="008F19EC">
        <w:rPr>
          <w:sz w:val="16"/>
        </w:rPr>
        <w:t>exercice 2012</w:t>
      </w:r>
      <w:r w:rsidR="002D6F2A" w:rsidRPr="008F19EC">
        <w:rPr>
          <w:sz w:val="16"/>
        </w:rPr>
        <w:noBreakHyphen/>
      </w:r>
      <w:r w:rsidRPr="008F19EC">
        <w:rPr>
          <w:sz w:val="16"/>
        </w:rPr>
        <w:t xml:space="preserve">2013, conformément à </w:t>
      </w:r>
      <w:r w:rsidR="00E15133" w:rsidRPr="008F19EC">
        <w:rPr>
          <w:sz w:val="16"/>
        </w:rPr>
        <w:t>l</w:t>
      </w:r>
      <w:r w:rsidR="00A20444" w:rsidRPr="008F19EC">
        <w:rPr>
          <w:sz w:val="16"/>
        </w:rPr>
        <w:t>’</w:t>
      </w:r>
      <w:r w:rsidR="00E15133" w:rsidRPr="008F19EC">
        <w:rPr>
          <w:sz w:val="16"/>
        </w:rPr>
        <w:t>article 5.5</w:t>
      </w:r>
      <w:r w:rsidRPr="008F19EC">
        <w:rPr>
          <w:sz w:val="16"/>
        </w:rPr>
        <w:t xml:space="preserve"> du règlement d</w:t>
      </w:r>
      <w:r w:rsidR="00A20444" w:rsidRPr="008F19EC">
        <w:rPr>
          <w:sz w:val="16"/>
        </w:rPr>
        <w:t>’</w:t>
      </w:r>
      <w:r w:rsidRPr="008F19EC">
        <w:rPr>
          <w:sz w:val="16"/>
        </w:rPr>
        <w:t>exécution du Règlement financier.</w:t>
      </w:r>
    </w:p>
    <w:p w:rsidR="00D42474" w:rsidRDefault="00D42474" w:rsidP="001A5BF9">
      <w:pPr>
        <w:keepNext/>
        <w:autoSpaceDE w:val="0"/>
        <w:autoSpaceDN w:val="0"/>
        <w:rPr>
          <w:rFonts w:cs="Arial"/>
          <w:sz w:val="16"/>
          <w:szCs w:val="16"/>
        </w:rPr>
      </w:pPr>
    </w:p>
    <w:p w:rsidR="00D42474" w:rsidRDefault="0096696E" w:rsidP="001A5BF9">
      <w:pPr>
        <w:keepNext/>
        <w:autoSpaceDE w:val="0"/>
        <w:autoSpaceDN w:val="0"/>
        <w:rPr>
          <w:sz w:val="16"/>
        </w:rPr>
      </w:pPr>
      <w:r w:rsidRPr="008F19EC">
        <w:rPr>
          <w:sz w:val="16"/>
        </w:rPr>
        <w:t>2)</w:t>
      </w:r>
      <w:r w:rsidR="008F19EC">
        <w:rPr>
          <w:sz w:val="16"/>
        </w:rPr>
        <w:tab/>
      </w:r>
      <w:r w:rsidRPr="008F19EC">
        <w:rPr>
          <w:sz w:val="16"/>
        </w:rPr>
        <w:t>Les dépenses de personnel indiquées dans le budget de l</w:t>
      </w:r>
      <w:r w:rsidR="00A20444" w:rsidRPr="008F19EC">
        <w:rPr>
          <w:sz w:val="16"/>
        </w:rPr>
        <w:t>’</w:t>
      </w:r>
      <w:r w:rsidRPr="008F19EC">
        <w:rPr>
          <w:sz w:val="16"/>
        </w:rPr>
        <w:t>exercice 2012</w:t>
      </w:r>
      <w:r w:rsidR="002D6F2A" w:rsidRPr="008F19EC">
        <w:rPr>
          <w:sz w:val="16"/>
        </w:rPr>
        <w:noBreakHyphen/>
      </w:r>
      <w:r w:rsidRPr="008F19EC">
        <w:rPr>
          <w:sz w:val="16"/>
        </w:rPr>
        <w:t>2013 après virements représentent les dépenses réelles engagées pendant l</w:t>
      </w:r>
      <w:r w:rsidR="00A20444" w:rsidRPr="008F19EC">
        <w:rPr>
          <w:sz w:val="16"/>
        </w:rPr>
        <w:t>’</w:t>
      </w:r>
      <w:r w:rsidRPr="008F19EC">
        <w:rPr>
          <w:sz w:val="16"/>
        </w:rPr>
        <w:t>exercice biennal.</w:t>
      </w:r>
    </w:p>
    <w:p w:rsidR="00D42474" w:rsidRDefault="00D42474" w:rsidP="001A5BF9">
      <w:pPr>
        <w:keepNext/>
        <w:autoSpaceDE w:val="0"/>
        <w:autoSpaceDN w:val="0"/>
        <w:rPr>
          <w:sz w:val="16"/>
          <w:szCs w:val="16"/>
        </w:rPr>
      </w:pPr>
    </w:p>
    <w:p w:rsidR="00D42474" w:rsidRDefault="00D42474" w:rsidP="001A5BF9">
      <w:pPr>
        <w:rPr>
          <w:rFonts w:cs="Arial"/>
          <w:szCs w:val="20"/>
        </w:rPr>
      </w:pPr>
    </w:p>
    <w:p w:rsidR="00D42474" w:rsidRDefault="0096696E" w:rsidP="001A5BF9">
      <w:pPr>
        <w:tabs>
          <w:tab w:val="left" w:pos="709"/>
        </w:tabs>
        <w:rPr>
          <w:u w:val="single"/>
        </w:rPr>
      </w:pPr>
      <w:r w:rsidRPr="008F19EC">
        <w:t>A.</w:t>
      </w:r>
      <w:r w:rsidRPr="008F19EC">
        <w:tab/>
      </w:r>
      <w:r w:rsidRPr="005C7CCE">
        <w:rPr>
          <w:u w:val="single"/>
        </w:rPr>
        <w:t>Budget 2012</w:t>
      </w:r>
      <w:r w:rsidR="002D6F2A" w:rsidRPr="005C7CCE">
        <w:rPr>
          <w:u w:val="single"/>
        </w:rPr>
        <w:noBreakHyphen/>
      </w:r>
      <w:r w:rsidRPr="005C7CCE">
        <w:rPr>
          <w:u w:val="single"/>
        </w:rPr>
        <w:t>2013 après virements</w:t>
      </w:r>
    </w:p>
    <w:p w:rsidR="00D42474" w:rsidRDefault="00D42474" w:rsidP="001A5BF9">
      <w:pPr>
        <w:tabs>
          <w:tab w:val="left" w:pos="709"/>
        </w:tabs>
        <w:rPr>
          <w:rFonts w:cs="Arial"/>
          <w:szCs w:val="20"/>
        </w:rPr>
      </w:pPr>
    </w:p>
    <w:p w:rsidR="00D42474" w:rsidRDefault="0096696E" w:rsidP="001A5BF9">
      <w:pPr>
        <w:tabs>
          <w:tab w:val="left" w:pos="709"/>
        </w:tabs>
        <w:jc w:val="both"/>
        <w:rPr>
          <w:rFonts w:cs="Arial"/>
          <w:iCs/>
          <w:szCs w:val="20"/>
        </w:rPr>
      </w:pPr>
      <w:r w:rsidRPr="005C7CCE">
        <w:t>31.6.</w:t>
      </w:r>
      <w:r w:rsidRPr="005C7CCE">
        <w:tab/>
        <w:t>Le Budget après virements traduit une hausse générale des ajustements due à : i) une augmentation des ressources en personnel affectées aux activités d</w:t>
      </w:r>
      <w:r w:rsidR="00A20444" w:rsidRPr="005C7CCE">
        <w:t>’</w:t>
      </w:r>
      <w:r w:rsidRPr="005C7CCE">
        <w:t xml:space="preserve">information et de promotion en relation avec le système de La Haye. </w:t>
      </w:r>
      <w:r w:rsidR="0010442A" w:rsidRPr="005C7CCE">
        <w:t xml:space="preserve"> </w:t>
      </w:r>
      <w:r w:rsidRPr="005C7CCE">
        <w:t>C</w:t>
      </w:r>
      <w:r w:rsidR="00A20444" w:rsidRPr="005C7CCE">
        <w:t>’</w:t>
      </w:r>
      <w:r w:rsidRPr="005C7CCE">
        <w:t>est ce que reflète le résultat </w:t>
      </w:r>
      <w:proofErr w:type="spellStart"/>
      <w:r w:rsidRPr="005C7CCE">
        <w:t>II.6</w:t>
      </w:r>
      <w:proofErr w:type="spellEnd"/>
      <w:r w:rsidRPr="005C7CCE">
        <w:t xml:space="preserve"> (Utilisation plus fréquente et </w:t>
      </w:r>
      <w:r w:rsidRPr="008F19EC">
        <w:t>améliorée du système de La Haye);</w:t>
      </w:r>
      <w:r w:rsidR="004F3E42" w:rsidRPr="008F19EC">
        <w:t xml:space="preserve"> </w:t>
      </w:r>
      <w:r w:rsidR="0010442A" w:rsidRPr="008F19EC">
        <w:t xml:space="preserve"> </w:t>
      </w:r>
      <w:r w:rsidRPr="008F19EC">
        <w:t>ii) l</w:t>
      </w:r>
      <w:r w:rsidR="00A20444" w:rsidRPr="008F19EC">
        <w:t>’</w:t>
      </w:r>
      <w:r w:rsidRPr="008F19EC">
        <w:t>engagement de l</w:t>
      </w:r>
      <w:r w:rsidR="00A20444" w:rsidRPr="008F19EC">
        <w:t>’</w:t>
      </w:r>
      <w:r w:rsidRPr="008F19EC">
        <w:t>Organisation, en cas d</w:t>
      </w:r>
      <w:r w:rsidR="00A20444" w:rsidRPr="008F19EC">
        <w:t>’</w:t>
      </w:r>
      <w:r w:rsidRPr="008F19EC">
        <w:t>augmentation du montant des recettes prévues, à reconstituer les provisions au titre des prestations après la cessation de service qui avaient été initialement budgétées à un niveau inférieur à celui de l</w:t>
      </w:r>
      <w:r w:rsidR="00A20444" w:rsidRPr="008F19EC">
        <w:t>’</w:t>
      </w:r>
      <w:r w:rsidRPr="008F19EC">
        <w:t>exercice biennal précédent.</w:t>
      </w:r>
    </w:p>
    <w:p w:rsidR="00D42474" w:rsidRDefault="00D42474" w:rsidP="001A5BF9">
      <w:pPr>
        <w:tabs>
          <w:tab w:val="left" w:pos="709"/>
        </w:tabs>
        <w:jc w:val="both"/>
        <w:rPr>
          <w:rFonts w:cs="Arial"/>
          <w:szCs w:val="20"/>
        </w:rPr>
      </w:pPr>
    </w:p>
    <w:p w:rsidR="00D42474" w:rsidRDefault="0096696E" w:rsidP="001A5BF9">
      <w:pPr>
        <w:tabs>
          <w:tab w:val="left" w:pos="709"/>
        </w:tabs>
        <w:jc w:val="both"/>
        <w:rPr>
          <w:rFonts w:cs="Arial"/>
          <w:szCs w:val="20"/>
        </w:rPr>
      </w:pPr>
      <w:r w:rsidRPr="008F19EC">
        <w:t>31.7.</w:t>
      </w:r>
      <w:r w:rsidRPr="008F19EC">
        <w:tab/>
        <w:t>L</w:t>
      </w:r>
      <w:r w:rsidR="00A20444" w:rsidRPr="008F19EC">
        <w:t>’</w:t>
      </w:r>
      <w:r w:rsidRPr="008F19EC">
        <w:t>affectation aux dépenses autres pour le budget 2012</w:t>
      </w:r>
      <w:r w:rsidR="002D6F2A" w:rsidRPr="008F19EC">
        <w:noBreakHyphen/>
      </w:r>
      <w:r w:rsidRPr="008F19EC">
        <w:t>2013 après virements, tient compte des ajustements à la baisse opérés pour réduire les coûts conformément aux engagements de l</w:t>
      </w:r>
      <w:r w:rsidR="00A20444" w:rsidRPr="008F19EC">
        <w:t>’</w:t>
      </w:r>
      <w:r w:rsidRPr="008F19EC">
        <w:t>Organisation de réduire les dépenses de 10,2</w:t>
      </w:r>
      <w:r w:rsidR="0010442A" w:rsidRPr="008F19EC">
        <w:t> </w:t>
      </w:r>
      <w:r w:rsidRPr="008F19EC">
        <w:t>millions de francs suisses pour l</w:t>
      </w:r>
      <w:r w:rsidR="00A20444" w:rsidRPr="008F19EC">
        <w:t>’</w:t>
      </w:r>
      <w:r w:rsidRPr="008F19EC">
        <w:t>exercice biennal</w:t>
      </w:r>
      <w:r w:rsidR="0010442A" w:rsidRPr="008F19EC">
        <w:t> </w:t>
      </w:r>
      <w:r w:rsidRPr="008F19EC">
        <w:t>2012</w:t>
      </w:r>
      <w:r w:rsidR="002D6F2A" w:rsidRPr="008F19EC">
        <w:noBreakHyphen/>
      </w:r>
      <w:r w:rsidRPr="008F19EC">
        <w:t>2013.</w:t>
      </w:r>
    </w:p>
    <w:p w:rsidR="00D42474" w:rsidRDefault="00D42474" w:rsidP="001A5BF9">
      <w:pPr>
        <w:tabs>
          <w:tab w:val="left" w:pos="709"/>
        </w:tabs>
        <w:jc w:val="both"/>
        <w:rPr>
          <w:rFonts w:cs="Arial"/>
          <w:szCs w:val="20"/>
        </w:rPr>
      </w:pPr>
    </w:p>
    <w:p w:rsidR="00D42474" w:rsidRDefault="00D42474" w:rsidP="001A5BF9">
      <w:pPr>
        <w:tabs>
          <w:tab w:val="left" w:pos="709"/>
        </w:tabs>
        <w:jc w:val="both"/>
        <w:rPr>
          <w:rFonts w:cs="Arial"/>
          <w:szCs w:val="20"/>
        </w:rPr>
      </w:pPr>
    </w:p>
    <w:p w:rsidR="00D42474" w:rsidRDefault="0096696E" w:rsidP="001A5BF9">
      <w:pPr>
        <w:keepNext/>
        <w:keepLines/>
        <w:tabs>
          <w:tab w:val="left" w:pos="709"/>
        </w:tabs>
        <w:jc w:val="both"/>
        <w:rPr>
          <w:rFonts w:eastAsia="Batang" w:cs="Arial"/>
          <w:szCs w:val="20"/>
          <w:u w:val="single"/>
        </w:rPr>
      </w:pPr>
      <w:r w:rsidRPr="005C7CCE">
        <w:t>B.</w:t>
      </w:r>
      <w:r w:rsidR="008F19EC">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Pr>
        <w:keepNext/>
        <w:keepLines/>
        <w:tabs>
          <w:tab w:val="left" w:pos="709"/>
        </w:tabs>
        <w:jc w:val="both"/>
        <w:rPr>
          <w:rFonts w:eastAsia="Batang" w:cs="Arial"/>
          <w:szCs w:val="20"/>
          <w:u w:val="single"/>
        </w:rPr>
      </w:pPr>
    </w:p>
    <w:p w:rsidR="00D42474" w:rsidRDefault="0096696E" w:rsidP="001A5BF9">
      <w:pPr>
        <w:tabs>
          <w:tab w:val="left" w:pos="709"/>
        </w:tabs>
        <w:jc w:val="both"/>
        <w:rPr>
          <w:rFonts w:eastAsia="Calibri"/>
          <w:szCs w:val="20"/>
        </w:rPr>
      </w:pPr>
      <w:r w:rsidRPr="005C7CCE">
        <w:t>31.8.</w:t>
      </w:r>
      <w:r w:rsidRPr="005C7CCE">
        <w:tab/>
        <w:t>Le taux d</w:t>
      </w:r>
      <w:r w:rsidR="00A20444" w:rsidRPr="005C7CCE">
        <w:t>’</w:t>
      </w:r>
      <w:r w:rsidRPr="005C7CCE">
        <w:t>utilisation du budget pour les dépenses autres que les dépenses de personnel s</w:t>
      </w:r>
      <w:r w:rsidR="00A20444" w:rsidRPr="005C7CCE">
        <w:t>’</w:t>
      </w:r>
      <w:r w:rsidRPr="005C7CCE">
        <w:t>élève à 79</w:t>
      </w:r>
      <w:r w:rsidR="007E442D" w:rsidRPr="005C7CCE">
        <w:t>%</w:t>
      </w:r>
      <w:r w:rsidRPr="005C7CCE">
        <w:t xml:space="preserve"> du budget après virements.</w:t>
      </w:r>
      <w:r w:rsidR="0010442A" w:rsidRPr="005C7CCE">
        <w:t xml:space="preserve"> </w:t>
      </w:r>
      <w:r w:rsidRPr="005C7CCE">
        <w:t xml:space="preserve"> Cela tient essentiellement à des économies réalisées sur les frais postaux et à un retard des travaux informatiques lié au report de l</w:t>
      </w:r>
      <w:r w:rsidR="00A20444" w:rsidRPr="005C7CCE">
        <w:t>’</w:t>
      </w:r>
      <w:r w:rsidRPr="005C7CCE">
        <w:t>adhésion de certaines parties contractantes dans le cadre du résultat </w:t>
      </w:r>
      <w:proofErr w:type="spellStart"/>
      <w:r w:rsidRPr="005C7CCE">
        <w:t>II.7</w:t>
      </w:r>
      <w:proofErr w:type="spellEnd"/>
      <w:r w:rsidRPr="005C7CCE">
        <w:t xml:space="preserve"> (Meilleure administration du système de La Haye).</w:t>
      </w:r>
    </w:p>
    <w:p w:rsidR="00D42474" w:rsidRDefault="00D42474" w:rsidP="001A5BF9">
      <w:pPr>
        <w:rPr>
          <w:rFonts w:ascii="Arial Bold" w:hAnsi="Arial Bold" w:cs="Arial"/>
          <w:b/>
          <w:bCs/>
          <w:iCs/>
          <w:szCs w:val="28"/>
        </w:rPr>
      </w:pPr>
    </w:p>
    <w:p w:rsidR="00D42474" w:rsidRDefault="008F19EC">
      <w:pPr>
        <w:rPr>
          <w:rFonts w:ascii="Arial Bold" w:hAnsi="Arial Bold"/>
          <w:b/>
          <w:bCs/>
          <w:caps/>
          <w:sz w:val="22"/>
        </w:rPr>
      </w:pPr>
      <w:r>
        <w:rPr>
          <w:color w:val="008000"/>
        </w:rPr>
        <w:br w:type="page"/>
      </w:r>
    </w:p>
    <w:p w:rsidR="00D42474" w:rsidRDefault="0096696E" w:rsidP="001A5BF9">
      <w:pPr>
        <w:pStyle w:val="Heading3"/>
        <w:rPr>
          <w:szCs w:val="22"/>
        </w:rPr>
      </w:pPr>
      <w:bookmarkStart w:id="18" w:name="_Toc395082471"/>
      <w:r w:rsidRPr="008F19EC">
        <w:rPr>
          <w:szCs w:val="22"/>
        </w:rPr>
        <w:t>Programme 7</w:t>
      </w:r>
      <w:r w:rsidRPr="008F19EC">
        <w:rPr>
          <w:szCs w:val="22"/>
        </w:rPr>
        <w:tab/>
        <w:t>Arbitrage, médiation et noms de domaine</w:t>
      </w:r>
      <w:bookmarkEnd w:id="18"/>
    </w:p>
    <w:p w:rsidR="00D42474" w:rsidRDefault="00D42474" w:rsidP="001A5BF9">
      <w:pPr>
        <w:ind w:left="2268" w:hanging="2268"/>
        <w:rPr>
          <w:b/>
          <w:sz w:val="22"/>
          <w:szCs w:val="22"/>
        </w:rPr>
      </w:pPr>
    </w:p>
    <w:p w:rsidR="00D42474" w:rsidRDefault="0096696E" w:rsidP="001A5BF9">
      <w:pPr>
        <w:ind w:left="2268" w:hanging="2268"/>
        <w:rPr>
          <w:rFonts w:cs="Arial"/>
          <w:b/>
          <w:sz w:val="22"/>
          <w:szCs w:val="22"/>
        </w:rPr>
      </w:pPr>
      <w:r w:rsidRPr="008F19EC">
        <w:rPr>
          <w:b/>
          <w:sz w:val="22"/>
          <w:szCs w:val="22"/>
        </w:rPr>
        <w:t>Chef de programme</w:t>
      </w:r>
      <w:r w:rsidRPr="008F19EC">
        <w:rPr>
          <w:b/>
          <w:sz w:val="22"/>
          <w:szCs w:val="22"/>
        </w:rPr>
        <w:tab/>
      </w:r>
      <w:r w:rsidRPr="008F19EC">
        <w:rPr>
          <w:b/>
          <w:sz w:val="22"/>
          <w:szCs w:val="22"/>
        </w:rPr>
        <w:tab/>
        <w:t>M.</w:t>
      </w:r>
      <w:r w:rsidR="0010442A" w:rsidRPr="008F19EC">
        <w:rPr>
          <w:b/>
          <w:sz w:val="22"/>
          <w:szCs w:val="22"/>
        </w:rPr>
        <w:t> </w:t>
      </w:r>
      <w:r w:rsidRPr="008F19EC">
        <w:rPr>
          <w:b/>
          <w:sz w:val="22"/>
          <w:szCs w:val="22"/>
        </w:rPr>
        <w:t>J.</w:t>
      </w:r>
      <w:r w:rsidR="0010442A" w:rsidRPr="008F19EC">
        <w:rPr>
          <w:b/>
          <w:sz w:val="22"/>
          <w:szCs w:val="22"/>
        </w:rPr>
        <w:t> </w:t>
      </w:r>
      <w:r w:rsidRPr="008F19EC">
        <w:rPr>
          <w:b/>
          <w:sz w:val="22"/>
          <w:szCs w:val="22"/>
        </w:rPr>
        <w:t>C.</w:t>
      </w:r>
      <w:r w:rsidR="0010442A" w:rsidRPr="008F19EC">
        <w:rPr>
          <w:b/>
          <w:sz w:val="22"/>
          <w:szCs w:val="22"/>
        </w:rPr>
        <w:t> </w:t>
      </w:r>
      <w:proofErr w:type="spellStart"/>
      <w:r w:rsidRPr="008F19EC">
        <w:rPr>
          <w:b/>
          <w:sz w:val="22"/>
          <w:szCs w:val="22"/>
        </w:rPr>
        <w:t>Wichard</w:t>
      </w:r>
      <w:proofErr w:type="spellEnd"/>
    </w:p>
    <w:p w:rsidR="00D42474" w:rsidRDefault="00D42474" w:rsidP="001A5BF9">
      <w:pPr>
        <w:ind w:left="2268" w:hanging="2268"/>
        <w:rPr>
          <w:b/>
          <w:sz w:val="22"/>
          <w:szCs w:val="22"/>
        </w:rPr>
      </w:pPr>
    </w:p>
    <w:p w:rsidR="00D42474" w:rsidRDefault="00D42474" w:rsidP="001A5BF9">
      <w:pPr>
        <w:ind w:left="2268" w:hanging="2268"/>
        <w:rPr>
          <w:b/>
          <w:bCs/>
          <w:sz w:val="22"/>
          <w:szCs w:val="22"/>
        </w:rPr>
      </w:pPr>
    </w:p>
    <w:p w:rsidR="00D42474" w:rsidRDefault="0096696E" w:rsidP="001A5BF9">
      <w:pPr>
        <w:ind w:left="2268" w:hanging="2268"/>
        <w:rPr>
          <w:rFonts w:cs="Arial"/>
          <w:sz w:val="22"/>
          <w:szCs w:val="22"/>
        </w:rPr>
      </w:pPr>
      <w:r w:rsidRPr="008F19EC">
        <w:rPr>
          <w:sz w:val="22"/>
          <w:szCs w:val="22"/>
        </w:rPr>
        <w:t>RÉALISATIONS EN 2012</w:t>
      </w:r>
      <w:r w:rsidR="002D6F2A" w:rsidRPr="008F19EC">
        <w:rPr>
          <w:sz w:val="22"/>
          <w:szCs w:val="22"/>
        </w:rPr>
        <w:noBreakHyphen/>
      </w:r>
      <w:r w:rsidRPr="008F19EC">
        <w:rPr>
          <w:sz w:val="22"/>
          <w:szCs w:val="22"/>
        </w:rPr>
        <w:t>2013</w:t>
      </w:r>
    </w:p>
    <w:p w:rsidR="00D42474" w:rsidRDefault="00D42474" w:rsidP="001A5BF9">
      <w:pPr>
        <w:ind w:left="2268" w:hanging="2268"/>
        <w:rPr>
          <w:b/>
          <w:sz w:val="22"/>
          <w:szCs w:val="22"/>
        </w:rPr>
      </w:pPr>
    </w:p>
    <w:p w:rsidR="00D42474" w:rsidRDefault="0096696E" w:rsidP="001A5BF9">
      <w:pPr>
        <w:tabs>
          <w:tab w:val="left" w:pos="709"/>
        </w:tabs>
        <w:jc w:val="both"/>
      </w:pPr>
      <w:r w:rsidRPr="005C7CCE">
        <w:t>7.1.</w:t>
      </w:r>
      <w:r w:rsidRPr="005C7CCE">
        <w:tab/>
        <w:t>Le Centre d</w:t>
      </w:r>
      <w:r w:rsidR="00A20444" w:rsidRPr="005C7CCE">
        <w:t>’</w:t>
      </w:r>
      <w:r w:rsidRPr="005C7CCE">
        <w:t>arbitrage et de médiation de l</w:t>
      </w:r>
      <w:r w:rsidR="00A20444" w:rsidRPr="005C7CCE">
        <w:t>’</w:t>
      </w:r>
      <w:r w:rsidRPr="005C7CCE">
        <w:t xml:space="preserve">OMPI (le </w:t>
      </w:r>
      <w:r w:rsidR="00F80E4F">
        <w:t>“</w:t>
      </w:r>
      <w:r w:rsidRPr="005C7CCE">
        <w:t>Centre de l</w:t>
      </w:r>
      <w:r w:rsidR="00A20444" w:rsidRPr="005C7CCE">
        <w:t>’</w:t>
      </w:r>
      <w:r w:rsidRPr="005C7CCE">
        <w:t xml:space="preserve">OMPI”) est devenu le principal prestataire international de services rapides et peu onéreux de règlement extrajudiciaire des litiges de </w:t>
      </w:r>
      <w:r w:rsidRPr="008F19EC">
        <w:t>propriété intellectuelle, fonction qu</w:t>
      </w:r>
      <w:r w:rsidR="00A20444" w:rsidRPr="008F19EC">
        <w:t>’</w:t>
      </w:r>
      <w:r w:rsidRPr="008F19EC">
        <w:t>il assure à la fois en mettant à disposition sa compétence juridique et en matière d</w:t>
      </w:r>
      <w:r w:rsidR="00A20444" w:rsidRPr="008F19EC">
        <w:t>’</w:t>
      </w:r>
      <w:r w:rsidRPr="008F19EC">
        <w:t xml:space="preserve">organisation, et en gérant les affaires litigieuses. </w:t>
      </w:r>
      <w:r w:rsidR="0010442A" w:rsidRPr="008F19EC">
        <w:t xml:space="preserve"> </w:t>
      </w:r>
      <w:r w:rsidRPr="008F19EC">
        <w:t>Cela inclut la prestation de services portant sur litiges relatifs aux noms de domaine sur Internet.</w:t>
      </w:r>
    </w:p>
    <w:p w:rsidR="00D42474" w:rsidRDefault="00D42474" w:rsidP="001A5BF9">
      <w:pPr>
        <w:tabs>
          <w:tab w:val="left" w:pos="709"/>
        </w:tabs>
        <w:jc w:val="both"/>
        <w:rPr>
          <w:snapToGrid w:val="0"/>
        </w:rPr>
      </w:pPr>
    </w:p>
    <w:p w:rsidR="00D42474" w:rsidRDefault="0096696E" w:rsidP="001A5BF9">
      <w:pPr>
        <w:pStyle w:val="Header"/>
        <w:tabs>
          <w:tab w:val="left" w:pos="709"/>
          <w:tab w:val="right" w:pos="9000"/>
        </w:tabs>
        <w:autoSpaceDE w:val="0"/>
        <w:autoSpaceDN w:val="0"/>
        <w:adjustRightInd w:val="0"/>
        <w:jc w:val="both"/>
      </w:pPr>
      <w:r w:rsidRPr="008F19EC">
        <w:t>7.2.</w:t>
      </w:r>
      <w:r w:rsidRPr="008F19EC">
        <w:tab/>
        <w:t>En 2012</w:t>
      </w:r>
      <w:r w:rsidR="002D6F2A" w:rsidRPr="008F19EC">
        <w:noBreakHyphen/>
      </w:r>
      <w:r w:rsidRPr="008F19EC">
        <w:t>2013, le Centre de l</w:t>
      </w:r>
      <w:r w:rsidR="00A20444" w:rsidRPr="008F19EC">
        <w:t>’</w:t>
      </w:r>
      <w:r w:rsidRPr="008F19EC">
        <w:t xml:space="preserve">OMPI a poursuivi ses travaux visant à optimiser le potentiel de ses procédures afin de répondre aux besoins des utilisateurs et des titulaires de droits de propriété intellectuelle. </w:t>
      </w:r>
      <w:r w:rsidR="0010442A" w:rsidRPr="008F19EC">
        <w:t xml:space="preserve"> </w:t>
      </w:r>
      <w:r w:rsidRPr="008F19EC">
        <w:t>Dans ce cadre, le Centre de l</w:t>
      </w:r>
      <w:r w:rsidR="00A20444" w:rsidRPr="008F19EC">
        <w:t>’</w:t>
      </w:r>
      <w:r w:rsidRPr="008F19EC">
        <w:t xml:space="preserve">OMPI a publié en 2013 un rapport intitulé </w:t>
      </w:r>
      <w:r w:rsidR="00F80E4F" w:rsidRPr="008F19EC">
        <w:t>“</w:t>
      </w:r>
      <w:proofErr w:type="spellStart"/>
      <w:r w:rsidRPr="008F19EC">
        <w:t>Results</w:t>
      </w:r>
      <w:proofErr w:type="spellEnd"/>
      <w:r w:rsidRPr="008F19EC">
        <w:t xml:space="preserve"> of the WIPO Arbitration and Medium Center International Survey on Dispute </w:t>
      </w:r>
      <w:proofErr w:type="spellStart"/>
      <w:r w:rsidRPr="008F19EC">
        <w:t>Resolution</w:t>
      </w:r>
      <w:proofErr w:type="spellEnd"/>
      <w:r w:rsidRPr="008F19EC">
        <w:t xml:space="preserve"> in </w:t>
      </w:r>
      <w:proofErr w:type="spellStart"/>
      <w:r w:rsidRPr="008F19EC">
        <w:t>Technology</w:t>
      </w:r>
      <w:proofErr w:type="spellEnd"/>
      <w:r w:rsidRPr="008F19EC">
        <w:t xml:space="preserve"> Transactions</w:t>
      </w:r>
      <w:r w:rsidR="00F80E4F" w:rsidRPr="008F19EC">
        <w:t>”</w:t>
      </w:r>
      <w:r w:rsidRPr="008F19EC">
        <w:t xml:space="preserve"> (Résultats de l</w:t>
      </w:r>
      <w:r w:rsidR="00A20444" w:rsidRPr="008F19EC">
        <w:t>’</w:t>
      </w:r>
      <w:r w:rsidRPr="008F19EC">
        <w:t>enquête internationale du Centre d</w:t>
      </w:r>
      <w:r w:rsidR="00A20444" w:rsidRPr="008F19EC">
        <w:t>’</w:t>
      </w:r>
      <w:r w:rsidRPr="008F19EC">
        <w:t>arbitrage et de médiation de l</w:t>
      </w:r>
      <w:r w:rsidR="00A20444" w:rsidRPr="008F19EC">
        <w:t>’</w:t>
      </w:r>
      <w:r w:rsidRPr="008F19EC">
        <w:t>OMPI sur le règlement des litiges relatifs à des transactions en matière de technologie)</w:t>
      </w:r>
      <w:r w:rsidRPr="008F19EC">
        <w:rPr>
          <w:rStyle w:val="FootnoteReference"/>
        </w:rPr>
        <w:footnoteReference w:id="13"/>
      </w:r>
      <w:r w:rsidRPr="008F19EC">
        <w:t xml:space="preserve">. </w:t>
      </w:r>
      <w:r w:rsidR="0010442A" w:rsidRPr="008F19EC">
        <w:t xml:space="preserve"> </w:t>
      </w:r>
      <w:r w:rsidRPr="008F19EC">
        <w:t xml:space="preserve">Ce rapport fournit des données et des </w:t>
      </w:r>
      <w:r w:rsidR="00F80E4F" w:rsidRPr="008F19EC">
        <w:t>analyses</w:t>
      </w:r>
      <w:r w:rsidRPr="008F19EC">
        <w:t xml:space="preserve"> des attentes et expériences des utilisateurs.</w:t>
      </w:r>
      <w:r w:rsidR="0010442A" w:rsidRPr="008F19EC">
        <w:t xml:space="preserve"> </w:t>
      </w:r>
      <w:r w:rsidRPr="008F19EC">
        <w:t xml:space="preserve"> Le Centre de l</w:t>
      </w:r>
      <w:r w:rsidR="00A20444" w:rsidRPr="008F19EC">
        <w:t>’</w:t>
      </w:r>
      <w:r w:rsidRPr="008F19EC">
        <w:t>OMPI a également organisé des ateliers d</w:t>
      </w:r>
      <w:r w:rsidR="00A20444" w:rsidRPr="008F19EC">
        <w:t>’</w:t>
      </w:r>
      <w:r w:rsidRPr="008F19EC">
        <w:t>arbitrage et de médiation et a assuré la gestion active des affaires soumises à l</w:t>
      </w:r>
      <w:r w:rsidR="00A20444" w:rsidRPr="008F19EC">
        <w:t>’</w:t>
      </w:r>
      <w:r w:rsidRPr="008F19EC">
        <w:t>OMPI au moyen d</w:t>
      </w:r>
      <w:r w:rsidR="00A20444" w:rsidRPr="008F19EC">
        <w:t>’</w:t>
      </w:r>
      <w:r w:rsidRPr="008F19EC">
        <w:t>une infrastructure moderne d</w:t>
      </w:r>
      <w:r w:rsidR="00A20444" w:rsidRPr="008F19EC">
        <w:t>’</w:t>
      </w:r>
      <w:r w:rsidRPr="008F19EC">
        <w:t>administration des litiges, en particulier le système de gestion électronique des litiges (</w:t>
      </w:r>
      <w:proofErr w:type="spellStart"/>
      <w:r w:rsidRPr="008F19EC">
        <w:t>ECAF</w:t>
      </w:r>
      <w:proofErr w:type="spellEnd"/>
      <w:r w:rsidRPr="008F19EC">
        <w:t>).</w:t>
      </w:r>
    </w:p>
    <w:p w:rsidR="00D42474" w:rsidRDefault="00D42474" w:rsidP="001A5BF9">
      <w:pPr>
        <w:pStyle w:val="Header"/>
        <w:tabs>
          <w:tab w:val="left" w:pos="709"/>
          <w:tab w:val="right" w:pos="9000"/>
        </w:tabs>
        <w:autoSpaceDE w:val="0"/>
        <w:autoSpaceDN w:val="0"/>
        <w:adjustRightInd w:val="0"/>
        <w:jc w:val="both"/>
      </w:pPr>
    </w:p>
    <w:p w:rsidR="00D42474" w:rsidRDefault="0096696E" w:rsidP="001A5BF9">
      <w:pPr>
        <w:pStyle w:val="Header"/>
        <w:tabs>
          <w:tab w:val="left" w:pos="709"/>
          <w:tab w:val="right" w:pos="9000"/>
        </w:tabs>
        <w:autoSpaceDE w:val="0"/>
        <w:autoSpaceDN w:val="0"/>
        <w:adjustRightInd w:val="0"/>
        <w:jc w:val="both"/>
      </w:pPr>
      <w:r w:rsidRPr="008F19EC">
        <w:t>7.3</w:t>
      </w:r>
      <w:r w:rsidRPr="008F19EC">
        <w:tab/>
        <w:t>Le Centre a aidé les parties prenantes en matière de propriété intellectuelle à établir des procédures de règlement extrajudiciaire des litiges adaptées aux caractéristiques particulières des litiges récurrents dans leurs domaines d</w:t>
      </w:r>
      <w:r w:rsidR="00A20444" w:rsidRPr="008F19EC">
        <w:t>’</w:t>
      </w:r>
      <w:r w:rsidRPr="008F19EC">
        <w:t>activité.</w:t>
      </w:r>
      <w:r w:rsidR="004F3E42" w:rsidRPr="008F19EC">
        <w:t xml:space="preserve"> </w:t>
      </w:r>
      <w:r w:rsidR="0010442A" w:rsidRPr="008F19EC">
        <w:t xml:space="preserve"> </w:t>
      </w:r>
      <w:r w:rsidRPr="008F19EC">
        <w:t>L</w:t>
      </w:r>
      <w:r w:rsidR="00A20444" w:rsidRPr="008F19EC">
        <w:t>’</w:t>
      </w:r>
      <w:r w:rsidRPr="008F19EC">
        <w:t>année 2012 a vu le premier règlement satisfaisant en vertu d</w:t>
      </w:r>
      <w:r w:rsidR="00A20444" w:rsidRPr="008F19EC">
        <w:t>’</w:t>
      </w:r>
      <w:r w:rsidRPr="008F19EC">
        <w:t>une</w:t>
      </w:r>
      <w:r w:rsidR="005B5604">
        <w:fldChar w:fldCharType="begin"/>
      </w:r>
      <w:r w:rsidR="005B5604">
        <w:instrText xml:space="preserve"> HYPERLINK "http://www.ipos.gov.sg/Services/HearingsandMediation/MediationOpt</w:instrText>
      </w:r>
      <w:r w:rsidR="005B5604">
        <w:instrText xml:space="preserve">ionforTradeMarks.aspx" </w:instrText>
      </w:r>
      <w:r w:rsidR="005B5604">
        <w:fldChar w:fldCharType="separate"/>
      </w:r>
      <w:r w:rsidRPr="008F19EC">
        <w:t xml:space="preserve"> procédure</w:t>
      </w:r>
      <w:r w:rsidR="005B5604">
        <w:fldChar w:fldCharType="end"/>
      </w:r>
      <w:r w:rsidRPr="008F19EC">
        <w:t xml:space="preserve"> pour la médiation des oppositions en matière de marques gérée par l</w:t>
      </w:r>
      <w:r w:rsidR="00A20444" w:rsidRPr="008F19EC">
        <w:t>’</w:t>
      </w:r>
      <w:r w:rsidRPr="008F19EC">
        <w:t>Office de la propriété intellectuelle de Singapour (</w:t>
      </w:r>
      <w:proofErr w:type="spellStart"/>
      <w:r w:rsidRPr="008F19EC">
        <w:t>IPOS</w:t>
      </w:r>
      <w:proofErr w:type="spellEnd"/>
      <w:r w:rsidRPr="008F19EC">
        <w:t xml:space="preserve">). </w:t>
      </w:r>
      <w:r w:rsidR="0010442A" w:rsidRPr="008F19EC">
        <w:t xml:space="preserve"> </w:t>
      </w:r>
      <w:r w:rsidRPr="008F19EC">
        <w:t>Le Centre de l</w:t>
      </w:r>
      <w:r w:rsidR="00A20444" w:rsidRPr="008F19EC">
        <w:t>’</w:t>
      </w:r>
      <w:r w:rsidRPr="008F19EC">
        <w:t>OMPI a également contribué à développer une option de médiation similaire pour les procédures liées aux marques auprès de l</w:t>
      </w:r>
      <w:r w:rsidR="00A20444" w:rsidRPr="008F19EC">
        <w:t>’</w:t>
      </w:r>
      <w:r w:rsidRPr="008F19EC">
        <w:t>Institut national de la propriété industrielle du Brésil (</w:t>
      </w:r>
      <w:proofErr w:type="spellStart"/>
      <w:r w:rsidRPr="008F19EC">
        <w:t>INPI</w:t>
      </w:r>
      <w:proofErr w:type="spellEnd"/>
      <w:r w:rsidR="002D6F2A" w:rsidRPr="008F19EC">
        <w:noBreakHyphen/>
      </w:r>
      <w:r w:rsidRPr="008F19EC">
        <w:t>BR) qui a été mise à la disposition des parties en juillet 2013.</w:t>
      </w:r>
    </w:p>
    <w:p w:rsidR="00D42474" w:rsidRDefault="00D42474" w:rsidP="001A5BF9">
      <w:pPr>
        <w:pStyle w:val="Header"/>
        <w:tabs>
          <w:tab w:val="left" w:pos="709"/>
          <w:tab w:val="right" w:pos="9000"/>
        </w:tabs>
        <w:autoSpaceDE w:val="0"/>
        <w:autoSpaceDN w:val="0"/>
        <w:adjustRightInd w:val="0"/>
        <w:jc w:val="both"/>
      </w:pPr>
    </w:p>
    <w:p w:rsidR="00D42474" w:rsidRDefault="0096696E" w:rsidP="001A5BF9">
      <w:pPr>
        <w:tabs>
          <w:tab w:val="left" w:pos="709"/>
        </w:tabs>
        <w:jc w:val="both"/>
      </w:pPr>
      <w:r w:rsidRPr="008F19EC">
        <w:t>7.4</w:t>
      </w:r>
      <w:r w:rsidRPr="008F19EC">
        <w:tab/>
        <w:t>Pour les règlements de litiges dans les domaines des films et des médias, l</w:t>
      </w:r>
      <w:r w:rsidR="00A20444" w:rsidRPr="008F19EC">
        <w:t>’</w:t>
      </w:r>
      <w:r w:rsidRPr="008F19EC">
        <w:t xml:space="preserve">OMPI a signé plusieurs </w:t>
      </w:r>
      <w:proofErr w:type="spellStart"/>
      <w:r w:rsidRPr="008F19EC">
        <w:t>mémorandums</w:t>
      </w:r>
      <w:proofErr w:type="spellEnd"/>
      <w:r w:rsidRPr="008F19EC">
        <w:t xml:space="preserve"> d</w:t>
      </w:r>
      <w:r w:rsidR="00A20444" w:rsidRPr="008F19EC">
        <w:t>’</w:t>
      </w:r>
      <w:r w:rsidRPr="008F19EC">
        <w:t>accord en</w:t>
      </w:r>
      <w:r w:rsidR="0010442A" w:rsidRPr="008F19EC">
        <w:t> </w:t>
      </w:r>
      <w:r w:rsidRPr="008F19EC">
        <w:t>2012 avec l</w:t>
      </w:r>
      <w:r w:rsidR="00A20444" w:rsidRPr="008F19EC">
        <w:t>’</w:t>
      </w:r>
      <w:r w:rsidRPr="008F19EC">
        <w:t>Agence coréenne du contenu créatif (</w:t>
      </w:r>
      <w:proofErr w:type="spellStart"/>
      <w:r w:rsidRPr="008F19EC">
        <w:t>KOCCA</w:t>
      </w:r>
      <w:proofErr w:type="spellEnd"/>
      <w:r w:rsidRPr="008F19EC">
        <w:t xml:space="preserve">) et le </w:t>
      </w:r>
      <w:r w:rsidR="00F80E4F" w:rsidRPr="008F19EC">
        <w:t>Ministère coréen de la c</w:t>
      </w:r>
      <w:r w:rsidRPr="008F19EC">
        <w:t xml:space="preserve">ulture, des </w:t>
      </w:r>
      <w:r w:rsidR="00F80E4F" w:rsidRPr="008F19EC">
        <w:t>sports et du t</w:t>
      </w:r>
      <w:r w:rsidRPr="008F19EC">
        <w:t>ourisme (</w:t>
      </w:r>
      <w:proofErr w:type="spellStart"/>
      <w:r w:rsidRPr="008F19EC">
        <w:t>MCST</w:t>
      </w:r>
      <w:proofErr w:type="spellEnd"/>
      <w:r w:rsidRPr="008F19EC">
        <w:t>), en vue de promouvoir les services de règlement extrajudiciaire des litiges dans les secteurs couverts par leurs activités respectives.</w:t>
      </w:r>
    </w:p>
    <w:p w:rsidR="00D42474" w:rsidRDefault="00D42474" w:rsidP="001A5BF9">
      <w:pPr>
        <w:pStyle w:val="Header"/>
        <w:tabs>
          <w:tab w:val="left" w:pos="709"/>
          <w:tab w:val="right" w:pos="9000"/>
        </w:tabs>
        <w:autoSpaceDE w:val="0"/>
        <w:autoSpaceDN w:val="0"/>
        <w:adjustRightInd w:val="0"/>
        <w:jc w:val="both"/>
      </w:pPr>
    </w:p>
    <w:p w:rsidR="00D42474" w:rsidRDefault="0096696E" w:rsidP="001A5BF9">
      <w:pPr>
        <w:tabs>
          <w:tab w:val="left" w:pos="709"/>
        </w:tabs>
        <w:jc w:val="both"/>
      </w:pPr>
      <w:r w:rsidRPr="008F19EC">
        <w:t>7.5.</w:t>
      </w:r>
      <w:r w:rsidRPr="008F19EC">
        <w:tab/>
        <w:t>En collaboration avec le Secrétariat de l</w:t>
      </w:r>
      <w:r w:rsidR="00A20444" w:rsidRPr="008F19EC">
        <w:t>’</w:t>
      </w:r>
      <w:r w:rsidRPr="008F19EC">
        <w:t>Institut européen des normes de télécommunications (ETSI), le Centre de l</w:t>
      </w:r>
      <w:r w:rsidR="00A20444" w:rsidRPr="008F19EC">
        <w:t>’</w:t>
      </w:r>
      <w:r w:rsidRPr="008F19EC">
        <w:t>OMPI a mis à disposition, en décembre 2013, des modèles d</w:t>
      </w:r>
      <w:r w:rsidR="00A20444" w:rsidRPr="008F19EC">
        <w:t>’</w:t>
      </w:r>
      <w:r w:rsidRPr="008F19EC">
        <w:t xml:space="preserve">accord adaptés aux besoins des entreprises du secteur des télécommunications, qui peuvent les utiliser pour soumettre </w:t>
      </w:r>
      <w:r w:rsidR="005B5604">
        <w:fldChar w:fldCharType="begin"/>
      </w:r>
      <w:r w:rsidR="005B5604">
        <w:instrText xml:space="preserve"> HYPERLINK "http://www.wipo.int/amc/en/center/specific-sectors/ict/frand/" </w:instrText>
      </w:r>
      <w:r w:rsidR="005B5604">
        <w:fldChar w:fldCharType="separate"/>
      </w:r>
      <w:r w:rsidRPr="008F19EC">
        <w:t xml:space="preserve">un litige concernant la concession de licences dans des conditions équitables, raisonnables et non discriminatoires (conditions </w:t>
      </w:r>
      <w:proofErr w:type="spellStart"/>
      <w:r w:rsidRPr="008F19EC">
        <w:t>FRAND</w:t>
      </w:r>
      <w:proofErr w:type="spellEnd"/>
      <w:r w:rsidRPr="008F19EC">
        <w:t>)</w:t>
      </w:r>
      <w:r w:rsidR="005B5604">
        <w:fldChar w:fldCharType="end"/>
      </w:r>
      <w:r w:rsidRPr="008F19EC">
        <w:t xml:space="preserve"> pour l</w:t>
      </w:r>
      <w:r w:rsidR="00A20444" w:rsidRPr="008F19EC">
        <w:t>’</w:t>
      </w:r>
      <w:r w:rsidRPr="008F19EC">
        <w:t>utilisation de brevets impliqués dans une norme du secteur au Centre d</w:t>
      </w:r>
      <w:r w:rsidR="00A20444" w:rsidRPr="008F19EC">
        <w:t>’</w:t>
      </w:r>
      <w:r w:rsidRPr="008F19EC">
        <w:t xml:space="preserve">arbitrage et de médiation (accélérée), dans le but de favoriser un jugement </w:t>
      </w:r>
      <w:proofErr w:type="spellStart"/>
      <w:r w:rsidRPr="008F19EC">
        <w:t>FRAND</w:t>
      </w:r>
      <w:proofErr w:type="spellEnd"/>
      <w:r w:rsidRPr="008F19EC">
        <w:t xml:space="preserve"> rapide et peu onéreux.</w:t>
      </w:r>
    </w:p>
    <w:p w:rsidR="00D42474" w:rsidRDefault="00D42474" w:rsidP="001A5BF9">
      <w:pPr>
        <w:tabs>
          <w:tab w:val="left" w:pos="709"/>
        </w:tabs>
        <w:jc w:val="both"/>
      </w:pPr>
    </w:p>
    <w:p w:rsidR="00D42474" w:rsidRDefault="0096696E" w:rsidP="001A5BF9">
      <w:pPr>
        <w:tabs>
          <w:tab w:val="left" w:pos="709"/>
        </w:tabs>
        <w:jc w:val="both"/>
      </w:pPr>
      <w:r w:rsidRPr="008F19EC">
        <w:t>7.6.</w:t>
      </w:r>
      <w:r w:rsidRPr="008F19EC">
        <w:tab/>
        <w:t>Dans le cadre de la collaboration politique du Centre de l</w:t>
      </w:r>
      <w:r w:rsidR="00A20444" w:rsidRPr="008F19EC">
        <w:t>’</w:t>
      </w:r>
      <w:r w:rsidRPr="008F19EC">
        <w:t>OMPI dans le domaine des litiges en matière de recherche et développement, l</w:t>
      </w:r>
      <w:r w:rsidR="00A20444" w:rsidRPr="008F19EC">
        <w:t>’</w:t>
      </w:r>
      <w:proofErr w:type="spellStart"/>
      <w:r w:rsidRPr="008F19EC">
        <w:t>IPAG</w:t>
      </w:r>
      <w:proofErr w:type="spellEnd"/>
      <w:r w:rsidRPr="008F19EC">
        <w:t xml:space="preserve"> (</w:t>
      </w:r>
      <w:proofErr w:type="spellStart"/>
      <w:r w:rsidRPr="008F19EC">
        <w:t>Intellectual</w:t>
      </w:r>
      <w:proofErr w:type="spellEnd"/>
      <w:r w:rsidRPr="008F19EC">
        <w:t xml:space="preserve"> </w:t>
      </w:r>
      <w:proofErr w:type="spellStart"/>
      <w:r w:rsidRPr="008F19EC">
        <w:t>Property</w:t>
      </w:r>
      <w:proofErr w:type="spellEnd"/>
      <w:r w:rsidRPr="008F19EC">
        <w:t xml:space="preserve"> Agreement Guide), un projet autrichien, a publié en 2013 une série de modèles d</w:t>
      </w:r>
      <w:r w:rsidR="00A20444" w:rsidRPr="008F19EC">
        <w:t>’</w:t>
      </w:r>
      <w:r w:rsidRPr="008F19EC">
        <w:t>accord reprenant les clauses de règlement extrajudiciaire des litiges élaborées par l</w:t>
      </w:r>
      <w:r w:rsidR="00A20444" w:rsidRPr="008F19EC">
        <w:t>’</w:t>
      </w:r>
      <w:r w:rsidRPr="008F19EC">
        <w:t>OMPI.</w:t>
      </w:r>
    </w:p>
    <w:p w:rsidR="00D42474" w:rsidRDefault="00D42474" w:rsidP="001A5BF9">
      <w:pPr>
        <w:tabs>
          <w:tab w:val="left" w:pos="709"/>
        </w:tabs>
        <w:jc w:val="both"/>
      </w:pPr>
    </w:p>
    <w:p w:rsidR="00D42474" w:rsidRDefault="0096696E" w:rsidP="001A5BF9">
      <w:pPr>
        <w:tabs>
          <w:tab w:val="left" w:pos="709"/>
        </w:tabs>
        <w:jc w:val="both"/>
      </w:pPr>
      <w:r w:rsidRPr="008F19EC">
        <w:t>7.7.</w:t>
      </w:r>
      <w:r w:rsidRPr="008F19EC">
        <w:tab/>
        <w:t>En matière de noms de domaine, le Centre de l</w:t>
      </w:r>
      <w:r w:rsidR="00A20444" w:rsidRPr="008F19EC">
        <w:t>’</w:t>
      </w:r>
      <w:r w:rsidRPr="008F19EC">
        <w:t>OMPI a géré, en 2012</w:t>
      </w:r>
      <w:r w:rsidR="002D6F2A" w:rsidRPr="008F19EC">
        <w:noBreakHyphen/>
      </w:r>
      <w:r w:rsidRPr="008F19EC">
        <w:t xml:space="preserve">2013, </w:t>
      </w:r>
      <w:r w:rsidR="0010442A" w:rsidRPr="008F19EC">
        <w:t>5469</w:t>
      </w:r>
      <w:r w:rsidRPr="008F19EC">
        <w:t xml:space="preserve"> affaires de </w:t>
      </w:r>
      <w:proofErr w:type="spellStart"/>
      <w:r w:rsidRPr="008F19EC">
        <w:t>cybersquattage</w:t>
      </w:r>
      <w:proofErr w:type="spellEnd"/>
      <w:r w:rsidRPr="008F19EC">
        <w:t xml:space="preserve"> couvrant 11 271 noms en vertu de procédures reposant sur les Principes directeurs concernant le règlement uniforme des litiges relatifs aux noms de domaine (principes</w:t>
      </w:r>
      <w:r w:rsidR="00667FB3" w:rsidRPr="008F19EC">
        <w:t> </w:t>
      </w:r>
      <w:r w:rsidRPr="008F19EC">
        <w:t xml:space="preserve">UDRP). </w:t>
      </w:r>
      <w:r w:rsidR="0010442A" w:rsidRPr="008F19EC">
        <w:t xml:space="preserve"> </w:t>
      </w:r>
      <w:r w:rsidRPr="008F19EC">
        <w:t>Le Centre de l</w:t>
      </w:r>
      <w:r w:rsidR="00A20444" w:rsidRPr="008F19EC">
        <w:t>’</w:t>
      </w:r>
      <w:r w:rsidRPr="008F19EC">
        <w:t>OMPI a élaboré et lancé en 2012 l</w:t>
      </w:r>
      <w:r w:rsidR="00A20444" w:rsidRPr="008F19EC">
        <w:t>’</w:t>
      </w:r>
      <w:proofErr w:type="spellStart"/>
      <w:r w:rsidRPr="008F19EC">
        <w:t>Electronic</w:t>
      </w:r>
      <w:proofErr w:type="spellEnd"/>
      <w:r w:rsidRPr="008F19EC">
        <w:t xml:space="preserve"> Case </w:t>
      </w:r>
      <w:proofErr w:type="spellStart"/>
      <w:r w:rsidRPr="008F19EC">
        <w:t>Facility</w:t>
      </w:r>
      <w:proofErr w:type="spellEnd"/>
      <w:r w:rsidRPr="008F19EC">
        <w:t xml:space="preserve"> pour les noms de domaine (</w:t>
      </w:r>
      <w:proofErr w:type="spellStart"/>
      <w:r w:rsidRPr="008F19EC">
        <w:t>ECAF</w:t>
      </w:r>
      <w:proofErr w:type="spellEnd"/>
      <w:r w:rsidRPr="008F19EC">
        <w:t>), plate</w:t>
      </w:r>
      <w:r w:rsidR="002D6F2A" w:rsidRPr="008F19EC">
        <w:noBreakHyphen/>
      </w:r>
      <w:r w:rsidRPr="008F19EC">
        <w:t>forme sécurisée de l</w:t>
      </w:r>
      <w:r w:rsidR="00A20444" w:rsidRPr="008F19EC">
        <w:t>’</w:t>
      </w:r>
      <w:r w:rsidRPr="008F19EC">
        <w:t xml:space="preserve">OMPI pour les plaidoiries des litiges. </w:t>
      </w:r>
      <w:r w:rsidR="0010442A" w:rsidRPr="008F19EC">
        <w:t xml:space="preserve"> </w:t>
      </w:r>
      <w:r w:rsidRPr="008F19EC">
        <w:t>Les dossiers de litige relevant des principes</w:t>
      </w:r>
      <w:r w:rsidR="00667FB3" w:rsidRPr="008F19EC">
        <w:t> </w:t>
      </w:r>
      <w:r w:rsidRPr="008F19EC">
        <w:t>UDRP que l</w:t>
      </w:r>
      <w:r w:rsidR="00A20444" w:rsidRPr="008F19EC">
        <w:t>’</w:t>
      </w:r>
      <w:r w:rsidRPr="008F19EC">
        <w:t>OMPI a reçus depuis 1999 portent, au total, sur plus de 50 000 noms de domaine.</w:t>
      </w:r>
    </w:p>
    <w:p w:rsidR="00D42474" w:rsidRDefault="00D42474" w:rsidP="001A5BF9">
      <w:pPr>
        <w:pStyle w:val="Header"/>
        <w:tabs>
          <w:tab w:val="left" w:pos="709"/>
          <w:tab w:val="right" w:pos="9000"/>
        </w:tabs>
        <w:autoSpaceDE w:val="0"/>
        <w:autoSpaceDN w:val="0"/>
        <w:adjustRightInd w:val="0"/>
        <w:jc w:val="both"/>
      </w:pPr>
    </w:p>
    <w:p w:rsidR="00D42474" w:rsidRDefault="0096696E" w:rsidP="001A5BF9">
      <w:pPr>
        <w:tabs>
          <w:tab w:val="left" w:pos="709"/>
        </w:tabs>
        <w:jc w:val="both"/>
      </w:pPr>
      <w:r w:rsidRPr="008F19EC">
        <w:t>7.8.</w:t>
      </w:r>
      <w:r w:rsidRPr="008F19EC">
        <w:tab/>
        <w:t>L</w:t>
      </w:r>
      <w:r w:rsidR="00A20444" w:rsidRPr="008F19EC">
        <w:t>’</w:t>
      </w:r>
      <w:r w:rsidRPr="008F19EC">
        <w:t>OMPI s</w:t>
      </w:r>
      <w:r w:rsidR="00A20444" w:rsidRPr="008F19EC">
        <w:t>’</w:t>
      </w:r>
      <w:r w:rsidRPr="008F19EC">
        <w:t>est concentrée sur les nouveaux mécanismes de protection des droits adoptés par l</w:t>
      </w:r>
      <w:r w:rsidR="00A20444" w:rsidRPr="008F19EC">
        <w:t>’</w:t>
      </w:r>
      <w:r w:rsidRPr="008F19EC">
        <w:t xml:space="preserve">ICANN (Internet Corporation for </w:t>
      </w:r>
      <w:proofErr w:type="spellStart"/>
      <w:r w:rsidRPr="008F19EC">
        <w:t>Assigned</w:t>
      </w:r>
      <w:proofErr w:type="spellEnd"/>
      <w:r w:rsidRPr="008F19EC">
        <w:t xml:space="preserve"> </w:t>
      </w:r>
      <w:proofErr w:type="spellStart"/>
      <w:r w:rsidRPr="008F19EC">
        <w:t>Names</w:t>
      </w:r>
      <w:proofErr w:type="spellEnd"/>
      <w:r w:rsidRPr="008F19EC">
        <w:t xml:space="preserve"> and </w:t>
      </w:r>
      <w:proofErr w:type="spellStart"/>
      <w:r w:rsidRPr="008F19EC">
        <w:t>Numbers</w:t>
      </w:r>
      <w:proofErr w:type="spellEnd"/>
      <w:r w:rsidRPr="008F19EC">
        <w:t>) et s</w:t>
      </w:r>
      <w:r w:rsidR="00A20444" w:rsidRPr="008F19EC">
        <w:t>’</w:t>
      </w:r>
      <w:r w:rsidRPr="008F19EC">
        <w:t>est engagée, dans ce cadre, à mener une importante activité de politique générale en réponse à la mise en place par l</w:t>
      </w:r>
      <w:r w:rsidR="00A20444" w:rsidRPr="008F19EC">
        <w:t>’</w:t>
      </w:r>
      <w:r w:rsidRPr="008F19EC">
        <w:t xml:space="preserve">ICANN de </w:t>
      </w:r>
      <w:r w:rsidR="0010442A" w:rsidRPr="008F19EC">
        <w:t>1400</w:t>
      </w:r>
      <w:r w:rsidRPr="008F19EC">
        <w:t> nouveaux domaines de premier niveau.</w:t>
      </w:r>
      <w:r w:rsidR="0010442A" w:rsidRPr="008F19EC">
        <w:t xml:space="preserve"> </w:t>
      </w:r>
      <w:r w:rsidRPr="008F19EC">
        <w:t xml:space="preserve"> Le Centre de l</w:t>
      </w:r>
      <w:r w:rsidR="00A20444" w:rsidRPr="008F19EC">
        <w:t>’</w:t>
      </w:r>
      <w:r w:rsidRPr="008F19EC">
        <w:t>OMPI a administré 69 dossiers en tant que prestataire de services de règlement des litiges dans le cadre d</w:t>
      </w:r>
      <w:r w:rsidR="00A20444" w:rsidRPr="008F19EC">
        <w:t>’</w:t>
      </w:r>
      <w:r w:rsidRPr="008F19EC">
        <w:t>une procédure préalable à l</w:t>
      </w:r>
      <w:r w:rsidR="00A20444" w:rsidRPr="008F19EC">
        <w:t>’</w:t>
      </w:r>
      <w:r w:rsidRPr="008F19EC">
        <w:t>attribution concernant les “objections pour atteinte aux droits” fondées sur les marques que l</w:t>
      </w:r>
      <w:r w:rsidR="00A20444" w:rsidRPr="008F19EC">
        <w:t>’</w:t>
      </w:r>
      <w:r w:rsidRPr="008F19EC">
        <w:t>OMPI a élaborée, recensés par un rapport de l</w:t>
      </w:r>
      <w:r w:rsidR="00A20444" w:rsidRPr="008F19EC">
        <w:t>’</w:t>
      </w:r>
      <w:r w:rsidRPr="008F19EC">
        <w:t>OMPI publié en décembre 2013</w:t>
      </w:r>
      <w:r w:rsidRPr="008F19EC">
        <w:rPr>
          <w:rStyle w:val="FootnoteReference"/>
        </w:rPr>
        <w:footnoteReference w:id="14"/>
      </w:r>
      <w:r w:rsidRPr="008F19EC">
        <w:t>.</w:t>
      </w:r>
    </w:p>
    <w:p w:rsidR="00D42474" w:rsidRDefault="00D42474" w:rsidP="001A5BF9">
      <w:pPr>
        <w:pStyle w:val="BodyText"/>
        <w:tabs>
          <w:tab w:val="left" w:pos="709"/>
        </w:tabs>
        <w:autoSpaceDE w:val="0"/>
        <w:autoSpaceDN w:val="0"/>
        <w:adjustRightInd w:val="0"/>
        <w:jc w:val="both"/>
        <w:rPr>
          <w:szCs w:val="24"/>
        </w:rPr>
      </w:pPr>
    </w:p>
    <w:p w:rsidR="00D42474" w:rsidRDefault="0096696E" w:rsidP="001A5BF9">
      <w:pPr>
        <w:keepNext/>
        <w:keepLines/>
        <w:tabs>
          <w:tab w:val="left" w:pos="709"/>
        </w:tabs>
        <w:jc w:val="both"/>
      </w:pPr>
      <w:r w:rsidRPr="008F19EC">
        <w:t>7.9.</w:t>
      </w:r>
      <w:r w:rsidRPr="008F19EC">
        <w:tab/>
        <w:t>Le Centre de l</w:t>
      </w:r>
      <w:r w:rsidR="00A20444" w:rsidRPr="008F19EC">
        <w:t>’</w:t>
      </w:r>
      <w:r w:rsidRPr="008F19EC">
        <w:t xml:space="preserve">OMPI a coopéré avec les administrateurs de noms de domaine pour les domaines correspondant à des codes de pays (ccTLD) dans différentes régions en lien avec les règlements des litiges. </w:t>
      </w:r>
      <w:r w:rsidR="0010442A" w:rsidRPr="008F19EC">
        <w:t xml:space="preserve"> </w:t>
      </w:r>
      <w:r w:rsidRPr="008F19EC">
        <w:t>En 2012</w:t>
      </w:r>
      <w:r w:rsidR="002D6F2A" w:rsidRPr="008F19EC">
        <w:noBreakHyphen/>
      </w:r>
      <w:r w:rsidRPr="008F19EC">
        <w:t>2013, le Centre de l</w:t>
      </w:r>
      <w:r w:rsidR="00A20444" w:rsidRPr="008F19EC">
        <w:t>’</w:t>
      </w:r>
      <w:r w:rsidRPr="008F19EC">
        <w:t>OMPI est devenu un prestataire de services pour les domaines .FM (Micronésie [États fédérés de]), .GD (Grenade), .ML (Mali) .</w:t>
      </w:r>
      <w:proofErr w:type="spellStart"/>
      <w:r w:rsidRPr="008F19EC">
        <w:t>PW</w:t>
      </w:r>
      <w:proofErr w:type="spellEnd"/>
      <w:r w:rsidRPr="008F19EC">
        <w:t xml:space="preserve"> (Palaos) et .</w:t>
      </w:r>
      <w:proofErr w:type="spellStart"/>
      <w:r w:rsidRPr="008F19EC">
        <w:t>TZ</w:t>
      </w:r>
      <w:proofErr w:type="spellEnd"/>
      <w:r w:rsidRPr="008F19EC">
        <w:t xml:space="preserve"> (Tanzanie), ce qui porte le nombre total de ccTLD pour lesquels l</w:t>
      </w:r>
      <w:r w:rsidR="00A20444" w:rsidRPr="008F19EC">
        <w:t>’</w:t>
      </w:r>
      <w:r w:rsidRPr="008F19EC">
        <w:t>OMPI fournit des services de cette nature à 70.</w:t>
      </w:r>
    </w:p>
    <w:p w:rsidR="00D42474" w:rsidRDefault="00D42474" w:rsidP="001A5BF9">
      <w:pPr>
        <w:ind w:left="2268" w:hanging="2268"/>
        <w:rPr>
          <w:b/>
          <w:bCs/>
          <w:sz w:val="18"/>
          <w:szCs w:val="22"/>
        </w:rPr>
      </w:pPr>
    </w:p>
    <w:p w:rsidR="00D42474" w:rsidRDefault="00D42474" w:rsidP="001A5BF9">
      <w:pPr>
        <w:ind w:left="2268" w:hanging="2268"/>
        <w:rPr>
          <w:b/>
          <w:bCs/>
          <w:sz w:val="18"/>
          <w:szCs w:val="22"/>
        </w:rPr>
      </w:pPr>
    </w:p>
    <w:p w:rsidR="00D42474" w:rsidRDefault="0096696E" w:rsidP="001A5BF9">
      <w:pPr>
        <w:ind w:left="2268" w:hanging="2268"/>
      </w:pPr>
      <w:r w:rsidRPr="00761625">
        <w:rPr>
          <w:sz w:val="22"/>
        </w:rPr>
        <w:t>MISE EN ŒUVRE DU PLAN D</w:t>
      </w:r>
      <w:r w:rsidR="00A20444" w:rsidRPr="00761625">
        <w:rPr>
          <w:sz w:val="22"/>
        </w:rPr>
        <w:t>’</w:t>
      </w:r>
      <w:r w:rsidRPr="00761625">
        <w:rPr>
          <w:sz w:val="22"/>
        </w:rPr>
        <w:t>ACTION POUR LE DÉVELOPPEMENT</w:t>
      </w:r>
    </w:p>
    <w:p w:rsidR="00D42474" w:rsidRDefault="00D42474" w:rsidP="001A5BF9">
      <w:pPr>
        <w:ind w:left="2268" w:hanging="2268"/>
        <w:rPr>
          <w:b/>
          <w:sz w:val="18"/>
          <w:szCs w:val="22"/>
        </w:rPr>
      </w:pPr>
    </w:p>
    <w:p w:rsidR="00D42474" w:rsidRDefault="0096696E" w:rsidP="001A5BF9">
      <w:pPr>
        <w:tabs>
          <w:tab w:val="left" w:pos="709"/>
        </w:tabs>
        <w:jc w:val="both"/>
      </w:pPr>
      <w:r w:rsidRPr="008F19EC">
        <w:t>7.10.</w:t>
      </w:r>
      <w:r w:rsidRPr="008F19EC">
        <w:tab/>
        <w:t>La conception, la planification et la mise en œuvre des activités menées au titre du programme 7 s</w:t>
      </w:r>
      <w:r w:rsidR="00A20444" w:rsidRPr="008F19EC">
        <w:t>’</w:t>
      </w:r>
      <w:r w:rsidRPr="008F19EC">
        <w:t>appuient sur les recommandations pertinentes du Plan d</w:t>
      </w:r>
      <w:r w:rsidR="00A20444" w:rsidRPr="008F19EC">
        <w:t>’</w:t>
      </w:r>
      <w:r w:rsidRPr="008F19EC">
        <w:t>action pour le développement, notamment les recommandations n</w:t>
      </w:r>
      <w:r w:rsidRPr="008F19EC">
        <w:rPr>
          <w:vertAlign w:val="superscript"/>
        </w:rPr>
        <w:t>os</w:t>
      </w:r>
      <w:r w:rsidRPr="008F19EC">
        <w:t xml:space="preserve"> 1, 6 et 10.</w:t>
      </w:r>
      <w:r w:rsidR="004F3E42" w:rsidRPr="008F19EC">
        <w:t xml:space="preserve"> </w:t>
      </w:r>
      <w:r w:rsidR="0010442A" w:rsidRPr="008F19EC">
        <w:t xml:space="preserve"> </w:t>
      </w:r>
      <w:r w:rsidRPr="008F19EC">
        <w:t>À ce propos, le Centre a organisé des programmes d</w:t>
      </w:r>
      <w:r w:rsidR="00A20444" w:rsidRPr="008F19EC">
        <w:t>’</w:t>
      </w:r>
      <w:r w:rsidRPr="008F19EC">
        <w:t>arbitrage et de médiation adaptés aux besoins des responsables et praticiens de la propriété intellectuelle et aidé des offices de propriété intellectuelle à mettre en place des cadres facultatifs de règlement extrajudiciaire des litiges dont ils avaient été saisis.</w:t>
      </w:r>
      <w:r w:rsidR="004F3E42" w:rsidRPr="008F19EC">
        <w:t xml:space="preserve"> </w:t>
      </w:r>
      <w:r w:rsidR="0010442A" w:rsidRPr="008F19EC">
        <w:t xml:space="preserve"> </w:t>
      </w:r>
      <w:r w:rsidRPr="008F19EC">
        <w:t>En outre, il a continué de prêter assistance aux autorités nationales compétentes en matière de noms de domaine pour établir des bonnes pratiques recommandées en matière d</w:t>
      </w:r>
      <w:r w:rsidR="00A20444" w:rsidRPr="008F19EC">
        <w:t>’</w:t>
      </w:r>
      <w:r w:rsidRPr="008F19EC">
        <w:t>enregistrement et mettre en place des mécanismes de règlement des litiges adaptés aux besoins des pays en développement et des pays en transition.</w:t>
      </w:r>
    </w:p>
    <w:p w:rsidR="00D42474" w:rsidRDefault="00D42474" w:rsidP="008F19EC">
      <w:pPr>
        <w:rPr>
          <w:rFonts w:eastAsia="MS Mincho"/>
        </w:rPr>
      </w:pPr>
    </w:p>
    <w:p w:rsidR="00D42474" w:rsidRDefault="00D42474" w:rsidP="008F19EC"/>
    <w:p w:rsidR="00D42474" w:rsidRDefault="0096696E" w:rsidP="001A5BF9">
      <w:pPr>
        <w:ind w:left="2268" w:hanging="2268"/>
        <w:rPr>
          <w:rFonts w:cs="Arial"/>
          <w:szCs w:val="22"/>
        </w:rPr>
      </w:pPr>
      <w:r w:rsidRPr="008F19EC">
        <w:rPr>
          <w:sz w:val="22"/>
        </w:rPr>
        <w:t>DONNÉES RELATIVES À L</w:t>
      </w:r>
      <w:r w:rsidR="00A20444" w:rsidRPr="008F19EC">
        <w:rPr>
          <w:sz w:val="22"/>
        </w:rPr>
        <w:t>’</w:t>
      </w:r>
      <w:r w:rsidRPr="008F19EC">
        <w:rPr>
          <w:sz w:val="22"/>
        </w:rPr>
        <w:t>EXÉCUTION</w:t>
      </w:r>
    </w:p>
    <w:p w:rsidR="0096696E" w:rsidRPr="008F19EC" w:rsidRDefault="0096696E" w:rsidP="008F19EC"/>
    <w:tbl>
      <w:tblPr>
        <w:tblW w:w="4962"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5"/>
        <w:gridCol w:w="2589"/>
        <w:gridCol w:w="1419"/>
        <w:gridCol w:w="2291"/>
        <w:gridCol w:w="1254"/>
      </w:tblGrid>
      <w:tr w:rsidR="008F19EC" w:rsidRPr="008F19EC" w:rsidTr="008F19EC">
        <w:trPr>
          <w:cantSplit/>
        </w:trPr>
        <w:tc>
          <w:tcPr>
            <w:tcW w:w="5000" w:type="pct"/>
            <w:gridSpan w:val="5"/>
            <w:tcBorders>
              <w:top w:val="single" w:sz="4" w:space="0" w:color="auto"/>
              <w:bottom w:val="single" w:sz="4" w:space="0" w:color="auto"/>
            </w:tcBorders>
            <w:shd w:val="clear" w:color="auto" w:fill="CCFFFF"/>
            <w:vAlign w:val="center"/>
          </w:tcPr>
          <w:p w:rsidR="0096696E" w:rsidRPr="008F19EC" w:rsidRDefault="0096696E" w:rsidP="008F19EC">
            <w:pPr>
              <w:keepNext/>
              <w:keepLines/>
              <w:spacing w:before="120" w:after="120"/>
              <w:ind w:left="1735" w:hanging="1735"/>
              <w:rPr>
                <w:rFonts w:cs="Arial"/>
                <w:b/>
                <w:bCs/>
                <w:sz w:val="16"/>
                <w:szCs w:val="16"/>
              </w:rPr>
            </w:pPr>
            <w:r w:rsidRPr="008F19EC">
              <w:rPr>
                <w:b/>
                <w:sz w:val="16"/>
              </w:rPr>
              <w:t>Résultat escompté :</w:t>
            </w:r>
            <w:r w:rsidR="0010442A" w:rsidRPr="008F19EC">
              <w:rPr>
                <w:b/>
                <w:sz w:val="16"/>
              </w:rPr>
              <w:t xml:space="preserve"> </w:t>
            </w:r>
            <w:r w:rsidRPr="008F19EC">
              <w:rPr>
                <w:b/>
                <w:sz w:val="16"/>
              </w:rPr>
              <w:tab/>
            </w:r>
            <w:r w:rsidRPr="008F19EC">
              <w:rPr>
                <w:sz w:val="16"/>
              </w:rPr>
              <w:t xml:space="preserve">De plus en plus de litiges internationaux ou </w:t>
            </w:r>
            <w:proofErr w:type="spellStart"/>
            <w:r w:rsidRPr="008F19EC">
              <w:rPr>
                <w:sz w:val="16"/>
              </w:rPr>
              <w:t>intranationaux</w:t>
            </w:r>
            <w:proofErr w:type="spellEnd"/>
            <w:r w:rsidRPr="008F19EC">
              <w:rPr>
                <w:sz w:val="16"/>
              </w:rPr>
              <w:t xml:space="preserve"> de propriété intellectuelle sont évités ou réglés par la médiation, l</w:t>
            </w:r>
            <w:r w:rsidR="00A20444" w:rsidRPr="008F19EC">
              <w:rPr>
                <w:sz w:val="16"/>
              </w:rPr>
              <w:t>’</w:t>
            </w:r>
            <w:r w:rsidRPr="008F19EC">
              <w:rPr>
                <w:sz w:val="16"/>
              </w:rPr>
              <w:t>arbitrage et d</w:t>
            </w:r>
            <w:r w:rsidR="00A20444" w:rsidRPr="008F19EC">
              <w:rPr>
                <w:sz w:val="16"/>
              </w:rPr>
              <w:t>’</w:t>
            </w:r>
            <w:r w:rsidRPr="008F19EC">
              <w:rPr>
                <w:sz w:val="16"/>
              </w:rPr>
              <w:t>autres modes extrajudiciaires de règlement des litiges</w:t>
            </w:r>
          </w:p>
        </w:tc>
      </w:tr>
      <w:tr w:rsidR="008F19EC" w:rsidRPr="008F19EC" w:rsidTr="008F19EC">
        <w:trPr>
          <w:cantSplit/>
        </w:trPr>
        <w:tc>
          <w:tcPr>
            <w:tcW w:w="1024" w:type="pct"/>
            <w:tcBorders>
              <w:top w:val="single" w:sz="4" w:space="0" w:color="auto"/>
            </w:tcBorders>
            <w:shd w:val="clear" w:color="auto" w:fill="auto"/>
            <w:vAlign w:val="center"/>
          </w:tcPr>
          <w:p w:rsidR="0096696E" w:rsidRPr="008F19EC" w:rsidRDefault="0096696E" w:rsidP="001A5BF9">
            <w:pPr>
              <w:rPr>
                <w:rFonts w:cs="Arial"/>
                <w:b/>
                <w:sz w:val="16"/>
                <w:szCs w:val="16"/>
              </w:rPr>
            </w:pPr>
            <w:r w:rsidRPr="008F19EC">
              <w:rPr>
                <w:b/>
                <w:sz w:val="16"/>
              </w:rPr>
              <w:t>Indicateurs d</w:t>
            </w:r>
            <w:r w:rsidR="00A20444" w:rsidRPr="008F19EC">
              <w:rPr>
                <w:b/>
                <w:sz w:val="16"/>
              </w:rPr>
              <w:t>’</w:t>
            </w:r>
            <w:r w:rsidRPr="008F19EC">
              <w:rPr>
                <w:b/>
                <w:sz w:val="16"/>
              </w:rPr>
              <w:t>exécution</w:t>
            </w:r>
          </w:p>
        </w:tc>
        <w:tc>
          <w:tcPr>
            <w:tcW w:w="1363" w:type="pct"/>
            <w:tcBorders>
              <w:top w:val="single" w:sz="4" w:space="0" w:color="auto"/>
            </w:tcBorders>
            <w:shd w:val="clear" w:color="auto" w:fill="auto"/>
            <w:vAlign w:val="center"/>
          </w:tcPr>
          <w:p w:rsidR="0096696E" w:rsidRPr="008F19EC" w:rsidRDefault="0096696E" w:rsidP="001A5BF9">
            <w:pPr>
              <w:rPr>
                <w:rFonts w:cs="Arial"/>
                <w:b/>
                <w:bCs/>
                <w:sz w:val="16"/>
                <w:szCs w:val="16"/>
              </w:rPr>
            </w:pPr>
            <w:r w:rsidRPr="008F19EC">
              <w:rPr>
                <w:b/>
                <w:sz w:val="16"/>
              </w:rPr>
              <w:t>Niveaux de référence</w:t>
            </w:r>
          </w:p>
        </w:tc>
        <w:tc>
          <w:tcPr>
            <w:tcW w:w="747" w:type="pct"/>
            <w:tcBorders>
              <w:top w:val="single" w:sz="4" w:space="0" w:color="auto"/>
            </w:tcBorders>
            <w:shd w:val="clear" w:color="auto" w:fill="auto"/>
            <w:tcMar>
              <w:top w:w="110" w:type="dxa"/>
            </w:tcMar>
            <w:vAlign w:val="center"/>
          </w:tcPr>
          <w:p w:rsidR="0096696E" w:rsidRPr="008F19EC" w:rsidRDefault="0096696E" w:rsidP="001A5BF9">
            <w:pPr>
              <w:rPr>
                <w:rFonts w:cs="Arial"/>
                <w:b/>
                <w:sz w:val="16"/>
                <w:szCs w:val="16"/>
              </w:rPr>
            </w:pPr>
            <w:r w:rsidRPr="008F19EC">
              <w:rPr>
                <w:b/>
                <w:sz w:val="16"/>
              </w:rPr>
              <w:t>Objectifs visés</w:t>
            </w:r>
          </w:p>
        </w:tc>
        <w:tc>
          <w:tcPr>
            <w:tcW w:w="1206" w:type="pct"/>
            <w:tcBorders>
              <w:top w:val="single" w:sz="4" w:space="0" w:color="auto"/>
            </w:tcBorders>
            <w:shd w:val="clear" w:color="auto" w:fill="FFFFFF"/>
            <w:tcMar>
              <w:top w:w="110" w:type="dxa"/>
            </w:tcMar>
            <w:vAlign w:val="center"/>
          </w:tcPr>
          <w:p w:rsidR="0096696E" w:rsidRPr="008F19EC" w:rsidRDefault="0096696E" w:rsidP="001A5BF9">
            <w:pPr>
              <w:rPr>
                <w:rFonts w:cs="Arial"/>
                <w:b/>
                <w:sz w:val="16"/>
                <w:szCs w:val="16"/>
              </w:rPr>
            </w:pPr>
            <w:r w:rsidRPr="008F19EC">
              <w:rPr>
                <w:b/>
                <w:sz w:val="16"/>
              </w:rPr>
              <w:t>Données relatives à l</w:t>
            </w:r>
            <w:r w:rsidR="00A20444" w:rsidRPr="008F19EC">
              <w:rPr>
                <w:b/>
                <w:sz w:val="16"/>
              </w:rPr>
              <w:t>’</w:t>
            </w:r>
            <w:r w:rsidRPr="008F19EC">
              <w:rPr>
                <w:b/>
                <w:sz w:val="16"/>
              </w:rPr>
              <w:t>exécution</w:t>
            </w:r>
          </w:p>
        </w:tc>
        <w:tc>
          <w:tcPr>
            <w:tcW w:w="660" w:type="pct"/>
            <w:tcBorders>
              <w:top w:val="single" w:sz="4" w:space="0" w:color="auto"/>
            </w:tcBorders>
            <w:shd w:val="clear" w:color="auto" w:fill="auto"/>
            <w:tcMar>
              <w:top w:w="110" w:type="dxa"/>
            </w:tcMar>
            <w:vAlign w:val="center"/>
          </w:tcPr>
          <w:p w:rsidR="0096696E" w:rsidRPr="008F19EC" w:rsidRDefault="0096696E" w:rsidP="001A5BF9">
            <w:pPr>
              <w:keepNext/>
              <w:keepLines/>
              <w:jc w:val="center"/>
              <w:rPr>
                <w:rFonts w:cs="Arial"/>
                <w:b/>
                <w:bCs/>
                <w:sz w:val="16"/>
                <w:szCs w:val="16"/>
              </w:rPr>
            </w:pPr>
            <w:r w:rsidRPr="008F19EC">
              <w:rPr>
                <w:b/>
                <w:sz w:val="16"/>
              </w:rPr>
              <w:t>Code de couleurs</w:t>
            </w:r>
          </w:p>
        </w:tc>
      </w:tr>
      <w:tr w:rsidR="00636D8B" w:rsidRPr="005C7CCE" w:rsidTr="008F19EC">
        <w:trPr>
          <w:cantSplit/>
        </w:trPr>
        <w:tc>
          <w:tcPr>
            <w:tcW w:w="1024" w:type="pct"/>
            <w:shd w:val="clear" w:color="auto" w:fill="auto"/>
          </w:tcPr>
          <w:p w:rsidR="0096696E" w:rsidRPr="008F19EC" w:rsidRDefault="0096696E" w:rsidP="001A5BF9">
            <w:pPr>
              <w:rPr>
                <w:rFonts w:cs="Arial"/>
                <w:sz w:val="16"/>
                <w:szCs w:val="16"/>
              </w:rPr>
            </w:pPr>
            <w:r w:rsidRPr="008F19EC">
              <w:rPr>
                <w:sz w:val="16"/>
              </w:rPr>
              <w:t>Prise en considération accrue de l</w:t>
            </w:r>
            <w:r w:rsidR="00A20444" w:rsidRPr="008F19EC">
              <w:rPr>
                <w:sz w:val="16"/>
              </w:rPr>
              <w:t>’</w:t>
            </w:r>
            <w:r w:rsidRPr="008F19EC">
              <w:rPr>
                <w:sz w:val="16"/>
              </w:rPr>
              <w:t>utilisation de services de règlement extrajudiciaire des litiges dans les transactions de propriété intellectuelle, notamment par le recours aux procédures de l</w:t>
            </w:r>
            <w:r w:rsidR="00A20444" w:rsidRPr="008F19EC">
              <w:rPr>
                <w:sz w:val="16"/>
              </w:rPr>
              <w:t>’</w:t>
            </w:r>
            <w:r w:rsidRPr="008F19EC">
              <w:rPr>
                <w:sz w:val="16"/>
              </w:rPr>
              <w:t>OMPI</w:t>
            </w:r>
          </w:p>
        </w:tc>
        <w:tc>
          <w:tcPr>
            <w:tcW w:w="1363" w:type="pct"/>
            <w:shd w:val="clear" w:color="auto" w:fill="auto"/>
          </w:tcPr>
          <w:p w:rsidR="00D42474" w:rsidRDefault="0096696E" w:rsidP="001A5BF9">
            <w:pPr>
              <w:autoSpaceDE w:val="0"/>
              <w:autoSpaceDN w:val="0"/>
              <w:adjustRightInd w:val="0"/>
              <w:rPr>
                <w:rFonts w:cs="Arial"/>
                <w:i/>
                <w:color w:val="002060"/>
                <w:sz w:val="16"/>
                <w:szCs w:val="16"/>
              </w:rPr>
            </w:pPr>
            <w:r w:rsidRPr="005C7CCE">
              <w:rPr>
                <w:i/>
                <w:color w:val="002060"/>
                <w:sz w:val="16"/>
              </w:rPr>
              <w:t xml:space="preserve">Niveau de référence actualisé fin 2011 : </w:t>
            </w:r>
            <w:r w:rsidRPr="005C7CCE">
              <w:rPr>
                <w:color w:val="002060"/>
                <w:sz w:val="16"/>
              </w:rPr>
              <w:t>269 litiges et 65 bons offices (fin 2011)</w:t>
            </w:r>
          </w:p>
          <w:p w:rsidR="00D42474" w:rsidRDefault="00D42474" w:rsidP="001A5BF9">
            <w:pPr>
              <w:rPr>
                <w:rFonts w:cs="Arial"/>
                <w:color w:val="002060"/>
                <w:sz w:val="16"/>
                <w:szCs w:val="16"/>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225 litiges et 50 bons offices (fin 2010)</w:t>
            </w:r>
          </w:p>
        </w:tc>
        <w:tc>
          <w:tcPr>
            <w:tcW w:w="747" w:type="pct"/>
            <w:shd w:val="clear" w:color="auto" w:fill="auto"/>
            <w:tcMar>
              <w:top w:w="110" w:type="dxa"/>
            </w:tcMar>
          </w:tcPr>
          <w:p w:rsidR="0096696E" w:rsidRPr="008F19EC" w:rsidRDefault="0096696E" w:rsidP="001A5BF9">
            <w:pPr>
              <w:autoSpaceDE w:val="0"/>
              <w:autoSpaceDN w:val="0"/>
              <w:adjustRightInd w:val="0"/>
              <w:rPr>
                <w:rFonts w:cs="Arial"/>
                <w:sz w:val="16"/>
                <w:szCs w:val="16"/>
              </w:rPr>
            </w:pPr>
            <w:r w:rsidRPr="008F19EC">
              <w:rPr>
                <w:sz w:val="16"/>
              </w:rPr>
              <w:t xml:space="preserve">20 litiges et bons offices supplémentaires </w:t>
            </w:r>
          </w:p>
        </w:tc>
        <w:tc>
          <w:tcPr>
            <w:tcW w:w="1206" w:type="pct"/>
            <w:shd w:val="clear" w:color="auto" w:fill="FFFFFF"/>
            <w:tcMar>
              <w:top w:w="110" w:type="dxa"/>
            </w:tcMar>
          </w:tcPr>
          <w:p w:rsidR="00D42474" w:rsidRDefault="0096696E" w:rsidP="001A5BF9">
            <w:pPr>
              <w:rPr>
                <w:sz w:val="16"/>
              </w:rPr>
            </w:pPr>
            <w:r w:rsidRPr="008F19EC">
              <w:rPr>
                <w:sz w:val="16"/>
              </w:rPr>
              <w:t xml:space="preserve">375 litiges et </w:t>
            </w:r>
            <w:r w:rsidR="00BD43F2" w:rsidRPr="008F19EC">
              <w:rPr>
                <w:sz w:val="16"/>
              </w:rPr>
              <w:t>95 </w:t>
            </w:r>
            <w:r w:rsidRPr="008F19EC">
              <w:rPr>
                <w:sz w:val="16"/>
              </w:rPr>
              <w:t>bons offices (cumul à la fin de 2013)</w:t>
            </w:r>
          </w:p>
          <w:p w:rsidR="00D42474" w:rsidRDefault="00D42474" w:rsidP="001A5BF9">
            <w:pPr>
              <w:rPr>
                <w:rFonts w:cs="Arial"/>
                <w:sz w:val="16"/>
                <w:szCs w:val="16"/>
                <w:lang w:bidi="th-TH"/>
              </w:rPr>
            </w:pPr>
          </w:p>
          <w:p w:rsidR="0096696E" w:rsidRPr="008F19EC" w:rsidRDefault="0096696E" w:rsidP="001A5BF9">
            <w:pPr>
              <w:rPr>
                <w:rFonts w:cs="Arial"/>
                <w:sz w:val="16"/>
                <w:szCs w:val="16"/>
              </w:rPr>
            </w:pPr>
            <w:r w:rsidRPr="008F19EC">
              <w:rPr>
                <w:sz w:val="16"/>
              </w:rPr>
              <w:t>136 litiges supplémentaires (médiations, arbitrages et décisions d</w:t>
            </w:r>
            <w:r w:rsidR="00A20444" w:rsidRPr="008F19EC">
              <w:rPr>
                <w:sz w:val="16"/>
              </w:rPr>
              <w:t>’</w:t>
            </w:r>
            <w:r w:rsidRPr="008F19EC">
              <w:rPr>
                <w:sz w:val="16"/>
              </w:rPr>
              <w:t>experts) et bons offices</w:t>
            </w:r>
          </w:p>
        </w:tc>
        <w:tc>
          <w:tcPr>
            <w:tcW w:w="660" w:type="pct"/>
            <w:shd w:val="clear" w:color="auto" w:fill="auto"/>
            <w:tcMar>
              <w:top w:w="110" w:type="dxa"/>
            </w:tcMar>
          </w:tcPr>
          <w:p w:rsidR="0096696E" w:rsidRPr="008F19EC" w:rsidRDefault="0096696E" w:rsidP="001A5BF9">
            <w:pPr>
              <w:keepNext/>
              <w:keepLines/>
              <w:jc w:val="center"/>
              <w:rPr>
                <w:rFonts w:cs="Arial"/>
                <w:bCs/>
                <w:color w:val="008000"/>
                <w:sz w:val="16"/>
                <w:szCs w:val="16"/>
              </w:rPr>
            </w:pPr>
            <w:r w:rsidRPr="00B470C6">
              <w:rPr>
                <w:color w:val="008000"/>
                <w:sz w:val="16"/>
              </w:rPr>
              <w:t>Objectif pleinement atteint</w:t>
            </w:r>
          </w:p>
        </w:tc>
      </w:tr>
      <w:tr w:rsidR="00636D8B" w:rsidRPr="005C7CCE" w:rsidTr="008F19EC">
        <w:trPr>
          <w:cantSplit/>
        </w:trPr>
        <w:tc>
          <w:tcPr>
            <w:tcW w:w="1024" w:type="pct"/>
            <w:shd w:val="clear" w:color="auto" w:fill="auto"/>
          </w:tcPr>
          <w:p w:rsidR="0096696E" w:rsidRPr="008F19EC" w:rsidRDefault="0096696E" w:rsidP="001A5BF9">
            <w:pPr>
              <w:rPr>
                <w:rFonts w:cs="Arial"/>
                <w:sz w:val="16"/>
                <w:szCs w:val="16"/>
              </w:rPr>
            </w:pPr>
          </w:p>
        </w:tc>
        <w:tc>
          <w:tcPr>
            <w:tcW w:w="1363" w:type="pct"/>
            <w:shd w:val="clear" w:color="auto" w:fill="auto"/>
          </w:tcPr>
          <w:p w:rsidR="0096696E" w:rsidRPr="005C7CCE" w:rsidRDefault="0096696E" w:rsidP="001A5BF9">
            <w:pPr>
              <w:rPr>
                <w:rFonts w:cs="Arial"/>
                <w:sz w:val="16"/>
                <w:szCs w:val="16"/>
              </w:rPr>
            </w:pPr>
            <w:r w:rsidRPr="008F19EC">
              <w:rPr>
                <w:sz w:val="16"/>
              </w:rPr>
              <w:t>Résultats de l</w:t>
            </w:r>
            <w:r w:rsidR="00A20444" w:rsidRPr="008F19EC">
              <w:rPr>
                <w:sz w:val="16"/>
              </w:rPr>
              <w:t>’</w:t>
            </w:r>
            <w:r w:rsidRPr="008F19EC">
              <w:rPr>
                <w:sz w:val="16"/>
              </w:rPr>
              <w:t>enquête sur le Centre</w:t>
            </w:r>
          </w:p>
        </w:tc>
        <w:tc>
          <w:tcPr>
            <w:tcW w:w="747" w:type="pct"/>
            <w:shd w:val="clear" w:color="auto" w:fill="auto"/>
            <w:tcMar>
              <w:top w:w="110" w:type="dxa"/>
            </w:tcMar>
          </w:tcPr>
          <w:p w:rsidR="0096696E" w:rsidRPr="008F19EC" w:rsidRDefault="0096696E" w:rsidP="001A5BF9">
            <w:pPr>
              <w:rPr>
                <w:rFonts w:cs="Arial"/>
                <w:sz w:val="16"/>
                <w:szCs w:val="16"/>
              </w:rPr>
            </w:pPr>
            <w:r w:rsidRPr="008F19EC">
              <w:rPr>
                <w:sz w:val="16"/>
              </w:rPr>
              <w:t>Résultats de l</w:t>
            </w:r>
            <w:r w:rsidR="00A20444" w:rsidRPr="008F19EC">
              <w:rPr>
                <w:sz w:val="16"/>
              </w:rPr>
              <w:t>’</w:t>
            </w:r>
            <w:r w:rsidRPr="008F19EC">
              <w:rPr>
                <w:sz w:val="16"/>
              </w:rPr>
              <w:t xml:space="preserve">enquête sur le Centre </w:t>
            </w:r>
          </w:p>
        </w:tc>
        <w:tc>
          <w:tcPr>
            <w:tcW w:w="1206" w:type="pct"/>
            <w:shd w:val="clear" w:color="auto" w:fill="FFFFFF"/>
            <w:tcMar>
              <w:top w:w="110" w:type="dxa"/>
            </w:tcMar>
          </w:tcPr>
          <w:p w:rsidR="0096696E" w:rsidRPr="008F19EC" w:rsidRDefault="0096696E" w:rsidP="001A5BF9">
            <w:pPr>
              <w:rPr>
                <w:rFonts w:cs="Arial"/>
                <w:sz w:val="16"/>
                <w:szCs w:val="16"/>
              </w:rPr>
            </w:pPr>
            <w:r w:rsidRPr="008F19EC">
              <w:rPr>
                <w:sz w:val="16"/>
              </w:rPr>
              <w:t xml:space="preserve">Rapport publié : </w:t>
            </w:r>
            <w:proofErr w:type="spellStart"/>
            <w:r w:rsidRPr="008F19EC">
              <w:rPr>
                <w:sz w:val="16"/>
              </w:rPr>
              <w:t>Results</w:t>
            </w:r>
            <w:proofErr w:type="spellEnd"/>
            <w:r w:rsidRPr="008F19EC">
              <w:rPr>
                <w:sz w:val="16"/>
              </w:rPr>
              <w:t xml:space="preserve"> of the WIPO Arbitration and </w:t>
            </w:r>
            <w:proofErr w:type="spellStart"/>
            <w:r w:rsidRPr="008F19EC">
              <w:rPr>
                <w:sz w:val="16"/>
              </w:rPr>
              <w:t>Mediation</w:t>
            </w:r>
            <w:proofErr w:type="spellEnd"/>
            <w:r w:rsidRPr="008F19EC">
              <w:rPr>
                <w:sz w:val="16"/>
              </w:rPr>
              <w:t xml:space="preserve"> Center International Survey on Dispute </w:t>
            </w:r>
            <w:proofErr w:type="spellStart"/>
            <w:r w:rsidRPr="008F19EC">
              <w:rPr>
                <w:sz w:val="16"/>
              </w:rPr>
              <w:t>Resolution</w:t>
            </w:r>
            <w:proofErr w:type="spellEnd"/>
            <w:r w:rsidRPr="008F19EC">
              <w:rPr>
                <w:sz w:val="16"/>
              </w:rPr>
              <w:t xml:space="preserve"> in International </w:t>
            </w:r>
            <w:proofErr w:type="spellStart"/>
            <w:r w:rsidRPr="008F19EC">
              <w:rPr>
                <w:sz w:val="16"/>
              </w:rPr>
              <w:t>Technology</w:t>
            </w:r>
            <w:proofErr w:type="spellEnd"/>
            <w:r w:rsidRPr="008F19EC">
              <w:rPr>
                <w:sz w:val="16"/>
              </w:rPr>
              <w:t xml:space="preserve"> Transactions (Résultats de l</w:t>
            </w:r>
            <w:r w:rsidR="00A20444" w:rsidRPr="008F19EC">
              <w:rPr>
                <w:sz w:val="16"/>
              </w:rPr>
              <w:t>’</w:t>
            </w:r>
            <w:r w:rsidRPr="008F19EC">
              <w:rPr>
                <w:sz w:val="16"/>
              </w:rPr>
              <w:t>enquête internationale du Centre d</w:t>
            </w:r>
            <w:r w:rsidR="00A20444" w:rsidRPr="008F19EC">
              <w:rPr>
                <w:sz w:val="16"/>
              </w:rPr>
              <w:t>’</w:t>
            </w:r>
            <w:r w:rsidRPr="008F19EC">
              <w:rPr>
                <w:sz w:val="16"/>
              </w:rPr>
              <w:t>arbitrage et de médiation de l</w:t>
            </w:r>
            <w:r w:rsidR="00A20444" w:rsidRPr="008F19EC">
              <w:rPr>
                <w:sz w:val="16"/>
              </w:rPr>
              <w:t>’</w:t>
            </w:r>
            <w:r w:rsidRPr="008F19EC">
              <w:rPr>
                <w:sz w:val="16"/>
              </w:rPr>
              <w:t>OMPI sur le règlement des litiges relatifs à des transactions en matière de technologie)</w:t>
            </w:r>
            <w:r w:rsidRPr="008F19EC">
              <w:rPr>
                <w:rStyle w:val="FootnoteReference"/>
                <w:sz w:val="16"/>
              </w:rPr>
              <w:footnoteReference w:id="15"/>
            </w:r>
          </w:p>
        </w:tc>
        <w:tc>
          <w:tcPr>
            <w:tcW w:w="660" w:type="pct"/>
            <w:shd w:val="clear" w:color="auto" w:fill="auto"/>
            <w:tcMar>
              <w:top w:w="110" w:type="dxa"/>
            </w:tcMar>
          </w:tcPr>
          <w:p w:rsidR="0096696E" w:rsidRPr="008F19EC" w:rsidRDefault="0096696E" w:rsidP="001A5BF9">
            <w:pPr>
              <w:keepNext/>
              <w:keepLines/>
              <w:jc w:val="center"/>
              <w:rPr>
                <w:rFonts w:cs="Arial"/>
                <w:bCs/>
                <w:color w:val="008000"/>
                <w:sz w:val="16"/>
                <w:szCs w:val="16"/>
              </w:rPr>
            </w:pPr>
            <w:r w:rsidRPr="00B470C6">
              <w:rPr>
                <w:color w:val="008000"/>
                <w:sz w:val="16"/>
              </w:rPr>
              <w:t>Objectif pleinement atteint</w:t>
            </w:r>
          </w:p>
        </w:tc>
      </w:tr>
      <w:tr w:rsidR="00636D8B" w:rsidRPr="005C7CCE" w:rsidTr="008F19EC">
        <w:trPr>
          <w:cantSplit/>
        </w:trPr>
        <w:tc>
          <w:tcPr>
            <w:tcW w:w="1024" w:type="pct"/>
            <w:shd w:val="clear" w:color="auto" w:fill="auto"/>
          </w:tcPr>
          <w:p w:rsidR="0096696E" w:rsidRPr="008F19EC" w:rsidRDefault="0096696E" w:rsidP="001A5BF9">
            <w:pPr>
              <w:rPr>
                <w:rFonts w:cs="Arial"/>
                <w:sz w:val="16"/>
                <w:szCs w:val="16"/>
              </w:rPr>
            </w:pPr>
          </w:p>
        </w:tc>
        <w:tc>
          <w:tcPr>
            <w:tcW w:w="1363" w:type="pct"/>
            <w:shd w:val="clear" w:color="auto" w:fill="auto"/>
          </w:tcPr>
          <w:p w:rsidR="00D42474" w:rsidRDefault="0096696E" w:rsidP="001A5BF9">
            <w:pPr>
              <w:autoSpaceDE w:val="0"/>
              <w:autoSpaceDN w:val="0"/>
              <w:adjustRightInd w:val="0"/>
              <w:rPr>
                <w:rFonts w:cs="Arial"/>
                <w:i/>
                <w:color w:val="002060"/>
                <w:sz w:val="16"/>
                <w:szCs w:val="16"/>
              </w:rPr>
            </w:pPr>
            <w:r w:rsidRPr="005C7CCE">
              <w:rPr>
                <w:i/>
                <w:color w:val="002060"/>
                <w:sz w:val="16"/>
              </w:rPr>
              <w:t xml:space="preserve">Niveau de référence actualisé fin 2011 : </w:t>
            </w:r>
            <w:r w:rsidR="0010442A" w:rsidRPr="005C7CCE">
              <w:rPr>
                <w:color w:val="002060"/>
                <w:sz w:val="16"/>
              </w:rPr>
              <w:t>4000</w:t>
            </w:r>
            <w:r w:rsidRPr="005C7CCE">
              <w:rPr>
                <w:color w:val="002060"/>
                <w:sz w:val="16"/>
              </w:rPr>
              <w:t> demandes (2010</w:t>
            </w:r>
            <w:r w:rsidR="002D6F2A" w:rsidRPr="005C7CCE">
              <w:rPr>
                <w:color w:val="002060"/>
                <w:sz w:val="16"/>
              </w:rPr>
              <w:noBreakHyphen/>
            </w:r>
            <w:r w:rsidRPr="005C7CCE">
              <w:rPr>
                <w:color w:val="002060"/>
                <w:sz w:val="16"/>
              </w:rPr>
              <w:t>2011)</w:t>
            </w:r>
          </w:p>
          <w:p w:rsidR="00D42474" w:rsidRDefault="00D42474" w:rsidP="001A5BF9">
            <w:pPr>
              <w:rPr>
                <w:rFonts w:cs="Arial"/>
                <w:color w:val="002060"/>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w:t>
            </w:r>
            <w:r w:rsidR="0010442A" w:rsidRPr="005C7CCE">
              <w:rPr>
                <w:sz w:val="16"/>
              </w:rPr>
              <w:t>2000</w:t>
            </w:r>
            <w:r w:rsidRPr="005C7CCE">
              <w:rPr>
                <w:sz w:val="16"/>
              </w:rPr>
              <w:t> demandes (2010)</w:t>
            </w:r>
          </w:p>
        </w:tc>
        <w:tc>
          <w:tcPr>
            <w:tcW w:w="747" w:type="pct"/>
            <w:shd w:val="clear" w:color="auto" w:fill="auto"/>
            <w:tcMar>
              <w:top w:w="110" w:type="dxa"/>
            </w:tcMar>
          </w:tcPr>
          <w:p w:rsidR="00D42474" w:rsidRDefault="0096696E" w:rsidP="001A5BF9">
            <w:pPr>
              <w:autoSpaceDE w:val="0"/>
              <w:autoSpaceDN w:val="0"/>
              <w:adjustRightInd w:val="0"/>
              <w:rPr>
                <w:rFonts w:cs="Arial"/>
                <w:sz w:val="16"/>
                <w:szCs w:val="16"/>
              </w:rPr>
            </w:pPr>
            <w:r w:rsidRPr="008F19EC">
              <w:rPr>
                <w:sz w:val="16"/>
              </w:rPr>
              <w:t>4 000 demandes</w:t>
            </w:r>
          </w:p>
          <w:p w:rsidR="0096696E" w:rsidRPr="008F19EC" w:rsidRDefault="0096696E" w:rsidP="001A5BF9">
            <w:pPr>
              <w:rPr>
                <w:rFonts w:cs="Arial"/>
                <w:sz w:val="16"/>
                <w:szCs w:val="16"/>
              </w:rPr>
            </w:pPr>
            <w:r w:rsidRPr="008F19EC">
              <w:rPr>
                <w:sz w:val="16"/>
              </w:rPr>
              <w:t xml:space="preserve">supplémentaires </w:t>
            </w:r>
          </w:p>
        </w:tc>
        <w:tc>
          <w:tcPr>
            <w:tcW w:w="1206" w:type="pct"/>
            <w:shd w:val="clear" w:color="auto" w:fill="FFFFFF"/>
            <w:tcMar>
              <w:top w:w="110" w:type="dxa"/>
            </w:tcMar>
          </w:tcPr>
          <w:p w:rsidR="0096696E" w:rsidRPr="008F19EC" w:rsidRDefault="0096696E" w:rsidP="001A5BF9">
            <w:pPr>
              <w:rPr>
                <w:rFonts w:cs="Arial"/>
                <w:sz w:val="16"/>
                <w:szCs w:val="16"/>
              </w:rPr>
            </w:pPr>
            <w:r w:rsidRPr="008F19EC">
              <w:rPr>
                <w:sz w:val="16"/>
              </w:rPr>
              <w:t>4 000 demandes supplémentaires</w:t>
            </w:r>
          </w:p>
        </w:tc>
        <w:tc>
          <w:tcPr>
            <w:tcW w:w="660" w:type="pct"/>
            <w:shd w:val="clear" w:color="auto" w:fill="auto"/>
            <w:tcMar>
              <w:top w:w="110" w:type="dxa"/>
            </w:tcMar>
          </w:tcPr>
          <w:p w:rsidR="0096696E" w:rsidRPr="008F19EC" w:rsidRDefault="0096696E" w:rsidP="001A5BF9">
            <w:pPr>
              <w:keepNext/>
              <w:keepLines/>
              <w:jc w:val="center"/>
              <w:rPr>
                <w:rFonts w:cs="Arial"/>
                <w:bCs/>
                <w:color w:val="008000"/>
                <w:sz w:val="16"/>
                <w:szCs w:val="16"/>
              </w:rPr>
            </w:pPr>
            <w:r w:rsidRPr="00B470C6">
              <w:rPr>
                <w:color w:val="008000"/>
                <w:sz w:val="16"/>
              </w:rPr>
              <w:t>Objectif pleinement atteint</w:t>
            </w:r>
          </w:p>
        </w:tc>
      </w:tr>
      <w:tr w:rsidR="00636D8B" w:rsidRPr="005C7CCE" w:rsidTr="008F19EC">
        <w:trPr>
          <w:cantSplit/>
        </w:trPr>
        <w:tc>
          <w:tcPr>
            <w:tcW w:w="1024" w:type="pct"/>
            <w:shd w:val="clear" w:color="auto" w:fill="auto"/>
          </w:tcPr>
          <w:p w:rsidR="0096696E" w:rsidRPr="008F19EC" w:rsidRDefault="0096696E" w:rsidP="001A5BF9">
            <w:pPr>
              <w:rPr>
                <w:rFonts w:cs="Arial"/>
                <w:sz w:val="16"/>
                <w:szCs w:val="16"/>
              </w:rPr>
            </w:pPr>
          </w:p>
        </w:tc>
        <w:tc>
          <w:tcPr>
            <w:tcW w:w="1363" w:type="pct"/>
            <w:shd w:val="clear" w:color="auto" w:fill="auto"/>
          </w:tcPr>
          <w:p w:rsidR="00D42474" w:rsidRDefault="0096696E" w:rsidP="001A5BF9">
            <w:pPr>
              <w:autoSpaceDE w:val="0"/>
              <w:autoSpaceDN w:val="0"/>
              <w:adjustRightInd w:val="0"/>
              <w:rPr>
                <w:rFonts w:cs="Arial"/>
                <w:i/>
                <w:color w:val="002060"/>
                <w:sz w:val="16"/>
                <w:szCs w:val="16"/>
              </w:rPr>
            </w:pPr>
            <w:r w:rsidRPr="005C7CCE">
              <w:rPr>
                <w:i/>
                <w:color w:val="002060"/>
                <w:sz w:val="16"/>
              </w:rPr>
              <w:t xml:space="preserve">Niveau de référence actualisé fin 2011 : </w:t>
            </w:r>
            <w:r w:rsidRPr="005C7CCE">
              <w:rPr>
                <w:color w:val="002060"/>
                <w:sz w:val="16"/>
              </w:rPr>
              <w:t>30 millions de visites du site</w:t>
            </w:r>
            <w:r w:rsidR="0010442A" w:rsidRPr="005C7CCE">
              <w:rPr>
                <w:color w:val="002060"/>
                <w:sz w:val="16"/>
              </w:rPr>
              <w:t> </w:t>
            </w:r>
            <w:r w:rsidRPr="005C7CCE">
              <w:rPr>
                <w:color w:val="002060"/>
                <w:sz w:val="16"/>
              </w:rPr>
              <w:t>Web (2010</w:t>
            </w:r>
            <w:r w:rsidR="002D6F2A" w:rsidRPr="005C7CCE">
              <w:rPr>
                <w:color w:val="002060"/>
                <w:sz w:val="16"/>
              </w:rPr>
              <w:noBreakHyphen/>
            </w:r>
            <w:r w:rsidRPr="005C7CCE">
              <w:rPr>
                <w:color w:val="002060"/>
                <w:sz w:val="16"/>
              </w:rPr>
              <w:t>2011)</w:t>
            </w:r>
          </w:p>
          <w:p w:rsidR="00D42474" w:rsidRDefault="00D42474" w:rsidP="001A5BF9">
            <w:pPr>
              <w:rPr>
                <w:rFonts w:cs="Arial"/>
                <w:i/>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15 millions de visites du site</w:t>
            </w:r>
            <w:r w:rsidR="0010442A" w:rsidRPr="005C7CCE">
              <w:rPr>
                <w:sz w:val="16"/>
              </w:rPr>
              <w:t> </w:t>
            </w:r>
            <w:r w:rsidRPr="005C7CCE">
              <w:rPr>
                <w:sz w:val="16"/>
              </w:rPr>
              <w:t>Web (2010)</w:t>
            </w:r>
          </w:p>
        </w:tc>
        <w:tc>
          <w:tcPr>
            <w:tcW w:w="747" w:type="pct"/>
            <w:shd w:val="clear" w:color="auto" w:fill="auto"/>
            <w:tcMar>
              <w:top w:w="110" w:type="dxa"/>
            </w:tcMar>
          </w:tcPr>
          <w:p w:rsidR="0096696E" w:rsidRPr="008F19EC" w:rsidRDefault="0096696E" w:rsidP="001A5BF9">
            <w:pPr>
              <w:rPr>
                <w:rFonts w:cs="Arial"/>
                <w:sz w:val="16"/>
                <w:szCs w:val="16"/>
              </w:rPr>
            </w:pPr>
            <w:r w:rsidRPr="008F19EC">
              <w:rPr>
                <w:sz w:val="16"/>
              </w:rPr>
              <w:t>30</w:t>
            </w:r>
            <w:r w:rsidR="0010442A" w:rsidRPr="008F19EC">
              <w:rPr>
                <w:sz w:val="16"/>
              </w:rPr>
              <w:t> </w:t>
            </w:r>
            <w:r w:rsidRPr="008F19EC">
              <w:rPr>
                <w:sz w:val="16"/>
              </w:rPr>
              <w:t xml:space="preserve">millions </w:t>
            </w:r>
          </w:p>
        </w:tc>
        <w:tc>
          <w:tcPr>
            <w:tcW w:w="1206" w:type="pct"/>
            <w:shd w:val="clear" w:color="auto" w:fill="FFFFFF"/>
            <w:tcMar>
              <w:top w:w="110" w:type="dxa"/>
            </w:tcMar>
          </w:tcPr>
          <w:p w:rsidR="0096696E" w:rsidRPr="008F19EC" w:rsidRDefault="0096696E" w:rsidP="001A5BF9">
            <w:pPr>
              <w:rPr>
                <w:rFonts w:cs="Arial"/>
                <w:sz w:val="16"/>
                <w:szCs w:val="16"/>
              </w:rPr>
            </w:pPr>
            <w:r w:rsidRPr="008F19EC">
              <w:rPr>
                <w:sz w:val="16"/>
              </w:rPr>
              <w:t>3,5 millions de visites supplémentaires</w:t>
            </w:r>
          </w:p>
        </w:tc>
        <w:tc>
          <w:tcPr>
            <w:tcW w:w="660" w:type="pct"/>
            <w:shd w:val="clear" w:color="auto" w:fill="auto"/>
            <w:tcMar>
              <w:top w:w="110" w:type="dxa"/>
            </w:tcMar>
          </w:tcPr>
          <w:p w:rsidR="0096696E" w:rsidRPr="008F19EC" w:rsidRDefault="0096696E" w:rsidP="001A5BF9">
            <w:pPr>
              <w:keepNext/>
              <w:keepLines/>
              <w:jc w:val="center"/>
              <w:rPr>
                <w:rFonts w:cs="Arial"/>
                <w:bCs/>
                <w:sz w:val="16"/>
                <w:szCs w:val="16"/>
              </w:rPr>
            </w:pPr>
            <w:r w:rsidRPr="008F19EC">
              <w:rPr>
                <w:color w:val="FF0000"/>
                <w:sz w:val="16"/>
              </w:rPr>
              <w:t>Objectif pas atteint</w:t>
            </w:r>
          </w:p>
        </w:tc>
      </w:tr>
      <w:tr w:rsidR="00636D8B" w:rsidRPr="005C7CCE" w:rsidTr="008F19EC">
        <w:trPr>
          <w:cantSplit/>
        </w:trPr>
        <w:tc>
          <w:tcPr>
            <w:tcW w:w="1024" w:type="pct"/>
            <w:shd w:val="clear" w:color="auto" w:fill="auto"/>
          </w:tcPr>
          <w:p w:rsidR="0096696E" w:rsidRPr="008F19EC" w:rsidRDefault="0096696E" w:rsidP="001A5BF9">
            <w:pPr>
              <w:rPr>
                <w:rFonts w:cs="Arial"/>
                <w:sz w:val="16"/>
                <w:szCs w:val="16"/>
              </w:rPr>
            </w:pPr>
          </w:p>
        </w:tc>
        <w:tc>
          <w:tcPr>
            <w:tcW w:w="1363" w:type="pct"/>
            <w:shd w:val="clear" w:color="auto" w:fill="auto"/>
          </w:tcPr>
          <w:p w:rsidR="0096696E" w:rsidRPr="005C7CCE" w:rsidRDefault="0096696E" w:rsidP="001A5BF9">
            <w:pPr>
              <w:autoSpaceDE w:val="0"/>
              <w:autoSpaceDN w:val="0"/>
              <w:adjustRightInd w:val="0"/>
              <w:rPr>
                <w:rFonts w:cs="Arial"/>
                <w:i/>
                <w:color w:val="002060"/>
                <w:sz w:val="16"/>
                <w:szCs w:val="16"/>
              </w:rPr>
            </w:pPr>
            <w:r w:rsidRPr="005C7CCE">
              <w:rPr>
                <w:i/>
                <w:color w:val="002060"/>
                <w:sz w:val="16"/>
              </w:rPr>
              <w:t xml:space="preserve">Niveau de référence actualisé fin 2011 : </w:t>
            </w:r>
            <w:r w:rsidRPr="005C7CCE">
              <w:rPr>
                <w:color w:val="002060"/>
                <w:sz w:val="16"/>
              </w:rPr>
              <w:t>276 participants aux événements annuels du Centre (2010</w:t>
            </w:r>
            <w:r w:rsidR="002D6F2A" w:rsidRPr="005C7CCE">
              <w:rPr>
                <w:color w:val="002060"/>
                <w:sz w:val="16"/>
              </w:rPr>
              <w:noBreakHyphen/>
            </w:r>
            <w:r w:rsidRPr="005C7CCE">
              <w:rPr>
                <w:color w:val="002060"/>
                <w:sz w:val="16"/>
              </w:rPr>
              <w:t>2011);</w:t>
            </w:r>
            <w:r w:rsidR="004F3E42" w:rsidRPr="005C7CCE">
              <w:rPr>
                <w:color w:val="002060"/>
                <w:sz w:val="16"/>
              </w:rPr>
              <w:t xml:space="preserve"> </w:t>
            </w:r>
            <w:r w:rsidR="0010442A" w:rsidRPr="005C7CCE">
              <w:rPr>
                <w:color w:val="002060"/>
                <w:sz w:val="16"/>
              </w:rPr>
              <w:t xml:space="preserve"> 3000</w:t>
            </w:r>
            <w:r w:rsidRPr="005C7CCE">
              <w:rPr>
                <w:color w:val="002060"/>
                <w:sz w:val="16"/>
              </w:rPr>
              <w:t> participants aux événements externes du Centre (2010</w:t>
            </w:r>
            <w:r w:rsidR="002D6F2A" w:rsidRPr="005C7CCE">
              <w:rPr>
                <w:color w:val="002060"/>
                <w:sz w:val="16"/>
              </w:rPr>
              <w:noBreakHyphen/>
            </w:r>
            <w:r w:rsidRPr="005C7CCE">
              <w:rPr>
                <w:color w:val="002060"/>
                <w:sz w:val="16"/>
              </w:rPr>
              <w:t>2011)</w:t>
            </w:r>
          </w:p>
        </w:tc>
        <w:tc>
          <w:tcPr>
            <w:tcW w:w="747" w:type="pct"/>
            <w:shd w:val="clear" w:color="auto" w:fill="auto"/>
            <w:tcMar>
              <w:top w:w="110" w:type="dxa"/>
            </w:tcMar>
          </w:tcPr>
          <w:p w:rsidR="0096696E" w:rsidRPr="008F19EC" w:rsidRDefault="0096696E" w:rsidP="001A5BF9">
            <w:pPr>
              <w:rPr>
                <w:rFonts w:cs="Arial"/>
                <w:sz w:val="16"/>
                <w:szCs w:val="16"/>
              </w:rPr>
            </w:pPr>
            <w:r w:rsidRPr="008F19EC">
              <w:rPr>
                <w:sz w:val="16"/>
              </w:rPr>
              <w:t>250 participants aux événements annuels du centre;</w:t>
            </w:r>
            <w:r w:rsidR="004F3E42" w:rsidRPr="008F19EC">
              <w:rPr>
                <w:sz w:val="16"/>
              </w:rPr>
              <w:t xml:space="preserve"> </w:t>
            </w:r>
            <w:r w:rsidR="0010442A" w:rsidRPr="008F19EC">
              <w:rPr>
                <w:sz w:val="16"/>
              </w:rPr>
              <w:t xml:space="preserve"> 6000</w:t>
            </w:r>
            <w:r w:rsidRPr="008F19EC">
              <w:rPr>
                <w:sz w:val="16"/>
              </w:rPr>
              <w:t xml:space="preserve"> participants aux</w:t>
            </w:r>
            <w:r w:rsidR="004304AF" w:rsidRPr="008F19EC">
              <w:rPr>
                <w:sz w:val="16"/>
              </w:rPr>
              <w:t xml:space="preserve"> </w:t>
            </w:r>
            <w:r w:rsidRPr="008F19EC">
              <w:rPr>
                <w:sz w:val="16"/>
              </w:rPr>
              <w:t>événements externes du centre</w:t>
            </w:r>
          </w:p>
        </w:tc>
        <w:tc>
          <w:tcPr>
            <w:tcW w:w="1206" w:type="pct"/>
            <w:shd w:val="clear" w:color="auto" w:fill="FFFFFF"/>
            <w:tcMar>
              <w:top w:w="110" w:type="dxa"/>
            </w:tcMar>
          </w:tcPr>
          <w:p w:rsidR="00D42474" w:rsidRDefault="0096696E" w:rsidP="001A5BF9">
            <w:pPr>
              <w:rPr>
                <w:rFonts w:cs="Arial"/>
                <w:sz w:val="16"/>
                <w:szCs w:val="16"/>
                <w:lang w:bidi="th-TH"/>
              </w:rPr>
            </w:pPr>
            <w:r w:rsidRPr="008F19EC">
              <w:rPr>
                <w:sz w:val="16"/>
              </w:rPr>
              <w:t>408 participants aux événements annuels du Centre de l</w:t>
            </w:r>
            <w:r w:rsidR="00A20444" w:rsidRPr="008F19EC">
              <w:rPr>
                <w:sz w:val="16"/>
              </w:rPr>
              <w:t>’</w:t>
            </w:r>
            <w:r w:rsidRPr="008F19EC">
              <w:rPr>
                <w:sz w:val="16"/>
              </w:rPr>
              <w:t>OMPI</w:t>
            </w:r>
          </w:p>
          <w:p w:rsidR="00D42474" w:rsidRDefault="00D42474" w:rsidP="001A5BF9">
            <w:pPr>
              <w:rPr>
                <w:rFonts w:cs="Arial"/>
                <w:sz w:val="16"/>
                <w:szCs w:val="16"/>
                <w:lang w:bidi="th-TH"/>
              </w:rPr>
            </w:pPr>
          </w:p>
          <w:p w:rsidR="0096696E" w:rsidRPr="008F19EC" w:rsidRDefault="0096696E" w:rsidP="001A5BF9">
            <w:pPr>
              <w:rPr>
                <w:rFonts w:cs="Arial"/>
                <w:sz w:val="16"/>
                <w:szCs w:val="16"/>
              </w:rPr>
            </w:pPr>
            <w:r w:rsidRPr="008F19EC">
              <w:rPr>
                <w:sz w:val="16"/>
              </w:rPr>
              <w:t>4 000 participants aux événements externes du Centre de l</w:t>
            </w:r>
            <w:r w:rsidR="00A20444" w:rsidRPr="008F19EC">
              <w:rPr>
                <w:sz w:val="16"/>
              </w:rPr>
              <w:t>’</w:t>
            </w:r>
            <w:r w:rsidRPr="008F19EC">
              <w:rPr>
                <w:sz w:val="16"/>
              </w:rPr>
              <w:t>OMPI</w:t>
            </w:r>
          </w:p>
        </w:tc>
        <w:tc>
          <w:tcPr>
            <w:tcW w:w="660" w:type="pct"/>
            <w:shd w:val="clear" w:color="auto" w:fill="auto"/>
            <w:tcMar>
              <w:top w:w="110" w:type="dxa"/>
            </w:tcMar>
          </w:tcPr>
          <w:p w:rsidR="0096696E" w:rsidRPr="008F19EC" w:rsidRDefault="0015421B" w:rsidP="001A5BF9">
            <w:pPr>
              <w:keepNext/>
              <w:keepLines/>
              <w:jc w:val="center"/>
              <w:rPr>
                <w:rFonts w:cs="Arial"/>
                <w:bCs/>
                <w:sz w:val="16"/>
                <w:szCs w:val="16"/>
              </w:rPr>
            </w:pPr>
            <w:r w:rsidRPr="008F19EC">
              <w:rPr>
                <w:sz w:val="16"/>
              </w:rPr>
              <w:t>Objectif partiellement atteint</w:t>
            </w:r>
          </w:p>
        </w:tc>
      </w:tr>
      <w:tr w:rsidR="00636D8B" w:rsidRPr="005C7CCE" w:rsidTr="008F19EC">
        <w:trPr>
          <w:cantSplit/>
        </w:trPr>
        <w:tc>
          <w:tcPr>
            <w:tcW w:w="1024" w:type="pct"/>
            <w:shd w:val="clear" w:color="auto" w:fill="auto"/>
          </w:tcPr>
          <w:p w:rsidR="0096696E" w:rsidRPr="008F19EC" w:rsidRDefault="0096696E" w:rsidP="001A5BF9">
            <w:pPr>
              <w:keepNext/>
              <w:keepLines/>
              <w:rPr>
                <w:rFonts w:cs="Arial"/>
                <w:sz w:val="16"/>
                <w:szCs w:val="16"/>
              </w:rPr>
            </w:pPr>
          </w:p>
        </w:tc>
        <w:tc>
          <w:tcPr>
            <w:tcW w:w="1363" w:type="pct"/>
            <w:shd w:val="clear" w:color="auto" w:fill="auto"/>
          </w:tcPr>
          <w:p w:rsidR="0096696E" w:rsidRPr="005C7CCE" w:rsidRDefault="0096696E" w:rsidP="001A5BF9">
            <w:pPr>
              <w:keepNext/>
              <w:keepLines/>
              <w:autoSpaceDE w:val="0"/>
              <w:autoSpaceDN w:val="0"/>
              <w:adjustRightInd w:val="0"/>
              <w:rPr>
                <w:rFonts w:cs="Arial"/>
                <w:i/>
                <w:color w:val="002060"/>
                <w:spacing w:val="-4"/>
                <w:sz w:val="16"/>
                <w:szCs w:val="16"/>
              </w:rPr>
            </w:pPr>
            <w:r w:rsidRPr="005C7CCE">
              <w:rPr>
                <w:i/>
                <w:spacing w:val="-4"/>
                <w:sz w:val="16"/>
              </w:rPr>
              <w:t xml:space="preserve">Niveau de référence initial </w:t>
            </w:r>
            <w:r w:rsidR="00667FB3">
              <w:rPr>
                <w:i/>
                <w:spacing w:val="-4"/>
                <w:sz w:val="16"/>
              </w:rPr>
              <w:t>programme et budget</w:t>
            </w:r>
            <w:r w:rsidRPr="005C7CCE">
              <w:rPr>
                <w:i/>
                <w:spacing w:val="-4"/>
                <w:sz w:val="16"/>
              </w:rPr>
              <w:t> 2012</w:t>
            </w:r>
            <w:r w:rsidR="002D6F2A" w:rsidRPr="005C7CCE">
              <w:rPr>
                <w:i/>
                <w:spacing w:val="-4"/>
                <w:sz w:val="16"/>
              </w:rPr>
              <w:noBreakHyphen/>
            </w:r>
            <w:r w:rsidRPr="005C7CCE">
              <w:rPr>
                <w:i/>
                <w:spacing w:val="-4"/>
                <w:sz w:val="16"/>
              </w:rPr>
              <w:t>2013 :</w:t>
            </w:r>
            <w:r w:rsidRPr="005C7CCE">
              <w:rPr>
                <w:spacing w:val="-4"/>
                <w:sz w:val="16"/>
              </w:rPr>
              <w:t xml:space="preserve"> </w:t>
            </w:r>
            <w:r w:rsidRPr="005C7CCE">
              <w:rPr>
                <w:rFonts w:cs="Arial"/>
                <w:spacing w:val="-4"/>
                <w:sz w:val="16"/>
                <w:szCs w:val="16"/>
                <w:lang w:eastAsia="en-US"/>
              </w:rPr>
              <w:t xml:space="preserve">125 participants aux événements annuels du Centre (2010); </w:t>
            </w:r>
            <w:r w:rsidR="0010442A" w:rsidRPr="005C7CCE">
              <w:rPr>
                <w:rFonts w:cs="Arial"/>
                <w:spacing w:val="-4"/>
                <w:sz w:val="16"/>
                <w:szCs w:val="16"/>
                <w:lang w:eastAsia="en-US"/>
              </w:rPr>
              <w:t xml:space="preserve"> </w:t>
            </w:r>
            <w:r w:rsidRPr="005C7CCE">
              <w:rPr>
                <w:rFonts w:cs="Arial"/>
                <w:spacing w:val="-4"/>
                <w:sz w:val="16"/>
                <w:szCs w:val="16"/>
                <w:lang w:eastAsia="en-US"/>
              </w:rPr>
              <w:br/>
              <w:t>3 000 participants aux événements externes du Centre (2010)</w:t>
            </w:r>
          </w:p>
        </w:tc>
        <w:tc>
          <w:tcPr>
            <w:tcW w:w="747" w:type="pct"/>
            <w:shd w:val="clear" w:color="auto" w:fill="auto"/>
            <w:tcMar>
              <w:top w:w="110" w:type="dxa"/>
            </w:tcMar>
          </w:tcPr>
          <w:p w:rsidR="0096696E" w:rsidRPr="008F19EC" w:rsidRDefault="0096696E" w:rsidP="001A5BF9">
            <w:pPr>
              <w:keepNext/>
              <w:keepLines/>
              <w:autoSpaceDE w:val="0"/>
              <w:autoSpaceDN w:val="0"/>
              <w:adjustRightInd w:val="0"/>
              <w:rPr>
                <w:rFonts w:cs="Arial"/>
                <w:sz w:val="16"/>
                <w:szCs w:val="16"/>
              </w:rPr>
            </w:pPr>
          </w:p>
        </w:tc>
        <w:tc>
          <w:tcPr>
            <w:tcW w:w="1206" w:type="pct"/>
            <w:shd w:val="clear" w:color="auto" w:fill="FFFFFF"/>
            <w:tcMar>
              <w:top w:w="110" w:type="dxa"/>
            </w:tcMar>
          </w:tcPr>
          <w:p w:rsidR="0096696E" w:rsidRPr="008F19EC" w:rsidRDefault="0096696E" w:rsidP="001A5BF9">
            <w:pPr>
              <w:keepNext/>
              <w:keepLines/>
              <w:rPr>
                <w:rFonts w:cs="Arial"/>
                <w:sz w:val="16"/>
                <w:szCs w:val="16"/>
                <w:lang w:bidi="th-TH"/>
              </w:rPr>
            </w:pPr>
          </w:p>
        </w:tc>
        <w:tc>
          <w:tcPr>
            <w:tcW w:w="660" w:type="pct"/>
            <w:shd w:val="clear" w:color="auto" w:fill="auto"/>
            <w:tcMar>
              <w:top w:w="110" w:type="dxa"/>
            </w:tcMar>
          </w:tcPr>
          <w:p w:rsidR="0096696E" w:rsidRPr="008F19EC" w:rsidRDefault="0096696E" w:rsidP="001A5BF9">
            <w:pPr>
              <w:keepNext/>
              <w:keepLines/>
              <w:jc w:val="center"/>
              <w:rPr>
                <w:rFonts w:cs="Arial"/>
                <w:bCs/>
                <w:sz w:val="16"/>
                <w:szCs w:val="16"/>
              </w:rPr>
            </w:pPr>
          </w:p>
        </w:tc>
      </w:tr>
      <w:tr w:rsidR="00636D8B" w:rsidRPr="005C7CCE" w:rsidTr="008F19EC">
        <w:trPr>
          <w:cantSplit/>
        </w:trPr>
        <w:tc>
          <w:tcPr>
            <w:tcW w:w="1024" w:type="pct"/>
            <w:tcBorders>
              <w:bottom w:val="single" w:sz="4" w:space="0" w:color="auto"/>
            </w:tcBorders>
            <w:shd w:val="clear" w:color="auto" w:fill="auto"/>
          </w:tcPr>
          <w:p w:rsidR="0096696E" w:rsidRPr="008F19EC" w:rsidRDefault="0096696E" w:rsidP="001A5BF9">
            <w:pPr>
              <w:rPr>
                <w:rFonts w:cs="Arial"/>
                <w:spacing w:val="-4"/>
                <w:sz w:val="16"/>
                <w:szCs w:val="16"/>
              </w:rPr>
            </w:pPr>
            <w:r w:rsidRPr="008F19EC">
              <w:rPr>
                <w:spacing w:val="-4"/>
                <w:sz w:val="16"/>
              </w:rPr>
              <w:t>Politiques de règlement extrajudiciaire des litiges à l</w:t>
            </w:r>
            <w:r w:rsidR="00A20444" w:rsidRPr="008F19EC">
              <w:rPr>
                <w:spacing w:val="-4"/>
                <w:sz w:val="16"/>
              </w:rPr>
              <w:t>’</w:t>
            </w:r>
            <w:r w:rsidRPr="008F19EC">
              <w:rPr>
                <w:spacing w:val="-4"/>
                <w:sz w:val="16"/>
              </w:rPr>
              <w:t>élaboration et la mise en œuvre desquelles le Centre a contribué</w:t>
            </w:r>
          </w:p>
        </w:tc>
        <w:tc>
          <w:tcPr>
            <w:tcW w:w="1363" w:type="pct"/>
            <w:tcBorders>
              <w:bottom w:val="single" w:sz="4" w:space="0" w:color="auto"/>
            </w:tcBorders>
            <w:shd w:val="clear" w:color="auto" w:fill="auto"/>
          </w:tcPr>
          <w:p w:rsidR="0096696E" w:rsidRPr="00733F94" w:rsidRDefault="0096696E" w:rsidP="001A5BF9">
            <w:pPr>
              <w:rPr>
                <w:rFonts w:cs="Arial"/>
                <w:sz w:val="16"/>
                <w:szCs w:val="16"/>
                <w:lang w:val="en-US"/>
              </w:rPr>
            </w:pPr>
            <w:proofErr w:type="spellStart"/>
            <w:r w:rsidRPr="00733F94">
              <w:rPr>
                <w:sz w:val="16"/>
                <w:lang w:val="en-US"/>
              </w:rPr>
              <w:t>Systèmes</w:t>
            </w:r>
            <w:proofErr w:type="spellEnd"/>
            <w:r w:rsidRPr="00733F94">
              <w:rPr>
                <w:sz w:val="16"/>
                <w:lang w:val="en-US"/>
              </w:rPr>
              <w:t xml:space="preserve"> </w:t>
            </w:r>
            <w:proofErr w:type="spellStart"/>
            <w:r w:rsidRPr="00733F94">
              <w:rPr>
                <w:sz w:val="16"/>
                <w:lang w:val="en-US"/>
              </w:rPr>
              <w:t>adoptés</w:t>
            </w:r>
            <w:proofErr w:type="spellEnd"/>
            <w:r w:rsidRPr="00733F94">
              <w:rPr>
                <w:sz w:val="16"/>
                <w:lang w:val="en-US"/>
              </w:rPr>
              <w:t xml:space="preserve"> (</w:t>
            </w:r>
            <w:proofErr w:type="spellStart"/>
            <w:r w:rsidRPr="00733F94">
              <w:rPr>
                <w:sz w:val="16"/>
                <w:lang w:val="en-US"/>
              </w:rPr>
              <w:t>AGICOA</w:t>
            </w:r>
            <w:proofErr w:type="spellEnd"/>
            <w:r w:rsidRPr="00733F94">
              <w:rPr>
                <w:sz w:val="16"/>
                <w:lang w:val="en-US"/>
              </w:rPr>
              <w:t xml:space="preserve">, Film and Media, </w:t>
            </w:r>
            <w:proofErr w:type="spellStart"/>
            <w:r w:rsidRPr="00733F94">
              <w:rPr>
                <w:sz w:val="16"/>
                <w:lang w:val="en-US"/>
              </w:rPr>
              <w:t>EGEDA</w:t>
            </w:r>
            <w:proofErr w:type="spellEnd"/>
            <w:r w:rsidRPr="00733F94">
              <w:rPr>
                <w:sz w:val="16"/>
                <w:lang w:val="en-US"/>
              </w:rPr>
              <w:t>)</w:t>
            </w:r>
          </w:p>
        </w:tc>
        <w:tc>
          <w:tcPr>
            <w:tcW w:w="747" w:type="pct"/>
            <w:tcBorders>
              <w:bottom w:val="single" w:sz="4" w:space="0" w:color="auto"/>
            </w:tcBorders>
            <w:shd w:val="clear" w:color="auto" w:fill="auto"/>
            <w:tcMar>
              <w:top w:w="110" w:type="dxa"/>
            </w:tcMar>
          </w:tcPr>
          <w:p w:rsidR="0096696E" w:rsidRPr="008F19EC" w:rsidRDefault="0096696E" w:rsidP="001A5BF9">
            <w:pPr>
              <w:autoSpaceDE w:val="0"/>
              <w:autoSpaceDN w:val="0"/>
              <w:adjustRightInd w:val="0"/>
              <w:rPr>
                <w:rFonts w:cs="Arial"/>
                <w:sz w:val="16"/>
                <w:szCs w:val="16"/>
              </w:rPr>
            </w:pPr>
            <w:r w:rsidRPr="008F19EC">
              <w:rPr>
                <w:sz w:val="16"/>
              </w:rPr>
              <w:t>Un à trois systèmes supplémentaires</w:t>
            </w:r>
          </w:p>
        </w:tc>
        <w:tc>
          <w:tcPr>
            <w:tcW w:w="1206" w:type="pct"/>
            <w:tcBorders>
              <w:bottom w:val="single" w:sz="4" w:space="0" w:color="auto"/>
            </w:tcBorders>
            <w:shd w:val="clear" w:color="auto" w:fill="FFFFFF"/>
            <w:tcMar>
              <w:top w:w="110" w:type="dxa"/>
            </w:tcMar>
          </w:tcPr>
          <w:p w:rsidR="0096696E" w:rsidRPr="008F19EC" w:rsidRDefault="0096696E" w:rsidP="001A5BF9">
            <w:pPr>
              <w:rPr>
                <w:rFonts w:cs="Arial"/>
                <w:sz w:val="16"/>
                <w:szCs w:val="16"/>
              </w:rPr>
            </w:pPr>
            <w:r w:rsidRPr="008F19EC">
              <w:rPr>
                <w:sz w:val="16"/>
              </w:rPr>
              <w:t xml:space="preserve">Quatre systèmes adoptés (ETSI, </w:t>
            </w:r>
            <w:proofErr w:type="spellStart"/>
            <w:r w:rsidRPr="008F19EC">
              <w:rPr>
                <w:sz w:val="16"/>
              </w:rPr>
              <w:t>INPI</w:t>
            </w:r>
            <w:proofErr w:type="spellEnd"/>
            <w:r w:rsidR="002D6F2A" w:rsidRPr="008F19EC">
              <w:rPr>
                <w:sz w:val="16"/>
              </w:rPr>
              <w:noBreakHyphen/>
            </w:r>
            <w:r w:rsidRPr="008F19EC">
              <w:rPr>
                <w:sz w:val="16"/>
              </w:rPr>
              <w:t xml:space="preserve">BR, </w:t>
            </w:r>
            <w:proofErr w:type="spellStart"/>
            <w:r w:rsidRPr="008F19EC">
              <w:rPr>
                <w:sz w:val="16"/>
              </w:rPr>
              <w:t>IPAG</w:t>
            </w:r>
            <w:proofErr w:type="spellEnd"/>
            <w:r w:rsidRPr="008F19EC">
              <w:rPr>
                <w:sz w:val="16"/>
              </w:rPr>
              <w:t xml:space="preserve">, </w:t>
            </w:r>
            <w:proofErr w:type="spellStart"/>
            <w:r w:rsidRPr="008F19EC">
              <w:rPr>
                <w:sz w:val="16"/>
              </w:rPr>
              <w:t>IPOS</w:t>
            </w:r>
            <w:proofErr w:type="spellEnd"/>
            <w:r w:rsidRPr="008F19EC">
              <w:rPr>
                <w:sz w:val="16"/>
              </w:rPr>
              <w:t>)</w:t>
            </w:r>
          </w:p>
        </w:tc>
        <w:tc>
          <w:tcPr>
            <w:tcW w:w="660" w:type="pct"/>
            <w:tcBorders>
              <w:bottom w:val="single" w:sz="4" w:space="0" w:color="auto"/>
            </w:tcBorders>
            <w:shd w:val="clear" w:color="auto" w:fill="auto"/>
            <w:tcMar>
              <w:top w:w="110" w:type="dxa"/>
            </w:tcMar>
          </w:tcPr>
          <w:p w:rsidR="0096696E" w:rsidRPr="008F19EC" w:rsidRDefault="0096696E" w:rsidP="001A5BF9">
            <w:pPr>
              <w:keepNext/>
              <w:keepLines/>
              <w:jc w:val="center"/>
              <w:rPr>
                <w:rFonts w:cs="Arial"/>
                <w:bCs/>
                <w:sz w:val="16"/>
                <w:szCs w:val="16"/>
              </w:rPr>
            </w:pPr>
            <w:r w:rsidRPr="00B470C6">
              <w:rPr>
                <w:color w:val="008000"/>
                <w:sz w:val="16"/>
              </w:rPr>
              <w:t>Objectif pleinement atteint</w:t>
            </w:r>
          </w:p>
        </w:tc>
      </w:tr>
      <w:tr w:rsidR="0096696E" w:rsidRPr="005C7CCE" w:rsidTr="008F19EC">
        <w:trPr>
          <w:cantSplit/>
        </w:trPr>
        <w:tc>
          <w:tcPr>
            <w:tcW w:w="5000" w:type="pct"/>
            <w:gridSpan w:val="5"/>
            <w:tcBorders>
              <w:top w:val="single" w:sz="4" w:space="0" w:color="auto"/>
              <w:bottom w:val="single" w:sz="4" w:space="0" w:color="auto"/>
            </w:tcBorders>
            <w:shd w:val="clear" w:color="auto" w:fill="CCFFFF"/>
            <w:vAlign w:val="center"/>
          </w:tcPr>
          <w:p w:rsidR="0096696E" w:rsidRPr="008F19EC" w:rsidRDefault="0096696E" w:rsidP="001A5BF9">
            <w:pPr>
              <w:keepNext/>
              <w:keepLines/>
              <w:tabs>
                <w:tab w:val="left" w:pos="1452"/>
              </w:tabs>
              <w:spacing w:before="120" w:after="120"/>
              <w:ind w:left="1452" w:hanging="1452"/>
              <w:rPr>
                <w:rFonts w:cs="Arial"/>
                <w:b/>
                <w:bCs/>
                <w:sz w:val="16"/>
                <w:szCs w:val="16"/>
              </w:rPr>
            </w:pPr>
            <w:r w:rsidRPr="008F19EC">
              <w:rPr>
                <w:b/>
                <w:sz w:val="16"/>
              </w:rPr>
              <w:t>Résultat escompté :</w:t>
            </w:r>
            <w:r w:rsidR="0010442A" w:rsidRPr="008F19EC">
              <w:rPr>
                <w:b/>
                <w:sz w:val="16"/>
              </w:rPr>
              <w:t xml:space="preserve"> </w:t>
            </w:r>
            <w:r w:rsidRPr="008F19EC">
              <w:rPr>
                <w:b/>
                <w:sz w:val="16"/>
              </w:rPr>
              <w:tab/>
            </w:r>
            <w:r w:rsidRPr="008F19EC">
              <w:rPr>
                <w:sz w:val="16"/>
              </w:rPr>
              <w:t>Protection efficace de la propriété intellectuelle dans les gTLD et les ccTLD</w:t>
            </w:r>
          </w:p>
        </w:tc>
      </w:tr>
      <w:tr w:rsidR="008F19EC" w:rsidRPr="008F19EC" w:rsidTr="008F19EC">
        <w:trPr>
          <w:cantSplit/>
        </w:trPr>
        <w:tc>
          <w:tcPr>
            <w:tcW w:w="1024" w:type="pct"/>
            <w:tcBorders>
              <w:top w:val="single" w:sz="4" w:space="0" w:color="auto"/>
            </w:tcBorders>
            <w:shd w:val="clear" w:color="auto" w:fill="auto"/>
            <w:vAlign w:val="center"/>
          </w:tcPr>
          <w:p w:rsidR="0096696E" w:rsidRPr="008F19EC" w:rsidRDefault="0096696E" w:rsidP="001A5BF9">
            <w:pPr>
              <w:rPr>
                <w:rFonts w:cs="Arial"/>
                <w:b/>
                <w:sz w:val="16"/>
                <w:szCs w:val="16"/>
              </w:rPr>
            </w:pPr>
            <w:r w:rsidRPr="008F19EC">
              <w:rPr>
                <w:b/>
                <w:sz w:val="16"/>
              </w:rPr>
              <w:t>Indicateurs d</w:t>
            </w:r>
            <w:r w:rsidR="00A20444" w:rsidRPr="008F19EC">
              <w:rPr>
                <w:b/>
                <w:sz w:val="16"/>
              </w:rPr>
              <w:t>’</w:t>
            </w:r>
            <w:r w:rsidRPr="008F19EC">
              <w:rPr>
                <w:b/>
                <w:sz w:val="16"/>
              </w:rPr>
              <w:t>exécution</w:t>
            </w:r>
          </w:p>
        </w:tc>
        <w:tc>
          <w:tcPr>
            <w:tcW w:w="1363" w:type="pct"/>
            <w:tcBorders>
              <w:top w:val="single" w:sz="4" w:space="0" w:color="auto"/>
            </w:tcBorders>
            <w:shd w:val="clear" w:color="auto" w:fill="auto"/>
            <w:vAlign w:val="center"/>
          </w:tcPr>
          <w:p w:rsidR="0096696E" w:rsidRPr="008F19EC" w:rsidRDefault="0096696E" w:rsidP="001A5BF9">
            <w:pPr>
              <w:rPr>
                <w:rFonts w:cs="Arial"/>
                <w:b/>
                <w:bCs/>
                <w:sz w:val="16"/>
                <w:szCs w:val="16"/>
              </w:rPr>
            </w:pPr>
            <w:r w:rsidRPr="008F19EC">
              <w:rPr>
                <w:b/>
                <w:sz w:val="16"/>
              </w:rPr>
              <w:t>Niveaux de référence</w:t>
            </w:r>
          </w:p>
        </w:tc>
        <w:tc>
          <w:tcPr>
            <w:tcW w:w="747" w:type="pct"/>
            <w:tcBorders>
              <w:top w:val="single" w:sz="4" w:space="0" w:color="auto"/>
            </w:tcBorders>
            <w:shd w:val="clear" w:color="auto" w:fill="auto"/>
            <w:tcMar>
              <w:top w:w="110" w:type="dxa"/>
            </w:tcMar>
            <w:vAlign w:val="center"/>
          </w:tcPr>
          <w:p w:rsidR="0096696E" w:rsidRPr="008F19EC" w:rsidRDefault="0096696E" w:rsidP="001A5BF9">
            <w:pPr>
              <w:rPr>
                <w:rFonts w:cs="Arial"/>
                <w:b/>
                <w:sz w:val="16"/>
                <w:szCs w:val="16"/>
              </w:rPr>
            </w:pPr>
            <w:r w:rsidRPr="008F19EC">
              <w:rPr>
                <w:b/>
                <w:sz w:val="16"/>
              </w:rPr>
              <w:t>Objectifs visés</w:t>
            </w:r>
          </w:p>
        </w:tc>
        <w:tc>
          <w:tcPr>
            <w:tcW w:w="1206" w:type="pct"/>
            <w:tcBorders>
              <w:top w:val="single" w:sz="4" w:space="0" w:color="auto"/>
            </w:tcBorders>
            <w:shd w:val="clear" w:color="auto" w:fill="FFFFFF"/>
            <w:tcMar>
              <w:top w:w="110" w:type="dxa"/>
            </w:tcMar>
            <w:vAlign w:val="center"/>
          </w:tcPr>
          <w:p w:rsidR="0096696E" w:rsidRPr="008F19EC" w:rsidRDefault="0096696E" w:rsidP="001A5BF9">
            <w:pPr>
              <w:rPr>
                <w:rFonts w:cs="Arial"/>
                <w:b/>
                <w:sz w:val="16"/>
                <w:szCs w:val="16"/>
              </w:rPr>
            </w:pPr>
            <w:r w:rsidRPr="008F19EC">
              <w:rPr>
                <w:b/>
                <w:sz w:val="16"/>
              </w:rPr>
              <w:t>Données relatives à l</w:t>
            </w:r>
            <w:r w:rsidR="00A20444" w:rsidRPr="008F19EC">
              <w:rPr>
                <w:b/>
                <w:sz w:val="16"/>
              </w:rPr>
              <w:t>’</w:t>
            </w:r>
            <w:r w:rsidRPr="008F19EC">
              <w:rPr>
                <w:b/>
                <w:sz w:val="16"/>
              </w:rPr>
              <w:t>exécution</w:t>
            </w:r>
          </w:p>
        </w:tc>
        <w:tc>
          <w:tcPr>
            <w:tcW w:w="660" w:type="pct"/>
            <w:tcBorders>
              <w:top w:val="single" w:sz="4" w:space="0" w:color="auto"/>
            </w:tcBorders>
            <w:shd w:val="clear" w:color="auto" w:fill="auto"/>
            <w:tcMar>
              <w:top w:w="110" w:type="dxa"/>
            </w:tcMar>
            <w:vAlign w:val="center"/>
          </w:tcPr>
          <w:p w:rsidR="0096696E" w:rsidRPr="008F19EC" w:rsidRDefault="0096696E" w:rsidP="001A5BF9">
            <w:pPr>
              <w:keepNext/>
              <w:keepLines/>
              <w:jc w:val="center"/>
              <w:rPr>
                <w:rFonts w:cs="Arial"/>
                <w:b/>
                <w:bCs/>
                <w:sz w:val="16"/>
                <w:szCs w:val="16"/>
              </w:rPr>
            </w:pPr>
            <w:r w:rsidRPr="008F19EC">
              <w:rPr>
                <w:b/>
                <w:sz w:val="16"/>
              </w:rPr>
              <w:t>Code de couleurs</w:t>
            </w:r>
          </w:p>
        </w:tc>
      </w:tr>
      <w:tr w:rsidR="00BE3BF9" w:rsidRPr="005C7CCE" w:rsidTr="008F19EC">
        <w:trPr>
          <w:cantSplit/>
        </w:trPr>
        <w:tc>
          <w:tcPr>
            <w:tcW w:w="1024" w:type="pct"/>
            <w:shd w:val="clear" w:color="auto" w:fill="FFFFFF"/>
          </w:tcPr>
          <w:p w:rsidR="0096696E" w:rsidRPr="008F19EC" w:rsidRDefault="0096696E" w:rsidP="00667FB3">
            <w:pPr>
              <w:rPr>
                <w:rFonts w:cs="Arial"/>
                <w:sz w:val="16"/>
                <w:szCs w:val="16"/>
              </w:rPr>
            </w:pPr>
            <w:r w:rsidRPr="008F19EC">
              <w:rPr>
                <w:sz w:val="16"/>
              </w:rPr>
              <w:t>Nombre de litiges relatifs à des gTLD administrés selon les principes</w:t>
            </w:r>
            <w:r w:rsidR="00667FB3" w:rsidRPr="008F19EC">
              <w:rPr>
                <w:sz w:val="16"/>
              </w:rPr>
              <w:t> </w:t>
            </w:r>
            <w:r w:rsidRPr="008F19EC">
              <w:rPr>
                <w:sz w:val="16"/>
              </w:rPr>
              <w:t>UDRP</w:t>
            </w:r>
          </w:p>
        </w:tc>
        <w:tc>
          <w:tcPr>
            <w:tcW w:w="1363" w:type="pct"/>
            <w:shd w:val="clear" w:color="auto" w:fill="auto"/>
          </w:tcPr>
          <w:p w:rsidR="00D42474" w:rsidRDefault="0096696E" w:rsidP="001A5BF9">
            <w:pPr>
              <w:autoSpaceDE w:val="0"/>
              <w:autoSpaceDN w:val="0"/>
              <w:adjustRightInd w:val="0"/>
              <w:rPr>
                <w:rFonts w:cs="Arial"/>
                <w:i/>
                <w:color w:val="002060"/>
                <w:sz w:val="16"/>
                <w:szCs w:val="16"/>
              </w:rPr>
            </w:pPr>
            <w:r w:rsidRPr="005C7CCE">
              <w:rPr>
                <w:i/>
                <w:color w:val="002060"/>
                <w:sz w:val="16"/>
              </w:rPr>
              <w:t xml:space="preserve">Niveau de référence actualisé fin 2011 : </w:t>
            </w:r>
            <w:r w:rsidRPr="005C7CCE">
              <w:rPr>
                <w:color w:val="002060"/>
                <w:sz w:val="16"/>
              </w:rPr>
              <w:t>20 095 litiges gTLD (à</w:t>
            </w:r>
            <w:r w:rsidR="00502728" w:rsidRPr="005C7CCE">
              <w:rPr>
                <w:color w:val="002060"/>
                <w:sz w:val="16"/>
              </w:rPr>
              <w:t> </w:t>
            </w:r>
            <w:r w:rsidRPr="005C7CCE">
              <w:rPr>
                <w:color w:val="002060"/>
                <w:sz w:val="16"/>
              </w:rPr>
              <w:t>fin 2011)</w:t>
            </w:r>
          </w:p>
          <w:p w:rsidR="00D42474" w:rsidRDefault="00D42474" w:rsidP="001A5BF9">
            <w:pPr>
              <w:rPr>
                <w:rFonts w:cs="Arial"/>
                <w:i/>
                <w:sz w:val="8"/>
                <w:szCs w:val="8"/>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004304AF" w:rsidRPr="005C7CCE">
              <w:rPr>
                <w:i/>
                <w:sz w:val="16"/>
              </w:rPr>
              <w:t xml:space="preserve"> </w:t>
            </w:r>
            <w:r w:rsidRPr="005C7CCE">
              <w:rPr>
                <w:i/>
                <w:sz w:val="16"/>
              </w:rPr>
              <w:t>2012</w:t>
            </w:r>
            <w:r w:rsidR="002D6F2A" w:rsidRPr="005C7CCE">
              <w:rPr>
                <w:i/>
                <w:sz w:val="16"/>
              </w:rPr>
              <w:noBreakHyphen/>
            </w:r>
            <w:r w:rsidRPr="005C7CCE">
              <w:rPr>
                <w:i/>
                <w:sz w:val="16"/>
              </w:rPr>
              <w:t>2013 :</w:t>
            </w:r>
            <w:r w:rsidRPr="005C7CCE">
              <w:rPr>
                <w:sz w:val="16"/>
              </w:rPr>
              <w:t xml:space="preserve"> 17 772 litiges gTLD</w:t>
            </w:r>
            <w:r w:rsidR="004304AF" w:rsidRPr="005C7CCE">
              <w:rPr>
                <w:sz w:val="16"/>
              </w:rPr>
              <w:t> </w:t>
            </w:r>
            <w:r w:rsidRPr="005C7CCE">
              <w:rPr>
                <w:sz w:val="16"/>
              </w:rPr>
              <w:t>(à</w:t>
            </w:r>
            <w:r w:rsidR="00502728" w:rsidRPr="005C7CCE">
              <w:rPr>
                <w:sz w:val="16"/>
              </w:rPr>
              <w:t> </w:t>
            </w:r>
            <w:r w:rsidRPr="005C7CCE">
              <w:rPr>
                <w:sz w:val="16"/>
              </w:rPr>
              <w:t>fin 2010)</w:t>
            </w:r>
          </w:p>
        </w:tc>
        <w:tc>
          <w:tcPr>
            <w:tcW w:w="747" w:type="pct"/>
            <w:shd w:val="clear" w:color="auto" w:fill="auto"/>
            <w:tcMar>
              <w:top w:w="110" w:type="dxa"/>
            </w:tcMar>
          </w:tcPr>
          <w:p w:rsidR="0096696E" w:rsidRPr="008F19EC" w:rsidRDefault="0096696E" w:rsidP="001A5BF9">
            <w:pPr>
              <w:rPr>
                <w:rFonts w:cs="Arial"/>
                <w:sz w:val="16"/>
                <w:szCs w:val="16"/>
                <w:lang w:bidi="th-TH"/>
              </w:rPr>
            </w:pPr>
            <w:r w:rsidRPr="008F19EC">
              <w:rPr>
                <w:sz w:val="16"/>
              </w:rPr>
              <w:t xml:space="preserve">3500 litiges supplémentaires </w:t>
            </w:r>
          </w:p>
        </w:tc>
        <w:tc>
          <w:tcPr>
            <w:tcW w:w="1206" w:type="pct"/>
            <w:shd w:val="clear" w:color="auto" w:fill="FFFFFF"/>
            <w:tcMar>
              <w:top w:w="110" w:type="dxa"/>
            </w:tcMar>
          </w:tcPr>
          <w:p w:rsidR="00D42474" w:rsidRDefault="0096696E" w:rsidP="001A5BF9">
            <w:pPr>
              <w:rPr>
                <w:rFonts w:cs="Arial"/>
                <w:sz w:val="16"/>
                <w:szCs w:val="16"/>
                <w:lang w:bidi="th-TH"/>
              </w:rPr>
            </w:pPr>
            <w:r w:rsidRPr="008F19EC">
              <w:rPr>
                <w:sz w:val="16"/>
              </w:rPr>
              <w:t>24 901 litiges gTLD (cumul à la fin de 2013)</w:t>
            </w:r>
          </w:p>
          <w:p w:rsidR="00D42474" w:rsidRDefault="00D42474" w:rsidP="001A5BF9">
            <w:pPr>
              <w:rPr>
                <w:rFonts w:cs="Arial"/>
                <w:sz w:val="16"/>
                <w:szCs w:val="16"/>
                <w:lang w:bidi="th-TH"/>
              </w:rPr>
            </w:pPr>
          </w:p>
          <w:p w:rsidR="0096696E" w:rsidRPr="008F19EC" w:rsidRDefault="0096696E" w:rsidP="001A5BF9">
            <w:pPr>
              <w:rPr>
                <w:rFonts w:cs="Arial"/>
                <w:sz w:val="16"/>
                <w:szCs w:val="16"/>
                <w:lang w:bidi="th-TH"/>
              </w:rPr>
            </w:pPr>
            <w:r w:rsidRPr="008F19EC">
              <w:rPr>
                <w:sz w:val="16"/>
              </w:rPr>
              <w:t>4 806 litiges gTLD supplémentaires</w:t>
            </w:r>
          </w:p>
        </w:tc>
        <w:tc>
          <w:tcPr>
            <w:tcW w:w="660" w:type="pct"/>
            <w:shd w:val="clear" w:color="auto" w:fill="auto"/>
            <w:tcMar>
              <w:top w:w="110" w:type="dxa"/>
            </w:tcMar>
          </w:tcPr>
          <w:p w:rsidR="0096696E" w:rsidRPr="008F19EC"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8F19EC">
              <w:rPr>
                <w:rStyle w:val="Style5"/>
                <w:rFonts w:ascii="Arial" w:hAnsi="Arial"/>
                <w:color w:val="008000"/>
                <w:sz w:val="16"/>
              </w:rPr>
              <w:t xml:space="preserve"> </w:t>
            </w:r>
          </w:p>
        </w:tc>
      </w:tr>
      <w:tr w:rsidR="00BE3BF9" w:rsidRPr="005C7CCE" w:rsidTr="008F19EC">
        <w:trPr>
          <w:cantSplit/>
        </w:trPr>
        <w:tc>
          <w:tcPr>
            <w:tcW w:w="1024" w:type="pct"/>
            <w:shd w:val="clear" w:color="auto" w:fill="auto"/>
          </w:tcPr>
          <w:p w:rsidR="0096696E" w:rsidRPr="008F19EC" w:rsidRDefault="0096696E" w:rsidP="00667FB3">
            <w:pPr>
              <w:rPr>
                <w:rFonts w:cs="Arial"/>
                <w:sz w:val="16"/>
                <w:szCs w:val="16"/>
              </w:rPr>
            </w:pPr>
            <w:r w:rsidRPr="008F19EC">
              <w:rPr>
                <w:sz w:val="16"/>
              </w:rPr>
              <w:t>Nombre de litiges relatifs aux ccTLD réglés selon les principes</w:t>
            </w:r>
            <w:r w:rsidR="00667FB3" w:rsidRPr="008F19EC">
              <w:rPr>
                <w:sz w:val="16"/>
              </w:rPr>
              <w:t xml:space="preserve"> programme et </w:t>
            </w:r>
            <w:proofErr w:type="spellStart"/>
            <w:r w:rsidR="00667FB3" w:rsidRPr="008F19EC">
              <w:rPr>
                <w:sz w:val="16"/>
              </w:rPr>
              <w:t>budget</w:t>
            </w:r>
            <w:r w:rsidRPr="008F19EC">
              <w:rPr>
                <w:sz w:val="16"/>
              </w:rPr>
              <w:t>UDRP</w:t>
            </w:r>
            <w:proofErr w:type="spellEnd"/>
          </w:p>
        </w:tc>
        <w:tc>
          <w:tcPr>
            <w:tcW w:w="1363" w:type="pct"/>
            <w:shd w:val="clear" w:color="auto" w:fill="auto"/>
          </w:tcPr>
          <w:p w:rsidR="00D42474" w:rsidRDefault="0096696E" w:rsidP="001A5BF9">
            <w:pPr>
              <w:autoSpaceDE w:val="0"/>
              <w:autoSpaceDN w:val="0"/>
              <w:adjustRightInd w:val="0"/>
              <w:rPr>
                <w:rFonts w:cs="Arial"/>
                <w:i/>
                <w:color w:val="002060"/>
                <w:sz w:val="16"/>
                <w:szCs w:val="16"/>
              </w:rPr>
            </w:pPr>
            <w:r w:rsidRPr="005C7CCE">
              <w:rPr>
                <w:i/>
                <w:color w:val="002060"/>
                <w:sz w:val="16"/>
              </w:rPr>
              <w:t xml:space="preserve">Niveau de référence actualisé fin 2011 : </w:t>
            </w:r>
            <w:r w:rsidR="0010442A" w:rsidRPr="005C7CCE">
              <w:rPr>
                <w:color w:val="002060"/>
                <w:sz w:val="16"/>
              </w:rPr>
              <w:t>2135</w:t>
            </w:r>
            <w:r w:rsidRPr="005C7CCE">
              <w:rPr>
                <w:color w:val="002060"/>
                <w:sz w:val="16"/>
              </w:rPr>
              <w:t> litiges portant uniquement sur des ccTLD administrés par le Centre (à</w:t>
            </w:r>
            <w:r w:rsidR="004304AF" w:rsidRPr="005C7CCE">
              <w:rPr>
                <w:color w:val="002060"/>
                <w:sz w:val="16"/>
              </w:rPr>
              <w:t> </w:t>
            </w:r>
            <w:r w:rsidRPr="005C7CCE">
              <w:rPr>
                <w:color w:val="002060"/>
                <w:sz w:val="16"/>
              </w:rPr>
              <w:t>fin 2011)</w:t>
            </w:r>
          </w:p>
          <w:p w:rsidR="00D42474" w:rsidRDefault="00D42474" w:rsidP="001A5BF9">
            <w:pPr>
              <w:rPr>
                <w:rFonts w:cs="Arial"/>
                <w:i/>
                <w:sz w:val="8"/>
                <w:szCs w:val="8"/>
              </w:rPr>
            </w:pPr>
          </w:p>
          <w:p w:rsidR="00D42474" w:rsidRDefault="00D33EAF" w:rsidP="001A5BF9">
            <w:pPr>
              <w:rPr>
                <w:rFonts w:cs="Arial"/>
                <w:sz w:val="16"/>
                <w:szCs w:val="16"/>
              </w:rPr>
            </w:pPr>
            <w:r>
              <w:rPr>
                <w:i/>
                <w:sz w:val="16"/>
              </w:rPr>
              <w:t>Niveau de référence initial p</w:t>
            </w:r>
            <w:r w:rsidR="0096696E" w:rsidRPr="005C7CCE">
              <w:rPr>
                <w:i/>
                <w:sz w:val="16"/>
              </w:rPr>
              <w:t>rogramme et budget</w:t>
            </w:r>
            <w:r w:rsidR="004304AF" w:rsidRPr="005C7CCE">
              <w:rPr>
                <w:i/>
                <w:sz w:val="16"/>
              </w:rPr>
              <w:t xml:space="preserve"> </w:t>
            </w:r>
            <w:r w:rsidR="0096696E" w:rsidRPr="005C7CCE">
              <w:rPr>
                <w:i/>
                <w:sz w:val="16"/>
              </w:rPr>
              <w:t>2012</w:t>
            </w:r>
            <w:r w:rsidR="002D6F2A" w:rsidRPr="005C7CCE">
              <w:rPr>
                <w:i/>
                <w:sz w:val="16"/>
              </w:rPr>
              <w:noBreakHyphen/>
            </w:r>
            <w:r w:rsidR="0096696E" w:rsidRPr="005C7CCE">
              <w:rPr>
                <w:i/>
                <w:sz w:val="16"/>
              </w:rPr>
              <w:t>2013 :</w:t>
            </w:r>
          </w:p>
          <w:p w:rsidR="0096696E" w:rsidRPr="005C7CCE" w:rsidRDefault="0096696E" w:rsidP="001A5BF9">
            <w:pPr>
              <w:rPr>
                <w:rFonts w:cs="Arial"/>
                <w:sz w:val="16"/>
                <w:szCs w:val="16"/>
              </w:rPr>
            </w:pPr>
            <w:r w:rsidRPr="008F19EC">
              <w:rPr>
                <w:sz w:val="16"/>
              </w:rPr>
              <w:t>1694 litiges portant uniquement sur des ccTLD administrés par le Centre (fin 2010)</w:t>
            </w:r>
          </w:p>
        </w:tc>
        <w:tc>
          <w:tcPr>
            <w:tcW w:w="747" w:type="pct"/>
            <w:shd w:val="clear" w:color="auto" w:fill="auto"/>
            <w:tcMar>
              <w:top w:w="110" w:type="dxa"/>
            </w:tcMar>
          </w:tcPr>
          <w:p w:rsidR="0096696E" w:rsidRPr="008F19EC" w:rsidRDefault="0096696E" w:rsidP="001A5BF9">
            <w:pPr>
              <w:rPr>
                <w:rFonts w:cs="Arial"/>
                <w:sz w:val="16"/>
                <w:szCs w:val="16"/>
                <w:lang w:bidi="th-TH"/>
              </w:rPr>
            </w:pPr>
            <w:r w:rsidRPr="008F19EC">
              <w:rPr>
                <w:sz w:val="16"/>
              </w:rPr>
              <w:t xml:space="preserve">350 litiges supplémentaires </w:t>
            </w:r>
          </w:p>
        </w:tc>
        <w:tc>
          <w:tcPr>
            <w:tcW w:w="1206" w:type="pct"/>
            <w:shd w:val="clear" w:color="auto" w:fill="FFFFFF"/>
            <w:tcMar>
              <w:top w:w="110" w:type="dxa"/>
            </w:tcMar>
          </w:tcPr>
          <w:p w:rsidR="00D42474" w:rsidRDefault="0096696E" w:rsidP="001A5BF9">
            <w:pPr>
              <w:rPr>
                <w:rFonts w:cs="Arial"/>
                <w:sz w:val="16"/>
                <w:szCs w:val="16"/>
                <w:lang w:bidi="th-TH"/>
              </w:rPr>
            </w:pPr>
            <w:r w:rsidRPr="008F19EC">
              <w:rPr>
                <w:sz w:val="16"/>
              </w:rPr>
              <w:t>2 788 litiges portant uniquement sur des ccTLD administrés par le Centre (cumul à la fin de 2013)</w:t>
            </w:r>
          </w:p>
          <w:p w:rsidR="00D42474" w:rsidRDefault="00D42474" w:rsidP="001A5BF9">
            <w:pPr>
              <w:rPr>
                <w:rFonts w:cs="Arial"/>
                <w:sz w:val="16"/>
                <w:szCs w:val="16"/>
                <w:lang w:bidi="th-TH"/>
              </w:rPr>
            </w:pPr>
          </w:p>
          <w:p w:rsidR="0096696E" w:rsidRPr="008F19EC" w:rsidRDefault="0096696E" w:rsidP="001A5BF9">
            <w:pPr>
              <w:rPr>
                <w:rFonts w:cs="Arial"/>
                <w:sz w:val="16"/>
                <w:szCs w:val="16"/>
                <w:lang w:bidi="th-TH"/>
              </w:rPr>
            </w:pPr>
            <w:r w:rsidRPr="008F19EC">
              <w:rPr>
                <w:sz w:val="16"/>
              </w:rPr>
              <w:t xml:space="preserve">663 litiges portant uniquement sur des ccTLD supplémentaires </w:t>
            </w:r>
          </w:p>
        </w:tc>
        <w:tc>
          <w:tcPr>
            <w:tcW w:w="660" w:type="pct"/>
            <w:shd w:val="clear" w:color="auto" w:fill="auto"/>
          </w:tcPr>
          <w:p w:rsidR="0096696E" w:rsidRPr="008F19EC" w:rsidRDefault="0096696E" w:rsidP="001A5BF9">
            <w:pPr>
              <w:keepNext/>
              <w:keepLines/>
              <w:jc w:val="center"/>
              <w:rPr>
                <w:rFonts w:cs="Arial"/>
                <w:bCs/>
                <w:color w:val="008000"/>
                <w:sz w:val="16"/>
                <w:szCs w:val="16"/>
              </w:rPr>
            </w:pPr>
            <w:r w:rsidRPr="00B470C6">
              <w:rPr>
                <w:color w:val="008000"/>
                <w:sz w:val="16"/>
              </w:rPr>
              <w:t>Objectif pleinement atteint</w:t>
            </w:r>
          </w:p>
        </w:tc>
      </w:tr>
      <w:tr w:rsidR="00BE3BF9" w:rsidRPr="005C7CCE" w:rsidTr="008F19EC">
        <w:trPr>
          <w:cantSplit/>
        </w:trPr>
        <w:tc>
          <w:tcPr>
            <w:tcW w:w="1024" w:type="pct"/>
            <w:shd w:val="clear" w:color="auto" w:fill="auto"/>
          </w:tcPr>
          <w:p w:rsidR="0096696E" w:rsidRPr="008F19EC" w:rsidRDefault="0096696E" w:rsidP="001A5BF9">
            <w:pPr>
              <w:rPr>
                <w:rFonts w:cs="Arial"/>
                <w:sz w:val="16"/>
                <w:szCs w:val="16"/>
              </w:rPr>
            </w:pPr>
            <w:r w:rsidRPr="008F19EC">
              <w:rPr>
                <w:sz w:val="16"/>
              </w:rPr>
              <w:t>Politiques de règlement des litiges dans le système des noms de domaine à l</w:t>
            </w:r>
            <w:r w:rsidR="00A20444" w:rsidRPr="008F19EC">
              <w:rPr>
                <w:sz w:val="16"/>
              </w:rPr>
              <w:t>’</w:t>
            </w:r>
            <w:r w:rsidRPr="008F19EC">
              <w:rPr>
                <w:sz w:val="16"/>
              </w:rPr>
              <w:t>élaboration et à la mise en œuvre desquelles le Centre a contribué</w:t>
            </w:r>
          </w:p>
        </w:tc>
        <w:tc>
          <w:tcPr>
            <w:tcW w:w="1363" w:type="pct"/>
            <w:shd w:val="clear" w:color="auto" w:fill="auto"/>
          </w:tcPr>
          <w:p w:rsidR="00D42474" w:rsidRDefault="0096696E" w:rsidP="001A5BF9">
            <w:pPr>
              <w:autoSpaceDE w:val="0"/>
              <w:autoSpaceDN w:val="0"/>
              <w:adjustRightInd w:val="0"/>
              <w:rPr>
                <w:rFonts w:cs="Arial"/>
                <w:i/>
                <w:color w:val="002060"/>
                <w:sz w:val="16"/>
                <w:szCs w:val="16"/>
              </w:rPr>
            </w:pPr>
            <w:r w:rsidRPr="005C7CCE">
              <w:rPr>
                <w:i/>
                <w:color w:val="002060"/>
                <w:sz w:val="16"/>
              </w:rPr>
              <w:t xml:space="preserve">Niveau de référence actualisé fin 2011 : </w:t>
            </w:r>
            <w:r w:rsidR="00D33EAF">
              <w:rPr>
                <w:color w:val="002060"/>
                <w:sz w:val="16"/>
              </w:rPr>
              <w:t>p</w:t>
            </w:r>
            <w:r w:rsidRPr="005C7CCE">
              <w:rPr>
                <w:color w:val="002060"/>
                <w:sz w:val="16"/>
              </w:rPr>
              <w:t>rincipes UD</w:t>
            </w:r>
            <w:r w:rsidR="00667FB3">
              <w:rPr>
                <w:color w:val="002060"/>
                <w:sz w:val="16"/>
              </w:rPr>
              <w:t>R</w:t>
            </w:r>
            <w:r w:rsidRPr="005C7CCE">
              <w:rPr>
                <w:color w:val="002060"/>
                <w:sz w:val="16"/>
              </w:rPr>
              <w:t>P (à la fin de 2011, seuls les principes</w:t>
            </w:r>
            <w:r w:rsidR="00D33EAF">
              <w:rPr>
                <w:color w:val="002060"/>
                <w:sz w:val="16"/>
              </w:rPr>
              <w:t> </w:t>
            </w:r>
            <w:r w:rsidRPr="005C7CCE">
              <w:rPr>
                <w:color w:val="002060"/>
                <w:sz w:val="16"/>
              </w:rPr>
              <w:t>UD</w:t>
            </w:r>
            <w:r w:rsidR="00667FB3">
              <w:rPr>
                <w:color w:val="002060"/>
                <w:sz w:val="16"/>
              </w:rPr>
              <w:t>R</w:t>
            </w:r>
            <w:r w:rsidRPr="005C7CCE">
              <w:rPr>
                <w:color w:val="002060"/>
                <w:sz w:val="16"/>
              </w:rPr>
              <w:t>P avaient été adoptés depuis plusieurs années déjà)</w:t>
            </w:r>
          </w:p>
          <w:p w:rsidR="00D42474" w:rsidRDefault="00D42474" w:rsidP="001A5BF9">
            <w:pPr>
              <w:rPr>
                <w:rFonts w:cs="Arial"/>
                <w:i/>
                <w:sz w:val="8"/>
                <w:szCs w:val="8"/>
              </w:rPr>
            </w:pPr>
          </w:p>
          <w:p w:rsidR="0096696E" w:rsidRPr="005C7CCE" w:rsidRDefault="00D33EAF" w:rsidP="00667FB3">
            <w:pPr>
              <w:rPr>
                <w:rFonts w:cs="Arial"/>
                <w:sz w:val="16"/>
                <w:szCs w:val="16"/>
              </w:rPr>
            </w:pPr>
            <w:r>
              <w:rPr>
                <w:i/>
                <w:sz w:val="16"/>
              </w:rPr>
              <w:t>Niveau de référence initial p</w:t>
            </w:r>
            <w:r w:rsidR="0096696E" w:rsidRPr="005C7CCE">
              <w:rPr>
                <w:i/>
                <w:sz w:val="16"/>
              </w:rPr>
              <w:t>rogramme et budget 2012</w:t>
            </w:r>
            <w:r w:rsidR="002D6F2A" w:rsidRPr="005C7CCE">
              <w:rPr>
                <w:i/>
                <w:sz w:val="16"/>
              </w:rPr>
              <w:noBreakHyphen/>
            </w:r>
            <w:r w:rsidR="0096696E" w:rsidRPr="005C7CCE">
              <w:rPr>
                <w:i/>
                <w:sz w:val="16"/>
              </w:rPr>
              <w:t>2013 :</w:t>
            </w:r>
            <w:r>
              <w:rPr>
                <w:sz w:val="16"/>
              </w:rPr>
              <w:t xml:space="preserve"> p</w:t>
            </w:r>
            <w:r w:rsidR="0096696E" w:rsidRPr="005C7CCE">
              <w:rPr>
                <w:sz w:val="16"/>
              </w:rPr>
              <w:t>rincipes UD</w:t>
            </w:r>
            <w:r w:rsidR="00667FB3">
              <w:rPr>
                <w:sz w:val="16"/>
              </w:rPr>
              <w:t>RP</w:t>
            </w:r>
            <w:r w:rsidR="0096696E" w:rsidRPr="005C7CCE">
              <w:rPr>
                <w:sz w:val="16"/>
              </w:rPr>
              <w:t xml:space="preserve"> (à la fin de 2010, seuls les principes</w:t>
            </w:r>
            <w:r w:rsidR="00667FB3">
              <w:rPr>
                <w:sz w:val="16"/>
              </w:rPr>
              <w:t> </w:t>
            </w:r>
            <w:r w:rsidR="0096696E" w:rsidRPr="005C7CCE">
              <w:rPr>
                <w:sz w:val="16"/>
              </w:rPr>
              <w:t>UD</w:t>
            </w:r>
            <w:r w:rsidR="00667FB3">
              <w:rPr>
                <w:sz w:val="16"/>
              </w:rPr>
              <w:t>R</w:t>
            </w:r>
            <w:r w:rsidR="0096696E" w:rsidRPr="005C7CCE">
              <w:rPr>
                <w:sz w:val="16"/>
              </w:rPr>
              <w:t>P avaient été adoptés depuis plusieurs années déjà)</w:t>
            </w:r>
          </w:p>
        </w:tc>
        <w:tc>
          <w:tcPr>
            <w:tcW w:w="747" w:type="pct"/>
            <w:shd w:val="clear" w:color="auto" w:fill="auto"/>
            <w:tcMar>
              <w:top w:w="110" w:type="dxa"/>
            </w:tcMar>
          </w:tcPr>
          <w:p w:rsidR="00D42474" w:rsidRDefault="0096696E" w:rsidP="001A5BF9">
            <w:pPr>
              <w:rPr>
                <w:rFonts w:cs="Arial"/>
                <w:sz w:val="16"/>
                <w:szCs w:val="16"/>
              </w:rPr>
            </w:pPr>
            <w:r w:rsidRPr="008F19EC">
              <w:rPr>
                <w:sz w:val="16"/>
              </w:rPr>
              <w:t>Mise en œuvre, au sein du système des noms de domaine,</w:t>
            </w:r>
            <w:r w:rsidR="00502728" w:rsidRPr="008F19EC">
              <w:rPr>
                <w:sz w:val="16"/>
              </w:rPr>
              <w:t xml:space="preserve"> </w:t>
            </w:r>
            <w:r w:rsidRPr="008F19EC">
              <w:rPr>
                <w:sz w:val="16"/>
              </w:rPr>
              <w:t>des recommandations de l</w:t>
            </w:r>
            <w:r w:rsidR="00A20444" w:rsidRPr="008F19EC">
              <w:rPr>
                <w:sz w:val="16"/>
              </w:rPr>
              <w:t>’</w:t>
            </w:r>
            <w:r w:rsidRPr="008F19EC">
              <w:rPr>
                <w:sz w:val="16"/>
              </w:rPr>
              <w:t>OMPI en matière de principes et</w:t>
            </w:r>
          </w:p>
          <w:p w:rsidR="0096696E" w:rsidRPr="008F19EC" w:rsidRDefault="0096696E" w:rsidP="001A5BF9">
            <w:pPr>
              <w:rPr>
                <w:rFonts w:cs="Arial"/>
                <w:sz w:val="16"/>
                <w:szCs w:val="16"/>
              </w:rPr>
            </w:pPr>
            <w:r w:rsidRPr="008F19EC">
              <w:rPr>
                <w:sz w:val="16"/>
              </w:rPr>
              <w:t>de procédures</w:t>
            </w:r>
          </w:p>
        </w:tc>
        <w:tc>
          <w:tcPr>
            <w:tcW w:w="1206" w:type="pct"/>
            <w:shd w:val="clear" w:color="auto" w:fill="FFFFFF"/>
            <w:tcMar>
              <w:top w:w="110" w:type="dxa"/>
            </w:tcMar>
          </w:tcPr>
          <w:p w:rsidR="00D42474" w:rsidRDefault="0096696E" w:rsidP="001A5BF9">
            <w:pPr>
              <w:rPr>
                <w:rFonts w:cs="Arial"/>
                <w:sz w:val="16"/>
                <w:szCs w:val="16"/>
                <w:lang w:bidi="th-TH"/>
              </w:rPr>
            </w:pPr>
            <w:r w:rsidRPr="008F19EC">
              <w:rPr>
                <w:sz w:val="16"/>
              </w:rPr>
              <w:t>Accréditation du Centre de l</w:t>
            </w:r>
            <w:r w:rsidR="00A20444" w:rsidRPr="008F19EC">
              <w:rPr>
                <w:sz w:val="16"/>
              </w:rPr>
              <w:t>’</w:t>
            </w:r>
            <w:r w:rsidRPr="008F19EC">
              <w:rPr>
                <w:sz w:val="16"/>
              </w:rPr>
              <w:t>OMPI pour les procédures préalables à l</w:t>
            </w:r>
            <w:r w:rsidR="00A20444" w:rsidRPr="008F19EC">
              <w:rPr>
                <w:sz w:val="16"/>
              </w:rPr>
              <w:t>’</w:t>
            </w:r>
            <w:r w:rsidRPr="008F19EC">
              <w:rPr>
                <w:sz w:val="16"/>
              </w:rPr>
              <w:t>attribution concernant les “objections pour atteinte aux droits” de l</w:t>
            </w:r>
            <w:r w:rsidR="00A20444" w:rsidRPr="008F19EC">
              <w:rPr>
                <w:sz w:val="16"/>
              </w:rPr>
              <w:t>’</w:t>
            </w:r>
            <w:r w:rsidRPr="008F19EC">
              <w:rPr>
                <w:sz w:val="16"/>
              </w:rPr>
              <w:t>ICANN</w:t>
            </w:r>
          </w:p>
          <w:p w:rsidR="00D42474" w:rsidRDefault="00D42474" w:rsidP="001A5BF9">
            <w:pPr>
              <w:rPr>
                <w:rFonts w:cs="Arial"/>
                <w:sz w:val="16"/>
                <w:szCs w:val="16"/>
                <w:lang w:bidi="th-TH"/>
              </w:rPr>
            </w:pPr>
          </w:p>
          <w:p w:rsidR="0096696E" w:rsidRPr="008F19EC" w:rsidRDefault="0096696E" w:rsidP="001A5BF9">
            <w:pPr>
              <w:rPr>
                <w:rFonts w:cs="Arial"/>
                <w:spacing w:val="-4"/>
                <w:sz w:val="16"/>
                <w:szCs w:val="16"/>
                <w:lang w:bidi="th-TH"/>
              </w:rPr>
            </w:pPr>
            <w:r w:rsidRPr="008F19EC">
              <w:rPr>
                <w:spacing w:val="-4"/>
                <w:sz w:val="16"/>
              </w:rPr>
              <w:t>Accréditation du Centre de l</w:t>
            </w:r>
            <w:r w:rsidR="00A20444" w:rsidRPr="008F19EC">
              <w:rPr>
                <w:spacing w:val="-4"/>
                <w:sz w:val="16"/>
              </w:rPr>
              <w:t>’</w:t>
            </w:r>
            <w:r w:rsidRPr="008F19EC">
              <w:rPr>
                <w:spacing w:val="-4"/>
                <w:sz w:val="16"/>
              </w:rPr>
              <w:t>OMPI pour les procédures de règlement des litiges relatifs aux marques postérieures à l</w:t>
            </w:r>
            <w:r w:rsidR="00A20444" w:rsidRPr="008F19EC">
              <w:rPr>
                <w:spacing w:val="-4"/>
                <w:sz w:val="16"/>
              </w:rPr>
              <w:t>’</w:t>
            </w:r>
            <w:r w:rsidRPr="008F19EC">
              <w:rPr>
                <w:spacing w:val="-4"/>
                <w:sz w:val="16"/>
              </w:rPr>
              <w:t>attribution du domaine</w:t>
            </w:r>
          </w:p>
        </w:tc>
        <w:tc>
          <w:tcPr>
            <w:tcW w:w="660" w:type="pct"/>
            <w:shd w:val="clear" w:color="auto" w:fill="auto"/>
            <w:tcMar>
              <w:top w:w="110" w:type="dxa"/>
            </w:tcMar>
          </w:tcPr>
          <w:p w:rsidR="0096696E" w:rsidRPr="008F19EC" w:rsidRDefault="0096696E" w:rsidP="001A5BF9">
            <w:pPr>
              <w:keepNext/>
              <w:keepLines/>
              <w:spacing w:after="120"/>
              <w:jc w:val="center"/>
              <w:rPr>
                <w:rFonts w:cs="Arial"/>
                <w:bCs/>
                <w:color w:val="008000"/>
                <w:sz w:val="16"/>
                <w:szCs w:val="16"/>
              </w:rPr>
            </w:pPr>
            <w:r w:rsidRPr="00B470C6">
              <w:rPr>
                <w:color w:val="008000"/>
                <w:sz w:val="16"/>
              </w:rPr>
              <w:t>Objectif pleinement atteint</w:t>
            </w:r>
          </w:p>
        </w:tc>
      </w:tr>
      <w:tr w:rsidR="00BE3BF9" w:rsidRPr="005C7CCE" w:rsidTr="008F19EC">
        <w:trPr>
          <w:cantSplit/>
        </w:trPr>
        <w:tc>
          <w:tcPr>
            <w:tcW w:w="1024" w:type="pct"/>
            <w:shd w:val="clear" w:color="auto" w:fill="auto"/>
          </w:tcPr>
          <w:p w:rsidR="0096696E" w:rsidRPr="008F19EC" w:rsidRDefault="0096696E" w:rsidP="001A5BF9">
            <w:pPr>
              <w:rPr>
                <w:rFonts w:cs="Arial"/>
                <w:sz w:val="16"/>
                <w:szCs w:val="16"/>
              </w:rPr>
            </w:pPr>
            <w:r w:rsidRPr="008F19EC">
              <w:rPr>
                <w:sz w:val="16"/>
              </w:rPr>
              <w:t>Nombre d</w:t>
            </w:r>
            <w:r w:rsidR="00A20444" w:rsidRPr="008F19EC">
              <w:rPr>
                <w:sz w:val="16"/>
              </w:rPr>
              <w:t>’</w:t>
            </w:r>
            <w:r w:rsidRPr="008F19EC">
              <w:rPr>
                <w:sz w:val="16"/>
              </w:rPr>
              <w:t>administrateurs de ccTLD dotés de mécanismes de protection de la propriété intellectuelle conçus ou administrés avec l</w:t>
            </w:r>
            <w:r w:rsidR="00A20444" w:rsidRPr="008F19EC">
              <w:rPr>
                <w:sz w:val="16"/>
              </w:rPr>
              <w:t>’</w:t>
            </w:r>
            <w:r w:rsidRPr="008F19EC">
              <w:rPr>
                <w:sz w:val="16"/>
              </w:rPr>
              <w:t>aide de l</w:t>
            </w:r>
            <w:r w:rsidR="00A20444" w:rsidRPr="008F19EC">
              <w:rPr>
                <w:sz w:val="16"/>
              </w:rPr>
              <w:t>’</w:t>
            </w:r>
            <w:r w:rsidRPr="008F19EC">
              <w:rPr>
                <w:sz w:val="16"/>
              </w:rPr>
              <w:t>OMPI et conformes aux normes internationales</w:t>
            </w:r>
          </w:p>
        </w:tc>
        <w:tc>
          <w:tcPr>
            <w:tcW w:w="1363" w:type="pct"/>
            <w:shd w:val="clear" w:color="auto" w:fill="auto"/>
          </w:tcPr>
          <w:p w:rsidR="00D42474" w:rsidRDefault="0096696E" w:rsidP="001A5BF9">
            <w:pPr>
              <w:rPr>
                <w:rFonts w:cs="Arial"/>
                <w:i/>
                <w:color w:val="002060"/>
                <w:sz w:val="16"/>
                <w:szCs w:val="16"/>
                <w:lang w:bidi="th-TH"/>
              </w:rPr>
            </w:pPr>
            <w:r w:rsidRPr="005C7CCE">
              <w:rPr>
                <w:i/>
                <w:color w:val="002060"/>
                <w:sz w:val="16"/>
              </w:rPr>
              <w:t xml:space="preserve">Niveau de référence actualisé fin 2011 : </w:t>
            </w:r>
            <w:r w:rsidRPr="005C7CCE">
              <w:rPr>
                <w:color w:val="002060"/>
                <w:sz w:val="16"/>
              </w:rPr>
              <w:t>65 administrateurs de litiges ccTLD (à fin 2011)</w:t>
            </w:r>
          </w:p>
          <w:p w:rsidR="00D42474" w:rsidRDefault="00D42474" w:rsidP="001A5BF9">
            <w:pPr>
              <w:rPr>
                <w:rFonts w:cs="Arial"/>
                <w:i/>
                <w:color w:val="002060"/>
                <w:sz w:val="8"/>
                <w:szCs w:val="8"/>
              </w:rPr>
            </w:pPr>
          </w:p>
          <w:p w:rsidR="0096696E" w:rsidRPr="005C7CCE" w:rsidRDefault="00D33EAF" w:rsidP="001A5BF9">
            <w:pPr>
              <w:rPr>
                <w:rFonts w:cs="Arial"/>
                <w:sz w:val="16"/>
                <w:szCs w:val="16"/>
              </w:rPr>
            </w:pPr>
            <w:r>
              <w:rPr>
                <w:i/>
                <w:sz w:val="16"/>
              </w:rPr>
              <w:t>Niveau de référence initial p</w:t>
            </w:r>
            <w:r w:rsidR="0096696E" w:rsidRPr="005C7CCE">
              <w:rPr>
                <w:i/>
                <w:sz w:val="16"/>
              </w:rPr>
              <w:t>rogramme et budget 2012</w:t>
            </w:r>
            <w:r w:rsidR="002D6F2A" w:rsidRPr="005C7CCE">
              <w:rPr>
                <w:i/>
                <w:sz w:val="16"/>
              </w:rPr>
              <w:noBreakHyphen/>
            </w:r>
            <w:r w:rsidR="0096696E" w:rsidRPr="005C7CCE">
              <w:rPr>
                <w:i/>
                <w:sz w:val="16"/>
              </w:rPr>
              <w:t>2013 :</w:t>
            </w:r>
            <w:r w:rsidR="0096696E" w:rsidRPr="005C7CCE">
              <w:rPr>
                <w:sz w:val="16"/>
              </w:rPr>
              <w:t xml:space="preserve"> 65 administrateurs de litiges ccTLD (à fin 2010)</w:t>
            </w:r>
          </w:p>
        </w:tc>
        <w:tc>
          <w:tcPr>
            <w:tcW w:w="747" w:type="pct"/>
            <w:shd w:val="clear" w:color="auto" w:fill="auto"/>
            <w:tcMar>
              <w:top w:w="110" w:type="dxa"/>
            </w:tcMar>
          </w:tcPr>
          <w:p w:rsidR="00D42474" w:rsidRDefault="0096696E" w:rsidP="001A5BF9">
            <w:pPr>
              <w:rPr>
                <w:rFonts w:cs="Arial"/>
                <w:sz w:val="16"/>
                <w:szCs w:val="16"/>
              </w:rPr>
            </w:pPr>
            <w:r w:rsidRPr="008F19EC">
              <w:rPr>
                <w:sz w:val="16"/>
              </w:rPr>
              <w:t>Six</w:t>
            </w:r>
            <w:r w:rsidR="004304AF" w:rsidRPr="008F19EC">
              <w:rPr>
                <w:sz w:val="16"/>
              </w:rPr>
              <w:t xml:space="preserve"> </w:t>
            </w:r>
            <w:r w:rsidRPr="008F19EC">
              <w:rPr>
                <w:sz w:val="16"/>
              </w:rPr>
              <w:t>administrateurs</w:t>
            </w:r>
          </w:p>
          <w:p w:rsidR="0096696E" w:rsidRPr="008F19EC" w:rsidRDefault="0096696E" w:rsidP="001A5BF9">
            <w:pPr>
              <w:rPr>
                <w:rFonts w:cs="Arial"/>
                <w:sz w:val="16"/>
                <w:szCs w:val="16"/>
                <w:lang w:bidi="th-TH"/>
              </w:rPr>
            </w:pPr>
            <w:r w:rsidRPr="008F19EC">
              <w:rPr>
                <w:sz w:val="16"/>
              </w:rPr>
              <w:t xml:space="preserve">supplémentaires </w:t>
            </w:r>
          </w:p>
        </w:tc>
        <w:tc>
          <w:tcPr>
            <w:tcW w:w="1206" w:type="pct"/>
            <w:shd w:val="clear" w:color="auto" w:fill="FFFFFF"/>
            <w:tcMar>
              <w:top w:w="110" w:type="dxa"/>
            </w:tcMar>
          </w:tcPr>
          <w:p w:rsidR="00D42474" w:rsidRDefault="0096696E" w:rsidP="001A5BF9">
            <w:pPr>
              <w:rPr>
                <w:rFonts w:cs="Arial"/>
                <w:spacing w:val="-4"/>
                <w:sz w:val="16"/>
                <w:szCs w:val="16"/>
                <w:lang w:bidi="th-TH"/>
              </w:rPr>
            </w:pPr>
            <w:r w:rsidRPr="008F19EC">
              <w:rPr>
                <w:spacing w:val="-4"/>
                <w:sz w:val="16"/>
              </w:rPr>
              <w:t>70 administrateurs de litiges ccTLD (cumul à la fin de 2013)</w:t>
            </w:r>
          </w:p>
          <w:p w:rsidR="00D42474" w:rsidRDefault="00D42474" w:rsidP="001A5BF9">
            <w:pPr>
              <w:rPr>
                <w:rFonts w:cs="Arial"/>
                <w:sz w:val="16"/>
                <w:szCs w:val="16"/>
                <w:lang w:bidi="th-TH"/>
              </w:rPr>
            </w:pPr>
          </w:p>
          <w:p w:rsidR="0096696E" w:rsidRPr="008F19EC" w:rsidRDefault="0096696E" w:rsidP="001A5BF9">
            <w:pPr>
              <w:rPr>
                <w:rFonts w:cs="Arial"/>
                <w:sz w:val="16"/>
                <w:szCs w:val="16"/>
              </w:rPr>
            </w:pPr>
            <w:r w:rsidRPr="008F19EC">
              <w:rPr>
                <w:sz w:val="16"/>
              </w:rPr>
              <w:t>Cinq administrateurs ccTLD supplémentaires</w:t>
            </w:r>
          </w:p>
        </w:tc>
        <w:tc>
          <w:tcPr>
            <w:tcW w:w="660" w:type="pct"/>
            <w:shd w:val="clear" w:color="auto" w:fill="auto"/>
          </w:tcPr>
          <w:p w:rsidR="0096696E" w:rsidRPr="008F19EC" w:rsidRDefault="0096696E" w:rsidP="001A5BF9">
            <w:pPr>
              <w:keepNext/>
              <w:keepLines/>
              <w:jc w:val="center"/>
              <w:rPr>
                <w:rFonts w:cs="Arial"/>
                <w:bCs/>
                <w:sz w:val="16"/>
                <w:szCs w:val="16"/>
              </w:rPr>
            </w:pPr>
            <w:r w:rsidRPr="00B470C6">
              <w:rPr>
                <w:color w:val="008000"/>
                <w:sz w:val="16"/>
              </w:rPr>
              <w:t>Objectif pleinement atteint</w:t>
            </w:r>
          </w:p>
        </w:tc>
      </w:tr>
    </w:tbl>
    <w:p w:rsidR="00D42474" w:rsidRDefault="00D42474" w:rsidP="001A5BF9">
      <w:pPr>
        <w:rPr>
          <w:rFonts w:cs="Arial"/>
          <w:szCs w:val="22"/>
        </w:rPr>
      </w:pPr>
    </w:p>
    <w:p w:rsidR="00D42474" w:rsidRDefault="00D42474" w:rsidP="001A5BF9">
      <w:pPr>
        <w:rPr>
          <w:rFonts w:cs="Arial"/>
          <w:szCs w:val="22"/>
        </w:rPr>
      </w:pPr>
    </w:p>
    <w:p w:rsidR="00D42474" w:rsidRDefault="0096696E" w:rsidP="001A5BF9">
      <w:pPr>
        <w:pStyle w:val="NormalWeb"/>
        <w:spacing w:before="0" w:beforeAutospacing="0" w:after="0" w:afterAutospacing="0"/>
        <w:rPr>
          <w:sz w:val="22"/>
          <w:szCs w:val="22"/>
        </w:rPr>
      </w:pPr>
      <w:r w:rsidRPr="008F19EC">
        <w:rPr>
          <w:sz w:val="22"/>
        </w:rPr>
        <w:t>BUDGET ET DÉPENSES EFFECTIVES</w:t>
      </w:r>
    </w:p>
    <w:p w:rsidR="00D42474" w:rsidRDefault="00D42474" w:rsidP="001A5BF9">
      <w:pPr>
        <w:pStyle w:val="NormalWeb"/>
        <w:spacing w:before="0" w:beforeAutospacing="0" w:after="0" w:afterAutospacing="0"/>
        <w:jc w:val="center"/>
        <w:rPr>
          <w:sz w:val="22"/>
          <w:szCs w:val="22"/>
        </w:rPr>
      </w:pPr>
    </w:p>
    <w:p w:rsidR="00D42474" w:rsidRDefault="0096696E" w:rsidP="001A5BF9">
      <w:pPr>
        <w:pStyle w:val="NormalWeb"/>
        <w:spacing w:before="0" w:beforeAutospacing="0" w:after="0" w:afterAutospacing="0"/>
        <w:jc w:val="center"/>
        <w:rPr>
          <w:sz w:val="20"/>
          <w:szCs w:val="20"/>
        </w:rPr>
      </w:pPr>
      <w:r w:rsidRPr="008F19EC">
        <w:rPr>
          <w:sz w:val="20"/>
        </w:rPr>
        <w:t>Budget et dépenses effectives (par résultat)</w:t>
      </w:r>
    </w:p>
    <w:p w:rsidR="00D42474" w:rsidRDefault="0096696E" w:rsidP="001A5BF9">
      <w:pPr>
        <w:pStyle w:val="NormalWeb"/>
        <w:spacing w:before="0" w:beforeAutospacing="0" w:after="0" w:afterAutospacing="0"/>
        <w:jc w:val="center"/>
        <w:rPr>
          <w:i/>
          <w:iCs/>
          <w:sz w:val="20"/>
          <w:szCs w:val="20"/>
        </w:rPr>
      </w:pPr>
      <w:r w:rsidRPr="008F19EC">
        <w:rPr>
          <w:i/>
          <w:sz w:val="20"/>
        </w:rPr>
        <w:t>(</w:t>
      </w:r>
      <w:proofErr w:type="gramStart"/>
      <w:r w:rsidRPr="008F19EC">
        <w:rPr>
          <w:i/>
          <w:sz w:val="20"/>
        </w:rPr>
        <w:t>en</w:t>
      </w:r>
      <w:proofErr w:type="gramEnd"/>
      <w:r w:rsidRPr="008F19EC">
        <w:rPr>
          <w:i/>
          <w:sz w:val="20"/>
        </w:rPr>
        <w:t xml:space="preserve"> milliers de francs suisses)</w:t>
      </w:r>
    </w:p>
    <w:p w:rsidR="0096696E" w:rsidRPr="008F19EC" w:rsidRDefault="0096696E" w:rsidP="001A5BF9">
      <w:pPr>
        <w:rPr>
          <w:rFonts w:cs="Arial"/>
          <w:szCs w:val="22"/>
        </w:rPr>
      </w:pPr>
    </w:p>
    <w:tbl>
      <w:tblPr>
        <w:tblW w:w="0" w:type="auto"/>
        <w:tblInd w:w="103" w:type="dxa"/>
        <w:tblLayout w:type="fixed"/>
        <w:tblCellMar>
          <w:top w:w="57" w:type="dxa"/>
          <w:bottom w:w="57" w:type="dxa"/>
        </w:tblCellMar>
        <w:tblLook w:val="04A0" w:firstRow="1" w:lastRow="0" w:firstColumn="1" w:lastColumn="0" w:noHBand="0" w:noVBand="1"/>
      </w:tblPr>
      <w:tblGrid>
        <w:gridCol w:w="567"/>
        <w:gridCol w:w="4258"/>
        <w:gridCol w:w="1512"/>
        <w:gridCol w:w="1512"/>
        <w:gridCol w:w="1512"/>
      </w:tblGrid>
      <w:tr w:rsidR="0096696E" w:rsidRPr="008F19EC" w:rsidTr="0043129C">
        <w:tc>
          <w:tcPr>
            <w:tcW w:w="4825"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8F19EC" w:rsidRDefault="0096696E" w:rsidP="001A5BF9">
            <w:pPr>
              <w:jc w:val="center"/>
              <w:rPr>
                <w:rFonts w:cs="Arial"/>
                <w:bCs/>
                <w:sz w:val="16"/>
                <w:szCs w:val="16"/>
              </w:rPr>
            </w:pPr>
            <w:r w:rsidRPr="008F19EC">
              <w:rPr>
                <w:sz w:val="16"/>
              </w:rPr>
              <w:t>Numéro et description du résultat escompté</w:t>
            </w:r>
          </w:p>
        </w:tc>
        <w:tc>
          <w:tcPr>
            <w:tcW w:w="1512" w:type="dxa"/>
            <w:tcBorders>
              <w:top w:val="single" w:sz="4" w:space="0" w:color="auto"/>
              <w:left w:val="nil"/>
              <w:bottom w:val="single" w:sz="4" w:space="0" w:color="auto"/>
              <w:right w:val="single" w:sz="4" w:space="0" w:color="auto"/>
            </w:tcBorders>
            <w:shd w:val="clear" w:color="000000" w:fill="CCFFFF"/>
            <w:vAlign w:val="center"/>
          </w:tcPr>
          <w:p w:rsidR="0096696E" w:rsidRPr="008F19EC" w:rsidRDefault="0096696E" w:rsidP="001A5BF9">
            <w:pPr>
              <w:jc w:val="center"/>
              <w:rPr>
                <w:rFonts w:cs="Arial"/>
                <w:bCs/>
                <w:sz w:val="16"/>
                <w:szCs w:val="16"/>
              </w:rPr>
            </w:pPr>
            <w:r w:rsidRPr="008F19EC">
              <w:rPr>
                <w:sz w:val="16"/>
              </w:rPr>
              <w:t>Budget</w:t>
            </w:r>
            <w:r w:rsidRPr="008F19EC">
              <w:br/>
            </w:r>
            <w:r w:rsidRPr="008F19EC">
              <w:rPr>
                <w:sz w:val="16"/>
              </w:rPr>
              <w:t>2012–2013 approuvé</w:t>
            </w:r>
          </w:p>
        </w:tc>
        <w:tc>
          <w:tcPr>
            <w:tcW w:w="1512" w:type="dxa"/>
            <w:tcBorders>
              <w:top w:val="single" w:sz="4" w:space="0" w:color="auto"/>
              <w:left w:val="nil"/>
              <w:bottom w:val="single" w:sz="4" w:space="0" w:color="auto"/>
              <w:right w:val="single" w:sz="4" w:space="0" w:color="auto"/>
            </w:tcBorders>
            <w:shd w:val="clear" w:color="000000" w:fill="CCFFFF"/>
            <w:vAlign w:val="center"/>
          </w:tcPr>
          <w:p w:rsidR="0096696E" w:rsidRPr="008F19EC" w:rsidRDefault="0096696E" w:rsidP="001A5BF9">
            <w:pPr>
              <w:jc w:val="center"/>
              <w:rPr>
                <w:rFonts w:cs="Arial"/>
                <w:bCs/>
                <w:sz w:val="16"/>
                <w:szCs w:val="16"/>
              </w:rPr>
            </w:pPr>
            <w:r w:rsidRPr="008F19EC">
              <w:rPr>
                <w:sz w:val="16"/>
              </w:rPr>
              <w:t>Budget</w:t>
            </w:r>
            <w:r w:rsidRPr="008F19EC">
              <w:br/>
            </w:r>
            <w:r w:rsidRPr="008F19EC">
              <w:rPr>
                <w:sz w:val="16"/>
              </w:rPr>
              <w:t>2012</w:t>
            </w:r>
            <w:r w:rsidR="002D6F2A" w:rsidRPr="008F19EC">
              <w:rPr>
                <w:sz w:val="16"/>
              </w:rPr>
              <w:noBreakHyphen/>
            </w:r>
            <w:r w:rsidRPr="008F19EC">
              <w:rPr>
                <w:sz w:val="16"/>
              </w:rPr>
              <w:t>2013 après virements</w:t>
            </w:r>
          </w:p>
        </w:tc>
        <w:tc>
          <w:tcPr>
            <w:tcW w:w="1512" w:type="dxa"/>
            <w:tcBorders>
              <w:top w:val="single" w:sz="4" w:space="0" w:color="auto"/>
              <w:left w:val="nil"/>
              <w:bottom w:val="single" w:sz="4" w:space="0" w:color="auto"/>
              <w:right w:val="single" w:sz="4" w:space="0" w:color="auto"/>
            </w:tcBorders>
            <w:shd w:val="clear" w:color="000000" w:fill="CCFFFF"/>
            <w:vAlign w:val="center"/>
          </w:tcPr>
          <w:p w:rsidR="0096696E" w:rsidRPr="008F19EC" w:rsidRDefault="0096696E" w:rsidP="001A5BF9">
            <w:pPr>
              <w:jc w:val="center"/>
              <w:rPr>
                <w:rFonts w:cs="Arial"/>
                <w:bCs/>
                <w:sz w:val="16"/>
                <w:szCs w:val="16"/>
              </w:rPr>
            </w:pPr>
            <w:r w:rsidRPr="008F19EC">
              <w:rPr>
                <w:sz w:val="16"/>
              </w:rPr>
              <w:t>Dépenses</w:t>
            </w:r>
            <w:r w:rsidRPr="008F19EC">
              <w:br/>
            </w:r>
            <w:r w:rsidRPr="008F19EC">
              <w:rPr>
                <w:sz w:val="16"/>
              </w:rPr>
              <w:t>2012</w:t>
            </w:r>
            <w:r w:rsidR="002D6F2A" w:rsidRPr="008F19EC">
              <w:rPr>
                <w:sz w:val="16"/>
              </w:rPr>
              <w:noBreakHyphen/>
            </w:r>
            <w:r w:rsidRPr="008F19EC">
              <w:rPr>
                <w:sz w:val="16"/>
              </w:rPr>
              <w:t>2013</w:t>
            </w:r>
          </w:p>
        </w:tc>
      </w:tr>
      <w:tr w:rsidR="0096696E" w:rsidRPr="008F19EC" w:rsidTr="0043129C">
        <w:tc>
          <w:tcPr>
            <w:tcW w:w="567" w:type="dxa"/>
            <w:tcBorders>
              <w:top w:val="nil"/>
              <w:left w:val="single" w:sz="4" w:space="0" w:color="auto"/>
              <w:bottom w:val="nil"/>
              <w:right w:val="nil"/>
            </w:tcBorders>
            <w:shd w:val="clear" w:color="000000" w:fill="FFFFFF"/>
            <w:noWrap/>
          </w:tcPr>
          <w:p w:rsidR="0096696E" w:rsidRPr="008F19EC" w:rsidRDefault="0096696E" w:rsidP="001A5BF9">
            <w:pPr>
              <w:jc w:val="center"/>
              <w:rPr>
                <w:rFonts w:cs="Arial"/>
                <w:sz w:val="16"/>
                <w:szCs w:val="16"/>
              </w:rPr>
            </w:pPr>
            <w:proofErr w:type="spellStart"/>
            <w:r w:rsidRPr="008F19EC">
              <w:rPr>
                <w:sz w:val="16"/>
              </w:rPr>
              <w:t>II.11</w:t>
            </w:r>
            <w:proofErr w:type="spellEnd"/>
          </w:p>
        </w:tc>
        <w:tc>
          <w:tcPr>
            <w:tcW w:w="4258" w:type="dxa"/>
            <w:tcBorders>
              <w:top w:val="nil"/>
              <w:left w:val="nil"/>
              <w:bottom w:val="nil"/>
              <w:right w:val="nil"/>
            </w:tcBorders>
            <w:shd w:val="clear" w:color="000000" w:fill="FFFFFF"/>
          </w:tcPr>
          <w:p w:rsidR="0096696E" w:rsidRPr="008F19EC" w:rsidRDefault="0096696E" w:rsidP="001A5BF9">
            <w:pPr>
              <w:rPr>
                <w:rFonts w:cs="Arial"/>
                <w:sz w:val="16"/>
                <w:szCs w:val="16"/>
              </w:rPr>
            </w:pPr>
            <w:r w:rsidRPr="008F19EC">
              <w:rPr>
                <w:sz w:val="16"/>
              </w:rPr>
              <w:t>De plus en plus de litiges internationaux ou nationaux de propriété intellectuelle sont évités ou réglés par la médiation, l</w:t>
            </w:r>
            <w:r w:rsidR="00A20444" w:rsidRPr="008F19EC">
              <w:rPr>
                <w:sz w:val="16"/>
              </w:rPr>
              <w:t>’</w:t>
            </w:r>
            <w:r w:rsidRPr="008F19EC">
              <w:rPr>
                <w:sz w:val="16"/>
              </w:rPr>
              <w:t>arbitrage et d</w:t>
            </w:r>
            <w:r w:rsidR="00A20444" w:rsidRPr="008F19EC">
              <w:rPr>
                <w:sz w:val="16"/>
              </w:rPr>
              <w:t>’</w:t>
            </w:r>
            <w:r w:rsidRPr="008F19EC">
              <w:rPr>
                <w:sz w:val="16"/>
              </w:rPr>
              <w:t>autres modes extrajudiciaires de règlement des litiges</w:t>
            </w:r>
          </w:p>
        </w:tc>
        <w:tc>
          <w:tcPr>
            <w:tcW w:w="1512" w:type="dxa"/>
            <w:tcBorders>
              <w:top w:val="nil"/>
              <w:left w:val="nil"/>
              <w:bottom w:val="nil"/>
              <w:right w:val="nil"/>
            </w:tcBorders>
            <w:shd w:val="clear" w:color="000000" w:fill="FFFFFF"/>
            <w:vAlign w:val="center"/>
          </w:tcPr>
          <w:p w:rsidR="0096696E" w:rsidRPr="008F19EC" w:rsidRDefault="0096696E" w:rsidP="001A5BF9">
            <w:pPr>
              <w:jc w:val="right"/>
              <w:rPr>
                <w:rFonts w:cs="Arial"/>
                <w:sz w:val="16"/>
                <w:szCs w:val="16"/>
              </w:rPr>
            </w:pPr>
            <w:r w:rsidRPr="008F19EC">
              <w:rPr>
                <w:sz w:val="16"/>
              </w:rPr>
              <w:t xml:space="preserve">3 175 </w:t>
            </w:r>
          </w:p>
        </w:tc>
        <w:tc>
          <w:tcPr>
            <w:tcW w:w="1512" w:type="dxa"/>
            <w:tcBorders>
              <w:top w:val="nil"/>
              <w:left w:val="nil"/>
              <w:bottom w:val="nil"/>
              <w:right w:val="nil"/>
            </w:tcBorders>
            <w:shd w:val="clear" w:color="000000" w:fill="FFFFFF"/>
            <w:vAlign w:val="center"/>
          </w:tcPr>
          <w:p w:rsidR="0096696E" w:rsidRPr="008F19EC" w:rsidRDefault="0096696E" w:rsidP="001A5BF9">
            <w:pPr>
              <w:jc w:val="right"/>
              <w:rPr>
                <w:rFonts w:cs="Arial"/>
                <w:sz w:val="16"/>
                <w:szCs w:val="16"/>
              </w:rPr>
            </w:pPr>
            <w:r w:rsidRPr="008F19EC">
              <w:rPr>
                <w:sz w:val="16"/>
              </w:rPr>
              <w:t xml:space="preserve">3 541 </w:t>
            </w:r>
          </w:p>
        </w:tc>
        <w:tc>
          <w:tcPr>
            <w:tcW w:w="1512" w:type="dxa"/>
            <w:tcBorders>
              <w:top w:val="nil"/>
              <w:left w:val="nil"/>
              <w:bottom w:val="nil"/>
              <w:right w:val="single" w:sz="4" w:space="0" w:color="auto"/>
            </w:tcBorders>
            <w:shd w:val="clear" w:color="000000" w:fill="FFFFFF"/>
            <w:vAlign w:val="center"/>
          </w:tcPr>
          <w:p w:rsidR="0096696E" w:rsidRPr="008F19EC" w:rsidRDefault="0096696E" w:rsidP="001A5BF9">
            <w:pPr>
              <w:jc w:val="right"/>
              <w:rPr>
                <w:rFonts w:cs="Arial"/>
                <w:sz w:val="16"/>
                <w:szCs w:val="16"/>
              </w:rPr>
            </w:pPr>
            <w:r w:rsidRPr="008F19EC">
              <w:rPr>
                <w:sz w:val="16"/>
              </w:rPr>
              <w:t xml:space="preserve">3 424 </w:t>
            </w:r>
          </w:p>
        </w:tc>
      </w:tr>
      <w:tr w:rsidR="0096696E" w:rsidRPr="008F19EC" w:rsidTr="0043129C">
        <w:tc>
          <w:tcPr>
            <w:tcW w:w="567" w:type="dxa"/>
            <w:tcBorders>
              <w:top w:val="nil"/>
              <w:left w:val="single" w:sz="4" w:space="0" w:color="auto"/>
              <w:bottom w:val="single" w:sz="4" w:space="0" w:color="auto"/>
              <w:right w:val="nil"/>
            </w:tcBorders>
            <w:shd w:val="clear" w:color="000000" w:fill="FFFFFF"/>
            <w:noWrap/>
          </w:tcPr>
          <w:p w:rsidR="0096696E" w:rsidRPr="008F19EC" w:rsidRDefault="0096696E" w:rsidP="001A5BF9">
            <w:pPr>
              <w:jc w:val="center"/>
              <w:rPr>
                <w:rFonts w:cs="Arial"/>
                <w:sz w:val="16"/>
                <w:szCs w:val="16"/>
              </w:rPr>
            </w:pPr>
            <w:proofErr w:type="spellStart"/>
            <w:r w:rsidRPr="008F19EC">
              <w:rPr>
                <w:sz w:val="16"/>
              </w:rPr>
              <w:t>II.12</w:t>
            </w:r>
            <w:proofErr w:type="spellEnd"/>
          </w:p>
        </w:tc>
        <w:tc>
          <w:tcPr>
            <w:tcW w:w="4258" w:type="dxa"/>
            <w:tcBorders>
              <w:top w:val="nil"/>
              <w:left w:val="nil"/>
              <w:bottom w:val="single" w:sz="4" w:space="0" w:color="auto"/>
              <w:right w:val="nil"/>
            </w:tcBorders>
            <w:shd w:val="clear" w:color="000000" w:fill="FFFFFF"/>
          </w:tcPr>
          <w:p w:rsidR="0096696E" w:rsidRPr="008F19EC" w:rsidRDefault="0096696E" w:rsidP="001A5BF9">
            <w:pPr>
              <w:rPr>
                <w:rFonts w:cs="Arial"/>
                <w:sz w:val="16"/>
                <w:szCs w:val="16"/>
              </w:rPr>
            </w:pPr>
            <w:r w:rsidRPr="008F19EC">
              <w:rPr>
                <w:sz w:val="16"/>
              </w:rPr>
              <w:t>Protection efficace de la propriété intellectuelle dans les gTLD et les ccTLD</w:t>
            </w:r>
          </w:p>
        </w:tc>
        <w:tc>
          <w:tcPr>
            <w:tcW w:w="1512" w:type="dxa"/>
            <w:tcBorders>
              <w:top w:val="nil"/>
              <w:left w:val="nil"/>
              <w:bottom w:val="single" w:sz="4" w:space="0" w:color="auto"/>
              <w:right w:val="nil"/>
            </w:tcBorders>
            <w:shd w:val="clear" w:color="000000" w:fill="FFFFFF"/>
            <w:vAlign w:val="center"/>
          </w:tcPr>
          <w:p w:rsidR="0096696E" w:rsidRPr="008F19EC" w:rsidRDefault="0096696E" w:rsidP="001A5BF9">
            <w:pPr>
              <w:jc w:val="right"/>
              <w:rPr>
                <w:rFonts w:cs="Arial"/>
                <w:sz w:val="16"/>
                <w:szCs w:val="16"/>
              </w:rPr>
            </w:pPr>
            <w:r w:rsidRPr="008F19EC">
              <w:rPr>
                <w:sz w:val="16"/>
              </w:rPr>
              <w:t xml:space="preserve">7 409 </w:t>
            </w:r>
          </w:p>
        </w:tc>
        <w:tc>
          <w:tcPr>
            <w:tcW w:w="1512" w:type="dxa"/>
            <w:tcBorders>
              <w:top w:val="nil"/>
              <w:left w:val="nil"/>
              <w:bottom w:val="single" w:sz="4" w:space="0" w:color="auto"/>
              <w:right w:val="nil"/>
            </w:tcBorders>
            <w:shd w:val="clear" w:color="000000" w:fill="FFFFFF"/>
            <w:vAlign w:val="center"/>
          </w:tcPr>
          <w:p w:rsidR="0096696E" w:rsidRPr="008F19EC" w:rsidRDefault="0096696E" w:rsidP="001A5BF9">
            <w:pPr>
              <w:jc w:val="right"/>
              <w:rPr>
                <w:rFonts w:cs="Arial"/>
                <w:sz w:val="16"/>
                <w:szCs w:val="16"/>
              </w:rPr>
            </w:pPr>
            <w:r w:rsidRPr="008F19EC">
              <w:rPr>
                <w:sz w:val="16"/>
              </w:rPr>
              <w:t xml:space="preserve">6 623 </w:t>
            </w:r>
          </w:p>
        </w:tc>
        <w:tc>
          <w:tcPr>
            <w:tcW w:w="1512" w:type="dxa"/>
            <w:tcBorders>
              <w:top w:val="nil"/>
              <w:left w:val="nil"/>
              <w:bottom w:val="single" w:sz="4" w:space="0" w:color="auto"/>
              <w:right w:val="single" w:sz="4" w:space="0" w:color="auto"/>
            </w:tcBorders>
            <w:shd w:val="clear" w:color="000000" w:fill="FFFFFF"/>
            <w:vAlign w:val="center"/>
          </w:tcPr>
          <w:p w:rsidR="0096696E" w:rsidRPr="008F19EC" w:rsidRDefault="0096696E" w:rsidP="001A5BF9">
            <w:pPr>
              <w:jc w:val="right"/>
              <w:rPr>
                <w:rFonts w:cs="Arial"/>
                <w:sz w:val="16"/>
                <w:szCs w:val="16"/>
              </w:rPr>
            </w:pPr>
            <w:r w:rsidRPr="008F19EC">
              <w:rPr>
                <w:sz w:val="16"/>
              </w:rPr>
              <w:t>6 390</w:t>
            </w:r>
          </w:p>
        </w:tc>
      </w:tr>
      <w:tr w:rsidR="0096696E" w:rsidRPr="008F19EC" w:rsidTr="0043129C">
        <w:tc>
          <w:tcPr>
            <w:tcW w:w="567" w:type="dxa"/>
            <w:tcBorders>
              <w:top w:val="nil"/>
              <w:left w:val="single" w:sz="4" w:space="0" w:color="auto"/>
              <w:bottom w:val="single" w:sz="4" w:space="0" w:color="auto"/>
              <w:right w:val="nil"/>
            </w:tcBorders>
            <w:shd w:val="clear" w:color="000000" w:fill="CCFFFF"/>
            <w:noWrap/>
            <w:vAlign w:val="bottom"/>
          </w:tcPr>
          <w:p w:rsidR="0096696E" w:rsidRPr="008F19EC" w:rsidRDefault="0096696E" w:rsidP="001A5BF9">
            <w:pPr>
              <w:jc w:val="center"/>
              <w:rPr>
                <w:rFonts w:cs="Arial"/>
                <w:b/>
                <w:bCs/>
                <w:sz w:val="16"/>
                <w:szCs w:val="16"/>
              </w:rPr>
            </w:pPr>
            <w:r w:rsidRPr="008F19EC">
              <w:rPr>
                <w:b/>
                <w:sz w:val="16"/>
              </w:rPr>
              <w:t> </w:t>
            </w:r>
          </w:p>
        </w:tc>
        <w:tc>
          <w:tcPr>
            <w:tcW w:w="4258" w:type="dxa"/>
            <w:tcBorders>
              <w:top w:val="nil"/>
              <w:left w:val="nil"/>
              <w:bottom w:val="single" w:sz="4" w:space="0" w:color="auto"/>
              <w:right w:val="nil"/>
            </w:tcBorders>
            <w:shd w:val="clear" w:color="000000" w:fill="CCFFFF"/>
            <w:noWrap/>
            <w:vAlign w:val="center"/>
          </w:tcPr>
          <w:p w:rsidR="0096696E" w:rsidRPr="008F19EC" w:rsidRDefault="0096696E" w:rsidP="001A5BF9">
            <w:pPr>
              <w:rPr>
                <w:rFonts w:cs="Arial"/>
                <w:b/>
                <w:bCs/>
                <w:sz w:val="16"/>
                <w:szCs w:val="16"/>
              </w:rPr>
            </w:pPr>
            <w:r w:rsidRPr="008F19EC">
              <w:rPr>
                <w:b/>
                <w:sz w:val="16"/>
              </w:rPr>
              <w:t>Total</w:t>
            </w:r>
          </w:p>
        </w:tc>
        <w:tc>
          <w:tcPr>
            <w:tcW w:w="1512" w:type="dxa"/>
            <w:tcBorders>
              <w:top w:val="nil"/>
              <w:left w:val="single" w:sz="4" w:space="0" w:color="auto"/>
              <w:bottom w:val="single" w:sz="4" w:space="0" w:color="auto"/>
              <w:right w:val="single" w:sz="4" w:space="0" w:color="auto"/>
            </w:tcBorders>
            <w:shd w:val="clear" w:color="000000" w:fill="CCFFFF"/>
            <w:vAlign w:val="center"/>
          </w:tcPr>
          <w:p w:rsidR="0096696E" w:rsidRPr="008F19EC" w:rsidRDefault="0096696E" w:rsidP="001A5BF9">
            <w:pPr>
              <w:jc w:val="right"/>
              <w:rPr>
                <w:rFonts w:cs="Arial"/>
                <w:b/>
                <w:bCs/>
                <w:sz w:val="16"/>
                <w:szCs w:val="16"/>
              </w:rPr>
            </w:pPr>
            <w:r w:rsidRPr="008F19EC">
              <w:rPr>
                <w:b/>
                <w:sz w:val="16"/>
              </w:rPr>
              <w:t xml:space="preserve">10 585 </w:t>
            </w:r>
          </w:p>
        </w:tc>
        <w:tc>
          <w:tcPr>
            <w:tcW w:w="1512" w:type="dxa"/>
            <w:tcBorders>
              <w:top w:val="nil"/>
              <w:left w:val="nil"/>
              <w:bottom w:val="single" w:sz="4" w:space="0" w:color="auto"/>
              <w:right w:val="single" w:sz="4" w:space="0" w:color="auto"/>
            </w:tcBorders>
            <w:shd w:val="clear" w:color="000000" w:fill="CCFFFF"/>
            <w:noWrap/>
            <w:vAlign w:val="center"/>
          </w:tcPr>
          <w:p w:rsidR="0096696E" w:rsidRPr="008F19EC" w:rsidRDefault="0096696E" w:rsidP="001A5BF9">
            <w:pPr>
              <w:jc w:val="right"/>
              <w:rPr>
                <w:rFonts w:cs="Arial"/>
                <w:b/>
                <w:bCs/>
                <w:sz w:val="16"/>
                <w:szCs w:val="16"/>
              </w:rPr>
            </w:pPr>
            <w:r w:rsidRPr="008F19EC">
              <w:rPr>
                <w:b/>
                <w:sz w:val="16"/>
              </w:rPr>
              <w:t>10 164</w:t>
            </w:r>
          </w:p>
        </w:tc>
        <w:tc>
          <w:tcPr>
            <w:tcW w:w="1512" w:type="dxa"/>
            <w:tcBorders>
              <w:top w:val="nil"/>
              <w:left w:val="nil"/>
              <w:bottom w:val="single" w:sz="4" w:space="0" w:color="auto"/>
              <w:right w:val="single" w:sz="4" w:space="0" w:color="auto"/>
            </w:tcBorders>
            <w:shd w:val="clear" w:color="000000" w:fill="CCFFFF"/>
            <w:vAlign w:val="center"/>
          </w:tcPr>
          <w:p w:rsidR="0096696E" w:rsidRPr="008F19EC" w:rsidRDefault="0096696E" w:rsidP="001A5BF9">
            <w:pPr>
              <w:jc w:val="right"/>
              <w:rPr>
                <w:rFonts w:cs="Arial"/>
                <w:b/>
                <w:bCs/>
                <w:sz w:val="16"/>
                <w:szCs w:val="16"/>
              </w:rPr>
            </w:pPr>
            <w:r w:rsidRPr="008F19EC">
              <w:rPr>
                <w:b/>
                <w:sz w:val="16"/>
              </w:rPr>
              <w:t>9 814</w:t>
            </w:r>
          </w:p>
        </w:tc>
      </w:tr>
    </w:tbl>
    <w:p w:rsidR="00D42474" w:rsidRDefault="00D42474" w:rsidP="001A5BF9">
      <w:pPr>
        <w:rPr>
          <w:rFonts w:cs="Arial"/>
          <w:szCs w:val="22"/>
        </w:rPr>
      </w:pPr>
    </w:p>
    <w:p w:rsidR="00D42474" w:rsidRDefault="00D42474" w:rsidP="001A5BF9">
      <w:pPr>
        <w:rPr>
          <w:rFonts w:cs="Arial"/>
          <w:szCs w:val="22"/>
        </w:rPr>
      </w:pPr>
    </w:p>
    <w:p w:rsidR="00D42474" w:rsidRDefault="0096696E" w:rsidP="001A5BF9">
      <w:pPr>
        <w:pStyle w:val="NormalWeb"/>
        <w:spacing w:before="0" w:beforeAutospacing="0" w:after="0" w:afterAutospacing="0"/>
        <w:jc w:val="center"/>
        <w:rPr>
          <w:sz w:val="20"/>
          <w:szCs w:val="20"/>
        </w:rPr>
      </w:pPr>
      <w:r w:rsidRPr="008F19EC">
        <w:rPr>
          <w:sz w:val="20"/>
        </w:rPr>
        <w:t xml:space="preserve">Budget et dépenses effectives (dépenses de </w:t>
      </w:r>
      <w:proofErr w:type="gramStart"/>
      <w:r w:rsidRPr="008F19EC">
        <w:rPr>
          <w:sz w:val="20"/>
        </w:rPr>
        <w:t>personnel et autres dépenses</w:t>
      </w:r>
      <w:proofErr w:type="gramEnd"/>
      <w:r w:rsidRPr="008F19EC">
        <w:rPr>
          <w:sz w:val="20"/>
        </w:rPr>
        <w:t>)</w:t>
      </w:r>
    </w:p>
    <w:p w:rsidR="00D42474" w:rsidRDefault="0096696E" w:rsidP="001A5BF9">
      <w:pPr>
        <w:jc w:val="center"/>
        <w:rPr>
          <w:rFonts w:cs="Arial"/>
          <w:szCs w:val="20"/>
        </w:rPr>
      </w:pPr>
      <w:r w:rsidRPr="008F19EC">
        <w:t>(</w:t>
      </w:r>
      <w:proofErr w:type="gramStart"/>
      <w:r w:rsidRPr="008F19EC">
        <w:t>en</w:t>
      </w:r>
      <w:proofErr w:type="gramEnd"/>
      <w:r w:rsidRPr="008F19EC">
        <w:t xml:space="preserve"> milliers de francs suisses)</w:t>
      </w:r>
    </w:p>
    <w:p w:rsidR="0096696E" w:rsidRPr="008F19EC" w:rsidRDefault="0096696E" w:rsidP="001A5BF9">
      <w:pPr>
        <w:rPr>
          <w:rFonts w:cs="Arial"/>
          <w:szCs w:val="22"/>
        </w:rPr>
      </w:pPr>
    </w:p>
    <w:tbl>
      <w:tblPr>
        <w:tblW w:w="9371" w:type="dxa"/>
        <w:tblInd w:w="93" w:type="dxa"/>
        <w:tblCellMar>
          <w:top w:w="57" w:type="dxa"/>
          <w:bottom w:w="57" w:type="dxa"/>
        </w:tblCellMar>
        <w:tblLook w:val="04A0" w:firstRow="1" w:lastRow="0" w:firstColumn="1" w:lastColumn="0" w:noHBand="0" w:noVBand="1"/>
      </w:tblPr>
      <w:tblGrid>
        <w:gridCol w:w="2425"/>
        <w:gridCol w:w="1736"/>
        <w:gridCol w:w="1737"/>
        <w:gridCol w:w="1736"/>
        <w:gridCol w:w="1737"/>
      </w:tblGrid>
      <w:tr w:rsidR="0096696E" w:rsidRPr="008F19EC" w:rsidTr="0043129C">
        <w:tc>
          <w:tcPr>
            <w:tcW w:w="2425"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8F19EC" w:rsidRDefault="0096696E" w:rsidP="001A5BF9">
            <w:pPr>
              <w:rPr>
                <w:rFonts w:cs="Arial"/>
                <w:sz w:val="16"/>
                <w:szCs w:val="16"/>
              </w:rPr>
            </w:pPr>
            <w:r w:rsidRPr="008F19EC">
              <w:rPr>
                <w:sz w:val="16"/>
              </w:rPr>
              <w:t> </w:t>
            </w:r>
          </w:p>
        </w:tc>
        <w:tc>
          <w:tcPr>
            <w:tcW w:w="1736" w:type="dxa"/>
            <w:tcBorders>
              <w:top w:val="single" w:sz="4" w:space="0" w:color="auto"/>
              <w:left w:val="nil"/>
              <w:bottom w:val="nil"/>
              <w:right w:val="single" w:sz="4" w:space="0" w:color="auto"/>
            </w:tcBorders>
            <w:shd w:val="clear" w:color="000000" w:fill="CCFFFF"/>
            <w:vAlign w:val="center"/>
          </w:tcPr>
          <w:p w:rsidR="0096696E" w:rsidRPr="008F19EC" w:rsidRDefault="0096696E" w:rsidP="001A5BF9">
            <w:pPr>
              <w:jc w:val="center"/>
              <w:rPr>
                <w:rFonts w:cs="Arial"/>
                <w:bCs/>
                <w:sz w:val="16"/>
                <w:szCs w:val="16"/>
              </w:rPr>
            </w:pPr>
            <w:r w:rsidRPr="008F19EC">
              <w:rPr>
                <w:sz w:val="16"/>
              </w:rPr>
              <w:t>Budget</w:t>
            </w:r>
            <w:r w:rsidRPr="008F19EC">
              <w:br/>
            </w:r>
            <w:r w:rsidRPr="008F19EC">
              <w:rPr>
                <w:sz w:val="16"/>
              </w:rPr>
              <w:t>2012</w:t>
            </w:r>
            <w:r w:rsidR="002D6F2A" w:rsidRPr="008F19EC">
              <w:rPr>
                <w:sz w:val="16"/>
              </w:rPr>
              <w:noBreakHyphen/>
            </w:r>
            <w:r w:rsidRPr="008F19EC">
              <w:rPr>
                <w:sz w:val="16"/>
              </w:rPr>
              <w:t>2013</w:t>
            </w:r>
            <w:r w:rsidRPr="008F19EC">
              <w:br/>
            </w:r>
            <w:r w:rsidRPr="008F19EC">
              <w:rPr>
                <w:sz w:val="16"/>
              </w:rPr>
              <w:t>approuvé</w:t>
            </w:r>
          </w:p>
        </w:tc>
        <w:tc>
          <w:tcPr>
            <w:tcW w:w="1737" w:type="dxa"/>
            <w:tcBorders>
              <w:top w:val="single" w:sz="4" w:space="0" w:color="auto"/>
              <w:left w:val="nil"/>
              <w:bottom w:val="nil"/>
              <w:right w:val="single" w:sz="4" w:space="0" w:color="auto"/>
            </w:tcBorders>
            <w:shd w:val="clear" w:color="000000" w:fill="CCFFFF"/>
            <w:vAlign w:val="center"/>
          </w:tcPr>
          <w:p w:rsidR="0096696E" w:rsidRPr="008F19EC" w:rsidRDefault="0096696E" w:rsidP="001A5BF9">
            <w:pPr>
              <w:jc w:val="center"/>
              <w:rPr>
                <w:rFonts w:cs="Arial"/>
                <w:bCs/>
                <w:sz w:val="16"/>
                <w:szCs w:val="16"/>
              </w:rPr>
            </w:pPr>
            <w:r w:rsidRPr="008F19EC">
              <w:rPr>
                <w:sz w:val="16"/>
              </w:rPr>
              <w:t>Budget</w:t>
            </w:r>
            <w:r w:rsidRPr="008F19EC">
              <w:br/>
            </w:r>
            <w:r w:rsidRPr="008F19EC">
              <w:rPr>
                <w:sz w:val="16"/>
              </w:rPr>
              <w:t>2012</w:t>
            </w:r>
            <w:r w:rsidR="002D6F2A" w:rsidRPr="008F19EC">
              <w:rPr>
                <w:sz w:val="16"/>
              </w:rPr>
              <w:noBreakHyphen/>
            </w:r>
            <w:r w:rsidRPr="008F19EC">
              <w:rPr>
                <w:sz w:val="16"/>
              </w:rPr>
              <w:t>2013</w:t>
            </w:r>
            <w:r w:rsidRPr="008F19EC">
              <w:br/>
            </w:r>
            <w:r w:rsidRPr="008F19EC">
              <w:rPr>
                <w:sz w:val="16"/>
              </w:rPr>
              <w:t>après virements</w:t>
            </w:r>
          </w:p>
        </w:tc>
        <w:tc>
          <w:tcPr>
            <w:tcW w:w="1736" w:type="dxa"/>
            <w:tcBorders>
              <w:top w:val="single" w:sz="4" w:space="0" w:color="auto"/>
              <w:left w:val="nil"/>
              <w:bottom w:val="nil"/>
              <w:right w:val="single" w:sz="4" w:space="0" w:color="auto"/>
            </w:tcBorders>
            <w:shd w:val="clear" w:color="000000" w:fill="CCFFFF"/>
            <w:vAlign w:val="center"/>
          </w:tcPr>
          <w:p w:rsidR="0096696E" w:rsidRPr="008F19EC" w:rsidRDefault="0096696E" w:rsidP="001A5BF9">
            <w:pPr>
              <w:jc w:val="center"/>
              <w:rPr>
                <w:rFonts w:cs="Arial"/>
                <w:bCs/>
                <w:sz w:val="16"/>
                <w:szCs w:val="16"/>
              </w:rPr>
            </w:pPr>
            <w:r w:rsidRPr="008F19EC">
              <w:rPr>
                <w:sz w:val="16"/>
              </w:rPr>
              <w:t>Dépenses</w:t>
            </w:r>
            <w:r w:rsidRPr="008F19EC">
              <w:br/>
            </w:r>
            <w:r w:rsidRPr="008F19EC">
              <w:rPr>
                <w:sz w:val="16"/>
              </w:rPr>
              <w:t>2012</w:t>
            </w:r>
            <w:r w:rsidR="002D6F2A" w:rsidRPr="008F19EC">
              <w:rPr>
                <w:sz w:val="16"/>
              </w:rPr>
              <w:noBreakHyphen/>
            </w:r>
            <w:r w:rsidRPr="008F19EC">
              <w:rPr>
                <w:sz w:val="16"/>
              </w:rPr>
              <w:t>2013</w:t>
            </w:r>
          </w:p>
        </w:tc>
        <w:tc>
          <w:tcPr>
            <w:tcW w:w="1737" w:type="dxa"/>
            <w:tcBorders>
              <w:top w:val="single" w:sz="4" w:space="0" w:color="auto"/>
              <w:left w:val="nil"/>
              <w:bottom w:val="nil"/>
              <w:right w:val="single" w:sz="4" w:space="0" w:color="auto"/>
            </w:tcBorders>
            <w:shd w:val="clear" w:color="000000" w:fill="CCFFFF"/>
            <w:vAlign w:val="center"/>
          </w:tcPr>
          <w:p w:rsidR="0096696E" w:rsidRPr="008F19EC" w:rsidRDefault="0096696E" w:rsidP="001A5BF9">
            <w:pPr>
              <w:jc w:val="center"/>
              <w:rPr>
                <w:rFonts w:cs="Arial"/>
                <w:bCs/>
                <w:sz w:val="16"/>
                <w:szCs w:val="16"/>
              </w:rPr>
            </w:pPr>
            <w:r w:rsidRPr="008F19EC">
              <w:rPr>
                <w:sz w:val="16"/>
              </w:rPr>
              <w:t>Taux d</w:t>
            </w:r>
            <w:r w:rsidR="00A20444" w:rsidRPr="008F19EC">
              <w:rPr>
                <w:sz w:val="16"/>
              </w:rPr>
              <w:t>’</w:t>
            </w:r>
            <w:r w:rsidRPr="008F19EC">
              <w:rPr>
                <w:sz w:val="16"/>
              </w:rPr>
              <w:t xml:space="preserve">utilisation </w:t>
            </w:r>
            <w:r w:rsidR="00BD43F2" w:rsidRPr="008F19EC">
              <w:rPr>
                <w:sz w:val="16"/>
              </w:rPr>
              <w:t>(</w:t>
            </w:r>
            <w:r w:rsidR="007E442D" w:rsidRPr="008F19EC">
              <w:rPr>
                <w:sz w:val="16"/>
              </w:rPr>
              <w:t>%</w:t>
            </w:r>
            <w:r w:rsidRPr="008F19EC">
              <w:rPr>
                <w:sz w:val="16"/>
              </w:rPr>
              <w:t>)</w:t>
            </w:r>
          </w:p>
        </w:tc>
      </w:tr>
      <w:tr w:rsidR="0096696E" w:rsidRPr="008F19EC" w:rsidTr="0043129C">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8F19EC" w:rsidRDefault="0096696E" w:rsidP="001A5BF9">
            <w:pPr>
              <w:rPr>
                <w:rFonts w:cs="Arial"/>
                <w:sz w:val="16"/>
                <w:szCs w:val="16"/>
              </w:rPr>
            </w:pPr>
            <w:r w:rsidRPr="008F19EC">
              <w:rPr>
                <w:sz w:val="16"/>
              </w:rPr>
              <w:t>Dépenses de personnel</w:t>
            </w:r>
            <w:r w:rsidR="004F3E42" w:rsidRPr="008F19EC">
              <w:rPr>
                <w:sz w:val="16"/>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sz w:val="16"/>
                <w:szCs w:val="16"/>
              </w:rPr>
            </w:pPr>
            <w:r w:rsidRPr="008F19EC">
              <w:rPr>
                <w:sz w:val="16"/>
              </w:rPr>
              <w:t>9 634</w:t>
            </w:r>
          </w:p>
        </w:tc>
        <w:tc>
          <w:tcPr>
            <w:tcW w:w="1737" w:type="dxa"/>
            <w:tcBorders>
              <w:top w:val="single" w:sz="4" w:space="0" w:color="auto"/>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sz w:val="16"/>
                <w:szCs w:val="16"/>
              </w:rPr>
            </w:pPr>
            <w:r w:rsidRPr="008F19EC">
              <w:rPr>
                <w:sz w:val="16"/>
              </w:rPr>
              <w:t>8 686</w:t>
            </w:r>
          </w:p>
        </w:tc>
        <w:tc>
          <w:tcPr>
            <w:tcW w:w="1736" w:type="dxa"/>
            <w:tcBorders>
              <w:top w:val="single" w:sz="4" w:space="0" w:color="auto"/>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sz w:val="16"/>
                <w:szCs w:val="16"/>
              </w:rPr>
            </w:pPr>
            <w:r w:rsidRPr="008F19EC">
              <w:rPr>
                <w:sz w:val="16"/>
              </w:rPr>
              <w:t>8 686</w:t>
            </w:r>
          </w:p>
        </w:tc>
        <w:tc>
          <w:tcPr>
            <w:tcW w:w="1737" w:type="dxa"/>
            <w:tcBorders>
              <w:top w:val="single" w:sz="4" w:space="0" w:color="auto"/>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sz w:val="16"/>
                <w:szCs w:val="16"/>
              </w:rPr>
            </w:pPr>
            <w:r w:rsidRPr="008F19EC">
              <w:rPr>
                <w:sz w:val="16"/>
              </w:rPr>
              <w:t>100</w:t>
            </w:r>
            <w:r w:rsidR="007E442D" w:rsidRPr="008F19EC">
              <w:rPr>
                <w:sz w:val="16"/>
              </w:rPr>
              <w:t>%</w:t>
            </w:r>
          </w:p>
        </w:tc>
      </w:tr>
      <w:tr w:rsidR="0096696E" w:rsidRPr="008F19EC" w:rsidTr="0043129C">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8F19EC" w:rsidRDefault="0096696E" w:rsidP="001A5BF9">
            <w:pPr>
              <w:rPr>
                <w:rFonts w:cs="Arial"/>
                <w:sz w:val="16"/>
                <w:szCs w:val="16"/>
              </w:rPr>
            </w:pPr>
            <w:r w:rsidRPr="008F19EC">
              <w:rPr>
                <w:sz w:val="16"/>
              </w:rPr>
              <w:t xml:space="preserve">Autres dépenses </w:t>
            </w:r>
          </w:p>
        </w:tc>
        <w:tc>
          <w:tcPr>
            <w:tcW w:w="1736"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sz w:val="16"/>
                <w:szCs w:val="16"/>
              </w:rPr>
            </w:pPr>
            <w:r w:rsidRPr="008F19EC">
              <w:rPr>
                <w:sz w:val="16"/>
              </w:rPr>
              <w:t>951</w:t>
            </w:r>
          </w:p>
        </w:tc>
        <w:tc>
          <w:tcPr>
            <w:tcW w:w="1737"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sz w:val="16"/>
                <w:szCs w:val="16"/>
              </w:rPr>
            </w:pPr>
            <w:r w:rsidRPr="008F19EC">
              <w:rPr>
                <w:sz w:val="16"/>
              </w:rPr>
              <w:t>1 478</w:t>
            </w:r>
          </w:p>
        </w:tc>
        <w:tc>
          <w:tcPr>
            <w:tcW w:w="1736"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sz w:val="16"/>
                <w:szCs w:val="16"/>
              </w:rPr>
            </w:pPr>
            <w:r w:rsidRPr="008F19EC">
              <w:rPr>
                <w:sz w:val="16"/>
              </w:rPr>
              <w:t>1 128</w:t>
            </w:r>
          </w:p>
        </w:tc>
        <w:tc>
          <w:tcPr>
            <w:tcW w:w="1737"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sz w:val="16"/>
                <w:szCs w:val="16"/>
              </w:rPr>
            </w:pPr>
            <w:r w:rsidRPr="008F19EC">
              <w:rPr>
                <w:sz w:val="16"/>
              </w:rPr>
              <w:t>76</w:t>
            </w:r>
            <w:r w:rsidR="007E442D" w:rsidRPr="008F19EC">
              <w:rPr>
                <w:sz w:val="16"/>
              </w:rPr>
              <w:t>%</w:t>
            </w:r>
          </w:p>
        </w:tc>
      </w:tr>
      <w:tr w:rsidR="0096696E" w:rsidRPr="008F19EC" w:rsidTr="0043129C">
        <w:tc>
          <w:tcPr>
            <w:tcW w:w="2425" w:type="dxa"/>
            <w:tcBorders>
              <w:top w:val="nil"/>
              <w:left w:val="single" w:sz="4" w:space="0" w:color="auto"/>
              <w:bottom w:val="single" w:sz="4" w:space="0" w:color="auto"/>
              <w:right w:val="single" w:sz="4" w:space="0" w:color="auto"/>
            </w:tcBorders>
            <w:shd w:val="clear" w:color="auto" w:fill="auto"/>
            <w:noWrap/>
            <w:vAlign w:val="center"/>
          </w:tcPr>
          <w:p w:rsidR="0096696E" w:rsidRPr="008F19EC" w:rsidRDefault="0096696E" w:rsidP="001A5BF9">
            <w:pPr>
              <w:jc w:val="right"/>
              <w:rPr>
                <w:rFonts w:cs="Arial"/>
                <w:b/>
                <w:bCs/>
                <w:sz w:val="16"/>
                <w:szCs w:val="16"/>
              </w:rPr>
            </w:pPr>
            <w:r w:rsidRPr="008F19EC">
              <w:rPr>
                <w:b/>
                <w:sz w:val="16"/>
              </w:rPr>
              <w:t xml:space="preserve"> TOTAL </w:t>
            </w:r>
          </w:p>
        </w:tc>
        <w:tc>
          <w:tcPr>
            <w:tcW w:w="1736"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b/>
                <w:bCs/>
                <w:sz w:val="16"/>
                <w:szCs w:val="16"/>
              </w:rPr>
            </w:pPr>
            <w:r w:rsidRPr="008F19EC">
              <w:rPr>
                <w:b/>
                <w:sz w:val="16"/>
              </w:rPr>
              <w:t>10 585</w:t>
            </w:r>
          </w:p>
        </w:tc>
        <w:tc>
          <w:tcPr>
            <w:tcW w:w="1737"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b/>
                <w:bCs/>
                <w:sz w:val="16"/>
                <w:szCs w:val="16"/>
              </w:rPr>
            </w:pPr>
            <w:r w:rsidRPr="008F19EC">
              <w:rPr>
                <w:b/>
                <w:sz w:val="16"/>
              </w:rPr>
              <w:t>10 164</w:t>
            </w:r>
          </w:p>
        </w:tc>
        <w:tc>
          <w:tcPr>
            <w:tcW w:w="1736"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b/>
                <w:bCs/>
                <w:sz w:val="16"/>
                <w:szCs w:val="16"/>
              </w:rPr>
            </w:pPr>
            <w:r w:rsidRPr="008F19EC">
              <w:rPr>
                <w:b/>
                <w:sz w:val="16"/>
              </w:rPr>
              <w:t>9 814</w:t>
            </w:r>
          </w:p>
        </w:tc>
        <w:tc>
          <w:tcPr>
            <w:tcW w:w="1737" w:type="dxa"/>
            <w:tcBorders>
              <w:top w:val="nil"/>
              <w:left w:val="nil"/>
              <w:bottom w:val="single" w:sz="4" w:space="0" w:color="auto"/>
              <w:right w:val="single" w:sz="4" w:space="0" w:color="auto"/>
            </w:tcBorders>
            <w:shd w:val="clear" w:color="auto" w:fill="auto"/>
            <w:vAlign w:val="center"/>
          </w:tcPr>
          <w:p w:rsidR="0096696E" w:rsidRPr="008F19EC" w:rsidRDefault="0096696E" w:rsidP="001A5BF9">
            <w:pPr>
              <w:jc w:val="center"/>
              <w:rPr>
                <w:rFonts w:cs="Arial"/>
                <w:b/>
                <w:bCs/>
                <w:sz w:val="16"/>
                <w:szCs w:val="16"/>
              </w:rPr>
            </w:pPr>
            <w:r w:rsidRPr="008F19EC">
              <w:rPr>
                <w:b/>
                <w:sz w:val="16"/>
              </w:rPr>
              <w:t>97</w:t>
            </w:r>
            <w:r w:rsidR="007E442D" w:rsidRPr="008F19EC">
              <w:rPr>
                <w:b/>
                <w:sz w:val="16"/>
              </w:rPr>
              <w:t>%</w:t>
            </w:r>
          </w:p>
        </w:tc>
      </w:tr>
    </w:tbl>
    <w:p w:rsidR="00D42474" w:rsidRDefault="00D42474" w:rsidP="001A5BF9"/>
    <w:p w:rsidR="00D42474" w:rsidRDefault="0096696E" w:rsidP="001A5BF9">
      <w:pPr>
        <w:keepNext/>
        <w:autoSpaceDE w:val="0"/>
        <w:autoSpaceDN w:val="0"/>
        <w:rPr>
          <w:sz w:val="16"/>
          <w:szCs w:val="16"/>
        </w:rPr>
      </w:pPr>
      <w:proofErr w:type="gramStart"/>
      <w:r w:rsidRPr="008F19EC">
        <w:rPr>
          <w:sz w:val="16"/>
        </w:rPr>
        <w:t>NOTES</w:t>
      </w:r>
      <w:proofErr w:type="gramEnd"/>
      <w:r w:rsidR="0010442A" w:rsidRPr="008F19EC">
        <w:rPr>
          <w:sz w:val="16"/>
        </w:rPr>
        <w:t> </w:t>
      </w:r>
      <w:r w:rsidRPr="008F19EC">
        <w:rPr>
          <w:sz w:val="16"/>
        </w:rPr>
        <w:t>:</w:t>
      </w:r>
    </w:p>
    <w:p w:rsidR="00D42474" w:rsidRDefault="00D42474" w:rsidP="001A5BF9">
      <w:pPr>
        <w:keepNext/>
        <w:autoSpaceDE w:val="0"/>
        <w:autoSpaceDN w:val="0"/>
        <w:rPr>
          <w:sz w:val="16"/>
          <w:szCs w:val="16"/>
        </w:rPr>
      </w:pPr>
    </w:p>
    <w:p w:rsidR="00D42474" w:rsidRDefault="0096696E" w:rsidP="001A5BF9">
      <w:pPr>
        <w:keepNext/>
        <w:autoSpaceDE w:val="0"/>
        <w:autoSpaceDN w:val="0"/>
        <w:rPr>
          <w:sz w:val="16"/>
          <w:szCs w:val="16"/>
        </w:rPr>
      </w:pPr>
      <w:r w:rsidRPr="008F19EC">
        <w:rPr>
          <w:sz w:val="16"/>
        </w:rPr>
        <w:t>1)</w:t>
      </w:r>
      <w:r w:rsidR="004F3E42" w:rsidRPr="008F19EC">
        <w:rPr>
          <w:sz w:val="16"/>
        </w:rPr>
        <w:t xml:space="preserve"> </w:t>
      </w:r>
      <w:r w:rsidR="008F19EC">
        <w:rPr>
          <w:sz w:val="16"/>
        </w:rPr>
        <w:tab/>
      </w:r>
      <w:r w:rsidRPr="008F19EC">
        <w:rPr>
          <w:sz w:val="16"/>
        </w:rPr>
        <w:t>Le budget restructuré après virements tient compte du budget ajusté des programmes après les virements réalisés au cours de l</w:t>
      </w:r>
      <w:r w:rsidR="00A20444" w:rsidRPr="008F19EC">
        <w:rPr>
          <w:sz w:val="16"/>
        </w:rPr>
        <w:t>’</w:t>
      </w:r>
      <w:r w:rsidRPr="008F19EC">
        <w:rPr>
          <w:sz w:val="16"/>
        </w:rPr>
        <w:t>exercice 2012</w:t>
      </w:r>
      <w:r w:rsidR="002D6F2A" w:rsidRPr="008F19EC">
        <w:rPr>
          <w:sz w:val="16"/>
        </w:rPr>
        <w:noBreakHyphen/>
      </w:r>
      <w:r w:rsidRPr="008F19EC">
        <w:rPr>
          <w:sz w:val="16"/>
        </w:rPr>
        <w:t xml:space="preserve">2013, conformément à </w:t>
      </w:r>
      <w:r w:rsidR="00E15133" w:rsidRPr="008F19EC">
        <w:rPr>
          <w:sz w:val="16"/>
        </w:rPr>
        <w:t>l</w:t>
      </w:r>
      <w:r w:rsidR="00A20444" w:rsidRPr="008F19EC">
        <w:rPr>
          <w:sz w:val="16"/>
        </w:rPr>
        <w:t>’</w:t>
      </w:r>
      <w:r w:rsidR="00E15133" w:rsidRPr="008F19EC">
        <w:rPr>
          <w:sz w:val="16"/>
        </w:rPr>
        <w:t>article 5.5</w:t>
      </w:r>
      <w:r w:rsidRPr="008F19EC">
        <w:rPr>
          <w:sz w:val="16"/>
        </w:rPr>
        <w:t xml:space="preserve"> du règlement d</w:t>
      </w:r>
      <w:r w:rsidR="00A20444" w:rsidRPr="008F19EC">
        <w:rPr>
          <w:sz w:val="16"/>
        </w:rPr>
        <w:t>’</w:t>
      </w:r>
      <w:r w:rsidRPr="008F19EC">
        <w:rPr>
          <w:sz w:val="16"/>
        </w:rPr>
        <w:t>exécution du Règlement financier.</w:t>
      </w:r>
    </w:p>
    <w:p w:rsidR="00D42474" w:rsidRDefault="00D42474" w:rsidP="001A5BF9">
      <w:pPr>
        <w:keepNext/>
        <w:autoSpaceDE w:val="0"/>
        <w:autoSpaceDN w:val="0"/>
        <w:rPr>
          <w:sz w:val="16"/>
          <w:szCs w:val="16"/>
        </w:rPr>
      </w:pPr>
    </w:p>
    <w:p w:rsidR="00D42474" w:rsidRDefault="008F19EC" w:rsidP="001A5BF9">
      <w:pPr>
        <w:keepNext/>
        <w:autoSpaceDE w:val="0"/>
        <w:autoSpaceDN w:val="0"/>
        <w:rPr>
          <w:sz w:val="16"/>
        </w:rPr>
      </w:pPr>
      <w:r>
        <w:rPr>
          <w:sz w:val="16"/>
        </w:rPr>
        <w:t>2)</w:t>
      </w:r>
      <w:r>
        <w:rPr>
          <w:sz w:val="16"/>
        </w:rPr>
        <w:tab/>
      </w:r>
      <w:r w:rsidR="0096696E" w:rsidRPr="008F19EC">
        <w:rPr>
          <w:sz w:val="16"/>
        </w:rPr>
        <w:t>Les dépenses de personnel indiquées dans le budget de l</w:t>
      </w:r>
      <w:r w:rsidR="00A20444" w:rsidRPr="008F19EC">
        <w:rPr>
          <w:sz w:val="16"/>
        </w:rPr>
        <w:t>’</w:t>
      </w:r>
      <w:r w:rsidR="0096696E" w:rsidRPr="008F19EC">
        <w:rPr>
          <w:sz w:val="16"/>
        </w:rPr>
        <w:t>exercice 2012</w:t>
      </w:r>
      <w:r w:rsidR="002D6F2A" w:rsidRPr="008F19EC">
        <w:rPr>
          <w:sz w:val="16"/>
        </w:rPr>
        <w:noBreakHyphen/>
      </w:r>
      <w:r w:rsidR="0096696E" w:rsidRPr="008F19EC">
        <w:rPr>
          <w:sz w:val="16"/>
        </w:rPr>
        <w:t>2013 après virements représentent les dépenses réelles engagées pendant l</w:t>
      </w:r>
      <w:r w:rsidR="00A20444" w:rsidRPr="008F19EC">
        <w:rPr>
          <w:sz w:val="16"/>
        </w:rPr>
        <w:t>’</w:t>
      </w:r>
      <w:r w:rsidR="0096696E" w:rsidRPr="008F19EC">
        <w:rPr>
          <w:sz w:val="16"/>
        </w:rPr>
        <w:t>exercice biennal.</w:t>
      </w:r>
    </w:p>
    <w:p w:rsidR="00D42474" w:rsidRDefault="00D42474" w:rsidP="001A5BF9"/>
    <w:p w:rsidR="00D42474" w:rsidRDefault="00D42474" w:rsidP="001A5BF9"/>
    <w:p w:rsidR="00D42474" w:rsidRDefault="0096696E" w:rsidP="001A5BF9">
      <w:pPr>
        <w:pStyle w:val="Paragraphedeliste"/>
        <w:numPr>
          <w:ilvl w:val="0"/>
          <w:numId w:val="18"/>
        </w:numPr>
        <w:ind w:left="709" w:hanging="709"/>
        <w:rPr>
          <w:u w:val="single"/>
        </w:rPr>
      </w:pPr>
      <w:r w:rsidRPr="008F19EC">
        <w:rPr>
          <w:u w:val="single"/>
        </w:rPr>
        <w:t>Budget 2012</w:t>
      </w:r>
      <w:r w:rsidR="002D6F2A" w:rsidRPr="008F19EC">
        <w:rPr>
          <w:u w:val="single"/>
        </w:rPr>
        <w:noBreakHyphen/>
      </w:r>
      <w:r w:rsidRPr="008F19EC">
        <w:rPr>
          <w:u w:val="single"/>
        </w:rPr>
        <w:t>2013 après virements</w:t>
      </w:r>
    </w:p>
    <w:p w:rsidR="00D42474" w:rsidRDefault="00D42474" w:rsidP="001A5BF9">
      <w:pPr>
        <w:pStyle w:val="Paragraphedeliste"/>
      </w:pPr>
    </w:p>
    <w:p w:rsidR="00D42474" w:rsidRDefault="0096696E" w:rsidP="001A5BF9">
      <w:pPr>
        <w:pStyle w:val="Paragraphedeliste"/>
        <w:tabs>
          <w:tab w:val="left" w:pos="709"/>
        </w:tabs>
        <w:ind w:left="0"/>
        <w:jc w:val="both"/>
        <w:rPr>
          <w:spacing w:val="-2"/>
        </w:rPr>
      </w:pPr>
      <w:r w:rsidRPr="008F19EC">
        <w:rPr>
          <w:spacing w:val="-2"/>
        </w:rPr>
        <w:t>7.11.</w:t>
      </w:r>
      <w:r w:rsidRPr="008F19EC">
        <w:rPr>
          <w:spacing w:val="-2"/>
        </w:rPr>
        <w:tab/>
        <w:t>Le budget après virements reflète la réaffectation des ressources en personnel aux ressources hors personnel, suite à la mise en œuvre des réformes des contrats de l</w:t>
      </w:r>
      <w:r w:rsidR="00A20444" w:rsidRPr="008F19EC">
        <w:rPr>
          <w:spacing w:val="-2"/>
        </w:rPr>
        <w:t>’</w:t>
      </w:r>
      <w:r w:rsidRPr="008F19EC">
        <w:rPr>
          <w:spacing w:val="-2"/>
        </w:rPr>
        <w:t xml:space="preserve">OMPI entreprise en janvier 2013. </w:t>
      </w:r>
      <w:r w:rsidR="0010442A" w:rsidRPr="008F19EC">
        <w:rPr>
          <w:spacing w:val="-2"/>
        </w:rPr>
        <w:t xml:space="preserve"> </w:t>
      </w:r>
      <w:r w:rsidRPr="008F19EC">
        <w:rPr>
          <w:spacing w:val="-2"/>
        </w:rPr>
        <w:t>Dans le budget approuvé pour 2012</w:t>
      </w:r>
      <w:r w:rsidR="002D6F2A" w:rsidRPr="008F19EC">
        <w:rPr>
          <w:spacing w:val="-2"/>
        </w:rPr>
        <w:noBreakHyphen/>
      </w:r>
      <w:r w:rsidRPr="008F19EC">
        <w:rPr>
          <w:spacing w:val="-2"/>
        </w:rPr>
        <w:t>2013, les coûts des contrats à court terme (</w:t>
      </w:r>
      <w:proofErr w:type="spellStart"/>
      <w:r w:rsidRPr="008F19EC">
        <w:rPr>
          <w:spacing w:val="-2"/>
        </w:rPr>
        <w:t>SLC</w:t>
      </w:r>
      <w:proofErr w:type="spellEnd"/>
      <w:r w:rsidRPr="008F19EC">
        <w:rPr>
          <w:spacing w:val="-2"/>
        </w:rPr>
        <w:t xml:space="preserve">) étaient considérés comme faisant partie intégrante des coûts de personnel. </w:t>
      </w:r>
      <w:r w:rsidR="0010442A" w:rsidRPr="008F19EC">
        <w:rPr>
          <w:spacing w:val="-2"/>
        </w:rPr>
        <w:t xml:space="preserve"> </w:t>
      </w:r>
      <w:r w:rsidRPr="008F19EC">
        <w:rPr>
          <w:spacing w:val="-2"/>
        </w:rPr>
        <w:t>Dans le contexte de la réforme du contrat, un programme de bourses OMPI a été créé en</w:t>
      </w:r>
      <w:r w:rsidR="0010442A" w:rsidRPr="008F19EC">
        <w:rPr>
          <w:spacing w:val="-2"/>
        </w:rPr>
        <w:t> </w:t>
      </w:r>
      <w:r w:rsidRPr="008F19EC">
        <w:rPr>
          <w:spacing w:val="-2"/>
        </w:rPr>
        <w:t>2013 au sein du Centre d</w:t>
      </w:r>
      <w:r w:rsidR="00A20444" w:rsidRPr="008F19EC">
        <w:rPr>
          <w:spacing w:val="-2"/>
        </w:rPr>
        <w:t>’</w:t>
      </w:r>
      <w:r w:rsidRPr="008F19EC">
        <w:rPr>
          <w:spacing w:val="-2"/>
        </w:rPr>
        <w:t>arbitrage et de médiation de l</w:t>
      </w:r>
      <w:r w:rsidR="00A20444" w:rsidRPr="008F19EC">
        <w:rPr>
          <w:spacing w:val="-2"/>
        </w:rPr>
        <w:t>’</w:t>
      </w:r>
      <w:r w:rsidRPr="008F19EC">
        <w:rPr>
          <w:spacing w:val="-2"/>
        </w:rPr>
        <w:t>OMPI en vue de reconnaître l</w:t>
      </w:r>
      <w:r w:rsidR="00A20444" w:rsidRPr="008F19EC">
        <w:rPr>
          <w:spacing w:val="-2"/>
        </w:rPr>
        <w:t>’</w:t>
      </w:r>
      <w:r w:rsidRPr="008F19EC">
        <w:rPr>
          <w:spacing w:val="-2"/>
        </w:rPr>
        <w:t>arrangement par le biais duquel l</w:t>
      </w:r>
      <w:r w:rsidR="00A20444" w:rsidRPr="008F19EC">
        <w:rPr>
          <w:spacing w:val="-2"/>
        </w:rPr>
        <w:t>’</w:t>
      </w:r>
      <w:r w:rsidRPr="008F19EC">
        <w:rPr>
          <w:spacing w:val="-2"/>
        </w:rPr>
        <w:t>Organisation fournit à de jeunes cadres une expérience de gestion de dossiers visant à renforcer leurs connaissances et leurs compétences professionnelles dans ces domaines sous la responsabilité du Centre d</w:t>
      </w:r>
      <w:r w:rsidR="00A20444" w:rsidRPr="008F19EC">
        <w:rPr>
          <w:spacing w:val="-2"/>
        </w:rPr>
        <w:t>’</w:t>
      </w:r>
      <w:r w:rsidRPr="008F19EC">
        <w:rPr>
          <w:spacing w:val="-2"/>
        </w:rPr>
        <w:t>arbitrage et de médiation.</w:t>
      </w:r>
      <w:r w:rsidR="004F3E42" w:rsidRPr="008F19EC">
        <w:rPr>
          <w:spacing w:val="-2"/>
        </w:rPr>
        <w:t xml:space="preserve"> </w:t>
      </w:r>
      <w:r w:rsidR="0010442A" w:rsidRPr="008F19EC">
        <w:rPr>
          <w:spacing w:val="-2"/>
        </w:rPr>
        <w:t xml:space="preserve"> </w:t>
      </w:r>
      <w:r w:rsidRPr="008F19EC">
        <w:rPr>
          <w:spacing w:val="-2"/>
        </w:rPr>
        <w:t>Par conséquent, le budget concernant ces personnes a fait l</w:t>
      </w:r>
      <w:r w:rsidR="00A20444" w:rsidRPr="008F19EC">
        <w:rPr>
          <w:spacing w:val="-2"/>
        </w:rPr>
        <w:t>’</w:t>
      </w:r>
      <w:r w:rsidRPr="008F19EC">
        <w:rPr>
          <w:spacing w:val="-2"/>
        </w:rPr>
        <w:t>objet d</w:t>
      </w:r>
      <w:r w:rsidR="00A20444" w:rsidRPr="008F19EC">
        <w:rPr>
          <w:spacing w:val="-2"/>
        </w:rPr>
        <w:t>’</w:t>
      </w:r>
      <w:r w:rsidRPr="008F19EC">
        <w:rPr>
          <w:spacing w:val="-2"/>
        </w:rPr>
        <w:t>un virement dans les coûts hors personnel en 2013.</w:t>
      </w:r>
    </w:p>
    <w:p w:rsidR="00D42474" w:rsidRDefault="00D42474" w:rsidP="001A5BF9">
      <w:pPr>
        <w:pStyle w:val="Paragraphedeliste"/>
        <w:ind w:left="0"/>
        <w:jc w:val="both"/>
      </w:pPr>
    </w:p>
    <w:p w:rsidR="00D42474" w:rsidRDefault="0096696E" w:rsidP="001A5BF9">
      <w:pPr>
        <w:pStyle w:val="Paragraphedeliste"/>
        <w:tabs>
          <w:tab w:val="left" w:pos="709"/>
        </w:tabs>
        <w:ind w:left="0"/>
        <w:jc w:val="both"/>
      </w:pPr>
      <w:r w:rsidRPr="008F19EC">
        <w:t>7.12.</w:t>
      </w:r>
      <w:r w:rsidRPr="008F19EC">
        <w:tab/>
        <w:t>Cette hausse des ajustements dans le cadre du résultat </w:t>
      </w:r>
      <w:proofErr w:type="spellStart"/>
      <w:r w:rsidRPr="008F19EC">
        <w:t>II.11</w:t>
      </w:r>
      <w:proofErr w:type="spellEnd"/>
      <w:r w:rsidRPr="008F19EC">
        <w:t xml:space="preserve"> (Litiges relatifs à la propriété intellectuelle internationaux et nationaux) traduit le mouvement des ressources en personnel du Centre destiné à mieux gérer les demandes de services de règlement extrajudiciaire des litiges.</w:t>
      </w:r>
    </w:p>
    <w:p w:rsidR="00D42474" w:rsidRDefault="0096696E" w:rsidP="001A5BF9">
      <w:pPr>
        <w:tabs>
          <w:tab w:val="left" w:pos="709"/>
        </w:tabs>
        <w:jc w:val="both"/>
        <w:rPr>
          <w:szCs w:val="20"/>
        </w:rPr>
      </w:pPr>
      <w:r w:rsidRPr="005C7CCE">
        <w:t>B.</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Pr>
        <w:jc w:val="both"/>
        <w:rPr>
          <w:szCs w:val="20"/>
        </w:rPr>
      </w:pPr>
    </w:p>
    <w:p w:rsidR="00D42474" w:rsidRDefault="0096696E" w:rsidP="001A5BF9">
      <w:pPr>
        <w:tabs>
          <w:tab w:val="left" w:pos="709"/>
        </w:tabs>
        <w:jc w:val="both"/>
        <w:rPr>
          <w:szCs w:val="20"/>
        </w:rPr>
      </w:pPr>
      <w:r w:rsidRPr="005C7CCE">
        <w:t>7.13.</w:t>
      </w:r>
      <w:r w:rsidRPr="005C7CCE">
        <w:tab/>
        <w:t>L</w:t>
      </w:r>
      <w:r w:rsidR="00A20444" w:rsidRPr="005C7CCE">
        <w:t>’</w:t>
      </w:r>
      <w:r w:rsidRPr="005C7CCE">
        <w:t>utilisation du budget légèrement inférieure à celle escomptée pour les ressources hors personnel traduit des économies dues à : i) une approche plus stratégique du recrutement de personnes (cadres spécialisés dans les affaires liées à des noms de domaine);</w:t>
      </w:r>
      <w:r w:rsidR="004F3E42" w:rsidRPr="005C7CCE">
        <w:t xml:space="preserve"> </w:t>
      </w:r>
      <w:r w:rsidR="0010442A" w:rsidRPr="005C7CCE">
        <w:t xml:space="preserve"> </w:t>
      </w:r>
      <w:r w:rsidR="00667FB3">
        <w:t>et </w:t>
      </w:r>
      <w:r w:rsidRPr="005C7CCE">
        <w:t>ii) une réduction des missions du personnel et des frais de déplacement en raison du report ou de l</w:t>
      </w:r>
      <w:r w:rsidR="00A20444" w:rsidRPr="005C7CCE">
        <w:t>’</w:t>
      </w:r>
      <w:r w:rsidRPr="005C7CCE">
        <w:t>annulation de certaines manifestations prévues, suite à une révision des priorités au niveau national.</w:t>
      </w:r>
    </w:p>
    <w:p w:rsidR="00D42474" w:rsidRDefault="0096696E" w:rsidP="001A5BF9">
      <w:pPr>
        <w:rPr>
          <w:szCs w:val="20"/>
        </w:rPr>
      </w:pPr>
      <w:r w:rsidRPr="005C7CCE">
        <w:br w:type="page"/>
      </w:r>
    </w:p>
    <w:p w:rsidR="00D42474" w:rsidRDefault="009B0EB1" w:rsidP="009B0EB1">
      <w:pPr>
        <w:pStyle w:val="Heading2"/>
        <w:tabs>
          <w:tab w:val="clear" w:pos="9072"/>
        </w:tabs>
      </w:pPr>
      <w:bookmarkStart w:id="19" w:name="_Toc395082472"/>
      <w:r w:rsidRPr="00D54DAE">
        <w:t>OBJECTIF STRAT</w:t>
      </w:r>
      <w:r w:rsidRPr="00D54DAE">
        <w:rPr>
          <w:rFonts w:hint="eastAsia"/>
        </w:rPr>
        <w:t>É</w:t>
      </w:r>
      <w:r w:rsidRPr="00D54DAE">
        <w:t>GIQUE III</w:t>
      </w:r>
      <w:r w:rsidRPr="00D54DAE">
        <w:tab/>
      </w:r>
      <w:r w:rsidRPr="00D54DAE">
        <w:br/>
      </w:r>
      <w:r w:rsidR="00D54DAE" w:rsidRPr="00D54DAE">
        <w:br/>
        <w:t>Favoriser l</w:t>
      </w:r>
      <w:r w:rsidR="00A20444" w:rsidRPr="00D54DAE">
        <w:t>’</w:t>
      </w:r>
      <w:r w:rsidR="00D54DAE" w:rsidRPr="00D54DAE">
        <w:t>utilisation de la propri</w:t>
      </w:r>
      <w:r w:rsidR="00D54DAE" w:rsidRPr="00D54DAE">
        <w:rPr>
          <w:rFonts w:hint="eastAsia"/>
        </w:rPr>
        <w:t>é</w:t>
      </w:r>
      <w:r w:rsidR="00D54DAE" w:rsidRPr="00D54DAE">
        <w:t>t</w:t>
      </w:r>
      <w:r w:rsidR="00D54DAE" w:rsidRPr="00D54DAE">
        <w:rPr>
          <w:rFonts w:hint="eastAsia"/>
        </w:rPr>
        <w:t>é</w:t>
      </w:r>
      <w:r w:rsidR="00D54DAE" w:rsidRPr="00D54DAE">
        <w:t xml:space="preserve"> intellectuelle au service du d</w:t>
      </w:r>
      <w:r w:rsidR="00D54DAE" w:rsidRPr="00D54DAE">
        <w:rPr>
          <w:rFonts w:hint="eastAsia"/>
        </w:rPr>
        <w:t>é</w:t>
      </w:r>
      <w:r w:rsidR="00D54DAE" w:rsidRPr="00D54DAE">
        <w:t>veloppement</w:t>
      </w:r>
      <w:bookmarkEnd w:id="19"/>
    </w:p>
    <w:p w:rsidR="00D42474" w:rsidRDefault="00D42474" w:rsidP="001A5BF9">
      <w:pPr>
        <w:jc w:val="center"/>
      </w:pPr>
    </w:p>
    <w:p w:rsidR="00D42474" w:rsidRDefault="00D42474" w:rsidP="001A5BF9">
      <w:pPr>
        <w:jc w:val="center"/>
      </w:pPr>
    </w:p>
    <w:p w:rsidR="00D42474" w:rsidRDefault="0096696E" w:rsidP="001A5BF9">
      <w:pPr>
        <w:jc w:val="center"/>
      </w:pPr>
      <w:r w:rsidRPr="005C7CCE">
        <w:t>TABLEAU DE BORD DE L</w:t>
      </w:r>
      <w:r w:rsidR="00A20444" w:rsidRPr="005C7CCE">
        <w:t>’</w:t>
      </w:r>
      <w:r w:rsidRPr="005C7CCE">
        <w:t>EXÉCUTION DU PROGRAMME BIENNAL</w:t>
      </w:r>
    </w:p>
    <w:p w:rsidR="00D42474" w:rsidRDefault="00D42474" w:rsidP="001A5BF9">
      <w:pPr>
        <w:jc w:val="center"/>
      </w:pPr>
    </w:p>
    <w:p w:rsidR="00D42474" w:rsidRDefault="0096696E"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D42474" w:rsidRDefault="00D42474" w:rsidP="001A5BF9">
      <w:pPr>
        <w:autoSpaceDE w:val="0"/>
        <w:autoSpaceDN w:val="0"/>
        <w:adjustRightInd w:val="0"/>
        <w:jc w:val="both"/>
        <w:rPr>
          <w:rFonts w:cs="Arial"/>
        </w:rPr>
      </w:pPr>
    </w:p>
    <w:p w:rsidR="00D42474" w:rsidRDefault="00401321" w:rsidP="001A5BF9">
      <w:pPr>
        <w:autoSpaceDE w:val="0"/>
        <w:autoSpaceDN w:val="0"/>
        <w:adjustRightInd w:val="0"/>
        <w:jc w:val="center"/>
        <w:rPr>
          <w:rFonts w:cs="Arial"/>
        </w:rPr>
      </w:pPr>
      <w:r w:rsidRPr="00401321">
        <w:rPr>
          <w:noProof/>
        </w:rPr>
        <w:drawing>
          <wp:inline distT="0" distB="0" distL="0" distR="0" wp14:anchorId="6931A635" wp14:editId="30C21F2A">
            <wp:extent cx="3715555" cy="20403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22176" cy="2044030"/>
                    </a:xfrm>
                    <a:prstGeom prst="rect">
                      <a:avLst/>
                    </a:prstGeom>
                    <a:noFill/>
                    <a:ln>
                      <a:noFill/>
                    </a:ln>
                  </pic:spPr>
                </pic:pic>
              </a:graphicData>
            </a:graphic>
          </wp:inline>
        </w:drawing>
      </w:r>
    </w:p>
    <w:p w:rsidR="00D42474" w:rsidRDefault="00D42474" w:rsidP="001A5BF9">
      <w:pPr>
        <w:autoSpaceDE w:val="0"/>
        <w:autoSpaceDN w:val="0"/>
        <w:adjustRightInd w:val="0"/>
        <w:jc w:val="center"/>
        <w:rPr>
          <w:rFonts w:cs="Arial"/>
        </w:rPr>
      </w:pPr>
    </w:p>
    <w:p w:rsidR="0096696E" w:rsidRPr="005C7CCE" w:rsidRDefault="0096696E" w:rsidP="001A5BF9">
      <w:pPr>
        <w:tabs>
          <w:tab w:val="left" w:pos="1701"/>
        </w:tabs>
        <w:ind w:left="1701" w:hanging="1701"/>
        <w:jc w:val="center"/>
        <w:rPr>
          <w:rFonts w:cs="Arial"/>
          <w:b/>
          <w:bCs/>
          <w:caps/>
        </w:rPr>
      </w:pPr>
    </w:p>
    <w:tbl>
      <w:tblPr>
        <w:tblW w:w="0" w:type="auto"/>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28"/>
        <w:gridCol w:w="4127"/>
        <w:gridCol w:w="1258"/>
        <w:gridCol w:w="865"/>
      </w:tblGrid>
      <w:tr w:rsidR="0096696E" w:rsidRPr="005C7CCE" w:rsidTr="00BB3F3E">
        <w:trPr>
          <w:tblHeader/>
        </w:trPr>
        <w:tc>
          <w:tcPr>
            <w:tcW w:w="0" w:type="auto"/>
            <w:tcBorders>
              <w:top w:val="single" w:sz="4" w:space="0" w:color="auto"/>
              <w:bottom w:val="single" w:sz="4" w:space="0" w:color="auto"/>
            </w:tcBorders>
            <w:shd w:val="clear" w:color="auto" w:fill="CCFFFF"/>
            <w:vAlign w:val="center"/>
          </w:tcPr>
          <w:p w:rsidR="0096696E" w:rsidRPr="004C6D49" w:rsidRDefault="0096696E" w:rsidP="001A5BF9">
            <w:pPr>
              <w:spacing w:before="120" w:after="120"/>
              <w:jc w:val="center"/>
              <w:rPr>
                <w:b/>
                <w:bCs/>
                <w:sz w:val="14"/>
                <w:szCs w:val="14"/>
                <w:lang w:bidi="th-TH"/>
              </w:rPr>
            </w:pPr>
            <w:r w:rsidRPr="004C6D49">
              <w:rPr>
                <w:b/>
                <w:sz w:val="14"/>
              </w:rPr>
              <w:t>Résultats escomptés</w:t>
            </w:r>
          </w:p>
        </w:tc>
        <w:tc>
          <w:tcPr>
            <w:tcW w:w="0" w:type="auto"/>
            <w:tcBorders>
              <w:top w:val="single" w:sz="4" w:space="0" w:color="auto"/>
              <w:bottom w:val="single" w:sz="4" w:space="0" w:color="auto"/>
            </w:tcBorders>
            <w:shd w:val="clear" w:color="auto" w:fill="CCFFFF"/>
            <w:vAlign w:val="center"/>
          </w:tcPr>
          <w:p w:rsidR="0096696E" w:rsidRPr="004C6D49" w:rsidRDefault="0096696E" w:rsidP="001A5BF9">
            <w:pPr>
              <w:spacing w:before="120" w:after="120"/>
              <w:jc w:val="center"/>
              <w:rPr>
                <w:b/>
                <w:bCs/>
                <w:sz w:val="14"/>
                <w:szCs w:val="14"/>
                <w:lang w:bidi="th-TH"/>
              </w:rPr>
            </w:pPr>
            <w:r w:rsidRPr="004C6D49">
              <w:rPr>
                <w:b/>
                <w:sz w:val="14"/>
              </w:rPr>
              <w:t>Indicateurs d</w:t>
            </w:r>
            <w:r w:rsidR="00A20444" w:rsidRPr="004C6D49">
              <w:rPr>
                <w:b/>
                <w:sz w:val="14"/>
              </w:rPr>
              <w:t>’</w:t>
            </w:r>
            <w:r w:rsidRPr="004C6D49">
              <w:rPr>
                <w:b/>
                <w:sz w:val="14"/>
              </w:rPr>
              <w:t>exécution</w:t>
            </w:r>
          </w:p>
        </w:tc>
        <w:tc>
          <w:tcPr>
            <w:tcW w:w="0" w:type="auto"/>
            <w:tcBorders>
              <w:top w:val="single" w:sz="4" w:space="0" w:color="auto"/>
              <w:bottom w:val="single" w:sz="4" w:space="0" w:color="auto"/>
            </w:tcBorders>
            <w:shd w:val="clear" w:color="auto" w:fill="CCFFFF"/>
            <w:vAlign w:val="center"/>
          </w:tcPr>
          <w:p w:rsidR="0096696E" w:rsidRPr="004C6D49" w:rsidRDefault="0096696E" w:rsidP="001A5BF9">
            <w:pPr>
              <w:spacing w:before="120" w:after="120"/>
              <w:jc w:val="center"/>
              <w:rPr>
                <w:b/>
                <w:bCs/>
                <w:sz w:val="14"/>
                <w:szCs w:val="14"/>
                <w:lang w:bidi="th-TH"/>
              </w:rPr>
            </w:pPr>
            <w:r w:rsidRPr="004C6D49">
              <w:rPr>
                <w:b/>
                <w:sz w:val="14"/>
              </w:rPr>
              <w:t>Programme(s) concerné(s)</w:t>
            </w:r>
          </w:p>
        </w:tc>
        <w:tc>
          <w:tcPr>
            <w:tcW w:w="0" w:type="auto"/>
            <w:tcBorders>
              <w:top w:val="single" w:sz="4" w:space="0" w:color="auto"/>
              <w:bottom w:val="single" w:sz="4" w:space="0" w:color="auto"/>
            </w:tcBorders>
            <w:shd w:val="clear" w:color="auto" w:fill="CCFFFF"/>
          </w:tcPr>
          <w:p w:rsidR="0096696E" w:rsidRPr="005C7CCE" w:rsidRDefault="0096696E" w:rsidP="001A5BF9">
            <w:pPr>
              <w:spacing w:before="120" w:after="120"/>
              <w:jc w:val="center"/>
              <w:rPr>
                <w:b/>
                <w:bCs/>
                <w:sz w:val="14"/>
                <w:szCs w:val="14"/>
                <w:lang w:bidi="th-TH"/>
              </w:rPr>
            </w:pPr>
            <w:r w:rsidRPr="005C7CCE">
              <w:rPr>
                <w:b/>
                <w:sz w:val="14"/>
              </w:rPr>
              <w:t>Code de couleurs</w:t>
            </w:r>
          </w:p>
        </w:tc>
      </w:tr>
      <w:tr w:rsidR="0096696E" w:rsidRPr="005C7CCE" w:rsidTr="00BB3F3E">
        <w:tc>
          <w:tcPr>
            <w:tcW w:w="0" w:type="auto"/>
            <w:vMerge w:val="restart"/>
            <w:tcBorders>
              <w:top w:val="single" w:sz="4" w:space="0" w:color="auto"/>
            </w:tcBorders>
            <w:shd w:val="clear" w:color="auto" w:fill="auto"/>
          </w:tcPr>
          <w:p w:rsidR="00D42474" w:rsidRDefault="0096696E" w:rsidP="001A5BF9">
            <w:pPr>
              <w:spacing w:before="80"/>
              <w:rPr>
                <w:sz w:val="14"/>
              </w:rPr>
            </w:pPr>
            <w:r w:rsidRPr="004C6D49">
              <w:rPr>
                <w:sz w:val="14"/>
              </w:rPr>
              <w:t>Politiques, stratégies et plans de développement nationaux clairement définis et cohérents en matière d</w:t>
            </w:r>
            <w:r w:rsidR="00A20444" w:rsidRPr="004C6D49">
              <w:rPr>
                <w:sz w:val="14"/>
              </w:rPr>
              <w:t>’</w:t>
            </w:r>
            <w:r w:rsidRPr="004C6D49">
              <w:rPr>
                <w:sz w:val="14"/>
              </w:rPr>
              <w:t>innovation et de propriété intellectuelle, conformes aux objectifs et aux priorités de développement à l</w:t>
            </w:r>
            <w:r w:rsidR="00A20444" w:rsidRPr="004C6D49">
              <w:rPr>
                <w:sz w:val="14"/>
              </w:rPr>
              <w:t>’</w:t>
            </w:r>
            <w:r w:rsidRPr="004C6D49">
              <w:rPr>
                <w:sz w:val="14"/>
              </w:rPr>
              <w:t>échelle nationale</w:t>
            </w:r>
          </w:p>
          <w:p w:rsidR="0096696E" w:rsidRPr="004C6D49" w:rsidRDefault="0096696E" w:rsidP="001A5BF9">
            <w:pPr>
              <w:spacing w:before="80"/>
              <w:rPr>
                <w:sz w:val="14"/>
                <w:szCs w:val="14"/>
                <w:lang w:bidi="th-TH"/>
              </w:rPr>
            </w:pPr>
          </w:p>
        </w:tc>
        <w:tc>
          <w:tcPr>
            <w:tcW w:w="0" w:type="auto"/>
            <w:tcBorders>
              <w:top w:val="single" w:sz="4" w:space="0" w:color="auto"/>
            </w:tcBorders>
            <w:shd w:val="clear" w:color="auto" w:fill="auto"/>
          </w:tcPr>
          <w:p w:rsidR="0096696E" w:rsidRPr="004C6D49" w:rsidRDefault="0096696E" w:rsidP="001A5BF9">
            <w:pPr>
              <w:spacing w:before="80"/>
              <w:rPr>
                <w:sz w:val="14"/>
                <w:szCs w:val="14"/>
                <w:lang w:bidi="th-TH"/>
              </w:rPr>
            </w:pPr>
            <w:r w:rsidRPr="004C6D49">
              <w:rPr>
                <w:sz w:val="14"/>
              </w:rPr>
              <w:t>Nombre de pays ayant élaboré leurs politiques, leurs stratégies ou leurs plans en matière de propriété intellectuelle ou ayant entrepris leur mise en œuvre chaque année (Afrique)</w:t>
            </w:r>
          </w:p>
        </w:tc>
        <w:tc>
          <w:tcPr>
            <w:tcW w:w="0" w:type="auto"/>
            <w:tcBorders>
              <w:top w:val="single" w:sz="4" w:space="0" w:color="auto"/>
            </w:tcBorders>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Borders>
              <w:top w:val="single" w:sz="4" w:space="0" w:color="auto"/>
            </w:tcBorders>
          </w:tcPr>
          <w:p w:rsidR="0096696E" w:rsidRPr="005C7CCE" w:rsidRDefault="0096696E" w:rsidP="001A5BF9">
            <w:pPr>
              <w:spacing w:before="40"/>
              <w:jc w:val="center"/>
              <w:rPr>
                <w:szCs w:val="22"/>
                <w:lang w:bidi="th-TH"/>
              </w:rPr>
            </w:pPr>
            <w:r w:rsidRPr="005C7CCE">
              <w:rPr>
                <w:color w:val="E36C0A"/>
              </w:rPr>
              <w:sym w:font="Wingdings" w:char="F06C"/>
            </w:r>
            <w:r w:rsidRPr="005C7CCE">
              <w:rPr>
                <w:color w:val="FF0000"/>
              </w:rPr>
              <w:sym w:font="Wingdings" w:char="F06C"/>
            </w:r>
            <w:r w:rsidRPr="005C7CCE">
              <w:rPr>
                <w:color w:val="008000"/>
              </w:rPr>
              <w:sym w:font="Wingdings" w:char="F06C"/>
            </w:r>
          </w:p>
        </w:tc>
      </w:tr>
      <w:tr w:rsidR="0096696E" w:rsidRPr="005C7CCE" w:rsidTr="00BB3F3E">
        <w:tc>
          <w:tcPr>
            <w:tcW w:w="0" w:type="auto"/>
            <w:vMerge/>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pays dotés de mécanismes appropriés pour l</w:t>
            </w:r>
            <w:r w:rsidR="00A20444" w:rsidRPr="004C6D49">
              <w:rPr>
                <w:sz w:val="14"/>
              </w:rPr>
              <w:t>’</w:t>
            </w:r>
            <w:r w:rsidRPr="004C6D49">
              <w:rPr>
                <w:sz w:val="14"/>
              </w:rPr>
              <w:t>élaboration et la mise en œuvre de stratégies en matière de propriété intellectuelle (pays arabes)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szCs w:val="22"/>
              </w:rPr>
            </w:pPr>
            <w:r w:rsidRPr="005C7CCE">
              <w:rPr>
                <w:color w:val="E36C0A"/>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pays ayant des initiatives présentant des liens avec les plans nationaux en matière de propriété intellectuelle (pays arabes)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pays ayant introduit des politiques et des stratégies en matière de propriété intellectuelle dans leurs procédures nationales d</w:t>
            </w:r>
            <w:r w:rsidR="00A20444" w:rsidRPr="004C6D49">
              <w:rPr>
                <w:sz w:val="14"/>
              </w:rPr>
              <w:t>’</w:t>
            </w:r>
            <w:r w:rsidRPr="004C6D49">
              <w:rPr>
                <w:sz w:val="14"/>
              </w:rPr>
              <w:t>approbation (Asie et Pacifique)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szCs w:val="22"/>
              </w:rPr>
            </w:pPr>
            <w:r w:rsidRPr="005C7CCE">
              <w:rPr>
                <w:color w:val="E36C0A"/>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pays ayant adopté des politiques et des stratégies en matière de propriété intellectuelle (Asie et Pacifique)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pays dans lesquels ont été menés des activités ou des projets qui contribuent à l</w:t>
            </w:r>
            <w:r w:rsidR="00A20444" w:rsidRPr="004C6D49">
              <w:rPr>
                <w:sz w:val="14"/>
              </w:rPr>
              <w:t>’</w:t>
            </w:r>
            <w:r w:rsidRPr="004C6D49">
              <w:rPr>
                <w:sz w:val="14"/>
              </w:rPr>
              <w:t xml:space="preserve">élaboration de stratégies et politiques en matière de propriété intellectuelle (Amérique latine et Caraïbes) </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 xml:space="preserve">Nombre de pays dans lesquels ont été menés des activités ou projets qui contribuent à la mise en œuvre de stratégies et politiques en matière de propriété intellectuelle (Amérique latine et Caraïbes) </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szCs w:val="22"/>
              </w:rPr>
            </w:pPr>
            <w:r w:rsidRPr="005C7CCE">
              <w:rPr>
                <w:color w:val="E36C0A"/>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PMA ayant introduit des considérations de propriété intellectuelle propres</w:t>
            </w:r>
            <w:r w:rsidR="00A20444" w:rsidRPr="004C6D49">
              <w:rPr>
                <w:sz w:val="14"/>
              </w:rPr>
              <w:t xml:space="preserve"> aux PMA</w:t>
            </w:r>
            <w:r w:rsidRPr="004C6D49">
              <w:rPr>
                <w:sz w:val="14"/>
              </w:rPr>
              <w:t xml:space="preserve"> dans leurs stratégies ou politiques nationales en matière de propriété intellectuelle (PMA)</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 xml:space="preserve">Nombre de pays ayant élaboré des stratégies ou des plans nationaux en matière de propriété intellectuelle conformes aux objectifs nationaux de développement </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10</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val="restart"/>
            <w:shd w:val="clear" w:color="auto" w:fill="auto"/>
          </w:tcPr>
          <w:p w:rsidR="00D42474" w:rsidRDefault="0096696E" w:rsidP="001A5BF9">
            <w:pPr>
              <w:spacing w:before="80"/>
              <w:rPr>
                <w:sz w:val="14"/>
                <w:szCs w:val="14"/>
                <w:lang w:bidi="th-TH"/>
              </w:rPr>
            </w:pPr>
            <w:r w:rsidRPr="004C6D49">
              <w:rPr>
                <w:sz w:val="14"/>
              </w:rPr>
              <w:t>Mise en valeur des ressources humaines pour répondre aux diverses exigences en matière d</w:t>
            </w:r>
            <w:r w:rsidR="00A20444" w:rsidRPr="004C6D49">
              <w:rPr>
                <w:sz w:val="14"/>
              </w:rPr>
              <w:t>’</w:t>
            </w:r>
            <w:r w:rsidRPr="004C6D49">
              <w:rPr>
                <w:sz w:val="14"/>
              </w:rPr>
              <w:t>utilisation efficace de la propriété intellectuelle au service du développement dans les pays en développement,</w:t>
            </w:r>
            <w:r w:rsidR="00A20444" w:rsidRPr="004C6D49">
              <w:rPr>
                <w:sz w:val="14"/>
              </w:rPr>
              <w:t xml:space="preserve"> les PMA</w:t>
            </w:r>
            <w:r w:rsidRPr="004C6D49">
              <w:rPr>
                <w:sz w:val="14"/>
              </w:rPr>
              <w:t xml:space="preserve"> et les pays en transition</w:t>
            </w:r>
          </w:p>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stratégies nationales en matière de propriété intellectuelle comprenant une composante innovation ou technologie</w:t>
            </w:r>
          </w:p>
        </w:tc>
        <w:tc>
          <w:tcPr>
            <w:tcW w:w="0" w:type="auto"/>
            <w:shd w:val="clear" w:color="auto" w:fill="auto"/>
          </w:tcPr>
          <w:p w:rsidR="0096696E" w:rsidRPr="004C6D49" w:rsidRDefault="0096696E" w:rsidP="001A5BF9">
            <w:pPr>
              <w:spacing w:before="80"/>
              <w:jc w:val="center"/>
              <w:rPr>
                <w:sz w:val="14"/>
                <w:szCs w:val="14"/>
                <w:highlight w:val="yellow"/>
                <w:lang w:bidi="th-TH"/>
              </w:rPr>
            </w:pPr>
            <w:r w:rsidRPr="004C6D49">
              <w:rPr>
                <w:sz w:val="14"/>
              </w:rPr>
              <w:t>Programme 30</w:t>
            </w:r>
          </w:p>
        </w:tc>
        <w:tc>
          <w:tcPr>
            <w:tcW w:w="0" w:type="auto"/>
          </w:tcPr>
          <w:p w:rsidR="0096696E" w:rsidRPr="005C7CCE" w:rsidRDefault="0096696E" w:rsidP="001A5BF9">
            <w:pPr>
              <w:spacing w:before="20"/>
              <w:jc w:val="center"/>
              <w:rPr>
                <w:szCs w:val="22"/>
                <w:highlight w:val="yellow"/>
              </w:rPr>
            </w:pPr>
            <w:r w:rsidRPr="005C7CCE">
              <w:rPr>
                <w:color w:val="A6A6A6"/>
              </w:rPr>
              <w:sym w:font="Wingdings" w:char="F06C"/>
            </w:r>
          </w:p>
        </w:tc>
      </w:tr>
      <w:tr w:rsidR="0096696E" w:rsidRPr="005C7CCE" w:rsidTr="00BB3F3E">
        <w:tc>
          <w:tcPr>
            <w:tcW w:w="0" w:type="auto"/>
            <w:vMerge/>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décideurs, de fonctionnaires gouvernementaux, de spécialistes de la propriété intellectuelle et d</w:t>
            </w:r>
            <w:r w:rsidR="00A20444" w:rsidRPr="004C6D49">
              <w:rPr>
                <w:sz w:val="14"/>
              </w:rPr>
              <w:t>’</w:t>
            </w:r>
            <w:r w:rsidRPr="004C6D49">
              <w:rPr>
                <w:sz w:val="14"/>
              </w:rPr>
              <w:t>examinateurs, d</w:t>
            </w:r>
            <w:r w:rsidR="00A20444" w:rsidRPr="004C6D49">
              <w:rPr>
                <w:sz w:val="14"/>
              </w:rPr>
              <w:t>’</w:t>
            </w:r>
            <w:r w:rsidRPr="004C6D49">
              <w:rPr>
                <w:sz w:val="14"/>
              </w:rPr>
              <w:t>agents chargés de l</w:t>
            </w:r>
            <w:r w:rsidR="00A20444" w:rsidRPr="004C6D49">
              <w:rPr>
                <w:sz w:val="14"/>
              </w:rPr>
              <w:t>’</w:t>
            </w:r>
            <w:r w:rsidRPr="004C6D49">
              <w:rPr>
                <w:sz w:val="14"/>
              </w:rPr>
              <w:t>application des droits et d</w:t>
            </w:r>
            <w:r w:rsidR="00A20444" w:rsidRPr="004C6D49">
              <w:rPr>
                <w:sz w:val="14"/>
              </w:rPr>
              <w:t>’</w:t>
            </w:r>
            <w:r w:rsidRPr="004C6D49">
              <w:rPr>
                <w:sz w:val="14"/>
              </w:rPr>
              <w:t>utilisateurs de la propriété intellectuelle ayant une connaissance renforcée des questions de propriété intellectuelle et de la manière d</w:t>
            </w:r>
            <w:r w:rsidR="00A20444" w:rsidRPr="004C6D49">
              <w:rPr>
                <w:sz w:val="14"/>
              </w:rPr>
              <w:t>’</w:t>
            </w:r>
            <w:r w:rsidRPr="004C6D49">
              <w:rPr>
                <w:sz w:val="14"/>
              </w:rPr>
              <w:t>utiliser la propriété intellectuelle au service du développement</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color w:val="00B050"/>
                <w:szCs w:val="22"/>
              </w:rPr>
            </w:pPr>
            <w:r w:rsidRPr="005C7CCE">
              <w:rPr>
                <w:color w:val="008000"/>
              </w:rPr>
              <w:sym w:font="Wingdings" w:char="F06C"/>
            </w:r>
          </w:p>
        </w:tc>
      </w:tr>
      <w:tr w:rsidR="0096696E" w:rsidRPr="005C7CCE" w:rsidTr="00BB3F3E">
        <w:tc>
          <w:tcPr>
            <w:tcW w:w="0" w:type="auto"/>
            <w:vMerge/>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pays ayant mis en place des programmes de formation en propriété intellectuelle et offrant des possibilités de carrière dans le domaine de la propriété intellectuelle (pays arabes)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Mar>
              <w:top w:w="113" w:type="dxa"/>
            </w:tcMar>
          </w:tcPr>
          <w:p w:rsidR="0096696E" w:rsidRPr="004C6D49" w:rsidRDefault="0096696E" w:rsidP="001A5BF9">
            <w:pPr>
              <w:spacing w:before="80"/>
              <w:rPr>
                <w:sz w:val="14"/>
                <w:szCs w:val="14"/>
                <w:lang w:bidi="th-TH"/>
              </w:rPr>
            </w:pPr>
            <w:r w:rsidRPr="004C6D49">
              <w:rPr>
                <w:sz w:val="14"/>
              </w:rPr>
              <w:t>Pourcentage d</w:t>
            </w:r>
            <w:r w:rsidR="00A20444" w:rsidRPr="004C6D49">
              <w:rPr>
                <w:sz w:val="14"/>
              </w:rPr>
              <w:t>’</w:t>
            </w:r>
            <w:r w:rsidRPr="004C6D49">
              <w:rPr>
                <w:sz w:val="14"/>
              </w:rPr>
              <w:t>examinateurs formés qui utilisent des compétences améliorées dans le cadre de leurs activités professionnelles (Asie et Pacifique)</w:t>
            </w:r>
          </w:p>
        </w:tc>
        <w:tc>
          <w:tcPr>
            <w:tcW w:w="0" w:type="auto"/>
            <w:shd w:val="clear" w:color="auto" w:fill="auto"/>
            <w:tcMar>
              <w:top w:w="113" w:type="dxa"/>
            </w:tcMar>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décideurs, de fonctionnaires gouvernementaux et de spécialistes de la propriété intellectuelle ayant une connaissance accrue des questions de propriété intellectuelle, notamment de la manière d</w:t>
            </w:r>
            <w:r w:rsidR="00A20444" w:rsidRPr="004C6D49">
              <w:rPr>
                <w:sz w:val="14"/>
              </w:rPr>
              <w:t>’</w:t>
            </w:r>
            <w:r w:rsidRPr="004C6D49">
              <w:rPr>
                <w:sz w:val="14"/>
              </w:rPr>
              <w:t>utiliser efficacement la propriété intellectuelle au service du développement (Asie et Pacifique)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formateurs/d</w:t>
            </w:r>
            <w:r w:rsidR="00A20444" w:rsidRPr="004C6D49">
              <w:rPr>
                <w:sz w:val="14"/>
              </w:rPr>
              <w:t>’</w:t>
            </w:r>
            <w:r w:rsidRPr="004C6D49">
              <w:rPr>
                <w:sz w:val="14"/>
              </w:rPr>
              <w:t>experts nationaux en propriété intellectuelle (Amérique latine et Caraïbes)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programmes nationaux de formation structurés (Amérique latine et Caraïbes)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pays dans lesquels les besoins d</w:t>
            </w:r>
            <w:r w:rsidR="00A20444" w:rsidRPr="004C6D49">
              <w:rPr>
                <w:sz w:val="14"/>
              </w:rPr>
              <w:t>’</w:t>
            </w:r>
            <w:r w:rsidRPr="004C6D49">
              <w:rPr>
                <w:sz w:val="14"/>
              </w:rPr>
              <w:t>assistance technique et de renforcement des capacités ont été évalués (PMA)</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rFonts w:cs="Arial"/>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personnes formées/participantes par année et répartition géographique (PMA)</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participants aux activités de renforcement des capacités qui font part de meilleures compréhension et utilisation des principes, des systèmes et des outils de propriété intellectuelle en vue d</w:t>
            </w:r>
            <w:r w:rsidR="00A20444" w:rsidRPr="004C6D49">
              <w:rPr>
                <w:sz w:val="14"/>
              </w:rPr>
              <w:t>’</w:t>
            </w:r>
            <w:r w:rsidRPr="004C6D49">
              <w:rPr>
                <w:sz w:val="14"/>
              </w:rPr>
              <w:t xml:space="preserve">assurer la protection des savoirs traditionnels et des expressions culturelles traditionnelles et de mieux gérer la relation entre la protection intellectuelle et les ressources génétiques </w:t>
            </w:r>
          </w:p>
        </w:tc>
        <w:tc>
          <w:tcPr>
            <w:tcW w:w="0" w:type="auto"/>
            <w:shd w:val="clear" w:color="auto" w:fill="auto"/>
          </w:tcPr>
          <w:p w:rsidR="00D42474" w:rsidRDefault="0096696E" w:rsidP="001A5BF9">
            <w:pPr>
              <w:spacing w:before="80"/>
              <w:jc w:val="center"/>
              <w:rPr>
                <w:sz w:val="14"/>
                <w:szCs w:val="14"/>
                <w:lang w:bidi="th-TH"/>
              </w:rPr>
            </w:pPr>
            <w:r w:rsidRPr="004C6D49">
              <w:rPr>
                <w:sz w:val="14"/>
              </w:rPr>
              <w:t>Programme 9</w:t>
            </w:r>
          </w:p>
          <w:p w:rsidR="0096696E" w:rsidRPr="004C6D49" w:rsidRDefault="0096696E" w:rsidP="001A5BF9">
            <w:pPr>
              <w:spacing w:before="120"/>
              <w:jc w:val="center"/>
              <w:rPr>
                <w:sz w:val="14"/>
                <w:szCs w:val="14"/>
                <w:lang w:bidi="th-TH"/>
              </w:rPr>
            </w:pPr>
            <w:r w:rsidRPr="004C6D49">
              <w:rPr>
                <w:sz w:val="14"/>
              </w:rPr>
              <w:t>Programme 4</w:t>
            </w:r>
          </w:p>
        </w:tc>
        <w:tc>
          <w:tcPr>
            <w:tcW w:w="0" w:type="auto"/>
          </w:tcPr>
          <w:p w:rsidR="00D42474" w:rsidRDefault="0096696E" w:rsidP="001A5BF9">
            <w:pPr>
              <w:spacing w:before="20"/>
              <w:jc w:val="center"/>
              <w:rPr>
                <w:rFonts w:cs="Arial"/>
                <w:color w:val="008000"/>
                <w:szCs w:val="22"/>
              </w:rPr>
            </w:pPr>
            <w:r w:rsidRPr="005C7CCE">
              <w:rPr>
                <w:color w:val="008000"/>
              </w:rPr>
              <w:sym w:font="Wingdings" w:char="F06C"/>
            </w:r>
          </w:p>
          <w:p w:rsidR="0096696E" w:rsidRPr="005C7CCE" w:rsidRDefault="0096696E" w:rsidP="001A5BF9">
            <w:pPr>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fonctionnaires d</w:t>
            </w:r>
            <w:r w:rsidR="00A20444" w:rsidRPr="004C6D49">
              <w:rPr>
                <w:sz w:val="14"/>
              </w:rPr>
              <w:t>’</w:t>
            </w:r>
            <w:r w:rsidRPr="004C6D49">
              <w:rPr>
                <w:sz w:val="14"/>
              </w:rPr>
              <w:t>offices de propriété intellectuelle formés qui utilisent leurs compétences améliorées dans le cadre de leur travail</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10</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spécialistes de la propriété intellectuelle qui font part d</w:t>
            </w:r>
            <w:r w:rsidR="00A20444" w:rsidRPr="004C6D49">
              <w:rPr>
                <w:sz w:val="14"/>
              </w:rPr>
              <w:t>’</w:t>
            </w:r>
            <w:r w:rsidRPr="004C6D49">
              <w:rPr>
                <w:sz w:val="14"/>
              </w:rPr>
              <w:t>une meilleure compréhension des questions de propriété intellectuelle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10</w:t>
            </w:r>
          </w:p>
        </w:tc>
        <w:tc>
          <w:tcPr>
            <w:tcW w:w="0" w:type="auto"/>
          </w:tcPr>
          <w:p w:rsidR="0096696E" w:rsidRPr="005C7CCE" w:rsidRDefault="0096696E" w:rsidP="001A5BF9">
            <w:pPr>
              <w:spacing w:before="20"/>
              <w:jc w:val="center"/>
              <w:rPr>
                <w:rFonts w:cs="Arial"/>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Incorporation de questions relatives au développement dans les programmes de formation à l</w:t>
            </w:r>
            <w:r w:rsidR="00A20444" w:rsidRPr="004C6D49">
              <w:rPr>
                <w:sz w:val="14"/>
              </w:rPr>
              <w:t>’</w:t>
            </w:r>
            <w:r w:rsidRPr="004C6D49">
              <w:rPr>
                <w:sz w:val="14"/>
              </w:rPr>
              <w:t>application des droits mis en place par l</w:t>
            </w:r>
            <w:r w:rsidR="00A20444" w:rsidRPr="004C6D49">
              <w:rPr>
                <w:sz w:val="14"/>
              </w:rPr>
              <w:t>’</w:t>
            </w:r>
            <w:r w:rsidRPr="004C6D49">
              <w:rPr>
                <w:sz w:val="14"/>
              </w:rPr>
              <w:t>OMPI</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17</w:t>
            </w:r>
          </w:p>
        </w:tc>
        <w:tc>
          <w:tcPr>
            <w:tcW w:w="0" w:type="auto"/>
          </w:tcPr>
          <w:p w:rsidR="0096696E" w:rsidRPr="005C7CCE" w:rsidRDefault="0096696E" w:rsidP="001A5BF9">
            <w:pPr>
              <w:jc w:val="center"/>
              <w:rPr>
                <w:rFonts w:cs="Arial"/>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w:t>
            </w:r>
            <w:r w:rsidR="00A20444" w:rsidRPr="004C6D49">
              <w:rPr>
                <w:sz w:val="14"/>
              </w:rPr>
              <w:t>’</w:t>
            </w:r>
            <w:r w:rsidRPr="004C6D49">
              <w:rPr>
                <w:sz w:val="14"/>
              </w:rPr>
              <w:t>agents chargés de l</w:t>
            </w:r>
            <w:r w:rsidR="00A20444" w:rsidRPr="004C6D49">
              <w:rPr>
                <w:sz w:val="14"/>
              </w:rPr>
              <w:t>’</w:t>
            </w:r>
            <w:r w:rsidRPr="004C6D49">
              <w:rPr>
                <w:sz w:val="14"/>
              </w:rPr>
              <w:t>application des droits qui font état de leur satisfaction à</w:t>
            </w:r>
            <w:r w:rsidR="0010442A" w:rsidRPr="004C6D49">
              <w:rPr>
                <w:sz w:val="14"/>
              </w:rPr>
              <w:t> </w:t>
            </w:r>
            <w:r w:rsidRPr="004C6D49">
              <w:rPr>
                <w:sz w:val="14"/>
              </w:rPr>
              <w:t>l</w:t>
            </w:r>
            <w:r w:rsidR="00A20444" w:rsidRPr="004C6D49">
              <w:rPr>
                <w:sz w:val="14"/>
              </w:rPr>
              <w:t>’</w:t>
            </w:r>
            <w:r w:rsidRPr="004C6D49">
              <w:rPr>
                <w:sz w:val="14"/>
              </w:rPr>
              <w:t>égard de la formation reçue, y</w:t>
            </w:r>
            <w:r w:rsidR="0010442A" w:rsidRPr="004C6D49">
              <w:rPr>
                <w:sz w:val="14"/>
              </w:rPr>
              <w:t> </w:t>
            </w:r>
            <w:r w:rsidRPr="004C6D49">
              <w:rPr>
                <w:sz w:val="14"/>
              </w:rPr>
              <w:t xml:space="preserve">compris les orientations sur la coopération stratégique, et de son utilité pour leur vie professionnelle </w:t>
            </w:r>
          </w:p>
        </w:tc>
        <w:tc>
          <w:tcPr>
            <w:tcW w:w="0" w:type="auto"/>
            <w:shd w:val="clear" w:color="auto" w:fill="auto"/>
          </w:tcPr>
          <w:p w:rsidR="00D42474" w:rsidRDefault="0096696E" w:rsidP="001A5BF9">
            <w:pPr>
              <w:spacing w:before="80"/>
              <w:jc w:val="center"/>
              <w:rPr>
                <w:sz w:val="14"/>
                <w:szCs w:val="14"/>
                <w:lang w:bidi="th-TH"/>
              </w:rPr>
            </w:pPr>
            <w:r w:rsidRPr="004C6D49">
              <w:rPr>
                <w:sz w:val="14"/>
              </w:rPr>
              <w:t>Programme 9</w:t>
            </w:r>
          </w:p>
          <w:p w:rsidR="0096696E" w:rsidRPr="004C6D49" w:rsidRDefault="0096696E" w:rsidP="001A5BF9">
            <w:pPr>
              <w:spacing w:before="120"/>
              <w:jc w:val="center"/>
              <w:rPr>
                <w:sz w:val="14"/>
                <w:szCs w:val="14"/>
                <w:highlight w:val="yellow"/>
                <w:lang w:bidi="th-TH"/>
              </w:rPr>
            </w:pPr>
            <w:r w:rsidRPr="004C6D49">
              <w:rPr>
                <w:sz w:val="14"/>
              </w:rPr>
              <w:t>Programme 17</w:t>
            </w:r>
          </w:p>
        </w:tc>
        <w:tc>
          <w:tcPr>
            <w:tcW w:w="0" w:type="auto"/>
          </w:tcPr>
          <w:p w:rsidR="00D42474" w:rsidRDefault="0096696E" w:rsidP="001A5BF9">
            <w:pPr>
              <w:jc w:val="center"/>
              <w:rPr>
                <w:rFonts w:cs="Arial"/>
                <w:color w:val="008000"/>
                <w:szCs w:val="22"/>
              </w:rPr>
            </w:pPr>
            <w:r w:rsidRPr="005C7CCE">
              <w:rPr>
                <w:color w:val="008000"/>
              </w:rPr>
              <w:sym w:font="Wingdings" w:char="F06C"/>
            </w:r>
          </w:p>
          <w:p w:rsidR="0096696E" w:rsidRPr="005C7CCE" w:rsidRDefault="0096696E" w:rsidP="001A5BF9">
            <w:pPr>
              <w:spacing w:before="60"/>
              <w:jc w:val="center"/>
              <w:rPr>
                <w:rFonts w:cs="Arial"/>
                <w:color w:val="008000"/>
                <w:szCs w:val="22"/>
                <w:highlight w:val="yellow"/>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participants satisfaits de la qualité des ateliers et des séminaires sur l</w:t>
            </w:r>
            <w:r w:rsidR="00A20444" w:rsidRPr="004C6D49">
              <w:rPr>
                <w:sz w:val="14"/>
              </w:rPr>
              <w:t>’</w:t>
            </w:r>
            <w:r w:rsidRPr="004C6D49">
              <w:rPr>
                <w:sz w:val="14"/>
              </w:rPr>
              <w:t>innovation et sa commercialisation</w:t>
            </w:r>
          </w:p>
        </w:tc>
        <w:tc>
          <w:tcPr>
            <w:tcW w:w="0" w:type="auto"/>
            <w:shd w:val="clear" w:color="auto" w:fill="auto"/>
          </w:tcPr>
          <w:p w:rsidR="00D42474" w:rsidRDefault="0096696E" w:rsidP="001A5BF9">
            <w:pPr>
              <w:spacing w:before="80"/>
              <w:jc w:val="center"/>
              <w:rPr>
                <w:sz w:val="14"/>
                <w:szCs w:val="14"/>
                <w:lang w:bidi="th-TH"/>
              </w:rPr>
            </w:pPr>
            <w:r w:rsidRPr="004C6D49">
              <w:rPr>
                <w:sz w:val="14"/>
              </w:rPr>
              <w:t>Programme 9</w:t>
            </w:r>
          </w:p>
          <w:p w:rsidR="00D42474" w:rsidRDefault="0096696E" w:rsidP="001A5BF9">
            <w:pPr>
              <w:spacing w:before="160"/>
              <w:jc w:val="center"/>
              <w:rPr>
                <w:sz w:val="14"/>
                <w:szCs w:val="14"/>
                <w:lang w:bidi="th-TH"/>
              </w:rPr>
            </w:pPr>
            <w:r w:rsidRPr="004C6D49">
              <w:rPr>
                <w:sz w:val="14"/>
              </w:rPr>
              <w:t>Programme 10</w:t>
            </w:r>
          </w:p>
          <w:p w:rsidR="0096696E" w:rsidRPr="004C6D49" w:rsidRDefault="0096696E" w:rsidP="001A5BF9">
            <w:pPr>
              <w:spacing w:before="160"/>
              <w:jc w:val="center"/>
              <w:rPr>
                <w:sz w:val="14"/>
                <w:szCs w:val="14"/>
                <w:highlight w:val="yellow"/>
                <w:lang w:bidi="th-TH"/>
              </w:rPr>
            </w:pPr>
            <w:r w:rsidRPr="004C6D49">
              <w:rPr>
                <w:sz w:val="14"/>
              </w:rPr>
              <w:t>Programme 30</w:t>
            </w:r>
          </w:p>
        </w:tc>
        <w:tc>
          <w:tcPr>
            <w:tcW w:w="0" w:type="auto"/>
          </w:tcPr>
          <w:p w:rsidR="00D42474" w:rsidRDefault="0096696E" w:rsidP="001A5BF9">
            <w:pPr>
              <w:spacing w:before="60"/>
              <w:jc w:val="center"/>
              <w:rPr>
                <w:rFonts w:cs="Arial"/>
                <w:color w:val="008000"/>
                <w:szCs w:val="22"/>
              </w:rPr>
            </w:pPr>
            <w:r w:rsidRPr="005C7CCE">
              <w:rPr>
                <w:color w:val="008000"/>
              </w:rPr>
              <w:sym w:font="Wingdings" w:char="F06C"/>
            </w:r>
          </w:p>
          <w:p w:rsidR="00D42474" w:rsidRDefault="0096696E" w:rsidP="001A5BF9">
            <w:pPr>
              <w:spacing w:before="60"/>
              <w:jc w:val="center"/>
              <w:rPr>
                <w:rFonts w:cs="Arial"/>
                <w:color w:val="008000"/>
                <w:szCs w:val="22"/>
              </w:rPr>
            </w:pPr>
            <w:r w:rsidRPr="005C7CCE">
              <w:rPr>
                <w:color w:val="008000"/>
              </w:rPr>
              <w:sym w:font="Wingdings" w:char="F06C"/>
            </w:r>
          </w:p>
          <w:p w:rsidR="0096696E" w:rsidRPr="005C7CCE" w:rsidRDefault="0096696E" w:rsidP="001A5BF9">
            <w:pPr>
              <w:spacing w:before="60"/>
              <w:jc w:val="center"/>
              <w:rPr>
                <w:color w:val="008000"/>
                <w:szCs w:val="22"/>
                <w:highlight w:val="yellow"/>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rPr>
                <w:sz w:val="14"/>
                <w:szCs w:val="14"/>
                <w:lang w:bidi="th-TH"/>
              </w:rPr>
            </w:pPr>
          </w:p>
        </w:tc>
        <w:tc>
          <w:tcPr>
            <w:tcW w:w="0" w:type="auto"/>
            <w:shd w:val="clear" w:color="auto" w:fill="auto"/>
          </w:tcPr>
          <w:p w:rsidR="0096696E" w:rsidRPr="004C6D49" w:rsidRDefault="0096696E" w:rsidP="001A5BF9">
            <w:pPr>
              <w:spacing w:before="120"/>
              <w:rPr>
                <w:sz w:val="14"/>
                <w:szCs w:val="14"/>
                <w:lang w:bidi="th-TH"/>
              </w:rPr>
            </w:pPr>
            <w:r w:rsidRPr="004C6D49">
              <w:rPr>
                <w:sz w:val="14"/>
              </w:rPr>
              <w:t>Pourcentage de participants satisfaits des ateliers de renforcement des capacités liées au droit d</w:t>
            </w:r>
            <w:r w:rsidR="00A20444" w:rsidRPr="004C6D49">
              <w:rPr>
                <w:sz w:val="14"/>
              </w:rPr>
              <w:t>’</w:t>
            </w:r>
            <w:r w:rsidRPr="004C6D49">
              <w:rPr>
                <w:sz w:val="14"/>
              </w:rPr>
              <w:t>auteur, et les ayant évalués comme utiles</w:t>
            </w:r>
          </w:p>
        </w:tc>
        <w:tc>
          <w:tcPr>
            <w:tcW w:w="0" w:type="auto"/>
            <w:shd w:val="clear" w:color="auto" w:fill="auto"/>
          </w:tcPr>
          <w:p w:rsidR="0096696E" w:rsidRPr="004C6D49" w:rsidRDefault="0096696E" w:rsidP="001A5BF9">
            <w:pPr>
              <w:spacing w:before="120"/>
              <w:jc w:val="center"/>
              <w:rPr>
                <w:sz w:val="14"/>
                <w:szCs w:val="14"/>
                <w:lang w:bidi="th-TH"/>
              </w:rPr>
            </w:pPr>
            <w:r w:rsidRPr="004C6D49">
              <w:rPr>
                <w:sz w:val="14"/>
              </w:rPr>
              <w:t>Programme 3</w:t>
            </w:r>
          </w:p>
        </w:tc>
        <w:tc>
          <w:tcPr>
            <w:tcW w:w="0" w:type="auto"/>
          </w:tcPr>
          <w:p w:rsidR="0096696E" w:rsidRPr="005C7CCE" w:rsidRDefault="0096696E" w:rsidP="001A5BF9">
            <w:pPr>
              <w:spacing w:before="6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participants ayant évalué l</w:t>
            </w:r>
            <w:r w:rsidR="00A20444" w:rsidRPr="004C6D49">
              <w:rPr>
                <w:sz w:val="14"/>
              </w:rPr>
              <w:t>’</w:t>
            </w:r>
            <w:r w:rsidRPr="004C6D49">
              <w:rPr>
                <w:sz w:val="14"/>
              </w:rPr>
              <w:t>utilité des ateliers sur le droit d</w:t>
            </w:r>
            <w:r w:rsidR="00A20444" w:rsidRPr="004C6D49">
              <w:rPr>
                <w:sz w:val="14"/>
              </w:rPr>
              <w:t>’</w:t>
            </w:r>
            <w:r w:rsidRPr="004C6D49">
              <w:rPr>
                <w:sz w:val="14"/>
              </w:rPr>
              <w:t>auteur et l</w:t>
            </w:r>
            <w:r w:rsidR="00A20444" w:rsidRPr="004C6D49">
              <w:rPr>
                <w:sz w:val="14"/>
              </w:rPr>
              <w:t>’</w:t>
            </w:r>
            <w:r w:rsidRPr="004C6D49">
              <w:rPr>
                <w:sz w:val="14"/>
              </w:rPr>
              <w:t>utilisation pratique du savoir six mois après l</w:t>
            </w:r>
            <w:r w:rsidR="00A20444" w:rsidRPr="004C6D49">
              <w:rPr>
                <w:sz w:val="14"/>
              </w:rPr>
              <w:t>’</w:t>
            </w:r>
            <w:r w:rsidRPr="004C6D49">
              <w:rPr>
                <w:sz w:val="14"/>
              </w:rPr>
              <w:t>atelier</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3</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w:t>
            </w:r>
            <w:r w:rsidR="00A20444" w:rsidRPr="004C6D49">
              <w:rPr>
                <w:sz w:val="14"/>
              </w:rPr>
              <w:t>’</w:t>
            </w:r>
            <w:r w:rsidRPr="004C6D49">
              <w:rPr>
                <w:sz w:val="14"/>
              </w:rPr>
              <w:t>initiatives sur le droit d</w:t>
            </w:r>
            <w:r w:rsidR="00A20444" w:rsidRPr="004C6D49">
              <w:rPr>
                <w:sz w:val="14"/>
              </w:rPr>
              <w:t>’</w:t>
            </w:r>
            <w:r w:rsidRPr="004C6D49">
              <w:rPr>
                <w:sz w:val="14"/>
              </w:rPr>
              <w:t>auteur et les droits connexes lancées à l</w:t>
            </w:r>
            <w:r w:rsidR="00A20444" w:rsidRPr="004C6D49">
              <w:rPr>
                <w:sz w:val="14"/>
              </w:rPr>
              <w:t>’</w:t>
            </w:r>
            <w:r w:rsidRPr="004C6D49">
              <w:rPr>
                <w:sz w:val="14"/>
              </w:rPr>
              <w:t>échelle nationale directement en rapport avec les thèmes abordés par les ateliers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3</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val="restart"/>
            <w:shd w:val="clear" w:color="auto" w:fill="auto"/>
            <w:vAlign w:val="center"/>
          </w:tcPr>
          <w:p w:rsidR="00D42474" w:rsidRDefault="00D42474" w:rsidP="001A5BF9">
            <w:pPr>
              <w:spacing w:before="80"/>
              <w:rPr>
                <w:sz w:val="14"/>
              </w:rPr>
            </w:pPr>
          </w:p>
          <w:p w:rsidR="00D42474" w:rsidRDefault="00D42474" w:rsidP="001A5BF9">
            <w:pPr>
              <w:spacing w:before="80"/>
              <w:rPr>
                <w:sz w:val="14"/>
                <w:szCs w:val="14"/>
                <w:lang w:bidi="th-TH"/>
              </w:rPr>
            </w:pPr>
          </w:p>
          <w:p w:rsidR="00D42474" w:rsidRDefault="0096696E" w:rsidP="001A5BF9">
            <w:pPr>
              <w:spacing w:before="80"/>
              <w:rPr>
                <w:sz w:val="14"/>
                <w:szCs w:val="14"/>
                <w:lang w:bidi="th-TH"/>
              </w:rPr>
            </w:pPr>
            <w:r w:rsidRPr="004C6D49">
              <w:rPr>
                <w:sz w:val="14"/>
              </w:rPr>
              <w:t>Renforcement ou établissement de mécanismes, de programmes et de partenariats de coopération dans</w:t>
            </w:r>
            <w:r w:rsidR="00A20444" w:rsidRPr="004C6D49">
              <w:rPr>
                <w:sz w:val="14"/>
              </w:rPr>
              <w:t xml:space="preserve"> les PMA</w:t>
            </w:r>
          </w:p>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w:t>
            </w:r>
            <w:r w:rsidR="00A20444" w:rsidRPr="004C6D49">
              <w:rPr>
                <w:sz w:val="14"/>
              </w:rPr>
              <w:t>’</w:t>
            </w:r>
            <w:r w:rsidRPr="004C6D49">
              <w:rPr>
                <w:sz w:val="14"/>
              </w:rPr>
              <w:t>utilisateurs provenant de pays en développement, utilisant des instruments, des modèles et du matériel élaborés par l</w:t>
            </w:r>
            <w:r w:rsidR="00A20444" w:rsidRPr="004C6D49">
              <w:rPr>
                <w:sz w:val="14"/>
              </w:rPr>
              <w:t>’</w:t>
            </w:r>
            <w:r w:rsidRPr="004C6D49">
              <w:rPr>
                <w:sz w:val="14"/>
              </w:rPr>
              <w:t>OMPI, concernant l</w:t>
            </w:r>
            <w:r w:rsidR="00A20444" w:rsidRPr="004C6D49">
              <w:rPr>
                <w:sz w:val="14"/>
              </w:rPr>
              <w:t>’</w:t>
            </w:r>
            <w:r w:rsidRPr="004C6D49">
              <w:rPr>
                <w:sz w:val="14"/>
              </w:rPr>
              <w:t>innovation et sa commercialisation</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30</w:t>
            </w:r>
          </w:p>
        </w:tc>
        <w:tc>
          <w:tcPr>
            <w:tcW w:w="0" w:type="auto"/>
          </w:tcPr>
          <w:p w:rsidR="0096696E" w:rsidRPr="005C7CCE" w:rsidRDefault="0096696E" w:rsidP="001A5BF9">
            <w:pPr>
              <w:spacing w:before="20"/>
              <w:jc w:val="center"/>
              <w:rPr>
                <w:rFonts w:cs="Arial"/>
                <w:color w:val="008000"/>
                <w:szCs w:val="22"/>
              </w:rPr>
            </w:pPr>
            <w:r w:rsidRPr="005C7CCE">
              <w:rPr>
                <w:color w:val="008000"/>
              </w:rPr>
              <w:sym w:font="Wingdings" w:char="F06C"/>
            </w:r>
          </w:p>
        </w:tc>
      </w:tr>
      <w:tr w:rsidR="0096696E" w:rsidRPr="005C7CCE" w:rsidTr="00BB3F3E">
        <w:tc>
          <w:tcPr>
            <w:tcW w:w="0" w:type="auto"/>
            <w:vMerge/>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partenariats établis dans</w:t>
            </w:r>
            <w:r w:rsidR="00A20444" w:rsidRPr="004C6D49">
              <w:rPr>
                <w:sz w:val="14"/>
              </w:rPr>
              <w:t xml:space="preserve"> les PMA</w:t>
            </w:r>
            <w:r w:rsidRPr="004C6D49">
              <w:rPr>
                <w:sz w:val="14"/>
              </w:rPr>
              <w:t xml:space="preserve"> entre les organismes gouvernementaux, le secteur privé,</w:t>
            </w:r>
            <w:r w:rsidR="00A20444" w:rsidRPr="004C6D49">
              <w:rPr>
                <w:sz w:val="14"/>
              </w:rPr>
              <w:t xml:space="preserve"> les ONG</w:t>
            </w:r>
            <w:r w:rsidRPr="004C6D49">
              <w:rPr>
                <w:sz w:val="14"/>
              </w:rPr>
              <w:t xml:space="preserve"> et d</w:t>
            </w:r>
            <w:r w:rsidR="00A20444" w:rsidRPr="004C6D49">
              <w:rPr>
                <w:sz w:val="14"/>
              </w:rPr>
              <w:t>’</w:t>
            </w:r>
            <w:r w:rsidRPr="004C6D49">
              <w:rPr>
                <w:sz w:val="14"/>
              </w:rPr>
              <w:t>autres partenaires du développement (PMA)</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programmes de propriété intellectuelle mis en œuvre conjointement avec d</w:t>
            </w:r>
            <w:r w:rsidR="00A20444" w:rsidRPr="004C6D49">
              <w:rPr>
                <w:sz w:val="14"/>
              </w:rPr>
              <w:t>’</w:t>
            </w:r>
            <w:r w:rsidRPr="004C6D49">
              <w:rPr>
                <w:sz w:val="14"/>
              </w:rPr>
              <w:t xml:space="preserve">autres organismes des </w:t>
            </w:r>
            <w:r w:rsidR="00A20444" w:rsidRPr="004C6D49">
              <w:rPr>
                <w:sz w:val="14"/>
              </w:rPr>
              <w:t>Nations Unies</w:t>
            </w:r>
            <w:r w:rsidRPr="004C6D49">
              <w:rPr>
                <w:sz w:val="14"/>
              </w:rPr>
              <w:t xml:space="preserve"> et d</w:t>
            </w:r>
            <w:r w:rsidR="00A20444" w:rsidRPr="004C6D49">
              <w:rPr>
                <w:sz w:val="14"/>
              </w:rPr>
              <w:t>’</w:t>
            </w:r>
            <w:r w:rsidRPr="004C6D49">
              <w:rPr>
                <w:sz w:val="14"/>
              </w:rPr>
              <w:t xml:space="preserve">autres organisations intergouvernementales (PMA) </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9</w:t>
            </w:r>
          </w:p>
        </w:tc>
        <w:tc>
          <w:tcPr>
            <w:tcW w:w="0" w:type="auto"/>
          </w:tcPr>
          <w:p w:rsidR="0096696E" w:rsidRPr="005C7CCE" w:rsidRDefault="0096696E" w:rsidP="001A5BF9">
            <w:pPr>
              <w:spacing w:before="20"/>
              <w:jc w:val="center"/>
              <w:rPr>
                <w:szCs w:val="22"/>
              </w:rPr>
            </w:pPr>
            <w:r w:rsidRPr="005C7CCE">
              <w:rPr>
                <w:color w:val="E36C0A"/>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personnes qui font part de leur satisfaction à</w:t>
            </w:r>
            <w:r w:rsidR="0010442A" w:rsidRPr="004C6D49">
              <w:rPr>
                <w:sz w:val="14"/>
              </w:rPr>
              <w:t> </w:t>
            </w:r>
            <w:r w:rsidRPr="004C6D49">
              <w:rPr>
                <w:sz w:val="14"/>
              </w:rPr>
              <w:t>l</w:t>
            </w:r>
            <w:r w:rsidR="00A20444" w:rsidRPr="004C6D49">
              <w:rPr>
                <w:sz w:val="14"/>
              </w:rPr>
              <w:t>’</w:t>
            </w:r>
            <w:r w:rsidRPr="004C6D49">
              <w:rPr>
                <w:sz w:val="14"/>
              </w:rPr>
              <w:t>égard de la formation reçue dans les offices de propriété intellectuelle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personnes formées qui font état d</w:t>
            </w:r>
            <w:r w:rsidR="00A20444" w:rsidRPr="004C6D49">
              <w:rPr>
                <w:sz w:val="14"/>
              </w:rPr>
              <w:t>’</w:t>
            </w:r>
            <w:r w:rsidRPr="004C6D49">
              <w:rPr>
                <w:sz w:val="14"/>
              </w:rPr>
              <w:t>une utilisation effective, dans le cadre de leur travail, des compétences acquises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Mar>
              <w:top w:w="113" w:type="dxa"/>
            </w:tcMar>
          </w:tcPr>
          <w:p w:rsidR="0096696E" w:rsidRPr="004C6D49" w:rsidRDefault="0096696E" w:rsidP="001A5BF9">
            <w:pPr>
              <w:spacing w:before="80"/>
              <w:rPr>
                <w:sz w:val="14"/>
                <w:szCs w:val="14"/>
                <w:lang w:bidi="th-TH"/>
              </w:rPr>
            </w:pPr>
            <w:r w:rsidRPr="004C6D49">
              <w:rPr>
                <w:sz w:val="14"/>
              </w:rPr>
              <w:t>Pourcentage de superviseurs qui certifient que les compétences acquises après une année de formation sont utilisées de manière satisfaisante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personnes diplômées de l</w:t>
            </w:r>
            <w:r w:rsidR="00A20444" w:rsidRPr="004C6D49">
              <w:rPr>
                <w:sz w:val="14"/>
              </w:rPr>
              <w:t>’</w:t>
            </w:r>
            <w:r w:rsidRPr="004C6D49">
              <w:rPr>
                <w:sz w:val="14"/>
              </w:rPr>
              <w:t>Académie de l</w:t>
            </w:r>
            <w:r w:rsidR="00A20444" w:rsidRPr="004C6D49">
              <w:rPr>
                <w:sz w:val="14"/>
              </w:rPr>
              <w:t>’</w:t>
            </w:r>
            <w:r w:rsidRPr="004C6D49">
              <w:rPr>
                <w:sz w:val="14"/>
              </w:rPr>
              <w:t>OMPI et d</w:t>
            </w:r>
            <w:r w:rsidR="00A20444" w:rsidRPr="004C6D49">
              <w:rPr>
                <w:sz w:val="14"/>
              </w:rPr>
              <w:t>’</w:t>
            </w:r>
            <w:r w:rsidRPr="004C6D49">
              <w:rPr>
                <w:sz w:val="14"/>
              </w:rPr>
              <w:t>établissements universitaires partenaires (diplômes communs)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participants formés dans le cadre des cours d</w:t>
            </w:r>
            <w:r w:rsidR="00A20444" w:rsidRPr="004C6D49">
              <w:rPr>
                <w:sz w:val="14"/>
              </w:rPr>
              <w:t>’</w:t>
            </w:r>
            <w:r w:rsidRPr="004C6D49">
              <w:rPr>
                <w:sz w:val="14"/>
              </w:rPr>
              <w:t>été dispensés par l</w:t>
            </w:r>
            <w:r w:rsidR="00A20444" w:rsidRPr="004C6D49">
              <w:rPr>
                <w:sz w:val="14"/>
              </w:rPr>
              <w:t>’</w:t>
            </w:r>
            <w:r w:rsidRPr="004C6D49">
              <w:rPr>
                <w:sz w:val="14"/>
              </w:rPr>
              <w:t>OMPI chaque année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w:t>
            </w:r>
            <w:r w:rsidR="00A20444" w:rsidRPr="004C6D49">
              <w:rPr>
                <w:sz w:val="14"/>
              </w:rPr>
              <w:t>’</w:t>
            </w:r>
            <w:r w:rsidRPr="004C6D49">
              <w:rPr>
                <w:sz w:val="14"/>
              </w:rPr>
              <w:t>enseignants en propriété intellectuelle formés par l</w:t>
            </w:r>
            <w:r w:rsidR="00A20444" w:rsidRPr="004C6D49">
              <w:rPr>
                <w:sz w:val="14"/>
              </w:rPr>
              <w:t>’</w:t>
            </w:r>
            <w:r w:rsidRPr="004C6D49">
              <w:rPr>
                <w:sz w:val="14"/>
              </w:rPr>
              <w:t>Académie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 xml:space="preserve">Nombre de nouvelles académies créées </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nouveaux accords de coopération interinstitutionnelle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rPr>
                <w:sz w:val="14"/>
                <w:szCs w:val="14"/>
                <w:lang w:bidi="th-TH"/>
              </w:rPr>
            </w:pPr>
            <w:r w:rsidRPr="004C6D49">
              <w:rPr>
                <w:sz w:val="14"/>
              </w:rPr>
              <w:t>Accès facilité à l</w:t>
            </w:r>
            <w:r w:rsidR="00A20444" w:rsidRPr="004C6D49">
              <w:rPr>
                <w:sz w:val="14"/>
              </w:rPr>
              <w:t>’</w:t>
            </w:r>
            <w:r w:rsidRPr="004C6D49">
              <w:rPr>
                <w:sz w:val="14"/>
              </w:rPr>
              <w:t>enseignement en matière de propriété intellectuelle</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w:t>
            </w:r>
            <w:r w:rsidR="00A20444" w:rsidRPr="004C6D49">
              <w:rPr>
                <w:sz w:val="14"/>
              </w:rPr>
              <w:t>’</w:t>
            </w:r>
            <w:r w:rsidRPr="004C6D49">
              <w:rPr>
                <w:sz w:val="14"/>
              </w:rPr>
              <w:t>inscriptions en ligne aux cours d</w:t>
            </w:r>
            <w:r w:rsidR="00A20444" w:rsidRPr="004C6D49">
              <w:rPr>
                <w:sz w:val="14"/>
              </w:rPr>
              <w:t>’</w:t>
            </w:r>
            <w:r w:rsidRPr="004C6D49">
              <w:rPr>
                <w:sz w:val="14"/>
              </w:rPr>
              <w:t>enseignement à distance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Taux d</w:t>
            </w:r>
            <w:r w:rsidR="00A20444" w:rsidRPr="004C6D49">
              <w:rPr>
                <w:sz w:val="14"/>
              </w:rPr>
              <w:t>’</w:t>
            </w:r>
            <w:r w:rsidRPr="004C6D49">
              <w:rPr>
                <w:sz w:val="14"/>
              </w:rPr>
              <w:t>achèvement des cours d</w:t>
            </w:r>
            <w:r w:rsidR="00A20444" w:rsidRPr="004C6D49">
              <w:rPr>
                <w:sz w:val="14"/>
              </w:rPr>
              <w:t>’</w:t>
            </w:r>
            <w:r w:rsidRPr="004C6D49">
              <w:rPr>
                <w:sz w:val="14"/>
              </w:rPr>
              <w:t>enseignement à distance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participants aux cours d</w:t>
            </w:r>
            <w:r w:rsidR="00A20444" w:rsidRPr="004C6D49">
              <w:rPr>
                <w:sz w:val="14"/>
              </w:rPr>
              <w:t>’</w:t>
            </w:r>
            <w:r w:rsidRPr="004C6D49">
              <w:rPr>
                <w:sz w:val="14"/>
              </w:rPr>
              <w:t>enseignement à distance ayant réussi l</w:t>
            </w:r>
            <w:r w:rsidR="00A20444" w:rsidRPr="004C6D49">
              <w:rPr>
                <w:sz w:val="14"/>
              </w:rPr>
              <w:t>’</w:t>
            </w:r>
            <w:r w:rsidRPr="004C6D49">
              <w:rPr>
                <w:sz w:val="14"/>
              </w:rPr>
              <w:t>examen </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cours de l</w:t>
            </w:r>
            <w:r w:rsidR="00A20444" w:rsidRPr="004C6D49">
              <w:rPr>
                <w:sz w:val="14"/>
              </w:rPr>
              <w:t>’</w:t>
            </w:r>
            <w:r w:rsidRPr="004C6D49">
              <w:rPr>
                <w:sz w:val="14"/>
              </w:rPr>
              <w:t>Académie introduits dans des programmes d</w:t>
            </w:r>
            <w:r w:rsidR="00A20444" w:rsidRPr="004C6D49">
              <w:rPr>
                <w:sz w:val="14"/>
              </w:rPr>
              <w:t>’</w:t>
            </w:r>
            <w:r w:rsidRPr="004C6D49">
              <w:rPr>
                <w:sz w:val="14"/>
              </w:rPr>
              <w:t>établissements d</w:t>
            </w:r>
            <w:r w:rsidR="00A20444" w:rsidRPr="004C6D49">
              <w:rPr>
                <w:sz w:val="14"/>
              </w:rPr>
              <w:t>’</w:t>
            </w:r>
            <w:r w:rsidRPr="004C6D49">
              <w:rPr>
                <w:sz w:val="14"/>
              </w:rPr>
              <w:t>enseignement</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nouveaux cours en ligne à différents niveaux de spécialisation</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szCs w:val="22"/>
              </w:rPr>
            </w:pPr>
            <w:r w:rsidRPr="005C7CCE">
              <w:rPr>
                <w:color w:val="FF0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langues dans lesquelles les cours sont dispensés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keepNext/>
              <w:keepLines/>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keepNext/>
              <w:keepLines/>
              <w:spacing w:before="80"/>
              <w:rPr>
                <w:sz w:val="14"/>
                <w:szCs w:val="14"/>
                <w:lang w:bidi="th-TH"/>
              </w:rPr>
            </w:pPr>
            <w:r w:rsidRPr="004C6D49">
              <w:rPr>
                <w:sz w:val="14"/>
              </w:rPr>
              <w:t>Nombre de bourses d</w:t>
            </w:r>
            <w:r w:rsidR="00A20444" w:rsidRPr="004C6D49">
              <w:rPr>
                <w:sz w:val="14"/>
              </w:rPr>
              <w:t>’</w:t>
            </w:r>
            <w:r w:rsidRPr="004C6D49">
              <w:rPr>
                <w:sz w:val="14"/>
              </w:rPr>
              <w:t>études accordées à des participants venant de pays en développement, de PMA et de pays en transition</w:t>
            </w:r>
          </w:p>
        </w:tc>
        <w:tc>
          <w:tcPr>
            <w:tcW w:w="0" w:type="auto"/>
            <w:shd w:val="clear" w:color="auto" w:fill="auto"/>
          </w:tcPr>
          <w:p w:rsidR="0096696E" w:rsidRPr="004C6D49" w:rsidRDefault="0096696E" w:rsidP="001A5BF9">
            <w:pPr>
              <w:keepNext/>
              <w:keepLines/>
              <w:spacing w:before="80"/>
              <w:jc w:val="center"/>
              <w:rPr>
                <w:sz w:val="14"/>
                <w:szCs w:val="14"/>
                <w:lang w:bidi="th-TH"/>
              </w:rPr>
            </w:pPr>
            <w:r w:rsidRPr="004C6D49">
              <w:rPr>
                <w:sz w:val="14"/>
              </w:rPr>
              <w:t>Programme 11</w:t>
            </w:r>
          </w:p>
        </w:tc>
        <w:tc>
          <w:tcPr>
            <w:tcW w:w="0" w:type="auto"/>
          </w:tcPr>
          <w:p w:rsidR="0096696E" w:rsidRPr="005C7CCE" w:rsidRDefault="0096696E" w:rsidP="001A5BF9">
            <w:pPr>
              <w:keepNext/>
              <w:keepLines/>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rPr>
                <w:sz w:val="14"/>
                <w:szCs w:val="14"/>
                <w:lang w:bidi="th-TH"/>
              </w:rPr>
            </w:pPr>
            <w:r w:rsidRPr="004C6D49">
              <w:rPr>
                <w:sz w:val="14"/>
              </w:rPr>
              <w:t>Mise à niveau des compétences en matière de gestion de la propriété intellectuelle pour les entreprises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participants qui font part de leur satisfaction à</w:t>
            </w:r>
            <w:r w:rsidR="0010442A" w:rsidRPr="004C6D49">
              <w:rPr>
                <w:sz w:val="14"/>
              </w:rPr>
              <w:t> </w:t>
            </w:r>
            <w:r w:rsidRPr="004C6D49">
              <w:rPr>
                <w:sz w:val="14"/>
              </w:rPr>
              <w:t>l</w:t>
            </w:r>
            <w:r w:rsidR="00A20444" w:rsidRPr="004C6D49">
              <w:rPr>
                <w:sz w:val="14"/>
              </w:rPr>
              <w:t>’</w:t>
            </w:r>
            <w:r w:rsidRPr="004C6D49">
              <w:rPr>
                <w:sz w:val="14"/>
              </w:rPr>
              <w:t>égard de la formation reçue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personnes formées qui font état d</w:t>
            </w:r>
            <w:r w:rsidR="00A20444" w:rsidRPr="004C6D49">
              <w:rPr>
                <w:sz w:val="14"/>
              </w:rPr>
              <w:t>’</w:t>
            </w:r>
            <w:r w:rsidRPr="004C6D49">
              <w:rPr>
                <w:sz w:val="14"/>
              </w:rPr>
              <w:t>une utilisation effective, dans le cadre de leur travail, des compétences acquises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demandes de cours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11</w:t>
            </w:r>
          </w:p>
        </w:tc>
        <w:tc>
          <w:tcPr>
            <w:tcW w:w="0" w:type="auto"/>
          </w:tcPr>
          <w:p w:rsidR="0096696E" w:rsidRPr="005C7CCE" w:rsidRDefault="0096696E" w:rsidP="001A5BF9">
            <w:pPr>
              <w:spacing w:before="20"/>
              <w:jc w:val="center"/>
              <w:rPr>
                <w:color w:val="00B050"/>
                <w:szCs w:val="22"/>
              </w:rPr>
            </w:pPr>
            <w:r w:rsidRPr="005C7CCE">
              <w:rPr>
                <w:color w:val="FF0000"/>
              </w:rPr>
              <w:sym w:font="Wingdings" w:char="F06C"/>
            </w:r>
          </w:p>
        </w:tc>
      </w:tr>
      <w:tr w:rsidR="0096696E" w:rsidRPr="005C7CCE" w:rsidTr="00BB3F3E">
        <w:tc>
          <w:tcPr>
            <w:tcW w:w="0" w:type="auto"/>
            <w:vMerge w:val="restart"/>
            <w:shd w:val="clear" w:color="auto" w:fill="auto"/>
          </w:tcPr>
          <w:p w:rsidR="0096696E" w:rsidRPr="004C6D49" w:rsidRDefault="0096696E" w:rsidP="001A5BF9">
            <w:pPr>
              <w:spacing w:before="80"/>
              <w:rPr>
                <w:sz w:val="14"/>
                <w:szCs w:val="14"/>
                <w:lang w:bidi="th-TH"/>
              </w:rPr>
            </w:pPr>
            <w:r w:rsidRPr="004C6D49">
              <w:rPr>
                <w:sz w:val="14"/>
              </w:rPr>
              <w:t>Amélioration de la compréhension/la capacité</w:t>
            </w:r>
            <w:r w:rsidR="00A20444" w:rsidRPr="004C6D49">
              <w:rPr>
                <w:sz w:val="14"/>
              </w:rPr>
              <w:t xml:space="preserve"> des PME</w:t>
            </w:r>
            <w:r w:rsidRPr="004C6D49">
              <w:rPr>
                <w:sz w:val="14"/>
              </w:rPr>
              <w:t xml:space="preserve"> et des institutions d</w:t>
            </w:r>
            <w:r w:rsidR="00A20444" w:rsidRPr="004C6D49">
              <w:rPr>
                <w:sz w:val="14"/>
              </w:rPr>
              <w:t>’</w:t>
            </w:r>
            <w:r w:rsidRPr="004C6D49">
              <w:rPr>
                <w:sz w:val="14"/>
              </w:rPr>
              <w:t>aide au développement de ces entreprises pour leur permettre une meilleure mise en œuvre de la propriété intellectuelle au service de l</w:t>
            </w:r>
            <w:r w:rsidR="00A20444" w:rsidRPr="004C6D49">
              <w:rPr>
                <w:sz w:val="14"/>
              </w:rPr>
              <w:t>’</w:t>
            </w:r>
            <w:r w:rsidRPr="004C6D49">
              <w:rPr>
                <w:sz w:val="14"/>
              </w:rPr>
              <w:t xml:space="preserve">innovation et de la commercialisation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w:t>
            </w:r>
            <w:r w:rsidR="00A20444" w:rsidRPr="004C6D49">
              <w:rPr>
                <w:sz w:val="14"/>
              </w:rPr>
              <w:t>’</w:t>
            </w:r>
            <w:r w:rsidRPr="004C6D49">
              <w:rPr>
                <w:sz w:val="14"/>
              </w:rPr>
              <w:t>institutions d</w:t>
            </w:r>
            <w:r w:rsidR="00A20444" w:rsidRPr="004C6D49">
              <w:rPr>
                <w:sz w:val="14"/>
              </w:rPr>
              <w:t>’</w:t>
            </w:r>
            <w:r w:rsidRPr="004C6D49">
              <w:rPr>
                <w:sz w:val="14"/>
              </w:rPr>
              <w:t xml:space="preserve">appui ayant obtenu une assistance qui </w:t>
            </w:r>
            <w:proofErr w:type="gramStart"/>
            <w:r w:rsidRPr="004C6D49">
              <w:rPr>
                <w:sz w:val="14"/>
              </w:rPr>
              <w:t>fournissent</w:t>
            </w:r>
            <w:proofErr w:type="gramEnd"/>
            <w:r w:rsidRPr="004C6D49">
              <w:rPr>
                <w:sz w:val="14"/>
              </w:rPr>
              <w:t xml:space="preserve"> des services d</w:t>
            </w:r>
            <w:r w:rsidR="00A20444" w:rsidRPr="004C6D49">
              <w:rPr>
                <w:sz w:val="14"/>
              </w:rPr>
              <w:t>’</w:t>
            </w:r>
            <w:r w:rsidRPr="004C6D49">
              <w:rPr>
                <w:sz w:val="14"/>
              </w:rPr>
              <w:t>information, d</w:t>
            </w:r>
            <w:r w:rsidR="00A20444" w:rsidRPr="004C6D49">
              <w:rPr>
                <w:sz w:val="14"/>
              </w:rPr>
              <w:t>’</w:t>
            </w:r>
            <w:r w:rsidRPr="004C6D49">
              <w:rPr>
                <w:sz w:val="14"/>
              </w:rPr>
              <w:t xml:space="preserve">appui et de conseil/consultation en matière de gestion des actifs de propriété intellectuelle </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30</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shd w:val="clear" w:color="auto" w:fill="auto"/>
          </w:tcPr>
          <w:p w:rsidR="0096696E" w:rsidRPr="004C6D49" w:rsidRDefault="0096696E" w:rsidP="001A5BF9">
            <w:pPr>
              <w:spacing w:before="8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 xml:space="preserve">Nombre de programmes de formation nationaux et régionaux sur la gestion des actifs de propriété intellectuelle </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30</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rPr>
                <w:sz w:val="14"/>
                <w:szCs w:val="14"/>
                <w:lang w:bidi="th-TH"/>
              </w:rPr>
            </w:pPr>
          </w:p>
        </w:tc>
        <w:tc>
          <w:tcPr>
            <w:tcW w:w="0" w:type="auto"/>
            <w:shd w:val="clear" w:color="auto" w:fill="auto"/>
          </w:tcPr>
          <w:p w:rsidR="0096696E" w:rsidRPr="004C6D49" w:rsidRDefault="007E442D" w:rsidP="001A5BF9">
            <w:pPr>
              <w:spacing w:before="80"/>
              <w:rPr>
                <w:sz w:val="14"/>
                <w:szCs w:val="14"/>
                <w:lang w:bidi="th-TH"/>
              </w:rPr>
            </w:pPr>
            <w:r w:rsidRPr="004C6D49">
              <w:rPr>
                <w:sz w:val="14"/>
              </w:rPr>
              <w:t xml:space="preserve"> %</w:t>
            </w:r>
            <w:r w:rsidR="0096696E" w:rsidRPr="004C6D49">
              <w:rPr>
                <w:sz w:val="14"/>
              </w:rPr>
              <w:t xml:space="preserve"> d</w:t>
            </w:r>
            <w:r w:rsidR="00A20444" w:rsidRPr="004C6D49">
              <w:rPr>
                <w:sz w:val="14"/>
              </w:rPr>
              <w:t>’</w:t>
            </w:r>
            <w:r w:rsidR="0096696E" w:rsidRPr="004C6D49">
              <w:rPr>
                <w:sz w:val="14"/>
              </w:rPr>
              <w:t>organismes de soutien aux PME satisfaits des formations assurées en matière de gestion d</w:t>
            </w:r>
            <w:r w:rsidR="00A20444" w:rsidRPr="004C6D49">
              <w:rPr>
                <w:sz w:val="14"/>
              </w:rPr>
              <w:t>’</w:t>
            </w:r>
            <w:r w:rsidR="0096696E" w:rsidRPr="004C6D49">
              <w:rPr>
                <w:sz w:val="14"/>
              </w:rPr>
              <w:t xml:space="preserve">actifs de propriété intellectuelle </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30</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val="restart"/>
            <w:shd w:val="clear" w:color="auto" w:fill="auto"/>
          </w:tcPr>
          <w:p w:rsidR="00D42474" w:rsidRDefault="0096696E" w:rsidP="001A5BF9">
            <w:pPr>
              <w:spacing w:before="80"/>
              <w:rPr>
                <w:sz w:val="14"/>
                <w:szCs w:val="14"/>
                <w:lang w:bidi="th-TH"/>
              </w:rPr>
            </w:pPr>
            <w:r w:rsidRPr="004C6D49">
              <w:rPr>
                <w:sz w:val="14"/>
              </w:rPr>
              <w:t>Principes du Plan d</w:t>
            </w:r>
            <w:r w:rsidR="00A20444" w:rsidRPr="004C6D49">
              <w:rPr>
                <w:sz w:val="14"/>
              </w:rPr>
              <w:t>’</w:t>
            </w:r>
            <w:r w:rsidRPr="004C6D49">
              <w:rPr>
                <w:sz w:val="14"/>
              </w:rPr>
              <w:t>action pour le développement intégrés dans les programmes et activités de l</w:t>
            </w:r>
            <w:r w:rsidR="00A20444" w:rsidRPr="004C6D49">
              <w:rPr>
                <w:sz w:val="14"/>
              </w:rPr>
              <w:t>’</w:t>
            </w:r>
            <w:r w:rsidRPr="004C6D49">
              <w:rPr>
                <w:sz w:val="14"/>
              </w:rPr>
              <w:t>Organisation</w:t>
            </w:r>
          </w:p>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recommandations du Plan d</w:t>
            </w:r>
            <w:r w:rsidR="00A20444" w:rsidRPr="004C6D49">
              <w:rPr>
                <w:sz w:val="14"/>
              </w:rPr>
              <w:t>’</w:t>
            </w:r>
            <w:r w:rsidRPr="004C6D49">
              <w:rPr>
                <w:sz w:val="14"/>
              </w:rPr>
              <w:t>action pour le développement qui se rapportent à des résultats escomptés inscrits dans le programme et budget pour</w:t>
            </w:r>
            <w:r w:rsidR="0010442A" w:rsidRPr="004C6D49">
              <w:rPr>
                <w:sz w:val="14"/>
              </w:rPr>
              <w:t> </w:t>
            </w:r>
            <w:r w:rsidRPr="004C6D49">
              <w:rPr>
                <w:sz w:val="14"/>
              </w:rPr>
              <w:t>2010</w:t>
            </w:r>
            <w:r w:rsidR="002D6F2A" w:rsidRPr="004C6D49">
              <w:rPr>
                <w:sz w:val="14"/>
              </w:rPr>
              <w:noBreakHyphen/>
            </w:r>
            <w:r w:rsidRPr="004C6D49">
              <w:rPr>
                <w:sz w:val="14"/>
              </w:rPr>
              <w:t>2011</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8</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recommandations du Plan d</w:t>
            </w:r>
            <w:r w:rsidR="00A20444" w:rsidRPr="004C6D49">
              <w:rPr>
                <w:sz w:val="14"/>
              </w:rPr>
              <w:t>’</w:t>
            </w:r>
            <w:r w:rsidRPr="004C6D49">
              <w:rPr>
                <w:sz w:val="14"/>
              </w:rPr>
              <w:t>action pour le développement qui se rapportent à des indicateurs d</w:t>
            </w:r>
            <w:r w:rsidR="00A20444" w:rsidRPr="004C6D49">
              <w:rPr>
                <w:sz w:val="14"/>
              </w:rPr>
              <w:t>’</w:t>
            </w:r>
            <w:r w:rsidRPr="004C6D49">
              <w:rPr>
                <w:sz w:val="14"/>
              </w:rPr>
              <w:t>exécution inscrits dans le programme et budget pour</w:t>
            </w:r>
            <w:r w:rsidR="0010442A" w:rsidRPr="004C6D49">
              <w:rPr>
                <w:sz w:val="14"/>
              </w:rPr>
              <w:t> </w:t>
            </w:r>
            <w:r w:rsidRPr="004C6D49">
              <w:rPr>
                <w:sz w:val="14"/>
              </w:rPr>
              <w:t>2010</w:t>
            </w:r>
            <w:r w:rsidR="002D6F2A" w:rsidRPr="004C6D49">
              <w:rPr>
                <w:sz w:val="14"/>
              </w:rPr>
              <w:noBreakHyphen/>
            </w:r>
            <w:r w:rsidRPr="004C6D49">
              <w:rPr>
                <w:sz w:val="14"/>
              </w:rPr>
              <w:t>2011</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8</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Mise en œuvre du mécanisme de coordination tel qu</w:t>
            </w:r>
            <w:r w:rsidR="00A20444" w:rsidRPr="004C6D49">
              <w:rPr>
                <w:sz w:val="14"/>
              </w:rPr>
              <w:t>’</w:t>
            </w:r>
            <w:r w:rsidRPr="004C6D49">
              <w:rPr>
                <w:sz w:val="14"/>
              </w:rPr>
              <w:t xml:space="preserve">approuvé par les États membres </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8</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val="restart"/>
            <w:shd w:val="clear" w:color="auto" w:fill="auto"/>
          </w:tcPr>
          <w:p w:rsidR="00D42474" w:rsidRDefault="0096696E" w:rsidP="001A5BF9">
            <w:pPr>
              <w:spacing w:before="80"/>
              <w:rPr>
                <w:sz w:val="14"/>
                <w:szCs w:val="14"/>
                <w:lang w:bidi="th-TH"/>
              </w:rPr>
            </w:pPr>
            <w:r w:rsidRPr="004C6D49">
              <w:rPr>
                <w:sz w:val="14"/>
              </w:rPr>
              <w:t>Planification, mise en œuvre, suivi, évaluation et établissement de rapports efficaces en ce qui concerne les recommandations du Plan d</w:t>
            </w:r>
            <w:r w:rsidR="00A20444" w:rsidRPr="004C6D49">
              <w:rPr>
                <w:sz w:val="14"/>
              </w:rPr>
              <w:t>’</w:t>
            </w:r>
            <w:r w:rsidRPr="004C6D49">
              <w:rPr>
                <w:sz w:val="14"/>
              </w:rPr>
              <w:t>action pour le développement</w:t>
            </w:r>
          </w:p>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recommandations du Plan d</w:t>
            </w:r>
            <w:r w:rsidR="00A20444" w:rsidRPr="004C6D49">
              <w:rPr>
                <w:sz w:val="14"/>
              </w:rPr>
              <w:t>’</w:t>
            </w:r>
            <w:r w:rsidRPr="004C6D49">
              <w:rPr>
                <w:sz w:val="14"/>
              </w:rPr>
              <w:t>action pour le développement qui ont été mises en œuvre par le CDIP dans des projets, des activités et des études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8</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projets approuvés par</w:t>
            </w:r>
            <w:r w:rsidR="00A20444" w:rsidRPr="004C6D49">
              <w:rPr>
                <w:sz w:val="14"/>
              </w:rPr>
              <w:t xml:space="preserve"> le CDI</w:t>
            </w:r>
            <w:r w:rsidRPr="004C6D49">
              <w:rPr>
                <w:sz w:val="14"/>
              </w:rPr>
              <w:t>P</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8</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shd w:val="clear" w:color="auto" w:fill="auto"/>
          </w:tcPr>
          <w:p w:rsidR="0096696E" w:rsidRPr="004C6D49" w:rsidRDefault="0096696E" w:rsidP="001A5BF9">
            <w:pPr>
              <w:spacing w:before="80"/>
              <w:ind w:firstLineChars="100" w:firstLine="14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projets proposés par des États membres, qui sont soumis à l</w:t>
            </w:r>
            <w:r w:rsidR="00A20444" w:rsidRPr="004C6D49">
              <w:rPr>
                <w:sz w:val="14"/>
              </w:rPr>
              <w:t>’</w:t>
            </w:r>
            <w:r w:rsidRPr="004C6D49">
              <w:rPr>
                <w:sz w:val="14"/>
              </w:rPr>
              <w:t>examen</w:t>
            </w:r>
            <w:r w:rsidR="00A20444" w:rsidRPr="004C6D49">
              <w:rPr>
                <w:sz w:val="14"/>
              </w:rPr>
              <w:t xml:space="preserve"> du CDI</w:t>
            </w:r>
            <w:r w:rsidRPr="004C6D49">
              <w:rPr>
                <w:sz w:val="14"/>
              </w:rPr>
              <w:t>P</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8</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projets faisant l</w:t>
            </w:r>
            <w:r w:rsidR="00A20444" w:rsidRPr="004C6D49">
              <w:rPr>
                <w:sz w:val="14"/>
              </w:rPr>
              <w:t>’</w:t>
            </w:r>
            <w:r w:rsidRPr="004C6D49">
              <w:rPr>
                <w:sz w:val="14"/>
              </w:rPr>
              <w:t>objet d</w:t>
            </w:r>
            <w:r w:rsidR="00A20444" w:rsidRPr="004C6D49">
              <w:rPr>
                <w:sz w:val="14"/>
              </w:rPr>
              <w:t>’</w:t>
            </w:r>
            <w:r w:rsidRPr="004C6D49">
              <w:rPr>
                <w:sz w:val="14"/>
              </w:rPr>
              <w:t>un suivi systématique</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8</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Pourcentage de projets ayant fait l</w:t>
            </w:r>
            <w:r w:rsidR="00A20444" w:rsidRPr="004C6D49">
              <w:rPr>
                <w:sz w:val="14"/>
              </w:rPr>
              <w:t>’</w:t>
            </w:r>
            <w:r w:rsidRPr="004C6D49">
              <w:rPr>
                <w:sz w:val="14"/>
              </w:rPr>
              <w:t>objet d</w:t>
            </w:r>
            <w:r w:rsidR="00A20444" w:rsidRPr="004C6D49">
              <w:rPr>
                <w:sz w:val="14"/>
              </w:rPr>
              <w:t>’</w:t>
            </w:r>
            <w:r w:rsidRPr="004C6D49">
              <w:rPr>
                <w:sz w:val="14"/>
              </w:rPr>
              <w:t>une évaluation au cours de l</w:t>
            </w:r>
            <w:r w:rsidR="00A20444" w:rsidRPr="004C6D49">
              <w:rPr>
                <w:sz w:val="14"/>
              </w:rPr>
              <w:t>’</w:t>
            </w:r>
            <w:r w:rsidRPr="004C6D49">
              <w:rPr>
                <w:sz w:val="14"/>
              </w:rPr>
              <w:t>exercice biennal</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8</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ind w:firstLineChars="100" w:firstLine="140"/>
              <w:rPr>
                <w:sz w:val="14"/>
                <w:szCs w:val="14"/>
                <w:lang w:bidi="th-TH"/>
              </w:rPr>
            </w:pPr>
            <w:r w:rsidRPr="004C6D49">
              <w:rPr>
                <w:sz w:val="14"/>
              </w:rPr>
              <w:t> </w:t>
            </w:r>
          </w:p>
        </w:tc>
        <w:tc>
          <w:tcPr>
            <w:tcW w:w="0" w:type="auto"/>
            <w:shd w:val="clear" w:color="auto" w:fill="auto"/>
          </w:tcPr>
          <w:p w:rsidR="0096696E" w:rsidRPr="004C6D49" w:rsidRDefault="0096696E" w:rsidP="001A5BF9">
            <w:pPr>
              <w:spacing w:before="80"/>
              <w:rPr>
                <w:sz w:val="14"/>
                <w:szCs w:val="14"/>
                <w:lang w:bidi="th-TH"/>
              </w:rPr>
            </w:pPr>
            <w:r w:rsidRPr="004C6D49">
              <w:rPr>
                <w:sz w:val="14"/>
              </w:rPr>
              <w:t>Informations reçues sur la qualité des rapports relatifs à la mise en œuvre des recommandations du Plan d</w:t>
            </w:r>
            <w:r w:rsidR="00A20444" w:rsidRPr="004C6D49">
              <w:rPr>
                <w:sz w:val="14"/>
              </w:rPr>
              <w:t>’</w:t>
            </w:r>
            <w:r w:rsidRPr="004C6D49">
              <w:rPr>
                <w:sz w:val="14"/>
              </w:rPr>
              <w:t>action pour le développement qui ont été présentés</w:t>
            </w:r>
            <w:r w:rsidR="00A20444" w:rsidRPr="004C6D49">
              <w:rPr>
                <w:sz w:val="14"/>
              </w:rPr>
              <w:t xml:space="preserve"> au CDI</w:t>
            </w:r>
            <w:r w:rsidRPr="004C6D49">
              <w:rPr>
                <w:sz w:val="14"/>
              </w:rPr>
              <w:t>P</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8</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spacing w:before="80"/>
              <w:rPr>
                <w:sz w:val="14"/>
                <w:szCs w:val="14"/>
                <w:lang w:bidi="th-TH"/>
              </w:rPr>
            </w:pPr>
            <w:r w:rsidRPr="004C6D49">
              <w:rPr>
                <w:sz w:val="14"/>
              </w:rPr>
              <w:t>Meilleure compréhension du Plan d</w:t>
            </w:r>
            <w:r w:rsidR="00A20444" w:rsidRPr="004C6D49">
              <w:rPr>
                <w:sz w:val="14"/>
              </w:rPr>
              <w:t>’</w:t>
            </w:r>
            <w:r w:rsidRPr="004C6D49">
              <w:rPr>
                <w:sz w:val="14"/>
              </w:rPr>
              <w:t>action pour le développement par les États membres, les organisations intergouvernementales, la société civile et les autres parties prenantes</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pays demandant une assistance technique dans le cadre des projets du Plan d</w:t>
            </w:r>
            <w:r w:rsidR="00A20444" w:rsidRPr="004C6D49">
              <w:rPr>
                <w:sz w:val="14"/>
              </w:rPr>
              <w:t>’</w:t>
            </w:r>
            <w:r w:rsidRPr="004C6D49">
              <w:rPr>
                <w:sz w:val="14"/>
              </w:rPr>
              <w:t>action pour le développement et manifestant leur intérêt pour des activités en rapport avec le Plan d</w:t>
            </w:r>
            <w:r w:rsidR="00A20444" w:rsidRPr="004C6D49">
              <w:rPr>
                <w:sz w:val="14"/>
              </w:rPr>
              <w:t>’</w:t>
            </w:r>
            <w:r w:rsidRPr="004C6D49">
              <w:rPr>
                <w:sz w:val="14"/>
              </w:rPr>
              <w:t>action pour le développement</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8</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shd w:val="clear" w:color="auto" w:fill="auto"/>
          </w:tcPr>
          <w:p w:rsidR="0096696E" w:rsidRPr="004C6D49" w:rsidRDefault="0096696E" w:rsidP="001A5BF9">
            <w:pPr>
              <w:pageBreakBefore/>
              <w:spacing w:before="80"/>
              <w:rPr>
                <w:sz w:val="14"/>
                <w:szCs w:val="14"/>
                <w:lang w:bidi="th-TH"/>
              </w:rPr>
            </w:pPr>
            <w:r w:rsidRPr="004C6D49">
              <w:rPr>
                <w:sz w:val="14"/>
              </w:rPr>
              <w:t>Reconnaissance par les États membres, les communautés, les organisations et les autres parties prenantes de l</w:t>
            </w:r>
            <w:r w:rsidR="00A20444" w:rsidRPr="004C6D49">
              <w:rPr>
                <w:sz w:val="14"/>
              </w:rPr>
              <w:t>’</w:t>
            </w:r>
            <w:r w:rsidRPr="004C6D49">
              <w:rPr>
                <w:sz w:val="14"/>
              </w:rPr>
              <w:t>utilité et de l</w:t>
            </w:r>
            <w:r w:rsidR="00A20444" w:rsidRPr="004C6D49">
              <w:rPr>
                <w:sz w:val="14"/>
              </w:rPr>
              <w:t>’</w:t>
            </w:r>
            <w:r w:rsidRPr="004C6D49">
              <w:rPr>
                <w:sz w:val="14"/>
              </w:rPr>
              <w:t>efficacité des ressources, des programmes et des instruments de l</w:t>
            </w:r>
            <w:r w:rsidR="00A20444" w:rsidRPr="004C6D49">
              <w:rPr>
                <w:sz w:val="14"/>
              </w:rPr>
              <w:t>’</w:t>
            </w:r>
            <w:r w:rsidRPr="004C6D49">
              <w:rPr>
                <w:sz w:val="14"/>
              </w:rPr>
              <w:t>OMPI</w:t>
            </w: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de demandes d</w:t>
            </w:r>
            <w:r w:rsidR="00A20444" w:rsidRPr="004C6D49">
              <w:rPr>
                <w:sz w:val="14"/>
              </w:rPr>
              <w:t>’</w:t>
            </w:r>
            <w:r w:rsidRPr="004C6D49">
              <w:rPr>
                <w:sz w:val="14"/>
              </w:rPr>
              <w:t>assistance reçues par l</w:t>
            </w:r>
            <w:r w:rsidR="00A20444" w:rsidRPr="004C6D49">
              <w:rPr>
                <w:sz w:val="14"/>
              </w:rPr>
              <w:t>’</w:t>
            </w:r>
            <w:r w:rsidRPr="004C6D49">
              <w:rPr>
                <w:sz w:val="14"/>
              </w:rPr>
              <w:t xml:space="preserve">OMPI </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4</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val="restart"/>
            <w:shd w:val="clear" w:color="auto" w:fill="auto"/>
          </w:tcPr>
          <w:p w:rsidR="0096696E" w:rsidRPr="004C6D49" w:rsidRDefault="0096696E" w:rsidP="001A5BF9">
            <w:pPr>
              <w:spacing w:before="80"/>
              <w:rPr>
                <w:sz w:val="14"/>
                <w:szCs w:val="14"/>
                <w:lang w:bidi="th-TH"/>
              </w:rPr>
            </w:pPr>
            <w:r w:rsidRPr="004C6D49">
              <w:rPr>
                <w:sz w:val="14"/>
              </w:rPr>
              <w:t>Augmentation des ressources extrabudgétaires disponibles aux fins du développement de la propriété intellectuelle, soit par des contributions directes à l</w:t>
            </w:r>
            <w:r w:rsidR="00A20444" w:rsidRPr="004C6D49">
              <w:rPr>
                <w:sz w:val="14"/>
              </w:rPr>
              <w:t>’</w:t>
            </w:r>
            <w:r w:rsidRPr="004C6D49">
              <w:rPr>
                <w:sz w:val="14"/>
              </w:rPr>
              <w:t>OMPI soit par accès à d</w:t>
            </w:r>
            <w:r w:rsidR="00A20444" w:rsidRPr="004C6D49">
              <w:rPr>
                <w:sz w:val="14"/>
              </w:rPr>
              <w:t>’</w:t>
            </w:r>
            <w:r w:rsidRPr="004C6D49">
              <w:rPr>
                <w:sz w:val="14"/>
              </w:rPr>
              <w:t>autres moyens externes de financement</w:t>
            </w:r>
          </w:p>
        </w:tc>
        <w:tc>
          <w:tcPr>
            <w:tcW w:w="0" w:type="auto"/>
            <w:shd w:val="clear" w:color="auto" w:fill="auto"/>
          </w:tcPr>
          <w:p w:rsidR="0096696E" w:rsidRPr="004C6D49" w:rsidRDefault="0096696E" w:rsidP="001A5BF9">
            <w:pPr>
              <w:spacing w:before="80"/>
              <w:rPr>
                <w:sz w:val="14"/>
                <w:szCs w:val="14"/>
                <w:lang w:bidi="th-TH"/>
              </w:rPr>
            </w:pPr>
            <w:r w:rsidRPr="004C6D49">
              <w:rPr>
                <w:sz w:val="14"/>
              </w:rPr>
              <w:t>Augmentation des ressources disponibles dans les fonds fiduciaires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20</w:t>
            </w:r>
          </w:p>
        </w:tc>
        <w:tc>
          <w:tcPr>
            <w:tcW w:w="0" w:type="auto"/>
          </w:tcPr>
          <w:p w:rsidR="0096696E" w:rsidRPr="005C7CCE" w:rsidRDefault="0096696E" w:rsidP="001A5BF9">
            <w:pPr>
              <w:spacing w:before="20"/>
              <w:jc w:val="center"/>
              <w:rPr>
                <w:color w:val="008000"/>
                <w:szCs w:val="22"/>
              </w:rPr>
            </w:pPr>
            <w:r w:rsidRPr="005C7CCE">
              <w:rPr>
                <w:color w:val="008000"/>
              </w:rPr>
              <w:sym w:font="Wingdings" w:char="F06C"/>
            </w:r>
          </w:p>
        </w:tc>
      </w:tr>
      <w:tr w:rsidR="0096696E" w:rsidRPr="005C7CCE" w:rsidTr="00BB3F3E">
        <w:tc>
          <w:tcPr>
            <w:tcW w:w="0" w:type="auto"/>
            <w:vMerge/>
            <w:shd w:val="clear" w:color="auto" w:fill="auto"/>
          </w:tcPr>
          <w:p w:rsidR="0096696E" w:rsidRPr="004C6D49" w:rsidRDefault="0096696E" w:rsidP="001A5BF9">
            <w:pPr>
              <w:spacing w:before="8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Nombre et poids financier des projets mis en œuvre par l</w:t>
            </w:r>
            <w:r w:rsidR="00A20444" w:rsidRPr="004C6D49">
              <w:rPr>
                <w:sz w:val="14"/>
              </w:rPr>
              <w:t>’</w:t>
            </w:r>
            <w:r w:rsidRPr="004C6D49">
              <w:rPr>
                <w:sz w:val="14"/>
              </w:rPr>
              <w:t>OMPI qui sont financés par des mécanismes externes existants financés par des donateurs</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20</w:t>
            </w:r>
          </w:p>
        </w:tc>
        <w:tc>
          <w:tcPr>
            <w:tcW w:w="0" w:type="auto"/>
          </w:tcPr>
          <w:p w:rsidR="0096696E" w:rsidRPr="005C7CCE" w:rsidRDefault="0096696E" w:rsidP="001A5BF9">
            <w:pPr>
              <w:spacing w:before="20"/>
              <w:jc w:val="center"/>
              <w:rPr>
                <w:szCs w:val="22"/>
              </w:rPr>
            </w:pPr>
            <w:r w:rsidRPr="005C7CCE">
              <w:sym w:font="Wingdings" w:char="F06C"/>
            </w:r>
          </w:p>
        </w:tc>
      </w:tr>
      <w:tr w:rsidR="0096696E" w:rsidRPr="005C7CCE" w:rsidTr="00BB3F3E">
        <w:tc>
          <w:tcPr>
            <w:tcW w:w="0" w:type="auto"/>
            <w:shd w:val="clear" w:color="auto" w:fill="auto"/>
          </w:tcPr>
          <w:p w:rsidR="0096696E" w:rsidRPr="004C6D49" w:rsidRDefault="0096696E" w:rsidP="001A5BF9">
            <w:pPr>
              <w:spacing w:before="80"/>
              <w:rPr>
                <w:sz w:val="14"/>
                <w:szCs w:val="14"/>
                <w:lang w:bidi="th-TH"/>
              </w:rPr>
            </w:pPr>
          </w:p>
        </w:tc>
        <w:tc>
          <w:tcPr>
            <w:tcW w:w="0" w:type="auto"/>
            <w:shd w:val="clear" w:color="auto" w:fill="auto"/>
          </w:tcPr>
          <w:p w:rsidR="0096696E" w:rsidRPr="004C6D49" w:rsidRDefault="0096696E" w:rsidP="001A5BF9">
            <w:pPr>
              <w:spacing w:before="80"/>
              <w:rPr>
                <w:sz w:val="14"/>
                <w:szCs w:val="14"/>
                <w:lang w:bidi="th-TH"/>
              </w:rPr>
            </w:pPr>
            <w:r w:rsidRPr="004C6D49">
              <w:rPr>
                <w:sz w:val="14"/>
              </w:rPr>
              <w:t>Élaboration des lignes directrices de l</w:t>
            </w:r>
            <w:r w:rsidR="00A20444" w:rsidRPr="004C6D49">
              <w:rPr>
                <w:sz w:val="14"/>
              </w:rPr>
              <w:t>’</w:t>
            </w:r>
            <w:r w:rsidRPr="004C6D49">
              <w:rPr>
                <w:sz w:val="14"/>
              </w:rPr>
              <w:t>OMPI pour la recherche de partenariats avec le secteur privé</w:t>
            </w:r>
          </w:p>
        </w:tc>
        <w:tc>
          <w:tcPr>
            <w:tcW w:w="0" w:type="auto"/>
            <w:shd w:val="clear" w:color="auto" w:fill="auto"/>
          </w:tcPr>
          <w:p w:rsidR="0096696E" w:rsidRPr="004C6D49" w:rsidRDefault="0096696E" w:rsidP="001A5BF9">
            <w:pPr>
              <w:spacing w:before="80"/>
              <w:jc w:val="center"/>
              <w:rPr>
                <w:sz w:val="14"/>
                <w:szCs w:val="14"/>
                <w:lang w:bidi="th-TH"/>
              </w:rPr>
            </w:pPr>
            <w:r w:rsidRPr="004C6D49">
              <w:rPr>
                <w:sz w:val="14"/>
              </w:rPr>
              <w:t>Programme 20</w:t>
            </w:r>
          </w:p>
        </w:tc>
        <w:tc>
          <w:tcPr>
            <w:tcW w:w="0" w:type="auto"/>
          </w:tcPr>
          <w:p w:rsidR="0096696E" w:rsidRPr="005C7CCE" w:rsidRDefault="0096696E" w:rsidP="001A5BF9">
            <w:pPr>
              <w:spacing w:before="20"/>
              <w:ind w:left="62" w:hanging="14"/>
              <w:jc w:val="center"/>
              <w:rPr>
                <w:szCs w:val="22"/>
                <w:lang w:bidi="th-TH"/>
              </w:rPr>
            </w:pPr>
            <w:r w:rsidRPr="005C7CCE">
              <w:rPr>
                <w:color w:val="FF0000"/>
              </w:rPr>
              <w:sym w:font="Wingdings" w:char="F06C"/>
            </w:r>
          </w:p>
        </w:tc>
      </w:tr>
    </w:tbl>
    <w:p w:rsidR="00D42474" w:rsidRDefault="0096696E" w:rsidP="001A5BF9">
      <w:pPr>
        <w:rPr>
          <w:rFonts w:ascii="Arial Bold" w:hAnsi="Arial Bold"/>
          <w:b/>
          <w:bCs/>
        </w:rPr>
      </w:pPr>
      <w:r w:rsidRPr="005C7CCE">
        <w:br w:type="page"/>
      </w:r>
    </w:p>
    <w:p w:rsidR="00D42474" w:rsidRDefault="0096696E" w:rsidP="001A5BF9">
      <w:pPr>
        <w:pStyle w:val="Heading3"/>
        <w:rPr>
          <w:rFonts w:ascii="Arial" w:hAnsi="Arial" w:cs="Arial"/>
          <w:szCs w:val="22"/>
        </w:rPr>
      </w:pPr>
      <w:bookmarkStart w:id="20" w:name="_Toc395082473"/>
      <w:r w:rsidRPr="004C6D49">
        <w:rPr>
          <w:rFonts w:ascii="Arial" w:hAnsi="Arial"/>
          <w:szCs w:val="22"/>
        </w:rPr>
        <w:t>Programme 8</w:t>
      </w:r>
      <w:r w:rsidRPr="004C6D49">
        <w:rPr>
          <w:rFonts w:ascii="Arial" w:hAnsi="Arial"/>
          <w:szCs w:val="22"/>
        </w:rPr>
        <w:tab/>
        <w:t>Coordination du Plan d</w:t>
      </w:r>
      <w:r w:rsidR="00A20444" w:rsidRPr="004C6D49">
        <w:rPr>
          <w:rFonts w:ascii="Arial" w:hAnsi="Arial"/>
          <w:szCs w:val="22"/>
        </w:rPr>
        <w:t>’</w:t>
      </w:r>
      <w:r w:rsidRPr="004C6D49">
        <w:rPr>
          <w:rFonts w:ascii="Arial" w:hAnsi="Arial"/>
          <w:szCs w:val="22"/>
        </w:rPr>
        <w:t>action pour le développement</w:t>
      </w:r>
      <w:bookmarkEnd w:id="20"/>
    </w:p>
    <w:p w:rsidR="00D42474" w:rsidRDefault="00D42474" w:rsidP="001A5BF9">
      <w:pPr>
        <w:ind w:left="2268" w:hanging="2268"/>
        <w:rPr>
          <w:rFonts w:cs="Arial"/>
          <w:b/>
          <w:sz w:val="22"/>
          <w:szCs w:val="22"/>
        </w:rPr>
      </w:pPr>
    </w:p>
    <w:p w:rsidR="00D42474" w:rsidRDefault="0096696E" w:rsidP="001A5BF9">
      <w:pPr>
        <w:ind w:left="2268" w:hanging="2268"/>
        <w:rPr>
          <w:rFonts w:cs="Arial"/>
          <w:b/>
          <w:sz w:val="22"/>
          <w:szCs w:val="22"/>
        </w:rPr>
      </w:pPr>
      <w:r w:rsidRPr="004C6D49">
        <w:rPr>
          <w:b/>
          <w:sz w:val="22"/>
          <w:szCs w:val="22"/>
        </w:rPr>
        <w:t>Chef de programme</w:t>
      </w:r>
      <w:r w:rsidRPr="004C6D49">
        <w:rPr>
          <w:b/>
          <w:sz w:val="22"/>
          <w:szCs w:val="22"/>
        </w:rPr>
        <w:tab/>
      </w:r>
      <w:r w:rsidRPr="004C6D49">
        <w:rPr>
          <w:b/>
          <w:sz w:val="22"/>
          <w:szCs w:val="22"/>
        </w:rPr>
        <w:tab/>
        <w:t>M.</w:t>
      </w:r>
      <w:r w:rsidR="0010442A" w:rsidRPr="004C6D49">
        <w:rPr>
          <w:b/>
          <w:sz w:val="22"/>
          <w:szCs w:val="22"/>
        </w:rPr>
        <w:t> </w:t>
      </w:r>
      <w:r w:rsidRPr="004C6D49">
        <w:rPr>
          <w:b/>
          <w:sz w:val="22"/>
          <w:szCs w:val="22"/>
        </w:rPr>
        <w:t>G.</w:t>
      </w:r>
      <w:r w:rsidR="0010442A" w:rsidRPr="004C6D49">
        <w:rPr>
          <w:b/>
          <w:sz w:val="22"/>
          <w:szCs w:val="22"/>
        </w:rPr>
        <w:t> </w:t>
      </w:r>
      <w:proofErr w:type="spellStart"/>
      <w:r w:rsidRPr="004C6D49">
        <w:rPr>
          <w:b/>
          <w:sz w:val="22"/>
          <w:szCs w:val="22"/>
        </w:rPr>
        <w:t>Onyeama</w:t>
      </w:r>
      <w:proofErr w:type="spellEnd"/>
    </w:p>
    <w:p w:rsidR="00D42474" w:rsidRDefault="00D42474" w:rsidP="001A5BF9">
      <w:pPr>
        <w:ind w:left="2268" w:hanging="2268"/>
        <w:rPr>
          <w:rFonts w:cs="Arial"/>
          <w:sz w:val="22"/>
          <w:szCs w:val="22"/>
        </w:rPr>
      </w:pPr>
    </w:p>
    <w:p w:rsidR="00D42474" w:rsidRDefault="00D42474" w:rsidP="001A5BF9">
      <w:pPr>
        <w:ind w:left="2268" w:hanging="2268"/>
        <w:rPr>
          <w:rFonts w:cs="Arial"/>
          <w:sz w:val="22"/>
          <w:szCs w:val="22"/>
        </w:rPr>
      </w:pPr>
    </w:p>
    <w:p w:rsidR="00D42474" w:rsidRDefault="0096696E" w:rsidP="001A5BF9">
      <w:pPr>
        <w:ind w:left="2268" w:hanging="2268"/>
        <w:rPr>
          <w:rFonts w:cs="Arial"/>
          <w:sz w:val="22"/>
          <w:szCs w:val="22"/>
        </w:rPr>
      </w:pPr>
      <w:r w:rsidRPr="004C6D49">
        <w:rPr>
          <w:sz w:val="22"/>
          <w:szCs w:val="22"/>
        </w:rPr>
        <w:t>RÉALISATIONS EN 2012</w:t>
      </w:r>
      <w:r w:rsidR="002D6F2A" w:rsidRPr="004C6D49">
        <w:rPr>
          <w:sz w:val="22"/>
          <w:szCs w:val="22"/>
        </w:rPr>
        <w:noBreakHyphen/>
      </w:r>
      <w:r w:rsidRPr="004C6D49">
        <w:rPr>
          <w:sz w:val="22"/>
          <w:szCs w:val="22"/>
        </w:rPr>
        <w:t>2013</w:t>
      </w:r>
    </w:p>
    <w:p w:rsidR="00D42474" w:rsidRDefault="00D42474" w:rsidP="001A5BF9">
      <w:pPr>
        <w:ind w:left="2268" w:hanging="2268"/>
        <w:jc w:val="both"/>
        <w:rPr>
          <w:sz w:val="22"/>
          <w:szCs w:val="22"/>
        </w:rPr>
      </w:pPr>
    </w:p>
    <w:p w:rsidR="00D42474" w:rsidRDefault="0096696E" w:rsidP="001A5BF9">
      <w:pPr>
        <w:tabs>
          <w:tab w:val="left" w:pos="709"/>
        </w:tabs>
        <w:jc w:val="both"/>
        <w:rPr>
          <w:bCs/>
          <w:szCs w:val="20"/>
        </w:rPr>
      </w:pPr>
      <w:r w:rsidRPr="004C6D49">
        <w:t>8.1.</w:t>
      </w:r>
      <w:r w:rsidRPr="004C6D49">
        <w:tab/>
        <w:t>Le programme a continué de coordonner la mise en œuvre du Plan d</w:t>
      </w:r>
      <w:r w:rsidR="00A20444" w:rsidRPr="004C6D49">
        <w:t>’</w:t>
      </w:r>
      <w:r w:rsidRPr="004C6D49">
        <w:t>action pour le développement de l</w:t>
      </w:r>
      <w:r w:rsidR="00A20444" w:rsidRPr="004C6D49">
        <w:t>’</w:t>
      </w:r>
      <w:r w:rsidRPr="004C6D49">
        <w:t>OMPI, notamment par le biais d</w:t>
      </w:r>
      <w:r w:rsidR="00A20444" w:rsidRPr="004C6D49">
        <w:t>’</w:t>
      </w:r>
      <w:r w:rsidRPr="004C6D49">
        <w:t>une mise en œuvre axée sur le projet des recommandations du Plan d</w:t>
      </w:r>
      <w:r w:rsidR="00A20444" w:rsidRPr="004C6D49">
        <w:t>’</w:t>
      </w:r>
      <w:r w:rsidRPr="004C6D49">
        <w:t>action pour le développement, et d</w:t>
      </w:r>
      <w:r w:rsidR="00A20444" w:rsidRPr="004C6D49">
        <w:t>’</w:t>
      </w:r>
      <w:r w:rsidRPr="004C6D49">
        <w:t>une intégration effective des principes du Plan d</w:t>
      </w:r>
      <w:r w:rsidR="00A20444" w:rsidRPr="004C6D49">
        <w:t>’</w:t>
      </w:r>
      <w:r w:rsidRPr="004C6D49">
        <w:t>action pour le développement dans les activités de l</w:t>
      </w:r>
      <w:r w:rsidR="00A20444" w:rsidRPr="004C6D49">
        <w:t>’</w:t>
      </w:r>
      <w:r w:rsidRPr="004C6D49">
        <w:t xml:space="preserve">organisation. </w:t>
      </w:r>
      <w:r w:rsidR="0010442A" w:rsidRPr="004C6D49">
        <w:t xml:space="preserve"> </w:t>
      </w:r>
      <w:r w:rsidRPr="004C6D49">
        <w:t>En outre, plusieurs activités ont été entreprises dans le cadre du programme pour aider les États membres à tirer parti de la mise en œuvre du Plan d</w:t>
      </w:r>
      <w:r w:rsidR="00A20444" w:rsidRPr="004C6D49">
        <w:t>’</w:t>
      </w:r>
      <w:r w:rsidRPr="004C6D49">
        <w:t xml:space="preserve">action pour le développement. </w:t>
      </w:r>
      <w:r w:rsidR="0010442A" w:rsidRPr="004C6D49">
        <w:t xml:space="preserve"> </w:t>
      </w:r>
      <w:r w:rsidRPr="004C6D49">
        <w:t>Parmi celles</w:t>
      </w:r>
      <w:r w:rsidR="002D6F2A" w:rsidRPr="004C6D49">
        <w:noBreakHyphen/>
      </w:r>
      <w:r w:rsidRPr="004C6D49">
        <w:t>ci, à titre d</w:t>
      </w:r>
      <w:r w:rsidR="00A20444" w:rsidRPr="004C6D49">
        <w:t>’</w:t>
      </w:r>
      <w:r w:rsidRPr="004C6D49">
        <w:t>activité principale, le programme a facilité les travaux du Comité du développement et de la propriété intellectuelle (CDIP) lors de quatre sessions de ce dernier qui se sont tenues en 2012</w:t>
      </w:r>
      <w:r w:rsidR="002D6F2A" w:rsidRPr="004C6D49">
        <w:noBreakHyphen/>
      </w:r>
      <w:r w:rsidRPr="004C6D49">
        <w:t>2013.</w:t>
      </w:r>
    </w:p>
    <w:p w:rsidR="00D42474" w:rsidRDefault="00D42474" w:rsidP="001A5BF9">
      <w:pPr>
        <w:tabs>
          <w:tab w:val="left" w:pos="709"/>
        </w:tabs>
        <w:jc w:val="both"/>
        <w:rPr>
          <w:bCs/>
          <w:szCs w:val="20"/>
        </w:rPr>
      </w:pPr>
    </w:p>
    <w:p w:rsidR="00D42474" w:rsidRDefault="0096696E" w:rsidP="001A5BF9">
      <w:pPr>
        <w:tabs>
          <w:tab w:val="left" w:pos="709"/>
        </w:tabs>
        <w:jc w:val="both"/>
      </w:pPr>
      <w:r w:rsidRPr="004C6D49">
        <w:t>8.2.</w:t>
      </w:r>
      <w:r w:rsidRPr="004C6D49">
        <w:tab/>
        <w:t>Des progrès majeurs ont été accomplis dans la mise en œuvre du Plan d</w:t>
      </w:r>
      <w:r w:rsidR="00A20444" w:rsidRPr="004C6D49">
        <w:t>’</w:t>
      </w:r>
      <w:r w:rsidRPr="004C6D49">
        <w:t>action pour le développement au cours de l</w:t>
      </w:r>
      <w:r w:rsidR="00A20444" w:rsidRPr="004C6D49">
        <w:t>’</w:t>
      </w:r>
      <w:r w:rsidRPr="004C6D49">
        <w:t>exercice biennal 2012</w:t>
      </w:r>
      <w:r w:rsidR="002D6F2A" w:rsidRPr="004C6D49">
        <w:noBreakHyphen/>
      </w:r>
      <w:r w:rsidRPr="004C6D49">
        <w:t xml:space="preserve">2013. </w:t>
      </w:r>
      <w:r w:rsidR="0010442A" w:rsidRPr="004C6D49">
        <w:t xml:space="preserve"> </w:t>
      </w:r>
      <w:r w:rsidRPr="004C6D49">
        <w:t>Le CDIP a approuvé deux nouveaux projets proposés par le Burkina Faso et la République de Corée, examiné deux rapports annuels du Directeur général sur la mise en œuvre du Plan d</w:t>
      </w:r>
      <w:r w:rsidR="00A20444" w:rsidRPr="004C6D49">
        <w:t>’</w:t>
      </w:r>
      <w:r w:rsidRPr="004C6D49">
        <w:t>action pour le développement, deux rapports annuels sur l</w:t>
      </w:r>
      <w:r w:rsidR="00A20444" w:rsidRPr="004C6D49">
        <w:t>’</w:t>
      </w:r>
      <w:r w:rsidRPr="004C6D49">
        <w:t>état d</w:t>
      </w:r>
      <w:r w:rsidR="00A20444" w:rsidRPr="004C6D49">
        <w:t>’</w:t>
      </w:r>
      <w:r w:rsidRPr="004C6D49">
        <w:t>avancement de la mise en œuvre des recommandations pour application immédiate et des projets du Plan d</w:t>
      </w:r>
      <w:r w:rsidR="00A20444" w:rsidRPr="004C6D49">
        <w:t>’</w:t>
      </w:r>
      <w:r w:rsidRPr="004C6D49">
        <w:t xml:space="preserve">action pour le développement, ainsi que </w:t>
      </w:r>
      <w:r w:rsidR="0010442A" w:rsidRPr="004C6D49">
        <w:t>14</w:t>
      </w:r>
      <w:r w:rsidRPr="004C6D49">
        <w:t> rapports d</w:t>
      </w:r>
      <w:r w:rsidR="00A20444" w:rsidRPr="004C6D49">
        <w:t>’</w:t>
      </w:r>
      <w:r w:rsidRPr="004C6D49">
        <w:t xml:space="preserve">évaluation de projet. </w:t>
      </w:r>
      <w:r w:rsidR="0010442A" w:rsidRPr="004C6D49">
        <w:t xml:space="preserve"> </w:t>
      </w:r>
      <w:r w:rsidRPr="004C6D49">
        <w:t xml:space="preserve">En outre, le </w:t>
      </w:r>
      <w:r w:rsidR="00083EF7" w:rsidRPr="004C6D49">
        <w:t>comité</w:t>
      </w:r>
      <w:r w:rsidRPr="004C6D49">
        <w:t xml:space="preserve"> a approuvé les deuxièmes phases de quatre</w:t>
      </w:r>
      <w:r w:rsidR="0010442A" w:rsidRPr="004C6D49">
        <w:t> </w:t>
      </w:r>
      <w:r w:rsidRPr="004C6D49">
        <w:t>projets terminés et évalués.</w:t>
      </w:r>
      <w:r w:rsidR="0010442A" w:rsidRPr="004C6D49">
        <w:t xml:space="preserve"> </w:t>
      </w:r>
      <w:r w:rsidR="004F3E42" w:rsidRPr="004C6D49">
        <w:t xml:space="preserve"> </w:t>
      </w:r>
      <w:r w:rsidRPr="004C6D49">
        <w:t>Le comité a débattu de deux documents transmis par l</w:t>
      </w:r>
      <w:r w:rsidR="00A20444" w:rsidRPr="004C6D49">
        <w:t>’</w:t>
      </w:r>
      <w:r w:rsidRPr="004C6D49">
        <w:t xml:space="preserve">Assemblée générale, </w:t>
      </w:r>
      <w:r w:rsidR="00A20444" w:rsidRPr="004C6D49">
        <w:t>à savoir</w:t>
      </w:r>
      <w:r w:rsidRPr="004C6D49">
        <w:t xml:space="preserve"> la description de la contribution des organes compétents de l</w:t>
      </w:r>
      <w:r w:rsidR="00A20444" w:rsidRPr="004C6D49">
        <w:t>’</w:t>
      </w:r>
      <w:r w:rsidRPr="004C6D49">
        <w:t>OMPI à la mise en œuvre des recommandations respectives du Plan d</w:t>
      </w:r>
      <w:r w:rsidR="00A20444" w:rsidRPr="004C6D49">
        <w:t>’</w:t>
      </w:r>
      <w:r w:rsidRPr="004C6D49">
        <w:t xml:space="preserve">action pour le développement et une décision sur les questions relatives au CDIP. </w:t>
      </w:r>
      <w:r w:rsidR="0010442A" w:rsidRPr="004C6D49">
        <w:t xml:space="preserve"> </w:t>
      </w:r>
      <w:r w:rsidRPr="004C6D49">
        <w:t>Le comité a également examiné un rapport concernant l</w:t>
      </w:r>
      <w:r w:rsidR="00A20444" w:rsidRPr="004C6D49">
        <w:t>’</w:t>
      </w:r>
      <w:r w:rsidRPr="004C6D49">
        <w:t>évaluation de la contribution de l</w:t>
      </w:r>
      <w:r w:rsidR="00A20444" w:rsidRPr="004C6D49">
        <w:t>’</w:t>
      </w:r>
      <w:r w:rsidRPr="004C6D49">
        <w:t xml:space="preserve">OMPI à la réalisation des </w:t>
      </w:r>
      <w:r w:rsidR="0010442A" w:rsidRPr="004C6D49">
        <w:t>objectifs</w:t>
      </w:r>
      <w:r w:rsidRPr="004C6D49">
        <w:t xml:space="preserve"> du Millénaire pour le développement (</w:t>
      </w:r>
      <w:proofErr w:type="spellStart"/>
      <w:r w:rsidRPr="004C6D49">
        <w:t>OMD</w:t>
      </w:r>
      <w:proofErr w:type="spellEnd"/>
      <w:r w:rsidRPr="004C6D49">
        <w:t>) et a pris note : i) de l</w:t>
      </w:r>
      <w:r w:rsidR="00A20444" w:rsidRPr="004C6D49">
        <w:t>’</w:t>
      </w:r>
      <w:r w:rsidRPr="004C6D49">
        <w:t xml:space="preserve">étude sur la </w:t>
      </w:r>
      <w:r w:rsidR="00D33EAF" w:rsidRPr="004C6D49">
        <w:t>f</w:t>
      </w:r>
      <w:r w:rsidRPr="004C6D49">
        <w:t xml:space="preserve">aisabilité de la prise en considération des besoins et résultats visés dans les </w:t>
      </w:r>
      <w:r w:rsidR="0010442A" w:rsidRPr="004C6D49">
        <w:t>objectifs</w:t>
      </w:r>
      <w:r w:rsidRPr="004C6D49">
        <w:t xml:space="preserve"> du Millénaire pour le développement dans le tableau des résultats de l</w:t>
      </w:r>
      <w:r w:rsidR="00A20444" w:rsidRPr="004C6D49">
        <w:t>’</w:t>
      </w:r>
      <w:r w:rsidRPr="004C6D49">
        <w:t>exercice biennal de l</w:t>
      </w:r>
      <w:r w:rsidR="00A20444" w:rsidRPr="004C6D49">
        <w:t>’</w:t>
      </w:r>
      <w:r w:rsidRPr="004C6D49">
        <w:t>OMPI;</w:t>
      </w:r>
      <w:r w:rsidR="004F3E42" w:rsidRPr="004C6D49">
        <w:t xml:space="preserve"> </w:t>
      </w:r>
      <w:r w:rsidR="0010442A" w:rsidRPr="004C6D49">
        <w:t xml:space="preserve"> </w:t>
      </w:r>
      <w:r w:rsidRPr="004C6D49">
        <w:t>et</w:t>
      </w:r>
      <w:r w:rsidR="00667FB3" w:rsidRPr="004C6D49">
        <w:t> </w:t>
      </w:r>
      <w:r w:rsidRPr="004C6D49">
        <w:t>ii) d</w:t>
      </w:r>
      <w:r w:rsidR="00A20444" w:rsidRPr="004C6D49">
        <w:t>’</w:t>
      </w:r>
      <w:r w:rsidRPr="004C6D49">
        <w:t>un document sur l</w:t>
      </w:r>
      <w:r w:rsidR="00A20444" w:rsidRPr="004C6D49">
        <w:t>’</w:t>
      </w:r>
      <w:r w:rsidRPr="004C6D49">
        <w:t>évaluation des </w:t>
      </w:r>
      <w:proofErr w:type="spellStart"/>
      <w:r w:rsidRPr="004C6D49">
        <w:t>OMD</w:t>
      </w:r>
      <w:proofErr w:type="spellEnd"/>
      <w:r w:rsidRPr="004C6D49">
        <w:t xml:space="preserve"> au sein d</w:t>
      </w:r>
      <w:r w:rsidR="00A20444" w:rsidRPr="004C6D49">
        <w:t>’</w:t>
      </w:r>
      <w:r w:rsidRPr="004C6D49">
        <w:t xml:space="preserve">autres institutions spécialisées des </w:t>
      </w:r>
      <w:r w:rsidR="00A20444" w:rsidRPr="004C6D49">
        <w:t>Nations Unies</w:t>
      </w:r>
      <w:r w:rsidRPr="004C6D49">
        <w:t xml:space="preserve"> ainsi que de la contribution de l</w:t>
      </w:r>
      <w:r w:rsidR="00A20444" w:rsidRPr="004C6D49">
        <w:t>’</w:t>
      </w:r>
      <w:r w:rsidRPr="004C6D49">
        <w:t xml:space="preserve">OMPI aux </w:t>
      </w:r>
      <w:r w:rsidR="0010442A" w:rsidRPr="004C6D49">
        <w:t>objectifs</w:t>
      </w:r>
      <w:r w:rsidRPr="004C6D49">
        <w:t xml:space="preserve"> du Millénaire pour le développement.</w:t>
      </w:r>
      <w:r w:rsidR="0010442A" w:rsidRPr="004C6D49">
        <w:t xml:space="preserve"> </w:t>
      </w:r>
      <w:r w:rsidRPr="004C6D49">
        <w:t xml:space="preserve"> De plus, le comité a examiné l</w:t>
      </w:r>
      <w:r w:rsidR="00A20444" w:rsidRPr="004C6D49">
        <w:t>’</w:t>
      </w:r>
      <w:r w:rsidRPr="004C6D49">
        <w:t>Étude de faisabilité concernant de nouvelles activités pouvant être menées par l</w:t>
      </w:r>
      <w:r w:rsidR="00A20444" w:rsidRPr="004C6D49">
        <w:t>’</w:t>
      </w:r>
      <w:r w:rsidRPr="004C6D49">
        <w:t>OMPI dans le domaine de l</w:t>
      </w:r>
      <w:r w:rsidR="00A20444" w:rsidRPr="004C6D49">
        <w:t>’</w:t>
      </w:r>
      <w:r w:rsidRPr="004C6D49">
        <w:t>utilisation du droit d</w:t>
      </w:r>
      <w:r w:rsidR="00A20444" w:rsidRPr="004C6D49">
        <w:t>’</w:t>
      </w:r>
      <w:r w:rsidRPr="004C6D49">
        <w:t>auteur pour promouvoir l</w:t>
      </w:r>
      <w:r w:rsidR="00A20444" w:rsidRPr="004C6D49">
        <w:t>’</w:t>
      </w:r>
      <w:r w:rsidRPr="004C6D49">
        <w:t>accès à l</w:t>
      </w:r>
      <w:r w:rsidR="00A20444" w:rsidRPr="004C6D49">
        <w:t>’</w:t>
      </w:r>
      <w:r w:rsidRPr="004C6D49">
        <w:t>information et aux contenus créatifs et examiné une proposition de mise en œuvre de ces nouvelles activités pouvant être menées par l</w:t>
      </w:r>
      <w:r w:rsidR="00A20444" w:rsidRPr="004C6D49">
        <w:t>’</w:t>
      </w:r>
      <w:r w:rsidRPr="004C6D49">
        <w:t xml:space="preserve">OMPI. </w:t>
      </w:r>
      <w:r w:rsidR="0010442A" w:rsidRPr="004C6D49">
        <w:t xml:space="preserve"> </w:t>
      </w:r>
      <w:r w:rsidRPr="004C6D49">
        <w:t>Le comité a examiné deux</w:t>
      </w:r>
      <w:r w:rsidR="0010442A" w:rsidRPr="004C6D49">
        <w:t> </w:t>
      </w:r>
      <w:r w:rsidRPr="004C6D49">
        <w:t xml:space="preserve">documents sur les éléments de flexibilité relatifs aux brevets dans le cadre juridique multilatéral et la mise en œuvre législative aux niveaux national et régional, et approuvé en partie un futur programme de travail sur les éléments de flexibilité du système de la propriété intellectuelle. </w:t>
      </w:r>
      <w:r w:rsidR="0010442A" w:rsidRPr="004C6D49">
        <w:t xml:space="preserve"> </w:t>
      </w:r>
      <w:r w:rsidRPr="004C6D49">
        <w:t>Le comité a poursuivi l</w:t>
      </w:r>
      <w:r w:rsidR="00A20444" w:rsidRPr="004C6D49">
        <w:t>’</w:t>
      </w:r>
      <w:r w:rsidRPr="004C6D49">
        <w:t>examen de l</w:t>
      </w:r>
      <w:r w:rsidR="00A20444" w:rsidRPr="004C6D49">
        <w:t>’</w:t>
      </w:r>
      <w:r w:rsidRPr="004C6D49">
        <w:t>Étude extérieure sur l</w:t>
      </w:r>
      <w:r w:rsidR="00A20444" w:rsidRPr="004C6D49">
        <w:t>’</w:t>
      </w:r>
      <w:r w:rsidRPr="004C6D49">
        <w:t>assistance technique fournie par l</w:t>
      </w:r>
      <w:r w:rsidR="00A20444" w:rsidRPr="004C6D49">
        <w:t>’</w:t>
      </w:r>
      <w:r w:rsidRPr="004C6D49">
        <w:t>OMPI dans le domaine de la coopération pour le développement, tandis qu</w:t>
      </w:r>
      <w:r w:rsidR="00A20444" w:rsidRPr="004C6D49">
        <w:t>’</w:t>
      </w:r>
      <w:r w:rsidRPr="004C6D49">
        <w:t>il débattait de la réponse de la direction à l</w:t>
      </w:r>
      <w:r w:rsidR="00A20444" w:rsidRPr="004C6D49">
        <w:t>’</w:t>
      </w:r>
      <w:r w:rsidRPr="004C6D49">
        <w:t>examen et la proposition commune du groupe du Plan d</w:t>
      </w:r>
      <w:r w:rsidR="00A20444" w:rsidRPr="004C6D49">
        <w:t>’</w:t>
      </w:r>
      <w:r w:rsidRPr="004C6D49">
        <w:t xml:space="preserve">action pour le développement et du groupe des pays africains. </w:t>
      </w:r>
      <w:r w:rsidR="0010442A" w:rsidRPr="004C6D49">
        <w:t xml:space="preserve"> </w:t>
      </w:r>
      <w:r w:rsidRPr="004C6D49">
        <w:t>Par ailleurs, s</w:t>
      </w:r>
      <w:r w:rsidR="00A20444" w:rsidRPr="004C6D49">
        <w:t>’</w:t>
      </w:r>
      <w:r w:rsidRPr="004C6D49">
        <w:t>agissant de cette question, le CDIP a pris note d</w:t>
      </w:r>
      <w:r w:rsidR="00A20444" w:rsidRPr="004C6D49">
        <w:t>’</w:t>
      </w:r>
      <w:r w:rsidRPr="004C6D49">
        <w:t>un Manuel de l</w:t>
      </w:r>
      <w:r w:rsidR="00A20444" w:rsidRPr="004C6D49">
        <w:t>’</w:t>
      </w:r>
      <w:r w:rsidRPr="004C6D49">
        <w:t>assistance technique fournie par l</w:t>
      </w:r>
      <w:r w:rsidR="00A20444" w:rsidRPr="004C6D49">
        <w:t>’</w:t>
      </w:r>
      <w:r w:rsidRPr="004C6D49">
        <w:t>OMPI et de présentations sur la réorganisation de la base de données sur l</w:t>
      </w:r>
      <w:r w:rsidR="00A20444" w:rsidRPr="004C6D49">
        <w:t>’</w:t>
      </w:r>
      <w:r w:rsidRPr="004C6D49">
        <w:t>assistance technique de l</w:t>
      </w:r>
      <w:r w:rsidR="00A20444" w:rsidRPr="004C6D49">
        <w:t>’</w:t>
      </w:r>
      <w:r w:rsidRPr="004C6D49">
        <w:t>OMPI (</w:t>
      </w:r>
      <w:proofErr w:type="spellStart"/>
      <w:r w:rsidRPr="004C6D49">
        <w:t>TAD</w:t>
      </w:r>
      <w:proofErr w:type="spellEnd"/>
      <w:r w:rsidRPr="004C6D49">
        <w:t xml:space="preserve">). </w:t>
      </w:r>
      <w:r w:rsidR="0010442A" w:rsidRPr="004C6D49">
        <w:t xml:space="preserve"> </w:t>
      </w:r>
      <w:r w:rsidRPr="004C6D49">
        <w:t>Comme requis au titre du mécanisme de coordination et des modalités de suivi, d</w:t>
      </w:r>
      <w:r w:rsidR="00A20444" w:rsidRPr="004C6D49">
        <w:t>’</w:t>
      </w:r>
      <w:r w:rsidRPr="004C6D49">
        <w:t>évaluation et de reddition de comptes, le comité a entamé des délibérations sur l</w:t>
      </w:r>
      <w:r w:rsidR="00A20444" w:rsidRPr="004C6D49">
        <w:t>’</w:t>
      </w:r>
      <w:r w:rsidRPr="004C6D49">
        <w:t>examen indépendant de la mise en œuvre des recommandations du Plan d</w:t>
      </w:r>
      <w:r w:rsidR="00A20444" w:rsidRPr="004C6D49">
        <w:t>’</w:t>
      </w:r>
      <w:r w:rsidRPr="004C6D49">
        <w:t xml:space="preserve">action pour le développement. </w:t>
      </w:r>
      <w:r w:rsidR="0010442A" w:rsidRPr="004C6D49">
        <w:t xml:space="preserve"> </w:t>
      </w:r>
      <w:r w:rsidRPr="004C6D49">
        <w:t>En ce qui concerne les résultats des projets du Plan d</w:t>
      </w:r>
      <w:r w:rsidR="00A20444" w:rsidRPr="004C6D49">
        <w:t>’</w:t>
      </w:r>
      <w:r w:rsidRPr="004C6D49">
        <w:t xml:space="preserve">action pour le développement, le comité a débattu et pris note de </w:t>
      </w:r>
      <w:r w:rsidR="0010442A" w:rsidRPr="004C6D49">
        <w:t>14</w:t>
      </w:r>
      <w:r w:rsidRPr="004C6D49">
        <w:t> études entreprises dans le cadre de projets sur la propriété intellectuelle et le domaine public, les brevets et le domaine public, la propriété intellectuelle et la politique de concurrence, les techniques de l</w:t>
      </w:r>
      <w:r w:rsidR="00A20444" w:rsidRPr="004C6D49">
        <w:t>’</w:t>
      </w:r>
      <w:r w:rsidRPr="004C6D49">
        <w:t>information et de la communication (TIC), la fracture numérique et l</w:t>
      </w:r>
      <w:r w:rsidR="00A20444" w:rsidRPr="004C6D49">
        <w:t>’</w:t>
      </w:r>
      <w:r w:rsidRPr="004C6D49">
        <w:t xml:space="preserve">accès au savoir, la propriété intellectuelle et le développement </w:t>
      </w:r>
      <w:r w:rsidR="00A20444" w:rsidRPr="004C6D49">
        <w:t>socioéconomique</w:t>
      </w:r>
      <w:r w:rsidRPr="004C6D49">
        <w:t xml:space="preserve">, la propriété intellectuelle et la fuite des cerveaux, ainsi que du projet de renforcement et de développement du secteur audiovisuel au Burkina Faso et dans plusieurs pays africains. </w:t>
      </w:r>
      <w:r w:rsidR="0010442A" w:rsidRPr="004C6D49">
        <w:t xml:space="preserve"> </w:t>
      </w:r>
      <w:r w:rsidRPr="004C6D49">
        <w:t>À la fin de l</w:t>
      </w:r>
      <w:r w:rsidR="00A20444" w:rsidRPr="004C6D49">
        <w:t>’</w:t>
      </w:r>
      <w:r w:rsidRPr="004C6D49">
        <w:t>exercice biennal, 72 observateurs avaient participé au</w:t>
      </w:r>
      <w:r w:rsidR="00D33EAF" w:rsidRPr="004C6D49">
        <w:t xml:space="preserve">x </w:t>
      </w:r>
      <w:r w:rsidRPr="004C6D49">
        <w:t>travaux du comité.</w:t>
      </w:r>
    </w:p>
    <w:p w:rsidR="00D42474" w:rsidRDefault="00D42474" w:rsidP="001A5BF9">
      <w:pPr>
        <w:tabs>
          <w:tab w:val="left" w:pos="709"/>
        </w:tabs>
        <w:jc w:val="both"/>
        <w:rPr>
          <w:bCs/>
          <w:szCs w:val="20"/>
        </w:rPr>
      </w:pPr>
    </w:p>
    <w:p w:rsidR="00D42474" w:rsidRDefault="0096696E" w:rsidP="001A5BF9">
      <w:pPr>
        <w:tabs>
          <w:tab w:val="left" w:pos="709"/>
        </w:tabs>
        <w:jc w:val="both"/>
      </w:pPr>
      <w:r w:rsidRPr="004C6D49">
        <w:t>8.3.</w:t>
      </w:r>
      <w:r w:rsidRPr="004C6D49">
        <w:tab/>
        <w:t>Le programme a continué de veiller à ce que les activités et les projets en rapport avec le Plan d</w:t>
      </w:r>
      <w:r w:rsidR="00A20444" w:rsidRPr="004C6D49">
        <w:t>’</w:t>
      </w:r>
      <w:r w:rsidRPr="004C6D49">
        <w:t>action pour le développement soient correctement réalisés, suivis et évalués, et à ce qu</w:t>
      </w:r>
      <w:r w:rsidR="00A20444" w:rsidRPr="004C6D49">
        <w:t>’</w:t>
      </w:r>
      <w:r w:rsidRPr="004C6D49">
        <w:t>ils fassent l</w:t>
      </w:r>
      <w:r w:rsidR="00A20444" w:rsidRPr="004C6D49">
        <w:t>’</w:t>
      </w:r>
      <w:r w:rsidRPr="004C6D49">
        <w:t xml:space="preserve">objet de rapports. </w:t>
      </w:r>
      <w:r w:rsidR="0010442A" w:rsidRPr="004C6D49">
        <w:t xml:space="preserve"> </w:t>
      </w:r>
      <w:r w:rsidRPr="004C6D49">
        <w:t>Cela comprenait des efforts visant à garantir une mise en œuvre efficace des 19 recommandations pour application immédiate.</w:t>
      </w:r>
    </w:p>
    <w:p w:rsidR="00D42474" w:rsidRDefault="00D42474" w:rsidP="001A5BF9">
      <w:pPr>
        <w:tabs>
          <w:tab w:val="left" w:pos="709"/>
        </w:tabs>
        <w:ind w:left="720" w:hanging="720"/>
        <w:jc w:val="both"/>
        <w:rPr>
          <w:bCs/>
          <w:szCs w:val="22"/>
        </w:rPr>
      </w:pPr>
    </w:p>
    <w:p w:rsidR="00D42474" w:rsidRDefault="0096696E" w:rsidP="00F3334C">
      <w:pPr>
        <w:keepNext/>
        <w:keepLines/>
        <w:tabs>
          <w:tab w:val="left" w:pos="709"/>
        </w:tabs>
        <w:ind w:left="2268" w:hanging="2268"/>
        <w:jc w:val="both"/>
      </w:pPr>
      <w:r w:rsidRPr="00761625">
        <w:rPr>
          <w:sz w:val="22"/>
        </w:rPr>
        <w:t>MISE EN ŒUVRE DU PLAN D</w:t>
      </w:r>
      <w:r w:rsidR="00A20444" w:rsidRPr="00761625">
        <w:rPr>
          <w:sz w:val="22"/>
        </w:rPr>
        <w:t>’</w:t>
      </w:r>
      <w:r w:rsidRPr="00761625">
        <w:rPr>
          <w:sz w:val="22"/>
        </w:rPr>
        <w:t>ACTION POUR LE DÉVELOPPEMENT</w:t>
      </w:r>
    </w:p>
    <w:p w:rsidR="00D42474" w:rsidRDefault="00D42474" w:rsidP="00F3334C">
      <w:pPr>
        <w:keepNext/>
        <w:keepLines/>
        <w:tabs>
          <w:tab w:val="left" w:pos="709"/>
        </w:tabs>
        <w:ind w:left="2268" w:hanging="2268"/>
        <w:jc w:val="both"/>
        <w:rPr>
          <w:szCs w:val="22"/>
        </w:rPr>
      </w:pPr>
    </w:p>
    <w:p w:rsidR="00D42474" w:rsidRDefault="0096696E" w:rsidP="00F3334C">
      <w:pPr>
        <w:keepNext/>
        <w:keepLines/>
        <w:tabs>
          <w:tab w:val="left" w:pos="709"/>
        </w:tabs>
        <w:autoSpaceDE w:val="0"/>
        <w:autoSpaceDN w:val="0"/>
        <w:adjustRightInd w:val="0"/>
        <w:jc w:val="both"/>
      </w:pPr>
      <w:r w:rsidRPr="004C6D49">
        <w:t>8.4.</w:t>
      </w:r>
      <w:r w:rsidRPr="004C6D49">
        <w:tab/>
        <w:t xml:space="preserve">Le programme 8 est responsable de la coordination de la mise en œuvre des </w:t>
      </w:r>
      <w:r w:rsidR="00BD43F2" w:rsidRPr="004C6D49">
        <w:t>45 </w:t>
      </w:r>
      <w:r w:rsidRPr="004C6D49">
        <w:t>recommandations du Plan d</w:t>
      </w:r>
      <w:r w:rsidR="00A20444" w:rsidRPr="004C6D49">
        <w:t>’</w:t>
      </w:r>
      <w:r w:rsidRPr="004C6D49">
        <w:t>action de l</w:t>
      </w:r>
      <w:r w:rsidR="00A20444" w:rsidRPr="004C6D49">
        <w:t>’</w:t>
      </w:r>
      <w:r w:rsidRPr="004C6D49">
        <w:t>OMPI pour le développement.</w:t>
      </w:r>
    </w:p>
    <w:p w:rsidR="00D42474" w:rsidRDefault="00D42474" w:rsidP="001A5BF9">
      <w:pPr>
        <w:ind w:left="2268" w:hanging="2268"/>
        <w:rPr>
          <w:rFonts w:eastAsia="MS Mincho"/>
          <w:szCs w:val="22"/>
          <w:lang w:bidi="th-TH"/>
        </w:rPr>
      </w:pPr>
    </w:p>
    <w:p w:rsidR="00D42474" w:rsidRDefault="00D42474" w:rsidP="001A5BF9">
      <w:pPr>
        <w:rPr>
          <w:rFonts w:cs="Arial"/>
          <w:szCs w:val="22"/>
        </w:rPr>
      </w:pPr>
    </w:p>
    <w:p w:rsidR="00D42474" w:rsidRDefault="0096696E" w:rsidP="001A5BF9">
      <w:pPr>
        <w:autoSpaceDE w:val="0"/>
        <w:autoSpaceDN w:val="0"/>
        <w:adjustRightInd w:val="0"/>
        <w:jc w:val="both"/>
        <w:rPr>
          <w:rFonts w:cs="Arial"/>
          <w:szCs w:val="22"/>
        </w:rPr>
      </w:pPr>
      <w:r w:rsidRPr="004C6D49">
        <w:rPr>
          <w:sz w:val="22"/>
        </w:rPr>
        <w:t>DONNÉES RELATIVES À L</w:t>
      </w:r>
      <w:r w:rsidR="00A20444" w:rsidRPr="004C6D49">
        <w:rPr>
          <w:sz w:val="22"/>
        </w:rPr>
        <w:t>’</w:t>
      </w:r>
      <w:r w:rsidRPr="004C6D49">
        <w:rPr>
          <w:sz w:val="22"/>
        </w:rPr>
        <w:t>EXÉCUTION</w:t>
      </w:r>
    </w:p>
    <w:p w:rsidR="0096696E" w:rsidRPr="004C6D49" w:rsidRDefault="0096696E" w:rsidP="001A5BF9">
      <w:pPr>
        <w:ind w:left="2268" w:hanging="2268"/>
        <w:rPr>
          <w:szCs w:val="22"/>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8"/>
        <w:gridCol w:w="1705"/>
        <w:gridCol w:w="88"/>
        <w:gridCol w:w="1619"/>
        <w:gridCol w:w="64"/>
        <w:gridCol w:w="2947"/>
        <w:gridCol w:w="28"/>
        <w:gridCol w:w="1278"/>
      </w:tblGrid>
      <w:tr w:rsidR="0033279F" w:rsidRPr="004C6D49" w:rsidTr="00BB3F3E">
        <w:trPr>
          <w:cantSplit/>
        </w:trPr>
        <w:tc>
          <w:tcPr>
            <w:tcW w:w="5000" w:type="pct"/>
            <w:gridSpan w:val="8"/>
            <w:tcBorders>
              <w:top w:val="single" w:sz="4" w:space="0" w:color="auto"/>
              <w:bottom w:val="single" w:sz="4" w:space="0" w:color="auto"/>
            </w:tcBorders>
            <w:shd w:val="clear" w:color="auto" w:fill="CCFFFF"/>
            <w:vAlign w:val="center"/>
          </w:tcPr>
          <w:p w:rsidR="0096696E" w:rsidRPr="004C6D49" w:rsidRDefault="0096696E" w:rsidP="00F3334C">
            <w:pPr>
              <w:keepNext/>
              <w:keepLines/>
              <w:spacing w:before="120" w:after="120"/>
              <w:ind w:left="1735" w:hanging="1735"/>
              <w:rPr>
                <w:rFonts w:cs="Arial"/>
                <w:b/>
                <w:bCs/>
                <w:sz w:val="16"/>
                <w:szCs w:val="16"/>
              </w:rPr>
            </w:pPr>
            <w:r w:rsidRPr="004C6D49">
              <w:rPr>
                <w:b/>
                <w:sz w:val="16"/>
              </w:rPr>
              <w:t>Résultat escompté</w:t>
            </w:r>
            <w:r w:rsidR="0010442A" w:rsidRPr="004C6D49">
              <w:rPr>
                <w:b/>
                <w:sz w:val="16"/>
              </w:rPr>
              <w:t xml:space="preserve"> : </w:t>
            </w:r>
            <w:r w:rsidRPr="004C6D49">
              <w:rPr>
                <w:b/>
                <w:sz w:val="16"/>
              </w:rPr>
              <w:tab/>
            </w:r>
            <w:r w:rsidRPr="004C6D49">
              <w:rPr>
                <w:sz w:val="16"/>
              </w:rPr>
              <w:t>Principes du Plan d</w:t>
            </w:r>
            <w:r w:rsidR="00A20444" w:rsidRPr="004C6D49">
              <w:rPr>
                <w:sz w:val="16"/>
              </w:rPr>
              <w:t>’</w:t>
            </w:r>
            <w:r w:rsidRPr="004C6D49">
              <w:rPr>
                <w:sz w:val="16"/>
              </w:rPr>
              <w:t>action pour le développement intégrés dans les programmes et activités de l</w:t>
            </w:r>
            <w:r w:rsidR="00A20444" w:rsidRPr="004C6D49">
              <w:rPr>
                <w:sz w:val="16"/>
              </w:rPr>
              <w:t>’</w:t>
            </w:r>
            <w:r w:rsidRPr="004C6D49">
              <w:rPr>
                <w:sz w:val="16"/>
              </w:rPr>
              <w:t>Organisation</w:t>
            </w:r>
          </w:p>
        </w:tc>
      </w:tr>
      <w:tr w:rsidR="0096696E" w:rsidRPr="00F3334C" w:rsidTr="0043129C">
        <w:trPr>
          <w:cantSplit/>
        </w:trPr>
        <w:tc>
          <w:tcPr>
            <w:tcW w:w="870" w:type="pct"/>
            <w:tcBorders>
              <w:top w:val="single" w:sz="4" w:space="0" w:color="auto"/>
            </w:tcBorders>
            <w:shd w:val="clear" w:color="auto" w:fill="auto"/>
            <w:vAlign w:val="center"/>
          </w:tcPr>
          <w:p w:rsidR="0096696E" w:rsidRPr="00F3334C" w:rsidRDefault="0096696E" w:rsidP="001A5BF9">
            <w:pPr>
              <w:rPr>
                <w:rFonts w:cs="Arial"/>
                <w:b/>
                <w:sz w:val="16"/>
                <w:szCs w:val="16"/>
              </w:rPr>
            </w:pPr>
            <w:r w:rsidRPr="00F3334C">
              <w:rPr>
                <w:b/>
                <w:sz w:val="16"/>
              </w:rPr>
              <w:t>Indicateurs d</w:t>
            </w:r>
            <w:r w:rsidR="00A20444" w:rsidRPr="00F3334C">
              <w:rPr>
                <w:b/>
                <w:sz w:val="16"/>
              </w:rPr>
              <w:t>’</w:t>
            </w:r>
            <w:r w:rsidRPr="00F3334C">
              <w:rPr>
                <w:b/>
                <w:sz w:val="16"/>
              </w:rPr>
              <w:t>exécution</w:t>
            </w:r>
          </w:p>
        </w:tc>
        <w:tc>
          <w:tcPr>
            <w:tcW w:w="911" w:type="pct"/>
            <w:tcBorders>
              <w:top w:val="single" w:sz="4" w:space="0" w:color="auto"/>
            </w:tcBorders>
            <w:shd w:val="clear" w:color="auto" w:fill="auto"/>
            <w:vAlign w:val="center"/>
          </w:tcPr>
          <w:p w:rsidR="0096696E" w:rsidRPr="00F3334C" w:rsidRDefault="0096696E" w:rsidP="001A5BF9">
            <w:pPr>
              <w:rPr>
                <w:rFonts w:cs="Arial"/>
                <w:b/>
                <w:bCs/>
                <w:sz w:val="16"/>
                <w:szCs w:val="16"/>
              </w:rPr>
            </w:pPr>
            <w:r w:rsidRPr="00F3334C">
              <w:rPr>
                <w:b/>
                <w:sz w:val="16"/>
              </w:rPr>
              <w:t>Niveaux de référence</w:t>
            </w:r>
          </w:p>
        </w:tc>
        <w:tc>
          <w:tcPr>
            <w:tcW w:w="946" w:type="pct"/>
            <w:gridSpan w:val="3"/>
            <w:tcBorders>
              <w:top w:val="single" w:sz="4" w:space="0" w:color="auto"/>
            </w:tcBorders>
            <w:shd w:val="clear" w:color="auto" w:fill="auto"/>
            <w:tcMar>
              <w:top w:w="110" w:type="dxa"/>
            </w:tcMar>
            <w:vAlign w:val="center"/>
          </w:tcPr>
          <w:p w:rsidR="0096696E" w:rsidRPr="00F3334C" w:rsidRDefault="0096696E" w:rsidP="001A5BF9">
            <w:pPr>
              <w:rPr>
                <w:rFonts w:cs="Arial"/>
                <w:b/>
                <w:sz w:val="16"/>
                <w:szCs w:val="16"/>
              </w:rPr>
            </w:pPr>
            <w:r w:rsidRPr="00F3334C">
              <w:rPr>
                <w:b/>
                <w:sz w:val="16"/>
              </w:rPr>
              <w:t>Objectifs visés</w:t>
            </w:r>
          </w:p>
        </w:tc>
        <w:tc>
          <w:tcPr>
            <w:tcW w:w="1590" w:type="pct"/>
            <w:gridSpan w:val="2"/>
            <w:tcBorders>
              <w:top w:val="single" w:sz="4" w:space="0" w:color="auto"/>
            </w:tcBorders>
            <w:shd w:val="clear" w:color="auto" w:fill="FFFFFF"/>
            <w:tcMar>
              <w:top w:w="110" w:type="dxa"/>
            </w:tcMar>
            <w:vAlign w:val="center"/>
          </w:tcPr>
          <w:p w:rsidR="0096696E" w:rsidRPr="00F3334C" w:rsidRDefault="0096696E" w:rsidP="001A5BF9">
            <w:pPr>
              <w:rPr>
                <w:rFonts w:cs="Arial"/>
                <w:b/>
                <w:sz w:val="16"/>
                <w:szCs w:val="16"/>
              </w:rPr>
            </w:pPr>
            <w:r w:rsidRPr="00F3334C">
              <w:rPr>
                <w:b/>
                <w:sz w:val="16"/>
              </w:rPr>
              <w:t>Données relatives à l</w:t>
            </w:r>
            <w:r w:rsidR="00A20444" w:rsidRPr="00F3334C">
              <w:rPr>
                <w:b/>
                <w:sz w:val="16"/>
              </w:rPr>
              <w:t>’</w:t>
            </w:r>
            <w:r w:rsidRPr="00F3334C">
              <w:rPr>
                <w:b/>
                <w:sz w:val="16"/>
              </w:rPr>
              <w:t>exécution</w:t>
            </w:r>
          </w:p>
        </w:tc>
        <w:tc>
          <w:tcPr>
            <w:tcW w:w="682" w:type="pct"/>
            <w:tcBorders>
              <w:top w:val="single" w:sz="4" w:space="0" w:color="auto"/>
            </w:tcBorders>
            <w:shd w:val="clear" w:color="auto" w:fill="auto"/>
            <w:tcMar>
              <w:top w:w="110" w:type="dxa"/>
            </w:tcMar>
            <w:vAlign w:val="center"/>
          </w:tcPr>
          <w:p w:rsidR="0096696E" w:rsidRPr="00F3334C" w:rsidRDefault="0096696E" w:rsidP="001A5BF9">
            <w:pPr>
              <w:keepNext/>
              <w:keepLines/>
              <w:jc w:val="center"/>
              <w:rPr>
                <w:rFonts w:cs="Arial"/>
                <w:b/>
                <w:bCs/>
                <w:sz w:val="16"/>
                <w:szCs w:val="16"/>
              </w:rPr>
            </w:pPr>
            <w:r w:rsidRPr="00F3334C">
              <w:rPr>
                <w:b/>
                <w:sz w:val="16"/>
              </w:rPr>
              <w:t>Code de couleurs</w:t>
            </w:r>
          </w:p>
        </w:tc>
      </w:tr>
      <w:tr w:rsidR="00F3334C" w:rsidRPr="00F3334C" w:rsidTr="0043129C">
        <w:trPr>
          <w:cantSplit/>
        </w:trPr>
        <w:tc>
          <w:tcPr>
            <w:tcW w:w="870" w:type="pct"/>
            <w:shd w:val="clear" w:color="auto" w:fill="auto"/>
          </w:tcPr>
          <w:p w:rsidR="0096696E" w:rsidRPr="004C6D49" w:rsidRDefault="0096696E" w:rsidP="001A5BF9">
            <w:pPr>
              <w:rPr>
                <w:rFonts w:cs="Arial"/>
                <w:sz w:val="16"/>
                <w:szCs w:val="16"/>
                <w:lang w:bidi="th-TH"/>
              </w:rPr>
            </w:pPr>
            <w:r w:rsidRPr="004C6D49">
              <w:rPr>
                <w:sz w:val="16"/>
              </w:rPr>
              <w:t>Nombre de recommandations du Plan d</w:t>
            </w:r>
            <w:r w:rsidR="00A20444" w:rsidRPr="004C6D49">
              <w:rPr>
                <w:sz w:val="16"/>
              </w:rPr>
              <w:t>’</w:t>
            </w:r>
            <w:r w:rsidRPr="004C6D49">
              <w:rPr>
                <w:sz w:val="16"/>
              </w:rPr>
              <w:t>action pour le développement qui se rapportent à des résultats escomptés inscrits dans le programme et budget pour</w:t>
            </w:r>
            <w:r w:rsidR="0010442A" w:rsidRPr="004C6D49">
              <w:rPr>
                <w:sz w:val="16"/>
              </w:rPr>
              <w:t> </w:t>
            </w:r>
            <w:r w:rsidRPr="004C6D49">
              <w:rPr>
                <w:sz w:val="16"/>
              </w:rPr>
              <w:t>2010</w:t>
            </w:r>
            <w:r w:rsidR="002D6F2A" w:rsidRPr="004C6D49">
              <w:rPr>
                <w:sz w:val="16"/>
              </w:rPr>
              <w:noBreakHyphen/>
            </w:r>
            <w:r w:rsidRPr="004C6D49">
              <w:rPr>
                <w:sz w:val="16"/>
              </w:rPr>
              <w:t>2011</w:t>
            </w:r>
          </w:p>
        </w:tc>
        <w:tc>
          <w:tcPr>
            <w:tcW w:w="911" w:type="pct"/>
            <w:shd w:val="clear" w:color="auto" w:fill="auto"/>
          </w:tcPr>
          <w:p w:rsidR="0096696E" w:rsidRPr="004C6D49" w:rsidRDefault="00BD43F2" w:rsidP="001A5BF9">
            <w:pPr>
              <w:rPr>
                <w:rFonts w:cs="Arial"/>
                <w:sz w:val="16"/>
                <w:szCs w:val="16"/>
              </w:rPr>
            </w:pPr>
            <w:r w:rsidRPr="004C6D49">
              <w:rPr>
                <w:sz w:val="16"/>
              </w:rPr>
              <w:t>26 </w:t>
            </w:r>
            <w:r w:rsidR="0096696E" w:rsidRPr="004C6D49">
              <w:rPr>
                <w:sz w:val="16"/>
              </w:rPr>
              <w:t>recommandations du plan d</w:t>
            </w:r>
            <w:r w:rsidR="00A20444" w:rsidRPr="004C6D49">
              <w:rPr>
                <w:sz w:val="16"/>
              </w:rPr>
              <w:t>’</w:t>
            </w:r>
            <w:r w:rsidR="0096696E" w:rsidRPr="004C6D49">
              <w:rPr>
                <w:sz w:val="16"/>
              </w:rPr>
              <w:t>action se rapportent à un résultat escompté au moins</w:t>
            </w:r>
          </w:p>
        </w:tc>
        <w:tc>
          <w:tcPr>
            <w:tcW w:w="946" w:type="pct"/>
            <w:gridSpan w:val="3"/>
            <w:shd w:val="clear" w:color="auto" w:fill="auto"/>
            <w:tcMar>
              <w:top w:w="110" w:type="dxa"/>
            </w:tcMar>
          </w:tcPr>
          <w:p w:rsidR="0096696E" w:rsidRPr="004C6D49" w:rsidRDefault="0096696E" w:rsidP="001A5BF9">
            <w:pPr>
              <w:rPr>
                <w:rFonts w:cs="Arial"/>
                <w:sz w:val="16"/>
                <w:szCs w:val="16"/>
                <w:lang w:bidi="th-TH"/>
              </w:rPr>
            </w:pPr>
            <w:r w:rsidRPr="004C6D49">
              <w:rPr>
                <w:sz w:val="16"/>
              </w:rPr>
              <w:t>45 recommandations du plan d</w:t>
            </w:r>
            <w:r w:rsidR="00A20444" w:rsidRPr="004C6D49">
              <w:rPr>
                <w:sz w:val="16"/>
              </w:rPr>
              <w:t>’</w:t>
            </w:r>
            <w:r w:rsidRPr="004C6D49">
              <w:rPr>
                <w:sz w:val="16"/>
              </w:rPr>
              <w:t>action à rapporter à un résultat escompté au moins dans le programme et budget pour</w:t>
            </w:r>
            <w:r w:rsidR="0010442A" w:rsidRPr="004C6D49">
              <w:rPr>
                <w:sz w:val="16"/>
              </w:rPr>
              <w:t> </w:t>
            </w:r>
            <w:r w:rsidRPr="004C6D49">
              <w:rPr>
                <w:sz w:val="16"/>
              </w:rPr>
              <w:t>2014</w:t>
            </w:r>
            <w:r w:rsidR="002D6F2A" w:rsidRPr="004C6D49">
              <w:rPr>
                <w:sz w:val="16"/>
              </w:rPr>
              <w:noBreakHyphen/>
            </w:r>
            <w:r w:rsidRPr="004C6D49">
              <w:rPr>
                <w:sz w:val="16"/>
              </w:rPr>
              <w:t xml:space="preserve">2015 </w:t>
            </w:r>
          </w:p>
        </w:tc>
        <w:tc>
          <w:tcPr>
            <w:tcW w:w="1590" w:type="pct"/>
            <w:gridSpan w:val="2"/>
            <w:shd w:val="clear" w:color="auto" w:fill="FFFFFF"/>
            <w:tcMar>
              <w:top w:w="110" w:type="dxa"/>
            </w:tcMar>
          </w:tcPr>
          <w:p w:rsidR="0096696E" w:rsidRPr="004C6D49" w:rsidRDefault="00BD43F2" w:rsidP="001A5BF9">
            <w:pPr>
              <w:rPr>
                <w:rFonts w:cs="Arial"/>
                <w:sz w:val="16"/>
                <w:szCs w:val="16"/>
                <w:lang w:bidi="th-TH"/>
              </w:rPr>
            </w:pPr>
            <w:r w:rsidRPr="004C6D49">
              <w:rPr>
                <w:sz w:val="16"/>
              </w:rPr>
              <w:t>45 </w:t>
            </w:r>
            <w:r w:rsidR="0096696E" w:rsidRPr="004C6D49">
              <w:rPr>
                <w:sz w:val="16"/>
              </w:rPr>
              <w:t>recommandations du plan d</w:t>
            </w:r>
            <w:r w:rsidR="00A20444" w:rsidRPr="004C6D49">
              <w:rPr>
                <w:sz w:val="16"/>
              </w:rPr>
              <w:t>’</w:t>
            </w:r>
            <w:r w:rsidR="0096696E" w:rsidRPr="004C6D49">
              <w:rPr>
                <w:sz w:val="16"/>
              </w:rPr>
              <w:t>action se rapportent à un résultat escompté au moins</w:t>
            </w:r>
          </w:p>
        </w:tc>
        <w:tc>
          <w:tcPr>
            <w:tcW w:w="682" w:type="pct"/>
            <w:shd w:val="clear" w:color="auto" w:fill="auto"/>
            <w:tcMar>
              <w:top w:w="110" w:type="dxa"/>
            </w:tcMar>
          </w:tcPr>
          <w:p w:rsidR="0096696E" w:rsidRPr="00F3334C"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F3334C">
              <w:rPr>
                <w:rStyle w:val="Style5"/>
                <w:rFonts w:ascii="Arial" w:hAnsi="Arial"/>
                <w:color w:val="008000"/>
                <w:sz w:val="16"/>
              </w:rPr>
              <w:t xml:space="preserve"> </w:t>
            </w:r>
          </w:p>
        </w:tc>
      </w:tr>
      <w:tr w:rsidR="00F3334C" w:rsidRPr="00F3334C" w:rsidTr="0043129C">
        <w:trPr>
          <w:cantSplit/>
        </w:trPr>
        <w:tc>
          <w:tcPr>
            <w:tcW w:w="870" w:type="pct"/>
            <w:shd w:val="clear" w:color="auto" w:fill="auto"/>
          </w:tcPr>
          <w:p w:rsidR="0096696E" w:rsidRPr="004C6D49" w:rsidRDefault="0096696E" w:rsidP="001A5BF9">
            <w:pPr>
              <w:rPr>
                <w:rFonts w:cs="Arial"/>
                <w:sz w:val="16"/>
                <w:szCs w:val="16"/>
                <w:lang w:bidi="th-TH"/>
              </w:rPr>
            </w:pPr>
            <w:r w:rsidRPr="004C6D49">
              <w:rPr>
                <w:sz w:val="16"/>
              </w:rPr>
              <w:t>Nombre de recommandations du Plan d</w:t>
            </w:r>
            <w:r w:rsidR="00A20444" w:rsidRPr="004C6D49">
              <w:rPr>
                <w:sz w:val="16"/>
              </w:rPr>
              <w:t>’</w:t>
            </w:r>
            <w:r w:rsidRPr="004C6D49">
              <w:rPr>
                <w:sz w:val="16"/>
              </w:rPr>
              <w:t>action pour le développement qui se rapportent à des indicateurs d</w:t>
            </w:r>
            <w:r w:rsidR="00A20444" w:rsidRPr="004C6D49">
              <w:rPr>
                <w:sz w:val="16"/>
              </w:rPr>
              <w:t>’</w:t>
            </w:r>
            <w:r w:rsidRPr="004C6D49">
              <w:rPr>
                <w:sz w:val="16"/>
              </w:rPr>
              <w:t>exécution inscrits dans le programme et budget pour</w:t>
            </w:r>
            <w:r w:rsidR="0010442A" w:rsidRPr="004C6D49">
              <w:rPr>
                <w:sz w:val="16"/>
              </w:rPr>
              <w:t> </w:t>
            </w:r>
            <w:r w:rsidRPr="004C6D49">
              <w:rPr>
                <w:sz w:val="16"/>
              </w:rPr>
              <w:t>2010</w:t>
            </w:r>
            <w:r w:rsidR="002D6F2A" w:rsidRPr="004C6D49">
              <w:rPr>
                <w:sz w:val="16"/>
              </w:rPr>
              <w:noBreakHyphen/>
            </w:r>
            <w:r w:rsidRPr="004C6D49">
              <w:rPr>
                <w:sz w:val="16"/>
              </w:rPr>
              <w:t>2011</w:t>
            </w:r>
          </w:p>
        </w:tc>
        <w:tc>
          <w:tcPr>
            <w:tcW w:w="911" w:type="pct"/>
            <w:shd w:val="clear" w:color="auto" w:fill="auto"/>
          </w:tcPr>
          <w:p w:rsidR="0096696E" w:rsidRPr="004C6D49" w:rsidRDefault="0096696E" w:rsidP="001A5BF9">
            <w:pPr>
              <w:rPr>
                <w:rFonts w:cs="Arial"/>
                <w:sz w:val="16"/>
                <w:szCs w:val="16"/>
                <w:lang w:bidi="th-TH"/>
              </w:rPr>
            </w:pPr>
            <w:r w:rsidRPr="004C6D49">
              <w:rPr>
                <w:sz w:val="16"/>
              </w:rPr>
              <w:t>16 recommandations du plan d</w:t>
            </w:r>
            <w:r w:rsidR="00A20444" w:rsidRPr="004C6D49">
              <w:rPr>
                <w:sz w:val="16"/>
              </w:rPr>
              <w:t>’</w:t>
            </w:r>
            <w:r w:rsidRPr="004C6D49">
              <w:rPr>
                <w:sz w:val="16"/>
              </w:rPr>
              <w:t>action</w:t>
            </w:r>
          </w:p>
        </w:tc>
        <w:tc>
          <w:tcPr>
            <w:tcW w:w="946" w:type="pct"/>
            <w:gridSpan w:val="3"/>
            <w:shd w:val="clear" w:color="auto" w:fill="auto"/>
            <w:tcMar>
              <w:top w:w="110" w:type="dxa"/>
            </w:tcMar>
          </w:tcPr>
          <w:p w:rsidR="0096696E" w:rsidRPr="004C6D49" w:rsidRDefault="0096696E" w:rsidP="001A5BF9">
            <w:pPr>
              <w:autoSpaceDE w:val="0"/>
              <w:autoSpaceDN w:val="0"/>
              <w:adjustRightInd w:val="0"/>
              <w:rPr>
                <w:rFonts w:cs="Arial"/>
                <w:sz w:val="16"/>
                <w:szCs w:val="16"/>
              </w:rPr>
            </w:pPr>
            <w:r w:rsidRPr="004C6D49">
              <w:rPr>
                <w:sz w:val="16"/>
              </w:rPr>
              <w:t>45 recommandations du plan d</w:t>
            </w:r>
            <w:r w:rsidR="00A20444" w:rsidRPr="004C6D49">
              <w:rPr>
                <w:sz w:val="16"/>
              </w:rPr>
              <w:t>’</w:t>
            </w:r>
            <w:r w:rsidRPr="004C6D49">
              <w:rPr>
                <w:sz w:val="16"/>
              </w:rPr>
              <w:t>action liées à des indicateurs d</w:t>
            </w:r>
            <w:r w:rsidR="00A20444" w:rsidRPr="004C6D49">
              <w:rPr>
                <w:sz w:val="16"/>
              </w:rPr>
              <w:t>’</w:t>
            </w:r>
            <w:r w:rsidRPr="004C6D49">
              <w:rPr>
                <w:sz w:val="16"/>
              </w:rPr>
              <w:t>exécution dans le programme et budget pour</w:t>
            </w:r>
            <w:r w:rsidR="0010442A" w:rsidRPr="004C6D49">
              <w:rPr>
                <w:sz w:val="16"/>
              </w:rPr>
              <w:t> </w:t>
            </w:r>
            <w:r w:rsidRPr="004C6D49">
              <w:rPr>
                <w:sz w:val="16"/>
              </w:rPr>
              <w:t>2014</w:t>
            </w:r>
            <w:r w:rsidR="002D6F2A" w:rsidRPr="004C6D49">
              <w:rPr>
                <w:sz w:val="16"/>
              </w:rPr>
              <w:noBreakHyphen/>
            </w:r>
            <w:r w:rsidRPr="004C6D49">
              <w:rPr>
                <w:sz w:val="16"/>
              </w:rPr>
              <w:t xml:space="preserve">2015 </w:t>
            </w:r>
          </w:p>
        </w:tc>
        <w:tc>
          <w:tcPr>
            <w:tcW w:w="1590" w:type="pct"/>
            <w:gridSpan w:val="2"/>
            <w:shd w:val="clear" w:color="auto" w:fill="FFFFFF"/>
            <w:tcMar>
              <w:top w:w="110" w:type="dxa"/>
            </w:tcMar>
          </w:tcPr>
          <w:p w:rsidR="0096696E" w:rsidRPr="004C6D49" w:rsidRDefault="0096696E" w:rsidP="001A5BF9">
            <w:pPr>
              <w:rPr>
                <w:rFonts w:cs="Arial"/>
                <w:sz w:val="16"/>
                <w:szCs w:val="16"/>
                <w:lang w:bidi="th-TH"/>
              </w:rPr>
            </w:pPr>
            <w:r w:rsidRPr="004C6D49">
              <w:rPr>
                <w:sz w:val="16"/>
              </w:rPr>
              <w:t>45 recommandations du plan d</w:t>
            </w:r>
            <w:r w:rsidR="00A20444" w:rsidRPr="004C6D49">
              <w:rPr>
                <w:sz w:val="16"/>
              </w:rPr>
              <w:t>’</w:t>
            </w:r>
            <w:r w:rsidRPr="004C6D49">
              <w:rPr>
                <w:sz w:val="16"/>
              </w:rPr>
              <w:t>action</w:t>
            </w:r>
          </w:p>
        </w:tc>
        <w:tc>
          <w:tcPr>
            <w:tcW w:w="682" w:type="pct"/>
            <w:shd w:val="clear" w:color="auto" w:fill="auto"/>
            <w:tcMar>
              <w:top w:w="110" w:type="dxa"/>
            </w:tcMar>
          </w:tcPr>
          <w:p w:rsidR="0096696E" w:rsidRPr="00F3334C"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F3334C">
              <w:rPr>
                <w:rStyle w:val="Style5"/>
                <w:rFonts w:ascii="Arial" w:hAnsi="Arial"/>
                <w:color w:val="008000"/>
                <w:sz w:val="16"/>
              </w:rPr>
              <w:t xml:space="preserve"> </w:t>
            </w:r>
          </w:p>
        </w:tc>
      </w:tr>
      <w:tr w:rsidR="0033279F" w:rsidRPr="00F3334C" w:rsidTr="0043129C">
        <w:trPr>
          <w:cantSplit/>
        </w:trPr>
        <w:tc>
          <w:tcPr>
            <w:tcW w:w="870" w:type="pct"/>
            <w:tcBorders>
              <w:bottom w:val="single" w:sz="4" w:space="0" w:color="auto"/>
            </w:tcBorders>
            <w:shd w:val="clear" w:color="auto" w:fill="auto"/>
          </w:tcPr>
          <w:p w:rsidR="0096696E" w:rsidRPr="004C6D49" w:rsidRDefault="0096696E" w:rsidP="001A5BF9">
            <w:pPr>
              <w:rPr>
                <w:rFonts w:cs="Arial"/>
                <w:sz w:val="16"/>
                <w:szCs w:val="16"/>
                <w:lang w:bidi="th-TH"/>
              </w:rPr>
            </w:pPr>
            <w:r w:rsidRPr="004C6D49">
              <w:rPr>
                <w:sz w:val="16"/>
              </w:rPr>
              <w:t>Mise en œuvre du mécanisme de coordination tel qu</w:t>
            </w:r>
            <w:r w:rsidR="00A20444" w:rsidRPr="004C6D49">
              <w:rPr>
                <w:sz w:val="16"/>
              </w:rPr>
              <w:t>’</w:t>
            </w:r>
            <w:r w:rsidRPr="004C6D49">
              <w:rPr>
                <w:sz w:val="16"/>
              </w:rPr>
              <w:t xml:space="preserve">approuvé par les États membres </w:t>
            </w:r>
          </w:p>
        </w:tc>
        <w:tc>
          <w:tcPr>
            <w:tcW w:w="911" w:type="pct"/>
            <w:tcBorders>
              <w:bottom w:val="single" w:sz="4" w:space="0" w:color="auto"/>
            </w:tcBorders>
            <w:shd w:val="clear" w:color="auto" w:fill="auto"/>
          </w:tcPr>
          <w:p w:rsidR="0096696E" w:rsidRPr="004C6D49" w:rsidRDefault="0096696E" w:rsidP="001A5BF9">
            <w:pPr>
              <w:rPr>
                <w:rFonts w:cs="Arial"/>
                <w:sz w:val="16"/>
                <w:szCs w:val="16"/>
                <w:lang w:bidi="th-TH"/>
              </w:rPr>
            </w:pPr>
            <w:r w:rsidRPr="004C6D49">
              <w:rPr>
                <w:sz w:val="16"/>
              </w:rPr>
              <w:t>Mécanismes de coordination et modalités de suivi, d</w:t>
            </w:r>
            <w:r w:rsidR="00A20444" w:rsidRPr="004C6D49">
              <w:rPr>
                <w:sz w:val="16"/>
              </w:rPr>
              <w:t>’</w:t>
            </w:r>
            <w:r w:rsidRPr="004C6D49">
              <w:rPr>
                <w:sz w:val="16"/>
              </w:rPr>
              <w:t>évaluation et d</w:t>
            </w:r>
            <w:r w:rsidR="00A20444" w:rsidRPr="004C6D49">
              <w:rPr>
                <w:sz w:val="16"/>
              </w:rPr>
              <w:t>’</w:t>
            </w:r>
            <w:r w:rsidRPr="004C6D49">
              <w:rPr>
                <w:sz w:val="16"/>
              </w:rPr>
              <w:t>établissement de rapports approuvés par</w:t>
            </w:r>
            <w:r w:rsidR="00A20444" w:rsidRPr="004C6D49">
              <w:rPr>
                <w:sz w:val="16"/>
              </w:rPr>
              <w:t xml:space="preserve"> le CDI</w:t>
            </w:r>
            <w:r w:rsidRPr="004C6D49">
              <w:rPr>
                <w:sz w:val="16"/>
              </w:rPr>
              <w:t>P en avril</w:t>
            </w:r>
            <w:r w:rsidR="0043129C" w:rsidRPr="004C6D49">
              <w:rPr>
                <w:sz w:val="16"/>
              </w:rPr>
              <w:t> </w:t>
            </w:r>
            <w:r w:rsidRPr="004C6D49">
              <w:rPr>
                <w:sz w:val="16"/>
              </w:rPr>
              <w:t>2010</w:t>
            </w:r>
          </w:p>
        </w:tc>
        <w:tc>
          <w:tcPr>
            <w:tcW w:w="946" w:type="pct"/>
            <w:gridSpan w:val="3"/>
            <w:tcBorders>
              <w:bottom w:val="single" w:sz="4" w:space="0" w:color="auto"/>
            </w:tcBorders>
            <w:shd w:val="clear" w:color="auto" w:fill="auto"/>
            <w:tcMar>
              <w:top w:w="110" w:type="dxa"/>
            </w:tcMar>
          </w:tcPr>
          <w:p w:rsidR="0096696E" w:rsidRPr="004C6D49" w:rsidRDefault="0096696E" w:rsidP="001A5BF9">
            <w:pPr>
              <w:autoSpaceDE w:val="0"/>
              <w:autoSpaceDN w:val="0"/>
              <w:adjustRightInd w:val="0"/>
              <w:rPr>
                <w:rFonts w:cs="Arial"/>
                <w:sz w:val="16"/>
                <w:szCs w:val="16"/>
              </w:rPr>
            </w:pPr>
            <w:r w:rsidRPr="004C6D49">
              <w:rPr>
                <w:sz w:val="16"/>
              </w:rPr>
              <w:t>Mécanismes de coordination mis en œuvre conformément à la décision prise par les États membres</w:t>
            </w:r>
          </w:p>
        </w:tc>
        <w:tc>
          <w:tcPr>
            <w:tcW w:w="1590" w:type="pct"/>
            <w:gridSpan w:val="2"/>
            <w:tcBorders>
              <w:bottom w:val="single" w:sz="4" w:space="0" w:color="auto"/>
            </w:tcBorders>
            <w:shd w:val="clear" w:color="auto" w:fill="FFFFFF"/>
            <w:tcMar>
              <w:top w:w="110" w:type="dxa"/>
            </w:tcMar>
          </w:tcPr>
          <w:p w:rsidR="0096696E" w:rsidRPr="004C6D49" w:rsidRDefault="0096696E" w:rsidP="001A5BF9">
            <w:pPr>
              <w:rPr>
                <w:rFonts w:cs="Arial"/>
                <w:sz w:val="16"/>
                <w:szCs w:val="16"/>
              </w:rPr>
            </w:pPr>
            <w:r w:rsidRPr="004C6D49">
              <w:rPr>
                <w:sz w:val="16"/>
              </w:rPr>
              <w:t>Deux rapports annuels aux assemblées consacrés à la description de la contribution des organes de l</w:t>
            </w:r>
            <w:r w:rsidR="00A20444" w:rsidRPr="004C6D49">
              <w:rPr>
                <w:sz w:val="16"/>
              </w:rPr>
              <w:t>’</w:t>
            </w:r>
            <w:r w:rsidRPr="004C6D49">
              <w:rPr>
                <w:sz w:val="16"/>
              </w:rPr>
              <w:t>OMPI à la mise en œuvre des recommandations respectives du Plan d</w:t>
            </w:r>
            <w:r w:rsidR="00A20444" w:rsidRPr="004C6D49">
              <w:rPr>
                <w:sz w:val="16"/>
              </w:rPr>
              <w:t>’</w:t>
            </w:r>
            <w:r w:rsidRPr="004C6D49">
              <w:rPr>
                <w:sz w:val="16"/>
              </w:rPr>
              <w:t>action pour le développement débattues au sein du CDIP (WO/GA/41/12 et WO/GA/43/10)</w:t>
            </w:r>
            <w:r w:rsidRPr="004C6D49">
              <w:rPr>
                <w:rStyle w:val="FootnoteReference"/>
                <w:sz w:val="16"/>
              </w:rPr>
              <w:footnoteReference w:id="16"/>
            </w:r>
            <w:r w:rsidR="0010442A" w:rsidRPr="004C6D49">
              <w:rPr>
                <w:sz w:val="16"/>
              </w:rPr>
              <w:t>.</w:t>
            </w:r>
          </w:p>
        </w:tc>
        <w:tc>
          <w:tcPr>
            <w:tcW w:w="682" w:type="pct"/>
            <w:tcBorders>
              <w:bottom w:val="single" w:sz="4" w:space="0" w:color="auto"/>
            </w:tcBorders>
            <w:shd w:val="clear" w:color="auto" w:fill="auto"/>
            <w:tcMar>
              <w:top w:w="110" w:type="dxa"/>
            </w:tcMar>
          </w:tcPr>
          <w:p w:rsidR="0096696E" w:rsidRPr="00F3334C"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F3334C">
              <w:rPr>
                <w:rStyle w:val="Style5"/>
                <w:rFonts w:ascii="Arial" w:hAnsi="Arial"/>
                <w:color w:val="008000"/>
                <w:sz w:val="16"/>
              </w:rPr>
              <w:t xml:space="preserve"> </w:t>
            </w:r>
          </w:p>
        </w:tc>
      </w:tr>
      <w:tr w:rsidR="0033279F" w:rsidRPr="00F3334C" w:rsidTr="00BB3F3E">
        <w:trPr>
          <w:cantSplit/>
        </w:trPr>
        <w:tc>
          <w:tcPr>
            <w:tcW w:w="5000" w:type="pct"/>
            <w:gridSpan w:val="8"/>
            <w:tcBorders>
              <w:top w:val="single" w:sz="4" w:space="0" w:color="auto"/>
              <w:bottom w:val="single" w:sz="4" w:space="0" w:color="auto"/>
            </w:tcBorders>
            <w:shd w:val="clear" w:color="auto" w:fill="CCFFFF"/>
            <w:vAlign w:val="center"/>
          </w:tcPr>
          <w:p w:rsidR="0096696E" w:rsidRPr="00F3334C" w:rsidRDefault="0096696E" w:rsidP="00F3334C">
            <w:pPr>
              <w:keepNext/>
              <w:keepLines/>
              <w:spacing w:before="120" w:after="120"/>
              <w:ind w:left="1735" w:hanging="1735"/>
              <w:rPr>
                <w:rFonts w:cs="Arial"/>
                <w:bCs/>
                <w:sz w:val="16"/>
                <w:szCs w:val="16"/>
              </w:rPr>
            </w:pPr>
            <w:r w:rsidRPr="00F3334C">
              <w:rPr>
                <w:b/>
                <w:sz w:val="16"/>
              </w:rPr>
              <w:t>Résultat escompté</w:t>
            </w:r>
            <w:r w:rsidR="0010442A" w:rsidRPr="00F3334C">
              <w:rPr>
                <w:b/>
                <w:sz w:val="16"/>
              </w:rPr>
              <w:t> :</w:t>
            </w:r>
            <w:r w:rsidR="0010442A" w:rsidRPr="00F3334C">
              <w:rPr>
                <w:sz w:val="16"/>
              </w:rPr>
              <w:t xml:space="preserve"> </w:t>
            </w:r>
            <w:r w:rsidRPr="00F3334C">
              <w:rPr>
                <w:sz w:val="16"/>
              </w:rPr>
              <w:tab/>
              <w:t>Planification, mise en œuvre, suivi, évaluation et établissement de rapports efficaces en ce qui concerne les recommandations du Plan d</w:t>
            </w:r>
            <w:r w:rsidR="00A20444" w:rsidRPr="00F3334C">
              <w:rPr>
                <w:sz w:val="16"/>
              </w:rPr>
              <w:t>’</w:t>
            </w:r>
            <w:r w:rsidRPr="00F3334C">
              <w:rPr>
                <w:sz w:val="16"/>
              </w:rPr>
              <w:t>action pour le développement</w:t>
            </w:r>
          </w:p>
        </w:tc>
      </w:tr>
      <w:tr w:rsidR="0096696E" w:rsidRPr="0033279F" w:rsidTr="0043129C">
        <w:trPr>
          <w:cantSplit/>
        </w:trPr>
        <w:tc>
          <w:tcPr>
            <w:tcW w:w="870" w:type="pct"/>
            <w:tcBorders>
              <w:top w:val="single" w:sz="4" w:space="0" w:color="auto"/>
            </w:tcBorders>
            <w:shd w:val="clear" w:color="auto" w:fill="auto"/>
            <w:vAlign w:val="center"/>
          </w:tcPr>
          <w:p w:rsidR="0096696E" w:rsidRPr="0033279F" w:rsidRDefault="0096696E" w:rsidP="001A5BF9">
            <w:pPr>
              <w:spacing w:after="40"/>
              <w:rPr>
                <w:rFonts w:cs="Arial"/>
                <w:b/>
                <w:sz w:val="16"/>
                <w:szCs w:val="16"/>
              </w:rPr>
            </w:pPr>
            <w:r w:rsidRPr="0033279F">
              <w:rPr>
                <w:b/>
                <w:sz w:val="16"/>
              </w:rPr>
              <w:t>Indicateurs d</w:t>
            </w:r>
            <w:r w:rsidR="00A20444" w:rsidRPr="0033279F">
              <w:rPr>
                <w:b/>
                <w:sz w:val="16"/>
              </w:rPr>
              <w:t>’</w:t>
            </w:r>
            <w:r w:rsidRPr="0033279F">
              <w:rPr>
                <w:b/>
                <w:sz w:val="16"/>
              </w:rPr>
              <w:t>exécution</w:t>
            </w:r>
          </w:p>
        </w:tc>
        <w:tc>
          <w:tcPr>
            <w:tcW w:w="958" w:type="pct"/>
            <w:gridSpan w:val="2"/>
            <w:tcBorders>
              <w:top w:val="single" w:sz="4" w:space="0" w:color="auto"/>
            </w:tcBorders>
            <w:shd w:val="clear" w:color="auto" w:fill="auto"/>
            <w:vAlign w:val="center"/>
          </w:tcPr>
          <w:p w:rsidR="0096696E" w:rsidRPr="0033279F" w:rsidRDefault="0096696E" w:rsidP="001A5BF9">
            <w:pPr>
              <w:spacing w:after="40"/>
              <w:rPr>
                <w:rFonts w:cs="Arial"/>
                <w:b/>
                <w:bCs/>
                <w:sz w:val="16"/>
                <w:szCs w:val="16"/>
              </w:rPr>
            </w:pPr>
            <w:r w:rsidRPr="0033279F">
              <w:rPr>
                <w:b/>
                <w:sz w:val="16"/>
              </w:rPr>
              <w:t>Niveaux de référence</w:t>
            </w:r>
          </w:p>
        </w:tc>
        <w:tc>
          <w:tcPr>
            <w:tcW w:w="865" w:type="pct"/>
            <w:tcBorders>
              <w:top w:val="single" w:sz="4" w:space="0" w:color="auto"/>
            </w:tcBorders>
            <w:shd w:val="clear" w:color="auto" w:fill="auto"/>
            <w:tcMar>
              <w:top w:w="110" w:type="dxa"/>
            </w:tcMar>
            <w:vAlign w:val="center"/>
          </w:tcPr>
          <w:p w:rsidR="0096696E" w:rsidRPr="0033279F" w:rsidRDefault="0096696E" w:rsidP="001A5BF9">
            <w:pPr>
              <w:spacing w:after="40"/>
              <w:rPr>
                <w:rFonts w:cs="Arial"/>
                <w:b/>
                <w:sz w:val="16"/>
                <w:szCs w:val="16"/>
              </w:rPr>
            </w:pPr>
            <w:r w:rsidRPr="0033279F">
              <w:rPr>
                <w:b/>
                <w:sz w:val="16"/>
              </w:rPr>
              <w:t>Objectifs visés</w:t>
            </w:r>
          </w:p>
        </w:tc>
        <w:tc>
          <w:tcPr>
            <w:tcW w:w="1609" w:type="pct"/>
            <w:gridSpan w:val="2"/>
            <w:tcBorders>
              <w:top w:val="single" w:sz="4" w:space="0" w:color="auto"/>
            </w:tcBorders>
            <w:shd w:val="clear" w:color="auto" w:fill="FFFFFF"/>
            <w:tcMar>
              <w:top w:w="110" w:type="dxa"/>
            </w:tcMar>
            <w:vAlign w:val="center"/>
          </w:tcPr>
          <w:p w:rsidR="0096696E" w:rsidRPr="0033279F" w:rsidRDefault="0096696E" w:rsidP="001A5BF9">
            <w:pPr>
              <w:spacing w:after="40"/>
              <w:rPr>
                <w:rFonts w:cs="Arial"/>
                <w:b/>
                <w:sz w:val="16"/>
                <w:szCs w:val="16"/>
              </w:rPr>
            </w:pPr>
            <w:r w:rsidRPr="0033279F">
              <w:rPr>
                <w:b/>
                <w:sz w:val="16"/>
              </w:rPr>
              <w:t>Données relatives à l</w:t>
            </w:r>
            <w:r w:rsidR="00A20444" w:rsidRPr="0033279F">
              <w:rPr>
                <w:b/>
                <w:sz w:val="16"/>
              </w:rPr>
              <w:t>’</w:t>
            </w:r>
            <w:r w:rsidRPr="0033279F">
              <w:rPr>
                <w:b/>
                <w:sz w:val="16"/>
              </w:rPr>
              <w:t>exécution</w:t>
            </w:r>
          </w:p>
        </w:tc>
        <w:tc>
          <w:tcPr>
            <w:tcW w:w="698" w:type="pct"/>
            <w:gridSpan w:val="2"/>
            <w:tcBorders>
              <w:top w:val="single" w:sz="4" w:space="0" w:color="auto"/>
            </w:tcBorders>
            <w:shd w:val="clear" w:color="auto" w:fill="auto"/>
            <w:tcMar>
              <w:top w:w="110" w:type="dxa"/>
            </w:tcMar>
            <w:vAlign w:val="center"/>
          </w:tcPr>
          <w:p w:rsidR="0096696E" w:rsidRPr="0033279F" w:rsidRDefault="0096696E" w:rsidP="001A5BF9">
            <w:pPr>
              <w:keepNext/>
              <w:keepLines/>
              <w:spacing w:after="40"/>
              <w:jc w:val="center"/>
              <w:rPr>
                <w:rFonts w:cs="Arial"/>
                <w:b/>
                <w:bCs/>
                <w:sz w:val="16"/>
                <w:szCs w:val="16"/>
              </w:rPr>
            </w:pPr>
            <w:r w:rsidRPr="0033279F">
              <w:rPr>
                <w:b/>
                <w:sz w:val="16"/>
              </w:rPr>
              <w:t>Code de couleurs</w:t>
            </w:r>
          </w:p>
        </w:tc>
      </w:tr>
      <w:tr w:rsidR="0096696E" w:rsidRPr="00F3334C" w:rsidTr="0043129C">
        <w:trPr>
          <w:cantSplit/>
        </w:trPr>
        <w:tc>
          <w:tcPr>
            <w:tcW w:w="870" w:type="pct"/>
            <w:shd w:val="clear" w:color="auto" w:fill="FFFFFF"/>
          </w:tcPr>
          <w:p w:rsidR="0096696E" w:rsidRPr="0033279F" w:rsidRDefault="0096696E" w:rsidP="001A5BF9">
            <w:pPr>
              <w:rPr>
                <w:rFonts w:cs="Arial"/>
                <w:sz w:val="16"/>
                <w:szCs w:val="16"/>
                <w:lang w:bidi="th-TH"/>
              </w:rPr>
            </w:pPr>
            <w:r w:rsidRPr="0033279F">
              <w:rPr>
                <w:sz w:val="16"/>
              </w:rPr>
              <w:t>Nombre de recommandations du Plan d</w:t>
            </w:r>
            <w:r w:rsidR="00A20444" w:rsidRPr="0033279F">
              <w:rPr>
                <w:sz w:val="16"/>
              </w:rPr>
              <w:t>’</w:t>
            </w:r>
            <w:r w:rsidRPr="0033279F">
              <w:rPr>
                <w:sz w:val="16"/>
              </w:rPr>
              <w:t>action pour le développement qui ont été mises en œuvre par le CDIP dans des projets, des activités et des études</w:t>
            </w:r>
          </w:p>
        </w:tc>
        <w:tc>
          <w:tcPr>
            <w:tcW w:w="958" w:type="pct"/>
            <w:gridSpan w:val="2"/>
            <w:shd w:val="clear" w:color="auto" w:fill="auto"/>
          </w:tcPr>
          <w:p w:rsidR="00D42474" w:rsidRDefault="0096696E" w:rsidP="001A5BF9">
            <w:pPr>
              <w:rPr>
                <w:color w:val="002060"/>
                <w:sz w:val="16"/>
              </w:rPr>
            </w:pPr>
            <w:r w:rsidRPr="005C7CCE">
              <w:rPr>
                <w:i/>
                <w:color w:val="002060"/>
                <w:sz w:val="16"/>
              </w:rPr>
              <w:t>Niveau de référence actualisé fin 2011 :</w:t>
            </w:r>
            <w:r w:rsidR="002E30B0" w:rsidRPr="005C7CCE">
              <w:t xml:space="preserve"> </w:t>
            </w:r>
            <w:r w:rsidRPr="005C7CCE">
              <w:rPr>
                <w:color w:val="002060"/>
                <w:sz w:val="16"/>
              </w:rPr>
              <w:t>42 recommandations</w:t>
            </w:r>
          </w:p>
          <w:p w:rsidR="00D42474" w:rsidRDefault="0096696E" w:rsidP="001A5BF9">
            <w:pPr>
              <w:rPr>
                <w:rFonts w:cs="Arial"/>
                <w:color w:val="002060"/>
                <w:sz w:val="16"/>
                <w:szCs w:val="16"/>
                <w:lang w:bidi="th-TH"/>
              </w:rPr>
            </w:pPr>
            <w:r w:rsidRPr="0033279F">
              <w:rPr>
                <w:color w:val="002060"/>
                <w:sz w:val="16"/>
              </w:rPr>
              <w:t>(non encore épuisé)</w:t>
            </w:r>
          </w:p>
          <w:p w:rsidR="00D42474" w:rsidRDefault="0096696E" w:rsidP="001A5BF9">
            <w:pPr>
              <w:rPr>
                <w:rFonts w:cs="Arial"/>
                <w:color w:val="002060"/>
                <w:sz w:val="16"/>
                <w:szCs w:val="16"/>
                <w:lang w:bidi="th-TH"/>
              </w:rPr>
            </w:pPr>
            <w:r w:rsidRPr="0033279F">
              <w:rPr>
                <w:color w:val="002060"/>
                <w:sz w:val="16"/>
              </w:rPr>
              <w:t>(</w:t>
            </w:r>
            <w:r w:rsidR="00A20444" w:rsidRPr="0033279F">
              <w:rPr>
                <w:color w:val="002060"/>
                <w:sz w:val="16"/>
              </w:rPr>
              <w:t>décembre 20</w:t>
            </w:r>
            <w:r w:rsidRPr="0033279F">
              <w:rPr>
                <w:color w:val="002060"/>
                <w:sz w:val="16"/>
              </w:rPr>
              <w:t>11)</w:t>
            </w:r>
          </w:p>
          <w:p w:rsidR="00D42474" w:rsidRDefault="00D42474" w:rsidP="001A5BF9">
            <w:pPr>
              <w:rPr>
                <w:rFonts w:cs="Arial"/>
                <w:i/>
                <w:sz w:val="8"/>
                <w:szCs w:val="8"/>
                <w:lang w:bidi="th-TH"/>
              </w:rPr>
            </w:pPr>
          </w:p>
          <w:p w:rsidR="00D42474" w:rsidRDefault="0096696E" w:rsidP="001A5BF9">
            <w:pPr>
              <w:rPr>
                <w:rFonts w:cs="Arial"/>
                <w:sz w:val="16"/>
                <w:szCs w:val="16"/>
                <w:lang w:bidi="th-TH"/>
              </w:rPr>
            </w:pPr>
            <w:r w:rsidRPr="005C7CCE">
              <w:rPr>
                <w:i/>
                <w:sz w:val="16"/>
              </w:rPr>
              <w:t>Niveau de référence initial</w:t>
            </w:r>
          </w:p>
          <w:p w:rsidR="00D42474" w:rsidRDefault="00667FB3" w:rsidP="001A5BF9">
            <w:pPr>
              <w:rPr>
                <w:rFonts w:cs="Arial"/>
                <w:sz w:val="16"/>
                <w:szCs w:val="16"/>
              </w:rPr>
            </w:pPr>
            <w:r>
              <w:rPr>
                <w:i/>
                <w:sz w:val="16"/>
              </w:rPr>
              <w:t>programme et budget</w:t>
            </w:r>
            <w:r w:rsidR="0096696E" w:rsidRPr="005C7CCE">
              <w:rPr>
                <w:i/>
                <w:sz w:val="16"/>
              </w:rPr>
              <w:t> 2012</w:t>
            </w:r>
            <w:r w:rsidR="002D6F2A" w:rsidRPr="005C7CCE">
              <w:rPr>
                <w:i/>
                <w:sz w:val="16"/>
              </w:rPr>
              <w:noBreakHyphen/>
            </w:r>
            <w:r w:rsidR="0096696E" w:rsidRPr="005C7CCE">
              <w:rPr>
                <w:i/>
                <w:sz w:val="16"/>
              </w:rPr>
              <w:t>2013 :</w:t>
            </w:r>
          </w:p>
          <w:p w:rsidR="00D42474" w:rsidRDefault="0096696E" w:rsidP="001A5BF9">
            <w:pPr>
              <w:rPr>
                <w:sz w:val="16"/>
              </w:rPr>
            </w:pPr>
            <w:r w:rsidRPr="0033279F">
              <w:rPr>
                <w:sz w:val="16"/>
              </w:rPr>
              <w:t>42 recommandations</w:t>
            </w:r>
          </w:p>
          <w:p w:rsidR="00D42474" w:rsidRDefault="0096696E" w:rsidP="001A5BF9">
            <w:pPr>
              <w:rPr>
                <w:rFonts w:cs="Arial"/>
                <w:sz w:val="16"/>
                <w:szCs w:val="16"/>
                <w:lang w:bidi="th-TH"/>
              </w:rPr>
            </w:pPr>
            <w:r w:rsidRPr="0033279F">
              <w:rPr>
                <w:sz w:val="16"/>
              </w:rPr>
              <w:t>(non encore épuisé)</w:t>
            </w:r>
          </w:p>
          <w:p w:rsidR="0096696E" w:rsidRPr="005C7CCE" w:rsidRDefault="0096696E" w:rsidP="001A5BF9">
            <w:pPr>
              <w:rPr>
                <w:rFonts w:cs="Arial"/>
                <w:sz w:val="16"/>
                <w:szCs w:val="16"/>
                <w:lang w:bidi="th-TH"/>
              </w:rPr>
            </w:pPr>
            <w:r w:rsidRPr="0033279F">
              <w:rPr>
                <w:sz w:val="16"/>
              </w:rPr>
              <w:t>(</w:t>
            </w:r>
            <w:r w:rsidR="00A20444" w:rsidRPr="0033279F">
              <w:rPr>
                <w:sz w:val="16"/>
              </w:rPr>
              <w:t>décembre 20</w:t>
            </w:r>
            <w:r w:rsidRPr="0033279F">
              <w:rPr>
                <w:sz w:val="16"/>
              </w:rPr>
              <w:t>10)</w:t>
            </w:r>
          </w:p>
        </w:tc>
        <w:tc>
          <w:tcPr>
            <w:tcW w:w="865" w:type="pct"/>
            <w:shd w:val="clear" w:color="auto" w:fill="auto"/>
            <w:tcMar>
              <w:top w:w="110" w:type="dxa"/>
            </w:tcMar>
          </w:tcPr>
          <w:p w:rsidR="0096696E" w:rsidRPr="0033279F" w:rsidRDefault="0096696E" w:rsidP="001A5BF9">
            <w:pPr>
              <w:rPr>
                <w:rFonts w:cs="Arial"/>
                <w:sz w:val="16"/>
                <w:szCs w:val="16"/>
                <w:lang w:bidi="th-TH"/>
              </w:rPr>
            </w:pPr>
            <w:r w:rsidRPr="0033279F">
              <w:rPr>
                <w:sz w:val="16"/>
              </w:rPr>
              <w:t xml:space="preserve">45 recommandations </w:t>
            </w:r>
          </w:p>
        </w:tc>
        <w:tc>
          <w:tcPr>
            <w:tcW w:w="1609" w:type="pct"/>
            <w:gridSpan w:val="2"/>
            <w:shd w:val="clear" w:color="auto" w:fill="FFFFFF"/>
            <w:tcMar>
              <w:top w:w="110" w:type="dxa"/>
            </w:tcMar>
          </w:tcPr>
          <w:p w:rsidR="0096696E" w:rsidRPr="0033279F" w:rsidRDefault="0096696E" w:rsidP="001A5BF9">
            <w:pPr>
              <w:rPr>
                <w:rFonts w:cs="Arial"/>
                <w:sz w:val="16"/>
                <w:szCs w:val="16"/>
                <w:lang w:bidi="th-TH"/>
              </w:rPr>
            </w:pPr>
            <w:r w:rsidRPr="0033279F">
              <w:rPr>
                <w:sz w:val="16"/>
              </w:rPr>
              <w:t>45 recommandations du plan d</w:t>
            </w:r>
            <w:r w:rsidR="00A20444" w:rsidRPr="0033279F">
              <w:rPr>
                <w:sz w:val="16"/>
              </w:rPr>
              <w:t>’</w:t>
            </w:r>
            <w:r w:rsidRPr="0033279F">
              <w:rPr>
                <w:sz w:val="16"/>
              </w:rPr>
              <w:t>action</w:t>
            </w:r>
          </w:p>
        </w:tc>
        <w:tc>
          <w:tcPr>
            <w:tcW w:w="698" w:type="pct"/>
            <w:gridSpan w:val="2"/>
            <w:shd w:val="clear" w:color="auto" w:fill="auto"/>
            <w:tcMar>
              <w:top w:w="110" w:type="dxa"/>
            </w:tcMar>
          </w:tcPr>
          <w:p w:rsidR="0096696E" w:rsidRPr="00F3334C"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F3334C">
              <w:rPr>
                <w:rStyle w:val="Style5"/>
                <w:rFonts w:ascii="Arial" w:hAnsi="Arial"/>
                <w:color w:val="008000"/>
                <w:sz w:val="16"/>
              </w:rPr>
              <w:t xml:space="preserve"> </w:t>
            </w:r>
          </w:p>
        </w:tc>
      </w:tr>
      <w:tr w:rsidR="0096696E" w:rsidRPr="00F3334C" w:rsidTr="0043129C">
        <w:trPr>
          <w:cantSplit/>
        </w:trPr>
        <w:tc>
          <w:tcPr>
            <w:tcW w:w="870" w:type="pct"/>
            <w:shd w:val="clear" w:color="auto" w:fill="auto"/>
          </w:tcPr>
          <w:p w:rsidR="0096696E" w:rsidRPr="0033279F" w:rsidRDefault="0096696E" w:rsidP="001A5BF9">
            <w:pPr>
              <w:rPr>
                <w:rFonts w:cs="Arial"/>
                <w:sz w:val="16"/>
                <w:szCs w:val="16"/>
                <w:lang w:bidi="th-TH"/>
              </w:rPr>
            </w:pPr>
            <w:r w:rsidRPr="0033279F">
              <w:rPr>
                <w:sz w:val="16"/>
              </w:rPr>
              <w:t>Nombre de projets approuvés par</w:t>
            </w:r>
            <w:r w:rsidR="00A20444" w:rsidRPr="0033279F">
              <w:rPr>
                <w:sz w:val="16"/>
              </w:rPr>
              <w:t xml:space="preserve"> le CDI</w:t>
            </w:r>
            <w:r w:rsidRPr="0033279F">
              <w:rPr>
                <w:sz w:val="16"/>
              </w:rPr>
              <w:t>P</w:t>
            </w:r>
          </w:p>
        </w:tc>
        <w:tc>
          <w:tcPr>
            <w:tcW w:w="958" w:type="pct"/>
            <w:gridSpan w:val="2"/>
            <w:shd w:val="clear" w:color="auto" w:fill="auto"/>
          </w:tcPr>
          <w:p w:rsidR="00D42474" w:rsidRDefault="0096696E" w:rsidP="001A5BF9">
            <w:pPr>
              <w:rPr>
                <w:rFonts w:cs="Arial"/>
                <w:color w:val="002060"/>
                <w:sz w:val="16"/>
                <w:szCs w:val="16"/>
                <w:lang w:bidi="th-TH"/>
              </w:rPr>
            </w:pPr>
            <w:r w:rsidRPr="005C7CCE">
              <w:rPr>
                <w:i/>
                <w:color w:val="002060"/>
                <w:sz w:val="16"/>
              </w:rPr>
              <w:t>Niveau de référence actualisé fin 2011 :</w:t>
            </w:r>
            <w:r w:rsidRPr="005C7CCE">
              <w:br/>
            </w:r>
            <w:r w:rsidRPr="005C7CCE">
              <w:rPr>
                <w:color w:val="002060"/>
                <w:sz w:val="16"/>
              </w:rPr>
              <w:t>23 projets (fin 2011)</w:t>
            </w:r>
          </w:p>
          <w:p w:rsidR="00D42474" w:rsidRDefault="00D42474" w:rsidP="001A5BF9">
            <w:pPr>
              <w:rPr>
                <w:rFonts w:cs="Arial"/>
                <w:i/>
                <w:sz w:val="8"/>
                <w:szCs w:val="8"/>
                <w:lang w:bidi="th-TH"/>
              </w:rPr>
            </w:pPr>
          </w:p>
          <w:p w:rsidR="00D42474" w:rsidRDefault="0096696E" w:rsidP="001A5BF9">
            <w:pPr>
              <w:rPr>
                <w:rFonts w:cs="Arial"/>
                <w:i/>
                <w:sz w:val="16"/>
                <w:szCs w:val="16"/>
                <w:lang w:bidi="th-TH"/>
              </w:rPr>
            </w:pPr>
            <w:r w:rsidRPr="005C7CCE">
              <w:rPr>
                <w:i/>
                <w:sz w:val="16"/>
              </w:rPr>
              <w:t>Niveau de référence initial</w:t>
            </w:r>
          </w:p>
          <w:p w:rsidR="00D42474" w:rsidRDefault="00667FB3" w:rsidP="001A5BF9">
            <w:pPr>
              <w:rPr>
                <w:rFonts w:cs="Arial"/>
                <w:sz w:val="16"/>
                <w:szCs w:val="16"/>
                <w:lang w:bidi="th-TH"/>
              </w:rPr>
            </w:pPr>
            <w:r>
              <w:rPr>
                <w:i/>
                <w:sz w:val="16"/>
              </w:rPr>
              <w:t>programme et budget</w:t>
            </w:r>
            <w:r w:rsidR="0096696E" w:rsidRPr="005C7CCE">
              <w:rPr>
                <w:i/>
                <w:sz w:val="16"/>
              </w:rPr>
              <w:t> 2012</w:t>
            </w:r>
            <w:r w:rsidR="002D6F2A" w:rsidRPr="005C7CCE">
              <w:rPr>
                <w:i/>
                <w:sz w:val="16"/>
              </w:rPr>
              <w:noBreakHyphen/>
            </w:r>
            <w:r w:rsidR="0096696E" w:rsidRPr="005C7CCE">
              <w:rPr>
                <w:i/>
                <w:sz w:val="16"/>
              </w:rPr>
              <w:t>2013 :</w:t>
            </w:r>
          </w:p>
          <w:p w:rsidR="0096696E" w:rsidRPr="005C7CCE" w:rsidRDefault="0096696E" w:rsidP="001A5BF9">
            <w:pPr>
              <w:rPr>
                <w:rFonts w:cs="Arial"/>
                <w:sz w:val="16"/>
                <w:szCs w:val="16"/>
                <w:lang w:bidi="th-TH"/>
              </w:rPr>
            </w:pPr>
            <w:r w:rsidRPr="0033279F">
              <w:rPr>
                <w:sz w:val="16"/>
              </w:rPr>
              <w:t>19 projets (fin 2010)</w:t>
            </w:r>
          </w:p>
        </w:tc>
        <w:tc>
          <w:tcPr>
            <w:tcW w:w="865" w:type="pct"/>
            <w:shd w:val="clear" w:color="auto" w:fill="auto"/>
            <w:tcMar>
              <w:top w:w="110" w:type="dxa"/>
            </w:tcMar>
          </w:tcPr>
          <w:p w:rsidR="0096696E" w:rsidRPr="005C7CCE" w:rsidRDefault="0096696E" w:rsidP="001A5BF9">
            <w:pPr>
              <w:rPr>
                <w:rFonts w:cs="Arial"/>
                <w:sz w:val="16"/>
                <w:szCs w:val="16"/>
                <w:lang w:bidi="th-TH"/>
              </w:rPr>
            </w:pPr>
            <w:proofErr w:type="spellStart"/>
            <w:r w:rsidRPr="0033279F">
              <w:rPr>
                <w:sz w:val="16"/>
              </w:rPr>
              <w:t>n.d</w:t>
            </w:r>
            <w:proofErr w:type="spellEnd"/>
            <w:r w:rsidRPr="0033279F">
              <w:rPr>
                <w:sz w:val="16"/>
              </w:rPr>
              <w:t>.</w:t>
            </w:r>
          </w:p>
        </w:tc>
        <w:tc>
          <w:tcPr>
            <w:tcW w:w="1609" w:type="pct"/>
            <w:gridSpan w:val="2"/>
            <w:shd w:val="clear" w:color="auto" w:fill="FFFFFF"/>
            <w:tcMar>
              <w:top w:w="110" w:type="dxa"/>
            </w:tcMar>
          </w:tcPr>
          <w:p w:rsidR="0096696E" w:rsidRPr="005C7CCE" w:rsidRDefault="0096696E" w:rsidP="001A5BF9">
            <w:pPr>
              <w:rPr>
                <w:rFonts w:cs="Arial"/>
                <w:sz w:val="16"/>
                <w:szCs w:val="16"/>
                <w:lang w:bidi="th-TH"/>
              </w:rPr>
            </w:pPr>
            <w:r w:rsidRPr="005C7CCE">
              <w:rPr>
                <w:sz w:val="16"/>
              </w:rPr>
              <w:t>6 projets supplémentaires (29 projets cumulés, mettant en œuvre 33 recommandations du Plan d</w:t>
            </w:r>
            <w:r w:rsidR="00A20444" w:rsidRPr="005C7CCE">
              <w:rPr>
                <w:sz w:val="16"/>
              </w:rPr>
              <w:t>’</w:t>
            </w:r>
            <w:r w:rsidRPr="005C7CCE">
              <w:rPr>
                <w:sz w:val="16"/>
              </w:rPr>
              <w:t>action pour le développement approuvées par le CDIP).</w:t>
            </w:r>
          </w:p>
        </w:tc>
        <w:tc>
          <w:tcPr>
            <w:tcW w:w="698" w:type="pct"/>
            <w:gridSpan w:val="2"/>
            <w:shd w:val="clear" w:color="auto" w:fill="auto"/>
          </w:tcPr>
          <w:p w:rsidR="0096696E" w:rsidRPr="00F3334C"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F3334C">
              <w:rPr>
                <w:rStyle w:val="Style5"/>
                <w:rFonts w:ascii="Arial" w:hAnsi="Arial"/>
                <w:color w:val="008000"/>
                <w:sz w:val="16"/>
              </w:rPr>
              <w:t xml:space="preserve"> </w:t>
            </w:r>
          </w:p>
        </w:tc>
      </w:tr>
      <w:tr w:rsidR="0096696E" w:rsidRPr="00F3334C" w:rsidTr="0043129C">
        <w:trPr>
          <w:cantSplit/>
        </w:trPr>
        <w:tc>
          <w:tcPr>
            <w:tcW w:w="870" w:type="pct"/>
            <w:shd w:val="clear" w:color="auto" w:fill="auto"/>
          </w:tcPr>
          <w:p w:rsidR="0096696E" w:rsidRPr="0033279F" w:rsidRDefault="0096696E" w:rsidP="001A5BF9">
            <w:pPr>
              <w:rPr>
                <w:rFonts w:cs="Arial"/>
                <w:sz w:val="16"/>
                <w:szCs w:val="16"/>
                <w:lang w:bidi="th-TH"/>
              </w:rPr>
            </w:pPr>
            <w:r w:rsidRPr="0033279F">
              <w:rPr>
                <w:sz w:val="16"/>
              </w:rPr>
              <w:t>Nombre de projets proposés par des États membres, qui sont soumis à l</w:t>
            </w:r>
            <w:r w:rsidR="00A20444" w:rsidRPr="0033279F">
              <w:rPr>
                <w:sz w:val="16"/>
              </w:rPr>
              <w:t>’</w:t>
            </w:r>
            <w:r w:rsidRPr="0033279F">
              <w:rPr>
                <w:sz w:val="16"/>
              </w:rPr>
              <w:t>examen</w:t>
            </w:r>
            <w:r w:rsidR="00A20444" w:rsidRPr="0033279F">
              <w:rPr>
                <w:sz w:val="16"/>
              </w:rPr>
              <w:t xml:space="preserve"> du CDI</w:t>
            </w:r>
            <w:r w:rsidRPr="0033279F">
              <w:rPr>
                <w:sz w:val="16"/>
              </w:rPr>
              <w:t>P</w:t>
            </w:r>
          </w:p>
        </w:tc>
        <w:tc>
          <w:tcPr>
            <w:tcW w:w="958" w:type="pct"/>
            <w:gridSpan w:val="2"/>
            <w:shd w:val="clear" w:color="auto" w:fill="auto"/>
          </w:tcPr>
          <w:p w:rsidR="00D42474" w:rsidRDefault="0096696E" w:rsidP="001A5BF9">
            <w:pPr>
              <w:rPr>
                <w:rFonts w:cs="Arial"/>
                <w:color w:val="002060"/>
                <w:sz w:val="16"/>
                <w:szCs w:val="16"/>
                <w:lang w:bidi="th-TH"/>
              </w:rPr>
            </w:pPr>
            <w:r w:rsidRPr="005C7CCE">
              <w:rPr>
                <w:i/>
                <w:color w:val="002060"/>
                <w:sz w:val="16"/>
              </w:rPr>
              <w:t>Niveau de référence actualisé fin 2011 :</w:t>
            </w:r>
            <w:r w:rsidRPr="005C7CCE">
              <w:br/>
            </w:r>
            <w:r w:rsidRPr="005C7CCE">
              <w:rPr>
                <w:color w:val="002060"/>
                <w:sz w:val="16"/>
              </w:rPr>
              <w:t>1 projet (fin 2011)</w:t>
            </w:r>
          </w:p>
          <w:p w:rsidR="00D42474" w:rsidRDefault="00D42474" w:rsidP="001A5BF9">
            <w:pPr>
              <w:rPr>
                <w:rFonts w:cs="Arial"/>
                <w:i/>
                <w:sz w:val="8"/>
                <w:szCs w:val="8"/>
                <w:lang w:bidi="th-TH"/>
              </w:rPr>
            </w:pPr>
          </w:p>
          <w:p w:rsidR="00D42474" w:rsidRDefault="0096696E" w:rsidP="001A5BF9">
            <w:pPr>
              <w:rPr>
                <w:rFonts w:cs="Arial"/>
                <w:i/>
                <w:sz w:val="16"/>
                <w:szCs w:val="16"/>
                <w:lang w:bidi="th-TH"/>
              </w:rPr>
            </w:pPr>
            <w:r w:rsidRPr="005C7CCE">
              <w:rPr>
                <w:i/>
                <w:sz w:val="16"/>
              </w:rPr>
              <w:t>Niveau de référence initial</w:t>
            </w:r>
          </w:p>
          <w:p w:rsidR="00D42474" w:rsidRDefault="00667FB3" w:rsidP="001A5BF9">
            <w:pPr>
              <w:rPr>
                <w:rFonts w:cs="Arial"/>
                <w:sz w:val="16"/>
                <w:szCs w:val="16"/>
                <w:lang w:bidi="th-TH"/>
              </w:rPr>
            </w:pPr>
            <w:r>
              <w:rPr>
                <w:i/>
                <w:sz w:val="16"/>
              </w:rPr>
              <w:t>programme et budget</w:t>
            </w:r>
            <w:r w:rsidR="0096696E" w:rsidRPr="005C7CCE">
              <w:rPr>
                <w:i/>
                <w:sz w:val="16"/>
              </w:rPr>
              <w:t> 2012</w:t>
            </w:r>
            <w:r w:rsidR="002D6F2A" w:rsidRPr="005C7CCE">
              <w:rPr>
                <w:i/>
                <w:sz w:val="16"/>
              </w:rPr>
              <w:noBreakHyphen/>
            </w:r>
            <w:r w:rsidR="0096696E" w:rsidRPr="005C7CCE">
              <w:rPr>
                <w:i/>
                <w:sz w:val="16"/>
              </w:rPr>
              <w:t>2013 :</w:t>
            </w:r>
          </w:p>
          <w:p w:rsidR="0096696E" w:rsidRPr="005C7CCE" w:rsidRDefault="0096696E" w:rsidP="001A5BF9">
            <w:pPr>
              <w:rPr>
                <w:rFonts w:cs="Arial"/>
                <w:sz w:val="16"/>
                <w:szCs w:val="16"/>
                <w:lang w:bidi="th-TH"/>
              </w:rPr>
            </w:pPr>
            <w:r w:rsidRPr="005C7CCE">
              <w:rPr>
                <w:sz w:val="16"/>
              </w:rPr>
              <w:t>À déterminer</w:t>
            </w:r>
          </w:p>
        </w:tc>
        <w:tc>
          <w:tcPr>
            <w:tcW w:w="865" w:type="pct"/>
            <w:shd w:val="clear" w:color="auto" w:fill="auto"/>
            <w:tcMar>
              <w:top w:w="110" w:type="dxa"/>
            </w:tcMar>
          </w:tcPr>
          <w:p w:rsidR="00D42474" w:rsidRDefault="0096696E" w:rsidP="001A5BF9">
            <w:pPr>
              <w:rPr>
                <w:rFonts w:cs="Arial"/>
                <w:sz w:val="16"/>
                <w:szCs w:val="16"/>
                <w:lang w:bidi="th-TH"/>
              </w:rPr>
            </w:pPr>
            <w:r w:rsidRPr="005C7CCE">
              <w:rPr>
                <w:sz w:val="16"/>
              </w:rPr>
              <w:t>Au moins un</w:t>
            </w:r>
          </w:p>
          <w:p w:rsidR="00D42474" w:rsidRDefault="0096696E" w:rsidP="001A5BF9">
            <w:pPr>
              <w:rPr>
                <w:rFonts w:cs="Arial"/>
                <w:sz w:val="16"/>
                <w:szCs w:val="16"/>
                <w:lang w:bidi="th-TH"/>
              </w:rPr>
            </w:pPr>
            <w:r w:rsidRPr="005C7CCE">
              <w:rPr>
                <w:sz w:val="16"/>
              </w:rPr>
              <w:t>projet/une région</w:t>
            </w:r>
          </w:p>
          <w:p w:rsidR="0096696E" w:rsidRPr="005C7CCE" w:rsidRDefault="0096696E" w:rsidP="001A5BF9">
            <w:pPr>
              <w:rPr>
                <w:rFonts w:cs="Arial"/>
                <w:sz w:val="16"/>
                <w:szCs w:val="16"/>
                <w:lang w:bidi="th-TH"/>
              </w:rPr>
            </w:pPr>
            <w:r w:rsidRPr="005C7CCE">
              <w:rPr>
                <w:sz w:val="16"/>
              </w:rPr>
              <w:t>(en 2012</w:t>
            </w:r>
            <w:r w:rsidR="002D6F2A" w:rsidRPr="005C7CCE">
              <w:rPr>
                <w:sz w:val="16"/>
              </w:rPr>
              <w:noBreakHyphen/>
            </w:r>
            <w:r w:rsidRPr="005C7CCE">
              <w:rPr>
                <w:sz w:val="16"/>
              </w:rPr>
              <w:t>2013)</w:t>
            </w:r>
          </w:p>
        </w:tc>
        <w:tc>
          <w:tcPr>
            <w:tcW w:w="1609" w:type="pct"/>
            <w:gridSpan w:val="2"/>
            <w:shd w:val="clear" w:color="auto" w:fill="FFFFFF"/>
            <w:tcMar>
              <w:top w:w="110" w:type="dxa"/>
            </w:tcMar>
          </w:tcPr>
          <w:p w:rsidR="0096696E" w:rsidRPr="005C7CCE" w:rsidRDefault="0096696E" w:rsidP="001A5BF9">
            <w:pPr>
              <w:rPr>
                <w:rFonts w:cs="Arial"/>
                <w:sz w:val="16"/>
                <w:szCs w:val="16"/>
                <w:lang w:bidi="th-TH"/>
              </w:rPr>
            </w:pPr>
            <w:r w:rsidRPr="005C7CCE">
              <w:rPr>
                <w:sz w:val="16"/>
              </w:rPr>
              <w:t>2 projets proposés par le Burkina Faso et la République de Corée.</w:t>
            </w:r>
          </w:p>
        </w:tc>
        <w:tc>
          <w:tcPr>
            <w:tcW w:w="698" w:type="pct"/>
            <w:gridSpan w:val="2"/>
            <w:shd w:val="clear" w:color="auto" w:fill="auto"/>
            <w:tcMar>
              <w:top w:w="110" w:type="dxa"/>
            </w:tcMar>
          </w:tcPr>
          <w:p w:rsidR="0096696E" w:rsidRPr="00F3334C" w:rsidRDefault="0096696E" w:rsidP="001A5BF9">
            <w:pPr>
              <w:keepNext/>
              <w:keepLines/>
              <w:spacing w:after="120"/>
              <w:jc w:val="center"/>
              <w:rPr>
                <w:rFonts w:cs="Arial"/>
                <w:bCs/>
                <w:color w:val="008000"/>
                <w:sz w:val="16"/>
                <w:szCs w:val="16"/>
              </w:rPr>
            </w:pPr>
            <w:r w:rsidRPr="00B470C6">
              <w:rPr>
                <w:rStyle w:val="Style5"/>
                <w:rFonts w:ascii="Arial" w:hAnsi="Arial"/>
                <w:color w:val="008000"/>
                <w:sz w:val="16"/>
              </w:rPr>
              <w:t>Objectif pleinement atteint</w:t>
            </w:r>
            <w:r w:rsidRPr="00F3334C">
              <w:rPr>
                <w:rStyle w:val="Style5"/>
                <w:rFonts w:ascii="Arial" w:hAnsi="Arial"/>
                <w:color w:val="008000"/>
                <w:sz w:val="16"/>
              </w:rPr>
              <w:t xml:space="preserve"> </w:t>
            </w:r>
          </w:p>
        </w:tc>
      </w:tr>
      <w:tr w:rsidR="0096696E" w:rsidRPr="00F3334C" w:rsidTr="0043129C">
        <w:trPr>
          <w:cantSplit/>
        </w:trPr>
        <w:tc>
          <w:tcPr>
            <w:tcW w:w="870" w:type="pct"/>
            <w:shd w:val="clear" w:color="auto" w:fill="auto"/>
          </w:tcPr>
          <w:p w:rsidR="0096696E" w:rsidRPr="0033279F" w:rsidRDefault="0096696E" w:rsidP="001A5BF9">
            <w:pPr>
              <w:rPr>
                <w:rFonts w:cs="Arial"/>
                <w:sz w:val="16"/>
                <w:szCs w:val="16"/>
                <w:lang w:bidi="th-TH"/>
              </w:rPr>
            </w:pPr>
            <w:r w:rsidRPr="0033279F">
              <w:rPr>
                <w:sz w:val="16"/>
              </w:rPr>
              <w:t>Pourcentage de projets faisant l</w:t>
            </w:r>
            <w:r w:rsidR="00A20444" w:rsidRPr="0033279F">
              <w:rPr>
                <w:sz w:val="16"/>
              </w:rPr>
              <w:t>’</w:t>
            </w:r>
            <w:r w:rsidRPr="0033279F">
              <w:rPr>
                <w:sz w:val="16"/>
              </w:rPr>
              <w:t>objet d</w:t>
            </w:r>
            <w:r w:rsidR="00A20444" w:rsidRPr="0033279F">
              <w:rPr>
                <w:sz w:val="16"/>
              </w:rPr>
              <w:t>’</w:t>
            </w:r>
            <w:r w:rsidRPr="0033279F">
              <w:rPr>
                <w:sz w:val="16"/>
              </w:rPr>
              <w:t>un suivi systématique</w:t>
            </w:r>
          </w:p>
        </w:tc>
        <w:tc>
          <w:tcPr>
            <w:tcW w:w="958" w:type="pct"/>
            <w:gridSpan w:val="2"/>
            <w:shd w:val="clear" w:color="auto" w:fill="auto"/>
          </w:tcPr>
          <w:p w:rsidR="00D42474" w:rsidRDefault="0096696E" w:rsidP="001A5BF9">
            <w:pPr>
              <w:rPr>
                <w:sz w:val="16"/>
              </w:rPr>
            </w:pPr>
            <w:r w:rsidRPr="005C7CCE">
              <w:rPr>
                <w:i/>
                <w:color w:val="002060"/>
                <w:sz w:val="16"/>
              </w:rPr>
              <w:t>Niveau de référence actualisé fin 2011 :</w:t>
            </w:r>
            <w:r w:rsidRPr="005C7CCE">
              <w:br/>
            </w:r>
            <w:r w:rsidRPr="005C7CCE">
              <w:rPr>
                <w:sz w:val="16"/>
              </w:rPr>
              <w:t>100</w:t>
            </w:r>
            <w:r w:rsidR="007E442D" w:rsidRPr="005C7CCE">
              <w:rPr>
                <w:sz w:val="16"/>
              </w:rPr>
              <w:t>%</w:t>
            </w:r>
            <w:r w:rsidRPr="005C7CCE">
              <w:rPr>
                <w:sz w:val="16"/>
              </w:rPr>
              <w:t xml:space="preserve"> (23 projets)</w:t>
            </w:r>
          </w:p>
          <w:p w:rsidR="00D42474" w:rsidRDefault="00D42474" w:rsidP="001A5BF9">
            <w:pPr>
              <w:rPr>
                <w:rFonts w:cs="Arial"/>
                <w:i/>
                <w:sz w:val="8"/>
                <w:szCs w:val="8"/>
                <w:lang w:bidi="th-TH"/>
              </w:rPr>
            </w:pPr>
          </w:p>
          <w:p w:rsidR="00D42474" w:rsidRDefault="0096696E" w:rsidP="001A5BF9">
            <w:pPr>
              <w:rPr>
                <w:rFonts w:cs="Arial"/>
                <w:i/>
                <w:sz w:val="16"/>
                <w:szCs w:val="16"/>
                <w:lang w:bidi="th-TH"/>
              </w:rPr>
            </w:pPr>
            <w:r w:rsidRPr="005C7CCE">
              <w:rPr>
                <w:i/>
                <w:sz w:val="16"/>
              </w:rPr>
              <w:t>Niveau de référence initial</w:t>
            </w:r>
          </w:p>
          <w:p w:rsidR="00D42474" w:rsidRDefault="00667FB3" w:rsidP="001A5BF9">
            <w:pPr>
              <w:rPr>
                <w:rFonts w:cs="Arial"/>
                <w:sz w:val="16"/>
                <w:szCs w:val="16"/>
                <w:lang w:bidi="th-TH"/>
              </w:rPr>
            </w:pPr>
            <w:r>
              <w:rPr>
                <w:i/>
                <w:sz w:val="16"/>
              </w:rPr>
              <w:t>programme et budget</w:t>
            </w:r>
            <w:r w:rsidR="0096696E" w:rsidRPr="005C7CCE">
              <w:rPr>
                <w:i/>
                <w:sz w:val="16"/>
              </w:rPr>
              <w:t> 2012</w:t>
            </w:r>
            <w:r w:rsidR="002D6F2A" w:rsidRPr="005C7CCE">
              <w:rPr>
                <w:i/>
                <w:sz w:val="16"/>
              </w:rPr>
              <w:noBreakHyphen/>
            </w:r>
            <w:r w:rsidR="0096696E" w:rsidRPr="005C7CCE">
              <w:rPr>
                <w:i/>
                <w:sz w:val="16"/>
              </w:rPr>
              <w:t>2013 :</w:t>
            </w:r>
          </w:p>
          <w:p w:rsidR="00D42474" w:rsidRDefault="0096696E" w:rsidP="001A5BF9">
            <w:pPr>
              <w:rPr>
                <w:i/>
                <w:sz w:val="16"/>
              </w:rPr>
            </w:pPr>
            <w:r w:rsidRPr="0033279F">
              <w:rPr>
                <w:i/>
                <w:sz w:val="16"/>
              </w:rPr>
              <w:t>Niveau de référence :</w:t>
            </w:r>
          </w:p>
          <w:p w:rsidR="0096696E" w:rsidRPr="005C7CCE" w:rsidRDefault="0096696E" w:rsidP="001A5BF9">
            <w:pPr>
              <w:rPr>
                <w:rFonts w:cs="Arial"/>
                <w:sz w:val="16"/>
                <w:szCs w:val="16"/>
                <w:lang w:bidi="th-TH"/>
              </w:rPr>
            </w:pPr>
            <w:r w:rsidRPr="005C7CCE">
              <w:rPr>
                <w:sz w:val="16"/>
              </w:rPr>
              <w:t>100</w:t>
            </w:r>
            <w:r w:rsidR="007E442D" w:rsidRPr="005C7CCE">
              <w:rPr>
                <w:sz w:val="16"/>
              </w:rPr>
              <w:t>%</w:t>
            </w:r>
            <w:r w:rsidRPr="005C7CCE">
              <w:rPr>
                <w:sz w:val="16"/>
              </w:rPr>
              <w:t xml:space="preserve"> (17 projets) </w:t>
            </w:r>
          </w:p>
        </w:tc>
        <w:tc>
          <w:tcPr>
            <w:tcW w:w="865" w:type="pct"/>
            <w:shd w:val="clear" w:color="auto" w:fill="auto"/>
            <w:tcMar>
              <w:top w:w="110" w:type="dxa"/>
            </w:tcMar>
          </w:tcPr>
          <w:p w:rsidR="0096696E" w:rsidRPr="0033279F" w:rsidRDefault="0096696E" w:rsidP="001A5BF9">
            <w:pPr>
              <w:rPr>
                <w:rFonts w:cs="Arial"/>
                <w:sz w:val="16"/>
                <w:szCs w:val="16"/>
                <w:lang w:bidi="th-TH"/>
              </w:rPr>
            </w:pPr>
            <w:r w:rsidRPr="0033279F">
              <w:rPr>
                <w:sz w:val="16"/>
              </w:rPr>
              <w:t>100</w:t>
            </w:r>
            <w:r w:rsidR="007E442D" w:rsidRPr="0033279F">
              <w:rPr>
                <w:sz w:val="16"/>
              </w:rPr>
              <w:t>%</w:t>
            </w:r>
          </w:p>
        </w:tc>
        <w:tc>
          <w:tcPr>
            <w:tcW w:w="1609" w:type="pct"/>
            <w:gridSpan w:val="2"/>
            <w:shd w:val="clear" w:color="auto" w:fill="FFFFFF"/>
            <w:tcMar>
              <w:top w:w="110" w:type="dxa"/>
            </w:tcMar>
          </w:tcPr>
          <w:p w:rsidR="0096696E" w:rsidRPr="0033279F" w:rsidRDefault="0096696E" w:rsidP="001A5BF9">
            <w:pPr>
              <w:rPr>
                <w:rFonts w:cs="Arial"/>
                <w:sz w:val="16"/>
                <w:szCs w:val="16"/>
                <w:lang w:bidi="th-TH"/>
              </w:rPr>
            </w:pPr>
            <w:r w:rsidRPr="0033279F">
              <w:rPr>
                <w:sz w:val="16"/>
              </w:rPr>
              <w:t>100</w:t>
            </w:r>
            <w:r w:rsidR="007E442D" w:rsidRPr="0033279F">
              <w:rPr>
                <w:sz w:val="16"/>
              </w:rPr>
              <w:t>%</w:t>
            </w:r>
            <w:r w:rsidRPr="0033279F">
              <w:rPr>
                <w:sz w:val="16"/>
              </w:rPr>
              <w:t xml:space="preserve"> des </w:t>
            </w:r>
            <w:r w:rsidR="00BD43F2" w:rsidRPr="0033279F">
              <w:rPr>
                <w:sz w:val="16"/>
              </w:rPr>
              <w:t>29 </w:t>
            </w:r>
            <w:r w:rsidRPr="0033279F">
              <w:rPr>
                <w:sz w:val="16"/>
              </w:rPr>
              <w:t xml:space="preserve">projets sont suivis. </w:t>
            </w:r>
            <w:r w:rsidR="0010442A" w:rsidRPr="0033279F">
              <w:rPr>
                <w:sz w:val="16"/>
              </w:rPr>
              <w:t xml:space="preserve"> </w:t>
            </w:r>
            <w:r w:rsidRPr="0033279F">
              <w:rPr>
                <w:sz w:val="16"/>
              </w:rPr>
              <w:t>Les rapports de situation sont rédigés et soumis</w:t>
            </w:r>
            <w:r w:rsidR="00A20444" w:rsidRPr="0033279F">
              <w:rPr>
                <w:sz w:val="16"/>
              </w:rPr>
              <w:t xml:space="preserve"> au CDI</w:t>
            </w:r>
            <w:r w:rsidRPr="0033279F">
              <w:rPr>
                <w:sz w:val="16"/>
              </w:rPr>
              <w:t>P.</w:t>
            </w:r>
          </w:p>
        </w:tc>
        <w:tc>
          <w:tcPr>
            <w:tcW w:w="698" w:type="pct"/>
            <w:gridSpan w:val="2"/>
            <w:shd w:val="clear" w:color="auto" w:fill="auto"/>
          </w:tcPr>
          <w:p w:rsidR="0096696E" w:rsidRPr="00F3334C"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F3334C" w:rsidTr="0043129C">
        <w:trPr>
          <w:cantSplit/>
        </w:trPr>
        <w:tc>
          <w:tcPr>
            <w:tcW w:w="870" w:type="pct"/>
            <w:shd w:val="clear" w:color="auto" w:fill="auto"/>
          </w:tcPr>
          <w:p w:rsidR="0096696E" w:rsidRPr="0033279F" w:rsidRDefault="0096696E" w:rsidP="001A5BF9">
            <w:pPr>
              <w:rPr>
                <w:rFonts w:cs="Arial"/>
                <w:sz w:val="16"/>
                <w:szCs w:val="16"/>
                <w:lang w:bidi="th-TH"/>
              </w:rPr>
            </w:pPr>
            <w:r w:rsidRPr="0033279F">
              <w:rPr>
                <w:sz w:val="16"/>
              </w:rPr>
              <w:t>Pourcentage de projets ayant fait l</w:t>
            </w:r>
            <w:r w:rsidR="00A20444" w:rsidRPr="0033279F">
              <w:rPr>
                <w:sz w:val="16"/>
              </w:rPr>
              <w:t>’</w:t>
            </w:r>
            <w:r w:rsidRPr="0033279F">
              <w:rPr>
                <w:sz w:val="16"/>
              </w:rPr>
              <w:t>objet d</w:t>
            </w:r>
            <w:r w:rsidR="00A20444" w:rsidRPr="0033279F">
              <w:rPr>
                <w:sz w:val="16"/>
              </w:rPr>
              <w:t>’</w:t>
            </w:r>
            <w:r w:rsidRPr="0033279F">
              <w:rPr>
                <w:sz w:val="16"/>
              </w:rPr>
              <w:t>une évaluation au cours de l</w:t>
            </w:r>
            <w:r w:rsidR="00A20444" w:rsidRPr="0033279F">
              <w:rPr>
                <w:sz w:val="16"/>
              </w:rPr>
              <w:t>’</w:t>
            </w:r>
            <w:r w:rsidRPr="0033279F">
              <w:rPr>
                <w:sz w:val="16"/>
              </w:rPr>
              <w:t>exercice biennal</w:t>
            </w:r>
          </w:p>
        </w:tc>
        <w:tc>
          <w:tcPr>
            <w:tcW w:w="958" w:type="pct"/>
            <w:gridSpan w:val="2"/>
            <w:shd w:val="clear" w:color="auto" w:fill="auto"/>
          </w:tcPr>
          <w:p w:rsidR="00D42474" w:rsidRDefault="0096696E" w:rsidP="001A5BF9">
            <w:pPr>
              <w:rPr>
                <w:rFonts w:cs="Arial"/>
                <w:i/>
                <w:color w:val="002060"/>
                <w:sz w:val="16"/>
                <w:szCs w:val="16"/>
                <w:lang w:bidi="th-TH"/>
              </w:rPr>
            </w:pPr>
            <w:r w:rsidRPr="005C7CCE">
              <w:rPr>
                <w:i/>
                <w:color w:val="002060"/>
                <w:sz w:val="16"/>
              </w:rPr>
              <w:t>Niveau de référence actualisé fin 2011 :</w:t>
            </w:r>
            <w:r w:rsidRPr="005C7CCE">
              <w:br/>
            </w:r>
            <w:r w:rsidRPr="005C7CCE">
              <w:rPr>
                <w:color w:val="002060"/>
                <w:sz w:val="16"/>
              </w:rPr>
              <w:t>100</w:t>
            </w:r>
            <w:r w:rsidR="007E442D" w:rsidRPr="005C7CCE">
              <w:rPr>
                <w:color w:val="002060"/>
                <w:sz w:val="16"/>
              </w:rPr>
              <w:t>%</w:t>
            </w:r>
            <w:r w:rsidRPr="005C7CCE">
              <w:rPr>
                <w:color w:val="002060"/>
                <w:sz w:val="16"/>
              </w:rPr>
              <w:t xml:space="preserve"> (12 projets)</w:t>
            </w:r>
          </w:p>
          <w:p w:rsidR="00D42474" w:rsidRDefault="00D42474" w:rsidP="001A5BF9">
            <w:pPr>
              <w:rPr>
                <w:rFonts w:cs="Arial"/>
                <w:i/>
                <w:sz w:val="8"/>
                <w:szCs w:val="8"/>
                <w:lang w:bidi="th-TH"/>
              </w:rPr>
            </w:pPr>
          </w:p>
          <w:p w:rsidR="00D42474" w:rsidRDefault="0096696E" w:rsidP="001A5BF9">
            <w:pPr>
              <w:rPr>
                <w:rFonts w:cs="Arial"/>
                <w:sz w:val="16"/>
                <w:szCs w:val="16"/>
                <w:lang w:bidi="th-TH"/>
              </w:rPr>
            </w:pPr>
            <w:r w:rsidRPr="005C7CCE">
              <w:rPr>
                <w:i/>
                <w:sz w:val="16"/>
              </w:rPr>
              <w:t>Niveau de référence initial</w:t>
            </w:r>
          </w:p>
          <w:p w:rsidR="00D42474" w:rsidRDefault="00D33EAF" w:rsidP="001A5BF9">
            <w:pPr>
              <w:rPr>
                <w:rFonts w:cs="Arial"/>
                <w:sz w:val="16"/>
                <w:szCs w:val="16"/>
              </w:rPr>
            </w:pPr>
            <w:r>
              <w:rPr>
                <w:i/>
                <w:sz w:val="16"/>
              </w:rPr>
              <w:t>p</w:t>
            </w:r>
            <w:r w:rsidR="0096696E" w:rsidRPr="005C7CCE">
              <w:rPr>
                <w:i/>
                <w:sz w:val="16"/>
              </w:rPr>
              <w:t>rogramme et budget 2012</w:t>
            </w:r>
            <w:r w:rsidR="002D6F2A" w:rsidRPr="005C7CCE">
              <w:rPr>
                <w:i/>
                <w:sz w:val="16"/>
              </w:rPr>
              <w:noBreakHyphen/>
            </w:r>
            <w:r w:rsidR="0096696E" w:rsidRPr="005C7CCE">
              <w:rPr>
                <w:i/>
                <w:sz w:val="16"/>
              </w:rPr>
              <w:t>2013 :</w:t>
            </w:r>
          </w:p>
          <w:p w:rsidR="0096696E" w:rsidRPr="005C7CCE" w:rsidRDefault="0096696E" w:rsidP="001A5BF9">
            <w:pPr>
              <w:rPr>
                <w:rFonts w:cs="Arial"/>
                <w:sz w:val="16"/>
                <w:szCs w:val="16"/>
                <w:lang w:bidi="th-TH"/>
              </w:rPr>
            </w:pPr>
            <w:r w:rsidRPr="005C7CCE">
              <w:rPr>
                <w:sz w:val="16"/>
              </w:rPr>
              <w:t>100</w:t>
            </w:r>
            <w:r w:rsidR="007E442D" w:rsidRPr="005C7CCE">
              <w:rPr>
                <w:sz w:val="16"/>
              </w:rPr>
              <w:t>%</w:t>
            </w:r>
            <w:r w:rsidRPr="005C7CCE">
              <w:rPr>
                <w:sz w:val="16"/>
              </w:rPr>
              <w:t xml:space="preserve"> (14 projets)</w:t>
            </w:r>
          </w:p>
        </w:tc>
        <w:tc>
          <w:tcPr>
            <w:tcW w:w="865" w:type="pct"/>
            <w:shd w:val="clear" w:color="auto" w:fill="auto"/>
            <w:tcMar>
              <w:top w:w="110" w:type="dxa"/>
            </w:tcMar>
          </w:tcPr>
          <w:p w:rsidR="0096696E" w:rsidRPr="0033279F" w:rsidRDefault="0096696E" w:rsidP="001A5BF9">
            <w:pPr>
              <w:rPr>
                <w:rFonts w:cs="Arial"/>
                <w:sz w:val="16"/>
                <w:szCs w:val="16"/>
                <w:lang w:bidi="th-TH"/>
              </w:rPr>
            </w:pPr>
            <w:r w:rsidRPr="0033279F">
              <w:rPr>
                <w:sz w:val="16"/>
              </w:rPr>
              <w:t>100</w:t>
            </w:r>
            <w:r w:rsidR="007E442D" w:rsidRPr="0033279F">
              <w:rPr>
                <w:sz w:val="16"/>
              </w:rPr>
              <w:t>%</w:t>
            </w:r>
          </w:p>
        </w:tc>
        <w:tc>
          <w:tcPr>
            <w:tcW w:w="1609" w:type="pct"/>
            <w:gridSpan w:val="2"/>
            <w:shd w:val="clear" w:color="auto" w:fill="FFFFFF"/>
            <w:tcMar>
              <w:top w:w="110" w:type="dxa"/>
            </w:tcMar>
          </w:tcPr>
          <w:p w:rsidR="0096696E" w:rsidRPr="0033279F" w:rsidRDefault="0096696E" w:rsidP="001A5BF9">
            <w:pPr>
              <w:rPr>
                <w:rFonts w:cs="Arial"/>
                <w:sz w:val="16"/>
                <w:szCs w:val="16"/>
                <w:lang w:bidi="th-TH"/>
              </w:rPr>
            </w:pPr>
            <w:r w:rsidRPr="0033279F">
              <w:rPr>
                <w:sz w:val="16"/>
              </w:rPr>
              <w:t>100</w:t>
            </w:r>
            <w:r w:rsidR="0010442A" w:rsidRPr="0033279F">
              <w:rPr>
                <w:sz w:val="16"/>
              </w:rPr>
              <w:t xml:space="preserve">%; </w:t>
            </w:r>
            <w:r w:rsidR="004F3E42" w:rsidRPr="0033279F">
              <w:rPr>
                <w:sz w:val="16"/>
              </w:rPr>
              <w:t xml:space="preserve"> </w:t>
            </w:r>
            <w:r w:rsidRPr="0033279F">
              <w:rPr>
                <w:sz w:val="16"/>
              </w:rPr>
              <w:t>14 rapports d</w:t>
            </w:r>
            <w:r w:rsidR="00A20444" w:rsidRPr="0033279F">
              <w:rPr>
                <w:sz w:val="16"/>
              </w:rPr>
              <w:t>’</w:t>
            </w:r>
            <w:r w:rsidRPr="0033279F">
              <w:rPr>
                <w:sz w:val="16"/>
              </w:rPr>
              <w:t>évaluation examinés par</w:t>
            </w:r>
            <w:r w:rsidR="00A20444" w:rsidRPr="0033279F">
              <w:rPr>
                <w:sz w:val="16"/>
              </w:rPr>
              <w:t xml:space="preserve"> le CDI</w:t>
            </w:r>
            <w:r w:rsidRPr="0033279F">
              <w:rPr>
                <w:sz w:val="16"/>
              </w:rPr>
              <w:t>P</w:t>
            </w:r>
          </w:p>
        </w:tc>
        <w:tc>
          <w:tcPr>
            <w:tcW w:w="698" w:type="pct"/>
            <w:gridSpan w:val="2"/>
            <w:shd w:val="clear" w:color="auto" w:fill="auto"/>
            <w:tcMar>
              <w:top w:w="110" w:type="dxa"/>
            </w:tcMar>
          </w:tcPr>
          <w:p w:rsidR="0096696E" w:rsidRPr="00F3334C" w:rsidRDefault="0096696E" w:rsidP="001A5BF9">
            <w:pPr>
              <w:keepNext/>
              <w:keepLines/>
              <w:spacing w:after="120"/>
              <w:jc w:val="center"/>
              <w:rPr>
                <w:rFonts w:cs="Arial"/>
                <w:bCs/>
                <w:color w:val="008000"/>
                <w:sz w:val="16"/>
                <w:szCs w:val="16"/>
              </w:rPr>
            </w:pPr>
            <w:r w:rsidRPr="00B470C6">
              <w:rPr>
                <w:rStyle w:val="Style5"/>
                <w:rFonts w:ascii="Arial" w:hAnsi="Arial"/>
                <w:color w:val="008000"/>
                <w:sz w:val="16"/>
              </w:rPr>
              <w:t>Objectif pleinement atteint</w:t>
            </w:r>
            <w:r w:rsidRPr="00F3334C">
              <w:rPr>
                <w:rStyle w:val="Style5"/>
                <w:rFonts w:ascii="Arial" w:hAnsi="Arial"/>
                <w:color w:val="008000"/>
                <w:sz w:val="16"/>
              </w:rPr>
              <w:t xml:space="preserve"> </w:t>
            </w:r>
          </w:p>
        </w:tc>
      </w:tr>
      <w:tr w:rsidR="0096696E" w:rsidRPr="00F3334C" w:rsidTr="0043129C">
        <w:trPr>
          <w:cantSplit/>
        </w:trPr>
        <w:tc>
          <w:tcPr>
            <w:tcW w:w="870" w:type="pct"/>
            <w:shd w:val="clear" w:color="auto" w:fill="auto"/>
          </w:tcPr>
          <w:p w:rsidR="0096696E" w:rsidRPr="0033279F" w:rsidRDefault="0096696E" w:rsidP="001A5BF9">
            <w:pPr>
              <w:rPr>
                <w:rFonts w:cs="Arial"/>
                <w:sz w:val="16"/>
                <w:szCs w:val="16"/>
                <w:lang w:bidi="th-TH"/>
              </w:rPr>
            </w:pPr>
            <w:r w:rsidRPr="0033279F">
              <w:rPr>
                <w:sz w:val="16"/>
              </w:rPr>
              <w:t>Informations reçues sur la qualité des rapports relatifs à la mise en œuvre des recommandations du Plan d</w:t>
            </w:r>
            <w:r w:rsidR="00A20444" w:rsidRPr="0033279F">
              <w:rPr>
                <w:sz w:val="16"/>
              </w:rPr>
              <w:t>’</w:t>
            </w:r>
            <w:r w:rsidRPr="0033279F">
              <w:rPr>
                <w:sz w:val="16"/>
              </w:rPr>
              <w:t>action pour le développement qui ont été présentés</w:t>
            </w:r>
            <w:r w:rsidR="00A20444" w:rsidRPr="0033279F">
              <w:rPr>
                <w:sz w:val="16"/>
              </w:rPr>
              <w:t xml:space="preserve"> au CDI</w:t>
            </w:r>
            <w:r w:rsidRPr="0033279F">
              <w:rPr>
                <w:sz w:val="16"/>
              </w:rPr>
              <w:t>P</w:t>
            </w:r>
          </w:p>
        </w:tc>
        <w:tc>
          <w:tcPr>
            <w:tcW w:w="958" w:type="pct"/>
            <w:gridSpan w:val="2"/>
            <w:shd w:val="clear" w:color="auto" w:fill="auto"/>
          </w:tcPr>
          <w:p w:rsidR="00D42474" w:rsidRDefault="0096696E" w:rsidP="001A5BF9">
            <w:pPr>
              <w:rPr>
                <w:rFonts w:cs="Arial"/>
                <w:i/>
                <w:color w:val="002060"/>
                <w:sz w:val="16"/>
                <w:szCs w:val="16"/>
                <w:lang w:bidi="th-TH"/>
              </w:rPr>
            </w:pPr>
            <w:r w:rsidRPr="005C7CCE">
              <w:rPr>
                <w:i/>
                <w:color w:val="002060"/>
                <w:sz w:val="16"/>
              </w:rPr>
              <w:t>Niveau de référence actualisé fin 2011 </w:t>
            </w:r>
            <w:proofErr w:type="gramStart"/>
            <w:r w:rsidRPr="005C7CCE">
              <w:rPr>
                <w:i/>
                <w:color w:val="002060"/>
                <w:sz w:val="16"/>
              </w:rPr>
              <w:t>:</w:t>
            </w:r>
            <w:proofErr w:type="gramEnd"/>
            <w:r w:rsidRPr="005C7CCE">
              <w:br/>
            </w:r>
            <w:r w:rsidR="0033279F">
              <w:rPr>
                <w:color w:val="002060"/>
                <w:sz w:val="16"/>
              </w:rPr>
              <w:t>r</w:t>
            </w:r>
            <w:r w:rsidRPr="005C7CCE">
              <w:rPr>
                <w:color w:val="002060"/>
                <w:sz w:val="16"/>
              </w:rPr>
              <w:t>etours positifs reçus du CDIP.</w:t>
            </w:r>
            <w:r w:rsidR="0010442A" w:rsidRPr="005C7CCE">
              <w:rPr>
                <w:color w:val="002060"/>
                <w:sz w:val="16"/>
              </w:rPr>
              <w:t xml:space="preserve"> </w:t>
            </w:r>
            <w:r w:rsidRPr="005C7CCE">
              <w:rPr>
                <w:color w:val="002060"/>
                <w:sz w:val="16"/>
              </w:rPr>
              <w:t xml:space="preserve"> Demande spécifique pour davantage d</w:t>
            </w:r>
            <w:r w:rsidR="00A20444" w:rsidRPr="005C7CCE">
              <w:rPr>
                <w:color w:val="002060"/>
                <w:sz w:val="16"/>
              </w:rPr>
              <w:t>’</w:t>
            </w:r>
            <w:r w:rsidRPr="005C7CCE">
              <w:rPr>
                <w:color w:val="002060"/>
                <w:sz w:val="16"/>
              </w:rPr>
              <w:t>informations analytiques dans les rapports</w:t>
            </w:r>
          </w:p>
          <w:p w:rsidR="00D42474" w:rsidRDefault="00D42474" w:rsidP="001A5BF9">
            <w:pPr>
              <w:rPr>
                <w:rFonts w:cs="Arial"/>
                <w:i/>
                <w:sz w:val="8"/>
                <w:szCs w:val="8"/>
                <w:lang w:bidi="th-TH"/>
              </w:rPr>
            </w:pPr>
          </w:p>
          <w:p w:rsidR="00D42474" w:rsidRDefault="0096696E" w:rsidP="001A5BF9">
            <w:pPr>
              <w:rPr>
                <w:rFonts w:cs="Arial"/>
                <w:sz w:val="16"/>
                <w:szCs w:val="16"/>
                <w:lang w:bidi="th-TH"/>
              </w:rPr>
            </w:pPr>
            <w:r w:rsidRPr="005C7CCE">
              <w:rPr>
                <w:i/>
                <w:sz w:val="16"/>
              </w:rPr>
              <w:t>Niveau de référence initial</w:t>
            </w:r>
          </w:p>
          <w:p w:rsidR="00D42474" w:rsidRDefault="00D33EAF" w:rsidP="001A5BF9">
            <w:pPr>
              <w:rPr>
                <w:rFonts w:cs="Arial"/>
                <w:sz w:val="16"/>
                <w:szCs w:val="16"/>
              </w:rPr>
            </w:pPr>
            <w:r>
              <w:rPr>
                <w:i/>
                <w:sz w:val="16"/>
              </w:rPr>
              <w:t>p</w:t>
            </w:r>
            <w:r w:rsidR="0096696E" w:rsidRPr="005C7CCE">
              <w:rPr>
                <w:i/>
                <w:sz w:val="16"/>
              </w:rPr>
              <w:t>rogramme et budget 2012</w:t>
            </w:r>
            <w:r w:rsidR="002D6F2A" w:rsidRPr="005C7CCE">
              <w:rPr>
                <w:i/>
                <w:sz w:val="16"/>
              </w:rPr>
              <w:noBreakHyphen/>
            </w:r>
            <w:r w:rsidR="0096696E" w:rsidRPr="005C7CCE">
              <w:rPr>
                <w:i/>
                <w:sz w:val="16"/>
              </w:rPr>
              <w:t>2013 :</w:t>
            </w:r>
          </w:p>
          <w:p w:rsidR="0096696E" w:rsidRPr="005C7CCE" w:rsidRDefault="00D33EAF" w:rsidP="001A5BF9">
            <w:pPr>
              <w:rPr>
                <w:rFonts w:cs="Arial"/>
                <w:sz w:val="16"/>
                <w:szCs w:val="16"/>
                <w:lang w:bidi="th-TH"/>
              </w:rPr>
            </w:pPr>
            <w:r>
              <w:rPr>
                <w:sz w:val="16"/>
              </w:rPr>
              <w:t>d</w:t>
            </w:r>
            <w:r w:rsidR="0096696E" w:rsidRPr="005C7CCE">
              <w:rPr>
                <w:sz w:val="16"/>
              </w:rPr>
              <w:t>onnées non disponibles</w:t>
            </w:r>
          </w:p>
        </w:tc>
        <w:tc>
          <w:tcPr>
            <w:tcW w:w="865" w:type="pct"/>
            <w:shd w:val="clear" w:color="auto" w:fill="auto"/>
            <w:tcMar>
              <w:top w:w="110" w:type="dxa"/>
            </w:tcMar>
          </w:tcPr>
          <w:p w:rsidR="0096696E" w:rsidRPr="0033279F" w:rsidRDefault="0096696E" w:rsidP="001A5BF9">
            <w:pPr>
              <w:rPr>
                <w:rFonts w:cs="Arial"/>
                <w:sz w:val="16"/>
                <w:szCs w:val="16"/>
                <w:lang w:bidi="th-TH"/>
              </w:rPr>
            </w:pPr>
            <w:r w:rsidRPr="0033279F">
              <w:rPr>
                <w:sz w:val="16"/>
              </w:rPr>
              <w:t>Retour d</w:t>
            </w:r>
            <w:r w:rsidR="00A20444" w:rsidRPr="0033279F">
              <w:rPr>
                <w:sz w:val="16"/>
              </w:rPr>
              <w:t>’</w:t>
            </w:r>
            <w:r w:rsidRPr="0033279F">
              <w:rPr>
                <w:sz w:val="16"/>
              </w:rPr>
              <w:t xml:space="preserve">information positif du CDIP </w:t>
            </w:r>
          </w:p>
        </w:tc>
        <w:tc>
          <w:tcPr>
            <w:tcW w:w="1609" w:type="pct"/>
            <w:gridSpan w:val="2"/>
            <w:shd w:val="clear" w:color="auto" w:fill="FFFFFF"/>
            <w:tcMar>
              <w:top w:w="110" w:type="dxa"/>
            </w:tcMar>
          </w:tcPr>
          <w:p w:rsidR="0096696E" w:rsidRPr="0033279F" w:rsidRDefault="0096696E" w:rsidP="001A5BF9">
            <w:pPr>
              <w:rPr>
                <w:rFonts w:cs="Arial"/>
                <w:sz w:val="16"/>
                <w:szCs w:val="16"/>
              </w:rPr>
            </w:pPr>
            <w:r w:rsidRPr="0033279F">
              <w:rPr>
                <w:sz w:val="16"/>
              </w:rPr>
              <w:t>Retours positifs reçus du CDIP.</w:t>
            </w:r>
            <w:r w:rsidR="0010442A" w:rsidRPr="0033279F">
              <w:rPr>
                <w:sz w:val="16"/>
              </w:rPr>
              <w:t xml:space="preserve"> </w:t>
            </w:r>
            <w:r w:rsidRPr="0033279F">
              <w:rPr>
                <w:sz w:val="16"/>
              </w:rPr>
              <w:t xml:space="preserve"> Les demandes spécifiques pour que davantage d</w:t>
            </w:r>
            <w:r w:rsidR="00A20444" w:rsidRPr="0033279F">
              <w:rPr>
                <w:sz w:val="16"/>
              </w:rPr>
              <w:t>’</w:t>
            </w:r>
            <w:r w:rsidRPr="0033279F">
              <w:rPr>
                <w:sz w:val="16"/>
              </w:rPr>
              <w:t xml:space="preserve">informations analytiques figurent dans les rapports se sont poursuivies. </w:t>
            </w:r>
            <w:r w:rsidR="0010442A" w:rsidRPr="0033279F">
              <w:rPr>
                <w:sz w:val="16"/>
              </w:rPr>
              <w:t xml:space="preserve"> </w:t>
            </w:r>
          </w:p>
        </w:tc>
        <w:tc>
          <w:tcPr>
            <w:tcW w:w="698" w:type="pct"/>
            <w:gridSpan w:val="2"/>
            <w:shd w:val="clear" w:color="auto" w:fill="auto"/>
          </w:tcPr>
          <w:p w:rsidR="0096696E" w:rsidRPr="00F3334C"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F3334C">
              <w:rPr>
                <w:rStyle w:val="Style5"/>
                <w:rFonts w:ascii="Arial" w:hAnsi="Arial"/>
                <w:color w:val="008000"/>
                <w:sz w:val="16"/>
              </w:rPr>
              <w:t xml:space="preserve"> </w:t>
            </w:r>
          </w:p>
        </w:tc>
      </w:tr>
      <w:tr w:rsidR="0096696E" w:rsidRPr="005C7CCE" w:rsidTr="00BB3F3E">
        <w:trPr>
          <w:cantSplit/>
        </w:trPr>
        <w:tc>
          <w:tcPr>
            <w:tcW w:w="5000" w:type="pct"/>
            <w:gridSpan w:val="8"/>
            <w:tcBorders>
              <w:top w:val="single" w:sz="4" w:space="0" w:color="auto"/>
              <w:bottom w:val="single" w:sz="4" w:space="0" w:color="auto"/>
            </w:tcBorders>
            <w:shd w:val="clear" w:color="auto" w:fill="CCFFFF"/>
            <w:vAlign w:val="center"/>
          </w:tcPr>
          <w:p w:rsidR="0096696E" w:rsidRPr="0033279F" w:rsidRDefault="0096696E" w:rsidP="0033279F">
            <w:pPr>
              <w:keepNext/>
              <w:keepLines/>
              <w:spacing w:before="120" w:after="120"/>
              <w:ind w:left="1735" w:hanging="1735"/>
              <w:rPr>
                <w:rFonts w:cs="Arial"/>
                <w:sz w:val="16"/>
                <w:szCs w:val="16"/>
                <w:lang w:bidi="th-TH"/>
              </w:rPr>
            </w:pPr>
            <w:r w:rsidRPr="0033279F">
              <w:rPr>
                <w:b/>
                <w:sz w:val="16"/>
              </w:rPr>
              <w:t>Résultat escompté</w:t>
            </w:r>
            <w:r w:rsidR="0010442A" w:rsidRPr="0033279F">
              <w:rPr>
                <w:b/>
                <w:sz w:val="16"/>
              </w:rPr>
              <w:t xml:space="preserve"> : </w:t>
            </w:r>
            <w:r w:rsidRPr="0033279F">
              <w:rPr>
                <w:b/>
                <w:sz w:val="16"/>
              </w:rPr>
              <w:tab/>
            </w:r>
            <w:r w:rsidRPr="0033279F">
              <w:rPr>
                <w:sz w:val="16"/>
              </w:rPr>
              <w:t>Meilleure compréhension du Plan d</w:t>
            </w:r>
            <w:r w:rsidR="00A20444" w:rsidRPr="0033279F">
              <w:rPr>
                <w:sz w:val="16"/>
              </w:rPr>
              <w:t>’</w:t>
            </w:r>
            <w:r w:rsidRPr="0033279F">
              <w:rPr>
                <w:sz w:val="16"/>
              </w:rPr>
              <w:t>action pour le développement par les États membres, les organisations intergouvernementales, la société civile et les autres parties prenantes</w:t>
            </w:r>
          </w:p>
        </w:tc>
      </w:tr>
      <w:tr w:rsidR="0096696E" w:rsidRPr="0033279F" w:rsidTr="0043129C">
        <w:trPr>
          <w:cantSplit/>
        </w:trPr>
        <w:tc>
          <w:tcPr>
            <w:tcW w:w="870" w:type="pct"/>
            <w:tcBorders>
              <w:top w:val="single" w:sz="4" w:space="0" w:color="auto"/>
            </w:tcBorders>
            <w:shd w:val="clear" w:color="auto" w:fill="auto"/>
            <w:vAlign w:val="center"/>
          </w:tcPr>
          <w:p w:rsidR="0096696E" w:rsidRPr="0033279F" w:rsidRDefault="0096696E" w:rsidP="001A5BF9">
            <w:pPr>
              <w:spacing w:after="40"/>
              <w:rPr>
                <w:rFonts w:cs="Arial"/>
                <w:b/>
                <w:sz w:val="16"/>
                <w:szCs w:val="16"/>
              </w:rPr>
            </w:pPr>
            <w:r w:rsidRPr="0033279F">
              <w:rPr>
                <w:b/>
                <w:sz w:val="16"/>
              </w:rPr>
              <w:t>Indicateurs d</w:t>
            </w:r>
            <w:r w:rsidR="00A20444" w:rsidRPr="0033279F">
              <w:rPr>
                <w:b/>
                <w:sz w:val="16"/>
              </w:rPr>
              <w:t>’</w:t>
            </w:r>
            <w:r w:rsidRPr="0033279F">
              <w:rPr>
                <w:b/>
                <w:sz w:val="16"/>
              </w:rPr>
              <w:t>exécution</w:t>
            </w:r>
          </w:p>
        </w:tc>
        <w:tc>
          <w:tcPr>
            <w:tcW w:w="911" w:type="pct"/>
            <w:tcBorders>
              <w:top w:val="single" w:sz="4" w:space="0" w:color="auto"/>
            </w:tcBorders>
            <w:shd w:val="clear" w:color="auto" w:fill="auto"/>
            <w:vAlign w:val="center"/>
          </w:tcPr>
          <w:p w:rsidR="0096696E" w:rsidRPr="0033279F" w:rsidRDefault="0096696E" w:rsidP="001A5BF9">
            <w:pPr>
              <w:spacing w:after="40"/>
              <w:rPr>
                <w:rFonts w:cs="Arial"/>
                <w:b/>
                <w:bCs/>
                <w:sz w:val="16"/>
                <w:szCs w:val="16"/>
              </w:rPr>
            </w:pPr>
            <w:r w:rsidRPr="0033279F">
              <w:rPr>
                <w:b/>
                <w:sz w:val="16"/>
              </w:rPr>
              <w:t>Niveaux de référence</w:t>
            </w:r>
          </w:p>
        </w:tc>
        <w:tc>
          <w:tcPr>
            <w:tcW w:w="912" w:type="pct"/>
            <w:gridSpan w:val="2"/>
            <w:tcBorders>
              <w:top w:val="single" w:sz="4" w:space="0" w:color="auto"/>
            </w:tcBorders>
            <w:shd w:val="clear" w:color="auto" w:fill="auto"/>
            <w:tcMar>
              <w:top w:w="110" w:type="dxa"/>
            </w:tcMar>
            <w:vAlign w:val="center"/>
          </w:tcPr>
          <w:p w:rsidR="0096696E" w:rsidRPr="0033279F" w:rsidRDefault="0096696E" w:rsidP="001A5BF9">
            <w:pPr>
              <w:spacing w:after="40"/>
              <w:rPr>
                <w:rFonts w:cs="Arial"/>
                <w:b/>
                <w:sz w:val="16"/>
                <w:szCs w:val="16"/>
              </w:rPr>
            </w:pPr>
            <w:r w:rsidRPr="0033279F">
              <w:rPr>
                <w:b/>
                <w:sz w:val="16"/>
              </w:rPr>
              <w:t>Objectifs visés</w:t>
            </w:r>
          </w:p>
        </w:tc>
        <w:tc>
          <w:tcPr>
            <w:tcW w:w="1609" w:type="pct"/>
            <w:gridSpan w:val="2"/>
            <w:tcBorders>
              <w:top w:val="single" w:sz="4" w:space="0" w:color="auto"/>
            </w:tcBorders>
            <w:shd w:val="clear" w:color="auto" w:fill="FFFFFF"/>
            <w:tcMar>
              <w:top w:w="110" w:type="dxa"/>
            </w:tcMar>
            <w:vAlign w:val="center"/>
          </w:tcPr>
          <w:p w:rsidR="0096696E" w:rsidRPr="0033279F" w:rsidRDefault="0096696E" w:rsidP="001A5BF9">
            <w:pPr>
              <w:spacing w:after="40"/>
              <w:rPr>
                <w:rFonts w:cs="Arial"/>
                <w:b/>
                <w:sz w:val="16"/>
                <w:szCs w:val="16"/>
              </w:rPr>
            </w:pPr>
            <w:r w:rsidRPr="0033279F">
              <w:rPr>
                <w:b/>
                <w:sz w:val="16"/>
              </w:rPr>
              <w:t>Données relatives à l</w:t>
            </w:r>
            <w:r w:rsidR="00A20444" w:rsidRPr="0033279F">
              <w:rPr>
                <w:b/>
                <w:sz w:val="16"/>
              </w:rPr>
              <w:t>’</w:t>
            </w:r>
            <w:r w:rsidRPr="0033279F">
              <w:rPr>
                <w:b/>
                <w:sz w:val="16"/>
              </w:rPr>
              <w:t>exécution</w:t>
            </w:r>
          </w:p>
        </w:tc>
        <w:tc>
          <w:tcPr>
            <w:tcW w:w="698" w:type="pct"/>
            <w:gridSpan w:val="2"/>
            <w:tcBorders>
              <w:top w:val="single" w:sz="4" w:space="0" w:color="auto"/>
            </w:tcBorders>
            <w:shd w:val="clear" w:color="auto" w:fill="auto"/>
            <w:tcMar>
              <w:top w:w="110" w:type="dxa"/>
            </w:tcMar>
            <w:vAlign w:val="center"/>
          </w:tcPr>
          <w:p w:rsidR="0096696E" w:rsidRPr="0033279F" w:rsidRDefault="0096696E" w:rsidP="001A5BF9">
            <w:pPr>
              <w:keepNext/>
              <w:keepLines/>
              <w:spacing w:after="40"/>
              <w:jc w:val="center"/>
              <w:rPr>
                <w:rFonts w:cs="Arial"/>
                <w:b/>
                <w:bCs/>
                <w:sz w:val="16"/>
                <w:szCs w:val="16"/>
              </w:rPr>
            </w:pPr>
            <w:r w:rsidRPr="0033279F">
              <w:rPr>
                <w:b/>
                <w:sz w:val="16"/>
              </w:rPr>
              <w:t>Code de couleurs</w:t>
            </w:r>
          </w:p>
        </w:tc>
      </w:tr>
      <w:tr w:rsidR="0096696E" w:rsidRPr="005C7CCE" w:rsidTr="0043129C">
        <w:trPr>
          <w:cantSplit/>
        </w:trPr>
        <w:tc>
          <w:tcPr>
            <w:tcW w:w="870" w:type="pct"/>
            <w:shd w:val="clear" w:color="auto" w:fill="FFFFFF"/>
          </w:tcPr>
          <w:p w:rsidR="00D42474" w:rsidRDefault="0096696E" w:rsidP="001A5BF9">
            <w:pPr>
              <w:rPr>
                <w:rFonts w:cs="Arial"/>
                <w:sz w:val="16"/>
                <w:szCs w:val="16"/>
                <w:lang w:bidi="th-TH"/>
              </w:rPr>
            </w:pPr>
            <w:r w:rsidRPr="0033279F">
              <w:rPr>
                <w:sz w:val="16"/>
              </w:rPr>
              <w:t>Nombre de pays sollicitant</w:t>
            </w:r>
          </w:p>
          <w:p w:rsidR="0096696E" w:rsidRPr="0033279F" w:rsidRDefault="0096696E" w:rsidP="001A5BF9">
            <w:pPr>
              <w:rPr>
                <w:rFonts w:cs="Arial"/>
                <w:sz w:val="16"/>
                <w:szCs w:val="16"/>
                <w:lang w:bidi="th-TH"/>
              </w:rPr>
            </w:pPr>
            <w:r w:rsidRPr="0033279F">
              <w:rPr>
                <w:sz w:val="16"/>
              </w:rPr>
              <w:t>une assistance technique par le biais de projets du Plan d</w:t>
            </w:r>
            <w:r w:rsidR="00A20444" w:rsidRPr="0033279F">
              <w:rPr>
                <w:sz w:val="16"/>
              </w:rPr>
              <w:t>’</w:t>
            </w:r>
            <w:r w:rsidRPr="0033279F">
              <w:rPr>
                <w:sz w:val="16"/>
              </w:rPr>
              <w:t>action pour le développement et faisant part d</w:t>
            </w:r>
            <w:r w:rsidR="00A20444" w:rsidRPr="0033279F">
              <w:rPr>
                <w:sz w:val="16"/>
              </w:rPr>
              <w:t>’</w:t>
            </w:r>
            <w:r w:rsidRPr="0033279F">
              <w:rPr>
                <w:sz w:val="16"/>
              </w:rPr>
              <w:t>un intérêt pour des activités se rapportant au Plan d</w:t>
            </w:r>
            <w:r w:rsidR="00A20444" w:rsidRPr="0033279F">
              <w:rPr>
                <w:sz w:val="16"/>
              </w:rPr>
              <w:t>’</w:t>
            </w:r>
            <w:r w:rsidRPr="0033279F">
              <w:rPr>
                <w:sz w:val="16"/>
              </w:rPr>
              <w:t>action</w:t>
            </w:r>
          </w:p>
        </w:tc>
        <w:tc>
          <w:tcPr>
            <w:tcW w:w="911" w:type="pct"/>
            <w:shd w:val="clear" w:color="auto" w:fill="auto"/>
          </w:tcPr>
          <w:p w:rsidR="00D42474" w:rsidRDefault="0096696E" w:rsidP="001A5BF9">
            <w:pPr>
              <w:rPr>
                <w:rFonts w:cs="Arial"/>
                <w:i/>
                <w:sz w:val="16"/>
                <w:szCs w:val="16"/>
                <w:lang w:bidi="th-TH"/>
              </w:rPr>
            </w:pPr>
            <w:r w:rsidRPr="005C7CCE">
              <w:rPr>
                <w:i/>
                <w:color w:val="002060"/>
                <w:sz w:val="16"/>
              </w:rPr>
              <w:t>Niveau de référence actualisé fin 2011 </w:t>
            </w:r>
            <w:proofErr w:type="gramStart"/>
            <w:r w:rsidRPr="005C7CCE">
              <w:rPr>
                <w:i/>
                <w:color w:val="002060"/>
                <w:sz w:val="16"/>
              </w:rPr>
              <w:t>:</w:t>
            </w:r>
            <w:proofErr w:type="gramEnd"/>
            <w:r w:rsidRPr="005C7CCE">
              <w:br/>
            </w:r>
            <w:r w:rsidR="00667FB3">
              <w:rPr>
                <w:color w:val="002060"/>
                <w:sz w:val="16"/>
              </w:rPr>
              <w:t>projet</w:t>
            </w:r>
            <w:r w:rsidRPr="005C7CCE">
              <w:rPr>
                <w:color w:val="002060"/>
                <w:sz w:val="16"/>
              </w:rPr>
              <w:t>s et activités se rapportant au Plan d</w:t>
            </w:r>
            <w:r w:rsidR="00A20444" w:rsidRPr="005C7CCE">
              <w:rPr>
                <w:color w:val="002060"/>
                <w:sz w:val="16"/>
              </w:rPr>
              <w:t>’</w:t>
            </w:r>
            <w:r w:rsidRPr="005C7CCE">
              <w:rPr>
                <w:color w:val="002060"/>
                <w:sz w:val="16"/>
              </w:rPr>
              <w:t>action pour le développement dans 50 pays</w:t>
            </w:r>
          </w:p>
          <w:p w:rsidR="00D42474" w:rsidRDefault="00D42474" w:rsidP="001A5BF9">
            <w:pPr>
              <w:rPr>
                <w:rFonts w:cs="Arial"/>
                <w:i/>
                <w:sz w:val="16"/>
                <w:szCs w:val="16"/>
                <w:lang w:bidi="th-TH"/>
              </w:rPr>
            </w:pPr>
          </w:p>
          <w:p w:rsidR="00D42474" w:rsidRDefault="0096696E" w:rsidP="001A5BF9">
            <w:pPr>
              <w:rPr>
                <w:rFonts w:cs="Arial"/>
                <w:sz w:val="16"/>
                <w:szCs w:val="16"/>
                <w:lang w:bidi="th-TH"/>
              </w:rPr>
            </w:pPr>
            <w:r w:rsidRPr="0033279F">
              <w:rPr>
                <w:i/>
                <w:sz w:val="16"/>
                <w:szCs w:val="16"/>
              </w:rPr>
              <w:t>Niveau de référence :</w:t>
            </w:r>
          </w:p>
          <w:p w:rsidR="0096696E" w:rsidRPr="005C7CCE" w:rsidRDefault="00667FB3" w:rsidP="001A5BF9">
            <w:pPr>
              <w:rPr>
                <w:rFonts w:cs="Arial"/>
                <w:sz w:val="16"/>
                <w:szCs w:val="16"/>
                <w:lang w:bidi="th-TH"/>
              </w:rPr>
            </w:pPr>
            <w:r w:rsidRPr="0033279F">
              <w:rPr>
                <w:sz w:val="16"/>
              </w:rPr>
              <w:t>projet</w:t>
            </w:r>
            <w:r w:rsidR="0096696E" w:rsidRPr="0033279F">
              <w:rPr>
                <w:sz w:val="16"/>
              </w:rPr>
              <w:t>s et activités en rapport avec le plan d</w:t>
            </w:r>
            <w:r w:rsidR="00A20444" w:rsidRPr="0033279F">
              <w:rPr>
                <w:sz w:val="16"/>
              </w:rPr>
              <w:t>’</w:t>
            </w:r>
            <w:r w:rsidR="0096696E" w:rsidRPr="0033279F">
              <w:rPr>
                <w:sz w:val="16"/>
              </w:rPr>
              <w:t xml:space="preserve">action dans </w:t>
            </w:r>
            <w:r w:rsidR="00BD43F2" w:rsidRPr="0033279F">
              <w:rPr>
                <w:sz w:val="16"/>
              </w:rPr>
              <w:t>50 </w:t>
            </w:r>
            <w:r w:rsidR="0096696E" w:rsidRPr="0033279F">
              <w:rPr>
                <w:sz w:val="16"/>
              </w:rPr>
              <w:t xml:space="preserve">pays </w:t>
            </w:r>
          </w:p>
        </w:tc>
        <w:tc>
          <w:tcPr>
            <w:tcW w:w="912" w:type="pct"/>
            <w:gridSpan w:val="2"/>
            <w:shd w:val="clear" w:color="auto" w:fill="auto"/>
            <w:tcMar>
              <w:top w:w="110" w:type="dxa"/>
            </w:tcMar>
          </w:tcPr>
          <w:p w:rsidR="0096696E" w:rsidRPr="0033279F" w:rsidRDefault="0096696E" w:rsidP="001A5BF9">
            <w:pPr>
              <w:rPr>
                <w:rFonts w:cs="Arial"/>
                <w:sz w:val="16"/>
                <w:szCs w:val="16"/>
              </w:rPr>
            </w:pPr>
            <w:r w:rsidRPr="0033279F">
              <w:rPr>
                <w:sz w:val="16"/>
              </w:rPr>
              <w:t>Projets et activités en rapport avec le plan d</w:t>
            </w:r>
            <w:r w:rsidR="00A20444" w:rsidRPr="0033279F">
              <w:rPr>
                <w:sz w:val="16"/>
              </w:rPr>
              <w:t>’</w:t>
            </w:r>
            <w:r w:rsidRPr="0033279F">
              <w:rPr>
                <w:sz w:val="16"/>
              </w:rPr>
              <w:t xml:space="preserve">action dans </w:t>
            </w:r>
            <w:r w:rsidR="00BD43F2" w:rsidRPr="0033279F">
              <w:rPr>
                <w:sz w:val="16"/>
              </w:rPr>
              <w:t>50 </w:t>
            </w:r>
            <w:r w:rsidRPr="0033279F">
              <w:rPr>
                <w:sz w:val="16"/>
              </w:rPr>
              <w:t>pays</w:t>
            </w:r>
          </w:p>
        </w:tc>
        <w:tc>
          <w:tcPr>
            <w:tcW w:w="1609" w:type="pct"/>
            <w:gridSpan w:val="2"/>
            <w:shd w:val="clear" w:color="auto" w:fill="FFFFFF"/>
            <w:tcMar>
              <w:top w:w="110" w:type="dxa"/>
            </w:tcMar>
          </w:tcPr>
          <w:p w:rsidR="0096696E" w:rsidRPr="0033279F" w:rsidRDefault="0096696E" w:rsidP="001A5BF9">
            <w:pPr>
              <w:rPr>
                <w:rFonts w:cs="Arial"/>
                <w:sz w:val="16"/>
                <w:szCs w:val="16"/>
                <w:lang w:bidi="th-TH"/>
              </w:rPr>
            </w:pPr>
            <w:r w:rsidRPr="0033279F">
              <w:rPr>
                <w:sz w:val="16"/>
              </w:rPr>
              <w:t>Projets et activités en rapport avec le plan d</w:t>
            </w:r>
            <w:r w:rsidR="00A20444" w:rsidRPr="0033279F">
              <w:rPr>
                <w:sz w:val="16"/>
              </w:rPr>
              <w:t>’</w:t>
            </w:r>
            <w:r w:rsidRPr="0033279F">
              <w:rPr>
                <w:sz w:val="16"/>
              </w:rPr>
              <w:t xml:space="preserve">action dans </w:t>
            </w:r>
            <w:r w:rsidR="00BD43F2" w:rsidRPr="0033279F">
              <w:rPr>
                <w:sz w:val="16"/>
              </w:rPr>
              <w:t>50 </w:t>
            </w:r>
            <w:r w:rsidRPr="0033279F">
              <w:rPr>
                <w:sz w:val="16"/>
              </w:rPr>
              <w:t>pays</w:t>
            </w:r>
          </w:p>
        </w:tc>
        <w:tc>
          <w:tcPr>
            <w:tcW w:w="698" w:type="pct"/>
            <w:gridSpan w:val="2"/>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b/>
                <w:color w:val="008000"/>
                <w:sz w:val="16"/>
              </w:rPr>
              <w:t xml:space="preserve"> </w:t>
            </w:r>
          </w:p>
        </w:tc>
      </w:tr>
    </w:tbl>
    <w:p w:rsidR="00D42474" w:rsidRDefault="00D42474" w:rsidP="001A5BF9"/>
    <w:p w:rsidR="00D42474" w:rsidRDefault="00D42474" w:rsidP="001A5BF9">
      <w:pPr>
        <w:rPr>
          <w:rFonts w:cs="Arial"/>
        </w:rPr>
      </w:pPr>
    </w:p>
    <w:p w:rsidR="00D42474" w:rsidRDefault="0096696E" w:rsidP="001A5BF9">
      <w:pPr>
        <w:pStyle w:val="NormalWeb"/>
        <w:spacing w:before="0" w:beforeAutospacing="0" w:after="0" w:afterAutospacing="0"/>
        <w:rPr>
          <w:sz w:val="22"/>
          <w:szCs w:val="22"/>
        </w:rPr>
      </w:pPr>
      <w:r w:rsidRPr="0033279F">
        <w:rPr>
          <w:sz w:val="22"/>
        </w:rPr>
        <w:t>BUDGET ET DÉPENSES EFFECTIVES</w:t>
      </w:r>
    </w:p>
    <w:p w:rsidR="00D42474" w:rsidRDefault="00D42474" w:rsidP="001A5BF9">
      <w:pPr>
        <w:pStyle w:val="NormalWeb"/>
        <w:spacing w:before="0" w:beforeAutospacing="0" w:after="0" w:afterAutospacing="0"/>
        <w:jc w:val="center"/>
        <w:rPr>
          <w:sz w:val="22"/>
          <w:szCs w:val="22"/>
        </w:rPr>
      </w:pPr>
    </w:p>
    <w:p w:rsidR="00D42474" w:rsidRDefault="0096696E" w:rsidP="001A5BF9">
      <w:pPr>
        <w:pStyle w:val="NormalWeb"/>
        <w:spacing w:before="0" w:beforeAutospacing="0" w:after="0" w:afterAutospacing="0"/>
        <w:jc w:val="center"/>
        <w:rPr>
          <w:sz w:val="20"/>
          <w:szCs w:val="20"/>
        </w:rPr>
      </w:pPr>
      <w:r w:rsidRPr="0033279F">
        <w:rPr>
          <w:sz w:val="20"/>
        </w:rPr>
        <w:t>Budget et dépenses effectives (par résultat)</w:t>
      </w:r>
    </w:p>
    <w:p w:rsidR="00D42474" w:rsidRDefault="0096696E" w:rsidP="001A5BF9">
      <w:pPr>
        <w:pStyle w:val="NormalWeb"/>
        <w:spacing w:before="0" w:beforeAutospacing="0" w:after="0" w:afterAutospacing="0"/>
        <w:jc w:val="center"/>
        <w:rPr>
          <w:i/>
          <w:iCs/>
          <w:sz w:val="20"/>
          <w:szCs w:val="20"/>
        </w:rPr>
      </w:pPr>
      <w:r w:rsidRPr="0033279F">
        <w:rPr>
          <w:i/>
          <w:sz w:val="20"/>
        </w:rPr>
        <w:t>(</w:t>
      </w:r>
      <w:proofErr w:type="gramStart"/>
      <w:r w:rsidRPr="0033279F">
        <w:rPr>
          <w:i/>
          <w:sz w:val="20"/>
        </w:rPr>
        <w:t>en</w:t>
      </w:r>
      <w:proofErr w:type="gramEnd"/>
      <w:r w:rsidRPr="0033279F">
        <w:rPr>
          <w:i/>
          <w:sz w:val="20"/>
        </w:rPr>
        <w:t xml:space="preserve"> milliers de francs suisses)</w:t>
      </w:r>
    </w:p>
    <w:p w:rsidR="0096696E" w:rsidRPr="0033279F" w:rsidRDefault="0096696E" w:rsidP="001A5BF9">
      <w:pPr>
        <w:rPr>
          <w:rFonts w:cs="Arial"/>
          <w:szCs w:val="22"/>
        </w:rPr>
      </w:pPr>
    </w:p>
    <w:tbl>
      <w:tblPr>
        <w:tblW w:w="0" w:type="auto"/>
        <w:tblInd w:w="108" w:type="dxa"/>
        <w:tblLayout w:type="fixed"/>
        <w:tblLook w:val="04A0" w:firstRow="1" w:lastRow="0" w:firstColumn="1" w:lastColumn="0" w:noHBand="0" w:noVBand="1"/>
      </w:tblPr>
      <w:tblGrid>
        <w:gridCol w:w="409"/>
        <w:gridCol w:w="300"/>
        <w:gridCol w:w="4253"/>
        <w:gridCol w:w="1464"/>
        <w:gridCol w:w="1465"/>
        <w:gridCol w:w="1465"/>
      </w:tblGrid>
      <w:tr w:rsidR="0096696E" w:rsidRPr="0033279F" w:rsidTr="00BB3F3E">
        <w:tc>
          <w:tcPr>
            <w:tcW w:w="4962" w:type="dxa"/>
            <w:gridSpan w:val="3"/>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33279F" w:rsidRDefault="0096696E" w:rsidP="001A5BF9">
            <w:pPr>
              <w:spacing w:before="120" w:after="120"/>
              <w:jc w:val="center"/>
              <w:rPr>
                <w:rFonts w:cs="Arial"/>
                <w:bCs/>
                <w:sz w:val="16"/>
                <w:szCs w:val="16"/>
              </w:rPr>
            </w:pPr>
            <w:r w:rsidRPr="0033279F">
              <w:rPr>
                <w:sz w:val="16"/>
              </w:rPr>
              <w:t>Numéro et description du résultat escompté</w:t>
            </w:r>
          </w:p>
        </w:tc>
        <w:tc>
          <w:tcPr>
            <w:tcW w:w="1464" w:type="dxa"/>
            <w:tcBorders>
              <w:top w:val="single" w:sz="4" w:space="0" w:color="auto"/>
              <w:left w:val="nil"/>
              <w:bottom w:val="single" w:sz="4" w:space="0" w:color="auto"/>
              <w:right w:val="single" w:sz="4" w:space="0" w:color="auto"/>
            </w:tcBorders>
            <w:shd w:val="clear" w:color="000000" w:fill="CCFFFF"/>
            <w:vAlign w:val="center"/>
          </w:tcPr>
          <w:p w:rsidR="0096696E" w:rsidRPr="0033279F" w:rsidRDefault="0096696E" w:rsidP="001A5BF9">
            <w:pPr>
              <w:spacing w:before="120" w:after="120"/>
              <w:jc w:val="center"/>
              <w:rPr>
                <w:rFonts w:cs="Arial"/>
                <w:bCs/>
                <w:sz w:val="16"/>
                <w:szCs w:val="16"/>
              </w:rPr>
            </w:pPr>
            <w:r w:rsidRPr="0033279F">
              <w:rPr>
                <w:sz w:val="16"/>
              </w:rPr>
              <w:t>Budget</w:t>
            </w:r>
            <w:r w:rsidRPr="0033279F">
              <w:br/>
            </w:r>
            <w:r w:rsidRPr="0033279F">
              <w:rPr>
                <w:sz w:val="16"/>
              </w:rPr>
              <w:t>2012–2013 approuvé</w:t>
            </w:r>
          </w:p>
        </w:tc>
        <w:tc>
          <w:tcPr>
            <w:tcW w:w="1465" w:type="dxa"/>
            <w:tcBorders>
              <w:top w:val="single" w:sz="4" w:space="0" w:color="auto"/>
              <w:left w:val="nil"/>
              <w:bottom w:val="single" w:sz="4" w:space="0" w:color="auto"/>
              <w:right w:val="single" w:sz="4" w:space="0" w:color="auto"/>
            </w:tcBorders>
            <w:shd w:val="clear" w:color="000000" w:fill="CCFFFF"/>
            <w:vAlign w:val="center"/>
          </w:tcPr>
          <w:p w:rsidR="0096696E" w:rsidRPr="0033279F" w:rsidRDefault="0096696E" w:rsidP="001A5BF9">
            <w:pPr>
              <w:spacing w:before="120" w:after="120"/>
              <w:jc w:val="center"/>
              <w:rPr>
                <w:rFonts w:cs="Arial"/>
                <w:bCs/>
                <w:sz w:val="16"/>
                <w:szCs w:val="16"/>
              </w:rPr>
            </w:pPr>
            <w:r w:rsidRPr="0033279F">
              <w:rPr>
                <w:sz w:val="16"/>
              </w:rPr>
              <w:t>Budget</w:t>
            </w:r>
            <w:r w:rsidRPr="0033279F">
              <w:br/>
            </w:r>
            <w:r w:rsidRPr="0033279F">
              <w:rPr>
                <w:sz w:val="16"/>
              </w:rPr>
              <w:t>2012</w:t>
            </w:r>
            <w:r w:rsidR="002D6F2A" w:rsidRPr="0033279F">
              <w:rPr>
                <w:sz w:val="16"/>
              </w:rPr>
              <w:noBreakHyphen/>
            </w:r>
            <w:r w:rsidRPr="0033279F">
              <w:rPr>
                <w:sz w:val="16"/>
              </w:rPr>
              <w:t>2013 après virements</w:t>
            </w:r>
          </w:p>
        </w:tc>
        <w:tc>
          <w:tcPr>
            <w:tcW w:w="1465" w:type="dxa"/>
            <w:tcBorders>
              <w:top w:val="single" w:sz="4" w:space="0" w:color="auto"/>
              <w:left w:val="nil"/>
              <w:bottom w:val="single" w:sz="4" w:space="0" w:color="auto"/>
              <w:right w:val="single" w:sz="4" w:space="0" w:color="auto"/>
            </w:tcBorders>
            <w:shd w:val="clear" w:color="000000" w:fill="CCFFFF"/>
            <w:vAlign w:val="center"/>
          </w:tcPr>
          <w:p w:rsidR="0096696E" w:rsidRPr="0033279F" w:rsidRDefault="0096696E" w:rsidP="001A5BF9">
            <w:pPr>
              <w:spacing w:before="120" w:after="120"/>
              <w:jc w:val="center"/>
              <w:rPr>
                <w:rFonts w:cs="Arial"/>
                <w:bCs/>
                <w:sz w:val="16"/>
                <w:szCs w:val="16"/>
              </w:rPr>
            </w:pPr>
            <w:r w:rsidRPr="0033279F">
              <w:rPr>
                <w:sz w:val="16"/>
              </w:rPr>
              <w:t>Dépenses</w:t>
            </w:r>
            <w:r w:rsidRPr="0033279F">
              <w:br/>
            </w:r>
            <w:r w:rsidRPr="0033279F">
              <w:rPr>
                <w:sz w:val="16"/>
              </w:rPr>
              <w:t>2012</w:t>
            </w:r>
            <w:r w:rsidR="002D6F2A" w:rsidRPr="0033279F">
              <w:rPr>
                <w:sz w:val="16"/>
              </w:rPr>
              <w:noBreakHyphen/>
            </w:r>
            <w:r w:rsidRPr="0033279F">
              <w:rPr>
                <w:sz w:val="16"/>
              </w:rPr>
              <w:t>2013</w:t>
            </w:r>
          </w:p>
        </w:tc>
      </w:tr>
      <w:tr w:rsidR="0096696E" w:rsidRPr="0033279F" w:rsidTr="00BB3F3E">
        <w:tc>
          <w:tcPr>
            <w:tcW w:w="709" w:type="dxa"/>
            <w:gridSpan w:val="2"/>
            <w:tcBorders>
              <w:top w:val="nil"/>
              <w:left w:val="single" w:sz="4" w:space="0" w:color="auto"/>
              <w:bottom w:val="nil"/>
              <w:right w:val="nil"/>
            </w:tcBorders>
            <w:shd w:val="clear" w:color="000000" w:fill="FFFFFF"/>
            <w:noWrap/>
          </w:tcPr>
          <w:p w:rsidR="0096696E" w:rsidRPr="0033279F" w:rsidRDefault="0096696E" w:rsidP="001A5BF9">
            <w:pPr>
              <w:spacing w:before="120"/>
              <w:jc w:val="center"/>
              <w:rPr>
                <w:rFonts w:cs="Arial"/>
                <w:sz w:val="16"/>
                <w:szCs w:val="16"/>
              </w:rPr>
            </w:pPr>
            <w:proofErr w:type="spellStart"/>
            <w:r w:rsidRPr="0033279F">
              <w:rPr>
                <w:sz w:val="16"/>
              </w:rPr>
              <w:t>III.6</w:t>
            </w:r>
            <w:proofErr w:type="spellEnd"/>
          </w:p>
        </w:tc>
        <w:tc>
          <w:tcPr>
            <w:tcW w:w="4253" w:type="dxa"/>
            <w:tcBorders>
              <w:top w:val="nil"/>
              <w:left w:val="nil"/>
              <w:bottom w:val="nil"/>
              <w:right w:val="nil"/>
            </w:tcBorders>
            <w:shd w:val="clear" w:color="000000" w:fill="FFFFFF"/>
          </w:tcPr>
          <w:p w:rsidR="0096696E" w:rsidRPr="0033279F" w:rsidRDefault="0096696E" w:rsidP="001A5BF9">
            <w:pPr>
              <w:spacing w:before="120"/>
              <w:rPr>
                <w:rFonts w:cs="Arial"/>
                <w:sz w:val="16"/>
                <w:szCs w:val="16"/>
              </w:rPr>
            </w:pPr>
            <w:r w:rsidRPr="0033279F">
              <w:rPr>
                <w:sz w:val="16"/>
              </w:rPr>
              <w:t>Principes du Plan d</w:t>
            </w:r>
            <w:r w:rsidR="00A20444" w:rsidRPr="0033279F">
              <w:rPr>
                <w:sz w:val="16"/>
              </w:rPr>
              <w:t>’</w:t>
            </w:r>
            <w:r w:rsidRPr="0033279F">
              <w:rPr>
                <w:sz w:val="16"/>
              </w:rPr>
              <w:t>action pour le développement intégrés dans les programmes et activités de l</w:t>
            </w:r>
            <w:r w:rsidR="00A20444" w:rsidRPr="0033279F">
              <w:rPr>
                <w:sz w:val="16"/>
              </w:rPr>
              <w:t>’</w:t>
            </w:r>
            <w:r w:rsidRPr="0033279F">
              <w:rPr>
                <w:sz w:val="16"/>
              </w:rPr>
              <w:t>Organisation</w:t>
            </w:r>
          </w:p>
        </w:tc>
        <w:tc>
          <w:tcPr>
            <w:tcW w:w="1464" w:type="dxa"/>
            <w:tcBorders>
              <w:top w:val="nil"/>
              <w:left w:val="nil"/>
              <w:bottom w:val="nil"/>
              <w:right w:val="nil"/>
            </w:tcBorders>
            <w:shd w:val="clear" w:color="000000" w:fill="FFFFFF"/>
            <w:vAlign w:val="center"/>
          </w:tcPr>
          <w:p w:rsidR="0096696E" w:rsidRPr="0033279F" w:rsidRDefault="0096696E" w:rsidP="001A5BF9">
            <w:pPr>
              <w:spacing w:before="120"/>
              <w:jc w:val="right"/>
              <w:rPr>
                <w:rFonts w:cs="Arial"/>
                <w:sz w:val="16"/>
                <w:szCs w:val="16"/>
              </w:rPr>
            </w:pPr>
            <w:r w:rsidRPr="0033279F">
              <w:rPr>
                <w:sz w:val="16"/>
              </w:rPr>
              <w:t xml:space="preserve">2 505 </w:t>
            </w:r>
          </w:p>
        </w:tc>
        <w:tc>
          <w:tcPr>
            <w:tcW w:w="1465" w:type="dxa"/>
            <w:tcBorders>
              <w:top w:val="nil"/>
              <w:left w:val="nil"/>
              <w:bottom w:val="nil"/>
              <w:right w:val="nil"/>
            </w:tcBorders>
            <w:shd w:val="clear" w:color="000000" w:fill="FFFFFF"/>
            <w:vAlign w:val="center"/>
          </w:tcPr>
          <w:p w:rsidR="0096696E" w:rsidRPr="0033279F" w:rsidRDefault="0096696E" w:rsidP="001A5BF9">
            <w:pPr>
              <w:spacing w:before="120"/>
              <w:jc w:val="right"/>
              <w:rPr>
                <w:rFonts w:cs="Arial"/>
                <w:sz w:val="16"/>
                <w:szCs w:val="16"/>
              </w:rPr>
            </w:pPr>
            <w:r w:rsidRPr="0033279F">
              <w:rPr>
                <w:sz w:val="16"/>
              </w:rPr>
              <w:t xml:space="preserve">2 341 </w:t>
            </w:r>
          </w:p>
        </w:tc>
        <w:tc>
          <w:tcPr>
            <w:tcW w:w="1465" w:type="dxa"/>
            <w:tcBorders>
              <w:top w:val="nil"/>
              <w:left w:val="nil"/>
              <w:bottom w:val="nil"/>
              <w:right w:val="single" w:sz="4" w:space="0" w:color="auto"/>
            </w:tcBorders>
            <w:shd w:val="clear" w:color="000000" w:fill="FFFFFF"/>
            <w:vAlign w:val="center"/>
          </w:tcPr>
          <w:p w:rsidR="0096696E" w:rsidRPr="0033279F" w:rsidRDefault="0096696E" w:rsidP="001A5BF9">
            <w:pPr>
              <w:spacing w:before="120"/>
              <w:jc w:val="right"/>
              <w:rPr>
                <w:rFonts w:cs="Arial"/>
                <w:sz w:val="16"/>
                <w:szCs w:val="16"/>
              </w:rPr>
            </w:pPr>
            <w:r w:rsidRPr="0033279F">
              <w:rPr>
                <w:sz w:val="16"/>
              </w:rPr>
              <w:t xml:space="preserve">2 060 </w:t>
            </w:r>
          </w:p>
        </w:tc>
      </w:tr>
      <w:tr w:rsidR="0096696E" w:rsidRPr="0033279F" w:rsidTr="00BB3F3E">
        <w:tc>
          <w:tcPr>
            <w:tcW w:w="709" w:type="dxa"/>
            <w:gridSpan w:val="2"/>
            <w:tcBorders>
              <w:top w:val="nil"/>
              <w:left w:val="single" w:sz="4" w:space="0" w:color="auto"/>
              <w:bottom w:val="nil"/>
              <w:right w:val="nil"/>
            </w:tcBorders>
            <w:shd w:val="clear" w:color="000000" w:fill="FFFFFF"/>
            <w:noWrap/>
          </w:tcPr>
          <w:p w:rsidR="0096696E" w:rsidRPr="0033279F" w:rsidRDefault="0096696E" w:rsidP="001A5BF9">
            <w:pPr>
              <w:spacing w:before="120"/>
              <w:jc w:val="center"/>
              <w:rPr>
                <w:rFonts w:cs="Arial"/>
                <w:sz w:val="16"/>
                <w:szCs w:val="16"/>
              </w:rPr>
            </w:pPr>
            <w:proofErr w:type="spellStart"/>
            <w:r w:rsidRPr="0033279F">
              <w:rPr>
                <w:sz w:val="16"/>
              </w:rPr>
              <w:t>III.7</w:t>
            </w:r>
            <w:proofErr w:type="spellEnd"/>
          </w:p>
        </w:tc>
        <w:tc>
          <w:tcPr>
            <w:tcW w:w="4253" w:type="dxa"/>
            <w:tcBorders>
              <w:top w:val="nil"/>
              <w:left w:val="nil"/>
              <w:bottom w:val="nil"/>
              <w:right w:val="nil"/>
            </w:tcBorders>
            <w:shd w:val="clear" w:color="auto" w:fill="auto"/>
          </w:tcPr>
          <w:p w:rsidR="0096696E" w:rsidRPr="0033279F" w:rsidRDefault="0096696E" w:rsidP="001A5BF9">
            <w:pPr>
              <w:spacing w:before="120"/>
              <w:rPr>
                <w:rFonts w:cs="Arial"/>
                <w:sz w:val="16"/>
                <w:szCs w:val="16"/>
              </w:rPr>
            </w:pPr>
            <w:r w:rsidRPr="0033279F">
              <w:rPr>
                <w:sz w:val="16"/>
              </w:rPr>
              <w:t>Planification, mise en œuvre, suivi, évaluation et établissement de rapports efficaces en ce qui concerne les recommandations du Plan d</w:t>
            </w:r>
            <w:r w:rsidR="00A20444" w:rsidRPr="0033279F">
              <w:rPr>
                <w:sz w:val="16"/>
              </w:rPr>
              <w:t>’</w:t>
            </w:r>
            <w:r w:rsidRPr="0033279F">
              <w:rPr>
                <w:sz w:val="16"/>
              </w:rPr>
              <w:t>action pour le développement</w:t>
            </w:r>
          </w:p>
        </w:tc>
        <w:tc>
          <w:tcPr>
            <w:tcW w:w="1464" w:type="dxa"/>
            <w:tcBorders>
              <w:top w:val="nil"/>
              <w:left w:val="nil"/>
              <w:bottom w:val="nil"/>
              <w:right w:val="nil"/>
            </w:tcBorders>
            <w:shd w:val="clear" w:color="000000" w:fill="FFFFFF"/>
            <w:vAlign w:val="center"/>
          </w:tcPr>
          <w:p w:rsidR="0096696E" w:rsidRPr="0033279F" w:rsidRDefault="0096696E" w:rsidP="001A5BF9">
            <w:pPr>
              <w:spacing w:before="120"/>
              <w:jc w:val="right"/>
              <w:rPr>
                <w:rFonts w:cs="Arial"/>
                <w:sz w:val="16"/>
                <w:szCs w:val="16"/>
              </w:rPr>
            </w:pPr>
            <w:r w:rsidRPr="0033279F">
              <w:rPr>
                <w:sz w:val="16"/>
              </w:rPr>
              <w:t xml:space="preserve">759 </w:t>
            </w:r>
          </w:p>
        </w:tc>
        <w:tc>
          <w:tcPr>
            <w:tcW w:w="1465" w:type="dxa"/>
            <w:tcBorders>
              <w:top w:val="nil"/>
              <w:left w:val="nil"/>
              <w:bottom w:val="nil"/>
              <w:right w:val="nil"/>
            </w:tcBorders>
            <w:shd w:val="clear" w:color="000000" w:fill="FFFFFF"/>
            <w:vAlign w:val="center"/>
          </w:tcPr>
          <w:p w:rsidR="0096696E" w:rsidRPr="0033279F" w:rsidRDefault="0096696E" w:rsidP="001A5BF9">
            <w:pPr>
              <w:spacing w:before="120"/>
              <w:jc w:val="right"/>
              <w:rPr>
                <w:rFonts w:cs="Arial"/>
                <w:sz w:val="16"/>
                <w:szCs w:val="16"/>
              </w:rPr>
            </w:pPr>
            <w:r w:rsidRPr="0033279F">
              <w:rPr>
                <w:sz w:val="16"/>
              </w:rPr>
              <w:t xml:space="preserve">669 </w:t>
            </w:r>
          </w:p>
        </w:tc>
        <w:tc>
          <w:tcPr>
            <w:tcW w:w="1465" w:type="dxa"/>
            <w:tcBorders>
              <w:top w:val="nil"/>
              <w:left w:val="nil"/>
              <w:bottom w:val="nil"/>
              <w:right w:val="single" w:sz="4" w:space="0" w:color="auto"/>
            </w:tcBorders>
            <w:shd w:val="clear" w:color="000000" w:fill="FFFFFF"/>
            <w:vAlign w:val="center"/>
          </w:tcPr>
          <w:p w:rsidR="0096696E" w:rsidRPr="0033279F" w:rsidRDefault="0096696E" w:rsidP="001A5BF9">
            <w:pPr>
              <w:spacing w:before="120"/>
              <w:jc w:val="right"/>
              <w:rPr>
                <w:rFonts w:cs="Arial"/>
                <w:sz w:val="16"/>
                <w:szCs w:val="16"/>
              </w:rPr>
            </w:pPr>
            <w:r w:rsidRPr="0033279F">
              <w:rPr>
                <w:sz w:val="16"/>
              </w:rPr>
              <w:t xml:space="preserve">637 </w:t>
            </w:r>
          </w:p>
        </w:tc>
      </w:tr>
      <w:tr w:rsidR="0096696E" w:rsidRPr="0033279F" w:rsidTr="00BB3F3E">
        <w:tc>
          <w:tcPr>
            <w:tcW w:w="709" w:type="dxa"/>
            <w:gridSpan w:val="2"/>
            <w:tcBorders>
              <w:top w:val="nil"/>
              <w:left w:val="single" w:sz="4" w:space="0" w:color="auto"/>
              <w:bottom w:val="single" w:sz="4" w:space="0" w:color="auto"/>
              <w:right w:val="nil"/>
            </w:tcBorders>
            <w:shd w:val="clear" w:color="000000" w:fill="FFFFFF"/>
            <w:noWrap/>
          </w:tcPr>
          <w:p w:rsidR="0096696E" w:rsidRPr="0033279F" w:rsidRDefault="0096696E" w:rsidP="001A5BF9">
            <w:pPr>
              <w:spacing w:before="120" w:after="120"/>
              <w:jc w:val="center"/>
              <w:rPr>
                <w:rFonts w:cs="Arial"/>
                <w:sz w:val="16"/>
                <w:szCs w:val="16"/>
              </w:rPr>
            </w:pPr>
            <w:proofErr w:type="spellStart"/>
            <w:r w:rsidRPr="0033279F">
              <w:rPr>
                <w:sz w:val="16"/>
              </w:rPr>
              <w:t>III.8</w:t>
            </w:r>
            <w:proofErr w:type="spellEnd"/>
          </w:p>
        </w:tc>
        <w:tc>
          <w:tcPr>
            <w:tcW w:w="4253" w:type="dxa"/>
            <w:tcBorders>
              <w:top w:val="nil"/>
              <w:left w:val="nil"/>
              <w:bottom w:val="single" w:sz="4" w:space="0" w:color="auto"/>
              <w:right w:val="nil"/>
            </w:tcBorders>
            <w:shd w:val="clear" w:color="000000" w:fill="FFFFFF"/>
          </w:tcPr>
          <w:p w:rsidR="0096696E" w:rsidRPr="0033279F" w:rsidRDefault="0096696E" w:rsidP="001A5BF9">
            <w:pPr>
              <w:spacing w:before="120" w:after="120"/>
              <w:rPr>
                <w:rFonts w:cs="Arial"/>
                <w:sz w:val="16"/>
                <w:szCs w:val="16"/>
              </w:rPr>
            </w:pPr>
            <w:r w:rsidRPr="0033279F">
              <w:rPr>
                <w:sz w:val="16"/>
              </w:rPr>
              <w:t>Meilleure compréhension du Plan d</w:t>
            </w:r>
            <w:r w:rsidR="00A20444" w:rsidRPr="0033279F">
              <w:rPr>
                <w:sz w:val="16"/>
              </w:rPr>
              <w:t>’</w:t>
            </w:r>
            <w:r w:rsidRPr="0033279F">
              <w:rPr>
                <w:sz w:val="16"/>
              </w:rPr>
              <w:t>action pour le développement par les États membres, les organisations intergouvernementales, la société civile et les autres parties prenantes</w:t>
            </w:r>
          </w:p>
        </w:tc>
        <w:tc>
          <w:tcPr>
            <w:tcW w:w="1464" w:type="dxa"/>
            <w:tcBorders>
              <w:top w:val="nil"/>
              <w:left w:val="nil"/>
              <w:bottom w:val="single" w:sz="4" w:space="0" w:color="auto"/>
              <w:right w:val="nil"/>
            </w:tcBorders>
            <w:shd w:val="clear" w:color="000000" w:fill="FFFFFF"/>
            <w:vAlign w:val="center"/>
          </w:tcPr>
          <w:p w:rsidR="0096696E" w:rsidRPr="0033279F" w:rsidRDefault="0096696E" w:rsidP="001A5BF9">
            <w:pPr>
              <w:spacing w:before="120" w:after="120"/>
              <w:jc w:val="right"/>
              <w:rPr>
                <w:rFonts w:cs="Arial"/>
                <w:sz w:val="16"/>
                <w:szCs w:val="16"/>
              </w:rPr>
            </w:pPr>
            <w:r w:rsidRPr="0033279F">
              <w:rPr>
                <w:sz w:val="16"/>
              </w:rPr>
              <w:t xml:space="preserve">1 523 </w:t>
            </w:r>
          </w:p>
        </w:tc>
        <w:tc>
          <w:tcPr>
            <w:tcW w:w="1465" w:type="dxa"/>
            <w:tcBorders>
              <w:top w:val="nil"/>
              <w:left w:val="nil"/>
              <w:bottom w:val="single" w:sz="4" w:space="0" w:color="auto"/>
              <w:right w:val="nil"/>
            </w:tcBorders>
            <w:shd w:val="clear" w:color="000000" w:fill="FFFFFF"/>
            <w:vAlign w:val="center"/>
          </w:tcPr>
          <w:p w:rsidR="0096696E" w:rsidRPr="0033279F" w:rsidRDefault="0096696E" w:rsidP="001A5BF9">
            <w:pPr>
              <w:spacing w:before="120" w:after="120"/>
              <w:jc w:val="right"/>
              <w:rPr>
                <w:rFonts w:cs="Arial"/>
                <w:sz w:val="16"/>
                <w:szCs w:val="16"/>
              </w:rPr>
            </w:pPr>
            <w:r w:rsidRPr="0033279F">
              <w:rPr>
                <w:sz w:val="16"/>
              </w:rPr>
              <w:t xml:space="preserve">924 </w:t>
            </w:r>
          </w:p>
        </w:tc>
        <w:tc>
          <w:tcPr>
            <w:tcW w:w="1465" w:type="dxa"/>
            <w:tcBorders>
              <w:top w:val="nil"/>
              <w:left w:val="nil"/>
              <w:bottom w:val="single" w:sz="4" w:space="0" w:color="auto"/>
              <w:right w:val="single" w:sz="4" w:space="0" w:color="auto"/>
            </w:tcBorders>
            <w:shd w:val="clear" w:color="000000" w:fill="FFFFFF"/>
            <w:vAlign w:val="center"/>
          </w:tcPr>
          <w:p w:rsidR="0096696E" w:rsidRPr="0033279F" w:rsidRDefault="0096696E" w:rsidP="001A5BF9">
            <w:pPr>
              <w:spacing w:before="120" w:after="120"/>
              <w:jc w:val="right"/>
              <w:rPr>
                <w:rFonts w:cs="Arial"/>
                <w:sz w:val="16"/>
                <w:szCs w:val="16"/>
              </w:rPr>
            </w:pPr>
            <w:r w:rsidRPr="0033279F">
              <w:rPr>
                <w:sz w:val="16"/>
              </w:rPr>
              <w:t xml:space="preserve">644 </w:t>
            </w:r>
          </w:p>
        </w:tc>
      </w:tr>
      <w:tr w:rsidR="0096696E" w:rsidRPr="0033279F" w:rsidTr="00BB3F3E">
        <w:tc>
          <w:tcPr>
            <w:tcW w:w="409" w:type="dxa"/>
            <w:tcBorders>
              <w:top w:val="nil"/>
              <w:left w:val="single" w:sz="4" w:space="0" w:color="auto"/>
              <w:bottom w:val="single" w:sz="4" w:space="0" w:color="auto"/>
              <w:right w:val="nil"/>
            </w:tcBorders>
            <w:shd w:val="clear" w:color="000000" w:fill="CCFFFF"/>
            <w:noWrap/>
            <w:vAlign w:val="bottom"/>
          </w:tcPr>
          <w:p w:rsidR="0096696E" w:rsidRPr="0033279F" w:rsidRDefault="0096696E" w:rsidP="001A5BF9">
            <w:pPr>
              <w:spacing w:before="120" w:after="120"/>
              <w:jc w:val="center"/>
              <w:rPr>
                <w:rFonts w:cs="Arial"/>
                <w:b/>
                <w:bCs/>
                <w:sz w:val="16"/>
                <w:szCs w:val="16"/>
              </w:rPr>
            </w:pPr>
            <w:r w:rsidRPr="0033279F">
              <w:rPr>
                <w:b/>
                <w:sz w:val="16"/>
              </w:rPr>
              <w:t> </w:t>
            </w:r>
          </w:p>
        </w:tc>
        <w:tc>
          <w:tcPr>
            <w:tcW w:w="4553" w:type="dxa"/>
            <w:gridSpan w:val="2"/>
            <w:tcBorders>
              <w:top w:val="nil"/>
              <w:left w:val="nil"/>
              <w:bottom w:val="single" w:sz="4" w:space="0" w:color="auto"/>
              <w:right w:val="nil"/>
            </w:tcBorders>
            <w:shd w:val="clear" w:color="000000" w:fill="CCFFFF"/>
            <w:noWrap/>
            <w:vAlign w:val="center"/>
          </w:tcPr>
          <w:p w:rsidR="0096696E" w:rsidRPr="0033279F" w:rsidRDefault="0096696E" w:rsidP="001A5BF9">
            <w:pPr>
              <w:spacing w:before="120" w:after="120"/>
              <w:rPr>
                <w:rFonts w:cs="Arial"/>
                <w:b/>
                <w:bCs/>
                <w:sz w:val="16"/>
                <w:szCs w:val="16"/>
              </w:rPr>
            </w:pPr>
            <w:r w:rsidRPr="0033279F">
              <w:rPr>
                <w:b/>
                <w:sz w:val="16"/>
              </w:rPr>
              <w:t>Total</w:t>
            </w:r>
          </w:p>
        </w:tc>
        <w:tc>
          <w:tcPr>
            <w:tcW w:w="1464" w:type="dxa"/>
            <w:tcBorders>
              <w:top w:val="nil"/>
              <w:left w:val="single" w:sz="4" w:space="0" w:color="auto"/>
              <w:bottom w:val="single" w:sz="4" w:space="0" w:color="auto"/>
              <w:right w:val="single" w:sz="4" w:space="0" w:color="auto"/>
            </w:tcBorders>
            <w:shd w:val="clear" w:color="000000" w:fill="CCFFFF"/>
            <w:vAlign w:val="center"/>
          </w:tcPr>
          <w:p w:rsidR="0096696E" w:rsidRPr="0033279F" w:rsidRDefault="0096696E" w:rsidP="001A5BF9">
            <w:pPr>
              <w:spacing w:before="120" w:after="120"/>
              <w:jc w:val="right"/>
              <w:rPr>
                <w:rFonts w:cs="Arial"/>
                <w:b/>
                <w:bCs/>
                <w:sz w:val="16"/>
                <w:szCs w:val="16"/>
              </w:rPr>
            </w:pPr>
            <w:r w:rsidRPr="0033279F">
              <w:rPr>
                <w:b/>
                <w:sz w:val="16"/>
              </w:rPr>
              <w:t>4 788</w:t>
            </w:r>
          </w:p>
        </w:tc>
        <w:tc>
          <w:tcPr>
            <w:tcW w:w="1465" w:type="dxa"/>
            <w:tcBorders>
              <w:top w:val="nil"/>
              <w:left w:val="nil"/>
              <w:bottom w:val="single" w:sz="4" w:space="0" w:color="auto"/>
              <w:right w:val="single" w:sz="4" w:space="0" w:color="auto"/>
            </w:tcBorders>
            <w:shd w:val="clear" w:color="000000" w:fill="CCFFFF"/>
            <w:noWrap/>
            <w:vAlign w:val="center"/>
          </w:tcPr>
          <w:p w:rsidR="0096696E" w:rsidRPr="0033279F" w:rsidRDefault="0096696E" w:rsidP="001A5BF9">
            <w:pPr>
              <w:spacing w:before="120" w:after="120"/>
              <w:jc w:val="right"/>
              <w:rPr>
                <w:rFonts w:cs="Arial"/>
                <w:b/>
                <w:bCs/>
                <w:sz w:val="16"/>
                <w:szCs w:val="16"/>
              </w:rPr>
            </w:pPr>
            <w:r w:rsidRPr="0033279F">
              <w:rPr>
                <w:b/>
                <w:sz w:val="16"/>
              </w:rPr>
              <w:t>3 934</w:t>
            </w:r>
          </w:p>
        </w:tc>
        <w:tc>
          <w:tcPr>
            <w:tcW w:w="1465" w:type="dxa"/>
            <w:tcBorders>
              <w:top w:val="nil"/>
              <w:left w:val="nil"/>
              <w:bottom w:val="single" w:sz="4" w:space="0" w:color="auto"/>
              <w:right w:val="single" w:sz="4" w:space="0" w:color="auto"/>
            </w:tcBorders>
            <w:shd w:val="clear" w:color="000000" w:fill="CCFFFF"/>
            <w:vAlign w:val="center"/>
          </w:tcPr>
          <w:p w:rsidR="0096696E" w:rsidRPr="0033279F" w:rsidRDefault="0096696E" w:rsidP="001A5BF9">
            <w:pPr>
              <w:spacing w:before="120" w:after="120"/>
              <w:jc w:val="right"/>
              <w:rPr>
                <w:rFonts w:cs="Arial"/>
                <w:b/>
                <w:bCs/>
                <w:sz w:val="16"/>
                <w:szCs w:val="16"/>
              </w:rPr>
            </w:pPr>
            <w:r w:rsidRPr="0033279F">
              <w:rPr>
                <w:b/>
                <w:sz w:val="16"/>
              </w:rPr>
              <w:t>3 341</w:t>
            </w:r>
          </w:p>
        </w:tc>
      </w:tr>
    </w:tbl>
    <w:p w:rsidR="00D42474" w:rsidRDefault="00D42474" w:rsidP="001A5BF9">
      <w:pPr>
        <w:rPr>
          <w:rFonts w:cs="Arial"/>
          <w:sz w:val="18"/>
          <w:szCs w:val="18"/>
        </w:rPr>
      </w:pPr>
    </w:p>
    <w:p w:rsidR="00D42474" w:rsidRDefault="00D42474" w:rsidP="001A5BF9">
      <w:pPr>
        <w:rPr>
          <w:rFonts w:cs="Arial"/>
          <w:sz w:val="18"/>
          <w:szCs w:val="18"/>
        </w:rPr>
      </w:pPr>
    </w:p>
    <w:p w:rsidR="00D42474" w:rsidRDefault="00D42474" w:rsidP="001A5BF9">
      <w:pPr>
        <w:rPr>
          <w:rFonts w:cs="Arial"/>
          <w:sz w:val="18"/>
          <w:szCs w:val="18"/>
        </w:rPr>
      </w:pPr>
    </w:p>
    <w:p w:rsidR="00D42474" w:rsidRDefault="0096696E" w:rsidP="001A5BF9">
      <w:pPr>
        <w:pStyle w:val="NormalWeb"/>
        <w:spacing w:before="0" w:beforeAutospacing="0" w:after="0" w:afterAutospacing="0"/>
        <w:jc w:val="center"/>
        <w:rPr>
          <w:sz w:val="20"/>
        </w:rPr>
      </w:pPr>
      <w:r w:rsidRPr="0033279F">
        <w:rPr>
          <w:sz w:val="20"/>
        </w:rPr>
        <w:t xml:space="preserve">Budget et dépenses effectives (dépenses de </w:t>
      </w:r>
      <w:proofErr w:type="gramStart"/>
      <w:r w:rsidRPr="0033279F">
        <w:rPr>
          <w:sz w:val="20"/>
        </w:rPr>
        <w:t>personnel et autres dépenses</w:t>
      </w:r>
      <w:proofErr w:type="gramEnd"/>
      <w:r w:rsidRPr="0033279F">
        <w:rPr>
          <w:sz w:val="20"/>
        </w:rPr>
        <w:t>)</w:t>
      </w:r>
    </w:p>
    <w:p w:rsidR="00D42474" w:rsidRDefault="0096696E" w:rsidP="001A5BF9">
      <w:pPr>
        <w:pStyle w:val="NormalWeb"/>
        <w:spacing w:before="0" w:beforeAutospacing="0" w:after="0" w:afterAutospacing="0"/>
        <w:jc w:val="center"/>
        <w:rPr>
          <w:sz w:val="20"/>
          <w:szCs w:val="20"/>
        </w:rPr>
      </w:pPr>
      <w:r w:rsidRPr="0033279F">
        <w:rPr>
          <w:sz w:val="20"/>
        </w:rPr>
        <w:t>(</w:t>
      </w:r>
      <w:proofErr w:type="gramStart"/>
      <w:r w:rsidRPr="0033279F">
        <w:rPr>
          <w:sz w:val="20"/>
        </w:rPr>
        <w:t>en</w:t>
      </w:r>
      <w:proofErr w:type="gramEnd"/>
      <w:r w:rsidRPr="0033279F">
        <w:rPr>
          <w:sz w:val="20"/>
        </w:rPr>
        <w:t xml:space="preserve"> milliers de francs suisses)</w:t>
      </w:r>
    </w:p>
    <w:p w:rsidR="0096696E" w:rsidRPr="0033279F" w:rsidRDefault="0096696E" w:rsidP="001A5BF9">
      <w:pPr>
        <w:rPr>
          <w:rFonts w:cs="Arial"/>
          <w:szCs w:val="22"/>
        </w:rPr>
      </w:pPr>
    </w:p>
    <w:tbl>
      <w:tblPr>
        <w:tblW w:w="0" w:type="auto"/>
        <w:tblLook w:val="04A0" w:firstRow="1" w:lastRow="0" w:firstColumn="1" w:lastColumn="0" w:noHBand="0" w:noVBand="1"/>
      </w:tblPr>
      <w:tblGrid>
        <w:gridCol w:w="2376"/>
        <w:gridCol w:w="1772"/>
        <w:gridCol w:w="1772"/>
        <w:gridCol w:w="1772"/>
        <w:gridCol w:w="1772"/>
      </w:tblGrid>
      <w:tr w:rsidR="0096696E" w:rsidRPr="0033279F" w:rsidTr="00BB3F3E">
        <w:tc>
          <w:tcPr>
            <w:tcW w:w="2376"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33279F" w:rsidRDefault="0096696E" w:rsidP="001A5BF9">
            <w:pPr>
              <w:spacing w:before="120" w:after="120"/>
              <w:rPr>
                <w:rFonts w:cs="Arial"/>
                <w:sz w:val="16"/>
                <w:szCs w:val="16"/>
              </w:rPr>
            </w:pPr>
            <w:r w:rsidRPr="0033279F">
              <w:rPr>
                <w:sz w:val="16"/>
              </w:rPr>
              <w:t> </w:t>
            </w:r>
          </w:p>
        </w:tc>
        <w:tc>
          <w:tcPr>
            <w:tcW w:w="1772" w:type="dxa"/>
            <w:tcBorders>
              <w:top w:val="single" w:sz="4" w:space="0" w:color="auto"/>
              <w:left w:val="nil"/>
              <w:bottom w:val="nil"/>
              <w:right w:val="single" w:sz="4" w:space="0" w:color="auto"/>
            </w:tcBorders>
            <w:shd w:val="clear" w:color="000000" w:fill="CCFFFF"/>
            <w:vAlign w:val="center"/>
          </w:tcPr>
          <w:p w:rsidR="0096696E" w:rsidRPr="0033279F" w:rsidRDefault="0096696E" w:rsidP="001A5BF9">
            <w:pPr>
              <w:spacing w:before="120" w:after="120"/>
              <w:jc w:val="center"/>
              <w:rPr>
                <w:rFonts w:cs="Arial"/>
                <w:bCs/>
                <w:sz w:val="16"/>
                <w:szCs w:val="16"/>
              </w:rPr>
            </w:pPr>
            <w:r w:rsidRPr="0033279F">
              <w:rPr>
                <w:sz w:val="16"/>
              </w:rPr>
              <w:t>Budget</w:t>
            </w:r>
            <w:r w:rsidRPr="0033279F">
              <w:br/>
            </w:r>
            <w:r w:rsidRPr="0033279F">
              <w:rPr>
                <w:sz w:val="16"/>
              </w:rPr>
              <w:t>2012</w:t>
            </w:r>
            <w:r w:rsidR="002D6F2A" w:rsidRPr="0033279F">
              <w:rPr>
                <w:sz w:val="16"/>
              </w:rPr>
              <w:noBreakHyphen/>
            </w:r>
            <w:r w:rsidRPr="0033279F">
              <w:rPr>
                <w:sz w:val="16"/>
              </w:rPr>
              <w:t>2013</w:t>
            </w:r>
            <w:r w:rsidRPr="0033279F">
              <w:br/>
            </w:r>
            <w:r w:rsidRPr="0033279F">
              <w:rPr>
                <w:sz w:val="16"/>
              </w:rPr>
              <w:t>approuvé</w:t>
            </w:r>
          </w:p>
        </w:tc>
        <w:tc>
          <w:tcPr>
            <w:tcW w:w="1772" w:type="dxa"/>
            <w:tcBorders>
              <w:top w:val="single" w:sz="4" w:space="0" w:color="auto"/>
              <w:left w:val="nil"/>
              <w:bottom w:val="nil"/>
              <w:right w:val="single" w:sz="4" w:space="0" w:color="auto"/>
            </w:tcBorders>
            <w:shd w:val="clear" w:color="000000" w:fill="CCFFFF"/>
            <w:vAlign w:val="center"/>
          </w:tcPr>
          <w:p w:rsidR="0096696E" w:rsidRPr="0033279F" w:rsidRDefault="0096696E" w:rsidP="001A5BF9">
            <w:pPr>
              <w:spacing w:before="120" w:after="120"/>
              <w:jc w:val="center"/>
              <w:rPr>
                <w:rFonts w:cs="Arial"/>
                <w:bCs/>
                <w:sz w:val="16"/>
                <w:szCs w:val="16"/>
              </w:rPr>
            </w:pPr>
            <w:r w:rsidRPr="0033279F">
              <w:rPr>
                <w:sz w:val="16"/>
              </w:rPr>
              <w:t>Budget</w:t>
            </w:r>
            <w:r w:rsidRPr="0033279F">
              <w:br/>
            </w:r>
            <w:r w:rsidRPr="0033279F">
              <w:rPr>
                <w:sz w:val="16"/>
              </w:rPr>
              <w:t>2012</w:t>
            </w:r>
            <w:r w:rsidR="002D6F2A" w:rsidRPr="0033279F">
              <w:rPr>
                <w:sz w:val="16"/>
              </w:rPr>
              <w:noBreakHyphen/>
            </w:r>
            <w:r w:rsidRPr="0033279F">
              <w:rPr>
                <w:sz w:val="16"/>
              </w:rPr>
              <w:t>2013</w:t>
            </w:r>
            <w:r w:rsidRPr="0033279F">
              <w:br/>
            </w:r>
            <w:r w:rsidRPr="0033279F">
              <w:rPr>
                <w:sz w:val="16"/>
              </w:rPr>
              <w:t>après virements</w:t>
            </w:r>
          </w:p>
        </w:tc>
        <w:tc>
          <w:tcPr>
            <w:tcW w:w="1772" w:type="dxa"/>
            <w:tcBorders>
              <w:top w:val="single" w:sz="4" w:space="0" w:color="auto"/>
              <w:left w:val="nil"/>
              <w:bottom w:val="nil"/>
              <w:right w:val="single" w:sz="4" w:space="0" w:color="auto"/>
            </w:tcBorders>
            <w:shd w:val="clear" w:color="000000" w:fill="CCFFFF"/>
            <w:vAlign w:val="center"/>
          </w:tcPr>
          <w:p w:rsidR="0096696E" w:rsidRPr="0033279F" w:rsidRDefault="0096696E" w:rsidP="001A5BF9">
            <w:pPr>
              <w:spacing w:before="120" w:after="120"/>
              <w:jc w:val="center"/>
              <w:rPr>
                <w:rFonts w:cs="Arial"/>
                <w:bCs/>
                <w:sz w:val="16"/>
                <w:szCs w:val="16"/>
              </w:rPr>
            </w:pPr>
            <w:r w:rsidRPr="0033279F">
              <w:rPr>
                <w:sz w:val="16"/>
              </w:rPr>
              <w:t>Dépenses</w:t>
            </w:r>
            <w:r w:rsidRPr="0033279F">
              <w:br/>
            </w:r>
            <w:r w:rsidRPr="0033279F">
              <w:rPr>
                <w:sz w:val="16"/>
              </w:rPr>
              <w:t>2012</w:t>
            </w:r>
            <w:r w:rsidR="002D6F2A" w:rsidRPr="0033279F">
              <w:rPr>
                <w:sz w:val="16"/>
              </w:rPr>
              <w:noBreakHyphen/>
            </w:r>
            <w:r w:rsidRPr="0033279F">
              <w:rPr>
                <w:sz w:val="16"/>
              </w:rPr>
              <w:t>2013</w:t>
            </w:r>
          </w:p>
        </w:tc>
        <w:tc>
          <w:tcPr>
            <w:tcW w:w="1772" w:type="dxa"/>
            <w:tcBorders>
              <w:top w:val="single" w:sz="4" w:space="0" w:color="auto"/>
              <w:left w:val="nil"/>
              <w:bottom w:val="nil"/>
              <w:right w:val="single" w:sz="4" w:space="0" w:color="auto"/>
            </w:tcBorders>
            <w:shd w:val="clear" w:color="000000" w:fill="CCFFFF"/>
            <w:vAlign w:val="center"/>
          </w:tcPr>
          <w:p w:rsidR="0096696E" w:rsidRPr="0033279F" w:rsidRDefault="0096696E" w:rsidP="001A5BF9">
            <w:pPr>
              <w:spacing w:before="120" w:after="120"/>
              <w:jc w:val="center"/>
              <w:rPr>
                <w:rFonts w:cs="Arial"/>
                <w:bCs/>
                <w:sz w:val="16"/>
                <w:szCs w:val="16"/>
              </w:rPr>
            </w:pPr>
            <w:r w:rsidRPr="0033279F">
              <w:rPr>
                <w:sz w:val="16"/>
              </w:rPr>
              <w:t>Taux d</w:t>
            </w:r>
            <w:r w:rsidR="00A20444" w:rsidRPr="0033279F">
              <w:rPr>
                <w:sz w:val="16"/>
              </w:rPr>
              <w:t>’</w:t>
            </w:r>
            <w:r w:rsidRPr="0033279F">
              <w:rPr>
                <w:sz w:val="16"/>
              </w:rPr>
              <w:t xml:space="preserve">utilisation </w:t>
            </w:r>
            <w:r w:rsidR="00BD43F2" w:rsidRPr="0033279F">
              <w:rPr>
                <w:sz w:val="16"/>
              </w:rPr>
              <w:t>(</w:t>
            </w:r>
            <w:r w:rsidR="007E442D" w:rsidRPr="0033279F">
              <w:rPr>
                <w:sz w:val="16"/>
              </w:rPr>
              <w:t>%</w:t>
            </w:r>
            <w:r w:rsidRPr="0033279F">
              <w:rPr>
                <w:sz w:val="16"/>
              </w:rPr>
              <w:t>)</w:t>
            </w:r>
          </w:p>
        </w:tc>
      </w:tr>
      <w:tr w:rsidR="0096696E" w:rsidRPr="0033279F" w:rsidTr="00BB3F3E">
        <w:tc>
          <w:tcPr>
            <w:tcW w:w="2376" w:type="dxa"/>
            <w:tcBorders>
              <w:top w:val="nil"/>
              <w:left w:val="single" w:sz="4" w:space="0" w:color="auto"/>
              <w:bottom w:val="single" w:sz="4" w:space="0" w:color="auto"/>
              <w:right w:val="single" w:sz="4" w:space="0" w:color="auto"/>
            </w:tcBorders>
            <w:shd w:val="clear" w:color="auto" w:fill="auto"/>
            <w:noWrap/>
            <w:vAlign w:val="center"/>
          </w:tcPr>
          <w:p w:rsidR="0096696E" w:rsidRPr="0033279F" w:rsidRDefault="0096696E" w:rsidP="001A5BF9">
            <w:pPr>
              <w:spacing w:before="120" w:after="120"/>
              <w:rPr>
                <w:rFonts w:cs="Arial"/>
                <w:sz w:val="16"/>
                <w:szCs w:val="16"/>
              </w:rPr>
            </w:pPr>
            <w:r w:rsidRPr="0033279F">
              <w:rPr>
                <w:sz w:val="16"/>
              </w:rPr>
              <w:t>Dépenses de personnel</w:t>
            </w:r>
            <w:r w:rsidR="004F3E42" w:rsidRPr="0033279F">
              <w:rPr>
                <w:sz w:val="16"/>
              </w:rPr>
              <w:t xml:space="preserve"> </w:t>
            </w:r>
          </w:p>
        </w:tc>
        <w:tc>
          <w:tcPr>
            <w:tcW w:w="1772" w:type="dxa"/>
            <w:tcBorders>
              <w:top w:val="single" w:sz="4" w:space="0" w:color="auto"/>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sz w:val="16"/>
                <w:szCs w:val="16"/>
              </w:rPr>
            </w:pPr>
            <w:r w:rsidRPr="0033279F">
              <w:rPr>
                <w:sz w:val="16"/>
              </w:rPr>
              <w:t>2 813</w:t>
            </w:r>
          </w:p>
        </w:tc>
        <w:tc>
          <w:tcPr>
            <w:tcW w:w="1772" w:type="dxa"/>
            <w:tcBorders>
              <w:top w:val="single" w:sz="4" w:space="0" w:color="auto"/>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sz w:val="16"/>
                <w:szCs w:val="16"/>
              </w:rPr>
            </w:pPr>
            <w:r w:rsidRPr="0033279F">
              <w:rPr>
                <w:sz w:val="16"/>
              </w:rPr>
              <w:t>2 273</w:t>
            </w:r>
          </w:p>
        </w:tc>
        <w:tc>
          <w:tcPr>
            <w:tcW w:w="1772" w:type="dxa"/>
            <w:tcBorders>
              <w:top w:val="single" w:sz="4" w:space="0" w:color="auto"/>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sz w:val="16"/>
                <w:szCs w:val="16"/>
              </w:rPr>
            </w:pPr>
            <w:r w:rsidRPr="0033279F">
              <w:rPr>
                <w:sz w:val="16"/>
              </w:rPr>
              <w:t>2 273</w:t>
            </w:r>
          </w:p>
        </w:tc>
        <w:tc>
          <w:tcPr>
            <w:tcW w:w="1772" w:type="dxa"/>
            <w:tcBorders>
              <w:top w:val="single" w:sz="4" w:space="0" w:color="auto"/>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sz w:val="16"/>
                <w:szCs w:val="16"/>
              </w:rPr>
            </w:pPr>
            <w:r w:rsidRPr="0033279F">
              <w:rPr>
                <w:sz w:val="16"/>
              </w:rPr>
              <w:t>100</w:t>
            </w:r>
            <w:r w:rsidR="007E442D" w:rsidRPr="0033279F">
              <w:rPr>
                <w:sz w:val="16"/>
              </w:rPr>
              <w:t>%</w:t>
            </w:r>
          </w:p>
        </w:tc>
      </w:tr>
      <w:tr w:rsidR="0096696E" w:rsidRPr="0033279F" w:rsidTr="00BB3F3E">
        <w:tc>
          <w:tcPr>
            <w:tcW w:w="2376" w:type="dxa"/>
            <w:tcBorders>
              <w:top w:val="nil"/>
              <w:left w:val="single" w:sz="4" w:space="0" w:color="auto"/>
              <w:bottom w:val="single" w:sz="4" w:space="0" w:color="auto"/>
              <w:right w:val="single" w:sz="4" w:space="0" w:color="auto"/>
            </w:tcBorders>
            <w:shd w:val="clear" w:color="auto" w:fill="auto"/>
            <w:noWrap/>
            <w:vAlign w:val="center"/>
          </w:tcPr>
          <w:p w:rsidR="0096696E" w:rsidRPr="0033279F" w:rsidRDefault="0096696E" w:rsidP="001A5BF9">
            <w:pPr>
              <w:spacing w:before="120" w:after="120"/>
              <w:rPr>
                <w:rFonts w:cs="Arial"/>
                <w:sz w:val="16"/>
                <w:szCs w:val="16"/>
              </w:rPr>
            </w:pPr>
            <w:r w:rsidRPr="0033279F">
              <w:rPr>
                <w:sz w:val="16"/>
              </w:rPr>
              <w:t xml:space="preserve">Autres dépenses </w:t>
            </w:r>
          </w:p>
        </w:tc>
        <w:tc>
          <w:tcPr>
            <w:tcW w:w="1772" w:type="dxa"/>
            <w:tcBorders>
              <w:top w:val="nil"/>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sz w:val="16"/>
                <w:szCs w:val="16"/>
              </w:rPr>
            </w:pPr>
            <w:r w:rsidRPr="0033279F">
              <w:rPr>
                <w:sz w:val="16"/>
              </w:rPr>
              <w:t>1 975</w:t>
            </w:r>
          </w:p>
        </w:tc>
        <w:tc>
          <w:tcPr>
            <w:tcW w:w="1772" w:type="dxa"/>
            <w:tcBorders>
              <w:top w:val="nil"/>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sz w:val="16"/>
                <w:szCs w:val="16"/>
              </w:rPr>
            </w:pPr>
            <w:r w:rsidRPr="0033279F">
              <w:rPr>
                <w:sz w:val="16"/>
              </w:rPr>
              <w:t>1 662</w:t>
            </w:r>
          </w:p>
        </w:tc>
        <w:tc>
          <w:tcPr>
            <w:tcW w:w="1772" w:type="dxa"/>
            <w:tcBorders>
              <w:top w:val="nil"/>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sz w:val="16"/>
                <w:szCs w:val="16"/>
              </w:rPr>
            </w:pPr>
            <w:r w:rsidRPr="0033279F">
              <w:rPr>
                <w:sz w:val="16"/>
              </w:rPr>
              <w:t>1 068</w:t>
            </w:r>
          </w:p>
        </w:tc>
        <w:tc>
          <w:tcPr>
            <w:tcW w:w="1772" w:type="dxa"/>
            <w:tcBorders>
              <w:top w:val="nil"/>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sz w:val="16"/>
                <w:szCs w:val="16"/>
              </w:rPr>
            </w:pPr>
            <w:r w:rsidRPr="0033279F">
              <w:rPr>
                <w:sz w:val="16"/>
              </w:rPr>
              <w:t>64</w:t>
            </w:r>
            <w:r w:rsidR="007E442D" w:rsidRPr="0033279F">
              <w:rPr>
                <w:sz w:val="16"/>
              </w:rPr>
              <w:t>%</w:t>
            </w:r>
          </w:p>
        </w:tc>
      </w:tr>
      <w:tr w:rsidR="0096696E" w:rsidRPr="0033279F" w:rsidTr="00BB3F3E">
        <w:tc>
          <w:tcPr>
            <w:tcW w:w="2376" w:type="dxa"/>
            <w:tcBorders>
              <w:top w:val="nil"/>
              <w:left w:val="single" w:sz="4" w:space="0" w:color="auto"/>
              <w:bottom w:val="single" w:sz="4" w:space="0" w:color="auto"/>
              <w:right w:val="single" w:sz="4" w:space="0" w:color="auto"/>
            </w:tcBorders>
            <w:shd w:val="clear" w:color="auto" w:fill="auto"/>
            <w:noWrap/>
            <w:vAlign w:val="center"/>
          </w:tcPr>
          <w:p w:rsidR="0096696E" w:rsidRPr="0033279F" w:rsidRDefault="0096696E" w:rsidP="001A5BF9">
            <w:pPr>
              <w:spacing w:before="120" w:after="120"/>
              <w:jc w:val="right"/>
              <w:rPr>
                <w:rFonts w:cs="Arial"/>
                <w:b/>
                <w:bCs/>
                <w:sz w:val="16"/>
                <w:szCs w:val="16"/>
              </w:rPr>
            </w:pPr>
            <w:r w:rsidRPr="0033279F">
              <w:rPr>
                <w:b/>
                <w:sz w:val="16"/>
              </w:rPr>
              <w:t xml:space="preserve">TOTAL </w:t>
            </w:r>
          </w:p>
        </w:tc>
        <w:tc>
          <w:tcPr>
            <w:tcW w:w="1772" w:type="dxa"/>
            <w:tcBorders>
              <w:top w:val="nil"/>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b/>
                <w:bCs/>
                <w:sz w:val="16"/>
                <w:szCs w:val="16"/>
              </w:rPr>
            </w:pPr>
            <w:r w:rsidRPr="0033279F">
              <w:rPr>
                <w:b/>
                <w:sz w:val="16"/>
              </w:rPr>
              <w:t>4 788</w:t>
            </w:r>
          </w:p>
        </w:tc>
        <w:tc>
          <w:tcPr>
            <w:tcW w:w="1772" w:type="dxa"/>
            <w:tcBorders>
              <w:top w:val="nil"/>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b/>
                <w:bCs/>
                <w:sz w:val="16"/>
                <w:szCs w:val="16"/>
              </w:rPr>
            </w:pPr>
            <w:r w:rsidRPr="0033279F">
              <w:rPr>
                <w:b/>
                <w:sz w:val="16"/>
              </w:rPr>
              <w:t>3 934</w:t>
            </w:r>
          </w:p>
        </w:tc>
        <w:tc>
          <w:tcPr>
            <w:tcW w:w="1772" w:type="dxa"/>
            <w:tcBorders>
              <w:top w:val="nil"/>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b/>
                <w:bCs/>
                <w:sz w:val="16"/>
                <w:szCs w:val="16"/>
              </w:rPr>
            </w:pPr>
            <w:r w:rsidRPr="0033279F">
              <w:rPr>
                <w:b/>
                <w:sz w:val="16"/>
              </w:rPr>
              <w:t>3 341</w:t>
            </w:r>
          </w:p>
        </w:tc>
        <w:tc>
          <w:tcPr>
            <w:tcW w:w="1772" w:type="dxa"/>
            <w:tcBorders>
              <w:top w:val="nil"/>
              <w:left w:val="nil"/>
              <w:bottom w:val="single" w:sz="4" w:space="0" w:color="auto"/>
              <w:right w:val="single" w:sz="4" w:space="0" w:color="auto"/>
            </w:tcBorders>
            <w:shd w:val="clear" w:color="auto" w:fill="auto"/>
            <w:vAlign w:val="center"/>
          </w:tcPr>
          <w:p w:rsidR="0096696E" w:rsidRPr="0033279F" w:rsidRDefault="0096696E" w:rsidP="001A5BF9">
            <w:pPr>
              <w:spacing w:before="120" w:after="120"/>
              <w:jc w:val="center"/>
              <w:rPr>
                <w:rFonts w:cs="Arial"/>
                <w:b/>
                <w:bCs/>
                <w:sz w:val="16"/>
                <w:szCs w:val="16"/>
              </w:rPr>
            </w:pPr>
            <w:r w:rsidRPr="0033279F">
              <w:rPr>
                <w:b/>
                <w:sz w:val="16"/>
              </w:rPr>
              <w:t>85</w:t>
            </w:r>
            <w:r w:rsidR="007E442D" w:rsidRPr="0033279F">
              <w:rPr>
                <w:b/>
                <w:sz w:val="16"/>
              </w:rPr>
              <w:t>%</w:t>
            </w:r>
          </w:p>
        </w:tc>
      </w:tr>
    </w:tbl>
    <w:p w:rsidR="00D42474" w:rsidRDefault="00D42474" w:rsidP="001A5BF9">
      <w:pPr>
        <w:keepNext/>
        <w:keepLines/>
        <w:tabs>
          <w:tab w:val="left" w:pos="2910"/>
        </w:tabs>
        <w:rPr>
          <w:rFonts w:cs="Arial"/>
          <w:szCs w:val="22"/>
        </w:rPr>
      </w:pPr>
    </w:p>
    <w:p w:rsidR="00D42474" w:rsidRDefault="0096696E" w:rsidP="001A5BF9">
      <w:pPr>
        <w:keepNext/>
        <w:keepLines/>
        <w:autoSpaceDE w:val="0"/>
        <w:autoSpaceDN w:val="0"/>
        <w:adjustRightInd w:val="0"/>
        <w:rPr>
          <w:sz w:val="16"/>
          <w:szCs w:val="16"/>
        </w:rPr>
      </w:pPr>
      <w:proofErr w:type="gramStart"/>
      <w:r w:rsidRPr="0033279F">
        <w:rPr>
          <w:sz w:val="16"/>
        </w:rPr>
        <w:t>NOTES</w:t>
      </w:r>
      <w:proofErr w:type="gramEnd"/>
      <w:r w:rsidR="0010442A" w:rsidRPr="0033279F">
        <w:rPr>
          <w:sz w:val="16"/>
        </w:rPr>
        <w:t> </w:t>
      </w:r>
      <w:r w:rsidRPr="0033279F">
        <w:rPr>
          <w:sz w:val="16"/>
        </w:rPr>
        <w:t>:</w:t>
      </w:r>
    </w:p>
    <w:p w:rsidR="00D42474" w:rsidRDefault="00D42474" w:rsidP="001A5BF9">
      <w:pPr>
        <w:keepNext/>
        <w:keepLines/>
        <w:autoSpaceDE w:val="0"/>
        <w:autoSpaceDN w:val="0"/>
        <w:adjustRightInd w:val="0"/>
        <w:rPr>
          <w:sz w:val="16"/>
          <w:szCs w:val="16"/>
        </w:rPr>
      </w:pPr>
    </w:p>
    <w:p w:rsidR="00D42474" w:rsidRDefault="0096696E" w:rsidP="001A5BF9">
      <w:pPr>
        <w:keepNext/>
        <w:keepLines/>
        <w:autoSpaceDE w:val="0"/>
        <w:autoSpaceDN w:val="0"/>
        <w:adjustRightInd w:val="0"/>
        <w:rPr>
          <w:sz w:val="16"/>
          <w:szCs w:val="16"/>
        </w:rPr>
      </w:pPr>
      <w:r w:rsidRPr="0033279F">
        <w:rPr>
          <w:sz w:val="16"/>
        </w:rPr>
        <w:t>1)</w:t>
      </w:r>
      <w:r w:rsidR="004F3E42" w:rsidRPr="0033279F">
        <w:rPr>
          <w:sz w:val="16"/>
        </w:rPr>
        <w:t xml:space="preserve"> </w:t>
      </w:r>
      <w:r w:rsidR="0033279F">
        <w:rPr>
          <w:sz w:val="16"/>
        </w:rPr>
        <w:tab/>
      </w:r>
      <w:r w:rsidRPr="0033279F">
        <w:rPr>
          <w:sz w:val="16"/>
        </w:rPr>
        <w:t>Le budget restructuré après virements tient compte du budget ajusté des programmes après les virements réalisés au cours de l</w:t>
      </w:r>
      <w:r w:rsidR="00A20444" w:rsidRPr="0033279F">
        <w:rPr>
          <w:sz w:val="16"/>
        </w:rPr>
        <w:t>’</w:t>
      </w:r>
      <w:r w:rsidRPr="0033279F">
        <w:rPr>
          <w:sz w:val="16"/>
        </w:rPr>
        <w:t>exercice 2012</w:t>
      </w:r>
      <w:r w:rsidR="002D6F2A" w:rsidRPr="0033279F">
        <w:rPr>
          <w:sz w:val="16"/>
        </w:rPr>
        <w:noBreakHyphen/>
      </w:r>
      <w:r w:rsidRPr="0033279F">
        <w:rPr>
          <w:sz w:val="16"/>
        </w:rPr>
        <w:t xml:space="preserve">2013, conformément à </w:t>
      </w:r>
      <w:r w:rsidR="00E15133" w:rsidRPr="0033279F">
        <w:rPr>
          <w:sz w:val="16"/>
        </w:rPr>
        <w:t>l</w:t>
      </w:r>
      <w:r w:rsidR="00A20444" w:rsidRPr="0033279F">
        <w:rPr>
          <w:sz w:val="16"/>
        </w:rPr>
        <w:t>’</w:t>
      </w:r>
      <w:r w:rsidR="00E15133" w:rsidRPr="0033279F">
        <w:rPr>
          <w:sz w:val="16"/>
        </w:rPr>
        <w:t>article 5.5</w:t>
      </w:r>
      <w:r w:rsidRPr="0033279F">
        <w:rPr>
          <w:sz w:val="16"/>
        </w:rPr>
        <w:t xml:space="preserve"> du règlement d</w:t>
      </w:r>
      <w:r w:rsidR="00A20444" w:rsidRPr="0033279F">
        <w:rPr>
          <w:sz w:val="16"/>
        </w:rPr>
        <w:t>’</w:t>
      </w:r>
      <w:r w:rsidRPr="0033279F">
        <w:rPr>
          <w:sz w:val="16"/>
        </w:rPr>
        <w:t>exécution du Règlement financier.</w:t>
      </w:r>
    </w:p>
    <w:p w:rsidR="00D42474" w:rsidRDefault="00D42474" w:rsidP="001A5BF9">
      <w:pPr>
        <w:keepNext/>
        <w:keepLines/>
        <w:autoSpaceDE w:val="0"/>
        <w:autoSpaceDN w:val="0"/>
        <w:adjustRightInd w:val="0"/>
        <w:rPr>
          <w:sz w:val="16"/>
          <w:szCs w:val="16"/>
        </w:rPr>
      </w:pPr>
    </w:p>
    <w:p w:rsidR="00D42474" w:rsidRDefault="0033279F" w:rsidP="001A5BF9">
      <w:pPr>
        <w:keepNext/>
        <w:keepLines/>
        <w:autoSpaceDE w:val="0"/>
        <w:autoSpaceDN w:val="0"/>
        <w:adjustRightInd w:val="0"/>
        <w:rPr>
          <w:sz w:val="16"/>
        </w:rPr>
      </w:pPr>
      <w:r>
        <w:rPr>
          <w:sz w:val="16"/>
        </w:rPr>
        <w:t>2)</w:t>
      </w:r>
      <w:r>
        <w:rPr>
          <w:sz w:val="16"/>
        </w:rPr>
        <w:tab/>
      </w:r>
      <w:r w:rsidR="0096696E" w:rsidRPr="0033279F">
        <w:rPr>
          <w:sz w:val="16"/>
        </w:rPr>
        <w:t>Les dépenses de personnel indiquées dans le budget de l</w:t>
      </w:r>
      <w:r w:rsidR="00A20444" w:rsidRPr="0033279F">
        <w:rPr>
          <w:sz w:val="16"/>
        </w:rPr>
        <w:t>’</w:t>
      </w:r>
      <w:r w:rsidR="0096696E" w:rsidRPr="0033279F">
        <w:rPr>
          <w:sz w:val="16"/>
        </w:rPr>
        <w:t>exercice 2012</w:t>
      </w:r>
      <w:r w:rsidR="002D6F2A" w:rsidRPr="0033279F">
        <w:rPr>
          <w:sz w:val="16"/>
        </w:rPr>
        <w:noBreakHyphen/>
      </w:r>
      <w:r w:rsidR="0096696E" w:rsidRPr="0033279F">
        <w:rPr>
          <w:sz w:val="16"/>
        </w:rPr>
        <w:t>2013 après virements représentent les dépenses réelles engagées pendant l</w:t>
      </w:r>
      <w:r w:rsidR="00A20444" w:rsidRPr="0033279F">
        <w:rPr>
          <w:sz w:val="16"/>
        </w:rPr>
        <w:t>’</w:t>
      </w:r>
      <w:r w:rsidR="0096696E" w:rsidRPr="0033279F">
        <w:rPr>
          <w:sz w:val="16"/>
        </w:rPr>
        <w:t>exercice biennal.</w:t>
      </w:r>
    </w:p>
    <w:p w:rsidR="00D42474" w:rsidRDefault="00D42474" w:rsidP="001A5BF9"/>
    <w:p w:rsidR="00D42474" w:rsidRDefault="00D42474" w:rsidP="001A5BF9"/>
    <w:p w:rsidR="00D42474" w:rsidRDefault="0096696E" w:rsidP="001A5BF9">
      <w:pPr>
        <w:tabs>
          <w:tab w:val="left" w:pos="709"/>
        </w:tabs>
        <w:rPr>
          <w:szCs w:val="20"/>
          <w:u w:val="single"/>
        </w:rPr>
      </w:pPr>
      <w:r w:rsidRPr="0033279F">
        <w:t>A.</w:t>
      </w:r>
      <w:r w:rsidRPr="0033279F">
        <w:tab/>
      </w:r>
      <w:r w:rsidRPr="005C7CCE">
        <w:rPr>
          <w:u w:val="single"/>
        </w:rPr>
        <w:t>Budget 2012</w:t>
      </w:r>
      <w:r w:rsidR="002D6F2A" w:rsidRPr="005C7CCE">
        <w:rPr>
          <w:u w:val="single"/>
        </w:rPr>
        <w:noBreakHyphen/>
      </w:r>
      <w:r w:rsidRPr="005C7CCE">
        <w:rPr>
          <w:u w:val="single"/>
        </w:rPr>
        <w:t>2013 après virements</w:t>
      </w:r>
    </w:p>
    <w:p w:rsidR="00D42474" w:rsidRDefault="00D42474" w:rsidP="001A5BF9">
      <w:pPr>
        <w:tabs>
          <w:tab w:val="left" w:pos="709"/>
        </w:tabs>
        <w:autoSpaceDE w:val="0"/>
        <w:autoSpaceDN w:val="0"/>
        <w:adjustRightInd w:val="0"/>
        <w:jc w:val="both"/>
        <w:rPr>
          <w:szCs w:val="20"/>
        </w:rPr>
      </w:pPr>
    </w:p>
    <w:p w:rsidR="00D42474" w:rsidRDefault="0096696E" w:rsidP="001A5BF9">
      <w:pPr>
        <w:tabs>
          <w:tab w:val="left" w:pos="709"/>
        </w:tabs>
        <w:autoSpaceDE w:val="0"/>
        <w:autoSpaceDN w:val="0"/>
        <w:adjustRightInd w:val="0"/>
        <w:jc w:val="both"/>
      </w:pPr>
      <w:r w:rsidRPr="0033279F">
        <w:t>8.5.</w:t>
      </w:r>
      <w:r w:rsidRPr="0033279F">
        <w:tab/>
        <w:t>L</w:t>
      </w:r>
      <w:r w:rsidR="00A20444" w:rsidRPr="0033279F">
        <w:t>’</w:t>
      </w:r>
      <w:r w:rsidRPr="0033279F">
        <w:t>affectation aux dépenses autres pour le budget 2012</w:t>
      </w:r>
      <w:r w:rsidR="002D6F2A" w:rsidRPr="0033279F">
        <w:noBreakHyphen/>
      </w:r>
      <w:r w:rsidRPr="0033279F">
        <w:t>2013 après virements, tient compte des ajustements à la baisse opérés pour réduire les coûts conformément aux engagements de l</w:t>
      </w:r>
      <w:r w:rsidR="00A20444" w:rsidRPr="0033279F">
        <w:t>’</w:t>
      </w:r>
      <w:r w:rsidRPr="0033279F">
        <w:t>Organisation de réduire les dépenses de 10,2</w:t>
      </w:r>
      <w:r w:rsidR="0010442A" w:rsidRPr="0033279F">
        <w:t> </w:t>
      </w:r>
      <w:r w:rsidRPr="0033279F">
        <w:t>millions de francs suisses pour l</w:t>
      </w:r>
      <w:r w:rsidR="00A20444" w:rsidRPr="0033279F">
        <w:t>’</w:t>
      </w:r>
      <w:r w:rsidRPr="0033279F">
        <w:t>exercice biennal</w:t>
      </w:r>
      <w:r w:rsidR="0010442A" w:rsidRPr="0033279F">
        <w:t> </w:t>
      </w:r>
      <w:r w:rsidRPr="0033279F">
        <w:t>2012</w:t>
      </w:r>
      <w:r w:rsidR="002D6F2A" w:rsidRPr="0033279F">
        <w:noBreakHyphen/>
      </w:r>
      <w:r w:rsidRPr="0033279F">
        <w:t>2013.</w:t>
      </w:r>
      <w:r w:rsidR="0010442A" w:rsidRPr="0033279F">
        <w:t xml:space="preserve"> </w:t>
      </w:r>
      <w:r w:rsidR="004F3E42" w:rsidRPr="0033279F">
        <w:t xml:space="preserve"> </w:t>
      </w:r>
      <w:r w:rsidRPr="0033279F">
        <w:t>De plus, la conférence sur la propriété intellectuelle et le développement, programmée pour se dérouler pendant l</w:t>
      </w:r>
      <w:r w:rsidR="00A20444" w:rsidRPr="0033279F">
        <w:t>’</w:t>
      </w:r>
      <w:r w:rsidRPr="0033279F">
        <w:t>exercice biennal, a été reportée à la demande du président du CDIP, en raison de l</w:t>
      </w:r>
      <w:r w:rsidR="00A20444" w:rsidRPr="0033279F">
        <w:t>’</w:t>
      </w:r>
      <w:r w:rsidRPr="0033279F">
        <w:t>absence de consensus entre les États membres quant aux intervenants envisagés pour la conférence.</w:t>
      </w:r>
    </w:p>
    <w:p w:rsidR="00D42474" w:rsidRDefault="00D42474" w:rsidP="001A5BF9">
      <w:pPr>
        <w:keepNext/>
        <w:keepLines/>
        <w:tabs>
          <w:tab w:val="left" w:pos="709"/>
        </w:tabs>
        <w:autoSpaceDE w:val="0"/>
        <w:autoSpaceDN w:val="0"/>
        <w:adjustRightInd w:val="0"/>
        <w:rPr>
          <w:szCs w:val="20"/>
        </w:rPr>
      </w:pPr>
    </w:p>
    <w:p w:rsidR="00D42474" w:rsidRDefault="0096696E" w:rsidP="001A5BF9">
      <w:pPr>
        <w:keepNext/>
        <w:tabs>
          <w:tab w:val="left" w:pos="709"/>
        </w:tabs>
        <w:autoSpaceDE w:val="0"/>
        <w:autoSpaceDN w:val="0"/>
      </w:pPr>
      <w:r w:rsidRPr="005C7CCE">
        <w:t>8.6.</w:t>
      </w:r>
      <w:r w:rsidRPr="005C7CCE">
        <w:tab/>
        <w:t>La baisse de l</w:t>
      </w:r>
      <w:r w:rsidR="00A20444" w:rsidRPr="005C7CCE">
        <w:t>’</w:t>
      </w:r>
      <w:r w:rsidRPr="005C7CCE">
        <w:t>affectation des ressources en personnel tenait essentiellement au retard observé dans le recrutement pour plusieurs postes vacants dans le programme.</w:t>
      </w:r>
    </w:p>
    <w:p w:rsidR="00D42474" w:rsidRDefault="00D42474" w:rsidP="001A5BF9">
      <w:pPr>
        <w:rPr>
          <w:rFonts w:eastAsia="Batang"/>
          <w:u w:val="single"/>
        </w:rPr>
      </w:pPr>
    </w:p>
    <w:p w:rsidR="00D42474" w:rsidRDefault="0033279F">
      <w:r>
        <w:br w:type="page"/>
      </w:r>
    </w:p>
    <w:p w:rsidR="00D42474" w:rsidRDefault="0096696E" w:rsidP="001A5BF9">
      <w:pPr>
        <w:tabs>
          <w:tab w:val="left" w:pos="709"/>
        </w:tabs>
        <w:rPr>
          <w:rFonts w:eastAsia="Batang"/>
          <w:u w:val="single"/>
        </w:rPr>
      </w:pPr>
      <w:r w:rsidRPr="005C7CCE">
        <w:t>B.</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 w:rsidR="00D42474" w:rsidRDefault="0096696E" w:rsidP="001A5BF9">
      <w:pPr>
        <w:tabs>
          <w:tab w:val="left" w:pos="709"/>
        </w:tabs>
        <w:autoSpaceDE w:val="0"/>
        <w:autoSpaceDN w:val="0"/>
        <w:adjustRightInd w:val="0"/>
        <w:jc w:val="both"/>
      </w:pPr>
      <w:r w:rsidRPr="005C7CCE">
        <w:t>8.7.</w:t>
      </w:r>
      <w:r w:rsidRPr="005C7CCE">
        <w:tab/>
        <w:t>L</w:t>
      </w:r>
      <w:r w:rsidR="00A20444" w:rsidRPr="005C7CCE">
        <w:t>’</w:t>
      </w:r>
      <w:r w:rsidRPr="005C7CCE">
        <w:t>utilisation de 64</w:t>
      </w:r>
      <w:r w:rsidR="007E442D" w:rsidRPr="005C7CCE">
        <w:t>%</w:t>
      </w:r>
      <w:r w:rsidRPr="005C7CCE">
        <w:t xml:space="preserve"> du budget était essentiellement due à des dépenses mo</w:t>
      </w:r>
      <w:r w:rsidR="00733AE8" w:rsidRPr="005C7CCE">
        <w:t xml:space="preserve">ins élevées que prévues pour : </w:t>
      </w:r>
      <w:r w:rsidRPr="005C7CCE">
        <w:t>i) les sessions du CDIP, en raison d</w:t>
      </w:r>
      <w:r w:rsidR="00A20444" w:rsidRPr="005C7CCE">
        <w:t>’</w:t>
      </w:r>
      <w:r w:rsidRPr="005C7CCE">
        <w:t>économies réalisées sur les voyages de tiers (résultat </w:t>
      </w:r>
      <w:proofErr w:type="spellStart"/>
      <w:r w:rsidRPr="005C7CCE">
        <w:t>III.6</w:t>
      </w:r>
      <w:proofErr w:type="spellEnd"/>
      <w:r w:rsidRPr="005C7CCE">
        <w:t>);</w:t>
      </w:r>
      <w:r w:rsidR="004F3E42" w:rsidRPr="005C7CCE">
        <w:t xml:space="preserve"> </w:t>
      </w:r>
      <w:r w:rsidR="0010442A" w:rsidRPr="005C7CCE">
        <w:t xml:space="preserve"> </w:t>
      </w:r>
      <w:r w:rsidRPr="005C7CCE">
        <w:t>ii) la promotion du Plan d</w:t>
      </w:r>
      <w:r w:rsidR="00A20444" w:rsidRPr="005C7CCE">
        <w:t>’</w:t>
      </w:r>
      <w:r w:rsidRPr="005C7CCE">
        <w:t>action pour le développement et la communication en raison de l</w:t>
      </w:r>
      <w:r w:rsidR="00A20444" w:rsidRPr="005C7CCE">
        <w:t>’</w:t>
      </w:r>
      <w:r w:rsidRPr="005C7CCE">
        <w:t>organisation d</w:t>
      </w:r>
      <w:r w:rsidR="00A20444" w:rsidRPr="005C7CCE">
        <w:t>’</w:t>
      </w:r>
      <w:r w:rsidRPr="005C7CCE">
        <w:t>un nombre moins important de séminaires nationaux et régionaux que ce qui avait été initialement envisagé (résultats </w:t>
      </w:r>
      <w:proofErr w:type="spellStart"/>
      <w:r w:rsidRPr="005C7CCE">
        <w:t>III.8</w:t>
      </w:r>
      <w:proofErr w:type="spellEnd"/>
      <w:r w:rsidRPr="005C7CCE">
        <w:t>);</w:t>
      </w:r>
      <w:r w:rsidR="004F3E42" w:rsidRPr="005C7CCE">
        <w:t xml:space="preserve"> </w:t>
      </w:r>
      <w:r w:rsidR="0010442A" w:rsidRPr="005C7CCE">
        <w:t xml:space="preserve"> </w:t>
      </w:r>
      <w:r w:rsidRPr="005C7CCE">
        <w:t>et iii) des économies sur les services contractuels pour les évaluations des projets du Plan d</w:t>
      </w:r>
      <w:r w:rsidR="00A20444" w:rsidRPr="005C7CCE">
        <w:t>’</w:t>
      </w:r>
      <w:r w:rsidRPr="005C7CCE">
        <w:t>action pour le développement achevés (résultats </w:t>
      </w:r>
      <w:proofErr w:type="spellStart"/>
      <w:r w:rsidRPr="005C7CCE">
        <w:t>III.7</w:t>
      </w:r>
      <w:proofErr w:type="spellEnd"/>
      <w:r w:rsidRPr="005C7CCE">
        <w:t>).</w:t>
      </w:r>
    </w:p>
    <w:p w:rsidR="00D42474" w:rsidRDefault="00D42474" w:rsidP="001A5BF9">
      <w:pPr>
        <w:autoSpaceDE w:val="0"/>
        <w:autoSpaceDN w:val="0"/>
        <w:adjustRightInd w:val="0"/>
        <w:jc w:val="both"/>
        <w:rPr>
          <w:rFonts w:eastAsia="Batang"/>
        </w:rPr>
      </w:pPr>
    </w:p>
    <w:p w:rsidR="00D42474" w:rsidRDefault="00D42474" w:rsidP="001A5BF9">
      <w:pPr>
        <w:autoSpaceDE w:val="0"/>
        <w:autoSpaceDN w:val="0"/>
        <w:adjustRightInd w:val="0"/>
        <w:ind w:left="567"/>
        <w:jc w:val="both"/>
        <w:rPr>
          <w:rFonts w:eastAsia="Batang"/>
        </w:rPr>
      </w:pPr>
    </w:p>
    <w:p w:rsidR="00D42474" w:rsidRDefault="0096696E" w:rsidP="001A5BF9">
      <w:pPr>
        <w:rPr>
          <w:szCs w:val="20"/>
        </w:rPr>
      </w:pPr>
      <w:r w:rsidRPr="005C7CCE">
        <w:br w:type="page"/>
      </w:r>
    </w:p>
    <w:p w:rsidR="00D42474" w:rsidRDefault="0096696E" w:rsidP="001A5BF9">
      <w:pPr>
        <w:pStyle w:val="Heading3"/>
        <w:rPr>
          <w:szCs w:val="22"/>
        </w:rPr>
      </w:pPr>
      <w:bookmarkStart w:id="21" w:name="_Toc395082474"/>
      <w:r w:rsidRPr="0033279F">
        <w:rPr>
          <w:szCs w:val="22"/>
        </w:rPr>
        <w:t>Programme 9</w:t>
      </w:r>
      <w:r w:rsidRPr="0033279F">
        <w:rPr>
          <w:szCs w:val="22"/>
        </w:rPr>
        <w:tab/>
        <w:t>Afrique, pays arabes, Asie et Pacifique, pays d</w:t>
      </w:r>
      <w:r w:rsidR="00A20444" w:rsidRPr="0033279F">
        <w:rPr>
          <w:szCs w:val="22"/>
        </w:rPr>
        <w:t>’</w:t>
      </w:r>
      <w:r w:rsidRPr="0033279F">
        <w:rPr>
          <w:szCs w:val="22"/>
        </w:rPr>
        <w:t>Amérique latine et des Caraïbes, pays les moins avancés</w:t>
      </w:r>
      <w:bookmarkEnd w:id="21"/>
    </w:p>
    <w:p w:rsidR="00D42474" w:rsidRDefault="00D42474" w:rsidP="001A5BF9">
      <w:pPr>
        <w:rPr>
          <w:rFonts w:cs="Arial"/>
          <w:sz w:val="22"/>
          <w:szCs w:val="22"/>
        </w:rPr>
      </w:pPr>
    </w:p>
    <w:p w:rsidR="00D42474" w:rsidRDefault="0096696E" w:rsidP="001A5BF9">
      <w:pPr>
        <w:tabs>
          <w:tab w:val="left" w:pos="2268"/>
        </w:tabs>
        <w:rPr>
          <w:rFonts w:cs="Arial"/>
          <w:b/>
          <w:sz w:val="22"/>
          <w:szCs w:val="22"/>
        </w:rPr>
      </w:pPr>
      <w:r w:rsidRPr="0033279F">
        <w:rPr>
          <w:sz w:val="22"/>
          <w:szCs w:val="22"/>
        </w:rPr>
        <w:t>Chef de programme</w:t>
      </w:r>
      <w:r w:rsidRPr="0033279F">
        <w:rPr>
          <w:sz w:val="22"/>
          <w:szCs w:val="22"/>
        </w:rPr>
        <w:tab/>
        <w:t>M.</w:t>
      </w:r>
      <w:r w:rsidR="0010442A" w:rsidRPr="0033279F">
        <w:rPr>
          <w:sz w:val="22"/>
          <w:szCs w:val="22"/>
        </w:rPr>
        <w:t> </w:t>
      </w:r>
      <w:r w:rsidRPr="0033279F">
        <w:rPr>
          <w:b/>
          <w:sz w:val="22"/>
          <w:szCs w:val="22"/>
        </w:rPr>
        <w:t>G</w:t>
      </w:r>
      <w:r w:rsidRPr="0033279F">
        <w:rPr>
          <w:sz w:val="22"/>
          <w:szCs w:val="22"/>
        </w:rPr>
        <w:t>.</w:t>
      </w:r>
      <w:r w:rsidR="0010442A" w:rsidRPr="0033279F">
        <w:rPr>
          <w:sz w:val="22"/>
          <w:szCs w:val="22"/>
        </w:rPr>
        <w:t> </w:t>
      </w:r>
      <w:proofErr w:type="spellStart"/>
      <w:r w:rsidRPr="0033279F">
        <w:rPr>
          <w:b/>
          <w:sz w:val="22"/>
          <w:szCs w:val="22"/>
        </w:rPr>
        <w:t>Onyeama</w:t>
      </w:r>
      <w:proofErr w:type="spellEnd"/>
    </w:p>
    <w:p w:rsidR="00D42474" w:rsidRDefault="00D42474" w:rsidP="001A5BF9">
      <w:pPr>
        <w:rPr>
          <w:sz w:val="22"/>
          <w:szCs w:val="22"/>
        </w:rPr>
      </w:pPr>
    </w:p>
    <w:p w:rsidR="00D42474" w:rsidRDefault="00D42474" w:rsidP="001A5BF9">
      <w:pPr>
        <w:rPr>
          <w:bCs/>
          <w:sz w:val="22"/>
          <w:szCs w:val="22"/>
        </w:rPr>
      </w:pPr>
    </w:p>
    <w:p w:rsidR="00D42474" w:rsidRDefault="0096696E" w:rsidP="001A5BF9">
      <w:pPr>
        <w:jc w:val="both"/>
        <w:rPr>
          <w:rFonts w:cs="Arial"/>
          <w:sz w:val="22"/>
          <w:szCs w:val="22"/>
        </w:rPr>
      </w:pPr>
      <w:r w:rsidRPr="0033279F">
        <w:rPr>
          <w:sz w:val="22"/>
          <w:szCs w:val="22"/>
        </w:rPr>
        <w:t>RÉALISATIONS EN 2012</w:t>
      </w:r>
      <w:r w:rsidR="002D6F2A" w:rsidRPr="0033279F">
        <w:rPr>
          <w:sz w:val="22"/>
          <w:szCs w:val="22"/>
        </w:rPr>
        <w:noBreakHyphen/>
      </w:r>
      <w:r w:rsidRPr="0033279F">
        <w:rPr>
          <w:sz w:val="22"/>
          <w:szCs w:val="22"/>
        </w:rPr>
        <w:t>2013</w:t>
      </w:r>
    </w:p>
    <w:p w:rsidR="00D42474" w:rsidRDefault="00D42474" w:rsidP="001A5BF9">
      <w:pPr>
        <w:jc w:val="both"/>
        <w:rPr>
          <w:rFonts w:cs="Arial"/>
          <w:sz w:val="22"/>
          <w:szCs w:val="22"/>
        </w:rPr>
      </w:pPr>
    </w:p>
    <w:p w:rsidR="00D42474" w:rsidRDefault="0096696E" w:rsidP="001A5BF9">
      <w:pPr>
        <w:pStyle w:val="Paragraphedeliste"/>
        <w:numPr>
          <w:ilvl w:val="0"/>
          <w:numId w:val="35"/>
        </w:numPr>
        <w:tabs>
          <w:tab w:val="left" w:pos="709"/>
        </w:tabs>
        <w:ind w:left="0" w:firstLine="0"/>
        <w:jc w:val="both"/>
      </w:pPr>
      <w:r w:rsidRPr="0033279F">
        <w:t>La volonté de faciliter l</w:t>
      </w:r>
      <w:r w:rsidR="00A20444" w:rsidRPr="0033279F">
        <w:t>’</w:t>
      </w:r>
      <w:r w:rsidRPr="0033279F">
        <w:t>utilisation de la propriété intellectuelle au service du développement et de donner aux pays en développement et</w:t>
      </w:r>
      <w:r w:rsidR="00A20444" w:rsidRPr="0033279F">
        <w:t xml:space="preserve"> aux PMA</w:t>
      </w:r>
      <w:r w:rsidRPr="0033279F">
        <w:t xml:space="preserve"> les moyens de maîtriser la propriété intellectuelle pour renforcer à l</w:t>
      </w:r>
      <w:r w:rsidR="00A20444" w:rsidRPr="0033279F">
        <w:t>’</w:t>
      </w:r>
      <w:r w:rsidRPr="0033279F">
        <w:t>échelle nationale le potentiel et les capacités en matière d</w:t>
      </w:r>
      <w:r w:rsidR="00A20444" w:rsidRPr="0033279F">
        <w:t>’</w:t>
      </w:r>
      <w:r w:rsidRPr="0033279F">
        <w:t>innovation a continué d</w:t>
      </w:r>
      <w:r w:rsidR="00A20444" w:rsidRPr="0033279F">
        <w:t>’</w:t>
      </w:r>
      <w:r w:rsidRPr="0033279F">
        <w:t>influencer les travaux de ce programme tout au long de l</w:t>
      </w:r>
      <w:r w:rsidR="00A20444" w:rsidRPr="0033279F">
        <w:t>’</w:t>
      </w:r>
      <w:r w:rsidRPr="0033279F">
        <w:t>exercice biennal.</w:t>
      </w:r>
      <w:r w:rsidR="004F3E42" w:rsidRPr="0033279F">
        <w:t xml:space="preserve"> </w:t>
      </w:r>
      <w:r w:rsidR="0010442A" w:rsidRPr="0033279F">
        <w:t xml:space="preserve"> </w:t>
      </w:r>
      <w:r w:rsidRPr="0033279F">
        <w:t>Premier lien entre ces États membres et les différents programmes de l</w:t>
      </w:r>
      <w:r w:rsidR="00A20444" w:rsidRPr="0033279F">
        <w:t>’</w:t>
      </w:r>
      <w:r w:rsidRPr="0033279F">
        <w:t>OMPI, ce programme a joué un rôle essentiel dans la fourniture d</w:t>
      </w:r>
      <w:r w:rsidR="00A20444" w:rsidRPr="0033279F">
        <w:t>’</w:t>
      </w:r>
      <w:r w:rsidRPr="0033279F">
        <w:t>une assistance technique cohérente, coordonnée, axée sur les besoins et adaptée à chaque pays.</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35"/>
        </w:numPr>
        <w:tabs>
          <w:tab w:val="left" w:pos="709"/>
        </w:tabs>
        <w:ind w:left="0" w:firstLine="0"/>
        <w:jc w:val="both"/>
        <w:rPr>
          <w:rFonts w:cs="Arial"/>
          <w:bCs/>
        </w:rPr>
      </w:pPr>
      <w:r w:rsidRPr="0033279F">
        <w:t>Au cours de l</w:t>
      </w:r>
      <w:r w:rsidR="00A20444" w:rsidRPr="0033279F">
        <w:t>’</w:t>
      </w:r>
      <w:r w:rsidRPr="0033279F">
        <w:t>exercice biennal, le recours à des outils tels que les évaluations des besoins et les missions de programmation afin d</w:t>
      </w:r>
      <w:r w:rsidR="00A20444" w:rsidRPr="0033279F">
        <w:t>’</w:t>
      </w:r>
      <w:r w:rsidRPr="0033279F">
        <w:t>étayer les plans nationaux a conduit au renforcement du programme de coopération technique et à l</w:t>
      </w:r>
      <w:r w:rsidR="00A20444" w:rsidRPr="0033279F">
        <w:t>’</w:t>
      </w:r>
      <w:r w:rsidRPr="0033279F">
        <w:t>amélioration de la fourniture d</w:t>
      </w:r>
      <w:r w:rsidR="00A20444" w:rsidRPr="0033279F">
        <w:t>’</w:t>
      </w:r>
      <w:r w:rsidRPr="0033279F">
        <w:t>activités axées sur le développement, dans les pays en développement et les pays les moins avancés, compte tenu de la diversité des besoins croissants de tous les pays bénéficiaires.</w:t>
      </w:r>
      <w:r w:rsidR="004F3E42" w:rsidRPr="0033279F">
        <w:t xml:space="preserve"> </w:t>
      </w:r>
      <w:r w:rsidR="0010442A" w:rsidRPr="0033279F">
        <w:t xml:space="preserve"> </w:t>
      </w:r>
      <w:r w:rsidRPr="0033279F">
        <w:t>Dans l</w:t>
      </w:r>
      <w:r w:rsidR="00A20444" w:rsidRPr="0033279F">
        <w:t>’</w:t>
      </w:r>
      <w:r w:rsidRPr="0033279F">
        <w:t>ensemble, on a observé une intégration accrue du développement dans les différents programmes spécialisés de l</w:t>
      </w:r>
      <w:r w:rsidR="00A20444" w:rsidRPr="0033279F">
        <w:t>’</w:t>
      </w:r>
      <w:r w:rsidRPr="0033279F">
        <w:t>Organisation, conformément aux recommandations du Plan d</w:t>
      </w:r>
      <w:r w:rsidR="00A20444" w:rsidRPr="0033279F">
        <w:t>’</w:t>
      </w:r>
      <w:r w:rsidRPr="0033279F">
        <w:t>action pour le développement.</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35"/>
        </w:numPr>
        <w:tabs>
          <w:tab w:val="left" w:pos="709"/>
        </w:tabs>
        <w:ind w:left="0" w:firstLine="0"/>
        <w:jc w:val="both"/>
      </w:pPr>
      <w:r w:rsidRPr="0033279F">
        <w:t>Outre la poursuite du renforcement des partenariats en place, de nouveaux partenariats ont été établis au cours de l</w:t>
      </w:r>
      <w:r w:rsidR="00A20444" w:rsidRPr="0033279F">
        <w:t>’</w:t>
      </w:r>
      <w:r w:rsidRPr="0033279F">
        <w:t>exercice biennal avec d</w:t>
      </w:r>
      <w:r w:rsidR="00A20444" w:rsidRPr="0033279F">
        <w:t>’</w:t>
      </w:r>
      <w:r w:rsidRPr="0033279F">
        <w:t xml:space="preserve">autres communautés économiques régionales et des institutions intergouvernementales, </w:t>
      </w:r>
      <w:r w:rsidR="00A20444" w:rsidRPr="0033279F">
        <w:t>à savoir</w:t>
      </w:r>
      <w:r w:rsidRPr="0033279F">
        <w:t xml:space="preserve"> le Conseil de coopération des États arabes du Golfe (</w:t>
      </w:r>
      <w:proofErr w:type="spellStart"/>
      <w:r w:rsidRPr="0033279F">
        <w:t>CCG</w:t>
      </w:r>
      <w:proofErr w:type="spellEnd"/>
      <w:r w:rsidRPr="0033279F">
        <w:t>), l</w:t>
      </w:r>
      <w:r w:rsidR="00A20444" w:rsidRPr="0033279F">
        <w:t>’</w:t>
      </w:r>
      <w:r w:rsidRPr="0033279F">
        <w:t>Union économique et monétaire ouest</w:t>
      </w:r>
      <w:r w:rsidR="002D6F2A" w:rsidRPr="0033279F">
        <w:noBreakHyphen/>
      </w:r>
      <w:r w:rsidRPr="0033279F">
        <w:t>africaine (</w:t>
      </w:r>
      <w:proofErr w:type="spellStart"/>
      <w:r w:rsidRPr="0033279F">
        <w:t>UEMOA</w:t>
      </w:r>
      <w:proofErr w:type="spellEnd"/>
      <w:r w:rsidRPr="0033279F">
        <w:t>), l</w:t>
      </w:r>
      <w:r w:rsidR="00A20444" w:rsidRPr="0033279F">
        <w:t>’</w:t>
      </w:r>
      <w:r w:rsidRPr="0033279F">
        <w:t>Organisation internationale de la francophonie (</w:t>
      </w:r>
      <w:proofErr w:type="spellStart"/>
      <w:r w:rsidRPr="0033279F">
        <w:t>OIF</w:t>
      </w:r>
      <w:proofErr w:type="spellEnd"/>
      <w:r w:rsidRPr="0033279F">
        <w:t>) et l</w:t>
      </w:r>
      <w:r w:rsidR="00A20444" w:rsidRPr="0033279F">
        <w:t>’</w:t>
      </w:r>
      <w:r w:rsidRPr="0033279F">
        <w:t>Agence universitaire de la Francophonie (</w:t>
      </w:r>
      <w:proofErr w:type="spellStart"/>
      <w:r w:rsidRPr="0033279F">
        <w:t>AUF</w:t>
      </w:r>
      <w:proofErr w:type="spellEnd"/>
      <w:r w:rsidRPr="0033279F">
        <w:t>), en vue de créer et/ou améliorer les synergies pour de meilleurs résultats en termes de développement.</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35"/>
        </w:numPr>
        <w:tabs>
          <w:tab w:val="left" w:pos="709"/>
        </w:tabs>
        <w:ind w:left="0" w:firstLine="0"/>
        <w:jc w:val="both"/>
      </w:pPr>
      <w:r w:rsidRPr="0033279F">
        <w:t>Par ailleurs, les activités du programme continuent de cibler les quatre</w:t>
      </w:r>
      <w:r w:rsidR="0010442A" w:rsidRPr="0033279F">
        <w:t> </w:t>
      </w:r>
      <w:r w:rsidRPr="0033279F">
        <w:t>piliers définis dans le Plan stratégique à moyen terme (PSMT) pour</w:t>
      </w:r>
      <w:r w:rsidR="0010442A" w:rsidRPr="0033279F">
        <w:t> </w:t>
      </w:r>
      <w:r w:rsidRPr="0033279F">
        <w:t>2010</w:t>
      </w:r>
      <w:r w:rsidR="002D6F2A" w:rsidRPr="0033279F">
        <w:noBreakHyphen/>
      </w:r>
      <w:r w:rsidRPr="0033279F">
        <w:t xml:space="preserve">2015, </w:t>
      </w:r>
      <w:r w:rsidR="00A20444" w:rsidRPr="0033279F">
        <w:t>à savoir</w:t>
      </w:r>
      <w:r w:rsidRPr="0033279F">
        <w:t xml:space="preserve"> les stratégies et politiques nationales de propriété intellectuelle et le renforcement des capacités des ressources humaines, dont le programme assume la responsabilité principale, ainsi que les activités liées à l</w:t>
      </w:r>
      <w:r w:rsidR="00A20444" w:rsidRPr="0033279F">
        <w:t>’</w:t>
      </w:r>
      <w:r w:rsidRPr="0033279F">
        <w:t>infrastructure institutionnelle et technique et aux cadres législatifs et réglementaires, dont il assure la coordination.</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35"/>
        </w:numPr>
        <w:tabs>
          <w:tab w:val="left" w:pos="709"/>
        </w:tabs>
        <w:ind w:left="0" w:firstLine="0"/>
        <w:jc w:val="both"/>
        <w:rPr>
          <w:spacing w:val="-2"/>
        </w:rPr>
      </w:pPr>
      <w:r w:rsidRPr="0033279F">
        <w:rPr>
          <w:spacing w:val="-2"/>
        </w:rPr>
        <w:t>Au cours de l</w:t>
      </w:r>
      <w:r w:rsidR="00A20444" w:rsidRPr="0033279F">
        <w:rPr>
          <w:spacing w:val="-2"/>
        </w:rPr>
        <w:t>’</w:t>
      </w:r>
      <w:proofErr w:type="spellStart"/>
      <w:r w:rsidRPr="0033279F">
        <w:rPr>
          <w:spacing w:val="-2"/>
        </w:rPr>
        <w:t>excercice</w:t>
      </w:r>
      <w:proofErr w:type="spellEnd"/>
      <w:r w:rsidRPr="0033279F">
        <w:rPr>
          <w:spacing w:val="-2"/>
        </w:rPr>
        <w:t xml:space="preserve"> biennal, l</w:t>
      </w:r>
      <w:r w:rsidR="00A20444" w:rsidRPr="0033279F">
        <w:rPr>
          <w:spacing w:val="-2"/>
        </w:rPr>
        <w:t>’</w:t>
      </w:r>
      <w:r w:rsidRPr="0033279F">
        <w:rPr>
          <w:spacing w:val="-2"/>
        </w:rPr>
        <w:t>OMPI a continué d</w:t>
      </w:r>
      <w:r w:rsidR="00A20444" w:rsidRPr="0033279F">
        <w:rPr>
          <w:spacing w:val="-2"/>
        </w:rPr>
        <w:t>’</w:t>
      </w:r>
      <w:r w:rsidRPr="0033279F">
        <w:rPr>
          <w:spacing w:val="-2"/>
        </w:rPr>
        <w:t>aider les pays en développement et les pays les moins avancés à concevoir, améliorer et mettre en œuvre des stratégies nationales de propriété intellectuelle qui soient à la fois conformes à leurs plans de développement d</w:t>
      </w:r>
      <w:r w:rsidR="00A20444" w:rsidRPr="0033279F">
        <w:rPr>
          <w:spacing w:val="-2"/>
        </w:rPr>
        <w:t>’</w:t>
      </w:r>
      <w:r w:rsidRPr="0033279F">
        <w:rPr>
          <w:spacing w:val="-2"/>
        </w:rPr>
        <w:t>ensemble et capables de stimuler l</w:t>
      </w:r>
      <w:r w:rsidR="00A20444" w:rsidRPr="0033279F">
        <w:rPr>
          <w:spacing w:val="-2"/>
        </w:rPr>
        <w:t>’</w:t>
      </w:r>
      <w:r w:rsidRPr="0033279F">
        <w:rPr>
          <w:spacing w:val="-2"/>
        </w:rPr>
        <w:t>innovation et la créativité.</w:t>
      </w:r>
      <w:r w:rsidR="004F3E42" w:rsidRPr="0033279F">
        <w:rPr>
          <w:spacing w:val="-2"/>
        </w:rPr>
        <w:t xml:space="preserve"> </w:t>
      </w:r>
      <w:r w:rsidR="0010442A" w:rsidRPr="0033279F">
        <w:rPr>
          <w:spacing w:val="-2"/>
        </w:rPr>
        <w:t xml:space="preserve"> </w:t>
      </w:r>
      <w:r w:rsidRPr="0033279F">
        <w:rPr>
          <w:spacing w:val="-2"/>
        </w:rPr>
        <w:t>Dans le cadre du projet Renforcement des capacités des institutions et des utilisateurs aux niveaux national, sous</w:t>
      </w:r>
      <w:r w:rsidR="002D6F2A" w:rsidRPr="0033279F">
        <w:rPr>
          <w:spacing w:val="-2"/>
        </w:rPr>
        <w:noBreakHyphen/>
      </w:r>
      <w:r w:rsidRPr="0033279F">
        <w:rPr>
          <w:spacing w:val="-2"/>
        </w:rPr>
        <w:t>régional et régional qui s</w:t>
      </w:r>
      <w:r w:rsidR="00A20444" w:rsidRPr="0033279F">
        <w:rPr>
          <w:spacing w:val="-2"/>
        </w:rPr>
        <w:t>’</w:t>
      </w:r>
      <w:r w:rsidRPr="0033279F">
        <w:rPr>
          <w:spacing w:val="-2"/>
        </w:rPr>
        <w:t xml:space="preserve">est achevé en </w:t>
      </w:r>
      <w:r w:rsidR="00A20444" w:rsidRPr="0033279F">
        <w:rPr>
          <w:spacing w:val="-2"/>
        </w:rPr>
        <w:t>mai 20</w:t>
      </w:r>
      <w:r w:rsidRPr="0033279F">
        <w:rPr>
          <w:spacing w:val="-2"/>
        </w:rPr>
        <w:t>12, il a été mis au point une méthodologie à la fois normalisée et souple et une panoplie d</w:t>
      </w:r>
      <w:r w:rsidR="00A20444" w:rsidRPr="0033279F">
        <w:rPr>
          <w:spacing w:val="-2"/>
        </w:rPr>
        <w:t>’</w:t>
      </w:r>
      <w:r w:rsidRPr="0033279F">
        <w:rPr>
          <w:spacing w:val="-2"/>
        </w:rPr>
        <w:t>outils de formulation de plans et stratégies de propriété intellectuelle à l</w:t>
      </w:r>
      <w:r w:rsidR="00A20444" w:rsidRPr="0033279F">
        <w:rPr>
          <w:spacing w:val="-2"/>
        </w:rPr>
        <w:t>’</w:t>
      </w:r>
      <w:r w:rsidRPr="0033279F">
        <w:rPr>
          <w:spacing w:val="-2"/>
        </w:rPr>
        <w:t>échelle nationale.</w:t>
      </w:r>
      <w:r w:rsidR="004F3E42" w:rsidRPr="0033279F">
        <w:rPr>
          <w:spacing w:val="-2"/>
        </w:rPr>
        <w:t xml:space="preserve"> </w:t>
      </w:r>
      <w:r w:rsidR="0010442A" w:rsidRPr="0033279F">
        <w:rPr>
          <w:spacing w:val="-2"/>
        </w:rPr>
        <w:t xml:space="preserve"> </w:t>
      </w:r>
      <w:r w:rsidRPr="0033279F">
        <w:rPr>
          <w:spacing w:val="-2"/>
        </w:rPr>
        <w:t xml:space="preserve">La méthodologie et les outils ont été rationalisés en 2013 pour pouvoir être utilisés dans les processus de formulation des stratégies de propriété intellectuelle dans les pays en développement et les PMA. </w:t>
      </w:r>
      <w:r w:rsidR="0010442A" w:rsidRPr="0033279F">
        <w:rPr>
          <w:spacing w:val="-2"/>
        </w:rPr>
        <w:t xml:space="preserve"> </w:t>
      </w:r>
      <w:r w:rsidRPr="0033279F">
        <w:rPr>
          <w:spacing w:val="-2"/>
        </w:rPr>
        <w:t>Au cours de l</w:t>
      </w:r>
      <w:r w:rsidR="00A20444" w:rsidRPr="0033279F">
        <w:rPr>
          <w:spacing w:val="-2"/>
        </w:rPr>
        <w:t>’</w:t>
      </w:r>
      <w:r w:rsidRPr="0033279F">
        <w:rPr>
          <w:spacing w:val="-2"/>
        </w:rPr>
        <w:t xml:space="preserve">exercice biennal, des plans/stratégies de propriété intellectuelle ont été adoptés dans </w:t>
      </w:r>
      <w:r w:rsidR="009665DA">
        <w:rPr>
          <w:spacing w:val="-2"/>
        </w:rPr>
        <w:t>10</w:t>
      </w:r>
      <w:r w:rsidRPr="0033279F">
        <w:rPr>
          <w:spacing w:val="-2"/>
        </w:rPr>
        <w:t> pays</w:t>
      </w:r>
      <w:r w:rsidR="009665DA">
        <w:rPr>
          <w:spacing w:val="-2"/>
        </w:rPr>
        <w:t xml:space="preserve"> (trois en Afrique, un </w:t>
      </w:r>
      <w:r w:rsidR="00F612B4">
        <w:rPr>
          <w:spacing w:val="-2"/>
        </w:rPr>
        <w:t>dans la r</w:t>
      </w:r>
      <w:r w:rsidR="009665DA">
        <w:rPr>
          <w:spacing w:val="-2"/>
        </w:rPr>
        <w:t>é</w:t>
      </w:r>
      <w:r w:rsidR="00F612B4">
        <w:rPr>
          <w:spacing w:val="-2"/>
        </w:rPr>
        <w:t>g</w:t>
      </w:r>
      <w:r w:rsidR="009665DA">
        <w:rPr>
          <w:spacing w:val="-2"/>
        </w:rPr>
        <w:t xml:space="preserve">ion des pays arabes, trois dans la région </w:t>
      </w:r>
      <w:r w:rsidRPr="0033279F">
        <w:rPr>
          <w:spacing w:val="-2"/>
        </w:rPr>
        <w:t xml:space="preserve">Asie </w:t>
      </w:r>
      <w:r w:rsidR="009665DA">
        <w:rPr>
          <w:spacing w:val="-2"/>
        </w:rPr>
        <w:t>et</w:t>
      </w:r>
      <w:r w:rsidRPr="0033279F">
        <w:rPr>
          <w:spacing w:val="-2"/>
        </w:rPr>
        <w:t xml:space="preserve"> Pacifique et trois</w:t>
      </w:r>
      <w:r w:rsidR="0010442A" w:rsidRPr="0033279F">
        <w:rPr>
          <w:spacing w:val="-2"/>
        </w:rPr>
        <w:t> </w:t>
      </w:r>
      <w:r w:rsidRPr="0033279F">
        <w:rPr>
          <w:spacing w:val="-2"/>
        </w:rPr>
        <w:t>dans la région de l</w:t>
      </w:r>
      <w:r w:rsidR="00A20444" w:rsidRPr="0033279F">
        <w:rPr>
          <w:spacing w:val="-2"/>
        </w:rPr>
        <w:t>’</w:t>
      </w:r>
      <w:r w:rsidRPr="0033279F">
        <w:rPr>
          <w:spacing w:val="-2"/>
        </w:rPr>
        <w:t>Amérique latine et des Caraïbes</w:t>
      </w:r>
      <w:r w:rsidR="00F612B4">
        <w:rPr>
          <w:spacing w:val="-2"/>
        </w:rPr>
        <w:t>)</w:t>
      </w:r>
      <w:r w:rsidRPr="0033279F">
        <w:rPr>
          <w:spacing w:val="-2"/>
        </w:rPr>
        <w:t>.</w:t>
      </w:r>
      <w:r w:rsidR="0010442A" w:rsidRPr="0033279F">
        <w:rPr>
          <w:spacing w:val="-2"/>
        </w:rPr>
        <w:t xml:space="preserve"> </w:t>
      </w:r>
      <w:r w:rsidRPr="0033279F">
        <w:rPr>
          <w:spacing w:val="-2"/>
        </w:rPr>
        <w:t xml:space="preserve"> La formulation et la mise en œuvre de stratégies de propriété intellectuelle ont été initiées ou se sont poursuivies dans 3</w:t>
      </w:r>
      <w:r w:rsidR="00F612B4">
        <w:rPr>
          <w:spacing w:val="-2"/>
        </w:rPr>
        <w:t>3</w:t>
      </w:r>
      <w:r w:rsidRPr="0033279F">
        <w:rPr>
          <w:spacing w:val="-2"/>
        </w:rPr>
        <w:t xml:space="preserve"> pays (13 en Afrique, </w:t>
      </w:r>
      <w:r w:rsidR="00F612B4">
        <w:rPr>
          <w:spacing w:val="-2"/>
        </w:rPr>
        <w:t>quatre</w:t>
      </w:r>
      <w:r w:rsidR="0010442A" w:rsidRPr="0033279F">
        <w:rPr>
          <w:spacing w:val="-2"/>
        </w:rPr>
        <w:t> </w:t>
      </w:r>
      <w:r w:rsidRPr="0033279F">
        <w:rPr>
          <w:spacing w:val="-2"/>
        </w:rPr>
        <w:t xml:space="preserve">dans </w:t>
      </w:r>
      <w:proofErr w:type="spellStart"/>
      <w:r w:rsidR="00F612B4">
        <w:rPr>
          <w:spacing w:val="-2"/>
        </w:rPr>
        <w:t>dans</w:t>
      </w:r>
      <w:proofErr w:type="spellEnd"/>
      <w:r w:rsidR="00F612B4">
        <w:rPr>
          <w:spacing w:val="-2"/>
        </w:rPr>
        <w:t xml:space="preserve"> la région des pays arabes</w:t>
      </w:r>
      <w:r w:rsidRPr="0033279F">
        <w:rPr>
          <w:spacing w:val="-2"/>
        </w:rPr>
        <w:t>, huit</w:t>
      </w:r>
      <w:r w:rsidR="0010442A" w:rsidRPr="0033279F">
        <w:rPr>
          <w:spacing w:val="-2"/>
        </w:rPr>
        <w:t> </w:t>
      </w:r>
      <w:r w:rsidRPr="0033279F">
        <w:rPr>
          <w:spacing w:val="-2"/>
        </w:rPr>
        <w:t>dans la région Asie et Pacifique, et huit</w:t>
      </w:r>
      <w:r w:rsidR="0010442A" w:rsidRPr="0033279F">
        <w:rPr>
          <w:spacing w:val="-2"/>
        </w:rPr>
        <w:t> </w:t>
      </w:r>
      <w:r w:rsidRPr="0033279F">
        <w:rPr>
          <w:spacing w:val="-2"/>
        </w:rPr>
        <w:t>dans la région Amérique latine et Caraïbes).</w:t>
      </w:r>
      <w:r w:rsidR="0010442A" w:rsidRPr="0033279F">
        <w:rPr>
          <w:spacing w:val="-2"/>
        </w:rPr>
        <w:t xml:space="preserve"> </w:t>
      </w:r>
      <w:r w:rsidRPr="0033279F">
        <w:rPr>
          <w:spacing w:val="-2"/>
        </w:rPr>
        <w:t xml:space="preserve"> Deux PMA (le Bangladesh et l</w:t>
      </w:r>
      <w:r w:rsidR="00A20444" w:rsidRPr="0033279F">
        <w:rPr>
          <w:spacing w:val="-2"/>
        </w:rPr>
        <w:t>’</w:t>
      </w:r>
      <w:r w:rsidRPr="0033279F">
        <w:rPr>
          <w:spacing w:val="-2"/>
        </w:rPr>
        <w:t>Éthiopie) ont inclus des considérations de propriété intellectuelle spécifiques aux PMA dans leurs stratégies et/ou politiques de propriété intellectuelle au cours de l</w:t>
      </w:r>
      <w:r w:rsidR="00A20444" w:rsidRPr="0033279F">
        <w:rPr>
          <w:spacing w:val="-2"/>
        </w:rPr>
        <w:t>’</w:t>
      </w:r>
      <w:r w:rsidRPr="0033279F">
        <w:rPr>
          <w:spacing w:val="-2"/>
        </w:rPr>
        <w:t xml:space="preserve">exercice biennal, portant le nombre de PMA ayant inclus des considérations de cette nature à six, et deux PMA (Madagascar et le Népal) se trouvent en phase finale. </w:t>
      </w:r>
      <w:r w:rsidR="0010442A" w:rsidRPr="0033279F">
        <w:rPr>
          <w:spacing w:val="-2"/>
        </w:rPr>
        <w:t xml:space="preserve"> </w:t>
      </w:r>
      <w:r w:rsidRPr="0033279F">
        <w:rPr>
          <w:spacing w:val="-2"/>
        </w:rPr>
        <w:t>Les activités/projets qui contribuent à la mise en œuvre des stratégies/politiques de propriété intellectuelle ont été menés dans 21 pays (cinq en Afrique, quatre</w:t>
      </w:r>
      <w:r w:rsidR="0010442A" w:rsidRPr="0033279F">
        <w:rPr>
          <w:spacing w:val="-2"/>
        </w:rPr>
        <w:t> </w:t>
      </w:r>
      <w:r w:rsidRPr="0033279F">
        <w:rPr>
          <w:spacing w:val="-2"/>
        </w:rPr>
        <w:t>dans des pays arabes et 12 dans la région de l</w:t>
      </w:r>
      <w:r w:rsidR="00A20444" w:rsidRPr="0033279F">
        <w:rPr>
          <w:spacing w:val="-2"/>
        </w:rPr>
        <w:t>’</w:t>
      </w:r>
      <w:r w:rsidRPr="0033279F">
        <w:rPr>
          <w:spacing w:val="-2"/>
        </w:rPr>
        <w:t>Amérique latine et des Caraïbes).</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35"/>
        </w:numPr>
        <w:tabs>
          <w:tab w:val="left" w:pos="709"/>
        </w:tabs>
        <w:ind w:left="0" w:firstLine="0"/>
        <w:jc w:val="both"/>
      </w:pPr>
      <w:r w:rsidRPr="0033279F">
        <w:t>Les activités du programme ont continué d</w:t>
      </w:r>
      <w:r w:rsidR="00A20444" w:rsidRPr="0033279F">
        <w:t>’</w:t>
      </w:r>
      <w:r w:rsidRPr="0033279F">
        <w:t>accorder une grande importance au renforcement des capacités en matière de ressources humaines pour répondre aux nombreuses exigences relatives à l</w:t>
      </w:r>
      <w:r w:rsidR="00A20444" w:rsidRPr="0033279F">
        <w:t>’</w:t>
      </w:r>
      <w:r w:rsidRPr="0033279F">
        <w:t>utilisation efficace de la propriété intellectuelle au service du développement et à la stimulation de l</w:t>
      </w:r>
      <w:r w:rsidR="00A20444" w:rsidRPr="0033279F">
        <w:t>’</w:t>
      </w:r>
      <w:r w:rsidRPr="0033279F">
        <w:t>innovation et de la créativité.</w:t>
      </w:r>
      <w:r w:rsidR="004F3E42" w:rsidRPr="0033279F">
        <w:t xml:space="preserve"> </w:t>
      </w:r>
      <w:r w:rsidR="0010442A" w:rsidRPr="0033279F">
        <w:t xml:space="preserve"> </w:t>
      </w:r>
      <w:r w:rsidRPr="0033279F">
        <w:t>Les activités mises en œuvre ont permis d</w:t>
      </w:r>
      <w:r w:rsidR="00A20444" w:rsidRPr="0033279F">
        <w:t>’</w:t>
      </w:r>
      <w:r w:rsidRPr="0033279F">
        <w:t>augmenter le nombre de formateurs à l</w:t>
      </w:r>
      <w:r w:rsidR="00A20444" w:rsidRPr="0033279F">
        <w:t>’</w:t>
      </w:r>
      <w:r w:rsidRPr="0033279F">
        <w:t>échelle nationale et d</w:t>
      </w:r>
      <w:r w:rsidR="00A20444" w:rsidRPr="0033279F">
        <w:t>’</w:t>
      </w:r>
      <w:r w:rsidRPr="0033279F">
        <w:t>accroître leur diversité.</w:t>
      </w:r>
      <w:r w:rsidR="004F3E42" w:rsidRPr="0033279F">
        <w:t xml:space="preserve"> </w:t>
      </w:r>
      <w:r w:rsidR="0010442A" w:rsidRPr="0033279F">
        <w:t xml:space="preserve"> </w:t>
      </w:r>
      <w:r w:rsidRPr="0033279F">
        <w:t>En</w:t>
      </w:r>
      <w:r w:rsidR="0010442A" w:rsidRPr="0033279F">
        <w:t> </w:t>
      </w:r>
      <w:r w:rsidRPr="0033279F">
        <w:t>2012</w:t>
      </w:r>
      <w:r w:rsidR="002D6F2A" w:rsidRPr="0033279F">
        <w:noBreakHyphen/>
      </w:r>
      <w:r w:rsidRPr="0033279F">
        <w:t>2013, la formation et le renforcement des capacités ont couvert un large domaine d</w:t>
      </w:r>
      <w:r w:rsidR="00A20444" w:rsidRPr="0033279F">
        <w:t>’</w:t>
      </w:r>
      <w:r w:rsidRPr="0033279F">
        <w:t>activités, allant de la sensibilisation du public aux programmes de renforcement des capacités adaptés à des groupes cibles spécifiques tels que des décideurs, des spécialistes de la propriété intellectuelle, des chercheurs et universitaires ou des chefs d</w:t>
      </w:r>
      <w:r w:rsidR="00A20444" w:rsidRPr="0033279F">
        <w:t>’</w:t>
      </w:r>
      <w:r w:rsidRPr="0033279F">
        <w:t>entreprise et des industriels, et ce à l</w:t>
      </w:r>
      <w:r w:rsidR="00A20444" w:rsidRPr="0033279F">
        <w:t>’</w:t>
      </w:r>
      <w:r w:rsidRPr="0033279F">
        <w:t>échelle nationale, sous</w:t>
      </w:r>
      <w:r w:rsidR="002D6F2A" w:rsidRPr="0033279F">
        <w:noBreakHyphen/>
      </w:r>
      <w:r w:rsidRPr="0033279F">
        <w:t>régionale et régionale.</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35"/>
        </w:numPr>
        <w:tabs>
          <w:tab w:val="left" w:pos="709"/>
        </w:tabs>
        <w:ind w:left="0" w:firstLine="0"/>
        <w:jc w:val="both"/>
      </w:pPr>
      <w:r w:rsidRPr="0033279F">
        <w:t>Faciliter l</w:t>
      </w:r>
      <w:r w:rsidR="00A20444" w:rsidRPr="0033279F">
        <w:t>’</w:t>
      </w:r>
      <w:r w:rsidRPr="0033279F">
        <w:t>accès aux bases de données mondiales d</w:t>
      </w:r>
      <w:r w:rsidR="00A20444" w:rsidRPr="0033279F">
        <w:t>’</w:t>
      </w:r>
      <w:r w:rsidRPr="0033279F">
        <w:t>informations technologiques est restée une priorité fondamentale tout au long de l</w:t>
      </w:r>
      <w:r w:rsidR="00A20444" w:rsidRPr="0033279F">
        <w:t>’</w:t>
      </w:r>
      <w:r w:rsidRPr="0033279F">
        <w:t xml:space="preserve">exercice biennal. </w:t>
      </w:r>
      <w:r w:rsidR="0010442A" w:rsidRPr="0033279F">
        <w:t xml:space="preserve"> </w:t>
      </w:r>
      <w:r w:rsidRPr="0033279F">
        <w:t>Des centres d</w:t>
      </w:r>
      <w:r w:rsidR="00A20444" w:rsidRPr="0033279F">
        <w:t>’</w:t>
      </w:r>
      <w:r w:rsidRPr="0033279F">
        <w:t>appui à la technologie et à l</w:t>
      </w:r>
      <w:r w:rsidR="00A20444" w:rsidRPr="0033279F">
        <w:t>’</w:t>
      </w:r>
      <w:r w:rsidRPr="0033279F">
        <w:t>innovation (CATI) ont été établis dans 19 pays supplémentaires au cours de 2012</w:t>
      </w:r>
      <w:r w:rsidR="002D6F2A" w:rsidRPr="0033279F">
        <w:noBreakHyphen/>
      </w:r>
      <w:r w:rsidRPr="0033279F">
        <w:t>2013.</w:t>
      </w:r>
    </w:p>
    <w:p w:rsidR="00D42474" w:rsidRDefault="00D42474" w:rsidP="001A5BF9">
      <w:pPr>
        <w:pStyle w:val="Paragraphedeliste"/>
        <w:ind w:left="0"/>
        <w:jc w:val="both"/>
        <w:rPr>
          <w:rFonts w:cs="Arial"/>
          <w:bCs/>
        </w:rPr>
      </w:pPr>
    </w:p>
    <w:p w:rsidR="00D42474" w:rsidRDefault="0096696E" w:rsidP="001A5BF9">
      <w:pPr>
        <w:pStyle w:val="Paragraphedeliste"/>
        <w:numPr>
          <w:ilvl w:val="0"/>
          <w:numId w:val="35"/>
        </w:numPr>
        <w:tabs>
          <w:tab w:val="left" w:pos="709"/>
        </w:tabs>
        <w:ind w:left="0" w:firstLine="0"/>
        <w:jc w:val="both"/>
      </w:pPr>
      <w:r w:rsidRPr="0033279F">
        <w:t>Au cours de l</w:t>
      </w:r>
      <w:r w:rsidR="00A20444" w:rsidRPr="0033279F">
        <w:t>’</w:t>
      </w:r>
      <w:r w:rsidRPr="0033279F">
        <w:t>exercice biennal, l</w:t>
      </w:r>
      <w:r w:rsidR="00A20444" w:rsidRPr="0033279F">
        <w:t>’</w:t>
      </w:r>
      <w:r w:rsidRPr="0033279F">
        <w:t>OMPI a poursuivi le renforcement de l</w:t>
      </w:r>
      <w:r w:rsidR="00A20444" w:rsidRPr="0033279F">
        <w:t>’</w:t>
      </w:r>
      <w:r w:rsidRPr="0033279F">
        <w:t>assistance qu</w:t>
      </w:r>
      <w:r w:rsidR="00A20444" w:rsidRPr="0033279F">
        <w:t>’</w:t>
      </w:r>
      <w:r w:rsidRPr="0033279F">
        <w:t>elle apporte aux offices de propriété intellectuelle dans les pays en développement et les PMA afin de leur permettre de fournir des services plus efficaces et d</w:t>
      </w:r>
      <w:r w:rsidR="00A20444" w:rsidRPr="0033279F">
        <w:t>’</w:t>
      </w:r>
      <w:r w:rsidRPr="0033279F">
        <w:t xml:space="preserve">une meilleure qualité à leurs parties prenantes. </w:t>
      </w:r>
      <w:r w:rsidR="0010442A" w:rsidRPr="0033279F">
        <w:t xml:space="preserve"> </w:t>
      </w:r>
      <w:r w:rsidRPr="0033279F">
        <w:t>L</w:t>
      </w:r>
      <w:r w:rsidR="00A20444" w:rsidRPr="0033279F">
        <w:t>’</w:t>
      </w:r>
      <w:r w:rsidRPr="0033279F">
        <w:t>introduction d</w:t>
      </w:r>
      <w:r w:rsidR="00A20444" w:rsidRPr="0033279F">
        <w:t>’</w:t>
      </w:r>
      <w:r w:rsidRPr="0033279F">
        <w:t>outils tels que le logiciel d</w:t>
      </w:r>
      <w:r w:rsidR="00A20444" w:rsidRPr="0033279F">
        <w:t>’</w:t>
      </w:r>
      <w:r w:rsidRPr="0033279F">
        <w:t xml:space="preserve">automatisation des offices de la propriété industrielle (IPAS) et </w:t>
      </w:r>
      <w:proofErr w:type="spellStart"/>
      <w:r w:rsidRPr="0033279F">
        <w:t>WIPOScan</w:t>
      </w:r>
      <w:proofErr w:type="spellEnd"/>
      <w:r w:rsidRPr="0033279F">
        <w:t>, de concert avec des améliorations apportées aux systèmes en place tels que le système de gestion électronique des documents (</w:t>
      </w:r>
      <w:proofErr w:type="spellStart"/>
      <w:r w:rsidRPr="0033279F">
        <w:t>EDMS</w:t>
      </w:r>
      <w:proofErr w:type="spellEnd"/>
      <w:r w:rsidRPr="0033279F">
        <w:t>) et le service d</w:t>
      </w:r>
      <w:r w:rsidR="00A20444" w:rsidRPr="0033279F">
        <w:t>’</w:t>
      </w:r>
      <w:r w:rsidRPr="0033279F">
        <w:t>accès numérique (DAS) ont donné d</w:t>
      </w:r>
      <w:r w:rsidR="00A20444" w:rsidRPr="0033279F">
        <w:t>’</w:t>
      </w:r>
      <w:r w:rsidRPr="0033279F">
        <w:t xml:space="preserve">importants résultats. </w:t>
      </w:r>
      <w:r w:rsidR="0010442A" w:rsidRPr="0033279F">
        <w:t xml:space="preserve"> </w:t>
      </w:r>
      <w:r w:rsidRPr="0033279F">
        <w:t>(Voir programme 15</w:t>
      </w:r>
      <w:r w:rsidR="00D33EAF" w:rsidRPr="0033279F">
        <w:t>.</w:t>
      </w:r>
      <w:r w:rsidRPr="0033279F">
        <w:t>)</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35"/>
        </w:numPr>
        <w:tabs>
          <w:tab w:val="left" w:pos="709"/>
        </w:tabs>
        <w:ind w:left="0" w:firstLine="0"/>
        <w:jc w:val="both"/>
        <w:rPr>
          <w:rFonts w:eastAsia="SimSun" w:cs="Arial"/>
        </w:rPr>
      </w:pPr>
      <w:r w:rsidRPr="0033279F">
        <w:t>Pendant l</w:t>
      </w:r>
      <w:r w:rsidR="00A20444" w:rsidRPr="0033279F">
        <w:t>’</w:t>
      </w:r>
      <w:r w:rsidRPr="0033279F">
        <w:t>exercice biennal, le programme a facilité et coordonné en interne l</w:t>
      </w:r>
      <w:r w:rsidR="00A20444" w:rsidRPr="0033279F">
        <w:t>’</w:t>
      </w:r>
      <w:r w:rsidRPr="0033279F">
        <w:t>adhésion de nombreux pays à des traités et conventions administrés par l</w:t>
      </w:r>
      <w:r w:rsidR="00A20444" w:rsidRPr="0033279F">
        <w:t>’</w:t>
      </w:r>
      <w:r w:rsidRPr="0033279F">
        <w:t>OMPI : deux pays d</w:t>
      </w:r>
      <w:r w:rsidR="00A20444" w:rsidRPr="0033279F">
        <w:t>’</w:t>
      </w:r>
      <w:r w:rsidRPr="0033279F">
        <w:t>Afrique (Botswana et Rwanda);</w:t>
      </w:r>
      <w:r w:rsidR="004F3E42" w:rsidRPr="0033279F">
        <w:t xml:space="preserve"> </w:t>
      </w:r>
      <w:r w:rsidR="0010442A" w:rsidRPr="0033279F">
        <w:t xml:space="preserve"> </w:t>
      </w:r>
      <w:r w:rsidRPr="0033279F">
        <w:t xml:space="preserve">six pays arabes (Algérie, </w:t>
      </w:r>
      <w:r w:rsidR="00A20444" w:rsidRPr="0033279F">
        <w:t>Arabie saoudite</w:t>
      </w:r>
      <w:r w:rsidRPr="0033279F">
        <w:t>, Bahreïn, Qatar, République arabe syrienne, Tunisie);</w:t>
      </w:r>
      <w:r w:rsidR="004F3E42" w:rsidRPr="0033279F">
        <w:t xml:space="preserve"> </w:t>
      </w:r>
      <w:r w:rsidR="0010442A" w:rsidRPr="0033279F">
        <w:t xml:space="preserve"> </w:t>
      </w:r>
      <w:r w:rsidRPr="0033279F">
        <w:t>trois pays de la région Asie</w:t>
      </w:r>
      <w:r w:rsidR="00F612B4">
        <w:t xml:space="preserve"> et </w:t>
      </w:r>
      <w:r w:rsidRPr="0033279F">
        <w:t>Pacifique (</w:t>
      </w:r>
      <w:proofErr w:type="spellStart"/>
      <w:r w:rsidRPr="0033279F">
        <w:t>Brunéi</w:t>
      </w:r>
      <w:proofErr w:type="spellEnd"/>
      <w:r w:rsidRPr="0033279F">
        <w:t xml:space="preserve"> Darussalam, Inde, </w:t>
      </w:r>
      <w:proofErr w:type="gramStart"/>
      <w:r w:rsidRPr="0033279F">
        <w:t>Iran</w:t>
      </w:r>
      <w:r w:rsidR="00A930EA" w:rsidRPr="0033279F">
        <w:t>(</w:t>
      </w:r>
      <w:proofErr w:type="gramEnd"/>
      <w:r w:rsidR="00A930EA" w:rsidRPr="0033279F">
        <w:t>République islamique d’)</w:t>
      </w:r>
      <w:r w:rsidRPr="0033279F">
        <w:t>);</w:t>
      </w:r>
      <w:r w:rsidR="004F3E42" w:rsidRPr="0033279F">
        <w:t xml:space="preserve"> </w:t>
      </w:r>
      <w:r w:rsidR="0010442A" w:rsidRPr="0033279F">
        <w:t xml:space="preserve"> </w:t>
      </w:r>
      <w:r w:rsidRPr="0033279F">
        <w:t>et trois pays de la région Amérique latine et Caraïbes (Colombie, Mexique, Panama).</w:t>
      </w:r>
      <w:r w:rsidR="0010442A" w:rsidRPr="0033279F">
        <w:t xml:space="preserve"> </w:t>
      </w:r>
      <w:r w:rsidRPr="0033279F">
        <w:t xml:space="preserve"> Deux pays arabes, </w:t>
      </w:r>
      <w:r w:rsidR="00A20444" w:rsidRPr="0033279F">
        <w:t>à savoir</w:t>
      </w:r>
      <w:r w:rsidRPr="0033279F">
        <w:t xml:space="preserve"> l</w:t>
      </w:r>
      <w:r w:rsidR="00A20444" w:rsidRPr="0033279F">
        <w:t>’</w:t>
      </w:r>
      <w:r w:rsidRPr="0033279F">
        <w:t>Égypte et la Tunisie, ont inclus des dispositions dans leur nouvelle Constitution.</w:t>
      </w:r>
    </w:p>
    <w:p w:rsidR="00D42474" w:rsidRDefault="00D42474" w:rsidP="001A5BF9">
      <w:pPr>
        <w:tabs>
          <w:tab w:val="left" w:pos="709"/>
        </w:tabs>
        <w:jc w:val="both"/>
        <w:rPr>
          <w:rFonts w:eastAsia="SimSun" w:cs="Arial"/>
          <w:szCs w:val="20"/>
        </w:rPr>
      </w:pPr>
    </w:p>
    <w:p w:rsidR="00D42474" w:rsidRDefault="0096696E" w:rsidP="001A5BF9">
      <w:pPr>
        <w:pStyle w:val="Paragraphedeliste"/>
        <w:numPr>
          <w:ilvl w:val="0"/>
          <w:numId w:val="35"/>
        </w:numPr>
        <w:tabs>
          <w:tab w:val="left" w:pos="709"/>
        </w:tabs>
        <w:ind w:left="0" w:firstLine="0"/>
        <w:jc w:val="both"/>
        <w:rPr>
          <w:spacing w:val="-2"/>
        </w:rPr>
      </w:pPr>
      <w:r w:rsidRPr="0033279F">
        <w:rPr>
          <w:spacing w:val="-2"/>
        </w:rPr>
        <w:t>L</w:t>
      </w:r>
      <w:r w:rsidR="00A20444" w:rsidRPr="0033279F">
        <w:rPr>
          <w:spacing w:val="-2"/>
        </w:rPr>
        <w:t>’</w:t>
      </w:r>
      <w:r w:rsidRPr="0033279F">
        <w:rPr>
          <w:spacing w:val="-2"/>
        </w:rPr>
        <w:t>OMPI continue d</w:t>
      </w:r>
      <w:r w:rsidR="00A20444" w:rsidRPr="0033279F">
        <w:rPr>
          <w:spacing w:val="-2"/>
        </w:rPr>
        <w:t>’</w:t>
      </w:r>
      <w:r w:rsidRPr="0033279F">
        <w:rPr>
          <w:spacing w:val="-2"/>
        </w:rPr>
        <w:t>apporter une assistance technique aux pays en développement et</w:t>
      </w:r>
      <w:r w:rsidR="00A20444" w:rsidRPr="0033279F">
        <w:rPr>
          <w:spacing w:val="-2"/>
        </w:rPr>
        <w:t xml:space="preserve"> aux PMA</w:t>
      </w:r>
      <w:r w:rsidRPr="0033279F">
        <w:rPr>
          <w:spacing w:val="-2"/>
        </w:rPr>
        <w:t xml:space="preserve"> en ce qui concerne la formulation et la modernisation de leur législation dans le domaine de la propriété intellectuelle, compte tenu des impératifs nationaux spécifiques et des éléments de flexibilité internationaux. </w:t>
      </w:r>
      <w:r w:rsidR="0010442A" w:rsidRPr="0033279F">
        <w:rPr>
          <w:spacing w:val="-2"/>
        </w:rPr>
        <w:t xml:space="preserve"> </w:t>
      </w:r>
      <w:r w:rsidRPr="0033279F">
        <w:rPr>
          <w:spacing w:val="-2"/>
        </w:rPr>
        <w:t>Afin d</w:t>
      </w:r>
      <w:r w:rsidR="00A20444" w:rsidRPr="0033279F">
        <w:rPr>
          <w:spacing w:val="-2"/>
        </w:rPr>
        <w:t>’</w:t>
      </w:r>
      <w:r w:rsidRPr="0033279F">
        <w:rPr>
          <w:spacing w:val="-2"/>
        </w:rPr>
        <w:t>établir plus clairement les domaines de priorité de l</w:t>
      </w:r>
      <w:r w:rsidR="00A20444" w:rsidRPr="0033279F">
        <w:rPr>
          <w:spacing w:val="-2"/>
        </w:rPr>
        <w:t>’</w:t>
      </w:r>
      <w:r w:rsidRPr="0033279F">
        <w:rPr>
          <w:spacing w:val="-2"/>
        </w:rPr>
        <w:t>OMPI, le Manuel de l</w:t>
      </w:r>
      <w:r w:rsidR="00A20444" w:rsidRPr="0033279F">
        <w:rPr>
          <w:spacing w:val="-2"/>
        </w:rPr>
        <w:t>’</w:t>
      </w:r>
      <w:r w:rsidRPr="0033279F">
        <w:rPr>
          <w:spacing w:val="-2"/>
        </w:rPr>
        <w:t>assistance technique fournie par l</w:t>
      </w:r>
      <w:r w:rsidR="00A20444" w:rsidRPr="0033279F">
        <w:rPr>
          <w:spacing w:val="-2"/>
        </w:rPr>
        <w:t>’</w:t>
      </w:r>
      <w:r w:rsidRPr="0033279F">
        <w:rPr>
          <w:spacing w:val="-2"/>
        </w:rPr>
        <w:t>OMPI</w:t>
      </w:r>
      <w:r w:rsidRPr="0033279F">
        <w:rPr>
          <w:rStyle w:val="FootnoteReference"/>
          <w:spacing w:val="-2"/>
        </w:rPr>
        <w:footnoteReference w:id="17"/>
      </w:r>
      <w:r w:rsidRPr="0033279F">
        <w:rPr>
          <w:spacing w:val="-2"/>
        </w:rPr>
        <w:t xml:space="preserve"> a été finalisé en 2013 et la date de sa publication a été avancée en 2014</w:t>
      </w:r>
      <w:r w:rsidR="00232949" w:rsidRPr="0033279F">
        <w:rPr>
          <w:spacing w:val="-2"/>
        </w:rPr>
        <w:t>.</w:t>
      </w:r>
      <w:r w:rsidR="004F3E42" w:rsidRPr="0033279F">
        <w:rPr>
          <w:spacing w:val="-2"/>
        </w:rPr>
        <w:t xml:space="preserve"> </w:t>
      </w:r>
      <w:r w:rsidR="0010442A" w:rsidRPr="0033279F">
        <w:rPr>
          <w:spacing w:val="-2"/>
        </w:rPr>
        <w:t xml:space="preserve"> </w:t>
      </w:r>
      <w:r w:rsidRPr="0033279F">
        <w:rPr>
          <w:spacing w:val="-2"/>
        </w:rPr>
        <w:t>Le manuel est destiné à servir de portail dédié aux activités et aux services d</w:t>
      </w:r>
      <w:r w:rsidR="00A20444" w:rsidRPr="0033279F">
        <w:rPr>
          <w:spacing w:val="-2"/>
        </w:rPr>
        <w:t>’</w:t>
      </w:r>
      <w:r w:rsidRPr="0033279F">
        <w:rPr>
          <w:spacing w:val="-2"/>
        </w:rPr>
        <w:t>assistance technique fournis par l</w:t>
      </w:r>
      <w:r w:rsidR="00A20444" w:rsidRPr="0033279F">
        <w:rPr>
          <w:spacing w:val="-2"/>
        </w:rPr>
        <w:t>’</w:t>
      </w:r>
      <w:r w:rsidRPr="0033279F">
        <w:rPr>
          <w:spacing w:val="-2"/>
        </w:rPr>
        <w:t>OMPI et il s</w:t>
      </w:r>
      <w:r w:rsidR="00A20444" w:rsidRPr="0033279F">
        <w:rPr>
          <w:spacing w:val="-2"/>
        </w:rPr>
        <w:t>’</w:t>
      </w:r>
      <w:r w:rsidRPr="0033279F">
        <w:rPr>
          <w:spacing w:val="-2"/>
        </w:rPr>
        <w:t>adresse aux États membres, aux institutions et aux individus intéressés par les programmes d</w:t>
      </w:r>
      <w:r w:rsidR="00A20444" w:rsidRPr="0033279F">
        <w:rPr>
          <w:spacing w:val="-2"/>
        </w:rPr>
        <w:t>’</w:t>
      </w:r>
      <w:r w:rsidRPr="0033279F">
        <w:rPr>
          <w:spacing w:val="-2"/>
        </w:rPr>
        <w:t>assistance technique menés par l</w:t>
      </w:r>
      <w:r w:rsidR="00A20444" w:rsidRPr="0033279F">
        <w:rPr>
          <w:spacing w:val="-2"/>
        </w:rPr>
        <w:t>’</w:t>
      </w:r>
      <w:r w:rsidRPr="0033279F">
        <w:rPr>
          <w:spacing w:val="-2"/>
        </w:rPr>
        <w:t>Organisation dans les pays en développement, les pays les moins avancés et les pays en transition.</w:t>
      </w:r>
      <w:r w:rsidR="004F3E42" w:rsidRPr="0033279F">
        <w:rPr>
          <w:spacing w:val="-2"/>
        </w:rPr>
        <w:t xml:space="preserve"> </w:t>
      </w:r>
      <w:r w:rsidR="0010442A" w:rsidRPr="0033279F">
        <w:rPr>
          <w:spacing w:val="-2"/>
        </w:rPr>
        <w:t xml:space="preserve"> </w:t>
      </w:r>
      <w:r w:rsidRPr="0033279F">
        <w:rPr>
          <w:spacing w:val="-2"/>
        </w:rPr>
        <w:t>De plus, l</w:t>
      </w:r>
      <w:r w:rsidR="00A20444" w:rsidRPr="0033279F">
        <w:rPr>
          <w:spacing w:val="-2"/>
        </w:rPr>
        <w:t>’</w:t>
      </w:r>
      <w:r w:rsidRPr="0033279F">
        <w:rPr>
          <w:spacing w:val="-2"/>
        </w:rPr>
        <w:t>attention toute particulière accordée aux PMA comprenait également des activités de coordination ciblées dans les domaines de l</w:t>
      </w:r>
      <w:r w:rsidR="00A20444" w:rsidRPr="0033279F">
        <w:rPr>
          <w:spacing w:val="-2"/>
        </w:rPr>
        <w:t>’</w:t>
      </w:r>
      <w:r w:rsidRPr="0033279F">
        <w:rPr>
          <w:spacing w:val="-2"/>
        </w:rPr>
        <w:t>innovation, de la créativité et du développement</w:t>
      </w:r>
      <w:r w:rsidR="00232949" w:rsidRPr="0033279F">
        <w:rPr>
          <w:spacing w:val="-2"/>
        </w:rPr>
        <w:t>.</w:t>
      </w:r>
      <w:r w:rsidR="004F3E42" w:rsidRPr="0033279F">
        <w:rPr>
          <w:spacing w:val="-2"/>
        </w:rPr>
        <w:t xml:space="preserve"> </w:t>
      </w:r>
      <w:r w:rsidR="0010442A" w:rsidRPr="0033279F">
        <w:rPr>
          <w:spacing w:val="-2"/>
        </w:rPr>
        <w:t xml:space="preserve"> </w:t>
      </w:r>
      <w:r w:rsidRPr="0033279F">
        <w:rPr>
          <w:spacing w:val="-2"/>
        </w:rPr>
        <w:t>Les documents de travail adoptés par l</w:t>
      </w:r>
      <w:r w:rsidR="00A20444" w:rsidRPr="0033279F">
        <w:rPr>
          <w:spacing w:val="-2"/>
        </w:rPr>
        <w:t>’</w:t>
      </w:r>
      <w:r w:rsidRPr="0033279F">
        <w:rPr>
          <w:spacing w:val="-2"/>
        </w:rPr>
        <w:t>OMPI en</w:t>
      </w:r>
      <w:r w:rsidR="0010442A" w:rsidRPr="0033279F">
        <w:rPr>
          <w:spacing w:val="-2"/>
        </w:rPr>
        <w:t> </w:t>
      </w:r>
      <w:r w:rsidRPr="0033279F">
        <w:rPr>
          <w:spacing w:val="-2"/>
        </w:rPr>
        <w:t>2011 à l</w:t>
      </w:r>
      <w:r w:rsidR="00A20444" w:rsidRPr="0033279F">
        <w:rPr>
          <w:spacing w:val="-2"/>
        </w:rPr>
        <w:t>’</w:t>
      </w:r>
      <w:r w:rsidRPr="0033279F">
        <w:rPr>
          <w:spacing w:val="-2"/>
        </w:rPr>
        <w:t xml:space="preserve">occasion de la quatrième conférence des </w:t>
      </w:r>
      <w:r w:rsidR="00A20444" w:rsidRPr="0033279F">
        <w:rPr>
          <w:spacing w:val="-2"/>
        </w:rPr>
        <w:t>Nations Unies</w:t>
      </w:r>
      <w:r w:rsidRPr="0033279F">
        <w:rPr>
          <w:spacing w:val="-2"/>
        </w:rPr>
        <w:t xml:space="preserve"> sur les pays les moins développés continuent de renforcer la cohésion et d</w:t>
      </w:r>
      <w:r w:rsidR="00A20444" w:rsidRPr="0033279F">
        <w:rPr>
          <w:spacing w:val="-2"/>
        </w:rPr>
        <w:t>’</w:t>
      </w:r>
      <w:r w:rsidRPr="0033279F">
        <w:rPr>
          <w:spacing w:val="-2"/>
        </w:rPr>
        <w:t>axer les travaux sur la fourniture d</w:t>
      </w:r>
      <w:r w:rsidR="00A20444" w:rsidRPr="0033279F">
        <w:rPr>
          <w:spacing w:val="-2"/>
        </w:rPr>
        <w:t>’</w:t>
      </w:r>
      <w:r w:rsidRPr="0033279F">
        <w:rPr>
          <w:spacing w:val="-2"/>
        </w:rPr>
        <w:t>assistance technique</w:t>
      </w:r>
      <w:r w:rsidR="00A20444" w:rsidRPr="0033279F">
        <w:rPr>
          <w:spacing w:val="-2"/>
        </w:rPr>
        <w:t xml:space="preserve"> aux PMA</w:t>
      </w:r>
      <w:r w:rsidRPr="0033279F">
        <w:rPr>
          <w:spacing w:val="-2"/>
        </w:rPr>
        <w:t xml:space="preserve"> tout au long de l</w:t>
      </w:r>
      <w:r w:rsidR="00A20444" w:rsidRPr="0033279F">
        <w:rPr>
          <w:spacing w:val="-2"/>
        </w:rPr>
        <w:t>’</w:t>
      </w:r>
      <w:r w:rsidRPr="0033279F">
        <w:rPr>
          <w:spacing w:val="-2"/>
        </w:rPr>
        <w:t>exercice biennal.</w:t>
      </w:r>
    </w:p>
    <w:p w:rsidR="00D42474" w:rsidRDefault="00D42474" w:rsidP="001A5BF9">
      <w:pPr>
        <w:tabs>
          <w:tab w:val="left" w:pos="709"/>
        </w:tabs>
        <w:jc w:val="both"/>
        <w:rPr>
          <w:szCs w:val="20"/>
        </w:rPr>
      </w:pPr>
    </w:p>
    <w:p w:rsidR="00D42474" w:rsidRDefault="0096696E" w:rsidP="001A5BF9">
      <w:pPr>
        <w:pStyle w:val="Paragraphedeliste"/>
        <w:numPr>
          <w:ilvl w:val="0"/>
          <w:numId w:val="35"/>
        </w:numPr>
        <w:tabs>
          <w:tab w:val="left" w:pos="709"/>
        </w:tabs>
        <w:ind w:left="0" w:firstLine="0"/>
        <w:jc w:val="both"/>
        <w:rPr>
          <w:rFonts w:cs="Arial"/>
        </w:rPr>
      </w:pPr>
      <w:r w:rsidRPr="0033279F">
        <w:t>La Division des projets spéciaux, créée en mai 2012 aux fins d</w:t>
      </w:r>
      <w:r w:rsidR="00A20444" w:rsidRPr="0033279F">
        <w:t>’</w:t>
      </w:r>
      <w:r w:rsidRPr="0033279F">
        <w:t>élaborer des projets de développement et de propriété intellectuelle innovants en coordination avec les secteurs spécialisés concernés, les divisions et Bureaux régionaux, a concentré ses efforts sur la mise en œuvre de méthodologies visant à définir, protéger et commercialiser des produits sous une marque reposant sur une origine dans des pays en développement choisis;</w:t>
      </w:r>
      <w:r w:rsidR="004F3E42" w:rsidRPr="0033279F">
        <w:t xml:space="preserve"> </w:t>
      </w:r>
      <w:r w:rsidR="0010442A" w:rsidRPr="0033279F">
        <w:t xml:space="preserve"> </w:t>
      </w:r>
      <w:r w:rsidRPr="0033279F">
        <w:t>la sensibilisation des entreprises africaines spécialisées dans la mode aux considérations de propriété intellectuelle;</w:t>
      </w:r>
      <w:r w:rsidR="004F3E42" w:rsidRPr="0033279F">
        <w:t xml:space="preserve"> </w:t>
      </w:r>
      <w:r w:rsidR="0010442A" w:rsidRPr="0033279F">
        <w:t xml:space="preserve"> </w:t>
      </w:r>
      <w:r w:rsidRPr="0033279F">
        <w:t>la protection du patrimoine culturel et des expressions culturelles aux Caraïbes;</w:t>
      </w:r>
      <w:r w:rsidR="004F3E42" w:rsidRPr="0033279F">
        <w:t xml:space="preserve"> </w:t>
      </w:r>
      <w:r w:rsidR="0010442A" w:rsidRPr="0033279F">
        <w:t xml:space="preserve"> </w:t>
      </w:r>
      <w:r w:rsidRPr="0033279F">
        <w:t>et le développement d</w:t>
      </w:r>
      <w:r w:rsidR="00A20444" w:rsidRPr="0033279F">
        <w:t>’</w:t>
      </w:r>
      <w:r w:rsidRPr="0033279F">
        <w:t>outils pratiques pour l</w:t>
      </w:r>
      <w:r w:rsidR="00A20444" w:rsidRPr="0033279F">
        <w:t>’</w:t>
      </w:r>
      <w:r w:rsidRPr="0033279F">
        <w:t>évaluation de la propriété intellectuelle.</w:t>
      </w:r>
      <w:r w:rsidR="0010442A" w:rsidRPr="0033279F">
        <w:t xml:space="preserve"> </w:t>
      </w:r>
      <w:r w:rsidRPr="0033279F">
        <w:t xml:space="preserve"> Dans le cadre de ces projets et dans la mesure du possible, des supports de formation ont été élaborés en vue de saisir les contenus utiles et les enseignements tirés des programmes de renforcement des capacités récurrents menés par le secteur du développement.</w:t>
      </w:r>
    </w:p>
    <w:p w:rsidR="00D42474" w:rsidRDefault="00D42474" w:rsidP="001A5BF9">
      <w:pPr>
        <w:tabs>
          <w:tab w:val="left" w:pos="709"/>
        </w:tabs>
        <w:jc w:val="both"/>
        <w:rPr>
          <w:rFonts w:cs="Arial"/>
          <w:szCs w:val="20"/>
        </w:rPr>
      </w:pPr>
    </w:p>
    <w:p w:rsidR="00D42474" w:rsidRDefault="0096696E" w:rsidP="001A5BF9">
      <w:pPr>
        <w:pStyle w:val="Paragraphedeliste"/>
        <w:numPr>
          <w:ilvl w:val="0"/>
          <w:numId w:val="35"/>
        </w:numPr>
        <w:tabs>
          <w:tab w:val="left" w:pos="709"/>
        </w:tabs>
        <w:ind w:left="0" w:firstLine="0"/>
        <w:jc w:val="both"/>
        <w:rPr>
          <w:rFonts w:cs="Arial"/>
        </w:rPr>
      </w:pPr>
      <w:r w:rsidRPr="0033279F">
        <w:t>Le déploiement et l</w:t>
      </w:r>
      <w:r w:rsidR="00A20444" w:rsidRPr="0033279F">
        <w:t>’</w:t>
      </w:r>
      <w:r w:rsidRPr="0033279F">
        <w:t xml:space="preserve">amélioration permanente des bases de données spécialisées continuent à porter leurs fruits. </w:t>
      </w:r>
      <w:r w:rsidR="0010442A" w:rsidRPr="0033279F">
        <w:t xml:space="preserve"> </w:t>
      </w:r>
      <w:r w:rsidRPr="0033279F">
        <w:t>En plus des trois bases de données existantes et élargies sur l</w:t>
      </w:r>
      <w:r w:rsidR="00A20444" w:rsidRPr="0033279F">
        <w:t>’</w:t>
      </w:r>
      <w:r w:rsidRPr="0033279F">
        <w:t>assistance technique en matière de propriété intellectuelle (IP</w:t>
      </w:r>
      <w:r w:rsidR="002D6F2A" w:rsidRPr="0033279F">
        <w:noBreakHyphen/>
      </w:r>
      <w:proofErr w:type="spellStart"/>
      <w:r w:rsidRPr="0033279F">
        <w:t>TAD</w:t>
      </w:r>
      <w:proofErr w:type="spellEnd"/>
      <w:r w:rsidRPr="0033279F">
        <w:t>), la base de données de mise en parallèle des besoins de développement liés à la propriété intellectuelle (IP</w:t>
      </w:r>
      <w:r w:rsidR="002D6F2A" w:rsidRPr="0033279F">
        <w:noBreakHyphen/>
      </w:r>
      <w:proofErr w:type="spellStart"/>
      <w:r w:rsidRPr="0033279F">
        <w:t>DMD</w:t>
      </w:r>
      <w:proofErr w:type="spellEnd"/>
      <w:r w:rsidRPr="0033279F">
        <w:t>) et la liste des consultants (IP</w:t>
      </w:r>
      <w:r w:rsidR="002D6F2A" w:rsidRPr="0033279F">
        <w:noBreakHyphen/>
      </w:r>
      <w:r w:rsidRPr="0033279F">
        <w:t>ROC), qui ont été intégrées en 2012, deux nouvelles bases de données personnalisées ont été créées et mises en œuvre afin d</w:t>
      </w:r>
      <w:r w:rsidR="00A20444" w:rsidRPr="0033279F">
        <w:t>’</w:t>
      </w:r>
      <w:r w:rsidRPr="0033279F">
        <w:t>appuyer l</w:t>
      </w:r>
      <w:r w:rsidR="00A20444" w:rsidRPr="0033279F">
        <w:t>’</w:t>
      </w:r>
      <w:r w:rsidRPr="0033279F">
        <w:t>intégration des recommandations du Plan d</w:t>
      </w:r>
      <w:r w:rsidR="00A20444" w:rsidRPr="0033279F">
        <w:t>’</w:t>
      </w:r>
      <w:r w:rsidRPr="0033279F">
        <w:t>action pour le développement dans les travaux de l</w:t>
      </w:r>
      <w:r w:rsidR="00A20444" w:rsidRPr="0033279F">
        <w:t>’</w:t>
      </w:r>
      <w:r w:rsidRPr="0033279F">
        <w:t xml:space="preserve">OMPI axés sur le développement, </w:t>
      </w:r>
      <w:r w:rsidR="00A20444" w:rsidRPr="0033279F">
        <w:t>à savoir</w:t>
      </w:r>
      <w:r w:rsidRPr="0033279F">
        <w:t xml:space="preserve"> une base de données pour la saisie des données de référence à utiliser dans les processus nationaux pour l</w:t>
      </w:r>
      <w:r w:rsidR="00A20444" w:rsidRPr="0033279F">
        <w:t>’</w:t>
      </w:r>
      <w:r w:rsidRPr="0033279F">
        <w:t>élaboration des stratégies nationales de propriété intellectuelle (</w:t>
      </w:r>
      <w:proofErr w:type="spellStart"/>
      <w:r w:rsidRPr="0033279F">
        <w:t>NIPS</w:t>
      </w:r>
      <w:proofErr w:type="spellEnd"/>
      <w:r w:rsidR="002D6F2A" w:rsidRPr="0033279F">
        <w:noBreakHyphen/>
      </w:r>
      <w:r w:rsidRPr="0033279F">
        <w:t>D) et une interface pour le projet Sud</w:t>
      </w:r>
      <w:r w:rsidR="002D6F2A" w:rsidRPr="0033279F">
        <w:noBreakHyphen/>
      </w:r>
      <w:r w:rsidRPr="0033279F">
        <w:t>Sud du Plan d</w:t>
      </w:r>
      <w:r w:rsidR="00A20444" w:rsidRPr="0033279F">
        <w:t>’</w:t>
      </w:r>
      <w:r w:rsidRPr="0033279F">
        <w:t>action pour le développement permettant le partage des informations figurant dans IP</w:t>
      </w:r>
      <w:r w:rsidR="002D6F2A" w:rsidRPr="0033279F">
        <w:noBreakHyphen/>
      </w:r>
      <w:proofErr w:type="spellStart"/>
      <w:r w:rsidRPr="0033279F">
        <w:t>TAD</w:t>
      </w:r>
      <w:proofErr w:type="spellEnd"/>
      <w:r w:rsidRPr="0033279F">
        <w:t xml:space="preserve"> et IP</w:t>
      </w:r>
      <w:r w:rsidR="002D6F2A" w:rsidRPr="0033279F">
        <w:noBreakHyphen/>
      </w:r>
      <w:r w:rsidRPr="0033279F">
        <w:t>ROC pour les pays de l</w:t>
      </w:r>
      <w:r w:rsidR="00A20444" w:rsidRPr="0033279F">
        <w:t>’</w:t>
      </w:r>
      <w:r w:rsidRPr="0033279F">
        <w:t>hémisphère Sud.</w:t>
      </w:r>
    </w:p>
    <w:p w:rsidR="00D42474" w:rsidRDefault="00D42474" w:rsidP="001A5BF9">
      <w:pPr>
        <w:jc w:val="both"/>
        <w:rPr>
          <w:rFonts w:cs="Arial"/>
          <w:szCs w:val="20"/>
        </w:rPr>
      </w:pPr>
    </w:p>
    <w:p w:rsidR="00D42474" w:rsidRDefault="00D42474" w:rsidP="001A5BF9">
      <w:pPr>
        <w:jc w:val="both"/>
        <w:rPr>
          <w:rFonts w:cs="Arial"/>
          <w:szCs w:val="20"/>
        </w:rPr>
      </w:pPr>
    </w:p>
    <w:p w:rsidR="00D42474" w:rsidRDefault="0096696E" w:rsidP="001A5BF9">
      <w:pPr>
        <w:jc w:val="both"/>
      </w:pPr>
      <w:r w:rsidRPr="00761625">
        <w:rPr>
          <w:sz w:val="22"/>
        </w:rPr>
        <w:t>MISE EN ŒUVRE DU PLAN D</w:t>
      </w:r>
      <w:r w:rsidR="00A20444" w:rsidRPr="00761625">
        <w:rPr>
          <w:sz w:val="22"/>
        </w:rPr>
        <w:t>’</w:t>
      </w:r>
      <w:r w:rsidRPr="00761625">
        <w:rPr>
          <w:sz w:val="22"/>
        </w:rPr>
        <w:t>ACTION POUR LE DÉVELOPPEMENT</w:t>
      </w:r>
    </w:p>
    <w:p w:rsidR="00D42474" w:rsidRDefault="00D42474" w:rsidP="001A5BF9">
      <w:pPr>
        <w:jc w:val="both"/>
        <w:rPr>
          <w:rFonts w:cs="Arial"/>
          <w:szCs w:val="22"/>
        </w:rPr>
      </w:pPr>
    </w:p>
    <w:p w:rsidR="00D42474" w:rsidRDefault="0096696E" w:rsidP="001A5BF9">
      <w:pPr>
        <w:pStyle w:val="Paragraphedeliste"/>
        <w:numPr>
          <w:ilvl w:val="0"/>
          <w:numId w:val="35"/>
        </w:numPr>
        <w:tabs>
          <w:tab w:val="left" w:pos="709"/>
        </w:tabs>
        <w:ind w:left="0" w:firstLine="0"/>
        <w:jc w:val="both"/>
      </w:pPr>
      <w:r w:rsidRPr="0033279F">
        <w:t>Le programme 9 reste l</w:t>
      </w:r>
      <w:r w:rsidR="00A20444" w:rsidRPr="0033279F">
        <w:t>’</w:t>
      </w:r>
      <w:r w:rsidRPr="0033279F">
        <w:t>un des principaux exécutants du Plan d</w:t>
      </w:r>
      <w:r w:rsidR="00A20444" w:rsidRPr="0033279F">
        <w:t>’</w:t>
      </w:r>
      <w:r w:rsidRPr="0033279F">
        <w:t>action pour le développement de l</w:t>
      </w:r>
      <w:r w:rsidR="00A20444" w:rsidRPr="0033279F">
        <w:t>’</w:t>
      </w:r>
      <w:r w:rsidRPr="0033279F">
        <w:t xml:space="preserve">OMPI. </w:t>
      </w:r>
      <w:r w:rsidR="0010442A" w:rsidRPr="0033279F">
        <w:t xml:space="preserve"> </w:t>
      </w:r>
      <w:r w:rsidRPr="0033279F">
        <w:t>La conception, la planification et la mise en œuvre des activités par ce programme ont été éclairées et guidées par les recommandations pertinentes du Plan d</w:t>
      </w:r>
      <w:r w:rsidR="00A20444" w:rsidRPr="0033279F">
        <w:t>’</w:t>
      </w:r>
      <w:r w:rsidRPr="0033279F">
        <w:t>action pour le développement, en particulier les recommandations dans le cadre du groupe A sur l</w:t>
      </w:r>
      <w:r w:rsidR="00A20444" w:rsidRPr="0033279F">
        <w:t>’</w:t>
      </w:r>
      <w:r w:rsidRPr="0033279F">
        <w:t>assistance technique de l</w:t>
      </w:r>
      <w:r w:rsidR="00A20444" w:rsidRPr="0033279F">
        <w:t>’</w:t>
      </w:r>
      <w:r w:rsidRPr="0033279F">
        <w:t>OMPI et le renforcement des capacités.</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35"/>
        </w:numPr>
        <w:tabs>
          <w:tab w:val="left" w:pos="709"/>
        </w:tabs>
        <w:ind w:left="0" w:firstLine="0"/>
        <w:jc w:val="both"/>
      </w:pPr>
      <w:r w:rsidRPr="0033279F">
        <w:t xml:space="preserve">Dans le cadre du </w:t>
      </w:r>
      <w:r w:rsidR="00667FB3" w:rsidRPr="0033279F">
        <w:t>projet</w:t>
      </w:r>
      <w:r w:rsidRPr="0033279F">
        <w:t xml:space="preserve"> du Plan d</w:t>
      </w:r>
      <w:r w:rsidR="00A20444" w:rsidRPr="0033279F">
        <w:t>’</w:t>
      </w:r>
      <w:r w:rsidRPr="0033279F">
        <w:t xml:space="preserve">action pour le développement </w:t>
      </w:r>
      <w:proofErr w:type="spellStart"/>
      <w:r w:rsidRPr="0033279F">
        <w:t>DA_05_01</w:t>
      </w:r>
      <w:proofErr w:type="spellEnd"/>
      <w:r w:rsidRPr="0033279F">
        <w:t>, la base de données sur l</w:t>
      </w:r>
      <w:r w:rsidR="00A20444" w:rsidRPr="0033279F">
        <w:t>’</w:t>
      </w:r>
      <w:r w:rsidRPr="0033279F">
        <w:t>assistance technique en matière de propriété intellectuelle (IP</w:t>
      </w:r>
      <w:r w:rsidR="002D6F2A" w:rsidRPr="0033279F">
        <w:noBreakHyphen/>
      </w:r>
      <w:proofErr w:type="spellStart"/>
      <w:r w:rsidRPr="0033279F">
        <w:t>TAD</w:t>
      </w:r>
      <w:proofErr w:type="spellEnd"/>
      <w:r w:rsidRPr="0033279F">
        <w:t>)</w:t>
      </w:r>
      <w:r w:rsidRPr="0033279F">
        <w:rPr>
          <w:rStyle w:val="FootnoteReference"/>
        </w:rPr>
        <w:footnoteReference w:id="18"/>
      </w:r>
      <w:r w:rsidRPr="0033279F">
        <w:t xml:space="preserve"> a été établie et pleinement intégrée avec la liste de consultants (ROC)</w:t>
      </w:r>
      <w:r w:rsidRPr="0033279F">
        <w:rPr>
          <w:rStyle w:val="FootnoteReference"/>
        </w:rPr>
        <w:footnoteReference w:id="19"/>
      </w:r>
      <w:r w:rsidRPr="0033279F">
        <w:t xml:space="preserve">. </w:t>
      </w:r>
      <w:r w:rsidR="0010442A" w:rsidRPr="0033279F">
        <w:t xml:space="preserve"> </w:t>
      </w:r>
      <w:r w:rsidRPr="0033279F">
        <w:t>Le projet a été évalué de manière indépendante et un rapport d</w:t>
      </w:r>
      <w:r w:rsidR="00A20444" w:rsidRPr="0033279F">
        <w:t>’</w:t>
      </w:r>
      <w:r w:rsidRPr="0033279F">
        <w:t xml:space="preserve">évaluation a été présenté et débattu au sein du CDIP. </w:t>
      </w:r>
      <w:r w:rsidR="0010442A" w:rsidRPr="0033279F">
        <w:t xml:space="preserve"> </w:t>
      </w:r>
      <w:r w:rsidRPr="0033279F">
        <w:t>En outre, la base de données de mise en parallèle des besoins de développement liés à la propriété intellectuelle (IP</w:t>
      </w:r>
      <w:r w:rsidR="002D6F2A" w:rsidRPr="0033279F">
        <w:noBreakHyphen/>
      </w:r>
      <w:proofErr w:type="spellStart"/>
      <w:r w:rsidRPr="0033279F">
        <w:t>DMD</w:t>
      </w:r>
      <w:proofErr w:type="spellEnd"/>
      <w:r w:rsidRPr="0033279F">
        <w:t>)</w:t>
      </w:r>
      <w:r w:rsidRPr="0033279F">
        <w:rPr>
          <w:rStyle w:val="FootnoteReference"/>
        </w:rPr>
        <w:footnoteReference w:id="20"/>
      </w:r>
      <w:r w:rsidRPr="0033279F">
        <w:t xml:space="preserve"> a été lancée. </w:t>
      </w:r>
      <w:r w:rsidR="0010442A" w:rsidRPr="0033279F">
        <w:t xml:space="preserve"> </w:t>
      </w:r>
      <w:r w:rsidRPr="0033279F">
        <w:t>Le projet a été évalué et l</w:t>
      </w:r>
      <w:r w:rsidR="00A20444" w:rsidRPr="0033279F">
        <w:t>’</w:t>
      </w:r>
      <w:r w:rsidRPr="0033279F">
        <w:t>évaluation a fait l</w:t>
      </w:r>
      <w:r w:rsidR="00A20444" w:rsidRPr="0033279F">
        <w:t>’</w:t>
      </w:r>
      <w:r w:rsidRPr="0033279F">
        <w:t>objet d</w:t>
      </w:r>
      <w:r w:rsidR="00A20444" w:rsidRPr="0033279F">
        <w:t>’</w:t>
      </w:r>
      <w:r w:rsidRPr="0033279F">
        <w:t>un débat au sein</w:t>
      </w:r>
      <w:r w:rsidR="00A20444" w:rsidRPr="0033279F">
        <w:t xml:space="preserve"> du CDI</w:t>
      </w:r>
      <w:r w:rsidRPr="0033279F">
        <w:t>P.</w:t>
      </w:r>
    </w:p>
    <w:p w:rsidR="00D42474" w:rsidRDefault="00D42474" w:rsidP="001A5BF9">
      <w:pPr>
        <w:jc w:val="both"/>
        <w:rPr>
          <w:rFonts w:cs="Arial"/>
          <w:bCs/>
          <w:szCs w:val="20"/>
        </w:rPr>
      </w:pPr>
    </w:p>
    <w:p w:rsidR="00D42474" w:rsidRDefault="0096696E" w:rsidP="001A5BF9">
      <w:pPr>
        <w:pStyle w:val="Paragraphedeliste"/>
        <w:numPr>
          <w:ilvl w:val="0"/>
          <w:numId w:val="35"/>
        </w:numPr>
        <w:tabs>
          <w:tab w:val="left" w:pos="709"/>
        </w:tabs>
        <w:ind w:left="0" w:firstLine="0"/>
        <w:jc w:val="both"/>
        <w:rPr>
          <w:rFonts w:cs="Arial"/>
          <w:bCs/>
        </w:rPr>
      </w:pPr>
      <w:r w:rsidRPr="0033279F">
        <w:t>Le projet du Plan d</w:t>
      </w:r>
      <w:r w:rsidR="00A20444" w:rsidRPr="0033279F">
        <w:t>’</w:t>
      </w:r>
      <w:r w:rsidRPr="0033279F">
        <w:t>action pour le développement sur le renforcement des capacités des institutions et des utilisateurs de propriété intellectuelle, aux niveaux national, sous</w:t>
      </w:r>
      <w:r w:rsidR="002D6F2A" w:rsidRPr="0033279F">
        <w:noBreakHyphen/>
      </w:r>
      <w:r w:rsidRPr="0033279F">
        <w:t xml:space="preserve">régional et régional, a été achevé et évalué de manière indépendante. </w:t>
      </w:r>
      <w:r w:rsidR="0010442A" w:rsidRPr="0033279F">
        <w:t xml:space="preserve"> </w:t>
      </w:r>
      <w:r w:rsidRPr="0033279F">
        <w:t>Six pays pilotes (</w:t>
      </w:r>
      <w:r w:rsidR="00F7033E">
        <w:t>Algérie, Mali, Moldova, Mongolie, République dominicaine et République</w:t>
      </w:r>
      <w:r w:rsidR="00F7033E">
        <w:noBreakHyphen/>
        <w:t>Unie de Tanzanie</w:t>
      </w:r>
      <w:r w:rsidRPr="0033279F">
        <w:t>) ont achevé l</w:t>
      </w:r>
      <w:r w:rsidR="00A20444" w:rsidRPr="0033279F">
        <w:t>’</w:t>
      </w:r>
      <w:r w:rsidRPr="0033279F">
        <w:t>élaboration de projets de stratégies nationales de propriété intellectuelle et de plans d</w:t>
      </w:r>
      <w:r w:rsidR="00A20444" w:rsidRPr="0033279F">
        <w:t>’</w:t>
      </w:r>
      <w:r w:rsidRPr="0033279F">
        <w:t>action au moyen de la méthodologie proposée par l</w:t>
      </w:r>
      <w:r w:rsidR="00A20444" w:rsidRPr="0033279F">
        <w:t>’</w:t>
      </w:r>
      <w:r w:rsidRPr="0033279F">
        <w:t xml:space="preserve">OMPI et ont soumis les documents de stratégie à leur gouvernement respectif pour approbation. </w:t>
      </w:r>
      <w:r w:rsidR="0010442A" w:rsidRPr="0033279F">
        <w:t xml:space="preserve"> </w:t>
      </w:r>
      <w:r w:rsidRPr="0033279F">
        <w:t>En outre, un groupe d</w:t>
      </w:r>
      <w:r w:rsidR="00A20444" w:rsidRPr="0033279F">
        <w:t>’</w:t>
      </w:r>
      <w:r w:rsidRPr="0033279F">
        <w:t>experts nationaux et internationaux expérimentés a été créé afin de fournir des ressources utiles pour aider d</w:t>
      </w:r>
      <w:r w:rsidR="00A20444" w:rsidRPr="0033279F">
        <w:t>’</w:t>
      </w:r>
      <w:r w:rsidRPr="0033279F">
        <w:t>autres pays potentiellement intéressés par un processus d</w:t>
      </w:r>
      <w:r w:rsidR="00A20444" w:rsidRPr="0033279F">
        <w:t>’</w:t>
      </w:r>
      <w:r w:rsidRPr="0033279F">
        <w:t>élaboration de stratégie de propriété intellectuelle.</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35"/>
        </w:numPr>
        <w:tabs>
          <w:tab w:val="left" w:pos="709"/>
        </w:tabs>
        <w:ind w:left="0" w:firstLine="0"/>
        <w:jc w:val="both"/>
      </w:pPr>
      <w:r w:rsidRPr="0033279F">
        <w:t>Le projet du Plan d</w:t>
      </w:r>
      <w:r w:rsidR="00A20444" w:rsidRPr="0033279F">
        <w:t>’</w:t>
      </w:r>
      <w:r w:rsidRPr="0033279F">
        <w:t xml:space="preserve">action pour le développement sur la propriété intellectuelle et la création de marques de produits aux fins de développement des entreprises dans les pays en développement et les pays les moins avancés a continué à être mis en œuvre dans les trois pays pilotes sélectionnés, </w:t>
      </w:r>
      <w:r w:rsidR="00A20444" w:rsidRPr="0033279F">
        <w:t>à savoir</w:t>
      </w:r>
      <w:r w:rsidRPr="0033279F">
        <w:t xml:space="preserve"> l</w:t>
      </w:r>
      <w:r w:rsidR="00A20444" w:rsidRPr="0033279F">
        <w:t>’</w:t>
      </w:r>
      <w:r w:rsidRPr="0033279F">
        <w:t xml:space="preserve">Ouganda, le Panama et la Thaïlande, et a été achevé à la fin de 2013. </w:t>
      </w:r>
      <w:r w:rsidR="0010442A" w:rsidRPr="0033279F">
        <w:t xml:space="preserve"> </w:t>
      </w:r>
      <w:r w:rsidRPr="0033279F">
        <w:t>Des stratégies de marques et de propriété intellectuelle propres aux produits ont été conçues dans le but de conférer une valeur ajoutée aux caractéristiques uniques des produits ainsi qu</w:t>
      </w:r>
      <w:r w:rsidR="00A20444" w:rsidRPr="0033279F">
        <w:t>’</w:t>
      </w:r>
      <w:r w:rsidRPr="0033279F">
        <w:t>à leur image de marque potentielle.</w:t>
      </w:r>
    </w:p>
    <w:p w:rsidR="00D42474" w:rsidRDefault="00D42474" w:rsidP="001A5BF9">
      <w:pPr>
        <w:tabs>
          <w:tab w:val="left" w:pos="709"/>
        </w:tabs>
        <w:jc w:val="both"/>
        <w:rPr>
          <w:rFonts w:cs="Arial"/>
          <w:szCs w:val="20"/>
        </w:rPr>
      </w:pPr>
    </w:p>
    <w:p w:rsidR="00D42474" w:rsidRDefault="0096696E" w:rsidP="001A5BF9">
      <w:pPr>
        <w:pStyle w:val="Paragraphedeliste"/>
        <w:numPr>
          <w:ilvl w:val="0"/>
          <w:numId w:val="35"/>
        </w:numPr>
        <w:tabs>
          <w:tab w:val="left" w:pos="709"/>
        </w:tabs>
        <w:ind w:left="0" w:firstLine="0"/>
        <w:jc w:val="both"/>
        <w:rPr>
          <w:rFonts w:cs="Arial"/>
          <w:bCs/>
        </w:rPr>
      </w:pPr>
      <w:r w:rsidRPr="0033279F">
        <w:t>Le projet du Plan d</w:t>
      </w:r>
      <w:r w:rsidR="00A20444" w:rsidRPr="0033279F">
        <w:t>’</w:t>
      </w:r>
      <w:r w:rsidRPr="0033279F">
        <w:t>action pour le développement sur le renforcement des capacités d</w:t>
      </w:r>
      <w:r w:rsidR="00A20444" w:rsidRPr="0033279F">
        <w:t>’</w:t>
      </w:r>
      <w:r w:rsidRPr="0033279F">
        <w:t>utilisation de l</w:t>
      </w:r>
      <w:r w:rsidR="00A20444" w:rsidRPr="0033279F">
        <w:t>’</w:t>
      </w:r>
      <w:r w:rsidRPr="0033279F">
        <w:t>information technique et scientifique axée sur les technologies appropriées en tant que solution à des enjeux de développement recensés s</w:t>
      </w:r>
      <w:r w:rsidR="00A20444" w:rsidRPr="0033279F">
        <w:t>’</w:t>
      </w:r>
      <w:r w:rsidRPr="0033279F">
        <w:t xml:space="preserve">est achevé et a été évalué de manière indépendante. </w:t>
      </w:r>
      <w:r w:rsidR="0010442A" w:rsidRPr="0033279F">
        <w:t xml:space="preserve"> </w:t>
      </w:r>
      <w:r w:rsidRPr="0033279F">
        <w:t>Sa mise en œuvre s</w:t>
      </w:r>
      <w:r w:rsidR="00A20444" w:rsidRPr="0033279F">
        <w:t>’</w:t>
      </w:r>
      <w:r w:rsidRPr="0033279F">
        <w:t xml:space="preserve">est effectuée dans trois PMA pilotes, </w:t>
      </w:r>
      <w:r w:rsidR="00A20444" w:rsidRPr="0033279F">
        <w:t>à savoir</w:t>
      </w:r>
      <w:r w:rsidRPr="0033279F">
        <w:t xml:space="preserve"> le Bangladesh, le Népal et la Zambie. </w:t>
      </w:r>
      <w:r w:rsidR="0010442A" w:rsidRPr="0033279F">
        <w:t xml:space="preserve"> </w:t>
      </w:r>
      <w:r w:rsidRPr="0033279F">
        <w:t>Des groupes d</w:t>
      </w:r>
      <w:r w:rsidR="00A20444" w:rsidRPr="0033279F">
        <w:t>’</w:t>
      </w:r>
      <w:r w:rsidRPr="0033279F">
        <w:t>experts nationaux ont défini les besoins prioritaires dans chacun de ces pays.</w:t>
      </w:r>
      <w:r w:rsidR="0010442A" w:rsidRPr="0033279F">
        <w:t xml:space="preserve"> </w:t>
      </w:r>
      <w:r w:rsidR="004F3E42" w:rsidRPr="0033279F">
        <w:t xml:space="preserve"> </w:t>
      </w:r>
      <w:r w:rsidRPr="0033279F">
        <w:t>Pour répondre à ces besoins, l</w:t>
      </w:r>
      <w:r w:rsidR="00A20444" w:rsidRPr="0033279F">
        <w:t>’</w:t>
      </w:r>
      <w:r w:rsidRPr="0033279F">
        <w:t>OMPI s</w:t>
      </w:r>
      <w:r w:rsidR="00A20444" w:rsidRPr="0033279F">
        <w:t>’</w:t>
      </w:r>
      <w:r w:rsidRPr="0033279F">
        <w:t>est associée à l</w:t>
      </w:r>
      <w:r w:rsidR="00A20444" w:rsidRPr="0033279F">
        <w:t>’</w:t>
      </w:r>
      <w:r w:rsidRPr="0033279F">
        <w:t>Organisation européenne des brevets (OEB), à l</w:t>
      </w:r>
      <w:r w:rsidR="00A20444" w:rsidRPr="0033279F">
        <w:t>’</w:t>
      </w:r>
      <w:r w:rsidRPr="0033279F">
        <w:t>Office des brevets et des marques des États</w:t>
      </w:r>
      <w:r w:rsidR="002D6F2A" w:rsidRPr="0033279F">
        <w:noBreakHyphen/>
      </w:r>
      <w:r w:rsidRPr="0033279F">
        <w:t>Unis d</w:t>
      </w:r>
      <w:r w:rsidR="00A20444" w:rsidRPr="0033279F">
        <w:t>’</w:t>
      </w:r>
      <w:r w:rsidRPr="0033279F">
        <w:t>Amérique (USPTO), à l</w:t>
      </w:r>
      <w:r w:rsidR="00A20444" w:rsidRPr="0033279F">
        <w:t>’</w:t>
      </w:r>
      <w:r w:rsidRPr="0033279F">
        <w:t>Office des brevets du Japon</w:t>
      </w:r>
      <w:r w:rsidR="00F7033E">
        <w:t xml:space="preserve"> (</w:t>
      </w:r>
      <w:proofErr w:type="spellStart"/>
      <w:r w:rsidR="00F7033E">
        <w:t>JPO</w:t>
      </w:r>
      <w:proofErr w:type="spellEnd"/>
      <w:r w:rsidR="00F7033E">
        <w:t>) et à des experts de</w:t>
      </w:r>
      <w:r w:rsidRPr="0033279F">
        <w:t xml:space="preserve"> l</w:t>
      </w:r>
      <w:r w:rsidR="00A20444" w:rsidRPr="0033279F">
        <w:t>’</w:t>
      </w:r>
      <w:r w:rsidRPr="0033279F">
        <w:t xml:space="preserve">Allemagne et </w:t>
      </w:r>
      <w:r w:rsidR="00F7033E">
        <w:t>de</w:t>
      </w:r>
      <w:r w:rsidR="00F7033E" w:rsidRPr="0033279F">
        <w:t xml:space="preserve"> </w:t>
      </w:r>
      <w:r w:rsidRPr="0033279F">
        <w:t>l</w:t>
      </w:r>
      <w:r w:rsidR="00A20444" w:rsidRPr="0033279F">
        <w:t>’</w:t>
      </w:r>
      <w:r w:rsidRPr="0033279F">
        <w:t>Inde pour trouver des solutions technologiques pertinentes aux problèmes recensés afin de préparer des rapports techniques panoramiques sur les brevets.</w:t>
      </w:r>
      <w:r w:rsidR="004F3E42" w:rsidRPr="0033279F">
        <w:t xml:space="preserve"> </w:t>
      </w:r>
      <w:r w:rsidR="0010442A" w:rsidRPr="0033279F">
        <w:t xml:space="preserve"> </w:t>
      </w:r>
      <w:r w:rsidRPr="0033279F">
        <w:t>Les experts nationaux ayant déterminé les technologies les plus appropriées, les domaines recensés ont fait l</w:t>
      </w:r>
      <w:r w:rsidR="00A20444" w:rsidRPr="0033279F">
        <w:t>’</w:t>
      </w:r>
      <w:r w:rsidRPr="0033279F">
        <w:t>objet d</w:t>
      </w:r>
      <w:r w:rsidR="00A20444" w:rsidRPr="0033279F">
        <w:t>’</w:t>
      </w:r>
      <w:r w:rsidRPr="0033279F">
        <w:t>un programme d</w:t>
      </w:r>
      <w:r w:rsidR="00A20444" w:rsidRPr="0033279F">
        <w:t>’</w:t>
      </w:r>
      <w:r w:rsidRPr="0033279F">
        <w:t>activités en vue de la mise en œuvre des projets.</w:t>
      </w:r>
      <w:r w:rsidR="004F3E42" w:rsidRPr="0033279F">
        <w:t xml:space="preserve"> </w:t>
      </w:r>
      <w:r w:rsidR="0010442A" w:rsidRPr="0033279F">
        <w:t xml:space="preserve"> </w:t>
      </w:r>
      <w:r w:rsidRPr="0033279F">
        <w:t>Ce processus a par la suite fait l</w:t>
      </w:r>
      <w:r w:rsidR="00A20444" w:rsidRPr="0033279F">
        <w:t>’</w:t>
      </w:r>
      <w:r w:rsidRPr="0033279F">
        <w:t>objet de consultations nationales et a été soumis à des forums multipartites, afin d</w:t>
      </w:r>
      <w:r w:rsidR="00A20444" w:rsidRPr="0033279F">
        <w:t>’</w:t>
      </w:r>
      <w:r w:rsidRPr="0033279F">
        <w:t>étudier de façon éclairée l</w:t>
      </w:r>
      <w:r w:rsidR="00A20444" w:rsidRPr="0033279F">
        <w:t>’</w:t>
      </w:r>
      <w:r w:rsidRPr="0033279F">
        <w:t>approche proposée et d</w:t>
      </w:r>
      <w:r w:rsidR="00A20444" w:rsidRPr="0033279F">
        <w:t>’</w:t>
      </w:r>
      <w:r w:rsidRPr="0033279F">
        <w:t>y souscrire.</w:t>
      </w:r>
      <w:r w:rsidR="004F3E42" w:rsidRPr="0033279F">
        <w:t xml:space="preserve"> </w:t>
      </w:r>
      <w:r w:rsidR="0010442A" w:rsidRPr="0033279F">
        <w:t xml:space="preserve"> </w:t>
      </w:r>
      <w:r w:rsidRPr="0033279F">
        <w:t>Le CDIP a convenu qu</w:t>
      </w:r>
      <w:r w:rsidR="00A20444" w:rsidRPr="0033279F">
        <w:t>’</w:t>
      </w:r>
      <w:r w:rsidRPr="0033279F">
        <w:t>une phase II de ce projet, dont la portée sera élargie à des PMA supplémentaires, devrait être élaborée et présentée au comité en 2014.</w:t>
      </w:r>
    </w:p>
    <w:p w:rsidR="00D42474" w:rsidRDefault="00D42474" w:rsidP="001A5BF9">
      <w:pPr>
        <w:jc w:val="both"/>
        <w:rPr>
          <w:rFonts w:cs="Arial"/>
          <w:bCs/>
          <w:szCs w:val="20"/>
        </w:rPr>
      </w:pPr>
    </w:p>
    <w:p w:rsidR="00D42474" w:rsidRDefault="0096696E" w:rsidP="001A5BF9">
      <w:pPr>
        <w:pStyle w:val="Paragraphedeliste"/>
        <w:pageBreakBefore/>
        <w:numPr>
          <w:ilvl w:val="0"/>
          <w:numId w:val="35"/>
        </w:numPr>
        <w:tabs>
          <w:tab w:val="left" w:pos="709"/>
        </w:tabs>
        <w:ind w:left="0" w:firstLine="0"/>
        <w:jc w:val="both"/>
      </w:pPr>
      <w:r w:rsidRPr="0033279F">
        <w:t xml:space="preserve">Le projet de </w:t>
      </w:r>
      <w:r w:rsidR="00232949" w:rsidRPr="0033279F">
        <w:t>r</w:t>
      </w:r>
      <w:r w:rsidRPr="0033279F">
        <w:t>enforcement de la coopération Sud</w:t>
      </w:r>
      <w:r w:rsidR="002D6F2A" w:rsidRPr="0033279F">
        <w:noBreakHyphen/>
      </w:r>
      <w:r w:rsidRPr="0033279F">
        <w:t>Sud en matière de propriété intellectuelle et de développement entre pays en développement et PMA a été achevé à la fin de</w:t>
      </w:r>
      <w:r w:rsidR="0010442A" w:rsidRPr="0033279F">
        <w:t> </w:t>
      </w:r>
      <w:r w:rsidRPr="0033279F">
        <w:t>2013.</w:t>
      </w:r>
      <w:r w:rsidR="0010442A" w:rsidRPr="0033279F">
        <w:t xml:space="preserve"> </w:t>
      </w:r>
      <w:r w:rsidRPr="0033279F">
        <w:t xml:space="preserve"> Deux réunions </w:t>
      </w:r>
      <w:proofErr w:type="spellStart"/>
      <w:r w:rsidRPr="0033279F">
        <w:t>interrégionales</w:t>
      </w:r>
      <w:proofErr w:type="spellEnd"/>
      <w:r w:rsidRPr="0033279F">
        <w:t xml:space="preserve"> de l</w:t>
      </w:r>
      <w:r w:rsidR="00A20444" w:rsidRPr="0033279F">
        <w:t>’</w:t>
      </w:r>
      <w:r w:rsidRPr="0033279F">
        <w:t>OMPI sur la coopération Sud</w:t>
      </w:r>
      <w:r w:rsidR="002D6F2A" w:rsidRPr="0033279F">
        <w:noBreakHyphen/>
      </w:r>
      <w:r w:rsidRPr="0033279F">
        <w:t xml:space="preserve">Sud ont été organisées au Brésil en août 2012 et au Caire en mai 2013, et deux conférences annuelles sur la propriété intellectuelle et le développement se sont déroulées à Genève. </w:t>
      </w:r>
      <w:r w:rsidR="0010442A" w:rsidRPr="0033279F">
        <w:t xml:space="preserve"> </w:t>
      </w:r>
      <w:r w:rsidRPr="0033279F">
        <w:t xml:space="preserve">De plus, des progrès majeurs ont été accomplis dans la mise en œuvre des activités du projet menées sur le Web, </w:t>
      </w:r>
      <w:r w:rsidR="00A20444" w:rsidRPr="0033279F">
        <w:t>à savoir</w:t>
      </w:r>
      <w:r w:rsidRPr="0033279F">
        <w:t xml:space="preserve"> l</w:t>
      </w:r>
      <w:r w:rsidR="00A20444" w:rsidRPr="0033279F">
        <w:t>’</w:t>
      </w:r>
      <w:r w:rsidRPr="0033279F">
        <w:t>introduction de nouvelles fonctions Sud</w:t>
      </w:r>
      <w:r w:rsidR="002D6F2A" w:rsidRPr="0033279F">
        <w:noBreakHyphen/>
      </w:r>
      <w:r w:rsidRPr="0033279F">
        <w:t>Sud dans la base de données de l</w:t>
      </w:r>
      <w:r w:rsidR="00A20444" w:rsidRPr="0033279F">
        <w:t>’</w:t>
      </w:r>
      <w:r w:rsidRPr="0033279F">
        <w:t>assistance technique en matière de propriété intellectuelle (IP</w:t>
      </w:r>
      <w:r w:rsidR="002D6F2A" w:rsidRPr="0033279F">
        <w:noBreakHyphen/>
      </w:r>
      <w:proofErr w:type="spellStart"/>
      <w:r w:rsidRPr="0033279F">
        <w:t>TAD</w:t>
      </w:r>
      <w:proofErr w:type="spellEnd"/>
      <w:r w:rsidRPr="0033279F">
        <w:t xml:space="preserve">) et la base de données de mise en parallèle des besoins de développement liés à la propriété intellectuelle (IP </w:t>
      </w:r>
      <w:proofErr w:type="spellStart"/>
      <w:r w:rsidRPr="0033279F">
        <w:t>DMD</w:t>
      </w:r>
      <w:proofErr w:type="spellEnd"/>
      <w:r w:rsidRPr="0033279F">
        <w:t>) et de la liste de consultants de l</w:t>
      </w:r>
      <w:r w:rsidR="00A20444" w:rsidRPr="0033279F">
        <w:t>’</w:t>
      </w:r>
      <w:r w:rsidRPr="0033279F">
        <w:t>OMPI (ROC) ainsi que la création d</w:t>
      </w:r>
      <w:r w:rsidR="00A20444" w:rsidRPr="0033279F">
        <w:t>’</w:t>
      </w:r>
      <w:r w:rsidRPr="0033279F">
        <w:t>une page Web de l</w:t>
      </w:r>
      <w:r w:rsidR="00A20444" w:rsidRPr="0033279F">
        <w:t>’</w:t>
      </w:r>
      <w:r w:rsidRPr="0033279F">
        <w:t>OMPI et d</w:t>
      </w:r>
      <w:r w:rsidR="00A20444" w:rsidRPr="0033279F">
        <w:t>’</w:t>
      </w:r>
      <w:r w:rsidRPr="0033279F">
        <w:t>un réseau virtuel sur la coopération Sud</w:t>
      </w:r>
      <w:r w:rsidR="002D6F2A" w:rsidRPr="0033279F">
        <w:noBreakHyphen/>
      </w:r>
      <w:r w:rsidRPr="0033279F">
        <w:t xml:space="preserve">Sud. </w:t>
      </w:r>
      <w:r w:rsidR="0010442A" w:rsidRPr="0033279F">
        <w:t xml:space="preserve"> </w:t>
      </w:r>
      <w:r w:rsidRPr="0033279F">
        <w:t>Un coordonnateur de la coopération Sud</w:t>
      </w:r>
      <w:r w:rsidR="002D6F2A" w:rsidRPr="0033279F">
        <w:noBreakHyphen/>
      </w:r>
      <w:r w:rsidRPr="0033279F">
        <w:t>Sud lié au projet au sein du Secrétariat de l</w:t>
      </w:r>
      <w:r w:rsidR="00A20444" w:rsidRPr="0033279F">
        <w:t>’</w:t>
      </w:r>
      <w:r w:rsidRPr="0033279F">
        <w:t>OMPI a également été désigné en 2013 pour assurer la coordination avec les activités menées dans l</w:t>
      </w:r>
      <w:r w:rsidR="00A20444" w:rsidRPr="0033279F">
        <w:t>’</w:t>
      </w:r>
      <w:r w:rsidRPr="0033279F">
        <w:t>ensemble de l</w:t>
      </w:r>
      <w:r w:rsidR="00A20444" w:rsidRPr="0033279F">
        <w:t>’</w:t>
      </w:r>
      <w:r w:rsidRPr="0033279F">
        <w:t>ONU dans le domaine de la coopération Sud</w:t>
      </w:r>
      <w:r w:rsidR="002D6F2A" w:rsidRPr="0033279F">
        <w:noBreakHyphen/>
      </w:r>
      <w:r w:rsidRPr="0033279F">
        <w:t>Sud.</w:t>
      </w:r>
    </w:p>
    <w:p w:rsidR="00D42474" w:rsidRDefault="00D42474" w:rsidP="001A5BF9">
      <w:pPr>
        <w:tabs>
          <w:tab w:val="left" w:pos="709"/>
        </w:tabs>
        <w:jc w:val="both"/>
        <w:rPr>
          <w:rFonts w:cs="Arial"/>
          <w:bCs/>
          <w:szCs w:val="20"/>
        </w:rPr>
      </w:pPr>
    </w:p>
    <w:p w:rsidR="00D42474" w:rsidRDefault="0096696E" w:rsidP="001A5BF9">
      <w:pPr>
        <w:pStyle w:val="Paragraphedeliste"/>
        <w:numPr>
          <w:ilvl w:val="0"/>
          <w:numId w:val="35"/>
        </w:numPr>
        <w:tabs>
          <w:tab w:val="left" w:pos="709"/>
        </w:tabs>
        <w:ind w:left="0" w:firstLine="0"/>
        <w:jc w:val="both"/>
        <w:rPr>
          <w:rFonts w:cs="Arial"/>
        </w:rPr>
      </w:pPr>
      <w:r w:rsidRPr="0033279F">
        <w:t>Le programme s</w:t>
      </w:r>
      <w:r w:rsidR="00A20444" w:rsidRPr="0033279F">
        <w:t>’</w:t>
      </w:r>
      <w:r w:rsidRPr="0033279F">
        <w:t>est également avéré être le principal partenaire du projet du Plan d</w:t>
      </w:r>
      <w:r w:rsidR="00A20444" w:rsidRPr="0033279F">
        <w:t>’</w:t>
      </w:r>
      <w:r w:rsidRPr="0033279F">
        <w:t>action pour le développement sur l</w:t>
      </w:r>
      <w:r w:rsidR="00A20444" w:rsidRPr="0033279F">
        <w:t>’</w:t>
      </w:r>
      <w:r w:rsidRPr="0033279F">
        <w:t>amélioration du cadre de gestion axée sur les résultats mis en œuvre par l</w:t>
      </w:r>
      <w:r w:rsidR="00A20444" w:rsidRPr="0033279F">
        <w:t>’</w:t>
      </w:r>
      <w:r w:rsidRPr="0033279F">
        <w:t>OMPI aux fins du suivi et de l</w:t>
      </w:r>
      <w:r w:rsidR="00A20444" w:rsidRPr="0033279F">
        <w:t>’</w:t>
      </w:r>
      <w:r w:rsidRPr="0033279F">
        <w:t>évaluation des activités de développement qui s</w:t>
      </w:r>
      <w:r w:rsidR="00A20444" w:rsidRPr="0033279F">
        <w:t>’</w:t>
      </w:r>
      <w:r w:rsidRPr="0033279F">
        <w:t>est achevé et a été évalué de manière indépendante en 2013.</w:t>
      </w:r>
    </w:p>
    <w:p w:rsidR="00D42474" w:rsidRDefault="00D42474" w:rsidP="001A5BF9">
      <w:pPr>
        <w:tabs>
          <w:tab w:val="left" w:pos="709"/>
        </w:tabs>
        <w:jc w:val="both"/>
        <w:rPr>
          <w:rFonts w:cs="Arial"/>
          <w:szCs w:val="22"/>
        </w:rPr>
      </w:pPr>
    </w:p>
    <w:p w:rsidR="00D42474" w:rsidRDefault="00D42474" w:rsidP="001A5BF9">
      <w:pPr>
        <w:jc w:val="both"/>
        <w:rPr>
          <w:rFonts w:cs="Arial"/>
          <w:szCs w:val="22"/>
        </w:rPr>
      </w:pPr>
    </w:p>
    <w:p w:rsidR="00D42474" w:rsidRDefault="0096696E" w:rsidP="001A5BF9">
      <w:pPr>
        <w:rPr>
          <w:rFonts w:cs="Arial"/>
          <w:szCs w:val="22"/>
        </w:rPr>
      </w:pPr>
      <w:r w:rsidRPr="00401321">
        <w:rPr>
          <w:sz w:val="22"/>
        </w:rPr>
        <w:t>DONNÉES RELATIVES À L</w:t>
      </w:r>
      <w:r w:rsidR="00A20444" w:rsidRPr="00401321">
        <w:rPr>
          <w:sz w:val="22"/>
        </w:rPr>
        <w:t>’</w:t>
      </w:r>
      <w:r w:rsidRPr="00401321">
        <w:rPr>
          <w:sz w:val="22"/>
        </w:rPr>
        <w:t>EXÉCUTION</w:t>
      </w:r>
    </w:p>
    <w:p w:rsidR="0096696E" w:rsidRPr="005C7CCE" w:rsidRDefault="0096696E" w:rsidP="001A5BF9">
      <w:pPr>
        <w:rPr>
          <w:sz w:val="16"/>
          <w:szCs w:val="16"/>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0"/>
        <w:gridCol w:w="180"/>
        <w:gridCol w:w="1662"/>
        <w:gridCol w:w="332"/>
        <w:gridCol w:w="1226"/>
        <w:gridCol w:w="147"/>
        <w:gridCol w:w="127"/>
        <w:gridCol w:w="10"/>
        <w:gridCol w:w="422"/>
        <w:gridCol w:w="2477"/>
        <w:gridCol w:w="14"/>
        <w:gridCol w:w="68"/>
        <w:gridCol w:w="1133"/>
      </w:tblGrid>
      <w:tr w:rsidR="0033279F" w:rsidRPr="0033279F" w:rsidTr="0033279F">
        <w:trPr>
          <w:cantSplit/>
        </w:trPr>
        <w:tc>
          <w:tcPr>
            <w:tcW w:w="9498" w:type="dxa"/>
            <w:gridSpan w:val="13"/>
            <w:tcBorders>
              <w:top w:val="single" w:sz="4" w:space="0" w:color="auto"/>
              <w:bottom w:val="single" w:sz="4" w:space="0" w:color="auto"/>
            </w:tcBorders>
            <w:shd w:val="clear" w:color="auto" w:fill="CCFFFF"/>
            <w:vAlign w:val="center"/>
          </w:tcPr>
          <w:p w:rsidR="0096696E" w:rsidRPr="0033279F" w:rsidRDefault="0096696E" w:rsidP="0033279F">
            <w:pPr>
              <w:keepNext/>
              <w:keepLines/>
              <w:spacing w:before="120" w:after="120"/>
              <w:ind w:left="1735" w:hanging="1701"/>
              <w:rPr>
                <w:rFonts w:cs="Arial"/>
                <w:b/>
                <w:bCs/>
                <w:sz w:val="16"/>
                <w:szCs w:val="16"/>
              </w:rPr>
            </w:pPr>
            <w:r w:rsidRPr="0033279F">
              <w:br w:type="page"/>
            </w:r>
            <w:r w:rsidRPr="0033279F">
              <w:rPr>
                <w:b/>
                <w:sz w:val="16"/>
              </w:rPr>
              <w:t>Résultat escompté</w:t>
            </w:r>
            <w:r w:rsidR="0010442A" w:rsidRPr="0033279F">
              <w:rPr>
                <w:b/>
                <w:sz w:val="16"/>
              </w:rPr>
              <w:t xml:space="preserve"> : </w:t>
            </w:r>
            <w:r w:rsidRPr="0033279F">
              <w:rPr>
                <w:b/>
                <w:sz w:val="16"/>
              </w:rPr>
              <w:tab/>
            </w:r>
            <w:r w:rsidRPr="0033279F">
              <w:rPr>
                <w:sz w:val="16"/>
              </w:rPr>
              <w:t>Politiques, stratégies et plans de développement nationaux clairement définis et cohérents en matière d</w:t>
            </w:r>
            <w:r w:rsidR="00A20444" w:rsidRPr="0033279F">
              <w:rPr>
                <w:sz w:val="16"/>
              </w:rPr>
              <w:t>’</w:t>
            </w:r>
            <w:r w:rsidRPr="0033279F">
              <w:rPr>
                <w:sz w:val="16"/>
              </w:rPr>
              <w:t>innovation et de propriété intellectuelle, conformes aux objectifs et aux priorités de développement à l</w:t>
            </w:r>
            <w:r w:rsidR="00A20444" w:rsidRPr="0033279F">
              <w:rPr>
                <w:sz w:val="16"/>
              </w:rPr>
              <w:t>’</w:t>
            </w:r>
            <w:r w:rsidRPr="0033279F">
              <w:rPr>
                <w:sz w:val="16"/>
              </w:rPr>
              <w:t>échelle nationale</w:t>
            </w:r>
          </w:p>
        </w:tc>
      </w:tr>
      <w:tr w:rsidR="0033279F" w:rsidRPr="0033279F" w:rsidTr="0033279F">
        <w:trPr>
          <w:cantSplit/>
        </w:trPr>
        <w:tc>
          <w:tcPr>
            <w:tcW w:w="1881" w:type="dxa"/>
            <w:gridSpan w:val="2"/>
            <w:tcBorders>
              <w:top w:val="single" w:sz="4" w:space="0" w:color="auto"/>
            </w:tcBorders>
            <w:shd w:val="clear" w:color="auto" w:fill="auto"/>
            <w:vAlign w:val="center"/>
          </w:tcPr>
          <w:p w:rsidR="0096696E" w:rsidRPr="0033279F" w:rsidRDefault="0096696E" w:rsidP="001A5BF9">
            <w:pPr>
              <w:spacing w:before="40" w:after="40"/>
              <w:rPr>
                <w:rFonts w:cs="Arial"/>
                <w:b/>
                <w:sz w:val="16"/>
                <w:szCs w:val="16"/>
              </w:rPr>
            </w:pPr>
            <w:r w:rsidRPr="0033279F">
              <w:rPr>
                <w:b/>
                <w:sz w:val="16"/>
              </w:rPr>
              <w:t>Indicateurs d</w:t>
            </w:r>
            <w:r w:rsidR="00A20444" w:rsidRPr="0033279F">
              <w:rPr>
                <w:b/>
                <w:sz w:val="16"/>
              </w:rPr>
              <w:t>’</w:t>
            </w:r>
            <w:r w:rsidRPr="0033279F">
              <w:rPr>
                <w:b/>
                <w:sz w:val="16"/>
              </w:rPr>
              <w:t>exécution</w:t>
            </w:r>
          </w:p>
        </w:tc>
        <w:tc>
          <w:tcPr>
            <w:tcW w:w="1663" w:type="dxa"/>
            <w:tcBorders>
              <w:top w:val="single" w:sz="4" w:space="0" w:color="auto"/>
            </w:tcBorders>
            <w:shd w:val="clear" w:color="auto" w:fill="auto"/>
            <w:vAlign w:val="center"/>
          </w:tcPr>
          <w:p w:rsidR="0096696E" w:rsidRPr="0033279F" w:rsidRDefault="0096696E" w:rsidP="001A5BF9">
            <w:pPr>
              <w:spacing w:before="40" w:after="40"/>
              <w:rPr>
                <w:rFonts w:cs="Arial"/>
                <w:b/>
                <w:bCs/>
                <w:sz w:val="16"/>
                <w:szCs w:val="16"/>
              </w:rPr>
            </w:pPr>
            <w:r w:rsidRPr="0033279F">
              <w:rPr>
                <w:b/>
                <w:sz w:val="16"/>
              </w:rPr>
              <w:t>Niveaux de référence</w:t>
            </w:r>
          </w:p>
        </w:tc>
        <w:tc>
          <w:tcPr>
            <w:tcW w:w="1701" w:type="dxa"/>
            <w:gridSpan w:val="3"/>
            <w:tcBorders>
              <w:top w:val="single" w:sz="4" w:space="0" w:color="auto"/>
            </w:tcBorders>
            <w:shd w:val="clear" w:color="auto" w:fill="auto"/>
            <w:tcMar>
              <w:top w:w="110" w:type="dxa"/>
            </w:tcMar>
            <w:vAlign w:val="center"/>
          </w:tcPr>
          <w:p w:rsidR="0096696E" w:rsidRPr="0033279F" w:rsidRDefault="0096696E" w:rsidP="001A5BF9">
            <w:pPr>
              <w:spacing w:before="40" w:after="40"/>
              <w:rPr>
                <w:rFonts w:cs="Arial"/>
                <w:b/>
                <w:sz w:val="16"/>
                <w:szCs w:val="16"/>
              </w:rPr>
            </w:pPr>
            <w:r w:rsidRPr="0033279F">
              <w:rPr>
                <w:b/>
                <w:sz w:val="16"/>
              </w:rPr>
              <w:t>Objectifs visés</w:t>
            </w:r>
          </w:p>
        </w:tc>
        <w:tc>
          <w:tcPr>
            <w:tcW w:w="3119" w:type="dxa"/>
            <w:gridSpan w:val="6"/>
            <w:tcBorders>
              <w:top w:val="single" w:sz="4" w:space="0" w:color="auto"/>
            </w:tcBorders>
            <w:shd w:val="clear" w:color="auto" w:fill="FFFFFF"/>
            <w:tcMar>
              <w:top w:w="110" w:type="dxa"/>
            </w:tcMar>
            <w:vAlign w:val="center"/>
          </w:tcPr>
          <w:p w:rsidR="0096696E" w:rsidRPr="0033279F" w:rsidRDefault="0096696E" w:rsidP="001A5BF9">
            <w:pPr>
              <w:spacing w:before="40" w:after="40"/>
              <w:rPr>
                <w:rFonts w:cs="Arial"/>
                <w:b/>
                <w:sz w:val="16"/>
                <w:szCs w:val="16"/>
              </w:rPr>
            </w:pPr>
            <w:r w:rsidRPr="0033279F">
              <w:rPr>
                <w:b/>
                <w:sz w:val="16"/>
              </w:rPr>
              <w:t>Données relatives à l</w:t>
            </w:r>
            <w:r w:rsidR="00A20444" w:rsidRPr="0033279F">
              <w:rPr>
                <w:b/>
                <w:sz w:val="16"/>
              </w:rPr>
              <w:t>’</w:t>
            </w:r>
            <w:r w:rsidRPr="0033279F">
              <w:rPr>
                <w:b/>
                <w:sz w:val="16"/>
              </w:rPr>
              <w:t>exécution</w:t>
            </w:r>
          </w:p>
        </w:tc>
        <w:tc>
          <w:tcPr>
            <w:tcW w:w="1134" w:type="dxa"/>
            <w:tcBorders>
              <w:top w:val="single" w:sz="4" w:space="0" w:color="auto"/>
            </w:tcBorders>
            <w:shd w:val="clear" w:color="auto" w:fill="auto"/>
            <w:tcMar>
              <w:top w:w="110" w:type="dxa"/>
            </w:tcMar>
            <w:vAlign w:val="center"/>
          </w:tcPr>
          <w:p w:rsidR="0096696E" w:rsidRPr="0033279F" w:rsidRDefault="0096696E" w:rsidP="001A5BF9">
            <w:pPr>
              <w:keepNext/>
              <w:keepLines/>
              <w:spacing w:before="40" w:after="40"/>
              <w:jc w:val="center"/>
              <w:rPr>
                <w:rFonts w:cs="Arial"/>
                <w:b/>
                <w:bCs/>
                <w:sz w:val="16"/>
                <w:szCs w:val="16"/>
              </w:rPr>
            </w:pPr>
            <w:r w:rsidRPr="0033279F">
              <w:rPr>
                <w:b/>
                <w:sz w:val="16"/>
              </w:rPr>
              <w:t>Code de couleurs</w:t>
            </w:r>
          </w:p>
        </w:tc>
      </w:tr>
      <w:tr w:rsidR="0096696E" w:rsidRPr="005C7CCE" w:rsidTr="0033279F">
        <w:trPr>
          <w:cantSplit/>
        </w:trPr>
        <w:tc>
          <w:tcPr>
            <w:tcW w:w="1881" w:type="dxa"/>
            <w:gridSpan w:val="2"/>
            <w:shd w:val="clear" w:color="auto" w:fill="auto"/>
          </w:tcPr>
          <w:p w:rsidR="0096696E" w:rsidRPr="0033279F" w:rsidRDefault="0096696E" w:rsidP="001A5BF9">
            <w:pPr>
              <w:rPr>
                <w:rFonts w:cs="Arial"/>
                <w:sz w:val="16"/>
                <w:szCs w:val="16"/>
              </w:rPr>
            </w:pPr>
            <w:r w:rsidRPr="0033279F">
              <w:rPr>
                <w:sz w:val="16"/>
              </w:rPr>
              <w:t>Nombre de pays ayant élaboré leurs politiques, leurs stratégies ou leurs plans en matière de propriété intellectuelle ou ayant entrepris leur mise en œuvre chaque année (Afrique)</w:t>
            </w:r>
          </w:p>
        </w:tc>
        <w:tc>
          <w:tcPr>
            <w:tcW w:w="1663" w:type="dxa"/>
            <w:shd w:val="clear" w:color="auto" w:fill="auto"/>
          </w:tcPr>
          <w:p w:rsidR="0096696E" w:rsidRPr="0033279F" w:rsidRDefault="0096696E" w:rsidP="001A5BF9">
            <w:pPr>
              <w:rPr>
                <w:rFonts w:cs="Arial"/>
                <w:sz w:val="16"/>
                <w:szCs w:val="16"/>
                <w:lang w:bidi="th-TH"/>
              </w:rPr>
            </w:pPr>
            <w:r w:rsidRPr="0033279F">
              <w:rPr>
                <w:sz w:val="16"/>
              </w:rPr>
              <w:t>Deux pays ont adopté des politiques de propriété intellectuelle</w:t>
            </w:r>
          </w:p>
        </w:tc>
        <w:tc>
          <w:tcPr>
            <w:tcW w:w="1701" w:type="dxa"/>
            <w:gridSpan w:val="3"/>
            <w:shd w:val="clear" w:color="auto" w:fill="auto"/>
            <w:tcMar>
              <w:top w:w="110" w:type="dxa"/>
            </w:tcMar>
          </w:tcPr>
          <w:p w:rsidR="0096696E" w:rsidRPr="0033279F" w:rsidRDefault="0096696E" w:rsidP="001A5BF9">
            <w:pPr>
              <w:rPr>
                <w:rFonts w:cs="Arial"/>
                <w:sz w:val="16"/>
                <w:szCs w:val="16"/>
                <w:lang w:bidi="th-TH"/>
              </w:rPr>
            </w:pPr>
            <w:r w:rsidRPr="0033279F">
              <w:rPr>
                <w:sz w:val="16"/>
              </w:rPr>
              <w:t>Au moins quatre pays ont adopté des politiques de propriété intellectuelle.</w:t>
            </w:r>
          </w:p>
        </w:tc>
        <w:tc>
          <w:tcPr>
            <w:tcW w:w="3119" w:type="dxa"/>
            <w:gridSpan w:val="6"/>
            <w:shd w:val="clear" w:color="auto" w:fill="FFFFFF"/>
            <w:tcMar>
              <w:top w:w="110" w:type="dxa"/>
            </w:tcMar>
          </w:tcPr>
          <w:p w:rsidR="00D42474" w:rsidRDefault="0096696E" w:rsidP="001A5BF9">
            <w:pPr>
              <w:pStyle w:val="Paragraphedeliste"/>
              <w:numPr>
                <w:ilvl w:val="0"/>
                <w:numId w:val="31"/>
              </w:numPr>
              <w:ind w:left="336" w:hanging="336"/>
              <w:rPr>
                <w:rFonts w:cs="Arial"/>
                <w:sz w:val="16"/>
                <w:szCs w:val="16"/>
                <w:lang w:bidi="th-TH"/>
              </w:rPr>
            </w:pPr>
            <w:r w:rsidRPr="0033279F">
              <w:rPr>
                <w:sz w:val="16"/>
              </w:rPr>
              <w:t>Éthiopie (adoptées)</w:t>
            </w:r>
          </w:p>
          <w:p w:rsidR="00D42474" w:rsidRDefault="0096696E" w:rsidP="001A5BF9">
            <w:pPr>
              <w:pStyle w:val="Paragraphedeliste"/>
              <w:numPr>
                <w:ilvl w:val="0"/>
                <w:numId w:val="31"/>
              </w:numPr>
              <w:ind w:left="336" w:hanging="336"/>
              <w:rPr>
                <w:rFonts w:cs="Arial"/>
                <w:sz w:val="16"/>
                <w:szCs w:val="16"/>
                <w:lang w:bidi="th-TH"/>
              </w:rPr>
            </w:pPr>
            <w:r w:rsidRPr="0033279F">
              <w:rPr>
                <w:sz w:val="16"/>
              </w:rPr>
              <w:t>Ghana (adoptées et entérinées par le Parlement)</w:t>
            </w:r>
          </w:p>
          <w:p w:rsidR="00D42474" w:rsidRDefault="0096696E" w:rsidP="001A5BF9">
            <w:pPr>
              <w:pStyle w:val="Paragraphedeliste"/>
              <w:numPr>
                <w:ilvl w:val="0"/>
                <w:numId w:val="31"/>
              </w:numPr>
              <w:ind w:left="336" w:hanging="336"/>
              <w:rPr>
                <w:sz w:val="16"/>
              </w:rPr>
            </w:pPr>
            <w:r w:rsidRPr="0033279F">
              <w:rPr>
                <w:sz w:val="16"/>
              </w:rPr>
              <w:t>Sénégal (Mémorandum d</w:t>
            </w:r>
            <w:r w:rsidR="00A20444" w:rsidRPr="0033279F">
              <w:rPr>
                <w:sz w:val="16"/>
              </w:rPr>
              <w:t>’</w:t>
            </w:r>
            <w:r w:rsidRPr="0033279F">
              <w:rPr>
                <w:sz w:val="16"/>
              </w:rPr>
              <w:t>accord en 2011;</w:t>
            </w:r>
            <w:r w:rsidR="004F3E42" w:rsidRPr="0033279F">
              <w:rPr>
                <w:sz w:val="16"/>
              </w:rPr>
              <w:t xml:space="preserve"> </w:t>
            </w:r>
            <w:r w:rsidR="0010442A" w:rsidRPr="0033279F">
              <w:rPr>
                <w:sz w:val="16"/>
              </w:rPr>
              <w:t xml:space="preserve"> </w:t>
            </w:r>
            <w:r w:rsidRPr="0033279F">
              <w:rPr>
                <w:sz w:val="16"/>
              </w:rPr>
              <w:t>en cours de mise en œuvre)</w:t>
            </w:r>
          </w:p>
          <w:p w:rsidR="0096696E" w:rsidRPr="0033279F" w:rsidRDefault="0096696E" w:rsidP="001A5BF9">
            <w:pPr>
              <w:pStyle w:val="Paragraphedeliste"/>
              <w:numPr>
                <w:ilvl w:val="0"/>
                <w:numId w:val="31"/>
              </w:numPr>
              <w:ind w:left="336" w:hanging="336"/>
              <w:rPr>
                <w:rFonts w:cs="Arial"/>
                <w:sz w:val="16"/>
                <w:szCs w:val="16"/>
              </w:rPr>
            </w:pPr>
            <w:r w:rsidRPr="0033279F">
              <w:rPr>
                <w:sz w:val="16"/>
              </w:rPr>
              <w:t>Élaboration achevée et adoption en suspens en Gambie, au Kenya, au Malawi, à Maurice, en République</w:t>
            </w:r>
            <w:r w:rsidR="002D6F2A" w:rsidRPr="0033279F">
              <w:rPr>
                <w:sz w:val="16"/>
              </w:rPr>
              <w:noBreakHyphen/>
            </w:r>
            <w:r w:rsidRPr="0033279F">
              <w:rPr>
                <w:sz w:val="16"/>
              </w:rPr>
              <w:t xml:space="preserve">Unie de Tanzanie, aux Seychelles, au Sierra Leone et au Tchad. </w:t>
            </w:r>
            <w:r w:rsidR="0010442A" w:rsidRPr="0033279F">
              <w:rPr>
                <w:sz w:val="16"/>
              </w:rPr>
              <w:t xml:space="preserve"> </w:t>
            </w:r>
          </w:p>
        </w:tc>
        <w:tc>
          <w:tcPr>
            <w:tcW w:w="1134" w:type="dxa"/>
            <w:shd w:val="clear" w:color="auto" w:fill="auto"/>
            <w:tcMar>
              <w:top w:w="110" w:type="dxa"/>
            </w:tcMar>
          </w:tcPr>
          <w:p w:rsidR="0096696E" w:rsidRPr="005C7CCE" w:rsidRDefault="0015421B" w:rsidP="001A5BF9">
            <w:pPr>
              <w:keepNext/>
              <w:keepLines/>
              <w:jc w:val="center"/>
              <w:rPr>
                <w:rFonts w:cs="Arial"/>
                <w:bCs/>
                <w:color w:val="008000"/>
                <w:sz w:val="16"/>
                <w:szCs w:val="16"/>
              </w:rPr>
            </w:pPr>
            <w:r w:rsidRPr="0015421B">
              <w:rPr>
                <w:color w:val="E36C0A"/>
                <w:sz w:val="16"/>
              </w:rPr>
              <w:t>Objectif partiellement atteint</w:t>
            </w:r>
          </w:p>
        </w:tc>
      </w:tr>
      <w:tr w:rsidR="0096696E" w:rsidRPr="005C7CCE" w:rsidTr="0033279F">
        <w:trPr>
          <w:cantSplit/>
        </w:trPr>
        <w:tc>
          <w:tcPr>
            <w:tcW w:w="1881" w:type="dxa"/>
            <w:gridSpan w:val="2"/>
            <w:shd w:val="clear" w:color="auto" w:fill="auto"/>
          </w:tcPr>
          <w:p w:rsidR="0096696E" w:rsidRPr="0033279F" w:rsidRDefault="0096696E" w:rsidP="001A5BF9">
            <w:pPr>
              <w:rPr>
                <w:rFonts w:cs="Arial"/>
                <w:sz w:val="16"/>
                <w:szCs w:val="16"/>
              </w:rPr>
            </w:pPr>
          </w:p>
        </w:tc>
        <w:tc>
          <w:tcPr>
            <w:tcW w:w="1663" w:type="dxa"/>
            <w:shd w:val="clear" w:color="auto" w:fill="auto"/>
          </w:tcPr>
          <w:p w:rsidR="0096696E" w:rsidRPr="0033279F" w:rsidRDefault="0096696E" w:rsidP="00B9205A">
            <w:pPr>
              <w:ind w:leftChars="-6" w:left="2" w:hangingChars="9" w:hanging="14"/>
              <w:rPr>
                <w:rFonts w:cs="Arial"/>
                <w:sz w:val="16"/>
                <w:szCs w:val="16"/>
                <w:lang w:bidi="th-TH"/>
              </w:rPr>
            </w:pPr>
            <w:r w:rsidRPr="0033279F">
              <w:rPr>
                <w:sz w:val="16"/>
              </w:rPr>
              <w:t>Quatre pays ont adopté des plans nationaux de développement de la propriété intellectuelle</w:t>
            </w:r>
          </w:p>
        </w:tc>
        <w:tc>
          <w:tcPr>
            <w:tcW w:w="1701" w:type="dxa"/>
            <w:gridSpan w:val="3"/>
            <w:shd w:val="clear" w:color="auto" w:fill="auto"/>
            <w:tcMar>
              <w:top w:w="110" w:type="dxa"/>
            </w:tcMar>
          </w:tcPr>
          <w:p w:rsidR="0096696E" w:rsidRPr="0033279F" w:rsidRDefault="0096696E" w:rsidP="001A5BF9">
            <w:pPr>
              <w:autoSpaceDE w:val="0"/>
              <w:autoSpaceDN w:val="0"/>
              <w:adjustRightInd w:val="0"/>
              <w:rPr>
                <w:rFonts w:cs="Arial"/>
                <w:sz w:val="16"/>
                <w:szCs w:val="16"/>
              </w:rPr>
            </w:pPr>
            <w:r w:rsidRPr="0033279F">
              <w:rPr>
                <w:sz w:val="16"/>
              </w:rPr>
              <w:t xml:space="preserve">Au moins huit pays ont adopté des plans nationaux de développement de la propriété intellectuelle </w:t>
            </w:r>
          </w:p>
        </w:tc>
        <w:tc>
          <w:tcPr>
            <w:tcW w:w="3119" w:type="dxa"/>
            <w:gridSpan w:val="6"/>
            <w:shd w:val="clear" w:color="auto" w:fill="FFFFFF"/>
            <w:tcMar>
              <w:top w:w="110" w:type="dxa"/>
            </w:tcMar>
          </w:tcPr>
          <w:p w:rsidR="00D42474" w:rsidRDefault="0096696E" w:rsidP="001A5BF9">
            <w:pPr>
              <w:rPr>
                <w:rFonts w:cs="Arial"/>
                <w:sz w:val="16"/>
                <w:szCs w:val="16"/>
                <w:lang w:bidi="th-TH"/>
              </w:rPr>
            </w:pPr>
            <w:r w:rsidRPr="0033279F">
              <w:rPr>
                <w:sz w:val="16"/>
              </w:rPr>
              <w:t>Les Comores (Plan de développement de la propriété intellectuelle validé)</w:t>
            </w:r>
          </w:p>
          <w:p w:rsidR="00D42474" w:rsidRDefault="00D42474" w:rsidP="001A5BF9">
            <w:pPr>
              <w:rPr>
                <w:rFonts w:cs="Arial"/>
                <w:sz w:val="8"/>
                <w:szCs w:val="8"/>
                <w:lang w:bidi="th-TH"/>
              </w:rPr>
            </w:pPr>
          </w:p>
          <w:p w:rsidR="0096696E" w:rsidRPr="0033279F" w:rsidRDefault="0096696E" w:rsidP="001A5BF9">
            <w:pPr>
              <w:rPr>
                <w:rFonts w:cs="Arial"/>
                <w:sz w:val="16"/>
                <w:szCs w:val="16"/>
              </w:rPr>
            </w:pPr>
            <w:r w:rsidRPr="0033279F">
              <w:rPr>
                <w:sz w:val="16"/>
              </w:rPr>
              <w:t>Processus paralysé dans les pays suivants : Burundi, Gambie, Lesotho et Maurice.</w:t>
            </w:r>
          </w:p>
        </w:tc>
        <w:tc>
          <w:tcPr>
            <w:tcW w:w="1134" w:type="dxa"/>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33279F">
              <w:rPr>
                <w:color w:val="FF0000"/>
                <w:sz w:val="16"/>
              </w:rPr>
              <w:t>Objectif pas atteint</w:t>
            </w:r>
          </w:p>
        </w:tc>
      </w:tr>
      <w:tr w:rsidR="0096696E" w:rsidRPr="005C7CCE" w:rsidTr="0033279F">
        <w:trPr>
          <w:cantSplit/>
        </w:trPr>
        <w:tc>
          <w:tcPr>
            <w:tcW w:w="1881" w:type="dxa"/>
            <w:gridSpan w:val="2"/>
            <w:shd w:val="clear" w:color="auto" w:fill="auto"/>
          </w:tcPr>
          <w:p w:rsidR="0096696E" w:rsidRPr="0033279F" w:rsidRDefault="0096696E" w:rsidP="001A5BF9">
            <w:pPr>
              <w:rPr>
                <w:rFonts w:cs="Arial"/>
                <w:sz w:val="16"/>
                <w:szCs w:val="16"/>
              </w:rPr>
            </w:pPr>
          </w:p>
        </w:tc>
        <w:tc>
          <w:tcPr>
            <w:tcW w:w="1663" w:type="dxa"/>
            <w:shd w:val="clear" w:color="auto" w:fill="auto"/>
          </w:tcPr>
          <w:p w:rsidR="0096696E" w:rsidRPr="0033279F" w:rsidRDefault="0096696E" w:rsidP="001A5BF9">
            <w:pPr>
              <w:ind w:left="1"/>
              <w:rPr>
                <w:rFonts w:cs="Arial"/>
                <w:sz w:val="16"/>
                <w:szCs w:val="16"/>
                <w:lang w:bidi="th-TH"/>
              </w:rPr>
            </w:pPr>
            <w:r w:rsidRPr="0033279F">
              <w:rPr>
                <w:sz w:val="16"/>
              </w:rPr>
              <w:t>Trois pays ont achevé l</w:t>
            </w:r>
            <w:r w:rsidR="00A20444" w:rsidRPr="0033279F">
              <w:rPr>
                <w:sz w:val="16"/>
              </w:rPr>
              <w:t>’</w:t>
            </w:r>
            <w:r w:rsidRPr="0033279F">
              <w:rPr>
                <w:sz w:val="16"/>
              </w:rPr>
              <w:t xml:space="preserve">élaboration de politiques et de stratégies nationales en matière de propriété intellectuelle </w:t>
            </w:r>
          </w:p>
        </w:tc>
        <w:tc>
          <w:tcPr>
            <w:tcW w:w="1701" w:type="dxa"/>
            <w:gridSpan w:val="3"/>
            <w:shd w:val="clear" w:color="auto" w:fill="auto"/>
            <w:tcMar>
              <w:top w:w="110" w:type="dxa"/>
            </w:tcMar>
          </w:tcPr>
          <w:p w:rsidR="0096696E" w:rsidRPr="0033279F" w:rsidRDefault="0096696E" w:rsidP="001A5BF9">
            <w:pPr>
              <w:autoSpaceDE w:val="0"/>
              <w:autoSpaceDN w:val="0"/>
              <w:adjustRightInd w:val="0"/>
              <w:rPr>
                <w:rFonts w:cs="Arial"/>
                <w:sz w:val="16"/>
                <w:szCs w:val="16"/>
              </w:rPr>
            </w:pPr>
            <w:r w:rsidRPr="0033279F">
              <w:rPr>
                <w:sz w:val="16"/>
              </w:rPr>
              <w:t>Au moins six pays ont achevé l</w:t>
            </w:r>
            <w:r w:rsidR="00A20444" w:rsidRPr="0033279F">
              <w:rPr>
                <w:sz w:val="16"/>
              </w:rPr>
              <w:t>’</w:t>
            </w:r>
            <w:r w:rsidRPr="0033279F">
              <w:rPr>
                <w:sz w:val="16"/>
              </w:rPr>
              <w:t xml:space="preserve">élaboration de politiques et stratégies nationales de propriété intellectuelle </w:t>
            </w:r>
          </w:p>
        </w:tc>
        <w:tc>
          <w:tcPr>
            <w:tcW w:w="3119" w:type="dxa"/>
            <w:gridSpan w:val="6"/>
            <w:shd w:val="clear" w:color="auto" w:fill="FFFFFF"/>
            <w:tcMar>
              <w:top w:w="110" w:type="dxa"/>
            </w:tcMar>
          </w:tcPr>
          <w:p w:rsidR="00D42474" w:rsidRDefault="0096696E" w:rsidP="001A5BF9">
            <w:pPr>
              <w:rPr>
                <w:rFonts w:cs="Arial"/>
                <w:sz w:val="16"/>
                <w:szCs w:val="16"/>
                <w:lang w:bidi="th-TH"/>
              </w:rPr>
            </w:pPr>
            <w:r w:rsidRPr="0033279F">
              <w:rPr>
                <w:sz w:val="16"/>
              </w:rPr>
              <w:t>Huit pays</w:t>
            </w:r>
          </w:p>
          <w:p w:rsidR="00D42474" w:rsidRDefault="0096696E" w:rsidP="001A5BF9">
            <w:pPr>
              <w:pStyle w:val="Paragraphedeliste"/>
              <w:numPr>
                <w:ilvl w:val="0"/>
                <w:numId w:val="30"/>
              </w:numPr>
              <w:rPr>
                <w:rFonts w:cs="Arial"/>
                <w:sz w:val="16"/>
                <w:szCs w:val="16"/>
                <w:lang w:bidi="th-TH"/>
              </w:rPr>
            </w:pPr>
            <w:r w:rsidRPr="0033279F">
              <w:rPr>
                <w:sz w:val="16"/>
              </w:rPr>
              <w:t>Botswana (stratégie de propriété intellectuelle)</w:t>
            </w:r>
          </w:p>
          <w:p w:rsidR="00D42474" w:rsidRDefault="0096696E" w:rsidP="001A5BF9">
            <w:pPr>
              <w:pStyle w:val="Paragraphedeliste"/>
              <w:numPr>
                <w:ilvl w:val="0"/>
                <w:numId w:val="30"/>
              </w:numPr>
              <w:rPr>
                <w:rFonts w:cs="Arial"/>
                <w:sz w:val="16"/>
                <w:szCs w:val="16"/>
                <w:lang w:bidi="th-TH"/>
              </w:rPr>
            </w:pPr>
            <w:r w:rsidRPr="0033279F">
              <w:rPr>
                <w:sz w:val="16"/>
              </w:rPr>
              <w:t>Tchad (politique de propriété intellectuelle)</w:t>
            </w:r>
          </w:p>
          <w:p w:rsidR="00D42474" w:rsidRDefault="0096696E" w:rsidP="001A5BF9">
            <w:pPr>
              <w:pStyle w:val="Paragraphedeliste"/>
              <w:numPr>
                <w:ilvl w:val="0"/>
                <w:numId w:val="30"/>
              </w:numPr>
              <w:rPr>
                <w:sz w:val="16"/>
              </w:rPr>
            </w:pPr>
            <w:r w:rsidRPr="0033279F">
              <w:rPr>
                <w:sz w:val="16"/>
              </w:rPr>
              <w:t>Congo (stratégie de propriété intellectuelle)</w:t>
            </w:r>
          </w:p>
          <w:p w:rsidR="00D42474" w:rsidRDefault="0096696E" w:rsidP="001A5BF9">
            <w:pPr>
              <w:pStyle w:val="Paragraphedeliste"/>
              <w:numPr>
                <w:ilvl w:val="0"/>
                <w:numId w:val="30"/>
              </w:numPr>
              <w:rPr>
                <w:rFonts w:cs="Arial"/>
                <w:sz w:val="16"/>
                <w:szCs w:val="16"/>
                <w:lang w:bidi="th-TH"/>
              </w:rPr>
            </w:pPr>
            <w:r w:rsidRPr="0033279F">
              <w:rPr>
                <w:sz w:val="16"/>
              </w:rPr>
              <w:t>Gambie (politique et stratégie de propriété intellectuelle)</w:t>
            </w:r>
          </w:p>
          <w:p w:rsidR="00D42474" w:rsidRDefault="0096696E" w:rsidP="001A5BF9">
            <w:pPr>
              <w:pStyle w:val="Paragraphedeliste"/>
              <w:numPr>
                <w:ilvl w:val="0"/>
                <w:numId w:val="30"/>
              </w:numPr>
              <w:rPr>
                <w:rFonts w:cs="Arial"/>
                <w:sz w:val="16"/>
                <w:szCs w:val="16"/>
                <w:lang w:bidi="th-TH"/>
              </w:rPr>
            </w:pPr>
            <w:r w:rsidRPr="0033279F">
              <w:rPr>
                <w:sz w:val="16"/>
              </w:rPr>
              <w:t>Kenya (politique de propriété intellectuelle)</w:t>
            </w:r>
          </w:p>
          <w:p w:rsidR="00D42474" w:rsidRDefault="0096696E" w:rsidP="001A5BF9">
            <w:pPr>
              <w:pStyle w:val="Paragraphedeliste"/>
              <w:numPr>
                <w:ilvl w:val="0"/>
                <w:numId w:val="30"/>
              </w:numPr>
              <w:rPr>
                <w:rFonts w:cs="Arial"/>
                <w:sz w:val="16"/>
                <w:szCs w:val="16"/>
                <w:lang w:bidi="th-TH"/>
              </w:rPr>
            </w:pPr>
            <w:r w:rsidRPr="0033279F">
              <w:rPr>
                <w:sz w:val="16"/>
              </w:rPr>
              <w:t>Maurice (politique de propriété intellectuelle)</w:t>
            </w:r>
          </w:p>
          <w:p w:rsidR="00D42474" w:rsidRDefault="0096696E" w:rsidP="001A5BF9">
            <w:pPr>
              <w:pStyle w:val="Paragraphedeliste"/>
              <w:numPr>
                <w:ilvl w:val="0"/>
                <w:numId w:val="30"/>
              </w:numPr>
              <w:rPr>
                <w:rFonts w:cs="Arial"/>
                <w:sz w:val="16"/>
                <w:szCs w:val="16"/>
                <w:lang w:bidi="th-TH"/>
              </w:rPr>
            </w:pPr>
            <w:r w:rsidRPr="0033279F">
              <w:rPr>
                <w:sz w:val="16"/>
              </w:rPr>
              <w:t>Seychelles (politique et stratégie de propriété intellectuelle)</w:t>
            </w:r>
          </w:p>
          <w:p w:rsidR="0096696E" w:rsidRPr="0033279F" w:rsidRDefault="0096696E" w:rsidP="001A5BF9">
            <w:pPr>
              <w:pStyle w:val="Paragraphedeliste"/>
              <w:numPr>
                <w:ilvl w:val="0"/>
                <w:numId w:val="30"/>
              </w:numPr>
              <w:rPr>
                <w:rFonts w:cs="Arial"/>
                <w:sz w:val="16"/>
                <w:szCs w:val="16"/>
              </w:rPr>
            </w:pPr>
            <w:r w:rsidRPr="0033279F">
              <w:rPr>
                <w:rStyle w:val="st"/>
                <w:sz w:val="16"/>
              </w:rPr>
              <w:t>République</w:t>
            </w:r>
            <w:r w:rsidR="002D6F2A" w:rsidRPr="0033279F">
              <w:rPr>
                <w:rStyle w:val="st"/>
                <w:sz w:val="16"/>
              </w:rPr>
              <w:noBreakHyphen/>
            </w:r>
            <w:r w:rsidRPr="0033279F">
              <w:rPr>
                <w:rStyle w:val="st"/>
                <w:sz w:val="16"/>
              </w:rPr>
              <w:t>Unie de Tanzanie (politique et stratégie de propriété intellectuelle)</w:t>
            </w:r>
          </w:p>
        </w:tc>
        <w:tc>
          <w:tcPr>
            <w:tcW w:w="1134" w:type="dxa"/>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33279F">
        <w:trPr>
          <w:cantSplit/>
        </w:trPr>
        <w:tc>
          <w:tcPr>
            <w:tcW w:w="1881" w:type="dxa"/>
            <w:gridSpan w:val="2"/>
            <w:shd w:val="clear" w:color="auto" w:fill="auto"/>
          </w:tcPr>
          <w:p w:rsidR="0096696E" w:rsidRPr="0033279F" w:rsidRDefault="0096696E" w:rsidP="001A5BF9">
            <w:pPr>
              <w:rPr>
                <w:rFonts w:cs="Arial"/>
                <w:sz w:val="16"/>
                <w:szCs w:val="16"/>
              </w:rPr>
            </w:pPr>
            <w:r w:rsidRPr="0033279F">
              <w:rPr>
                <w:sz w:val="16"/>
              </w:rPr>
              <w:t>Nombre de pays dotés de mécanismes appropriés pour l</w:t>
            </w:r>
            <w:r w:rsidR="00A20444" w:rsidRPr="0033279F">
              <w:rPr>
                <w:sz w:val="16"/>
              </w:rPr>
              <w:t>’</w:t>
            </w:r>
            <w:r w:rsidRPr="0033279F">
              <w:rPr>
                <w:sz w:val="16"/>
              </w:rPr>
              <w:t>élaboration et la mise en œuvre de stratégies en matière de propriété intellectuelle (pays arabes)</w:t>
            </w:r>
          </w:p>
        </w:tc>
        <w:tc>
          <w:tcPr>
            <w:tcW w:w="1663" w:type="dxa"/>
            <w:shd w:val="clear" w:color="auto" w:fill="auto"/>
          </w:tcPr>
          <w:p w:rsidR="0096696E" w:rsidRPr="0033279F" w:rsidRDefault="0096696E" w:rsidP="00B9205A">
            <w:pPr>
              <w:ind w:leftChars="-6" w:left="2" w:hangingChars="9" w:hanging="14"/>
              <w:rPr>
                <w:rFonts w:cs="Arial"/>
                <w:sz w:val="16"/>
                <w:szCs w:val="16"/>
                <w:lang w:bidi="th-TH"/>
              </w:rPr>
            </w:pPr>
            <w:r w:rsidRPr="0033279F">
              <w:rPr>
                <w:sz w:val="16"/>
              </w:rPr>
              <w:t>Cinq pays</w:t>
            </w:r>
          </w:p>
        </w:tc>
        <w:tc>
          <w:tcPr>
            <w:tcW w:w="1701" w:type="dxa"/>
            <w:gridSpan w:val="3"/>
            <w:shd w:val="clear" w:color="auto" w:fill="auto"/>
            <w:tcMar>
              <w:top w:w="110" w:type="dxa"/>
            </w:tcMar>
          </w:tcPr>
          <w:p w:rsidR="00D42474" w:rsidRDefault="0096696E" w:rsidP="001A5BF9">
            <w:pPr>
              <w:autoSpaceDE w:val="0"/>
              <w:autoSpaceDN w:val="0"/>
              <w:adjustRightInd w:val="0"/>
              <w:rPr>
                <w:rFonts w:cs="Arial"/>
                <w:sz w:val="16"/>
                <w:szCs w:val="16"/>
              </w:rPr>
            </w:pPr>
            <w:r w:rsidRPr="0033279F">
              <w:rPr>
                <w:sz w:val="16"/>
              </w:rPr>
              <w:t>Cinq pays</w:t>
            </w:r>
          </w:p>
          <w:p w:rsidR="0096696E" w:rsidRPr="0033279F" w:rsidRDefault="0096696E" w:rsidP="001A5BF9">
            <w:pPr>
              <w:rPr>
                <w:rFonts w:cs="Arial"/>
                <w:sz w:val="16"/>
                <w:szCs w:val="16"/>
              </w:rPr>
            </w:pPr>
            <w:r w:rsidRPr="0033279F">
              <w:rPr>
                <w:sz w:val="16"/>
              </w:rPr>
              <w:t>(en</w:t>
            </w:r>
            <w:r w:rsidR="0010442A" w:rsidRPr="0033279F">
              <w:rPr>
                <w:sz w:val="16"/>
              </w:rPr>
              <w:t> </w:t>
            </w:r>
            <w:r w:rsidRPr="0033279F">
              <w:rPr>
                <w:sz w:val="16"/>
              </w:rPr>
              <w:t>2012</w:t>
            </w:r>
            <w:r w:rsidR="002D6F2A" w:rsidRPr="0033279F">
              <w:rPr>
                <w:sz w:val="16"/>
              </w:rPr>
              <w:noBreakHyphen/>
            </w:r>
            <w:r w:rsidRPr="0033279F">
              <w:rPr>
                <w:sz w:val="16"/>
              </w:rPr>
              <w:t>2013)</w:t>
            </w:r>
          </w:p>
        </w:tc>
        <w:tc>
          <w:tcPr>
            <w:tcW w:w="3119" w:type="dxa"/>
            <w:gridSpan w:val="6"/>
            <w:shd w:val="clear" w:color="auto" w:fill="FFFFFF"/>
            <w:tcMar>
              <w:top w:w="110" w:type="dxa"/>
            </w:tcMar>
          </w:tcPr>
          <w:p w:rsidR="00D42474" w:rsidRDefault="0096696E" w:rsidP="001A5BF9">
            <w:pPr>
              <w:rPr>
                <w:rFonts w:cs="Arial"/>
                <w:spacing w:val="-4"/>
                <w:sz w:val="16"/>
                <w:szCs w:val="16"/>
                <w:lang w:bidi="th-TH"/>
              </w:rPr>
            </w:pPr>
            <w:r w:rsidRPr="005C7CCE">
              <w:rPr>
                <w:spacing w:val="-4"/>
                <w:sz w:val="16"/>
              </w:rPr>
              <w:t>Stratégie nationale d</w:t>
            </w:r>
            <w:r w:rsidR="00A20444" w:rsidRPr="005C7CCE">
              <w:rPr>
                <w:spacing w:val="-4"/>
                <w:sz w:val="16"/>
              </w:rPr>
              <w:t>’</w:t>
            </w:r>
            <w:r w:rsidRPr="005C7CCE">
              <w:rPr>
                <w:spacing w:val="-4"/>
                <w:sz w:val="16"/>
              </w:rPr>
              <w:t>innovation en matière de propriét</w:t>
            </w:r>
            <w:r w:rsidR="00262B26">
              <w:rPr>
                <w:spacing w:val="-4"/>
                <w:sz w:val="16"/>
              </w:rPr>
              <w:t>é intellectuelle adoptée dans un</w:t>
            </w:r>
            <w:r w:rsidRPr="005C7CCE">
              <w:rPr>
                <w:spacing w:val="-4"/>
                <w:sz w:val="16"/>
              </w:rPr>
              <w:t> pays : Oman</w:t>
            </w:r>
            <w:r w:rsidR="00262B26">
              <w:rPr>
                <w:spacing w:val="-4"/>
                <w:sz w:val="16"/>
              </w:rPr>
              <w:t>, et en cours d’adoption en Algérie.</w:t>
            </w:r>
          </w:p>
          <w:p w:rsidR="00D42474" w:rsidRDefault="00D42474" w:rsidP="001A5BF9">
            <w:pPr>
              <w:rPr>
                <w:rFonts w:cs="Arial"/>
                <w:sz w:val="8"/>
                <w:szCs w:val="8"/>
                <w:lang w:bidi="th-TH"/>
              </w:rPr>
            </w:pPr>
          </w:p>
          <w:p w:rsidR="0096696E" w:rsidRPr="005C7CCE" w:rsidRDefault="0096696E" w:rsidP="001A5BF9">
            <w:pPr>
              <w:rPr>
                <w:rFonts w:cs="Arial"/>
                <w:sz w:val="16"/>
                <w:szCs w:val="16"/>
              </w:rPr>
            </w:pPr>
            <w:r w:rsidRPr="005C7CCE">
              <w:rPr>
                <w:sz w:val="16"/>
              </w:rPr>
              <w:t>Stratégie nationale d</w:t>
            </w:r>
            <w:r w:rsidR="00A20444" w:rsidRPr="005C7CCE">
              <w:rPr>
                <w:sz w:val="16"/>
              </w:rPr>
              <w:t>’</w:t>
            </w:r>
            <w:r w:rsidRPr="005C7CCE">
              <w:rPr>
                <w:sz w:val="16"/>
              </w:rPr>
              <w:t>innovation en matière de propriété intellectuelle en cours d</w:t>
            </w:r>
            <w:r w:rsidR="00A20444" w:rsidRPr="005C7CCE">
              <w:rPr>
                <w:sz w:val="16"/>
              </w:rPr>
              <w:t>’</w:t>
            </w:r>
            <w:r w:rsidRPr="005C7CCE">
              <w:rPr>
                <w:sz w:val="16"/>
              </w:rPr>
              <w:t xml:space="preserve">élaboration dans trois pays : Émirats </w:t>
            </w:r>
            <w:r w:rsidR="00232949">
              <w:rPr>
                <w:sz w:val="16"/>
              </w:rPr>
              <w:t>a</w:t>
            </w:r>
            <w:r w:rsidRPr="005C7CCE">
              <w:rPr>
                <w:sz w:val="16"/>
              </w:rPr>
              <w:t xml:space="preserve">rabes </w:t>
            </w:r>
            <w:r w:rsidR="00232949">
              <w:rPr>
                <w:sz w:val="16"/>
              </w:rPr>
              <w:t>u</w:t>
            </w:r>
            <w:r w:rsidRPr="005C7CCE">
              <w:rPr>
                <w:sz w:val="16"/>
              </w:rPr>
              <w:t>nis, Qatar et Tunisie.</w:t>
            </w:r>
          </w:p>
        </w:tc>
        <w:tc>
          <w:tcPr>
            <w:tcW w:w="1134" w:type="dxa"/>
            <w:shd w:val="clear" w:color="auto" w:fill="auto"/>
            <w:tcMar>
              <w:top w:w="110" w:type="dxa"/>
            </w:tcMar>
          </w:tcPr>
          <w:p w:rsidR="0096696E" w:rsidRPr="005C7CCE" w:rsidRDefault="0015421B" w:rsidP="001A5BF9">
            <w:pPr>
              <w:keepNext/>
              <w:keepLines/>
              <w:jc w:val="center"/>
              <w:rPr>
                <w:rFonts w:cs="Arial"/>
                <w:bCs/>
                <w:color w:val="008000"/>
                <w:sz w:val="16"/>
                <w:szCs w:val="16"/>
              </w:rPr>
            </w:pPr>
            <w:r w:rsidRPr="0015421B">
              <w:rPr>
                <w:color w:val="E36C0A"/>
                <w:sz w:val="16"/>
              </w:rPr>
              <w:t>Objectif partiellement atteint</w:t>
            </w:r>
          </w:p>
        </w:tc>
      </w:tr>
      <w:tr w:rsidR="0096696E" w:rsidRPr="005C7CCE" w:rsidTr="0033279F">
        <w:trPr>
          <w:cantSplit/>
        </w:trPr>
        <w:tc>
          <w:tcPr>
            <w:tcW w:w="1881" w:type="dxa"/>
            <w:gridSpan w:val="2"/>
            <w:shd w:val="clear" w:color="auto" w:fill="auto"/>
          </w:tcPr>
          <w:p w:rsidR="0096696E" w:rsidRPr="0033279F" w:rsidRDefault="0096696E" w:rsidP="001A5BF9">
            <w:pPr>
              <w:rPr>
                <w:rFonts w:cs="Arial"/>
                <w:spacing w:val="-4"/>
                <w:sz w:val="16"/>
                <w:szCs w:val="16"/>
                <w:lang w:bidi="th-TH"/>
              </w:rPr>
            </w:pPr>
            <w:r w:rsidRPr="0033279F">
              <w:rPr>
                <w:spacing w:val="-4"/>
                <w:sz w:val="16"/>
              </w:rPr>
              <w:t>Nombre de pays ayant des initiatives présentant des liens avec les plans nationaux en matière de propriété intellectuelle (pays arabes)</w:t>
            </w:r>
          </w:p>
        </w:tc>
        <w:tc>
          <w:tcPr>
            <w:tcW w:w="1663" w:type="dxa"/>
            <w:shd w:val="clear" w:color="auto" w:fill="auto"/>
          </w:tcPr>
          <w:p w:rsidR="0096696E" w:rsidRPr="0033279F" w:rsidRDefault="0096696E" w:rsidP="00B9205A">
            <w:pPr>
              <w:ind w:leftChars="-6" w:left="2" w:hangingChars="9" w:hanging="14"/>
              <w:rPr>
                <w:rFonts w:cs="Arial"/>
                <w:sz w:val="16"/>
                <w:szCs w:val="16"/>
                <w:lang w:bidi="th-TH"/>
              </w:rPr>
            </w:pPr>
            <w:r w:rsidRPr="0033279F">
              <w:rPr>
                <w:sz w:val="16"/>
              </w:rPr>
              <w:t>Deux pays</w:t>
            </w:r>
          </w:p>
        </w:tc>
        <w:tc>
          <w:tcPr>
            <w:tcW w:w="1701" w:type="dxa"/>
            <w:gridSpan w:val="3"/>
            <w:shd w:val="clear" w:color="auto" w:fill="auto"/>
            <w:tcMar>
              <w:top w:w="110" w:type="dxa"/>
            </w:tcMar>
          </w:tcPr>
          <w:p w:rsidR="00D42474" w:rsidRDefault="0096696E" w:rsidP="00B9205A">
            <w:pPr>
              <w:ind w:leftChars="-6" w:left="2" w:hangingChars="9" w:hanging="14"/>
              <w:rPr>
                <w:rFonts w:cs="Arial"/>
                <w:sz w:val="16"/>
                <w:szCs w:val="16"/>
                <w:lang w:bidi="th-TH"/>
              </w:rPr>
            </w:pPr>
            <w:r w:rsidRPr="0033279F">
              <w:rPr>
                <w:sz w:val="16"/>
              </w:rPr>
              <w:t>Quatre pays</w:t>
            </w:r>
          </w:p>
          <w:p w:rsidR="0096696E" w:rsidRPr="0033279F" w:rsidRDefault="0096696E" w:rsidP="001A5BF9">
            <w:pPr>
              <w:rPr>
                <w:rFonts w:cs="Arial"/>
                <w:sz w:val="16"/>
                <w:szCs w:val="16"/>
              </w:rPr>
            </w:pPr>
            <w:r w:rsidRPr="0033279F">
              <w:rPr>
                <w:sz w:val="16"/>
              </w:rPr>
              <w:t>(en</w:t>
            </w:r>
            <w:r w:rsidR="0010442A" w:rsidRPr="0033279F">
              <w:rPr>
                <w:sz w:val="16"/>
              </w:rPr>
              <w:t> </w:t>
            </w:r>
            <w:r w:rsidRPr="0033279F">
              <w:rPr>
                <w:sz w:val="16"/>
              </w:rPr>
              <w:t>2012</w:t>
            </w:r>
            <w:r w:rsidR="002D6F2A" w:rsidRPr="0033279F">
              <w:rPr>
                <w:sz w:val="16"/>
              </w:rPr>
              <w:noBreakHyphen/>
            </w:r>
            <w:r w:rsidRPr="0033279F">
              <w:rPr>
                <w:sz w:val="16"/>
              </w:rPr>
              <w:t>2013)</w:t>
            </w:r>
          </w:p>
        </w:tc>
        <w:tc>
          <w:tcPr>
            <w:tcW w:w="3119" w:type="dxa"/>
            <w:gridSpan w:val="6"/>
            <w:shd w:val="clear" w:color="auto" w:fill="FFFFFF"/>
            <w:tcMar>
              <w:top w:w="110" w:type="dxa"/>
            </w:tcMar>
          </w:tcPr>
          <w:p w:rsidR="0096696E" w:rsidRPr="005C7CCE" w:rsidRDefault="0096696E" w:rsidP="001A5BF9">
            <w:pPr>
              <w:rPr>
                <w:rFonts w:cs="Arial"/>
                <w:sz w:val="16"/>
                <w:szCs w:val="16"/>
              </w:rPr>
            </w:pPr>
            <w:r w:rsidRPr="005C7CCE">
              <w:rPr>
                <w:sz w:val="16"/>
              </w:rPr>
              <w:t xml:space="preserve">Quatre pays (Algérie, Égypte, Qatar, Yémen) et une </w:t>
            </w:r>
            <w:r w:rsidR="00232949">
              <w:rPr>
                <w:sz w:val="16"/>
              </w:rPr>
              <w:t>u</w:t>
            </w:r>
            <w:r w:rsidRPr="005C7CCE">
              <w:rPr>
                <w:sz w:val="16"/>
              </w:rPr>
              <w:t>nion (</w:t>
            </w:r>
            <w:proofErr w:type="spellStart"/>
            <w:r w:rsidRPr="005C7CCE">
              <w:rPr>
                <w:sz w:val="16"/>
              </w:rPr>
              <w:t>CCG</w:t>
            </w:r>
            <w:proofErr w:type="spellEnd"/>
            <w:r w:rsidRPr="005C7CCE">
              <w:rPr>
                <w:sz w:val="16"/>
              </w:rPr>
              <w:t>).</w:t>
            </w:r>
          </w:p>
        </w:tc>
        <w:tc>
          <w:tcPr>
            <w:tcW w:w="1134" w:type="dxa"/>
            <w:shd w:val="clear" w:color="auto" w:fill="auto"/>
            <w:tcMar>
              <w:top w:w="110" w:type="dxa"/>
            </w:tcMar>
          </w:tcPr>
          <w:p w:rsidR="0096696E" w:rsidRPr="005C7CCE" w:rsidRDefault="0096696E" w:rsidP="001A5BF9">
            <w:pPr>
              <w:keepNext/>
              <w:keepLines/>
              <w:jc w:val="center"/>
              <w:rPr>
                <w:rFonts w:cs="Arial"/>
                <w:bCs/>
                <w:color w:val="808080"/>
                <w:sz w:val="16"/>
                <w:szCs w:val="16"/>
              </w:rPr>
            </w:pPr>
            <w:r w:rsidRPr="00B470C6">
              <w:rPr>
                <w:color w:val="008000"/>
                <w:sz w:val="16"/>
              </w:rPr>
              <w:t>Objectif pleinement atteint</w:t>
            </w:r>
          </w:p>
        </w:tc>
      </w:tr>
      <w:tr w:rsidR="0096696E" w:rsidRPr="005C7CCE" w:rsidTr="0033279F">
        <w:trPr>
          <w:cantSplit/>
        </w:trPr>
        <w:tc>
          <w:tcPr>
            <w:tcW w:w="1881" w:type="dxa"/>
            <w:gridSpan w:val="2"/>
            <w:shd w:val="clear" w:color="auto" w:fill="auto"/>
          </w:tcPr>
          <w:p w:rsidR="0096696E" w:rsidRPr="0033279F" w:rsidRDefault="0096696E" w:rsidP="001A5BF9">
            <w:pPr>
              <w:rPr>
                <w:rFonts w:cs="Arial"/>
                <w:sz w:val="16"/>
                <w:szCs w:val="16"/>
                <w:lang w:bidi="th-TH"/>
              </w:rPr>
            </w:pPr>
            <w:r w:rsidRPr="0033279F">
              <w:rPr>
                <w:sz w:val="16"/>
              </w:rPr>
              <w:t>Nombre de pays ayant introduit des politiques et des stratégies en matière de propriété intellectuelle dans leurs procédures nationales d</w:t>
            </w:r>
            <w:r w:rsidR="00A20444" w:rsidRPr="0033279F">
              <w:rPr>
                <w:sz w:val="16"/>
              </w:rPr>
              <w:t>’</w:t>
            </w:r>
            <w:r w:rsidRPr="0033279F">
              <w:rPr>
                <w:sz w:val="16"/>
              </w:rPr>
              <w:t>approbation (Asie et Pacifique)</w:t>
            </w:r>
          </w:p>
        </w:tc>
        <w:tc>
          <w:tcPr>
            <w:tcW w:w="1663" w:type="dxa"/>
            <w:shd w:val="clear" w:color="auto" w:fill="auto"/>
          </w:tcPr>
          <w:p w:rsidR="00D42474" w:rsidRDefault="0096696E" w:rsidP="001A5BF9">
            <w:pPr>
              <w:rPr>
                <w:rFonts w:cs="Arial"/>
                <w:i/>
                <w:sz w:val="16"/>
                <w:szCs w:val="16"/>
                <w:lang w:bidi="th-TH"/>
              </w:rPr>
            </w:pPr>
            <w:r w:rsidRPr="005C7CCE">
              <w:rPr>
                <w:i/>
                <w:color w:val="002060"/>
                <w:sz w:val="16"/>
                <w:szCs w:val="16"/>
              </w:rPr>
              <w:t xml:space="preserve">Niveau de référence actualisé </w:t>
            </w:r>
            <w:r w:rsidRPr="005C7CCE">
              <w:rPr>
                <w:sz w:val="16"/>
                <w:szCs w:val="16"/>
              </w:rPr>
              <w:br/>
            </w:r>
            <w:r w:rsidRPr="005C7CCE">
              <w:rPr>
                <w:i/>
                <w:color w:val="002060"/>
                <w:sz w:val="16"/>
                <w:szCs w:val="16"/>
              </w:rPr>
              <w:t>fin 2011 </w:t>
            </w:r>
            <w:proofErr w:type="gramStart"/>
            <w:r w:rsidRPr="005C7CCE">
              <w:rPr>
                <w:i/>
                <w:color w:val="002060"/>
                <w:sz w:val="16"/>
                <w:szCs w:val="16"/>
              </w:rPr>
              <w:t>:</w:t>
            </w:r>
            <w:proofErr w:type="gramEnd"/>
            <w:r w:rsidRPr="005C7CCE">
              <w:rPr>
                <w:sz w:val="16"/>
                <w:szCs w:val="16"/>
              </w:rPr>
              <w:br/>
            </w:r>
            <w:r w:rsidR="0033279F">
              <w:rPr>
                <w:color w:val="002060"/>
                <w:sz w:val="16"/>
                <w:szCs w:val="16"/>
              </w:rPr>
              <w:t>q</w:t>
            </w:r>
            <w:r w:rsidRPr="005C7CCE">
              <w:rPr>
                <w:color w:val="002060"/>
                <w:sz w:val="16"/>
                <w:szCs w:val="16"/>
              </w:rPr>
              <w:t>uatre pays</w:t>
            </w:r>
          </w:p>
          <w:p w:rsidR="00D42474" w:rsidRDefault="00D42474" w:rsidP="001A5BF9">
            <w:pPr>
              <w:rPr>
                <w:rFonts w:cs="Arial"/>
                <w:i/>
                <w:sz w:val="16"/>
                <w:szCs w:val="16"/>
                <w:lang w:bidi="th-TH"/>
              </w:rPr>
            </w:pPr>
          </w:p>
          <w:p w:rsidR="0096696E" w:rsidRPr="005C7CCE" w:rsidRDefault="0096696E" w:rsidP="001A5BF9">
            <w:pPr>
              <w:rPr>
                <w:rFonts w:cs="Arial"/>
                <w:sz w:val="16"/>
                <w:szCs w:val="16"/>
                <w:highlight w:val="yellow"/>
                <w:lang w:bidi="th-TH"/>
              </w:rPr>
            </w:pPr>
            <w:r w:rsidRPr="005C7CCE">
              <w:rPr>
                <w:i/>
                <w:sz w:val="16"/>
                <w:szCs w:val="16"/>
              </w:rPr>
              <w:t xml:space="preserve">Niveau de référence initial </w:t>
            </w:r>
            <w:r w:rsidR="00667FB3">
              <w:rPr>
                <w:i/>
                <w:sz w:val="16"/>
                <w:szCs w:val="16"/>
              </w:rPr>
              <w:t>programme et budget</w:t>
            </w:r>
            <w:r w:rsidRPr="005C7CCE">
              <w:rPr>
                <w:i/>
                <w:sz w:val="16"/>
                <w:szCs w:val="16"/>
              </w:rPr>
              <w:t> 2012</w:t>
            </w:r>
            <w:r w:rsidR="002D6F2A" w:rsidRPr="005C7CCE">
              <w:rPr>
                <w:i/>
                <w:sz w:val="16"/>
                <w:szCs w:val="16"/>
              </w:rPr>
              <w:noBreakHyphen/>
            </w:r>
            <w:r w:rsidRPr="005C7CCE">
              <w:rPr>
                <w:i/>
                <w:sz w:val="16"/>
                <w:szCs w:val="16"/>
              </w:rPr>
              <w:t>2013</w:t>
            </w:r>
            <w:r w:rsidRPr="005C7CCE">
              <w:rPr>
                <w:sz w:val="16"/>
                <w:szCs w:val="16"/>
              </w:rPr>
              <w:t> : zéro</w:t>
            </w:r>
          </w:p>
        </w:tc>
        <w:tc>
          <w:tcPr>
            <w:tcW w:w="1701" w:type="dxa"/>
            <w:gridSpan w:val="3"/>
            <w:shd w:val="clear" w:color="auto" w:fill="auto"/>
            <w:tcMar>
              <w:top w:w="110" w:type="dxa"/>
            </w:tcMar>
          </w:tcPr>
          <w:p w:rsidR="0096696E" w:rsidRPr="0033279F" w:rsidRDefault="0096696E" w:rsidP="001A5BF9">
            <w:pPr>
              <w:rPr>
                <w:rFonts w:cs="Arial"/>
                <w:sz w:val="16"/>
                <w:szCs w:val="16"/>
                <w:lang w:bidi="th-TH"/>
              </w:rPr>
            </w:pPr>
            <w:r w:rsidRPr="0033279F">
              <w:rPr>
                <w:sz w:val="16"/>
              </w:rPr>
              <w:t xml:space="preserve">Six pays </w:t>
            </w:r>
          </w:p>
        </w:tc>
        <w:tc>
          <w:tcPr>
            <w:tcW w:w="3119" w:type="dxa"/>
            <w:gridSpan w:val="6"/>
            <w:shd w:val="clear" w:color="auto" w:fill="FFFFFF"/>
            <w:tcMar>
              <w:top w:w="110" w:type="dxa"/>
            </w:tcMar>
          </w:tcPr>
          <w:p w:rsidR="00D42474" w:rsidRDefault="0096696E" w:rsidP="001A5BF9">
            <w:pPr>
              <w:rPr>
                <w:rFonts w:cs="Arial"/>
                <w:sz w:val="16"/>
                <w:szCs w:val="16"/>
                <w:lang w:bidi="th-TH"/>
              </w:rPr>
            </w:pPr>
            <w:r w:rsidRPr="005C7CCE">
              <w:rPr>
                <w:sz w:val="16"/>
              </w:rPr>
              <w:t>Quatre pays (Cambodge, Sri Lanka, Tonga et Vanuatu) disposent de politiques et/ou stratégies de propriété intellectuelle dans leur processus national d</w:t>
            </w:r>
            <w:r w:rsidR="00A20444" w:rsidRPr="005C7CCE">
              <w:rPr>
                <w:sz w:val="16"/>
              </w:rPr>
              <w:t>’</w:t>
            </w:r>
            <w:r w:rsidRPr="005C7CCE">
              <w:rPr>
                <w:sz w:val="16"/>
              </w:rPr>
              <w:t>approbation.</w:t>
            </w:r>
          </w:p>
          <w:p w:rsidR="00D42474" w:rsidRDefault="00D42474" w:rsidP="001A5BF9">
            <w:pPr>
              <w:rPr>
                <w:rFonts w:cs="Arial"/>
                <w:sz w:val="8"/>
                <w:szCs w:val="8"/>
                <w:lang w:bidi="th-TH"/>
              </w:rPr>
            </w:pPr>
          </w:p>
          <w:p w:rsidR="00D42474" w:rsidRDefault="0096696E" w:rsidP="001A5BF9">
            <w:pPr>
              <w:rPr>
                <w:rFonts w:cs="Arial"/>
                <w:sz w:val="16"/>
                <w:szCs w:val="16"/>
                <w:lang w:bidi="th-TH"/>
              </w:rPr>
            </w:pPr>
            <w:r w:rsidRPr="005C7CCE">
              <w:rPr>
                <w:sz w:val="16"/>
              </w:rPr>
              <w:t>Un projet de politique de propriété intellectuelle est actuellement en cours d</w:t>
            </w:r>
            <w:r w:rsidR="00A20444" w:rsidRPr="005C7CCE">
              <w:rPr>
                <w:sz w:val="16"/>
              </w:rPr>
              <w:t>’</w:t>
            </w:r>
            <w:r w:rsidRPr="005C7CCE">
              <w:rPr>
                <w:sz w:val="16"/>
              </w:rPr>
              <w:t>examen dans un pays (Viet Nam).</w:t>
            </w:r>
          </w:p>
          <w:p w:rsidR="00D42474" w:rsidRDefault="00D42474" w:rsidP="001A5BF9">
            <w:pPr>
              <w:rPr>
                <w:rFonts w:cs="Arial"/>
                <w:sz w:val="8"/>
                <w:szCs w:val="8"/>
                <w:lang w:bidi="th-TH"/>
              </w:rPr>
            </w:pPr>
          </w:p>
          <w:p w:rsidR="00D42474" w:rsidRDefault="0096696E" w:rsidP="001A5BF9">
            <w:pPr>
              <w:rPr>
                <w:rFonts w:cs="Arial"/>
                <w:spacing w:val="-2"/>
                <w:sz w:val="16"/>
                <w:szCs w:val="16"/>
                <w:lang w:bidi="th-TH"/>
              </w:rPr>
            </w:pPr>
            <w:r w:rsidRPr="005C7CCE">
              <w:rPr>
                <w:spacing w:val="-2"/>
                <w:sz w:val="16"/>
              </w:rPr>
              <w:t>Les travaux sont en cours dans deux pays (le Népal et les îles Salomon).</w:t>
            </w:r>
          </w:p>
          <w:p w:rsidR="00D42474" w:rsidRDefault="00D42474" w:rsidP="001A5BF9">
            <w:pPr>
              <w:rPr>
                <w:rFonts w:cs="Arial"/>
                <w:sz w:val="8"/>
                <w:szCs w:val="8"/>
                <w:lang w:bidi="th-TH"/>
              </w:rPr>
            </w:pPr>
          </w:p>
          <w:p w:rsidR="0096696E" w:rsidRPr="005C7CCE" w:rsidRDefault="0096696E" w:rsidP="001A5BF9">
            <w:pPr>
              <w:rPr>
                <w:rFonts w:cs="Arial"/>
                <w:sz w:val="16"/>
                <w:szCs w:val="16"/>
              </w:rPr>
            </w:pPr>
            <w:r w:rsidRPr="005C7CCE">
              <w:rPr>
                <w:sz w:val="16"/>
              </w:rPr>
              <w:t>Un pays (les îles Cook) a reporté son projet d</w:t>
            </w:r>
            <w:r w:rsidR="00A20444" w:rsidRPr="005C7CCE">
              <w:rPr>
                <w:sz w:val="16"/>
              </w:rPr>
              <w:t>’</w:t>
            </w:r>
            <w:r w:rsidRPr="005C7CCE">
              <w:rPr>
                <w:sz w:val="16"/>
              </w:rPr>
              <w:t>élaboration d</w:t>
            </w:r>
            <w:r w:rsidR="00A20444" w:rsidRPr="005C7CCE">
              <w:rPr>
                <w:sz w:val="16"/>
              </w:rPr>
              <w:t>’</w:t>
            </w:r>
            <w:r w:rsidRPr="005C7CCE">
              <w:rPr>
                <w:sz w:val="16"/>
              </w:rPr>
              <w:t>une stratégie de propriété intellectuelle.</w:t>
            </w:r>
          </w:p>
        </w:tc>
        <w:tc>
          <w:tcPr>
            <w:tcW w:w="1134" w:type="dxa"/>
            <w:shd w:val="clear" w:color="auto" w:fill="auto"/>
            <w:tcMar>
              <w:top w:w="110" w:type="dxa"/>
            </w:tcMar>
          </w:tcPr>
          <w:p w:rsidR="0096696E" w:rsidRPr="005C7CCE" w:rsidRDefault="0015421B" w:rsidP="001A5BF9">
            <w:pPr>
              <w:keepNext/>
              <w:keepLines/>
              <w:jc w:val="center"/>
              <w:rPr>
                <w:rFonts w:cs="Arial"/>
                <w:bCs/>
                <w:color w:val="808080"/>
                <w:sz w:val="16"/>
                <w:szCs w:val="16"/>
              </w:rPr>
            </w:pPr>
            <w:r w:rsidRPr="0015421B">
              <w:rPr>
                <w:color w:val="E36C0A"/>
                <w:sz w:val="16"/>
              </w:rPr>
              <w:t>Objectif partiellement atteint</w:t>
            </w:r>
          </w:p>
        </w:tc>
      </w:tr>
      <w:tr w:rsidR="0096696E" w:rsidRPr="005C7CCE" w:rsidTr="0033279F">
        <w:trPr>
          <w:cantSplit/>
        </w:trPr>
        <w:tc>
          <w:tcPr>
            <w:tcW w:w="1881" w:type="dxa"/>
            <w:gridSpan w:val="2"/>
            <w:shd w:val="clear" w:color="auto" w:fill="auto"/>
          </w:tcPr>
          <w:p w:rsidR="0096696E" w:rsidRPr="0033279F" w:rsidRDefault="0096696E" w:rsidP="001A5BF9">
            <w:pPr>
              <w:rPr>
                <w:rFonts w:cs="Arial"/>
                <w:sz w:val="16"/>
                <w:szCs w:val="16"/>
                <w:lang w:bidi="th-TH"/>
              </w:rPr>
            </w:pPr>
            <w:r w:rsidRPr="0033279F">
              <w:rPr>
                <w:sz w:val="16"/>
              </w:rPr>
              <w:t>Nombre de pays ayant adopté des politiques et des stratégies en matière de propriété intellectuelle (Asie et Pacifique)</w:t>
            </w:r>
          </w:p>
        </w:tc>
        <w:tc>
          <w:tcPr>
            <w:tcW w:w="1663" w:type="dxa"/>
            <w:shd w:val="clear" w:color="auto" w:fill="auto"/>
          </w:tcPr>
          <w:p w:rsidR="00D42474" w:rsidRDefault="0096696E" w:rsidP="001A5BF9">
            <w:pPr>
              <w:rPr>
                <w:rFonts w:cs="Arial"/>
                <w:color w:val="002060"/>
                <w:sz w:val="16"/>
                <w:szCs w:val="16"/>
                <w:lang w:bidi="th-TH"/>
              </w:rPr>
            </w:pPr>
            <w:r w:rsidRPr="005C7CCE">
              <w:rPr>
                <w:i/>
                <w:color w:val="002060"/>
                <w:sz w:val="16"/>
              </w:rPr>
              <w:t xml:space="preserve">Niveau de référence actualisé </w:t>
            </w:r>
            <w:r w:rsidRPr="005C7CCE">
              <w:br/>
            </w:r>
            <w:r w:rsidRPr="005C7CCE">
              <w:rPr>
                <w:i/>
                <w:color w:val="002060"/>
                <w:sz w:val="16"/>
              </w:rPr>
              <w:t>fin 2011 </w:t>
            </w:r>
            <w:proofErr w:type="gramStart"/>
            <w:r w:rsidRPr="005C7CCE">
              <w:rPr>
                <w:i/>
                <w:color w:val="002060"/>
                <w:sz w:val="16"/>
              </w:rPr>
              <w:t>:</w:t>
            </w:r>
            <w:proofErr w:type="gramEnd"/>
            <w:r w:rsidRPr="005C7CCE">
              <w:br/>
            </w:r>
            <w:r w:rsidR="0033279F">
              <w:rPr>
                <w:color w:val="002060"/>
                <w:sz w:val="16"/>
              </w:rPr>
              <w:t>d</w:t>
            </w:r>
            <w:r w:rsidRPr="005C7CCE">
              <w:rPr>
                <w:color w:val="002060"/>
                <w:sz w:val="16"/>
              </w:rPr>
              <w:t>eux pays</w:t>
            </w:r>
          </w:p>
          <w:p w:rsidR="00D42474" w:rsidRDefault="00D42474" w:rsidP="001A5BF9">
            <w:pPr>
              <w:rPr>
                <w:rFonts w:cs="Arial"/>
                <w:i/>
                <w:sz w:val="8"/>
                <w:szCs w:val="8"/>
                <w:lang w:bidi="th-TH"/>
              </w:rPr>
            </w:pPr>
          </w:p>
          <w:p w:rsidR="0096696E" w:rsidRPr="005C7CCE" w:rsidRDefault="0096696E" w:rsidP="001A5BF9">
            <w:pPr>
              <w:rPr>
                <w:rFonts w:cs="Arial"/>
                <w:sz w:val="16"/>
                <w:szCs w:val="16"/>
                <w:highlight w:val="yellow"/>
                <w:lang w:bidi="th-TH"/>
              </w:rPr>
            </w:pPr>
            <w:r w:rsidRPr="005C7CCE">
              <w:rPr>
                <w:i/>
                <w:sz w:val="16"/>
              </w:rPr>
              <w:t xml:space="preserve">Niveau de référence initial </w:t>
            </w:r>
            <w:r w:rsidRPr="005C7CCE">
              <w:br/>
            </w:r>
            <w:r w:rsidR="00667FB3">
              <w:rPr>
                <w:i/>
                <w:sz w:val="16"/>
              </w:rPr>
              <w:t>programme et budget</w:t>
            </w:r>
            <w:r w:rsidRPr="005C7CCE">
              <w:rPr>
                <w:i/>
                <w:sz w:val="16"/>
              </w:rPr>
              <w:t> </w:t>
            </w:r>
            <w:r w:rsidR="00122FDE" w:rsidRPr="005C7CCE">
              <w:rPr>
                <w:i/>
                <w:sz w:val="16"/>
              </w:rPr>
              <w:t>2012</w:t>
            </w:r>
            <w:r w:rsidR="002D6F2A" w:rsidRPr="005C7CCE">
              <w:rPr>
                <w:i/>
                <w:sz w:val="16"/>
              </w:rPr>
              <w:noBreakHyphen/>
            </w:r>
            <w:r w:rsidR="00122FDE" w:rsidRPr="005C7CCE">
              <w:rPr>
                <w:i/>
                <w:sz w:val="16"/>
              </w:rPr>
              <w:t>2013</w:t>
            </w:r>
            <w:r w:rsidRPr="005C7CCE">
              <w:rPr>
                <w:i/>
                <w:sz w:val="16"/>
              </w:rPr>
              <w:t> :</w:t>
            </w:r>
            <w:r w:rsidRPr="005C7CCE">
              <w:rPr>
                <w:sz w:val="16"/>
              </w:rPr>
              <w:t xml:space="preserve"> zéro</w:t>
            </w:r>
          </w:p>
        </w:tc>
        <w:tc>
          <w:tcPr>
            <w:tcW w:w="1701" w:type="dxa"/>
            <w:gridSpan w:val="3"/>
            <w:shd w:val="clear" w:color="auto" w:fill="auto"/>
            <w:tcMar>
              <w:top w:w="110" w:type="dxa"/>
            </w:tcMar>
          </w:tcPr>
          <w:p w:rsidR="0096696E" w:rsidRPr="0033279F" w:rsidRDefault="0096696E" w:rsidP="001A5BF9">
            <w:pPr>
              <w:rPr>
                <w:rFonts w:cs="Arial"/>
                <w:sz w:val="16"/>
                <w:szCs w:val="16"/>
                <w:lang w:bidi="th-TH"/>
              </w:rPr>
            </w:pPr>
            <w:r w:rsidRPr="0033279F">
              <w:rPr>
                <w:sz w:val="16"/>
              </w:rPr>
              <w:t xml:space="preserve">Trois pays </w:t>
            </w:r>
          </w:p>
        </w:tc>
        <w:tc>
          <w:tcPr>
            <w:tcW w:w="3119" w:type="dxa"/>
            <w:gridSpan w:val="6"/>
            <w:shd w:val="clear" w:color="auto" w:fill="FFFFFF"/>
            <w:tcMar>
              <w:top w:w="110" w:type="dxa"/>
            </w:tcMar>
          </w:tcPr>
          <w:p w:rsidR="0096696E" w:rsidRPr="005C7CCE" w:rsidRDefault="0096696E" w:rsidP="001A5BF9">
            <w:pPr>
              <w:rPr>
                <w:rFonts w:cs="Arial"/>
                <w:sz w:val="16"/>
                <w:szCs w:val="16"/>
              </w:rPr>
            </w:pPr>
            <w:r w:rsidRPr="005C7CCE">
              <w:rPr>
                <w:sz w:val="16"/>
              </w:rPr>
              <w:t>Trois pays (Bangladesh, Cambodge et Samoa) ont adopté une politique ou une stratégie de propriété intellectuelle;</w:t>
            </w:r>
            <w:r w:rsidR="004F3E42" w:rsidRPr="005C7CCE">
              <w:rPr>
                <w:sz w:val="16"/>
              </w:rPr>
              <w:t xml:space="preserve"> </w:t>
            </w:r>
            <w:r w:rsidR="0010442A" w:rsidRPr="005C7CCE">
              <w:rPr>
                <w:sz w:val="16"/>
              </w:rPr>
              <w:t xml:space="preserve"> </w:t>
            </w:r>
            <w:r w:rsidRPr="005C7CCE">
              <w:rPr>
                <w:sz w:val="16"/>
              </w:rPr>
              <w:t>deux pays ciblés (Bhoutan et Mongolie) se trouvent en phase finale du processus national d</w:t>
            </w:r>
            <w:r w:rsidR="00A20444" w:rsidRPr="005C7CCE">
              <w:rPr>
                <w:sz w:val="16"/>
              </w:rPr>
              <w:t>’</w:t>
            </w:r>
            <w:r w:rsidRPr="005C7CCE">
              <w:rPr>
                <w:sz w:val="16"/>
              </w:rPr>
              <w:t>approbation.</w:t>
            </w:r>
          </w:p>
        </w:tc>
        <w:tc>
          <w:tcPr>
            <w:tcW w:w="1134" w:type="dxa"/>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 xml:space="preserve">Objectif </w:t>
            </w:r>
            <w:r w:rsidRPr="00B470C6">
              <w:rPr>
                <w:color w:val="008000"/>
                <w:spacing w:val="-2"/>
                <w:sz w:val="16"/>
              </w:rPr>
              <w:t>pleinemen</w:t>
            </w:r>
            <w:r w:rsidRPr="00B470C6">
              <w:rPr>
                <w:color w:val="008000"/>
                <w:sz w:val="16"/>
              </w:rPr>
              <w:t>t atteint</w:t>
            </w:r>
          </w:p>
        </w:tc>
      </w:tr>
      <w:tr w:rsidR="0096696E" w:rsidRPr="005C7CCE" w:rsidTr="0033279F">
        <w:trPr>
          <w:cantSplit/>
        </w:trPr>
        <w:tc>
          <w:tcPr>
            <w:tcW w:w="1881" w:type="dxa"/>
            <w:gridSpan w:val="2"/>
            <w:shd w:val="clear" w:color="auto" w:fill="auto"/>
          </w:tcPr>
          <w:p w:rsidR="0096696E" w:rsidRPr="0033279F" w:rsidRDefault="0096696E" w:rsidP="001A5BF9">
            <w:pPr>
              <w:rPr>
                <w:rFonts w:cs="Arial"/>
                <w:sz w:val="16"/>
                <w:szCs w:val="16"/>
                <w:lang w:bidi="th-TH"/>
              </w:rPr>
            </w:pPr>
            <w:r w:rsidRPr="0033279F">
              <w:rPr>
                <w:sz w:val="16"/>
              </w:rPr>
              <w:t>Nombre de pays dans lesquels ont été menés des activités ou des projets qui contribuent à l</w:t>
            </w:r>
            <w:r w:rsidR="00A20444" w:rsidRPr="0033279F">
              <w:rPr>
                <w:sz w:val="16"/>
              </w:rPr>
              <w:t>’</w:t>
            </w:r>
            <w:r w:rsidRPr="0033279F">
              <w:rPr>
                <w:sz w:val="16"/>
              </w:rPr>
              <w:t xml:space="preserve">élaboration de stratégies et politiques en matière de propriété intellectuelle (Amérique latine et Caraïbes) </w:t>
            </w:r>
          </w:p>
        </w:tc>
        <w:tc>
          <w:tcPr>
            <w:tcW w:w="1663" w:type="dxa"/>
            <w:shd w:val="clear" w:color="auto" w:fill="auto"/>
          </w:tcPr>
          <w:p w:rsidR="0096696E" w:rsidRPr="005C7CCE" w:rsidRDefault="0096696E" w:rsidP="00B9205A">
            <w:pPr>
              <w:ind w:leftChars="-6" w:left="2" w:hangingChars="9" w:hanging="14"/>
              <w:rPr>
                <w:rFonts w:cs="Arial"/>
                <w:color w:val="000000"/>
                <w:sz w:val="16"/>
                <w:szCs w:val="16"/>
                <w:lang w:bidi="th-TH"/>
              </w:rPr>
            </w:pPr>
            <w:r w:rsidRPr="0033279F">
              <w:rPr>
                <w:sz w:val="16"/>
              </w:rPr>
              <w:t>Sept pays</w:t>
            </w:r>
          </w:p>
        </w:tc>
        <w:tc>
          <w:tcPr>
            <w:tcW w:w="1701" w:type="dxa"/>
            <w:gridSpan w:val="3"/>
            <w:shd w:val="clear" w:color="auto" w:fill="auto"/>
            <w:tcMar>
              <w:top w:w="110" w:type="dxa"/>
            </w:tcMar>
          </w:tcPr>
          <w:p w:rsidR="00D42474" w:rsidRDefault="0096696E" w:rsidP="001A5BF9">
            <w:pPr>
              <w:autoSpaceDE w:val="0"/>
              <w:autoSpaceDN w:val="0"/>
              <w:adjustRightInd w:val="0"/>
              <w:rPr>
                <w:rFonts w:cs="Arial"/>
                <w:sz w:val="16"/>
                <w:szCs w:val="16"/>
              </w:rPr>
            </w:pPr>
            <w:r w:rsidRPr="0033279F">
              <w:rPr>
                <w:sz w:val="16"/>
              </w:rPr>
              <w:t>Huit pays</w:t>
            </w:r>
          </w:p>
          <w:p w:rsidR="0096696E" w:rsidRPr="0033279F" w:rsidRDefault="0096696E" w:rsidP="001A5BF9">
            <w:pPr>
              <w:rPr>
                <w:rFonts w:cs="Arial"/>
                <w:sz w:val="16"/>
                <w:szCs w:val="16"/>
              </w:rPr>
            </w:pPr>
            <w:r w:rsidRPr="0033279F">
              <w:rPr>
                <w:sz w:val="16"/>
              </w:rPr>
              <w:t>(en 2012</w:t>
            </w:r>
            <w:r w:rsidR="002D6F2A" w:rsidRPr="0033279F">
              <w:rPr>
                <w:sz w:val="16"/>
              </w:rPr>
              <w:noBreakHyphen/>
            </w:r>
            <w:r w:rsidRPr="0033279F">
              <w:rPr>
                <w:sz w:val="16"/>
              </w:rPr>
              <w:t>2013)</w:t>
            </w:r>
          </w:p>
        </w:tc>
        <w:tc>
          <w:tcPr>
            <w:tcW w:w="3119" w:type="dxa"/>
            <w:gridSpan w:val="6"/>
            <w:shd w:val="clear" w:color="auto" w:fill="FFFFFF"/>
            <w:tcMar>
              <w:top w:w="110" w:type="dxa"/>
            </w:tcMar>
          </w:tcPr>
          <w:p w:rsidR="0096696E" w:rsidRPr="005C7CCE" w:rsidRDefault="0096696E" w:rsidP="001A5BF9">
            <w:pPr>
              <w:rPr>
                <w:rFonts w:cs="Arial"/>
                <w:sz w:val="16"/>
                <w:szCs w:val="16"/>
              </w:rPr>
            </w:pPr>
            <w:r w:rsidRPr="005C7CCE">
              <w:rPr>
                <w:sz w:val="16"/>
              </w:rPr>
              <w:t>Dix pays (Costa Rica, Équateur, El Salvador, Guatemala, Honduras, Nicaragua, Panama, République dominicaine, Saint </w:t>
            </w:r>
            <w:proofErr w:type="spellStart"/>
            <w:r w:rsidRPr="005C7CCE">
              <w:rPr>
                <w:sz w:val="16"/>
              </w:rPr>
              <w:t>Kitts</w:t>
            </w:r>
            <w:proofErr w:type="spellEnd"/>
            <w:r w:rsidRPr="005C7CCE">
              <w:rPr>
                <w:sz w:val="16"/>
              </w:rPr>
              <w:t xml:space="preserve"> et Nevis, Trinité</w:t>
            </w:r>
            <w:r w:rsidR="002D6F2A" w:rsidRPr="005C7CCE">
              <w:rPr>
                <w:sz w:val="16"/>
              </w:rPr>
              <w:noBreakHyphen/>
            </w:r>
            <w:r w:rsidRPr="005C7CCE">
              <w:rPr>
                <w:sz w:val="16"/>
              </w:rPr>
              <w:t>et</w:t>
            </w:r>
            <w:r w:rsidR="002D6F2A" w:rsidRPr="005C7CCE">
              <w:rPr>
                <w:sz w:val="16"/>
              </w:rPr>
              <w:noBreakHyphen/>
            </w:r>
            <w:r w:rsidRPr="005C7CCE">
              <w:rPr>
                <w:sz w:val="16"/>
              </w:rPr>
              <w:t>Tobago).</w:t>
            </w:r>
          </w:p>
        </w:tc>
        <w:tc>
          <w:tcPr>
            <w:tcW w:w="1134" w:type="dxa"/>
            <w:shd w:val="clear" w:color="auto" w:fill="auto"/>
            <w:tcMar>
              <w:top w:w="110" w:type="dxa"/>
            </w:tcMar>
          </w:tcPr>
          <w:p w:rsidR="0096696E" w:rsidRPr="005C7CCE" w:rsidRDefault="0096696E" w:rsidP="001A5BF9">
            <w:pPr>
              <w:jc w:val="center"/>
              <w:rPr>
                <w:rFonts w:cs="Arial"/>
                <w:color w:val="008000"/>
                <w:sz w:val="16"/>
                <w:szCs w:val="16"/>
              </w:rPr>
            </w:pPr>
            <w:r w:rsidRPr="00B470C6">
              <w:rPr>
                <w:color w:val="008000"/>
                <w:sz w:val="16"/>
              </w:rPr>
              <w:t xml:space="preserve">Objectif </w:t>
            </w:r>
            <w:r w:rsidRPr="00B470C6">
              <w:rPr>
                <w:color w:val="008000"/>
                <w:spacing w:val="-2"/>
                <w:sz w:val="16"/>
              </w:rPr>
              <w:t>pleinemen</w:t>
            </w:r>
            <w:r w:rsidRPr="00B470C6">
              <w:rPr>
                <w:color w:val="008000"/>
                <w:sz w:val="16"/>
              </w:rPr>
              <w:t>t atteint</w:t>
            </w:r>
          </w:p>
        </w:tc>
      </w:tr>
      <w:tr w:rsidR="0096696E" w:rsidRPr="005C7CCE" w:rsidTr="0033279F">
        <w:trPr>
          <w:cantSplit/>
        </w:trPr>
        <w:tc>
          <w:tcPr>
            <w:tcW w:w="1881" w:type="dxa"/>
            <w:gridSpan w:val="2"/>
            <w:shd w:val="clear" w:color="auto" w:fill="auto"/>
          </w:tcPr>
          <w:p w:rsidR="0096696E" w:rsidRPr="0033279F" w:rsidRDefault="0096696E" w:rsidP="0033279F">
            <w:pPr>
              <w:rPr>
                <w:rFonts w:cs="Arial"/>
                <w:sz w:val="16"/>
                <w:szCs w:val="16"/>
                <w:lang w:bidi="th-TH"/>
              </w:rPr>
            </w:pPr>
            <w:r w:rsidRPr="0033279F">
              <w:rPr>
                <w:sz w:val="16"/>
              </w:rPr>
              <w:t>Nombre de pays dans lesquels ont été menés des activités ou projets qui contribuent à la mise en œuvre de stratégies et politiques en matière de propriété intellectuelle (Amérique latine et Caraïbes)</w:t>
            </w:r>
          </w:p>
        </w:tc>
        <w:tc>
          <w:tcPr>
            <w:tcW w:w="1663" w:type="dxa"/>
            <w:shd w:val="clear" w:color="auto" w:fill="auto"/>
          </w:tcPr>
          <w:p w:rsidR="00D42474" w:rsidRDefault="0096696E" w:rsidP="0033279F">
            <w:pPr>
              <w:rPr>
                <w:rFonts w:cs="Arial"/>
                <w:color w:val="002060"/>
                <w:sz w:val="16"/>
                <w:szCs w:val="16"/>
                <w:lang w:bidi="th-TH"/>
              </w:rPr>
            </w:pPr>
            <w:r w:rsidRPr="005C7CCE">
              <w:rPr>
                <w:i/>
                <w:color w:val="002060"/>
                <w:sz w:val="16"/>
              </w:rPr>
              <w:t xml:space="preserve">Niveau de référence actualisé </w:t>
            </w:r>
            <w:r w:rsidRPr="005C7CCE">
              <w:br/>
            </w:r>
            <w:r w:rsidRPr="005C7CCE">
              <w:rPr>
                <w:i/>
                <w:color w:val="002060"/>
                <w:sz w:val="16"/>
              </w:rPr>
              <w:t>fin 2011 </w:t>
            </w:r>
            <w:proofErr w:type="gramStart"/>
            <w:r w:rsidRPr="005C7CCE">
              <w:rPr>
                <w:i/>
                <w:color w:val="002060"/>
                <w:sz w:val="16"/>
              </w:rPr>
              <w:t>:</w:t>
            </w:r>
            <w:proofErr w:type="gramEnd"/>
            <w:r w:rsidRPr="005C7CCE">
              <w:br/>
            </w:r>
            <w:r w:rsidR="0033279F">
              <w:rPr>
                <w:color w:val="002060"/>
                <w:sz w:val="16"/>
              </w:rPr>
              <w:t>q</w:t>
            </w:r>
            <w:r w:rsidRPr="005C7CCE">
              <w:rPr>
                <w:color w:val="002060"/>
                <w:sz w:val="16"/>
              </w:rPr>
              <w:t>uatre pays</w:t>
            </w:r>
          </w:p>
          <w:p w:rsidR="00D42474" w:rsidRDefault="00D42474" w:rsidP="0033279F">
            <w:pPr>
              <w:rPr>
                <w:rFonts w:cs="Arial"/>
                <w:i/>
                <w:sz w:val="8"/>
                <w:szCs w:val="8"/>
                <w:lang w:bidi="th-TH"/>
              </w:rPr>
            </w:pPr>
          </w:p>
          <w:p w:rsidR="00D42474" w:rsidRDefault="0096696E" w:rsidP="0033279F">
            <w:pPr>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2013 :</w:t>
            </w:r>
          </w:p>
          <w:p w:rsidR="0096696E" w:rsidRPr="005C7CCE" w:rsidRDefault="0033279F" w:rsidP="0033279F">
            <w:pPr>
              <w:ind w:leftChars="-6" w:left="2" w:hangingChars="9" w:hanging="14"/>
              <w:rPr>
                <w:rFonts w:cs="Arial"/>
                <w:sz w:val="16"/>
                <w:szCs w:val="16"/>
                <w:lang w:bidi="th-TH"/>
              </w:rPr>
            </w:pPr>
            <w:r>
              <w:rPr>
                <w:sz w:val="16"/>
              </w:rPr>
              <w:t>s</w:t>
            </w:r>
            <w:r w:rsidR="0096696E" w:rsidRPr="0033279F">
              <w:rPr>
                <w:sz w:val="16"/>
              </w:rPr>
              <w:t>ept pays</w:t>
            </w:r>
          </w:p>
        </w:tc>
        <w:tc>
          <w:tcPr>
            <w:tcW w:w="1706" w:type="dxa"/>
            <w:gridSpan w:val="3"/>
            <w:shd w:val="clear" w:color="auto" w:fill="auto"/>
            <w:tcMar>
              <w:top w:w="110" w:type="dxa"/>
            </w:tcMar>
          </w:tcPr>
          <w:p w:rsidR="0096696E" w:rsidRPr="0033279F" w:rsidRDefault="0096696E" w:rsidP="0033279F">
            <w:pPr>
              <w:rPr>
                <w:rFonts w:cs="Arial"/>
                <w:sz w:val="16"/>
                <w:szCs w:val="16"/>
              </w:rPr>
            </w:pPr>
            <w:r w:rsidRPr="0033279F">
              <w:rPr>
                <w:sz w:val="16"/>
              </w:rPr>
              <w:t xml:space="preserve">16 pays </w:t>
            </w:r>
          </w:p>
        </w:tc>
        <w:tc>
          <w:tcPr>
            <w:tcW w:w="3114" w:type="dxa"/>
            <w:gridSpan w:val="6"/>
            <w:shd w:val="clear" w:color="auto" w:fill="FFFFFF"/>
            <w:tcMar>
              <w:top w:w="110" w:type="dxa"/>
            </w:tcMar>
          </w:tcPr>
          <w:p w:rsidR="0096696E" w:rsidRPr="005C7CCE" w:rsidRDefault="0096696E" w:rsidP="0033279F">
            <w:pPr>
              <w:rPr>
                <w:rFonts w:cs="Arial"/>
                <w:sz w:val="16"/>
                <w:szCs w:val="16"/>
              </w:rPr>
            </w:pPr>
            <w:r w:rsidRPr="005C7CCE">
              <w:rPr>
                <w:sz w:val="16"/>
              </w:rPr>
              <w:t>12 pays (Argentine, Barbade, Colombie, Costa Rica, El Salvador, Honduras, Mexique, Nicaragua, Panama, République dominicaine, Trinité</w:t>
            </w:r>
            <w:r w:rsidR="002D6F2A" w:rsidRPr="005C7CCE">
              <w:rPr>
                <w:sz w:val="16"/>
              </w:rPr>
              <w:noBreakHyphen/>
            </w:r>
            <w:r w:rsidRPr="005C7CCE">
              <w:rPr>
                <w:sz w:val="16"/>
              </w:rPr>
              <w:t>et</w:t>
            </w:r>
            <w:r w:rsidR="002D6F2A" w:rsidRPr="005C7CCE">
              <w:rPr>
                <w:sz w:val="16"/>
              </w:rPr>
              <w:noBreakHyphen/>
            </w:r>
            <w:r w:rsidRPr="005C7CCE">
              <w:rPr>
                <w:sz w:val="16"/>
              </w:rPr>
              <w:t>Tobago et Uruguay).</w:t>
            </w:r>
          </w:p>
        </w:tc>
        <w:tc>
          <w:tcPr>
            <w:tcW w:w="1134" w:type="dxa"/>
            <w:shd w:val="clear" w:color="auto" w:fill="auto"/>
            <w:tcMar>
              <w:top w:w="110" w:type="dxa"/>
            </w:tcMar>
          </w:tcPr>
          <w:p w:rsidR="0096696E" w:rsidRPr="005C7CCE" w:rsidRDefault="0015421B" w:rsidP="0033279F">
            <w:pPr>
              <w:jc w:val="center"/>
              <w:rPr>
                <w:rFonts w:cs="Arial"/>
                <w:color w:val="008000"/>
                <w:sz w:val="16"/>
                <w:szCs w:val="16"/>
              </w:rPr>
            </w:pPr>
            <w:r w:rsidRPr="0015421B">
              <w:rPr>
                <w:color w:val="E36C0A"/>
                <w:sz w:val="16"/>
              </w:rPr>
              <w:t>Objectif partiellement atteint</w:t>
            </w:r>
          </w:p>
        </w:tc>
      </w:tr>
      <w:tr w:rsidR="0096696E" w:rsidRPr="005C7CCE" w:rsidTr="0033279F">
        <w:trPr>
          <w:cantSplit/>
        </w:trPr>
        <w:tc>
          <w:tcPr>
            <w:tcW w:w="1881" w:type="dxa"/>
            <w:gridSpan w:val="2"/>
            <w:tcBorders>
              <w:bottom w:val="single" w:sz="4" w:space="0" w:color="auto"/>
            </w:tcBorders>
            <w:shd w:val="clear" w:color="auto" w:fill="auto"/>
          </w:tcPr>
          <w:p w:rsidR="0096696E" w:rsidRPr="0033279F" w:rsidRDefault="0096696E" w:rsidP="001A5BF9">
            <w:pPr>
              <w:rPr>
                <w:rFonts w:cs="Arial"/>
                <w:sz w:val="16"/>
                <w:szCs w:val="16"/>
                <w:lang w:bidi="th-TH"/>
              </w:rPr>
            </w:pPr>
            <w:r w:rsidRPr="0033279F">
              <w:rPr>
                <w:sz w:val="16"/>
              </w:rPr>
              <w:t>Nombre de PMA ayant introduit des considérations de propriété intellectuelle propres</w:t>
            </w:r>
            <w:r w:rsidR="00A20444" w:rsidRPr="0033279F">
              <w:rPr>
                <w:sz w:val="16"/>
              </w:rPr>
              <w:t xml:space="preserve"> aux PMA</w:t>
            </w:r>
            <w:r w:rsidRPr="0033279F">
              <w:rPr>
                <w:sz w:val="16"/>
              </w:rPr>
              <w:t xml:space="preserve"> dans leurs stratégies ou politiques nationales en matière de propriété intellectuelle (PMA)</w:t>
            </w:r>
          </w:p>
        </w:tc>
        <w:tc>
          <w:tcPr>
            <w:tcW w:w="1663" w:type="dxa"/>
            <w:tcBorders>
              <w:bottom w:val="single" w:sz="4" w:space="0" w:color="auto"/>
            </w:tcBorders>
            <w:shd w:val="clear" w:color="auto" w:fill="auto"/>
          </w:tcPr>
          <w:p w:rsidR="0096696E" w:rsidRPr="005C7CCE" w:rsidRDefault="0096696E" w:rsidP="00B9205A">
            <w:pPr>
              <w:ind w:leftChars="-6" w:left="2" w:hangingChars="9" w:hanging="14"/>
              <w:rPr>
                <w:rFonts w:cs="Arial"/>
                <w:sz w:val="16"/>
                <w:szCs w:val="16"/>
                <w:lang w:bidi="th-TH"/>
              </w:rPr>
            </w:pPr>
            <w:r w:rsidRPr="0033279F">
              <w:rPr>
                <w:sz w:val="16"/>
              </w:rPr>
              <w:t>Quatre PMA</w:t>
            </w:r>
          </w:p>
        </w:tc>
        <w:tc>
          <w:tcPr>
            <w:tcW w:w="1706" w:type="dxa"/>
            <w:gridSpan w:val="3"/>
            <w:tcBorders>
              <w:bottom w:val="single" w:sz="4" w:space="0" w:color="auto"/>
            </w:tcBorders>
            <w:shd w:val="clear" w:color="auto" w:fill="auto"/>
            <w:tcMar>
              <w:top w:w="110" w:type="dxa"/>
            </w:tcMar>
          </w:tcPr>
          <w:p w:rsidR="00D42474" w:rsidRDefault="0096696E" w:rsidP="00B9205A">
            <w:pPr>
              <w:ind w:leftChars="-6" w:left="2" w:hangingChars="9" w:hanging="14"/>
              <w:rPr>
                <w:rFonts w:cs="Arial"/>
                <w:sz w:val="16"/>
                <w:szCs w:val="16"/>
                <w:lang w:bidi="th-TH"/>
              </w:rPr>
            </w:pPr>
            <w:r w:rsidRPr="0033279F">
              <w:rPr>
                <w:sz w:val="16"/>
              </w:rPr>
              <w:t>Au moins huit PMA</w:t>
            </w:r>
          </w:p>
          <w:p w:rsidR="0096696E" w:rsidRPr="0033279F" w:rsidRDefault="0096696E" w:rsidP="004B047D">
            <w:pPr>
              <w:rPr>
                <w:rFonts w:cs="Arial"/>
                <w:sz w:val="16"/>
                <w:szCs w:val="16"/>
              </w:rPr>
            </w:pPr>
            <w:r w:rsidRPr="0033279F">
              <w:rPr>
                <w:sz w:val="16"/>
              </w:rPr>
              <w:t>(cumul)</w:t>
            </w:r>
          </w:p>
        </w:tc>
        <w:tc>
          <w:tcPr>
            <w:tcW w:w="3114" w:type="dxa"/>
            <w:gridSpan w:val="6"/>
            <w:tcBorders>
              <w:bottom w:val="single" w:sz="4" w:space="0" w:color="auto"/>
            </w:tcBorders>
            <w:shd w:val="clear" w:color="auto" w:fill="FFFFFF"/>
            <w:tcMar>
              <w:top w:w="110" w:type="dxa"/>
            </w:tcMar>
          </w:tcPr>
          <w:p w:rsidR="00D42474" w:rsidRDefault="0096696E" w:rsidP="001A5BF9">
            <w:pPr>
              <w:rPr>
                <w:rFonts w:cs="Arial"/>
                <w:sz w:val="16"/>
                <w:szCs w:val="16"/>
                <w:lang w:bidi="th-TH"/>
              </w:rPr>
            </w:pPr>
            <w:r w:rsidRPr="005C7CCE">
              <w:rPr>
                <w:sz w:val="16"/>
              </w:rPr>
              <w:t>Deux PMA supplémentaires (Bangladesh et Éthiopie) ont adopté des projets de politiques et/ou de stratégies de propriété intellectuelle qui comprennent des considérations spécifiques aux PMA, portant le cumul à six PMA.</w:t>
            </w:r>
          </w:p>
          <w:p w:rsidR="00D42474" w:rsidRDefault="00D42474" w:rsidP="001A5BF9">
            <w:pPr>
              <w:rPr>
                <w:rFonts w:cs="Arial"/>
                <w:sz w:val="8"/>
                <w:szCs w:val="8"/>
                <w:lang w:bidi="th-TH"/>
              </w:rPr>
            </w:pPr>
          </w:p>
          <w:p w:rsidR="00D42474" w:rsidRDefault="0096696E" w:rsidP="001A5BF9">
            <w:pPr>
              <w:rPr>
                <w:rFonts w:cs="Arial"/>
                <w:sz w:val="16"/>
                <w:szCs w:val="16"/>
                <w:lang w:bidi="th-TH"/>
              </w:rPr>
            </w:pPr>
            <w:r w:rsidRPr="005C7CCE">
              <w:rPr>
                <w:sz w:val="16"/>
              </w:rPr>
              <w:t>Deux PMA (Madagascar et Népal) se trouvent en phase finale d</w:t>
            </w:r>
            <w:r w:rsidR="00A20444" w:rsidRPr="005C7CCE">
              <w:rPr>
                <w:sz w:val="16"/>
              </w:rPr>
              <w:t>’</w:t>
            </w:r>
            <w:r w:rsidRPr="005C7CCE">
              <w:rPr>
                <w:sz w:val="16"/>
              </w:rPr>
              <w:t>achèvement de leurs projets de politiques nationales de propriété intellectuelle comprenant des considérations spécifiques aux PMA.</w:t>
            </w:r>
          </w:p>
          <w:p w:rsidR="00D42474" w:rsidRDefault="00D42474" w:rsidP="001A5BF9">
            <w:pPr>
              <w:rPr>
                <w:rFonts w:cs="Arial"/>
                <w:sz w:val="8"/>
                <w:szCs w:val="8"/>
                <w:lang w:bidi="th-TH"/>
              </w:rPr>
            </w:pPr>
          </w:p>
          <w:p w:rsidR="00D42474" w:rsidRDefault="0096696E" w:rsidP="001A5BF9">
            <w:pPr>
              <w:rPr>
                <w:rFonts w:cs="Arial"/>
                <w:sz w:val="16"/>
                <w:szCs w:val="16"/>
                <w:lang w:bidi="th-TH"/>
              </w:rPr>
            </w:pPr>
            <w:r w:rsidRPr="005C7CCE">
              <w:rPr>
                <w:sz w:val="16"/>
              </w:rPr>
              <w:t>En outre, l</w:t>
            </w:r>
            <w:r w:rsidR="00A20444" w:rsidRPr="005C7CCE">
              <w:rPr>
                <w:sz w:val="16"/>
              </w:rPr>
              <w:t>’</w:t>
            </w:r>
            <w:r w:rsidRPr="005C7CCE">
              <w:rPr>
                <w:sz w:val="16"/>
              </w:rPr>
              <w:t>OMPI a continué de travailler avec le Mozambique, le Rwanda, le Sénégal et la Zambie pour faciliter la mise en œuvre des recommandations de politiques de propriété intellectuelle pertinentes au niveau national.</w:t>
            </w:r>
          </w:p>
          <w:p w:rsidR="00D42474" w:rsidRDefault="00D42474" w:rsidP="001A5BF9">
            <w:pPr>
              <w:rPr>
                <w:rFonts w:cs="Arial"/>
                <w:sz w:val="8"/>
                <w:szCs w:val="8"/>
                <w:lang w:bidi="th-TH"/>
              </w:rPr>
            </w:pPr>
          </w:p>
          <w:p w:rsidR="0096696E" w:rsidRPr="005C7CCE" w:rsidRDefault="0096696E" w:rsidP="001A5BF9">
            <w:pPr>
              <w:rPr>
                <w:rFonts w:cs="Arial"/>
                <w:sz w:val="16"/>
                <w:szCs w:val="16"/>
                <w:lang w:bidi="th-TH"/>
              </w:rPr>
            </w:pPr>
            <w:r w:rsidRPr="005C7CCE">
              <w:rPr>
                <w:sz w:val="16"/>
              </w:rPr>
              <w:t>Djibouti a reporté le processus.</w:t>
            </w:r>
          </w:p>
        </w:tc>
        <w:tc>
          <w:tcPr>
            <w:tcW w:w="1134" w:type="dxa"/>
            <w:tcBorders>
              <w:bottom w:val="single" w:sz="4" w:space="0" w:color="auto"/>
            </w:tcBorders>
            <w:shd w:val="clear" w:color="auto" w:fill="auto"/>
            <w:tcMar>
              <w:top w:w="110" w:type="dxa"/>
            </w:tcMar>
          </w:tcPr>
          <w:p w:rsidR="0096696E" w:rsidRPr="005C7CCE" w:rsidRDefault="0096696E" w:rsidP="001A5BF9">
            <w:pPr>
              <w:jc w:val="center"/>
              <w:rPr>
                <w:rFonts w:cs="Arial"/>
                <w:color w:val="008000"/>
                <w:sz w:val="16"/>
                <w:szCs w:val="16"/>
              </w:rPr>
            </w:pPr>
            <w:r w:rsidRPr="00B470C6">
              <w:rPr>
                <w:color w:val="008000"/>
                <w:sz w:val="16"/>
              </w:rPr>
              <w:t xml:space="preserve">Objectif </w:t>
            </w:r>
            <w:r w:rsidRPr="00B470C6">
              <w:rPr>
                <w:color w:val="008000"/>
                <w:spacing w:val="-2"/>
                <w:sz w:val="16"/>
              </w:rPr>
              <w:t>pleinement</w:t>
            </w:r>
            <w:r w:rsidRPr="00B470C6">
              <w:rPr>
                <w:color w:val="008000"/>
                <w:sz w:val="16"/>
              </w:rPr>
              <w:t xml:space="preserve"> atteint</w:t>
            </w:r>
          </w:p>
        </w:tc>
      </w:tr>
      <w:tr w:rsidR="0096696E" w:rsidRPr="005C7CCE" w:rsidTr="0033279F">
        <w:trPr>
          <w:cantSplit/>
        </w:trPr>
        <w:tc>
          <w:tcPr>
            <w:tcW w:w="9498" w:type="dxa"/>
            <w:gridSpan w:val="13"/>
            <w:tcBorders>
              <w:top w:val="single" w:sz="4" w:space="0" w:color="auto"/>
              <w:bottom w:val="single" w:sz="4" w:space="0" w:color="auto"/>
            </w:tcBorders>
            <w:shd w:val="clear" w:color="auto" w:fill="CCFFFF"/>
            <w:vAlign w:val="center"/>
          </w:tcPr>
          <w:p w:rsidR="0096696E" w:rsidRPr="0033279F" w:rsidRDefault="0096696E" w:rsidP="0033279F">
            <w:pPr>
              <w:keepNext/>
              <w:keepLines/>
              <w:spacing w:before="120" w:after="120"/>
              <w:ind w:left="1735" w:hanging="1735"/>
              <w:rPr>
                <w:rFonts w:cs="Arial"/>
                <w:b/>
                <w:bCs/>
                <w:sz w:val="16"/>
                <w:szCs w:val="16"/>
              </w:rPr>
            </w:pPr>
            <w:r w:rsidRPr="0033279F">
              <w:rPr>
                <w:b/>
                <w:sz w:val="16"/>
              </w:rPr>
              <w:t>Résultat escompté</w:t>
            </w:r>
            <w:r w:rsidR="0010442A" w:rsidRPr="0033279F">
              <w:rPr>
                <w:b/>
                <w:sz w:val="16"/>
              </w:rPr>
              <w:t xml:space="preserve"> : </w:t>
            </w:r>
            <w:r w:rsidRPr="0033279F">
              <w:rPr>
                <w:b/>
                <w:sz w:val="16"/>
              </w:rPr>
              <w:tab/>
            </w:r>
            <w:r w:rsidRPr="0033279F">
              <w:rPr>
                <w:sz w:val="16"/>
              </w:rPr>
              <w:t>Renforcement des capacités en matière de ressources humaines pour pouvoir répondre aux nombreuses exigences en ce qui concerne l</w:t>
            </w:r>
            <w:r w:rsidR="00A20444" w:rsidRPr="0033279F">
              <w:rPr>
                <w:sz w:val="16"/>
              </w:rPr>
              <w:t>’</w:t>
            </w:r>
            <w:r w:rsidRPr="0033279F">
              <w:rPr>
                <w:sz w:val="16"/>
              </w:rPr>
              <w:t>utilisation efficace de la propriété intellectuelle au service du développement dans les pays en développement,</w:t>
            </w:r>
            <w:r w:rsidR="00A20444" w:rsidRPr="0033279F">
              <w:rPr>
                <w:sz w:val="16"/>
              </w:rPr>
              <w:t xml:space="preserve"> les PMA</w:t>
            </w:r>
            <w:r w:rsidRPr="0033279F">
              <w:rPr>
                <w:sz w:val="16"/>
              </w:rPr>
              <w:t xml:space="preserve"> et les pays en transition</w:t>
            </w:r>
          </w:p>
        </w:tc>
      </w:tr>
      <w:tr w:rsidR="0033279F" w:rsidRPr="0033279F" w:rsidTr="0033279F">
        <w:trPr>
          <w:cantSplit/>
        </w:trPr>
        <w:tc>
          <w:tcPr>
            <w:tcW w:w="1881" w:type="dxa"/>
            <w:gridSpan w:val="2"/>
            <w:tcBorders>
              <w:top w:val="single" w:sz="4" w:space="0" w:color="auto"/>
            </w:tcBorders>
            <w:shd w:val="clear" w:color="auto" w:fill="auto"/>
            <w:vAlign w:val="center"/>
          </w:tcPr>
          <w:p w:rsidR="0096696E" w:rsidRPr="0033279F" w:rsidRDefault="0096696E" w:rsidP="001A5BF9">
            <w:pPr>
              <w:spacing w:after="40"/>
              <w:rPr>
                <w:rFonts w:cs="Arial"/>
                <w:b/>
                <w:sz w:val="16"/>
                <w:szCs w:val="16"/>
              </w:rPr>
            </w:pPr>
            <w:r w:rsidRPr="0033279F">
              <w:rPr>
                <w:b/>
                <w:sz w:val="16"/>
              </w:rPr>
              <w:t>Indicateurs d</w:t>
            </w:r>
            <w:r w:rsidR="00A20444" w:rsidRPr="0033279F">
              <w:rPr>
                <w:b/>
                <w:sz w:val="16"/>
              </w:rPr>
              <w:t>’</w:t>
            </w:r>
            <w:r w:rsidRPr="0033279F">
              <w:rPr>
                <w:b/>
                <w:sz w:val="16"/>
              </w:rPr>
              <w:t>exécution</w:t>
            </w:r>
          </w:p>
        </w:tc>
        <w:tc>
          <w:tcPr>
            <w:tcW w:w="1995" w:type="dxa"/>
            <w:gridSpan w:val="2"/>
            <w:tcBorders>
              <w:top w:val="single" w:sz="4" w:space="0" w:color="auto"/>
            </w:tcBorders>
            <w:shd w:val="clear" w:color="auto" w:fill="auto"/>
            <w:vAlign w:val="center"/>
          </w:tcPr>
          <w:p w:rsidR="0096696E" w:rsidRPr="0033279F" w:rsidRDefault="0096696E" w:rsidP="001A5BF9">
            <w:pPr>
              <w:spacing w:after="40"/>
              <w:rPr>
                <w:rFonts w:cs="Arial"/>
                <w:b/>
                <w:bCs/>
                <w:sz w:val="16"/>
                <w:szCs w:val="16"/>
              </w:rPr>
            </w:pPr>
            <w:r w:rsidRPr="0033279F">
              <w:rPr>
                <w:b/>
                <w:sz w:val="16"/>
              </w:rPr>
              <w:t>Niveaux de référence</w:t>
            </w:r>
          </w:p>
        </w:tc>
        <w:tc>
          <w:tcPr>
            <w:tcW w:w="1227" w:type="dxa"/>
            <w:tcBorders>
              <w:top w:val="single" w:sz="4" w:space="0" w:color="auto"/>
            </w:tcBorders>
            <w:shd w:val="clear" w:color="auto" w:fill="auto"/>
            <w:tcMar>
              <w:top w:w="110" w:type="dxa"/>
            </w:tcMar>
            <w:vAlign w:val="center"/>
          </w:tcPr>
          <w:p w:rsidR="0096696E" w:rsidRPr="0033279F" w:rsidRDefault="0096696E" w:rsidP="001A5BF9">
            <w:pPr>
              <w:spacing w:after="40"/>
              <w:rPr>
                <w:rFonts w:cs="Arial"/>
                <w:b/>
                <w:sz w:val="16"/>
                <w:szCs w:val="16"/>
              </w:rPr>
            </w:pPr>
            <w:r w:rsidRPr="0033279F">
              <w:rPr>
                <w:b/>
                <w:sz w:val="16"/>
              </w:rPr>
              <w:t>Objectifs visés</w:t>
            </w:r>
          </w:p>
        </w:tc>
        <w:tc>
          <w:tcPr>
            <w:tcW w:w="3261" w:type="dxa"/>
            <w:gridSpan w:val="7"/>
            <w:tcBorders>
              <w:top w:val="single" w:sz="4" w:space="0" w:color="auto"/>
            </w:tcBorders>
            <w:shd w:val="clear" w:color="auto" w:fill="FFFFFF"/>
            <w:tcMar>
              <w:top w:w="110" w:type="dxa"/>
            </w:tcMar>
            <w:vAlign w:val="center"/>
          </w:tcPr>
          <w:p w:rsidR="0096696E" w:rsidRPr="0033279F" w:rsidRDefault="0096696E" w:rsidP="001A5BF9">
            <w:pPr>
              <w:spacing w:after="40"/>
              <w:rPr>
                <w:rFonts w:cs="Arial"/>
                <w:b/>
                <w:sz w:val="16"/>
                <w:szCs w:val="16"/>
              </w:rPr>
            </w:pPr>
            <w:r w:rsidRPr="0033279F">
              <w:rPr>
                <w:b/>
                <w:sz w:val="16"/>
              </w:rPr>
              <w:t>Données relatives à l</w:t>
            </w:r>
            <w:r w:rsidR="00A20444" w:rsidRPr="0033279F">
              <w:rPr>
                <w:b/>
                <w:sz w:val="16"/>
              </w:rPr>
              <w:t>’</w:t>
            </w:r>
            <w:r w:rsidRPr="0033279F">
              <w:rPr>
                <w:b/>
                <w:sz w:val="16"/>
              </w:rPr>
              <w:t>exécution</w:t>
            </w:r>
          </w:p>
        </w:tc>
        <w:tc>
          <w:tcPr>
            <w:tcW w:w="1134" w:type="dxa"/>
            <w:tcBorders>
              <w:top w:val="single" w:sz="4" w:space="0" w:color="auto"/>
            </w:tcBorders>
            <w:shd w:val="clear" w:color="auto" w:fill="auto"/>
            <w:tcMar>
              <w:top w:w="110" w:type="dxa"/>
            </w:tcMar>
            <w:vAlign w:val="center"/>
          </w:tcPr>
          <w:p w:rsidR="0096696E" w:rsidRPr="0033279F" w:rsidRDefault="0096696E" w:rsidP="001A5BF9">
            <w:pPr>
              <w:keepNext/>
              <w:keepLines/>
              <w:spacing w:after="40"/>
              <w:jc w:val="center"/>
              <w:rPr>
                <w:rFonts w:cs="Arial"/>
                <w:b/>
                <w:bCs/>
                <w:sz w:val="16"/>
                <w:szCs w:val="16"/>
              </w:rPr>
            </w:pPr>
            <w:r w:rsidRPr="0033279F">
              <w:rPr>
                <w:b/>
                <w:sz w:val="16"/>
              </w:rPr>
              <w:t>Code de couleurs</w:t>
            </w:r>
          </w:p>
        </w:tc>
      </w:tr>
      <w:tr w:rsidR="0096696E" w:rsidRPr="005C7CCE" w:rsidTr="0033279F">
        <w:trPr>
          <w:cantSplit/>
        </w:trPr>
        <w:tc>
          <w:tcPr>
            <w:tcW w:w="1881" w:type="dxa"/>
            <w:gridSpan w:val="2"/>
            <w:shd w:val="clear" w:color="auto" w:fill="FFFFFF"/>
          </w:tcPr>
          <w:p w:rsidR="00D42474" w:rsidRDefault="0096696E" w:rsidP="001A5BF9">
            <w:pPr>
              <w:rPr>
                <w:rFonts w:cs="Arial"/>
                <w:spacing w:val="-4"/>
                <w:sz w:val="16"/>
                <w:szCs w:val="16"/>
                <w:lang w:bidi="th-TH"/>
              </w:rPr>
            </w:pPr>
            <w:r w:rsidRPr="0033279F">
              <w:rPr>
                <w:spacing w:val="-4"/>
                <w:sz w:val="16"/>
              </w:rPr>
              <w:t>Pourcentage de décideurs, de fonctionnaires gouvernementaux, de spécialistes de la propriété intellectuelle et d</w:t>
            </w:r>
            <w:r w:rsidR="00A20444" w:rsidRPr="0033279F">
              <w:rPr>
                <w:spacing w:val="-4"/>
                <w:sz w:val="16"/>
              </w:rPr>
              <w:t>’</w:t>
            </w:r>
            <w:r w:rsidRPr="0033279F">
              <w:rPr>
                <w:spacing w:val="-4"/>
                <w:sz w:val="16"/>
              </w:rPr>
              <w:t>examinateurs, d</w:t>
            </w:r>
            <w:r w:rsidR="00A20444" w:rsidRPr="0033279F">
              <w:rPr>
                <w:spacing w:val="-4"/>
                <w:sz w:val="16"/>
              </w:rPr>
              <w:t>’</w:t>
            </w:r>
            <w:r w:rsidRPr="0033279F">
              <w:rPr>
                <w:spacing w:val="-4"/>
                <w:sz w:val="16"/>
              </w:rPr>
              <w:t>agents chargés de l</w:t>
            </w:r>
            <w:r w:rsidR="00A20444" w:rsidRPr="0033279F">
              <w:rPr>
                <w:spacing w:val="-4"/>
                <w:sz w:val="16"/>
              </w:rPr>
              <w:t>’</w:t>
            </w:r>
            <w:r w:rsidRPr="0033279F">
              <w:rPr>
                <w:spacing w:val="-4"/>
                <w:sz w:val="16"/>
              </w:rPr>
              <w:t>application des droits et d</w:t>
            </w:r>
            <w:r w:rsidR="00A20444" w:rsidRPr="0033279F">
              <w:rPr>
                <w:spacing w:val="-4"/>
                <w:sz w:val="16"/>
              </w:rPr>
              <w:t>’</w:t>
            </w:r>
            <w:r w:rsidRPr="0033279F">
              <w:rPr>
                <w:spacing w:val="-4"/>
                <w:sz w:val="16"/>
              </w:rPr>
              <w:t>utilisateurs de la propriété intellectuelle ayant une connaissance renforcée des questions de propriété intellectuelle et de la manière d</w:t>
            </w:r>
            <w:r w:rsidR="00A20444" w:rsidRPr="0033279F">
              <w:rPr>
                <w:spacing w:val="-4"/>
                <w:sz w:val="16"/>
              </w:rPr>
              <w:t>’</w:t>
            </w:r>
            <w:r w:rsidRPr="0033279F">
              <w:rPr>
                <w:spacing w:val="-4"/>
                <w:sz w:val="16"/>
              </w:rPr>
              <w:t>utiliser la propriété intellectuelle au service du développement (Afrique)</w:t>
            </w:r>
          </w:p>
          <w:p w:rsidR="0096696E" w:rsidRPr="0033279F" w:rsidRDefault="0096696E" w:rsidP="001A5BF9">
            <w:pPr>
              <w:rPr>
                <w:rFonts w:cs="Arial"/>
                <w:sz w:val="16"/>
                <w:szCs w:val="16"/>
                <w:lang w:bidi="th-TH"/>
              </w:rPr>
            </w:pPr>
          </w:p>
        </w:tc>
        <w:tc>
          <w:tcPr>
            <w:tcW w:w="1995" w:type="dxa"/>
            <w:gridSpan w:val="2"/>
            <w:shd w:val="clear" w:color="auto" w:fill="auto"/>
          </w:tcPr>
          <w:p w:rsidR="0096696E" w:rsidRPr="005C7CCE" w:rsidRDefault="0096696E" w:rsidP="001A5BF9">
            <w:pPr>
              <w:rPr>
                <w:rFonts w:cs="Arial"/>
                <w:sz w:val="16"/>
                <w:szCs w:val="16"/>
                <w:lang w:bidi="th-TH"/>
              </w:rPr>
            </w:pPr>
            <w:r w:rsidRPr="0033279F">
              <w:rPr>
                <w:sz w:val="16"/>
              </w:rPr>
              <w:t>Données non disponibles</w:t>
            </w:r>
          </w:p>
        </w:tc>
        <w:tc>
          <w:tcPr>
            <w:tcW w:w="1227" w:type="dxa"/>
            <w:shd w:val="clear" w:color="auto" w:fill="auto"/>
            <w:tcMar>
              <w:top w:w="110" w:type="dxa"/>
            </w:tcMar>
          </w:tcPr>
          <w:p w:rsidR="0096696E" w:rsidRPr="005C7CCE" w:rsidRDefault="0096696E" w:rsidP="001A5BF9">
            <w:pPr>
              <w:rPr>
                <w:rFonts w:cs="Arial"/>
                <w:sz w:val="16"/>
                <w:szCs w:val="16"/>
                <w:lang w:bidi="th-TH"/>
              </w:rPr>
            </w:pPr>
            <w:r w:rsidRPr="005C7CCE">
              <w:rPr>
                <w:sz w:val="16"/>
              </w:rPr>
              <w:t>60</w:t>
            </w:r>
            <w:r w:rsidR="007E442D" w:rsidRPr="005C7CCE">
              <w:rPr>
                <w:sz w:val="16"/>
              </w:rPr>
              <w:t>%</w:t>
            </w:r>
          </w:p>
        </w:tc>
        <w:tc>
          <w:tcPr>
            <w:tcW w:w="3261" w:type="dxa"/>
            <w:gridSpan w:val="7"/>
            <w:shd w:val="clear" w:color="auto" w:fill="FFFFFF"/>
            <w:tcMar>
              <w:top w:w="110" w:type="dxa"/>
            </w:tcMar>
          </w:tcPr>
          <w:p w:rsidR="0096696E" w:rsidRPr="005C7CCE" w:rsidRDefault="0096696E" w:rsidP="001A5BF9">
            <w:pPr>
              <w:rPr>
                <w:rFonts w:cs="Arial"/>
                <w:sz w:val="16"/>
                <w:szCs w:val="16"/>
                <w:lang w:bidi="th-TH"/>
              </w:rPr>
            </w:pPr>
            <w:r w:rsidRPr="005C7CCE">
              <w:rPr>
                <w:sz w:val="16"/>
              </w:rPr>
              <w:t>70</w:t>
            </w:r>
            <w:r w:rsidR="007E442D" w:rsidRPr="005C7CCE">
              <w:rPr>
                <w:sz w:val="16"/>
              </w:rPr>
              <w:t>%</w:t>
            </w:r>
            <w:r w:rsidRPr="005C7CCE">
              <w:rPr>
                <w:sz w:val="16"/>
              </w:rPr>
              <w:t xml:space="preserve"> (920 sur </w:t>
            </w:r>
            <w:r w:rsidR="0010442A" w:rsidRPr="005C7CCE">
              <w:rPr>
                <w:sz w:val="16"/>
              </w:rPr>
              <w:t>1314</w:t>
            </w:r>
            <w:r w:rsidRPr="005C7CCE">
              <w:rPr>
                <w:sz w:val="16"/>
              </w:rPr>
              <w:t>) des professionnels de propriété intellectuelle, directeurs d</w:t>
            </w:r>
            <w:r w:rsidR="00A20444" w:rsidRPr="005C7CCE">
              <w:rPr>
                <w:sz w:val="16"/>
              </w:rPr>
              <w:t>’</w:t>
            </w:r>
            <w:r w:rsidRPr="005C7CCE">
              <w:rPr>
                <w:sz w:val="16"/>
              </w:rPr>
              <w:t>offices de propriété intellectuelle et de droit d</w:t>
            </w:r>
            <w:r w:rsidR="00A20444" w:rsidRPr="005C7CCE">
              <w:rPr>
                <w:sz w:val="16"/>
              </w:rPr>
              <w:t>’</w:t>
            </w:r>
            <w:r w:rsidRPr="005C7CCE">
              <w:rPr>
                <w:sz w:val="16"/>
              </w:rPr>
              <w:t>auteur, examinateurs, juristes, rédacteurs juridiques, fonctionnaires des gouvernements, créateurs artistiques, inventeurs, chercheurs, membres du corps judiciaire et responsables de l</w:t>
            </w:r>
            <w:r w:rsidR="00A20444" w:rsidRPr="005C7CCE">
              <w:rPr>
                <w:sz w:val="16"/>
              </w:rPr>
              <w:t>’</w:t>
            </w:r>
            <w:r w:rsidRPr="005C7CCE">
              <w:rPr>
                <w:sz w:val="16"/>
              </w:rPr>
              <w:t>application des lois, PME, professionnels du secteur agricole/agroalimentaire et du secteur privé, et membres de l</w:t>
            </w:r>
            <w:r w:rsidR="00A20444" w:rsidRPr="005C7CCE">
              <w:rPr>
                <w:sz w:val="16"/>
              </w:rPr>
              <w:t>’</w:t>
            </w:r>
            <w:r w:rsidRPr="005C7CCE">
              <w:rPr>
                <w:sz w:val="16"/>
              </w:rPr>
              <w:t xml:space="preserve">Académie ont bénéficié de formations de la part des pays suivants : Afrique du Sud, Angola, Bénin, Burkina Faso, Botswana, Burundi, Cameroun, </w:t>
            </w:r>
            <w:proofErr w:type="spellStart"/>
            <w:r w:rsidRPr="005C7CCE">
              <w:rPr>
                <w:sz w:val="16"/>
              </w:rPr>
              <w:t>Ca</w:t>
            </w:r>
            <w:r w:rsidR="00232949">
              <w:rPr>
                <w:sz w:val="16"/>
              </w:rPr>
              <w:t>bo</w:t>
            </w:r>
            <w:proofErr w:type="spellEnd"/>
            <w:r w:rsidRPr="005C7CCE">
              <w:rPr>
                <w:sz w:val="16"/>
              </w:rPr>
              <w:t xml:space="preserve"> </w:t>
            </w:r>
            <w:proofErr w:type="spellStart"/>
            <w:r w:rsidRPr="005C7CCE">
              <w:rPr>
                <w:sz w:val="16"/>
              </w:rPr>
              <w:t>Ver</w:t>
            </w:r>
            <w:r w:rsidR="00232949">
              <w:rPr>
                <w:sz w:val="16"/>
              </w:rPr>
              <w:t>de</w:t>
            </w:r>
            <w:proofErr w:type="spellEnd"/>
            <w:r w:rsidRPr="005C7CCE">
              <w:rPr>
                <w:sz w:val="16"/>
              </w:rPr>
              <w:t>, Comores, Congo, Côte d</w:t>
            </w:r>
            <w:r w:rsidR="00A20444" w:rsidRPr="005C7CCE">
              <w:rPr>
                <w:sz w:val="16"/>
              </w:rPr>
              <w:t>’</w:t>
            </w:r>
            <w:r w:rsidRPr="005C7CCE">
              <w:rPr>
                <w:sz w:val="16"/>
              </w:rPr>
              <w:t>Ivoire, Érythrée, Éthiopie, Gabon, Gambie, Ghana, Guinée, Guinée Bissau, Guinée équatoriale, Kenya, Lesotho, Liberia, Madagascar, Malawi, Mali, Maurice, Mauritanie, Mozambique, Namibie, Niger, Nigeria, Ouganda, République centrafricaine, République démocratique du Congo, République</w:t>
            </w:r>
            <w:r w:rsidR="002D6F2A" w:rsidRPr="005C7CCE">
              <w:rPr>
                <w:sz w:val="16"/>
              </w:rPr>
              <w:noBreakHyphen/>
            </w:r>
            <w:r w:rsidRPr="005C7CCE">
              <w:rPr>
                <w:sz w:val="16"/>
              </w:rPr>
              <w:t>Unie de Tanzanie, Rwanda, Sao Tomé</w:t>
            </w:r>
            <w:r w:rsidR="002D6F2A" w:rsidRPr="005C7CCE">
              <w:rPr>
                <w:sz w:val="16"/>
              </w:rPr>
              <w:noBreakHyphen/>
            </w:r>
            <w:r w:rsidRPr="005C7CCE">
              <w:rPr>
                <w:sz w:val="16"/>
              </w:rPr>
              <w:t>et</w:t>
            </w:r>
            <w:r w:rsidR="002D6F2A" w:rsidRPr="005C7CCE">
              <w:rPr>
                <w:sz w:val="16"/>
              </w:rPr>
              <w:noBreakHyphen/>
            </w:r>
            <w:r w:rsidRPr="005C7CCE">
              <w:rPr>
                <w:sz w:val="16"/>
              </w:rPr>
              <w:t>Principe, Sénégal, Seychelles, Sierra Leone, Swaziland, Tchad, Togo, Zambie, Zimbabwe.</w:t>
            </w:r>
          </w:p>
        </w:tc>
        <w:tc>
          <w:tcPr>
            <w:tcW w:w="1134" w:type="dxa"/>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 xml:space="preserve">Objectif </w:t>
            </w:r>
            <w:r w:rsidRPr="00B470C6">
              <w:rPr>
                <w:color w:val="008000"/>
                <w:spacing w:val="-2"/>
                <w:sz w:val="16"/>
              </w:rPr>
              <w:t>pleinemen</w:t>
            </w:r>
            <w:r w:rsidRPr="00B470C6">
              <w:rPr>
                <w:color w:val="008000"/>
                <w:sz w:val="16"/>
              </w:rPr>
              <w:t>t atteint</w:t>
            </w:r>
          </w:p>
        </w:tc>
      </w:tr>
      <w:tr w:rsidR="0096696E" w:rsidRPr="005C7CCE" w:rsidTr="0033279F">
        <w:trPr>
          <w:cantSplit/>
        </w:trPr>
        <w:tc>
          <w:tcPr>
            <w:tcW w:w="1881" w:type="dxa"/>
            <w:gridSpan w:val="2"/>
            <w:shd w:val="clear" w:color="auto" w:fill="auto"/>
          </w:tcPr>
          <w:p w:rsidR="0096696E" w:rsidRPr="00761625" w:rsidRDefault="0096696E" w:rsidP="001A5BF9">
            <w:pPr>
              <w:rPr>
                <w:rFonts w:cs="Arial"/>
                <w:sz w:val="16"/>
                <w:szCs w:val="16"/>
                <w:lang w:bidi="th-TH"/>
              </w:rPr>
            </w:pPr>
            <w:r w:rsidRPr="00761625">
              <w:rPr>
                <w:sz w:val="16"/>
              </w:rPr>
              <w:t>Nombre de pays ayant mis en place des programmes de formation en propriété intellectuelle et offrant des possibilités de carrière dans le domaine de la propriété intellectuelle (pays arabes)</w:t>
            </w:r>
          </w:p>
        </w:tc>
        <w:tc>
          <w:tcPr>
            <w:tcW w:w="1995" w:type="dxa"/>
            <w:gridSpan w:val="2"/>
            <w:shd w:val="clear" w:color="auto" w:fill="auto"/>
          </w:tcPr>
          <w:p w:rsidR="0096696E" w:rsidRPr="00761625" w:rsidRDefault="0096696E" w:rsidP="001A5BF9">
            <w:pPr>
              <w:rPr>
                <w:rFonts w:cs="Arial"/>
                <w:sz w:val="16"/>
                <w:szCs w:val="16"/>
                <w:lang w:bidi="th-TH"/>
              </w:rPr>
            </w:pPr>
            <w:r w:rsidRPr="00761625">
              <w:rPr>
                <w:sz w:val="16"/>
              </w:rPr>
              <w:t>Cinq pays</w:t>
            </w:r>
            <w:r w:rsidRPr="00761625">
              <w:br w:type="page"/>
            </w:r>
          </w:p>
        </w:tc>
        <w:tc>
          <w:tcPr>
            <w:tcW w:w="1227" w:type="dxa"/>
            <w:shd w:val="clear" w:color="auto" w:fill="auto"/>
            <w:tcMar>
              <w:top w:w="110" w:type="dxa"/>
            </w:tcMar>
          </w:tcPr>
          <w:p w:rsidR="00D42474" w:rsidRDefault="0096696E" w:rsidP="001A5BF9">
            <w:pPr>
              <w:rPr>
                <w:rFonts w:cs="Arial"/>
                <w:sz w:val="16"/>
                <w:szCs w:val="16"/>
                <w:lang w:bidi="th-TH"/>
              </w:rPr>
            </w:pPr>
            <w:r w:rsidRPr="00761625">
              <w:rPr>
                <w:sz w:val="16"/>
              </w:rPr>
              <w:t>Trois pays</w:t>
            </w:r>
          </w:p>
          <w:p w:rsidR="0096696E" w:rsidRPr="00761625" w:rsidRDefault="00761625" w:rsidP="001A5BF9">
            <w:pPr>
              <w:rPr>
                <w:rFonts w:cs="Arial"/>
                <w:sz w:val="16"/>
                <w:szCs w:val="16"/>
                <w:lang w:bidi="th-TH"/>
              </w:rPr>
            </w:pPr>
            <w:r>
              <w:rPr>
                <w:sz w:val="16"/>
              </w:rPr>
              <w:t xml:space="preserve">(en </w:t>
            </w:r>
            <w:r w:rsidR="0096696E" w:rsidRPr="00761625">
              <w:rPr>
                <w:sz w:val="16"/>
              </w:rPr>
              <w:t>2012</w:t>
            </w:r>
            <w:r w:rsidR="002D6F2A" w:rsidRPr="00761625">
              <w:rPr>
                <w:sz w:val="16"/>
              </w:rPr>
              <w:noBreakHyphen/>
            </w:r>
            <w:r w:rsidR="0096696E" w:rsidRPr="00761625">
              <w:rPr>
                <w:sz w:val="16"/>
              </w:rPr>
              <w:t>2013)</w:t>
            </w:r>
          </w:p>
        </w:tc>
        <w:tc>
          <w:tcPr>
            <w:tcW w:w="3261" w:type="dxa"/>
            <w:gridSpan w:val="7"/>
            <w:shd w:val="clear" w:color="auto" w:fill="FFFFFF"/>
            <w:tcMar>
              <w:top w:w="110" w:type="dxa"/>
            </w:tcMar>
          </w:tcPr>
          <w:p w:rsidR="00D42474" w:rsidRDefault="0096696E" w:rsidP="001A5BF9">
            <w:pPr>
              <w:rPr>
                <w:rFonts w:cs="Arial"/>
                <w:sz w:val="16"/>
                <w:szCs w:val="16"/>
                <w:lang w:bidi="th-TH"/>
              </w:rPr>
            </w:pPr>
            <w:r w:rsidRPr="005C7CCE">
              <w:rPr>
                <w:sz w:val="16"/>
              </w:rPr>
              <w:t>Un pays a établi une nouvelle académie nationale de la propriété intellectuelle (Tunisie) et un pays (Égypte) a initié une nouvelle académie.</w:t>
            </w:r>
          </w:p>
          <w:p w:rsidR="00D42474" w:rsidRDefault="00D42474" w:rsidP="001A5BF9">
            <w:pPr>
              <w:rPr>
                <w:rFonts w:cs="Arial"/>
                <w:sz w:val="8"/>
                <w:szCs w:val="8"/>
                <w:lang w:bidi="th-TH"/>
              </w:rPr>
            </w:pPr>
          </w:p>
          <w:p w:rsidR="0096696E" w:rsidRPr="005C7CCE" w:rsidRDefault="0096696E" w:rsidP="001A5BF9">
            <w:pPr>
              <w:rPr>
                <w:rFonts w:cs="Arial"/>
                <w:sz w:val="16"/>
                <w:szCs w:val="16"/>
                <w:lang w:bidi="th-TH"/>
              </w:rPr>
            </w:pPr>
            <w:r w:rsidRPr="00761625">
              <w:rPr>
                <w:sz w:val="16"/>
                <w:szCs w:val="16"/>
              </w:rPr>
              <w:t>L</w:t>
            </w:r>
            <w:r w:rsidR="00A20444" w:rsidRPr="00761625">
              <w:rPr>
                <w:sz w:val="16"/>
                <w:szCs w:val="16"/>
              </w:rPr>
              <w:t>’</w:t>
            </w:r>
            <w:r w:rsidRPr="00761625">
              <w:rPr>
                <w:sz w:val="16"/>
                <w:szCs w:val="16"/>
              </w:rPr>
              <w:t>Institut national algérien de la propriété industrielle (</w:t>
            </w:r>
            <w:proofErr w:type="spellStart"/>
            <w:r w:rsidRPr="00761625">
              <w:rPr>
                <w:sz w:val="16"/>
                <w:szCs w:val="16"/>
              </w:rPr>
              <w:t>INAPI</w:t>
            </w:r>
            <w:proofErr w:type="spellEnd"/>
            <w:r w:rsidRPr="00761625">
              <w:rPr>
                <w:sz w:val="16"/>
                <w:szCs w:val="16"/>
              </w:rPr>
              <w:t>)</w:t>
            </w:r>
            <w:r w:rsidRPr="005C7CCE">
              <w:rPr>
                <w:sz w:val="16"/>
              </w:rPr>
              <w:t xml:space="preserve"> propose des programmes de formation relatifs à la propriété intellectuelle dans le domaine des informations relatives aux brevets et de la recherche.</w:t>
            </w:r>
          </w:p>
        </w:tc>
        <w:tc>
          <w:tcPr>
            <w:tcW w:w="1134" w:type="dxa"/>
            <w:shd w:val="clear" w:color="auto" w:fill="auto"/>
          </w:tcPr>
          <w:p w:rsidR="0096696E" w:rsidRPr="005C7CCE" w:rsidRDefault="0096696E" w:rsidP="001A5BF9">
            <w:pPr>
              <w:keepNext/>
              <w:keepLines/>
              <w:spacing w:after="120"/>
              <w:jc w:val="center"/>
              <w:rPr>
                <w:rFonts w:cs="Arial"/>
                <w:bCs/>
                <w:color w:val="008000"/>
                <w:sz w:val="16"/>
                <w:szCs w:val="16"/>
              </w:rPr>
            </w:pPr>
            <w:r w:rsidRPr="00B470C6">
              <w:rPr>
                <w:color w:val="008000"/>
                <w:sz w:val="16"/>
              </w:rPr>
              <w:t xml:space="preserve">Objectif </w:t>
            </w:r>
            <w:r w:rsidRPr="00B470C6">
              <w:rPr>
                <w:color w:val="008000"/>
                <w:spacing w:val="-2"/>
                <w:sz w:val="16"/>
              </w:rPr>
              <w:t>pleinement</w:t>
            </w:r>
            <w:r w:rsidRPr="00B470C6">
              <w:rPr>
                <w:color w:val="008000"/>
                <w:sz w:val="16"/>
              </w:rPr>
              <w:t xml:space="preserve"> atteint</w:t>
            </w:r>
          </w:p>
        </w:tc>
      </w:tr>
      <w:tr w:rsidR="0096696E" w:rsidRPr="005C7CCE" w:rsidTr="0033279F">
        <w:trPr>
          <w:cantSplit/>
        </w:trPr>
        <w:tc>
          <w:tcPr>
            <w:tcW w:w="1881" w:type="dxa"/>
            <w:gridSpan w:val="2"/>
            <w:shd w:val="clear" w:color="auto" w:fill="auto"/>
          </w:tcPr>
          <w:p w:rsidR="0096696E" w:rsidRPr="00761625" w:rsidRDefault="0096696E" w:rsidP="001A5BF9">
            <w:pPr>
              <w:rPr>
                <w:rFonts w:cs="Arial"/>
                <w:sz w:val="16"/>
                <w:szCs w:val="16"/>
                <w:lang w:bidi="th-TH"/>
              </w:rPr>
            </w:pPr>
            <w:r w:rsidRPr="00761625">
              <w:rPr>
                <w:sz w:val="16"/>
              </w:rPr>
              <w:t>Pourcentage d</w:t>
            </w:r>
            <w:r w:rsidR="00A20444" w:rsidRPr="00761625">
              <w:rPr>
                <w:sz w:val="16"/>
              </w:rPr>
              <w:t>’</w:t>
            </w:r>
            <w:r w:rsidRPr="00761625">
              <w:rPr>
                <w:sz w:val="16"/>
              </w:rPr>
              <w:t>examinateurs formés qui utilisent des compétences améliorées dans le cadre de leurs activités professionnelles (Asie et Pacifique)</w:t>
            </w:r>
          </w:p>
        </w:tc>
        <w:tc>
          <w:tcPr>
            <w:tcW w:w="1995" w:type="dxa"/>
            <w:gridSpan w:val="2"/>
            <w:shd w:val="clear" w:color="auto" w:fill="auto"/>
          </w:tcPr>
          <w:p w:rsidR="0096696E" w:rsidRPr="00761625" w:rsidRDefault="0096696E" w:rsidP="001A5BF9">
            <w:pPr>
              <w:jc w:val="both"/>
              <w:rPr>
                <w:rFonts w:cs="Arial"/>
                <w:sz w:val="16"/>
                <w:szCs w:val="16"/>
                <w:lang w:bidi="th-TH"/>
              </w:rPr>
            </w:pPr>
            <w:r w:rsidRPr="00761625">
              <w:rPr>
                <w:sz w:val="16"/>
              </w:rPr>
              <w:t>Données non disponibles</w:t>
            </w:r>
          </w:p>
        </w:tc>
        <w:tc>
          <w:tcPr>
            <w:tcW w:w="1227" w:type="dxa"/>
            <w:shd w:val="clear" w:color="auto" w:fill="auto"/>
            <w:tcMar>
              <w:top w:w="110" w:type="dxa"/>
            </w:tcMar>
          </w:tcPr>
          <w:p w:rsidR="0096696E" w:rsidRPr="00761625" w:rsidRDefault="0096696E" w:rsidP="001A5BF9">
            <w:pPr>
              <w:rPr>
                <w:rFonts w:cs="Arial"/>
                <w:sz w:val="16"/>
                <w:szCs w:val="16"/>
                <w:lang w:bidi="th-TH"/>
              </w:rPr>
            </w:pPr>
            <w:r w:rsidRPr="00761625">
              <w:rPr>
                <w:sz w:val="16"/>
              </w:rPr>
              <w:t>70</w:t>
            </w:r>
            <w:r w:rsidR="007E442D" w:rsidRPr="00761625">
              <w:rPr>
                <w:sz w:val="16"/>
              </w:rPr>
              <w:t>%</w:t>
            </w:r>
          </w:p>
        </w:tc>
        <w:tc>
          <w:tcPr>
            <w:tcW w:w="3261" w:type="dxa"/>
            <w:gridSpan w:val="7"/>
            <w:shd w:val="clear" w:color="auto" w:fill="FFFFFF"/>
            <w:tcMar>
              <w:top w:w="110" w:type="dxa"/>
            </w:tcMar>
          </w:tcPr>
          <w:p w:rsidR="0096696E" w:rsidRPr="005C7CCE" w:rsidRDefault="0096696E" w:rsidP="001A5BF9">
            <w:pPr>
              <w:rPr>
                <w:rFonts w:cs="Arial"/>
                <w:sz w:val="16"/>
                <w:szCs w:val="16"/>
                <w:lang w:bidi="th-TH"/>
              </w:rPr>
            </w:pPr>
            <w:r w:rsidRPr="005C7CCE">
              <w:rPr>
                <w:sz w:val="16"/>
              </w:rPr>
              <w:t>Près de 90</w:t>
            </w:r>
            <w:r w:rsidR="007E442D" w:rsidRPr="005C7CCE">
              <w:rPr>
                <w:sz w:val="16"/>
              </w:rPr>
              <w:t>%</w:t>
            </w:r>
            <w:r w:rsidRPr="005C7CCE">
              <w:rPr>
                <w:sz w:val="16"/>
              </w:rPr>
              <w:t xml:space="preserve"> des examinateurs formés évalués utilisent de nouvelles compétences dans leurs activités professionnelles.</w:t>
            </w:r>
          </w:p>
        </w:tc>
        <w:tc>
          <w:tcPr>
            <w:tcW w:w="1134" w:type="dxa"/>
            <w:shd w:val="clear" w:color="auto" w:fill="auto"/>
            <w:tcMar>
              <w:top w:w="110" w:type="dxa"/>
            </w:tcMar>
          </w:tcPr>
          <w:p w:rsidR="0096696E" w:rsidRPr="005C7CCE" w:rsidRDefault="0096696E" w:rsidP="001A5BF9">
            <w:pPr>
              <w:keepNext/>
              <w:keepLines/>
              <w:spacing w:after="120"/>
              <w:jc w:val="center"/>
              <w:rPr>
                <w:rFonts w:cs="Arial"/>
                <w:bCs/>
                <w:color w:val="008000"/>
                <w:sz w:val="16"/>
                <w:szCs w:val="16"/>
              </w:rPr>
            </w:pPr>
            <w:r w:rsidRPr="00B470C6">
              <w:rPr>
                <w:color w:val="008000"/>
                <w:sz w:val="16"/>
              </w:rPr>
              <w:t xml:space="preserve">Objectif </w:t>
            </w:r>
            <w:r w:rsidRPr="00B470C6">
              <w:rPr>
                <w:color w:val="008000"/>
                <w:spacing w:val="-2"/>
                <w:sz w:val="16"/>
              </w:rPr>
              <w:t>pleinement</w:t>
            </w:r>
            <w:r w:rsidRPr="00B470C6">
              <w:rPr>
                <w:color w:val="008000"/>
                <w:sz w:val="16"/>
              </w:rPr>
              <w:t xml:space="preserve"> atteint</w:t>
            </w:r>
          </w:p>
        </w:tc>
      </w:tr>
      <w:tr w:rsidR="0096696E" w:rsidRPr="005C7CCE" w:rsidTr="0033279F">
        <w:trPr>
          <w:cantSplit/>
        </w:trPr>
        <w:tc>
          <w:tcPr>
            <w:tcW w:w="1881" w:type="dxa"/>
            <w:gridSpan w:val="2"/>
            <w:shd w:val="clear" w:color="auto" w:fill="auto"/>
          </w:tcPr>
          <w:p w:rsidR="0096696E" w:rsidRPr="00761625" w:rsidRDefault="0096696E" w:rsidP="001A5BF9">
            <w:pPr>
              <w:rPr>
                <w:rFonts w:cs="Arial"/>
                <w:sz w:val="16"/>
                <w:szCs w:val="16"/>
                <w:lang w:bidi="th-TH"/>
              </w:rPr>
            </w:pPr>
            <w:r w:rsidRPr="00761625">
              <w:rPr>
                <w:sz w:val="16"/>
              </w:rPr>
              <w:t>Pourcentage de décideurs, de fonctionnaires gouvernementaux et de spécialistes de la propriété intellectuelle ayant une connaissance accrue des questions de propriété intellectuelle, notamment de la manière d</w:t>
            </w:r>
            <w:r w:rsidR="00A20444" w:rsidRPr="00761625">
              <w:rPr>
                <w:sz w:val="16"/>
              </w:rPr>
              <w:t>’</w:t>
            </w:r>
            <w:r w:rsidRPr="00761625">
              <w:rPr>
                <w:sz w:val="16"/>
              </w:rPr>
              <w:t>utiliser efficacement la propriété intellectuelle au service du développement (Asie et Pacifique)</w:t>
            </w:r>
          </w:p>
        </w:tc>
        <w:tc>
          <w:tcPr>
            <w:tcW w:w="1995" w:type="dxa"/>
            <w:gridSpan w:val="2"/>
            <w:shd w:val="clear" w:color="auto" w:fill="auto"/>
          </w:tcPr>
          <w:p w:rsidR="0096696E" w:rsidRPr="00761625" w:rsidRDefault="0096696E" w:rsidP="001A5BF9">
            <w:pPr>
              <w:jc w:val="both"/>
              <w:rPr>
                <w:rFonts w:cs="Arial"/>
                <w:sz w:val="16"/>
                <w:szCs w:val="16"/>
                <w:lang w:bidi="th-TH"/>
              </w:rPr>
            </w:pPr>
            <w:r w:rsidRPr="00761625">
              <w:rPr>
                <w:sz w:val="16"/>
              </w:rPr>
              <w:t>Données non disponibles</w:t>
            </w:r>
          </w:p>
        </w:tc>
        <w:tc>
          <w:tcPr>
            <w:tcW w:w="1227" w:type="dxa"/>
            <w:shd w:val="clear" w:color="auto" w:fill="auto"/>
            <w:tcMar>
              <w:top w:w="110" w:type="dxa"/>
            </w:tcMar>
          </w:tcPr>
          <w:p w:rsidR="0096696E" w:rsidRPr="00761625" w:rsidRDefault="0096696E" w:rsidP="001A5BF9">
            <w:pPr>
              <w:rPr>
                <w:rFonts w:cs="Arial"/>
                <w:sz w:val="16"/>
                <w:szCs w:val="16"/>
                <w:lang w:bidi="th-TH"/>
              </w:rPr>
            </w:pPr>
            <w:r w:rsidRPr="00761625">
              <w:rPr>
                <w:sz w:val="16"/>
              </w:rPr>
              <w:t>60</w:t>
            </w:r>
            <w:r w:rsidR="007E442D" w:rsidRPr="00761625">
              <w:rPr>
                <w:sz w:val="16"/>
              </w:rPr>
              <w:t>%</w:t>
            </w:r>
          </w:p>
        </w:tc>
        <w:tc>
          <w:tcPr>
            <w:tcW w:w="3261" w:type="dxa"/>
            <w:gridSpan w:val="7"/>
            <w:shd w:val="clear" w:color="auto" w:fill="FFFFFF"/>
            <w:tcMar>
              <w:top w:w="110" w:type="dxa"/>
            </w:tcMar>
          </w:tcPr>
          <w:p w:rsidR="0096696E" w:rsidRPr="005C7CCE" w:rsidRDefault="0096696E" w:rsidP="001A5BF9">
            <w:pPr>
              <w:rPr>
                <w:rFonts w:cs="Arial"/>
                <w:sz w:val="16"/>
                <w:szCs w:val="16"/>
              </w:rPr>
            </w:pPr>
            <w:r w:rsidRPr="005C7CCE">
              <w:rPr>
                <w:sz w:val="16"/>
              </w:rPr>
              <w:t>Environ 80</w:t>
            </w:r>
            <w:r w:rsidR="007E442D" w:rsidRPr="005C7CCE">
              <w:rPr>
                <w:sz w:val="16"/>
              </w:rPr>
              <w:t>%</w:t>
            </w:r>
            <w:r w:rsidRPr="005C7CCE">
              <w:rPr>
                <w:sz w:val="16"/>
              </w:rPr>
              <w:t xml:space="preserve"> des participants évalués ont indiqué mieux comprendre les questions de propriété intellectuelle.</w:t>
            </w:r>
          </w:p>
        </w:tc>
        <w:tc>
          <w:tcPr>
            <w:tcW w:w="1134" w:type="dxa"/>
            <w:shd w:val="clear" w:color="auto" w:fill="auto"/>
          </w:tcPr>
          <w:p w:rsidR="0096696E" w:rsidRPr="005C7CCE" w:rsidRDefault="0096696E" w:rsidP="001A5BF9">
            <w:pPr>
              <w:keepNext/>
              <w:keepLines/>
              <w:jc w:val="center"/>
              <w:rPr>
                <w:rFonts w:cs="Arial"/>
                <w:bCs/>
                <w:color w:val="008000"/>
                <w:sz w:val="16"/>
                <w:szCs w:val="16"/>
              </w:rPr>
            </w:pPr>
            <w:r w:rsidRPr="00B470C6">
              <w:rPr>
                <w:color w:val="008000"/>
                <w:sz w:val="16"/>
              </w:rPr>
              <w:t xml:space="preserve">Objectif </w:t>
            </w:r>
            <w:r w:rsidRPr="00B470C6">
              <w:rPr>
                <w:color w:val="008000"/>
                <w:spacing w:val="-2"/>
                <w:sz w:val="16"/>
              </w:rPr>
              <w:t>pleinement</w:t>
            </w:r>
            <w:r w:rsidRPr="00B470C6">
              <w:rPr>
                <w:color w:val="008000"/>
                <w:sz w:val="16"/>
              </w:rPr>
              <w:t xml:space="preserve"> atteint</w:t>
            </w:r>
          </w:p>
        </w:tc>
      </w:tr>
      <w:tr w:rsidR="0096696E" w:rsidRPr="005C7CCE" w:rsidTr="0033279F">
        <w:trPr>
          <w:cantSplit/>
        </w:trPr>
        <w:tc>
          <w:tcPr>
            <w:tcW w:w="1881" w:type="dxa"/>
            <w:gridSpan w:val="2"/>
            <w:shd w:val="clear" w:color="auto" w:fill="FFFFFF"/>
          </w:tcPr>
          <w:p w:rsidR="0096696E" w:rsidRPr="00761625" w:rsidRDefault="0096696E" w:rsidP="001A5BF9">
            <w:pPr>
              <w:rPr>
                <w:rFonts w:cs="Arial"/>
                <w:sz w:val="16"/>
                <w:szCs w:val="16"/>
                <w:lang w:bidi="th-TH"/>
              </w:rPr>
            </w:pPr>
            <w:r w:rsidRPr="00761625">
              <w:rPr>
                <w:sz w:val="16"/>
              </w:rPr>
              <w:t>Nombre de formateurs/d</w:t>
            </w:r>
            <w:r w:rsidR="00A20444" w:rsidRPr="00761625">
              <w:rPr>
                <w:sz w:val="16"/>
              </w:rPr>
              <w:t>’</w:t>
            </w:r>
            <w:r w:rsidRPr="00761625">
              <w:rPr>
                <w:sz w:val="16"/>
              </w:rPr>
              <w:t>experts nationaux en propriété intellectuelle (Amérique latine et Caraïbes)</w:t>
            </w:r>
          </w:p>
        </w:tc>
        <w:tc>
          <w:tcPr>
            <w:tcW w:w="1995" w:type="dxa"/>
            <w:gridSpan w:val="2"/>
            <w:shd w:val="clear" w:color="auto" w:fill="auto"/>
          </w:tcPr>
          <w:p w:rsidR="0096696E" w:rsidRPr="00761625" w:rsidRDefault="0096696E" w:rsidP="001A5BF9">
            <w:pPr>
              <w:rPr>
                <w:rFonts w:cs="Arial"/>
                <w:sz w:val="16"/>
                <w:szCs w:val="16"/>
                <w:lang w:bidi="th-TH"/>
              </w:rPr>
            </w:pPr>
            <w:r w:rsidRPr="00761625">
              <w:rPr>
                <w:sz w:val="16"/>
              </w:rPr>
              <w:t>151 experts/formateurs nationaux</w:t>
            </w:r>
          </w:p>
        </w:tc>
        <w:tc>
          <w:tcPr>
            <w:tcW w:w="1227" w:type="dxa"/>
            <w:shd w:val="clear" w:color="auto" w:fill="auto"/>
            <w:tcMar>
              <w:top w:w="110" w:type="dxa"/>
            </w:tcMar>
          </w:tcPr>
          <w:p w:rsidR="00D42474" w:rsidRDefault="0096696E" w:rsidP="001A5BF9">
            <w:pPr>
              <w:rPr>
                <w:rFonts w:cs="Arial"/>
                <w:sz w:val="16"/>
                <w:szCs w:val="16"/>
                <w:lang w:bidi="th-TH"/>
              </w:rPr>
            </w:pPr>
            <w:r w:rsidRPr="00761625">
              <w:rPr>
                <w:sz w:val="16"/>
              </w:rPr>
              <w:t>230 experts</w:t>
            </w:r>
            <w:r w:rsidR="00BD43F2" w:rsidRPr="00761625">
              <w:rPr>
                <w:sz w:val="16"/>
              </w:rPr>
              <w:t>/</w:t>
            </w:r>
            <w:r w:rsidRPr="00761625">
              <w:rPr>
                <w:sz w:val="16"/>
              </w:rPr>
              <w:t>formateurs nationaux</w:t>
            </w:r>
          </w:p>
          <w:p w:rsidR="0096696E" w:rsidRPr="00761625" w:rsidRDefault="0096696E" w:rsidP="004B047D">
            <w:pPr>
              <w:rPr>
                <w:rFonts w:cs="Arial"/>
                <w:sz w:val="16"/>
                <w:szCs w:val="16"/>
                <w:lang w:bidi="th-TH"/>
              </w:rPr>
            </w:pPr>
            <w:r w:rsidRPr="00761625">
              <w:rPr>
                <w:sz w:val="16"/>
              </w:rPr>
              <w:t>(cumul)</w:t>
            </w:r>
          </w:p>
        </w:tc>
        <w:tc>
          <w:tcPr>
            <w:tcW w:w="3261" w:type="dxa"/>
            <w:gridSpan w:val="7"/>
            <w:shd w:val="clear" w:color="auto" w:fill="FFFFFF"/>
            <w:tcMar>
              <w:top w:w="110" w:type="dxa"/>
            </w:tcMar>
          </w:tcPr>
          <w:p w:rsidR="00D42474" w:rsidRDefault="0096696E" w:rsidP="001A5BF9">
            <w:pPr>
              <w:rPr>
                <w:sz w:val="16"/>
              </w:rPr>
            </w:pPr>
            <w:r w:rsidRPr="005C7CCE">
              <w:rPr>
                <w:sz w:val="16"/>
              </w:rPr>
              <w:t>Nombre total d</w:t>
            </w:r>
            <w:r w:rsidR="00A20444" w:rsidRPr="005C7CCE">
              <w:rPr>
                <w:sz w:val="16"/>
              </w:rPr>
              <w:t>’</w:t>
            </w:r>
            <w:r w:rsidRPr="005C7CCE">
              <w:rPr>
                <w:sz w:val="16"/>
              </w:rPr>
              <w:t>experts/formateurs nationaux pendant l</w:t>
            </w:r>
            <w:r w:rsidR="00A20444" w:rsidRPr="005C7CCE">
              <w:rPr>
                <w:sz w:val="16"/>
              </w:rPr>
              <w:t>’</w:t>
            </w:r>
            <w:r w:rsidRPr="005C7CCE">
              <w:rPr>
                <w:sz w:val="16"/>
              </w:rPr>
              <w:t>exercice biennal : 250</w:t>
            </w:r>
          </w:p>
          <w:p w:rsidR="00D42474" w:rsidRDefault="0096696E" w:rsidP="001A5BF9">
            <w:pPr>
              <w:pStyle w:val="Paragraphedeliste"/>
              <w:numPr>
                <w:ilvl w:val="0"/>
                <w:numId w:val="29"/>
              </w:numPr>
              <w:ind w:left="336" w:hanging="283"/>
              <w:rPr>
                <w:rFonts w:cs="Arial"/>
                <w:sz w:val="16"/>
                <w:szCs w:val="16"/>
                <w:lang w:bidi="th-TH"/>
              </w:rPr>
            </w:pPr>
            <w:r w:rsidRPr="005C7CCE">
              <w:rPr>
                <w:sz w:val="16"/>
              </w:rPr>
              <w:t>80 (2012)</w:t>
            </w:r>
          </w:p>
          <w:p w:rsidR="0096696E" w:rsidRPr="005C7CCE" w:rsidRDefault="0096696E" w:rsidP="001A5BF9">
            <w:pPr>
              <w:pStyle w:val="Paragraphedeliste"/>
              <w:numPr>
                <w:ilvl w:val="0"/>
                <w:numId w:val="29"/>
              </w:numPr>
              <w:ind w:left="336" w:hanging="283"/>
              <w:rPr>
                <w:rFonts w:cs="Arial"/>
                <w:sz w:val="16"/>
                <w:szCs w:val="16"/>
                <w:lang w:bidi="th-TH"/>
              </w:rPr>
            </w:pPr>
            <w:r w:rsidRPr="005C7CCE">
              <w:rPr>
                <w:sz w:val="16"/>
              </w:rPr>
              <w:t>170 (2013)</w:t>
            </w:r>
          </w:p>
        </w:tc>
        <w:tc>
          <w:tcPr>
            <w:tcW w:w="1134" w:type="dxa"/>
            <w:shd w:val="clear" w:color="auto" w:fill="auto"/>
            <w:tcMar>
              <w:top w:w="110" w:type="dxa"/>
            </w:tcMar>
          </w:tcPr>
          <w:p w:rsidR="0096696E" w:rsidRPr="005C7CCE" w:rsidRDefault="0096696E" w:rsidP="001A5BF9">
            <w:pPr>
              <w:tabs>
                <w:tab w:val="left" w:pos="615"/>
              </w:tabs>
              <w:jc w:val="center"/>
              <w:rPr>
                <w:rFonts w:cs="Arial"/>
                <w:color w:val="008000"/>
                <w:sz w:val="16"/>
                <w:szCs w:val="16"/>
              </w:rPr>
            </w:pPr>
            <w:r w:rsidRPr="00B470C6">
              <w:rPr>
                <w:color w:val="008000"/>
                <w:sz w:val="16"/>
              </w:rPr>
              <w:t xml:space="preserve">Objectif </w:t>
            </w:r>
            <w:r w:rsidRPr="00B470C6">
              <w:rPr>
                <w:color w:val="008000"/>
                <w:spacing w:val="-2"/>
                <w:sz w:val="16"/>
              </w:rPr>
              <w:t>pleinement</w:t>
            </w:r>
            <w:r w:rsidRPr="00B470C6">
              <w:rPr>
                <w:color w:val="008000"/>
                <w:sz w:val="16"/>
              </w:rPr>
              <w:t xml:space="preserve"> atteint</w:t>
            </w:r>
          </w:p>
        </w:tc>
      </w:tr>
      <w:tr w:rsidR="0096696E" w:rsidRPr="005C7CCE" w:rsidTr="0033279F">
        <w:trPr>
          <w:cantSplit/>
        </w:trPr>
        <w:tc>
          <w:tcPr>
            <w:tcW w:w="1881" w:type="dxa"/>
            <w:gridSpan w:val="2"/>
            <w:shd w:val="clear" w:color="auto" w:fill="auto"/>
          </w:tcPr>
          <w:p w:rsidR="0096696E" w:rsidRPr="00761625" w:rsidRDefault="0096696E" w:rsidP="001A5BF9">
            <w:pPr>
              <w:rPr>
                <w:rFonts w:cs="Arial"/>
                <w:sz w:val="16"/>
                <w:szCs w:val="16"/>
                <w:lang w:bidi="th-TH"/>
              </w:rPr>
            </w:pPr>
            <w:r w:rsidRPr="00761625">
              <w:rPr>
                <w:sz w:val="16"/>
              </w:rPr>
              <w:t>Nombre de programmes nationaux de formation structurés (Amérique latine et Caraïbes)</w:t>
            </w:r>
          </w:p>
        </w:tc>
        <w:tc>
          <w:tcPr>
            <w:tcW w:w="1995" w:type="dxa"/>
            <w:gridSpan w:val="2"/>
            <w:shd w:val="clear" w:color="auto" w:fill="auto"/>
          </w:tcPr>
          <w:p w:rsidR="00D42474" w:rsidRDefault="0096696E" w:rsidP="001A5BF9">
            <w:pPr>
              <w:rPr>
                <w:rFonts w:cs="Arial"/>
                <w:color w:val="002060"/>
                <w:sz w:val="16"/>
                <w:szCs w:val="16"/>
                <w:lang w:bidi="th-TH"/>
              </w:rPr>
            </w:pPr>
            <w:r w:rsidRPr="005C7CCE">
              <w:rPr>
                <w:i/>
                <w:color w:val="002060"/>
                <w:sz w:val="16"/>
              </w:rPr>
              <w:t xml:space="preserve">Niveau de référence actualisé </w:t>
            </w:r>
            <w:r w:rsidRPr="005C7CCE">
              <w:br/>
            </w:r>
            <w:r w:rsidRPr="005C7CCE">
              <w:rPr>
                <w:i/>
                <w:color w:val="002060"/>
                <w:sz w:val="16"/>
              </w:rPr>
              <w:t>fin 2011 :</w:t>
            </w:r>
            <w:r w:rsidRPr="005C7CCE">
              <w:br/>
            </w:r>
            <w:r w:rsidRPr="005C7CCE">
              <w:rPr>
                <w:color w:val="002060"/>
                <w:sz w:val="16"/>
              </w:rPr>
              <w:t>31 activités (aucun programme national)</w:t>
            </w:r>
          </w:p>
          <w:p w:rsidR="00D42474" w:rsidRDefault="00D42474" w:rsidP="001A5BF9">
            <w:pPr>
              <w:rPr>
                <w:rFonts w:cs="Arial"/>
                <w:i/>
                <w:sz w:val="8"/>
                <w:szCs w:val="8"/>
                <w:lang w:bidi="th-TH"/>
              </w:rPr>
            </w:pPr>
          </w:p>
          <w:p w:rsidR="00D42474"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96696E" w:rsidRPr="005C7CCE" w:rsidRDefault="0096696E" w:rsidP="001A5BF9">
            <w:pPr>
              <w:rPr>
                <w:rFonts w:cs="Arial"/>
                <w:color w:val="000000"/>
                <w:sz w:val="16"/>
                <w:szCs w:val="16"/>
                <w:lang w:bidi="th-TH"/>
              </w:rPr>
            </w:pPr>
            <w:r w:rsidRPr="00761625">
              <w:rPr>
                <w:sz w:val="16"/>
              </w:rPr>
              <w:t>31 programmes nationaux</w:t>
            </w:r>
          </w:p>
        </w:tc>
        <w:tc>
          <w:tcPr>
            <w:tcW w:w="1227" w:type="dxa"/>
            <w:shd w:val="clear" w:color="auto" w:fill="auto"/>
            <w:tcMar>
              <w:top w:w="110" w:type="dxa"/>
            </w:tcMar>
          </w:tcPr>
          <w:p w:rsidR="0096696E" w:rsidRPr="00761625" w:rsidRDefault="0096696E" w:rsidP="001A5BF9">
            <w:pPr>
              <w:rPr>
                <w:rFonts w:cs="Arial"/>
                <w:sz w:val="16"/>
                <w:szCs w:val="16"/>
                <w:lang w:bidi="th-TH"/>
              </w:rPr>
            </w:pPr>
            <w:r w:rsidRPr="00761625">
              <w:rPr>
                <w:sz w:val="16"/>
              </w:rPr>
              <w:t xml:space="preserve">59 programmes nationaux </w:t>
            </w:r>
          </w:p>
        </w:tc>
        <w:tc>
          <w:tcPr>
            <w:tcW w:w="3261" w:type="dxa"/>
            <w:gridSpan w:val="7"/>
            <w:shd w:val="clear" w:color="auto" w:fill="FFFFFF"/>
            <w:tcMar>
              <w:top w:w="110" w:type="dxa"/>
            </w:tcMar>
          </w:tcPr>
          <w:p w:rsidR="00D42474" w:rsidRDefault="0096696E" w:rsidP="001A5BF9">
            <w:pPr>
              <w:rPr>
                <w:sz w:val="16"/>
              </w:rPr>
            </w:pPr>
            <w:r w:rsidRPr="005C7CCE">
              <w:rPr>
                <w:sz w:val="16"/>
              </w:rPr>
              <w:t>Total des activités : 75</w:t>
            </w:r>
          </w:p>
          <w:p w:rsidR="00D42474" w:rsidRDefault="0096696E" w:rsidP="001A5BF9">
            <w:pPr>
              <w:rPr>
                <w:rFonts w:cs="Arial"/>
                <w:sz w:val="16"/>
                <w:szCs w:val="16"/>
                <w:lang w:bidi="th-TH"/>
              </w:rPr>
            </w:pPr>
            <w:r w:rsidRPr="005C7CCE">
              <w:rPr>
                <w:sz w:val="16"/>
              </w:rPr>
              <w:t>Activités nationales : 31 (2012) et 13 (2013)</w:t>
            </w:r>
          </w:p>
          <w:p w:rsidR="0096696E" w:rsidRPr="005C7CCE" w:rsidRDefault="0096696E" w:rsidP="001A5BF9">
            <w:pPr>
              <w:rPr>
                <w:rFonts w:cs="Arial"/>
                <w:sz w:val="16"/>
                <w:szCs w:val="16"/>
                <w:lang w:bidi="th-TH"/>
              </w:rPr>
            </w:pPr>
            <w:r w:rsidRPr="005C7CCE">
              <w:rPr>
                <w:sz w:val="16"/>
              </w:rPr>
              <w:t>Activités sous</w:t>
            </w:r>
            <w:r w:rsidR="002D6F2A" w:rsidRPr="005C7CCE">
              <w:rPr>
                <w:sz w:val="16"/>
              </w:rPr>
              <w:noBreakHyphen/>
            </w:r>
            <w:r w:rsidRPr="005C7CCE">
              <w:rPr>
                <w:sz w:val="16"/>
              </w:rPr>
              <w:t>régionales : 14 (2012) et 17 (2013)</w:t>
            </w:r>
          </w:p>
        </w:tc>
        <w:tc>
          <w:tcPr>
            <w:tcW w:w="1134" w:type="dxa"/>
            <w:shd w:val="clear" w:color="auto" w:fill="auto"/>
          </w:tcPr>
          <w:p w:rsidR="0096696E" w:rsidRPr="005C7CCE" w:rsidRDefault="0096696E" w:rsidP="001A5BF9">
            <w:pPr>
              <w:jc w:val="center"/>
              <w:rPr>
                <w:rFonts w:cs="Arial"/>
                <w:color w:val="008000"/>
                <w:sz w:val="16"/>
                <w:szCs w:val="16"/>
              </w:rPr>
            </w:pPr>
            <w:r w:rsidRPr="00B470C6">
              <w:rPr>
                <w:color w:val="008000"/>
                <w:sz w:val="16"/>
              </w:rPr>
              <w:t xml:space="preserve">Objectif </w:t>
            </w:r>
            <w:r w:rsidRPr="00B470C6">
              <w:rPr>
                <w:color w:val="008000"/>
                <w:spacing w:val="-2"/>
                <w:sz w:val="16"/>
              </w:rPr>
              <w:t>pleinement</w:t>
            </w:r>
            <w:r w:rsidRPr="00B470C6">
              <w:rPr>
                <w:color w:val="008000"/>
                <w:sz w:val="16"/>
              </w:rPr>
              <w:t xml:space="preserve"> atteint</w:t>
            </w:r>
          </w:p>
        </w:tc>
      </w:tr>
      <w:tr w:rsidR="0096696E" w:rsidRPr="005C7CCE" w:rsidTr="0033279F">
        <w:trPr>
          <w:cantSplit/>
        </w:trPr>
        <w:tc>
          <w:tcPr>
            <w:tcW w:w="1881" w:type="dxa"/>
            <w:gridSpan w:val="2"/>
            <w:shd w:val="clear" w:color="auto" w:fill="auto"/>
          </w:tcPr>
          <w:p w:rsidR="0096696E" w:rsidRPr="00761625" w:rsidRDefault="0096696E" w:rsidP="001A5BF9">
            <w:pPr>
              <w:rPr>
                <w:rFonts w:cs="Arial"/>
                <w:sz w:val="16"/>
                <w:szCs w:val="16"/>
                <w:lang w:bidi="th-TH"/>
              </w:rPr>
            </w:pPr>
            <w:r w:rsidRPr="00761625">
              <w:rPr>
                <w:sz w:val="16"/>
              </w:rPr>
              <w:t>Nombre de pays dans lesquels les besoins d</w:t>
            </w:r>
            <w:r w:rsidR="00A20444" w:rsidRPr="00761625">
              <w:rPr>
                <w:sz w:val="16"/>
              </w:rPr>
              <w:t>’</w:t>
            </w:r>
            <w:r w:rsidRPr="00761625">
              <w:rPr>
                <w:sz w:val="16"/>
              </w:rPr>
              <w:t>assistance technique et de renforcement des capacités ont été évalués (PMA)</w:t>
            </w:r>
          </w:p>
        </w:tc>
        <w:tc>
          <w:tcPr>
            <w:tcW w:w="1995" w:type="dxa"/>
            <w:gridSpan w:val="2"/>
            <w:shd w:val="clear" w:color="auto" w:fill="auto"/>
          </w:tcPr>
          <w:p w:rsidR="0096696E" w:rsidRPr="005C7CCE" w:rsidRDefault="0096696E" w:rsidP="001A5BF9">
            <w:pPr>
              <w:rPr>
                <w:rFonts w:cs="Arial"/>
                <w:sz w:val="16"/>
                <w:szCs w:val="16"/>
                <w:lang w:bidi="th-TH"/>
              </w:rPr>
            </w:pPr>
            <w:r w:rsidRPr="00761625">
              <w:rPr>
                <w:sz w:val="16"/>
              </w:rPr>
              <w:t>Évaluation des besoins de cinq PMA</w:t>
            </w:r>
          </w:p>
        </w:tc>
        <w:tc>
          <w:tcPr>
            <w:tcW w:w="1227" w:type="dxa"/>
            <w:shd w:val="clear" w:color="auto" w:fill="auto"/>
            <w:tcMar>
              <w:top w:w="110" w:type="dxa"/>
            </w:tcMar>
          </w:tcPr>
          <w:p w:rsidR="00D42474" w:rsidRDefault="0096696E" w:rsidP="001A5BF9">
            <w:pPr>
              <w:rPr>
                <w:rFonts w:cs="Arial"/>
                <w:sz w:val="16"/>
                <w:szCs w:val="16"/>
                <w:lang w:bidi="th-TH"/>
              </w:rPr>
            </w:pPr>
            <w:r w:rsidRPr="00761625">
              <w:rPr>
                <w:sz w:val="16"/>
              </w:rPr>
              <w:t>Au moins 15 PMA doivent faire l</w:t>
            </w:r>
            <w:r w:rsidR="00A20444" w:rsidRPr="00761625">
              <w:rPr>
                <w:sz w:val="16"/>
              </w:rPr>
              <w:t>’</w:t>
            </w:r>
            <w:r w:rsidRPr="00761625">
              <w:rPr>
                <w:sz w:val="16"/>
              </w:rPr>
              <w:t>objet d</w:t>
            </w:r>
            <w:r w:rsidR="00A20444" w:rsidRPr="00761625">
              <w:rPr>
                <w:sz w:val="16"/>
              </w:rPr>
              <w:t>’</w:t>
            </w:r>
            <w:r w:rsidRPr="00761625">
              <w:rPr>
                <w:sz w:val="16"/>
              </w:rPr>
              <w:t>une évaluation</w:t>
            </w:r>
          </w:p>
          <w:p w:rsidR="0096696E" w:rsidRPr="00761625" w:rsidRDefault="0096696E" w:rsidP="001A5BF9">
            <w:pPr>
              <w:rPr>
                <w:rFonts w:cs="Arial"/>
                <w:sz w:val="16"/>
                <w:szCs w:val="16"/>
                <w:lang w:bidi="th-TH"/>
              </w:rPr>
            </w:pPr>
            <w:r w:rsidRPr="00761625">
              <w:rPr>
                <w:sz w:val="16"/>
              </w:rPr>
              <w:t>(cumul)</w:t>
            </w:r>
          </w:p>
        </w:tc>
        <w:tc>
          <w:tcPr>
            <w:tcW w:w="3261" w:type="dxa"/>
            <w:gridSpan w:val="7"/>
            <w:shd w:val="clear" w:color="auto" w:fill="FFFFFF"/>
            <w:tcMar>
              <w:top w:w="110" w:type="dxa"/>
            </w:tcMar>
          </w:tcPr>
          <w:p w:rsidR="00D42474" w:rsidRDefault="0096696E" w:rsidP="001A5BF9">
            <w:pPr>
              <w:rPr>
                <w:rFonts w:cs="Arial"/>
                <w:sz w:val="16"/>
                <w:szCs w:val="16"/>
                <w:lang w:bidi="th-TH"/>
              </w:rPr>
            </w:pPr>
            <w:r w:rsidRPr="00761625">
              <w:rPr>
                <w:sz w:val="16"/>
              </w:rPr>
              <w:t>26 PMA</w:t>
            </w:r>
          </w:p>
          <w:p w:rsidR="00D42474" w:rsidRDefault="00D42474" w:rsidP="001A5BF9">
            <w:pPr>
              <w:rPr>
                <w:rFonts w:cs="Arial"/>
                <w:b/>
                <w:sz w:val="8"/>
                <w:szCs w:val="8"/>
                <w:lang w:bidi="th-TH"/>
              </w:rPr>
            </w:pPr>
          </w:p>
          <w:p w:rsidR="00D42474" w:rsidRDefault="0096696E" w:rsidP="001A5BF9">
            <w:pPr>
              <w:rPr>
                <w:rFonts w:cs="Arial"/>
                <w:sz w:val="16"/>
                <w:szCs w:val="16"/>
                <w:lang w:bidi="th-TH"/>
              </w:rPr>
            </w:pPr>
            <w:r w:rsidRPr="00761625">
              <w:rPr>
                <w:b/>
                <w:sz w:val="16"/>
              </w:rPr>
              <w:t>Afrique</w:t>
            </w:r>
            <w:r w:rsidR="0010442A" w:rsidRPr="00761625">
              <w:rPr>
                <w:sz w:val="16"/>
              </w:rPr>
              <w:t> </w:t>
            </w:r>
            <w:r w:rsidRPr="00761625">
              <w:rPr>
                <w:sz w:val="16"/>
              </w:rPr>
              <w:t>:</w:t>
            </w:r>
          </w:p>
          <w:p w:rsidR="00D42474" w:rsidRDefault="0096696E" w:rsidP="001A5BF9">
            <w:pPr>
              <w:pStyle w:val="Paragraphedeliste"/>
              <w:numPr>
                <w:ilvl w:val="0"/>
                <w:numId w:val="28"/>
              </w:numPr>
              <w:rPr>
                <w:rFonts w:cs="Arial"/>
                <w:sz w:val="16"/>
                <w:szCs w:val="16"/>
                <w:lang w:bidi="th-TH"/>
              </w:rPr>
            </w:pPr>
            <w:r w:rsidRPr="005C7CCE">
              <w:rPr>
                <w:sz w:val="16"/>
              </w:rPr>
              <w:t>États membres de l</w:t>
            </w:r>
            <w:r w:rsidR="00A20444" w:rsidRPr="005C7CCE">
              <w:rPr>
                <w:sz w:val="16"/>
              </w:rPr>
              <w:t>’</w:t>
            </w:r>
            <w:r w:rsidRPr="005C7CCE">
              <w:rPr>
                <w:sz w:val="16"/>
              </w:rPr>
              <w:t>ARIPO : Gambie, Lesotho, Malawi, Mozambique, Ouganda, République</w:t>
            </w:r>
            <w:r w:rsidR="002D6F2A" w:rsidRPr="005C7CCE">
              <w:rPr>
                <w:sz w:val="16"/>
              </w:rPr>
              <w:noBreakHyphen/>
            </w:r>
            <w:r w:rsidRPr="005C7CCE">
              <w:rPr>
                <w:sz w:val="16"/>
              </w:rPr>
              <w:t>Unie de Tanzanie, Rwanda, Sierra Leone, Soudan et Zambie, plus Éthiopie (observateur);</w:t>
            </w:r>
          </w:p>
          <w:p w:rsidR="00D42474" w:rsidRDefault="0096696E" w:rsidP="001A5BF9">
            <w:pPr>
              <w:pStyle w:val="Paragraphedeliste"/>
              <w:numPr>
                <w:ilvl w:val="0"/>
                <w:numId w:val="28"/>
              </w:numPr>
              <w:rPr>
                <w:rFonts w:cs="Arial"/>
                <w:sz w:val="16"/>
                <w:szCs w:val="16"/>
                <w:lang w:bidi="th-TH"/>
              </w:rPr>
            </w:pPr>
            <w:r w:rsidRPr="005C7CCE">
              <w:rPr>
                <w:sz w:val="16"/>
              </w:rPr>
              <w:t>États membres de l</w:t>
            </w:r>
            <w:r w:rsidR="00A20444" w:rsidRPr="005C7CCE">
              <w:rPr>
                <w:sz w:val="16"/>
              </w:rPr>
              <w:t>’</w:t>
            </w:r>
            <w:r w:rsidRPr="005C7CCE">
              <w:rPr>
                <w:sz w:val="16"/>
              </w:rPr>
              <w:t>OAPI : Bénin, Burkina Faso, Burundi, Guinée, Madagascar, Mali, Mauritanie, Niger, République centrafricaine, Sénégal, Tchad et Togo</w:t>
            </w:r>
          </w:p>
          <w:p w:rsidR="00D42474" w:rsidRDefault="00D42474" w:rsidP="001A5BF9">
            <w:pPr>
              <w:rPr>
                <w:rFonts w:cs="Arial"/>
                <w:b/>
                <w:sz w:val="8"/>
                <w:szCs w:val="8"/>
                <w:lang w:bidi="th-TH"/>
              </w:rPr>
            </w:pPr>
          </w:p>
          <w:p w:rsidR="0096696E" w:rsidRPr="005C7CCE" w:rsidRDefault="0096696E" w:rsidP="001A5BF9">
            <w:pPr>
              <w:rPr>
                <w:rFonts w:cs="Arial"/>
                <w:sz w:val="16"/>
                <w:szCs w:val="16"/>
                <w:lang w:bidi="th-TH"/>
              </w:rPr>
            </w:pPr>
            <w:r w:rsidRPr="00761625">
              <w:rPr>
                <w:b/>
                <w:sz w:val="16"/>
                <w:szCs w:val="16"/>
              </w:rPr>
              <w:t>Asie et Pacifique :</w:t>
            </w:r>
            <w:r w:rsidRPr="00761625">
              <w:rPr>
                <w:sz w:val="16"/>
                <w:szCs w:val="16"/>
              </w:rPr>
              <w:t xml:space="preserve"> </w:t>
            </w:r>
            <w:r w:rsidRPr="005C7CCE">
              <w:rPr>
                <w:sz w:val="16"/>
              </w:rPr>
              <w:t xml:space="preserve">Bangladesh, Népal et République démocratique populaire </w:t>
            </w:r>
            <w:r w:rsidR="008F3C2C" w:rsidRPr="005C7CCE">
              <w:rPr>
                <w:sz w:val="16"/>
              </w:rPr>
              <w:t>lao</w:t>
            </w:r>
            <w:r w:rsidRPr="005C7CCE">
              <w:rPr>
                <w:sz w:val="16"/>
              </w:rPr>
              <w:t>.</w:t>
            </w:r>
          </w:p>
        </w:tc>
        <w:tc>
          <w:tcPr>
            <w:tcW w:w="1134" w:type="dxa"/>
            <w:shd w:val="clear" w:color="auto" w:fill="auto"/>
            <w:tcMar>
              <w:top w:w="110" w:type="dxa"/>
            </w:tcMar>
          </w:tcPr>
          <w:p w:rsidR="0096696E" w:rsidRPr="005C7CCE" w:rsidRDefault="0096696E" w:rsidP="001A5BF9">
            <w:pPr>
              <w:keepNext/>
              <w:keepLines/>
              <w:spacing w:after="120"/>
              <w:jc w:val="center"/>
              <w:rPr>
                <w:rFonts w:cs="Arial"/>
                <w:bCs/>
                <w:color w:val="008000"/>
                <w:sz w:val="16"/>
                <w:szCs w:val="16"/>
              </w:rPr>
            </w:pPr>
            <w:r w:rsidRPr="00B470C6">
              <w:rPr>
                <w:color w:val="008000"/>
                <w:sz w:val="16"/>
              </w:rPr>
              <w:t xml:space="preserve">Objectif </w:t>
            </w:r>
            <w:r w:rsidRPr="00B470C6">
              <w:rPr>
                <w:color w:val="008000"/>
                <w:spacing w:val="-2"/>
                <w:sz w:val="16"/>
              </w:rPr>
              <w:t>pleinement</w:t>
            </w:r>
            <w:r w:rsidRPr="00B470C6">
              <w:rPr>
                <w:color w:val="008000"/>
                <w:sz w:val="16"/>
              </w:rPr>
              <w:t xml:space="preserve"> atteint</w:t>
            </w:r>
          </w:p>
        </w:tc>
      </w:tr>
      <w:tr w:rsidR="0096696E" w:rsidRPr="005C7CCE" w:rsidTr="0033279F">
        <w:trPr>
          <w:cantSplit/>
        </w:trPr>
        <w:tc>
          <w:tcPr>
            <w:tcW w:w="1881" w:type="dxa"/>
            <w:gridSpan w:val="2"/>
            <w:shd w:val="clear" w:color="auto" w:fill="auto"/>
          </w:tcPr>
          <w:p w:rsidR="0096696E" w:rsidRPr="00761625" w:rsidRDefault="0096696E" w:rsidP="001A5BF9">
            <w:pPr>
              <w:rPr>
                <w:rFonts w:cs="Arial"/>
                <w:sz w:val="16"/>
                <w:szCs w:val="16"/>
                <w:lang w:bidi="th-TH"/>
              </w:rPr>
            </w:pPr>
            <w:r w:rsidRPr="00761625">
              <w:rPr>
                <w:sz w:val="16"/>
              </w:rPr>
              <w:t>Nombre de personnes formées/participantes par année et répartition géographique (PMA)</w:t>
            </w:r>
          </w:p>
        </w:tc>
        <w:tc>
          <w:tcPr>
            <w:tcW w:w="1995" w:type="dxa"/>
            <w:gridSpan w:val="2"/>
            <w:shd w:val="clear" w:color="auto" w:fill="auto"/>
          </w:tcPr>
          <w:p w:rsidR="0096696E" w:rsidRPr="00761625" w:rsidRDefault="0096696E" w:rsidP="001A5BF9">
            <w:pPr>
              <w:rPr>
                <w:rFonts w:cs="Arial"/>
                <w:sz w:val="16"/>
                <w:szCs w:val="16"/>
                <w:lang w:bidi="th-TH"/>
              </w:rPr>
            </w:pPr>
            <w:r w:rsidRPr="00761625">
              <w:rPr>
                <w:sz w:val="16"/>
              </w:rPr>
              <w:t xml:space="preserve">Total de </w:t>
            </w:r>
            <w:r w:rsidR="00BD43F2" w:rsidRPr="00761625">
              <w:rPr>
                <w:sz w:val="16"/>
              </w:rPr>
              <w:t>502 </w:t>
            </w:r>
            <w:r w:rsidRPr="00761625">
              <w:rPr>
                <w:sz w:val="16"/>
              </w:rPr>
              <w:t xml:space="preserve">personnes formées/participantes pour toutes les régions </w:t>
            </w:r>
          </w:p>
        </w:tc>
        <w:tc>
          <w:tcPr>
            <w:tcW w:w="1227" w:type="dxa"/>
            <w:shd w:val="clear" w:color="auto" w:fill="auto"/>
            <w:tcMar>
              <w:top w:w="110" w:type="dxa"/>
            </w:tcMar>
          </w:tcPr>
          <w:p w:rsidR="00D42474" w:rsidRDefault="0096696E" w:rsidP="001A5BF9">
            <w:pPr>
              <w:autoSpaceDE w:val="0"/>
              <w:autoSpaceDN w:val="0"/>
              <w:adjustRightInd w:val="0"/>
              <w:rPr>
                <w:rFonts w:cs="Arial"/>
                <w:sz w:val="16"/>
                <w:szCs w:val="16"/>
              </w:rPr>
            </w:pPr>
            <w:r w:rsidRPr="00761625">
              <w:rPr>
                <w:sz w:val="16"/>
              </w:rPr>
              <w:t>Augmentation du nombre</w:t>
            </w:r>
          </w:p>
          <w:p w:rsidR="00D42474" w:rsidRDefault="0096696E" w:rsidP="001A5BF9">
            <w:pPr>
              <w:autoSpaceDE w:val="0"/>
              <w:autoSpaceDN w:val="0"/>
              <w:adjustRightInd w:val="0"/>
              <w:rPr>
                <w:rFonts w:cs="Arial"/>
                <w:sz w:val="16"/>
                <w:szCs w:val="16"/>
              </w:rPr>
            </w:pPr>
            <w:r w:rsidRPr="00761625">
              <w:rPr>
                <w:sz w:val="16"/>
              </w:rPr>
              <w:t>de stagiaires/</w:t>
            </w:r>
          </w:p>
          <w:p w:rsidR="0096696E" w:rsidRPr="00761625" w:rsidRDefault="0096696E" w:rsidP="00B9205A">
            <w:pPr>
              <w:ind w:leftChars="-6" w:left="2" w:hangingChars="9" w:hanging="14"/>
              <w:rPr>
                <w:rFonts w:cs="Arial"/>
                <w:sz w:val="16"/>
                <w:szCs w:val="16"/>
                <w:lang w:bidi="th-TH"/>
              </w:rPr>
            </w:pPr>
            <w:r w:rsidRPr="00761625">
              <w:rPr>
                <w:sz w:val="16"/>
              </w:rPr>
              <w:t>participants</w:t>
            </w:r>
          </w:p>
        </w:tc>
        <w:tc>
          <w:tcPr>
            <w:tcW w:w="3261" w:type="dxa"/>
            <w:gridSpan w:val="7"/>
            <w:shd w:val="clear" w:color="auto" w:fill="FFFFFF"/>
            <w:tcMar>
              <w:top w:w="110" w:type="dxa"/>
            </w:tcMar>
          </w:tcPr>
          <w:p w:rsidR="00D42474" w:rsidRDefault="0096696E" w:rsidP="001A5BF9">
            <w:pPr>
              <w:rPr>
                <w:rFonts w:cs="Arial"/>
                <w:sz w:val="16"/>
                <w:szCs w:val="16"/>
                <w:lang w:bidi="th-TH"/>
              </w:rPr>
            </w:pPr>
            <w:r w:rsidRPr="005C7CCE">
              <w:rPr>
                <w:sz w:val="16"/>
              </w:rPr>
              <w:t xml:space="preserve">Au total, </w:t>
            </w:r>
            <w:r w:rsidR="0010442A" w:rsidRPr="005C7CCE">
              <w:rPr>
                <w:sz w:val="16"/>
              </w:rPr>
              <w:t>1907</w:t>
            </w:r>
            <w:r w:rsidRPr="005C7CCE">
              <w:rPr>
                <w:sz w:val="16"/>
              </w:rPr>
              <w:t> stagiaires/participants de toutes les régions ont bénéficié du développement des compétences, des formations et des programmes de renforcement des capacités de l</w:t>
            </w:r>
            <w:r w:rsidR="00A20444" w:rsidRPr="005C7CCE">
              <w:rPr>
                <w:sz w:val="16"/>
              </w:rPr>
              <w:t>’</w:t>
            </w:r>
            <w:r w:rsidRPr="005C7CCE">
              <w:rPr>
                <w:sz w:val="16"/>
              </w:rPr>
              <w:t>OMPI (exercice biennal)</w:t>
            </w:r>
          </w:p>
          <w:p w:rsidR="00D42474" w:rsidRDefault="0096696E" w:rsidP="001A5BF9">
            <w:pPr>
              <w:pStyle w:val="Paragraphedeliste"/>
              <w:numPr>
                <w:ilvl w:val="0"/>
                <w:numId w:val="32"/>
              </w:numPr>
              <w:rPr>
                <w:rFonts w:cs="Arial"/>
                <w:sz w:val="16"/>
                <w:szCs w:val="16"/>
                <w:lang w:bidi="th-TH"/>
              </w:rPr>
            </w:pPr>
            <w:r w:rsidRPr="005C7CCE">
              <w:rPr>
                <w:sz w:val="16"/>
              </w:rPr>
              <w:t>1 065 (2012) (23 PMA d</w:t>
            </w:r>
            <w:r w:rsidR="00A20444" w:rsidRPr="005C7CCE">
              <w:rPr>
                <w:sz w:val="16"/>
              </w:rPr>
              <w:t>’</w:t>
            </w:r>
            <w:r w:rsidRPr="005C7CCE">
              <w:rPr>
                <w:sz w:val="16"/>
              </w:rPr>
              <w:t>Afrique et 5 PMA d</w:t>
            </w:r>
            <w:r w:rsidR="00A20444" w:rsidRPr="005C7CCE">
              <w:rPr>
                <w:sz w:val="16"/>
              </w:rPr>
              <w:t>’</w:t>
            </w:r>
            <w:r w:rsidRPr="005C7CCE">
              <w:rPr>
                <w:sz w:val="16"/>
              </w:rPr>
              <w:t>Asie)</w:t>
            </w:r>
          </w:p>
          <w:p w:rsidR="0096696E" w:rsidRPr="005C7CCE" w:rsidRDefault="0096696E" w:rsidP="001A5BF9">
            <w:pPr>
              <w:pStyle w:val="Paragraphedeliste"/>
              <w:numPr>
                <w:ilvl w:val="0"/>
                <w:numId w:val="32"/>
              </w:numPr>
              <w:rPr>
                <w:rFonts w:cs="Arial"/>
                <w:sz w:val="16"/>
                <w:szCs w:val="16"/>
              </w:rPr>
            </w:pPr>
            <w:r w:rsidRPr="005C7CCE">
              <w:rPr>
                <w:sz w:val="16"/>
              </w:rPr>
              <w:t>842 (2013) (28 PMA d</w:t>
            </w:r>
            <w:r w:rsidR="00A20444" w:rsidRPr="005C7CCE">
              <w:rPr>
                <w:sz w:val="16"/>
              </w:rPr>
              <w:t>’</w:t>
            </w:r>
            <w:r w:rsidRPr="005C7CCE">
              <w:rPr>
                <w:sz w:val="16"/>
              </w:rPr>
              <w:t>Afrique et 6 PMA d</w:t>
            </w:r>
            <w:r w:rsidR="00A20444" w:rsidRPr="005C7CCE">
              <w:rPr>
                <w:sz w:val="16"/>
              </w:rPr>
              <w:t>’</w:t>
            </w:r>
            <w:r w:rsidRPr="005C7CCE">
              <w:rPr>
                <w:sz w:val="16"/>
              </w:rPr>
              <w:t>Asie)</w:t>
            </w:r>
            <w:r w:rsidR="00BD43F2">
              <w:rPr>
                <w:sz w:val="16"/>
              </w:rPr>
              <w:t>.</w:t>
            </w:r>
          </w:p>
        </w:tc>
        <w:tc>
          <w:tcPr>
            <w:tcW w:w="1134" w:type="dxa"/>
            <w:shd w:val="clear" w:color="auto" w:fill="auto"/>
          </w:tcPr>
          <w:p w:rsidR="0096696E" w:rsidRPr="005C7CCE" w:rsidRDefault="0096696E" w:rsidP="001A5BF9">
            <w:pPr>
              <w:jc w:val="center"/>
              <w:rPr>
                <w:rFonts w:cs="Arial"/>
                <w:color w:val="008000"/>
                <w:sz w:val="16"/>
                <w:szCs w:val="16"/>
              </w:rPr>
            </w:pPr>
            <w:r w:rsidRPr="00B470C6">
              <w:rPr>
                <w:color w:val="008000"/>
                <w:sz w:val="16"/>
              </w:rPr>
              <w:t xml:space="preserve">Objectif </w:t>
            </w:r>
            <w:r w:rsidRPr="00B470C6">
              <w:rPr>
                <w:color w:val="008000"/>
                <w:spacing w:val="-2"/>
                <w:sz w:val="16"/>
              </w:rPr>
              <w:t>pleinement</w:t>
            </w:r>
            <w:r w:rsidRPr="00B470C6">
              <w:rPr>
                <w:color w:val="008000"/>
                <w:sz w:val="16"/>
              </w:rPr>
              <w:t xml:space="preserve"> atteint</w:t>
            </w:r>
          </w:p>
        </w:tc>
      </w:tr>
      <w:tr w:rsidR="0096696E" w:rsidRPr="005C7CCE" w:rsidTr="0033279F">
        <w:trPr>
          <w:cantSplit/>
        </w:trPr>
        <w:tc>
          <w:tcPr>
            <w:tcW w:w="1881" w:type="dxa"/>
            <w:gridSpan w:val="2"/>
            <w:shd w:val="clear" w:color="auto" w:fill="auto"/>
          </w:tcPr>
          <w:p w:rsidR="0096696E" w:rsidRPr="00761625" w:rsidRDefault="0096696E" w:rsidP="001A5BF9">
            <w:pPr>
              <w:rPr>
                <w:rFonts w:cs="Arial"/>
                <w:spacing w:val="-2"/>
                <w:sz w:val="16"/>
                <w:szCs w:val="16"/>
                <w:lang w:bidi="th-TH"/>
              </w:rPr>
            </w:pPr>
            <w:r w:rsidRPr="00761625">
              <w:rPr>
                <w:spacing w:val="-2"/>
                <w:sz w:val="16"/>
              </w:rPr>
              <w:t>Pourcentage de participants aux activités de renforcement des capacités qui font part de meilleures compréhension et utilisation des principes, des systèmes et des outils de propriété intellectuelle en vue d</w:t>
            </w:r>
            <w:r w:rsidR="00A20444" w:rsidRPr="00761625">
              <w:rPr>
                <w:spacing w:val="-2"/>
                <w:sz w:val="16"/>
              </w:rPr>
              <w:t>’</w:t>
            </w:r>
            <w:r w:rsidRPr="00761625">
              <w:rPr>
                <w:spacing w:val="-2"/>
                <w:sz w:val="16"/>
              </w:rPr>
              <w:t xml:space="preserve">assurer la protection des savoirs traditionnels et des expressions culturelles traditionnelles et de mieux gérer la relation entre la protection intellectuelle et les ressources génétiques </w:t>
            </w:r>
          </w:p>
        </w:tc>
        <w:tc>
          <w:tcPr>
            <w:tcW w:w="1995" w:type="dxa"/>
            <w:gridSpan w:val="2"/>
            <w:shd w:val="clear" w:color="auto" w:fill="auto"/>
          </w:tcPr>
          <w:p w:rsidR="0096696E" w:rsidRPr="00761625" w:rsidRDefault="0096696E" w:rsidP="001A5BF9">
            <w:pPr>
              <w:rPr>
                <w:rFonts w:cs="Arial"/>
                <w:sz w:val="16"/>
                <w:szCs w:val="16"/>
                <w:lang w:bidi="th-TH"/>
              </w:rPr>
            </w:pPr>
            <w:r w:rsidRPr="00761625">
              <w:rPr>
                <w:sz w:val="16"/>
              </w:rPr>
              <w:t>Première utilisation de cet indicateur dans ce programme</w:t>
            </w:r>
          </w:p>
        </w:tc>
        <w:tc>
          <w:tcPr>
            <w:tcW w:w="1227" w:type="dxa"/>
            <w:shd w:val="clear" w:color="auto" w:fill="auto"/>
            <w:tcMar>
              <w:top w:w="110" w:type="dxa"/>
            </w:tcMar>
          </w:tcPr>
          <w:p w:rsidR="0096696E" w:rsidRPr="00761625" w:rsidRDefault="0096696E" w:rsidP="001A5BF9">
            <w:pPr>
              <w:rPr>
                <w:rFonts w:cs="Arial"/>
                <w:sz w:val="16"/>
                <w:szCs w:val="16"/>
                <w:lang w:bidi="th-TH"/>
              </w:rPr>
            </w:pPr>
            <w:r w:rsidRPr="00761625">
              <w:rPr>
                <w:sz w:val="16"/>
              </w:rPr>
              <w:t>75</w:t>
            </w:r>
            <w:r w:rsidR="007E442D" w:rsidRPr="00761625">
              <w:rPr>
                <w:sz w:val="16"/>
              </w:rPr>
              <w:t>%</w:t>
            </w:r>
          </w:p>
        </w:tc>
        <w:tc>
          <w:tcPr>
            <w:tcW w:w="3261" w:type="dxa"/>
            <w:gridSpan w:val="7"/>
            <w:shd w:val="clear" w:color="auto" w:fill="FFFFFF"/>
            <w:tcMar>
              <w:top w:w="110" w:type="dxa"/>
            </w:tcMar>
          </w:tcPr>
          <w:p w:rsidR="0096696E" w:rsidRPr="005C7CCE" w:rsidRDefault="0096696E" w:rsidP="001A5BF9">
            <w:pPr>
              <w:rPr>
                <w:rFonts w:cs="Arial"/>
                <w:sz w:val="16"/>
                <w:szCs w:val="16"/>
                <w:lang w:bidi="th-TH"/>
              </w:rPr>
            </w:pPr>
            <w:r w:rsidRPr="00761625">
              <w:rPr>
                <w:sz w:val="16"/>
              </w:rPr>
              <w:t>95</w:t>
            </w:r>
            <w:r w:rsidR="007E442D" w:rsidRPr="00761625">
              <w:rPr>
                <w:sz w:val="16"/>
              </w:rPr>
              <w:t>%</w:t>
            </w:r>
            <w:r w:rsidRPr="00761625">
              <w:rPr>
                <w:sz w:val="16"/>
              </w:rPr>
              <w:t xml:space="preserve"> (questionnaire de satisfaction utilisé dans cinq</w:t>
            </w:r>
            <w:r w:rsidR="0010442A" w:rsidRPr="00761625">
              <w:rPr>
                <w:sz w:val="16"/>
              </w:rPr>
              <w:t> </w:t>
            </w:r>
            <w:r w:rsidRPr="00761625">
              <w:rPr>
                <w:sz w:val="16"/>
              </w:rPr>
              <w:t>activités organisées par la Division des savoirs traditionnels).</w:t>
            </w:r>
          </w:p>
        </w:tc>
        <w:tc>
          <w:tcPr>
            <w:tcW w:w="1134" w:type="dxa"/>
            <w:shd w:val="clear" w:color="auto" w:fill="auto"/>
          </w:tcPr>
          <w:p w:rsidR="0096696E" w:rsidRPr="005C7CCE" w:rsidRDefault="0096696E" w:rsidP="001A5BF9">
            <w:pPr>
              <w:keepNext/>
              <w:keepLines/>
              <w:jc w:val="center"/>
              <w:rPr>
                <w:rFonts w:cs="Arial"/>
                <w:bCs/>
                <w:color w:val="008000"/>
                <w:spacing w:val="-2"/>
                <w:sz w:val="16"/>
                <w:szCs w:val="16"/>
              </w:rPr>
            </w:pPr>
            <w:r w:rsidRPr="00B470C6">
              <w:rPr>
                <w:color w:val="008000"/>
                <w:spacing w:val="-2"/>
                <w:sz w:val="16"/>
              </w:rPr>
              <w:t>Objectif pleinement atteint</w:t>
            </w:r>
          </w:p>
        </w:tc>
      </w:tr>
      <w:tr w:rsidR="0096696E" w:rsidRPr="005C7CCE" w:rsidTr="0033279F">
        <w:trPr>
          <w:cantSplit/>
        </w:trPr>
        <w:tc>
          <w:tcPr>
            <w:tcW w:w="1881" w:type="dxa"/>
            <w:gridSpan w:val="2"/>
            <w:shd w:val="clear" w:color="auto" w:fill="auto"/>
          </w:tcPr>
          <w:p w:rsidR="0096696E" w:rsidRPr="00761625" w:rsidRDefault="0096696E" w:rsidP="001A5BF9">
            <w:pPr>
              <w:rPr>
                <w:rFonts w:cs="Arial"/>
                <w:spacing w:val="-2"/>
                <w:sz w:val="16"/>
                <w:szCs w:val="16"/>
                <w:lang w:bidi="th-TH"/>
              </w:rPr>
            </w:pPr>
            <w:r w:rsidRPr="00761625">
              <w:rPr>
                <w:spacing w:val="-2"/>
                <w:sz w:val="16"/>
              </w:rPr>
              <w:t>Pourcentage d</w:t>
            </w:r>
            <w:r w:rsidR="00A20444" w:rsidRPr="00761625">
              <w:rPr>
                <w:spacing w:val="-2"/>
                <w:sz w:val="16"/>
              </w:rPr>
              <w:t>’</w:t>
            </w:r>
            <w:r w:rsidRPr="00761625">
              <w:rPr>
                <w:spacing w:val="-2"/>
                <w:sz w:val="16"/>
              </w:rPr>
              <w:t>agents chargés de l</w:t>
            </w:r>
            <w:r w:rsidR="00A20444" w:rsidRPr="00761625">
              <w:rPr>
                <w:spacing w:val="-2"/>
                <w:sz w:val="16"/>
              </w:rPr>
              <w:t>’</w:t>
            </w:r>
            <w:r w:rsidRPr="00761625">
              <w:rPr>
                <w:spacing w:val="-2"/>
                <w:sz w:val="16"/>
              </w:rPr>
              <w:t>application des droits qui font état de leur satisfaction à</w:t>
            </w:r>
            <w:r w:rsidR="0010442A" w:rsidRPr="00761625">
              <w:rPr>
                <w:spacing w:val="-2"/>
                <w:sz w:val="16"/>
              </w:rPr>
              <w:t> </w:t>
            </w:r>
            <w:r w:rsidRPr="00761625">
              <w:rPr>
                <w:spacing w:val="-2"/>
                <w:sz w:val="16"/>
              </w:rPr>
              <w:t>l</w:t>
            </w:r>
            <w:r w:rsidR="00A20444" w:rsidRPr="00761625">
              <w:rPr>
                <w:spacing w:val="-2"/>
                <w:sz w:val="16"/>
              </w:rPr>
              <w:t>’</w:t>
            </w:r>
            <w:r w:rsidRPr="00761625">
              <w:rPr>
                <w:spacing w:val="-2"/>
                <w:sz w:val="16"/>
              </w:rPr>
              <w:t>égard de la formation reçue, y</w:t>
            </w:r>
            <w:r w:rsidR="0010442A" w:rsidRPr="00761625">
              <w:rPr>
                <w:spacing w:val="-2"/>
                <w:sz w:val="16"/>
              </w:rPr>
              <w:t> </w:t>
            </w:r>
            <w:r w:rsidRPr="00761625">
              <w:rPr>
                <w:spacing w:val="-2"/>
                <w:sz w:val="16"/>
              </w:rPr>
              <w:t>compris les orientations sur la coopération stratégique, et de son utilité pour leur vie professionnelle</w:t>
            </w:r>
          </w:p>
        </w:tc>
        <w:tc>
          <w:tcPr>
            <w:tcW w:w="1995" w:type="dxa"/>
            <w:gridSpan w:val="2"/>
            <w:shd w:val="clear" w:color="auto" w:fill="auto"/>
          </w:tcPr>
          <w:p w:rsidR="0096696E" w:rsidRPr="00761625" w:rsidRDefault="0096696E" w:rsidP="001A5BF9">
            <w:pPr>
              <w:rPr>
                <w:rFonts w:cs="Arial"/>
                <w:sz w:val="16"/>
                <w:szCs w:val="16"/>
                <w:lang w:bidi="th-TH"/>
              </w:rPr>
            </w:pPr>
            <w:r w:rsidRPr="00761625">
              <w:rPr>
                <w:sz w:val="16"/>
              </w:rPr>
              <w:t>Pas de données disponibles actuellement</w:t>
            </w:r>
          </w:p>
        </w:tc>
        <w:tc>
          <w:tcPr>
            <w:tcW w:w="1227" w:type="dxa"/>
            <w:shd w:val="clear" w:color="auto" w:fill="auto"/>
            <w:tcMar>
              <w:top w:w="110" w:type="dxa"/>
            </w:tcMar>
          </w:tcPr>
          <w:p w:rsidR="0096696E" w:rsidRPr="00761625" w:rsidRDefault="0096696E" w:rsidP="001A5BF9">
            <w:pPr>
              <w:rPr>
                <w:rFonts w:cs="Arial"/>
                <w:sz w:val="16"/>
                <w:szCs w:val="16"/>
                <w:lang w:bidi="th-TH"/>
              </w:rPr>
            </w:pPr>
            <w:r w:rsidRPr="00761625">
              <w:rPr>
                <w:sz w:val="16"/>
              </w:rPr>
              <w:t>75</w:t>
            </w:r>
            <w:r w:rsidR="007E442D" w:rsidRPr="00761625">
              <w:rPr>
                <w:sz w:val="16"/>
              </w:rPr>
              <w:t>%</w:t>
            </w:r>
          </w:p>
        </w:tc>
        <w:tc>
          <w:tcPr>
            <w:tcW w:w="3261" w:type="dxa"/>
            <w:gridSpan w:val="7"/>
            <w:shd w:val="clear" w:color="auto" w:fill="FFFFFF"/>
            <w:tcMar>
              <w:top w:w="110" w:type="dxa"/>
            </w:tcMar>
          </w:tcPr>
          <w:p w:rsidR="0096696E" w:rsidRPr="005C7CCE" w:rsidRDefault="0096696E" w:rsidP="001A5BF9">
            <w:pPr>
              <w:rPr>
                <w:rFonts w:cs="Arial"/>
                <w:sz w:val="16"/>
                <w:szCs w:val="16"/>
                <w:lang w:bidi="th-TH"/>
              </w:rPr>
            </w:pPr>
            <w:r w:rsidRPr="005C7CCE">
              <w:rPr>
                <w:sz w:val="16"/>
              </w:rPr>
              <w:t>Le taux moyen de satisfaction exprimé par les participants aux activités de renforcement des capacités en termes de sujets, intérêt des participants pour les thèmes et qualité des présentations était supérieur à 85</w:t>
            </w:r>
            <w:r w:rsidR="0010442A" w:rsidRPr="005C7CCE">
              <w:rPr>
                <w:sz w:val="16"/>
              </w:rPr>
              <w:t xml:space="preserve">%. </w:t>
            </w:r>
            <w:r w:rsidRPr="005C7CCE">
              <w:rPr>
                <w:sz w:val="16"/>
              </w:rPr>
              <w:t xml:space="preserve"> (Programme 17)</w:t>
            </w:r>
          </w:p>
        </w:tc>
        <w:tc>
          <w:tcPr>
            <w:tcW w:w="1134" w:type="dxa"/>
            <w:shd w:val="clear" w:color="auto" w:fill="auto"/>
          </w:tcPr>
          <w:p w:rsidR="0096696E" w:rsidRPr="005C7CCE" w:rsidRDefault="0096696E" w:rsidP="001A5BF9">
            <w:pPr>
              <w:keepNext/>
              <w:keepLines/>
              <w:jc w:val="center"/>
              <w:rPr>
                <w:rFonts w:cs="Arial"/>
                <w:bCs/>
                <w:color w:val="008000"/>
                <w:sz w:val="16"/>
                <w:szCs w:val="16"/>
              </w:rPr>
            </w:pPr>
            <w:r w:rsidRPr="00B470C6">
              <w:rPr>
                <w:color w:val="008000"/>
                <w:sz w:val="16"/>
              </w:rPr>
              <w:t xml:space="preserve">Objectif </w:t>
            </w:r>
            <w:r w:rsidRPr="00B470C6">
              <w:rPr>
                <w:color w:val="008000"/>
                <w:spacing w:val="-2"/>
                <w:sz w:val="16"/>
              </w:rPr>
              <w:t>pleinement</w:t>
            </w:r>
            <w:r w:rsidRPr="00B470C6">
              <w:rPr>
                <w:color w:val="008000"/>
                <w:sz w:val="16"/>
              </w:rPr>
              <w:t xml:space="preserve"> atteint</w:t>
            </w:r>
          </w:p>
        </w:tc>
      </w:tr>
      <w:tr w:rsidR="0096696E" w:rsidRPr="005C7CCE" w:rsidTr="0033279F">
        <w:trPr>
          <w:cantSplit/>
        </w:trPr>
        <w:tc>
          <w:tcPr>
            <w:tcW w:w="1881" w:type="dxa"/>
            <w:gridSpan w:val="2"/>
            <w:tcBorders>
              <w:bottom w:val="single" w:sz="4" w:space="0" w:color="auto"/>
            </w:tcBorders>
            <w:shd w:val="clear" w:color="auto" w:fill="auto"/>
          </w:tcPr>
          <w:p w:rsidR="0096696E" w:rsidRPr="00761625" w:rsidRDefault="0096696E" w:rsidP="001A5BF9">
            <w:pPr>
              <w:rPr>
                <w:rFonts w:cs="Arial"/>
                <w:sz w:val="16"/>
                <w:szCs w:val="16"/>
              </w:rPr>
            </w:pPr>
            <w:r w:rsidRPr="00761625">
              <w:rPr>
                <w:sz w:val="16"/>
              </w:rPr>
              <w:t>Pourcentage de participants satisfaits de la qualité des ateliers et des séminaires sur l</w:t>
            </w:r>
            <w:r w:rsidR="00A20444" w:rsidRPr="00761625">
              <w:rPr>
                <w:sz w:val="16"/>
              </w:rPr>
              <w:t>’</w:t>
            </w:r>
            <w:r w:rsidRPr="00761625">
              <w:rPr>
                <w:sz w:val="16"/>
              </w:rPr>
              <w:t>innovation et sa commercialisation</w:t>
            </w:r>
          </w:p>
        </w:tc>
        <w:tc>
          <w:tcPr>
            <w:tcW w:w="1995" w:type="dxa"/>
            <w:gridSpan w:val="2"/>
            <w:tcBorders>
              <w:bottom w:val="single" w:sz="4" w:space="0" w:color="auto"/>
            </w:tcBorders>
            <w:shd w:val="clear" w:color="auto" w:fill="auto"/>
          </w:tcPr>
          <w:p w:rsidR="0096696E" w:rsidRPr="00761625" w:rsidRDefault="0096696E" w:rsidP="001A5BF9">
            <w:pPr>
              <w:rPr>
                <w:rFonts w:cs="Arial"/>
                <w:sz w:val="16"/>
                <w:szCs w:val="16"/>
              </w:rPr>
            </w:pPr>
            <w:r w:rsidRPr="00761625">
              <w:rPr>
                <w:sz w:val="16"/>
              </w:rPr>
              <w:t>Retour d</w:t>
            </w:r>
            <w:r w:rsidR="00A20444" w:rsidRPr="00761625">
              <w:rPr>
                <w:sz w:val="16"/>
              </w:rPr>
              <w:t>’</w:t>
            </w:r>
            <w:r w:rsidRPr="00761625">
              <w:rPr>
                <w:sz w:val="16"/>
              </w:rPr>
              <w:t>information général disponible, mais pas de données précises</w:t>
            </w:r>
          </w:p>
        </w:tc>
        <w:tc>
          <w:tcPr>
            <w:tcW w:w="1227" w:type="dxa"/>
            <w:tcBorders>
              <w:bottom w:val="single" w:sz="4" w:space="0" w:color="auto"/>
            </w:tcBorders>
            <w:shd w:val="clear" w:color="auto" w:fill="auto"/>
            <w:tcMar>
              <w:top w:w="110" w:type="dxa"/>
            </w:tcMar>
          </w:tcPr>
          <w:p w:rsidR="0096696E" w:rsidRPr="00761625" w:rsidRDefault="0096696E" w:rsidP="001A5BF9">
            <w:pPr>
              <w:rPr>
                <w:rFonts w:cs="Arial"/>
                <w:sz w:val="16"/>
                <w:szCs w:val="16"/>
              </w:rPr>
            </w:pPr>
            <w:r w:rsidRPr="00761625">
              <w:rPr>
                <w:sz w:val="16"/>
              </w:rPr>
              <w:t>90</w:t>
            </w:r>
            <w:r w:rsidR="007E442D" w:rsidRPr="00761625">
              <w:rPr>
                <w:sz w:val="16"/>
              </w:rPr>
              <w:t>%</w:t>
            </w:r>
          </w:p>
        </w:tc>
        <w:tc>
          <w:tcPr>
            <w:tcW w:w="3261" w:type="dxa"/>
            <w:gridSpan w:val="7"/>
            <w:tcBorders>
              <w:bottom w:val="single" w:sz="4" w:space="0" w:color="auto"/>
            </w:tcBorders>
            <w:shd w:val="clear" w:color="auto" w:fill="FFFFFF"/>
            <w:tcMar>
              <w:top w:w="110" w:type="dxa"/>
            </w:tcMar>
          </w:tcPr>
          <w:p w:rsidR="00D42474" w:rsidRDefault="0096696E" w:rsidP="001A5BF9">
            <w:pPr>
              <w:rPr>
                <w:rFonts w:cs="Arial"/>
                <w:sz w:val="16"/>
                <w:szCs w:val="16"/>
                <w:lang w:bidi="th-TH"/>
              </w:rPr>
            </w:pPr>
            <w:r w:rsidRPr="005C7CCE">
              <w:rPr>
                <w:sz w:val="16"/>
              </w:rPr>
              <w:t>Sur la base des évaluations de 2013 réalisées pour quatre événements de formation supplémentaires (au moyen d</w:t>
            </w:r>
            <w:r w:rsidR="00A20444" w:rsidRPr="005C7CCE">
              <w:rPr>
                <w:sz w:val="16"/>
              </w:rPr>
              <w:t>’</w:t>
            </w:r>
            <w:r w:rsidRPr="005C7CCE">
              <w:rPr>
                <w:sz w:val="16"/>
              </w:rPr>
              <w:t>une enquête récemment élaborée), 100</w:t>
            </w:r>
            <w:r w:rsidR="007E442D" w:rsidRPr="005C7CCE">
              <w:rPr>
                <w:sz w:val="16"/>
              </w:rPr>
              <w:t>%</w:t>
            </w:r>
            <w:r w:rsidRPr="005C7CCE">
              <w:rPr>
                <w:sz w:val="16"/>
              </w:rPr>
              <w:t xml:space="preserve"> des participants étaient satisfaits de la qualité des ateliers (93,8</w:t>
            </w:r>
            <w:r w:rsidR="007E442D" w:rsidRPr="005C7CCE">
              <w:rPr>
                <w:sz w:val="16"/>
              </w:rPr>
              <w:t>%</w:t>
            </w:r>
            <w:r w:rsidRPr="005C7CCE">
              <w:rPr>
                <w:sz w:val="16"/>
              </w:rPr>
              <w:t xml:space="preserve"> ont estimé qu</w:t>
            </w:r>
            <w:r w:rsidR="00A20444" w:rsidRPr="005C7CCE">
              <w:rPr>
                <w:sz w:val="16"/>
              </w:rPr>
              <w:t>’</w:t>
            </w:r>
            <w:r w:rsidRPr="005C7CCE">
              <w:rPr>
                <w:sz w:val="16"/>
              </w:rPr>
              <w:t>ils étaient de bonne ou très bonne qualité) et 100</w:t>
            </w:r>
            <w:r w:rsidR="007E442D" w:rsidRPr="005C7CCE">
              <w:rPr>
                <w:sz w:val="16"/>
              </w:rPr>
              <w:t>%</w:t>
            </w:r>
            <w:r w:rsidRPr="005C7CCE">
              <w:rPr>
                <w:sz w:val="16"/>
              </w:rPr>
              <w:t xml:space="preserve"> ont estimé que les présentations et intervenants étaient de très bonne ou bonne qualité.</w:t>
            </w:r>
          </w:p>
          <w:p w:rsidR="0096696E" w:rsidRPr="005C7CCE" w:rsidRDefault="0096696E" w:rsidP="001A5BF9">
            <w:pPr>
              <w:rPr>
                <w:rFonts w:cs="Arial"/>
                <w:sz w:val="16"/>
                <w:szCs w:val="16"/>
                <w:lang w:bidi="th-TH"/>
              </w:rPr>
            </w:pPr>
          </w:p>
        </w:tc>
        <w:tc>
          <w:tcPr>
            <w:tcW w:w="1134" w:type="dxa"/>
            <w:tcBorders>
              <w:bottom w:val="single" w:sz="4" w:space="0" w:color="auto"/>
            </w:tcBorders>
            <w:shd w:val="clear" w:color="auto" w:fill="auto"/>
          </w:tcPr>
          <w:p w:rsidR="0096696E" w:rsidRPr="005C7CCE" w:rsidRDefault="0096696E" w:rsidP="001A5BF9">
            <w:pPr>
              <w:keepNext/>
              <w:keepLines/>
              <w:jc w:val="center"/>
              <w:rPr>
                <w:rFonts w:cs="Arial"/>
                <w:bCs/>
                <w:color w:val="008000"/>
                <w:sz w:val="16"/>
                <w:szCs w:val="16"/>
              </w:rPr>
            </w:pPr>
            <w:r w:rsidRPr="005C7CCE">
              <w:rPr>
                <w:color w:val="008000"/>
                <w:sz w:val="16"/>
              </w:rPr>
              <w:t xml:space="preserve">Objectif </w:t>
            </w:r>
            <w:r w:rsidRPr="005C7CCE">
              <w:rPr>
                <w:color w:val="008000"/>
                <w:spacing w:val="-2"/>
                <w:sz w:val="16"/>
              </w:rPr>
              <w:t>pleinement</w:t>
            </w:r>
            <w:r w:rsidRPr="005C7CCE">
              <w:rPr>
                <w:color w:val="008000"/>
                <w:sz w:val="16"/>
              </w:rPr>
              <w:t xml:space="preserve"> atteint</w:t>
            </w:r>
          </w:p>
        </w:tc>
      </w:tr>
      <w:tr w:rsidR="0096696E" w:rsidRPr="00761625" w:rsidTr="0033279F">
        <w:trPr>
          <w:cantSplit/>
        </w:trPr>
        <w:tc>
          <w:tcPr>
            <w:tcW w:w="9498" w:type="dxa"/>
            <w:gridSpan w:val="13"/>
            <w:tcBorders>
              <w:top w:val="single" w:sz="4" w:space="0" w:color="auto"/>
              <w:bottom w:val="single" w:sz="4" w:space="0" w:color="auto"/>
            </w:tcBorders>
            <w:shd w:val="clear" w:color="auto" w:fill="CCFFFF"/>
            <w:vAlign w:val="center"/>
          </w:tcPr>
          <w:p w:rsidR="0096696E" w:rsidRPr="00761625" w:rsidRDefault="0096696E" w:rsidP="00761625">
            <w:pPr>
              <w:keepNext/>
              <w:keepLines/>
              <w:spacing w:before="60" w:after="60"/>
              <w:ind w:left="1735" w:hanging="1735"/>
              <w:rPr>
                <w:rFonts w:cs="Arial"/>
                <w:b/>
                <w:bCs/>
                <w:sz w:val="16"/>
                <w:szCs w:val="16"/>
              </w:rPr>
            </w:pPr>
            <w:r w:rsidRPr="00761625">
              <w:rPr>
                <w:b/>
                <w:sz w:val="16"/>
              </w:rPr>
              <w:t>Résultat escompté</w:t>
            </w:r>
            <w:r w:rsidR="0010442A" w:rsidRPr="00761625">
              <w:rPr>
                <w:b/>
                <w:sz w:val="16"/>
              </w:rPr>
              <w:t xml:space="preserve"> : </w:t>
            </w:r>
            <w:r w:rsidRPr="00761625">
              <w:rPr>
                <w:b/>
                <w:sz w:val="16"/>
              </w:rPr>
              <w:tab/>
            </w:r>
            <w:r w:rsidRPr="00761625">
              <w:rPr>
                <w:sz w:val="16"/>
              </w:rPr>
              <w:t>Amélioration de l</w:t>
            </w:r>
            <w:r w:rsidR="00A20444" w:rsidRPr="00761625">
              <w:rPr>
                <w:sz w:val="16"/>
              </w:rPr>
              <w:t>’</w:t>
            </w:r>
            <w:r w:rsidRPr="00761625">
              <w:rPr>
                <w:sz w:val="16"/>
              </w:rPr>
              <w:t>accès aux informations et au savoir en matière de propriété intellectuelle et leur utilisation par les institutions de propriété intellectuelle et le public au service de l</w:t>
            </w:r>
            <w:r w:rsidR="00A20444" w:rsidRPr="00761625">
              <w:rPr>
                <w:sz w:val="16"/>
              </w:rPr>
              <w:t>’</w:t>
            </w:r>
            <w:r w:rsidRPr="00761625">
              <w:rPr>
                <w:sz w:val="16"/>
              </w:rPr>
              <w:t>innovation, et facilité d</w:t>
            </w:r>
            <w:r w:rsidR="00A20444" w:rsidRPr="00761625">
              <w:rPr>
                <w:sz w:val="16"/>
              </w:rPr>
              <w:t>’</w:t>
            </w:r>
            <w:r w:rsidRPr="00761625">
              <w:rPr>
                <w:sz w:val="16"/>
              </w:rPr>
              <w:t>accès aux œuvres créatives protégées et aux œuvres créatives tombées dans le domaine public</w:t>
            </w:r>
          </w:p>
        </w:tc>
      </w:tr>
      <w:tr w:rsidR="0096696E" w:rsidRPr="00761625" w:rsidTr="0033279F">
        <w:trPr>
          <w:cantSplit/>
        </w:trPr>
        <w:tc>
          <w:tcPr>
            <w:tcW w:w="1881" w:type="dxa"/>
            <w:gridSpan w:val="2"/>
            <w:tcBorders>
              <w:top w:val="single" w:sz="4" w:space="0" w:color="auto"/>
            </w:tcBorders>
            <w:shd w:val="clear" w:color="auto" w:fill="auto"/>
            <w:vAlign w:val="center"/>
          </w:tcPr>
          <w:p w:rsidR="0096696E" w:rsidRPr="00761625" w:rsidRDefault="0096696E" w:rsidP="001A5BF9">
            <w:pPr>
              <w:keepNext/>
              <w:keepLines/>
              <w:rPr>
                <w:rFonts w:cs="Arial"/>
                <w:b/>
                <w:sz w:val="16"/>
                <w:szCs w:val="16"/>
              </w:rPr>
            </w:pPr>
            <w:r w:rsidRPr="00761625">
              <w:rPr>
                <w:b/>
                <w:sz w:val="16"/>
              </w:rPr>
              <w:t>Indicateurs d</w:t>
            </w:r>
            <w:r w:rsidR="00A20444" w:rsidRPr="00761625">
              <w:rPr>
                <w:b/>
                <w:sz w:val="16"/>
              </w:rPr>
              <w:t>’</w:t>
            </w:r>
            <w:r w:rsidRPr="00761625">
              <w:rPr>
                <w:b/>
                <w:sz w:val="16"/>
              </w:rPr>
              <w:t>exécution</w:t>
            </w:r>
          </w:p>
        </w:tc>
        <w:tc>
          <w:tcPr>
            <w:tcW w:w="1995" w:type="dxa"/>
            <w:gridSpan w:val="2"/>
            <w:tcBorders>
              <w:top w:val="single" w:sz="4" w:space="0" w:color="auto"/>
            </w:tcBorders>
            <w:shd w:val="clear" w:color="auto" w:fill="auto"/>
            <w:vAlign w:val="center"/>
          </w:tcPr>
          <w:p w:rsidR="0096696E" w:rsidRPr="00761625" w:rsidRDefault="0096696E" w:rsidP="001A5BF9">
            <w:pPr>
              <w:keepNext/>
              <w:keepLines/>
              <w:rPr>
                <w:rFonts w:cs="Arial"/>
                <w:b/>
                <w:bCs/>
                <w:sz w:val="16"/>
                <w:szCs w:val="16"/>
              </w:rPr>
            </w:pPr>
            <w:r w:rsidRPr="00761625">
              <w:rPr>
                <w:b/>
                <w:sz w:val="16"/>
              </w:rPr>
              <w:t>Niveaux de référence</w:t>
            </w:r>
          </w:p>
        </w:tc>
        <w:tc>
          <w:tcPr>
            <w:tcW w:w="1933" w:type="dxa"/>
            <w:gridSpan w:val="5"/>
            <w:tcBorders>
              <w:top w:val="single" w:sz="4" w:space="0" w:color="auto"/>
            </w:tcBorders>
            <w:shd w:val="clear" w:color="auto" w:fill="auto"/>
            <w:tcMar>
              <w:top w:w="110" w:type="dxa"/>
            </w:tcMar>
            <w:vAlign w:val="center"/>
          </w:tcPr>
          <w:p w:rsidR="0096696E" w:rsidRPr="00761625" w:rsidRDefault="0096696E" w:rsidP="001A5BF9">
            <w:pPr>
              <w:keepNext/>
              <w:keepLines/>
              <w:rPr>
                <w:rFonts w:cs="Arial"/>
                <w:b/>
                <w:sz w:val="16"/>
                <w:szCs w:val="16"/>
              </w:rPr>
            </w:pPr>
            <w:r w:rsidRPr="00761625">
              <w:rPr>
                <w:b/>
                <w:sz w:val="16"/>
              </w:rPr>
              <w:t>Objectifs visés</w:t>
            </w:r>
          </w:p>
        </w:tc>
        <w:tc>
          <w:tcPr>
            <w:tcW w:w="2478" w:type="dxa"/>
            <w:tcBorders>
              <w:top w:val="single" w:sz="4" w:space="0" w:color="auto"/>
            </w:tcBorders>
            <w:shd w:val="clear" w:color="auto" w:fill="FFFFFF"/>
            <w:tcMar>
              <w:top w:w="110" w:type="dxa"/>
            </w:tcMar>
            <w:vAlign w:val="center"/>
          </w:tcPr>
          <w:p w:rsidR="0096696E" w:rsidRPr="00761625" w:rsidRDefault="0096696E" w:rsidP="001A5BF9">
            <w:pPr>
              <w:keepNext/>
              <w:keepLines/>
              <w:rPr>
                <w:rFonts w:cs="Arial"/>
                <w:b/>
                <w:sz w:val="16"/>
                <w:szCs w:val="16"/>
              </w:rPr>
            </w:pPr>
            <w:r w:rsidRPr="00761625">
              <w:rPr>
                <w:b/>
                <w:sz w:val="16"/>
              </w:rPr>
              <w:t>Données relatives à l</w:t>
            </w:r>
            <w:r w:rsidR="00A20444" w:rsidRPr="00761625">
              <w:rPr>
                <w:b/>
                <w:sz w:val="16"/>
              </w:rPr>
              <w:t>’</w:t>
            </w:r>
            <w:r w:rsidRPr="00761625">
              <w:rPr>
                <w:b/>
                <w:sz w:val="16"/>
              </w:rPr>
              <w:t>exécution</w:t>
            </w:r>
          </w:p>
        </w:tc>
        <w:tc>
          <w:tcPr>
            <w:tcW w:w="1211" w:type="dxa"/>
            <w:gridSpan w:val="3"/>
            <w:tcBorders>
              <w:top w:val="single" w:sz="4" w:space="0" w:color="auto"/>
            </w:tcBorders>
            <w:shd w:val="clear" w:color="auto" w:fill="auto"/>
            <w:tcMar>
              <w:top w:w="110" w:type="dxa"/>
            </w:tcMar>
            <w:vAlign w:val="center"/>
          </w:tcPr>
          <w:p w:rsidR="0096696E" w:rsidRPr="00761625" w:rsidRDefault="0096696E" w:rsidP="001A5BF9">
            <w:pPr>
              <w:keepNext/>
              <w:keepLines/>
              <w:jc w:val="center"/>
              <w:rPr>
                <w:rFonts w:cs="Arial"/>
                <w:b/>
                <w:bCs/>
                <w:sz w:val="16"/>
                <w:szCs w:val="16"/>
              </w:rPr>
            </w:pPr>
            <w:r w:rsidRPr="00761625">
              <w:rPr>
                <w:b/>
                <w:sz w:val="16"/>
              </w:rPr>
              <w:t>Code de couleurs</w:t>
            </w:r>
          </w:p>
        </w:tc>
      </w:tr>
      <w:tr w:rsidR="0096696E" w:rsidRPr="005C7CCE" w:rsidTr="0033279F">
        <w:trPr>
          <w:cantSplit/>
        </w:trPr>
        <w:tc>
          <w:tcPr>
            <w:tcW w:w="1881" w:type="dxa"/>
            <w:gridSpan w:val="2"/>
            <w:shd w:val="clear" w:color="auto" w:fill="FFFFFF"/>
          </w:tcPr>
          <w:p w:rsidR="0096696E" w:rsidRPr="00761625" w:rsidRDefault="0096696E" w:rsidP="001A5BF9">
            <w:pPr>
              <w:keepNext/>
              <w:keepLines/>
              <w:rPr>
                <w:rFonts w:cs="Arial"/>
                <w:sz w:val="16"/>
                <w:szCs w:val="16"/>
                <w:lang w:bidi="th-TH"/>
              </w:rPr>
            </w:pPr>
            <w:r w:rsidRPr="00761625">
              <w:rPr>
                <w:sz w:val="16"/>
              </w:rPr>
              <w:t>Nombre de réseaux nationaux de centres d</w:t>
            </w:r>
            <w:r w:rsidR="00A20444" w:rsidRPr="00761625">
              <w:rPr>
                <w:sz w:val="16"/>
              </w:rPr>
              <w:t>’</w:t>
            </w:r>
            <w:r w:rsidRPr="00761625">
              <w:rPr>
                <w:sz w:val="16"/>
              </w:rPr>
              <w:t>appui à la technologie et à l</w:t>
            </w:r>
            <w:r w:rsidR="00A20444" w:rsidRPr="00761625">
              <w:rPr>
                <w:sz w:val="16"/>
              </w:rPr>
              <w:t>’</w:t>
            </w:r>
            <w:r w:rsidRPr="00761625">
              <w:rPr>
                <w:sz w:val="16"/>
              </w:rPr>
              <w:t>innovation lancés</w:t>
            </w:r>
          </w:p>
        </w:tc>
        <w:tc>
          <w:tcPr>
            <w:tcW w:w="1995" w:type="dxa"/>
            <w:gridSpan w:val="2"/>
            <w:shd w:val="clear" w:color="auto" w:fill="auto"/>
          </w:tcPr>
          <w:p w:rsidR="00D42474" w:rsidRDefault="0096696E" w:rsidP="001A5BF9">
            <w:pPr>
              <w:keepNext/>
              <w:keepLines/>
              <w:rPr>
                <w:color w:val="002060"/>
                <w:sz w:val="16"/>
              </w:rPr>
            </w:pPr>
            <w:r w:rsidRPr="005C7CCE">
              <w:rPr>
                <w:i/>
                <w:color w:val="002060"/>
                <w:sz w:val="16"/>
              </w:rPr>
              <w:t>Niveau de référence actualisé fin 2011 :</w:t>
            </w:r>
            <w:r w:rsidRPr="005C7CCE">
              <w:br/>
            </w:r>
            <w:r w:rsidRPr="005C7CCE">
              <w:rPr>
                <w:color w:val="002060"/>
                <w:sz w:val="16"/>
              </w:rPr>
              <w:t>18 réseaux de CATI</w:t>
            </w:r>
            <w:r w:rsidRPr="005C7CCE">
              <w:rPr>
                <w:rStyle w:val="FootnoteReference"/>
                <w:color w:val="002060"/>
                <w:sz w:val="16"/>
              </w:rPr>
              <w:footnoteReference w:id="21"/>
            </w:r>
            <w:r w:rsidRPr="005C7CCE">
              <w:rPr>
                <w:color w:val="002060"/>
                <w:sz w:val="16"/>
              </w:rPr>
              <w:t xml:space="preserve"> Afrique (7),</w:t>
            </w:r>
          </w:p>
          <w:p w:rsidR="00D42474" w:rsidRDefault="0096696E" w:rsidP="001A5BF9">
            <w:pPr>
              <w:keepNext/>
              <w:keepLines/>
              <w:rPr>
                <w:rFonts w:cs="Arial"/>
                <w:color w:val="002060"/>
                <w:sz w:val="16"/>
                <w:szCs w:val="16"/>
                <w:lang w:bidi="th-TH"/>
              </w:rPr>
            </w:pPr>
            <w:r w:rsidRPr="005C7CCE">
              <w:rPr>
                <w:color w:val="002060"/>
                <w:sz w:val="16"/>
              </w:rPr>
              <w:t>pays arabes (4)</w:t>
            </w:r>
          </w:p>
          <w:p w:rsidR="00D42474" w:rsidRDefault="0096696E" w:rsidP="001A5BF9">
            <w:pPr>
              <w:keepNext/>
              <w:keepLines/>
              <w:rPr>
                <w:rFonts w:cs="Arial"/>
                <w:color w:val="002060"/>
                <w:sz w:val="16"/>
                <w:szCs w:val="16"/>
                <w:lang w:bidi="th-TH"/>
              </w:rPr>
            </w:pPr>
            <w:r w:rsidRPr="005C7CCE">
              <w:rPr>
                <w:color w:val="002060"/>
                <w:sz w:val="16"/>
              </w:rPr>
              <w:t>Asie et Pacifique (2), Amérique latine et Caraïbes (5)</w:t>
            </w:r>
          </w:p>
          <w:p w:rsidR="00D42474" w:rsidRDefault="00D42474" w:rsidP="001A5BF9">
            <w:pPr>
              <w:keepNext/>
              <w:keepLines/>
              <w:rPr>
                <w:rFonts w:cs="Arial"/>
                <w:i/>
                <w:sz w:val="8"/>
                <w:szCs w:val="8"/>
                <w:lang w:bidi="th-TH"/>
              </w:rPr>
            </w:pPr>
          </w:p>
          <w:p w:rsidR="00D42474" w:rsidRDefault="0096696E" w:rsidP="001A5BF9">
            <w:pPr>
              <w:keepNext/>
              <w:keepLines/>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96696E" w:rsidRPr="005C7CCE" w:rsidRDefault="00761625" w:rsidP="001A5BF9">
            <w:pPr>
              <w:keepNext/>
              <w:keepLines/>
              <w:rPr>
                <w:rFonts w:cs="Arial"/>
                <w:sz w:val="16"/>
                <w:szCs w:val="16"/>
                <w:lang w:bidi="th-TH"/>
              </w:rPr>
            </w:pPr>
            <w:r w:rsidRPr="00761625">
              <w:rPr>
                <w:sz w:val="16"/>
              </w:rPr>
              <w:t>n</w:t>
            </w:r>
            <w:r w:rsidR="0096696E" w:rsidRPr="00761625">
              <w:rPr>
                <w:sz w:val="16"/>
              </w:rPr>
              <w:t>euf réseaux de centres d</w:t>
            </w:r>
            <w:r w:rsidR="00A20444" w:rsidRPr="00761625">
              <w:rPr>
                <w:sz w:val="16"/>
              </w:rPr>
              <w:t>’</w:t>
            </w:r>
            <w:r w:rsidR="0096696E" w:rsidRPr="00761625">
              <w:rPr>
                <w:sz w:val="16"/>
              </w:rPr>
              <w:t>appui à la technologie et à l</w:t>
            </w:r>
            <w:r w:rsidR="00A20444" w:rsidRPr="00761625">
              <w:rPr>
                <w:sz w:val="16"/>
              </w:rPr>
              <w:t>’</w:t>
            </w:r>
            <w:r w:rsidR="0096696E" w:rsidRPr="00761625">
              <w:rPr>
                <w:sz w:val="16"/>
              </w:rPr>
              <w:t>innovation lancés (premier trimestre 2011)</w:t>
            </w:r>
            <w:r w:rsidR="0010442A" w:rsidRPr="00761625">
              <w:rPr>
                <w:sz w:val="16"/>
              </w:rPr>
              <w:t> </w:t>
            </w:r>
            <w:proofErr w:type="gramStart"/>
            <w:r w:rsidR="0096696E" w:rsidRPr="00761625">
              <w:rPr>
                <w:sz w:val="16"/>
              </w:rPr>
              <w:t>:</w:t>
            </w:r>
            <w:proofErr w:type="gramEnd"/>
            <w:r w:rsidR="0096696E" w:rsidRPr="00761625">
              <w:br/>
            </w:r>
            <w:r w:rsidR="0096696E" w:rsidRPr="00761625">
              <w:rPr>
                <w:sz w:val="16"/>
              </w:rPr>
              <w:t>Afrique (3)</w:t>
            </w:r>
            <w:r w:rsidR="0096696E" w:rsidRPr="00761625">
              <w:br/>
            </w:r>
            <w:r w:rsidR="0096696E" w:rsidRPr="00761625">
              <w:rPr>
                <w:sz w:val="16"/>
              </w:rPr>
              <w:t>Pays arabes (3)</w:t>
            </w:r>
            <w:r w:rsidR="0096696E" w:rsidRPr="00761625">
              <w:br/>
            </w:r>
            <w:r w:rsidR="0096696E" w:rsidRPr="00761625">
              <w:rPr>
                <w:sz w:val="16"/>
              </w:rPr>
              <w:t>Asie et Pacifique (1)</w:t>
            </w:r>
            <w:r w:rsidR="0096696E" w:rsidRPr="00761625">
              <w:br/>
            </w:r>
            <w:r w:rsidR="0096696E" w:rsidRPr="00761625">
              <w:rPr>
                <w:sz w:val="16"/>
              </w:rPr>
              <w:t>Amérique latine et Caraïbes (2)</w:t>
            </w:r>
          </w:p>
        </w:tc>
        <w:tc>
          <w:tcPr>
            <w:tcW w:w="1933" w:type="dxa"/>
            <w:gridSpan w:val="5"/>
            <w:shd w:val="clear" w:color="auto" w:fill="auto"/>
            <w:tcMar>
              <w:top w:w="110" w:type="dxa"/>
            </w:tcMar>
          </w:tcPr>
          <w:p w:rsidR="00D42474" w:rsidRDefault="0096696E" w:rsidP="001A5BF9">
            <w:pPr>
              <w:keepNext/>
              <w:keepLines/>
              <w:rPr>
                <w:rFonts w:cs="Arial"/>
                <w:sz w:val="16"/>
                <w:szCs w:val="16"/>
                <w:lang w:bidi="th-TH"/>
              </w:rPr>
            </w:pPr>
            <w:r w:rsidRPr="00761625">
              <w:rPr>
                <w:spacing w:val="-4"/>
                <w:sz w:val="16"/>
              </w:rPr>
              <w:t>18 réseaux nationaux de CATI supplémentaires</w:t>
            </w:r>
            <w:r w:rsidRPr="00761625">
              <w:rPr>
                <w:sz w:val="16"/>
              </w:rPr>
              <w:t xml:space="preserve"> ont été lancés : Afrique (9), tous dans des PMA arabes (2)</w:t>
            </w:r>
          </w:p>
          <w:p w:rsidR="0096696E" w:rsidRPr="00761625" w:rsidRDefault="0096696E" w:rsidP="001A5BF9">
            <w:pPr>
              <w:keepNext/>
              <w:keepLines/>
              <w:rPr>
                <w:rFonts w:cs="Arial"/>
                <w:sz w:val="16"/>
                <w:szCs w:val="16"/>
                <w:lang w:bidi="th-TH"/>
              </w:rPr>
            </w:pPr>
            <w:r w:rsidRPr="00761625">
              <w:rPr>
                <w:sz w:val="16"/>
              </w:rPr>
              <w:t>Asie et Pacifique (3), tous dans</w:t>
            </w:r>
            <w:r w:rsidR="00A20444" w:rsidRPr="00761625">
              <w:rPr>
                <w:sz w:val="16"/>
              </w:rPr>
              <w:t xml:space="preserve"> des PMA</w:t>
            </w:r>
            <w:r w:rsidRPr="00761625">
              <w:rPr>
                <w:sz w:val="16"/>
              </w:rPr>
              <w:t xml:space="preserve"> d</w:t>
            </w:r>
            <w:r w:rsidR="00A20444" w:rsidRPr="00761625">
              <w:rPr>
                <w:sz w:val="16"/>
              </w:rPr>
              <w:t>’</w:t>
            </w:r>
            <w:r w:rsidRPr="00761625">
              <w:rPr>
                <w:sz w:val="16"/>
              </w:rPr>
              <w:t>Amérique latine et des Caraïbes (4)</w:t>
            </w:r>
          </w:p>
        </w:tc>
        <w:tc>
          <w:tcPr>
            <w:tcW w:w="2478" w:type="dxa"/>
            <w:shd w:val="clear" w:color="auto" w:fill="FFFFFF"/>
            <w:tcMar>
              <w:top w:w="110" w:type="dxa"/>
            </w:tcMar>
          </w:tcPr>
          <w:p w:rsidR="00D42474" w:rsidRDefault="00305FA5" w:rsidP="001A5BF9">
            <w:pPr>
              <w:keepNext/>
              <w:keepLines/>
              <w:rPr>
                <w:sz w:val="16"/>
              </w:rPr>
            </w:pPr>
            <w:r w:rsidRPr="005C7CCE">
              <w:rPr>
                <w:sz w:val="16"/>
              </w:rPr>
              <w:t>18</w:t>
            </w:r>
            <w:r w:rsidR="0096696E" w:rsidRPr="005C7CCE">
              <w:rPr>
                <w:sz w:val="16"/>
              </w:rPr>
              <w:t> réseaux de CATI supplémentaires ont été lancés en 2012</w:t>
            </w:r>
            <w:r w:rsidR="002D6F2A" w:rsidRPr="005C7CCE">
              <w:rPr>
                <w:sz w:val="16"/>
              </w:rPr>
              <w:noBreakHyphen/>
            </w:r>
            <w:r w:rsidR="0096696E" w:rsidRPr="005C7CCE">
              <w:rPr>
                <w:sz w:val="16"/>
              </w:rPr>
              <w:t>2013 : Afrique (12), pays arabes (2), Amérique latine et Caraïbes (4).</w:t>
            </w:r>
          </w:p>
          <w:p w:rsidR="00D42474" w:rsidRDefault="00D42474" w:rsidP="001A5BF9">
            <w:pPr>
              <w:keepNext/>
              <w:keepLines/>
              <w:rPr>
                <w:rFonts w:cs="Arial"/>
                <w:sz w:val="16"/>
                <w:szCs w:val="16"/>
              </w:rPr>
            </w:pPr>
          </w:p>
          <w:p w:rsidR="0096696E" w:rsidRPr="005C7CCE" w:rsidRDefault="0096696E" w:rsidP="001A5BF9">
            <w:pPr>
              <w:keepNext/>
              <w:keepLines/>
              <w:rPr>
                <w:rFonts w:cs="Arial"/>
                <w:sz w:val="16"/>
                <w:szCs w:val="16"/>
                <w:lang w:bidi="th-TH"/>
              </w:rPr>
            </w:pPr>
            <w:r w:rsidRPr="005C7CCE">
              <w:rPr>
                <w:sz w:val="16"/>
              </w:rPr>
              <w:t>36 réseaux de CATI ont été établis : Afrique (19), pays arabes (6), Asie et Pacifique (2), Amérique latine et Caraïbes (9) (cumul).</w:t>
            </w:r>
          </w:p>
        </w:tc>
        <w:tc>
          <w:tcPr>
            <w:tcW w:w="1211" w:type="dxa"/>
            <w:gridSpan w:val="3"/>
            <w:shd w:val="clear" w:color="auto" w:fill="auto"/>
            <w:tcMar>
              <w:top w:w="110" w:type="dxa"/>
            </w:tcMar>
          </w:tcPr>
          <w:p w:rsidR="0096696E" w:rsidRPr="005C7CCE" w:rsidRDefault="0096696E" w:rsidP="001A5BF9">
            <w:pPr>
              <w:keepNext/>
              <w:keepLines/>
              <w:jc w:val="center"/>
              <w:rPr>
                <w:rFonts w:cs="Arial"/>
                <w:color w:val="008000"/>
                <w:sz w:val="16"/>
                <w:szCs w:val="16"/>
              </w:rPr>
            </w:pPr>
            <w:r w:rsidRPr="00B470C6">
              <w:rPr>
                <w:color w:val="008000"/>
                <w:sz w:val="16"/>
              </w:rPr>
              <w:t>Objectif pleinement atteint</w:t>
            </w:r>
          </w:p>
        </w:tc>
      </w:tr>
      <w:tr w:rsidR="0096696E" w:rsidRPr="005C7CCE" w:rsidTr="0033279F">
        <w:trPr>
          <w:cantSplit/>
        </w:trPr>
        <w:tc>
          <w:tcPr>
            <w:tcW w:w="1881" w:type="dxa"/>
            <w:gridSpan w:val="2"/>
            <w:shd w:val="clear" w:color="auto" w:fill="FFFFFF"/>
          </w:tcPr>
          <w:p w:rsidR="0096696E" w:rsidRPr="00761625" w:rsidRDefault="0096696E" w:rsidP="001A5BF9">
            <w:pPr>
              <w:rPr>
                <w:rFonts w:cs="Arial"/>
                <w:sz w:val="16"/>
                <w:szCs w:val="16"/>
                <w:lang w:bidi="th-TH"/>
              </w:rPr>
            </w:pPr>
            <w:r w:rsidRPr="00761625">
              <w:rPr>
                <w:sz w:val="16"/>
              </w:rPr>
              <w:t>Nombre d</w:t>
            </w:r>
            <w:r w:rsidR="00A20444" w:rsidRPr="00761625">
              <w:rPr>
                <w:sz w:val="16"/>
              </w:rPr>
              <w:t>’</w:t>
            </w:r>
            <w:r w:rsidRPr="00761625">
              <w:rPr>
                <w:sz w:val="16"/>
              </w:rPr>
              <w:t>utilisateurs bénéficiant des services des centres par trimestre et pays</w:t>
            </w:r>
          </w:p>
        </w:tc>
        <w:tc>
          <w:tcPr>
            <w:tcW w:w="1995" w:type="dxa"/>
            <w:gridSpan w:val="2"/>
            <w:shd w:val="clear" w:color="auto" w:fill="auto"/>
          </w:tcPr>
          <w:p w:rsidR="00D42474" w:rsidRDefault="0096696E" w:rsidP="001A5BF9">
            <w:pPr>
              <w:rPr>
                <w:rFonts w:cs="Arial"/>
                <w:i/>
                <w:sz w:val="16"/>
                <w:szCs w:val="16"/>
                <w:lang w:bidi="th-TH"/>
              </w:rPr>
            </w:pPr>
            <w:r w:rsidRPr="005C7CCE">
              <w:rPr>
                <w:i/>
                <w:color w:val="002060"/>
                <w:sz w:val="16"/>
                <w:szCs w:val="16"/>
              </w:rPr>
              <w:t>Niveau de référence actualisé fin 2011 :</w:t>
            </w:r>
            <w:r w:rsidR="00761625">
              <w:rPr>
                <w:color w:val="002060"/>
                <w:sz w:val="16"/>
                <w:szCs w:val="16"/>
              </w:rPr>
              <w:t xml:space="preserve"> e</w:t>
            </w:r>
            <w:r w:rsidRPr="005C7CCE">
              <w:rPr>
                <w:color w:val="002060"/>
                <w:sz w:val="16"/>
                <w:szCs w:val="16"/>
              </w:rPr>
              <w:t xml:space="preserve">ntre </w:t>
            </w:r>
            <w:r w:rsidR="00BD43F2">
              <w:rPr>
                <w:color w:val="002060"/>
                <w:sz w:val="16"/>
                <w:szCs w:val="16"/>
              </w:rPr>
              <w:t>200 </w:t>
            </w:r>
            <w:r w:rsidRPr="005C7CCE">
              <w:rPr>
                <w:color w:val="002060"/>
                <w:sz w:val="16"/>
                <w:szCs w:val="16"/>
              </w:rPr>
              <w:t xml:space="preserve">(min.) et </w:t>
            </w:r>
            <w:r w:rsidR="00BD43F2">
              <w:rPr>
                <w:color w:val="002060"/>
                <w:sz w:val="16"/>
                <w:szCs w:val="16"/>
              </w:rPr>
              <w:t>630 </w:t>
            </w:r>
            <w:r w:rsidRPr="005C7CCE">
              <w:rPr>
                <w:color w:val="002060"/>
                <w:sz w:val="16"/>
                <w:szCs w:val="16"/>
              </w:rPr>
              <w:t>(max.) utilisateurs en moyenne bénéficiant des services de CATI par jour</w:t>
            </w:r>
          </w:p>
          <w:p w:rsidR="00D42474" w:rsidRDefault="00D42474" w:rsidP="001A5BF9">
            <w:pPr>
              <w:rPr>
                <w:rFonts w:cs="Arial"/>
                <w:i/>
                <w:sz w:val="16"/>
                <w:szCs w:val="16"/>
                <w:lang w:bidi="th-TH"/>
              </w:rPr>
            </w:pPr>
          </w:p>
          <w:p w:rsidR="0096696E" w:rsidRPr="005C7CCE" w:rsidRDefault="0096696E" w:rsidP="001A5BF9">
            <w:pPr>
              <w:rPr>
                <w:rFonts w:cs="Arial"/>
                <w:sz w:val="16"/>
                <w:szCs w:val="16"/>
                <w:lang w:bidi="th-TH"/>
              </w:rPr>
            </w:pPr>
            <w:r w:rsidRPr="005C7CCE">
              <w:rPr>
                <w:i/>
                <w:sz w:val="16"/>
                <w:szCs w:val="16"/>
              </w:rPr>
              <w:t xml:space="preserve">Niveau de référence initial </w:t>
            </w:r>
            <w:r w:rsidR="00667FB3">
              <w:rPr>
                <w:i/>
                <w:sz w:val="16"/>
                <w:szCs w:val="16"/>
              </w:rPr>
              <w:t>programme et budget</w:t>
            </w:r>
            <w:r w:rsidRPr="005C7CCE">
              <w:rPr>
                <w:i/>
                <w:sz w:val="16"/>
                <w:szCs w:val="16"/>
              </w:rPr>
              <w:t> 2012</w:t>
            </w:r>
            <w:r w:rsidR="002D6F2A" w:rsidRPr="005C7CCE">
              <w:rPr>
                <w:i/>
                <w:sz w:val="16"/>
                <w:szCs w:val="16"/>
              </w:rPr>
              <w:noBreakHyphen/>
            </w:r>
            <w:r w:rsidRPr="005C7CCE">
              <w:rPr>
                <w:i/>
                <w:sz w:val="16"/>
                <w:szCs w:val="16"/>
              </w:rPr>
              <w:t>2013</w:t>
            </w:r>
            <w:r w:rsidRPr="005C7CCE">
              <w:rPr>
                <w:sz w:val="16"/>
                <w:szCs w:val="16"/>
              </w:rPr>
              <w:t> : à déterminer à fin 2011</w:t>
            </w:r>
          </w:p>
        </w:tc>
        <w:tc>
          <w:tcPr>
            <w:tcW w:w="1933" w:type="dxa"/>
            <w:gridSpan w:val="5"/>
            <w:shd w:val="clear" w:color="auto" w:fill="auto"/>
            <w:tcMar>
              <w:top w:w="110" w:type="dxa"/>
            </w:tcMar>
          </w:tcPr>
          <w:p w:rsidR="0096696E" w:rsidRPr="00761625" w:rsidRDefault="0096696E" w:rsidP="001A5BF9">
            <w:pPr>
              <w:rPr>
                <w:rFonts w:cs="Arial"/>
                <w:sz w:val="16"/>
                <w:szCs w:val="16"/>
                <w:lang w:bidi="th-TH"/>
              </w:rPr>
            </w:pPr>
            <w:r w:rsidRPr="00761625">
              <w:rPr>
                <w:sz w:val="16"/>
              </w:rPr>
              <w:t>À déterminer fin 2011</w:t>
            </w:r>
          </w:p>
        </w:tc>
        <w:tc>
          <w:tcPr>
            <w:tcW w:w="2478" w:type="dxa"/>
            <w:shd w:val="clear" w:color="auto" w:fill="FFFFFF"/>
            <w:tcMar>
              <w:top w:w="110" w:type="dxa"/>
            </w:tcMar>
          </w:tcPr>
          <w:p w:rsidR="0096696E" w:rsidRPr="005C7CCE" w:rsidRDefault="0096696E" w:rsidP="001A5BF9">
            <w:pPr>
              <w:rPr>
                <w:rFonts w:cs="Arial"/>
                <w:sz w:val="16"/>
                <w:szCs w:val="16"/>
                <w:lang w:bidi="th-TH"/>
              </w:rPr>
            </w:pPr>
            <w:r w:rsidRPr="005C7CCE">
              <w:rPr>
                <w:sz w:val="16"/>
              </w:rPr>
              <w:t xml:space="preserve">Entre </w:t>
            </w:r>
            <w:r w:rsidR="00BD43F2">
              <w:rPr>
                <w:sz w:val="16"/>
              </w:rPr>
              <w:t>532 </w:t>
            </w:r>
            <w:r w:rsidRPr="005C7CCE">
              <w:rPr>
                <w:sz w:val="16"/>
              </w:rPr>
              <w:t xml:space="preserve">(min.) et </w:t>
            </w:r>
            <w:r w:rsidR="00BD43F2">
              <w:rPr>
                <w:sz w:val="16"/>
              </w:rPr>
              <w:t>1370 </w:t>
            </w:r>
            <w:r w:rsidRPr="005C7CCE">
              <w:rPr>
                <w:sz w:val="16"/>
              </w:rPr>
              <w:t>(max.) utilisateurs en moyenne bénéficiant des services de CATI par jour en 2013</w:t>
            </w:r>
          </w:p>
        </w:tc>
        <w:tc>
          <w:tcPr>
            <w:tcW w:w="1211" w:type="dxa"/>
            <w:gridSpan w:val="3"/>
            <w:shd w:val="clear" w:color="auto" w:fill="auto"/>
            <w:tcMar>
              <w:top w:w="110" w:type="dxa"/>
            </w:tcMar>
          </w:tcPr>
          <w:p w:rsidR="0096696E" w:rsidRPr="005C7CCE" w:rsidRDefault="0096696E" w:rsidP="001A5BF9">
            <w:pPr>
              <w:keepNext/>
              <w:keepLines/>
              <w:jc w:val="center"/>
              <w:rPr>
                <w:rFonts w:cs="Arial"/>
                <w:bCs/>
                <w:color w:val="404040"/>
                <w:sz w:val="16"/>
                <w:szCs w:val="16"/>
              </w:rPr>
            </w:pPr>
            <w:r w:rsidRPr="005C7CCE">
              <w:rPr>
                <w:color w:val="404040"/>
                <w:sz w:val="16"/>
              </w:rPr>
              <w:t>Non évaluable</w:t>
            </w:r>
          </w:p>
        </w:tc>
      </w:tr>
      <w:tr w:rsidR="0096696E" w:rsidRPr="005C7CCE" w:rsidTr="0033279F">
        <w:trPr>
          <w:cantSplit/>
        </w:trPr>
        <w:tc>
          <w:tcPr>
            <w:tcW w:w="1881" w:type="dxa"/>
            <w:gridSpan w:val="2"/>
            <w:tcBorders>
              <w:bottom w:val="single" w:sz="4" w:space="0" w:color="auto"/>
            </w:tcBorders>
            <w:shd w:val="clear" w:color="auto" w:fill="FFFFFF"/>
          </w:tcPr>
          <w:p w:rsidR="0096696E" w:rsidRPr="00761625" w:rsidRDefault="0096696E" w:rsidP="001A5BF9">
            <w:pPr>
              <w:rPr>
                <w:rFonts w:cs="Arial"/>
                <w:sz w:val="16"/>
                <w:szCs w:val="16"/>
                <w:lang w:bidi="th-TH"/>
              </w:rPr>
            </w:pPr>
            <w:r w:rsidRPr="00761625">
              <w:rPr>
                <w:sz w:val="16"/>
              </w:rPr>
              <w:t>Nombre d</w:t>
            </w:r>
            <w:r w:rsidR="00A20444" w:rsidRPr="00761625">
              <w:rPr>
                <w:sz w:val="16"/>
              </w:rPr>
              <w:t>’</w:t>
            </w:r>
            <w:r w:rsidRPr="00761625">
              <w:rPr>
                <w:sz w:val="16"/>
              </w:rPr>
              <w:t xml:space="preserve">États membres qui ont élaboré leur cadre de propriété intellectuelle et établi des bureaux de transfert de technologie </w:t>
            </w:r>
          </w:p>
        </w:tc>
        <w:tc>
          <w:tcPr>
            <w:tcW w:w="1995" w:type="dxa"/>
            <w:gridSpan w:val="2"/>
            <w:tcBorders>
              <w:bottom w:val="single" w:sz="4" w:space="0" w:color="auto"/>
            </w:tcBorders>
            <w:shd w:val="clear" w:color="auto" w:fill="auto"/>
          </w:tcPr>
          <w:p w:rsidR="0096696E" w:rsidRPr="005C7CCE" w:rsidRDefault="0096696E" w:rsidP="001A5BF9">
            <w:pPr>
              <w:rPr>
                <w:rFonts w:cs="Arial"/>
                <w:sz w:val="16"/>
                <w:szCs w:val="16"/>
                <w:lang w:bidi="th-TH"/>
              </w:rPr>
            </w:pPr>
            <w:r w:rsidRPr="00761625">
              <w:rPr>
                <w:sz w:val="16"/>
              </w:rPr>
              <w:t>Projet pilote de cadre adopté et financement alloué</w:t>
            </w:r>
          </w:p>
        </w:tc>
        <w:tc>
          <w:tcPr>
            <w:tcW w:w="1933" w:type="dxa"/>
            <w:gridSpan w:val="5"/>
            <w:tcBorders>
              <w:bottom w:val="single" w:sz="4" w:space="0" w:color="auto"/>
            </w:tcBorders>
            <w:shd w:val="clear" w:color="auto" w:fill="auto"/>
            <w:tcMar>
              <w:top w:w="110" w:type="dxa"/>
            </w:tcMar>
          </w:tcPr>
          <w:p w:rsidR="0096696E" w:rsidRPr="00761625" w:rsidRDefault="0096696E" w:rsidP="001A5BF9">
            <w:pPr>
              <w:rPr>
                <w:rFonts w:cs="Arial"/>
                <w:sz w:val="16"/>
                <w:szCs w:val="16"/>
                <w:lang w:bidi="th-TH"/>
              </w:rPr>
            </w:pPr>
            <w:r w:rsidRPr="00761625">
              <w:rPr>
                <w:sz w:val="16"/>
              </w:rPr>
              <w:t>Objectifs visés régionaux à déterminer</w:t>
            </w:r>
          </w:p>
        </w:tc>
        <w:tc>
          <w:tcPr>
            <w:tcW w:w="2478" w:type="dxa"/>
            <w:tcBorders>
              <w:bottom w:val="single" w:sz="4" w:space="0" w:color="auto"/>
            </w:tcBorders>
            <w:shd w:val="clear" w:color="auto" w:fill="FFFFFF"/>
            <w:tcMar>
              <w:top w:w="110" w:type="dxa"/>
            </w:tcMar>
          </w:tcPr>
          <w:p w:rsidR="00D42474" w:rsidRDefault="0096696E" w:rsidP="001A5BF9">
            <w:pPr>
              <w:rPr>
                <w:rFonts w:cs="Arial"/>
                <w:sz w:val="16"/>
                <w:szCs w:val="16"/>
                <w:lang w:bidi="th-TH"/>
              </w:rPr>
            </w:pPr>
            <w:r w:rsidRPr="005C7CCE">
              <w:rPr>
                <w:sz w:val="16"/>
              </w:rPr>
              <w:t>Les universités/institutions suivantes ont bénéficié d</w:t>
            </w:r>
            <w:r w:rsidR="00A20444" w:rsidRPr="005C7CCE">
              <w:rPr>
                <w:sz w:val="16"/>
              </w:rPr>
              <w:t>’</w:t>
            </w:r>
            <w:r w:rsidRPr="005C7CCE">
              <w:rPr>
                <w:sz w:val="16"/>
              </w:rPr>
              <w:t>une assistance directe pour développer un écosystème, une politique et une infrastructure de transfert de connaissance : i)</w:t>
            </w:r>
            <w:r w:rsidR="0010442A" w:rsidRPr="005C7CCE">
              <w:rPr>
                <w:sz w:val="16"/>
              </w:rPr>
              <w:t xml:space="preserve"> </w:t>
            </w:r>
            <w:r w:rsidRPr="005C7CCE">
              <w:rPr>
                <w:sz w:val="16"/>
              </w:rPr>
              <w:t>cinq</w:t>
            </w:r>
            <w:r w:rsidR="0010442A" w:rsidRPr="005C7CCE">
              <w:rPr>
                <w:sz w:val="16"/>
              </w:rPr>
              <w:t> </w:t>
            </w:r>
            <w:r w:rsidRPr="005C7CCE">
              <w:rPr>
                <w:sz w:val="16"/>
              </w:rPr>
              <w:t>au Chili : Institut national de recherche agricole (INA);</w:t>
            </w:r>
            <w:r w:rsidR="004F3E42" w:rsidRPr="005C7CCE">
              <w:rPr>
                <w:sz w:val="16"/>
              </w:rPr>
              <w:t xml:space="preserve"> </w:t>
            </w:r>
            <w:r w:rsidR="0010442A" w:rsidRPr="005C7CCE">
              <w:rPr>
                <w:sz w:val="16"/>
              </w:rPr>
              <w:t xml:space="preserve"> </w:t>
            </w:r>
            <w:r w:rsidRPr="005C7CCE">
              <w:rPr>
                <w:sz w:val="16"/>
              </w:rPr>
              <w:t>Université pontificale catholique du Chili (Santiago);</w:t>
            </w:r>
            <w:r w:rsidR="004F3E42" w:rsidRPr="005C7CCE">
              <w:rPr>
                <w:sz w:val="16"/>
              </w:rPr>
              <w:t xml:space="preserve"> </w:t>
            </w:r>
            <w:r w:rsidR="0010442A" w:rsidRPr="005C7CCE">
              <w:rPr>
                <w:sz w:val="16"/>
              </w:rPr>
              <w:t xml:space="preserve"> </w:t>
            </w:r>
            <w:r w:rsidRPr="005C7CCE">
              <w:rPr>
                <w:sz w:val="16"/>
              </w:rPr>
              <w:t>Université de la Conception;</w:t>
            </w:r>
            <w:r w:rsidR="004F3E42" w:rsidRPr="005C7CCE">
              <w:rPr>
                <w:sz w:val="16"/>
              </w:rPr>
              <w:t xml:space="preserve"> </w:t>
            </w:r>
            <w:r w:rsidR="0010442A" w:rsidRPr="005C7CCE">
              <w:rPr>
                <w:sz w:val="16"/>
              </w:rPr>
              <w:t xml:space="preserve"> </w:t>
            </w:r>
            <w:r w:rsidRPr="005C7CCE">
              <w:rPr>
                <w:sz w:val="16"/>
              </w:rPr>
              <w:t xml:space="preserve">Université pontificale catholique de </w:t>
            </w:r>
            <w:proofErr w:type="spellStart"/>
            <w:r w:rsidRPr="005C7CCE">
              <w:rPr>
                <w:sz w:val="16"/>
              </w:rPr>
              <w:t>Valaparaison</w:t>
            </w:r>
            <w:proofErr w:type="spellEnd"/>
            <w:r w:rsidRPr="005C7CCE">
              <w:rPr>
                <w:sz w:val="16"/>
              </w:rPr>
              <w:t xml:space="preserve"> et </w:t>
            </w:r>
            <w:r w:rsidR="00232949">
              <w:rPr>
                <w:sz w:val="16"/>
              </w:rPr>
              <w:t>U</w:t>
            </w:r>
            <w:r w:rsidRPr="005C7CCE">
              <w:rPr>
                <w:sz w:val="16"/>
              </w:rPr>
              <w:t xml:space="preserve">niversité de La </w:t>
            </w:r>
            <w:proofErr w:type="spellStart"/>
            <w:r w:rsidRPr="005C7CCE">
              <w:rPr>
                <w:sz w:val="16"/>
              </w:rPr>
              <w:t>Frontera</w:t>
            </w:r>
            <w:proofErr w:type="spellEnd"/>
            <w:r w:rsidRPr="005C7CCE">
              <w:rPr>
                <w:sz w:val="16"/>
              </w:rPr>
              <w:t>;</w:t>
            </w:r>
            <w:r w:rsidR="004F3E42" w:rsidRPr="005C7CCE">
              <w:rPr>
                <w:sz w:val="16"/>
              </w:rPr>
              <w:t xml:space="preserve"> </w:t>
            </w:r>
            <w:r w:rsidR="0010442A" w:rsidRPr="005C7CCE">
              <w:rPr>
                <w:sz w:val="16"/>
              </w:rPr>
              <w:t xml:space="preserve"> </w:t>
            </w:r>
            <w:r w:rsidRPr="005C7CCE">
              <w:rPr>
                <w:sz w:val="16"/>
              </w:rPr>
              <w:t>ii)</w:t>
            </w:r>
            <w:r w:rsidR="0010442A" w:rsidRPr="005C7CCE">
              <w:rPr>
                <w:sz w:val="16"/>
              </w:rPr>
              <w:t xml:space="preserve"> </w:t>
            </w:r>
            <w:r w:rsidRPr="005C7CCE">
              <w:rPr>
                <w:sz w:val="16"/>
              </w:rPr>
              <w:t>cinq </w:t>
            </w:r>
            <w:proofErr w:type="spellStart"/>
            <w:r w:rsidRPr="005C7CCE">
              <w:rPr>
                <w:sz w:val="16"/>
              </w:rPr>
              <w:t>CESAO</w:t>
            </w:r>
            <w:proofErr w:type="spellEnd"/>
            <w:r w:rsidRPr="005C7CCE">
              <w:rPr>
                <w:sz w:val="16"/>
              </w:rPr>
              <w:t>;</w:t>
            </w:r>
            <w:r w:rsidR="004F3E42" w:rsidRPr="005C7CCE">
              <w:rPr>
                <w:sz w:val="16"/>
              </w:rPr>
              <w:t xml:space="preserve"> </w:t>
            </w:r>
            <w:r w:rsidR="0010442A" w:rsidRPr="005C7CCE">
              <w:rPr>
                <w:sz w:val="16"/>
              </w:rPr>
              <w:t xml:space="preserve"> </w:t>
            </w:r>
            <w:r w:rsidRPr="005C7CCE">
              <w:rPr>
                <w:sz w:val="16"/>
              </w:rPr>
              <w:t>iii)</w:t>
            </w:r>
            <w:r w:rsidR="0010442A" w:rsidRPr="005C7CCE">
              <w:rPr>
                <w:sz w:val="16"/>
              </w:rPr>
              <w:t xml:space="preserve"> </w:t>
            </w:r>
            <w:r w:rsidRPr="005C7CCE">
              <w:rPr>
                <w:sz w:val="16"/>
              </w:rPr>
              <w:t>six</w:t>
            </w:r>
            <w:r w:rsidR="0010442A" w:rsidRPr="005C7CCE">
              <w:rPr>
                <w:sz w:val="16"/>
              </w:rPr>
              <w:t> </w:t>
            </w:r>
            <w:r w:rsidRPr="005C7CCE">
              <w:rPr>
                <w:sz w:val="16"/>
              </w:rPr>
              <w:t>au Maroc;</w:t>
            </w:r>
            <w:r w:rsidR="004F3E42" w:rsidRPr="005C7CCE">
              <w:rPr>
                <w:sz w:val="16"/>
              </w:rPr>
              <w:t xml:space="preserve"> </w:t>
            </w:r>
            <w:r w:rsidR="0010442A" w:rsidRPr="005C7CCE">
              <w:rPr>
                <w:sz w:val="16"/>
              </w:rPr>
              <w:t xml:space="preserve"> </w:t>
            </w:r>
            <w:r w:rsidRPr="005C7CCE">
              <w:rPr>
                <w:sz w:val="16"/>
              </w:rPr>
              <w:t>iv)</w:t>
            </w:r>
            <w:r w:rsidR="0010442A" w:rsidRPr="005C7CCE">
              <w:rPr>
                <w:sz w:val="16"/>
              </w:rPr>
              <w:t xml:space="preserve"> </w:t>
            </w:r>
            <w:r w:rsidRPr="005C7CCE">
              <w:rPr>
                <w:sz w:val="16"/>
              </w:rPr>
              <w:t>cinq</w:t>
            </w:r>
            <w:r w:rsidR="0010442A" w:rsidRPr="005C7CCE">
              <w:rPr>
                <w:sz w:val="16"/>
              </w:rPr>
              <w:t> </w:t>
            </w:r>
            <w:r w:rsidRPr="005C7CCE">
              <w:rPr>
                <w:sz w:val="16"/>
              </w:rPr>
              <w:t>aux Philippines;</w:t>
            </w:r>
            <w:r w:rsidR="0010442A" w:rsidRPr="005C7CCE">
              <w:rPr>
                <w:sz w:val="16"/>
              </w:rPr>
              <w:t xml:space="preserve"> </w:t>
            </w:r>
            <w:r w:rsidR="004F3E42" w:rsidRPr="005C7CCE">
              <w:rPr>
                <w:sz w:val="16"/>
              </w:rPr>
              <w:t xml:space="preserve"> </w:t>
            </w:r>
            <w:r w:rsidRPr="005C7CCE">
              <w:rPr>
                <w:sz w:val="16"/>
              </w:rPr>
              <w:t>et v) une au Ghana.</w:t>
            </w:r>
          </w:p>
          <w:p w:rsidR="00D42474" w:rsidRDefault="00D42474" w:rsidP="001A5BF9">
            <w:pPr>
              <w:rPr>
                <w:rFonts w:cs="Arial"/>
                <w:sz w:val="8"/>
                <w:szCs w:val="8"/>
                <w:lang w:bidi="th-TH"/>
              </w:rPr>
            </w:pPr>
          </w:p>
          <w:p w:rsidR="0096696E" w:rsidRPr="005C7CCE" w:rsidRDefault="0096696E" w:rsidP="001A5BF9">
            <w:pPr>
              <w:rPr>
                <w:rFonts w:cs="Arial"/>
                <w:sz w:val="8"/>
                <w:szCs w:val="8"/>
                <w:lang w:bidi="th-TH"/>
              </w:rPr>
            </w:pPr>
            <w:r w:rsidRPr="005C7CCE">
              <w:rPr>
                <w:sz w:val="16"/>
              </w:rPr>
              <w:t xml:space="preserve">En outre, il a été procédé à une évaluation des besoins pour la mise en œuvre du projet de bureaux de transfert de technologie en Tunisie, pour répondre aux besoins technologiques des institutions suivantes : Institut Pasteur, </w:t>
            </w:r>
            <w:r w:rsidR="00232949">
              <w:rPr>
                <w:sz w:val="16"/>
              </w:rPr>
              <w:t>U</w:t>
            </w:r>
            <w:r w:rsidRPr="005C7CCE">
              <w:rPr>
                <w:sz w:val="16"/>
              </w:rPr>
              <w:t xml:space="preserve">niversité de Monastir, Centre de biotechnologie de Sfax, Centre national du cuir et de la chaussure et </w:t>
            </w:r>
            <w:proofErr w:type="spellStart"/>
            <w:r w:rsidRPr="005C7CCE">
              <w:rPr>
                <w:sz w:val="16"/>
              </w:rPr>
              <w:t>Elgazala</w:t>
            </w:r>
            <w:proofErr w:type="spellEnd"/>
            <w:r w:rsidRPr="005C7CCE">
              <w:rPr>
                <w:sz w:val="16"/>
              </w:rPr>
              <w:t xml:space="preserve"> </w:t>
            </w:r>
            <w:proofErr w:type="spellStart"/>
            <w:r w:rsidRPr="005C7CCE">
              <w:rPr>
                <w:sz w:val="16"/>
              </w:rPr>
              <w:t>Technopark</w:t>
            </w:r>
            <w:proofErr w:type="spellEnd"/>
            <w:r w:rsidRPr="005C7CCE">
              <w:rPr>
                <w:sz w:val="16"/>
              </w:rPr>
              <w:t xml:space="preserve">. </w:t>
            </w:r>
            <w:r w:rsidR="0010442A" w:rsidRPr="005C7CCE">
              <w:rPr>
                <w:sz w:val="16"/>
              </w:rPr>
              <w:t xml:space="preserve"> </w:t>
            </w:r>
            <w:r w:rsidRPr="005C7CCE">
              <w:rPr>
                <w:sz w:val="16"/>
              </w:rPr>
              <w:t>Un plan d</w:t>
            </w:r>
            <w:r w:rsidR="00A20444" w:rsidRPr="005C7CCE">
              <w:rPr>
                <w:sz w:val="16"/>
              </w:rPr>
              <w:t>’</w:t>
            </w:r>
            <w:r w:rsidRPr="005C7CCE">
              <w:rPr>
                <w:sz w:val="16"/>
              </w:rPr>
              <w:t>action a également été adopté pour la Tunisie.</w:t>
            </w:r>
          </w:p>
        </w:tc>
        <w:tc>
          <w:tcPr>
            <w:tcW w:w="1211" w:type="dxa"/>
            <w:gridSpan w:val="3"/>
            <w:tcBorders>
              <w:bottom w:val="single" w:sz="4" w:space="0" w:color="auto"/>
            </w:tcBorders>
            <w:shd w:val="clear" w:color="auto" w:fill="auto"/>
            <w:tcMar>
              <w:top w:w="110" w:type="dxa"/>
            </w:tcMar>
          </w:tcPr>
          <w:p w:rsidR="0096696E" w:rsidRPr="005C7CCE" w:rsidRDefault="0096696E" w:rsidP="001A5BF9">
            <w:pPr>
              <w:keepNext/>
              <w:keepLines/>
              <w:jc w:val="center"/>
              <w:rPr>
                <w:rFonts w:cs="Arial"/>
                <w:bCs/>
                <w:color w:val="404040"/>
                <w:sz w:val="16"/>
                <w:szCs w:val="16"/>
              </w:rPr>
            </w:pPr>
            <w:r w:rsidRPr="005C7CCE">
              <w:rPr>
                <w:color w:val="404040"/>
                <w:sz w:val="16"/>
              </w:rPr>
              <w:t>Non évaluable</w:t>
            </w:r>
          </w:p>
        </w:tc>
      </w:tr>
      <w:tr w:rsidR="0096696E" w:rsidRPr="00761625" w:rsidTr="0033279F">
        <w:trPr>
          <w:cantSplit/>
        </w:trPr>
        <w:tc>
          <w:tcPr>
            <w:tcW w:w="9498" w:type="dxa"/>
            <w:gridSpan w:val="13"/>
            <w:tcBorders>
              <w:top w:val="single" w:sz="4" w:space="0" w:color="auto"/>
              <w:bottom w:val="single" w:sz="4" w:space="0" w:color="auto"/>
            </w:tcBorders>
            <w:shd w:val="clear" w:color="auto" w:fill="CCFFFF"/>
            <w:vAlign w:val="center"/>
          </w:tcPr>
          <w:p w:rsidR="0096696E" w:rsidRPr="00761625" w:rsidRDefault="0096696E" w:rsidP="00761625">
            <w:pPr>
              <w:keepNext/>
              <w:keepLines/>
              <w:spacing w:before="60" w:after="60"/>
              <w:ind w:left="1735" w:hanging="1735"/>
              <w:rPr>
                <w:rFonts w:cs="Arial"/>
                <w:b/>
                <w:bCs/>
                <w:sz w:val="16"/>
                <w:szCs w:val="16"/>
              </w:rPr>
            </w:pPr>
            <w:r w:rsidRPr="00761625">
              <w:rPr>
                <w:b/>
                <w:sz w:val="16"/>
              </w:rPr>
              <w:t>Résultat escompté</w:t>
            </w:r>
            <w:r w:rsidR="0010442A" w:rsidRPr="00761625">
              <w:rPr>
                <w:b/>
                <w:sz w:val="16"/>
              </w:rPr>
              <w:t xml:space="preserve"> : </w:t>
            </w:r>
            <w:r w:rsidRPr="00761625">
              <w:rPr>
                <w:b/>
                <w:sz w:val="16"/>
              </w:rPr>
              <w:tab/>
            </w:r>
            <w:r w:rsidRPr="00761625">
              <w:rPr>
                <w:sz w:val="16"/>
              </w:rPr>
              <w:t>Amélioration de l</w:t>
            </w:r>
            <w:r w:rsidR="00A20444" w:rsidRPr="00761625">
              <w:rPr>
                <w:sz w:val="16"/>
              </w:rPr>
              <w:t>’</w:t>
            </w:r>
            <w:r w:rsidRPr="00761625">
              <w:rPr>
                <w:sz w:val="16"/>
              </w:rPr>
              <w:t>infrastructure technique et du savoir pour les offices de propriété intellectuelle et autres institutions de propriété intellectuelle, leur permettant de fournir à leurs parties prenantes des services améliorés (moins chers, plus rapides, de meilleure qualité)</w:t>
            </w:r>
          </w:p>
        </w:tc>
      </w:tr>
      <w:tr w:rsidR="0096696E" w:rsidRPr="00761625" w:rsidTr="0033279F">
        <w:trPr>
          <w:cantSplit/>
        </w:trPr>
        <w:tc>
          <w:tcPr>
            <w:tcW w:w="1701" w:type="dxa"/>
            <w:tcBorders>
              <w:top w:val="single" w:sz="4" w:space="0" w:color="auto"/>
            </w:tcBorders>
            <w:shd w:val="clear" w:color="auto" w:fill="auto"/>
            <w:vAlign w:val="center"/>
          </w:tcPr>
          <w:p w:rsidR="0096696E" w:rsidRPr="00761625" w:rsidRDefault="0096696E" w:rsidP="001A5BF9">
            <w:pPr>
              <w:keepNext/>
              <w:keepLines/>
              <w:rPr>
                <w:rFonts w:cs="Arial"/>
                <w:b/>
                <w:sz w:val="16"/>
                <w:szCs w:val="16"/>
              </w:rPr>
            </w:pPr>
            <w:r w:rsidRPr="00761625">
              <w:rPr>
                <w:b/>
                <w:sz w:val="16"/>
              </w:rPr>
              <w:t>Indicateurs d</w:t>
            </w:r>
            <w:r w:rsidR="00A20444" w:rsidRPr="00761625">
              <w:rPr>
                <w:b/>
                <w:sz w:val="16"/>
              </w:rPr>
              <w:t>’</w:t>
            </w:r>
            <w:r w:rsidRPr="00761625">
              <w:rPr>
                <w:b/>
                <w:sz w:val="16"/>
              </w:rPr>
              <w:t>exécution</w:t>
            </w:r>
          </w:p>
        </w:tc>
        <w:tc>
          <w:tcPr>
            <w:tcW w:w="1843" w:type="dxa"/>
            <w:gridSpan w:val="2"/>
            <w:tcBorders>
              <w:top w:val="single" w:sz="4" w:space="0" w:color="auto"/>
            </w:tcBorders>
            <w:shd w:val="clear" w:color="auto" w:fill="auto"/>
            <w:vAlign w:val="center"/>
          </w:tcPr>
          <w:p w:rsidR="0096696E" w:rsidRPr="00761625" w:rsidRDefault="0096696E" w:rsidP="001A5BF9">
            <w:pPr>
              <w:keepNext/>
              <w:keepLines/>
              <w:rPr>
                <w:rFonts w:cs="Arial"/>
                <w:b/>
                <w:bCs/>
                <w:sz w:val="16"/>
                <w:szCs w:val="16"/>
              </w:rPr>
            </w:pPr>
            <w:r w:rsidRPr="00761625">
              <w:rPr>
                <w:b/>
                <w:sz w:val="16"/>
              </w:rPr>
              <w:t>Niveaux de référence</w:t>
            </w:r>
          </w:p>
        </w:tc>
        <w:tc>
          <w:tcPr>
            <w:tcW w:w="1843" w:type="dxa"/>
            <w:gridSpan w:val="5"/>
            <w:tcBorders>
              <w:top w:val="single" w:sz="4" w:space="0" w:color="auto"/>
            </w:tcBorders>
            <w:shd w:val="clear" w:color="auto" w:fill="auto"/>
            <w:tcMar>
              <w:top w:w="110" w:type="dxa"/>
            </w:tcMar>
            <w:vAlign w:val="center"/>
          </w:tcPr>
          <w:p w:rsidR="0096696E" w:rsidRPr="00761625" w:rsidRDefault="0096696E" w:rsidP="001A5BF9">
            <w:pPr>
              <w:keepNext/>
              <w:keepLines/>
              <w:rPr>
                <w:rFonts w:cs="Arial"/>
                <w:b/>
                <w:sz w:val="16"/>
                <w:szCs w:val="16"/>
              </w:rPr>
            </w:pPr>
            <w:r w:rsidRPr="00761625">
              <w:rPr>
                <w:b/>
                <w:sz w:val="16"/>
              </w:rPr>
              <w:t>Objectifs visés</w:t>
            </w:r>
          </w:p>
        </w:tc>
        <w:tc>
          <w:tcPr>
            <w:tcW w:w="2900" w:type="dxa"/>
            <w:gridSpan w:val="2"/>
            <w:tcBorders>
              <w:top w:val="single" w:sz="4" w:space="0" w:color="auto"/>
            </w:tcBorders>
            <w:shd w:val="clear" w:color="auto" w:fill="FFFFFF"/>
            <w:tcMar>
              <w:top w:w="110" w:type="dxa"/>
            </w:tcMar>
            <w:vAlign w:val="center"/>
          </w:tcPr>
          <w:p w:rsidR="0096696E" w:rsidRPr="00761625" w:rsidRDefault="0096696E" w:rsidP="001A5BF9">
            <w:pPr>
              <w:keepNext/>
              <w:keepLines/>
              <w:rPr>
                <w:rFonts w:cs="Arial"/>
                <w:b/>
                <w:sz w:val="16"/>
                <w:szCs w:val="16"/>
              </w:rPr>
            </w:pPr>
            <w:r w:rsidRPr="00761625">
              <w:rPr>
                <w:b/>
                <w:sz w:val="16"/>
              </w:rPr>
              <w:t>Données relatives à l</w:t>
            </w:r>
            <w:r w:rsidR="00A20444" w:rsidRPr="00761625">
              <w:rPr>
                <w:b/>
                <w:sz w:val="16"/>
              </w:rPr>
              <w:t>’</w:t>
            </w:r>
            <w:r w:rsidRPr="00761625">
              <w:rPr>
                <w:b/>
                <w:sz w:val="16"/>
              </w:rPr>
              <w:t>exécution</w:t>
            </w:r>
          </w:p>
        </w:tc>
        <w:tc>
          <w:tcPr>
            <w:tcW w:w="1211" w:type="dxa"/>
            <w:gridSpan w:val="3"/>
            <w:tcBorders>
              <w:top w:val="single" w:sz="4" w:space="0" w:color="auto"/>
            </w:tcBorders>
            <w:shd w:val="clear" w:color="auto" w:fill="auto"/>
            <w:tcMar>
              <w:top w:w="110" w:type="dxa"/>
            </w:tcMar>
            <w:vAlign w:val="center"/>
          </w:tcPr>
          <w:p w:rsidR="0096696E" w:rsidRPr="00761625" w:rsidRDefault="0096696E" w:rsidP="001A5BF9">
            <w:pPr>
              <w:keepNext/>
              <w:keepLines/>
              <w:jc w:val="center"/>
              <w:rPr>
                <w:rFonts w:cs="Arial"/>
                <w:b/>
                <w:bCs/>
                <w:sz w:val="16"/>
                <w:szCs w:val="16"/>
              </w:rPr>
            </w:pPr>
            <w:r w:rsidRPr="00761625">
              <w:rPr>
                <w:b/>
                <w:sz w:val="16"/>
              </w:rPr>
              <w:t>Code de couleurs</w:t>
            </w:r>
          </w:p>
        </w:tc>
      </w:tr>
      <w:tr w:rsidR="0096696E" w:rsidRPr="005C7CCE" w:rsidTr="0033279F">
        <w:trPr>
          <w:cantSplit/>
        </w:trPr>
        <w:tc>
          <w:tcPr>
            <w:tcW w:w="1701" w:type="dxa"/>
            <w:shd w:val="clear" w:color="auto" w:fill="FFFFFF"/>
          </w:tcPr>
          <w:p w:rsidR="0096696E" w:rsidRPr="00761625" w:rsidRDefault="0096696E" w:rsidP="001A5BF9">
            <w:pPr>
              <w:rPr>
                <w:rFonts w:cs="Arial"/>
                <w:sz w:val="16"/>
                <w:szCs w:val="16"/>
                <w:lang w:bidi="th-TH"/>
              </w:rPr>
            </w:pPr>
            <w:r w:rsidRPr="00761625">
              <w:rPr>
                <w:sz w:val="16"/>
              </w:rPr>
              <w:t>Nombre d</w:t>
            </w:r>
            <w:r w:rsidR="00A20444" w:rsidRPr="00761625">
              <w:rPr>
                <w:sz w:val="16"/>
              </w:rPr>
              <w:t>’</w:t>
            </w:r>
            <w:r w:rsidRPr="00761625">
              <w:rPr>
                <w:sz w:val="16"/>
              </w:rPr>
              <w:t>offices dotés de systèmes d</w:t>
            </w:r>
            <w:r w:rsidR="00A20444" w:rsidRPr="00761625">
              <w:rPr>
                <w:sz w:val="16"/>
              </w:rPr>
              <w:t>’</w:t>
            </w:r>
            <w:r w:rsidRPr="00761625">
              <w:rPr>
                <w:sz w:val="16"/>
              </w:rPr>
              <w:t>administration de la propriété intellectuelle pleinement ou partiellement automatisés fournis par l</w:t>
            </w:r>
            <w:r w:rsidR="00A20444" w:rsidRPr="00761625">
              <w:rPr>
                <w:sz w:val="16"/>
              </w:rPr>
              <w:t>’</w:t>
            </w:r>
            <w:r w:rsidRPr="00761625">
              <w:rPr>
                <w:sz w:val="16"/>
              </w:rPr>
              <w:t xml:space="preserve">OMPI </w:t>
            </w:r>
          </w:p>
        </w:tc>
        <w:tc>
          <w:tcPr>
            <w:tcW w:w="1843" w:type="dxa"/>
            <w:gridSpan w:val="2"/>
            <w:shd w:val="clear" w:color="auto" w:fill="auto"/>
          </w:tcPr>
          <w:p w:rsidR="0096696E" w:rsidRPr="00761625" w:rsidRDefault="0096696E" w:rsidP="001A5BF9">
            <w:pPr>
              <w:rPr>
                <w:rFonts w:cs="Arial"/>
                <w:sz w:val="16"/>
                <w:szCs w:val="16"/>
                <w:lang w:bidi="th-TH"/>
              </w:rPr>
            </w:pPr>
            <w:r w:rsidRPr="00761625">
              <w:rPr>
                <w:sz w:val="16"/>
              </w:rPr>
              <w:t>Afrique (14</w:t>
            </w:r>
            <w:proofErr w:type="gramStart"/>
            <w:r w:rsidRPr="00761625">
              <w:rPr>
                <w:sz w:val="16"/>
              </w:rPr>
              <w:t>)</w:t>
            </w:r>
            <w:proofErr w:type="gramEnd"/>
            <w:r w:rsidRPr="00761625">
              <w:br/>
            </w:r>
            <w:r w:rsidRPr="00761625">
              <w:rPr>
                <w:sz w:val="16"/>
              </w:rPr>
              <w:t>Pays arabes (13)</w:t>
            </w:r>
            <w:r w:rsidRPr="00761625">
              <w:br/>
            </w:r>
            <w:r w:rsidRPr="00761625">
              <w:rPr>
                <w:sz w:val="16"/>
              </w:rPr>
              <w:t>Asie et Pacifique (7)</w:t>
            </w:r>
            <w:r w:rsidRPr="00761625">
              <w:br/>
            </w:r>
            <w:r w:rsidRPr="00761625">
              <w:rPr>
                <w:sz w:val="16"/>
              </w:rPr>
              <w:t>Amérique latine et Caraïbes (12)</w:t>
            </w:r>
          </w:p>
        </w:tc>
        <w:tc>
          <w:tcPr>
            <w:tcW w:w="1843" w:type="dxa"/>
            <w:gridSpan w:val="5"/>
            <w:shd w:val="clear" w:color="auto" w:fill="auto"/>
            <w:tcMar>
              <w:top w:w="110" w:type="dxa"/>
            </w:tcMar>
          </w:tcPr>
          <w:p w:rsidR="00D42474" w:rsidRDefault="0096696E" w:rsidP="001A5BF9">
            <w:pPr>
              <w:rPr>
                <w:rFonts w:cs="Arial"/>
                <w:sz w:val="16"/>
                <w:szCs w:val="16"/>
                <w:lang w:bidi="th-TH"/>
              </w:rPr>
            </w:pPr>
            <w:r w:rsidRPr="00761625">
              <w:rPr>
                <w:sz w:val="16"/>
              </w:rPr>
              <w:t>Afrique (4 offices supplémentaires)</w:t>
            </w:r>
          </w:p>
          <w:p w:rsidR="00D42474" w:rsidRDefault="0096696E" w:rsidP="001A5BF9">
            <w:pPr>
              <w:rPr>
                <w:rFonts w:cs="Arial"/>
                <w:sz w:val="16"/>
                <w:szCs w:val="16"/>
                <w:lang w:bidi="th-TH"/>
              </w:rPr>
            </w:pPr>
            <w:r w:rsidRPr="00761625">
              <w:rPr>
                <w:sz w:val="16"/>
              </w:rPr>
              <w:t>Pays arabes (4 offices supplémentaires)</w:t>
            </w:r>
          </w:p>
          <w:p w:rsidR="00D42474" w:rsidRDefault="0096696E" w:rsidP="001A5BF9">
            <w:pPr>
              <w:rPr>
                <w:rFonts w:cs="Arial"/>
                <w:sz w:val="16"/>
                <w:szCs w:val="16"/>
                <w:lang w:bidi="th-TH"/>
              </w:rPr>
            </w:pPr>
            <w:r w:rsidRPr="00761625">
              <w:rPr>
                <w:sz w:val="16"/>
              </w:rPr>
              <w:t>Asie et Pacifique</w:t>
            </w:r>
          </w:p>
          <w:p w:rsidR="00D42474" w:rsidRDefault="0096696E" w:rsidP="001A5BF9">
            <w:pPr>
              <w:rPr>
                <w:rFonts w:cs="Arial"/>
                <w:sz w:val="16"/>
                <w:szCs w:val="16"/>
                <w:lang w:bidi="th-TH"/>
              </w:rPr>
            </w:pPr>
            <w:r w:rsidRPr="00761625">
              <w:rPr>
                <w:sz w:val="16"/>
              </w:rPr>
              <w:t>(4 offices supplémentaires)</w:t>
            </w:r>
          </w:p>
          <w:p w:rsidR="00D42474" w:rsidRDefault="0096696E" w:rsidP="001A5BF9">
            <w:pPr>
              <w:rPr>
                <w:rFonts w:cs="Arial"/>
                <w:sz w:val="16"/>
                <w:szCs w:val="16"/>
                <w:lang w:bidi="th-TH"/>
              </w:rPr>
            </w:pPr>
            <w:r w:rsidRPr="00761625">
              <w:rPr>
                <w:sz w:val="16"/>
              </w:rPr>
              <w:t>Amérique latine et</w:t>
            </w:r>
          </w:p>
          <w:p w:rsidR="00D42474" w:rsidRDefault="0096696E" w:rsidP="001A5BF9">
            <w:pPr>
              <w:rPr>
                <w:rFonts w:cs="Arial"/>
                <w:sz w:val="16"/>
                <w:szCs w:val="16"/>
                <w:lang w:bidi="th-TH"/>
              </w:rPr>
            </w:pPr>
            <w:r w:rsidRPr="00761625">
              <w:rPr>
                <w:sz w:val="16"/>
              </w:rPr>
              <w:t>Caraïbes</w:t>
            </w:r>
          </w:p>
          <w:p w:rsidR="0096696E" w:rsidRPr="00761625" w:rsidRDefault="0096696E" w:rsidP="001A5BF9">
            <w:pPr>
              <w:rPr>
                <w:rFonts w:cs="Arial"/>
                <w:sz w:val="16"/>
                <w:szCs w:val="16"/>
                <w:lang w:bidi="th-TH"/>
              </w:rPr>
            </w:pPr>
            <w:r w:rsidRPr="00761625">
              <w:rPr>
                <w:sz w:val="16"/>
              </w:rPr>
              <w:t>(7 offices supplémentaires)</w:t>
            </w:r>
          </w:p>
        </w:tc>
        <w:tc>
          <w:tcPr>
            <w:tcW w:w="2900" w:type="dxa"/>
            <w:gridSpan w:val="2"/>
            <w:shd w:val="clear" w:color="auto" w:fill="FFFFFF"/>
            <w:tcMar>
              <w:top w:w="110" w:type="dxa"/>
            </w:tcMar>
          </w:tcPr>
          <w:p w:rsidR="00D42474" w:rsidRDefault="0096696E" w:rsidP="001A5BF9">
            <w:pPr>
              <w:rPr>
                <w:rFonts w:cs="Arial"/>
                <w:sz w:val="8"/>
                <w:szCs w:val="8"/>
                <w:lang w:bidi="th-TH"/>
              </w:rPr>
            </w:pPr>
            <w:r w:rsidRPr="00761625">
              <w:rPr>
                <w:sz w:val="16"/>
              </w:rPr>
              <w:t>Nombre d</w:t>
            </w:r>
            <w:r w:rsidR="00A20444" w:rsidRPr="00761625">
              <w:rPr>
                <w:sz w:val="16"/>
              </w:rPr>
              <w:t>’</w:t>
            </w:r>
            <w:r w:rsidRPr="00761625">
              <w:rPr>
                <w:sz w:val="16"/>
              </w:rPr>
              <w:t>offices entièrement automatisés à la fin de l</w:t>
            </w:r>
            <w:r w:rsidR="00A20444" w:rsidRPr="00761625">
              <w:rPr>
                <w:sz w:val="16"/>
              </w:rPr>
              <w:t>’</w:t>
            </w:r>
            <w:r w:rsidRPr="00761625">
              <w:rPr>
                <w:sz w:val="16"/>
              </w:rPr>
              <w:t>exercice biennal 2012</w:t>
            </w:r>
            <w:r w:rsidR="002D6F2A" w:rsidRPr="00761625">
              <w:rPr>
                <w:sz w:val="16"/>
              </w:rPr>
              <w:noBreakHyphen/>
            </w:r>
            <w:r w:rsidRPr="00761625">
              <w:rPr>
                <w:sz w:val="16"/>
              </w:rPr>
              <w:t>2013 : 38</w:t>
            </w:r>
            <w:r w:rsidRPr="00761625">
              <w:br/>
            </w:r>
          </w:p>
          <w:p w:rsidR="00D42474" w:rsidRDefault="0096696E" w:rsidP="001A5BF9">
            <w:pPr>
              <w:numPr>
                <w:ilvl w:val="0"/>
                <w:numId w:val="20"/>
              </w:numPr>
              <w:tabs>
                <w:tab w:val="clear" w:pos="794"/>
                <w:tab w:val="num" w:pos="572"/>
              </w:tabs>
              <w:spacing w:after="40"/>
              <w:ind w:left="193"/>
              <w:rPr>
                <w:rFonts w:cs="Arial"/>
                <w:sz w:val="16"/>
                <w:szCs w:val="16"/>
              </w:rPr>
            </w:pPr>
            <w:r w:rsidRPr="00761625">
              <w:rPr>
                <w:sz w:val="16"/>
              </w:rPr>
              <w:t>Afrique (10) (Botswana, Kenya, Madagascar, Malawi, Mozambique, Namibie, République</w:t>
            </w:r>
            <w:r w:rsidR="002D6F2A" w:rsidRPr="00761625">
              <w:rPr>
                <w:sz w:val="16"/>
              </w:rPr>
              <w:noBreakHyphen/>
            </w:r>
            <w:r w:rsidRPr="00761625">
              <w:rPr>
                <w:sz w:val="16"/>
              </w:rPr>
              <w:t>Unie de Tanzanie, Seychelles, Zambie, Zimbabwe)</w:t>
            </w:r>
          </w:p>
          <w:p w:rsidR="00D42474" w:rsidRDefault="0096696E" w:rsidP="001A5BF9">
            <w:pPr>
              <w:numPr>
                <w:ilvl w:val="0"/>
                <w:numId w:val="20"/>
              </w:numPr>
              <w:tabs>
                <w:tab w:val="clear" w:pos="794"/>
                <w:tab w:val="num" w:pos="572"/>
              </w:tabs>
              <w:spacing w:after="80"/>
              <w:ind w:left="194"/>
              <w:rPr>
                <w:rFonts w:cs="Arial"/>
                <w:sz w:val="16"/>
                <w:szCs w:val="16"/>
              </w:rPr>
            </w:pPr>
            <w:r w:rsidRPr="00761625">
              <w:rPr>
                <w:sz w:val="16"/>
              </w:rPr>
              <w:t>Pays arabes (10) (Algérie, Bahreïn, Égypte, Koweït, Libye, Oman, Palestine, Qatar, Syrie, Tunisie)</w:t>
            </w:r>
          </w:p>
          <w:p w:rsidR="00D42474" w:rsidRDefault="0096696E" w:rsidP="001A5BF9">
            <w:pPr>
              <w:numPr>
                <w:ilvl w:val="0"/>
                <w:numId w:val="20"/>
              </w:numPr>
              <w:tabs>
                <w:tab w:val="clear" w:pos="794"/>
                <w:tab w:val="num" w:pos="336"/>
              </w:tabs>
              <w:spacing w:after="80"/>
              <w:ind w:left="336" w:hanging="283"/>
              <w:rPr>
                <w:rFonts w:cs="Arial"/>
                <w:sz w:val="16"/>
                <w:szCs w:val="16"/>
              </w:rPr>
            </w:pPr>
            <w:r w:rsidRPr="00761625">
              <w:rPr>
                <w:sz w:val="16"/>
              </w:rPr>
              <w:t xml:space="preserve">Asie et Pacifique (9) (Bangladesh, Bhoutan, </w:t>
            </w:r>
            <w:proofErr w:type="spellStart"/>
            <w:r w:rsidRPr="00761625">
              <w:rPr>
                <w:sz w:val="16"/>
              </w:rPr>
              <w:t>Brunéi</w:t>
            </w:r>
            <w:proofErr w:type="spellEnd"/>
            <w:r w:rsidRPr="00761625">
              <w:rPr>
                <w:sz w:val="16"/>
              </w:rPr>
              <w:t> Darussalam, Indonésie, Népal, Pakistan, Papouasie</w:t>
            </w:r>
            <w:r w:rsidR="002D6F2A" w:rsidRPr="00761625">
              <w:rPr>
                <w:sz w:val="16"/>
              </w:rPr>
              <w:noBreakHyphen/>
            </w:r>
            <w:r w:rsidRPr="00761625">
              <w:rPr>
                <w:sz w:val="16"/>
              </w:rPr>
              <w:t>Nouvelle</w:t>
            </w:r>
            <w:r w:rsidR="002D6F2A" w:rsidRPr="00761625">
              <w:rPr>
                <w:sz w:val="16"/>
              </w:rPr>
              <w:noBreakHyphen/>
            </w:r>
            <w:r w:rsidRPr="00761625">
              <w:rPr>
                <w:sz w:val="16"/>
              </w:rPr>
              <w:t>Guinée, Philippines, Sri Lanka)</w:t>
            </w:r>
          </w:p>
          <w:p w:rsidR="00D42474" w:rsidRDefault="0096696E" w:rsidP="001A5BF9">
            <w:pPr>
              <w:numPr>
                <w:ilvl w:val="0"/>
                <w:numId w:val="20"/>
              </w:numPr>
              <w:tabs>
                <w:tab w:val="clear" w:pos="794"/>
                <w:tab w:val="num" w:pos="336"/>
              </w:tabs>
              <w:spacing w:after="80"/>
              <w:ind w:left="336" w:hanging="283"/>
              <w:rPr>
                <w:rFonts w:cs="Arial"/>
                <w:sz w:val="16"/>
                <w:szCs w:val="16"/>
                <w:lang w:bidi="th-TH"/>
              </w:rPr>
            </w:pPr>
            <w:r w:rsidRPr="00761625">
              <w:rPr>
                <w:sz w:val="16"/>
              </w:rPr>
              <w:t>Amérique latine et Caraïbes (9) (Barbade, Belize, Chili, Cuba, Jamaïque, République dominicaine, Sainte</w:t>
            </w:r>
            <w:r w:rsidR="002D6F2A" w:rsidRPr="00761625">
              <w:rPr>
                <w:sz w:val="16"/>
              </w:rPr>
              <w:noBreakHyphen/>
            </w:r>
            <w:r w:rsidRPr="00761625">
              <w:rPr>
                <w:sz w:val="16"/>
              </w:rPr>
              <w:t>Lucie, Trinité</w:t>
            </w:r>
            <w:r w:rsidR="002D6F2A" w:rsidRPr="00761625">
              <w:rPr>
                <w:sz w:val="16"/>
              </w:rPr>
              <w:noBreakHyphen/>
            </w:r>
            <w:r w:rsidRPr="00761625">
              <w:rPr>
                <w:sz w:val="16"/>
              </w:rPr>
              <w:t>et</w:t>
            </w:r>
            <w:r w:rsidR="002D6F2A" w:rsidRPr="00761625">
              <w:rPr>
                <w:sz w:val="16"/>
              </w:rPr>
              <w:noBreakHyphen/>
            </w:r>
            <w:r w:rsidRPr="00761625">
              <w:rPr>
                <w:sz w:val="16"/>
              </w:rPr>
              <w:t>Tobago, Uruguay)</w:t>
            </w:r>
          </w:p>
          <w:p w:rsidR="00D42474" w:rsidRDefault="0096696E" w:rsidP="001A5BF9">
            <w:pPr>
              <w:keepNext/>
              <w:keepLines/>
              <w:rPr>
                <w:rFonts w:cs="Arial"/>
                <w:sz w:val="16"/>
                <w:szCs w:val="16"/>
                <w:lang w:bidi="th-TH"/>
              </w:rPr>
            </w:pPr>
            <w:r w:rsidRPr="00761625">
              <w:rPr>
                <w:sz w:val="16"/>
              </w:rPr>
              <w:t>Nombre d</w:t>
            </w:r>
            <w:r w:rsidR="00A20444" w:rsidRPr="00761625">
              <w:rPr>
                <w:sz w:val="16"/>
              </w:rPr>
              <w:t>’</w:t>
            </w:r>
            <w:r w:rsidRPr="00761625">
              <w:rPr>
                <w:sz w:val="16"/>
              </w:rPr>
              <w:t>offices partiellement automatisés à la fin de l</w:t>
            </w:r>
            <w:r w:rsidR="00A20444" w:rsidRPr="00761625">
              <w:rPr>
                <w:sz w:val="16"/>
              </w:rPr>
              <w:t>’</w:t>
            </w:r>
            <w:r w:rsidRPr="00761625">
              <w:rPr>
                <w:sz w:val="16"/>
              </w:rPr>
              <w:t>exercice biennal 2012</w:t>
            </w:r>
            <w:r w:rsidR="002D6F2A" w:rsidRPr="00761625">
              <w:rPr>
                <w:sz w:val="16"/>
              </w:rPr>
              <w:noBreakHyphen/>
            </w:r>
            <w:r w:rsidRPr="00761625">
              <w:rPr>
                <w:sz w:val="16"/>
              </w:rPr>
              <w:t>2013 : 20</w:t>
            </w:r>
          </w:p>
          <w:p w:rsidR="00D42474" w:rsidRDefault="00D42474" w:rsidP="001A5BF9">
            <w:pPr>
              <w:keepNext/>
              <w:keepLines/>
              <w:rPr>
                <w:rFonts w:cs="Arial"/>
                <w:sz w:val="8"/>
                <w:szCs w:val="8"/>
                <w:lang w:bidi="th-TH"/>
              </w:rPr>
            </w:pPr>
          </w:p>
          <w:p w:rsidR="00D42474" w:rsidRDefault="0096696E" w:rsidP="001A5BF9">
            <w:pPr>
              <w:keepNext/>
              <w:keepLines/>
              <w:numPr>
                <w:ilvl w:val="0"/>
                <w:numId w:val="20"/>
              </w:numPr>
              <w:tabs>
                <w:tab w:val="clear" w:pos="794"/>
                <w:tab w:val="num" w:pos="336"/>
              </w:tabs>
              <w:spacing w:after="80"/>
              <w:ind w:left="336" w:hanging="283"/>
              <w:rPr>
                <w:rFonts w:cs="Arial"/>
                <w:sz w:val="16"/>
                <w:szCs w:val="16"/>
              </w:rPr>
            </w:pPr>
            <w:r w:rsidRPr="00761625">
              <w:rPr>
                <w:sz w:val="16"/>
              </w:rPr>
              <w:t>Afrique (9) (Afrique du Sud, ARIPO, Gambie, Ghana, Maurice, Ouganda, République</w:t>
            </w:r>
            <w:r w:rsidR="002D6F2A" w:rsidRPr="00761625">
              <w:rPr>
                <w:sz w:val="16"/>
              </w:rPr>
              <w:noBreakHyphen/>
            </w:r>
            <w:r w:rsidRPr="00761625">
              <w:rPr>
                <w:sz w:val="16"/>
              </w:rPr>
              <w:t>Unie de Tanzanie, Rwanda, Zimbabwe)</w:t>
            </w:r>
          </w:p>
          <w:p w:rsidR="00D42474" w:rsidRDefault="0096696E" w:rsidP="001A5BF9">
            <w:pPr>
              <w:numPr>
                <w:ilvl w:val="0"/>
                <w:numId w:val="20"/>
              </w:numPr>
              <w:tabs>
                <w:tab w:val="clear" w:pos="794"/>
                <w:tab w:val="num" w:pos="336"/>
              </w:tabs>
              <w:spacing w:after="80"/>
              <w:ind w:left="336" w:hanging="283"/>
              <w:rPr>
                <w:rFonts w:cs="Arial"/>
                <w:sz w:val="16"/>
                <w:szCs w:val="16"/>
              </w:rPr>
            </w:pPr>
            <w:r w:rsidRPr="00761625">
              <w:rPr>
                <w:sz w:val="16"/>
              </w:rPr>
              <w:t>Pays arabes (4) (Djibouti, Émirats Arabes Unis, Jordanie, Liban, Maroc, Oman)</w:t>
            </w:r>
          </w:p>
          <w:p w:rsidR="00D42474" w:rsidRDefault="0096696E" w:rsidP="001A5BF9">
            <w:pPr>
              <w:numPr>
                <w:ilvl w:val="0"/>
                <w:numId w:val="20"/>
              </w:numPr>
              <w:tabs>
                <w:tab w:val="clear" w:pos="794"/>
                <w:tab w:val="num" w:pos="336"/>
              </w:tabs>
              <w:spacing w:after="80"/>
              <w:ind w:left="336" w:hanging="283"/>
              <w:rPr>
                <w:rFonts w:cs="Arial"/>
                <w:sz w:val="16"/>
                <w:szCs w:val="16"/>
              </w:rPr>
            </w:pPr>
            <w:r w:rsidRPr="00761625">
              <w:rPr>
                <w:sz w:val="16"/>
              </w:rPr>
              <w:t xml:space="preserve">Asie et Pacifique (2) (Cambodge, République démocratique populaire </w:t>
            </w:r>
            <w:r w:rsidR="008F3C2C" w:rsidRPr="00761625">
              <w:rPr>
                <w:sz w:val="16"/>
              </w:rPr>
              <w:t>lao</w:t>
            </w:r>
            <w:r w:rsidRPr="00761625">
              <w:rPr>
                <w:sz w:val="16"/>
              </w:rPr>
              <w:t>)</w:t>
            </w:r>
          </w:p>
          <w:p w:rsidR="00D42474" w:rsidRDefault="0096696E" w:rsidP="001A5BF9">
            <w:pPr>
              <w:numPr>
                <w:ilvl w:val="0"/>
                <w:numId w:val="20"/>
              </w:numPr>
              <w:tabs>
                <w:tab w:val="clear" w:pos="794"/>
                <w:tab w:val="num" w:pos="336"/>
              </w:tabs>
              <w:spacing w:after="120"/>
              <w:ind w:left="336" w:hanging="283"/>
              <w:rPr>
                <w:rFonts w:cs="Arial"/>
                <w:sz w:val="16"/>
                <w:szCs w:val="16"/>
              </w:rPr>
            </w:pPr>
            <w:r w:rsidRPr="00761625">
              <w:rPr>
                <w:sz w:val="16"/>
              </w:rPr>
              <w:t>Amérique latine et Caraïbes (5) (Argentine, Bahamas, Brésil, Costa Rica, Panama)</w:t>
            </w:r>
          </w:p>
          <w:p w:rsidR="00D42474" w:rsidRDefault="0096696E" w:rsidP="001A5BF9">
            <w:pPr>
              <w:rPr>
                <w:sz w:val="16"/>
              </w:rPr>
            </w:pPr>
            <w:r w:rsidRPr="00761625">
              <w:rPr>
                <w:sz w:val="16"/>
              </w:rPr>
              <w:t>Total : 58 offices utilisant les systèmes d</w:t>
            </w:r>
            <w:r w:rsidR="00A20444" w:rsidRPr="00761625">
              <w:rPr>
                <w:sz w:val="16"/>
              </w:rPr>
              <w:t>’</w:t>
            </w:r>
            <w:r w:rsidRPr="00761625">
              <w:rPr>
                <w:sz w:val="16"/>
              </w:rPr>
              <w:t>administration de la propriété intellectuelle de l</w:t>
            </w:r>
            <w:r w:rsidR="00A20444" w:rsidRPr="00761625">
              <w:rPr>
                <w:sz w:val="16"/>
              </w:rPr>
              <w:t>’</w:t>
            </w:r>
            <w:r w:rsidRPr="00761625">
              <w:rPr>
                <w:sz w:val="16"/>
              </w:rPr>
              <w:t>OMPI à la fin de l</w:t>
            </w:r>
            <w:r w:rsidR="00A20444" w:rsidRPr="00761625">
              <w:rPr>
                <w:sz w:val="16"/>
              </w:rPr>
              <w:t>’</w:t>
            </w:r>
            <w:r w:rsidRPr="00761625">
              <w:rPr>
                <w:sz w:val="16"/>
              </w:rPr>
              <w:t>exercice biennal 2012</w:t>
            </w:r>
            <w:r w:rsidR="002D6F2A" w:rsidRPr="00761625">
              <w:rPr>
                <w:sz w:val="16"/>
              </w:rPr>
              <w:noBreakHyphen/>
            </w:r>
            <w:r w:rsidRPr="00761625">
              <w:rPr>
                <w:sz w:val="16"/>
              </w:rPr>
              <w:t>2013.</w:t>
            </w:r>
          </w:p>
          <w:p w:rsidR="00D42474" w:rsidRDefault="0096696E" w:rsidP="001A5BF9">
            <w:pPr>
              <w:pStyle w:val="Paragraphedeliste"/>
              <w:numPr>
                <w:ilvl w:val="0"/>
                <w:numId w:val="21"/>
              </w:numPr>
              <w:tabs>
                <w:tab w:val="left" w:pos="336"/>
              </w:tabs>
              <w:ind w:left="336" w:hanging="283"/>
              <w:rPr>
                <w:rFonts w:cs="Arial"/>
                <w:sz w:val="16"/>
                <w:szCs w:val="16"/>
                <w:lang w:bidi="th-TH"/>
              </w:rPr>
            </w:pPr>
            <w:r w:rsidRPr="00761625">
              <w:rPr>
                <w:sz w:val="16"/>
              </w:rPr>
              <w:t>Afrique (19)</w:t>
            </w:r>
          </w:p>
          <w:p w:rsidR="00D42474" w:rsidRDefault="0096696E" w:rsidP="001A5BF9">
            <w:pPr>
              <w:pStyle w:val="Paragraphedeliste"/>
              <w:numPr>
                <w:ilvl w:val="0"/>
                <w:numId w:val="21"/>
              </w:numPr>
              <w:tabs>
                <w:tab w:val="left" w:pos="336"/>
              </w:tabs>
              <w:ind w:left="336" w:hanging="283"/>
              <w:rPr>
                <w:rFonts w:cs="Arial"/>
                <w:sz w:val="16"/>
                <w:szCs w:val="16"/>
                <w:lang w:bidi="th-TH"/>
              </w:rPr>
            </w:pPr>
            <w:r w:rsidRPr="00761625">
              <w:rPr>
                <w:sz w:val="16"/>
              </w:rPr>
              <w:t>Pays arabes (14)</w:t>
            </w:r>
          </w:p>
          <w:p w:rsidR="00D42474" w:rsidRDefault="0096696E" w:rsidP="001A5BF9">
            <w:pPr>
              <w:pStyle w:val="Paragraphedeliste"/>
              <w:numPr>
                <w:ilvl w:val="0"/>
                <w:numId w:val="21"/>
              </w:numPr>
              <w:tabs>
                <w:tab w:val="left" w:pos="336"/>
              </w:tabs>
              <w:ind w:left="336" w:hanging="283"/>
              <w:rPr>
                <w:rFonts w:cs="Arial"/>
                <w:sz w:val="16"/>
                <w:szCs w:val="16"/>
                <w:lang w:bidi="th-TH"/>
              </w:rPr>
            </w:pPr>
            <w:r w:rsidRPr="00761625">
              <w:rPr>
                <w:sz w:val="16"/>
              </w:rPr>
              <w:t>Région Asie et Pacifique (11)</w:t>
            </w:r>
          </w:p>
          <w:p w:rsidR="0096696E" w:rsidRPr="00761625" w:rsidRDefault="0096696E" w:rsidP="001A5BF9">
            <w:pPr>
              <w:pStyle w:val="Paragraphedeliste"/>
              <w:numPr>
                <w:ilvl w:val="0"/>
                <w:numId w:val="21"/>
              </w:numPr>
              <w:tabs>
                <w:tab w:val="left" w:pos="336"/>
              </w:tabs>
              <w:ind w:left="336" w:hanging="283"/>
              <w:rPr>
                <w:rFonts w:cs="Arial"/>
                <w:spacing w:val="-2"/>
                <w:sz w:val="16"/>
                <w:szCs w:val="16"/>
                <w:lang w:bidi="th-TH"/>
              </w:rPr>
            </w:pPr>
            <w:r w:rsidRPr="00761625">
              <w:rPr>
                <w:spacing w:val="-2"/>
                <w:sz w:val="16"/>
              </w:rPr>
              <w:t>Amérique latine et Caraïbes (14)</w:t>
            </w:r>
          </w:p>
        </w:tc>
        <w:tc>
          <w:tcPr>
            <w:tcW w:w="1211" w:type="dxa"/>
            <w:gridSpan w:val="3"/>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33279F">
        <w:trPr>
          <w:cantSplit/>
        </w:trPr>
        <w:tc>
          <w:tcPr>
            <w:tcW w:w="1701" w:type="dxa"/>
            <w:shd w:val="clear" w:color="auto" w:fill="FFFFFF"/>
          </w:tcPr>
          <w:p w:rsidR="0096696E" w:rsidRPr="00761625" w:rsidRDefault="0096696E" w:rsidP="001A5BF9">
            <w:pPr>
              <w:rPr>
                <w:rFonts w:cs="Arial"/>
                <w:sz w:val="16"/>
                <w:szCs w:val="16"/>
                <w:lang w:bidi="th-TH"/>
              </w:rPr>
            </w:pPr>
            <w:r w:rsidRPr="00761625">
              <w:rPr>
                <w:sz w:val="16"/>
              </w:rPr>
              <w:t>Nombre d</w:t>
            </w:r>
            <w:r w:rsidR="00A20444" w:rsidRPr="00761625">
              <w:rPr>
                <w:sz w:val="16"/>
              </w:rPr>
              <w:t>’</w:t>
            </w:r>
            <w:r w:rsidRPr="00761625">
              <w:rPr>
                <w:sz w:val="16"/>
              </w:rPr>
              <w:t>offices avec des données de propriété intellectuelle en ligne dans les bases de données de l</w:t>
            </w:r>
            <w:r w:rsidR="00A20444" w:rsidRPr="00761625">
              <w:rPr>
                <w:sz w:val="16"/>
              </w:rPr>
              <w:t>’</w:t>
            </w:r>
            <w:r w:rsidRPr="00761625">
              <w:rPr>
                <w:sz w:val="16"/>
              </w:rPr>
              <w:t>OMPI</w:t>
            </w:r>
          </w:p>
        </w:tc>
        <w:tc>
          <w:tcPr>
            <w:tcW w:w="1843" w:type="dxa"/>
            <w:gridSpan w:val="2"/>
            <w:shd w:val="clear" w:color="auto" w:fill="auto"/>
          </w:tcPr>
          <w:p w:rsidR="0096696E" w:rsidRPr="00761625" w:rsidRDefault="0096696E" w:rsidP="001A5BF9">
            <w:pPr>
              <w:rPr>
                <w:rFonts w:cs="Arial"/>
                <w:sz w:val="16"/>
                <w:szCs w:val="16"/>
              </w:rPr>
            </w:pPr>
            <w:r w:rsidRPr="00761625">
              <w:rPr>
                <w:sz w:val="16"/>
              </w:rPr>
              <w:t>Total</w:t>
            </w:r>
            <w:r w:rsidR="0010442A" w:rsidRPr="00761625">
              <w:rPr>
                <w:sz w:val="16"/>
              </w:rPr>
              <w:t> </w:t>
            </w:r>
            <w:r w:rsidRPr="00761625">
              <w:rPr>
                <w:sz w:val="16"/>
              </w:rPr>
              <w:t>: 20 (ventilation régionale à déterminer)</w:t>
            </w:r>
          </w:p>
        </w:tc>
        <w:tc>
          <w:tcPr>
            <w:tcW w:w="1843" w:type="dxa"/>
            <w:gridSpan w:val="5"/>
            <w:shd w:val="clear" w:color="auto" w:fill="auto"/>
            <w:tcMar>
              <w:top w:w="110" w:type="dxa"/>
            </w:tcMar>
          </w:tcPr>
          <w:p w:rsidR="0096696E" w:rsidRPr="00761625" w:rsidRDefault="0096696E" w:rsidP="001A5BF9">
            <w:pPr>
              <w:rPr>
                <w:rFonts w:cs="Arial"/>
                <w:sz w:val="16"/>
                <w:szCs w:val="16"/>
              </w:rPr>
            </w:pPr>
            <w:r w:rsidRPr="00761625">
              <w:rPr>
                <w:sz w:val="16"/>
              </w:rPr>
              <w:t>Total</w:t>
            </w:r>
            <w:r w:rsidR="0010442A" w:rsidRPr="00761625">
              <w:rPr>
                <w:sz w:val="16"/>
              </w:rPr>
              <w:t> </w:t>
            </w:r>
            <w:r w:rsidRPr="00761625">
              <w:rPr>
                <w:sz w:val="16"/>
              </w:rPr>
              <w:t>: 40 (ventilation régionale à déterminer)</w:t>
            </w:r>
          </w:p>
        </w:tc>
        <w:tc>
          <w:tcPr>
            <w:tcW w:w="2900" w:type="dxa"/>
            <w:gridSpan w:val="2"/>
            <w:shd w:val="clear" w:color="auto" w:fill="FFFFFF"/>
            <w:tcMar>
              <w:top w:w="110" w:type="dxa"/>
            </w:tcMar>
          </w:tcPr>
          <w:p w:rsidR="00D42474" w:rsidRDefault="0096696E" w:rsidP="001A5BF9">
            <w:pPr>
              <w:rPr>
                <w:rFonts w:cs="Arial"/>
                <w:sz w:val="16"/>
                <w:szCs w:val="16"/>
                <w:lang w:bidi="th-TH"/>
              </w:rPr>
            </w:pPr>
            <w:r w:rsidRPr="005C7CCE">
              <w:rPr>
                <w:sz w:val="16"/>
              </w:rPr>
              <w:t>35 offices (28 dans PATENTSCOPE et six</w:t>
            </w:r>
            <w:r w:rsidR="0010442A" w:rsidRPr="005C7CCE">
              <w:rPr>
                <w:sz w:val="16"/>
              </w:rPr>
              <w:t> </w:t>
            </w:r>
            <w:r w:rsidRPr="005C7CCE">
              <w:rPr>
                <w:sz w:val="16"/>
              </w:rPr>
              <w:t>dans la Base de données mondiale sur les marques) avec des données de propriété intellectuelle en ligne dans les bases de données de l</w:t>
            </w:r>
            <w:r w:rsidR="00A20444" w:rsidRPr="005C7CCE">
              <w:rPr>
                <w:sz w:val="16"/>
              </w:rPr>
              <w:t>’</w:t>
            </w:r>
            <w:r w:rsidRPr="005C7CCE">
              <w:rPr>
                <w:sz w:val="16"/>
              </w:rPr>
              <w:t>OMPI (cumul)</w:t>
            </w:r>
          </w:p>
          <w:p w:rsidR="00D42474" w:rsidRDefault="00D42474" w:rsidP="001A5BF9">
            <w:pPr>
              <w:rPr>
                <w:rFonts w:cs="Arial"/>
                <w:sz w:val="16"/>
                <w:szCs w:val="16"/>
                <w:lang w:bidi="th-TH"/>
              </w:rPr>
            </w:pPr>
          </w:p>
          <w:p w:rsidR="00D42474" w:rsidRDefault="0096696E" w:rsidP="001A5BF9">
            <w:pPr>
              <w:rPr>
                <w:rFonts w:cs="Arial"/>
                <w:sz w:val="16"/>
                <w:szCs w:val="16"/>
                <w:lang w:bidi="th-TH"/>
              </w:rPr>
            </w:pPr>
            <w:r w:rsidRPr="00761625">
              <w:rPr>
                <w:sz w:val="16"/>
              </w:rPr>
              <w:t>PATENTSCOPE</w:t>
            </w:r>
            <w:r w:rsidR="0010442A" w:rsidRPr="00761625">
              <w:rPr>
                <w:sz w:val="16"/>
              </w:rPr>
              <w:t> </w:t>
            </w:r>
            <w:r w:rsidRPr="00761625">
              <w:rPr>
                <w:sz w:val="16"/>
              </w:rPr>
              <w:t>:</w:t>
            </w:r>
          </w:p>
          <w:p w:rsidR="00D42474" w:rsidRDefault="0096696E" w:rsidP="001A5BF9">
            <w:pPr>
              <w:pStyle w:val="Paragraphedeliste"/>
              <w:numPr>
                <w:ilvl w:val="0"/>
                <w:numId w:val="22"/>
              </w:numPr>
              <w:ind w:left="336" w:hanging="283"/>
              <w:rPr>
                <w:rFonts w:cs="Arial"/>
                <w:sz w:val="16"/>
                <w:szCs w:val="16"/>
                <w:lang w:bidi="th-TH"/>
              </w:rPr>
            </w:pPr>
            <w:r w:rsidRPr="00761625">
              <w:rPr>
                <w:sz w:val="16"/>
              </w:rPr>
              <w:t>Afrique (3) (ARIPO, Kenya, Afrique du Sud)</w:t>
            </w:r>
          </w:p>
          <w:p w:rsidR="00D42474" w:rsidRDefault="0096696E" w:rsidP="001A5BF9">
            <w:pPr>
              <w:pStyle w:val="Paragraphedeliste"/>
              <w:numPr>
                <w:ilvl w:val="0"/>
                <w:numId w:val="22"/>
              </w:numPr>
              <w:ind w:left="336" w:hanging="283"/>
              <w:rPr>
                <w:rFonts w:cs="Arial"/>
                <w:sz w:val="16"/>
                <w:szCs w:val="16"/>
                <w:lang w:bidi="th-TH"/>
              </w:rPr>
            </w:pPr>
            <w:r w:rsidRPr="00761625">
              <w:rPr>
                <w:sz w:val="16"/>
              </w:rPr>
              <w:t>Pays arabes (5) (Bahreïn, Égypte, Émirats Arabes Unis), Jordanie, Maroc</w:t>
            </w:r>
          </w:p>
          <w:p w:rsidR="00D42474" w:rsidRDefault="0096696E" w:rsidP="001A5BF9">
            <w:pPr>
              <w:pStyle w:val="Paragraphedeliste"/>
              <w:numPr>
                <w:ilvl w:val="0"/>
                <w:numId w:val="22"/>
              </w:numPr>
              <w:ind w:left="336" w:hanging="283"/>
              <w:rPr>
                <w:rFonts w:cs="Arial"/>
                <w:sz w:val="16"/>
                <w:szCs w:val="16"/>
                <w:lang w:bidi="th-TH"/>
              </w:rPr>
            </w:pPr>
            <w:r w:rsidRPr="00761625">
              <w:rPr>
                <w:sz w:val="16"/>
              </w:rPr>
              <w:t>Asie et Pacifique (4) (Chine, République de Corée, Singapour, Viet Nam)</w:t>
            </w:r>
          </w:p>
          <w:p w:rsidR="00D42474" w:rsidRDefault="0096696E" w:rsidP="001A5BF9">
            <w:pPr>
              <w:pStyle w:val="Paragraphedeliste"/>
              <w:numPr>
                <w:ilvl w:val="0"/>
                <w:numId w:val="22"/>
              </w:numPr>
              <w:ind w:left="336" w:hanging="283"/>
              <w:rPr>
                <w:rFonts w:cs="Arial"/>
                <w:sz w:val="16"/>
                <w:szCs w:val="16"/>
                <w:lang w:bidi="th-TH"/>
              </w:rPr>
            </w:pPr>
            <w:r w:rsidRPr="00761625">
              <w:rPr>
                <w:sz w:val="16"/>
              </w:rPr>
              <w:t>Amérique latine et Caraïbes (16) (Argentine, Brésil, Chili, Colombie, Costa Rica, Cuba, Équateur, El Salvador, Guatemala, Honduras, Mexique, Nicaragua, Panama, Pérou, République dominicaine, Uruguay)</w:t>
            </w:r>
          </w:p>
          <w:p w:rsidR="00D42474" w:rsidRDefault="00D42474" w:rsidP="001A5BF9">
            <w:pPr>
              <w:rPr>
                <w:rFonts w:cs="Arial"/>
                <w:sz w:val="16"/>
                <w:szCs w:val="16"/>
                <w:lang w:bidi="th-TH"/>
              </w:rPr>
            </w:pPr>
          </w:p>
          <w:p w:rsidR="00D42474" w:rsidRDefault="0096696E" w:rsidP="001A5BF9">
            <w:pPr>
              <w:rPr>
                <w:rFonts w:cs="Arial"/>
                <w:sz w:val="16"/>
                <w:szCs w:val="16"/>
                <w:lang w:bidi="th-TH"/>
              </w:rPr>
            </w:pPr>
            <w:r w:rsidRPr="00761625">
              <w:rPr>
                <w:sz w:val="16"/>
              </w:rPr>
              <w:t>Base de données mondiale sur les marques</w:t>
            </w:r>
            <w:r w:rsidR="0010442A" w:rsidRPr="00761625">
              <w:rPr>
                <w:sz w:val="16"/>
              </w:rPr>
              <w:t> </w:t>
            </w:r>
            <w:r w:rsidRPr="00761625">
              <w:rPr>
                <w:sz w:val="16"/>
              </w:rPr>
              <w:t>:</w:t>
            </w:r>
          </w:p>
          <w:p w:rsidR="00D42474" w:rsidRDefault="0096696E" w:rsidP="001A5BF9">
            <w:pPr>
              <w:pStyle w:val="Paragraphedeliste"/>
              <w:numPr>
                <w:ilvl w:val="0"/>
                <w:numId w:val="23"/>
              </w:numPr>
              <w:ind w:left="430" w:hanging="284"/>
              <w:rPr>
                <w:rFonts w:cs="Arial"/>
                <w:sz w:val="16"/>
                <w:szCs w:val="16"/>
                <w:lang w:bidi="th-TH"/>
              </w:rPr>
            </w:pPr>
            <w:r w:rsidRPr="005C7CCE">
              <w:rPr>
                <w:sz w:val="16"/>
              </w:rPr>
              <w:t>Pays arabes (4) (Algérie, Égypte, Maroc, Émirats Arabes Unis)</w:t>
            </w:r>
          </w:p>
          <w:p w:rsidR="0096696E" w:rsidRPr="005C7CCE" w:rsidRDefault="0096696E" w:rsidP="001A5BF9">
            <w:pPr>
              <w:pStyle w:val="Paragraphedeliste"/>
              <w:numPr>
                <w:ilvl w:val="0"/>
                <w:numId w:val="23"/>
              </w:numPr>
              <w:ind w:left="430" w:hanging="284"/>
              <w:rPr>
                <w:rFonts w:cs="Arial"/>
                <w:sz w:val="16"/>
                <w:szCs w:val="16"/>
                <w:lang w:bidi="th-TH"/>
              </w:rPr>
            </w:pPr>
            <w:r w:rsidRPr="005C7CCE">
              <w:rPr>
                <w:sz w:val="16"/>
              </w:rPr>
              <w:t>Asie et Pacifique (2) (Philippines, Singapour)</w:t>
            </w:r>
          </w:p>
        </w:tc>
        <w:tc>
          <w:tcPr>
            <w:tcW w:w="1211" w:type="dxa"/>
            <w:gridSpan w:val="3"/>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33279F">
        <w:trPr>
          <w:cantSplit/>
        </w:trPr>
        <w:tc>
          <w:tcPr>
            <w:tcW w:w="1701" w:type="dxa"/>
            <w:shd w:val="clear" w:color="auto" w:fill="FFFFFF"/>
          </w:tcPr>
          <w:p w:rsidR="0096696E" w:rsidRPr="005C7CCE" w:rsidRDefault="0096696E" w:rsidP="001A5BF9">
            <w:pPr>
              <w:rPr>
                <w:rFonts w:cs="Arial"/>
                <w:sz w:val="16"/>
                <w:szCs w:val="16"/>
                <w:lang w:bidi="th-TH"/>
              </w:rPr>
            </w:pPr>
            <w:r w:rsidRPr="00761625">
              <w:rPr>
                <w:sz w:val="16"/>
              </w:rPr>
              <w:t>Nombre de groupes d</w:t>
            </w:r>
            <w:r w:rsidR="00A20444" w:rsidRPr="00761625">
              <w:rPr>
                <w:sz w:val="16"/>
              </w:rPr>
              <w:t>’</w:t>
            </w:r>
            <w:r w:rsidRPr="00761625">
              <w:rPr>
                <w:sz w:val="16"/>
              </w:rPr>
              <w:t>offices participant à une plate</w:t>
            </w:r>
            <w:r w:rsidR="002D6F2A" w:rsidRPr="00761625">
              <w:rPr>
                <w:sz w:val="16"/>
              </w:rPr>
              <w:noBreakHyphen/>
            </w:r>
            <w:r w:rsidRPr="00761625">
              <w:rPr>
                <w:sz w:val="16"/>
              </w:rPr>
              <w:t>forme commune</w:t>
            </w:r>
          </w:p>
        </w:tc>
        <w:tc>
          <w:tcPr>
            <w:tcW w:w="1843" w:type="dxa"/>
            <w:gridSpan w:val="2"/>
            <w:shd w:val="clear" w:color="auto" w:fill="auto"/>
          </w:tcPr>
          <w:p w:rsidR="0096696E" w:rsidRPr="005C7CCE" w:rsidRDefault="0096696E" w:rsidP="001A5BF9">
            <w:pPr>
              <w:rPr>
                <w:rFonts w:cs="Arial"/>
                <w:sz w:val="16"/>
                <w:szCs w:val="16"/>
              </w:rPr>
            </w:pPr>
            <w:r w:rsidRPr="005C7CCE">
              <w:rPr>
                <w:sz w:val="16"/>
              </w:rPr>
              <w:t>Un</w:t>
            </w:r>
          </w:p>
        </w:tc>
        <w:tc>
          <w:tcPr>
            <w:tcW w:w="1843" w:type="dxa"/>
            <w:gridSpan w:val="5"/>
            <w:shd w:val="clear" w:color="auto" w:fill="auto"/>
            <w:tcMar>
              <w:top w:w="110" w:type="dxa"/>
            </w:tcMar>
          </w:tcPr>
          <w:p w:rsidR="0096696E" w:rsidRPr="005C7CCE" w:rsidRDefault="0096696E" w:rsidP="001A5BF9">
            <w:pPr>
              <w:rPr>
                <w:rFonts w:cs="Arial"/>
                <w:color w:val="993300"/>
                <w:sz w:val="16"/>
                <w:szCs w:val="16"/>
                <w:lang w:bidi="th-TH"/>
              </w:rPr>
            </w:pPr>
            <w:r w:rsidRPr="005C7CCE">
              <w:rPr>
                <w:sz w:val="16"/>
              </w:rPr>
              <w:t>Trois (cumul)</w:t>
            </w:r>
          </w:p>
        </w:tc>
        <w:tc>
          <w:tcPr>
            <w:tcW w:w="2900" w:type="dxa"/>
            <w:gridSpan w:val="2"/>
            <w:shd w:val="clear" w:color="auto" w:fill="FFFFFF"/>
            <w:tcMar>
              <w:top w:w="110" w:type="dxa"/>
            </w:tcMar>
          </w:tcPr>
          <w:p w:rsidR="0096696E" w:rsidRPr="005C7CCE" w:rsidRDefault="0096696E" w:rsidP="001A5BF9">
            <w:pPr>
              <w:rPr>
                <w:rFonts w:cs="Arial"/>
                <w:sz w:val="16"/>
                <w:szCs w:val="16"/>
                <w:lang w:bidi="th-TH"/>
              </w:rPr>
            </w:pPr>
            <w:r w:rsidRPr="005C7CCE">
              <w:rPr>
                <w:sz w:val="16"/>
              </w:rPr>
              <w:t xml:space="preserve">Sept offices participants de différentes régions. </w:t>
            </w:r>
            <w:r w:rsidR="0010442A" w:rsidRPr="005C7CCE">
              <w:rPr>
                <w:sz w:val="16"/>
              </w:rPr>
              <w:t xml:space="preserve"> </w:t>
            </w:r>
            <w:r w:rsidRPr="005C7CCE">
              <w:rPr>
                <w:sz w:val="16"/>
              </w:rPr>
              <w:t>La question d</w:t>
            </w:r>
            <w:r w:rsidR="00A20444" w:rsidRPr="005C7CCE">
              <w:rPr>
                <w:sz w:val="16"/>
              </w:rPr>
              <w:t>’</w:t>
            </w:r>
            <w:r w:rsidRPr="005C7CCE">
              <w:rPr>
                <w:sz w:val="16"/>
              </w:rPr>
              <w:t>avoir différents groupes d</w:t>
            </w:r>
            <w:r w:rsidR="00A20444" w:rsidRPr="005C7CCE">
              <w:rPr>
                <w:sz w:val="16"/>
              </w:rPr>
              <w:t>’</w:t>
            </w:r>
            <w:r w:rsidRPr="005C7CCE">
              <w:rPr>
                <w:sz w:val="16"/>
              </w:rPr>
              <w:t>offices n</w:t>
            </w:r>
            <w:r w:rsidR="00A20444" w:rsidRPr="005C7CCE">
              <w:rPr>
                <w:sz w:val="16"/>
              </w:rPr>
              <w:t>’</w:t>
            </w:r>
            <w:r w:rsidRPr="005C7CCE">
              <w:rPr>
                <w:sz w:val="16"/>
              </w:rPr>
              <w:t>est plus d</w:t>
            </w:r>
            <w:r w:rsidR="00A20444" w:rsidRPr="005C7CCE">
              <w:rPr>
                <w:sz w:val="16"/>
              </w:rPr>
              <w:t>’</w:t>
            </w:r>
            <w:r w:rsidRPr="005C7CCE">
              <w:rPr>
                <w:sz w:val="16"/>
              </w:rPr>
              <w:t xml:space="preserve">actualité. </w:t>
            </w:r>
            <w:r w:rsidR="0010442A" w:rsidRPr="005C7CCE">
              <w:rPr>
                <w:sz w:val="16"/>
              </w:rPr>
              <w:t xml:space="preserve"> </w:t>
            </w:r>
            <w:r w:rsidRPr="005C7CCE">
              <w:rPr>
                <w:sz w:val="16"/>
              </w:rPr>
              <w:t>Les offices adhèrent à la plate</w:t>
            </w:r>
            <w:r w:rsidR="002D6F2A" w:rsidRPr="005C7CCE">
              <w:rPr>
                <w:sz w:val="16"/>
              </w:rPr>
              <w:noBreakHyphen/>
            </w:r>
            <w:r w:rsidRPr="005C7CCE">
              <w:rPr>
                <w:sz w:val="16"/>
              </w:rPr>
              <w:t>forme commune partout dans le monde et pas en groupes régionaux.</w:t>
            </w:r>
          </w:p>
        </w:tc>
        <w:tc>
          <w:tcPr>
            <w:tcW w:w="1211" w:type="dxa"/>
            <w:gridSpan w:val="3"/>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33279F">
        <w:trPr>
          <w:cantSplit/>
        </w:trPr>
        <w:tc>
          <w:tcPr>
            <w:tcW w:w="1701" w:type="dxa"/>
            <w:tcBorders>
              <w:bottom w:val="single" w:sz="4" w:space="0" w:color="auto"/>
            </w:tcBorders>
            <w:shd w:val="clear" w:color="auto" w:fill="FFFFFF"/>
          </w:tcPr>
          <w:p w:rsidR="0096696E" w:rsidRPr="00761625" w:rsidRDefault="0096696E" w:rsidP="001A5BF9">
            <w:pPr>
              <w:rPr>
                <w:rFonts w:cs="Arial"/>
                <w:sz w:val="16"/>
                <w:szCs w:val="16"/>
                <w:lang w:bidi="th-TH"/>
              </w:rPr>
            </w:pPr>
            <w:r w:rsidRPr="00761625">
              <w:rPr>
                <w:sz w:val="16"/>
              </w:rPr>
              <w:t>Nombre d</w:t>
            </w:r>
            <w:r w:rsidR="00A20444" w:rsidRPr="00761625">
              <w:rPr>
                <w:sz w:val="16"/>
              </w:rPr>
              <w:t>’</w:t>
            </w:r>
            <w:r w:rsidRPr="00761625">
              <w:rPr>
                <w:sz w:val="16"/>
              </w:rPr>
              <w:t>offices traitant des données</w:t>
            </w:r>
            <w:r w:rsidR="00A20444" w:rsidRPr="00761625">
              <w:rPr>
                <w:sz w:val="16"/>
              </w:rPr>
              <w:t xml:space="preserve"> du PCT</w:t>
            </w:r>
            <w:r w:rsidRPr="00761625">
              <w:rPr>
                <w:sz w:val="16"/>
              </w:rPr>
              <w:t xml:space="preserve"> et du système de Madrid avec l</w:t>
            </w:r>
            <w:r w:rsidR="00A20444" w:rsidRPr="00761625">
              <w:rPr>
                <w:sz w:val="16"/>
              </w:rPr>
              <w:t>’</w:t>
            </w:r>
            <w:r w:rsidRPr="00761625">
              <w:rPr>
                <w:sz w:val="16"/>
              </w:rPr>
              <w:t>appui de systèmes fournis par l</w:t>
            </w:r>
            <w:r w:rsidR="00A20444" w:rsidRPr="00761625">
              <w:rPr>
                <w:sz w:val="16"/>
              </w:rPr>
              <w:t>’</w:t>
            </w:r>
            <w:r w:rsidRPr="00761625">
              <w:rPr>
                <w:sz w:val="16"/>
              </w:rPr>
              <w:t>OMPI</w:t>
            </w:r>
          </w:p>
        </w:tc>
        <w:tc>
          <w:tcPr>
            <w:tcW w:w="1843" w:type="dxa"/>
            <w:gridSpan w:val="2"/>
            <w:tcBorders>
              <w:bottom w:val="single" w:sz="4" w:space="0" w:color="auto"/>
            </w:tcBorders>
            <w:shd w:val="clear" w:color="auto" w:fill="auto"/>
          </w:tcPr>
          <w:p w:rsidR="0096696E" w:rsidRPr="00761625" w:rsidRDefault="0096696E" w:rsidP="001A5BF9">
            <w:pPr>
              <w:rPr>
                <w:rFonts w:cs="Arial"/>
                <w:sz w:val="16"/>
                <w:szCs w:val="16"/>
                <w:lang w:bidi="th-TH"/>
              </w:rPr>
            </w:pPr>
            <w:r w:rsidRPr="00761625">
              <w:rPr>
                <w:sz w:val="16"/>
              </w:rPr>
              <w:t>Total</w:t>
            </w:r>
            <w:r w:rsidR="0010442A" w:rsidRPr="00761625">
              <w:rPr>
                <w:sz w:val="16"/>
              </w:rPr>
              <w:t> </w:t>
            </w:r>
            <w:r w:rsidRPr="00761625">
              <w:rPr>
                <w:sz w:val="16"/>
              </w:rPr>
              <w:t>: 5 (ventilation régionale à déterminer)</w:t>
            </w:r>
          </w:p>
        </w:tc>
        <w:tc>
          <w:tcPr>
            <w:tcW w:w="1843" w:type="dxa"/>
            <w:gridSpan w:val="5"/>
            <w:tcBorders>
              <w:bottom w:val="single" w:sz="4" w:space="0" w:color="auto"/>
            </w:tcBorders>
            <w:shd w:val="clear" w:color="auto" w:fill="auto"/>
            <w:tcMar>
              <w:top w:w="110" w:type="dxa"/>
            </w:tcMar>
          </w:tcPr>
          <w:p w:rsidR="00D42474" w:rsidRDefault="0096696E" w:rsidP="001A5BF9">
            <w:pPr>
              <w:rPr>
                <w:rFonts w:cs="Arial"/>
                <w:sz w:val="16"/>
                <w:szCs w:val="16"/>
                <w:lang w:bidi="th-TH"/>
              </w:rPr>
            </w:pPr>
            <w:r w:rsidRPr="005C7CCE">
              <w:rPr>
                <w:sz w:val="16"/>
              </w:rPr>
              <w:t>Total 20 (cumul)</w:t>
            </w:r>
          </w:p>
          <w:p w:rsidR="0096696E" w:rsidRPr="005C7CCE" w:rsidRDefault="0096696E" w:rsidP="001A5BF9">
            <w:pPr>
              <w:rPr>
                <w:rFonts w:cs="Arial"/>
                <w:sz w:val="16"/>
                <w:szCs w:val="16"/>
                <w:lang w:bidi="th-TH"/>
              </w:rPr>
            </w:pPr>
            <w:r w:rsidRPr="005C7CCE">
              <w:rPr>
                <w:sz w:val="16"/>
              </w:rPr>
              <w:t>(ventilation régionale à déterminer)</w:t>
            </w:r>
          </w:p>
        </w:tc>
        <w:tc>
          <w:tcPr>
            <w:tcW w:w="2900" w:type="dxa"/>
            <w:gridSpan w:val="2"/>
            <w:tcBorders>
              <w:bottom w:val="single" w:sz="4" w:space="0" w:color="auto"/>
            </w:tcBorders>
            <w:shd w:val="clear" w:color="auto" w:fill="FFFFFF"/>
            <w:tcMar>
              <w:top w:w="110" w:type="dxa"/>
            </w:tcMar>
          </w:tcPr>
          <w:p w:rsidR="00D42474" w:rsidRDefault="0096696E" w:rsidP="001A5BF9">
            <w:pPr>
              <w:rPr>
                <w:rFonts w:cs="Arial"/>
                <w:sz w:val="16"/>
                <w:szCs w:val="16"/>
                <w:lang w:bidi="th-TH"/>
              </w:rPr>
            </w:pPr>
            <w:r w:rsidRPr="005C7CCE">
              <w:rPr>
                <w:sz w:val="16"/>
              </w:rPr>
              <w:t>32 offices traitant des données</w:t>
            </w:r>
            <w:r w:rsidR="00A20444" w:rsidRPr="005C7CCE">
              <w:rPr>
                <w:sz w:val="16"/>
              </w:rPr>
              <w:t xml:space="preserve"> du PCT</w:t>
            </w:r>
            <w:r w:rsidRPr="005C7CCE">
              <w:rPr>
                <w:sz w:val="16"/>
              </w:rPr>
              <w:t xml:space="preserve"> et du système de Madrid avec l</w:t>
            </w:r>
            <w:r w:rsidR="00A20444" w:rsidRPr="005C7CCE">
              <w:rPr>
                <w:sz w:val="16"/>
              </w:rPr>
              <w:t>’</w:t>
            </w:r>
            <w:r w:rsidRPr="005C7CCE">
              <w:rPr>
                <w:sz w:val="16"/>
              </w:rPr>
              <w:t>appui de systèmes fournis par l</w:t>
            </w:r>
            <w:r w:rsidR="00A20444" w:rsidRPr="005C7CCE">
              <w:rPr>
                <w:sz w:val="16"/>
              </w:rPr>
              <w:t>’</w:t>
            </w:r>
            <w:r w:rsidRPr="005C7CCE">
              <w:rPr>
                <w:sz w:val="16"/>
              </w:rPr>
              <w:t>OMPI</w:t>
            </w:r>
          </w:p>
          <w:p w:rsidR="00D42474" w:rsidRDefault="00D42474" w:rsidP="001A5BF9">
            <w:pPr>
              <w:rPr>
                <w:rFonts w:cs="Arial"/>
                <w:sz w:val="16"/>
                <w:szCs w:val="16"/>
                <w:lang w:bidi="th-TH"/>
              </w:rPr>
            </w:pPr>
          </w:p>
          <w:p w:rsidR="00D42474" w:rsidRDefault="0096696E" w:rsidP="001A5BF9">
            <w:pPr>
              <w:keepNext/>
              <w:keepLines/>
              <w:rPr>
                <w:rFonts w:cs="Arial"/>
                <w:sz w:val="16"/>
                <w:szCs w:val="16"/>
                <w:lang w:bidi="th-TH"/>
              </w:rPr>
            </w:pPr>
            <w:r w:rsidRPr="005C7CCE">
              <w:rPr>
                <w:sz w:val="16"/>
              </w:rPr>
              <w:t>Données du PCT :</w:t>
            </w:r>
          </w:p>
          <w:p w:rsidR="00D42474" w:rsidRDefault="0096696E" w:rsidP="001A5BF9">
            <w:pPr>
              <w:pStyle w:val="Paragraphedeliste"/>
              <w:keepNext/>
              <w:keepLines/>
              <w:numPr>
                <w:ilvl w:val="0"/>
                <w:numId w:val="24"/>
              </w:numPr>
              <w:ind w:left="432"/>
              <w:rPr>
                <w:rFonts w:cs="Arial"/>
                <w:sz w:val="16"/>
                <w:szCs w:val="16"/>
                <w:lang w:bidi="th-TH"/>
              </w:rPr>
            </w:pPr>
            <w:r w:rsidRPr="005C7CCE">
              <w:rPr>
                <w:sz w:val="16"/>
              </w:rPr>
              <w:t>Afrique (6) (Botswana, Kenya, Madagascar, Mozambique, République</w:t>
            </w:r>
            <w:r w:rsidR="002D6F2A" w:rsidRPr="005C7CCE">
              <w:rPr>
                <w:sz w:val="16"/>
              </w:rPr>
              <w:noBreakHyphen/>
            </w:r>
            <w:r w:rsidRPr="005C7CCE">
              <w:rPr>
                <w:sz w:val="16"/>
              </w:rPr>
              <w:t>Unie de Tanzanie, Zambie)</w:t>
            </w:r>
          </w:p>
          <w:p w:rsidR="00D42474" w:rsidRDefault="0096696E" w:rsidP="001A5BF9">
            <w:pPr>
              <w:pStyle w:val="Paragraphedeliste"/>
              <w:keepNext/>
              <w:keepLines/>
              <w:numPr>
                <w:ilvl w:val="0"/>
                <w:numId w:val="24"/>
              </w:numPr>
              <w:ind w:left="432"/>
              <w:rPr>
                <w:rFonts w:cs="Arial"/>
                <w:sz w:val="16"/>
                <w:szCs w:val="16"/>
                <w:lang w:bidi="th-TH"/>
              </w:rPr>
            </w:pPr>
            <w:r w:rsidRPr="005C7CCE">
              <w:rPr>
                <w:sz w:val="16"/>
              </w:rPr>
              <w:t>Pays arabes (5) (Algérie, Bahreïn, Égypte, Maroc, Tunisie)</w:t>
            </w:r>
          </w:p>
          <w:p w:rsidR="00D42474" w:rsidRDefault="0096696E" w:rsidP="001A5BF9">
            <w:pPr>
              <w:pStyle w:val="Paragraphedeliste"/>
              <w:keepNext/>
              <w:keepLines/>
              <w:numPr>
                <w:ilvl w:val="0"/>
                <w:numId w:val="24"/>
              </w:numPr>
              <w:ind w:left="432"/>
              <w:rPr>
                <w:rFonts w:cs="Arial"/>
                <w:sz w:val="16"/>
                <w:szCs w:val="16"/>
                <w:lang w:bidi="th-TH"/>
              </w:rPr>
            </w:pPr>
            <w:r w:rsidRPr="005C7CCE">
              <w:rPr>
                <w:sz w:val="16"/>
              </w:rPr>
              <w:t>Asie et Pacifique (4) (Indonésie, Papouasie</w:t>
            </w:r>
            <w:r w:rsidR="002D6F2A" w:rsidRPr="005C7CCE">
              <w:rPr>
                <w:sz w:val="16"/>
              </w:rPr>
              <w:noBreakHyphen/>
            </w:r>
            <w:r w:rsidRPr="005C7CCE">
              <w:rPr>
                <w:sz w:val="16"/>
              </w:rPr>
              <w:t>Nouvelle</w:t>
            </w:r>
            <w:r w:rsidR="002D6F2A" w:rsidRPr="005C7CCE">
              <w:rPr>
                <w:sz w:val="16"/>
              </w:rPr>
              <w:noBreakHyphen/>
            </w:r>
            <w:r w:rsidRPr="005C7CCE">
              <w:rPr>
                <w:sz w:val="16"/>
              </w:rPr>
              <w:t>Guinée, Philippines, Sri Lanka)</w:t>
            </w:r>
          </w:p>
          <w:p w:rsidR="00D42474" w:rsidRDefault="0096696E" w:rsidP="001A5BF9">
            <w:pPr>
              <w:pStyle w:val="Paragraphedeliste"/>
              <w:keepNext/>
              <w:keepLines/>
              <w:numPr>
                <w:ilvl w:val="0"/>
                <w:numId w:val="24"/>
              </w:numPr>
              <w:ind w:left="432"/>
              <w:rPr>
                <w:rFonts w:cs="Arial"/>
                <w:sz w:val="16"/>
                <w:szCs w:val="16"/>
                <w:lang w:bidi="th-TH"/>
              </w:rPr>
            </w:pPr>
            <w:r w:rsidRPr="005C7CCE">
              <w:rPr>
                <w:sz w:val="16"/>
              </w:rPr>
              <w:t>Amérique latine et Caraïbes (7) (Barbade, Belize, Chili, Cuba, République dominicaine, Sainte</w:t>
            </w:r>
            <w:r w:rsidR="002D6F2A" w:rsidRPr="005C7CCE">
              <w:rPr>
                <w:sz w:val="16"/>
              </w:rPr>
              <w:noBreakHyphen/>
            </w:r>
            <w:r w:rsidRPr="005C7CCE">
              <w:rPr>
                <w:sz w:val="16"/>
              </w:rPr>
              <w:t>Lucie, Trinité</w:t>
            </w:r>
            <w:r w:rsidR="002D6F2A" w:rsidRPr="005C7CCE">
              <w:rPr>
                <w:sz w:val="16"/>
              </w:rPr>
              <w:noBreakHyphen/>
            </w:r>
            <w:r w:rsidRPr="005C7CCE">
              <w:rPr>
                <w:sz w:val="16"/>
              </w:rPr>
              <w:t>et</w:t>
            </w:r>
            <w:r w:rsidR="002D6F2A" w:rsidRPr="005C7CCE">
              <w:rPr>
                <w:sz w:val="16"/>
              </w:rPr>
              <w:noBreakHyphen/>
            </w:r>
            <w:r w:rsidRPr="005C7CCE">
              <w:rPr>
                <w:sz w:val="16"/>
              </w:rPr>
              <w:t>Tobago)</w:t>
            </w:r>
          </w:p>
          <w:p w:rsidR="00D42474" w:rsidRDefault="00D42474" w:rsidP="001A5BF9">
            <w:pPr>
              <w:pStyle w:val="Paragraphedeliste"/>
              <w:ind w:left="432"/>
              <w:rPr>
                <w:rFonts w:cs="Arial"/>
                <w:sz w:val="16"/>
                <w:szCs w:val="16"/>
                <w:lang w:bidi="th-TH"/>
              </w:rPr>
            </w:pPr>
          </w:p>
          <w:p w:rsidR="00D42474" w:rsidRDefault="0096696E" w:rsidP="001A5BF9">
            <w:pPr>
              <w:rPr>
                <w:rFonts w:cs="Arial"/>
                <w:sz w:val="16"/>
                <w:szCs w:val="16"/>
                <w:lang w:bidi="th-TH"/>
              </w:rPr>
            </w:pPr>
            <w:r w:rsidRPr="005C7CCE">
              <w:rPr>
                <w:sz w:val="16"/>
              </w:rPr>
              <w:t>TOTAL : 22</w:t>
            </w:r>
          </w:p>
          <w:p w:rsidR="00D42474" w:rsidRDefault="00D42474" w:rsidP="001A5BF9">
            <w:pPr>
              <w:rPr>
                <w:rFonts w:cs="Arial"/>
                <w:sz w:val="16"/>
                <w:szCs w:val="16"/>
                <w:lang w:bidi="th-TH"/>
              </w:rPr>
            </w:pPr>
          </w:p>
          <w:p w:rsidR="00D42474" w:rsidRDefault="0096696E" w:rsidP="001A5BF9">
            <w:pPr>
              <w:rPr>
                <w:rFonts w:cs="Arial"/>
                <w:sz w:val="16"/>
                <w:szCs w:val="16"/>
                <w:lang w:bidi="th-TH"/>
              </w:rPr>
            </w:pPr>
            <w:r w:rsidRPr="005C7CCE">
              <w:rPr>
                <w:sz w:val="16"/>
              </w:rPr>
              <w:t>Données du système de Madrid :</w:t>
            </w:r>
          </w:p>
          <w:p w:rsidR="00D42474" w:rsidRDefault="0096696E" w:rsidP="001A5BF9">
            <w:pPr>
              <w:pStyle w:val="Paragraphedeliste"/>
              <w:numPr>
                <w:ilvl w:val="0"/>
                <w:numId w:val="25"/>
              </w:numPr>
              <w:ind w:left="432"/>
              <w:rPr>
                <w:rFonts w:cs="Arial"/>
                <w:sz w:val="16"/>
                <w:szCs w:val="16"/>
                <w:lang w:bidi="th-TH"/>
              </w:rPr>
            </w:pPr>
            <w:r w:rsidRPr="005C7CCE">
              <w:rPr>
                <w:sz w:val="16"/>
              </w:rPr>
              <w:t>Afrique (7) (Botswana, Ghana, Kenya, Madagascar, Mozambique, Namibie, Zambie)</w:t>
            </w:r>
          </w:p>
          <w:p w:rsidR="00D42474" w:rsidRDefault="0096696E" w:rsidP="001A5BF9">
            <w:pPr>
              <w:pStyle w:val="Paragraphedeliste"/>
              <w:numPr>
                <w:ilvl w:val="0"/>
                <w:numId w:val="25"/>
              </w:numPr>
              <w:ind w:left="432"/>
              <w:rPr>
                <w:rFonts w:cs="Arial"/>
                <w:sz w:val="16"/>
                <w:szCs w:val="16"/>
                <w:lang w:bidi="th-TH"/>
              </w:rPr>
            </w:pPr>
            <w:r w:rsidRPr="005C7CCE">
              <w:rPr>
                <w:sz w:val="16"/>
              </w:rPr>
              <w:t>Pays arabes (1) (Algérie)</w:t>
            </w:r>
          </w:p>
          <w:p w:rsidR="00D42474" w:rsidRDefault="0096696E" w:rsidP="001A5BF9">
            <w:pPr>
              <w:pStyle w:val="Paragraphedeliste"/>
              <w:numPr>
                <w:ilvl w:val="0"/>
                <w:numId w:val="25"/>
              </w:numPr>
              <w:ind w:left="432"/>
              <w:rPr>
                <w:rFonts w:cs="Arial"/>
                <w:sz w:val="16"/>
                <w:szCs w:val="16"/>
                <w:lang w:bidi="th-TH"/>
              </w:rPr>
            </w:pPr>
            <w:r w:rsidRPr="005C7CCE">
              <w:rPr>
                <w:sz w:val="16"/>
              </w:rPr>
              <w:t>Asie et Pacifique (1) (Bhoutan)</w:t>
            </w:r>
          </w:p>
          <w:p w:rsidR="00D42474" w:rsidRDefault="0096696E" w:rsidP="001A5BF9">
            <w:pPr>
              <w:pStyle w:val="Paragraphedeliste"/>
              <w:numPr>
                <w:ilvl w:val="0"/>
                <w:numId w:val="25"/>
              </w:numPr>
              <w:ind w:left="432"/>
              <w:rPr>
                <w:rFonts w:cs="Arial"/>
                <w:sz w:val="16"/>
                <w:szCs w:val="16"/>
                <w:lang w:bidi="th-TH"/>
              </w:rPr>
            </w:pPr>
            <w:r w:rsidRPr="005C7CCE">
              <w:rPr>
                <w:sz w:val="16"/>
              </w:rPr>
              <w:t>Amérique latine et Caraïbes (1) (Cuba)</w:t>
            </w:r>
          </w:p>
          <w:p w:rsidR="00D42474" w:rsidRDefault="00D42474" w:rsidP="001A5BF9">
            <w:pPr>
              <w:pStyle w:val="Paragraphedeliste"/>
              <w:ind w:left="432"/>
              <w:rPr>
                <w:rFonts w:cs="Arial"/>
                <w:sz w:val="16"/>
                <w:szCs w:val="16"/>
                <w:lang w:bidi="th-TH"/>
              </w:rPr>
            </w:pPr>
          </w:p>
          <w:p w:rsidR="0096696E" w:rsidRPr="005C7CCE" w:rsidRDefault="0096696E" w:rsidP="001A5BF9">
            <w:pPr>
              <w:rPr>
                <w:rFonts w:cs="Arial"/>
                <w:sz w:val="16"/>
                <w:szCs w:val="16"/>
                <w:lang w:bidi="th-TH"/>
              </w:rPr>
            </w:pPr>
            <w:r w:rsidRPr="005C7CCE">
              <w:rPr>
                <w:sz w:val="16"/>
              </w:rPr>
              <w:t>TOTAL : 10</w:t>
            </w:r>
          </w:p>
        </w:tc>
        <w:tc>
          <w:tcPr>
            <w:tcW w:w="1211" w:type="dxa"/>
            <w:gridSpan w:val="3"/>
            <w:tcBorders>
              <w:bottom w:val="single" w:sz="4" w:space="0" w:color="auto"/>
            </w:tcBorders>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761625" w:rsidTr="0033279F">
        <w:trPr>
          <w:cantSplit/>
        </w:trPr>
        <w:tc>
          <w:tcPr>
            <w:tcW w:w="9498" w:type="dxa"/>
            <w:gridSpan w:val="13"/>
            <w:tcBorders>
              <w:top w:val="single" w:sz="4" w:space="0" w:color="auto"/>
              <w:bottom w:val="single" w:sz="4" w:space="0" w:color="auto"/>
            </w:tcBorders>
            <w:shd w:val="clear" w:color="auto" w:fill="CCFFFF"/>
            <w:vAlign w:val="center"/>
          </w:tcPr>
          <w:p w:rsidR="0096696E" w:rsidRPr="00761625" w:rsidRDefault="0096696E" w:rsidP="001A5BF9">
            <w:pPr>
              <w:keepNext/>
              <w:keepLines/>
              <w:pageBreakBefore/>
              <w:tabs>
                <w:tab w:val="left" w:pos="1452"/>
              </w:tabs>
              <w:spacing w:before="120" w:after="120"/>
              <w:ind w:left="1452" w:hanging="1452"/>
              <w:rPr>
                <w:rFonts w:cs="Arial"/>
                <w:b/>
                <w:bCs/>
                <w:sz w:val="16"/>
                <w:szCs w:val="16"/>
              </w:rPr>
            </w:pPr>
            <w:r w:rsidRPr="00761625">
              <w:rPr>
                <w:b/>
                <w:sz w:val="16"/>
              </w:rPr>
              <w:t>Résultat escompté</w:t>
            </w:r>
            <w:r w:rsidR="0010442A" w:rsidRPr="00761625">
              <w:rPr>
                <w:b/>
                <w:sz w:val="16"/>
              </w:rPr>
              <w:t xml:space="preserve"> : </w:t>
            </w:r>
            <w:r w:rsidRPr="00761625">
              <w:rPr>
                <w:b/>
                <w:sz w:val="16"/>
              </w:rPr>
              <w:tab/>
            </w:r>
            <w:r w:rsidRPr="00761625">
              <w:rPr>
                <w:sz w:val="16"/>
              </w:rPr>
              <w:t>Cadres législatif, réglementaires et politiques équilibrés et adaptés en matière de propriété intellectuelle</w:t>
            </w:r>
            <w:r w:rsidR="004F3E42" w:rsidRPr="00761625">
              <w:rPr>
                <w:sz w:val="16"/>
              </w:rPr>
              <w:t xml:space="preserve"> </w:t>
            </w:r>
          </w:p>
        </w:tc>
      </w:tr>
      <w:tr w:rsidR="0096696E" w:rsidRPr="00761625" w:rsidTr="0033279F">
        <w:trPr>
          <w:cantSplit/>
        </w:trPr>
        <w:tc>
          <w:tcPr>
            <w:tcW w:w="1701" w:type="dxa"/>
            <w:tcBorders>
              <w:top w:val="single" w:sz="4" w:space="0" w:color="auto"/>
            </w:tcBorders>
            <w:shd w:val="clear" w:color="auto" w:fill="auto"/>
            <w:vAlign w:val="center"/>
          </w:tcPr>
          <w:p w:rsidR="0096696E" w:rsidRPr="00761625" w:rsidRDefault="0096696E" w:rsidP="001A5BF9">
            <w:pPr>
              <w:spacing w:after="40"/>
              <w:rPr>
                <w:rFonts w:cs="Arial"/>
                <w:b/>
                <w:sz w:val="16"/>
                <w:szCs w:val="16"/>
              </w:rPr>
            </w:pPr>
            <w:r w:rsidRPr="00761625">
              <w:rPr>
                <w:b/>
                <w:sz w:val="16"/>
              </w:rPr>
              <w:t>Indicateurs d</w:t>
            </w:r>
            <w:r w:rsidR="00A20444" w:rsidRPr="00761625">
              <w:rPr>
                <w:b/>
                <w:sz w:val="16"/>
              </w:rPr>
              <w:t>’</w:t>
            </w:r>
            <w:r w:rsidRPr="00761625">
              <w:rPr>
                <w:b/>
                <w:sz w:val="16"/>
              </w:rPr>
              <w:t>exécution</w:t>
            </w:r>
          </w:p>
        </w:tc>
        <w:tc>
          <w:tcPr>
            <w:tcW w:w="1843" w:type="dxa"/>
            <w:gridSpan w:val="2"/>
            <w:tcBorders>
              <w:top w:val="single" w:sz="4" w:space="0" w:color="auto"/>
            </w:tcBorders>
            <w:shd w:val="clear" w:color="auto" w:fill="auto"/>
            <w:vAlign w:val="center"/>
          </w:tcPr>
          <w:p w:rsidR="0096696E" w:rsidRPr="00761625" w:rsidRDefault="0096696E" w:rsidP="001A5BF9">
            <w:pPr>
              <w:spacing w:after="40"/>
              <w:rPr>
                <w:rFonts w:cs="Arial"/>
                <w:b/>
                <w:bCs/>
                <w:sz w:val="16"/>
                <w:szCs w:val="16"/>
              </w:rPr>
            </w:pPr>
            <w:r w:rsidRPr="00761625">
              <w:rPr>
                <w:b/>
                <w:sz w:val="16"/>
              </w:rPr>
              <w:t>Niveaux de référence</w:t>
            </w:r>
          </w:p>
        </w:tc>
        <w:tc>
          <w:tcPr>
            <w:tcW w:w="1833" w:type="dxa"/>
            <w:gridSpan w:val="4"/>
            <w:tcBorders>
              <w:top w:val="single" w:sz="4" w:space="0" w:color="auto"/>
            </w:tcBorders>
            <w:shd w:val="clear" w:color="auto" w:fill="auto"/>
            <w:tcMar>
              <w:top w:w="110" w:type="dxa"/>
            </w:tcMar>
            <w:vAlign w:val="center"/>
          </w:tcPr>
          <w:p w:rsidR="0096696E" w:rsidRPr="00761625" w:rsidRDefault="0096696E" w:rsidP="001A5BF9">
            <w:pPr>
              <w:spacing w:after="40"/>
              <w:rPr>
                <w:rFonts w:cs="Arial"/>
                <w:b/>
                <w:sz w:val="16"/>
                <w:szCs w:val="16"/>
              </w:rPr>
            </w:pPr>
            <w:r w:rsidRPr="00761625">
              <w:rPr>
                <w:b/>
                <w:sz w:val="16"/>
              </w:rPr>
              <w:t>Objectifs visés</w:t>
            </w:r>
          </w:p>
        </w:tc>
        <w:tc>
          <w:tcPr>
            <w:tcW w:w="2924" w:type="dxa"/>
            <w:gridSpan w:val="4"/>
            <w:tcBorders>
              <w:top w:val="single" w:sz="4" w:space="0" w:color="auto"/>
            </w:tcBorders>
            <w:shd w:val="clear" w:color="auto" w:fill="FFFFFF"/>
            <w:tcMar>
              <w:top w:w="110" w:type="dxa"/>
            </w:tcMar>
            <w:vAlign w:val="center"/>
          </w:tcPr>
          <w:p w:rsidR="0096696E" w:rsidRPr="00761625" w:rsidRDefault="0096696E" w:rsidP="001A5BF9">
            <w:pPr>
              <w:spacing w:after="40"/>
              <w:rPr>
                <w:rFonts w:cs="Arial"/>
                <w:b/>
                <w:sz w:val="16"/>
                <w:szCs w:val="16"/>
              </w:rPr>
            </w:pPr>
            <w:r w:rsidRPr="00761625">
              <w:rPr>
                <w:b/>
                <w:sz w:val="16"/>
              </w:rPr>
              <w:t>Données relatives à l</w:t>
            </w:r>
            <w:r w:rsidR="00A20444" w:rsidRPr="00761625">
              <w:rPr>
                <w:b/>
                <w:sz w:val="16"/>
              </w:rPr>
              <w:t>’</w:t>
            </w:r>
            <w:r w:rsidRPr="00761625">
              <w:rPr>
                <w:b/>
                <w:sz w:val="16"/>
              </w:rPr>
              <w:t>exécution</w:t>
            </w:r>
          </w:p>
        </w:tc>
        <w:tc>
          <w:tcPr>
            <w:tcW w:w="1197" w:type="dxa"/>
            <w:gridSpan w:val="2"/>
            <w:tcBorders>
              <w:top w:val="single" w:sz="4" w:space="0" w:color="auto"/>
            </w:tcBorders>
            <w:shd w:val="clear" w:color="auto" w:fill="auto"/>
            <w:tcMar>
              <w:top w:w="110" w:type="dxa"/>
            </w:tcMar>
            <w:vAlign w:val="center"/>
          </w:tcPr>
          <w:p w:rsidR="0096696E" w:rsidRPr="00761625" w:rsidRDefault="0096696E" w:rsidP="001A5BF9">
            <w:pPr>
              <w:keepNext/>
              <w:keepLines/>
              <w:spacing w:after="40"/>
              <w:jc w:val="center"/>
              <w:rPr>
                <w:rFonts w:cs="Arial"/>
                <w:b/>
                <w:bCs/>
                <w:sz w:val="16"/>
                <w:szCs w:val="16"/>
              </w:rPr>
            </w:pPr>
            <w:r w:rsidRPr="00761625">
              <w:rPr>
                <w:b/>
                <w:sz w:val="16"/>
              </w:rPr>
              <w:t>Code de couleurs</w:t>
            </w:r>
          </w:p>
        </w:tc>
      </w:tr>
      <w:tr w:rsidR="0096696E" w:rsidRPr="005C7CCE" w:rsidTr="0033279F">
        <w:trPr>
          <w:cantSplit/>
        </w:trPr>
        <w:tc>
          <w:tcPr>
            <w:tcW w:w="1701" w:type="dxa"/>
            <w:shd w:val="clear" w:color="auto" w:fill="FFFFFF"/>
          </w:tcPr>
          <w:p w:rsidR="0096696E" w:rsidRPr="00761625" w:rsidRDefault="0096696E" w:rsidP="001A5BF9">
            <w:pPr>
              <w:rPr>
                <w:rFonts w:cs="Arial"/>
                <w:sz w:val="16"/>
                <w:szCs w:val="16"/>
                <w:lang w:bidi="th-TH"/>
              </w:rPr>
            </w:pPr>
            <w:r w:rsidRPr="00761625">
              <w:rPr>
                <w:sz w:val="16"/>
              </w:rPr>
              <w:t>Nombre et types de demandes de conseils législatifs sur les brevets, les modèles d</w:t>
            </w:r>
            <w:r w:rsidR="00A20444" w:rsidRPr="00761625">
              <w:rPr>
                <w:sz w:val="16"/>
              </w:rPr>
              <w:t>’</w:t>
            </w:r>
            <w:r w:rsidRPr="00761625">
              <w:rPr>
                <w:sz w:val="16"/>
              </w:rPr>
              <w:t>utilité, les secrets d</w:t>
            </w:r>
            <w:r w:rsidR="00A20444" w:rsidRPr="00761625">
              <w:rPr>
                <w:sz w:val="16"/>
              </w:rPr>
              <w:t>’</w:t>
            </w:r>
            <w:r w:rsidRPr="00761625">
              <w:rPr>
                <w:sz w:val="16"/>
              </w:rPr>
              <w:t>affaires et les circuits intégrés, y</w:t>
            </w:r>
            <w:r w:rsidR="0010442A" w:rsidRPr="00761625">
              <w:rPr>
                <w:sz w:val="16"/>
              </w:rPr>
              <w:t> </w:t>
            </w:r>
            <w:r w:rsidRPr="00761625">
              <w:rPr>
                <w:sz w:val="16"/>
              </w:rPr>
              <w:t>compris les flexibilités pertinentes en matière de propriété intellectuelle</w:t>
            </w:r>
          </w:p>
        </w:tc>
        <w:tc>
          <w:tcPr>
            <w:tcW w:w="1843" w:type="dxa"/>
            <w:gridSpan w:val="2"/>
            <w:shd w:val="clear" w:color="auto" w:fill="auto"/>
          </w:tcPr>
          <w:p w:rsidR="00D42474" w:rsidRDefault="0096696E" w:rsidP="001A5BF9">
            <w:pPr>
              <w:rPr>
                <w:rFonts w:cs="Arial"/>
                <w:i/>
                <w:sz w:val="16"/>
                <w:szCs w:val="16"/>
                <w:lang w:bidi="th-TH"/>
              </w:rPr>
            </w:pPr>
            <w:r w:rsidRPr="005C7CCE">
              <w:rPr>
                <w:i/>
                <w:color w:val="002060"/>
                <w:sz w:val="16"/>
              </w:rPr>
              <w:t>Niveau de référence actualisé fin 2011 :</w:t>
            </w:r>
            <w:r w:rsidR="00761625">
              <w:rPr>
                <w:color w:val="002060"/>
                <w:sz w:val="16"/>
              </w:rPr>
              <w:t xml:space="preserve"> e</w:t>
            </w:r>
            <w:r w:rsidRPr="005C7CCE">
              <w:rPr>
                <w:color w:val="002060"/>
                <w:sz w:val="16"/>
              </w:rPr>
              <w:t>n</w:t>
            </w:r>
            <w:r w:rsidR="0010442A" w:rsidRPr="005C7CCE">
              <w:rPr>
                <w:color w:val="002060"/>
                <w:sz w:val="16"/>
              </w:rPr>
              <w:t> </w:t>
            </w:r>
            <w:r w:rsidRPr="005C7CCE">
              <w:rPr>
                <w:color w:val="002060"/>
                <w:sz w:val="16"/>
              </w:rPr>
              <w:t xml:space="preserve">2011, 10 observations écrites ont été transmises aux États </w:t>
            </w:r>
            <w:r w:rsidRPr="00761625">
              <w:rPr>
                <w:color w:val="002060"/>
                <w:sz w:val="16"/>
              </w:rPr>
              <w:t>membres</w:t>
            </w:r>
            <w:r w:rsidR="00761625">
              <w:rPr>
                <w:color w:val="002060"/>
                <w:sz w:val="16"/>
              </w:rPr>
              <w:t xml:space="preserve">. </w:t>
            </w:r>
            <w:r w:rsidRPr="00761625">
              <w:rPr>
                <w:color w:val="002060"/>
                <w:sz w:val="16"/>
              </w:rPr>
              <w:t xml:space="preserve"> En outre, huit</w:t>
            </w:r>
            <w:r w:rsidR="0010442A" w:rsidRPr="00761625">
              <w:rPr>
                <w:color w:val="002060"/>
                <w:sz w:val="16"/>
              </w:rPr>
              <w:t> </w:t>
            </w:r>
            <w:r w:rsidRPr="00761625">
              <w:rPr>
                <w:color w:val="002060"/>
                <w:sz w:val="16"/>
              </w:rPr>
              <w:t>événements ont été organisés en vue de débattre, de réviser et de rédiger des textes juridiques ou d</w:t>
            </w:r>
            <w:r w:rsidR="00A20444" w:rsidRPr="00761625">
              <w:rPr>
                <w:color w:val="002060"/>
                <w:sz w:val="16"/>
              </w:rPr>
              <w:t>’</w:t>
            </w:r>
            <w:r w:rsidRPr="00761625">
              <w:rPr>
                <w:color w:val="002060"/>
                <w:sz w:val="16"/>
              </w:rPr>
              <w:t>analyser des possibilités d</w:t>
            </w:r>
            <w:r w:rsidR="00A20444" w:rsidRPr="00761625">
              <w:rPr>
                <w:color w:val="002060"/>
                <w:sz w:val="16"/>
              </w:rPr>
              <w:t>’</w:t>
            </w:r>
            <w:r w:rsidRPr="00761625">
              <w:rPr>
                <w:color w:val="002060"/>
                <w:sz w:val="16"/>
              </w:rPr>
              <w:t>action.</w:t>
            </w:r>
          </w:p>
          <w:p w:rsidR="00D42474" w:rsidRDefault="00D42474" w:rsidP="001A5BF9">
            <w:pPr>
              <w:rPr>
                <w:rFonts w:cs="Arial"/>
                <w:i/>
                <w:sz w:val="16"/>
                <w:szCs w:val="16"/>
                <w:lang w:bidi="th-TH"/>
              </w:rPr>
            </w:pPr>
          </w:p>
          <w:p w:rsidR="0096696E" w:rsidRPr="005C7CCE" w:rsidRDefault="0096696E" w:rsidP="001A5BF9">
            <w:pPr>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761625">
              <w:rPr>
                <w:sz w:val="16"/>
              </w:rPr>
              <w:t xml:space="preserve"> e</w:t>
            </w:r>
            <w:r w:rsidRPr="005C7CCE">
              <w:rPr>
                <w:sz w:val="16"/>
              </w:rPr>
              <w:t>n 2010, 12 observations ont été transmises aux États membres</w:t>
            </w:r>
          </w:p>
        </w:tc>
        <w:tc>
          <w:tcPr>
            <w:tcW w:w="1833" w:type="dxa"/>
            <w:gridSpan w:val="4"/>
            <w:shd w:val="clear" w:color="auto" w:fill="auto"/>
            <w:tcMar>
              <w:top w:w="110" w:type="dxa"/>
            </w:tcMar>
          </w:tcPr>
          <w:p w:rsidR="00D42474" w:rsidRDefault="0096696E" w:rsidP="001A5BF9">
            <w:pPr>
              <w:rPr>
                <w:rFonts w:cs="Arial"/>
                <w:sz w:val="16"/>
                <w:szCs w:val="16"/>
                <w:lang w:bidi="th-TH"/>
              </w:rPr>
            </w:pPr>
            <w:r w:rsidRPr="005C7CCE">
              <w:rPr>
                <w:sz w:val="16"/>
              </w:rPr>
              <w:t>25 observations sur</w:t>
            </w:r>
          </w:p>
          <w:p w:rsidR="0096696E" w:rsidRPr="005C7CCE" w:rsidRDefault="0096696E" w:rsidP="001A5BF9">
            <w:pPr>
              <w:rPr>
                <w:rFonts w:cs="Arial"/>
                <w:sz w:val="16"/>
                <w:szCs w:val="16"/>
                <w:lang w:bidi="th-TH"/>
              </w:rPr>
            </w:pPr>
            <w:r w:rsidRPr="005C7CCE">
              <w:rPr>
                <w:sz w:val="16"/>
              </w:rPr>
              <w:t>les projets préparés par les États membres et 10 projets de lois préparés par le Secrétariat (en 2012</w:t>
            </w:r>
            <w:r w:rsidR="002D6F2A" w:rsidRPr="005C7CCE">
              <w:rPr>
                <w:sz w:val="16"/>
              </w:rPr>
              <w:noBreakHyphen/>
            </w:r>
            <w:r w:rsidRPr="005C7CCE">
              <w:rPr>
                <w:sz w:val="16"/>
              </w:rPr>
              <w:t>2013) (ventilation régionale à déterminer)</w:t>
            </w:r>
          </w:p>
        </w:tc>
        <w:tc>
          <w:tcPr>
            <w:tcW w:w="2924" w:type="dxa"/>
            <w:gridSpan w:val="4"/>
            <w:shd w:val="clear" w:color="auto" w:fill="FFFFFF"/>
            <w:tcMar>
              <w:top w:w="110" w:type="dxa"/>
            </w:tcMar>
          </w:tcPr>
          <w:p w:rsidR="00D42474" w:rsidRDefault="0096696E" w:rsidP="001A5BF9">
            <w:pPr>
              <w:jc w:val="both"/>
              <w:rPr>
                <w:rFonts w:cs="Arial"/>
                <w:sz w:val="16"/>
                <w:szCs w:val="16"/>
                <w:lang w:bidi="th-TH"/>
              </w:rPr>
            </w:pPr>
            <w:r w:rsidRPr="00761625">
              <w:rPr>
                <w:sz w:val="16"/>
              </w:rPr>
              <w:t>18 observations écrites/projets de lois sur les brevets ont été transmis aux États membres</w:t>
            </w:r>
          </w:p>
          <w:p w:rsidR="00D42474" w:rsidRDefault="0096696E" w:rsidP="001A5BF9">
            <w:pPr>
              <w:pStyle w:val="Paragraphedeliste"/>
              <w:numPr>
                <w:ilvl w:val="0"/>
                <w:numId w:val="26"/>
              </w:numPr>
              <w:ind w:left="336" w:hanging="284"/>
              <w:jc w:val="both"/>
              <w:rPr>
                <w:sz w:val="16"/>
              </w:rPr>
            </w:pPr>
            <w:r w:rsidRPr="00761625">
              <w:rPr>
                <w:sz w:val="16"/>
              </w:rPr>
              <w:t>Afrique (3)</w:t>
            </w:r>
          </w:p>
          <w:p w:rsidR="00D42474" w:rsidRDefault="0096696E" w:rsidP="001A5BF9">
            <w:pPr>
              <w:pStyle w:val="Paragraphedeliste"/>
              <w:numPr>
                <w:ilvl w:val="0"/>
                <w:numId w:val="26"/>
              </w:numPr>
              <w:ind w:left="336" w:hanging="284"/>
              <w:jc w:val="both"/>
              <w:rPr>
                <w:rFonts w:cs="Arial"/>
                <w:sz w:val="16"/>
                <w:szCs w:val="16"/>
                <w:lang w:bidi="th-TH"/>
              </w:rPr>
            </w:pPr>
            <w:r w:rsidRPr="00761625">
              <w:rPr>
                <w:sz w:val="16"/>
              </w:rPr>
              <w:t>Asie et Pacifique (9)</w:t>
            </w:r>
          </w:p>
          <w:p w:rsidR="00D42474" w:rsidRDefault="0096696E" w:rsidP="001A5BF9">
            <w:pPr>
              <w:pStyle w:val="Paragraphedeliste"/>
              <w:numPr>
                <w:ilvl w:val="0"/>
                <w:numId w:val="26"/>
              </w:numPr>
              <w:ind w:left="336" w:hanging="284"/>
              <w:rPr>
                <w:rFonts w:cs="Arial"/>
                <w:sz w:val="16"/>
                <w:szCs w:val="16"/>
                <w:lang w:bidi="th-TH"/>
              </w:rPr>
            </w:pPr>
            <w:r w:rsidRPr="00761625">
              <w:rPr>
                <w:sz w:val="16"/>
              </w:rPr>
              <w:t>Amérique latine et Caraïbes (6)</w:t>
            </w:r>
          </w:p>
          <w:p w:rsidR="00D42474" w:rsidRDefault="00D42474" w:rsidP="001A5BF9">
            <w:pPr>
              <w:pStyle w:val="Paragraphedeliste"/>
              <w:ind w:left="336"/>
              <w:rPr>
                <w:rFonts w:cs="Arial"/>
                <w:sz w:val="8"/>
                <w:szCs w:val="8"/>
                <w:lang w:bidi="th-TH"/>
              </w:rPr>
            </w:pPr>
          </w:p>
          <w:p w:rsidR="00D42474" w:rsidRDefault="0096696E" w:rsidP="001A5BF9">
            <w:pPr>
              <w:rPr>
                <w:sz w:val="16"/>
              </w:rPr>
            </w:pPr>
            <w:r w:rsidRPr="00761625">
              <w:rPr>
                <w:sz w:val="16"/>
              </w:rPr>
              <w:t>De outre, dans le but d</w:t>
            </w:r>
            <w:r w:rsidR="00A20444" w:rsidRPr="00761625">
              <w:rPr>
                <w:sz w:val="16"/>
              </w:rPr>
              <w:t>’</w:t>
            </w:r>
            <w:r w:rsidRPr="00761625">
              <w:rPr>
                <w:sz w:val="16"/>
              </w:rPr>
              <w:t>examiner, de réviser et de rédiger des textes juridiques ou d</w:t>
            </w:r>
            <w:r w:rsidR="00A20444" w:rsidRPr="00761625">
              <w:rPr>
                <w:sz w:val="16"/>
              </w:rPr>
              <w:t>’</w:t>
            </w:r>
            <w:r w:rsidRPr="00761625">
              <w:rPr>
                <w:sz w:val="16"/>
              </w:rPr>
              <w:t>analyser des options stratégiques, un nombre croissant de consultations avec les autorités et autres parties prenantes ont été organisées.</w:t>
            </w:r>
          </w:p>
          <w:p w:rsidR="00D42474" w:rsidRDefault="0096696E" w:rsidP="001A5BF9">
            <w:pPr>
              <w:pStyle w:val="Paragraphedeliste"/>
              <w:numPr>
                <w:ilvl w:val="0"/>
                <w:numId w:val="27"/>
              </w:numPr>
              <w:ind w:left="336" w:hanging="283"/>
              <w:jc w:val="both"/>
              <w:rPr>
                <w:rFonts w:cs="Arial"/>
                <w:sz w:val="16"/>
                <w:szCs w:val="16"/>
                <w:lang w:bidi="th-TH"/>
              </w:rPr>
            </w:pPr>
            <w:r w:rsidRPr="00761625">
              <w:rPr>
                <w:sz w:val="16"/>
              </w:rPr>
              <w:t>Afrique (4)</w:t>
            </w:r>
          </w:p>
          <w:p w:rsidR="00D42474" w:rsidRDefault="0096696E" w:rsidP="001A5BF9">
            <w:pPr>
              <w:pStyle w:val="Paragraphedeliste"/>
              <w:numPr>
                <w:ilvl w:val="0"/>
                <w:numId w:val="27"/>
              </w:numPr>
              <w:ind w:left="336" w:hanging="283"/>
              <w:jc w:val="both"/>
              <w:rPr>
                <w:rFonts w:cs="Arial"/>
                <w:sz w:val="16"/>
                <w:szCs w:val="16"/>
                <w:lang w:bidi="th-TH"/>
              </w:rPr>
            </w:pPr>
            <w:r w:rsidRPr="00761625">
              <w:rPr>
                <w:sz w:val="16"/>
              </w:rPr>
              <w:t>Asie et Pacifique (9)</w:t>
            </w:r>
          </w:p>
          <w:p w:rsidR="0096696E" w:rsidRPr="00761625" w:rsidRDefault="0096696E" w:rsidP="001A5BF9">
            <w:pPr>
              <w:pStyle w:val="Paragraphedeliste"/>
              <w:numPr>
                <w:ilvl w:val="0"/>
                <w:numId w:val="27"/>
              </w:numPr>
              <w:ind w:left="336" w:hanging="283"/>
              <w:jc w:val="both"/>
              <w:rPr>
                <w:rFonts w:cs="Arial"/>
                <w:sz w:val="16"/>
                <w:szCs w:val="16"/>
                <w:lang w:bidi="th-TH"/>
              </w:rPr>
            </w:pPr>
            <w:r w:rsidRPr="00761625">
              <w:rPr>
                <w:sz w:val="16"/>
              </w:rPr>
              <w:t>Amérique latine et Caraïbes (7)</w:t>
            </w:r>
          </w:p>
        </w:tc>
        <w:tc>
          <w:tcPr>
            <w:tcW w:w="1197" w:type="dxa"/>
            <w:gridSpan w:val="2"/>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33279F">
        <w:trPr>
          <w:cantSplit/>
        </w:trPr>
        <w:tc>
          <w:tcPr>
            <w:tcW w:w="1701" w:type="dxa"/>
            <w:shd w:val="clear" w:color="auto" w:fill="FFFFFF"/>
          </w:tcPr>
          <w:p w:rsidR="0096696E" w:rsidRPr="00761625" w:rsidRDefault="0096696E" w:rsidP="001A5BF9">
            <w:pPr>
              <w:rPr>
                <w:rFonts w:cs="Arial"/>
                <w:sz w:val="16"/>
                <w:szCs w:val="16"/>
                <w:lang w:bidi="th-TH"/>
              </w:rPr>
            </w:pPr>
            <w:r w:rsidRPr="00761625">
              <w:rPr>
                <w:sz w:val="16"/>
              </w:rPr>
              <w:t>Nombre de pays ayant jugé utiles les conseils législatifs fournis par l</w:t>
            </w:r>
            <w:r w:rsidR="00A20444" w:rsidRPr="00761625">
              <w:rPr>
                <w:sz w:val="16"/>
              </w:rPr>
              <w:t>’</w:t>
            </w:r>
            <w:r w:rsidRPr="00761625">
              <w:rPr>
                <w:sz w:val="16"/>
              </w:rPr>
              <w:t>OMPI dans le domaine des brevets, des modèles d</w:t>
            </w:r>
            <w:r w:rsidR="00A20444" w:rsidRPr="00761625">
              <w:rPr>
                <w:sz w:val="16"/>
              </w:rPr>
              <w:t>’</w:t>
            </w:r>
            <w:r w:rsidRPr="00761625">
              <w:rPr>
                <w:sz w:val="16"/>
              </w:rPr>
              <w:t>utilité, des secrets d</w:t>
            </w:r>
            <w:r w:rsidR="00A20444" w:rsidRPr="00761625">
              <w:rPr>
                <w:sz w:val="16"/>
              </w:rPr>
              <w:t>’</w:t>
            </w:r>
            <w:r w:rsidRPr="00761625">
              <w:rPr>
                <w:sz w:val="16"/>
              </w:rPr>
              <w:t>affaires et des circuits intégrés</w:t>
            </w:r>
          </w:p>
        </w:tc>
        <w:tc>
          <w:tcPr>
            <w:tcW w:w="1843" w:type="dxa"/>
            <w:gridSpan w:val="2"/>
            <w:shd w:val="clear" w:color="auto" w:fill="auto"/>
          </w:tcPr>
          <w:p w:rsidR="0096696E" w:rsidRPr="005C7CCE" w:rsidRDefault="0096696E" w:rsidP="001A5BF9">
            <w:pPr>
              <w:rPr>
                <w:rFonts w:cs="Arial"/>
                <w:sz w:val="16"/>
                <w:szCs w:val="16"/>
                <w:lang w:bidi="th-TH"/>
              </w:rPr>
            </w:pPr>
            <w:r w:rsidRPr="005C7CCE">
              <w:rPr>
                <w:sz w:val="16"/>
              </w:rPr>
              <w:t>Données non disponibles</w:t>
            </w:r>
          </w:p>
        </w:tc>
        <w:tc>
          <w:tcPr>
            <w:tcW w:w="1833" w:type="dxa"/>
            <w:gridSpan w:val="4"/>
            <w:shd w:val="clear" w:color="auto" w:fill="auto"/>
            <w:tcMar>
              <w:top w:w="110" w:type="dxa"/>
            </w:tcMar>
          </w:tcPr>
          <w:p w:rsidR="0096696E" w:rsidRPr="005C7CCE" w:rsidRDefault="0096696E" w:rsidP="001A5BF9">
            <w:pPr>
              <w:rPr>
                <w:rFonts w:cs="Arial"/>
                <w:sz w:val="16"/>
                <w:szCs w:val="16"/>
                <w:lang w:bidi="th-TH"/>
              </w:rPr>
            </w:pPr>
            <w:r w:rsidRPr="005C7CCE">
              <w:rPr>
                <w:sz w:val="16"/>
              </w:rPr>
              <w:t>90</w:t>
            </w:r>
            <w:r w:rsidR="007E442D" w:rsidRPr="005C7CCE">
              <w:rPr>
                <w:sz w:val="16"/>
              </w:rPr>
              <w:t>%</w:t>
            </w:r>
          </w:p>
        </w:tc>
        <w:tc>
          <w:tcPr>
            <w:tcW w:w="2924" w:type="dxa"/>
            <w:gridSpan w:val="4"/>
            <w:shd w:val="clear" w:color="auto" w:fill="FFFFFF"/>
            <w:tcMar>
              <w:top w:w="110" w:type="dxa"/>
            </w:tcMar>
          </w:tcPr>
          <w:p w:rsidR="0096696E" w:rsidRPr="00761625" w:rsidRDefault="0096696E" w:rsidP="001A5BF9">
            <w:pPr>
              <w:rPr>
                <w:rFonts w:cs="Arial"/>
                <w:sz w:val="16"/>
                <w:szCs w:val="16"/>
                <w:lang w:bidi="th-TH"/>
              </w:rPr>
            </w:pPr>
            <w:r w:rsidRPr="00761625">
              <w:rPr>
                <w:sz w:val="16"/>
              </w:rPr>
              <w:t>Une enquête réalisée par la Division de l</w:t>
            </w:r>
            <w:r w:rsidR="00A20444" w:rsidRPr="00761625">
              <w:rPr>
                <w:sz w:val="16"/>
              </w:rPr>
              <w:t>’</w:t>
            </w:r>
            <w:r w:rsidRPr="00761625">
              <w:rPr>
                <w:sz w:val="16"/>
              </w:rPr>
              <w:t>audit et de la supervision internes couvrant un nombre représentatif d</w:t>
            </w:r>
            <w:r w:rsidR="00A20444" w:rsidRPr="00761625">
              <w:rPr>
                <w:sz w:val="16"/>
              </w:rPr>
              <w:t>’</w:t>
            </w:r>
            <w:r w:rsidRPr="00761625">
              <w:rPr>
                <w:sz w:val="16"/>
              </w:rPr>
              <w:t>États membres, bénéficiaires de conseils juridiques dispensés par l</w:t>
            </w:r>
            <w:r w:rsidR="00A20444" w:rsidRPr="00761625">
              <w:rPr>
                <w:sz w:val="16"/>
              </w:rPr>
              <w:t>’</w:t>
            </w:r>
            <w:r w:rsidRPr="00761625">
              <w:rPr>
                <w:sz w:val="16"/>
              </w:rPr>
              <w:t>OMPI, ainsi que des questionnaires d</w:t>
            </w:r>
            <w:r w:rsidR="00A20444" w:rsidRPr="00761625">
              <w:rPr>
                <w:sz w:val="16"/>
              </w:rPr>
              <w:t>’</w:t>
            </w:r>
            <w:r w:rsidRPr="00761625">
              <w:rPr>
                <w:sz w:val="16"/>
              </w:rPr>
              <w:t>évaluation reçus par le Secrétariat ont indiqué un niveau de satisfaction de plus de 90</w:t>
            </w:r>
            <w:r w:rsidR="007E442D" w:rsidRPr="00761625">
              <w:rPr>
                <w:sz w:val="16"/>
              </w:rPr>
              <w:t>%</w:t>
            </w:r>
            <w:r w:rsidRPr="00761625">
              <w:rPr>
                <w:sz w:val="16"/>
              </w:rPr>
              <w:t xml:space="preserve"> concernant la qualité de l</w:t>
            </w:r>
            <w:r w:rsidR="00A20444" w:rsidRPr="00761625">
              <w:rPr>
                <w:sz w:val="16"/>
              </w:rPr>
              <w:t>’</w:t>
            </w:r>
            <w:r w:rsidRPr="00761625">
              <w:rPr>
                <w:sz w:val="16"/>
              </w:rPr>
              <w:t xml:space="preserve">assistance fournie. </w:t>
            </w:r>
            <w:r w:rsidR="0010442A" w:rsidRPr="00761625">
              <w:rPr>
                <w:sz w:val="16"/>
              </w:rPr>
              <w:t xml:space="preserve"> </w:t>
            </w:r>
            <w:r w:rsidRPr="00761625">
              <w:rPr>
                <w:sz w:val="16"/>
              </w:rPr>
              <w:t>Un mécanisme d</w:t>
            </w:r>
            <w:r w:rsidR="00A20444" w:rsidRPr="00761625">
              <w:rPr>
                <w:sz w:val="16"/>
              </w:rPr>
              <w:t>’</w:t>
            </w:r>
            <w:r w:rsidRPr="00761625">
              <w:rPr>
                <w:sz w:val="16"/>
              </w:rPr>
              <w:t>évaluation systématique a été mis en place pour l</w:t>
            </w:r>
            <w:r w:rsidR="00A20444" w:rsidRPr="00761625">
              <w:rPr>
                <w:sz w:val="16"/>
              </w:rPr>
              <w:t>’</w:t>
            </w:r>
            <w:r w:rsidRPr="00761625">
              <w:rPr>
                <w:sz w:val="16"/>
              </w:rPr>
              <w:t>exercice biennal 2014</w:t>
            </w:r>
            <w:r w:rsidR="002D6F2A" w:rsidRPr="00761625">
              <w:rPr>
                <w:sz w:val="16"/>
              </w:rPr>
              <w:noBreakHyphen/>
            </w:r>
            <w:r w:rsidRPr="00761625">
              <w:rPr>
                <w:sz w:val="16"/>
              </w:rPr>
              <w:t>2015.</w:t>
            </w:r>
          </w:p>
        </w:tc>
        <w:tc>
          <w:tcPr>
            <w:tcW w:w="1197" w:type="dxa"/>
            <w:gridSpan w:val="2"/>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33279F">
        <w:trPr>
          <w:cantSplit/>
        </w:trPr>
        <w:tc>
          <w:tcPr>
            <w:tcW w:w="1701" w:type="dxa"/>
            <w:shd w:val="clear" w:color="auto" w:fill="FFFFFF"/>
          </w:tcPr>
          <w:p w:rsidR="0096696E" w:rsidRPr="00761625" w:rsidRDefault="0096696E" w:rsidP="001A5BF9">
            <w:pPr>
              <w:rPr>
                <w:rFonts w:cs="Arial"/>
                <w:sz w:val="16"/>
                <w:szCs w:val="16"/>
                <w:lang w:bidi="th-TH"/>
              </w:rPr>
            </w:pPr>
            <w:r w:rsidRPr="00761625">
              <w:rPr>
                <w:sz w:val="16"/>
              </w:rPr>
              <w:t>Pourcentage de pays ayant trouvé utiles les informations fournies concernant les principes juridiques et les pratiques en rapport avec le système des brevets, notamment les éléments de flexibilité existants dans le système et les difficultés auxquelles il est confronté</w:t>
            </w:r>
          </w:p>
        </w:tc>
        <w:tc>
          <w:tcPr>
            <w:tcW w:w="1843" w:type="dxa"/>
            <w:gridSpan w:val="2"/>
            <w:shd w:val="clear" w:color="auto" w:fill="auto"/>
          </w:tcPr>
          <w:p w:rsidR="00D42474" w:rsidRDefault="0096696E" w:rsidP="001A5BF9">
            <w:pPr>
              <w:rPr>
                <w:rFonts w:cs="Arial"/>
                <w:color w:val="002060"/>
                <w:sz w:val="16"/>
                <w:szCs w:val="16"/>
                <w:lang w:bidi="th-TH"/>
              </w:rPr>
            </w:pPr>
            <w:r w:rsidRPr="005C7CCE">
              <w:rPr>
                <w:i/>
                <w:color w:val="002060"/>
                <w:sz w:val="16"/>
              </w:rPr>
              <w:t>Niveau de référence actualisé fin 2011 :</w:t>
            </w:r>
            <w:r w:rsidRPr="005C7CCE">
              <w:rPr>
                <w:color w:val="002060"/>
                <w:sz w:val="16"/>
              </w:rPr>
              <w:t xml:space="preserve"> </w:t>
            </w:r>
            <w:r w:rsidR="00761625">
              <w:rPr>
                <w:color w:val="002060"/>
                <w:sz w:val="16"/>
              </w:rPr>
              <w:t>l</w:t>
            </w:r>
            <w:r w:rsidRPr="005C7CCE">
              <w:rPr>
                <w:color w:val="002060"/>
                <w:sz w:val="16"/>
              </w:rPr>
              <w:t>es rapports du SCP et du CDIP précisent les réactions des États membres (statistiques non disponibles)</w:t>
            </w:r>
          </w:p>
          <w:p w:rsidR="00D42474" w:rsidRDefault="00D42474" w:rsidP="001A5BF9">
            <w:pPr>
              <w:rPr>
                <w:rFonts w:cs="Arial"/>
                <w:i/>
                <w:sz w:val="8"/>
                <w:szCs w:val="8"/>
                <w:lang w:bidi="th-TH"/>
              </w:rPr>
            </w:pPr>
          </w:p>
          <w:p w:rsidR="0096696E" w:rsidRPr="005C7CCE" w:rsidRDefault="0096696E" w:rsidP="001A5BF9">
            <w:pPr>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761625">
              <w:rPr>
                <w:sz w:val="16"/>
              </w:rPr>
              <w:t xml:space="preserve"> d</w:t>
            </w:r>
            <w:r w:rsidRPr="005C7CCE">
              <w:rPr>
                <w:sz w:val="16"/>
              </w:rPr>
              <w:t>onnées non disponibles</w:t>
            </w:r>
          </w:p>
        </w:tc>
        <w:tc>
          <w:tcPr>
            <w:tcW w:w="1833" w:type="dxa"/>
            <w:gridSpan w:val="4"/>
            <w:shd w:val="clear" w:color="auto" w:fill="auto"/>
            <w:tcMar>
              <w:top w:w="110" w:type="dxa"/>
            </w:tcMar>
          </w:tcPr>
          <w:p w:rsidR="0096696E" w:rsidRPr="005C7CCE" w:rsidRDefault="0096696E" w:rsidP="001A5BF9">
            <w:pPr>
              <w:rPr>
                <w:rFonts w:cs="Arial"/>
                <w:sz w:val="16"/>
                <w:szCs w:val="16"/>
                <w:lang w:bidi="th-TH"/>
              </w:rPr>
            </w:pPr>
            <w:r w:rsidRPr="005C7CCE">
              <w:rPr>
                <w:sz w:val="16"/>
              </w:rPr>
              <w:t>90</w:t>
            </w:r>
            <w:r w:rsidR="007E442D" w:rsidRPr="005C7CCE">
              <w:rPr>
                <w:sz w:val="16"/>
              </w:rPr>
              <w:t>%</w:t>
            </w:r>
          </w:p>
        </w:tc>
        <w:tc>
          <w:tcPr>
            <w:tcW w:w="2924" w:type="dxa"/>
            <w:gridSpan w:val="4"/>
            <w:shd w:val="clear" w:color="auto" w:fill="FFFFFF"/>
            <w:tcMar>
              <w:top w:w="110" w:type="dxa"/>
            </w:tcMar>
          </w:tcPr>
          <w:p w:rsidR="0096696E" w:rsidRPr="005C7CCE" w:rsidRDefault="0096696E" w:rsidP="001A5BF9">
            <w:pPr>
              <w:rPr>
                <w:rFonts w:cs="Arial"/>
                <w:sz w:val="16"/>
                <w:szCs w:val="16"/>
                <w:lang w:bidi="th-TH"/>
              </w:rPr>
            </w:pPr>
            <w:r w:rsidRPr="005C7CCE">
              <w:rPr>
                <w:sz w:val="16"/>
              </w:rPr>
              <w:t>Toutes les réactions reçues indiquaient que les informations fournies étaient utiles.</w:t>
            </w:r>
            <w:r w:rsidR="0010442A" w:rsidRPr="005C7CCE">
              <w:rPr>
                <w:sz w:val="16"/>
              </w:rPr>
              <w:t xml:space="preserve"> </w:t>
            </w:r>
            <w:r w:rsidRPr="005C7CCE">
              <w:rPr>
                <w:sz w:val="16"/>
              </w:rPr>
              <w:t xml:space="preserve"> Selon une enquête menée conjointement avec l</w:t>
            </w:r>
            <w:r w:rsidR="00A20444" w:rsidRPr="005C7CCE">
              <w:rPr>
                <w:sz w:val="16"/>
              </w:rPr>
              <w:t>’</w:t>
            </w:r>
            <w:r w:rsidRPr="005C7CCE">
              <w:rPr>
                <w:sz w:val="16"/>
              </w:rPr>
              <w:t>évaluation du programme 1 de la Division de l</w:t>
            </w:r>
            <w:r w:rsidR="00A20444" w:rsidRPr="005C7CCE">
              <w:rPr>
                <w:sz w:val="16"/>
              </w:rPr>
              <w:t>’</w:t>
            </w:r>
            <w:r w:rsidRPr="005C7CCE">
              <w:rPr>
                <w:sz w:val="16"/>
              </w:rPr>
              <w:t>audit et de la supervision internes, plus de 90</w:t>
            </w:r>
            <w:r w:rsidR="007E442D" w:rsidRPr="005C7CCE">
              <w:rPr>
                <w:sz w:val="16"/>
              </w:rPr>
              <w:t>%</w:t>
            </w:r>
            <w:r w:rsidRPr="005C7CCE">
              <w:rPr>
                <w:sz w:val="16"/>
              </w:rPr>
              <w:t xml:space="preserve"> des participants ont jugé la qualité des documents de fond préparés par le Secrétariat “excellente” ou “bonne”.</w:t>
            </w:r>
          </w:p>
        </w:tc>
        <w:tc>
          <w:tcPr>
            <w:tcW w:w="1197" w:type="dxa"/>
            <w:gridSpan w:val="2"/>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33279F">
        <w:trPr>
          <w:cantSplit/>
        </w:trPr>
        <w:tc>
          <w:tcPr>
            <w:tcW w:w="1701" w:type="dxa"/>
            <w:shd w:val="clear" w:color="auto" w:fill="FFFFFF"/>
          </w:tcPr>
          <w:p w:rsidR="0096696E" w:rsidRPr="00761625" w:rsidRDefault="0096696E" w:rsidP="001A5BF9">
            <w:pPr>
              <w:keepNext/>
              <w:keepLines/>
              <w:rPr>
                <w:rFonts w:cs="Arial"/>
                <w:sz w:val="16"/>
                <w:szCs w:val="16"/>
                <w:lang w:bidi="th-TH"/>
              </w:rPr>
            </w:pPr>
            <w:r w:rsidRPr="00761625">
              <w:rPr>
                <w:sz w:val="16"/>
              </w:rPr>
              <w:t>Pourcentage de participants satisfaits dans des ateliers</w:t>
            </w:r>
            <w:r w:rsidR="00BD43F2" w:rsidRPr="00761625">
              <w:rPr>
                <w:sz w:val="16"/>
              </w:rPr>
              <w:t>/</w:t>
            </w:r>
            <w:r w:rsidRPr="00761625">
              <w:rPr>
                <w:sz w:val="16"/>
              </w:rPr>
              <w:t xml:space="preserve">séminaires ciblés, organisés sur des questions spécifiques aux brevets </w:t>
            </w:r>
          </w:p>
        </w:tc>
        <w:tc>
          <w:tcPr>
            <w:tcW w:w="1843" w:type="dxa"/>
            <w:gridSpan w:val="2"/>
            <w:shd w:val="clear" w:color="auto" w:fill="auto"/>
          </w:tcPr>
          <w:p w:rsidR="0096696E" w:rsidRPr="005C7CCE" w:rsidRDefault="0096696E" w:rsidP="001A5BF9">
            <w:pPr>
              <w:keepNext/>
              <w:keepLines/>
              <w:rPr>
                <w:rFonts w:cs="Arial"/>
                <w:sz w:val="16"/>
                <w:szCs w:val="16"/>
                <w:lang w:bidi="th-TH"/>
              </w:rPr>
            </w:pPr>
            <w:r w:rsidRPr="005C7CCE">
              <w:rPr>
                <w:sz w:val="16"/>
              </w:rPr>
              <w:t>Données non disponibles</w:t>
            </w:r>
          </w:p>
        </w:tc>
        <w:tc>
          <w:tcPr>
            <w:tcW w:w="1833" w:type="dxa"/>
            <w:gridSpan w:val="4"/>
            <w:shd w:val="clear" w:color="auto" w:fill="auto"/>
            <w:tcMar>
              <w:top w:w="110" w:type="dxa"/>
            </w:tcMar>
          </w:tcPr>
          <w:p w:rsidR="0096696E" w:rsidRPr="005C7CCE" w:rsidRDefault="0096696E" w:rsidP="001A5BF9">
            <w:pPr>
              <w:keepNext/>
              <w:keepLines/>
              <w:rPr>
                <w:rFonts w:cs="Arial"/>
                <w:sz w:val="16"/>
                <w:szCs w:val="16"/>
                <w:lang w:bidi="th-TH"/>
              </w:rPr>
            </w:pPr>
            <w:r w:rsidRPr="005C7CCE">
              <w:rPr>
                <w:sz w:val="16"/>
              </w:rPr>
              <w:t>90</w:t>
            </w:r>
            <w:r w:rsidR="007E442D" w:rsidRPr="005C7CCE">
              <w:rPr>
                <w:sz w:val="16"/>
              </w:rPr>
              <w:t>%</w:t>
            </w:r>
          </w:p>
        </w:tc>
        <w:tc>
          <w:tcPr>
            <w:tcW w:w="2924" w:type="dxa"/>
            <w:gridSpan w:val="4"/>
            <w:shd w:val="clear" w:color="auto" w:fill="FFFFFF"/>
            <w:tcMar>
              <w:top w:w="110" w:type="dxa"/>
            </w:tcMar>
          </w:tcPr>
          <w:p w:rsidR="0096696E" w:rsidRPr="005C7CCE" w:rsidRDefault="0096696E" w:rsidP="001A5BF9">
            <w:pPr>
              <w:keepNext/>
              <w:keepLines/>
              <w:rPr>
                <w:rFonts w:cs="Arial"/>
                <w:sz w:val="16"/>
                <w:szCs w:val="16"/>
                <w:lang w:bidi="th-TH"/>
              </w:rPr>
            </w:pPr>
            <w:r w:rsidRPr="005C7CCE">
              <w:rPr>
                <w:sz w:val="16"/>
              </w:rPr>
              <w:t>92,5</w:t>
            </w:r>
            <w:r w:rsidR="007E442D" w:rsidRPr="005C7CCE">
              <w:rPr>
                <w:sz w:val="16"/>
              </w:rPr>
              <w:t>%</w:t>
            </w:r>
            <w:r w:rsidRPr="005C7CCE">
              <w:rPr>
                <w:sz w:val="16"/>
              </w:rPr>
              <w:t xml:space="preserve"> des participants aux ateliers/séminaires organisés par le programme se sont déclarés satisfaits des manifestations organisées. </w:t>
            </w:r>
            <w:r w:rsidR="0010442A" w:rsidRPr="005C7CCE">
              <w:rPr>
                <w:sz w:val="16"/>
              </w:rPr>
              <w:t xml:space="preserve"> </w:t>
            </w:r>
          </w:p>
        </w:tc>
        <w:tc>
          <w:tcPr>
            <w:tcW w:w="1197" w:type="dxa"/>
            <w:gridSpan w:val="2"/>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33279F">
        <w:trPr>
          <w:cantSplit/>
        </w:trPr>
        <w:tc>
          <w:tcPr>
            <w:tcW w:w="1701" w:type="dxa"/>
            <w:shd w:val="clear" w:color="auto" w:fill="FFFFFF"/>
          </w:tcPr>
          <w:p w:rsidR="0096696E" w:rsidRPr="005C7CCE" w:rsidRDefault="0096696E" w:rsidP="001A5BF9">
            <w:pPr>
              <w:rPr>
                <w:rFonts w:cs="Arial"/>
                <w:color w:val="000000"/>
                <w:sz w:val="16"/>
                <w:szCs w:val="16"/>
                <w:lang w:bidi="th-TH"/>
              </w:rPr>
            </w:pPr>
            <w:r w:rsidRPr="00761625">
              <w:rPr>
                <w:sz w:val="16"/>
              </w:rPr>
              <w:t>Nombre d</w:t>
            </w:r>
            <w:r w:rsidR="00A20444" w:rsidRPr="00761625">
              <w:rPr>
                <w:sz w:val="16"/>
              </w:rPr>
              <w:t>’</w:t>
            </w:r>
            <w:r w:rsidRPr="00761625">
              <w:rPr>
                <w:sz w:val="16"/>
              </w:rPr>
              <w:t xml:space="preserve">États membres ayant reçu des conseils législatifs dans le domaine des marques, des modèles et dessins industriels et des indications géographiques </w:t>
            </w:r>
          </w:p>
        </w:tc>
        <w:tc>
          <w:tcPr>
            <w:tcW w:w="1843" w:type="dxa"/>
            <w:gridSpan w:val="2"/>
            <w:shd w:val="clear" w:color="auto" w:fill="auto"/>
          </w:tcPr>
          <w:p w:rsidR="00D42474" w:rsidRDefault="0096696E" w:rsidP="001A5BF9">
            <w:pPr>
              <w:rPr>
                <w:rFonts w:cs="Arial"/>
                <w:color w:val="002060"/>
                <w:sz w:val="16"/>
                <w:szCs w:val="16"/>
                <w:lang w:bidi="th-TH"/>
              </w:rPr>
            </w:pPr>
            <w:r w:rsidRPr="005C7CCE">
              <w:rPr>
                <w:i/>
                <w:color w:val="002060"/>
                <w:sz w:val="16"/>
              </w:rPr>
              <w:t>Niveau de référence actualisé fin 2011 :</w:t>
            </w:r>
            <w:r w:rsidRPr="005C7CCE">
              <w:br/>
            </w:r>
            <w:r w:rsidRPr="005C7CCE">
              <w:rPr>
                <w:color w:val="002060"/>
                <w:sz w:val="16"/>
              </w:rPr>
              <w:t>19 (2010)</w:t>
            </w:r>
          </w:p>
          <w:p w:rsidR="00D42474" w:rsidRDefault="0096696E" w:rsidP="001A5BF9">
            <w:pPr>
              <w:rPr>
                <w:rFonts w:cs="Arial"/>
                <w:color w:val="002060"/>
                <w:sz w:val="16"/>
                <w:szCs w:val="16"/>
                <w:lang w:bidi="th-TH"/>
              </w:rPr>
            </w:pPr>
            <w:r w:rsidRPr="005C7CCE">
              <w:rPr>
                <w:color w:val="002060"/>
                <w:sz w:val="16"/>
              </w:rPr>
              <w:t>20 (2011)</w:t>
            </w:r>
          </w:p>
          <w:p w:rsidR="00D42474" w:rsidRDefault="00D42474" w:rsidP="001A5BF9">
            <w:pPr>
              <w:rPr>
                <w:rFonts w:cs="Arial"/>
                <w:i/>
                <w:sz w:val="8"/>
                <w:szCs w:val="8"/>
                <w:lang w:bidi="th-TH"/>
              </w:rPr>
            </w:pPr>
          </w:p>
          <w:p w:rsidR="00D42474" w:rsidRDefault="0096696E" w:rsidP="001A5BF9">
            <w:pPr>
              <w:rPr>
                <w:rFonts w:cs="Arial"/>
                <w:i/>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D42474" w:rsidRDefault="0096696E" w:rsidP="001A5BF9">
            <w:pPr>
              <w:rPr>
                <w:rFonts w:cs="Arial"/>
                <w:sz w:val="16"/>
                <w:szCs w:val="16"/>
                <w:lang w:bidi="th-TH"/>
              </w:rPr>
            </w:pPr>
            <w:r w:rsidRPr="005C7CCE">
              <w:rPr>
                <w:sz w:val="16"/>
              </w:rPr>
              <w:t>18 (2010)</w:t>
            </w:r>
          </w:p>
          <w:p w:rsidR="0096696E" w:rsidRPr="005C7CCE" w:rsidRDefault="0096696E" w:rsidP="001A5BF9">
            <w:pPr>
              <w:rPr>
                <w:rFonts w:cs="Arial"/>
                <w:sz w:val="16"/>
                <w:szCs w:val="16"/>
                <w:lang w:bidi="th-TH"/>
              </w:rPr>
            </w:pPr>
            <w:r w:rsidRPr="005C7CCE">
              <w:rPr>
                <w:sz w:val="16"/>
              </w:rPr>
              <w:t>19 (2011)</w:t>
            </w:r>
          </w:p>
        </w:tc>
        <w:tc>
          <w:tcPr>
            <w:tcW w:w="1833" w:type="dxa"/>
            <w:gridSpan w:val="4"/>
            <w:shd w:val="clear" w:color="auto" w:fill="auto"/>
            <w:tcMar>
              <w:top w:w="110" w:type="dxa"/>
            </w:tcMar>
          </w:tcPr>
          <w:p w:rsidR="00D42474" w:rsidRDefault="0096696E" w:rsidP="001A5BF9">
            <w:pPr>
              <w:rPr>
                <w:rFonts w:cs="Arial"/>
                <w:sz w:val="16"/>
                <w:szCs w:val="16"/>
                <w:lang w:bidi="th-TH"/>
              </w:rPr>
            </w:pPr>
            <w:r w:rsidRPr="005C7CCE">
              <w:rPr>
                <w:sz w:val="16"/>
              </w:rPr>
              <w:t>Conseils législatifs</w:t>
            </w:r>
          </w:p>
          <w:p w:rsidR="0096696E" w:rsidRPr="005C7CCE" w:rsidRDefault="0096696E" w:rsidP="001A5BF9">
            <w:pPr>
              <w:rPr>
                <w:rFonts w:cs="Arial"/>
                <w:sz w:val="16"/>
                <w:szCs w:val="16"/>
                <w:lang w:bidi="th-TH"/>
              </w:rPr>
            </w:pPr>
            <w:r w:rsidRPr="005C7CCE">
              <w:rPr>
                <w:sz w:val="16"/>
              </w:rPr>
              <w:t>dispensés à 38 États membres et/ou groupes régionaux d</w:t>
            </w:r>
            <w:r w:rsidR="00A20444" w:rsidRPr="005C7CCE">
              <w:rPr>
                <w:sz w:val="16"/>
              </w:rPr>
              <w:t>’</w:t>
            </w:r>
            <w:r w:rsidRPr="005C7CCE">
              <w:rPr>
                <w:sz w:val="16"/>
              </w:rPr>
              <w:t>États membres (en 2012</w:t>
            </w:r>
            <w:r w:rsidR="002D6F2A" w:rsidRPr="005C7CCE">
              <w:rPr>
                <w:sz w:val="16"/>
              </w:rPr>
              <w:noBreakHyphen/>
            </w:r>
            <w:r w:rsidRPr="005C7CCE">
              <w:rPr>
                <w:sz w:val="16"/>
              </w:rPr>
              <w:t>2013) (ventilation régionale à déterminer)</w:t>
            </w:r>
          </w:p>
        </w:tc>
        <w:tc>
          <w:tcPr>
            <w:tcW w:w="2924" w:type="dxa"/>
            <w:gridSpan w:val="4"/>
            <w:shd w:val="clear" w:color="auto" w:fill="FFFFFF"/>
            <w:tcMar>
              <w:top w:w="110" w:type="dxa"/>
            </w:tcMar>
          </w:tcPr>
          <w:p w:rsidR="00D42474" w:rsidRDefault="0096696E" w:rsidP="001A5BF9">
            <w:pPr>
              <w:rPr>
                <w:rFonts w:cs="Arial"/>
                <w:sz w:val="16"/>
                <w:szCs w:val="16"/>
                <w:lang w:bidi="th-TH"/>
              </w:rPr>
            </w:pPr>
            <w:r w:rsidRPr="00761625">
              <w:rPr>
                <w:sz w:val="16"/>
              </w:rPr>
              <w:t>2012</w:t>
            </w:r>
            <w:r w:rsidR="0010442A" w:rsidRPr="00761625">
              <w:rPr>
                <w:sz w:val="16"/>
              </w:rPr>
              <w:t> </w:t>
            </w:r>
            <w:r w:rsidRPr="00761625">
              <w:rPr>
                <w:sz w:val="16"/>
              </w:rPr>
              <w:t xml:space="preserve">: Conseils fournis à </w:t>
            </w:r>
            <w:r w:rsidR="00BD43F2" w:rsidRPr="00761625">
              <w:rPr>
                <w:sz w:val="16"/>
              </w:rPr>
              <w:t>11 </w:t>
            </w:r>
            <w:r w:rsidRPr="00761625">
              <w:rPr>
                <w:sz w:val="16"/>
              </w:rPr>
              <w:t xml:space="preserve">États membres sur </w:t>
            </w:r>
            <w:r w:rsidR="00BD43F2" w:rsidRPr="00761625">
              <w:rPr>
                <w:sz w:val="16"/>
              </w:rPr>
              <w:t>18 </w:t>
            </w:r>
            <w:r w:rsidRPr="00761625">
              <w:rPr>
                <w:sz w:val="16"/>
              </w:rPr>
              <w:t>projets de textes législatifs (Afrique 2;</w:t>
            </w:r>
            <w:r w:rsidR="004F3E42" w:rsidRPr="00761625">
              <w:rPr>
                <w:sz w:val="16"/>
              </w:rPr>
              <w:t xml:space="preserve"> </w:t>
            </w:r>
            <w:r w:rsidR="0010442A" w:rsidRPr="00761625">
              <w:rPr>
                <w:sz w:val="16"/>
              </w:rPr>
              <w:t xml:space="preserve"> </w:t>
            </w:r>
            <w:r w:rsidRPr="00761625">
              <w:rPr>
                <w:sz w:val="16"/>
              </w:rPr>
              <w:t>pays arabes 1;</w:t>
            </w:r>
            <w:r w:rsidR="004F3E42" w:rsidRPr="00761625">
              <w:rPr>
                <w:sz w:val="16"/>
              </w:rPr>
              <w:t xml:space="preserve"> </w:t>
            </w:r>
            <w:r w:rsidR="0010442A" w:rsidRPr="00761625">
              <w:rPr>
                <w:sz w:val="16"/>
              </w:rPr>
              <w:t xml:space="preserve"> </w:t>
            </w:r>
            <w:r w:rsidRPr="00761625">
              <w:rPr>
                <w:sz w:val="16"/>
              </w:rPr>
              <w:t>Asie et Pacifique 1;</w:t>
            </w:r>
            <w:r w:rsidR="004F3E42" w:rsidRPr="00761625">
              <w:rPr>
                <w:sz w:val="16"/>
              </w:rPr>
              <w:t xml:space="preserve"> </w:t>
            </w:r>
            <w:r w:rsidR="0010442A" w:rsidRPr="00761625">
              <w:rPr>
                <w:sz w:val="16"/>
              </w:rPr>
              <w:t xml:space="preserve"> </w:t>
            </w:r>
            <w:r w:rsidRPr="00761625">
              <w:rPr>
                <w:sz w:val="16"/>
              </w:rPr>
              <w:t>Amérique latine et Caraïbes 7).</w:t>
            </w:r>
          </w:p>
          <w:p w:rsidR="00D42474" w:rsidRDefault="00D42474" w:rsidP="001A5BF9">
            <w:pPr>
              <w:rPr>
                <w:rFonts w:cs="Arial"/>
                <w:sz w:val="8"/>
                <w:szCs w:val="8"/>
                <w:lang w:bidi="th-TH"/>
              </w:rPr>
            </w:pPr>
          </w:p>
          <w:p w:rsidR="0096696E" w:rsidRPr="005C7CCE" w:rsidRDefault="0096696E" w:rsidP="001A5BF9">
            <w:pPr>
              <w:rPr>
                <w:rFonts w:cs="Arial"/>
                <w:sz w:val="16"/>
                <w:szCs w:val="16"/>
                <w:lang w:bidi="th-TH"/>
              </w:rPr>
            </w:pPr>
            <w:r w:rsidRPr="00761625">
              <w:rPr>
                <w:sz w:val="16"/>
              </w:rPr>
              <w:t>2013</w:t>
            </w:r>
            <w:r w:rsidR="0010442A" w:rsidRPr="00761625">
              <w:rPr>
                <w:sz w:val="16"/>
              </w:rPr>
              <w:t> </w:t>
            </w:r>
            <w:r w:rsidRPr="00761625">
              <w:rPr>
                <w:sz w:val="16"/>
              </w:rPr>
              <w:t xml:space="preserve">: Conseils fournis à </w:t>
            </w:r>
            <w:r w:rsidR="00BD43F2" w:rsidRPr="00761625">
              <w:rPr>
                <w:sz w:val="16"/>
              </w:rPr>
              <w:t>13 </w:t>
            </w:r>
            <w:r w:rsidRPr="00761625">
              <w:rPr>
                <w:sz w:val="16"/>
              </w:rPr>
              <w:t xml:space="preserve">États membres sur </w:t>
            </w:r>
            <w:r w:rsidR="00BD43F2" w:rsidRPr="00761625">
              <w:rPr>
                <w:sz w:val="16"/>
              </w:rPr>
              <w:t>18 </w:t>
            </w:r>
            <w:r w:rsidRPr="00761625">
              <w:rPr>
                <w:sz w:val="16"/>
              </w:rPr>
              <w:t>projets de textes législatifs (Afrique 2;</w:t>
            </w:r>
            <w:r w:rsidR="004F3E42" w:rsidRPr="00761625">
              <w:rPr>
                <w:sz w:val="16"/>
              </w:rPr>
              <w:t xml:space="preserve"> </w:t>
            </w:r>
            <w:r w:rsidR="0010442A" w:rsidRPr="00761625">
              <w:rPr>
                <w:sz w:val="16"/>
              </w:rPr>
              <w:t xml:space="preserve"> </w:t>
            </w:r>
            <w:r w:rsidRPr="00761625">
              <w:rPr>
                <w:sz w:val="16"/>
              </w:rPr>
              <w:t>Amérique latine et Caraïbes 3;</w:t>
            </w:r>
            <w:r w:rsidR="004F3E42" w:rsidRPr="00761625">
              <w:rPr>
                <w:sz w:val="16"/>
              </w:rPr>
              <w:t xml:space="preserve"> </w:t>
            </w:r>
            <w:r w:rsidR="0010442A" w:rsidRPr="00761625">
              <w:rPr>
                <w:sz w:val="16"/>
              </w:rPr>
              <w:t xml:space="preserve"> </w:t>
            </w:r>
            <w:r w:rsidRPr="00761625">
              <w:rPr>
                <w:sz w:val="16"/>
              </w:rPr>
              <w:t>Asie et Pacifique 8).</w:t>
            </w:r>
          </w:p>
        </w:tc>
        <w:tc>
          <w:tcPr>
            <w:tcW w:w="1197" w:type="dxa"/>
            <w:gridSpan w:val="2"/>
            <w:shd w:val="clear" w:color="auto" w:fill="auto"/>
            <w:tcMar>
              <w:top w:w="110" w:type="dxa"/>
            </w:tcMar>
          </w:tcPr>
          <w:p w:rsidR="0096696E" w:rsidRPr="005C7CCE" w:rsidRDefault="0015421B" w:rsidP="001A5BF9">
            <w:pPr>
              <w:keepNext/>
              <w:keepLines/>
              <w:jc w:val="center"/>
              <w:rPr>
                <w:rFonts w:cs="Arial"/>
                <w:bCs/>
                <w:color w:val="008000"/>
                <w:sz w:val="16"/>
                <w:szCs w:val="16"/>
              </w:rPr>
            </w:pPr>
            <w:r w:rsidRPr="0015421B">
              <w:rPr>
                <w:color w:val="E36C0A"/>
                <w:sz w:val="16"/>
              </w:rPr>
              <w:t>Objectif partiellement atteint</w:t>
            </w:r>
          </w:p>
        </w:tc>
      </w:tr>
      <w:tr w:rsidR="0096696E" w:rsidRPr="005C7CCE" w:rsidTr="0033279F">
        <w:trPr>
          <w:cantSplit/>
        </w:trPr>
        <w:tc>
          <w:tcPr>
            <w:tcW w:w="1701" w:type="dxa"/>
            <w:shd w:val="clear" w:color="auto" w:fill="FFFFFF"/>
          </w:tcPr>
          <w:p w:rsidR="0096696E" w:rsidRPr="00761625" w:rsidRDefault="0096696E" w:rsidP="001A5BF9">
            <w:pPr>
              <w:rPr>
                <w:rFonts w:cs="Arial"/>
                <w:sz w:val="16"/>
                <w:szCs w:val="16"/>
                <w:lang w:bidi="th-TH"/>
              </w:rPr>
            </w:pPr>
            <w:r w:rsidRPr="00761625">
              <w:rPr>
                <w:sz w:val="16"/>
              </w:rPr>
              <w:t>Nombre de pays ayant donné un avis positif en retour sur l</w:t>
            </w:r>
            <w:r w:rsidR="00A20444" w:rsidRPr="00761625">
              <w:rPr>
                <w:sz w:val="16"/>
              </w:rPr>
              <w:t>’</w:t>
            </w:r>
            <w:r w:rsidRPr="00761625">
              <w:rPr>
                <w:sz w:val="16"/>
              </w:rPr>
              <w:t xml:space="preserve">utilité des conseils de législation fournis dans le domaine des marques, des modèles et dessins industriels et des indications géographiques </w:t>
            </w:r>
          </w:p>
        </w:tc>
        <w:tc>
          <w:tcPr>
            <w:tcW w:w="1843" w:type="dxa"/>
            <w:gridSpan w:val="2"/>
            <w:shd w:val="clear" w:color="auto" w:fill="auto"/>
          </w:tcPr>
          <w:p w:rsidR="0096696E" w:rsidRPr="00761625" w:rsidRDefault="0096696E" w:rsidP="001A5BF9">
            <w:pPr>
              <w:rPr>
                <w:rFonts w:cs="Arial"/>
                <w:sz w:val="16"/>
                <w:szCs w:val="16"/>
                <w:lang w:bidi="th-TH"/>
              </w:rPr>
            </w:pPr>
            <w:r w:rsidRPr="00761625">
              <w:rPr>
                <w:sz w:val="16"/>
              </w:rPr>
              <w:t>Données non disponibles</w:t>
            </w:r>
          </w:p>
        </w:tc>
        <w:tc>
          <w:tcPr>
            <w:tcW w:w="1833" w:type="dxa"/>
            <w:gridSpan w:val="4"/>
            <w:shd w:val="clear" w:color="auto" w:fill="auto"/>
            <w:tcMar>
              <w:top w:w="110" w:type="dxa"/>
            </w:tcMar>
          </w:tcPr>
          <w:p w:rsidR="0096696E" w:rsidRPr="00761625" w:rsidRDefault="0096696E" w:rsidP="001A5BF9">
            <w:pPr>
              <w:rPr>
                <w:rFonts w:cs="Arial"/>
                <w:sz w:val="16"/>
                <w:szCs w:val="16"/>
                <w:lang w:bidi="th-TH"/>
              </w:rPr>
            </w:pPr>
            <w:r w:rsidRPr="00761625">
              <w:rPr>
                <w:sz w:val="16"/>
              </w:rPr>
              <w:t>70</w:t>
            </w:r>
            <w:r w:rsidR="007E442D" w:rsidRPr="00761625">
              <w:rPr>
                <w:sz w:val="16"/>
              </w:rPr>
              <w:t>%</w:t>
            </w:r>
          </w:p>
        </w:tc>
        <w:tc>
          <w:tcPr>
            <w:tcW w:w="2924" w:type="dxa"/>
            <w:gridSpan w:val="4"/>
            <w:shd w:val="clear" w:color="auto" w:fill="FFFFFF"/>
            <w:tcMar>
              <w:top w:w="110" w:type="dxa"/>
            </w:tcMar>
          </w:tcPr>
          <w:p w:rsidR="0096696E" w:rsidRPr="005C7CCE" w:rsidRDefault="0096696E" w:rsidP="001A5BF9">
            <w:pPr>
              <w:rPr>
                <w:rFonts w:cs="Arial"/>
                <w:sz w:val="16"/>
                <w:szCs w:val="16"/>
                <w:lang w:bidi="th-TH"/>
              </w:rPr>
            </w:pPr>
            <w:r w:rsidRPr="005C7CCE">
              <w:rPr>
                <w:sz w:val="16"/>
              </w:rPr>
              <w:t>Retour d</w:t>
            </w:r>
            <w:r w:rsidR="00A20444" w:rsidRPr="005C7CCE">
              <w:rPr>
                <w:sz w:val="16"/>
              </w:rPr>
              <w:t>’</w:t>
            </w:r>
            <w:r w:rsidRPr="005C7CCE">
              <w:rPr>
                <w:sz w:val="16"/>
              </w:rPr>
              <w:t xml:space="preserve">information positif reçu de neuf pays sur 13. </w:t>
            </w:r>
            <w:r w:rsidR="0010442A" w:rsidRPr="005C7CCE">
              <w:rPr>
                <w:sz w:val="16"/>
              </w:rPr>
              <w:t xml:space="preserve"> </w:t>
            </w:r>
            <w:r w:rsidRPr="005C7CCE">
              <w:rPr>
                <w:sz w:val="16"/>
              </w:rPr>
              <w:t>Quatre pays n</w:t>
            </w:r>
            <w:r w:rsidR="00A20444" w:rsidRPr="005C7CCE">
              <w:rPr>
                <w:sz w:val="16"/>
              </w:rPr>
              <w:t>’</w:t>
            </w:r>
            <w:r w:rsidRPr="005C7CCE">
              <w:rPr>
                <w:sz w:val="16"/>
              </w:rPr>
              <w:t>ont pas répondu.</w:t>
            </w:r>
          </w:p>
        </w:tc>
        <w:tc>
          <w:tcPr>
            <w:tcW w:w="1197" w:type="dxa"/>
            <w:gridSpan w:val="2"/>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33279F">
        <w:trPr>
          <w:cantSplit/>
        </w:trPr>
        <w:tc>
          <w:tcPr>
            <w:tcW w:w="1701" w:type="dxa"/>
            <w:tcBorders>
              <w:bottom w:val="single" w:sz="4" w:space="0" w:color="auto"/>
            </w:tcBorders>
            <w:shd w:val="clear" w:color="auto" w:fill="FFFFFF"/>
          </w:tcPr>
          <w:p w:rsidR="0096696E" w:rsidRPr="00761625" w:rsidRDefault="0096696E" w:rsidP="001A5BF9">
            <w:pPr>
              <w:rPr>
                <w:rFonts w:cs="Arial"/>
                <w:sz w:val="16"/>
                <w:szCs w:val="16"/>
                <w:lang w:bidi="th-TH"/>
              </w:rPr>
            </w:pPr>
            <w:r w:rsidRPr="00761625">
              <w:rPr>
                <w:sz w:val="16"/>
              </w:rPr>
              <w:t>Nombre de pays ayant bénéficié d</w:t>
            </w:r>
            <w:r w:rsidR="00A20444" w:rsidRPr="00761625">
              <w:rPr>
                <w:sz w:val="16"/>
              </w:rPr>
              <w:t>’</w:t>
            </w:r>
            <w:r w:rsidRPr="00761625">
              <w:rPr>
                <w:sz w:val="16"/>
              </w:rPr>
              <w:t>une assistance technique concernant des cadres législatifs nouveaux ou actualisés aux fins d</w:t>
            </w:r>
            <w:r w:rsidR="00A20444" w:rsidRPr="00761625">
              <w:rPr>
                <w:sz w:val="16"/>
              </w:rPr>
              <w:t>’</w:t>
            </w:r>
            <w:r w:rsidRPr="00761625">
              <w:rPr>
                <w:sz w:val="16"/>
              </w:rPr>
              <w:t>une application efficace des droits, compte tenu des éléments de flexibilité prévus dans la troisième partie de l</w:t>
            </w:r>
            <w:r w:rsidR="00A20444" w:rsidRPr="00761625">
              <w:rPr>
                <w:sz w:val="16"/>
              </w:rPr>
              <w:t>’</w:t>
            </w:r>
            <w:r w:rsidRPr="00761625">
              <w:rPr>
                <w:sz w:val="16"/>
              </w:rPr>
              <w:t>Accord sur</w:t>
            </w:r>
            <w:r w:rsidR="00A20444" w:rsidRPr="00761625">
              <w:rPr>
                <w:sz w:val="16"/>
              </w:rPr>
              <w:t xml:space="preserve"> les ADP</w:t>
            </w:r>
            <w:r w:rsidRPr="00761625">
              <w:rPr>
                <w:sz w:val="16"/>
              </w:rPr>
              <w:t>IC</w:t>
            </w:r>
          </w:p>
        </w:tc>
        <w:tc>
          <w:tcPr>
            <w:tcW w:w="1843" w:type="dxa"/>
            <w:gridSpan w:val="2"/>
            <w:tcBorders>
              <w:bottom w:val="single" w:sz="4" w:space="0" w:color="auto"/>
            </w:tcBorders>
            <w:shd w:val="clear" w:color="auto" w:fill="auto"/>
          </w:tcPr>
          <w:p w:rsidR="0096696E" w:rsidRPr="00761625" w:rsidRDefault="0096696E" w:rsidP="001A5BF9">
            <w:pPr>
              <w:rPr>
                <w:rFonts w:cs="Arial"/>
                <w:sz w:val="16"/>
                <w:szCs w:val="16"/>
                <w:lang w:bidi="th-TH"/>
              </w:rPr>
            </w:pPr>
            <w:r w:rsidRPr="00761625">
              <w:rPr>
                <w:sz w:val="16"/>
              </w:rPr>
              <w:t>Un groupe régional (Afrique</w:t>
            </w:r>
            <w:proofErr w:type="gramStart"/>
            <w:r w:rsidRPr="00761625">
              <w:rPr>
                <w:sz w:val="16"/>
              </w:rPr>
              <w:t>)</w:t>
            </w:r>
            <w:proofErr w:type="gramEnd"/>
            <w:r w:rsidRPr="00761625">
              <w:br/>
            </w:r>
            <w:r w:rsidRPr="00761625">
              <w:rPr>
                <w:sz w:val="16"/>
              </w:rPr>
              <w:t>Un pays (Asie)</w:t>
            </w:r>
          </w:p>
        </w:tc>
        <w:tc>
          <w:tcPr>
            <w:tcW w:w="1833" w:type="dxa"/>
            <w:gridSpan w:val="4"/>
            <w:tcBorders>
              <w:bottom w:val="single" w:sz="4" w:space="0" w:color="auto"/>
            </w:tcBorders>
            <w:shd w:val="clear" w:color="auto" w:fill="auto"/>
            <w:tcMar>
              <w:top w:w="110" w:type="dxa"/>
            </w:tcMar>
          </w:tcPr>
          <w:p w:rsidR="0096696E" w:rsidRPr="00761625" w:rsidRDefault="0096696E" w:rsidP="001A5BF9">
            <w:pPr>
              <w:rPr>
                <w:rFonts w:cs="Arial"/>
                <w:sz w:val="16"/>
                <w:szCs w:val="16"/>
                <w:lang w:bidi="th-TH"/>
              </w:rPr>
            </w:pPr>
            <w:r w:rsidRPr="00761625">
              <w:rPr>
                <w:sz w:val="16"/>
              </w:rPr>
              <w:t>Quatre pays (en 2012</w:t>
            </w:r>
            <w:r w:rsidR="002D6F2A" w:rsidRPr="00761625">
              <w:rPr>
                <w:sz w:val="16"/>
              </w:rPr>
              <w:noBreakHyphen/>
            </w:r>
            <w:r w:rsidRPr="00761625">
              <w:rPr>
                <w:sz w:val="16"/>
              </w:rPr>
              <w:t>2013)</w:t>
            </w:r>
          </w:p>
        </w:tc>
        <w:tc>
          <w:tcPr>
            <w:tcW w:w="2924" w:type="dxa"/>
            <w:gridSpan w:val="4"/>
            <w:tcBorders>
              <w:bottom w:val="single" w:sz="4" w:space="0" w:color="auto"/>
            </w:tcBorders>
            <w:shd w:val="clear" w:color="auto" w:fill="FFFFFF"/>
            <w:tcMar>
              <w:top w:w="110" w:type="dxa"/>
            </w:tcMar>
          </w:tcPr>
          <w:p w:rsidR="00D42474" w:rsidRDefault="0096696E" w:rsidP="001A5BF9">
            <w:pPr>
              <w:pStyle w:val="Paragraphedeliste"/>
              <w:numPr>
                <w:ilvl w:val="0"/>
                <w:numId w:val="19"/>
              </w:numPr>
              <w:ind w:left="315" w:hanging="315"/>
              <w:rPr>
                <w:rFonts w:cs="Arial"/>
                <w:sz w:val="16"/>
                <w:szCs w:val="16"/>
                <w:lang w:bidi="th-TH"/>
              </w:rPr>
            </w:pPr>
            <w:r w:rsidRPr="005C7CCE">
              <w:rPr>
                <w:sz w:val="16"/>
              </w:rPr>
              <w:t>Un groupe régional (Afrique) et 9 pays</w:t>
            </w:r>
            <w:r w:rsidR="0010442A" w:rsidRPr="005C7CCE">
              <w:rPr>
                <w:sz w:val="16"/>
              </w:rPr>
              <w:t xml:space="preserve"> –</w:t>
            </w:r>
            <w:r w:rsidRPr="005C7CCE">
              <w:rPr>
                <w:sz w:val="16"/>
              </w:rPr>
              <w:t xml:space="preserve"> Afrique (3), Asie et Pacifique (5), Amérique latine et Caraïbes (1)</w:t>
            </w:r>
            <w:r w:rsidR="0010442A" w:rsidRPr="005C7CCE">
              <w:rPr>
                <w:sz w:val="16"/>
              </w:rPr>
              <w:t xml:space="preserve"> –</w:t>
            </w:r>
            <w:r w:rsidRPr="005C7CCE">
              <w:rPr>
                <w:sz w:val="16"/>
              </w:rPr>
              <w:t xml:space="preserve"> ont bénéficié de conseils législatifs;</w:t>
            </w:r>
          </w:p>
          <w:p w:rsidR="00D42474" w:rsidRDefault="0096696E" w:rsidP="001A5BF9">
            <w:pPr>
              <w:pStyle w:val="Paragraphedeliste"/>
              <w:numPr>
                <w:ilvl w:val="0"/>
                <w:numId w:val="19"/>
              </w:numPr>
              <w:ind w:left="315" w:hanging="315"/>
              <w:rPr>
                <w:rFonts w:cs="Arial"/>
                <w:sz w:val="16"/>
                <w:szCs w:val="16"/>
                <w:lang w:bidi="th-TH"/>
              </w:rPr>
            </w:pPr>
            <w:r w:rsidRPr="005C7CCE">
              <w:rPr>
                <w:sz w:val="16"/>
              </w:rPr>
              <w:t>Des missions de diagnostics ont été entreprises dans deux pays : Afrique (1) et Asie et Pacifique (1);</w:t>
            </w:r>
            <w:r w:rsidR="004F3E42" w:rsidRPr="005C7CCE">
              <w:rPr>
                <w:sz w:val="16"/>
              </w:rPr>
              <w:t xml:space="preserve"> </w:t>
            </w:r>
            <w:r w:rsidR="0010442A" w:rsidRPr="005C7CCE">
              <w:rPr>
                <w:sz w:val="16"/>
              </w:rPr>
              <w:t xml:space="preserve"> </w:t>
            </w:r>
            <w:r w:rsidRPr="005C7CCE">
              <w:rPr>
                <w:sz w:val="16"/>
              </w:rPr>
              <w:t>des rédacteurs juridiques de quatre États membres : Afrique (2) et Asie</w:t>
            </w:r>
            <w:r w:rsidR="002D6F2A" w:rsidRPr="005C7CCE">
              <w:rPr>
                <w:sz w:val="16"/>
              </w:rPr>
              <w:noBreakHyphen/>
            </w:r>
            <w:r w:rsidRPr="005C7CCE">
              <w:rPr>
                <w:sz w:val="16"/>
              </w:rPr>
              <w:t>Pacifique (2) ont été invités à Genève.</w:t>
            </w:r>
          </w:p>
          <w:p w:rsidR="0096696E" w:rsidRPr="005C7CCE" w:rsidRDefault="0096696E" w:rsidP="001A5BF9">
            <w:pPr>
              <w:rPr>
                <w:rFonts w:cs="Arial"/>
                <w:sz w:val="8"/>
                <w:szCs w:val="8"/>
                <w:lang w:bidi="th-TH"/>
              </w:rPr>
            </w:pPr>
          </w:p>
        </w:tc>
        <w:tc>
          <w:tcPr>
            <w:tcW w:w="1197" w:type="dxa"/>
            <w:gridSpan w:val="2"/>
            <w:tcBorders>
              <w:bottom w:val="single" w:sz="4" w:space="0" w:color="auto"/>
            </w:tcBorders>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761625" w:rsidTr="0033279F">
        <w:trPr>
          <w:cantSplit/>
        </w:trPr>
        <w:tc>
          <w:tcPr>
            <w:tcW w:w="9498" w:type="dxa"/>
            <w:gridSpan w:val="13"/>
            <w:tcBorders>
              <w:top w:val="single" w:sz="4" w:space="0" w:color="auto"/>
              <w:bottom w:val="single" w:sz="4" w:space="0" w:color="auto"/>
            </w:tcBorders>
            <w:shd w:val="clear" w:color="auto" w:fill="CCFFFF"/>
            <w:vAlign w:val="center"/>
          </w:tcPr>
          <w:p w:rsidR="0096696E" w:rsidRPr="00761625" w:rsidRDefault="0096696E" w:rsidP="001A5BF9">
            <w:pPr>
              <w:keepNext/>
              <w:keepLines/>
              <w:tabs>
                <w:tab w:val="left" w:pos="1452"/>
              </w:tabs>
              <w:spacing w:before="120" w:after="120"/>
              <w:ind w:left="1701" w:hanging="1701"/>
              <w:rPr>
                <w:rFonts w:cs="Arial"/>
                <w:b/>
                <w:bCs/>
                <w:sz w:val="16"/>
                <w:szCs w:val="16"/>
              </w:rPr>
            </w:pPr>
            <w:r w:rsidRPr="00761625">
              <w:rPr>
                <w:b/>
                <w:sz w:val="16"/>
              </w:rPr>
              <w:t>Résultat escompté</w:t>
            </w:r>
            <w:r w:rsidR="0010442A" w:rsidRPr="00761625">
              <w:rPr>
                <w:b/>
                <w:sz w:val="16"/>
              </w:rPr>
              <w:t xml:space="preserve"> : </w:t>
            </w:r>
            <w:r w:rsidRPr="00761625">
              <w:rPr>
                <w:b/>
                <w:sz w:val="16"/>
              </w:rPr>
              <w:tab/>
            </w:r>
            <w:r w:rsidRPr="00761625">
              <w:rPr>
                <w:sz w:val="16"/>
              </w:rPr>
              <w:t>Renforcement ou établissement de mécanismes, de programmes et de partenariats de coopération dans</w:t>
            </w:r>
            <w:r w:rsidR="00A20444" w:rsidRPr="00761625">
              <w:rPr>
                <w:sz w:val="16"/>
              </w:rPr>
              <w:t xml:space="preserve"> les PMA</w:t>
            </w:r>
          </w:p>
        </w:tc>
      </w:tr>
      <w:tr w:rsidR="0096696E" w:rsidRPr="00761625" w:rsidTr="0033279F">
        <w:trPr>
          <w:cantSplit/>
        </w:trPr>
        <w:tc>
          <w:tcPr>
            <w:tcW w:w="1701" w:type="dxa"/>
            <w:tcBorders>
              <w:top w:val="single" w:sz="4" w:space="0" w:color="auto"/>
            </w:tcBorders>
            <w:shd w:val="clear" w:color="auto" w:fill="auto"/>
            <w:vAlign w:val="center"/>
          </w:tcPr>
          <w:p w:rsidR="0096696E" w:rsidRPr="00761625" w:rsidRDefault="0096696E" w:rsidP="001A5BF9">
            <w:pPr>
              <w:rPr>
                <w:rFonts w:cs="Arial"/>
                <w:b/>
                <w:sz w:val="16"/>
                <w:szCs w:val="16"/>
              </w:rPr>
            </w:pPr>
            <w:r w:rsidRPr="00761625">
              <w:rPr>
                <w:b/>
                <w:sz w:val="16"/>
              </w:rPr>
              <w:t>Indicateurs d</w:t>
            </w:r>
            <w:r w:rsidR="00A20444" w:rsidRPr="00761625">
              <w:rPr>
                <w:b/>
                <w:sz w:val="16"/>
              </w:rPr>
              <w:t>’</w:t>
            </w:r>
            <w:r w:rsidRPr="00761625">
              <w:rPr>
                <w:b/>
                <w:sz w:val="16"/>
              </w:rPr>
              <w:t>exécution</w:t>
            </w:r>
          </w:p>
        </w:tc>
        <w:tc>
          <w:tcPr>
            <w:tcW w:w="1843" w:type="dxa"/>
            <w:gridSpan w:val="2"/>
            <w:tcBorders>
              <w:top w:val="single" w:sz="4" w:space="0" w:color="auto"/>
            </w:tcBorders>
            <w:shd w:val="clear" w:color="auto" w:fill="auto"/>
            <w:vAlign w:val="center"/>
          </w:tcPr>
          <w:p w:rsidR="0096696E" w:rsidRPr="00761625" w:rsidRDefault="0096696E" w:rsidP="001A5BF9">
            <w:pPr>
              <w:rPr>
                <w:rFonts w:cs="Arial"/>
                <w:b/>
                <w:bCs/>
                <w:sz w:val="16"/>
                <w:szCs w:val="16"/>
              </w:rPr>
            </w:pPr>
            <w:r w:rsidRPr="00761625">
              <w:rPr>
                <w:b/>
                <w:sz w:val="16"/>
              </w:rPr>
              <w:t>Niveaux de référence</w:t>
            </w:r>
          </w:p>
        </w:tc>
        <w:tc>
          <w:tcPr>
            <w:tcW w:w="1833" w:type="dxa"/>
            <w:gridSpan w:val="4"/>
            <w:tcBorders>
              <w:top w:val="single" w:sz="4" w:space="0" w:color="auto"/>
            </w:tcBorders>
            <w:shd w:val="clear" w:color="auto" w:fill="auto"/>
            <w:tcMar>
              <w:top w:w="110" w:type="dxa"/>
            </w:tcMar>
            <w:vAlign w:val="center"/>
          </w:tcPr>
          <w:p w:rsidR="0096696E" w:rsidRPr="00761625" w:rsidRDefault="0096696E" w:rsidP="001A5BF9">
            <w:pPr>
              <w:rPr>
                <w:rFonts w:cs="Arial"/>
                <w:b/>
                <w:sz w:val="16"/>
                <w:szCs w:val="16"/>
              </w:rPr>
            </w:pPr>
            <w:r w:rsidRPr="00761625">
              <w:rPr>
                <w:b/>
                <w:sz w:val="16"/>
              </w:rPr>
              <w:t>Objectifs visés</w:t>
            </w:r>
          </w:p>
        </w:tc>
        <w:tc>
          <w:tcPr>
            <w:tcW w:w="2924" w:type="dxa"/>
            <w:gridSpan w:val="4"/>
            <w:tcBorders>
              <w:top w:val="single" w:sz="4" w:space="0" w:color="auto"/>
            </w:tcBorders>
            <w:shd w:val="clear" w:color="auto" w:fill="FFFFFF"/>
            <w:tcMar>
              <w:top w:w="110" w:type="dxa"/>
            </w:tcMar>
            <w:vAlign w:val="center"/>
          </w:tcPr>
          <w:p w:rsidR="0096696E" w:rsidRPr="00761625" w:rsidRDefault="0096696E" w:rsidP="001A5BF9">
            <w:pPr>
              <w:rPr>
                <w:rFonts w:cs="Arial"/>
                <w:b/>
                <w:sz w:val="16"/>
                <w:szCs w:val="16"/>
              </w:rPr>
            </w:pPr>
            <w:r w:rsidRPr="00761625">
              <w:rPr>
                <w:b/>
                <w:sz w:val="16"/>
              </w:rPr>
              <w:t>Données relatives à l</w:t>
            </w:r>
            <w:r w:rsidR="00A20444" w:rsidRPr="00761625">
              <w:rPr>
                <w:b/>
                <w:sz w:val="16"/>
              </w:rPr>
              <w:t>’</w:t>
            </w:r>
            <w:r w:rsidRPr="00761625">
              <w:rPr>
                <w:b/>
                <w:sz w:val="16"/>
              </w:rPr>
              <w:t>exécution</w:t>
            </w:r>
          </w:p>
        </w:tc>
        <w:tc>
          <w:tcPr>
            <w:tcW w:w="1197" w:type="dxa"/>
            <w:gridSpan w:val="2"/>
            <w:tcBorders>
              <w:top w:val="single" w:sz="4" w:space="0" w:color="auto"/>
            </w:tcBorders>
            <w:shd w:val="clear" w:color="auto" w:fill="auto"/>
            <w:tcMar>
              <w:top w:w="110" w:type="dxa"/>
            </w:tcMar>
            <w:vAlign w:val="center"/>
          </w:tcPr>
          <w:p w:rsidR="0096696E" w:rsidRPr="00761625" w:rsidRDefault="0096696E" w:rsidP="001A5BF9">
            <w:pPr>
              <w:keepNext/>
              <w:keepLines/>
              <w:jc w:val="center"/>
              <w:rPr>
                <w:rFonts w:cs="Arial"/>
                <w:b/>
                <w:bCs/>
                <w:sz w:val="16"/>
                <w:szCs w:val="16"/>
              </w:rPr>
            </w:pPr>
            <w:r w:rsidRPr="00761625">
              <w:rPr>
                <w:b/>
                <w:sz w:val="16"/>
              </w:rPr>
              <w:t>Code de couleurs</w:t>
            </w:r>
          </w:p>
        </w:tc>
      </w:tr>
      <w:tr w:rsidR="0096696E" w:rsidRPr="005C7CCE" w:rsidTr="0033279F">
        <w:trPr>
          <w:cantSplit/>
        </w:trPr>
        <w:tc>
          <w:tcPr>
            <w:tcW w:w="1701" w:type="dxa"/>
            <w:shd w:val="clear" w:color="auto" w:fill="FFFFFF"/>
          </w:tcPr>
          <w:p w:rsidR="0096696E" w:rsidRPr="005C7CCE" w:rsidRDefault="0096696E" w:rsidP="001A5BF9">
            <w:pPr>
              <w:rPr>
                <w:rFonts w:cs="Arial"/>
                <w:color w:val="008000"/>
                <w:sz w:val="16"/>
                <w:szCs w:val="16"/>
                <w:lang w:bidi="th-TH"/>
              </w:rPr>
            </w:pPr>
            <w:r w:rsidRPr="00761625">
              <w:rPr>
                <w:sz w:val="16"/>
              </w:rPr>
              <w:t>Nombre de partenariats établis dans</w:t>
            </w:r>
            <w:r w:rsidR="00A20444" w:rsidRPr="00761625">
              <w:rPr>
                <w:sz w:val="16"/>
              </w:rPr>
              <w:t xml:space="preserve"> les PMA</w:t>
            </w:r>
            <w:r w:rsidRPr="00761625">
              <w:rPr>
                <w:sz w:val="16"/>
              </w:rPr>
              <w:t xml:space="preserve"> entre les organismes gouvernementaux, le secteur privé,</w:t>
            </w:r>
            <w:r w:rsidR="00A20444" w:rsidRPr="00761625">
              <w:rPr>
                <w:sz w:val="16"/>
              </w:rPr>
              <w:t xml:space="preserve"> les ONG</w:t>
            </w:r>
            <w:r w:rsidRPr="00761625">
              <w:rPr>
                <w:sz w:val="16"/>
              </w:rPr>
              <w:t xml:space="preserve"> et d</w:t>
            </w:r>
            <w:r w:rsidR="00A20444" w:rsidRPr="00761625">
              <w:rPr>
                <w:sz w:val="16"/>
              </w:rPr>
              <w:t>’</w:t>
            </w:r>
            <w:r w:rsidRPr="00761625">
              <w:rPr>
                <w:sz w:val="16"/>
              </w:rPr>
              <w:t>autres partenaires du développement (PMA)</w:t>
            </w:r>
          </w:p>
        </w:tc>
        <w:tc>
          <w:tcPr>
            <w:tcW w:w="1843" w:type="dxa"/>
            <w:gridSpan w:val="2"/>
            <w:shd w:val="clear" w:color="auto" w:fill="auto"/>
          </w:tcPr>
          <w:p w:rsidR="00D42474" w:rsidRDefault="0096696E" w:rsidP="001A5BF9">
            <w:pPr>
              <w:rPr>
                <w:rFonts w:cs="Arial"/>
                <w:i/>
                <w:sz w:val="16"/>
                <w:szCs w:val="16"/>
                <w:lang w:bidi="th-TH"/>
              </w:rPr>
            </w:pPr>
            <w:r w:rsidRPr="005C7CCE">
              <w:rPr>
                <w:i/>
                <w:color w:val="002060"/>
                <w:sz w:val="16"/>
              </w:rPr>
              <w:t>Niveau de référence actualisé fin 2011 :</w:t>
            </w:r>
            <w:r w:rsidRPr="005C7CCE">
              <w:br/>
            </w:r>
            <w:r w:rsidR="00761625">
              <w:rPr>
                <w:color w:val="002060"/>
                <w:sz w:val="16"/>
              </w:rPr>
              <w:t>d</w:t>
            </w:r>
            <w:r w:rsidRPr="005C7CCE">
              <w:rPr>
                <w:color w:val="002060"/>
                <w:sz w:val="16"/>
              </w:rPr>
              <w:t>ans le cadre du projet du Plan d</w:t>
            </w:r>
            <w:r w:rsidR="00A20444" w:rsidRPr="005C7CCE">
              <w:rPr>
                <w:color w:val="002060"/>
                <w:sz w:val="16"/>
              </w:rPr>
              <w:t>’</w:t>
            </w:r>
            <w:r w:rsidRPr="005C7CCE">
              <w:rPr>
                <w:color w:val="002060"/>
                <w:sz w:val="16"/>
              </w:rPr>
              <w:t>action pour le développement relatif aux technologies appropriées, 3 groupes d</w:t>
            </w:r>
            <w:r w:rsidR="00A20444" w:rsidRPr="005C7CCE">
              <w:rPr>
                <w:color w:val="002060"/>
                <w:sz w:val="16"/>
              </w:rPr>
              <w:t>’</w:t>
            </w:r>
            <w:r w:rsidRPr="005C7CCE">
              <w:rPr>
                <w:color w:val="002060"/>
                <w:sz w:val="16"/>
              </w:rPr>
              <w:t>experts et 3 groupes multipartites (6 au total) ont été créés au Bangladesh, au Népal et en Zambie, composés du secteur public et du secteur privé.</w:t>
            </w:r>
          </w:p>
          <w:p w:rsidR="00D42474" w:rsidRDefault="00D42474" w:rsidP="001A5BF9">
            <w:pPr>
              <w:rPr>
                <w:rFonts w:cs="Arial"/>
                <w:i/>
                <w:sz w:val="8"/>
                <w:szCs w:val="8"/>
                <w:lang w:bidi="th-TH"/>
              </w:rPr>
            </w:pPr>
          </w:p>
          <w:p w:rsidR="0096696E" w:rsidRPr="005C7CCE" w:rsidRDefault="0096696E"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761625">
              <w:rPr>
                <w:sz w:val="16"/>
              </w:rPr>
              <w:t xml:space="preserve"> z</w:t>
            </w:r>
            <w:r w:rsidRPr="005C7CCE">
              <w:rPr>
                <w:sz w:val="16"/>
              </w:rPr>
              <w:t>éro</w:t>
            </w:r>
          </w:p>
        </w:tc>
        <w:tc>
          <w:tcPr>
            <w:tcW w:w="1833" w:type="dxa"/>
            <w:gridSpan w:val="4"/>
            <w:shd w:val="clear" w:color="auto" w:fill="auto"/>
            <w:tcMar>
              <w:top w:w="110" w:type="dxa"/>
            </w:tcMar>
          </w:tcPr>
          <w:p w:rsidR="0096696E" w:rsidRPr="00761625" w:rsidRDefault="0096696E" w:rsidP="001A5BF9">
            <w:pPr>
              <w:autoSpaceDE w:val="0"/>
              <w:autoSpaceDN w:val="0"/>
              <w:adjustRightInd w:val="0"/>
              <w:rPr>
                <w:rFonts w:cs="Arial"/>
                <w:sz w:val="16"/>
                <w:szCs w:val="16"/>
              </w:rPr>
            </w:pPr>
            <w:r w:rsidRPr="00761625">
              <w:rPr>
                <w:sz w:val="16"/>
              </w:rPr>
              <w:t xml:space="preserve">Établissement de partenariats dans cinq PMA au moins </w:t>
            </w:r>
          </w:p>
        </w:tc>
        <w:tc>
          <w:tcPr>
            <w:tcW w:w="2924" w:type="dxa"/>
            <w:gridSpan w:val="4"/>
            <w:shd w:val="clear" w:color="auto" w:fill="FFFFFF"/>
            <w:tcMar>
              <w:top w:w="110" w:type="dxa"/>
            </w:tcMar>
          </w:tcPr>
          <w:p w:rsidR="00D42474" w:rsidRDefault="0096696E" w:rsidP="001A5BF9">
            <w:pPr>
              <w:rPr>
                <w:rFonts w:cs="Arial"/>
                <w:sz w:val="16"/>
                <w:szCs w:val="16"/>
                <w:lang w:bidi="th-TH"/>
              </w:rPr>
            </w:pPr>
            <w:r w:rsidRPr="005C7CCE">
              <w:rPr>
                <w:sz w:val="16"/>
              </w:rPr>
              <w:t>Deux nouveaux partenariats en matière de technologies appropriées ont été institués en Éthiopie et en Ouganda en 2013.</w:t>
            </w:r>
          </w:p>
          <w:p w:rsidR="00D42474" w:rsidRDefault="00D42474" w:rsidP="001A5BF9">
            <w:pPr>
              <w:rPr>
                <w:rFonts w:cs="Arial"/>
                <w:sz w:val="8"/>
                <w:szCs w:val="8"/>
                <w:lang w:bidi="th-TH"/>
              </w:rPr>
            </w:pPr>
          </w:p>
          <w:p w:rsidR="0096696E" w:rsidRPr="005C7CCE" w:rsidRDefault="0096696E" w:rsidP="001A5BF9">
            <w:pPr>
              <w:rPr>
                <w:rFonts w:cs="Arial"/>
                <w:sz w:val="16"/>
                <w:szCs w:val="16"/>
                <w:lang w:bidi="th-TH"/>
              </w:rPr>
            </w:pPr>
            <w:r w:rsidRPr="005C7CCE">
              <w:rPr>
                <w:sz w:val="16"/>
              </w:rPr>
              <w:t>Les partenariats établis au Bangladesh, au Népal et en Zambie en 2011 ont été renforcés en 2012</w:t>
            </w:r>
            <w:r w:rsidR="002D6F2A" w:rsidRPr="005C7CCE">
              <w:rPr>
                <w:sz w:val="16"/>
              </w:rPr>
              <w:noBreakHyphen/>
            </w:r>
            <w:r w:rsidRPr="005C7CCE">
              <w:rPr>
                <w:sz w:val="16"/>
              </w:rPr>
              <w:t>2013, par le biais de l</w:t>
            </w:r>
            <w:r w:rsidR="00A20444" w:rsidRPr="005C7CCE">
              <w:rPr>
                <w:sz w:val="16"/>
              </w:rPr>
              <w:t>’</w:t>
            </w:r>
            <w:r w:rsidRPr="005C7CCE">
              <w:rPr>
                <w:sz w:val="16"/>
              </w:rPr>
              <w:t>établissement de groupes d</w:t>
            </w:r>
            <w:r w:rsidR="00A20444" w:rsidRPr="005C7CCE">
              <w:rPr>
                <w:sz w:val="16"/>
              </w:rPr>
              <w:t>’</w:t>
            </w:r>
            <w:r w:rsidRPr="005C7CCE">
              <w:rPr>
                <w:sz w:val="16"/>
              </w:rPr>
              <w:t>experts et multipartites relatifs aux technologies appropriées.</w:t>
            </w:r>
          </w:p>
        </w:tc>
        <w:tc>
          <w:tcPr>
            <w:tcW w:w="1197" w:type="dxa"/>
            <w:gridSpan w:val="2"/>
            <w:shd w:val="clear" w:color="auto" w:fill="auto"/>
            <w:tcMar>
              <w:top w:w="110" w:type="dxa"/>
            </w:tcMar>
          </w:tcPr>
          <w:p w:rsidR="0096696E" w:rsidRPr="005C7CCE" w:rsidRDefault="0096696E" w:rsidP="001A5BF9">
            <w:pPr>
              <w:jc w:val="center"/>
              <w:rPr>
                <w:rFonts w:cs="Arial"/>
                <w:color w:val="008000"/>
                <w:sz w:val="16"/>
                <w:szCs w:val="16"/>
              </w:rPr>
            </w:pPr>
            <w:r w:rsidRPr="00B470C6">
              <w:rPr>
                <w:color w:val="008000"/>
                <w:sz w:val="16"/>
              </w:rPr>
              <w:t>Objectif pleinement atteint</w:t>
            </w:r>
          </w:p>
        </w:tc>
      </w:tr>
      <w:tr w:rsidR="0096696E" w:rsidRPr="005C7CCE" w:rsidTr="0033279F">
        <w:trPr>
          <w:cantSplit/>
        </w:trPr>
        <w:tc>
          <w:tcPr>
            <w:tcW w:w="1701" w:type="dxa"/>
            <w:shd w:val="clear" w:color="auto" w:fill="FFFFFF"/>
          </w:tcPr>
          <w:p w:rsidR="0096696E" w:rsidRPr="00761625" w:rsidRDefault="0096696E" w:rsidP="001A5BF9">
            <w:pPr>
              <w:pageBreakBefore/>
              <w:rPr>
                <w:rFonts w:cs="Arial"/>
                <w:sz w:val="16"/>
                <w:szCs w:val="16"/>
                <w:lang w:bidi="th-TH"/>
              </w:rPr>
            </w:pPr>
            <w:r w:rsidRPr="00761625">
              <w:rPr>
                <w:sz w:val="16"/>
              </w:rPr>
              <w:t>Nombre de programmes de propriété intellectuelle mis en œuvre conjointement avec d</w:t>
            </w:r>
            <w:r w:rsidR="00A20444" w:rsidRPr="00761625">
              <w:rPr>
                <w:sz w:val="16"/>
              </w:rPr>
              <w:t>’</w:t>
            </w:r>
            <w:r w:rsidRPr="00761625">
              <w:rPr>
                <w:sz w:val="16"/>
              </w:rPr>
              <w:t xml:space="preserve">autres organismes des </w:t>
            </w:r>
            <w:r w:rsidR="00A20444" w:rsidRPr="00761625">
              <w:rPr>
                <w:sz w:val="16"/>
              </w:rPr>
              <w:t>Nations Unies</w:t>
            </w:r>
            <w:r w:rsidRPr="00761625">
              <w:rPr>
                <w:sz w:val="16"/>
              </w:rPr>
              <w:t xml:space="preserve"> et d</w:t>
            </w:r>
            <w:r w:rsidR="00A20444" w:rsidRPr="00761625">
              <w:rPr>
                <w:sz w:val="16"/>
              </w:rPr>
              <w:t>’</w:t>
            </w:r>
            <w:r w:rsidRPr="00761625">
              <w:rPr>
                <w:sz w:val="16"/>
              </w:rPr>
              <w:t xml:space="preserve">autres organisations intergouvernementales (PMA) </w:t>
            </w:r>
          </w:p>
        </w:tc>
        <w:tc>
          <w:tcPr>
            <w:tcW w:w="1843" w:type="dxa"/>
            <w:gridSpan w:val="2"/>
            <w:shd w:val="clear" w:color="auto" w:fill="auto"/>
          </w:tcPr>
          <w:p w:rsidR="00D42474" w:rsidRDefault="0096696E" w:rsidP="001A5BF9">
            <w:pPr>
              <w:rPr>
                <w:rFonts w:cs="Arial"/>
                <w:sz w:val="16"/>
                <w:szCs w:val="16"/>
                <w:lang w:bidi="th-TH"/>
              </w:rPr>
            </w:pPr>
            <w:r w:rsidRPr="00761625">
              <w:rPr>
                <w:sz w:val="16"/>
              </w:rPr>
              <w:t>Coopération avec l</w:t>
            </w:r>
            <w:r w:rsidR="00A20444" w:rsidRPr="00761625">
              <w:rPr>
                <w:sz w:val="16"/>
              </w:rPr>
              <w:t>’</w:t>
            </w:r>
            <w:r w:rsidRPr="00761625">
              <w:rPr>
                <w:sz w:val="16"/>
              </w:rPr>
              <w:t>ONU et d</w:t>
            </w:r>
            <w:r w:rsidR="00A20444" w:rsidRPr="00761625">
              <w:rPr>
                <w:sz w:val="16"/>
              </w:rPr>
              <w:t>’</w:t>
            </w:r>
            <w:r w:rsidRPr="00761625">
              <w:rPr>
                <w:sz w:val="16"/>
              </w:rPr>
              <w:t>autres organisations</w:t>
            </w:r>
            <w:r w:rsidR="0010442A" w:rsidRPr="00761625">
              <w:rPr>
                <w:sz w:val="16"/>
              </w:rPr>
              <w:t> </w:t>
            </w:r>
            <w:r w:rsidRPr="00761625">
              <w:rPr>
                <w:sz w:val="16"/>
              </w:rPr>
              <w:t>:</w:t>
            </w:r>
          </w:p>
          <w:p w:rsidR="00D42474" w:rsidRDefault="00D42474" w:rsidP="001A5BF9">
            <w:pPr>
              <w:rPr>
                <w:rFonts w:cs="Arial"/>
                <w:sz w:val="8"/>
                <w:szCs w:val="8"/>
                <w:lang w:bidi="th-TH"/>
              </w:rPr>
            </w:pPr>
          </w:p>
          <w:p w:rsidR="00D42474" w:rsidRDefault="0096696E" w:rsidP="00761625">
            <w:pPr>
              <w:tabs>
                <w:tab w:val="left" w:pos="271"/>
              </w:tabs>
              <w:rPr>
                <w:rFonts w:cs="Arial"/>
                <w:sz w:val="16"/>
                <w:szCs w:val="16"/>
                <w:lang w:bidi="th-TH"/>
              </w:rPr>
            </w:pPr>
            <w:r w:rsidRPr="00761625">
              <w:rPr>
                <w:sz w:val="16"/>
              </w:rPr>
              <w:t xml:space="preserve">i) </w:t>
            </w:r>
            <w:r w:rsidR="00761625">
              <w:rPr>
                <w:sz w:val="16"/>
              </w:rPr>
              <w:tab/>
            </w:r>
            <w:r w:rsidRPr="00761625">
              <w:rPr>
                <w:sz w:val="16"/>
              </w:rPr>
              <w:t xml:space="preserve">quatrième Conférence des </w:t>
            </w:r>
            <w:r w:rsidR="00A20444" w:rsidRPr="00761625">
              <w:rPr>
                <w:sz w:val="16"/>
              </w:rPr>
              <w:t>Nations Unies</w:t>
            </w:r>
            <w:r w:rsidRPr="00761625">
              <w:rPr>
                <w:sz w:val="16"/>
              </w:rPr>
              <w:t xml:space="preserve"> sur</w:t>
            </w:r>
            <w:r w:rsidR="00A20444" w:rsidRPr="00761625">
              <w:rPr>
                <w:sz w:val="16"/>
              </w:rPr>
              <w:t xml:space="preserve"> les PMA</w:t>
            </w:r>
            <w:r w:rsidRPr="00761625">
              <w:rPr>
                <w:sz w:val="16"/>
              </w:rPr>
              <w:t>, Istanbul (Turquie)</w:t>
            </w:r>
          </w:p>
          <w:p w:rsidR="0096696E" w:rsidRPr="00761625" w:rsidRDefault="0096696E" w:rsidP="00761625">
            <w:pPr>
              <w:tabs>
                <w:tab w:val="left" w:pos="271"/>
              </w:tabs>
              <w:rPr>
                <w:rFonts w:cs="Arial"/>
                <w:sz w:val="16"/>
                <w:szCs w:val="16"/>
                <w:lang w:bidi="th-TH"/>
              </w:rPr>
            </w:pPr>
            <w:r w:rsidRPr="00761625">
              <w:rPr>
                <w:sz w:val="16"/>
              </w:rPr>
              <w:t xml:space="preserve">ii) </w:t>
            </w:r>
            <w:r w:rsidR="00761625">
              <w:rPr>
                <w:sz w:val="16"/>
              </w:rPr>
              <w:tab/>
            </w:r>
            <w:r w:rsidRPr="00761625">
              <w:rPr>
                <w:sz w:val="16"/>
              </w:rPr>
              <w:t>réunions sur</w:t>
            </w:r>
            <w:r w:rsidR="00A20444" w:rsidRPr="00761625">
              <w:rPr>
                <w:sz w:val="16"/>
              </w:rPr>
              <w:t xml:space="preserve"> les ADP</w:t>
            </w:r>
            <w:r w:rsidRPr="00761625">
              <w:rPr>
                <w:sz w:val="16"/>
              </w:rPr>
              <w:t>IC organisées par l</w:t>
            </w:r>
            <w:r w:rsidR="00A20444" w:rsidRPr="00761625">
              <w:rPr>
                <w:sz w:val="16"/>
              </w:rPr>
              <w:t>’</w:t>
            </w:r>
            <w:r w:rsidRPr="00761625">
              <w:rPr>
                <w:sz w:val="16"/>
              </w:rPr>
              <w:t>OMC au Sénégal, en Ouganda et au Bangladesh</w:t>
            </w:r>
          </w:p>
        </w:tc>
        <w:tc>
          <w:tcPr>
            <w:tcW w:w="1833" w:type="dxa"/>
            <w:gridSpan w:val="4"/>
            <w:shd w:val="clear" w:color="auto" w:fill="auto"/>
            <w:tcMar>
              <w:top w:w="110" w:type="dxa"/>
            </w:tcMar>
          </w:tcPr>
          <w:p w:rsidR="00D42474" w:rsidRDefault="0096696E" w:rsidP="001A5BF9">
            <w:pPr>
              <w:rPr>
                <w:rFonts w:cs="Arial"/>
                <w:sz w:val="16"/>
                <w:szCs w:val="16"/>
                <w:lang w:bidi="th-TH"/>
              </w:rPr>
            </w:pPr>
            <w:r w:rsidRPr="005C7CCE">
              <w:rPr>
                <w:sz w:val="16"/>
              </w:rPr>
              <w:t>Deux forums régionaux en coopération avec les </w:t>
            </w:r>
            <w:r w:rsidR="00A20444" w:rsidRPr="005C7CCE">
              <w:rPr>
                <w:sz w:val="16"/>
              </w:rPr>
              <w:t>Nations Unies</w:t>
            </w:r>
            <w:r w:rsidRPr="005C7CCE">
              <w:rPr>
                <w:sz w:val="16"/>
              </w:rPr>
              <w:t xml:space="preserve"> et deux forums régionaux en coopération</w:t>
            </w:r>
          </w:p>
          <w:p w:rsidR="0096696E" w:rsidRPr="005C7CCE" w:rsidRDefault="0096696E" w:rsidP="001A5BF9">
            <w:pPr>
              <w:rPr>
                <w:rFonts w:cs="Arial"/>
                <w:sz w:val="16"/>
                <w:szCs w:val="16"/>
                <w:lang w:bidi="th-TH"/>
              </w:rPr>
            </w:pPr>
            <w:r w:rsidRPr="005C7CCE">
              <w:rPr>
                <w:sz w:val="16"/>
              </w:rPr>
              <w:t>avec l</w:t>
            </w:r>
            <w:r w:rsidR="00A20444" w:rsidRPr="005C7CCE">
              <w:rPr>
                <w:sz w:val="16"/>
              </w:rPr>
              <w:t>’</w:t>
            </w:r>
            <w:r w:rsidRPr="005C7CCE">
              <w:rPr>
                <w:sz w:val="16"/>
              </w:rPr>
              <w:t>OMC</w:t>
            </w:r>
          </w:p>
        </w:tc>
        <w:tc>
          <w:tcPr>
            <w:tcW w:w="2924" w:type="dxa"/>
            <w:gridSpan w:val="4"/>
            <w:shd w:val="clear" w:color="auto" w:fill="FFFFFF"/>
            <w:tcMar>
              <w:top w:w="110" w:type="dxa"/>
            </w:tcMar>
          </w:tcPr>
          <w:p w:rsidR="00D42474" w:rsidRDefault="0096696E" w:rsidP="001A5BF9">
            <w:pPr>
              <w:rPr>
                <w:sz w:val="16"/>
              </w:rPr>
            </w:pPr>
            <w:r w:rsidRPr="005C7CCE">
              <w:rPr>
                <w:sz w:val="16"/>
              </w:rPr>
              <w:t>L</w:t>
            </w:r>
            <w:r w:rsidR="00A20444" w:rsidRPr="005C7CCE">
              <w:rPr>
                <w:sz w:val="16"/>
              </w:rPr>
              <w:t>’</w:t>
            </w:r>
            <w:r w:rsidRPr="005C7CCE">
              <w:rPr>
                <w:sz w:val="16"/>
              </w:rPr>
              <w:t>OMPI a coopéré avec d</w:t>
            </w:r>
            <w:r w:rsidR="00A20444" w:rsidRPr="005C7CCE">
              <w:rPr>
                <w:sz w:val="16"/>
              </w:rPr>
              <w:t>’</w:t>
            </w:r>
            <w:r w:rsidRPr="005C7CCE">
              <w:rPr>
                <w:sz w:val="16"/>
              </w:rPr>
              <w:t>autres organisations dans la mise en œuvre d</w:t>
            </w:r>
            <w:r w:rsidR="00A20444" w:rsidRPr="005C7CCE">
              <w:rPr>
                <w:sz w:val="16"/>
              </w:rPr>
              <w:t>’</w:t>
            </w:r>
            <w:r w:rsidRPr="005C7CCE">
              <w:rPr>
                <w:sz w:val="16"/>
              </w:rPr>
              <w:t>activités au profit des PMA.</w:t>
            </w:r>
          </w:p>
          <w:p w:rsidR="00D42474" w:rsidRDefault="00D42474" w:rsidP="001A5BF9">
            <w:pPr>
              <w:rPr>
                <w:rFonts w:cs="Arial"/>
                <w:sz w:val="8"/>
                <w:szCs w:val="8"/>
                <w:lang w:bidi="th-TH"/>
              </w:rPr>
            </w:pPr>
          </w:p>
          <w:p w:rsidR="00D42474" w:rsidRDefault="0096696E" w:rsidP="001A5BF9">
            <w:pPr>
              <w:rPr>
                <w:rFonts w:cs="Arial"/>
                <w:spacing w:val="-4"/>
                <w:sz w:val="16"/>
                <w:szCs w:val="16"/>
                <w:lang w:bidi="th-TH"/>
              </w:rPr>
            </w:pPr>
            <w:r w:rsidRPr="005C7CCE">
              <w:rPr>
                <w:spacing w:val="-4"/>
                <w:sz w:val="16"/>
              </w:rPr>
              <w:t>Atelier sur la propriété intellectuelle et l</w:t>
            </w:r>
            <w:r w:rsidR="00A20444" w:rsidRPr="005C7CCE">
              <w:rPr>
                <w:spacing w:val="-4"/>
                <w:sz w:val="16"/>
              </w:rPr>
              <w:t>’</w:t>
            </w:r>
            <w:r w:rsidRPr="005C7CCE">
              <w:rPr>
                <w:spacing w:val="-4"/>
                <w:sz w:val="16"/>
              </w:rPr>
              <w:t>évaluation des besoins prioritaires, Arusha, République</w:t>
            </w:r>
            <w:r w:rsidR="002D6F2A" w:rsidRPr="005C7CCE">
              <w:rPr>
                <w:spacing w:val="-4"/>
                <w:sz w:val="16"/>
              </w:rPr>
              <w:noBreakHyphen/>
            </w:r>
            <w:r w:rsidRPr="005C7CCE">
              <w:rPr>
                <w:spacing w:val="-4"/>
                <w:sz w:val="16"/>
              </w:rPr>
              <w:t>Unie de Tanzanie, les 3 et 4 juin 2013 (OMPI, OMC et le Gouvernement de Tanzanie).</w:t>
            </w:r>
          </w:p>
          <w:p w:rsidR="00D42474" w:rsidRDefault="00D42474" w:rsidP="001A5BF9">
            <w:pPr>
              <w:rPr>
                <w:rFonts w:cs="Arial"/>
                <w:sz w:val="8"/>
                <w:szCs w:val="8"/>
                <w:lang w:bidi="th-TH"/>
              </w:rPr>
            </w:pPr>
          </w:p>
          <w:p w:rsidR="00D42474" w:rsidRDefault="0096696E" w:rsidP="001A5BF9">
            <w:pPr>
              <w:rPr>
                <w:rFonts w:cs="Arial"/>
                <w:sz w:val="16"/>
                <w:szCs w:val="16"/>
                <w:lang w:bidi="th-TH"/>
              </w:rPr>
            </w:pPr>
            <w:r w:rsidRPr="005C7CCE">
              <w:rPr>
                <w:sz w:val="16"/>
              </w:rPr>
              <w:t>Table ronde sur les partenariats publics</w:t>
            </w:r>
            <w:r w:rsidR="002D6F2A" w:rsidRPr="005C7CCE">
              <w:rPr>
                <w:sz w:val="16"/>
              </w:rPr>
              <w:noBreakHyphen/>
            </w:r>
            <w:r w:rsidRPr="005C7CCE">
              <w:rPr>
                <w:sz w:val="16"/>
              </w:rPr>
              <w:t xml:space="preserve">privés dans les domaines du développement et de la commercialisation des technologies appropriées, </w:t>
            </w:r>
            <w:proofErr w:type="spellStart"/>
            <w:r w:rsidRPr="005C7CCE">
              <w:rPr>
                <w:sz w:val="16"/>
              </w:rPr>
              <w:t>Addis</w:t>
            </w:r>
            <w:proofErr w:type="spellEnd"/>
            <w:r w:rsidRPr="005C7CCE">
              <w:rPr>
                <w:sz w:val="16"/>
              </w:rPr>
              <w:t xml:space="preserve"> </w:t>
            </w:r>
            <w:proofErr w:type="spellStart"/>
            <w:r w:rsidRPr="005C7CCE">
              <w:rPr>
                <w:sz w:val="16"/>
              </w:rPr>
              <w:t>Abba</w:t>
            </w:r>
            <w:proofErr w:type="spellEnd"/>
            <w:r w:rsidRPr="005C7CCE">
              <w:rPr>
                <w:sz w:val="16"/>
              </w:rPr>
              <w:t>, Éthiopie (OMPI, République de Corée et Gouvernement d</w:t>
            </w:r>
            <w:r w:rsidR="00A20444" w:rsidRPr="005C7CCE">
              <w:rPr>
                <w:sz w:val="16"/>
              </w:rPr>
              <w:t>’</w:t>
            </w:r>
            <w:r w:rsidRPr="005C7CCE">
              <w:rPr>
                <w:sz w:val="16"/>
              </w:rPr>
              <w:t>Éthiopie)</w:t>
            </w:r>
          </w:p>
          <w:p w:rsidR="00D42474" w:rsidRDefault="0096696E" w:rsidP="001A5BF9">
            <w:pPr>
              <w:rPr>
                <w:rFonts w:cs="Arial"/>
                <w:sz w:val="16"/>
                <w:szCs w:val="16"/>
                <w:lang w:bidi="th-TH"/>
              </w:rPr>
            </w:pPr>
            <w:r w:rsidRPr="005C7CCE">
              <w:rPr>
                <w:sz w:val="16"/>
              </w:rPr>
              <w:t>Communauté économique des États de l</w:t>
            </w:r>
            <w:r w:rsidR="00A20444" w:rsidRPr="005C7CCE">
              <w:rPr>
                <w:sz w:val="16"/>
              </w:rPr>
              <w:t>’</w:t>
            </w:r>
            <w:r w:rsidRPr="005C7CCE">
              <w:rPr>
                <w:sz w:val="16"/>
              </w:rPr>
              <w:t>Afrique de l</w:t>
            </w:r>
            <w:r w:rsidR="00A20444" w:rsidRPr="005C7CCE">
              <w:rPr>
                <w:sz w:val="16"/>
              </w:rPr>
              <w:t>’</w:t>
            </w:r>
            <w:r w:rsidRPr="005C7CCE">
              <w:rPr>
                <w:sz w:val="16"/>
              </w:rPr>
              <w:t>Ouest, OMPI et Gouvernement de la Côte d</w:t>
            </w:r>
            <w:r w:rsidR="00A20444" w:rsidRPr="005C7CCE">
              <w:rPr>
                <w:sz w:val="16"/>
              </w:rPr>
              <w:t>’</w:t>
            </w:r>
            <w:r w:rsidRPr="005C7CCE">
              <w:rPr>
                <w:sz w:val="16"/>
              </w:rPr>
              <w:t>Ivoire : réunion ministérielle, 4 au 6 décembre 2013.</w:t>
            </w:r>
          </w:p>
          <w:p w:rsidR="00D42474" w:rsidRDefault="00D42474" w:rsidP="001A5BF9">
            <w:pPr>
              <w:rPr>
                <w:rFonts w:cs="Arial"/>
                <w:sz w:val="8"/>
                <w:szCs w:val="8"/>
                <w:lang w:bidi="th-TH"/>
              </w:rPr>
            </w:pPr>
          </w:p>
          <w:p w:rsidR="00D42474" w:rsidRDefault="0096696E" w:rsidP="001A5BF9">
            <w:pPr>
              <w:rPr>
                <w:sz w:val="16"/>
              </w:rPr>
            </w:pPr>
            <w:r w:rsidRPr="00761625">
              <w:rPr>
                <w:sz w:val="16"/>
              </w:rPr>
              <w:t>L</w:t>
            </w:r>
            <w:r w:rsidR="00A20444" w:rsidRPr="00761625">
              <w:rPr>
                <w:sz w:val="16"/>
              </w:rPr>
              <w:t>’</w:t>
            </w:r>
            <w:r w:rsidRPr="00761625">
              <w:rPr>
                <w:sz w:val="16"/>
              </w:rPr>
              <w:t>OMPI a participé aux réunions consultatives interinstitutionnelles organisées par le Bureau du Haut</w:t>
            </w:r>
            <w:r w:rsidR="002D6F2A" w:rsidRPr="00761625">
              <w:rPr>
                <w:sz w:val="16"/>
              </w:rPr>
              <w:noBreakHyphen/>
            </w:r>
            <w:r w:rsidRPr="00761625">
              <w:rPr>
                <w:sz w:val="16"/>
              </w:rPr>
              <w:t>Représentant pour les pays les moins avancés, les pays en développement sans littoral et les petits États insulaires en développement.</w:t>
            </w:r>
            <w:r w:rsidR="004F3E42" w:rsidRPr="00761625">
              <w:rPr>
                <w:sz w:val="16"/>
              </w:rPr>
              <w:t xml:space="preserve"> </w:t>
            </w:r>
            <w:r w:rsidR="0010442A" w:rsidRPr="00761625">
              <w:rPr>
                <w:sz w:val="16"/>
              </w:rPr>
              <w:t xml:space="preserve"> </w:t>
            </w:r>
            <w:r w:rsidRPr="00761625">
              <w:rPr>
                <w:sz w:val="16"/>
              </w:rPr>
              <w:t>Il s</w:t>
            </w:r>
            <w:r w:rsidR="00A20444" w:rsidRPr="00761625">
              <w:rPr>
                <w:sz w:val="16"/>
              </w:rPr>
              <w:t>’</w:t>
            </w:r>
            <w:r w:rsidRPr="00761625">
              <w:rPr>
                <w:sz w:val="16"/>
              </w:rPr>
              <w:t>agit d</w:t>
            </w:r>
            <w:r w:rsidR="00A20444" w:rsidRPr="00761625">
              <w:rPr>
                <w:sz w:val="16"/>
              </w:rPr>
              <w:t>’</w:t>
            </w:r>
            <w:r w:rsidRPr="00761625">
              <w:rPr>
                <w:sz w:val="16"/>
              </w:rPr>
              <w:t xml:space="preserve">une activité du système des </w:t>
            </w:r>
            <w:r w:rsidR="00A20444" w:rsidRPr="00761625">
              <w:rPr>
                <w:sz w:val="16"/>
              </w:rPr>
              <w:t>Nations Unies</w:t>
            </w:r>
            <w:r w:rsidRPr="00761625">
              <w:rPr>
                <w:sz w:val="16"/>
              </w:rPr>
              <w:t xml:space="preserve"> qui fait partie intégrante du processus de consultation concernant la coopération des </w:t>
            </w:r>
            <w:r w:rsidR="00A20444" w:rsidRPr="00761625">
              <w:rPr>
                <w:sz w:val="16"/>
              </w:rPr>
              <w:t>Nations Unies</w:t>
            </w:r>
            <w:r w:rsidRPr="00761625">
              <w:rPr>
                <w:sz w:val="16"/>
              </w:rPr>
              <w:t xml:space="preserve"> avec</w:t>
            </w:r>
            <w:r w:rsidR="00A20444" w:rsidRPr="00761625">
              <w:rPr>
                <w:sz w:val="16"/>
              </w:rPr>
              <w:t xml:space="preserve"> les PMA</w:t>
            </w:r>
            <w:r w:rsidRPr="00761625">
              <w:rPr>
                <w:sz w:val="16"/>
              </w:rPr>
              <w:t>.</w:t>
            </w:r>
          </w:p>
          <w:p w:rsidR="00D42474" w:rsidRDefault="00D42474" w:rsidP="001A5BF9">
            <w:pPr>
              <w:rPr>
                <w:rFonts w:cs="Arial"/>
                <w:sz w:val="8"/>
                <w:szCs w:val="8"/>
                <w:lang w:bidi="th-TH"/>
              </w:rPr>
            </w:pPr>
          </w:p>
          <w:p w:rsidR="0096696E" w:rsidRPr="005C7CCE" w:rsidRDefault="0096696E" w:rsidP="001A5BF9">
            <w:pPr>
              <w:rPr>
                <w:rFonts w:cs="Arial"/>
                <w:sz w:val="16"/>
                <w:szCs w:val="16"/>
                <w:lang w:bidi="th-TH"/>
              </w:rPr>
            </w:pPr>
            <w:r w:rsidRPr="00761625">
              <w:rPr>
                <w:sz w:val="16"/>
              </w:rPr>
              <w:t>L</w:t>
            </w:r>
            <w:r w:rsidR="00A20444" w:rsidRPr="00761625">
              <w:rPr>
                <w:sz w:val="16"/>
              </w:rPr>
              <w:t>’</w:t>
            </w:r>
            <w:r w:rsidRPr="00761625">
              <w:rPr>
                <w:sz w:val="16"/>
              </w:rPr>
              <w:t>OMPI a prêté une assistance technique et consultative</w:t>
            </w:r>
            <w:r w:rsidR="00A20444" w:rsidRPr="00761625">
              <w:rPr>
                <w:sz w:val="16"/>
              </w:rPr>
              <w:t xml:space="preserve"> aux PMA</w:t>
            </w:r>
            <w:r w:rsidRPr="00761625">
              <w:rPr>
                <w:sz w:val="16"/>
              </w:rPr>
              <w:t>, dans le cadre de la procédure d</w:t>
            </w:r>
            <w:r w:rsidR="00A20444" w:rsidRPr="00761625">
              <w:rPr>
                <w:sz w:val="16"/>
              </w:rPr>
              <w:t>’</w:t>
            </w:r>
            <w:r w:rsidRPr="00761625">
              <w:rPr>
                <w:sz w:val="16"/>
              </w:rPr>
              <w:t>évaluation des besoins de l</w:t>
            </w:r>
            <w:r w:rsidR="00A20444" w:rsidRPr="00761625">
              <w:rPr>
                <w:sz w:val="16"/>
              </w:rPr>
              <w:t>’</w:t>
            </w:r>
            <w:r w:rsidRPr="00761625">
              <w:rPr>
                <w:sz w:val="16"/>
              </w:rPr>
              <w:t>OMC pour répondre aux besoins et aux priorités</w:t>
            </w:r>
            <w:r w:rsidR="00A20444" w:rsidRPr="00761625">
              <w:rPr>
                <w:sz w:val="16"/>
              </w:rPr>
              <w:t xml:space="preserve"> des PMA</w:t>
            </w:r>
            <w:r w:rsidRPr="00761625">
              <w:rPr>
                <w:sz w:val="16"/>
              </w:rPr>
              <w:t xml:space="preserve"> dans le domaine de l</w:t>
            </w:r>
            <w:r w:rsidR="00A20444" w:rsidRPr="00761625">
              <w:rPr>
                <w:sz w:val="16"/>
              </w:rPr>
              <w:t>’</w:t>
            </w:r>
            <w:r w:rsidRPr="00761625">
              <w:rPr>
                <w:sz w:val="16"/>
              </w:rPr>
              <w:t>application de l</w:t>
            </w:r>
            <w:r w:rsidR="00A20444" w:rsidRPr="00761625">
              <w:rPr>
                <w:sz w:val="16"/>
              </w:rPr>
              <w:t>’</w:t>
            </w:r>
            <w:r w:rsidRPr="00761625">
              <w:rPr>
                <w:sz w:val="16"/>
              </w:rPr>
              <w:t>Accord sur</w:t>
            </w:r>
            <w:r w:rsidR="00A20444" w:rsidRPr="00761625">
              <w:rPr>
                <w:sz w:val="16"/>
              </w:rPr>
              <w:t xml:space="preserve"> les ADP</w:t>
            </w:r>
            <w:r w:rsidRPr="00761625">
              <w:rPr>
                <w:sz w:val="16"/>
              </w:rPr>
              <w:t>IC pendant leur période de grâce.</w:t>
            </w:r>
            <w:r w:rsidR="004F3E42" w:rsidRPr="00761625">
              <w:rPr>
                <w:sz w:val="16"/>
              </w:rPr>
              <w:t xml:space="preserve"> </w:t>
            </w:r>
            <w:r w:rsidR="0010442A" w:rsidRPr="00761625">
              <w:rPr>
                <w:sz w:val="16"/>
              </w:rPr>
              <w:t xml:space="preserve"> </w:t>
            </w:r>
            <w:r w:rsidRPr="00761625">
              <w:rPr>
                <w:sz w:val="16"/>
              </w:rPr>
              <w:t>L</w:t>
            </w:r>
            <w:r w:rsidR="00A20444" w:rsidRPr="00761625">
              <w:rPr>
                <w:sz w:val="16"/>
              </w:rPr>
              <w:t>’</w:t>
            </w:r>
            <w:r w:rsidRPr="00761625">
              <w:rPr>
                <w:sz w:val="16"/>
              </w:rPr>
              <w:t xml:space="preserve">OMPI a participé activement aux programmes régionaux, </w:t>
            </w:r>
            <w:proofErr w:type="spellStart"/>
            <w:r w:rsidRPr="00761625">
              <w:rPr>
                <w:sz w:val="16"/>
              </w:rPr>
              <w:t>sous</w:t>
            </w:r>
            <w:r w:rsidR="002D6F2A" w:rsidRPr="00761625">
              <w:rPr>
                <w:sz w:val="16"/>
              </w:rPr>
              <w:noBreakHyphen/>
            </w:r>
            <w:r w:rsidRPr="00761625">
              <w:rPr>
                <w:sz w:val="16"/>
              </w:rPr>
              <w:t>régionaux</w:t>
            </w:r>
            <w:proofErr w:type="spellEnd"/>
            <w:r w:rsidRPr="00761625">
              <w:rPr>
                <w:sz w:val="16"/>
              </w:rPr>
              <w:t xml:space="preserve"> et nationaux organisés par l</w:t>
            </w:r>
            <w:r w:rsidR="00A20444" w:rsidRPr="00761625">
              <w:rPr>
                <w:sz w:val="16"/>
              </w:rPr>
              <w:t>’</w:t>
            </w:r>
            <w:r w:rsidRPr="00761625">
              <w:rPr>
                <w:sz w:val="16"/>
              </w:rPr>
              <w:t>OMC à l</w:t>
            </w:r>
            <w:r w:rsidR="00A20444" w:rsidRPr="00761625">
              <w:rPr>
                <w:sz w:val="16"/>
              </w:rPr>
              <w:t>’</w:t>
            </w:r>
            <w:r w:rsidRPr="00761625">
              <w:rPr>
                <w:sz w:val="16"/>
              </w:rPr>
              <w:t>intention des PMA.</w:t>
            </w:r>
          </w:p>
        </w:tc>
        <w:tc>
          <w:tcPr>
            <w:tcW w:w="1197" w:type="dxa"/>
            <w:gridSpan w:val="2"/>
            <w:shd w:val="clear" w:color="auto" w:fill="auto"/>
            <w:tcMar>
              <w:top w:w="110" w:type="dxa"/>
            </w:tcMar>
          </w:tcPr>
          <w:p w:rsidR="0096696E" w:rsidRPr="005C7CCE" w:rsidRDefault="0015421B" w:rsidP="001A5BF9">
            <w:pPr>
              <w:keepNext/>
              <w:keepLines/>
              <w:jc w:val="center"/>
              <w:rPr>
                <w:rFonts w:cs="Arial"/>
                <w:bCs/>
                <w:color w:val="008000"/>
                <w:sz w:val="16"/>
                <w:szCs w:val="16"/>
              </w:rPr>
            </w:pPr>
            <w:r w:rsidRPr="0015421B">
              <w:rPr>
                <w:color w:val="E36C0A"/>
                <w:sz w:val="16"/>
              </w:rPr>
              <w:t>Objectif partiellement atteint</w:t>
            </w:r>
          </w:p>
        </w:tc>
      </w:tr>
    </w:tbl>
    <w:p w:rsidR="00D42474" w:rsidRDefault="00D42474" w:rsidP="001A5BF9">
      <w:pPr>
        <w:rPr>
          <w:szCs w:val="22"/>
        </w:rPr>
      </w:pPr>
    </w:p>
    <w:p w:rsidR="00D42474" w:rsidRDefault="00D42474" w:rsidP="001A5BF9">
      <w:pPr>
        <w:rPr>
          <w:szCs w:val="22"/>
        </w:rPr>
      </w:pPr>
    </w:p>
    <w:p w:rsidR="00D42474" w:rsidRDefault="00761625">
      <w:pPr>
        <w:rPr>
          <w:rFonts w:cs="Arial"/>
          <w:sz w:val="22"/>
          <w:szCs w:val="18"/>
        </w:rPr>
      </w:pPr>
      <w:r>
        <w:rPr>
          <w:sz w:val="22"/>
        </w:rPr>
        <w:br w:type="page"/>
      </w:r>
    </w:p>
    <w:p w:rsidR="00D42474" w:rsidRDefault="0096696E" w:rsidP="001A5BF9">
      <w:pPr>
        <w:pStyle w:val="NormalWeb"/>
        <w:spacing w:before="0" w:beforeAutospacing="0" w:after="0" w:afterAutospacing="0"/>
        <w:rPr>
          <w:sz w:val="22"/>
          <w:szCs w:val="22"/>
        </w:rPr>
      </w:pPr>
      <w:r w:rsidRPr="00761625">
        <w:rPr>
          <w:sz w:val="22"/>
        </w:rPr>
        <w:t>BUDGET ET DÉPENSES EFFECTIVES</w:t>
      </w:r>
    </w:p>
    <w:p w:rsidR="00D42474" w:rsidRDefault="00D42474" w:rsidP="001A5BF9">
      <w:pPr>
        <w:pStyle w:val="NormalWeb"/>
        <w:spacing w:before="0" w:beforeAutospacing="0" w:after="0" w:afterAutospacing="0"/>
        <w:jc w:val="center"/>
        <w:rPr>
          <w:sz w:val="22"/>
          <w:szCs w:val="22"/>
        </w:rPr>
      </w:pPr>
    </w:p>
    <w:p w:rsidR="00D42474" w:rsidRDefault="0096696E" w:rsidP="001A5BF9">
      <w:pPr>
        <w:pStyle w:val="NormalWeb"/>
        <w:spacing w:before="0" w:beforeAutospacing="0" w:after="0" w:afterAutospacing="0"/>
        <w:jc w:val="center"/>
        <w:rPr>
          <w:sz w:val="20"/>
          <w:szCs w:val="20"/>
        </w:rPr>
      </w:pPr>
      <w:r w:rsidRPr="00761625">
        <w:rPr>
          <w:sz w:val="20"/>
        </w:rPr>
        <w:t>Budget et dépenses effectives (par résultat)</w:t>
      </w:r>
    </w:p>
    <w:p w:rsidR="00D42474" w:rsidRDefault="0096696E" w:rsidP="001A5BF9">
      <w:pPr>
        <w:pStyle w:val="NormalWeb"/>
        <w:spacing w:before="0" w:beforeAutospacing="0" w:after="0" w:afterAutospacing="0"/>
        <w:jc w:val="center"/>
        <w:rPr>
          <w:i/>
          <w:iCs/>
          <w:sz w:val="20"/>
          <w:szCs w:val="20"/>
        </w:rPr>
      </w:pPr>
      <w:r w:rsidRPr="00761625">
        <w:rPr>
          <w:i/>
          <w:sz w:val="20"/>
        </w:rPr>
        <w:t>(</w:t>
      </w:r>
      <w:proofErr w:type="gramStart"/>
      <w:r w:rsidRPr="00761625">
        <w:rPr>
          <w:i/>
          <w:sz w:val="20"/>
        </w:rPr>
        <w:t>en</w:t>
      </w:r>
      <w:proofErr w:type="gramEnd"/>
      <w:r w:rsidRPr="00761625">
        <w:rPr>
          <w:i/>
          <w:sz w:val="20"/>
        </w:rPr>
        <w:t xml:space="preserve"> milliers de francs suisses)</w:t>
      </w:r>
    </w:p>
    <w:p w:rsidR="0096696E" w:rsidRPr="00761625" w:rsidRDefault="0096696E" w:rsidP="001A5BF9">
      <w:pPr>
        <w:rPr>
          <w:sz w:val="16"/>
          <w:szCs w:val="16"/>
        </w:rPr>
      </w:pPr>
    </w:p>
    <w:tbl>
      <w:tblPr>
        <w:tblW w:w="0" w:type="auto"/>
        <w:tblInd w:w="108" w:type="dxa"/>
        <w:tblLayout w:type="fixed"/>
        <w:tblLook w:val="04A0" w:firstRow="1" w:lastRow="0" w:firstColumn="1" w:lastColumn="0" w:noHBand="0" w:noVBand="1"/>
      </w:tblPr>
      <w:tblGrid>
        <w:gridCol w:w="670"/>
        <w:gridCol w:w="4008"/>
        <w:gridCol w:w="1559"/>
        <w:gridCol w:w="1559"/>
        <w:gridCol w:w="1560"/>
      </w:tblGrid>
      <w:tr w:rsidR="0096696E" w:rsidRPr="00761625" w:rsidTr="00F76B10">
        <w:trPr>
          <w:cantSplit/>
        </w:trPr>
        <w:tc>
          <w:tcPr>
            <w:tcW w:w="4678"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761625" w:rsidRDefault="0096696E" w:rsidP="001A5BF9">
            <w:pPr>
              <w:spacing w:before="120" w:after="120"/>
              <w:jc w:val="center"/>
              <w:rPr>
                <w:rFonts w:cs="Arial"/>
                <w:bCs/>
                <w:sz w:val="16"/>
                <w:szCs w:val="16"/>
              </w:rPr>
            </w:pPr>
            <w:r w:rsidRPr="00761625">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96696E" w:rsidRPr="00761625" w:rsidRDefault="0096696E" w:rsidP="001A5BF9">
            <w:pPr>
              <w:spacing w:before="120" w:after="120"/>
              <w:jc w:val="center"/>
              <w:rPr>
                <w:rFonts w:cs="Arial"/>
                <w:bCs/>
                <w:sz w:val="16"/>
                <w:szCs w:val="16"/>
              </w:rPr>
            </w:pPr>
            <w:r w:rsidRPr="00761625">
              <w:rPr>
                <w:sz w:val="16"/>
              </w:rPr>
              <w:t>Budget</w:t>
            </w:r>
            <w:r w:rsidRPr="00761625">
              <w:br/>
            </w:r>
            <w:r w:rsidRPr="00761625">
              <w:rPr>
                <w:sz w:val="16"/>
              </w:rPr>
              <w:t>2012–2013 approuvé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96696E" w:rsidRPr="00761625" w:rsidRDefault="0096696E" w:rsidP="001A5BF9">
            <w:pPr>
              <w:spacing w:before="120" w:after="120"/>
              <w:jc w:val="center"/>
              <w:rPr>
                <w:rFonts w:cs="Arial"/>
                <w:bCs/>
                <w:sz w:val="16"/>
                <w:szCs w:val="16"/>
              </w:rPr>
            </w:pPr>
            <w:r w:rsidRPr="00761625">
              <w:rPr>
                <w:sz w:val="16"/>
              </w:rPr>
              <w:t>Budget</w:t>
            </w:r>
            <w:r w:rsidRPr="00761625">
              <w:br/>
            </w:r>
            <w:r w:rsidRPr="00761625">
              <w:rPr>
                <w:sz w:val="16"/>
              </w:rPr>
              <w:t>2012</w:t>
            </w:r>
            <w:r w:rsidR="002D6F2A" w:rsidRPr="00761625">
              <w:rPr>
                <w:sz w:val="16"/>
              </w:rPr>
              <w:noBreakHyphen/>
            </w:r>
            <w:r w:rsidRPr="00761625">
              <w:rPr>
                <w:sz w:val="16"/>
              </w:rPr>
              <w:t>2013 après virements</w:t>
            </w:r>
          </w:p>
        </w:tc>
        <w:tc>
          <w:tcPr>
            <w:tcW w:w="1560" w:type="dxa"/>
            <w:tcBorders>
              <w:top w:val="single" w:sz="4" w:space="0" w:color="auto"/>
              <w:left w:val="nil"/>
              <w:bottom w:val="single" w:sz="4" w:space="0" w:color="auto"/>
              <w:right w:val="single" w:sz="4" w:space="0" w:color="auto"/>
            </w:tcBorders>
            <w:shd w:val="clear" w:color="000000" w:fill="CCFFFF"/>
            <w:vAlign w:val="center"/>
          </w:tcPr>
          <w:p w:rsidR="0096696E" w:rsidRPr="00761625" w:rsidRDefault="0096696E" w:rsidP="001A5BF9">
            <w:pPr>
              <w:spacing w:before="120" w:after="120"/>
              <w:jc w:val="center"/>
              <w:rPr>
                <w:rFonts w:cs="Arial"/>
                <w:bCs/>
                <w:sz w:val="16"/>
                <w:szCs w:val="16"/>
              </w:rPr>
            </w:pPr>
            <w:r w:rsidRPr="00761625">
              <w:rPr>
                <w:sz w:val="16"/>
              </w:rPr>
              <w:t>Dépenses</w:t>
            </w:r>
            <w:r w:rsidRPr="00761625">
              <w:br/>
            </w:r>
            <w:r w:rsidRPr="00761625">
              <w:rPr>
                <w:sz w:val="16"/>
              </w:rPr>
              <w:t>2012</w:t>
            </w:r>
            <w:r w:rsidR="002D6F2A" w:rsidRPr="00761625">
              <w:rPr>
                <w:sz w:val="16"/>
              </w:rPr>
              <w:noBreakHyphen/>
            </w:r>
            <w:r w:rsidRPr="00761625">
              <w:rPr>
                <w:sz w:val="16"/>
              </w:rPr>
              <w:t>2013</w:t>
            </w:r>
          </w:p>
        </w:tc>
      </w:tr>
      <w:tr w:rsidR="0096696E" w:rsidRPr="00761625" w:rsidTr="00F76B10">
        <w:trPr>
          <w:cantSplit/>
        </w:trPr>
        <w:tc>
          <w:tcPr>
            <w:tcW w:w="670" w:type="dxa"/>
            <w:tcBorders>
              <w:top w:val="single" w:sz="4" w:space="0" w:color="auto"/>
              <w:left w:val="single" w:sz="4" w:space="0" w:color="auto"/>
            </w:tcBorders>
            <w:shd w:val="clear" w:color="000000" w:fill="FFFFFF"/>
            <w:noWrap/>
          </w:tcPr>
          <w:p w:rsidR="0096696E" w:rsidRPr="00761625" w:rsidRDefault="0096696E" w:rsidP="001A5BF9">
            <w:pPr>
              <w:spacing w:before="120"/>
              <w:jc w:val="center"/>
              <w:rPr>
                <w:rFonts w:cs="Arial"/>
                <w:sz w:val="16"/>
                <w:szCs w:val="16"/>
              </w:rPr>
            </w:pPr>
            <w:proofErr w:type="spellStart"/>
            <w:r w:rsidRPr="00761625">
              <w:rPr>
                <w:sz w:val="16"/>
              </w:rPr>
              <w:t>I.4</w:t>
            </w:r>
            <w:proofErr w:type="spellEnd"/>
          </w:p>
        </w:tc>
        <w:tc>
          <w:tcPr>
            <w:tcW w:w="4008" w:type="dxa"/>
            <w:tcBorders>
              <w:top w:val="single" w:sz="4" w:space="0" w:color="auto"/>
            </w:tcBorders>
            <w:shd w:val="clear" w:color="000000" w:fill="FFFFFF"/>
          </w:tcPr>
          <w:p w:rsidR="0096696E" w:rsidRPr="00761625" w:rsidRDefault="0096696E" w:rsidP="001A5BF9">
            <w:pPr>
              <w:spacing w:before="120"/>
              <w:rPr>
                <w:rFonts w:cs="Arial"/>
                <w:sz w:val="16"/>
                <w:szCs w:val="16"/>
              </w:rPr>
            </w:pPr>
            <w:r w:rsidRPr="00761625">
              <w:rPr>
                <w:sz w:val="16"/>
              </w:rPr>
              <w:t>Cadres législatifs</w:t>
            </w:r>
            <w:r w:rsidR="004F3E42" w:rsidRPr="00761625">
              <w:rPr>
                <w:sz w:val="16"/>
              </w:rPr>
              <w:t xml:space="preserve"> </w:t>
            </w:r>
            <w:r w:rsidRPr="00761625">
              <w:rPr>
                <w:sz w:val="16"/>
              </w:rPr>
              <w:t>réglementaires et politiques de propriété intellectuelle adaptés et équilibrés</w:t>
            </w:r>
          </w:p>
        </w:tc>
        <w:tc>
          <w:tcPr>
            <w:tcW w:w="1559" w:type="dxa"/>
            <w:tcBorders>
              <w:top w:val="single" w:sz="4" w:space="0" w:color="auto"/>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3 433 </w:t>
            </w:r>
          </w:p>
        </w:tc>
        <w:tc>
          <w:tcPr>
            <w:tcW w:w="1559" w:type="dxa"/>
            <w:tcBorders>
              <w:top w:val="single" w:sz="4" w:space="0" w:color="auto"/>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3 583 </w:t>
            </w:r>
          </w:p>
        </w:tc>
        <w:tc>
          <w:tcPr>
            <w:tcW w:w="1560" w:type="dxa"/>
            <w:tcBorders>
              <w:top w:val="single" w:sz="4" w:space="0" w:color="auto"/>
              <w:right w:val="single" w:sz="4" w:space="0" w:color="auto"/>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3,158</w:t>
            </w:r>
          </w:p>
        </w:tc>
      </w:tr>
      <w:tr w:rsidR="0096696E" w:rsidRPr="00761625" w:rsidTr="00F76B10">
        <w:trPr>
          <w:cantSplit/>
        </w:trPr>
        <w:tc>
          <w:tcPr>
            <w:tcW w:w="670" w:type="dxa"/>
            <w:tcBorders>
              <w:left w:val="single" w:sz="4" w:space="0" w:color="auto"/>
            </w:tcBorders>
            <w:shd w:val="clear" w:color="000000" w:fill="FFFFFF"/>
            <w:noWrap/>
          </w:tcPr>
          <w:p w:rsidR="0096696E" w:rsidRPr="00761625" w:rsidRDefault="0096696E" w:rsidP="001A5BF9">
            <w:pPr>
              <w:spacing w:before="120"/>
              <w:jc w:val="center"/>
              <w:rPr>
                <w:rFonts w:cs="Arial"/>
                <w:sz w:val="16"/>
                <w:szCs w:val="16"/>
              </w:rPr>
            </w:pPr>
            <w:proofErr w:type="spellStart"/>
            <w:r w:rsidRPr="00761625">
              <w:rPr>
                <w:sz w:val="16"/>
              </w:rPr>
              <w:t>III.1</w:t>
            </w:r>
            <w:proofErr w:type="spellEnd"/>
          </w:p>
        </w:tc>
        <w:tc>
          <w:tcPr>
            <w:tcW w:w="4008" w:type="dxa"/>
            <w:shd w:val="clear" w:color="000000" w:fill="FFFFFF"/>
          </w:tcPr>
          <w:p w:rsidR="0096696E" w:rsidRPr="00761625" w:rsidRDefault="0096696E" w:rsidP="001A5BF9">
            <w:pPr>
              <w:spacing w:before="120"/>
              <w:rPr>
                <w:rFonts w:cs="Arial"/>
                <w:sz w:val="16"/>
                <w:szCs w:val="16"/>
              </w:rPr>
            </w:pPr>
            <w:r w:rsidRPr="00761625">
              <w:rPr>
                <w:sz w:val="16"/>
              </w:rPr>
              <w:t>Politiques</w:t>
            </w:r>
            <w:r w:rsidR="004F3E42" w:rsidRPr="00761625">
              <w:rPr>
                <w:sz w:val="16"/>
              </w:rPr>
              <w:t xml:space="preserve"> </w:t>
            </w:r>
            <w:r w:rsidRPr="00761625">
              <w:rPr>
                <w:sz w:val="16"/>
              </w:rPr>
              <w:t>stratégies et plans de développement nationaux clairement définis et cohérents en matière d</w:t>
            </w:r>
            <w:r w:rsidR="00A20444" w:rsidRPr="00761625">
              <w:rPr>
                <w:sz w:val="16"/>
              </w:rPr>
              <w:t>’</w:t>
            </w:r>
            <w:r w:rsidRPr="00761625">
              <w:rPr>
                <w:sz w:val="16"/>
              </w:rPr>
              <w:t>innovation et de propriété intellectuelle</w:t>
            </w:r>
            <w:r w:rsidR="004F3E42" w:rsidRPr="00761625">
              <w:rPr>
                <w:sz w:val="16"/>
              </w:rPr>
              <w:t xml:space="preserve"> </w:t>
            </w:r>
            <w:r w:rsidRPr="00761625">
              <w:rPr>
                <w:sz w:val="16"/>
              </w:rPr>
              <w:t>conformes aux objectifs et aux priorités de développement à l</w:t>
            </w:r>
            <w:r w:rsidR="00A20444" w:rsidRPr="00761625">
              <w:rPr>
                <w:sz w:val="16"/>
              </w:rPr>
              <w:t>’</w:t>
            </w:r>
            <w:r w:rsidRPr="00761625">
              <w:rPr>
                <w:sz w:val="16"/>
              </w:rPr>
              <w:t>échelle nationale</w:t>
            </w:r>
          </w:p>
        </w:tc>
        <w:tc>
          <w:tcPr>
            <w:tcW w:w="1559" w:type="dxa"/>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8 363 </w:t>
            </w:r>
          </w:p>
        </w:tc>
        <w:tc>
          <w:tcPr>
            <w:tcW w:w="1559" w:type="dxa"/>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10 235 </w:t>
            </w:r>
          </w:p>
        </w:tc>
        <w:tc>
          <w:tcPr>
            <w:tcW w:w="1560" w:type="dxa"/>
            <w:tcBorders>
              <w:right w:val="single" w:sz="4" w:space="0" w:color="auto"/>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9,356</w:t>
            </w:r>
          </w:p>
        </w:tc>
      </w:tr>
      <w:tr w:rsidR="0096696E" w:rsidRPr="00761625" w:rsidTr="00F76B10">
        <w:trPr>
          <w:cantSplit/>
        </w:trPr>
        <w:tc>
          <w:tcPr>
            <w:tcW w:w="670" w:type="dxa"/>
            <w:tcBorders>
              <w:left w:val="single" w:sz="4" w:space="0" w:color="auto"/>
            </w:tcBorders>
            <w:shd w:val="clear" w:color="000000" w:fill="FFFFFF"/>
            <w:noWrap/>
          </w:tcPr>
          <w:p w:rsidR="0096696E" w:rsidRPr="00761625" w:rsidRDefault="0096696E" w:rsidP="001A5BF9">
            <w:pPr>
              <w:spacing w:before="120"/>
              <w:jc w:val="center"/>
              <w:rPr>
                <w:rFonts w:cs="Arial"/>
                <w:sz w:val="16"/>
                <w:szCs w:val="16"/>
              </w:rPr>
            </w:pPr>
            <w:proofErr w:type="spellStart"/>
            <w:r w:rsidRPr="00761625">
              <w:rPr>
                <w:sz w:val="16"/>
              </w:rPr>
              <w:t>III.2</w:t>
            </w:r>
            <w:proofErr w:type="spellEnd"/>
          </w:p>
        </w:tc>
        <w:tc>
          <w:tcPr>
            <w:tcW w:w="4008" w:type="dxa"/>
            <w:shd w:val="clear" w:color="000000" w:fill="FFFFFF"/>
          </w:tcPr>
          <w:p w:rsidR="0096696E" w:rsidRPr="00761625" w:rsidRDefault="0096696E" w:rsidP="001A5BF9">
            <w:pPr>
              <w:spacing w:before="120"/>
              <w:rPr>
                <w:rFonts w:cs="Arial"/>
                <w:sz w:val="16"/>
                <w:szCs w:val="16"/>
              </w:rPr>
            </w:pPr>
            <w:r w:rsidRPr="00761625">
              <w:rPr>
                <w:sz w:val="16"/>
              </w:rPr>
              <w:t>Renforcement des capacités en matière de ressources humaines pour pouvoir répondre aux nombreuses exigences en ce qui concerne l</w:t>
            </w:r>
            <w:r w:rsidR="00A20444" w:rsidRPr="00761625">
              <w:rPr>
                <w:sz w:val="16"/>
              </w:rPr>
              <w:t>’</w:t>
            </w:r>
            <w:r w:rsidRPr="00761625">
              <w:rPr>
                <w:sz w:val="16"/>
              </w:rPr>
              <w:t>utilisation efficace de la propriété intellectuelle au service du développement dans les pays en développement</w:t>
            </w:r>
            <w:r w:rsidR="00A20444" w:rsidRPr="00761625">
              <w:rPr>
                <w:sz w:val="16"/>
              </w:rPr>
              <w:t xml:space="preserve"> les PMA</w:t>
            </w:r>
            <w:r w:rsidRPr="00761625">
              <w:rPr>
                <w:sz w:val="16"/>
              </w:rPr>
              <w:t xml:space="preserve"> et les pays en transition</w:t>
            </w:r>
          </w:p>
        </w:tc>
        <w:tc>
          <w:tcPr>
            <w:tcW w:w="1559" w:type="dxa"/>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15 420 </w:t>
            </w:r>
          </w:p>
        </w:tc>
        <w:tc>
          <w:tcPr>
            <w:tcW w:w="1559" w:type="dxa"/>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14 839 </w:t>
            </w:r>
          </w:p>
        </w:tc>
        <w:tc>
          <w:tcPr>
            <w:tcW w:w="1560" w:type="dxa"/>
            <w:tcBorders>
              <w:right w:val="single" w:sz="4" w:space="0" w:color="auto"/>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14,923 </w:t>
            </w:r>
          </w:p>
        </w:tc>
      </w:tr>
      <w:tr w:rsidR="0096696E" w:rsidRPr="00761625" w:rsidTr="00F76B10">
        <w:trPr>
          <w:cantSplit/>
        </w:trPr>
        <w:tc>
          <w:tcPr>
            <w:tcW w:w="670" w:type="dxa"/>
            <w:tcBorders>
              <w:left w:val="single" w:sz="4" w:space="0" w:color="auto"/>
            </w:tcBorders>
            <w:shd w:val="clear" w:color="000000" w:fill="FFFFFF"/>
            <w:noWrap/>
          </w:tcPr>
          <w:p w:rsidR="0096696E" w:rsidRPr="00761625" w:rsidRDefault="0096696E" w:rsidP="001A5BF9">
            <w:pPr>
              <w:spacing w:before="120"/>
              <w:jc w:val="center"/>
              <w:rPr>
                <w:rFonts w:cs="Arial"/>
                <w:sz w:val="16"/>
                <w:szCs w:val="16"/>
              </w:rPr>
            </w:pPr>
            <w:proofErr w:type="spellStart"/>
            <w:r w:rsidRPr="00761625">
              <w:rPr>
                <w:sz w:val="16"/>
              </w:rPr>
              <w:t>III.3</w:t>
            </w:r>
            <w:proofErr w:type="spellEnd"/>
          </w:p>
        </w:tc>
        <w:tc>
          <w:tcPr>
            <w:tcW w:w="4008" w:type="dxa"/>
            <w:shd w:val="clear" w:color="000000" w:fill="FFFFFF"/>
          </w:tcPr>
          <w:p w:rsidR="0096696E" w:rsidRPr="00761625" w:rsidRDefault="0096696E" w:rsidP="001A5BF9">
            <w:pPr>
              <w:spacing w:before="120"/>
              <w:rPr>
                <w:rFonts w:cs="Arial"/>
                <w:sz w:val="16"/>
                <w:szCs w:val="16"/>
              </w:rPr>
            </w:pPr>
            <w:r w:rsidRPr="00761625">
              <w:rPr>
                <w:sz w:val="16"/>
              </w:rPr>
              <w:t>Renforcement ou établissement de mécanismes</w:t>
            </w:r>
            <w:r w:rsidR="004F3E42" w:rsidRPr="00761625">
              <w:rPr>
                <w:sz w:val="16"/>
              </w:rPr>
              <w:t xml:space="preserve"> </w:t>
            </w:r>
            <w:r w:rsidRPr="00761625">
              <w:rPr>
                <w:sz w:val="16"/>
              </w:rPr>
              <w:t>de programmes et de partenariats de coopération dans</w:t>
            </w:r>
            <w:r w:rsidR="00A20444" w:rsidRPr="00761625">
              <w:rPr>
                <w:sz w:val="16"/>
              </w:rPr>
              <w:t xml:space="preserve"> les PMA</w:t>
            </w:r>
          </w:p>
        </w:tc>
        <w:tc>
          <w:tcPr>
            <w:tcW w:w="1559" w:type="dxa"/>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1 517 </w:t>
            </w:r>
          </w:p>
        </w:tc>
        <w:tc>
          <w:tcPr>
            <w:tcW w:w="1559" w:type="dxa"/>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1 057 </w:t>
            </w:r>
          </w:p>
        </w:tc>
        <w:tc>
          <w:tcPr>
            <w:tcW w:w="1560" w:type="dxa"/>
            <w:tcBorders>
              <w:right w:val="single" w:sz="4" w:space="0" w:color="auto"/>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941 </w:t>
            </w:r>
          </w:p>
        </w:tc>
      </w:tr>
      <w:tr w:rsidR="0096696E" w:rsidRPr="00761625" w:rsidTr="00F76B10">
        <w:trPr>
          <w:cantSplit/>
        </w:trPr>
        <w:tc>
          <w:tcPr>
            <w:tcW w:w="670" w:type="dxa"/>
            <w:tcBorders>
              <w:left w:val="single" w:sz="4" w:space="0" w:color="auto"/>
              <w:bottom w:val="nil"/>
              <w:right w:val="nil"/>
            </w:tcBorders>
            <w:shd w:val="clear" w:color="000000" w:fill="FFFFFF"/>
            <w:noWrap/>
          </w:tcPr>
          <w:p w:rsidR="0096696E" w:rsidRPr="00761625" w:rsidRDefault="0096696E" w:rsidP="001A5BF9">
            <w:pPr>
              <w:spacing w:before="120"/>
              <w:jc w:val="center"/>
              <w:rPr>
                <w:rFonts w:cs="Arial"/>
                <w:sz w:val="16"/>
                <w:szCs w:val="16"/>
              </w:rPr>
            </w:pPr>
            <w:proofErr w:type="spellStart"/>
            <w:r w:rsidRPr="00761625">
              <w:rPr>
                <w:sz w:val="16"/>
              </w:rPr>
              <w:t>III.5</w:t>
            </w:r>
            <w:proofErr w:type="spellEnd"/>
          </w:p>
        </w:tc>
        <w:tc>
          <w:tcPr>
            <w:tcW w:w="4008" w:type="dxa"/>
            <w:tcBorders>
              <w:left w:val="nil"/>
              <w:bottom w:val="nil"/>
              <w:right w:val="nil"/>
            </w:tcBorders>
            <w:shd w:val="clear" w:color="000000" w:fill="FFFFFF"/>
          </w:tcPr>
          <w:p w:rsidR="0096696E" w:rsidRPr="00761625" w:rsidRDefault="0096696E" w:rsidP="001A5BF9">
            <w:pPr>
              <w:spacing w:before="120"/>
              <w:rPr>
                <w:rFonts w:cs="Arial"/>
                <w:sz w:val="16"/>
                <w:szCs w:val="16"/>
              </w:rPr>
            </w:pPr>
            <w:r w:rsidRPr="00761625">
              <w:rPr>
                <w:sz w:val="16"/>
              </w:rPr>
              <w:t>Mise à niveau des compétences en matière de gestion de la propriété intellectuelle pour les entreprises </w:t>
            </w:r>
          </w:p>
        </w:tc>
        <w:tc>
          <w:tcPr>
            <w:tcW w:w="1559" w:type="dxa"/>
            <w:tcBorders>
              <w:left w:val="nil"/>
              <w:bottom w:val="nil"/>
              <w:right w:val="nil"/>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120 </w:t>
            </w:r>
          </w:p>
        </w:tc>
        <w:tc>
          <w:tcPr>
            <w:tcW w:w="1559" w:type="dxa"/>
            <w:tcBorders>
              <w:left w:val="nil"/>
              <w:bottom w:val="nil"/>
              <w:right w:val="nil"/>
            </w:tcBorders>
            <w:shd w:val="clear" w:color="auto" w:fill="auto"/>
            <w:vAlign w:val="center"/>
          </w:tcPr>
          <w:p w:rsidR="0096696E" w:rsidRPr="00761625" w:rsidRDefault="0096696E" w:rsidP="001A5BF9">
            <w:pPr>
              <w:spacing w:before="120"/>
              <w:jc w:val="right"/>
              <w:rPr>
                <w:rFonts w:cs="Arial"/>
                <w:sz w:val="16"/>
                <w:szCs w:val="16"/>
              </w:rPr>
            </w:pPr>
            <w:r w:rsidRPr="00761625">
              <w:rPr>
                <w:sz w:val="16"/>
              </w:rPr>
              <w:t xml:space="preserve">1 366 </w:t>
            </w:r>
          </w:p>
        </w:tc>
        <w:tc>
          <w:tcPr>
            <w:tcW w:w="1560" w:type="dxa"/>
            <w:tcBorders>
              <w:left w:val="nil"/>
              <w:bottom w:val="nil"/>
              <w:right w:val="single" w:sz="4" w:space="0" w:color="auto"/>
            </w:tcBorders>
            <w:shd w:val="clear" w:color="auto" w:fill="auto"/>
            <w:vAlign w:val="center"/>
          </w:tcPr>
          <w:p w:rsidR="0096696E" w:rsidRPr="00761625" w:rsidRDefault="0096696E" w:rsidP="001A5BF9">
            <w:pPr>
              <w:spacing w:before="120"/>
              <w:jc w:val="right"/>
              <w:rPr>
                <w:rFonts w:cs="Arial"/>
                <w:sz w:val="16"/>
                <w:szCs w:val="16"/>
              </w:rPr>
            </w:pPr>
            <w:r w:rsidRPr="00761625">
              <w:rPr>
                <w:sz w:val="16"/>
              </w:rPr>
              <w:t xml:space="preserve">1,305 </w:t>
            </w:r>
          </w:p>
        </w:tc>
      </w:tr>
      <w:tr w:rsidR="0096696E" w:rsidRPr="00761625" w:rsidTr="00F76B10">
        <w:trPr>
          <w:cantSplit/>
        </w:trPr>
        <w:tc>
          <w:tcPr>
            <w:tcW w:w="670" w:type="dxa"/>
            <w:tcBorders>
              <w:top w:val="nil"/>
              <w:left w:val="single" w:sz="4" w:space="0" w:color="auto"/>
              <w:bottom w:val="nil"/>
              <w:right w:val="nil"/>
            </w:tcBorders>
            <w:shd w:val="clear" w:color="000000" w:fill="FFFFFF"/>
            <w:noWrap/>
          </w:tcPr>
          <w:p w:rsidR="0096696E" w:rsidRPr="00761625" w:rsidRDefault="0096696E" w:rsidP="001A5BF9">
            <w:pPr>
              <w:spacing w:before="120"/>
              <w:jc w:val="center"/>
              <w:rPr>
                <w:rFonts w:cs="Arial"/>
                <w:sz w:val="16"/>
                <w:szCs w:val="16"/>
              </w:rPr>
            </w:pPr>
            <w:proofErr w:type="spellStart"/>
            <w:r w:rsidRPr="00761625">
              <w:rPr>
                <w:sz w:val="16"/>
              </w:rPr>
              <w:t>III.6</w:t>
            </w:r>
            <w:proofErr w:type="spellEnd"/>
          </w:p>
        </w:tc>
        <w:tc>
          <w:tcPr>
            <w:tcW w:w="4008" w:type="dxa"/>
            <w:tcBorders>
              <w:top w:val="nil"/>
              <w:left w:val="nil"/>
              <w:bottom w:val="nil"/>
              <w:right w:val="nil"/>
            </w:tcBorders>
            <w:shd w:val="clear" w:color="000000" w:fill="FFFFFF"/>
          </w:tcPr>
          <w:p w:rsidR="0096696E" w:rsidRPr="00761625" w:rsidRDefault="0096696E" w:rsidP="001A5BF9">
            <w:pPr>
              <w:spacing w:before="120"/>
              <w:rPr>
                <w:rFonts w:cs="Arial"/>
                <w:sz w:val="16"/>
                <w:szCs w:val="16"/>
              </w:rPr>
            </w:pPr>
            <w:r w:rsidRPr="00761625">
              <w:rPr>
                <w:sz w:val="16"/>
              </w:rPr>
              <w:t>Principes du Plan d</w:t>
            </w:r>
            <w:r w:rsidR="00A20444" w:rsidRPr="00761625">
              <w:rPr>
                <w:sz w:val="16"/>
              </w:rPr>
              <w:t>’</w:t>
            </w:r>
            <w:r w:rsidRPr="00761625">
              <w:rPr>
                <w:sz w:val="16"/>
              </w:rPr>
              <w:t>action pour le développement intégrés dans les programmes et activités de l</w:t>
            </w:r>
            <w:r w:rsidR="00A20444" w:rsidRPr="00761625">
              <w:rPr>
                <w:sz w:val="16"/>
              </w:rPr>
              <w:t>’</w:t>
            </w:r>
            <w:r w:rsidRPr="00761625">
              <w:rPr>
                <w:sz w:val="16"/>
              </w:rPr>
              <w:t>Organisation</w:t>
            </w:r>
          </w:p>
        </w:tc>
        <w:tc>
          <w:tcPr>
            <w:tcW w:w="1559" w:type="dxa"/>
            <w:tcBorders>
              <w:top w:val="nil"/>
              <w:left w:val="nil"/>
              <w:bottom w:val="nil"/>
              <w:right w:val="nil"/>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1 418 </w:t>
            </w:r>
          </w:p>
        </w:tc>
        <w:tc>
          <w:tcPr>
            <w:tcW w:w="1559" w:type="dxa"/>
            <w:tcBorders>
              <w:top w:val="nil"/>
              <w:left w:val="nil"/>
              <w:bottom w:val="nil"/>
              <w:right w:val="nil"/>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0 </w:t>
            </w:r>
          </w:p>
        </w:tc>
        <w:tc>
          <w:tcPr>
            <w:tcW w:w="1560" w:type="dxa"/>
            <w:tcBorders>
              <w:top w:val="nil"/>
              <w:left w:val="nil"/>
              <w:bottom w:val="nil"/>
              <w:right w:val="single" w:sz="4" w:space="0" w:color="auto"/>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0 </w:t>
            </w:r>
          </w:p>
        </w:tc>
      </w:tr>
      <w:tr w:rsidR="0096696E" w:rsidRPr="00761625" w:rsidTr="00F76B10">
        <w:trPr>
          <w:cantSplit/>
        </w:trPr>
        <w:tc>
          <w:tcPr>
            <w:tcW w:w="670" w:type="dxa"/>
            <w:tcBorders>
              <w:top w:val="nil"/>
              <w:left w:val="single" w:sz="4" w:space="0" w:color="auto"/>
              <w:right w:val="nil"/>
            </w:tcBorders>
            <w:shd w:val="clear" w:color="auto" w:fill="auto"/>
            <w:noWrap/>
          </w:tcPr>
          <w:p w:rsidR="0096696E" w:rsidRPr="00761625" w:rsidRDefault="0096696E" w:rsidP="001A5BF9">
            <w:pPr>
              <w:spacing w:before="120"/>
              <w:jc w:val="center"/>
              <w:rPr>
                <w:rFonts w:cs="Arial"/>
                <w:sz w:val="16"/>
                <w:szCs w:val="16"/>
              </w:rPr>
            </w:pPr>
            <w:proofErr w:type="spellStart"/>
            <w:r w:rsidRPr="00761625">
              <w:rPr>
                <w:sz w:val="16"/>
              </w:rPr>
              <w:t>III.7</w:t>
            </w:r>
            <w:proofErr w:type="spellEnd"/>
          </w:p>
        </w:tc>
        <w:tc>
          <w:tcPr>
            <w:tcW w:w="4008" w:type="dxa"/>
            <w:tcBorders>
              <w:top w:val="nil"/>
              <w:left w:val="nil"/>
              <w:right w:val="nil"/>
            </w:tcBorders>
            <w:shd w:val="clear" w:color="auto" w:fill="auto"/>
          </w:tcPr>
          <w:p w:rsidR="0096696E" w:rsidRPr="00761625" w:rsidRDefault="0096696E" w:rsidP="001A5BF9">
            <w:pPr>
              <w:spacing w:before="120"/>
              <w:rPr>
                <w:rFonts w:cs="Arial"/>
                <w:sz w:val="16"/>
                <w:szCs w:val="16"/>
              </w:rPr>
            </w:pPr>
            <w:r w:rsidRPr="00761625">
              <w:rPr>
                <w:sz w:val="16"/>
              </w:rPr>
              <w:t>Planification</w:t>
            </w:r>
            <w:r w:rsidR="004F3E42" w:rsidRPr="00761625">
              <w:rPr>
                <w:sz w:val="16"/>
              </w:rPr>
              <w:t xml:space="preserve"> </w:t>
            </w:r>
            <w:r w:rsidRPr="00761625">
              <w:rPr>
                <w:sz w:val="16"/>
              </w:rPr>
              <w:t>mise en œuvre</w:t>
            </w:r>
            <w:r w:rsidR="004F3E42" w:rsidRPr="00761625">
              <w:rPr>
                <w:sz w:val="16"/>
              </w:rPr>
              <w:t xml:space="preserve"> </w:t>
            </w:r>
            <w:r w:rsidRPr="00761625">
              <w:rPr>
                <w:sz w:val="16"/>
              </w:rPr>
              <w:t>suivi</w:t>
            </w:r>
            <w:r w:rsidR="004F3E42" w:rsidRPr="00761625">
              <w:rPr>
                <w:sz w:val="16"/>
              </w:rPr>
              <w:t xml:space="preserve"> </w:t>
            </w:r>
            <w:r w:rsidRPr="00761625">
              <w:rPr>
                <w:sz w:val="16"/>
              </w:rPr>
              <w:t>évaluation et établissement de rapports efficaces en ce qui concerne les recommandations du Plan d</w:t>
            </w:r>
            <w:r w:rsidR="00A20444" w:rsidRPr="00761625">
              <w:rPr>
                <w:sz w:val="16"/>
              </w:rPr>
              <w:t>’</w:t>
            </w:r>
            <w:r w:rsidRPr="00761625">
              <w:rPr>
                <w:sz w:val="16"/>
              </w:rPr>
              <w:t>action pour le développement</w:t>
            </w:r>
          </w:p>
        </w:tc>
        <w:tc>
          <w:tcPr>
            <w:tcW w:w="1559" w:type="dxa"/>
            <w:tcBorders>
              <w:top w:val="nil"/>
              <w:left w:val="nil"/>
              <w:right w:val="nil"/>
            </w:tcBorders>
            <w:shd w:val="clear" w:color="auto" w:fill="auto"/>
            <w:vAlign w:val="center"/>
          </w:tcPr>
          <w:p w:rsidR="0096696E" w:rsidRPr="00761625" w:rsidRDefault="0096696E" w:rsidP="001A5BF9">
            <w:pPr>
              <w:spacing w:before="120"/>
              <w:jc w:val="right"/>
              <w:rPr>
                <w:rFonts w:cs="Arial"/>
                <w:sz w:val="16"/>
                <w:szCs w:val="16"/>
              </w:rPr>
            </w:pPr>
            <w:r w:rsidRPr="00761625">
              <w:rPr>
                <w:sz w:val="16"/>
              </w:rPr>
              <w:t xml:space="preserve">461 </w:t>
            </w:r>
          </w:p>
        </w:tc>
        <w:tc>
          <w:tcPr>
            <w:tcW w:w="1559" w:type="dxa"/>
            <w:tcBorders>
              <w:top w:val="nil"/>
              <w:left w:val="nil"/>
              <w:right w:val="nil"/>
            </w:tcBorders>
            <w:shd w:val="clear" w:color="auto" w:fill="auto"/>
            <w:vAlign w:val="center"/>
          </w:tcPr>
          <w:p w:rsidR="0096696E" w:rsidRPr="00761625" w:rsidRDefault="0096696E" w:rsidP="001A5BF9">
            <w:pPr>
              <w:spacing w:before="120"/>
              <w:jc w:val="right"/>
              <w:rPr>
                <w:rFonts w:cs="Arial"/>
                <w:sz w:val="16"/>
                <w:szCs w:val="16"/>
              </w:rPr>
            </w:pPr>
            <w:r w:rsidRPr="00761625">
              <w:rPr>
                <w:sz w:val="16"/>
              </w:rPr>
              <w:t>0</w:t>
            </w:r>
          </w:p>
        </w:tc>
        <w:tc>
          <w:tcPr>
            <w:tcW w:w="1560" w:type="dxa"/>
            <w:tcBorders>
              <w:top w:val="nil"/>
              <w:left w:val="nil"/>
              <w:right w:val="single" w:sz="4" w:space="0" w:color="auto"/>
            </w:tcBorders>
            <w:shd w:val="clear" w:color="auto" w:fill="auto"/>
            <w:vAlign w:val="center"/>
          </w:tcPr>
          <w:p w:rsidR="0096696E" w:rsidRPr="00761625" w:rsidRDefault="0096696E" w:rsidP="001A5BF9">
            <w:pPr>
              <w:spacing w:before="120"/>
              <w:jc w:val="right"/>
              <w:rPr>
                <w:rFonts w:cs="Arial"/>
                <w:sz w:val="16"/>
                <w:szCs w:val="16"/>
              </w:rPr>
            </w:pPr>
            <w:r w:rsidRPr="00761625">
              <w:rPr>
                <w:sz w:val="16"/>
              </w:rPr>
              <w:t>0 </w:t>
            </w:r>
          </w:p>
        </w:tc>
      </w:tr>
      <w:tr w:rsidR="0096696E" w:rsidRPr="00761625" w:rsidTr="00F76B10">
        <w:trPr>
          <w:cantSplit/>
        </w:trPr>
        <w:tc>
          <w:tcPr>
            <w:tcW w:w="670" w:type="dxa"/>
            <w:tcBorders>
              <w:left w:val="single" w:sz="4" w:space="0" w:color="auto"/>
              <w:bottom w:val="nil"/>
              <w:right w:val="nil"/>
            </w:tcBorders>
            <w:shd w:val="clear" w:color="000000" w:fill="FFFFFF"/>
            <w:noWrap/>
          </w:tcPr>
          <w:p w:rsidR="0096696E" w:rsidRPr="00761625" w:rsidRDefault="0096696E" w:rsidP="001A5BF9">
            <w:pPr>
              <w:spacing w:before="120"/>
              <w:jc w:val="center"/>
              <w:rPr>
                <w:rFonts w:cs="Arial"/>
                <w:sz w:val="16"/>
                <w:szCs w:val="16"/>
              </w:rPr>
            </w:pPr>
            <w:proofErr w:type="spellStart"/>
            <w:r w:rsidRPr="00761625">
              <w:rPr>
                <w:sz w:val="16"/>
              </w:rPr>
              <w:t>IV.2</w:t>
            </w:r>
            <w:proofErr w:type="spellEnd"/>
          </w:p>
        </w:tc>
        <w:tc>
          <w:tcPr>
            <w:tcW w:w="4008" w:type="dxa"/>
            <w:tcBorders>
              <w:left w:val="nil"/>
              <w:bottom w:val="nil"/>
              <w:right w:val="nil"/>
            </w:tcBorders>
            <w:shd w:val="clear" w:color="000000" w:fill="FFFFFF"/>
          </w:tcPr>
          <w:p w:rsidR="0096696E" w:rsidRPr="00761625" w:rsidRDefault="0096696E" w:rsidP="001A5BF9">
            <w:pPr>
              <w:spacing w:before="120"/>
              <w:rPr>
                <w:rFonts w:cs="Arial"/>
                <w:sz w:val="16"/>
                <w:szCs w:val="16"/>
              </w:rPr>
            </w:pPr>
            <w:r w:rsidRPr="00761625">
              <w:rPr>
                <w:sz w:val="16"/>
              </w:rPr>
              <w:t>Accès amélioré à l</w:t>
            </w:r>
            <w:r w:rsidR="00A20444" w:rsidRPr="00761625">
              <w:rPr>
                <w:sz w:val="16"/>
              </w:rPr>
              <w:t>’</w:t>
            </w:r>
            <w:r w:rsidRPr="00761625">
              <w:rPr>
                <w:sz w:val="16"/>
              </w:rPr>
              <w:t>information et aux savoirs en matière de propriété intellectuelle</w:t>
            </w:r>
            <w:r w:rsidR="004F3E42" w:rsidRPr="00761625">
              <w:rPr>
                <w:sz w:val="16"/>
              </w:rPr>
              <w:t xml:space="preserve"> </w:t>
            </w:r>
            <w:r w:rsidRPr="00761625">
              <w:rPr>
                <w:sz w:val="16"/>
              </w:rPr>
              <w:t>et meilleure utilisation de cette information et de ces savoirs</w:t>
            </w:r>
            <w:r w:rsidR="004F3E42" w:rsidRPr="00761625">
              <w:rPr>
                <w:sz w:val="16"/>
              </w:rPr>
              <w:t xml:space="preserve"> </w:t>
            </w:r>
            <w:r w:rsidRPr="00761625">
              <w:rPr>
                <w:sz w:val="16"/>
              </w:rPr>
              <w:t>par les institutions de propriété intellectuelle et le public</w:t>
            </w:r>
            <w:r w:rsidR="004F3E42" w:rsidRPr="00761625">
              <w:rPr>
                <w:sz w:val="16"/>
              </w:rPr>
              <w:t xml:space="preserve"> </w:t>
            </w:r>
            <w:r w:rsidRPr="00761625">
              <w:rPr>
                <w:sz w:val="16"/>
              </w:rPr>
              <w:t>pour promouvoir l</w:t>
            </w:r>
            <w:r w:rsidR="00A20444" w:rsidRPr="00761625">
              <w:rPr>
                <w:sz w:val="16"/>
              </w:rPr>
              <w:t>’</w:t>
            </w:r>
            <w:r w:rsidRPr="00761625">
              <w:rPr>
                <w:sz w:val="16"/>
              </w:rPr>
              <w:t>innovation et faciliter l</w:t>
            </w:r>
            <w:r w:rsidR="00A20444" w:rsidRPr="00761625">
              <w:rPr>
                <w:sz w:val="16"/>
              </w:rPr>
              <w:t>’</w:t>
            </w:r>
            <w:r w:rsidRPr="00761625">
              <w:rPr>
                <w:sz w:val="16"/>
              </w:rPr>
              <w:t>accès aux œuvres de création protégées et aux œuvres de création dans le domaine public</w:t>
            </w:r>
          </w:p>
        </w:tc>
        <w:tc>
          <w:tcPr>
            <w:tcW w:w="1559" w:type="dxa"/>
            <w:tcBorders>
              <w:left w:val="nil"/>
              <w:bottom w:val="nil"/>
              <w:right w:val="nil"/>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 </w:t>
            </w:r>
          </w:p>
        </w:tc>
        <w:tc>
          <w:tcPr>
            <w:tcW w:w="1559" w:type="dxa"/>
            <w:tcBorders>
              <w:left w:val="nil"/>
              <w:bottom w:val="nil"/>
              <w:right w:val="nil"/>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 xml:space="preserve">1 055 </w:t>
            </w:r>
          </w:p>
        </w:tc>
        <w:tc>
          <w:tcPr>
            <w:tcW w:w="1560" w:type="dxa"/>
            <w:tcBorders>
              <w:left w:val="nil"/>
              <w:bottom w:val="nil"/>
              <w:right w:val="single" w:sz="4" w:space="0" w:color="auto"/>
            </w:tcBorders>
            <w:shd w:val="clear" w:color="000000" w:fill="FFFFFF"/>
            <w:vAlign w:val="center"/>
          </w:tcPr>
          <w:p w:rsidR="0096696E" w:rsidRPr="00761625" w:rsidRDefault="0096696E" w:rsidP="001A5BF9">
            <w:pPr>
              <w:spacing w:before="120"/>
              <w:jc w:val="right"/>
              <w:rPr>
                <w:rFonts w:cs="Arial"/>
                <w:sz w:val="16"/>
                <w:szCs w:val="16"/>
              </w:rPr>
            </w:pPr>
            <w:r w:rsidRPr="00761625">
              <w:rPr>
                <w:sz w:val="16"/>
              </w:rPr>
              <w:t>955</w:t>
            </w:r>
          </w:p>
        </w:tc>
      </w:tr>
      <w:tr w:rsidR="0096696E" w:rsidRPr="00761625" w:rsidTr="00F76B10">
        <w:trPr>
          <w:cantSplit/>
        </w:trPr>
        <w:tc>
          <w:tcPr>
            <w:tcW w:w="670" w:type="dxa"/>
            <w:tcBorders>
              <w:top w:val="nil"/>
              <w:left w:val="single" w:sz="4" w:space="0" w:color="auto"/>
              <w:bottom w:val="single" w:sz="4" w:space="0" w:color="auto"/>
              <w:right w:val="nil"/>
            </w:tcBorders>
            <w:shd w:val="clear" w:color="000000" w:fill="FFFFFF"/>
            <w:noWrap/>
          </w:tcPr>
          <w:p w:rsidR="0096696E" w:rsidRPr="00761625" w:rsidRDefault="0096696E" w:rsidP="001A5BF9">
            <w:pPr>
              <w:spacing w:before="120" w:after="120"/>
              <w:jc w:val="center"/>
              <w:rPr>
                <w:rFonts w:cs="Arial"/>
                <w:sz w:val="16"/>
                <w:szCs w:val="16"/>
              </w:rPr>
            </w:pPr>
            <w:proofErr w:type="spellStart"/>
            <w:r w:rsidRPr="00761625">
              <w:rPr>
                <w:sz w:val="16"/>
              </w:rPr>
              <w:t>IV.5</w:t>
            </w:r>
            <w:proofErr w:type="spellEnd"/>
          </w:p>
        </w:tc>
        <w:tc>
          <w:tcPr>
            <w:tcW w:w="4008" w:type="dxa"/>
            <w:tcBorders>
              <w:top w:val="nil"/>
              <w:left w:val="nil"/>
              <w:bottom w:val="single" w:sz="4" w:space="0" w:color="auto"/>
              <w:right w:val="nil"/>
            </w:tcBorders>
            <w:shd w:val="clear" w:color="000000" w:fill="FFFFFF"/>
          </w:tcPr>
          <w:p w:rsidR="0096696E" w:rsidRPr="00761625" w:rsidRDefault="0096696E" w:rsidP="001A5BF9">
            <w:pPr>
              <w:spacing w:before="120" w:after="120"/>
              <w:rPr>
                <w:rFonts w:cs="Arial"/>
                <w:sz w:val="16"/>
                <w:szCs w:val="16"/>
              </w:rPr>
            </w:pPr>
            <w:r w:rsidRPr="00761625">
              <w:rPr>
                <w:sz w:val="16"/>
              </w:rPr>
              <w:t>Amélioration de l</w:t>
            </w:r>
            <w:r w:rsidR="00A20444" w:rsidRPr="00761625">
              <w:rPr>
                <w:sz w:val="16"/>
              </w:rPr>
              <w:t>’</w:t>
            </w:r>
            <w:r w:rsidRPr="00761625">
              <w:rPr>
                <w:sz w:val="16"/>
              </w:rPr>
              <w:t>infrastructure technique et du savoir pour les offices de propriété intellectuelle et les autres institutions de propriété intellectuelle</w:t>
            </w:r>
            <w:r w:rsidR="004F3E42" w:rsidRPr="00761625">
              <w:rPr>
                <w:sz w:val="16"/>
              </w:rPr>
              <w:t xml:space="preserve"> </w:t>
            </w:r>
            <w:r w:rsidRPr="00761625">
              <w:rPr>
                <w:sz w:val="16"/>
              </w:rPr>
              <w:t>leur permettant de fournir à leurs parties prenantes des services améliorés (moins chers</w:t>
            </w:r>
            <w:r w:rsidR="004F3E42" w:rsidRPr="00761625">
              <w:rPr>
                <w:sz w:val="16"/>
              </w:rPr>
              <w:t xml:space="preserve"> </w:t>
            </w:r>
            <w:r w:rsidRPr="00761625">
              <w:rPr>
                <w:sz w:val="16"/>
              </w:rPr>
              <w:t>plus rapides</w:t>
            </w:r>
            <w:r w:rsidR="004F3E42" w:rsidRPr="00761625">
              <w:rPr>
                <w:sz w:val="16"/>
              </w:rPr>
              <w:t xml:space="preserve"> </w:t>
            </w:r>
            <w:r w:rsidRPr="00761625">
              <w:rPr>
                <w:sz w:val="16"/>
              </w:rPr>
              <w:t>de meilleure qualité)</w:t>
            </w:r>
          </w:p>
        </w:tc>
        <w:tc>
          <w:tcPr>
            <w:tcW w:w="1559" w:type="dxa"/>
            <w:tcBorders>
              <w:top w:val="nil"/>
              <w:left w:val="nil"/>
              <w:bottom w:val="single" w:sz="4" w:space="0" w:color="auto"/>
              <w:right w:val="nil"/>
            </w:tcBorders>
            <w:shd w:val="clear" w:color="000000" w:fill="FFFFFF"/>
            <w:vAlign w:val="center"/>
          </w:tcPr>
          <w:p w:rsidR="0096696E" w:rsidRPr="00761625" w:rsidRDefault="0096696E" w:rsidP="001A5BF9">
            <w:pPr>
              <w:spacing w:before="120" w:after="120"/>
              <w:jc w:val="right"/>
              <w:rPr>
                <w:rFonts w:cs="Arial"/>
                <w:sz w:val="16"/>
                <w:szCs w:val="16"/>
              </w:rPr>
            </w:pPr>
            <w:r w:rsidRPr="00761625">
              <w:rPr>
                <w:sz w:val="16"/>
              </w:rPr>
              <w:t xml:space="preserve">3 690 </w:t>
            </w:r>
          </w:p>
        </w:tc>
        <w:tc>
          <w:tcPr>
            <w:tcW w:w="1559" w:type="dxa"/>
            <w:tcBorders>
              <w:top w:val="nil"/>
              <w:left w:val="nil"/>
              <w:bottom w:val="single" w:sz="4" w:space="0" w:color="auto"/>
              <w:right w:val="nil"/>
            </w:tcBorders>
            <w:shd w:val="clear" w:color="000000" w:fill="FFFFFF"/>
            <w:vAlign w:val="center"/>
          </w:tcPr>
          <w:p w:rsidR="0096696E" w:rsidRPr="00761625" w:rsidRDefault="0096696E" w:rsidP="001A5BF9">
            <w:pPr>
              <w:spacing w:before="120" w:after="120"/>
              <w:jc w:val="right"/>
              <w:rPr>
                <w:rFonts w:cs="Arial"/>
                <w:sz w:val="16"/>
                <w:szCs w:val="16"/>
              </w:rPr>
            </w:pPr>
            <w:r w:rsidRPr="00761625">
              <w:rPr>
                <w:sz w:val="16"/>
              </w:rPr>
              <w:t xml:space="preserve">2 429 </w:t>
            </w:r>
          </w:p>
        </w:tc>
        <w:tc>
          <w:tcPr>
            <w:tcW w:w="1560" w:type="dxa"/>
            <w:tcBorders>
              <w:top w:val="nil"/>
              <w:left w:val="nil"/>
              <w:bottom w:val="single" w:sz="4" w:space="0" w:color="auto"/>
              <w:right w:val="single" w:sz="4" w:space="0" w:color="auto"/>
            </w:tcBorders>
            <w:shd w:val="clear" w:color="000000" w:fill="FFFFFF"/>
            <w:vAlign w:val="center"/>
          </w:tcPr>
          <w:p w:rsidR="0096696E" w:rsidRPr="00761625" w:rsidRDefault="0096696E" w:rsidP="001A5BF9">
            <w:pPr>
              <w:spacing w:before="120" w:after="120"/>
              <w:jc w:val="right"/>
              <w:rPr>
                <w:rFonts w:cs="Arial"/>
                <w:sz w:val="16"/>
                <w:szCs w:val="16"/>
              </w:rPr>
            </w:pPr>
            <w:r w:rsidRPr="00761625">
              <w:rPr>
                <w:sz w:val="16"/>
              </w:rPr>
              <w:t>1,834</w:t>
            </w:r>
          </w:p>
        </w:tc>
      </w:tr>
      <w:tr w:rsidR="0096696E" w:rsidRPr="00761625" w:rsidTr="00F76B10">
        <w:trPr>
          <w:cantSplit/>
        </w:trPr>
        <w:tc>
          <w:tcPr>
            <w:tcW w:w="670" w:type="dxa"/>
            <w:tcBorders>
              <w:top w:val="nil"/>
              <w:left w:val="single" w:sz="4" w:space="0" w:color="auto"/>
              <w:bottom w:val="single" w:sz="4" w:space="0" w:color="auto"/>
              <w:right w:val="nil"/>
            </w:tcBorders>
            <w:shd w:val="clear" w:color="000000" w:fill="CCFFFF"/>
            <w:noWrap/>
            <w:vAlign w:val="bottom"/>
          </w:tcPr>
          <w:p w:rsidR="0096696E" w:rsidRPr="00761625" w:rsidRDefault="0096696E" w:rsidP="001A5BF9">
            <w:pPr>
              <w:spacing w:before="120" w:after="120"/>
              <w:rPr>
                <w:rFonts w:cs="Arial"/>
                <w:b/>
                <w:bCs/>
                <w:sz w:val="16"/>
                <w:szCs w:val="16"/>
              </w:rPr>
            </w:pPr>
          </w:p>
        </w:tc>
        <w:tc>
          <w:tcPr>
            <w:tcW w:w="4008" w:type="dxa"/>
            <w:tcBorders>
              <w:top w:val="nil"/>
              <w:left w:val="nil"/>
              <w:bottom w:val="single" w:sz="4" w:space="0" w:color="auto"/>
              <w:right w:val="nil"/>
            </w:tcBorders>
            <w:shd w:val="clear" w:color="000000" w:fill="CCFFFF"/>
            <w:noWrap/>
            <w:vAlign w:val="center"/>
          </w:tcPr>
          <w:p w:rsidR="0096696E" w:rsidRPr="00761625" w:rsidRDefault="0096696E" w:rsidP="001A5BF9">
            <w:pPr>
              <w:spacing w:before="120" w:after="120"/>
              <w:rPr>
                <w:rFonts w:cs="Arial"/>
                <w:b/>
                <w:bCs/>
                <w:sz w:val="16"/>
                <w:szCs w:val="16"/>
              </w:rPr>
            </w:pPr>
            <w:r w:rsidRPr="00761625">
              <w:rPr>
                <w:b/>
                <w:sz w:val="16"/>
              </w:rPr>
              <w:t>Total</w:t>
            </w:r>
          </w:p>
        </w:tc>
        <w:tc>
          <w:tcPr>
            <w:tcW w:w="1559" w:type="dxa"/>
            <w:tcBorders>
              <w:top w:val="nil"/>
              <w:left w:val="single" w:sz="4" w:space="0" w:color="auto"/>
              <w:bottom w:val="single" w:sz="4" w:space="0" w:color="auto"/>
              <w:right w:val="single" w:sz="4" w:space="0" w:color="auto"/>
            </w:tcBorders>
            <w:shd w:val="clear" w:color="000000" w:fill="CCFFFF"/>
            <w:vAlign w:val="center"/>
          </w:tcPr>
          <w:p w:rsidR="0096696E" w:rsidRPr="00761625" w:rsidRDefault="0096696E" w:rsidP="001A5BF9">
            <w:pPr>
              <w:spacing w:before="120" w:after="120"/>
              <w:jc w:val="right"/>
              <w:rPr>
                <w:rFonts w:cs="Arial"/>
                <w:b/>
                <w:bCs/>
                <w:sz w:val="16"/>
                <w:szCs w:val="16"/>
              </w:rPr>
            </w:pPr>
            <w:r w:rsidRPr="00761625">
              <w:rPr>
                <w:b/>
                <w:sz w:val="16"/>
              </w:rPr>
              <w:t>35 102</w:t>
            </w:r>
          </w:p>
        </w:tc>
        <w:tc>
          <w:tcPr>
            <w:tcW w:w="1559" w:type="dxa"/>
            <w:tcBorders>
              <w:top w:val="nil"/>
              <w:left w:val="nil"/>
              <w:bottom w:val="single" w:sz="4" w:space="0" w:color="auto"/>
              <w:right w:val="single" w:sz="4" w:space="0" w:color="auto"/>
            </w:tcBorders>
            <w:shd w:val="clear" w:color="000000" w:fill="CCFFFF"/>
            <w:noWrap/>
            <w:vAlign w:val="center"/>
          </w:tcPr>
          <w:p w:rsidR="0096696E" w:rsidRPr="00761625" w:rsidRDefault="0096696E" w:rsidP="001A5BF9">
            <w:pPr>
              <w:spacing w:before="120" w:after="120"/>
              <w:jc w:val="right"/>
              <w:rPr>
                <w:rFonts w:cs="Arial"/>
                <w:b/>
                <w:bCs/>
                <w:sz w:val="16"/>
                <w:szCs w:val="16"/>
              </w:rPr>
            </w:pPr>
            <w:r w:rsidRPr="00761625">
              <w:rPr>
                <w:b/>
                <w:sz w:val="16"/>
              </w:rPr>
              <w:t>34 562</w:t>
            </w:r>
          </w:p>
        </w:tc>
        <w:tc>
          <w:tcPr>
            <w:tcW w:w="1560" w:type="dxa"/>
            <w:tcBorders>
              <w:top w:val="nil"/>
              <w:left w:val="nil"/>
              <w:bottom w:val="single" w:sz="4" w:space="0" w:color="auto"/>
              <w:right w:val="single" w:sz="4" w:space="0" w:color="auto"/>
            </w:tcBorders>
            <w:shd w:val="clear" w:color="000000" w:fill="CCFFFF"/>
            <w:vAlign w:val="center"/>
          </w:tcPr>
          <w:p w:rsidR="0096696E" w:rsidRPr="00761625" w:rsidRDefault="0096696E" w:rsidP="001A5BF9">
            <w:pPr>
              <w:spacing w:before="120" w:after="120"/>
              <w:jc w:val="right"/>
              <w:rPr>
                <w:rFonts w:cs="Arial"/>
                <w:b/>
                <w:bCs/>
                <w:sz w:val="16"/>
                <w:szCs w:val="16"/>
              </w:rPr>
            </w:pPr>
            <w:r w:rsidRPr="00761625">
              <w:rPr>
                <w:b/>
                <w:sz w:val="16"/>
              </w:rPr>
              <w:t>34,472</w:t>
            </w:r>
          </w:p>
        </w:tc>
      </w:tr>
    </w:tbl>
    <w:p w:rsidR="00D42474" w:rsidRDefault="00D42474" w:rsidP="001A5BF9"/>
    <w:p w:rsidR="00D42474" w:rsidRDefault="0096696E" w:rsidP="001A5BF9">
      <w:r w:rsidRPr="005C7CCE">
        <w:br w:type="page"/>
      </w:r>
    </w:p>
    <w:p w:rsidR="00D42474" w:rsidRDefault="0096696E" w:rsidP="001A5BF9">
      <w:pPr>
        <w:jc w:val="center"/>
      </w:pPr>
      <w:r w:rsidRPr="00761625">
        <w:t xml:space="preserve">Budget et dépenses effectives (dépenses de </w:t>
      </w:r>
      <w:proofErr w:type="gramStart"/>
      <w:r w:rsidRPr="00761625">
        <w:t>personnel et autres dépenses</w:t>
      </w:r>
      <w:proofErr w:type="gramEnd"/>
      <w:r w:rsidRPr="00761625">
        <w:t>)</w:t>
      </w:r>
    </w:p>
    <w:p w:rsidR="00D42474" w:rsidRDefault="0096696E" w:rsidP="001A5BF9">
      <w:pPr>
        <w:jc w:val="center"/>
      </w:pPr>
      <w:r w:rsidRPr="00761625">
        <w:t>(</w:t>
      </w:r>
      <w:proofErr w:type="gramStart"/>
      <w:r w:rsidRPr="00761625">
        <w:t>en</w:t>
      </w:r>
      <w:proofErr w:type="gramEnd"/>
      <w:r w:rsidRPr="00761625">
        <w:t xml:space="preserve"> milliers de francs suisses)</w:t>
      </w:r>
    </w:p>
    <w:p w:rsidR="0096696E" w:rsidRPr="00761625" w:rsidRDefault="0096696E" w:rsidP="001A5BF9"/>
    <w:tbl>
      <w:tblPr>
        <w:tblW w:w="0" w:type="auto"/>
        <w:tblInd w:w="108" w:type="dxa"/>
        <w:tblLook w:val="04A0" w:firstRow="1" w:lastRow="0" w:firstColumn="1" w:lastColumn="0" w:noHBand="0" w:noVBand="1"/>
      </w:tblPr>
      <w:tblGrid>
        <w:gridCol w:w="2410"/>
        <w:gridCol w:w="1736"/>
        <w:gridCol w:w="1737"/>
        <w:gridCol w:w="1736"/>
        <w:gridCol w:w="1737"/>
      </w:tblGrid>
      <w:tr w:rsidR="0096696E" w:rsidRPr="00761625" w:rsidTr="00BB3F3E">
        <w:tc>
          <w:tcPr>
            <w:tcW w:w="2410"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761625" w:rsidRDefault="0096696E" w:rsidP="001A5BF9">
            <w:pPr>
              <w:spacing w:before="120" w:after="120"/>
              <w:jc w:val="center"/>
              <w:rPr>
                <w:rFonts w:cs="Arial"/>
                <w:sz w:val="16"/>
                <w:szCs w:val="16"/>
              </w:rPr>
            </w:pPr>
            <w:r w:rsidRPr="00761625">
              <w:rPr>
                <w:sz w:val="16"/>
              </w:rPr>
              <w:t> </w:t>
            </w:r>
          </w:p>
        </w:tc>
        <w:tc>
          <w:tcPr>
            <w:tcW w:w="1736" w:type="dxa"/>
            <w:tcBorders>
              <w:top w:val="single" w:sz="4" w:space="0" w:color="auto"/>
              <w:left w:val="nil"/>
              <w:bottom w:val="nil"/>
              <w:right w:val="single" w:sz="4" w:space="0" w:color="auto"/>
            </w:tcBorders>
            <w:shd w:val="clear" w:color="000000" w:fill="CCFFFF"/>
            <w:vAlign w:val="center"/>
          </w:tcPr>
          <w:p w:rsidR="0096696E" w:rsidRPr="00761625" w:rsidRDefault="0096696E" w:rsidP="001A5BF9">
            <w:pPr>
              <w:spacing w:before="120" w:after="120"/>
              <w:jc w:val="center"/>
              <w:rPr>
                <w:rFonts w:cs="Arial"/>
                <w:bCs/>
                <w:sz w:val="16"/>
                <w:szCs w:val="16"/>
              </w:rPr>
            </w:pPr>
            <w:r w:rsidRPr="00761625">
              <w:rPr>
                <w:sz w:val="16"/>
              </w:rPr>
              <w:t>Budget</w:t>
            </w:r>
            <w:r w:rsidRPr="00761625">
              <w:br/>
            </w:r>
            <w:r w:rsidRPr="00761625">
              <w:rPr>
                <w:sz w:val="16"/>
              </w:rPr>
              <w:t>2012</w:t>
            </w:r>
            <w:r w:rsidR="002D6F2A" w:rsidRPr="00761625">
              <w:rPr>
                <w:sz w:val="16"/>
              </w:rPr>
              <w:noBreakHyphen/>
            </w:r>
            <w:r w:rsidRPr="00761625">
              <w:rPr>
                <w:sz w:val="16"/>
              </w:rPr>
              <w:t>2013</w:t>
            </w:r>
            <w:r w:rsidRPr="00761625">
              <w:br/>
            </w:r>
            <w:r w:rsidRPr="00761625">
              <w:rPr>
                <w:sz w:val="16"/>
              </w:rPr>
              <w:t>approuvé</w:t>
            </w:r>
          </w:p>
        </w:tc>
        <w:tc>
          <w:tcPr>
            <w:tcW w:w="1737" w:type="dxa"/>
            <w:tcBorders>
              <w:top w:val="single" w:sz="4" w:space="0" w:color="auto"/>
              <w:left w:val="nil"/>
              <w:bottom w:val="nil"/>
              <w:right w:val="single" w:sz="4" w:space="0" w:color="auto"/>
            </w:tcBorders>
            <w:shd w:val="clear" w:color="000000" w:fill="CCFFFF"/>
            <w:vAlign w:val="center"/>
          </w:tcPr>
          <w:p w:rsidR="0096696E" w:rsidRPr="00761625" w:rsidRDefault="0096696E" w:rsidP="001A5BF9">
            <w:pPr>
              <w:spacing w:before="120" w:after="120"/>
              <w:jc w:val="center"/>
              <w:rPr>
                <w:rFonts w:cs="Arial"/>
                <w:bCs/>
                <w:sz w:val="16"/>
                <w:szCs w:val="16"/>
              </w:rPr>
            </w:pPr>
            <w:r w:rsidRPr="00761625">
              <w:rPr>
                <w:sz w:val="16"/>
              </w:rPr>
              <w:t>Budget</w:t>
            </w:r>
            <w:r w:rsidRPr="00761625">
              <w:br/>
            </w:r>
            <w:r w:rsidRPr="00761625">
              <w:rPr>
                <w:sz w:val="16"/>
              </w:rPr>
              <w:t>2012</w:t>
            </w:r>
            <w:r w:rsidR="002D6F2A" w:rsidRPr="00761625">
              <w:rPr>
                <w:sz w:val="16"/>
              </w:rPr>
              <w:noBreakHyphen/>
            </w:r>
            <w:r w:rsidRPr="00761625">
              <w:rPr>
                <w:sz w:val="16"/>
              </w:rPr>
              <w:t>2013</w:t>
            </w:r>
            <w:r w:rsidRPr="00761625">
              <w:br/>
            </w:r>
            <w:r w:rsidRPr="00761625">
              <w:rPr>
                <w:sz w:val="16"/>
              </w:rPr>
              <w:t>après virements</w:t>
            </w:r>
          </w:p>
        </w:tc>
        <w:tc>
          <w:tcPr>
            <w:tcW w:w="1736" w:type="dxa"/>
            <w:tcBorders>
              <w:top w:val="single" w:sz="4" w:space="0" w:color="auto"/>
              <w:left w:val="nil"/>
              <w:bottom w:val="nil"/>
              <w:right w:val="single" w:sz="4" w:space="0" w:color="auto"/>
            </w:tcBorders>
            <w:shd w:val="clear" w:color="000000" w:fill="CCFFFF"/>
            <w:vAlign w:val="center"/>
          </w:tcPr>
          <w:p w:rsidR="0096696E" w:rsidRPr="00761625" w:rsidRDefault="0096696E" w:rsidP="001A5BF9">
            <w:pPr>
              <w:spacing w:before="120" w:after="120"/>
              <w:jc w:val="center"/>
              <w:rPr>
                <w:rFonts w:cs="Arial"/>
                <w:bCs/>
                <w:sz w:val="16"/>
                <w:szCs w:val="16"/>
              </w:rPr>
            </w:pPr>
            <w:r w:rsidRPr="00761625">
              <w:rPr>
                <w:sz w:val="16"/>
              </w:rPr>
              <w:t>Dépenses</w:t>
            </w:r>
            <w:r w:rsidRPr="00761625">
              <w:br/>
            </w:r>
            <w:r w:rsidRPr="00761625">
              <w:rPr>
                <w:sz w:val="16"/>
              </w:rPr>
              <w:t>2012</w:t>
            </w:r>
            <w:r w:rsidR="002D6F2A" w:rsidRPr="00761625">
              <w:rPr>
                <w:sz w:val="16"/>
              </w:rPr>
              <w:noBreakHyphen/>
            </w:r>
            <w:r w:rsidRPr="00761625">
              <w:rPr>
                <w:sz w:val="16"/>
              </w:rPr>
              <w:t>2013</w:t>
            </w:r>
          </w:p>
        </w:tc>
        <w:tc>
          <w:tcPr>
            <w:tcW w:w="1737" w:type="dxa"/>
            <w:tcBorders>
              <w:top w:val="single" w:sz="4" w:space="0" w:color="auto"/>
              <w:left w:val="nil"/>
              <w:bottom w:val="nil"/>
              <w:right w:val="single" w:sz="4" w:space="0" w:color="auto"/>
            </w:tcBorders>
            <w:shd w:val="clear" w:color="000000" w:fill="CCFFFF"/>
            <w:vAlign w:val="center"/>
          </w:tcPr>
          <w:p w:rsidR="0096696E" w:rsidRPr="00761625" w:rsidRDefault="0096696E" w:rsidP="001A5BF9">
            <w:pPr>
              <w:spacing w:before="120" w:after="120"/>
              <w:jc w:val="center"/>
              <w:rPr>
                <w:rFonts w:cs="Arial"/>
                <w:bCs/>
                <w:sz w:val="16"/>
                <w:szCs w:val="16"/>
              </w:rPr>
            </w:pPr>
            <w:r w:rsidRPr="00761625">
              <w:rPr>
                <w:sz w:val="16"/>
              </w:rPr>
              <w:t>Taux d</w:t>
            </w:r>
            <w:r w:rsidR="00A20444" w:rsidRPr="00761625">
              <w:rPr>
                <w:sz w:val="16"/>
              </w:rPr>
              <w:t>’</w:t>
            </w:r>
            <w:r w:rsidRPr="00761625">
              <w:rPr>
                <w:sz w:val="16"/>
              </w:rPr>
              <w:t xml:space="preserve">utilisation </w:t>
            </w:r>
            <w:r w:rsidR="00BD43F2" w:rsidRPr="00761625">
              <w:rPr>
                <w:sz w:val="16"/>
              </w:rPr>
              <w:t>(</w:t>
            </w:r>
            <w:r w:rsidR="007E442D" w:rsidRPr="00761625">
              <w:rPr>
                <w:sz w:val="16"/>
              </w:rPr>
              <w:t>%</w:t>
            </w:r>
            <w:r w:rsidRPr="00761625">
              <w:rPr>
                <w:sz w:val="16"/>
              </w:rPr>
              <w:t>)</w:t>
            </w:r>
          </w:p>
        </w:tc>
      </w:tr>
      <w:tr w:rsidR="0096696E" w:rsidRPr="00761625" w:rsidTr="00BB3F3E">
        <w:tc>
          <w:tcPr>
            <w:tcW w:w="2410" w:type="dxa"/>
            <w:tcBorders>
              <w:top w:val="nil"/>
              <w:left w:val="single" w:sz="4" w:space="0" w:color="auto"/>
              <w:bottom w:val="single" w:sz="4" w:space="0" w:color="auto"/>
              <w:right w:val="single" w:sz="4" w:space="0" w:color="auto"/>
            </w:tcBorders>
            <w:shd w:val="clear" w:color="auto" w:fill="auto"/>
            <w:noWrap/>
            <w:vAlign w:val="center"/>
          </w:tcPr>
          <w:p w:rsidR="0096696E" w:rsidRPr="00761625" w:rsidRDefault="0096696E" w:rsidP="001A5BF9">
            <w:pPr>
              <w:spacing w:before="120" w:after="120"/>
              <w:rPr>
                <w:rFonts w:cs="Arial"/>
                <w:sz w:val="16"/>
                <w:szCs w:val="16"/>
              </w:rPr>
            </w:pPr>
            <w:r w:rsidRPr="00761625">
              <w:rPr>
                <w:sz w:val="16"/>
              </w:rPr>
              <w:t>Dépenses de personnel</w:t>
            </w:r>
            <w:r w:rsidR="004F3E42" w:rsidRPr="00761625">
              <w:rPr>
                <w:sz w:val="16"/>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sz w:val="16"/>
                <w:szCs w:val="16"/>
              </w:rPr>
            </w:pPr>
            <w:r w:rsidRPr="00761625">
              <w:rPr>
                <w:sz w:val="16"/>
              </w:rPr>
              <w:t>22 512</w:t>
            </w:r>
          </w:p>
        </w:tc>
        <w:tc>
          <w:tcPr>
            <w:tcW w:w="1737" w:type="dxa"/>
            <w:tcBorders>
              <w:top w:val="single" w:sz="4" w:space="0" w:color="auto"/>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sz w:val="16"/>
                <w:szCs w:val="16"/>
              </w:rPr>
            </w:pPr>
            <w:r w:rsidRPr="00761625">
              <w:rPr>
                <w:sz w:val="16"/>
              </w:rPr>
              <w:t>23 670</w:t>
            </w:r>
          </w:p>
        </w:tc>
        <w:tc>
          <w:tcPr>
            <w:tcW w:w="1736" w:type="dxa"/>
            <w:tcBorders>
              <w:top w:val="single" w:sz="4" w:space="0" w:color="auto"/>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sz w:val="16"/>
                <w:szCs w:val="16"/>
              </w:rPr>
            </w:pPr>
            <w:r w:rsidRPr="00761625">
              <w:rPr>
                <w:sz w:val="16"/>
              </w:rPr>
              <w:t>23 670</w:t>
            </w:r>
          </w:p>
        </w:tc>
        <w:tc>
          <w:tcPr>
            <w:tcW w:w="1737" w:type="dxa"/>
            <w:tcBorders>
              <w:top w:val="single" w:sz="4" w:space="0" w:color="auto"/>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sz w:val="16"/>
                <w:szCs w:val="16"/>
              </w:rPr>
            </w:pPr>
            <w:r w:rsidRPr="00761625">
              <w:rPr>
                <w:sz w:val="16"/>
              </w:rPr>
              <w:t>100</w:t>
            </w:r>
            <w:r w:rsidR="007E442D" w:rsidRPr="00761625">
              <w:rPr>
                <w:sz w:val="16"/>
              </w:rPr>
              <w:t>%</w:t>
            </w:r>
          </w:p>
        </w:tc>
      </w:tr>
      <w:tr w:rsidR="0096696E" w:rsidRPr="00761625" w:rsidTr="00BB3F3E">
        <w:tc>
          <w:tcPr>
            <w:tcW w:w="2410" w:type="dxa"/>
            <w:tcBorders>
              <w:top w:val="nil"/>
              <w:left w:val="single" w:sz="4" w:space="0" w:color="auto"/>
              <w:bottom w:val="single" w:sz="4" w:space="0" w:color="auto"/>
              <w:right w:val="single" w:sz="4" w:space="0" w:color="auto"/>
            </w:tcBorders>
            <w:shd w:val="clear" w:color="auto" w:fill="auto"/>
            <w:noWrap/>
            <w:vAlign w:val="center"/>
          </w:tcPr>
          <w:p w:rsidR="0096696E" w:rsidRPr="00761625" w:rsidRDefault="0096696E" w:rsidP="001A5BF9">
            <w:pPr>
              <w:spacing w:before="120" w:after="120"/>
              <w:rPr>
                <w:rFonts w:cs="Arial"/>
                <w:sz w:val="16"/>
                <w:szCs w:val="16"/>
              </w:rPr>
            </w:pPr>
            <w:r w:rsidRPr="00761625">
              <w:rPr>
                <w:sz w:val="16"/>
              </w:rPr>
              <w:t xml:space="preserve">Autres dépenses </w:t>
            </w:r>
          </w:p>
        </w:tc>
        <w:tc>
          <w:tcPr>
            <w:tcW w:w="1736" w:type="dxa"/>
            <w:tcBorders>
              <w:top w:val="nil"/>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sz w:val="16"/>
                <w:szCs w:val="16"/>
              </w:rPr>
            </w:pPr>
            <w:r w:rsidRPr="00761625">
              <w:rPr>
                <w:sz w:val="16"/>
              </w:rPr>
              <w:t>12 590</w:t>
            </w:r>
          </w:p>
        </w:tc>
        <w:tc>
          <w:tcPr>
            <w:tcW w:w="1737" w:type="dxa"/>
            <w:tcBorders>
              <w:top w:val="nil"/>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sz w:val="16"/>
                <w:szCs w:val="16"/>
              </w:rPr>
            </w:pPr>
            <w:r w:rsidRPr="00761625">
              <w:rPr>
                <w:sz w:val="16"/>
              </w:rPr>
              <w:t>10 892</w:t>
            </w:r>
          </w:p>
        </w:tc>
        <w:tc>
          <w:tcPr>
            <w:tcW w:w="1736" w:type="dxa"/>
            <w:tcBorders>
              <w:top w:val="nil"/>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sz w:val="16"/>
                <w:szCs w:val="16"/>
              </w:rPr>
            </w:pPr>
            <w:r w:rsidRPr="00761625">
              <w:rPr>
                <w:sz w:val="16"/>
              </w:rPr>
              <w:t>8 801</w:t>
            </w:r>
          </w:p>
        </w:tc>
        <w:tc>
          <w:tcPr>
            <w:tcW w:w="1737" w:type="dxa"/>
            <w:tcBorders>
              <w:top w:val="nil"/>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sz w:val="16"/>
                <w:szCs w:val="16"/>
              </w:rPr>
            </w:pPr>
            <w:r w:rsidRPr="00761625">
              <w:rPr>
                <w:sz w:val="16"/>
              </w:rPr>
              <w:t>81</w:t>
            </w:r>
            <w:r w:rsidR="007E442D" w:rsidRPr="00761625">
              <w:rPr>
                <w:sz w:val="16"/>
              </w:rPr>
              <w:t>%</w:t>
            </w:r>
          </w:p>
        </w:tc>
      </w:tr>
      <w:tr w:rsidR="0096696E" w:rsidRPr="00761625" w:rsidTr="00BB3F3E">
        <w:tc>
          <w:tcPr>
            <w:tcW w:w="2410" w:type="dxa"/>
            <w:tcBorders>
              <w:top w:val="nil"/>
              <w:left w:val="single" w:sz="4" w:space="0" w:color="auto"/>
              <w:bottom w:val="single" w:sz="4" w:space="0" w:color="auto"/>
              <w:right w:val="single" w:sz="4" w:space="0" w:color="auto"/>
            </w:tcBorders>
            <w:shd w:val="clear" w:color="auto" w:fill="auto"/>
            <w:noWrap/>
            <w:vAlign w:val="center"/>
          </w:tcPr>
          <w:p w:rsidR="0096696E" w:rsidRPr="00761625" w:rsidRDefault="0096696E" w:rsidP="001A5BF9">
            <w:pPr>
              <w:spacing w:before="120" w:after="120"/>
              <w:jc w:val="right"/>
              <w:rPr>
                <w:rFonts w:cs="Arial"/>
                <w:b/>
                <w:bCs/>
                <w:sz w:val="16"/>
                <w:szCs w:val="16"/>
              </w:rPr>
            </w:pPr>
            <w:r w:rsidRPr="00761625">
              <w:rPr>
                <w:b/>
                <w:sz w:val="16"/>
              </w:rPr>
              <w:t xml:space="preserve"> TOTAL </w:t>
            </w:r>
          </w:p>
        </w:tc>
        <w:tc>
          <w:tcPr>
            <w:tcW w:w="1736" w:type="dxa"/>
            <w:tcBorders>
              <w:top w:val="nil"/>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b/>
                <w:bCs/>
                <w:sz w:val="16"/>
                <w:szCs w:val="16"/>
              </w:rPr>
            </w:pPr>
            <w:r w:rsidRPr="00761625">
              <w:rPr>
                <w:b/>
                <w:sz w:val="16"/>
              </w:rPr>
              <w:t>35 102</w:t>
            </w:r>
          </w:p>
        </w:tc>
        <w:tc>
          <w:tcPr>
            <w:tcW w:w="1737" w:type="dxa"/>
            <w:tcBorders>
              <w:top w:val="nil"/>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b/>
                <w:bCs/>
                <w:sz w:val="16"/>
                <w:szCs w:val="16"/>
              </w:rPr>
            </w:pPr>
            <w:r w:rsidRPr="00761625">
              <w:rPr>
                <w:b/>
                <w:sz w:val="16"/>
              </w:rPr>
              <w:t>34 562</w:t>
            </w:r>
          </w:p>
        </w:tc>
        <w:tc>
          <w:tcPr>
            <w:tcW w:w="1736" w:type="dxa"/>
            <w:tcBorders>
              <w:top w:val="nil"/>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b/>
                <w:bCs/>
                <w:sz w:val="16"/>
                <w:szCs w:val="16"/>
              </w:rPr>
            </w:pPr>
            <w:r w:rsidRPr="00761625">
              <w:rPr>
                <w:b/>
                <w:sz w:val="16"/>
              </w:rPr>
              <w:t>32 472</w:t>
            </w:r>
          </w:p>
        </w:tc>
        <w:tc>
          <w:tcPr>
            <w:tcW w:w="1737" w:type="dxa"/>
            <w:tcBorders>
              <w:top w:val="nil"/>
              <w:left w:val="nil"/>
              <w:bottom w:val="single" w:sz="4" w:space="0" w:color="auto"/>
              <w:right w:val="single" w:sz="4" w:space="0" w:color="auto"/>
            </w:tcBorders>
            <w:shd w:val="clear" w:color="auto" w:fill="auto"/>
            <w:vAlign w:val="center"/>
          </w:tcPr>
          <w:p w:rsidR="0096696E" w:rsidRPr="00761625" w:rsidRDefault="0096696E" w:rsidP="001A5BF9">
            <w:pPr>
              <w:spacing w:before="120" w:after="120"/>
              <w:jc w:val="center"/>
              <w:rPr>
                <w:rFonts w:cs="Arial"/>
                <w:b/>
                <w:bCs/>
                <w:sz w:val="16"/>
                <w:szCs w:val="16"/>
              </w:rPr>
            </w:pPr>
            <w:r w:rsidRPr="00761625">
              <w:rPr>
                <w:b/>
                <w:sz w:val="16"/>
              </w:rPr>
              <w:t>94</w:t>
            </w:r>
            <w:r w:rsidR="007E442D" w:rsidRPr="00761625">
              <w:rPr>
                <w:b/>
                <w:sz w:val="16"/>
              </w:rPr>
              <w:t>%</w:t>
            </w:r>
          </w:p>
        </w:tc>
      </w:tr>
    </w:tbl>
    <w:p w:rsidR="00D42474" w:rsidRDefault="00D42474" w:rsidP="001A5BF9">
      <w:pPr>
        <w:rPr>
          <w:rFonts w:cs="Arial"/>
        </w:rPr>
      </w:pPr>
    </w:p>
    <w:p w:rsidR="00D42474" w:rsidRDefault="0096696E" w:rsidP="001A5BF9">
      <w:pPr>
        <w:keepNext/>
        <w:keepLines/>
        <w:autoSpaceDE w:val="0"/>
        <w:autoSpaceDN w:val="0"/>
        <w:adjustRightInd w:val="0"/>
        <w:rPr>
          <w:sz w:val="16"/>
          <w:szCs w:val="16"/>
        </w:rPr>
      </w:pPr>
      <w:proofErr w:type="gramStart"/>
      <w:r w:rsidRPr="00761625">
        <w:rPr>
          <w:sz w:val="16"/>
        </w:rPr>
        <w:t>NOTES</w:t>
      </w:r>
      <w:proofErr w:type="gramEnd"/>
      <w:r w:rsidR="0010442A" w:rsidRPr="00761625">
        <w:rPr>
          <w:sz w:val="16"/>
        </w:rPr>
        <w:t> </w:t>
      </w:r>
      <w:r w:rsidRPr="00761625">
        <w:rPr>
          <w:sz w:val="16"/>
        </w:rPr>
        <w:t>:</w:t>
      </w:r>
    </w:p>
    <w:p w:rsidR="00D42474" w:rsidRDefault="00D42474" w:rsidP="001A5BF9">
      <w:pPr>
        <w:keepNext/>
        <w:keepLines/>
        <w:autoSpaceDE w:val="0"/>
        <w:autoSpaceDN w:val="0"/>
        <w:adjustRightInd w:val="0"/>
        <w:rPr>
          <w:sz w:val="16"/>
          <w:szCs w:val="16"/>
        </w:rPr>
      </w:pPr>
    </w:p>
    <w:p w:rsidR="00D42474" w:rsidRDefault="0096696E" w:rsidP="001A5BF9">
      <w:pPr>
        <w:keepNext/>
        <w:keepLines/>
        <w:autoSpaceDE w:val="0"/>
        <w:autoSpaceDN w:val="0"/>
        <w:adjustRightInd w:val="0"/>
        <w:rPr>
          <w:sz w:val="16"/>
          <w:szCs w:val="16"/>
        </w:rPr>
      </w:pPr>
      <w:r w:rsidRPr="00761625">
        <w:rPr>
          <w:sz w:val="16"/>
        </w:rPr>
        <w:t>1)</w:t>
      </w:r>
      <w:r w:rsidR="004F3E42" w:rsidRPr="00761625">
        <w:rPr>
          <w:sz w:val="16"/>
        </w:rPr>
        <w:t xml:space="preserve"> </w:t>
      </w:r>
      <w:r w:rsidR="00761625">
        <w:rPr>
          <w:sz w:val="16"/>
        </w:rPr>
        <w:tab/>
      </w:r>
      <w:r w:rsidRPr="00761625">
        <w:rPr>
          <w:sz w:val="16"/>
        </w:rPr>
        <w:t>Le budget restructuré après virements tient compte du budget ajusté des programmes après les virements réalisés au cours de l</w:t>
      </w:r>
      <w:r w:rsidR="00A20444" w:rsidRPr="00761625">
        <w:rPr>
          <w:sz w:val="16"/>
        </w:rPr>
        <w:t>’</w:t>
      </w:r>
      <w:r w:rsidRPr="00761625">
        <w:rPr>
          <w:sz w:val="16"/>
        </w:rPr>
        <w:t>exercice 2012</w:t>
      </w:r>
      <w:r w:rsidR="002D6F2A" w:rsidRPr="00761625">
        <w:rPr>
          <w:sz w:val="16"/>
        </w:rPr>
        <w:noBreakHyphen/>
      </w:r>
      <w:r w:rsidRPr="00761625">
        <w:rPr>
          <w:sz w:val="16"/>
        </w:rPr>
        <w:t xml:space="preserve">2013, conformément à </w:t>
      </w:r>
      <w:r w:rsidR="00E15133" w:rsidRPr="00761625">
        <w:rPr>
          <w:sz w:val="16"/>
        </w:rPr>
        <w:t>l</w:t>
      </w:r>
      <w:r w:rsidR="00A20444" w:rsidRPr="00761625">
        <w:rPr>
          <w:sz w:val="16"/>
        </w:rPr>
        <w:t>’</w:t>
      </w:r>
      <w:r w:rsidR="00E15133" w:rsidRPr="00761625">
        <w:rPr>
          <w:sz w:val="16"/>
        </w:rPr>
        <w:t>article 5.5</w:t>
      </w:r>
      <w:r w:rsidRPr="00761625">
        <w:rPr>
          <w:sz w:val="16"/>
        </w:rPr>
        <w:t xml:space="preserve"> du règlement d</w:t>
      </w:r>
      <w:r w:rsidR="00A20444" w:rsidRPr="00761625">
        <w:rPr>
          <w:sz w:val="16"/>
        </w:rPr>
        <w:t>’</w:t>
      </w:r>
      <w:r w:rsidRPr="00761625">
        <w:rPr>
          <w:sz w:val="16"/>
        </w:rPr>
        <w:t>exécution du Règlement financier.</w:t>
      </w:r>
    </w:p>
    <w:p w:rsidR="00D42474" w:rsidRDefault="00D42474" w:rsidP="001A5BF9">
      <w:pPr>
        <w:keepNext/>
        <w:keepLines/>
        <w:autoSpaceDE w:val="0"/>
        <w:autoSpaceDN w:val="0"/>
        <w:adjustRightInd w:val="0"/>
        <w:rPr>
          <w:sz w:val="16"/>
          <w:szCs w:val="16"/>
        </w:rPr>
      </w:pPr>
    </w:p>
    <w:p w:rsidR="00D42474" w:rsidRDefault="0096696E" w:rsidP="001A5BF9">
      <w:pPr>
        <w:keepNext/>
        <w:keepLines/>
        <w:autoSpaceDE w:val="0"/>
        <w:autoSpaceDN w:val="0"/>
        <w:adjustRightInd w:val="0"/>
        <w:rPr>
          <w:sz w:val="16"/>
        </w:rPr>
      </w:pPr>
      <w:r w:rsidRPr="00761625">
        <w:rPr>
          <w:sz w:val="16"/>
        </w:rPr>
        <w:t>2)</w:t>
      </w:r>
      <w:r w:rsidR="00761625">
        <w:rPr>
          <w:sz w:val="16"/>
        </w:rPr>
        <w:tab/>
      </w:r>
      <w:r w:rsidRPr="00761625">
        <w:rPr>
          <w:sz w:val="16"/>
        </w:rPr>
        <w:t>Les dépenses de personnel indiquées dans le budget de l</w:t>
      </w:r>
      <w:r w:rsidR="00A20444" w:rsidRPr="00761625">
        <w:rPr>
          <w:sz w:val="16"/>
        </w:rPr>
        <w:t>’</w:t>
      </w:r>
      <w:r w:rsidRPr="00761625">
        <w:rPr>
          <w:sz w:val="16"/>
        </w:rPr>
        <w:t>exercice 2012</w:t>
      </w:r>
      <w:r w:rsidR="002D6F2A" w:rsidRPr="00761625">
        <w:rPr>
          <w:sz w:val="16"/>
        </w:rPr>
        <w:noBreakHyphen/>
      </w:r>
      <w:r w:rsidRPr="00761625">
        <w:rPr>
          <w:sz w:val="16"/>
        </w:rPr>
        <w:t>2013 après virements représentent les dépenses réelles engagées pendant l</w:t>
      </w:r>
      <w:r w:rsidR="00A20444" w:rsidRPr="00761625">
        <w:rPr>
          <w:sz w:val="16"/>
        </w:rPr>
        <w:t>’</w:t>
      </w:r>
      <w:r w:rsidRPr="00761625">
        <w:rPr>
          <w:sz w:val="16"/>
        </w:rPr>
        <w:t>exercice biennal.</w:t>
      </w:r>
    </w:p>
    <w:p w:rsidR="00D42474" w:rsidRDefault="00D42474" w:rsidP="001A5BF9">
      <w:pPr>
        <w:keepNext/>
        <w:keepLines/>
        <w:autoSpaceDE w:val="0"/>
        <w:autoSpaceDN w:val="0"/>
        <w:adjustRightInd w:val="0"/>
        <w:rPr>
          <w:sz w:val="16"/>
          <w:szCs w:val="16"/>
        </w:rPr>
      </w:pPr>
    </w:p>
    <w:p w:rsidR="00D42474" w:rsidRDefault="00D42474" w:rsidP="001A5BF9">
      <w:pPr>
        <w:jc w:val="both"/>
        <w:rPr>
          <w:rFonts w:cs="Arial"/>
        </w:rPr>
      </w:pPr>
    </w:p>
    <w:p w:rsidR="00D42474" w:rsidRDefault="0096696E" w:rsidP="001A5BF9">
      <w:pPr>
        <w:keepNext/>
        <w:keepLines/>
        <w:jc w:val="both"/>
        <w:rPr>
          <w:u w:val="single"/>
        </w:rPr>
      </w:pPr>
      <w:r w:rsidRPr="00761625">
        <w:t>A.</w:t>
      </w:r>
      <w:r w:rsidRPr="00761625">
        <w:tab/>
      </w:r>
      <w:r w:rsidRPr="00761625">
        <w:rPr>
          <w:u w:val="single"/>
        </w:rPr>
        <w:t>Budget 2012</w:t>
      </w:r>
      <w:r w:rsidR="002D6F2A" w:rsidRPr="00761625">
        <w:rPr>
          <w:u w:val="single"/>
        </w:rPr>
        <w:noBreakHyphen/>
      </w:r>
      <w:r w:rsidRPr="00761625">
        <w:rPr>
          <w:u w:val="single"/>
        </w:rPr>
        <w:t>2013 après virements</w:t>
      </w:r>
    </w:p>
    <w:p w:rsidR="00D42474" w:rsidRDefault="00D42474" w:rsidP="001A5BF9">
      <w:pPr>
        <w:keepNext/>
        <w:keepLines/>
        <w:jc w:val="both"/>
        <w:rPr>
          <w:u w:val="single"/>
        </w:rPr>
      </w:pPr>
    </w:p>
    <w:p w:rsidR="00D42474" w:rsidRDefault="0096696E" w:rsidP="001A5BF9">
      <w:pPr>
        <w:keepNext/>
        <w:keepLines/>
        <w:tabs>
          <w:tab w:val="left" w:pos="709"/>
        </w:tabs>
        <w:autoSpaceDE w:val="0"/>
        <w:autoSpaceDN w:val="0"/>
        <w:adjustRightInd w:val="0"/>
        <w:jc w:val="both"/>
        <w:rPr>
          <w:spacing w:val="-4"/>
        </w:rPr>
      </w:pPr>
      <w:r w:rsidRPr="00761625">
        <w:rPr>
          <w:spacing w:val="-4"/>
        </w:rPr>
        <w:t>9.20.</w:t>
      </w:r>
      <w:r w:rsidRPr="00761625">
        <w:rPr>
          <w:spacing w:val="-4"/>
        </w:rPr>
        <w:tab/>
        <w:t>Le montant total affecté aux dépenses hors personnel du budget 2012</w:t>
      </w:r>
      <w:r w:rsidR="002D6F2A" w:rsidRPr="00761625">
        <w:rPr>
          <w:spacing w:val="-4"/>
        </w:rPr>
        <w:noBreakHyphen/>
      </w:r>
      <w:r w:rsidRPr="00761625">
        <w:rPr>
          <w:spacing w:val="-4"/>
        </w:rPr>
        <w:t xml:space="preserve">2013 après virements reflète </w:t>
      </w:r>
      <w:r w:rsidRPr="005C7CCE">
        <w:rPr>
          <w:spacing w:val="-4"/>
        </w:rPr>
        <w:t>les ajustements à la baisse effectués pour réduire les coûts, conformément aux engagements de l</w:t>
      </w:r>
      <w:r w:rsidR="00A20444" w:rsidRPr="005C7CCE">
        <w:rPr>
          <w:spacing w:val="-4"/>
        </w:rPr>
        <w:t>’</w:t>
      </w:r>
      <w:r w:rsidRPr="005C7CCE">
        <w:rPr>
          <w:spacing w:val="-4"/>
        </w:rPr>
        <w:t>Organisation de réduire les dépenses de 10,2 millions de francs suisses pour l</w:t>
      </w:r>
      <w:r w:rsidR="00A20444" w:rsidRPr="005C7CCE">
        <w:rPr>
          <w:spacing w:val="-4"/>
        </w:rPr>
        <w:t>’</w:t>
      </w:r>
      <w:r w:rsidRPr="005C7CCE">
        <w:rPr>
          <w:spacing w:val="-4"/>
        </w:rPr>
        <w:t>exercice biennal 2012</w:t>
      </w:r>
      <w:r w:rsidR="002D6F2A" w:rsidRPr="005C7CCE">
        <w:rPr>
          <w:spacing w:val="-4"/>
        </w:rPr>
        <w:noBreakHyphen/>
      </w:r>
      <w:r w:rsidRPr="005C7CCE">
        <w:rPr>
          <w:spacing w:val="-4"/>
        </w:rPr>
        <w:t>2013.</w:t>
      </w:r>
    </w:p>
    <w:p w:rsidR="00D42474" w:rsidRDefault="00D42474" w:rsidP="001A5BF9">
      <w:pPr>
        <w:jc w:val="both"/>
      </w:pPr>
    </w:p>
    <w:p w:rsidR="00D42474" w:rsidRDefault="0096696E" w:rsidP="001A5BF9">
      <w:pPr>
        <w:tabs>
          <w:tab w:val="left" w:pos="709"/>
        </w:tabs>
        <w:jc w:val="both"/>
      </w:pPr>
      <w:r w:rsidRPr="005C7CCE">
        <w:t>9.21.</w:t>
      </w:r>
      <w:r w:rsidRPr="005C7CCE">
        <w:tab/>
        <w:t>S</w:t>
      </w:r>
      <w:r w:rsidR="00A20444" w:rsidRPr="005C7CCE">
        <w:t>’</w:t>
      </w:r>
      <w:r w:rsidRPr="005C7CCE">
        <w:t>agissant du budget après virements par résultat, il a été procédé aux ajustements suivants pendant l</w:t>
      </w:r>
      <w:r w:rsidR="00A20444" w:rsidRPr="005C7CCE">
        <w:t>’</w:t>
      </w:r>
      <w:r w:rsidRPr="005C7CCE">
        <w:t>exercice :</w:t>
      </w:r>
    </w:p>
    <w:p w:rsidR="00D42474" w:rsidRDefault="00D42474" w:rsidP="001A5BF9">
      <w:pPr>
        <w:jc w:val="both"/>
        <w:rPr>
          <w:sz w:val="16"/>
          <w:szCs w:val="16"/>
        </w:rPr>
      </w:pPr>
    </w:p>
    <w:p w:rsidR="00D42474" w:rsidRDefault="0096696E" w:rsidP="001A5BF9">
      <w:pPr>
        <w:pStyle w:val="Paragraphedeliste"/>
        <w:numPr>
          <w:ilvl w:val="0"/>
          <w:numId w:val="34"/>
        </w:numPr>
        <w:ind w:left="1134"/>
        <w:jc w:val="both"/>
      </w:pPr>
      <w:r w:rsidRPr="005C7CCE">
        <w:t>transfert des ressources en ce qui concerne le projet du Plan d</w:t>
      </w:r>
      <w:r w:rsidR="00A20444" w:rsidRPr="005C7CCE">
        <w:t>’</w:t>
      </w:r>
      <w:r w:rsidRPr="005C7CCE">
        <w:t>action pour le développement sur la coopération Sud</w:t>
      </w:r>
      <w:r w:rsidR="002D6F2A" w:rsidRPr="005C7CCE">
        <w:noBreakHyphen/>
      </w:r>
      <w:r w:rsidRPr="005C7CCE">
        <w:t>Sud en matière de propriété intellectuelle et de développement entre les pays en développement et les PMA, dans le cadre du résultat </w:t>
      </w:r>
      <w:proofErr w:type="spellStart"/>
      <w:r w:rsidRPr="005C7CCE">
        <w:t>III.6</w:t>
      </w:r>
      <w:proofErr w:type="spellEnd"/>
      <w:r w:rsidRPr="005C7CCE">
        <w:t xml:space="preserve"> (Intégration du Plan d</w:t>
      </w:r>
      <w:r w:rsidR="00A20444" w:rsidRPr="005C7CCE">
        <w:t>’</w:t>
      </w:r>
      <w:r w:rsidRPr="005C7CCE">
        <w:t>action) vers le Fonds de réserve;</w:t>
      </w:r>
    </w:p>
    <w:p w:rsidR="00D42474" w:rsidRDefault="00D42474" w:rsidP="001A5BF9">
      <w:pPr>
        <w:ind w:left="1134"/>
        <w:jc w:val="both"/>
        <w:rPr>
          <w:sz w:val="14"/>
          <w:szCs w:val="20"/>
        </w:rPr>
      </w:pPr>
    </w:p>
    <w:p w:rsidR="00D42474" w:rsidRDefault="0096696E" w:rsidP="001A5BF9">
      <w:pPr>
        <w:pStyle w:val="Paragraphedeliste"/>
        <w:numPr>
          <w:ilvl w:val="0"/>
          <w:numId w:val="34"/>
        </w:numPr>
        <w:ind w:left="1134"/>
        <w:jc w:val="both"/>
      </w:pPr>
      <w:r w:rsidRPr="005C7CCE">
        <w:t>affectation de ressources supplémentaires pour l</w:t>
      </w:r>
      <w:r w:rsidR="00A20444" w:rsidRPr="005C7CCE">
        <w:t>’</w:t>
      </w:r>
      <w:r w:rsidRPr="005C7CCE">
        <w:t>élaboration de stratégies en matière de propriété intellectuelle nationale dans le cadre du résultat </w:t>
      </w:r>
      <w:proofErr w:type="spellStart"/>
      <w:r w:rsidRPr="005C7CCE">
        <w:t>III.1</w:t>
      </w:r>
      <w:proofErr w:type="spellEnd"/>
      <w:r w:rsidRPr="005C7CCE">
        <w:t xml:space="preserve"> (Stratégies nationales en matière de propriété intellectuelle) suite au renforcement de la concentration sur ces activités, y compris la mise en œuvre du projet du Plan d</w:t>
      </w:r>
      <w:r w:rsidR="00A20444" w:rsidRPr="005C7CCE">
        <w:t>’</w:t>
      </w:r>
      <w:r w:rsidRPr="005C7CCE">
        <w:t>action pour le développement relatif aux stratégies nationales en matière de propriété intellectuelle;</w:t>
      </w:r>
    </w:p>
    <w:p w:rsidR="00D42474" w:rsidRDefault="00D42474" w:rsidP="001A5BF9">
      <w:pPr>
        <w:pStyle w:val="Paragraphedeliste"/>
        <w:ind w:left="1134"/>
        <w:jc w:val="both"/>
        <w:rPr>
          <w:sz w:val="14"/>
        </w:rPr>
      </w:pPr>
    </w:p>
    <w:p w:rsidR="00D42474" w:rsidRDefault="0096696E" w:rsidP="001A5BF9">
      <w:pPr>
        <w:pStyle w:val="Paragraphedeliste"/>
        <w:numPr>
          <w:ilvl w:val="0"/>
          <w:numId w:val="34"/>
        </w:numPr>
        <w:ind w:left="1134"/>
        <w:jc w:val="both"/>
        <w:rPr>
          <w:color w:val="000000"/>
        </w:rPr>
      </w:pPr>
      <w:r w:rsidRPr="005C7CCE">
        <w:t>migration des ressources du résultat </w:t>
      </w:r>
      <w:proofErr w:type="spellStart"/>
      <w:r w:rsidRPr="005C7CCE">
        <w:t>III.3</w:t>
      </w:r>
      <w:proofErr w:type="spellEnd"/>
      <w:r w:rsidRPr="005C7CCE">
        <w:t xml:space="preserve"> (renforcement ou institution de mécanismes de coopération, programmes et partenariats dans les PMA) vers le résultat </w:t>
      </w:r>
      <w:proofErr w:type="spellStart"/>
      <w:r w:rsidRPr="005C7CCE">
        <w:t>IV.2</w:t>
      </w:r>
      <w:proofErr w:type="spellEnd"/>
      <w:r w:rsidRPr="005C7CCE">
        <w:t xml:space="preserve"> (Accès amélioré à l</w:t>
      </w:r>
      <w:r w:rsidR="00A20444" w:rsidRPr="005C7CCE">
        <w:t>’</w:t>
      </w:r>
      <w:r w:rsidRPr="005C7CCE">
        <w:t>information et aux savoirs en matière de propriété intellectuelle) reflétant une concentration accrue sur la mise en place de CATI dans les PMA et la mise en œuvre du projet du Plan d</w:t>
      </w:r>
      <w:r w:rsidR="00A20444" w:rsidRPr="005C7CCE">
        <w:t>’</w:t>
      </w:r>
      <w:r w:rsidRPr="005C7CCE">
        <w:t>action pour le développement relatif aux technologies appropriées dans les PMA;</w:t>
      </w:r>
    </w:p>
    <w:p w:rsidR="00D42474" w:rsidRDefault="00D42474" w:rsidP="001A5BF9">
      <w:pPr>
        <w:pStyle w:val="Paragraphedeliste"/>
        <w:ind w:left="1134"/>
        <w:jc w:val="both"/>
        <w:rPr>
          <w:sz w:val="14"/>
        </w:rPr>
      </w:pPr>
    </w:p>
    <w:p w:rsidR="00D42474" w:rsidRDefault="0096696E" w:rsidP="001A5BF9">
      <w:pPr>
        <w:pStyle w:val="Paragraphedeliste"/>
        <w:numPr>
          <w:ilvl w:val="0"/>
          <w:numId w:val="34"/>
        </w:numPr>
        <w:ind w:left="1134"/>
        <w:jc w:val="both"/>
      </w:pPr>
      <w:r w:rsidRPr="005C7CCE">
        <w:t>migration des ressources du résultat </w:t>
      </w:r>
      <w:proofErr w:type="spellStart"/>
      <w:r w:rsidRPr="005C7CCE">
        <w:t>III.7</w:t>
      </w:r>
      <w:proofErr w:type="spellEnd"/>
      <w:r w:rsidRPr="005C7CCE">
        <w:t xml:space="preserve"> (Suivi efficace des recommandations du Plan d</w:t>
      </w:r>
      <w:r w:rsidR="00A20444" w:rsidRPr="005C7CCE">
        <w:t>’</w:t>
      </w:r>
      <w:r w:rsidRPr="005C7CCE">
        <w:t>action pour le développement) vers le résultat </w:t>
      </w:r>
      <w:proofErr w:type="spellStart"/>
      <w:r w:rsidRPr="005C7CCE">
        <w:t>III.5</w:t>
      </w:r>
      <w:proofErr w:type="spellEnd"/>
      <w:r w:rsidRPr="005C7CCE">
        <w:t xml:space="preserve"> (Mise à niveau des compétences en matière de gestion de la propriété intellectuelle pour les entreprises) traduisant la mise en œuvre du projet du Plan d</w:t>
      </w:r>
      <w:r w:rsidR="00A20444" w:rsidRPr="005C7CCE">
        <w:t>’</w:t>
      </w:r>
      <w:r w:rsidRPr="005C7CCE">
        <w:t>action pour le développement sur la création de marques de produits;</w:t>
      </w:r>
      <w:r w:rsidR="004F3E42" w:rsidRPr="005C7CCE">
        <w:t xml:space="preserve"> </w:t>
      </w:r>
      <w:r w:rsidR="0010442A" w:rsidRPr="005C7CCE">
        <w:t xml:space="preserve"> </w:t>
      </w:r>
      <w:r w:rsidRPr="005C7CCE">
        <w:t>et</w:t>
      </w:r>
    </w:p>
    <w:p w:rsidR="00D42474" w:rsidRDefault="00D42474" w:rsidP="001A5BF9">
      <w:pPr>
        <w:pStyle w:val="Paragraphedeliste"/>
        <w:ind w:left="1134"/>
        <w:jc w:val="both"/>
        <w:rPr>
          <w:sz w:val="14"/>
        </w:rPr>
      </w:pPr>
    </w:p>
    <w:p w:rsidR="00D42474" w:rsidRDefault="0096696E" w:rsidP="001A5BF9">
      <w:pPr>
        <w:pStyle w:val="Paragraphedeliste"/>
        <w:numPr>
          <w:ilvl w:val="0"/>
          <w:numId w:val="34"/>
        </w:numPr>
        <w:ind w:left="1134"/>
        <w:jc w:val="both"/>
      </w:pPr>
      <w:r w:rsidRPr="00761625">
        <w:t xml:space="preserve">une diminution des ressources au titre du résultat </w:t>
      </w:r>
      <w:proofErr w:type="spellStart"/>
      <w:r w:rsidRPr="00761625">
        <w:t>IV.5</w:t>
      </w:r>
      <w:proofErr w:type="spellEnd"/>
      <w:r w:rsidRPr="00761625">
        <w:t xml:space="preserve"> (amélioration de l</w:t>
      </w:r>
      <w:r w:rsidR="00A20444" w:rsidRPr="00761625">
        <w:t>’</w:t>
      </w:r>
      <w:r w:rsidRPr="00761625">
        <w:t>infrastructure technique et du savoir) est due à la poursuite de l</w:t>
      </w:r>
      <w:r w:rsidR="00A20444" w:rsidRPr="00761625">
        <w:t>’</w:t>
      </w:r>
      <w:r w:rsidRPr="00761625">
        <w:t>intégration au programme 15 des activités liées à l</w:t>
      </w:r>
      <w:r w:rsidR="00A20444" w:rsidRPr="00761625">
        <w:t>’</w:t>
      </w:r>
      <w:r w:rsidRPr="00761625">
        <w:t>infrastructure des offices de propriété intellectuelle.</w:t>
      </w:r>
    </w:p>
    <w:p w:rsidR="00D42474" w:rsidRDefault="00D42474" w:rsidP="001A5BF9">
      <w:pPr>
        <w:jc w:val="both"/>
      </w:pPr>
    </w:p>
    <w:p w:rsidR="00D42474" w:rsidRDefault="00761625">
      <w:r>
        <w:br w:type="page"/>
      </w:r>
    </w:p>
    <w:p w:rsidR="00D42474" w:rsidRDefault="0096696E" w:rsidP="001A5BF9">
      <w:pPr>
        <w:keepNext/>
        <w:keepLines/>
        <w:tabs>
          <w:tab w:val="left" w:pos="709"/>
        </w:tabs>
        <w:jc w:val="both"/>
        <w:rPr>
          <w:rFonts w:eastAsia="Batang"/>
          <w:u w:val="single"/>
        </w:rPr>
      </w:pPr>
      <w:r w:rsidRPr="005C7CCE">
        <w:t>B.</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Pr>
        <w:keepNext/>
        <w:keepLines/>
        <w:jc w:val="both"/>
        <w:rPr>
          <w:b/>
          <w:bCs/>
        </w:rPr>
      </w:pPr>
    </w:p>
    <w:p w:rsidR="00D42474" w:rsidRDefault="0096696E" w:rsidP="001A5BF9">
      <w:pPr>
        <w:tabs>
          <w:tab w:val="left" w:pos="709"/>
        </w:tabs>
        <w:jc w:val="both"/>
        <w:rPr>
          <w:rFonts w:eastAsia="Batang" w:cs="Arial"/>
          <w:szCs w:val="20"/>
        </w:rPr>
      </w:pPr>
      <w:r w:rsidRPr="005C7CCE">
        <w:t>9.22.</w:t>
      </w:r>
      <w:r w:rsidRPr="005C7CCE">
        <w:tab/>
        <w:t>Le taux d</w:t>
      </w:r>
      <w:r w:rsidR="00A20444" w:rsidRPr="005C7CCE">
        <w:t>’</w:t>
      </w:r>
      <w:r w:rsidRPr="005C7CCE">
        <w:t>utilisation du budget pour les dépenses autres que les dépenses de personnel s</w:t>
      </w:r>
      <w:r w:rsidR="00A20444" w:rsidRPr="005C7CCE">
        <w:t>’</w:t>
      </w:r>
      <w:r w:rsidRPr="005C7CCE">
        <w:t>élève à 81</w:t>
      </w:r>
      <w:r w:rsidR="007E442D" w:rsidRPr="005C7CCE">
        <w:t>%</w:t>
      </w:r>
      <w:r w:rsidRPr="005C7CCE">
        <w:t xml:space="preserve"> du budget après virements.</w:t>
      </w:r>
      <w:r w:rsidR="0010442A" w:rsidRPr="005C7CCE">
        <w:t xml:space="preserve"> </w:t>
      </w:r>
      <w:r w:rsidRPr="005C7CCE">
        <w:t xml:space="preserve"> La sous</w:t>
      </w:r>
      <w:r w:rsidR="002D6F2A" w:rsidRPr="005C7CCE">
        <w:noBreakHyphen/>
      </w:r>
      <w:r w:rsidRPr="005C7CCE">
        <w:t>utilisation des ressources hors personnel s</w:t>
      </w:r>
      <w:r w:rsidR="00A20444" w:rsidRPr="005C7CCE">
        <w:t>’</w:t>
      </w:r>
      <w:r w:rsidRPr="005C7CCE">
        <w:t>explique principalement par :</w:t>
      </w:r>
    </w:p>
    <w:p w:rsidR="00D42474" w:rsidRDefault="00D42474" w:rsidP="001A5BF9">
      <w:pPr>
        <w:jc w:val="both"/>
        <w:rPr>
          <w:rFonts w:cs="Arial"/>
          <w:sz w:val="14"/>
        </w:rPr>
      </w:pPr>
    </w:p>
    <w:p w:rsidR="00D42474" w:rsidRDefault="0096696E" w:rsidP="001A5BF9">
      <w:pPr>
        <w:pStyle w:val="Paragraphedeliste"/>
        <w:numPr>
          <w:ilvl w:val="0"/>
          <w:numId w:val="33"/>
        </w:numPr>
        <w:ind w:left="1134"/>
        <w:jc w:val="both"/>
        <w:rPr>
          <w:rFonts w:cs="Arial"/>
        </w:rPr>
      </w:pPr>
      <w:r w:rsidRPr="005C7CCE">
        <w:t>le report de certaines activités planifiées liées à l</w:t>
      </w:r>
      <w:r w:rsidR="00A20444" w:rsidRPr="005C7CCE">
        <w:t>’</w:t>
      </w:r>
      <w:r w:rsidRPr="005C7CCE">
        <w:t>adhésion aux traités et conventions administrées par l</w:t>
      </w:r>
      <w:r w:rsidR="00A20444" w:rsidRPr="005C7CCE">
        <w:t>’</w:t>
      </w:r>
      <w:r w:rsidRPr="005C7CCE">
        <w:t>OMPI, l</w:t>
      </w:r>
      <w:r w:rsidR="00A20444" w:rsidRPr="005C7CCE">
        <w:t>’</w:t>
      </w:r>
      <w:r w:rsidRPr="005C7CCE">
        <w:t>assistance législative et l</w:t>
      </w:r>
      <w:r w:rsidR="00A20444" w:rsidRPr="005C7CCE">
        <w:t>’</w:t>
      </w:r>
      <w:r w:rsidRPr="005C7CCE">
        <w:t>infrastructure mondiale de propriété intellectuelle, en raison d</w:t>
      </w:r>
      <w:r w:rsidR="00A20444" w:rsidRPr="005C7CCE">
        <w:t>’</w:t>
      </w:r>
      <w:r w:rsidRPr="005C7CCE">
        <w:t>une durée plus longue que prévue des travaux préparatoires nécessaires à la mise en œuvre de certaines manifestations;</w:t>
      </w:r>
    </w:p>
    <w:p w:rsidR="00D42474" w:rsidRDefault="00D42474" w:rsidP="001A5BF9">
      <w:pPr>
        <w:ind w:left="1134"/>
        <w:jc w:val="both"/>
        <w:rPr>
          <w:rFonts w:cs="Arial"/>
          <w:sz w:val="14"/>
        </w:rPr>
      </w:pPr>
    </w:p>
    <w:p w:rsidR="00D42474" w:rsidRDefault="0096696E" w:rsidP="001A5BF9">
      <w:pPr>
        <w:pStyle w:val="Paragraphedeliste"/>
        <w:numPr>
          <w:ilvl w:val="0"/>
          <w:numId w:val="33"/>
        </w:numPr>
        <w:ind w:left="1134"/>
        <w:jc w:val="both"/>
        <w:rPr>
          <w:rFonts w:cs="Arial"/>
        </w:rPr>
      </w:pPr>
      <w:r w:rsidRPr="005C7CCE">
        <w:t>l</w:t>
      </w:r>
      <w:r w:rsidR="00A20444" w:rsidRPr="005C7CCE">
        <w:t>’</w:t>
      </w:r>
      <w:r w:rsidRPr="005C7CCE">
        <w:t>annulation ou le report de certaines activités liées à l</w:t>
      </w:r>
      <w:r w:rsidR="00A20444" w:rsidRPr="005C7CCE">
        <w:t>’</w:t>
      </w:r>
      <w:r w:rsidRPr="005C7CCE">
        <w:t>élaboration et à la mise en œuvre de politiques/stratégies de propriété intellectuelle, d</w:t>
      </w:r>
      <w:r w:rsidR="00A20444" w:rsidRPr="005C7CCE">
        <w:t>’</w:t>
      </w:r>
      <w:r w:rsidRPr="005C7CCE">
        <w:t>assistance législative et de promotion du respect de la propriété intellectuelle, suite à des préoccupations permanentes de sécurité et/ou aux situations politiques de certains pays;</w:t>
      </w:r>
      <w:r w:rsidR="004F3E42" w:rsidRPr="005C7CCE">
        <w:t xml:space="preserve"> </w:t>
      </w:r>
      <w:r w:rsidR="0010442A" w:rsidRPr="005C7CCE">
        <w:t xml:space="preserve"> </w:t>
      </w:r>
      <w:r w:rsidRPr="005C7CCE">
        <w:t>et</w:t>
      </w:r>
    </w:p>
    <w:p w:rsidR="00D42474" w:rsidRDefault="00D42474" w:rsidP="001A5BF9">
      <w:pPr>
        <w:ind w:left="1134"/>
        <w:jc w:val="both"/>
        <w:rPr>
          <w:rFonts w:cs="Arial"/>
          <w:sz w:val="14"/>
        </w:rPr>
      </w:pPr>
    </w:p>
    <w:p w:rsidR="00D42474" w:rsidRDefault="0096696E" w:rsidP="001A5BF9">
      <w:pPr>
        <w:pStyle w:val="Paragraphedeliste"/>
        <w:numPr>
          <w:ilvl w:val="0"/>
          <w:numId w:val="33"/>
        </w:numPr>
        <w:ind w:left="1134"/>
        <w:jc w:val="both"/>
        <w:rPr>
          <w:rFonts w:cs="Arial"/>
        </w:rPr>
      </w:pPr>
      <w:r w:rsidRPr="005C7CCE">
        <w:t>des économies découlant des changements dans les modalités de prestation de certaines activités liées à l</w:t>
      </w:r>
      <w:r w:rsidR="00A20444" w:rsidRPr="005C7CCE">
        <w:t>’</w:t>
      </w:r>
      <w:r w:rsidRPr="005C7CCE">
        <w:t xml:space="preserve">élaboration de politiques/stratégies de propriété intellectuelle. </w:t>
      </w:r>
      <w:r w:rsidR="0010442A" w:rsidRPr="005C7CCE">
        <w:t xml:space="preserve"> </w:t>
      </w:r>
    </w:p>
    <w:p w:rsidR="00D42474" w:rsidRDefault="00D42474" w:rsidP="00761625"/>
    <w:p w:rsidR="00D42474" w:rsidRDefault="00D42474" w:rsidP="00761625">
      <w:pPr>
        <w:pStyle w:val="Paragraphedeliste"/>
        <w:ind w:left="0"/>
        <w:jc w:val="both"/>
      </w:pPr>
    </w:p>
    <w:p w:rsidR="00D42474" w:rsidRDefault="0096696E" w:rsidP="00761625">
      <w:pPr>
        <w:pStyle w:val="Paragraphedeliste"/>
        <w:ind w:left="0"/>
        <w:jc w:val="both"/>
        <w:rPr>
          <w:rFonts w:cs="Arial"/>
        </w:rPr>
      </w:pPr>
      <w:r w:rsidRPr="005C7CCE">
        <w:br w:type="page"/>
      </w:r>
    </w:p>
    <w:p w:rsidR="00D42474" w:rsidRDefault="0096696E" w:rsidP="001A5BF9">
      <w:pPr>
        <w:pStyle w:val="Heading3"/>
        <w:rPr>
          <w:szCs w:val="22"/>
        </w:rPr>
      </w:pPr>
      <w:bookmarkStart w:id="22" w:name="_Toc395082475"/>
      <w:r w:rsidRPr="00761625">
        <w:rPr>
          <w:szCs w:val="22"/>
        </w:rPr>
        <w:t>Programme 10</w:t>
      </w:r>
      <w:r w:rsidRPr="00761625">
        <w:rPr>
          <w:szCs w:val="22"/>
        </w:rPr>
        <w:tab/>
        <w:t>Coopération avec certains pays d</w:t>
      </w:r>
      <w:r w:rsidR="00A20444" w:rsidRPr="00761625">
        <w:rPr>
          <w:szCs w:val="22"/>
        </w:rPr>
        <w:t>’</w:t>
      </w:r>
      <w:r w:rsidRPr="00761625">
        <w:rPr>
          <w:szCs w:val="22"/>
        </w:rPr>
        <w:t>Europe et d</w:t>
      </w:r>
      <w:r w:rsidR="00A20444" w:rsidRPr="00761625">
        <w:rPr>
          <w:szCs w:val="22"/>
        </w:rPr>
        <w:t>’</w:t>
      </w:r>
      <w:r w:rsidRPr="00761625">
        <w:rPr>
          <w:szCs w:val="22"/>
        </w:rPr>
        <w:t>Asie</w:t>
      </w:r>
      <w:bookmarkEnd w:id="22"/>
    </w:p>
    <w:p w:rsidR="00D42474" w:rsidRDefault="00D42474" w:rsidP="001A5BF9">
      <w:pPr>
        <w:ind w:left="2268" w:hanging="2268"/>
        <w:rPr>
          <w:rFonts w:cs="Arial"/>
          <w:b/>
          <w:sz w:val="22"/>
          <w:szCs w:val="22"/>
        </w:rPr>
      </w:pPr>
    </w:p>
    <w:p w:rsidR="00D42474" w:rsidRDefault="0096696E" w:rsidP="001A5BF9">
      <w:pPr>
        <w:ind w:left="2268" w:hanging="2268"/>
        <w:rPr>
          <w:rFonts w:cs="Arial"/>
          <w:b/>
          <w:sz w:val="22"/>
          <w:szCs w:val="22"/>
        </w:rPr>
      </w:pPr>
      <w:r w:rsidRPr="00761625">
        <w:rPr>
          <w:b/>
          <w:sz w:val="22"/>
          <w:szCs w:val="22"/>
        </w:rPr>
        <w:t>Chef de programme</w:t>
      </w:r>
      <w:r w:rsidRPr="00761625">
        <w:rPr>
          <w:b/>
          <w:sz w:val="22"/>
          <w:szCs w:val="22"/>
        </w:rPr>
        <w:tab/>
        <w:t>Le Directeur général</w:t>
      </w:r>
    </w:p>
    <w:p w:rsidR="00D42474" w:rsidRDefault="00D42474" w:rsidP="001A5BF9">
      <w:pPr>
        <w:ind w:left="2268" w:hanging="2268"/>
        <w:rPr>
          <w:rFonts w:cs="Arial"/>
          <w:b/>
          <w:sz w:val="22"/>
          <w:szCs w:val="22"/>
        </w:rPr>
      </w:pPr>
    </w:p>
    <w:p w:rsidR="00D42474" w:rsidRDefault="00D42474" w:rsidP="001A5BF9">
      <w:pPr>
        <w:ind w:left="2268" w:hanging="2268"/>
        <w:rPr>
          <w:rFonts w:cs="Arial"/>
          <w:b/>
          <w:bCs/>
          <w:sz w:val="22"/>
          <w:szCs w:val="22"/>
        </w:rPr>
      </w:pPr>
    </w:p>
    <w:p w:rsidR="00D42474" w:rsidRDefault="0096696E" w:rsidP="001A5BF9">
      <w:pPr>
        <w:ind w:left="2268" w:hanging="2268"/>
        <w:rPr>
          <w:rFonts w:cs="Arial"/>
          <w:sz w:val="22"/>
          <w:szCs w:val="22"/>
        </w:rPr>
      </w:pPr>
      <w:r w:rsidRPr="00761625">
        <w:rPr>
          <w:sz w:val="22"/>
          <w:szCs w:val="22"/>
        </w:rPr>
        <w:t>RÉALISATIONS EN 2012</w:t>
      </w:r>
      <w:r w:rsidR="002D6F2A" w:rsidRPr="00761625">
        <w:rPr>
          <w:sz w:val="22"/>
          <w:szCs w:val="22"/>
        </w:rPr>
        <w:noBreakHyphen/>
      </w:r>
      <w:r w:rsidRPr="00761625">
        <w:rPr>
          <w:sz w:val="22"/>
          <w:szCs w:val="22"/>
        </w:rPr>
        <w:t>2013</w:t>
      </w:r>
    </w:p>
    <w:p w:rsidR="00D42474" w:rsidRDefault="00D42474" w:rsidP="001A5BF9">
      <w:pPr>
        <w:ind w:left="2268" w:hanging="2268"/>
        <w:rPr>
          <w:rFonts w:cs="Arial"/>
          <w:b/>
          <w:sz w:val="22"/>
          <w:szCs w:val="22"/>
        </w:rPr>
      </w:pPr>
    </w:p>
    <w:p w:rsidR="00D42474" w:rsidRDefault="0096696E" w:rsidP="001A5BF9">
      <w:pPr>
        <w:tabs>
          <w:tab w:val="left" w:pos="709"/>
        </w:tabs>
        <w:jc w:val="both"/>
      </w:pPr>
      <w:r w:rsidRPr="00761625">
        <w:t>10.1.</w:t>
      </w:r>
      <w:r w:rsidRPr="00761625">
        <w:tab/>
        <w:t>Les travaux du programme 10 ont continué d</w:t>
      </w:r>
      <w:r w:rsidR="00A20444" w:rsidRPr="00761625">
        <w:t>’</w:t>
      </w:r>
      <w:r w:rsidRPr="00761625">
        <w:t>améliorer et de coordonner, avec le concours de tous les secteurs concernés, la mise en œuvre des activités de coopération entre pays en Europe centrale, dans les États baltes, en Asie centrale, en Europe orientale, dans le Caucase ainsi que dans certains pays méditerranéens.</w:t>
      </w:r>
    </w:p>
    <w:p w:rsidR="00D42474" w:rsidRDefault="00D42474" w:rsidP="001A5BF9">
      <w:pPr>
        <w:tabs>
          <w:tab w:val="left" w:pos="709"/>
        </w:tabs>
        <w:jc w:val="both"/>
        <w:rPr>
          <w:rFonts w:cs="Arial"/>
          <w:szCs w:val="20"/>
        </w:rPr>
      </w:pPr>
    </w:p>
    <w:p w:rsidR="00D42474" w:rsidRDefault="0096696E" w:rsidP="001A5BF9">
      <w:pPr>
        <w:tabs>
          <w:tab w:val="left" w:pos="709"/>
        </w:tabs>
        <w:jc w:val="both"/>
      </w:pPr>
      <w:r w:rsidRPr="00761625">
        <w:t>10.2.</w:t>
      </w:r>
      <w:r w:rsidRPr="00761625">
        <w:tab/>
        <w:t>Dans le cadre de ce programme, la planification à long terme a été renforcée et une approche stratégique a été adoptée en matière de propriété intellectuelle dans les pays concernés, afin de cibler les besoins réels des États membres et non des objectifs à court terme.</w:t>
      </w:r>
    </w:p>
    <w:p w:rsidR="00D42474" w:rsidRDefault="00D42474" w:rsidP="001A5BF9">
      <w:pPr>
        <w:tabs>
          <w:tab w:val="left" w:pos="709"/>
        </w:tabs>
        <w:jc w:val="both"/>
        <w:rPr>
          <w:rFonts w:cs="Arial"/>
          <w:color w:val="000000"/>
          <w:szCs w:val="20"/>
        </w:rPr>
      </w:pPr>
    </w:p>
    <w:p w:rsidR="00D42474" w:rsidRDefault="0096696E" w:rsidP="001A5BF9">
      <w:pPr>
        <w:tabs>
          <w:tab w:val="left" w:pos="709"/>
        </w:tabs>
        <w:autoSpaceDE w:val="0"/>
        <w:autoSpaceDN w:val="0"/>
        <w:adjustRightInd w:val="0"/>
        <w:jc w:val="both"/>
        <w:rPr>
          <w:color w:val="000000"/>
        </w:rPr>
      </w:pPr>
      <w:r w:rsidRPr="005C7CCE">
        <w:rPr>
          <w:color w:val="000000"/>
        </w:rPr>
        <w:t>10.3.</w:t>
      </w:r>
      <w:r w:rsidRPr="005C7CCE">
        <w:rPr>
          <w:color w:val="000000"/>
        </w:rPr>
        <w:tab/>
        <w:t>En tant que priorité de la coopération avec les pays en transition, l</w:t>
      </w:r>
      <w:r w:rsidR="00A20444" w:rsidRPr="005C7CCE">
        <w:rPr>
          <w:color w:val="000000"/>
        </w:rPr>
        <w:t>’</w:t>
      </w:r>
      <w:r w:rsidRPr="005C7CCE">
        <w:rPr>
          <w:color w:val="000000"/>
        </w:rPr>
        <w:t>OMPI a continué de promouvoir l</w:t>
      </w:r>
      <w:r w:rsidR="00A20444" w:rsidRPr="005C7CCE">
        <w:rPr>
          <w:color w:val="000000"/>
        </w:rPr>
        <w:t>’</w:t>
      </w:r>
      <w:r w:rsidRPr="005C7CCE">
        <w:rPr>
          <w:color w:val="000000"/>
        </w:rPr>
        <w:t>importance et/ou d</w:t>
      </w:r>
      <w:r w:rsidR="00A20444" w:rsidRPr="005C7CCE">
        <w:rPr>
          <w:color w:val="000000"/>
        </w:rPr>
        <w:t>’</w:t>
      </w:r>
      <w:r w:rsidRPr="005C7CCE">
        <w:rPr>
          <w:color w:val="000000"/>
        </w:rPr>
        <w:t>apporter son assistance à l</w:t>
      </w:r>
      <w:r w:rsidR="00A20444" w:rsidRPr="005C7CCE">
        <w:rPr>
          <w:color w:val="000000"/>
        </w:rPr>
        <w:t>’</w:t>
      </w:r>
      <w:r w:rsidRPr="005C7CCE">
        <w:rPr>
          <w:color w:val="000000"/>
        </w:rPr>
        <w:t xml:space="preserve">élaboration et à la mise en œuvre de stratégies nationales de propriété intellectuelle dans la région. </w:t>
      </w:r>
      <w:r w:rsidR="0010442A" w:rsidRPr="005C7CCE">
        <w:rPr>
          <w:color w:val="000000"/>
        </w:rPr>
        <w:t xml:space="preserve"> </w:t>
      </w:r>
      <w:r w:rsidRPr="005C7CCE">
        <w:rPr>
          <w:color w:val="000000"/>
        </w:rPr>
        <w:t>En conséquence, les pays suivants ont adopté une stratégie nationale de propriété intellectuelle au cours de l</w:t>
      </w:r>
      <w:r w:rsidR="00A20444" w:rsidRPr="005C7CCE">
        <w:rPr>
          <w:color w:val="000000"/>
        </w:rPr>
        <w:t>’</w:t>
      </w:r>
      <w:r w:rsidRPr="005C7CCE">
        <w:rPr>
          <w:color w:val="000000"/>
        </w:rPr>
        <w:t>exercice biennal : le Bélarus, le Kirghizistan, le Monténégro, la Moldavie, la Roumanie, la Slovénie et l</w:t>
      </w:r>
      <w:r w:rsidR="00A20444" w:rsidRPr="005C7CCE">
        <w:rPr>
          <w:color w:val="000000"/>
        </w:rPr>
        <w:t>’</w:t>
      </w:r>
      <w:r w:rsidRPr="005C7CCE">
        <w:rPr>
          <w:color w:val="000000"/>
        </w:rPr>
        <w:t xml:space="preserve">ancienne République yougoslave de Macédoine. </w:t>
      </w:r>
      <w:r w:rsidR="0010442A" w:rsidRPr="005C7CCE">
        <w:rPr>
          <w:color w:val="000000"/>
        </w:rPr>
        <w:t xml:space="preserve"> </w:t>
      </w:r>
      <w:r w:rsidRPr="005C7CCE">
        <w:rPr>
          <w:color w:val="000000"/>
        </w:rPr>
        <w:t>Le Tadjikistan a initié l</w:t>
      </w:r>
      <w:r w:rsidR="00A20444" w:rsidRPr="005C7CCE">
        <w:rPr>
          <w:color w:val="000000"/>
        </w:rPr>
        <w:t>’</w:t>
      </w:r>
      <w:r w:rsidRPr="005C7CCE">
        <w:rPr>
          <w:color w:val="000000"/>
        </w:rPr>
        <w:t>élaboration d</w:t>
      </w:r>
      <w:r w:rsidR="00A20444" w:rsidRPr="005C7CCE">
        <w:rPr>
          <w:color w:val="000000"/>
        </w:rPr>
        <w:t>’</w:t>
      </w:r>
      <w:r w:rsidRPr="005C7CCE">
        <w:rPr>
          <w:color w:val="000000"/>
        </w:rPr>
        <w:t>une nouvelle stratégie de propriété intellectuelle.</w:t>
      </w:r>
      <w:r w:rsidR="0010442A" w:rsidRPr="005C7CCE">
        <w:rPr>
          <w:color w:val="000000"/>
        </w:rPr>
        <w:t xml:space="preserve"> </w:t>
      </w:r>
      <w:r w:rsidRPr="005C7CCE">
        <w:rPr>
          <w:color w:val="000000"/>
        </w:rPr>
        <w:t xml:space="preserve"> En outre, des </w:t>
      </w:r>
      <w:proofErr w:type="spellStart"/>
      <w:r w:rsidRPr="005C7CCE">
        <w:rPr>
          <w:color w:val="000000"/>
        </w:rPr>
        <w:t>mémorandums</w:t>
      </w:r>
      <w:proofErr w:type="spellEnd"/>
      <w:r w:rsidRPr="005C7CCE">
        <w:rPr>
          <w:color w:val="000000"/>
        </w:rPr>
        <w:t xml:space="preserve"> d</w:t>
      </w:r>
      <w:r w:rsidR="00A20444" w:rsidRPr="005C7CCE">
        <w:rPr>
          <w:color w:val="000000"/>
        </w:rPr>
        <w:t>’</w:t>
      </w:r>
      <w:r w:rsidRPr="005C7CCE">
        <w:rPr>
          <w:color w:val="000000"/>
        </w:rPr>
        <w:t>accord ont été signés entre l</w:t>
      </w:r>
      <w:r w:rsidR="00A20444" w:rsidRPr="005C7CCE">
        <w:rPr>
          <w:color w:val="000000"/>
        </w:rPr>
        <w:t>’</w:t>
      </w:r>
      <w:r w:rsidRPr="005C7CCE">
        <w:rPr>
          <w:color w:val="000000"/>
        </w:rPr>
        <w:t>OMPI et plusieurs partenaires nationaux en matière de coopération pluriannuelle.</w:t>
      </w:r>
    </w:p>
    <w:p w:rsidR="00D42474" w:rsidRDefault="00D42474" w:rsidP="001A5BF9">
      <w:pPr>
        <w:tabs>
          <w:tab w:val="left" w:pos="709"/>
        </w:tabs>
        <w:autoSpaceDE w:val="0"/>
        <w:autoSpaceDN w:val="0"/>
        <w:adjustRightInd w:val="0"/>
        <w:jc w:val="both"/>
        <w:rPr>
          <w:rFonts w:cs="Arial"/>
          <w:bCs/>
          <w:szCs w:val="20"/>
        </w:rPr>
      </w:pPr>
    </w:p>
    <w:p w:rsidR="00D42474" w:rsidRDefault="0096696E" w:rsidP="001A5BF9">
      <w:pPr>
        <w:pStyle w:val="Paragraphedeliste"/>
        <w:tabs>
          <w:tab w:val="left" w:pos="709"/>
        </w:tabs>
        <w:autoSpaceDE w:val="0"/>
        <w:autoSpaceDN w:val="0"/>
        <w:adjustRightInd w:val="0"/>
        <w:ind w:left="0"/>
        <w:jc w:val="both"/>
        <w:rPr>
          <w:rFonts w:cs="Arial"/>
        </w:rPr>
      </w:pPr>
      <w:r w:rsidRPr="005C7CCE">
        <w:t>10.4.</w:t>
      </w:r>
      <w:r w:rsidRPr="005C7CCE">
        <w:tab/>
        <w:t>Afin d</w:t>
      </w:r>
      <w:r w:rsidR="00A20444" w:rsidRPr="005C7CCE">
        <w:t>’</w:t>
      </w:r>
      <w:r w:rsidRPr="005C7CCE">
        <w:t>améliorer la coordination, la promotion et la prestation des services de l</w:t>
      </w:r>
      <w:r w:rsidR="00A20444" w:rsidRPr="005C7CCE">
        <w:t>’</w:t>
      </w:r>
      <w:r w:rsidRPr="005C7CCE">
        <w:t xml:space="preserve">OMPI et des programmes dans les pays développés, la nouvelle Section de la coordination pour les pays développés a été instituée en 2013. </w:t>
      </w:r>
      <w:r w:rsidR="0010442A" w:rsidRPr="005C7CCE">
        <w:t xml:space="preserve"> </w:t>
      </w:r>
      <w:r w:rsidRPr="005C7CCE">
        <w:t>Cette section est axée sur le renforcement des relations institutionnelles dans ces pays, afin d</w:t>
      </w:r>
      <w:r w:rsidR="00A20444" w:rsidRPr="005C7CCE">
        <w:t>’</w:t>
      </w:r>
      <w:r w:rsidRPr="005C7CCE">
        <w:t>élargir la vulgarisation de l</w:t>
      </w:r>
      <w:r w:rsidR="00A20444" w:rsidRPr="005C7CCE">
        <w:t>’</w:t>
      </w:r>
      <w:r w:rsidRPr="005C7CCE">
        <w:t xml:space="preserve">OMPI et de créer des synergies entre les sociétés, universités, instituts de recherche, juristes, administrations publiques, créateurs et innovateurs. </w:t>
      </w:r>
      <w:r w:rsidR="0010442A" w:rsidRPr="005C7CCE">
        <w:t xml:space="preserve"> </w:t>
      </w:r>
      <w:r w:rsidRPr="005C7CCE">
        <w:t>Des séminaires itinérants consacrés aux services et initiatives de l</w:t>
      </w:r>
      <w:r w:rsidR="00A20444" w:rsidRPr="005C7CCE">
        <w:t>’</w:t>
      </w:r>
      <w:r w:rsidRPr="005C7CCE">
        <w:t xml:space="preserve">OMPI ont été menés dans cinq pays (Australie, Danemark, Espagne, Islande et Norvège) au cours du second semestre de 2013. </w:t>
      </w:r>
      <w:r w:rsidR="0010442A" w:rsidRPr="005C7CCE">
        <w:t xml:space="preserve"> </w:t>
      </w:r>
      <w:r w:rsidRPr="005C7CCE">
        <w:t>Les retours d</w:t>
      </w:r>
      <w:r w:rsidR="00A20444" w:rsidRPr="005C7CCE">
        <w:t>’</w:t>
      </w:r>
      <w:r w:rsidRPr="005C7CCE">
        <w:t>information sur ces séminaires étaient positifs, avec 94,9</w:t>
      </w:r>
      <w:r w:rsidR="007E442D" w:rsidRPr="005C7CCE">
        <w:t>%</w:t>
      </w:r>
      <w:r w:rsidRPr="005C7CCE">
        <w:t xml:space="preserve"> des participants indiquant que les séminaires étaient utiles et pertinents pour leurs activités professionnelles.</w:t>
      </w:r>
    </w:p>
    <w:p w:rsidR="00D42474" w:rsidRDefault="00D42474" w:rsidP="001A5BF9">
      <w:pPr>
        <w:tabs>
          <w:tab w:val="left" w:pos="709"/>
        </w:tabs>
        <w:autoSpaceDE w:val="0"/>
        <w:autoSpaceDN w:val="0"/>
        <w:adjustRightInd w:val="0"/>
        <w:jc w:val="both"/>
        <w:rPr>
          <w:rFonts w:cs="Arial"/>
          <w:bCs/>
          <w:szCs w:val="20"/>
        </w:rPr>
      </w:pPr>
    </w:p>
    <w:p w:rsidR="00D42474" w:rsidRDefault="0096696E" w:rsidP="001A5BF9">
      <w:pPr>
        <w:tabs>
          <w:tab w:val="left" w:pos="709"/>
        </w:tabs>
        <w:autoSpaceDE w:val="0"/>
        <w:autoSpaceDN w:val="0"/>
        <w:adjustRightInd w:val="0"/>
        <w:jc w:val="both"/>
      </w:pPr>
      <w:r w:rsidRPr="00761625">
        <w:t>10.5.</w:t>
      </w:r>
      <w:r w:rsidRPr="00761625">
        <w:tab/>
        <w:t>Conformément aux stratégies nationales de propriété intellectuelle et avec l</w:t>
      </w:r>
      <w:r w:rsidR="00A20444" w:rsidRPr="00761625">
        <w:t>’</w:t>
      </w:r>
      <w:r w:rsidRPr="00761625">
        <w:t>assistance de l</w:t>
      </w:r>
      <w:r w:rsidR="00A20444" w:rsidRPr="00761625">
        <w:t>’</w:t>
      </w:r>
      <w:r w:rsidRPr="00761625">
        <w:t>OMPI, les pays suivants ont modifié leur législation nationale en matière de propriété intellectuelle : Albanie, Arménie, Bélarus, Bosnie</w:t>
      </w:r>
      <w:r w:rsidR="002D6F2A" w:rsidRPr="00761625">
        <w:noBreakHyphen/>
      </w:r>
      <w:r w:rsidRPr="00761625">
        <w:t xml:space="preserve">Herzégovine, Pologne, Roumanie, Slovénie et Tadjikistan. </w:t>
      </w:r>
      <w:r w:rsidR="0010442A" w:rsidRPr="00761625">
        <w:t xml:space="preserve"> </w:t>
      </w:r>
      <w:r w:rsidRPr="00761625">
        <w:t>Le Kazakhstan et la Fédération de Russie ont entrepris d</w:t>
      </w:r>
      <w:r w:rsidR="00A20444" w:rsidRPr="00761625">
        <w:t>’</w:t>
      </w:r>
      <w:r w:rsidRPr="00761625">
        <w:t>apporter des modifications à leur législation.</w:t>
      </w:r>
    </w:p>
    <w:p w:rsidR="00D42474" w:rsidRDefault="00D42474" w:rsidP="001A5BF9">
      <w:pPr>
        <w:tabs>
          <w:tab w:val="left" w:pos="709"/>
        </w:tabs>
        <w:autoSpaceDE w:val="0"/>
        <w:autoSpaceDN w:val="0"/>
        <w:adjustRightInd w:val="0"/>
        <w:jc w:val="both"/>
        <w:rPr>
          <w:rFonts w:cs="Arial"/>
          <w:szCs w:val="20"/>
        </w:rPr>
      </w:pPr>
    </w:p>
    <w:p w:rsidR="00D42474" w:rsidRDefault="0096696E" w:rsidP="001A5BF9">
      <w:pPr>
        <w:tabs>
          <w:tab w:val="left" w:pos="709"/>
        </w:tabs>
        <w:autoSpaceDE w:val="0"/>
        <w:autoSpaceDN w:val="0"/>
        <w:adjustRightInd w:val="0"/>
        <w:jc w:val="both"/>
      </w:pPr>
      <w:r w:rsidRPr="00761625">
        <w:t>10.6.</w:t>
      </w:r>
      <w:r w:rsidRPr="00761625">
        <w:tab/>
        <w:t>Les pays de cette région ont continué de recevoir l</w:t>
      </w:r>
      <w:r w:rsidR="00A20444" w:rsidRPr="00761625">
        <w:t>’</w:t>
      </w:r>
      <w:r w:rsidRPr="00761625">
        <w:t>appui du programme pour renforcer les capacités de leurs ressources humaines au niveau national, promouvoir la sensibilisation à la propriété intellectuelle et les connaissances dans ce domaine, en vue d</w:t>
      </w:r>
      <w:r w:rsidR="00A20444" w:rsidRPr="00761625">
        <w:t>’</w:t>
      </w:r>
      <w:r w:rsidRPr="00761625">
        <w:t>une utilisation plus efficace de la propriété intellectuelle au service du développement économique, social et culturel.</w:t>
      </w:r>
      <w:r w:rsidR="004F3E42" w:rsidRPr="00761625">
        <w:t xml:space="preserve"> </w:t>
      </w:r>
      <w:r w:rsidR="0010442A" w:rsidRPr="00761625">
        <w:t xml:space="preserve"> </w:t>
      </w:r>
      <w:r w:rsidRPr="00761625">
        <w:t>Au cours de l</w:t>
      </w:r>
      <w:r w:rsidR="00A20444" w:rsidRPr="00761625">
        <w:t>’</w:t>
      </w:r>
      <w:r w:rsidRPr="00761625">
        <w:t xml:space="preserve">exercice biennal, plus de </w:t>
      </w:r>
      <w:r w:rsidR="0010442A" w:rsidRPr="00761625">
        <w:t>5000</w:t>
      </w:r>
      <w:r w:rsidRPr="00761625">
        <w:t> spécialistes et experts ont suivi des programmes sur mesure, y compris sur les transferts de technologies, les PME, l</w:t>
      </w:r>
      <w:r w:rsidR="00A20444" w:rsidRPr="00761625">
        <w:t>’</w:t>
      </w:r>
      <w:r w:rsidRPr="00761625">
        <w:t>application du droit, le droit d</w:t>
      </w:r>
      <w:r w:rsidR="00A20444" w:rsidRPr="00761625">
        <w:t>’</w:t>
      </w:r>
      <w:r w:rsidRPr="00761625">
        <w:t>auteur, l</w:t>
      </w:r>
      <w:r w:rsidR="00A20444" w:rsidRPr="00761625">
        <w:t>’</w:t>
      </w:r>
      <w:r w:rsidRPr="00761625">
        <w:t>enseignement de la propriété intellectuelle et les services de l</w:t>
      </w:r>
      <w:r w:rsidR="00A20444" w:rsidRPr="00761625">
        <w:t>’</w:t>
      </w:r>
      <w:r w:rsidRPr="00761625">
        <w:t xml:space="preserve">OMPI. </w:t>
      </w:r>
      <w:r w:rsidR="0010442A" w:rsidRPr="00761625">
        <w:t xml:space="preserve"> </w:t>
      </w:r>
      <w:r w:rsidRPr="00761625">
        <w:t>Les participants à ces événements ont transmis des retours d</w:t>
      </w:r>
      <w:r w:rsidR="00A20444" w:rsidRPr="00761625">
        <w:t>’</w:t>
      </w:r>
      <w:r w:rsidRPr="00761625">
        <w:t>information positifs et les commentaires reçus contribueront à améliorer la qualité des futures activités similaires.</w:t>
      </w:r>
    </w:p>
    <w:p w:rsidR="00D42474" w:rsidRDefault="00D42474" w:rsidP="001A5BF9">
      <w:pPr>
        <w:pStyle w:val="Paragraphedeliste"/>
        <w:tabs>
          <w:tab w:val="left" w:pos="709"/>
        </w:tabs>
        <w:ind w:left="0"/>
        <w:rPr>
          <w:rFonts w:cs="Arial"/>
        </w:rPr>
      </w:pPr>
    </w:p>
    <w:p w:rsidR="00D42474" w:rsidRDefault="0096696E" w:rsidP="001A5BF9">
      <w:pPr>
        <w:pStyle w:val="Paragraphedeliste"/>
        <w:tabs>
          <w:tab w:val="left" w:pos="709"/>
        </w:tabs>
        <w:autoSpaceDE w:val="0"/>
        <w:autoSpaceDN w:val="0"/>
        <w:adjustRightInd w:val="0"/>
        <w:ind w:left="0"/>
        <w:jc w:val="both"/>
      </w:pPr>
      <w:r w:rsidRPr="005C7CCE">
        <w:t>10.7.</w:t>
      </w:r>
      <w:r w:rsidRPr="005C7CCE">
        <w:tab/>
        <w:t>En coopération avec les secteurs pertinents, une initiative visant à intégrer la propriété intellectuelle dans les politiques d</w:t>
      </w:r>
      <w:r w:rsidR="00A20444" w:rsidRPr="005C7CCE">
        <w:t>’</w:t>
      </w:r>
      <w:r w:rsidRPr="005C7CCE">
        <w:t xml:space="preserve">innovation a été lancée en 2013. </w:t>
      </w:r>
      <w:r w:rsidR="0010442A" w:rsidRPr="005C7CCE">
        <w:t xml:space="preserve"> </w:t>
      </w:r>
      <w:r w:rsidRPr="005C7CCE">
        <w:t>À titre de première étape, une analyse des niveaux de référence visant à recenser les efforts déjà entrepris pour établir une politique d</w:t>
      </w:r>
      <w:r w:rsidR="00A20444" w:rsidRPr="005C7CCE">
        <w:t>’</w:t>
      </w:r>
      <w:r w:rsidRPr="005C7CCE">
        <w:t xml:space="preserve">innovation a été effectuée dans un pays pilote (la Serbie). </w:t>
      </w:r>
      <w:r w:rsidR="0010442A" w:rsidRPr="005C7CCE">
        <w:t xml:space="preserve"> </w:t>
      </w:r>
      <w:r w:rsidRPr="005C7CCE">
        <w:t>Suite au</w:t>
      </w:r>
      <w:r w:rsidR="00232949">
        <w:t>x</w:t>
      </w:r>
      <w:r w:rsidRPr="005C7CCE">
        <w:t xml:space="preserve"> retours positifs reçus, d</w:t>
      </w:r>
      <w:r w:rsidR="00A20444" w:rsidRPr="005C7CCE">
        <w:t>’</w:t>
      </w:r>
      <w:r w:rsidRPr="005C7CCE">
        <w:t>autres démarches seront entreprises au cours de l</w:t>
      </w:r>
      <w:r w:rsidR="00A20444" w:rsidRPr="005C7CCE">
        <w:t>’</w:t>
      </w:r>
      <w:r w:rsidRPr="005C7CCE">
        <w:t>exercice biennal 2014</w:t>
      </w:r>
      <w:r w:rsidR="002D6F2A" w:rsidRPr="005C7CCE">
        <w:noBreakHyphen/>
      </w:r>
      <w:r w:rsidRPr="005C7CCE">
        <w:t>2015 et une initiative sera développée pour englober des pays supplémentaires.</w:t>
      </w:r>
    </w:p>
    <w:p w:rsidR="00D42474" w:rsidRDefault="00D42474" w:rsidP="001A5BF9">
      <w:pPr>
        <w:pStyle w:val="Paragraphedeliste"/>
        <w:tabs>
          <w:tab w:val="left" w:pos="709"/>
        </w:tabs>
        <w:ind w:left="0"/>
        <w:rPr>
          <w:rFonts w:cs="Arial"/>
        </w:rPr>
      </w:pPr>
    </w:p>
    <w:p w:rsidR="00D42474" w:rsidRDefault="0096696E" w:rsidP="001A5BF9">
      <w:pPr>
        <w:tabs>
          <w:tab w:val="left" w:pos="709"/>
        </w:tabs>
        <w:autoSpaceDE w:val="0"/>
        <w:autoSpaceDN w:val="0"/>
        <w:adjustRightInd w:val="0"/>
        <w:jc w:val="both"/>
      </w:pPr>
      <w:r w:rsidRPr="005C7CCE">
        <w:t>10.8.</w:t>
      </w:r>
      <w:r w:rsidRPr="005C7CCE">
        <w:tab/>
        <w:t>Des cours d</w:t>
      </w:r>
      <w:r w:rsidR="00A20444" w:rsidRPr="005C7CCE">
        <w:t>’</w:t>
      </w:r>
      <w:r w:rsidRPr="005C7CCE">
        <w:t>été de l</w:t>
      </w:r>
      <w:r w:rsidR="00A20444" w:rsidRPr="005C7CCE">
        <w:t>’</w:t>
      </w:r>
      <w:r w:rsidRPr="005C7CCE">
        <w:t xml:space="preserve">OMPI ont été organisés en Croatie, en Fédération de Russie et en Ukraine. </w:t>
      </w:r>
      <w:r w:rsidR="0010442A" w:rsidRPr="005C7CCE">
        <w:t xml:space="preserve"> </w:t>
      </w:r>
      <w:r w:rsidRPr="005C7CCE">
        <w:t>Une excellente coopération a été établie entre l</w:t>
      </w:r>
      <w:r w:rsidR="00A20444" w:rsidRPr="005C7CCE">
        <w:t>’</w:t>
      </w:r>
      <w:r w:rsidRPr="005C7CCE">
        <w:t>OMPI et l</w:t>
      </w:r>
      <w:r w:rsidR="00A20444" w:rsidRPr="005C7CCE">
        <w:t>’</w:t>
      </w:r>
      <w:r w:rsidRPr="005C7CCE">
        <w:t xml:space="preserve">association </w:t>
      </w:r>
      <w:proofErr w:type="spellStart"/>
      <w:r w:rsidRPr="005C7CCE">
        <w:t>WWIEA</w:t>
      </w:r>
      <w:proofErr w:type="spellEnd"/>
      <w:r w:rsidRPr="005C7CCE">
        <w:t xml:space="preserve"> (World </w:t>
      </w:r>
      <w:proofErr w:type="spellStart"/>
      <w:r w:rsidRPr="005C7CCE">
        <w:t>Women</w:t>
      </w:r>
      <w:proofErr w:type="spellEnd"/>
      <w:r w:rsidRPr="005C7CCE">
        <w:t xml:space="preserve"> </w:t>
      </w:r>
      <w:proofErr w:type="spellStart"/>
      <w:r w:rsidRPr="005C7CCE">
        <w:t>Inventors</w:t>
      </w:r>
      <w:proofErr w:type="spellEnd"/>
      <w:r w:rsidRPr="005C7CCE">
        <w:t xml:space="preserve"> and Entrepreneurs Association), qui a donné lieu à l</w:t>
      </w:r>
      <w:r w:rsidR="00A20444" w:rsidRPr="005C7CCE">
        <w:t>’</w:t>
      </w:r>
      <w:r w:rsidRPr="005C7CCE">
        <w:t>organisation conjointe d</w:t>
      </w:r>
      <w:r w:rsidR="00A20444" w:rsidRPr="005C7CCE">
        <w:t>’</w:t>
      </w:r>
      <w:r w:rsidRPr="005C7CCE">
        <w:t xml:space="preserve">un programme de formation annuelle pour les femmes en Asie centrale. </w:t>
      </w:r>
      <w:r w:rsidR="0010442A" w:rsidRPr="005C7CCE">
        <w:t xml:space="preserve"> </w:t>
      </w:r>
      <w:r w:rsidRPr="005C7CCE">
        <w:t xml:space="preserve">Une autre manifestation a suscité un vif intérêt, </w:t>
      </w:r>
      <w:r w:rsidR="00A20444" w:rsidRPr="005C7CCE">
        <w:t>à savoir</w:t>
      </w:r>
      <w:r w:rsidRPr="005C7CCE">
        <w:t xml:space="preserve"> une visite d</w:t>
      </w:r>
      <w:r w:rsidR="00A20444" w:rsidRPr="005C7CCE">
        <w:t>’</w:t>
      </w:r>
      <w:r w:rsidRPr="005C7CCE">
        <w:t>étude consacrée aux pratiques recommandées de gestion de la propriété intellectuelle à Singapour pour les fonctionnaires des pays d</w:t>
      </w:r>
      <w:r w:rsidR="00A20444" w:rsidRPr="005C7CCE">
        <w:t>’</w:t>
      </w:r>
      <w:r w:rsidRPr="005C7CCE">
        <w:t>Asie centrale.</w:t>
      </w:r>
    </w:p>
    <w:p w:rsidR="00D42474" w:rsidRDefault="00D42474" w:rsidP="001A5BF9">
      <w:pPr>
        <w:tabs>
          <w:tab w:val="left" w:pos="709"/>
        </w:tabs>
        <w:rPr>
          <w:rFonts w:cs="Arial"/>
          <w:b/>
          <w:bCs/>
          <w:szCs w:val="20"/>
        </w:rPr>
      </w:pPr>
    </w:p>
    <w:p w:rsidR="00D42474" w:rsidRDefault="00D42474" w:rsidP="001A5BF9">
      <w:pPr>
        <w:rPr>
          <w:rFonts w:cs="Arial"/>
          <w:bCs/>
          <w:szCs w:val="20"/>
        </w:rPr>
      </w:pPr>
    </w:p>
    <w:p w:rsidR="00D42474" w:rsidRDefault="0096696E" w:rsidP="001A5BF9">
      <w:pPr>
        <w:tabs>
          <w:tab w:val="left" w:pos="709"/>
        </w:tabs>
      </w:pPr>
      <w:r w:rsidRPr="00761625">
        <w:rPr>
          <w:sz w:val="22"/>
        </w:rPr>
        <w:t>MISE EN ŒUVRE DU PLAN D</w:t>
      </w:r>
      <w:r w:rsidR="00A20444" w:rsidRPr="00761625">
        <w:rPr>
          <w:sz w:val="22"/>
        </w:rPr>
        <w:t>’</w:t>
      </w:r>
      <w:r w:rsidRPr="00761625">
        <w:rPr>
          <w:sz w:val="22"/>
        </w:rPr>
        <w:t>ACTION POUR LE DÉVELOPPEMENT</w:t>
      </w:r>
    </w:p>
    <w:p w:rsidR="00D42474" w:rsidRDefault="00D42474" w:rsidP="001A5BF9">
      <w:pPr>
        <w:tabs>
          <w:tab w:val="left" w:pos="709"/>
        </w:tabs>
        <w:autoSpaceDE w:val="0"/>
        <w:autoSpaceDN w:val="0"/>
        <w:adjustRightInd w:val="0"/>
        <w:jc w:val="both"/>
        <w:rPr>
          <w:rFonts w:cs="Arial"/>
          <w:b/>
          <w:bCs/>
          <w:szCs w:val="20"/>
        </w:rPr>
      </w:pPr>
    </w:p>
    <w:p w:rsidR="00D42474" w:rsidRDefault="0096696E" w:rsidP="001A5BF9">
      <w:pPr>
        <w:tabs>
          <w:tab w:val="left" w:pos="709"/>
        </w:tabs>
        <w:autoSpaceDE w:val="0"/>
        <w:autoSpaceDN w:val="0"/>
        <w:adjustRightInd w:val="0"/>
        <w:jc w:val="both"/>
        <w:rPr>
          <w:rFonts w:cs="Arial"/>
          <w:szCs w:val="20"/>
        </w:rPr>
      </w:pPr>
      <w:r w:rsidRPr="00761625">
        <w:t>10.9.</w:t>
      </w:r>
      <w:r w:rsidRPr="00761625">
        <w:tab/>
        <w:t xml:space="preserve">Le programme 10 a continué à jouer un rôle clé dans la </w:t>
      </w:r>
      <w:r w:rsidRPr="00761625">
        <w:rPr>
          <w:sz w:val="22"/>
        </w:rPr>
        <w:t>mise en œuvre du Plan d</w:t>
      </w:r>
      <w:r w:rsidR="00A20444" w:rsidRPr="00761625">
        <w:rPr>
          <w:sz w:val="22"/>
        </w:rPr>
        <w:t>’</w:t>
      </w:r>
      <w:r w:rsidRPr="00761625">
        <w:rPr>
          <w:sz w:val="22"/>
        </w:rPr>
        <w:t>action pour le développement</w:t>
      </w:r>
      <w:r w:rsidRPr="00761625">
        <w:t xml:space="preserve"> de l</w:t>
      </w:r>
      <w:r w:rsidR="00A20444" w:rsidRPr="00761625">
        <w:t>’</w:t>
      </w:r>
      <w:r w:rsidRPr="00761625">
        <w:t>OMPI et sa coopération avec certains pays d</w:t>
      </w:r>
      <w:r w:rsidR="00A20444" w:rsidRPr="00761625">
        <w:t>’</w:t>
      </w:r>
      <w:r w:rsidRPr="00761625">
        <w:t>Europe et d</w:t>
      </w:r>
      <w:r w:rsidR="00A20444" w:rsidRPr="00761625">
        <w:t>’</w:t>
      </w:r>
      <w:r w:rsidRPr="00761625">
        <w:t>Asie.</w:t>
      </w:r>
      <w:r w:rsidR="00761625">
        <w:t xml:space="preserve">  </w:t>
      </w:r>
      <w:r w:rsidRPr="00761625">
        <w:t>Cela a tout particulièrement été le cas des recommandations du Plan d</w:t>
      </w:r>
      <w:r w:rsidR="00A20444" w:rsidRPr="00761625">
        <w:t>’</w:t>
      </w:r>
      <w:r w:rsidRPr="00761625">
        <w:t>action relatives aux activités menées par l</w:t>
      </w:r>
      <w:r w:rsidR="00A20444" w:rsidRPr="00761625">
        <w:t>’</w:t>
      </w:r>
      <w:r w:rsidRPr="00761625">
        <w:t>OMPI aux fins de l</w:t>
      </w:r>
      <w:r w:rsidR="00A20444" w:rsidRPr="00761625">
        <w:t>’</w:t>
      </w:r>
      <w:r w:rsidRPr="00761625">
        <w:t xml:space="preserve">assistance technique et du renforcement des capacités, </w:t>
      </w:r>
      <w:r w:rsidR="00A20444" w:rsidRPr="00761625">
        <w:t>à savoir</w:t>
      </w:r>
      <w:r w:rsidRPr="00761625">
        <w:t xml:space="preserve"> les recommandations du groupe A, qui ont continué de déterminer la conception et la mise en œuvre des activités au titre du programme 10.</w:t>
      </w:r>
    </w:p>
    <w:p w:rsidR="00D42474" w:rsidRDefault="00D42474" w:rsidP="001A5BF9">
      <w:pPr>
        <w:ind w:left="2268" w:hanging="2268"/>
        <w:rPr>
          <w:rFonts w:cs="Arial"/>
          <w:szCs w:val="22"/>
        </w:rPr>
      </w:pPr>
    </w:p>
    <w:p w:rsidR="00D42474" w:rsidRDefault="00D42474" w:rsidP="001A5BF9">
      <w:pPr>
        <w:ind w:left="2268" w:hanging="2268"/>
        <w:rPr>
          <w:rFonts w:cs="Arial"/>
          <w:szCs w:val="22"/>
        </w:rPr>
      </w:pPr>
    </w:p>
    <w:p w:rsidR="00D42474" w:rsidRDefault="0096696E" w:rsidP="001A5BF9">
      <w:pPr>
        <w:ind w:left="2268" w:hanging="2268"/>
        <w:rPr>
          <w:rFonts w:cs="Arial"/>
          <w:szCs w:val="22"/>
        </w:rPr>
      </w:pPr>
      <w:r w:rsidRPr="00761625">
        <w:rPr>
          <w:sz w:val="22"/>
        </w:rPr>
        <w:t>DONNÉES RELATIVES À L</w:t>
      </w:r>
      <w:r w:rsidR="00A20444" w:rsidRPr="00761625">
        <w:rPr>
          <w:sz w:val="22"/>
        </w:rPr>
        <w:t>’</w:t>
      </w:r>
      <w:r w:rsidRPr="00761625">
        <w:rPr>
          <w:sz w:val="22"/>
        </w:rPr>
        <w:t>EXÉCUTION</w:t>
      </w:r>
    </w:p>
    <w:p w:rsidR="0096696E" w:rsidRPr="00761625" w:rsidRDefault="0096696E" w:rsidP="001A5BF9">
      <w:pPr>
        <w:ind w:left="2268" w:hanging="2268"/>
        <w:rPr>
          <w:rFonts w:cs="Arial"/>
          <w:b/>
          <w:szCs w:val="22"/>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11"/>
        <w:gridCol w:w="174"/>
        <w:gridCol w:w="1492"/>
        <w:gridCol w:w="492"/>
        <w:gridCol w:w="1016"/>
        <w:gridCol w:w="406"/>
        <w:gridCol w:w="2839"/>
        <w:gridCol w:w="28"/>
        <w:gridCol w:w="1099"/>
      </w:tblGrid>
      <w:tr w:rsidR="0096696E" w:rsidRPr="00761625" w:rsidTr="00F76B10">
        <w:trPr>
          <w:cantSplit/>
        </w:trPr>
        <w:tc>
          <w:tcPr>
            <w:tcW w:w="5000" w:type="pct"/>
            <w:gridSpan w:val="9"/>
            <w:tcBorders>
              <w:top w:val="single" w:sz="4" w:space="0" w:color="auto"/>
              <w:bottom w:val="single" w:sz="4" w:space="0" w:color="auto"/>
            </w:tcBorders>
            <w:shd w:val="clear" w:color="auto" w:fill="CCFFFF"/>
            <w:vAlign w:val="center"/>
          </w:tcPr>
          <w:p w:rsidR="0096696E" w:rsidRPr="00761625" w:rsidRDefault="0096696E" w:rsidP="00545053">
            <w:pPr>
              <w:keepNext/>
              <w:keepLines/>
              <w:spacing w:before="120" w:after="120"/>
              <w:ind w:left="1735" w:hanging="1735"/>
              <w:rPr>
                <w:rFonts w:cs="Arial"/>
                <w:b/>
                <w:bCs/>
                <w:sz w:val="16"/>
                <w:szCs w:val="16"/>
              </w:rPr>
            </w:pPr>
            <w:r w:rsidRPr="00761625">
              <w:rPr>
                <w:b/>
                <w:sz w:val="16"/>
              </w:rPr>
              <w:t>Résultat escompté</w:t>
            </w:r>
            <w:r w:rsidR="0010442A" w:rsidRPr="00761625">
              <w:rPr>
                <w:b/>
                <w:sz w:val="16"/>
              </w:rPr>
              <w:t xml:space="preserve"> : </w:t>
            </w:r>
            <w:r w:rsidRPr="00761625">
              <w:rPr>
                <w:b/>
                <w:sz w:val="16"/>
              </w:rPr>
              <w:tab/>
            </w:r>
            <w:r w:rsidRPr="00761625">
              <w:rPr>
                <w:sz w:val="16"/>
              </w:rPr>
              <w:t>Politiques, stratégies et plans de développement nationaux clairement définis et cohérents en matière d</w:t>
            </w:r>
            <w:r w:rsidR="00A20444" w:rsidRPr="00761625">
              <w:rPr>
                <w:sz w:val="16"/>
              </w:rPr>
              <w:t>’</w:t>
            </w:r>
            <w:r w:rsidRPr="00761625">
              <w:rPr>
                <w:sz w:val="16"/>
              </w:rPr>
              <w:t>innovation et de propriété intellectuelle, conformes aux objectifs et aux priorités de développement à l</w:t>
            </w:r>
            <w:r w:rsidR="00A20444" w:rsidRPr="00761625">
              <w:rPr>
                <w:sz w:val="16"/>
              </w:rPr>
              <w:t>’</w:t>
            </w:r>
            <w:r w:rsidRPr="00761625">
              <w:rPr>
                <w:sz w:val="16"/>
              </w:rPr>
              <w:t>échelle nationale</w:t>
            </w:r>
          </w:p>
        </w:tc>
      </w:tr>
      <w:tr w:rsidR="00F76B10" w:rsidRPr="00CB2895" w:rsidTr="0009563F">
        <w:trPr>
          <w:cantSplit/>
        </w:trPr>
        <w:tc>
          <w:tcPr>
            <w:tcW w:w="1061" w:type="pct"/>
            <w:gridSpan w:val="2"/>
            <w:tcBorders>
              <w:top w:val="single" w:sz="4" w:space="0" w:color="auto"/>
            </w:tcBorders>
            <w:shd w:val="clear" w:color="auto" w:fill="auto"/>
            <w:vAlign w:val="center"/>
          </w:tcPr>
          <w:p w:rsidR="0096696E" w:rsidRPr="00CB2895" w:rsidRDefault="0096696E" w:rsidP="001A5BF9">
            <w:pPr>
              <w:rPr>
                <w:rFonts w:cs="Arial"/>
                <w:b/>
                <w:sz w:val="16"/>
                <w:szCs w:val="16"/>
              </w:rPr>
            </w:pPr>
            <w:r w:rsidRPr="00CB2895">
              <w:rPr>
                <w:b/>
                <w:sz w:val="16"/>
              </w:rPr>
              <w:t>Indicateurs d</w:t>
            </w:r>
            <w:r w:rsidR="00A20444" w:rsidRPr="00CB2895">
              <w:rPr>
                <w:b/>
                <w:sz w:val="16"/>
              </w:rPr>
              <w:t>’</w:t>
            </w:r>
            <w:r w:rsidRPr="00CB2895">
              <w:rPr>
                <w:b/>
                <w:sz w:val="16"/>
              </w:rPr>
              <w:t>exécution</w:t>
            </w:r>
          </w:p>
        </w:tc>
        <w:tc>
          <w:tcPr>
            <w:tcW w:w="1060" w:type="pct"/>
            <w:gridSpan w:val="2"/>
            <w:tcBorders>
              <w:top w:val="single" w:sz="4" w:space="0" w:color="auto"/>
            </w:tcBorders>
            <w:shd w:val="clear" w:color="auto" w:fill="auto"/>
            <w:vAlign w:val="center"/>
          </w:tcPr>
          <w:p w:rsidR="0096696E" w:rsidRPr="00CB2895" w:rsidRDefault="0096696E" w:rsidP="001A5BF9">
            <w:pPr>
              <w:rPr>
                <w:rFonts w:cs="Arial"/>
                <w:b/>
                <w:bCs/>
                <w:sz w:val="16"/>
                <w:szCs w:val="16"/>
              </w:rPr>
            </w:pPr>
            <w:r w:rsidRPr="00CB2895">
              <w:rPr>
                <w:b/>
                <w:sz w:val="16"/>
              </w:rPr>
              <w:t>Niveaux de référence</w:t>
            </w:r>
          </w:p>
        </w:tc>
        <w:tc>
          <w:tcPr>
            <w:tcW w:w="760" w:type="pct"/>
            <w:gridSpan w:val="2"/>
            <w:tcBorders>
              <w:top w:val="single" w:sz="4" w:space="0" w:color="auto"/>
            </w:tcBorders>
            <w:shd w:val="clear" w:color="auto" w:fill="auto"/>
            <w:tcMar>
              <w:top w:w="110" w:type="dxa"/>
            </w:tcMar>
            <w:vAlign w:val="center"/>
          </w:tcPr>
          <w:p w:rsidR="0096696E" w:rsidRPr="00CB2895" w:rsidRDefault="0096696E" w:rsidP="001A5BF9">
            <w:pPr>
              <w:rPr>
                <w:rFonts w:cs="Arial"/>
                <w:b/>
                <w:sz w:val="16"/>
                <w:szCs w:val="16"/>
              </w:rPr>
            </w:pPr>
            <w:r w:rsidRPr="00CB2895">
              <w:rPr>
                <w:b/>
                <w:sz w:val="16"/>
              </w:rPr>
              <w:t>Objectifs visés</w:t>
            </w:r>
          </w:p>
        </w:tc>
        <w:tc>
          <w:tcPr>
            <w:tcW w:w="1517" w:type="pct"/>
            <w:tcBorders>
              <w:top w:val="single" w:sz="4" w:space="0" w:color="auto"/>
            </w:tcBorders>
            <w:shd w:val="clear" w:color="auto" w:fill="FFFFFF"/>
            <w:tcMar>
              <w:top w:w="110" w:type="dxa"/>
            </w:tcMar>
            <w:vAlign w:val="center"/>
          </w:tcPr>
          <w:p w:rsidR="0096696E" w:rsidRPr="00CB2895" w:rsidRDefault="0096696E" w:rsidP="001A5BF9">
            <w:pPr>
              <w:rPr>
                <w:rFonts w:cs="Arial"/>
                <w:b/>
                <w:sz w:val="16"/>
                <w:szCs w:val="16"/>
              </w:rPr>
            </w:pPr>
            <w:r w:rsidRPr="00CB2895">
              <w:rPr>
                <w:b/>
                <w:sz w:val="16"/>
              </w:rPr>
              <w:t>Données relatives à l</w:t>
            </w:r>
            <w:r w:rsidR="00A20444" w:rsidRPr="00CB2895">
              <w:rPr>
                <w:b/>
                <w:sz w:val="16"/>
              </w:rPr>
              <w:t>’</w:t>
            </w:r>
            <w:r w:rsidRPr="00CB2895">
              <w:rPr>
                <w:b/>
                <w:sz w:val="16"/>
              </w:rPr>
              <w:t>exécution</w:t>
            </w:r>
          </w:p>
        </w:tc>
        <w:tc>
          <w:tcPr>
            <w:tcW w:w="602" w:type="pct"/>
            <w:gridSpan w:val="2"/>
            <w:tcBorders>
              <w:top w:val="single" w:sz="4" w:space="0" w:color="auto"/>
            </w:tcBorders>
            <w:shd w:val="clear" w:color="auto" w:fill="auto"/>
            <w:tcMar>
              <w:top w:w="110" w:type="dxa"/>
            </w:tcMar>
            <w:vAlign w:val="center"/>
          </w:tcPr>
          <w:p w:rsidR="0096696E" w:rsidRPr="00CB2895" w:rsidRDefault="0096696E" w:rsidP="001A5BF9">
            <w:pPr>
              <w:keepNext/>
              <w:keepLines/>
              <w:jc w:val="center"/>
              <w:rPr>
                <w:rFonts w:cs="Arial"/>
                <w:b/>
                <w:bCs/>
                <w:sz w:val="16"/>
                <w:szCs w:val="16"/>
              </w:rPr>
            </w:pPr>
            <w:r w:rsidRPr="00CB2895">
              <w:rPr>
                <w:b/>
                <w:sz w:val="16"/>
              </w:rPr>
              <w:t>Code de couleurs</w:t>
            </w:r>
          </w:p>
        </w:tc>
      </w:tr>
      <w:tr w:rsidR="00F76B10" w:rsidRPr="005C7CCE" w:rsidTr="0009563F">
        <w:trPr>
          <w:cantSplit/>
        </w:trPr>
        <w:tc>
          <w:tcPr>
            <w:tcW w:w="1061" w:type="pct"/>
            <w:gridSpan w:val="2"/>
            <w:tcBorders>
              <w:bottom w:val="single" w:sz="4" w:space="0" w:color="auto"/>
            </w:tcBorders>
            <w:shd w:val="clear" w:color="auto" w:fill="auto"/>
          </w:tcPr>
          <w:p w:rsidR="0096696E" w:rsidRPr="005C7CCE" w:rsidRDefault="0096696E" w:rsidP="001A5BF9">
            <w:pPr>
              <w:rPr>
                <w:rFonts w:cs="Arial"/>
                <w:color w:val="008000"/>
                <w:sz w:val="16"/>
                <w:szCs w:val="16"/>
                <w:lang w:bidi="th-TH"/>
              </w:rPr>
            </w:pPr>
            <w:r w:rsidRPr="00545053">
              <w:rPr>
                <w:sz w:val="16"/>
              </w:rPr>
              <w:t>Nombre de pays ayant élaboré des stratégies ou des plans nationaux en matière de propriété intellectuelle conformes aux objectifs nationaux de développement</w:t>
            </w:r>
          </w:p>
        </w:tc>
        <w:tc>
          <w:tcPr>
            <w:tcW w:w="1060" w:type="pct"/>
            <w:gridSpan w:val="2"/>
            <w:tcBorders>
              <w:bottom w:val="single" w:sz="4" w:space="0" w:color="auto"/>
            </w:tcBorders>
            <w:shd w:val="clear" w:color="auto" w:fill="auto"/>
          </w:tcPr>
          <w:p w:rsidR="00D42474" w:rsidRDefault="0096696E"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11 pays</w:t>
            </w:r>
          </w:p>
          <w:p w:rsidR="00D42474" w:rsidRDefault="00D42474" w:rsidP="001A5BF9">
            <w:pPr>
              <w:rPr>
                <w:rFonts w:cs="Arial"/>
                <w:i/>
                <w:sz w:val="8"/>
                <w:szCs w:val="8"/>
              </w:rPr>
            </w:pPr>
          </w:p>
          <w:p w:rsidR="0096696E" w:rsidRPr="005C7CCE" w:rsidRDefault="0096696E" w:rsidP="001A5BF9">
            <w:pPr>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545053">
              <w:rPr>
                <w:sz w:val="16"/>
              </w:rPr>
              <w:t>s</w:t>
            </w:r>
            <w:r w:rsidRPr="005C7CCE">
              <w:rPr>
                <w:sz w:val="16"/>
              </w:rPr>
              <w:t>ix pays (2008</w:t>
            </w:r>
            <w:r w:rsidR="002D6F2A" w:rsidRPr="005C7CCE">
              <w:rPr>
                <w:sz w:val="16"/>
              </w:rPr>
              <w:noBreakHyphen/>
            </w:r>
            <w:r w:rsidRPr="005C7CCE">
              <w:rPr>
                <w:sz w:val="16"/>
              </w:rPr>
              <w:t>2009)</w:t>
            </w:r>
          </w:p>
        </w:tc>
        <w:tc>
          <w:tcPr>
            <w:tcW w:w="760" w:type="pct"/>
            <w:gridSpan w:val="2"/>
            <w:tcBorders>
              <w:bottom w:val="single" w:sz="4" w:space="0" w:color="auto"/>
            </w:tcBorders>
            <w:shd w:val="clear" w:color="auto" w:fill="auto"/>
            <w:tcMar>
              <w:top w:w="110" w:type="dxa"/>
            </w:tcMar>
          </w:tcPr>
          <w:p w:rsidR="00D42474" w:rsidRDefault="0096696E" w:rsidP="001A5BF9">
            <w:pPr>
              <w:rPr>
                <w:rFonts w:cs="Arial"/>
                <w:sz w:val="16"/>
                <w:szCs w:val="16"/>
              </w:rPr>
            </w:pPr>
            <w:r w:rsidRPr="005C7CCE">
              <w:rPr>
                <w:sz w:val="16"/>
              </w:rPr>
              <w:t>Huit pays</w:t>
            </w:r>
          </w:p>
          <w:p w:rsidR="0096696E" w:rsidRPr="005C7CCE" w:rsidRDefault="0096696E" w:rsidP="001A5BF9">
            <w:pPr>
              <w:rPr>
                <w:rFonts w:cs="Arial"/>
                <w:sz w:val="16"/>
                <w:szCs w:val="16"/>
              </w:rPr>
            </w:pPr>
            <w:r w:rsidRPr="005C7CCE">
              <w:rPr>
                <w:sz w:val="16"/>
              </w:rPr>
              <w:t>supplémentaires</w:t>
            </w:r>
          </w:p>
        </w:tc>
        <w:tc>
          <w:tcPr>
            <w:tcW w:w="1517" w:type="pct"/>
            <w:tcBorders>
              <w:bottom w:val="single" w:sz="4" w:space="0" w:color="auto"/>
            </w:tcBorders>
            <w:shd w:val="clear" w:color="auto" w:fill="FFFFFF"/>
            <w:tcMar>
              <w:top w:w="110" w:type="dxa"/>
            </w:tcMar>
          </w:tcPr>
          <w:p w:rsidR="0096696E" w:rsidRPr="005C7CCE" w:rsidRDefault="0096696E" w:rsidP="001A5BF9">
            <w:pPr>
              <w:rPr>
                <w:rFonts w:cs="Arial"/>
                <w:sz w:val="16"/>
                <w:szCs w:val="16"/>
              </w:rPr>
            </w:pPr>
            <w:r w:rsidRPr="005C7CCE">
              <w:rPr>
                <w:sz w:val="16"/>
              </w:rPr>
              <w:t>Sept pays (le Bélarus, le Kirghizistan, le Monténégro, la Moldavie, la Roumanie, la Slovénie et l</w:t>
            </w:r>
            <w:r w:rsidR="00A20444" w:rsidRPr="005C7CCE">
              <w:rPr>
                <w:sz w:val="16"/>
              </w:rPr>
              <w:t>’</w:t>
            </w:r>
            <w:r w:rsidRPr="005C7CCE">
              <w:rPr>
                <w:sz w:val="16"/>
              </w:rPr>
              <w:t xml:space="preserve">ancienne République yougoslave de Macédoine) ont adopté une stratégie nationale de propriété intellectuelle. </w:t>
            </w:r>
            <w:r w:rsidR="0010442A" w:rsidRPr="005C7CCE">
              <w:rPr>
                <w:sz w:val="16"/>
              </w:rPr>
              <w:t xml:space="preserve"> </w:t>
            </w:r>
            <w:r w:rsidRPr="005C7CCE">
              <w:rPr>
                <w:sz w:val="16"/>
              </w:rPr>
              <w:t>L</w:t>
            </w:r>
            <w:r w:rsidR="00A20444" w:rsidRPr="005C7CCE">
              <w:rPr>
                <w:sz w:val="16"/>
              </w:rPr>
              <w:t>’</w:t>
            </w:r>
            <w:r w:rsidRPr="005C7CCE">
              <w:rPr>
                <w:sz w:val="16"/>
              </w:rPr>
              <w:t>élaboration d</w:t>
            </w:r>
            <w:r w:rsidR="00A20444" w:rsidRPr="005C7CCE">
              <w:rPr>
                <w:sz w:val="16"/>
              </w:rPr>
              <w:t>’</w:t>
            </w:r>
            <w:r w:rsidRPr="005C7CCE">
              <w:rPr>
                <w:sz w:val="16"/>
              </w:rPr>
              <w:t>une stratégie a été initiée au Tadjikistan.</w:t>
            </w:r>
          </w:p>
        </w:tc>
        <w:tc>
          <w:tcPr>
            <w:tcW w:w="602" w:type="pct"/>
            <w:gridSpan w:val="2"/>
            <w:tcBorders>
              <w:bottom w:val="single" w:sz="4" w:space="0" w:color="auto"/>
            </w:tcBorders>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45053" w:rsidTr="00F76B10">
        <w:trPr>
          <w:cantSplit/>
        </w:trPr>
        <w:tc>
          <w:tcPr>
            <w:tcW w:w="5000" w:type="pct"/>
            <w:gridSpan w:val="9"/>
            <w:tcBorders>
              <w:top w:val="single" w:sz="4" w:space="0" w:color="auto"/>
              <w:bottom w:val="single" w:sz="4" w:space="0" w:color="auto"/>
            </w:tcBorders>
            <w:shd w:val="clear" w:color="auto" w:fill="CCFFFF"/>
            <w:vAlign w:val="center"/>
          </w:tcPr>
          <w:p w:rsidR="0096696E" w:rsidRPr="00545053" w:rsidRDefault="0096696E" w:rsidP="001A5BF9">
            <w:pPr>
              <w:keepNext/>
              <w:keepLines/>
              <w:tabs>
                <w:tab w:val="left" w:pos="1452"/>
              </w:tabs>
              <w:spacing w:before="120" w:after="120"/>
              <w:ind w:left="1452" w:hanging="1452"/>
              <w:rPr>
                <w:rFonts w:cs="Arial"/>
                <w:b/>
                <w:bCs/>
                <w:sz w:val="16"/>
                <w:szCs w:val="16"/>
              </w:rPr>
            </w:pPr>
            <w:r w:rsidRPr="00545053">
              <w:rPr>
                <w:b/>
                <w:sz w:val="16"/>
              </w:rPr>
              <w:t>Résultat escompté</w:t>
            </w:r>
            <w:r w:rsidR="0010442A" w:rsidRPr="00545053">
              <w:rPr>
                <w:b/>
                <w:sz w:val="16"/>
              </w:rPr>
              <w:t xml:space="preserve"> : </w:t>
            </w:r>
            <w:r w:rsidRPr="00545053">
              <w:rPr>
                <w:b/>
                <w:sz w:val="16"/>
              </w:rPr>
              <w:tab/>
            </w:r>
            <w:r w:rsidRPr="00545053">
              <w:rPr>
                <w:sz w:val="16"/>
              </w:rPr>
              <w:t>Renforcement des capacités en matière de ressources humaines pour pouvoir répondre aux nombreuses exigences en ce qui concerne l</w:t>
            </w:r>
            <w:r w:rsidR="00A20444" w:rsidRPr="00545053">
              <w:rPr>
                <w:sz w:val="16"/>
              </w:rPr>
              <w:t>’</w:t>
            </w:r>
            <w:r w:rsidRPr="00545053">
              <w:rPr>
                <w:sz w:val="16"/>
              </w:rPr>
              <w:t>utilisation efficace de la propriété intellectuelle au service du développement dans les pays en développement,</w:t>
            </w:r>
            <w:r w:rsidR="00A20444" w:rsidRPr="00545053">
              <w:rPr>
                <w:sz w:val="16"/>
              </w:rPr>
              <w:t xml:space="preserve"> les PMA</w:t>
            </w:r>
            <w:r w:rsidRPr="00545053">
              <w:rPr>
                <w:sz w:val="16"/>
              </w:rPr>
              <w:t xml:space="preserve"> et les pays en transition</w:t>
            </w:r>
          </w:p>
        </w:tc>
      </w:tr>
      <w:tr w:rsidR="00582089" w:rsidRPr="00545053" w:rsidTr="0009563F">
        <w:trPr>
          <w:cantSplit/>
        </w:trPr>
        <w:tc>
          <w:tcPr>
            <w:tcW w:w="1061" w:type="pct"/>
            <w:gridSpan w:val="2"/>
            <w:tcBorders>
              <w:top w:val="single" w:sz="4" w:space="0" w:color="auto"/>
            </w:tcBorders>
            <w:shd w:val="clear" w:color="auto" w:fill="auto"/>
            <w:vAlign w:val="center"/>
          </w:tcPr>
          <w:p w:rsidR="0096696E" w:rsidRPr="00545053" w:rsidRDefault="0096696E" w:rsidP="001A5BF9">
            <w:pPr>
              <w:rPr>
                <w:rFonts w:cs="Arial"/>
                <w:b/>
                <w:sz w:val="16"/>
                <w:szCs w:val="16"/>
              </w:rPr>
            </w:pPr>
            <w:r w:rsidRPr="00545053">
              <w:rPr>
                <w:b/>
                <w:sz w:val="16"/>
              </w:rPr>
              <w:t>Indicateurs d</w:t>
            </w:r>
            <w:r w:rsidR="00A20444" w:rsidRPr="00545053">
              <w:rPr>
                <w:b/>
                <w:sz w:val="16"/>
              </w:rPr>
              <w:t>’</w:t>
            </w:r>
            <w:r w:rsidRPr="00545053">
              <w:rPr>
                <w:b/>
                <w:sz w:val="16"/>
              </w:rPr>
              <w:t>exécution</w:t>
            </w:r>
          </w:p>
        </w:tc>
        <w:tc>
          <w:tcPr>
            <w:tcW w:w="1060" w:type="pct"/>
            <w:gridSpan w:val="2"/>
            <w:tcBorders>
              <w:top w:val="single" w:sz="4" w:space="0" w:color="auto"/>
            </w:tcBorders>
            <w:shd w:val="clear" w:color="auto" w:fill="auto"/>
            <w:vAlign w:val="center"/>
          </w:tcPr>
          <w:p w:rsidR="0096696E" w:rsidRPr="00545053" w:rsidRDefault="0096696E" w:rsidP="001A5BF9">
            <w:pPr>
              <w:rPr>
                <w:rFonts w:cs="Arial"/>
                <w:b/>
                <w:bCs/>
                <w:sz w:val="16"/>
                <w:szCs w:val="16"/>
              </w:rPr>
            </w:pPr>
            <w:r w:rsidRPr="00545053">
              <w:rPr>
                <w:b/>
                <w:sz w:val="16"/>
              </w:rPr>
              <w:t>Niveaux de référence</w:t>
            </w:r>
          </w:p>
        </w:tc>
        <w:tc>
          <w:tcPr>
            <w:tcW w:w="760" w:type="pct"/>
            <w:gridSpan w:val="2"/>
            <w:tcBorders>
              <w:top w:val="single" w:sz="4" w:space="0" w:color="auto"/>
            </w:tcBorders>
            <w:shd w:val="clear" w:color="auto" w:fill="auto"/>
            <w:tcMar>
              <w:top w:w="110" w:type="dxa"/>
            </w:tcMar>
            <w:vAlign w:val="center"/>
          </w:tcPr>
          <w:p w:rsidR="0096696E" w:rsidRPr="00545053" w:rsidRDefault="0096696E" w:rsidP="001A5BF9">
            <w:pPr>
              <w:rPr>
                <w:rFonts w:cs="Arial"/>
                <w:b/>
                <w:sz w:val="16"/>
                <w:szCs w:val="16"/>
              </w:rPr>
            </w:pPr>
            <w:r w:rsidRPr="00545053">
              <w:rPr>
                <w:b/>
                <w:sz w:val="16"/>
              </w:rPr>
              <w:t>Objectifs visés</w:t>
            </w:r>
          </w:p>
        </w:tc>
        <w:tc>
          <w:tcPr>
            <w:tcW w:w="1517" w:type="pct"/>
            <w:tcBorders>
              <w:top w:val="single" w:sz="4" w:space="0" w:color="auto"/>
            </w:tcBorders>
            <w:shd w:val="clear" w:color="auto" w:fill="FFFFFF"/>
            <w:tcMar>
              <w:top w:w="110" w:type="dxa"/>
            </w:tcMar>
            <w:vAlign w:val="center"/>
          </w:tcPr>
          <w:p w:rsidR="0096696E" w:rsidRPr="00545053" w:rsidRDefault="0096696E" w:rsidP="001A5BF9">
            <w:pPr>
              <w:rPr>
                <w:rFonts w:cs="Arial"/>
                <w:b/>
                <w:sz w:val="16"/>
                <w:szCs w:val="16"/>
              </w:rPr>
            </w:pPr>
            <w:r w:rsidRPr="00545053">
              <w:rPr>
                <w:b/>
                <w:sz w:val="16"/>
              </w:rPr>
              <w:t>Données relatives à l</w:t>
            </w:r>
            <w:r w:rsidR="00A20444" w:rsidRPr="00545053">
              <w:rPr>
                <w:b/>
                <w:sz w:val="16"/>
              </w:rPr>
              <w:t>’</w:t>
            </w:r>
            <w:r w:rsidRPr="00545053">
              <w:rPr>
                <w:b/>
                <w:sz w:val="16"/>
              </w:rPr>
              <w:t>exécution</w:t>
            </w:r>
          </w:p>
        </w:tc>
        <w:tc>
          <w:tcPr>
            <w:tcW w:w="602" w:type="pct"/>
            <w:gridSpan w:val="2"/>
            <w:tcBorders>
              <w:top w:val="single" w:sz="4" w:space="0" w:color="auto"/>
            </w:tcBorders>
            <w:shd w:val="clear" w:color="auto" w:fill="auto"/>
            <w:tcMar>
              <w:top w:w="110" w:type="dxa"/>
            </w:tcMar>
            <w:vAlign w:val="center"/>
          </w:tcPr>
          <w:p w:rsidR="0096696E" w:rsidRPr="00545053" w:rsidRDefault="0096696E" w:rsidP="001A5BF9">
            <w:pPr>
              <w:keepNext/>
              <w:keepLines/>
              <w:jc w:val="center"/>
              <w:rPr>
                <w:rFonts w:cs="Arial"/>
                <w:b/>
                <w:bCs/>
                <w:sz w:val="16"/>
                <w:szCs w:val="16"/>
              </w:rPr>
            </w:pPr>
            <w:r w:rsidRPr="00545053">
              <w:rPr>
                <w:b/>
                <w:sz w:val="16"/>
              </w:rPr>
              <w:t>Code de couleurs</w:t>
            </w:r>
          </w:p>
        </w:tc>
      </w:tr>
      <w:tr w:rsidR="00582089" w:rsidRPr="005C7CCE" w:rsidTr="0009563F">
        <w:trPr>
          <w:cantSplit/>
        </w:trPr>
        <w:tc>
          <w:tcPr>
            <w:tcW w:w="1061" w:type="pct"/>
            <w:gridSpan w:val="2"/>
            <w:shd w:val="clear" w:color="auto" w:fill="auto"/>
          </w:tcPr>
          <w:p w:rsidR="0096696E" w:rsidRPr="00545053" w:rsidRDefault="0096696E" w:rsidP="001A5BF9">
            <w:pPr>
              <w:rPr>
                <w:rFonts w:cs="Arial"/>
                <w:sz w:val="16"/>
                <w:szCs w:val="16"/>
              </w:rPr>
            </w:pPr>
            <w:r w:rsidRPr="00545053">
              <w:rPr>
                <w:sz w:val="16"/>
              </w:rPr>
              <w:t>Pourcentage de fonctionnaires d</w:t>
            </w:r>
            <w:r w:rsidR="00A20444" w:rsidRPr="00545053">
              <w:rPr>
                <w:sz w:val="16"/>
              </w:rPr>
              <w:t>’</w:t>
            </w:r>
            <w:r w:rsidRPr="00545053">
              <w:rPr>
                <w:sz w:val="16"/>
              </w:rPr>
              <w:t>offices de propriété intellectuelle formés qui utilisent leurs compétences améliorées dans le cadre de leur travail</w:t>
            </w:r>
          </w:p>
        </w:tc>
        <w:tc>
          <w:tcPr>
            <w:tcW w:w="1060" w:type="pct"/>
            <w:gridSpan w:val="2"/>
            <w:shd w:val="clear" w:color="auto" w:fill="auto"/>
          </w:tcPr>
          <w:p w:rsidR="0096696E" w:rsidRPr="005C7CCE" w:rsidRDefault="0096696E" w:rsidP="001A5BF9">
            <w:pPr>
              <w:rPr>
                <w:rFonts w:cs="Arial"/>
                <w:sz w:val="16"/>
                <w:szCs w:val="16"/>
                <w:lang w:bidi="th-TH"/>
              </w:rPr>
            </w:pPr>
            <w:r w:rsidRPr="005C7CCE">
              <w:rPr>
                <w:sz w:val="16"/>
              </w:rPr>
              <w:t>Données non disponibles</w:t>
            </w:r>
          </w:p>
        </w:tc>
        <w:tc>
          <w:tcPr>
            <w:tcW w:w="760" w:type="pct"/>
            <w:gridSpan w:val="2"/>
            <w:shd w:val="clear" w:color="auto" w:fill="auto"/>
            <w:tcMar>
              <w:top w:w="110" w:type="dxa"/>
            </w:tcMar>
          </w:tcPr>
          <w:p w:rsidR="0096696E" w:rsidRPr="005C7CCE" w:rsidRDefault="0096696E" w:rsidP="001A5BF9">
            <w:pPr>
              <w:rPr>
                <w:rFonts w:cs="Arial"/>
                <w:sz w:val="16"/>
                <w:szCs w:val="16"/>
              </w:rPr>
            </w:pPr>
            <w:r w:rsidRPr="005C7CCE">
              <w:rPr>
                <w:sz w:val="16"/>
              </w:rPr>
              <w:t>40</w:t>
            </w:r>
            <w:r w:rsidR="007E442D" w:rsidRPr="005C7CCE">
              <w:rPr>
                <w:sz w:val="16"/>
              </w:rPr>
              <w:t>%</w:t>
            </w:r>
          </w:p>
        </w:tc>
        <w:tc>
          <w:tcPr>
            <w:tcW w:w="1517" w:type="pct"/>
            <w:shd w:val="clear" w:color="auto" w:fill="FFFFFF"/>
            <w:tcMar>
              <w:top w:w="110" w:type="dxa"/>
            </w:tcMar>
          </w:tcPr>
          <w:p w:rsidR="0096696E" w:rsidRPr="005C7CCE" w:rsidRDefault="0096696E" w:rsidP="001A5BF9">
            <w:pPr>
              <w:rPr>
                <w:rFonts w:cs="Arial"/>
                <w:sz w:val="16"/>
                <w:szCs w:val="16"/>
              </w:rPr>
            </w:pPr>
            <w:r w:rsidRPr="005C7CCE">
              <w:rPr>
                <w:sz w:val="16"/>
              </w:rPr>
              <w:t>69</w:t>
            </w:r>
            <w:r w:rsidR="007E442D" w:rsidRPr="005C7CCE">
              <w:rPr>
                <w:sz w:val="16"/>
              </w:rPr>
              <w:t>%</w:t>
            </w:r>
            <w:r w:rsidRPr="005C7CCE">
              <w:rPr>
                <w:sz w:val="16"/>
              </w:rPr>
              <w:t xml:space="preserve"> (données disponibles tirées de questionnaires d</w:t>
            </w:r>
            <w:r w:rsidR="00A20444" w:rsidRPr="005C7CCE">
              <w:rPr>
                <w:sz w:val="16"/>
              </w:rPr>
              <w:t>’</w:t>
            </w:r>
            <w:r w:rsidRPr="005C7CCE">
              <w:rPr>
                <w:sz w:val="16"/>
              </w:rPr>
              <w:t>enquête de fin de manifestations, de questionnaires d</w:t>
            </w:r>
            <w:r w:rsidR="00A20444" w:rsidRPr="005C7CCE">
              <w:rPr>
                <w:sz w:val="16"/>
              </w:rPr>
              <w:t>’</w:t>
            </w:r>
            <w:r w:rsidRPr="005C7CCE">
              <w:rPr>
                <w:sz w:val="16"/>
              </w:rPr>
              <w:t>évaluation post</w:t>
            </w:r>
            <w:r w:rsidR="002D6F2A" w:rsidRPr="005C7CCE">
              <w:rPr>
                <w:sz w:val="16"/>
              </w:rPr>
              <w:noBreakHyphen/>
            </w:r>
            <w:r w:rsidRPr="005C7CCE">
              <w:rPr>
                <w:sz w:val="16"/>
              </w:rPr>
              <w:t>manifestations et de retours d</w:t>
            </w:r>
            <w:r w:rsidR="00A20444" w:rsidRPr="005C7CCE">
              <w:rPr>
                <w:sz w:val="16"/>
              </w:rPr>
              <w:t>’</w:t>
            </w:r>
            <w:r w:rsidRPr="005C7CCE">
              <w:rPr>
                <w:sz w:val="16"/>
              </w:rPr>
              <w:t>information des participants)</w:t>
            </w:r>
          </w:p>
        </w:tc>
        <w:tc>
          <w:tcPr>
            <w:tcW w:w="602" w:type="pct"/>
            <w:gridSpan w:val="2"/>
            <w:shd w:val="clear" w:color="auto" w:fill="auto"/>
            <w:tcMar>
              <w:top w:w="110" w:type="dxa"/>
            </w:tcMar>
          </w:tcPr>
          <w:p w:rsidR="0096696E" w:rsidRPr="005C7CCE" w:rsidRDefault="0096696E" w:rsidP="001A5BF9">
            <w:pPr>
              <w:keepNext/>
              <w:keepLines/>
              <w:jc w:val="center"/>
              <w:rPr>
                <w:color w:val="008000"/>
                <w:sz w:val="16"/>
              </w:rPr>
            </w:pPr>
            <w:r w:rsidRPr="00B470C6">
              <w:rPr>
                <w:color w:val="008000"/>
                <w:sz w:val="16"/>
              </w:rPr>
              <w:t>Objectif pleinement atteint</w:t>
            </w:r>
            <w:r w:rsidRPr="005C7CCE">
              <w:rPr>
                <w:color w:val="008000"/>
                <w:sz w:val="16"/>
              </w:rPr>
              <w:t xml:space="preserve"> </w:t>
            </w:r>
          </w:p>
        </w:tc>
      </w:tr>
      <w:tr w:rsidR="00582089" w:rsidRPr="005C7CCE" w:rsidTr="0009563F">
        <w:trPr>
          <w:cantSplit/>
        </w:trPr>
        <w:tc>
          <w:tcPr>
            <w:tcW w:w="1061" w:type="pct"/>
            <w:gridSpan w:val="2"/>
            <w:shd w:val="clear" w:color="auto" w:fill="auto"/>
          </w:tcPr>
          <w:p w:rsidR="0096696E" w:rsidRPr="00545053" w:rsidRDefault="0096696E" w:rsidP="001A5BF9">
            <w:pPr>
              <w:rPr>
                <w:rFonts w:cs="Arial"/>
                <w:sz w:val="16"/>
                <w:szCs w:val="16"/>
                <w:lang w:bidi="th-TH"/>
              </w:rPr>
            </w:pPr>
            <w:r w:rsidRPr="00545053">
              <w:rPr>
                <w:sz w:val="16"/>
              </w:rPr>
              <w:t>Pourcentage de spécialistes de la propriété intellectuelle qui font part d</w:t>
            </w:r>
            <w:r w:rsidR="00A20444" w:rsidRPr="00545053">
              <w:rPr>
                <w:sz w:val="16"/>
              </w:rPr>
              <w:t>’</w:t>
            </w:r>
            <w:r w:rsidRPr="00545053">
              <w:rPr>
                <w:sz w:val="16"/>
              </w:rPr>
              <w:t>une meilleure compréhension des questions de propriété intellectuelle</w:t>
            </w:r>
          </w:p>
        </w:tc>
        <w:tc>
          <w:tcPr>
            <w:tcW w:w="1060" w:type="pct"/>
            <w:gridSpan w:val="2"/>
            <w:shd w:val="clear" w:color="auto" w:fill="auto"/>
          </w:tcPr>
          <w:p w:rsidR="0096696E" w:rsidRPr="005C7CCE" w:rsidRDefault="0096696E" w:rsidP="001A5BF9">
            <w:pPr>
              <w:rPr>
                <w:rFonts w:cs="Arial"/>
                <w:sz w:val="16"/>
                <w:szCs w:val="16"/>
                <w:lang w:bidi="th-TH"/>
              </w:rPr>
            </w:pPr>
            <w:r w:rsidRPr="005C7CCE">
              <w:rPr>
                <w:sz w:val="16"/>
              </w:rPr>
              <w:t>Données non disponibles</w:t>
            </w:r>
          </w:p>
        </w:tc>
        <w:tc>
          <w:tcPr>
            <w:tcW w:w="760" w:type="pct"/>
            <w:gridSpan w:val="2"/>
            <w:shd w:val="clear" w:color="auto" w:fill="auto"/>
            <w:tcMar>
              <w:top w:w="110" w:type="dxa"/>
            </w:tcMar>
          </w:tcPr>
          <w:p w:rsidR="0096696E" w:rsidRPr="005C7CCE" w:rsidRDefault="0096696E" w:rsidP="001A5BF9">
            <w:pPr>
              <w:rPr>
                <w:rFonts w:cs="Arial"/>
                <w:sz w:val="16"/>
                <w:szCs w:val="16"/>
                <w:lang w:bidi="th-TH"/>
              </w:rPr>
            </w:pPr>
            <w:r w:rsidRPr="005C7CCE">
              <w:rPr>
                <w:sz w:val="16"/>
              </w:rPr>
              <w:t>30</w:t>
            </w:r>
            <w:r w:rsidR="007E442D" w:rsidRPr="005C7CCE">
              <w:rPr>
                <w:sz w:val="16"/>
              </w:rPr>
              <w:t>%</w:t>
            </w:r>
          </w:p>
        </w:tc>
        <w:tc>
          <w:tcPr>
            <w:tcW w:w="1517" w:type="pct"/>
            <w:shd w:val="clear" w:color="auto" w:fill="FFFFFF"/>
            <w:tcMar>
              <w:top w:w="110" w:type="dxa"/>
            </w:tcMar>
          </w:tcPr>
          <w:p w:rsidR="0096696E" w:rsidRPr="005C7CCE" w:rsidRDefault="0096696E" w:rsidP="001A5BF9">
            <w:pPr>
              <w:rPr>
                <w:rFonts w:cs="Arial"/>
                <w:sz w:val="16"/>
                <w:szCs w:val="16"/>
              </w:rPr>
            </w:pPr>
            <w:r w:rsidRPr="005C7CCE">
              <w:rPr>
                <w:sz w:val="16"/>
              </w:rPr>
              <w:t>66</w:t>
            </w:r>
            <w:r w:rsidR="007E442D" w:rsidRPr="005C7CCE">
              <w:rPr>
                <w:sz w:val="16"/>
              </w:rPr>
              <w:t>%</w:t>
            </w:r>
            <w:r w:rsidRPr="005C7CCE">
              <w:rPr>
                <w:sz w:val="16"/>
              </w:rPr>
              <w:t xml:space="preserve"> (données disponibles tirées de questionnaires d</w:t>
            </w:r>
            <w:r w:rsidR="00A20444" w:rsidRPr="005C7CCE">
              <w:rPr>
                <w:sz w:val="16"/>
              </w:rPr>
              <w:t>’</w:t>
            </w:r>
            <w:r w:rsidRPr="005C7CCE">
              <w:rPr>
                <w:sz w:val="16"/>
              </w:rPr>
              <w:t>enquête de fin de manifestations, de questionnaires d</w:t>
            </w:r>
            <w:r w:rsidR="00A20444" w:rsidRPr="005C7CCE">
              <w:rPr>
                <w:sz w:val="16"/>
              </w:rPr>
              <w:t>’</w:t>
            </w:r>
            <w:r w:rsidRPr="005C7CCE">
              <w:rPr>
                <w:sz w:val="16"/>
              </w:rPr>
              <w:t>évaluation post</w:t>
            </w:r>
            <w:r w:rsidR="002D6F2A" w:rsidRPr="005C7CCE">
              <w:rPr>
                <w:sz w:val="16"/>
              </w:rPr>
              <w:noBreakHyphen/>
            </w:r>
            <w:r w:rsidRPr="005C7CCE">
              <w:rPr>
                <w:sz w:val="16"/>
              </w:rPr>
              <w:t>manifestations et de retours d</w:t>
            </w:r>
            <w:r w:rsidR="00A20444" w:rsidRPr="005C7CCE">
              <w:rPr>
                <w:sz w:val="16"/>
              </w:rPr>
              <w:t>’</w:t>
            </w:r>
            <w:r w:rsidRPr="005C7CCE">
              <w:rPr>
                <w:sz w:val="16"/>
              </w:rPr>
              <w:t>information des participants)</w:t>
            </w:r>
          </w:p>
        </w:tc>
        <w:tc>
          <w:tcPr>
            <w:tcW w:w="602" w:type="pct"/>
            <w:gridSpan w:val="2"/>
            <w:shd w:val="clear" w:color="auto" w:fill="auto"/>
            <w:tcMar>
              <w:top w:w="110" w:type="dxa"/>
            </w:tcMar>
          </w:tcPr>
          <w:p w:rsidR="0096696E" w:rsidRPr="005C7CCE" w:rsidRDefault="0096696E" w:rsidP="001A5BF9">
            <w:pPr>
              <w:keepNext/>
              <w:keepLines/>
              <w:jc w:val="center"/>
              <w:rPr>
                <w:color w:val="008000"/>
                <w:sz w:val="16"/>
              </w:rPr>
            </w:pPr>
            <w:r w:rsidRPr="00B470C6">
              <w:rPr>
                <w:color w:val="008000"/>
                <w:sz w:val="16"/>
              </w:rPr>
              <w:t>Objectif pleinement atteint</w:t>
            </w:r>
            <w:r w:rsidRPr="005C7CCE">
              <w:rPr>
                <w:color w:val="008000"/>
                <w:sz w:val="16"/>
              </w:rPr>
              <w:t xml:space="preserve"> </w:t>
            </w:r>
          </w:p>
        </w:tc>
      </w:tr>
      <w:tr w:rsidR="00582089" w:rsidRPr="005C7CCE" w:rsidTr="0009563F">
        <w:trPr>
          <w:cantSplit/>
        </w:trPr>
        <w:tc>
          <w:tcPr>
            <w:tcW w:w="1061" w:type="pct"/>
            <w:gridSpan w:val="2"/>
            <w:tcBorders>
              <w:bottom w:val="single" w:sz="4" w:space="0" w:color="auto"/>
            </w:tcBorders>
            <w:shd w:val="clear" w:color="auto" w:fill="auto"/>
          </w:tcPr>
          <w:p w:rsidR="0096696E" w:rsidRPr="00545053" w:rsidRDefault="0096696E" w:rsidP="001A5BF9">
            <w:pPr>
              <w:rPr>
                <w:rFonts w:cs="Arial"/>
                <w:sz w:val="16"/>
                <w:szCs w:val="16"/>
                <w:lang w:bidi="th-TH"/>
              </w:rPr>
            </w:pPr>
            <w:r w:rsidRPr="00545053">
              <w:rPr>
                <w:sz w:val="16"/>
              </w:rPr>
              <w:t>Pourcentage de participants satisfaits de la qualité des ateliers et des séminaires sur l</w:t>
            </w:r>
            <w:r w:rsidR="00A20444" w:rsidRPr="00545053">
              <w:rPr>
                <w:sz w:val="16"/>
              </w:rPr>
              <w:t>’</w:t>
            </w:r>
            <w:r w:rsidRPr="00545053">
              <w:rPr>
                <w:sz w:val="16"/>
              </w:rPr>
              <w:t>innovation et sa commercialisation</w:t>
            </w:r>
          </w:p>
        </w:tc>
        <w:tc>
          <w:tcPr>
            <w:tcW w:w="1060" w:type="pct"/>
            <w:gridSpan w:val="2"/>
            <w:tcBorders>
              <w:bottom w:val="single" w:sz="4" w:space="0" w:color="auto"/>
            </w:tcBorders>
            <w:shd w:val="clear" w:color="auto" w:fill="auto"/>
          </w:tcPr>
          <w:p w:rsidR="00D42474" w:rsidRDefault="0096696E" w:rsidP="001A5BF9">
            <w:pPr>
              <w:rPr>
                <w:rFonts w:cs="Arial"/>
                <w:i/>
                <w:color w:val="002060"/>
                <w:sz w:val="16"/>
                <w:szCs w:val="16"/>
              </w:rPr>
            </w:pPr>
            <w:r w:rsidRPr="005C7CCE">
              <w:rPr>
                <w:i/>
                <w:color w:val="002060"/>
                <w:sz w:val="16"/>
              </w:rPr>
              <w:t xml:space="preserve">Niveau de référence actualisé fin 2011 : </w:t>
            </w:r>
            <w:r w:rsidR="00332224">
              <w:rPr>
                <w:color w:val="002060"/>
                <w:sz w:val="16"/>
              </w:rPr>
              <w:t>r</w:t>
            </w:r>
            <w:r w:rsidRPr="005C7CCE">
              <w:rPr>
                <w:color w:val="002060"/>
                <w:sz w:val="16"/>
              </w:rPr>
              <w:t>etours d</w:t>
            </w:r>
            <w:r w:rsidR="00A20444" w:rsidRPr="005C7CCE">
              <w:rPr>
                <w:color w:val="002060"/>
                <w:sz w:val="16"/>
              </w:rPr>
              <w:t>’</w:t>
            </w:r>
            <w:r w:rsidRPr="005C7CCE">
              <w:rPr>
                <w:color w:val="002060"/>
                <w:sz w:val="16"/>
              </w:rPr>
              <w:t>information généraux disponibles, mais aucune donnée spécifique</w:t>
            </w:r>
          </w:p>
          <w:p w:rsidR="00D42474" w:rsidRDefault="00D42474" w:rsidP="001A5BF9">
            <w:pPr>
              <w:rPr>
                <w:rFonts w:cs="Arial"/>
                <w:i/>
                <w:color w:val="002060"/>
                <w:sz w:val="8"/>
                <w:szCs w:val="8"/>
              </w:rPr>
            </w:pPr>
          </w:p>
          <w:p w:rsidR="0096696E" w:rsidRPr="005C7CCE" w:rsidRDefault="0096696E" w:rsidP="001A5BF9">
            <w:pPr>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332224">
              <w:rPr>
                <w:sz w:val="16"/>
              </w:rPr>
              <w:t>r</w:t>
            </w:r>
            <w:r w:rsidRPr="005C7CCE">
              <w:rPr>
                <w:sz w:val="16"/>
              </w:rPr>
              <w:t>etours d</w:t>
            </w:r>
            <w:r w:rsidR="00A20444" w:rsidRPr="005C7CCE">
              <w:rPr>
                <w:sz w:val="16"/>
              </w:rPr>
              <w:t>’</w:t>
            </w:r>
            <w:r w:rsidRPr="005C7CCE">
              <w:rPr>
                <w:sz w:val="16"/>
              </w:rPr>
              <w:t>information généraux disponibles, mais aucune donnée spécifique</w:t>
            </w:r>
          </w:p>
        </w:tc>
        <w:tc>
          <w:tcPr>
            <w:tcW w:w="760" w:type="pct"/>
            <w:gridSpan w:val="2"/>
            <w:tcBorders>
              <w:bottom w:val="single" w:sz="4" w:space="0" w:color="auto"/>
            </w:tcBorders>
            <w:shd w:val="clear" w:color="auto" w:fill="auto"/>
            <w:tcMar>
              <w:top w:w="110" w:type="dxa"/>
            </w:tcMar>
          </w:tcPr>
          <w:p w:rsidR="0096696E" w:rsidRPr="005C7CCE" w:rsidRDefault="0096696E" w:rsidP="001A5BF9">
            <w:pPr>
              <w:rPr>
                <w:rFonts w:cs="Arial"/>
                <w:sz w:val="16"/>
                <w:szCs w:val="16"/>
                <w:lang w:bidi="th-TH"/>
              </w:rPr>
            </w:pPr>
            <w:r w:rsidRPr="005C7CCE">
              <w:rPr>
                <w:sz w:val="16"/>
              </w:rPr>
              <w:t>90</w:t>
            </w:r>
            <w:r w:rsidR="007E442D" w:rsidRPr="005C7CCE">
              <w:rPr>
                <w:sz w:val="16"/>
              </w:rPr>
              <w:t>%</w:t>
            </w:r>
          </w:p>
        </w:tc>
        <w:tc>
          <w:tcPr>
            <w:tcW w:w="1517" w:type="pct"/>
            <w:tcBorders>
              <w:bottom w:val="single" w:sz="4" w:space="0" w:color="auto"/>
            </w:tcBorders>
            <w:shd w:val="clear" w:color="auto" w:fill="FFFFFF"/>
            <w:tcMar>
              <w:top w:w="110" w:type="dxa"/>
            </w:tcMar>
          </w:tcPr>
          <w:p w:rsidR="0096696E" w:rsidRPr="005C7CCE" w:rsidRDefault="0096696E" w:rsidP="001A5BF9">
            <w:pPr>
              <w:rPr>
                <w:rFonts w:cs="Arial"/>
                <w:sz w:val="16"/>
                <w:szCs w:val="16"/>
                <w:highlight w:val="red"/>
              </w:rPr>
            </w:pPr>
            <w:r w:rsidRPr="005C7CCE">
              <w:rPr>
                <w:sz w:val="16"/>
              </w:rPr>
              <w:t>95</w:t>
            </w:r>
            <w:r w:rsidR="007E442D" w:rsidRPr="005C7CCE">
              <w:rPr>
                <w:sz w:val="16"/>
              </w:rPr>
              <w:t>%</w:t>
            </w:r>
            <w:r w:rsidRPr="005C7CCE">
              <w:rPr>
                <w:sz w:val="16"/>
              </w:rPr>
              <w:t xml:space="preserve"> (données disponibles tirées de questionnaires d</w:t>
            </w:r>
            <w:r w:rsidR="00A20444" w:rsidRPr="005C7CCE">
              <w:rPr>
                <w:sz w:val="16"/>
              </w:rPr>
              <w:t>’</w:t>
            </w:r>
            <w:r w:rsidRPr="005C7CCE">
              <w:rPr>
                <w:sz w:val="16"/>
              </w:rPr>
              <w:t>enquête de fin de manifestations, de questionnaires d</w:t>
            </w:r>
            <w:r w:rsidR="00A20444" w:rsidRPr="005C7CCE">
              <w:rPr>
                <w:sz w:val="16"/>
              </w:rPr>
              <w:t>’</w:t>
            </w:r>
            <w:r w:rsidRPr="005C7CCE">
              <w:rPr>
                <w:sz w:val="16"/>
              </w:rPr>
              <w:t>évaluation post</w:t>
            </w:r>
            <w:r w:rsidR="002D6F2A" w:rsidRPr="005C7CCE">
              <w:rPr>
                <w:sz w:val="16"/>
              </w:rPr>
              <w:noBreakHyphen/>
            </w:r>
            <w:r w:rsidRPr="005C7CCE">
              <w:rPr>
                <w:sz w:val="16"/>
              </w:rPr>
              <w:t>manifestations et de retours d</w:t>
            </w:r>
            <w:r w:rsidR="00A20444" w:rsidRPr="005C7CCE">
              <w:rPr>
                <w:sz w:val="16"/>
              </w:rPr>
              <w:t>’</w:t>
            </w:r>
            <w:r w:rsidRPr="005C7CCE">
              <w:rPr>
                <w:sz w:val="16"/>
              </w:rPr>
              <w:t>information des participants)</w:t>
            </w:r>
          </w:p>
        </w:tc>
        <w:tc>
          <w:tcPr>
            <w:tcW w:w="602" w:type="pct"/>
            <w:gridSpan w:val="2"/>
            <w:tcBorders>
              <w:bottom w:val="single" w:sz="4" w:space="0" w:color="auto"/>
            </w:tcBorders>
            <w:shd w:val="clear" w:color="auto" w:fill="auto"/>
            <w:tcMar>
              <w:top w:w="110" w:type="dxa"/>
            </w:tcMar>
          </w:tcPr>
          <w:p w:rsidR="0096696E" w:rsidRPr="005C7CCE" w:rsidRDefault="0096696E" w:rsidP="001A5BF9">
            <w:pPr>
              <w:keepNext/>
              <w:keepLines/>
              <w:jc w:val="center"/>
              <w:rPr>
                <w:color w:val="008000"/>
                <w:sz w:val="16"/>
              </w:rPr>
            </w:pPr>
            <w:r w:rsidRPr="00B470C6">
              <w:rPr>
                <w:color w:val="008000"/>
                <w:sz w:val="16"/>
              </w:rPr>
              <w:t>Objectif pleinement atteint</w:t>
            </w:r>
            <w:r w:rsidRPr="005C7CCE">
              <w:rPr>
                <w:color w:val="008000"/>
                <w:sz w:val="16"/>
              </w:rPr>
              <w:t xml:space="preserve"> </w:t>
            </w:r>
          </w:p>
        </w:tc>
      </w:tr>
      <w:tr w:rsidR="0096696E" w:rsidRPr="00332224" w:rsidTr="00F76B10">
        <w:trPr>
          <w:cantSplit/>
        </w:trPr>
        <w:tc>
          <w:tcPr>
            <w:tcW w:w="5000" w:type="pct"/>
            <w:gridSpan w:val="9"/>
            <w:tcBorders>
              <w:top w:val="single" w:sz="4" w:space="0" w:color="auto"/>
              <w:bottom w:val="single" w:sz="4" w:space="0" w:color="auto"/>
            </w:tcBorders>
            <w:shd w:val="clear" w:color="auto" w:fill="CCFFFF"/>
            <w:vAlign w:val="center"/>
          </w:tcPr>
          <w:p w:rsidR="0096696E" w:rsidRPr="00332224" w:rsidRDefault="0096696E" w:rsidP="001A5BF9">
            <w:pPr>
              <w:keepNext/>
              <w:keepLines/>
              <w:tabs>
                <w:tab w:val="left" w:pos="1452"/>
              </w:tabs>
              <w:spacing w:before="120" w:after="120"/>
              <w:ind w:left="1452" w:hanging="1452"/>
              <w:rPr>
                <w:rFonts w:cs="Arial"/>
                <w:b/>
                <w:bCs/>
                <w:sz w:val="16"/>
                <w:szCs w:val="16"/>
              </w:rPr>
            </w:pPr>
            <w:r w:rsidRPr="00332224">
              <w:rPr>
                <w:b/>
                <w:sz w:val="16"/>
              </w:rPr>
              <w:t>Résultat escompté</w:t>
            </w:r>
            <w:r w:rsidR="0010442A" w:rsidRPr="00332224">
              <w:rPr>
                <w:b/>
                <w:sz w:val="16"/>
              </w:rPr>
              <w:t xml:space="preserve"> : </w:t>
            </w:r>
            <w:r w:rsidRPr="00332224">
              <w:rPr>
                <w:b/>
                <w:sz w:val="16"/>
              </w:rPr>
              <w:tab/>
            </w:r>
            <w:r w:rsidRPr="00332224">
              <w:rPr>
                <w:sz w:val="16"/>
              </w:rPr>
              <w:t>Amélioration de l</w:t>
            </w:r>
            <w:r w:rsidR="00A20444" w:rsidRPr="00332224">
              <w:rPr>
                <w:sz w:val="16"/>
              </w:rPr>
              <w:t>’</w:t>
            </w:r>
            <w:r w:rsidRPr="00332224">
              <w:rPr>
                <w:sz w:val="16"/>
              </w:rPr>
              <w:t>accès aux informations et au savoir en matière de propriété intellectuelle et leur utilisation par les institutions de propriété intellectuelle et le public au service de l</w:t>
            </w:r>
            <w:r w:rsidR="00A20444" w:rsidRPr="00332224">
              <w:rPr>
                <w:sz w:val="16"/>
              </w:rPr>
              <w:t>’</w:t>
            </w:r>
            <w:r w:rsidRPr="00332224">
              <w:rPr>
                <w:sz w:val="16"/>
              </w:rPr>
              <w:t>innovation, et facilité d</w:t>
            </w:r>
            <w:r w:rsidR="00A20444" w:rsidRPr="00332224">
              <w:rPr>
                <w:sz w:val="16"/>
              </w:rPr>
              <w:t>’</w:t>
            </w:r>
            <w:r w:rsidRPr="00332224">
              <w:rPr>
                <w:sz w:val="16"/>
              </w:rPr>
              <w:t>accès aux œuvres créatives protégées et aux œuvres créatives tombées dans le domaine public</w:t>
            </w:r>
          </w:p>
        </w:tc>
      </w:tr>
      <w:tr w:rsidR="0096696E" w:rsidRPr="00332224" w:rsidTr="00F76B10">
        <w:trPr>
          <w:cantSplit/>
        </w:trPr>
        <w:tc>
          <w:tcPr>
            <w:tcW w:w="968" w:type="pct"/>
            <w:tcBorders>
              <w:top w:val="single" w:sz="4" w:space="0" w:color="auto"/>
            </w:tcBorders>
            <w:shd w:val="clear" w:color="auto" w:fill="auto"/>
            <w:vAlign w:val="center"/>
          </w:tcPr>
          <w:p w:rsidR="0096696E" w:rsidRPr="00332224" w:rsidRDefault="0096696E" w:rsidP="001A5BF9">
            <w:pPr>
              <w:keepNext/>
              <w:keepLines/>
              <w:rPr>
                <w:rFonts w:cs="Arial"/>
                <w:b/>
                <w:sz w:val="16"/>
                <w:szCs w:val="16"/>
              </w:rPr>
            </w:pPr>
            <w:r w:rsidRPr="00332224">
              <w:rPr>
                <w:b/>
                <w:sz w:val="16"/>
              </w:rPr>
              <w:t>Indicateurs d</w:t>
            </w:r>
            <w:r w:rsidR="00A20444" w:rsidRPr="00332224">
              <w:rPr>
                <w:b/>
                <w:sz w:val="16"/>
              </w:rPr>
              <w:t>’</w:t>
            </w:r>
            <w:r w:rsidRPr="00332224">
              <w:rPr>
                <w:b/>
                <w:sz w:val="16"/>
              </w:rPr>
              <w:t>exécution</w:t>
            </w:r>
          </w:p>
        </w:tc>
        <w:tc>
          <w:tcPr>
            <w:tcW w:w="890" w:type="pct"/>
            <w:gridSpan w:val="2"/>
            <w:tcBorders>
              <w:top w:val="single" w:sz="4" w:space="0" w:color="auto"/>
            </w:tcBorders>
            <w:shd w:val="clear" w:color="auto" w:fill="auto"/>
            <w:vAlign w:val="center"/>
          </w:tcPr>
          <w:p w:rsidR="0096696E" w:rsidRPr="00332224" w:rsidRDefault="0096696E" w:rsidP="001A5BF9">
            <w:pPr>
              <w:keepNext/>
              <w:keepLines/>
              <w:rPr>
                <w:rFonts w:cs="Arial"/>
                <w:b/>
                <w:bCs/>
                <w:sz w:val="16"/>
                <w:szCs w:val="16"/>
              </w:rPr>
            </w:pPr>
            <w:r w:rsidRPr="00332224">
              <w:rPr>
                <w:b/>
                <w:sz w:val="16"/>
              </w:rPr>
              <w:t>Niveaux de référence</w:t>
            </w:r>
          </w:p>
        </w:tc>
        <w:tc>
          <w:tcPr>
            <w:tcW w:w="806" w:type="pct"/>
            <w:gridSpan w:val="2"/>
            <w:tcBorders>
              <w:top w:val="single" w:sz="4" w:space="0" w:color="auto"/>
            </w:tcBorders>
            <w:shd w:val="clear" w:color="auto" w:fill="auto"/>
            <w:tcMar>
              <w:top w:w="110" w:type="dxa"/>
            </w:tcMar>
            <w:vAlign w:val="center"/>
          </w:tcPr>
          <w:p w:rsidR="0096696E" w:rsidRPr="00332224" w:rsidRDefault="0096696E" w:rsidP="001A5BF9">
            <w:pPr>
              <w:keepNext/>
              <w:keepLines/>
              <w:rPr>
                <w:rFonts w:cs="Arial"/>
                <w:b/>
                <w:sz w:val="16"/>
                <w:szCs w:val="16"/>
              </w:rPr>
            </w:pPr>
            <w:r w:rsidRPr="00332224">
              <w:rPr>
                <w:b/>
                <w:sz w:val="16"/>
              </w:rPr>
              <w:t>Objectifs visés</w:t>
            </w:r>
          </w:p>
        </w:tc>
        <w:tc>
          <w:tcPr>
            <w:tcW w:w="1749" w:type="pct"/>
            <w:gridSpan w:val="3"/>
            <w:tcBorders>
              <w:top w:val="single" w:sz="4" w:space="0" w:color="auto"/>
            </w:tcBorders>
            <w:shd w:val="clear" w:color="auto" w:fill="FFFFFF"/>
            <w:tcMar>
              <w:top w:w="110" w:type="dxa"/>
            </w:tcMar>
            <w:vAlign w:val="center"/>
          </w:tcPr>
          <w:p w:rsidR="0096696E" w:rsidRPr="00332224" w:rsidRDefault="0096696E" w:rsidP="001A5BF9">
            <w:pPr>
              <w:keepNext/>
              <w:keepLines/>
              <w:rPr>
                <w:rFonts w:cs="Arial"/>
                <w:b/>
                <w:sz w:val="16"/>
                <w:szCs w:val="16"/>
              </w:rPr>
            </w:pPr>
            <w:r w:rsidRPr="00332224">
              <w:rPr>
                <w:b/>
                <w:sz w:val="16"/>
              </w:rPr>
              <w:t>Données relatives à l</w:t>
            </w:r>
            <w:r w:rsidR="00A20444" w:rsidRPr="00332224">
              <w:rPr>
                <w:b/>
                <w:sz w:val="16"/>
              </w:rPr>
              <w:t>’</w:t>
            </w:r>
            <w:r w:rsidRPr="00332224">
              <w:rPr>
                <w:b/>
                <w:sz w:val="16"/>
              </w:rPr>
              <w:t>exécution</w:t>
            </w:r>
          </w:p>
        </w:tc>
        <w:tc>
          <w:tcPr>
            <w:tcW w:w="587" w:type="pct"/>
            <w:tcBorders>
              <w:top w:val="single" w:sz="4" w:space="0" w:color="auto"/>
            </w:tcBorders>
            <w:shd w:val="clear" w:color="auto" w:fill="auto"/>
            <w:tcMar>
              <w:top w:w="110" w:type="dxa"/>
            </w:tcMar>
            <w:vAlign w:val="center"/>
          </w:tcPr>
          <w:p w:rsidR="0096696E" w:rsidRPr="00332224" w:rsidRDefault="0096696E" w:rsidP="001A5BF9">
            <w:pPr>
              <w:keepNext/>
              <w:keepLines/>
              <w:jc w:val="center"/>
              <w:rPr>
                <w:rFonts w:cs="Arial"/>
                <w:b/>
                <w:bCs/>
                <w:sz w:val="16"/>
                <w:szCs w:val="16"/>
              </w:rPr>
            </w:pPr>
            <w:r w:rsidRPr="00332224">
              <w:rPr>
                <w:b/>
                <w:sz w:val="16"/>
              </w:rPr>
              <w:t>Code de couleurs</w:t>
            </w:r>
          </w:p>
        </w:tc>
      </w:tr>
      <w:tr w:rsidR="0096696E" w:rsidRPr="005C7CCE" w:rsidTr="00F76B10">
        <w:trPr>
          <w:cantSplit/>
        </w:trPr>
        <w:tc>
          <w:tcPr>
            <w:tcW w:w="968" w:type="pct"/>
            <w:shd w:val="clear" w:color="auto" w:fill="auto"/>
          </w:tcPr>
          <w:p w:rsidR="0096696E" w:rsidRPr="00332224" w:rsidRDefault="0096696E" w:rsidP="001A5BF9">
            <w:pPr>
              <w:rPr>
                <w:rFonts w:cs="Arial"/>
                <w:sz w:val="16"/>
                <w:szCs w:val="16"/>
                <w:lang w:bidi="th-TH"/>
              </w:rPr>
            </w:pPr>
            <w:r w:rsidRPr="00332224">
              <w:rPr>
                <w:sz w:val="16"/>
              </w:rPr>
              <w:t>Nombre de réseaux nationaux de centres d</w:t>
            </w:r>
            <w:r w:rsidR="00A20444" w:rsidRPr="00332224">
              <w:rPr>
                <w:sz w:val="16"/>
              </w:rPr>
              <w:t>’</w:t>
            </w:r>
            <w:r w:rsidRPr="00332224">
              <w:rPr>
                <w:sz w:val="16"/>
              </w:rPr>
              <w:t>appui à la technologie et à l</w:t>
            </w:r>
            <w:r w:rsidR="00A20444" w:rsidRPr="00332224">
              <w:rPr>
                <w:sz w:val="16"/>
              </w:rPr>
              <w:t>’</w:t>
            </w:r>
            <w:r w:rsidRPr="00332224">
              <w:rPr>
                <w:sz w:val="16"/>
              </w:rPr>
              <w:t xml:space="preserve">innovation lancés </w:t>
            </w:r>
          </w:p>
        </w:tc>
        <w:tc>
          <w:tcPr>
            <w:tcW w:w="890" w:type="pct"/>
            <w:gridSpan w:val="2"/>
            <w:shd w:val="clear" w:color="auto" w:fill="auto"/>
          </w:tcPr>
          <w:p w:rsidR="00D42474" w:rsidRDefault="0096696E" w:rsidP="001A5BF9">
            <w:pPr>
              <w:rPr>
                <w:rFonts w:cs="Arial"/>
                <w:i/>
                <w:color w:val="002060"/>
                <w:sz w:val="16"/>
                <w:szCs w:val="16"/>
              </w:rPr>
            </w:pPr>
            <w:r w:rsidRPr="005C7CCE">
              <w:rPr>
                <w:i/>
                <w:color w:val="002060"/>
                <w:sz w:val="16"/>
              </w:rPr>
              <w:t xml:space="preserve">Niveau de </w:t>
            </w:r>
            <w:r w:rsidR="00332224">
              <w:rPr>
                <w:i/>
                <w:color w:val="002060"/>
                <w:sz w:val="16"/>
              </w:rPr>
              <w:t xml:space="preserve">référence actualisé fin 2011 : </w:t>
            </w:r>
            <w:r w:rsidR="00332224" w:rsidRPr="00332224">
              <w:rPr>
                <w:color w:val="002060"/>
                <w:sz w:val="16"/>
              </w:rPr>
              <w:t>d</w:t>
            </w:r>
            <w:r w:rsidRPr="00332224">
              <w:rPr>
                <w:color w:val="002060"/>
                <w:sz w:val="16"/>
              </w:rPr>
              <w:t>eux </w:t>
            </w:r>
            <w:r w:rsidRPr="005C7CCE">
              <w:rPr>
                <w:color w:val="002060"/>
                <w:sz w:val="16"/>
              </w:rPr>
              <w:t>réseaux nationaux de CATI ont été lancés</w:t>
            </w:r>
          </w:p>
          <w:p w:rsidR="00D42474" w:rsidRDefault="00D42474" w:rsidP="001A5BF9">
            <w:pPr>
              <w:rPr>
                <w:rFonts w:cs="Arial"/>
                <w:i/>
                <w:color w:val="002060"/>
                <w:sz w:val="8"/>
                <w:szCs w:val="8"/>
              </w:rPr>
            </w:pPr>
          </w:p>
          <w:p w:rsidR="0096696E" w:rsidRPr="005C7CCE" w:rsidRDefault="0096696E" w:rsidP="001A5BF9">
            <w:pPr>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332224">
              <w:rPr>
                <w:sz w:val="16"/>
              </w:rPr>
              <w:t>u</w:t>
            </w:r>
            <w:r w:rsidRPr="005C7CCE">
              <w:rPr>
                <w:sz w:val="16"/>
              </w:rPr>
              <w:t>n réseau national de CATI lancé</w:t>
            </w:r>
            <w:r w:rsidRPr="005C7CCE">
              <w:br/>
            </w:r>
            <w:r w:rsidRPr="005C7CCE">
              <w:rPr>
                <w:sz w:val="16"/>
              </w:rPr>
              <w:t xml:space="preserve">(1er trimestre 2011) </w:t>
            </w:r>
          </w:p>
        </w:tc>
        <w:tc>
          <w:tcPr>
            <w:tcW w:w="806" w:type="pct"/>
            <w:gridSpan w:val="2"/>
            <w:shd w:val="clear" w:color="auto" w:fill="auto"/>
            <w:tcMar>
              <w:top w:w="110" w:type="dxa"/>
            </w:tcMar>
          </w:tcPr>
          <w:p w:rsidR="00D42474" w:rsidRDefault="0096696E" w:rsidP="001A5BF9">
            <w:pPr>
              <w:rPr>
                <w:rFonts w:cs="Arial"/>
                <w:sz w:val="16"/>
                <w:szCs w:val="16"/>
                <w:lang w:bidi="th-TH"/>
              </w:rPr>
            </w:pPr>
            <w:r w:rsidRPr="005C7CCE">
              <w:rPr>
                <w:sz w:val="16"/>
              </w:rPr>
              <w:t>Quatre réseaux</w:t>
            </w:r>
          </w:p>
          <w:p w:rsidR="00D42474" w:rsidRDefault="0096696E" w:rsidP="001A5BF9">
            <w:pPr>
              <w:rPr>
                <w:rFonts w:cs="Arial"/>
                <w:sz w:val="16"/>
                <w:szCs w:val="16"/>
                <w:lang w:bidi="th-TH"/>
              </w:rPr>
            </w:pPr>
            <w:r w:rsidRPr="005C7CCE">
              <w:rPr>
                <w:sz w:val="16"/>
              </w:rPr>
              <w:t>nationaux de CATI supplémentaires</w:t>
            </w:r>
          </w:p>
          <w:p w:rsidR="0096696E" w:rsidRPr="005C7CCE" w:rsidRDefault="0096696E" w:rsidP="001A5BF9">
            <w:pPr>
              <w:rPr>
                <w:rFonts w:cs="Arial"/>
                <w:sz w:val="16"/>
                <w:szCs w:val="16"/>
                <w:lang w:bidi="th-TH"/>
              </w:rPr>
            </w:pPr>
            <w:r w:rsidRPr="005C7CCE">
              <w:rPr>
                <w:sz w:val="16"/>
              </w:rPr>
              <w:t xml:space="preserve">lancés </w:t>
            </w:r>
          </w:p>
        </w:tc>
        <w:tc>
          <w:tcPr>
            <w:tcW w:w="1749" w:type="pct"/>
            <w:gridSpan w:val="3"/>
            <w:shd w:val="clear" w:color="auto" w:fill="FFFFFF"/>
            <w:tcMar>
              <w:top w:w="110" w:type="dxa"/>
            </w:tcMar>
          </w:tcPr>
          <w:p w:rsidR="0096696E" w:rsidRPr="00332224" w:rsidRDefault="0096696E" w:rsidP="001A5BF9">
            <w:pPr>
              <w:rPr>
                <w:rFonts w:cs="Arial"/>
                <w:sz w:val="16"/>
                <w:szCs w:val="16"/>
              </w:rPr>
            </w:pPr>
            <w:r w:rsidRPr="00332224">
              <w:rPr>
                <w:sz w:val="16"/>
              </w:rPr>
              <w:t>Un réseau national de CATI pleinement lancé en Fédération de Russie, portant le nombre total de réseaux de CATI dans la région à trois.</w:t>
            </w:r>
          </w:p>
        </w:tc>
        <w:tc>
          <w:tcPr>
            <w:tcW w:w="587" w:type="pct"/>
            <w:shd w:val="clear" w:color="auto" w:fill="auto"/>
            <w:tcMar>
              <w:top w:w="110" w:type="dxa"/>
            </w:tcMar>
          </w:tcPr>
          <w:p w:rsidR="0096696E" w:rsidRPr="00332224" w:rsidRDefault="0096696E" w:rsidP="001A5BF9">
            <w:pPr>
              <w:keepNext/>
              <w:keepLines/>
              <w:jc w:val="center"/>
              <w:rPr>
                <w:rFonts w:cs="Arial"/>
                <w:bCs/>
                <w:color w:val="808080"/>
                <w:sz w:val="16"/>
                <w:szCs w:val="16"/>
              </w:rPr>
            </w:pPr>
            <w:r w:rsidRPr="00332224">
              <w:rPr>
                <w:color w:val="FF0000"/>
                <w:sz w:val="16"/>
              </w:rPr>
              <w:t>Objectif pas atteint</w:t>
            </w:r>
          </w:p>
        </w:tc>
      </w:tr>
      <w:tr w:rsidR="0096696E" w:rsidRPr="005C7CCE" w:rsidTr="00F76B10">
        <w:trPr>
          <w:cantSplit/>
        </w:trPr>
        <w:tc>
          <w:tcPr>
            <w:tcW w:w="968" w:type="pct"/>
            <w:shd w:val="clear" w:color="auto" w:fill="auto"/>
          </w:tcPr>
          <w:p w:rsidR="0096696E" w:rsidRPr="00332224" w:rsidRDefault="0096696E" w:rsidP="001A5BF9">
            <w:pPr>
              <w:rPr>
                <w:rFonts w:cs="Arial"/>
                <w:sz w:val="16"/>
                <w:szCs w:val="16"/>
                <w:lang w:bidi="th-TH"/>
              </w:rPr>
            </w:pPr>
            <w:r w:rsidRPr="00332224">
              <w:rPr>
                <w:sz w:val="16"/>
              </w:rPr>
              <w:t>Nombre d</w:t>
            </w:r>
            <w:r w:rsidR="00A20444" w:rsidRPr="00332224">
              <w:rPr>
                <w:sz w:val="16"/>
              </w:rPr>
              <w:t>’</w:t>
            </w:r>
            <w:r w:rsidRPr="00332224">
              <w:rPr>
                <w:sz w:val="16"/>
              </w:rPr>
              <w:t>utilisateurs bénéficiant des services des centres par trimestre et pays</w:t>
            </w:r>
          </w:p>
        </w:tc>
        <w:tc>
          <w:tcPr>
            <w:tcW w:w="890" w:type="pct"/>
            <w:gridSpan w:val="2"/>
            <w:shd w:val="clear" w:color="auto" w:fill="auto"/>
          </w:tcPr>
          <w:p w:rsidR="00D42474" w:rsidRDefault="0096696E" w:rsidP="001A5BF9">
            <w:pPr>
              <w:rPr>
                <w:rFonts w:cs="Arial"/>
                <w:i/>
                <w:color w:val="002060"/>
                <w:sz w:val="16"/>
                <w:szCs w:val="16"/>
              </w:rPr>
            </w:pPr>
            <w:r w:rsidRPr="005C7CCE">
              <w:rPr>
                <w:i/>
                <w:color w:val="002060"/>
                <w:sz w:val="16"/>
              </w:rPr>
              <w:t xml:space="preserve">Niveau de référence actualisé fin 2011 : </w:t>
            </w:r>
            <w:r w:rsidR="00332224">
              <w:rPr>
                <w:color w:val="002060"/>
                <w:sz w:val="16"/>
              </w:rPr>
              <w:t>e</w:t>
            </w:r>
            <w:r w:rsidRPr="005C7CCE">
              <w:rPr>
                <w:color w:val="002060"/>
                <w:sz w:val="16"/>
              </w:rPr>
              <w:t xml:space="preserve">ntre </w:t>
            </w:r>
            <w:r w:rsidR="00BD43F2">
              <w:rPr>
                <w:color w:val="002060"/>
                <w:sz w:val="16"/>
              </w:rPr>
              <w:t>200 </w:t>
            </w:r>
            <w:r w:rsidRPr="005C7CCE">
              <w:rPr>
                <w:color w:val="002060"/>
                <w:sz w:val="16"/>
              </w:rPr>
              <w:t xml:space="preserve">(min.) et </w:t>
            </w:r>
            <w:r w:rsidR="00BD43F2">
              <w:rPr>
                <w:color w:val="002060"/>
                <w:sz w:val="16"/>
              </w:rPr>
              <w:t>630 </w:t>
            </w:r>
            <w:r w:rsidRPr="005C7CCE">
              <w:rPr>
                <w:color w:val="002060"/>
                <w:sz w:val="16"/>
              </w:rPr>
              <w:t>(max.) utilisateurs en moyenne bénéficiant des services de CATI par jour</w:t>
            </w:r>
          </w:p>
          <w:p w:rsidR="00D42474" w:rsidRDefault="00D42474" w:rsidP="001A5BF9">
            <w:pPr>
              <w:rPr>
                <w:rFonts w:cs="Arial"/>
                <w:i/>
                <w:color w:val="002060"/>
                <w:sz w:val="8"/>
                <w:szCs w:val="8"/>
              </w:rPr>
            </w:pPr>
          </w:p>
          <w:p w:rsidR="0096696E" w:rsidRPr="005C7CCE" w:rsidRDefault="0096696E" w:rsidP="001A5BF9">
            <w:pPr>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332224">
              <w:rPr>
                <w:sz w:val="16"/>
              </w:rPr>
              <w:t>à</w:t>
            </w:r>
            <w:r w:rsidRPr="005C7CCE">
              <w:rPr>
                <w:sz w:val="16"/>
              </w:rPr>
              <w:t> déterminer fin 2011</w:t>
            </w:r>
          </w:p>
        </w:tc>
        <w:tc>
          <w:tcPr>
            <w:tcW w:w="806" w:type="pct"/>
            <w:gridSpan w:val="2"/>
            <w:shd w:val="clear" w:color="auto" w:fill="auto"/>
            <w:tcMar>
              <w:top w:w="110" w:type="dxa"/>
            </w:tcMar>
          </w:tcPr>
          <w:p w:rsidR="0096696E" w:rsidRPr="005C7CCE" w:rsidRDefault="0096696E" w:rsidP="001A5BF9">
            <w:pPr>
              <w:rPr>
                <w:rFonts w:cs="Arial"/>
                <w:sz w:val="16"/>
                <w:szCs w:val="16"/>
                <w:lang w:bidi="th-TH"/>
              </w:rPr>
            </w:pPr>
            <w:r w:rsidRPr="00332224">
              <w:rPr>
                <w:sz w:val="16"/>
              </w:rPr>
              <w:t>À déterminer fin 2011</w:t>
            </w:r>
          </w:p>
        </w:tc>
        <w:tc>
          <w:tcPr>
            <w:tcW w:w="1749" w:type="pct"/>
            <w:gridSpan w:val="3"/>
            <w:shd w:val="clear" w:color="auto" w:fill="FFFFFF"/>
            <w:tcMar>
              <w:top w:w="110" w:type="dxa"/>
            </w:tcMar>
          </w:tcPr>
          <w:p w:rsidR="0096696E" w:rsidRPr="00332224" w:rsidRDefault="0096696E" w:rsidP="001A5BF9">
            <w:pPr>
              <w:rPr>
                <w:rFonts w:cs="Arial"/>
                <w:sz w:val="16"/>
                <w:szCs w:val="16"/>
                <w:highlight w:val="yellow"/>
              </w:rPr>
            </w:pPr>
            <w:r w:rsidRPr="00332224">
              <w:rPr>
                <w:sz w:val="16"/>
              </w:rPr>
              <w:t xml:space="preserve">Entre </w:t>
            </w:r>
            <w:r w:rsidR="00BD43F2" w:rsidRPr="00332224">
              <w:rPr>
                <w:sz w:val="16"/>
              </w:rPr>
              <w:t>532 </w:t>
            </w:r>
            <w:r w:rsidRPr="00332224">
              <w:rPr>
                <w:sz w:val="16"/>
              </w:rPr>
              <w:t xml:space="preserve">(min.) et </w:t>
            </w:r>
            <w:r w:rsidR="00BD43F2" w:rsidRPr="00332224">
              <w:rPr>
                <w:sz w:val="16"/>
              </w:rPr>
              <w:t>1370 </w:t>
            </w:r>
            <w:r w:rsidRPr="00332224">
              <w:rPr>
                <w:sz w:val="16"/>
              </w:rPr>
              <w:t xml:space="preserve">(max.) utilisateurs en moyenne bénéficiant des services de CATI par jour en 2013 </w:t>
            </w:r>
          </w:p>
        </w:tc>
        <w:tc>
          <w:tcPr>
            <w:tcW w:w="587" w:type="pct"/>
            <w:shd w:val="clear" w:color="auto" w:fill="auto"/>
            <w:tcMar>
              <w:top w:w="110" w:type="dxa"/>
            </w:tcMar>
          </w:tcPr>
          <w:p w:rsidR="00D42474" w:rsidRDefault="0096696E" w:rsidP="001A5BF9">
            <w:pPr>
              <w:keepNext/>
              <w:keepLines/>
              <w:jc w:val="center"/>
              <w:rPr>
                <w:rStyle w:val="Style5"/>
                <w:rFonts w:ascii="Arial" w:hAnsi="Arial" w:cs="Arial"/>
                <w:color w:val="808080"/>
                <w:sz w:val="16"/>
                <w:szCs w:val="16"/>
              </w:rPr>
            </w:pPr>
            <w:r w:rsidRPr="00332224">
              <w:rPr>
                <w:rStyle w:val="Style5"/>
                <w:rFonts w:ascii="Arial" w:hAnsi="Arial"/>
                <w:color w:val="808080"/>
                <w:sz w:val="16"/>
              </w:rPr>
              <w:t>Non</w:t>
            </w:r>
          </w:p>
          <w:p w:rsidR="0096696E" w:rsidRPr="00332224" w:rsidRDefault="0096696E" w:rsidP="001A5BF9">
            <w:pPr>
              <w:keepNext/>
              <w:keepLines/>
              <w:jc w:val="center"/>
              <w:rPr>
                <w:rFonts w:cs="Arial"/>
                <w:bCs/>
                <w:color w:val="808080"/>
                <w:sz w:val="16"/>
                <w:szCs w:val="16"/>
                <w:highlight w:val="yellow"/>
              </w:rPr>
            </w:pPr>
            <w:r w:rsidRPr="00332224">
              <w:rPr>
                <w:rStyle w:val="Style5"/>
                <w:rFonts w:ascii="Arial" w:hAnsi="Arial"/>
                <w:color w:val="808080"/>
                <w:sz w:val="16"/>
              </w:rPr>
              <w:t>évaluable</w:t>
            </w:r>
          </w:p>
        </w:tc>
      </w:tr>
      <w:tr w:rsidR="0096696E" w:rsidRPr="005C7CCE" w:rsidTr="00F76B10">
        <w:trPr>
          <w:cantSplit/>
        </w:trPr>
        <w:tc>
          <w:tcPr>
            <w:tcW w:w="968" w:type="pct"/>
            <w:tcBorders>
              <w:bottom w:val="single" w:sz="4" w:space="0" w:color="auto"/>
            </w:tcBorders>
            <w:shd w:val="clear" w:color="auto" w:fill="auto"/>
          </w:tcPr>
          <w:p w:rsidR="0096696E" w:rsidRPr="00332224" w:rsidRDefault="0096696E" w:rsidP="001A5BF9">
            <w:pPr>
              <w:rPr>
                <w:rFonts w:cs="Arial"/>
                <w:sz w:val="16"/>
                <w:szCs w:val="16"/>
                <w:lang w:bidi="th-TH"/>
              </w:rPr>
            </w:pPr>
            <w:r w:rsidRPr="00332224">
              <w:rPr>
                <w:sz w:val="16"/>
              </w:rPr>
              <w:t>Nombre d</w:t>
            </w:r>
            <w:r w:rsidR="00A20444" w:rsidRPr="00332224">
              <w:rPr>
                <w:sz w:val="16"/>
              </w:rPr>
              <w:t>’</w:t>
            </w:r>
            <w:r w:rsidRPr="00332224">
              <w:rPr>
                <w:sz w:val="16"/>
              </w:rPr>
              <w:t xml:space="preserve">États membres qui ont élaboré leur cadre de propriété intellectuelle et établi des bureaux de transfert de technologie </w:t>
            </w:r>
          </w:p>
        </w:tc>
        <w:tc>
          <w:tcPr>
            <w:tcW w:w="890" w:type="pct"/>
            <w:gridSpan w:val="2"/>
            <w:tcBorders>
              <w:bottom w:val="single" w:sz="4" w:space="0" w:color="auto"/>
            </w:tcBorders>
            <w:shd w:val="clear" w:color="auto" w:fill="auto"/>
          </w:tcPr>
          <w:p w:rsidR="0096696E" w:rsidRPr="005C7CCE" w:rsidRDefault="0096696E" w:rsidP="001A5BF9">
            <w:pPr>
              <w:rPr>
                <w:rFonts w:cs="Arial"/>
                <w:color w:val="008000"/>
                <w:sz w:val="16"/>
                <w:szCs w:val="16"/>
                <w:lang w:bidi="th-TH"/>
              </w:rPr>
            </w:pPr>
            <w:r w:rsidRPr="00332224">
              <w:rPr>
                <w:sz w:val="16"/>
              </w:rPr>
              <w:t>Projet pilote de cadr</w:t>
            </w:r>
            <w:bookmarkStart w:id="23" w:name="_GoBack"/>
            <w:bookmarkEnd w:id="23"/>
            <w:r w:rsidRPr="00332224">
              <w:rPr>
                <w:sz w:val="16"/>
              </w:rPr>
              <w:t>e adopté et financement alloué</w:t>
            </w:r>
          </w:p>
        </w:tc>
        <w:tc>
          <w:tcPr>
            <w:tcW w:w="806" w:type="pct"/>
            <w:gridSpan w:val="2"/>
            <w:tcBorders>
              <w:bottom w:val="single" w:sz="4" w:space="0" w:color="auto"/>
            </w:tcBorders>
            <w:shd w:val="clear" w:color="auto" w:fill="auto"/>
            <w:tcMar>
              <w:top w:w="110" w:type="dxa"/>
            </w:tcMar>
          </w:tcPr>
          <w:p w:rsidR="00D42474" w:rsidRDefault="0096696E" w:rsidP="001A5BF9">
            <w:pPr>
              <w:autoSpaceDE w:val="0"/>
              <w:autoSpaceDN w:val="0"/>
              <w:adjustRightInd w:val="0"/>
              <w:rPr>
                <w:rFonts w:cs="Arial"/>
                <w:sz w:val="16"/>
                <w:szCs w:val="16"/>
              </w:rPr>
            </w:pPr>
            <w:r w:rsidRPr="005C7CCE">
              <w:rPr>
                <w:sz w:val="16"/>
              </w:rPr>
              <w:t>Huit bureaux de transfert de technologie</w:t>
            </w:r>
          </w:p>
          <w:p w:rsidR="0096696E" w:rsidRPr="005C7CCE" w:rsidRDefault="0096696E" w:rsidP="001A5BF9">
            <w:pPr>
              <w:rPr>
                <w:rFonts w:cs="Arial"/>
                <w:sz w:val="16"/>
                <w:szCs w:val="16"/>
                <w:lang w:bidi="th-TH"/>
              </w:rPr>
            </w:pPr>
            <w:r w:rsidRPr="005C7CCE">
              <w:rPr>
                <w:sz w:val="16"/>
              </w:rPr>
              <w:t>(en 2012</w:t>
            </w:r>
            <w:r w:rsidR="002D6F2A" w:rsidRPr="005C7CCE">
              <w:rPr>
                <w:sz w:val="16"/>
              </w:rPr>
              <w:noBreakHyphen/>
            </w:r>
            <w:r w:rsidRPr="005C7CCE">
              <w:rPr>
                <w:sz w:val="16"/>
              </w:rPr>
              <w:t>2013)</w:t>
            </w:r>
            <w:r w:rsidRPr="005C7CCE">
              <w:rPr>
                <w:rStyle w:val="FootnoteReference"/>
                <w:sz w:val="16"/>
              </w:rPr>
              <w:footnoteReference w:id="22"/>
            </w:r>
          </w:p>
        </w:tc>
        <w:tc>
          <w:tcPr>
            <w:tcW w:w="1749" w:type="pct"/>
            <w:gridSpan w:val="3"/>
            <w:tcBorders>
              <w:bottom w:val="single" w:sz="4" w:space="0" w:color="auto"/>
            </w:tcBorders>
            <w:shd w:val="clear" w:color="auto" w:fill="FFFFFF"/>
            <w:tcMar>
              <w:top w:w="110" w:type="dxa"/>
            </w:tcMar>
          </w:tcPr>
          <w:p w:rsidR="0096696E" w:rsidRPr="00332224" w:rsidRDefault="0096696E" w:rsidP="001A5BF9">
            <w:pPr>
              <w:rPr>
                <w:rFonts w:cs="Arial"/>
                <w:sz w:val="16"/>
                <w:szCs w:val="16"/>
                <w:lang w:bidi="th-TH"/>
              </w:rPr>
            </w:pPr>
            <w:r w:rsidRPr="00332224">
              <w:rPr>
                <w:sz w:val="16"/>
              </w:rPr>
              <w:t>Deux universités/institutions en Géorgie ont bénéficié d</w:t>
            </w:r>
            <w:r w:rsidR="00A20444" w:rsidRPr="00332224">
              <w:rPr>
                <w:sz w:val="16"/>
              </w:rPr>
              <w:t>’</w:t>
            </w:r>
            <w:r w:rsidRPr="00332224">
              <w:rPr>
                <w:sz w:val="16"/>
              </w:rPr>
              <w:t xml:space="preserve">une assistance directe pour développer un écosystème, une politique et une infrastructure de transfert de connaissance dans la région </w:t>
            </w:r>
            <w:proofErr w:type="spellStart"/>
            <w:r w:rsidRPr="00332224">
              <w:rPr>
                <w:sz w:val="16"/>
              </w:rPr>
              <w:t>CCEA</w:t>
            </w:r>
            <w:proofErr w:type="spellEnd"/>
            <w:r w:rsidRPr="00332224">
              <w:rPr>
                <w:sz w:val="16"/>
              </w:rPr>
              <w:t xml:space="preserve"> (certains pays d</w:t>
            </w:r>
            <w:r w:rsidR="00A20444" w:rsidRPr="00332224">
              <w:rPr>
                <w:sz w:val="16"/>
              </w:rPr>
              <w:t>’</w:t>
            </w:r>
            <w:r w:rsidRPr="00332224">
              <w:rPr>
                <w:sz w:val="16"/>
              </w:rPr>
              <w:t>Europe et d</w:t>
            </w:r>
            <w:r w:rsidR="00A20444" w:rsidRPr="00332224">
              <w:rPr>
                <w:sz w:val="16"/>
              </w:rPr>
              <w:t>’</w:t>
            </w:r>
            <w:r w:rsidRPr="00332224">
              <w:rPr>
                <w:sz w:val="16"/>
              </w:rPr>
              <w:t>Asie) : l</w:t>
            </w:r>
            <w:r w:rsidR="00A20444" w:rsidRPr="00332224">
              <w:rPr>
                <w:sz w:val="16"/>
              </w:rPr>
              <w:t>’</w:t>
            </w:r>
            <w:r w:rsidR="009C658D" w:rsidRPr="00332224">
              <w:rPr>
                <w:sz w:val="16"/>
              </w:rPr>
              <w:t>Université</w:t>
            </w:r>
            <w:r w:rsidRPr="00332224">
              <w:rPr>
                <w:sz w:val="16"/>
              </w:rPr>
              <w:t xml:space="preserve"> d</w:t>
            </w:r>
            <w:r w:rsidR="00A20444" w:rsidRPr="00332224">
              <w:rPr>
                <w:sz w:val="16"/>
              </w:rPr>
              <w:t>’</w:t>
            </w:r>
            <w:r w:rsidRPr="00332224">
              <w:rPr>
                <w:sz w:val="16"/>
              </w:rPr>
              <w:t xml:space="preserve">État de Tbilissi </w:t>
            </w:r>
            <w:proofErr w:type="spellStart"/>
            <w:r w:rsidRPr="00332224">
              <w:rPr>
                <w:sz w:val="16"/>
              </w:rPr>
              <w:t>Ivane</w:t>
            </w:r>
            <w:proofErr w:type="spellEnd"/>
            <w:r w:rsidRPr="00332224">
              <w:rPr>
                <w:sz w:val="16"/>
              </w:rPr>
              <w:t xml:space="preserve"> </w:t>
            </w:r>
            <w:proofErr w:type="spellStart"/>
            <w:r w:rsidRPr="00332224">
              <w:rPr>
                <w:sz w:val="16"/>
              </w:rPr>
              <w:t>Javkhishvili</w:t>
            </w:r>
            <w:proofErr w:type="spellEnd"/>
            <w:r w:rsidRPr="00332224">
              <w:rPr>
                <w:sz w:val="16"/>
              </w:rPr>
              <w:t xml:space="preserve"> et le Centre géorgien de transfert de technologie, suivis par le plan d</w:t>
            </w:r>
            <w:r w:rsidR="00A20444" w:rsidRPr="00332224">
              <w:rPr>
                <w:sz w:val="16"/>
              </w:rPr>
              <w:t>’</w:t>
            </w:r>
            <w:r w:rsidRPr="00332224">
              <w:rPr>
                <w:sz w:val="16"/>
              </w:rPr>
              <w:t>action pour le développement.</w:t>
            </w:r>
          </w:p>
        </w:tc>
        <w:tc>
          <w:tcPr>
            <w:tcW w:w="587" w:type="pct"/>
            <w:tcBorders>
              <w:bottom w:val="single" w:sz="4" w:space="0" w:color="auto"/>
            </w:tcBorders>
            <w:shd w:val="clear" w:color="auto" w:fill="auto"/>
            <w:tcMar>
              <w:top w:w="110" w:type="dxa"/>
            </w:tcMar>
          </w:tcPr>
          <w:p w:rsidR="0096696E" w:rsidRPr="00332224" w:rsidRDefault="0096696E" w:rsidP="001A5BF9">
            <w:pPr>
              <w:keepNext/>
              <w:keepLines/>
              <w:jc w:val="center"/>
              <w:rPr>
                <w:rFonts w:cs="Arial"/>
                <w:bCs/>
                <w:color w:val="808080"/>
                <w:sz w:val="16"/>
                <w:szCs w:val="16"/>
              </w:rPr>
            </w:pPr>
            <w:r w:rsidRPr="00B470C6">
              <w:rPr>
                <w:color w:val="008000"/>
                <w:sz w:val="16"/>
              </w:rPr>
              <w:t>Objectif pleinement atteint</w:t>
            </w:r>
          </w:p>
        </w:tc>
      </w:tr>
      <w:tr w:rsidR="0096696E" w:rsidRPr="005C7CCE" w:rsidTr="00F76B10">
        <w:trPr>
          <w:cantSplit/>
        </w:trPr>
        <w:tc>
          <w:tcPr>
            <w:tcW w:w="5000" w:type="pct"/>
            <w:gridSpan w:val="9"/>
            <w:tcBorders>
              <w:top w:val="single" w:sz="4" w:space="0" w:color="auto"/>
              <w:bottom w:val="single" w:sz="4" w:space="0" w:color="auto"/>
            </w:tcBorders>
            <w:shd w:val="clear" w:color="auto" w:fill="CCFFFF"/>
            <w:vAlign w:val="center"/>
          </w:tcPr>
          <w:p w:rsidR="0096696E" w:rsidRPr="00332224" w:rsidRDefault="0096696E" w:rsidP="00332224">
            <w:pPr>
              <w:keepNext/>
              <w:keepLines/>
              <w:spacing w:before="120" w:after="120"/>
              <w:ind w:left="1735" w:hanging="1735"/>
              <w:rPr>
                <w:rFonts w:cs="Arial"/>
                <w:b/>
                <w:bCs/>
                <w:sz w:val="16"/>
                <w:szCs w:val="16"/>
              </w:rPr>
            </w:pPr>
            <w:r w:rsidRPr="00332224">
              <w:rPr>
                <w:b/>
                <w:sz w:val="16"/>
              </w:rPr>
              <w:t>Résultat escompté</w:t>
            </w:r>
            <w:r w:rsidR="0010442A" w:rsidRPr="00332224">
              <w:rPr>
                <w:b/>
                <w:sz w:val="16"/>
              </w:rPr>
              <w:t xml:space="preserve"> : </w:t>
            </w:r>
            <w:r w:rsidRPr="00332224">
              <w:rPr>
                <w:b/>
                <w:sz w:val="16"/>
              </w:rPr>
              <w:tab/>
            </w:r>
            <w:r w:rsidRPr="00332224">
              <w:rPr>
                <w:sz w:val="16"/>
              </w:rPr>
              <w:t>Amélioration de l</w:t>
            </w:r>
            <w:r w:rsidR="00A20444" w:rsidRPr="00332224">
              <w:rPr>
                <w:sz w:val="16"/>
              </w:rPr>
              <w:t>’</w:t>
            </w:r>
            <w:r w:rsidRPr="00332224">
              <w:rPr>
                <w:sz w:val="16"/>
              </w:rPr>
              <w:t>infrastructure technique et du savoir pour les offices de propriété intellectuelle et autres institutions de propriété intellectuelle, leur permettant de fournir à leurs parties prenantes des services améliorés (moins chers, plus rapides, de meilleure qualité)</w:t>
            </w:r>
          </w:p>
        </w:tc>
      </w:tr>
      <w:tr w:rsidR="0096696E" w:rsidRPr="00332224" w:rsidTr="00F76B10">
        <w:trPr>
          <w:cantSplit/>
        </w:trPr>
        <w:tc>
          <w:tcPr>
            <w:tcW w:w="968" w:type="pct"/>
            <w:tcBorders>
              <w:top w:val="single" w:sz="4" w:space="0" w:color="auto"/>
            </w:tcBorders>
            <w:shd w:val="clear" w:color="auto" w:fill="auto"/>
            <w:vAlign w:val="center"/>
          </w:tcPr>
          <w:p w:rsidR="0096696E" w:rsidRPr="00332224" w:rsidRDefault="0096696E" w:rsidP="001A5BF9">
            <w:pPr>
              <w:rPr>
                <w:rFonts w:cs="Arial"/>
                <w:b/>
                <w:sz w:val="16"/>
                <w:szCs w:val="16"/>
              </w:rPr>
            </w:pPr>
            <w:r w:rsidRPr="00332224">
              <w:rPr>
                <w:b/>
                <w:sz w:val="16"/>
              </w:rPr>
              <w:t>Indicateurs d</w:t>
            </w:r>
            <w:r w:rsidR="00A20444" w:rsidRPr="00332224">
              <w:rPr>
                <w:b/>
                <w:sz w:val="16"/>
              </w:rPr>
              <w:t>’</w:t>
            </w:r>
            <w:r w:rsidRPr="00332224">
              <w:rPr>
                <w:b/>
                <w:sz w:val="16"/>
              </w:rPr>
              <w:t>exécution</w:t>
            </w:r>
          </w:p>
        </w:tc>
        <w:tc>
          <w:tcPr>
            <w:tcW w:w="890" w:type="pct"/>
            <w:gridSpan w:val="2"/>
            <w:tcBorders>
              <w:top w:val="single" w:sz="4" w:space="0" w:color="auto"/>
            </w:tcBorders>
            <w:shd w:val="clear" w:color="auto" w:fill="auto"/>
            <w:vAlign w:val="center"/>
          </w:tcPr>
          <w:p w:rsidR="0096696E" w:rsidRPr="00332224" w:rsidRDefault="0096696E" w:rsidP="001A5BF9">
            <w:pPr>
              <w:rPr>
                <w:rFonts w:cs="Arial"/>
                <w:b/>
                <w:bCs/>
                <w:sz w:val="16"/>
                <w:szCs w:val="16"/>
              </w:rPr>
            </w:pPr>
            <w:r w:rsidRPr="00332224">
              <w:rPr>
                <w:b/>
                <w:sz w:val="16"/>
              </w:rPr>
              <w:t>Niveaux de référence</w:t>
            </w:r>
          </w:p>
        </w:tc>
        <w:tc>
          <w:tcPr>
            <w:tcW w:w="806" w:type="pct"/>
            <w:gridSpan w:val="2"/>
            <w:tcBorders>
              <w:top w:val="single" w:sz="4" w:space="0" w:color="auto"/>
            </w:tcBorders>
            <w:shd w:val="clear" w:color="auto" w:fill="auto"/>
            <w:tcMar>
              <w:top w:w="110" w:type="dxa"/>
            </w:tcMar>
            <w:vAlign w:val="center"/>
          </w:tcPr>
          <w:p w:rsidR="0096696E" w:rsidRPr="00332224" w:rsidRDefault="0096696E" w:rsidP="001A5BF9">
            <w:pPr>
              <w:rPr>
                <w:rFonts w:cs="Arial"/>
                <w:b/>
                <w:sz w:val="16"/>
                <w:szCs w:val="16"/>
              </w:rPr>
            </w:pPr>
            <w:r w:rsidRPr="00332224">
              <w:rPr>
                <w:b/>
                <w:sz w:val="16"/>
              </w:rPr>
              <w:t>Objectifs visés</w:t>
            </w:r>
          </w:p>
        </w:tc>
        <w:tc>
          <w:tcPr>
            <w:tcW w:w="1749" w:type="pct"/>
            <w:gridSpan w:val="3"/>
            <w:tcBorders>
              <w:top w:val="single" w:sz="4" w:space="0" w:color="auto"/>
            </w:tcBorders>
            <w:shd w:val="clear" w:color="auto" w:fill="FFFFFF"/>
            <w:tcMar>
              <w:top w:w="110" w:type="dxa"/>
            </w:tcMar>
            <w:vAlign w:val="center"/>
          </w:tcPr>
          <w:p w:rsidR="0096696E" w:rsidRPr="00332224" w:rsidRDefault="0096696E" w:rsidP="001A5BF9">
            <w:pPr>
              <w:rPr>
                <w:rFonts w:cs="Arial"/>
                <w:b/>
                <w:sz w:val="16"/>
                <w:szCs w:val="16"/>
              </w:rPr>
            </w:pPr>
            <w:r w:rsidRPr="00332224">
              <w:rPr>
                <w:b/>
                <w:sz w:val="16"/>
              </w:rPr>
              <w:t>Données relatives à l</w:t>
            </w:r>
            <w:r w:rsidR="00A20444" w:rsidRPr="00332224">
              <w:rPr>
                <w:b/>
                <w:sz w:val="16"/>
              </w:rPr>
              <w:t>’</w:t>
            </w:r>
            <w:r w:rsidRPr="00332224">
              <w:rPr>
                <w:b/>
                <w:sz w:val="16"/>
              </w:rPr>
              <w:t>exécution</w:t>
            </w:r>
          </w:p>
        </w:tc>
        <w:tc>
          <w:tcPr>
            <w:tcW w:w="587" w:type="pct"/>
            <w:tcBorders>
              <w:top w:val="single" w:sz="4" w:space="0" w:color="auto"/>
            </w:tcBorders>
            <w:shd w:val="clear" w:color="auto" w:fill="auto"/>
            <w:tcMar>
              <w:top w:w="110" w:type="dxa"/>
            </w:tcMar>
            <w:vAlign w:val="center"/>
          </w:tcPr>
          <w:p w:rsidR="0096696E" w:rsidRPr="00332224" w:rsidRDefault="0096696E" w:rsidP="001A5BF9">
            <w:pPr>
              <w:keepNext/>
              <w:keepLines/>
              <w:jc w:val="center"/>
              <w:rPr>
                <w:rFonts w:cs="Arial"/>
                <w:b/>
                <w:bCs/>
                <w:sz w:val="16"/>
                <w:szCs w:val="16"/>
              </w:rPr>
            </w:pPr>
            <w:r w:rsidRPr="00332224">
              <w:rPr>
                <w:b/>
                <w:sz w:val="16"/>
              </w:rPr>
              <w:t>Code de couleurs</w:t>
            </w:r>
          </w:p>
        </w:tc>
      </w:tr>
      <w:tr w:rsidR="0096696E" w:rsidRPr="005C7CCE" w:rsidTr="00F76B10">
        <w:trPr>
          <w:cantSplit/>
        </w:trPr>
        <w:tc>
          <w:tcPr>
            <w:tcW w:w="968" w:type="pct"/>
            <w:shd w:val="clear" w:color="auto" w:fill="auto"/>
          </w:tcPr>
          <w:p w:rsidR="0096696E" w:rsidRPr="00332224" w:rsidRDefault="0096696E" w:rsidP="001A5BF9">
            <w:pPr>
              <w:rPr>
                <w:rFonts w:cs="Arial"/>
                <w:sz w:val="16"/>
                <w:szCs w:val="16"/>
                <w:lang w:bidi="th-TH"/>
              </w:rPr>
            </w:pPr>
            <w:r w:rsidRPr="00332224">
              <w:rPr>
                <w:sz w:val="16"/>
              </w:rPr>
              <w:t>Nombre d</w:t>
            </w:r>
            <w:r w:rsidR="00A20444" w:rsidRPr="00332224">
              <w:rPr>
                <w:sz w:val="16"/>
              </w:rPr>
              <w:t>’</w:t>
            </w:r>
            <w:r w:rsidRPr="00332224">
              <w:rPr>
                <w:sz w:val="16"/>
              </w:rPr>
              <w:t>offices avec systèmes d</w:t>
            </w:r>
            <w:r w:rsidR="00A20444" w:rsidRPr="00332224">
              <w:rPr>
                <w:sz w:val="16"/>
              </w:rPr>
              <w:t>’</w:t>
            </w:r>
            <w:r w:rsidRPr="00332224">
              <w:rPr>
                <w:sz w:val="16"/>
              </w:rPr>
              <w:t>administration de propriété intellectuelle entièrement ou partiellement automatisés avec l</w:t>
            </w:r>
            <w:r w:rsidR="00A20444" w:rsidRPr="00332224">
              <w:rPr>
                <w:sz w:val="16"/>
              </w:rPr>
              <w:t>’</w:t>
            </w:r>
            <w:r w:rsidRPr="00332224">
              <w:rPr>
                <w:sz w:val="16"/>
              </w:rPr>
              <w:t>appui des bases de données fournies par l</w:t>
            </w:r>
            <w:r w:rsidR="00A20444" w:rsidRPr="00332224">
              <w:rPr>
                <w:sz w:val="16"/>
              </w:rPr>
              <w:t>’</w:t>
            </w:r>
            <w:r w:rsidRPr="00332224">
              <w:rPr>
                <w:sz w:val="16"/>
              </w:rPr>
              <w:t>OMPI</w:t>
            </w:r>
          </w:p>
        </w:tc>
        <w:tc>
          <w:tcPr>
            <w:tcW w:w="890" w:type="pct"/>
            <w:gridSpan w:val="2"/>
            <w:shd w:val="clear" w:color="auto" w:fill="auto"/>
          </w:tcPr>
          <w:p w:rsidR="0096696E" w:rsidRPr="00332224" w:rsidRDefault="0096696E" w:rsidP="001A5BF9">
            <w:pPr>
              <w:rPr>
                <w:rFonts w:cs="Arial"/>
                <w:sz w:val="16"/>
                <w:szCs w:val="16"/>
                <w:lang w:bidi="th-TH"/>
              </w:rPr>
            </w:pPr>
            <w:r w:rsidRPr="00332224">
              <w:rPr>
                <w:sz w:val="16"/>
              </w:rPr>
              <w:t>Quatre</w:t>
            </w:r>
          </w:p>
        </w:tc>
        <w:tc>
          <w:tcPr>
            <w:tcW w:w="806" w:type="pct"/>
            <w:gridSpan w:val="2"/>
            <w:shd w:val="clear" w:color="auto" w:fill="auto"/>
            <w:tcMar>
              <w:top w:w="110" w:type="dxa"/>
            </w:tcMar>
          </w:tcPr>
          <w:p w:rsidR="00D42474" w:rsidRDefault="0096696E" w:rsidP="001A5BF9">
            <w:pPr>
              <w:rPr>
                <w:rFonts w:cs="Arial"/>
                <w:sz w:val="16"/>
                <w:szCs w:val="16"/>
                <w:lang w:bidi="th-TH"/>
              </w:rPr>
            </w:pPr>
            <w:r w:rsidRPr="00332224">
              <w:rPr>
                <w:sz w:val="16"/>
              </w:rPr>
              <w:t>Quatre</w:t>
            </w:r>
          </w:p>
          <w:p w:rsidR="0096696E" w:rsidRPr="00332224" w:rsidRDefault="0096696E" w:rsidP="001A5BF9">
            <w:pPr>
              <w:rPr>
                <w:rFonts w:cs="Arial"/>
                <w:sz w:val="16"/>
                <w:szCs w:val="16"/>
              </w:rPr>
            </w:pPr>
            <w:r w:rsidRPr="00332224">
              <w:rPr>
                <w:sz w:val="16"/>
              </w:rPr>
              <w:t>(en</w:t>
            </w:r>
            <w:r w:rsidR="0010442A" w:rsidRPr="00332224">
              <w:rPr>
                <w:sz w:val="16"/>
              </w:rPr>
              <w:t> </w:t>
            </w:r>
            <w:r w:rsidRPr="00332224">
              <w:rPr>
                <w:sz w:val="16"/>
              </w:rPr>
              <w:t>2012</w:t>
            </w:r>
            <w:r w:rsidR="002D6F2A" w:rsidRPr="00332224">
              <w:rPr>
                <w:sz w:val="16"/>
              </w:rPr>
              <w:noBreakHyphen/>
            </w:r>
            <w:r w:rsidRPr="00332224">
              <w:rPr>
                <w:sz w:val="16"/>
              </w:rPr>
              <w:t>2013)</w:t>
            </w:r>
          </w:p>
        </w:tc>
        <w:tc>
          <w:tcPr>
            <w:tcW w:w="1749" w:type="pct"/>
            <w:gridSpan w:val="3"/>
            <w:shd w:val="clear" w:color="auto" w:fill="FFFFFF"/>
            <w:tcMar>
              <w:top w:w="110" w:type="dxa"/>
            </w:tcMar>
          </w:tcPr>
          <w:p w:rsidR="00D42474" w:rsidRDefault="0096696E" w:rsidP="001A5BF9">
            <w:pPr>
              <w:keepNext/>
              <w:keepLines/>
              <w:outlineLvl w:val="4"/>
              <w:rPr>
                <w:rFonts w:cs="Arial"/>
                <w:sz w:val="16"/>
                <w:szCs w:val="16"/>
                <w:lang w:bidi="th-TH"/>
              </w:rPr>
            </w:pPr>
            <w:r w:rsidRPr="00332224">
              <w:rPr>
                <w:sz w:val="16"/>
              </w:rPr>
              <w:t>Nombre d</w:t>
            </w:r>
            <w:r w:rsidR="00A20444" w:rsidRPr="00332224">
              <w:rPr>
                <w:sz w:val="16"/>
              </w:rPr>
              <w:t>’</w:t>
            </w:r>
            <w:r w:rsidRPr="00332224">
              <w:rPr>
                <w:sz w:val="16"/>
              </w:rPr>
              <w:t>offices entièrement automatisés à la fin de l</w:t>
            </w:r>
            <w:r w:rsidR="00A20444" w:rsidRPr="00332224">
              <w:rPr>
                <w:sz w:val="16"/>
              </w:rPr>
              <w:t>’</w:t>
            </w:r>
            <w:r w:rsidRPr="00332224">
              <w:rPr>
                <w:sz w:val="16"/>
              </w:rPr>
              <w:t>exercice biennal 2012</w:t>
            </w:r>
            <w:r w:rsidR="002D6F2A" w:rsidRPr="00332224">
              <w:rPr>
                <w:sz w:val="16"/>
              </w:rPr>
              <w:noBreakHyphen/>
            </w:r>
            <w:r w:rsidRPr="00332224">
              <w:rPr>
                <w:sz w:val="16"/>
              </w:rPr>
              <w:t>2013 (4) (Albanie, Bélarus, ancienne République yougoslave de Macédoine, Serbie).</w:t>
            </w:r>
          </w:p>
          <w:p w:rsidR="00D42474" w:rsidRDefault="00D42474" w:rsidP="001A5BF9">
            <w:pPr>
              <w:rPr>
                <w:rFonts w:cs="Arial"/>
                <w:sz w:val="16"/>
                <w:szCs w:val="16"/>
                <w:lang w:bidi="th-TH"/>
              </w:rPr>
            </w:pPr>
          </w:p>
          <w:p w:rsidR="00D42474" w:rsidRDefault="00D42474" w:rsidP="001A5BF9">
            <w:pPr>
              <w:rPr>
                <w:rFonts w:cs="Arial"/>
                <w:sz w:val="16"/>
                <w:szCs w:val="16"/>
                <w:lang w:bidi="th-TH"/>
              </w:rPr>
            </w:pPr>
          </w:p>
          <w:p w:rsidR="00D42474" w:rsidRDefault="00D42474" w:rsidP="001A5BF9">
            <w:pPr>
              <w:rPr>
                <w:rFonts w:cs="Arial"/>
                <w:sz w:val="16"/>
                <w:szCs w:val="16"/>
                <w:lang w:bidi="th-TH"/>
              </w:rPr>
            </w:pPr>
          </w:p>
          <w:p w:rsidR="0096696E" w:rsidRPr="00332224" w:rsidRDefault="0096696E">
            <w:pPr>
              <w:rPr>
                <w:rFonts w:cs="Arial"/>
                <w:sz w:val="16"/>
                <w:szCs w:val="16"/>
              </w:rPr>
            </w:pPr>
            <w:r w:rsidRPr="00332224">
              <w:rPr>
                <w:sz w:val="16"/>
              </w:rPr>
              <w:t xml:space="preserve">Total : </w:t>
            </w:r>
            <w:r w:rsidR="009B1D84">
              <w:rPr>
                <w:sz w:val="16"/>
              </w:rPr>
              <w:t>Quatre</w:t>
            </w:r>
            <w:r w:rsidR="009B1D84" w:rsidRPr="00332224">
              <w:rPr>
                <w:sz w:val="16"/>
              </w:rPr>
              <w:t> </w:t>
            </w:r>
            <w:r w:rsidRPr="00332224">
              <w:rPr>
                <w:sz w:val="16"/>
              </w:rPr>
              <w:t>offices utilisant les systèmes d</w:t>
            </w:r>
            <w:r w:rsidR="00A20444" w:rsidRPr="00332224">
              <w:rPr>
                <w:sz w:val="16"/>
              </w:rPr>
              <w:t>’</w:t>
            </w:r>
            <w:r w:rsidRPr="00332224">
              <w:rPr>
                <w:sz w:val="16"/>
              </w:rPr>
              <w:t>administration de la propriété intellectuelle de l</w:t>
            </w:r>
            <w:r w:rsidR="00A20444" w:rsidRPr="00332224">
              <w:rPr>
                <w:sz w:val="16"/>
              </w:rPr>
              <w:t>’</w:t>
            </w:r>
            <w:r w:rsidRPr="00332224">
              <w:rPr>
                <w:sz w:val="16"/>
              </w:rPr>
              <w:t>OMPI à la fin de l</w:t>
            </w:r>
            <w:r w:rsidR="00A20444" w:rsidRPr="00332224">
              <w:rPr>
                <w:sz w:val="16"/>
              </w:rPr>
              <w:t>’</w:t>
            </w:r>
            <w:r w:rsidRPr="00332224">
              <w:rPr>
                <w:sz w:val="16"/>
              </w:rPr>
              <w:t>exercice biennal 2012</w:t>
            </w:r>
            <w:r w:rsidR="002D6F2A" w:rsidRPr="00332224">
              <w:rPr>
                <w:sz w:val="16"/>
              </w:rPr>
              <w:noBreakHyphen/>
            </w:r>
            <w:r w:rsidRPr="00332224">
              <w:rPr>
                <w:sz w:val="16"/>
              </w:rPr>
              <w:t xml:space="preserve">2013. </w:t>
            </w:r>
            <w:r w:rsidR="0010442A" w:rsidRPr="00332224">
              <w:rPr>
                <w:sz w:val="16"/>
              </w:rPr>
              <w:t xml:space="preserve"> </w:t>
            </w:r>
          </w:p>
        </w:tc>
        <w:tc>
          <w:tcPr>
            <w:tcW w:w="587" w:type="pct"/>
            <w:shd w:val="clear" w:color="auto" w:fill="auto"/>
            <w:tcMar>
              <w:top w:w="110" w:type="dxa"/>
            </w:tcMar>
          </w:tcPr>
          <w:p w:rsidR="0096696E" w:rsidRPr="00332224" w:rsidRDefault="0096696E" w:rsidP="001A5BF9">
            <w:pPr>
              <w:keepNext/>
              <w:keepLines/>
              <w:jc w:val="center"/>
              <w:rPr>
                <w:color w:val="008000"/>
                <w:sz w:val="16"/>
              </w:rPr>
            </w:pPr>
            <w:r w:rsidRPr="00B470C6">
              <w:rPr>
                <w:color w:val="008000"/>
                <w:sz w:val="16"/>
              </w:rPr>
              <w:t>Objectif pleinement atteint</w:t>
            </w:r>
            <w:r w:rsidRPr="00332224">
              <w:rPr>
                <w:color w:val="008000"/>
                <w:sz w:val="16"/>
              </w:rPr>
              <w:t xml:space="preserve"> </w:t>
            </w:r>
          </w:p>
        </w:tc>
      </w:tr>
      <w:tr w:rsidR="0096696E" w:rsidRPr="005C7CCE" w:rsidTr="00F76B10">
        <w:trPr>
          <w:cantSplit/>
        </w:trPr>
        <w:tc>
          <w:tcPr>
            <w:tcW w:w="968" w:type="pct"/>
            <w:shd w:val="clear" w:color="auto" w:fill="auto"/>
          </w:tcPr>
          <w:p w:rsidR="0096696E" w:rsidRPr="00332224" w:rsidRDefault="0096696E" w:rsidP="001A5BF9">
            <w:pPr>
              <w:rPr>
                <w:rFonts w:cs="Arial"/>
                <w:sz w:val="16"/>
                <w:szCs w:val="16"/>
                <w:lang w:bidi="th-TH"/>
              </w:rPr>
            </w:pPr>
            <w:r w:rsidRPr="00332224">
              <w:rPr>
                <w:sz w:val="16"/>
              </w:rPr>
              <w:t>Nombre d</w:t>
            </w:r>
            <w:r w:rsidR="00A20444" w:rsidRPr="00332224">
              <w:rPr>
                <w:sz w:val="16"/>
              </w:rPr>
              <w:t>’</w:t>
            </w:r>
            <w:r w:rsidRPr="00332224">
              <w:rPr>
                <w:sz w:val="16"/>
              </w:rPr>
              <w:t>offices disposant de données en ligne au sein de l</w:t>
            </w:r>
            <w:r w:rsidR="00A20444" w:rsidRPr="00332224">
              <w:rPr>
                <w:sz w:val="16"/>
              </w:rPr>
              <w:t>’</w:t>
            </w:r>
            <w:r w:rsidRPr="00332224">
              <w:rPr>
                <w:sz w:val="16"/>
              </w:rPr>
              <w:t>OMPI</w:t>
            </w:r>
          </w:p>
        </w:tc>
        <w:tc>
          <w:tcPr>
            <w:tcW w:w="890" w:type="pct"/>
            <w:gridSpan w:val="2"/>
            <w:shd w:val="clear" w:color="auto" w:fill="auto"/>
          </w:tcPr>
          <w:p w:rsidR="0096696E" w:rsidRPr="005C7CCE" w:rsidRDefault="0096696E" w:rsidP="001A5BF9">
            <w:pPr>
              <w:rPr>
                <w:rFonts w:cs="Arial"/>
                <w:sz w:val="16"/>
                <w:szCs w:val="16"/>
                <w:lang w:bidi="th-TH"/>
              </w:rPr>
            </w:pPr>
            <w:r w:rsidRPr="005C7CCE">
              <w:rPr>
                <w:sz w:val="16"/>
              </w:rPr>
              <w:t>À déterminer</w:t>
            </w:r>
          </w:p>
        </w:tc>
        <w:tc>
          <w:tcPr>
            <w:tcW w:w="806" w:type="pct"/>
            <w:gridSpan w:val="2"/>
            <w:shd w:val="clear" w:color="auto" w:fill="auto"/>
            <w:tcMar>
              <w:top w:w="110" w:type="dxa"/>
            </w:tcMar>
          </w:tcPr>
          <w:p w:rsidR="0096696E" w:rsidRPr="005C7CCE" w:rsidRDefault="0096696E" w:rsidP="001A5BF9">
            <w:pPr>
              <w:rPr>
                <w:rFonts w:cs="Arial"/>
                <w:sz w:val="16"/>
                <w:szCs w:val="16"/>
                <w:lang w:bidi="th-TH"/>
              </w:rPr>
            </w:pPr>
            <w:r w:rsidRPr="005C7CCE">
              <w:rPr>
                <w:sz w:val="16"/>
              </w:rPr>
              <w:t xml:space="preserve">À déterminer </w:t>
            </w:r>
          </w:p>
        </w:tc>
        <w:tc>
          <w:tcPr>
            <w:tcW w:w="1749" w:type="pct"/>
            <w:gridSpan w:val="3"/>
            <w:shd w:val="clear" w:color="auto" w:fill="FFFFFF"/>
            <w:tcMar>
              <w:top w:w="110" w:type="dxa"/>
            </w:tcMar>
          </w:tcPr>
          <w:p w:rsidR="00D42474" w:rsidRDefault="0096696E" w:rsidP="001A5BF9">
            <w:pPr>
              <w:rPr>
                <w:rFonts w:cs="Arial"/>
                <w:sz w:val="16"/>
                <w:szCs w:val="16"/>
                <w:lang w:bidi="th-TH"/>
              </w:rPr>
            </w:pPr>
            <w:r w:rsidRPr="00332224">
              <w:rPr>
                <w:sz w:val="16"/>
              </w:rPr>
              <w:t>Trois offices :</w:t>
            </w:r>
          </w:p>
          <w:p w:rsidR="00D42474" w:rsidRDefault="00D42474" w:rsidP="001A5BF9">
            <w:pPr>
              <w:rPr>
                <w:rFonts w:cs="Arial"/>
                <w:sz w:val="16"/>
                <w:szCs w:val="16"/>
                <w:lang w:bidi="th-TH"/>
              </w:rPr>
            </w:pPr>
          </w:p>
          <w:p w:rsidR="00D42474" w:rsidRDefault="0096696E" w:rsidP="001A5BF9">
            <w:pPr>
              <w:rPr>
                <w:rFonts w:cs="Arial"/>
                <w:sz w:val="16"/>
                <w:szCs w:val="16"/>
                <w:lang w:bidi="th-TH"/>
              </w:rPr>
            </w:pPr>
            <w:r w:rsidRPr="00332224">
              <w:rPr>
                <w:sz w:val="16"/>
              </w:rPr>
              <w:t>PATENTSCOPE (2) (Estonie, Fédération de Russie) (cumul).</w:t>
            </w:r>
          </w:p>
          <w:p w:rsidR="00D42474" w:rsidRDefault="00D42474" w:rsidP="001A5BF9">
            <w:pPr>
              <w:rPr>
                <w:rFonts w:cs="Arial"/>
                <w:sz w:val="16"/>
                <w:szCs w:val="16"/>
                <w:lang w:bidi="th-TH"/>
              </w:rPr>
            </w:pPr>
          </w:p>
          <w:p w:rsidR="0096696E" w:rsidRPr="00332224" w:rsidRDefault="0096696E" w:rsidP="001A5BF9">
            <w:pPr>
              <w:rPr>
                <w:rFonts w:cs="Arial"/>
                <w:sz w:val="16"/>
                <w:szCs w:val="16"/>
              </w:rPr>
            </w:pPr>
            <w:r w:rsidRPr="00332224">
              <w:rPr>
                <w:sz w:val="16"/>
              </w:rPr>
              <w:t>Base de données mondiale sur les marques (1) (Estonie) (cumul).</w:t>
            </w:r>
          </w:p>
        </w:tc>
        <w:tc>
          <w:tcPr>
            <w:tcW w:w="587" w:type="pct"/>
            <w:shd w:val="clear" w:color="auto" w:fill="auto"/>
            <w:tcMar>
              <w:top w:w="110" w:type="dxa"/>
            </w:tcMar>
          </w:tcPr>
          <w:p w:rsidR="00D42474" w:rsidRDefault="0096696E" w:rsidP="001A5BF9">
            <w:pPr>
              <w:keepNext/>
              <w:keepLines/>
              <w:jc w:val="center"/>
              <w:rPr>
                <w:rStyle w:val="Style5"/>
                <w:rFonts w:ascii="Arial" w:hAnsi="Arial"/>
                <w:color w:val="808080"/>
                <w:sz w:val="16"/>
              </w:rPr>
            </w:pPr>
            <w:r w:rsidRPr="005C7CCE">
              <w:rPr>
                <w:rStyle w:val="Style5"/>
                <w:rFonts w:ascii="Arial" w:hAnsi="Arial"/>
                <w:color w:val="808080"/>
                <w:sz w:val="16"/>
              </w:rPr>
              <w:t>Non</w:t>
            </w:r>
          </w:p>
          <w:p w:rsidR="0096696E" w:rsidRPr="005C7CCE" w:rsidRDefault="0096696E" w:rsidP="001A5BF9">
            <w:pPr>
              <w:keepNext/>
              <w:keepLines/>
              <w:jc w:val="center"/>
              <w:rPr>
                <w:rFonts w:cs="Arial"/>
                <w:bCs/>
                <w:color w:val="808080"/>
                <w:sz w:val="16"/>
                <w:szCs w:val="16"/>
              </w:rPr>
            </w:pPr>
            <w:r w:rsidRPr="005C7CCE">
              <w:rPr>
                <w:rStyle w:val="Style5"/>
                <w:rFonts w:ascii="Arial" w:hAnsi="Arial"/>
                <w:color w:val="808080"/>
                <w:sz w:val="16"/>
              </w:rPr>
              <w:t>évaluable</w:t>
            </w:r>
          </w:p>
        </w:tc>
      </w:tr>
      <w:tr w:rsidR="0096696E" w:rsidRPr="005C7CCE" w:rsidTr="00F76B10">
        <w:trPr>
          <w:cantSplit/>
        </w:trPr>
        <w:tc>
          <w:tcPr>
            <w:tcW w:w="968" w:type="pct"/>
            <w:tcBorders>
              <w:bottom w:val="single" w:sz="4" w:space="0" w:color="auto"/>
            </w:tcBorders>
            <w:shd w:val="clear" w:color="auto" w:fill="auto"/>
          </w:tcPr>
          <w:p w:rsidR="0096696E" w:rsidRPr="00332224" w:rsidRDefault="0096696E" w:rsidP="001A5BF9">
            <w:pPr>
              <w:rPr>
                <w:rFonts w:cs="Arial"/>
                <w:sz w:val="16"/>
                <w:szCs w:val="16"/>
                <w:lang w:bidi="th-TH"/>
              </w:rPr>
            </w:pPr>
            <w:r w:rsidRPr="00332224">
              <w:rPr>
                <w:sz w:val="16"/>
              </w:rPr>
              <w:t>Nombre d</w:t>
            </w:r>
            <w:r w:rsidR="00A20444" w:rsidRPr="00332224">
              <w:rPr>
                <w:sz w:val="16"/>
              </w:rPr>
              <w:t>’</w:t>
            </w:r>
            <w:r w:rsidRPr="00332224">
              <w:rPr>
                <w:sz w:val="16"/>
              </w:rPr>
              <w:t>offices traitant des données du PCT et du système de Madrid avec l</w:t>
            </w:r>
            <w:r w:rsidR="00A20444" w:rsidRPr="00332224">
              <w:rPr>
                <w:sz w:val="16"/>
              </w:rPr>
              <w:t>’</w:t>
            </w:r>
            <w:r w:rsidRPr="00332224">
              <w:rPr>
                <w:sz w:val="16"/>
              </w:rPr>
              <w:t>appui de systèmes fournis par l</w:t>
            </w:r>
            <w:r w:rsidR="00A20444" w:rsidRPr="00332224">
              <w:rPr>
                <w:sz w:val="16"/>
              </w:rPr>
              <w:t>’</w:t>
            </w:r>
            <w:r w:rsidRPr="00332224">
              <w:rPr>
                <w:sz w:val="16"/>
              </w:rPr>
              <w:t>OMPI</w:t>
            </w:r>
          </w:p>
        </w:tc>
        <w:tc>
          <w:tcPr>
            <w:tcW w:w="890" w:type="pct"/>
            <w:gridSpan w:val="2"/>
            <w:tcBorders>
              <w:bottom w:val="single" w:sz="4" w:space="0" w:color="auto"/>
            </w:tcBorders>
            <w:shd w:val="clear" w:color="auto" w:fill="auto"/>
          </w:tcPr>
          <w:p w:rsidR="00D42474" w:rsidRDefault="0096696E" w:rsidP="001A5BF9">
            <w:pPr>
              <w:rPr>
                <w:rFonts w:cs="Arial"/>
                <w:sz w:val="16"/>
                <w:szCs w:val="16"/>
                <w:lang w:bidi="th-TH"/>
              </w:rPr>
            </w:pPr>
            <w:r w:rsidRPr="005C7CCE">
              <w:rPr>
                <w:sz w:val="16"/>
              </w:rPr>
              <w:t>À déterminer</w:t>
            </w:r>
          </w:p>
          <w:p w:rsidR="0096696E" w:rsidRPr="005C7CCE" w:rsidRDefault="0096696E" w:rsidP="001A5BF9">
            <w:pPr>
              <w:rPr>
                <w:rFonts w:cs="Arial"/>
                <w:sz w:val="16"/>
                <w:szCs w:val="16"/>
                <w:lang w:bidi="th-TH"/>
              </w:rPr>
            </w:pPr>
          </w:p>
        </w:tc>
        <w:tc>
          <w:tcPr>
            <w:tcW w:w="806" w:type="pct"/>
            <w:gridSpan w:val="2"/>
            <w:tcBorders>
              <w:bottom w:val="single" w:sz="4" w:space="0" w:color="auto"/>
            </w:tcBorders>
            <w:shd w:val="clear" w:color="auto" w:fill="auto"/>
            <w:tcMar>
              <w:top w:w="110" w:type="dxa"/>
            </w:tcMar>
          </w:tcPr>
          <w:p w:rsidR="0096696E" w:rsidRPr="005C7CCE" w:rsidRDefault="0096696E" w:rsidP="001A5BF9">
            <w:pPr>
              <w:rPr>
                <w:rFonts w:cs="Arial"/>
                <w:sz w:val="16"/>
                <w:szCs w:val="16"/>
                <w:lang w:bidi="th-TH"/>
              </w:rPr>
            </w:pPr>
            <w:r w:rsidRPr="005C7CCE">
              <w:rPr>
                <w:sz w:val="16"/>
              </w:rPr>
              <w:t>À déterminer</w:t>
            </w:r>
          </w:p>
        </w:tc>
        <w:tc>
          <w:tcPr>
            <w:tcW w:w="1749" w:type="pct"/>
            <w:gridSpan w:val="3"/>
            <w:tcBorders>
              <w:bottom w:val="single" w:sz="4" w:space="0" w:color="auto"/>
            </w:tcBorders>
            <w:shd w:val="clear" w:color="auto" w:fill="FFFFFF"/>
            <w:tcMar>
              <w:top w:w="110" w:type="dxa"/>
            </w:tcMar>
          </w:tcPr>
          <w:p w:rsidR="00D42474" w:rsidRDefault="0096696E" w:rsidP="001A5BF9">
            <w:pPr>
              <w:keepNext/>
              <w:keepLines/>
              <w:outlineLvl w:val="4"/>
              <w:rPr>
                <w:rFonts w:cs="Arial"/>
                <w:sz w:val="16"/>
                <w:szCs w:val="16"/>
                <w:lang w:bidi="th-TH"/>
              </w:rPr>
            </w:pPr>
            <w:r w:rsidRPr="00332224">
              <w:rPr>
                <w:sz w:val="16"/>
              </w:rPr>
              <w:t>Six offices :</w:t>
            </w:r>
          </w:p>
          <w:p w:rsidR="00D42474" w:rsidRDefault="00D42474" w:rsidP="001A5BF9">
            <w:pPr>
              <w:keepNext/>
              <w:keepLines/>
              <w:outlineLvl w:val="4"/>
              <w:rPr>
                <w:rFonts w:cs="Arial"/>
                <w:sz w:val="16"/>
                <w:szCs w:val="16"/>
                <w:lang w:bidi="th-TH"/>
              </w:rPr>
            </w:pPr>
          </w:p>
          <w:p w:rsidR="00D42474" w:rsidRDefault="0096696E" w:rsidP="001A5BF9">
            <w:pPr>
              <w:keepNext/>
              <w:keepLines/>
              <w:outlineLvl w:val="4"/>
              <w:rPr>
                <w:rFonts w:cs="Arial"/>
                <w:sz w:val="16"/>
                <w:szCs w:val="16"/>
                <w:lang w:bidi="th-TH"/>
              </w:rPr>
            </w:pPr>
            <w:r w:rsidRPr="00332224">
              <w:rPr>
                <w:sz w:val="16"/>
              </w:rPr>
              <w:t>Données du PCT : (4) (Albanie, Bélarus, ancienne République yougoslave de Macédoine, Serbie).</w:t>
            </w:r>
          </w:p>
          <w:p w:rsidR="00D42474" w:rsidRDefault="00D42474" w:rsidP="001A5BF9">
            <w:pPr>
              <w:keepNext/>
              <w:keepLines/>
              <w:outlineLvl w:val="4"/>
              <w:rPr>
                <w:rFonts w:cs="Arial"/>
                <w:sz w:val="16"/>
                <w:szCs w:val="16"/>
                <w:lang w:bidi="th-TH"/>
              </w:rPr>
            </w:pPr>
          </w:p>
          <w:p w:rsidR="0096696E" w:rsidRPr="00332224" w:rsidRDefault="0096696E" w:rsidP="001A5BF9">
            <w:pPr>
              <w:keepNext/>
              <w:keepLines/>
              <w:outlineLvl w:val="4"/>
              <w:rPr>
                <w:rFonts w:cs="Arial"/>
                <w:sz w:val="16"/>
                <w:szCs w:val="16"/>
                <w:lang w:bidi="th-TH"/>
              </w:rPr>
            </w:pPr>
            <w:r w:rsidRPr="00332224">
              <w:rPr>
                <w:sz w:val="16"/>
              </w:rPr>
              <w:t>Données du système de Madrid : (2) (Albanie, Serbie).</w:t>
            </w:r>
          </w:p>
        </w:tc>
        <w:tc>
          <w:tcPr>
            <w:tcW w:w="587" w:type="pct"/>
            <w:tcBorders>
              <w:bottom w:val="single" w:sz="4" w:space="0" w:color="auto"/>
            </w:tcBorders>
            <w:shd w:val="clear" w:color="auto" w:fill="auto"/>
            <w:tcMar>
              <w:top w:w="110" w:type="dxa"/>
            </w:tcMar>
          </w:tcPr>
          <w:p w:rsidR="00D42474" w:rsidRDefault="0096696E" w:rsidP="001A5BF9">
            <w:pPr>
              <w:keepNext/>
              <w:keepLines/>
              <w:jc w:val="center"/>
              <w:rPr>
                <w:rStyle w:val="Style5"/>
                <w:rFonts w:ascii="Arial" w:hAnsi="Arial"/>
                <w:color w:val="808080"/>
                <w:sz w:val="16"/>
              </w:rPr>
            </w:pPr>
            <w:r w:rsidRPr="005C7CCE">
              <w:rPr>
                <w:rStyle w:val="Style5"/>
                <w:rFonts w:ascii="Arial" w:hAnsi="Arial"/>
                <w:color w:val="808080"/>
                <w:sz w:val="16"/>
              </w:rPr>
              <w:t>Non</w:t>
            </w:r>
          </w:p>
          <w:p w:rsidR="0096696E" w:rsidRPr="005C7CCE" w:rsidRDefault="0096696E" w:rsidP="001A5BF9">
            <w:pPr>
              <w:keepNext/>
              <w:keepLines/>
              <w:jc w:val="center"/>
              <w:rPr>
                <w:rFonts w:cs="Arial"/>
                <w:bCs/>
                <w:color w:val="808080"/>
                <w:sz w:val="16"/>
                <w:szCs w:val="16"/>
              </w:rPr>
            </w:pPr>
            <w:r w:rsidRPr="005C7CCE">
              <w:rPr>
                <w:rStyle w:val="Style5"/>
                <w:rFonts w:ascii="Arial" w:hAnsi="Arial"/>
                <w:color w:val="808080"/>
                <w:sz w:val="16"/>
              </w:rPr>
              <w:t>évaluable</w:t>
            </w:r>
          </w:p>
        </w:tc>
      </w:tr>
      <w:tr w:rsidR="0096696E" w:rsidRPr="005C7CCE" w:rsidTr="00F76B10">
        <w:trPr>
          <w:cantSplit/>
        </w:trPr>
        <w:tc>
          <w:tcPr>
            <w:tcW w:w="5000" w:type="pct"/>
            <w:gridSpan w:val="9"/>
            <w:tcBorders>
              <w:top w:val="single" w:sz="4" w:space="0" w:color="auto"/>
              <w:bottom w:val="single" w:sz="4" w:space="0" w:color="auto"/>
            </w:tcBorders>
            <w:shd w:val="clear" w:color="auto" w:fill="CCFFFF"/>
            <w:vAlign w:val="center"/>
          </w:tcPr>
          <w:p w:rsidR="0096696E" w:rsidRPr="005C7CCE" w:rsidRDefault="0096696E" w:rsidP="001A5BF9">
            <w:pPr>
              <w:keepNext/>
              <w:keepLines/>
              <w:tabs>
                <w:tab w:val="left" w:pos="1452"/>
              </w:tabs>
              <w:spacing w:before="120" w:after="120"/>
              <w:ind w:left="1452" w:hanging="1452"/>
              <w:rPr>
                <w:rFonts w:cs="Arial"/>
                <w:b/>
                <w:bCs/>
                <w:sz w:val="16"/>
                <w:szCs w:val="16"/>
              </w:rPr>
            </w:pPr>
            <w:r w:rsidRPr="00332224">
              <w:rPr>
                <w:b/>
                <w:sz w:val="16"/>
              </w:rPr>
              <w:t>Résultat escompté</w:t>
            </w:r>
            <w:r w:rsidR="0010442A" w:rsidRPr="00332224">
              <w:rPr>
                <w:b/>
                <w:sz w:val="16"/>
              </w:rPr>
              <w:t> :</w:t>
            </w:r>
            <w:r w:rsidR="0010442A" w:rsidRPr="005C7CCE">
              <w:rPr>
                <w:sz w:val="16"/>
              </w:rPr>
              <w:t xml:space="preserve"> </w:t>
            </w:r>
            <w:r w:rsidRPr="005C7CCE">
              <w:rPr>
                <w:sz w:val="16"/>
              </w:rPr>
              <w:tab/>
              <w:t xml:space="preserve">Cadres législatifs, réglementaires et politiques équilibrés et adaptés en matière de propriété intellectuelle </w:t>
            </w:r>
          </w:p>
        </w:tc>
      </w:tr>
      <w:tr w:rsidR="0096696E" w:rsidRPr="00332224" w:rsidTr="00F76B10">
        <w:trPr>
          <w:cantSplit/>
        </w:trPr>
        <w:tc>
          <w:tcPr>
            <w:tcW w:w="968" w:type="pct"/>
            <w:tcBorders>
              <w:top w:val="single" w:sz="4" w:space="0" w:color="auto"/>
            </w:tcBorders>
            <w:shd w:val="clear" w:color="auto" w:fill="auto"/>
            <w:vAlign w:val="center"/>
          </w:tcPr>
          <w:p w:rsidR="0096696E" w:rsidRPr="00332224" w:rsidRDefault="0096696E" w:rsidP="001A5BF9">
            <w:pPr>
              <w:keepNext/>
              <w:keepLines/>
              <w:rPr>
                <w:rFonts w:cs="Arial"/>
                <w:b/>
                <w:sz w:val="16"/>
                <w:szCs w:val="16"/>
              </w:rPr>
            </w:pPr>
            <w:r w:rsidRPr="00332224">
              <w:rPr>
                <w:b/>
                <w:sz w:val="16"/>
              </w:rPr>
              <w:t>Indicateurs d</w:t>
            </w:r>
            <w:r w:rsidR="00A20444" w:rsidRPr="00332224">
              <w:rPr>
                <w:b/>
                <w:sz w:val="16"/>
              </w:rPr>
              <w:t>’</w:t>
            </w:r>
            <w:r w:rsidRPr="00332224">
              <w:rPr>
                <w:b/>
                <w:sz w:val="16"/>
              </w:rPr>
              <w:t>exécution</w:t>
            </w:r>
          </w:p>
        </w:tc>
        <w:tc>
          <w:tcPr>
            <w:tcW w:w="890" w:type="pct"/>
            <w:gridSpan w:val="2"/>
            <w:tcBorders>
              <w:top w:val="single" w:sz="4" w:space="0" w:color="auto"/>
            </w:tcBorders>
            <w:shd w:val="clear" w:color="auto" w:fill="auto"/>
            <w:vAlign w:val="center"/>
          </w:tcPr>
          <w:p w:rsidR="0096696E" w:rsidRPr="00332224" w:rsidRDefault="0096696E" w:rsidP="001A5BF9">
            <w:pPr>
              <w:keepNext/>
              <w:keepLines/>
              <w:rPr>
                <w:rFonts w:cs="Arial"/>
                <w:b/>
                <w:bCs/>
                <w:sz w:val="16"/>
                <w:szCs w:val="16"/>
              </w:rPr>
            </w:pPr>
            <w:r w:rsidRPr="00332224">
              <w:rPr>
                <w:b/>
                <w:sz w:val="16"/>
              </w:rPr>
              <w:t>Niveaux de référence</w:t>
            </w:r>
          </w:p>
        </w:tc>
        <w:tc>
          <w:tcPr>
            <w:tcW w:w="806" w:type="pct"/>
            <w:gridSpan w:val="2"/>
            <w:tcBorders>
              <w:top w:val="single" w:sz="4" w:space="0" w:color="auto"/>
            </w:tcBorders>
            <w:shd w:val="clear" w:color="auto" w:fill="auto"/>
            <w:tcMar>
              <w:top w:w="110" w:type="dxa"/>
            </w:tcMar>
            <w:vAlign w:val="center"/>
          </w:tcPr>
          <w:p w:rsidR="0096696E" w:rsidRPr="00332224" w:rsidRDefault="0096696E" w:rsidP="001A5BF9">
            <w:pPr>
              <w:keepNext/>
              <w:keepLines/>
              <w:rPr>
                <w:rFonts w:cs="Arial"/>
                <w:b/>
                <w:sz w:val="16"/>
                <w:szCs w:val="16"/>
              </w:rPr>
            </w:pPr>
            <w:r w:rsidRPr="00332224">
              <w:rPr>
                <w:b/>
                <w:sz w:val="16"/>
              </w:rPr>
              <w:t>Objectifs visés</w:t>
            </w:r>
          </w:p>
        </w:tc>
        <w:tc>
          <w:tcPr>
            <w:tcW w:w="1749" w:type="pct"/>
            <w:gridSpan w:val="3"/>
            <w:tcBorders>
              <w:top w:val="single" w:sz="4" w:space="0" w:color="auto"/>
            </w:tcBorders>
            <w:shd w:val="clear" w:color="auto" w:fill="FFFFFF"/>
            <w:tcMar>
              <w:top w:w="110" w:type="dxa"/>
            </w:tcMar>
            <w:vAlign w:val="center"/>
          </w:tcPr>
          <w:p w:rsidR="0096696E" w:rsidRPr="00332224" w:rsidRDefault="0096696E" w:rsidP="001A5BF9">
            <w:pPr>
              <w:keepNext/>
              <w:keepLines/>
              <w:rPr>
                <w:rFonts w:cs="Arial"/>
                <w:b/>
                <w:sz w:val="16"/>
                <w:szCs w:val="16"/>
              </w:rPr>
            </w:pPr>
            <w:r w:rsidRPr="00332224">
              <w:rPr>
                <w:b/>
                <w:sz w:val="16"/>
              </w:rPr>
              <w:t>Données relatives à l</w:t>
            </w:r>
            <w:r w:rsidR="00A20444" w:rsidRPr="00332224">
              <w:rPr>
                <w:b/>
                <w:sz w:val="16"/>
              </w:rPr>
              <w:t>’</w:t>
            </w:r>
            <w:r w:rsidRPr="00332224">
              <w:rPr>
                <w:b/>
                <w:sz w:val="16"/>
              </w:rPr>
              <w:t>exécution</w:t>
            </w:r>
          </w:p>
        </w:tc>
        <w:tc>
          <w:tcPr>
            <w:tcW w:w="587" w:type="pct"/>
            <w:tcBorders>
              <w:top w:val="single" w:sz="4" w:space="0" w:color="auto"/>
            </w:tcBorders>
            <w:shd w:val="clear" w:color="auto" w:fill="auto"/>
            <w:tcMar>
              <w:top w:w="110" w:type="dxa"/>
            </w:tcMar>
            <w:vAlign w:val="center"/>
          </w:tcPr>
          <w:p w:rsidR="0096696E" w:rsidRPr="00332224" w:rsidRDefault="0096696E" w:rsidP="001A5BF9">
            <w:pPr>
              <w:keepNext/>
              <w:keepLines/>
              <w:jc w:val="center"/>
              <w:rPr>
                <w:rFonts w:cs="Arial"/>
                <w:b/>
                <w:bCs/>
                <w:sz w:val="16"/>
                <w:szCs w:val="16"/>
              </w:rPr>
            </w:pPr>
            <w:r w:rsidRPr="00332224">
              <w:rPr>
                <w:b/>
                <w:sz w:val="16"/>
              </w:rPr>
              <w:t>Code de couleurs</w:t>
            </w:r>
          </w:p>
        </w:tc>
      </w:tr>
      <w:tr w:rsidR="0096696E" w:rsidRPr="005C7CCE" w:rsidTr="00F76B10">
        <w:trPr>
          <w:cantSplit/>
        </w:trPr>
        <w:tc>
          <w:tcPr>
            <w:tcW w:w="968" w:type="pct"/>
            <w:shd w:val="clear" w:color="auto" w:fill="auto"/>
          </w:tcPr>
          <w:p w:rsidR="0096696E" w:rsidRPr="00332224" w:rsidRDefault="0096696E" w:rsidP="001A5BF9">
            <w:pPr>
              <w:rPr>
                <w:rFonts w:cs="Arial"/>
                <w:sz w:val="16"/>
                <w:szCs w:val="16"/>
                <w:lang w:bidi="th-TH"/>
              </w:rPr>
            </w:pPr>
            <w:r w:rsidRPr="00332224">
              <w:rPr>
                <w:sz w:val="16"/>
              </w:rPr>
              <w:t xml:space="preserve">Nombre de pays ayant actualisé leur législation ou leur réglementation nationale en matière de propriété intellectuelle </w:t>
            </w:r>
          </w:p>
        </w:tc>
        <w:tc>
          <w:tcPr>
            <w:tcW w:w="890" w:type="pct"/>
            <w:gridSpan w:val="2"/>
            <w:shd w:val="clear" w:color="auto" w:fill="auto"/>
          </w:tcPr>
          <w:p w:rsidR="00D42474" w:rsidRDefault="0096696E"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10 pays</w:t>
            </w:r>
          </w:p>
          <w:p w:rsidR="00D42474" w:rsidRDefault="00D42474" w:rsidP="001A5BF9">
            <w:pPr>
              <w:rPr>
                <w:rFonts w:cs="Arial"/>
                <w:i/>
                <w:color w:val="002060"/>
                <w:sz w:val="8"/>
                <w:szCs w:val="8"/>
              </w:rPr>
            </w:pPr>
          </w:p>
          <w:p w:rsidR="0096696E" w:rsidRPr="005C7CCE" w:rsidRDefault="0096696E" w:rsidP="001A5BF9">
            <w:pPr>
              <w:rPr>
                <w:rFonts w:cs="Arial"/>
                <w:color w:val="000000"/>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332224">
              <w:rPr>
                <w:color w:val="000000"/>
                <w:sz w:val="16"/>
              </w:rPr>
              <w:t>h</w:t>
            </w:r>
            <w:r w:rsidRPr="005C7CCE">
              <w:rPr>
                <w:color w:val="000000"/>
                <w:sz w:val="16"/>
              </w:rPr>
              <w:t>uit pays (2008</w:t>
            </w:r>
            <w:r w:rsidR="002D6F2A" w:rsidRPr="005C7CCE">
              <w:rPr>
                <w:color w:val="000000"/>
                <w:sz w:val="16"/>
              </w:rPr>
              <w:noBreakHyphen/>
            </w:r>
            <w:r w:rsidRPr="005C7CCE">
              <w:rPr>
                <w:color w:val="000000"/>
                <w:sz w:val="16"/>
              </w:rPr>
              <w:t>2009)</w:t>
            </w:r>
          </w:p>
        </w:tc>
        <w:tc>
          <w:tcPr>
            <w:tcW w:w="806" w:type="pct"/>
            <w:gridSpan w:val="2"/>
            <w:shd w:val="clear" w:color="auto" w:fill="auto"/>
            <w:tcMar>
              <w:top w:w="110" w:type="dxa"/>
            </w:tcMar>
          </w:tcPr>
          <w:p w:rsidR="00D42474" w:rsidRDefault="0096696E" w:rsidP="001A5BF9">
            <w:pPr>
              <w:rPr>
                <w:rFonts w:cs="Arial"/>
                <w:sz w:val="16"/>
                <w:szCs w:val="16"/>
                <w:lang w:bidi="th-TH"/>
              </w:rPr>
            </w:pPr>
            <w:r w:rsidRPr="005C7CCE">
              <w:rPr>
                <w:sz w:val="16"/>
              </w:rPr>
              <w:t>10 pays</w:t>
            </w:r>
          </w:p>
          <w:p w:rsidR="0096696E" w:rsidRPr="005C7CCE" w:rsidRDefault="0096696E" w:rsidP="001A5BF9">
            <w:pPr>
              <w:rPr>
                <w:rFonts w:cs="Arial"/>
                <w:sz w:val="16"/>
                <w:szCs w:val="16"/>
                <w:lang w:bidi="th-TH"/>
              </w:rPr>
            </w:pPr>
            <w:r w:rsidRPr="005C7CCE">
              <w:rPr>
                <w:sz w:val="16"/>
              </w:rPr>
              <w:t xml:space="preserve">supplémentaires </w:t>
            </w:r>
          </w:p>
        </w:tc>
        <w:tc>
          <w:tcPr>
            <w:tcW w:w="1749" w:type="pct"/>
            <w:gridSpan w:val="3"/>
            <w:shd w:val="clear" w:color="auto" w:fill="FFFFFF"/>
            <w:tcMar>
              <w:top w:w="110" w:type="dxa"/>
            </w:tcMar>
          </w:tcPr>
          <w:p w:rsidR="00D42474" w:rsidRDefault="0096696E" w:rsidP="001A5BF9">
            <w:pPr>
              <w:rPr>
                <w:rFonts w:cs="Arial"/>
                <w:sz w:val="16"/>
                <w:szCs w:val="16"/>
                <w:lang w:bidi="th-TH"/>
              </w:rPr>
            </w:pPr>
            <w:r w:rsidRPr="005C7CCE">
              <w:rPr>
                <w:sz w:val="16"/>
              </w:rPr>
              <w:t>L</w:t>
            </w:r>
            <w:r w:rsidR="00A20444" w:rsidRPr="005C7CCE">
              <w:rPr>
                <w:sz w:val="16"/>
              </w:rPr>
              <w:t>’</w:t>
            </w:r>
            <w:r w:rsidRPr="005C7CCE">
              <w:rPr>
                <w:sz w:val="16"/>
              </w:rPr>
              <w:t>Albanie, l</w:t>
            </w:r>
            <w:r w:rsidR="00A20444" w:rsidRPr="005C7CCE">
              <w:rPr>
                <w:sz w:val="16"/>
              </w:rPr>
              <w:t>’</w:t>
            </w:r>
            <w:r w:rsidRPr="005C7CCE">
              <w:rPr>
                <w:sz w:val="16"/>
              </w:rPr>
              <w:t>Arménie, le Bélarus, la Bosnie</w:t>
            </w:r>
            <w:r w:rsidR="002D6F2A" w:rsidRPr="005C7CCE">
              <w:rPr>
                <w:sz w:val="16"/>
              </w:rPr>
              <w:noBreakHyphen/>
            </w:r>
            <w:r w:rsidRPr="005C7CCE">
              <w:rPr>
                <w:sz w:val="16"/>
              </w:rPr>
              <w:t>Herzégovine, la Pologne, la Roumanie, la Slovénie et le Tadjikistan ont actualisé leur législation nationale relative à la propriété intellectuelle.</w:t>
            </w:r>
          </w:p>
          <w:p w:rsidR="00D42474" w:rsidRDefault="00D42474" w:rsidP="001A5BF9">
            <w:pPr>
              <w:rPr>
                <w:sz w:val="16"/>
              </w:rPr>
            </w:pPr>
          </w:p>
          <w:p w:rsidR="0096696E" w:rsidRPr="005C7CCE" w:rsidRDefault="0096696E" w:rsidP="001A5BF9">
            <w:pPr>
              <w:rPr>
                <w:rFonts w:cs="Arial"/>
                <w:sz w:val="16"/>
                <w:szCs w:val="16"/>
                <w:lang w:bidi="th-TH"/>
              </w:rPr>
            </w:pPr>
            <w:r w:rsidRPr="005C7CCE">
              <w:rPr>
                <w:sz w:val="16"/>
              </w:rPr>
              <w:t>Le Kazakhstan et la Fédération de Russie ont entrepris d</w:t>
            </w:r>
            <w:r w:rsidR="00A20444" w:rsidRPr="005C7CCE">
              <w:rPr>
                <w:sz w:val="16"/>
              </w:rPr>
              <w:t>’</w:t>
            </w:r>
            <w:r w:rsidRPr="005C7CCE">
              <w:rPr>
                <w:sz w:val="16"/>
              </w:rPr>
              <w:t>apporter des modifications à leur législation.</w:t>
            </w:r>
          </w:p>
        </w:tc>
        <w:tc>
          <w:tcPr>
            <w:tcW w:w="587" w:type="pct"/>
            <w:shd w:val="clear" w:color="auto" w:fill="auto"/>
            <w:tcMar>
              <w:top w:w="110" w:type="dxa"/>
            </w:tcMar>
          </w:tcPr>
          <w:p w:rsidR="0096696E" w:rsidRPr="00332224" w:rsidRDefault="0096696E" w:rsidP="001A5BF9">
            <w:pPr>
              <w:keepNext/>
              <w:keepLines/>
              <w:jc w:val="center"/>
              <w:rPr>
                <w:color w:val="008000"/>
                <w:sz w:val="16"/>
              </w:rPr>
            </w:pPr>
            <w:r w:rsidRPr="00B470C6">
              <w:rPr>
                <w:color w:val="008000"/>
                <w:sz w:val="16"/>
              </w:rPr>
              <w:t>Objectif pleinement atteint</w:t>
            </w:r>
          </w:p>
        </w:tc>
      </w:tr>
      <w:tr w:rsidR="0096696E" w:rsidRPr="005C7CCE" w:rsidTr="00F76B10">
        <w:trPr>
          <w:cantSplit/>
        </w:trPr>
        <w:tc>
          <w:tcPr>
            <w:tcW w:w="968" w:type="pct"/>
            <w:shd w:val="clear" w:color="auto" w:fill="auto"/>
          </w:tcPr>
          <w:p w:rsidR="0096696E" w:rsidRPr="00332224" w:rsidRDefault="0096696E" w:rsidP="001A5BF9">
            <w:pPr>
              <w:rPr>
                <w:rFonts w:cs="Arial"/>
                <w:sz w:val="16"/>
                <w:szCs w:val="16"/>
                <w:lang w:bidi="th-TH"/>
              </w:rPr>
            </w:pPr>
            <w:r w:rsidRPr="00332224">
              <w:rPr>
                <w:sz w:val="16"/>
              </w:rPr>
              <w:t>Nombre et type de demandes de conseils en matière de législation concernant les brevets, les modèles d</w:t>
            </w:r>
            <w:r w:rsidR="00A20444" w:rsidRPr="00332224">
              <w:rPr>
                <w:sz w:val="16"/>
              </w:rPr>
              <w:t>’</w:t>
            </w:r>
            <w:r w:rsidRPr="00332224">
              <w:rPr>
                <w:sz w:val="16"/>
              </w:rPr>
              <w:t>utilité, les secrets d</w:t>
            </w:r>
            <w:r w:rsidR="00A20444" w:rsidRPr="00332224">
              <w:rPr>
                <w:sz w:val="16"/>
              </w:rPr>
              <w:t>’</w:t>
            </w:r>
            <w:r w:rsidRPr="00332224">
              <w:rPr>
                <w:sz w:val="16"/>
              </w:rPr>
              <w:t>affaires et les circuits intégrés</w:t>
            </w:r>
          </w:p>
        </w:tc>
        <w:tc>
          <w:tcPr>
            <w:tcW w:w="890" w:type="pct"/>
            <w:gridSpan w:val="2"/>
            <w:shd w:val="clear" w:color="auto" w:fill="auto"/>
          </w:tcPr>
          <w:p w:rsidR="0096696E" w:rsidRPr="00332224" w:rsidRDefault="0096696E" w:rsidP="001A5BF9">
            <w:pPr>
              <w:rPr>
                <w:rFonts w:cs="Arial"/>
                <w:sz w:val="16"/>
                <w:szCs w:val="16"/>
                <w:lang w:bidi="th-TH"/>
              </w:rPr>
            </w:pPr>
            <w:r w:rsidRPr="00332224">
              <w:rPr>
                <w:sz w:val="16"/>
              </w:rPr>
              <w:t>À déterminer</w:t>
            </w:r>
          </w:p>
        </w:tc>
        <w:tc>
          <w:tcPr>
            <w:tcW w:w="806" w:type="pct"/>
            <w:gridSpan w:val="2"/>
            <w:shd w:val="clear" w:color="auto" w:fill="auto"/>
            <w:tcMar>
              <w:top w:w="110" w:type="dxa"/>
            </w:tcMar>
          </w:tcPr>
          <w:p w:rsidR="0096696E" w:rsidRPr="00332224" w:rsidRDefault="0096696E" w:rsidP="001A5BF9">
            <w:pPr>
              <w:rPr>
                <w:rFonts w:cs="Arial"/>
                <w:sz w:val="16"/>
                <w:szCs w:val="16"/>
                <w:lang w:bidi="th-TH"/>
              </w:rPr>
            </w:pPr>
            <w:r w:rsidRPr="00332224">
              <w:rPr>
                <w:sz w:val="16"/>
              </w:rPr>
              <w:t>À déterminer</w:t>
            </w:r>
          </w:p>
        </w:tc>
        <w:tc>
          <w:tcPr>
            <w:tcW w:w="1749" w:type="pct"/>
            <w:gridSpan w:val="3"/>
            <w:shd w:val="clear" w:color="auto" w:fill="FFFFFF"/>
            <w:tcMar>
              <w:top w:w="110" w:type="dxa"/>
            </w:tcMar>
          </w:tcPr>
          <w:p w:rsidR="00D42474" w:rsidRDefault="0096696E" w:rsidP="001A5BF9">
            <w:pPr>
              <w:rPr>
                <w:rFonts w:cs="Arial"/>
                <w:sz w:val="16"/>
                <w:szCs w:val="16"/>
                <w:lang w:bidi="th-TH"/>
              </w:rPr>
            </w:pPr>
            <w:r w:rsidRPr="005C7CCE">
              <w:rPr>
                <w:sz w:val="16"/>
              </w:rPr>
              <w:t>Trois pays ont bénéficié d</w:t>
            </w:r>
            <w:r w:rsidR="00A20444" w:rsidRPr="005C7CCE">
              <w:rPr>
                <w:sz w:val="16"/>
              </w:rPr>
              <w:t>’</w:t>
            </w:r>
            <w:r w:rsidRPr="005C7CCE">
              <w:rPr>
                <w:sz w:val="16"/>
              </w:rPr>
              <w:t>une assistance de l</w:t>
            </w:r>
            <w:r w:rsidR="00A20444" w:rsidRPr="005C7CCE">
              <w:rPr>
                <w:sz w:val="16"/>
              </w:rPr>
              <w:t>’</w:t>
            </w:r>
            <w:r w:rsidRPr="005C7CCE">
              <w:rPr>
                <w:sz w:val="16"/>
              </w:rPr>
              <w:t>OMPI en matière de brevets, de modèles d</w:t>
            </w:r>
            <w:r w:rsidR="00A20444" w:rsidRPr="005C7CCE">
              <w:rPr>
                <w:sz w:val="16"/>
              </w:rPr>
              <w:t>’</w:t>
            </w:r>
            <w:r w:rsidRPr="005C7CCE">
              <w:rPr>
                <w:sz w:val="16"/>
              </w:rPr>
              <w:t>utilité, de secrets d</w:t>
            </w:r>
            <w:r w:rsidR="00A20444" w:rsidRPr="005C7CCE">
              <w:rPr>
                <w:sz w:val="16"/>
              </w:rPr>
              <w:t>’</w:t>
            </w:r>
            <w:r w:rsidRPr="005C7CCE">
              <w:rPr>
                <w:sz w:val="16"/>
              </w:rPr>
              <w:t>affaires et de circuits intégrés :</w:t>
            </w:r>
          </w:p>
          <w:p w:rsidR="00D42474" w:rsidRDefault="0096696E" w:rsidP="001A5BF9">
            <w:pPr>
              <w:pStyle w:val="Paragraphedeliste"/>
              <w:numPr>
                <w:ilvl w:val="0"/>
                <w:numId w:val="73"/>
              </w:numPr>
              <w:rPr>
                <w:rFonts w:cs="Arial"/>
                <w:sz w:val="16"/>
                <w:szCs w:val="16"/>
                <w:lang w:bidi="th-TH"/>
              </w:rPr>
            </w:pPr>
            <w:r w:rsidRPr="005C7CCE">
              <w:rPr>
                <w:sz w:val="16"/>
              </w:rPr>
              <w:t>Bélarus (secrets d</w:t>
            </w:r>
            <w:r w:rsidR="00A20444" w:rsidRPr="005C7CCE">
              <w:rPr>
                <w:sz w:val="16"/>
              </w:rPr>
              <w:t>’</w:t>
            </w:r>
            <w:r w:rsidRPr="005C7CCE">
              <w:rPr>
                <w:sz w:val="16"/>
              </w:rPr>
              <w:t>affaires)</w:t>
            </w:r>
          </w:p>
          <w:p w:rsidR="00D42474" w:rsidRDefault="0096696E" w:rsidP="001A5BF9">
            <w:pPr>
              <w:pStyle w:val="Paragraphedeliste"/>
              <w:numPr>
                <w:ilvl w:val="0"/>
                <w:numId w:val="73"/>
              </w:numPr>
              <w:rPr>
                <w:rFonts w:cs="Arial"/>
                <w:sz w:val="16"/>
                <w:szCs w:val="16"/>
                <w:lang w:bidi="th-TH"/>
              </w:rPr>
            </w:pPr>
            <w:r w:rsidRPr="005C7CCE">
              <w:rPr>
                <w:sz w:val="16"/>
              </w:rPr>
              <w:t>Kazakhstan (droit des brevets)</w:t>
            </w:r>
          </w:p>
          <w:p w:rsidR="0096696E" w:rsidRPr="005C7CCE" w:rsidRDefault="0096696E" w:rsidP="001A5BF9">
            <w:pPr>
              <w:pStyle w:val="Paragraphedeliste"/>
              <w:numPr>
                <w:ilvl w:val="0"/>
                <w:numId w:val="73"/>
              </w:numPr>
              <w:rPr>
                <w:rFonts w:cs="Arial"/>
                <w:sz w:val="16"/>
                <w:szCs w:val="16"/>
                <w:lang w:bidi="th-TH"/>
              </w:rPr>
            </w:pPr>
            <w:r w:rsidRPr="005C7CCE">
              <w:rPr>
                <w:sz w:val="16"/>
              </w:rPr>
              <w:t>Pologne (droit des brevets)</w:t>
            </w:r>
          </w:p>
        </w:tc>
        <w:tc>
          <w:tcPr>
            <w:tcW w:w="587" w:type="pct"/>
            <w:shd w:val="clear" w:color="auto" w:fill="auto"/>
            <w:tcMar>
              <w:top w:w="110" w:type="dxa"/>
            </w:tcMar>
          </w:tcPr>
          <w:p w:rsidR="00D42474" w:rsidRDefault="0096696E" w:rsidP="001A5BF9">
            <w:pPr>
              <w:keepNext/>
              <w:keepLines/>
              <w:jc w:val="center"/>
              <w:rPr>
                <w:rStyle w:val="Style5"/>
                <w:rFonts w:ascii="Arial" w:hAnsi="Arial" w:cs="Arial"/>
                <w:color w:val="808080"/>
                <w:sz w:val="16"/>
                <w:szCs w:val="16"/>
              </w:rPr>
            </w:pPr>
            <w:r w:rsidRPr="00332224">
              <w:rPr>
                <w:rStyle w:val="Style5"/>
                <w:rFonts w:ascii="Arial" w:hAnsi="Arial"/>
                <w:color w:val="808080"/>
                <w:sz w:val="16"/>
              </w:rPr>
              <w:t>Non</w:t>
            </w:r>
          </w:p>
          <w:p w:rsidR="0096696E" w:rsidRPr="00332224" w:rsidRDefault="0096696E" w:rsidP="001A5BF9">
            <w:pPr>
              <w:keepNext/>
              <w:keepLines/>
              <w:jc w:val="center"/>
              <w:rPr>
                <w:rFonts w:cs="Arial"/>
                <w:bCs/>
                <w:color w:val="008000"/>
                <w:sz w:val="16"/>
                <w:szCs w:val="16"/>
              </w:rPr>
            </w:pPr>
            <w:r w:rsidRPr="00332224">
              <w:rPr>
                <w:rStyle w:val="Style5"/>
                <w:rFonts w:ascii="Arial" w:hAnsi="Arial"/>
                <w:color w:val="808080"/>
                <w:sz w:val="16"/>
              </w:rPr>
              <w:t>évaluable</w:t>
            </w:r>
            <w:r w:rsidRPr="00332224">
              <w:rPr>
                <w:rStyle w:val="Style5"/>
                <w:rFonts w:ascii="Arial" w:hAnsi="Arial"/>
                <w:sz w:val="16"/>
              </w:rPr>
              <w:t xml:space="preserve"> </w:t>
            </w:r>
          </w:p>
        </w:tc>
      </w:tr>
      <w:tr w:rsidR="0096696E" w:rsidRPr="005C7CCE" w:rsidTr="00F76B10">
        <w:trPr>
          <w:cantSplit/>
        </w:trPr>
        <w:tc>
          <w:tcPr>
            <w:tcW w:w="968" w:type="pct"/>
            <w:shd w:val="clear" w:color="auto" w:fill="auto"/>
          </w:tcPr>
          <w:p w:rsidR="0096696E" w:rsidRPr="00332224" w:rsidRDefault="0096696E" w:rsidP="001A5BF9">
            <w:pPr>
              <w:rPr>
                <w:rFonts w:cs="Arial"/>
                <w:sz w:val="16"/>
                <w:szCs w:val="16"/>
                <w:lang w:bidi="th-TH"/>
              </w:rPr>
            </w:pPr>
            <w:r w:rsidRPr="00332224">
              <w:rPr>
                <w:sz w:val="16"/>
              </w:rPr>
              <w:t>Nombre de pays ayant jugé utiles les conseils législatifs fournis par l</w:t>
            </w:r>
            <w:r w:rsidR="00A20444" w:rsidRPr="00332224">
              <w:rPr>
                <w:sz w:val="16"/>
              </w:rPr>
              <w:t>’</w:t>
            </w:r>
            <w:r w:rsidRPr="00332224">
              <w:rPr>
                <w:sz w:val="16"/>
              </w:rPr>
              <w:t>OMPI dans le domaine des brevets, des modèles d</w:t>
            </w:r>
            <w:r w:rsidR="00A20444" w:rsidRPr="00332224">
              <w:rPr>
                <w:sz w:val="16"/>
              </w:rPr>
              <w:t>’</w:t>
            </w:r>
            <w:r w:rsidRPr="00332224">
              <w:rPr>
                <w:sz w:val="16"/>
              </w:rPr>
              <w:t>utilité, des secrets d</w:t>
            </w:r>
            <w:r w:rsidR="00A20444" w:rsidRPr="00332224">
              <w:rPr>
                <w:sz w:val="16"/>
              </w:rPr>
              <w:t>’</w:t>
            </w:r>
            <w:r w:rsidRPr="00332224">
              <w:rPr>
                <w:sz w:val="16"/>
              </w:rPr>
              <w:t>affaires et des circuits intégrés</w:t>
            </w:r>
          </w:p>
        </w:tc>
        <w:tc>
          <w:tcPr>
            <w:tcW w:w="890" w:type="pct"/>
            <w:gridSpan w:val="2"/>
            <w:shd w:val="clear" w:color="auto" w:fill="auto"/>
          </w:tcPr>
          <w:p w:rsidR="0096696E" w:rsidRPr="00332224" w:rsidRDefault="0096696E" w:rsidP="001A5BF9">
            <w:pPr>
              <w:rPr>
                <w:rFonts w:cs="Arial"/>
                <w:sz w:val="16"/>
                <w:szCs w:val="16"/>
                <w:lang w:bidi="th-TH"/>
              </w:rPr>
            </w:pPr>
            <w:r w:rsidRPr="00332224">
              <w:rPr>
                <w:sz w:val="16"/>
              </w:rPr>
              <w:t>Données non disponibles</w:t>
            </w:r>
          </w:p>
        </w:tc>
        <w:tc>
          <w:tcPr>
            <w:tcW w:w="806" w:type="pct"/>
            <w:gridSpan w:val="2"/>
            <w:shd w:val="clear" w:color="auto" w:fill="auto"/>
            <w:tcMar>
              <w:top w:w="110" w:type="dxa"/>
            </w:tcMar>
          </w:tcPr>
          <w:p w:rsidR="0096696E" w:rsidRPr="00332224" w:rsidRDefault="0096696E" w:rsidP="001A5BF9">
            <w:pPr>
              <w:rPr>
                <w:rFonts w:cs="Arial"/>
                <w:sz w:val="16"/>
                <w:szCs w:val="16"/>
                <w:lang w:bidi="th-TH"/>
              </w:rPr>
            </w:pPr>
            <w:r w:rsidRPr="00332224">
              <w:rPr>
                <w:sz w:val="16"/>
              </w:rPr>
              <w:t>90</w:t>
            </w:r>
            <w:r w:rsidR="007E442D" w:rsidRPr="00332224">
              <w:rPr>
                <w:sz w:val="16"/>
              </w:rPr>
              <w:t>%</w:t>
            </w:r>
          </w:p>
        </w:tc>
        <w:tc>
          <w:tcPr>
            <w:tcW w:w="1749" w:type="pct"/>
            <w:gridSpan w:val="3"/>
            <w:shd w:val="clear" w:color="auto" w:fill="FFFFFF"/>
            <w:tcMar>
              <w:top w:w="110" w:type="dxa"/>
            </w:tcMar>
          </w:tcPr>
          <w:p w:rsidR="0096696E" w:rsidRPr="005C7CCE" w:rsidRDefault="0096696E" w:rsidP="001A5BF9">
            <w:pPr>
              <w:rPr>
                <w:rFonts w:cs="Arial"/>
                <w:sz w:val="16"/>
                <w:szCs w:val="16"/>
              </w:rPr>
            </w:pPr>
            <w:r w:rsidRPr="005C7CCE">
              <w:rPr>
                <w:sz w:val="16"/>
              </w:rPr>
              <w:t>Les trois pays mentionnés ci</w:t>
            </w:r>
            <w:r w:rsidR="002D6F2A" w:rsidRPr="005C7CCE">
              <w:rPr>
                <w:sz w:val="16"/>
              </w:rPr>
              <w:noBreakHyphen/>
            </w:r>
            <w:r w:rsidRPr="005C7CCE">
              <w:rPr>
                <w:sz w:val="16"/>
              </w:rPr>
              <w:t>dessus ont trouvé l</w:t>
            </w:r>
            <w:r w:rsidR="00A20444" w:rsidRPr="005C7CCE">
              <w:rPr>
                <w:sz w:val="16"/>
              </w:rPr>
              <w:t>’</w:t>
            </w:r>
            <w:r w:rsidRPr="005C7CCE">
              <w:rPr>
                <w:sz w:val="16"/>
              </w:rPr>
              <w:t>assistance de l</w:t>
            </w:r>
            <w:r w:rsidR="00A20444" w:rsidRPr="005C7CCE">
              <w:rPr>
                <w:sz w:val="16"/>
              </w:rPr>
              <w:t>’</w:t>
            </w:r>
            <w:r w:rsidRPr="005C7CCE">
              <w:rPr>
                <w:sz w:val="16"/>
              </w:rPr>
              <w:t>OMPI en matière de brevets, de modèles d</w:t>
            </w:r>
            <w:r w:rsidR="00A20444" w:rsidRPr="005C7CCE">
              <w:rPr>
                <w:sz w:val="16"/>
              </w:rPr>
              <w:t>’</w:t>
            </w:r>
            <w:r w:rsidRPr="005C7CCE">
              <w:rPr>
                <w:sz w:val="16"/>
              </w:rPr>
              <w:t>utilité, de secrets d</w:t>
            </w:r>
            <w:r w:rsidR="00A20444" w:rsidRPr="005C7CCE">
              <w:rPr>
                <w:sz w:val="16"/>
              </w:rPr>
              <w:t>’</w:t>
            </w:r>
            <w:r w:rsidRPr="005C7CCE">
              <w:rPr>
                <w:sz w:val="16"/>
              </w:rPr>
              <w:t>affaires et de circuits intégrés utile.</w:t>
            </w:r>
          </w:p>
        </w:tc>
        <w:tc>
          <w:tcPr>
            <w:tcW w:w="587" w:type="pct"/>
            <w:shd w:val="clear" w:color="auto" w:fill="auto"/>
            <w:tcMar>
              <w:top w:w="110" w:type="dxa"/>
            </w:tcMar>
          </w:tcPr>
          <w:p w:rsidR="0096696E" w:rsidRPr="00332224"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F76B10">
        <w:trPr>
          <w:cantSplit/>
        </w:trPr>
        <w:tc>
          <w:tcPr>
            <w:tcW w:w="968" w:type="pct"/>
            <w:shd w:val="clear" w:color="auto" w:fill="auto"/>
          </w:tcPr>
          <w:p w:rsidR="0096696E" w:rsidRPr="00332224" w:rsidRDefault="0096696E" w:rsidP="001A5BF9">
            <w:pPr>
              <w:rPr>
                <w:rFonts w:cs="Arial"/>
                <w:sz w:val="16"/>
                <w:szCs w:val="16"/>
                <w:lang w:bidi="th-TH"/>
              </w:rPr>
            </w:pPr>
            <w:r w:rsidRPr="00332224">
              <w:rPr>
                <w:sz w:val="16"/>
              </w:rPr>
              <w:t>Pourcentage de pays ayant trouvé utiles les informations fournies concernant les principes juridiques et les pratiques en rapport avec le système des brevets, notamment les éléments de flexibilité existants dans le système et les difficultés auxquelles il est confronté</w:t>
            </w:r>
          </w:p>
        </w:tc>
        <w:tc>
          <w:tcPr>
            <w:tcW w:w="890" w:type="pct"/>
            <w:gridSpan w:val="2"/>
            <w:shd w:val="clear" w:color="auto" w:fill="auto"/>
          </w:tcPr>
          <w:p w:rsidR="00D42474" w:rsidRDefault="0096696E" w:rsidP="001A5BF9">
            <w:pPr>
              <w:rPr>
                <w:rFonts w:cs="Arial"/>
                <w:i/>
                <w:color w:val="002060"/>
                <w:sz w:val="16"/>
                <w:szCs w:val="16"/>
              </w:rPr>
            </w:pPr>
            <w:r w:rsidRPr="005C7CCE">
              <w:rPr>
                <w:i/>
                <w:color w:val="002060"/>
                <w:sz w:val="16"/>
              </w:rPr>
              <w:t xml:space="preserve">Niveau de référence actualisé fin 2011 : </w:t>
            </w:r>
            <w:r w:rsidR="00332224">
              <w:rPr>
                <w:color w:val="002060"/>
                <w:sz w:val="16"/>
              </w:rPr>
              <w:t>l</w:t>
            </w:r>
            <w:r w:rsidRPr="005C7CCE">
              <w:rPr>
                <w:color w:val="002060"/>
                <w:sz w:val="16"/>
              </w:rPr>
              <w:t>es rapports du SCP et du CDIP précisent les réactions des États membres (statistiques non disponibles)</w:t>
            </w:r>
          </w:p>
          <w:p w:rsidR="00D42474" w:rsidRDefault="00D42474" w:rsidP="001A5BF9">
            <w:pPr>
              <w:rPr>
                <w:rFonts w:cs="Arial"/>
                <w:i/>
                <w:color w:val="002060"/>
                <w:sz w:val="8"/>
                <w:szCs w:val="8"/>
              </w:rPr>
            </w:pPr>
          </w:p>
          <w:p w:rsidR="0096696E" w:rsidRPr="005C7CCE" w:rsidRDefault="0096696E" w:rsidP="001A5BF9">
            <w:pPr>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332224">
              <w:rPr>
                <w:sz w:val="16"/>
              </w:rPr>
              <w:t>d</w:t>
            </w:r>
            <w:r w:rsidRPr="005C7CCE">
              <w:rPr>
                <w:sz w:val="16"/>
              </w:rPr>
              <w:t>onnées non disponibles</w:t>
            </w:r>
          </w:p>
        </w:tc>
        <w:tc>
          <w:tcPr>
            <w:tcW w:w="806" w:type="pct"/>
            <w:gridSpan w:val="2"/>
            <w:shd w:val="clear" w:color="auto" w:fill="auto"/>
            <w:tcMar>
              <w:top w:w="110" w:type="dxa"/>
            </w:tcMar>
          </w:tcPr>
          <w:p w:rsidR="0096696E" w:rsidRPr="005C7CCE" w:rsidRDefault="0096696E" w:rsidP="001A5BF9">
            <w:pPr>
              <w:rPr>
                <w:rFonts w:cs="Arial"/>
                <w:sz w:val="16"/>
                <w:szCs w:val="16"/>
                <w:lang w:bidi="th-TH"/>
              </w:rPr>
            </w:pPr>
            <w:r w:rsidRPr="005C7CCE">
              <w:rPr>
                <w:sz w:val="16"/>
              </w:rPr>
              <w:t>90</w:t>
            </w:r>
            <w:r w:rsidR="007E442D" w:rsidRPr="005C7CCE">
              <w:rPr>
                <w:sz w:val="16"/>
              </w:rPr>
              <w:t>%</w:t>
            </w:r>
          </w:p>
        </w:tc>
        <w:tc>
          <w:tcPr>
            <w:tcW w:w="1749" w:type="pct"/>
            <w:gridSpan w:val="3"/>
            <w:shd w:val="clear" w:color="auto" w:fill="FFFFFF"/>
            <w:tcMar>
              <w:top w:w="110" w:type="dxa"/>
            </w:tcMar>
          </w:tcPr>
          <w:p w:rsidR="0096696E" w:rsidRPr="005C7CCE" w:rsidRDefault="0096696E" w:rsidP="001A5BF9">
            <w:pPr>
              <w:rPr>
                <w:rFonts w:cs="Arial"/>
                <w:sz w:val="16"/>
                <w:szCs w:val="16"/>
              </w:rPr>
            </w:pPr>
            <w:r w:rsidRPr="005C7CCE">
              <w:rPr>
                <w:sz w:val="16"/>
              </w:rPr>
              <w:t>Toutes les réactions reçues indiquaient que les informations fournies étaient utiles.</w:t>
            </w:r>
            <w:r w:rsidR="0010442A" w:rsidRPr="005C7CCE">
              <w:rPr>
                <w:sz w:val="16"/>
              </w:rPr>
              <w:t xml:space="preserve"> </w:t>
            </w:r>
            <w:r w:rsidRPr="005C7CCE">
              <w:rPr>
                <w:sz w:val="16"/>
              </w:rPr>
              <w:t xml:space="preserve"> Selon une enquête menée conjointement avec l</w:t>
            </w:r>
            <w:r w:rsidR="00A20444" w:rsidRPr="005C7CCE">
              <w:rPr>
                <w:sz w:val="16"/>
              </w:rPr>
              <w:t>’</w:t>
            </w:r>
            <w:r w:rsidRPr="005C7CCE">
              <w:rPr>
                <w:sz w:val="16"/>
              </w:rPr>
              <w:t>évaluation du programme 1 de la Division de l</w:t>
            </w:r>
            <w:r w:rsidR="00A20444" w:rsidRPr="005C7CCE">
              <w:rPr>
                <w:sz w:val="16"/>
              </w:rPr>
              <w:t>’</w:t>
            </w:r>
            <w:r w:rsidRPr="005C7CCE">
              <w:rPr>
                <w:sz w:val="16"/>
              </w:rPr>
              <w:t>audit et de la supervision internes, plus de 90</w:t>
            </w:r>
            <w:r w:rsidR="007E442D" w:rsidRPr="005C7CCE">
              <w:rPr>
                <w:sz w:val="16"/>
              </w:rPr>
              <w:t>%</w:t>
            </w:r>
            <w:r w:rsidRPr="005C7CCE">
              <w:rPr>
                <w:sz w:val="16"/>
              </w:rPr>
              <w:t xml:space="preserve"> des participants ont jugé la qualité des documents de fond préparés par le Secrétariat “excellente” ou “bonne”.</w:t>
            </w:r>
            <w:r w:rsidR="004F3E42" w:rsidRPr="005C7CCE">
              <w:rPr>
                <w:sz w:val="16"/>
              </w:rPr>
              <w:t xml:space="preserve"> </w:t>
            </w:r>
            <w:r w:rsidR="0010442A" w:rsidRPr="005C7CCE">
              <w:rPr>
                <w:sz w:val="16"/>
              </w:rPr>
              <w:t xml:space="preserve"> </w:t>
            </w:r>
          </w:p>
        </w:tc>
        <w:tc>
          <w:tcPr>
            <w:tcW w:w="587" w:type="pct"/>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F76B10">
        <w:trPr>
          <w:cantSplit/>
        </w:trPr>
        <w:tc>
          <w:tcPr>
            <w:tcW w:w="968" w:type="pct"/>
            <w:shd w:val="clear" w:color="auto" w:fill="auto"/>
          </w:tcPr>
          <w:p w:rsidR="0096696E" w:rsidRPr="00332224" w:rsidRDefault="0096696E" w:rsidP="001A5BF9">
            <w:pPr>
              <w:rPr>
                <w:rFonts w:cs="Arial"/>
                <w:sz w:val="16"/>
                <w:szCs w:val="16"/>
                <w:lang w:bidi="th-TH"/>
              </w:rPr>
            </w:pPr>
            <w:r w:rsidRPr="00332224">
              <w:rPr>
                <w:sz w:val="16"/>
              </w:rPr>
              <w:t>Pourcentage de participants satisfaits dans des ateliers</w:t>
            </w:r>
            <w:r w:rsidR="00BD43F2" w:rsidRPr="00332224">
              <w:rPr>
                <w:sz w:val="16"/>
              </w:rPr>
              <w:t>/</w:t>
            </w:r>
            <w:r w:rsidRPr="00332224">
              <w:rPr>
                <w:sz w:val="16"/>
              </w:rPr>
              <w:t xml:space="preserve">séminaires ciblés, organisés sur des questions spécifiques aux brevets </w:t>
            </w:r>
          </w:p>
        </w:tc>
        <w:tc>
          <w:tcPr>
            <w:tcW w:w="890" w:type="pct"/>
            <w:gridSpan w:val="2"/>
            <w:shd w:val="clear" w:color="auto" w:fill="auto"/>
          </w:tcPr>
          <w:p w:rsidR="0096696E" w:rsidRPr="005C7CCE" w:rsidRDefault="0096696E" w:rsidP="001A5BF9">
            <w:pPr>
              <w:rPr>
                <w:rFonts w:cs="Arial"/>
                <w:sz w:val="16"/>
                <w:szCs w:val="16"/>
                <w:lang w:bidi="th-TH"/>
              </w:rPr>
            </w:pPr>
            <w:r w:rsidRPr="005C7CCE">
              <w:rPr>
                <w:sz w:val="16"/>
              </w:rPr>
              <w:t>Données non disponibles</w:t>
            </w:r>
          </w:p>
        </w:tc>
        <w:tc>
          <w:tcPr>
            <w:tcW w:w="806" w:type="pct"/>
            <w:gridSpan w:val="2"/>
            <w:shd w:val="clear" w:color="auto" w:fill="auto"/>
            <w:tcMar>
              <w:top w:w="110" w:type="dxa"/>
            </w:tcMar>
          </w:tcPr>
          <w:p w:rsidR="0096696E" w:rsidRPr="005C7CCE" w:rsidRDefault="0096696E" w:rsidP="001A5BF9">
            <w:pPr>
              <w:rPr>
                <w:rFonts w:cs="Arial"/>
                <w:sz w:val="16"/>
                <w:szCs w:val="16"/>
                <w:lang w:bidi="th-TH"/>
              </w:rPr>
            </w:pPr>
            <w:r w:rsidRPr="005C7CCE">
              <w:rPr>
                <w:sz w:val="16"/>
              </w:rPr>
              <w:t>90</w:t>
            </w:r>
            <w:r w:rsidR="007E442D" w:rsidRPr="005C7CCE">
              <w:rPr>
                <w:sz w:val="16"/>
              </w:rPr>
              <w:t>%</w:t>
            </w:r>
          </w:p>
        </w:tc>
        <w:tc>
          <w:tcPr>
            <w:tcW w:w="1749" w:type="pct"/>
            <w:gridSpan w:val="3"/>
            <w:shd w:val="clear" w:color="auto" w:fill="FFFFFF"/>
            <w:tcMar>
              <w:top w:w="110" w:type="dxa"/>
            </w:tcMar>
          </w:tcPr>
          <w:p w:rsidR="0096696E" w:rsidRPr="005C7CCE" w:rsidRDefault="0096696E" w:rsidP="001A5BF9">
            <w:pPr>
              <w:rPr>
                <w:rFonts w:cs="Arial"/>
                <w:sz w:val="16"/>
                <w:szCs w:val="16"/>
              </w:rPr>
            </w:pPr>
            <w:r w:rsidRPr="005C7CCE">
              <w:rPr>
                <w:sz w:val="16"/>
              </w:rPr>
              <w:t>92,5</w:t>
            </w:r>
            <w:r w:rsidR="007E442D" w:rsidRPr="005C7CCE">
              <w:rPr>
                <w:sz w:val="16"/>
              </w:rPr>
              <w:t>%</w:t>
            </w:r>
            <w:r w:rsidRPr="005C7CCE">
              <w:rPr>
                <w:sz w:val="16"/>
              </w:rPr>
              <w:t xml:space="preserve"> des participants aux ateliers/séminaires organisés par le programme 1 se sont déclarés satisfaits des manifestations organisées. </w:t>
            </w:r>
            <w:r w:rsidR="0010442A" w:rsidRPr="005C7CCE">
              <w:rPr>
                <w:sz w:val="16"/>
              </w:rPr>
              <w:t xml:space="preserve"> </w:t>
            </w:r>
          </w:p>
        </w:tc>
        <w:tc>
          <w:tcPr>
            <w:tcW w:w="587" w:type="pct"/>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r w:rsidR="0096696E" w:rsidRPr="005C7CCE" w:rsidTr="00F76B10">
        <w:trPr>
          <w:cantSplit/>
        </w:trPr>
        <w:tc>
          <w:tcPr>
            <w:tcW w:w="968" w:type="pct"/>
            <w:shd w:val="clear" w:color="auto" w:fill="auto"/>
          </w:tcPr>
          <w:p w:rsidR="0096696E" w:rsidRPr="00332224" w:rsidRDefault="0096696E" w:rsidP="001A5BF9">
            <w:pPr>
              <w:rPr>
                <w:rFonts w:cs="Arial"/>
                <w:sz w:val="16"/>
                <w:szCs w:val="16"/>
                <w:lang w:bidi="th-TH"/>
              </w:rPr>
            </w:pPr>
            <w:r w:rsidRPr="00332224">
              <w:rPr>
                <w:sz w:val="16"/>
              </w:rPr>
              <w:t>Nombre d</w:t>
            </w:r>
            <w:r w:rsidR="00A20444" w:rsidRPr="00332224">
              <w:rPr>
                <w:sz w:val="16"/>
              </w:rPr>
              <w:t>’</w:t>
            </w:r>
            <w:r w:rsidRPr="00332224">
              <w:rPr>
                <w:sz w:val="16"/>
              </w:rPr>
              <w:t xml:space="preserve">États membres ayant reçu des conseils législatifs dans le domaine des marques, des modèles et dessins industriels et des indications géographiques </w:t>
            </w:r>
          </w:p>
        </w:tc>
        <w:tc>
          <w:tcPr>
            <w:tcW w:w="890" w:type="pct"/>
            <w:gridSpan w:val="2"/>
            <w:shd w:val="clear" w:color="auto" w:fill="auto"/>
          </w:tcPr>
          <w:p w:rsidR="0096696E" w:rsidRPr="005C7CCE" w:rsidRDefault="0096696E" w:rsidP="001A5BF9">
            <w:pPr>
              <w:rPr>
                <w:rFonts w:cs="Arial"/>
                <w:sz w:val="16"/>
                <w:szCs w:val="16"/>
                <w:lang w:bidi="th-TH"/>
              </w:rPr>
            </w:pPr>
            <w:r w:rsidRPr="005C7CCE">
              <w:rPr>
                <w:sz w:val="16"/>
              </w:rPr>
              <w:t>2</w:t>
            </w:r>
          </w:p>
        </w:tc>
        <w:tc>
          <w:tcPr>
            <w:tcW w:w="806" w:type="pct"/>
            <w:gridSpan w:val="2"/>
            <w:shd w:val="clear" w:color="auto" w:fill="auto"/>
            <w:tcMar>
              <w:top w:w="110" w:type="dxa"/>
            </w:tcMar>
          </w:tcPr>
          <w:p w:rsidR="00D42474" w:rsidRDefault="0096696E" w:rsidP="001A5BF9">
            <w:pPr>
              <w:rPr>
                <w:rFonts w:cs="Arial"/>
                <w:sz w:val="16"/>
                <w:szCs w:val="16"/>
                <w:lang w:bidi="th-TH"/>
              </w:rPr>
            </w:pPr>
            <w:r w:rsidRPr="005C7CCE">
              <w:rPr>
                <w:sz w:val="16"/>
              </w:rPr>
              <w:t>Conseils législatifs</w:t>
            </w:r>
          </w:p>
          <w:p w:rsidR="0096696E" w:rsidRPr="005C7CCE" w:rsidRDefault="0096696E" w:rsidP="001A5BF9">
            <w:pPr>
              <w:rPr>
                <w:rFonts w:cs="Arial"/>
                <w:sz w:val="16"/>
                <w:szCs w:val="16"/>
                <w:lang w:bidi="th-TH"/>
              </w:rPr>
            </w:pPr>
            <w:r w:rsidRPr="005C7CCE">
              <w:rPr>
                <w:sz w:val="16"/>
              </w:rPr>
              <w:t>dispensés à deux États membres</w:t>
            </w:r>
          </w:p>
        </w:tc>
        <w:tc>
          <w:tcPr>
            <w:tcW w:w="1749" w:type="pct"/>
            <w:gridSpan w:val="3"/>
            <w:shd w:val="clear" w:color="auto" w:fill="FFFFFF"/>
            <w:tcMar>
              <w:top w:w="110" w:type="dxa"/>
            </w:tcMar>
          </w:tcPr>
          <w:p w:rsidR="00D42474" w:rsidRDefault="0096696E" w:rsidP="001A5BF9">
            <w:pPr>
              <w:rPr>
                <w:sz w:val="16"/>
              </w:rPr>
            </w:pPr>
            <w:r w:rsidRPr="005C7CCE">
              <w:rPr>
                <w:sz w:val="16"/>
              </w:rPr>
              <w:t>Quatre pays ont bénéficié d</w:t>
            </w:r>
            <w:r w:rsidR="00A20444" w:rsidRPr="005C7CCE">
              <w:rPr>
                <w:sz w:val="16"/>
              </w:rPr>
              <w:t>’</w:t>
            </w:r>
            <w:r w:rsidRPr="005C7CCE">
              <w:rPr>
                <w:sz w:val="16"/>
              </w:rPr>
              <w:t>une assistance de l</w:t>
            </w:r>
            <w:r w:rsidR="00A20444" w:rsidRPr="005C7CCE">
              <w:rPr>
                <w:sz w:val="16"/>
              </w:rPr>
              <w:t>’</w:t>
            </w:r>
            <w:r w:rsidRPr="005C7CCE">
              <w:rPr>
                <w:sz w:val="16"/>
              </w:rPr>
              <w:t>OMPI en matière de marques, de dessins et modèles industriels et d</w:t>
            </w:r>
            <w:r w:rsidR="00A20444" w:rsidRPr="005C7CCE">
              <w:rPr>
                <w:sz w:val="16"/>
              </w:rPr>
              <w:t>’</w:t>
            </w:r>
            <w:r w:rsidRPr="005C7CCE">
              <w:rPr>
                <w:sz w:val="16"/>
              </w:rPr>
              <w:t>indications géographiques :</w:t>
            </w:r>
          </w:p>
          <w:p w:rsidR="00D42474" w:rsidRDefault="0096696E" w:rsidP="001A5BF9">
            <w:pPr>
              <w:pStyle w:val="Paragraphedeliste"/>
              <w:numPr>
                <w:ilvl w:val="0"/>
                <w:numId w:val="74"/>
              </w:numPr>
              <w:rPr>
                <w:rFonts w:cs="Arial"/>
                <w:sz w:val="16"/>
                <w:szCs w:val="16"/>
              </w:rPr>
            </w:pPr>
            <w:r w:rsidRPr="005C7CCE">
              <w:rPr>
                <w:sz w:val="16"/>
              </w:rPr>
              <w:t>Bosnie</w:t>
            </w:r>
            <w:r w:rsidR="002D6F2A" w:rsidRPr="005C7CCE">
              <w:rPr>
                <w:sz w:val="16"/>
              </w:rPr>
              <w:noBreakHyphen/>
            </w:r>
            <w:r w:rsidRPr="005C7CCE">
              <w:rPr>
                <w:sz w:val="16"/>
              </w:rPr>
              <w:t>Herzégovine (marques)</w:t>
            </w:r>
          </w:p>
          <w:p w:rsidR="00D42474" w:rsidRDefault="0096696E" w:rsidP="001A5BF9">
            <w:pPr>
              <w:pStyle w:val="Paragraphedeliste"/>
              <w:numPr>
                <w:ilvl w:val="0"/>
                <w:numId w:val="74"/>
              </w:numPr>
              <w:rPr>
                <w:rFonts w:cs="Arial"/>
                <w:sz w:val="16"/>
                <w:szCs w:val="16"/>
              </w:rPr>
            </w:pPr>
            <w:r w:rsidRPr="005C7CCE">
              <w:rPr>
                <w:sz w:val="16"/>
              </w:rPr>
              <w:t>Pologne (dessins et modèles industriels)</w:t>
            </w:r>
          </w:p>
          <w:p w:rsidR="00D42474" w:rsidRDefault="0096696E" w:rsidP="001A5BF9">
            <w:pPr>
              <w:pStyle w:val="Paragraphedeliste"/>
              <w:numPr>
                <w:ilvl w:val="0"/>
                <w:numId w:val="74"/>
              </w:numPr>
              <w:rPr>
                <w:rFonts w:cs="Arial"/>
                <w:sz w:val="16"/>
                <w:szCs w:val="16"/>
              </w:rPr>
            </w:pPr>
            <w:r w:rsidRPr="005C7CCE">
              <w:rPr>
                <w:sz w:val="16"/>
              </w:rPr>
              <w:t>Fédération de Russie (dessins et modèles industriels)</w:t>
            </w:r>
          </w:p>
          <w:p w:rsidR="0096696E" w:rsidRPr="005C7CCE" w:rsidRDefault="0096696E" w:rsidP="001A5BF9">
            <w:pPr>
              <w:pStyle w:val="Paragraphedeliste"/>
              <w:numPr>
                <w:ilvl w:val="0"/>
                <w:numId w:val="74"/>
              </w:numPr>
              <w:rPr>
                <w:rFonts w:cs="Arial"/>
                <w:sz w:val="16"/>
                <w:szCs w:val="16"/>
              </w:rPr>
            </w:pPr>
            <w:r w:rsidRPr="005C7CCE">
              <w:rPr>
                <w:sz w:val="16"/>
              </w:rPr>
              <w:t>Tadjikistan (dessins et modèles industriels)</w:t>
            </w:r>
          </w:p>
        </w:tc>
        <w:tc>
          <w:tcPr>
            <w:tcW w:w="587" w:type="pct"/>
            <w:shd w:val="clear" w:color="auto" w:fill="auto"/>
            <w:tcMar>
              <w:top w:w="110" w:type="dxa"/>
            </w:tcMar>
          </w:tcPr>
          <w:p w:rsidR="0096696E" w:rsidRPr="005C7CCE" w:rsidRDefault="0096696E" w:rsidP="001A5BF9">
            <w:pPr>
              <w:keepNext/>
              <w:keepLines/>
              <w:jc w:val="center"/>
              <w:rPr>
                <w:color w:val="008000"/>
                <w:sz w:val="16"/>
              </w:rPr>
            </w:pPr>
            <w:r w:rsidRPr="00B470C6">
              <w:rPr>
                <w:color w:val="008000"/>
                <w:sz w:val="16"/>
              </w:rPr>
              <w:t>Objectif pleinement atteint</w:t>
            </w:r>
            <w:r w:rsidRPr="005C7CCE">
              <w:rPr>
                <w:color w:val="008000"/>
                <w:sz w:val="16"/>
              </w:rPr>
              <w:t xml:space="preserve"> </w:t>
            </w:r>
          </w:p>
        </w:tc>
      </w:tr>
      <w:tr w:rsidR="0096696E" w:rsidRPr="005C7CCE" w:rsidTr="00F76B10">
        <w:trPr>
          <w:cantSplit/>
        </w:trPr>
        <w:tc>
          <w:tcPr>
            <w:tcW w:w="968" w:type="pct"/>
            <w:shd w:val="clear" w:color="auto" w:fill="auto"/>
          </w:tcPr>
          <w:p w:rsidR="0096696E" w:rsidRPr="00332224" w:rsidRDefault="0096696E" w:rsidP="001A5BF9">
            <w:pPr>
              <w:rPr>
                <w:rFonts w:cs="Arial"/>
                <w:sz w:val="16"/>
                <w:szCs w:val="16"/>
                <w:lang w:bidi="th-TH"/>
              </w:rPr>
            </w:pPr>
            <w:r w:rsidRPr="00332224">
              <w:rPr>
                <w:sz w:val="16"/>
              </w:rPr>
              <w:t>Nombre de pays ayant donné un avis positif en retour sur l</w:t>
            </w:r>
            <w:r w:rsidR="00A20444" w:rsidRPr="00332224">
              <w:rPr>
                <w:sz w:val="16"/>
              </w:rPr>
              <w:t>’</w:t>
            </w:r>
            <w:r w:rsidRPr="00332224">
              <w:rPr>
                <w:sz w:val="16"/>
              </w:rPr>
              <w:t>utilité des conseils de législation fournis dans le domaine des marques, des modèles et dessins industriels et des indications géographiques</w:t>
            </w:r>
          </w:p>
        </w:tc>
        <w:tc>
          <w:tcPr>
            <w:tcW w:w="890" w:type="pct"/>
            <w:gridSpan w:val="2"/>
            <w:shd w:val="clear" w:color="auto" w:fill="auto"/>
          </w:tcPr>
          <w:p w:rsidR="0096696E" w:rsidRPr="00332224" w:rsidRDefault="0096696E" w:rsidP="001A5BF9">
            <w:pPr>
              <w:rPr>
                <w:rFonts w:cs="Arial"/>
                <w:sz w:val="16"/>
                <w:szCs w:val="16"/>
                <w:lang w:bidi="th-TH"/>
              </w:rPr>
            </w:pPr>
            <w:r w:rsidRPr="00332224">
              <w:rPr>
                <w:sz w:val="16"/>
              </w:rPr>
              <w:t>Données non disponibles</w:t>
            </w:r>
          </w:p>
        </w:tc>
        <w:tc>
          <w:tcPr>
            <w:tcW w:w="806" w:type="pct"/>
            <w:gridSpan w:val="2"/>
            <w:shd w:val="clear" w:color="auto" w:fill="auto"/>
            <w:tcMar>
              <w:top w:w="110" w:type="dxa"/>
            </w:tcMar>
          </w:tcPr>
          <w:p w:rsidR="0096696E" w:rsidRPr="005C7CCE" w:rsidRDefault="0096696E" w:rsidP="001A5BF9">
            <w:pPr>
              <w:rPr>
                <w:rFonts w:cs="Arial"/>
                <w:sz w:val="16"/>
                <w:szCs w:val="16"/>
                <w:lang w:bidi="th-TH"/>
              </w:rPr>
            </w:pPr>
            <w:r w:rsidRPr="005C7CCE">
              <w:rPr>
                <w:sz w:val="16"/>
              </w:rPr>
              <w:t>70</w:t>
            </w:r>
            <w:r w:rsidR="007E442D" w:rsidRPr="005C7CCE">
              <w:rPr>
                <w:sz w:val="16"/>
              </w:rPr>
              <w:t>%</w:t>
            </w:r>
          </w:p>
        </w:tc>
        <w:tc>
          <w:tcPr>
            <w:tcW w:w="1749" w:type="pct"/>
            <w:gridSpan w:val="3"/>
            <w:shd w:val="clear" w:color="auto" w:fill="FFFFFF"/>
            <w:tcMar>
              <w:top w:w="110" w:type="dxa"/>
            </w:tcMar>
          </w:tcPr>
          <w:p w:rsidR="0096696E" w:rsidRPr="005C7CCE" w:rsidRDefault="0096696E" w:rsidP="001A5BF9">
            <w:pPr>
              <w:rPr>
                <w:rFonts w:cs="Arial"/>
                <w:sz w:val="16"/>
                <w:szCs w:val="16"/>
              </w:rPr>
            </w:pPr>
            <w:r w:rsidRPr="005C7CCE">
              <w:rPr>
                <w:sz w:val="16"/>
              </w:rPr>
              <w:t>100</w:t>
            </w:r>
            <w:r w:rsidR="007E442D" w:rsidRPr="005C7CCE">
              <w:rPr>
                <w:sz w:val="16"/>
              </w:rPr>
              <w:t>%</w:t>
            </w:r>
            <w:r w:rsidRPr="005C7CCE">
              <w:rPr>
                <w:sz w:val="16"/>
              </w:rPr>
              <w:t xml:space="preserve"> des pays ont indiqué que l</w:t>
            </w:r>
            <w:r w:rsidR="00A20444" w:rsidRPr="005C7CCE">
              <w:rPr>
                <w:sz w:val="16"/>
              </w:rPr>
              <w:t>’</w:t>
            </w:r>
            <w:r w:rsidRPr="005C7CCE">
              <w:rPr>
                <w:sz w:val="16"/>
              </w:rPr>
              <w:t>assistance de l</w:t>
            </w:r>
            <w:r w:rsidR="00A20444" w:rsidRPr="005C7CCE">
              <w:rPr>
                <w:sz w:val="16"/>
              </w:rPr>
              <w:t>’</w:t>
            </w:r>
            <w:r w:rsidRPr="005C7CCE">
              <w:rPr>
                <w:sz w:val="16"/>
              </w:rPr>
              <w:t xml:space="preserve">OMPI dans le domaine des marques, des dessins et modèles industriels et des indications géographiques était utile. </w:t>
            </w:r>
            <w:r w:rsidR="0010442A" w:rsidRPr="005C7CCE">
              <w:rPr>
                <w:sz w:val="16"/>
              </w:rPr>
              <w:t xml:space="preserve"> </w:t>
            </w:r>
          </w:p>
        </w:tc>
        <w:tc>
          <w:tcPr>
            <w:tcW w:w="587" w:type="pct"/>
            <w:shd w:val="clear" w:color="auto" w:fill="auto"/>
            <w:tcMar>
              <w:top w:w="110" w:type="dxa"/>
            </w:tcMar>
          </w:tcPr>
          <w:p w:rsidR="0096696E" w:rsidRPr="005C7CCE" w:rsidRDefault="0096696E" w:rsidP="001A5BF9">
            <w:pPr>
              <w:keepNext/>
              <w:keepLines/>
              <w:jc w:val="center"/>
              <w:rPr>
                <w:rFonts w:cs="Arial"/>
                <w:bCs/>
                <w:color w:val="008000"/>
                <w:sz w:val="16"/>
                <w:szCs w:val="16"/>
              </w:rPr>
            </w:pPr>
            <w:r w:rsidRPr="00B470C6">
              <w:rPr>
                <w:color w:val="008000"/>
                <w:sz w:val="16"/>
              </w:rPr>
              <w:t>Objectif pleinement atteint</w:t>
            </w:r>
          </w:p>
        </w:tc>
      </w:tr>
    </w:tbl>
    <w:p w:rsidR="00D42474" w:rsidRDefault="00D42474" w:rsidP="001A5BF9">
      <w:pPr>
        <w:keepNext/>
        <w:keepLines/>
        <w:rPr>
          <w:rFonts w:cs="Arial"/>
          <w:sz w:val="18"/>
          <w:szCs w:val="18"/>
        </w:rPr>
      </w:pPr>
    </w:p>
    <w:p w:rsidR="00D42474" w:rsidRDefault="00D42474" w:rsidP="001A5BF9">
      <w:pPr>
        <w:rPr>
          <w:rFonts w:cs="Arial"/>
          <w:szCs w:val="22"/>
        </w:rPr>
      </w:pPr>
    </w:p>
    <w:p w:rsidR="00D42474" w:rsidRDefault="0096696E" w:rsidP="001A5BF9">
      <w:pPr>
        <w:pStyle w:val="NormalWeb"/>
        <w:spacing w:before="0" w:beforeAutospacing="0" w:after="0" w:afterAutospacing="0"/>
        <w:rPr>
          <w:sz w:val="22"/>
          <w:szCs w:val="22"/>
        </w:rPr>
      </w:pPr>
      <w:r w:rsidRPr="00332224">
        <w:rPr>
          <w:sz w:val="22"/>
        </w:rPr>
        <w:t>BUDGET ET DÉPENSES EFFECTIVES</w:t>
      </w:r>
    </w:p>
    <w:p w:rsidR="00D42474" w:rsidRDefault="00D42474" w:rsidP="001A5BF9">
      <w:pPr>
        <w:pStyle w:val="NormalWeb"/>
        <w:spacing w:before="0" w:beforeAutospacing="0" w:after="0" w:afterAutospacing="0"/>
        <w:jc w:val="center"/>
        <w:rPr>
          <w:sz w:val="22"/>
          <w:szCs w:val="22"/>
        </w:rPr>
      </w:pPr>
    </w:p>
    <w:p w:rsidR="00D42474" w:rsidRDefault="0096696E" w:rsidP="001A5BF9">
      <w:pPr>
        <w:pStyle w:val="NormalWeb"/>
        <w:spacing w:before="0" w:beforeAutospacing="0" w:after="0" w:afterAutospacing="0"/>
        <w:jc w:val="center"/>
        <w:rPr>
          <w:sz w:val="20"/>
          <w:szCs w:val="20"/>
        </w:rPr>
      </w:pPr>
      <w:r w:rsidRPr="00332224">
        <w:rPr>
          <w:sz w:val="20"/>
        </w:rPr>
        <w:t>Budget et dépenses effectives (par résultat)</w:t>
      </w:r>
    </w:p>
    <w:p w:rsidR="00D42474" w:rsidRDefault="0096696E" w:rsidP="001A5BF9">
      <w:pPr>
        <w:pStyle w:val="NormalWeb"/>
        <w:spacing w:before="0" w:beforeAutospacing="0" w:after="0" w:afterAutospacing="0"/>
        <w:jc w:val="center"/>
        <w:rPr>
          <w:i/>
          <w:iCs/>
          <w:sz w:val="20"/>
          <w:szCs w:val="20"/>
        </w:rPr>
      </w:pPr>
      <w:r w:rsidRPr="00332224">
        <w:rPr>
          <w:i/>
          <w:sz w:val="20"/>
        </w:rPr>
        <w:t>(</w:t>
      </w:r>
      <w:proofErr w:type="gramStart"/>
      <w:r w:rsidRPr="00332224">
        <w:rPr>
          <w:i/>
          <w:sz w:val="20"/>
        </w:rPr>
        <w:t>en</w:t>
      </w:r>
      <w:proofErr w:type="gramEnd"/>
      <w:r w:rsidRPr="00332224">
        <w:rPr>
          <w:i/>
          <w:sz w:val="20"/>
        </w:rPr>
        <w:t xml:space="preserve"> milliers de francs suisses)</w:t>
      </w:r>
    </w:p>
    <w:p w:rsidR="0096696E" w:rsidRPr="00332224" w:rsidRDefault="0096696E" w:rsidP="001A5BF9">
      <w:pPr>
        <w:pStyle w:val="NormalWeb"/>
        <w:spacing w:before="0" w:beforeAutospacing="0" w:after="0" w:afterAutospacing="0"/>
        <w:jc w:val="center"/>
      </w:pPr>
    </w:p>
    <w:tbl>
      <w:tblPr>
        <w:tblW w:w="0" w:type="auto"/>
        <w:tblInd w:w="103" w:type="dxa"/>
        <w:tblLayout w:type="fixed"/>
        <w:tblLook w:val="04A0" w:firstRow="1" w:lastRow="0" w:firstColumn="1" w:lastColumn="0" w:noHBand="0" w:noVBand="1"/>
      </w:tblPr>
      <w:tblGrid>
        <w:gridCol w:w="501"/>
        <w:gridCol w:w="4466"/>
        <w:gridCol w:w="1464"/>
        <w:gridCol w:w="1465"/>
        <w:gridCol w:w="1465"/>
      </w:tblGrid>
      <w:tr w:rsidR="0096696E" w:rsidRPr="00332224" w:rsidTr="00BB3F3E">
        <w:tc>
          <w:tcPr>
            <w:tcW w:w="4967"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332224" w:rsidRDefault="0096696E" w:rsidP="001A5BF9">
            <w:pPr>
              <w:spacing w:before="120" w:after="120"/>
              <w:jc w:val="center"/>
              <w:rPr>
                <w:rFonts w:cs="Arial"/>
                <w:bCs/>
                <w:sz w:val="16"/>
                <w:szCs w:val="16"/>
              </w:rPr>
            </w:pPr>
            <w:r w:rsidRPr="00332224">
              <w:rPr>
                <w:sz w:val="16"/>
              </w:rPr>
              <w:t>Numéro et description du résultat escompté</w:t>
            </w:r>
          </w:p>
        </w:tc>
        <w:tc>
          <w:tcPr>
            <w:tcW w:w="1464" w:type="dxa"/>
            <w:tcBorders>
              <w:top w:val="single" w:sz="4" w:space="0" w:color="auto"/>
              <w:left w:val="nil"/>
              <w:bottom w:val="single" w:sz="4" w:space="0" w:color="auto"/>
              <w:right w:val="single" w:sz="4" w:space="0" w:color="auto"/>
            </w:tcBorders>
            <w:shd w:val="clear" w:color="000000" w:fill="CCFFFF"/>
            <w:vAlign w:val="center"/>
          </w:tcPr>
          <w:p w:rsidR="0096696E" w:rsidRPr="00332224" w:rsidRDefault="0096696E" w:rsidP="001A5BF9">
            <w:pPr>
              <w:spacing w:before="120" w:after="120"/>
              <w:jc w:val="center"/>
              <w:rPr>
                <w:rFonts w:cs="Arial"/>
                <w:bCs/>
                <w:sz w:val="16"/>
                <w:szCs w:val="16"/>
              </w:rPr>
            </w:pPr>
            <w:r w:rsidRPr="00332224">
              <w:rPr>
                <w:sz w:val="16"/>
              </w:rPr>
              <w:t>Budget</w:t>
            </w:r>
            <w:r w:rsidRPr="00332224">
              <w:br/>
            </w:r>
            <w:r w:rsidRPr="00332224">
              <w:rPr>
                <w:sz w:val="16"/>
              </w:rPr>
              <w:t>2012–2013 approuvé</w:t>
            </w:r>
          </w:p>
        </w:tc>
        <w:tc>
          <w:tcPr>
            <w:tcW w:w="1465" w:type="dxa"/>
            <w:tcBorders>
              <w:top w:val="single" w:sz="4" w:space="0" w:color="auto"/>
              <w:left w:val="nil"/>
              <w:bottom w:val="single" w:sz="4" w:space="0" w:color="auto"/>
              <w:right w:val="single" w:sz="4" w:space="0" w:color="auto"/>
            </w:tcBorders>
            <w:shd w:val="clear" w:color="000000" w:fill="CCFFFF"/>
            <w:vAlign w:val="center"/>
          </w:tcPr>
          <w:p w:rsidR="0096696E" w:rsidRPr="00332224" w:rsidRDefault="0096696E" w:rsidP="001A5BF9">
            <w:pPr>
              <w:spacing w:before="120" w:after="120"/>
              <w:jc w:val="center"/>
              <w:rPr>
                <w:rFonts w:cs="Arial"/>
                <w:bCs/>
                <w:sz w:val="16"/>
                <w:szCs w:val="16"/>
              </w:rPr>
            </w:pPr>
            <w:r w:rsidRPr="00332224">
              <w:rPr>
                <w:sz w:val="16"/>
              </w:rPr>
              <w:t>Budget</w:t>
            </w:r>
            <w:r w:rsidRPr="00332224">
              <w:br/>
            </w:r>
            <w:r w:rsidRPr="00332224">
              <w:rPr>
                <w:sz w:val="16"/>
              </w:rPr>
              <w:t>2012</w:t>
            </w:r>
            <w:r w:rsidR="002D6F2A" w:rsidRPr="00332224">
              <w:rPr>
                <w:sz w:val="16"/>
              </w:rPr>
              <w:noBreakHyphen/>
            </w:r>
            <w:r w:rsidRPr="00332224">
              <w:rPr>
                <w:sz w:val="16"/>
              </w:rPr>
              <w:t>2013 après virements</w:t>
            </w:r>
          </w:p>
        </w:tc>
        <w:tc>
          <w:tcPr>
            <w:tcW w:w="1465" w:type="dxa"/>
            <w:tcBorders>
              <w:top w:val="single" w:sz="4" w:space="0" w:color="auto"/>
              <w:left w:val="nil"/>
              <w:bottom w:val="single" w:sz="4" w:space="0" w:color="auto"/>
              <w:right w:val="single" w:sz="4" w:space="0" w:color="auto"/>
            </w:tcBorders>
            <w:shd w:val="clear" w:color="000000" w:fill="CCFFFF"/>
            <w:vAlign w:val="center"/>
          </w:tcPr>
          <w:p w:rsidR="0096696E" w:rsidRPr="00332224" w:rsidRDefault="0096696E" w:rsidP="001A5BF9">
            <w:pPr>
              <w:spacing w:before="120" w:after="120"/>
              <w:jc w:val="center"/>
              <w:rPr>
                <w:rFonts w:cs="Arial"/>
                <w:bCs/>
                <w:sz w:val="16"/>
                <w:szCs w:val="16"/>
              </w:rPr>
            </w:pPr>
            <w:r w:rsidRPr="00332224">
              <w:rPr>
                <w:sz w:val="16"/>
              </w:rPr>
              <w:t>Dépenses</w:t>
            </w:r>
            <w:r w:rsidRPr="00332224">
              <w:br/>
            </w:r>
            <w:r w:rsidRPr="00332224">
              <w:rPr>
                <w:sz w:val="16"/>
              </w:rPr>
              <w:t>2012</w:t>
            </w:r>
            <w:r w:rsidR="002D6F2A" w:rsidRPr="00332224">
              <w:rPr>
                <w:sz w:val="16"/>
              </w:rPr>
              <w:noBreakHyphen/>
            </w:r>
            <w:r w:rsidRPr="00332224">
              <w:rPr>
                <w:sz w:val="16"/>
              </w:rPr>
              <w:t>2013</w:t>
            </w:r>
          </w:p>
        </w:tc>
      </w:tr>
      <w:tr w:rsidR="0096696E" w:rsidRPr="00332224" w:rsidTr="00BB3F3E">
        <w:tc>
          <w:tcPr>
            <w:tcW w:w="501" w:type="dxa"/>
            <w:tcBorders>
              <w:top w:val="nil"/>
              <w:left w:val="single" w:sz="4" w:space="0" w:color="auto"/>
              <w:bottom w:val="nil"/>
              <w:right w:val="nil"/>
            </w:tcBorders>
            <w:shd w:val="clear" w:color="000000" w:fill="FFFFFF"/>
            <w:noWrap/>
          </w:tcPr>
          <w:p w:rsidR="0096696E" w:rsidRPr="00332224" w:rsidRDefault="0096696E" w:rsidP="001A5BF9">
            <w:pPr>
              <w:spacing w:before="80"/>
              <w:jc w:val="center"/>
              <w:rPr>
                <w:rFonts w:cs="Arial"/>
                <w:sz w:val="16"/>
                <w:szCs w:val="16"/>
              </w:rPr>
            </w:pPr>
            <w:proofErr w:type="spellStart"/>
            <w:r w:rsidRPr="00332224">
              <w:rPr>
                <w:sz w:val="16"/>
              </w:rPr>
              <w:t>I.4</w:t>
            </w:r>
            <w:proofErr w:type="spellEnd"/>
          </w:p>
        </w:tc>
        <w:tc>
          <w:tcPr>
            <w:tcW w:w="4466" w:type="dxa"/>
            <w:tcBorders>
              <w:top w:val="nil"/>
              <w:left w:val="nil"/>
              <w:bottom w:val="nil"/>
              <w:right w:val="nil"/>
            </w:tcBorders>
            <w:shd w:val="clear" w:color="000000" w:fill="FFFFFF"/>
          </w:tcPr>
          <w:p w:rsidR="0096696E" w:rsidRPr="00332224" w:rsidRDefault="0096696E" w:rsidP="001A5BF9">
            <w:pPr>
              <w:spacing w:before="80"/>
              <w:rPr>
                <w:rFonts w:cs="Arial"/>
                <w:sz w:val="16"/>
                <w:szCs w:val="16"/>
              </w:rPr>
            </w:pPr>
            <w:r w:rsidRPr="00332224">
              <w:rPr>
                <w:sz w:val="16"/>
              </w:rPr>
              <w:t>Cadres législatifs, réglementaires et politiques de propriété intellectuelle adaptés et équilibrés</w:t>
            </w:r>
          </w:p>
        </w:tc>
        <w:tc>
          <w:tcPr>
            <w:tcW w:w="1464" w:type="dxa"/>
            <w:tcBorders>
              <w:top w:val="nil"/>
              <w:left w:val="nil"/>
              <w:bottom w:val="nil"/>
              <w:right w:val="nil"/>
            </w:tcBorders>
            <w:shd w:val="clear" w:color="000000" w:fill="FFFFFF"/>
            <w:vAlign w:val="center"/>
          </w:tcPr>
          <w:p w:rsidR="0096696E" w:rsidRPr="00332224" w:rsidRDefault="0096696E" w:rsidP="001A5BF9">
            <w:pPr>
              <w:spacing w:before="80"/>
              <w:jc w:val="right"/>
              <w:rPr>
                <w:rFonts w:cs="Arial"/>
                <w:sz w:val="16"/>
                <w:szCs w:val="16"/>
              </w:rPr>
            </w:pPr>
            <w:r w:rsidRPr="00332224">
              <w:rPr>
                <w:sz w:val="16"/>
              </w:rPr>
              <w:t xml:space="preserve">1 249 </w:t>
            </w:r>
          </w:p>
        </w:tc>
        <w:tc>
          <w:tcPr>
            <w:tcW w:w="1465" w:type="dxa"/>
            <w:tcBorders>
              <w:top w:val="nil"/>
              <w:left w:val="nil"/>
              <w:bottom w:val="nil"/>
              <w:right w:val="nil"/>
            </w:tcBorders>
            <w:shd w:val="clear" w:color="000000" w:fill="FFFFFF"/>
            <w:vAlign w:val="center"/>
          </w:tcPr>
          <w:p w:rsidR="0096696E" w:rsidRPr="00332224" w:rsidRDefault="0096696E" w:rsidP="001A5BF9">
            <w:pPr>
              <w:spacing w:before="80"/>
              <w:jc w:val="right"/>
              <w:rPr>
                <w:rFonts w:cs="Arial"/>
                <w:sz w:val="16"/>
                <w:szCs w:val="16"/>
              </w:rPr>
            </w:pPr>
            <w:r w:rsidRPr="00332224">
              <w:rPr>
                <w:sz w:val="16"/>
              </w:rPr>
              <w:t>1 362</w:t>
            </w:r>
          </w:p>
        </w:tc>
        <w:tc>
          <w:tcPr>
            <w:tcW w:w="1465" w:type="dxa"/>
            <w:tcBorders>
              <w:top w:val="nil"/>
              <w:left w:val="nil"/>
              <w:bottom w:val="nil"/>
              <w:right w:val="single" w:sz="4" w:space="0" w:color="auto"/>
            </w:tcBorders>
            <w:shd w:val="clear" w:color="000000" w:fill="FFFFFF"/>
            <w:vAlign w:val="center"/>
          </w:tcPr>
          <w:p w:rsidR="0096696E" w:rsidRPr="00332224" w:rsidRDefault="0096696E" w:rsidP="001A5BF9">
            <w:pPr>
              <w:spacing w:before="80"/>
              <w:jc w:val="right"/>
              <w:rPr>
                <w:rFonts w:cs="Arial"/>
                <w:sz w:val="16"/>
                <w:szCs w:val="16"/>
              </w:rPr>
            </w:pPr>
            <w:r w:rsidRPr="00332224">
              <w:rPr>
                <w:sz w:val="16"/>
              </w:rPr>
              <w:t xml:space="preserve">1 131 </w:t>
            </w:r>
          </w:p>
        </w:tc>
      </w:tr>
      <w:tr w:rsidR="0096696E" w:rsidRPr="00332224" w:rsidTr="00BB3F3E">
        <w:tc>
          <w:tcPr>
            <w:tcW w:w="501" w:type="dxa"/>
            <w:tcBorders>
              <w:top w:val="nil"/>
              <w:left w:val="single" w:sz="4" w:space="0" w:color="auto"/>
              <w:bottom w:val="nil"/>
              <w:right w:val="nil"/>
            </w:tcBorders>
            <w:shd w:val="clear" w:color="000000" w:fill="FFFFFF"/>
            <w:noWrap/>
          </w:tcPr>
          <w:p w:rsidR="0096696E" w:rsidRPr="00332224" w:rsidRDefault="0096696E" w:rsidP="001A5BF9">
            <w:pPr>
              <w:spacing w:before="80"/>
              <w:jc w:val="center"/>
              <w:rPr>
                <w:rFonts w:cs="Arial"/>
                <w:sz w:val="16"/>
                <w:szCs w:val="16"/>
              </w:rPr>
            </w:pPr>
            <w:proofErr w:type="spellStart"/>
            <w:r w:rsidRPr="00332224">
              <w:rPr>
                <w:sz w:val="16"/>
              </w:rPr>
              <w:t>III.1</w:t>
            </w:r>
            <w:proofErr w:type="spellEnd"/>
          </w:p>
        </w:tc>
        <w:tc>
          <w:tcPr>
            <w:tcW w:w="4466" w:type="dxa"/>
            <w:tcBorders>
              <w:top w:val="nil"/>
              <w:left w:val="nil"/>
              <w:bottom w:val="nil"/>
              <w:right w:val="nil"/>
            </w:tcBorders>
            <w:shd w:val="clear" w:color="000000" w:fill="FFFFFF"/>
          </w:tcPr>
          <w:p w:rsidR="0096696E" w:rsidRPr="00332224" w:rsidRDefault="0096696E" w:rsidP="001A5BF9">
            <w:pPr>
              <w:spacing w:before="80"/>
              <w:rPr>
                <w:rFonts w:cs="Arial"/>
                <w:sz w:val="16"/>
                <w:szCs w:val="16"/>
              </w:rPr>
            </w:pPr>
            <w:r w:rsidRPr="00332224">
              <w:rPr>
                <w:sz w:val="16"/>
              </w:rPr>
              <w:t>Politiques, stratégies et plans de développement nationaux clairement définis et cohérents en matière d</w:t>
            </w:r>
            <w:r w:rsidR="00A20444" w:rsidRPr="00332224">
              <w:rPr>
                <w:sz w:val="16"/>
              </w:rPr>
              <w:t>’</w:t>
            </w:r>
            <w:r w:rsidRPr="00332224">
              <w:rPr>
                <w:sz w:val="16"/>
              </w:rPr>
              <w:t>innovation et de propriété intellectuelle, conformes aux objectifs et aux priorités de développement à l</w:t>
            </w:r>
            <w:r w:rsidR="00A20444" w:rsidRPr="00332224">
              <w:rPr>
                <w:sz w:val="16"/>
              </w:rPr>
              <w:t>’</w:t>
            </w:r>
            <w:r w:rsidRPr="00332224">
              <w:rPr>
                <w:sz w:val="16"/>
              </w:rPr>
              <w:t>échelle nationale</w:t>
            </w:r>
          </w:p>
        </w:tc>
        <w:tc>
          <w:tcPr>
            <w:tcW w:w="1464" w:type="dxa"/>
            <w:tcBorders>
              <w:top w:val="nil"/>
              <w:left w:val="nil"/>
              <w:bottom w:val="nil"/>
              <w:right w:val="nil"/>
            </w:tcBorders>
            <w:shd w:val="clear" w:color="000000" w:fill="FFFFFF"/>
            <w:vAlign w:val="center"/>
          </w:tcPr>
          <w:p w:rsidR="0096696E" w:rsidRPr="00332224" w:rsidRDefault="0096696E" w:rsidP="001A5BF9">
            <w:pPr>
              <w:spacing w:before="80"/>
              <w:jc w:val="right"/>
              <w:rPr>
                <w:rFonts w:cs="Arial"/>
                <w:sz w:val="16"/>
                <w:szCs w:val="16"/>
              </w:rPr>
            </w:pPr>
            <w:r w:rsidRPr="00332224">
              <w:rPr>
                <w:sz w:val="16"/>
              </w:rPr>
              <w:t xml:space="preserve">2 207 </w:t>
            </w:r>
          </w:p>
        </w:tc>
        <w:tc>
          <w:tcPr>
            <w:tcW w:w="1465" w:type="dxa"/>
            <w:tcBorders>
              <w:top w:val="nil"/>
              <w:left w:val="nil"/>
              <w:bottom w:val="nil"/>
              <w:right w:val="nil"/>
            </w:tcBorders>
            <w:shd w:val="clear" w:color="000000" w:fill="FFFFFF"/>
            <w:vAlign w:val="center"/>
          </w:tcPr>
          <w:p w:rsidR="0096696E" w:rsidRPr="00332224" w:rsidRDefault="0096696E" w:rsidP="001A5BF9">
            <w:pPr>
              <w:spacing w:before="80"/>
              <w:jc w:val="right"/>
              <w:rPr>
                <w:rFonts w:cs="Arial"/>
                <w:sz w:val="16"/>
                <w:szCs w:val="16"/>
              </w:rPr>
            </w:pPr>
            <w:r w:rsidRPr="00332224">
              <w:rPr>
                <w:sz w:val="16"/>
              </w:rPr>
              <w:t xml:space="preserve">1 908 </w:t>
            </w:r>
          </w:p>
        </w:tc>
        <w:tc>
          <w:tcPr>
            <w:tcW w:w="1465" w:type="dxa"/>
            <w:tcBorders>
              <w:top w:val="nil"/>
              <w:left w:val="nil"/>
              <w:bottom w:val="nil"/>
              <w:right w:val="single" w:sz="4" w:space="0" w:color="auto"/>
            </w:tcBorders>
            <w:shd w:val="clear" w:color="000000" w:fill="FFFFFF"/>
            <w:vAlign w:val="center"/>
          </w:tcPr>
          <w:p w:rsidR="0096696E" w:rsidRPr="00332224" w:rsidRDefault="0096696E" w:rsidP="001A5BF9">
            <w:pPr>
              <w:spacing w:before="80"/>
              <w:jc w:val="right"/>
              <w:rPr>
                <w:rFonts w:cs="Arial"/>
                <w:sz w:val="16"/>
                <w:szCs w:val="16"/>
              </w:rPr>
            </w:pPr>
            <w:r w:rsidRPr="00332224">
              <w:rPr>
                <w:sz w:val="16"/>
              </w:rPr>
              <w:t xml:space="preserve">1 887 </w:t>
            </w:r>
          </w:p>
        </w:tc>
      </w:tr>
      <w:tr w:rsidR="0096696E" w:rsidRPr="00332224" w:rsidTr="00BB3F3E">
        <w:tc>
          <w:tcPr>
            <w:tcW w:w="501" w:type="dxa"/>
            <w:tcBorders>
              <w:top w:val="nil"/>
              <w:left w:val="single" w:sz="4" w:space="0" w:color="auto"/>
              <w:bottom w:val="nil"/>
              <w:right w:val="nil"/>
            </w:tcBorders>
            <w:shd w:val="clear" w:color="000000" w:fill="FFFFFF"/>
            <w:noWrap/>
          </w:tcPr>
          <w:p w:rsidR="0096696E" w:rsidRPr="00332224" w:rsidRDefault="0096696E" w:rsidP="001A5BF9">
            <w:pPr>
              <w:spacing w:before="80"/>
              <w:jc w:val="center"/>
              <w:rPr>
                <w:rFonts w:cs="Arial"/>
                <w:sz w:val="16"/>
                <w:szCs w:val="16"/>
              </w:rPr>
            </w:pPr>
            <w:proofErr w:type="spellStart"/>
            <w:r w:rsidRPr="00332224">
              <w:rPr>
                <w:sz w:val="16"/>
              </w:rPr>
              <w:t>III.2</w:t>
            </w:r>
            <w:proofErr w:type="spellEnd"/>
          </w:p>
        </w:tc>
        <w:tc>
          <w:tcPr>
            <w:tcW w:w="4466" w:type="dxa"/>
            <w:tcBorders>
              <w:top w:val="nil"/>
              <w:left w:val="nil"/>
              <w:bottom w:val="nil"/>
              <w:right w:val="nil"/>
            </w:tcBorders>
            <w:shd w:val="clear" w:color="000000" w:fill="FFFFFF"/>
          </w:tcPr>
          <w:p w:rsidR="0096696E" w:rsidRPr="00332224" w:rsidRDefault="0096696E" w:rsidP="001A5BF9">
            <w:pPr>
              <w:spacing w:before="80"/>
              <w:rPr>
                <w:rFonts w:cs="Arial"/>
                <w:sz w:val="16"/>
                <w:szCs w:val="16"/>
              </w:rPr>
            </w:pPr>
            <w:r w:rsidRPr="00332224">
              <w:rPr>
                <w:sz w:val="16"/>
              </w:rPr>
              <w:t>Renforcement des capacités en matière de ressources humaines pour pouvoir répondre aux nombreuses exigences en ce qui concerne l</w:t>
            </w:r>
            <w:r w:rsidR="00A20444" w:rsidRPr="00332224">
              <w:rPr>
                <w:sz w:val="16"/>
              </w:rPr>
              <w:t>’</w:t>
            </w:r>
            <w:r w:rsidRPr="00332224">
              <w:rPr>
                <w:sz w:val="16"/>
              </w:rPr>
              <w:t>utilisation efficace de la propriété intellectuelle au service du développement dans les pays en développement,</w:t>
            </w:r>
            <w:r w:rsidR="00A20444" w:rsidRPr="00332224">
              <w:rPr>
                <w:sz w:val="16"/>
              </w:rPr>
              <w:t xml:space="preserve"> les PMA</w:t>
            </w:r>
            <w:r w:rsidRPr="00332224">
              <w:rPr>
                <w:sz w:val="16"/>
              </w:rPr>
              <w:t xml:space="preserve"> et les pays en transition</w:t>
            </w:r>
          </w:p>
        </w:tc>
        <w:tc>
          <w:tcPr>
            <w:tcW w:w="1464" w:type="dxa"/>
            <w:tcBorders>
              <w:top w:val="nil"/>
              <w:left w:val="nil"/>
              <w:bottom w:val="nil"/>
              <w:right w:val="nil"/>
            </w:tcBorders>
            <w:shd w:val="clear" w:color="000000" w:fill="FFFFFF"/>
            <w:vAlign w:val="center"/>
          </w:tcPr>
          <w:p w:rsidR="0096696E" w:rsidRPr="00332224" w:rsidRDefault="0096696E" w:rsidP="001A5BF9">
            <w:pPr>
              <w:spacing w:before="80"/>
              <w:jc w:val="right"/>
              <w:rPr>
                <w:rFonts w:cs="Arial"/>
                <w:sz w:val="16"/>
                <w:szCs w:val="16"/>
              </w:rPr>
            </w:pPr>
            <w:r w:rsidRPr="00332224">
              <w:rPr>
                <w:sz w:val="16"/>
              </w:rPr>
              <w:t xml:space="preserve">1 461 </w:t>
            </w:r>
          </w:p>
        </w:tc>
        <w:tc>
          <w:tcPr>
            <w:tcW w:w="1465" w:type="dxa"/>
            <w:tcBorders>
              <w:top w:val="nil"/>
              <w:left w:val="nil"/>
              <w:bottom w:val="nil"/>
              <w:right w:val="nil"/>
            </w:tcBorders>
            <w:shd w:val="clear" w:color="000000" w:fill="FFFFFF"/>
            <w:vAlign w:val="center"/>
          </w:tcPr>
          <w:p w:rsidR="0096696E" w:rsidRPr="00332224" w:rsidRDefault="0096696E" w:rsidP="001A5BF9">
            <w:pPr>
              <w:spacing w:before="80"/>
              <w:jc w:val="right"/>
              <w:rPr>
                <w:rFonts w:cs="Arial"/>
                <w:sz w:val="16"/>
                <w:szCs w:val="16"/>
              </w:rPr>
            </w:pPr>
            <w:r w:rsidRPr="00332224">
              <w:rPr>
                <w:sz w:val="16"/>
              </w:rPr>
              <w:t xml:space="preserve">2 176 </w:t>
            </w:r>
          </w:p>
        </w:tc>
        <w:tc>
          <w:tcPr>
            <w:tcW w:w="1465" w:type="dxa"/>
            <w:tcBorders>
              <w:top w:val="nil"/>
              <w:left w:val="nil"/>
              <w:bottom w:val="nil"/>
              <w:right w:val="single" w:sz="4" w:space="0" w:color="auto"/>
            </w:tcBorders>
            <w:shd w:val="clear" w:color="000000" w:fill="FFFFFF"/>
            <w:vAlign w:val="center"/>
          </w:tcPr>
          <w:p w:rsidR="0096696E" w:rsidRPr="00332224" w:rsidRDefault="0096696E" w:rsidP="001A5BF9">
            <w:pPr>
              <w:spacing w:before="80"/>
              <w:jc w:val="right"/>
              <w:rPr>
                <w:rFonts w:cs="Arial"/>
                <w:sz w:val="16"/>
                <w:szCs w:val="16"/>
              </w:rPr>
            </w:pPr>
            <w:r w:rsidRPr="00332224">
              <w:rPr>
                <w:sz w:val="16"/>
              </w:rPr>
              <w:t xml:space="preserve">2 121 </w:t>
            </w:r>
          </w:p>
        </w:tc>
      </w:tr>
      <w:tr w:rsidR="0096696E" w:rsidRPr="00332224" w:rsidTr="00BB3F3E">
        <w:tc>
          <w:tcPr>
            <w:tcW w:w="501" w:type="dxa"/>
            <w:tcBorders>
              <w:top w:val="nil"/>
              <w:left w:val="single" w:sz="4" w:space="0" w:color="auto"/>
              <w:bottom w:val="single" w:sz="4" w:space="0" w:color="auto"/>
              <w:right w:val="nil"/>
            </w:tcBorders>
            <w:shd w:val="clear" w:color="000000" w:fill="FFFFFF"/>
            <w:noWrap/>
          </w:tcPr>
          <w:p w:rsidR="0096696E" w:rsidRPr="00332224" w:rsidRDefault="0096696E" w:rsidP="001A5BF9">
            <w:pPr>
              <w:spacing w:before="80" w:after="120"/>
              <w:jc w:val="center"/>
              <w:rPr>
                <w:rFonts w:cs="Arial"/>
                <w:sz w:val="16"/>
                <w:szCs w:val="16"/>
              </w:rPr>
            </w:pPr>
            <w:proofErr w:type="spellStart"/>
            <w:r w:rsidRPr="00332224">
              <w:rPr>
                <w:sz w:val="16"/>
              </w:rPr>
              <w:t>IV.5</w:t>
            </w:r>
            <w:proofErr w:type="spellEnd"/>
          </w:p>
        </w:tc>
        <w:tc>
          <w:tcPr>
            <w:tcW w:w="4466" w:type="dxa"/>
            <w:tcBorders>
              <w:top w:val="nil"/>
              <w:left w:val="nil"/>
              <w:bottom w:val="single" w:sz="4" w:space="0" w:color="auto"/>
              <w:right w:val="nil"/>
            </w:tcBorders>
            <w:shd w:val="clear" w:color="000000" w:fill="FFFFFF"/>
          </w:tcPr>
          <w:p w:rsidR="0096696E" w:rsidRPr="00332224" w:rsidRDefault="0096696E" w:rsidP="001A5BF9">
            <w:pPr>
              <w:spacing w:before="80" w:after="120"/>
              <w:rPr>
                <w:rFonts w:cs="Arial"/>
                <w:sz w:val="16"/>
                <w:szCs w:val="16"/>
              </w:rPr>
            </w:pPr>
            <w:r w:rsidRPr="00332224">
              <w:rPr>
                <w:sz w:val="16"/>
              </w:rPr>
              <w:t>Amélioration de l</w:t>
            </w:r>
            <w:r w:rsidR="00A20444" w:rsidRPr="00332224">
              <w:rPr>
                <w:sz w:val="16"/>
              </w:rPr>
              <w:t>’</w:t>
            </w:r>
            <w:r w:rsidRPr="00332224">
              <w:rPr>
                <w:sz w:val="16"/>
              </w:rPr>
              <w:t>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c>
          <w:tcPr>
            <w:tcW w:w="1464" w:type="dxa"/>
            <w:tcBorders>
              <w:top w:val="nil"/>
              <w:left w:val="nil"/>
              <w:bottom w:val="single" w:sz="4" w:space="0" w:color="auto"/>
              <w:right w:val="nil"/>
            </w:tcBorders>
            <w:shd w:val="clear" w:color="000000" w:fill="FFFFFF"/>
            <w:vAlign w:val="center"/>
          </w:tcPr>
          <w:p w:rsidR="0096696E" w:rsidRPr="00332224" w:rsidRDefault="0096696E" w:rsidP="001A5BF9">
            <w:pPr>
              <w:spacing w:before="80" w:after="120"/>
              <w:jc w:val="right"/>
              <w:rPr>
                <w:rFonts w:cs="Arial"/>
                <w:sz w:val="16"/>
                <w:szCs w:val="16"/>
              </w:rPr>
            </w:pPr>
            <w:r w:rsidRPr="00332224">
              <w:rPr>
                <w:sz w:val="16"/>
              </w:rPr>
              <w:t xml:space="preserve">1 522 </w:t>
            </w:r>
          </w:p>
        </w:tc>
        <w:tc>
          <w:tcPr>
            <w:tcW w:w="1465" w:type="dxa"/>
            <w:tcBorders>
              <w:top w:val="nil"/>
              <w:left w:val="nil"/>
              <w:bottom w:val="single" w:sz="4" w:space="0" w:color="auto"/>
              <w:right w:val="nil"/>
            </w:tcBorders>
            <w:shd w:val="clear" w:color="000000" w:fill="FFFFFF"/>
            <w:vAlign w:val="center"/>
          </w:tcPr>
          <w:p w:rsidR="0096696E" w:rsidRPr="00332224" w:rsidRDefault="0096696E" w:rsidP="001A5BF9">
            <w:pPr>
              <w:spacing w:before="80" w:after="120"/>
              <w:jc w:val="right"/>
              <w:rPr>
                <w:rFonts w:cs="Arial"/>
                <w:sz w:val="16"/>
                <w:szCs w:val="16"/>
              </w:rPr>
            </w:pPr>
            <w:r w:rsidRPr="00332224">
              <w:rPr>
                <w:sz w:val="16"/>
              </w:rPr>
              <w:t>1 087</w:t>
            </w:r>
          </w:p>
        </w:tc>
        <w:tc>
          <w:tcPr>
            <w:tcW w:w="1465" w:type="dxa"/>
            <w:tcBorders>
              <w:top w:val="nil"/>
              <w:left w:val="nil"/>
              <w:bottom w:val="single" w:sz="4" w:space="0" w:color="auto"/>
              <w:right w:val="single" w:sz="4" w:space="0" w:color="auto"/>
            </w:tcBorders>
            <w:shd w:val="clear" w:color="000000" w:fill="FFFFFF"/>
            <w:vAlign w:val="center"/>
          </w:tcPr>
          <w:p w:rsidR="0096696E" w:rsidRPr="00332224" w:rsidRDefault="0096696E" w:rsidP="001A5BF9">
            <w:pPr>
              <w:spacing w:before="80" w:after="120"/>
              <w:jc w:val="right"/>
              <w:rPr>
                <w:rFonts w:cs="Arial"/>
                <w:sz w:val="16"/>
                <w:szCs w:val="16"/>
              </w:rPr>
            </w:pPr>
            <w:r w:rsidRPr="00332224">
              <w:rPr>
                <w:sz w:val="16"/>
              </w:rPr>
              <w:t>1 041</w:t>
            </w:r>
          </w:p>
        </w:tc>
      </w:tr>
      <w:tr w:rsidR="0096696E" w:rsidRPr="00332224" w:rsidTr="00BB3F3E">
        <w:tc>
          <w:tcPr>
            <w:tcW w:w="501" w:type="dxa"/>
            <w:tcBorders>
              <w:top w:val="nil"/>
              <w:left w:val="single" w:sz="4" w:space="0" w:color="auto"/>
              <w:bottom w:val="single" w:sz="4" w:space="0" w:color="auto"/>
              <w:right w:val="nil"/>
            </w:tcBorders>
            <w:shd w:val="clear" w:color="000000" w:fill="CCFFFF"/>
            <w:noWrap/>
            <w:vAlign w:val="bottom"/>
          </w:tcPr>
          <w:p w:rsidR="0096696E" w:rsidRPr="00332224" w:rsidRDefault="0096696E" w:rsidP="001A5BF9">
            <w:pPr>
              <w:spacing w:before="120" w:after="120"/>
              <w:jc w:val="center"/>
              <w:rPr>
                <w:rFonts w:cs="Arial"/>
                <w:b/>
                <w:bCs/>
                <w:sz w:val="16"/>
                <w:szCs w:val="16"/>
              </w:rPr>
            </w:pPr>
            <w:r w:rsidRPr="00332224">
              <w:rPr>
                <w:b/>
                <w:sz w:val="16"/>
              </w:rPr>
              <w:t> </w:t>
            </w:r>
          </w:p>
        </w:tc>
        <w:tc>
          <w:tcPr>
            <w:tcW w:w="4466" w:type="dxa"/>
            <w:tcBorders>
              <w:top w:val="nil"/>
              <w:left w:val="nil"/>
              <w:bottom w:val="single" w:sz="4" w:space="0" w:color="auto"/>
              <w:right w:val="nil"/>
            </w:tcBorders>
            <w:shd w:val="clear" w:color="000000" w:fill="CCFFFF"/>
            <w:noWrap/>
            <w:vAlign w:val="center"/>
          </w:tcPr>
          <w:p w:rsidR="0096696E" w:rsidRPr="00332224" w:rsidRDefault="0096696E" w:rsidP="001A5BF9">
            <w:pPr>
              <w:spacing w:before="120" w:after="120"/>
              <w:rPr>
                <w:rFonts w:cs="Arial"/>
                <w:b/>
                <w:bCs/>
                <w:sz w:val="16"/>
                <w:szCs w:val="16"/>
              </w:rPr>
            </w:pPr>
            <w:r w:rsidRPr="00332224">
              <w:rPr>
                <w:b/>
                <w:sz w:val="16"/>
              </w:rPr>
              <w:t>Total</w:t>
            </w:r>
          </w:p>
        </w:tc>
        <w:tc>
          <w:tcPr>
            <w:tcW w:w="1464" w:type="dxa"/>
            <w:tcBorders>
              <w:top w:val="nil"/>
              <w:left w:val="nil"/>
              <w:bottom w:val="single" w:sz="4" w:space="0" w:color="auto"/>
              <w:right w:val="nil"/>
            </w:tcBorders>
            <w:shd w:val="clear" w:color="000000" w:fill="CCFFFF"/>
            <w:vAlign w:val="center"/>
          </w:tcPr>
          <w:p w:rsidR="0096696E" w:rsidRPr="00332224" w:rsidRDefault="0096696E" w:rsidP="001A5BF9">
            <w:pPr>
              <w:spacing w:before="120" w:after="120"/>
              <w:jc w:val="right"/>
              <w:rPr>
                <w:rFonts w:cs="Arial"/>
                <w:b/>
                <w:bCs/>
                <w:sz w:val="16"/>
                <w:szCs w:val="16"/>
              </w:rPr>
            </w:pPr>
            <w:r w:rsidRPr="00332224">
              <w:rPr>
                <w:b/>
                <w:sz w:val="16"/>
              </w:rPr>
              <w:t>6 439</w:t>
            </w:r>
          </w:p>
        </w:tc>
        <w:tc>
          <w:tcPr>
            <w:tcW w:w="1465" w:type="dxa"/>
            <w:tcBorders>
              <w:top w:val="nil"/>
              <w:left w:val="nil"/>
              <w:bottom w:val="single" w:sz="4" w:space="0" w:color="auto"/>
              <w:right w:val="nil"/>
            </w:tcBorders>
            <w:shd w:val="clear" w:color="000000" w:fill="CCFFFF"/>
            <w:noWrap/>
            <w:vAlign w:val="center"/>
          </w:tcPr>
          <w:p w:rsidR="0096696E" w:rsidRPr="00332224" w:rsidRDefault="0096696E" w:rsidP="001A5BF9">
            <w:pPr>
              <w:spacing w:before="120" w:after="120"/>
              <w:jc w:val="right"/>
              <w:rPr>
                <w:rFonts w:cs="Arial"/>
                <w:b/>
                <w:bCs/>
                <w:sz w:val="16"/>
                <w:szCs w:val="16"/>
              </w:rPr>
            </w:pPr>
            <w:r w:rsidRPr="00332224">
              <w:rPr>
                <w:b/>
                <w:sz w:val="16"/>
              </w:rPr>
              <w:t>6 532</w:t>
            </w:r>
          </w:p>
        </w:tc>
        <w:tc>
          <w:tcPr>
            <w:tcW w:w="1465" w:type="dxa"/>
            <w:tcBorders>
              <w:top w:val="nil"/>
              <w:left w:val="nil"/>
              <w:bottom w:val="single" w:sz="4" w:space="0" w:color="auto"/>
              <w:right w:val="single" w:sz="4" w:space="0" w:color="auto"/>
            </w:tcBorders>
            <w:shd w:val="clear" w:color="000000" w:fill="CCFFFF"/>
            <w:vAlign w:val="center"/>
          </w:tcPr>
          <w:p w:rsidR="0096696E" w:rsidRPr="00332224" w:rsidRDefault="0096696E" w:rsidP="001A5BF9">
            <w:pPr>
              <w:spacing w:before="120" w:after="120"/>
              <w:jc w:val="right"/>
              <w:rPr>
                <w:rFonts w:cs="Arial"/>
                <w:b/>
                <w:bCs/>
                <w:sz w:val="16"/>
                <w:szCs w:val="16"/>
              </w:rPr>
            </w:pPr>
            <w:r w:rsidRPr="00332224">
              <w:rPr>
                <w:b/>
                <w:sz w:val="16"/>
              </w:rPr>
              <w:t>6 181</w:t>
            </w:r>
          </w:p>
        </w:tc>
      </w:tr>
    </w:tbl>
    <w:p w:rsidR="00D42474" w:rsidRDefault="00D42474" w:rsidP="001A5BF9">
      <w:pPr>
        <w:keepNext/>
        <w:keepLines/>
        <w:rPr>
          <w:rFonts w:cs="Arial"/>
          <w:szCs w:val="22"/>
        </w:rPr>
      </w:pPr>
    </w:p>
    <w:p w:rsidR="00D42474" w:rsidRDefault="0096696E" w:rsidP="001A5BF9">
      <w:pPr>
        <w:pStyle w:val="NormalWeb"/>
        <w:spacing w:before="0" w:beforeAutospacing="0" w:after="0" w:afterAutospacing="0"/>
        <w:jc w:val="center"/>
        <w:rPr>
          <w:sz w:val="20"/>
        </w:rPr>
      </w:pPr>
      <w:r w:rsidRPr="00332224">
        <w:rPr>
          <w:sz w:val="20"/>
        </w:rPr>
        <w:t xml:space="preserve">Budget et dépenses effectives (dépenses de </w:t>
      </w:r>
      <w:proofErr w:type="gramStart"/>
      <w:r w:rsidRPr="00332224">
        <w:rPr>
          <w:sz w:val="20"/>
        </w:rPr>
        <w:t>personnel et autres dépenses</w:t>
      </w:r>
      <w:proofErr w:type="gramEnd"/>
      <w:r w:rsidRPr="00332224">
        <w:rPr>
          <w:sz w:val="20"/>
        </w:rPr>
        <w:t>)</w:t>
      </w:r>
    </w:p>
    <w:p w:rsidR="00D42474" w:rsidRDefault="0096696E" w:rsidP="001A5BF9">
      <w:pPr>
        <w:pStyle w:val="NormalWeb"/>
        <w:spacing w:before="0" w:beforeAutospacing="0" w:after="0" w:afterAutospacing="0"/>
        <w:jc w:val="center"/>
        <w:rPr>
          <w:i/>
          <w:iCs/>
          <w:sz w:val="20"/>
          <w:szCs w:val="20"/>
        </w:rPr>
      </w:pPr>
      <w:r w:rsidRPr="00332224">
        <w:rPr>
          <w:i/>
          <w:sz w:val="20"/>
        </w:rPr>
        <w:t>(</w:t>
      </w:r>
      <w:proofErr w:type="gramStart"/>
      <w:r w:rsidRPr="00332224">
        <w:rPr>
          <w:i/>
          <w:sz w:val="20"/>
        </w:rPr>
        <w:t>en</w:t>
      </w:r>
      <w:proofErr w:type="gramEnd"/>
      <w:r w:rsidRPr="00332224">
        <w:rPr>
          <w:i/>
          <w:sz w:val="20"/>
        </w:rPr>
        <w:t xml:space="preserve"> milliers de francs suisses)</w:t>
      </w:r>
    </w:p>
    <w:p w:rsidR="0096696E" w:rsidRPr="00332224" w:rsidRDefault="0096696E" w:rsidP="001A5BF9">
      <w:pPr>
        <w:pStyle w:val="NormalWeb"/>
        <w:spacing w:before="0" w:beforeAutospacing="0" w:after="0" w:afterAutospacing="0"/>
        <w:jc w:val="center"/>
        <w:rPr>
          <w:i/>
          <w:iCs/>
          <w:sz w:val="20"/>
          <w:szCs w:val="20"/>
        </w:rPr>
      </w:pPr>
    </w:p>
    <w:tbl>
      <w:tblPr>
        <w:tblW w:w="0" w:type="auto"/>
        <w:tblInd w:w="93" w:type="dxa"/>
        <w:tblLook w:val="04A0" w:firstRow="1" w:lastRow="0" w:firstColumn="1" w:lastColumn="0" w:noHBand="0" w:noVBand="1"/>
      </w:tblPr>
      <w:tblGrid>
        <w:gridCol w:w="2567"/>
        <w:gridCol w:w="1701"/>
        <w:gridCol w:w="1701"/>
        <w:gridCol w:w="1701"/>
        <w:gridCol w:w="1701"/>
      </w:tblGrid>
      <w:tr w:rsidR="0096696E" w:rsidRPr="00332224" w:rsidTr="00BB3F3E">
        <w:tc>
          <w:tcPr>
            <w:tcW w:w="2567"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96696E" w:rsidRPr="00332224" w:rsidRDefault="0096696E" w:rsidP="001A5BF9">
            <w:pPr>
              <w:spacing w:before="80" w:after="80"/>
              <w:rPr>
                <w:rFonts w:cs="Arial"/>
                <w:sz w:val="16"/>
                <w:szCs w:val="16"/>
              </w:rPr>
            </w:pPr>
            <w:r w:rsidRPr="00332224">
              <w:rPr>
                <w:sz w:val="16"/>
              </w:rPr>
              <w:t> </w:t>
            </w:r>
          </w:p>
        </w:tc>
        <w:tc>
          <w:tcPr>
            <w:tcW w:w="1701" w:type="dxa"/>
            <w:tcBorders>
              <w:top w:val="single" w:sz="4" w:space="0" w:color="auto"/>
              <w:left w:val="nil"/>
              <w:bottom w:val="nil"/>
              <w:right w:val="single" w:sz="4" w:space="0" w:color="auto"/>
            </w:tcBorders>
            <w:shd w:val="clear" w:color="000000" w:fill="CCFFFF"/>
            <w:vAlign w:val="center"/>
          </w:tcPr>
          <w:p w:rsidR="0096696E" w:rsidRPr="00332224" w:rsidRDefault="0096696E" w:rsidP="001A5BF9">
            <w:pPr>
              <w:spacing w:before="80" w:after="80"/>
              <w:jc w:val="center"/>
              <w:rPr>
                <w:rFonts w:cs="Arial"/>
                <w:bCs/>
                <w:sz w:val="16"/>
                <w:szCs w:val="16"/>
              </w:rPr>
            </w:pPr>
            <w:r w:rsidRPr="00332224">
              <w:rPr>
                <w:sz w:val="16"/>
              </w:rPr>
              <w:t>Budget</w:t>
            </w:r>
            <w:r w:rsidRPr="00332224">
              <w:br/>
            </w:r>
            <w:r w:rsidRPr="00332224">
              <w:rPr>
                <w:sz w:val="16"/>
              </w:rPr>
              <w:t>2012</w:t>
            </w:r>
            <w:r w:rsidR="002D6F2A" w:rsidRPr="00332224">
              <w:rPr>
                <w:sz w:val="16"/>
              </w:rPr>
              <w:noBreakHyphen/>
            </w:r>
            <w:r w:rsidRPr="00332224">
              <w:rPr>
                <w:sz w:val="16"/>
              </w:rPr>
              <w:t>2013</w:t>
            </w:r>
            <w:r w:rsidRPr="00332224">
              <w:br/>
            </w:r>
            <w:r w:rsidRPr="00332224">
              <w:rPr>
                <w:sz w:val="16"/>
              </w:rPr>
              <w:t>approuvé</w:t>
            </w:r>
          </w:p>
        </w:tc>
        <w:tc>
          <w:tcPr>
            <w:tcW w:w="1701" w:type="dxa"/>
            <w:tcBorders>
              <w:top w:val="single" w:sz="4" w:space="0" w:color="auto"/>
              <w:left w:val="nil"/>
              <w:bottom w:val="nil"/>
              <w:right w:val="single" w:sz="4" w:space="0" w:color="auto"/>
            </w:tcBorders>
            <w:shd w:val="clear" w:color="000000" w:fill="CCFFFF"/>
            <w:vAlign w:val="center"/>
          </w:tcPr>
          <w:p w:rsidR="0096696E" w:rsidRPr="00332224" w:rsidRDefault="0096696E" w:rsidP="001A5BF9">
            <w:pPr>
              <w:spacing w:before="80" w:after="80"/>
              <w:jc w:val="center"/>
              <w:rPr>
                <w:rFonts w:cs="Arial"/>
                <w:bCs/>
                <w:sz w:val="16"/>
                <w:szCs w:val="16"/>
              </w:rPr>
            </w:pPr>
            <w:r w:rsidRPr="00332224">
              <w:rPr>
                <w:sz w:val="16"/>
              </w:rPr>
              <w:t>Budget</w:t>
            </w:r>
            <w:r w:rsidRPr="00332224">
              <w:br/>
            </w:r>
            <w:r w:rsidRPr="00332224">
              <w:rPr>
                <w:sz w:val="16"/>
              </w:rPr>
              <w:t>2012</w:t>
            </w:r>
            <w:r w:rsidR="002D6F2A" w:rsidRPr="00332224">
              <w:rPr>
                <w:sz w:val="16"/>
              </w:rPr>
              <w:noBreakHyphen/>
            </w:r>
            <w:r w:rsidRPr="00332224">
              <w:rPr>
                <w:sz w:val="16"/>
              </w:rPr>
              <w:t>2013</w:t>
            </w:r>
            <w:r w:rsidRPr="00332224">
              <w:br/>
            </w:r>
            <w:r w:rsidRPr="00332224">
              <w:rPr>
                <w:sz w:val="16"/>
              </w:rPr>
              <w:t>après virements</w:t>
            </w:r>
          </w:p>
        </w:tc>
        <w:tc>
          <w:tcPr>
            <w:tcW w:w="1701" w:type="dxa"/>
            <w:tcBorders>
              <w:top w:val="single" w:sz="4" w:space="0" w:color="auto"/>
              <w:left w:val="nil"/>
              <w:bottom w:val="nil"/>
              <w:right w:val="single" w:sz="4" w:space="0" w:color="auto"/>
            </w:tcBorders>
            <w:shd w:val="clear" w:color="000000" w:fill="CCFFFF"/>
            <w:vAlign w:val="center"/>
          </w:tcPr>
          <w:p w:rsidR="0096696E" w:rsidRPr="00332224" w:rsidRDefault="0096696E" w:rsidP="001A5BF9">
            <w:pPr>
              <w:spacing w:before="80" w:after="80"/>
              <w:jc w:val="center"/>
              <w:rPr>
                <w:rFonts w:cs="Arial"/>
                <w:bCs/>
                <w:sz w:val="16"/>
                <w:szCs w:val="16"/>
              </w:rPr>
            </w:pPr>
            <w:r w:rsidRPr="00332224">
              <w:rPr>
                <w:sz w:val="16"/>
              </w:rPr>
              <w:t>Dépenses</w:t>
            </w:r>
            <w:r w:rsidRPr="00332224">
              <w:br/>
            </w:r>
            <w:r w:rsidRPr="00332224">
              <w:rPr>
                <w:sz w:val="16"/>
              </w:rPr>
              <w:t>2012</w:t>
            </w:r>
            <w:r w:rsidR="002D6F2A" w:rsidRPr="00332224">
              <w:rPr>
                <w:sz w:val="16"/>
              </w:rPr>
              <w:noBreakHyphen/>
            </w:r>
            <w:r w:rsidRPr="00332224">
              <w:rPr>
                <w:sz w:val="16"/>
              </w:rPr>
              <w:t>2013</w:t>
            </w:r>
          </w:p>
        </w:tc>
        <w:tc>
          <w:tcPr>
            <w:tcW w:w="1701" w:type="dxa"/>
            <w:tcBorders>
              <w:top w:val="single" w:sz="4" w:space="0" w:color="auto"/>
              <w:left w:val="nil"/>
              <w:bottom w:val="nil"/>
              <w:right w:val="single" w:sz="4" w:space="0" w:color="auto"/>
            </w:tcBorders>
            <w:shd w:val="clear" w:color="000000" w:fill="CCFFFF"/>
            <w:vAlign w:val="center"/>
          </w:tcPr>
          <w:p w:rsidR="0096696E" w:rsidRPr="00332224" w:rsidRDefault="0096696E" w:rsidP="001A5BF9">
            <w:pPr>
              <w:spacing w:before="80" w:after="80"/>
              <w:jc w:val="center"/>
              <w:rPr>
                <w:rFonts w:cs="Arial"/>
                <w:bCs/>
                <w:sz w:val="16"/>
                <w:szCs w:val="16"/>
              </w:rPr>
            </w:pPr>
            <w:r w:rsidRPr="00332224">
              <w:rPr>
                <w:sz w:val="16"/>
              </w:rPr>
              <w:t>Taux d</w:t>
            </w:r>
            <w:r w:rsidR="00A20444" w:rsidRPr="00332224">
              <w:rPr>
                <w:sz w:val="16"/>
              </w:rPr>
              <w:t>’</w:t>
            </w:r>
            <w:r w:rsidRPr="00332224">
              <w:rPr>
                <w:sz w:val="16"/>
              </w:rPr>
              <w:t xml:space="preserve">utilisation </w:t>
            </w:r>
            <w:r w:rsidR="00BD43F2" w:rsidRPr="00332224">
              <w:rPr>
                <w:sz w:val="16"/>
              </w:rPr>
              <w:t>(</w:t>
            </w:r>
            <w:r w:rsidR="007E442D" w:rsidRPr="00332224">
              <w:rPr>
                <w:sz w:val="16"/>
              </w:rPr>
              <w:t>%</w:t>
            </w:r>
            <w:r w:rsidRPr="00332224">
              <w:rPr>
                <w:sz w:val="16"/>
              </w:rPr>
              <w:t>)</w:t>
            </w:r>
          </w:p>
        </w:tc>
      </w:tr>
      <w:tr w:rsidR="0096696E" w:rsidRPr="00332224" w:rsidTr="00BB3F3E">
        <w:tc>
          <w:tcPr>
            <w:tcW w:w="2567" w:type="dxa"/>
            <w:tcBorders>
              <w:top w:val="nil"/>
              <w:left w:val="single" w:sz="4" w:space="0" w:color="auto"/>
              <w:bottom w:val="single" w:sz="4" w:space="0" w:color="auto"/>
              <w:right w:val="single" w:sz="4" w:space="0" w:color="auto"/>
            </w:tcBorders>
            <w:shd w:val="clear" w:color="auto" w:fill="auto"/>
            <w:noWrap/>
            <w:vAlign w:val="center"/>
          </w:tcPr>
          <w:p w:rsidR="0096696E" w:rsidRPr="00332224" w:rsidRDefault="0096696E" w:rsidP="001A5BF9">
            <w:pPr>
              <w:spacing w:before="80" w:after="80"/>
              <w:rPr>
                <w:rFonts w:cs="Arial"/>
                <w:sz w:val="16"/>
                <w:szCs w:val="16"/>
              </w:rPr>
            </w:pPr>
            <w:r w:rsidRPr="00332224">
              <w:rPr>
                <w:sz w:val="16"/>
              </w:rPr>
              <w:t>Dépenses de personnel</w:t>
            </w:r>
            <w:r w:rsidR="004F3E42" w:rsidRPr="00332224">
              <w:rPr>
                <w:sz w:val="16"/>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sz w:val="16"/>
                <w:szCs w:val="16"/>
              </w:rPr>
            </w:pPr>
            <w:r w:rsidRPr="00332224">
              <w:rPr>
                <w:sz w:val="16"/>
              </w:rPr>
              <w:t>4 283</w:t>
            </w:r>
          </w:p>
        </w:tc>
        <w:tc>
          <w:tcPr>
            <w:tcW w:w="1701" w:type="dxa"/>
            <w:tcBorders>
              <w:top w:val="single" w:sz="4" w:space="0" w:color="auto"/>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sz w:val="16"/>
                <w:szCs w:val="16"/>
              </w:rPr>
            </w:pPr>
            <w:r w:rsidRPr="00332224">
              <w:rPr>
                <w:sz w:val="16"/>
              </w:rPr>
              <w:t>4 594</w:t>
            </w:r>
          </w:p>
        </w:tc>
        <w:tc>
          <w:tcPr>
            <w:tcW w:w="1701" w:type="dxa"/>
            <w:tcBorders>
              <w:top w:val="single" w:sz="4" w:space="0" w:color="auto"/>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sz w:val="16"/>
                <w:szCs w:val="16"/>
              </w:rPr>
            </w:pPr>
            <w:r w:rsidRPr="00332224">
              <w:rPr>
                <w:sz w:val="16"/>
              </w:rPr>
              <w:t>4 594</w:t>
            </w:r>
          </w:p>
        </w:tc>
        <w:tc>
          <w:tcPr>
            <w:tcW w:w="1701" w:type="dxa"/>
            <w:tcBorders>
              <w:top w:val="single" w:sz="4" w:space="0" w:color="auto"/>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sz w:val="16"/>
                <w:szCs w:val="16"/>
              </w:rPr>
            </w:pPr>
            <w:r w:rsidRPr="00332224">
              <w:rPr>
                <w:sz w:val="16"/>
              </w:rPr>
              <w:t>100</w:t>
            </w:r>
            <w:r w:rsidR="007E442D" w:rsidRPr="00332224">
              <w:rPr>
                <w:sz w:val="16"/>
              </w:rPr>
              <w:t>%</w:t>
            </w:r>
          </w:p>
        </w:tc>
      </w:tr>
      <w:tr w:rsidR="0096696E" w:rsidRPr="00332224" w:rsidTr="00BB3F3E">
        <w:tc>
          <w:tcPr>
            <w:tcW w:w="2567" w:type="dxa"/>
            <w:tcBorders>
              <w:top w:val="nil"/>
              <w:left w:val="single" w:sz="4" w:space="0" w:color="auto"/>
              <w:bottom w:val="single" w:sz="4" w:space="0" w:color="auto"/>
              <w:right w:val="single" w:sz="4" w:space="0" w:color="auto"/>
            </w:tcBorders>
            <w:shd w:val="clear" w:color="auto" w:fill="auto"/>
            <w:noWrap/>
            <w:vAlign w:val="center"/>
          </w:tcPr>
          <w:p w:rsidR="0096696E" w:rsidRPr="00332224" w:rsidRDefault="0096696E" w:rsidP="001A5BF9">
            <w:pPr>
              <w:spacing w:before="80" w:after="80"/>
              <w:rPr>
                <w:rFonts w:cs="Arial"/>
                <w:sz w:val="16"/>
                <w:szCs w:val="16"/>
              </w:rPr>
            </w:pPr>
            <w:r w:rsidRPr="00332224">
              <w:rPr>
                <w:sz w:val="16"/>
              </w:rPr>
              <w:t xml:space="preserve">Autres dépenses </w:t>
            </w:r>
          </w:p>
        </w:tc>
        <w:tc>
          <w:tcPr>
            <w:tcW w:w="1701" w:type="dxa"/>
            <w:tcBorders>
              <w:top w:val="nil"/>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sz w:val="16"/>
                <w:szCs w:val="16"/>
              </w:rPr>
            </w:pPr>
            <w:r w:rsidRPr="00332224">
              <w:rPr>
                <w:sz w:val="16"/>
              </w:rPr>
              <w:t>2 156</w:t>
            </w:r>
          </w:p>
        </w:tc>
        <w:tc>
          <w:tcPr>
            <w:tcW w:w="1701" w:type="dxa"/>
            <w:tcBorders>
              <w:top w:val="nil"/>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sz w:val="16"/>
                <w:szCs w:val="16"/>
              </w:rPr>
            </w:pPr>
            <w:r w:rsidRPr="00332224">
              <w:rPr>
                <w:sz w:val="16"/>
              </w:rPr>
              <w:t>1 939</w:t>
            </w:r>
          </w:p>
        </w:tc>
        <w:tc>
          <w:tcPr>
            <w:tcW w:w="1701" w:type="dxa"/>
            <w:tcBorders>
              <w:top w:val="nil"/>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sz w:val="16"/>
                <w:szCs w:val="16"/>
              </w:rPr>
            </w:pPr>
            <w:r w:rsidRPr="00332224">
              <w:rPr>
                <w:sz w:val="16"/>
              </w:rPr>
              <w:t>1 587</w:t>
            </w:r>
          </w:p>
        </w:tc>
        <w:tc>
          <w:tcPr>
            <w:tcW w:w="1701" w:type="dxa"/>
            <w:tcBorders>
              <w:top w:val="nil"/>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sz w:val="16"/>
                <w:szCs w:val="16"/>
              </w:rPr>
            </w:pPr>
            <w:r w:rsidRPr="00332224">
              <w:rPr>
                <w:sz w:val="16"/>
              </w:rPr>
              <w:t>82</w:t>
            </w:r>
            <w:r w:rsidR="007E442D" w:rsidRPr="00332224">
              <w:rPr>
                <w:sz w:val="16"/>
              </w:rPr>
              <w:t>%</w:t>
            </w:r>
          </w:p>
        </w:tc>
      </w:tr>
      <w:tr w:rsidR="0096696E" w:rsidRPr="00332224" w:rsidTr="00BB3F3E">
        <w:tc>
          <w:tcPr>
            <w:tcW w:w="2567" w:type="dxa"/>
            <w:tcBorders>
              <w:top w:val="nil"/>
              <w:left w:val="single" w:sz="4" w:space="0" w:color="auto"/>
              <w:bottom w:val="single" w:sz="4" w:space="0" w:color="auto"/>
              <w:right w:val="single" w:sz="4" w:space="0" w:color="auto"/>
            </w:tcBorders>
            <w:shd w:val="clear" w:color="auto" w:fill="auto"/>
            <w:noWrap/>
            <w:vAlign w:val="center"/>
          </w:tcPr>
          <w:p w:rsidR="0096696E" w:rsidRPr="00332224" w:rsidRDefault="0096696E" w:rsidP="001A5BF9">
            <w:pPr>
              <w:spacing w:before="80" w:after="80"/>
              <w:jc w:val="right"/>
              <w:rPr>
                <w:rFonts w:cs="Arial"/>
                <w:b/>
                <w:bCs/>
                <w:sz w:val="16"/>
                <w:szCs w:val="16"/>
              </w:rPr>
            </w:pPr>
            <w:r w:rsidRPr="00332224">
              <w:rPr>
                <w:b/>
                <w:sz w:val="16"/>
              </w:rPr>
              <w:t xml:space="preserve"> TOTAL </w:t>
            </w:r>
          </w:p>
        </w:tc>
        <w:tc>
          <w:tcPr>
            <w:tcW w:w="1701" w:type="dxa"/>
            <w:tcBorders>
              <w:top w:val="nil"/>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b/>
                <w:bCs/>
                <w:sz w:val="16"/>
                <w:szCs w:val="16"/>
              </w:rPr>
            </w:pPr>
            <w:r w:rsidRPr="00332224">
              <w:rPr>
                <w:b/>
                <w:sz w:val="16"/>
              </w:rPr>
              <w:t>6 439</w:t>
            </w:r>
          </w:p>
        </w:tc>
        <w:tc>
          <w:tcPr>
            <w:tcW w:w="1701" w:type="dxa"/>
            <w:tcBorders>
              <w:top w:val="nil"/>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b/>
                <w:bCs/>
                <w:sz w:val="16"/>
                <w:szCs w:val="16"/>
              </w:rPr>
            </w:pPr>
            <w:r w:rsidRPr="00332224">
              <w:rPr>
                <w:b/>
                <w:sz w:val="16"/>
              </w:rPr>
              <w:t>6 532</w:t>
            </w:r>
          </w:p>
        </w:tc>
        <w:tc>
          <w:tcPr>
            <w:tcW w:w="1701" w:type="dxa"/>
            <w:tcBorders>
              <w:top w:val="nil"/>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b/>
                <w:bCs/>
                <w:sz w:val="16"/>
                <w:szCs w:val="16"/>
              </w:rPr>
            </w:pPr>
            <w:r w:rsidRPr="00332224">
              <w:rPr>
                <w:b/>
                <w:sz w:val="16"/>
              </w:rPr>
              <w:t>6 181</w:t>
            </w:r>
          </w:p>
        </w:tc>
        <w:tc>
          <w:tcPr>
            <w:tcW w:w="1701" w:type="dxa"/>
            <w:tcBorders>
              <w:top w:val="nil"/>
              <w:left w:val="nil"/>
              <w:bottom w:val="single" w:sz="4" w:space="0" w:color="auto"/>
              <w:right w:val="single" w:sz="4" w:space="0" w:color="auto"/>
            </w:tcBorders>
            <w:shd w:val="clear" w:color="auto" w:fill="auto"/>
            <w:vAlign w:val="center"/>
          </w:tcPr>
          <w:p w:rsidR="0096696E" w:rsidRPr="00332224" w:rsidRDefault="0096696E" w:rsidP="001A5BF9">
            <w:pPr>
              <w:spacing w:before="80" w:after="80"/>
              <w:jc w:val="center"/>
              <w:rPr>
                <w:rFonts w:cs="Arial"/>
                <w:b/>
                <w:bCs/>
                <w:sz w:val="16"/>
                <w:szCs w:val="16"/>
              </w:rPr>
            </w:pPr>
            <w:r w:rsidRPr="00332224">
              <w:rPr>
                <w:b/>
                <w:sz w:val="16"/>
              </w:rPr>
              <w:t>95</w:t>
            </w:r>
            <w:r w:rsidR="007E442D" w:rsidRPr="00332224">
              <w:rPr>
                <w:b/>
                <w:sz w:val="16"/>
              </w:rPr>
              <w:t>%</w:t>
            </w:r>
          </w:p>
        </w:tc>
      </w:tr>
    </w:tbl>
    <w:p w:rsidR="00D42474" w:rsidRDefault="00D42474" w:rsidP="001A5BF9">
      <w:pPr>
        <w:pStyle w:val="NormalWeb"/>
        <w:spacing w:before="0" w:beforeAutospacing="0" w:after="0" w:afterAutospacing="0"/>
        <w:jc w:val="center"/>
        <w:rPr>
          <w:i/>
          <w:iCs/>
          <w:sz w:val="22"/>
          <w:szCs w:val="22"/>
        </w:rPr>
      </w:pPr>
    </w:p>
    <w:p w:rsidR="00D42474" w:rsidRDefault="0096696E" w:rsidP="001A5BF9">
      <w:pPr>
        <w:autoSpaceDE w:val="0"/>
        <w:autoSpaceDN w:val="0"/>
        <w:rPr>
          <w:rFonts w:cs="Arial"/>
          <w:sz w:val="16"/>
          <w:szCs w:val="16"/>
        </w:rPr>
      </w:pPr>
      <w:proofErr w:type="gramStart"/>
      <w:r w:rsidRPr="00332224">
        <w:rPr>
          <w:sz w:val="16"/>
        </w:rPr>
        <w:t>REMARQUES</w:t>
      </w:r>
      <w:proofErr w:type="gramEnd"/>
      <w:r w:rsidRPr="00332224">
        <w:rPr>
          <w:sz w:val="16"/>
        </w:rPr>
        <w:t> :</w:t>
      </w:r>
    </w:p>
    <w:p w:rsidR="00D42474" w:rsidRDefault="00D42474" w:rsidP="001A5BF9">
      <w:pPr>
        <w:autoSpaceDE w:val="0"/>
        <w:autoSpaceDN w:val="0"/>
        <w:rPr>
          <w:rFonts w:cs="Arial"/>
          <w:sz w:val="16"/>
          <w:szCs w:val="16"/>
        </w:rPr>
      </w:pPr>
    </w:p>
    <w:p w:rsidR="00D42474" w:rsidRDefault="00332224" w:rsidP="001A5BF9">
      <w:pPr>
        <w:autoSpaceDE w:val="0"/>
        <w:autoSpaceDN w:val="0"/>
        <w:rPr>
          <w:rFonts w:cs="Arial"/>
          <w:sz w:val="16"/>
          <w:szCs w:val="16"/>
        </w:rPr>
      </w:pPr>
      <w:r>
        <w:rPr>
          <w:sz w:val="16"/>
        </w:rPr>
        <w:t>1)</w:t>
      </w:r>
      <w:r>
        <w:rPr>
          <w:sz w:val="16"/>
        </w:rPr>
        <w:tab/>
      </w:r>
      <w:r w:rsidR="0096696E" w:rsidRPr="00332224">
        <w:rPr>
          <w:sz w:val="16"/>
        </w:rPr>
        <w:t>Le budget restructuré après virements tient compte du budget ajusté des programmes après les virements réalisés au cours de l</w:t>
      </w:r>
      <w:r w:rsidR="00A20444" w:rsidRPr="00332224">
        <w:rPr>
          <w:sz w:val="16"/>
        </w:rPr>
        <w:t>’</w:t>
      </w:r>
      <w:r w:rsidR="0096696E" w:rsidRPr="00332224">
        <w:rPr>
          <w:sz w:val="16"/>
        </w:rPr>
        <w:t>exercice 2012</w:t>
      </w:r>
      <w:r w:rsidR="002D6F2A" w:rsidRPr="00332224">
        <w:rPr>
          <w:sz w:val="16"/>
        </w:rPr>
        <w:noBreakHyphen/>
      </w:r>
      <w:r w:rsidR="0096696E" w:rsidRPr="00332224">
        <w:rPr>
          <w:sz w:val="16"/>
        </w:rPr>
        <w:t xml:space="preserve">2013, conformément à </w:t>
      </w:r>
      <w:r w:rsidR="00E15133" w:rsidRPr="00332224">
        <w:rPr>
          <w:sz w:val="16"/>
        </w:rPr>
        <w:t>l</w:t>
      </w:r>
      <w:r w:rsidR="00A20444" w:rsidRPr="00332224">
        <w:rPr>
          <w:sz w:val="16"/>
        </w:rPr>
        <w:t>’</w:t>
      </w:r>
      <w:r w:rsidR="00E15133" w:rsidRPr="00332224">
        <w:rPr>
          <w:sz w:val="16"/>
        </w:rPr>
        <w:t>article 5.5</w:t>
      </w:r>
      <w:r w:rsidR="0096696E" w:rsidRPr="00332224">
        <w:rPr>
          <w:sz w:val="16"/>
        </w:rPr>
        <w:t xml:space="preserve"> du règlement d</w:t>
      </w:r>
      <w:r w:rsidR="00A20444" w:rsidRPr="00332224">
        <w:rPr>
          <w:sz w:val="16"/>
        </w:rPr>
        <w:t>’</w:t>
      </w:r>
      <w:r w:rsidR="0096696E" w:rsidRPr="00332224">
        <w:rPr>
          <w:sz w:val="16"/>
        </w:rPr>
        <w:t>exécution du Règlement financier.</w:t>
      </w:r>
    </w:p>
    <w:p w:rsidR="00D42474" w:rsidRDefault="00D42474" w:rsidP="001A5BF9">
      <w:pPr>
        <w:autoSpaceDE w:val="0"/>
        <w:autoSpaceDN w:val="0"/>
        <w:rPr>
          <w:rFonts w:cs="Arial"/>
          <w:sz w:val="16"/>
          <w:szCs w:val="16"/>
        </w:rPr>
      </w:pPr>
    </w:p>
    <w:p w:rsidR="00D42474" w:rsidRDefault="0096696E" w:rsidP="001A5BF9">
      <w:pPr>
        <w:autoSpaceDE w:val="0"/>
        <w:autoSpaceDN w:val="0"/>
        <w:rPr>
          <w:sz w:val="16"/>
        </w:rPr>
      </w:pPr>
      <w:r w:rsidRPr="00332224">
        <w:rPr>
          <w:sz w:val="16"/>
        </w:rPr>
        <w:t>2)</w:t>
      </w:r>
      <w:r w:rsidR="00332224">
        <w:rPr>
          <w:sz w:val="16"/>
        </w:rPr>
        <w:tab/>
      </w:r>
      <w:r w:rsidRPr="00332224">
        <w:rPr>
          <w:sz w:val="16"/>
        </w:rPr>
        <w:t>Les dépenses de personnel indiquées dans le budget de l</w:t>
      </w:r>
      <w:r w:rsidR="00A20444" w:rsidRPr="00332224">
        <w:rPr>
          <w:sz w:val="16"/>
        </w:rPr>
        <w:t>’</w:t>
      </w:r>
      <w:r w:rsidRPr="00332224">
        <w:rPr>
          <w:sz w:val="16"/>
        </w:rPr>
        <w:t>exercice 2012</w:t>
      </w:r>
      <w:r w:rsidR="002D6F2A" w:rsidRPr="00332224">
        <w:rPr>
          <w:sz w:val="16"/>
        </w:rPr>
        <w:noBreakHyphen/>
      </w:r>
      <w:r w:rsidRPr="00332224">
        <w:rPr>
          <w:sz w:val="16"/>
        </w:rPr>
        <w:t>2013 après virements représentent les dépenses réelles engagées pendant l</w:t>
      </w:r>
      <w:r w:rsidR="00A20444" w:rsidRPr="00332224">
        <w:rPr>
          <w:sz w:val="16"/>
        </w:rPr>
        <w:t>’</w:t>
      </w:r>
      <w:r w:rsidRPr="00332224">
        <w:rPr>
          <w:sz w:val="16"/>
        </w:rPr>
        <w:t>exercice biennal.</w:t>
      </w:r>
    </w:p>
    <w:p w:rsidR="00D42474" w:rsidRDefault="00D42474" w:rsidP="001A5BF9">
      <w:pPr>
        <w:rPr>
          <w:rFonts w:cs="Arial"/>
          <w:szCs w:val="22"/>
        </w:rPr>
      </w:pPr>
    </w:p>
    <w:p w:rsidR="00D42474" w:rsidRDefault="0096696E" w:rsidP="001A5BF9">
      <w:pPr>
        <w:pStyle w:val="Paragraphedeliste"/>
        <w:numPr>
          <w:ilvl w:val="0"/>
          <w:numId w:val="72"/>
        </w:numPr>
        <w:tabs>
          <w:tab w:val="left" w:pos="709"/>
        </w:tabs>
        <w:ind w:left="709" w:hanging="709"/>
        <w:rPr>
          <w:rFonts w:cs="Arial"/>
          <w:u w:val="single"/>
        </w:rPr>
      </w:pPr>
      <w:r w:rsidRPr="005C7CCE">
        <w:rPr>
          <w:u w:val="single"/>
        </w:rPr>
        <w:t>Budget 2012</w:t>
      </w:r>
      <w:r w:rsidR="002D6F2A" w:rsidRPr="005C7CCE">
        <w:rPr>
          <w:u w:val="single"/>
        </w:rPr>
        <w:noBreakHyphen/>
      </w:r>
      <w:r w:rsidRPr="005C7CCE">
        <w:rPr>
          <w:u w:val="single"/>
        </w:rPr>
        <w:t>2013 après virements</w:t>
      </w:r>
    </w:p>
    <w:p w:rsidR="00D42474" w:rsidRDefault="00D42474" w:rsidP="001A5BF9">
      <w:pPr>
        <w:pStyle w:val="Paragraphedeliste"/>
        <w:ind w:left="360"/>
        <w:rPr>
          <w:rFonts w:cs="Arial"/>
          <w:u w:val="single"/>
        </w:rPr>
      </w:pPr>
    </w:p>
    <w:p w:rsidR="00D42474" w:rsidRDefault="0096696E" w:rsidP="001A5BF9">
      <w:pPr>
        <w:tabs>
          <w:tab w:val="left" w:pos="709"/>
        </w:tabs>
        <w:autoSpaceDE w:val="0"/>
        <w:autoSpaceDN w:val="0"/>
        <w:jc w:val="both"/>
        <w:rPr>
          <w:rFonts w:cs="Arial"/>
          <w:szCs w:val="20"/>
        </w:rPr>
      </w:pPr>
      <w:r w:rsidRPr="00332224">
        <w:t>10.10.</w:t>
      </w:r>
      <w:r w:rsidRPr="00332224">
        <w:tab/>
        <w:t>L</w:t>
      </w:r>
      <w:r w:rsidR="00A20444" w:rsidRPr="00332224">
        <w:t>’</w:t>
      </w:r>
      <w:r w:rsidRPr="00332224">
        <w:t>affectation aux dépenses autres pour le budget 2012</w:t>
      </w:r>
      <w:r w:rsidR="002D6F2A" w:rsidRPr="00332224">
        <w:noBreakHyphen/>
      </w:r>
      <w:r w:rsidRPr="00332224">
        <w:t>2013 après virements, tient compte des ajustements à la baisse opérés pour réduire les coûts conformément aux engagements de l</w:t>
      </w:r>
      <w:r w:rsidR="00A20444" w:rsidRPr="00332224">
        <w:t>’</w:t>
      </w:r>
      <w:r w:rsidRPr="00332224">
        <w:t>Organisation de réduire les dépenses de 10,2</w:t>
      </w:r>
      <w:r w:rsidR="0010442A" w:rsidRPr="00332224">
        <w:t> </w:t>
      </w:r>
      <w:r w:rsidRPr="00332224">
        <w:t>millions de francs suisses pour l</w:t>
      </w:r>
      <w:r w:rsidR="00A20444" w:rsidRPr="00332224">
        <w:t>’</w:t>
      </w:r>
      <w:r w:rsidRPr="00332224">
        <w:t>exercice biennal</w:t>
      </w:r>
      <w:r w:rsidR="0010442A" w:rsidRPr="00332224">
        <w:t> </w:t>
      </w:r>
      <w:r w:rsidRPr="00332224">
        <w:t>2012</w:t>
      </w:r>
      <w:r w:rsidR="002D6F2A" w:rsidRPr="00332224">
        <w:noBreakHyphen/>
      </w:r>
      <w:r w:rsidRPr="00332224">
        <w:t>2013.</w:t>
      </w:r>
    </w:p>
    <w:p w:rsidR="00D42474" w:rsidRDefault="0096696E" w:rsidP="001A5BF9">
      <w:pPr>
        <w:tabs>
          <w:tab w:val="left" w:pos="709"/>
        </w:tabs>
        <w:jc w:val="both"/>
      </w:pPr>
      <w:r w:rsidRPr="005C7CCE">
        <w:t>10.11.</w:t>
      </w:r>
      <w:r w:rsidRPr="005C7CCE">
        <w:tab/>
        <w:t>L</w:t>
      </w:r>
      <w:r w:rsidR="00A20444" w:rsidRPr="005C7CCE">
        <w:t>’</w:t>
      </w:r>
      <w:r w:rsidRPr="005C7CCE">
        <w:t>augmentation de l</w:t>
      </w:r>
      <w:r w:rsidR="00A20444" w:rsidRPr="005C7CCE">
        <w:t>’</w:t>
      </w:r>
      <w:r w:rsidRPr="005C7CCE">
        <w:t>affectation des ressources en personnel traduit la création d</w:t>
      </w:r>
      <w:r w:rsidR="00A20444" w:rsidRPr="005C7CCE">
        <w:t>’</w:t>
      </w:r>
      <w:r w:rsidRPr="005C7CCE">
        <w:t>une coordination dédiée dans le cadre du programme pour coordonner la promotion et la prestation des services et des programmes de l</w:t>
      </w:r>
      <w:r w:rsidR="00A20444" w:rsidRPr="005C7CCE">
        <w:t>’</w:t>
      </w:r>
      <w:r w:rsidRPr="005C7CCE">
        <w:t>OMPI dans les pays développés.</w:t>
      </w:r>
    </w:p>
    <w:p w:rsidR="00D42474" w:rsidRDefault="00D42474" w:rsidP="001A5BF9">
      <w:pPr>
        <w:jc w:val="both"/>
        <w:rPr>
          <w:rFonts w:cs="Arial"/>
          <w:szCs w:val="22"/>
        </w:rPr>
      </w:pPr>
    </w:p>
    <w:p w:rsidR="00D42474" w:rsidRDefault="0096696E" w:rsidP="001A5BF9">
      <w:pPr>
        <w:tabs>
          <w:tab w:val="left" w:pos="709"/>
        </w:tabs>
        <w:jc w:val="both"/>
      </w:pPr>
      <w:r w:rsidRPr="005C7CCE">
        <w:t>10.12.</w:t>
      </w:r>
      <w:r w:rsidRPr="005C7CCE">
        <w:tab/>
        <w:t>Le transfert des ressources vers les résultats </w:t>
      </w:r>
      <w:proofErr w:type="spellStart"/>
      <w:r w:rsidRPr="005C7CCE">
        <w:t>I.4</w:t>
      </w:r>
      <w:proofErr w:type="spellEnd"/>
      <w:r w:rsidRPr="005C7CCE">
        <w:t xml:space="preserve"> (Cadres législatifs) et </w:t>
      </w:r>
      <w:proofErr w:type="spellStart"/>
      <w:r w:rsidRPr="005C7CCE">
        <w:t>III.2</w:t>
      </w:r>
      <w:proofErr w:type="spellEnd"/>
      <w:r w:rsidRPr="005C7CCE">
        <w:t xml:space="preserve"> (Renforcement des capacités en matière de ressources humaines) traduit l</w:t>
      </w:r>
      <w:r w:rsidR="00A20444" w:rsidRPr="005C7CCE">
        <w:t>’</w:t>
      </w:r>
      <w:r w:rsidRPr="005C7CCE">
        <w:t>accent mis sur les activités visant à renforcer les capacités des ressources humaines au niveau national pour l</w:t>
      </w:r>
      <w:r w:rsidR="00A20444" w:rsidRPr="005C7CCE">
        <w:t>’</w:t>
      </w:r>
      <w:r w:rsidRPr="005C7CCE">
        <w:t>utilisation de la propriété intellectuelle au service du développement et le développement de cadres législatifs et réglementaires pertinents, conformément à la mise en œuvre des stratégies nationales de propriété intellectuelle.</w:t>
      </w:r>
    </w:p>
    <w:p w:rsidR="00D42474" w:rsidRDefault="00D42474" w:rsidP="001A5BF9">
      <w:pPr>
        <w:rPr>
          <w:rFonts w:cs="Arial"/>
          <w:szCs w:val="22"/>
        </w:rPr>
      </w:pPr>
    </w:p>
    <w:p w:rsidR="00D42474" w:rsidRDefault="0096696E" w:rsidP="001A5BF9">
      <w:pPr>
        <w:pStyle w:val="Paragraphedeliste"/>
        <w:numPr>
          <w:ilvl w:val="0"/>
          <w:numId w:val="72"/>
        </w:numPr>
        <w:tabs>
          <w:tab w:val="left" w:pos="709"/>
        </w:tabs>
        <w:ind w:left="709" w:hanging="709"/>
        <w:rPr>
          <w:rFonts w:cs="Arial"/>
          <w:u w:val="single"/>
        </w:rPr>
      </w:pPr>
      <w:r w:rsidRPr="005C7CCE">
        <w:rPr>
          <w:u w:val="single"/>
        </w:rPr>
        <w:t>Utilisation du budget 2012</w:t>
      </w:r>
      <w:r w:rsidR="002D6F2A" w:rsidRPr="005C7CCE">
        <w:rPr>
          <w:u w:val="single"/>
        </w:rPr>
        <w:noBreakHyphen/>
      </w:r>
      <w:r w:rsidRPr="005C7CCE">
        <w:rPr>
          <w:u w:val="single"/>
        </w:rPr>
        <w:t>2013</w:t>
      </w:r>
    </w:p>
    <w:p w:rsidR="00D42474" w:rsidRDefault="00D42474" w:rsidP="001A5BF9">
      <w:pPr>
        <w:rPr>
          <w:rFonts w:cs="Arial"/>
          <w:szCs w:val="20"/>
        </w:rPr>
      </w:pPr>
    </w:p>
    <w:p w:rsidR="00D42474" w:rsidRDefault="0096696E" w:rsidP="001A5BF9">
      <w:pPr>
        <w:tabs>
          <w:tab w:val="left" w:pos="709"/>
        </w:tabs>
        <w:jc w:val="both"/>
      </w:pPr>
      <w:r w:rsidRPr="005C7CCE">
        <w:t>10.13.</w:t>
      </w:r>
      <w:r w:rsidRPr="005C7CCE">
        <w:tab/>
        <w:t>L</w:t>
      </w:r>
      <w:r w:rsidR="00A20444" w:rsidRPr="005C7CCE">
        <w:t>’</w:t>
      </w:r>
      <w:r w:rsidRPr="005C7CCE">
        <w:t>utilisation du budget à 82</w:t>
      </w:r>
      <w:r w:rsidR="007E442D" w:rsidRPr="005C7CCE">
        <w:t>%</w:t>
      </w:r>
      <w:r w:rsidRPr="005C7CCE">
        <w:t xml:space="preserve"> pour des ressources hors personnel reflète essentiellement la mise en œuvre du modèle d</w:t>
      </w:r>
      <w:r w:rsidR="00A20444" w:rsidRPr="005C7CCE">
        <w:t>’</w:t>
      </w:r>
      <w:r w:rsidRPr="005C7CCE">
        <w:t>intégration pour les activités liées à l</w:t>
      </w:r>
      <w:r w:rsidR="00A20444" w:rsidRPr="005C7CCE">
        <w:t>’</w:t>
      </w:r>
      <w:r w:rsidRPr="005C7CCE">
        <w:t>amélioration de l</w:t>
      </w:r>
      <w:r w:rsidR="00A20444" w:rsidRPr="005C7CCE">
        <w:t>’</w:t>
      </w:r>
      <w:r w:rsidRPr="005C7CCE">
        <w:t>infrastructure technique et des connaissances pour les offices de propriété intellectuelle et les autres institutions de propriété intellectuelle (résultat </w:t>
      </w:r>
      <w:proofErr w:type="spellStart"/>
      <w:r w:rsidRPr="005C7CCE">
        <w:t>IV.5</w:t>
      </w:r>
      <w:proofErr w:type="spellEnd"/>
      <w:r w:rsidRPr="005C7CCE">
        <w:t xml:space="preserve">). </w:t>
      </w:r>
      <w:r w:rsidR="0010442A" w:rsidRPr="005C7CCE">
        <w:t xml:space="preserve"> </w:t>
      </w:r>
      <w:r w:rsidRPr="005C7CCE">
        <w:t>Ainsi, ces activités ont continué d</w:t>
      </w:r>
      <w:r w:rsidR="00A20444" w:rsidRPr="005C7CCE">
        <w:t>’</w:t>
      </w:r>
      <w:r w:rsidRPr="005C7CCE">
        <w:t>être coordonnées par le programme, tandis que la mise en œuvre effective des solutions d</w:t>
      </w:r>
      <w:r w:rsidR="00A20444" w:rsidRPr="005C7CCE">
        <w:t>’</w:t>
      </w:r>
      <w:r w:rsidRPr="005C7CCE">
        <w:t>automatisation a été apportée par le programme 15.</w:t>
      </w:r>
    </w:p>
    <w:p w:rsidR="00D42474" w:rsidRDefault="00D42474" w:rsidP="001A5BF9">
      <w:pPr>
        <w:autoSpaceDE w:val="0"/>
        <w:autoSpaceDN w:val="0"/>
        <w:adjustRightInd w:val="0"/>
        <w:rPr>
          <w:rFonts w:cs="Arial"/>
          <w:szCs w:val="22"/>
        </w:rPr>
      </w:pPr>
    </w:p>
    <w:p w:rsidR="00D42474" w:rsidRDefault="00784E52" w:rsidP="001A5BF9">
      <w:pPr>
        <w:tabs>
          <w:tab w:val="left" w:pos="709"/>
        </w:tabs>
        <w:jc w:val="both"/>
        <w:rPr>
          <w:rFonts w:cs="Arial"/>
          <w:szCs w:val="20"/>
        </w:rPr>
      </w:pPr>
      <w:r w:rsidRPr="005C7CCE">
        <w:br w:type="page"/>
      </w:r>
    </w:p>
    <w:p w:rsidR="00D42474" w:rsidRDefault="001655CA" w:rsidP="001A5BF9">
      <w:pPr>
        <w:pStyle w:val="Heading3"/>
        <w:rPr>
          <w:szCs w:val="22"/>
        </w:rPr>
      </w:pPr>
      <w:bookmarkStart w:id="24" w:name="_Toc395082476"/>
      <w:r w:rsidRPr="00332224">
        <w:rPr>
          <w:caps w:val="0"/>
          <w:szCs w:val="22"/>
        </w:rPr>
        <w:t xml:space="preserve">Programme </w:t>
      </w:r>
      <w:r w:rsidR="00784E52" w:rsidRPr="00332224">
        <w:rPr>
          <w:szCs w:val="22"/>
        </w:rPr>
        <w:t>11</w:t>
      </w:r>
      <w:r w:rsidR="00784E52" w:rsidRPr="00332224">
        <w:rPr>
          <w:szCs w:val="22"/>
        </w:rPr>
        <w:tab/>
        <w:t>Académie de l</w:t>
      </w:r>
      <w:r w:rsidR="00A20444" w:rsidRPr="00332224">
        <w:rPr>
          <w:szCs w:val="22"/>
        </w:rPr>
        <w:t>’</w:t>
      </w:r>
      <w:r w:rsidR="00784E52" w:rsidRPr="00332224">
        <w:rPr>
          <w:szCs w:val="22"/>
        </w:rPr>
        <w:t>OMPI</w:t>
      </w:r>
      <w:bookmarkEnd w:id="24"/>
    </w:p>
    <w:p w:rsidR="00D42474" w:rsidRDefault="00D42474" w:rsidP="001A5BF9">
      <w:pPr>
        <w:rPr>
          <w:rFonts w:cs="Arial"/>
          <w:sz w:val="22"/>
          <w:szCs w:val="22"/>
        </w:rPr>
      </w:pPr>
    </w:p>
    <w:p w:rsidR="00D42474" w:rsidRDefault="00784E52" w:rsidP="001A5BF9">
      <w:pPr>
        <w:tabs>
          <w:tab w:val="left" w:pos="2268"/>
        </w:tabs>
        <w:rPr>
          <w:rFonts w:cs="Arial"/>
          <w:b/>
          <w:sz w:val="22"/>
          <w:szCs w:val="22"/>
        </w:rPr>
      </w:pPr>
      <w:r w:rsidRPr="00332224">
        <w:rPr>
          <w:b/>
          <w:sz w:val="22"/>
          <w:szCs w:val="22"/>
        </w:rPr>
        <w:t>Chef de programme</w:t>
      </w:r>
      <w:r w:rsidRPr="00332224">
        <w:rPr>
          <w:b/>
          <w:sz w:val="22"/>
          <w:szCs w:val="22"/>
        </w:rPr>
        <w:tab/>
      </w:r>
      <w:r w:rsidRPr="00332224">
        <w:rPr>
          <w:b/>
          <w:sz w:val="22"/>
          <w:szCs w:val="22"/>
        </w:rPr>
        <w:tab/>
        <w:t>M.</w:t>
      </w:r>
      <w:r w:rsidR="0010442A" w:rsidRPr="00332224">
        <w:rPr>
          <w:b/>
          <w:sz w:val="22"/>
          <w:szCs w:val="22"/>
        </w:rPr>
        <w:t> </w:t>
      </w:r>
      <w:r w:rsidRPr="00332224">
        <w:rPr>
          <w:b/>
          <w:sz w:val="22"/>
          <w:szCs w:val="22"/>
        </w:rPr>
        <w:t>G.</w:t>
      </w:r>
      <w:r w:rsidR="0010442A" w:rsidRPr="00332224">
        <w:rPr>
          <w:b/>
          <w:sz w:val="22"/>
          <w:szCs w:val="22"/>
        </w:rPr>
        <w:t> </w:t>
      </w:r>
      <w:proofErr w:type="spellStart"/>
      <w:r w:rsidRPr="00332224">
        <w:rPr>
          <w:b/>
          <w:sz w:val="22"/>
          <w:szCs w:val="22"/>
        </w:rPr>
        <w:t>Onyeama</w:t>
      </w:r>
      <w:proofErr w:type="spellEnd"/>
    </w:p>
    <w:p w:rsidR="00D42474" w:rsidRDefault="00D42474" w:rsidP="001A5BF9">
      <w:pPr>
        <w:rPr>
          <w:rFonts w:cs="Arial"/>
          <w:sz w:val="22"/>
          <w:szCs w:val="22"/>
        </w:rPr>
      </w:pPr>
    </w:p>
    <w:p w:rsidR="00D42474" w:rsidRDefault="00D42474" w:rsidP="001A5BF9">
      <w:pPr>
        <w:rPr>
          <w:rFonts w:cs="Arial"/>
          <w:bCs/>
          <w:sz w:val="22"/>
          <w:szCs w:val="22"/>
        </w:rPr>
      </w:pPr>
    </w:p>
    <w:p w:rsidR="00D42474" w:rsidRDefault="00784E52" w:rsidP="001A5BF9">
      <w:pPr>
        <w:spacing w:line="260" w:lineRule="atLeast"/>
        <w:rPr>
          <w:rFonts w:cs="Arial"/>
          <w:bCs/>
          <w:sz w:val="22"/>
          <w:szCs w:val="22"/>
        </w:rPr>
      </w:pPr>
      <w:r w:rsidRPr="00332224">
        <w:rPr>
          <w:sz w:val="22"/>
          <w:szCs w:val="22"/>
        </w:rPr>
        <w:t>RÉALISATIONS EN 2012</w:t>
      </w:r>
      <w:r w:rsidR="002D6F2A" w:rsidRPr="00332224">
        <w:rPr>
          <w:sz w:val="22"/>
          <w:szCs w:val="22"/>
        </w:rPr>
        <w:noBreakHyphen/>
      </w:r>
      <w:r w:rsidRPr="00332224">
        <w:rPr>
          <w:sz w:val="22"/>
          <w:szCs w:val="22"/>
        </w:rPr>
        <w:t>2013</w:t>
      </w:r>
    </w:p>
    <w:p w:rsidR="00D42474" w:rsidRDefault="00D42474" w:rsidP="001A5BF9">
      <w:pPr>
        <w:autoSpaceDE w:val="0"/>
        <w:autoSpaceDN w:val="0"/>
        <w:adjustRightInd w:val="0"/>
        <w:rPr>
          <w:rFonts w:cs="Arial"/>
          <w:sz w:val="22"/>
          <w:szCs w:val="22"/>
        </w:rPr>
      </w:pPr>
    </w:p>
    <w:p w:rsidR="00D42474" w:rsidRDefault="00784E52" w:rsidP="001A5BF9">
      <w:pPr>
        <w:pStyle w:val="Paragraphedeliste"/>
        <w:numPr>
          <w:ilvl w:val="0"/>
          <w:numId w:val="39"/>
        </w:numPr>
        <w:tabs>
          <w:tab w:val="left" w:pos="709"/>
        </w:tabs>
        <w:autoSpaceDE w:val="0"/>
        <w:autoSpaceDN w:val="0"/>
        <w:adjustRightInd w:val="0"/>
        <w:ind w:left="0" w:firstLine="0"/>
        <w:jc w:val="both"/>
      </w:pPr>
      <w:r w:rsidRPr="00332224">
        <w:t>En</w:t>
      </w:r>
      <w:r w:rsidR="0010442A" w:rsidRPr="00332224">
        <w:t> </w:t>
      </w:r>
      <w:r w:rsidRPr="00332224">
        <w:t>2012</w:t>
      </w:r>
      <w:r w:rsidR="002D6F2A" w:rsidRPr="00332224">
        <w:noBreakHyphen/>
      </w:r>
      <w:r w:rsidRPr="00332224">
        <w:t>2013, l</w:t>
      </w:r>
      <w:r w:rsidR="00A20444" w:rsidRPr="00332224">
        <w:t>’</w:t>
      </w:r>
      <w:r w:rsidRPr="00332224">
        <w:t>Académie a continué d</w:t>
      </w:r>
      <w:r w:rsidR="00A20444" w:rsidRPr="00332224">
        <w:t>’</w:t>
      </w:r>
      <w:r w:rsidRPr="00332224">
        <w:t>organiser des activités de formation et d</w:t>
      </w:r>
      <w:r w:rsidR="00A20444" w:rsidRPr="00332224">
        <w:t>’</w:t>
      </w:r>
      <w:r w:rsidRPr="00332224">
        <w:t>enseignement diversifiées pour répondre aux besoins de renforcement des capacités des pays en développement,</w:t>
      </w:r>
      <w:r w:rsidR="00A20444" w:rsidRPr="00332224">
        <w:t xml:space="preserve"> des PMA</w:t>
      </w:r>
      <w:r w:rsidRPr="00332224">
        <w:t xml:space="preserve"> et des pays en transition.</w:t>
      </w:r>
      <w:r w:rsidR="004F3E42" w:rsidRPr="00332224">
        <w:t xml:space="preserve"> </w:t>
      </w:r>
      <w:r w:rsidR="0010442A" w:rsidRPr="00332224">
        <w:t xml:space="preserve"> </w:t>
      </w:r>
      <w:r w:rsidRPr="00332224">
        <w:t>Elle propose notamment</w:t>
      </w:r>
      <w:r w:rsidR="0010442A" w:rsidRPr="00332224">
        <w:t> </w:t>
      </w:r>
      <w:r w:rsidRPr="00332224">
        <w:t>: i)</w:t>
      </w:r>
      <w:r w:rsidR="0010442A" w:rsidRPr="00332224">
        <w:t> </w:t>
      </w:r>
      <w:r w:rsidRPr="00332224">
        <w:t>des actions de formation traditionnelles à l</w:t>
      </w:r>
      <w:r w:rsidR="00A20444" w:rsidRPr="00332224">
        <w:t>’</w:t>
      </w:r>
      <w:r w:rsidRPr="00332224">
        <w:t>intention des fonctionnaires gouvernementaux des offices de propriété intellectuelle et du droit d</w:t>
      </w:r>
      <w:r w:rsidR="00A20444" w:rsidRPr="00332224">
        <w:t>’</w:t>
      </w:r>
      <w:r w:rsidRPr="00332224">
        <w:t>auteur et des autres institutions publiques concernées directement ou indirectement par la gestion de la propriété intellectuelle ou par les négociations internationales à ce sujet (programme de perfectionnement professionnel);</w:t>
      </w:r>
      <w:r w:rsidR="004F3E42" w:rsidRPr="00332224">
        <w:t xml:space="preserve"> </w:t>
      </w:r>
      <w:r w:rsidR="0010442A" w:rsidRPr="00332224">
        <w:t xml:space="preserve"> </w:t>
      </w:r>
      <w:r w:rsidRPr="00332224">
        <w:t>ii)</w:t>
      </w:r>
      <w:r w:rsidR="0010442A" w:rsidRPr="00332224">
        <w:t> </w:t>
      </w:r>
      <w:r w:rsidRPr="00332224">
        <w:t xml:space="preserve">une offre de </w:t>
      </w:r>
      <w:r w:rsidR="00BD43F2" w:rsidRPr="00332224">
        <w:t>14 </w:t>
      </w:r>
      <w:r w:rsidRPr="00332224">
        <w:t>cours d</w:t>
      </w:r>
      <w:r w:rsidR="00A20444" w:rsidRPr="00332224">
        <w:t>’</w:t>
      </w:r>
      <w:r w:rsidRPr="00332224">
        <w:t xml:space="preserve">enseignement à distance dispensés en </w:t>
      </w:r>
      <w:r w:rsidR="00BD43F2" w:rsidRPr="00332224">
        <w:t>11 </w:t>
      </w:r>
      <w:r w:rsidRPr="00332224">
        <w:t>langues (programme d</w:t>
      </w:r>
      <w:r w:rsidR="00A20444" w:rsidRPr="00332224">
        <w:t>’</w:t>
      </w:r>
      <w:r w:rsidRPr="00332224">
        <w:t>enseignement à distance);</w:t>
      </w:r>
      <w:r w:rsidR="004F3E42" w:rsidRPr="00332224">
        <w:t xml:space="preserve"> </w:t>
      </w:r>
      <w:r w:rsidR="0010442A" w:rsidRPr="00332224">
        <w:t xml:space="preserve"> </w:t>
      </w:r>
      <w:r w:rsidRPr="00332224">
        <w:t>et iii)</w:t>
      </w:r>
      <w:r w:rsidR="0010442A" w:rsidRPr="00332224">
        <w:t> </w:t>
      </w:r>
      <w:r w:rsidRPr="00332224">
        <w:t>plusieurs programmes au niveau mastère dispensés conjointement avec d</w:t>
      </w:r>
      <w:r w:rsidR="00A20444" w:rsidRPr="00332224">
        <w:t>’</w:t>
      </w:r>
      <w:r w:rsidRPr="00332224">
        <w:t>autres universités sur le droit de la propriété intellectuelle, des activités visant à promouvoir l</w:t>
      </w:r>
      <w:r w:rsidR="00A20444" w:rsidRPr="00332224">
        <w:t>’</w:t>
      </w:r>
      <w:r w:rsidRPr="00332224">
        <w:t>enseignement supérieur de la propriété intellectuelle (programme des établissements universitaires) et d</w:t>
      </w:r>
      <w:r w:rsidR="00A20444" w:rsidRPr="00332224">
        <w:t>’</w:t>
      </w:r>
      <w:r w:rsidRPr="00332224">
        <w:t>autres activités spécialement destinées aux étudiants, aux jeunes spécialistes de ce domaine (programme des cours d</w:t>
      </w:r>
      <w:r w:rsidR="00A20444" w:rsidRPr="00332224">
        <w:t>’</w:t>
      </w:r>
      <w:r w:rsidRPr="00332224">
        <w:t>été) et aux cadres concernés par la gestion de la propriété intellectuelle (programme des cadres).</w:t>
      </w:r>
    </w:p>
    <w:p w:rsidR="00D42474" w:rsidRDefault="00D42474" w:rsidP="001A5BF9">
      <w:pPr>
        <w:tabs>
          <w:tab w:val="left" w:pos="709"/>
        </w:tabs>
        <w:autoSpaceDE w:val="0"/>
        <w:autoSpaceDN w:val="0"/>
        <w:adjustRightInd w:val="0"/>
        <w:jc w:val="both"/>
        <w:rPr>
          <w:rFonts w:cs="Arial"/>
          <w:bCs/>
          <w:szCs w:val="20"/>
        </w:rPr>
      </w:pPr>
    </w:p>
    <w:p w:rsidR="00D42474" w:rsidRDefault="00784E52" w:rsidP="001A5BF9">
      <w:pPr>
        <w:pStyle w:val="Paragraphedeliste"/>
        <w:numPr>
          <w:ilvl w:val="0"/>
          <w:numId w:val="39"/>
        </w:numPr>
        <w:tabs>
          <w:tab w:val="left" w:pos="709"/>
        </w:tabs>
        <w:autoSpaceDE w:val="0"/>
        <w:autoSpaceDN w:val="0"/>
        <w:adjustRightInd w:val="0"/>
        <w:ind w:left="0" w:firstLine="0"/>
        <w:jc w:val="both"/>
        <w:rPr>
          <w:rFonts w:cs="Arial"/>
          <w:bCs/>
        </w:rPr>
      </w:pPr>
      <w:r w:rsidRPr="00332224">
        <w:t>Dans le cadre du programme de perfectionnement professionnel, l</w:t>
      </w:r>
      <w:r w:rsidR="00A20444" w:rsidRPr="00332224">
        <w:t>’</w:t>
      </w:r>
      <w:r w:rsidRPr="00332224">
        <w:t>Académie a organisé 46 formations en</w:t>
      </w:r>
      <w:r w:rsidR="0010442A" w:rsidRPr="00332224">
        <w:t> </w:t>
      </w:r>
      <w:r w:rsidRPr="00332224">
        <w:t>2012</w:t>
      </w:r>
      <w:r w:rsidR="002D6F2A" w:rsidRPr="00332224">
        <w:noBreakHyphen/>
      </w:r>
      <w:r w:rsidRPr="00332224">
        <w:t>2013 avec le concours des autorités nationales de la propriété industrielle ou du droit d</w:t>
      </w:r>
      <w:r w:rsidR="00A20444" w:rsidRPr="00332224">
        <w:t>’</w:t>
      </w:r>
      <w:r w:rsidRPr="00332224">
        <w:t xml:space="preserve">auteur en Algérie, en Autriche, au Canada, à </w:t>
      </w:r>
      <w:proofErr w:type="spellStart"/>
      <w:r w:rsidRPr="00332224">
        <w:t>Cuba,en</w:t>
      </w:r>
      <w:proofErr w:type="spellEnd"/>
      <w:r w:rsidRPr="00332224">
        <w:t xml:space="preserve"> Égypte, en Espagne, aux États</w:t>
      </w:r>
      <w:r w:rsidR="002D6F2A" w:rsidRPr="00332224">
        <w:noBreakHyphen/>
      </w:r>
      <w:r w:rsidRPr="00332224">
        <w:t>Unis d</w:t>
      </w:r>
      <w:r w:rsidR="00A20444" w:rsidRPr="00332224">
        <w:t>’</w:t>
      </w:r>
      <w:r w:rsidRPr="00332224">
        <w:t>Amérique, en Finlande, en France, au Honduras, en Israël, au Mexique, au Maroc, en Norvège, au Portugal, en République tchèque, au Royaume</w:t>
      </w:r>
      <w:r w:rsidR="002D6F2A" w:rsidRPr="00332224">
        <w:noBreakHyphen/>
      </w:r>
      <w:r w:rsidRPr="00332224">
        <w:t>Uni, en Suède et en Suisse, mais aussi à l</w:t>
      </w:r>
      <w:r w:rsidR="00A20444" w:rsidRPr="00332224">
        <w:t>’</w:t>
      </w:r>
      <w:r w:rsidRPr="00332224">
        <w:t>Organisation mondiale du commerce (OMC) et au Centre d</w:t>
      </w:r>
      <w:r w:rsidR="00A20444" w:rsidRPr="00332224">
        <w:t>’</w:t>
      </w:r>
      <w:r w:rsidRPr="00332224">
        <w:t>études internationales de la propriété intellectuelle (</w:t>
      </w:r>
      <w:proofErr w:type="spellStart"/>
      <w:r w:rsidRPr="00332224">
        <w:t>CEIPI</w:t>
      </w:r>
      <w:proofErr w:type="spellEnd"/>
      <w:r w:rsidRPr="00332224">
        <w:t xml:space="preserve">) de Strasbourg. </w:t>
      </w:r>
      <w:r w:rsidR="0010442A" w:rsidRPr="00332224">
        <w:t xml:space="preserve"> </w:t>
      </w:r>
      <w:r w:rsidRPr="00332224">
        <w:t xml:space="preserve">Au total, </w:t>
      </w:r>
      <w:r w:rsidR="00BD43F2" w:rsidRPr="00332224">
        <w:t>484 </w:t>
      </w:r>
      <w:r w:rsidRPr="00332224">
        <w:t xml:space="preserve">participants de pays en développement, de PMA et de pays en transition ont bénéficié de ces activités. </w:t>
      </w:r>
      <w:r w:rsidR="0010442A" w:rsidRPr="00332224">
        <w:t xml:space="preserve"> </w:t>
      </w:r>
      <w:r w:rsidRPr="00332224">
        <w:t>Les formations portaient sur les grands thèmes suivants : droit d</w:t>
      </w:r>
      <w:r w:rsidR="00A20444" w:rsidRPr="00332224">
        <w:t>’</w:t>
      </w:r>
      <w:r w:rsidRPr="00332224">
        <w:t>auteur et droits connexes;</w:t>
      </w:r>
      <w:r w:rsidR="004F3E42" w:rsidRPr="00332224">
        <w:t xml:space="preserve"> </w:t>
      </w:r>
      <w:r w:rsidR="0010442A" w:rsidRPr="00332224">
        <w:t xml:space="preserve"> </w:t>
      </w:r>
      <w:r w:rsidRPr="00332224">
        <w:t>procédures de recherche et d</w:t>
      </w:r>
      <w:r w:rsidR="00A20444" w:rsidRPr="00332224">
        <w:t>’</w:t>
      </w:r>
      <w:r w:rsidRPr="00332224">
        <w:t>examen des brevets;</w:t>
      </w:r>
      <w:r w:rsidR="004F3E42" w:rsidRPr="00332224">
        <w:t xml:space="preserve"> </w:t>
      </w:r>
      <w:r w:rsidR="0010442A" w:rsidRPr="00332224">
        <w:t xml:space="preserve"> </w:t>
      </w:r>
      <w:r w:rsidRPr="00332224">
        <w:t xml:space="preserve">information et documentation en matière de brevets; </w:t>
      </w:r>
      <w:r w:rsidR="0010442A" w:rsidRPr="00332224">
        <w:t xml:space="preserve"> </w:t>
      </w:r>
      <w:r w:rsidRPr="00332224">
        <w:t>questions nouvelles de propriété industrielle pour les décideurs;</w:t>
      </w:r>
      <w:r w:rsidR="004F3E42" w:rsidRPr="00332224">
        <w:t xml:space="preserve"> </w:t>
      </w:r>
      <w:r w:rsidR="0010442A" w:rsidRPr="00332224">
        <w:t xml:space="preserve"> </w:t>
      </w:r>
      <w:r w:rsidRPr="00332224">
        <w:t>droit des marques et pratique;</w:t>
      </w:r>
      <w:r w:rsidR="004F3E42" w:rsidRPr="00332224">
        <w:t xml:space="preserve"> </w:t>
      </w:r>
      <w:r w:rsidR="0010442A" w:rsidRPr="00332224">
        <w:t xml:space="preserve"> </w:t>
      </w:r>
      <w:r w:rsidRPr="00332224">
        <w:t>et gestion d</w:t>
      </w:r>
      <w:r w:rsidR="00A20444" w:rsidRPr="00332224">
        <w:t>’</w:t>
      </w:r>
      <w:r w:rsidRPr="00332224">
        <w:t>un office de propriété intellectuelle.</w:t>
      </w:r>
      <w:r w:rsidR="0010442A" w:rsidRPr="00332224">
        <w:t xml:space="preserve"> </w:t>
      </w:r>
      <w:r w:rsidRPr="00332224">
        <w:t xml:space="preserve"> En 2013, le programme s</w:t>
      </w:r>
      <w:r w:rsidR="00A20444" w:rsidRPr="00332224">
        <w:t>’</w:t>
      </w:r>
      <w:r w:rsidRPr="00332224">
        <w:t>est concentré sur l</w:t>
      </w:r>
      <w:r w:rsidR="00A20444" w:rsidRPr="00332224">
        <w:t>’</w:t>
      </w:r>
      <w:r w:rsidRPr="00332224">
        <w:t>examen de la structure et du contenu de son portefeuille, l</w:t>
      </w:r>
      <w:r w:rsidR="00A20444" w:rsidRPr="00332224">
        <w:t>’</w:t>
      </w:r>
      <w:r w:rsidRPr="00332224">
        <w:t>identification de nouveaux partenaires, en particulier dans les régions en développement, et l</w:t>
      </w:r>
      <w:r w:rsidR="00A20444" w:rsidRPr="00332224">
        <w:t>’</w:t>
      </w:r>
      <w:r w:rsidRPr="00332224">
        <w:t>amélioration de la coordination des activités de renforcement des capacités humaines de l</w:t>
      </w:r>
      <w:r w:rsidR="00A20444" w:rsidRPr="00332224">
        <w:t>’</w:t>
      </w:r>
      <w:r w:rsidRPr="00332224">
        <w:t>Organisation.</w:t>
      </w:r>
    </w:p>
    <w:p w:rsidR="00D42474" w:rsidRDefault="00D42474" w:rsidP="001A5BF9">
      <w:pPr>
        <w:autoSpaceDE w:val="0"/>
        <w:autoSpaceDN w:val="0"/>
        <w:adjustRightInd w:val="0"/>
        <w:jc w:val="both"/>
        <w:rPr>
          <w:rFonts w:cs="Arial"/>
          <w:bCs/>
          <w:szCs w:val="20"/>
        </w:rPr>
      </w:pPr>
    </w:p>
    <w:p w:rsidR="00D42474" w:rsidRDefault="00784E52" w:rsidP="001A5BF9">
      <w:pPr>
        <w:autoSpaceDE w:val="0"/>
        <w:autoSpaceDN w:val="0"/>
        <w:adjustRightInd w:val="0"/>
        <w:jc w:val="center"/>
        <w:rPr>
          <w:rFonts w:cs="Arial"/>
          <w:bCs/>
          <w:sz w:val="22"/>
          <w:szCs w:val="22"/>
        </w:rPr>
      </w:pPr>
      <w:r w:rsidRPr="00332224">
        <w:rPr>
          <w:i/>
          <w:sz w:val="22"/>
        </w:rPr>
        <w:t>Répartition géographique des participants au programme</w:t>
      </w:r>
      <w:r w:rsidR="004F3E42" w:rsidRPr="00332224">
        <w:rPr>
          <w:i/>
          <w:sz w:val="22"/>
        </w:rPr>
        <w:t xml:space="preserve"> </w:t>
      </w:r>
      <w:r w:rsidRPr="00332224">
        <w:rPr>
          <w:i/>
          <w:sz w:val="22"/>
        </w:rPr>
        <w:t>de perfectionnement professionnel en</w:t>
      </w:r>
      <w:r w:rsidR="0010442A" w:rsidRPr="00332224">
        <w:rPr>
          <w:i/>
          <w:sz w:val="22"/>
        </w:rPr>
        <w:t> </w:t>
      </w:r>
      <w:r w:rsidRPr="00332224">
        <w:rPr>
          <w:i/>
          <w:sz w:val="22"/>
        </w:rPr>
        <w:t>2012</w:t>
      </w:r>
      <w:r w:rsidR="002D6F2A" w:rsidRPr="00332224">
        <w:rPr>
          <w:i/>
          <w:sz w:val="22"/>
        </w:rPr>
        <w:noBreakHyphen/>
      </w:r>
      <w:r w:rsidRPr="00332224">
        <w:rPr>
          <w:i/>
          <w:sz w:val="22"/>
        </w:rPr>
        <w:t>2013</w:t>
      </w:r>
    </w:p>
    <w:p w:rsidR="00D42474" w:rsidRDefault="00D42474" w:rsidP="001A5BF9">
      <w:pPr>
        <w:autoSpaceDE w:val="0"/>
        <w:autoSpaceDN w:val="0"/>
        <w:adjustRightInd w:val="0"/>
        <w:jc w:val="both"/>
        <w:rPr>
          <w:rFonts w:cs="Arial"/>
          <w:bCs/>
          <w:szCs w:val="22"/>
        </w:rPr>
      </w:pPr>
    </w:p>
    <w:p w:rsidR="00784E52" w:rsidRPr="00332224" w:rsidRDefault="00784E52" w:rsidP="001A5BF9">
      <w:pPr>
        <w:autoSpaceDE w:val="0"/>
        <w:autoSpaceDN w:val="0"/>
        <w:adjustRightInd w:val="0"/>
        <w:jc w:val="both"/>
        <w:rPr>
          <w:rFonts w:cs="Arial"/>
          <w:bCs/>
          <w:szCs w:val="22"/>
        </w:rPr>
      </w:pPr>
    </w:p>
    <w:tbl>
      <w:tblPr>
        <w:tblW w:w="0" w:type="auto"/>
        <w:tblInd w:w="2392" w:type="dxa"/>
        <w:tblBorders>
          <w:insideH w:val="single" w:sz="4" w:space="0" w:color="auto"/>
        </w:tblBorders>
        <w:tblLook w:val="00A0" w:firstRow="1" w:lastRow="0" w:firstColumn="1" w:lastColumn="0" w:noHBand="0" w:noVBand="0"/>
      </w:tblPr>
      <w:tblGrid>
        <w:gridCol w:w="1169"/>
        <w:gridCol w:w="1170"/>
        <w:gridCol w:w="1169"/>
        <w:gridCol w:w="1170"/>
      </w:tblGrid>
      <w:tr w:rsidR="00784E52" w:rsidRPr="005C7CCE" w:rsidTr="00BB3F3E">
        <w:tc>
          <w:tcPr>
            <w:tcW w:w="1169" w:type="dxa"/>
          </w:tcPr>
          <w:p w:rsidR="00784E52" w:rsidRPr="005C7CCE" w:rsidRDefault="00784E52" w:rsidP="001A5BF9">
            <w:pPr>
              <w:jc w:val="right"/>
              <w:rPr>
                <w:rFonts w:ascii="Garamond" w:hAnsi="Garamond"/>
                <w:b/>
                <w:sz w:val="24"/>
              </w:rPr>
            </w:pPr>
            <w:r w:rsidRPr="005C7CCE">
              <w:rPr>
                <w:rFonts w:ascii="Garamond" w:hAnsi="Garamond"/>
                <w:b/>
                <w:sz w:val="24"/>
              </w:rPr>
              <w:t>2012</w:t>
            </w:r>
          </w:p>
        </w:tc>
        <w:tc>
          <w:tcPr>
            <w:tcW w:w="1170" w:type="dxa"/>
          </w:tcPr>
          <w:p w:rsidR="00784E52" w:rsidRPr="005C7CCE" w:rsidRDefault="00784E52" w:rsidP="001A5BF9">
            <w:pPr>
              <w:rPr>
                <w:rFonts w:ascii="Garamond" w:hAnsi="Garamond"/>
                <w:b/>
                <w:sz w:val="24"/>
              </w:rPr>
            </w:pPr>
          </w:p>
        </w:tc>
        <w:tc>
          <w:tcPr>
            <w:tcW w:w="1169" w:type="dxa"/>
          </w:tcPr>
          <w:p w:rsidR="00784E52" w:rsidRPr="005C7CCE" w:rsidRDefault="00784E52" w:rsidP="001A5BF9">
            <w:pPr>
              <w:rPr>
                <w:rFonts w:ascii="Garamond" w:hAnsi="Garamond"/>
                <w:b/>
                <w:sz w:val="24"/>
              </w:rPr>
            </w:pPr>
          </w:p>
        </w:tc>
        <w:tc>
          <w:tcPr>
            <w:tcW w:w="1170" w:type="dxa"/>
          </w:tcPr>
          <w:p w:rsidR="00784E52" w:rsidRPr="005C7CCE" w:rsidRDefault="00784E52" w:rsidP="001A5BF9">
            <w:pPr>
              <w:jc w:val="center"/>
              <w:rPr>
                <w:rFonts w:ascii="Garamond" w:hAnsi="Garamond"/>
                <w:b/>
                <w:sz w:val="24"/>
              </w:rPr>
            </w:pPr>
            <w:r w:rsidRPr="005C7CCE">
              <w:rPr>
                <w:rFonts w:ascii="Garamond" w:hAnsi="Garamond"/>
                <w:b/>
                <w:sz w:val="24"/>
              </w:rPr>
              <w:t>2013</w:t>
            </w:r>
          </w:p>
        </w:tc>
      </w:tr>
    </w:tbl>
    <w:p w:rsidR="00D42474" w:rsidRDefault="00D42474" w:rsidP="001A5BF9">
      <w:pPr>
        <w:autoSpaceDE w:val="0"/>
        <w:autoSpaceDN w:val="0"/>
        <w:adjustRightInd w:val="0"/>
        <w:jc w:val="both"/>
        <w:rPr>
          <w:rFonts w:eastAsia="MS Mincho" w:cs="Arial"/>
          <w:szCs w:val="22"/>
        </w:rPr>
      </w:pPr>
    </w:p>
    <w:p w:rsidR="00D42474" w:rsidRDefault="00D656BD" w:rsidP="001A5BF9">
      <w:pPr>
        <w:autoSpaceDE w:val="0"/>
        <w:autoSpaceDN w:val="0"/>
        <w:adjustRightInd w:val="0"/>
        <w:jc w:val="both"/>
        <w:rPr>
          <w:rFonts w:eastAsia="MS Mincho" w:cs="Arial"/>
          <w:szCs w:val="22"/>
        </w:rPr>
      </w:pPr>
      <w:r w:rsidRPr="005C7CCE">
        <w:rPr>
          <w:noProof/>
        </w:rPr>
        <mc:AlternateContent>
          <mc:Choice Requires="wpg">
            <w:drawing>
              <wp:inline distT="0" distB="0" distL="0" distR="0" wp14:anchorId="3065E231" wp14:editId="4FA34F3C">
                <wp:extent cx="5889625" cy="1733550"/>
                <wp:effectExtent l="0" t="0" r="0" b="0"/>
                <wp:docPr id="4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9625" cy="1733550"/>
                          <a:chOff x="0" y="0"/>
                          <a:chExt cx="5890161" cy="1733798"/>
                        </a:xfrm>
                      </wpg:grpSpPr>
                      <wpg:graphicFrame>
                        <wpg:cNvPr id="50" name="Chart 12"/>
                        <wpg:cNvFrPr>
                          <a:graphicFrameLocks/>
                        </wpg:cNvFrPr>
                        <wpg:xfrm>
                          <a:off x="0" y="12194"/>
                          <a:ext cx="2944636" cy="1719318"/>
                        </wpg:xfrm>
                        <a:graphic>
                          <a:graphicData uri="http://schemas.openxmlformats.org/drawingml/2006/chart">
                            <c:chart xmlns:c="http://schemas.openxmlformats.org/drawingml/2006/chart" xmlns:r="http://schemas.openxmlformats.org/officeDocument/2006/relationships" r:id="rId51"/>
                          </a:graphicData>
                        </a:graphic>
                      </wpg:graphicFrame>
                      <wpg:graphicFrame>
                        <wpg:cNvPr id="51" name="Chart 15"/>
                        <wpg:cNvFrPr>
                          <a:graphicFrameLocks/>
                        </wpg:cNvFrPr>
                        <wpg:xfrm>
                          <a:off x="2895864" y="0"/>
                          <a:ext cx="2993408" cy="1719318"/>
                        </wpg:xfrm>
                        <a:graphic>
                          <a:graphicData uri="http://schemas.openxmlformats.org/drawingml/2006/chart">
                            <c:chart xmlns:c="http://schemas.openxmlformats.org/drawingml/2006/chart" xmlns:r="http://schemas.openxmlformats.org/officeDocument/2006/relationships" r:id="rId52"/>
                          </a:graphicData>
                        </a:graphic>
                      </wpg:graphicFrame>
                    </wpg:wgp>
                  </a:graphicData>
                </a:graphic>
              </wp:inline>
            </w:drawing>
          </mc:Choice>
          <mc:Fallback>
            <w:pict>
              <v:group id="Group 11" o:spid="_x0000_s1026" style="width:463.75pt;height:136.5pt;mso-position-horizontal-relative:char;mso-position-vertical-relative:line" coordsize="58901,17337" o:gfxdata="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">
                <v:shape id="Chart 12" o:spid="_x0000_s1027" type="#_x0000_t75" style="position:absolute;top:121;width:29446;height:1719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">
                  <v:imagedata r:id="rId56" o:title=""/>
                  <o:lock v:ext="edit" aspectratio="f"/>
                </v:shape>
                <v:shape id="Chart 15" o:spid="_x0000_s1028" type="#_x0000_t75" style="position:absolute;left:28958;width:29934;height:1719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">
                  <v:imagedata r:id="rId57" o:title=""/>
                  <o:lock v:ext="edit" aspectratio="f"/>
                </v:shape>
                <w10:anchorlock/>
              </v:group>
              <o:OLEObject Type="Embed" ProgID="Excel.Chart.8" ShapeID="Chart 12" DrawAspect="Content" ObjectID="_1468745305" r:id="rId58">
                <o:FieldCodes>\s</o:FieldCodes>
              </o:OLEObject>
              <o:OLEObject Type="Embed" ProgID="Excel.Chart.8" ShapeID="Chart 15" DrawAspect="Content" ObjectID="_1468745306" r:id="rId59">
                <o:FieldCodes>\s</o:FieldCodes>
              </o:OLEObject>
            </w:pict>
          </mc:Fallback>
        </mc:AlternateContent>
      </w:r>
    </w:p>
    <w:p w:rsidR="00D42474" w:rsidRDefault="00D42474" w:rsidP="001A5BF9">
      <w:pPr>
        <w:autoSpaceDE w:val="0"/>
        <w:autoSpaceDN w:val="0"/>
        <w:adjustRightInd w:val="0"/>
        <w:jc w:val="both"/>
        <w:rPr>
          <w:rFonts w:eastAsia="MS Mincho" w:cs="Arial"/>
          <w:szCs w:val="22"/>
        </w:rPr>
      </w:pPr>
    </w:p>
    <w:p w:rsidR="00D42474" w:rsidRDefault="00D42474" w:rsidP="001A5BF9">
      <w:pPr>
        <w:autoSpaceDE w:val="0"/>
        <w:autoSpaceDN w:val="0"/>
        <w:adjustRightInd w:val="0"/>
        <w:jc w:val="both"/>
        <w:rPr>
          <w:rFonts w:eastAsia="MS Mincho" w:cs="Arial"/>
          <w:szCs w:val="22"/>
        </w:rPr>
      </w:pPr>
    </w:p>
    <w:p w:rsidR="00D42474" w:rsidRDefault="00784E52" w:rsidP="001A5BF9">
      <w:pPr>
        <w:pStyle w:val="Paragraphedeliste"/>
        <w:numPr>
          <w:ilvl w:val="0"/>
          <w:numId w:val="39"/>
        </w:numPr>
        <w:tabs>
          <w:tab w:val="left" w:pos="709"/>
        </w:tabs>
        <w:autoSpaceDE w:val="0"/>
        <w:autoSpaceDN w:val="0"/>
        <w:adjustRightInd w:val="0"/>
        <w:ind w:left="0" w:firstLine="0"/>
        <w:jc w:val="both"/>
      </w:pPr>
      <w:r w:rsidRPr="005C7CCE">
        <w:t>Le Programme d</w:t>
      </w:r>
      <w:r w:rsidR="00A20444" w:rsidRPr="005C7CCE">
        <w:t>’</w:t>
      </w:r>
      <w:r w:rsidRPr="005C7CCE">
        <w:t>enseignement à distance a continué à attirer des étudiants et d</w:t>
      </w:r>
      <w:r w:rsidR="00A20444" w:rsidRPr="005C7CCE">
        <w:t>’</w:t>
      </w:r>
      <w:r w:rsidRPr="005C7CCE">
        <w:t xml:space="preserve">autres participants partout dans le monde. </w:t>
      </w:r>
      <w:r w:rsidR="0010442A" w:rsidRPr="005C7CCE">
        <w:t xml:space="preserve"> </w:t>
      </w:r>
      <w:r w:rsidRPr="005C7CCE">
        <w:t>Au cours de l</w:t>
      </w:r>
      <w:r w:rsidR="00A20444" w:rsidRPr="005C7CCE">
        <w:t>’</w:t>
      </w:r>
      <w:r w:rsidRPr="005C7CCE">
        <w:t>exercice biennal, quelque 81 484 personnes (environ 75 000 au titre des cours d</w:t>
      </w:r>
      <w:r w:rsidR="00A20444" w:rsidRPr="005C7CCE">
        <w:t>’</w:t>
      </w:r>
      <w:r w:rsidRPr="005C7CCE">
        <w:t xml:space="preserve">initiation et </w:t>
      </w:r>
      <w:r w:rsidR="0010442A" w:rsidRPr="005C7CCE">
        <w:t>5000</w:t>
      </w:r>
      <w:r w:rsidRPr="005C7CCE">
        <w:t xml:space="preserve"> au titre des cours avancés) de 189 pays ont bénéficié des activités dans plusieurs langues (11 au total) et de la plate</w:t>
      </w:r>
      <w:r w:rsidR="002D6F2A" w:rsidRPr="005C7CCE">
        <w:noBreakHyphen/>
      </w:r>
      <w:r w:rsidRPr="005C7CCE">
        <w:t>forme d</w:t>
      </w:r>
      <w:r w:rsidR="00A20444" w:rsidRPr="005C7CCE">
        <w:t>’</w:t>
      </w:r>
      <w:r w:rsidRPr="005C7CCE">
        <w:t>enseignement en ligne de pointe (</w:t>
      </w:r>
      <w:proofErr w:type="spellStart"/>
      <w:r w:rsidRPr="005C7CCE">
        <w:t>WeLC</w:t>
      </w:r>
      <w:proofErr w:type="spellEnd"/>
      <w:r w:rsidRPr="005C7CCE">
        <w:t xml:space="preserve">) mise en œuvre fin 2011. </w:t>
      </w:r>
      <w:r w:rsidR="0010442A" w:rsidRPr="005C7CCE">
        <w:t xml:space="preserve"> </w:t>
      </w:r>
      <w:r w:rsidRPr="005C7CCE">
        <w:t>L</w:t>
      </w:r>
      <w:r w:rsidR="00A20444" w:rsidRPr="005C7CCE">
        <w:t>’</w:t>
      </w:r>
      <w:r w:rsidRPr="005C7CCE">
        <w:t>Académie a poursuivi la ré</w:t>
      </w:r>
      <w:r w:rsidR="00C24718">
        <w:t>vision du contenu des cours du p</w:t>
      </w:r>
      <w:r w:rsidRPr="005C7CCE">
        <w:t>rogramme d</w:t>
      </w:r>
      <w:r w:rsidR="00A20444" w:rsidRPr="005C7CCE">
        <w:t>’</w:t>
      </w:r>
      <w:r w:rsidRPr="005C7CCE">
        <w:t>enseignement à distance afin de le mettre à jour et de l</w:t>
      </w:r>
      <w:r w:rsidR="00A20444" w:rsidRPr="005C7CCE">
        <w:t>’</w:t>
      </w:r>
      <w:r w:rsidRPr="005C7CCE">
        <w:t>aligner sur les objectifs du Plan d</w:t>
      </w:r>
      <w:r w:rsidR="00A20444" w:rsidRPr="005C7CCE">
        <w:t>’</w:t>
      </w:r>
      <w:r w:rsidRPr="005C7CCE">
        <w:t xml:space="preserve">action pour le développement. </w:t>
      </w:r>
      <w:r w:rsidR="0010442A" w:rsidRPr="005C7CCE">
        <w:t xml:space="preserve"> </w:t>
      </w:r>
      <w:r w:rsidRPr="005C7CCE">
        <w:t xml:space="preserve">À cet égard, plus de 100 professionnels des six pays bénéficiaires concernés par le projet de nouvelles </w:t>
      </w:r>
      <w:r w:rsidRPr="005C7CCE">
        <w:rPr>
          <w:color w:val="000000"/>
        </w:rPr>
        <w:t xml:space="preserve">académies ont </w:t>
      </w:r>
      <w:r w:rsidRPr="005C7CCE">
        <w:t>reçu une formation dans le cadre d</w:t>
      </w:r>
      <w:r w:rsidR="00A20444" w:rsidRPr="005C7CCE">
        <w:t>’</w:t>
      </w:r>
      <w:r w:rsidRPr="005C7CCE">
        <w:t>une session spéciale de formation des formateurs pour les tuteurs potentiels en matière d</w:t>
      </w:r>
      <w:r w:rsidR="00A20444" w:rsidRPr="005C7CCE">
        <w:t>’</w:t>
      </w:r>
      <w:r w:rsidRPr="005C7CCE">
        <w:t xml:space="preserve">apprentissage en ligne. </w:t>
      </w:r>
      <w:r w:rsidR="0010442A" w:rsidRPr="005C7CCE">
        <w:t xml:space="preserve"> </w:t>
      </w:r>
      <w:r w:rsidRPr="005C7CCE">
        <w:t>Un certain nombre de sessions sur mesure ont également été organisées conjointement avec : i) les offices de propriété intellectuelle (Brésil, Chine, Fédération de Russie et Mexique);</w:t>
      </w:r>
      <w:r w:rsidR="004F3E42" w:rsidRPr="005C7CCE">
        <w:t xml:space="preserve"> </w:t>
      </w:r>
      <w:r w:rsidR="0010442A" w:rsidRPr="005C7CCE">
        <w:t xml:space="preserve"> </w:t>
      </w:r>
      <w:r w:rsidRPr="005C7CCE">
        <w:t>ii) d</w:t>
      </w:r>
      <w:r w:rsidR="00A20444" w:rsidRPr="005C7CCE">
        <w:t>’</w:t>
      </w:r>
      <w:r w:rsidRPr="005C7CCE">
        <w:t>autres institutions nationales intéressées (Brésil, Bulgarie, Chine, Croatie, Honduras, Mexique, République de Corée, Serbie et l</w:t>
      </w:r>
      <w:r w:rsidR="00A20444" w:rsidRPr="005C7CCE">
        <w:t>’</w:t>
      </w:r>
      <w:r w:rsidRPr="005C7CCE">
        <w:t>Organisation régionale africaine de la propriété intellectuelle (ARIPO));</w:t>
      </w:r>
      <w:r w:rsidR="004F3E42" w:rsidRPr="005C7CCE">
        <w:t xml:space="preserve"> </w:t>
      </w:r>
      <w:r w:rsidR="0010442A" w:rsidRPr="005C7CCE">
        <w:t xml:space="preserve"> </w:t>
      </w:r>
      <w:r w:rsidRPr="005C7CCE">
        <w:t>iii) les centres de technologie et d</w:t>
      </w:r>
      <w:r w:rsidR="00A20444" w:rsidRPr="005C7CCE">
        <w:t>’</w:t>
      </w:r>
      <w:r w:rsidRPr="005C7CCE">
        <w:t>appui à l</w:t>
      </w:r>
      <w:r w:rsidR="00A20444" w:rsidRPr="005C7CCE">
        <w:t>’</w:t>
      </w:r>
      <w:r w:rsidRPr="005C7CCE">
        <w:t>innovation (CATI) (Éthiopie, Fédération de Russie, Philippines et Uruguay);</w:t>
      </w:r>
      <w:r w:rsidR="004F3E42" w:rsidRPr="005C7CCE">
        <w:t xml:space="preserve"> </w:t>
      </w:r>
      <w:r w:rsidR="0010442A" w:rsidRPr="005C7CCE">
        <w:t xml:space="preserve"> </w:t>
      </w:r>
      <w:r w:rsidRPr="005C7CCE">
        <w:t>et iv) 11 universités.</w:t>
      </w:r>
      <w:r w:rsidR="0010442A" w:rsidRPr="005C7CCE">
        <w:t xml:space="preserve"> </w:t>
      </w:r>
      <w:r w:rsidRPr="005C7CCE">
        <w:t xml:space="preserve"> Des travaux ont aussi été réalisés afin d</w:t>
      </w:r>
      <w:r w:rsidR="00A20444" w:rsidRPr="005C7CCE">
        <w:t>’</w:t>
      </w:r>
      <w:r w:rsidRPr="005C7CCE">
        <w:t>élaborer trois nouveaux cours sur la gestion collective du droit d</w:t>
      </w:r>
      <w:r w:rsidR="00A20444" w:rsidRPr="005C7CCE">
        <w:t>’</w:t>
      </w:r>
      <w:r w:rsidRPr="005C7CCE">
        <w:t>auteur et des droits connexes;</w:t>
      </w:r>
      <w:r w:rsidR="004F3E42" w:rsidRPr="005C7CCE">
        <w:t xml:space="preserve"> </w:t>
      </w:r>
      <w:r w:rsidR="0010442A" w:rsidRPr="005C7CCE">
        <w:t xml:space="preserve"> </w:t>
      </w:r>
      <w:r w:rsidRPr="005C7CCE">
        <w:t>la propriété intellectuelle au regard de la santé publique;</w:t>
      </w:r>
      <w:r w:rsidR="004F3E42" w:rsidRPr="005C7CCE">
        <w:t xml:space="preserve"> </w:t>
      </w:r>
      <w:r w:rsidR="0010442A" w:rsidRPr="005C7CCE">
        <w:t xml:space="preserve"> </w:t>
      </w:r>
      <w:r w:rsidRPr="005C7CCE">
        <w:t>et l</w:t>
      </w:r>
      <w:r w:rsidR="00A20444" w:rsidRPr="005C7CCE">
        <w:t>’</w:t>
      </w:r>
      <w:r w:rsidRPr="005C7CCE">
        <w:t>économie de la propriété intellectuelle.</w:t>
      </w:r>
      <w:r w:rsidR="0010442A" w:rsidRPr="005C7CCE">
        <w:t xml:space="preserve"> </w:t>
      </w:r>
      <w:r w:rsidRPr="005C7CCE">
        <w:t xml:space="preserve"> Les progrès ont été sensibles, mais la complexité des questions soulevées ainsi que d</w:t>
      </w:r>
      <w:r w:rsidR="00A20444" w:rsidRPr="005C7CCE">
        <w:t>’</w:t>
      </w:r>
      <w:r w:rsidRPr="005C7CCE">
        <w:t>autres priorités urgentes, telles que la révision permanente et la mise à jour des modules existants;</w:t>
      </w:r>
      <w:r w:rsidR="004F3E42" w:rsidRPr="005C7CCE">
        <w:t xml:space="preserve"> </w:t>
      </w:r>
      <w:r w:rsidR="0010442A" w:rsidRPr="005C7CCE">
        <w:t xml:space="preserve"> </w:t>
      </w:r>
      <w:r w:rsidRPr="005C7CCE">
        <w:t xml:space="preserve">la traduction des cours dans les langues officielles des </w:t>
      </w:r>
      <w:r w:rsidR="00A20444" w:rsidRPr="005C7CCE">
        <w:t>Nations Unies</w:t>
      </w:r>
      <w:r w:rsidRPr="005C7CCE">
        <w:t xml:space="preserve"> et la demande croissante pour des sessions ad</w:t>
      </w:r>
      <w:r w:rsidR="0010442A" w:rsidRPr="005C7CCE">
        <w:t> </w:t>
      </w:r>
      <w:r w:rsidRPr="005C7CCE">
        <w:t>hoc, ont empêché l</w:t>
      </w:r>
      <w:r w:rsidR="00A20444" w:rsidRPr="005C7CCE">
        <w:t>’</w:t>
      </w:r>
      <w:r w:rsidRPr="005C7CCE">
        <w:t>achèvement des nouveaux cours avant la fin de l</w:t>
      </w:r>
      <w:r w:rsidR="00A20444" w:rsidRPr="005C7CCE">
        <w:t>’</w:t>
      </w:r>
      <w:r w:rsidRPr="005C7CCE">
        <w:t>exercice biennal.</w:t>
      </w:r>
    </w:p>
    <w:p w:rsidR="00D42474" w:rsidRDefault="00D42474" w:rsidP="001A5BF9">
      <w:pPr>
        <w:autoSpaceDE w:val="0"/>
        <w:autoSpaceDN w:val="0"/>
        <w:adjustRightInd w:val="0"/>
        <w:jc w:val="both"/>
        <w:rPr>
          <w:rFonts w:eastAsia="MS Mincho" w:cs="Arial"/>
          <w:szCs w:val="22"/>
        </w:rPr>
      </w:pPr>
    </w:p>
    <w:p w:rsidR="00D42474" w:rsidRDefault="00D42474" w:rsidP="001A5BF9">
      <w:pPr>
        <w:autoSpaceDE w:val="0"/>
        <w:autoSpaceDN w:val="0"/>
        <w:adjustRightInd w:val="0"/>
        <w:jc w:val="both"/>
        <w:rPr>
          <w:rFonts w:eastAsia="MS Mincho" w:cs="Arial"/>
          <w:szCs w:val="22"/>
        </w:rPr>
      </w:pPr>
    </w:p>
    <w:p w:rsidR="00784E52" w:rsidRPr="00332224" w:rsidRDefault="00784E52" w:rsidP="001A5BF9">
      <w:pPr>
        <w:autoSpaceDE w:val="0"/>
        <w:autoSpaceDN w:val="0"/>
        <w:adjustRightInd w:val="0"/>
        <w:jc w:val="center"/>
        <w:rPr>
          <w:rFonts w:eastAsia="MS Mincho" w:cs="Arial"/>
          <w:spacing w:val="-4"/>
          <w:sz w:val="22"/>
          <w:szCs w:val="22"/>
        </w:rPr>
      </w:pPr>
      <w:r w:rsidRPr="00332224">
        <w:rPr>
          <w:i/>
          <w:spacing w:val="-4"/>
          <w:sz w:val="22"/>
        </w:rPr>
        <w:t>Répartition géographique des participants</w:t>
      </w:r>
      <w:r w:rsidR="004F3E42" w:rsidRPr="00332224">
        <w:rPr>
          <w:i/>
          <w:spacing w:val="-4"/>
          <w:sz w:val="22"/>
        </w:rPr>
        <w:t xml:space="preserve"> </w:t>
      </w:r>
      <w:r w:rsidRPr="00332224">
        <w:rPr>
          <w:i/>
          <w:spacing w:val="-4"/>
          <w:sz w:val="22"/>
        </w:rPr>
        <w:t>au programme d</w:t>
      </w:r>
      <w:r w:rsidR="00A20444" w:rsidRPr="00332224">
        <w:rPr>
          <w:i/>
          <w:spacing w:val="-4"/>
          <w:sz w:val="22"/>
        </w:rPr>
        <w:t>’</w:t>
      </w:r>
      <w:r w:rsidRPr="00332224">
        <w:rPr>
          <w:i/>
          <w:spacing w:val="-4"/>
          <w:sz w:val="22"/>
        </w:rPr>
        <w:t>enseignement à distance en</w:t>
      </w:r>
      <w:r w:rsidR="0010442A" w:rsidRPr="00332224">
        <w:rPr>
          <w:i/>
          <w:spacing w:val="-4"/>
          <w:sz w:val="22"/>
        </w:rPr>
        <w:t> </w:t>
      </w:r>
      <w:r w:rsidRPr="00332224">
        <w:rPr>
          <w:i/>
          <w:spacing w:val="-4"/>
          <w:sz w:val="22"/>
        </w:rPr>
        <w:t>2012</w:t>
      </w:r>
      <w:r w:rsidR="002D6F2A" w:rsidRPr="00332224">
        <w:rPr>
          <w:i/>
          <w:spacing w:val="-4"/>
          <w:sz w:val="22"/>
        </w:rPr>
        <w:noBreakHyphen/>
      </w:r>
      <w:r w:rsidRPr="00332224">
        <w:rPr>
          <w:i/>
          <w:spacing w:val="-4"/>
          <w:sz w:val="22"/>
        </w:rPr>
        <w:t>2013</w:t>
      </w:r>
    </w:p>
    <w:tbl>
      <w:tblPr>
        <w:tblpPr w:leftFromText="180" w:rightFromText="180" w:vertAnchor="text" w:horzAnchor="page" w:tblpX="3613" w:tblpY="109"/>
        <w:tblW w:w="0" w:type="auto"/>
        <w:tblBorders>
          <w:insideH w:val="single" w:sz="4" w:space="0" w:color="auto"/>
        </w:tblBorders>
        <w:tblLook w:val="00A0" w:firstRow="1" w:lastRow="0" w:firstColumn="1" w:lastColumn="0" w:noHBand="0" w:noVBand="0"/>
      </w:tblPr>
      <w:tblGrid>
        <w:gridCol w:w="1169"/>
        <w:gridCol w:w="1170"/>
        <w:gridCol w:w="1169"/>
        <w:gridCol w:w="1170"/>
      </w:tblGrid>
      <w:tr w:rsidR="00784E52" w:rsidRPr="005C7CCE" w:rsidTr="00BB3F3E">
        <w:tc>
          <w:tcPr>
            <w:tcW w:w="1169" w:type="dxa"/>
          </w:tcPr>
          <w:p w:rsidR="00784E52" w:rsidRPr="005C7CCE" w:rsidRDefault="00784E52" w:rsidP="001A5BF9">
            <w:pPr>
              <w:jc w:val="right"/>
              <w:rPr>
                <w:rFonts w:ascii="Garamond" w:hAnsi="Garamond"/>
                <w:b/>
                <w:sz w:val="24"/>
              </w:rPr>
            </w:pPr>
            <w:r w:rsidRPr="005C7CCE">
              <w:rPr>
                <w:rFonts w:ascii="Garamond" w:hAnsi="Garamond"/>
                <w:b/>
                <w:sz w:val="24"/>
              </w:rPr>
              <w:t>2012</w:t>
            </w:r>
          </w:p>
        </w:tc>
        <w:tc>
          <w:tcPr>
            <w:tcW w:w="1170" w:type="dxa"/>
          </w:tcPr>
          <w:p w:rsidR="00784E52" w:rsidRPr="005C7CCE" w:rsidRDefault="00784E52" w:rsidP="001A5BF9">
            <w:pPr>
              <w:rPr>
                <w:rFonts w:ascii="Garamond" w:hAnsi="Garamond"/>
                <w:b/>
                <w:sz w:val="24"/>
              </w:rPr>
            </w:pPr>
          </w:p>
        </w:tc>
        <w:tc>
          <w:tcPr>
            <w:tcW w:w="1169" w:type="dxa"/>
          </w:tcPr>
          <w:p w:rsidR="00784E52" w:rsidRPr="005C7CCE" w:rsidRDefault="00784E52" w:rsidP="001A5BF9">
            <w:pPr>
              <w:rPr>
                <w:rFonts w:ascii="Garamond" w:hAnsi="Garamond"/>
                <w:b/>
                <w:sz w:val="24"/>
              </w:rPr>
            </w:pPr>
          </w:p>
        </w:tc>
        <w:tc>
          <w:tcPr>
            <w:tcW w:w="1170" w:type="dxa"/>
          </w:tcPr>
          <w:p w:rsidR="00784E52" w:rsidRPr="005C7CCE" w:rsidRDefault="00784E52" w:rsidP="001A5BF9">
            <w:pPr>
              <w:jc w:val="center"/>
              <w:rPr>
                <w:rFonts w:ascii="Garamond" w:hAnsi="Garamond"/>
                <w:b/>
                <w:sz w:val="24"/>
              </w:rPr>
            </w:pPr>
            <w:r w:rsidRPr="005C7CCE">
              <w:rPr>
                <w:rFonts w:ascii="Garamond" w:hAnsi="Garamond"/>
                <w:b/>
                <w:sz w:val="24"/>
              </w:rPr>
              <w:t>2013</w:t>
            </w:r>
          </w:p>
        </w:tc>
      </w:tr>
    </w:tbl>
    <w:p w:rsidR="00D42474" w:rsidRDefault="00D42474" w:rsidP="001A5BF9">
      <w:pPr>
        <w:autoSpaceDE w:val="0"/>
        <w:autoSpaceDN w:val="0"/>
        <w:adjustRightInd w:val="0"/>
        <w:jc w:val="both"/>
        <w:rPr>
          <w:rFonts w:eastAsia="MS Mincho" w:cs="Arial"/>
          <w:szCs w:val="22"/>
        </w:rPr>
      </w:pPr>
    </w:p>
    <w:p w:rsidR="00D42474" w:rsidRDefault="00D42474" w:rsidP="001A5BF9">
      <w:pPr>
        <w:autoSpaceDE w:val="0"/>
        <w:autoSpaceDN w:val="0"/>
        <w:adjustRightInd w:val="0"/>
        <w:jc w:val="both"/>
        <w:rPr>
          <w:rFonts w:eastAsia="MS Mincho" w:cs="Arial"/>
          <w:szCs w:val="22"/>
        </w:rPr>
      </w:pPr>
    </w:p>
    <w:p w:rsidR="00D42474" w:rsidRDefault="00D656BD" w:rsidP="001A5BF9">
      <w:pPr>
        <w:autoSpaceDE w:val="0"/>
        <w:autoSpaceDN w:val="0"/>
        <w:adjustRightInd w:val="0"/>
        <w:jc w:val="both"/>
        <w:rPr>
          <w:rFonts w:eastAsia="MS Mincho" w:cs="Arial"/>
          <w:szCs w:val="22"/>
        </w:rPr>
      </w:pPr>
      <w:r w:rsidRPr="005C7CCE">
        <w:rPr>
          <w:noProof/>
        </w:rPr>
        <mc:AlternateContent>
          <mc:Choice Requires="wpg">
            <w:drawing>
              <wp:inline distT="0" distB="0" distL="0" distR="0" wp14:anchorId="47239E0B" wp14:editId="3C72DF64">
                <wp:extent cx="5878195" cy="1745615"/>
                <wp:effectExtent l="0" t="0" r="0" b="0"/>
                <wp:docPr id="3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1745615"/>
                          <a:chOff x="0" y="0"/>
                          <a:chExt cx="5878286" cy="1745673"/>
                        </a:xfrm>
                      </wpg:grpSpPr>
                      <wpg:graphicFrame>
                        <wpg:cNvPr id="38" name="Chart 18"/>
                        <wpg:cNvFrPr>
                          <a:graphicFrameLocks/>
                        </wpg:cNvFrPr>
                        <wpg:xfrm>
                          <a:off x="2895600" y="0"/>
                          <a:ext cx="2980944" cy="1719072"/>
                        </wpg:xfrm>
                        <a:graphic>
                          <a:graphicData uri="http://schemas.openxmlformats.org/drawingml/2006/chart">
                            <c:chart xmlns:c="http://schemas.openxmlformats.org/drawingml/2006/chart" xmlns:r="http://schemas.openxmlformats.org/officeDocument/2006/relationships" r:id="rId60"/>
                          </a:graphicData>
                        </a:graphic>
                      </wpg:graphicFrame>
                      <wpg:graphicFrame>
                        <wpg:cNvPr id="48" name="Chart 19"/>
                        <wpg:cNvFrPr>
                          <a:graphicFrameLocks/>
                        </wpg:cNvFrPr>
                        <wpg:xfrm>
                          <a:off x="0" y="24384"/>
                          <a:ext cx="2968752" cy="1719072"/>
                        </wpg:xfrm>
                        <a:graphic>
                          <a:graphicData uri="http://schemas.openxmlformats.org/drawingml/2006/chart">
                            <c:chart xmlns:c="http://schemas.openxmlformats.org/drawingml/2006/chart" xmlns:r="http://schemas.openxmlformats.org/officeDocument/2006/relationships" r:id="rId61"/>
                          </a:graphicData>
                        </a:graphic>
                      </wpg:graphicFrame>
                    </wpg:wgp>
                  </a:graphicData>
                </a:graphic>
              </wp:inline>
            </w:drawing>
          </mc:Choice>
          <mc:Fallback>
            <w:pict>
              <v:group id="Group 17" o:spid="_x0000_s1026" style="width:462.85pt;height:137.45pt;mso-position-horizontal-relative:char;mso-position-vertical-relative:line" coordsize="58782,17456" o:gfxdata="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">
                <v:shape id="Chart 18" o:spid="_x0000_s1027" type="#_x0000_t75" style="position:absolute;left:28956;width:29810;height:1719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">
                  <v:imagedata r:id="rId63" o:title=""/>
                  <o:lock v:ext="edit" aspectratio="f"/>
                </v:shape>
                <v:shape id="Chart 19" o:spid="_x0000_s1028" type="#_x0000_t75" style="position:absolute;top:243;width:29687;height:17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">
                  <v:imagedata r:id="rId64" o:title=""/>
                  <o:lock v:ext="edit" aspectratio="f"/>
                </v:shape>
                <w10:anchorlock/>
              </v:group>
              <o:OLEObject Type="Embed" ProgID="Excel.Chart.8" ShapeID="Chart 18" DrawAspect="Content" ObjectID="_1468388212" r:id="rId65">
                <o:FieldCodes>\s</o:FieldCodes>
              </o:OLEObject>
              <o:OLEObject Type="Embed" ProgID="Excel.Chart.8" ShapeID="Chart 19" DrawAspect="Content" ObjectID="_1468388213" r:id="rId66">
                <o:FieldCodes>\s</o:FieldCodes>
              </o:OLEObject>
            </w:pict>
          </mc:Fallback>
        </mc:AlternateContent>
      </w:r>
    </w:p>
    <w:p w:rsidR="00D42474" w:rsidRDefault="00D42474" w:rsidP="001A5BF9">
      <w:pPr>
        <w:autoSpaceDE w:val="0"/>
        <w:autoSpaceDN w:val="0"/>
        <w:adjustRightInd w:val="0"/>
        <w:jc w:val="both"/>
        <w:rPr>
          <w:rFonts w:cs="Arial"/>
          <w:szCs w:val="22"/>
        </w:rPr>
      </w:pPr>
    </w:p>
    <w:p w:rsidR="00D42474" w:rsidRDefault="00D42474" w:rsidP="001A5BF9">
      <w:pPr>
        <w:autoSpaceDE w:val="0"/>
        <w:autoSpaceDN w:val="0"/>
        <w:adjustRightInd w:val="0"/>
        <w:jc w:val="both"/>
        <w:rPr>
          <w:rFonts w:cs="Arial"/>
          <w:szCs w:val="22"/>
        </w:rPr>
      </w:pPr>
    </w:p>
    <w:p w:rsidR="00D42474" w:rsidRDefault="00784E52" w:rsidP="001A5BF9">
      <w:pPr>
        <w:pStyle w:val="Paragraphedeliste"/>
        <w:numPr>
          <w:ilvl w:val="0"/>
          <w:numId w:val="39"/>
        </w:numPr>
        <w:tabs>
          <w:tab w:val="left" w:pos="709"/>
        </w:tabs>
        <w:autoSpaceDE w:val="0"/>
        <w:autoSpaceDN w:val="0"/>
        <w:adjustRightInd w:val="0"/>
        <w:ind w:left="0" w:firstLine="0"/>
        <w:jc w:val="both"/>
        <w:rPr>
          <w:rFonts w:cs="Arial"/>
        </w:rPr>
      </w:pPr>
      <w:r w:rsidRPr="00332224">
        <w:t>Le programme des établissements universitaires a continué d</w:t>
      </w:r>
      <w:r w:rsidR="00A20444" w:rsidRPr="00332224">
        <w:t>’</w:t>
      </w:r>
      <w:r w:rsidRPr="00332224">
        <w:t>offrir des cours communs de niveau maîtrise (mastère) en droit de la propriété intellectuelle à l</w:t>
      </w:r>
      <w:r w:rsidR="00A20444" w:rsidRPr="00332224">
        <w:t>’</w:t>
      </w:r>
      <w:r w:rsidRPr="00332224">
        <w:t>intention des ressortissants des pays en développement et des pays en transition, avec le concours de plusieurs universités.</w:t>
      </w:r>
      <w:r w:rsidR="004F3E42" w:rsidRPr="00332224">
        <w:t xml:space="preserve"> </w:t>
      </w:r>
      <w:r w:rsidR="0010442A" w:rsidRPr="00332224">
        <w:t xml:space="preserve"> </w:t>
      </w:r>
      <w:r w:rsidRPr="00332224">
        <w:t>Au total, 332 étudiants de 88 pays (dont 167 bénéficiaires d</w:t>
      </w:r>
      <w:r w:rsidR="00A20444" w:rsidRPr="00332224">
        <w:t>’</w:t>
      </w:r>
      <w:r w:rsidRPr="00332224">
        <w:t>une bourse intégrale de l</w:t>
      </w:r>
      <w:r w:rsidR="00A20444" w:rsidRPr="00332224">
        <w:t>’</w:t>
      </w:r>
      <w:r w:rsidRPr="00332224">
        <w:t>OMPI) ont obtenu leur diplôme au cours de l</w:t>
      </w:r>
      <w:r w:rsidR="00A20444" w:rsidRPr="00332224">
        <w:t>’</w:t>
      </w:r>
      <w:r w:rsidRPr="00332224">
        <w:t>exercice biennal 2012</w:t>
      </w:r>
      <w:r w:rsidR="002D6F2A" w:rsidRPr="00332224">
        <w:noBreakHyphen/>
      </w:r>
      <w:r w:rsidRPr="00332224">
        <w:t>2013 dans le cadre des programmes de maîtrise (mastère) en droit de la propriété intellectuelle proposés par l</w:t>
      </w:r>
      <w:r w:rsidR="00A20444" w:rsidRPr="00332224">
        <w:t>’</w:t>
      </w:r>
      <w:r w:rsidRPr="00332224">
        <w:t>Académie conjointement avec l</w:t>
      </w:r>
      <w:r w:rsidR="00A20444" w:rsidRPr="00332224">
        <w:t>’</w:t>
      </w:r>
      <w:r w:rsidRPr="00332224">
        <w:t>Université de Turin en Italie, l</w:t>
      </w:r>
      <w:r w:rsidR="00A20444" w:rsidRPr="00332224">
        <w:t>’</w:t>
      </w:r>
      <w:r w:rsidRPr="00332224">
        <w:t xml:space="preserve">Université </w:t>
      </w:r>
      <w:proofErr w:type="spellStart"/>
      <w:r w:rsidRPr="00332224">
        <w:t>Africa</w:t>
      </w:r>
      <w:proofErr w:type="spellEnd"/>
      <w:r w:rsidRPr="00332224">
        <w:t xml:space="preserve"> et l</w:t>
      </w:r>
      <w:r w:rsidR="00A20444" w:rsidRPr="00332224">
        <w:t>’</w:t>
      </w:r>
      <w:r w:rsidRPr="00332224">
        <w:t xml:space="preserve">ARIPO au Zimbabwe, la Queensland </w:t>
      </w:r>
      <w:proofErr w:type="spellStart"/>
      <w:r w:rsidRPr="00332224">
        <w:t>University</w:t>
      </w:r>
      <w:proofErr w:type="spellEnd"/>
      <w:r w:rsidRPr="00332224">
        <w:t xml:space="preserve"> of </w:t>
      </w:r>
      <w:proofErr w:type="spellStart"/>
      <w:r w:rsidRPr="00332224">
        <w:t>Technology</w:t>
      </w:r>
      <w:proofErr w:type="spellEnd"/>
      <w:r w:rsidRPr="00332224">
        <w:t xml:space="preserve"> (</w:t>
      </w:r>
      <w:proofErr w:type="spellStart"/>
      <w:r w:rsidRPr="00332224">
        <w:t>QUT</w:t>
      </w:r>
      <w:proofErr w:type="spellEnd"/>
      <w:r w:rsidRPr="00332224">
        <w:t>) en Australie, l</w:t>
      </w:r>
      <w:r w:rsidR="00A20444" w:rsidRPr="00332224">
        <w:t>’</w:t>
      </w:r>
      <w:r w:rsidRPr="00332224">
        <w:t>Université de Yaoundé II et l</w:t>
      </w:r>
      <w:r w:rsidR="00A20444" w:rsidRPr="00332224">
        <w:t>’</w:t>
      </w:r>
      <w:r w:rsidRPr="00332224">
        <w:t>Organisation africaine de la propriété intellectuelle (OAPI) au Cameroun, l</w:t>
      </w:r>
      <w:r w:rsidR="00A20444" w:rsidRPr="00332224">
        <w:t>’</w:t>
      </w:r>
      <w:r w:rsidRPr="00332224">
        <w:t>Université nationale de Séoul et l</w:t>
      </w:r>
      <w:r w:rsidR="00A20444" w:rsidRPr="00332224">
        <w:t>’</w:t>
      </w:r>
      <w:r w:rsidRPr="00332224">
        <w:t>Office coréen de la propriété intellectuelle en République de Corée, l</w:t>
      </w:r>
      <w:r w:rsidR="00A20444" w:rsidRPr="00332224">
        <w:t>’</w:t>
      </w:r>
      <w:r w:rsidRPr="00332224">
        <w:t>Université australe et l</w:t>
      </w:r>
      <w:r w:rsidR="00A20444" w:rsidRPr="00332224">
        <w:t>’</w:t>
      </w:r>
      <w:r w:rsidRPr="00332224">
        <w:t>Institut national de la propriété industrielle (</w:t>
      </w:r>
      <w:proofErr w:type="spellStart"/>
      <w:r w:rsidRPr="00332224">
        <w:t>INPI</w:t>
      </w:r>
      <w:proofErr w:type="spellEnd"/>
      <w:r w:rsidRPr="00332224">
        <w:t>) en Argentine, et l</w:t>
      </w:r>
      <w:r w:rsidR="00A20444" w:rsidRPr="00332224">
        <w:t>’</w:t>
      </w:r>
      <w:r w:rsidRPr="00332224">
        <w:t>Université d</w:t>
      </w:r>
      <w:r w:rsidR="00A20444" w:rsidRPr="00332224">
        <w:t>’</w:t>
      </w:r>
      <w:r w:rsidRPr="00332224">
        <w:t xml:space="preserve">Haïfa en Israël. </w:t>
      </w:r>
      <w:r w:rsidR="0010442A" w:rsidRPr="00332224">
        <w:t xml:space="preserve"> </w:t>
      </w:r>
      <w:r w:rsidRPr="00332224">
        <w:t>Par ailleurs, l</w:t>
      </w:r>
      <w:r w:rsidR="00A20444" w:rsidRPr="00332224">
        <w:t>’</w:t>
      </w:r>
      <w:r w:rsidRPr="00332224">
        <w:t>Académie a continué de soutenir les établissements universitaires dans six pays en développement et PMA (Bangladesh, Indonésie, Jamaïque, Libéria, République</w:t>
      </w:r>
      <w:r w:rsidR="002D6F2A" w:rsidRPr="00332224">
        <w:noBreakHyphen/>
      </w:r>
      <w:r w:rsidRPr="00332224">
        <w:t>Unie de Tanzanie et Venezuela</w:t>
      </w:r>
      <w:r w:rsidR="00A930EA" w:rsidRPr="00332224">
        <w:t xml:space="preserve"> (République bolivarienne du)</w:t>
      </w:r>
      <w:r w:rsidRPr="00332224">
        <w:t>) dans le cadre de la création ou la révision des programmes d</w:t>
      </w:r>
      <w:r w:rsidR="00A20444" w:rsidRPr="00332224">
        <w:t>’</w:t>
      </w:r>
      <w:r w:rsidRPr="00332224">
        <w:t xml:space="preserve">enseignement supérieur en propriété intellectuelle. </w:t>
      </w:r>
      <w:r w:rsidR="0010442A" w:rsidRPr="00332224">
        <w:t xml:space="preserve"> </w:t>
      </w:r>
      <w:r w:rsidRPr="00332224">
        <w:t>Afin de promouvoir l</w:t>
      </w:r>
      <w:r w:rsidR="00A20444" w:rsidRPr="00332224">
        <w:t>’</w:t>
      </w:r>
      <w:r w:rsidRPr="00332224">
        <w:t>enseignement supérieur en propriété intellectuelle, l</w:t>
      </w:r>
      <w:r w:rsidR="00A20444" w:rsidRPr="00332224">
        <w:t>’</w:t>
      </w:r>
      <w:r w:rsidRPr="00332224">
        <w:t xml:space="preserve">Académie a rendu possible la participation de </w:t>
      </w:r>
      <w:r w:rsidR="0010442A" w:rsidRPr="00332224">
        <w:t>10</w:t>
      </w:r>
      <w:r w:rsidRPr="00332224">
        <w:t> universitaires issus de pays en développement et de pays en transition dans les activités de l</w:t>
      </w:r>
      <w:r w:rsidR="00A20444" w:rsidRPr="00332224">
        <w:t>’</w:t>
      </w:r>
      <w:r w:rsidRPr="00332224">
        <w:t>Association internationale pour la promotion de l</w:t>
      </w:r>
      <w:r w:rsidR="00A20444" w:rsidRPr="00332224">
        <w:t>’</w:t>
      </w:r>
      <w:r w:rsidRPr="00332224">
        <w:t>enseignement et de la recherche en propriété intellectuelle (</w:t>
      </w:r>
      <w:proofErr w:type="spellStart"/>
      <w:r w:rsidRPr="00332224">
        <w:t>ATRIP</w:t>
      </w:r>
      <w:proofErr w:type="spellEnd"/>
      <w:r w:rsidRPr="00332224">
        <w:t xml:space="preserve">). </w:t>
      </w:r>
      <w:r w:rsidR="0010442A" w:rsidRPr="00332224">
        <w:t xml:space="preserve"> </w:t>
      </w:r>
      <w:r w:rsidRPr="00332224">
        <w:t>Un colloque à l</w:t>
      </w:r>
      <w:r w:rsidR="00A20444" w:rsidRPr="00332224">
        <w:t>’</w:t>
      </w:r>
      <w:r w:rsidRPr="00332224">
        <w:t>intention des enseignements en propriété intellectuelle a été organisé en association avec l</w:t>
      </w:r>
      <w:r w:rsidR="00A20444" w:rsidRPr="00332224">
        <w:t>’</w:t>
      </w:r>
      <w:r w:rsidRPr="00332224">
        <w:t>OMC en 2012 et en 2013 qui a rassemblé 54 universitaires de pays en développement et de pays en transition</w:t>
      </w:r>
      <w:r w:rsidR="00C24718" w:rsidRPr="00332224">
        <w:t xml:space="preserve">. </w:t>
      </w:r>
      <w:r w:rsidRPr="00332224">
        <w:t xml:space="preserve"> Les colloques ont offert un forum de dialogue et de débat sur les récentes évolutions dans les principaux domaines de la propriété intellectuelle et sur les questions relevant de l</w:t>
      </w:r>
      <w:r w:rsidR="00A20444" w:rsidRPr="00332224">
        <w:t>’</w:t>
      </w:r>
      <w:r w:rsidRPr="00332224">
        <w:t xml:space="preserve">enseignement et de la pédagogie. </w:t>
      </w:r>
      <w:r w:rsidR="0010442A" w:rsidRPr="00332224">
        <w:t xml:space="preserve"> </w:t>
      </w:r>
      <w:r w:rsidRPr="00332224">
        <w:t>Des séances d</w:t>
      </w:r>
      <w:r w:rsidR="00A20444" w:rsidRPr="00332224">
        <w:t>’</w:t>
      </w:r>
      <w:r w:rsidRPr="00332224">
        <w:t>information ad hoc ont également été organisées pour plus de 300 personnes au siège de l</w:t>
      </w:r>
      <w:r w:rsidR="00A20444" w:rsidRPr="00332224">
        <w:t>’</w:t>
      </w:r>
      <w:r w:rsidRPr="00332224">
        <w:t>OMPI, y compris pour plus de 30 diplomates installés à Genève.</w:t>
      </w:r>
    </w:p>
    <w:p w:rsidR="00D42474" w:rsidRDefault="00D42474" w:rsidP="001A5BF9">
      <w:pPr>
        <w:tabs>
          <w:tab w:val="left" w:pos="709"/>
        </w:tabs>
        <w:autoSpaceDE w:val="0"/>
        <w:autoSpaceDN w:val="0"/>
        <w:adjustRightInd w:val="0"/>
        <w:jc w:val="both"/>
        <w:rPr>
          <w:rFonts w:cs="Arial"/>
          <w:szCs w:val="20"/>
        </w:rPr>
      </w:pPr>
    </w:p>
    <w:p w:rsidR="00D42474" w:rsidRDefault="00784E52" w:rsidP="001A5BF9">
      <w:pPr>
        <w:pStyle w:val="Paragraphedeliste"/>
        <w:numPr>
          <w:ilvl w:val="0"/>
          <w:numId w:val="39"/>
        </w:numPr>
        <w:tabs>
          <w:tab w:val="left" w:pos="709"/>
        </w:tabs>
        <w:autoSpaceDE w:val="0"/>
        <w:autoSpaceDN w:val="0"/>
        <w:adjustRightInd w:val="0"/>
        <w:ind w:left="0" w:firstLine="0"/>
        <w:jc w:val="both"/>
        <w:rPr>
          <w:rFonts w:cs="Arial"/>
        </w:rPr>
      </w:pPr>
      <w:r w:rsidRPr="00332224">
        <w:t>En 2012</w:t>
      </w:r>
      <w:r w:rsidR="002D6F2A" w:rsidRPr="00332224">
        <w:noBreakHyphen/>
      </w:r>
      <w:r w:rsidRPr="00332224">
        <w:t>2013, l</w:t>
      </w:r>
      <w:r w:rsidR="00A20444" w:rsidRPr="00332224">
        <w:t>’</w:t>
      </w:r>
      <w:r w:rsidRPr="00332224">
        <w:t>Académie a organisé deux sessions de formation de trois jours, au titre de son programme de perfectionnement des cadres, à l</w:t>
      </w:r>
      <w:r w:rsidR="00A20444" w:rsidRPr="00332224">
        <w:t>’</w:t>
      </w:r>
      <w:r w:rsidRPr="00332224">
        <w:t xml:space="preserve">intention de 48 cadres de 18 pays, à Santiago du Chili et au Cap (Afrique du Sud) en mars et en décembre 2012, respectivement. </w:t>
      </w:r>
      <w:r w:rsidR="0010442A" w:rsidRPr="00332224">
        <w:t xml:space="preserve"> </w:t>
      </w:r>
      <w:r w:rsidRPr="00332224">
        <w:t>La sensibilisation des diplômés de l</w:t>
      </w:r>
      <w:r w:rsidR="00A20444" w:rsidRPr="00332224">
        <w:t>’</w:t>
      </w:r>
      <w:r w:rsidRPr="00332224">
        <w:t>enseignement secondaire et des jeunes spécialistes à la propriété intellectuelle est restée une priorité au cours de l</w:t>
      </w:r>
      <w:r w:rsidR="00A20444" w:rsidRPr="00332224">
        <w:t>’</w:t>
      </w:r>
      <w:r w:rsidRPr="00332224">
        <w:t xml:space="preserve">exercice biennal. </w:t>
      </w:r>
      <w:r w:rsidR="0010442A" w:rsidRPr="00332224">
        <w:t xml:space="preserve"> </w:t>
      </w:r>
      <w:r w:rsidRPr="00332224">
        <w:t>L</w:t>
      </w:r>
      <w:r w:rsidR="00A20444" w:rsidRPr="00332224">
        <w:t>’</w:t>
      </w:r>
      <w:r w:rsidRPr="00332224">
        <w:t>Académie a organisé 18 sessions dans le cadre de son programme de cours d</w:t>
      </w:r>
      <w:r w:rsidR="00A20444" w:rsidRPr="00332224">
        <w:t>’</w:t>
      </w:r>
      <w:r w:rsidRPr="00332224">
        <w:t xml:space="preserve">été en coopération avec </w:t>
      </w:r>
      <w:r w:rsidR="0010442A" w:rsidRPr="00332224">
        <w:t>10</w:t>
      </w:r>
      <w:r w:rsidRPr="00332224">
        <w:t> gouvernements hôtes (Afrique du Sud, Croatie, États</w:t>
      </w:r>
      <w:r w:rsidR="002D6F2A" w:rsidRPr="00332224">
        <w:noBreakHyphen/>
      </w:r>
      <w:r w:rsidRPr="00332224">
        <w:t>Unis d</w:t>
      </w:r>
      <w:r w:rsidR="00A20444" w:rsidRPr="00332224">
        <w:t>’</w:t>
      </w:r>
      <w:r w:rsidRPr="00332224">
        <w:t xml:space="preserve">Amérique, Fédération de Russie, Mexique, République de Corée, Singapour, Thaïlande, Turquie et Ukraine). </w:t>
      </w:r>
      <w:r w:rsidR="0010442A" w:rsidRPr="00332224">
        <w:t xml:space="preserve"> </w:t>
      </w:r>
      <w:r w:rsidRPr="00332224">
        <w:t>En outre, deux sessions (une pour chaque année de l</w:t>
      </w:r>
      <w:r w:rsidR="00A20444" w:rsidRPr="00332224">
        <w:t>’</w:t>
      </w:r>
      <w:r w:rsidRPr="00332224">
        <w:t>exercice biennal) ont eu lieu en coopération avec l</w:t>
      </w:r>
      <w:r w:rsidR="00A20444" w:rsidRPr="00332224">
        <w:t>’</w:t>
      </w:r>
      <w:r w:rsidRPr="00332224">
        <w:t>Université de Genève au siège de l</w:t>
      </w:r>
      <w:r w:rsidR="00A20444" w:rsidRPr="00332224">
        <w:t>’</w:t>
      </w:r>
      <w:r w:rsidRPr="00332224">
        <w:t xml:space="preserve">OMPI. </w:t>
      </w:r>
      <w:r w:rsidR="0010442A" w:rsidRPr="00332224">
        <w:t xml:space="preserve"> </w:t>
      </w:r>
      <w:r w:rsidRPr="00332224">
        <w:t>Les sessions ont permis à 630 étudiants et jeunes spécialistes d</w:t>
      </w:r>
      <w:r w:rsidR="00A20444" w:rsidRPr="00332224">
        <w:t>’</w:t>
      </w:r>
      <w:r w:rsidRPr="00332224">
        <w:t>apprécier l</w:t>
      </w:r>
      <w:r w:rsidR="00A20444" w:rsidRPr="00332224">
        <w:t>’</w:t>
      </w:r>
      <w:r w:rsidRPr="00332224">
        <w:t>importance de la propriété intellectuelle au service du développement et le rôle de l</w:t>
      </w:r>
      <w:r w:rsidR="00A20444" w:rsidRPr="00332224">
        <w:t>’</w:t>
      </w:r>
      <w:r w:rsidRPr="00332224">
        <w:t xml:space="preserve">OMPI dans la coopération multilatérale à cet égard. </w:t>
      </w:r>
      <w:r w:rsidR="0010442A" w:rsidRPr="00332224">
        <w:t xml:space="preserve"> </w:t>
      </w:r>
      <w:r w:rsidRPr="00332224">
        <w:t>Sur ces 20 sessions, quatre</w:t>
      </w:r>
      <w:r w:rsidR="0010442A" w:rsidRPr="00332224">
        <w:t> </w:t>
      </w:r>
      <w:r w:rsidRPr="00332224">
        <w:t>ont été consacrées à des domaines spécifiques de la propriété intellectuelle : les marques, le droit d</w:t>
      </w:r>
      <w:r w:rsidR="00A20444" w:rsidRPr="00332224">
        <w:t>’</w:t>
      </w:r>
      <w:r w:rsidRPr="00332224">
        <w:t>auteur et les droits connexes, et le transfert de technologie.</w:t>
      </w:r>
    </w:p>
    <w:p w:rsidR="00D42474" w:rsidRDefault="00D42474" w:rsidP="001A5BF9">
      <w:pPr>
        <w:pStyle w:val="Paragraphedeliste"/>
        <w:autoSpaceDE w:val="0"/>
        <w:autoSpaceDN w:val="0"/>
        <w:adjustRightInd w:val="0"/>
        <w:ind w:left="0"/>
        <w:jc w:val="both"/>
        <w:rPr>
          <w:rFonts w:cs="Arial"/>
        </w:rPr>
      </w:pPr>
    </w:p>
    <w:p w:rsidR="00D42474" w:rsidRDefault="00784E52" w:rsidP="001A5BF9">
      <w:pPr>
        <w:pStyle w:val="Paragraphedeliste"/>
        <w:keepNext/>
        <w:keepLines/>
        <w:numPr>
          <w:ilvl w:val="0"/>
          <w:numId w:val="39"/>
        </w:numPr>
        <w:tabs>
          <w:tab w:val="left" w:pos="709"/>
        </w:tabs>
        <w:autoSpaceDE w:val="0"/>
        <w:autoSpaceDN w:val="0"/>
        <w:adjustRightInd w:val="0"/>
        <w:ind w:left="0" w:firstLine="0"/>
        <w:jc w:val="both"/>
        <w:rPr>
          <w:spacing w:val="-2"/>
        </w:rPr>
      </w:pPr>
      <w:r w:rsidRPr="00332224">
        <w:rPr>
          <w:spacing w:val="-2"/>
        </w:rPr>
        <w:t xml:space="preserve">En </w:t>
      </w:r>
      <w:r w:rsidR="00A20444" w:rsidRPr="00332224">
        <w:rPr>
          <w:spacing w:val="-2"/>
        </w:rPr>
        <w:t>mai 20</w:t>
      </w:r>
      <w:r w:rsidRPr="00332224">
        <w:rPr>
          <w:spacing w:val="-2"/>
        </w:rPr>
        <w:t>12,</w:t>
      </w:r>
      <w:r w:rsidR="00A20444" w:rsidRPr="00332224">
        <w:rPr>
          <w:spacing w:val="-2"/>
        </w:rPr>
        <w:t xml:space="preserve"> le CDI</w:t>
      </w:r>
      <w:r w:rsidRPr="00332224">
        <w:rPr>
          <w:spacing w:val="-2"/>
        </w:rPr>
        <w:t>P a approuvé la deuxième phase du projet de nouvelles académies en ce qui concerne six</w:t>
      </w:r>
      <w:r w:rsidR="0010442A" w:rsidRPr="00332224">
        <w:rPr>
          <w:spacing w:val="-2"/>
        </w:rPr>
        <w:t> </w:t>
      </w:r>
      <w:r w:rsidRPr="00332224">
        <w:rPr>
          <w:spacing w:val="-2"/>
        </w:rPr>
        <w:t>pays.</w:t>
      </w:r>
      <w:r w:rsidR="004F3E42" w:rsidRPr="00332224">
        <w:rPr>
          <w:spacing w:val="-2"/>
        </w:rPr>
        <w:t xml:space="preserve"> </w:t>
      </w:r>
      <w:r w:rsidR="0010442A" w:rsidRPr="00332224">
        <w:rPr>
          <w:spacing w:val="-2"/>
        </w:rPr>
        <w:t xml:space="preserve"> </w:t>
      </w:r>
      <w:r w:rsidRPr="00332224">
        <w:rPr>
          <w:spacing w:val="-2"/>
        </w:rPr>
        <w:t>Par conséquent, à la fin de 2013, quatre</w:t>
      </w:r>
      <w:r w:rsidR="0010442A" w:rsidRPr="00332224">
        <w:rPr>
          <w:spacing w:val="-2"/>
        </w:rPr>
        <w:t> </w:t>
      </w:r>
      <w:r w:rsidRPr="00332224">
        <w:rPr>
          <w:spacing w:val="-2"/>
        </w:rPr>
        <w:t xml:space="preserve">établissements nationaux de formation à la propriété intellectuelle avaient été établis dans les quatre pays concernés par la première phase du projet, </w:t>
      </w:r>
      <w:r w:rsidR="00A20444" w:rsidRPr="00332224">
        <w:rPr>
          <w:spacing w:val="-2"/>
        </w:rPr>
        <w:t>à savoir</w:t>
      </w:r>
      <w:r w:rsidRPr="00332224">
        <w:rPr>
          <w:spacing w:val="-2"/>
        </w:rPr>
        <w:t xml:space="preserve"> la Colombie (“Aula de </w:t>
      </w:r>
      <w:proofErr w:type="spellStart"/>
      <w:r w:rsidRPr="00332224">
        <w:rPr>
          <w:spacing w:val="-2"/>
        </w:rPr>
        <w:t>Propiedad</w:t>
      </w:r>
      <w:proofErr w:type="spellEnd"/>
      <w:r w:rsidRPr="00332224">
        <w:rPr>
          <w:spacing w:val="-2"/>
        </w:rPr>
        <w:t xml:space="preserve"> </w:t>
      </w:r>
      <w:proofErr w:type="spellStart"/>
      <w:r w:rsidRPr="00332224">
        <w:rPr>
          <w:spacing w:val="-2"/>
        </w:rPr>
        <w:t>Intelectual</w:t>
      </w:r>
      <w:proofErr w:type="spellEnd"/>
      <w:r w:rsidRPr="00332224">
        <w:rPr>
          <w:spacing w:val="-2"/>
        </w:rPr>
        <w:t xml:space="preserve"> </w:t>
      </w:r>
      <w:r w:rsidR="00AC077A" w:rsidRPr="00332224">
        <w:rPr>
          <w:spacing w:val="-2"/>
        </w:rPr>
        <w:t>(</w:t>
      </w:r>
      <w:r w:rsidRPr="00332224">
        <w:rPr>
          <w:spacing w:val="-2"/>
        </w:rPr>
        <w:t>API</w:t>
      </w:r>
      <w:r w:rsidR="00AC077A" w:rsidRPr="00332224">
        <w:rPr>
          <w:spacing w:val="-2"/>
        </w:rPr>
        <w:t>)</w:t>
      </w:r>
      <w:r w:rsidRPr="00332224">
        <w:rPr>
          <w:spacing w:val="-2"/>
        </w:rPr>
        <w:t>);</w:t>
      </w:r>
      <w:r w:rsidR="004F3E42" w:rsidRPr="00332224">
        <w:rPr>
          <w:spacing w:val="-2"/>
        </w:rPr>
        <w:t xml:space="preserve"> </w:t>
      </w:r>
      <w:r w:rsidR="0010442A" w:rsidRPr="00332224">
        <w:rPr>
          <w:spacing w:val="-2"/>
        </w:rPr>
        <w:t xml:space="preserve"> </w:t>
      </w:r>
      <w:r w:rsidRPr="00332224">
        <w:rPr>
          <w:spacing w:val="-2"/>
        </w:rPr>
        <w:t>la République dominicaine (“</w:t>
      </w:r>
      <w:proofErr w:type="spellStart"/>
      <w:r w:rsidRPr="00332224">
        <w:rPr>
          <w:spacing w:val="-2"/>
        </w:rPr>
        <w:t>Academia</w:t>
      </w:r>
      <w:proofErr w:type="spellEnd"/>
      <w:r w:rsidRPr="00332224">
        <w:rPr>
          <w:spacing w:val="-2"/>
        </w:rPr>
        <w:t xml:space="preserve"> </w:t>
      </w:r>
      <w:proofErr w:type="spellStart"/>
      <w:r w:rsidRPr="00332224">
        <w:rPr>
          <w:spacing w:val="-2"/>
        </w:rPr>
        <w:t>Nacional</w:t>
      </w:r>
      <w:proofErr w:type="spellEnd"/>
      <w:r w:rsidRPr="00332224">
        <w:rPr>
          <w:spacing w:val="-2"/>
        </w:rPr>
        <w:t xml:space="preserve"> de la </w:t>
      </w:r>
      <w:proofErr w:type="spellStart"/>
      <w:r w:rsidRPr="00332224">
        <w:rPr>
          <w:spacing w:val="-2"/>
        </w:rPr>
        <w:t>Propiedad</w:t>
      </w:r>
      <w:proofErr w:type="spellEnd"/>
      <w:r w:rsidRPr="00332224">
        <w:rPr>
          <w:spacing w:val="-2"/>
        </w:rPr>
        <w:t xml:space="preserve"> </w:t>
      </w:r>
      <w:proofErr w:type="spellStart"/>
      <w:r w:rsidRPr="00332224">
        <w:rPr>
          <w:spacing w:val="-2"/>
        </w:rPr>
        <w:t>Intelectual</w:t>
      </w:r>
      <w:proofErr w:type="spellEnd"/>
      <w:r w:rsidRPr="00332224">
        <w:rPr>
          <w:spacing w:val="-2"/>
        </w:rPr>
        <w:t xml:space="preserve"> </w:t>
      </w:r>
      <w:r w:rsidR="00AC077A" w:rsidRPr="00332224">
        <w:rPr>
          <w:spacing w:val="-2"/>
        </w:rPr>
        <w:t>(</w:t>
      </w:r>
      <w:proofErr w:type="spellStart"/>
      <w:r w:rsidRPr="00332224">
        <w:rPr>
          <w:spacing w:val="-2"/>
        </w:rPr>
        <w:t>ANPI</w:t>
      </w:r>
      <w:proofErr w:type="spellEnd"/>
      <w:r w:rsidR="00AC077A" w:rsidRPr="00332224">
        <w:rPr>
          <w:spacing w:val="-2"/>
        </w:rPr>
        <w:t>)</w:t>
      </w:r>
      <w:r w:rsidRPr="00332224">
        <w:rPr>
          <w:spacing w:val="-2"/>
        </w:rPr>
        <w:t>”);</w:t>
      </w:r>
      <w:r w:rsidR="004F3E42" w:rsidRPr="00332224">
        <w:rPr>
          <w:spacing w:val="-2"/>
        </w:rPr>
        <w:t xml:space="preserve"> </w:t>
      </w:r>
      <w:r w:rsidR="0010442A" w:rsidRPr="00332224">
        <w:rPr>
          <w:spacing w:val="-2"/>
        </w:rPr>
        <w:t xml:space="preserve"> </w:t>
      </w:r>
      <w:r w:rsidRPr="00332224">
        <w:rPr>
          <w:spacing w:val="-2"/>
        </w:rPr>
        <w:t>le Pérou (“</w:t>
      </w:r>
      <w:proofErr w:type="spellStart"/>
      <w:r w:rsidRPr="00332224">
        <w:rPr>
          <w:spacing w:val="-2"/>
        </w:rPr>
        <w:t>Escuela</w:t>
      </w:r>
      <w:proofErr w:type="spellEnd"/>
      <w:r w:rsidRPr="00332224">
        <w:rPr>
          <w:spacing w:val="-2"/>
        </w:rPr>
        <w:t xml:space="preserve"> de la </w:t>
      </w:r>
      <w:proofErr w:type="spellStart"/>
      <w:r w:rsidRPr="00332224">
        <w:rPr>
          <w:spacing w:val="-2"/>
        </w:rPr>
        <w:t>Competencia</w:t>
      </w:r>
      <w:proofErr w:type="spellEnd"/>
      <w:r w:rsidRPr="00332224">
        <w:rPr>
          <w:spacing w:val="-2"/>
        </w:rPr>
        <w:t xml:space="preserve"> y de la </w:t>
      </w:r>
      <w:proofErr w:type="spellStart"/>
      <w:r w:rsidRPr="00332224">
        <w:rPr>
          <w:spacing w:val="-2"/>
        </w:rPr>
        <w:t>Propiedad</w:t>
      </w:r>
      <w:proofErr w:type="spellEnd"/>
      <w:r w:rsidRPr="00332224">
        <w:rPr>
          <w:spacing w:val="-2"/>
        </w:rPr>
        <w:t xml:space="preserve"> </w:t>
      </w:r>
      <w:proofErr w:type="spellStart"/>
      <w:r w:rsidRPr="00332224">
        <w:rPr>
          <w:spacing w:val="-2"/>
        </w:rPr>
        <w:t>Intelectual</w:t>
      </w:r>
      <w:proofErr w:type="spellEnd"/>
      <w:r w:rsidRPr="00332224">
        <w:rPr>
          <w:spacing w:val="-2"/>
        </w:rPr>
        <w:t xml:space="preserve"> </w:t>
      </w:r>
      <w:r w:rsidR="00AC077A" w:rsidRPr="00332224">
        <w:rPr>
          <w:spacing w:val="-2"/>
        </w:rPr>
        <w:t>(</w:t>
      </w:r>
      <w:proofErr w:type="spellStart"/>
      <w:r w:rsidRPr="00332224">
        <w:rPr>
          <w:spacing w:val="-2"/>
        </w:rPr>
        <w:t>ECPI</w:t>
      </w:r>
      <w:proofErr w:type="spellEnd"/>
      <w:r w:rsidR="00AC077A" w:rsidRPr="00332224">
        <w:rPr>
          <w:spacing w:val="-2"/>
        </w:rPr>
        <w:t>)</w:t>
      </w:r>
      <w:r w:rsidRPr="00332224">
        <w:rPr>
          <w:spacing w:val="-2"/>
        </w:rPr>
        <w:t>”);</w:t>
      </w:r>
      <w:r w:rsidR="004F3E42" w:rsidRPr="00332224">
        <w:rPr>
          <w:spacing w:val="-2"/>
        </w:rPr>
        <w:t xml:space="preserve"> </w:t>
      </w:r>
      <w:r w:rsidR="0010442A" w:rsidRPr="00332224">
        <w:rPr>
          <w:spacing w:val="-2"/>
        </w:rPr>
        <w:t xml:space="preserve"> </w:t>
      </w:r>
      <w:r w:rsidRPr="00332224">
        <w:rPr>
          <w:spacing w:val="-2"/>
        </w:rPr>
        <w:t xml:space="preserve">et la Tunisie (“Académie Tunisienne de la Propriété Intellectuelle </w:t>
      </w:r>
      <w:r w:rsidR="00AC077A" w:rsidRPr="00332224">
        <w:rPr>
          <w:spacing w:val="-2"/>
        </w:rPr>
        <w:t>(</w:t>
      </w:r>
      <w:proofErr w:type="spellStart"/>
      <w:r w:rsidRPr="00332224">
        <w:rPr>
          <w:spacing w:val="-2"/>
        </w:rPr>
        <w:t>ATPI</w:t>
      </w:r>
      <w:proofErr w:type="spellEnd"/>
      <w:r w:rsidR="00AC077A" w:rsidRPr="00332224">
        <w:rPr>
          <w:spacing w:val="-2"/>
        </w:rPr>
        <w:t>)</w:t>
      </w:r>
      <w:r w:rsidRPr="00332224">
        <w:rPr>
          <w:spacing w:val="-2"/>
        </w:rPr>
        <w:t>”).</w:t>
      </w:r>
      <w:r w:rsidR="0010442A" w:rsidRPr="00332224">
        <w:rPr>
          <w:spacing w:val="-2"/>
        </w:rPr>
        <w:t xml:space="preserve"> </w:t>
      </w:r>
      <w:r w:rsidRPr="00332224">
        <w:rPr>
          <w:spacing w:val="-2"/>
        </w:rPr>
        <w:t xml:space="preserve"> L</w:t>
      </w:r>
      <w:r w:rsidR="00A20444" w:rsidRPr="00332224">
        <w:rPr>
          <w:spacing w:val="-2"/>
        </w:rPr>
        <w:t>’</w:t>
      </w:r>
      <w:r w:rsidRPr="00332224">
        <w:rPr>
          <w:spacing w:val="-2"/>
        </w:rPr>
        <w:t>Académie a également lancé le déploiement des activités du projet dans deux pays supplémentaires (l</w:t>
      </w:r>
      <w:r w:rsidR="00A20444" w:rsidRPr="00332224">
        <w:rPr>
          <w:spacing w:val="-2"/>
        </w:rPr>
        <w:t>’</w:t>
      </w:r>
      <w:r w:rsidRPr="00332224">
        <w:rPr>
          <w:spacing w:val="-2"/>
        </w:rPr>
        <w:t>Égypte et l</w:t>
      </w:r>
      <w:r w:rsidR="00A20444" w:rsidRPr="00332224">
        <w:rPr>
          <w:spacing w:val="-2"/>
        </w:rPr>
        <w:t>’</w:t>
      </w:r>
      <w:r w:rsidRPr="00332224">
        <w:rPr>
          <w:spacing w:val="-2"/>
        </w:rPr>
        <w:t>Éthiopie) dans le cadre de la seconde phase du projet, avec une date d</w:t>
      </w:r>
      <w:r w:rsidR="00A20444" w:rsidRPr="00332224">
        <w:rPr>
          <w:spacing w:val="-2"/>
        </w:rPr>
        <w:t>’</w:t>
      </w:r>
      <w:r w:rsidRPr="00332224">
        <w:rPr>
          <w:spacing w:val="-2"/>
        </w:rPr>
        <w:t xml:space="preserve">achèvement escomptée en 2014. </w:t>
      </w:r>
      <w:r w:rsidR="0010442A" w:rsidRPr="00332224">
        <w:rPr>
          <w:spacing w:val="-2"/>
        </w:rPr>
        <w:t xml:space="preserve"> </w:t>
      </w:r>
      <w:r w:rsidRPr="00332224">
        <w:rPr>
          <w:spacing w:val="-2"/>
        </w:rPr>
        <w:t>Ces activités visaient à dispenser une formation aux formateurs, par le biais d</w:t>
      </w:r>
      <w:r w:rsidR="00A20444" w:rsidRPr="00332224">
        <w:rPr>
          <w:spacing w:val="-2"/>
        </w:rPr>
        <w:t>’</w:t>
      </w:r>
      <w:r w:rsidRPr="00332224">
        <w:rPr>
          <w:spacing w:val="-2"/>
        </w:rPr>
        <w:t>ateliers locaux et de la participation de certains formateurs nationaux au programme de maîtrise commun.</w:t>
      </w:r>
    </w:p>
    <w:p w:rsidR="00D42474" w:rsidRDefault="00D42474" w:rsidP="001A5BF9">
      <w:pPr>
        <w:autoSpaceDE w:val="0"/>
        <w:autoSpaceDN w:val="0"/>
        <w:adjustRightInd w:val="0"/>
        <w:jc w:val="both"/>
        <w:rPr>
          <w:rFonts w:cs="Arial"/>
          <w:bCs/>
          <w:szCs w:val="22"/>
        </w:rPr>
      </w:pPr>
    </w:p>
    <w:p w:rsidR="00D42474" w:rsidRDefault="00D42474" w:rsidP="001A5BF9">
      <w:pPr>
        <w:autoSpaceDE w:val="0"/>
        <w:autoSpaceDN w:val="0"/>
        <w:adjustRightInd w:val="0"/>
        <w:jc w:val="both"/>
        <w:rPr>
          <w:rFonts w:cs="Arial"/>
          <w:bCs/>
          <w:szCs w:val="22"/>
        </w:rPr>
      </w:pPr>
    </w:p>
    <w:p w:rsidR="00D42474" w:rsidRDefault="00784E52" w:rsidP="001A5BF9">
      <w:pPr>
        <w:autoSpaceDE w:val="0"/>
        <w:autoSpaceDN w:val="0"/>
        <w:adjustRightInd w:val="0"/>
        <w:jc w:val="both"/>
        <w:rPr>
          <w:rFonts w:cs="Arial"/>
          <w:bCs/>
          <w:szCs w:val="22"/>
        </w:rPr>
      </w:pPr>
      <w:r w:rsidRPr="00332224">
        <w:rPr>
          <w:sz w:val="22"/>
        </w:rPr>
        <w:t>MISE EN ŒUVRE DU PLAN D</w:t>
      </w:r>
      <w:r w:rsidR="00A20444" w:rsidRPr="00332224">
        <w:rPr>
          <w:sz w:val="22"/>
        </w:rPr>
        <w:t>’</w:t>
      </w:r>
      <w:r w:rsidRPr="00332224">
        <w:rPr>
          <w:sz w:val="22"/>
        </w:rPr>
        <w:t>ACTION POUR LE DÉVELOPPEMENT</w:t>
      </w:r>
    </w:p>
    <w:p w:rsidR="00D42474" w:rsidRDefault="00D42474" w:rsidP="001A5BF9">
      <w:pPr>
        <w:autoSpaceDE w:val="0"/>
        <w:autoSpaceDN w:val="0"/>
        <w:adjustRightInd w:val="0"/>
        <w:jc w:val="both"/>
        <w:rPr>
          <w:rFonts w:cs="Arial"/>
          <w:bCs/>
          <w:szCs w:val="22"/>
        </w:rPr>
      </w:pPr>
    </w:p>
    <w:p w:rsidR="00D42474" w:rsidRDefault="00784E52" w:rsidP="001A5BF9">
      <w:pPr>
        <w:pStyle w:val="Paragraphedeliste"/>
        <w:numPr>
          <w:ilvl w:val="0"/>
          <w:numId w:val="39"/>
        </w:numPr>
        <w:tabs>
          <w:tab w:val="left" w:pos="709"/>
        </w:tabs>
        <w:ind w:left="0" w:firstLine="0"/>
        <w:jc w:val="both"/>
        <w:rPr>
          <w:rFonts w:cs="Arial"/>
          <w:bCs/>
        </w:rPr>
      </w:pPr>
      <w:r w:rsidRPr="00332224">
        <w:t>Les activités d</w:t>
      </w:r>
      <w:r w:rsidR="00A20444" w:rsidRPr="00332224">
        <w:t>’</w:t>
      </w:r>
      <w:r w:rsidRPr="00332224">
        <w:t>élaboration, de planification et de mise en œuvre des activités menées dans le cadre du programme 11 s</w:t>
      </w:r>
      <w:r w:rsidR="00A20444" w:rsidRPr="00332224">
        <w:t>’</w:t>
      </w:r>
      <w:r w:rsidRPr="00332224">
        <w:t>appuyaient sur les recommandations pertinentes du Plan d</w:t>
      </w:r>
      <w:r w:rsidR="00A20444" w:rsidRPr="00332224">
        <w:t>’</w:t>
      </w:r>
      <w:r w:rsidRPr="00332224">
        <w:t xml:space="preserve">action pour le développement. </w:t>
      </w:r>
      <w:r w:rsidR="0010442A" w:rsidRPr="00332224">
        <w:t xml:space="preserve"> </w:t>
      </w:r>
      <w:r w:rsidRPr="00332224">
        <w:t>Les programmes de l</w:t>
      </w:r>
      <w:r w:rsidR="00A20444" w:rsidRPr="00332224">
        <w:t>’</w:t>
      </w:r>
      <w:r w:rsidRPr="00332224">
        <w:t>Académie étaient ainsi axés sur le développement et la demande des parties prenantes (recommandation n°</w:t>
      </w:r>
      <w:r w:rsidR="0010442A" w:rsidRPr="00332224">
        <w:t> </w:t>
      </w:r>
      <w:r w:rsidRPr="00332224">
        <w:t>1) et visaient à mettre en place une initiation à la propriété intellectuelle dans les programmes d</w:t>
      </w:r>
      <w:r w:rsidR="00A20444" w:rsidRPr="00332224">
        <w:t>’</w:t>
      </w:r>
      <w:r w:rsidRPr="00332224">
        <w:t>enseignement de différents niveaux afin d</w:t>
      </w:r>
      <w:r w:rsidR="00A20444" w:rsidRPr="00332224">
        <w:t>’</w:t>
      </w:r>
      <w:r w:rsidRPr="00332224">
        <w:t>accroître la sensibilisation de l</w:t>
      </w:r>
      <w:r w:rsidR="00A20444" w:rsidRPr="00332224">
        <w:t>’</w:t>
      </w:r>
      <w:r w:rsidRPr="00332224">
        <w:t>opinion publique à la propriété intellectuelle (recommandation n°</w:t>
      </w:r>
      <w:r w:rsidR="0010442A" w:rsidRPr="00332224">
        <w:t> </w:t>
      </w:r>
      <w:r w:rsidRPr="00332224">
        <w:t>3).</w:t>
      </w:r>
      <w:r w:rsidR="0010442A" w:rsidRPr="00332224">
        <w:t xml:space="preserve"> </w:t>
      </w:r>
      <w:r w:rsidR="004F3E42" w:rsidRPr="00332224">
        <w:t xml:space="preserve"> </w:t>
      </w:r>
      <w:r w:rsidRPr="00332224">
        <w:t>À cet égard, conformément à la recommandation n°</w:t>
      </w:r>
      <w:r w:rsidR="0010442A" w:rsidRPr="00332224">
        <w:t> </w:t>
      </w:r>
      <w:r w:rsidRPr="00332224">
        <w:t>5, les premiers programmes de formation et d</w:t>
      </w:r>
      <w:r w:rsidR="00A20444" w:rsidRPr="00332224">
        <w:t>’</w:t>
      </w:r>
      <w:r w:rsidRPr="00332224">
        <w:t>enseignement de l</w:t>
      </w:r>
      <w:r w:rsidR="00A20444" w:rsidRPr="00332224">
        <w:t>’</w:t>
      </w:r>
      <w:r w:rsidRPr="00332224">
        <w:t>Académie de l</w:t>
      </w:r>
      <w:r w:rsidR="00A20444" w:rsidRPr="00332224">
        <w:t>’</w:t>
      </w:r>
      <w:r w:rsidRPr="00332224">
        <w:t>OMPI ont été publiés fin 2012 et fin 2013, présentant de manière claire et transparente le contenu et les partenaires de tous les programmes de formation de l</w:t>
      </w:r>
      <w:r w:rsidR="00A20444" w:rsidRPr="00332224">
        <w:t>’</w:t>
      </w:r>
      <w:r w:rsidRPr="00332224">
        <w:t>Académie et faisant apparaître la variété des cours, par ailleurs de plus en plus nombreux, proposés par le programme de perfectionnement professionnel, le programme d</w:t>
      </w:r>
      <w:r w:rsidR="00A20444" w:rsidRPr="00332224">
        <w:t>’</w:t>
      </w:r>
      <w:r w:rsidRPr="00332224">
        <w:t>enseignement à distance, le programme des établissements universitaires, le programme de formation des cadres et le programme des cours d</w:t>
      </w:r>
      <w:r w:rsidR="00A20444" w:rsidRPr="00332224">
        <w:t>’</w:t>
      </w:r>
      <w:r w:rsidRPr="00332224">
        <w:t>été de l</w:t>
      </w:r>
      <w:r w:rsidR="00A20444" w:rsidRPr="00332224">
        <w:t>’</w:t>
      </w:r>
      <w:r w:rsidRPr="00332224">
        <w:t>OMPI.</w:t>
      </w:r>
      <w:r w:rsidR="004F3E42" w:rsidRPr="00332224">
        <w:t xml:space="preserve"> </w:t>
      </w:r>
      <w:r w:rsidR="0010442A" w:rsidRPr="00332224">
        <w:t xml:space="preserve"> </w:t>
      </w:r>
      <w:r w:rsidRPr="00332224">
        <w:t>Les partenariats stratégiques avec les établissements universitaires, notamment dans les pays en développement,</w:t>
      </w:r>
      <w:r w:rsidR="00A20444" w:rsidRPr="00332224">
        <w:t xml:space="preserve"> les PMA</w:t>
      </w:r>
      <w:r w:rsidRPr="00332224">
        <w:t xml:space="preserve"> et les pays en transition ont été renforcés et élargis, au moyen de projets communs menés dans le cadre des programmes de maîtrise et d</w:t>
      </w:r>
      <w:r w:rsidR="00A20444" w:rsidRPr="00332224">
        <w:t>’</w:t>
      </w:r>
      <w:r w:rsidRPr="00332224">
        <w:t xml:space="preserve">autres cours sur la propriété intellectuelle. </w:t>
      </w:r>
      <w:r w:rsidR="0010442A" w:rsidRPr="00332224">
        <w:t xml:space="preserve"> </w:t>
      </w:r>
      <w:r w:rsidRPr="00332224">
        <w:t>En outre, le programme d</w:t>
      </w:r>
      <w:r w:rsidR="00A20444" w:rsidRPr="00332224">
        <w:t>’</w:t>
      </w:r>
      <w:r w:rsidRPr="00332224">
        <w:t>enseignement à distance a élaboré des modules propres au Plan d</w:t>
      </w:r>
      <w:r w:rsidR="00A20444" w:rsidRPr="00332224">
        <w:t>’</w:t>
      </w:r>
      <w:r w:rsidRPr="00332224">
        <w:t>action pour le développement pour ses cours en consultation avec d</w:t>
      </w:r>
      <w:r w:rsidR="00A20444" w:rsidRPr="00332224">
        <w:t>’</w:t>
      </w:r>
      <w:r w:rsidRPr="00332224">
        <w:t>autres programmes de l</w:t>
      </w:r>
      <w:r w:rsidR="00A20444" w:rsidRPr="00332224">
        <w:t>’</w:t>
      </w:r>
      <w:r w:rsidRPr="00332224">
        <w:t xml:space="preserve">OMPI ainsi que les universités et les autorités nationales. </w:t>
      </w:r>
      <w:r w:rsidR="0010442A" w:rsidRPr="00332224">
        <w:t xml:space="preserve"> </w:t>
      </w:r>
      <w:r w:rsidRPr="00332224">
        <w:t>Les cours ont été utilisés par les établissements universitaires partenaires.</w:t>
      </w:r>
      <w:r w:rsidR="0010442A" w:rsidRPr="00332224">
        <w:t xml:space="preserve"> </w:t>
      </w:r>
      <w:r w:rsidRPr="00332224">
        <w:t xml:space="preserve"> Les cours de formation proposés dans le cadre des programmes de l</w:t>
      </w:r>
      <w:r w:rsidR="00A20444" w:rsidRPr="00332224">
        <w:t>’</w:t>
      </w:r>
      <w:r w:rsidRPr="00332224">
        <w:t>Académie de l</w:t>
      </w:r>
      <w:r w:rsidR="00A20444" w:rsidRPr="00332224">
        <w:t>’</w:t>
      </w:r>
      <w:r w:rsidRPr="00332224">
        <w:t>OMPI sont actuellement en train d</w:t>
      </w:r>
      <w:r w:rsidR="00A20444" w:rsidRPr="00332224">
        <w:t>’</w:t>
      </w:r>
      <w:r w:rsidRPr="00332224">
        <w:t>être réorganisés de manière à inclure une approche dynamique de la dimension du Plan d</w:t>
      </w:r>
      <w:r w:rsidR="00A20444" w:rsidRPr="00332224">
        <w:t>’</w:t>
      </w:r>
      <w:r w:rsidRPr="00332224">
        <w:t>action pour le développement.</w:t>
      </w:r>
    </w:p>
    <w:p w:rsidR="00D42474" w:rsidRDefault="00D42474" w:rsidP="001A5BF9">
      <w:pPr>
        <w:jc w:val="both"/>
        <w:rPr>
          <w:rFonts w:cs="Arial"/>
          <w:bCs/>
          <w:sz w:val="16"/>
          <w:szCs w:val="16"/>
        </w:rPr>
      </w:pPr>
    </w:p>
    <w:p w:rsidR="00D42474" w:rsidRDefault="00784E52" w:rsidP="00332224">
      <w:pPr>
        <w:pStyle w:val="Paragraphedeliste"/>
        <w:numPr>
          <w:ilvl w:val="0"/>
          <w:numId w:val="39"/>
        </w:numPr>
        <w:tabs>
          <w:tab w:val="left" w:pos="709"/>
        </w:tabs>
        <w:ind w:left="0" w:firstLine="0"/>
        <w:jc w:val="both"/>
      </w:pPr>
      <w:r w:rsidRPr="00332224">
        <w:t xml:space="preserve">La phase I du </w:t>
      </w:r>
      <w:r w:rsidR="00AC077A" w:rsidRPr="00332224">
        <w:t>p</w:t>
      </w:r>
      <w:r w:rsidRPr="00332224">
        <w:t>rojet pilote de création de nouvelles académies nationales de propriété intellectuelle s</w:t>
      </w:r>
      <w:r w:rsidR="00A20444" w:rsidRPr="00332224">
        <w:t>’</w:t>
      </w:r>
      <w:r w:rsidRPr="00332224">
        <w:t>est achevée et a été évaluée.</w:t>
      </w:r>
      <w:r w:rsidR="00A20444" w:rsidRPr="00332224">
        <w:t xml:space="preserve"> </w:t>
      </w:r>
      <w:r w:rsidR="0010442A" w:rsidRPr="00332224">
        <w:t xml:space="preserve"> </w:t>
      </w:r>
      <w:r w:rsidR="00A20444" w:rsidRPr="00332224">
        <w:t>Le CDI</w:t>
      </w:r>
      <w:r w:rsidRPr="00332224">
        <w:t>P a approuvé une phase II du projet qui comprendra six pays : les quatre pays pilotes (Colombie, Pérou, République dominicaine et Tunisie)</w:t>
      </w:r>
      <w:r w:rsidRPr="00332224">
        <w:rPr>
          <w:rStyle w:val="FootnoteReference"/>
        </w:rPr>
        <w:footnoteReference w:id="23"/>
      </w:r>
      <w:r w:rsidRPr="00332224">
        <w:t xml:space="preserve"> et deux nouveaux pays (Égypte, Éthiopie). </w:t>
      </w:r>
      <w:r w:rsidR="0010442A" w:rsidRPr="00332224">
        <w:t xml:space="preserve"> </w:t>
      </w:r>
      <w:r w:rsidRPr="00332224">
        <w:t>Quatre établissements de formation nationale à la propriété intellectuelle ont été fondés et proposent aujourd</w:t>
      </w:r>
      <w:r w:rsidR="00A20444" w:rsidRPr="00332224">
        <w:t>’</w:t>
      </w:r>
      <w:r w:rsidRPr="00332224">
        <w:t>hui des programmes de formation, et deux</w:t>
      </w:r>
      <w:r w:rsidR="0010442A" w:rsidRPr="00332224">
        <w:t> </w:t>
      </w:r>
      <w:r w:rsidRPr="00332224">
        <w:t>académies pilotes en sont au stade de la mise en œuvre.</w:t>
      </w:r>
      <w:r w:rsidR="0010442A" w:rsidRPr="00332224">
        <w:t xml:space="preserve"> </w:t>
      </w:r>
      <w:r w:rsidRPr="00332224">
        <w:t xml:space="preserve"> Les activités comprenaient des programmes de formation de formateurs, des modules régionaux pour les coordonnateurs académiques, des bourses pour les programmes de maîtrise sur la propriété intellectuelle et la création de supports de formation supplémentaires, ainsi que des plans d</w:t>
      </w:r>
      <w:r w:rsidR="00A20444" w:rsidRPr="00332224">
        <w:t>’</w:t>
      </w:r>
      <w:r w:rsidRPr="00332224">
        <w:t>action et de renforcement des capacités.</w:t>
      </w:r>
      <w:r w:rsidR="004F3E42" w:rsidRPr="00332224">
        <w:t xml:space="preserve"> </w:t>
      </w:r>
      <w:r w:rsidR="0010442A" w:rsidRPr="00332224">
        <w:t xml:space="preserve"> </w:t>
      </w:r>
      <w:r w:rsidRPr="00332224">
        <w:t>Les six académies pilotes sont membres du Réseau mondial des académies de la propriété intellectuelle.</w:t>
      </w:r>
      <w:r w:rsidR="00332224">
        <w:br w:type="page"/>
      </w:r>
    </w:p>
    <w:p w:rsidR="00D42474" w:rsidRDefault="00784E52" w:rsidP="001A5BF9">
      <w:pPr>
        <w:rPr>
          <w:rFonts w:cs="Arial"/>
          <w:szCs w:val="22"/>
        </w:rPr>
      </w:pPr>
      <w:r w:rsidRPr="00332224">
        <w:rPr>
          <w:sz w:val="22"/>
        </w:rPr>
        <w:t>DONNÉES RELATIVES À L</w:t>
      </w:r>
      <w:r w:rsidR="00A20444" w:rsidRPr="00332224">
        <w:rPr>
          <w:sz w:val="22"/>
        </w:rPr>
        <w:t>’</w:t>
      </w:r>
      <w:r w:rsidRPr="00332224">
        <w:rPr>
          <w:sz w:val="22"/>
        </w:rPr>
        <w:t>EXÉCUTION</w:t>
      </w:r>
    </w:p>
    <w:p w:rsidR="00784E52" w:rsidRPr="00332224" w:rsidRDefault="00784E52" w:rsidP="001A5BF9">
      <w:pPr>
        <w:ind w:left="2268" w:hanging="2268"/>
        <w:rPr>
          <w:b/>
          <w:szCs w:val="20"/>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2"/>
        <w:gridCol w:w="1710"/>
        <w:gridCol w:w="232"/>
        <w:gridCol w:w="1447"/>
        <w:gridCol w:w="255"/>
        <w:gridCol w:w="2837"/>
        <w:gridCol w:w="1274"/>
      </w:tblGrid>
      <w:tr w:rsidR="00784E52" w:rsidRPr="00332224" w:rsidTr="006D16B6">
        <w:trPr>
          <w:cantSplit/>
        </w:trPr>
        <w:tc>
          <w:tcPr>
            <w:tcW w:w="5000" w:type="pct"/>
            <w:gridSpan w:val="7"/>
            <w:tcBorders>
              <w:top w:val="single" w:sz="4" w:space="0" w:color="auto"/>
              <w:bottom w:val="single" w:sz="4" w:space="0" w:color="auto"/>
            </w:tcBorders>
            <w:shd w:val="clear" w:color="auto" w:fill="CCFFFF"/>
            <w:vAlign w:val="center"/>
          </w:tcPr>
          <w:p w:rsidR="00784E52" w:rsidRPr="00332224" w:rsidRDefault="00784E52" w:rsidP="00332224">
            <w:pPr>
              <w:keepNext/>
              <w:keepLines/>
              <w:spacing w:before="120" w:after="120"/>
              <w:ind w:left="1735" w:hanging="1735"/>
              <w:rPr>
                <w:rFonts w:cs="Arial"/>
                <w:b/>
                <w:bCs/>
                <w:sz w:val="16"/>
                <w:szCs w:val="16"/>
              </w:rPr>
            </w:pPr>
            <w:r w:rsidRPr="00332224">
              <w:rPr>
                <w:b/>
                <w:sz w:val="16"/>
              </w:rPr>
              <w:t>Résultat escompté</w:t>
            </w:r>
            <w:r w:rsidR="0010442A" w:rsidRPr="00332224">
              <w:rPr>
                <w:b/>
                <w:sz w:val="16"/>
              </w:rPr>
              <w:t xml:space="preserve"> : </w:t>
            </w:r>
            <w:r w:rsidRPr="00332224">
              <w:rPr>
                <w:b/>
                <w:sz w:val="16"/>
              </w:rPr>
              <w:tab/>
            </w:r>
            <w:r w:rsidRPr="00332224">
              <w:rPr>
                <w:sz w:val="16"/>
              </w:rPr>
              <w:t>Renforcement des capacités en matière de ressources humaines pour pouvoir répondre aux nombreuses exigences en ce qui concerne l</w:t>
            </w:r>
            <w:r w:rsidR="00A20444" w:rsidRPr="00332224">
              <w:rPr>
                <w:sz w:val="16"/>
              </w:rPr>
              <w:t>’</w:t>
            </w:r>
            <w:r w:rsidRPr="00332224">
              <w:rPr>
                <w:sz w:val="16"/>
              </w:rPr>
              <w:t>utilisation efficace de la propriété intellectuelle au service du développement dans les pays en développement,</w:t>
            </w:r>
            <w:r w:rsidR="00A20444" w:rsidRPr="00332224">
              <w:rPr>
                <w:sz w:val="16"/>
              </w:rPr>
              <w:t xml:space="preserve"> les PMA</w:t>
            </w:r>
            <w:r w:rsidRPr="00332224">
              <w:rPr>
                <w:sz w:val="16"/>
              </w:rPr>
              <w:t xml:space="preserve"> et les pays en transition</w:t>
            </w:r>
          </w:p>
        </w:tc>
      </w:tr>
      <w:tr w:rsidR="00784E52" w:rsidRPr="00332224" w:rsidTr="006D16B6">
        <w:trPr>
          <w:cantSplit/>
        </w:trPr>
        <w:tc>
          <w:tcPr>
            <w:tcW w:w="856" w:type="pct"/>
            <w:tcBorders>
              <w:top w:val="single" w:sz="4" w:space="0" w:color="auto"/>
            </w:tcBorders>
            <w:shd w:val="clear" w:color="auto" w:fill="auto"/>
            <w:vAlign w:val="center"/>
          </w:tcPr>
          <w:p w:rsidR="00784E52" w:rsidRPr="00332224" w:rsidRDefault="00784E52" w:rsidP="001A5BF9">
            <w:pPr>
              <w:spacing w:after="40"/>
              <w:rPr>
                <w:rFonts w:cs="Arial"/>
                <w:b/>
                <w:sz w:val="16"/>
                <w:szCs w:val="16"/>
              </w:rPr>
            </w:pPr>
            <w:r w:rsidRPr="00332224">
              <w:rPr>
                <w:b/>
                <w:sz w:val="16"/>
              </w:rPr>
              <w:t>Indicateurs d</w:t>
            </w:r>
            <w:r w:rsidR="00A20444" w:rsidRPr="00332224">
              <w:rPr>
                <w:b/>
                <w:sz w:val="16"/>
              </w:rPr>
              <w:t>’</w:t>
            </w:r>
            <w:r w:rsidRPr="00332224">
              <w:rPr>
                <w:b/>
                <w:sz w:val="16"/>
              </w:rPr>
              <w:t>exécution</w:t>
            </w:r>
          </w:p>
        </w:tc>
        <w:tc>
          <w:tcPr>
            <w:tcW w:w="1038" w:type="pct"/>
            <w:gridSpan w:val="2"/>
            <w:tcBorders>
              <w:top w:val="single" w:sz="4" w:space="0" w:color="auto"/>
            </w:tcBorders>
            <w:shd w:val="clear" w:color="auto" w:fill="auto"/>
            <w:vAlign w:val="center"/>
          </w:tcPr>
          <w:p w:rsidR="00784E52" w:rsidRPr="00332224" w:rsidRDefault="00784E52" w:rsidP="001A5BF9">
            <w:pPr>
              <w:spacing w:after="40"/>
              <w:rPr>
                <w:rFonts w:cs="Arial"/>
                <w:b/>
                <w:bCs/>
                <w:sz w:val="16"/>
                <w:szCs w:val="16"/>
              </w:rPr>
            </w:pPr>
            <w:r w:rsidRPr="00332224">
              <w:rPr>
                <w:b/>
                <w:sz w:val="16"/>
              </w:rPr>
              <w:t>Niveaux de référence</w:t>
            </w:r>
          </w:p>
        </w:tc>
        <w:tc>
          <w:tcPr>
            <w:tcW w:w="909" w:type="pct"/>
            <w:gridSpan w:val="2"/>
            <w:tcBorders>
              <w:top w:val="single" w:sz="4" w:space="0" w:color="auto"/>
            </w:tcBorders>
            <w:shd w:val="clear" w:color="auto" w:fill="auto"/>
            <w:tcMar>
              <w:top w:w="110" w:type="dxa"/>
            </w:tcMar>
            <w:vAlign w:val="center"/>
          </w:tcPr>
          <w:p w:rsidR="00784E52" w:rsidRPr="00332224" w:rsidRDefault="00784E52" w:rsidP="001A5BF9">
            <w:pPr>
              <w:spacing w:after="40"/>
              <w:rPr>
                <w:rFonts w:cs="Arial"/>
                <w:b/>
                <w:sz w:val="16"/>
                <w:szCs w:val="16"/>
              </w:rPr>
            </w:pPr>
            <w:r w:rsidRPr="00332224">
              <w:rPr>
                <w:b/>
                <w:sz w:val="16"/>
              </w:rPr>
              <w:t>Objectifs visés</w:t>
            </w:r>
          </w:p>
        </w:tc>
        <w:tc>
          <w:tcPr>
            <w:tcW w:w="1516" w:type="pct"/>
            <w:tcBorders>
              <w:top w:val="single" w:sz="4" w:space="0" w:color="auto"/>
            </w:tcBorders>
            <w:shd w:val="clear" w:color="auto" w:fill="FFFFFF"/>
            <w:tcMar>
              <w:top w:w="110" w:type="dxa"/>
            </w:tcMar>
            <w:vAlign w:val="center"/>
          </w:tcPr>
          <w:p w:rsidR="00784E52" w:rsidRPr="00332224" w:rsidRDefault="00784E52" w:rsidP="001A5BF9">
            <w:pPr>
              <w:spacing w:after="40"/>
              <w:rPr>
                <w:rFonts w:cs="Arial"/>
                <w:b/>
                <w:sz w:val="16"/>
                <w:szCs w:val="16"/>
              </w:rPr>
            </w:pPr>
            <w:r w:rsidRPr="00332224">
              <w:rPr>
                <w:b/>
                <w:sz w:val="16"/>
              </w:rPr>
              <w:t>Données relatives à l</w:t>
            </w:r>
            <w:r w:rsidR="00A20444" w:rsidRPr="00332224">
              <w:rPr>
                <w:b/>
                <w:sz w:val="16"/>
              </w:rPr>
              <w:t>’</w:t>
            </w:r>
            <w:r w:rsidRPr="00332224">
              <w:rPr>
                <w:b/>
                <w:sz w:val="16"/>
              </w:rPr>
              <w:t>exécution</w:t>
            </w:r>
          </w:p>
        </w:tc>
        <w:tc>
          <w:tcPr>
            <w:tcW w:w="681" w:type="pct"/>
            <w:tcBorders>
              <w:top w:val="single" w:sz="4" w:space="0" w:color="auto"/>
            </w:tcBorders>
            <w:shd w:val="clear" w:color="auto" w:fill="auto"/>
            <w:tcMar>
              <w:top w:w="110" w:type="dxa"/>
            </w:tcMar>
            <w:vAlign w:val="center"/>
          </w:tcPr>
          <w:p w:rsidR="00784E52" w:rsidRPr="00332224" w:rsidRDefault="00784E52" w:rsidP="001A5BF9">
            <w:pPr>
              <w:keepNext/>
              <w:keepLines/>
              <w:spacing w:after="40"/>
              <w:jc w:val="center"/>
              <w:rPr>
                <w:rFonts w:cs="Arial"/>
                <w:b/>
                <w:bCs/>
                <w:sz w:val="16"/>
                <w:szCs w:val="16"/>
              </w:rPr>
            </w:pPr>
            <w:r w:rsidRPr="00332224">
              <w:rPr>
                <w:b/>
                <w:sz w:val="16"/>
              </w:rPr>
              <w:t>Code de couleurs</w:t>
            </w:r>
          </w:p>
        </w:tc>
      </w:tr>
      <w:tr w:rsidR="00784E52" w:rsidRPr="005C7CCE" w:rsidTr="006D16B6">
        <w:trPr>
          <w:cantSplit/>
        </w:trPr>
        <w:tc>
          <w:tcPr>
            <w:tcW w:w="856" w:type="pct"/>
            <w:shd w:val="clear" w:color="auto" w:fill="auto"/>
          </w:tcPr>
          <w:p w:rsidR="00784E52" w:rsidRPr="00332224" w:rsidRDefault="00784E52" w:rsidP="001A5BF9">
            <w:pPr>
              <w:rPr>
                <w:rFonts w:cs="Arial"/>
                <w:sz w:val="16"/>
                <w:szCs w:val="16"/>
              </w:rPr>
            </w:pPr>
            <w:r w:rsidRPr="00332224">
              <w:rPr>
                <w:sz w:val="16"/>
              </w:rPr>
              <w:t>Pourcentage de personnes qui font part de leur satisfaction à</w:t>
            </w:r>
            <w:r w:rsidR="0010442A" w:rsidRPr="00332224">
              <w:rPr>
                <w:sz w:val="16"/>
              </w:rPr>
              <w:t> </w:t>
            </w:r>
            <w:r w:rsidRPr="00332224">
              <w:rPr>
                <w:sz w:val="16"/>
              </w:rPr>
              <w:t>l</w:t>
            </w:r>
            <w:r w:rsidR="00A20444" w:rsidRPr="00332224">
              <w:rPr>
                <w:sz w:val="16"/>
              </w:rPr>
              <w:t>’</w:t>
            </w:r>
            <w:r w:rsidRPr="00332224">
              <w:rPr>
                <w:sz w:val="16"/>
              </w:rPr>
              <w:t>égard de la formation reçue dans les offices de propriété intellectuelle</w:t>
            </w:r>
          </w:p>
        </w:tc>
        <w:tc>
          <w:tcPr>
            <w:tcW w:w="1038" w:type="pct"/>
            <w:gridSpan w:val="2"/>
            <w:shd w:val="clear" w:color="auto" w:fill="auto"/>
          </w:tcPr>
          <w:p w:rsidR="00D42474" w:rsidRDefault="00784E52" w:rsidP="001A5BF9">
            <w:pPr>
              <w:rPr>
                <w:rFonts w:cs="Arial"/>
                <w:color w:val="002060"/>
                <w:sz w:val="16"/>
                <w:szCs w:val="16"/>
              </w:rPr>
            </w:pPr>
            <w:r w:rsidRPr="005C7CCE">
              <w:rPr>
                <w:i/>
                <w:color w:val="002060"/>
                <w:sz w:val="16"/>
              </w:rPr>
              <w:t>Niveau de référence actualisé fin 2011 :</w:t>
            </w:r>
            <w:r w:rsidRPr="005C7CCE">
              <w:rPr>
                <w:color w:val="002060"/>
                <w:sz w:val="16"/>
              </w:rPr>
              <w:t xml:space="preserve"> 95</w:t>
            </w:r>
            <w:r w:rsidR="007E442D" w:rsidRPr="005C7CCE">
              <w:rPr>
                <w:color w:val="002060"/>
                <w:sz w:val="16"/>
              </w:rPr>
              <w:t>%</w:t>
            </w:r>
          </w:p>
          <w:p w:rsidR="00D42474" w:rsidRDefault="00D42474" w:rsidP="001A5BF9">
            <w:pPr>
              <w:rPr>
                <w:rFonts w:cs="Arial"/>
                <w:i/>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80</w:t>
            </w:r>
            <w:r w:rsidR="007E442D" w:rsidRPr="005C7CCE">
              <w:rPr>
                <w:sz w:val="16"/>
              </w:rPr>
              <w:t>%</w:t>
            </w:r>
          </w:p>
        </w:tc>
        <w:tc>
          <w:tcPr>
            <w:tcW w:w="909" w:type="pct"/>
            <w:gridSpan w:val="2"/>
            <w:shd w:val="clear" w:color="auto" w:fill="auto"/>
            <w:tcMar>
              <w:top w:w="110" w:type="dxa"/>
            </w:tcMar>
          </w:tcPr>
          <w:p w:rsidR="00784E52" w:rsidRPr="005C7CCE" w:rsidRDefault="00784E52" w:rsidP="001A5BF9">
            <w:pPr>
              <w:rPr>
                <w:rFonts w:cs="Arial"/>
                <w:color w:val="000000"/>
                <w:sz w:val="16"/>
                <w:szCs w:val="16"/>
              </w:rPr>
            </w:pPr>
            <w:r w:rsidRPr="005C7CCE">
              <w:rPr>
                <w:color w:val="000000"/>
                <w:sz w:val="16"/>
              </w:rPr>
              <w:t>90</w:t>
            </w:r>
            <w:r w:rsidR="007E442D" w:rsidRPr="005C7CCE">
              <w:rPr>
                <w:color w:val="000000"/>
                <w:sz w:val="16"/>
              </w:rPr>
              <w:t>%</w:t>
            </w:r>
          </w:p>
        </w:tc>
        <w:tc>
          <w:tcPr>
            <w:tcW w:w="1516" w:type="pct"/>
            <w:shd w:val="clear" w:color="auto" w:fill="FFFFFF"/>
            <w:tcMar>
              <w:top w:w="110" w:type="dxa"/>
            </w:tcMar>
          </w:tcPr>
          <w:p w:rsidR="00784E52" w:rsidRPr="005C7CCE" w:rsidRDefault="00784E52" w:rsidP="001A5BF9">
            <w:pPr>
              <w:rPr>
                <w:rFonts w:cs="Arial"/>
                <w:color w:val="000000"/>
                <w:sz w:val="16"/>
                <w:szCs w:val="16"/>
              </w:rPr>
            </w:pPr>
            <w:r w:rsidRPr="005C7CCE">
              <w:rPr>
                <w:color w:val="000000"/>
                <w:sz w:val="16"/>
              </w:rPr>
              <w:t>95</w:t>
            </w:r>
            <w:r w:rsidR="007E442D" w:rsidRPr="005C7CCE">
              <w:rPr>
                <w:color w:val="000000"/>
                <w:sz w:val="16"/>
              </w:rPr>
              <w:t>%</w:t>
            </w:r>
          </w:p>
        </w:tc>
        <w:tc>
          <w:tcPr>
            <w:tcW w:w="681" w:type="pct"/>
            <w:shd w:val="clear" w:color="auto" w:fill="auto"/>
            <w:tcMar>
              <w:top w:w="110" w:type="dxa"/>
            </w:tcMar>
          </w:tcPr>
          <w:p w:rsidR="00784E52" w:rsidRPr="00332224" w:rsidRDefault="00784E52" w:rsidP="001A5BF9">
            <w:pPr>
              <w:keepNext/>
              <w:keepLines/>
              <w:jc w:val="center"/>
              <w:rPr>
                <w:color w:val="008000"/>
                <w:sz w:val="16"/>
              </w:rPr>
            </w:pPr>
            <w:r w:rsidRPr="00B470C6">
              <w:rPr>
                <w:color w:val="008000"/>
                <w:sz w:val="16"/>
              </w:rPr>
              <w:t>Objectif pleinement atteint</w:t>
            </w:r>
            <w:r w:rsidRPr="00332224">
              <w:rPr>
                <w:color w:val="008000"/>
                <w:sz w:val="16"/>
              </w:rPr>
              <w:t xml:space="preserve"> </w:t>
            </w:r>
          </w:p>
        </w:tc>
      </w:tr>
      <w:tr w:rsidR="00784E52" w:rsidRPr="005C7CCE" w:rsidTr="006D16B6">
        <w:trPr>
          <w:cantSplit/>
        </w:trPr>
        <w:tc>
          <w:tcPr>
            <w:tcW w:w="856" w:type="pct"/>
            <w:shd w:val="clear" w:color="auto" w:fill="auto"/>
          </w:tcPr>
          <w:p w:rsidR="00784E52" w:rsidRPr="00332224" w:rsidRDefault="00784E52" w:rsidP="001A5BF9">
            <w:pPr>
              <w:ind w:firstLineChars="3" w:firstLine="5"/>
              <w:rPr>
                <w:rFonts w:cs="Arial"/>
                <w:sz w:val="16"/>
                <w:szCs w:val="16"/>
              </w:rPr>
            </w:pPr>
            <w:r w:rsidRPr="00332224">
              <w:rPr>
                <w:sz w:val="16"/>
              </w:rPr>
              <w:t>Pourcentage de personnes formées qui font état d</w:t>
            </w:r>
            <w:r w:rsidR="00A20444" w:rsidRPr="00332224">
              <w:rPr>
                <w:sz w:val="16"/>
              </w:rPr>
              <w:t>’</w:t>
            </w:r>
            <w:r w:rsidRPr="00332224">
              <w:rPr>
                <w:sz w:val="16"/>
              </w:rPr>
              <w:t>une utilisation effective, dans le cadre de leur travail, des compétences acquises</w:t>
            </w:r>
          </w:p>
        </w:tc>
        <w:tc>
          <w:tcPr>
            <w:tcW w:w="1038" w:type="pct"/>
            <w:gridSpan w:val="2"/>
            <w:shd w:val="clear" w:color="auto" w:fill="auto"/>
          </w:tcPr>
          <w:p w:rsidR="00D42474" w:rsidRDefault="00784E52" w:rsidP="001A5BF9">
            <w:pPr>
              <w:rPr>
                <w:rFonts w:cs="Arial"/>
                <w:color w:val="002060"/>
                <w:sz w:val="16"/>
                <w:szCs w:val="16"/>
              </w:rPr>
            </w:pPr>
            <w:r w:rsidRPr="005C7CCE">
              <w:rPr>
                <w:i/>
                <w:color w:val="002060"/>
                <w:sz w:val="16"/>
              </w:rPr>
              <w:t xml:space="preserve">Niveau de référence actualisé fin 2011 : </w:t>
            </w:r>
            <w:r w:rsidRPr="005C7CCE">
              <w:rPr>
                <w:color w:val="002060"/>
                <w:sz w:val="16"/>
              </w:rPr>
              <w:t>75</w:t>
            </w:r>
            <w:r w:rsidR="007E442D" w:rsidRPr="005C7CCE">
              <w:rPr>
                <w:color w:val="002060"/>
                <w:sz w:val="16"/>
              </w:rPr>
              <w:t>%</w:t>
            </w:r>
          </w:p>
          <w:p w:rsidR="00D42474" w:rsidRDefault="00D42474" w:rsidP="001A5BF9">
            <w:pPr>
              <w:rPr>
                <w:rFonts w:cs="Arial"/>
                <w:color w:val="002060"/>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Pr="005C7CCE">
              <w:rPr>
                <w:sz w:val="16"/>
              </w:rPr>
              <w:t>60</w:t>
            </w:r>
            <w:r w:rsidR="007E442D" w:rsidRPr="005C7CCE">
              <w:rPr>
                <w:sz w:val="16"/>
              </w:rPr>
              <w:t>%</w:t>
            </w:r>
          </w:p>
        </w:tc>
        <w:tc>
          <w:tcPr>
            <w:tcW w:w="909" w:type="pct"/>
            <w:gridSpan w:val="2"/>
            <w:shd w:val="clear" w:color="auto" w:fill="auto"/>
            <w:tcMar>
              <w:top w:w="110" w:type="dxa"/>
            </w:tcMar>
          </w:tcPr>
          <w:p w:rsidR="00784E52" w:rsidRPr="005C7CCE" w:rsidRDefault="00784E52" w:rsidP="001A5BF9">
            <w:pPr>
              <w:pStyle w:val="Default"/>
              <w:rPr>
                <w:sz w:val="16"/>
                <w:szCs w:val="16"/>
              </w:rPr>
            </w:pPr>
            <w:r w:rsidRPr="005C7CCE">
              <w:rPr>
                <w:sz w:val="16"/>
              </w:rPr>
              <w:t>80</w:t>
            </w:r>
            <w:r w:rsidR="007E442D" w:rsidRPr="005C7CCE">
              <w:rPr>
                <w:sz w:val="16"/>
              </w:rPr>
              <w:t>%</w:t>
            </w:r>
          </w:p>
        </w:tc>
        <w:tc>
          <w:tcPr>
            <w:tcW w:w="1516" w:type="pct"/>
            <w:shd w:val="clear" w:color="auto" w:fill="FFFFFF"/>
            <w:tcMar>
              <w:top w:w="110" w:type="dxa"/>
            </w:tcMar>
          </w:tcPr>
          <w:p w:rsidR="00784E52" w:rsidRPr="005C7CCE" w:rsidRDefault="00784E52" w:rsidP="001A5BF9">
            <w:pPr>
              <w:rPr>
                <w:rFonts w:cs="Arial"/>
                <w:color w:val="000000"/>
                <w:sz w:val="16"/>
                <w:szCs w:val="16"/>
              </w:rPr>
            </w:pPr>
            <w:r w:rsidRPr="005C7CCE">
              <w:rPr>
                <w:color w:val="000000"/>
                <w:sz w:val="16"/>
              </w:rPr>
              <w:t>75</w:t>
            </w:r>
            <w:r w:rsidR="007E442D" w:rsidRPr="005C7CCE">
              <w:rPr>
                <w:color w:val="000000"/>
                <w:sz w:val="16"/>
              </w:rPr>
              <w:t>%</w:t>
            </w:r>
          </w:p>
        </w:tc>
        <w:tc>
          <w:tcPr>
            <w:tcW w:w="681" w:type="pct"/>
            <w:shd w:val="clear" w:color="auto" w:fill="auto"/>
            <w:tcMar>
              <w:top w:w="110" w:type="dxa"/>
            </w:tcMar>
          </w:tcPr>
          <w:p w:rsidR="00784E52" w:rsidRPr="00332224" w:rsidRDefault="00784E52" w:rsidP="001A5BF9">
            <w:pPr>
              <w:keepNext/>
              <w:keepLines/>
              <w:jc w:val="center"/>
              <w:rPr>
                <w:color w:val="008000"/>
                <w:sz w:val="16"/>
              </w:rPr>
            </w:pPr>
            <w:r w:rsidRPr="00B470C6">
              <w:rPr>
                <w:color w:val="008000"/>
                <w:sz w:val="16"/>
              </w:rPr>
              <w:t>Objectif pleinement atteint</w:t>
            </w:r>
            <w:r w:rsidRPr="00332224">
              <w:rPr>
                <w:color w:val="008000"/>
                <w:sz w:val="16"/>
              </w:rPr>
              <w:t xml:space="preserve"> </w:t>
            </w:r>
          </w:p>
        </w:tc>
      </w:tr>
      <w:tr w:rsidR="00784E52" w:rsidRPr="005C7CCE" w:rsidTr="006D16B6">
        <w:trPr>
          <w:cantSplit/>
        </w:trPr>
        <w:tc>
          <w:tcPr>
            <w:tcW w:w="856" w:type="pct"/>
            <w:shd w:val="clear" w:color="auto" w:fill="auto"/>
          </w:tcPr>
          <w:p w:rsidR="00D42474" w:rsidRDefault="00784E52" w:rsidP="001A5BF9">
            <w:pPr>
              <w:ind w:firstLineChars="3" w:firstLine="5"/>
              <w:rPr>
                <w:rFonts w:cs="Arial"/>
                <w:sz w:val="16"/>
                <w:szCs w:val="16"/>
              </w:rPr>
            </w:pPr>
            <w:r w:rsidRPr="00332224">
              <w:rPr>
                <w:sz w:val="16"/>
              </w:rPr>
              <w:t>Pourcentage de superviseurs qui certifient que les compétences acquises après une année de formation sont utilisées de manière satisfaisante</w:t>
            </w:r>
          </w:p>
          <w:p w:rsidR="00784E52" w:rsidRPr="00332224" w:rsidRDefault="00784E52" w:rsidP="001A5BF9">
            <w:pPr>
              <w:ind w:firstLineChars="3" w:firstLine="5"/>
              <w:rPr>
                <w:rFonts w:cs="Arial"/>
                <w:sz w:val="16"/>
                <w:szCs w:val="16"/>
              </w:rPr>
            </w:pPr>
          </w:p>
        </w:tc>
        <w:tc>
          <w:tcPr>
            <w:tcW w:w="1038" w:type="pct"/>
            <w:gridSpan w:val="2"/>
            <w:shd w:val="clear" w:color="auto" w:fill="auto"/>
          </w:tcPr>
          <w:p w:rsidR="00D42474" w:rsidRDefault="00784E52" w:rsidP="001A5BF9">
            <w:pPr>
              <w:rPr>
                <w:color w:val="002060"/>
                <w:sz w:val="16"/>
              </w:rPr>
            </w:pPr>
            <w:r w:rsidRPr="005C7CCE">
              <w:rPr>
                <w:i/>
                <w:color w:val="002060"/>
                <w:sz w:val="16"/>
              </w:rPr>
              <w:t>Niveau de référence actualisé fin 2011 :</w:t>
            </w:r>
            <w:r w:rsidRPr="005C7CCE">
              <w:rPr>
                <w:color w:val="002060"/>
                <w:sz w:val="16"/>
              </w:rPr>
              <w:t xml:space="preserve"> 70</w:t>
            </w:r>
            <w:r w:rsidR="007E442D" w:rsidRPr="005C7CCE">
              <w:rPr>
                <w:color w:val="002060"/>
                <w:sz w:val="16"/>
              </w:rPr>
              <w:t>%</w:t>
            </w:r>
          </w:p>
          <w:p w:rsidR="00D42474" w:rsidRDefault="00D42474" w:rsidP="001A5BF9">
            <w:pPr>
              <w:rPr>
                <w:rFonts w:cs="Arial"/>
                <w:i/>
                <w:sz w:val="8"/>
                <w:szCs w:val="8"/>
              </w:rPr>
            </w:pPr>
          </w:p>
          <w:p w:rsidR="00784E52" w:rsidRPr="005C7CCE" w:rsidRDefault="00784E52" w:rsidP="001A5BF9">
            <w:pPr>
              <w:rPr>
                <w:rFonts w:cs="Arial"/>
                <w:i/>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Pr="005C7CCE">
              <w:rPr>
                <w:sz w:val="16"/>
              </w:rPr>
              <w:t>60</w:t>
            </w:r>
            <w:r w:rsidR="007E442D" w:rsidRPr="005C7CCE">
              <w:rPr>
                <w:sz w:val="16"/>
              </w:rPr>
              <w:t>%</w:t>
            </w:r>
          </w:p>
        </w:tc>
        <w:tc>
          <w:tcPr>
            <w:tcW w:w="909" w:type="pct"/>
            <w:gridSpan w:val="2"/>
            <w:shd w:val="clear" w:color="auto" w:fill="auto"/>
            <w:tcMar>
              <w:top w:w="110" w:type="dxa"/>
            </w:tcMar>
          </w:tcPr>
          <w:p w:rsidR="00784E52" w:rsidRPr="005C7CCE" w:rsidRDefault="00784E52" w:rsidP="001A5BF9">
            <w:pPr>
              <w:pStyle w:val="Default"/>
              <w:rPr>
                <w:i/>
                <w:sz w:val="16"/>
                <w:szCs w:val="16"/>
              </w:rPr>
            </w:pPr>
            <w:r w:rsidRPr="005C7CCE">
              <w:rPr>
                <w:sz w:val="16"/>
              </w:rPr>
              <w:t>70</w:t>
            </w:r>
            <w:r w:rsidR="007E442D" w:rsidRPr="005C7CCE">
              <w:rPr>
                <w:sz w:val="16"/>
              </w:rPr>
              <w:t>%</w:t>
            </w:r>
          </w:p>
        </w:tc>
        <w:tc>
          <w:tcPr>
            <w:tcW w:w="1516" w:type="pct"/>
            <w:shd w:val="clear" w:color="auto" w:fill="FFFFFF"/>
            <w:tcMar>
              <w:top w:w="110" w:type="dxa"/>
            </w:tcMar>
          </w:tcPr>
          <w:p w:rsidR="00784E52" w:rsidRPr="005C7CCE" w:rsidRDefault="00784E52" w:rsidP="001A5BF9">
            <w:pPr>
              <w:rPr>
                <w:rFonts w:cs="Arial"/>
                <w:color w:val="000000"/>
                <w:sz w:val="16"/>
                <w:szCs w:val="16"/>
              </w:rPr>
            </w:pPr>
            <w:r w:rsidRPr="005C7CCE">
              <w:rPr>
                <w:color w:val="000000"/>
                <w:sz w:val="16"/>
              </w:rPr>
              <w:t>75</w:t>
            </w:r>
            <w:r w:rsidR="007E442D" w:rsidRPr="005C7CCE">
              <w:rPr>
                <w:color w:val="000000"/>
                <w:sz w:val="16"/>
              </w:rPr>
              <w:t>%</w:t>
            </w:r>
          </w:p>
        </w:tc>
        <w:tc>
          <w:tcPr>
            <w:tcW w:w="681" w:type="pct"/>
            <w:shd w:val="clear" w:color="auto" w:fill="auto"/>
            <w:tcMar>
              <w:top w:w="110" w:type="dxa"/>
            </w:tcMar>
          </w:tcPr>
          <w:p w:rsidR="00784E52" w:rsidRPr="00332224" w:rsidRDefault="00784E52" w:rsidP="001A5BF9">
            <w:pPr>
              <w:keepNext/>
              <w:keepLines/>
              <w:jc w:val="center"/>
              <w:rPr>
                <w:color w:val="008000"/>
                <w:sz w:val="16"/>
              </w:rPr>
            </w:pPr>
            <w:r w:rsidRPr="00B470C6">
              <w:rPr>
                <w:color w:val="008000"/>
                <w:sz w:val="16"/>
              </w:rPr>
              <w:t>Objectif pleinement atteint</w:t>
            </w:r>
            <w:r w:rsidRPr="00332224">
              <w:rPr>
                <w:color w:val="008000"/>
                <w:sz w:val="16"/>
              </w:rPr>
              <w:t xml:space="preserve"> </w:t>
            </w:r>
          </w:p>
        </w:tc>
      </w:tr>
      <w:tr w:rsidR="00784E52" w:rsidRPr="005C7CCE" w:rsidTr="006D16B6">
        <w:trPr>
          <w:cantSplit/>
        </w:trPr>
        <w:tc>
          <w:tcPr>
            <w:tcW w:w="856" w:type="pct"/>
            <w:shd w:val="clear" w:color="auto" w:fill="auto"/>
          </w:tcPr>
          <w:p w:rsidR="00784E52" w:rsidRPr="00332224" w:rsidRDefault="00784E52" w:rsidP="001A5BF9">
            <w:pPr>
              <w:ind w:firstLineChars="3" w:firstLine="5"/>
              <w:rPr>
                <w:rFonts w:cs="Arial"/>
                <w:sz w:val="16"/>
                <w:szCs w:val="16"/>
              </w:rPr>
            </w:pPr>
            <w:r w:rsidRPr="00332224">
              <w:rPr>
                <w:sz w:val="16"/>
              </w:rPr>
              <w:t>Nombre de personnes diplômées de l</w:t>
            </w:r>
            <w:r w:rsidR="00A20444" w:rsidRPr="00332224">
              <w:rPr>
                <w:sz w:val="16"/>
              </w:rPr>
              <w:t>’</w:t>
            </w:r>
            <w:r w:rsidRPr="00332224">
              <w:rPr>
                <w:sz w:val="16"/>
              </w:rPr>
              <w:t>Académie de l</w:t>
            </w:r>
            <w:r w:rsidR="00A20444" w:rsidRPr="00332224">
              <w:rPr>
                <w:sz w:val="16"/>
              </w:rPr>
              <w:t>’</w:t>
            </w:r>
            <w:r w:rsidRPr="00332224">
              <w:rPr>
                <w:sz w:val="16"/>
              </w:rPr>
              <w:t>OMPI et d</w:t>
            </w:r>
            <w:r w:rsidR="00A20444" w:rsidRPr="00332224">
              <w:rPr>
                <w:sz w:val="16"/>
              </w:rPr>
              <w:t>’</w:t>
            </w:r>
            <w:r w:rsidRPr="00332224">
              <w:rPr>
                <w:sz w:val="16"/>
              </w:rPr>
              <w:t>établissements universitaires partenaires (diplômes communs)</w:t>
            </w:r>
          </w:p>
        </w:tc>
        <w:tc>
          <w:tcPr>
            <w:tcW w:w="1038" w:type="pct"/>
            <w:gridSpan w:val="2"/>
            <w:shd w:val="clear" w:color="auto" w:fill="auto"/>
          </w:tcPr>
          <w:p w:rsidR="00D42474" w:rsidRDefault="00784E52" w:rsidP="001A5BF9">
            <w:pPr>
              <w:rPr>
                <w:color w:val="002060"/>
                <w:sz w:val="16"/>
              </w:rPr>
            </w:pPr>
            <w:r w:rsidRPr="005C7CCE">
              <w:rPr>
                <w:i/>
                <w:color w:val="002060"/>
                <w:sz w:val="16"/>
              </w:rPr>
              <w:t xml:space="preserve">Niveau de référence actualisé fin 2011 : </w:t>
            </w:r>
            <w:r w:rsidRPr="005C7CCE">
              <w:rPr>
                <w:color w:val="002060"/>
                <w:sz w:val="16"/>
              </w:rPr>
              <w:t>68</w:t>
            </w:r>
          </w:p>
          <w:p w:rsidR="00D42474" w:rsidRDefault="00D42474" w:rsidP="001A5BF9">
            <w:pPr>
              <w:rPr>
                <w:rFonts w:cs="Arial"/>
                <w:i/>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60</w:t>
            </w:r>
          </w:p>
        </w:tc>
        <w:tc>
          <w:tcPr>
            <w:tcW w:w="909" w:type="pct"/>
            <w:gridSpan w:val="2"/>
            <w:shd w:val="clear" w:color="auto" w:fill="auto"/>
            <w:tcMar>
              <w:top w:w="110" w:type="dxa"/>
            </w:tcMar>
          </w:tcPr>
          <w:p w:rsidR="00784E52" w:rsidRPr="005C7CCE" w:rsidRDefault="00784E52" w:rsidP="001A5BF9">
            <w:pPr>
              <w:pStyle w:val="Default"/>
              <w:rPr>
                <w:i/>
                <w:sz w:val="16"/>
                <w:szCs w:val="16"/>
              </w:rPr>
            </w:pPr>
            <w:r w:rsidRPr="005C7CCE">
              <w:rPr>
                <w:sz w:val="16"/>
              </w:rPr>
              <w:t>75 (en 2012</w:t>
            </w:r>
            <w:r w:rsidR="002D6F2A" w:rsidRPr="005C7CCE">
              <w:rPr>
                <w:sz w:val="16"/>
              </w:rPr>
              <w:noBreakHyphen/>
            </w:r>
            <w:r w:rsidRPr="005C7CCE">
              <w:rPr>
                <w:sz w:val="16"/>
              </w:rPr>
              <w:t>2013)</w:t>
            </w:r>
            <w:r w:rsidRPr="005C7CCE">
              <w:rPr>
                <w:rStyle w:val="FootnoteReference"/>
                <w:sz w:val="16"/>
              </w:rPr>
              <w:footnoteReference w:id="24"/>
            </w:r>
          </w:p>
        </w:tc>
        <w:tc>
          <w:tcPr>
            <w:tcW w:w="1516" w:type="pct"/>
            <w:shd w:val="clear" w:color="auto" w:fill="FFFFFF"/>
            <w:tcMar>
              <w:top w:w="110" w:type="dxa"/>
            </w:tcMar>
          </w:tcPr>
          <w:p w:rsidR="00D42474" w:rsidRDefault="00784E52" w:rsidP="001A5BF9">
            <w:pPr>
              <w:rPr>
                <w:rFonts w:cs="Arial"/>
                <w:sz w:val="16"/>
                <w:szCs w:val="16"/>
                <w:lang w:bidi="th-TH"/>
              </w:rPr>
            </w:pPr>
            <w:r w:rsidRPr="005C7CCE">
              <w:rPr>
                <w:sz w:val="16"/>
              </w:rPr>
              <w:t>167 (exercice biennal)</w:t>
            </w:r>
          </w:p>
          <w:p w:rsidR="00D42474" w:rsidRDefault="00784E52" w:rsidP="001A5BF9">
            <w:pPr>
              <w:pStyle w:val="Paragraphedeliste"/>
              <w:numPr>
                <w:ilvl w:val="0"/>
                <w:numId w:val="38"/>
              </w:numPr>
              <w:rPr>
                <w:rFonts w:cs="Arial"/>
                <w:sz w:val="16"/>
                <w:szCs w:val="16"/>
                <w:lang w:bidi="th-TH"/>
              </w:rPr>
            </w:pPr>
            <w:r w:rsidRPr="005C7CCE">
              <w:rPr>
                <w:sz w:val="16"/>
              </w:rPr>
              <w:t>72 (2012)</w:t>
            </w:r>
          </w:p>
          <w:p w:rsidR="00784E52" w:rsidRPr="005C7CCE" w:rsidRDefault="00784E52" w:rsidP="001A5BF9">
            <w:pPr>
              <w:pStyle w:val="Paragraphedeliste"/>
              <w:numPr>
                <w:ilvl w:val="0"/>
                <w:numId w:val="38"/>
              </w:numPr>
              <w:rPr>
                <w:rFonts w:cs="Arial"/>
                <w:sz w:val="16"/>
                <w:szCs w:val="16"/>
                <w:lang w:bidi="th-TH"/>
              </w:rPr>
            </w:pPr>
            <w:r w:rsidRPr="005C7CCE">
              <w:rPr>
                <w:sz w:val="16"/>
              </w:rPr>
              <w:t>95 (2013)</w:t>
            </w:r>
          </w:p>
        </w:tc>
        <w:tc>
          <w:tcPr>
            <w:tcW w:w="681" w:type="pct"/>
            <w:shd w:val="clear" w:color="auto" w:fill="auto"/>
            <w:tcMar>
              <w:top w:w="110" w:type="dxa"/>
            </w:tcMar>
          </w:tcPr>
          <w:p w:rsidR="00784E52" w:rsidRPr="00332224" w:rsidRDefault="00784E52" w:rsidP="001A5BF9">
            <w:pPr>
              <w:keepNext/>
              <w:keepLines/>
              <w:jc w:val="center"/>
              <w:rPr>
                <w:color w:val="008000"/>
                <w:sz w:val="16"/>
              </w:rPr>
            </w:pPr>
            <w:r w:rsidRPr="00B470C6">
              <w:rPr>
                <w:color w:val="008000"/>
                <w:sz w:val="16"/>
              </w:rPr>
              <w:t>Objectif pleinement atteint</w:t>
            </w:r>
            <w:r w:rsidRPr="00332224">
              <w:rPr>
                <w:color w:val="008000"/>
                <w:sz w:val="16"/>
              </w:rPr>
              <w:t xml:space="preserve"> </w:t>
            </w:r>
          </w:p>
        </w:tc>
      </w:tr>
      <w:tr w:rsidR="00784E52" w:rsidRPr="005C7CCE" w:rsidTr="006D16B6">
        <w:trPr>
          <w:cantSplit/>
        </w:trPr>
        <w:tc>
          <w:tcPr>
            <w:tcW w:w="856" w:type="pct"/>
            <w:shd w:val="clear" w:color="auto" w:fill="auto"/>
          </w:tcPr>
          <w:p w:rsidR="00784E52" w:rsidRPr="005C7CCE" w:rsidRDefault="00784E52" w:rsidP="001A5BF9">
            <w:pPr>
              <w:ind w:firstLineChars="3" w:firstLine="5"/>
              <w:rPr>
                <w:rFonts w:cs="Arial"/>
                <w:color w:val="008000"/>
                <w:sz w:val="16"/>
                <w:szCs w:val="16"/>
              </w:rPr>
            </w:pPr>
            <w:r w:rsidRPr="005C7CCE">
              <w:rPr>
                <w:color w:val="008000"/>
                <w:sz w:val="16"/>
              </w:rPr>
              <w:t>Nombre de participants formés dans le cadre des cours d</w:t>
            </w:r>
            <w:r w:rsidR="00A20444" w:rsidRPr="005C7CCE">
              <w:rPr>
                <w:color w:val="008000"/>
                <w:sz w:val="16"/>
              </w:rPr>
              <w:t>’</w:t>
            </w:r>
            <w:r w:rsidRPr="005C7CCE">
              <w:rPr>
                <w:color w:val="008000"/>
                <w:sz w:val="16"/>
              </w:rPr>
              <w:t>été dispensés par l</w:t>
            </w:r>
            <w:r w:rsidR="00A20444" w:rsidRPr="005C7CCE">
              <w:rPr>
                <w:color w:val="008000"/>
                <w:sz w:val="16"/>
              </w:rPr>
              <w:t>’</w:t>
            </w:r>
            <w:r w:rsidRPr="005C7CCE">
              <w:rPr>
                <w:color w:val="008000"/>
                <w:sz w:val="16"/>
              </w:rPr>
              <w:t>OMPI chaque année</w:t>
            </w:r>
          </w:p>
        </w:tc>
        <w:tc>
          <w:tcPr>
            <w:tcW w:w="1038" w:type="pct"/>
            <w:gridSpan w:val="2"/>
            <w:shd w:val="clear" w:color="auto" w:fill="auto"/>
          </w:tcPr>
          <w:p w:rsidR="00D42474" w:rsidRDefault="00784E52"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640</w:t>
            </w:r>
          </w:p>
          <w:p w:rsidR="00D42474" w:rsidRDefault="00D42474" w:rsidP="001A5BF9">
            <w:pPr>
              <w:rPr>
                <w:rFonts w:cs="Arial"/>
                <w:i/>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600</w:t>
            </w:r>
          </w:p>
        </w:tc>
        <w:tc>
          <w:tcPr>
            <w:tcW w:w="909" w:type="pct"/>
            <w:gridSpan w:val="2"/>
            <w:shd w:val="clear" w:color="auto" w:fill="auto"/>
            <w:tcMar>
              <w:top w:w="110" w:type="dxa"/>
            </w:tcMar>
          </w:tcPr>
          <w:p w:rsidR="00784E52" w:rsidRPr="005C7CCE" w:rsidRDefault="00784E52" w:rsidP="001A5BF9">
            <w:pPr>
              <w:pStyle w:val="Default"/>
            </w:pPr>
            <w:r w:rsidRPr="005C7CCE">
              <w:rPr>
                <w:sz w:val="16"/>
              </w:rPr>
              <w:t>400 (en 2012</w:t>
            </w:r>
            <w:r w:rsidR="002D6F2A" w:rsidRPr="005C7CCE">
              <w:rPr>
                <w:sz w:val="16"/>
              </w:rPr>
              <w:noBreakHyphen/>
            </w:r>
            <w:r w:rsidRPr="005C7CCE">
              <w:rPr>
                <w:sz w:val="16"/>
              </w:rPr>
              <w:t>2013)</w:t>
            </w:r>
          </w:p>
        </w:tc>
        <w:tc>
          <w:tcPr>
            <w:tcW w:w="1516" w:type="pct"/>
            <w:shd w:val="clear" w:color="auto" w:fill="FFFFFF"/>
            <w:tcMar>
              <w:top w:w="110" w:type="dxa"/>
            </w:tcMar>
          </w:tcPr>
          <w:p w:rsidR="00D42474" w:rsidRDefault="00784E52" w:rsidP="001A5BF9">
            <w:pPr>
              <w:rPr>
                <w:rFonts w:cs="Arial"/>
                <w:sz w:val="16"/>
                <w:szCs w:val="16"/>
                <w:lang w:bidi="th-TH"/>
              </w:rPr>
            </w:pPr>
            <w:r w:rsidRPr="005C7CCE">
              <w:rPr>
                <w:sz w:val="16"/>
              </w:rPr>
              <w:t>630 (exercice biennal)</w:t>
            </w:r>
          </w:p>
          <w:p w:rsidR="00D42474" w:rsidRDefault="00784E52" w:rsidP="001A5BF9">
            <w:pPr>
              <w:pStyle w:val="Paragraphedeliste"/>
              <w:numPr>
                <w:ilvl w:val="0"/>
                <w:numId w:val="36"/>
              </w:numPr>
              <w:rPr>
                <w:rFonts w:cs="Arial"/>
                <w:sz w:val="16"/>
                <w:szCs w:val="16"/>
                <w:lang w:bidi="th-TH"/>
              </w:rPr>
            </w:pPr>
            <w:r w:rsidRPr="005C7CCE">
              <w:rPr>
                <w:sz w:val="16"/>
              </w:rPr>
              <w:t>301 (2012)</w:t>
            </w:r>
          </w:p>
          <w:p w:rsidR="00784E52" w:rsidRPr="005C7CCE" w:rsidRDefault="00784E52" w:rsidP="001A5BF9">
            <w:pPr>
              <w:pStyle w:val="Paragraphedeliste"/>
              <w:numPr>
                <w:ilvl w:val="0"/>
                <w:numId w:val="36"/>
              </w:numPr>
              <w:rPr>
                <w:rFonts w:cs="Arial"/>
                <w:sz w:val="16"/>
                <w:szCs w:val="16"/>
                <w:lang w:bidi="th-TH"/>
              </w:rPr>
            </w:pPr>
            <w:r w:rsidRPr="005C7CCE">
              <w:rPr>
                <w:sz w:val="16"/>
              </w:rPr>
              <w:t>329 (2013)</w:t>
            </w:r>
          </w:p>
        </w:tc>
        <w:tc>
          <w:tcPr>
            <w:tcW w:w="681" w:type="pct"/>
            <w:shd w:val="clear" w:color="auto" w:fill="auto"/>
            <w:tcMar>
              <w:top w:w="110" w:type="dxa"/>
            </w:tcMar>
          </w:tcPr>
          <w:p w:rsidR="00784E52" w:rsidRPr="001A4E63" w:rsidRDefault="00784E52" w:rsidP="001A5BF9">
            <w:pPr>
              <w:keepNext/>
              <w:keepLines/>
              <w:jc w:val="center"/>
              <w:rPr>
                <w:color w:val="008000"/>
                <w:sz w:val="16"/>
              </w:rPr>
            </w:pPr>
            <w:r w:rsidRPr="00B470C6">
              <w:rPr>
                <w:color w:val="008000"/>
                <w:sz w:val="16"/>
              </w:rPr>
              <w:t>Objectif pleinement atteint</w:t>
            </w:r>
            <w:r w:rsidRPr="001A4E63">
              <w:rPr>
                <w:color w:val="008000"/>
                <w:sz w:val="16"/>
              </w:rPr>
              <w:t xml:space="preserve"> </w:t>
            </w:r>
          </w:p>
        </w:tc>
      </w:tr>
      <w:tr w:rsidR="00784E52" w:rsidRPr="005C7CCE" w:rsidTr="006D16B6">
        <w:trPr>
          <w:cantSplit/>
        </w:trPr>
        <w:tc>
          <w:tcPr>
            <w:tcW w:w="856" w:type="pct"/>
            <w:shd w:val="clear" w:color="auto" w:fill="auto"/>
          </w:tcPr>
          <w:p w:rsidR="00784E52" w:rsidRPr="005C7CCE" w:rsidRDefault="00784E52" w:rsidP="001A5BF9">
            <w:pPr>
              <w:rPr>
                <w:rFonts w:cs="Arial"/>
                <w:sz w:val="16"/>
                <w:szCs w:val="16"/>
              </w:rPr>
            </w:pPr>
            <w:r w:rsidRPr="005C7CCE">
              <w:rPr>
                <w:color w:val="008000"/>
                <w:sz w:val="16"/>
              </w:rPr>
              <w:t>Nombre d</w:t>
            </w:r>
            <w:r w:rsidR="00A20444" w:rsidRPr="005C7CCE">
              <w:rPr>
                <w:color w:val="008000"/>
                <w:sz w:val="16"/>
              </w:rPr>
              <w:t>’</w:t>
            </w:r>
            <w:r w:rsidRPr="005C7CCE">
              <w:rPr>
                <w:color w:val="008000"/>
                <w:sz w:val="16"/>
              </w:rPr>
              <w:t>enseignants en propriété intellectuelle formés par l</w:t>
            </w:r>
            <w:r w:rsidR="00A20444" w:rsidRPr="005C7CCE">
              <w:rPr>
                <w:color w:val="008000"/>
                <w:sz w:val="16"/>
              </w:rPr>
              <w:t>’</w:t>
            </w:r>
            <w:r w:rsidRPr="005C7CCE">
              <w:rPr>
                <w:color w:val="008000"/>
                <w:sz w:val="16"/>
              </w:rPr>
              <w:t>Académie</w:t>
            </w:r>
          </w:p>
        </w:tc>
        <w:tc>
          <w:tcPr>
            <w:tcW w:w="1038" w:type="pct"/>
            <w:gridSpan w:val="2"/>
            <w:shd w:val="clear" w:color="auto" w:fill="auto"/>
          </w:tcPr>
          <w:p w:rsidR="00D42474" w:rsidRDefault="00784E52"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30</w:t>
            </w:r>
          </w:p>
          <w:p w:rsidR="00D42474" w:rsidRDefault="00D42474" w:rsidP="001A5BF9">
            <w:pPr>
              <w:rPr>
                <w:rFonts w:cs="Arial"/>
                <w:i/>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30</w:t>
            </w:r>
          </w:p>
        </w:tc>
        <w:tc>
          <w:tcPr>
            <w:tcW w:w="909" w:type="pct"/>
            <w:gridSpan w:val="2"/>
            <w:shd w:val="clear" w:color="auto" w:fill="auto"/>
            <w:tcMar>
              <w:top w:w="110" w:type="dxa"/>
            </w:tcMar>
          </w:tcPr>
          <w:p w:rsidR="00784E52" w:rsidRPr="005C7CCE" w:rsidRDefault="00784E52" w:rsidP="001A5BF9">
            <w:pPr>
              <w:pStyle w:val="Default"/>
            </w:pPr>
            <w:r w:rsidRPr="005C7CCE">
              <w:rPr>
                <w:sz w:val="16"/>
              </w:rPr>
              <w:t>36 (en 2012</w:t>
            </w:r>
            <w:r w:rsidR="002D6F2A" w:rsidRPr="005C7CCE">
              <w:rPr>
                <w:sz w:val="16"/>
              </w:rPr>
              <w:noBreakHyphen/>
            </w:r>
            <w:r w:rsidRPr="005C7CCE">
              <w:rPr>
                <w:sz w:val="16"/>
              </w:rPr>
              <w:t xml:space="preserve">2013) </w:t>
            </w:r>
          </w:p>
        </w:tc>
        <w:tc>
          <w:tcPr>
            <w:tcW w:w="1516" w:type="pct"/>
            <w:shd w:val="clear" w:color="auto" w:fill="FFFFFF"/>
            <w:tcMar>
              <w:top w:w="110" w:type="dxa"/>
            </w:tcMar>
          </w:tcPr>
          <w:p w:rsidR="00D42474" w:rsidRDefault="00784E52" w:rsidP="001A5BF9">
            <w:pPr>
              <w:rPr>
                <w:rFonts w:cs="Arial"/>
                <w:sz w:val="16"/>
                <w:szCs w:val="16"/>
                <w:lang w:bidi="th-TH"/>
              </w:rPr>
            </w:pPr>
            <w:r w:rsidRPr="005C7CCE">
              <w:rPr>
                <w:sz w:val="16"/>
              </w:rPr>
              <w:t>En 2012</w:t>
            </w:r>
            <w:r w:rsidR="002D6F2A" w:rsidRPr="005C7CCE">
              <w:rPr>
                <w:sz w:val="16"/>
              </w:rPr>
              <w:noBreakHyphen/>
            </w:r>
            <w:r w:rsidRPr="005C7CCE">
              <w:rPr>
                <w:sz w:val="16"/>
              </w:rPr>
              <w:t>2013, 54 enseignants ont participé au Colloque OMPI</w:t>
            </w:r>
            <w:r w:rsidR="002D6F2A" w:rsidRPr="005C7CCE">
              <w:rPr>
                <w:sz w:val="16"/>
              </w:rPr>
              <w:noBreakHyphen/>
            </w:r>
            <w:r w:rsidRPr="005C7CCE">
              <w:rPr>
                <w:sz w:val="16"/>
              </w:rPr>
              <w:t>OMC à l</w:t>
            </w:r>
            <w:r w:rsidR="00A20444" w:rsidRPr="005C7CCE">
              <w:rPr>
                <w:sz w:val="16"/>
              </w:rPr>
              <w:t>’</w:t>
            </w:r>
            <w:r w:rsidRPr="005C7CCE">
              <w:rPr>
                <w:sz w:val="16"/>
              </w:rPr>
              <w:t>intention des enseignants en propriété intellectuelle et au Congrès annuel de l</w:t>
            </w:r>
            <w:r w:rsidR="00A20444" w:rsidRPr="005C7CCE">
              <w:rPr>
                <w:sz w:val="16"/>
              </w:rPr>
              <w:t>’</w:t>
            </w:r>
            <w:proofErr w:type="spellStart"/>
            <w:r w:rsidRPr="005C7CCE">
              <w:rPr>
                <w:sz w:val="16"/>
              </w:rPr>
              <w:t>ATRIP</w:t>
            </w:r>
            <w:proofErr w:type="spellEnd"/>
            <w:r w:rsidRPr="005C7CCE">
              <w:rPr>
                <w:sz w:val="16"/>
              </w:rPr>
              <w:t> :</w:t>
            </w:r>
          </w:p>
          <w:p w:rsidR="00D42474" w:rsidRDefault="00784E52" w:rsidP="001A5BF9">
            <w:pPr>
              <w:pStyle w:val="Paragraphedeliste"/>
              <w:numPr>
                <w:ilvl w:val="0"/>
                <w:numId w:val="37"/>
              </w:numPr>
              <w:rPr>
                <w:rFonts w:cs="Arial"/>
                <w:sz w:val="16"/>
                <w:szCs w:val="16"/>
                <w:lang w:bidi="th-TH"/>
              </w:rPr>
            </w:pPr>
            <w:r w:rsidRPr="005C7CCE">
              <w:rPr>
                <w:sz w:val="16"/>
              </w:rPr>
              <w:t>27 (2012)</w:t>
            </w:r>
            <w:r w:rsidRPr="005C7CCE">
              <w:rPr>
                <w:rStyle w:val="FootnoteReference"/>
                <w:sz w:val="16"/>
              </w:rPr>
              <w:footnoteReference w:id="25"/>
            </w:r>
          </w:p>
          <w:p w:rsidR="00784E52" w:rsidRPr="005C7CCE" w:rsidRDefault="00784E52" w:rsidP="001A5BF9">
            <w:pPr>
              <w:pStyle w:val="Paragraphedeliste"/>
              <w:numPr>
                <w:ilvl w:val="0"/>
                <w:numId w:val="37"/>
              </w:numPr>
              <w:rPr>
                <w:rFonts w:cs="Arial"/>
              </w:rPr>
            </w:pPr>
            <w:r w:rsidRPr="005C7CCE">
              <w:rPr>
                <w:sz w:val="16"/>
              </w:rPr>
              <w:t>27 (2013)</w:t>
            </w:r>
          </w:p>
        </w:tc>
        <w:tc>
          <w:tcPr>
            <w:tcW w:w="681" w:type="pct"/>
            <w:shd w:val="clear" w:color="auto" w:fill="auto"/>
            <w:tcMar>
              <w:top w:w="110" w:type="dxa"/>
            </w:tcMar>
          </w:tcPr>
          <w:p w:rsidR="00784E52" w:rsidRPr="001A4E63" w:rsidRDefault="00784E52" w:rsidP="001A5BF9">
            <w:pPr>
              <w:keepNext/>
              <w:keepLines/>
              <w:jc w:val="center"/>
              <w:rPr>
                <w:color w:val="008000"/>
                <w:sz w:val="16"/>
              </w:rPr>
            </w:pPr>
            <w:r w:rsidRPr="00B470C6">
              <w:rPr>
                <w:color w:val="008000"/>
                <w:sz w:val="16"/>
              </w:rPr>
              <w:t>Objectif pleinement atteint</w:t>
            </w:r>
            <w:r w:rsidRPr="001A4E63">
              <w:rPr>
                <w:color w:val="008000"/>
                <w:sz w:val="16"/>
              </w:rPr>
              <w:t xml:space="preserve"> </w:t>
            </w:r>
          </w:p>
        </w:tc>
      </w:tr>
      <w:tr w:rsidR="00784E52" w:rsidRPr="005C7CCE" w:rsidTr="006D16B6">
        <w:trPr>
          <w:cantSplit/>
        </w:trPr>
        <w:tc>
          <w:tcPr>
            <w:tcW w:w="856" w:type="pct"/>
            <w:shd w:val="clear" w:color="auto" w:fill="auto"/>
          </w:tcPr>
          <w:p w:rsidR="00784E52" w:rsidRPr="005C7CCE" w:rsidRDefault="00784E52" w:rsidP="001A5BF9">
            <w:pPr>
              <w:rPr>
                <w:rFonts w:cs="Arial"/>
                <w:sz w:val="16"/>
                <w:szCs w:val="16"/>
              </w:rPr>
            </w:pPr>
            <w:r w:rsidRPr="005C7CCE">
              <w:rPr>
                <w:color w:val="008000"/>
                <w:sz w:val="16"/>
              </w:rPr>
              <w:t>Nombre de nouvelles académies créées (projet du Plan d</w:t>
            </w:r>
            <w:r w:rsidR="00A20444" w:rsidRPr="005C7CCE">
              <w:rPr>
                <w:color w:val="008000"/>
                <w:sz w:val="16"/>
              </w:rPr>
              <w:t>’</w:t>
            </w:r>
            <w:r w:rsidRPr="005C7CCE">
              <w:rPr>
                <w:color w:val="008000"/>
                <w:sz w:val="16"/>
              </w:rPr>
              <w:t>action pour le développement)</w:t>
            </w:r>
          </w:p>
        </w:tc>
        <w:tc>
          <w:tcPr>
            <w:tcW w:w="1038" w:type="pct"/>
            <w:gridSpan w:val="2"/>
            <w:shd w:val="clear" w:color="auto" w:fill="auto"/>
          </w:tcPr>
          <w:p w:rsidR="00D42474" w:rsidRDefault="00784E52"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4</w:t>
            </w:r>
          </w:p>
          <w:p w:rsidR="00D42474" w:rsidRDefault="00D42474" w:rsidP="001A5BF9">
            <w:pPr>
              <w:rPr>
                <w:rFonts w:cs="Arial"/>
                <w:i/>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2</w:t>
            </w:r>
          </w:p>
        </w:tc>
        <w:tc>
          <w:tcPr>
            <w:tcW w:w="909" w:type="pct"/>
            <w:gridSpan w:val="2"/>
            <w:shd w:val="clear" w:color="auto" w:fill="auto"/>
            <w:tcMar>
              <w:top w:w="110" w:type="dxa"/>
            </w:tcMar>
          </w:tcPr>
          <w:p w:rsidR="00784E52" w:rsidRPr="005C7CCE" w:rsidRDefault="00784E52" w:rsidP="001A5BF9">
            <w:pPr>
              <w:pStyle w:val="Default"/>
              <w:rPr>
                <w:i/>
                <w:sz w:val="16"/>
                <w:szCs w:val="16"/>
              </w:rPr>
            </w:pPr>
            <w:r w:rsidRPr="005C7CCE">
              <w:rPr>
                <w:sz w:val="16"/>
              </w:rPr>
              <w:t>4 (en 2012</w:t>
            </w:r>
            <w:r w:rsidR="002D6F2A" w:rsidRPr="005C7CCE">
              <w:rPr>
                <w:sz w:val="16"/>
              </w:rPr>
              <w:noBreakHyphen/>
            </w:r>
            <w:r w:rsidRPr="005C7CCE">
              <w:rPr>
                <w:sz w:val="16"/>
              </w:rPr>
              <w:t>2013)</w:t>
            </w:r>
          </w:p>
        </w:tc>
        <w:tc>
          <w:tcPr>
            <w:tcW w:w="1516" w:type="pct"/>
            <w:shd w:val="clear" w:color="auto" w:fill="FFFFFF"/>
            <w:tcMar>
              <w:top w:w="110" w:type="dxa"/>
            </w:tcMar>
          </w:tcPr>
          <w:p w:rsidR="00784E52" w:rsidRPr="005C7CCE" w:rsidRDefault="00784E52" w:rsidP="001A5BF9">
            <w:pPr>
              <w:rPr>
                <w:rFonts w:cs="Arial"/>
                <w:sz w:val="16"/>
                <w:szCs w:val="16"/>
              </w:rPr>
            </w:pPr>
            <w:r w:rsidRPr="005C7CCE">
              <w:rPr>
                <w:sz w:val="16"/>
              </w:rPr>
              <w:t>Quatre nouvelles académies de propriété intellectuelle ont vu le jour à la fin de l</w:t>
            </w:r>
            <w:r w:rsidR="00A20444" w:rsidRPr="005C7CCE">
              <w:rPr>
                <w:sz w:val="16"/>
              </w:rPr>
              <w:t>’</w:t>
            </w:r>
            <w:r w:rsidRPr="005C7CCE">
              <w:rPr>
                <w:sz w:val="16"/>
              </w:rPr>
              <w:t xml:space="preserve">année 2013 en Colombie, en République dominicaine, au Pérou et en Tunisie. </w:t>
            </w:r>
            <w:r w:rsidR="0010442A" w:rsidRPr="005C7CCE">
              <w:rPr>
                <w:sz w:val="16"/>
              </w:rPr>
              <w:t xml:space="preserve"> </w:t>
            </w:r>
            <w:r w:rsidRPr="005C7CCE">
              <w:rPr>
                <w:sz w:val="16"/>
              </w:rPr>
              <w:t>Fin 2013, la création d</w:t>
            </w:r>
            <w:r w:rsidR="00A20444" w:rsidRPr="005C7CCE">
              <w:rPr>
                <w:sz w:val="16"/>
              </w:rPr>
              <w:t>’</w:t>
            </w:r>
            <w:r w:rsidRPr="005C7CCE">
              <w:rPr>
                <w:sz w:val="16"/>
              </w:rPr>
              <w:t>établissements en Égypte et en Éthiopie avait déjà bien avancé, avec une conclusion des activités envisagée lors de l</w:t>
            </w:r>
            <w:r w:rsidR="00A20444" w:rsidRPr="005C7CCE">
              <w:rPr>
                <w:sz w:val="16"/>
              </w:rPr>
              <w:t>’</w:t>
            </w:r>
            <w:r w:rsidRPr="005C7CCE">
              <w:rPr>
                <w:sz w:val="16"/>
              </w:rPr>
              <w:t>exercice biennal 2014</w:t>
            </w:r>
            <w:r w:rsidR="002D6F2A" w:rsidRPr="005C7CCE">
              <w:rPr>
                <w:sz w:val="16"/>
              </w:rPr>
              <w:noBreakHyphen/>
            </w:r>
            <w:r w:rsidRPr="005C7CCE">
              <w:rPr>
                <w:sz w:val="16"/>
              </w:rPr>
              <w:t>2015.</w:t>
            </w:r>
          </w:p>
        </w:tc>
        <w:tc>
          <w:tcPr>
            <w:tcW w:w="681"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5C7CCE" w:rsidTr="006D16B6">
        <w:trPr>
          <w:cantSplit/>
        </w:trPr>
        <w:tc>
          <w:tcPr>
            <w:tcW w:w="856" w:type="pct"/>
            <w:tcBorders>
              <w:bottom w:val="single" w:sz="4" w:space="0" w:color="auto"/>
            </w:tcBorders>
            <w:shd w:val="clear" w:color="auto" w:fill="auto"/>
          </w:tcPr>
          <w:p w:rsidR="00784E52" w:rsidRPr="005C7CCE" w:rsidRDefault="00784E52" w:rsidP="001A5BF9">
            <w:pPr>
              <w:ind w:firstLineChars="3" w:firstLine="5"/>
              <w:rPr>
                <w:rFonts w:cs="Arial"/>
                <w:sz w:val="16"/>
                <w:szCs w:val="16"/>
              </w:rPr>
            </w:pPr>
            <w:r w:rsidRPr="005C7CCE">
              <w:rPr>
                <w:color w:val="008000"/>
                <w:sz w:val="16"/>
              </w:rPr>
              <w:t>Nombre de nouveaux accords de coopération interinstitutionnelle</w:t>
            </w:r>
          </w:p>
        </w:tc>
        <w:tc>
          <w:tcPr>
            <w:tcW w:w="1038" w:type="pct"/>
            <w:gridSpan w:val="2"/>
            <w:tcBorders>
              <w:bottom w:val="single" w:sz="4" w:space="0" w:color="auto"/>
            </w:tcBorders>
            <w:shd w:val="clear" w:color="auto" w:fill="auto"/>
          </w:tcPr>
          <w:p w:rsidR="00D42474" w:rsidRDefault="00784E52" w:rsidP="001A5BF9">
            <w:pPr>
              <w:rPr>
                <w:color w:val="002060"/>
                <w:sz w:val="16"/>
              </w:rPr>
            </w:pPr>
            <w:r w:rsidRPr="005C7CCE">
              <w:rPr>
                <w:i/>
                <w:color w:val="002060"/>
                <w:sz w:val="16"/>
              </w:rPr>
              <w:t xml:space="preserve">Niveau de référence actualisé fin 2011 : </w:t>
            </w:r>
            <w:r w:rsidRPr="005C7CCE">
              <w:rPr>
                <w:color w:val="002060"/>
                <w:sz w:val="16"/>
              </w:rPr>
              <w:t>3</w:t>
            </w:r>
          </w:p>
          <w:p w:rsidR="00D42474" w:rsidRDefault="00D42474" w:rsidP="001A5BF9">
            <w:pPr>
              <w:rPr>
                <w:rFonts w:cs="Arial"/>
                <w:i/>
                <w:color w:val="002060"/>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2</w:t>
            </w:r>
          </w:p>
        </w:tc>
        <w:tc>
          <w:tcPr>
            <w:tcW w:w="909" w:type="pct"/>
            <w:gridSpan w:val="2"/>
            <w:tcBorders>
              <w:bottom w:val="single" w:sz="4" w:space="0" w:color="auto"/>
            </w:tcBorders>
            <w:shd w:val="clear" w:color="auto" w:fill="auto"/>
            <w:tcMar>
              <w:top w:w="110" w:type="dxa"/>
            </w:tcMar>
          </w:tcPr>
          <w:p w:rsidR="00784E52" w:rsidRPr="005C7CCE" w:rsidRDefault="00784E52" w:rsidP="001A5BF9">
            <w:pPr>
              <w:pStyle w:val="Default"/>
              <w:rPr>
                <w:i/>
                <w:sz w:val="16"/>
                <w:szCs w:val="16"/>
              </w:rPr>
            </w:pPr>
            <w:r w:rsidRPr="005C7CCE">
              <w:rPr>
                <w:sz w:val="16"/>
              </w:rPr>
              <w:t>3 (en 2012</w:t>
            </w:r>
            <w:r w:rsidR="002D6F2A" w:rsidRPr="005C7CCE">
              <w:rPr>
                <w:sz w:val="16"/>
              </w:rPr>
              <w:noBreakHyphen/>
            </w:r>
            <w:r w:rsidRPr="005C7CCE">
              <w:rPr>
                <w:sz w:val="16"/>
              </w:rPr>
              <w:t>2013)</w:t>
            </w:r>
          </w:p>
        </w:tc>
        <w:tc>
          <w:tcPr>
            <w:tcW w:w="1516" w:type="pct"/>
            <w:tcBorders>
              <w:bottom w:val="single" w:sz="4" w:space="0" w:color="auto"/>
            </w:tcBorders>
            <w:shd w:val="clear" w:color="auto" w:fill="FFFFFF"/>
            <w:tcMar>
              <w:top w:w="110" w:type="dxa"/>
            </w:tcMar>
          </w:tcPr>
          <w:p w:rsidR="00784E52" w:rsidRPr="005C7CCE" w:rsidRDefault="00784E52" w:rsidP="001A5BF9">
            <w:pPr>
              <w:rPr>
                <w:rFonts w:cs="Arial"/>
                <w:sz w:val="16"/>
                <w:szCs w:val="16"/>
                <w:lang w:bidi="th-TH"/>
              </w:rPr>
            </w:pPr>
            <w:r w:rsidRPr="005C7CCE">
              <w:rPr>
                <w:sz w:val="16"/>
              </w:rPr>
              <w:t>À la fin de l</w:t>
            </w:r>
            <w:r w:rsidR="00A20444" w:rsidRPr="005C7CCE">
              <w:rPr>
                <w:sz w:val="16"/>
              </w:rPr>
              <w:t>’</w:t>
            </w:r>
            <w:r w:rsidRPr="005C7CCE">
              <w:rPr>
                <w:sz w:val="16"/>
              </w:rPr>
              <w:t>exercice biennal, cinq nouveaux établissements nationaux de formation (Azerbaïdjan, Maroc, République dominicaine, Tunisie et Viet Nam) avaient rejoint le Réseau mondial d</w:t>
            </w:r>
            <w:r w:rsidR="00A20444" w:rsidRPr="005C7CCE">
              <w:rPr>
                <w:sz w:val="16"/>
              </w:rPr>
              <w:t>’</w:t>
            </w:r>
            <w:r w:rsidRPr="005C7CCE">
              <w:rPr>
                <w:sz w:val="16"/>
              </w:rPr>
              <w:t>académies de la propriété intellectuelle (</w:t>
            </w:r>
            <w:proofErr w:type="spellStart"/>
            <w:r w:rsidRPr="005C7CCE">
              <w:rPr>
                <w:sz w:val="16"/>
              </w:rPr>
              <w:t>GNIPA</w:t>
            </w:r>
            <w:proofErr w:type="spellEnd"/>
            <w:r w:rsidRPr="005C7CCE">
              <w:rPr>
                <w:sz w:val="16"/>
              </w:rPr>
              <w:t xml:space="preserve">). </w:t>
            </w:r>
            <w:r w:rsidR="0010442A" w:rsidRPr="005C7CCE">
              <w:rPr>
                <w:sz w:val="16"/>
              </w:rPr>
              <w:t xml:space="preserve"> </w:t>
            </w:r>
            <w:r w:rsidRPr="005C7CCE">
              <w:rPr>
                <w:sz w:val="16"/>
              </w:rPr>
              <w:t>La participation de la République dominicaine et de la Tunisie était l</w:t>
            </w:r>
            <w:r w:rsidR="00A20444" w:rsidRPr="005C7CCE">
              <w:rPr>
                <w:sz w:val="16"/>
              </w:rPr>
              <w:t>’</w:t>
            </w:r>
            <w:r w:rsidRPr="005C7CCE">
              <w:rPr>
                <w:sz w:val="16"/>
              </w:rPr>
              <w:t>un des résultats escomptés dans le cadre du projet de nouvelles académies.</w:t>
            </w:r>
          </w:p>
        </w:tc>
        <w:tc>
          <w:tcPr>
            <w:tcW w:w="681" w:type="pct"/>
            <w:tcBorders>
              <w:bottom w:val="single" w:sz="4" w:space="0" w:color="auto"/>
            </w:tcBorders>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1A4E63" w:rsidTr="006D16B6">
        <w:trPr>
          <w:cantSplit/>
        </w:trPr>
        <w:tc>
          <w:tcPr>
            <w:tcW w:w="5000" w:type="pct"/>
            <w:gridSpan w:val="7"/>
            <w:tcBorders>
              <w:top w:val="single" w:sz="4" w:space="0" w:color="auto"/>
              <w:bottom w:val="single" w:sz="4" w:space="0" w:color="auto"/>
            </w:tcBorders>
            <w:shd w:val="clear" w:color="auto" w:fill="CCFFFF"/>
            <w:vAlign w:val="center"/>
          </w:tcPr>
          <w:p w:rsidR="00784E52" w:rsidRPr="001A4E63" w:rsidRDefault="00784E52" w:rsidP="001A5BF9">
            <w:pPr>
              <w:keepNext/>
              <w:keepLines/>
              <w:tabs>
                <w:tab w:val="left" w:pos="1452"/>
              </w:tabs>
              <w:spacing w:before="120" w:after="120"/>
              <w:ind w:left="1452" w:hanging="1452"/>
              <w:rPr>
                <w:rFonts w:cs="Arial"/>
                <w:b/>
                <w:bCs/>
                <w:sz w:val="16"/>
                <w:szCs w:val="16"/>
              </w:rPr>
            </w:pPr>
            <w:r w:rsidRPr="001A4E63">
              <w:rPr>
                <w:b/>
                <w:sz w:val="16"/>
              </w:rPr>
              <w:t>Résultat escompté</w:t>
            </w:r>
            <w:r w:rsidR="0010442A" w:rsidRPr="001A4E63">
              <w:rPr>
                <w:b/>
                <w:sz w:val="16"/>
              </w:rPr>
              <w:t xml:space="preserve"> : </w:t>
            </w:r>
            <w:r w:rsidRPr="001A4E63">
              <w:rPr>
                <w:b/>
                <w:sz w:val="16"/>
              </w:rPr>
              <w:tab/>
            </w:r>
            <w:r w:rsidRPr="001A4E63">
              <w:rPr>
                <w:sz w:val="16"/>
              </w:rPr>
              <w:t>Accès facilité à l</w:t>
            </w:r>
            <w:r w:rsidR="00A20444" w:rsidRPr="001A4E63">
              <w:rPr>
                <w:sz w:val="16"/>
              </w:rPr>
              <w:t>’</w:t>
            </w:r>
            <w:r w:rsidRPr="001A4E63">
              <w:rPr>
                <w:sz w:val="16"/>
              </w:rPr>
              <w:t>enseignement en matière de propriété intellectuelle</w:t>
            </w:r>
          </w:p>
        </w:tc>
      </w:tr>
      <w:tr w:rsidR="00784E52" w:rsidRPr="001A4E63" w:rsidTr="006D16B6">
        <w:trPr>
          <w:cantSplit/>
        </w:trPr>
        <w:tc>
          <w:tcPr>
            <w:tcW w:w="856" w:type="pct"/>
            <w:tcBorders>
              <w:top w:val="single" w:sz="4" w:space="0" w:color="auto"/>
            </w:tcBorders>
            <w:shd w:val="clear" w:color="auto" w:fill="auto"/>
            <w:vAlign w:val="center"/>
          </w:tcPr>
          <w:p w:rsidR="00784E52" w:rsidRPr="001A4E63" w:rsidRDefault="00784E52" w:rsidP="001A5BF9">
            <w:pPr>
              <w:rPr>
                <w:rFonts w:cs="Arial"/>
                <w:b/>
                <w:sz w:val="16"/>
                <w:szCs w:val="16"/>
              </w:rPr>
            </w:pPr>
            <w:r w:rsidRPr="001A4E63">
              <w:rPr>
                <w:b/>
                <w:sz w:val="16"/>
              </w:rPr>
              <w:t>Indicateurs d</w:t>
            </w:r>
            <w:r w:rsidR="00A20444" w:rsidRPr="001A4E63">
              <w:rPr>
                <w:b/>
                <w:sz w:val="16"/>
              </w:rPr>
              <w:t>’</w:t>
            </w:r>
            <w:r w:rsidRPr="001A4E63">
              <w:rPr>
                <w:b/>
                <w:sz w:val="16"/>
              </w:rPr>
              <w:t>exécution</w:t>
            </w:r>
          </w:p>
        </w:tc>
        <w:tc>
          <w:tcPr>
            <w:tcW w:w="914" w:type="pct"/>
            <w:tcBorders>
              <w:top w:val="single" w:sz="4" w:space="0" w:color="auto"/>
            </w:tcBorders>
            <w:shd w:val="clear" w:color="auto" w:fill="auto"/>
            <w:vAlign w:val="center"/>
          </w:tcPr>
          <w:p w:rsidR="00784E52" w:rsidRPr="001A4E63" w:rsidRDefault="00784E52" w:rsidP="001A5BF9">
            <w:pPr>
              <w:rPr>
                <w:rFonts w:cs="Arial"/>
                <w:b/>
                <w:bCs/>
                <w:sz w:val="16"/>
                <w:szCs w:val="16"/>
              </w:rPr>
            </w:pPr>
            <w:r w:rsidRPr="001A4E63">
              <w:rPr>
                <w:b/>
                <w:sz w:val="16"/>
              </w:rPr>
              <w:t>Niveaux de référence</w:t>
            </w:r>
          </w:p>
        </w:tc>
        <w:tc>
          <w:tcPr>
            <w:tcW w:w="897" w:type="pct"/>
            <w:gridSpan w:val="2"/>
            <w:tcBorders>
              <w:top w:val="single" w:sz="4" w:space="0" w:color="auto"/>
            </w:tcBorders>
            <w:shd w:val="clear" w:color="auto" w:fill="auto"/>
            <w:tcMar>
              <w:top w:w="110" w:type="dxa"/>
            </w:tcMar>
            <w:vAlign w:val="center"/>
          </w:tcPr>
          <w:p w:rsidR="00784E52" w:rsidRPr="001A4E63" w:rsidRDefault="00784E52" w:rsidP="001A5BF9">
            <w:pPr>
              <w:rPr>
                <w:rFonts w:cs="Arial"/>
                <w:b/>
                <w:sz w:val="16"/>
                <w:szCs w:val="16"/>
              </w:rPr>
            </w:pPr>
            <w:r w:rsidRPr="001A4E63">
              <w:rPr>
                <w:b/>
                <w:sz w:val="16"/>
              </w:rPr>
              <w:t>Objectifs visés</w:t>
            </w:r>
          </w:p>
        </w:tc>
        <w:tc>
          <w:tcPr>
            <w:tcW w:w="1652" w:type="pct"/>
            <w:gridSpan w:val="2"/>
            <w:tcBorders>
              <w:top w:val="single" w:sz="4" w:space="0" w:color="auto"/>
            </w:tcBorders>
            <w:shd w:val="clear" w:color="auto" w:fill="FFFFFF"/>
            <w:tcMar>
              <w:top w:w="110" w:type="dxa"/>
            </w:tcMar>
            <w:vAlign w:val="center"/>
          </w:tcPr>
          <w:p w:rsidR="00784E52" w:rsidRPr="001A4E63" w:rsidRDefault="00784E52" w:rsidP="001A5BF9">
            <w:pPr>
              <w:rPr>
                <w:rFonts w:cs="Arial"/>
                <w:b/>
                <w:sz w:val="16"/>
                <w:szCs w:val="16"/>
              </w:rPr>
            </w:pPr>
            <w:r w:rsidRPr="001A4E63">
              <w:rPr>
                <w:b/>
                <w:sz w:val="16"/>
              </w:rPr>
              <w:t>Données relatives à l</w:t>
            </w:r>
            <w:r w:rsidR="00A20444" w:rsidRPr="001A4E63">
              <w:rPr>
                <w:b/>
                <w:sz w:val="16"/>
              </w:rPr>
              <w:t>’</w:t>
            </w:r>
            <w:r w:rsidRPr="001A4E63">
              <w:rPr>
                <w:b/>
                <w:sz w:val="16"/>
              </w:rPr>
              <w:t>exécution</w:t>
            </w:r>
          </w:p>
        </w:tc>
        <w:tc>
          <w:tcPr>
            <w:tcW w:w="681" w:type="pct"/>
            <w:tcBorders>
              <w:top w:val="single" w:sz="4" w:space="0" w:color="auto"/>
            </w:tcBorders>
            <w:shd w:val="clear" w:color="auto" w:fill="auto"/>
            <w:tcMar>
              <w:top w:w="110" w:type="dxa"/>
            </w:tcMar>
            <w:vAlign w:val="center"/>
          </w:tcPr>
          <w:p w:rsidR="00784E52" w:rsidRPr="001A4E63" w:rsidRDefault="00784E52" w:rsidP="001A5BF9">
            <w:pPr>
              <w:keepNext/>
              <w:keepLines/>
              <w:jc w:val="center"/>
              <w:rPr>
                <w:rFonts w:cs="Arial"/>
                <w:b/>
                <w:bCs/>
                <w:sz w:val="16"/>
                <w:szCs w:val="16"/>
              </w:rPr>
            </w:pPr>
            <w:r w:rsidRPr="001A4E63">
              <w:rPr>
                <w:b/>
                <w:sz w:val="16"/>
              </w:rPr>
              <w:t>Code de couleurs</w:t>
            </w:r>
          </w:p>
        </w:tc>
      </w:tr>
      <w:tr w:rsidR="00784E52" w:rsidRPr="005C7CCE" w:rsidTr="006D16B6">
        <w:trPr>
          <w:cantSplit/>
        </w:trPr>
        <w:tc>
          <w:tcPr>
            <w:tcW w:w="856" w:type="pct"/>
            <w:shd w:val="clear" w:color="auto" w:fill="FFFFFF"/>
          </w:tcPr>
          <w:p w:rsidR="00784E52" w:rsidRPr="001A4E63" w:rsidRDefault="00784E52" w:rsidP="001A5BF9">
            <w:pPr>
              <w:ind w:firstLineChars="3" w:firstLine="5"/>
              <w:rPr>
                <w:rFonts w:cs="Arial"/>
                <w:sz w:val="16"/>
                <w:szCs w:val="16"/>
              </w:rPr>
            </w:pPr>
            <w:r w:rsidRPr="001A4E63">
              <w:rPr>
                <w:sz w:val="16"/>
              </w:rPr>
              <w:t>Nombre d</w:t>
            </w:r>
            <w:r w:rsidR="00A20444" w:rsidRPr="001A4E63">
              <w:rPr>
                <w:sz w:val="16"/>
              </w:rPr>
              <w:t>’</w:t>
            </w:r>
            <w:r w:rsidRPr="001A4E63">
              <w:rPr>
                <w:sz w:val="16"/>
              </w:rPr>
              <w:t>inscriptions en ligne aux cours d</w:t>
            </w:r>
            <w:r w:rsidR="00A20444" w:rsidRPr="001A4E63">
              <w:rPr>
                <w:sz w:val="16"/>
              </w:rPr>
              <w:t>’</w:t>
            </w:r>
            <w:r w:rsidRPr="001A4E63">
              <w:rPr>
                <w:sz w:val="16"/>
              </w:rPr>
              <w:t>enseignement à distance</w:t>
            </w:r>
          </w:p>
        </w:tc>
        <w:tc>
          <w:tcPr>
            <w:tcW w:w="914" w:type="pct"/>
            <w:shd w:val="clear" w:color="auto" w:fill="auto"/>
          </w:tcPr>
          <w:p w:rsidR="00D42474" w:rsidRDefault="00784E52" w:rsidP="001A5BF9">
            <w:pPr>
              <w:rPr>
                <w:color w:val="002060"/>
                <w:sz w:val="16"/>
              </w:rPr>
            </w:pPr>
            <w:r w:rsidRPr="005C7CCE">
              <w:rPr>
                <w:i/>
                <w:color w:val="002060"/>
                <w:sz w:val="16"/>
              </w:rPr>
              <w:t xml:space="preserve">Niveau de référence actualisé fin 2011 : </w:t>
            </w:r>
            <w:r w:rsidRPr="005C7CCE">
              <w:rPr>
                <w:color w:val="002060"/>
                <w:sz w:val="16"/>
              </w:rPr>
              <w:t>83 000</w:t>
            </w:r>
          </w:p>
          <w:p w:rsidR="00D42474" w:rsidRDefault="00D42474" w:rsidP="001A5BF9">
            <w:pPr>
              <w:rPr>
                <w:rFonts w:cs="Arial"/>
                <w:i/>
                <w:color w:val="002060"/>
                <w:sz w:val="8"/>
                <w:szCs w:val="8"/>
              </w:rPr>
            </w:pPr>
          </w:p>
          <w:p w:rsidR="00D42474" w:rsidRDefault="00784E52" w:rsidP="001A5BF9">
            <w:pPr>
              <w:rPr>
                <w:sz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784E52" w:rsidRPr="005C7CCE" w:rsidRDefault="00784E52" w:rsidP="001A5BF9">
            <w:pPr>
              <w:rPr>
                <w:rFonts w:cs="Arial"/>
                <w:sz w:val="16"/>
                <w:szCs w:val="16"/>
              </w:rPr>
            </w:pPr>
            <w:r w:rsidRPr="005C7CCE">
              <w:rPr>
                <w:sz w:val="16"/>
              </w:rPr>
              <w:t>100 000</w:t>
            </w:r>
          </w:p>
        </w:tc>
        <w:tc>
          <w:tcPr>
            <w:tcW w:w="897" w:type="pct"/>
            <w:gridSpan w:val="2"/>
            <w:shd w:val="clear" w:color="auto" w:fill="auto"/>
            <w:tcMar>
              <w:top w:w="110" w:type="dxa"/>
            </w:tcMar>
          </w:tcPr>
          <w:p w:rsidR="00D42474" w:rsidRDefault="00784E52" w:rsidP="001A5BF9">
            <w:pPr>
              <w:autoSpaceDE w:val="0"/>
              <w:autoSpaceDN w:val="0"/>
              <w:adjustRightInd w:val="0"/>
              <w:rPr>
                <w:rFonts w:cs="Arial"/>
                <w:sz w:val="16"/>
                <w:szCs w:val="16"/>
              </w:rPr>
            </w:pPr>
            <w:r w:rsidRPr="005C7CCE">
              <w:rPr>
                <w:sz w:val="16"/>
              </w:rPr>
              <w:t>100 000</w:t>
            </w:r>
          </w:p>
          <w:p w:rsidR="00784E52" w:rsidRPr="005C7CCE" w:rsidRDefault="00784E52" w:rsidP="001A5BF9">
            <w:pPr>
              <w:pStyle w:val="Default"/>
            </w:pPr>
            <w:r w:rsidRPr="005C7CCE">
              <w:rPr>
                <w:sz w:val="16"/>
              </w:rPr>
              <w:t>(en 2012</w:t>
            </w:r>
            <w:r w:rsidR="002D6F2A" w:rsidRPr="005C7CCE">
              <w:rPr>
                <w:sz w:val="16"/>
              </w:rPr>
              <w:noBreakHyphen/>
            </w:r>
            <w:r w:rsidRPr="005C7CCE">
              <w:rPr>
                <w:sz w:val="16"/>
              </w:rPr>
              <w:t xml:space="preserve">2013) </w:t>
            </w:r>
          </w:p>
        </w:tc>
        <w:tc>
          <w:tcPr>
            <w:tcW w:w="1652" w:type="pct"/>
            <w:gridSpan w:val="2"/>
            <w:shd w:val="clear" w:color="auto" w:fill="FFFFFF"/>
            <w:tcMar>
              <w:top w:w="110" w:type="dxa"/>
            </w:tcMar>
          </w:tcPr>
          <w:p w:rsidR="00D42474" w:rsidRDefault="00784E52" w:rsidP="001A5BF9">
            <w:pPr>
              <w:rPr>
                <w:rFonts w:cs="Arial"/>
                <w:sz w:val="16"/>
                <w:szCs w:val="16"/>
                <w:lang w:bidi="th-TH"/>
              </w:rPr>
            </w:pPr>
            <w:r w:rsidRPr="005C7CCE">
              <w:rPr>
                <w:sz w:val="16"/>
              </w:rPr>
              <w:t>81 484 enregistrements en ligne au cours de l</w:t>
            </w:r>
            <w:r w:rsidR="00A20444" w:rsidRPr="005C7CCE">
              <w:rPr>
                <w:sz w:val="16"/>
              </w:rPr>
              <w:t>’</w:t>
            </w:r>
            <w:r w:rsidRPr="005C7CCE">
              <w:rPr>
                <w:sz w:val="16"/>
              </w:rPr>
              <w:t>exercice biennal (les enregistrements ont été temporairement suspendus en 2013 à la demande de l</w:t>
            </w:r>
            <w:r w:rsidR="00A20444" w:rsidRPr="005C7CCE">
              <w:rPr>
                <w:sz w:val="16"/>
              </w:rPr>
              <w:t>’</w:t>
            </w:r>
            <w:r w:rsidRPr="005C7CCE">
              <w:rPr>
                <w:sz w:val="16"/>
              </w:rPr>
              <w:t>Office d</w:t>
            </w:r>
            <w:r w:rsidR="00A20444" w:rsidRPr="005C7CCE">
              <w:rPr>
                <w:sz w:val="16"/>
              </w:rPr>
              <w:t>’</w:t>
            </w:r>
            <w:r w:rsidRPr="005C7CCE">
              <w:rPr>
                <w:sz w:val="16"/>
              </w:rPr>
              <w:t>État de la propriété intellectuelle de la République populaire de Chine (SIPO) afin de permettre des ajustements sur la plate</w:t>
            </w:r>
            <w:r w:rsidR="002D6F2A" w:rsidRPr="005C7CCE">
              <w:rPr>
                <w:sz w:val="16"/>
              </w:rPr>
              <w:noBreakHyphen/>
            </w:r>
            <w:r w:rsidRPr="005C7CCE">
              <w:rPr>
                <w:sz w:val="16"/>
              </w:rPr>
              <w:t>forme informatique et une nouvelle formation du personnel)</w:t>
            </w:r>
          </w:p>
          <w:p w:rsidR="00D42474" w:rsidRDefault="00784E52" w:rsidP="001A5BF9">
            <w:pPr>
              <w:pStyle w:val="Paragraphedeliste"/>
              <w:numPr>
                <w:ilvl w:val="0"/>
                <w:numId w:val="37"/>
              </w:numPr>
              <w:rPr>
                <w:rFonts w:cs="Arial"/>
                <w:sz w:val="16"/>
                <w:szCs w:val="16"/>
                <w:lang w:bidi="th-TH"/>
              </w:rPr>
            </w:pPr>
            <w:r w:rsidRPr="005C7CCE">
              <w:rPr>
                <w:sz w:val="16"/>
              </w:rPr>
              <w:t>40 844 (2012)</w:t>
            </w:r>
          </w:p>
          <w:p w:rsidR="00784E52" w:rsidRPr="005C7CCE" w:rsidRDefault="00784E52" w:rsidP="001A5BF9">
            <w:pPr>
              <w:pStyle w:val="Paragraphedeliste"/>
              <w:numPr>
                <w:ilvl w:val="0"/>
                <w:numId w:val="37"/>
              </w:numPr>
              <w:rPr>
                <w:rFonts w:cs="Arial"/>
                <w:sz w:val="16"/>
                <w:szCs w:val="16"/>
                <w:lang w:bidi="th-TH"/>
              </w:rPr>
            </w:pPr>
            <w:r w:rsidRPr="005C7CCE">
              <w:rPr>
                <w:sz w:val="16"/>
              </w:rPr>
              <w:t>40 640 (2013)</w:t>
            </w:r>
          </w:p>
        </w:tc>
        <w:tc>
          <w:tcPr>
            <w:tcW w:w="681"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5C7CCE" w:rsidTr="006D16B6">
        <w:trPr>
          <w:cantSplit/>
        </w:trPr>
        <w:tc>
          <w:tcPr>
            <w:tcW w:w="856" w:type="pct"/>
            <w:shd w:val="clear" w:color="auto" w:fill="auto"/>
          </w:tcPr>
          <w:p w:rsidR="00784E52" w:rsidRPr="001A4E63" w:rsidRDefault="00784E52" w:rsidP="001A5BF9">
            <w:pPr>
              <w:ind w:firstLineChars="3" w:firstLine="5"/>
              <w:rPr>
                <w:rFonts w:cs="Arial"/>
                <w:sz w:val="16"/>
                <w:szCs w:val="16"/>
              </w:rPr>
            </w:pPr>
            <w:r w:rsidRPr="001A4E63">
              <w:rPr>
                <w:sz w:val="16"/>
              </w:rPr>
              <w:t>Taux d</w:t>
            </w:r>
            <w:r w:rsidR="00A20444" w:rsidRPr="001A4E63">
              <w:rPr>
                <w:sz w:val="16"/>
              </w:rPr>
              <w:t>’</w:t>
            </w:r>
            <w:r w:rsidRPr="001A4E63">
              <w:rPr>
                <w:sz w:val="16"/>
              </w:rPr>
              <w:t>achèvement des cours d</w:t>
            </w:r>
            <w:r w:rsidR="00A20444" w:rsidRPr="001A4E63">
              <w:rPr>
                <w:sz w:val="16"/>
              </w:rPr>
              <w:t>’</w:t>
            </w:r>
            <w:r w:rsidRPr="001A4E63">
              <w:rPr>
                <w:sz w:val="16"/>
              </w:rPr>
              <w:t>enseignement à distance</w:t>
            </w:r>
          </w:p>
        </w:tc>
        <w:tc>
          <w:tcPr>
            <w:tcW w:w="914" w:type="pct"/>
            <w:shd w:val="clear" w:color="auto" w:fill="auto"/>
          </w:tcPr>
          <w:p w:rsidR="00D42474" w:rsidRDefault="00784E52" w:rsidP="001A5BF9">
            <w:pPr>
              <w:pStyle w:val="Default"/>
              <w:rPr>
                <w:color w:val="002060"/>
                <w:sz w:val="16"/>
                <w:szCs w:val="16"/>
              </w:rPr>
            </w:pPr>
            <w:r w:rsidRPr="005C7CCE">
              <w:rPr>
                <w:i/>
                <w:color w:val="002060"/>
                <w:sz w:val="16"/>
              </w:rPr>
              <w:t xml:space="preserve">Niveau de référence actualisé fin 2011 : </w:t>
            </w:r>
            <w:r w:rsidRPr="005C7CCE">
              <w:rPr>
                <w:color w:val="002060"/>
                <w:sz w:val="16"/>
              </w:rPr>
              <w:t>68</w:t>
            </w:r>
            <w:r w:rsidR="007E442D" w:rsidRPr="005C7CCE">
              <w:rPr>
                <w:color w:val="002060"/>
                <w:sz w:val="16"/>
              </w:rPr>
              <w:t>%</w:t>
            </w:r>
          </w:p>
          <w:p w:rsidR="00D42474" w:rsidRDefault="00D42474" w:rsidP="001A5BF9">
            <w:pPr>
              <w:rPr>
                <w:rFonts w:cs="Arial"/>
                <w:i/>
                <w:color w:val="002060"/>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60</w:t>
            </w:r>
            <w:r w:rsidR="007E442D" w:rsidRPr="005C7CCE">
              <w:rPr>
                <w:sz w:val="16"/>
              </w:rPr>
              <w:t>%</w:t>
            </w:r>
          </w:p>
        </w:tc>
        <w:tc>
          <w:tcPr>
            <w:tcW w:w="897" w:type="pct"/>
            <w:gridSpan w:val="2"/>
            <w:shd w:val="clear" w:color="auto" w:fill="auto"/>
            <w:tcMar>
              <w:top w:w="110" w:type="dxa"/>
            </w:tcMar>
          </w:tcPr>
          <w:p w:rsidR="00784E52" w:rsidRPr="005C7CCE" w:rsidRDefault="00784E52" w:rsidP="001A5BF9">
            <w:pPr>
              <w:pStyle w:val="Default"/>
              <w:rPr>
                <w:sz w:val="16"/>
                <w:szCs w:val="16"/>
              </w:rPr>
            </w:pPr>
            <w:r w:rsidRPr="005C7CCE">
              <w:rPr>
                <w:sz w:val="16"/>
              </w:rPr>
              <w:t>75</w:t>
            </w:r>
            <w:r w:rsidR="007E442D" w:rsidRPr="005C7CCE">
              <w:rPr>
                <w:sz w:val="16"/>
              </w:rPr>
              <w:t>%</w:t>
            </w:r>
          </w:p>
        </w:tc>
        <w:tc>
          <w:tcPr>
            <w:tcW w:w="1652" w:type="pct"/>
            <w:gridSpan w:val="2"/>
            <w:shd w:val="clear" w:color="auto" w:fill="FFFFFF"/>
            <w:tcMar>
              <w:top w:w="110" w:type="dxa"/>
            </w:tcMar>
          </w:tcPr>
          <w:p w:rsidR="00784E52" w:rsidRPr="005C7CCE" w:rsidRDefault="00784E52" w:rsidP="001A5BF9">
            <w:pPr>
              <w:rPr>
                <w:rFonts w:cs="Arial"/>
                <w:sz w:val="16"/>
                <w:szCs w:val="16"/>
                <w:lang w:bidi="th-TH"/>
              </w:rPr>
            </w:pPr>
            <w:r w:rsidRPr="005C7CCE">
              <w:rPr>
                <w:sz w:val="16"/>
              </w:rPr>
              <w:t>71</w:t>
            </w:r>
            <w:r w:rsidR="007E442D" w:rsidRPr="005C7CCE">
              <w:rPr>
                <w:sz w:val="16"/>
              </w:rPr>
              <w:t>%</w:t>
            </w:r>
          </w:p>
        </w:tc>
        <w:tc>
          <w:tcPr>
            <w:tcW w:w="681" w:type="pct"/>
            <w:shd w:val="clear" w:color="auto" w:fill="auto"/>
          </w:tcPr>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5C7CCE" w:rsidTr="006D16B6">
        <w:trPr>
          <w:cantSplit/>
        </w:trPr>
        <w:tc>
          <w:tcPr>
            <w:tcW w:w="856" w:type="pct"/>
            <w:shd w:val="clear" w:color="auto" w:fill="auto"/>
          </w:tcPr>
          <w:p w:rsidR="00784E52" w:rsidRPr="001A4E63" w:rsidRDefault="00784E52" w:rsidP="001A5BF9">
            <w:pPr>
              <w:ind w:firstLineChars="3" w:firstLine="5"/>
              <w:rPr>
                <w:rFonts w:cs="Arial"/>
                <w:sz w:val="16"/>
                <w:szCs w:val="16"/>
              </w:rPr>
            </w:pPr>
            <w:r w:rsidRPr="001A4E63">
              <w:rPr>
                <w:sz w:val="16"/>
              </w:rPr>
              <w:t>Pourcentage de participants aux cours d</w:t>
            </w:r>
            <w:r w:rsidR="00A20444" w:rsidRPr="001A4E63">
              <w:rPr>
                <w:sz w:val="16"/>
              </w:rPr>
              <w:t>’</w:t>
            </w:r>
            <w:r w:rsidRPr="001A4E63">
              <w:rPr>
                <w:sz w:val="16"/>
              </w:rPr>
              <w:t>enseignement à distance ayant réussi l</w:t>
            </w:r>
            <w:r w:rsidR="00A20444" w:rsidRPr="001A4E63">
              <w:rPr>
                <w:sz w:val="16"/>
              </w:rPr>
              <w:t>’</w:t>
            </w:r>
            <w:r w:rsidRPr="001A4E63">
              <w:rPr>
                <w:sz w:val="16"/>
              </w:rPr>
              <w:t>examen</w:t>
            </w:r>
          </w:p>
        </w:tc>
        <w:tc>
          <w:tcPr>
            <w:tcW w:w="914" w:type="pct"/>
            <w:shd w:val="clear" w:color="auto" w:fill="auto"/>
          </w:tcPr>
          <w:p w:rsidR="00D42474" w:rsidRDefault="00784E52"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64</w:t>
            </w:r>
            <w:r w:rsidR="007E442D" w:rsidRPr="005C7CCE">
              <w:rPr>
                <w:color w:val="002060"/>
                <w:sz w:val="16"/>
              </w:rPr>
              <w:t>%</w:t>
            </w:r>
          </w:p>
          <w:p w:rsidR="00D42474" w:rsidRDefault="00D42474" w:rsidP="001A5BF9">
            <w:pPr>
              <w:rPr>
                <w:rFonts w:cs="Arial"/>
                <w:i/>
                <w:color w:val="002060"/>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65</w:t>
            </w:r>
            <w:r w:rsidR="007E442D" w:rsidRPr="005C7CCE">
              <w:rPr>
                <w:sz w:val="16"/>
              </w:rPr>
              <w:t>%</w:t>
            </w:r>
          </w:p>
        </w:tc>
        <w:tc>
          <w:tcPr>
            <w:tcW w:w="897" w:type="pct"/>
            <w:gridSpan w:val="2"/>
            <w:shd w:val="clear" w:color="auto" w:fill="auto"/>
            <w:tcMar>
              <w:top w:w="110" w:type="dxa"/>
            </w:tcMar>
          </w:tcPr>
          <w:p w:rsidR="00784E52" w:rsidRPr="005C7CCE" w:rsidRDefault="00784E52" w:rsidP="001A5BF9">
            <w:pPr>
              <w:pStyle w:val="Default"/>
              <w:rPr>
                <w:sz w:val="16"/>
                <w:szCs w:val="16"/>
              </w:rPr>
            </w:pPr>
            <w:r w:rsidRPr="005C7CCE">
              <w:rPr>
                <w:sz w:val="16"/>
              </w:rPr>
              <w:t>75</w:t>
            </w:r>
            <w:r w:rsidR="007E442D" w:rsidRPr="005C7CCE">
              <w:rPr>
                <w:sz w:val="16"/>
              </w:rPr>
              <w:t>%</w:t>
            </w:r>
          </w:p>
        </w:tc>
        <w:tc>
          <w:tcPr>
            <w:tcW w:w="1652" w:type="pct"/>
            <w:gridSpan w:val="2"/>
            <w:shd w:val="clear" w:color="auto" w:fill="FFFFFF"/>
            <w:tcMar>
              <w:top w:w="110" w:type="dxa"/>
            </w:tcMar>
          </w:tcPr>
          <w:p w:rsidR="00784E52" w:rsidRPr="005C7CCE" w:rsidRDefault="00784E52" w:rsidP="001A5BF9">
            <w:pPr>
              <w:rPr>
                <w:rFonts w:cs="Arial"/>
                <w:sz w:val="16"/>
                <w:szCs w:val="16"/>
                <w:lang w:bidi="th-TH"/>
              </w:rPr>
            </w:pPr>
            <w:r w:rsidRPr="005C7CCE">
              <w:rPr>
                <w:sz w:val="16"/>
              </w:rPr>
              <w:t>78</w:t>
            </w:r>
            <w:r w:rsidR="007E442D" w:rsidRPr="005C7CCE">
              <w:rPr>
                <w:sz w:val="16"/>
              </w:rPr>
              <w:t>%</w:t>
            </w:r>
          </w:p>
        </w:tc>
        <w:tc>
          <w:tcPr>
            <w:tcW w:w="681" w:type="pct"/>
            <w:shd w:val="clear" w:color="auto" w:fill="auto"/>
            <w:tcMar>
              <w:top w:w="110" w:type="dxa"/>
            </w:tcMar>
          </w:tcPr>
          <w:p w:rsidR="00784E52" w:rsidRPr="005C7CCE" w:rsidRDefault="00784E52" w:rsidP="001A5BF9">
            <w:pPr>
              <w:keepNext/>
              <w:keepLines/>
              <w:spacing w:after="120"/>
              <w:jc w:val="center"/>
              <w:rPr>
                <w:rFonts w:cs="Arial"/>
                <w:bCs/>
                <w:color w:val="008000"/>
                <w:sz w:val="16"/>
                <w:szCs w:val="16"/>
              </w:rPr>
            </w:pPr>
            <w:r w:rsidRPr="00B470C6">
              <w:rPr>
                <w:color w:val="008000"/>
                <w:sz w:val="16"/>
              </w:rPr>
              <w:t>Objectif pleinement atteint</w:t>
            </w:r>
          </w:p>
        </w:tc>
      </w:tr>
      <w:tr w:rsidR="00784E52" w:rsidRPr="005C7CCE" w:rsidTr="006D16B6">
        <w:trPr>
          <w:cantSplit/>
        </w:trPr>
        <w:tc>
          <w:tcPr>
            <w:tcW w:w="856" w:type="pct"/>
            <w:shd w:val="clear" w:color="auto" w:fill="FFFFFF"/>
          </w:tcPr>
          <w:p w:rsidR="00784E52" w:rsidRPr="001A4E63" w:rsidRDefault="00784E52" w:rsidP="001A5BF9">
            <w:pPr>
              <w:ind w:firstLineChars="3" w:firstLine="5"/>
              <w:rPr>
                <w:rFonts w:cs="Arial"/>
                <w:sz w:val="16"/>
                <w:szCs w:val="16"/>
              </w:rPr>
            </w:pPr>
            <w:r w:rsidRPr="001A4E63">
              <w:rPr>
                <w:sz w:val="16"/>
              </w:rPr>
              <w:t>Nombre de cours de l</w:t>
            </w:r>
            <w:r w:rsidR="00A20444" w:rsidRPr="001A4E63">
              <w:rPr>
                <w:sz w:val="16"/>
              </w:rPr>
              <w:t>’</w:t>
            </w:r>
            <w:r w:rsidRPr="001A4E63">
              <w:rPr>
                <w:sz w:val="16"/>
              </w:rPr>
              <w:t>Académie introduits dans des programmes d</w:t>
            </w:r>
            <w:r w:rsidR="00A20444" w:rsidRPr="001A4E63">
              <w:rPr>
                <w:sz w:val="16"/>
              </w:rPr>
              <w:t>’</w:t>
            </w:r>
            <w:r w:rsidRPr="001A4E63">
              <w:rPr>
                <w:sz w:val="16"/>
              </w:rPr>
              <w:t>établissements d</w:t>
            </w:r>
            <w:r w:rsidR="00A20444" w:rsidRPr="001A4E63">
              <w:rPr>
                <w:sz w:val="16"/>
              </w:rPr>
              <w:t>’</w:t>
            </w:r>
            <w:r w:rsidRPr="001A4E63">
              <w:rPr>
                <w:sz w:val="16"/>
              </w:rPr>
              <w:t>enseignement</w:t>
            </w:r>
          </w:p>
        </w:tc>
        <w:tc>
          <w:tcPr>
            <w:tcW w:w="914" w:type="pct"/>
            <w:shd w:val="clear" w:color="auto" w:fill="auto"/>
          </w:tcPr>
          <w:p w:rsidR="00D42474" w:rsidRDefault="00784E52"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10</w:t>
            </w:r>
          </w:p>
          <w:p w:rsidR="00D42474" w:rsidRDefault="00D42474" w:rsidP="001A5BF9">
            <w:pPr>
              <w:rPr>
                <w:rFonts w:cs="Arial"/>
                <w:i/>
                <w:color w:val="002060"/>
                <w:sz w:val="8"/>
                <w:szCs w:val="8"/>
              </w:rPr>
            </w:pPr>
          </w:p>
          <w:p w:rsidR="00D42474" w:rsidRDefault="00784E52" w:rsidP="001A5BF9">
            <w:pPr>
              <w:rPr>
                <w:sz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D42474" w:rsidRDefault="00784E52" w:rsidP="001A5BF9">
            <w:pPr>
              <w:rPr>
                <w:rFonts w:cs="Arial"/>
                <w:sz w:val="16"/>
                <w:szCs w:val="16"/>
              </w:rPr>
            </w:pPr>
            <w:r w:rsidRPr="005C7CCE">
              <w:rPr>
                <w:sz w:val="16"/>
              </w:rPr>
              <w:t>8 (2010</w:t>
            </w:r>
            <w:r w:rsidR="002D6F2A" w:rsidRPr="005C7CCE">
              <w:rPr>
                <w:sz w:val="16"/>
              </w:rPr>
              <w:noBreakHyphen/>
            </w:r>
            <w:r w:rsidRPr="005C7CCE">
              <w:rPr>
                <w:sz w:val="16"/>
              </w:rPr>
              <w:t>2011)</w:t>
            </w:r>
          </w:p>
          <w:p w:rsidR="00784E52" w:rsidRPr="005C7CCE" w:rsidRDefault="00784E52" w:rsidP="001A5BF9">
            <w:pPr>
              <w:rPr>
                <w:rFonts w:cs="Arial"/>
                <w:sz w:val="16"/>
                <w:szCs w:val="16"/>
              </w:rPr>
            </w:pPr>
          </w:p>
        </w:tc>
        <w:tc>
          <w:tcPr>
            <w:tcW w:w="897" w:type="pct"/>
            <w:gridSpan w:val="2"/>
            <w:shd w:val="clear" w:color="auto" w:fill="auto"/>
            <w:tcMar>
              <w:top w:w="110" w:type="dxa"/>
            </w:tcMar>
          </w:tcPr>
          <w:p w:rsidR="00784E52" w:rsidRPr="005C7CCE" w:rsidRDefault="00784E52" w:rsidP="001A5BF9">
            <w:pPr>
              <w:pStyle w:val="Default"/>
              <w:rPr>
                <w:sz w:val="16"/>
                <w:szCs w:val="16"/>
              </w:rPr>
            </w:pPr>
            <w:r w:rsidRPr="005C7CCE">
              <w:rPr>
                <w:sz w:val="16"/>
              </w:rPr>
              <w:t>8 (en 2012</w:t>
            </w:r>
            <w:r w:rsidR="002D6F2A" w:rsidRPr="005C7CCE">
              <w:rPr>
                <w:sz w:val="16"/>
              </w:rPr>
              <w:noBreakHyphen/>
            </w:r>
            <w:r w:rsidRPr="005C7CCE">
              <w:rPr>
                <w:sz w:val="16"/>
              </w:rPr>
              <w:t>2013)</w:t>
            </w:r>
          </w:p>
        </w:tc>
        <w:tc>
          <w:tcPr>
            <w:tcW w:w="1652" w:type="pct"/>
            <w:gridSpan w:val="2"/>
            <w:shd w:val="clear" w:color="auto" w:fill="FFFFFF"/>
            <w:tcMar>
              <w:top w:w="110" w:type="dxa"/>
            </w:tcMar>
          </w:tcPr>
          <w:p w:rsidR="00784E52" w:rsidRPr="005C7CCE" w:rsidRDefault="00784E52" w:rsidP="001A5BF9">
            <w:pPr>
              <w:rPr>
                <w:rFonts w:cs="Arial"/>
                <w:sz w:val="16"/>
                <w:szCs w:val="16"/>
                <w:lang w:bidi="th-TH"/>
              </w:rPr>
            </w:pPr>
            <w:r w:rsidRPr="005C7CCE">
              <w:rPr>
                <w:sz w:val="16"/>
              </w:rPr>
              <w:t>11</w:t>
            </w:r>
          </w:p>
        </w:tc>
        <w:tc>
          <w:tcPr>
            <w:tcW w:w="681"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5C7CCE" w:rsidTr="006D16B6">
        <w:trPr>
          <w:cantSplit/>
        </w:trPr>
        <w:tc>
          <w:tcPr>
            <w:tcW w:w="856" w:type="pct"/>
            <w:shd w:val="clear" w:color="auto" w:fill="auto"/>
          </w:tcPr>
          <w:p w:rsidR="00784E52" w:rsidRPr="001A4E63" w:rsidRDefault="00784E52" w:rsidP="001A5BF9">
            <w:pPr>
              <w:keepNext/>
              <w:keepLines/>
              <w:ind w:firstLineChars="3" w:firstLine="5"/>
              <w:rPr>
                <w:rFonts w:cs="Arial"/>
                <w:sz w:val="16"/>
                <w:szCs w:val="16"/>
              </w:rPr>
            </w:pPr>
            <w:r w:rsidRPr="001A4E63">
              <w:rPr>
                <w:sz w:val="16"/>
              </w:rPr>
              <w:t>Nombre de nouveaux cours en ligne à différents niveaux de spécialisation</w:t>
            </w:r>
          </w:p>
        </w:tc>
        <w:tc>
          <w:tcPr>
            <w:tcW w:w="914" w:type="pct"/>
            <w:shd w:val="clear" w:color="auto" w:fill="auto"/>
          </w:tcPr>
          <w:p w:rsidR="00D42474" w:rsidRDefault="00784E52" w:rsidP="001A5BF9">
            <w:pPr>
              <w:keepNext/>
              <w:keepLines/>
              <w:rPr>
                <w:color w:val="002060"/>
                <w:sz w:val="16"/>
              </w:rPr>
            </w:pPr>
            <w:r w:rsidRPr="005C7CCE">
              <w:rPr>
                <w:i/>
                <w:color w:val="002060"/>
                <w:sz w:val="16"/>
              </w:rPr>
              <w:t xml:space="preserve">Niveau de référence actualisé fin 2011 : </w:t>
            </w:r>
            <w:r w:rsidRPr="005C7CCE">
              <w:rPr>
                <w:color w:val="002060"/>
                <w:sz w:val="16"/>
              </w:rPr>
              <w:t>2</w:t>
            </w:r>
          </w:p>
          <w:p w:rsidR="00D42474" w:rsidRDefault="00D42474" w:rsidP="001A5BF9">
            <w:pPr>
              <w:keepNext/>
              <w:keepLines/>
              <w:rPr>
                <w:rFonts w:cs="Arial"/>
                <w:i/>
                <w:color w:val="002060"/>
                <w:sz w:val="8"/>
                <w:szCs w:val="8"/>
              </w:rPr>
            </w:pPr>
          </w:p>
          <w:p w:rsidR="00D42474" w:rsidRDefault="00784E52" w:rsidP="001A5BF9">
            <w:pPr>
              <w:keepNext/>
              <w:keepLines/>
              <w:rPr>
                <w:sz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784E52" w:rsidRPr="005C7CCE" w:rsidRDefault="00784E52" w:rsidP="001A5BF9">
            <w:pPr>
              <w:keepNext/>
              <w:keepLines/>
              <w:rPr>
                <w:rFonts w:cs="Arial"/>
                <w:sz w:val="16"/>
                <w:szCs w:val="16"/>
              </w:rPr>
            </w:pPr>
            <w:r w:rsidRPr="005C7CCE">
              <w:rPr>
                <w:sz w:val="16"/>
              </w:rPr>
              <w:t>2 (2010</w:t>
            </w:r>
            <w:r w:rsidR="002D6F2A" w:rsidRPr="005C7CCE">
              <w:rPr>
                <w:sz w:val="16"/>
              </w:rPr>
              <w:noBreakHyphen/>
            </w:r>
            <w:r w:rsidRPr="005C7CCE">
              <w:rPr>
                <w:sz w:val="16"/>
              </w:rPr>
              <w:t>2011)</w:t>
            </w:r>
          </w:p>
        </w:tc>
        <w:tc>
          <w:tcPr>
            <w:tcW w:w="897" w:type="pct"/>
            <w:gridSpan w:val="2"/>
            <w:shd w:val="clear" w:color="auto" w:fill="auto"/>
            <w:tcMar>
              <w:top w:w="110" w:type="dxa"/>
            </w:tcMar>
          </w:tcPr>
          <w:p w:rsidR="00784E52" w:rsidRPr="005C7CCE" w:rsidRDefault="00784E52" w:rsidP="001A5BF9">
            <w:pPr>
              <w:keepNext/>
              <w:keepLines/>
              <w:rPr>
                <w:rFonts w:cs="Arial"/>
                <w:sz w:val="16"/>
                <w:szCs w:val="16"/>
              </w:rPr>
            </w:pPr>
            <w:r w:rsidRPr="005C7CCE">
              <w:rPr>
                <w:sz w:val="16"/>
              </w:rPr>
              <w:t>3 (en 2012</w:t>
            </w:r>
            <w:r w:rsidR="002D6F2A" w:rsidRPr="005C7CCE">
              <w:rPr>
                <w:sz w:val="16"/>
              </w:rPr>
              <w:noBreakHyphen/>
            </w:r>
            <w:r w:rsidRPr="005C7CCE">
              <w:rPr>
                <w:sz w:val="16"/>
              </w:rPr>
              <w:t>2013)</w:t>
            </w:r>
          </w:p>
        </w:tc>
        <w:tc>
          <w:tcPr>
            <w:tcW w:w="1652" w:type="pct"/>
            <w:gridSpan w:val="2"/>
            <w:shd w:val="clear" w:color="auto" w:fill="FFFFFF"/>
            <w:tcMar>
              <w:top w:w="110" w:type="dxa"/>
            </w:tcMar>
          </w:tcPr>
          <w:p w:rsidR="00784E52" w:rsidRPr="005C7CCE" w:rsidRDefault="00784E52" w:rsidP="001A5BF9">
            <w:pPr>
              <w:keepNext/>
              <w:keepLines/>
              <w:rPr>
                <w:rFonts w:cs="Arial"/>
                <w:sz w:val="16"/>
                <w:szCs w:val="16"/>
                <w:lang w:bidi="th-TH"/>
              </w:rPr>
            </w:pPr>
            <w:r w:rsidRPr="005C7CCE">
              <w:rPr>
                <w:sz w:val="16"/>
              </w:rPr>
              <w:t>Des travaux ont été déployés lors de l</w:t>
            </w:r>
            <w:r w:rsidR="00A20444" w:rsidRPr="005C7CCE">
              <w:rPr>
                <w:sz w:val="16"/>
              </w:rPr>
              <w:t>’</w:t>
            </w:r>
            <w:r w:rsidRPr="005C7CCE">
              <w:rPr>
                <w:sz w:val="16"/>
              </w:rPr>
              <w:t>exercice biennal pour lancer trois nouveaux cours (gestion collective du droit d</w:t>
            </w:r>
            <w:r w:rsidR="00A20444" w:rsidRPr="005C7CCE">
              <w:rPr>
                <w:sz w:val="16"/>
              </w:rPr>
              <w:t>’</w:t>
            </w:r>
            <w:r w:rsidRPr="005C7CCE">
              <w:rPr>
                <w:sz w:val="16"/>
              </w:rPr>
              <w:t>auteur et des droits connexes;</w:t>
            </w:r>
            <w:r w:rsidR="004F3E42" w:rsidRPr="005C7CCE">
              <w:rPr>
                <w:sz w:val="16"/>
              </w:rPr>
              <w:t xml:space="preserve"> </w:t>
            </w:r>
            <w:r w:rsidR="0010442A" w:rsidRPr="005C7CCE">
              <w:rPr>
                <w:sz w:val="16"/>
              </w:rPr>
              <w:t xml:space="preserve"> </w:t>
            </w:r>
            <w:r w:rsidRPr="005C7CCE">
              <w:rPr>
                <w:sz w:val="16"/>
              </w:rPr>
              <w:t>la propriété intellectuelle au regard de la santé publique;</w:t>
            </w:r>
            <w:r w:rsidR="004F3E42" w:rsidRPr="005C7CCE">
              <w:rPr>
                <w:sz w:val="16"/>
              </w:rPr>
              <w:t xml:space="preserve"> </w:t>
            </w:r>
            <w:r w:rsidR="0010442A" w:rsidRPr="005C7CCE">
              <w:rPr>
                <w:sz w:val="16"/>
              </w:rPr>
              <w:t xml:space="preserve"> </w:t>
            </w:r>
            <w:r w:rsidRPr="005C7CCE">
              <w:rPr>
                <w:sz w:val="16"/>
              </w:rPr>
              <w:t>l</w:t>
            </w:r>
            <w:r w:rsidR="00A20444" w:rsidRPr="005C7CCE">
              <w:rPr>
                <w:sz w:val="16"/>
              </w:rPr>
              <w:t>’</w:t>
            </w:r>
            <w:r w:rsidRPr="005C7CCE">
              <w:rPr>
                <w:sz w:val="16"/>
              </w:rPr>
              <w:t>économie de la propriété intellectuelle).</w:t>
            </w:r>
            <w:r w:rsidR="0010442A" w:rsidRPr="005C7CCE">
              <w:rPr>
                <w:sz w:val="16"/>
              </w:rPr>
              <w:t xml:space="preserve"> </w:t>
            </w:r>
            <w:r w:rsidRPr="005C7CCE">
              <w:rPr>
                <w:sz w:val="16"/>
              </w:rPr>
              <w:t xml:space="preserve"> L</w:t>
            </w:r>
            <w:r w:rsidR="00A20444" w:rsidRPr="005C7CCE">
              <w:rPr>
                <w:sz w:val="16"/>
              </w:rPr>
              <w:t>’</w:t>
            </w:r>
            <w:r w:rsidRPr="005C7CCE">
              <w:rPr>
                <w:sz w:val="16"/>
              </w:rPr>
              <w:t>élaboration du contenu et l</w:t>
            </w:r>
            <w:r w:rsidR="00A20444" w:rsidRPr="005C7CCE">
              <w:rPr>
                <w:sz w:val="16"/>
              </w:rPr>
              <w:t>’</w:t>
            </w:r>
            <w:r w:rsidRPr="005C7CCE">
              <w:rPr>
                <w:sz w:val="16"/>
              </w:rPr>
              <w:t>adaptation à l</w:t>
            </w:r>
            <w:r w:rsidR="00A20444" w:rsidRPr="005C7CCE">
              <w:rPr>
                <w:sz w:val="16"/>
              </w:rPr>
              <w:t>’</w:t>
            </w:r>
            <w:r w:rsidRPr="005C7CCE">
              <w:rPr>
                <w:sz w:val="16"/>
              </w:rPr>
              <w:t>apprentissage en ligne ont toutefois pris davantage de temps que prévu.</w:t>
            </w:r>
          </w:p>
        </w:tc>
        <w:tc>
          <w:tcPr>
            <w:tcW w:w="681" w:type="pct"/>
            <w:shd w:val="clear" w:color="auto" w:fill="auto"/>
          </w:tcPr>
          <w:p w:rsidR="00784E52" w:rsidRPr="005C7CCE" w:rsidRDefault="00784E52" w:rsidP="001A5BF9">
            <w:pPr>
              <w:keepNext/>
              <w:keepLines/>
              <w:jc w:val="center"/>
              <w:rPr>
                <w:color w:val="008000"/>
                <w:sz w:val="16"/>
              </w:rPr>
            </w:pPr>
            <w:r w:rsidRPr="001A4E63">
              <w:rPr>
                <w:color w:val="FF0000"/>
                <w:sz w:val="16"/>
              </w:rPr>
              <w:t>Objectif pas atteint</w:t>
            </w:r>
          </w:p>
        </w:tc>
      </w:tr>
      <w:tr w:rsidR="00784E52" w:rsidRPr="005C7CCE" w:rsidTr="006D16B6">
        <w:trPr>
          <w:cantSplit/>
        </w:trPr>
        <w:tc>
          <w:tcPr>
            <w:tcW w:w="856" w:type="pct"/>
            <w:shd w:val="clear" w:color="auto" w:fill="auto"/>
          </w:tcPr>
          <w:p w:rsidR="00784E52" w:rsidRPr="001A4E63" w:rsidRDefault="00784E52" w:rsidP="001A5BF9">
            <w:pPr>
              <w:ind w:firstLineChars="3" w:firstLine="5"/>
              <w:rPr>
                <w:rFonts w:cs="Arial"/>
                <w:sz w:val="16"/>
                <w:szCs w:val="16"/>
              </w:rPr>
            </w:pPr>
            <w:r w:rsidRPr="001A4E63">
              <w:rPr>
                <w:sz w:val="16"/>
              </w:rPr>
              <w:t>Nombre de langues dans lesquelles les cours sont dispensés</w:t>
            </w:r>
          </w:p>
        </w:tc>
        <w:tc>
          <w:tcPr>
            <w:tcW w:w="914" w:type="pct"/>
            <w:shd w:val="clear" w:color="auto" w:fill="auto"/>
          </w:tcPr>
          <w:p w:rsidR="00D42474" w:rsidRDefault="00784E52" w:rsidP="001A5BF9">
            <w:pPr>
              <w:rPr>
                <w:color w:val="002060"/>
                <w:sz w:val="16"/>
              </w:rPr>
            </w:pPr>
            <w:r w:rsidRPr="005C7CCE">
              <w:rPr>
                <w:i/>
                <w:color w:val="002060"/>
                <w:sz w:val="16"/>
              </w:rPr>
              <w:t xml:space="preserve">Niveau de référence actualisé fin 2011 : </w:t>
            </w:r>
            <w:r w:rsidRPr="005C7CCE">
              <w:rPr>
                <w:color w:val="002060"/>
                <w:sz w:val="16"/>
              </w:rPr>
              <w:t>11</w:t>
            </w:r>
          </w:p>
          <w:p w:rsidR="00D42474" w:rsidRDefault="00D42474" w:rsidP="001A5BF9">
            <w:pPr>
              <w:rPr>
                <w:rFonts w:cs="Arial"/>
                <w:i/>
                <w:color w:val="002060"/>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11</w:t>
            </w:r>
          </w:p>
        </w:tc>
        <w:tc>
          <w:tcPr>
            <w:tcW w:w="897" w:type="pct"/>
            <w:gridSpan w:val="2"/>
            <w:shd w:val="clear" w:color="auto" w:fill="auto"/>
            <w:tcMar>
              <w:top w:w="110" w:type="dxa"/>
            </w:tcMar>
          </w:tcPr>
          <w:p w:rsidR="00784E52" w:rsidRPr="005C7CCE" w:rsidRDefault="00784E52" w:rsidP="001A5BF9">
            <w:pPr>
              <w:pStyle w:val="Default"/>
              <w:rPr>
                <w:sz w:val="16"/>
                <w:szCs w:val="16"/>
              </w:rPr>
            </w:pPr>
            <w:r w:rsidRPr="005C7CCE">
              <w:rPr>
                <w:sz w:val="16"/>
              </w:rPr>
              <w:t>11</w:t>
            </w:r>
          </w:p>
        </w:tc>
        <w:tc>
          <w:tcPr>
            <w:tcW w:w="1652" w:type="pct"/>
            <w:gridSpan w:val="2"/>
            <w:shd w:val="clear" w:color="auto" w:fill="FFFFFF"/>
            <w:tcMar>
              <w:top w:w="110" w:type="dxa"/>
            </w:tcMar>
          </w:tcPr>
          <w:p w:rsidR="00784E52" w:rsidRPr="005C7CCE" w:rsidRDefault="00784E52" w:rsidP="001A5BF9">
            <w:pPr>
              <w:rPr>
                <w:rFonts w:cs="Arial"/>
                <w:sz w:val="16"/>
                <w:szCs w:val="16"/>
                <w:lang w:bidi="th-TH"/>
              </w:rPr>
            </w:pPr>
            <w:r w:rsidRPr="005C7CCE">
              <w:rPr>
                <w:sz w:val="16"/>
              </w:rPr>
              <w:t>11</w:t>
            </w:r>
          </w:p>
        </w:tc>
        <w:tc>
          <w:tcPr>
            <w:tcW w:w="681" w:type="pct"/>
            <w:shd w:val="clear" w:color="auto" w:fill="auto"/>
            <w:tcMar>
              <w:top w:w="110" w:type="dxa"/>
            </w:tcMar>
          </w:tcPr>
          <w:p w:rsidR="00784E52" w:rsidRPr="005C7CCE" w:rsidRDefault="00784E52" w:rsidP="001A5BF9">
            <w:pPr>
              <w:keepNext/>
              <w:keepLines/>
              <w:spacing w:after="120"/>
              <w:jc w:val="center"/>
              <w:rPr>
                <w:color w:val="008000"/>
                <w:sz w:val="16"/>
              </w:rPr>
            </w:pPr>
            <w:r w:rsidRPr="00B470C6">
              <w:rPr>
                <w:color w:val="008000"/>
                <w:sz w:val="16"/>
              </w:rPr>
              <w:t>Objectif pleinement atteint</w:t>
            </w:r>
            <w:r w:rsidRPr="005C7CCE">
              <w:rPr>
                <w:color w:val="008000"/>
                <w:sz w:val="16"/>
              </w:rPr>
              <w:t xml:space="preserve"> </w:t>
            </w:r>
          </w:p>
        </w:tc>
      </w:tr>
      <w:tr w:rsidR="00784E52" w:rsidRPr="005C7CCE" w:rsidTr="006D16B6">
        <w:trPr>
          <w:cantSplit/>
        </w:trPr>
        <w:tc>
          <w:tcPr>
            <w:tcW w:w="856" w:type="pct"/>
            <w:tcBorders>
              <w:bottom w:val="single" w:sz="4" w:space="0" w:color="auto"/>
            </w:tcBorders>
            <w:shd w:val="clear" w:color="auto" w:fill="auto"/>
          </w:tcPr>
          <w:p w:rsidR="00784E52" w:rsidRPr="001A4E63" w:rsidRDefault="00784E52" w:rsidP="001A5BF9">
            <w:pPr>
              <w:ind w:firstLineChars="3" w:firstLine="5"/>
              <w:rPr>
                <w:rFonts w:cs="Arial"/>
                <w:sz w:val="16"/>
                <w:szCs w:val="16"/>
              </w:rPr>
            </w:pPr>
            <w:r w:rsidRPr="001A4E63">
              <w:rPr>
                <w:sz w:val="16"/>
              </w:rPr>
              <w:t>Nombre de bourses d</w:t>
            </w:r>
            <w:r w:rsidR="00A20444" w:rsidRPr="001A4E63">
              <w:rPr>
                <w:sz w:val="16"/>
              </w:rPr>
              <w:t>’</w:t>
            </w:r>
            <w:r w:rsidRPr="001A4E63">
              <w:rPr>
                <w:sz w:val="16"/>
              </w:rPr>
              <w:t>études accordées à des participants venant de pays en développement, de PMA et de pays en transition</w:t>
            </w:r>
          </w:p>
        </w:tc>
        <w:tc>
          <w:tcPr>
            <w:tcW w:w="914" w:type="pct"/>
            <w:tcBorders>
              <w:bottom w:val="single" w:sz="4" w:space="0" w:color="auto"/>
            </w:tcBorders>
            <w:shd w:val="clear" w:color="auto" w:fill="auto"/>
          </w:tcPr>
          <w:p w:rsidR="00D42474" w:rsidRDefault="00784E52"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920</w:t>
            </w:r>
          </w:p>
          <w:p w:rsidR="00D42474" w:rsidRDefault="00D42474" w:rsidP="001A5BF9">
            <w:pPr>
              <w:rPr>
                <w:rFonts w:cs="Arial"/>
                <w:i/>
                <w:color w:val="002060"/>
                <w:sz w:val="8"/>
                <w:szCs w:val="8"/>
              </w:rPr>
            </w:pPr>
          </w:p>
          <w:p w:rsidR="00D42474" w:rsidRDefault="00784E52" w:rsidP="001A5BF9">
            <w:pPr>
              <w:rPr>
                <w:sz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D42474" w:rsidRDefault="00784E52" w:rsidP="001A5BF9">
            <w:pPr>
              <w:rPr>
                <w:rFonts w:cs="Arial"/>
                <w:sz w:val="16"/>
                <w:szCs w:val="16"/>
              </w:rPr>
            </w:pPr>
            <w:r w:rsidRPr="005C7CCE">
              <w:rPr>
                <w:sz w:val="16"/>
              </w:rPr>
              <w:t>1 000 (2010</w:t>
            </w:r>
            <w:r w:rsidR="002D6F2A" w:rsidRPr="005C7CCE">
              <w:rPr>
                <w:sz w:val="16"/>
              </w:rPr>
              <w:noBreakHyphen/>
            </w:r>
            <w:r w:rsidRPr="005C7CCE">
              <w:rPr>
                <w:sz w:val="16"/>
              </w:rPr>
              <w:t>2011)</w:t>
            </w:r>
          </w:p>
          <w:p w:rsidR="00784E52" w:rsidRPr="005C7CCE" w:rsidRDefault="00784E52" w:rsidP="001A5BF9">
            <w:pPr>
              <w:rPr>
                <w:rFonts w:cs="Arial"/>
                <w:sz w:val="16"/>
                <w:szCs w:val="16"/>
              </w:rPr>
            </w:pPr>
          </w:p>
        </w:tc>
        <w:tc>
          <w:tcPr>
            <w:tcW w:w="897" w:type="pct"/>
            <w:gridSpan w:val="2"/>
            <w:tcBorders>
              <w:bottom w:val="single" w:sz="4" w:space="0" w:color="auto"/>
            </w:tcBorders>
            <w:shd w:val="clear" w:color="auto" w:fill="auto"/>
            <w:tcMar>
              <w:top w:w="110" w:type="dxa"/>
            </w:tcMar>
          </w:tcPr>
          <w:p w:rsidR="00D42474" w:rsidRDefault="00784E52" w:rsidP="001A5BF9">
            <w:pPr>
              <w:rPr>
                <w:rFonts w:cs="Arial"/>
                <w:sz w:val="16"/>
                <w:szCs w:val="16"/>
              </w:rPr>
            </w:pPr>
            <w:r w:rsidRPr="005C7CCE">
              <w:rPr>
                <w:sz w:val="16"/>
              </w:rPr>
              <w:t>1 400</w:t>
            </w:r>
          </w:p>
          <w:p w:rsidR="00784E52" w:rsidRPr="005C7CCE" w:rsidRDefault="00784E52" w:rsidP="001A5BF9">
            <w:pPr>
              <w:rPr>
                <w:rFonts w:cs="Arial"/>
                <w:sz w:val="16"/>
                <w:szCs w:val="16"/>
              </w:rPr>
            </w:pPr>
          </w:p>
        </w:tc>
        <w:tc>
          <w:tcPr>
            <w:tcW w:w="1652" w:type="pct"/>
            <w:gridSpan w:val="2"/>
            <w:tcBorders>
              <w:bottom w:val="single" w:sz="4" w:space="0" w:color="auto"/>
            </w:tcBorders>
            <w:shd w:val="clear" w:color="auto" w:fill="FFFFFF"/>
            <w:tcMar>
              <w:top w:w="110" w:type="dxa"/>
            </w:tcMar>
          </w:tcPr>
          <w:p w:rsidR="00D42474" w:rsidRDefault="00784E52" w:rsidP="001A5BF9">
            <w:pPr>
              <w:rPr>
                <w:rFonts w:cs="Arial"/>
                <w:sz w:val="16"/>
                <w:szCs w:val="16"/>
                <w:lang w:bidi="th-TH"/>
              </w:rPr>
            </w:pPr>
            <w:r w:rsidRPr="005C7CCE">
              <w:rPr>
                <w:sz w:val="16"/>
              </w:rPr>
              <w:t>2 415 (exercice biennal)</w:t>
            </w:r>
          </w:p>
          <w:p w:rsidR="00D42474" w:rsidRDefault="00784E52" w:rsidP="001A5BF9">
            <w:pPr>
              <w:pStyle w:val="Paragraphedeliste"/>
              <w:numPr>
                <w:ilvl w:val="0"/>
                <w:numId w:val="37"/>
              </w:numPr>
              <w:rPr>
                <w:rFonts w:cs="Arial"/>
                <w:sz w:val="16"/>
                <w:szCs w:val="16"/>
                <w:lang w:bidi="th-TH"/>
              </w:rPr>
            </w:pPr>
            <w:r w:rsidRPr="005C7CCE">
              <w:rPr>
                <w:sz w:val="16"/>
              </w:rPr>
              <w:t>845 (2012)</w:t>
            </w:r>
          </w:p>
          <w:p w:rsidR="00784E52" w:rsidRPr="005C7CCE" w:rsidRDefault="00784E52" w:rsidP="001A5BF9">
            <w:pPr>
              <w:pStyle w:val="Paragraphedeliste"/>
              <w:numPr>
                <w:ilvl w:val="0"/>
                <w:numId w:val="37"/>
              </w:numPr>
              <w:rPr>
                <w:rFonts w:cs="Arial"/>
              </w:rPr>
            </w:pPr>
            <w:r w:rsidRPr="005C7CCE">
              <w:rPr>
                <w:sz w:val="16"/>
              </w:rPr>
              <w:t>1 570 (2013)</w:t>
            </w:r>
          </w:p>
        </w:tc>
        <w:tc>
          <w:tcPr>
            <w:tcW w:w="681" w:type="pct"/>
            <w:tcBorders>
              <w:bottom w:val="single" w:sz="4" w:space="0" w:color="auto"/>
            </w:tcBorders>
            <w:shd w:val="clear" w:color="auto" w:fill="auto"/>
          </w:tcPr>
          <w:p w:rsidR="00784E52" w:rsidRPr="005C7CCE" w:rsidRDefault="00784E52" w:rsidP="001A5BF9">
            <w:pPr>
              <w:keepNext/>
              <w:keepLines/>
              <w:jc w:val="center"/>
              <w:rPr>
                <w:color w:val="008000"/>
                <w:sz w:val="16"/>
              </w:rPr>
            </w:pPr>
            <w:r w:rsidRPr="00B470C6">
              <w:rPr>
                <w:color w:val="008000"/>
                <w:sz w:val="16"/>
              </w:rPr>
              <w:t>Objectif pleinement atteint</w:t>
            </w:r>
          </w:p>
        </w:tc>
      </w:tr>
      <w:tr w:rsidR="00784E52" w:rsidRPr="001A4E63" w:rsidTr="006D16B6">
        <w:trPr>
          <w:cantSplit/>
        </w:trPr>
        <w:tc>
          <w:tcPr>
            <w:tcW w:w="5000" w:type="pct"/>
            <w:gridSpan w:val="7"/>
            <w:tcBorders>
              <w:top w:val="single" w:sz="4" w:space="0" w:color="auto"/>
              <w:bottom w:val="single" w:sz="4" w:space="0" w:color="auto"/>
            </w:tcBorders>
            <w:shd w:val="clear" w:color="auto" w:fill="CCFFFF"/>
            <w:vAlign w:val="center"/>
          </w:tcPr>
          <w:p w:rsidR="00784E52" w:rsidRPr="001A4E63" w:rsidRDefault="00784E52" w:rsidP="001A5BF9">
            <w:pPr>
              <w:keepNext/>
              <w:keepLines/>
              <w:tabs>
                <w:tab w:val="left" w:pos="1452"/>
              </w:tabs>
              <w:spacing w:before="120" w:after="120"/>
              <w:ind w:left="1452" w:hanging="1452"/>
              <w:rPr>
                <w:rFonts w:cs="Arial"/>
                <w:b/>
                <w:bCs/>
                <w:sz w:val="16"/>
                <w:szCs w:val="16"/>
              </w:rPr>
            </w:pPr>
            <w:r w:rsidRPr="001A4E63">
              <w:rPr>
                <w:b/>
                <w:sz w:val="16"/>
              </w:rPr>
              <w:t>Résultat escompté</w:t>
            </w:r>
            <w:r w:rsidR="0010442A" w:rsidRPr="001A4E63">
              <w:rPr>
                <w:b/>
                <w:sz w:val="16"/>
              </w:rPr>
              <w:t xml:space="preserve"> : </w:t>
            </w:r>
            <w:r w:rsidRPr="001A4E63">
              <w:rPr>
                <w:b/>
                <w:sz w:val="16"/>
              </w:rPr>
              <w:tab/>
            </w:r>
            <w:r w:rsidRPr="001A4E63">
              <w:rPr>
                <w:sz w:val="16"/>
              </w:rPr>
              <w:t>Mise à niveau des compétences en matière de gestion de la propriété intellectuelle pour les entreprises </w:t>
            </w:r>
          </w:p>
        </w:tc>
      </w:tr>
      <w:tr w:rsidR="00784E52" w:rsidRPr="001A4E63" w:rsidTr="006D16B6">
        <w:trPr>
          <w:cantSplit/>
        </w:trPr>
        <w:tc>
          <w:tcPr>
            <w:tcW w:w="856" w:type="pct"/>
            <w:tcBorders>
              <w:top w:val="single" w:sz="4" w:space="0" w:color="auto"/>
            </w:tcBorders>
            <w:shd w:val="clear" w:color="auto" w:fill="auto"/>
            <w:vAlign w:val="center"/>
          </w:tcPr>
          <w:p w:rsidR="00784E52" w:rsidRPr="001A4E63" w:rsidRDefault="00784E52" w:rsidP="001A5BF9">
            <w:pPr>
              <w:spacing w:after="40"/>
              <w:rPr>
                <w:rFonts w:cs="Arial"/>
                <w:b/>
                <w:sz w:val="16"/>
                <w:szCs w:val="16"/>
              </w:rPr>
            </w:pPr>
            <w:r w:rsidRPr="001A4E63">
              <w:rPr>
                <w:b/>
                <w:sz w:val="16"/>
              </w:rPr>
              <w:t>Indicateurs d</w:t>
            </w:r>
            <w:r w:rsidR="00A20444" w:rsidRPr="001A4E63">
              <w:rPr>
                <w:b/>
                <w:sz w:val="16"/>
              </w:rPr>
              <w:t>’</w:t>
            </w:r>
            <w:r w:rsidRPr="001A4E63">
              <w:rPr>
                <w:b/>
                <w:sz w:val="16"/>
              </w:rPr>
              <w:t>exécution</w:t>
            </w:r>
          </w:p>
        </w:tc>
        <w:tc>
          <w:tcPr>
            <w:tcW w:w="914" w:type="pct"/>
            <w:tcBorders>
              <w:top w:val="single" w:sz="4" w:space="0" w:color="auto"/>
            </w:tcBorders>
            <w:shd w:val="clear" w:color="auto" w:fill="auto"/>
            <w:vAlign w:val="center"/>
          </w:tcPr>
          <w:p w:rsidR="00784E52" w:rsidRPr="001A4E63" w:rsidRDefault="00784E52" w:rsidP="001A5BF9">
            <w:pPr>
              <w:spacing w:after="40"/>
              <w:rPr>
                <w:rFonts w:cs="Arial"/>
                <w:b/>
                <w:bCs/>
                <w:sz w:val="16"/>
                <w:szCs w:val="16"/>
              </w:rPr>
            </w:pPr>
            <w:r w:rsidRPr="001A4E63">
              <w:rPr>
                <w:b/>
                <w:sz w:val="16"/>
              </w:rPr>
              <w:t>Niveaux de référence</w:t>
            </w:r>
          </w:p>
        </w:tc>
        <w:tc>
          <w:tcPr>
            <w:tcW w:w="897" w:type="pct"/>
            <w:gridSpan w:val="2"/>
            <w:tcBorders>
              <w:top w:val="single" w:sz="4" w:space="0" w:color="auto"/>
            </w:tcBorders>
            <w:shd w:val="clear" w:color="auto" w:fill="auto"/>
            <w:tcMar>
              <w:top w:w="110" w:type="dxa"/>
            </w:tcMar>
            <w:vAlign w:val="center"/>
          </w:tcPr>
          <w:p w:rsidR="00784E52" w:rsidRPr="001A4E63" w:rsidRDefault="00784E52" w:rsidP="001A5BF9">
            <w:pPr>
              <w:spacing w:after="40"/>
              <w:rPr>
                <w:rFonts w:cs="Arial"/>
                <w:b/>
                <w:sz w:val="16"/>
                <w:szCs w:val="16"/>
              </w:rPr>
            </w:pPr>
            <w:r w:rsidRPr="001A4E63">
              <w:rPr>
                <w:b/>
                <w:sz w:val="16"/>
              </w:rPr>
              <w:t>Objectifs visés</w:t>
            </w:r>
          </w:p>
        </w:tc>
        <w:tc>
          <w:tcPr>
            <w:tcW w:w="1652" w:type="pct"/>
            <w:gridSpan w:val="2"/>
            <w:tcBorders>
              <w:top w:val="single" w:sz="4" w:space="0" w:color="auto"/>
            </w:tcBorders>
            <w:shd w:val="clear" w:color="auto" w:fill="FFFFFF"/>
            <w:tcMar>
              <w:top w:w="110" w:type="dxa"/>
            </w:tcMar>
            <w:vAlign w:val="center"/>
          </w:tcPr>
          <w:p w:rsidR="00784E52" w:rsidRPr="001A4E63" w:rsidRDefault="00784E52" w:rsidP="001A5BF9">
            <w:pPr>
              <w:spacing w:after="40"/>
              <w:rPr>
                <w:rFonts w:cs="Arial"/>
                <w:b/>
                <w:sz w:val="16"/>
                <w:szCs w:val="16"/>
              </w:rPr>
            </w:pPr>
            <w:r w:rsidRPr="001A4E63">
              <w:rPr>
                <w:b/>
                <w:sz w:val="16"/>
              </w:rPr>
              <w:t>Données relatives à l</w:t>
            </w:r>
            <w:r w:rsidR="00A20444" w:rsidRPr="001A4E63">
              <w:rPr>
                <w:b/>
                <w:sz w:val="16"/>
              </w:rPr>
              <w:t>’</w:t>
            </w:r>
            <w:r w:rsidRPr="001A4E63">
              <w:rPr>
                <w:b/>
                <w:sz w:val="16"/>
              </w:rPr>
              <w:t>exécution</w:t>
            </w:r>
          </w:p>
        </w:tc>
        <w:tc>
          <w:tcPr>
            <w:tcW w:w="681" w:type="pct"/>
            <w:tcBorders>
              <w:top w:val="single" w:sz="4" w:space="0" w:color="auto"/>
            </w:tcBorders>
            <w:shd w:val="clear" w:color="auto" w:fill="auto"/>
            <w:tcMar>
              <w:top w:w="110" w:type="dxa"/>
            </w:tcMar>
            <w:vAlign w:val="center"/>
          </w:tcPr>
          <w:p w:rsidR="00784E52" w:rsidRPr="001A4E63" w:rsidRDefault="00784E52" w:rsidP="001A5BF9">
            <w:pPr>
              <w:keepNext/>
              <w:keepLines/>
              <w:spacing w:after="40"/>
              <w:jc w:val="center"/>
              <w:rPr>
                <w:rFonts w:cs="Arial"/>
                <w:b/>
                <w:bCs/>
                <w:sz w:val="16"/>
                <w:szCs w:val="16"/>
              </w:rPr>
            </w:pPr>
            <w:r w:rsidRPr="001A4E63">
              <w:rPr>
                <w:b/>
                <w:sz w:val="16"/>
              </w:rPr>
              <w:t>Code de couleurs</w:t>
            </w:r>
          </w:p>
        </w:tc>
      </w:tr>
      <w:tr w:rsidR="00784E52" w:rsidRPr="005C7CCE" w:rsidTr="006D16B6">
        <w:trPr>
          <w:cantSplit/>
        </w:trPr>
        <w:tc>
          <w:tcPr>
            <w:tcW w:w="856" w:type="pct"/>
            <w:shd w:val="clear" w:color="auto" w:fill="FFFFFF"/>
          </w:tcPr>
          <w:p w:rsidR="00784E52" w:rsidRPr="001A4E63" w:rsidRDefault="00784E52" w:rsidP="001A5BF9">
            <w:pPr>
              <w:ind w:firstLineChars="3" w:firstLine="5"/>
              <w:rPr>
                <w:rFonts w:cs="Arial"/>
                <w:sz w:val="16"/>
                <w:szCs w:val="16"/>
              </w:rPr>
            </w:pPr>
            <w:r w:rsidRPr="001A4E63">
              <w:rPr>
                <w:sz w:val="16"/>
              </w:rPr>
              <w:t>Pourcentage de participants qui font part de leur satisfaction à</w:t>
            </w:r>
            <w:r w:rsidR="0010442A" w:rsidRPr="001A4E63">
              <w:rPr>
                <w:sz w:val="16"/>
              </w:rPr>
              <w:t> </w:t>
            </w:r>
            <w:r w:rsidRPr="001A4E63">
              <w:rPr>
                <w:sz w:val="16"/>
              </w:rPr>
              <w:t>l</w:t>
            </w:r>
            <w:r w:rsidR="00A20444" w:rsidRPr="001A4E63">
              <w:rPr>
                <w:sz w:val="16"/>
              </w:rPr>
              <w:t>’</w:t>
            </w:r>
            <w:r w:rsidRPr="001A4E63">
              <w:rPr>
                <w:sz w:val="16"/>
              </w:rPr>
              <w:t>égard de la formation reçue</w:t>
            </w:r>
          </w:p>
        </w:tc>
        <w:tc>
          <w:tcPr>
            <w:tcW w:w="914" w:type="pct"/>
            <w:shd w:val="clear" w:color="auto" w:fill="auto"/>
          </w:tcPr>
          <w:p w:rsidR="00D42474" w:rsidRDefault="00784E52"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80</w:t>
            </w:r>
            <w:r w:rsidR="007E442D" w:rsidRPr="005C7CCE">
              <w:rPr>
                <w:color w:val="002060"/>
                <w:sz w:val="16"/>
              </w:rPr>
              <w:t>%</w:t>
            </w:r>
          </w:p>
          <w:p w:rsidR="00D42474" w:rsidRDefault="00D42474" w:rsidP="001A5BF9">
            <w:pPr>
              <w:rPr>
                <w:rFonts w:cs="Arial"/>
                <w:i/>
                <w:color w:val="002060"/>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80</w:t>
            </w:r>
            <w:r w:rsidR="007E442D" w:rsidRPr="005C7CCE">
              <w:rPr>
                <w:sz w:val="16"/>
              </w:rPr>
              <w:t>%</w:t>
            </w:r>
          </w:p>
        </w:tc>
        <w:tc>
          <w:tcPr>
            <w:tcW w:w="897" w:type="pct"/>
            <w:gridSpan w:val="2"/>
            <w:shd w:val="clear" w:color="auto" w:fill="auto"/>
            <w:tcMar>
              <w:top w:w="110" w:type="dxa"/>
            </w:tcMar>
          </w:tcPr>
          <w:p w:rsidR="00D42474" w:rsidRDefault="00784E52" w:rsidP="001A5BF9">
            <w:pPr>
              <w:pStyle w:val="Default"/>
              <w:rPr>
                <w:sz w:val="16"/>
              </w:rPr>
            </w:pPr>
            <w:r w:rsidRPr="005C7CCE">
              <w:rPr>
                <w:sz w:val="16"/>
              </w:rPr>
              <w:t>90</w:t>
            </w:r>
            <w:r w:rsidR="007E442D" w:rsidRPr="005C7CCE">
              <w:rPr>
                <w:sz w:val="16"/>
              </w:rPr>
              <w:t>%</w:t>
            </w:r>
          </w:p>
          <w:p w:rsidR="00784E52" w:rsidRPr="005C7CCE" w:rsidRDefault="00784E52" w:rsidP="001A5BF9">
            <w:pPr>
              <w:rPr>
                <w:rFonts w:cs="Arial"/>
                <w:sz w:val="16"/>
                <w:szCs w:val="16"/>
              </w:rPr>
            </w:pPr>
          </w:p>
        </w:tc>
        <w:tc>
          <w:tcPr>
            <w:tcW w:w="1652" w:type="pct"/>
            <w:gridSpan w:val="2"/>
            <w:shd w:val="clear" w:color="auto" w:fill="FFFFFF"/>
            <w:tcMar>
              <w:top w:w="110" w:type="dxa"/>
            </w:tcMar>
          </w:tcPr>
          <w:p w:rsidR="00784E52" w:rsidRPr="005C7CCE" w:rsidRDefault="00784E52" w:rsidP="001A5BF9">
            <w:pPr>
              <w:rPr>
                <w:rFonts w:cs="Arial"/>
                <w:sz w:val="16"/>
                <w:szCs w:val="16"/>
              </w:rPr>
            </w:pPr>
            <w:r w:rsidRPr="005C7CCE">
              <w:rPr>
                <w:sz w:val="16"/>
              </w:rPr>
              <w:t>100</w:t>
            </w:r>
            <w:r w:rsidR="007E442D" w:rsidRPr="005C7CCE">
              <w:rPr>
                <w:sz w:val="16"/>
              </w:rPr>
              <w:t>%</w:t>
            </w:r>
          </w:p>
        </w:tc>
        <w:tc>
          <w:tcPr>
            <w:tcW w:w="681"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5C7CCE" w:rsidTr="006D16B6">
        <w:trPr>
          <w:cantSplit/>
        </w:trPr>
        <w:tc>
          <w:tcPr>
            <w:tcW w:w="856" w:type="pct"/>
            <w:shd w:val="clear" w:color="auto" w:fill="FFFFFF"/>
          </w:tcPr>
          <w:p w:rsidR="00784E52" w:rsidRPr="001A4E63" w:rsidRDefault="00784E52" w:rsidP="001A5BF9">
            <w:pPr>
              <w:ind w:firstLineChars="3" w:firstLine="5"/>
              <w:rPr>
                <w:rFonts w:cs="Arial"/>
                <w:sz w:val="16"/>
                <w:szCs w:val="16"/>
              </w:rPr>
            </w:pPr>
            <w:r w:rsidRPr="001A4E63">
              <w:rPr>
                <w:sz w:val="16"/>
              </w:rPr>
              <w:t>Pourcentage de personnes formées qui font état d</w:t>
            </w:r>
            <w:r w:rsidR="00A20444" w:rsidRPr="001A4E63">
              <w:rPr>
                <w:sz w:val="16"/>
              </w:rPr>
              <w:t>’</w:t>
            </w:r>
            <w:r w:rsidRPr="001A4E63">
              <w:rPr>
                <w:sz w:val="16"/>
              </w:rPr>
              <w:t>une utilisation effective, dans le cadre de leur travail, des compétences acquises</w:t>
            </w:r>
          </w:p>
        </w:tc>
        <w:tc>
          <w:tcPr>
            <w:tcW w:w="914" w:type="pct"/>
            <w:shd w:val="clear" w:color="auto" w:fill="auto"/>
          </w:tcPr>
          <w:p w:rsidR="00D42474" w:rsidRDefault="00784E52"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70</w:t>
            </w:r>
            <w:r w:rsidR="007E442D" w:rsidRPr="005C7CCE">
              <w:rPr>
                <w:color w:val="002060"/>
                <w:sz w:val="16"/>
              </w:rPr>
              <w:t>%</w:t>
            </w:r>
          </w:p>
          <w:p w:rsidR="00D42474" w:rsidRDefault="00D42474" w:rsidP="001A5BF9">
            <w:pPr>
              <w:rPr>
                <w:rFonts w:cs="Arial"/>
                <w:i/>
                <w:color w:val="002060"/>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60</w:t>
            </w:r>
            <w:r w:rsidR="007E442D" w:rsidRPr="005C7CCE">
              <w:rPr>
                <w:sz w:val="16"/>
              </w:rPr>
              <w:t>%</w:t>
            </w:r>
          </w:p>
        </w:tc>
        <w:tc>
          <w:tcPr>
            <w:tcW w:w="897" w:type="pct"/>
            <w:gridSpan w:val="2"/>
            <w:shd w:val="clear" w:color="auto" w:fill="auto"/>
            <w:tcMar>
              <w:top w:w="110" w:type="dxa"/>
            </w:tcMar>
          </w:tcPr>
          <w:p w:rsidR="00784E52" w:rsidRPr="005C7CCE" w:rsidRDefault="00784E52" w:rsidP="001A5BF9">
            <w:pPr>
              <w:pStyle w:val="Default"/>
            </w:pPr>
            <w:r w:rsidRPr="005C7CCE">
              <w:rPr>
                <w:sz w:val="16"/>
              </w:rPr>
              <w:t>70</w:t>
            </w:r>
            <w:r w:rsidR="007E442D" w:rsidRPr="005C7CCE">
              <w:rPr>
                <w:sz w:val="16"/>
              </w:rPr>
              <w:t>%</w:t>
            </w:r>
            <w:r w:rsidRPr="005C7CCE">
              <w:rPr>
                <w:sz w:val="16"/>
              </w:rPr>
              <w:t xml:space="preserve"> </w:t>
            </w:r>
          </w:p>
        </w:tc>
        <w:tc>
          <w:tcPr>
            <w:tcW w:w="1652" w:type="pct"/>
            <w:gridSpan w:val="2"/>
            <w:shd w:val="clear" w:color="auto" w:fill="FFFFFF"/>
            <w:tcMar>
              <w:top w:w="110" w:type="dxa"/>
            </w:tcMar>
          </w:tcPr>
          <w:p w:rsidR="00784E52" w:rsidRPr="005C7CCE" w:rsidRDefault="00784E52" w:rsidP="001A5BF9">
            <w:pPr>
              <w:rPr>
                <w:rFonts w:cs="Arial"/>
                <w:sz w:val="16"/>
                <w:szCs w:val="16"/>
              </w:rPr>
            </w:pPr>
            <w:r w:rsidRPr="005C7CCE">
              <w:rPr>
                <w:sz w:val="16"/>
              </w:rPr>
              <w:t>100</w:t>
            </w:r>
            <w:r w:rsidR="007E442D" w:rsidRPr="005C7CCE">
              <w:rPr>
                <w:sz w:val="16"/>
              </w:rPr>
              <w:t>%</w:t>
            </w:r>
          </w:p>
        </w:tc>
        <w:tc>
          <w:tcPr>
            <w:tcW w:w="681"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5C7CCE" w:rsidTr="006D16B6">
        <w:trPr>
          <w:cantSplit/>
        </w:trPr>
        <w:tc>
          <w:tcPr>
            <w:tcW w:w="856" w:type="pct"/>
            <w:shd w:val="clear" w:color="auto" w:fill="FFFFFF"/>
          </w:tcPr>
          <w:p w:rsidR="00784E52" w:rsidRPr="001A4E63" w:rsidRDefault="00784E52" w:rsidP="001A5BF9">
            <w:pPr>
              <w:ind w:firstLineChars="3" w:firstLine="5"/>
              <w:rPr>
                <w:rFonts w:cs="Arial"/>
                <w:sz w:val="16"/>
                <w:szCs w:val="16"/>
              </w:rPr>
            </w:pPr>
            <w:r w:rsidRPr="001A4E63">
              <w:rPr>
                <w:sz w:val="16"/>
              </w:rPr>
              <w:t>Nombre de demandes de cours</w:t>
            </w:r>
          </w:p>
        </w:tc>
        <w:tc>
          <w:tcPr>
            <w:tcW w:w="914" w:type="pct"/>
            <w:shd w:val="clear" w:color="auto" w:fill="auto"/>
          </w:tcPr>
          <w:p w:rsidR="00D42474" w:rsidRDefault="00784E52" w:rsidP="001A5BF9">
            <w:pPr>
              <w:pStyle w:val="Default"/>
              <w:rPr>
                <w:color w:val="002060"/>
                <w:sz w:val="16"/>
                <w:szCs w:val="16"/>
              </w:rPr>
            </w:pPr>
            <w:r w:rsidRPr="005C7CCE">
              <w:rPr>
                <w:i/>
                <w:color w:val="002060"/>
                <w:sz w:val="16"/>
              </w:rPr>
              <w:t>Niveau de référence actualisé fin 2011 : Deux </w:t>
            </w:r>
            <w:r w:rsidRPr="005C7CCE">
              <w:rPr>
                <w:color w:val="002060"/>
                <w:sz w:val="16"/>
              </w:rPr>
              <w:t>cours par an</w:t>
            </w:r>
          </w:p>
          <w:p w:rsidR="00D42474" w:rsidRDefault="00D42474" w:rsidP="001A5BF9">
            <w:pPr>
              <w:rPr>
                <w:rFonts w:cs="Arial"/>
                <w:i/>
                <w:color w:val="002060"/>
                <w:sz w:val="8"/>
                <w:szCs w:val="8"/>
              </w:rPr>
            </w:pPr>
          </w:p>
          <w:p w:rsidR="00D42474"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Deux cours par an</w:t>
            </w:r>
          </w:p>
          <w:p w:rsidR="00784E52" w:rsidRPr="005C7CCE" w:rsidRDefault="00784E52" w:rsidP="001A5BF9">
            <w:pPr>
              <w:rPr>
                <w:rFonts w:cs="Arial"/>
                <w:sz w:val="16"/>
                <w:szCs w:val="16"/>
              </w:rPr>
            </w:pPr>
          </w:p>
        </w:tc>
        <w:tc>
          <w:tcPr>
            <w:tcW w:w="897" w:type="pct"/>
            <w:gridSpan w:val="2"/>
            <w:shd w:val="clear" w:color="auto" w:fill="auto"/>
            <w:tcMar>
              <w:top w:w="110" w:type="dxa"/>
            </w:tcMar>
          </w:tcPr>
          <w:p w:rsidR="00784E52" w:rsidRPr="005C7CCE" w:rsidRDefault="00784E52" w:rsidP="001A5BF9">
            <w:pPr>
              <w:rPr>
                <w:rFonts w:cs="Arial"/>
                <w:sz w:val="16"/>
                <w:szCs w:val="16"/>
              </w:rPr>
            </w:pPr>
            <w:r w:rsidRPr="005C7CCE">
              <w:rPr>
                <w:sz w:val="16"/>
              </w:rPr>
              <w:t>Trois cours par an (en 2012</w:t>
            </w:r>
            <w:r w:rsidR="002D6F2A" w:rsidRPr="005C7CCE">
              <w:rPr>
                <w:sz w:val="16"/>
              </w:rPr>
              <w:noBreakHyphen/>
            </w:r>
            <w:r w:rsidRPr="005C7CCE">
              <w:rPr>
                <w:sz w:val="16"/>
              </w:rPr>
              <w:t>2013)</w:t>
            </w:r>
          </w:p>
        </w:tc>
        <w:tc>
          <w:tcPr>
            <w:tcW w:w="1652" w:type="pct"/>
            <w:gridSpan w:val="2"/>
            <w:shd w:val="clear" w:color="auto" w:fill="FFFFFF"/>
            <w:tcMar>
              <w:top w:w="110" w:type="dxa"/>
            </w:tcMar>
          </w:tcPr>
          <w:p w:rsidR="00784E52" w:rsidRPr="005C7CCE" w:rsidRDefault="00784E52" w:rsidP="001A5BF9">
            <w:pPr>
              <w:rPr>
                <w:rFonts w:cs="Arial"/>
                <w:sz w:val="16"/>
                <w:szCs w:val="16"/>
              </w:rPr>
            </w:pPr>
            <w:r w:rsidRPr="005C7CCE">
              <w:rPr>
                <w:sz w:val="16"/>
              </w:rPr>
              <w:t>Deux en</w:t>
            </w:r>
            <w:r w:rsidR="0010442A" w:rsidRPr="005C7CCE">
              <w:rPr>
                <w:sz w:val="16"/>
              </w:rPr>
              <w:t> </w:t>
            </w:r>
            <w:r w:rsidRPr="005C7CCE">
              <w:rPr>
                <w:sz w:val="16"/>
              </w:rPr>
              <w:t>2012;</w:t>
            </w:r>
            <w:r w:rsidR="0010442A" w:rsidRPr="005C7CCE">
              <w:rPr>
                <w:sz w:val="16"/>
              </w:rPr>
              <w:t xml:space="preserve"> </w:t>
            </w:r>
            <w:r w:rsidR="004F3E42" w:rsidRPr="005C7CCE">
              <w:rPr>
                <w:sz w:val="16"/>
              </w:rPr>
              <w:t xml:space="preserve"> </w:t>
            </w:r>
            <w:r w:rsidRPr="005C7CCE">
              <w:rPr>
                <w:sz w:val="16"/>
              </w:rPr>
              <w:t>le programme de perfectionnement des cadres a été arrêté en 2013, et à ce titre, aucun cours supplémentaire n</w:t>
            </w:r>
            <w:r w:rsidR="00A20444" w:rsidRPr="005C7CCE">
              <w:rPr>
                <w:sz w:val="16"/>
              </w:rPr>
              <w:t>’</w:t>
            </w:r>
            <w:r w:rsidRPr="005C7CCE">
              <w:rPr>
                <w:sz w:val="16"/>
              </w:rPr>
              <w:t>a été tenu.</w:t>
            </w:r>
          </w:p>
        </w:tc>
        <w:tc>
          <w:tcPr>
            <w:tcW w:w="681"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1A4E63">
              <w:rPr>
                <w:color w:val="FF0000"/>
                <w:sz w:val="16"/>
              </w:rPr>
              <w:t>Objectif pas atteint</w:t>
            </w:r>
          </w:p>
        </w:tc>
      </w:tr>
    </w:tbl>
    <w:p w:rsidR="00D42474" w:rsidRDefault="00D42474" w:rsidP="001A5BF9">
      <w:pPr>
        <w:rPr>
          <w:rFonts w:cs="Arial"/>
        </w:rPr>
      </w:pPr>
    </w:p>
    <w:p w:rsidR="00D42474" w:rsidRDefault="00D42474" w:rsidP="001A5BF9">
      <w:pPr>
        <w:rPr>
          <w:rFonts w:cs="Arial"/>
        </w:rPr>
      </w:pPr>
    </w:p>
    <w:p w:rsidR="00D42474" w:rsidRDefault="00D42474" w:rsidP="001A5BF9">
      <w:pPr>
        <w:rPr>
          <w:rFonts w:cs="Arial"/>
        </w:rPr>
      </w:pPr>
    </w:p>
    <w:p w:rsidR="00D42474" w:rsidRDefault="00784E52" w:rsidP="001A5BF9">
      <w:pPr>
        <w:pStyle w:val="NormalWeb"/>
        <w:pageBreakBefore/>
        <w:spacing w:before="0" w:beforeAutospacing="0" w:after="0" w:afterAutospacing="0"/>
        <w:rPr>
          <w:sz w:val="22"/>
          <w:szCs w:val="22"/>
        </w:rPr>
      </w:pPr>
      <w:r w:rsidRPr="00DE1804">
        <w:rPr>
          <w:sz w:val="22"/>
        </w:rPr>
        <w:t>BUDGET ET DÉPENSES EFFECTIVES</w:t>
      </w:r>
    </w:p>
    <w:p w:rsidR="00D42474" w:rsidRDefault="00D42474" w:rsidP="001A5BF9">
      <w:pPr>
        <w:pStyle w:val="NormalWeb"/>
        <w:spacing w:before="0" w:beforeAutospacing="0" w:after="0" w:afterAutospacing="0"/>
        <w:jc w:val="center"/>
        <w:rPr>
          <w:sz w:val="22"/>
          <w:szCs w:val="22"/>
        </w:rPr>
      </w:pPr>
    </w:p>
    <w:p w:rsidR="00D42474" w:rsidRDefault="00784E52" w:rsidP="001A5BF9">
      <w:pPr>
        <w:pStyle w:val="NormalWeb"/>
        <w:spacing w:before="0" w:beforeAutospacing="0" w:after="0" w:afterAutospacing="0"/>
        <w:jc w:val="center"/>
        <w:rPr>
          <w:sz w:val="20"/>
          <w:szCs w:val="20"/>
        </w:rPr>
      </w:pPr>
      <w:r w:rsidRPr="00DE1804">
        <w:rPr>
          <w:sz w:val="20"/>
        </w:rPr>
        <w:t>Budget et dépenses effectives (par résultat)</w:t>
      </w:r>
    </w:p>
    <w:p w:rsidR="00D42474" w:rsidRDefault="00784E52" w:rsidP="001A5BF9">
      <w:pPr>
        <w:pStyle w:val="NormalWeb"/>
        <w:spacing w:before="0" w:beforeAutospacing="0" w:after="0" w:afterAutospacing="0"/>
        <w:jc w:val="center"/>
        <w:rPr>
          <w:i/>
          <w:iCs/>
          <w:sz w:val="20"/>
          <w:szCs w:val="20"/>
        </w:rPr>
      </w:pPr>
      <w:r w:rsidRPr="00DE1804">
        <w:rPr>
          <w:i/>
          <w:sz w:val="20"/>
        </w:rPr>
        <w:t>(</w:t>
      </w:r>
      <w:proofErr w:type="gramStart"/>
      <w:r w:rsidRPr="00DE1804">
        <w:rPr>
          <w:i/>
          <w:sz w:val="20"/>
        </w:rPr>
        <w:t>en</w:t>
      </w:r>
      <w:proofErr w:type="gramEnd"/>
      <w:r w:rsidRPr="00DE1804">
        <w:rPr>
          <w:i/>
          <w:sz w:val="20"/>
        </w:rPr>
        <w:t xml:space="preserve"> milliers de francs suisses)</w:t>
      </w:r>
    </w:p>
    <w:p w:rsidR="00784E52" w:rsidRPr="00DE1804" w:rsidRDefault="00784E52" w:rsidP="001A5BF9">
      <w:pPr>
        <w:keepNext/>
        <w:keepLines/>
        <w:rPr>
          <w:rFonts w:cs="Arial"/>
          <w:szCs w:val="20"/>
        </w:rPr>
      </w:pPr>
    </w:p>
    <w:tbl>
      <w:tblPr>
        <w:tblW w:w="9361" w:type="dxa"/>
        <w:tblInd w:w="103" w:type="dxa"/>
        <w:tblLook w:val="04A0" w:firstRow="1" w:lastRow="0" w:firstColumn="1" w:lastColumn="0" w:noHBand="0" w:noVBand="1"/>
      </w:tblPr>
      <w:tblGrid>
        <w:gridCol w:w="517"/>
        <w:gridCol w:w="4166"/>
        <w:gridCol w:w="1559"/>
        <w:gridCol w:w="1559"/>
        <w:gridCol w:w="1560"/>
      </w:tblGrid>
      <w:tr w:rsidR="00784E52" w:rsidRPr="00DE1804" w:rsidTr="00BB3F3E">
        <w:trPr>
          <w:trHeight w:val="801"/>
        </w:trPr>
        <w:tc>
          <w:tcPr>
            <w:tcW w:w="4683"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DE1804" w:rsidRDefault="00784E52" w:rsidP="001A5BF9">
            <w:pPr>
              <w:jc w:val="center"/>
              <w:rPr>
                <w:rFonts w:cs="Arial"/>
                <w:bCs/>
                <w:sz w:val="16"/>
                <w:szCs w:val="16"/>
              </w:rPr>
            </w:pPr>
            <w:r w:rsidRPr="00DE1804">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784E52" w:rsidRPr="00DE1804" w:rsidRDefault="00784E52" w:rsidP="001A5BF9">
            <w:pPr>
              <w:jc w:val="center"/>
              <w:rPr>
                <w:rFonts w:cs="Arial"/>
                <w:bCs/>
                <w:sz w:val="16"/>
                <w:szCs w:val="16"/>
              </w:rPr>
            </w:pPr>
            <w:r w:rsidRPr="00DE1804">
              <w:rPr>
                <w:sz w:val="16"/>
              </w:rPr>
              <w:t>Budget</w:t>
            </w:r>
            <w:r w:rsidRPr="00DE1804">
              <w:br/>
            </w:r>
            <w:r w:rsidRPr="00DE1804">
              <w:rPr>
                <w:sz w:val="16"/>
              </w:rPr>
              <w:t>2012–2013 approuvé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784E52" w:rsidRPr="00DE1804" w:rsidRDefault="00784E52" w:rsidP="001A5BF9">
            <w:pPr>
              <w:jc w:val="center"/>
              <w:rPr>
                <w:rFonts w:cs="Arial"/>
                <w:bCs/>
                <w:sz w:val="16"/>
                <w:szCs w:val="16"/>
              </w:rPr>
            </w:pPr>
            <w:r w:rsidRPr="00DE1804">
              <w:rPr>
                <w:sz w:val="16"/>
              </w:rPr>
              <w:t>Budget</w:t>
            </w:r>
            <w:r w:rsidRPr="00DE1804">
              <w:br/>
            </w:r>
            <w:r w:rsidRPr="00DE1804">
              <w:rPr>
                <w:sz w:val="16"/>
              </w:rPr>
              <w:t>2012</w:t>
            </w:r>
            <w:r w:rsidR="002D6F2A" w:rsidRPr="00DE1804">
              <w:rPr>
                <w:sz w:val="16"/>
              </w:rPr>
              <w:noBreakHyphen/>
            </w:r>
            <w:r w:rsidRPr="00DE1804">
              <w:rPr>
                <w:sz w:val="16"/>
              </w:rPr>
              <w:t>2013 après virements</w:t>
            </w:r>
          </w:p>
        </w:tc>
        <w:tc>
          <w:tcPr>
            <w:tcW w:w="1560" w:type="dxa"/>
            <w:tcBorders>
              <w:top w:val="single" w:sz="4" w:space="0" w:color="auto"/>
              <w:left w:val="nil"/>
              <w:bottom w:val="single" w:sz="4" w:space="0" w:color="auto"/>
              <w:right w:val="single" w:sz="4" w:space="0" w:color="auto"/>
            </w:tcBorders>
            <w:shd w:val="clear" w:color="000000" w:fill="CCFFFF"/>
            <w:vAlign w:val="center"/>
          </w:tcPr>
          <w:p w:rsidR="00784E52" w:rsidRPr="00DE1804" w:rsidRDefault="00784E52" w:rsidP="001A5BF9">
            <w:pPr>
              <w:jc w:val="center"/>
              <w:rPr>
                <w:rFonts w:cs="Arial"/>
                <w:bCs/>
                <w:sz w:val="16"/>
                <w:szCs w:val="16"/>
              </w:rPr>
            </w:pPr>
            <w:r w:rsidRPr="00DE1804">
              <w:rPr>
                <w:sz w:val="16"/>
              </w:rPr>
              <w:t>Dépenses</w:t>
            </w:r>
            <w:r w:rsidRPr="00DE1804">
              <w:br/>
            </w:r>
            <w:r w:rsidRPr="00DE1804">
              <w:rPr>
                <w:sz w:val="16"/>
              </w:rPr>
              <w:t>2012</w:t>
            </w:r>
            <w:r w:rsidR="002D6F2A" w:rsidRPr="00DE1804">
              <w:rPr>
                <w:sz w:val="16"/>
              </w:rPr>
              <w:noBreakHyphen/>
            </w:r>
            <w:r w:rsidRPr="00DE1804">
              <w:rPr>
                <w:sz w:val="16"/>
              </w:rPr>
              <w:t>2013</w:t>
            </w:r>
          </w:p>
        </w:tc>
      </w:tr>
      <w:tr w:rsidR="00784E52" w:rsidRPr="00DE1804" w:rsidTr="00BB3F3E">
        <w:trPr>
          <w:trHeight w:val="816"/>
        </w:trPr>
        <w:tc>
          <w:tcPr>
            <w:tcW w:w="517" w:type="dxa"/>
            <w:tcBorders>
              <w:top w:val="nil"/>
              <w:left w:val="single" w:sz="4" w:space="0" w:color="auto"/>
              <w:bottom w:val="nil"/>
              <w:right w:val="nil"/>
            </w:tcBorders>
            <w:shd w:val="clear" w:color="000000" w:fill="FFFFFF"/>
            <w:noWrap/>
          </w:tcPr>
          <w:p w:rsidR="00784E52" w:rsidRPr="00DE1804" w:rsidRDefault="00784E52" w:rsidP="001A5BF9">
            <w:pPr>
              <w:spacing w:before="120"/>
              <w:rPr>
                <w:rFonts w:cs="Arial"/>
                <w:sz w:val="16"/>
                <w:szCs w:val="16"/>
              </w:rPr>
            </w:pPr>
            <w:proofErr w:type="spellStart"/>
            <w:r w:rsidRPr="00DE1804">
              <w:rPr>
                <w:sz w:val="16"/>
              </w:rPr>
              <w:t>III.2</w:t>
            </w:r>
            <w:proofErr w:type="spellEnd"/>
          </w:p>
        </w:tc>
        <w:tc>
          <w:tcPr>
            <w:tcW w:w="4166" w:type="dxa"/>
            <w:tcBorders>
              <w:top w:val="nil"/>
              <w:left w:val="nil"/>
              <w:bottom w:val="nil"/>
              <w:right w:val="nil"/>
            </w:tcBorders>
            <w:shd w:val="clear" w:color="000000" w:fill="FFFFFF"/>
          </w:tcPr>
          <w:p w:rsidR="00784E52" w:rsidRPr="00DE1804" w:rsidRDefault="00784E52" w:rsidP="001A5BF9">
            <w:pPr>
              <w:spacing w:before="120"/>
              <w:rPr>
                <w:rFonts w:cs="Arial"/>
                <w:sz w:val="16"/>
                <w:szCs w:val="16"/>
              </w:rPr>
            </w:pPr>
            <w:r w:rsidRPr="00DE1804">
              <w:rPr>
                <w:sz w:val="16"/>
              </w:rPr>
              <w:t>Renforcement des capacités en matière de ressources humaines pour pouvoir répondre aux nombreuses exigences en ce qui concerne l</w:t>
            </w:r>
            <w:r w:rsidR="00A20444" w:rsidRPr="00DE1804">
              <w:rPr>
                <w:sz w:val="16"/>
              </w:rPr>
              <w:t>’</w:t>
            </w:r>
            <w:r w:rsidRPr="00DE1804">
              <w:rPr>
                <w:sz w:val="16"/>
              </w:rPr>
              <w:t>utilisation efficace de la propriété intellectuelle au service du développement dans les pays en développement,</w:t>
            </w:r>
            <w:r w:rsidR="00A20444" w:rsidRPr="00DE1804">
              <w:rPr>
                <w:sz w:val="16"/>
              </w:rPr>
              <w:t xml:space="preserve"> les PMA</w:t>
            </w:r>
            <w:r w:rsidRPr="00DE1804">
              <w:rPr>
                <w:sz w:val="16"/>
              </w:rPr>
              <w:t xml:space="preserve"> et les pays en transition</w:t>
            </w:r>
          </w:p>
        </w:tc>
        <w:tc>
          <w:tcPr>
            <w:tcW w:w="1559"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6 387</w:t>
            </w:r>
          </w:p>
        </w:tc>
        <w:tc>
          <w:tcPr>
            <w:tcW w:w="1559"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 xml:space="preserve">8 954 </w:t>
            </w:r>
          </w:p>
        </w:tc>
        <w:tc>
          <w:tcPr>
            <w:tcW w:w="1560" w:type="dxa"/>
            <w:tcBorders>
              <w:top w:val="nil"/>
              <w:left w:val="nil"/>
              <w:bottom w:val="nil"/>
              <w:right w:val="single" w:sz="4" w:space="0" w:color="auto"/>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 xml:space="preserve">8 769 </w:t>
            </w:r>
          </w:p>
        </w:tc>
      </w:tr>
      <w:tr w:rsidR="00784E52" w:rsidRPr="00DE1804" w:rsidTr="00BB3F3E">
        <w:trPr>
          <w:trHeight w:val="408"/>
        </w:trPr>
        <w:tc>
          <w:tcPr>
            <w:tcW w:w="517" w:type="dxa"/>
            <w:tcBorders>
              <w:top w:val="nil"/>
              <w:left w:val="single" w:sz="4" w:space="0" w:color="auto"/>
              <w:bottom w:val="nil"/>
              <w:right w:val="nil"/>
            </w:tcBorders>
            <w:shd w:val="clear" w:color="000000" w:fill="FFFFFF"/>
            <w:noWrap/>
          </w:tcPr>
          <w:p w:rsidR="00784E52" w:rsidRPr="00DE1804" w:rsidRDefault="00784E52" w:rsidP="001A5BF9">
            <w:pPr>
              <w:spacing w:before="120"/>
              <w:rPr>
                <w:rFonts w:cs="Arial"/>
                <w:sz w:val="16"/>
                <w:szCs w:val="16"/>
              </w:rPr>
            </w:pPr>
            <w:proofErr w:type="spellStart"/>
            <w:r w:rsidRPr="00DE1804">
              <w:rPr>
                <w:sz w:val="16"/>
              </w:rPr>
              <w:t>III.4</w:t>
            </w:r>
            <w:proofErr w:type="spellEnd"/>
          </w:p>
        </w:tc>
        <w:tc>
          <w:tcPr>
            <w:tcW w:w="4166" w:type="dxa"/>
            <w:tcBorders>
              <w:top w:val="nil"/>
              <w:left w:val="nil"/>
              <w:bottom w:val="nil"/>
              <w:right w:val="nil"/>
            </w:tcBorders>
            <w:shd w:val="clear" w:color="auto" w:fill="auto"/>
          </w:tcPr>
          <w:p w:rsidR="00784E52" w:rsidRPr="00DE1804" w:rsidRDefault="00784E52" w:rsidP="001A5BF9">
            <w:pPr>
              <w:spacing w:before="120"/>
              <w:rPr>
                <w:rFonts w:cs="Arial"/>
                <w:sz w:val="16"/>
                <w:szCs w:val="16"/>
              </w:rPr>
            </w:pPr>
            <w:r w:rsidRPr="00DE1804">
              <w:rPr>
                <w:sz w:val="16"/>
              </w:rPr>
              <w:t>Accès facilité à l</w:t>
            </w:r>
            <w:r w:rsidR="00A20444" w:rsidRPr="00DE1804">
              <w:rPr>
                <w:sz w:val="16"/>
              </w:rPr>
              <w:t>’</w:t>
            </w:r>
            <w:r w:rsidRPr="00DE1804">
              <w:rPr>
                <w:sz w:val="16"/>
              </w:rPr>
              <w:t>enseignement en matière de propriété intellectuelle</w:t>
            </w:r>
          </w:p>
        </w:tc>
        <w:tc>
          <w:tcPr>
            <w:tcW w:w="1559"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3 222</w:t>
            </w:r>
          </w:p>
        </w:tc>
        <w:tc>
          <w:tcPr>
            <w:tcW w:w="1559"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2 511</w:t>
            </w:r>
          </w:p>
        </w:tc>
        <w:tc>
          <w:tcPr>
            <w:tcW w:w="1560" w:type="dxa"/>
            <w:tcBorders>
              <w:top w:val="nil"/>
              <w:left w:val="nil"/>
              <w:bottom w:val="nil"/>
              <w:right w:val="single" w:sz="4" w:space="0" w:color="auto"/>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 xml:space="preserve">2 393 </w:t>
            </w:r>
          </w:p>
        </w:tc>
      </w:tr>
      <w:tr w:rsidR="00784E52" w:rsidRPr="00DE1804" w:rsidTr="00BB3F3E">
        <w:trPr>
          <w:trHeight w:val="408"/>
        </w:trPr>
        <w:tc>
          <w:tcPr>
            <w:tcW w:w="517" w:type="dxa"/>
            <w:tcBorders>
              <w:top w:val="nil"/>
              <w:left w:val="single" w:sz="4" w:space="0" w:color="auto"/>
              <w:bottom w:val="single" w:sz="4" w:space="0" w:color="auto"/>
              <w:right w:val="nil"/>
            </w:tcBorders>
            <w:shd w:val="clear" w:color="000000" w:fill="FFFFFF"/>
            <w:noWrap/>
          </w:tcPr>
          <w:p w:rsidR="00784E52" w:rsidRPr="00DE1804" w:rsidRDefault="00784E52" w:rsidP="001A5BF9">
            <w:pPr>
              <w:spacing w:before="120" w:after="120"/>
              <w:rPr>
                <w:rFonts w:cs="Arial"/>
                <w:sz w:val="16"/>
                <w:szCs w:val="16"/>
              </w:rPr>
            </w:pPr>
            <w:proofErr w:type="spellStart"/>
            <w:r w:rsidRPr="00DE1804">
              <w:rPr>
                <w:sz w:val="16"/>
              </w:rPr>
              <w:t>III.5</w:t>
            </w:r>
            <w:proofErr w:type="spellEnd"/>
          </w:p>
        </w:tc>
        <w:tc>
          <w:tcPr>
            <w:tcW w:w="4166" w:type="dxa"/>
            <w:tcBorders>
              <w:top w:val="nil"/>
              <w:left w:val="nil"/>
              <w:bottom w:val="single" w:sz="4" w:space="0" w:color="auto"/>
              <w:right w:val="nil"/>
            </w:tcBorders>
            <w:shd w:val="clear" w:color="000000" w:fill="FFFFFF"/>
          </w:tcPr>
          <w:p w:rsidR="00784E52" w:rsidRPr="00DE1804" w:rsidRDefault="00784E52" w:rsidP="001A5BF9">
            <w:pPr>
              <w:spacing w:before="120" w:after="120"/>
              <w:rPr>
                <w:rFonts w:cs="Arial"/>
                <w:sz w:val="16"/>
                <w:szCs w:val="16"/>
              </w:rPr>
            </w:pPr>
            <w:r w:rsidRPr="00DE1804">
              <w:rPr>
                <w:sz w:val="16"/>
              </w:rPr>
              <w:t>Mise à niveau des compétences en matière de gestion de la propriété intellectuelle pour les entreprises </w:t>
            </w:r>
          </w:p>
        </w:tc>
        <w:tc>
          <w:tcPr>
            <w:tcW w:w="1559" w:type="dxa"/>
            <w:tcBorders>
              <w:top w:val="nil"/>
              <w:left w:val="nil"/>
              <w:bottom w:val="single" w:sz="4" w:space="0" w:color="auto"/>
              <w:right w:val="nil"/>
            </w:tcBorders>
            <w:shd w:val="clear" w:color="000000" w:fill="FFFFFF"/>
            <w:vAlign w:val="center"/>
          </w:tcPr>
          <w:p w:rsidR="00784E52" w:rsidRPr="00DE1804" w:rsidRDefault="00784E52" w:rsidP="001A5BF9">
            <w:pPr>
              <w:spacing w:before="120" w:after="120"/>
              <w:jc w:val="right"/>
              <w:rPr>
                <w:rFonts w:cs="Arial"/>
                <w:sz w:val="16"/>
                <w:szCs w:val="16"/>
              </w:rPr>
            </w:pPr>
            <w:r w:rsidRPr="00DE1804">
              <w:rPr>
                <w:sz w:val="16"/>
              </w:rPr>
              <w:t>723</w:t>
            </w:r>
          </w:p>
        </w:tc>
        <w:tc>
          <w:tcPr>
            <w:tcW w:w="1559" w:type="dxa"/>
            <w:tcBorders>
              <w:top w:val="nil"/>
              <w:left w:val="nil"/>
              <w:bottom w:val="single" w:sz="4" w:space="0" w:color="auto"/>
              <w:right w:val="nil"/>
            </w:tcBorders>
            <w:shd w:val="clear" w:color="000000" w:fill="FFFFFF"/>
            <w:vAlign w:val="center"/>
          </w:tcPr>
          <w:p w:rsidR="00784E52" w:rsidRPr="00DE1804" w:rsidRDefault="00784E52" w:rsidP="001A5BF9">
            <w:pPr>
              <w:spacing w:before="120" w:after="120"/>
              <w:jc w:val="right"/>
              <w:rPr>
                <w:rFonts w:cs="Arial"/>
                <w:sz w:val="16"/>
                <w:szCs w:val="16"/>
              </w:rPr>
            </w:pPr>
            <w:r w:rsidRPr="00DE1804">
              <w:rPr>
                <w:sz w:val="16"/>
              </w:rPr>
              <w:t xml:space="preserve">448 </w:t>
            </w:r>
          </w:p>
        </w:tc>
        <w:tc>
          <w:tcPr>
            <w:tcW w:w="1560" w:type="dxa"/>
            <w:tcBorders>
              <w:top w:val="nil"/>
              <w:left w:val="nil"/>
              <w:bottom w:val="single" w:sz="4" w:space="0" w:color="auto"/>
              <w:right w:val="single" w:sz="4" w:space="0" w:color="auto"/>
            </w:tcBorders>
            <w:shd w:val="clear" w:color="000000" w:fill="FFFFFF"/>
            <w:vAlign w:val="center"/>
          </w:tcPr>
          <w:p w:rsidR="00784E52" w:rsidRPr="00DE1804" w:rsidRDefault="00784E52" w:rsidP="001A5BF9">
            <w:pPr>
              <w:spacing w:before="120" w:after="120"/>
              <w:jc w:val="right"/>
              <w:rPr>
                <w:rFonts w:cs="Arial"/>
                <w:sz w:val="16"/>
                <w:szCs w:val="16"/>
              </w:rPr>
            </w:pPr>
            <w:r w:rsidRPr="00DE1804">
              <w:rPr>
                <w:sz w:val="16"/>
              </w:rPr>
              <w:t xml:space="preserve">379 </w:t>
            </w:r>
          </w:p>
        </w:tc>
      </w:tr>
      <w:tr w:rsidR="00784E52" w:rsidRPr="00DE1804" w:rsidTr="00BB3F3E">
        <w:trPr>
          <w:trHeight w:val="454"/>
        </w:trPr>
        <w:tc>
          <w:tcPr>
            <w:tcW w:w="517" w:type="dxa"/>
            <w:tcBorders>
              <w:top w:val="nil"/>
              <w:left w:val="single" w:sz="4" w:space="0" w:color="auto"/>
              <w:bottom w:val="single" w:sz="4" w:space="0" w:color="auto"/>
              <w:right w:val="nil"/>
            </w:tcBorders>
            <w:shd w:val="clear" w:color="000000" w:fill="CCFFFF"/>
            <w:noWrap/>
            <w:vAlign w:val="bottom"/>
          </w:tcPr>
          <w:p w:rsidR="00784E52" w:rsidRPr="00DE1804" w:rsidRDefault="00784E52" w:rsidP="001A5BF9">
            <w:pPr>
              <w:jc w:val="center"/>
              <w:rPr>
                <w:rFonts w:cs="Arial"/>
                <w:b/>
                <w:bCs/>
                <w:sz w:val="16"/>
                <w:szCs w:val="16"/>
              </w:rPr>
            </w:pPr>
            <w:r w:rsidRPr="00DE1804">
              <w:rPr>
                <w:b/>
                <w:sz w:val="16"/>
              </w:rPr>
              <w:t> </w:t>
            </w:r>
          </w:p>
        </w:tc>
        <w:tc>
          <w:tcPr>
            <w:tcW w:w="4166" w:type="dxa"/>
            <w:tcBorders>
              <w:top w:val="nil"/>
              <w:left w:val="nil"/>
              <w:bottom w:val="single" w:sz="4" w:space="0" w:color="auto"/>
              <w:right w:val="nil"/>
            </w:tcBorders>
            <w:shd w:val="clear" w:color="000000" w:fill="CCFFFF"/>
            <w:noWrap/>
            <w:vAlign w:val="center"/>
          </w:tcPr>
          <w:p w:rsidR="00784E52" w:rsidRPr="00DE1804" w:rsidRDefault="00784E52" w:rsidP="001A5BF9">
            <w:pPr>
              <w:rPr>
                <w:rFonts w:cs="Arial"/>
                <w:b/>
                <w:bCs/>
                <w:sz w:val="16"/>
                <w:szCs w:val="16"/>
              </w:rPr>
            </w:pPr>
            <w:r w:rsidRPr="00DE1804">
              <w:rPr>
                <w:b/>
                <w:sz w:val="16"/>
              </w:rPr>
              <w:t>Total</w:t>
            </w:r>
          </w:p>
        </w:tc>
        <w:tc>
          <w:tcPr>
            <w:tcW w:w="1559" w:type="dxa"/>
            <w:tcBorders>
              <w:top w:val="nil"/>
              <w:left w:val="single" w:sz="4" w:space="0" w:color="auto"/>
              <w:bottom w:val="single" w:sz="4" w:space="0" w:color="auto"/>
              <w:right w:val="single" w:sz="4" w:space="0" w:color="auto"/>
            </w:tcBorders>
            <w:shd w:val="clear" w:color="000000" w:fill="CCFFFF"/>
            <w:vAlign w:val="center"/>
          </w:tcPr>
          <w:p w:rsidR="00784E52" w:rsidRPr="00DE1804" w:rsidRDefault="00784E52" w:rsidP="001A5BF9">
            <w:pPr>
              <w:jc w:val="right"/>
              <w:rPr>
                <w:rFonts w:cs="Arial"/>
                <w:b/>
                <w:bCs/>
                <w:sz w:val="16"/>
                <w:szCs w:val="16"/>
              </w:rPr>
            </w:pPr>
            <w:r w:rsidRPr="00DE1804">
              <w:rPr>
                <w:b/>
                <w:sz w:val="16"/>
              </w:rPr>
              <w:t>10 332</w:t>
            </w:r>
          </w:p>
        </w:tc>
        <w:tc>
          <w:tcPr>
            <w:tcW w:w="1559" w:type="dxa"/>
            <w:tcBorders>
              <w:top w:val="nil"/>
              <w:left w:val="nil"/>
              <w:bottom w:val="single" w:sz="4" w:space="0" w:color="auto"/>
              <w:right w:val="single" w:sz="4" w:space="0" w:color="auto"/>
            </w:tcBorders>
            <w:shd w:val="clear" w:color="000000" w:fill="CCFFFF"/>
            <w:noWrap/>
            <w:vAlign w:val="center"/>
          </w:tcPr>
          <w:p w:rsidR="00784E52" w:rsidRPr="00DE1804" w:rsidRDefault="00784E52" w:rsidP="001A5BF9">
            <w:pPr>
              <w:jc w:val="right"/>
              <w:rPr>
                <w:rFonts w:cs="Arial"/>
                <w:b/>
                <w:bCs/>
                <w:sz w:val="16"/>
                <w:szCs w:val="16"/>
              </w:rPr>
            </w:pPr>
            <w:r w:rsidRPr="00DE1804">
              <w:rPr>
                <w:b/>
                <w:sz w:val="16"/>
              </w:rPr>
              <w:t>11 912</w:t>
            </w:r>
          </w:p>
        </w:tc>
        <w:tc>
          <w:tcPr>
            <w:tcW w:w="1560" w:type="dxa"/>
            <w:tcBorders>
              <w:top w:val="nil"/>
              <w:left w:val="nil"/>
              <w:bottom w:val="single" w:sz="4" w:space="0" w:color="auto"/>
              <w:right w:val="single" w:sz="4" w:space="0" w:color="auto"/>
            </w:tcBorders>
            <w:shd w:val="clear" w:color="000000" w:fill="CCFFFF"/>
            <w:vAlign w:val="center"/>
          </w:tcPr>
          <w:p w:rsidR="00784E52" w:rsidRPr="00DE1804" w:rsidRDefault="00784E52" w:rsidP="001A5BF9">
            <w:pPr>
              <w:jc w:val="right"/>
              <w:rPr>
                <w:rFonts w:cs="Arial"/>
                <w:b/>
                <w:bCs/>
                <w:sz w:val="16"/>
                <w:szCs w:val="16"/>
              </w:rPr>
            </w:pPr>
            <w:r w:rsidRPr="00DE1804">
              <w:rPr>
                <w:b/>
                <w:sz w:val="16"/>
              </w:rPr>
              <w:t>11 540</w:t>
            </w:r>
          </w:p>
        </w:tc>
      </w:tr>
    </w:tbl>
    <w:p w:rsidR="00D42474" w:rsidRDefault="00D42474" w:rsidP="001A5BF9">
      <w:pPr>
        <w:pStyle w:val="Heading2"/>
      </w:pPr>
    </w:p>
    <w:p w:rsidR="00D42474" w:rsidRDefault="00D42474" w:rsidP="001A5BF9">
      <w:pPr>
        <w:pStyle w:val="Heading2"/>
      </w:pPr>
    </w:p>
    <w:p w:rsidR="00D42474" w:rsidRDefault="00784E52" w:rsidP="001A5BF9">
      <w:pPr>
        <w:pStyle w:val="NormalWeb"/>
        <w:spacing w:before="0" w:beforeAutospacing="0" w:after="0" w:afterAutospacing="0"/>
        <w:jc w:val="center"/>
        <w:rPr>
          <w:color w:val="000000"/>
          <w:sz w:val="20"/>
        </w:rPr>
      </w:pPr>
      <w:r w:rsidRPr="005C7CCE">
        <w:rPr>
          <w:color w:val="000000"/>
          <w:sz w:val="20"/>
        </w:rPr>
        <w:t xml:space="preserve">Budget et dépenses effectives (dépenses de </w:t>
      </w:r>
      <w:proofErr w:type="gramStart"/>
      <w:r w:rsidRPr="005C7CCE">
        <w:rPr>
          <w:color w:val="000000"/>
          <w:sz w:val="20"/>
        </w:rPr>
        <w:t>personnel et autres dépenses</w:t>
      </w:r>
      <w:proofErr w:type="gramEnd"/>
      <w:r w:rsidRPr="005C7CCE">
        <w:rPr>
          <w:color w:val="000000"/>
          <w:sz w:val="20"/>
        </w:rPr>
        <w:t>)</w:t>
      </w:r>
    </w:p>
    <w:p w:rsidR="00D42474" w:rsidRDefault="00784E52" w:rsidP="001A5BF9">
      <w:pPr>
        <w:pStyle w:val="NormalWeb"/>
        <w:spacing w:before="0" w:beforeAutospacing="0" w:after="0" w:afterAutospacing="0"/>
        <w:jc w:val="center"/>
        <w:rPr>
          <w:i/>
          <w:iCs/>
          <w:color w:val="000000"/>
          <w:sz w:val="20"/>
          <w:szCs w:val="20"/>
        </w:rPr>
      </w:pPr>
      <w:r w:rsidRPr="005C7CCE">
        <w:rPr>
          <w:i/>
          <w:color w:val="000000"/>
          <w:sz w:val="20"/>
        </w:rPr>
        <w:t>(</w:t>
      </w:r>
      <w:proofErr w:type="gramStart"/>
      <w:r w:rsidRPr="005C7CCE">
        <w:rPr>
          <w:i/>
          <w:color w:val="000000"/>
          <w:sz w:val="20"/>
        </w:rPr>
        <w:t>en</w:t>
      </w:r>
      <w:proofErr w:type="gramEnd"/>
      <w:r w:rsidRPr="005C7CCE">
        <w:rPr>
          <w:i/>
          <w:color w:val="000000"/>
          <w:sz w:val="20"/>
        </w:rPr>
        <w:t xml:space="preserve"> milliers de francs suisses)</w:t>
      </w:r>
    </w:p>
    <w:p w:rsidR="00784E52" w:rsidRPr="00DE1804" w:rsidRDefault="00784E52" w:rsidP="001A5BF9">
      <w:pPr>
        <w:pStyle w:val="Heading2"/>
      </w:pPr>
    </w:p>
    <w:tbl>
      <w:tblPr>
        <w:tblW w:w="4889" w:type="pct"/>
        <w:tblInd w:w="108" w:type="dxa"/>
        <w:tblLook w:val="0000" w:firstRow="0" w:lastRow="0" w:firstColumn="0" w:lastColumn="0" w:noHBand="0" w:noVBand="0"/>
      </w:tblPr>
      <w:tblGrid>
        <w:gridCol w:w="2407"/>
        <w:gridCol w:w="1739"/>
        <w:gridCol w:w="1739"/>
        <w:gridCol w:w="1739"/>
        <w:gridCol w:w="1735"/>
      </w:tblGrid>
      <w:tr w:rsidR="00784E52" w:rsidRPr="00DE1804" w:rsidTr="00BB3F3E">
        <w:tc>
          <w:tcPr>
            <w:tcW w:w="1286" w:type="pct"/>
            <w:tcBorders>
              <w:top w:val="single" w:sz="4" w:space="0" w:color="auto"/>
              <w:left w:val="single" w:sz="4" w:space="0" w:color="auto"/>
              <w:bottom w:val="single" w:sz="4" w:space="0" w:color="auto"/>
              <w:right w:val="single" w:sz="4" w:space="0" w:color="auto"/>
            </w:tcBorders>
            <w:shd w:val="clear" w:color="auto" w:fill="CCFFFF"/>
            <w:noWrap/>
            <w:vAlign w:val="center"/>
          </w:tcPr>
          <w:p w:rsidR="00784E52" w:rsidRPr="00DE1804" w:rsidRDefault="00784E52" w:rsidP="001A5BF9">
            <w:pPr>
              <w:spacing w:before="120" w:after="120"/>
              <w:rPr>
                <w:rFonts w:cs="Arial"/>
                <w:sz w:val="16"/>
                <w:szCs w:val="16"/>
              </w:rPr>
            </w:pPr>
            <w:r w:rsidRPr="00DE1804">
              <w:rPr>
                <w:sz w:val="16"/>
              </w:rPr>
              <w:t> </w:t>
            </w:r>
          </w:p>
        </w:tc>
        <w:tc>
          <w:tcPr>
            <w:tcW w:w="929" w:type="pct"/>
            <w:tcBorders>
              <w:top w:val="single" w:sz="4" w:space="0" w:color="auto"/>
              <w:left w:val="nil"/>
              <w:bottom w:val="nil"/>
              <w:right w:val="single" w:sz="4" w:space="0" w:color="auto"/>
            </w:tcBorders>
            <w:shd w:val="clear" w:color="auto" w:fill="CCFFFF"/>
            <w:vAlign w:val="center"/>
          </w:tcPr>
          <w:p w:rsidR="00784E52" w:rsidRPr="00DE1804" w:rsidRDefault="00784E52" w:rsidP="001A5BF9">
            <w:pPr>
              <w:spacing w:before="120" w:after="120"/>
              <w:jc w:val="center"/>
              <w:rPr>
                <w:rFonts w:cs="Arial"/>
                <w:bCs/>
                <w:sz w:val="16"/>
                <w:szCs w:val="16"/>
              </w:rPr>
            </w:pPr>
            <w:r w:rsidRPr="00DE1804">
              <w:rPr>
                <w:sz w:val="16"/>
              </w:rPr>
              <w:t>Budget</w:t>
            </w:r>
            <w:r w:rsidRPr="00DE1804">
              <w:br/>
            </w:r>
            <w:r w:rsidRPr="00DE1804">
              <w:rPr>
                <w:sz w:val="16"/>
              </w:rPr>
              <w:t>2012</w:t>
            </w:r>
            <w:r w:rsidR="002D6F2A" w:rsidRPr="00DE1804">
              <w:rPr>
                <w:sz w:val="16"/>
              </w:rPr>
              <w:noBreakHyphen/>
            </w:r>
            <w:r w:rsidRPr="00DE1804">
              <w:rPr>
                <w:sz w:val="16"/>
              </w:rPr>
              <w:t>2013</w:t>
            </w:r>
            <w:r w:rsidRPr="00DE1804">
              <w:br/>
            </w:r>
            <w:r w:rsidRPr="00DE1804">
              <w:rPr>
                <w:sz w:val="16"/>
              </w:rPr>
              <w:t>approuvé</w:t>
            </w:r>
          </w:p>
        </w:tc>
        <w:tc>
          <w:tcPr>
            <w:tcW w:w="929" w:type="pct"/>
            <w:tcBorders>
              <w:top w:val="single" w:sz="4" w:space="0" w:color="auto"/>
              <w:left w:val="nil"/>
              <w:bottom w:val="nil"/>
              <w:right w:val="single" w:sz="4" w:space="0" w:color="auto"/>
            </w:tcBorders>
            <w:shd w:val="clear" w:color="auto" w:fill="CCFFFF"/>
            <w:vAlign w:val="center"/>
          </w:tcPr>
          <w:p w:rsidR="00784E52" w:rsidRPr="00DE1804" w:rsidRDefault="00784E52" w:rsidP="001A5BF9">
            <w:pPr>
              <w:spacing w:before="120" w:after="120"/>
              <w:jc w:val="center"/>
              <w:rPr>
                <w:rFonts w:cs="Arial"/>
                <w:bCs/>
                <w:sz w:val="16"/>
                <w:szCs w:val="16"/>
              </w:rPr>
            </w:pPr>
            <w:r w:rsidRPr="00DE1804">
              <w:rPr>
                <w:sz w:val="16"/>
              </w:rPr>
              <w:t>Budget</w:t>
            </w:r>
            <w:r w:rsidRPr="00DE1804">
              <w:br/>
            </w:r>
            <w:r w:rsidRPr="00DE1804">
              <w:rPr>
                <w:sz w:val="16"/>
              </w:rPr>
              <w:t>2012</w:t>
            </w:r>
            <w:r w:rsidR="002D6F2A" w:rsidRPr="00DE1804">
              <w:rPr>
                <w:sz w:val="16"/>
              </w:rPr>
              <w:noBreakHyphen/>
            </w:r>
            <w:r w:rsidRPr="00DE1804">
              <w:rPr>
                <w:sz w:val="16"/>
              </w:rPr>
              <w:t>2013</w:t>
            </w:r>
            <w:r w:rsidRPr="00DE1804">
              <w:br/>
            </w:r>
            <w:r w:rsidRPr="00DE1804">
              <w:rPr>
                <w:sz w:val="16"/>
              </w:rPr>
              <w:t>après virements</w:t>
            </w:r>
          </w:p>
        </w:tc>
        <w:tc>
          <w:tcPr>
            <w:tcW w:w="929" w:type="pct"/>
            <w:tcBorders>
              <w:top w:val="single" w:sz="4" w:space="0" w:color="auto"/>
              <w:left w:val="nil"/>
              <w:bottom w:val="nil"/>
              <w:right w:val="single" w:sz="4" w:space="0" w:color="auto"/>
            </w:tcBorders>
            <w:shd w:val="clear" w:color="auto" w:fill="CCFFFF"/>
            <w:vAlign w:val="center"/>
          </w:tcPr>
          <w:p w:rsidR="00784E52" w:rsidRPr="00DE1804" w:rsidRDefault="00784E52" w:rsidP="001A5BF9">
            <w:pPr>
              <w:spacing w:before="120" w:after="120"/>
              <w:jc w:val="center"/>
              <w:rPr>
                <w:rFonts w:cs="Arial"/>
                <w:bCs/>
                <w:sz w:val="16"/>
                <w:szCs w:val="16"/>
              </w:rPr>
            </w:pPr>
            <w:r w:rsidRPr="00DE1804">
              <w:rPr>
                <w:sz w:val="16"/>
              </w:rPr>
              <w:t>Dépenses</w:t>
            </w:r>
            <w:r w:rsidRPr="00DE1804">
              <w:br/>
            </w:r>
            <w:r w:rsidRPr="00DE1804">
              <w:rPr>
                <w:sz w:val="16"/>
              </w:rPr>
              <w:t>2012</w:t>
            </w:r>
            <w:r w:rsidR="002D6F2A" w:rsidRPr="00DE1804">
              <w:rPr>
                <w:sz w:val="16"/>
              </w:rPr>
              <w:noBreakHyphen/>
            </w:r>
            <w:r w:rsidRPr="00DE1804">
              <w:rPr>
                <w:sz w:val="16"/>
              </w:rPr>
              <w:t>2013</w:t>
            </w:r>
          </w:p>
        </w:tc>
        <w:tc>
          <w:tcPr>
            <w:tcW w:w="927" w:type="pct"/>
            <w:tcBorders>
              <w:top w:val="single" w:sz="4" w:space="0" w:color="auto"/>
              <w:left w:val="nil"/>
              <w:bottom w:val="nil"/>
              <w:right w:val="single" w:sz="4" w:space="0" w:color="auto"/>
            </w:tcBorders>
            <w:shd w:val="clear" w:color="auto" w:fill="CCFFFF"/>
            <w:vAlign w:val="center"/>
          </w:tcPr>
          <w:p w:rsidR="00784E52" w:rsidRPr="00DE1804" w:rsidRDefault="00784E52" w:rsidP="001A5BF9">
            <w:pPr>
              <w:spacing w:before="120" w:after="120"/>
              <w:jc w:val="center"/>
              <w:rPr>
                <w:rFonts w:cs="Arial"/>
                <w:bCs/>
                <w:sz w:val="16"/>
                <w:szCs w:val="16"/>
              </w:rPr>
            </w:pPr>
            <w:r w:rsidRPr="00DE1804">
              <w:rPr>
                <w:sz w:val="16"/>
              </w:rPr>
              <w:t>Taux d</w:t>
            </w:r>
            <w:r w:rsidR="00A20444" w:rsidRPr="00DE1804">
              <w:rPr>
                <w:sz w:val="16"/>
              </w:rPr>
              <w:t>’</w:t>
            </w:r>
            <w:r w:rsidRPr="00DE1804">
              <w:rPr>
                <w:sz w:val="16"/>
              </w:rPr>
              <w:t>utilisation (</w:t>
            </w:r>
            <w:r w:rsidR="007E442D" w:rsidRPr="00DE1804">
              <w:rPr>
                <w:sz w:val="16"/>
              </w:rPr>
              <w:t>%</w:t>
            </w:r>
            <w:r w:rsidRPr="00DE1804">
              <w:rPr>
                <w:sz w:val="16"/>
              </w:rPr>
              <w:t>)</w:t>
            </w:r>
          </w:p>
        </w:tc>
      </w:tr>
      <w:tr w:rsidR="00784E52" w:rsidRPr="00DE1804" w:rsidTr="00BB3F3E">
        <w:tc>
          <w:tcPr>
            <w:tcW w:w="1286" w:type="pct"/>
            <w:tcBorders>
              <w:top w:val="nil"/>
              <w:left w:val="single" w:sz="4" w:space="0" w:color="auto"/>
              <w:bottom w:val="single" w:sz="4" w:space="0" w:color="auto"/>
              <w:right w:val="single" w:sz="4" w:space="0" w:color="auto"/>
            </w:tcBorders>
            <w:shd w:val="clear" w:color="auto" w:fill="auto"/>
            <w:noWrap/>
            <w:vAlign w:val="center"/>
          </w:tcPr>
          <w:p w:rsidR="00784E52" w:rsidRPr="00DE1804" w:rsidRDefault="00784E52" w:rsidP="001A5BF9">
            <w:pPr>
              <w:spacing w:before="120" w:after="120"/>
              <w:rPr>
                <w:rFonts w:cs="Arial"/>
                <w:sz w:val="16"/>
                <w:szCs w:val="16"/>
              </w:rPr>
            </w:pPr>
            <w:r w:rsidRPr="00DE1804">
              <w:rPr>
                <w:sz w:val="16"/>
              </w:rPr>
              <w:t xml:space="preserve"> Dépenses de personnel </w:t>
            </w:r>
          </w:p>
        </w:tc>
        <w:tc>
          <w:tcPr>
            <w:tcW w:w="929" w:type="pct"/>
            <w:tcBorders>
              <w:top w:val="single" w:sz="4" w:space="0" w:color="auto"/>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4 755</w:t>
            </w:r>
          </w:p>
        </w:tc>
        <w:tc>
          <w:tcPr>
            <w:tcW w:w="929" w:type="pct"/>
            <w:tcBorders>
              <w:top w:val="single" w:sz="4" w:space="0" w:color="auto"/>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6 750</w:t>
            </w:r>
          </w:p>
        </w:tc>
        <w:tc>
          <w:tcPr>
            <w:tcW w:w="929" w:type="pct"/>
            <w:tcBorders>
              <w:top w:val="single" w:sz="4" w:space="0" w:color="auto"/>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6 750</w:t>
            </w:r>
          </w:p>
        </w:tc>
        <w:tc>
          <w:tcPr>
            <w:tcW w:w="927" w:type="pct"/>
            <w:tcBorders>
              <w:top w:val="single" w:sz="4" w:space="0" w:color="auto"/>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100</w:t>
            </w:r>
            <w:r w:rsidR="007E442D" w:rsidRPr="00DE1804">
              <w:rPr>
                <w:sz w:val="16"/>
              </w:rPr>
              <w:t>%</w:t>
            </w:r>
          </w:p>
        </w:tc>
      </w:tr>
      <w:tr w:rsidR="00784E52" w:rsidRPr="00DE1804" w:rsidTr="00BB3F3E">
        <w:tc>
          <w:tcPr>
            <w:tcW w:w="1286" w:type="pct"/>
            <w:tcBorders>
              <w:top w:val="nil"/>
              <w:left w:val="single" w:sz="4" w:space="0" w:color="auto"/>
              <w:bottom w:val="single" w:sz="4" w:space="0" w:color="auto"/>
              <w:right w:val="single" w:sz="4" w:space="0" w:color="auto"/>
            </w:tcBorders>
            <w:shd w:val="clear" w:color="auto" w:fill="auto"/>
            <w:noWrap/>
            <w:vAlign w:val="center"/>
          </w:tcPr>
          <w:p w:rsidR="00784E52" w:rsidRPr="00DE1804" w:rsidRDefault="00784E52" w:rsidP="001A5BF9">
            <w:pPr>
              <w:spacing w:before="120" w:after="120"/>
              <w:rPr>
                <w:rFonts w:cs="Arial"/>
                <w:sz w:val="16"/>
                <w:szCs w:val="16"/>
              </w:rPr>
            </w:pPr>
            <w:r w:rsidRPr="00DE1804">
              <w:rPr>
                <w:sz w:val="16"/>
              </w:rPr>
              <w:t xml:space="preserve"> Autres dépenses </w:t>
            </w:r>
          </w:p>
        </w:tc>
        <w:tc>
          <w:tcPr>
            <w:tcW w:w="929" w:type="pct"/>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5 577</w:t>
            </w:r>
          </w:p>
        </w:tc>
        <w:tc>
          <w:tcPr>
            <w:tcW w:w="929" w:type="pct"/>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5 162</w:t>
            </w:r>
          </w:p>
        </w:tc>
        <w:tc>
          <w:tcPr>
            <w:tcW w:w="929" w:type="pct"/>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4 790</w:t>
            </w:r>
          </w:p>
        </w:tc>
        <w:tc>
          <w:tcPr>
            <w:tcW w:w="927" w:type="pct"/>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93</w:t>
            </w:r>
            <w:r w:rsidR="007E442D" w:rsidRPr="00DE1804">
              <w:rPr>
                <w:sz w:val="16"/>
              </w:rPr>
              <w:t>%</w:t>
            </w:r>
          </w:p>
        </w:tc>
      </w:tr>
      <w:tr w:rsidR="00784E52" w:rsidRPr="00DE1804" w:rsidTr="00BB3F3E">
        <w:tc>
          <w:tcPr>
            <w:tcW w:w="1286" w:type="pct"/>
            <w:tcBorders>
              <w:top w:val="nil"/>
              <w:left w:val="single" w:sz="4" w:space="0" w:color="auto"/>
              <w:bottom w:val="single" w:sz="4" w:space="0" w:color="auto"/>
              <w:right w:val="single" w:sz="4" w:space="0" w:color="auto"/>
            </w:tcBorders>
            <w:shd w:val="clear" w:color="auto" w:fill="auto"/>
            <w:noWrap/>
            <w:vAlign w:val="center"/>
          </w:tcPr>
          <w:p w:rsidR="00784E52" w:rsidRPr="00DE1804" w:rsidRDefault="00784E52" w:rsidP="001A5BF9">
            <w:pPr>
              <w:spacing w:before="120" w:after="120"/>
              <w:jc w:val="right"/>
              <w:rPr>
                <w:rFonts w:cs="Arial"/>
                <w:b/>
                <w:bCs/>
                <w:sz w:val="16"/>
                <w:szCs w:val="16"/>
              </w:rPr>
            </w:pPr>
            <w:r w:rsidRPr="00DE1804">
              <w:rPr>
                <w:b/>
                <w:sz w:val="16"/>
              </w:rPr>
              <w:t xml:space="preserve"> TOTAL </w:t>
            </w:r>
          </w:p>
        </w:tc>
        <w:tc>
          <w:tcPr>
            <w:tcW w:w="929" w:type="pct"/>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b/>
                <w:bCs/>
                <w:sz w:val="16"/>
                <w:szCs w:val="16"/>
              </w:rPr>
            </w:pPr>
            <w:r w:rsidRPr="00DE1804">
              <w:rPr>
                <w:b/>
                <w:sz w:val="16"/>
              </w:rPr>
              <w:t>10 332</w:t>
            </w:r>
          </w:p>
        </w:tc>
        <w:tc>
          <w:tcPr>
            <w:tcW w:w="929" w:type="pct"/>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b/>
                <w:bCs/>
                <w:sz w:val="16"/>
                <w:szCs w:val="16"/>
              </w:rPr>
            </w:pPr>
            <w:r w:rsidRPr="00DE1804">
              <w:rPr>
                <w:b/>
                <w:sz w:val="16"/>
              </w:rPr>
              <w:t>11 912</w:t>
            </w:r>
          </w:p>
        </w:tc>
        <w:tc>
          <w:tcPr>
            <w:tcW w:w="929" w:type="pct"/>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b/>
                <w:bCs/>
                <w:sz w:val="16"/>
                <w:szCs w:val="16"/>
              </w:rPr>
            </w:pPr>
            <w:r w:rsidRPr="00DE1804">
              <w:rPr>
                <w:b/>
                <w:sz w:val="16"/>
              </w:rPr>
              <w:t>11 540</w:t>
            </w:r>
          </w:p>
        </w:tc>
        <w:tc>
          <w:tcPr>
            <w:tcW w:w="927" w:type="pct"/>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b/>
                <w:bCs/>
                <w:sz w:val="16"/>
                <w:szCs w:val="16"/>
              </w:rPr>
            </w:pPr>
            <w:r w:rsidRPr="00DE1804">
              <w:rPr>
                <w:b/>
                <w:sz w:val="16"/>
              </w:rPr>
              <w:t>97</w:t>
            </w:r>
            <w:r w:rsidR="007E442D" w:rsidRPr="00DE1804">
              <w:rPr>
                <w:b/>
                <w:sz w:val="16"/>
              </w:rPr>
              <w:t>%</w:t>
            </w:r>
          </w:p>
        </w:tc>
      </w:tr>
    </w:tbl>
    <w:p w:rsidR="00D42474" w:rsidRDefault="00D42474" w:rsidP="001A5BF9">
      <w:pPr>
        <w:jc w:val="center"/>
        <w:rPr>
          <w:rFonts w:cs="Arial"/>
        </w:rPr>
      </w:pPr>
    </w:p>
    <w:p w:rsidR="00D42474" w:rsidRDefault="00D42474" w:rsidP="001A5BF9">
      <w:pPr>
        <w:keepNext/>
        <w:keepLines/>
        <w:rPr>
          <w:rFonts w:cs="Arial"/>
          <w:szCs w:val="22"/>
        </w:rPr>
      </w:pPr>
    </w:p>
    <w:p w:rsidR="00D42474" w:rsidRDefault="00784E52" w:rsidP="001A5BF9">
      <w:pPr>
        <w:keepNext/>
        <w:keepLines/>
        <w:autoSpaceDE w:val="0"/>
        <w:autoSpaceDN w:val="0"/>
        <w:adjustRightInd w:val="0"/>
        <w:rPr>
          <w:sz w:val="16"/>
          <w:szCs w:val="16"/>
        </w:rPr>
      </w:pPr>
      <w:proofErr w:type="gramStart"/>
      <w:r w:rsidRPr="00DE1804">
        <w:rPr>
          <w:sz w:val="16"/>
        </w:rPr>
        <w:t>NOTES</w:t>
      </w:r>
      <w:proofErr w:type="gramEnd"/>
      <w:r w:rsidR="0010442A" w:rsidRPr="00DE1804">
        <w:rPr>
          <w:sz w:val="16"/>
        </w:rPr>
        <w:t> </w:t>
      </w:r>
      <w:r w:rsidRPr="00DE1804">
        <w:rPr>
          <w:sz w:val="16"/>
        </w:rPr>
        <w:t>:</w:t>
      </w:r>
    </w:p>
    <w:p w:rsidR="00D42474" w:rsidRDefault="00D42474" w:rsidP="001A5BF9">
      <w:pPr>
        <w:keepNext/>
        <w:keepLines/>
        <w:autoSpaceDE w:val="0"/>
        <w:autoSpaceDN w:val="0"/>
        <w:adjustRightInd w:val="0"/>
        <w:rPr>
          <w:sz w:val="16"/>
          <w:szCs w:val="16"/>
        </w:rPr>
      </w:pPr>
    </w:p>
    <w:p w:rsidR="00D42474" w:rsidRDefault="00784E52" w:rsidP="001A5BF9">
      <w:pPr>
        <w:keepNext/>
        <w:keepLines/>
        <w:autoSpaceDE w:val="0"/>
        <w:autoSpaceDN w:val="0"/>
        <w:adjustRightInd w:val="0"/>
        <w:rPr>
          <w:sz w:val="16"/>
          <w:szCs w:val="16"/>
        </w:rPr>
      </w:pPr>
      <w:r w:rsidRPr="00DE1804">
        <w:rPr>
          <w:sz w:val="16"/>
        </w:rPr>
        <w:t>1)</w:t>
      </w:r>
      <w:r w:rsidR="004F3E42" w:rsidRPr="00DE1804">
        <w:rPr>
          <w:sz w:val="16"/>
        </w:rPr>
        <w:t xml:space="preserve"> </w:t>
      </w:r>
      <w:r w:rsidR="00DE1804">
        <w:rPr>
          <w:sz w:val="16"/>
        </w:rPr>
        <w:tab/>
      </w:r>
      <w:r w:rsidRPr="00DE1804">
        <w:rPr>
          <w:sz w:val="16"/>
        </w:rPr>
        <w:t>Le budget restructuré après virements tient compte du budget ajusté des programmes après les virements réalisés au cours de l</w:t>
      </w:r>
      <w:r w:rsidR="00A20444" w:rsidRPr="00DE1804">
        <w:rPr>
          <w:sz w:val="16"/>
        </w:rPr>
        <w:t>’</w:t>
      </w:r>
      <w:r w:rsidRPr="00DE1804">
        <w:rPr>
          <w:sz w:val="16"/>
        </w:rPr>
        <w:t>exercice 2012</w:t>
      </w:r>
      <w:r w:rsidR="002D6F2A" w:rsidRPr="00DE1804">
        <w:rPr>
          <w:sz w:val="16"/>
        </w:rPr>
        <w:noBreakHyphen/>
      </w:r>
      <w:r w:rsidRPr="00DE1804">
        <w:rPr>
          <w:sz w:val="16"/>
        </w:rPr>
        <w:t xml:space="preserve">2013, conformément à </w:t>
      </w:r>
      <w:r w:rsidR="00E15133" w:rsidRPr="00DE1804">
        <w:rPr>
          <w:sz w:val="16"/>
        </w:rPr>
        <w:t>l</w:t>
      </w:r>
      <w:r w:rsidR="00A20444" w:rsidRPr="00DE1804">
        <w:rPr>
          <w:sz w:val="16"/>
        </w:rPr>
        <w:t>’</w:t>
      </w:r>
      <w:r w:rsidR="00E15133" w:rsidRPr="00DE1804">
        <w:rPr>
          <w:sz w:val="16"/>
        </w:rPr>
        <w:t>article 5.5</w:t>
      </w:r>
      <w:r w:rsidRPr="00DE1804">
        <w:rPr>
          <w:sz w:val="16"/>
        </w:rPr>
        <w:t xml:space="preserve"> du règlement d</w:t>
      </w:r>
      <w:r w:rsidR="00A20444" w:rsidRPr="00DE1804">
        <w:rPr>
          <w:sz w:val="16"/>
        </w:rPr>
        <w:t>’</w:t>
      </w:r>
      <w:r w:rsidRPr="00DE1804">
        <w:rPr>
          <w:sz w:val="16"/>
        </w:rPr>
        <w:t>exécution du Règlement financier.</w:t>
      </w:r>
    </w:p>
    <w:p w:rsidR="00D42474" w:rsidRDefault="00D42474" w:rsidP="001A5BF9">
      <w:pPr>
        <w:keepNext/>
        <w:keepLines/>
        <w:autoSpaceDE w:val="0"/>
        <w:autoSpaceDN w:val="0"/>
        <w:adjustRightInd w:val="0"/>
        <w:rPr>
          <w:sz w:val="16"/>
          <w:szCs w:val="16"/>
        </w:rPr>
      </w:pPr>
    </w:p>
    <w:p w:rsidR="00D42474" w:rsidRDefault="00DE1804" w:rsidP="001A5BF9">
      <w:pPr>
        <w:keepNext/>
        <w:keepLines/>
        <w:autoSpaceDE w:val="0"/>
        <w:autoSpaceDN w:val="0"/>
        <w:adjustRightInd w:val="0"/>
        <w:rPr>
          <w:sz w:val="16"/>
        </w:rPr>
      </w:pPr>
      <w:r>
        <w:rPr>
          <w:sz w:val="16"/>
        </w:rPr>
        <w:t>2)</w:t>
      </w:r>
      <w:r>
        <w:rPr>
          <w:sz w:val="16"/>
        </w:rPr>
        <w:tab/>
      </w:r>
      <w:r w:rsidR="00784E52" w:rsidRPr="00DE1804">
        <w:rPr>
          <w:sz w:val="16"/>
        </w:rPr>
        <w:t>Les dépenses de personnel indiquées dans le budget de l</w:t>
      </w:r>
      <w:r w:rsidR="00A20444" w:rsidRPr="00DE1804">
        <w:rPr>
          <w:sz w:val="16"/>
        </w:rPr>
        <w:t>’</w:t>
      </w:r>
      <w:r w:rsidR="00784E52" w:rsidRPr="00DE1804">
        <w:rPr>
          <w:sz w:val="16"/>
        </w:rPr>
        <w:t>exercice 2012</w:t>
      </w:r>
      <w:r w:rsidR="002D6F2A" w:rsidRPr="00DE1804">
        <w:rPr>
          <w:sz w:val="16"/>
        </w:rPr>
        <w:noBreakHyphen/>
      </w:r>
      <w:r w:rsidR="00784E52" w:rsidRPr="00DE1804">
        <w:rPr>
          <w:sz w:val="16"/>
        </w:rPr>
        <w:t>2013 après virements représentent les dépenses réelles engagées pendant l</w:t>
      </w:r>
      <w:r w:rsidR="00A20444" w:rsidRPr="00DE1804">
        <w:rPr>
          <w:sz w:val="16"/>
        </w:rPr>
        <w:t>’</w:t>
      </w:r>
      <w:r w:rsidR="00784E52" w:rsidRPr="00DE1804">
        <w:rPr>
          <w:sz w:val="16"/>
        </w:rPr>
        <w:t>exercice biennal.</w:t>
      </w:r>
    </w:p>
    <w:p w:rsidR="00D42474" w:rsidRDefault="00D42474" w:rsidP="001A5BF9">
      <w:pPr>
        <w:keepNext/>
        <w:keepLines/>
        <w:rPr>
          <w:rFonts w:cs="Arial"/>
          <w:szCs w:val="22"/>
        </w:rPr>
      </w:pPr>
    </w:p>
    <w:p w:rsidR="00D42474" w:rsidRDefault="00D42474" w:rsidP="001A5BF9">
      <w:pPr>
        <w:keepNext/>
        <w:keepLines/>
        <w:rPr>
          <w:rFonts w:cs="Arial"/>
          <w:szCs w:val="22"/>
        </w:rPr>
      </w:pPr>
    </w:p>
    <w:p w:rsidR="00D42474" w:rsidRDefault="00784E52" w:rsidP="001A5BF9">
      <w:pPr>
        <w:rPr>
          <w:u w:val="single"/>
        </w:rPr>
      </w:pPr>
      <w:r w:rsidRPr="00DE1804">
        <w:t>A.</w:t>
      </w:r>
      <w:r w:rsidRPr="00DE1804">
        <w:tab/>
      </w:r>
      <w:r w:rsidRPr="00DE1804">
        <w:rPr>
          <w:u w:val="single"/>
        </w:rPr>
        <w:t>Budget après virements 2012</w:t>
      </w:r>
      <w:r w:rsidR="002D6F2A" w:rsidRPr="00DE1804">
        <w:rPr>
          <w:u w:val="single"/>
        </w:rPr>
        <w:noBreakHyphen/>
      </w:r>
      <w:r w:rsidRPr="00DE1804">
        <w:rPr>
          <w:u w:val="single"/>
        </w:rPr>
        <w:t>2013</w:t>
      </w:r>
    </w:p>
    <w:p w:rsidR="00D42474" w:rsidRDefault="00D42474" w:rsidP="001A5BF9">
      <w:pPr>
        <w:jc w:val="both"/>
      </w:pPr>
    </w:p>
    <w:p w:rsidR="00D42474" w:rsidRDefault="00784E52" w:rsidP="001A5BF9">
      <w:pPr>
        <w:pStyle w:val="Paragraphedeliste"/>
        <w:numPr>
          <w:ilvl w:val="0"/>
          <w:numId w:val="39"/>
        </w:numPr>
        <w:tabs>
          <w:tab w:val="left" w:pos="709"/>
        </w:tabs>
        <w:ind w:left="0" w:firstLine="0"/>
        <w:jc w:val="both"/>
      </w:pPr>
      <w:r w:rsidRPr="005C7CCE">
        <w:t>Les dépenses de personnel indiquées dans le budget de l</w:t>
      </w:r>
      <w:r w:rsidR="00A20444" w:rsidRPr="005C7CCE">
        <w:t>’</w:t>
      </w:r>
      <w:r w:rsidRPr="005C7CCE">
        <w:t>exercice 2012</w:t>
      </w:r>
      <w:r w:rsidR="002D6F2A" w:rsidRPr="005C7CCE">
        <w:noBreakHyphen/>
      </w:r>
      <w:r w:rsidRPr="005C7CCE">
        <w:t>2013 après virements tiennent compte d</w:t>
      </w:r>
      <w:r w:rsidR="00A20444" w:rsidRPr="005C7CCE">
        <w:t>’</w:t>
      </w:r>
      <w:r w:rsidRPr="005C7CCE">
        <w:t>un ajustement à la hausse principalement dû à l</w:t>
      </w:r>
      <w:r w:rsidR="00A20444" w:rsidRPr="005C7CCE">
        <w:t>’</w:t>
      </w:r>
      <w:r w:rsidRPr="005C7CCE">
        <w:t>affectation de ressources supplémentaires au programme pour en renforcer les travaux sur les programmes de maîtrise communs et le perfectionnement et la formation des cadres au titre du résultat </w:t>
      </w:r>
      <w:proofErr w:type="spellStart"/>
      <w:r w:rsidRPr="005C7CCE">
        <w:t>III.2</w:t>
      </w:r>
      <w:proofErr w:type="spellEnd"/>
      <w:r w:rsidRPr="005C7CCE">
        <w:t xml:space="preserve"> (renforcement des capacités en matière de ressources humaines).</w:t>
      </w:r>
    </w:p>
    <w:p w:rsidR="00D42474" w:rsidRDefault="00D42474" w:rsidP="001A5BF9">
      <w:pPr>
        <w:tabs>
          <w:tab w:val="left" w:pos="709"/>
        </w:tabs>
        <w:jc w:val="both"/>
        <w:rPr>
          <w:rFonts w:eastAsia="Batang"/>
        </w:rPr>
      </w:pPr>
    </w:p>
    <w:p w:rsidR="00D42474" w:rsidRDefault="00784E52" w:rsidP="001A5BF9">
      <w:pPr>
        <w:pStyle w:val="Paragraphedeliste"/>
        <w:numPr>
          <w:ilvl w:val="0"/>
          <w:numId w:val="39"/>
        </w:numPr>
        <w:tabs>
          <w:tab w:val="left" w:pos="709"/>
        </w:tabs>
        <w:ind w:left="0" w:firstLine="0"/>
        <w:jc w:val="both"/>
      </w:pPr>
      <w:r w:rsidRPr="005C7CCE">
        <w:t>L</w:t>
      </w:r>
      <w:r w:rsidR="00A20444" w:rsidRPr="005C7CCE">
        <w:t>’</w:t>
      </w:r>
      <w:r w:rsidRPr="005C7CCE">
        <w:t>affectation aux dépenses hors personnel pour le budget 2012</w:t>
      </w:r>
      <w:r w:rsidR="002D6F2A" w:rsidRPr="005C7CCE">
        <w:noBreakHyphen/>
      </w:r>
      <w:r w:rsidRPr="005C7CCE">
        <w:t>2013 après virements tient compte des ajustements à la baisse effectués pour réduire les coûts conformément aux engagements de</w:t>
      </w:r>
      <w:r w:rsidR="006D16B6" w:rsidRPr="005C7CCE">
        <w:t> </w:t>
      </w:r>
      <w:r w:rsidRPr="005C7CCE">
        <w:t>l</w:t>
      </w:r>
      <w:r w:rsidR="00A20444" w:rsidRPr="005C7CCE">
        <w:t>’</w:t>
      </w:r>
      <w:r w:rsidRPr="005C7CCE">
        <w:t>Organisation de réduire les dépenses de 10,2 millions de francs suisses pour l</w:t>
      </w:r>
      <w:r w:rsidR="00A20444" w:rsidRPr="005C7CCE">
        <w:t>’</w:t>
      </w:r>
      <w:r w:rsidRPr="005C7CCE">
        <w:t>exercice biennal 2012</w:t>
      </w:r>
      <w:r w:rsidR="002D6F2A" w:rsidRPr="005C7CCE">
        <w:noBreakHyphen/>
      </w:r>
      <w:r w:rsidRPr="005C7CCE">
        <w:t>2013.</w:t>
      </w:r>
    </w:p>
    <w:p w:rsidR="00D42474" w:rsidRDefault="00D42474" w:rsidP="001A5BF9">
      <w:pPr>
        <w:jc w:val="both"/>
        <w:rPr>
          <w:rFonts w:cs="Arial"/>
        </w:rPr>
      </w:pPr>
    </w:p>
    <w:p w:rsidR="00D42474" w:rsidRDefault="00784E52" w:rsidP="001A5BF9">
      <w:pPr>
        <w:tabs>
          <w:tab w:val="left" w:pos="709"/>
        </w:tabs>
        <w:jc w:val="both"/>
        <w:rPr>
          <w:rFonts w:cs="Arial"/>
          <w:u w:val="single"/>
        </w:rPr>
      </w:pPr>
      <w:r w:rsidRPr="005C7CCE">
        <w:t>B.</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Pr>
        <w:pStyle w:val="Paragraphedeliste"/>
        <w:ind w:left="0"/>
        <w:jc w:val="both"/>
        <w:rPr>
          <w:rFonts w:eastAsia="Batang"/>
        </w:rPr>
      </w:pPr>
    </w:p>
    <w:p w:rsidR="00D42474" w:rsidRDefault="00784E52" w:rsidP="001A5BF9">
      <w:pPr>
        <w:pStyle w:val="Paragraphedeliste"/>
        <w:numPr>
          <w:ilvl w:val="0"/>
          <w:numId w:val="39"/>
        </w:numPr>
        <w:tabs>
          <w:tab w:val="left" w:pos="709"/>
        </w:tabs>
        <w:ind w:left="0" w:firstLine="0"/>
        <w:jc w:val="both"/>
        <w:rPr>
          <w:rFonts w:eastAsia="Batang"/>
        </w:rPr>
      </w:pPr>
      <w:r w:rsidRPr="005C7CCE">
        <w:t>Le taux d</w:t>
      </w:r>
      <w:r w:rsidR="00A20444" w:rsidRPr="005C7CCE">
        <w:t>’</w:t>
      </w:r>
      <w:r w:rsidRPr="005C7CCE">
        <w:t>utilisation du budget (pour les dépenses autres que les dépenses de personnel) s</w:t>
      </w:r>
      <w:r w:rsidR="00A20444" w:rsidRPr="005C7CCE">
        <w:t>’</w:t>
      </w:r>
      <w:r w:rsidRPr="005C7CCE">
        <w:t>élève à 93</w:t>
      </w:r>
      <w:r w:rsidR="007E442D" w:rsidRPr="005C7CCE">
        <w:t>%</w:t>
      </w:r>
      <w:r w:rsidRPr="005C7CCE">
        <w:t>, principalement en raison : i)</w:t>
      </w:r>
      <w:r w:rsidR="0010442A" w:rsidRPr="005C7CCE">
        <w:t> </w:t>
      </w:r>
      <w:r w:rsidRPr="005C7CCE">
        <w:t>des économies dans le cadre de programmes de perfectionnement et de formation en matière de droit d</w:t>
      </w:r>
      <w:r w:rsidR="00A20444" w:rsidRPr="005C7CCE">
        <w:t>’</w:t>
      </w:r>
      <w:r w:rsidRPr="005C7CCE">
        <w:t>auteur et de droits de propriété industrielle au titre du résultat </w:t>
      </w:r>
      <w:proofErr w:type="spellStart"/>
      <w:r w:rsidRPr="005C7CCE">
        <w:t>III.2</w:t>
      </w:r>
      <w:proofErr w:type="spellEnd"/>
      <w:r w:rsidRPr="005C7CCE">
        <w:t xml:space="preserve"> (renforcement des capacités en matière de ressources humaines);</w:t>
      </w:r>
      <w:r w:rsidR="004F3E42" w:rsidRPr="005C7CCE">
        <w:t xml:space="preserve"> </w:t>
      </w:r>
      <w:r w:rsidR="0010442A" w:rsidRPr="005C7CCE">
        <w:t xml:space="preserve"> </w:t>
      </w:r>
      <w:r w:rsidRPr="005C7CCE">
        <w:t>ii) du retard du lancement des trois</w:t>
      </w:r>
      <w:r w:rsidR="0010442A" w:rsidRPr="005C7CCE">
        <w:t> </w:t>
      </w:r>
      <w:r w:rsidRPr="005C7CCE">
        <w:t>nouveaux cours en ligne du programme d</w:t>
      </w:r>
      <w:r w:rsidR="00A20444" w:rsidRPr="005C7CCE">
        <w:t>’</w:t>
      </w:r>
      <w:r w:rsidRPr="005C7CCE">
        <w:t>enseignement à distance au titre du résultat </w:t>
      </w:r>
      <w:proofErr w:type="spellStart"/>
      <w:r w:rsidRPr="005C7CCE">
        <w:t>III.4</w:t>
      </w:r>
      <w:proofErr w:type="spellEnd"/>
      <w:r w:rsidRPr="005C7CCE">
        <w:t xml:space="preserve"> (accès facilité à l</w:t>
      </w:r>
      <w:r w:rsidR="00A20444" w:rsidRPr="005C7CCE">
        <w:t>’</w:t>
      </w:r>
      <w:r w:rsidRPr="005C7CCE">
        <w:t>enseignement en matière de propriété intellectuelle</w:t>
      </w:r>
      <w:r w:rsidRPr="005C7CCE">
        <w:rPr>
          <w:color w:val="000000"/>
        </w:rPr>
        <w:t>);</w:t>
      </w:r>
      <w:r w:rsidR="004F3E42" w:rsidRPr="005C7CCE">
        <w:rPr>
          <w:color w:val="000000"/>
        </w:rPr>
        <w:t xml:space="preserve"> </w:t>
      </w:r>
      <w:r w:rsidR="0010442A" w:rsidRPr="005C7CCE">
        <w:rPr>
          <w:color w:val="000000"/>
        </w:rPr>
        <w:t xml:space="preserve"> </w:t>
      </w:r>
      <w:r w:rsidRPr="005C7CCE">
        <w:t>et iii) l</w:t>
      </w:r>
      <w:r w:rsidR="00A20444" w:rsidRPr="005C7CCE">
        <w:t>’</w:t>
      </w:r>
      <w:r w:rsidRPr="005C7CCE">
        <w:t>arrêt du programme de perfectionnement des cadres en 2013 au titre du résultat </w:t>
      </w:r>
      <w:proofErr w:type="spellStart"/>
      <w:r w:rsidRPr="005C7CCE">
        <w:t>III.5</w:t>
      </w:r>
      <w:proofErr w:type="spellEnd"/>
      <w:r w:rsidRPr="005C7CCE">
        <w:t xml:space="preserve"> (mise à niveau des compétences en matière de gestion de la propriété intellectuelle).</w:t>
      </w:r>
    </w:p>
    <w:p w:rsidR="00D42474" w:rsidRDefault="00D42474" w:rsidP="001A5BF9">
      <w:pPr>
        <w:pStyle w:val="Paragraphedeliste"/>
        <w:tabs>
          <w:tab w:val="left" w:pos="709"/>
        </w:tabs>
        <w:ind w:left="0"/>
        <w:jc w:val="both"/>
        <w:rPr>
          <w:rFonts w:cs="Arial"/>
        </w:rPr>
      </w:pPr>
    </w:p>
    <w:p w:rsidR="00D42474" w:rsidRDefault="00784E52" w:rsidP="001A5BF9">
      <w:pPr>
        <w:rPr>
          <w:rFonts w:cs="Arial"/>
          <w:szCs w:val="20"/>
        </w:rPr>
      </w:pPr>
      <w:r w:rsidRPr="005C7CCE">
        <w:br w:type="page"/>
      </w:r>
    </w:p>
    <w:p w:rsidR="00D42474" w:rsidRDefault="00784E52" w:rsidP="001A5BF9">
      <w:pPr>
        <w:pStyle w:val="Heading3"/>
        <w:rPr>
          <w:szCs w:val="22"/>
        </w:rPr>
      </w:pPr>
      <w:bookmarkStart w:id="25" w:name="_Toc395082477"/>
      <w:r w:rsidRPr="00DE1804">
        <w:rPr>
          <w:szCs w:val="22"/>
        </w:rPr>
        <w:t>Programme 30</w:t>
      </w:r>
      <w:r w:rsidRPr="00DE1804">
        <w:rPr>
          <w:b w:val="0"/>
          <w:szCs w:val="22"/>
        </w:rPr>
        <w:tab/>
      </w:r>
      <w:r w:rsidRPr="00DE1804">
        <w:rPr>
          <w:szCs w:val="22"/>
        </w:rPr>
        <w:t>Petites et moyennes entreprises (PME) et innovation</w:t>
      </w:r>
      <w:bookmarkEnd w:id="25"/>
    </w:p>
    <w:p w:rsidR="00D42474" w:rsidRDefault="00D42474" w:rsidP="001A5BF9">
      <w:pPr>
        <w:rPr>
          <w:sz w:val="22"/>
          <w:szCs w:val="22"/>
        </w:rPr>
      </w:pPr>
    </w:p>
    <w:p w:rsidR="00D42474" w:rsidRDefault="00784E52" w:rsidP="001A5BF9">
      <w:pPr>
        <w:ind w:left="2268" w:hanging="2268"/>
        <w:rPr>
          <w:rFonts w:cs="Arial"/>
          <w:b/>
          <w:sz w:val="22"/>
          <w:szCs w:val="22"/>
        </w:rPr>
      </w:pPr>
      <w:r w:rsidRPr="00DE1804">
        <w:rPr>
          <w:b/>
          <w:sz w:val="22"/>
          <w:szCs w:val="22"/>
        </w:rPr>
        <w:t>Chef de programme</w:t>
      </w:r>
      <w:r w:rsidRPr="00DE1804">
        <w:rPr>
          <w:b/>
          <w:sz w:val="22"/>
          <w:szCs w:val="22"/>
        </w:rPr>
        <w:tab/>
      </w:r>
      <w:r w:rsidRPr="00DE1804">
        <w:rPr>
          <w:b/>
          <w:sz w:val="22"/>
          <w:szCs w:val="22"/>
        </w:rPr>
        <w:tab/>
        <w:t>M. J.</w:t>
      </w:r>
      <w:r w:rsidR="0010442A" w:rsidRPr="00DE1804">
        <w:rPr>
          <w:b/>
          <w:sz w:val="22"/>
          <w:szCs w:val="22"/>
        </w:rPr>
        <w:t> </w:t>
      </w:r>
      <w:r w:rsidRPr="00DE1804">
        <w:rPr>
          <w:b/>
          <w:sz w:val="22"/>
          <w:szCs w:val="22"/>
        </w:rPr>
        <w:t>Pooley</w:t>
      </w:r>
    </w:p>
    <w:p w:rsidR="00D42474" w:rsidRDefault="00D42474" w:rsidP="001A5BF9">
      <w:pPr>
        <w:rPr>
          <w:rFonts w:cs="Arial"/>
          <w:sz w:val="22"/>
          <w:szCs w:val="22"/>
        </w:rPr>
      </w:pPr>
    </w:p>
    <w:p w:rsidR="00D42474" w:rsidRDefault="00D42474" w:rsidP="001A5BF9">
      <w:pPr>
        <w:rPr>
          <w:rFonts w:cs="Arial"/>
          <w:sz w:val="22"/>
          <w:szCs w:val="22"/>
        </w:rPr>
      </w:pPr>
    </w:p>
    <w:p w:rsidR="00D42474" w:rsidRDefault="00784E52" w:rsidP="001A5BF9">
      <w:pPr>
        <w:rPr>
          <w:rFonts w:cs="Arial"/>
          <w:sz w:val="22"/>
          <w:szCs w:val="22"/>
        </w:rPr>
      </w:pPr>
      <w:r w:rsidRPr="00DE1804">
        <w:rPr>
          <w:sz w:val="22"/>
          <w:szCs w:val="22"/>
        </w:rPr>
        <w:t>RÉALISATIONS EN 2012</w:t>
      </w:r>
      <w:r w:rsidR="002D6F2A" w:rsidRPr="00DE1804">
        <w:rPr>
          <w:sz w:val="22"/>
          <w:szCs w:val="22"/>
        </w:rPr>
        <w:noBreakHyphen/>
      </w:r>
      <w:r w:rsidRPr="00DE1804">
        <w:rPr>
          <w:sz w:val="22"/>
          <w:szCs w:val="22"/>
        </w:rPr>
        <w:t>2013</w:t>
      </w:r>
    </w:p>
    <w:p w:rsidR="00D42474" w:rsidRDefault="00D42474" w:rsidP="001A5BF9">
      <w:pPr>
        <w:rPr>
          <w:rFonts w:cs="Arial"/>
          <w:sz w:val="22"/>
          <w:szCs w:val="22"/>
        </w:rPr>
      </w:pPr>
    </w:p>
    <w:p w:rsidR="00D42474" w:rsidRDefault="00784E52" w:rsidP="001A5BF9">
      <w:pPr>
        <w:rPr>
          <w:rFonts w:cs="Arial"/>
          <w:sz w:val="22"/>
          <w:szCs w:val="22"/>
        </w:rPr>
      </w:pPr>
      <w:r w:rsidRPr="00DE1804">
        <w:rPr>
          <w:sz w:val="22"/>
          <w:szCs w:val="22"/>
        </w:rPr>
        <w:t>PETITES ET MOYENNES ENTREPRISES</w:t>
      </w:r>
    </w:p>
    <w:p w:rsidR="00D42474" w:rsidRDefault="00D42474" w:rsidP="001A5BF9">
      <w:pPr>
        <w:rPr>
          <w:rFonts w:cs="Arial"/>
          <w:sz w:val="22"/>
          <w:szCs w:val="22"/>
        </w:rPr>
      </w:pPr>
    </w:p>
    <w:p w:rsidR="00D42474" w:rsidRDefault="00784E52" w:rsidP="001A5BF9">
      <w:pPr>
        <w:pStyle w:val="Paragraphedeliste"/>
        <w:numPr>
          <w:ilvl w:val="0"/>
          <w:numId w:val="83"/>
        </w:numPr>
        <w:tabs>
          <w:tab w:val="left" w:pos="0"/>
          <w:tab w:val="left" w:pos="709"/>
        </w:tabs>
        <w:ind w:left="0" w:firstLine="0"/>
        <w:jc w:val="both"/>
        <w:rPr>
          <w:rFonts w:cs="Arial"/>
        </w:rPr>
      </w:pPr>
      <w:r w:rsidRPr="00DE1804">
        <w:t>Les travaux avec les offices nationaux ou régionaux de propriété intellectuelle et d</w:t>
      </w:r>
      <w:r w:rsidR="00A20444" w:rsidRPr="00DE1804">
        <w:t>’</w:t>
      </w:r>
      <w:r w:rsidRPr="00DE1804">
        <w:t>autres institutions visant à aider les entrepreneurs et</w:t>
      </w:r>
      <w:r w:rsidR="00A20444" w:rsidRPr="00DE1804">
        <w:t xml:space="preserve"> les PME</w:t>
      </w:r>
      <w:r w:rsidRPr="00DE1804">
        <w:t xml:space="preserve"> à utiliser le système de propriété intellectuelle se sont poursuivis, essentiellement par le biais de a) l</w:t>
      </w:r>
      <w:r w:rsidR="00A20444" w:rsidRPr="00DE1804">
        <w:t>’</w:t>
      </w:r>
      <w:r w:rsidRPr="00DE1804">
        <w:t>adaptation et/ou la traduction des contenus relatifs à la propriété intellectuelle à destination des entrepri</w:t>
      </w:r>
      <w:r w:rsidR="00DE1804">
        <w:t>ses dans le contexte local, et </w:t>
      </w:r>
      <w:r w:rsidRPr="00DE1804">
        <w:t xml:space="preserve">b) les programmes de formation des formateurs. </w:t>
      </w:r>
      <w:r w:rsidR="0010442A" w:rsidRPr="00DE1804">
        <w:t xml:space="preserve"> </w:t>
      </w:r>
      <w:r w:rsidRPr="00DE1804">
        <w:t>En ce qui concerne ces derniers, 29 programmes sur la gestion efficace des actifs de propriété intellectuelle par</w:t>
      </w:r>
      <w:r w:rsidR="00A20444" w:rsidRPr="00DE1804">
        <w:t xml:space="preserve"> les PME</w:t>
      </w:r>
      <w:r w:rsidRPr="00DE1804">
        <w:t xml:space="preserve"> ont été organisés, dont l</w:t>
      </w:r>
      <w:r w:rsidR="00A20444" w:rsidRPr="00DE1804">
        <w:t>’</w:t>
      </w:r>
      <w:r w:rsidRPr="00DE1804">
        <w:t>objectif premier est de constituer dans un pays déterminé un réseau national suffisant de formateurs ayant les savoirs, les compétences et l</w:t>
      </w:r>
      <w:r w:rsidR="00A20444" w:rsidRPr="00DE1804">
        <w:t>’</w:t>
      </w:r>
      <w:r w:rsidRPr="00DE1804">
        <w:t>expérience nécessaires pour fournir une assistance initiale</w:t>
      </w:r>
      <w:r w:rsidR="00A20444" w:rsidRPr="00DE1804">
        <w:t xml:space="preserve"> aux PME</w:t>
      </w:r>
      <w:r w:rsidRPr="00DE1804">
        <w:t xml:space="preserve"> en matière de gestion des actifs de propriété intellectuelle. </w:t>
      </w:r>
      <w:r w:rsidR="0010442A" w:rsidRPr="00DE1804">
        <w:t xml:space="preserve"> </w:t>
      </w:r>
      <w:r w:rsidRPr="00DE1804">
        <w:t xml:space="preserve">Plus de </w:t>
      </w:r>
      <w:r w:rsidR="0010442A" w:rsidRPr="00DE1804">
        <w:t>1525</w:t>
      </w:r>
      <w:r w:rsidRPr="00DE1804">
        <w:t> participants ont bénéficié de ces programmes.</w:t>
      </w:r>
      <w:r w:rsidR="0010442A" w:rsidRPr="00DE1804">
        <w:t xml:space="preserve"> </w:t>
      </w:r>
      <w:r w:rsidRPr="00DE1804">
        <w:t xml:space="preserve"> Le programme a également contribué à promouvoir des politiques appropriées et la cohérence des politiques de propriété intellectuelle à l</w:t>
      </w:r>
      <w:r w:rsidR="00A20444" w:rsidRPr="00DE1804">
        <w:t>’</w:t>
      </w:r>
      <w:r w:rsidRPr="00DE1804">
        <w:t>intention</w:t>
      </w:r>
      <w:r w:rsidR="00A20444" w:rsidRPr="00DE1804">
        <w:t xml:space="preserve"> des PME</w:t>
      </w:r>
      <w:r w:rsidRPr="00DE1804">
        <w:t xml:space="preserve"> aux </w:t>
      </w:r>
      <w:proofErr w:type="gramStart"/>
      <w:r w:rsidRPr="00DE1804">
        <w:t>niveaux national</w:t>
      </w:r>
      <w:proofErr w:type="gramEnd"/>
      <w:r w:rsidRPr="00DE1804">
        <w:t>, sous</w:t>
      </w:r>
      <w:r w:rsidR="002D6F2A" w:rsidRPr="00DE1804">
        <w:noBreakHyphen/>
      </w:r>
      <w:r w:rsidRPr="00DE1804">
        <w:t>régional et régional.</w:t>
      </w:r>
      <w:r w:rsidR="004F3E42" w:rsidRPr="00DE1804">
        <w:t xml:space="preserve"> </w:t>
      </w:r>
      <w:r w:rsidR="0010442A" w:rsidRPr="00DE1804">
        <w:t xml:space="preserve"> </w:t>
      </w:r>
      <w:r w:rsidRPr="00DE1804">
        <w:t>Un forum sous</w:t>
      </w:r>
      <w:r w:rsidR="002D6F2A" w:rsidRPr="00DE1804">
        <w:noBreakHyphen/>
      </w:r>
      <w:r w:rsidRPr="00DE1804">
        <w:t>régional a d</w:t>
      </w:r>
      <w:r w:rsidR="00A20444" w:rsidRPr="00DE1804">
        <w:t>’</w:t>
      </w:r>
      <w:r w:rsidRPr="00DE1804">
        <w:t>ailleurs été organisé à cette fin en Inde en 2012.</w:t>
      </w:r>
    </w:p>
    <w:p w:rsidR="00D42474" w:rsidRDefault="00D42474" w:rsidP="001A5BF9">
      <w:pPr>
        <w:pStyle w:val="Paragraphedeliste"/>
        <w:tabs>
          <w:tab w:val="left" w:pos="0"/>
          <w:tab w:val="left" w:pos="709"/>
        </w:tabs>
        <w:ind w:left="0"/>
        <w:jc w:val="both"/>
        <w:rPr>
          <w:rFonts w:cs="Arial"/>
        </w:rPr>
      </w:pPr>
    </w:p>
    <w:p w:rsidR="00D42474" w:rsidRDefault="00784E52" w:rsidP="001A5BF9">
      <w:pPr>
        <w:pStyle w:val="Paragraphedeliste"/>
        <w:numPr>
          <w:ilvl w:val="0"/>
          <w:numId w:val="83"/>
        </w:numPr>
        <w:tabs>
          <w:tab w:val="left" w:pos="0"/>
          <w:tab w:val="left" w:pos="709"/>
        </w:tabs>
        <w:ind w:left="0" w:firstLine="0"/>
        <w:jc w:val="both"/>
      </w:pPr>
      <w:r w:rsidRPr="005C7CCE">
        <w:t>De nouveaux livres sur la gestion stratégique des actifs de propriété intellectuelle, l</w:t>
      </w:r>
      <w:r w:rsidR="00A20444" w:rsidRPr="005C7CCE">
        <w:t>’</w:t>
      </w:r>
      <w:r w:rsidRPr="005C7CCE">
        <w:t>utilisation d</w:t>
      </w:r>
      <w:r w:rsidR="00A20444" w:rsidRPr="005C7CCE">
        <w:t>’</w:t>
      </w:r>
      <w:r w:rsidRPr="005C7CCE">
        <w:t>actifs incorporels aux fins de l</w:t>
      </w:r>
      <w:r w:rsidR="00A20444" w:rsidRPr="005C7CCE">
        <w:t>’</w:t>
      </w:r>
      <w:r w:rsidRPr="005C7CCE">
        <w:t>accès au marché des capitaux et les secrets d</w:t>
      </w:r>
      <w:r w:rsidR="00A20444" w:rsidRPr="005C7CCE">
        <w:t>’</w:t>
      </w:r>
      <w:r w:rsidRPr="005C7CCE">
        <w:t>affaires pour</w:t>
      </w:r>
      <w:r w:rsidR="00A20444" w:rsidRPr="005C7CCE">
        <w:t xml:space="preserve"> les PME</w:t>
      </w:r>
      <w:r w:rsidRPr="005C7CCE">
        <w:t xml:space="preserve"> ont été élaborés au cours de l</w:t>
      </w:r>
      <w:r w:rsidR="00A20444" w:rsidRPr="005C7CCE">
        <w:t>’</w:t>
      </w:r>
      <w:r w:rsidRPr="005C7CCE">
        <w:t xml:space="preserve">exercice biennal. </w:t>
      </w:r>
      <w:r w:rsidR="0010442A" w:rsidRPr="005C7CCE">
        <w:t xml:space="preserve"> </w:t>
      </w:r>
      <w:r w:rsidRPr="005C7CCE">
        <w:rPr>
          <w:i/>
        </w:rPr>
        <w:t>En bonne compagnie : la gestion des questions de propriété intellectuelle en matière de franchisage</w:t>
      </w:r>
      <w:r w:rsidRPr="005C7CCE">
        <w:t xml:space="preserve"> a été </w:t>
      </w:r>
      <w:proofErr w:type="gramStart"/>
      <w:r w:rsidRPr="005C7CCE">
        <w:t>publié</w:t>
      </w:r>
      <w:proofErr w:type="gramEnd"/>
      <w:r w:rsidRPr="005C7CCE">
        <w:t xml:space="preserve"> et traduit dans les langues officielles des </w:t>
      </w:r>
      <w:r w:rsidR="00A20444" w:rsidRPr="005C7CCE">
        <w:t>Nations Unies</w:t>
      </w:r>
      <w:r w:rsidRPr="005C7CCE">
        <w:t xml:space="preserve">. </w:t>
      </w:r>
      <w:r w:rsidR="0010442A" w:rsidRPr="005C7CCE">
        <w:t xml:space="preserve"> </w:t>
      </w:r>
      <w:r w:rsidRPr="005C7CCE">
        <w:t>Une autre nouveauté consacrée aux questions de propriété intellectuelle dans le secteur agroalimentaire est en cours d</w:t>
      </w:r>
      <w:r w:rsidR="00A20444" w:rsidRPr="005C7CCE">
        <w:t>’</w:t>
      </w:r>
      <w:r w:rsidRPr="005C7CCE">
        <w:t>achèvement, de même que les versions révisées de trois anciennes publications (</w:t>
      </w:r>
      <w:r w:rsidRPr="005C7CCE">
        <w:rPr>
          <w:i/>
        </w:rPr>
        <w:t>Créer une marque</w:t>
      </w:r>
      <w:r w:rsidRPr="005C7CCE">
        <w:t xml:space="preserve">, </w:t>
      </w:r>
      <w:r w:rsidRPr="005C7CCE">
        <w:rPr>
          <w:i/>
        </w:rPr>
        <w:t>Inventer le futur</w:t>
      </w:r>
      <w:r w:rsidRPr="005C7CCE">
        <w:t xml:space="preserve"> et </w:t>
      </w:r>
      <w:r w:rsidRPr="005C7CCE">
        <w:rPr>
          <w:i/>
        </w:rPr>
        <w:t>Une maille à l</w:t>
      </w:r>
      <w:r w:rsidR="00A20444" w:rsidRPr="005C7CCE">
        <w:rPr>
          <w:i/>
        </w:rPr>
        <w:t>’</w:t>
      </w:r>
      <w:r w:rsidRPr="005C7CCE">
        <w:rPr>
          <w:i/>
        </w:rPr>
        <w:t>endroit</w:t>
      </w:r>
      <w:r w:rsidRPr="005C7CCE">
        <w:t>).</w:t>
      </w:r>
    </w:p>
    <w:p w:rsidR="00D42474" w:rsidRDefault="00D42474" w:rsidP="001A5BF9">
      <w:pPr>
        <w:pStyle w:val="Paragraphedeliste"/>
        <w:tabs>
          <w:tab w:val="left" w:pos="0"/>
          <w:tab w:val="left" w:pos="709"/>
        </w:tabs>
        <w:ind w:left="0"/>
        <w:jc w:val="both"/>
        <w:rPr>
          <w:rFonts w:cs="Arial"/>
        </w:rPr>
      </w:pPr>
    </w:p>
    <w:p w:rsidR="00D42474" w:rsidRDefault="00784E52" w:rsidP="001A5BF9">
      <w:pPr>
        <w:pStyle w:val="Paragraphedeliste"/>
        <w:numPr>
          <w:ilvl w:val="0"/>
          <w:numId w:val="83"/>
        </w:numPr>
        <w:tabs>
          <w:tab w:val="left" w:pos="0"/>
          <w:tab w:val="left" w:pos="709"/>
        </w:tabs>
        <w:ind w:left="0" w:firstLine="0"/>
        <w:jc w:val="both"/>
        <w:rPr>
          <w:rFonts w:cs="Arial"/>
        </w:rPr>
      </w:pPr>
      <w:r w:rsidRPr="005C7CCE">
        <w:t>L</w:t>
      </w:r>
      <w:r w:rsidR="00A20444" w:rsidRPr="005C7CCE">
        <w:t>’</w:t>
      </w:r>
      <w:r w:rsidRPr="005C7CCE">
        <w:t>instrument multimédia IP </w:t>
      </w:r>
      <w:proofErr w:type="spellStart"/>
      <w:r w:rsidRPr="005C7CCE">
        <w:t>PANORAMA</w:t>
      </w:r>
      <w:r w:rsidRPr="005C7CCE">
        <w:rPr>
          <w:vertAlign w:val="superscript"/>
        </w:rPr>
        <w:t>TM</w:t>
      </w:r>
      <w:proofErr w:type="spellEnd"/>
      <w:r w:rsidRPr="005C7CCE">
        <w:t xml:space="preserve"> s</w:t>
      </w:r>
      <w:r w:rsidR="00A20444" w:rsidRPr="005C7CCE">
        <w:t>’</w:t>
      </w:r>
      <w:r w:rsidRPr="005C7CCE">
        <w:t>est enrichi d</w:t>
      </w:r>
      <w:r w:rsidR="00A20444" w:rsidRPr="005C7CCE">
        <w:t>’</w:t>
      </w:r>
      <w:r w:rsidRPr="005C7CCE">
        <w:t xml:space="preserve">un module (le treizième) dédié à la propriété intellectuelle et au franchisage. </w:t>
      </w:r>
      <w:r w:rsidR="0010442A" w:rsidRPr="005C7CCE">
        <w:t xml:space="preserve"> </w:t>
      </w:r>
      <w:r w:rsidRPr="005C7CCE">
        <w:t xml:space="preserve">IP Panorama a été traduit en albanais, espagnol, français, polonais, russe, serbe, bosniaque et croate. </w:t>
      </w:r>
      <w:r w:rsidR="0010442A" w:rsidRPr="005C7CCE">
        <w:t xml:space="preserve"> </w:t>
      </w:r>
      <w:r w:rsidRPr="005C7CCE">
        <w:t xml:space="preserve">Quelque </w:t>
      </w:r>
      <w:r w:rsidR="0010442A" w:rsidRPr="005C7CCE">
        <w:t>1251</w:t>
      </w:r>
      <w:r w:rsidR="00BD43F2">
        <w:t> </w:t>
      </w:r>
      <w:r w:rsidRPr="005C7CCE">
        <w:t>étudiants ont suivi une formation internationale à distance sur la gestion des actifs de propriété intellectuelle au service des entreprises, fondée sur l</w:t>
      </w:r>
      <w:r w:rsidR="00A20444" w:rsidRPr="005C7CCE">
        <w:t>’</w:t>
      </w:r>
      <w:r w:rsidRPr="005C7CCE">
        <w:t>instrument multimédia IP </w:t>
      </w:r>
      <w:proofErr w:type="spellStart"/>
      <w:r w:rsidRPr="005C7CCE">
        <w:t>PANORAMA</w:t>
      </w:r>
      <w:r w:rsidRPr="005C7CCE">
        <w:rPr>
          <w:vertAlign w:val="superscript"/>
        </w:rPr>
        <w:t>TM</w:t>
      </w:r>
      <w:proofErr w:type="spellEnd"/>
      <w:r w:rsidRPr="005C7CCE">
        <w:t>, et 46 étudiants ont participé ensuite à un programme sur place dans ce domaine.</w:t>
      </w:r>
    </w:p>
    <w:p w:rsidR="00D42474" w:rsidRDefault="00D42474" w:rsidP="001A5BF9">
      <w:pPr>
        <w:pStyle w:val="Paragraphedeliste"/>
        <w:tabs>
          <w:tab w:val="left" w:pos="0"/>
          <w:tab w:val="left" w:pos="709"/>
        </w:tabs>
        <w:ind w:left="0"/>
        <w:jc w:val="both"/>
        <w:rPr>
          <w:rFonts w:cs="Arial"/>
        </w:rPr>
      </w:pPr>
    </w:p>
    <w:p w:rsidR="00D42474" w:rsidRDefault="00784E52" w:rsidP="001A5BF9">
      <w:pPr>
        <w:pStyle w:val="Paragraphedeliste"/>
        <w:numPr>
          <w:ilvl w:val="0"/>
          <w:numId w:val="83"/>
        </w:numPr>
        <w:tabs>
          <w:tab w:val="left" w:pos="0"/>
          <w:tab w:val="left" w:pos="709"/>
        </w:tabs>
        <w:ind w:left="0" w:firstLine="0"/>
        <w:jc w:val="both"/>
        <w:rPr>
          <w:rFonts w:cs="Arial"/>
        </w:rPr>
      </w:pPr>
      <w:r w:rsidRPr="005C7CCE">
        <w:t>Les efforts visant directement</w:t>
      </w:r>
      <w:r w:rsidR="00A20444" w:rsidRPr="005C7CCE">
        <w:t xml:space="preserve"> les PME</w:t>
      </w:r>
      <w:r w:rsidRPr="005C7CCE">
        <w:t xml:space="preserve"> se sont poursuivis par le biais du site</w:t>
      </w:r>
      <w:r w:rsidR="0010442A" w:rsidRPr="005C7CCE">
        <w:t> </w:t>
      </w:r>
      <w:r w:rsidRPr="005C7CCE">
        <w:t>Web PME dans les six</w:t>
      </w:r>
      <w:r w:rsidR="0010442A" w:rsidRPr="005C7CCE">
        <w:t> </w:t>
      </w:r>
      <w:r w:rsidRPr="005C7CCE">
        <w:t>langues officielles de l</w:t>
      </w:r>
      <w:r w:rsidR="00A20444" w:rsidRPr="005C7CCE">
        <w:t>’</w:t>
      </w:r>
      <w:r w:rsidRPr="005C7CCE">
        <w:t>ONU et le Bulletin d</w:t>
      </w:r>
      <w:r w:rsidR="00A20444" w:rsidRPr="005C7CCE">
        <w:t>’</w:t>
      </w:r>
      <w:r w:rsidRPr="005C7CCE">
        <w:t>information PME a été adressé à plus de 40 000 abonnés dans le monde.</w:t>
      </w:r>
    </w:p>
    <w:p w:rsidR="00D42474" w:rsidRDefault="00D42474" w:rsidP="001A5BF9">
      <w:pPr>
        <w:rPr>
          <w:rFonts w:cs="Arial"/>
          <w:bCs/>
          <w:color w:val="000000"/>
          <w:szCs w:val="20"/>
        </w:rPr>
      </w:pPr>
    </w:p>
    <w:p w:rsidR="00D42474" w:rsidRDefault="00784E52" w:rsidP="001A5BF9">
      <w:pPr>
        <w:rPr>
          <w:rFonts w:cs="Arial"/>
          <w:bCs/>
          <w:caps/>
          <w:szCs w:val="20"/>
        </w:rPr>
      </w:pPr>
      <w:r w:rsidRPr="005C7CCE">
        <w:rPr>
          <w:caps/>
        </w:rPr>
        <w:t>Politique en matière d</w:t>
      </w:r>
      <w:r w:rsidR="00A20444" w:rsidRPr="005C7CCE">
        <w:rPr>
          <w:caps/>
        </w:rPr>
        <w:t>’</w:t>
      </w:r>
      <w:r w:rsidRPr="005C7CCE">
        <w:rPr>
          <w:caps/>
        </w:rPr>
        <w:t>innovation</w:t>
      </w:r>
    </w:p>
    <w:p w:rsidR="00D42474" w:rsidRDefault="00D42474" w:rsidP="001A5BF9">
      <w:pPr>
        <w:rPr>
          <w:rFonts w:cs="Arial"/>
          <w:bCs/>
          <w:szCs w:val="20"/>
        </w:rPr>
      </w:pPr>
    </w:p>
    <w:p w:rsidR="00D42474" w:rsidRDefault="00784E52" w:rsidP="001A5BF9">
      <w:pPr>
        <w:pStyle w:val="Paragraphedeliste"/>
        <w:numPr>
          <w:ilvl w:val="0"/>
          <w:numId w:val="83"/>
        </w:numPr>
        <w:tabs>
          <w:tab w:val="left" w:pos="0"/>
          <w:tab w:val="left" w:pos="709"/>
        </w:tabs>
        <w:ind w:left="0" w:firstLine="0"/>
        <w:jc w:val="both"/>
        <w:rPr>
          <w:rFonts w:cs="Arial"/>
          <w:bCs/>
        </w:rPr>
      </w:pPr>
      <w:r w:rsidRPr="005C7CCE">
        <w:t>Depuis sa création le 1er octobre 2012, la division en charge de la politique en matière d</w:t>
      </w:r>
      <w:r w:rsidR="00A20444" w:rsidRPr="005C7CCE">
        <w:t>’</w:t>
      </w:r>
      <w:r w:rsidRPr="005C7CCE">
        <w:t xml:space="preserve">innovation a posé les fondations lui permettant de poursuivre ses travaux, </w:t>
      </w:r>
      <w:r w:rsidR="00A20444" w:rsidRPr="005C7CCE">
        <w:t>à savoir</w:t>
      </w:r>
      <w:r w:rsidRPr="005C7CCE">
        <w:t xml:space="preserve"> le recensement des champs d</w:t>
      </w:r>
      <w:r w:rsidR="00A20444" w:rsidRPr="005C7CCE">
        <w:t>’</w:t>
      </w:r>
      <w:r w:rsidRPr="005C7CCE">
        <w:t>interaction entre politique d</w:t>
      </w:r>
      <w:r w:rsidR="00A20444" w:rsidRPr="005C7CCE">
        <w:t>’</w:t>
      </w:r>
      <w:r w:rsidRPr="005C7CCE">
        <w:t>innovation et propriété intellectuelle, et la création d</w:t>
      </w:r>
      <w:r w:rsidR="00A20444" w:rsidRPr="005C7CCE">
        <w:t>’</w:t>
      </w:r>
      <w:r w:rsidRPr="005C7CCE">
        <w:t>un réseau d</w:t>
      </w:r>
      <w:r w:rsidR="00A20444" w:rsidRPr="005C7CCE">
        <w:t>’</w:t>
      </w:r>
      <w:r w:rsidRPr="005C7CCE">
        <w:t xml:space="preserve">experts. </w:t>
      </w:r>
      <w:r w:rsidR="0010442A" w:rsidRPr="005C7CCE">
        <w:t xml:space="preserve"> </w:t>
      </w:r>
      <w:r w:rsidRPr="005C7CCE">
        <w:t>Lors de l</w:t>
      </w:r>
      <w:r w:rsidR="00A20444" w:rsidRPr="005C7CCE">
        <w:t>’</w:t>
      </w:r>
      <w:r w:rsidRPr="005C7CCE">
        <w:t>année 2013, un groupe d</w:t>
      </w:r>
      <w:r w:rsidR="00A20444" w:rsidRPr="005C7CCE">
        <w:t>’</w:t>
      </w:r>
      <w:r w:rsidRPr="005C7CCE">
        <w:t>experts a été convoqué à Genève pour débattre du rôle de la propriété intellectuelle dans la formulation des politiques en matière d</w:t>
      </w:r>
      <w:r w:rsidR="00A20444" w:rsidRPr="005C7CCE">
        <w:t>’</w:t>
      </w:r>
      <w:r w:rsidRPr="005C7CCE">
        <w:t>innovation et proposer la manière dont l</w:t>
      </w:r>
      <w:r w:rsidR="00A20444" w:rsidRPr="005C7CCE">
        <w:t>’</w:t>
      </w:r>
      <w:r w:rsidRPr="005C7CCE">
        <w:t>OMPI pourrait contribuer et ajouter de la valeur aux travaux existants sur la politique en matière d</w:t>
      </w:r>
      <w:r w:rsidR="00A20444" w:rsidRPr="005C7CCE">
        <w:t>’</w:t>
      </w:r>
      <w:r w:rsidRPr="005C7CCE">
        <w:t xml:space="preserve">innovation. </w:t>
      </w:r>
      <w:r w:rsidR="0010442A" w:rsidRPr="005C7CCE">
        <w:t xml:space="preserve"> </w:t>
      </w:r>
      <w:r w:rsidRPr="005C7CCE">
        <w:t>Un projet national sur l</w:t>
      </w:r>
      <w:r w:rsidR="00A20444" w:rsidRPr="005C7CCE">
        <w:t>’</w:t>
      </w:r>
      <w:r w:rsidRPr="005C7CCE">
        <w:t>intégration de la propriété intellectuelle dans la formulation des politiques en matière d</w:t>
      </w:r>
      <w:r w:rsidR="00A20444" w:rsidRPr="005C7CCE">
        <w:t>’</w:t>
      </w:r>
      <w:r w:rsidRPr="005C7CCE">
        <w:t xml:space="preserve">innovation a par conséquent été piloté pour tester une conception et une méthodologie spécifiques permettant de proposer des projets dans ce domaine. </w:t>
      </w:r>
      <w:r w:rsidR="0010442A" w:rsidRPr="005C7CCE">
        <w:t xml:space="preserve"> </w:t>
      </w:r>
      <w:r w:rsidRPr="005C7CCE">
        <w:t>Ce projet a abouti à un ensemble de recommandations exhaustives faites au gouvernement sur l</w:t>
      </w:r>
      <w:r w:rsidR="00A20444" w:rsidRPr="005C7CCE">
        <w:t>’</w:t>
      </w:r>
      <w:r w:rsidRPr="005C7CCE">
        <w:t>intégration de la propriété intellectuelle dans la formulation de ses politiques en matière d</w:t>
      </w:r>
      <w:r w:rsidR="00A20444" w:rsidRPr="005C7CCE">
        <w:t>’</w:t>
      </w:r>
      <w:r w:rsidRPr="005C7CCE">
        <w:t>innovation.</w:t>
      </w:r>
    </w:p>
    <w:p w:rsidR="00D42474" w:rsidRDefault="00D42474" w:rsidP="001A5BF9">
      <w:pPr>
        <w:autoSpaceDE w:val="0"/>
        <w:autoSpaceDN w:val="0"/>
        <w:adjustRightInd w:val="0"/>
        <w:jc w:val="both"/>
        <w:rPr>
          <w:rFonts w:cs="Arial"/>
          <w:szCs w:val="20"/>
        </w:rPr>
      </w:pPr>
    </w:p>
    <w:p w:rsidR="00D42474" w:rsidRDefault="00784E52" w:rsidP="001A5BF9">
      <w:pPr>
        <w:autoSpaceDE w:val="0"/>
        <w:autoSpaceDN w:val="0"/>
        <w:adjustRightInd w:val="0"/>
        <w:jc w:val="both"/>
        <w:rPr>
          <w:rFonts w:cs="Arial"/>
          <w:szCs w:val="20"/>
        </w:rPr>
      </w:pPr>
      <w:r w:rsidRPr="005C7CCE">
        <w:t>STRUCTURES D</w:t>
      </w:r>
      <w:r w:rsidR="00A20444" w:rsidRPr="005C7CCE">
        <w:t>’</w:t>
      </w:r>
      <w:r w:rsidRPr="005C7CCE">
        <w:t>INNOVATION</w:t>
      </w:r>
    </w:p>
    <w:p w:rsidR="00D42474" w:rsidRDefault="00D42474" w:rsidP="001A5BF9">
      <w:pPr>
        <w:autoSpaceDE w:val="0"/>
        <w:autoSpaceDN w:val="0"/>
        <w:adjustRightInd w:val="0"/>
        <w:jc w:val="both"/>
        <w:rPr>
          <w:rFonts w:cs="Arial"/>
          <w:szCs w:val="20"/>
          <w:u w:val="single"/>
        </w:rPr>
      </w:pPr>
    </w:p>
    <w:p w:rsidR="00D42474" w:rsidRDefault="00784E52" w:rsidP="001A5BF9">
      <w:pPr>
        <w:pStyle w:val="Paragraphedeliste"/>
        <w:numPr>
          <w:ilvl w:val="0"/>
          <w:numId w:val="83"/>
        </w:numPr>
        <w:tabs>
          <w:tab w:val="left" w:pos="0"/>
          <w:tab w:val="left" w:pos="709"/>
        </w:tabs>
        <w:ind w:left="0" w:firstLine="0"/>
        <w:jc w:val="both"/>
        <w:rPr>
          <w:rFonts w:cs="Arial"/>
          <w:spacing w:val="-2"/>
        </w:rPr>
      </w:pPr>
      <w:r w:rsidRPr="005C7CCE">
        <w:rPr>
          <w:spacing w:val="-2"/>
        </w:rPr>
        <w:t>Une assistance a continué d</w:t>
      </w:r>
      <w:r w:rsidR="00A20444" w:rsidRPr="005C7CCE">
        <w:rPr>
          <w:spacing w:val="-2"/>
        </w:rPr>
        <w:t>’</w:t>
      </w:r>
      <w:r w:rsidRPr="005C7CCE">
        <w:rPr>
          <w:spacing w:val="-2"/>
        </w:rPr>
        <w:t>être fournie aux pays en développement, aux pays en transition et aux PMA en matière d</w:t>
      </w:r>
      <w:r w:rsidR="00A20444" w:rsidRPr="005C7CCE">
        <w:rPr>
          <w:spacing w:val="-2"/>
        </w:rPr>
        <w:t>’</w:t>
      </w:r>
      <w:r w:rsidRPr="005C7CCE">
        <w:rPr>
          <w:spacing w:val="-2"/>
        </w:rPr>
        <w:t>amélioration de leurs structures d</w:t>
      </w:r>
      <w:r w:rsidR="00A20444" w:rsidRPr="005C7CCE">
        <w:rPr>
          <w:spacing w:val="-2"/>
        </w:rPr>
        <w:t>’</w:t>
      </w:r>
      <w:r w:rsidRPr="005C7CCE">
        <w:rPr>
          <w:spacing w:val="-2"/>
        </w:rPr>
        <w:t>innovation et de renforcement de leurs capacités à utiliser ces structures de manière propice à la création, à l</w:t>
      </w:r>
      <w:r w:rsidR="00A20444" w:rsidRPr="005C7CCE">
        <w:rPr>
          <w:spacing w:val="-2"/>
        </w:rPr>
        <w:t>’</w:t>
      </w:r>
      <w:r w:rsidRPr="005C7CCE">
        <w:rPr>
          <w:spacing w:val="-2"/>
        </w:rPr>
        <w:t>élaboration et à l</w:t>
      </w:r>
      <w:r w:rsidR="00A20444" w:rsidRPr="005C7CCE">
        <w:rPr>
          <w:spacing w:val="-2"/>
        </w:rPr>
        <w:t>’</w:t>
      </w:r>
      <w:r w:rsidRPr="005C7CCE">
        <w:rPr>
          <w:spacing w:val="-2"/>
        </w:rPr>
        <w:t xml:space="preserve">exploitation de la propriété intellectuelle au service du développement. </w:t>
      </w:r>
      <w:r w:rsidR="0010442A" w:rsidRPr="005C7CCE">
        <w:rPr>
          <w:spacing w:val="-2"/>
        </w:rPr>
        <w:t xml:space="preserve"> </w:t>
      </w:r>
      <w:r w:rsidRPr="005C7CCE">
        <w:rPr>
          <w:spacing w:val="-2"/>
        </w:rPr>
        <w:t>À ce titre, 2360 (1167 en 2012 et 1193 en 2013) fonctionnaires gouvernementaux, directeurs techniques, scientifiques et agents de brevets des pays en développement, pays en transition et PMA ont reçu des formations sur la promotion de l</w:t>
      </w:r>
      <w:r w:rsidR="00A20444" w:rsidRPr="005C7CCE">
        <w:rPr>
          <w:spacing w:val="-2"/>
        </w:rPr>
        <w:t>’</w:t>
      </w:r>
      <w:r w:rsidRPr="005C7CCE">
        <w:rPr>
          <w:spacing w:val="-2"/>
        </w:rPr>
        <w:t xml:space="preserve">innovation, le transfert de savoir et la commercialisation de la propriété intellectuelle dans les universités et les institutions de recherche et développement. </w:t>
      </w:r>
      <w:r w:rsidR="0010442A" w:rsidRPr="005C7CCE">
        <w:rPr>
          <w:spacing w:val="-2"/>
        </w:rPr>
        <w:t xml:space="preserve"> </w:t>
      </w:r>
      <w:r w:rsidRPr="005C7CCE">
        <w:rPr>
          <w:spacing w:val="-2"/>
        </w:rPr>
        <w:t>À ce titre, les programmes et projets suivants ont été mis en œuvre :</w:t>
      </w:r>
    </w:p>
    <w:p w:rsidR="00D42474" w:rsidRDefault="00D42474" w:rsidP="001A5BF9">
      <w:pPr>
        <w:autoSpaceDE w:val="0"/>
        <w:autoSpaceDN w:val="0"/>
        <w:adjustRightInd w:val="0"/>
        <w:jc w:val="both"/>
        <w:rPr>
          <w:rFonts w:cs="Arial"/>
          <w:sz w:val="16"/>
          <w:szCs w:val="20"/>
        </w:rPr>
      </w:pPr>
    </w:p>
    <w:p w:rsidR="00D42474" w:rsidRDefault="00DE1804" w:rsidP="001A5BF9">
      <w:pPr>
        <w:pStyle w:val="Paragraphedeliste"/>
        <w:numPr>
          <w:ilvl w:val="0"/>
          <w:numId w:val="82"/>
        </w:numPr>
        <w:autoSpaceDE w:val="0"/>
        <w:autoSpaceDN w:val="0"/>
        <w:adjustRightInd w:val="0"/>
        <w:jc w:val="both"/>
        <w:rPr>
          <w:rFonts w:cs="Arial"/>
        </w:rPr>
      </w:pPr>
      <w:r>
        <w:t>l</w:t>
      </w:r>
      <w:r w:rsidR="00784E52" w:rsidRPr="005C7CCE">
        <w:t>ancement de la phase II du projet thématique “Création de bureaux de transfert de technologie dans les pays arabes” en Tunisie et élaboration du rapport sur l</w:t>
      </w:r>
      <w:r w:rsidR="00A20444" w:rsidRPr="005C7CCE">
        <w:t>’</w:t>
      </w:r>
      <w:r w:rsidR="00784E52" w:rsidRPr="005C7CCE">
        <w:t>évaluation des besoins nationaux, sur la base d</w:t>
      </w:r>
      <w:r w:rsidR="00A20444" w:rsidRPr="005C7CCE">
        <w:t>’</w:t>
      </w:r>
      <w:r w:rsidR="00784E52" w:rsidRPr="005C7CCE">
        <w:t>une</w:t>
      </w:r>
      <w:r w:rsidR="004F3E42" w:rsidRPr="005C7CCE">
        <w:t xml:space="preserve"> </w:t>
      </w:r>
      <w:r w:rsidR="00784E52" w:rsidRPr="005C7CCE">
        <w:t>mission d</w:t>
      </w:r>
      <w:r w:rsidR="00A20444" w:rsidRPr="005C7CCE">
        <w:t>’</w:t>
      </w:r>
      <w:r w:rsidR="00784E52" w:rsidRPr="005C7CCE">
        <w:t>enquête d</w:t>
      </w:r>
      <w:r w:rsidR="00A20444" w:rsidRPr="005C7CCE">
        <w:t>’</w:t>
      </w:r>
      <w:r w:rsidR="00784E52" w:rsidRPr="005C7CCE">
        <w:t>experts en collaboration avec</w:t>
      </w:r>
      <w:r w:rsidR="00A20444" w:rsidRPr="005C7CCE">
        <w:t xml:space="preserve"> le CER</w:t>
      </w:r>
      <w:r w:rsidR="00784E52" w:rsidRPr="005C7CCE">
        <w:t xml:space="preserve">N. </w:t>
      </w:r>
      <w:r w:rsidR="0010442A" w:rsidRPr="005C7CCE">
        <w:t xml:space="preserve"> </w:t>
      </w:r>
      <w:r w:rsidR="00784E52" w:rsidRPr="005C7CCE">
        <w:t>Un plan d</w:t>
      </w:r>
      <w:r w:rsidR="00A20444" w:rsidRPr="005C7CCE">
        <w:t>’</w:t>
      </w:r>
      <w:r w:rsidR="00784E52" w:rsidRPr="005C7CCE">
        <w:t>action a aussi été adopté pour la Tunisie;</w:t>
      </w:r>
    </w:p>
    <w:p w:rsidR="00D42474" w:rsidRDefault="00D42474" w:rsidP="001A5BF9">
      <w:pPr>
        <w:pStyle w:val="Paragraphedeliste"/>
        <w:autoSpaceDE w:val="0"/>
        <w:autoSpaceDN w:val="0"/>
        <w:adjustRightInd w:val="0"/>
        <w:ind w:left="927" w:hanging="360"/>
        <w:jc w:val="right"/>
        <w:rPr>
          <w:rFonts w:cs="Arial"/>
        </w:rPr>
      </w:pPr>
    </w:p>
    <w:p w:rsidR="00D42474" w:rsidRDefault="00784E52" w:rsidP="001A5BF9">
      <w:pPr>
        <w:autoSpaceDE w:val="0"/>
        <w:autoSpaceDN w:val="0"/>
        <w:adjustRightInd w:val="0"/>
        <w:ind w:left="927" w:hanging="360"/>
        <w:jc w:val="both"/>
      </w:pPr>
      <w:r w:rsidRPr="005C7CCE">
        <w:t>2.</w:t>
      </w:r>
      <w:r w:rsidR="0010442A" w:rsidRPr="005C7CCE">
        <w:t xml:space="preserve"> </w:t>
      </w:r>
      <w:r w:rsidR="00DE1804">
        <w:t xml:space="preserve"> </w:t>
      </w:r>
      <w:r w:rsidR="00DE1804">
        <w:tab/>
        <w:t>p</w:t>
      </w:r>
      <w:r w:rsidRPr="005C7CCE">
        <w:t>oursuite du programme d</w:t>
      </w:r>
      <w:r w:rsidR="00A20444" w:rsidRPr="005C7CCE">
        <w:t>’</w:t>
      </w:r>
      <w:r w:rsidRPr="005C7CCE">
        <w:t>initiative universitaire en collaboration avec 27 universités de par le monde </w:t>
      </w:r>
      <w:r w:rsidR="002D6F2A" w:rsidRPr="005C7CCE">
        <w:noBreakHyphen/>
      </w:r>
      <w:r w:rsidRPr="005C7CCE">
        <w:t xml:space="preserve"> sept nouveaux rapports sur l</w:t>
      </w:r>
      <w:r w:rsidR="00A20444" w:rsidRPr="005C7CCE">
        <w:t>’</w:t>
      </w:r>
      <w:r w:rsidRPr="005C7CCE">
        <w:t>évaluation des besoins achevés (cinq universités chiliennes et deux en Géorgie);</w:t>
      </w:r>
    </w:p>
    <w:p w:rsidR="00D42474" w:rsidRDefault="00D42474" w:rsidP="001A5BF9">
      <w:pPr>
        <w:autoSpaceDE w:val="0"/>
        <w:autoSpaceDN w:val="0"/>
        <w:adjustRightInd w:val="0"/>
        <w:ind w:left="927" w:hanging="360"/>
        <w:jc w:val="both"/>
        <w:rPr>
          <w:rFonts w:cs="Arial"/>
          <w:sz w:val="16"/>
          <w:szCs w:val="20"/>
        </w:rPr>
      </w:pPr>
    </w:p>
    <w:p w:rsidR="00D42474" w:rsidRDefault="00784E52" w:rsidP="001A5BF9">
      <w:pPr>
        <w:autoSpaceDE w:val="0"/>
        <w:autoSpaceDN w:val="0"/>
        <w:adjustRightInd w:val="0"/>
        <w:ind w:left="927" w:hanging="360"/>
        <w:jc w:val="both"/>
        <w:rPr>
          <w:rFonts w:cs="Arial"/>
          <w:szCs w:val="20"/>
        </w:rPr>
      </w:pPr>
      <w:r w:rsidRPr="005C7CCE">
        <w:t>3.</w:t>
      </w:r>
      <w:r w:rsidR="0010442A" w:rsidRPr="005C7CCE">
        <w:t xml:space="preserve"> </w:t>
      </w:r>
      <w:r w:rsidR="00DE1804">
        <w:t xml:space="preserve"> </w:t>
      </w:r>
      <w:r w:rsidR="00DE1804">
        <w:tab/>
        <w:t>p</w:t>
      </w:r>
      <w:r w:rsidRPr="005C7CCE">
        <w:t>rogrammes de renforcement des capacités dans le domaine de la commercialisation de la propriété intellectuelle : 15 ateliers consacrés à la rédaction de demandes de brevet, suivis de 16 exercices d</w:t>
      </w:r>
      <w:r w:rsidR="00A20444" w:rsidRPr="005C7CCE">
        <w:t>’</w:t>
      </w:r>
      <w:r w:rsidRPr="005C7CCE">
        <w:t>entraînement à distance (400 personnes au total</w:t>
      </w:r>
      <w:proofErr w:type="gramStart"/>
      <w:r w:rsidRPr="005C7CCE">
        <w:t>),</w:t>
      </w:r>
      <w:proofErr w:type="gramEnd"/>
      <w:r w:rsidRPr="005C7CCE">
        <w:t>14 ateliers relatifs à la promotion de l</w:t>
      </w:r>
      <w:r w:rsidR="00A20444" w:rsidRPr="005C7CCE">
        <w:t>’</w:t>
      </w:r>
      <w:r w:rsidRPr="005C7CCE">
        <w:t>innovation et au transfert de technologie, quatre programmes de formation sur la concession réussie de licences de technologie, et cinq cours d</w:t>
      </w:r>
      <w:r w:rsidR="00A20444" w:rsidRPr="005C7CCE">
        <w:t>’</w:t>
      </w:r>
      <w:r w:rsidRPr="005C7CCE">
        <w:t xml:space="preserve">évaluation de la propriété intellectuelle. </w:t>
      </w:r>
      <w:r w:rsidR="0010442A" w:rsidRPr="005C7CCE">
        <w:t xml:space="preserve"> </w:t>
      </w:r>
      <w:r w:rsidRPr="005C7CCE">
        <w:t xml:space="preserve">Le programme a aussi fourni des conseils, contribué à et/ou </w:t>
      </w:r>
      <w:proofErr w:type="spellStart"/>
      <w:r w:rsidRPr="005C7CCE">
        <w:t>coorganisé</w:t>
      </w:r>
      <w:proofErr w:type="spellEnd"/>
      <w:r w:rsidRPr="005C7CCE">
        <w:t xml:space="preserve"> 17 manifestations avec d</w:t>
      </w:r>
      <w:r w:rsidR="00A20444" w:rsidRPr="005C7CCE">
        <w:t>’</w:t>
      </w:r>
      <w:r w:rsidRPr="005C7CCE">
        <w:t>autres programmes de l</w:t>
      </w:r>
      <w:r w:rsidR="00A20444" w:rsidRPr="005C7CCE">
        <w:t>’</w:t>
      </w:r>
      <w:r w:rsidRPr="005C7CCE">
        <w:t>OMPI;</w:t>
      </w:r>
    </w:p>
    <w:p w:rsidR="00D42474" w:rsidRDefault="00D42474" w:rsidP="001A5BF9">
      <w:pPr>
        <w:autoSpaceDE w:val="0"/>
        <w:autoSpaceDN w:val="0"/>
        <w:adjustRightInd w:val="0"/>
        <w:ind w:left="927" w:hanging="360"/>
        <w:jc w:val="both"/>
        <w:rPr>
          <w:rFonts w:cs="Arial"/>
          <w:sz w:val="16"/>
          <w:szCs w:val="20"/>
        </w:rPr>
      </w:pPr>
    </w:p>
    <w:p w:rsidR="00D42474" w:rsidRDefault="00784E52" w:rsidP="001A5BF9">
      <w:pPr>
        <w:autoSpaceDE w:val="0"/>
        <w:autoSpaceDN w:val="0"/>
        <w:adjustRightInd w:val="0"/>
        <w:ind w:left="927" w:hanging="360"/>
        <w:jc w:val="both"/>
      </w:pPr>
      <w:r w:rsidRPr="005C7CCE">
        <w:t xml:space="preserve">4. </w:t>
      </w:r>
      <w:r w:rsidR="0010442A" w:rsidRPr="005C7CCE">
        <w:t xml:space="preserve"> </w:t>
      </w:r>
      <w:r w:rsidR="00DE1804">
        <w:tab/>
        <w:t>c</w:t>
      </w:r>
      <w:r w:rsidRPr="005C7CCE">
        <w:t>réation de partenariats internes et externes au service de la collaboration internationale en matière de propriété intellectuelle (négociation d</w:t>
      </w:r>
      <w:r w:rsidR="00A20444" w:rsidRPr="005C7CCE">
        <w:t>’</w:t>
      </w:r>
      <w:r w:rsidRPr="005C7CCE">
        <w:t>un mémorandum d</w:t>
      </w:r>
      <w:r w:rsidR="00A20444" w:rsidRPr="005C7CCE">
        <w:t>’</w:t>
      </w:r>
      <w:r w:rsidRPr="005C7CCE">
        <w:t>accord avec le Centre commun de recherche de la Commission européenne);</w:t>
      </w:r>
      <w:r w:rsidR="004F3E42" w:rsidRPr="005C7CCE">
        <w:t xml:space="preserve"> </w:t>
      </w:r>
      <w:r w:rsidR="0010442A" w:rsidRPr="005C7CCE">
        <w:t xml:space="preserve"> </w:t>
      </w:r>
      <w:r w:rsidRPr="005C7CCE">
        <w:t>poursuite de la coopération avec le CERN au sujet du projet de transfert de technologie dans les pays de la région arabe et collaboration avec d</w:t>
      </w:r>
      <w:r w:rsidR="00A20444" w:rsidRPr="005C7CCE">
        <w:t>’</w:t>
      </w:r>
      <w:r w:rsidRPr="005C7CCE">
        <w:t xml:space="preserve">autres </w:t>
      </w:r>
      <w:r w:rsidR="00AC077A">
        <w:t>d</w:t>
      </w:r>
      <w:r w:rsidRPr="005C7CCE">
        <w:t>ivisions de l</w:t>
      </w:r>
      <w:r w:rsidR="00A20444" w:rsidRPr="005C7CCE">
        <w:t>’</w:t>
      </w:r>
      <w:r w:rsidRPr="005C7CCE">
        <w:t>OMPI sur la promotion de l</w:t>
      </w:r>
      <w:r w:rsidR="00A20444" w:rsidRPr="005C7CCE">
        <w:t>’</w:t>
      </w:r>
      <w:r w:rsidRPr="005C7CCE">
        <w:t>innovation, le recours aux formations sur le PCT et la participation régulière aux programmes de l</w:t>
      </w:r>
      <w:r w:rsidR="00A20444" w:rsidRPr="005C7CCE">
        <w:t>’</w:t>
      </w:r>
      <w:r w:rsidRPr="005C7CCE">
        <w:t>Académie de l</w:t>
      </w:r>
      <w:r w:rsidR="00A20444" w:rsidRPr="005C7CCE">
        <w:t>’</w:t>
      </w:r>
      <w:r w:rsidRPr="005C7CCE">
        <w:t>OMPI.</w:t>
      </w:r>
    </w:p>
    <w:p w:rsidR="00D42474" w:rsidRDefault="00D42474" w:rsidP="001A5BF9">
      <w:pPr>
        <w:rPr>
          <w:rFonts w:cs="Arial"/>
          <w:bCs/>
          <w:szCs w:val="20"/>
        </w:rPr>
      </w:pPr>
    </w:p>
    <w:p w:rsidR="00D42474" w:rsidRDefault="00D42474" w:rsidP="001A5BF9">
      <w:pPr>
        <w:rPr>
          <w:rFonts w:cs="Arial"/>
          <w:bCs/>
          <w:szCs w:val="20"/>
        </w:rPr>
      </w:pPr>
    </w:p>
    <w:p w:rsidR="00D42474" w:rsidRDefault="00784E52" w:rsidP="001A5BF9">
      <w:r w:rsidRPr="00DE1804">
        <w:rPr>
          <w:sz w:val="22"/>
        </w:rPr>
        <w:t>MISE EN ŒUVRE DU PLAN D</w:t>
      </w:r>
      <w:r w:rsidR="00A20444" w:rsidRPr="00DE1804">
        <w:rPr>
          <w:sz w:val="22"/>
        </w:rPr>
        <w:t>’</w:t>
      </w:r>
      <w:r w:rsidRPr="00DE1804">
        <w:rPr>
          <w:sz w:val="22"/>
        </w:rPr>
        <w:t>ACTION POUR LE DÉVELOPPEMENT</w:t>
      </w:r>
    </w:p>
    <w:p w:rsidR="00D42474" w:rsidRDefault="00D42474" w:rsidP="001A5BF9">
      <w:pPr>
        <w:autoSpaceDE w:val="0"/>
        <w:autoSpaceDN w:val="0"/>
        <w:adjustRightInd w:val="0"/>
        <w:jc w:val="both"/>
        <w:rPr>
          <w:rFonts w:cs="Arial"/>
          <w:b/>
          <w:bCs/>
          <w:szCs w:val="20"/>
        </w:rPr>
      </w:pPr>
    </w:p>
    <w:p w:rsidR="00D42474" w:rsidRDefault="00784E52" w:rsidP="001A5BF9">
      <w:pPr>
        <w:tabs>
          <w:tab w:val="left" w:pos="709"/>
        </w:tabs>
        <w:jc w:val="both"/>
        <w:rPr>
          <w:rFonts w:cs="Arial"/>
          <w:bCs/>
          <w:spacing w:val="-2"/>
          <w:szCs w:val="20"/>
        </w:rPr>
      </w:pPr>
      <w:r w:rsidRPr="00DE1804">
        <w:rPr>
          <w:spacing w:val="-2"/>
        </w:rPr>
        <w:t>30.7.</w:t>
      </w:r>
      <w:r w:rsidRPr="00DE1804">
        <w:rPr>
          <w:spacing w:val="-2"/>
        </w:rPr>
        <w:tab/>
        <w:t>Conformément aux recommandations n</w:t>
      </w:r>
      <w:r w:rsidRPr="00DE1804">
        <w:rPr>
          <w:spacing w:val="-2"/>
          <w:vertAlign w:val="superscript"/>
        </w:rPr>
        <w:t>os</w:t>
      </w:r>
      <w:r w:rsidRPr="00DE1804">
        <w:rPr>
          <w:spacing w:val="-2"/>
        </w:rPr>
        <w:t> 19, 25, 26 et 28 du Plan d</w:t>
      </w:r>
      <w:r w:rsidR="00A20444" w:rsidRPr="00DE1804">
        <w:rPr>
          <w:spacing w:val="-2"/>
        </w:rPr>
        <w:t>’</w:t>
      </w:r>
      <w:r w:rsidRPr="00DE1804">
        <w:rPr>
          <w:spacing w:val="-2"/>
        </w:rPr>
        <w:t>action pour le développement, cinq consultations régionales sur le “</w:t>
      </w:r>
      <w:r w:rsidR="00667FB3" w:rsidRPr="00DE1804">
        <w:rPr>
          <w:spacing w:val="-2"/>
        </w:rPr>
        <w:t>projet</w:t>
      </w:r>
      <w:r w:rsidRPr="00DE1804">
        <w:rPr>
          <w:spacing w:val="-2"/>
        </w:rPr>
        <w:t xml:space="preserve"> relatif à la propriété intellectuelle et au transfert de technologie : Élaborer des solutions face aux défis communs” ont eu lieu à Singapour en juillet 2012 pour la région asiatique, à Alger en janvier 2013 pour les régions africaine et arabe, à Istanbul en octobre 2013 pour les pays en transition, à Genève en novembre 2013 pour les pays développés et à Monterrey en décembre 2013 pour la région Amérique latine et Caraïbes. </w:t>
      </w:r>
      <w:r w:rsidR="0010442A" w:rsidRPr="00DE1804">
        <w:rPr>
          <w:spacing w:val="-2"/>
        </w:rPr>
        <w:t xml:space="preserve"> </w:t>
      </w:r>
      <w:r w:rsidRPr="00DE1804">
        <w:rPr>
          <w:spacing w:val="-2"/>
        </w:rPr>
        <w:t>Six études relatives aux aspects du transfert de technologie ont été lancées et cinq</w:t>
      </w:r>
      <w:r w:rsidR="0010442A" w:rsidRPr="00DE1804">
        <w:rPr>
          <w:spacing w:val="-2"/>
        </w:rPr>
        <w:t> </w:t>
      </w:r>
      <w:r w:rsidRPr="00DE1804">
        <w:rPr>
          <w:spacing w:val="-2"/>
        </w:rPr>
        <w:t>sont terminées, l</w:t>
      </w:r>
      <w:r w:rsidR="00A20444" w:rsidRPr="00DE1804">
        <w:rPr>
          <w:spacing w:val="-2"/>
        </w:rPr>
        <w:t>’</w:t>
      </w:r>
      <w:r w:rsidRPr="00DE1804">
        <w:rPr>
          <w:spacing w:val="-2"/>
        </w:rPr>
        <w:t xml:space="preserve">étape de révision par des pairs devant suivre en 2014. </w:t>
      </w:r>
      <w:r w:rsidR="0010442A" w:rsidRPr="00DE1804">
        <w:rPr>
          <w:spacing w:val="-2"/>
        </w:rPr>
        <w:t xml:space="preserve"> </w:t>
      </w:r>
      <w:r w:rsidRPr="00DE1804">
        <w:rPr>
          <w:spacing w:val="-2"/>
        </w:rPr>
        <w:t>En ce qui concerne la recommandation n°</w:t>
      </w:r>
      <w:r w:rsidR="0010442A" w:rsidRPr="00DE1804">
        <w:rPr>
          <w:spacing w:val="-2"/>
        </w:rPr>
        <w:t> </w:t>
      </w:r>
      <w:r w:rsidRPr="00DE1804">
        <w:rPr>
          <w:spacing w:val="-2"/>
        </w:rPr>
        <w:t>36, l</w:t>
      </w:r>
      <w:r w:rsidR="00A20444" w:rsidRPr="00DE1804">
        <w:rPr>
          <w:spacing w:val="-2"/>
        </w:rPr>
        <w:t>’</w:t>
      </w:r>
      <w:r w:rsidRPr="00DE1804">
        <w:rPr>
          <w:spacing w:val="-2"/>
        </w:rPr>
        <w:t>étude analytique de la taxonomie qui avait été approuvée lors de la huitième</w:t>
      </w:r>
      <w:r w:rsidR="0010442A" w:rsidRPr="00DE1804">
        <w:rPr>
          <w:spacing w:val="-2"/>
        </w:rPr>
        <w:t> </w:t>
      </w:r>
      <w:r w:rsidRPr="00DE1804">
        <w:rPr>
          <w:spacing w:val="-2"/>
        </w:rPr>
        <w:t>session</w:t>
      </w:r>
      <w:r w:rsidR="00A20444" w:rsidRPr="00DE1804">
        <w:rPr>
          <w:spacing w:val="-2"/>
        </w:rPr>
        <w:t xml:space="preserve"> du CDI</w:t>
      </w:r>
      <w:r w:rsidRPr="00DE1804">
        <w:rPr>
          <w:spacing w:val="-2"/>
        </w:rPr>
        <w:t>P a été présentée aux États membres à l</w:t>
      </w:r>
      <w:r w:rsidR="00A20444" w:rsidRPr="00DE1804">
        <w:rPr>
          <w:spacing w:val="-2"/>
        </w:rPr>
        <w:t>’</w:t>
      </w:r>
      <w:r w:rsidRPr="00DE1804">
        <w:rPr>
          <w:spacing w:val="-2"/>
        </w:rPr>
        <w:t>occasion d</w:t>
      </w:r>
      <w:r w:rsidR="00A20444" w:rsidRPr="00DE1804">
        <w:rPr>
          <w:spacing w:val="-2"/>
        </w:rPr>
        <w:t>’</w:t>
      </w:r>
      <w:r w:rsidRPr="00DE1804">
        <w:rPr>
          <w:spacing w:val="-2"/>
        </w:rPr>
        <w:t>une réunion ouverte informelle de la neuvième</w:t>
      </w:r>
      <w:r w:rsidR="0010442A" w:rsidRPr="00DE1804">
        <w:rPr>
          <w:spacing w:val="-2"/>
        </w:rPr>
        <w:t> </w:t>
      </w:r>
      <w:r w:rsidRPr="00DE1804">
        <w:rPr>
          <w:spacing w:val="-2"/>
        </w:rPr>
        <w:t>session, ainsi que dans le cadre d</w:t>
      </w:r>
      <w:r w:rsidR="00A20444" w:rsidRPr="00DE1804">
        <w:rPr>
          <w:spacing w:val="-2"/>
        </w:rPr>
        <w:t>’</w:t>
      </w:r>
      <w:r w:rsidRPr="00DE1804">
        <w:rPr>
          <w:spacing w:val="-2"/>
        </w:rPr>
        <w:t>une réunion ouverte formelle, le 1</w:t>
      </w:r>
      <w:r w:rsidR="00A20444" w:rsidRPr="00DE1804">
        <w:rPr>
          <w:spacing w:val="-2"/>
        </w:rPr>
        <w:t>8 juin 20</w:t>
      </w:r>
      <w:r w:rsidRPr="00DE1804">
        <w:rPr>
          <w:spacing w:val="-2"/>
        </w:rPr>
        <w:t>12.</w:t>
      </w:r>
      <w:r w:rsidR="0010442A" w:rsidRPr="00DE1804">
        <w:rPr>
          <w:spacing w:val="-2"/>
        </w:rPr>
        <w:t xml:space="preserve"> </w:t>
      </w:r>
      <w:r w:rsidR="004F3E42" w:rsidRPr="00DE1804">
        <w:rPr>
          <w:spacing w:val="-2"/>
        </w:rPr>
        <w:t xml:space="preserve"> </w:t>
      </w:r>
      <w:r w:rsidRPr="00DE1804">
        <w:rPr>
          <w:spacing w:val="-2"/>
        </w:rPr>
        <w:t>La réunion d</w:t>
      </w:r>
      <w:r w:rsidR="00A20444" w:rsidRPr="00DE1804">
        <w:rPr>
          <w:spacing w:val="-2"/>
        </w:rPr>
        <w:t>’</w:t>
      </w:r>
      <w:r w:rsidRPr="00DE1804">
        <w:rPr>
          <w:spacing w:val="-2"/>
        </w:rPr>
        <w:t>experts, sous la forme d</w:t>
      </w:r>
      <w:r w:rsidR="00A20444" w:rsidRPr="00DE1804">
        <w:rPr>
          <w:spacing w:val="-2"/>
        </w:rPr>
        <w:t>’</w:t>
      </w:r>
      <w:r w:rsidRPr="00DE1804">
        <w:rPr>
          <w:spacing w:val="-2"/>
        </w:rPr>
        <w:t>une conférence de l</w:t>
      </w:r>
      <w:r w:rsidR="00A20444" w:rsidRPr="00DE1804">
        <w:rPr>
          <w:spacing w:val="-2"/>
        </w:rPr>
        <w:t>’</w:t>
      </w:r>
      <w:r w:rsidRPr="00DE1804">
        <w:rPr>
          <w:spacing w:val="-2"/>
        </w:rPr>
        <w:t>OMPI sur l</w:t>
      </w:r>
      <w:r w:rsidR="00A20444" w:rsidRPr="00DE1804">
        <w:rPr>
          <w:spacing w:val="-2"/>
        </w:rPr>
        <w:t>’</w:t>
      </w:r>
      <w:r w:rsidRPr="00DE1804">
        <w:rPr>
          <w:spacing w:val="-2"/>
        </w:rPr>
        <w:t>innovation ouverte : projets de collaboration et avenir du savoir, a été préparée en 2013 et s</w:t>
      </w:r>
      <w:r w:rsidR="00A20444" w:rsidRPr="00DE1804">
        <w:rPr>
          <w:spacing w:val="-2"/>
        </w:rPr>
        <w:t>’</w:t>
      </w:r>
      <w:r w:rsidRPr="00DE1804">
        <w:rPr>
          <w:spacing w:val="-2"/>
        </w:rPr>
        <w:t xml:space="preserve">est déroulée début 2014. </w:t>
      </w:r>
      <w:r w:rsidR="0010442A" w:rsidRPr="00DE1804">
        <w:rPr>
          <w:spacing w:val="-2"/>
        </w:rPr>
        <w:t xml:space="preserve"> </w:t>
      </w:r>
      <w:r w:rsidRPr="00DE1804">
        <w:rPr>
          <w:spacing w:val="-2"/>
        </w:rPr>
        <w:t xml:space="preserve">Enfin, les travaux ont </w:t>
      </w:r>
      <w:proofErr w:type="spellStart"/>
      <w:r w:rsidRPr="00DE1804">
        <w:rPr>
          <w:spacing w:val="-2"/>
        </w:rPr>
        <w:t>début</w:t>
      </w:r>
      <w:proofErr w:type="spellEnd"/>
      <w:r w:rsidRPr="00DE1804">
        <w:rPr>
          <w:spacing w:val="-2"/>
        </w:rPr>
        <w:t xml:space="preserve"> sur l</w:t>
      </w:r>
      <w:r w:rsidR="00A20444" w:rsidRPr="00DE1804">
        <w:rPr>
          <w:spacing w:val="-2"/>
        </w:rPr>
        <w:t>’</w:t>
      </w:r>
      <w:r w:rsidRPr="00DE1804">
        <w:rPr>
          <w:spacing w:val="-2"/>
        </w:rPr>
        <w:t>étude d</w:t>
      </w:r>
      <w:r w:rsidR="00A20444" w:rsidRPr="00DE1804">
        <w:rPr>
          <w:spacing w:val="-2"/>
        </w:rPr>
        <w:t>’</w:t>
      </w:r>
      <w:r w:rsidRPr="00DE1804">
        <w:rPr>
          <w:spacing w:val="-2"/>
        </w:rPr>
        <w:t>évaluation approfondie et le contenu de la plate</w:t>
      </w:r>
      <w:r w:rsidR="002D6F2A" w:rsidRPr="00DE1804">
        <w:rPr>
          <w:spacing w:val="-2"/>
        </w:rPr>
        <w:noBreakHyphen/>
      </w:r>
      <w:r w:rsidRPr="00DE1804">
        <w:rPr>
          <w:spacing w:val="-2"/>
        </w:rPr>
        <w:t>forme interactive.</w:t>
      </w:r>
    </w:p>
    <w:p w:rsidR="00D42474" w:rsidRDefault="00D42474" w:rsidP="001A5BF9">
      <w:pPr>
        <w:jc w:val="both"/>
        <w:rPr>
          <w:rFonts w:cs="Arial"/>
          <w:szCs w:val="20"/>
        </w:rPr>
      </w:pPr>
    </w:p>
    <w:p w:rsidR="00D42474" w:rsidRDefault="00784E52" w:rsidP="001A5BF9">
      <w:pPr>
        <w:tabs>
          <w:tab w:val="left" w:pos="709"/>
        </w:tabs>
        <w:jc w:val="both"/>
      </w:pPr>
      <w:r w:rsidRPr="00DE1804">
        <w:t>30.8.</w:t>
      </w:r>
      <w:r w:rsidRPr="00DE1804">
        <w:tab/>
        <w:t>En outre, au cours de l</w:t>
      </w:r>
      <w:r w:rsidR="00A20444" w:rsidRPr="00DE1804">
        <w:t>’</w:t>
      </w:r>
      <w:r w:rsidRPr="00DE1804">
        <w:t>exercice biennal et conformément aux recommandations 1, 4, 10 et 11 du Plan d</w:t>
      </w:r>
      <w:r w:rsidR="00A20444" w:rsidRPr="00DE1804">
        <w:t>’</w:t>
      </w:r>
      <w:r w:rsidRPr="00DE1804">
        <w:t>action pour le développement, des activités ont permis de faire mieux connaître</w:t>
      </w:r>
      <w:r w:rsidR="00A20444" w:rsidRPr="00DE1804">
        <w:t xml:space="preserve"> aux PME</w:t>
      </w:r>
      <w:r w:rsidRPr="00DE1804">
        <w:t xml:space="preserve"> les possibilités offertes par le système de la propriété intellectuelle, essentiellement par le biais de 29 programmes de formation des formateurs consacrés à la gestion de la propriété intellectuelle par les PME qui ont été proposés à la demande des États membres de plusieurs régions, pour transmettre des connaissances et des compétences en matière de gestion de la propriété intellectuelle à quelque </w:t>
      </w:r>
      <w:r w:rsidR="0010442A" w:rsidRPr="00DE1804">
        <w:t>1525</w:t>
      </w:r>
      <w:r w:rsidRPr="00DE1804">
        <w:t> participants provenant de PME et de structures d</w:t>
      </w:r>
      <w:r w:rsidR="00A20444" w:rsidRPr="00DE1804">
        <w:t>’</w:t>
      </w:r>
      <w:r w:rsidRPr="00DE1804">
        <w:t>appui des PME.</w:t>
      </w:r>
      <w:r w:rsidR="0010442A" w:rsidRPr="00DE1804">
        <w:t xml:space="preserve"> </w:t>
      </w:r>
      <w:r w:rsidRPr="00DE1804">
        <w:t xml:space="preserve"> Les contenus relatifs à la propriété intellectuelle à destination des entreprises ont également été traduits et adaptés au contexte local. </w:t>
      </w:r>
      <w:r w:rsidR="0010442A" w:rsidRPr="00DE1804">
        <w:t xml:space="preserve"> </w:t>
      </w:r>
      <w:r w:rsidRPr="00DE1804">
        <w:t>Les offices de propriété intellectuelle et les chambres de commerce des États membres concernés ont été associés de très près à la planification et ont joué un rôle moteur et apporté des contributions substantielles durant les phases d</w:t>
      </w:r>
      <w:r w:rsidR="00A20444" w:rsidRPr="00DE1804">
        <w:t>’</w:t>
      </w:r>
      <w:r w:rsidRPr="00DE1804">
        <w:t>élaboration et de mise en œuvre des programmes, y compris dans la sélection des conférenciers internationaux et locaux et des thèmes des programmes.</w:t>
      </w:r>
      <w:r w:rsidR="004F3E42" w:rsidRPr="00DE1804">
        <w:t xml:space="preserve"> </w:t>
      </w:r>
      <w:r w:rsidR="0010442A" w:rsidRPr="00DE1804">
        <w:t xml:space="preserve"> </w:t>
      </w:r>
      <w:r w:rsidRPr="00DE1804">
        <w:t>Par ailleurs, l</w:t>
      </w:r>
      <w:r w:rsidR="00A20444" w:rsidRPr="00DE1804">
        <w:t>’</w:t>
      </w:r>
      <w:r w:rsidRPr="00DE1804">
        <w:t>instrument multimédia IP </w:t>
      </w:r>
      <w:proofErr w:type="spellStart"/>
      <w:r w:rsidRPr="00DE1804">
        <w:t>PANORAMA</w:t>
      </w:r>
      <w:r w:rsidRPr="00DE1804">
        <w:rPr>
          <w:vertAlign w:val="superscript"/>
        </w:rPr>
        <w:t>TM</w:t>
      </w:r>
      <w:proofErr w:type="spellEnd"/>
      <w:r w:rsidRPr="00DE1804">
        <w:t xml:space="preserve"> s</w:t>
      </w:r>
      <w:r w:rsidR="00A20444" w:rsidRPr="00DE1804">
        <w:t>’</w:t>
      </w:r>
      <w:r w:rsidRPr="00DE1804">
        <w:t>est enrichi d</w:t>
      </w:r>
      <w:r w:rsidR="00A20444" w:rsidRPr="00DE1804">
        <w:t>’</w:t>
      </w:r>
      <w:r w:rsidRPr="00DE1804">
        <w:t xml:space="preserve">un module intitulé “Propriété intellectuelle et franchisage” et de traductions en albanais, français, espagnol, polonais, russe, serbe, bosniaque et croate. </w:t>
      </w:r>
      <w:r w:rsidR="0010442A" w:rsidRPr="00DE1804">
        <w:t xml:space="preserve"> </w:t>
      </w:r>
      <w:r w:rsidRPr="00DE1804">
        <w:t>Quelque 1251 étudiants ont suivi une formation internationale à distance sur la gestion des actifs de propriété intellectuelle au service des entreprises, fondée sur l</w:t>
      </w:r>
      <w:r w:rsidR="00A20444" w:rsidRPr="00DE1804">
        <w:t>’</w:t>
      </w:r>
      <w:r w:rsidRPr="00DE1804">
        <w:t xml:space="preserve">instrument multimédia IP </w:t>
      </w:r>
      <w:proofErr w:type="spellStart"/>
      <w:r w:rsidRPr="00DE1804">
        <w:t>PANORAMATM</w:t>
      </w:r>
      <w:proofErr w:type="spellEnd"/>
      <w:r w:rsidRPr="00DE1804">
        <w:t>, et 46 étudiants ont participé ensuite à un programme sur place dans ce domaine.</w:t>
      </w:r>
    </w:p>
    <w:p w:rsidR="00D42474" w:rsidRDefault="00D42474" w:rsidP="001A5BF9">
      <w:pPr>
        <w:rPr>
          <w:rFonts w:cs="Arial"/>
          <w:bCs/>
          <w:szCs w:val="20"/>
        </w:rPr>
      </w:pPr>
    </w:p>
    <w:p w:rsidR="00D42474" w:rsidRDefault="00D42474" w:rsidP="001A5BF9">
      <w:pPr>
        <w:rPr>
          <w:rFonts w:cs="Arial"/>
          <w:szCs w:val="20"/>
        </w:rPr>
      </w:pPr>
    </w:p>
    <w:p w:rsidR="00D42474" w:rsidRDefault="00784E52" w:rsidP="001A5BF9">
      <w:pPr>
        <w:jc w:val="both"/>
        <w:rPr>
          <w:rFonts w:cs="Arial"/>
          <w:szCs w:val="20"/>
        </w:rPr>
      </w:pPr>
      <w:r w:rsidRPr="00DE1804">
        <w:rPr>
          <w:sz w:val="22"/>
        </w:rPr>
        <w:t>DONNÉES RELATIVES À L</w:t>
      </w:r>
      <w:r w:rsidR="00A20444" w:rsidRPr="00DE1804">
        <w:rPr>
          <w:sz w:val="22"/>
        </w:rPr>
        <w:t>’</w:t>
      </w:r>
      <w:r w:rsidRPr="00DE1804">
        <w:rPr>
          <w:sz w:val="22"/>
        </w:rPr>
        <w:t>EXÉCUTION</w:t>
      </w:r>
    </w:p>
    <w:p w:rsidR="00784E52" w:rsidRPr="00DE1804" w:rsidRDefault="00784E52" w:rsidP="001A5BF9">
      <w:pPr>
        <w:rPr>
          <w:rFonts w:cs="Arial"/>
          <w:b/>
          <w:sz w:val="16"/>
          <w:szCs w:val="16"/>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4"/>
        <w:gridCol w:w="103"/>
        <w:gridCol w:w="1454"/>
        <w:gridCol w:w="84"/>
        <w:gridCol w:w="1332"/>
        <w:gridCol w:w="6"/>
        <w:gridCol w:w="408"/>
        <w:gridCol w:w="3131"/>
        <w:gridCol w:w="7"/>
        <w:gridCol w:w="198"/>
        <w:gridCol w:w="1070"/>
      </w:tblGrid>
      <w:tr w:rsidR="00DE1804" w:rsidRPr="00DE1804" w:rsidTr="00BB3F3E">
        <w:trPr>
          <w:cantSplit/>
        </w:trPr>
        <w:tc>
          <w:tcPr>
            <w:tcW w:w="5000" w:type="pct"/>
            <w:gridSpan w:val="11"/>
            <w:tcBorders>
              <w:top w:val="single" w:sz="4" w:space="0" w:color="auto"/>
              <w:bottom w:val="single" w:sz="4" w:space="0" w:color="auto"/>
            </w:tcBorders>
            <w:shd w:val="clear" w:color="auto" w:fill="CCFFFF"/>
            <w:vAlign w:val="center"/>
          </w:tcPr>
          <w:p w:rsidR="00784E52" w:rsidRPr="00DE1804" w:rsidRDefault="00784E52" w:rsidP="001A5BF9">
            <w:pPr>
              <w:keepNext/>
              <w:keepLines/>
              <w:tabs>
                <w:tab w:val="left" w:pos="1452"/>
              </w:tabs>
              <w:spacing w:before="120" w:after="120"/>
              <w:ind w:left="1701" w:hanging="1701"/>
              <w:rPr>
                <w:rFonts w:cs="Arial"/>
                <w:b/>
                <w:bCs/>
                <w:sz w:val="16"/>
                <w:szCs w:val="16"/>
              </w:rPr>
            </w:pPr>
            <w:r w:rsidRPr="00DE1804">
              <w:rPr>
                <w:b/>
                <w:sz w:val="16"/>
              </w:rPr>
              <w:t>Résultat escompté</w:t>
            </w:r>
            <w:r w:rsidR="0010442A" w:rsidRPr="00DE1804">
              <w:rPr>
                <w:b/>
                <w:sz w:val="16"/>
              </w:rPr>
              <w:t xml:space="preserve"> : </w:t>
            </w:r>
            <w:r w:rsidRPr="00DE1804">
              <w:rPr>
                <w:b/>
                <w:sz w:val="16"/>
              </w:rPr>
              <w:tab/>
            </w:r>
            <w:r w:rsidRPr="00DE1804">
              <w:rPr>
                <w:sz w:val="16"/>
              </w:rPr>
              <w:t>Amélioration de l</w:t>
            </w:r>
            <w:r w:rsidR="00A20444" w:rsidRPr="00DE1804">
              <w:rPr>
                <w:sz w:val="16"/>
              </w:rPr>
              <w:t>’</w:t>
            </w:r>
            <w:r w:rsidRPr="00DE1804">
              <w:rPr>
                <w:sz w:val="16"/>
              </w:rPr>
              <w:t>accès aux informations et au savoir en matière de propriété intellectuelle et leur utilisation par les institutions de propriété intellectuelle et le public au service de l</w:t>
            </w:r>
            <w:r w:rsidR="00A20444" w:rsidRPr="00DE1804">
              <w:rPr>
                <w:sz w:val="16"/>
              </w:rPr>
              <w:t>’</w:t>
            </w:r>
            <w:r w:rsidRPr="00DE1804">
              <w:rPr>
                <w:sz w:val="16"/>
              </w:rPr>
              <w:t>innovation, et facilité d</w:t>
            </w:r>
            <w:r w:rsidR="00A20444" w:rsidRPr="00DE1804">
              <w:rPr>
                <w:sz w:val="16"/>
              </w:rPr>
              <w:t>’</w:t>
            </w:r>
            <w:r w:rsidRPr="00DE1804">
              <w:rPr>
                <w:sz w:val="16"/>
              </w:rPr>
              <w:t>accès aux œuvres créatives protégées et aux œuvres créatives tombées dans le domaine public</w:t>
            </w:r>
          </w:p>
        </w:tc>
      </w:tr>
      <w:tr w:rsidR="00DE1804" w:rsidRPr="00DE1804" w:rsidTr="006D16B6">
        <w:trPr>
          <w:cantSplit/>
        </w:trPr>
        <w:tc>
          <w:tcPr>
            <w:tcW w:w="835" w:type="pct"/>
            <w:tcBorders>
              <w:top w:val="single" w:sz="4" w:space="0" w:color="auto"/>
            </w:tcBorders>
            <w:vAlign w:val="center"/>
          </w:tcPr>
          <w:p w:rsidR="00784E52" w:rsidRPr="00DE1804" w:rsidRDefault="00784E52" w:rsidP="001A5BF9">
            <w:pPr>
              <w:rPr>
                <w:rFonts w:cs="Arial"/>
                <w:sz w:val="16"/>
                <w:szCs w:val="16"/>
              </w:rPr>
            </w:pPr>
            <w:r w:rsidRPr="00DE1804">
              <w:rPr>
                <w:b/>
                <w:sz w:val="16"/>
              </w:rPr>
              <w:t>Indicateurs d</w:t>
            </w:r>
            <w:r w:rsidR="00A20444" w:rsidRPr="00DE1804">
              <w:rPr>
                <w:b/>
                <w:sz w:val="16"/>
              </w:rPr>
              <w:t>’</w:t>
            </w:r>
            <w:r w:rsidRPr="00DE1804">
              <w:rPr>
                <w:b/>
                <w:sz w:val="16"/>
              </w:rPr>
              <w:t>exécution</w:t>
            </w:r>
          </w:p>
        </w:tc>
        <w:tc>
          <w:tcPr>
            <w:tcW w:w="832" w:type="pct"/>
            <w:gridSpan w:val="2"/>
            <w:tcBorders>
              <w:top w:val="single" w:sz="4" w:space="0" w:color="auto"/>
            </w:tcBorders>
            <w:shd w:val="clear" w:color="auto" w:fill="auto"/>
            <w:vAlign w:val="center"/>
          </w:tcPr>
          <w:p w:rsidR="00784E52" w:rsidRPr="00DE1804" w:rsidRDefault="00784E52" w:rsidP="001A5BF9">
            <w:pPr>
              <w:rPr>
                <w:rFonts w:cs="Arial"/>
                <w:b/>
                <w:bCs/>
                <w:sz w:val="16"/>
                <w:szCs w:val="16"/>
              </w:rPr>
            </w:pPr>
            <w:r w:rsidRPr="00DE1804">
              <w:rPr>
                <w:b/>
                <w:sz w:val="16"/>
              </w:rPr>
              <w:t>Niveaux de référence</w:t>
            </w:r>
          </w:p>
        </w:tc>
        <w:tc>
          <w:tcPr>
            <w:tcW w:w="760" w:type="pct"/>
            <w:gridSpan w:val="3"/>
            <w:tcBorders>
              <w:top w:val="single" w:sz="4" w:space="0" w:color="auto"/>
            </w:tcBorders>
            <w:tcMar>
              <w:top w:w="110" w:type="dxa"/>
            </w:tcMar>
            <w:vAlign w:val="center"/>
          </w:tcPr>
          <w:p w:rsidR="00784E52" w:rsidRPr="00DE1804" w:rsidRDefault="00784E52" w:rsidP="001A5BF9">
            <w:pPr>
              <w:rPr>
                <w:rFonts w:cs="Arial"/>
                <w:b/>
                <w:sz w:val="16"/>
                <w:szCs w:val="16"/>
              </w:rPr>
            </w:pPr>
            <w:r w:rsidRPr="00DE1804">
              <w:rPr>
                <w:b/>
                <w:sz w:val="16"/>
              </w:rPr>
              <w:t>Objectifs visés</w:t>
            </w:r>
          </w:p>
        </w:tc>
        <w:tc>
          <w:tcPr>
            <w:tcW w:w="1895" w:type="pct"/>
            <w:gridSpan w:val="3"/>
            <w:tcBorders>
              <w:top w:val="single" w:sz="4" w:space="0" w:color="auto"/>
            </w:tcBorders>
            <w:shd w:val="clear" w:color="auto" w:fill="FFFFFF"/>
            <w:tcMar>
              <w:top w:w="110" w:type="dxa"/>
            </w:tcMar>
            <w:vAlign w:val="center"/>
          </w:tcPr>
          <w:p w:rsidR="00784E52" w:rsidRPr="00DE1804" w:rsidRDefault="00784E52" w:rsidP="001A5BF9">
            <w:pPr>
              <w:rPr>
                <w:rFonts w:cs="Arial"/>
                <w:sz w:val="16"/>
                <w:szCs w:val="16"/>
              </w:rPr>
            </w:pPr>
            <w:r w:rsidRPr="00DE1804">
              <w:rPr>
                <w:b/>
                <w:sz w:val="16"/>
              </w:rPr>
              <w:t>Données relatives à l</w:t>
            </w:r>
            <w:r w:rsidR="00A20444" w:rsidRPr="00DE1804">
              <w:rPr>
                <w:b/>
                <w:sz w:val="16"/>
              </w:rPr>
              <w:t>’</w:t>
            </w:r>
            <w:r w:rsidRPr="00DE1804">
              <w:rPr>
                <w:b/>
                <w:sz w:val="16"/>
              </w:rPr>
              <w:t>exécution</w:t>
            </w:r>
          </w:p>
        </w:tc>
        <w:tc>
          <w:tcPr>
            <w:tcW w:w="678" w:type="pct"/>
            <w:gridSpan w:val="2"/>
            <w:tcBorders>
              <w:top w:val="single" w:sz="4" w:space="0" w:color="auto"/>
            </w:tcBorders>
            <w:tcMar>
              <w:top w:w="110" w:type="dxa"/>
            </w:tcMar>
            <w:vAlign w:val="center"/>
          </w:tcPr>
          <w:p w:rsidR="00784E52" w:rsidRPr="00DE1804" w:rsidRDefault="00784E52" w:rsidP="001A5BF9">
            <w:pPr>
              <w:keepNext/>
              <w:keepLines/>
              <w:jc w:val="center"/>
              <w:rPr>
                <w:rFonts w:cs="Arial"/>
                <w:b/>
                <w:bCs/>
                <w:sz w:val="16"/>
                <w:szCs w:val="16"/>
              </w:rPr>
            </w:pPr>
            <w:r w:rsidRPr="00DE1804">
              <w:rPr>
                <w:b/>
                <w:sz w:val="16"/>
              </w:rPr>
              <w:t>Code de couleurs</w:t>
            </w:r>
          </w:p>
        </w:tc>
      </w:tr>
      <w:tr w:rsidR="00784E52" w:rsidRPr="005C7CCE" w:rsidTr="006D16B6">
        <w:trPr>
          <w:cantSplit/>
        </w:trPr>
        <w:tc>
          <w:tcPr>
            <w:tcW w:w="835" w:type="pct"/>
            <w:tcBorders>
              <w:bottom w:val="single" w:sz="4" w:space="0" w:color="auto"/>
            </w:tcBorders>
          </w:tcPr>
          <w:p w:rsidR="00784E52" w:rsidRPr="00DE1804" w:rsidRDefault="00784E52" w:rsidP="001A5BF9">
            <w:pPr>
              <w:rPr>
                <w:rFonts w:cs="Arial"/>
                <w:sz w:val="16"/>
                <w:szCs w:val="16"/>
              </w:rPr>
            </w:pPr>
            <w:r w:rsidRPr="00DE1804">
              <w:rPr>
                <w:sz w:val="16"/>
              </w:rPr>
              <w:t>Nombre d</w:t>
            </w:r>
            <w:r w:rsidR="00A20444" w:rsidRPr="00DE1804">
              <w:rPr>
                <w:sz w:val="16"/>
              </w:rPr>
              <w:t>’</w:t>
            </w:r>
            <w:r w:rsidRPr="00DE1804">
              <w:rPr>
                <w:sz w:val="16"/>
              </w:rPr>
              <w:t>États membres qui ont élaboré leur cadre de propriété intellectuelle et établi des bureaux de transfert de technologie</w:t>
            </w:r>
          </w:p>
        </w:tc>
        <w:tc>
          <w:tcPr>
            <w:tcW w:w="832" w:type="pct"/>
            <w:gridSpan w:val="2"/>
            <w:tcBorders>
              <w:bottom w:val="single" w:sz="4" w:space="0" w:color="auto"/>
            </w:tcBorders>
            <w:shd w:val="clear" w:color="auto" w:fill="auto"/>
          </w:tcPr>
          <w:p w:rsidR="00784E52" w:rsidRPr="00DE1804" w:rsidRDefault="00667FB3" w:rsidP="001A5BF9">
            <w:pPr>
              <w:rPr>
                <w:rFonts w:cs="Arial"/>
                <w:sz w:val="16"/>
                <w:szCs w:val="16"/>
                <w:lang w:bidi="th-TH"/>
              </w:rPr>
            </w:pPr>
            <w:r w:rsidRPr="00DE1804">
              <w:rPr>
                <w:sz w:val="16"/>
              </w:rPr>
              <w:t>projet</w:t>
            </w:r>
            <w:r w:rsidR="00784E52" w:rsidRPr="00DE1804">
              <w:rPr>
                <w:sz w:val="16"/>
              </w:rPr>
              <w:t xml:space="preserve"> pilote de cadre adopté et financement alloué</w:t>
            </w:r>
          </w:p>
        </w:tc>
        <w:tc>
          <w:tcPr>
            <w:tcW w:w="760" w:type="pct"/>
            <w:gridSpan w:val="3"/>
            <w:tcBorders>
              <w:bottom w:val="single" w:sz="4" w:space="0" w:color="auto"/>
            </w:tcBorders>
            <w:tcMar>
              <w:top w:w="110" w:type="dxa"/>
            </w:tcMar>
          </w:tcPr>
          <w:p w:rsidR="00784E52" w:rsidRPr="005C7CCE" w:rsidRDefault="00784E52" w:rsidP="001A5BF9">
            <w:pPr>
              <w:rPr>
                <w:rFonts w:cs="Arial"/>
                <w:sz w:val="16"/>
                <w:szCs w:val="16"/>
                <w:lang w:bidi="th-TH"/>
              </w:rPr>
            </w:pPr>
            <w:r w:rsidRPr="005C7CCE">
              <w:rPr>
                <w:sz w:val="16"/>
              </w:rPr>
              <w:t>Huit bureaux de transfert de technologie</w:t>
            </w:r>
          </w:p>
        </w:tc>
        <w:tc>
          <w:tcPr>
            <w:tcW w:w="1895" w:type="pct"/>
            <w:gridSpan w:val="3"/>
            <w:tcBorders>
              <w:bottom w:val="single" w:sz="4" w:space="0" w:color="auto"/>
            </w:tcBorders>
            <w:shd w:val="clear" w:color="auto" w:fill="FFFFFF"/>
            <w:tcMar>
              <w:top w:w="110" w:type="dxa"/>
            </w:tcMar>
          </w:tcPr>
          <w:p w:rsidR="00D42474" w:rsidRDefault="00784E52" w:rsidP="001A5BF9">
            <w:pPr>
              <w:rPr>
                <w:rFonts w:cs="Arial"/>
                <w:sz w:val="16"/>
                <w:szCs w:val="16"/>
                <w:lang w:bidi="th-TH"/>
              </w:rPr>
            </w:pPr>
            <w:r w:rsidRPr="005C7CCE">
              <w:rPr>
                <w:sz w:val="16"/>
              </w:rPr>
              <w:t>Les universités/institutions suivantes ont bénéficié d</w:t>
            </w:r>
            <w:r w:rsidR="00A20444" w:rsidRPr="005C7CCE">
              <w:rPr>
                <w:sz w:val="16"/>
              </w:rPr>
              <w:t>’</w:t>
            </w:r>
            <w:r w:rsidRPr="005C7CCE">
              <w:rPr>
                <w:sz w:val="16"/>
              </w:rPr>
              <w:t>une assistance directe pour développer un écosystème, une politique et une infrastructure de transfert de connaissance : i)</w:t>
            </w:r>
            <w:r w:rsidR="0010442A" w:rsidRPr="005C7CCE">
              <w:rPr>
                <w:sz w:val="16"/>
              </w:rPr>
              <w:t xml:space="preserve"> </w:t>
            </w:r>
            <w:r w:rsidRPr="005C7CCE">
              <w:rPr>
                <w:sz w:val="16"/>
              </w:rPr>
              <w:t>cinq</w:t>
            </w:r>
            <w:r w:rsidR="0010442A" w:rsidRPr="005C7CCE">
              <w:rPr>
                <w:sz w:val="16"/>
              </w:rPr>
              <w:t> </w:t>
            </w:r>
            <w:r w:rsidRPr="005C7CCE">
              <w:rPr>
                <w:sz w:val="16"/>
              </w:rPr>
              <w:t>au Chili : Institut national de recherche agraire (INA);</w:t>
            </w:r>
            <w:r w:rsidR="004F3E42" w:rsidRPr="005C7CCE">
              <w:rPr>
                <w:sz w:val="16"/>
              </w:rPr>
              <w:t xml:space="preserve"> </w:t>
            </w:r>
            <w:r w:rsidR="0010442A" w:rsidRPr="005C7CCE">
              <w:rPr>
                <w:sz w:val="16"/>
              </w:rPr>
              <w:t xml:space="preserve"> </w:t>
            </w:r>
            <w:r w:rsidRPr="005C7CCE">
              <w:rPr>
                <w:sz w:val="16"/>
              </w:rPr>
              <w:t>Université catholique pontificale du Chili (Santiago);</w:t>
            </w:r>
            <w:r w:rsidR="004F3E42" w:rsidRPr="005C7CCE">
              <w:rPr>
                <w:sz w:val="16"/>
              </w:rPr>
              <w:t xml:space="preserve"> </w:t>
            </w:r>
            <w:r w:rsidR="0010442A" w:rsidRPr="005C7CCE">
              <w:rPr>
                <w:sz w:val="16"/>
              </w:rPr>
              <w:t xml:space="preserve"> </w:t>
            </w:r>
            <w:r w:rsidRPr="005C7CCE">
              <w:rPr>
                <w:sz w:val="16"/>
              </w:rPr>
              <w:t>Université de Concepción;</w:t>
            </w:r>
            <w:r w:rsidR="004F3E42" w:rsidRPr="005C7CCE">
              <w:rPr>
                <w:sz w:val="16"/>
              </w:rPr>
              <w:t xml:space="preserve"> </w:t>
            </w:r>
            <w:r w:rsidR="0010442A" w:rsidRPr="005C7CCE">
              <w:rPr>
                <w:sz w:val="16"/>
              </w:rPr>
              <w:t xml:space="preserve"> </w:t>
            </w:r>
            <w:r w:rsidRPr="005C7CCE">
              <w:rPr>
                <w:sz w:val="16"/>
              </w:rPr>
              <w:t xml:space="preserve">Université catholique pontificale de Valparaiso et Université de La </w:t>
            </w:r>
            <w:proofErr w:type="spellStart"/>
            <w:r w:rsidRPr="005C7CCE">
              <w:rPr>
                <w:sz w:val="16"/>
              </w:rPr>
              <w:t>Frontera</w:t>
            </w:r>
            <w:proofErr w:type="spellEnd"/>
            <w:r w:rsidRPr="005C7CCE">
              <w:rPr>
                <w:sz w:val="16"/>
              </w:rPr>
              <w:t>;</w:t>
            </w:r>
            <w:r w:rsidR="0010442A" w:rsidRPr="005C7CCE">
              <w:rPr>
                <w:sz w:val="16"/>
              </w:rPr>
              <w:t xml:space="preserve"> </w:t>
            </w:r>
            <w:r w:rsidR="004F3E42" w:rsidRPr="005C7CCE">
              <w:rPr>
                <w:sz w:val="16"/>
              </w:rPr>
              <w:t xml:space="preserve"> </w:t>
            </w:r>
            <w:r w:rsidRPr="005C7CCE">
              <w:rPr>
                <w:sz w:val="16"/>
              </w:rPr>
              <w:t>ii) deux en Géorgie : Université d</w:t>
            </w:r>
            <w:r w:rsidR="00A20444" w:rsidRPr="005C7CCE">
              <w:rPr>
                <w:sz w:val="16"/>
              </w:rPr>
              <w:t>’</w:t>
            </w:r>
            <w:r w:rsidRPr="005C7CCE">
              <w:rPr>
                <w:sz w:val="16"/>
              </w:rPr>
              <w:t xml:space="preserve">État </w:t>
            </w:r>
            <w:proofErr w:type="spellStart"/>
            <w:r w:rsidRPr="005C7CCE">
              <w:rPr>
                <w:sz w:val="16"/>
              </w:rPr>
              <w:t>Ivane</w:t>
            </w:r>
            <w:proofErr w:type="spellEnd"/>
            <w:r w:rsidRPr="005C7CCE">
              <w:rPr>
                <w:sz w:val="16"/>
              </w:rPr>
              <w:t xml:space="preserve"> </w:t>
            </w:r>
            <w:proofErr w:type="spellStart"/>
            <w:r w:rsidRPr="005C7CCE">
              <w:rPr>
                <w:sz w:val="16"/>
              </w:rPr>
              <w:t>Javakhishvili</w:t>
            </w:r>
            <w:proofErr w:type="spellEnd"/>
            <w:r w:rsidRPr="005C7CCE">
              <w:rPr>
                <w:sz w:val="16"/>
              </w:rPr>
              <w:t xml:space="preserve"> de Tbilissi et Centre de transfert de technologie géorgien, suivis par le plan d</w:t>
            </w:r>
            <w:r w:rsidR="00A20444" w:rsidRPr="005C7CCE">
              <w:rPr>
                <w:sz w:val="16"/>
              </w:rPr>
              <w:t>’</w:t>
            </w:r>
            <w:r w:rsidRPr="005C7CCE">
              <w:rPr>
                <w:sz w:val="16"/>
              </w:rPr>
              <w:t>action;</w:t>
            </w:r>
            <w:r w:rsidR="004F3E42" w:rsidRPr="005C7CCE">
              <w:rPr>
                <w:sz w:val="16"/>
              </w:rPr>
              <w:t xml:space="preserve"> </w:t>
            </w:r>
            <w:r w:rsidR="0010442A" w:rsidRPr="005C7CCE">
              <w:rPr>
                <w:sz w:val="16"/>
              </w:rPr>
              <w:t xml:space="preserve"> </w:t>
            </w:r>
            <w:r w:rsidRPr="005C7CCE">
              <w:rPr>
                <w:sz w:val="16"/>
              </w:rPr>
              <w:t>iii) cinq </w:t>
            </w:r>
            <w:proofErr w:type="spellStart"/>
            <w:r w:rsidRPr="005C7CCE">
              <w:rPr>
                <w:sz w:val="16"/>
              </w:rPr>
              <w:t>CESAO</w:t>
            </w:r>
            <w:proofErr w:type="spellEnd"/>
            <w:r w:rsidRPr="005C7CCE">
              <w:rPr>
                <w:sz w:val="16"/>
              </w:rPr>
              <w:t>;</w:t>
            </w:r>
            <w:r w:rsidR="004F3E42" w:rsidRPr="005C7CCE">
              <w:rPr>
                <w:sz w:val="16"/>
              </w:rPr>
              <w:t xml:space="preserve"> </w:t>
            </w:r>
            <w:r w:rsidR="0010442A" w:rsidRPr="005C7CCE">
              <w:rPr>
                <w:sz w:val="16"/>
              </w:rPr>
              <w:t xml:space="preserve"> </w:t>
            </w:r>
            <w:r w:rsidRPr="005C7CCE">
              <w:rPr>
                <w:sz w:val="16"/>
              </w:rPr>
              <w:t>iv) six au Maroc;</w:t>
            </w:r>
            <w:r w:rsidR="004F3E42" w:rsidRPr="005C7CCE">
              <w:rPr>
                <w:sz w:val="16"/>
              </w:rPr>
              <w:t xml:space="preserve"> </w:t>
            </w:r>
            <w:r w:rsidR="0010442A" w:rsidRPr="005C7CCE">
              <w:rPr>
                <w:sz w:val="16"/>
              </w:rPr>
              <w:t xml:space="preserve"> </w:t>
            </w:r>
            <w:r w:rsidRPr="005C7CCE">
              <w:rPr>
                <w:sz w:val="16"/>
              </w:rPr>
              <w:t>v) cinq aux Philippines;</w:t>
            </w:r>
            <w:r w:rsidR="0010442A" w:rsidRPr="005C7CCE">
              <w:rPr>
                <w:sz w:val="16"/>
              </w:rPr>
              <w:t xml:space="preserve"> </w:t>
            </w:r>
            <w:r w:rsidR="004F3E42" w:rsidRPr="005C7CCE">
              <w:rPr>
                <w:sz w:val="16"/>
              </w:rPr>
              <w:t xml:space="preserve"> </w:t>
            </w:r>
            <w:r w:rsidRPr="005C7CCE">
              <w:rPr>
                <w:sz w:val="16"/>
              </w:rPr>
              <w:t>et vi) un au Ghana.</w:t>
            </w:r>
          </w:p>
          <w:p w:rsidR="00D42474" w:rsidRDefault="00D42474" w:rsidP="001A5BF9">
            <w:pPr>
              <w:rPr>
                <w:rFonts w:cs="Arial"/>
                <w:sz w:val="8"/>
                <w:szCs w:val="8"/>
                <w:lang w:bidi="th-TH"/>
              </w:rPr>
            </w:pPr>
          </w:p>
          <w:p w:rsidR="00D42474" w:rsidRDefault="00784E52" w:rsidP="001A5BF9">
            <w:pPr>
              <w:rPr>
                <w:rFonts w:cs="Arial"/>
                <w:sz w:val="16"/>
                <w:szCs w:val="16"/>
                <w:lang w:bidi="th-TH"/>
              </w:rPr>
            </w:pPr>
            <w:r w:rsidRPr="005C7CCE">
              <w:rPr>
                <w:sz w:val="16"/>
              </w:rPr>
              <w:t xml:space="preserve">En outre, il a été procédé à une évaluation des besoins pour la mise en œuvre du projet de bureaux de transfert de technologie en Tunisie, pour répondre aux besoins technologiques des institutions suivantes : Institut Pasteur, </w:t>
            </w:r>
            <w:r w:rsidR="009C658D">
              <w:rPr>
                <w:sz w:val="16"/>
              </w:rPr>
              <w:t>U</w:t>
            </w:r>
            <w:r w:rsidRPr="005C7CCE">
              <w:rPr>
                <w:sz w:val="16"/>
              </w:rPr>
              <w:t xml:space="preserve">niversité de Monastir, Centre de biotechnologie de Sfax, Centre national du cuir et de la chaussure et </w:t>
            </w:r>
            <w:proofErr w:type="spellStart"/>
            <w:r w:rsidRPr="005C7CCE">
              <w:rPr>
                <w:sz w:val="16"/>
              </w:rPr>
              <w:t>Elgazala</w:t>
            </w:r>
            <w:proofErr w:type="spellEnd"/>
            <w:r w:rsidRPr="005C7CCE">
              <w:rPr>
                <w:sz w:val="16"/>
              </w:rPr>
              <w:t xml:space="preserve"> </w:t>
            </w:r>
            <w:proofErr w:type="spellStart"/>
            <w:r w:rsidRPr="005C7CCE">
              <w:rPr>
                <w:sz w:val="16"/>
              </w:rPr>
              <w:t>Technopark</w:t>
            </w:r>
            <w:proofErr w:type="spellEnd"/>
            <w:r w:rsidRPr="005C7CCE">
              <w:rPr>
                <w:sz w:val="16"/>
              </w:rPr>
              <w:t xml:space="preserve">. </w:t>
            </w:r>
            <w:r w:rsidR="0010442A" w:rsidRPr="005C7CCE">
              <w:rPr>
                <w:sz w:val="16"/>
              </w:rPr>
              <w:t xml:space="preserve"> </w:t>
            </w:r>
            <w:r w:rsidRPr="005C7CCE">
              <w:rPr>
                <w:sz w:val="16"/>
              </w:rPr>
              <w:t>Un plan d</w:t>
            </w:r>
            <w:r w:rsidR="00A20444" w:rsidRPr="005C7CCE">
              <w:rPr>
                <w:sz w:val="16"/>
              </w:rPr>
              <w:t>’</w:t>
            </w:r>
            <w:r w:rsidRPr="005C7CCE">
              <w:rPr>
                <w:sz w:val="16"/>
              </w:rPr>
              <w:t>action a également été adopté pour la Tunisie.</w:t>
            </w:r>
          </w:p>
          <w:p w:rsidR="00D42474" w:rsidRDefault="00D42474" w:rsidP="001A5BF9">
            <w:pPr>
              <w:rPr>
                <w:rFonts w:cs="Arial"/>
                <w:sz w:val="8"/>
                <w:szCs w:val="8"/>
                <w:lang w:bidi="th-TH"/>
              </w:rPr>
            </w:pPr>
          </w:p>
          <w:p w:rsidR="00784E52" w:rsidRPr="005C7CCE" w:rsidRDefault="00784E52" w:rsidP="00262B26">
            <w:pPr>
              <w:rPr>
                <w:rFonts w:cs="Arial"/>
                <w:sz w:val="16"/>
                <w:szCs w:val="16"/>
                <w:lang w:bidi="th-TH"/>
              </w:rPr>
            </w:pPr>
            <w:r w:rsidRPr="005C7CCE">
              <w:rPr>
                <w:sz w:val="16"/>
              </w:rPr>
              <w:t>En</w:t>
            </w:r>
            <w:r w:rsidR="00262B26">
              <w:rPr>
                <w:sz w:val="16"/>
              </w:rPr>
              <w:t xml:space="preserve"> conséquence, au moins 10 pays</w:t>
            </w:r>
            <w:r w:rsidRPr="005C7CCE">
              <w:rPr>
                <w:sz w:val="16"/>
              </w:rPr>
              <w:t xml:space="preserve"> ont développé leur cadre de propriété intellectuelle comme indiqué.</w:t>
            </w:r>
          </w:p>
        </w:tc>
        <w:tc>
          <w:tcPr>
            <w:tcW w:w="678" w:type="pct"/>
            <w:gridSpan w:val="2"/>
            <w:tcBorders>
              <w:bottom w:val="single" w:sz="4" w:space="0" w:color="auto"/>
            </w:tcBorders>
            <w:tcMar>
              <w:top w:w="110" w:type="dxa"/>
            </w:tcMar>
          </w:tcPr>
          <w:p w:rsidR="00784E52" w:rsidRPr="00DE1804" w:rsidRDefault="00262B26" w:rsidP="001A5BF9">
            <w:pPr>
              <w:keepNext/>
              <w:keepLines/>
              <w:jc w:val="center"/>
              <w:rPr>
                <w:rFonts w:cs="Arial"/>
                <w:bCs/>
                <w:color w:val="808080"/>
                <w:sz w:val="16"/>
                <w:szCs w:val="16"/>
              </w:rPr>
            </w:pPr>
            <w:r w:rsidRPr="0015421B">
              <w:rPr>
                <w:rStyle w:val="Style5"/>
                <w:rFonts w:ascii="Arial" w:hAnsi="Arial"/>
                <w:color w:val="E36C0A"/>
                <w:sz w:val="16"/>
              </w:rPr>
              <w:t>Objectif partiellement atteint</w:t>
            </w:r>
          </w:p>
        </w:tc>
      </w:tr>
      <w:tr w:rsidR="00DE1804" w:rsidRPr="00DE1804" w:rsidTr="00BB3F3E">
        <w:trPr>
          <w:cantSplit/>
        </w:trPr>
        <w:tc>
          <w:tcPr>
            <w:tcW w:w="5000" w:type="pct"/>
            <w:gridSpan w:val="11"/>
            <w:tcBorders>
              <w:top w:val="single" w:sz="4" w:space="0" w:color="auto"/>
              <w:bottom w:val="single" w:sz="4" w:space="0" w:color="auto"/>
            </w:tcBorders>
            <w:shd w:val="clear" w:color="auto" w:fill="CCFFFF"/>
            <w:vAlign w:val="center"/>
          </w:tcPr>
          <w:p w:rsidR="00784E52" w:rsidRPr="00DE1804" w:rsidRDefault="00784E52" w:rsidP="001A5BF9">
            <w:pPr>
              <w:keepNext/>
              <w:keepLines/>
              <w:tabs>
                <w:tab w:val="left" w:pos="1452"/>
              </w:tabs>
              <w:spacing w:before="120" w:after="120"/>
              <w:ind w:left="1701" w:hanging="1701"/>
              <w:rPr>
                <w:rFonts w:cs="Arial"/>
                <w:b/>
                <w:bCs/>
                <w:sz w:val="16"/>
                <w:szCs w:val="16"/>
              </w:rPr>
            </w:pPr>
            <w:r w:rsidRPr="00DE1804">
              <w:rPr>
                <w:b/>
                <w:sz w:val="16"/>
              </w:rPr>
              <w:t>Résultat escompté</w:t>
            </w:r>
            <w:r w:rsidR="0010442A" w:rsidRPr="00DE1804">
              <w:rPr>
                <w:b/>
                <w:sz w:val="16"/>
              </w:rPr>
              <w:t xml:space="preserve"> : </w:t>
            </w:r>
            <w:r w:rsidRPr="00DE1804">
              <w:rPr>
                <w:b/>
                <w:sz w:val="16"/>
              </w:rPr>
              <w:tab/>
            </w:r>
            <w:r w:rsidRPr="00DE1804">
              <w:rPr>
                <w:sz w:val="16"/>
              </w:rPr>
              <w:t>Politiques, stratégies et plans de développement nationaux clairement définis et cohérents en matière d</w:t>
            </w:r>
            <w:r w:rsidR="00A20444" w:rsidRPr="00DE1804">
              <w:rPr>
                <w:sz w:val="16"/>
              </w:rPr>
              <w:t>’</w:t>
            </w:r>
            <w:r w:rsidRPr="00DE1804">
              <w:rPr>
                <w:sz w:val="16"/>
              </w:rPr>
              <w:t>innovation et de propriété intellectuelle, conformes aux objectifs et aux priorités de développement à l</w:t>
            </w:r>
            <w:r w:rsidR="00A20444" w:rsidRPr="00DE1804">
              <w:rPr>
                <w:sz w:val="16"/>
              </w:rPr>
              <w:t>’</w:t>
            </w:r>
            <w:r w:rsidRPr="00DE1804">
              <w:rPr>
                <w:sz w:val="16"/>
              </w:rPr>
              <w:t>échelle nationale</w:t>
            </w:r>
          </w:p>
        </w:tc>
      </w:tr>
      <w:tr w:rsidR="00DE1804" w:rsidRPr="00DE1804" w:rsidTr="006D16B6">
        <w:trPr>
          <w:cantSplit/>
        </w:trPr>
        <w:tc>
          <w:tcPr>
            <w:tcW w:w="835" w:type="pct"/>
            <w:tcBorders>
              <w:top w:val="single" w:sz="4" w:space="0" w:color="auto"/>
            </w:tcBorders>
            <w:vAlign w:val="center"/>
          </w:tcPr>
          <w:p w:rsidR="00784E52" w:rsidRPr="00DE1804" w:rsidRDefault="00784E52" w:rsidP="001A5BF9">
            <w:pPr>
              <w:rPr>
                <w:rFonts w:cs="Arial"/>
                <w:sz w:val="16"/>
                <w:szCs w:val="16"/>
              </w:rPr>
            </w:pPr>
            <w:r w:rsidRPr="00DE1804">
              <w:rPr>
                <w:b/>
                <w:sz w:val="16"/>
              </w:rPr>
              <w:t>Indicateurs d</w:t>
            </w:r>
            <w:r w:rsidR="00A20444" w:rsidRPr="00DE1804">
              <w:rPr>
                <w:b/>
                <w:sz w:val="16"/>
              </w:rPr>
              <w:t>’</w:t>
            </w:r>
            <w:r w:rsidRPr="00DE1804">
              <w:rPr>
                <w:b/>
                <w:sz w:val="16"/>
              </w:rPr>
              <w:t>exécution</w:t>
            </w:r>
          </w:p>
        </w:tc>
        <w:tc>
          <w:tcPr>
            <w:tcW w:w="832" w:type="pct"/>
            <w:gridSpan w:val="2"/>
            <w:tcBorders>
              <w:top w:val="single" w:sz="4" w:space="0" w:color="auto"/>
            </w:tcBorders>
            <w:shd w:val="clear" w:color="auto" w:fill="auto"/>
            <w:vAlign w:val="center"/>
          </w:tcPr>
          <w:p w:rsidR="00784E52" w:rsidRPr="00DE1804" w:rsidRDefault="00784E52" w:rsidP="001A5BF9">
            <w:pPr>
              <w:rPr>
                <w:rFonts w:cs="Arial"/>
                <w:b/>
                <w:bCs/>
                <w:sz w:val="16"/>
                <w:szCs w:val="16"/>
              </w:rPr>
            </w:pPr>
            <w:r w:rsidRPr="00DE1804">
              <w:rPr>
                <w:b/>
                <w:sz w:val="16"/>
              </w:rPr>
              <w:t>Niveaux de référence</w:t>
            </w:r>
          </w:p>
        </w:tc>
        <w:tc>
          <w:tcPr>
            <w:tcW w:w="760" w:type="pct"/>
            <w:gridSpan w:val="3"/>
            <w:tcBorders>
              <w:top w:val="single" w:sz="4" w:space="0" w:color="auto"/>
            </w:tcBorders>
            <w:tcMar>
              <w:top w:w="110" w:type="dxa"/>
            </w:tcMar>
            <w:vAlign w:val="center"/>
          </w:tcPr>
          <w:p w:rsidR="00784E52" w:rsidRPr="00DE1804" w:rsidRDefault="00784E52" w:rsidP="001A5BF9">
            <w:pPr>
              <w:rPr>
                <w:rFonts w:cs="Arial"/>
                <w:b/>
                <w:sz w:val="16"/>
                <w:szCs w:val="16"/>
              </w:rPr>
            </w:pPr>
            <w:r w:rsidRPr="00DE1804">
              <w:rPr>
                <w:b/>
                <w:sz w:val="16"/>
              </w:rPr>
              <w:t>Objectifs visés</w:t>
            </w:r>
          </w:p>
        </w:tc>
        <w:tc>
          <w:tcPr>
            <w:tcW w:w="1895" w:type="pct"/>
            <w:gridSpan w:val="3"/>
            <w:tcBorders>
              <w:top w:val="single" w:sz="4" w:space="0" w:color="auto"/>
            </w:tcBorders>
            <w:shd w:val="clear" w:color="auto" w:fill="FFFFFF"/>
            <w:tcMar>
              <w:top w:w="110" w:type="dxa"/>
            </w:tcMar>
            <w:vAlign w:val="center"/>
          </w:tcPr>
          <w:p w:rsidR="00784E52" w:rsidRPr="00DE1804" w:rsidRDefault="00784E52" w:rsidP="001A5BF9">
            <w:pPr>
              <w:rPr>
                <w:rFonts w:cs="Arial"/>
                <w:sz w:val="16"/>
                <w:szCs w:val="16"/>
              </w:rPr>
            </w:pPr>
            <w:r w:rsidRPr="00DE1804">
              <w:rPr>
                <w:b/>
                <w:sz w:val="16"/>
              </w:rPr>
              <w:t>Données relatives à l</w:t>
            </w:r>
            <w:r w:rsidR="00A20444" w:rsidRPr="00DE1804">
              <w:rPr>
                <w:b/>
                <w:sz w:val="16"/>
              </w:rPr>
              <w:t>’</w:t>
            </w:r>
            <w:r w:rsidRPr="00DE1804">
              <w:rPr>
                <w:b/>
                <w:sz w:val="16"/>
              </w:rPr>
              <w:t>exécution</w:t>
            </w:r>
          </w:p>
        </w:tc>
        <w:tc>
          <w:tcPr>
            <w:tcW w:w="678" w:type="pct"/>
            <w:gridSpan w:val="2"/>
            <w:tcBorders>
              <w:top w:val="single" w:sz="4" w:space="0" w:color="auto"/>
            </w:tcBorders>
            <w:tcMar>
              <w:top w:w="110" w:type="dxa"/>
            </w:tcMar>
            <w:vAlign w:val="center"/>
          </w:tcPr>
          <w:p w:rsidR="00784E52" w:rsidRPr="00DE1804" w:rsidRDefault="00784E52" w:rsidP="001A5BF9">
            <w:pPr>
              <w:keepNext/>
              <w:keepLines/>
              <w:jc w:val="center"/>
              <w:rPr>
                <w:rFonts w:cs="Arial"/>
                <w:b/>
                <w:bCs/>
                <w:sz w:val="16"/>
                <w:szCs w:val="16"/>
              </w:rPr>
            </w:pPr>
            <w:r w:rsidRPr="00DE1804">
              <w:rPr>
                <w:b/>
                <w:sz w:val="16"/>
              </w:rPr>
              <w:t>Code de couleurs</w:t>
            </w:r>
          </w:p>
        </w:tc>
      </w:tr>
      <w:tr w:rsidR="00DE1804" w:rsidRPr="00DE1804" w:rsidTr="006D16B6">
        <w:trPr>
          <w:cantSplit/>
        </w:trPr>
        <w:tc>
          <w:tcPr>
            <w:tcW w:w="835" w:type="pct"/>
            <w:tcBorders>
              <w:bottom w:val="single" w:sz="4" w:space="0" w:color="auto"/>
            </w:tcBorders>
          </w:tcPr>
          <w:p w:rsidR="00784E52" w:rsidRPr="00DE1804" w:rsidRDefault="00784E52" w:rsidP="001A5BF9">
            <w:pPr>
              <w:rPr>
                <w:rFonts w:cs="Arial"/>
                <w:sz w:val="16"/>
                <w:szCs w:val="16"/>
                <w:lang w:bidi="th-TH"/>
              </w:rPr>
            </w:pPr>
            <w:r w:rsidRPr="00DE1804">
              <w:rPr>
                <w:sz w:val="16"/>
              </w:rPr>
              <w:t xml:space="preserve">Nombre de stratégies nationales en matière de propriété intellectuelle comprenant une composante innovation ou technologie </w:t>
            </w:r>
          </w:p>
        </w:tc>
        <w:tc>
          <w:tcPr>
            <w:tcW w:w="832" w:type="pct"/>
            <w:gridSpan w:val="2"/>
            <w:tcBorders>
              <w:bottom w:val="single" w:sz="4" w:space="0" w:color="auto"/>
            </w:tcBorders>
            <w:shd w:val="clear" w:color="auto" w:fill="auto"/>
          </w:tcPr>
          <w:p w:rsidR="00784E52" w:rsidRPr="00DE1804" w:rsidRDefault="00784E52" w:rsidP="001A5BF9">
            <w:pPr>
              <w:rPr>
                <w:rFonts w:cs="Arial"/>
                <w:sz w:val="16"/>
                <w:szCs w:val="16"/>
                <w:lang w:bidi="th-TH"/>
              </w:rPr>
            </w:pPr>
            <w:r w:rsidRPr="00DE1804">
              <w:rPr>
                <w:sz w:val="16"/>
              </w:rPr>
              <w:t>Contribution en matière d</w:t>
            </w:r>
            <w:r w:rsidR="00A20444" w:rsidRPr="00DE1804">
              <w:rPr>
                <w:sz w:val="16"/>
              </w:rPr>
              <w:t>’</w:t>
            </w:r>
            <w:r w:rsidRPr="00DE1804">
              <w:rPr>
                <w:sz w:val="16"/>
              </w:rPr>
              <w:t>innovation et de technologie à trois</w:t>
            </w:r>
            <w:r w:rsidR="0010442A" w:rsidRPr="00DE1804">
              <w:rPr>
                <w:sz w:val="16"/>
              </w:rPr>
              <w:t> </w:t>
            </w:r>
            <w:r w:rsidRPr="00DE1804">
              <w:rPr>
                <w:sz w:val="16"/>
              </w:rPr>
              <w:t>programmes stratégiques à l</w:t>
            </w:r>
            <w:r w:rsidR="00A20444" w:rsidRPr="00DE1804">
              <w:rPr>
                <w:sz w:val="16"/>
              </w:rPr>
              <w:t>’</w:t>
            </w:r>
            <w:r w:rsidRPr="00DE1804">
              <w:rPr>
                <w:sz w:val="16"/>
              </w:rPr>
              <w:t>échelle nationale</w:t>
            </w:r>
          </w:p>
        </w:tc>
        <w:tc>
          <w:tcPr>
            <w:tcW w:w="760" w:type="pct"/>
            <w:gridSpan w:val="3"/>
            <w:tcBorders>
              <w:bottom w:val="single" w:sz="4" w:space="0" w:color="auto"/>
            </w:tcBorders>
            <w:tcMar>
              <w:top w:w="110" w:type="dxa"/>
            </w:tcMar>
          </w:tcPr>
          <w:p w:rsidR="00784E52" w:rsidRPr="00DE1804" w:rsidRDefault="00784E52" w:rsidP="001A5BF9">
            <w:pPr>
              <w:autoSpaceDE w:val="0"/>
              <w:autoSpaceDN w:val="0"/>
              <w:adjustRightInd w:val="0"/>
              <w:rPr>
                <w:rFonts w:cs="Arial"/>
                <w:sz w:val="16"/>
                <w:szCs w:val="16"/>
              </w:rPr>
            </w:pPr>
            <w:r w:rsidRPr="00DE1804">
              <w:rPr>
                <w:sz w:val="16"/>
              </w:rPr>
              <w:t>Contribution en matière d</w:t>
            </w:r>
            <w:r w:rsidR="00A20444" w:rsidRPr="00DE1804">
              <w:rPr>
                <w:sz w:val="16"/>
              </w:rPr>
              <w:t>’</w:t>
            </w:r>
            <w:r w:rsidRPr="00DE1804">
              <w:rPr>
                <w:sz w:val="16"/>
              </w:rPr>
              <w:t>innovation et de technologie à huit programmes stratégiques à l</w:t>
            </w:r>
            <w:r w:rsidR="00A20444" w:rsidRPr="00DE1804">
              <w:rPr>
                <w:sz w:val="16"/>
              </w:rPr>
              <w:t>’</w:t>
            </w:r>
            <w:r w:rsidRPr="00DE1804">
              <w:rPr>
                <w:sz w:val="16"/>
              </w:rPr>
              <w:t>échelle nationale</w:t>
            </w:r>
          </w:p>
        </w:tc>
        <w:tc>
          <w:tcPr>
            <w:tcW w:w="1895" w:type="pct"/>
            <w:gridSpan w:val="3"/>
            <w:tcBorders>
              <w:bottom w:val="single" w:sz="4" w:space="0" w:color="auto"/>
            </w:tcBorders>
            <w:shd w:val="clear" w:color="auto" w:fill="FFFFFF"/>
            <w:tcMar>
              <w:top w:w="110" w:type="dxa"/>
            </w:tcMar>
          </w:tcPr>
          <w:p w:rsidR="00D42474" w:rsidRDefault="00784E52" w:rsidP="001A5BF9">
            <w:pPr>
              <w:rPr>
                <w:rFonts w:cs="Arial"/>
                <w:sz w:val="16"/>
                <w:szCs w:val="16"/>
                <w:lang w:bidi="th-TH"/>
              </w:rPr>
            </w:pPr>
            <w:r w:rsidRPr="00DE1804">
              <w:rPr>
                <w:sz w:val="16"/>
              </w:rPr>
              <w:t>Un projet national sur l</w:t>
            </w:r>
            <w:r w:rsidR="00A20444" w:rsidRPr="00DE1804">
              <w:rPr>
                <w:sz w:val="16"/>
              </w:rPr>
              <w:t>’</w:t>
            </w:r>
            <w:r w:rsidRPr="00DE1804">
              <w:rPr>
                <w:sz w:val="16"/>
              </w:rPr>
              <w:t>intégration de la propriété intellectuelle dans la formulation des politiques en matière d</w:t>
            </w:r>
            <w:r w:rsidR="00A20444" w:rsidRPr="00DE1804">
              <w:rPr>
                <w:sz w:val="16"/>
              </w:rPr>
              <w:t>’</w:t>
            </w:r>
            <w:r w:rsidRPr="00DE1804">
              <w:rPr>
                <w:sz w:val="16"/>
              </w:rPr>
              <w:t xml:space="preserve">innovation a été conçu et piloté pour la Serbie, afin de tester une conception et une méthodologie spécifiques permettant de proposer des projets dans ce domaine. </w:t>
            </w:r>
            <w:r w:rsidR="0010442A" w:rsidRPr="00DE1804">
              <w:rPr>
                <w:sz w:val="16"/>
              </w:rPr>
              <w:t xml:space="preserve"> </w:t>
            </w:r>
            <w:r w:rsidRPr="00DE1804">
              <w:rPr>
                <w:sz w:val="16"/>
              </w:rPr>
              <w:t>Ce projet a abouti à un ensemble de recommandations exhaustives sur l</w:t>
            </w:r>
            <w:r w:rsidR="00A20444" w:rsidRPr="00DE1804">
              <w:rPr>
                <w:sz w:val="16"/>
              </w:rPr>
              <w:t>’</w:t>
            </w:r>
            <w:r w:rsidRPr="00DE1804">
              <w:rPr>
                <w:sz w:val="16"/>
              </w:rPr>
              <w:t>intégration de la propriété intellectuelle dans la formulation des politiques en matière d</w:t>
            </w:r>
            <w:r w:rsidR="00A20444" w:rsidRPr="00DE1804">
              <w:rPr>
                <w:sz w:val="16"/>
              </w:rPr>
              <w:t>’</w:t>
            </w:r>
            <w:r w:rsidRPr="00DE1804">
              <w:rPr>
                <w:sz w:val="16"/>
              </w:rPr>
              <w:t>innovation.</w:t>
            </w:r>
          </w:p>
          <w:p w:rsidR="00D42474" w:rsidRDefault="00D42474" w:rsidP="001A5BF9">
            <w:pPr>
              <w:rPr>
                <w:rFonts w:cs="Arial"/>
                <w:sz w:val="8"/>
                <w:szCs w:val="8"/>
                <w:lang w:bidi="th-TH"/>
              </w:rPr>
            </w:pPr>
          </w:p>
          <w:p w:rsidR="00784E52" w:rsidRPr="00DE1804" w:rsidRDefault="00784E52" w:rsidP="001A5BF9">
            <w:pPr>
              <w:rPr>
                <w:rFonts w:cs="Arial"/>
                <w:sz w:val="16"/>
                <w:szCs w:val="16"/>
                <w:lang w:bidi="th-TH"/>
              </w:rPr>
            </w:pPr>
            <w:r w:rsidRPr="00DE1804">
              <w:rPr>
                <w:sz w:val="16"/>
              </w:rPr>
              <w:t>De plus, des contributions, conseils et/ou formations ont été fournis pour d</w:t>
            </w:r>
            <w:r w:rsidR="00A20444" w:rsidRPr="00DE1804">
              <w:rPr>
                <w:sz w:val="16"/>
              </w:rPr>
              <w:t>’</w:t>
            </w:r>
            <w:r w:rsidRPr="00DE1804">
              <w:rPr>
                <w:sz w:val="16"/>
              </w:rPr>
              <w:t>autres pays.</w:t>
            </w:r>
          </w:p>
        </w:tc>
        <w:tc>
          <w:tcPr>
            <w:tcW w:w="678" w:type="pct"/>
            <w:gridSpan w:val="2"/>
            <w:tcBorders>
              <w:bottom w:val="single" w:sz="4" w:space="0" w:color="auto"/>
            </w:tcBorders>
            <w:tcMar>
              <w:top w:w="110" w:type="dxa"/>
            </w:tcMar>
          </w:tcPr>
          <w:p w:rsidR="00784E52" w:rsidRPr="00DE1804" w:rsidRDefault="00784E52" w:rsidP="001A5BF9">
            <w:pPr>
              <w:keepNext/>
              <w:keepLines/>
              <w:jc w:val="center"/>
              <w:rPr>
                <w:rFonts w:cs="Arial"/>
                <w:sz w:val="16"/>
                <w:szCs w:val="16"/>
              </w:rPr>
            </w:pPr>
            <w:r w:rsidRPr="00DE1804">
              <w:rPr>
                <w:rStyle w:val="Style5"/>
                <w:rFonts w:ascii="Arial" w:hAnsi="Arial"/>
                <w:sz w:val="16"/>
              </w:rPr>
              <w:t>Non évaluable</w:t>
            </w:r>
          </w:p>
        </w:tc>
      </w:tr>
      <w:tr w:rsidR="00DE1804" w:rsidRPr="00DE1804" w:rsidTr="00BB3F3E">
        <w:trPr>
          <w:cantSplit/>
        </w:trPr>
        <w:tc>
          <w:tcPr>
            <w:tcW w:w="5000" w:type="pct"/>
            <w:gridSpan w:val="11"/>
            <w:tcBorders>
              <w:top w:val="single" w:sz="4" w:space="0" w:color="auto"/>
              <w:bottom w:val="single" w:sz="4" w:space="0" w:color="auto"/>
            </w:tcBorders>
            <w:shd w:val="clear" w:color="auto" w:fill="CCFFFF"/>
            <w:vAlign w:val="center"/>
          </w:tcPr>
          <w:p w:rsidR="00784E52" w:rsidRPr="00DE1804" w:rsidRDefault="00784E52" w:rsidP="001A5BF9">
            <w:pPr>
              <w:keepNext/>
              <w:keepLines/>
              <w:pageBreakBefore/>
              <w:tabs>
                <w:tab w:val="left" w:pos="1452"/>
              </w:tabs>
              <w:spacing w:before="120" w:after="120"/>
              <w:ind w:left="1701" w:hanging="1701"/>
              <w:rPr>
                <w:rFonts w:cs="Arial"/>
                <w:b/>
                <w:bCs/>
                <w:sz w:val="16"/>
                <w:szCs w:val="16"/>
              </w:rPr>
            </w:pPr>
            <w:r w:rsidRPr="00DE1804">
              <w:rPr>
                <w:b/>
                <w:sz w:val="16"/>
              </w:rPr>
              <w:t>Résultat escompté</w:t>
            </w:r>
            <w:r w:rsidR="0010442A" w:rsidRPr="00DE1804">
              <w:rPr>
                <w:b/>
                <w:sz w:val="16"/>
              </w:rPr>
              <w:t xml:space="preserve"> : </w:t>
            </w:r>
            <w:r w:rsidRPr="00DE1804">
              <w:rPr>
                <w:b/>
                <w:sz w:val="16"/>
              </w:rPr>
              <w:tab/>
            </w:r>
            <w:r w:rsidRPr="00DE1804">
              <w:rPr>
                <w:sz w:val="16"/>
              </w:rPr>
              <w:t>Renforcement des capacités en matière de ressources humaines pour pouvoir répondre aux nombreuses exigences en ce qui concerne l</w:t>
            </w:r>
            <w:r w:rsidR="00A20444" w:rsidRPr="00DE1804">
              <w:rPr>
                <w:sz w:val="16"/>
              </w:rPr>
              <w:t>’</w:t>
            </w:r>
            <w:r w:rsidRPr="00DE1804">
              <w:rPr>
                <w:sz w:val="16"/>
              </w:rPr>
              <w:t>utilisation efficace de la propriété intellectuelle au service du développement dans les pays en développement, les PMA et les pays en transition</w:t>
            </w:r>
          </w:p>
        </w:tc>
      </w:tr>
      <w:tr w:rsidR="00DE1804" w:rsidRPr="00DE1804" w:rsidTr="006D16B6">
        <w:trPr>
          <w:cantSplit/>
        </w:trPr>
        <w:tc>
          <w:tcPr>
            <w:tcW w:w="835" w:type="pct"/>
            <w:tcBorders>
              <w:top w:val="single" w:sz="4" w:space="0" w:color="auto"/>
            </w:tcBorders>
            <w:vAlign w:val="center"/>
          </w:tcPr>
          <w:p w:rsidR="00784E52" w:rsidRPr="00DE1804" w:rsidRDefault="00784E52" w:rsidP="001A5BF9">
            <w:pPr>
              <w:rPr>
                <w:rFonts w:cs="Arial"/>
                <w:b/>
                <w:sz w:val="16"/>
                <w:szCs w:val="16"/>
              </w:rPr>
            </w:pPr>
            <w:r w:rsidRPr="00DE1804">
              <w:rPr>
                <w:b/>
                <w:sz w:val="16"/>
              </w:rPr>
              <w:t>Indicateurs d</w:t>
            </w:r>
            <w:r w:rsidR="00A20444" w:rsidRPr="00DE1804">
              <w:rPr>
                <w:b/>
                <w:sz w:val="16"/>
              </w:rPr>
              <w:t>’</w:t>
            </w:r>
            <w:r w:rsidRPr="00DE1804">
              <w:rPr>
                <w:b/>
                <w:sz w:val="16"/>
              </w:rPr>
              <w:t>exécution</w:t>
            </w:r>
          </w:p>
        </w:tc>
        <w:tc>
          <w:tcPr>
            <w:tcW w:w="832" w:type="pct"/>
            <w:gridSpan w:val="2"/>
            <w:tcBorders>
              <w:top w:val="single" w:sz="4" w:space="0" w:color="auto"/>
            </w:tcBorders>
            <w:shd w:val="clear" w:color="auto" w:fill="auto"/>
            <w:vAlign w:val="center"/>
          </w:tcPr>
          <w:p w:rsidR="00784E52" w:rsidRPr="00DE1804" w:rsidRDefault="00784E52" w:rsidP="001A5BF9">
            <w:pPr>
              <w:rPr>
                <w:rFonts w:cs="Arial"/>
                <w:b/>
                <w:bCs/>
                <w:sz w:val="16"/>
                <w:szCs w:val="16"/>
              </w:rPr>
            </w:pPr>
            <w:r w:rsidRPr="00DE1804">
              <w:rPr>
                <w:b/>
                <w:sz w:val="16"/>
              </w:rPr>
              <w:t>Niveaux de référence</w:t>
            </w:r>
          </w:p>
        </w:tc>
        <w:tc>
          <w:tcPr>
            <w:tcW w:w="757" w:type="pct"/>
            <w:gridSpan w:val="2"/>
            <w:tcBorders>
              <w:top w:val="single" w:sz="4" w:space="0" w:color="auto"/>
            </w:tcBorders>
            <w:tcMar>
              <w:top w:w="110" w:type="dxa"/>
            </w:tcMar>
            <w:vAlign w:val="center"/>
          </w:tcPr>
          <w:p w:rsidR="00784E52" w:rsidRPr="00DE1804" w:rsidRDefault="00784E52" w:rsidP="001A5BF9">
            <w:pPr>
              <w:rPr>
                <w:rFonts w:cs="Arial"/>
                <w:b/>
                <w:sz w:val="16"/>
                <w:szCs w:val="16"/>
              </w:rPr>
            </w:pPr>
            <w:r w:rsidRPr="00DE1804">
              <w:rPr>
                <w:b/>
                <w:sz w:val="16"/>
              </w:rPr>
              <w:t>Objectifs visés</w:t>
            </w:r>
          </w:p>
        </w:tc>
        <w:tc>
          <w:tcPr>
            <w:tcW w:w="1898" w:type="pct"/>
            <w:gridSpan w:val="4"/>
            <w:tcBorders>
              <w:top w:val="single" w:sz="4" w:space="0" w:color="auto"/>
            </w:tcBorders>
            <w:shd w:val="clear" w:color="auto" w:fill="FFFFFF"/>
            <w:tcMar>
              <w:top w:w="110" w:type="dxa"/>
            </w:tcMar>
            <w:vAlign w:val="center"/>
          </w:tcPr>
          <w:p w:rsidR="00784E52" w:rsidRPr="00DE1804" w:rsidRDefault="00784E52" w:rsidP="001A5BF9">
            <w:pPr>
              <w:rPr>
                <w:rFonts w:cs="Arial"/>
                <w:b/>
                <w:sz w:val="16"/>
                <w:szCs w:val="16"/>
              </w:rPr>
            </w:pPr>
            <w:r w:rsidRPr="00DE1804">
              <w:rPr>
                <w:b/>
                <w:sz w:val="16"/>
              </w:rPr>
              <w:t>Données relatives à l</w:t>
            </w:r>
            <w:r w:rsidR="00A20444" w:rsidRPr="00DE1804">
              <w:rPr>
                <w:b/>
                <w:sz w:val="16"/>
              </w:rPr>
              <w:t>’</w:t>
            </w:r>
            <w:r w:rsidRPr="00DE1804">
              <w:rPr>
                <w:b/>
                <w:sz w:val="16"/>
              </w:rPr>
              <w:t>exécution</w:t>
            </w:r>
          </w:p>
        </w:tc>
        <w:tc>
          <w:tcPr>
            <w:tcW w:w="678" w:type="pct"/>
            <w:gridSpan w:val="2"/>
            <w:tcBorders>
              <w:top w:val="single" w:sz="4" w:space="0" w:color="auto"/>
            </w:tcBorders>
            <w:tcMar>
              <w:top w:w="110" w:type="dxa"/>
            </w:tcMar>
            <w:vAlign w:val="center"/>
          </w:tcPr>
          <w:p w:rsidR="00784E52" w:rsidRPr="00DE1804" w:rsidRDefault="00784E52" w:rsidP="001A5BF9">
            <w:pPr>
              <w:keepNext/>
              <w:keepLines/>
              <w:jc w:val="center"/>
              <w:rPr>
                <w:rFonts w:cs="Arial"/>
                <w:b/>
                <w:bCs/>
                <w:sz w:val="16"/>
                <w:szCs w:val="16"/>
              </w:rPr>
            </w:pPr>
            <w:r w:rsidRPr="00DE1804">
              <w:rPr>
                <w:b/>
                <w:sz w:val="16"/>
              </w:rPr>
              <w:t>Code de couleurs</w:t>
            </w:r>
          </w:p>
        </w:tc>
      </w:tr>
      <w:tr w:rsidR="00784E52" w:rsidRPr="005C7CCE" w:rsidTr="006D16B6">
        <w:trPr>
          <w:cantSplit/>
        </w:trPr>
        <w:tc>
          <w:tcPr>
            <w:tcW w:w="835" w:type="pct"/>
          </w:tcPr>
          <w:p w:rsidR="00784E52" w:rsidRPr="00DE1804" w:rsidRDefault="00784E52" w:rsidP="001A5BF9">
            <w:pPr>
              <w:rPr>
                <w:rFonts w:cs="Arial"/>
                <w:spacing w:val="-6"/>
                <w:sz w:val="16"/>
                <w:szCs w:val="16"/>
                <w:lang w:bidi="th-TH"/>
              </w:rPr>
            </w:pPr>
            <w:r w:rsidRPr="00DE1804">
              <w:rPr>
                <w:sz w:val="16"/>
              </w:rPr>
              <w:t>Pourcentage de participants satisfaits de la qualité des ateliers et des séminaires sur l</w:t>
            </w:r>
            <w:r w:rsidR="00A20444" w:rsidRPr="00DE1804">
              <w:rPr>
                <w:sz w:val="16"/>
              </w:rPr>
              <w:t>’</w:t>
            </w:r>
            <w:r w:rsidRPr="00DE1804">
              <w:rPr>
                <w:sz w:val="16"/>
              </w:rPr>
              <w:t>innovation et sa commercialisation</w:t>
            </w:r>
          </w:p>
        </w:tc>
        <w:tc>
          <w:tcPr>
            <w:tcW w:w="832" w:type="pct"/>
            <w:gridSpan w:val="2"/>
            <w:shd w:val="clear" w:color="auto" w:fill="auto"/>
          </w:tcPr>
          <w:p w:rsidR="00784E52" w:rsidRPr="00DE1804" w:rsidRDefault="00784E52" w:rsidP="001A5BF9">
            <w:pPr>
              <w:rPr>
                <w:rFonts w:cs="Arial"/>
                <w:sz w:val="16"/>
                <w:szCs w:val="16"/>
                <w:lang w:bidi="th-TH"/>
              </w:rPr>
            </w:pPr>
            <w:r w:rsidRPr="00DE1804">
              <w:rPr>
                <w:sz w:val="16"/>
              </w:rPr>
              <w:t>Retour d</w:t>
            </w:r>
            <w:r w:rsidR="00A20444" w:rsidRPr="00DE1804">
              <w:rPr>
                <w:sz w:val="16"/>
              </w:rPr>
              <w:t>’</w:t>
            </w:r>
            <w:r w:rsidRPr="00DE1804">
              <w:rPr>
                <w:sz w:val="16"/>
              </w:rPr>
              <w:t>information général disponible, mais pas de données précises</w:t>
            </w:r>
          </w:p>
        </w:tc>
        <w:tc>
          <w:tcPr>
            <w:tcW w:w="757" w:type="pct"/>
            <w:gridSpan w:val="2"/>
            <w:tcMar>
              <w:top w:w="110" w:type="dxa"/>
            </w:tcMar>
          </w:tcPr>
          <w:p w:rsidR="00784E52" w:rsidRPr="005C7CCE" w:rsidRDefault="00784E52" w:rsidP="001A5BF9">
            <w:pPr>
              <w:rPr>
                <w:rFonts w:cs="Arial"/>
                <w:sz w:val="16"/>
                <w:szCs w:val="16"/>
                <w:lang w:bidi="th-TH"/>
              </w:rPr>
            </w:pPr>
            <w:r w:rsidRPr="005C7CCE">
              <w:rPr>
                <w:sz w:val="16"/>
              </w:rPr>
              <w:t>90</w:t>
            </w:r>
            <w:r w:rsidR="007E442D" w:rsidRPr="005C7CCE">
              <w:rPr>
                <w:sz w:val="16"/>
              </w:rPr>
              <w:t>%</w:t>
            </w:r>
          </w:p>
        </w:tc>
        <w:tc>
          <w:tcPr>
            <w:tcW w:w="1898" w:type="pct"/>
            <w:gridSpan w:val="4"/>
            <w:shd w:val="clear" w:color="auto" w:fill="FFFFFF"/>
            <w:tcMar>
              <w:top w:w="110" w:type="dxa"/>
            </w:tcMar>
          </w:tcPr>
          <w:p w:rsidR="00D42474" w:rsidRDefault="00784E52" w:rsidP="001A5BF9">
            <w:pPr>
              <w:rPr>
                <w:rFonts w:cs="Arial"/>
                <w:sz w:val="16"/>
                <w:szCs w:val="16"/>
                <w:lang w:bidi="th-TH"/>
              </w:rPr>
            </w:pPr>
            <w:r w:rsidRPr="005C7CCE">
              <w:rPr>
                <w:sz w:val="16"/>
              </w:rPr>
              <w:t>En 2012, 85</w:t>
            </w:r>
            <w:r w:rsidR="007E442D" w:rsidRPr="005C7CCE">
              <w:rPr>
                <w:sz w:val="16"/>
              </w:rPr>
              <w:t>%</w:t>
            </w:r>
            <w:r w:rsidRPr="005C7CCE">
              <w:rPr>
                <w:sz w:val="16"/>
              </w:rPr>
              <w:t xml:space="preserve"> des participants interrogés se sont déclarés satisfaits de la qualité des ateliers et des formations.</w:t>
            </w:r>
          </w:p>
          <w:p w:rsidR="00D42474" w:rsidRDefault="00D42474" w:rsidP="001A5BF9">
            <w:pPr>
              <w:rPr>
                <w:rFonts w:cs="Arial"/>
                <w:sz w:val="8"/>
                <w:szCs w:val="8"/>
                <w:lang w:bidi="th-TH"/>
              </w:rPr>
            </w:pPr>
          </w:p>
          <w:p w:rsidR="00D42474" w:rsidRDefault="00784E52" w:rsidP="001A5BF9">
            <w:pPr>
              <w:rPr>
                <w:rFonts w:cs="Arial"/>
                <w:sz w:val="16"/>
                <w:szCs w:val="16"/>
                <w:lang w:bidi="th-TH"/>
              </w:rPr>
            </w:pPr>
            <w:r w:rsidRPr="005C7CCE">
              <w:rPr>
                <w:sz w:val="16"/>
              </w:rPr>
              <w:t>Sur la base des évaluations de 2013 réalisées pour quatre événements de formation supplémentaires (au moyen d</w:t>
            </w:r>
            <w:r w:rsidR="00A20444" w:rsidRPr="005C7CCE">
              <w:rPr>
                <w:sz w:val="16"/>
              </w:rPr>
              <w:t>’</w:t>
            </w:r>
            <w:r w:rsidRPr="005C7CCE">
              <w:rPr>
                <w:sz w:val="16"/>
              </w:rPr>
              <w:t>une enquête récemment élaborée), 100</w:t>
            </w:r>
            <w:r w:rsidR="007E442D" w:rsidRPr="005C7CCE">
              <w:rPr>
                <w:sz w:val="16"/>
              </w:rPr>
              <w:t>%</w:t>
            </w:r>
            <w:r w:rsidRPr="005C7CCE">
              <w:rPr>
                <w:sz w:val="16"/>
              </w:rPr>
              <w:t xml:space="preserve"> des participants étaient satisfaits de la qualité des ateliers (93,8</w:t>
            </w:r>
            <w:r w:rsidR="007E442D" w:rsidRPr="005C7CCE">
              <w:rPr>
                <w:sz w:val="16"/>
              </w:rPr>
              <w:t>%</w:t>
            </w:r>
            <w:r w:rsidRPr="005C7CCE">
              <w:rPr>
                <w:sz w:val="16"/>
              </w:rPr>
              <w:t xml:space="preserve"> ont estimé qu</w:t>
            </w:r>
            <w:r w:rsidR="00A20444" w:rsidRPr="005C7CCE">
              <w:rPr>
                <w:sz w:val="16"/>
              </w:rPr>
              <w:t>’</w:t>
            </w:r>
            <w:r w:rsidRPr="005C7CCE">
              <w:rPr>
                <w:sz w:val="16"/>
              </w:rPr>
              <w:t>ils étaient de bonne ou très bonne qualité) et 100</w:t>
            </w:r>
            <w:r w:rsidR="007E442D" w:rsidRPr="005C7CCE">
              <w:rPr>
                <w:sz w:val="16"/>
              </w:rPr>
              <w:t>%</w:t>
            </w:r>
            <w:r w:rsidRPr="005C7CCE">
              <w:rPr>
                <w:sz w:val="16"/>
              </w:rPr>
              <w:t xml:space="preserve"> ont estimé que les présentations et intervenants étaient de très bonne ou bonne qualité.</w:t>
            </w:r>
          </w:p>
          <w:p w:rsidR="00784E52" w:rsidRPr="005C7CCE" w:rsidRDefault="00784E52" w:rsidP="001A5BF9">
            <w:pPr>
              <w:jc w:val="both"/>
              <w:rPr>
                <w:rFonts w:cs="Arial"/>
                <w:sz w:val="16"/>
                <w:szCs w:val="16"/>
                <w:lang w:bidi="th-TH"/>
              </w:rPr>
            </w:pPr>
          </w:p>
        </w:tc>
        <w:tc>
          <w:tcPr>
            <w:tcW w:w="678" w:type="pct"/>
            <w:gridSpan w:val="2"/>
            <w:tcMar>
              <w:top w:w="110" w:type="dxa"/>
            </w:tcMar>
          </w:tcPr>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r w:rsidR="00784E52" w:rsidRPr="005C7CCE" w:rsidTr="00DE1804">
        <w:trPr>
          <w:cantSplit/>
        </w:trPr>
        <w:tc>
          <w:tcPr>
            <w:tcW w:w="835" w:type="pct"/>
            <w:tcBorders>
              <w:bottom w:val="single" w:sz="4" w:space="0" w:color="auto"/>
            </w:tcBorders>
          </w:tcPr>
          <w:p w:rsidR="00D42474" w:rsidRDefault="00784E52" w:rsidP="001A5BF9">
            <w:pPr>
              <w:rPr>
                <w:rFonts w:cs="Arial"/>
                <w:spacing w:val="-2"/>
                <w:sz w:val="16"/>
                <w:szCs w:val="16"/>
                <w:lang w:bidi="th-TH"/>
              </w:rPr>
            </w:pPr>
            <w:r w:rsidRPr="00DE1804">
              <w:rPr>
                <w:spacing w:val="-2"/>
                <w:sz w:val="16"/>
              </w:rPr>
              <w:t>Nombre d</w:t>
            </w:r>
            <w:r w:rsidR="00A20444" w:rsidRPr="00DE1804">
              <w:rPr>
                <w:spacing w:val="-2"/>
                <w:sz w:val="16"/>
              </w:rPr>
              <w:t>’</w:t>
            </w:r>
            <w:r w:rsidRPr="00DE1804">
              <w:rPr>
                <w:spacing w:val="-2"/>
                <w:sz w:val="16"/>
              </w:rPr>
              <w:t>utilisateurs provenant de pays en développement, utilisant des instruments, des modèles et du matériel élaborés par l</w:t>
            </w:r>
            <w:r w:rsidR="00A20444" w:rsidRPr="00DE1804">
              <w:rPr>
                <w:spacing w:val="-2"/>
                <w:sz w:val="16"/>
              </w:rPr>
              <w:t>’</w:t>
            </w:r>
            <w:r w:rsidRPr="00DE1804">
              <w:rPr>
                <w:spacing w:val="-2"/>
                <w:sz w:val="16"/>
              </w:rPr>
              <w:t>OMPI, concernant l</w:t>
            </w:r>
            <w:r w:rsidR="00A20444" w:rsidRPr="00DE1804">
              <w:rPr>
                <w:spacing w:val="-2"/>
                <w:sz w:val="16"/>
              </w:rPr>
              <w:t>’</w:t>
            </w:r>
            <w:r w:rsidRPr="00DE1804">
              <w:rPr>
                <w:spacing w:val="-2"/>
                <w:sz w:val="16"/>
              </w:rPr>
              <w:t>innovation et sa commercialisation</w:t>
            </w:r>
          </w:p>
          <w:p w:rsidR="00784E52" w:rsidRPr="005C7CCE" w:rsidRDefault="00784E52" w:rsidP="001A5BF9">
            <w:pPr>
              <w:rPr>
                <w:rFonts w:cs="Arial"/>
                <w:spacing w:val="-2"/>
                <w:sz w:val="16"/>
                <w:szCs w:val="16"/>
                <w:lang w:bidi="th-TH"/>
              </w:rPr>
            </w:pPr>
          </w:p>
        </w:tc>
        <w:tc>
          <w:tcPr>
            <w:tcW w:w="832" w:type="pct"/>
            <w:gridSpan w:val="2"/>
            <w:tcBorders>
              <w:bottom w:val="single" w:sz="4" w:space="0" w:color="auto"/>
            </w:tcBorders>
            <w:shd w:val="clear" w:color="auto" w:fill="auto"/>
          </w:tcPr>
          <w:p w:rsidR="00D42474" w:rsidRDefault="00784E52" w:rsidP="001A5BF9">
            <w:pPr>
              <w:rPr>
                <w:rFonts w:cs="Arial"/>
                <w:color w:val="002060"/>
                <w:sz w:val="16"/>
                <w:szCs w:val="16"/>
              </w:rPr>
            </w:pPr>
            <w:r w:rsidRPr="005C7CCE">
              <w:rPr>
                <w:i/>
                <w:color w:val="002060"/>
                <w:sz w:val="16"/>
              </w:rPr>
              <w:t xml:space="preserve">Niveau de référence actualisé </w:t>
            </w:r>
            <w:r w:rsidRPr="005C7CCE">
              <w:br/>
            </w:r>
            <w:r w:rsidRPr="005C7CCE">
              <w:rPr>
                <w:i/>
                <w:color w:val="002060"/>
                <w:sz w:val="16"/>
              </w:rPr>
              <w:t>fin 2011 :</w:t>
            </w:r>
            <w:r w:rsidRPr="005C7CCE">
              <w:rPr>
                <w:color w:val="002060"/>
                <w:sz w:val="16"/>
              </w:rPr>
              <w:t xml:space="preserve"> </w:t>
            </w:r>
            <w:r w:rsidRPr="005C7CCE">
              <w:br/>
            </w:r>
            <w:r w:rsidRPr="005C7CCE">
              <w:rPr>
                <w:color w:val="002060"/>
                <w:sz w:val="16"/>
              </w:rPr>
              <w:t>~1 167 utilisateurs</w:t>
            </w:r>
          </w:p>
          <w:p w:rsidR="00D42474" w:rsidRDefault="00D42474" w:rsidP="001A5BF9">
            <w:pPr>
              <w:rPr>
                <w:rFonts w:cs="Arial"/>
                <w:sz w:val="16"/>
                <w:szCs w:val="16"/>
              </w:rPr>
            </w:pPr>
          </w:p>
          <w:p w:rsidR="00784E52" w:rsidRPr="005C7CCE" w:rsidRDefault="00784E52" w:rsidP="001A5BF9">
            <w:pPr>
              <w:rPr>
                <w:rFonts w:cs="Arial"/>
                <w:sz w:val="16"/>
                <w:szCs w:val="16"/>
                <w:lang w:bidi="th-TH"/>
              </w:rPr>
            </w:pPr>
            <w:r w:rsidRPr="005C7CCE">
              <w:rPr>
                <w:i/>
                <w:sz w:val="16"/>
              </w:rPr>
              <w:t xml:space="preserve">Niveau de référence initial </w:t>
            </w:r>
            <w:r w:rsidRPr="005C7CCE">
              <w:br/>
            </w:r>
            <w:r w:rsidR="00667FB3">
              <w:rPr>
                <w:i/>
                <w:sz w:val="16"/>
              </w:rPr>
              <w:t>programme et budget</w:t>
            </w:r>
            <w:r w:rsidR="00DE1804">
              <w:rPr>
                <w:i/>
                <w:sz w:val="16"/>
              </w:rPr>
              <w:t xml:space="preserve"> </w:t>
            </w:r>
            <w:r w:rsidRPr="005C7CCE">
              <w:rPr>
                <w:i/>
                <w:sz w:val="16"/>
              </w:rPr>
              <w:t>2012</w:t>
            </w:r>
            <w:r w:rsidR="002D6F2A" w:rsidRPr="005C7CCE">
              <w:rPr>
                <w:i/>
                <w:sz w:val="16"/>
              </w:rPr>
              <w:noBreakHyphen/>
            </w:r>
            <w:r w:rsidRPr="005C7CCE">
              <w:rPr>
                <w:i/>
                <w:sz w:val="16"/>
              </w:rPr>
              <w:t>2013 :</w:t>
            </w:r>
            <w:r w:rsidRPr="005C7CCE">
              <w:rPr>
                <w:sz w:val="16"/>
              </w:rPr>
              <w:t xml:space="preserve"> ~2 400 utilisateurs </w:t>
            </w:r>
          </w:p>
        </w:tc>
        <w:tc>
          <w:tcPr>
            <w:tcW w:w="757" w:type="pct"/>
            <w:gridSpan w:val="2"/>
            <w:tcBorders>
              <w:bottom w:val="single" w:sz="4" w:space="0" w:color="auto"/>
            </w:tcBorders>
            <w:tcMar>
              <w:top w:w="110" w:type="dxa"/>
            </w:tcMar>
          </w:tcPr>
          <w:p w:rsidR="00784E52" w:rsidRPr="005C7CCE" w:rsidRDefault="00784E52" w:rsidP="001A5BF9">
            <w:pPr>
              <w:rPr>
                <w:rFonts w:cs="Arial"/>
                <w:sz w:val="16"/>
                <w:szCs w:val="16"/>
                <w:lang w:bidi="th-TH"/>
              </w:rPr>
            </w:pPr>
            <w:r w:rsidRPr="00DE1804">
              <w:rPr>
                <w:sz w:val="16"/>
              </w:rPr>
              <w:t>3200 utilisateurs</w:t>
            </w:r>
          </w:p>
        </w:tc>
        <w:tc>
          <w:tcPr>
            <w:tcW w:w="1894" w:type="pct"/>
            <w:gridSpan w:val="3"/>
            <w:tcBorders>
              <w:bottom w:val="single" w:sz="4" w:space="0" w:color="auto"/>
            </w:tcBorders>
            <w:shd w:val="clear" w:color="auto" w:fill="FFFFFF"/>
            <w:tcMar>
              <w:top w:w="110" w:type="dxa"/>
            </w:tcMar>
          </w:tcPr>
          <w:p w:rsidR="00784E52" w:rsidRPr="005C7CCE" w:rsidRDefault="00784E52" w:rsidP="001A5BF9">
            <w:pPr>
              <w:rPr>
                <w:rFonts w:cs="Arial"/>
                <w:sz w:val="16"/>
                <w:szCs w:val="16"/>
                <w:lang w:bidi="th-TH"/>
              </w:rPr>
            </w:pPr>
            <w:r w:rsidRPr="005C7CCE">
              <w:rPr>
                <w:sz w:val="16"/>
              </w:rPr>
              <w:t>1 167 experts formés sur site en 2012 et </w:t>
            </w:r>
            <w:r w:rsidR="0010442A" w:rsidRPr="005C7CCE">
              <w:rPr>
                <w:sz w:val="16"/>
              </w:rPr>
              <w:t>1193</w:t>
            </w:r>
            <w:r w:rsidRPr="005C7CCE">
              <w:rPr>
                <w:sz w:val="16"/>
              </w:rPr>
              <w:t xml:space="preserve"> en 2013</w:t>
            </w:r>
            <w:r w:rsidRPr="00DE1804">
              <w:rPr>
                <w:sz w:val="16"/>
              </w:rPr>
              <w:t>, plus</w:t>
            </w:r>
            <w:r w:rsidRPr="005C7CCE">
              <w:rPr>
                <w:sz w:val="16"/>
              </w:rPr>
              <w:t> 400 par le biais d</w:t>
            </w:r>
            <w:r w:rsidR="00A20444" w:rsidRPr="005C7CCE">
              <w:rPr>
                <w:sz w:val="16"/>
              </w:rPr>
              <w:t>’</w:t>
            </w:r>
            <w:r w:rsidRPr="005C7CCE">
              <w:rPr>
                <w:sz w:val="16"/>
              </w:rPr>
              <w:t>exercices pratiques d</w:t>
            </w:r>
            <w:r w:rsidR="00A20444" w:rsidRPr="005C7CCE">
              <w:rPr>
                <w:sz w:val="16"/>
              </w:rPr>
              <w:t>’</w:t>
            </w:r>
            <w:r w:rsidRPr="005C7CCE">
              <w:rPr>
                <w:sz w:val="16"/>
              </w:rPr>
              <w:t xml:space="preserve">entraînement à distance, avec des mentors, pour un total de </w:t>
            </w:r>
            <w:r w:rsidR="0010442A" w:rsidRPr="005C7CCE">
              <w:rPr>
                <w:sz w:val="16"/>
              </w:rPr>
              <w:t>2760</w:t>
            </w:r>
            <w:r w:rsidRPr="005C7CCE">
              <w:rPr>
                <w:sz w:val="16"/>
              </w:rPr>
              <w:t> utilisateurs des instruments, des modèles et du matériel élaborés.</w:t>
            </w:r>
            <w:r w:rsidR="0010442A" w:rsidRPr="005C7CCE">
              <w:rPr>
                <w:sz w:val="16"/>
              </w:rPr>
              <w:t xml:space="preserve"> </w:t>
            </w:r>
            <w:r w:rsidRPr="005C7CCE">
              <w:rPr>
                <w:sz w:val="16"/>
              </w:rPr>
              <w:t xml:space="preserve"> (Dans ce contexte, les utilisateurs désignent les utilisateurs au moment de la formation et immédiatement après.)</w:t>
            </w:r>
          </w:p>
        </w:tc>
        <w:tc>
          <w:tcPr>
            <w:tcW w:w="682" w:type="pct"/>
            <w:gridSpan w:val="3"/>
            <w:tcBorders>
              <w:bottom w:val="single" w:sz="4" w:space="0" w:color="auto"/>
            </w:tcBorders>
            <w:tcMar>
              <w:top w:w="110" w:type="dxa"/>
            </w:tcMar>
          </w:tcPr>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r w:rsidR="00DE1804" w:rsidRPr="00DE1804" w:rsidTr="00BB3F3E">
        <w:trPr>
          <w:cantSplit/>
        </w:trPr>
        <w:tc>
          <w:tcPr>
            <w:tcW w:w="5000" w:type="pct"/>
            <w:gridSpan w:val="11"/>
            <w:tcBorders>
              <w:top w:val="single" w:sz="4" w:space="0" w:color="auto"/>
              <w:bottom w:val="single" w:sz="4" w:space="0" w:color="auto"/>
            </w:tcBorders>
            <w:shd w:val="clear" w:color="auto" w:fill="CCFFFF"/>
            <w:vAlign w:val="center"/>
          </w:tcPr>
          <w:p w:rsidR="00784E52" w:rsidRPr="00DE1804" w:rsidRDefault="00784E52" w:rsidP="001A5BF9">
            <w:pPr>
              <w:keepNext/>
              <w:keepLines/>
              <w:tabs>
                <w:tab w:val="left" w:pos="1452"/>
              </w:tabs>
              <w:spacing w:before="120" w:after="120"/>
              <w:ind w:left="1701" w:hanging="1701"/>
              <w:rPr>
                <w:rFonts w:cs="Arial"/>
                <w:b/>
                <w:bCs/>
                <w:sz w:val="16"/>
                <w:szCs w:val="16"/>
              </w:rPr>
            </w:pPr>
            <w:r w:rsidRPr="00DE1804">
              <w:rPr>
                <w:b/>
                <w:sz w:val="16"/>
              </w:rPr>
              <w:t>Résultat escompté</w:t>
            </w:r>
            <w:r w:rsidR="0010442A" w:rsidRPr="00DE1804">
              <w:rPr>
                <w:b/>
                <w:sz w:val="16"/>
              </w:rPr>
              <w:t xml:space="preserve"> : </w:t>
            </w:r>
            <w:r w:rsidRPr="00DE1804">
              <w:rPr>
                <w:b/>
                <w:sz w:val="16"/>
              </w:rPr>
              <w:tab/>
            </w:r>
            <w:r w:rsidRPr="00DE1804">
              <w:rPr>
                <w:sz w:val="16"/>
              </w:rPr>
              <w:t>Capacité accrue</w:t>
            </w:r>
            <w:r w:rsidR="00A20444" w:rsidRPr="00DE1804">
              <w:rPr>
                <w:sz w:val="16"/>
              </w:rPr>
              <w:t xml:space="preserve"> des PME</w:t>
            </w:r>
            <w:r w:rsidRPr="00DE1804">
              <w:rPr>
                <w:sz w:val="16"/>
              </w:rPr>
              <w:t xml:space="preserve"> et des institutions d</w:t>
            </w:r>
            <w:r w:rsidR="00A20444" w:rsidRPr="00DE1804">
              <w:rPr>
                <w:sz w:val="16"/>
              </w:rPr>
              <w:t>’</w:t>
            </w:r>
            <w:r w:rsidRPr="00DE1804">
              <w:rPr>
                <w:sz w:val="16"/>
              </w:rPr>
              <w:t>appui</w:t>
            </w:r>
            <w:r w:rsidR="00A20444" w:rsidRPr="00DE1804">
              <w:rPr>
                <w:sz w:val="16"/>
              </w:rPr>
              <w:t xml:space="preserve"> aux PME</w:t>
            </w:r>
            <w:r w:rsidRPr="00DE1804">
              <w:rPr>
                <w:sz w:val="16"/>
              </w:rPr>
              <w:t xml:space="preserve"> à mettre la propriété intellectuelle au service de l</w:t>
            </w:r>
            <w:r w:rsidR="00A20444" w:rsidRPr="00DE1804">
              <w:rPr>
                <w:sz w:val="16"/>
              </w:rPr>
              <w:t>’</w:t>
            </w:r>
            <w:r w:rsidRPr="00DE1804">
              <w:rPr>
                <w:sz w:val="16"/>
              </w:rPr>
              <w:t>innovation et de sa commercialisation</w:t>
            </w:r>
          </w:p>
        </w:tc>
      </w:tr>
      <w:tr w:rsidR="00DE1804" w:rsidRPr="00DE1804" w:rsidTr="006D16B6">
        <w:trPr>
          <w:cantSplit/>
        </w:trPr>
        <w:tc>
          <w:tcPr>
            <w:tcW w:w="890" w:type="pct"/>
            <w:gridSpan w:val="2"/>
            <w:tcBorders>
              <w:top w:val="single" w:sz="4" w:space="0" w:color="auto"/>
            </w:tcBorders>
            <w:vAlign w:val="center"/>
          </w:tcPr>
          <w:p w:rsidR="00784E52" w:rsidRPr="00DE1804" w:rsidRDefault="00784E52" w:rsidP="001A5BF9">
            <w:pPr>
              <w:rPr>
                <w:rFonts w:cs="Arial"/>
                <w:b/>
                <w:sz w:val="16"/>
                <w:szCs w:val="16"/>
              </w:rPr>
            </w:pPr>
            <w:r w:rsidRPr="00DE1804">
              <w:rPr>
                <w:b/>
                <w:sz w:val="16"/>
              </w:rPr>
              <w:t>Indicateurs d</w:t>
            </w:r>
            <w:r w:rsidR="00A20444" w:rsidRPr="00DE1804">
              <w:rPr>
                <w:b/>
                <w:sz w:val="16"/>
              </w:rPr>
              <w:t>’</w:t>
            </w:r>
            <w:r w:rsidRPr="00DE1804">
              <w:rPr>
                <w:b/>
                <w:sz w:val="16"/>
              </w:rPr>
              <w:t>exécution</w:t>
            </w:r>
          </w:p>
        </w:tc>
        <w:tc>
          <w:tcPr>
            <w:tcW w:w="822" w:type="pct"/>
            <w:gridSpan w:val="2"/>
            <w:tcBorders>
              <w:top w:val="single" w:sz="4" w:space="0" w:color="auto"/>
            </w:tcBorders>
            <w:shd w:val="clear" w:color="auto" w:fill="auto"/>
            <w:vAlign w:val="center"/>
          </w:tcPr>
          <w:p w:rsidR="00784E52" w:rsidRPr="00DE1804" w:rsidRDefault="00784E52" w:rsidP="001A5BF9">
            <w:pPr>
              <w:rPr>
                <w:rFonts w:cs="Arial"/>
                <w:b/>
                <w:bCs/>
                <w:sz w:val="16"/>
                <w:szCs w:val="16"/>
              </w:rPr>
            </w:pPr>
            <w:r w:rsidRPr="00DE1804">
              <w:rPr>
                <w:b/>
                <w:sz w:val="16"/>
              </w:rPr>
              <w:t>Niveaux de référence</w:t>
            </w:r>
          </w:p>
        </w:tc>
        <w:tc>
          <w:tcPr>
            <w:tcW w:w="933" w:type="pct"/>
            <w:gridSpan w:val="3"/>
            <w:tcBorders>
              <w:top w:val="single" w:sz="4" w:space="0" w:color="auto"/>
            </w:tcBorders>
            <w:tcMar>
              <w:top w:w="110" w:type="dxa"/>
            </w:tcMar>
            <w:vAlign w:val="center"/>
          </w:tcPr>
          <w:p w:rsidR="00784E52" w:rsidRPr="00DE1804" w:rsidRDefault="00784E52" w:rsidP="001A5BF9">
            <w:pPr>
              <w:rPr>
                <w:rFonts w:cs="Arial"/>
                <w:b/>
                <w:sz w:val="16"/>
                <w:szCs w:val="16"/>
              </w:rPr>
            </w:pPr>
            <w:r w:rsidRPr="00DE1804">
              <w:rPr>
                <w:b/>
                <w:sz w:val="16"/>
              </w:rPr>
              <w:t>Objectifs visés</w:t>
            </w:r>
          </w:p>
        </w:tc>
        <w:tc>
          <w:tcPr>
            <w:tcW w:w="1783" w:type="pct"/>
            <w:gridSpan w:val="3"/>
            <w:tcBorders>
              <w:top w:val="single" w:sz="4" w:space="0" w:color="auto"/>
            </w:tcBorders>
            <w:shd w:val="clear" w:color="auto" w:fill="FFFFFF"/>
            <w:tcMar>
              <w:top w:w="110" w:type="dxa"/>
            </w:tcMar>
            <w:vAlign w:val="center"/>
          </w:tcPr>
          <w:p w:rsidR="00784E52" w:rsidRPr="00DE1804" w:rsidRDefault="00784E52" w:rsidP="001A5BF9">
            <w:pPr>
              <w:rPr>
                <w:rFonts w:cs="Arial"/>
                <w:b/>
                <w:sz w:val="16"/>
                <w:szCs w:val="16"/>
              </w:rPr>
            </w:pPr>
            <w:r w:rsidRPr="00DE1804">
              <w:rPr>
                <w:b/>
                <w:sz w:val="16"/>
              </w:rPr>
              <w:t>Données relatives à l</w:t>
            </w:r>
            <w:r w:rsidR="00A20444" w:rsidRPr="00DE1804">
              <w:rPr>
                <w:b/>
                <w:sz w:val="16"/>
              </w:rPr>
              <w:t>’</w:t>
            </w:r>
            <w:r w:rsidRPr="00DE1804">
              <w:rPr>
                <w:b/>
                <w:sz w:val="16"/>
              </w:rPr>
              <w:t>exécution</w:t>
            </w:r>
          </w:p>
        </w:tc>
        <w:tc>
          <w:tcPr>
            <w:tcW w:w="572" w:type="pct"/>
            <w:tcBorders>
              <w:top w:val="single" w:sz="4" w:space="0" w:color="auto"/>
            </w:tcBorders>
            <w:tcMar>
              <w:top w:w="110" w:type="dxa"/>
            </w:tcMar>
            <w:vAlign w:val="center"/>
          </w:tcPr>
          <w:p w:rsidR="00784E52" w:rsidRPr="00DE1804" w:rsidRDefault="00784E52" w:rsidP="001A5BF9">
            <w:pPr>
              <w:keepNext/>
              <w:keepLines/>
              <w:jc w:val="center"/>
              <w:rPr>
                <w:rFonts w:cs="Arial"/>
                <w:b/>
                <w:bCs/>
                <w:sz w:val="16"/>
                <w:szCs w:val="16"/>
              </w:rPr>
            </w:pPr>
            <w:r w:rsidRPr="00DE1804">
              <w:rPr>
                <w:b/>
                <w:sz w:val="16"/>
              </w:rPr>
              <w:t>Code de couleurs</w:t>
            </w:r>
          </w:p>
        </w:tc>
      </w:tr>
      <w:tr w:rsidR="00784E52" w:rsidRPr="005C7CCE" w:rsidTr="006D16B6">
        <w:trPr>
          <w:cantSplit/>
        </w:trPr>
        <w:tc>
          <w:tcPr>
            <w:tcW w:w="890" w:type="pct"/>
            <w:gridSpan w:val="2"/>
          </w:tcPr>
          <w:p w:rsidR="00784E52" w:rsidRPr="00DE1804" w:rsidRDefault="00784E52" w:rsidP="001A5BF9">
            <w:pPr>
              <w:rPr>
                <w:rFonts w:cs="Arial"/>
                <w:sz w:val="16"/>
                <w:szCs w:val="16"/>
                <w:lang w:bidi="th-TH"/>
              </w:rPr>
            </w:pPr>
            <w:r w:rsidRPr="00DE1804">
              <w:rPr>
                <w:sz w:val="16"/>
              </w:rPr>
              <w:t>Pourcentage d</w:t>
            </w:r>
            <w:r w:rsidR="00A20444" w:rsidRPr="00DE1804">
              <w:rPr>
                <w:sz w:val="16"/>
              </w:rPr>
              <w:t>’</w:t>
            </w:r>
            <w:r w:rsidRPr="00DE1804">
              <w:rPr>
                <w:sz w:val="16"/>
              </w:rPr>
              <w:t>institutions d</w:t>
            </w:r>
            <w:r w:rsidR="00A20444" w:rsidRPr="00DE1804">
              <w:rPr>
                <w:sz w:val="16"/>
              </w:rPr>
              <w:t>’</w:t>
            </w:r>
            <w:r w:rsidRPr="00DE1804">
              <w:rPr>
                <w:sz w:val="16"/>
              </w:rPr>
              <w:t>appui</w:t>
            </w:r>
            <w:r w:rsidR="00A20444" w:rsidRPr="00DE1804">
              <w:rPr>
                <w:sz w:val="16"/>
              </w:rPr>
              <w:t xml:space="preserve"> aux PME</w:t>
            </w:r>
            <w:r w:rsidRPr="00DE1804">
              <w:rPr>
                <w:sz w:val="16"/>
              </w:rPr>
              <w:t xml:space="preserve"> qui fournissent des informations sur la propriété intellectuelle et des services d</w:t>
            </w:r>
            <w:r w:rsidR="00A20444" w:rsidRPr="00DE1804">
              <w:rPr>
                <w:sz w:val="16"/>
              </w:rPr>
              <w:t>’</w:t>
            </w:r>
            <w:r w:rsidRPr="00DE1804">
              <w:rPr>
                <w:sz w:val="16"/>
              </w:rPr>
              <w:t>appui, d</w:t>
            </w:r>
            <w:r w:rsidR="00A20444" w:rsidRPr="00DE1804">
              <w:rPr>
                <w:sz w:val="16"/>
              </w:rPr>
              <w:t>’</w:t>
            </w:r>
            <w:r w:rsidRPr="00DE1804">
              <w:rPr>
                <w:sz w:val="16"/>
              </w:rPr>
              <w:t xml:space="preserve">orientation et de consultation sur la gestion des actifs de propriété intellectuelle </w:t>
            </w:r>
          </w:p>
        </w:tc>
        <w:tc>
          <w:tcPr>
            <w:tcW w:w="822" w:type="pct"/>
            <w:gridSpan w:val="2"/>
            <w:shd w:val="clear" w:color="auto" w:fill="auto"/>
          </w:tcPr>
          <w:p w:rsidR="00784E52" w:rsidRPr="00DE1804" w:rsidRDefault="00784E52" w:rsidP="001A5BF9">
            <w:pPr>
              <w:rPr>
                <w:rFonts w:cs="Arial"/>
                <w:sz w:val="16"/>
                <w:szCs w:val="16"/>
                <w:lang w:bidi="th-TH"/>
              </w:rPr>
            </w:pPr>
            <w:r w:rsidRPr="00DE1804">
              <w:rPr>
                <w:sz w:val="16"/>
              </w:rPr>
              <w:t xml:space="preserve">Non disponible </w:t>
            </w:r>
          </w:p>
        </w:tc>
        <w:tc>
          <w:tcPr>
            <w:tcW w:w="933" w:type="pct"/>
            <w:gridSpan w:val="3"/>
            <w:tcMar>
              <w:top w:w="110" w:type="dxa"/>
            </w:tcMar>
          </w:tcPr>
          <w:p w:rsidR="00784E52" w:rsidRPr="005C7CCE" w:rsidRDefault="00784E52" w:rsidP="001A5BF9">
            <w:pPr>
              <w:autoSpaceDE w:val="0"/>
              <w:autoSpaceDN w:val="0"/>
              <w:adjustRightInd w:val="0"/>
              <w:rPr>
                <w:rFonts w:cs="Arial"/>
                <w:sz w:val="16"/>
                <w:szCs w:val="16"/>
                <w:lang w:bidi="th-TH"/>
              </w:rPr>
            </w:pPr>
            <w:r w:rsidRPr="005C7CCE">
              <w:rPr>
                <w:sz w:val="16"/>
              </w:rPr>
              <w:t>80</w:t>
            </w:r>
            <w:r w:rsidR="007E442D" w:rsidRPr="005C7CCE">
              <w:rPr>
                <w:sz w:val="16"/>
              </w:rPr>
              <w:t>%</w:t>
            </w:r>
            <w:r w:rsidRPr="005C7CCE">
              <w:rPr>
                <w:sz w:val="16"/>
              </w:rPr>
              <w:t xml:space="preserve"> (sur 15 institutions d</w:t>
            </w:r>
            <w:r w:rsidR="00A20444" w:rsidRPr="005C7CCE">
              <w:rPr>
                <w:sz w:val="16"/>
              </w:rPr>
              <w:t>’</w:t>
            </w:r>
            <w:r w:rsidRPr="005C7CCE">
              <w:rPr>
                <w:sz w:val="16"/>
              </w:rPr>
              <w:t>appui qui devaient être aidées)</w:t>
            </w:r>
          </w:p>
        </w:tc>
        <w:tc>
          <w:tcPr>
            <w:tcW w:w="1783" w:type="pct"/>
            <w:gridSpan w:val="3"/>
            <w:shd w:val="clear" w:color="auto" w:fill="FFFFFF"/>
            <w:tcMar>
              <w:top w:w="110" w:type="dxa"/>
            </w:tcMar>
          </w:tcPr>
          <w:p w:rsidR="00784E52" w:rsidRPr="005C7CCE" w:rsidRDefault="00784E52" w:rsidP="001A5BF9">
            <w:pPr>
              <w:rPr>
                <w:rFonts w:cs="Arial"/>
                <w:sz w:val="16"/>
                <w:szCs w:val="16"/>
                <w:lang w:bidi="th-TH"/>
              </w:rPr>
            </w:pPr>
            <w:r w:rsidRPr="005C7CCE">
              <w:rPr>
                <w:sz w:val="16"/>
              </w:rPr>
              <w:t>100</w:t>
            </w:r>
            <w:r w:rsidR="007E442D" w:rsidRPr="005C7CCE">
              <w:rPr>
                <w:sz w:val="16"/>
              </w:rPr>
              <w:t>%</w:t>
            </w:r>
            <w:r w:rsidRPr="005C7CCE">
              <w:rPr>
                <w:sz w:val="16"/>
              </w:rPr>
              <w:t xml:space="preserve"> des 15 institutions d</w:t>
            </w:r>
            <w:r w:rsidR="00A20444" w:rsidRPr="005C7CCE">
              <w:rPr>
                <w:sz w:val="16"/>
              </w:rPr>
              <w:t>’</w:t>
            </w:r>
            <w:r w:rsidRPr="005C7CCE">
              <w:rPr>
                <w:sz w:val="16"/>
              </w:rPr>
              <w:t>appui</w:t>
            </w:r>
            <w:r w:rsidR="00A20444" w:rsidRPr="005C7CCE">
              <w:rPr>
                <w:sz w:val="16"/>
              </w:rPr>
              <w:t xml:space="preserve"> aux PME</w:t>
            </w:r>
            <w:r w:rsidRPr="005C7CCE">
              <w:rPr>
                <w:sz w:val="16"/>
              </w:rPr>
              <w:t xml:space="preserve"> fournissent des services d</w:t>
            </w:r>
            <w:r w:rsidR="00A20444" w:rsidRPr="005C7CCE">
              <w:rPr>
                <w:sz w:val="16"/>
              </w:rPr>
              <w:t>’</w:t>
            </w:r>
            <w:r w:rsidRPr="005C7CCE">
              <w:rPr>
                <w:sz w:val="16"/>
              </w:rPr>
              <w:t>information, d</w:t>
            </w:r>
            <w:r w:rsidR="00A20444" w:rsidRPr="005C7CCE">
              <w:rPr>
                <w:sz w:val="16"/>
              </w:rPr>
              <w:t>’</w:t>
            </w:r>
            <w:r w:rsidRPr="005C7CCE">
              <w:rPr>
                <w:sz w:val="16"/>
              </w:rPr>
              <w:t>appui et/ou d</w:t>
            </w:r>
            <w:r w:rsidR="00A20444" w:rsidRPr="005C7CCE">
              <w:rPr>
                <w:sz w:val="16"/>
              </w:rPr>
              <w:t>’</w:t>
            </w:r>
            <w:r w:rsidRPr="005C7CCE">
              <w:rPr>
                <w:sz w:val="16"/>
              </w:rPr>
              <w:t>orientation ou de consultation sur la gestion des actifs de propriété intellectuelle.</w:t>
            </w:r>
          </w:p>
        </w:tc>
        <w:tc>
          <w:tcPr>
            <w:tcW w:w="572" w:type="pct"/>
            <w:tcMar>
              <w:top w:w="110" w:type="dxa"/>
            </w:tcMar>
          </w:tcPr>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r w:rsidR="00784E52" w:rsidRPr="005C7CCE" w:rsidTr="006D16B6">
        <w:trPr>
          <w:cantSplit/>
        </w:trPr>
        <w:tc>
          <w:tcPr>
            <w:tcW w:w="890" w:type="pct"/>
            <w:gridSpan w:val="2"/>
          </w:tcPr>
          <w:p w:rsidR="00784E52" w:rsidRPr="00DE1804" w:rsidRDefault="00784E52" w:rsidP="001A5BF9">
            <w:pPr>
              <w:rPr>
                <w:rFonts w:cs="Arial"/>
                <w:sz w:val="16"/>
                <w:szCs w:val="16"/>
                <w:lang w:bidi="th-TH"/>
              </w:rPr>
            </w:pPr>
            <w:r w:rsidRPr="00DE1804">
              <w:rPr>
                <w:sz w:val="16"/>
              </w:rPr>
              <w:t xml:space="preserve">Nombre de programmes de formation nationaux et régionaux sur la gestion des actifs de propriété intellectuelle </w:t>
            </w:r>
          </w:p>
        </w:tc>
        <w:tc>
          <w:tcPr>
            <w:tcW w:w="822" w:type="pct"/>
            <w:gridSpan w:val="2"/>
            <w:shd w:val="clear" w:color="auto" w:fill="auto"/>
          </w:tcPr>
          <w:p w:rsidR="00784E52" w:rsidRPr="00DE1804" w:rsidRDefault="00784E52" w:rsidP="001A5BF9">
            <w:pPr>
              <w:rPr>
                <w:rFonts w:cs="Arial"/>
                <w:sz w:val="16"/>
                <w:szCs w:val="16"/>
                <w:lang w:bidi="th-TH"/>
              </w:rPr>
            </w:pPr>
            <w:r w:rsidRPr="00DE1804">
              <w:rPr>
                <w:sz w:val="16"/>
              </w:rPr>
              <w:t>24</w:t>
            </w:r>
          </w:p>
        </w:tc>
        <w:tc>
          <w:tcPr>
            <w:tcW w:w="933" w:type="pct"/>
            <w:gridSpan w:val="3"/>
            <w:tcMar>
              <w:top w:w="110" w:type="dxa"/>
            </w:tcMar>
          </w:tcPr>
          <w:p w:rsidR="00784E52" w:rsidRPr="005C7CCE" w:rsidRDefault="00784E52" w:rsidP="001A5BF9">
            <w:pPr>
              <w:rPr>
                <w:rFonts w:cs="Arial"/>
                <w:sz w:val="16"/>
                <w:szCs w:val="16"/>
                <w:lang w:bidi="th-TH"/>
              </w:rPr>
            </w:pPr>
            <w:r w:rsidRPr="005C7CCE">
              <w:rPr>
                <w:sz w:val="16"/>
              </w:rPr>
              <w:t>24 (en 2012</w:t>
            </w:r>
            <w:r w:rsidR="002D6F2A" w:rsidRPr="005C7CCE">
              <w:rPr>
                <w:sz w:val="16"/>
              </w:rPr>
              <w:noBreakHyphen/>
            </w:r>
            <w:r w:rsidRPr="005C7CCE">
              <w:rPr>
                <w:sz w:val="16"/>
              </w:rPr>
              <w:t>2013)</w:t>
            </w:r>
          </w:p>
        </w:tc>
        <w:tc>
          <w:tcPr>
            <w:tcW w:w="1783" w:type="pct"/>
            <w:gridSpan w:val="3"/>
            <w:shd w:val="clear" w:color="auto" w:fill="FFFFFF"/>
            <w:tcMar>
              <w:top w:w="110" w:type="dxa"/>
            </w:tcMar>
          </w:tcPr>
          <w:p w:rsidR="00784E52" w:rsidRPr="005C7CCE" w:rsidRDefault="00784E52" w:rsidP="001A5BF9">
            <w:pPr>
              <w:rPr>
                <w:rFonts w:cs="Arial"/>
                <w:sz w:val="16"/>
                <w:szCs w:val="16"/>
                <w:lang w:bidi="th-TH"/>
              </w:rPr>
            </w:pPr>
            <w:r w:rsidRPr="005C7CCE">
              <w:rPr>
                <w:sz w:val="16"/>
              </w:rPr>
              <w:t>29 programmes de formation sur la gestion des actifs de propriété intellectuelle ont été exécutés au cours de l</w:t>
            </w:r>
            <w:r w:rsidR="00A20444" w:rsidRPr="005C7CCE">
              <w:rPr>
                <w:sz w:val="16"/>
              </w:rPr>
              <w:t>’</w:t>
            </w:r>
            <w:r w:rsidRPr="005C7CCE">
              <w:rPr>
                <w:sz w:val="16"/>
              </w:rPr>
              <w:t>exercice biennal en Afrique et dans des pays arabes, d</w:t>
            </w:r>
            <w:r w:rsidR="00A20444" w:rsidRPr="005C7CCE">
              <w:rPr>
                <w:sz w:val="16"/>
              </w:rPr>
              <w:t>’</w:t>
            </w:r>
            <w:r w:rsidRPr="005C7CCE">
              <w:rPr>
                <w:sz w:val="16"/>
              </w:rPr>
              <w:t>Asie et du Pacifique, d</w:t>
            </w:r>
            <w:r w:rsidR="00A20444" w:rsidRPr="005C7CCE">
              <w:rPr>
                <w:sz w:val="16"/>
              </w:rPr>
              <w:t>’</w:t>
            </w:r>
            <w:r w:rsidRPr="005C7CCE">
              <w:rPr>
                <w:sz w:val="16"/>
              </w:rPr>
              <w:t xml:space="preserve">Amérique latine et des Caraïbes, ainsi que dans des pays en transition. </w:t>
            </w:r>
            <w:r w:rsidR="0010442A" w:rsidRPr="005C7CCE">
              <w:rPr>
                <w:sz w:val="16"/>
              </w:rPr>
              <w:t xml:space="preserve"> 1525</w:t>
            </w:r>
            <w:r w:rsidRPr="005C7CCE">
              <w:rPr>
                <w:sz w:val="16"/>
              </w:rPr>
              <w:t> participants ont été les bénéficiaires directs de ces programmes.</w:t>
            </w:r>
          </w:p>
        </w:tc>
        <w:tc>
          <w:tcPr>
            <w:tcW w:w="572" w:type="pct"/>
            <w:tcMar>
              <w:top w:w="110" w:type="dxa"/>
            </w:tcMar>
          </w:tcPr>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r w:rsidR="00784E52" w:rsidRPr="005C7CCE" w:rsidTr="006D16B6">
        <w:trPr>
          <w:cantSplit/>
        </w:trPr>
        <w:tc>
          <w:tcPr>
            <w:tcW w:w="890" w:type="pct"/>
            <w:gridSpan w:val="2"/>
            <w:tcBorders>
              <w:bottom w:val="single" w:sz="4" w:space="0" w:color="auto"/>
            </w:tcBorders>
          </w:tcPr>
          <w:p w:rsidR="00D42474" w:rsidRDefault="007E442D" w:rsidP="001A5BF9">
            <w:pPr>
              <w:rPr>
                <w:sz w:val="16"/>
              </w:rPr>
            </w:pPr>
            <w:r w:rsidRPr="00DE1804">
              <w:rPr>
                <w:sz w:val="16"/>
              </w:rPr>
              <w:t xml:space="preserve"> %</w:t>
            </w:r>
            <w:r w:rsidR="00784E52" w:rsidRPr="00DE1804">
              <w:rPr>
                <w:sz w:val="16"/>
              </w:rPr>
              <w:t xml:space="preserve"> d</w:t>
            </w:r>
            <w:r w:rsidR="00A20444" w:rsidRPr="00DE1804">
              <w:rPr>
                <w:sz w:val="16"/>
              </w:rPr>
              <w:t>’</w:t>
            </w:r>
            <w:r w:rsidR="00784E52" w:rsidRPr="00DE1804">
              <w:rPr>
                <w:sz w:val="16"/>
              </w:rPr>
              <w:t>organismes de soutien aux PME satisfaits des formations assurées en matière de gestion d</w:t>
            </w:r>
            <w:r w:rsidR="00A20444" w:rsidRPr="00DE1804">
              <w:rPr>
                <w:sz w:val="16"/>
              </w:rPr>
              <w:t>’</w:t>
            </w:r>
            <w:r w:rsidR="00784E52" w:rsidRPr="00DE1804">
              <w:rPr>
                <w:sz w:val="16"/>
              </w:rPr>
              <w:t>actifs de propriété intellectuelle</w:t>
            </w:r>
          </w:p>
          <w:p w:rsidR="00784E52" w:rsidRPr="00DE1804" w:rsidRDefault="00784E52" w:rsidP="001A5BF9">
            <w:pPr>
              <w:rPr>
                <w:rFonts w:cs="Arial"/>
                <w:sz w:val="16"/>
                <w:szCs w:val="16"/>
                <w:lang w:bidi="th-TH"/>
              </w:rPr>
            </w:pPr>
          </w:p>
        </w:tc>
        <w:tc>
          <w:tcPr>
            <w:tcW w:w="822" w:type="pct"/>
            <w:gridSpan w:val="2"/>
            <w:tcBorders>
              <w:bottom w:val="single" w:sz="4" w:space="0" w:color="auto"/>
            </w:tcBorders>
            <w:shd w:val="clear" w:color="auto" w:fill="auto"/>
          </w:tcPr>
          <w:p w:rsidR="00784E52" w:rsidRPr="00DE1804" w:rsidRDefault="00784E52" w:rsidP="001A5BF9">
            <w:pPr>
              <w:rPr>
                <w:rFonts w:cs="Arial"/>
                <w:sz w:val="16"/>
                <w:szCs w:val="16"/>
                <w:lang w:bidi="th-TH"/>
              </w:rPr>
            </w:pPr>
            <w:r w:rsidRPr="00DE1804">
              <w:rPr>
                <w:sz w:val="16"/>
              </w:rPr>
              <w:t>Données non disponibles</w:t>
            </w:r>
          </w:p>
        </w:tc>
        <w:tc>
          <w:tcPr>
            <w:tcW w:w="933" w:type="pct"/>
            <w:gridSpan w:val="3"/>
            <w:tcBorders>
              <w:bottom w:val="single" w:sz="4" w:space="0" w:color="auto"/>
            </w:tcBorders>
            <w:tcMar>
              <w:top w:w="110" w:type="dxa"/>
            </w:tcMar>
          </w:tcPr>
          <w:p w:rsidR="00784E52" w:rsidRPr="005C7CCE" w:rsidRDefault="00784E52" w:rsidP="001A5BF9">
            <w:pPr>
              <w:rPr>
                <w:rFonts w:cs="Arial"/>
                <w:sz w:val="16"/>
                <w:szCs w:val="16"/>
                <w:lang w:bidi="th-TH"/>
              </w:rPr>
            </w:pPr>
            <w:r w:rsidRPr="005C7CCE">
              <w:rPr>
                <w:sz w:val="16"/>
              </w:rPr>
              <w:t>À déterminer</w:t>
            </w:r>
          </w:p>
        </w:tc>
        <w:tc>
          <w:tcPr>
            <w:tcW w:w="1783" w:type="pct"/>
            <w:gridSpan w:val="3"/>
            <w:tcBorders>
              <w:bottom w:val="single" w:sz="4" w:space="0" w:color="auto"/>
            </w:tcBorders>
            <w:shd w:val="clear" w:color="auto" w:fill="FFFFFF"/>
            <w:tcMar>
              <w:top w:w="110" w:type="dxa"/>
            </w:tcMar>
          </w:tcPr>
          <w:p w:rsidR="00784E52" w:rsidRPr="005C7CCE" w:rsidRDefault="00784E52" w:rsidP="001A5BF9">
            <w:pPr>
              <w:rPr>
                <w:rFonts w:cs="Arial"/>
                <w:sz w:val="16"/>
                <w:szCs w:val="16"/>
                <w:lang w:bidi="th-TH"/>
              </w:rPr>
            </w:pPr>
            <w:r w:rsidRPr="005C7CCE">
              <w:rPr>
                <w:sz w:val="16"/>
              </w:rPr>
              <w:t>Dans les enquêtes de 24 programmes de formation (sur 29), 100</w:t>
            </w:r>
            <w:r w:rsidR="007E442D" w:rsidRPr="005C7CCE">
              <w:rPr>
                <w:sz w:val="16"/>
              </w:rPr>
              <w:t>%</w:t>
            </w:r>
            <w:r w:rsidRPr="005C7CCE">
              <w:rPr>
                <w:sz w:val="16"/>
              </w:rPr>
              <w:t xml:space="preserve"> des institutions d</w:t>
            </w:r>
            <w:r w:rsidR="00A20444" w:rsidRPr="005C7CCE">
              <w:rPr>
                <w:sz w:val="16"/>
              </w:rPr>
              <w:t>’</w:t>
            </w:r>
            <w:r w:rsidRPr="005C7CCE">
              <w:rPr>
                <w:sz w:val="16"/>
              </w:rPr>
              <w:t>appui aux PME ont été satisfaites de la formation reçue sur la gestion des actifs de propriété intellectuelle.</w:t>
            </w:r>
          </w:p>
        </w:tc>
        <w:tc>
          <w:tcPr>
            <w:tcW w:w="572" w:type="pct"/>
            <w:tcBorders>
              <w:bottom w:val="single" w:sz="4" w:space="0" w:color="auto"/>
            </w:tcBorders>
            <w:tcMar>
              <w:top w:w="110" w:type="dxa"/>
            </w:tcMar>
          </w:tcPr>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bl>
    <w:p w:rsidR="00D42474" w:rsidRDefault="00D42474" w:rsidP="001A5BF9">
      <w:pPr>
        <w:rPr>
          <w:rFonts w:cs="Arial"/>
        </w:rPr>
      </w:pPr>
    </w:p>
    <w:p w:rsidR="00D42474" w:rsidRDefault="00D42474" w:rsidP="001A5BF9">
      <w:pPr>
        <w:rPr>
          <w:rFonts w:cs="Arial"/>
        </w:rPr>
      </w:pPr>
    </w:p>
    <w:p w:rsidR="00D42474" w:rsidRDefault="00D42474" w:rsidP="001A5BF9">
      <w:pPr>
        <w:rPr>
          <w:rFonts w:cs="Arial"/>
        </w:rPr>
      </w:pPr>
    </w:p>
    <w:p w:rsidR="00D42474" w:rsidRDefault="00784E52" w:rsidP="001A5BF9">
      <w:pPr>
        <w:pStyle w:val="NormalWeb"/>
        <w:spacing w:before="0" w:beforeAutospacing="0" w:after="0" w:afterAutospacing="0"/>
        <w:rPr>
          <w:sz w:val="22"/>
          <w:szCs w:val="22"/>
        </w:rPr>
      </w:pPr>
      <w:r w:rsidRPr="00DE1804">
        <w:rPr>
          <w:sz w:val="22"/>
        </w:rPr>
        <w:t>BUDGET ET DÉPENSES EFFECTIVES</w:t>
      </w:r>
    </w:p>
    <w:p w:rsidR="00D42474" w:rsidRDefault="00D42474" w:rsidP="001A5BF9">
      <w:pPr>
        <w:pStyle w:val="NormalWeb"/>
        <w:spacing w:before="0" w:beforeAutospacing="0" w:after="0" w:afterAutospacing="0"/>
        <w:jc w:val="center"/>
        <w:rPr>
          <w:sz w:val="22"/>
          <w:szCs w:val="22"/>
        </w:rPr>
      </w:pPr>
    </w:p>
    <w:p w:rsidR="00D42474" w:rsidRDefault="00784E52" w:rsidP="001A5BF9">
      <w:pPr>
        <w:pStyle w:val="NormalWeb"/>
        <w:spacing w:before="0" w:beforeAutospacing="0" w:after="0" w:afterAutospacing="0"/>
        <w:jc w:val="center"/>
        <w:rPr>
          <w:sz w:val="20"/>
          <w:szCs w:val="20"/>
        </w:rPr>
      </w:pPr>
      <w:r w:rsidRPr="00DE1804">
        <w:rPr>
          <w:sz w:val="20"/>
        </w:rPr>
        <w:t>Budget et dépenses effectives (par résultat)</w:t>
      </w:r>
    </w:p>
    <w:p w:rsidR="00D42474" w:rsidRDefault="00784E52" w:rsidP="001A5BF9">
      <w:pPr>
        <w:pStyle w:val="NormalWeb"/>
        <w:spacing w:before="0" w:beforeAutospacing="0" w:after="0" w:afterAutospacing="0"/>
        <w:jc w:val="center"/>
        <w:rPr>
          <w:i/>
          <w:iCs/>
          <w:sz w:val="20"/>
          <w:szCs w:val="20"/>
        </w:rPr>
      </w:pPr>
      <w:r w:rsidRPr="00DE1804">
        <w:rPr>
          <w:i/>
          <w:sz w:val="20"/>
        </w:rPr>
        <w:t>(</w:t>
      </w:r>
      <w:proofErr w:type="gramStart"/>
      <w:r w:rsidRPr="00DE1804">
        <w:rPr>
          <w:i/>
          <w:sz w:val="20"/>
        </w:rPr>
        <w:t>en</w:t>
      </w:r>
      <w:proofErr w:type="gramEnd"/>
      <w:r w:rsidRPr="00DE1804">
        <w:rPr>
          <w:i/>
          <w:sz w:val="20"/>
        </w:rPr>
        <w:t xml:space="preserve"> milliers de francs suisses)</w:t>
      </w:r>
    </w:p>
    <w:p w:rsidR="00784E52" w:rsidRPr="00DE1804" w:rsidRDefault="00784E52" w:rsidP="001A5BF9">
      <w:pPr>
        <w:pStyle w:val="NormalWeb"/>
        <w:spacing w:before="0" w:beforeAutospacing="0" w:after="0" w:afterAutospacing="0"/>
        <w:jc w:val="center"/>
        <w:rPr>
          <w:i/>
          <w:iCs/>
          <w:sz w:val="22"/>
          <w:szCs w:val="22"/>
        </w:rPr>
      </w:pPr>
    </w:p>
    <w:tbl>
      <w:tblPr>
        <w:tblW w:w="0" w:type="auto"/>
        <w:tblInd w:w="108" w:type="dxa"/>
        <w:tblLayout w:type="fixed"/>
        <w:tblLook w:val="04A0" w:firstRow="1" w:lastRow="0" w:firstColumn="1" w:lastColumn="0" w:noHBand="0" w:noVBand="1"/>
      </w:tblPr>
      <w:tblGrid>
        <w:gridCol w:w="714"/>
        <w:gridCol w:w="4673"/>
        <w:gridCol w:w="1357"/>
        <w:gridCol w:w="1357"/>
        <w:gridCol w:w="1357"/>
      </w:tblGrid>
      <w:tr w:rsidR="00784E52" w:rsidRPr="00DE1804" w:rsidTr="00BB3F3E">
        <w:tc>
          <w:tcPr>
            <w:tcW w:w="5387"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DE1804" w:rsidRDefault="00784E52" w:rsidP="001A5BF9">
            <w:pPr>
              <w:spacing w:before="120" w:after="120"/>
              <w:jc w:val="center"/>
              <w:rPr>
                <w:rFonts w:cs="Arial"/>
                <w:bCs/>
                <w:sz w:val="16"/>
                <w:szCs w:val="16"/>
              </w:rPr>
            </w:pPr>
            <w:r w:rsidRPr="00DE1804">
              <w:rPr>
                <w:sz w:val="16"/>
              </w:rPr>
              <w:t>Numéro et description du résultat escompté</w:t>
            </w:r>
          </w:p>
        </w:tc>
        <w:tc>
          <w:tcPr>
            <w:tcW w:w="1357" w:type="dxa"/>
            <w:tcBorders>
              <w:top w:val="single" w:sz="4" w:space="0" w:color="auto"/>
              <w:left w:val="nil"/>
              <w:bottom w:val="single" w:sz="4" w:space="0" w:color="auto"/>
              <w:right w:val="single" w:sz="4" w:space="0" w:color="auto"/>
            </w:tcBorders>
            <w:shd w:val="clear" w:color="000000" w:fill="CCFFFF"/>
            <w:vAlign w:val="center"/>
          </w:tcPr>
          <w:p w:rsidR="00784E52" w:rsidRPr="00DE1804" w:rsidRDefault="00784E52" w:rsidP="001A5BF9">
            <w:pPr>
              <w:spacing w:before="120" w:after="120"/>
              <w:jc w:val="center"/>
              <w:rPr>
                <w:rFonts w:cs="Arial"/>
                <w:bCs/>
                <w:sz w:val="16"/>
                <w:szCs w:val="16"/>
              </w:rPr>
            </w:pPr>
            <w:r w:rsidRPr="00DE1804">
              <w:rPr>
                <w:sz w:val="16"/>
              </w:rPr>
              <w:t>Budget</w:t>
            </w:r>
            <w:r w:rsidRPr="00DE1804">
              <w:br/>
            </w:r>
            <w:r w:rsidRPr="00DE1804">
              <w:rPr>
                <w:sz w:val="16"/>
              </w:rPr>
              <w:t>2012–2013 approuvé</w:t>
            </w:r>
          </w:p>
        </w:tc>
        <w:tc>
          <w:tcPr>
            <w:tcW w:w="1357" w:type="dxa"/>
            <w:tcBorders>
              <w:top w:val="single" w:sz="4" w:space="0" w:color="auto"/>
              <w:left w:val="nil"/>
              <w:bottom w:val="single" w:sz="4" w:space="0" w:color="auto"/>
              <w:right w:val="single" w:sz="4" w:space="0" w:color="auto"/>
            </w:tcBorders>
            <w:shd w:val="clear" w:color="000000" w:fill="CCFFFF"/>
            <w:vAlign w:val="center"/>
          </w:tcPr>
          <w:p w:rsidR="00784E52" w:rsidRPr="00DE1804" w:rsidRDefault="00784E52" w:rsidP="001A5BF9">
            <w:pPr>
              <w:spacing w:before="120" w:after="120"/>
              <w:jc w:val="center"/>
              <w:rPr>
                <w:rFonts w:cs="Arial"/>
                <w:bCs/>
                <w:sz w:val="16"/>
                <w:szCs w:val="16"/>
              </w:rPr>
            </w:pPr>
            <w:r w:rsidRPr="00DE1804">
              <w:rPr>
                <w:sz w:val="16"/>
              </w:rPr>
              <w:t>Budget</w:t>
            </w:r>
            <w:r w:rsidRPr="00DE1804">
              <w:br/>
            </w:r>
            <w:r w:rsidRPr="00DE1804">
              <w:rPr>
                <w:sz w:val="16"/>
              </w:rPr>
              <w:t>2012</w:t>
            </w:r>
            <w:r w:rsidR="002D6F2A" w:rsidRPr="00DE1804">
              <w:rPr>
                <w:sz w:val="16"/>
              </w:rPr>
              <w:noBreakHyphen/>
            </w:r>
            <w:r w:rsidRPr="00DE1804">
              <w:rPr>
                <w:sz w:val="16"/>
              </w:rPr>
              <w:t>2013 après virements</w:t>
            </w:r>
          </w:p>
        </w:tc>
        <w:tc>
          <w:tcPr>
            <w:tcW w:w="1357" w:type="dxa"/>
            <w:tcBorders>
              <w:top w:val="single" w:sz="4" w:space="0" w:color="auto"/>
              <w:left w:val="nil"/>
              <w:bottom w:val="single" w:sz="4" w:space="0" w:color="auto"/>
              <w:right w:val="single" w:sz="4" w:space="0" w:color="auto"/>
            </w:tcBorders>
            <w:shd w:val="clear" w:color="000000" w:fill="CCFFFF"/>
            <w:vAlign w:val="center"/>
          </w:tcPr>
          <w:p w:rsidR="00784E52" w:rsidRPr="00DE1804" w:rsidRDefault="00784E52" w:rsidP="001A5BF9">
            <w:pPr>
              <w:spacing w:before="120" w:after="120"/>
              <w:jc w:val="center"/>
              <w:rPr>
                <w:rFonts w:cs="Arial"/>
                <w:bCs/>
                <w:sz w:val="16"/>
                <w:szCs w:val="16"/>
              </w:rPr>
            </w:pPr>
            <w:r w:rsidRPr="00DE1804">
              <w:rPr>
                <w:sz w:val="16"/>
              </w:rPr>
              <w:t>Dépenses</w:t>
            </w:r>
            <w:r w:rsidRPr="00DE1804">
              <w:br/>
            </w:r>
            <w:r w:rsidRPr="00DE1804">
              <w:rPr>
                <w:sz w:val="16"/>
              </w:rPr>
              <w:t>2012</w:t>
            </w:r>
            <w:r w:rsidR="002D6F2A" w:rsidRPr="00DE1804">
              <w:rPr>
                <w:sz w:val="16"/>
              </w:rPr>
              <w:noBreakHyphen/>
            </w:r>
            <w:r w:rsidRPr="00DE1804">
              <w:rPr>
                <w:sz w:val="16"/>
              </w:rPr>
              <w:t>2013</w:t>
            </w:r>
          </w:p>
        </w:tc>
      </w:tr>
      <w:tr w:rsidR="00784E52" w:rsidRPr="00DE1804" w:rsidTr="00BB3F3E">
        <w:tc>
          <w:tcPr>
            <w:tcW w:w="714" w:type="dxa"/>
            <w:tcBorders>
              <w:top w:val="nil"/>
              <w:left w:val="single" w:sz="4" w:space="0" w:color="auto"/>
              <w:bottom w:val="nil"/>
              <w:right w:val="nil"/>
            </w:tcBorders>
            <w:shd w:val="clear" w:color="000000" w:fill="FFFFFF"/>
            <w:noWrap/>
          </w:tcPr>
          <w:p w:rsidR="00784E52" w:rsidRPr="00DE1804" w:rsidRDefault="00784E52" w:rsidP="001A5BF9">
            <w:pPr>
              <w:spacing w:before="120"/>
              <w:jc w:val="center"/>
              <w:rPr>
                <w:rFonts w:cs="Arial"/>
                <w:sz w:val="16"/>
                <w:szCs w:val="16"/>
              </w:rPr>
            </w:pPr>
            <w:proofErr w:type="spellStart"/>
            <w:r w:rsidRPr="00DE1804">
              <w:rPr>
                <w:sz w:val="16"/>
              </w:rPr>
              <w:t>III.1</w:t>
            </w:r>
            <w:proofErr w:type="spellEnd"/>
          </w:p>
        </w:tc>
        <w:tc>
          <w:tcPr>
            <w:tcW w:w="4673" w:type="dxa"/>
            <w:tcBorders>
              <w:top w:val="nil"/>
              <w:left w:val="nil"/>
              <w:bottom w:val="nil"/>
              <w:right w:val="nil"/>
            </w:tcBorders>
            <w:shd w:val="clear" w:color="000000" w:fill="FFFFFF"/>
          </w:tcPr>
          <w:p w:rsidR="00784E52" w:rsidRPr="00DE1804" w:rsidRDefault="00784E52" w:rsidP="001A5BF9">
            <w:pPr>
              <w:spacing w:before="120"/>
              <w:rPr>
                <w:rFonts w:cs="Arial"/>
                <w:sz w:val="16"/>
                <w:szCs w:val="16"/>
              </w:rPr>
            </w:pPr>
            <w:r w:rsidRPr="00DE1804">
              <w:rPr>
                <w:sz w:val="16"/>
              </w:rPr>
              <w:t>Politiques, stratégies et plans de développement nationaux clairement définis et cohérents en matière d</w:t>
            </w:r>
            <w:r w:rsidR="00A20444" w:rsidRPr="00DE1804">
              <w:rPr>
                <w:sz w:val="16"/>
              </w:rPr>
              <w:t>’</w:t>
            </w:r>
            <w:r w:rsidRPr="00DE1804">
              <w:rPr>
                <w:sz w:val="16"/>
              </w:rPr>
              <w:t>innovation et de propriété intellectuelle, conformes aux objectifs et aux priorités de développement à l</w:t>
            </w:r>
            <w:r w:rsidR="00A20444" w:rsidRPr="00DE1804">
              <w:rPr>
                <w:sz w:val="16"/>
              </w:rPr>
              <w:t>’</w:t>
            </w:r>
            <w:r w:rsidRPr="00DE1804">
              <w:rPr>
                <w:sz w:val="16"/>
              </w:rPr>
              <w:t>échelle nationale</w:t>
            </w:r>
          </w:p>
        </w:tc>
        <w:tc>
          <w:tcPr>
            <w:tcW w:w="1357"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 </w:t>
            </w:r>
          </w:p>
        </w:tc>
        <w:tc>
          <w:tcPr>
            <w:tcW w:w="1357"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257</w:t>
            </w:r>
          </w:p>
        </w:tc>
        <w:tc>
          <w:tcPr>
            <w:tcW w:w="1357" w:type="dxa"/>
            <w:tcBorders>
              <w:top w:val="nil"/>
              <w:left w:val="nil"/>
              <w:bottom w:val="nil"/>
              <w:right w:val="single" w:sz="4" w:space="0" w:color="auto"/>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198</w:t>
            </w:r>
          </w:p>
        </w:tc>
      </w:tr>
      <w:tr w:rsidR="00784E52" w:rsidRPr="00DE1804" w:rsidTr="00BB3F3E">
        <w:tc>
          <w:tcPr>
            <w:tcW w:w="714" w:type="dxa"/>
            <w:tcBorders>
              <w:top w:val="nil"/>
              <w:left w:val="single" w:sz="4" w:space="0" w:color="auto"/>
              <w:bottom w:val="nil"/>
              <w:right w:val="nil"/>
            </w:tcBorders>
            <w:shd w:val="clear" w:color="000000" w:fill="FFFFFF"/>
            <w:noWrap/>
          </w:tcPr>
          <w:p w:rsidR="00784E52" w:rsidRPr="00DE1804" w:rsidRDefault="00784E52" w:rsidP="001A5BF9">
            <w:pPr>
              <w:spacing w:before="120"/>
              <w:jc w:val="center"/>
              <w:rPr>
                <w:rFonts w:cs="Arial"/>
                <w:sz w:val="16"/>
                <w:szCs w:val="16"/>
              </w:rPr>
            </w:pPr>
            <w:proofErr w:type="spellStart"/>
            <w:r w:rsidRPr="00DE1804">
              <w:rPr>
                <w:sz w:val="16"/>
              </w:rPr>
              <w:t>III.2</w:t>
            </w:r>
            <w:proofErr w:type="spellEnd"/>
          </w:p>
        </w:tc>
        <w:tc>
          <w:tcPr>
            <w:tcW w:w="4673" w:type="dxa"/>
            <w:tcBorders>
              <w:top w:val="nil"/>
              <w:left w:val="nil"/>
              <w:bottom w:val="nil"/>
              <w:right w:val="nil"/>
            </w:tcBorders>
            <w:shd w:val="clear" w:color="000000" w:fill="FFFFFF"/>
          </w:tcPr>
          <w:p w:rsidR="00784E52" w:rsidRPr="00DE1804" w:rsidRDefault="00784E52" w:rsidP="001A5BF9">
            <w:pPr>
              <w:spacing w:before="120"/>
              <w:rPr>
                <w:rFonts w:cs="Arial"/>
                <w:sz w:val="16"/>
                <w:szCs w:val="16"/>
              </w:rPr>
            </w:pPr>
            <w:r w:rsidRPr="00DE1804">
              <w:rPr>
                <w:sz w:val="16"/>
              </w:rPr>
              <w:t>Renforcement des capacités en matière de ressources humaines pour pouvoir répondre aux nombreuses exigences en ce qui concerne l</w:t>
            </w:r>
            <w:r w:rsidR="00A20444" w:rsidRPr="00DE1804">
              <w:rPr>
                <w:sz w:val="16"/>
              </w:rPr>
              <w:t>’</w:t>
            </w:r>
            <w:r w:rsidRPr="00DE1804">
              <w:rPr>
                <w:sz w:val="16"/>
              </w:rPr>
              <w:t>utilisation efficace de la propriété intellectuelle au service du développement dans les pays en développement,</w:t>
            </w:r>
            <w:r w:rsidR="00A20444" w:rsidRPr="00DE1804">
              <w:rPr>
                <w:sz w:val="16"/>
              </w:rPr>
              <w:t xml:space="preserve"> les PMA</w:t>
            </w:r>
            <w:r w:rsidRPr="00DE1804">
              <w:rPr>
                <w:sz w:val="16"/>
              </w:rPr>
              <w:t xml:space="preserve"> et les pays en transition</w:t>
            </w:r>
          </w:p>
        </w:tc>
        <w:tc>
          <w:tcPr>
            <w:tcW w:w="1357"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 xml:space="preserve">2 433 </w:t>
            </w:r>
          </w:p>
        </w:tc>
        <w:tc>
          <w:tcPr>
            <w:tcW w:w="1357"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1 915</w:t>
            </w:r>
          </w:p>
        </w:tc>
        <w:tc>
          <w:tcPr>
            <w:tcW w:w="1357" w:type="dxa"/>
            <w:tcBorders>
              <w:top w:val="nil"/>
              <w:left w:val="nil"/>
              <w:bottom w:val="nil"/>
              <w:right w:val="single" w:sz="4" w:space="0" w:color="auto"/>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1 809</w:t>
            </w:r>
          </w:p>
        </w:tc>
      </w:tr>
      <w:tr w:rsidR="00784E52" w:rsidRPr="00DE1804" w:rsidTr="00BB3F3E">
        <w:tc>
          <w:tcPr>
            <w:tcW w:w="714" w:type="dxa"/>
            <w:tcBorders>
              <w:top w:val="nil"/>
              <w:left w:val="single" w:sz="4" w:space="0" w:color="auto"/>
              <w:bottom w:val="nil"/>
              <w:right w:val="nil"/>
            </w:tcBorders>
            <w:shd w:val="clear" w:color="000000" w:fill="FFFFFF"/>
            <w:noWrap/>
          </w:tcPr>
          <w:p w:rsidR="00784E52" w:rsidRPr="00DE1804" w:rsidRDefault="00784E52" w:rsidP="001A5BF9">
            <w:pPr>
              <w:spacing w:before="120"/>
              <w:jc w:val="center"/>
              <w:rPr>
                <w:rFonts w:cs="Arial"/>
                <w:sz w:val="16"/>
                <w:szCs w:val="16"/>
              </w:rPr>
            </w:pPr>
            <w:proofErr w:type="spellStart"/>
            <w:r w:rsidRPr="00DE1804">
              <w:rPr>
                <w:sz w:val="16"/>
              </w:rPr>
              <w:t>III.11</w:t>
            </w:r>
            <w:proofErr w:type="spellEnd"/>
          </w:p>
        </w:tc>
        <w:tc>
          <w:tcPr>
            <w:tcW w:w="4673" w:type="dxa"/>
            <w:tcBorders>
              <w:top w:val="nil"/>
              <w:left w:val="nil"/>
              <w:bottom w:val="nil"/>
              <w:right w:val="nil"/>
            </w:tcBorders>
            <w:shd w:val="clear" w:color="000000" w:fill="FFFFFF"/>
          </w:tcPr>
          <w:p w:rsidR="00784E52" w:rsidRPr="00DE1804" w:rsidRDefault="00784E52" w:rsidP="001A5BF9">
            <w:pPr>
              <w:spacing w:before="120"/>
              <w:rPr>
                <w:rFonts w:cs="Arial"/>
                <w:sz w:val="16"/>
                <w:szCs w:val="16"/>
              </w:rPr>
            </w:pPr>
            <w:r w:rsidRPr="00DE1804">
              <w:rPr>
                <w:sz w:val="16"/>
              </w:rPr>
              <w:t>Renforcement des capacités</w:t>
            </w:r>
            <w:r w:rsidR="00A20444" w:rsidRPr="00DE1804">
              <w:rPr>
                <w:sz w:val="16"/>
              </w:rPr>
              <w:t xml:space="preserve"> des PME</w:t>
            </w:r>
            <w:r w:rsidRPr="00DE1804">
              <w:rPr>
                <w:sz w:val="16"/>
              </w:rPr>
              <w:t xml:space="preserve"> de mettre la propriété intellectuelle en faveur de l</w:t>
            </w:r>
            <w:r w:rsidR="00A20444" w:rsidRPr="00DE1804">
              <w:rPr>
                <w:sz w:val="16"/>
              </w:rPr>
              <w:t>’</w:t>
            </w:r>
            <w:r w:rsidRPr="00DE1804">
              <w:rPr>
                <w:sz w:val="16"/>
              </w:rPr>
              <w:t>innovation et de la commercialisation</w:t>
            </w:r>
          </w:p>
        </w:tc>
        <w:tc>
          <w:tcPr>
            <w:tcW w:w="1357"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 xml:space="preserve">5 253 </w:t>
            </w:r>
          </w:p>
        </w:tc>
        <w:tc>
          <w:tcPr>
            <w:tcW w:w="1357"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3 724</w:t>
            </w:r>
          </w:p>
        </w:tc>
        <w:tc>
          <w:tcPr>
            <w:tcW w:w="1357" w:type="dxa"/>
            <w:tcBorders>
              <w:top w:val="nil"/>
              <w:left w:val="nil"/>
              <w:bottom w:val="nil"/>
              <w:right w:val="single" w:sz="4" w:space="0" w:color="auto"/>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3 171</w:t>
            </w:r>
          </w:p>
        </w:tc>
      </w:tr>
      <w:tr w:rsidR="00784E52" w:rsidRPr="00DE1804" w:rsidTr="00BB3F3E">
        <w:tc>
          <w:tcPr>
            <w:tcW w:w="714" w:type="dxa"/>
            <w:tcBorders>
              <w:top w:val="nil"/>
              <w:left w:val="single" w:sz="4" w:space="0" w:color="auto"/>
              <w:bottom w:val="nil"/>
              <w:right w:val="nil"/>
            </w:tcBorders>
            <w:shd w:val="clear" w:color="000000" w:fill="FFFFFF"/>
            <w:noWrap/>
          </w:tcPr>
          <w:p w:rsidR="00784E52" w:rsidRPr="00DE1804" w:rsidRDefault="00784E52" w:rsidP="001A5BF9">
            <w:pPr>
              <w:spacing w:before="120"/>
              <w:jc w:val="center"/>
              <w:rPr>
                <w:rFonts w:cs="Arial"/>
                <w:sz w:val="16"/>
                <w:szCs w:val="16"/>
              </w:rPr>
            </w:pPr>
            <w:proofErr w:type="spellStart"/>
            <w:r w:rsidRPr="00DE1804">
              <w:rPr>
                <w:sz w:val="16"/>
              </w:rPr>
              <w:t>IV.2</w:t>
            </w:r>
            <w:proofErr w:type="spellEnd"/>
          </w:p>
        </w:tc>
        <w:tc>
          <w:tcPr>
            <w:tcW w:w="4673" w:type="dxa"/>
            <w:tcBorders>
              <w:top w:val="nil"/>
              <w:left w:val="nil"/>
              <w:bottom w:val="nil"/>
              <w:right w:val="nil"/>
            </w:tcBorders>
            <w:shd w:val="clear" w:color="000000" w:fill="FFFFFF"/>
          </w:tcPr>
          <w:p w:rsidR="00784E52" w:rsidRPr="00DE1804" w:rsidRDefault="00784E52" w:rsidP="001A5BF9">
            <w:pPr>
              <w:spacing w:before="120"/>
              <w:rPr>
                <w:rFonts w:cs="Arial"/>
                <w:sz w:val="16"/>
                <w:szCs w:val="16"/>
              </w:rPr>
            </w:pPr>
            <w:r w:rsidRPr="00DE1804">
              <w:rPr>
                <w:sz w:val="16"/>
              </w:rPr>
              <w:t>Accès amélioré à l</w:t>
            </w:r>
            <w:r w:rsidR="00A20444" w:rsidRPr="00DE1804">
              <w:rPr>
                <w:sz w:val="16"/>
              </w:rPr>
              <w:t>’</w:t>
            </w:r>
            <w:r w:rsidRPr="00DE1804">
              <w:rPr>
                <w:sz w:val="16"/>
              </w:rPr>
              <w:t>information et aux savoirs en matière de propriété intellectuelle, et meilleure utilisation de cette information et de ces savoirs, par les institutions de propriété intellectuelle et le public, pour promouvoir l</w:t>
            </w:r>
            <w:r w:rsidR="00A20444" w:rsidRPr="00DE1804">
              <w:rPr>
                <w:sz w:val="16"/>
              </w:rPr>
              <w:t>’</w:t>
            </w:r>
            <w:r w:rsidRPr="00DE1804">
              <w:rPr>
                <w:sz w:val="16"/>
              </w:rPr>
              <w:t>innovation et faciliter l</w:t>
            </w:r>
            <w:r w:rsidR="00A20444" w:rsidRPr="00DE1804">
              <w:rPr>
                <w:sz w:val="16"/>
              </w:rPr>
              <w:t>’</w:t>
            </w:r>
            <w:r w:rsidRPr="00DE1804">
              <w:rPr>
                <w:sz w:val="16"/>
              </w:rPr>
              <w:t>accès aux œuvres de création protégées et aux œuvres de création dans le domaine public</w:t>
            </w:r>
          </w:p>
        </w:tc>
        <w:tc>
          <w:tcPr>
            <w:tcW w:w="1357"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 xml:space="preserve">3 207 </w:t>
            </w:r>
          </w:p>
        </w:tc>
        <w:tc>
          <w:tcPr>
            <w:tcW w:w="1357" w:type="dxa"/>
            <w:tcBorders>
              <w:top w:val="nil"/>
              <w:left w:val="nil"/>
              <w:bottom w:val="nil"/>
              <w:right w:val="nil"/>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2 873</w:t>
            </w:r>
          </w:p>
        </w:tc>
        <w:tc>
          <w:tcPr>
            <w:tcW w:w="1357" w:type="dxa"/>
            <w:tcBorders>
              <w:top w:val="nil"/>
              <w:left w:val="nil"/>
              <w:bottom w:val="nil"/>
              <w:right w:val="single" w:sz="4" w:space="0" w:color="auto"/>
            </w:tcBorders>
            <w:shd w:val="clear" w:color="000000" w:fill="FFFFFF"/>
            <w:vAlign w:val="center"/>
          </w:tcPr>
          <w:p w:rsidR="00784E52" w:rsidRPr="00DE1804" w:rsidRDefault="00784E52" w:rsidP="001A5BF9">
            <w:pPr>
              <w:spacing w:before="120"/>
              <w:jc w:val="right"/>
              <w:rPr>
                <w:rFonts w:cs="Arial"/>
                <w:sz w:val="16"/>
                <w:szCs w:val="16"/>
              </w:rPr>
            </w:pPr>
            <w:r w:rsidRPr="00DE1804">
              <w:rPr>
                <w:sz w:val="16"/>
              </w:rPr>
              <w:t>1 968</w:t>
            </w:r>
          </w:p>
        </w:tc>
      </w:tr>
      <w:tr w:rsidR="00784E52" w:rsidRPr="00DE1804" w:rsidTr="00BB3F3E">
        <w:tc>
          <w:tcPr>
            <w:tcW w:w="714" w:type="dxa"/>
            <w:tcBorders>
              <w:top w:val="nil"/>
              <w:left w:val="single" w:sz="4" w:space="0" w:color="auto"/>
              <w:bottom w:val="single" w:sz="4" w:space="0" w:color="auto"/>
              <w:right w:val="nil"/>
            </w:tcBorders>
            <w:shd w:val="clear" w:color="000000" w:fill="FFFFFF"/>
            <w:noWrap/>
          </w:tcPr>
          <w:p w:rsidR="00784E52" w:rsidRPr="00DE1804" w:rsidRDefault="00784E52" w:rsidP="001A5BF9">
            <w:pPr>
              <w:spacing w:before="120" w:after="120"/>
              <w:jc w:val="center"/>
              <w:rPr>
                <w:rFonts w:cs="Arial"/>
                <w:sz w:val="16"/>
                <w:szCs w:val="16"/>
              </w:rPr>
            </w:pPr>
            <w:proofErr w:type="spellStart"/>
            <w:r w:rsidRPr="00DE1804">
              <w:rPr>
                <w:sz w:val="16"/>
              </w:rPr>
              <w:t>VII.3</w:t>
            </w:r>
            <w:proofErr w:type="spellEnd"/>
          </w:p>
        </w:tc>
        <w:tc>
          <w:tcPr>
            <w:tcW w:w="4673" w:type="dxa"/>
            <w:tcBorders>
              <w:top w:val="nil"/>
              <w:left w:val="nil"/>
              <w:bottom w:val="single" w:sz="4" w:space="0" w:color="auto"/>
              <w:right w:val="nil"/>
            </w:tcBorders>
            <w:shd w:val="clear" w:color="000000" w:fill="FFFFFF"/>
          </w:tcPr>
          <w:p w:rsidR="00784E52" w:rsidRPr="00DE1804" w:rsidRDefault="00784E52" w:rsidP="001A5BF9">
            <w:pPr>
              <w:spacing w:before="120" w:after="120"/>
              <w:rPr>
                <w:rFonts w:cs="Arial"/>
                <w:sz w:val="16"/>
                <w:szCs w:val="16"/>
              </w:rPr>
            </w:pPr>
            <w:r w:rsidRPr="00DE1804">
              <w:rPr>
                <w:sz w:val="16"/>
              </w:rPr>
              <w:t>Les instruments axés sur la propriété intellectuelle sont utilisés pour le transfert de technologie entre les pays développés et les pays en développement, notamment les pays les moins avancés, pour répondre aux défis mondiaux</w:t>
            </w:r>
          </w:p>
        </w:tc>
        <w:tc>
          <w:tcPr>
            <w:tcW w:w="1357" w:type="dxa"/>
            <w:tcBorders>
              <w:top w:val="nil"/>
              <w:left w:val="nil"/>
              <w:bottom w:val="single" w:sz="4" w:space="0" w:color="auto"/>
              <w:right w:val="nil"/>
            </w:tcBorders>
            <w:shd w:val="clear" w:color="000000" w:fill="FFFFFF"/>
            <w:vAlign w:val="center"/>
          </w:tcPr>
          <w:p w:rsidR="00784E52" w:rsidRPr="00DE1804" w:rsidRDefault="00784E52" w:rsidP="001A5BF9">
            <w:pPr>
              <w:spacing w:before="120" w:after="120"/>
              <w:jc w:val="right"/>
              <w:rPr>
                <w:rFonts w:cs="Arial"/>
                <w:sz w:val="16"/>
                <w:szCs w:val="16"/>
              </w:rPr>
            </w:pPr>
            <w:r w:rsidRPr="00DE1804">
              <w:rPr>
                <w:sz w:val="16"/>
              </w:rPr>
              <w:t xml:space="preserve">368 </w:t>
            </w:r>
          </w:p>
        </w:tc>
        <w:tc>
          <w:tcPr>
            <w:tcW w:w="1357" w:type="dxa"/>
            <w:tcBorders>
              <w:top w:val="nil"/>
              <w:left w:val="nil"/>
              <w:bottom w:val="single" w:sz="4" w:space="0" w:color="auto"/>
              <w:right w:val="nil"/>
            </w:tcBorders>
            <w:shd w:val="clear" w:color="000000" w:fill="FFFFFF"/>
            <w:vAlign w:val="center"/>
          </w:tcPr>
          <w:p w:rsidR="00784E52" w:rsidRPr="00DE1804" w:rsidRDefault="00784E52" w:rsidP="001A5BF9">
            <w:pPr>
              <w:spacing w:before="120" w:after="120"/>
              <w:jc w:val="right"/>
              <w:rPr>
                <w:rFonts w:cs="Arial"/>
                <w:sz w:val="16"/>
                <w:szCs w:val="16"/>
              </w:rPr>
            </w:pPr>
            <w:r w:rsidRPr="00DE1804">
              <w:rPr>
                <w:sz w:val="16"/>
              </w:rPr>
              <w:t>574</w:t>
            </w:r>
          </w:p>
        </w:tc>
        <w:tc>
          <w:tcPr>
            <w:tcW w:w="1357" w:type="dxa"/>
            <w:tcBorders>
              <w:top w:val="nil"/>
              <w:left w:val="nil"/>
              <w:bottom w:val="single" w:sz="4" w:space="0" w:color="auto"/>
              <w:right w:val="single" w:sz="4" w:space="0" w:color="auto"/>
            </w:tcBorders>
            <w:shd w:val="clear" w:color="000000" w:fill="FFFFFF"/>
            <w:vAlign w:val="center"/>
          </w:tcPr>
          <w:p w:rsidR="00784E52" w:rsidRPr="00DE1804" w:rsidRDefault="00784E52" w:rsidP="001A5BF9">
            <w:pPr>
              <w:spacing w:before="120" w:after="120"/>
              <w:jc w:val="right"/>
              <w:rPr>
                <w:rFonts w:cs="Arial"/>
                <w:sz w:val="16"/>
                <w:szCs w:val="16"/>
              </w:rPr>
            </w:pPr>
            <w:r w:rsidRPr="00DE1804">
              <w:rPr>
                <w:sz w:val="16"/>
              </w:rPr>
              <w:t>45</w:t>
            </w:r>
          </w:p>
        </w:tc>
      </w:tr>
      <w:tr w:rsidR="00784E52" w:rsidRPr="00DE1804" w:rsidTr="00BB3F3E">
        <w:tc>
          <w:tcPr>
            <w:tcW w:w="714" w:type="dxa"/>
            <w:tcBorders>
              <w:top w:val="nil"/>
              <w:left w:val="single" w:sz="4" w:space="0" w:color="auto"/>
              <w:bottom w:val="single" w:sz="4" w:space="0" w:color="auto"/>
              <w:right w:val="nil"/>
            </w:tcBorders>
            <w:shd w:val="clear" w:color="000000" w:fill="CCFFFF"/>
            <w:noWrap/>
            <w:vAlign w:val="bottom"/>
          </w:tcPr>
          <w:p w:rsidR="00784E52" w:rsidRPr="00DE1804" w:rsidRDefault="00784E52" w:rsidP="001A5BF9">
            <w:pPr>
              <w:spacing w:before="120" w:after="120"/>
              <w:jc w:val="center"/>
              <w:rPr>
                <w:rFonts w:cs="Arial"/>
                <w:b/>
                <w:bCs/>
                <w:sz w:val="16"/>
                <w:szCs w:val="16"/>
              </w:rPr>
            </w:pPr>
            <w:r w:rsidRPr="00DE1804">
              <w:rPr>
                <w:b/>
                <w:sz w:val="16"/>
              </w:rPr>
              <w:t> </w:t>
            </w:r>
          </w:p>
        </w:tc>
        <w:tc>
          <w:tcPr>
            <w:tcW w:w="4673" w:type="dxa"/>
            <w:tcBorders>
              <w:top w:val="nil"/>
              <w:left w:val="nil"/>
              <w:bottom w:val="single" w:sz="4" w:space="0" w:color="auto"/>
              <w:right w:val="nil"/>
            </w:tcBorders>
            <w:shd w:val="clear" w:color="000000" w:fill="CCFFFF"/>
            <w:noWrap/>
            <w:vAlign w:val="center"/>
          </w:tcPr>
          <w:p w:rsidR="00784E52" w:rsidRPr="00DE1804" w:rsidRDefault="00784E52" w:rsidP="001A5BF9">
            <w:pPr>
              <w:spacing w:before="120" w:after="120"/>
              <w:rPr>
                <w:rFonts w:cs="Arial"/>
                <w:b/>
                <w:bCs/>
                <w:sz w:val="16"/>
                <w:szCs w:val="16"/>
              </w:rPr>
            </w:pPr>
            <w:r w:rsidRPr="00DE1804">
              <w:rPr>
                <w:b/>
                <w:sz w:val="16"/>
              </w:rPr>
              <w:t>Total</w:t>
            </w:r>
          </w:p>
        </w:tc>
        <w:tc>
          <w:tcPr>
            <w:tcW w:w="1357" w:type="dxa"/>
            <w:tcBorders>
              <w:top w:val="nil"/>
              <w:left w:val="single" w:sz="4" w:space="0" w:color="auto"/>
              <w:bottom w:val="single" w:sz="4" w:space="0" w:color="auto"/>
              <w:right w:val="single" w:sz="4" w:space="0" w:color="auto"/>
            </w:tcBorders>
            <w:shd w:val="clear" w:color="000000" w:fill="CCFFFF"/>
            <w:vAlign w:val="center"/>
          </w:tcPr>
          <w:p w:rsidR="00784E52" w:rsidRPr="00DE1804" w:rsidRDefault="00784E52" w:rsidP="001A5BF9">
            <w:pPr>
              <w:spacing w:before="120" w:after="120"/>
              <w:jc w:val="right"/>
              <w:rPr>
                <w:rFonts w:cs="Arial"/>
                <w:b/>
                <w:bCs/>
                <w:sz w:val="16"/>
                <w:szCs w:val="16"/>
              </w:rPr>
            </w:pPr>
            <w:r w:rsidRPr="00DE1804">
              <w:rPr>
                <w:b/>
                <w:sz w:val="16"/>
              </w:rPr>
              <w:t>11 261</w:t>
            </w:r>
          </w:p>
        </w:tc>
        <w:tc>
          <w:tcPr>
            <w:tcW w:w="1357" w:type="dxa"/>
            <w:tcBorders>
              <w:top w:val="nil"/>
              <w:left w:val="nil"/>
              <w:bottom w:val="single" w:sz="4" w:space="0" w:color="auto"/>
              <w:right w:val="single" w:sz="4" w:space="0" w:color="auto"/>
            </w:tcBorders>
            <w:shd w:val="clear" w:color="000000" w:fill="CCFFFF"/>
            <w:noWrap/>
            <w:vAlign w:val="center"/>
          </w:tcPr>
          <w:p w:rsidR="00784E52" w:rsidRPr="00DE1804" w:rsidRDefault="00784E52" w:rsidP="001A5BF9">
            <w:pPr>
              <w:spacing w:before="120" w:after="120"/>
              <w:jc w:val="right"/>
              <w:rPr>
                <w:rFonts w:cs="Arial"/>
                <w:b/>
                <w:sz w:val="16"/>
                <w:szCs w:val="16"/>
              </w:rPr>
            </w:pPr>
            <w:r w:rsidRPr="00DE1804">
              <w:rPr>
                <w:b/>
                <w:sz w:val="16"/>
              </w:rPr>
              <w:t>9 432</w:t>
            </w:r>
          </w:p>
        </w:tc>
        <w:tc>
          <w:tcPr>
            <w:tcW w:w="1357" w:type="dxa"/>
            <w:tcBorders>
              <w:top w:val="nil"/>
              <w:left w:val="nil"/>
              <w:bottom w:val="single" w:sz="4" w:space="0" w:color="auto"/>
              <w:right w:val="single" w:sz="4" w:space="0" w:color="auto"/>
            </w:tcBorders>
            <w:shd w:val="clear" w:color="000000" w:fill="CCFFFF"/>
            <w:vAlign w:val="center"/>
          </w:tcPr>
          <w:p w:rsidR="00784E52" w:rsidRPr="00DE1804" w:rsidRDefault="00784E52" w:rsidP="001A5BF9">
            <w:pPr>
              <w:spacing w:before="120" w:after="120"/>
              <w:jc w:val="right"/>
              <w:rPr>
                <w:rFonts w:cs="Arial"/>
                <w:b/>
                <w:sz w:val="16"/>
                <w:szCs w:val="16"/>
              </w:rPr>
            </w:pPr>
            <w:r w:rsidRPr="00DE1804">
              <w:rPr>
                <w:b/>
                <w:sz w:val="16"/>
              </w:rPr>
              <w:t>7 191</w:t>
            </w:r>
          </w:p>
        </w:tc>
      </w:tr>
    </w:tbl>
    <w:p w:rsidR="00D42474" w:rsidRDefault="00D42474" w:rsidP="001A5BF9">
      <w:pPr>
        <w:rPr>
          <w:rFonts w:cs="Arial"/>
          <w:color w:val="000000"/>
          <w:szCs w:val="22"/>
        </w:rPr>
      </w:pPr>
    </w:p>
    <w:p w:rsidR="00D42474" w:rsidRDefault="00D42474" w:rsidP="001A5BF9">
      <w:pPr>
        <w:rPr>
          <w:rFonts w:cs="Arial"/>
          <w:color w:val="000000"/>
          <w:szCs w:val="22"/>
        </w:rPr>
      </w:pPr>
    </w:p>
    <w:p w:rsidR="00D42474" w:rsidRDefault="00784E52" w:rsidP="001A5BF9">
      <w:pPr>
        <w:pStyle w:val="NormalWeb"/>
        <w:spacing w:before="0" w:beforeAutospacing="0" w:after="0" w:afterAutospacing="0"/>
        <w:jc w:val="center"/>
        <w:rPr>
          <w:sz w:val="20"/>
        </w:rPr>
      </w:pPr>
      <w:r w:rsidRPr="00DE1804">
        <w:rPr>
          <w:sz w:val="20"/>
        </w:rPr>
        <w:t xml:space="preserve">Budget et dépenses effectives (dépenses de </w:t>
      </w:r>
      <w:proofErr w:type="gramStart"/>
      <w:r w:rsidRPr="00DE1804">
        <w:rPr>
          <w:sz w:val="20"/>
        </w:rPr>
        <w:t>personnel et autres dépenses</w:t>
      </w:r>
      <w:proofErr w:type="gramEnd"/>
      <w:r w:rsidRPr="00DE1804">
        <w:rPr>
          <w:sz w:val="20"/>
        </w:rPr>
        <w:t>)</w:t>
      </w:r>
    </w:p>
    <w:p w:rsidR="00D42474" w:rsidRDefault="00784E52" w:rsidP="001A5BF9">
      <w:pPr>
        <w:pStyle w:val="NormalWeb"/>
        <w:spacing w:before="0" w:beforeAutospacing="0" w:after="0" w:afterAutospacing="0"/>
        <w:jc w:val="center"/>
        <w:rPr>
          <w:sz w:val="20"/>
          <w:szCs w:val="20"/>
        </w:rPr>
      </w:pPr>
      <w:r w:rsidRPr="00DE1804">
        <w:rPr>
          <w:i/>
          <w:sz w:val="20"/>
        </w:rPr>
        <w:t>(</w:t>
      </w:r>
      <w:proofErr w:type="gramStart"/>
      <w:r w:rsidRPr="00DE1804">
        <w:rPr>
          <w:i/>
          <w:sz w:val="20"/>
        </w:rPr>
        <w:t>en</w:t>
      </w:r>
      <w:proofErr w:type="gramEnd"/>
      <w:r w:rsidRPr="00DE1804">
        <w:rPr>
          <w:i/>
          <w:sz w:val="20"/>
        </w:rPr>
        <w:t xml:space="preserve"> milliers de francs suisses)</w:t>
      </w:r>
    </w:p>
    <w:p w:rsidR="00784E52" w:rsidRPr="00DE1804" w:rsidRDefault="00784E52" w:rsidP="001A5BF9">
      <w:pPr>
        <w:rPr>
          <w:rFonts w:cs="Arial"/>
          <w:szCs w:val="20"/>
        </w:rPr>
      </w:pPr>
    </w:p>
    <w:tbl>
      <w:tblPr>
        <w:tblW w:w="9498" w:type="dxa"/>
        <w:tblInd w:w="108" w:type="dxa"/>
        <w:tblLook w:val="04A0" w:firstRow="1" w:lastRow="0" w:firstColumn="1" w:lastColumn="0" w:noHBand="0" w:noVBand="1"/>
      </w:tblPr>
      <w:tblGrid>
        <w:gridCol w:w="2694"/>
        <w:gridCol w:w="1701"/>
        <w:gridCol w:w="1701"/>
        <w:gridCol w:w="1701"/>
        <w:gridCol w:w="1701"/>
      </w:tblGrid>
      <w:tr w:rsidR="00784E52" w:rsidRPr="00DE1804" w:rsidTr="00BB3F3E">
        <w:tc>
          <w:tcPr>
            <w:tcW w:w="2694"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DE1804" w:rsidRDefault="00784E52" w:rsidP="001A5BF9">
            <w:pPr>
              <w:spacing w:before="120" w:after="120"/>
              <w:rPr>
                <w:rFonts w:cs="Arial"/>
                <w:sz w:val="16"/>
                <w:szCs w:val="16"/>
              </w:rPr>
            </w:pPr>
            <w:r w:rsidRPr="00DE1804">
              <w:rPr>
                <w:sz w:val="16"/>
              </w:rPr>
              <w:t> </w:t>
            </w:r>
          </w:p>
        </w:tc>
        <w:tc>
          <w:tcPr>
            <w:tcW w:w="1701" w:type="dxa"/>
            <w:tcBorders>
              <w:top w:val="single" w:sz="4" w:space="0" w:color="auto"/>
              <w:left w:val="nil"/>
              <w:bottom w:val="nil"/>
              <w:right w:val="single" w:sz="4" w:space="0" w:color="auto"/>
            </w:tcBorders>
            <w:shd w:val="clear" w:color="000000" w:fill="CCFFFF"/>
            <w:vAlign w:val="center"/>
          </w:tcPr>
          <w:p w:rsidR="00784E52" w:rsidRPr="00DE1804" w:rsidRDefault="00784E52" w:rsidP="001A5BF9">
            <w:pPr>
              <w:spacing w:before="120" w:after="120"/>
              <w:jc w:val="center"/>
              <w:rPr>
                <w:rFonts w:cs="Arial"/>
                <w:bCs/>
                <w:sz w:val="16"/>
                <w:szCs w:val="16"/>
              </w:rPr>
            </w:pPr>
            <w:r w:rsidRPr="00DE1804">
              <w:rPr>
                <w:sz w:val="16"/>
              </w:rPr>
              <w:t>Budget</w:t>
            </w:r>
            <w:r w:rsidRPr="00DE1804">
              <w:br/>
            </w:r>
            <w:r w:rsidRPr="00DE1804">
              <w:rPr>
                <w:sz w:val="16"/>
              </w:rPr>
              <w:t>2012</w:t>
            </w:r>
            <w:r w:rsidR="002D6F2A" w:rsidRPr="00DE1804">
              <w:rPr>
                <w:sz w:val="16"/>
              </w:rPr>
              <w:noBreakHyphen/>
            </w:r>
            <w:r w:rsidRPr="00DE1804">
              <w:rPr>
                <w:sz w:val="16"/>
              </w:rPr>
              <w:t>2013</w:t>
            </w:r>
            <w:r w:rsidRPr="00DE1804">
              <w:br/>
            </w:r>
            <w:r w:rsidRPr="00DE1804">
              <w:rPr>
                <w:sz w:val="16"/>
              </w:rPr>
              <w:t>approuvé</w:t>
            </w:r>
          </w:p>
        </w:tc>
        <w:tc>
          <w:tcPr>
            <w:tcW w:w="1701" w:type="dxa"/>
            <w:tcBorders>
              <w:top w:val="single" w:sz="4" w:space="0" w:color="auto"/>
              <w:left w:val="nil"/>
              <w:bottom w:val="nil"/>
              <w:right w:val="single" w:sz="4" w:space="0" w:color="auto"/>
            </w:tcBorders>
            <w:shd w:val="clear" w:color="000000" w:fill="CCFFFF"/>
            <w:vAlign w:val="center"/>
          </w:tcPr>
          <w:p w:rsidR="00784E52" w:rsidRPr="00DE1804" w:rsidRDefault="00784E52" w:rsidP="001A5BF9">
            <w:pPr>
              <w:spacing w:before="120" w:after="120"/>
              <w:jc w:val="center"/>
              <w:rPr>
                <w:rFonts w:cs="Arial"/>
                <w:bCs/>
                <w:sz w:val="16"/>
                <w:szCs w:val="16"/>
              </w:rPr>
            </w:pPr>
            <w:r w:rsidRPr="00DE1804">
              <w:rPr>
                <w:sz w:val="16"/>
              </w:rPr>
              <w:t>Budget</w:t>
            </w:r>
            <w:r w:rsidRPr="00DE1804">
              <w:br/>
            </w:r>
            <w:r w:rsidRPr="00DE1804">
              <w:rPr>
                <w:sz w:val="16"/>
              </w:rPr>
              <w:t>2012</w:t>
            </w:r>
            <w:r w:rsidR="002D6F2A" w:rsidRPr="00DE1804">
              <w:rPr>
                <w:sz w:val="16"/>
              </w:rPr>
              <w:noBreakHyphen/>
            </w:r>
            <w:r w:rsidRPr="00DE1804">
              <w:rPr>
                <w:sz w:val="16"/>
              </w:rPr>
              <w:t>2013</w:t>
            </w:r>
            <w:r w:rsidRPr="00DE1804">
              <w:br/>
            </w:r>
            <w:r w:rsidRPr="00DE1804">
              <w:rPr>
                <w:sz w:val="16"/>
              </w:rPr>
              <w:t>après virements</w:t>
            </w:r>
          </w:p>
        </w:tc>
        <w:tc>
          <w:tcPr>
            <w:tcW w:w="1701" w:type="dxa"/>
            <w:tcBorders>
              <w:top w:val="single" w:sz="4" w:space="0" w:color="auto"/>
              <w:left w:val="nil"/>
              <w:bottom w:val="nil"/>
              <w:right w:val="single" w:sz="4" w:space="0" w:color="auto"/>
            </w:tcBorders>
            <w:shd w:val="clear" w:color="000000" w:fill="CCFFFF"/>
            <w:vAlign w:val="center"/>
          </w:tcPr>
          <w:p w:rsidR="00784E52" w:rsidRPr="00DE1804" w:rsidRDefault="00784E52" w:rsidP="001A5BF9">
            <w:pPr>
              <w:spacing w:before="120" w:after="120"/>
              <w:jc w:val="center"/>
              <w:rPr>
                <w:rFonts w:cs="Arial"/>
                <w:bCs/>
                <w:sz w:val="16"/>
                <w:szCs w:val="16"/>
              </w:rPr>
            </w:pPr>
            <w:r w:rsidRPr="00DE1804">
              <w:rPr>
                <w:sz w:val="16"/>
              </w:rPr>
              <w:t>Dépenses</w:t>
            </w:r>
            <w:r w:rsidRPr="00DE1804">
              <w:br/>
            </w:r>
            <w:r w:rsidRPr="00DE1804">
              <w:rPr>
                <w:sz w:val="16"/>
              </w:rPr>
              <w:t>2012</w:t>
            </w:r>
            <w:r w:rsidR="002D6F2A" w:rsidRPr="00DE1804">
              <w:rPr>
                <w:sz w:val="16"/>
              </w:rPr>
              <w:noBreakHyphen/>
            </w:r>
            <w:r w:rsidRPr="00DE1804">
              <w:rPr>
                <w:sz w:val="16"/>
              </w:rPr>
              <w:t>2013</w:t>
            </w:r>
          </w:p>
        </w:tc>
        <w:tc>
          <w:tcPr>
            <w:tcW w:w="1701" w:type="dxa"/>
            <w:tcBorders>
              <w:top w:val="single" w:sz="4" w:space="0" w:color="auto"/>
              <w:left w:val="nil"/>
              <w:bottom w:val="nil"/>
              <w:right w:val="single" w:sz="4" w:space="0" w:color="auto"/>
            </w:tcBorders>
            <w:shd w:val="clear" w:color="000000" w:fill="CCFFFF"/>
            <w:vAlign w:val="center"/>
          </w:tcPr>
          <w:p w:rsidR="00784E52" w:rsidRPr="00DE1804" w:rsidRDefault="00784E52" w:rsidP="001A5BF9">
            <w:pPr>
              <w:spacing w:before="120" w:after="120"/>
              <w:jc w:val="center"/>
              <w:rPr>
                <w:rFonts w:cs="Arial"/>
                <w:bCs/>
                <w:sz w:val="16"/>
                <w:szCs w:val="16"/>
              </w:rPr>
            </w:pPr>
            <w:r w:rsidRPr="00DE1804">
              <w:rPr>
                <w:sz w:val="16"/>
              </w:rPr>
              <w:t>Taux d</w:t>
            </w:r>
            <w:r w:rsidR="00A20444" w:rsidRPr="00DE1804">
              <w:rPr>
                <w:sz w:val="16"/>
              </w:rPr>
              <w:t>’</w:t>
            </w:r>
            <w:r w:rsidRPr="00DE1804">
              <w:rPr>
                <w:sz w:val="16"/>
              </w:rPr>
              <w:t>utilisation (</w:t>
            </w:r>
            <w:r w:rsidR="007E442D" w:rsidRPr="00DE1804">
              <w:rPr>
                <w:sz w:val="16"/>
              </w:rPr>
              <w:t>%</w:t>
            </w:r>
            <w:r w:rsidRPr="00DE1804">
              <w:rPr>
                <w:sz w:val="16"/>
              </w:rPr>
              <w:t>)</w:t>
            </w:r>
          </w:p>
        </w:tc>
      </w:tr>
      <w:tr w:rsidR="00784E52" w:rsidRPr="00DE1804" w:rsidTr="00BB3F3E">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DE1804" w:rsidRDefault="00784E52" w:rsidP="001A5BF9">
            <w:pPr>
              <w:spacing w:before="120" w:after="120"/>
              <w:rPr>
                <w:rFonts w:cs="Arial"/>
                <w:sz w:val="16"/>
                <w:szCs w:val="16"/>
              </w:rPr>
            </w:pPr>
            <w:r w:rsidRPr="00DE1804">
              <w:rPr>
                <w:sz w:val="16"/>
              </w:rPr>
              <w:t>Dépenses de personnel</w:t>
            </w:r>
            <w:r w:rsidR="004F3E42" w:rsidRPr="00DE1804">
              <w:rPr>
                <w:sz w:val="16"/>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7 567</w:t>
            </w:r>
          </w:p>
        </w:tc>
        <w:tc>
          <w:tcPr>
            <w:tcW w:w="1701" w:type="dxa"/>
            <w:tcBorders>
              <w:top w:val="single" w:sz="4" w:space="0" w:color="auto"/>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5 388</w:t>
            </w:r>
          </w:p>
        </w:tc>
        <w:tc>
          <w:tcPr>
            <w:tcW w:w="1701" w:type="dxa"/>
            <w:tcBorders>
              <w:top w:val="single" w:sz="4" w:space="0" w:color="auto"/>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5 388</w:t>
            </w:r>
          </w:p>
        </w:tc>
        <w:tc>
          <w:tcPr>
            <w:tcW w:w="1701" w:type="dxa"/>
            <w:tcBorders>
              <w:top w:val="single" w:sz="4" w:space="0" w:color="auto"/>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100</w:t>
            </w:r>
            <w:r w:rsidR="007E442D" w:rsidRPr="00DE1804">
              <w:rPr>
                <w:sz w:val="16"/>
              </w:rPr>
              <w:t>%</w:t>
            </w:r>
          </w:p>
        </w:tc>
      </w:tr>
      <w:tr w:rsidR="00784E52" w:rsidRPr="00DE1804" w:rsidTr="00BB3F3E">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DE1804" w:rsidRDefault="00784E52" w:rsidP="001A5BF9">
            <w:pPr>
              <w:spacing w:before="120" w:after="120"/>
              <w:rPr>
                <w:rFonts w:cs="Arial"/>
                <w:sz w:val="16"/>
                <w:szCs w:val="16"/>
              </w:rPr>
            </w:pPr>
            <w:r w:rsidRPr="00DE1804">
              <w:rPr>
                <w:sz w:val="16"/>
              </w:rPr>
              <w:t xml:space="preserve">Autres dépenses </w:t>
            </w:r>
          </w:p>
        </w:tc>
        <w:tc>
          <w:tcPr>
            <w:tcW w:w="1701" w:type="dxa"/>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3 694</w:t>
            </w:r>
          </w:p>
        </w:tc>
        <w:tc>
          <w:tcPr>
            <w:tcW w:w="1701" w:type="dxa"/>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3 810</w:t>
            </w:r>
          </w:p>
        </w:tc>
        <w:tc>
          <w:tcPr>
            <w:tcW w:w="1701" w:type="dxa"/>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1 659</w:t>
            </w:r>
          </w:p>
        </w:tc>
        <w:tc>
          <w:tcPr>
            <w:tcW w:w="1701" w:type="dxa"/>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sz w:val="16"/>
                <w:szCs w:val="16"/>
              </w:rPr>
            </w:pPr>
            <w:r w:rsidRPr="00DE1804">
              <w:rPr>
                <w:sz w:val="16"/>
              </w:rPr>
              <w:t>44</w:t>
            </w:r>
            <w:r w:rsidR="007E442D" w:rsidRPr="00DE1804">
              <w:rPr>
                <w:sz w:val="16"/>
              </w:rPr>
              <w:t>%</w:t>
            </w:r>
          </w:p>
        </w:tc>
      </w:tr>
      <w:tr w:rsidR="00784E52" w:rsidRPr="00DE1804" w:rsidTr="00BB3F3E">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DE1804" w:rsidRDefault="00784E52" w:rsidP="001A5BF9">
            <w:pPr>
              <w:spacing w:before="120" w:after="120"/>
              <w:jc w:val="right"/>
              <w:rPr>
                <w:rFonts w:cs="Arial"/>
                <w:b/>
                <w:bCs/>
                <w:sz w:val="16"/>
                <w:szCs w:val="16"/>
              </w:rPr>
            </w:pPr>
            <w:r w:rsidRPr="00DE1804">
              <w:rPr>
                <w:b/>
                <w:sz w:val="16"/>
              </w:rPr>
              <w:t xml:space="preserve"> TOTAL </w:t>
            </w:r>
          </w:p>
        </w:tc>
        <w:tc>
          <w:tcPr>
            <w:tcW w:w="1701" w:type="dxa"/>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b/>
                <w:bCs/>
                <w:sz w:val="16"/>
                <w:szCs w:val="16"/>
              </w:rPr>
            </w:pPr>
            <w:r w:rsidRPr="00DE1804">
              <w:rPr>
                <w:b/>
                <w:sz w:val="16"/>
              </w:rPr>
              <w:t>11 261</w:t>
            </w:r>
          </w:p>
        </w:tc>
        <w:tc>
          <w:tcPr>
            <w:tcW w:w="1701" w:type="dxa"/>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b/>
                <w:bCs/>
                <w:sz w:val="16"/>
                <w:szCs w:val="16"/>
              </w:rPr>
            </w:pPr>
            <w:r w:rsidRPr="00DE1804">
              <w:rPr>
                <w:b/>
                <w:sz w:val="16"/>
              </w:rPr>
              <w:t>9 342</w:t>
            </w:r>
          </w:p>
        </w:tc>
        <w:tc>
          <w:tcPr>
            <w:tcW w:w="1701" w:type="dxa"/>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b/>
                <w:bCs/>
                <w:sz w:val="16"/>
                <w:szCs w:val="16"/>
              </w:rPr>
            </w:pPr>
            <w:r w:rsidRPr="00DE1804">
              <w:rPr>
                <w:b/>
                <w:sz w:val="16"/>
              </w:rPr>
              <w:t>7 191</w:t>
            </w:r>
          </w:p>
        </w:tc>
        <w:tc>
          <w:tcPr>
            <w:tcW w:w="1701" w:type="dxa"/>
            <w:tcBorders>
              <w:top w:val="nil"/>
              <w:left w:val="nil"/>
              <w:bottom w:val="single" w:sz="4" w:space="0" w:color="auto"/>
              <w:right w:val="single" w:sz="4" w:space="0" w:color="auto"/>
            </w:tcBorders>
            <w:shd w:val="clear" w:color="auto" w:fill="auto"/>
            <w:vAlign w:val="center"/>
          </w:tcPr>
          <w:p w:rsidR="00784E52" w:rsidRPr="00DE1804" w:rsidRDefault="00784E52" w:rsidP="001A5BF9">
            <w:pPr>
              <w:spacing w:before="120" w:after="120"/>
              <w:jc w:val="center"/>
              <w:rPr>
                <w:rFonts w:cs="Arial"/>
                <w:b/>
                <w:bCs/>
                <w:sz w:val="16"/>
                <w:szCs w:val="16"/>
              </w:rPr>
            </w:pPr>
            <w:r w:rsidRPr="00DE1804">
              <w:rPr>
                <w:b/>
                <w:sz w:val="16"/>
              </w:rPr>
              <w:t>77</w:t>
            </w:r>
            <w:r w:rsidR="007E442D" w:rsidRPr="00DE1804">
              <w:rPr>
                <w:b/>
                <w:sz w:val="16"/>
              </w:rPr>
              <w:t>%</w:t>
            </w:r>
          </w:p>
        </w:tc>
      </w:tr>
    </w:tbl>
    <w:p w:rsidR="00D42474" w:rsidRDefault="00D42474" w:rsidP="001A5BF9">
      <w:pPr>
        <w:keepNext/>
        <w:autoSpaceDE w:val="0"/>
        <w:autoSpaceDN w:val="0"/>
        <w:rPr>
          <w:sz w:val="16"/>
          <w:szCs w:val="16"/>
        </w:rPr>
      </w:pPr>
    </w:p>
    <w:p w:rsidR="00D42474" w:rsidRDefault="00784E52" w:rsidP="001A5BF9">
      <w:pPr>
        <w:keepNext/>
        <w:autoSpaceDE w:val="0"/>
        <w:autoSpaceDN w:val="0"/>
        <w:rPr>
          <w:sz w:val="16"/>
          <w:szCs w:val="16"/>
        </w:rPr>
      </w:pPr>
      <w:proofErr w:type="gramStart"/>
      <w:r w:rsidRPr="00DE1804">
        <w:rPr>
          <w:sz w:val="16"/>
        </w:rPr>
        <w:t>NOTES</w:t>
      </w:r>
      <w:proofErr w:type="gramEnd"/>
      <w:r w:rsidR="0010442A" w:rsidRPr="00DE1804">
        <w:rPr>
          <w:sz w:val="16"/>
        </w:rPr>
        <w:t> </w:t>
      </w:r>
      <w:r w:rsidRPr="00DE1804">
        <w:rPr>
          <w:sz w:val="16"/>
        </w:rPr>
        <w:t>:</w:t>
      </w:r>
    </w:p>
    <w:p w:rsidR="00D42474" w:rsidRDefault="00D42474" w:rsidP="001A5BF9">
      <w:pPr>
        <w:keepNext/>
        <w:autoSpaceDE w:val="0"/>
        <w:autoSpaceDN w:val="0"/>
        <w:rPr>
          <w:sz w:val="16"/>
          <w:szCs w:val="16"/>
        </w:rPr>
      </w:pPr>
    </w:p>
    <w:p w:rsidR="00D42474" w:rsidRDefault="00784E52" w:rsidP="001A5BF9">
      <w:pPr>
        <w:keepNext/>
        <w:autoSpaceDE w:val="0"/>
        <w:autoSpaceDN w:val="0"/>
        <w:rPr>
          <w:sz w:val="16"/>
          <w:szCs w:val="16"/>
        </w:rPr>
      </w:pPr>
      <w:r w:rsidRPr="00DE1804">
        <w:rPr>
          <w:sz w:val="16"/>
        </w:rPr>
        <w:t>1)</w:t>
      </w:r>
      <w:r w:rsidR="00DE1804">
        <w:rPr>
          <w:sz w:val="16"/>
        </w:rPr>
        <w:tab/>
      </w:r>
      <w:r w:rsidRPr="00DE1804">
        <w:rPr>
          <w:sz w:val="16"/>
        </w:rPr>
        <w:t>Le budget restructuré après virements tient compte du budget ajusté des programmes après les virements réalisés au cours de l</w:t>
      </w:r>
      <w:r w:rsidR="00A20444" w:rsidRPr="00DE1804">
        <w:rPr>
          <w:sz w:val="16"/>
        </w:rPr>
        <w:t>’</w:t>
      </w:r>
      <w:r w:rsidRPr="00DE1804">
        <w:rPr>
          <w:sz w:val="16"/>
        </w:rPr>
        <w:t>exercice 2012</w:t>
      </w:r>
      <w:r w:rsidR="002D6F2A" w:rsidRPr="00DE1804">
        <w:rPr>
          <w:sz w:val="16"/>
        </w:rPr>
        <w:noBreakHyphen/>
      </w:r>
      <w:r w:rsidRPr="00DE1804">
        <w:rPr>
          <w:sz w:val="16"/>
        </w:rPr>
        <w:t xml:space="preserve">2013, conformément à </w:t>
      </w:r>
      <w:r w:rsidR="00E15133" w:rsidRPr="00DE1804">
        <w:rPr>
          <w:sz w:val="16"/>
        </w:rPr>
        <w:t>l</w:t>
      </w:r>
      <w:r w:rsidR="00A20444" w:rsidRPr="00DE1804">
        <w:rPr>
          <w:sz w:val="16"/>
        </w:rPr>
        <w:t>’</w:t>
      </w:r>
      <w:r w:rsidR="00E15133" w:rsidRPr="00DE1804">
        <w:rPr>
          <w:sz w:val="16"/>
        </w:rPr>
        <w:t>article 5.5</w:t>
      </w:r>
      <w:r w:rsidRPr="00DE1804">
        <w:rPr>
          <w:sz w:val="16"/>
        </w:rPr>
        <w:t xml:space="preserve"> du règlement d</w:t>
      </w:r>
      <w:r w:rsidR="00A20444" w:rsidRPr="00DE1804">
        <w:rPr>
          <w:sz w:val="16"/>
        </w:rPr>
        <w:t>’</w:t>
      </w:r>
      <w:r w:rsidRPr="00DE1804">
        <w:rPr>
          <w:sz w:val="16"/>
        </w:rPr>
        <w:t>exécution du Règlement financier.</w:t>
      </w:r>
    </w:p>
    <w:p w:rsidR="00D42474" w:rsidRDefault="00D42474" w:rsidP="001A5BF9">
      <w:pPr>
        <w:keepNext/>
        <w:autoSpaceDE w:val="0"/>
        <w:autoSpaceDN w:val="0"/>
        <w:rPr>
          <w:sz w:val="16"/>
          <w:szCs w:val="16"/>
        </w:rPr>
      </w:pPr>
    </w:p>
    <w:p w:rsidR="00D42474" w:rsidRDefault="00784E52" w:rsidP="001A5BF9">
      <w:pPr>
        <w:keepNext/>
        <w:autoSpaceDE w:val="0"/>
        <w:autoSpaceDN w:val="0"/>
        <w:rPr>
          <w:sz w:val="16"/>
        </w:rPr>
      </w:pPr>
      <w:r w:rsidRPr="00DE1804">
        <w:rPr>
          <w:sz w:val="16"/>
        </w:rPr>
        <w:t>2)</w:t>
      </w:r>
      <w:r w:rsidR="00DE1804">
        <w:rPr>
          <w:sz w:val="16"/>
        </w:rPr>
        <w:tab/>
      </w:r>
      <w:r w:rsidRPr="00DE1804">
        <w:rPr>
          <w:sz w:val="16"/>
        </w:rPr>
        <w:t>Les dépenses de personnel indiquées dans le budget de l</w:t>
      </w:r>
      <w:r w:rsidR="00A20444" w:rsidRPr="00DE1804">
        <w:rPr>
          <w:sz w:val="16"/>
        </w:rPr>
        <w:t>’</w:t>
      </w:r>
      <w:r w:rsidRPr="00DE1804">
        <w:rPr>
          <w:sz w:val="16"/>
        </w:rPr>
        <w:t>exercice 2012</w:t>
      </w:r>
      <w:r w:rsidR="002D6F2A" w:rsidRPr="00DE1804">
        <w:rPr>
          <w:sz w:val="16"/>
        </w:rPr>
        <w:noBreakHyphen/>
      </w:r>
      <w:r w:rsidRPr="00DE1804">
        <w:rPr>
          <w:sz w:val="16"/>
        </w:rPr>
        <w:t>2013 après virements représentent les dépenses réelles engagées pendant l</w:t>
      </w:r>
      <w:r w:rsidR="00A20444" w:rsidRPr="00DE1804">
        <w:rPr>
          <w:sz w:val="16"/>
        </w:rPr>
        <w:t>’</w:t>
      </w:r>
      <w:r w:rsidRPr="00DE1804">
        <w:rPr>
          <w:sz w:val="16"/>
        </w:rPr>
        <w:t>exercice biennal.</w:t>
      </w:r>
    </w:p>
    <w:p w:rsidR="00D42474" w:rsidRDefault="00D42474" w:rsidP="001A5BF9">
      <w:pPr>
        <w:keepNext/>
        <w:autoSpaceDE w:val="0"/>
        <w:autoSpaceDN w:val="0"/>
        <w:rPr>
          <w:sz w:val="16"/>
          <w:szCs w:val="16"/>
        </w:rPr>
      </w:pPr>
    </w:p>
    <w:p w:rsidR="00D42474" w:rsidRDefault="00D42474" w:rsidP="001A5BF9">
      <w:pPr>
        <w:rPr>
          <w:rFonts w:cs="Arial"/>
          <w:szCs w:val="20"/>
        </w:rPr>
      </w:pPr>
    </w:p>
    <w:p w:rsidR="00D42474" w:rsidRDefault="00784E52" w:rsidP="001A5BF9">
      <w:pPr>
        <w:pageBreakBefore/>
        <w:tabs>
          <w:tab w:val="left" w:pos="709"/>
        </w:tabs>
        <w:rPr>
          <w:u w:val="single"/>
        </w:rPr>
      </w:pPr>
      <w:r w:rsidRPr="00DE1804">
        <w:t>A</w:t>
      </w:r>
      <w:r w:rsidRPr="00DE1804">
        <w:tab/>
      </w:r>
      <w:r w:rsidRPr="00DE1804">
        <w:rPr>
          <w:u w:val="single"/>
        </w:rPr>
        <w:t>Budget 2012</w:t>
      </w:r>
      <w:r w:rsidR="002D6F2A" w:rsidRPr="00DE1804">
        <w:rPr>
          <w:u w:val="single"/>
        </w:rPr>
        <w:noBreakHyphen/>
      </w:r>
      <w:r w:rsidRPr="00DE1804">
        <w:rPr>
          <w:u w:val="single"/>
        </w:rPr>
        <w:t>2013 après virements</w:t>
      </w:r>
    </w:p>
    <w:p w:rsidR="00D42474" w:rsidRDefault="00D42474" w:rsidP="001A5BF9">
      <w:pPr>
        <w:rPr>
          <w:rFonts w:cs="Arial"/>
          <w:szCs w:val="20"/>
          <w:u w:val="single"/>
        </w:rPr>
      </w:pPr>
    </w:p>
    <w:p w:rsidR="00D42474" w:rsidRDefault="00784E52" w:rsidP="001A5BF9">
      <w:pPr>
        <w:tabs>
          <w:tab w:val="left" w:pos="709"/>
        </w:tabs>
        <w:jc w:val="both"/>
        <w:rPr>
          <w:rFonts w:cs="Arial"/>
          <w:szCs w:val="20"/>
        </w:rPr>
      </w:pPr>
      <w:r w:rsidRPr="005C7CCE">
        <w:t>30.9.</w:t>
      </w:r>
      <w:r w:rsidRPr="005C7CCE">
        <w:tab/>
        <w:t>La diminution générale nette des ressources allouées au programme est la résultante de plusieurs éléments</w:t>
      </w:r>
      <w:r w:rsidR="0010442A" w:rsidRPr="005C7CCE">
        <w:t> </w:t>
      </w:r>
      <w:r w:rsidRPr="005C7CCE">
        <w:t>: i) le redéploiement du personnel dans d</w:t>
      </w:r>
      <w:r w:rsidR="00A20444" w:rsidRPr="005C7CCE">
        <w:t>’</w:t>
      </w:r>
      <w:r w:rsidRPr="005C7CCE">
        <w:t>autres programmes;</w:t>
      </w:r>
      <w:r w:rsidR="004F3E42" w:rsidRPr="005C7CCE">
        <w:t xml:space="preserve"> </w:t>
      </w:r>
      <w:r w:rsidR="0010442A" w:rsidRPr="005C7CCE">
        <w:t xml:space="preserve"> </w:t>
      </w:r>
      <w:r w:rsidRPr="005C7CCE">
        <w:t>ii) des postes devenus vacants;</w:t>
      </w:r>
      <w:r w:rsidR="0010442A" w:rsidRPr="005C7CCE">
        <w:t xml:space="preserve"> </w:t>
      </w:r>
      <w:r w:rsidR="004F3E42" w:rsidRPr="005C7CCE">
        <w:t xml:space="preserve"> </w:t>
      </w:r>
      <w:r w:rsidRPr="005C7CCE">
        <w:t>iii) l</w:t>
      </w:r>
      <w:r w:rsidR="00A20444" w:rsidRPr="005C7CCE">
        <w:t>’</w:t>
      </w:r>
      <w:r w:rsidRPr="005C7CCE">
        <w:t>augmentation des ressources hors personnel consacrées au projet mis en œuvre dans le cadre du Plan d</w:t>
      </w:r>
      <w:r w:rsidR="00A20444" w:rsidRPr="005C7CCE">
        <w:t>’</w:t>
      </w:r>
      <w:r w:rsidRPr="005C7CCE">
        <w:t xml:space="preserve">action pour le développement “Propriété intellectuelle et transfert de technologie : élaborer des solutions face aux défis communs”. </w:t>
      </w:r>
      <w:r w:rsidR="0010442A" w:rsidRPr="005C7CCE">
        <w:t xml:space="preserve"> </w:t>
      </w:r>
      <w:r w:rsidRPr="005C7CCE">
        <w:t>Cette réduction se retrouve dans les résultats </w:t>
      </w:r>
      <w:proofErr w:type="spellStart"/>
      <w:r w:rsidRPr="005C7CCE">
        <w:t>III.2</w:t>
      </w:r>
      <w:proofErr w:type="spellEnd"/>
      <w:r w:rsidRPr="005C7CCE">
        <w:t xml:space="preserve"> (renforcement des capacités en matière de ressources humaines), </w:t>
      </w:r>
      <w:proofErr w:type="spellStart"/>
      <w:r w:rsidRPr="005C7CCE">
        <w:t>III.11</w:t>
      </w:r>
      <w:proofErr w:type="spellEnd"/>
      <w:r w:rsidRPr="005C7CCE">
        <w:t xml:space="preserve"> (amélioration de la compréhension/la capacité des PME) et </w:t>
      </w:r>
      <w:proofErr w:type="spellStart"/>
      <w:r w:rsidRPr="005C7CCE">
        <w:t>IV.2</w:t>
      </w:r>
      <w:proofErr w:type="spellEnd"/>
      <w:r w:rsidRPr="005C7CCE">
        <w:t xml:space="preserve"> (accès amélioré à l</w:t>
      </w:r>
      <w:r w:rsidR="00A20444" w:rsidRPr="005C7CCE">
        <w:t>’</w:t>
      </w:r>
      <w:r w:rsidRPr="005C7CCE">
        <w:t>information et aux savoirs, et meilleure utilisation de cette information et de ces savoirs).</w:t>
      </w:r>
    </w:p>
    <w:p w:rsidR="00D42474" w:rsidRDefault="00D42474" w:rsidP="001A5BF9">
      <w:pPr>
        <w:tabs>
          <w:tab w:val="left" w:pos="709"/>
        </w:tabs>
        <w:jc w:val="both"/>
        <w:rPr>
          <w:rFonts w:cs="Arial"/>
          <w:szCs w:val="20"/>
        </w:rPr>
      </w:pPr>
    </w:p>
    <w:p w:rsidR="00D42474" w:rsidRDefault="00784E52" w:rsidP="001A5BF9">
      <w:pPr>
        <w:tabs>
          <w:tab w:val="left" w:pos="709"/>
        </w:tabs>
        <w:jc w:val="both"/>
        <w:rPr>
          <w:rFonts w:cs="Arial"/>
          <w:szCs w:val="20"/>
        </w:rPr>
      </w:pPr>
      <w:r w:rsidRPr="005C7CCE">
        <w:t>30.10.</w:t>
      </w:r>
      <w:r w:rsidRPr="005C7CCE">
        <w:tab/>
        <w:t>L</w:t>
      </w:r>
      <w:r w:rsidR="00A20444" w:rsidRPr="005C7CCE">
        <w:t>’</w:t>
      </w:r>
      <w:r w:rsidRPr="005C7CCE">
        <w:t>augmentation des dépenses autres que celles de personnel engagées au titre du résultat </w:t>
      </w:r>
      <w:proofErr w:type="spellStart"/>
      <w:r w:rsidRPr="005C7CCE">
        <w:t>VII.3</w:t>
      </w:r>
      <w:proofErr w:type="spellEnd"/>
      <w:r w:rsidRPr="005C7CCE">
        <w:t xml:space="preserve"> (utilisation d</w:t>
      </w:r>
      <w:r w:rsidR="00A20444" w:rsidRPr="005C7CCE">
        <w:t>’</w:t>
      </w:r>
      <w:r w:rsidRPr="005C7CCE">
        <w:t>instruments axés sur la propriété intellectuelle) était due à la réaffectation de certaines activités liées à des projets de partenariat ouverts et à des modèles fondés sur la propriété intellectuelle, qui relevaient auparavant du résultat </w:t>
      </w:r>
      <w:proofErr w:type="spellStart"/>
      <w:r w:rsidRPr="005C7CCE">
        <w:t>IV.2</w:t>
      </w:r>
      <w:proofErr w:type="spellEnd"/>
      <w:r w:rsidRPr="005C7CCE">
        <w:t xml:space="preserve"> (accès amélioré à l</w:t>
      </w:r>
      <w:r w:rsidR="00A20444" w:rsidRPr="005C7CCE">
        <w:t>’</w:t>
      </w:r>
      <w:r w:rsidRPr="005C7CCE">
        <w:t>information et aux savoirs, et meilleure utilisation de cette information et de ces savoirs).</w:t>
      </w:r>
    </w:p>
    <w:p w:rsidR="00D42474" w:rsidRDefault="00D42474" w:rsidP="001A5BF9">
      <w:pPr>
        <w:tabs>
          <w:tab w:val="left" w:pos="709"/>
        </w:tabs>
        <w:rPr>
          <w:rFonts w:cs="Arial"/>
          <w:szCs w:val="20"/>
        </w:rPr>
      </w:pPr>
    </w:p>
    <w:p w:rsidR="00D42474" w:rsidRDefault="00784E52" w:rsidP="001A5BF9">
      <w:pPr>
        <w:tabs>
          <w:tab w:val="left" w:pos="709"/>
        </w:tabs>
      </w:pPr>
      <w:r w:rsidRPr="005C7CCE">
        <w:t>B.</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Pr>
        <w:tabs>
          <w:tab w:val="left" w:pos="709"/>
        </w:tabs>
        <w:rPr>
          <w:rFonts w:cs="Arial"/>
          <w:szCs w:val="20"/>
        </w:rPr>
      </w:pPr>
    </w:p>
    <w:p w:rsidR="00D42474" w:rsidRDefault="00784E52" w:rsidP="001A5BF9">
      <w:pPr>
        <w:tabs>
          <w:tab w:val="left" w:pos="709"/>
        </w:tabs>
        <w:jc w:val="both"/>
      </w:pPr>
      <w:r w:rsidRPr="005C7CCE">
        <w:rPr>
          <w:color w:val="000000"/>
        </w:rPr>
        <w:t>30.11.</w:t>
      </w:r>
      <w:r w:rsidRPr="005C7CCE">
        <w:rPr>
          <w:color w:val="000000"/>
        </w:rPr>
        <w:tab/>
        <w:t>La faible utilisation des ressources affectées aux dépenses autres que les dépenses de personnel est essentiellement due à la mise en œuvre plus lente que prévue des activités relatives à la restructuration de la Division de l</w:t>
      </w:r>
      <w:r w:rsidR="00A20444" w:rsidRPr="005C7CCE">
        <w:rPr>
          <w:color w:val="000000"/>
        </w:rPr>
        <w:t>’</w:t>
      </w:r>
      <w:r w:rsidRPr="005C7CCE">
        <w:rPr>
          <w:color w:val="000000"/>
        </w:rPr>
        <w:t xml:space="preserve">innovation. </w:t>
      </w:r>
      <w:r w:rsidR="0010442A" w:rsidRPr="005C7CCE">
        <w:rPr>
          <w:color w:val="000000"/>
        </w:rPr>
        <w:t xml:space="preserve"> </w:t>
      </w:r>
      <w:r w:rsidRPr="005C7CCE">
        <w:rPr>
          <w:color w:val="000000"/>
        </w:rPr>
        <w:t>La mise en œuvre des activités liées aux projets du Plan d</w:t>
      </w:r>
      <w:r w:rsidR="00A20444" w:rsidRPr="005C7CCE">
        <w:rPr>
          <w:color w:val="000000"/>
        </w:rPr>
        <w:t>’</w:t>
      </w:r>
      <w:r w:rsidRPr="005C7CCE">
        <w:rPr>
          <w:color w:val="000000"/>
        </w:rPr>
        <w:t>action au titre des résultats </w:t>
      </w:r>
      <w:proofErr w:type="spellStart"/>
      <w:r w:rsidRPr="005C7CCE">
        <w:rPr>
          <w:color w:val="000000"/>
        </w:rPr>
        <w:t>III.2</w:t>
      </w:r>
      <w:proofErr w:type="spellEnd"/>
      <w:r w:rsidRPr="005C7CCE">
        <w:rPr>
          <w:color w:val="000000"/>
        </w:rPr>
        <w:t xml:space="preserve"> (renforcement des capacités en matière de ressources humaines) et </w:t>
      </w:r>
      <w:proofErr w:type="spellStart"/>
      <w:r w:rsidRPr="005C7CCE">
        <w:rPr>
          <w:color w:val="000000"/>
        </w:rPr>
        <w:t>III.11</w:t>
      </w:r>
      <w:proofErr w:type="spellEnd"/>
      <w:r w:rsidRPr="005C7CCE">
        <w:rPr>
          <w:color w:val="000000"/>
        </w:rPr>
        <w:t xml:space="preserve"> (amélioration de la compréhension/la capacité des PME) a également été retardée. </w:t>
      </w:r>
      <w:r w:rsidR="0010442A" w:rsidRPr="005C7CCE">
        <w:rPr>
          <w:color w:val="000000"/>
        </w:rPr>
        <w:t xml:space="preserve"> </w:t>
      </w:r>
      <w:r w:rsidRPr="005C7CCE">
        <w:rPr>
          <w:color w:val="000000"/>
        </w:rPr>
        <w:t>La mise en œuvre du projet du Plan d</w:t>
      </w:r>
      <w:r w:rsidR="00A20444" w:rsidRPr="005C7CCE">
        <w:rPr>
          <w:color w:val="000000"/>
        </w:rPr>
        <w:t>’</w:t>
      </w:r>
      <w:r w:rsidRPr="005C7CCE">
        <w:rPr>
          <w:color w:val="000000"/>
        </w:rPr>
        <w:t>action de l</w:t>
      </w:r>
      <w:r w:rsidR="00A20444" w:rsidRPr="005C7CCE">
        <w:rPr>
          <w:color w:val="000000"/>
        </w:rPr>
        <w:t>’</w:t>
      </w:r>
      <w:r w:rsidRPr="005C7CCE">
        <w:rPr>
          <w:color w:val="000000"/>
        </w:rPr>
        <w:t>OMPI sur la “Propriété intellectuelle et transfert de technologie : élaborer des solutions face aux défis communs”. – recommandations 19, 25, 26 et 28, et “Partenariats ouverts et modèles fondés sur la propriété intellectuelle – recommandation</w:t>
      </w:r>
      <w:r w:rsidR="00A930EA">
        <w:rPr>
          <w:color w:val="000000"/>
        </w:rPr>
        <w:t xml:space="preserve"> n°</w:t>
      </w:r>
      <w:r w:rsidRPr="005C7CCE">
        <w:rPr>
          <w:color w:val="000000"/>
        </w:rPr>
        <w:t> 36 se poursuivra en 2014, mais sous l</w:t>
      </w:r>
      <w:r w:rsidR="00A20444" w:rsidRPr="005C7CCE">
        <w:rPr>
          <w:color w:val="000000"/>
        </w:rPr>
        <w:t>’</w:t>
      </w:r>
      <w:r w:rsidRPr="005C7CCE">
        <w:rPr>
          <w:color w:val="000000"/>
        </w:rPr>
        <w:t>égide du programme 5.</w:t>
      </w:r>
    </w:p>
    <w:p w:rsidR="00D42474" w:rsidRDefault="00D42474" w:rsidP="001A5BF9">
      <w:pPr>
        <w:jc w:val="both"/>
        <w:rPr>
          <w:rFonts w:cs="Arial"/>
        </w:rPr>
      </w:pPr>
    </w:p>
    <w:p w:rsidR="00D42474" w:rsidRDefault="00D42474" w:rsidP="001A5BF9"/>
    <w:p w:rsidR="00D42474" w:rsidRDefault="00784E52" w:rsidP="001A5BF9">
      <w:pPr>
        <w:rPr>
          <w:rFonts w:ascii="Arial Bold" w:hAnsi="Arial Bold" w:cs="Arial"/>
          <w:b/>
          <w:bCs/>
          <w:iCs/>
          <w:caps/>
          <w:szCs w:val="28"/>
        </w:rPr>
      </w:pPr>
      <w:r w:rsidRPr="005C7CCE">
        <w:br w:type="page"/>
      </w:r>
    </w:p>
    <w:p w:rsidR="00D42474" w:rsidRDefault="00C82E6A" w:rsidP="00C82E6A">
      <w:pPr>
        <w:pStyle w:val="Heading2"/>
        <w:tabs>
          <w:tab w:val="clear" w:pos="9072"/>
        </w:tabs>
      </w:pPr>
      <w:bookmarkStart w:id="26" w:name="_Toc395082478"/>
      <w:r w:rsidRPr="00D54DAE">
        <w:t>OBJECTIF STRAT</w:t>
      </w:r>
      <w:r w:rsidRPr="00D54DAE">
        <w:rPr>
          <w:rFonts w:hint="eastAsia"/>
        </w:rPr>
        <w:t>É</w:t>
      </w:r>
      <w:r w:rsidRPr="00D54DAE">
        <w:t>GIQUE IV</w:t>
      </w:r>
      <w:r w:rsidRPr="00D54DAE">
        <w:tab/>
      </w:r>
      <w:r w:rsidRPr="00D54DAE">
        <w:br/>
      </w:r>
      <w:r w:rsidR="00D54DAE" w:rsidRPr="00D54DAE">
        <w:br/>
        <w:t>Coordination et d</w:t>
      </w:r>
      <w:r w:rsidR="00D54DAE" w:rsidRPr="00D54DAE">
        <w:rPr>
          <w:rFonts w:hint="eastAsia"/>
        </w:rPr>
        <w:t>é</w:t>
      </w:r>
      <w:r w:rsidR="00D54DAE" w:rsidRPr="00D54DAE">
        <w:t>veloppement de l</w:t>
      </w:r>
      <w:r w:rsidR="00A20444" w:rsidRPr="00D54DAE">
        <w:t>’</w:t>
      </w:r>
      <w:r w:rsidR="00D54DAE" w:rsidRPr="00D54DAE">
        <w:t>infrastructure mondiale en mati</w:t>
      </w:r>
      <w:r w:rsidR="00D54DAE" w:rsidRPr="00D54DAE">
        <w:rPr>
          <w:rFonts w:hint="eastAsia"/>
        </w:rPr>
        <w:t>è</w:t>
      </w:r>
      <w:r w:rsidR="00D54DAE" w:rsidRPr="00D54DAE">
        <w:t>re de propri</w:t>
      </w:r>
      <w:r w:rsidR="00D54DAE" w:rsidRPr="00D54DAE">
        <w:rPr>
          <w:rFonts w:hint="eastAsia"/>
        </w:rPr>
        <w:t>é</w:t>
      </w:r>
      <w:r w:rsidR="00D54DAE" w:rsidRPr="00D54DAE">
        <w:t>t</w:t>
      </w:r>
      <w:r w:rsidR="00D54DAE" w:rsidRPr="00D54DAE">
        <w:rPr>
          <w:rFonts w:hint="eastAsia"/>
        </w:rPr>
        <w:t>é</w:t>
      </w:r>
      <w:r w:rsidR="00D54DAE" w:rsidRPr="00D54DAE">
        <w:t xml:space="preserve"> intellectuelle</w:t>
      </w:r>
      <w:bookmarkEnd w:id="26"/>
    </w:p>
    <w:p w:rsidR="00D42474" w:rsidRDefault="00D42474" w:rsidP="001A5BF9"/>
    <w:p w:rsidR="00D42474" w:rsidRDefault="00D42474" w:rsidP="001A5BF9"/>
    <w:p w:rsidR="00D42474" w:rsidRDefault="00D42474" w:rsidP="001A5BF9"/>
    <w:p w:rsidR="00D42474" w:rsidRDefault="00784E52" w:rsidP="001A5BF9">
      <w:pPr>
        <w:jc w:val="center"/>
        <w:rPr>
          <w:szCs w:val="20"/>
        </w:rPr>
      </w:pPr>
      <w:r w:rsidRPr="00DE1804">
        <w:t>TABLEAU DE BORD DE L</w:t>
      </w:r>
      <w:r w:rsidR="00A20444" w:rsidRPr="00DE1804">
        <w:t>’</w:t>
      </w:r>
      <w:r w:rsidRPr="00DE1804">
        <w:t>EXÉCUTION DU PROGRAMME BIENNAL</w:t>
      </w:r>
    </w:p>
    <w:p w:rsidR="00D42474" w:rsidRDefault="00D42474" w:rsidP="001A5BF9"/>
    <w:p w:rsidR="00D42474" w:rsidRDefault="00784E52" w:rsidP="001A5BF9">
      <w:pPr>
        <w:autoSpaceDE w:val="0"/>
        <w:autoSpaceDN w:val="0"/>
        <w:adjustRightInd w:val="0"/>
        <w:jc w:val="both"/>
      </w:pPr>
      <w:r w:rsidRPr="005C7CCE">
        <w:t>Le tableau de bord ci</w:t>
      </w:r>
      <w:r w:rsidR="002D6F2A" w:rsidRPr="005C7CCE">
        <w:noBreakHyphen/>
      </w:r>
      <w:r w:rsidRPr="005C7CCE">
        <w:t>dessous présente un résumé de la réalisation des résultats escomptés pour l</w:t>
      </w:r>
      <w:r w:rsidR="00A20444" w:rsidRPr="005C7CCE">
        <w:t>’</w:t>
      </w:r>
      <w:r w:rsidRPr="005C7CCE">
        <w:t>exercice biennal 2012</w:t>
      </w:r>
      <w:r w:rsidR="002D6F2A" w:rsidRPr="005C7CCE">
        <w:noBreakHyphen/>
      </w:r>
      <w:r w:rsidRPr="005C7CCE">
        <w:t>2013, telle que mesurée par les indicateurs au titre des programmes contribuant à cet objectif stratégique.</w:t>
      </w:r>
    </w:p>
    <w:p w:rsidR="00D42474" w:rsidRDefault="00DE1804" w:rsidP="001A5BF9">
      <w:pPr>
        <w:autoSpaceDE w:val="0"/>
        <w:autoSpaceDN w:val="0"/>
        <w:adjustRightInd w:val="0"/>
        <w:jc w:val="center"/>
        <w:rPr>
          <w:rFonts w:cs="Arial"/>
        </w:rPr>
      </w:pPr>
      <w:r w:rsidRPr="00DE1804">
        <w:rPr>
          <w:noProof/>
        </w:rPr>
        <w:drawing>
          <wp:inline distT="0" distB="0" distL="0" distR="0" wp14:anchorId="1DF0DF8A" wp14:editId="3CBC6D4D">
            <wp:extent cx="3792829" cy="208282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90803" cy="2081716"/>
                    </a:xfrm>
                    <a:prstGeom prst="rect">
                      <a:avLst/>
                    </a:prstGeom>
                    <a:noFill/>
                    <a:ln>
                      <a:noFill/>
                    </a:ln>
                  </pic:spPr>
                </pic:pic>
              </a:graphicData>
            </a:graphic>
          </wp:inline>
        </w:drawing>
      </w:r>
    </w:p>
    <w:p w:rsidR="00784E52" w:rsidRPr="005C7CCE" w:rsidRDefault="00784E52" w:rsidP="001A5BF9">
      <w:pPr>
        <w:autoSpaceDE w:val="0"/>
        <w:autoSpaceDN w:val="0"/>
        <w:adjustRightInd w:val="0"/>
        <w:jc w:val="both"/>
        <w:rPr>
          <w:rFonts w:cs="Arial"/>
        </w:rPr>
      </w:pPr>
    </w:p>
    <w:tbl>
      <w:tblPr>
        <w:tblW w:w="0" w:type="auto"/>
        <w:tblInd w:w="9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71"/>
        <w:gridCol w:w="3543"/>
        <w:gridCol w:w="1418"/>
        <w:gridCol w:w="1162"/>
      </w:tblGrid>
      <w:tr w:rsidR="00784E52" w:rsidRPr="00DE1804" w:rsidTr="006D16B6">
        <w:trPr>
          <w:cantSplit/>
          <w:tblHeader/>
        </w:trPr>
        <w:tc>
          <w:tcPr>
            <w:tcW w:w="3271" w:type="dxa"/>
            <w:tcBorders>
              <w:top w:val="single" w:sz="4" w:space="0" w:color="auto"/>
              <w:bottom w:val="single" w:sz="4" w:space="0" w:color="auto"/>
            </w:tcBorders>
            <w:shd w:val="clear" w:color="auto" w:fill="CCFFFF"/>
            <w:vAlign w:val="center"/>
          </w:tcPr>
          <w:p w:rsidR="00784E52" w:rsidRPr="00DE1804" w:rsidRDefault="00784E52" w:rsidP="001A5BF9">
            <w:pPr>
              <w:spacing w:before="120" w:after="120"/>
              <w:jc w:val="center"/>
              <w:rPr>
                <w:rFonts w:cs="Arial"/>
                <w:b/>
                <w:bCs/>
                <w:sz w:val="14"/>
                <w:szCs w:val="14"/>
              </w:rPr>
            </w:pPr>
            <w:r w:rsidRPr="00DE1804">
              <w:rPr>
                <w:b/>
                <w:sz w:val="14"/>
              </w:rPr>
              <w:t>Résultats escomptés</w:t>
            </w:r>
          </w:p>
        </w:tc>
        <w:tc>
          <w:tcPr>
            <w:tcW w:w="3543" w:type="dxa"/>
            <w:tcBorders>
              <w:top w:val="single" w:sz="4" w:space="0" w:color="auto"/>
              <w:bottom w:val="single" w:sz="4" w:space="0" w:color="auto"/>
            </w:tcBorders>
            <w:shd w:val="clear" w:color="auto" w:fill="CCFFFF"/>
            <w:vAlign w:val="center"/>
          </w:tcPr>
          <w:p w:rsidR="00784E52" w:rsidRPr="00DE1804" w:rsidRDefault="00784E52" w:rsidP="001A5BF9">
            <w:pPr>
              <w:spacing w:before="120" w:after="120"/>
              <w:jc w:val="center"/>
              <w:rPr>
                <w:rFonts w:cs="Arial"/>
                <w:b/>
                <w:bCs/>
                <w:sz w:val="14"/>
                <w:szCs w:val="14"/>
              </w:rPr>
            </w:pPr>
            <w:r w:rsidRPr="00DE1804">
              <w:rPr>
                <w:b/>
                <w:sz w:val="14"/>
              </w:rPr>
              <w:t>Indicateurs d</w:t>
            </w:r>
            <w:r w:rsidR="00A20444" w:rsidRPr="00DE1804">
              <w:rPr>
                <w:b/>
                <w:sz w:val="14"/>
              </w:rPr>
              <w:t>’</w:t>
            </w:r>
            <w:r w:rsidRPr="00DE1804">
              <w:rPr>
                <w:b/>
                <w:sz w:val="14"/>
              </w:rPr>
              <w:t>exécution</w:t>
            </w:r>
          </w:p>
        </w:tc>
        <w:tc>
          <w:tcPr>
            <w:tcW w:w="1418" w:type="dxa"/>
            <w:tcBorders>
              <w:top w:val="single" w:sz="4" w:space="0" w:color="auto"/>
              <w:bottom w:val="single" w:sz="4" w:space="0" w:color="auto"/>
            </w:tcBorders>
            <w:shd w:val="clear" w:color="auto" w:fill="CCFFFF"/>
            <w:vAlign w:val="center"/>
          </w:tcPr>
          <w:p w:rsidR="00784E52" w:rsidRPr="00DE1804" w:rsidRDefault="00784E52" w:rsidP="001A5BF9">
            <w:pPr>
              <w:spacing w:before="120" w:after="120"/>
              <w:jc w:val="center"/>
              <w:rPr>
                <w:rFonts w:cs="Arial"/>
                <w:b/>
                <w:bCs/>
                <w:sz w:val="14"/>
                <w:szCs w:val="14"/>
              </w:rPr>
            </w:pPr>
            <w:r w:rsidRPr="00DE1804">
              <w:rPr>
                <w:b/>
                <w:sz w:val="14"/>
              </w:rPr>
              <w:t>Programme(s)</w:t>
            </w:r>
            <w:r w:rsidRPr="00DE1804">
              <w:br/>
            </w:r>
            <w:r w:rsidRPr="00DE1804">
              <w:rPr>
                <w:b/>
                <w:sz w:val="14"/>
              </w:rPr>
              <w:t>concerné(s)</w:t>
            </w:r>
          </w:p>
        </w:tc>
        <w:tc>
          <w:tcPr>
            <w:tcW w:w="1162" w:type="dxa"/>
            <w:tcBorders>
              <w:top w:val="single" w:sz="4" w:space="0" w:color="auto"/>
              <w:bottom w:val="single" w:sz="4" w:space="0" w:color="auto"/>
            </w:tcBorders>
            <w:shd w:val="clear" w:color="auto" w:fill="CCFFFF"/>
          </w:tcPr>
          <w:p w:rsidR="00784E52" w:rsidRPr="00DE1804" w:rsidRDefault="00784E52" w:rsidP="001A5BF9">
            <w:pPr>
              <w:spacing w:before="120" w:after="120"/>
              <w:jc w:val="center"/>
              <w:rPr>
                <w:rFonts w:cs="Arial"/>
                <w:b/>
                <w:bCs/>
                <w:sz w:val="14"/>
                <w:szCs w:val="14"/>
              </w:rPr>
            </w:pPr>
            <w:r w:rsidRPr="00DE1804">
              <w:rPr>
                <w:b/>
                <w:sz w:val="14"/>
              </w:rPr>
              <w:t>Code de couleurs</w:t>
            </w:r>
          </w:p>
        </w:tc>
      </w:tr>
      <w:tr w:rsidR="00784E52" w:rsidRPr="005C7CCE" w:rsidTr="006D16B6">
        <w:trPr>
          <w:cantSplit/>
        </w:trPr>
        <w:tc>
          <w:tcPr>
            <w:tcW w:w="3271" w:type="dxa"/>
            <w:vMerge w:val="restart"/>
            <w:tcBorders>
              <w:top w:val="single" w:sz="4" w:space="0" w:color="auto"/>
            </w:tcBorders>
            <w:shd w:val="clear" w:color="auto" w:fill="auto"/>
            <w:tcMar>
              <w:top w:w="113" w:type="dxa"/>
            </w:tcMar>
          </w:tcPr>
          <w:p w:rsidR="00784E52" w:rsidRPr="00DE1804" w:rsidRDefault="00784E52" w:rsidP="001A5BF9">
            <w:pPr>
              <w:spacing w:before="80"/>
              <w:rPr>
                <w:rFonts w:cs="Arial"/>
                <w:sz w:val="14"/>
                <w:szCs w:val="14"/>
              </w:rPr>
            </w:pPr>
            <w:r w:rsidRPr="00DE1804">
              <w:rPr>
                <w:sz w:val="14"/>
              </w:rPr>
              <w:t>Système actualisé et mondialement accepté des classifications internationales et des normes de l</w:t>
            </w:r>
            <w:r w:rsidR="00A20444" w:rsidRPr="00DE1804">
              <w:rPr>
                <w:sz w:val="14"/>
              </w:rPr>
              <w:t>’</w:t>
            </w:r>
            <w:r w:rsidRPr="00DE1804">
              <w:rPr>
                <w:sz w:val="14"/>
              </w:rPr>
              <w:t>OMPI pour faciliter l</w:t>
            </w:r>
            <w:r w:rsidR="00A20444" w:rsidRPr="00DE1804">
              <w:rPr>
                <w:sz w:val="14"/>
              </w:rPr>
              <w:t>’</w:t>
            </w:r>
            <w:r w:rsidRPr="00DE1804">
              <w:rPr>
                <w:sz w:val="14"/>
              </w:rPr>
              <w:t>accès des parties prenantes du monde entier à l</w:t>
            </w:r>
            <w:r w:rsidR="00A20444" w:rsidRPr="00DE1804">
              <w:rPr>
                <w:sz w:val="14"/>
              </w:rPr>
              <w:t>’</w:t>
            </w:r>
            <w:r w:rsidRPr="00DE1804">
              <w:rPr>
                <w:sz w:val="14"/>
              </w:rPr>
              <w:t>information en matière de propriété intellectuelle, ainsi que son utilisation et sa diffusion</w:t>
            </w:r>
          </w:p>
        </w:tc>
        <w:tc>
          <w:tcPr>
            <w:tcW w:w="3543" w:type="dxa"/>
            <w:tcBorders>
              <w:top w:val="single" w:sz="4" w:space="0" w:color="auto"/>
            </w:tcBorders>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offices qui utilisent les normes de l</w:t>
            </w:r>
            <w:r w:rsidR="00A20444" w:rsidRPr="00DE1804">
              <w:rPr>
                <w:sz w:val="14"/>
              </w:rPr>
              <w:t>’</w:t>
            </w:r>
            <w:r w:rsidRPr="00DE1804">
              <w:rPr>
                <w:sz w:val="14"/>
              </w:rPr>
              <w:t>OMPI</w:t>
            </w:r>
          </w:p>
        </w:tc>
        <w:tc>
          <w:tcPr>
            <w:tcW w:w="1418" w:type="dxa"/>
            <w:tcBorders>
              <w:top w:val="single" w:sz="4" w:space="0" w:color="auto"/>
            </w:tcBorders>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12</w:t>
            </w:r>
          </w:p>
        </w:tc>
        <w:tc>
          <w:tcPr>
            <w:tcW w:w="1162" w:type="dxa"/>
            <w:tcBorders>
              <w:top w:val="single" w:sz="4" w:space="0" w:color="auto"/>
            </w:tcBorders>
          </w:tcPr>
          <w:p w:rsidR="00784E52" w:rsidRPr="005C7CCE" w:rsidRDefault="00784E52" w:rsidP="001A5BF9">
            <w:pPr>
              <w:spacing w:before="20"/>
              <w:jc w:val="center"/>
              <w:rPr>
                <w:rFonts w:cs="Arial"/>
                <w:szCs w:val="22"/>
              </w:rPr>
            </w:pPr>
            <w:r w:rsidRPr="005C7CCE">
              <w:rPr>
                <w:color w:val="A6A6A6"/>
              </w:rPr>
              <w:sym w:font="Wingdings" w:char="F06C"/>
            </w:r>
          </w:p>
        </w:tc>
      </w:tr>
      <w:tr w:rsidR="00784E52" w:rsidRPr="005C7CCE" w:rsidTr="006D16B6">
        <w:trPr>
          <w:cantSplit/>
        </w:trPr>
        <w:tc>
          <w:tcPr>
            <w:tcW w:w="3271" w:type="dxa"/>
            <w:vMerge/>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de modifications apportées à la Classification de Nice</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12</w:t>
            </w:r>
          </w:p>
        </w:tc>
        <w:tc>
          <w:tcPr>
            <w:tcW w:w="1162" w:type="dxa"/>
          </w:tcPr>
          <w:p w:rsidR="00784E52" w:rsidRPr="005C7CCE" w:rsidRDefault="00784E52" w:rsidP="001A5BF9">
            <w:pPr>
              <w:spacing w:before="20"/>
              <w:jc w:val="center"/>
              <w:rPr>
                <w:szCs w:val="22"/>
              </w:rPr>
            </w:pPr>
            <w:r w:rsidRPr="005C7CCE">
              <w:rPr>
                <w:color w:val="FF0000"/>
              </w:rPr>
              <w:sym w:font="Wingdings" w:char="F06C"/>
            </w:r>
          </w:p>
        </w:tc>
      </w:tr>
      <w:tr w:rsidR="00784E52" w:rsidRPr="005C7CCE" w:rsidTr="006D16B6">
        <w:trPr>
          <w:cantSplit/>
        </w:trPr>
        <w:tc>
          <w:tcPr>
            <w:tcW w:w="3271" w:type="dxa"/>
            <w:vMerge/>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Unification de l</w:t>
            </w:r>
            <w:r w:rsidR="00A20444" w:rsidRPr="00DE1804">
              <w:rPr>
                <w:sz w:val="14"/>
              </w:rPr>
              <w:t>’</w:t>
            </w:r>
            <w:proofErr w:type="spellStart"/>
            <w:r w:rsidRPr="00DE1804">
              <w:rPr>
                <w:sz w:val="14"/>
              </w:rPr>
              <w:t>ECLA</w:t>
            </w:r>
            <w:proofErr w:type="spellEnd"/>
            <w:r w:rsidRPr="00DE1804">
              <w:rPr>
                <w:sz w:val="14"/>
              </w:rPr>
              <w:t xml:space="preserve"> et de la FI à l</w:t>
            </w:r>
            <w:r w:rsidR="00A20444" w:rsidRPr="00DE1804">
              <w:rPr>
                <w:sz w:val="14"/>
              </w:rPr>
              <w:t>’</w:t>
            </w:r>
            <w:r w:rsidRPr="00DE1804">
              <w:rPr>
                <w:sz w:val="14"/>
              </w:rPr>
              <w:t>intérieur de</w:t>
            </w:r>
            <w:r w:rsidR="00A20444" w:rsidRPr="00DE1804">
              <w:rPr>
                <w:sz w:val="14"/>
              </w:rPr>
              <w:t xml:space="preserve"> la </w:t>
            </w:r>
            <w:proofErr w:type="spellStart"/>
            <w:r w:rsidR="00A20444" w:rsidRPr="00DE1804">
              <w:rPr>
                <w:sz w:val="14"/>
              </w:rPr>
              <w:t>CIB</w:t>
            </w:r>
            <w:proofErr w:type="spellEnd"/>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12</w:t>
            </w:r>
          </w:p>
        </w:tc>
        <w:tc>
          <w:tcPr>
            <w:tcW w:w="1162" w:type="dxa"/>
          </w:tcPr>
          <w:p w:rsidR="00784E52" w:rsidRPr="005C7CCE" w:rsidRDefault="00784E52" w:rsidP="001A5BF9">
            <w:pPr>
              <w:spacing w:before="20"/>
              <w:jc w:val="center"/>
              <w:rPr>
                <w:szCs w:val="22"/>
              </w:rPr>
            </w:pPr>
            <w:r w:rsidRPr="005C7CCE">
              <w:rPr>
                <w:color w:val="E36C0A"/>
              </w:rPr>
              <w:sym w:font="Wingdings" w:char="F06C"/>
            </w:r>
          </w:p>
        </w:tc>
      </w:tr>
      <w:tr w:rsidR="00784E52" w:rsidRPr="005C7CCE" w:rsidTr="006D16B6">
        <w:trPr>
          <w:cantSplit/>
        </w:trPr>
        <w:tc>
          <w:tcPr>
            <w:tcW w:w="3271" w:type="dxa"/>
            <w:vMerge/>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Intégration dans la classification de Locarno d</w:t>
            </w:r>
            <w:r w:rsidR="00A20444" w:rsidRPr="00DE1804">
              <w:rPr>
                <w:sz w:val="14"/>
              </w:rPr>
              <w:t>’</w:t>
            </w:r>
            <w:r w:rsidRPr="00DE1804">
              <w:rPr>
                <w:sz w:val="14"/>
              </w:rPr>
              <w:t>un outil permettant la recherche des caractéristiques visuelles des demandes d</w:t>
            </w:r>
            <w:r w:rsidR="00A20444" w:rsidRPr="00DE1804">
              <w:rPr>
                <w:sz w:val="14"/>
              </w:rPr>
              <w:t>’</w:t>
            </w:r>
            <w:r w:rsidRPr="00DE1804">
              <w:rPr>
                <w:sz w:val="14"/>
              </w:rPr>
              <w:t>enregistrement des dessins et modèles</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12</w:t>
            </w:r>
          </w:p>
        </w:tc>
        <w:tc>
          <w:tcPr>
            <w:tcW w:w="1162" w:type="dxa"/>
          </w:tcPr>
          <w:p w:rsidR="00784E52" w:rsidRPr="005C7CCE" w:rsidRDefault="00784E52" w:rsidP="001A5BF9">
            <w:pPr>
              <w:spacing w:before="20"/>
              <w:jc w:val="center"/>
              <w:rPr>
                <w:szCs w:val="22"/>
              </w:rPr>
            </w:pPr>
            <w:r w:rsidRPr="005C7CCE">
              <w:rPr>
                <w:color w:val="FF0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de normes modifiées et nouvelles adoptées</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12</w:t>
            </w:r>
          </w:p>
        </w:tc>
        <w:tc>
          <w:tcPr>
            <w:tcW w:w="1162" w:type="dxa"/>
          </w:tcPr>
          <w:p w:rsidR="00784E52" w:rsidRPr="005C7CCE" w:rsidRDefault="00784E52" w:rsidP="001A5BF9">
            <w:pPr>
              <w:spacing w:before="20"/>
              <w:jc w:val="center"/>
              <w:rPr>
                <w:color w:val="A6A6A6"/>
                <w:szCs w:val="22"/>
              </w:rPr>
            </w:pPr>
            <w:r w:rsidRPr="005C7CCE">
              <w:rPr>
                <w:color w:val="A6A6A6"/>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offices se déclarant satisfaits de la formation reçue pour améliorer leurs compétences dans l</w:t>
            </w:r>
            <w:r w:rsidR="00A20444" w:rsidRPr="00DE1804">
              <w:rPr>
                <w:sz w:val="14"/>
              </w:rPr>
              <w:t>’</w:t>
            </w:r>
            <w:r w:rsidRPr="00DE1804">
              <w:rPr>
                <w:sz w:val="14"/>
              </w:rPr>
              <w:t>utilisation des classifications</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12</w:t>
            </w:r>
          </w:p>
        </w:tc>
        <w:tc>
          <w:tcPr>
            <w:tcW w:w="1162" w:type="dxa"/>
          </w:tcPr>
          <w:p w:rsidR="00784E52" w:rsidRPr="005C7CCE" w:rsidRDefault="00784E52" w:rsidP="001A5BF9">
            <w:pPr>
              <w:spacing w:before="20"/>
              <w:jc w:val="center"/>
              <w:rPr>
                <w:color w:val="A6A6A6"/>
                <w:szCs w:val="22"/>
              </w:rPr>
            </w:pPr>
            <w:r w:rsidRPr="005C7CCE">
              <w:rPr>
                <w:color w:val="A6A6A6"/>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utilisateurs consultant les publications sur l</w:t>
            </w:r>
            <w:r w:rsidR="00A20444" w:rsidRPr="00DE1804">
              <w:rPr>
                <w:sz w:val="14"/>
              </w:rPr>
              <w:t>’</w:t>
            </w:r>
            <w:r w:rsidRPr="00DE1804">
              <w:rPr>
                <w:sz w:val="14"/>
              </w:rPr>
              <w:t>Internet des classifications internationales et des normes, notamment dans les pays en développement</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12</w:t>
            </w:r>
          </w:p>
        </w:tc>
        <w:tc>
          <w:tcPr>
            <w:tcW w:w="1162"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D16B6">
        <w:trPr>
          <w:cantSplit/>
        </w:trPr>
        <w:tc>
          <w:tcPr>
            <w:tcW w:w="3271" w:type="dxa"/>
            <w:vMerge w:val="restart"/>
            <w:shd w:val="clear" w:color="auto" w:fill="auto"/>
            <w:tcMar>
              <w:top w:w="113" w:type="dxa"/>
            </w:tcMar>
          </w:tcPr>
          <w:p w:rsidR="00784E52" w:rsidRPr="00DE1804" w:rsidRDefault="00784E52" w:rsidP="001A5BF9">
            <w:pPr>
              <w:spacing w:before="80"/>
              <w:rPr>
                <w:rFonts w:cs="Arial"/>
                <w:sz w:val="14"/>
                <w:szCs w:val="14"/>
              </w:rPr>
            </w:pPr>
            <w:r w:rsidRPr="00DE1804">
              <w:rPr>
                <w:sz w:val="14"/>
              </w:rPr>
              <w:t>Accès amélioré à l</w:t>
            </w:r>
            <w:r w:rsidR="00A20444" w:rsidRPr="00DE1804">
              <w:rPr>
                <w:sz w:val="14"/>
              </w:rPr>
              <w:t>’</w:t>
            </w:r>
            <w:r w:rsidRPr="00DE1804">
              <w:rPr>
                <w:sz w:val="14"/>
              </w:rPr>
              <w:t>information et aux savoirs en matière de propriété intellectuelle, et meilleure utilisation de cette information et de ces savoirs, par les institutions de propriété intellectuelle et le public, pour promouvoir l</w:t>
            </w:r>
            <w:r w:rsidR="00A20444" w:rsidRPr="00DE1804">
              <w:rPr>
                <w:sz w:val="14"/>
              </w:rPr>
              <w:t>’</w:t>
            </w:r>
            <w:r w:rsidRPr="00DE1804">
              <w:rPr>
                <w:sz w:val="14"/>
              </w:rPr>
              <w:t>innovation et faciliter l</w:t>
            </w:r>
            <w:r w:rsidR="00A20444" w:rsidRPr="00DE1804">
              <w:rPr>
                <w:sz w:val="14"/>
              </w:rPr>
              <w:t>’</w:t>
            </w:r>
            <w:r w:rsidRPr="00DE1804">
              <w:rPr>
                <w:sz w:val="14"/>
              </w:rPr>
              <w:t>accès aux œuvres de création protégées et aux œuvres de création dans le domaine public</w:t>
            </w: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utilisateurs différents par trimestre/système (PATENTSCOPE/Base de données mondiale sur les marques)</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13</w:t>
            </w:r>
          </w:p>
        </w:tc>
        <w:tc>
          <w:tcPr>
            <w:tcW w:w="1162"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D16B6">
        <w:trPr>
          <w:cantSplit/>
        </w:trPr>
        <w:tc>
          <w:tcPr>
            <w:tcW w:w="3271" w:type="dxa"/>
            <w:vMerge/>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de langues dans lesquelles il est possible de faire des recherches multilingues</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13</w:t>
            </w:r>
          </w:p>
        </w:tc>
        <w:tc>
          <w:tcPr>
            <w:tcW w:w="1162"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D16B6">
        <w:trPr>
          <w:cantSplit/>
        </w:trPr>
        <w:tc>
          <w:tcPr>
            <w:tcW w:w="3271" w:type="dxa"/>
            <w:vMerge/>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de réseaux nationaux de centres d</w:t>
            </w:r>
            <w:r w:rsidR="00A20444" w:rsidRPr="00DE1804">
              <w:rPr>
                <w:sz w:val="14"/>
              </w:rPr>
              <w:t>’</w:t>
            </w:r>
            <w:r w:rsidRPr="00DE1804">
              <w:rPr>
                <w:sz w:val="14"/>
              </w:rPr>
              <w:t>appui à la technologie et à l</w:t>
            </w:r>
            <w:r w:rsidR="00A20444" w:rsidRPr="00DE1804">
              <w:rPr>
                <w:sz w:val="14"/>
              </w:rPr>
              <w:t>’</w:t>
            </w:r>
            <w:r w:rsidRPr="00DE1804">
              <w:rPr>
                <w:sz w:val="14"/>
              </w:rPr>
              <w:t>innovation lancés</w:t>
            </w:r>
          </w:p>
        </w:tc>
        <w:tc>
          <w:tcPr>
            <w:tcW w:w="1418" w:type="dxa"/>
            <w:shd w:val="clear" w:color="auto" w:fill="auto"/>
            <w:tcMar>
              <w:top w:w="113" w:type="dxa"/>
            </w:tcMar>
          </w:tcPr>
          <w:p w:rsidR="00D42474" w:rsidRDefault="00784E52" w:rsidP="001A5BF9">
            <w:pPr>
              <w:spacing w:before="80"/>
              <w:ind w:left="175"/>
              <w:rPr>
                <w:rFonts w:cs="Arial"/>
                <w:sz w:val="14"/>
                <w:szCs w:val="14"/>
              </w:rPr>
            </w:pPr>
            <w:r w:rsidRPr="00DE1804">
              <w:rPr>
                <w:sz w:val="14"/>
              </w:rPr>
              <w:t>Programme 14</w:t>
            </w:r>
          </w:p>
          <w:p w:rsidR="00D42474" w:rsidRDefault="00784E52" w:rsidP="001A5BF9">
            <w:pPr>
              <w:spacing w:before="120"/>
              <w:ind w:left="176"/>
              <w:rPr>
                <w:sz w:val="14"/>
              </w:rPr>
            </w:pPr>
            <w:r w:rsidRPr="00DE1804">
              <w:rPr>
                <w:sz w:val="14"/>
              </w:rPr>
              <w:t>Programme 9</w:t>
            </w:r>
          </w:p>
          <w:p w:rsidR="00784E52" w:rsidRPr="00DE1804" w:rsidRDefault="00784E52" w:rsidP="001A5BF9">
            <w:pPr>
              <w:spacing w:before="120"/>
              <w:ind w:left="176"/>
              <w:rPr>
                <w:rFonts w:cs="Arial"/>
                <w:sz w:val="14"/>
                <w:szCs w:val="14"/>
              </w:rPr>
            </w:pPr>
            <w:r w:rsidRPr="00DE1804">
              <w:rPr>
                <w:sz w:val="14"/>
              </w:rPr>
              <w:t>Programme 10</w:t>
            </w:r>
          </w:p>
        </w:tc>
        <w:tc>
          <w:tcPr>
            <w:tcW w:w="1162" w:type="dxa"/>
          </w:tcPr>
          <w:p w:rsidR="00D42474" w:rsidRDefault="00784E52" w:rsidP="001A5BF9">
            <w:pPr>
              <w:spacing w:before="20"/>
              <w:jc w:val="center"/>
              <w:rPr>
                <w:rFonts w:cs="Arial"/>
                <w:color w:val="008000"/>
                <w:szCs w:val="22"/>
              </w:rPr>
            </w:pPr>
            <w:r w:rsidRPr="005C7CCE">
              <w:rPr>
                <w:color w:val="008000"/>
              </w:rPr>
              <w:sym w:font="Wingdings" w:char="F06C"/>
            </w:r>
          </w:p>
          <w:p w:rsidR="00D42474" w:rsidRDefault="00784E52" w:rsidP="001A5BF9">
            <w:pPr>
              <w:jc w:val="center"/>
              <w:rPr>
                <w:rFonts w:cs="Arial"/>
                <w:color w:val="008000"/>
                <w:szCs w:val="22"/>
              </w:rPr>
            </w:pPr>
            <w:r w:rsidRPr="005C7CCE">
              <w:rPr>
                <w:color w:val="008000"/>
              </w:rPr>
              <w:sym w:font="Wingdings" w:char="F06C"/>
            </w:r>
          </w:p>
          <w:p w:rsidR="00784E52" w:rsidRPr="005C7CCE" w:rsidRDefault="00784E52" w:rsidP="001A5BF9">
            <w:pPr>
              <w:jc w:val="center"/>
              <w:rPr>
                <w:szCs w:val="22"/>
              </w:rPr>
            </w:pPr>
            <w:r w:rsidRPr="005C7CCE">
              <w:rPr>
                <w:color w:val="FF0000"/>
              </w:rPr>
              <w:sym w:font="Wingdings" w:char="F06C"/>
            </w:r>
          </w:p>
        </w:tc>
      </w:tr>
      <w:tr w:rsidR="00784E52" w:rsidRPr="005C7CCE" w:rsidTr="006D16B6">
        <w:trPr>
          <w:cantSplit/>
        </w:trPr>
        <w:tc>
          <w:tcPr>
            <w:tcW w:w="3271" w:type="dxa"/>
            <w:vMerge/>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utilisateurs ayant bénéficié des services des centres de technologie et d</w:t>
            </w:r>
            <w:r w:rsidR="00A20444" w:rsidRPr="00DE1804">
              <w:rPr>
                <w:sz w:val="14"/>
              </w:rPr>
              <w:t>’</w:t>
            </w:r>
            <w:r w:rsidRPr="00DE1804">
              <w:rPr>
                <w:sz w:val="14"/>
              </w:rPr>
              <w:t>appui à l</w:t>
            </w:r>
            <w:r w:rsidR="00A20444" w:rsidRPr="00DE1804">
              <w:rPr>
                <w:sz w:val="14"/>
              </w:rPr>
              <w:t>’</w:t>
            </w:r>
            <w:r w:rsidRPr="00DE1804">
              <w:rPr>
                <w:sz w:val="14"/>
              </w:rPr>
              <w:t>innovation par trimestre et par pays</w:t>
            </w:r>
          </w:p>
        </w:tc>
        <w:tc>
          <w:tcPr>
            <w:tcW w:w="1418" w:type="dxa"/>
            <w:shd w:val="clear" w:color="auto" w:fill="auto"/>
            <w:tcMar>
              <w:top w:w="113" w:type="dxa"/>
            </w:tcMar>
          </w:tcPr>
          <w:p w:rsidR="00D42474" w:rsidRDefault="00784E52" w:rsidP="001A5BF9">
            <w:pPr>
              <w:spacing w:before="80"/>
              <w:ind w:left="175"/>
              <w:rPr>
                <w:rFonts w:cs="Arial"/>
                <w:sz w:val="14"/>
                <w:szCs w:val="14"/>
              </w:rPr>
            </w:pPr>
            <w:r w:rsidRPr="00DE1804">
              <w:rPr>
                <w:sz w:val="14"/>
              </w:rPr>
              <w:t>Programme 14</w:t>
            </w:r>
          </w:p>
          <w:p w:rsidR="00D42474" w:rsidRDefault="00784E52" w:rsidP="001A5BF9">
            <w:pPr>
              <w:spacing w:before="120"/>
              <w:ind w:left="176"/>
              <w:rPr>
                <w:sz w:val="14"/>
              </w:rPr>
            </w:pPr>
            <w:r w:rsidRPr="00DE1804">
              <w:rPr>
                <w:sz w:val="14"/>
              </w:rPr>
              <w:t>Programme 9</w:t>
            </w:r>
          </w:p>
          <w:p w:rsidR="00784E52" w:rsidRPr="00DE1804" w:rsidRDefault="00784E52" w:rsidP="001A5BF9">
            <w:pPr>
              <w:spacing w:before="120"/>
              <w:ind w:left="176"/>
              <w:rPr>
                <w:rFonts w:cs="Arial"/>
                <w:sz w:val="14"/>
                <w:szCs w:val="14"/>
              </w:rPr>
            </w:pPr>
            <w:r w:rsidRPr="00DE1804">
              <w:rPr>
                <w:sz w:val="14"/>
              </w:rPr>
              <w:t>Programme 10</w:t>
            </w:r>
          </w:p>
        </w:tc>
        <w:tc>
          <w:tcPr>
            <w:tcW w:w="1162" w:type="dxa"/>
          </w:tcPr>
          <w:p w:rsidR="00D42474" w:rsidRDefault="00784E52" w:rsidP="001A5BF9">
            <w:pPr>
              <w:jc w:val="center"/>
              <w:rPr>
                <w:rFonts w:cs="Arial"/>
                <w:color w:val="A6A6A6"/>
                <w:szCs w:val="22"/>
              </w:rPr>
            </w:pPr>
            <w:r w:rsidRPr="005C7CCE">
              <w:rPr>
                <w:color w:val="A6A6A6"/>
              </w:rPr>
              <w:sym w:font="Wingdings" w:char="F06C"/>
            </w:r>
          </w:p>
          <w:p w:rsidR="00D42474" w:rsidRDefault="00784E52" w:rsidP="001A5BF9">
            <w:pPr>
              <w:jc w:val="center"/>
              <w:rPr>
                <w:rFonts w:cs="Arial"/>
                <w:color w:val="A6A6A6"/>
                <w:szCs w:val="22"/>
              </w:rPr>
            </w:pPr>
            <w:r w:rsidRPr="005C7CCE">
              <w:rPr>
                <w:color w:val="A6A6A6"/>
              </w:rPr>
              <w:sym w:font="Wingdings" w:char="F06C"/>
            </w:r>
          </w:p>
          <w:p w:rsidR="00784E52" w:rsidRPr="005C7CCE" w:rsidRDefault="00784E52" w:rsidP="001A5BF9">
            <w:pPr>
              <w:jc w:val="center"/>
              <w:rPr>
                <w:szCs w:val="22"/>
              </w:rPr>
            </w:pPr>
            <w:r w:rsidRPr="005C7CCE">
              <w:rPr>
                <w:color w:val="A6A6A6"/>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utilisateurs de services d</w:t>
            </w:r>
            <w:r w:rsidR="00A20444" w:rsidRPr="00DE1804">
              <w:rPr>
                <w:sz w:val="14"/>
              </w:rPr>
              <w:t>’</w:t>
            </w:r>
            <w:r w:rsidRPr="00DE1804">
              <w:rPr>
                <w:sz w:val="14"/>
              </w:rPr>
              <w:t>information à valeur ajoutée (service de recherche d</w:t>
            </w:r>
            <w:r w:rsidR="00A20444" w:rsidRPr="00DE1804">
              <w:rPr>
                <w:sz w:val="14"/>
              </w:rPr>
              <w:t>’</w:t>
            </w:r>
            <w:r w:rsidRPr="00DE1804">
              <w:rPr>
                <w:sz w:val="14"/>
              </w:rPr>
              <w:t>informations techniques, rapports sur la cartographie des brevets et coopération internationale en matière d</w:t>
            </w:r>
            <w:r w:rsidR="00A20444" w:rsidRPr="00DE1804">
              <w:rPr>
                <w:sz w:val="14"/>
              </w:rPr>
              <w:t>’</w:t>
            </w:r>
            <w:r w:rsidRPr="00DE1804">
              <w:rPr>
                <w:sz w:val="14"/>
              </w:rPr>
              <w:t>examen)</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14</w:t>
            </w:r>
          </w:p>
        </w:tc>
        <w:tc>
          <w:tcPr>
            <w:tcW w:w="1162" w:type="dxa"/>
          </w:tcPr>
          <w:p w:rsidR="00784E52" w:rsidRPr="005C7CCE" w:rsidRDefault="00784E52" w:rsidP="001A5BF9">
            <w:pPr>
              <w:jc w:val="center"/>
              <w:rPr>
                <w:szCs w:val="22"/>
              </w:rPr>
            </w:pPr>
            <w:r w:rsidRPr="005C7CCE">
              <w:rPr>
                <w:color w:val="A6A6A6"/>
              </w:rPr>
              <w:sym w:font="Wingdings" w:char="F06C"/>
            </w:r>
            <w:r w:rsidRPr="005C7CCE">
              <w:rPr>
                <w:color w:val="A6A6A6"/>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Pourcentage de bénéficiaires satisfaits des services d</w:t>
            </w:r>
            <w:r w:rsidR="00A20444" w:rsidRPr="00DE1804">
              <w:rPr>
                <w:sz w:val="14"/>
              </w:rPr>
              <w:t>’</w:t>
            </w:r>
            <w:r w:rsidRPr="00DE1804">
              <w:rPr>
                <w:sz w:val="14"/>
              </w:rPr>
              <w:t>information à valeur ajoutée (service de recherche d</w:t>
            </w:r>
            <w:r w:rsidR="00A20444" w:rsidRPr="00DE1804">
              <w:rPr>
                <w:sz w:val="14"/>
              </w:rPr>
              <w:t>’</w:t>
            </w:r>
            <w:r w:rsidRPr="00DE1804">
              <w:rPr>
                <w:sz w:val="14"/>
              </w:rPr>
              <w:t>informations techniques, rapports sur la cartographie des brevets et coopération internationale en matière d</w:t>
            </w:r>
            <w:r w:rsidR="00A20444" w:rsidRPr="00DE1804">
              <w:rPr>
                <w:sz w:val="14"/>
              </w:rPr>
              <w:t>’</w:t>
            </w:r>
            <w:r w:rsidRPr="00DE1804">
              <w:rPr>
                <w:sz w:val="14"/>
              </w:rPr>
              <w:t>examen)</w:t>
            </w:r>
            <w:r w:rsidR="004F3E42" w:rsidRPr="00DE1804">
              <w:rPr>
                <w:sz w:val="14"/>
              </w:rPr>
              <w:t xml:space="preserve"> </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14</w:t>
            </w:r>
          </w:p>
        </w:tc>
        <w:tc>
          <w:tcPr>
            <w:tcW w:w="1162" w:type="dxa"/>
          </w:tcPr>
          <w:p w:rsidR="00784E52" w:rsidRPr="005C7CCE" w:rsidRDefault="00784E52" w:rsidP="001A5BF9">
            <w:pPr>
              <w:jc w:val="center"/>
              <w:rPr>
                <w:szCs w:val="22"/>
              </w:rPr>
            </w:pPr>
            <w:r w:rsidRPr="005C7CCE">
              <w:rPr>
                <w:color w:val="FF0000"/>
              </w:rPr>
              <w:sym w:font="Wingdings" w:char="F06C"/>
            </w: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Pourcentage d</w:t>
            </w:r>
            <w:r w:rsidR="00A20444" w:rsidRPr="00DE1804">
              <w:rPr>
                <w:sz w:val="14"/>
              </w:rPr>
              <w:t>’</w:t>
            </w:r>
            <w:r w:rsidRPr="00DE1804">
              <w:rPr>
                <w:sz w:val="14"/>
              </w:rPr>
              <w:t>utilisateurs satisfaits des services par les centres</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14</w:t>
            </w:r>
          </w:p>
        </w:tc>
        <w:tc>
          <w:tcPr>
            <w:tcW w:w="1162" w:type="dxa"/>
          </w:tcPr>
          <w:p w:rsidR="00784E52" w:rsidRPr="005C7CCE" w:rsidRDefault="00784E52" w:rsidP="001A5BF9">
            <w:pPr>
              <w:jc w:val="center"/>
              <w:rPr>
                <w:szCs w:val="22"/>
              </w:rPr>
            </w:pPr>
            <w:r w:rsidRPr="005C7CCE">
              <w:rPr>
                <w:color w:val="FF0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 xml:space="preserve">utilisateurs inscrits aux programmes </w:t>
            </w:r>
            <w:proofErr w:type="spellStart"/>
            <w:r w:rsidRPr="00DE1804">
              <w:rPr>
                <w:sz w:val="14"/>
              </w:rPr>
              <w:t>aRDI</w:t>
            </w:r>
            <w:proofErr w:type="spellEnd"/>
            <w:r w:rsidRPr="00DE1804">
              <w:rPr>
                <w:sz w:val="14"/>
              </w:rPr>
              <w:t xml:space="preserve"> et ASPI</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r w:rsidRPr="00DE1804">
              <w:rPr>
                <w:sz w:val="14"/>
              </w:rPr>
              <w:t>Programme 14</w:t>
            </w:r>
          </w:p>
        </w:tc>
        <w:tc>
          <w:tcPr>
            <w:tcW w:w="1162" w:type="dxa"/>
          </w:tcPr>
          <w:p w:rsidR="00784E52" w:rsidRPr="005C7CCE" w:rsidRDefault="00784E52" w:rsidP="001A5BF9">
            <w:pPr>
              <w:jc w:val="center"/>
              <w:rPr>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 xml:space="preserve">États membres qui ont élaboré leur cadre de propriété intellectuelle et établi des bureaux de transfert de technologie </w:t>
            </w:r>
          </w:p>
        </w:tc>
        <w:tc>
          <w:tcPr>
            <w:tcW w:w="1418" w:type="dxa"/>
            <w:shd w:val="clear" w:color="auto" w:fill="auto"/>
            <w:tcMar>
              <w:top w:w="113" w:type="dxa"/>
            </w:tcMar>
          </w:tcPr>
          <w:p w:rsidR="00D42474" w:rsidRDefault="00784E52" w:rsidP="001A5BF9">
            <w:pPr>
              <w:spacing w:before="80"/>
              <w:ind w:left="175"/>
              <w:rPr>
                <w:rFonts w:cs="Arial"/>
                <w:sz w:val="14"/>
                <w:szCs w:val="14"/>
              </w:rPr>
            </w:pPr>
            <w:proofErr w:type="spellStart"/>
            <w:r w:rsidRPr="00DE1804">
              <w:rPr>
                <w:sz w:val="14"/>
              </w:rPr>
              <w:t>Programme30</w:t>
            </w:r>
            <w:proofErr w:type="spellEnd"/>
          </w:p>
          <w:p w:rsidR="00D42474" w:rsidRDefault="00784E52" w:rsidP="001A5BF9">
            <w:pPr>
              <w:spacing w:before="120"/>
              <w:ind w:left="176"/>
              <w:rPr>
                <w:rFonts w:cs="Arial"/>
                <w:sz w:val="14"/>
                <w:szCs w:val="14"/>
              </w:rPr>
            </w:pPr>
            <w:proofErr w:type="spellStart"/>
            <w:r w:rsidRPr="00DE1804">
              <w:rPr>
                <w:sz w:val="14"/>
              </w:rPr>
              <w:t>Programme9</w:t>
            </w:r>
            <w:proofErr w:type="spellEnd"/>
          </w:p>
          <w:p w:rsidR="00784E52" w:rsidRPr="00DE1804" w:rsidRDefault="00784E52" w:rsidP="001A5BF9">
            <w:pPr>
              <w:spacing w:before="120"/>
              <w:ind w:left="176"/>
              <w:rPr>
                <w:rFonts w:cs="Arial"/>
                <w:sz w:val="14"/>
                <w:szCs w:val="14"/>
              </w:rPr>
            </w:pPr>
            <w:proofErr w:type="spellStart"/>
            <w:r w:rsidRPr="00DE1804">
              <w:rPr>
                <w:sz w:val="14"/>
              </w:rPr>
              <w:t>Programme10</w:t>
            </w:r>
            <w:proofErr w:type="spellEnd"/>
          </w:p>
        </w:tc>
        <w:tc>
          <w:tcPr>
            <w:tcW w:w="1162" w:type="dxa"/>
          </w:tcPr>
          <w:p w:rsidR="00C9554C" w:rsidRPr="006F518D" w:rsidRDefault="00C9554C" w:rsidP="00C9554C">
            <w:pPr>
              <w:jc w:val="center"/>
              <w:rPr>
                <w:rFonts w:cs="Arial"/>
                <w:color w:val="E36C0A" w:themeColor="accent6" w:themeShade="BF"/>
                <w:sz w:val="22"/>
                <w:szCs w:val="22"/>
              </w:rPr>
            </w:pPr>
            <w:r w:rsidRPr="006F518D">
              <w:rPr>
                <w:rFonts w:cs="Arial"/>
                <w:color w:val="E36C0A" w:themeColor="accent6" w:themeShade="BF"/>
                <w:sz w:val="22"/>
                <w:szCs w:val="22"/>
              </w:rPr>
              <w:sym w:font="Wingdings" w:char="F06C"/>
            </w:r>
          </w:p>
          <w:p w:rsidR="00D42474" w:rsidRDefault="00784E52" w:rsidP="001A5BF9">
            <w:pPr>
              <w:jc w:val="center"/>
              <w:rPr>
                <w:rFonts w:cs="Arial"/>
                <w:color w:val="A6A6A6"/>
                <w:szCs w:val="22"/>
              </w:rPr>
            </w:pPr>
            <w:r w:rsidRPr="005C7CCE">
              <w:rPr>
                <w:color w:val="A6A6A6"/>
              </w:rPr>
              <w:sym w:font="Wingdings" w:char="F06C"/>
            </w:r>
          </w:p>
          <w:p w:rsidR="00784E52" w:rsidRPr="005C7CCE" w:rsidRDefault="00784E52" w:rsidP="001A5BF9">
            <w:pPr>
              <w:jc w:val="center"/>
              <w:rPr>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keepNext/>
              <w:keepLines/>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keepNext/>
              <w:keepLines/>
              <w:spacing w:before="80"/>
              <w:rPr>
                <w:rFonts w:cs="Arial"/>
                <w:sz w:val="14"/>
                <w:szCs w:val="14"/>
              </w:rPr>
            </w:pPr>
            <w:r w:rsidRPr="00DE1804">
              <w:rPr>
                <w:sz w:val="14"/>
              </w:rPr>
              <w:t>Nombre d</w:t>
            </w:r>
            <w:r w:rsidR="00A20444" w:rsidRPr="00DE1804">
              <w:rPr>
                <w:sz w:val="14"/>
              </w:rPr>
              <w:t>’</w:t>
            </w:r>
            <w:r w:rsidRPr="00DE1804">
              <w:rPr>
                <w:sz w:val="14"/>
              </w:rPr>
              <w:t>intermédiaires de confiance et de titulaires de droits qui ont rejoint le réseau du système TIGAR, y compris de pays en développement et de PMA</w:t>
            </w:r>
          </w:p>
        </w:tc>
        <w:tc>
          <w:tcPr>
            <w:tcW w:w="1418" w:type="dxa"/>
            <w:shd w:val="clear" w:color="auto" w:fill="auto"/>
            <w:tcMar>
              <w:top w:w="113" w:type="dxa"/>
            </w:tcMar>
          </w:tcPr>
          <w:p w:rsidR="00784E52" w:rsidRPr="00DE1804" w:rsidRDefault="00784E52" w:rsidP="001A5BF9">
            <w:pPr>
              <w:keepNext/>
              <w:keepLines/>
              <w:spacing w:before="80"/>
              <w:ind w:left="175"/>
              <w:rPr>
                <w:rFonts w:cs="Arial"/>
                <w:sz w:val="14"/>
                <w:szCs w:val="14"/>
              </w:rPr>
            </w:pPr>
            <w:proofErr w:type="spellStart"/>
            <w:r w:rsidRPr="00DE1804">
              <w:rPr>
                <w:sz w:val="14"/>
              </w:rPr>
              <w:t>Programme3</w:t>
            </w:r>
            <w:proofErr w:type="spellEnd"/>
          </w:p>
        </w:tc>
        <w:tc>
          <w:tcPr>
            <w:tcW w:w="1162" w:type="dxa"/>
          </w:tcPr>
          <w:p w:rsidR="00784E52" w:rsidRPr="005C7CCE" w:rsidRDefault="00784E52" w:rsidP="001A5BF9">
            <w:pPr>
              <w:keepNext/>
              <w:keepLines/>
              <w:jc w:val="center"/>
              <w:rPr>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œuvres protégées par le droit d</w:t>
            </w:r>
            <w:r w:rsidR="00A20444" w:rsidRPr="00DE1804">
              <w:rPr>
                <w:sz w:val="14"/>
              </w:rPr>
              <w:t>’</w:t>
            </w:r>
            <w:r w:rsidRPr="00DE1804">
              <w:rPr>
                <w:sz w:val="14"/>
              </w:rPr>
              <w:t>auteur distribuées auprès des intermédiaires de confiance et rendues accessibles aux déficients visuels par</w:t>
            </w:r>
            <w:r w:rsidR="002D6F2A" w:rsidRPr="00DE1804">
              <w:rPr>
                <w:sz w:val="14"/>
              </w:rPr>
              <w:noBreakHyphen/>
            </w:r>
            <w:r w:rsidRPr="00DE1804">
              <w:rPr>
                <w:sz w:val="14"/>
              </w:rPr>
              <w:t xml:space="preserve">delà les frontières par le réseau du système TIGAR </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proofErr w:type="spellStart"/>
            <w:r w:rsidRPr="00DE1804">
              <w:rPr>
                <w:sz w:val="14"/>
              </w:rPr>
              <w:t>Programme3</w:t>
            </w:r>
            <w:proofErr w:type="spellEnd"/>
          </w:p>
        </w:tc>
        <w:tc>
          <w:tcPr>
            <w:tcW w:w="1162"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Diffusion accrue des collections numérisées de brevets des offices nationaux ou régionaux des États membres de l</w:t>
            </w:r>
            <w:r w:rsidR="00A20444" w:rsidRPr="00DE1804">
              <w:rPr>
                <w:sz w:val="14"/>
              </w:rPr>
              <w:t>’</w:t>
            </w:r>
            <w:r w:rsidRPr="00DE1804">
              <w:rPr>
                <w:sz w:val="14"/>
              </w:rPr>
              <w:t>OMPI</w:t>
            </w: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des entrées dans PATENTSCOPE/Base de données mondiales sur les marques qui ne sont pas produit</w:t>
            </w:r>
            <w:r w:rsidR="00AC077A" w:rsidRPr="00DE1804">
              <w:rPr>
                <w:sz w:val="14"/>
              </w:rPr>
              <w:t>e</w:t>
            </w:r>
            <w:r w:rsidRPr="00DE1804">
              <w:rPr>
                <w:sz w:val="14"/>
              </w:rPr>
              <w:t xml:space="preserve">s par </w:t>
            </w:r>
            <w:r w:rsidR="009C658D" w:rsidRPr="00DE1804">
              <w:rPr>
                <w:sz w:val="14"/>
              </w:rPr>
              <w:t>le Bureau</w:t>
            </w:r>
            <w:r w:rsidRPr="00DE1804">
              <w:rPr>
                <w:sz w:val="14"/>
              </w:rPr>
              <w:t xml:space="preserve"> international</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proofErr w:type="spellStart"/>
            <w:r w:rsidRPr="00DE1804">
              <w:rPr>
                <w:sz w:val="14"/>
              </w:rPr>
              <w:t>Programme13</w:t>
            </w:r>
            <w:proofErr w:type="spellEnd"/>
          </w:p>
        </w:tc>
        <w:tc>
          <w:tcPr>
            <w:tcW w:w="1162"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de collections nationales dans PATENTSCOPE</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proofErr w:type="spellStart"/>
            <w:r w:rsidRPr="00DE1804">
              <w:rPr>
                <w:sz w:val="14"/>
              </w:rPr>
              <w:t>Programme13</w:t>
            </w:r>
            <w:proofErr w:type="spellEnd"/>
          </w:p>
        </w:tc>
        <w:tc>
          <w:tcPr>
            <w:tcW w:w="1162"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de collections nationales dans la Base de données mondiale sur les marques</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proofErr w:type="spellStart"/>
            <w:r w:rsidRPr="00DE1804">
              <w:rPr>
                <w:sz w:val="14"/>
              </w:rPr>
              <w:t>Programme13</w:t>
            </w:r>
            <w:proofErr w:type="spellEnd"/>
          </w:p>
        </w:tc>
        <w:tc>
          <w:tcPr>
            <w:tcW w:w="1162"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Mise à jour régulière de PATENTSCOPE en ce qui concerne les demandes selon</w:t>
            </w:r>
            <w:r w:rsidR="00A20444" w:rsidRPr="00DE1804">
              <w:rPr>
                <w:sz w:val="14"/>
              </w:rPr>
              <w:t xml:space="preserve"> le PCT</w:t>
            </w: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Retard (en mois) dans la mise en œuvre des changements apportés aux règles</w:t>
            </w:r>
            <w:r w:rsidR="00A20444" w:rsidRPr="00DE1804">
              <w:rPr>
                <w:sz w:val="14"/>
              </w:rPr>
              <w:t xml:space="preserve"> du PCT</w:t>
            </w:r>
            <w:r w:rsidRPr="00DE1804">
              <w:rPr>
                <w:sz w:val="14"/>
              </w:rPr>
              <w:t xml:space="preserve"> en ce qui concerne PATENTSCOPE</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proofErr w:type="spellStart"/>
            <w:r w:rsidRPr="00DE1804">
              <w:rPr>
                <w:sz w:val="14"/>
              </w:rPr>
              <w:t>Programme13</w:t>
            </w:r>
            <w:proofErr w:type="spellEnd"/>
          </w:p>
        </w:tc>
        <w:tc>
          <w:tcPr>
            <w:tcW w:w="1162"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de semaines par an où la publication n</w:t>
            </w:r>
            <w:r w:rsidR="00A20444" w:rsidRPr="00DE1804">
              <w:rPr>
                <w:sz w:val="14"/>
              </w:rPr>
              <w:t>’</w:t>
            </w:r>
            <w:r w:rsidRPr="00DE1804">
              <w:rPr>
                <w:sz w:val="14"/>
              </w:rPr>
              <w:t>est pas disponible à 20 heures (heure de Genève) le jour de publication</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proofErr w:type="spellStart"/>
            <w:r w:rsidRPr="00DE1804">
              <w:rPr>
                <w:sz w:val="14"/>
              </w:rPr>
              <w:t>Programme13</w:t>
            </w:r>
            <w:proofErr w:type="spellEnd"/>
          </w:p>
        </w:tc>
        <w:tc>
          <w:tcPr>
            <w:tcW w:w="1162"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Amélioration de l</w:t>
            </w:r>
            <w:r w:rsidR="00A20444" w:rsidRPr="00DE1804">
              <w:rPr>
                <w:sz w:val="14"/>
              </w:rPr>
              <w:t>’</w:t>
            </w:r>
            <w:r w:rsidRPr="00DE1804">
              <w:rPr>
                <w:sz w:val="14"/>
              </w:rPr>
              <w:t>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offices dotés de systèmes d</w:t>
            </w:r>
            <w:r w:rsidR="00A20444" w:rsidRPr="00DE1804">
              <w:rPr>
                <w:sz w:val="14"/>
              </w:rPr>
              <w:t>’</w:t>
            </w:r>
            <w:r w:rsidRPr="00DE1804">
              <w:rPr>
                <w:sz w:val="14"/>
              </w:rPr>
              <w:t>administration de la propriété intellectuelle pleinement ou partiellement automatisés fournis par l</w:t>
            </w:r>
            <w:r w:rsidR="00A20444" w:rsidRPr="00DE1804">
              <w:rPr>
                <w:sz w:val="14"/>
              </w:rPr>
              <w:t>’</w:t>
            </w:r>
            <w:r w:rsidRPr="00DE1804">
              <w:rPr>
                <w:sz w:val="14"/>
              </w:rPr>
              <w:t>OMPI</w:t>
            </w:r>
          </w:p>
        </w:tc>
        <w:tc>
          <w:tcPr>
            <w:tcW w:w="1418" w:type="dxa"/>
            <w:shd w:val="clear" w:color="auto" w:fill="auto"/>
            <w:tcMar>
              <w:top w:w="113" w:type="dxa"/>
            </w:tcMar>
          </w:tcPr>
          <w:p w:rsidR="00D42474" w:rsidRDefault="00784E52" w:rsidP="001A5BF9">
            <w:pPr>
              <w:spacing w:before="80"/>
              <w:ind w:left="175"/>
              <w:rPr>
                <w:rFonts w:cs="Arial"/>
                <w:sz w:val="14"/>
                <w:szCs w:val="14"/>
              </w:rPr>
            </w:pPr>
            <w:proofErr w:type="spellStart"/>
            <w:r w:rsidRPr="00DE1804">
              <w:rPr>
                <w:sz w:val="14"/>
              </w:rPr>
              <w:t>Programme15</w:t>
            </w:r>
            <w:proofErr w:type="spellEnd"/>
          </w:p>
          <w:p w:rsidR="00D42474" w:rsidRDefault="00784E52" w:rsidP="001A5BF9">
            <w:pPr>
              <w:spacing w:before="120"/>
              <w:ind w:left="176"/>
              <w:rPr>
                <w:rFonts w:cs="Arial"/>
                <w:sz w:val="14"/>
                <w:szCs w:val="14"/>
              </w:rPr>
            </w:pPr>
            <w:proofErr w:type="spellStart"/>
            <w:r w:rsidRPr="00DE1804">
              <w:rPr>
                <w:sz w:val="14"/>
              </w:rPr>
              <w:t>Programme9</w:t>
            </w:r>
            <w:proofErr w:type="spellEnd"/>
          </w:p>
          <w:p w:rsidR="00784E52" w:rsidRPr="00DE1804" w:rsidRDefault="00784E52" w:rsidP="001A5BF9">
            <w:pPr>
              <w:spacing w:before="120"/>
              <w:ind w:left="176"/>
              <w:rPr>
                <w:rFonts w:cs="Arial"/>
                <w:sz w:val="14"/>
                <w:szCs w:val="14"/>
              </w:rPr>
            </w:pPr>
            <w:proofErr w:type="spellStart"/>
            <w:r w:rsidRPr="00DE1804">
              <w:rPr>
                <w:sz w:val="14"/>
              </w:rPr>
              <w:t>Programme10</w:t>
            </w:r>
            <w:proofErr w:type="spellEnd"/>
          </w:p>
        </w:tc>
        <w:tc>
          <w:tcPr>
            <w:tcW w:w="1162" w:type="dxa"/>
          </w:tcPr>
          <w:p w:rsidR="00D42474" w:rsidRDefault="00784E52" w:rsidP="001A5BF9">
            <w:pPr>
              <w:jc w:val="center"/>
              <w:rPr>
                <w:rFonts w:cs="Arial"/>
                <w:color w:val="008000"/>
                <w:szCs w:val="22"/>
              </w:rPr>
            </w:pPr>
            <w:r w:rsidRPr="005C7CCE">
              <w:rPr>
                <w:color w:val="008000"/>
              </w:rPr>
              <w:sym w:font="Wingdings" w:char="F06C"/>
            </w:r>
          </w:p>
          <w:p w:rsidR="00D42474" w:rsidRDefault="00784E52" w:rsidP="001A5BF9">
            <w:pPr>
              <w:jc w:val="center"/>
              <w:rPr>
                <w:rFonts w:cs="Arial"/>
                <w:color w:val="008000"/>
                <w:szCs w:val="22"/>
              </w:rPr>
            </w:pPr>
            <w:r w:rsidRPr="005C7CCE">
              <w:rPr>
                <w:color w:val="008000"/>
              </w:rPr>
              <w:sym w:font="Wingdings" w:char="F06C"/>
            </w:r>
          </w:p>
          <w:p w:rsidR="00784E52" w:rsidRPr="005C7CCE" w:rsidRDefault="00784E52" w:rsidP="001A5BF9">
            <w:pPr>
              <w:jc w:val="center"/>
              <w:rPr>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offices avec des données de propriété intellectuelle en ligne dans les bases de données de l</w:t>
            </w:r>
            <w:r w:rsidR="00A20444" w:rsidRPr="00DE1804">
              <w:rPr>
                <w:sz w:val="14"/>
              </w:rPr>
              <w:t>’</w:t>
            </w:r>
            <w:r w:rsidRPr="00DE1804">
              <w:rPr>
                <w:sz w:val="14"/>
              </w:rPr>
              <w:t>OMPI</w:t>
            </w:r>
          </w:p>
        </w:tc>
        <w:tc>
          <w:tcPr>
            <w:tcW w:w="1418" w:type="dxa"/>
            <w:shd w:val="clear" w:color="auto" w:fill="auto"/>
            <w:tcMar>
              <w:top w:w="113" w:type="dxa"/>
            </w:tcMar>
          </w:tcPr>
          <w:p w:rsidR="00D42474" w:rsidRDefault="00784E52" w:rsidP="001A5BF9">
            <w:pPr>
              <w:spacing w:before="80"/>
              <w:ind w:left="175"/>
              <w:rPr>
                <w:rFonts w:cs="Arial"/>
                <w:sz w:val="14"/>
                <w:szCs w:val="14"/>
              </w:rPr>
            </w:pPr>
            <w:proofErr w:type="spellStart"/>
            <w:r w:rsidRPr="00DE1804">
              <w:rPr>
                <w:sz w:val="14"/>
              </w:rPr>
              <w:t>Programme15</w:t>
            </w:r>
            <w:proofErr w:type="spellEnd"/>
          </w:p>
          <w:p w:rsidR="00D42474" w:rsidRDefault="00784E52" w:rsidP="001A5BF9">
            <w:pPr>
              <w:spacing w:before="120"/>
              <w:ind w:left="176"/>
              <w:rPr>
                <w:rFonts w:cs="Arial"/>
                <w:sz w:val="14"/>
                <w:szCs w:val="14"/>
              </w:rPr>
            </w:pPr>
            <w:proofErr w:type="spellStart"/>
            <w:r w:rsidRPr="00DE1804">
              <w:rPr>
                <w:sz w:val="14"/>
              </w:rPr>
              <w:t>Programme9</w:t>
            </w:r>
            <w:proofErr w:type="spellEnd"/>
          </w:p>
          <w:p w:rsidR="00784E52" w:rsidRPr="00DE1804" w:rsidRDefault="00784E52" w:rsidP="001A5BF9">
            <w:pPr>
              <w:spacing w:before="120"/>
              <w:ind w:left="176"/>
              <w:rPr>
                <w:rFonts w:cs="Arial"/>
                <w:sz w:val="14"/>
                <w:szCs w:val="14"/>
              </w:rPr>
            </w:pPr>
            <w:proofErr w:type="spellStart"/>
            <w:r w:rsidRPr="00DE1804">
              <w:rPr>
                <w:sz w:val="14"/>
              </w:rPr>
              <w:t>Programme10</w:t>
            </w:r>
            <w:proofErr w:type="spellEnd"/>
          </w:p>
        </w:tc>
        <w:tc>
          <w:tcPr>
            <w:tcW w:w="1162" w:type="dxa"/>
          </w:tcPr>
          <w:p w:rsidR="00D42474" w:rsidRDefault="00784E52" w:rsidP="001A5BF9">
            <w:pPr>
              <w:jc w:val="center"/>
              <w:rPr>
                <w:rFonts w:cs="Arial"/>
                <w:color w:val="008000"/>
                <w:szCs w:val="22"/>
              </w:rPr>
            </w:pPr>
            <w:r w:rsidRPr="005C7CCE">
              <w:rPr>
                <w:color w:val="008000"/>
              </w:rPr>
              <w:sym w:font="Wingdings" w:char="F06C"/>
            </w:r>
          </w:p>
          <w:p w:rsidR="00D42474" w:rsidRDefault="00784E52" w:rsidP="001A5BF9">
            <w:pPr>
              <w:jc w:val="center"/>
              <w:rPr>
                <w:rFonts w:cs="Arial"/>
                <w:color w:val="008000"/>
                <w:szCs w:val="22"/>
              </w:rPr>
            </w:pPr>
            <w:r w:rsidRPr="005C7CCE">
              <w:rPr>
                <w:color w:val="008000"/>
              </w:rPr>
              <w:sym w:font="Wingdings" w:char="F06C"/>
            </w:r>
          </w:p>
          <w:p w:rsidR="00784E52" w:rsidRPr="005C7CCE" w:rsidRDefault="00784E52" w:rsidP="001A5BF9">
            <w:pPr>
              <w:jc w:val="center"/>
              <w:rPr>
                <w:rFonts w:cs="Arial"/>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de groupes d</w:t>
            </w:r>
            <w:r w:rsidR="00A20444" w:rsidRPr="00DE1804">
              <w:rPr>
                <w:sz w:val="14"/>
              </w:rPr>
              <w:t>’</w:t>
            </w:r>
            <w:r w:rsidRPr="00DE1804">
              <w:rPr>
                <w:sz w:val="14"/>
              </w:rPr>
              <w:t>offices participant à une plate</w:t>
            </w:r>
            <w:r w:rsidR="002D6F2A" w:rsidRPr="00DE1804">
              <w:rPr>
                <w:sz w:val="14"/>
              </w:rPr>
              <w:noBreakHyphen/>
            </w:r>
            <w:r w:rsidRPr="00DE1804">
              <w:rPr>
                <w:sz w:val="14"/>
              </w:rPr>
              <w:t>forme commune</w:t>
            </w:r>
          </w:p>
        </w:tc>
        <w:tc>
          <w:tcPr>
            <w:tcW w:w="1418" w:type="dxa"/>
            <w:shd w:val="clear" w:color="auto" w:fill="auto"/>
            <w:tcMar>
              <w:top w:w="113" w:type="dxa"/>
            </w:tcMar>
          </w:tcPr>
          <w:p w:rsidR="00D42474" w:rsidRDefault="00784E52" w:rsidP="001A5BF9">
            <w:pPr>
              <w:spacing w:before="80"/>
              <w:ind w:left="175"/>
              <w:rPr>
                <w:rFonts w:cs="Arial"/>
                <w:sz w:val="14"/>
                <w:szCs w:val="14"/>
              </w:rPr>
            </w:pPr>
            <w:proofErr w:type="spellStart"/>
            <w:r w:rsidRPr="00DE1804">
              <w:rPr>
                <w:sz w:val="14"/>
              </w:rPr>
              <w:t>Programme15</w:t>
            </w:r>
            <w:proofErr w:type="spellEnd"/>
          </w:p>
          <w:p w:rsidR="00784E52" w:rsidRPr="00DE1804" w:rsidRDefault="00784E52" w:rsidP="001A5BF9">
            <w:pPr>
              <w:spacing w:before="120"/>
              <w:ind w:left="176"/>
              <w:rPr>
                <w:rFonts w:cs="Arial"/>
                <w:sz w:val="14"/>
                <w:szCs w:val="14"/>
              </w:rPr>
            </w:pPr>
            <w:proofErr w:type="spellStart"/>
            <w:r w:rsidRPr="00DE1804">
              <w:rPr>
                <w:sz w:val="14"/>
              </w:rPr>
              <w:t>Programme9</w:t>
            </w:r>
            <w:proofErr w:type="spellEnd"/>
          </w:p>
        </w:tc>
        <w:tc>
          <w:tcPr>
            <w:tcW w:w="1162" w:type="dxa"/>
          </w:tcPr>
          <w:p w:rsidR="00D42474" w:rsidRDefault="00784E52" w:rsidP="001A5BF9">
            <w:pPr>
              <w:jc w:val="center"/>
              <w:rPr>
                <w:rFonts w:cs="Arial"/>
                <w:color w:val="008000"/>
                <w:szCs w:val="22"/>
              </w:rPr>
            </w:pPr>
            <w:r w:rsidRPr="005C7CCE">
              <w:rPr>
                <w:color w:val="008000"/>
              </w:rPr>
              <w:sym w:font="Wingdings" w:char="F06C"/>
            </w:r>
          </w:p>
          <w:p w:rsidR="00784E52" w:rsidRPr="005C7CCE" w:rsidRDefault="00784E52" w:rsidP="001A5BF9">
            <w:pPr>
              <w:jc w:val="center"/>
              <w:rPr>
                <w:rFonts w:cs="Arial"/>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offices traitant des données</w:t>
            </w:r>
            <w:r w:rsidR="00A20444" w:rsidRPr="00DE1804">
              <w:rPr>
                <w:sz w:val="14"/>
              </w:rPr>
              <w:t xml:space="preserve"> du PCT</w:t>
            </w:r>
            <w:r w:rsidRPr="00DE1804">
              <w:rPr>
                <w:sz w:val="14"/>
              </w:rPr>
              <w:t xml:space="preserve"> et du système de Madrid avec l</w:t>
            </w:r>
            <w:r w:rsidR="00A20444" w:rsidRPr="00DE1804">
              <w:rPr>
                <w:sz w:val="14"/>
              </w:rPr>
              <w:t>’</w:t>
            </w:r>
            <w:r w:rsidRPr="00DE1804">
              <w:rPr>
                <w:sz w:val="14"/>
              </w:rPr>
              <w:t>appui de systèmes fournis par l</w:t>
            </w:r>
            <w:r w:rsidR="00A20444" w:rsidRPr="00DE1804">
              <w:rPr>
                <w:sz w:val="14"/>
              </w:rPr>
              <w:t>’</w:t>
            </w:r>
            <w:r w:rsidRPr="00DE1804">
              <w:rPr>
                <w:sz w:val="14"/>
              </w:rPr>
              <w:t>OMPI</w:t>
            </w:r>
          </w:p>
        </w:tc>
        <w:tc>
          <w:tcPr>
            <w:tcW w:w="1418" w:type="dxa"/>
            <w:shd w:val="clear" w:color="auto" w:fill="auto"/>
            <w:tcMar>
              <w:top w:w="113" w:type="dxa"/>
            </w:tcMar>
          </w:tcPr>
          <w:p w:rsidR="00D42474" w:rsidRDefault="00784E52" w:rsidP="001A5BF9">
            <w:pPr>
              <w:spacing w:before="80"/>
              <w:ind w:left="175"/>
              <w:rPr>
                <w:rFonts w:cs="Arial"/>
                <w:sz w:val="14"/>
                <w:szCs w:val="14"/>
              </w:rPr>
            </w:pPr>
            <w:proofErr w:type="spellStart"/>
            <w:r w:rsidRPr="00DE1804">
              <w:rPr>
                <w:sz w:val="14"/>
              </w:rPr>
              <w:t>Programme15</w:t>
            </w:r>
            <w:proofErr w:type="spellEnd"/>
          </w:p>
          <w:p w:rsidR="00D42474" w:rsidRDefault="00784E52" w:rsidP="001A5BF9">
            <w:pPr>
              <w:spacing w:before="120"/>
              <w:ind w:left="176"/>
              <w:rPr>
                <w:rFonts w:cs="Arial"/>
                <w:sz w:val="14"/>
                <w:szCs w:val="14"/>
              </w:rPr>
            </w:pPr>
            <w:proofErr w:type="spellStart"/>
            <w:r w:rsidRPr="00DE1804">
              <w:rPr>
                <w:sz w:val="14"/>
              </w:rPr>
              <w:t>Programme9</w:t>
            </w:r>
            <w:proofErr w:type="spellEnd"/>
          </w:p>
          <w:p w:rsidR="00784E52" w:rsidRPr="00DE1804" w:rsidRDefault="00784E52" w:rsidP="001A5BF9">
            <w:pPr>
              <w:spacing w:before="120"/>
              <w:ind w:left="176"/>
              <w:rPr>
                <w:rFonts w:cs="Arial"/>
                <w:sz w:val="14"/>
                <w:szCs w:val="14"/>
              </w:rPr>
            </w:pPr>
            <w:proofErr w:type="spellStart"/>
            <w:r w:rsidRPr="00DE1804">
              <w:rPr>
                <w:sz w:val="14"/>
              </w:rPr>
              <w:t>Programme10</w:t>
            </w:r>
            <w:proofErr w:type="spellEnd"/>
          </w:p>
        </w:tc>
        <w:tc>
          <w:tcPr>
            <w:tcW w:w="1162" w:type="dxa"/>
          </w:tcPr>
          <w:p w:rsidR="00D42474" w:rsidRDefault="00784E52" w:rsidP="001A5BF9">
            <w:pPr>
              <w:jc w:val="center"/>
              <w:rPr>
                <w:rFonts w:cs="Arial"/>
                <w:color w:val="008000"/>
                <w:szCs w:val="22"/>
              </w:rPr>
            </w:pPr>
            <w:r w:rsidRPr="005C7CCE">
              <w:rPr>
                <w:color w:val="008000"/>
              </w:rPr>
              <w:sym w:font="Wingdings" w:char="F06C"/>
            </w:r>
          </w:p>
          <w:p w:rsidR="00D42474" w:rsidRDefault="00784E52" w:rsidP="001A5BF9">
            <w:pPr>
              <w:jc w:val="center"/>
              <w:rPr>
                <w:rFonts w:cs="Arial"/>
                <w:color w:val="008000"/>
                <w:szCs w:val="22"/>
              </w:rPr>
            </w:pPr>
            <w:r w:rsidRPr="005C7CCE">
              <w:rPr>
                <w:color w:val="008000"/>
              </w:rPr>
              <w:sym w:font="Wingdings" w:char="F06C"/>
            </w:r>
          </w:p>
          <w:p w:rsidR="00784E52" w:rsidRPr="005C7CCE" w:rsidRDefault="00784E52" w:rsidP="001A5BF9">
            <w:pPr>
              <w:jc w:val="center"/>
              <w:rPr>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tcMar>
          </w:tcPr>
          <w:p w:rsidR="00784E52" w:rsidRPr="00DE1804" w:rsidRDefault="00784E52" w:rsidP="001A5BF9">
            <w:pPr>
              <w:spacing w:before="80"/>
              <w:rPr>
                <w:rFonts w:cs="Arial"/>
                <w:sz w:val="14"/>
                <w:szCs w:val="14"/>
              </w:rPr>
            </w:pPr>
            <w:r w:rsidRPr="00DE1804">
              <w:rPr>
                <w:sz w:val="14"/>
              </w:rPr>
              <w:t>Nombre d</w:t>
            </w:r>
            <w:r w:rsidR="00A20444" w:rsidRPr="00DE1804">
              <w:rPr>
                <w:sz w:val="14"/>
              </w:rPr>
              <w:t>’</w:t>
            </w:r>
            <w:r w:rsidRPr="00DE1804">
              <w:rPr>
                <w:sz w:val="14"/>
              </w:rPr>
              <w:t>institutions utilisant des systèmes de l</w:t>
            </w:r>
            <w:r w:rsidR="00A20444" w:rsidRPr="00DE1804">
              <w:rPr>
                <w:sz w:val="14"/>
              </w:rPr>
              <w:t>’</w:t>
            </w:r>
            <w:r w:rsidRPr="00DE1804">
              <w:rPr>
                <w:sz w:val="14"/>
              </w:rPr>
              <w:t>infrastructure du droit d</w:t>
            </w:r>
            <w:r w:rsidR="00A20444" w:rsidRPr="00DE1804">
              <w:rPr>
                <w:sz w:val="14"/>
              </w:rPr>
              <w:t>’</w:t>
            </w:r>
            <w:r w:rsidRPr="00DE1804">
              <w:rPr>
                <w:sz w:val="14"/>
              </w:rPr>
              <w:t>auteur de l</w:t>
            </w:r>
            <w:r w:rsidR="00A20444" w:rsidRPr="00DE1804">
              <w:rPr>
                <w:sz w:val="14"/>
              </w:rPr>
              <w:t>’</w:t>
            </w:r>
            <w:r w:rsidRPr="00DE1804">
              <w:rPr>
                <w:sz w:val="14"/>
              </w:rPr>
              <w:t xml:space="preserve">OMPI (WIPOCOS et </w:t>
            </w:r>
            <w:proofErr w:type="spellStart"/>
            <w:r w:rsidRPr="00DE1804">
              <w:rPr>
                <w:sz w:val="14"/>
              </w:rPr>
              <w:t>GDA</w:t>
            </w:r>
            <w:proofErr w:type="spellEnd"/>
            <w:r w:rsidRPr="00DE1804">
              <w:rPr>
                <w:sz w:val="14"/>
              </w:rPr>
              <w:t>))</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proofErr w:type="spellStart"/>
            <w:r w:rsidRPr="00DE1804">
              <w:rPr>
                <w:sz w:val="14"/>
              </w:rPr>
              <w:t>Programme3</w:t>
            </w:r>
            <w:proofErr w:type="spellEnd"/>
          </w:p>
        </w:tc>
        <w:tc>
          <w:tcPr>
            <w:tcW w:w="1162"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D16B6">
        <w:trPr>
          <w:cantSplit/>
        </w:trPr>
        <w:tc>
          <w:tcPr>
            <w:tcW w:w="3271" w:type="dxa"/>
            <w:shd w:val="clear" w:color="auto" w:fill="auto"/>
            <w:tcMar>
              <w:top w:w="113" w:type="dxa"/>
            </w:tcMar>
          </w:tcPr>
          <w:p w:rsidR="00784E52" w:rsidRPr="00DE1804" w:rsidRDefault="00784E52" w:rsidP="001A5BF9">
            <w:pPr>
              <w:spacing w:before="80"/>
              <w:ind w:firstLineChars="100" w:firstLine="140"/>
              <w:rPr>
                <w:rFonts w:cs="Arial"/>
                <w:sz w:val="14"/>
                <w:szCs w:val="14"/>
              </w:rPr>
            </w:pPr>
          </w:p>
        </w:tc>
        <w:tc>
          <w:tcPr>
            <w:tcW w:w="3543" w:type="dxa"/>
            <w:shd w:val="clear" w:color="auto" w:fill="auto"/>
            <w:tcMar>
              <w:top w:w="113" w:type="dxa"/>
              <w:bottom w:w="85" w:type="dxa"/>
            </w:tcMar>
          </w:tcPr>
          <w:p w:rsidR="00784E52" w:rsidRPr="00DE1804" w:rsidRDefault="00784E52" w:rsidP="001A5BF9">
            <w:pPr>
              <w:spacing w:before="80"/>
              <w:rPr>
                <w:rFonts w:cs="Arial"/>
                <w:sz w:val="14"/>
                <w:szCs w:val="14"/>
              </w:rPr>
            </w:pPr>
            <w:r w:rsidRPr="00DE1804">
              <w:rPr>
                <w:sz w:val="14"/>
              </w:rPr>
              <w:t>Pourcentage de gouvernements ayant présenté un rapport positif sur l</w:t>
            </w:r>
            <w:r w:rsidR="00A20444" w:rsidRPr="00DE1804">
              <w:rPr>
                <w:sz w:val="14"/>
              </w:rPr>
              <w:t>’</w:t>
            </w:r>
            <w:r w:rsidRPr="00DE1804">
              <w:rPr>
                <w:sz w:val="14"/>
              </w:rPr>
              <w:t>efficacité et la gouvernance des organismes du droit d</w:t>
            </w:r>
            <w:r w:rsidR="00A20444" w:rsidRPr="00DE1804">
              <w:rPr>
                <w:sz w:val="14"/>
              </w:rPr>
              <w:t>’</w:t>
            </w:r>
            <w:r w:rsidRPr="00DE1804">
              <w:rPr>
                <w:sz w:val="14"/>
              </w:rPr>
              <w:t>auteur dans le pays</w:t>
            </w:r>
          </w:p>
        </w:tc>
        <w:tc>
          <w:tcPr>
            <w:tcW w:w="1418" w:type="dxa"/>
            <w:shd w:val="clear" w:color="auto" w:fill="auto"/>
            <w:tcMar>
              <w:top w:w="113" w:type="dxa"/>
            </w:tcMar>
          </w:tcPr>
          <w:p w:rsidR="00784E52" w:rsidRPr="00DE1804" w:rsidRDefault="00784E52" w:rsidP="001A5BF9">
            <w:pPr>
              <w:spacing w:before="80"/>
              <w:ind w:left="175"/>
              <w:rPr>
                <w:rFonts w:cs="Arial"/>
                <w:sz w:val="14"/>
                <w:szCs w:val="14"/>
              </w:rPr>
            </w:pPr>
            <w:proofErr w:type="spellStart"/>
            <w:r w:rsidRPr="00DE1804">
              <w:rPr>
                <w:sz w:val="14"/>
              </w:rPr>
              <w:t>Programme3</w:t>
            </w:r>
            <w:proofErr w:type="spellEnd"/>
          </w:p>
        </w:tc>
        <w:tc>
          <w:tcPr>
            <w:tcW w:w="1162" w:type="dxa"/>
          </w:tcPr>
          <w:p w:rsidR="00784E52" w:rsidRPr="005C7CCE" w:rsidRDefault="00784E52" w:rsidP="001A5BF9">
            <w:pPr>
              <w:jc w:val="center"/>
              <w:rPr>
                <w:color w:val="008000"/>
                <w:szCs w:val="22"/>
              </w:rPr>
            </w:pPr>
            <w:r w:rsidRPr="005C7CCE">
              <w:rPr>
                <w:color w:val="008000"/>
              </w:rPr>
              <w:sym w:font="Wingdings" w:char="F06C"/>
            </w:r>
          </w:p>
        </w:tc>
      </w:tr>
    </w:tbl>
    <w:p w:rsidR="00D42474" w:rsidRDefault="00D42474" w:rsidP="001A5BF9">
      <w:pPr>
        <w:autoSpaceDE w:val="0"/>
        <w:autoSpaceDN w:val="0"/>
        <w:adjustRightInd w:val="0"/>
        <w:jc w:val="both"/>
        <w:rPr>
          <w:rFonts w:cs="Arial"/>
        </w:rPr>
      </w:pPr>
    </w:p>
    <w:p w:rsidR="00D42474" w:rsidRDefault="00784E52" w:rsidP="001A5BF9">
      <w:pPr>
        <w:pStyle w:val="Heading3"/>
        <w:rPr>
          <w:szCs w:val="22"/>
        </w:rPr>
      </w:pPr>
      <w:bookmarkStart w:id="27" w:name="_Toc395082479"/>
      <w:r w:rsidRPr="00983C48">
        <w:rPr>
          <w:szCs w:val="22"/>
        </w:rPr>
        <w:t>Programme 12</w:t>
      </w:r>
      <w:r w:rsidRPr="00983C48">
        <w:rPr>
          <w:b w:val="0"/>
          <w:szCs w:val="22"/>
        </w:rPr>
        <w:tab/>
      </w:r>
      <w:r w:rsidRPr="00983C48">
        <w:rPr>
          <w:szCs w:val="22"/>
        </w:rPr>
        <w:t>Classifications internationales et normes</w:t>
      </w:r>
      <w:bookmarkEnd w:id="27"/>
    </w:p>
    <w:p w:rsidR="00D42474" w:rsidRDefault="00D42474" w:rsidP="001A5BF9">
      <w:pPr>
        <w:rPr>
          <w:rFonts w:cs="Arial"/>
          <w:sz w:val="22"/>
          <w:szCs w:val="22"/>
        </w:rPr>
      </w:pPr>
    </w:p>
    <w:p w:rsidR="00D42474" w:rsidRDefault="00784E52" w:rsidP="001A5BF9">
      <w:pPr>
        <w:tabs>
          <w:tab w:val="left" w:pos="2268"/>
        </w:tabs>
        <w:rPr>
          <w:rFonts w:cs="Arial"/>
          <w:b/>
          <w:sz w:val="22"/>
          <w:szCs w:val="22"/>
        </w:rPr>
      </w:pPr>
      <w:r w:rsidRPr="00983C48">
        <w:rPr>
          <w:b/>
          <w:sz w:val="22"/>
          <w:szCs w:val="22"/>
        </w:rPr>
        <w:t>Chef de programme</w:t>
      </w:r>
      <w:r w:rsidRPr="00983C48">
        <w:rPr>
          <w:b/>
          <w:sz w:val="22"/>
          <w:szCs w:val="22"/>
        </w:rPr>
        <w:tab/>
      </w:r>
      <w:r w:rsidRPr="00983C48">
        <w:rPr>
          <w:b/>
          <w:sz w:val="22"/>
          <w:szCs w:val="22"/>
        </w:rPr>
        <w:tab/>
        <w:t xml:space="preserve">M. Y </w:t>
      </w:r>
      <w:proofErr w:type="spellStart"/>
      <w:r w:rsidRPr="00983C48">
        <w:rPr>
          <w:b/>
          <w:sz w:val="22"/>
          <w:szCs w:val="22"/>
        </w:rPr>
        <w:t>Takagi</w:t>
      </w:r>
      <w:proofErr w:type="spellEnd"/>
    </w:p>
    <w:p w:rsidR="00D42474" w:rsidRDefault="00D42474" w:rsidP="001A5BF9">
      <w:pPr>
        <w:rPr>
          <w:sz w:val="22"/>
          <w:szCs w:val="22"/>
        </w:rPr>
      </w:pPr>
    </w:p>
    <w:p w:rsidR="00D42474" w:rsidRDefault="00D42474" w:rsidP="001A5BF9">
      <w:pPr>
        <w:rPr>
          <w:bCs/>
          <w:sz w:val="22"/>
          <w:szCs w:val="22"/>
        </w:rPr>
      </w:pPr>
    </w:p>
    <w:p w:rsidR="00D42474" w:rsidRDefault="00784E52" w:rsidP="001A5BF9">
      <w:pPr>
        <w:jc w:val="both"/>
        <w:rPr>
          <w:rFonts w:cs="Arial"/>
          <w:sz w:val="22"/>
          <w:szCs w:val="22"/>
        </w:rPr>
      </w:pPr>
      <w:r w:rsidRPr="00983C48">
        <w:rPr>
          <w:sz w:val="22"/>
          <w:szCs w:val="22"/>
        </w:rPr>
        <w:t>RÉALISATIONS EN 2012</w:t>
      </w:r>
      <w:r w:rsidR="002D6F2A" w:rsidRPr="00983C48">
        <w:rPr>
          <w:sz w:val="22"/>
          <w:szCs w:val="22"/>
        </w:rPr>
        <w:noBreakHyphen/>
      </w:r>
      <w:r w:rsidRPr="00983C48">
        <w:rPr>
          <w:sz w:val="22"/>
          <w:szCs w:val="22"/>
        </w:rPr>
        <w:t>2013</w:t>
      </w:r>
    </w:p>
    <w:p w:rsidR="00D42474" w:rsidRDefault="00D42474" w:rsidP="001A5BF9">
      <w:pPr>
        <w:tabs>
          <w:tab w:val="left" w:pos="709"/>
        </w:tabs>
        <w:rPr>
          <w:sz w:val="22"/>
          <w:szCs w:val="22"/>
        </w:rPr>
      </w:pPr>
    </w:p>
    <w:p w:rsidR="00D42474" w:rsidRDefault="00784E52" w:rsidP="001A5BF9">
      <w:pPr>
        <w:tabs>
          <w:tab w:val="left" w:pos="709"/>
        </w:tabs>
        <w:autoSpaceDE w:val="0"/>
        <w:autoSpaceDN w:val="0"/>
        <w:adjustRightInd w:val="0"/>
        <w:jc w:val="both"/>
      </w:pPr>
      <w:r w:rsidRPr="00983C48">
        <w:t>12.1.</w:t>
      </w:r>
      <w:r w:rsidRPr="00983C48">
        <w:tab/>
        <w:t>En ce qui concerne les classifications internationales et les normes de propriété industrielle de l</w:t>
      </w:r>
      <w:r w:rsidR="00A20444" w:rsidRPr="00983C48">
        <w:t>’</w:t>
      </w:r>
      <w:r w:rsidRPr="00983C48">
        <w:t>OMPI, des progrès majeurs ont été accomplis au cours de l</w:t>
      </w:r>
      <w:r w:rsidR="00A20444" w:rsidRPr="00983C48">
        <w:t>’</w:t>
      </w:r>
      <w:r w:rsidRPr="00983C48">
        <w:t>exercice biennal 2012</w:t>
      </w:r>
      <w:r w:rsidR="002D6F2A" w:rsidRPr="00983C48">
        <w:noBreakHyphen/>
      </w:r>
      <w:r w:rsidRPr="00983C48">
        <w:t>2013.</w:t>
      </w:r>
    </w:p>
    <w:p w:rsidR="00D42474" w:rsidRDefault="00D42474" w:rsidP="001A5BF9">
      <w:pPr>
        <w:tabs>
          <w:tab w:val="left" w:pos="709"/>
        </w:tabs>
        <w:jc w:val="both"/>
        <w:rPr>
          <w:szCs w:val="20"/>
        </w:rPr>
      </w:pPr>
    </w:p>
    <w:p w:rsidR="00D42474" w:rsidRDefault="00784E52" w:rsidP="001A5BF9">
      <w:pPr>
        <w:tabs>
          <w:tab w:val="left" w:pos="709"/>
        </w:tabs>
        <w:autoSpaceDE w:val="0"/>
        <w:autoSpaceDN w:val="0"/>
        <w:adjustRightInd w:val="0"/>
        <w:jc w:val="both"/>
        <w:rPr>
          <w:szCs w:val="20"/>
        </w:rPr>
      </w:pPr>
      <w:r w:rsidRPr="00983C48">
        <w:t>12.2.</w:t>
      </w:r>
      <w:r w:rsidRPr="00983C48">
        <w:tab/>
        <w:t>La réforme de la classification de Nice a été mise en œuvre et le comité d</w:t>
      </w:r>
      <w:r w:rsidR="00A20444" w:rsidRPr="00983C48">
        <w:t>’</w:t>
      </w:r>
      <w:r w:rsidRPr="00983C48">
        <w:t>experts s</w:t>
      </w:r>
      <w:r w:rsidR="00A20444" w:rsidRPr="00983C48">
        <w:t>’</w:t>
      </w:r>
      <w:r w:rsidRPr="00983C48">
        <w:t xml:space="preserve">est réuni pour la première fois en une session annuelle. </w:t>
      </w:r>
      <w:r w:rsidR="0010442A" w:rsidRPr="00983C48">
        <w:t xml:space="preserve"> </w:t>
      </w:r>
      <w:r w:rsidRPr="00983C48">
        <w:t>Les modifications adoptées ont été publiées dans la classification qui, à compter de 2013, sera révisée chaque année.</w:t>
      </w:r>
      <w:r w:rsidR="0010442A" w:rsidRPr="00983C48">
        <w:t xml:space="preserve"> </w:t>
      </w:r>
      <w:r w:rsidRPr="00983C48">
        <w:t xml:space="preserve"> Le comité a adopté une nouvelle procédure d</w:t>
      </w:r>
      <w:r w:rsidR="00A20444" w:rsidRPr="00983C48">
        <w:t>’</w:t>
      </w:r>
      <w:r w:rsidRPr="00983C48">
        <w:t>examen des propositions de modification de la classification qui permet un cycle de discussion en ligne, utilisant pour ce faire le forum électronique, avant d</w:t>
      </w:r>
      <w:r w:rsidR="00A20444" w:rsidRPr="00983C48">
        <w:t>’</w:t>
      </w:r>
      <w:r w:rsidRPr="00983C48">
        <w:t>examiner les propositions en plénière.</w:t>
      </w:r>
      <w:r w:rsidR="004F3E42" w:rsidRPr="00983C48">
        <w:t xml:space="preserve"> </w:t>
      </w:r>
      <w:r w:rsidR="0010442A" w:rsidRPr="00983C48">
        <w:t xml:space="preserve"> </w:t>
      </w:r>
      <w:r w:rsidRPr="00983C48">
        <w:t>Tout porte à croire que les débats en plénière seront par conséquent plus faciles et plus efficaces.</w:t>
      </w:r>
      <w:r w:rsidR="004F3E42" w:rsidRPr="00983C48">
        <w:t xml:space="preserve"> </w:t>
      </w:r>
      <w:r w:rsidR="0010442A" w:rsidRPr="00983C48">
        <w:t xml:space="preserve"> </w:t>
      </w:r>
      <w:r w:rsidRPr="00983C48">
        <w:t>Une nouvelle plate</w:t>
      </w:r>
      <w:r w:rsidR="002D6F2A" w:rsidRPr="00983C48">
        <w:noBreakHyphen/>
      </w:r>
      <w:r w:rsidRPr="00983C48">
        <w:t>forme de publication pour la Classification de Nice, qui couvre la publication de nouvelles versions annuelles, a été mise en place avec succès.</w:t>
      </w:r>
      <w:r w:rsidR="004F3E42" w:rsidRPr="00983C48">
        <w:t xml:space="preserve"> </w:t>
      </w:r>
      <w:r w:rsidR="0010442A" w:rsidRPr="00983C48">
        <w:t xml:space="preserve"> </w:t>
      </w:r>
      <w:r w:rsidRPr="00983C48">
        <w:t>En outre, cette nouvelle plate</w:t>
      </w:r>
      <w:r w:rsidR="002D6F2A" w:rsidRPr="00983C48">
        <w:noBreakHyphen/>
      </w:r>
      <w:r w:rsidRPr="00983C48">
        <w:t>forme intégrera également la taxonomie qui a été finalisée en 2012 en coopération avec l</w:t>
      </w:r>
      <w:r w:rsidR="00A20444" w:rsidRPr="00983C48">
        <w:t>’</w:t>
      </w:r>
      <w:r w:rsidRPr="00983C48">
        <w:t>OHMI.</w:t>
      </w:r>
    </w:p>
    <w:p w:rsidR="00D42474" w:rsidRDefault="00D42474" w:rsidP="001A5BF9">
      <w:pPr>
        <w:tabs>
          <w:tab w:val="left" w:pos="709"/>
        </w:tabs>
        <w:autoSpaceDE w:val="0"/>
        <w:autoSpaceDN w:val="0"/>
        <w:adjustRightInd w:val="0"/>
        <w:jc w:val="both"/>
        <w:rPr>
          <w:rFonts w:cs="Arial"/>
          <w:szCs w:val="20"/>
        </w:rPr>
      </w:pPr>
    </w:p>
    <w:p w:rsidR="00D42474" w:rsidRDefault="00784E52" w:rsidP="001A5BF9">
      <w:pPr>
        <w:tabs>
          <w:tab w:val="left" w:pos="709"/>
        </w:tabs>
        <w:autoSpaceDE w:val="0"/>
        <w:autoSpaceDN w:val="0"/>
        <w:adjustRightInd w:val="0"/>
        <w:jc w:val="both"/>
        <w:rPr>
          <w:szCs w:val="20"/>
        </w:rPr>
      </w:pPr>
      <w:r w:rsidRPr="00983C48">
        <w:t>12.3.</w:t>
      </w:r>
      <w:r w:rsidRPr="00983C48">
        <w:tab/>
        <w:t xml:space="preserve">La nouvelle et septième édition de la classification de Vienne a été publiée comme prévu en 2012. </w:t>
      </w:r>
      <w:r w:rsidR="0010442A" w:rsidRPr="00983C48">
        <w:t xml:space="preserve"> </w:t>
      </w:r>
      <w:r w:rsidRPr="00983C48">
        <w:t>Le comité d</w:t>
      </w:r>
      <w:r w:rsidR="00A20444" w:rsidRPr="00983C48">
        <w:t>’</w:t>
      </w:r>
      <w:r w:rsidRPr="00983C48">
        <w:t>experts pour la classification de Locarno s</w:t>
      </w:r>
      <w:r w:rsidR="00A20444" w:rsidRPr="00983C48">
        <w:t>’</w:t>
      </w:r>
      <w:r w:rsidRPr="00983C48">
        <w:t xml:space="preserve">est réuni en novembre 2012 et a adopté les modifications de la dixième édition de la classification qui a été publiée en 2013. </w:t>
      </w:r>
      <w:r w:rsidR="0010442A" w:rsidRPr="00983C48">
        <w:t xml:space="preserve"> </w:t>
      </w:r>
      <w:r w:rsidRPr="00983C48">
        <w:t>Le comité de Locarno a par ailleurs reconnu qu</w:t>
      </w:r>
      <w:r w:rsidR="00A20444" w:rsidRPr="00983C48">
        <w:t>’</w:t>
      </w:r>
      <w:r w:rsidRPr="00983C48">
        <w:t>en l</w:t>
      </w:r>
      <w:r w:rsidR="00A20444" w:rsidRPr="00983C48">
        <w:t>’</w:t>
      </w:r>
      <w:r w:rsidRPr="00983C48">
        <w:t>absence d</w:t>
      </w:r>
      <w:r w:rsidR="00A20444" w:rsidRPr="00983C48">
        <w:t>’</w:t>
      </w:r>
      <w:r w:rsidRPr="00983C48">
        <w:t>un consensus, le groupe pilote qui travaillait à l</w:t>
      </w:r>
      <w:r w:rsidR="00A20444" w:rsidRPr="00983C48">
        <w:t>’</w:t>
      </w:r>
      <w:r w:rsidRPr="00983C48">
        <w:t>élaboration d</w:t>
      </w:r>
      <w:r w:rsidR="00A20444" w:rsidRPr="00983C48">
        <w:t>’</w:t>
      </w:r>
      <w:r w:rsidRPr="00983C48">
        <w:t>un outil permettant la recherche des caractéristiques visuelles des demandes d</w:t>
      </w:r>
      <w:r w:rsidR="00A20444" w:rsidRPr="00983C48">
        <w:t>’</w:t>
      </w:r>
      <w:r w:rsidRPr="00983C48">
        <w:t>enregistrement des dessins et modèles ne s</w:t>
      </w:r>
      <w:r w:rsidR="00A20444" w:rsidRPr="00983C48">
        <w:t>’</w:t>
      </w:r>
      <w:r w:rsidRPr="00983C48">
        <w:t>était pas réuni au cours de l</w:t>
      </w:r>
      <w:r w:rsidR="00A20444" w:rsidRPr="00983C48">
        <w:t>’</w:t>
      </w:r>
      <w:r w:rsidRPr="00983C48">
        <w:t xml:space="preserve">exercice biennal. </w:t>
      </w:r>
      <w:r w:rsidR="0010442A" w:rsidRPr="00983C48">
        <w:t xml:space="preserve"> </w:t>
      </w:r>
      <w:r w:rsidRPr="00983C48">
        <w:t>Le projet a donc pris du retard.</w:t>
      </w:r>
    </w:p>
    <w:p w:rsidR="00D42474" w:rsidRDefault="00D42474" w:rsidP="001A5BF9">
      <w:pPr>
        <w:tabs>
          <w:tab w:val="left" w:pos="709"/>
        </w:tabs>
        <w:autoSpaceDE w:val="0"/>
        <w:autoSpaceDN w:val="0"/>
        <w:adjustRightInd w:val="0"/>
        <w:jc w:val="both"/>
        <w:rPr>
          <w:rFonts w:cs="Arial"/>
          <w:szCs w:val="20"/>
        </w:rPr>
      </w:pPr>
    </w:p>
    <w:p w:rsidR="00D42474" w:rsidRDefault="00784E52" w:rsidP="001A5BF9">
      <w:pPr>
        <w:tabs>
          <w:tab w:val="left" w:pos="709"/>
        </w:tabs>
        <w:autoSpaceDE w:val="0"/>
        <w:autoSpaceDN w:val="0"/>
        <w:adjustRightInd w:val="0"/>
        <w:jc w:val="both"/>
        <w:rPr>
          <w:szCs w:val="20"/>
        </w:rPr>
      </w:pPr>
      <w:r w:rsidRPr="00983C48">
        <w:t>12.4.</w:t>
      </w:r>
      <w:r w:rsidRPr="00983C48">
        <w:tab/>
        <w:t>Le nombre des révisions apportées à la </w:t>
      </w:r>
      <w:proofErr w:type="spellStart"/>
      <w:r w:rsidRPr="00983C48">
        <w:t>CIB</w:t>
      </w:r>
      <w:proofErr w:type="spellEnd"/>
      <w:r w:rsidRPr="00983C48">
        <w:t xml:space="preserve"> a diminué en 2012 en raison des difficultés éprouvées par les offices de l</w:t>
      </w:r>
      <w:r w:rsidR="00A20444" w:rsidRPr="00983C48">
        <w:t>’</w:t>
      </w:r>
      <w:proofErr w:type="spellStart"/>
      <w:r w:rsidRPr="00983C48">
        <w:t>IP5</w:t>
      </w:r>
      <w:proofErr w:type="spellEnd"/>
      <w:r w:rsidRPr="00983C48">
        <w:t xml:space="preserve"> (les cinq plus grands offices de propriété intellectuelle au monde) à se mettre d</w:t>
      </w:r>
      <w:r w:rsidR="00A20444" w:rsidRPr="00983C48">
        <w:t>’</w:t>
      </w:r>
      <w:r w:rsidRPr="00983C48">
        <w:t xml:space="preserve">accord sur un cadre pour le projet de classement hybride commun. </w:t>
      </w:r>
      <w:r w:rsidR="0010442A" w:rsidRPr="00983C48">
        <w:t xml:space="preserve"> </w:t>
      </w:r>
      <w:r w:rsidRPr="00983C48">
        <w:t>La </w:t>
      </w:r>
      <w:proofErr w:type="spellStart"/>
      <w:r w:rsidRPr="00983C48">
        <w:t>CIB</w:t>
      </w:r>
      <w:proofErr w:type="spellEnd"/>
      <w:r w:rsidRPr="00983C48">
        <w:t xml:space="preserve"> a connu un regain d</w:t>
      </w:r>
      <w:r w:rsidR="00A20444" w:rsidRPr="00983C48">
        <w:t>’</w:t>
      </w:r>
      <w:r w:rsidRPr="00983C48">
        <w:t>intérêt en 2013, suite à l</w:t>
      </w:r>
      <w:r w:rsidR="00A20444" w:rsidRPr="00983C48">
        <w:t>’</w:t>
      </w:r>
      <w:r w:rsidRPr="00983C48">
        <w:t>approbation d</w:t>
      </w:r>
      <w:r w:rsidR="00A20444" w:rsidRPr="00983C48">
        <w:t>’</w:t>
      </w:r>
      <w:r w:rsidRPr="00983C48">
        <w:t>une feuille de route par le comité d</w:t>
      </w:r>
      <w:r w:rsidR="00A20444" w:rsidRPr="00983C48">
        <w:t>’</w:t>
      </w:r>
      <w:r w:rsidRPr="00983C48">
        <w:t>experts de la </w:t>
      </w:r>
      <w:proofErr w:type="spellStart"/>
      <w:r w:rsidRPr="00983C48">
        <w:t>CIB</w:t>
      </w:r>
      <w:proofErr w:type="spellEnd"/>
      <w:r w:rsidRPr="00983C48">
        <w:t>, qui a réactivé la coopération des offices de l</w:t>
      </w:r>
      <w:r w:rsidR="00A20444" w:rsidRPr="00983C48">
        <w:t>’</w:t>
      </w:r>
      <w:proofErr w:type="spellStart"/>
      <w:r w:rsidRPr="00983C48">
        <w:t>IP5</w:t>
      </w:r>
      <w:proofErr w:type="spellEnd"/>
      <w:r w:rsidRPr="00983C48">
        <w:t xml:space="preserve">. </w:t>
      </w:r>
      <w:r w:rsidR="0010442A" w:rsidRPr="00983C48">
        <w:t xml:space="preserve"> </w:t>
      </w:r>
      <w:r w:rsidRPr="00983C48">
        <w:t>Par conséquent, la </w:t>
      </w:r>
      <w:proofErr w:type="spellStart"/>
      <w:r w:rsidRPr="00983C48">
        <w:t>CIB</w:t>
      </w:r>
      <w:proofErr w:type="spellEnd"/>
      <w:r w:rsidRPr="00983C48">
        <w:t xml:space="preserve"> a reçu un nombre croissant de demandes de révision en provenance d</w:t>
      </w:r>
      <w:r w:rsidR="00A20444" w:rsidRPr="00983C48">
        <w:t>’</w:t>
      </w:r>
      <w:r w:rsidRPr="00983C48">
        <w:t>un plus large éventail d</w:t>
      </w:r>
      <w:r w:rsidR="00A20444" w:rsidRPr="00983C48">
        <w:t>’</w:t>
      </w:r>
      <w:r w:rsidRPr="00983C48">
        <w:t xml:space="preserve">offices. </w:t>
      </w:r>
      <w:r w:rsidR="0010442A" w:rsidRPr="00983C48">
        <w:t xml:space="preserve"> </w:t>
      </w:r>
      <w:r w:rsidRPr="00983C48">
        <w:t>Les offices ont commencé activement à utiliser la nouvelle plate</w:t>
      </w:r>
      <w:r w:rsidR="002D6F2A" w:rsidRPr="00983C48">
        <w:noBreakHyphen/>
      </w:r>
      <w:r w:rsidRPr="00983C48">
        <w:t xml:space="preserve">forme de reclassification qui a été mise en place en 2012. </w:t>
      </w:r>
      <w:r w:rsidR="0010442A" w:rsidRPr="00983C48">
        <w:t xml:space="preserve"> </w:t>
      </w:r>
      <w:r w:rsidRPr="00983C48">
        <w:t>Afin de faciliter encore davantage l</w:t>
      </w:r>
      <w:r w:rsidR="00A20444" w:rsidRPr="00983C48">
        <w:t>’</w:t>
      </w:r>
      <w:r w:rsidRPr="00983C48">
        <w:t>utilisation de la </w:t>
      </w:r>
      <w:proofErr w:type="spellStart"/>
      <w:r w:rsidRPr="00983C48">
        <w:t>CIB</w:t>
      </w:r>
      <w:proofErr w:type="spellEnd"/>
      <w:r w:rsidRPr="00983C48">
        <w:t>, une plate</w:t>
      </w:r>
      <w:r w:rsidR="002D6F2A" w:rsidRPr="00983C48">
        <w:noBreakHyphen/>
      </w:r>
      <w:r w:rsidRPr="00983C48">
        <w:t>forme de publication modifiée avec un nouvel outil de recherche et la plate</w:t>
      </w:r>
      <w:r w:rsidR="002D6F2A" w:rsidRPr="00983C48">
        <w:noBreakHyphen/>
      </w:r>
      <w:r w:rsidRPr="00983C48">
        <w:t xml:space="preserve">forme parallèle </w:t>
      </w:r>
      <w:proofErr w:type="spellStart"/>
      <w:r w:rsidRPr="00983C48">
        <w:t>FIPCPC</w:t>
      </w:r>
      <w:proofErr w:type="spellEnd"/>
      <w:r w:rsidRPr="00983C48">
        <w:t xml:space="preserve"> </w:t>
      </w:r>
      <w:proofErr w:type="gramStart"/>
      <w:r w:rsidRPr="00983C48">
        <w:t>ont</w:t>
      </w:r>
      <w:proofErr w:type="gramEnd"/>
      <w:r w:rsidRPr="00983C48">
        <w:t xml:space="preserve"> été élaborées et testées en interne. </w:t>
      </w:r>
      <w:r w:rsidR="0010442A" w:rsidRPr="00983C48">
        <w:t xml:space="preserve"> </w:t>
      </w:r>
      <w:r w:rsidRPr="00983C48">
        <w:t>La plate</w:t>
      </w:r>
      <w:r w:rsidR="002D6F2A" w:rsidRPr="00983C48">
        <w:noBreakHyphen/>
      </w:r>
      <w:r w:rsidRPr="00983C48">
        <w:t>forme de publication modifiée a été mise à la disposition du public en avril 2014.</w:t>
      </w:r>
    </w:p>
    <w:p w:rsidR="00D42474" w:rsidRDefault="00D42474" w:rsidP="001A5BF9">
      <w:pPr>
        <w:autoSpaceDE w:val="0"/>
        <w:autoSpaceDN w:val="0"/>
        <w:adjustRightInd w:val="0"/>
        <w:jc w:val="both"/>
        <w:rPr>
          <w:rFonts w:cs="Arial"/>
          <w:szCs w:val="20"/>
        </w:rPr>
      </w:pPr>
    </w:p>
    <w:p w:rsidR="00D42474" w:rsidRDefault="00784E52" w:rsidP="001A5BF9">
      <w:pPr>
        <w:tabs>
          <w:tab w:val="left" w:pos="709"/>
        </w:tabs>
        <w:autoSpaceDE w:val="0"/>
        <w:autoSpaceDN w:val="0"/>
        <w:adjustRightInd w:val="0"/>
        <w:jc w:val="both"/>
        <w:rPr>
          <w:bCs/>
          <w:szCs w:val="20"/>
        </w:rPr>
      </w:pPr>
      <w:r w:rsidRPr="00983C48">
        <w:t>12.5.</w:t>
      </w:r>
      <w:r w:rsidRPr="00983C48">
        <w:tab/>
        <w:t>Le Comité des normes de l</w:t>
      </w:r>
      <w:r w:rsidR="00A20444" w:rsidRPr="00983C48">
        <w:t>’</w:t>
      </w:r>
      <w:r w:rsidRPr="00983C48">
        <w:t>OMPI (CWS) a tenu ses deuxième et troisième sessions ordinaires au cours de l</w:t>
      </w:r>
      <w:r w:rsidR="00A20444" w:rsidRPr="00983C48">
        <w:t>’</w:t>
      </w:r>
      <w:r w:rsidRPr="00983C48">
        <w:t>exercice biennal et, malgré les enjeux institutionnels, il a bien avancé dans ses travaux techniques, adoptant notamment la première version de la norme XML pour la propriété intellectuelle (</w:t>
      </w:r>
      <w:proofErr w:type="spellStart"/>
      <w:r w:rsidRPr="00983C48">
        <w:t>ST.96</w:t>
      </w:r>
      <w:proofErr w:type="spellEnd"/>
      <w:r w:rsidRPr="00983C48">
        <w:t xml:space="preserve">). </w:t>
      </w:r>
      <w:r w:rsidR="0010442A" w:rsidRPr="00983C48">
        <w:t xml:space="preserve"> </w:t>
      </w:r>
      <w:r w:rsidRPr="00983C48">
        <w:t>L</w:t>
      </w:r>
      <w:r w:rsidR="00A20444" w:rsidRPr="00983C48">
        <w:t>’</w:t>
      </w:r>
      <w:r w:rsidRPr="00983C48">
        <w:t>examen d</w:t>
      </w:r>
      <w:r w:rsidR="00A20444" w:rsidRPr="00983C48">
        <w:t>’</w:t>
      </w:r>
      <w:r w:rsidRPr="00983C48">
        <w:t xml:space="preserve">une nouvelle norme sur le statut juridique a débuté et bien progressé lors de la troisième session. </w:t>
      </w:r>
      <w:r w:rsidR="0010442A" w:rsidRPr="00983C48">
        <w:t xml:space="preserve"> </w:t>
      </w:r>
      <w:r w:rsidRPr="00983C48">
        <w:t xml:space="preserve">La base de données </w:t>
      </w:r>
      <w:proofErr w:type="spellStart"/>
      <w:r w:rsidRPr="00983C48">
        <w:t>WIPOSTAD</w:t>
      </w:r>
      <w:proofErr w:type="spellEnd"/>
      <w:r w:rsidRPr="00983C48">
        <w:t xml:space="preserve"> (WIPO Standards Administration </w:t>
      </w:r>
      <w:proofErr w:type="spellStart"/>
      <w:r w:rsidRPr="00983C48">
        <w:t>Database</w:t>
      </w:r>
      <w:proofErr w:type="spellEnd"/>
      <w:r w:rsidRPr="00983C48">
        <w:t>) a été utilisée pour recueillir les réponses et publier les enquêtes.</w:t>
      </w:r>
    </w:p>
    <w:p w:rsidR="00D42474" w:rsidRDefault="00D42474" w:rsidP="001A5BF9">
      <w:pPr>
        <w:rPr>
          <w:bCs/>
          <w:szCs w:val="20"/>
        </w:rPr>
      </w:pPr>
    </w:p>
    <w:p w:rsidR="00D42474" w:rsidRDefault="00D42474" w:rsidP="001A5BF9">
      <w:pPr>
        <w:rPr>
          <w:bCs/>
          <w:szCs w:val="20"/>
        </w:rPr>
      </w:pPr>
    </w:p>
    <w:p w:rsidR="00D42474" w:rsidRDefault="00784E52" w:rsidP="001A5BF9">
      <w:pPr>
        <w:keepNext/>
        <w:keepLines/>
        <w:jc w:val="both"/>
      </w:pPr>
      <w:r w:rsidRPr="00983C48">
        <w:rPr>
          <w:sz w:val="22"/>
        </w:rPr>
        <w:t>MISE EN ŒUVRE DU PLAN D</w:t>
      </w:r>
      <w:r w:rsidR="00A20444" w:rsidRPr="00983C48">
        <w:rPr>
          <w:sz w:val="22"/>
        </w:rPr>
        <w:t>’</w:t>
      </w:r>
      <w:r w:rsidRPr="00983C48">
        <w:rPr>
          <w:sz w:val="22"/>
        </w:rPr>
        <w:t>ACTION POUR LE DÉVELOPPEMENT</w:t>
      </w:r>
    </w:p>
    <w:p w:rsidR="00D42474" w:rsidRDefault="00D42474" w:rsidP="001A5BF9">
      <w:pPr>
        <w:rPr>
          <w:szCs w:val="20"/>
        </w:rPr>
      </w:pPr>
    </w:p>
    <w:p w:rsidR="00D42474" w:rsidRDefault="00784E52" w:rsidP="001A5BF9">
      <w:pPr>
        <w:tabs>
          <w:tab w:val="left" w:pos="709"/>
        </w:tabs>
        <w:rPr>
          <w:rFonts w:eastAsia="MS Mincho"/>
          <w:szCs w:val="20"/>
          <w:lang w:bidi="th-TH"/>
        </w:rPr>
      </w:pPr>
      <w:r w:rsidRPr="00983C48">
        <w:t>12.6</w:t>
      </w:r>
      <w:r w:rsidRPr="00983C48">
        <w:tab/>
        <w:t>Les activités du programme 12 appuient la mise en œuvre des recommandations n</w:t>
      </w:r>
      <w:r w:rsidRPr="00983C48">
        <w:rPr>
          <w:vertAlign w:val="superscript"/>
        </w:rPr>
        <w:t>os</w:t>
      </w:r>
      <w:r w:rsidRPr="00983C48">
        <w:t> 8, 30 et 31 du Plan d</w:t>
      </w:r>
      <w:r w:rsidR="00A20444" w:rsidRPr="00983C48">
        <w:t>’</w:t>
      </w:r>
      <w:r w:rsidRPr="00983C48">
        <w:t>action pour le développement, en facilitant l</w:t>
      </w:r>
      <w:r w:rsidR="00A20444" w:rsidRPr="00983C48">
        <w:t>’</w:t>
      </w:r>
      <w:r w:rsidRPr="00983C48">
        <w:t>accès des pays en développement à l</w:t>
      </w:r>
      <w:r w:rsidR="00A20444" w:rsidRPr="00983C48">
        <w:t>’</w:t>
      </w:r>
      <w:r w:rsidRPr="00983C48">
        <w:t>information en matière de brevets accessible au public.</w:t>
      </w:r>
      <w:r w:rsidR="004F3E42" w:rsidRPr="00983C48">
        <w:t xml:space="preserve"> </w:t>
      </w:r>
      <w:r w:rsidR="0010442A" w:rsidRPr="00983C48">
        <w:t xml:space="preserve"> </w:t>
      </w:r>
      <w:r w:rsidRPr="00983C48">
        <w:t>Ce faisant, le programme contribue aussi aux efforts liés au transfert de technologies.</w:t>
      </w:r>
    </w:p>
    <w:p w:rsidR="00D42474" w:rsidRDefault="00D42474" w:rsidP="001A5BF9">
      <w:pPr>
        <w:rPr>
          <w:rFonts w:eastAsia="MS Mincho"/>
          <w:szCs w:val="20"/>
          <w:lang w:bidi="th-TH"/>
        </w:rPr>
      </w:pPr>
    </w:p>
    <w:p w:rsidR="00D42474" w:rsidRDefault="00784E52" w:rsidP="001A5BF9">
      <w:pPr>
        <w:rPr>
          <w:rFonts w:cs="Arial"/>
          <w:szCs w:val="22"/>
        </w:rPr>
      </w:pPr>
      <w:r w:rsidRPr="00983C48">
        <w:br w:type="page"/>
      </w:r>
      <w:r w:rsidRPr="00983C48">
        <w:rPr>
          <w:sz w:val="22"/>
        </w:rPr>
        <w:t>DONNÉES RELATIVES À L</w:t>
      </w:r>
      <w:r w:rsidR="00A20444" w:rsidRPr="00983C48">
        <w:rPr>
          <w:sz w:val="22"/>
        </w:rPr>
        <w:t>’</w:t>
      </w:r>
      <w:r w:rsidRPr="00983C48">
        <w:rPr>
          <w:sz w:val="22"/>
        </w:rPr>
        <w:t>EXÉCUTION</w:t>
      </w:r>
    </w:p>
    <w:p w:rsidR="00784E52" w:rsidRPr="00983C48" w:rsidRDefault="00784E52" w:rsidP="001A5BF9"/>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7"/>
        <w:gridCol w:w="2077"/>
        <w:gridCol w:w="1986"/>
        <w:gridCol w:w="2414"/>
        <w:gridCol w:w="1273"/>
      </w:tblGrid>
      <w:tr w:rsidR="00D32A9C" w:rsidRPr="00983C48" w:rsidTr="00D32A9C">
        <w:trPr>
          <w:cantSplit/>
        </w:trPr>
        <w:tc>
          <w:tcPr>
            <w:tcW w:w="5000" w:type="pct"/>
            <w:gridSpan w:val="5"/>
            <w:tcBorders>
              <w:top w:val="single" w:sz="4" w:space="0" w:color="auto"/>
              <w:bottom w:val="single" w:sz="4" w:space="0" w:color="auto"/>
            </w:tcBorders>
            <w:shd w:val="clear" w:color="auto" w:fill="CCFFFF"/>
            <w:vAlign w:val="center"/>
          </w:tcPr>
          <w:p w:rsidR="00784E52" w:rsidRPr="00983C48" w:rsidRDefault="00784E52" w:rsidP="001A5BF9">
            <w:pPr>
              <w:keepNext/>
              <w:keepLines/>
              <w:tabs>
                <w:tab w:val="left" w:pos="1452"/>
              </w:tabs>
              <w:spacing w:before="120" w:after="120"/>
              <w:ind w:left="1701" w:hanging="1701"/>
              <w:rPr>
                <w:rFonts w:cs="Arial"/>
                <w:b/>
                <w:bCs/>
                <w:sz w:val="16"/>
                <w:szCs w:val="16"/>
              </w:rPr>
            </w:pPr>
            <w:r w:rsidRPr="00983C48">
              <w:rPr>
                <w:b/>
                <w:sz w:val="16"/>
              </w:rPr>
              <w:t>Résultat escompté</w:t>
            </w:r>
            <w:r w:rsidR="0010442A" w:rsidRPr="00983C48">
              <w:rPr>
                <w:b/>
                <w:sz w:val="16"/>
              </w:rPr>
              <w:t xml:space="preserve"> : </w:t>
            </w:r>
            <w:r w:rsidR="00D47893" w:rsidRPr="00983C48">
              <w:rPr>
                <w:b/>
                <w:sz w:val="16"/>
              </w:rPr>
              <w:tab/>
            </w:r>
            <w:r w:rsidRPr="00983C48">
              <w:rPr>
                <w:sz w:val="16"/>
              </w:rPr>
              <w:t>Système mondialement accepté et mis à jour des classifications internationales et normes de l</w:t>
            </w:r>
            <w:r w:rsidR="00A20444" w:rsidRPr="00983C48">
              <w:rPr>
                <w:sz w:val="16"/>
              </w:rPr>
              <w:t>’</w:t>
            </w:r>
            <w:r w:rsidRPr="00983C48">
              <w:rPr>
                <w:sz w:val="16"/>
              </w:rPr>
              <w:t>OMPI visant à faciliter l</w:t>
            </w:r>
            <w:r w:rsidR="00A20444" w:rsidRPr="00983C48">
              <w:rPr>
                <w:sz w:val="16"/>
              </w:rPr>
              <w:t>’</w:t>
            </w:r>
            <w:r w:rsidRPr="00983C48">
              <w:rPr>
                <w:sz w:val="16"/>
              </w:rPr>
              <w:t>accès, l</w:t>
            </w:r>
            <w:r w:rsidR="00A20444" w:rsidRPr="00983C48">
              <w:rPr>
                <w:sz w:val="16"/>
              </w:rPr>
              <w:t>’</w:t>
            </w:r>
            <w:r w:rsidRPr="00983C48">
              <w:rPr>
                <w:sz w:val="16"/>
              </w:rPr>
              <w:t>utilisation et la diffusion des informations relatives à la propriété intellectuelle parmi les parties prenantes du monde entier</w:t>
            </w:r>
          </w:p>
        </w:tc>
      </w:tr>
      <w:tr w:rsidR="00D32A9C" w:rsidRPr="00983C48" w:rsidTr="00D32A9C">
        <w:trPr>
          <w:cantSplit/>
        </w:trPr>
        <w:tc>
          <w:tcPr>
            <w:tcW w:w="859" w:type="pct"/>
            <w:tcBorders>
              <w:top w:val="single" w:sz="4" w:space="0" w:color="auto"/>
            </w:tcBorders>
            <w:shd w:val="clear" w:color="auto" w:fill="auto"/>
            <w:vAlign w:val="center"/>
          </w:tcPr>
          <w:p w:rsidR="00784E52" w:rsidRPr="00983C48" w:rsidRDefault="00784E52" w:rsidP="001A5BF9">
            <w:pPr>
              <w:rPr>
                <w:rFonts w:cs="Arial"/>
                <w:sz w:val="16"/>
                <w:szCs w:val="16"/>
              </w:rPr>
            </w:pPr>
            <w:r w:rsidRPr="00983C48">
              <w:rPr>
                <w:b/>
                <w:sz w:val="16"/>
              </w:rPr>
              <w:t>Indicateurs d</w:t>
            </w:r>
            <w:r w:rsidR="00A20444" w:rsidRPr="00983C48">
              <w:rPr>
                <w:b/>
                <w:sz w:val="16"/>
              </w:rPr>
              <w:t>’</w:t>
            </w:r>
            <w:r w:rsidRPr="00983C48">
              <w:rPr>
                <w:b/>
                <w:sz w:val="16"/>
              </w:rPr>
              <w:t>exécution</w:t>
            </w:r>
          </w:p>
        </w:tc>
        <w:tc>
          <w:tcPr>
            <w:tcW w:w="1110" w:type="pct"/>
            <w:tcBorders>
              <w:top w:val="single" w:sz="4" w:space="0" w:color="auto"/>
            </w:tcBorders>
            <w:shd w:val="clear" w:color="auto" w:fill="auto"/>
            <w:vAlign w:val="center"/>
          </w:tcPr>
          <w:p w:rsidR="00784E52" w:rsidRPr="00983C48" w:rsidRDefault="00784E52" w:rsidP="001A5BF9">
            <w:pPr>
              <w:rPr>
                <w:rFonts w:cs="Arial"/>
                <w:b/>
                <w:bCs/>
                <w:sz w:val="16"/>
                <w:szCs w:val="16"/>
              </w:rPr>
            </w:pPr>
            <w:r w:rsidRPr="00983C48">
              <w:rPr>
                <w:b/>
                <w:sz w:val="16"/>
              </w:rPr>
              <w:t>Niveaux de référence</w:t>
            </w:r>
          </w:p>
        </w:tc>
        <w:tc>
          <w:tcPr>
            <w:tcW w:w="1061" w:type="pct"/>
            <w:tcBorders>
              <w:top w:val="single" w:sz="4" w:space="0" w:color="auto"/>
            </w:tcBorders>
            <w:shd w:val="clear" w:color="auto" w:fill="auto"/>
            <w:tcMar>
              <w:top w:w="110" w:type="dxa"/>
            </w:tcMar>
            <w:vAlign w:val="center"/>
          </w:tcPr>
          <w:p w:rsidR="00784E52" w:rsidRPr="00983C48" w:rsidRDefault="00784E52" w:rsidP="001A5BF9">
            <w:pPr>
              <w:rPr>
                <w:rFonts w:cs="Arial"/>
                <w:b/>
                <w:sz w:val="16"/>
                <w:szCs w:val="16"/>
              </w:rPr>
            </w:pPr>
            <w:r w:rsidRPr="00983C48">
              <w:rPr>
                <w:b/>
                <w:sz w:val="16"/>
              </w:rPr>
              <w:t>Objectifs visés</w:t>
            </w:r>
          </w:p>
        </w:tc>
        <w:tc>
          <w:tcPr>
            <w:tcW w:w="1290" w:type="pct"/>
            <w:tcBorders>
              <w:top w:val="single" w:sz="4" w:space="0" w:color="auto"/>
            </w:tcBorders>
            <w:shd w:val="clear" w:color="auto" w:fill="FFFFFF"/>
            <w:tcMar>
              <w:top w:w="110" w:type="dxa"/>
            </w:tcMar>
            <w:vAlign w:val="center"/>
          </w:tcPr>
          <w:p w:rsidR="00784E52" w:rsidRPr="00983C48" w:rsidRDefault="00784E52" w:rsidP="001A5BF9">
            <w:pPr>
              <w:rPr>
                <w:rFonts w:cs="Arial"/>
                <w:sz w:val="16"/>
                <w:szCs w:val="16"/>
              </w:rPr>
            </w:pPr>
            <w:r w:rsidRPr="00983C48">
              <w:rPr>
                <w:b/>
                <w:sz w:val="16"/>
              </w:rPr>
              <w:t>Données relatives à l</w:t>
            </w:r>
            <w:r w:rsidR="00A20444" w:rsidRPr="00983C48">
              <w:rPr>
                <w:b/>
                <w:sz w:val="16"/>
              </w:rPr>
              <w:t>’</w:t>
            </w:r>
            <w:r w:rsidRPr="00983C48">
              <w:rPr>
                <w:b/>
                <w:sz w:val="16"/>
              </w:rPr>
              <w:t>exécution</w:t>
            </w:r>
          </w:p>
        </w:tc>
        <w:tc>
          <w:tcPr>
            <w:tcW w:w="680" w:type="pct"/>
            <w:tcBorders>
              <w:top w:val="single" w:sz="4" w:space="0" w:color="auto"/>
            </w:tcBorders>
            <w:shd w:val="clear" w:color="auto" w:fill="auto"/>
            <w:tcMar>
              <w:top w:w="110" w:type="dxa"/>
            </w:tcMar>
            <w:vAlign w:val="center"/>
          </w:tcPr>
          <w:p w:rsidR="00784E52" w:rsidRPr="00983C48" w:rsidRDefault="00784E52" w:rsidP="001A5BF9">
            <w:pPr>
              <w:keepNext/>
              <w:keepLines/>
              <w:jc w:val="center"/>
              <w:rPr>
                <w:rFonts w:cs="Arial"/>
                <w:b/>
                <w:bCs/>
                <w:sz w:val="16"/>
                <w:szCs w:val="16"/>
              </w:rPr>
            </w:pPr>
            <w:r w:rsidRPr="00983C48">
              <w:rPr>
                <w:b/>
                <w:sz w:val="16"/>
              </w:rPr>
              <w:t>Code de couleurs</w:t>
            </w:r>
          </w:p>
        </w:tc>
      </w:tr>
      <w:tr w:rsidR="00784E52" w:rsidRPr="005C7CCE" w:rsidTr="00D32A9C">
        <w:trPr>
          <w:cantSplit/>
        </w:trPr>
        <w:tc>
          <w:tcPr>
            <w:tcW w:w="859" w:type="pct"/>
            <w:shd w:val="clear" w:color="auto" w:fill="auto"/>
          </w:tcPr>
          <w:p w:rsidR="00784E52" w:rsidRPr="00983C48" w:rsidRDefault="00784E52" w:rsidP="001A5BF9">
            <w:pPr>
              <w:rPr>
                <w:rFonts w:cs="Arial"/>
                <w:sz w:val="16"/>
                <w:szCs w:val="16"/>
              </w:rPr>
            </w:pPr>
            <w:r w:rsidRPr="00983C48">
              <w:rPr>
                <w:sz w:val="16"/>
              </w:rPr>
              <w:t>Nombre d</w:t>
            </w:r>
            <w:r w:rsidR="00A20444" w:rsidRPr="00983C48">
              <w:rPr>
                <w:sz w:val="16"/>
              </w:rPr>
              <w:t>’</w:t>
            </w:r>
            <w:r w:rsidRPr="00983C48">
              <w:rPr>
                <w:sz w:val="16"/>
              </w:rPr>
              <w:t>offices qui utilisent les normes de l</w:t>
            </w:r>
            <w:r w:rsidR="00A20444" w:rsidRPr="00983C48">
              <w:rPr>
                <w:sz w:val="16"/>
              </w:rPr>
              <w:t>’</w:t>
            </w:r>
            <w:r w:rsidRPr="00983C48">
              <w:rPr>
                <w:sz w:val="16"/>
              </w:rPr>
              <w:t>OMPI</w:t>
            </w:r>
          </w:p>
        </w:tc>
        <w:tc>
          <w:tcPr>
            <w:tcW w:w="1110" w:type="pct"/>
            <w:shd w:val="clear" w:color="auto" w:fill="auto"/>
          </w:tcPr>
          <w:p w:rsidR="00D42474" w:rsidRDefault="00784E52"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65 rapports techniques annuels soumis</w:t>
            </w:r>
            <w:r w:rsidRPr="00983C48">
              <w:rPr>
                <w:color w:val="002060"/>
                <w:sz w:val="16"/>
              </w:rPr>
              <w:t>.</w:t>
            </w:r>
            <w:r w:rsidR="0010442A" w:rsidRPr="00983C48">
              <w:rPr>
                <w:color w:val="002060"/>
                <w:sz w:val="16"/>
              </w:rPr>
              <w:t xml:space="preserve"> </w:t>
            </w:r>
            <w:r w:rsidRPr="00983C48">
              <w:rPr>
                <w:color w:val="002060"/>
                <w:sz w:val="16"/>
              </w:rPr>
              <w:t xml:space="preserve"> 30 offices des brevets ont participé à une étude</w:t>
            </w:r>
          </w:p>
          <w:p w:rsidR="00D42474" w:rsidRDefault="00D42474" w:rsidP="001A5BF9">
            <w:pPr>
              <w:rPr>
                <w:rFonts w:cs="Arial"/>
                <w:i/>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983C48">
              <w:rPr>
                <w:sz w:val="16"/>
              </w:rPr>
              <w:t xml:space="preserve"> à</w:t>
            </w:r>
            <w:r w:rsidR="00D47893" w:rsidRPr="005C7CCE">
              <w:rPr>
                <w:sz w:val="16"/>
              </w:rPr>
              <w:t> </w:t>
            </w:r>
            <w:r w:rsidRPr="005C7CCE">
              <w:rPr>
                <w:sz w:val="16"/>
              </w:rPr>
              <w:t>déterminer fin 2011</w:t>
            </w:r>
          </w:p>
        </w:tc>
        <w:tc>
          <w:tcPr>
            <w:tcW w:w="1061" w:type="pct"/>
            <w:shd w:val="clear" w:color="auto" w:fill="auto"/>
            <w:tcMar>
              <w:top w:w="110" w:type="dxa"/>
            </w:tcMar>
          </w:tcPr>
          <w:p w:rsidR="00784E52" w:rsidRPr="00983C48" w:rsidRDefault="00784E52" w:rsidP="001A5BF9">
            <w:pPr>
              <w:rPr>
                <w:rFonts w:cs="Arial"/>
                <w:sz w:val="16"/>
                <w:szCs w:val="16"/>
                <w:lang w:bidi="th-TH"/>
              </w:rPr>
            </w:pPr>
            <w:r w:rsidRPr="00983C48">
              <w:rPr>
                <w:sz w:val="16"/>
              </w:rPr>
              <w:t>À déterminer fin 2011</w:t>
            </w:r>
          </w:p>
        </w:tc>
        <w:tc>
          <w:tcPr>
            <w:tcW w:w="1290" w:type="pct"/>
            <w:shd w:val="clear" w:color="auto" w:fill="FFFFFF"/>
            <w:tcMar>
              <w:top w:w="110" w:type="dxa"/>
            </w:tcMar>
          </w:tcPr>
          <w:p w:rsidR="00D42474" w:rsidRDefault="00784E52" w:rsidP="001A5BF9">
            <w:pPr>
              <w:rPr>
                <w:rFonts w:cs="Arial"/>
                <w:sz w:val="16"/>
                <w:szCs w:val="16"/>
                <w:lang w:bidi="th-TH"/>
              </w:rPr>
            </w:pPr>
            <w:r w:rsidRPr="00983C48">
              <w:rPr>
                <w:sz w:val="16"/>
              </w:rPr>
              <w:t>82 rapports techniques annuels (2012) soumis;</w:t>
            </w:r>
            <w:r w:rsidR="0010442A" w:rsidRPr="00983C48">
              <w:rPr>
                <w:sz w:val="16"/>
              </w:rPr>
              <w:t xml:space="preserve"> </w:t>
            </w:r>
            <w:r w:rsidR="004F3E42" w:rsidRPr="00983C48">
              <w:rPr>
                <w:sz w:val="16"/>
              </w:rPr>
              <w:t xml:space="preserve"> </w:t>
            </w:r>
            <w:r w:rsidRPr="00983C48">
              <w:rPr>
                <w:sz w:val="16"/>
              </w:rPr>
              <w:t>78 rapports techniques annuels (2013) soumis.</w:t>
            </w:r>
          </w:p>
          <w:p w:rsidR="00D42474" w:rsidRDefault="00D42474" w:rsidP="001A5BF9">
            <w:pPr>
              <w:rPr>
                <w:rFonts w:cs="Arial"/>
                <w:sz w:val="8"/>
                <w:szCs w:val="8"/>
                <w:lang w:bidi="th-TH"/>
              </w:rPr>
            </w:pPr>
          </w:p>
          <w:p w:rsidR="00784E52" w:rsidRPr="00983C48" w:rsidRDefault="00784E52" w:rsidP="001A5BF9">
            <w:pPr>
              <w:rPr>
                <w:rFonts w:cs="Arial"/>
                <w:sz w:val="16"/>
                <w:szCs w:val="16"/>
              </w:rPr>
            </w:pPr>
            <w:r w:rsidRPr="00983C48">
              <w:rPr>
                <w:sz w:val="16"/>
              </w:rPr>
              <w:t>35 offices ont participé à l</w:t>
            </w:r>
            <w:r w:rsidR="00A20444" w:rsidRPr="00983C48">
              <w:rPr>
                <w:sz w:val="16"/>
              </w:rPr>
              <w:t>’</w:t>
            </w:r>
            <w:r w:rsidRPr="00983C48">
              <w:rPr>
                <w:sz w:val="16"/>
              </w:rPr>
              <w:t>étude sur les systèmes de numérotation</w:t>
            </w:r>
          </w:p>
        </w:tc>
        <w:tc>
          <w:tcPr>
            <w:tcW w:w="680" w:type="pct"/>
            <w:shd w:val="clear" w:color="auto" w:fill="auto"/>
            <w:tcMar>
              <w:top w:w="110" w:type="dxa"/>
            </w:tcMar>
          </w:tcPr>
          <w:p w:rsidR="00784E52" w:rsidRPr="005C7CCE" w:rsidRDefault="00784E52" w:rsidP="001A5BF9">
            <w:pPr>
              <w:keepNext/>
              <w:keepLines/>
              <w:jc w:val="center"/>
              <w:rPr>
                <w:rFonts w:cs="Arial"/>
                <w:bCs/>
                <w:color w:val="808080"/>
                <w:sz w:val="16"/>
                <w:szCs w:val="16"/>
              </w:rPr>
            </w:pPr>
            <w:r w:rsidRPr="005C7CCE">
              <w:rPr>
                <w:rStyle w:val="Style5"/>
                <w:rFonts w:ascii="Arial" w:hAnsi="Arial"/>
                <w:sz w:val="16"/>
              </w:rPr>
              <w:t>Non évaluable</w:t>
            </w:r>
          </w:p>
        </w:tc>
      </w:tr>
      <w:tr w:rsidR="00784E52" w:rsidRPr="005C7CCE" w:rsidTr="00D32A9C">
        <w:trPr>
          <w:cantSplit/>
        </w:trPr>
        <w:tc>
          <w:tcPr>
            <w:tcW w:w="859" w:type="pct"/>
            <w:shd w:val="clear" w:color="auto" w:fill="auto"/>
          </w:tcPr>
          <w:p w:rsidR="00784E52" w:rsidRPr="00983C48" w:rsidRDefault="00784E52" w:rsidP="001A5BF9">
            <w:pPr>
              <w:rPr>
                <w:rFonts w:cs="Arial"/>
                <w:sz w:val="16"/>
                <w:szCs w:val="16"/>
              </w:rPr>
            </w:pPr>
            <w:r w:rsidRPr="00983C48">
              <w:rPr>
                <w:sz w:val="16"/>
              </w:rPr>
              <w:t>Nombre de modifications apportées à la Classification de Nice</w:t>
            </w:r>
          </w:p>
        </w:tc>
        <w:tc>
          <w:tcPr>
            <w:tcW w:w="1110" w:type="pct"/>
            <w:shd w:val="clear" w:color="auto" w:fill="auto"/>
          </w:tcPr>
          <w:p w:rsidR="00784E52" w:rsidRPr="00983C48" w:rsidRDefault="00784E52" w:rsidP="001A5BF9">
            <w:pPr>
              <w:rPr>
                <w:rFonts w:cs="Arial"/>
                <w:sz w:val="16"/>
                <w:szCs w:val="16"/>
              </w:rPr>
            </w:pPr>
            <w:r w:rsidRPr="00983C48">
              <w:rPr>
                <w:sz w:val="16"/>
              </w:rPr>
              <w:t>300 modifications par an dans les deux</w:t>
            </w:r>
            <w:r w:rsidR="0010442A" w:rsidRPr="00983C48">
              <w:rPr>
                <w:sz w:val="16"/>
              </w:rPr>
              <w:t> </w:t>
            </w:r>
            <w:r w:rsidRPr="00983C48">
              <w:rPr>
                <w:sz w:val="16"/>
              </w:rPr>
              <w:t>langues (moyenne de</w:t>
            </w:r>
            <w:r w:rsidR="0010442A" w:rsidRPr="00983C48">
              <w:rPr>
                <w:sz w:val="16"/>
              </w:rPr>
              <w:t> </w:t>
            </w:r>
            <w:r w:rsidRPr="00983C48">
              <w:rPr>
                <w:sz w:val="16"/>
              </w:rPr>
              <w:t>2006</w:t>
            </w:r>
            <w:r w:rsidR="002D6F2A" w:rsidRPr="00983C48">
              <w:rPr>
                <w:sz w:val="16"/>
              </w:rPr>
              <w:noBreakHyphen/>
            </w:r>
            <w:r w:rsidRPr="00983C48">
              <w:rPr>
                <w:sz w:val="16"/>
              </w:rPr>
              <w:t>2010)</w:t>
            </w:r>
          </w:p>
        </w:tc>
        <w:tc>
          <w:tcPr>
            <w:tcW w:w="1061" w:type="pct"/>
            <w:shd w:val="clear" w:color="auto" w:fill="auto"/>
            <w:tcMar>
              <w:top w:w="110" w:type="dxa"/>
            </w:tcMar>
          </w:tcPr>
          <w:p w:rsidR="00784E52" w:rsidRPr="00983C48" w:rsidRDefault="00784E52" w:rsidP="001A5BF9">
            <w:pPr>
              <w:autoSpaceDE w:val="0"/>
              <w:autoSpaceDN w:val="0"/>
              <w:adjustRightInd w:val="0"/>
              <w:rPr>
                <w:rFonts w:cs="Arial"/>
                <w:sz w:val="16"/>
                <w:szCs w:val="16"/>
              </w:rPr>
            </w:pPr>
            <w:r w:rsidRPr="00983C48">
              <w:rPr>
                <w:sz w:val="16"/>
              </w:rPr>
              <w:t>2000 termes supplémentaires tirés de la liste de coopération trilatérale et correction de</w:t>
            </w:r>
            <w:r w:rsidR="0010442A" w:rsidRPr="00983C48">
              <w:rPr>
                <w:sz w:val="16"/>
              </w:rPr>
              <w:t> </w:t>
            </w:r>
            <w:r w:rsidRPr="00983C48">
              <w:rPr>
                <w:sz w:val="16"/>
              </w:rPr>
              <w:t>4000 termes après amélioration linguistique</w:t>
            </w:r>
          </w:p>
        </w:tc>
        <w:tc>
          <w:tcPr>
            <w:tcW w:w="1290" w:type="pct"/>
            <w:shd w:val="clear" w:color="auto" w:fill="FFFFFF"/>
            <w:tcMar>
              <w:top w:w="110" w:type="dxa"/>
            </w:tcMar>
          </w:tcPr>
          <w:p w:rsidR="00784E52" w:rsidRPr="00983C48" w:rsidRDefault="00784E52" w:rsidP="001A5BF9">
            <w:pPr>
              <w:rPr>
                <w:rFonts w:cs="Arial"/>
                <w:sz w:val="16"/>
                <w:szCs w:val="16"/>
              </w:rPr>
            </w:pPr>
            <w:r w:rsidRPr="00983C48">
              <w:rPr>
                <w:sz w:val="16"/>
              </w:rPr>
              <w:t>339 modifications en 2012</w:t>
            </w:r>
            <w:r w:rsidRPr="00983C48">
              <w:br/>
            </w:r>
            <w:r w:rsidRPr="00983C48">
              <w:rPr>
                <w:sz w:val="16"/>
              </w:rPr>
              <w:t>423 modifications en 2013</w:t>
            </w:r>
          </w:p>
        </w:tc>
        <w:tc>
          <w:tcPr>
            <w:tcW w:w="680" w:type="pct"/>
            <w:shd w:val="clear" w:color="auto" w:fill="auto"/>
            <w:tcMar>
              <w:top w:w="110" w:type="dxa"/>
            </w:tcMar>
          </w:tcPr>
          <w:p w:rsidR="00784E52" w:rsidRPr="005C7CCE" w:rsidRDefault="00784E52" w:rsidP="001A5BF9">
            <w:pPr>
              <w:keepNext/>
              <w:keepLines/>
              <w:jc w:val="center"/>
              <w:rPr>
                <w:rFonts w:cs="Arial"/>
                <w:bCs/>
                <w:color w:val="808080"/>
                <w:sz w:val="16"/>
                <w:szCs w:val="16"/>
              </w:rPr>
            </w:pPr>
            <w:r w:rsidRPr="00983C48">
              <w:rPr>
                <w:color w:val="FF0000"/>
                <w:sz w:val="16"/>
              </w:rPr>
              <w:t>Objectif pas atteint</w:t>
            </w:r>
          </w:p>
        </w:tc>
      </w:tr>
      <w:tr w:rsidR="00784E52" w:rsidRPr="005C7CCE" w:rsidTr="00D32A9C">
        <w:trPr>
          <w:cantSplit/>
        </w:trPr>
        <w:tc>
          <w:tcPr>
            <w:tcW w:w="859" w:type="pct"/>
            <w:shd w:val="clear" w:color="auto" w:fill="auto"/>
          </w:tcPr>
          <w:p w:rsidR="00784E52" w:rsidRPr="00983C48" w:rsidRDefault="00784E52" w:rsidP="001A5BF9">
            <w:pPr>
              <w:rPr>
                <w:rFonts w:cs="Arial"/>
                <w:sz w:val="16"/>
                <w:szCs w:val="16"/>
              </w:rPr>
            </w:pPr>
            <w:r w:rsidRPr="00983C48">
              <w:rPr>
                <w:sz w:val="16"/>
              </w:rPr>
              <w:t>Unification de l</w:t>
            </w:r>
            <w:r w:rsidR="00A20444" w:rsidRPr="00983C48">
              <w:rPr>
                <w:sz w:val="16"/>
              </w:rPr>
              <w:t>’</w:t>
            </w:r>
            <w:proofErr w:type="spellStart"/>
            <w:r w:rsidRPr="00983C48">
              <w:rPr>
                <w:sz w:val="16"/>
              </w:rPr>
              <w:t>ECLA</w:t>
            </w:r>
            <w:proofErr w:type="spellEnd"/>
            <w:r w:rsidRPr="00983C48">
              <w:rPr>
                <w:sz w:val="16"/>
              </w:rPr>
              <w:t xml:space="preserve"> et de la FI à l</w:t>
            </w:r>
            <w:r w:rsidR="00A20444" w:rsidRPr="00983C48">
              <w:rPr>
                <w:sz w:val="16"/>
              </w:rPr>
              <w:t>’</w:t>
            </w:r>
            <w:r w:rsidRPr="00983C48">
              <w:rPr>
                <w:sz w:val="16"/>
              </w:rPr>
              <w:t>intérieur de</w:t>
            </w:r>
            <w:r w:rsidR="00A20444" w:rsidRPr="00983C48">
              <w:rPr>
                <w:sz w:val="16"/>
              </w:rPr>
              <w:t xml:space="preserve"> la </w:t>
            </w:r>
            <w:proofErr w:type="spellStart"/>
            <w:r w:rsidR="00A20444" w:rsidRPr="00983C48">
              <w:rPr>
                <w:sz w:val="16"/>
              </w:rPr>
              <w:t>CIB</w:t>
            </w:r>
            <w:proofErr w:type="spellEnd"/>
          </w:p>
        </w:tc>
        <w:tc>
          <w:tcPr>
            <w:tcW w:w="1110" w:type="pct"/>
            <w:shd w:val="clear" w:color="auto" w:fill="auto"/>
          </w:tcPr>
          <w:p w:rsidR="00784E52" w:rsidRPr="00983C48" w:rsidRDefault="00784E52" w:rsidP="001A5BF9">
            <w:pPr>
              <w:rPr>
                <w:rFonts w:cs="Arial"/>
                <w:sz w:val="16"/>
                <w:szCs w:val="16"/>
              </w:rPr>
            </w:pPr>
            <w:r w:rsidRPr="00983C48">
              <w:rPr>
                <w:sz w:val="16"/>
              </w:rPr>
              <w:t>Publications séparées de l</w:t>
            </w:r>
            <w:r w:rsidR="00A20444" w:rsidRPr="00983C48">
              <w:rPr>
                <w:sz w:val="16"/>
              </w:rPr>
              <w:t>’</w:t>
            </w:r>
            <w:proofErr w:type="spellStart"/>
            <w:r w:rsidRPr="00983C48">
              <w:rPr>
                <w:sz w:val="16"/>
              </w:rPr>
              <w:t>ECLA</w:t>
            </w:r>
            <w:proofErr w:type="spellEnd"/>
            <w:r w:rsidRPr="00983C48">
              <w:rPr>
                <w:sz w:val="16"/>
              </w:rPr>
              <w:t xml:space="preserve"> et de la FI dans les bases de données nationales</w:t>
            </w:r>
          </w:p>
        </w:tc>
        <w:tc>
          <w:tcPr>
            <w:tcW w:w="1061" w:type="pct"/>
            <w:shd w:val="clear" w:color="auto" w:fill="auto"/>
            <w:tcMar>
              <w:top w:w="110" w:type="dxa"/>
            </w:tcMar>
          </w:tcPr>
          <w:p w:rsidR="00784E52" w:rsidRPr="00983C48" w:rsidRDefault="00784E52" w:rsidP="001A5BF9">
            <w:pPr>
              <w:rPr>
                <w:rFonts w:cs="Arial"/>
                <w:sz w:val="16"/>
                <w:szCs w:val="16"/>
                <w:lang w:bidi="th-TH"/>
              </w:rPr>
            </w:pPr>
            <w:proofErr w:type="spellStart"/>
            <w:r w:rsidRPr="00983C48">
              <w:rPr>
                <w:sz w:val="16"/>
              </w:rPr>
              <w:t>ECLA</w:t>
            </w:r>
            <w:proofErr w:type="spellEnd"/>
            <w:r w:rsidRPr="00983C48">
              <w:rPr>
                <w:sz w:val="16"/>
              </w:rPr>
              <w:t xml:space="preserve"> et FI incluses dans</w:t>
            </w:r>
            <w:r w:rsidR="00D47893" w:rsidRPr="00983C48">
              <w:rPr>
                <w:sz w:val="16"/>
              </w:rPr>
              <w:t xml:space="preserve"> </w:t>
            </w:r>
            <w:r w:rsidRPr="00983C48">
              <w:rPr>
                <w:sz w:val="16"/>
              </w:rPr>
              <w:t>les publications officielles de la </w:t>
            </w:r>
            <w:proofErr w:type="spellStart"/>
            <w:r w:rsidRPr="00983C48">
              <w:rPr>
                <w:sz w:val="16"/>
              </w:rPr>
              <w:t>CIB</w:t>
            </w:r>
            <w:proofErr w:type="spellEnd"/>
            <w:r w:rsidRPr="00983C48">
              <w:rPr>
                <w:sz w:val="16"/>
              </w:rPr>
              <w:t xml:space="preserve"> </w:t>
            </w:r>
          </w:p>
        </w:tc>
        <w:tc>
          <w:tcPr>
            <w:tcW w:w="1290" w:type="pct"/>
            <w:shd w:val="clear" w:color="auto" w:fill="FFFFFF"/>
            <w:tcMar>
              <w:top w:w="110" w:type="dxa"/>
            </w:tcMar>
          </w:tcPr>
          <w:p w:rsidR="00784E52" w:rsidRPr="00983C48" w:rsidRDefault="00784E52" w:rsidP="001A5BF9">
            <w:pPr>
              <w:rPr>
                <w:rFonts w:cs="Arial"/>
                <w:sz w:val="16"/>
                <w:szCs w:val="16"/>
              </w:rPr>
            </w:pPr>
            <w:r w:rsidRPr="00983C48">
              <w:rPr>
                <w:sz w:val="16"/>
              </w:rPr>
              <w:t>L</w:t>
            </w:r>
            <w:r w:rsidR="00A20444" w:rsidRPr="00983C48">
              <w:rPr>
                <w:sz w:val="16"/>
              </w:rPr>
              <w:t>’</w:t>
            </w:r>
            <w:r w:rsidRPr="00983C48">
              <w:rPr>
                <w:sz w:val="16"/>
              </w:rPr>
              <w:t>élaboration de la plate</w:t>
            </w:r>
            <w:r w:rsidR="002D6F2A" w:rsidRPr="00983C48">
              <w:rPr>
                <w:sz w:val="16"/>
              </w:rPr>
              <w:noBreakHyphen/>
            </w:r>
            <w:r w:rsidRPr="00983C48">
              <w:rPr>
                <w:sz w:val="16"/>
              </w:rPr>
              <w:t xml:space="preserve">forme parallèle </w:t>
            </w:r>
            <w:proofErr w:type="spellStart"/>
            <w:r w:rsidRPr="00983C48">
              <w:rPr>
                <w:sz w:val="16"/>
              </w:rPr>
              <w:t>FIPCPC</w:t>
            </w:r>
            <w:proofErr w:type="spellEnd"/>
            <w:r w:rsidRPr="00983C48">
              <w:rPr>
                <w:sz w:val="16"/>
              </w:rPr>
              <w:t xml:space="preserve"> est terminée.</w:t>
            </w:r>
            <w:r w:rsidR="0010442A" w:rsidRPr="00983C48">
              <w:rPr>
                <w:sz w:val="16"/>
              </w:rPr>
              <w:t xml:space="preserve"> </w:t>
            </w:r>
            <w:r w:rsidRPr="00983C48">
              <w:rPr>
                <w:sz w:val="16"/>
              </w:rPr>
              <w:t xml:space="preserve"> La finalisation et la rectification d</w:t>
            </w:r>
            <w:r w:rsidR="00A20444" w:rsidRPr="00983C48">
              <w:rPr>
                <w:sz w:val="16"/>
              </w:rPr>
              <w:t>’</w:t>
            </w:r>
            <w:r w:rsidRPr="00983C48">
              <w:rPr>
                <w:sz w:val="16"/>
              </w:rPr>
              <w:t>erreurs mineures ont été effectuées avant sa mise en place en avril 2014.</w:t>
            </w:r>
          </w:p>
        </w:tc>
        <w:tc>
          <w:tcPr>
            <w:tcW w:w="680" w:type="pct"/>
            <w:shd w:val="clear" w:color="auto" w:fill="auto"/>
            <w:tcMar>
              <w:top w:w="110" w:type="dxa"/>
            </w:tcMar>
          </w:tcPr>
          <w:p w:rsidR="00784E52" w:rsidRPr="005C7CCE" w:rsidRDefault="0015421B" w:rsidP="001A5BF9">
            <w:pPr>
              <w:keepNext/>
              <w:keepLines/>
              <w:jc w:val="center"/>
              <w:rPr>
                <w:rFonts w:cs="Arial"/>
                <w:bCs/>
                <w:color w:val="808080"/>
                <w:sz w:val="16"/>
                <w:szCs w:val="16"/>
              </w:rPr>
            </w:pPr>
            <w:r w:rsidRPr="0015421B">
              <w:rPr>
                <w:rStyle w:val="Style5"/>
                <w:rFonts w:ascii="Arial" w:hAnsi="Arial"/>
                <w:color w:val="E36C0A"/>
                <w:sz w:val="16"/>
              </w:rPr>
              <w:t>Objectif partiellement atteint</w:t>
            </w:r>
            <w:r w:rsidR="00784E52" w:rsidRPr="005C7CCE">
              <w:rPr>
                <w:rStyle w:val="Style5"/>
                <w:rFonts w:ascii="Arial" w:hAnsi="Arial"/>
                <w:color w:val="E36C0A"/>
                <w:sz w:val="16"/>
              </w:rPr>
              <w:t xml:space="preserve"> </w:t>
            </w:r>
          </w:p>
        </w:tc>
      </w:tr>
      <w:tr w:rsidR="00784E52" w:rsidRPr="005C7CCE" w:rsidTr="00D32A9C">
        <w:trPr>
          <w:cantSplit/>
        </w:trPr>
        <w:tc>
          <w:tcPr>
            <w:tcW w:w="859" w:type="pct"/>
            <w:shd w:val="clear" w:color="auto" w:fill="auto"/>
          </w:tcPr>
          <w:p w:rsidR="00784E52" w:rsidRPr="00983C48" w:rsidRDefault="00784E52" w:rsidP="001A5BF9">
            <w:pPr>
              <w:rPr>
                <w:rFonts w:cs="Arial"/>
                <w:sz w:val="16"/>
                <w:szCs w:val="16"/>
              </w:rPr>
            </w:pPr>
            <w:r w:rsidRPr="00983C48">
              <w:rPr>
                <w:sz w:val="16"/>
              </w:rPr>
              <w:t>Intégration dans la classification de Locarno d</w:t>
            </w:r>
            <w:r w:rsidR="00A20444" w:rsidRPr="00983C48">
              <w:rPr>
                <w:sz w:val="16"/>
              </w:rPr>
              <w:t>’</w:t>
            </w:r>
            <w:r w:rsidRPr="00983C48">
              <w:rPr>
                <w:sz w:val="16"/>
              </w:rPr>
              <w:t>un outil permettant la recherche des caractéristiques visuelles des demandes d</w:t>
            </w:r>
            <w:r w:rsidR="00A20444" w:rsidRPr="00983C48">
              <w:rPr>
                <w:sz w:val="16"/>
              </w:rPr>
              <w:t>’</w:t>
            </w:r>
            <w:r w:rsidRPr="00983C48">
              <w:rPr>
                <w:sz w:val="16"/>
              </w:rPr>
              <w:t>enregistrement des dessins et modèles</w:t>
            </w:r>
          </w:p>
        </w:tc>
        <w:tc>
          <w:tcPr>
            <w:tcW w:w="1110" w:type="pct"/>
            <w:shd w:val="clear" w:color="auto" w:fill="auto"/>
          </w:tcPr>
          <w:p w:rsidR="00784E52" w:rsidRPr="00983C48" w:rsidRDefault="00784E52" w:rsidP="001A5BF9">
            <w:pPr>
              <w:rPr>
                <w:rFonts w:cs="Arial"/>
                <w:sz w:val="16"/>
                <w:szCs w:val="16"/>
              </w:rPr>
            </w:pPr>
            <w:r w:rsidRPr="00983C48">
              <w:rPr>
                <w:sz w:val="16"/>
              </w:rPr>
              <w:t>Absence d</w:t>
            </w:r>
            <w:r w:rsidR="00A20444" w:rsidRPr="00983C48">
              <w:rPr>
                <w:sz w:val="16"/>
              </w:rPr>
              <w:t>’</w:t>
            </w:r>
            <w:r w:rsidRPr="00983C48">
              <w:rPr>
                <w:sz w:val="16"/>
              </w:rPr>
              <w:t>outil</w:t>
            </w:r>
          </w:p>
        </w:tc>
        <w:tc>
          <w:tcPr>
            <w:tcW w:w="1061" w:type="pct"/>
            <w:shd w:val="clear" w:color="auto" w:fill="auto"/>
            <w:tcMar>
              <w:top w:w="110" w:type="dxa"/>
            </w:tcMar>
          </w:tcPr>
          <w:p w:rsidR="00784E52" w:rsidRPr="00983C48" w:rsidRDefault="00784E52" w:rsidP="001A5BF9">
            <w:pPr>
              <w:rPr>
                <w:rFonts w:cs="Arial"/>
                <w:sz w:val="16"/>
                <w:szCs w:val="16"/>
                <w:lang w:bidi="th-TH"/>
              </w:rPr>
            </w:pPr>
            <w:r w:rsidRPr="00983C48">
              <w:rPr>
                <w:sz w:val="16"/>
              </w:rPr>
              <w:t>Élaboration d</w:t>
            </w:r>
            <w:r w:rsidR="00A20444" w:rsidRPr="00983C48">
              <w:rPr>
                <w:sz w:val="16"/>
              </w:rPr>
              <w:t>’</w:t>
            </w:r>
            <w:r w:rsidRPr="00983C48">
              <w:rPr>
                <w:sz w:val="16"/>
              </w:rPr>
              <w:t>un système d</w:t>
            </w:r>
            <w:r w:rsidR="00A20444" w:rsidRPr="00983C48">
              <w:rPr>
                <w:sz w:val="16"/>
              </w:rPr>
              <w:t>’</w:t>
            </w:r>
            <w:r w:rsidRPr="00983C48">
              <w:rPr>
                <w:sz w:val="16"/>
              </w:rPr>
              <w:t>indexation pour</w:t>
            </w:r>
            <w:r w:rsidR="00D47893" w:rsidRPr="00983C48">
              <w:rPr>
                <w:sz w:val="16"/>
              </w:rPr>
              <w:t xml:space="preserve"> </w:t>
            </w:r>
            <w:r w:rsidRPr="00983C48">
              <w:rPr>
                <w:sz w:val="16"/>
              </w:rPr>
              <w:t>Locarno</w:t>
            </w:r>
          </w:p>
        </w:tc>
        <w:tc>
          <w:tcPr>
            <w:tcW w:w="1290" w:type="pct"/>
            <w:shd w:val="clear" w:color="auto" w:fill="FFFFFF"/>
            <w:tcMar>
              <w:top w:w="110" w:type="dxa"/>
            </w:tcMar>
          </w:tcPr>
          <w:p w:rsidR="00784E52" w:rsidRPr="00983C48" w:rsidRDefault="00784E52" w:rsidP="001A5BF9">
            <w:pPr>
              <w:rPr>
                <w:rFonts w:cs="Arial"/>
                <w:sz w:val="16"/>
                <w:szCs w:val="16"/>
              </w:rPr>
            </w:pPr>
            <w:r w:rsidRPr="00983C48">
              <w:rPr>
                <w:sz w:val="16"/>
              </w:rPr>
              <w:t>Le groupe pilote chargé de cette élaboration ne s</w:t>
            </w:r>
            <w:r w:rsidR="00A20444" w:rsidRPr="00983C48">
              <w:rPr>
                <w:sz w:val="16"/>
              </w:rPr>
              <w:t>’</w:t>
            </w:r>
            <w:r w:rsidRPr="00983C48">
              <w:rPr>
                <w:sz w:val="16"/>
              </w:rPr>
              <w:t>est pas réuni au cours de l</w:t>
            </w:r>
            <w:r w:rsidR="00A20444" w:rsidRPr="00983C48">
              <w:rPr>
                <w:sz w:val="16"/>
              </w:rPr>
              <w:t>’</w:t>
            </w:r>
            <w:r w:rsidRPr="00983C48">
              <w:rPr>
                <w:sz w:val="16"/>
              </w:rPr>
              <w:t>exercice biennal.</w:t>
            </w:r>
          </w:p>
        </w:tc>
        <w:tc>
          <w:tcPr>
            <w:tcW w:w="680" w:type="pct"/>
            <w:shd w:val="clear" w:color="auto" w:fill="auto"/>
            <w:tcMar>
              <w:top w:w="110" w:type="dxa"/>
            </w:tcMar>
          </w:tcPr>
          <w:p w:rsidR="00784E52" w:rsidRPr="005C7CCE" w:rsidRDefault="00784E52" w:rsidP="001A5BF9">
            <w:pPr>
              <w:keepNext/>
              <w:keepLines/>
              <w:jc w:val="center"/>
              <w:rPr>
                <w:rFonts w:cs="Arial"/>
                <w:bCs/>
                <w:color w:val="808080"/>
                <w:sz w:val="16"/>
                <w:szCs w:val="16"/>
              </w:rPr>
            </w:pPr>
            <w:r w:rsidRPr="00983C48">
              <w:rPr>
                <w:color w:val="FF0000"/>
                <w:sz w:val="16"/>
              </w:rPr>
              <w:t>Objectif pas atteint</w:t>
            </w:r>
          </w:p>
        </w:tc>
      </w:tr>
      <w:tr w:rsidR="00784E52" w:rsidRPr="005C7CCE" w:rsidTr="00D32A9C">
        <w:trPr>
          <w:cantSplit/>
        </w:trPr>
        <w:tc>
          <w:tcPr>
            <w:tcW w:w="859" w:type="pct"/>
            <w:shd w:val="clear" w:color="auto" w:fill="auto"/>
          </w:tcPr>
          <w:p w:rsidR="00784E52" w:rsidRPr="00983C48" w:rsidRDefault="00784E52" w:rsidP="001A5BF9">
            <w:pPr>
              <w:rPr>
                <w:rFonts w:cs="Arial"/>
                <w:sz w:val="16"/>
                <w:szCs w:val="16"/>
              </w:rPr>
            </w:pPr>
            <w:r w:rsidRPr="00983C48">
              <w:rPr>
                <w:sz w:val="16"/>
              </w:rPr>
              <w:t>Nombre de normes modifiées et nouvelles adoptées</w:t>
            </w:r>
          </w:p>
        </w:tc>
        <w:tc>
          <w:tcPr>
            <w:tcW w:w="1110" w:type="pct"/>
            <w:shd w:val="clear" w:color="auto" w:fill="auto"/>
          </w:tcPr>
          <w:p w:rsidR="00D42474" w:rsidRDefault="00784E52" w:rsidP="001A5BF9">
            <w:pPr>
              <w:rPr>
                <w:rFonts w:cs="Arial"/>
                <w:i/>
                <w:color w:val="002060"/>
                <w:sz w:val="16"/>
                <w:szCs w:val="16"/>
              </w:rPr>
            </w:pPr>
            <w:r w:rsidRPr="005C7CCE">
              <w:rPr>
                <w:i/>
                <w:color w:val="002060"/>
                <w:sz w:val="16"/>
                <w:szCs w:val="16"/>
              </w:rPr>
              <w:t xml:space="preserve">Niveau de référence actualisé fin 2011 : </w:t>
            </w:r>
            <w:r w:rsidR="00D32A9C">
              <w:rPr>
                <w:color w:val="002060"/>
                <w:sz w:val="16"/>
                <w:szCs w:val="16"/>
              </w:rPr>
              <w:t>d</w:t>
            </w:r>
            <w:r w:rsidRPr="00D32A9C">
              <w:rPr>
                <w:color w:val="002060"/>
                <w:sz w:val="16"/>
                <w:szCs w:val="16"/>
              </w:rPr>
              <w:t>eux normes modifiées.</w:t>
            </w:r>
            <w:r w:rsidR="0010442A" w:rsidRPr="00D32A9C">
              <w:rPr>
                <w:color w:val="002060"/>
                <w:sz w:val="16"/>
                <w:szCs w:val="16"/>
              </w:rPr>
              <w:t xml:space="preserve"> </w:t>
            </w:r>
            <w:r w:rsidRPr="00D32A9C">
              <w:rPr>
                <w:color w:val="002060"/>
                <w:sz w:val="16"/>
                <w:szCs w:val="16"/>
              </w:rPr>
              <w:t xml:space="preserve"> Aucune nouvelle norme</w:t>
            </w:r>
          </w:p>
          <w:p w:rsidR="00D42474" w:rsidRDefault="00D42474" w:rsidP="001A5BF9">
            <w:pPr>
              <w:rPr>
                <w:rFonts w:cs="Arial"/>
                <w:i/>
                <w:sz w:val="16"/>
                <w:szCs w:val="16"/>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D32A9C">
              <w:rPr>
                <w:sz w:val="16"/>
              </w:rPr>
              <w:t>m</w:t>
            </w:r>
            <w:r w:rsidRPr="005C7CCE">
              <w:rPr>
                <w:sz w:val="16"/>
              </w:rPr>
              <w:t>oyenne 2010</w:t>
            </w:r>
            <w:r w:rsidR="002D6F2A" w:rsidRPr="005C7CCE">
              <w:rPr>
                <w:sz w:val="16"/>
              </w:rPr>
              <w:noBreakHyphen/>
            </w:r>
            <w:r w:rsidR="00D32A9C">
              <w:rPr>
                <w:sz w:val="16"/>
              </w:rPr>
              <w:t>2011 : à</w:t>
            </w:r>
            <w:r w:rsidR="00D47893" w:rsidRPr="005C7CCE">
              <w:rPr>
                <w:sz w:val="16"/>
              </w:rPr>
              <w:t> </w:t>
            </w:r>
            <w:r w:rsidRPr="005C7CCE">
              <w:rPr>
                <w:sz w:val="16"/>
              </w:rPr>
              <w:t>déterminer fin 2011</w:t>
            </w:r>
          </w:p>
        </w:tc>
        <w:tc>
          <w:tcPr>
            <w:tcW w:w="1061" w:type="pct"/>
            <w:shd w:val="clear" w:color="auto" w:fill="auto"/>
            <w:tcMar>
              <w:top w:w="110" w:type="dxa"/>
            </w:tcMar>
          </w:tcPr>
          <w:p w:rsidR="00784E52" w:rsidRPr="00983C48" w:rsidRDefault="00784E52" w:rsidP="001A5BF9">
            <w:pPr>
              <w:rPr>
                <w:rFonts w:cs="Arial"/>
                <w:sz w:val="16"/>
                <w:szCs w:val="16"/>
                <w:lang w:bidi="th-TH"/>
              </w:rPr>
            </w:pPr>
            <w:r w:rsidRPr="00983C48">
              <w:rPr>
                <w:sz w:val="16"/>
              </w:rPr>
              <w:t>À déterminer fin 2011</w:t>
            </w:r>
          </w:p>
        </w:tc>
        <w:tc>
          <w:tcPr>
            <w:tcW w:w="1290" w:type="pct"/>
            <w:shd w:val="clear" w:color="auto" w:fill="FFFFFF"/>
            <w:tcMar>
              <w:top w:w="110" w:type="dxa"/>
            </w:tcMar>
          </w:tcPr>
          <w:p w:rsidR="00784E52" w:rsidRPr="00983C48" w:rsidRDefault="00784E52" w:rsidP="001A5BF9">
            <w:pPr>
              <w:rPr>
                <w:rFonts w:cs="Arial"/>
                <w:sz w:val="16"/>
                <w:szCs w:val="16"/>
              </w:rPr>
            </w:pPr>
            <w:r w:rsidRPr="00983C48">
              <w:rPr>
                <w:sz w:val="16"/>
              </w:rPr>
              <w:t>Une nouvelle norme adoptée et deux</w:t>
            </w:r>
            <w:r w:rsidR="0010442A" w:rsidRPr="00983C48">
              <w:rPr>
                <w:sz w:val="16"/>
              </w:rPr>
              <w:t> </w:t>
            </w:r>
            <w:r w:rsidRPr="00983C48">
              <w:rPr>
                <w:sz w:val="16"/>
              </w:rPr>
              <w:t xml:space="preserve">modifiées en 2012. </w:t>
            </w:r>
            <w:r w:rsidR="0010442A" w:rsidRPr="00983C48">
              <w:rPr>
                <w:sz w:val="16"/>
              </w:rPr>
              <w:t xml:space="preserve"> </w:t>
            </w:r>
            <w:r w:rsidRPr="00983C48">
              <w:rPr>
                <w:sz w:val="16"/>
              </w:rPr>
              <w:t>Une norme et le glossaire modifié en 2013.</w:t>
            </w:r>
          </w:p>
        </w:tc>
        <w:tc>
          <w:tcPr>
            <w:tcW w:w="680" w:type="pct"/>
            <w:shd w:val="clear" w:color="auto" w:fill="auto"/>
            <w:tcMar>
              <w:top w:w="110" w:type="dxa"/>
            </w:tcMar>
          </w:tcPr>
          <w:p w:rsidR="00784E52" w:rsidRPr="005C7CCE" w:rsidRDefault="00784E52" w:rsidP="001A5BF9">
            <w:pPr>
              <w:keepNext/>
              <w:keepLines/>
              <w:jc w:val="center"/>
              <w:rPr>
                <w:rFonts w:cs="Arial"/>
                <w:bCs/>
                <w:color w:val="808080"/>
                <w:sz w:val="16"/>
                <w:szCs w:val="16"/>
              </w:rPr>
            </w:pPr>
            <w:r w:rsidRPr="005C7CCE">
              <w:rPr>
                <w:rStyle w:val="Style5"/>
                <w:rFonts w:ascii="Arial" w:hAnsi="Arial"/>
                <w:sz w:val="16"/>
              </w:rPr>
              <w:t>Non évaluable</w:t>
            </w:r>
          </w:p>
        </w:tc>
      </w:tr>
      <w:tr w:rsidR="00784E52" w:rsidRPr="005C7CCE" w:rsidTr="00D32A9C">
        <w:trPr>
          <w:cantSplit/>
          <w:trHeight w:hRule="exact" w:val="2430"/>
        </w:trPr>
        <w:tc>
          <w:tcPr>
            <w:tcW w:w="859" w:type="pct"/>
            <w:shd w:val="clear" w:color="auto" w:fill="auto"/>
          </w:tcPr>
          <w:p w:rsidR="00784E52" w:rsidRPr="00D32A9C" w:rsidRDefault="00784E52" w:rsidP="00D32A9C">
            <w:r w:rsidRPr="00D32A9C">
              <w:rPr>
                <w:sz w:val="16"/>
              </w:rPr>
              <w:t>Nombre d</w:t>
            </w:r>
            <w:r w:rsidR="00A20444" w:rsidRPr="00D32A9C">
              <w:rPr>
                <w:sz w:val="16"/>
              </w:rPr>
              <w:t>’</w:t>
            </w:r>
            <w:r w:rsidRPr="00D32A9C">
              <w:rPr>
                <w:sz w:val="16"/>
              </w:rPr>
              <w:t>offices se déclarant satisfaits de la formation reçue pour améliorer leurs compétences dans l</w:t>
            </w:r>
            <w:r w:rsidR="00A20444" w:rsidRPr="00D32A9C">
              <w:rPr>
                <w:sz w:val="16"/>
              </w:rPr>
              <w:t>’</w:t>
            </w:r>
            <w:r w:rsidRPr="00D32A9C">
              <w:rPr>
                <w:sz w:val="16"/>
              </w:rPr>
              <w:t>utilisation des classifications</w:t>
            </w:r>
          </w:p>
        </w:tc>
        <w:tc>
          <w:tcPr>
            <w:tcW w:w="1110" w:type="pct"/>
            <w:shd w:val="clear" w:color="auto" w:fill="auto"/>
          </w:tcPr>
          <w:p w:rsidR="00D42474" w:rsidRDefault="00784E52" w:rsidP="00D32A9C">
            <w:pPr>
              <w:rPr>
                <w:rFonts w:cs="Arial"/>
                <w:i/>
                <w:color w:val="002060"/>
                <w:sz w:val="16"/>
                <w:szCs w:val="16"/>
              </w:rPr>
            </w:pPr>
            <w:r w:rsidRPr="005C7CCE">
              <w:rPr>
                <w:i/>
                <w:color w:val="002060"/>
                <w:sz w:val="16"/>
              </w:rPr>
              <w:t xml:space="preserve">Niveau de référence actualisé fin 2011 : </w:t>
            </w:r>
            <w:r w:rsidR="00AC077A">
              <w:rPr>
                <w:color w:val="002060"/>
                <w:sz w:val="16"/>
              </w:rPr>
              <w:t>f</w:t>
            </w:r>
            <w:r w:rsidRPr="005C7CCE">
              <w:rPr>
                <w:color w:val="002060"/>
                <w:sz w:val="16"/>
              </w:rPr>
              <w:t>ondées sur cinq cours de formation, toutes les évaluations ont donné la meilleure note aux quatre questions</w:t>
            </w:r>
          </w:p>
          <w:p w:rsidR="00D42474" w:rsidRDefault="00D42474" w:rsidP="00D32A9C">
            <w:pPr>
              <w:rPr>
                <w:rFonts w:cs="Arial"/>
                <w:sz w:val="16"/>
                <w:szCs w:val="16"/>
                <w:lang w:bidi="th-TH"/>
              </w:rPr>
            </w:pPr>
          </w:p>
          <w:p w:rsidR="00784E52" w:rsidRPr="005C7CCE" w:rsidRDefault="00784E52" w:rsidP="00D32A9C">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D32A9C">
              <w:rPr>
                <w:sz w:val="16"/>
              </w:rPr>
              <w:t xml:space="preserve"> à</w:t>
            </w:r>
            <w:r w:rsidR="00D47893" w:rsidRPr="005C7CCE">
              <w:rPr>
                <w:sz w:val="16"/>
              </w:rPr>
              <w:t> </w:t>
            </w:r>
            <w:r w:rsidRPr="005C7CCE">
              <w:rPr>
                <w:sz w:val="16"/>
              </w:rPr>
              <w:t>déterminer fin 2011</w:t>
            </w:r>
          </w:p>
        </w:tc>
        <w:tc>
          <w:tcPr>
            <w:tcW w:w="1061" w:type="pct"/>
            <w:shd w:val="clear" w:color="auto" w:fill="auto"/>
            <w:tcMar>
              <w:top w:w="110" w:type="dxa"/>
            </w:tcMar>
          </w:tcPr>
          <w:p w:rsidR="00784E52" w:rsidRPr="00983C48" w:rsidRDefault="00784E52" w:rsidP="00D32A9C">
            <w:pPr>
              <w:rPr>
                <w:rFonts w:cs="Arial"/>
                <w:sz w:val="16"/>
                <w:szCs w:val="16"/>
                <w:lang w:bidi="th-TH"/>
              </w:rPr>
            </w:pPr>
            <w:r w:rsidRPr="00983C48">
              <w:rPr>
                <w:sz w:val="16"/>
              </w:rPr>
              <w:t>À déterminer fin 2011</w:t>
            </w:r>
          </w:p>
        </w:tc>
        <w:tc>
          <w:tcPr>
            <w:tcW w:w="1290" w:type="pct"/>
            <w:shd w:val="clear" w:color="auto" w:fill="FFFFFF"/>
            <w:tcMar>
              <w:top w:w="110" w:type="dxa"/>
            </w:tcMar>
          </w:tcPr>
          <w:p w:rsidR="00784E52" w:rsidRPr="00983C48" w:rsidRDefault="00784E52" w:rsidP="00D32A9C">
            <w:pPr>
              <w:rPr>
                <w:rFonts w:cs="Arial"/>
                <w:sz w:val="16"/>
                <w:szCs w:val="16"/>
              </w:rPr>
            </w:pPr>
            <w:r w:rsidRPr="00983C48">
              <w:rPr>
                <w:sz w:val="16"/>
              </w:rPr>
              <w:t>Six offices ont répondu à des enquêtes d</w:t>
            </w:r>
            <w:r w:rsidR="00A20444" w:rsidRPr="00983C48">
              <w:rPr>
                <w:sz w:val="16"/>
              </w:rPr>
              <w:t>’</w:t>
            </w:r>
            <w:r w:rsidRPr="00983C48">
              <w:rPr>
                <w:sz w:val="16"/>
              </w:rPr>
              <w:t>évaluation en indiquant qu</w:t>
            </w:r>
            <w:r w:rsidR="00A20444" w:rsidRPr="00983C48">
              <w:rPr>
                <w:sz w:val="16"/>
              </w:rPr>
              <w:t>’</w:t>
            </w:r>
            <w:r w:rsidRPr="00983C48">
              <w:rPr>
                <w:sz w:val="16"/>
              </w:rPr>
              <w:t>ils étaient “Extrêmement” ou “Totalement satisfaits” de la formation fournie.</w:t>
            </w:r>
          </w:p>
        </w:tc>
        <w:tc>
          <w:tcPr>
            <w:tcW w:w="680" w:type="pct"/>
            <w:shd w:val="clear" w:color="auto" w:fill="auto"/>
            <w:tcMar>
              <w:top w:w="110" w:type="dxa"/>
            </w:tcMar>
          </w:tcPr>
          <w:p w:rsidR="00784E52" w:rsidRPr="005C7CCE" w:rsidRDefault="00784E52" w:rsidP="00D32A9C">
            <w:pPr>
              <w:jc w:val="center"/>
              <w:rPr>
                <w:rFonts w:cs="Arial"/>
                <w:bCs/>
                <w:color w:val="808080"/>
                <w:sz w:val="16"/>
                <w:szCs w:val="16"/>
              </w:rPr>
            </w:pPr>
            <w:r w:rsidRPr="005C7CCE">
              <w:rPr>
                <w:rStyle w:val="Style5"/>
                <w:rFonts w:ascii="Arial" w:hAnsi="Arial"/>
                <w:sz w:val="16"/>
              </w:rPr>
              <w:t>Non évaluable</w:t>
            </w:r>
          </w:p>
        </w:tc>
      </w:tr>
      <w:tr w:rsidR="00784E52" w:rsidRPr="005C7CCE" w:rsidTr="00D32A9C">
        <w:trPr>
          <w:cantSplit/>
        </w:trPr>
        <w:tc>
          <w:tcPr>
            <w:tcW w:w="859" w:type="pct"/>
            <w:shd w:val="clear" w:color="auto" w:fill="auto"/>
          </w:tcPr>
          <w:p w:rsidR="00784E52" w:rsidRPr="00983C48" w:rsidRDefault="00784E52" w:rsidP="001A5BF9">
            <w:pPr>
              <w:ind w:leftChars="-1" w:left="1" w:hangingChars="2" w:hanging="3"/>
              <w:rPr>
                <w:rFonts w:cs="Arial"/>
                <w:sz w:val="16"/>
                <w:szCs w:val="16"/>
              </w:rPr>
            </w:pPr>
            <w:r w:rsidRPr="00983C48">
              <w:rPr>
                <w:sz w:val="16"/>
              </w:rPr>
              <w:t>Nombre d</w:t>
            </w:r>
            <w:r w:rsidR="00A20444" w:rsidRPr="00983C48">
              <w:rPr>
                <w:sz w:val="16"/>
              </w:rPr>
              <w:t>’</w:t>
            </w:r>
            <w:r w:rsidRPr="00983C48">
              <w:rPr>
                <w:sz w:val="16"/>
              </w:rPr>
              <w:t>utilisateurs consultant les publications sur l</w:t>
            </w:r>
            <w:r w:rsidR="00A20444" w:rsidRPr="00983C48">
              <w:rPr>
                <w:sz w:val="16"/>
              </w:rPr>
              <w:t>’</w:t>
            </w:r>
            <w:r w:rsidRPr="00983C48">
              <w:rPr>
                <w:sz w:val="16"/>
              </w:rPr>
              <w:t>Internet des classifications internationales et des normes, notamment dans les pays en développement</w:t>
            </w:r>
          </w:p>
        </w:tc>
        <w:tc>
          <w:tcPr>
            <w:tcW w:w="1110" w:type="pct"/>
            <w:shd w:val="clear" w:color="auto" w:fill="auto"/>
          </w:tcPr>
          <w:p w:rsidR="00D42474" w:rsidRDefault="00784E52" w:rsidP="001A5BF9">
            <w:pPr>
              <w:rPr>
                <w:rFonts w:cs="Arial"/>
                <w:i/>
                <w:color w:val="002060"/>
                <w:sz w:val="16"/>
                <w:szCs w:val="16"/>
              </w:rPr>
            </w:pPr>
            <w:r w:rsidRPr="005C7CCE">
              <w:rPr>
                <w:i/>
                <w:color w:val="002060"/>
                <w:sz w:val="16"/>
              </w:rPr>
              <w:t>Niveau de référence actualisé fin 2011 :</w:t>
            </w:r>
          </w:p>
          <w:p w:rsidR="00D42474" w:rsidRDefault="00784E52" w:rsidP="001A5BF9">
            <w:pPr>
              <w:rPr>
                <w:rFonts w:cs="Arial"/>
                <w:color w:val="002060"/>
                <w:sz w:val="16"/>
                <w:szCs w:val="16"/>
              </w:rPr>
            </w:pPr>
            <w:r w:rsidRPr="005C7CCE">
              <w:rPr>
                <w:color w:val="002060"/>
                <w:sz w:val="16"/>
              </w:rPr>
              <w:t>Page</w:t>
            </w:r>
            <w:r w:rsidR="0010442A" w:rsidRPr="005C7CCE">
              <w:rPr>
                <w:color w:val="002060"/>
                <w:sz w:val="16"/>
              </w:rPr>
              <w:t> </w:t>
            </w:r>
            <w:proofErr w:type="spellStart"/>
            <w:r w:rsidRPr="005C7CCE">
              <w:rPr>
                <w:color w:val="002060"/>
                <w:sz w:val="16"/>
              </w:rPr>
              <w:t>CIB</w:t>
            </w:r>
            <w:proofErr w:type="spellEnd"/>
            <w:r w:rsidRPr="005C7CCE">
              <w:rPr>
                <w:color w:val="002060"/>
                <w:sz w:val="16"/>
              </w:rPr>
              <w:t> : 341 583</w:t>
            </w:r>
          </w:p>
          <w:p w:rsidR="00D42474" w:rsidRDefault="00784E52" w:rsidP="001A5BF9">
            <w:pPr>
              <w:rPr>
                <w:rFonts w:cs="Arial"/>
                <w:color w:val="002060"/>
                <w:sz w:val="16"/>
                <w:szCs w:val="16"/>
              </w:rPr>
            </w:pPr>
            <w:r w:rsidRPr="005C7CCE">
              <w:rPr>
                <w:color w:val="002060"/>
                <w:sz w:val="16"/>
              </w:rPr>
              <w:t>Page</w:t>
            </w:r>
            <w:r w:rsidR="0010442A" w:rsidRPr="005C7CCE">
              <w:rPr>
                <w:color w:val="002060"/>
                <w:sz w:val="16"/>
              </w:rPr>
              <w:t> </w:t>
            </w:r>
            <w:r w:rsidRPr="005C7CCE">
              <w:rPr>
                <w:color w:val="002060"/>
                <w:sz w:val="16"/>
              </w:rPr>
              <w:t>Nice : 307 403</w:t>
            </w:r>
          </w:p>
          <w:p w:rsidR="00D42474" w:rsidRDefault="00784E52" w:rsidP="001A5BF9">
            <w:pPr>
              <w:rPr>
                <w:rFonts w:cs="Arial"/>
                <w:color w:val="002060"/>
                <w:sz w:val="16"/>
                <w:szCs w:val="16"/>
              </w:rPr>
            </w:pPr>
            <w:r w:rsidRPr="005C7CCE">
              <w:rPr>
                <w:color w:val="002060"/>
                <w:sz w:val="16"/>
              </w:rPr>
              <w:t>Page</w:t>
            </w:r>
            <w:r w:rsidR="0010442A" w:rsidRPr="005C7CCE">
              <w:rPr>
                <w:color w:val="002060"/>
                <w:sz w:val="16"/>
              </w:rPr>
              <w:t> </w:t>
            </w:r>
            <w:r w:rsidRPr="005C7CCE">
              <w:rPr>
                <w:color w:val="002060"/>
                <w:sz w:val="16"/>
              </w:rPr>
              <w:t>Locarno : 21 481</w:t>
            </w:r>
          </w:p>
          <w:p w:rsidR="00D42474" w:rsidRDefault="00784E52" w:rsidP="001A5BF9">
            <w:pPr>
              <w:rPr>
                <w:rFonts w:cs="Arial"/>
                <w:color w:val="002060"/>
                <w:sz w:val="16"/>
                <w:szCs w:val="16"/>
              </w:rPr>
            </w:pPr>
            <w:r w:rsidRPr="005C7CCE">
              <w:rPr>
                <w:color w:val="002060"/>
                <w:sz w:val="16"/>
              </w:rPr>
              <w:t>Page</w:t>
            </w:r>
            <w:r w:rsidR="0010442A" w:rsidRPr="005C7CCE">
              <w:rPr>
                <w:color w:val="002060"/>
                <w:sz w:val="16"/>
              </w:rPr>
              <w:t> </w:t>
            </w:r>
            <w:r w:rsidRPr="005C7CCE">
              <w:rPr>
                <w:color w:val="002060"/>
                <w:sz w:val="16"/>
              </w:rPr>
              <w:t>Vienne : 19 691</w:t>
            </w:r>
          </w:p>
          <w:p w:rsidR="00D42474" w:rsidRDefault="00784E52" w:rsidP="001A5BF9">
            <w:pPr>
              <w:rPr>
                <w:rFonts w:cs="Arial"/>
                <w:color w:val="002060"/>
                <w:sz w:val="16"/>
                <w:szCs w:val="16"/>
              </w:rPr>
            </w:pPr>
            <w:r w:rsidRPr="005C7CCE">
              <w:rPr>
                <w:color w:val="002060"/>
                <w:sz w:val="16"/>
              </w:rPr>
              <w:t xml:space="preserve">Publication </w:t>
            </w:r>
            <w:proofErr w:type="spellStart"/>
            <w:r w:rsidRPr="005C7CCE">
              <w:rPr>
                <w:color w:val="002060"/>
                <w:sz w:val="16"/>
              </w:rPr>
              <w:t>CIB</w:t>
            </w:r>
            <w:proofErr w:type="spellEnd"/>
            <w:r w:rsidRPr="005C7CCE">
              <w:rPr>
                <w:color w:val="002060"/>
                <w:sz w:val="16"/>
              </w:rPr>
              <w:t> 55 153</w:t>
            </w:r>
          </w:p>
          <w:p w:rsidR="00D42474" w:rsidRDefault="00784E52" w:rsidP="001A5BF9">
            <w:pPr>
              <w:rPr>
                <w:rFonts w:cs="Arial"/>
                <w:color w:val="002060"/>
                <w:sz w:val="16"/>
                <w:szCs w:val="16"/>
              </w:rPr>
            </w:pPr>
            <w:r w:rsidRPr="005C7CCE">
              <w:rPr>
                <w:color w:val="002060"/>
                <w:sz w:val="16"/>
              </w:rPr>
              <w:t>Normes de l</w:t>
            </w:r>
            <w:r w:rsidR="00A20444" w:rsidRPr="005C7CCE">
              <w:rPr>
                <w:color w:val="002060"/>
                <w:sz w:val="16"/>
              </w:rPr>
              <w:t>’</w:t>
            </w:r>
            <w:r w:rsidRPr="005C7CCE">
              <w:rPr>
                <w:color w:val="002060"/>
                <w:sz w:val="16"/>
              </w:rPr>
              <w:t>OMPI</w:t>
            </w:r>
          </w:p>
          <w:p w:rsidR="00D42474" w:rsidRDefault="00784E52" w:rsidP="001A5BF9">
            <w:pPr>
              <w:rPr>
                <w:rFonts w:cs="Arial"/>
                <w:color w:val="002060"/>
                <w:sz w:val="16"/>
                <w:szCs w:val="16"/>
              </w:rPr>
            </w:pPr>
            <w:r w:rsidRPr="005C7CCE">
              <w:rPr>
                <w:color w:val="002060"/>
                <w:sz w:val="16"/>
              </w:rPr>
              <w:t>(Manuel) 95 323</w:t>
            </w:r>
          </w:p>
          <w:p w:rsidR="00D42474" w:rsidRDefault="00D42474" w:rsidP="001A5BF9">
            <w:pPr>
              <w:rPr>
                <w:rFonts w:cs="Arial"/>
                <w:i/>
                <w:sz w:val="16"/>
                <w:szCs w:val="16"/>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D32A9C">
              <w:rPr>
                <w:sz w:val="16"/>
              </w:rPr>
              <w:t xml:space="preserve"> à</w:t>
            </w:r>
            <w:r w:rsidR="00D47893" w:rsidRPr="005C7CCE">
              <w:rPr>
                <w:sz w:val="16"/>
              </w:rPr>
              <w:t> </w:t>
            </w:r>
            <w:r w:rsidRPr="005C7CCE">
              <w:rPr>
                <w:sz w:val="16"/>
              </w:rPr>
              <w:t>déterminer fin 2011</w:t>
            </w:r>
          </w:p>
        </w:tc>
        <w:tc>
          <w:tcPr>
            <w:tcW w:w="1061" w:type="pct"/>
            <w:shd w:val="clear" w:color="auto" w:fill="auto"/>
            <w:tcMar>
              <w:top w:w="110" w:type="dxa"/>
            </w:tcMar>
          </w:tcPr>
          <w:p w:rsidR="00784E52" w:rsidRPr="00983C48" w:rsidRDefault="00784E52" w:rsidP="001A5BF9">
            <w:pPr>
              <w:rPr>
                <w:rFonts w:cs="Arial"/>
                <w:sz w:val="16"/>
                <w:szCs w:val="16"/>
              </w:rPr>
            </w:pPr>
            <w:r w:rsidRPr="00983C48">
              <w:rPr>
                <w:sz w:val="16"/>
              </w:rPr>
              <w:t>Hausse de 5</w:t>
            </w:r>
            <w:r w:rsidR="007E442D" w:rsidRPr="00983C48">
              <w:rPr>
                <w:sz w:val="16"/>
              </w:rPr>
              <w:t>%</w:t>
            </w:r>
            <w:r w:rsidRPr="00983C48">
              <w:rPr>
                <w:sz w:val="16"/>
              </w:rPr>
              <w:t xml:space="preserve"> par rapport au niveau de référence</w:t>
            </w:r>
          </w:p>
        </w:tc>
        <w:tc>
          <w:tcPr>
            <w:tcW w:w="1290" w:type="pct"/>
            <w:shd w:val="clear" w:color="auto" w:fill="FFFFFF"/>
            <w:tcMar>
              <w:top w:w="110" w:type="dxa"/>
            </w:tcMar>
          </w:tcPr>
          <w:p w:rsidR="00D42474" w:rsidRDefault="00784E52" w:rsidP="001A5BF9">
            <w:pPr>
              <w:rPr>
                <w:rFonts w:cs="Arial"/>
                <w:sz w:val="16"/>
                <w:szCs w:val="16"/>
                <w:u w:val="single"/>
                <w:lang w:bidi="th-TH"/>
              </w:rPr>
            </w:pPr>
            <w:r w:rsidRPr="00983C48">
              <w:rPr>
                <w:sz w:val="16"/>
                <w:u w:val="single"/>
              </w:rPr>
              <w:t>Visites 2012</w:t>
            </w:r>
            <w:r w:rsidR="002D6F2A" w:rsidRPr="00983C48">
              <w:rPr>
                <w:sz w:val="16"/>
                <w:u w:val="single"/>
              </w:rPr>
              <w:noBreakHyphen/>
            </w:r>
            <w:r w:rsidRPr="00983C48">
              <w:rPr>
                <w:sz w:val="16"/>
                <w:u w:val="single"/>
              </w:rPr>
              <w:t>2013</w:t>
            </w:r>
          </w:p>
          <w:p w:rsidR="00D42474" w:rsidRDefault="00784E52" w:rsidP="001A5BF9">
            <w:pPr>
              <w:pStyle w:val="Paragraphedeliste"/>
              <w:numPr>
                <w:ilvl w:val="0"/>
                <w:numId w:val="43"/>
              </w:numPr>
              <w:ind w:left="193" w:hanging="193"/>
              <w:rPr>
                <w:rFonts w:cs="Arial"/>
                <w:sz w:val="16"/>
                <w:szCs w:val="16"/>
                <w:lang w:bidi="th-TH"/>
              </w:rPr>
            </w:pPr>
            <w:r w:rsidRPr="00983C48">
              <w:rPr>
                <w:sz w:val="16"/>
              </w:rPr>
              <w:t>Page</w:t>
            </w:r>
            <w:r w:rsidR="0010442A" w:rsidRPr="00983C48">
              <w:rPr>
                <w:sz w:val="16"/>
              </w:rPr>
              <w:t> </w:t>
            </w:r>
            <w:proofErr w:type="spellStart"/>
            <w:r w:rsidRPr="00983C48">
              <w:rPr>
                <w:sz w:val="16"/>
              </w:rPr>
              <w:t>CIB</w:t>
            </w:r>
            <w:proofErr w:type="spellEnd"/>
            <w:r w:rsidRPr="00983C48">
              <w:rPr>
                <w:sz w:val="16"/>
              </w:rPr>
              <w:t> : 370 215/387 093</w:t>
            </w:r>
          </w:p>
          <w:p w:rsidR="00D42474" w:rsidRDefault="00784E52" w:rsidP="001A5BF9">
            <w:pPr>
              <w:pStyle w:val="Paragraphedeliste"/>
              <w:numPr>
                <w:ilvl w:val="0"/>
                <w:numId w:val="43"/>
              </w:numPr>
              <w:ind w:left="193" w:hanging="193"/>
              <w:rPr>
                <w:rFonts w:cs="Arial"/>
                <w:sz w:val="16"/>
                <w:szCs w:val="16"/>
                <w:lang w:bidi="th-TH"/>
              </w:rPr>
            </w:pPr>
            <w:r w:rsidRPr="00983C48">
              <w:rPr>
                <w:sz w:val="16"/>
              </w:rPr>
              <w:t>Page</w:t>
            </w:r>
            <w:r w:rsidR="0010442A" w:rsidRPr="00983C48">
              <w:rPr>
                <w:sz w:val="16"/>
              </w:rPr>
              <w:t> </w:t>
            </w:r>
            <w:r w:rsidRPr="00983C48">
              <w:rPr>
                <w:sz w:val="16"/>
              </w:rPr>
              <w:t>NICE : 409 458/533 846</w:t>
            </w:r>
          </w:p>
          <w:p w:rsidR="00D42474" w:rsidRDefault="00784E52" w:rsidP="001A5BF9">
            <w:pPr>
              <w:pStyle w:val="Paragraphedeliste"/>
              <w:numPr>
                <w:ilvl w:val="0"/>
                <w:numId w:val="43"/>
              </w:numPr>
              <w:ind w:left="193" w:hanging="193"/>
              <w:rPr>
                <w:rFonts w:cs="Arial"/>
                <w:sz w:val="16"/>
                <w:szCs w:val="16"/>
                <w:lang w:bidi="th-TH"/>
              </w:rPr>
            </w:pPr>
            <w:r w:rsidRPr="00983C48">
              <w:rPr>
                <w:sz w:val="16"/>
              </w:rPr>
              <w:t>Page</w:t>
            </w:r>
            <w:r w:rsidR="0010442A" w:rsidRPr="00983C48">
              <w:rPr>
                <w:sz w:val="16"/>
              </w:rPr>
              <w:t> </w:t>
            </w:r>
            <w:r w:rsidRPr="00983C48">
              <w:rPr>
                <w:sz w:val="16"/>
              </w:rPr>
              <w:t>LOCARNO : 27 327/36 727</w:t>
            </w:r>
          </w:p>
          <w:p w:rsidR="00D42474" w:rsidRDefault="00784E52" w:rsidP="001A5BF9">
            <w:pPr>
              <w:pStyle w:val="Paragraphedeliste"/>
              <w:numPr>
                <w:ilvl w:val="0"/>
                <w:numId w:val="43"/>
              </w:numPr>
              <w:ind w:left="193" w:hanging="193"/>
              <w:rPr>
                <w:rFonts w:cs="Arial"/>
                <w:sz w:val="16"/>
                <w:szCs w:val="16"/>
                <w:lang w:bidi="th-TH"/>
              </w:rPr>
            </w:pPr>
            <w:r w:rsidRPr="00983C48">
              <w:rPr>
                <w:sz w:val="16"/>
              </w:rPr>
              <w:t>Page</w:t>
            </w:r>
            <w:r w:rsidR="0010442A" w:rsidRPr="00983C48">
              <w:rPr>
                <w:sz w:val="16"/>
              </w:rPr>
              <w:t> </w:t>
            </w:r>
            <w:r w:rsidRPr="00983C48">
              <w:rPr>
                <w:sz w:val="16"/>
              </w:rPr>
              <w:t>VIENNE : 25 703/32 416</w:t>
            </w:r>
          </w:p>
          <w:p w:rsidR="00D42474" w:rsidRDefault="00784E52" w:rsidP="001A5BF9">
            <w:pPr>
              <w:pStyle w:val="Paragraphedeliste"/>
              <w:numPr>
                <w:ilvl w:val="0"/>
                <w:numId w:val="43"/>
              </w:numPr>
              <w:ind w:left="193" w:hanging="193"/>
              <w:rPr>
                <w:rFonts w:cs="Arial"/>
                <w:sz w:val="16"/>
                <w:szCs w:val="16"/>
                <w:lang w:bidi="th-TH"/>
              </w:rPr>
            </w:pPr>
            <w:r w:rsidRPr="00983C48">
              <w:rPr>
                <w:sz w:val="16"/>
              </w:rPr>
              <w:t xml:space="preserve">Publication </w:t>
            </w:r>
            <w:proofErr w:type="spellStart"/>
            <w:r w:rsidRPr="00983C48">
              <w:rPr>
                <w:sz w:val="16"/>
              </w:rPr>
              <w:t>CIB</w:t>
            </w:r>
            <w:proofErr w:type="spellEnd"/>
            <w:r w:rsidRPr="00983C48">
              <w:rPr>
                <w:sz w:val="16"/>
              </w:rPr>
              <w:t> : 66 628/79 005 (extrapolé à partir des données de janvier à mai 2013)</w:t>
            </w:r>
          </w:p>
          <w:p w:rsidR="00784E52" w:rsidRPr="00983C48" w:rsidRDefault="00784E52" w:rsidP="001A5BF9">
            <w:pPr>
              <w:pStyle w:val="Paragraphedeliste"/>
              <w:numPr>
                <w:ilvl w:val="0"/>
                <w:numId w:val="43"/>
              </w:numPr>
              <w:ind w:left="193" w:hanging="193"/>
              <w:rPr>
                <w:rFonts w:cs="Arial"/>
              </w:rPr>
            </w:pPr>
            <w:r w:rsidRPr="00983C48">
              <w:rPr>
                <w:sz w:val="16"/>
              </w:rPr>
              <w:t>Normes de l</w:t>
            </w:r>
            <w:r w:rsidR="00A20444" w:rsidRPr="00983C48">
              <w:rPr>
                <w:sz w:val="16"/>
              </w:rPr>
              <w:t>’</w:t>
            </w:r>
            <w:r w:rsidRPr="00983C48">
              <w:rPr>
                <w:sz w:val="16"/>
              </w:rPr>
              <w:t>OMPI (Manuel) : 90 189</w:t>
            </w:r>
            <w:r w:rsidRPr="00983C48">
              <w:t>/</w:t>
            </w:r>
            <w:r w:rsidRPr="00983C48">
              <w:rPr>
                <w:sz w:val="16"/>
              </w:rPr>
              <w:t>94 463</w:t>
            </w:r>
          </w:p>
        </w:tc>
        <w:tc>
          <w:tcPr>
            <w:tcW w:w="680" w:type="pct"/>
            <w:shd w:val="clear" w:color="auto" w:fill="auto"/>
            <w:tcMar>
              <w:top w:w="110" w:type="dxa"/>
            </w:tcMar>
          </w:tcPr>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bl>
    <w:p w:rsidR="00D42474" w:rsidRDefault="00D42474" w:rsidP="001A5BF9"/>
    <w:p w:rsidR="00D42474" w:rsidRDefault="00D42474" w:rsidP="00D32A9C"/>
    <w:p w:rsidR="00D42474" w:rsidRDefault="00D42474" w:rsidP="00D32A9C"/>
    <w:p w:rsidR="00D42474" w:rsidRDefault="00784E52" w:rsidP="00D32A9C">
      <w:r w:rsidRPr="00866763">
        <w:rPr>
          <w:sz w:val="22"/>
        </w:rPr>
        <w:t>BUDGET ET DÉPENSES EFFECTIVES</w:t>
      </w:r>
    </w:p>
    <w:p w:rsidR="00D42474" w:rsidRDefault="00D42474" w:rsidP="00D32A9C">
      <w:pPr>
        <w:rPr>
          <w:rFonts w:cs="Arial"/>
          <w:szCs w:val="22"/>
        </w:rPr>
      </w:pPr>
    </w:p>
    <w:p w:rsidR="00D42474" w:rsidRDefault="00784E52" w:rsidP="001A5BF9">
      <w:pPr>
        <w:pStyle w:val="NormalWeb"/>
        <w:spacing w:before="0" w:beforeAutospacing="0" w:after="0" w:afterAutospacing="0"/>
        <w:jc w:val="center"/>
        <w:rPr>
          <w:sz w:val="20"/>
        </w:rPr>
      </w:pPr>
      <w:r w:rsidRPr="00D32A9C">
        <w:rPr>
          <w:sz w:val="20"/>
        </w:rPr>
        <w:t>Budget et dépenses effectives (par résultat)</w:t>
      </w:r>
    </w:p>
    <w:p w:rsidR="00D42474" w:rsidRDefault="00784E52" w:rsidP="001A5BF9">
      <w:pPr>
        <w:pStyle w:val="NormalWeb"/>
        <w:spacing w:before="0" w:beforeAutospacing="0" w:after="0" w:afterAutospacing="0"/>
        <w:jc w:val="center"/>
        <w:rPr>
          <w:sz w:val="20"/>
          <w:szCs w:val="20"/>
        </w:rPr>
      </w:pPr>
      <w:r w:rsidRPr="00D32A9C">
        <w:rPr>
          <w:i/>
          <w:sz w:val="20"/>
        </w:rPr>
        <w:t>(</w:t>
      </w:r>
      <w:proofErr w:type="gramStart"/>
      <w:r w:rsidRPr="00D32A9C">
        <w:rPr>
          <w:i/>
          <w:sz w:val="20"/>
        </w:rPr>
        <w:t>en</w:t>
      </w:r>
      <w:proofErr w:type="gramEnd"/>
      <w:r w:rsidRPr="00D32A9C">
        <w:rPr>
          <w:i/>
          <w:sz w:val="20"/>
        </w:rPr>
        <w:t xml:space="preserve"> milliers de francs suisses)</w:t>
      </w:r>
    </w:p>
    <w:p w:rsidR="00784E52" w:rsidRPr="00D32A9C" w:rsidRDefault="00784E52" w:rsidP="001A5BF9">
      <w:pPr>
        <w:rPr>
          <w:rFonts w:cs="Arial"/>
          <w:b/>
          <w:bCs/>
          <w:sz w:val="18"/>
          <w:szCs w:val="18"/>
        </w:rPr>
      </w:pPr>
    </w:p>
    <w:tbl>
      <w:tblPr>
        <w:tblW w:w="0" w:type="auto"/>
        <w:tblInd w:w="103" w:type="dxa"/>
        <w:tblLayout w:type="fixed"/>
        <w:tblLook w:val="04A0" w:firstRow="1" w:lastRow="0" w:firstColumn="1" w:lastColumn="0" w:noHBand="0" w:noVBand="1"/>
      </w:tblPr>
      <w:tblGrid>
        <w:gridCol w:w="537"/>
        <w:gridCol w:w="4855"/>
        <w:gridCol w:w="1323"/>
        <w:gridCol w:w="1370"/>
        <w:gridCol w:w="1276"/>
      </w:tblGrid>
      <w:tr w:rsidR="00784E52" w:rsidRPr="00D32A9C" w:rsidTr="00D47893">
        <w:tc>
          <w:tcPr>
            <w:tcW w:w="5392"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D32A9C" w:rsidRDefault="00784E52" w:rsidP="001A5BF9">
            <w:pPr>
              <w:spacing w:before="120" w:after="120"/>
              <w:jc w:val="center"/>
              <w:rPr>
                <w:rFonts w:cs="Arial"/>
                <w:bCs/>
                <w:sz w:val="16"/>
                <w:szCs w:val="16"/>
              </w:rPr>
            </w:pPr>
            <w:r w:rsidRPr="00D32A9C">
              <w:rPr>
                <w:sz w:val="16"/>
              </w:rPr>
              <w:t>Numéro et description du résultat escompté</w:t>
            </w:r>
          </w:p>
        </w:tc>
        <w:tc>
          <w:tcPr>
            <w:tcW w:w="1323" w:type="dxa"/>
            <w:tcBorders>
              <w:top w:val="single" w:sz="4" w:space="0" w:color="auto"/>
              <w:left w:val="nil"/>
              <w:bottom w:val="single" w:sz="4" w:space="0" w:color="auto"/>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Budget</w:t>
            </w:r>
            <w:r w:rsidRPr="00D32A9C">
              <w:br/>
            </w:r>
            <w:r w:rsidRPr="00D32A9C">
              <w:rPr>
                <w:sz w:val="16"/>
              </w:rPr>
              <w:t>2012–2013</w:t>
            </w:r>
            <w:r w:rsidRPr="00D32A9C">
              <w:br/>
            </w:r>
            <w:r w:rsidRPr="00D32A9C">
              <w:rPr>
                <w:sz w:val="16"/>
              </w:rPr>
              <w:t>approuvé</w:t>
            </w:r>
          </w:p>
        </w:tc>
        <w:tc>
          <w:tcPr>
            <w:tcW w:w="1370" w:type="dxa"/>
            <w:tcBorders>
              <w:top w:val="single" w:sz="4" w:space="0" w:color="auto"/>
              <w:left w:val="nil"/>
              <w:bottom w:val="single" w:sz="4" w:space="0" w:color="auto"/>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Budget</w:t>
            </w:r>
            <w:r w:rsidRPr="00D32A9C">
              <w:br/>
            </w:r>
            <w:r w:rsidRPr="00D32A9C">
              <w:rPr>
                <w:sz w:val="16"/>
              </w:rPr>
              <w:t>2012</w:t>
            </w:r>
            <w:r w:rsidR="002D6F2A" w:rsidRPr="00D32A9C">
              <w:rPr>
                <w:sz w:val="16"/>
              </w:rPr>
              <w:noBreakHyphen/>
            </w:r>
            <w:r w:rsidRPr="00D32A9C">
              <w:rPr>
                <w:sz w:val="16"/>
              </w:rPr>
              <w:t>2013</w:t>
            </w:r>
            <w:r w:rsidRPr="00D32A9C">
              <w:br/>
            </w:r>
            <w:r w:rsidRPr="00D32A9C">
              <w:rPr>
                <w:sz w:val="16"/>
              </w:rPr>
              <w:t>après virements</w:t>
            </w:r>
          </w:p>
        </w:tc>
        <w:tc>
          <w:tcPr>
            <w:tcW w:w="1276" w:type="dxa"/>
            <w:tcBorders>
              <w:top w:val="single" w:sz="4" w:space="0" w:color="auto"/>
              <w:left w:val="nil"/>
              <w:bottom w:val="single" w:sz="4" w:space="0" w:color="auto"/>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Dépenses</w:t>
            </w:r>
            <w:r w:rsidRPr="00D32A9C">
              <w:br/>
            </w:r>
            <w:r w:rsidRPr="00D32A9C">
              <w:rPr>
                <w:sz w:val="16"/>
              </w:rPr>
              <w:t>2012</w:t>
            </w:r>
            <w:r w:rsidR="002D6F2A" w:rsidRPr="00D32A9C">
              <w:rPr>
                <w:sz w:val="16"/>
              </w:rPr>
              <w:noBreakHyphen/>
            </w:r>
            <w:r w:rsidRPr="00D32A9C">
              <w:rPr>
                <w:sz w:val="16"/>
              </w:rPr>
              <w:t>2013</w:t>
            </w:r>
          </w:p>
        </w:tc>
      </w:tr>
      <w:tr w:rsidR="00784E52" w:rsidRPr="00D32A9C" w:rsidTr="00D47893">
        <w:tc>
          <w:tcPr>
            <w:tcW w:w="537" w:type="dxa"/>
            <w:tcBorders>
              <w:top w:val="nil"/>
              <w:left w:val="single" w:sz="4" w:space="0" w:color="auto"/>
              <w:bottom w:val="single" w:sz="4" w:space="0" w:color="auto"/>
              <w:right w:val="nil"/>
            </w:tcBorders>
            <w:shd w:val="clear" w:color="000000" w:fill="FFFFFF"/>
            <w:noWrap/>
          </w:tcPr>
          <w:p w:rsidR="00784E52" w:rsidRPr="00D32A9C" w:rsidRDefault="00784E52" w:rsidP="001A5BF9">
            <w:pPr>
              <w:spacing w:before="120" w:after="120"/>
              <w:jc w:val="center"/>
              <w:rPr>
                <w:rFonts w:cs="Arial"/>
                <w:sz w:val="16"/>
                <w:szCs w:val="16"/>
              </w:rPr>
            </w:pPr>
            <w:proofErr w:type="spellStart"/>
            <w:r w:rsidRPr="00D32A9C">
              <w:rPr>
                <w:sz w:val="16"/>
              </w:rPr>
              <w:t>IV.1</w:t>
            </w:r>
            <w:proofErr w:type="spellEnd"/>
          </w:p>
        </w:tc>
        <w:tc>
          <w:tcPr>
            <w:tcW w:w="4855" w:type="dxa"/>
            <w:tcBorders>
              <w:top w:val="nil"/>
              <w:left w:val="nil"/>
              <w:bottom w:val="single" w:sz="4" w:space="0" w:color="auto"/>
              <w:right w:val="nil"/>
            </w:tcBorders>
            <w:shd w:val="clear" w:color="000000" w:fill="FFFFFF"/>
          </w:tcPr>
          <w:p w:rsidR="00784E52" w:rsidRPr="00D32A9C" w:rsidRDefault="00784E52" w:rsidP="001A5BF9">
            <w:pPr>
              <w:spacing w:before="120" w:after="120"/>
              <w:rPr>
                <w:rFonts w:cs="Arial"/>
                <w:sz w:val="16"/>
                <w:szCs w:val="16"/>
              </w:rPr>
            </w:pPr>
            <w:r w:rsidRPr="00D32A9C">
              <w:rPr>
                <w:sz w:val="16"/>
              </w:rPr>
              <w:t>Système actualisé et mondialement accepté des classifications internationales et des normes de l</w:t>
            </w:r>
            <w:r w:rsidR="00A20444" w:rsidRPr="00D32A9C">
              <w:rPr>
                <w:sz w:val="16"/>
              </w:rPr>
              <w:t>’</w:t>
            </w:r>
            <w:r w:rsidRPr="00D32A9C">
              <w:rPr>
                <w:sz w:val="16"/>
              </w:rPr>
              <w:t>OMPI pour faciliter l</w:t>
            </w:r>
            <w:r w:rsidR="00A20444" w:rsidRPr="00D32A9C">
              <w:rPr>
                <w:sz w:val="16"/>
              </w:rPr>
              <w:t>’</w:t>
            </w:r>
            <w:r w:rsidRPr="00D32A9C">
              <w:rPr>
                <w:sz w:val="16"/>
              </w:rPr>
              <w:t>accès des parties prenantes du monde entier à l</w:t>
            </w:r>
            <w:r w:rsidR="00A20444" w:rsidRPr="00D32A9C">
              <w:rPr>
                <w:sz w:val="16"/>
              </w:rPr>
              <w:t>’</w:t>
            </w:r>
            <w:r w:rsidRPr="00D32A9C">
              <w:rPr>
                <w:sz w:val="16"/>
              </w:rPr>
              <w:t>information en matière de propriété intellectuelle, ainsi que son utilisation et sa diffusion</w:t>
            </w:r>
          </w:p>
        </w:tc>
        <w:tc>
          <w:tcPr>
            <w:tcW w:w="1323" w:type="dxa"/>
            <w:tcBorders>
              <w:top w:val="nil"/>
              <w:left w:val="nil"/>
              <w:bottom w:val="single" w:sz="4" w:space="0" w:color="auto"/>
              <w:right w:val="nil"/>
            </w:tcBorders>
            <w:shd w:val="clear" w:color="000000" w:fill="FFFFFF"/>
            <w:vAlign w:val="center"/>
          </w:tcPr>
          <w:p w:rsidR="00784E52" w:rsidRPr="00D32A9C" w:rsidRDefault="00784E52" w:rsidP="001A5BF9">
            <w:pPr>
              <w:spacing w:before="120" w:after="120"/>
              <w:jc w:val="right"/>
              <w:rPr>
                <w:rFonts w:cs="Arial"/>
                <w:sz w:val="16"/>
                <w:szCs w:val="16"/>
              </w:rPr>
            </w:pPr>
            <w:r w:rsidRPr="00D32A9C">
              <w:rPr>
                <w:sz w:val="16"/>
              </w:rPr>
              <w:t>6 932</w:t>
            </w:r>
          </w:p>
        </w:tc>
        <w:tc>
          <w:tcPr>
            <w:tcW w:w="1370" w:type="dxa"/>
            <w:tcBorders>
              <w:top w:val="nil"/>
              <w:left w:val="nil"/>
              <w:bottom w:val="single" w:sz="4" w:space="0" w:color="auto"/>
              <w:right w:val="nil"/>
            </w:tcBorders>
            <w:shd w:val="clear" w:color="000000" w:fill="FFFFFF"/>
            <w:vAlign w:val="center"/>
          </w:tcPr>
          <w:p w:rsidR="00784E52" w:rsidRPr="00D32A9C" w:rsidRDefault="00784E52" w:rsidP="001A5BF9">
            <w:pPr>
              <w:spacing w:before="120" w:after="120"/>
              <w:jc w:val="right"/>
              <w:rPr>
                <w:rFonts w:cs="Arial"/>
                <w:sz w:val="16"/>
                <w:szCs w:val="16"/>
              </w:rPr>
            </w:pPr>
            <w:r w:rsidRPr="00D32A9C">
              <w:rPr>
                <w:sz w:val="16"/>
              </w:rPr>
              <w:t>7 291</w:t>
            </w:r>
          </w:p>
        </w:tc>
        <w:tc>
          <w:tcPr>
            <w:tcW w:w="1276" w:type="dxa"/>
            <w:tcBorders>
              <w:top w:val="nil"/>
              <w:left w:val="nil"/>
              <w:bottom w:val="single" w:sz="4" w:space="0" w:color="auto"/>
              <w:right w:val="single" w:sz="4" w:space="0" w:color="auto"/>
            </w:tcBorders>
            <w:shd w:val="clear" w:color="000000" w:fill="FFFFFF"/>
            <w:vAlign w:val="center"/>
          </w:tcPr>
          <w:p w:rsidR="00784E52" w:rsidRPr="00D32A9C" w:rsidRDefault="00784E52" w:rsidP="001A5BF9">
            <w:pPr>
              <w:spacing w:before="120" w:after="120"/>
              <w:jc w:val="right"/>
              <w:rPr>
                <w:rFonts w:cs="Arial"/>
                <w:sz w:val="16"/>
                <w:szCs w:val="16"/>
              </w:rPr>
            </w:pPr>
            <w:r w:rsidRPr="00D32A9C">
              <w:rPr>
                <w:sz w:val="16"/>
              </w:rPr>
              <w:t>7 196</w:t>
            </w:r>
          </w:p>
        </w:tc>
      </w:tr>
      <w:tr w:rsidR="00784E52" w:rsidRPr="00D32A9C" w:rsidTr="00D47893">
        <w:tc>
          <w:tcPr>
            <w:tcW w:w="537" w:type="dxa"/>
            <w:tcBorders>
              <w:top w:val="nil"/>
              <w:left w:val="single" w:sz="4" w:space="0" w:color="auto"/>
              <w:bottom w:val="single" w:sz="4" w:space="0" w:color="auto"/>
              <w:right w:val="nil"/>
            </w:tcBorders>
            <w:shd w:val="clear" w:color="000000" w:fill="CCFFFF"/>
            <w:noWrap/>
            <w:vAlign w:val="bottom"/>
          </w:tcPr>
          <w:p w:rsidR="00784E52" w:rsidRPr="00D32A9C" w:rsidRDefault="00784E52" w:rsidP="001A5BF9">
            <w:pPr>
              <w:spacing w:before="120" w:after="120"/>
              <w:jc w:val="center"/>
              <w:rPr>
                <w:rFonts w:cs="Arial"/>
                <w:b/>
                <w:bCs/>
                <w:sz w:val="16"/>
                <w:szCs w:val="16"/>
              </w:rPr>
            </w:pPr>
            <w:r w:rsidRPr="00D32A9C">
              <w:rPr>
                <w:b/>
                <w:sz w:val="16"/>
              </w:rPr>
              <w:t> </w:t>
            </w:r>
          </w:p>
        </w:tc>
        <w:tc>
          <w:tcPr>
            <w:tcW w:w="4855" w:type="dxa"/>
            <w:tcBorders>
              <w:top w:val="nil"/>
              <w:left w:val="nil"/>
              <w:bottom w:val="single" w:sz="4" w:space="0" w:color="auto"/>
              <w:right w:val="nil"/>
            </w:tcBorders>
            <w:shd w:val="clear" w:color="000000" w:fill="CCFFFF"/>
            <w:noWrap/>
            <w:vAlign w:val="center"/>
          </w:tcPr>
          <w:p w:rsidR="00784E52" w:rsidRPr="00D32A9C" w:rsidRDefault="00784E52" w:rsidP="001A5BF9">
            <w:pPr>
              <w:spacing w:before="120" w:after="120"/>
              <w:rPr>
                <w:rFonts w:cs="Arial"/>
                <w:b/>
                <w:bCs/>
                <w:sz w:val="16"/>
                <w:szCs w:val="16"/>
              </w:rPr>
            </w:pPr>
            <w:r w:rsidRPr="00D32A9C">
              <w:rPr>
                <w:b/>
                <w:sz w:val="16"/>
              </w:rPr>
              <w:t>Total</w:t>
            </w:r>
          </w:p>
        </w:tc>
        <w:tc>
          <w:tcPr>
            <w:tcW w:w="1323" w:type="dxa"/>
            <w:tcBorders>
              <w:top w:val="nil"/>
              <w:left w:val="single" w:sz="4" w:space="0" w:color="auto"/>
              <w:bottom w:val="single" w:sz="4" w:space="0" w:color="auto"/>
              <w:right w:val="single" w:sz="4" w:space="0" w:color="auto"/>
            </w:tcBorders>
            <w:shd w:val="clear" w:color="000000" w:fill="CCFFFF"/>
            <w:vAlign w:val="center"/>
          </w:tcPr>
          <w:p w:rsidR="00784E52" w:rsidRPr="00D32A9C" w:rsidRDefault="00784E52" w:rsidP="001A5BF9">
            <w:pPr>
              <w:spacing w:before="120" w:after="120"/>
              <w:jc w:val="right"/>
              <w:rPr>
                <w:rFonts w:cs="Arial"/>
                <w:b/>
                <w:bCs/>
                <w:sz w:val="16"/>
                <w:szCs w:val="16"/>
              </w:rPr>
            </w:pPr>
            <w:r w:rsidRPr="00D32A9C">
              <w:rPr>
                <w:b/>
                <w:sz w:val="16"/>
              </w:rPr>
              <w:t>6 932</w:t>
            </w:r>
          </w:p>
        </w:tc>
        <w:tc>
          <w:tcPr>
            <w:tcW w:w="1370" w:type="dxa"/>
            <w:tcBorders>
              <w:top w:val="nil"/>
              <w:left w:val="nil"/>
              <w:bottom w:val="single" w:sz="4" w:space="0" w:color="auto"/>
              <w:right w:val="single" w:sz="4" w:space="0" w:color="auto"/>
            </w:tcBorders>
            <w:shd w:val="clear" w:color="000000" w:fill="CCFFFF"/>
            <w:noWrap/>
            <w:vAlign w:val="center"/>
          </w:tcPr>
          <w:p w:rsidR="00784E52" w:rsidRPr="00D32A9C" w:rsidRDefault="00784E52" w:rsidP="001A5BF9">
            <w:pPr>
              <w:spacing w:before="120" w:after="120"/>
              <w:jc w:val="right"/>
              <w:rPr>
                <w:rFonts w:cs="Arial"/>
                <w:b/>
                <w:bCs/>
                <w:sz w:val="16"/>
                <w:szCs w:val="16"/>
              </w:rPr>
            </w:pPr>
            <w:r w:rsidRPr="00D32A9C">
              <w:rPr>
                <w:b/>
                <w:sz w:val="16"/>
              </w:rPr>
              <w:t>7 291</w:t>
            </w:r>
          </w:p>
        </w:tc>
        <w:tc>
          <w:tcPr>
            <w:tcW w:w="1276" w:type="dxa"/>
            <w:tcBorders>
              <w:top w:val="nil"/>
              <w:left w:val="nil"/>
              <w:bottom w:val="single" w:sz="4" w:space="0" w:color="auto"/>
              <w:right w:val="single" w:sz="4" w:space="0" w:color="auto"/>
            </w:tcBorders>
            <w:shd w:val="clear" w:color="000000" w:fill="CCFFFF"/>
            <w:vAlign w:val="center"/>
          </w:tcPr>
          <w:p w:rsidR="00784E52" w:rsidRPr="00D32A9C" w:rsidRDefault="00784E52" w:rsidP="001A5BF9">
            <w:pPr>
              <w:spacing w:before="120" w:after="120"/>
              <w:jc w:val="right"/>
              <w:rPr>
                <w:rFonts w:cs="Arial"/>
                <w:b/>
                <w:bCs/>
                <w:sz w:val="16"/>
                <w:szCs w:val="16"/>
              </w:rPr>
            </w:pPr>
            <w:r w:rsidRPr="00D32A9C">
              <w:rPr>
                <w:b/>
                <w:sz w:val="16"/>
              </w:rPr>
              <w:t>7 196</w:t>
            </w:r>
          </w:p>
        </w:tc>
      </w:tr>
    </w:tbl>
    <w:p w:rsidR="00D42474" w:rsidRDefault="00D42474" w:rsidP="001A5BF9">
      <w:pPr>
        <w:rPr>
          <w:rFonts w:cs="Arial"/>
          <w:b/>
          <w:bCs/>
          <w:sz w:val="18"/>
          <w:szCs w:val="18"/>
        </w:rPr>
      </w:pPr>
    </w:p>
    <w:p w:rsidR="00D42474" w:rsidRDefault="00D42474" w:rsidP="001A5BF9"/>
    <w:p w:rsidR="00D42474" w:rsidRDefault="00784E52" w:rsidP="001A5BF9">
      <w:pPr>
        <w:pStyle w:val="NormalWeb"/>
        <w:spacing w:before="0" w:beforeAutospacing="0" w:after="0" w:afterAutospacing="0"/>
        <w:jc w:val="center"/>
        <w:rPr>
          <w:sz w:val="20"/>
        </w:rPr>
      </w:pPr>
      <w:r w:rsidRPr="00D32A9C">
        <w:rPr>
          <w:sz w:val="20"/>
        </w:rPr>
        <w:t xml:space="preserve">Budget et dépenses effectives (dépenses de </w:t>
      </w:r>
      <w:proofErr w:type="gramStart"/>
      <w:r w:rsidRPr="00D32A9C">
        <w:rPr>
          <w:sz w:val="20"/>
        </w:rPr>
        <w:t>personnel et autres dépenses</w:t>
      </w:r>
      <w:proofErr w:type="gramEnd"/>
      <w:r w:rsidRPr="00D32A9C">
        <w:rPr>
          <w:sz w:val="20"/>
        </w:rPr>
        <w:t>)</w:t>
      </w:r>
    </w:p>
    <w:p w:rsidR="00D42474" w:rsidRDefault="00784E52" w:rsidP="001A5BF9">
      <w:pPr>
        <w:pStyle w:val="NormalWeb"/>
        <w:spacing w:before="0" w:beforeAutospacing="0" w:after="0" w:afterAutospacing="0"/>
        <w:jc w:val="center"/>
        <w:rPr>
          <w:sz w:val="20"/>
          <w:szCs w:val="20"/>
        </w:rPr>
      </w:pPr>
      <w:r w:rsidRPr="00D32A9C">
        <w:rPr>
          <w:i/>
          <w:sz w:val="20"/>
        </w:rPr>
        <w:t>(</w:t>
      </w:r>
      <w:proofErr w:type="gramStart"/>
      <w:r w:rsidRPr="00D32A9C">
        <w:rPr>
          <w:i/>
          <w:sz w:val="20"/>
        </w:rPr>
        <w:t>en</w:t>
      </w:r>
      <w:proofErr w:type="gramEnd"/>
      <w:r w:rsidRPr="00D32A9C">
        <w:rPr>
          <w:i/>
          <w:sz w:val="20"/>
        </w:rPr>
        <w:t xml:space="preserve"> milliers de francs suisses)</w:t>
      </w:r>
    </w:p>
    <w:p w:rsidR="00784E52" w:rsidRPr="00D32A9C" w:rsidRDefault="00784E52" w:rsidP="001A5BF9"/>
    <w:tbl>
      <w:tblPr>
        <w:tblW w:w="9356" w:type="dxa"/>
        <w:tblInd w:w="108" w:type="dxa"/>
        <w:tblLook w:val="04A0" w:firstRow="1" w:lastRow="0" w:firstColumn="1" w:lastColumn="0" w:noHBand="0" w:noVBand="1"/>
      </w:tblPr>
      <w:tblGrid>
        <w:gridCol w:w="2410"/>
        <w:gridCol w:w="1736"/>
        <w:gridCol w:w="1808"/>
        <w:gridCol w:w="1843"/>
        <w:gridCol w:w="1559"/>
      </w:tblGrid>
      <w:tr w:rsidR="00784E52" w:rsidRPr="00D32A9C" w:rsidTr="00BB3F3E">
        <w:tc>
          <w:tcPr>
            <w:tcW w:w="2410"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D32A9C" w:rsidRDefault="00784E52" w:rsidP="001A5BF9">
            <w:pPr>
              <w:spacing w:before="120" w:after="120"/>
              <w:rPr>
                <w:rFonts w:cs="Arial"/>
                <w:sz w:val="16"/>
                <w:szCs w:val="16"/>
              </w:rPr>
            </w:pPr>
            <w:r w:rsidRPr="00D32A9C">
              <w:rPr>
                <w:sz w:val="16"/>
              </w:rPr>
              <w:t> </w:t>
            </w:r>
          </w:p>
        </w:tc>
        <w:tc>
          <w:tcPr>
            <w:tcW w:w="1736" w:type="dxa"/>
            <w:tcBorders>
              <w:top w:val="single" w:sz="4" w:space="0" w:color="auto"/>
              <w:left w:val="nil"/>
              <w:bottom w:val="nil"/>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Budget</w:t>
            </w:r>
            <w:r w:rsidRPr="00D32A9C">
              <w:br/>
            </w:r>
            <w:r w:rsidRPr="00D32A9C">
              <w:rPr>
                <w:sz w:val="16"/>
              </w:rPr>
              <w:t>2012</w:t>
            </w:r>
            <w:r w:rsidR="002D6F2A" w:rsidRPr="00D32A9C">
              <w:rPr>
                <w:sz w:val="16"/>
              </w:rPr>
              <w:noBreakHyphen/>
            </w:r>
            <w:r w:rsidRPr="00D32A9C">
              <w:rPr>
                <w:sz w:val="16"/>
              </w:rPr>
              <w:t>2013</w:t>
            </w:r>
            <w:r w:rsidRPr="00D32A9C">
              <w:br/>
            </w:r>
            <w:r w:rsidRPr="00D32A9C">
              <w:rPr>
                <w:sz w:val="16"/>
              </w:rPr>
              <w:t>approuvé</w:t>
            </w:r>
          </w:p>
        </w:tc>
        <w:tc>
          <w:tcPr>
            <w:tcW w:w="1808" w:type="dxa"/>
            <w:tcBorders>
              <w:top w:val="single" w:sz="4" w:space="0" w:color="auto"/>
              <w:left w:val="nil"/>
              <w:bottom w:val="nil"/>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Budget</w:t>
            </w:r>
            <w:r w:rsidRPr="00D32A9C">
              <w:br/>
            </w:r>
            <w:r w:rsidRPr="00D32A9C">
              <w:rPr>
                <w:sz w:val="16"/>
              </w:rPr>
              <w:t>2012</w:t>
            </w:r>
            <w:r w:rsidR="002D6F2A" w:rsidRPr="00D32A9C">
              <w:rPr>
                <w:sz w:val="16"/>
              </w:rPr>
              <w:noBreakHyphen/>
            </w:r>
            <w:r w:rsidRPr="00D32A9C">
              <w:rPr>
                <w:sz w:val="16"/>
              </w:rPr>
              <w:t>2013</w:t>
            </w:r>
            <w:r w:rsidRPr="00D32A9C">
              <w:br/>
            </w:r>
            <w:r w:rsidRPr="00D32A9C">
              <w:rPr>
                <w:sz w:val="16"/>
              </w:rPr>
              <w:t>après virements</w:t>
            </w:r>
          </w:p>
        </w:tc>
        <w:tc>
          <w:tcPr>
            <w:tcW w:w="1843" w:type="dxa"/>
            <w:tcBorders>
              <w:top w:val="single" w:sz="4" w:space="0" w:color="auto"/>
              <w:left w:val="nil"/>
              <w:bottom w:val="nil"/>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Dépenses</w:t>
            </w:r>
            <w:r w:rsidRPr="00D32A9C">
              <w:br/>
            </w:r>
            <w:r w:rsidRPr="00D32A9C">
              <w:rPr>
                <w:sz w:val="16"/>
              </w:rPr>
              <w:t>2012</w:t>
            </w:r>
            <w:r w:rsidR="002D6F2A" w:rsidRPr="00D32A9C">
              <w:rPr>
                <w:sz w:val="16"/>
              </w:rPr>
              <w:noBreakHyphen/>
            </w:r>
            <w:r w:rsidRPr="00D32A9C">
              <w:rPr>
                <w:sz w:val="16"/>
              </w:rPr>
              <w:t>2013</w:t>
            </w:r>
          </w:p>
        </w:tc>
        <w:tc>
          <w:tcPr>
            <w:tcW w:w="1559" w:type="dxa"/>
            <w:tcBorders>
              <w:top w:val="single" w:sz="4" w:space="0" w:color="auto"/>
              <w:left w:val="nil"/>
              <w:bottom w:val="nil"/>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Taux d</w:t>
            </w:r>
            <w:r w:rsidR="00A20444" w:rsidRPr="00D32A9C">
              <w:rPr>
                <w:sz w:val="16"/>
              </w:rPr>
              <w:t>’</w:t>
            </w:r>
            <w:r w:rsidRPr="00D32A9C">
              <w:rPr>
                <w:sz w:val="16"/>
              </w:rPr>
              <w:t>utilisation (</w:t>
            </w:r>
            <w:r w:rsidR="007E442D" w:rsidRPr="00D32A9C">
              <w:rPr>
                <w:sz w:val="16"/>
              </w:rPr>
              <w:t>%</w:t>
            </w:r>
            <w:r w:rsidRPr="00D32A9C">
              <w:rPr>
                <w:sz w:val="16"/>
              </w:rPr>
              <w:t>)</w:t>
            </w:r>
          </w:p>
        </w:tc>
      </w:tr>
      <w:tr w:rsidR="00784E52" w:rsidRPr="00D32A9C" w:rsidTr="00BB3F3E">
        <w:trPr>
          <w:trHeight w:val="521"/>
        </w:trPr>
        <w:tc>
          <w:tcPr>
            <w:tcW w:w="2410" w:type="dxa"/>
            <w:tcBorders>
              <w:top w:val="nil"/>
              <w:left w:val="single" w:sz="4" w:space="0" w:color="auto"/>
              <w:bottom w:val="single" w:sz="4" w:space="0" w:color="auto"/>
              <w:right w:val="single" w:sz="4" w:space="0" w:color="auto"/>
            </w:tcBorders>
            <w:shd w:val="clear" w:color="auto" w:fill="auto"/>
            <w:noWrap/>
            <w:vAlign w:val="center"/>
          </w:tcPr>
          <w:p w:rsidR="00784E52" w:rsidRPr="00D32A9C" w:rsidRDefault="00784E52" w:rsidP="001A5BF9">
            <w:pPr>
              <w:spacing w:before="120" w:after="120"/>
              <w:rPr>
                <w:rFonts w:cs="Arial"/>
                <w:sz w:val="16"/>
                <w:szCs w:val="16"/>
              </w:rPr>
            </w:pPr>
            <w:r w:rsidRPr="00D32A9C">
              <w:rPr>
                <w:sz w:val="16"/>
              </w:rPr>
              <w:t>Dépenses de personnel</w:t>
            </w:r>
            <w:r w:rsidR="004F3E42" w:rsidRPr="00D32A9C">
              <w:rPr>
                <w:sz w:val="16"/>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sz w:val="16"/>
                <w:szCs w:val="16"/>
              </w:rPr>
            </w:pPr>
            <w:r w:rsidRPr="00D32A9C">
              <w:rPr>
                <w:sz w:val="16"/>
              </w:rPr>
              <w:t>5 302</w:t>
            </w:r>
          </w:p>
        </w:tc>
        <w:tc>
          <w:tcPr>
            <w:tcW w:w="1808" w:type="dxa"/>
            <w:tcBorders>
              <w:top w:val="single" w:sz="4" w:space="0" w:color="auto"/>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sz w:val="16"/>
                <w:szCs w:val="16"/>
              </w:rPr>
            </w:pPr>
            <w:r w:rsidRPr="00D32A9C">
              <w:rPr>
                <w:sz w:val="16"/>
              </w:rPr>
              <w:t>5 833</w:t>
            </w:r>
          </w:p>
        </w:tc>
        <w:tc>
          <w:tcPr>
            <w:tcW w:w="1843" w:type="dxa"/>
            <w:tcBorders>
              <w:top w:val="single" w:sz="4" w:space="0" w:color="auto"/>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sz w:val="16"/>
                <w:szCs w:val="16"/>
              </w:rPr>
            </w:pPr>
            <w:r w:rsidRPr="00D32A9C">
              <w:rPr>
                <w:sz w:val="16"/>
              </w:rPr>
              <w:t>5 833</w:t>
            </w:r>
          </w:p>
        </w:tc>
        <w:tc>
          <w:tcPr>
            <w:tcW w:w="1559" w:type="dxa"/>
            <w:tcBorders>
              <w:top w:val="single" w:sz="4" w:space="0" w:color="auto"/>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sz w:val="16"/>
                <w:szCs w:val="16"/>
              </w:rPr>
            </w:pPr>
            <w:r w:rsidRPr="00D32A9C">
              <w:rPr>
                <w:sz w:val="16"/>
              </w:rPr>
              <w:t>100</w:t>
            </w:r>
            <w:r w:rsidR="007E442D" w:rsidRPr="00D32A9C">
              <w:rPr>
                <w:sz w:val="16"/>
              </w:rPr>
              <w:t>%</w:t>
            </w:r>
          </w:p>
        </w:tc>
      </w:tr>
      <w:tr w:rsidR="00784E52" w:rsidRPr="00D32A9C" w:rsidTr="00BB3F3E">
        <w:trPr>
          <w:trHeight w:val="521"/>
        </w:trPr>
        <w:tc>
          <w:tcPr>
            <w:tcW w:w="2410" w:type="dxa"/>
            <w:tcBorders>
              <w:top w:val="nil"/>
              <w:left w:val="single" w:sz="4" w:space="0" w:color="auto"/>
              <w:bottom w:val="single" w:sz="4" w:space="0" w:color="auto"/>
              <w:right w:val="single" w:sz="4" w:space="0" w:color="auto"/>
            </w:tcBorders>
            <w:shd w:val="clear" w:color="auto" w:fill="auto"/>
            <w:noWrap/>
            <w:vAlign w:val="center"/>
          </w:tcPr>
          <w:p w:rsidR="00784E52" w:rsidRPr="00D32A9C" w:rsidRDefault="00784E52" w:rsidP="001A5BF9">
            <w:pPr>
              <w:spacing w:before="120" w:after="120"/>
              <w:rPr>
                <w:rFonts w:cs="Arial"/>
                <w:sz w:val="16"/>
                <w:szCs w:val="16"/>
              </w:rPr>
            </w:pPr>
            <w:r w:rsidRPr="00D32A9C">
              <w:rPr>
                <w:sz w:val="16"/>
              </w:rPr>
              <w:t xml:space="preserve">Autres dépenses </w:t>
            </w:r>
          </w:p>
        </w:tc>
        <w:tc>
          <w:tcPr>
            <w:tcW w:w="1736"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sz w:val="16"/>
                <w:szCs w:val="16"/>
              </w:rPr>
            </w:pPr>
            <w:r w:rsidRPr="00D32A9C">
              <w:rPr>
                <w:sz w:val="16"/>
              </w:rPr>
              <w:t>1 630</w:t>
            </w:r>
          </w:p>
        </w:tc>
        <w:tc>
          <w:tcPr>
            <w:tcW w:w="1808"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sz w:val="16"/>
                <w:szCs w:val="16"/>
              </w:rPr>
            </w:pPr>
            <w:r w:rsidRPr="00D32A9C">
              <w:rPr>
                <w:sz w:val="16"/>
              </w:rPr>
              <w:t>1 458</w:t>
            </w:r>
          </w:p>
        </w:tc>
        <w:tc>
          <w:tcPr>
            <w:tcW w:w="1843"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sz w:val="16"/>
                <w:szCs w:val="16"/>
              </w:rPr>
            </w:pPr>
            <w:r w:rsidRPr="00D32A9C">
              <w:rPr>
                <w:sz w:val="16"/>
              </w:rPr>
              <w:t>1 363</w:t>
            </w:r>
          </w:p>
        </w:tc>
        <w:tc>
          <w:tcPr>
            <w:tcW w:w="1559"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sz w:val="16"/>
                <w:szCs w:val="16"/>
              </w:rPr>
            </w:pPr>
            <w:r w:rsidRPr="00D32A9C">
              <w:rPr>
                <w:sz w:val="16"/>
              </w:rPr>
              <w:t>93</w:t>
            </w:r>
            <w:r w:rsidR="007E442D" w:rsidRPr="00D32A9C">
              <w:rPr>
                <w:sz w:val="16"/>
              </w:rPr>
              <w:t>%</w:t>
            </w:r>
          </w:p>
        </w:tc>
      </w:tr>
      <w:tr w:rsidR="00784E52" w:rsidRPr="00D32A9C" w:rsidTr="00BB3F3E">
        <w:trPr>
          <w:trHeight w:val="521"/>
        </w:trPr>
        <w:tc>
          <w:tcPr>
            <w:tcW w:w="2410" w:type="dxa"/>
            <w:tcBorders>
              <w:top w:val="nil"/>
              <w:left w:val="single" w:sz="4" w:space="0" w:color="auto"/>
              <w:bottom w:val="single" w:sz="4" w:space="0" w:color="auto"/>
              <w:right w:val="single" w:sz="4" w:space="0" w:color="auto"/>
            </w:tcBorders>
            <w:shd w:val="clear" w:color="auto" w:fill="auto"/>
            <w:noWrap/>
            <w:vAlign w:val="center"/>
          </w:tcPr>
          <w:p w:rsidR="00784E52" w:rsidRPr="00D32A9C" w:rsidRDefault="00784E52" w:rsidP="001A5BF9">
            <w:pPr>
              <w:spacing w:before="120" w:after="120"/>
              <w:jc w:val="right"/>
              <w:rPr>
                <w:rFonts w:cs="Arial"/>
                <w:b/>
                <w:bCs/>
                <w:sz w:val="16"/>
                <w:szCs w:val="16"/>
              </w:rPr>
            </w:pPr>
            <w:r w:rsidRPr="00D32A9C">
              <w:rPr>
                <w:b/>
                <w:sz w:val="16"/>
              </w:rPr>
              <w:t xml:space="preserve">TOTAL </w:t>
            </w:r>
          </w:p>
        </w:tc>
        <w:tc>
          <w:tcPr>
            <w:tcW w:w="1736"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b/>
                <w:bCs/>
                <w:sz w:val="16"/>
                <w:szCs w:val="16"/>
              </w:rPr>
            </w:pPr>
            <w:r w:rsidRPr="00D32A9C">
              <w:rPr>
                <w:b/>
                <w:sz w:val="16"/>
              </w:rPr>
              <w:t>6 932</w:t>
            </w:r>
          </w:p>
        </w:tc>
        <w:tc>
          <w:tcPr>
            <w:tcW w:w="1808"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b/>
                <w:bCs/>
                <w:sz w:val="16"/>
                <w:szCs w:val="16"/>
              </w:rPr>
            </w:pPr>
            <w:r w:rsidRPr="00D32A9C">
              <w:rPr>
                <w:b/>
                <w:sz w:val="16"/>
              </w:rPr>
              <w:t>7 291</w:t>
            </w:r>
          </w:p>
        </w:tc>
        <w:tc>
          <w:tcPr>
            <w:tcW w:w="1843"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b/>
                <w:bCs/>
                <w:sz w:val="16"/>
                <w:szCs w:val="16"/>
              </w:rPr>
            </w:pPr>
            <w:r w:rsidRPr="00D32A9C">
              <w:rPr>
                <w:b/>
                <w:sz w:val="16"/>
              </w:rPr>
              <w:t>7 196</w:t>
            </w:r>
          </w:p>
        </w:tc>
        <w:tc>
          <w:tcPr>
            <w:tcW w:w="1559"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jc w:val="center"/>
              <w:rPr>
                <w:rFonts w:cs="Arial"/>
                <w:b/>
                <w:bCs/>
                <w:sz w:val="16"/>
                <w:szCs w:val="16"/>
              </w:rPr>
            </w:pPr>
            <w:r w:rsidRPr="00D32A9C">
              <w:rPr>
                <w:b/>
                <w:sz w:val="16"/>
              </w:rPr>
              <w:t>99</w:t>
            </w:r>
            <w:r w:rsidR="007E442D" w:rsidRPr="00D32A9C">
              <w:rPr>
                <w:b/>
                <w:sz w:val="16"/>
              </w:rPr>
              <w:t>%</w:t>
            </w:r>
          </w:p>
        </w:tc>
      </w:tr>
    </w:tbl>
    <w:p w:rsidR="00D42474" w:rsidRDefault="00D42474" w:rsidP="001A5BF9"/>
    <w:p w:rsidR="00D42474" w:rsidRDefault="00784E52" w:rsidP="001A5BF9">
      <w:pPr>
        <w:keepNext/>
        <w:autoSpaceDE w:val="0"/>
        <w:autoSpaceDN w:val="0"/>
        <w:rPr>
          <w:sz w:val="16"/>
          <w:szCs w:val="16"/>
        </w:rPr>
      </w:pPr>
      <w:proofErr w:type="gramStart"/>
      <w:r w:rsidRPr="00D32A9C">
        <w:rPr>
          <w:sz w:val="16"/>
        </w:rPr>
        <w:t>NOTES</w:t>
      </w:r>
      <w:proofErr w:type="gramEnd"/>
      <w:r w:rsidR="0010442A" w:rsidRPr="00D32A9C">
        <w:rPr>
          <w:sz w:val="16"/>
        </w:rPr>
        <w:t> </w:t>
      </w:r>
      <w:r w:rsidRPr="00D32A9C">
        <w:rPr>
          <w:sz w:val="16"/>
        </w:rPr>
        <w:t>:</w:t>
      </w:r>
    </w:p>
    <w:p w:rsidR="00D42474" w:rsidRDefault="00D42474" w:rsidP="001A5BF9">
      <w:pPr>
        <w:keepNext/>
        <w:autoSpaceDE w:val="0"/>
        <w:autoSpaceDN w:val="0"/>
        <w:rPr>
          <w:sz w:val="16"/>
          <w:szCs w:val="16"/>
        </w:rPr>
      </w:pPr>
    </w:p>
    <w:p w:rsidR="00D42474" w:rsidRDefault="00784E52" w:rsidP="001A5BF9">
      <w:pPr>
        <w:keepNext/>
        <w:autoSpaceDE w:val="0"/>
        <w:autoSpaceDN w:val="0"/>
        <w:rPr>
          <w:sz w:val="16"/>
          <w:szCs w:val="16"/>
        </w:rPr>
      </w:pPr>
      <w:r w:rsidRPr="00D32A9C">
        <w:rPr>
          <w:sz w:val="16"/>
        </w:rPr>
        <w:t>1)</w:t>
      </w:r>
      <w:r w:rsidR="004F3E42" w:rsidRPr="00D32A9C">
        <w:rPr>
          <w:sz w:val="16"/>
        </w:rPr>
        <w:t xml:space="preserve"> </w:t>
      </w:r>
      <w:r w:rsidR="00D32A9C">
        <w:rPr>
          <w:sz w:val="16"/>
        </w:rPr>
        <w:tab/>
      </w:r>
      <w:r w:rsidRPr="00D32A9C">
        <w:rPr>
          <w:sz w:val="16"/>
        </w:rPr>
        <w:t>Le budget restructuré après virements tient compte du budget ajusté des programmes après les virements réalisés au cours de l</w:t>
      </w:r>
      <w:r w:rsidR="00A20444" w:rsidRPr="00D32A9C">
        <w:rPr>
          <w:sz w:val="16"/>
        </w:rPr>
        <w:t>’</w:t>
      </w:r>
      <w:r w:rsidRPr="00D32A9C">
        <w:rPr>
          <w:sz w:val="16"/>
        </w:rPr>
        <w:t>exercice 2012</w:t>
      </w:r>
      <w:r w:rsidR="002D6F2A" w:rsidRPr="00D32A9C">
        <w:rPr>
          <w:sz w:val="16"/>
        </w:rPr>
        <w:noBreakHyphen/>
      </w:r>
      <w:r w:rsidRPr="00D32A9C">
        <w:rPr>
          <w:sz w:val="16"/>
        </w:rPr>
        <w:t xml:space="preserve">2013, conformément à </w:t>
      </w:r>
      <w:r w:rsidR="00E15133" w:rsidRPr="00D32A9C">
        <w:rPr>
          <w:sz w:val="16"/>
        </w:rPr>
        <w:t>l</w:t>
      </w:r>
      <w:r w:rsidR="00A20444" w:rsidRPr="00D32A9C">
        <w:rPr>
          <w:sz w:val="16"/>
        </w:rPr>
        <w:t>’</w:t>
      </w:r>
      <w:r w:rsidR="00E15133" w:rsidRPr="00D32A9C">
        <w:rPr>
          <w:sz w:val="16"/>
        </w:rPr>
        <w:t>article 5.5</w:t>
      </w:r>
      <w:r w:rsidRPr="00D32A9C">
        <w:rPr>
          <w:sz w:val="16"/>
        </w:rPr>
        <w:t xml:space="preserve"> du règlement d</w:t>
      </w:r>
      <w:r w:rsidR="00A20444" w:rsidRPr="00D32A9C">
        <w:rPr>
          <w:sz w:val="16"/>
        </w:rPr>
        <w:t>’</w:t>
      </w:r>
      <w:r w:rsidRPr="00D32A9C">
        <w:rPr>
          <w:sz w:val="16"/>
        </w:rPr>
        <w:t>exécution du Règlement financier.</w:t>
      </w:r>
    </w:p>
    <w:p w:rsidR="00D42474" w:rsidRDefault="00D42474" w:rsidP="001A5BF9">
      <w:pPr>
        <w:keepNext/>
        <w:autoSpaceDE w:val="0"/>
        <w:autoSpaceDN w:val="0"/>
        <w:rPr>
          <w:sz w:val="16"/>
          <w:szCs w:val="16"/>
        </w:rPr>
      </w:pPr>
    </w:p>
    <w:p w:rsidR="00D42474" w:rsidRDefault="00D32A9C" w:rsidP="001A5BF9">
      <w:pPr>
        <w:keepNext/>
        <w:autoSpaceDE w:val="0"/>
        <w:autoSpaceDN w:val="0"/>
        <w:rPr>
          <w:sz w:val="16"/>
        </w:rPr>
      </w:pPr>
      <w:r>
        <w:rPr>
          <w:sz w:val="16"/>
        </w:rPr>
        <w:t>2)</w:t>
      </w:r>
      <w:r>
        <w:rPr>
          <w:sz w:val="16"/>
        </w:rPr>
        <w:tab/>
      </w:r>
      <w:r w:rsidR="00784E52" w:rsidRPr="00D32A9C">
        <w:rPr>
          <w:sz w:val="16"/>
        </w:rPr>
        <w:t>Les dépenses de personnel indiquées dans le budget de l</w:t>
      </w:r>
      <w:r w:rsidR="00A20444" w:rsidRPr="00D32A9C">
        <w:rPr>
          <w:sz w:val="16"/>
        </w:rPr>
        <w:t>’</w:t>
      </w:r>
      <w:r w:rsidR="00784E52" w:rsidRPr="00D32A9C">
        <w:rPr>
          <w:sz w:val="16"/>
        </w:rPr>
        <w:t>exercice 2012</w:t>
      </w:r>
      <w:r w:rsidR="002D6F2A" w:rsidRPr="00D32A9C">
        <w:rPr>
          <w:sz w:val="16"/>
        </w:rPr>
        <w:noBreakHyphen/>
      </w:r>
      <w:r w:rsidR="00784E52" w:rsidRPr="00D32A9C">
        <w:rPr>
          <w:sz w:val="16"/>
        </w:rPr>
        <w:t>2013 après virements représentent les dépenses réelles engagées pendant l</w:t>
      </w:r>
      <w:r w:rsidR="00A20444" w:rsidRPr="00D32A9C">
        <w:rPr>
          <w:sz w:val="16"/>
        </w:rPr>
        <w:t>’</w:t>
      </w:r>
      <w:r w:rsidR="00784E52" w:rsidRPr="00D32A9C">
        <w:rPr>
          <w:sz w:val="16"/>
        </w:rPr>
        <w:t>exercice biennal.</w:t>
      </w:r>
    </w:p>
    <w:p w:rsidR="00D42474" w:rsidRDefault="00D42474" w:rsidP="001A5BF9"/>
    <w:p w:rsidR="00D42474" w:rsidRDefault="00D42474" w:rsidP="001A5BF9"/>
    <w:p w:rsidR="00D42474" w:rsidRDefault="00784E52" w:rsidP="001A5BF9">
      <w:pPr>
        <w:tabs>
          <w:tab w:val="left" w:pos="709"/>
        </w:tabs>
        <w:autoSpaceDE w:val="0"/>
        <w:autoSpaceDN w:val="0"/>
        <w:adjustRightInd w:val="0"/>
        <w:rPr>
          <w:rFonts w:cs="Arial"/>
          <w:szCs w:val="20"/>
        </w:rPr>
      </w:pPr>
      <w:r w:rsidRPr="00D32A9C">
        <w:t>A.</w:t>
      </w:r>
      <w:r w:rsidRPr="00D32A9C">
        <w:tab/>
      </w:r>
      <w:r w:rsidRPr="00D32A9C">
        <w:rPr>
          <w:u w:val="single"/>
        </w:rPr>
        <w:t>Budget 2013</w:t>
      </w:r>
      <w:r w:rsidR="002D6F2A" w:rsidRPr="00D32A9C">
        <w:rPr>
          <w:u w:val="single"/>
        </w:rPr>
        <w:noBreakHyphen/>
      </w:r>
      <w:r w:rsidRPr="00D32A9C">
        <w:rPr>
          <w:u w:val="single"/>
        </w:rPr>
        <w:t>2013 après virements</w:t>
      </w:r>
    </w:p>
    <w:p w:rsidR="00D42474" w:rsidRDefault="00D42474" w:rsidP="001A5BF9">
      <w:pPr>
        <w:autoSpaceDE w:val="0"/>
        <w:autoSpaceDN w:val="0"/>
        <w:adjustRightInd w:val="0"/>
        <w:rPr>
          <w:rFonts w:cs="Arial"/>
          <w:szCs w:val="22"/>
        </w:rPr>
      </w:pPr>
    </w:p>
    <w:p w:rsidR="00D42474" w:rsidRDefault="00784E52" w:rsidP="001A5BF9">
      <w:pPr>
        <w:keepNext/>
        <w:tabs>
          <w:tab w:val="left" w:pos="709"/>
        </w:tabs>
        <w:autoSpaceDE w:val="0"/>
        <w:autoSpaceDN w:val="0"/>
        <w:jc w:val="both"/>
        <w:rPr>
          <w:szCs w:val="20"/>
        </w:rPr>
      </w:pPr>
      <w:r w:rsidRPr="00D32A9C">
        <w:t>12.7</w:t>
      </w:r>
      <w:r w:rsidR="004F3E42" w:rsidRPr="00D32A9C">
        <w:t xml:space="preserve"> </w:t>
      </w:r>
      <w:r w:rsidRPr="00D32A9C">
        <w:t>L</w:t>
      </w:r>
      <w:r w:rsidR="00A20444" w:rsidRPr="00D32A9C">
        <w:t>’</w:t>
      </w:r>
      <w:r w:rsidRPr="00D32A9C">
        <w:t>affectation aux dépenses autres pour le budget 2012</w:t>
      </w:r>
      <w:r w:rsidR="002D6F2A" w:rsidRPr="00D32A9C">
        <w:noBreakHyphen/>
      </w:r>
      <w:r w:rsidRPr="00D32A9C">
        <w:t>2013 après virements, tient compte des ajustements à la baisse opérés pour réduire les coûts conformément aux engagements de l</w:t>
      </w:r>
      <w:r w:rsidR="00A20444" w:rsidRPr="00D32A9C">
        <w:t>’</w:t>
      </w:r>
      <w:r w:rsidRPr="00D32A9C">
        <w:t>Organisation de réduire les dépenses de 10,2</w:t>
      </w:r>
      <w:r w:rsidR="0010442A" w:rsidRPr="00D32A9C">
        <w:t> </w:t>
      </w:r>
      <w:r w:rsidRPr="00D32A9C">
        <w:t>millions de francs suisses pour l</w:t>
      </w:r>
      <w:r w:rsidR="00A20444" w:rsidRPr="00D32A9C">
        <w:t>’</w:t>
      </w:r>
      <w:r w:rsidRPr="00D32A9C">
        <w:t>exercice biennal</w:t>
      </w:r>
      <w:r w:rsidR="0010442A" w:rsidRPr="00D32A9C">
        <w:t> </w:t>
      </w:r>
      <w:r w:rsidRPr="00D32A9C">
        <w:t>2012</w:t>
      </w:r>
      <w:r w:rsidR="002D6F2A" w:rsidRPr="00D32A9C">
        <w:noBreakHyphen/>
      </w:r>
      <w:r w:rsidRPr="00D32A9C">
        <w:t>2013.</w:t>
      </w:r>
    </w:p>
    <w:p w:rsidR="00D42474" w:rsidRDefault="00D42474" w:rsidP="001A5BF9">
      <w:pPr>
        <w:autoSpaceDE w:val="0"/>
        <w:autoSpaceDN w:val="0"/>
        <w:adjustRightInd w:val="0"/>
        <w:jc w:val="both"/>
        <w:rPr>
          <w:rFonts w:cs="Arial"/>
          <w:szCs w:val="20"/>
        </w:rPr>
      </w:pPr>
    </w:p>
    <w:p w:rsidR="00D42474" w:rsidRDefault="00784E52" w:rsidP="001A5BF9">
      <w:pPr>
        <w:tabs>
          <w:tab w:val="left" w:pos="709"/>
        </w:tabs>
        <w:jc w:val="both"/>
        <w:rPr>
          <w:iCs/>
        </w:rPr>
      </w:pPr>
      <w:r w:rsidRPr="005C7CCE">
        <w:t>12.8.</w:t>
      </w:r>
      <w:r w:rsidRPr="005C7CCE">
        <w:tab/>
        <w:t>L</w:t>
      </w:r>
      <w:r w:rsidR="00A20444" w:rsidRPr="005C7CCE">
        <w:t>’</w:t>
      </w:r>
      <w:r w:rsidRPr="005C7CCE">
        <w:t>augmentation des ressources liées au personnel d</w:t>
      </w:r>
      <w:r w:rsidR="00B55E07" w:rsidRPr="005C7CCE">
        <w:t xml:space="preserve">écoule des éléments suivants : </w:t>
      </w:r>
      <w:r w:rsidRPr="005C7CCE">
        <w:t>i) le reclassement d</w:t>
      </w:r>
      <w:r w:rsidR="00A20444" w:rsidRPr="005C7CCE">
        <w:t>’</w:t>
      </w:r>
      <w:r w:rsidRPr="005C7CCE">
        <w:t>un poste;</w:t>
      </w:r>
      <w:r w:rsidR="004F3E42" w:rsidRPr="005C7CCE">
        <w:t xml:space="preserve"> </w:t>
      </w:r>
      <w:r w:rsidR="0010442A" w:rsidRPr="005C7CCE">
        <w:t xml:space="preserve"> </w:t>
      </w:r>
      <w:r w:rsidRPr="005C7CCE">
        <w:t>ii) la régularisation d</w:t>
      </w:r>
      <w:r w:rsidR="00A20444" w:rsidRPr="005C7CCE">
        <w:t>’</w:t>
      </w:r>
      <w:r w:rsidRPr="005C7CCE">
        <w:t>un contrat à court terme de longue durée;</w:t>
      </w:r>
      <w:r w:rsidR="0010442A" w:rsidRPr="005C7CCE">
        <w:t xml:space="preserve"> </w:t>
      </w:r>
      <w:r w:rsidR="004F3E42" w:rsidRPr="005C7CCE">
        <w:t xml:space="preserve"> </w:t>
      </w:r>
      <w:r w:rsidRPr="005C7CCE">
        <w:t>et iii) l</w:t>
      </w:r>
      <w:r w:rsidR="00A20444" w:rsidRPr="005C7CCE">
        <w:t>’</w:t>
      </w:r>
      <w:r w:rsidRPr="005C7CCE">
        <w:t>engagement de l</w:t>
      </w:r>
      <w:r w:rsidR="00A20444" w:rsidRPr="005C7CCE">
        <w:t>’</w:t>
      </w:r>
      <w:r w:rsidRPr="005C7CCE">
        <w:t>Organisation, en cas d</w:t>
      </w:r>
      <w:r w:rsidR="00A20444" w:rsidRPr="005C7CCE">
        <w:t>’</w:t>
      </w:r>
      <w:r w:rsidRPr="005C7CCE">
        <w:t>augmentation du montant des recettes prévues, à reconstituer les provisions au titre des prestations après la cessation de service qui avaient été initialement budgétées à un niveau inférieur à celui de l</w:t>
      </w:r>
      <w:r w:rsidR="00A20444" w:rsidRPr="005C7CCE">
        <w:t>’</w:t>
      </w:r>
      <w:r w:rsidRPr="005C7CCE">
        <w:t>exercice biennal précédent.</w:t>
      </w:r>
    </w:p>
    <w:p w:rsidR="00D42474" w:rsidRDefault="00D42474" w:rsidP="001A5BF9">
      <w:pPr>
        <w:autoSpaceDE w:val="0"/>
        <w:autoSpaceDN w:val="0"/>
        <w:adjustRightInd w:val="0"/>
        <w:rPr>
          <w:rFonts w:cs="Arial"/>
          <w:szCs w:val="20"/>
        </w:rPr>
      </w:pPr>
    </w:p>
    <w:p w:rsidR="00D42474" w:rsidRDefault="00784E52" w:rsidP="001A5BF9">
      <w:pPr>
        <w:tabs>
          <w:tab w:val="left" w:pos="709"/>
        </w:tabs>
        <w:autoSpaceDE w:val="0"/>
        <w:autoSpaceDN w:val="0"/>
        <w:adjustRightInd w:val="0"/>
        <w:rPr>
          <w:rFonts w:cs="Arial"/>
          <w:szCs w:val="20"/>
          <w:u w:val="single"/>
        </w:rPr>
      </w:pPr>
      <w:r w:rsidRPr="005C7CCE">
        <w:t>B.</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Pr>
        <w:autoSpaceDE w:val="0"/>
        <w:autoSpaceDN w:val="0"/>
        <w:adjustRightInd w:val="0"/>
        <w:rPr>
          <w:rFonts w:cs="Arial"/>
          <w:szCs w:val="20"/>
          <w:u w:val="single"/>
        </w:rPr>
      </w:pPr>
    </w:p>
    <w:p w:rsidR="00D42474" w:rsidRDefault="00784E52" w:rsidP="001A5BF9">
      <w:pPr>
        <w:tabs>
          <w:tab w:val="left" w:pos="709"/>
        </w:tabs>
        <w:autoSpaceDE w:val="0"/>
        <w:autoSpaceDN w:val="0"/>
        <w:adjustRightInd w:val="0"/>
        <w:jc w:val="both"/>
      </w:pPr>
      <w:r w:rsidRPr="005C7CCE">
        <w:t>12.9.</w:t>
      </w:r>
      <w:r w:rsidRPr="005C7CCE">
        <w:tab/>
        <w:t>Le taux d</w:t>
      </w:r>
      <w:r w:rsidR="00A20444" w:rsidRPr="005C7CCE">
        <w:t>’</w:t>
      </w:r>
      <w:r w:rsidRPr="005C7CCE">
        <w:t>utilisation du budget de 93</w:t>
      </w:r>
      <w:r w:rsidR="007E442D" w:rsidRPr="005C7CCE">
        <w:t>%</w:t>
      </w:r>
      <w:r w:rsidRPr="005C7CCE">
        <w:t xml:space="preserve"> reflète des dépenses légèrement inférieures à ce qui était prévu pour le soutien informatique approprié pour les classifications internationales.</w:t>
      </w:r>
    </w:p>
    <w:p w:rsidR="00D42474" w:rsidRDefault="00784E52" w:rsidP="001A5BF9">
      <w:pPr>
        <w:rPr>
          <w:rFonts w:ascii="Arial Bold" w:hAnsi="Arial Bold" w:cs="Arial"/>
          <w:b/>
          <w:bCs/>
          <w:iCs/>
          <w:szCs w:val="28"/>
        </w:rPr>
      </w:pPr>
      <w:r w:rsidRPr="005C7CCE">
        <w:br w:type="page"/>
      </w:r>
    </w:p>
    <w:p w:rsidR="00D42474" w:rsidRDefault="00784E52" w:rsidP="001A5BF9">
      <w:pPr>
        <w:pStyle w:val="Heading3"/>
        <w:rPr>
          <w:szCs w:val="22"/>
        </w:rPr>
      </w:pPr>
      <w:bookmarkStart w:id="28" w:name="_Toc395082480"/>
      <w:r w:rsidRPr="00D32A9C">
        <w:rPr>
          <w:szCs w:val="22"/>
        </w:rPr>
        <w:t>Programme 13</w:t>
      </w:r>
      <w:r w:rsidRPr="00D32A9C">
        <w:rPr>
          <w:szCs w:val="22"/>
        </w:rPr>
        <w:tab/>
        <w:t>Bases de données mondiales</w:t>
      </w:r>
      <w:bookmarkEnd w:id="28"/>
    </w:p>
    <w:p w:rsidR="00D42474" w:rsidRDefault="00D42474" w:rsidP="001A5BF9">
      <w:pPr>
        <w:ind w:left="2268" w:hanging="2268"/>
        <w:rPr>
          <w:b/>
          <w:sz w:val="22"/>
          <w:szCs w:val="22"/>
        </w:rPr>
      </w:pPr>
    </w:p>
    <w:p w:rsidR="00D42474" w:rsidRDefault="00784E52" w:rsidP="001A5BF9">
      <w:pPr>
        <w:ind w:left="2268" w:hanging="2268"/>
        <w:rPr>
          <w:rFonts w:cs="Arial"/>
          <w:b/>
          <w:sz w:val="22"/>
          <w:szCs w:val="22"/>
        </w:rPr>
      </w:pPr>
      <w:r w:rsidRPr="00D32A9C">
        <w:rPr>
          <w:b/>
          <w:sz w:val="22"/>
          <w:szCs w:val="22"/>
        </w:rPr>
        <w:t>Chef de programme</w:t>
      </w:r>
      <w:r w:rsidRPr="00D32A9C">
        <w:rPr>
          <w:b/>
          <w:sz w:val="22"/>
          <w:szCs w:val="22"/>
        </w:rPr>
        <w:tab/>
      </w:r>
      <w:r w:rsidRPr="00D32A9C">
        <w:rPr>
          <w:b/>
          <w:sz w:val="22"/>
          <w:szCs w:val="22"/>
        </w:rPr>
        <w:tab/>
        <w:t>M. Y.</w:t>
      </w:r>
      <w:r w:rsidR="0010442A" w:rsidRPr="00D32A9C">
        <w:rPr>
          <w:b/>
          <w:sz w:val="22"/>
          <w:szCs w:val="22"/>
        </w:rPr>
        <w:t> </w:t>
      </w:r>
      <w:proofErr w:type="spellStart"/>
      <w:r w:rsidRPr="00D32A9C">
        <w:rPr>
          <w:b/>
          <w:sz w:val="22"/>
          <w:szCs w:val="22"/>
        </w:rPr>
        <w:t>Takagi</w:t>
      </w:r>
      <w:proofErr w:type="spellEnd"/>
    </w:p>
    <w:p w:rsidR="00D42474" w:rsidRDefault="00D42474" w:rsidP="001A5BF9">
      <w:pPr>
        <w:ind w:left="2268" w:hanging="2268"/>
        <w:rPr>
          <w:b/>
          <w:sz w:val="22"/>
          <w:szCs w:val="22"/>
        </w:rPr>
      </w:pPr>
    </w:p>
    <w:p w:rsidR="00D42474" w:rsidRDefault="00D42474" w:rsidP="001A5BF9">
      <w:pPr>
        <w:ind w:left="2268" w:hanging="2268"/>
        <w:rPr>
          <w:b/>
          <w:bCs/>
          <w:sz w:val="22"/>
          <w:szCs w:val="22"/>
        </w:rPr>
      </w:pPr>
    </w:p>
    <w:p w:rsidR="00D42474" w:rsidRDefault="00784E52" w:rsidP="001A5BF9">
      <w:pPr>
        <w:ind w:left="2268" w:hanging="2268"/>
        <w:rPr>
          <w:rFonts w:cs="Arial"/>
          <w:sz w:val="22"/>
          <w:szCs w:val="22"/>
        </w:rPr>
      </w:pPr>
      <w:r w:rsidRPr="00D32A9C">
        <w:rPr>
          <w:sz w:val="22"/>
          <w:szCs w:val="22"/>
        </w:rPr>
        <w:t>RÉALISATIONS EN 2012</w:t>
      </w:r>
      <w:r w:rsidR="002D6F2A" w:rsidRPr="00D32A9C">
        <w:rPr>
          <w:sz w:val="22"/>
          <w:szCs w:val="22"/>
        </w:rPr>
        <w:noBreakHyphen/>
      </w:r>
      <w:r w:rsidRPr="00D32A9C">
        <w:rPr>
          <w:sz w:val="22"/>
          <w:szCs w:val="22"/>
        </w:rPr>
        <w:t>2013</w:t>
      </w:r>
    </w:p>
    <w:p w:rsidR="00D42474" w:rsidRDefault="00D42474" w:rsidP="001A5BF9">
      <w:pPr>
        <w:autoSpaceDE w:val="0"/>
        <w:autoSpaceDN w:val="0"/>
        <w:adjustRightInd w:val="0"/>
        <w:rPr>
          <w:rFonts w:cs="Arial"/>
          <w:bCs/>
          <w:sz w:val="22"/>
          <w:szCs w:val="22"/>
        </w:rPr>
      </w:pPr>
    </w:p>
    <w:p w:rsidR="00D42474" w:rsidRDefault="00784E52" w:rsidP="001A5BF9">
      <w:pPr>
        <w:pStyle w:val="Style1"/>
        <w:numPr>
          <w:ilvl w:val="0"/>
          <w:numId w:val="0"/>
        </w:numPr>
        <w:tabs>
          <w:tab w:val="left" w:pos="709"/>
        </w:tabs>
        <w:jc w:val="both"/>
      </w:pPr>
      <w:r w:rsidRPr="005C7CCE">
        <w:t>13.1.</w:t>
      </w:r>
      <w:r w:rsidRPr="005C7CCE">
        <w:tab/>
        <w:t>La mise au point du nouveau système PATENTSCOPE introduit vers la fin de l</w:t>
      </w:r>
      <w:r w:rsidR="00A20444" w:rsidRPr="005C7CCE">
        <w:t>’</w:t>
      </w:r>
      <w:r w:rsidRPr="005C7CCE">
        <w:t>exercice biennal précédent s</w:t>
      </w:r>
      <w:r w:rsidR="00A20444" w:rsidRPr="005C7CCE">
        <w:t>’</w:t>
      </w:r>
      <w:r w:rsidRPr="005C7CCE">
        <w:t>est poursuivie pour améliorer et faciliter l</w:t>
      </w:r>
      <w:r w:rsidR="00A20444" w:rsidRPr="005C7CCE">
        <w:t>’</w:t>
      </w:r>
      <w:r w:rsidRPr="005C7CCE">
        <w:t xml:space="preserve">accès des utilisateurs. </w:t>
      </w:r>
      <w:r w:rsidR="0010442A" w:rsidRPr="005C7CCE">
        <w:t xml:space="preserve"> </w:t>
      </w:r>
      <w:r w:rsidRPr="005C7CCE">
        <w:t>Cela a été rendu possible par la mise en œuvre de nombreux services et fonctionnalités, notamment l</w:t>
      </w:r>
      <w:r w:rsidR="00A20444" w:rsidRPr="005C7CCE">
        <w:t>’</w:t>
      </w:r>
      <w:r w:rsidRPr="005C7CCE">
        <w:t>amélioration de la syntaxe de recherche, l</w:t>
      </w:r>
      <w:r w:rsidR="00A20444" w:rsidRPr="005C7CCE">
        <w:t>’</w:t>
      </w:r>
      <w:r w:rsidRPr="005C7CCE">
        <w:t>ajout de comptes d</w:t>
      </w:r>
      <w:r w:rsidR="00A20444" w:rsidRPr="005C7CCE">
        <w:t>’</w:t>
      </w:r>
      <w:r w:rsidRPr="005C7CCE">
        <w:t>utilisateur, la possibilité pour les utilisateurs de stocker leurs recherches et la création d</w:t>
      </w:r>
      <w:r w:rsidR="00A20444" w:rsidRPr="005C7CCE">
        <w:t>’</w:t>
      </w:r>
      <w:r w:rsidRPr="005C7CCE">
        <w:t>un assistant </w:t>
      </w:r>
      <w:proofErr w:type="spellStart"/>
      <w:r w:rsidRPr="005C7CCE">
        <w:t>CIB</w:t>
      </w:r>
      <w:proofErr w:type="spellEnd"/>
      <w:r w:rsidRPr="005C7CCE">
        <w:t>, qui donne des informations sur le code </w:t>
      </w:r>
      <w:proofErr w:type="spellStart"/>
      <w:r w:rsidRPr="005C7CCE">
        <w:t>CIB</w:t>
      </w:r>
      <w:proofErr w:type="spellEnd"/>
      <w:r w:rsidRPr="005C7CCE">
        <w:t xml:space="preserve"> en passant la souris au</w:t>
      </w:r>
      <w:r w:rsidR="002D6F2A" w:rsidRPr="005C7CCE">
        <w:noBreakHyphen/>
      </w:r>
      <w:r w:rsidRPr="005C7CCE">
        <w:t>dessus de l</w:t>
      </w:r>
      <w:r w:rsidR="00A20444" w:rsidRPr="005C7CCE">
        <w:t>’</w:t>
      </w:r>
      <w:r w:rsidRPr="005C7CCE">
        <w:t xml:space="preserve">icône. </w:t>
      </w:r>
      <w:r w:rsidR="0010442A" w:rsidRPr="005C7CCE">
        <w:t xml:space="preserve"> </w:t>
      </w:r>
      <w:r w:rsidRPr="005C7CCE">
        <w:t xml:space="preserve">Par ailleurs, la prise en charge de trois nouvelles langues (italien, néerlandais et suédois) a été ajoutée aux neuf langues déjà disponibles dans le système de recherche multilingue </w:t>
      </w:r>
      <w:proofErr w:type="spellStart"/>
      <w:r w:rsidRPr="005C7CCE">
        <w:t>CLIR</w:t>
      </w:r>
      <w:proofErr w:type="spellEnd"/>
      <w:r w:rsidRPr="005C7CCE">
        <w:t xml:space="preserve"> (Cross Lingual Information </w:t>
      </w:r>
      <w:proofErr w:type="spellStart"/>
      <w:r w:rsidRPr="005C7CCE">
        <w:t>Retrieval</w:t>
      </w:r>
      <w:proofErr w:type="spellEnd"/>
      <w:r w:rsidRPr="005C7CCE">
        <w:t xml:space="preserve">), portant ainsi le nombre total de langues prises en charge à 12. </w:t>
      </w:r>
      <w:r w:rsidR="0010442A" w:rsidRPr="005C7CCE">
        <w:t xml:space="preserve"> </w:t>
      </w:r>
      <w:r w:rsidRPr="005C7CCE">
        <w:t xml:space="preserve">En outre, le système de traduction automatique </w:t>
      </w:r>
      <w:proofErr w:type="spellStart"/>
      <w:r w:rsidRPr="005C7CCE">
        <w:t>TAPTA</w:t>
      </w:r>
      <w:proofErr w:type="spellEnd"/>
      <w:r w:rsidRPr="005C7CCE">
        <w:t xml:space="preserve"> (Translation Assistant for Patent </w:t>
      </w:r>
      <w:proofErr w:type="spellStart"/>
      <w:r w:rsidRPr="005C7CCE">
        <w:t>Titles</w:t>
      </w:r>
      <w:proofErr w:type="spellEnd"/>
      <w:r w:rsidRPr="005C7CCE">
        <w:t xml:space="preserve"> and Abstracts), créé en interne, a été élargi pour inclure deux paires de langues difficiles : anglais et allemand, et anglais et japonais.</w:t>
      </w:r>
    </w:p>
    <w:p w:rsidR="00D42474" w:rsidRDefault="00D42474" w:rsidP="001A5BF9">
      <w:pPr>
        <w:tabs>
          <w:tab w:val="left" w:pos="709"/>
        </w:tabs>
        <w:autoSpaceDE w:val="0"/>
        <w:autoSpaceDN w:val="0"/>
        <w:adjustRightInd w:val="0"/>
        <w:jc w:val="both"/>
        <w:rPr>
          <w:rFonts w:cs="Arial"/>
          <w:bCs/>
          <w:color w:val="000000"/>
          <w:szCs w:val="22"/>
        </w:rPr>
      </w:pPr>
    </w:p>
    <w:p w:rsidR="00D42474" w:rsidRDefault="00784E52" w:rsidP="001A5BF9">
      <w:pPr>
        <w:pStyle w:val="Style1"/>
        <w:numPr>
          <w:ilvl w:val="0"/>
          <w:numId w:val="0"/>
        </w:numPr>
        <w:tabs>
          <w:tab w:val="left" w:pos="709"/>
        </w:tabs>
        <w:jc w:val="both"/>
      </w:pPr>
      <w:r w:rsidRPr="005C7CCE">
        <w:t>13.2.</w:t>
      </w:r>
      <w:r w:rsidRPr="005C7CCE">
        <w:tab/>
        <w:t>L</w:t>
      </w:r>
      <w:r w:rsidR="00A20444" w:rsidRPr="005C7CCE">
        <w:t>’</w:t>
      </w:r>
      <w:r w:rsidRPr="005C7CCE">
        <w:t>utilisation de PATENTSCOPE a augmenté de 10</w:t>
      </w:r>
      <w:r w:rsidR="007E442D" w:rsidRPr="005C7CCE">
        <w:t>%</w:t>
      </w:r>
      <w:r w:rsidRPr="005C7CCE">
        <w:t xml:space="preserve">, passant de 216 289 utilisateurs par trimestre en 2011 à 237 446 en 2013, en dépit des problèmes du réseau de distribution du contenu rencontrés en 2012. </w:t>
      </w:r>
      <w:r w:rsidR="0010442A" w:rsidRPr="005C7CCE">
        <w:t xml:space="preserve"> </w:t>
      </w:r>
      <w:r w:rsidRPr="005C7CCE">
        <w:t xml:space="preserve">Le nombre des collections figurant dans PATENTSCOPE a augmenté de manière régulière pour passer de 28 à 36 entre 2011 et 2013, avec notamment une importante adjonction des collections américaine, chinoise et japonaise, qui ont plus que triplé le nombre des entrées (documents) de 10 millions à 34 millions. </w:t>
      </w:r>
      <w:r w:rsidR="0010442A" w:rsidRPr="005C7CCE">
        <w:t xml:space="preserve"> </w:t>
      </w:r>
      <w:r w:rsidRPr="005C7CCE">
        <w:t>Des mesures significatives ont été prises pour ajouter des collections de données nationales et régionales supplémentaires (désignées comme “hors PCT” dans le graphique ci</w:t>
      </w:r>
      <w:r w:rsidR="002D6F2A" w:rsidRPr="005C7CCE">
        <w:noBreakHyphen/>
      </w:r>
      <w:r w:rsidRPr="005C7CCE">
        <w:t>dessous) sont en cours.</w:t>
      </w:r>
    </w:p>
    <w:p w:rsidR="00D42474" w:rsidRDefault="00D42474" w:rsidP="001A5BF9">
      <w:pPr>
        <w:autoSpaceDE w:val="0"/>
        <w:autoSpaceDN w:val="0"/>
        <w:adjustRightInd w:val="0"/>
        <w:rPr>
          <w:rFonts w:cs="Arial"/>
          <w:bCs/>
          <w:color w:val="000000"/>
          <w:szCs w:val="22"/>
        </w:rPr>
      </w:pPr>
    </w:p>
    <w:p w:rsidR="00D42474" w:rsidRDefault="00784E52" w:rsidP="001A5BF9">
      <w:pPr>
        <w:autoSpaceDE w:val="0"/>
        <w:autoSpaceDN w:val="0"/>
        <w:adjustRightInd w:val="0"/>
        <w:jc w:val="center"/>
        <w:rPr>
          <w:rFonts w:cs="Arial"/>
          <w:bCs/>
          <w:color w:val="000000"/>
          <w:szCs w:val="22"/>
        </w:rPr>
      </w:pPr>
      <w:r w:rsidRPr="005C7CCE">
        <w:rPr>
          <w:color w:val="000000"/>
        </w:rPr>
        <w:t>Entrées PATENTSCOPE 2012</w:t>
      </w:r>
      <w:r w:rsidR="002D6F2A" w:rsidRPr="005C7CCE">
        <w:rPr>
          <w:color w:val="000000"/>
        </w:rPr>
        <w:noBreakHyphen/>
      </w:r>
      <w:r w:rsidRPr="005C7CCE">
        <w:rPr>
          <w:color w:val="000000"/>
        </w:rPr>
        <w:t>2013</w:t>
      </w:r>
    </w:p>
    <w:p w:rsidR="00D42474" w:rsidRDefault="00D42474" w:rsidP="001A5BF9">
      <w:pPr>
        <w:autoSpaceDE w:val="0"/>
        <w:autoSpaceDN w:val="0"/>
        <w:adjustRightInd w:val="0"/>
        <w:jc w:val="center"/>
        <w:rPr>
          <w:rFonts w:cs="Arial"/>
          <w:bCs/>
          <w:color w:val="000000"/>
          <w:szCs w:val="22"/>
        </w:rPr>
      </w:pPr>
    </w:p>
    <w:p w:rsidR="00D42474" w:rsidRDefault="00D656BD" w:rsidP="001A5BF9">
      <w:pPr>
        <w:autoSpaceDE w:val="0"/>
        <w:autoSpaceDN w:val="0"/>
        <w:adjustRightInd w:val="0"/>
        <w:jc w:val="center"/>
        <w:rPr>
          <w:rFonts w:cs="Arial"/>
          <w:bCs/>
          <w:color w:val="000000"/>
          <w:szCs w:val="22"/>
        </w:rPr>
      </w:pPr>
      <w:r w:rsidRPr="005C7CCE">
        <w:rPr>
          <w:noProof/>
        </w:rPr>
        <w:drawing>
          <wp:inline distT="0" distB="0" distL="0" distR="0" wp14:anchorId="23B9F758" wp14:editId="3052B2AD">
            <wp:extent cx="4478655" cy="3007360"/>
            <wp:effectExtent l="0" t="0" r="17145" b="21590"/>
            <wp:docPr id="52"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D42474" w:rsidRDefault="00D42474" w:rsidP="001A5BF9">
      <w:pPr>
        <w:autoSpaceDE w:val="0"/>
        <w:autoSpaceDN w:val="0"/>
        <w:adjustRightInd w:val="0"/>
        <w:jc w:val="both"/>
        <w:rPr>
          <w:rFonts w:cs="Arial"/>
          <w:bCs/>
          <w:color w:val="000000"/>
          <w:szCs w:val="22"/>
        </w:rPr>
      </w:pPr>
    </w:p>
    <w:p w:rsidR="00D42474" w:rsidRDefault="00D42474" w:rsidP="001A5BF9">
      <w:pPr>
        <w:pStyle w:val="Style1"/>
        <w:numPr>
          <w:ilvl w:val="0"/>
          <w:numId w:val="0"/>
        </w:numPr>
        <w:tabs>
          <w:tab w:val="left" w:pos="709"/>
        </w:tabs>
        <w:jc w:val="both"/>
      </w:pPr>
    </w:p>
    <w:p w:rsidR="00D42474" w:rsidRDefault="00784E52" w:rsidP="001A5BF9">
      <w:pPr>
        <w:pStyle w:val="Style1"/>
        <w:numPr>
          <w:ilvl w:val="0"/>
          <w:numId w:val="0"/>
        </w:numPr>
        <w:tabs>
          <w:tab w:val="left" w:pos="709"/>
        </w:tabs>
        <w:jc w:val="both"/>
      </w:pPr>
      <w:r w:rsidRPr="005C7CCE">
        <w:t>13.3.</w:t>
      </w:r>
      <w:r w:rsidRPr="005C7CCE">
        <w:tab/>
        <w:t>La base de données mondiale sur les marques a été mise en œuvre en 2012 avec les collections des systèmes de Madrid, de Lisbonne et de l</w:t>
      </w:r>
      <w:r w:rsidR="00A20444" w:rsidRPr="005C7CCE">
        <w:t>’</w:t>
      </w:r>
      <w:r w:rsidRPr="005C7CCE">
        <w:t>article </w:t>
      </w:r>
      <w:proofErr w:type="spellStart"/>
      <w:r w:rsidRPr="005C7CCE">
        <w:t>6</w:t>
      </w:r>
      <w:r w:rsidRPr="005C7CCE">
        <w:rPr>
          <w:i/>
        </w:rPr>
        <w:t>ter</w:t>
      </w:r>
      <w:proofErr w:type="spellEnd"/>
      <w:r w:rsidRPr="005C7CCE">
        <w:t xml:space="preserve">. </w:t>
      </w:r>
      <w:r w:rsidR="0010442A" w:rsidRPr="005C7CCE">
        <w:t xml:space="preserve"> </w:t>
      </w:r>
      <w:r w:rsidRPr="005C7CCE">
        <w:t>L</w:t>
      </w:r>
      <w:r w:rsidR="00A20444" w:rsidRPr="005C7CCE">
        <w:t>’</w:t>
      </w:r>
      <w:r w:rsidRPr="005C7CCE">
        <w:t>utilisation de la base de données a augmenté de manière stable sur 2012 et 2013, avec une progression de 13 000 à 23</w:t>
      </w:r>
      <w:r w:rsidR="0010442A" w:rsidRPr="005C7CCE">
        <w:t> </w:t>
      </w:r>
      <w:r w:rsidRPr="005C7CCE">
        <w:t xml:space="preserve">000 utilisateurs par trimestre respectivement par rapport aux </w:t>
      </w:r>
      <w:r w:rsidR="0010442A" w:rsidRPr="005C7CCE">
        <w:t>9000</w:t>
      </w:r>
      <w:r w:rsidRPr="005C7CCE">
        <w:t> utilisateurs par trimestre de 2011.</w:t>
      </w:r>
      <w:r w:rsidR="0010442A" w:rsidRPr="005C7CCE">
        <w:t xml:space="preserve"> </w:t>
      </w:r>
      <w:r w:rsidRPr="005C7CCE">
        <w:t xml:space="preserve"> Le processus consistant à ajouter de nouvelles collections nationales a été mis en place en 2012 avec l</w:t>
      </w:r>
      <w:r w:rsidR="00A20444" w:rsidRPr="005C7CCE">
        <w:t>’</w:t>
      </w:r>
      <w:r w:rsidRPr="005C7CCE">
        <w:t>adjonction de trois collections nationales, portant le nombre total de collections nationales (désigné comme “hors Madrid” dans le graphique ci</w:t>
      </w:r>
      <w:r w:rsidR="002D6F2A" w:rsidRPr="005C7CCE">
        <w:noBreakHyphen/>
      </w:r>
      <w:r w:rsidRPr="005C7CCE">
        <w:t xml:space="preserve">dessous) à 12 en 2013. </w:t>
      </w:r>
      <w:r w:rsidR="0010442A" w:rsidRPr="005C7CCE">
        <w:t xml:space="preserve"> </w:t>
      </w:r>
      <w:r w:rsidRPr="005C7CCE">
        <w:t>Le nombre d</w:t>
      </w:r>
      <w:r w:rsidR="00A20444" w:rsidRPr="005C7CCE">
        <w:t>’</w:t>
      </w:r>
      <w:r w:rsidRPr="005C7CCE">
        <w:t>entrées maintenues dans le système a augmenté de manière significative au cours de l</w:t>
      </w:r>
      <w:r w:rsidR="00A20444" w:rsidRPr="005C7CCE">
        <w:t>’</w:t>
      </w:r>
      <w:r w:rsidRPr="005C7CCE">
        <w:t>exercice biennal, passant de 700 000 à 12 millions.</w:t>
      </w:r>
    </w:p>
    <w:p w:rsidR="00D42474" w:rsidRDefault="00D42474" w:rsidP="001A5BF9">
      <w:pPr>
        <w:pStyle w:val="Style1"/>
        <w:numPr>
          <w:ilvl w:val="0"/>
          <w:numId w:val="0"/>
        </w:numPr>
        <w:tabs>
          <w:tab w:val="left" w:pos="709"/>
        </w:tabs>
        <w:ind w:left="720" w:hanging="360"/>
        <w:jc w:val="both"/>
      </w:pPr>
    </w:p>
    <w:p w:rsidR="00D42474" w:rsidRDefault="00784E52" w:rsidP="001A5BF9">
      <w:pPr>
        <w:pStyle w:val="Style1"/>
        <w:keepNext/>
        <w:keepLines/>
        <w:numPr>
          <w:ilvl w:val="0"/>
          <w:numId w:val="0"/>
        </w:numPr>
        <w:ind w:left="720"/>
        <w:jc w:val="center"/>
        <w:rPr>
          <w:sz w:val="24"/>
        </w:rPr>
      </w:pPr>
      <w:r w:rsidRPr="005C7CCE">
        <w:rPr>
          <w:sz w:val="24"/>
        </w:rPr>
        <w:t>Base de données mondiale sur les marques 2012</w:t>
      </w:r>
      <w:r w:rsidR="002D6F2A" w:rsidRPr="005C7CCE">
        <w:rPr>
          <w:sz w:val="24"/>
        </w:rPr>
        <w:noBreakHyphen/>
      </w:r>
      <w:r w:rsidRPr="005C7CCE">
        <w:rPr>
          <w:sz w:val="24"/>
        </w:rPr>
        <w:t>2013</w:t>
      </w:r>
    </w:p>
    <w:p w:rsidR="00D42474" w:rsidRDefault="00D42474" w:rsidP="001A5BF9">
      <w:pPr>
        <w:keepNext/>
        <w:keepLines/>
        <w:ind w:left="2268" w:hanging="2268"/>
        <w:jc w:val="center"/>
        <w:rPr>
          <w:b/>
          <w:bCs/>
          <w:szCs w:val="22"/>
        </w:rPr>
      </w:pPr>
    </w:p>
    <w:p w:rsidR="00D42474" w:rsidRDefault="00D656BD" w:rsidP="001A5BF9">
      <w:pPr>
        <w:keepNext/>
        <w:keepLines/>
        <w:jc w:val="center"/>
        <w:rPr>
          <w:b/>
          <w:bCs/>
          <w:szCs w:val="22"/>
        </w:rPr>
      </w:pPr>
      <w:r w:rsidRPr="005C7CCE">
        <w:rPr>
          <w:noProof/>
        </w:rPr>
        <w:drawing>
          <wp:inline distT="0" distB="0" distL="0" distR="0" wp14:anchorId="6F9D6A2A" wp14:editId="04FECCDD">
            <wp:extent cx="4546600" cy="2264410"/>
            <wp:effectExtent l="0" t="0" r="25400" b="21590"/>
            <wp:docPr id="53"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D42474" w:rsidRDefault="00D42474" w:rsidP="001A5BF9">
      <w:pPr>
        <w:ind w:left="2268" w:hanging="2268"/>
        <w:rPr>
          <w:b/>
          <w:bCs/>
          <w:szCs w:val="22"/>
        </w:rPr>
      </w:pPr>
    </w:p>
    <w:p w:rsidR="00D42474" w:rsidRDefault="00D42474" w:rsidP="001A5BF9">
      <w:pPr>
        <w:ind w:left="2268" w:hanging="2268"/>
        <w:rPr>
          <w:b/>
          <w:bCs/>
          <w:szCs w:val="22"/>
        </w:rPr>
      </w:pPr>
    </w:p>
    <w:p w:rsidR="00D42474" w:rsidRDefault="00784E52" w:rsidP="001A5BF9">
      <w:pPr>
        <w:ind w:left="2268" w:hanging="2268"/>
      </w:pPr>
      <w:r w:rsidRPr="00D32A9C">
        <w:rPr>
          <w:sz w:val="22"/>
        </w:rPr>
        <w:t>MISE EN ŒUVRE DU PLAN D</w:t>
      </w:r>
      <w:r w:rsidR="00A20444" w:rsidRPr="00D32A9C">
        <w:rPr>
          <w:sz w:val="22"/>
        </w:rPr>
        <w:t>’</w:t>
      </w:r>
      <w:r w:rsidRPr="00D32A9C">
        <w:rPr>
          <w:sz w:val="22"/>
        </w:rPr>
        <w:t>ACTION POUR LE DÉVELOPPEMENT</w:t>
      </w:r>
    </w:p>
    <w:p w:rsidR="00D42474" w:rsidRDefault="00D42474" w:rsidP="001A5BF9">
      <w:pPr>
        <w:ind w:left="2268" w:hanging="2268"/>
        <w:jc w:val="both"/>
        <w:rPr>
          <w:b/>
          <w:szCs w:val="22"/>
        </w:rPr>
      </w:pPr>
    </w:p>
    <w:p w:rsidR="00D42474" w:rsidRDefault="00784E52" w:rsidP="001A5BF9">
      <w:pPr>
        <w:tabs>
          <w:tab w:val="left" w:pos="709"/>
        </w:tabs>
        <w:jc w:val="both"/>
        <w:rPr>
          <w:rFonts w:eastAsia="MS Mincho"/>
          <w:szCs w:val="20"/>
          <w:lang w:bidi="th-TH"/>
        </w:rPr>
      </w:pPr>
      <w:r w:rsidRPr="00D32A9C">
        <w:t>13.4</w:t>
      </w:r>
      <w:r w:rsidRPr="00D32A9C">
        <w:tab/>
        <w:t>Ce programme a continué de contribuer aux recommandations n</w:t>
      </w:r>
      <w:r w:rsidRPr="00D32A9C">
        <w:rPr>
          <w:vertAlign w:val="superscript"/>
        </w:rPr>
        <w:t>os</w:t>
      </w:r>
      <w:r w:rsidRPr="00D32A9C">
        <w:t xml:space="preserve"> 24 et 31 du Plan d</w:t>
      </w:r>
      <w:r w:rsidR="00A20444" w:rsidRPr="00D32A9C">
        <w:t>’</w:t>
      </w:r>
      <w:r w:rsidRPr="00D32A9C">
        <w:t>action pour le développement, comblant la fracture numérique et facilitant l</w:t>
      </w:r>
      <w:r w:rsidR="00A20444" w:rsidRPr="00D32A9C">
        <w:t>’</w:t>
      </w:r>
      <w:r w:rsidRPr="00D32A9C">
        <w:t>accès à l</w:t>
      </w:r>
      <w:r w:rsidR="00A20444" w:rsidRPr="00D32A9C">
        <w:t>’</w:t>
      </w:r>
      <w:r w:rsidRPr="00D32A9C">
        <w:t>information en matière de brevets accessible au public en continuant d</w:t>
      </w:r>
      <w:r w:rsidR="00A20444" w:rsidRPr="00D32A9C">
        <w:t>’</w:t>
      </w:r>
      <w:r w:rsidRPr="00D32A9C">
        <w:t>accroître le nombre des entrées de propriété intellectuelle disponibles à des fins de recherche et d</w:t>
      </w:r>
      <w:r w:rsidR="00A20444" w:rsidRPr="00D32A9C">
        <w:t>’</w:t>
      </w:r>
      <w:r w:rsidRPr="00D32A9C">
        <w:t>extension de la recherche et des fonctionnalités d</w:t>
      </w:r>
      <w:r w:rsidR="00A20444" w:rsidRPr="00D32A9C">
        <w:t>’</w:t>
      </w:r>
      <w:r w:rsidRPr="00D32A9C">
        <w:t>appui multilingues.</w:t>
      </w:r>
    </w:p>
    <w:p w:rsidR="00D42474" w:rsidRDefault="00D42474" w:rsidP="001A5BF9">
      <w:pPr>
        <w:ind w:left="2268" w:hanging="2268"/>
        <w:rPr>
          <w:b/>
          <w:szCs w:val="22"/>
        </w:rPr>
      </w:pPr>
    </w:p>
    <w:p w:rsidR="00D42474" w:rsidRDefault="00D42474" w:rsidP="001A5BF9">
      <w:pPr>
        <w:ind w:left="2268" w:hanging="2268"/>
        <w:rPr>
          <w:b/>
          <w:szCs w:val="22"/>
        </w:rPr>
      </w:pPr>
    </w:p>
    <w:p w:rsidR="00D42474" w:rsidRDefault="00784E52" w:rsidP="001A5BF9">
      <w:pPr>
        <w:rPr>
          <w:rFonts w:cs="Arial"/>
          <w:szCs w:val="22"/>
        </w:rPr>
      </w:pPr>
      <w:r w:rsidRPr="00D32A9C">
        <w:rPr>
          <w:sz w:val="22"/>
        </w:rPr>
        <w:t>DONNÉES RELATIVES À L</w:t>
      </w:r>
      <w:r w:rsidR="00A20444" w:rsidRPr="00D32A9C">
        <w:rPr>
          <w:sz w:val="22"/>
        </w:rPr>
        <w:t>’</w:t>
      </w:r>
      <w:r w:rsidRPr="00D32A9C">
        <w:rPr>
          <w:sz w:val="22"/>
        </w:rPr>
        <w:t>EXÉCUTION</w:t>
      </w:r>
    </w:p>
    <w:p w:rsidR="00784E52" w:rsidRPr="00D32A9C" w:rsidRDefault="00784E52" w:rsidP="001A5BF9">
      <w:pPr>
        <w:ind w:left="2268" w:hanging="2268"/>
        <w:rPr>
          <w:b/>
          <w:szCs w:val="22"/>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7"/>
        <w:gridCol w:w="2128"/>
        <w:gridCol w:w="1559"/>
        <w:gridCol w:w="6"/>
        <w:gridCol w:w="2141"/>
        <w:gridCol w:w="1256"/>
      </w:tblGrid>
      <w:tr w:rsidR="00784E52" w:rsidRPr="00D32A9C" w:rsidTr="00BB3F3E">
        <w:trPr>
          <w:cantSplit/>
        </w:trPr>
        <w:tc>
          <w:tcPr>
            <w:tcW w:w="5000" w:type="pct"/>
            <w:gridSpan w:val="6"/>
            <w:tcBorders>
              <w:top w:val="single" w:sz="4" w:space="0" w:color="auto"/>
              <w:left w:val="single" w:sz="4" w:space="0" w:color="auto"/>
              <w:bottom w:val="nil"/>
              <w:right w:val="single" w:sz="4" w:space="0" w:color="auto"/>
            </w:tcBorders>
            <w:shd w:val="clear" w:color="auto" w:fill="CCFFFF"/>
            <w:vAlign w:val="center"/>
          </w:tcPr>
          <w:p w:rsidR="00784E52" w:rsidRPr="00D32A9C" w:rsidRDefault="00784E52" w:rsidP="001A5BF9">
            <w:pPr>
              <w:keepNext/>
              <w:keepLines/>
              <w:tabs>
                <w:tab w:val="left" w:pos="1452"/>
              </w:tabs>
              <w:spacing w:before="120" w:after="120"/>
              <w:ind w:left="1701" w:hanging="1701"/>
              <w:rPr>
                <w:rFonts w:cs="Arial"/>
                <w:b/>
                <w:bCs/>
                <w:sz w:val="16"/>
                <w:szCs w:val="16"/>
              </w:rPr>
            </w:pPr>
            <w:r w:rsidRPr="00D32A9C">
              <w:rPr>
                <w:b/>
                <w:sz w:val="16"/>
              </w:rPr>
              <w:t>Résultat escompté</w:t>
            </w:r>
            <w:r w:rsidR="0010442A" w:rsidRPr="00D32A9C">
              <w:rPr>
                <w:b/>
                <w:sz w:val="16"/>
              </w:rPr>
              <w:t xml:space="preserve"> : </w:t>
            </w:r>
            <w:r w:rsidRPr="00D32A9C">
              <w:rPr>
                <w:b/>
                <w:sz w:val="16"/>
              </w:rPr>
              <w:tab/>
            </w:r>
            <w:r w:rsidRPr="00D32A9C">
              <w:rPr>
                <w:sz w:val="16"/>
              </w:rPr>
              <w:t>Amélioration de l</w:t>
            </w:r>
            <w:r w:rsidR="00A20444" w:rsidRPr="00D32A9C">
              <w:rPr>
                <w:sz w:val="16"/>
              </w:rPr>
              <w:t>’</w:t>
            </w:r>
            <w:r w:rsidRPr="00D32A9C">
              <w:rPr>
                <w:sz w:val="16"/>
              </w:rPr>
              <w:t>accès aux informations et au savoir en matière de propriété intellectuelle et leur utilisation par les institutions de propriété intellectuelle et le public au service de l</w:t>
            </w:r>
            <w:r w:rsidR="00A20444" w:rsidRPr="00D32A9C">
              <w:rPr>
                <w:sz w:val="16"/>
              </w:rPr>
              <w:t>’</w:t>
            </w:r>
            <w:r w:rsidRPr="00D32A9C">
              <w:rPr>
                <w:sz w:val="16"/>
              </w:rPr>
              <w:t>innovation, et facilité d</w:t>
            </w:r>
            <w:r w:rsidR="00A20444" w:rsidRPr="00D32A9C">
              <w:rPr>
                <w:sz w:val="16"/>
              </w:rPr>
              <w:t>’</w:t>
            </w:r>
            <w:r w:rsidRPr="00D32A9C">
              <w:rPr>
                <w:sz w:val="16"/>
              </w:rPr>
              <w:t>accès aux œuvres créatives protégées et aux œuvres créatives tombées dans le domaine public</w:t>
            </w:r>
          </w:p>
        </w:tc>
      </w:tr>
      <w:tr w:rsidR="00784E52" w:rsidRPr="00D32A9C" w:rsidTr="00BB3F3E">
        <w:trPr>
          <w:cantSplit/>
        </w:trPr>
        <w:tc>
          <w:tcPr>
            <w:tcW w:w="1212" w:type="pct"/>
            <w:tcBorders>
              <w:top w:val="single" w:sz="4" w:space="0" w:color="auto"/>
              <w:left w:val="single" w:sz="4" w:space="0" w:color="auto"/>
              <w:bottom w:val="nil"/>
            </w:tcBorders>
            <w:shd w:val="clear" w:color="auto" w:fill="auto"/>
            <w:vAlign w:val="center"/>
          </w:tcPr>
          <w:p w:rsidR="00784E52" w:rsidRPr="00D32A9C" w:rsidRDefault="00784E52" w:rsidP="001A5BF9">
            <w:pPr>
              <w:rPr>
                <w:rFonts w:cs="Arial"/>
                <w:sz w:val="16"/>
                <w:szCs w:val="16"/>
              </w:rPr>
            </w:pPr>
            <w:r w:rsidRPr="00D32A9C">
              <w:rPr>
                <w:b/>
                <w:sz w:val="16"/>
              </w:rPr>
              <w:t>Indicateurs d</w:t>
            </w:r>
            <w:r w:rsidR="00A20444" w:rsidRPr="00D32A9C">
              <w:rPr>
                <w:b/>
                <w:sz w:val="16"/>
              </w:rPr>
              <w:t>’</w:t>
            </w:r>
            <w:r w:rsidRPr="00D32A9C">
              <w:rPr>
                <w:b/>
                <w:sz w:val="16"/>
              </w:rPr>
              <w:t>exécution</w:t>
            </w:r>
          </w:p>
        </w:tc>
        <w:tc>
          <w:tcPr>
            <w:tcW w:w="1137" w:type="pct"/>
            <w:tcBorders>
              <w:top w:val="single" w:sz="4" w:space="0" w:color="auto"/>
              <w:bottom w:val="nil"/>
            </w:tcBorders>
            <w:shd w:val="clear" w:color="auto" w:fill="auto"/>
            <w:vAlign w:val="center"/>
          </w:tcPr>
          <w:p w:rsidR="00784E52" w:rsidRPr="00D32A9C" w:rsidRDefault="00784E52" w:rsidP="001A5BF9">
            <w:pPr>
              <w:rPr>
                <w:rFonts w:cs="Arial"/>
                <w:b/>
                <w:bCs/>
                <w:sz w:val="16"/>
                <w:szCs w:val="16"/>
              </w:rPr>
            </w:pPr>
            <w:r w:rsidRPr="00D32A9C">
              <w:rPr>
                <w:b/>
                <w:sz w:val="16"/>
              </w:rPr>
              <w:t>Niveaux de référence</w:t>
            </w:r>
          </w:p>
        </w:tc>
        <w:tc>
          <w:tcPr>
            <w:tcW w:w="836" w:type="pct"/>
            <w:gridSpan w:val="2"/>
            <w:tcBorders>
              <w:top w:val="single" w:sz="4" w:space="0" w:color="auto"/>
              <w:bottom w:val="nil"/>
            </w:tcBorders>
            <w:shd w:val="clear" w:color="auto" w:fill="auto"/>
            <w:tcMar>
              <w:top w:w="110" w:type="dxa"/>
            </w:tcMar>
            <w:vAlign w:val="center"/>
          </w:tcPr>
          <w:p w:rsidR="00784E52" w:rsidRPr="00D32A9C" w:rsidRDefault="00784E52" w:rsidP="001A5BF9">
            <w:pPr>
              <w:rPr>
                <w:rFonts w:cs="Arial"/>
                <w:b/>
                <w:sz w:val="16"/>
                <w:szCs w:val="16"/>
              </w:rPr>
            </w:pPr>
            <w:r w:rsidRPr="00D32A9C">
              <w:rPr>
                <w:b/>
                <w:sz w:val="16"/>
              </w:rPr>
              <w:t>Objectifs visés</w:t>
            </w:r>
          </w:p>
        </w:tc>
        <w:tc>
          <w:tcPr>
            <w:tcW w:w="1144" w:type="pct"/>
            <w:tcBorders>
              <w:top w:val="single" w:sz="4" w:space="0" w:color="auto"/>
              <w:bottom w:val="nil"/>
            </w:tcBorders>
            <w:shd w:val="clear" w:color="auto" w:fill="FFFFFF"/>
            <w:tcMar>
              <w:top w:w="110" w:type="dxa"/>
            </w:tcMar>
            <w:vAlign w:val="center"/>
          </w:tcPr>
          <w:p w:rsidR="00784E52" w:rsidRPr="00D32A9C" w:rsidRDefault="00784E52" w:rsidP="001A5BF9">
            <w:pPr>
              <w:rPr>
                <w:rFonts w:cs="Arial"/>
                <w:sz w:val="16"/>
                <w:szCs w:val="16"/>
              </w:rPr>
            </w:pPr>
            <w:r w:rsidRPr="00D32A9C">
              <w:rPr>
                <w:b/>
                <w:sz w:val="16"/>
              </w:rPr>
              <w:t>Données relatives à l</w:t>
            </w:r>
            <w:r w:rsidR="00A20444" w:rsidRPr="00D32A9C">
              <w:rPr>
                <w:b/>
                <w:sz w:val="16"/>
              </w:rPr>
              <w:t>’</w:t>
            </w:r>
            <w:r w:rsidRPr="00D32A9C">
              <w:rPr>
                <w:b/>
                <w:sz w:val="16"/>
              </w:rPr>
              <w:t>exécution</w:t>
            </w:r>
          </w:p>
        </w:tc>
        <w:tc>
          <w:tcPr>
            <w:tcW w:w="671" w:type="pct"/>
            <w:tcBorders>
              <w:top w:val="single" w:sz="4" w:space="0" w:color="auto"/>
              <w:bottom w:val="nil"/>
              <w:right w:val="single" w:sz="4" w:space="0" w:color="auto"/>
            </w:tcBorders>
            <w:shd w:val="clear" w:color="auto" w:fill="auto"/>
            <w:tcMar>
              <w:top w:w="110" w:type="dxa"/>
            </w:tcMar>
            <w:vAlign w:val="center"/>
          </w:tcPr>
          <w:p w:rsidR="00784E52" w:rsidRPr="00D32A9C" w:rsidRDefault="00784E52" w:rsidP="001A5BF9">
            <w:pPr>
              <w:keepNext/>
              <w:keepLines/>
              <w:jc w:val="center"/>
              <w:rPr>
                <w:rFonts w:cs="Arial"/>
                <w:b/>
                <w:bCs/>
                <w:sz w:val="16"/>
                <w:szCs w:val="16"/>
              </w:rPr>
            </w:pPr>
            <w:r w:rsidRPr="00D32A9C">
              <w:rPr>
                <w:b/>
                <w:sz w:val="16"/>
              </w:rPr>
              <w:t>Code de couleurs</w:t>
            </w:r>
          </w:p>
        </w:tc>
      </w:tr>
      <w:tr w:rsidR="00784E52" w:rsidRPr="005C7CCE" w:rsidTr="00BB3F3E">
        <w:trPr>
          <w:cantSplit/>
        </w:trPr>
        <w:tc>
          <w:tcPr>
            <w:tcW w:w="1212" w:type="pct"/>
            <w:tcBorders>
              <w:top w:val="nil"/>
              <w:left w:val="single" w:sz="4" w:space="0" w:color="auto"/>
              <w:bottom w:val="nil"/>
            </w:tcBorders>
            <w:shd w:val="clear" w:color="auto" w:fill="auto"/>
          </w:tcPr>
          <w:p w:rsidR="00784E52" w:rsidRPr="00D32A9C" w:rsidRDefault="00784E52" w:rsidP="001A5BF9">
            <w:pPr>
              <w:rPr>
                <w:rFonts w:cs="Arial"/>
                <w:sz w:val="16"/>
                <w:szCs w:val="16"/>
              </w:rPr>
            </w:pPr>
            <w:r w:rsidRPr="00D32A9C">
              <w:rPr>
                <w:sz w:val="16"/>
              </w:rPr>
              <w:t>Nombre d</w:t>
            </w:r>
            <w:r w:rsidR="00A20444" w:rsidRPr="00D32A9C">
              <w:rPr>
                <w:sz w:val="16"/>
              </w:rPr>
              <w:t>’</w:t>
            </w:r>
            <w:r w:rsidRPr="00D32A9C">
              <w:rPr>
                <w:sz w:val="16"/>
              </w:rPr>
              <w:t>utilisateurs différents par trimestre/système (PATENTSCOPE/Base de données mondiale sur les marques)</w:t>
            </w:r>
          </w:p>
        </w:tc>
        <w:tc>
          <w:tcPr>
            <w:tcW w:w="1137" w:type="pct"/>
            <w:tcBorders>
              <w:top w:val="nil"/>
              <w:bottom w:val="nil"/>
            </w:tcBorders>
            <w:shd w:val="clear" w:color="auto" w:fill="auto"/>
          </w:tcPr>
          <w:p w:rsidR="00D42474" w:rsidRDefault="00784E52" w:rsidP="001A5BF9">
            <w:pPr>
              <w:rPr>
                <w:rFonts w:cs="Arial"/>
                <w:color w:val="002060"/>
                <w:sz w:val="16"/>
                <w:szCs w:val="16"/>
              </w:rPr>
            </w:pPr>
            <w:r w:rsidRPr="005C7CCE">
              <w:rPr>
                <w:i/>
                <w:color w:val="002060"/>
                <w:sz w:val="16"/>
              </w:rPr>
              <w:t>Niveau de référence actualisé fin 2011 :</w:t>
            </w:r>
            <w:r w:rsidRPr="005C7CCE">
              <w:br/>
            </w:r>
          </w:p>
          <w:p w:rsidR="00D42474" w:rsidRDefault="00784E52" w:rsidP="001A5BF9">
            <w:pPr>
              <w:rPr>
                <w:rFonts w:cs="Arial"/>
                <w:color w:val="002060"/>
                <w:sz w:val="16"/>
                <w:szCs w:val="16"/>
                <w:lang w:bidi="th-TH"/>
              </w:rPr>
            </w:pPr>
            <w:r w:rsidRPr="005C7CCE">
              <w:rPr>
                <w:color w:val="002060"/>
                <w:sz w:val="16"/>
              </w:rPr>
              <w:t>PATENTSCOPE : 216 289</w:t>
            </w:r>
          </w:p>
          <w:p w:rsidR="00D42474" w:rsidRDefault="00D42474" w:rsidP="001A5BF9">
            <w:pPr>
              <w:rPr>
                <w:rFonts w:cs="Arial"/>
                <w:color w:val="002060"/>
                <w:sz w:val="8"/>
                <w:szCs w:val="8"/>
                <w:lang w:bidi="th-TH"/>
              </w:rPr>
            </w:pPr>
          </w:p>
          <w:p w:rsidR="00D42474" w:rsidRDefault="00D42474" w:rsidP="001A5BF9">
            <w:pPr>
              <w:rPr>
                <w:rFonts w:cs="Arial"/>
                <w:color w:val="002060"/>
                <w:sz w:val="16"/>
                <w:szCs w:val="16"/>
                <w:lang w:bidi="th-TH"/>
              </w:rPr>
            </w:pPr>
          </w:p>
          <w:p w:rsidR="00D42474" w:rsidRDefault="00D42474" w:rsidP="001A5BF9">
            <w:pPr>
              <w:rPr>
                <w:rFonts w:cs="Arial"/>
                <w:color w:val="002060"/>
                <w:sz w:val="16"/>
                <w:szCs w:val="16"/>
                <w:lang w:bidi="th-TH"/>
              </w:rPr>
            </w:pPr>
          </w:p>
          <w:p w:rsidR="00D42474" w:rsidRDefault="00D42474" w:rsidP="001A5BF9">
            <w:pPr>
              <w:rPr>
                <w:rFonts w:cs="Arial"/>
                <w:color w:val="002060"/>
                <w:sz w:val="16"/>
                <w:szCs w:val="16"/>
                <w:lang w:bidi="th-TH"/>
              </w:rPr>
            </w:pPr>
          </w:p>
          <w:p w:rsidR="00D42474" w:rsidRDefault="00784E52" w:rsidP="001A5BF9">
            <w:pPr>
              <w:rPr>
                <w:rFonts w:cs="Arial"/>
                <w:i/>
                <w:color w:val="002060"/>
                <w:sz w:val="16"/>
                <w:szCs w:val="16"/>
                <w:lang w:bidi="th-TH"/>
              </w:rPr>
            </w:pPr>
            <w:r w:rsidRPr="005C7CCE">
              <w:rPr>
                <w:color w:val="002060"/>
                <w:sz w:val="16"/>
              </w:rPr>
              <w:t xml:space="preserve">Base de données mondiale </w:t>
            </w:r>
            <w:r w:rsidRPr="005C7CCE">
              <w:br/>
            </w:r>
            <w:r w:rsidRPr="005C7CCE">
              <w:rPr>
                <w:color w:val="002060"/>
                <w:sz w:val="16"/>
              </w:rPr>
              <w:t xml:space="preserve">sur les marques : </w:t>
            </w:r>
            <w:r w:rsidR="0010442A" w:rsidRPr="005C7CCE">
              <w:rPr>
                <w:color w:val="002060"/>
                <w:sz w:val="16"/>
              </w:rPr>
              <w:t>9000</w:t>
            </w:r>
          </w:p>
          <w:p w:rsidR="00D42474" w:rsidRDefault="00D42474" w:rsidP="001A5BF9">
            <w:pPr>
              <w:rPr>
                <w:rFonts w:cs="Arial"/>
                <w:i/>
                <w:sz w:val="8"/>
                <w:szCs w:val="8"/>
                <w:lang w:bidi="th-TH"/>
              </w:rPr>
            </w:pPr>
          </w:p>
          <w:p w:rsidR="00D42474" w:rsidRDefault="00784E52" w:rsidP="001A5BF9">
            <w:pPr>
              <w:rPr>
                <w:rFonts w:cs="Arial"/>
                <w:sz w:val="16"/>
                <w:szCs w:val="16"/>
                <w:lang w:bidi="th-TH"/>
              </w:rPr>
            </w:pPr>
            <w:r w:rsidRPr="005C7CCE">
              <w:rPr>
                <w:i/>
                <w:sz w:val="16"/>
              </w:rPr>
              <w:t>Niveau de référence initial</w:t>
            </w:r>
          </w:p>
          <w:p w:rsidR="00D42474" w:rsidRDefault="00667FB3" w:rsidP="001A5BF9">
            <w:pPr>
              <w:rPr>
                <w:rFonts w:cs="Arial"/>
                <w:sz w:val="16"/>
                <w:szCs w:val="16"/>
              </w:rPr>
            </w:pPr>
            <w:r>
              <w:rPr>
                <w:i/>
                <w:sz w:val="16"/>
              </w:rPr>
              <w:t>programme et budget</w:t>
            </w:r>
            <w:r w:rsidR="00784E52" w:rsidRPr="005C7CCE">
              <w:rPr>
                <w:i/>
                <w:sz w:val="16"/>
              </w:rPr>
              <w:t> 2012</w:t>
            </w:r>
            <w:r w:rsidR="002D6F2A" w:rsidRPr="005C7CCE">
              <w:rPr>
                <w:i/>
                <w:sz w:val="16"/>
              </w:rPr>
              <w:noBreakHyphen/>
            </w:r>
            <w:r w:rsidR="00784E52" w:rsidRPr="005C7CCE">
              <w:rPr>
                <w:i/>
                <w:sz w:val="16"/>
              </w:rPr>
              <w:t>2013 :</w:t>
            </w:r>
          </w:p>
          <w:p w:rsidR="00D42474" w:rsidRDefault="00784E52" w:rsidP="001A5BF9">
            <w:pPr>
              <w:rPr>
                <w:sz w:val="16"/>
              </w:rPr>
            </w:pPr>
            <w:r w:rsidRPr="005C7CCE">
              <w:rPr>
                <w:color w:val="000000"/>
                <w:sz w:val="16"/>
              </w:rPr>
              <w:t xml:space="preserve">PATENTSCOPE : </w:t>
            </w:r>
            <w:r w:rsidRPr="00D32A9C">
              <w:rPr>
                <w:sz w:val="16"/>
              </w:rPr>
              <w:t>175</w:t>
            </w:r>
            <w:r w:rsidR="0010442A" w:rsidRPr="00D32A9C">
              <w:rPr>
                <w:sz w:val="16"/>
              </w:rPr>
              <w:t> </w:t>
            </w:r>
            <w:r w:rsidRPr="00D32A9C">
              <w:rPr>
                <w:sz w:val="16"/>
              </w:rPr>
              <w:t>000 (à compter de</w:t>
            </w:r>
            <w:r w:rsidR="0010442A" w:rsidRPr="00D32A9C">
              <w:rPr>
                <w:sz w:val="16"/>
              </w:rPr>
              <w:t> </w:t>
            </w:r>
            <w:r w:rsidRPr="00D32A9C">
              <w:rPr>
                <w:sz w:val="16"/>
              </w:rPr>
              <w:t>2011, nouveaux et vieux systèmes PATENTSCOPE)</w:t>
            </w:r>
          </w:p>
          <w:p w:rsidR="00D42474" w:rsidRDefault="00D42474" w:rsidP="001A5BF9">
            <w:pPr>
              <w:rPr>
                <w:rFonts w:cs="Arial"/>
                <w:sz w:val="8"/>
                <w:szCs w:val="8"/>
              </w:rPr>
            </w:pPr>
          </w:p>
          <w:p w:rsidR="00784E52" w:rsidRPr="005C7CCE" w:rsidRDefault="00784E52" w:rsidP="001A5BF9">
            <w:pPr>
              <w:rPr>
                <w:rFonts w:cs="Arial"/>
                <w:sz w:val="16"/>
                <w:szCs w:val="16"/>
              </w:rPr>
            </w:pPr>
            <w:r w:rsidRPr="005C7CCE">
              <w:rPr>
                <w:sz w:val="16"/>
              </w:rPr>
              <w:t>Base de données mondiale sur les marques : sans objet</w:t>
            </w:r>
          </w:p>
        </w:tc>
        <w:tc>
          <w:tcPr>
            <w:tcW w:w="836" w:type="pct"/>
            <w:gridSpan w:val="2"/>
            <w:tcBorders>
              <w:top w:val="nil"/>
              <w:bottom w:val="nil"/>
            </w:tcBorders>
            <w:shd w:val="clear" w:color="auto" w:fill="auto"/>
            <w:tcMar>
              <w:top w:w="110" w:type="dxa"/>
            </w:tcMar>
          </w:tcPr>
          <w:p w:rsidR="00D42474" w:rsidRDefault="00D42474" w:rsidP="001A5BF9">
            <w:pPr>
              <w:rPr>
                <w:rFonts w:cs="Arial"/>
                <w:sz w:val="16"/>
                <w:szCs w:val="16"/>
              </w:rPr>
            </w:pPr>
          </w:p>
          <w:p w:rsidR="00D42474" w:rsidRDefault="00D42474" w:rsidP="001A5BF9">
            <w:pPr>
              <w:rPr>
                <w:rFonts w:cs="Arial"/>
                <w:sz w:val="16"/>
                <w:szCs w:val="16"/>
              </w:rPr>
            </w:pPr>
          </w:p>
          <w:p w:rsidR="00D42474" w:rsidRDefault="00D42474" w:rsidP="001A5BF9">
            <w:pPr>
              <w:rPr>
                <w:rFonts w:cs="Arial"/>
                <w:sz w:val="16"/>
                <w:szCs w:val="16"/>
              </w:rPr>
            </w:pPr>
          </w:p>
          <w:p w:rsidR="00784E52" w:rsidRPr="005C7CCE" w:rsidRDefault="00784E52" w:rsidP="001A5BF9">
            <w:pPr>
              <w:rPr>
                <w:rFonts w:cs="Arial"/>
                <w:sz w:val="16"/>
                <w:szCs w:val="16"/>
              </w:rPr>
            </w:pPr>
            <w:r w:rsidRPr="005C7CCE">
              <w:rPr>
                <w:sz w:val="16"/>
              </w:rPr>
              <w:t>+10</w:t>
            </w:r>
            <w:r w:rsidR="007E442D" w:rsidRPr="005C7CCE">
              <w:rPr>
                <w:sz w:val="16"/>
              </w:rPr>
              <w:t>%</w:t>
            </w:r>
          </w:p>
        </w:tc>
        <w:tc>
          <w:tcPr>
            <w:tcW w:w="1144" w:type="pct"/>
            <w:tcBorders>
              <w:top w:val="nil"/>
              <w:bottom w:val="nil"/>
            </w:tcBorders>
            <w:shd w:val="clear" w:color="auto" w:fill="FFFFFF"/>
            <w:tcMar>
              <w:top w:w="110" w:type="dxa"/>
            </w:tcMar>
          </w:tcPr>
          <w:p w:rsidR="00D42474" w:rsidRDefault="00D42474" w:rsidP="001A5BF9">
            <w:pPr>
              <w:rPr>
                <w:rFonts w:cs="Arial"/>
                <w:sz w:val="16"/>
                <w:szCs w:val="16"/>
                <w:lang w:bidi="th-TH"/>
              </w:rPr>
            </w:pPr>
          </w:p>
          <w:p w:rsidR="00D42474" w:rsidRDefault="00D42474" w:rsidP="001A5BF9">
            <w:pPr>
              <w:rPr>
                <w:rFonts w:cs="Arial"/>
                <w:sz w:val="16"/>
                <w:szCs w:val="16"/>
                <w:lang w:bidi="th-TH"/>
              </w:rPr>
            </w:pP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D32A9C">
              <w:rPr>
                <w:sz w:val="16"/>
              </w:rPr>
              <w:t>PATENTSCOPE</w:t>
            </w:r>
            <w:r w:rsidR="0010442A" w:rsidRPr="00D32A9C">
              <w:rPr>
                <w:sz w:val="16"/>
              </w:rPr>
              <w:t> </w:t>
            </w:r>
            <w:r w:rsidRPr="00D32A9C">
              <w:rPr>
                <w:sz w:val="16"/>
              </w:rPr>
              <w:t>:</w:t>
            </w:r>
          </w:p>
          <w:p w:rsidR="00D42474" w:rsidRDefault="00784E52" w:rsidP="001A5BF9">
            <w:pPr>
              <w:rPr>
                <w:rFonts w:cs="Arial"/>
                <w:sz w:val="16"/>
                <w:szCs w:val="16"/>
                <w:lang w:bidi="th-TH"/>
              </w:rPr>
            </w:pPr>
            <w:r w:rsidRPr="005C7CCE">
              <w:rPr>
                <w:sz w:val="16"/>
              </w:rPr>
              <w:t>219 000 (2012)</w:t>
            </w:r>
          </w:p>
          <w:p w:rsidR="00D42474" w:rsidRDefault="00784E52" w:rsidP="001A5BF9">
            <w:pPr>
              <w:rPr>
                <w:rFonts w:cs="Arial"/>
                <w:sz w:val="16"/>
                <w:szCs w:val="16"/>
                <w:lang w:bidi="th-TH"/>
              </w:rPr>
            </w:pPr>
            <w:r w:rsidRPr="005C7CCE">
              <w:rPr>
                <w:sz w:val="16"/>
              </w:rPr>
              <w:t>237 446 (2013)</w:t>
            </w: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5C7CCE">
              <w:rPr>
                <w:sz w:val="16"/>
              </w:rPr>
              <w:t>Base de données mondiale sur les marques </w:t>
            </w:r>
            <w:proofErr w:type="gramStart"/>
            <w:r w:rsidRPr="005C7CCE">
              <w:rPr>
                <w:sz w:val="16"/>
              </w:rPr>
              <w:t>:</w:t>
            </w:r>
            <w:proofErr w:type="gramEnd"/>
            <w:r w:rsidRPr="005C7CCE">
              <w:br/>
            </w:r>
            <w:r w:rsidRPr="005C7CCE">
              <w:rPr>
                <w:sz w:val="16"/>
              </w:rPr>
              <w:t>13 000 (2012)</w:t>
            </w:r>
          </w:p>
          <w:p w:rsidR="00784E52" w:rsidRPr="005C7CCE" w:rsidRDefault="00784E52" w:rsidP="001A5BF9">
            <w:pPr>
              <w:rPr>
                <w:rFonts w:cs="Arial"/>
                <w:sz w:val="16"/>
                <w:szCs w:val="16"/>
              </w:rPr>
            </w:pPr>
            <w:r w:rsidRPr="005C7CCE">
              <w:rPr>
                <w:sz w:val="16"/>
              </w:rPr>
              <w:t>23 000 (2013)</w:t>
            </w:r>
          </w:p>
        </w:tc>
        <w:tc>
          <w:tcPr>
            <w:tcW w:w="671" w:type="pct"/>
            <w:tcBorders>
              <w:top w:val="nil"/>
              <w:bottom w:val="nil"/>
              <w:right w:val="single" w:sz="4" w:space="0" w:color="auto"/>
            </w:tcBorders>
            <w:shd w:val="clear" w:color="auto" w:fill="auto"/>
            <w:tcMar>
              <w:top w:w="110" w:type="dxa"/>
            </w:tcMar>
          </w:tcPr>
          <w:p w:rsidR="00D42474" w:rsidRDefault="00D42474" w:rsidP="001A5BF9">
            <w:pPr>
              <w:keepNext/>
              <w:keepLines/>
              <w:jc w:val="center"/>
              <w:rPr>
                <w:rStyle w:val="Style5"/>
                <w:rFonts w:ascii="Arial" w:hAnsi="Arial" w:cs="Arial"/>
                <w:color w:val="10862C"/>
                <w:sz w:val="16"/>
                <w:szCs w:val="16"/>
              </w:rPr>
            </w:pPr>
          </w:p>
          <w:p w:rsidR="00D42474" w:rsidRDefault="00D42474" w:rsidP="001A5BF9">
            <w:pPr>
              <w:keepNext/>
              <w:keepLines/>
              <w:jc w:val="center"/>
              <w:rPr>
                <w:rStyle w:val="Style5"/>
                <w:rFonts w:ascii="Arial" w:hAnsi="Arial" w:cs="Arial"/>
                <w:color w:val="10862C"/>
                <w:sz w:val="16"/>
                <w:szCs w:val="16"/>
              </w:rPr>
            </w:pPr>
          </w:p>
          <w:p w:rsidR="00D42474" w:rsidRDefault="00D42474" w:rsidP="001A5BF9">
            <w:pPr>
              <w:keepNext/>
              <w:keepLines/>
              <w:jc w:val="center"/>
              <w:rPr>
                <w:rStyle w:val="Style5"/>
                <w:rFonts w:ascii="Arial" w:hAnsi="Arial" w:cs="Arial"/>
                <w:color w:val="10862C"/>
                <w:sz w:val="16"/>
                <w:szCs w:val="16"/>
              </w:rPr>
            </w:pPr>
          </w:p>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r w:rsidR="00784E52" w:rsidRPr="005C7CCE" w:rsidTr="00BB3F3E">
        <w:trPr>
          <w:cantSplit/>
        </w:trPr>
        <w:tc>
          <w:tcPr>
            <w:tcW w:w="1212" w:type="pct"/>
            <w:tcBorders>
              <w:top w:val="nil"/>
              <w:left w:val="single" w:sz="4" w:space="0" w:color="auto"/>
              <w:bottom w:val="single" w:sz="4" w:space="0" w:color="auto"/>
            </w:tcBorders>
            <w:shd w:val="clear" w:color="auto" w:fill="FFFFFF"/>
          </w:tcPr>
          <w:p w:rsidR="00784E52" w:rsidRPr="00D32A9C" w:rsidRDefault="00784E52" w:rsidP="001A5BF9">
            <w:pPr>
              <w:rPr>
                <w:rFonts w:cs="Arial"/>
                <w:sz w:val="16"/>
                <w:szCs w:val="16"/>
                <w:lang w:bidi="th-TH"/>
              </w:rPr>
            </w:pPr>
            <w:r w:rsidRPr="00D32A9C">
              <w:rPr>
                <w:sz w:val="16"/>
              </w:rPr>
              <w:t>Nombre de langues dans lesquelles il est possible de faire des recherches multilingues</w:t>
            </w:r>
          </w:p>
        </w:tc>
        <w:tc>
          <w:tcPr>
            <w:tcW w:w="1137" w:type="pct"/>
            <w:tcBorders>
              <w:top w:val="nil"/>
              <w:bottom w:val="single" w:sz="4" w:space="0" w:color="auto"/>
            </w:tcBorders>
            <w:shd w:val="clear" w:color="auto" w:fill="auto"/>
          </w:tcPr>
          <w:p w:rsidR="00D42474" w:rsidRDefault="00784E52" w:rsidP="001A5BF9">
            <w:pPr>
              <w:rPr>
                <w:rFonts w:cs="Arial"/>
                <w:color w:val="002060"/>
                <w:sz w:val="16"/>
                <w:szCs w:val="16"/>
                <w:lang w:bidi="th-TH"/>
              </w:rPr>
            </w:pPr>
            <w:r w:rsidRPr="005C7CCE">
              <w:rPr>
                <w:i/>
                <w:color w:val="002060"/>
                <w:sz w:val="16"/>
              </w:rPr>
              <w:t>Niveau de référence actualisé fin 2011 :</w:t>
            </w:r>
            <w:r w:rsidRPr="005C7CCE">
              <w:rPr>
                <w:color w:val="002060"/>
                <w:sz w:val="16"/>
              </w:rPr>
              <w:t xml:space="preserve"> 9</w:t>
            </w:r>
          </w:p>
          <w:p w:rsidR="00D42474" w:rsidRDefault="00D42474" w:rsidP="001A5BF9">
            <w:pPr>
              <w:rPr>
                <w:rFonts w:cs="Arial"/>
                <w:color w:val="002060"/>
                <w:sz w:val="8"/>
                <w:szCs w:val="8"/>
              </w:rPr>
            </w:pPr>
          </w:p>
          <w:p w:rsidR="00D42474" w:rsidRDefault="00784E52" w:rsidP="001A5BF9">
            <w:pPr>
              <w:rPr>
                <w:rFonts w:cs="Arial"/>
                <w:sz w:val="16"/>
                <w:szCs w:val="16"/>
                <w:lang w:bidi="th-TH"/>
              </w:rPr>
            </w:pPr>
            <w:r w:rsidRPr="005C7CCE">
              <w:rPr>
                <w:i/>
                <w:sz w:val="16"/>
              </w:rPr>
              <w:t>Niveau de référence initial</w:t>
            </w:r>
          </w:p>
          <w:p w:rsidR="00784E52" w:rsidRPr="005C7CCE" w:rsidRDefault="00667FB3" w:rsidP="001A5BF9">
            <w:pPr>
              <w:rPr>
                <w:rFonts w:cs="Arial"/>
                <w:sz w:val="16"/>
                <w:szCs w:val="16"/>
              </w:rPr>
            </w:pPr>
            <w:r>
              <w:rPr>
                <w:i/>
                <w:sz w:val="16"/>
              </w:rPr>
              <w:t>programme et budget</w:t>
            </w:r>
            <w:r w:rsidR="00784E52" w:rsidRPr="005C7CCE">
              <w:rPr>
                <w:i/>
                <w:sz w:val="16"/>
              </w:rPr>
              <w:t> 2012</w:t>
            </w:r>
            <w:r w:rsidR="002D6F2A" w:rsidRPr="005C7CCE">
              <w:rPr>
                <w:i/>
                <w:sz w:val="16"/>
              </w:rPr>
              <w:noBreakHyphen/>
            </w:r>
            <w:r w:rsidR="00784E52" w:rsidRPr="005C7CCE">
              <w:rPr>
                <w:i/>
                <w:sz w:val="16"/>
              </w:rPr>
              <w:t>2013 :</w:t>
            </w:r>
            <w:r w:rsidR="00784E52" w:rsidRPr="005C7CCE">
              <w:rPr>
                <w:sz w:val="16"/>
              </w:rPr>
              <w:t xml:space="preserve"> 5</w:t>
            </w:r>
          </w:p>
        </w:tc>
        <w:tc>
          <w:tcPr>
            <w:tcW w:w="836" w:type="pct"/>
            <w:gridSpan w:val="2"/>
            <w:tcBorders>
              <w:top w:val="nil"/>
              <w:bottom w:val="single" w:sz="4" w:space="0" w:color="auto"/>
            </w:tcBorders>
            <w:shd w:val="clear" w:color="auto" w:fill="auto"/>
            <w:tcMar>
              <w:top w:w="110" w:type="dxa"/>
            </w:tcMar>
          </w:tcPr>
          <w:p w:rsidR="00D42474" w:rsidRDefault="00D42474" w:rsidP="001A5BF9">
            <w:pPr>
              <w:rPr>
                <w:rFonts w:cs="Arial"/>
                <w:sz w:val="16"/>
                <w:szCs w:val="16"/>
              </w:rPr>
            </w:pPr>
          </w:p>
          <w:p w:rsidR="00784E52" w:rsidRPr="005C7CCE" w:rsidRDefault="00784E52" w:rsidP="001A5BF9">
            <w:pPr>
              <w:rPr>
                <w:rFonts w:cs="Arial"/>
                <w:sz w:val="16"/>
                <w:szCs w:val="16"/>
                <w:lang w:bidi="th-TH"/>
              </w:rPr>
            </w:pPr>
            <w:r w:rsidRPr="005C7CCE">
              <w:rPr>
                <w:sz w:val="16"/>
              </w:rPr>
              <w:t>9 (cumul)</w:t>
            </w:r>
          </w:p>
        </w:tc>
        <w:tc>
          <w:tcPr>
            <w:tcW w:w="1144" w:type="pct"/>
            <w:tcBorders>
              <w:top w:val="nil"/>
              <w:bottom w:val="single" w:sz="4" w:space="0" w:color="auto"/>
            </w:tcBorders>
            <w:shd w:val="clear" w:color="auto" w:fill="FFFFFF"/>
            <w:tcMar>
              <w:top w:w="110" w:type="dxa"/>
            </w:tcMar>
          </w:tcPr>
          <w:p w:rsidR="00D42474" w:rsidRDefault="00D42474" w:rsidP="001A5BF9">
            <w:pPr>
              <w:rPr>
                <w:rFonts w:cs="Arial"/>
                <w:sz w:val="16"/>
                <w:szCs w:val="16"/>
                <w:lang w:bidi="th-TH"/>
              </w:rPr>
            </w:pPr>
          </w:p>
          <w:p w:rsidR="00784E52" w:rsidRPr="005C7CCE" w:rsidRDefault="00784E52" w:rsidP="001A5BF9">
            <w:pPr>
              <w:rPr>
                <w:rFonts w:cs="Arial"/>
                <w:sz w:val="16"/>
                <w:szCs w:val="16"/>
                <w:lang w:bidi="th-TH"/>
              </w:rPr>
            </w:pPr>
            <w:r w:rsidRPr="005C7CCE">
              <w:rPr>
                <w:sz w:val="16"/>
              </w:rPr>
              <w:t>12 (cumul)</w:t>
            </w:r>
          </w:p>
        </w:tc>
        <w:tc>
          <w:tcPr>
            <w:tcW w:w="671" w:type="pct"/>
            <w:tcBorders>
              <w:top w:val="nil"/>
              <w:bottom w:val="single" w:sz="4" w:space="0" w:color="auto"/>
              <w:right w:val="single" w:sz="4" w:space="0" w:color="auto"/>
            </w:tcBorders>
            <w:shd w:val="clear" w:color="auto" w:fill="auto"/>
            <w:tcMar>
              <w:top w:w="110" w:type="dxa"/>
            </w:tcMar>
          </w:tcPr>
          <w:p w:rsidR="00D42474" w:rsidRDefault="00D42474" w:rsidP="001A5BF9">
            <w:pPr>
              <w:keepNext/>
              <w:keepLines/>
              <w:jc w:val="center"/>
              <w:rPr>
                <w:rStyle w:val="Style5"/>
                <w:rFonts w:ascii="Arial" w:hAnsi="Arial" w:cs="Arial"/>
                <w:color w:val="10862C"/>
                <w:sz w:val="16"/>
                <w:szCs w:val="16"/>
              </w:rPr>
            </w:pPr>
          </w:p>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r w:rsidR="00D32A9C" w:rsidRPr="00D32A9C" w:rsidTr="00BB3F3E">
        <w:trPr>
          <w:cantSplit/>
        </w:trPr>
        <w:tc>
          <w:tcPr>
            <w:tcW w:w="5000" w:type="pct"/>
            <w:gridSpan w:val="6"/>
            <w:tcBorders>
              <w:top w:val="single" w:sz="4" w:space="0" w:color="auto"/>
              <w:left w:val="single" w:sz="4" w:space="0" w:color="auto"/>
              <w:bottom w:val="nil"/>
              <w:right w:val="single" w:sz="4" w:space="0" w:color="auto"/>
            </w:tcBorders>
            <w:shd w:val="clear" w:color="auto" w:fill="CCFFFF"/>
            <w:vAlign w:val="center"/>
          </w:tcPr>
          <w:p w:rsidR="00784E52" w:rsidRPr="00D32A9C" w:rsidRDefault="00784E52" w:rsidP="00D32A9C">
            <w:pPr>
              <w:keepNext/>
              <w:keepLines/>
              <w:spacing w:before="120" w:after="120"/>
              <w:ind w:left="1735" w:hanging="1735"/>
              <w:rPr>
                <w:rFonts w:cs="Arial"/>
                <w:b/>
                <w:bCs/>
                <w:sz w:val="16"/>
                <w:szCs w:val="16"/>
              </w:rPr>
            </w:pPr>
            <w:r w:rsidRPr="00D32A9C">
              <w:rPr>
                <w:b/>
                <w:sz w:val="16"/>
              </w:rPr>
              <w:t>Résultat escompté</w:t>
            </w:r>
            <w:r w:rsidR="0010442A" w:rsidRPr="00D32A9C">
              <w:rPr>
                <w:b/>
                <w:sz w:val="16"/>
              </w:rPr>
              <w:t xml:space="preserve"> : </w:t>
            </w:r>
            <w:r w:rsidRPr="00D32A9C">
              <w:rPr>
                <w:b/>
                <w:sz w:val="16"/>
              </w:rPr>
              <w:tab/>
            </w:r>
            <w:r w:rsidRPr="00D32A9C">
              <w:rPr>
                <w:sz w:val="16"/>
              </w:rPr>
              <w:t>Diffusion accrue des collections numérisées de brevets des offices nationaux ou régionaux des États membres de l</w:t>
            </w:r>
            <w:r w:rsidR="00A20444" w:rsidRPr="00D32A9C">
              <w:rPr>
                <w:sz w:val="16"/>
              </w:rPr>
              <w:t>’</w:t>
            </w:r>
            <w:r w:rsidRPr="00D32A9C">
              <w:rPr>
                <w:sz w:val="16"/>
              </w:rPr>
              <w:t>OMPI</w:t>
            </w:r>
          </w:p>
        </w:tc>
      </w:tr>
      <w:tr w:rsidR="00784E52" w:rsidRPr="00D32A9C" w:rsidTr="00BB3F3E">
        <w:trPr>
          <w:cantSplit/>
        </w:trPr>
        <w:tc>
          <w:tcPr>
            <w:tcW w:w="1212" w:type="pct"/>
            <w:tcBorders>
              <w:top w:val="single" w:sz="4" w:space="0" w:color="auto"/>
              <w:left w:val="single" w:sz="4" w:space="0" w:color="auto"/>
              <w:bottom w:val="nil"/>
            </w:tcBorders>
            <w:shd w:val="clear" w:color="auto" w:fill="auto"/>
            <w:vAlign w:val="center"/>
          </w:tcPr>
          <w:p w:rsidR="00784E52" w:rsidRPr="00D32A9C" w:rsidRDefault="00784E52" w:rsidP="001A5BF9">
            <w:pPr>
              <w:keepNext/>
              <w:keepLines/>
              <w:rPr>
                <w:rFonts w:cs="Arial"/>
                <w:b/>
                <w:sz w:val="16"/>
                <w:szCs w:val="16"/>
              </w:rPr>
            </w:pPr>
            <w:r w:rsidRPr="00D32A9C">
              <w:rPr>
                <w:b/>
                <w:sz w:val="16"/>
              </w:rPr>
              <w:t>Indicateurs d</w:t>
            </w:r>
            <w:r w:rsidR="00A20444" w:rsidRPr="00D32A9C">
              <w:rPr>
                <w:b/>
                <w:sz w:val="16"/>
              </w:rPr>
              <w:t>’</w:t>
            </w:r>
            <w:r w:rsidRPr="00D32A9C">
              <w:rPr>
                <w:b/>
                <w:sz w:val="16"/>
              </w:rPr>
              <w:t>exécution</w:t>
            </w:r>
          </w:p>
        </w:tc>
        <w:tc>
          <w:tcPr>
            <w:tcW w:w="1137" w:type="pct"/>
            <w:tcBorders>
              <w:top w:val="single" w:sz="4" w:space="0" w:color="auto"/>
              <w:bottom w:val="nil"/>
            </w:tcBorders>
            <w:shd w:val="clear" w:color="auto" w:fill="auto"/>
            <w:vAlign w:val="center"/>
          </w:tcPr>
          <w:p w:rsidR="00784E52" w:rsidRPr="00D32A9C" w:rsidRDefault="00784E52" w:rsidP="001A5BF9">
            <w:pPr>
              <w:keepNext/>
              <w:keepLines/>
              <w:rPr>
                <w:rFonts w:cs="Arial"/>
                <w:b/>
                <w:bCs/>
                <w:sz w:val="16"/>
                <w:szCs w:val="16"/>
              </w:rPr>
            </w:pPr>
            <w:r w:rsidRPr="00D32A9C">
              <w:rPr>
                <w:b/>
                <w:sz w:val="16"/>
              </w:rPr>
              <w:t>Niveaux de référence</w:t>
            </w:r>
          </w:p>
        </w:tc>
        <w:tc>
          <w:tcPr>
            <w:tcW w:w="836" w:type="pct"/>
            <w:gridSpan w:val="2"/>
            <w:tcBorders>
              <w:top w:val="single" w:sz="4" w:space="0" w:color="auto"/>
              <w:bottom w:val="nil"/>
            </w:tcBorders>
            <w:shd w:val="clear" w:color="auto" w:fill="auto"/>
            <w:tcMar>
              <w:top w:w="110" w:type="dxa"/>
            </w:tcMar>
            <w:vAlign w:val="center"/>
          </w:tcPr>
          <w:p w:rsidR="00784E52" w:rsidRPr="00D32A9C" w:rsidRDefault="00784E52" w:rsidP="001A5BF9">
            <w:pPr>
              <w:keepNext/>
              <w:keepLines/>
              <w:rPr>
                <w:rFonts w:cs="Arial"/>
                <w:b/>
                <w:sz w:val="16"/>
                <w:szCs w:val="16"/>
              </w:rPr>
            </w:pPr>
            <w:r w:rsidRPr="00D32A9C">
              <w:rPr>
                <w:b/>
                <w:sz w:val="16"/>
              </w:rPr>
              <w:t>Objectifs visés</w:t>
            </w:r>
          </w:p>
        </w:tc>
        <w:tc>
          <w:tcPr>
            <w:tcW w:w="1144" w:type="pct"/>
            <w:tcBorders>
              <w:top w:val="single" w:sz="4" w:space="0" w:color="auto"/>
              <w:bottom w:val="nil"/>
            </w:tcBorders>
            <w:shd w:val="clear" w:color="auto" w:fill="FFFFFF"/>
            <w:tcMar>
              <w:top w:w="110" w:type="dxa"/>
            </w:tcMar>
            <w:vAlign w:val="center"/>
          </w:tcPr>
          <w:p w:rsidR="00784E52" w:rsidRPr="00D32A9C" w:rsidRDefault="00784E52" w:rsidP="001A5BF9">
            <w:pPr>
              <w:keepNext/>
              <w:keepLines/>
              <w:rPr>
                <w:rFonts w:cs="Arial"/>
                <w:b/>
                <w:sz w:val="16"/>
                <w:szCs w:val="16"/>
              </w:rPr>
            </w:pPr>
            <w:r w:rsidRPr="00D32A9C">
              <w:rPr>
                <w:b/>
                <w:sz w:val="16"/>
              </w:rPr>
              <w:t>Données relatives à l</w:t>
            </w:r>
            <w:r w:rsidR="00A20444" w:rsidRPr="00D32A9C">
              <w:rPr>
                <w:b/>
                <w:sz w:val="16"/>
              </w:rPr>
              <w:t>’</w:t>
            </w:r>
            <w:r w:rsidRPr="00D32A9C">
              <w:rPr>
                <w:b/>
                <w:sz w:val="16"/>
              </w:rPr>
              <w:t>exécution</w:t>
            </w:r>
          </w:p>
        </w:tc>
        <w:tc>
          <w:tcPr>
            <w:tcW w:w="671" w:type="pct"/>
            <w:tcBorders>
              <w:top w:val="single" w:sz="4" w:space="0" w:color="auto"/>
              <w:bottom w:val="nil"/>
              <w:right w:val="single" w:sz="4" w:space="0" w:color="auto"/>
            </w:tcBorders>
            <w:shd w:val="clear" w:color="auto" w:fill="auto"/>
            <w:tcMar>
              <w:top w:w="110" w:type="dxa"/>
            </w:tcMar>
            <w:vAlign w:val="center"/>
          </w:tcPr>
          <w:p w:rsidR="00784E52" w:rsidRPr="00D32A9C" w:rsidRDefault="00784E52" w:rsidP="001A5BF9">
            <w:pPr>
              <w:keepNext/>
              <w:keepLines/>
              <w:jc w:val="center"/>
              <w:rPr>
                <w:rFonts w:cs="Arial"/>
                <w:b/>
                <w:bCs/>
                <w:sz w:val="16"/>
                <w:szCs w:val="16"/>
              </w:rPr>
            </w:pPr>
            <w:r w:rsidRPr="00D32A9C">
              <w:rPr>
                <w:b/>
                <w:sz w:val="16"/>
              </w:rPr>
              <w:t>Code de couleurs</w:t>
            </w:r>
          </w:p>
        </w:tc>
      </w:tr>
      <w:tr w:rsidR="00784E52" w:rsidRPr="005C7CCE" w:rsidTr="00BB3F3E">
        <w:trPr>
          <w:cantSplit/>
        </w:trPr>
        <w:tc>
          <w:tcPr>
            <w:tcW w:w="1212" w:type="pct"/>
            <w:tcBorders>
              <w:top w:val="nil"/>
              <w:left w:val="single" w:sz="4" w:space="0" w:color="auto"/>
              <w:bottom w:val="nil"/>
            </w:tcBorders>
            <w:shd w:val="clear" w:color="auto" w:fill="auto"/>
          </w:tcPr>
          <w:p w:rsidR="00784E52" w:rsidRPr="005C7CCE" w:rsidRDefault="00784E52" w:rsidP="001A5BF9">
            <w:pPr>
              <w:keepNext/>
              <w:keepLines/>
              <w:rPr>
                <w:rFonts w:cs="Arial"/>
                <w:sz w:val="16"/>
                <w:szCs w:val="16"/>
              </w:rPr>
            </w:pPr>
            <w:r w:rsidRPr="00D32A9C">
              <w:rPr>
                <w:sz w:val="16"/>
              </w:rPr>
              <w:t>Nombre des entrées dans PATENTSCOPE/Base de données mondiales sur les marques qui ne sont pas produits par l</w:t>
            </w:r>
            <w:r w:rsidR="002109D8" w:rsidRPr="00D32A9C">
              <w:rPr>
                <w:sz w:val="16"/>
              </w:rPr>
              <w:t>e</w:t>
            </w:r>
            <w:r w:rsidRPr="00D32A9C">
              <w:rPr>
                <w:sz w:val="16"/>
              </w:rPr>
              <w:t xml:space="preserve"> Bureau international</w:t>
            </w:r>
          </w:p>
        </w:tc>
        <w:tc>
          <w:tcPr>
            <w:tcW w:w="1137" w:type="pct"/>
            <w:tcBorders>
              <w:top w:val="nil"/>
              <w:bottom w:val="nil"/>
            </w:tcBorders>
            <w:shd w:val="clear" w:color="auto" w:fill="auto"/>
          </w:tcPr>
          <w:p w:rsidR="00D42474" w:rsidRDefault="00784E52" w:rsidP="001A5BF9">
            <w:pPr>
              <w:keepNext/>
              <w:keepLines/>
              <w:rPr>
                <w:color w:val="002060"/>
                <w:sz w:val="16"/>
              </w:rPr>
            </w:pPr>
            <w:r w:rsidRPr="005C7CCE">
              <w:rPr>
                <w:i/>
                <w:color w:val="002060"/>
                <w:sz w:val="16"/>
              </w:rPr>
              <w:t>Niveau de référence actualisé fin 2011 :</w:t>
            </w:r>
          </w:p>
          <w:p w:rsidR="00D42474" w:rsidRDefault="00D42474" w:rsidP="001A5BF9">
            <w:pPr>
              <w:keepNext/>
              <w:keepLines/>
              <w:rPr>
                <w:rFonts w:cs="Arial"/>
                <w:color w:val="002060"/>
                <w:sz w:val="16"/>
                <w:szCs w:val="16"/>
                <w:lang w:bidi="th-TH"/>
              </w:rPr>
            </w:pPr>
          </w:p>
          <w:p w:rsidR="00D42474" w:rsidRDefault="00784E52" w:rsidP="001A5BF9">
            <w:pPr>
              <w:keepNext/>
              <w:keepLines/>
              <w:rPr>
                <w:rFonts w:cs="Arial"/>
                <w:color w:val="002060"/>
                <w:sz w:val="16"/>
                <w:szCs w:val="16"/>
                <w:lang w:bidi="th-TH"/>
              </w:rPr>
            </w:pPr>
            <w:r w:rsidRPr="00D32A9C">
              <w:rPr>
                <w:color w:val="002060"/>
                <w:sz w:val="16"/>
              </w:rPr>
              <w:t>PATENTSCOPE</w:t>
            </w:r>
            <w:r w:rsidR="0010442A" w:rsidRPr="00D32A9C">
              <w:rPr>
                <w:color w:val="002060"/>
                <w:sz w:val="16"/>
              </w:rPr>
              <w:t> </w:t>
            </w:r>
            <w:r w:rsidRPr="00D32A9C">
              <w:rPr>
                <w:color w:val="002060"/>
                <w:sz w:val="16"/>
              </w:rPr>
              <w:t xml:space="preserve">: </w:t>
            </w:r>
            <w:r w:rsidRPr="00D32A9C">
              <w:rPr>
                <w:color w:val="002060"/>
              </w:rPr>
              <w:br/>
            </w:r>
            <w:r w:rsidRPr="00D32A9C">
              <w:rPr>
                <w:color w:val="002060"/>
                <w:sz w:val="16"/>
              </w:rPr>
              <w:t>10 millions de documents</w:t>
            </w:r>
          </w:p>
          <w:p w:rsidR="00D42474" w:rsidRDefault="00D42474" w:rsidP="001A5BF9">
            <w:pPr>
              <w:keepNext/>
              <w:keepLines/>
              <w:rPr>
                <w:rFonts w:cs="Arial"/>
                <w:color w:val="002060"/>
                <w:sz w:val="16"/>
                <w:szCs w:val="16"/>
                <w:lang w:bidi="th-TH"/>
              </w:rPr>
            </w:pPr>
          </w:p>
          <w:p w:rsidR="00D42474" w:rsidRDefault="00784E52" w:rsidP="001A5BF9">
            <w:pPr>
              <w:keepNext/>
              <w:keepLines/>
              <w:rPr>
                <w:rFonts w:cs="Arial"/>
                <w:i/>
                <w:color w:val="002060"/>
                <w:sz w:val="16"/>
                <w:szCs w:val="16"/>
                <w:lang w:bidi="th-TH"/>
              </w:rPr>
            </w:pPr>
            <w:r w:rsidRPr="00D32A9C">
              <w:rPr>
                <w:color w:val="002060"/>
                <w:sz w:val="16"/>
              </w:rPr>
              <w:t>Base de données mondiales :</w:t>
            </w:r>
            <w:r w:rsidR="004F3E42" w:rsidRPr="00D32A9C">
              <w:rPr>
                <w:color w:val="002060"/>
                <w:sz w:val="16"/>
              </w:rPr>
              <w:t xml:space="preserve"> </w:t>
            </w:r>
            <w:r w:rsidRPr="00D32A9C">
              <w:rPr>
                <w:color w:val="002060"/>
              </w:rPr>
              <w:br/>
            </w:r>
            <w:r w:rsidRPr="00D32A9C">
              <w:rPr>
                <w:color w:val="002060"/>
                <w:sz w:val="16"/>
              </w:rPr>
              <w:t>700 000</w:t>
            </w:r>
          </w:p>
          <w:p w:rsidR="00D42474" w:rsidRDefault="00D42474" w:rsidP="001A5BF9">
            <w:pPr>
              <w:keepNext/>
              <w:keepLines/>
              <w:rPr>
                <w:rFonts w:cs="Arial"/>
                <w:i/>
                <w:sz w:val="8"/>
                <w:szCs w:val="8"/>
                <w:lang w:bidi="th-TH"/>
              </w:rPr>
            </w:pPr>
          </w:p>
          <w:p w:rsidR="00D42474" w:rsidRDefault="00784E52" w:rsidP="001A5BF9">
            <w:pPr>
              <w:keepNext/>
              <w:keepLines/>
              <w:rPr>
                <w:rFonts w:cs="Arial"/>
                <w:sz w:val="16"/>
                <w:szCs w:val="16"/>
                <w:lang w:bidi="th-TH"/>
              </w:rPr>
            </w:pPr>
            <w:r w:rsidRPr="00D32A9C">
              <w:rPr>
                <w:i/>
                <w:sz w:val="16"/>
              </w:rPr>
              <w:t>Niveau de référence initial</w:t>
            </w:r>
          </w:p>
          <w:p w:rsidR="00D42474" w:rsidRDefault="00667FB3" w:rsidP="001A5BF9">
            <w:pPr>
              <w:keepNext/>
              <w:keepLines/>
              <w:rPr>
                <w:rFonts w:cs="Arial"/>
                <w:sz w:val="16"/>
                <w:szCs w:val="16"/>
              </w:rPr>
            </w:pPr>
            <w:r w:rsidRPr="00D32A9C">
              <w:rPr>
                <w:i/>
                <w:sz w:val="16"/>
              </w:rPr>
              <w:t>programme et budget</w:t>
            </w:r>
            <w:r w:rsidR="00784E52" w:rsidRPr="00D32A9C">
              <w:rPr>
                <w:i/>
                <w:sz w:val="16"/>
              </w:rPr>
              <w:t> 2012</w:t>
            </w:r>
            <w:r w:rsidR="002D6F2A" w:rsidRPr="00D32A9C">
              <w:rPr>
                <w:i/>
                <w:sz w:val="16"/>
              </w:rPr>
              <w:noBreakHyphen/>
            </w:r>
            <w:r w:rsidR="00784E52" w:rsidRPr="00D32A9C">
              <w:rPr>
                <w:i/>
                <w:sz w:val="16"/>
              </w:rPr>
              <w:t>2013 :</w:t>
            </w:r>
          </w:p>
          <w:p w:rsidR="00784E52" w:rsidRPr="005C7CCE" w:rsidRDefault="00784E52" w:rsidP="001A5BF9">
            <w:pPr>
              <w:keepNext/>
              <w:keepLines/>
              <w:rPr>
                <w:rFonts w:cs="Arial"/>
                <w:sz w:val="16"/>
                <w:szCs w:val="16"/>
              </w:rPr>
            </w:pPr>
            <w:r w:rsidRPr="00D32A9C">
              <w:rPr>
                <w:sz w:val="16"/>
              </w:rPr>
              <w:t>PATENTSCOPE</w:t>
            </w:r>
            <w:r w:rsidR="0010442A" w:rsidRPr="00D32A9C">
              <w:rPr>
                <w:sz w:val="16"/>
              </w:rPr>
              <w:t> </w:t>
            </w:r>
            <w:r w:rsidRPr="00D32A9C">
              <w:rPr>
                <w:sz w:val="16"/>
              </w:rPr>
              <w:t>: sept</w:t>
            </w:r>
            <w:r w:rsidR="0010442A" w:rsidRPr="00D32A9C">
              <w:rPr>
                <w:sz w:val="16"/>
              </w:rPr>
              <w:t> </w:t>
            </w:r>
            <w:r w:rsidRPr="00D32A9C">
              <w:rPr>
                <w:sz w:val="16"/>
              </w:rPr>
              <w:t>millions de documents (</w:t>
            </w:r>
            <w:r w:rsidR="00A20444" w:rsidRPr="00D32A9C">
              <w:rPr>
                <w:sz w:val="16"/>
              </w:rPr>
              <w:t>février 20</w:t>
            </w:r>
            <w:r w:rsidRPr="00D32A9C">
              <w:rPr>
                <w:sz w:val="16"/>
              </w:rPr>
              <w:t>11) Base de données mondiales : 0</w:t>
            </w:r>
          </w:p>
        </w:tc>
        <w:tc>
          <w:tcPr>
            <w:tcW w:w="836" w:type="pct"/>
            <w:gridSpan w:val="2"/>
            <w:tcBorders>
              <w:top w:val="nil"/>
              <w:bottom w:val="nil"/>
            </w:tcBorders>
            <w:shd w:val="clear" w:color="auto" w:fill="auto"/>
            <w:tcMar>
              <w:top w:w="110" w:type="dxa"/>
            </w:tcMar>
          </w:tcPr>
          <w:p w:rsidR="00D42474" w:rsidRDefault="00D42474" w:rsidP="001A5BF9">
            <w:pPr>
              <w:keepNext/>
              <w:keepLines/>
              <w:autoSpaceDE w:val="0"/>
              <w:autoSpaceDN w:val="0"/>
              <w:adjustRightInd w:val="0"/>
              <w:rPr>
                <w:rFonts w:cs="Arial"/>
                <w:sz w:val="16"/>
                <w:szCs w:val="16"/>
              </w:rPr>
            </w:pPr>
          </w:p>
          <w:p w:rsidR="00D42474" w:rsidRDefault="00D42474" w:rsidP="001A5BF9">
            <w:pPr>
              <w:keepNext/>
              <w:keepLines/>
              <w:autoSpaceDE w:val="0"/>
              <w:autoSpaceDN w:val="0"/>
              <w:adjustRightInd w:val="0"/>
              <w:rPr>
                <w:rFonts w:cs="Arial"/>
                <w:sz w:val="16"/>
                <w:szCs w:val="16"/>
              </w:rPr>
            </w:pPr>
          </w:p>
          <w:p w:rsidR="00D42474" w:rsidRDefault="00D42474" w:rsidP="001A5BF9">
            <w:pPr>
              <w:keepNext/>
              <w:keepLines/>
              <w:autoSpaceDE w:val="0"/>
              <w:autoSpaceDN w:val="0"/>
              <w:adjustRightInd w:val="0"/>
              <w:rPr>
                <w:rFonts w:cs="Arial"/>
                <w:sz w:val="16"/>
                <w:szCs w:val="16"/>
              </w:rPr>
            </w:pPr>
          </w:p>
          <w:p w:rsidR="00D42474" w:rsidRDefault="00784E52" w:rsidP="001A5BF9">
            <w:pPr>
              <w:keepNext/>
              <w:keepLines/>
              <w:autoSpaceDE w:val="0"/>
              <w:autoSpaceDN w:val="0"/>
              <w:adjustRightInd w:val="0"/>
              <w:rPr>
                <w:rFonts w:cs="Arial"/>
                <w:sz w:val="16"/>
                <w:szCs w:val="16"/>
              </w:rPr>
            </w:pPr>
            <w:r w:rsidRPr="00D32A9C">
              <w:rPr>
                <w:sz w:val="16"/>
              </w:rPr>
              <w:t>PATENTSCOPE</w:t>
            </w:r>
            <w:r w:rsidR="0010442A" w:rsidRPr="00D32A9C">
              <w:rPr>
                <w:sz w:val="16"/>
              </w:rPr>
              <w:t> </w:t>
            </w:r>
            <w:r w:rsidRPr="00D32A9C">
              <w:rPr>
                <w:sz w:val="16"/>
              </w:rPr>
              <w:t>:</w:t>
            </w:r>
          </w:p>
          <w:p w:rsidR="00D42474" w:rsidRDefault="00784E52" w:rsidP="001A5BF9">
            <w:pPr>
              <w:keepNext/>
              <w:keepLines/>
              <w:autoSpaceDE w:val="0"/>
              <w:autoSpaceDN w:val="0"/>
              <w:adjustRightInd w:val="0"/>
              <w:rPr>
                <w:rFonts w:cs="Arial"/>
                <w:sz w:val="16"/>
                <w:szCs w:val="16"/>
              </w:rPr>
            </w:pPr>
            <w:r w:rsidRPr="00D32A9C">
              <w:rPr>
                <w:sz w:val="16"/>
              </w:rPr>
              <w:t>30</w:t>
            </w:r>
            <w:r w:rsidR="0010442A" w:rsidRPr="00D32A9C">
              <w:rPr>
                <w:sz w:val="16"/>
              </w:rPr>
              <w:t> </w:t>
            </w:r>
            <w:r w:rsidRPr="00D32A9C">
              <w:rPr>
                <w:sz w:val="16"/>
              </w:rPr>
              <w:t>millions de documents</w:t>
            </w:r>
          </w:p>
          <w:p w:rsidR="00D42474" w:rsidRDefault="00D42474" w:rsidP="001A5BF9">
            <w:pPr>
              <w:keepNext/>
              <w:keepLines/>
              <w:autoSpaceDE w:val="0"/>
              <w:autoSpaceDN w:val="0"/>
              <w:adjustRightInd w:val="0"/>
              <w:rPr>
                <w:rFonts w:cs="Arial"/>
                <w:sz w:val="16"/>
                <w:szCs w:val="16"/>
              </w:rPr>
            </w:pPr>
          </w:p>
          <w:p w:rsidR="00784E52" w:rsidRPr="00D32A9C" w:rsidRDefault="00784E52" w:rsidP="001A5BF9">
            <w:pPr>
              <w:keepNext/>
              <w:keepLines/>
              <w:rPr>
                <w:rFonts w:cs="Arial"/>
                <w:sz w:val="16"/>
                <w:szCs w:val="16"/>
                <w:lang w:bidi="th-TH"/>
              </w:rPr>
            </w:pPr>
            <w:r w:rsidRPr="00D32A9C">
              <w:rPr>
                <w:sz w:val="16"/>
              </w:rPr>
              <w:t>Base de données mondiales </w:t>
            </w:r>
            <w:proofErr w:type="gramStart"/>
            <w:r w:rsidRPr="00D32A9C">
              <w:rPr>
                <w:sz w:val="16"/>
              </w:rPr>
              <w:t>:</w:t>
            </w:r>
            <w:proofErr w:type="gramEnd"/>
            <w:r w:rsidRPr="00D32A9C">
              <w:br/>
            </w:r>
            <w:r w:rsidRPr="00D32A9C">
              <w:rPr>
                <w:sz w:val="16"/>
              </w:rPr>
              <w:t xml:space="preserve">deux millions </w:t>
            </w:r>
          </w:p>
        </w:tc>
        <w:tc>
          <w:tcPr>
            <w:tcW w:w="1144" w:type="pct"/>
            <w:tcBorders>
              <w:top w:val="nil"/>
              <w:bottom w:val="nil"/>
            </w:tcBorders>
            <w:shd w:val="clear" w:color="auto" w:fill="FFFFFF"/>
            <w:tcMar>
              <w:top w:w="110" w:type="dxa"/>
            </w:tcMar>
          </w:tcPr>
          <w:p w:rsidR="00D42474" w:rsidRDefault="00D42474" w:rsidP="001A5BF9">
            <w:pPr>
              <w:keepNext/>
              <w:keepLines/>
              <w:rPr>
                <w:rFonts w:cs="Arial"/>
                <w:sz w:val="16"/>
                <w:szCs w:val="16"/>
                <w:lang w:bidi="th-TH"/>
              </w:rPr>
            </w:pPr>
          </w:p>
          <w:p w:rsidR="00D42474" w:rsidRDefault="00D42474" w:rsidP="001A5BF9">
            <w:pPr>
              <w:keepNext/>
              <w:keepLines/>
              <w:rPr>
                <w:rFonts w:cs="Arial"/>
                <w:sz w:val="16"/>
                <w:szCs w:val="16"/>
                <w:lang w:bidi="th-TH"/>
              </w:rPr>
            </w:pPr>
          </w:p>
          <w:p w:rsidR="00D42474" w:rsidRDefault="00D42474" w:rsidP="001A5BF9">
            <w:pPr>
              <w:keepNext/>
              <w:keepLines/>
              <w:rPr>
                <w:rFonts w:cs="Arial"/>
                <w:sz w:val="16"/>
                <w:szCs w:val="16"/>
                <w:lang w:bidi="th-TH"/>
              </w:rPr>
            </w:pPr>
          </w:p>
          <w:p w:rsidR="00D42474" w:rsidRDefault="00784E52" w:rsidP="001A5BF9">
            <w:pPr>
              <w:keepNext/>
              <w:keepLines/>
              <w:rPr>
                <w:rFonts w:cs="Arial"/>
                <w:sz w:val="16"/>
                <w:szCs w:val="16"/>
                <w:lang w:bidi="th-TH"/>
              </w:rPr>
            </w:pPr>
            <w:r w:rsidRPr="00D32A9C">
              <w:rPr>
                <w:sz w:val="16"/>
              </w:rPr>
              <w:t>PATENTSCOPE</w:t>
            </w:r>
            <w:r w:rsidR="0010442A" w:rsidRPr="00D32A9C">
              <w:rPr>
                <w:sz w:val="16"/>
              </w:rPr>
              <w:t> </w:t>
            </w:r>
            <w:proofErr w:type="gramStart"/>
            <w:r w:rsidRPr="00D32A9C">
              <w:rPr>
                <w:sz w:val="16"/>
              </w:rPr>
              <w:t>:</w:t>
            </w:r>
            <w:proofErr w:type="gramEnd"/>
            <w:r w:rsidRPr="00D32A9C">
              <w:br/>
            </w:r>
            <w:r w:rsidRPr="00D32A9C">
              <w:rPr>
                <w:sz w:val="16"/>
              </w:rPr>
              <w:t>34</w:t>
            </w:r>
            <w:r w:rsidR="0010442A" w:rsidRPr="00D32A9C">
              <w:rPr>
                <w:sz w:val="16"/>
              </w:rPr>
              <w:t> </w:t>
            </w:r>
            <w:r w:rsidRPr="00D32A9C">
              <w:rPr>
                <w:sz w:val="16"/>
              </w:rPr>
              <w:t>millions de documents</w:t>
            </w:r>
          </w:p>
          <w:p w:rsidR="00D42474" w:rsidRDefault="00D42474" w:rsidP="001A5BF9">
            <w:pPr>
              <w:keepNext/>
              <w:keepLines/>
              <w:rPr>
                <w:rFonts w:cs="Arial"/>
                <w:sz w:val="16"/>
                <w:szCs w:val="16"/>
                <w:lang w:bidi="th-TH"/>
              </w:rPr>
            </w:pPr>
          </w:p>
          <w:p w:rsidR="00D42474" w:rsidRDefault="00D42474" w:rsidP="001A5BF9">
            <w:pPr>
              <w:keepNext/>
              <w:keepLines/>
              <w:rPr>
                <w:rFonts w:cs="Arial"/>
                <w:sz w:val="16"/>
                <w:szCs w:val="16"/>
                <w:lang w:bidi="th-TH"/>
              </w:rPr>
            </w:pPr>
          </w:p>
          <w:p w:rsidR="00D42474" w:rsidRDefault="00784E52" w:rsidP="001A5BF9">
            <w:pPr>
              <w:keepNext/>
              <w:keepLines/>
              <w:rPr>
                <w:sz w:val="16"/>
              </w:rPr>
            </w:pPr>
            <w:r w:rsidRPr="00D32A9C">
              <w:rPr>
                <w:sz w:val="16"/>
              </w:rPr>
              <w:t>Base de données mondiales :</w:t>
            </w:r>
          </w:p>
          <w:p w:rsidR="00D42474" w:rsidRDefault="00784E52" w:rsidP="001A5BF9">
            <w:pPr>
              <w:keepNext/>
              <w:keepLines/>
              <w:rPr>
                <w:rFonts w:cs="Arial"/>
                <w:sz w:val="16"/>
                <w:szCs w:val="16"/>
                <w:lang w:bidi="th-TH"/>
              </w:rPr>
            </w:pPr>
            <w:r w:rsidRPr="00D32A9C">
              <w:rPr>
                <w:sz w:val="16"/>
              </w:rPr>
              <w:t>12</w:t>
            </w:r>
            <w:r w:rsidR="0010442A" w:rsidRPr="00D32A9C">
              <w:rPr>
                <w:sz w:val="16"/>
              </w:rPr>
              <w:t> </w:t>
            </w:r>
            <w:r w:rsidRPr="00D32A9C">
              <w:rPr>
                <w:sz w:val="16"/>
              </w:rPr>
              <w:t>millions</w:t>
            </w:r>
          </w:p>
          <w:p w:rsidR="00D42474" w:rsidRDefault="00D42474" w:rsidP="001A5BF9">
            <w:pPr>
              <w:keepNext/>
              <w:keepLines/>
              <w:rPr>
                <w:rFonts w:cs="Arial"/>
                <w:sz w:val="16"/>
                <w:szCs w:val="16"/>
                <w:lang w:bidi="th-TH"/>
              </w:rPr>
            </w:pPr>
          </w:p>
          <w:p w:rsidR="00784E52" w:rsidRPr="00D32A9C" w:rsidRDefault="00784E52" w:rsidP="001A5BF9">
            <w:pPr>
              <w:keepNext/>
              <w:keepLines/>
              <w:rPr>
                <w:rFonts w:cs="Arial"/>
                <w:sz w:val="16"/>
                <w:szCs w:val="16"/>
              </w:rPr>
            </w:pPr>
          </w:p>
        </w:tc>
        <w:tc>
          <w:tcPr>
            <w:tcW w:w="671" w:type="pct"/>
            <w:tcBorders>
              <w:top w:val="nil"/>
              <w:bottom w:val="nil"/>
              <w:right w:val="single" w:sz="4" w:space="0" w:color="auto"/>
            </w:tcBorders>
            <w:shd w:val="clear" w:color="auto" w:fill="auto"/>
            <w:tcMar>
              <w:top w:w="110" w:type="dxa"/>
            </w:tcMar>
          </w:tcPr>
          <w:p w:rsidR="00784E52" w:rsidRPr="00D32A9C"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5C7CCE" w:rsidTr="00BB3F3E">
        <w:trPr>
          <w:cantSplit/>
        </w:trPr>
        <w:tc>
          <w:tcPr>
            <w:tcW w:w="1212" w:type="pct"/>
            <w:tcBorders>
              <w:top w:val="nil"/>
              <w:left w:val="single" w:sz="4" w:space="0" w:color="auto"/>
              <w:bottom w:val="nil"/>
            </w:tcBorders>
            <w:shd w:val="clear" w:color="auto" w:fill="auto"/>
          </w:tcPr>
          <w:p w:rsidR="00784E52" w:rsidRPr="00D32A9C" w:rsidRDefault="00784E52" w:rsidP="001A5BF9">
            <w:pPr>
              <w:keepNext/>
              <w:keepLines/>
              <w:rPr>
                <w:rFonts w:cs="Arial"/>
                <w:sz w:val="16"/>
                <w:szCs w:val="16"/>
              </w:rPr>
            </w:pPr>
            <w:r w:rsidRPr="00D32A9C">
              <w:rPr>
                <w:sz w:val="16"/>
              </w:rPr>
              <w:t>Nombre de collections nationales dans PATENTSCOPE</w:t>
            </w:r>
          </w:p>
        </w:tc>
        <w:tc>
          <w:tcPr>
            <w:tcW w:w="1137" w:type="pct"/>
            <w:tcBorders>
              <w:top w:val="nil"/>
              <w:bottom w:val="nil"/>
            </w:tcBorders>
            <w:shd w:val="clear" w:color="auto" w:fill="auto"/>
          </w:tcPr>
          <w:p w:rsidR="00D42474" w:rsidRDefault="00784E52" w:rsidP="001A5BF9">
            <w:pPr>
              <w:keepNext/>
              <w:keepLines/>
              <w:rPr>
                <w:rFonts w:cs="Arial"/>
                <w:color w:val="002060"/>
                <w:sz w:val="16"/>
                <w:szCs w:val="16"/>
                <w:lang w:bidi="th-TH"/>
              </w:rPr>
            </w:pPr>
            <w:r w:rsidRPr="005C7CCE">
              <w:rPr>
                <w:i/>
                <w:color w:val="002060"/>
                <w:sz w:val="16"/>
              </w:rPr>
              <w:t>Niveau de référence actualisé fin 2011 :</w:t>
            </w:r>
            <w:r w:rsidRPr="005C7CCE">
              <w:rPr>
                <w:color w:val="002060"/>
                <w:sz w:val="16"/>
              </w:rPr>
              <w:t xml:space="preserve"> 28</w:t>
            </w:r>
          </w:p>
          <w:p w:rsidR="00D42474" w:rsidRDefault="00D42474" w:rsidP="001A5BF9">
            <w:pPr>
              <w:keepNext/>
              <w:keepLines/>
              <w:rPr>
                <w:rFonts w:cs="Arial"/>
                <w:i/>
                <w:sz w:val="8"/>
                <w:szCs w:val="8"/>
                <w:lang w:bidi="th-TH"/>
              </w:rPr>
            </w:pPr>
          </w:p>
          <w:p w:rsidR="00784E52" w:rsidRPr="005C7CCE" w:rsidRDefault="00784E52" w:rsidP="001A5BF9">
            <w:pPr>
              <w:keepNext/>
              <w:keepLines/>
              <w:rPr>
                <w:rFonts w:cs="Arial"/>
                <w:sz w:val="16"/>
                <w:szCs w:val="16"/>
                <w:lang w:bidi="th-TH"/>
              </w:rPr>
            </w:pPr>
            <w:r w:rsidRPr="005C7CCE">
              <w:rPr>
                <w:i/>
                <w:sz w:val="16"/>
              </w:rPr>
              <w:t xml:space="preserve">Niveau de référence initial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18</w:t>
            </w:r>
          </w:p>
        </w:tc>
        <w:tc>
          <w:tcPr>
            <w:tcW w:w="836" w:type="pct"/>
            <w:gridSpan w:val="2"/>
            <w:tcBorders>
              <w:top w:val="nil"/>
              <w:bottom w:val="nil"/>
            </w:tcBorders>
            <w:shd w:val="clear" w:color="auto" w:fill="auto"/>
            <w:tcMar>
              <w:top w:w="110" w:type="dxa"/>
            </w:tcMar>
          </w:tcPr>
          <w:p w:rsidR="00D42474" w:rsidRDefault="00D42474" w:rsidP="001A5BF9">
            <w:pPr>
              <w:keepNext/>
              <w:keepLines/>
              <w:autoSpaceDE w:val="0"/>
              <w:autoSpaceDN w:val="0"/>
              <w:adjustRightInd w:val="0"/>
              <w:rPr>
                <w:rFonts w:cs="Arial"/>
                <w:sz w:val="16"/>
                <w:szCs w:val="16"/>
              </w:rPr>
            </w:pPr>
          </w:p>
          <w:p w:rsidR="00784E52" w:rsidRPr="005C7CCE" w:rsidRDefault="00784E52" w:rsidP="001A5BF9">
            <w:pPr>
              <w:keepNext/>
              <w:keepLines/>
              <w:autoSpaceDE w:val="0"/>
              <w:autoSpaceDN w:val="0"/>
              <w:adjustRightInd w:val="0"/>
              <w:rPr>
                <w:rFonts w:cs="Arial"/>
                <w:sz w:val="16"/>
                <w:szCs w:val="16"/>
              </w:rPr>
            </w:pPr>
            <w:r w:rsidRPr="005C7CCE">
              <w:rPr>
                <w:sz w:val="16"/>
              </w:rPr>
              <w:t>40 (cumul)</w:t>
            </w:r>
          </w:p>
        </w:tc>
        <w:tc>
          <w:tcPr>
            <w:tcW w:w="1144" w:type="pct"/>
            <w:tcBorders>
              <w:top w:val="nil"/>
              <w:bottom w:val="nil"/>
            </w:tcBorders>
            <w:shd w:val="clear" w:color="auto" w:fill="FFFFFF"/>
            <w:tcMar>
              <w:top w:w="110" w:type="dxa"/>
            </w:tcMar>
          </w:tcPr>
          <w:p w:rsidR="00D42474" w:rsidRDefault="00D42474" w:rsidP="001A5BF9">
            <w:pPr>
              <w:keepNext/>
              <w:keepLines/>
              <w:rPr>
                <w:rFonts w:cs="Arial"/>
                <w:sz w:val="16"/>
                <w:szCs w:val="16"/>
                <w:lang w:bidi="th-TH"/>
              </w:rPr>
            </w:pPr>
          </w:p>
          <w:p w:rsidR="00784E52" w:rsidRPr="005C7CCE" w:rsidRDefault="00784E52" w:rsidP="001A5BF9">
            <w:pPr>
              <w:keepNext/>
              <w:keepLines/>
              <w:rPr>
                <w:rFonts w:cs="Arial"/>
                <w:sz w:val="16"/>
                <w:szCs w:val="16"/>
              </w:rPr>
            </w:pPr>
            <w:r w:rsidRPr="005C7CCE">
              <w:rPr>
                <w:sz w:val="16"/>
              </w:rPr>
              <w:t>36 (cumul)</w:t>
            </w:r>
          </w:p>
        </w:tc>
        <w:tc>
          <w:tcPr>
            <w:tcW w:w="671" w:type="pct"/>
            <w:tcBorders>
              <w:top w:val="nil"/>
              <w:bottom w:val="nil"/>
              <w:right w:val="single" w:sz="4" w:space="0" w:color="auto"/>
            </w:tcBorders>
            <w:shd w:val="clear" w:color="auto" w:fill="auto"/>
            <w:tcMar>
              <w:top w:w="110" w:type="dxa"/>
            </w:tcMar>
          </w:tcPr>
          <w:p w:rsidR="00784E52" w:rsidRPr="00D32A9C"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5C7CCE" w:rsidTr="00BB3F3E">
        <w:trPr>
          <w:cantSplit/>
        </w:trPr>
        <w:tc>
          <w:tcPr>
            <w:tcW w:w="1212" w:type="pct"/>
            <w:tcBorders>
              <w:top w:val="nil"/>
              <w:left w:val="single" w:sz="4" w:space="0" w:color="auto"/>
              <w:bottom w:val="single" w:sz="4" w:space="0" w:color="auto"/>
            </w:tcBorders>
            <w:shd w:val="clear" w:color="auto" w:fill="auto"/>
          </w:tcPr>
          <w:p w:rsidR="00784E52" w:rsidRPr="00D32A9C" w:rsidRDefault="00784E52" w:rsidP="001A5BF9">
            <w:pPr>
              <w:keepNext/>
              <w:keepLines/>
              <w:rPr>
                <w:rFonts w:cs="Arial"/>
                <w:sz w:val="16"/>
                <w:szCs w:val="16"/>
              </w:rPr>
            </w:pPr>
            <w:r w:rsidRPr="00D32A9C">
              <w:rPr>
                <w:sz w:val="16"/>
              </w:rPr>
              <w:t>Nombre de collections nationales dans la Base de données mondiale sur les marques</w:t>
            </w:r>
          </w:p>
        </w:tc>
        <w:tc>
          <w:tcPr>
            <w:tcW w:w="1137" w:type="pct"/>
            <w:tcBorders>
              <w:top w:val="nil"/>
              <w:bottom w:val="single" w:sz="4" w:space="0" w:color="auto"/>
            </w:tcBorders>
            <w:shd w:val="clear" w:color="auto" w:fill="auto"/>
          </w:tcPr>
          <w:p w:rsidR="00D42474" w:rsidRDefault="00784E52" w:rsidP="001A5BF9">
            <w:pPr>
              <w:keepNext/>
              <w:keepLines/>
              <w:rPr>
                <w:rFonts w:cs="Arial"/>
                <w:color w:val="002060"/>
                <w:sz w:val="16"/>
                <w:szCs w:val="16"/>
                <w:lang w:bidi="th-TH"/>
              </w:rPr>
            </w:pPr>
            <w:r w:rsidRPr="005C7CCE">
              <w:rPr>
                <w:i/>
                <w:color w:val="002060"/>
                <w:sz w:val="16"/>
              </w:rPr>
              <w:t>Niveau de référence actualisé fin 2011 :</w:t>
            </w:r>
            <w:r w:rsidRPr="005C7CCE">
              <w:rPr>
                <w:color w:val="002060"/>
                <w:sz w:val="16"/>
              </w:rPr>
              <w:t xml:space="preserve"> 0</w:t>
            </w:r>
          </w:p>
          <w:p w:rsidR="00D42474" w:rsidRDefault="00D42474" w:rsidP="001A5BF9">
            <w:pPr>
              <w:keepNext/>
              <w:keepLines/>
              <w:ind w:left="1" w:hanging="1"/>
              <w:rPr>
                <w:rFonts w:cs="Arial"/>
                <w:i/>
                <w:sz w:val="8"/>
                <w:szCs w:val="8"/>
              </w:rPr>
            </w:pPr>
          </w:p>
          <w:p w:rsidR="00784E52" w:rsidRPr="005C7CCE" w:rsidRDefault="00784E52" w:rsidP="001A5BF9">
            <w:pPr>
              <w:keepNext/>
              <w:keepLines/>
              <w:rPr>
                <w:rFonts w:cs="Arial"/>
                <w:sz w:val="16"/>
                <w:szCs w:val="16"/>
                <w:lang w:bidi="th-TH"/>
              </w:rPr>
            </w:pPr>
            <w:r w:rsidRPr="005C7CCE">
              <w:rPr>
                <w:i/>
                <w:sz w:val="16"/>
              </w:rPr>
              <w:t>Niveau de référence initial</w:t>
            </w:r>
            <w:r w:rsidRPr="005C7CCE">
              <w:rPr>
                <w:sz w:val="16"/>
              </w:rPr>
              <w:t xml:space="preserve"> </w:t>
            </w:r>
            <w:r w:rsidRPr="005C7CCE">
              <w:br/>
            </w:r>
            <w:r w:rsidR="00667FB3">
              <w:rPr>
                <w:i/>
                <w:sz w:val="16"/>
              </w:rPr>
              <w:t>programme et budget</w:t>
            </w:r>
            <w:r w:rsidRPr="005C7CCE">
              <w:rPr>
                <w:i/>
                <w:sz w:val="16"/>
              </w:rPr>
              <w:t> 2012</w:t>
            </w:r>
            <w:r w:rsidR="002D6F2A" w:rsidRPr="005C7CCE">
              <w:rPr>
                <w:i/>
                <w:sz w:val="16"/>
              </w:rPr>
              <w:noBreakHyphen/>
            </w:r>
            <w:r w:rsidRPr="005C7CCE">
              <w:rPr>
                <w:i/>
                <w:sz w:val="16"/>
              </w:rPr>
              <w:t>2013</w:t>
            </w:r>
            <w:r w:rsidRPr="005C7CCE">
              <w:t> :</w:t>
            </w:r>
            <w:r w:rsidRPr="005C7CCE">
              <w:rPr>
                <w:smallCaps/>
                <w:sz w:val="16"/>
              </w:rPr>
              <w:t xml:space="preserve"> </w:t>
            </w:r>
            <w:proofErr w:type="spellStart"/>
            <w:r w:rsidR="00993241">
              <w:rPr>
                <w:sz w:val="16"/>
              </w:rPr>
              <w:t>n.d</w:t>
            </w:r>
            <w:proofErr w:type="spellEnd"/>
            <w:r w:rsidR="00993241">
              <w:rPr>
                <w:sz w:val="16"/>
              </w:rPr>
              <w:t>.</w:t>
            </w:r>
          </w:p>
        </w:tc>
        <w:tc>
          <w:tcPr>
            <w:tcW w:w="836" w:type="pct"/>
            <w:gridSpan w:val="2"/>
            <w:tcBorders>
              <w:top w:val="nil"/>
              <w:bottom w:val="single" w:sz="4" w:space="0" w:color="auto"/>
            </w:tcBorders>
            <w:shd w:val="clear" w:color="auto" w:fill="auto"/>
            <w:tcMar>
              <w:top w:w="110" w:type="dxa"/>
            </w:tcMar>
          </w:tcPr>
          <w:p w:rsidR="00784E52" w:rsidRPr="005C7CCE" w:rsidRDefault="00784E52" w:rsidP="001A5BF9">
            <w:pPr>
              <w:keepNext/>
              <w:keepLines/>
              <w:rPr>
                <w:rFonts w:cs="Arial"/>
                <w:sz w:val="16"/>
                <w:szCs w:val="16"/>
                <w:lang w:bidi="th-TH"/>
              </w:rPr>
            </w:pPr>
            <w:r w:rsidRPr="005C7CCE">
              <w:rPr>
                <w:sz w:val="16"/>
              </w:rPr>
              <w:t>10</w:t>
            </w:r>
          </w:p>
        </w:tc>
        <w:tc>
          <w:tcPr>
            <w:tcW w:w="1144" w:type="pct"/>
            <w:tcBorders>
              <w:top w:val="nil"/>
              <w:bottom w:val="single" w:sz="4" w:space="0" w:color="auto"/>
            </w:tcBorders>
            <w:shd w:val="clear" w:color="auto" w:fill="FFFFFF"/>
            <w:tcMar>
              <w:top w:w="110" w:type="dxa"/>
            </w:tcMar>
          </w:tcPr>
          <w:p w:rsidR="00784E52" w:rsidRPr="005C7CCE" w:rsidRDefault="00784E52" w:rsidP="001A5BF9">
            <w:pPr>
              <w:keepNext/>
              <w:keepLines/>
              <w:rPr>
                <w:rFonts w:cs="Arial"/>
                <w:sz w:val="16"/>
                <w:szCs w:val="16"/>
              </w:rPr>
            </w:pPr>
            <w:r w:rsidRPr="005C7CCE">
              <w:rPr>
                <w:sz w:val="16"/>
              </w:rPr>
              <w:t>12</w:t>
            </w:r>
          </w:p>
        </w:tc>
        <w:tc>
          <w:tcPr>
            <w:tcW w:w="671" w:type="pct"/>
            <w:tcBorders>
              <w:top w:val="nil"/>
              <w:bottom w:val="single" w:sz="4" w:space="0" w:color="auto"/>
              <w:right w:val="single" w:sz="4" w:space="0" w:color="auto"/>
            </w:tcBorders>
            <w:shd w:val="clear" w:color="auto" w:fill="auto"/>
            <w:tcMar>
              <w:top w:w="110" w:type="dxa"/>
            </w:tcMar>
          </w:tcPr>
          <w:p w:rsidR="00784E52" w:rsidRPr="00D32A9C"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D32A9C" w:rsidTr="00BB3F3E">
        <w:trPr>
          <w:cantSplit/>
        </w:trPr>
        <w:tc>
          <w:tcPr>
            <w:tcW w:w="5000" w:type="pct"/>
            <w:gridSpan w:val="6"/>
            <w:tcBorders>
              <w:top w:val="single" w:sz="4" w:space="0" w:color="auto"/>
              <w:left w:val="single" w:sz="4" w:space="0" w:color="auto"/>
              <w:bottom w:val="nil"/>
              <w:right w:val="single" w:sz="4" w:space="0" w:color="auto"/>
            </w:tcBorders>
            <w:shd w:val="clear" w:color="auto" w:fill="CCFFFF"/>
            <w:vAlign w:val="center"/>
          </w:tcPr>
          <w:p w:rsidR="00784E52" w:rsidRPr="00D32A9C" w:rsidRDefault="00784E52" w:rsidP="001A5BF9">
            <w:pPr>
              <w:keepNext/>
              <w:keepLines/>
              <w:tabs>
                <w:tab w:val="left" w:pos="1452"/>
              </w:tabs>
              <w:spacing w:before="120" w:after="120"/>
              <w:ind w:left="1452" w:hanging="1452"/>
              <w:rPr>
                <w:rFonts w:cs="Arial"/>
                <w:b/>
                <w:bCs/>
                <w:sz w:val="16"/>
                <w:szCs w:val="16"/>
              </w:rPr>
            </w:pPr>
            <w:r w:rsidRPr="00D32A9C">
              <w:rPr>
                <w:b/>
                <w:sz w:val="16"/>
              </w:rPr>
              <w:t>Résultat escompté</w:t>
            </w:r>
            <w:r w:rsidR="0010442A" w:rsidRPr="00D32A9C">
              <w:rPr>
                <w:b/>
                <w:sz w:val="16"/>
              </w:rPr>
              <w:t xml:space="preserve"> : </w:t>
            </w:r>
            <w:r w:rsidRPr="00D32A9C">
              <w:rPr>
                <w:b/>
                <w:sz w:val="16"/>
              </w:rPr>
              <w:tab/>
            </w:r>
            <w:r w:rsidRPr="00D32A9C">
              <w:rPr>
                <w:sz w:val="16"/>
              </w:rPr>
              <w:t>Mise à jour régulière de PATENTSCOPE en ce qui concerne les demandes selon</w:t>
            </w:r>
            <w:r w:rsidR="00A20444" w:rsidRPr="00D32A9C">
              <w:rPr>
                <w:sz w:val="16"/>
              </w:rPr>
              <w:t xml:space="preserve"> le PCT</w:t>
            </w:r>
          </w:p>
        </w:tc>
      </w:tr>
      <w:tr w:rsidR="00784E52" w:rsidRPr="00D32A9C" w:rsidTr="00BB3F3E">
        <w:trPr>
          <w:cantSplit/>
        </w:trPr>
        <w:tc>
          <w:tcPr>
            <w:tcW w:w="1212" w:type="pct"/>
            <w:tcBorders>
              <w:top w:val="single" w:sz="4" w:space="0" w:color="auto"/>
              <w:left w:val="single" w:sz="4" w:space="0" w:color="auto"/>
              <w:bottom w:val="nil"/>
            </w:tcBorders>
            <w:shd w:val="clear" w:color="auto" w:fill="auto"/>
            <w:vAlign w:val="center"/>
          </w:tcPr>
          <w:p w:rsidR="00784E52" w:rsidRPr="00D32A9C" w:rsidRDefault="00784E52" w:rsidP="001A5BF9">
            <w:pPr>
              <w:spacing w:after="120"/>
              <w:rPr>
                <w:rFonts w:cs="Arial"/>
                <w:b/>
                <w:sz w:val="16"/>
                <w:szCs w:val="16"/>
              </w:rPr>
            </w:pPr>
            <w:r w:rsidRPr="00D32A9C">
              <w:rPr>
                <w:b/>
                <w:sz w:val="16"/>
              </w:rPr>
              <w:t>Indicateurs d</w:t>
            </w:r>
            <w:r w:rsidR="00A20444" w:rsidRPr="00D32A9C">
              <w:rPr>
                <w:b/>
                <w:sz w:val="16"/>
              </w:rPr>
              <w:t>’</w:t>
            </w:r>
            <w:r w:rsidRPr="00D32A9C">
              <w:rPr>
                <w:b/>
                <w:sz w:val="16"/>
              </w:rPr>
              <w:t>exécution</w:t>
            </w:r>
          </w:p>
        </w:tc>
        <w:tc>
          <w:tcPr>
            <w:tcW w:w="1137" w:type="pct"/>
            <w:tcBorders>
              <w:top w:val="single" w:sz="4" w:space="0" w:color="auto"/>
              <w:bottom w:val="nil"/>
            </w:tcBorders>
            <w:shd w:val="clear" w:color="auto" w:fill="auto"/>
            <w:vAlign w:val="center"/>
          </w:tcPr>
          <w:p w:rsidR="00784E52" w:rsidRPr="00D32A9C" w:rsidRDefault="00784E52" w:rsidP="001A5BF9">
            <w:pPr>
              <w:spacing w:after="120"/>
              <w:rPr>
                <w:rFonts w:cs="Arial"/>
                <w:b/>
                <w:bCs/>
                <w:sz w:val="16"/>
                <w:szCs w:val="16"/>
              </w:rPr>
            </w:pPr>
            <w:r w:rsidRPr="00D32A9C">
              <w:rPr>
                <w:b/>
                <w:sz w:val="16"/>
              </w:rPr>
              <w:t>Niveaux de référence</w:t>
            </w:r>
          </w:p>
        </w:tc>
        <w:tc>
          <w:tcPr>
            <w:tcW w:w="833" w:type="pct"/>
            <w:tcBorders>
              <w:top w:val="single" w:sz="4" w:space="0" w:color="auto"/>
              <w:bottom w:val="nil"/>
            </w:tcBorders>
            <w:shd w:val="clear" w:color="auto" w:fill="auto"/>
            <w:tcMar>
              <w:top w:w="110" w:type="dxa"/>
            </w:tcMar>
            <w:vAlign w:val="center"/>
          </w:tcPr>
          <w:p w:rsidR="00784E52" w:rsidRPr="00D32A9C" w:rsidRDefault="00784E52" w:rsidP="001A5BF9">
            <w:pPr>
              <w:spacing w:after="120"/>
              <w:rPr>
                <w:rFonts w:cs="Arial"/>
                <w:b/>
                <w:sz w:val="16"/>
                <w:szCs w:val="16"/>
              </w:rPr>
            </w:pPr>
            <w:r w:rsidRPr="00D32A9C">
              <w:rPr>
                <w:b/>
                <w:sz w:val="16"/>
              </w:rPr>
              <w:t>Objectifs visés</w:t>
            </w:r>
          </w:p>
        </w:tc>
        <w:tc>
          <w:tcPr>
            <w:tcW w:w="1147" w:type="pct"/>
            <w:gridSpan w:val="2"/>
            <w:tcBorders>
              <w:top w:val="single" w:sz="4" w:space="0" w:color="auto"/>
              <w:bottom w:val="nil"/>
            </w:tcBorders>
            <w:shd w:val="clear" w:color="auto" w:fill="FFFFFF"/>
            <w:tcMar>
              <w:top w:w="110" w:type="dxa"/>
            </w:tcMar>
            <w:vAlign w:val="center"/>
          </w:tcPr>
          <w:p w:rsidR="00784E52" w:rsidRPr="00D32A9C" w:rsidRDefault="00784E52" w:rsidP="001A5BF9">
            <w:pPr>
              <w:spacing w:after="120"/>
              <w:rPr>
                <w:rFonts w:cs="Arial"/>
                <w:b/>
                <w:sz w:val="16"/>
                <w:szCs w:val="16"/>
              </w:rPr>
            </w:pPr>
            <w:r w:rsidRPr="00D32A9C">
              <w:rPr>
                <w:b/>
                <w:sz w:val="16"/>
              </w:rPr>
              <w:t>Données relatives à l</w:t>
            </w:r>
            <w:r w:rsidR="00A20444" w:rsidRPr="00D32A9C">
              <w:rPr>
                <w:b/>
                <w:sz w:val="16"/>
              </w:rPr>
              <w:t>’</w:t>
            </w:r>
            <w:r w:rsidRPr="00D32A9C">
              <w:rPr>
                <w:b/>
                <w:sz w:val="16"/>
              </w:rPr>
              <w:t>exécution</w:t>
            </w:r>
          </w:p>
        </w:tc>
        <w:tc>
          <w:tcPr>
            <w:tcW w:w="671" w:type="pct"/>
            <w:tcBorders>
              <w:top w:val="single" w:sz="4" w:space="0" w:color="auto"/>
              <w:bottom w:val="nil"/>
              <w:right w:val="single" w:sz="4" w:space="0" w:color="auto"/>
            </w:tcBorders>
            <w:shd w:val="clear" w:color="auto" w:fill="auto"/>
            <w:tcMar>
              <w:top w:w="110" w:type="dxa"/>
            </w:tcMar>
            <w:vAlign w:val="center"/>
          </w:tcPr>
          <w:p w:rsidR="00784E52" w:rsidRPr="00D32A9C" w:rsidRDefault="00784E52" w:rsidP="001A5BF9">
            <w:pPr>
              <w:keepNext/>
              <w:keepLines/>
              <w:spacing w:after="120"/>
              <w:jc w:val="center"/>
              <w:rPr>
                <w:rFonts w:cs="Arial"/>
                <w:b/>
                <w:bCs/>
                <w:sz w:val="16"/>
                <w:szCs w:val="16"/>
              </w:rPr>
            </w:pPr>
            <w:r w:rsidRPr="00D32A9C">
              <w:rPr>
                <w:b/>
                <w:sz w:val="16"/>
              </w:rPr>
              <w:t>Code de couleurs</w:t>
            </w:r>
          </w:p>
        </w:tc>
      </w:tr>
      <w:tr w:rsidR="00784E52" w:rsidRPr="005C7CCE" w:rsidTr="00BB3F3E">
        <w:trPr>
          <w:cantSplit/>
        </w:trPr>
        <w:tc>
          <w:tcPr>
            <w:tcW w:w="1212" w:type="pct"/>
            <w:tcBorders>
              <w:top w:val="nil"/>
              <w:left w:val="single" w:sz="4" w:space="0" w:color="auto"/>
              <w:bottom w:val="nil"/>
            </w:tcBorders>
            <w:shd w:val="clear" w:color="auto" w:fill="auto"/>
          </w:tcPr>
          <w:p w:rsidR="00784E52" w:rsidRPr="00D32A9C" w:rsidRDefault="00784E52" w:rsidP="001A5BF9">
            <w:pPr>
              <w:rPr>
                <w:rFonts w:cs="Arial"/>
                <w:sz w:val="16"/>
                <w:szCs w:val="16"/>
              </w:rPr>
            </w:pPr>
            <w:r w:rsidRPr="00D32A9C">
              <w:rPr>
                <w:sz w:val="16"/>
              </w:rPr>
              <w:t>Retard (en mois) dans la mise en œuvre des changements apportés aux règles</w:t>
            </w:r>
            <w:r w:rsidR="00A20444" w:rsidRPr="00D32A9C">
              <w:rPr>
                <w:sz w:val="16"/>
              </w:rPr>
              <w:t xml:space="preserve"> du PCT</w:t>
            </w:r>
            <w:r w:rsidRPr="00D32A9C">
              <w:rPr>
                <w:sz w:val="16"/>
              </w:rPr>
              <w:t xml:space="preserve"> en ce qui concerne PATENTSCOPE</w:t>
            </w:r>
          </w:p>
        </w:tc>
        <w:tc>
          <w:tcPr>
            <w:tcW w:w="1137" w:type="pct"/>
            <w:tcBorders>
              <w:top w:val="nil"/>
              <w:bottom w:val="nil"/>
            </w:tcBorders>
            <w:shd w:val="clear" w:color="auto" w:fill="auto"/>
          </w:tcPr>
          <w:p w:rsidR="00784E52" w:rsidRPr="005C7CCE" w:rsidRDefault="00784E52" w:rsidP="001A5BF9">
            <w:pPr>
              <w:rPr>
                <w:rFonts w:cs="Arial"/>
                <w:sz w:val="16"/>
                <w:szCs w:val="16"/>
              </w:rPr>
            </w:pPr>
            <w:r w:rsidRPr="005C7CCE">
              <w:rPr>
                <w:sz w:val="16"/>
              </w:rPr>
              <w:t>0</w:t>
            </w:r>
          </w:p>
        </w:tc>
        <w:tc>
          <w:tcPr>
            <w:tcW w:w="833" w:type="pct"/>
            <w:tcBorders>
              <w:top w:val="nil"/>
              <w:bottom w:val="nil"/>
            </w:tcBorders>
            <w:shd w:val="clear" w:color="auto" w:fill="auto"/>
            <w:tcMar>
              <w:top w:w="110" w:type="dxa"/>
            </w:tcMar>
          </w:tcPr>
          <w:p w:rsidR="00784E52" w:rsidRPr="005C7CCE" w:rsidRDefault="00784E52" w:rsidP="001A5BF9">
            <w:pPr>
              <w:rPr>
                <w:rFonts w:cs="Arial"/>
                <w:sz w:val="16"/>
                <w:szCs w:val="16"/>
                <w:lang w:bidi="th-TH"/>
              </w:rPr>
            </w:pPr>
            <w:r w:rsidRPr="005C7CCE">
              <w:rPr>
                <w:sz w:val="16"/>
              </w:rPr>
              <w:t>0</w:t>
            </w:r>
          </w:p>
        </w:tc>
        <w:tc>
          <w:tcPr>
            <w:tcW w:w="1147" w:type="pct"/>
            <w:gridSpan w:val="2"/>
            <w:tcBorders>
              <w:top w:val="nil"/>
              <w:bottom w:val="nil"/>
            </w:tcBorders>
            <w:shd w:val="clear" w:color="auto" w:fill="FFFFFF"/>
            <w:tcMar>
              <w:top w:w="110" w:type="dxa"/>
            </w:tcMar>
          </w:tcPr>
          <w:p w:rsidR="00784E52" w:rsidRPr="005C7CCE" w:rsidRDefault="00784E52" w:rsidP="001A5BF9">
            <w:pPr>
              <w:rPr>
                <w:rFonts w:cs="Arial"/>
                <w:sz w:val="16"/>
                <w:szCs w:val="16"/>
              </w:rPr>
            </w:pPr>
            <w:r w:rsidRPr="005C7CCE">
              <w:rPr>
                <w:sz w:val="16"/>
              </w:rPr>
              <w:t>0</w:t>
            </w:r>
          </w:p>
        </w:tc>
        <w:tc>
          <w:tcPr>
            <w:tcW w:w="671" w:type="pct"/>
            <w:tcBorders>
              <w:top w:val="nil"/>
              <w:bottom w:val="nil"/>
              <w:right w:val="single" w:sz="4" w:space="0" w:color="auto"/>
            </w:tcBorders>
            <w:shd w:val="clear" w:color="auto" w:fill="auto"/>
            <w:tcMar>
              <w:top w:w="110" w:type="dxa"/>
            </w:tcMar>
          </w:tcPr>
          <w:p w:rsidR="00784E52" w:rsidRPr="00D32A9C" w:rsidRDefault="00784E52"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D32A9C">
              <w:rPr>
                <w:rStyle w:val="Style5"/>
                <w:rFonts w:ascii="Arial" w:hAnsi="Arial"/>
                <w:color w:val="008000"/>
                <w:sz w:val="16"/>
              </w:rPr>
              <w:t xml:space="preserve"> </w:t>
            </w:r>
          </w:p>
        </w:tc>
      </w:tr>
      <w:tr w:rsidR="00784E52" w:rsidRPr="005C7CCE" w:rsidTr="00BB3F3E">
        <w:trPr>
          <w:cantSplit/>
        </w:trPr>
        <w:tc>
          <w:tcPr>
            <w:tcW w:w="1212" w:type="pct"/>
            <w:tcBorders>
              <w:top w:val="nil"/>
              <w:left w:val="single" w:sz="4" w:space="0" w:color="auto"/>
              <w:bottom w:val="single" w:sz="4" w:space="0" w:color="auto"/>
            </w:tcBorders>
            <w:shd w:val="clear" w:color="auto" w:fill="auto"/>
          </w:tcPr>
          <w:p w:rsidR="00D42474" w:rsidRDefault="00784E52" w:rsidP="001A5BF9">
            <w:pPr>
              <w:rPr>
                <w:rFonts w:cs="Arial"/>
                <w:sz w:val="16"/>
                <w:szCs w:val="16"/>
              </w:rPr>
            </w:pPr>
            <w:r w:rsidRPr="00D32A9C">
              <w:rPr>
                <w:sz w:val="16"/>
              </w:rPr>
              <w:t>Nombre de semaines par an où la publication n</w:t>
            </w:r>
            <w:r w:rsidR="00A20444" w:rsidRPr="00D32A9C">
              <w:rPr>
                <w:sz w:val="16"/>
              </w:rPr>
              <w:t>’</w:t>
            </w:r>
            <w:r w:rsidRPr="00D32A9C">
              <w:rPr>
                <w:sz w:val="16"/>
              </w:rPr>
              <w:t>est pas disponible à 20 heures (heure de Genève) le jour de publication</w:t>
            </w:r>
          </w:p>
          <w:p w:rsidR="00784E52" w:rsidRPr="00D32A9C" w:rsidRDefault="00784E52" w:rsidP="001A5BF9">
            <w:pPr>
              <w:rPr>
                <w:rFonts w:cs="Arial"/>
                <w:sz w:val="16"/>
                <w:szCs w:val="16"/>
              </w:rPr>
            </w:pPr>
          </w:p>
        </w:tc>
        <w:tc>
          <w:tcPr>
            <w:tcW w:w="1137" w:type="pct"/>
            <w:tcBorders>
              <w:top w:val="nil"/>
              <w:bottom w:val="single" w:sz="4" w:space="0" w:color="auto"/>
            </w:tcBorders>
            <w:shd w:val="clear" w:color="auto" w:fill="auto"/>
          </w:tcPr>
          <w:p w:rsidR="00784E52" w:rsidRPr="005C7CCE" w:rsidRDefault="00784E52" w:rsidP="001A5BF9">
            <w:pPr>
              <w:rPr>
                <w:rFonts w:cs="Arial"/>
                <w:i/>
                <w:sz w:val="16"/>
                <w:szCs w:val="16"/>
              </w:rPr>
            </w:pPr>
            <w:r w:rsidRPr="005C7CCE">
              <w:rPr>
                <w:sz w:val="16"/>
              </w:rPr>
              <w:t>0</w:t>
            </w:r>
          </w:p>
        </w:tc>
        <w:tc>
          <w:tcPr>
            <w:tcW w:w="833" w:type="pct"/>
            <w:tcBorders>
              <w:top w:val="nil"/>
              <w:bottom w:val="single" w:sz="4" w:space="0" w:color="auto"/>
            </w:tcBorders>
            <w:shd w:val="clear" w:color="auto" w:fill="auto"/>
            <w:tcMar>
              <w:top w:w="110" w:type="dxa"/>
            </w:tcMar>
          </w:tcPr>
          <w:p w:rsidR="00784E52" w:rsidRPr="005C7CCE" w:rsidRDefault="00784E52" w:rsidP="001A5BF9">
            <w:pPr>
              <w:rPr>
                <w:rFonts w:cs="Arial"/>
                <w:sz w:val="16"/>
                <w:szCs w:val="16"/>
                <w:lang w:bidi="th-TH"/>
              </w:rPr>
            </w:pPr>
            <w:r w:rsidRPr="005C7CCE">
              <w:rPr>
                <w:sz w:val="16"/>
              </w:rPr>
              <w:t>0</w:t>
            </w:r>
          </w:p>
        </w:tc>
        <w:tc>
          <w:tcPr>
            <w:tcW w:w="1147" w:type="pct"/>
            <w:gridSpan w:val="2"/>
            <w:tcBorders>
              <w:top w:val="nil"/>
              <w:bottom w:val="single" w:sz="4" w:space="0" w:color="auto"/>
            </w:tcBorders>
            <w:shd w:val="clear" w:color="auto" w:fill="FFFFFF"/>
            <w:tcMar>
              <w:top w:w="110" w:type="dxa"/>
            </w:tcMar>
          </w:tcPr>
          <w:p w:rsidR="00784E52" w:rsidRPr="005C7CCE" w:rsidRDefault="00784E52" w:rsidP="001A5BF9">
            <w:pPr>
              <w:rPr>
                <w:rFonts w:cs="Arial"/>
                <w:sz w:val="16"/>
                <w:szCs w:val="16"/>
              </w:rPr>
            </w:pPr>
            <w:r w:rsidRPr="005C7CCE">
              <w:rPr>
                <w:sz w:val="16"/>
              </w:rPr>
              <w:t>1</w:t>
            </w:r>
          </w:p>
        </w:tc>
        <w:tc>
          <w:tcPr>
            <w:tcW w:w="671" w:type="pct"/>
            <w:tcBorders>
              <w:top w:val="nil"/>
              <w:bottom w:val="single" w:sz="4" w:space="0" w:color="auto"/>
              <w:right w:val="single" w:sz="4" w:space="0" w:color="auto"/>
            </w:tcBorders>
            <w:shd w:val="clear" w:color="auto" w:fill="auto"/>
            <w:tcMar>
              <w:top w:w="110" w:type="dxa"/>
            </w:tcMar>
          </w:tcPr>
          <w:p w:rsidR="00784E52" w:rsidRPr="00D32A9C" w:rsidRDefault="00784E52"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D32A9C">
              <w:rPr>
                <w:rStyle w:val="Style5"/>
                <w:rFonts w:ascii="Arial" w:hAnsi="Arial"/>
                <w:color w:val="008000"/>
                <w:sz w:val="16"/>
              </w:rPr>
              <w:t xml:space="preserve"> </w:t>
            </w:r>
          </w:p>
        </w:tc>
      </w:tr>
    </w:tbl>
    <w:p w:rsidR="00D42474" w:rsidRDefault="00D42474" w:rsidP="001A5BF9"/>
    <w:p w:rsidR="00D42474" w:rsidRDefault="00D42474" w:rsidP="001A5BF9">
      <w:pPr>
        <w:rPr>
          <w:rFonts w:cs="Arial"/>
        </w:rPr>
      </w:pPr>
    </w:p>
    <w:p w:rsidR="00D42474" w:rsidRDefault="008A271C" w:rsidP="001A5BF9">
      <w:pPr>
        <w:keepNext/>
        <w:keepLines/>
        <w:rPr>
          <w:rFonts w:cs="Arial"/>
          <w:szCs w:val="22"/>
        </w:rPr>
      </w:pPr>
      <w:r w:rsidRPr="005C7CCE">
        <w:rPr>
          <w:color w:val="008000"/>
        </w:rPr>
        <w:br w:type="page"/>
      </w:r>
      <w:r w:rsidR="00784E52" w:rsidRPr="00866763">
        <w:rPr>
          <w:sz w:val="22"/>
        </w:rPr>
        <w:t>BUDGET ET DÉPENSES EFFECTIVES</w:t>
      </w:r>
    </w:p>
    <w:p w:rsidR="00D42474" w:rsidRDefault="00D42474" w:rsidP="001A5BF9">
      <w:pPr>
        <w:keepNext/>
        <w:keepLines/>
        <w:rPr>
          <w:rFonts w:cs="Arial"/>
          <w:szCs w:val="22"/>
        </w:rPr>
      </w:pPr>
    </w:p>
    <w:p w:rsidR="00D42474" w:rsidRDefault="00784E52" w:rsidP="001A5BF9">
      <w:pPr>
        <w:jc w:val="center"/>
      </w:pPr>
      <w:r w:rsidRPr="00D32A9C">
        <w:t>Budget et dépenses effectives (par résultat)</w:t>
      </w:r>
    </w:p>
    <w:p w:rsidR="00D42474" w:rsidRDefault="00784E52" w:rsidP="001A5BF9">
      <w:pPr>
        <w:jc w:val="center"/>
        <w:rPr>
          <w:rFonts w:ascii="Times New Roman" w:hAnsi="Times New Roman"/>
          <w:szCs w:val="20"/>
        </w:rPr>
      </w:pPr>
      <w:r w:rsidRPr="00D32A9C">
        <w:rPr>
          <w:i/>
        </w:rPr>
        <w:t>(</w:t>
      </w:r>
      <w:proofErr w:type="gramStart"/>
      <w:r w:rsidRPr="00D32A9C">
        <w:rPr>
          <w:i/>
        </w:rPr>
        <w:t>en</w:t>
      </w:r>
      <w:proofErr w:type="gramEnd"/>
      <w:r w:rsidRPr="00D32A9C">
        <w:rPr>
          <w:i/>
        </w:rPr>
        <w:t xml:space="preserve"> milliers de francs suisses)</w:t>
      </w:r>
    </w:p>
    <w:p w:rsidR="00784E52" w:rsidRPr="00D32A9C" w:rsidRDefault="00784E52" w:rsidP="001A5BF9">
      <w:pPr>
        <w:keepNext/>
        <w:keepLines/>
        <w:rPr>
          <w:rFonts w:cs="Arial"/>
          <w:szCs w:val="22"/>
        </w:rPr>
      </w:pPr>
    </w:p>
    <w:tbl>
      <w:tblPr>
        <w:tblW w:w="0" w:type="auto"/>
        <w:tblInd w:w="103" w:type="dxa"/>
        <w:tblLayout w:type="fixed"/>
        <w:tblLook w:val="04A0" w:firstRow="1" w:lastRow="0" w:firstColumn="1" w:lastColumn="0" w:noHBand="0" w:noVBand="1"/>
      </w:tblPr>
      <w:tblGrid>
        <w:gridCol w:w="532"/>
        <w:gridCol w:w="4576"/>
        <w:gridCol w:w="1417"/>
        <w:gridCol w:w="1418"/>
        <w:gridCol w:w="1418"/>
      </w:tblGrid>
      <w:tr w:rsidR="00784E52" w:rsidRPr="00D32A9C" w:rsidTr="00D47893">
        <w:tc>
          <w:tcPr>
            <w:tcW w:w="5108"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D32A9C" w:rsidRDefault="00784E52" w:rsidP="001A5BF9">
            <w:pPr>
              <w:spacing w:before="120" w:after="120"/>
              <w:jc w:val="center"/>
              <w:rPr>
                <w:rFonts w:cs="Arial"/>
                <w:bCs/>
                <w:sz w:val="16"/>
                <w:szCs w:val="16"/>
              </w:rPr>
            </w:pPr>
            <w:r w:rsidRPr="00D32A9C">
              <w:rPr>
                <w:sz w:val="16"/>
              </w:rPr>
              <w:t>Numéro et description du résultat escompté</w:t>
            </w:r>
          </w:p>
        </w:tc>
        <w:tc>
          <w:tcPr>
            <w:tcW w:w="1417" w:type="dxa"/>
            <w:tcBorders>
              <w:top w:val="single" w:sz="4" w:space="0" w:color="auto"/>
              <w:left w:val="nil"/>
              <w:bottom w:val="single" w:sz="4" w:space="0" w:color="auto"/>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Budget</w:t>
            </w:r>
            <w:r w:rsidRPr="00D32A9C">
              <w:br/>
            </w:r>
            <w:r w:rsidRPr="00D32A9C">
              <w:rPr>
                <w:sz w:val="16"/>
              </w:rPr>
              <w:t>2012–2013</w:t>
            </w:r>
            <w:r w:rsidRPr="00D32A9C">
              <w:br/>
            </w:r>
            <w:r w:rsidRPr="00D32A9C">
              <w:rPr>
                <w:sz w:val="16"/>
              </w:rPr>
              <w:t>approuvé</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Budget</w:t>
            </w:r>
            <w:r w:rsidRPr="00D32A9C">
              <w:br/>
            </w:r>
            <w:r w:rsidRPr="00D32A9C">
              <w:rPr>
                <w:sz w:val="16"/>
              </w:rPr>
              <w:t>2012</w:t>
            </w:r>
            <w:r w:rsidR="002D6F2A" w:rsidRPr="00D32A9C">
              <w:rPr>
                <w:sz w:val="16"/>
              </w:rPr>
              <w:noBreakHyphen/>
            </w:r>
            <w:r w:rsidRPr="00D32A9C">
              <w:rPr>
                <w:sz w:val="16"/>
              </w:rPr>
              <w:t>2013</w:t>
            </w:r>
            <w:r w:rsidRPr="00D32A9C">
              <w:br/>
            </w:r>
            <w:r w:rsidRPr="00D32A9C">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Dépenses</w:t>
            </w:r>
            <w:r w:rsidRPr="00D32A9C">
              <w:br/>
            </w:r>
            <w:r w:rsidRPr="00D32A9C">
              <w:rPr>
                <w:sz w:val="16"/>
              </w:rPr>
              <w:t>2012</w:t>
            </w:r>
            <w:r w:rsidR="002D6F2A" w:rsidRPr="00D32A9C">
              <w:rPr>
                <w:sz w:val="16"/>
              </w:rPr>
              <w:noBreakHyphen/>
            </w:r>
            <w:r w:rsidRPr="00D32A9C">
              <w:rPr>
                <w:sz w:val="16"/>
              </w:rPr>
              <w:t>2013</w:t>
            </w:r>
          </w:p>
        </w:tc>
      </w:tr>
      <w:tr w:rsidR="00784E52" w:rsidRPr="00D32A9C" w:rsidTr="00D47893">
        <w:tc>
          <w:tcPr>
            <w:tcW w:w="532" w:type="dxa"/>
            <w:tcBorders>
              <w:top w:val="nil"/>
              <w:left w:val="single" w:sz="4" w:space="0" w:color="auto"/>
              <w:bottom w:val="nil"/>
              <w:right w:val="nil"/>
            </w:tcBorders>
            <w:shd w:val="clear" w:color="000000" w:fill="FFFFFF"/>
            <w:noWrap/>
          </w:tcPr>
          <w:p w:rsidR="00784E52" w:rsidRPr="00D32A9C" w:rsidRDefault="00784E52" w:rsidP="001A5BF9">
            <w:pPr>
              <w:spacing w:before="120"/>
              <w:jc w:val="center"/>
              <w:rPr>
                <w:rFonts w:cs="Arial"/>
                <w:sz w:val="16"/>
                <w:szCs w:val="16"/>
              </w:rPr>
            </w:pPr>
            <w:proofErr w:type="spellStart"/>
            <w:r w:rsidRPr="00D32A9C">
              <w:rPr>
                <w:sz w:val="16"/>
              </w:rPr>
              <w:t>IV.2</w:t>
            </w:r>
            <w:proofErr w:type="spellEnd"/>
          </w:p>
        </w:tc>
        <w:tc>
          <w:tcPr>
            <w:tcW w:w="4576" w:type="dxa"/>
            <w:tcBorders>
              <w:top w:val="nil"/>
              <w:left w:val="nil"/>
              <w:bottom w:val="nil"/>
              <w:right w:val="nil"/>
            </w:tcBorders>
            <w:shd w:val="clear" w:color="000000" w:fill="FFFFFF"/>
          </w:tcPr>
          <w:p w:rsidR="00784E52" w:rsidRPr="00D32A9C" w:rsidRDefault="00784E52" w:rsidP="001A5BF9">
            <w:pPr>
              <w:spacing w:before="120"/>
              <w:rPr>
                <w:rFonts w:cs="Arial"/>
                <w:sz w:val="16"/>
                <w:szCs w:val="16"/>
              </w:rPr>
            </w:pPr>
            <w:r w:rsidRPr="00D32A9C">
              <w:rPr>
                <w:sz w:val="16"/>
              </w:rPr>
              <w:t>Accès amélioré à l</w:t>
            </w:r>
            <w:r w:rsidR="00A20444" w:rsidRPr="00D32A9C">
              <w:rPr>
                <w:sz w:val="16"/>
              </w:rPr>
              <w:t>’</w:t>
            </w:r>
            <w:r w:rsidRPr="00D32A9C">
              <w:rPr>
                <w:sz w:val="16"/>
              </w:rPr>
              <w:t>information et aux savoirs en matière de propriété intellectuelle, et meilleure utilisation de cette information et de ces savoirs, par les institutions de propriété intellectuelle et le public, pour promouvoir l</w:t>
            </w:r>
            <w:r w:rsidR="00A20444" w:rsidRPr="00D32A9C">
              <w:rPr>
                <w:sz w:val="16"/>
              </w:rPr>
              <w:t>’</w:t>
            </w:r>
            <w:r w:rsidRPr="00D32A9C">
              <w:rPr>
                <w:sz w:val="16"/>
              </w:rPr>
              <w:t>innovation et faciliter l</w:t>
            </w:r>
            <w:r w:rsidR="00A20444" w:rsidRPr="00D32A9C">
              <w:rPr>
                <w:sz w:val="16"/>
              </w:rPr>
              <w:t>’</w:t>
            </w:r>
            <w:r w:rsidRPr="00D32A9C">
              <w:rPr>
                <w:sz w:val="16"/>
              </w:rPr>
              <w:t>accès aux œuvres de création protégées et aux œuvres de création dans le domaine public</w:t>
            </w:r>
          </w:p>
        </w:tc>
        <w:tc>
          <w:tcPr>
            <w:tcW w:w="1417" w:type="dxa"/>
            <w:tcBorders>
              <w:top w:val="nil"/>
              <w:left w:val="nil"/>
              <w:bottom w:val="nil"/>
              <w:right w:val="nil"/>
            </w:tcBorders>
            <w:shd w:val="clear" w:color="000000" w:fill="FFFFFF"/>
            <w:vAlign w:val="center"/>
          </w:tcPr>
          <w:p w:rsidR="00784E52" w:rsidRPr="00D32A9C" w:rsidRDefault="00784E52" w:rsidP="001A5BF9">
            <w:pPr>
              <w:spacing w:before="120"/>
              <w:jc w:val="right"/>
              <w:rPr>
                <w:rFonts w:cs="Arial"/>
                <w:sz w:val="16"/>
                <w:szCs w:val="16"/>
              </w:rPr>
            </w:pPr>
            <w:r w:rsidRPr="00D32A9C">
              <w:rPr>
                <w:sz w:val="16"/>
              </w:rPr>
              <w:t>1 135</w:t>
            </w:r>
          </w:p>
        </w:tc>
        <w:tc>
          <w:tcPr>
            <w:tcW w:w="1418" w:type="dxa"/>
            <w:tcBorders>
              <w:top w:val="nil"/>
              <w:left w:val="nil"/>
              <w:bottom w:val="nil"/>
              <w:right w:val="nil"/>
            </w:tcBorders>
            <w:shd w:val="clear" w:color="000000" w:fill="FFFFFF"/>
            <w:vAlign w:val="center"/>
          </w:tcPr>
          <w:p w:rsidR="00784E52" w:rsidRPr="00D32A9C" w:rsidRDefault="00784E52" w:rsidP="001A5BF9">
            <w:pPr>
              <w:spacing w:before="120"/>
              <w:jc w:val="right"/>
              <w:rPr>
                <w:rFonts w:cs="Arial"/>
                <w:sz w:val="16"/>
                <w:szCs w:val="16"/>
              </w:rPr>
            </w:pPr>
            <w:r w:rsidRPr="00D32A9C">
              <w:rPr>
                <w:sz w:val="16"/>
              </w:rPr>
              <w:t>2 238</w:t>
            </w:r>
          </w:p>
        </w:tc>
        <w:tc>
          <w:tcPr>
            <w:tcW w:w="1418" w:type="dxa"/>
            <w:tcBorders>
              <w:top w:val="nil"/>
              <w:left w:val="nil"/>
              <w:bottom w:val="nil"/>
              <w:right w:val="single" w:sz="4" w:space="0" w:color="auto"/>
            </w:tcBorders>
            <w:shd w:val="clear" w:color="000000" w:fill="FFFFFF"/>
            <w:vAlign w:val="center"/>
          </w:tcPr>
          <w:p w:rsidR="00784E52" w:rsidRPr="00D32A9C" w:rsidRDefault="00784E52" w:rsidP="001A5BF9">
            <w:pPr>
              <w:spacing w:before="120"/>
              <w:jc w:val="right"/>
              <w:rPr>
                <w:rFonts w:cs="Arial"/>
                <w:sz w:val="16"/>
                <w:szCs w:val="16"/>
              </w:rPr>
            </w:pPr>
            <w:r w:rsidRPr="00D32A9C">
              <w:rPr>
                <w:sz w:val="16"/>
              </w:rPr>
              <w:t>1 973</w:t>
            </w:r>
          </w:p>
        </w:tc>
      </w:tr>
      <w:tr w:rsidR="00784E52" w:rsidRPr="00D32A9C" w:rsidTr="00D47893">
        <w:tc>
          <w:tcPr>
            <w:tcW w:w="532" w:type="dxa"/>
            <w:tcBorders>
              <w:top w:val="nil"/>
              <w:left w:val="single" w:sz="4" w:space="0" w:color="auto"/>
              <w:bottom w:val="nil"/>
              <w:right w:val="nil"/>
            </w:tcBorders>
            <w:shd w:val="clear" w:color="000000" w:fill="FFFFFF"/>
            <w:noWrap/>
          </w:tcPr>
          <w:p w:rsidR="00784E52" w:rsidRPr="00D32A9C" w:rsidRDefault="00784E52" w:rsidP="001A5BF9">
            <w:pPr>
              <w:spacing w:before="120"/>
              <w:jc w:val="center"/>
              <w:rPr>
                <w:rFonts w:cs="Arial"/>
                <w:sz w:val="16"/>
                <w:szCs w:val="16"/>
              </w:rPr>
            </w:pPr>
            <w:proofErr w:type="spellStart"/>
            <w:r w:rsidRPr="00D32A9C">
              <w:rPr>
                <w:sz w:val="16"/>
              </w:rPr>
              <w:t>IV.3</w:t>
            </w:r>
            <w:proofErr w:type="spellEnd"/>
          </w:p>
        </w:tc>
        <w:tc>
          <w:tcPr>
            <w:tcW w:w="4576" w:type="dxa"/>
            <w:tcBorders>
              <w:top w:val="nil"/>
              <w:left w:val="nil"/>
              <w:bottom w:val="nil"/>
              <w:right w:val="nil"/>
            </w:tcBorders>
            <w:shd w:val="clear" w:color="000000" w:fill="FFFFFF"/>
          </w:tcPr>
          <w:p w:rsidR="00784E52" w:rsidRPr="00D32A9C" w:rsidRDefault="00784E52" w:rsidP="001A5BF9">
            <w:pPr>
              <w:spacing w:before="120"/>
              <w:rPr>
                <w:rFonts w:cs="Arial"/>
                <w:sz w:val="16"/>
                <w:szCs w:val="16"/>
              </w:rPr>
            </w:pPr>
            <w:r w:rsidRPr="00D32A9C">
              <w:rPr>
                <w:sz w:val="16"/>
              </w:rPr>
              <w:t>Diffusion accrue des collections numérisées de brevets des offices nationaux ou régionaux des États membres de l</w:t>
            </w:r>
            <w:r w:rsidR="00A20444" w:rsidRPr="00D32A9C">
              <w:rPr>
                <w:sz w:val="16"/>
              </w:rPr>
              <w:t>’</w:t>
            </w:r>
            <w:r w:rsidRPr="00D32A9C">
              <w:rPr>
                <w:sz w:val="16"/>
              </w:rPr>
              <w:t>OMPI</w:t>
            </w:r>
          </w:p>
        </w:tc>
        <w:tc>
          <w:tcPr>
            <w:tcW w:w="1417" w:type="dxa"/>
            <w:tcBorders>
              <w:top w:val="nil"/>
              <w:left w:val="nil"/>
              <w:bottom w:val="nil"/>
              <w:right w:val="nil"/>
            </w:tcBorders>
            <w:shd w:val="clear" w:color="000000" w:fill="FFFFFF"/>
            <w:vAlign w:val="center"/>
          </w:tcPr>
          <w:p w:rsidR="00784E52" w:rsidRPr="00D32A9C" w:rsidRDefault="00784E52" w:rsidP="001A5BF9">
            <w:pPr>
              <w:spacing w:before="120"/>
              <w:jc w:val="right"/>
              <w:rPr>
                <w:rFonts w:cs="Arial"/>
                <w:sz w:val="16"/>
                <w:szCs w:val="16"/>
              </w:rPr>
            </w:pPr>
            <w:r w:rsidRPr="00D32A9C">
              <w:rPr>
                <w:sz w:val="16"/>
              </w:rPr>
              <w:t>1 210</w:t>
            </w:r>
          </w:p>
        </w:tc>
        <w:tc>
          <w:tcPr>
            <w:tcW w:w="1418" w:type="dxa"/>
            <w:tcBorders>
              <w:top w:val="nil"/>
              <w:left w:val="nil"/>
              <w:bottom w:val="nil"/>
              <w:right w:val="nil"/>
            </w:tcBorders>
            <w:shd w:val="clear" w:color="000000" w:fill="FFFFFF"/>
            <w:vAlign w:val="center"/>
          </w:tcPr>
          <w:p w:rsidR="00784E52" w:rsidRPr="00D32A9C" w:rsidRDefault="00784E52" w:rsidP="001A5BF9">
            <w:pPr>
              <w:spacing w:before="120"/>
              <w:jc w:val="right"/>
              <w:rPr>
                <w:rFonts w:cs="Arial"/>
                <w:sz w:val="16"/>
                <w:szCs w:val="16"/>
              </w:rPr>
            </w:pPr>
            <w:r w:rsidRPr="00D32A9C">
              <w:rPr>
                <w:sz w:val="16"/>
              </w:rPr>
              <w:t>1 346</w:t>
            </w:r>
          </w:p>
        </w:tc>
        <w:tc>
          <w:tcPr>
            <w:tcW w:w="1418" w:type="dxa"/>
            <w:tcBorders>
              <w:top w:val="nil"/>
              <w:left w:val="nil"/>
              <w:bottom w:val="nil"/>
              <w:right w:val="single" w:sz="4" w:space="0" w:color="auto"/>
            </w:tcBorders>
            <w:shd w:val="clear" w:color="000000" w:fill="FFFFFF"/>
            <w:vAlign w:val="center"/>
          </w:tcPr>
          <w:p w:rsidR="00784E52" w:rsidRPr="00D32A9C" w:rsidRDefault="00784E52" w:rsidP="001A5BF9">
            <w:pPr>
              <w:spacing w:before="120"/>
              <w:jc w:val="right"/>
              <w:rPr>
                <w:rFonts w:cs="Arial"/>
                <w:sz w:val="16"/>
                <w:szCs w:val="16"/>
              </w:rPr>
            </w:pPr>
            <w:r w:rsidRPr="00D32A9C">
              <w:rPr>
                <w:sz w:val="16"/>
              </w:rPr>
              <w:t>1 272</w:t>
            </w:r>
          </w:p>
        </w:tc>
      </w:tr>
      <w:tr w:rsidR="00784E52" w:rsidRPr="00D32A9C" w:rsidTr="00D47893">
        <w:tc>
          <w:tcPr>
            <w:tcW w:w="532" w:type="dxa"/>
            <w:tcBorders>
              <w:top w:val="nil"/>
              <w:left w:val="single" w:sz="4" w:space="0" w:color="auto"/>
              <w:bottom w:val="single" w:sz="4" w:space="0" w:color="auto"/>
              <w:right w:val="nil"/>
            </w:tcBorders>
            <w:shd w:val="clear" w:color="000000" w:fill="FFFFFF"/>
            <w:noWrap/>
          </w:tcPr>
          <w:p w:rsidR="00784E52" w:rsidRPr="00D32A9C" w:rsidRDefault="00784E52" w:rsidP="001A5BF9">
            <w:pPr>
              <w:spacing w:before="120" w:after="120"/>
              <w:jc w:val="center"/>
              <w:rPr>
                <w:rFonts w:cs="Arial"/>
                <w:sz w:val="16"/>
                <w:szCs w:val="16"/>
              </w:rPr>
            </w:pPr>
            <w:proofErr w:type="spellStart"/>
            <w:r w:rsidRPr="00D32A9C">
              <w:rPr>
                <w:sz w:val="16"/>
              </w:rPr>
              <w:t>IV.4</w:t>
            </w:r>
            <w:proofErr w:type="spellEnd"/>
          </w:p>
        </w:tc>
        <w:tc>
          <w:tcPr>
            <w:tcW w:w="4576" w:type="dxa"/>
            <w:tcBorders>
              <w:top w:val="nil"/>
              <w:left w:val="nil"/>
              <w:bottom w:val="single" w:sz="4" w:space="0" w:color="auto"/>
              <w:right w:val="nil"/>
            </w:tcBorders>
            <w:shd w:val="clear" w:color="000000" w:fill="FFFFFF"/>
          </w:tcPr>
          <w:p w:rsidR="00784E52" w:rsidRPr="00D32A9C" w:rsidRDefault="00784E52" w:rsidP="001A5BF9">
            <w:pPr>
              <w:spacing w:before="120" w:after="120"/>
              <w:rPr>
                <w:rFonts w:cs="Arial"/>
                <w:sz w:val="16"/>
                <w:szCs w:val="16"/>
              </w:rPr>
            </w:pPr>
            <w:r w:rsidRPr="00D32A9C">
              <w:rPr>
                <w:sz w:val="16"/>
              </w:rPr>
              <w:t>Mise à jour régulière de PATENTSCOPE en ce qui concerne les demandes selon</w:t>
            </w:r>
            <w:r w:rsidR="00A20444" w:rsidRPr="00D32A9C">
              <w:rPr>
                <w:sz w:val="16"/>
              </w:rPr>
              <w:t xml:space="preserve"> le PCT</w:t>
            </w:r>
          </w:p>
        </w:tc>
        <w:tc>
          <w:tcPr>
            <w:tcW w:w="1417" w:type="dxa"/>
            <w:tcBorders>
              <w:top w:val="nil"/>
              <w:left w:val="nil"/>
              <w:bottom w:val="single" w:sz="4" w:space="0" w:color="auto"/>
              <w:right w:val="nil"/>
            </w:tcBorders>
            <w:shd w:val="clear" w:color="000000" w:fill="FFFFFF"/>
            <w:vAlign w:val="center"/>
          </w:tcPr>
          <w:p w:rsidR="00784E52" w:rsidRPr="00D32A9C" w:rsidRDefault="00784E52" w:rsidP="001A5BF9">
            <w:pPr>
              <w:spacing w:before="120" w:after="120"/>
              <w:jc w:val="right"/>
              <w:rPr>
                <w:rFonts w:cs="Arial"/>
                <w:sz w:val="16"/>
                <w:szCs w:val="16"/>
              </w:rPr>
            </w:pPr>
            <w:r w:rsidRPr="00D32A9C">
              <w:rPr>
                <w:sz w:val="16"/>
              </w:rPr>
              <w:t>2 159</w:t>
            </w:r>
          </w:p>
        </w:tc>
        <w:tc>
          <w:tcPr>
            <w:tcW w:w="1418" w:type="dxa"/>
            <w:tcBorders>
              <w:top w:val="nil"/>
              <w:left w:val="nil"/>
              <w:bottom w:val="single" w:sz="4" w:space="0" w:color="auto"/>
              <w:right w:val="nil"/>
            </w:tcBorders>
            <w:shd w:val="clear" w:color="000000" w:fill="FFFFFF"/>
            <w:vAlign w:val="center"/>
          </w:tcPr>
          <w:p w:rsidR="00784E52" w:rsidRPr="00D32A9C" w:rsidRDefault="00784E52" w:rsidP="001A5BF9">
            <w:pPr>
              <w:spacing w:before="120" w:after="120"/>
              <w:jc w:val="right"/>
              <w:rPr>
                <w:rFonts w:cs="Arial"/>
                <w:sz w:val="16"/>
                <w:szCs w:val="16"/>
              </w:rPr>
            </w:pPr>
            <w:r w:rsidRPr="00D32A9C">
              <w:rPr>
                <w:sz w:val="16"/>
              </w:rPr>
              <w:t>732</w:t>
            </w:r>
          </w:p>
        </w:tc>
        <w:tc>
          <w:tcPr>
            <w:tcW w:w="1418" w:type="dxa"/>
            <w:tcBorders>
              <w:top w:val="nil"/>
              <w:left w:val="nil"/>
              <w:bottom w:val="single" w:sz="4" w:space="0" w:color="auto"/>
              <w:right w:val="single" w:sz="4" w:space="0" w:color="auto"/>
            </w:tcBorders>
            <w:shd w:val="clear" w:color="000000" w:fill="FFFFFF"/>
            <w:vAlign w:val="center"/>
          </w:tcPr>
          <w:p w:rsidR="00784E52" w:rsidRPr="00D32A9C" w:rsidRDefault="00784E52" w:rsidP="001A5BF9">
            <w:pPr>
              <w:spacing w:before="120" w:after="120"/>
              <w:jc w:val="right"/>
              <w:rPr>
                <w:rFonts w:cs="Arial"/>
                <w:sz w:val="16"/>
                <w:szCs w:val="16"/>
              </w:rPr>
            </w:pPr>
            <w:r w:rsidRPr="00D32A9C">
              <w:rPr>
                <w:sz w:val="16"/>
              </w:rPr>
              <w:t>938</w:t>
            </w:r>
          </w:p>
        </w:tc>
      </w:tr>
      <w:tr w:rsidR="00784E52" w:rsidRPr="00D32A9C" w:rsidTr="00D47893">
        <w:tc>
          <w:tcPr>
            <w:tcW w:w="532" w:type="dxa"/>
            <w:tcBorders>
              <w:top w:val="nil"/>
              <w:left w:val="single" w:sz="4" w:space="0" w:color="auto"/>
              <w:bottom w:val="single" w:sz="4" w:space="0" w:color="auto"/>
              <w:right w:val="nil"/>
            </w:tcBorders>
            <w:shd w:val="clear" w:color="000000" w:fill="CCFFFF"/>
            <w:noWrap/>
            <w:vAlign w:val="bottom"/>
          </w:tcPr>
          <w:p w:rsidR="00784E52" w:rsidRPr="00D32A9C" w:rsidRDefault="00784E52" w:rsidP="001A5BF9">
            <w:pPr>
              <w:spacing w:before="120" w:after="120"/>
              <w:jc w:val="center"/>
              <w:rPr>
                <w:rFonts w:cs="Arial"/>
                <w:b/>
                <w:bCs/>
                <w:sz w:val="16"/>
                <w:szCs w:val="16"/>
              </w:rPr>
            </w:pPr>
            <w:r w:rsidRPr="00D32A9C">
              <w:rPr>
                <w:b/>
                <w:sz w:val="16"/>
              </w:rPr>
              <w:t> </w:t>
            </w:r>
          </w:p>
        </w:tc>
        <w:tc>
          <w:tcPr>
            <w:tcW w:w="4576" w:type="dxa"/>
            <w:tcBorders>
              <w:top w:val="nil"/>
              <w:left w:val="nil"/>
              <w:bottom w:val="single" w:sz="4" w:space="0" w:color="auto"/>
              <w:right w:val="nil"/>
            </w:tcBorders>
            <w:shd w:val="clear" w:color="000000" w:fill="CCFFFF"/>
            <w:noWrap/>
            <w:vAlign w:val="center"/>
          </w:tcPr>
          <w:p w:rsidR="00784E52" w:rsidRPr="00D32A9C" w:rsidRDefault="00784E52" w:rsidP="001A5BF9">
            <w:pPr>
              <w:spacing w:before="120" w:after="120"/>
              <w:rPr>
                <w:rFonts w:cs="Arial"/>
                <w:b/>
                <w:bCs/>
                <w:sz w:val="16"/>
                <w:szCs w:val="16"/>
              </w:rPr>
            </w:pPr>
            <w:r w:rsidRPr="00D32A9C">
              <w:rPr>
                <w:b/>
                <w:sz w:val="16"/>
              </w:rPr>
              <w:t>Total</w:t>
            </w:r>
          </w:p>
        </w:tc>
        <w:tc>
          <w:tcPr>
            <w:tcW w:w="1417" w:type="dxa"/>
            <w:tcBorders>
              <w:top w:val="nil"/>
              <w:left w:val="nil"/>
              <w:bottom w:val="single" w:sz="4" w:space="0" w:color="auto"/>
              <w:right w:val="nil"/>
            </w:tcBorders>
            <w:shd w:val="clear" w:color="000000" w:fill="CCFFFF"/>
            <w:vAlign w:val="center"/>
          </w:tcPr>
          <w:p w:rsidR="00784E52" w:rsidRPr="00D32A9C" w:rsidRDefault="00784E52" w:rsidP="001A5BF9">
            <w:pPr>
              <w:spacing w:before="120" w:after="120"/>
              <w:jc w:val="right"/>
              <w:rPr>
                <w:rFonts w:cs="Arial"/>
                <w:b/>
                <w:bCs/>
                <w:sz w:val="16"/>
                <w:szCs w:val="16"/>
              </w:rPr>
            </w:pPr>
            <w:r w:rsidRPr="00D32A9C">
              <w:rPr>
                <w:b/>
                <w:sz w:val="16"/>
              </w:rPr>
              <w:t>4 503</w:t>
            </w:r>
          </w:p>
        </w:tc>
        <w:tc>
          <w:tcPr>
            <w:tcW w:w="1418" w:type="dxa"/>
            <w:tcBorders>
              <w:top w:val="nil"/>
              <w:left w:val="nil"/>
              <w:bottom w:val="single" w:sz="4" w:space="0" w:color="auto"/>
              <w:right w:val="nil"/>
            </w:tcBorders>
            <w:shd w:val="clear" w:color="000000" w:fill="CCFFFF"/>
            <w:noWrap/>
            <w:vAlign w:val="center"/>
          </w:tcPr>
          <w:p w:rsidR="00784E52" w:rsidRPr="00D32A9C" w:rsidRDefault="00784E52" w:rsidP="001A5BF9">
            <w:pPr>
              <w:spacing w:before="120" w:after="120"/>
              <w:jc w:val="right"/>
              <w:rPr>
                <w:rFonts w:cs="Arial"/>
                <w:b/>
                <w:bCs/>
                <w:sz w:val="16"/>
                <w:szCs w:val="16"/>
              </w:rPr>
            </w:pPr>
            <w:r w:rsidRPr="00D32A9C">
              <w:rPr>
                <w:b/>
                <w:sz w:val="16"/>
              </w:rPr>
              <w:t>4 316</w:t>
            </w:r>
          </w:p>
        </w:tc>
        <w:tc>
          <w:tcPr>
            <w:tcW w:w="1418" w:type="dxa"/>
            <w:tcBorders>
              <w:top w:val="nil"/>
              <w:left w:val="nil"/>
              <w:bottom w:val="single" w:sz="4" w:space="0" w:color="auto"/>
              <w:right w:val="single" w:sz="4" w:space="0" w:color="auto"/>
            </w:tcBorders>
            <w:shd w:val="clear" w:color="000000" w:fill="CCFFFF"/>
            <w:vAlign w:val="center"/>
          </w:tcPr>
          <w:p w:rsidR="00784E52" w:rsidRPr="00D32A9C" w:rsidRDefault="00784E52" w:rsidP="001A5BF9">
            <w:pPr>
              <w:spacing w:before="120" w:after="120"/>
              <w:jc w:val="right"/>
              <w:rPr>
                <w:rFonts w:cs="Arial"/>
                <w:b/>
                <w:bCs/>
                <w:sz w:val="16"/>
                <w:szCs w:val="16"/>
              </w:rPr>
            </w:pPr>
            <w:r w:rsidRPr="00D32A9C">
              <w:rPr>
                <w:b/>
                <w:sz w:val="16"/>
              </w:rPr>
              <w:t>4 183</w:t>
            </w:r>
          </w:p>
        </w:tc>
      </w:tr>
    </w:tbl>
    <w:p w:rsidR="00D42474" w:rsidRDefault="00D42474" w:rsidP="001A5BF9"/>
    <w:p w:rsidR="00D42474" w:rsidRDefault="00D42474" w:rsidP="001A5BF9">
      <w:pPr>
        <w:rPr>
          <w:rFonts w:cs="Arial"/>
          <w:szCs w:val="20"/>
        </w:rPr>
      </w:pPr>
    </w:p>
    <w:p w:rsidR="00D42474" w:rsidRDefault="00784E52" w:rsidP="001A5BF9">
      <w:pPr>
        <w:jc w:val="center"/>
      </w:pPr>
      <w:r w:rsidRPr="00D32A9C">
        <w:t xml:space="preserve">Budget et dépenses effectives (dépenses de </w:t>
      </w:r>
      <w:proofErr w:type="gramStart"/>
      <w:r w:rsidRPr="00D32A9C">
        <w:t>personnel et autres dépenses</w:t>
      </w:r>
      <w:proofErr w:type="gramEnd"/>
      <w:r w:rsidRPr="00D32A9C">
        <w:t>)</w:t>
      </w:r>
    </w:p>
    <w:p w:rsidR="00D42474" w:rsidRDefault="00784E52" w:rsidP="001A5BF9">
      <w:pPr>
        <w:jc w:val="center"/>
        <w:rPr>
          <w:rFonts w:ascii="Times New Roman" w:hAnsi="Times New Roman"/>
          <w:szCs w:val="20"/>
        </w:rPr>
      </w:pPr>
      <w:r w:rsidRPr="00D32A9C">
        <w:rPr>
          <w:i/>
        </w:rPr>
        <w:t>(</w:t>
      </w:r>
      <w:proofErr w:type="gramStart"/>
      <w:r w:rsidRPr="00D32A9C">
        <w:rPr>
          <w:i/>
        </w:rPr>
        <w:t>en</w:t>
      </w:r>
      <w:proofErr w:type="gramEnd"/>
      <w:r w:rsidRPr="00D32A9C">
        <w:rPr>
          <w:i/>
        </w:rPr>
        <w:t xml:space="preserve"> milliers de francs suisses)</w:t>
      </w:r>
    </w:p>
    <w:p w:rsidR="00784E52" w:rsidRPr="00D32A9C" w:rsidRDefault="00784E52" w:rsidP="001A5BF9"/>
    <w:tbl>
      <w:tblPr>
        <w:tblW w:w="9356" w:type="dxa"/>
        <w:tblInd w:w="108" w:type="dxa"/>
        <w:tblLook w:val="04A0" w:firstRow="1" w:lastRow="0" w:firstColumn="1" w:lastColumn="0" w:noHBand="0" w:noVBand="1"/>
      </w:tblPr>
      <w:tblGrid>
        <w:gridCol w:w="2410"/>
        <w:gridCol w:w="1736"/>
        <w:gridCol w:w="1808"/>
        <w:gridCol w:w="1665"/>
        <w:gridCol w:w="1737"/>
      </w:tblGrid>
      <w:tr w:rsidR="00784E52" w:rsidRPr="00D32A9C" w:rsidTr="00BB3F3E">
        <w:tc>
          <w:tcPr>
            <w:tcW w:w="2410"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D32A9C" w:rsidRDefault="00784E52" w:rsidP="001A5BF9">
            <w:pPr>
              <w:spacing w:before="120" w:after="120"/>
              <w:rPr>
                <w:rFonts w:cs="Arial"/>
                <w:sz w:val="16"/>
                <w:szCs w:val="16"/>
              </w:rPr>
            </w:pPr>
            <w:r w:rsidRPr="00D32A9C">
              <w:rPr>
                <w:sz w:val="16"/>
              </w:rPr>
              <w:t> </w:t>
            </w:r>
          </w:p>
        </w:tc>
        <w:tc>
          <w:tcPr>
            <w:tcW w:w="1736" w:type="dxa"/>
            <w:tcBorders>
              <w:top w:val="single" w:sz="4" w:space="0" w:color="auto"/>
              <w:left w:val="nil"/>
              <w:bottom w:val="nil"/>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Budget</w:t>
            </w:r>
            <w:r w:rsidRPr="00D32A9C">
              <w:br/>
            </w:r>
            <w:r w:rsidRPr="00D32A9C">
              <w:rPr>
                <w:sz w:val="16"/>
              </w:rPr>
              <w:t>2012</w:t>
            </w:r>
            <w:r w:rsidR="002D6F2A" w:rsidRPr="00D32A9C">
              <w:rPr>
                <w:sz w:val="16"/>
              </w:rPr>
              <w:noBreakHyphen/>
            </w:r>
            <w:r w:rsidRPr="00D32A9C">
              <w:rPr>
                <w:sz w:val="16"/>
              </w:rPr>
              <w:t>2013</w:t>
            </w:r>
            <w:r w:rsidRPr="00D32A9C">
              <w:br/>
            </w:r>
            <w:r w:rsidRPr="00D32A9C">
              <w:rPr>
                <w:sz w:val="16"/>
              </w:rPr>
              <w:t>approuvé</w:t>
            </w:r>
          </w:p>
        </w:tc>
        <w:tc>
          <w:tcPr>
            <w:tcW w:w="1808" w:type="dxa"/>
            <w:tcBorders>
              <w:top w:val="single" w:sz="4" w:space="0" w:color="auto"/>
              <w:left w:val="nil"/>
              <w:bottom w:val="nil"/>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Budget</w:t>
            </w:r>
            <w:r w:rsidRPr="00D32A9C">
              <w:br/>
            </w:r>
            <w:r w:rsidRPr="00D32A9C">
              <w:rPr>
                <w:sz w:val="16"/>
              </w:rPr>
              <w:t>2012</w:t>
            </w:r>
            <w:r w:rsidR="002D6F2A" w:rsidRPr="00D32A9C">
              <w:rPr>
                <w:sz w:val="16"/>
              </w:rPr>
              <w:noBreakHyphen/>
            </w:r>
            <w:r w:rsidRPr="00D32A9C">
              <w:rPr>
                <w:sz w:val="16"/>
              </w:rPr>
              <w:t>2013</w:t>
            </w:r>
            <w:r w:rsidRPr="00D32A9C">
              <w:br/>
            </w:r>
            <w:r w:rsidRPr="00D32A9C">
              <w:rPr>
                <w:sz w:val="16"/>
              </w:rPr>
              <w:t>après virements</w:t>
            </w:r>
          </w:p>
        </w:tc>
        <w:tc>
          <w:tcPr>
            <w:tcW w:w="1665" w:type="dxa"/>
            <w:tcBorders>
              <w:top w:val="single" w:sz="4" w:space="0" w:color="auto"/>
              <w:left w:val="nil"/>
              <w:bottom w:val="nil"/>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Dépenses</w:t>
            </w:r>
            <w:r w:rsidRPr="00D32A9C">
              <w:br/>
            </w:r>
            <w:r w:rsidRPr="00D32A9C">
              <w:rPr>
                <w:sz w:val="16"/>
              </w:rPr>
              <w:t>2012</w:t>
            </w:r>
            <w:r w:rsidR="002D6F2A" w:rsidRPr="00D32A9C">
              <w:rPr>
                <w:sz w:val="16"/>
              </w:rPr>
              <w:noBreakHyphen/>
            </w:r>
            <w:r w:rsidRPr="00D32A9C">
              <w:rPr>
                <w:sz w:val="16"/>
              </w:rPr>
              <w:t>2013</w:t>
            </w:r>
          </w:p>
        </w:tc>
        <w:tc>
          <w:tcPr>
            <w:tcW w:w="1737" w:type="dxa"/>
            <w:tcBorders>
              <w:top w:val="single" w:sz="4" w:space="0" w:color="auto"/>
              <w:left w:val="nil"/>
              <w:bottom w:val="nil"/>
              <w:right w:val="single" w:sz="4" w:space="0" w:color="auto"/>
            </w:tcBorders>
            <w:shd w:val="clear" w:color="000000" w:fill="CCFFFF"/>
            <w:vAlign w:val="center"/>
          </w:tcPr>
          <w:p w:rsidR="00784E52" w:rsidRPr="00D32A9C" w:rsidRDefault="00784E52" w:rsidP="001A5BF9">
            <w:pPr>
              <w:spacing w:before="120" w:after="120"/>
              <w:jc w:val="center"/>
              <w:rPr>
                <w:rFonts w:cs="Arial"/>
                <w:bCs/>
                <w:sz w:val="16"/>
                <w:szCs w:val="16"/>
              </w:rPr>
            </w:pPr>
            <w:r w:rsidRPr="00D32A9C">
              <w:rPr>
                <w:sz w:val="16"/>
              </w:rPr>
              <w:t>Taux d</w:t>
            </w:r>
            <w:r w:rsidR="00A20444" w:rsidRPr="00D32A9C">
              <w:rPr>
                <w:sz w:val="16"/>
              </w:rPr>
              <w:t>’</w:t>
            </w:r>
            <w:r w:rsidRPr="00D32A9C">
              <w:rPr>
                <w:sz w:val="16"/>
              </w:rPr>
              <w:t>utilisation (</w:t>
            </w:r>
            <w:r w:rsidR="007E442D" w:rsidRPr="00D32A9C">
              <w:rPr>
                <w:sz w:val="16"/>
              </w:rPr>
              <w:t>%</w:t>
            </w:r>
            <w:r w:rsidRPr="00D32A9C">
              <w:rPr>
                <w:sz w:val="16"/>
              </w:rPr>
              <w:t>)</w:t>
            </w:r>
          </w:p>
        </w:tc>
      </w:tr>
      <w:tr w:rsidR="00784E52" w:rsidRPr="00D32A9C" w:rsidTr="00BB3F3E">
        <w:trPr>
          <w:trHeight w:val="495"/>
        </w:trPr>
        <w:tc>
          <w:tcPr>
            <w:tcW w:w="2410" w:type="dxa"/>
            <w:tcBorders>
              <w:top w:val="nil"/>
              <w:left w:val="single" w:sz="4" w:space="0" w:color="auto"/>
              <w:bottom w:val="single" w:sz="4" w:space="0" w:color="auto"/>
              <w:right w:val="single" w:sz="4" w:space="0" w:color="auto"/>
            </w:tcBorders>
            <w:shd w:val="clear" w:color="auto" w:fill="auto"/>
            <w:noWrap/>
            <w:vAlign w:val="center"/>
          </w:tcPr>
          <w:p w:rsidR="00784E52" w:rsidRPr="00D32A9C" w:rsidRDefault="00784E52" w:rsidP="001A5BF9">
            <w:pPr>
              <w:spacing w:before="120" w:after="120"/>
              <w:rPr>
                <w:rFonts w:cs="Arial"/>
                <w:sz w:val="16"/>
                <w:szCs w:val="16"/>
              </w:rPr>
            </w:pPr>
            <w:r w:rsidRPr="00D32A9C">
              <w:rPr>
                <w:sz w:val="16"/>
              </w:rPr>
              <w:t>Dépenses de personnel</w:t>
            </w:r>
            <w:r w:rsidR="004F3E42" w:rsidRPr="00D32A9C">
              <w:rPr>
                <w:sz w:val="16"/>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sz w:val="16"/>
                <w:szCs w:val="16"/>
              </w:rPr>
            </w:pPr>
            <w:r w:rsidRPr="00D32A9C">
              <w:rPr>
                <w:sz w:val="16"/>
              </w:rPr>
              <w:t>2 998</w:t>
            </w:r>
          </w:p>
        </w:tc>
        <w:tc>
          <w:tcPr>
            <w:tcW w:w="1808" w:type="dxa"/>
            <w:tcBorders>
              <w:top w:val="single" w:sz="4" w:space="0" w:color="auto"/>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sz w:val="16"/>
                <w:szCs w:val="16"/>
              </w:rPr>
            </w:pPr>
            <w:r w:rsidRPr="00D32A9C">
              <w:rPr>
                <w:sz w:val="16"/>
              </w:rPr>
              <w:t>3 061</w:t>
            </w:r>
          </w:p>
        </w:tc>
        <w:tc>
          <w:tcPr>
            <w:tcW w:w="1665" w:type="dxa"/>
            <w:tcBorders>
              <w:top w:val="single" w:sz="4" w:space="0" w:color="auto"/>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sz w:val="16"/>
                <w:szCs w:val="16"/>
              </w:rPr>
            </w:pPr>
            <w:r w:rsidRPr="00D32A9C">
              <w:rPr>
                <w:sz w:val="16"/>
              </w:rPr>
              <w:t>3 061</w:t>
            </w:r>
          </w:p>
        </w:tc>
        <w:tc>
          <w:tcPr>
            <w:tcW w:w="1737" w:type="dxa"/>
            <w:tcBorders>
              <w:top w:val="single" w:sz="4" w:space="0" w:color="auto"/>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sz w:val="16"/>
                <w:szCs w:val="16"/>
              </w:rPr>
            </w:pPr>
            <w:r w:rsidRPr="00D32A9C">
              <w:rPr>
                <w:sz w:val="16"/>
              </w:rPr>
              <w:t>100</w:t>
            </w:r>
            <w:r w:rsidR="007E442D" w:rsidRPr="00D32A9C">
              <w:rPr>
                <w:sz w:val="16"/>
              </w:rPr>
              <w:t>%</w:t>
            </w:r>
          </w:p>
        </w:tc>
      </w:tr>
      <w:tr w:rsidR="00784E52" w:rsidRPr="00D32A9C" w:rsidTr="00BB3F3E">
        <w:trPr>
          <w:trHeight w:val="495"/>
        </w:trPr>
        <w:tc>
          <w:tcPr>
            <w:tcW w:w="2410" w:type="dxa"/>
            <w:tcBorders>
              <w:top w:val="nil"/>
              <w:left w:val="single" w:sz="4" w:space="0" w:color="auto"/>
              <w:bottom w:val="single" w:sz="4" w:space="0" w:color="auto"/>
              <w:right w:val="single" w:sz="4" w:space="0" w:color="auto"/>
            </w:tcBorders>
            <w:shd w:val="clear" w:color="auto" w:fill="auto"/>
            <w:noWrap/>
            <w:vAlign w:val="center"/>
          </w:tcPr>
          <w:p w:rsidR="00784E52" w:rsidRPr="00D32A9C" w:rsidRDefault="00784E52" w:rsidP="001A5BF9">
            <w:pPr>
              <w:spacing w:before="120" w:after="120"/>
              <w:rPr>
                <w:rFonts w:cs="Arial"/>
                <w:sz w:val="16"/>
                <w:szCs w:val="16"/>
              </w:rPr>
            </w:pPr>
            <w:r w:rsidRPr="00D32A9C">
              <w:rPr>
                <w:sz w:val="16"/>
              </w:rPr>
              <w:t xml:space="preserve">Autres dépenses </w:t>
            </w:r>
          </w:p>
        </w:tc>
        <w:tc>
          <w:tcPr>
            <w:tcW w:w="1736"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sz w:val="16"/>
                <w:szCs w:val="16"/>
              </w:rPr>
            </w:pPr>
            <w:r w:rsidRPr="00D32A9C">
              <w:rPr>
                <w:sz w:val="16"/>
              </w:rPr>
              <w:t>1 505</w:t>
            </w:r>
          </w:p>
        </w:tc>
        <w:tc>
          <w:tcPr>
            <w:tcW w:w="1808"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sz w:val="16"/>
                <w:szCs w:val="16"/>
              </w:rPr>
            </w:pPr>
            <w:r w:rsidRPr="00D32A9C">
              <w:rPr>
                <w:sz w:val="16"/>
              </w:rPr>
              <w:t>1 255</w:t>
            </w:r>
          </w:p>
        </w:tc>
        <w:tc>
          <w:tcPr>
            <w:tcW w:w="1665"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sz w:val="16"/>
                <w:szCs w:val="16"/>
              </w:rPr>
            </w:pPr>
            <w:r w:rsidRPr="00D32A9C">
              <w:rPr>
                <w:sz w:val="16"/>
              </w:rPr>
              <w:t>1 121</w:t>
            </w:r>
          </w:p>
        </w:tc>
        <w:tc>
          <w:tcPr>
            <w:tcW w:w="1737"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sz w:val="16"/>
                <w:szCs w:val="16"/>
              </w:rPr>
            </w:pPr>
            <w:r w:rsidRPr="00D32A9C">
              <w:rPr>
                <w:sz w:val="16"/>
              </w:rPr>
              <w:t>89</w:t>
            </w:r>
            <w:r w:rsidR="007E442D" w:rsidRPr="00D32A9C">
              <w:rPr>
                <w:sz w:val="16"/>
              </w:rPr>
              <w:t>%</w:t>
            </w:r>
          </w:p>
        </w:tc>
      </w:tr>
      <w:tr w:rsidR="00784E52" w:rsidRPr="00D32A9C" w:rsidTr="00BB3F3E">
        <w:trPr>
          <w:trHeight w:val="495"/>
        </w:trPr>
        <w:tc>
          <w:tcPr>
            <w:tcW w:w="2410" w:type="dxa"/>
            <w:tcBorders>
              <w:top w:val="nil"/>
              <w:left w:val="single" w:sz="4" w:space="0" w:color="auto"/>
              <w:bottom w:val="single" w:sz="4" w:space="0" w:color="auto"/>
              <w:right w:val="single" w:sz="4" w:space="0" w:color="auto"/>
            </w:tcBorders>
            <w:shd w:val="clear" w:color="auto" w:fill="auto"/>
            <w:noWrap/>
            <w:vAlign w:val="center"/>
          </w:tcPr>
          <w:p w:rsidR="00784E52" w:rsidRPr="00D32A9C" w:rsidRDefault="00784E52" w:rsidP="001A5BF9">
            <w:pPr>
              <w:spacing w:before="120" w:after="120"/>
              <w:jc w:val="right"/>
              <w:rPr>
                <w:rFonts w:cs="Arial"/>
                <w:b/>
                <w:bCs/>
                <w:sz w:val="16"/>
                <w:szCs w:val="16"/>
              </w:rPr>
            </w:pPr>
            <w:r w:rsidRPr="00D32A9C">
              <w:rPr>
                <w:b/>
                <w:sz w:val="16"/>
              </w:rPr>
              <w:t xml:space="preserve"> TOTAL </w:t>
            </w:r>
          </w:p>
        </w:tc>
        <w:tc>
          <w:tcPr>
            <w:tcW w:w="1736"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b/>
                <w:bCs/>
                <w:sz w:val="16"/>
                <w:szCs w:val="16"/>
              </w:rPr>
            </w:pPr>
            <w:r w:rsidRPr="00D32A9C">
              <w:rPr>
                <w:b/>
                <w:sz w:val="16"/>
              </w:rPr>
              <w:t>4 503</w:t>
            </w:r>
          </w:p>
        </w:tc>
        <w:tc>
          <w:tcPr>
            <w:tcW w:w="1808"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b/>
                <w:bCs/>
                <w:sz w:val="16"/>
                <w:szCs w:val="16"/>
              </w:rPr>
            </w:pPr>
            <w:r w:rsidRPr="00D32A9C">
              <w:rPr>
                <w:b/>
                <w:sz w:val="16"/>
              </w:rPr>
              <w:t>4 316</w:t>
            </w:r>
          </w:p>
        </w:tc>
        <w:tc>
          <w:tcPr>
            <w:tcW w:w="1665"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b/>
                <w:bCs/>
                <w:sz w:val="16"/>
                <w:szCs w:val="16"/>
              </w:rPr>
            </w:pPr>
            <w:r w:rsidRPr="00D32A9C">
              <w:rPr>
                <w:b/>
                <w:sz w:val="16"/>
              </w:rPr>
              <w:t>4 183</w:t>
            </w:r>
          </w:p>
        </w:tc>
        <w:tc>
          <w:tcPr>
            <w:tcW w:w="1737" w:type="dxa"/>
            <w:tcBorders>
              <w:top w:val="nil"/>
              <w:left w:val="nil"/>
              <w:bottom w:val="single" w:sz="4" w:space="0" w:color="auto"/>
              <w:right w:val="single" w:sz="4" w:space="0" w:color="auto"/>
            </w:tcBorders>
            <w:shd w:val="clear" w:color="auto" w:fill="auto"/>
            <w:vAlign w:val="center"/>
          </w:tcPr>
          <w:p w:rsidR="00784E52" w:rsidRPr="00D32A9C" w:rsidRDefault="00784E52" w:rsidP="001A5BF9">
            <w:pPr>
              <w:spacing w:before="120" w:after="120"/>
              <w:jc w:val="center"/>
              <w:rPr>
                <w:rFonts w:cs="Arial"/>
                <w:b/>
                <w:bCs/>
                <w:sz w:val="16"/>
                <w:szCs w:val="16"/>
              </w:rPr>
            </w:pPr>
            <w:r w:rsidRPr="00D32A9C">
              <w:rPr>
                <w:b/>
                <w:sz w:val="16"/>
              </w:rPr>
              <w:t>97</w:t>
            </w:r>
            <w:r w:rsidR="007E442D" w:rsidRPr="00D32A9C">
              <w:rPr>
                <w:b/>
                <w:sz w:val="16"/>
              </w:rPr>
              <w:t>%</w:t>
            </w:r>
          </w:p>
        </w:tc>
      </w:tr>
    </w:tbl>
    <w:p w:rsidR="00D42474" w:rsidRDefault="00D42474" w:rsidP="001A5BF9"/>
    <w:p w:rsidR="00D42474" w:rsidRDefault="00784E52" w:rsidP="001A5BF9">
      <w:pPr>
        <w:keepNext/>
        <w:autoSpaceDE w:val="0"/>
        <w:autoSpaceDN w:val="0"/>
        <w:rPr>
          <w:sz w:val="16"/>
          <w:szCs w:val="16"/>
        </w:rPr>
      </w:pPr>
      <w:proofErr w:type="gramStart"/>
      <w:r w:rsidRPr="00D32A9C">
        <w:rPr>
          <w:sz w:val="16"/>
        </w:rPr>
        <w:t>NOTES</w:t>
      </w:r>
      <w:proofErr w:type="gramEnd"/>
      <w:r w:rsidR="0010442A" w:rsidRPr="00D32A9C">
        <w:rPr>
          <w:sz w:val="16"/>
        </w:rPr>
        <w:t> </w:t>
      </w:r>
      <w:r w:rsidRPr="00D32A9C">
        <w:rPr>
          <w:sz w:val="16"/>
        </w:rPr>
        <w:t>:</w:t>
      </w:r>
    </w:p>
    <w:p w:rsidR="00D42474" w:rsidRDefault="00D42474" w:rsidP="001A5BF9">
      <w:pPr>
        <w:keepNext/>
        <w:autoSpaceDE w:val="0"/>
        <w:autoSpaceDN w:val="0"/>
        <w:rPr>
          <w:sz w:val="16"/>
          <w:szCs w:val="16"/>
        </w:rPr>
      </w:pPr>
    </w:p>
    <w:p w:rsidR="00D42474" w:rsidRDefault="00784E52" w:rsidP="001A5BF9">
      <w:pPr>
        <w:keepNext/>
        <w:autoSpaceDE w:val="0"/>
        <w:autoSpaceDN w:val="0"/>
        <w:rPr>
          <w:sz w:val="16"/>
          <w:szCs w:val="16"/>
        </w:rPr>
      </w:pPr>
      <w:r w:rsidRPr="00D32A9C">
        <w:rPr>
          <w:sz w:val="16"/>
        </w:rPr>
        <w:t>1)</w:t>
      </w:r>
      <w:r w:rsidR="004F3E42" w:rsidRPr="00D32A9C">
        <w:rPr>
          <w:sz w:val="16"/>
        </w:rPr>
        <w:t xml:space="preserve"> </w:t>
      </w:r>
      <w:r w:rsidR="00D32A9C">
        <w:rPr>
          <w:sz w:val="16"/>
        </w:rPr>
        <w:tab/>
      </w:r>
      <w:r w:rsidRPr="00D32A9C">
        <w:rPr>
          <w:sz w:val="16"/>
        </w:rPr>
        <w:t>Le budget restructuré après virements tient compte du budget ajusté des programmes après les virements réalisés au cours de l</w:t>
      </w:r>
      <w:r w:rsidR="00A20444" w:rsidRPr="00D32A9C">
        <w:rPr>
          <w:sz w:val="16"/>
        </w:rPr>
        <w:t>’</w:t>
      </w:r>
      <w:r w:rsidRPr="00D32A9C">
        <w:rPr>
          <w:sz w:val="16"/>
        </w:rPr>
        <w:t>exercice 2012</w:t>
      </w:r>
      <w:r w:rsidR="002D6F2A" w:rsidRPr="00D32A9C">
        <w:rPr>
          <w:sz w:val="16"/>
        </w:rPr>
        <w:noBreakHyphen/>
      </w:r>
      <w:r w:rsidRPr="00D32A9C">
        <w:rPr>
          <w:sz w:val="16"/>
        </w:rPr>
        <w:t xml:space="preserve">2013, conformément à </w:t>
      </w:r>
      <w:r w:rsidR="00E15133" w:rsidRPr="00D32A9C">
        <w:rPr>
          <w:sz w:val="16"/>
        </w:rPr>
        <w:t>l</w:t>
      </w:r>
      <w:r w:rsidR="00A20444" w:rsidRPr="00D32A9C">
        <w:rPr>
          <w:sz w:val="16"/>
        </w:rPr>
        <w:t>’</w:t>
      </w:r>
      <w:r w:rsidR="00E15133" w:rsidRPr="00D32A9C">
        <w:rPr>
          <w:sz w:val="16"/>
        </w:rPr>
        <w:t>article 5.5</w:t>
      </w:r>
      <w:r w:rsidRPr="00D32A9C">
        <w:rPr>
          <w:sz w:val="16"/>
        </w:rPr>
        <w:t xml:space="preserve"> du règlement d</w:t>
      </w:r>
      <w:r w:rsidR="00A20444" w:rsidRPr="00D32A9C">
        <w:rPr>
          <w:sz w:val="16"/>
        </w:rPr>
        <w:t>’</w:t>
      </w:r>
      <w:r w:rsidRPr="00D32A9C">
        <w:rPr>
          <w:sz w:val="16"/>
        </w:rPr>
        <w:t>exécution du Règlement financier.</w:t>
      </w:r>
    </w:p>
    <w:p w:rsidR="00D42474" w:rsidRDefault="00D42474" w:rsidP="001A5BF9">
      <w:pPr>
        <w:keepNext/>
        <w:autoSpaceDE w:val="0"/>
        <w:autoSpaceDN w:val="0"/>
        <w:rPr>
          <w:sz w:val="16"/>
          <w:szCs w:val="16"/>
        </w:rPr>
      </w:pPr>
    </w:p>
    <w:p w:rsidR="00D42474" w:rsidRDefault="00784E52" w:rsidP="001A5BF9">
      <w:pPr>
        <w:keepNext/>
        <w:autoSpaceDE w:val="0"/>
        <w:autoSpaceDN w:val="0"/>
        <w:rPr>
          <w:sz w:val="16"/>
        </w:rPr>
      </w:pPr>
      <w:r w:rsidRPr="00D32A9C">
        <w:rPr>
          <w:sz w:val="16"/>
        </w:rPr>
        <w:t>2)</w:t>
      </w:r>
      <w:r w:rsidR="00D32A9C">
        <w:rPr>
          <w:sz w:val="16"/>
        </w:rPr>
        <w:tab/>
      </w:r>
      <w:r w:rsidRPr="00D32A9C">
        <w:rPr>
          <w:sz w:val="16"/>
        </w:rPr>
        <w:t>Les dépenses de personnel indiquées dans le budget de l</w:t>
      </w:r>
      <w:r w:rsidR="00A20444" w:rsidRPr="00D32A9C">
        <w:rPr>
          <w:sz w:val="16"/>
        </w:rPr>
        <w:t>’</w:t>
      </w:r>
      <w:r w:rsidRPr="00D32A9C">
        <w:rPr>
          <w:sz w:val="16"/>
        </w:rPr>
        <w:t>exercice 2012</w:t>
      </w:r>
      <w:r w:rsidR="002D6F2A" w:rsidRPr="00D32A9C">
        <w:rPr>
          <w:sz w:val="16"/>
        </w:rPr>
        <w:noBreakHyphen/>
      </w:r>
      <w:r w:rsidRPr="00D32A9C">
        <w:rPr>
          <w:sz w:val="16"/>
        </w:rPr>
        <w:t>2013 après virements représentent les dépenses réelles engagées pendant l</w:t>
      </w:r>
      <w:r w:rsidR="00A20444" w:rsidRPr="00D32A9C">
        <w:rPr>
          <w:sz w:val="16"/>
        </w:rPr>
        <w:t>’</w:t>
      </w:r>
      <w:r w:rsidRPr="00D32A9C">
        <w:rPr>
          <w:sz w:val="16"/>
        </w:rPr>
        <w:t>exercice biennal.</w:t>
      </w:r>
    </w:p>
    <w:p w:rsidR="00D42474" w:rsidRDefault="00D42474" w:rsidP="001A5BF9">
      <w:pPr>
        <w:autoSpaceDE w:val="0"/>
        <w:autoSpaceDN w:val="0"/>
        <w:adjustRightInd w:val="0"/>
        <w:rPr>
          <w:rFonts w:cs="Arial"/>
          <w:sz w:val="19"/>
          <w:szCs w:val="19"/>
        </w:rPr>
      </w:pPr>
    </w:p>
    <w:p w:rsidR="00D42474" w:rsidRDefault="00D42474" w:rsidP="001A5BF9">
      <w:pPr>
        <w:autoSpaceDE w:val="0"/>
        <w:autoSpaceDN w:val="0"/>
        <w:adjustRightInd w:val="0"/>
        <w:rPr>
          <w:rFonts w:cs="Arial"/>
          <w:sz w:val="19"/>
          <w:szCs w:val="19"/>
        </w:rPr>
      </w:pPr>
    </w:p>
    <w:p w:rsidR="00D42474" w:rsidRDefault="00784E52" w:rsidP="001A5BF9">
      <w:pPr>
        <w:tabs>
          <w:tab w:val="left" w:pos="709"/>
        </w:tabs>
        <w:autoSpaceDE w:val="0"/>
        <w:autoSpaceDN w:val="0"/>
        <w:adjustRightInd w:val="0"/>
        <w:rPr>
          <w:rFonts w:cs="Arial"/>
          <w:szCs w:val="20"/>
        </w:rPr>
      </w:pPr>
      <w:r w:rsidRPr="00D32A9C">
        <w:t>A.</w:t>
      </w:r>
      <w:r w:rsidRPr="00D32A9C">
        <w:tab/>
      </w:r>
      <w:r w:rsidRPr="00D32A9C">
        <w:rPr>
          <w:u w:val="single"/>
        </w:rPr>
        <w:t>Budget 2012</w:t>
      </w:r>
      <w:r w:rsidR="002D6F2A" w:rsidRPr="00D32A9C">
        <w:rPr>
          <w:u w:val="single"/>
        </w:rPr>
        <w:noBreakHyphen/>
      </w:r>
      <w:r w:rsidRPr="00D32A9C">
        <w:rPr>
          <w:u w:val="single"/>
        </w:rPr>
        <w:t>2013 après virements</w:t>
      </w:r>
    </w:p>
    <w:p w:rsidR="00D42474" w:rsidRDefault="00D42474" w:rsidP="001A5BF9">
      <w:pPr>
        <w:autoSpaceDE w:val="0"/>
        <w:autoSpaceDN w:val="0"/>
        <w:adjustRightInd w:val="0"/>
        <w:jc w:val="both"/>
        <w:rPr>
          <w:rFonts w:cs="Arial"/>
          <w:szCs w:val="20"/>
        </w:rPr>
      </w:pPr>
    </w:p>
    <w:p w:rsidR="00D42474" w:rsidRDefault="00784E52" w:rsidP="001A5BF9">
      <w:pPr>
        <w:keepNext/>
        <w:tabs>
          <w:tab w:val="left" w:pos="709"/>
        </w:tabs>
        <w:autoSpaceDE w:val="0"/>
        <w:autoSpaceDN w:val="0"/>
        <w:jc w:val="both"/>
        <w:rPr>
          <w:szCs w:val="20"/>
        </w:rPr>
      </w:pPr>
      <w:r w:rsidRPr="00D32A9C">
        <w:t>13.5</w:t>
      </w:r>
      <w:r w:rsidR="004F3E42" w:rsidRPr="00D32A9C">
        <w:t xml:space="preserve"> </w:t>
      </w:r>
      <w:r w:rsidRPr="00D32A9C">
        <w:t>L</w:t>
      </w:r>
      <w:r w:rsidR="00A20444" w:rsidRPr="00D32A9C">
        <w:t>’</w:t>
      </w:r>
      <w:r w:rsidRPr="00D32A9C">
        <w:t>affectation aux dépenses autres pour le budget 2012</w:t>
      </w:r>
      <w:r w:rsidR="002D6F2A" w:rsidRPr="00D32A9C">
        <w:noBreakHyphen/>
      </w:r>
      <w:r w:rsidRPr="00D32A9C">
        <w:t>2013 après virements, tient compte des ajustements à la baisse opérés pour réduire les coûts conformément aux engagements de l</w:t>
      </w:r>
      <w:r w:rsidR="00A20444" w:rsidRPr="00D32A9C">
        <w:t>’</w:t>
      </w:r>
      <w:r w:rsidRPr="00D32A9C">
        <w:t>Organisation de réduire les dépenses de 10,2</w:t>
      </w:r>
      <w:r w:rsidR="0010442A" w:rsidRPr="00D32A9C">
        <w:t> </w:t>
      </w:r>
      <w:r w:rsidRPr="00D32A9C">
        <w:t>millions de francs suisses pour l</w:t>
      </w:r>
      <w:r w:rsidR="00A20444" w:rsidRPr="00D32A9C">
        <w:t>’</w:t>
      </w:r>
      <w:r w:rsidRPr="00D32A9C">
        <w:t>exercice biennal</w:t>
      </w:r>
      <w:r w:rsidR="0010442A" w:rsidRPr="00D32A9C">
        <w:t> </w:t>
      </w:r>
      <w:r w:rsidRPr="00D32A9C">
        <w:t>2012</w:t>
      </w:r>
      <w:r w:rsidR="002D6F2A" w:rsidRPr="00D32A9C">
        <w:noBreakHyphen/>
      </w:r>
      <w:r w:rsidRPr="00D32A9C">
        <w:t>2013.</w:t>
      </w:r>
    </w:p>
    <w:p w:rsidR="00D42474" w:rsidRDefault="00D42474" w:rsidP="001A5BF9">
      <w:pPr>
        <w:keepNext/>
        <w:autoSpaceDE w:val="0"/>
        <w:autoSpaceDN w:val="0"/>
        <w:jc w:val="both"/>
        <w:rPr>
          <w:szCs w:val="20"/>
        </w:rPr>
      </w:pPr>
    </w:p>
    <w:p w:rsidR="00D42474" w:rsidRDefault="00784E52" w:rsidP="001A5BF9">
      <w:pPr>
        <w:tabs>
          <w:tab w:val="left" w:pos="709"/>
        </w:tabs>
        <w:autoSpaceDE w:val="0"/>
        <w:autoSpaceDN w:val="0"/>
        <w:adjustRightInd w:val="0"/>
        <w:jc w:val="both"/>
        <w:rPr>
          <w:rFonts w:cs="Arial"/>
          <w:szCs w:val="20"/>
        </w:rPr>
      </w:pPr>
      <w:r w:rsidRPr="00D32A9C">
        <w:t>13.6</w:t>
      </w:r>
      <w:r w:rsidRPr="00D32A9C">
        <w:tab/>
        <w:t xml:space="preserve">Les ajustements des résultats traduisent la reconnaissance plus appropriée des activités spécifiques sous les résultats correspondants. </w:t>
      </w:r>
      <w:r w:rsidR="0010442A" w:rsidRPr="00D32A9C">
        <w:t xml:space="preserve"> </w:t>
      </w:r>
      <w:r w:rsidRPr="00D32A9C">
        <w:t>L</w:t>
      </w:r>
      <w:r w:rsidR="00A20444" w:rsidRPr="00D32A9C">
        <w:t>’</w:t>
      </w:r>
      <w:r w:rsidRPr="00D32A9C">
        <w:t>augmentation des ressources au titre du résultat </w:t>
      </w:r>
      <w:proofErr w:type="spellStart"/>
      <w:r w:rsidRPr="00D32A9C">
        <w:t>IV.2</w:t>
      </w:r>
      <w:proofErr w:type="spellEnd"/>
      <w:r w:rsidRPr="00D32A9C">
        <w:t xml:space="preserve"> (accès amélioré à l</w:t>
      </w:r>
      <w:r w:rsidR="00A20444" w:rsidRPr="00D32A9C">
        <w:t>’</w:t>
      </w:r>
      <w:r w:rsidRPr="00D32A9C">
        <w:t>information et aux savoirs en matière de propriété intellectuelle, et meilleure utilisation de cette information et de ces savoirs, par les institutions de propriété intellectuelle) est due à la réaffectation de certaines activités du résultat </w:t>
      </w:r>
      <w:proofErr w:type="spellStart"/>
      <w:r w:rsidRPr="00D32A9C">
        <w:t>IV.3</w:t>
      </w:r>
      <w:proofErr w:type="spellEnd"/>
    </w:p>
    <w:p w:rsidR="00D42474" w:rsidRDefault="00784E52" w:rsidP="001A5BF9">
      <w:pPr>
        <w:autoSpaceDE w:val="0"/>
        <w:autoSpaceDN w:val="0"/>
        <w:adjustRightInd w:val="0"/>
        <w:jc w:val="both"/>
      </w:pPr>
      <w:r w:rsidRPr="00D32A9C">
        <w:t>(</w:t>
      </w:r>
      <w:proofErr w:type="gramStart"/>
      <w:r w:rsidRPr="00D32A9C">
        <w:t>diffusion</w:t>
      </w:r>
      <w:proofErr w:type="gramEnd"/>
      <w:r w:rsidRPr="00D32A9C">
        <w:t xml:space="preserve"> des collections de brevets) au résultat </w:t>
      </w:r>
      <w:proofErr w:type="spellStart"/>
      <w:r w:rsidRPr="00D32A9C">
        <w:t>IV.4</w:t>
      </w:r>
      <w:proofErr w:type="spellEnd"/>
      <w:r w:rsidRPr="00D32A9C">
        <w:t xml:space="preserve"> (mise à jour régulière de PATENTSCOPE).</w:t>
      </w:r>
    </w:p>
    <w:p w:rsidR="00D42474" w:rsidRDefault="00D42474" w:rsidP="001A5BF9">
      <w:pPr>
        <w:autoSpaceDE w:val="0"/>
        <w:autoSpaceDN w:val="0"/>
        <w:adjustRightInd w:val="0"/>
        <w:jc w:val="both"/>
        <w:rPr>
          <w:rFonts w:cs="Arial"/>
          <w:szCs w:val="20"/>
        </w:rPr>
      </w:pPr>
    </w:p>
    <w:p w:rsidR="00D42474" w:rsidRDefault="00D32A9C">
      <w:r>
        <w:br w:type="page"/>
      </w:r>
    </w:p>
    <w:p w:rsidR="00D42474" w:rsidRDefault="00784E52" w:rsidP="001A5BF9">
      <w:pPr>
        <w:tabs>
          <w:tab w:val="left" w:pos="709"/>
        </w:tabs>
        <w:autoSpaceDE w:val="0"/>
        <w:autoSpaceDN w:val="0"/>
        <w:adjustRightInd w:val="0"/>
        <w:jc w:val="both"/>
        <w:rPr>
          <w:rFonts w:cs="Arial"/>
          <w:szCs w:val="20"/>
        </w:rPr>
      </w:pPr>
      <w:r w:rsidRPr="00D32A9C">
        <w:t>B.</w:t>
      </w:r>
      <w:r w:rsidRPr="00D32A9C">
        <w:tab/>
      </w:r>
      <w:r w:rsidRPr="00D32A9C">
        <w:rPr>
          <w:u w:val="single"/>
        </w:rPr>
        <w:t>Utilisation du budget 2012</w:t>
      </w:r>
      <w:r w:rsidR="002D6F2A" w:rsidRPr="00D32A9C">
        <w:rPr>
          <w:u w:val="single"/>
        </w:rPr>
        <w:noBreakHyphen/>
      </w:r>
      <w:r w:rsidRPr="00D32A9C">
        <w:rPr>
          <w:u w:val="single"/>
        </w:rPr>
        <w:t>2013</w:t>
      </w:r>
    </w:p>
    <w:p w:rsidR="00D42474" w:rsidRDefault="00D42474" w:rsidP="001A5BF9">
      <w:pPr>
        <w:tabs>
          <w:tab w:val="left" w:pos="709"/>
        </w:tabs>
        <w:autoSpaceDE w:val="0"/>
        <w:autoSpaceDN w:val="0"/>
        <w:adjustRightInd w:val="0"/>
        <w:jc w:val="both"/>
        <w:rPr>
          <w:rFonts w:cs="Arial"/>
          <w:szCs w:val="20"/>
        </w:rPr>
      </w:pPr>
    </w:p>
    <w:p w:rsidR="00D42474" w:rsidRDefault="00784E52" w:rsidP="001A5BF9">
      <w:pPr>
        <w:tabs>
          <w:tab w:val="left" w:pos="709"/>
        </w:tabs>
        <w:autoSpaceDE w:val="0"/>
        <w:autoSpaceDN w:val="0"/>
        <w:adjustRightInd w:val="0"/>
        <w:jc w:val="both"/>
      </w:pPr>
      <w:r w:rsidRPr="00D32A9C">
        <w:t>13.7.</w:t>
      </w:r>
      <w:r w:rsidRPr="00D32A9C">
        <w:tab/>
        <w:t>L</w:t>
      </w:r>
      <w:r w:rsidR="00A20444" w:rsidRPr="00D32A9C">
        <w:t>’</w:t>
      </w:r>
      <w:r w:rsidRPr="00D32A9C">
        <w:t xml:space="preserve">utilisation un peu plus basse que prévu des ressources autres que celles affectées au personnel </w:t>
      </w:r>
      <w:proofErr w:type="gramStart"/>
      <w:r w:rsidRPr="00D32A9C">
        <w:t>est</w:t>
      </w:r>
      <w:proofErr w:type="gramEnd"/>
      <w:r w:rsidRPr="00D32A9C">
        <w:t xml:space="preserve"> due essentiellement à des dépenses inférieures à celles prévues sur les serveurs de base de données, qui étaient fournis de manière centrale par le programme 25.</w:t>
      </w:r>
    </w:p>
    <w:p w:rsidR="00D42474" w:rsidRDefault="00784E52" w:rsidP="001A5BF9">
      <w:r w:rsidRPr="005C7CCE">
        <w:br w:type="page"/>
      </w:r>
    </w:p>
    <w:p w:rsidR="00D42474" w:rsidRDefault="00784E52" w:rsidP="001A5BF9">
      <w:pPr>
        <w:pStyle w:val="Heading3"/>
        <w:rPr>
          <w:szCs w:val="22"/>
        </w:rPr>
      </w:pPr>
      <w:bookmarkStart w:id="29" w:name="_Toc395082481"/>
      <w:r w:rsidRPr="00D32A9C">
        <w:rPr>
          <w:szCs w:val="22"/>
        </w:rPr>
        <w:t>Programme 14</w:t>
      </w:r>
      <w:r w:rsidRPr="00D32A9C">
        <w:rPr>
          <w:b w:val="0"/>
          <w:szCs w:val="22"/>
        </w:rPr>
        <w:tab/>
      </w:r>
      <w:r w:rsidRPr="00D32A9C">
        <w:rPr>
          <w:szCs w:val="22"/>
        </w:rPr>
        <w:t>Services d</w:t>
      </w:r>
      <w:r w:rsidR="00A20444" w:rsidRPr="00D32A9C">
        <w:rPr>
          <w:szCs w:val="22"/>
        </w:rPr>
        <w:t>’</w:t>
      </w:r>
      <w:r w:rsidRPr="00D32A9C">
        <w:rPr>
          <w:szCs w:val="22"/>
        </w:rPr>
        <w:t>accès à l</w:t>
      </w:r>
      <w:r w:rsidR="00A20444" w:rsidRPr="00D32A9C">
        <w:rPr>
          <w:szCs w:val="22"/>
        </w:rPr>
        <w:t>’</w:t>
      </w:r>
      <w:r w:rsidRPr="00D32A9C">
        <w:rPr>
          <w:szCs w:val="22"/>
        </w:rPr>
        <w:t>information et aux savoirs</w:t>
      </w:r>
      <w:bookmarkEnd w:id="29"/>
    </w:p>
    <w:p w:rsidR="00D42474" w:rsidRDefault="00D42474" w:rsidP="001A5BF9">
      <w:pPr>
        <w:ind w:left="2268" w:hanging="2268"/>
        <w:rPr>
          <w:rFonts w:cs="Arial"/>
          <w:sz w:val="22"/>
          <w:szCs w:val="22"/>
        </w:rPr>
      </w:pPr>
    </w:p>
    <w:p w:rsidR="00D42474" w:rsidRDefault="00784E52" w:rsidP="001A5BF9">
      <w:pPr>
        <w:ind w:left="2268" w:hanging="2268"/>
        <w:rPr>
          <w:rFonts w:cs="Arial"/>
          <w:b/>
          <w:sz w:val="22"/>
          <w:szCs w:val="22"/>
        </w:rPr>
      </w:pPr>
      <w:r w:rsidRPr="00D32A9C">
        <w:rPr>
          <w:b/>
          <w:sz w:val="22"/>
          <w:szCs w:val="22"/>
        </w:rPr>
        <w:t>Chef de programme</w:t>
      </w:r>
      <w:r w:rsidRPr="00D32A9C">
        <w:rPr>
          <w:b/>
          <w:sz w:val="22"/>
          <w:szCs w:val="22"/>
        </w:rPr>
        <w:tab/>
      </w:r>
      <w:r w:rsidRPr="00D32A9C">
        <w:rPr>
          <w:b/>
          <w:sz w:val="22"/>
          <w:szCs w:val="22"/>
        </w:rPr>
        <w:tab/>
        <w:t>M. Y.</w:t>
      </w:r>
      <w:r w:rsidR="0010442A" w:rsidRPr="00D32A9C">
        <w:rPr>
          <w:b/>
          <w:sz w:val="22"/>
          <w:szCs w:val="22"/>
        </w:rPr>
        <w:t> </w:t>
      </w:r>
      <w:proofErr w:type="spellStart"/>
      <w:r w:rsidRPr="00D32A9C">
        <w:rPr>
          <w:b/>
          <w:sz w:val="22"/>
          <w:szCs w:val="22"/>
        </w:rPr>
        <w:t>Takagi</w:t>
      </w:r>
      <w:proofErr w:type="spellEnd"/>
    </w:p>
    <w:p w:rsidR="00D42474" w:rsidRDefault="00D42474" w:rsidP="001A5BF9">
      <w:pPr>
        <w:ind w:left="2268" w:hanging="2268"/>
        <w:rPr>
          <w:sz w:val="22"/>
          <w:szCs w:val="22"/>
        </w:rPr>
      </w:pPr>
    </w:p>
    <w:p w:rsidR="00D42474" w:rsidRDefault="00D42474" w:rsidP="001A5BF9">
      <w:pPr>
        <w:ind w:left="2268" w:hanging="2268"/>
        <w:rPr>
          <w:bCs/>
          <w:sz w:val="22"/>
          <w:szCs w:val="22"/>
        </w:rPr>
      </w:pPr>
    </w:p>
    <w:p w:rsidR="00D42474" w:rsidRDefault="00784E52" w:rsidP="001A5BF9">
      <w:pPr>
        <w:ind w:left="2268" w:hanging="2268"/>
        <w:jc w:val="both"/>
        <w:rPr>
          <w:bCs/>
          <w:sz w:val="22"/>
          <w:szCs w:val="22"/>
        </w:rPr>
      </w:pPr>
      <w:r w:rsidRPr="00D32A9C">
        <w:rPr>
          <w:sz w:val="22"/>
          <w:szCs w:val="22"/>
        </w:rPr>
        <w:t>RÉALISATIONS EN 2012</w:t>
      </w:r>
      <w:r w:rsidR="002D6F2A" w:rsidRPr="00D32A9C">
        <w:rPr>
          <w:sz w:val="22"/>
          <w:szCs w:val="22"/>
        </w:rPr>
        <w:noBreakHyphen/>
      </w:r>
      <w:r w:rsidRPr="00D32A9C">
        <w:rPr>
          <w:sz w:val="22"/>
          <w:szCs w:val="22"/>
        </w:rPr>
        <w:t>2013</w:t>
      </w:r>
    </w:p>
    <w:p w:rsidR="00D42474" w:rsidRDefault="00D42474" w:rsidP="001A5BF9">
      <w:pPr>
        <w:keepNext/>
        <w:keepLines/>
        <w:jc w:val="both"/>
        <w:rPr>
          <w:rFonts w:cs="Arial"/>
          <w:sz w:val="22"/>
          <w:szCs w:val="22"/>
        </w:rPr>
      </w:pPr>
    </w:p>
    <w:p w:rsidR="00D42474" w:rsidRDefault="00784E52" w:rsidP="001A5BF9">
      <w:pPr>
        <w:pStyle w:val="Style1"/>
        <w:numPr>
          <w:ilvl w:val="0"/>
          <w:numId w:val="0"/>
        </w:numPr>
        <w:tabs>
          <w:tab w:val="left" w:pos="709"/>
        </w:tabs>
        <w:jc w:val="both"/>
        <w:rPr>
          <w:rFonts w:cs="Arial"/>
          <w:bCs/>
          <w:szCs w:val="22"/>
        </w:rPr>
      </w:pPr>
      <w:r w:rsidRPr="005C7CCE">
        <w:t>14.1.</w:t>
      </w:r>
      <w:r w:rsidRPr="005C7CCE">
        <w:tab/>
        <w:t>L</w:t>
      </w:r>
      <w:r w:rsidR="00A20444" w:rsidRPr="005C7CCE">
        <w:t>’</w:t>
      </w:r>
      <w:r w:rsidRPr="005C7CCE">
        <w:t>exercice biennal</w:t>
      </w:r>
      <w:r w:rsidR="0010442A" w:rsidRPr="005C7CCE">
        <w:t> </w:t>
      </w:r>
      <w:r w:rsidRPr="005C7CCE">
        <w:t>2012</w:t>
      </w:r>
      <w:r w:rsidR="002D6F2A" w:rsidRPr="005C7CCE">
        <w:noBreakHyphen/>
      </w:r>
      <w:r w:rsidRPr="005C7CCE">
        <w:t>2013 a porté le nombre d</w:t>
      </w:r>
      <w:r w:rsidR="00A20444" w:rsidRPr="005C7CCE">
        <w:t>’</w:t>
      </w:r>
      <w:r w:rsidRPr="005C7CCE">
        <w:t>États membres ayant établi des centres d</w:t>
      </w:r>
      <w:r w:rsidR="00A20444" w:rsidRPr="005C7CCE">
        <w:t>’</w:t>
      </w:r>
      <w:r w:rsidRPr="005C7CCE">
        <w:t>appui à la technologie et à l</w:t>
      </w:r>
      <w:r w:rsidR="00A20444" w:rsidRPr="005C7CCE">
        <w:t>’</w:t>
      </w:r>
      <w:r w:rsidRPr="005C7CCE">
        <w:t xml:space="preserve">innovation (CATI) dans leur pays à un total de 39. </w:t>
      </w:r>
      <w:r w:rsidR="0010442A" w:rsidRPr="005C7CCE">
        <w:t xml:space="preserve"> </w:t>
      </w:r>
      <w:r w:rsidRPr="005C7CCE">
        <w:t>L</w:t>
      </w:r>
      <w:r w:rsidR="00A20444" w:rsidRPr="005C7CCE">
        <w:t>’</w:t>
      </w:r>
      <w:r w:rsidRPr="005C7CCE">
        <w:t>exercice biennal a enregistré au total 55 manifestations de formation nationale et 8 conférences régionales pour le personnel des CATI.</w:t>
      </w:r>
    </w:p>
    <w:p w:rsidR="00D42474" w:rsidRDefault="00D42474" w:rsidP="001A5BF9">
      <w:pPr>
        <w:pStyle w:val="Style1"/>
        <w:numPr>
          <w:ilvl w:val="0"/>
          <w:numId w:val="0"/>
        </w:numPr>
        <w:tabs>
          <w:tab w:val="left" w:pos="709"/>
        </w:tabs>
        <w:jc w:val="both"/>
      </w:pPr>
    </w:p>
    <w:p w:rsidR="00D42474" w:rsidRDefault="00784E52" w:rsidP="001A5BF9">
      <w:pPr>
        <w:pStyle w:val="Style1"/>
        <w:numPr>
          <w:ilvl w:val="0"/>
          <w:numId w:val="0"/>
        </w:numPr>
        <w:tabs>
          <w:tab w:val="left" w:pos="709"/>
        </w:tabs>
        <w:jc w:val="both"/>
      </w:pPr>
      <w:r w:rsidRPr="00D32A9C">
        <w:t>14.2.</w:t>
      </w:r>
      <w:r w:rsidRPr="00D32A9C">
        <w:tab/>
        <w:t>Le programme s</w:t>
      </w:r>
      <w:r w:rsidR="00A20444" w:rsidRPr="00D32A9C">
        <w:t>’</w:t>
      </w:r>
      <w:r w:rsidRPr="00D32A9C">
        <w:t>est concentré sur la consolidation de la viabilité à long terme des réseaux, par le biais d</w:t>
      </w:r>
      <w:r w:rsidR="00A20444" w:rsidRPr="00D32A9C">
        <w:t>’</w:t>
      </w:r>
      <w:r w:rsidRPr="00D32A9C">
        <w:t>un programme structuré de renforcement des capacités au niveau local, y compris des manifestations de sensibilisation et de formation sur site, des sessions supplémentaires de formation des formateurs et de planification de projets, et l</w:t>
      </w:r>
      <w:r w:rsidR="00A20444" w:rsidRPr="00D32A9C">
        <w:t>’</w:t>
      </w:r>
      <w:r w:rsidRPr="00D32A9C">
        <w:t>élaboration de nouveaux supports de formation.</w:t>
      </w:r>
    </w:p>
    <w:p w:rsidR="00D42474" w:rsidRDefault="00D42474" w:rsidP="001A5BF9">
      <w:pPr>
        <w:pStyle w:val="Style1"/>
        <w:numPr>
          <w:ilvl w:val="0"/>
          <w:numId w:val="0"/>
        </w:numPr>
        <w:tabs>
          <w:tab w:val="left" w:pos="709"/>
        </w:tabs>
        <w:jc w:val="both"/>
      </w:pPr>
    </w:p>
    <w:p w:rsidR="00D42474" w:rsidRDefault="00784E52" w:rsidP="001A5BF9">
      <w:pPr>
        <w:pStyle w:val="Style1"/>
        <w:numPr>
          <w:ilvl w:val="0"/>
          <w:numId w:val="0"/>
        </w:numPr>
        <w:tabs>
          <w:tab w:val="left" w:pos="709"/>
        </w:tabs>
        <w:jc w:val="both"/>
      </w:pPr>
      <w:r w:rsidRPr="00D32A9C">
        <w:t>14.3.</w:t>
      </w:r>
      <w:r w:rsidRPr="00D32A9C">
        <w:tab/>
        <w:t>L</w:t>
      </w:r>
      <w:r w:rsidR="00A20444" w:rsidRPr="00D32A9C">
        <w:t>’</w:t>
      </w:r>
      <w:r w:rsidRPr="00D32A9C">
        <w:t>élaboration de réseaux en ligne par le biais de la plate</w:t>
      </w:r>
      <w:r w:rsidR="002D6F2A" w:rsidRPr="00D32A9C">
        <w:noBreakHyphen/>
      </w:r>
      <w:r w:rsidRPr="00D32A9C">
        <w:t>forme de gestion des connaissances et de médias sociaux en ligne “</w:t>
      </w:r>
      <w:proofErr w:type="spellStart"/>
      <w:r w:rsidRPr="00D32A9C">
        <w:t>eTISC</w:t>
      </w:r>
      <w:proofErr w:type="spellEnd"/>
      <w:r w:rsidRPr="00D32A9C">
        <w:t>”</w:t>
      </w:r>
      <w:r w:rsidRPr="00D32A9C">
        <w:rPr>
          <w:vertAlign w:val="superscript"/>
        </w:rPr>
        <w:footnoteReference w:id="26"/>
      </w:r>
      <w:r w:rsidRPr="00D32A9C">
        <w:t>, lancée fin 2012, a également encouragé les échanges d</w:t>
      </w:r>
      <w:r w:rsidR="00A20444" w:rsidRPr="00D32A9C">
        <w:t>’</w:t>
      </w:r>
      <w:r w:rsidRPr="00D32A9C">
        <w:t>expériences et de bonnes pratiques en ligne, avec près de 700 utilisateurs enregistrés à la fin de l</w:t>
      </w:r>
      <w:r w:rsidR="00A20444" w:rsidRPr="00D32A9C">
        <w:t>’</w:t>
      </w:r>
      <w:r w:rsidRPr="00D32A9C">
        <w:t xml:space="preserve">année 2013. </w:t>
      </w:r>
      <w:r w:rsidR="0010442A" w:rsidRPr="00D32A9C">
        <w:t xml:space="preserve"> </w:t>
      </w:r>
      <w:r w:rsidRPr="00D32A9C">
        <w:t>Les six premiers séminaires sur le Web, reproduisant les formations proposées sur le terrain et comprenant des séances de questions</w:t>
      </w:r>
      <w:r w:rsidR="002D6F2A" w:rsidRPr="00D32A9C">
        <w:noBreakHyphen/>
      </w:r>
      <w:r w:rsidRPr="00D32A9C">
        <w:t>réponses en direct, ont démarré au milieu de l</w:t>
      </w:r>
      <w:r w:rsidR="00A20444" w:rsidRPr="00D32A9C">
        <w:t>’</w:t>
      </w:r>
      <w:r w:rsidRPr="00D32A9C">
        <w:t>année 2013 et le programme a rapidement pris de l</w:t>
      </w:r>
      <w:r w:rsidR="00A20444" w:rsidRPr="00D32A9C">
        <w:t>’</w:t>
      </w:r>
      <w:r w:rsidRPr="00D32A9C">
        <w:t xml:space="preserve">ampleur. </w:t>
      </w:r>
      <w:r w:rsidR="0010442A" w:rsidRPr="00D32A9C">
        <w:t xml:space="preserve"> </w:t>
      </w:r>
      <w:r w:rsidRPr="00D32A9C">
        <w:t>Une approche régionale à l</w:t>
      </w:r>
      <w:r w:rsidR="00A20444" w:rsidRPr="00D32A9C">
        <w:t>’</w:t>
      </w:r>
      <w:r w:rsidRPr="00D32A9C">
        <w:t>élaboration de réseaux de CATI en coopération avec des organisations intergouvernementales en Afrique (ARIPO et OAPI), en Asie (</w:t>
      </w:r>
      <w:r w:rsidR="00F93985">
        <w:t>ASEAN</w:t>
      </w:r>
      <w:r w:rsidRPr="00D32A9C">
        <w:t>) et les pays arabes (Organisation de coopération islamique) a aussi vu le jour en 2013.</w:t>
      </w:r>
    </w:p>
    <w:p w:rsidR="00D42474" w:rsidRDefault="00D42474" w:rsidP="001A5BF9">
      <w:pPr>
        <w:pStyle w:val="Style1"/>
        <w:numPr>
          <w:ilvl w:val="0"/>
          <w:numId w:val="0"/>
        </w:numPr>
        <w:tabs>
          <w:tab w:val="left" w:pos="709"/>
        </w:tabs>
        <w:jc w:val="both"/>
      </w:pPr>
    </w:p>
    <w:p w:rsidR="00D42474" w:rsidRDefault="00784E52" w:rsidP="001A5BF9">
      <w:pPr>
        <w:pStyle w:val="Style1"/>
        <w:numPr>
          <w:ilvl w:val="0"/>
          <w:numId w:val="0"/>
        </w:numPr>
        <w:tabs>
          <w:tab w:val="left" w:pos="709"/>
        </w:tabs>
        <w:jc w:val="both"/>
      </w:pPr>
      <w:r w:rsidRPr="00D32A9C">
        <w:t>14.4.</w:t>
      </w:r>
      <w:r w:rsidRPr="00D32A9C">
        <w:tab/>
        <w:t>Un didacticiel interactif sur l</w:t>
      </w:r>
      <w:r w:rsidR="00A20444" w:rsidRPr="00D32A9C">
        <w:t>’</w:t>
      </w:r>
      <w:r w:rsidRPr="00D32A9C">
        <w:t>utilisation et l</w:t>
      </w:r>
      <w:r w:rsidR="00A20444" w:rsidRPr="00D32A9C">
        <w:t>’</w:t>
      </w:r>
      <w:r w:rsidRPr="00D32A9C">
        <w:t>exploitation de l</w:t>
      </w:r>
      <w:r w:rsidR="00A20444" w:rsidRPr="00D32A9C">
        <w:t>’</w:t>
      </w:r>
      <w:r w:rsidRPr="00D32A9C">
        <w:t>information en matière de brevets a été lancé à la fin de l</w:t>
      </w:r>
      <w:r w:rsidR="00A20444" w:rsidRPr="00D32A9C">
        <w:t>’</w:t>
      </w:r>
      <w:r w:rsidRPr="00D32A9C">
        <w:t xml:space="preserve">année 2012. </w:t>
      </w:r>
      <w:r w:rsidR="0010442A" w:rsidRPr="00D32A9C">
        <w:t xml:space="preserve"> </w:t>
      </w:r>
      <w:r w:rsidRPr="00D32A9C">
        <w:t>Ce didacticiel, qui est disponible sur CD</w:t>
      </w:r>
      <w:r w:rsidR="002D6F2A" w:rsidRPr="00D32A9C">
        <w:noBreakHyphen/>
      </w:r>
      <w:r w:rsidRPr="00D32A9C">
        <w:t>ROM et en ligne</w:t>
      </w:r>
      <w:r w:rsidRPr="00D32A9C">
        <w:rPr>
          <w:rStyle w:val="FootnoteReference"/>
        </w:rPr>
        <w:footnoteReference w:id="27"/>
      </w:r>
      <w:r w:rsidRPr="00D32A9C">
        <w:t>, comprend des sections sur les principes relatifs aux brevets, la recherche et l</w:t>
      </w:r>
      <w:r w:rsidR="00A20444" w:rsidRPr="00D32A9C">
        <w:t>’</w:t>
      </w:r>
      <w:r w:rsidRPr="00D32A9C">
        <w:t>extraction de brevets et l</w:t>
      </w:r>
      <w:r w:rsidR="00A20444" w:rsidRPr="00D32A9C">
        <w:t>’</w:t>
      </w:r>
      <w:r w:rsidRPr="00D32A9C">
        <w:t>analyse des brevets.</w:t>
      </w:r>
      <w:r w:rsidR="004F3E42" w:rsidRPr="00D32A9C">
        <w:t xml:space="preserve"> </w:t>
      </w:r>
      <w:r w:rsidR="0010442A" w:rsidRPr="00D32A9C">
        <w:t xml:space="preserve"> </w:t>
      </w:r>
      <w:r w:rsidRPr="00D32A9C">
        <w:t>La version initiale en langue anglaise a été suivie d</w:t>
      </w:r>
      <w:r w:rsidR="00A20444" w:rsidRPr="00D32A9C">
        <w:t>’</w:t>
      </w:r>
      <w:r w:rsidRPr="00D32A9C">
        <w:t>une version française</w:t>
      </w:r>
      <w:r w:rsidRPr="00D32A9C">
        <w:rPr>
          <w:vertAlign w:val="superscript"/>
        </w:rPr>
        <w:footnoteReference w:id="28"/>
      </w:r>
      <w:r w:rsidRPr="00D32A9C">
        <w:t xml:space="preserve"> lancée fin 2013.</w:t>
      </w:r>
    </w:p>
    <w:p w:rsidR="00D42474" w:rsidRDefault="00D42474" w:rsidP="001A5BF9">
      <w:pPr>
        <w:pStyle w:val="Style1"/>
        <w:numPr>
          <w:ilvl w:val="0"/>
          <w:numId w:val="0"/>
        </w:numPr>
        <w:tabs>
          <w:tab w:val="left" w:pos="709"/>
        </w:tabs>
        <w:jc w:val="both"/>
      </w:pPr>
    </w:p>
    <w:p w:rsidR="00D42474" w:rsidRDefault="00784E52" w:rsidP="001A5BF9">
      <w:pPr>
        <w:pStyle w:val="Style1"/>
        <w:numPr>
          <w:ilvl w:val="0"/>
          <w:numId w:val="0"/>
        </w:numPr>
        <w:tabs>
          <w:tab w:val="left" w:pos="709"/>
        </w:tabs>
        <w:jc w:val="both"/>
      </w:pPr>
      <w:r w:rsidRPr="00D32A9C">
        <w:t>14.5.</w:t>
      </w:r>
      <w:r w:rsidRPr="00D32A9C">
        <w:tab/>
        <w:t>Le volume d</w:t>
      </w:r>
      <w:r w:rsidR="00A20444" w:rsidRPr="00D32A9C">
        <w:t>’</w:t>
      </w:r>
      <w:r w:rsidRPr="00D32A9C">
        <w:t>articles provenant de revues scientifiques et techniques et devenus accessibles par l</w:t>
      </w:r>
      <w:r w:rsidR="00A20444" w:rsidRPr="00D32A9C">
        <w:t>’</w:t>
      </w:r>
      <w:r w:rsidRPr="00D32A9C">
        <w:t>intermédiaire du programme d</w:t>
      </w:r>
      <w:r w:rsidR="00A20444" w:rsidRPr="00D32A9C">
        <w:t>’</w:t>
      </w:r>
      <w:r w:rsidRPr="00D32A9C">
        <w:t>accès à la recherche pour le développement et l</w:t>
      </w:r>
      <w:r w:rsidR="00A20444" w:rsidRPr="00D32A9C">
        <w:t>’</w:t>
      </w:r>
      <w:r w:rsidRPr="00D32A9C">
        <w:t>innovation (</w:t>
      </w:r>
      <w:proofErr w:type="spellStart"/>
      <w:r w:rsidRPr="00D32A9C">
        <w:t>ARDI</w:t>
      </w:r>
      <w:proofErr w:type="spellEnd"/>
      <w:r w:rsidRPr="00D32A9C">
        <w:t>) a continué d</w:t>
      </w:r>
      <w:r w:rsidR="00A20444" w:rsidRPr="00D32A9C">
        <w:t>’</w:t>
      </w:r>
      <w:r w:rsidRPr="00D32A9C">
        <w:t xml:space="preserve">augmenter de 250 revues en 2012 à 13 000 et 22 000 livres électroniques en 2013, avec plus de 250 utilisateurs institutionnels enregistrés. </w:t>
      </w:r>
      <w:r w:rsidR="0010442A" w:rsidRPr="00D32A9C">
        <w:t xml:space="preserve"> </w:t>
      </w:r>
      <w:r w:rsidRPr="00D32A9C">
        <w:t>Le nombre d</w:t>
      </w:r>
      <w:r w:rsidR="00A20444" w:rsidRPr="00D32A9C">
        <w:t>’</w:t>
      </w:r>
      <w:r w:rsidRPr="00D32A9C">
        <w:t>utilisateurs du programme d</w:t>
      </w:r>
      <w:r w:rsidR="00A20444" w:rsidRPr="00D32A9C">
        <w:t>’</w:t>
      </w:r>
      <w:r w:rsidRPr="00D32A9C">
        <w:t>accès à l</w:t>
      </w:r>
      <w:r w:rsidR="00A20444" w:rsidRPr="00D32A9C">
        <w:t>’</w:t>
      </w:r>
      <w:r w:rsidRPr="00D32A9C">
        <w:t>information spécialisée en matière de brevets (ASPI), qui facilite l</w:t>
      </w:r>
      <w:r w:rsidR="00A20444" w:rsidRPr="00D32A9C">
        <w:t>’</w:t>
      </w:r>
      <w:r w:rsidRPr="00D32A9C">
        <w:t>accès aux bases de données commerciales spécialisées concernant les brevets, continue d</w:t>
      </w:r>
      <w:r w:rsidR="00A20444" w:rsidRPr="00D32A9C">
        <w:t>’</w:t>
      </w:r>
      <w:r w:rsidRPr="00D32A9C">
        <w:t>augmenter, même si le niveau de cette augmentation est plus modeste avec 20 utilisateurs institutionnels actifs.</w:t>
      </w:r>
    </w:p>
    <w:p w:rsidR="00D42474" w:rsidRDefault="00D42474" w:rsidP="001A5BF9">
      <w:pPr>
        <w:tabs>
          <w:tab w:val="left" w:pos="709"/>
        </w:tabs>
        <w:jc w:val="both"/>
        <w:rPr>
          <w:rFonts w:cs="Arial"/>
          <w:szCs w:val="22"/>
        </w:rPr>
      </w:pPr>
    </w:p>
    <w:p w:rsidR="00D42474" w:rsidRDefault="00784E52" w:rsidP="001A5BF9">
      <w:pPr>
        <w:tabs>
          <w:tab w:val="left" w:pos="709"/>
        </w:tabs>
        <w:jc w:val="both"/>
      </w:pPr>
      <w:r w:rsidRPr="00D32A9C">
        <w:t>14.6</w:t>
      </w:r>
      <w:r w:rsidRPr="00D32A9C">
        <w:tab/>
        <w:t>Depuis plus de 30 ans, l</w:t>
      </w:r>
      <w:r w:rsidR="00A20444" w:rsidRPr="00D32A9C">
        <w:t>’</w:t>
      </w:r>
      <w:r w:rsidRPr="00D32A9C">
        <w:t>OMPI fournit aux pays en développement et</w:t>
      </w:r>
      <w:r w:rsidR="00A20444" w:rsidRPr="00D32A9C">
        <w:t xml:space="preserve"> aux PMA</w:t>
      </w:r>
      <w:r w:rsidRPr="00D32A9C">
        <w:t xml:space="preserve"> deux</w:t>
      </w:r>
      <w:r w:rsidR="0010442A" w:rsidRPr="00D32A9C">
        <w:t> </w:t>
      </w:r>
      <w:r w:rsidRPr="00D32A9C">
        <w:t>services d</w:t>
      </w:r>
      <w:r w:rsidR="00A20444" w:rsidRPr="00D32A9C">
        <w:t>’</w:t>
      </w:r>
      <w:r w:rsidRPr="00D32A9C">
        <w:t xml:space="preserve">information sur les brevets, </w:t>
      </w:r>
      <w:r w:rsidR="00A20444" w:rsidRPr="00D32A9C">
        <w:t>à savoir</w:t>
      </w:r>
      <w:r w:rsidRPr="00D32A9C">
        <w:t xml:space="preserve"> les services d</w:t>
      </w:r>
      <w:r w:rsidR="00A20444" w:rsidRPr="00D32A9C">
        <w:t>’</w:t>
      </w:r>
      <w:r w:rsidRPr="00D32A9C">
        <w:t>information en matière de brevets (</w:t>
      </w:r>
      <w:proofErr w:type="spellStart"/>
      <w:r w:rsidRPr="00D32A9C">
        <w:t>WPIS</w:t>
      </w:r>
      <w:proofErr w:type="spellEnd"/>
      <w:r w:rsidRPr="00D32A9C">
        <w:t>) et le programme de coopération internationale pour la recherche et l</w:t>
      </w:r>
      <w:r w:rsidR="00A20444" w:rsidRPr="00D32A9C">
        <w:t>’</w:t>
      </w:r>
      <w:r w:rsidRPr="00D32A9C">
        <w:t xml:space="preserve">examen des inventions (CIE, anciennement </w:t>
      </w:r>
      <w:proofErr w:type="spellStart"/>
      <w:r w:rsidRPr="00D32A9C">
        <w:t>CSEI</w:t>
      </w:r>
      <w:proofErr w:type="spellEnd"/>
      <w:r w:rsidRPr="00D32A9C">
        <w:t>).</w:t>
      </w:r>
      <w:r w:rsidR="004F3E42" w:rsidRPr="00D32A9C">
        <w:t xml:space="preserve"> </w:t>
      </w:r>
      <w:r w:rsidR="0010442A" w:rsidRPr="00D32A9C">
        <w:t xml:space="preserve"> </w:t>
      </w:r>
      <w:r w:rsidRPr="00D32A9C">
        <w:t>Ces services établissent des rapports de recherche sur la technologie en réponse aux demandes du secteur privé et d</w:t>
      </w:r>
      <w:r w:rsidR="00A20444" w:rsidRPr="00D32A9C">
        <w:t>’</w:t>
      </w:r>
      <w:r w:rsidRPr="00D32A9C">
        <w:t>institutions publiques ainsi que des rapports de recherche et d</w:t>
      </w:r>
      <w:r w:rsidR="00A20444" w:rsidRPr="00D32A9C">
        <w:t>’</w:t>
      </w:r>
      <w:r w:rsidRPr="00D32A9C">
        <w:t>examen pour les demandes de brevet en attente en réponse aux demandes d</w:t>
      </w:r>
      <w:r w:rsidR="00A20444" w:rsidRPr="00D32A9C">
        <w:t>’</w:t>
      </w:r>
      <w:r w:rsidRPr="00D32A9C">
        <w:t xml:space="preserve">offices des brevets dans les pays en développement. </w:t>
      </w:r>
      <w:r w:rsidR="0010442A" w:rsidRPr="00D32A9C">
        <w:t xml:space="preserve"> </w:t>
      </w:r>
      <w:r w:rsidRPr="00D32A9C">
        <w:t>La demande de rapports de recherche sur la technologie a diminué de 16,4</w:t>
      </w:r>
      <w:r w:rsidR="007E442D" w:rsidRPr="00D32A9C">
        <w:t>%</w:t>
      </w:r>
      <w:r w:rsidRPr="00D32A9C">
        <w:t xml:space="preserve"> lors de l</w:t>
      </w:r>
      <w:r w:rsidR="00A20444" w:rsidRPr="00D32A9C">
        <w:t>’</w:t>
      </w:r>
      <w:r w:rsidRPr="00D32A9C">
        <w:t xml:space="preserve">exercice biennal par rapport au précédent, en partie en raison de la mise en œuvre de réseaux de CATI, qui deviendront progressivement le mécanisme de transmission pour de tels services. </w:t>
      </w:r>
      <w:r w:rsidR="0010442A" w:rsidRPr="00D32A9C">
        <w:t xml:space="preserve"> </w:t>
      </w:r>
      <w:r w:rsidRPr="00D32A9C">
        <w:t>Au total, 214 demandes associées à la recherche et à l</w:t>
      </w:r>
      <w:r w:rsidR="00A20444" w:rsidRPr="00D32A9C">
        <w:t>’</w:t>
      </w:r>
      <w:r w:rsidRPr="00D32A9C">
        <w:t>examen ont été reçues pour le service de coopération en matière d</w:t>
      </w:r>
      <w:r w:rsidR="00A20444" w:rsidRPr="00D32A9C">
        <w:t>’</w:t>
      </w:r>
      <w:r w:rsidRPr="00D32A9C">
        <w:t>examen (</w:t>
      </w:r>
      <w:proofErr w:type="spellStart"/>
      <w:r w:rsidRPr="00D32A9C">
        <w:t>ICE</w:t>
      </w:r>
      <w:proofErr w:type="spellEnd"/>
      <w:r w:rsidRPr="00D32A9C">
        <w:t>), ce qui représente une augmentation de 8,6</w:t>
      </w:r>
      <w:r w:rsidR="007E442D" w:rsidRPr="00D32A9C">
        <w:t>%</w:t>
      </w:r>
      <w:r w:rsidRPr="00D32A9C">
        <w:t xml:space="preserve"> en matière de demande.</w:t>
      </w:r>
      <w:r w:rsidR="0010442A" w:rsidRPr="00D32A9C">
        <w:t xml:space="preserve"> </w:t>
      </w:r>
      <w:r w:rsidRPr="00D32A9C">
        <w:t xml:space="preserve"> Le service </w:t>
      </w:r>
      <w:proofErr w:type="spellStart"/>
      <w:r w:rsidRPr="00D32A9C">
        <w:t>ICE</w:t>
      </w:r>
      <w:proofErr w:type="spellEnd"/>
      <w:r w:rsidRPr="00D32A9C">
        <w:t xml:space="preserve"> a continué à proposer des ateliers de formation aux examinateurs de brevets des offices de brevets dans les pays en développement. </w:t>
      </w:r>
      <w:r w:rsidR="0010442A" w:rsidRPr="00D32A9C">
        <w:t xml:space="preserve"> </w:t>
      </w:r>
      <w:r w:rsidRPr="00D32A9C">
        <w:t xml:space="preserve">Trois ateliers </w:t>
      </w:r>
      <w:proofErr w:type="spellStart"/>
      <w:r w:rsidRPr="00D32A9C">
        <w:t>sous</w:t>
      </w:r>
      <w:r w:rsidR="002D6F2A" w:rsidRPr="00D32A9C">
        <w:noBreakHyphen/>
      </w:r>
      <w:r w:rsidRPr="00D32A9C">
        <w:t>régionaux</w:t>
      </w:r>
      <w:proofErr w:type="spellEnd"/>
      <w:r w:rsidRPr="00D32A9C">
        <w:t xml:space="preserve"> sur l</w:t>
      </w:r>
      <w:r w:rsidR="00A20444" w:rsidRPr="00D32A9C">
        <w:t>’</w:t>
      </w:r>
      <w:r w:rsidRPr="00D32A9C">
        <w:t>utilisation des résultats de l</w:t>
      </w:r>
      <w:r w:rsidR="00A20444" w:rsidRPr="00D32A9C">
        <w:t>’</w:t>
      </w:r>
      <w:r w:rsidRPr="00D32A9C">
        <w:t>examen des brevets d</w:t>
      </w:r>
      <w:r w:rsidR="00A20444" w:rsidRPr="00D32A9C">
        <w:t>’</w:t>
      </w:r>
      <w:r w:rsidRPr="00D32A9C">
        <w:t>autres phases d</w:t>
      </w:r>
      <w:r w:rsidR="00A20444" w:rsidRPr="00D32A9C">
        <w:t>’</w:t>
      </w:r>
      <w:r w:rsidRPr="00D32A9C">
        <w:t xml:space="preserve">instruction nationales ont eu lieu à Harare (juillet 2012), Yaoundé (janvier 2013) et </w:t>
      </w:r>
      <w:proofErr w:type="spellStart"/>
      <w:r w:rsidRPr="00D32A9C">
        <w:t>Riyadh</w:t>
      </w:r>
      <w:proofErr w:type="spellEnd"/>
      <w:r w:rsidRPr="00D32A9C">
        <w:t xml:space="preserve"> (décembre 2013) pour 25 participants en provenance d</w:t>
      </w:r>
      <w:r w:rsidR="00A20444" w:rsidRPr="00D32A9C">
        <w:t>’</w:t>
      </w:r>
      <w:r w:rsidRPr="00D32A9C">
        <w:t xml:space="preserve">offices de propriété industrielle anglophones et francophones, et 12 participants en provenance de </w:t>
      </w:r>
      <w:r w:rsidR="0010442A" w:rsidRPr="00D32A9C">
        <w:t>10</w:t>
      </w:r>
      <w:r w:rsidRPr="00D32A9C">
        <w:t> pays arabes, respectivement.</w:t>
      </w:r>
      <w:r w:rsidR="0010442A" w:rsidRPr="00D32A9C">
        <w:t xml:space="preserve"> </w:t>
      </w:r>
      <w:r w:rsidRPr="00D32A9C">
        <w:t xml:space="preserve"> En outre, trois ateliers nationaux ont été organisés pour les offices de brevets du Cambodge (trois participants), de la Thaïlande (35 participants) et du Viet Nam (60 participants).</w:t>
      </w:r>
    </w:p>
    <w:p w:rsidR="00D42474" w:rsidRDefault="00D42474" w:rsidP="001A5BF9">
      <w:pPr>
        <w:tabs>
          <w:tab w:val="left" w:pos="709"/>
        </w:tabs>
        <w:jc w:val="both"/>
      </w:pPr>
    </w:p>
    <w:p w:rsidR="00D42474" w:rsidRDefault="00784E52" w:rsidP="001A5BF9">
      <w:pPr>
        <w:keepNext/>
        <w:keepLines/>
        <w:tabs>
          <w:tab w:val="left" w:pos="709"/>
        </w:tabs>
        <w:jc w:val="both"/>
        <w:rPr>
          <w:rFonts w:eastAsia="MS Mincho" w:cs="ArialMT"/>
          <w:szCs w:val="22"/>
          <w:lang w:bidi="th-TH"/>
        </w:rPr>
      </w:pPr>
      <w:r w:rsidRPr="00D32A9C">
        <w:t>14.7.</w:t>
      </w:r>
      <w:r w:rsidRPr="00D32A9C">
        <w:tab/>
        <w:t>Lancés en</w:t>
      </w:r>
      <w:r w:rsidR="0010442A" w:rsidRPr="00D32A9C">
        <w:t> </w:t>
      </w:r>
      <w:r w:rsidRPr="00D32A9C">
        <w:t>2011,</w:t>
      </w:r>
      <w:r w:rsidR="00A20444" w:rsidRPr="00D32A9C">
        <w:t xml:space="preserve"> les </w:t>
      </w:r>
      <w:proofErr w:type="spellStart"/>
      <w:r w:rsidR="00A20444" w:rsidRPr="00D32A9C">
        <w:t>WPI</w:t>
      </w:r>
      <w:r w:rsidRPr="00D32A9C">
        <w:t>S</w:t>
      </w:r>
      <w:proofErr w:type="spellEnd"/>
      <w:r w:rsidRPr="00D32A9C">
        <w:t xml:space="preserve"> ont achevé quatre nouveaux rapports panoramiques sur les brevets au cours de l</w:t>
      </w:r>
      <w:r w:rsidR="00A20444" w:rsidRPr="00D32A9C">
        <w:t>’</w:t>
      </w:r>
      <w:r w:rsidRPr="00D32A9C">
        <w:t>exercice biennal : les technologies de recyclage des déchets électroniques</w:t>
      </w:r>
      <w:r w:rsidRPr="00D32A9C">
        <w:rPr>
          <w:rStyle w:val="FootnoteReference"/>
        </w:rPr>
        <w:footnoteReference w:id="29"/>
      </w:r>
      <w:r w:rsidRPr="00D32A9C">
        <w:t xml:space="preserve"> en coopération avec le Programme des </w:t>
      </w:r>
      <w:r w:rsidR="00A20444" w:rsidRPr="00D32A9C">
        <w:t>Nations Unies</w:t>
      </w:r>
      <w:r w:rsidRPr="00D32A9C">
        <w:t xml:space="preserve"> pour l</w:t>
      </w:r>
      <w:r w:rsidR="00A20444" w:rsidRPr="00D32A9C">
        <w:t>’</w:t>
      </w:r>
      <w:r w:rsidRPr="00D32A9C">
        <w:t>environnement (PNUE) et le Secrétariat de la Convention de Bâle;</w:t>
      </w:r>
      <w:r w:rsidR="004F3E42" w:rsidRPr="00D32A9C">
        <w:t xml:space="preserve"> </w:t>
      </w:r>
      <w:r w:rsidR="0010442A" w:rsidRPr="00D32A9C">
        <w:t xml:space="preserve"> </w:t>
      </w:r>
      <w:r w:rsidRPr="00D32A9C">
        <w:t xml:space="preserve">activités en matière de brevets liées aux ressources </w:t>
      </w:r>
      <w:proofErr w:type="spellStart"/>
      <w:r w:rsidRPr="00D32A9C">
        <w:t>zoogénétiques</w:t>
      </w:r>
      <w:proofErr w:type="spellEnd"/>
      <w:r w:rsidRPr="00D32A9C">
        <w:t>;</w:t>
      </w:r>
      <w:r w:rsidR="0010442A" w:rsidRPr="00D32A9C">
        <w:t xml:space="preserve"> </w:t>
      </w:r>
      <w:r w:rsidR="004F3E42" w:rsidRPr="00D32A9C">
        <w:t xml:space="preserve"> </w:t>
      </w:r>
      <w:r w:rsidRPr="00D32A9C">
        <w:t>technologies d</w:t>
      </w:r>
      <w:r w:rsidR="00A20444" w:rsidRPr="00D32A9C">
        <w:t>’</w:t>
      </w:r>
      <w:r w:rsidRPr="00D32A9C">
        <w:t>accélérateurs de particules et leurs applications industrielles et médicales, en collaboration avec le CERN (Organisation européenne pour la recherche nucléaire), et dans le domaine des dispositifs d</w:t>
      </w:r>
      <w:r w:rsidR="00A20444" w:rsidRPr="00D32A9C">
        <w:t>’</w:t>
      </w:r>
      <w:r w:rsidRPr="00D32A9C">
        <w:t xml:space="preserve">assistance et des technologies destinés aux personnes malvoyantes ou malentendantes. </w:t>
      </w:r>
      <w:r w:rsidR="0010442A" w:rsidRPr="00D32A9C">
        <w:t xml:space="preserve"> </w:t>
      </w:r>
      <w:r w:rsidRPr="00D32A9C">
        <w:t>Deux</w:t>
      </w:r>
      <w:r w:rsidR="0010442A" w:rsidRPr="00D32A9C">
        <w:t> </w:t>
      </w:r>
      <w:r w:rsidRPr="00D32A9C">
        <w:t xml:space="preserve">rapports panoramiques sur les brevets déjà achevés et publiés, portant respectivement sur le </w:t>
      </w:r>
      <w:proofErr w:type="spellStart"/>
      <w:r w:rsidRPr="00D32A9C">
        <w:t>Ritonavir</w:t>
      </w:r>
      <w:proofErr w:type="spellEnd"/>
      <w:r w:rsidRPr="00D32A9C">
        <w:t xml:space="preserve"> et certaines maladies négligées, ont été mis à jour. </w:t>
      </w:r>
      <w:r w:rsidR="0010442A" w:rsidRPr="00D32A9C">
        <w:t xml:space="preserve"> </w:t>
      </w:r>
      <w:r w:rsidRPr="00D32A9C">
        <w:t>Le site</w:t>
      </w:r>
      <w:r w:rsidR="0010442A" w:rsidRPr="00D32A9C">
        <w:t> </w:t>
      </w:r>
      <w:r w:rsidRPr="00D32A9C">
        <w:t>Web des rapports panoramiques sur les brevets a aussi été amélioré et mis à jour avec l</w:t>
      </w:r>
      <w:r w:rsidR="00A20444" w:rsidRPr="00D32A9C">
        <w:t>’</w:t>
      </w:r>
      <w:r w:rsidRPr="00D32A9C">
        <w:t xml:space="preserve">ajout de 51 rapports. </w:t>
      </w:r>
      <w:r w:rsidR="0010442A" w:rsidRPr="00D32A9C">
        <w:t xml:space="preserve"> </w:t>
      </w:r>
      <w:r w:rsidRPr="00D32A9C">
        <w:t>L</w:t>
      </w:r>
      <w:r w:rsidR="00A20444" w:rsidRPr="00D32A9C">
        <w:t>’</w:t>
      </w:r>
      <w:r w:rsidRPr="00D32A9C">
        <w:t xml:space="preserve">infographie a été préparée afin de visualiser les principales conclusions de huit rapports panoramiques sur les brevets. </w:t>
      </w:r>
      <w:r w:rsidR="0010442A" w:rsidRPr="00D32A9C">
        <w:t xml:space="preserve"> </w:t>
      </w:r>
      <w:r w:rsidRPr="00D32A9C">
        <w:t>Des orientations méthodologiques pour l</w:t>
      </w:r>
      <w:r w:rsidR="00A20444" w:rsidRPr="00D32A9C">
        <w:t>’</w:t>
      </w:r>
      <w:r w:rsidRPr="00D32A9C">
        <w:t>établissement de rapports panoramiques sur les brevets ont été rédigées en collaboration avec un expert externe afin d</w:t>
      </w:r>
      <w:r w:rsidR="00A20444" w:rsidRPr="00D32A9C">
        <w:t>’</w:t>
      </w:r>
      <w:r w:rsidRPr="00D32A9C">
        <w:t xml:space="preserve">être publiées au cours du second trimestre de 2014. </w:t>
      </w:r>
      <w:r w:rsidR="0010442A" w:rsidRPr="00D32A9C">
        <w:t xml:space="preserve"> </w:t>
      </w:r>
      <w:r w:rsidRPr="00D32A9C">
        <w:t>Ces orientations méthodologiques ont été examinées dans le cadre de deux ateliers régionaux sur l</w:t>
      </w:r>
      <w:r w:rsidR="00A20444" w:rsidRPr="00D32A9C">
        <w:t>’</w:t>
      </w:r>
      <w:r w:rsidRPr="00D32A9C">
        <w:t>analyse des brevets organisés en 2013 à Rio de Janeiro (Brésil) et à Manille (Philippines), en collaboration, respectivement, avec l</w:t>
      </w:r>
      <w:r w:rsidR="00A20444" w:rsidRPr="00D32A9C">
        <w:t>’</w:t>
      </w:r>
      <w:r w:rsidRPr="00D32A9C">
        <w:t>Institut national de la propriété industrielle (</w:t>
      </w:r>
      <w:proofErr w:type="spellStart"/>
      <w:r w:rsidRPr="00D32A9C">
        <w:t>INPI</w:t>
      </w:r>
      <w:proofErr w:type="spellEnd"/>
      <w:r w:rsidRPr="00D32A9C">
        <w:t>) du Brésil et l</w:t>
      </w:r>
      <w:r w:rsidR="00A20444" w:rsidRPr="00D32A9C">
        <w:t>’</w:t>
      </w:r>
      <w:r w:rsidRPr="00D32A9C">
        <w:t>Office de la propriété intellectuelle (</w:t>
      </w:r>
      <w:proofErr w:type="spellStart"/>
      <w:r w:rsidRPr="00D32A9C">
        <w:t>IPOPHL</w:t>
      </w:r>
      <w:proofErr w:type="spellEnd"/>
      <w:r w:rsidRPr="00D32A9C">
        <w:t xml:space="preserve">) des Philippines. </w:t>
      </w:r>
      <w:r w:rsidR="0010442A" w:rsidRPr="00D32A9C">
        <w:t xml:space="preserve"> </w:t>
      </w:r>
      <w:r w:rsidRPr="00D32A9C">
        <w:t>En outre, deux ateliers nationaux sur l</w:t>
      </w:r>
      <w:r w:rsidR="00A20444" w:rsidRPr="00D32A9C">
        <w:t>’</w:t>
      </w:r>
      <w:r w:rsidRPr="00D32A9C">
        <w:t>analyse des brevets ont été organisés en 2013 aux Philippines (Cebu et Manille) pour un total de 100 participants des bureaux philippins d</w:t>
      </w:r>
      <w:r w:rsidR="00A20444" w:rsidRPr="00D32A9C">
        <w:t>’</w:t>
      </w:r>
      <w:r w:rsidRPr="00D32A9C">
        <w:t>appui à l</w:t>
      </w:r>
      <w:r w:rsidR="00A20444" w:rsidRPr="00D32A9C">
        <w:t>’</w:t>
      </w:r>
      <w:r w:rsidRPr="00D32A9C">
        <w:t>innovation et à la technologie.</w:t>
      </w:r>
    </w:p>
    <w:p w:rsidR="00D42474" w:rsidRDefault="00D42474" w:rsidP="001A5BF9">
      <w:pPr>
        <w:ind w:left="2268" w:hanging="2268"/>
        <w:rPr>
          <w:bCs/>
          <w:szCs w:val="22"/>
        </w:rPr>
      </w:pPr>
    </w:p>
    <w:p w:rsidR="00D42474" w:rsidRDefault="00D42474" w:rsidP="001A5BF9">
      <w:pPr>
        <w:ind w:left="2268" w:hanging="2268"/>
        <w:rPr>
          <w:bCs/>
          <w:szCs w:val="22"/>
        </w:rPr>
      </w:pPr>
    </w:p>
    <w:p w:rsidR="00D42474" w:rsidRDefault="00784E52" w:rsidP="001A5BF9">
      <w:r w:rsidRPr="00D32A9C">
        <w:rPr>
          <w:sz w:val="22"/>
        </w:rPr>
        <w:t>MISE EN ŒUVRE DU PLAN D</w:t>
      </w:r>
      <w:r w:rsidR="00A20444" w:rsidRPr="00D32A9C">
        <w:rPr>
          <w:sz w:val="22"/>
        </w:rPr>
        <w:t>’</w:t>
      </w:r>
      <w:r w:rsidRPr="00D32A9C">
        <w:rPr>
          <w:sz w:val="22"/>
        </w:rPr>
        <w:t>ACTION POUR LE DÉVELOPPEMENT</w:t>
      </w:r>
    </w:p>
    <w:p w:rsidR="00D42474" w:rsidRDefault="00D42474" w:rsidP="001A5BF9">
      <w:pPr>
        <w:ind w:left="2268" w:hanging="2268"/>
        <w:rPr>
          <w:szCs w:val="22"/>
        </w:rPr>
      </w:pPr>
    </w:p>
    <w:p w:rsidR="00D42474" w:rsidRDefault="00784E52" w:rsidP="001A5BF9">
      <w:pPr>
        <w:tabs>
          <w:tab w:val="left" w:pos="709"/>
        </w:tabs>
        <w:jc w:val="both"/>
      </w:pPr>
      <w:r w:rsidRPr="00D32A9C">
        <w:t>14.8</w:t>
      </w:r>
      <w:r w:rsidRPr="00D32A9C">
        <w:tab/>
        <w:t>La conception, la planification et la mise en œuvre des activités entreprises par le programme 14 étaient inspirées des recommandations pertinentes du Plan d</w:t>
      </w:r>
      <w:r w:rsidR="00A20444" w:rsidRPr="00D32A9C">
        <w:t>’</w:t>
      </w:r>
      <w:r w:rsidRPr="00D32A9C">
        <w:t>action pour le développement, en particulier les recommandations n</w:t>
      </w:r>
      <w:r w:rsidRPr="00D32A9C">
        <w:rPr>
          <w:vertAlign w:val="superscript"/>
        </w:rPr>
        <w:t>os</w:t>
      </w:r>
      <w:r w:rsidRPr="00D32A9C">
        <w:t xml:space="preserve"> 1, 8, 19, 30 et 31.</w:t>
      </w:r>
      <w:r w:rsidR="004F3E42" w:rsidRPr="00D32A9C">
        <w:t xml:space="preserve"> </w:t>
      </w:r>
      <w:r w:rsidR="0010442A" w:rsidRPr="00D32A9C">
        <w:t xml:space="preserve"> </w:t>
      </w:r>
      <w:r w:rsidRPr="00D32A9C">
        <w:t>Pendant la période considérée, les activités entreprises au titre du programme ont consisté pour une large part en la mise en œuvre de deux</w:t>
      </w:r>
      <w:r w:rsidR="0010442A" w:rsidRPr="00D32A9C">
        <w:t> </w:t>
      </w:r>
      <w:r w:rsidRPr="00D32A9C">
        <w:t>projets du Plan d</w:t>
      </w:r>
      <w:r w:rsidR="00A20444" w:rsidRPr="00D32A9C">
        <w:t>’</w:t>
      </w:r>
      <w:r w:rsidRPr="00D32A9C">
        <w:t xml:space="preserve">action pour le développement, </w:t>
      </w:r>
      <w:r w:rsidR="00A20444" w:rsidRPr="00D32A9C">
        <w:t>à savoir</w:t>
      </w:r>
      <w:r w:rsidR="0010442A" w:rsidRPr="00D32A9C">
        <w:t> </w:t>
      </w:r>
      <w:r w:rsidRPr="00D32A9C">
        <w:t>: “Accès à des bases de données spécialisées et appui” et “Fournir les moyens d</w:t>
      </w:r>
      <w:r w:rsidR="00A20444" w:rsidRPr="00D32A9C">
        <w:t>’</w:t>
      </w:r>
      <w:r w:rsidRPr="00D32A9C">
        <w:t>accéder à l</w:t>
      </w:r>
      <w:r w:rsidR="00A20444" w:rsidRPr="00D32A9C">
        <w:t>’</w:t>
      </w:r>
      <w:r w:rsidRPr="00D32A9C">
        <w:t>information en matière de brevets”.</w:t>
      </w:r>
      <w:r w:rsidR="004F3E42" w:rsidRPr="00D32A9C">
        <w:t xml:space="preserve"> </w:t>
      </w:r>
      <w:r w:rsidR="0010442A" w:rsidRPr="00D32A9C">
        <w:t xml:space="preserve"> </w:t>
      </w:r>
      <w:r w:rsidRPr="00D32A9C">
        <w:t>Ces deux</w:t>
      </w:r>
      <w:r w:rsidR="0010442A" w:rsidRPr="00D32A9C">
        <w:t> </w:t>
      </w:r>
      <w:r w:rsidRPr="00D32A9C">
        <w:t>projets ont été achevés et évalués en</w:t>
      </w:r>
      <w:r w:rsidR="0010442A" w:rsidRPr="00D32A9C">
        <w:t> </w:t>
      </w:r>
      <w:r w:rsidRPr="00D32A9C">
        <w:t>2012.</w:t>
      </w:r>
      <w:r w:rsidR="0010442A" w:rsidRPr="00D32A9C">
        <w:t xml:space="preserve"> </w:t>
      </w:r>
      <w:r w:rsidRPr="00D32A9C">
        <w:t xml:space="preserve"> Les rapports d</w:t>
      </w:r>
      <w:r w:rsidR="00A20444" w:rsidRPr="00D32A9C">
        <w:t>’</w:t>
      </w:r>
      <w:r w:rsidRPr="00D32A9C">
        <w:t>évaluation ont été minutieusement examinés par</w:t>
      </w:r>
      <w:r w:rsidR="00A20444" w:rsidRPr="00D32A9C">
        <w:t xml:space="preserve"> le CDI</w:t>
      </w:r>
      <w:r w:rsidRPr="00D32A9C">
        <w:t>P.</w:t>
      </w:r>
      <w:r w:rsidR="0010442A" w:rsidRPr="00D32A9C">
        <w:t xml:space="preserve"> </w:t>
      </w:r>
      <w:r w:rsidR="00A20444" w:rsidRPr="00D32A9C">
        <w:t xml:space="preserve"> Le CDI</w:t>
      </w:r>
      <w:r w:rsidRPr="00D32A9C">
        <w:t>P a également approuvé une phase II pour chacun des deux projets, qui s</w:t>
      </w:r>
      <w:r w:rsidR="00A20444" w:rsidRPr="00D32A9C">
        <w:t>’</w:t>
      </w:r>
      <w:r w:rsidRPr="00D32A9C">
        <w:t>est achevée en 2013.</w:t>
      </w:r>
    </w:p>
    <w:p w:rsidR="00D42474" w:rsidRDefault="00D42474" w:rsidP="001A5BF9">
      <w:pPr>
        <w:rPr>
          <w:rFonts w:eastAsia="MS Mincho"/>
          <w:szCs w:val="22"/>
          <w:lang w:bidi="th-TH"/>
        </w:rPr>
      </w:pPr>
    </w:p>
    <w:p w:rsidR="00D42474" w:rsidRDefault="00D42474" w:rsidP="001A5BF9">
      <w:pPr>
        <w:ind w:left="2268" w:hanging="2268"/>
        <w:rPr>
          <w:szCs w:val="22"/>
        </w:rPr>
      </w:pPr>
    </w:p>
    <w:p w:rsidR="00D42474" w:rsidRDefault="008A271C" w:rsidP="001A5BF9">
      <w:pPr>
        <w:ind w:left="2268" w:hanging="2268"/>
        <w:rPr>
          <w:rFonts w:cs="Arial"/>
          <w:szCs w:val="22"/>
        </w:rPr>
      </w:pPr>
      <w:r w:rsidRPr="00D32A9C">
        <w:br w:type="page"/>
      </w:r>
      <w:r w:rsidR="00784E52" w:rsidRPr="00D32A9C">
        <w:rPr>
          <w:sz w:val="22"/>
        </w:rPr>
        <w:t>DONNÉES RELATIVES À L</w:t>
      </w:r>
      <w:r w:rsidR="00A20444" w:rsidRPr="00D32A9C">
        <w:rPr>
          <w:sz w:val="22"/>
        </w:rPr>
        <w:t>’</w:t>
      </w:r>
      <w:r w:rsidR="00784E52" w:rsidRPr="00D32A9C">
        <w:rPr>
          <w:sz w:val="22"/>
        </w:rPr>
        <w:t>EXÉCUTION</w:t>
      </w:r>
    </w:p>
    <w:p w:rsidR="00784E52" w:rsidRPr="00D32A9C" w:rsidRDefault="00784E52" w:rsidP="001A5BF9">
      <w:pPr>
        <w:ind w:left="2268" w:hanging="2268"/>
        <w:rPr>
          <w:szCs w:val="22"/>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55"/>
        <w:gridCol w:w="2130"/>
        <w:gridCol w:w="1986"/>
        <w:gridCol w:w="2410"/>
        <w:gridCol w:w="1276"/>
      </w:tblGrid>
      <w:tr w:rsidR="00784E52" w:rsidRPr="00D32A9C" w:rsidTr="00BB3F3E">
        <w:trPr>
          <w:cantSplit/>
        </w:trPr>
        <w:tc>
          <w:tcPr>
            <w:tcW w:w="5000" w:type="pct"/>
            <w:gridSpan w:val="5"/>
            <w:tcBorders>
              <w:top w:val="single" w:sz="4" w:space="0" w:color="auto"/>
              <w:bottom w:val="single" w:sz="4" w:space="0" w:color="auto"/>
            </w:tcBorders>
            <w:shd w:val="clear" w:color="auto" w:fill="CCFFFF"/>
            <w:vAlign w:val="center"/>
          </w:tcPr>
          <w:p w:rsidR="00784E52" w:rsidRPr="00D32A9C" w:rsidRDefault="00784E52" w:rsidP="00922501">
            <w:pPr>
              <w:keepNext/>
              <w:keepLines/>
              <w:spacing w:before="120" w:after="120"/>
              <w:ind w:left="1735" w:hanging="1735"/>
              <w:rPr>
                <w:rFonts w:cs="Arial"/>
                <w:b/>
                <w:bCs/>
                <w:sz w:val="16"/>
                <w:szCs w:val="16"/>
              </w:rPr>
            </w:pPr>
            <w:r w:rsidRPr="00D32A9C">
              <w:rPr>
                <w:b/>
                <w:sz w:val="16"/>
              </w:rPr>
              <w:t>Résultat escompté</w:t>
            </w:r>
            <w:r w:rsidR="0010442A" w:rsidRPr="00D32A9C">
              <w:rPr>
                <w:b/>
                <w:sz w:val="16"/>
              </w:rPr>
              <w:t xml:space="preserve"> : </w:t>
            </w:r>
            <w:r w:rsidRPr="00D32A9C">
              <w:rPr>
                <w:b/>
                <w:sz w:val="16"/>
              </w:rPr>
              <w:tab/>
            </w:r>
            <w:r w:rsidRPr="00D32A9C">
              <w:rPr>
                <w:sz w:val="16"/>
              </w:rPr>
              <w:t>Amélioration de l</w:t>
            </w:r>
            <w:r w:rsidR="00A20444" w:rsidRPr="00D32A9C">
              <w:rPr>
                <w:sz w:val="16"/>
              </w:rPr>
              <w:t>’</w:t>
            </w:r>
            <w:r w:rsidRPr="00D32A9C">
              <w:rPr>
                <w:sz w:val="16"/>
              </w:rPr>
              <w:t>accès aux informations et au savoir en matière de propriété intellectuelle et leur utilisation par les institutions de propriété intellectuelle et le public au service de l</w:t>
            </w:r>
            <w:r w:rsidR="00A20444" w:rsidRPr="00D32A9C">
              <w:rPr>
                <w:sz w:val="16"/>
              </w:rPr>
              <w:t>’</w:t>
            </w:r>
            <w:r w:rsidRPr="00D32A9C">
              <w:rPr>
                <w:sz w:val="16"/>
              </w:rPr>
              <w:t>innovation, et facilité d</w:t>
            </w:r>
            <w:r w:rsidR="00A20444" w:rsidRPr="00D32A9C">
              <w:rPr>
                <w:sz w:val="16"/>
              </w:rPr>
              <w:t>’</w:t>
            </w:r>
            <w:r w:rsidRPr="00D32A9C">
              <w:rPr>
                <w:sz w:val="16"/>
              </w:rPr>
              <w:t>accès aux œuvres créatives protégées et aux œuvres créatives tombées dans le domaine public</w:t>
            </w:r>
          </w:p>
        </w:tc>
      </w:tr>
      <w:tr w:rsidR="00784E52" w:rsidRPr="00D93C72" w:rsidTr="002A762E">
        <w:trPr>
          <w:cantSplit/>
        </w:trPr>
        <w:tc>
          <w:tcPr>
            <w:tcW w:w="831" w:type="pct"/>
            <w:tcBorders>
              <w:top w:val="single" w:sz="4" w:space="0" w:color="auto"/>
            </w:tcBorders>
            <w:shd w:val="clear" w:color="auto" w:fill="auto"/>
            <w:vAlign w:val="center"/>
          </w:tcPr>
          <w:p w:rsidR="00784E52" w:rsidRPr="00D93C72" w:rsidRDefault="00784E52" w:rsidP="001A5BF9">
            <w:pPr>
              <w:rPr>
                <w:rFonts w:cs="Arial"/>
                <w:b/>
                <w:sz w:val="16"/>
                <w:szCs w:val="16"/>
              </w:rPr>
            </w:pPr>
            <w:r w:rsidRPr="00D93C72">
              <w:rPr>
                <w:b/>
                <w:sz w:val="16"/>
              </w:rPr>
              <w:t>Indicateurs d</w:t>
            </w:r>
            <w:r w:rsidR="00A20444" w:rsidRPr="00D93C72">
              <w:rPr>
                <w:b/>
                <w:sz w:val="16"/>
              </w:rPr>
              <w:t>’</w:t>
            </w:r>
            <w:r w:rsidRPr="00D93C72">
              <w:rPr>
                <w:b/>
                <w:sz w:val="16"/>
              </w:rPr>
              <w:t>exécution</w:t>
            </w:r>
          </w:p>
        </w:tc>
        <w:tc>
          <w:tcPr>
            <w:tcW w:w="1138" w:type="pct"/>
            <w:tcBorders>
              <w:top w:val="single" w:sz="4" w:space="0" w:color="auto"/>
            </w:tcBorders>
            <w:shd w:val="clear" w:color="auto" w:fill="auto"/>
            <w:vAlign w:val="center"/>
          </w:tcPr>
          <w:p w:rsidR="00784E52" w:rsidRPr="00D93C72" w:rsidRDefault="00784E52" w:rsidP="001A5BF9">
            <w:pPr>
              <w:rPr>
                <w:rFonts w:cs="Arial"/>
                <w:b/>
                <w:bCs/>
                <w:sz w:val="16"/>
                <w:szCs w:val="16"/>
              </w:rPr>
            </w:pPr>
            <w:r w:rsidRPr="00D93C72">
              <w:rPr>
                <w:b/>
                <w:sz w:val="16"/>
              </w:rPr>
              <w:t>Niveaux de référence</w:t>
            </w:r>
          </w:p>
        </w:tc>
        <w:tc>
          <w:tcPr>
            <w:tcW w:w="1061" w:type="pct"/>
            <w:tcBorders>
              <w:top w:val="single" w:sz="4" w:space="0" w:color="auto"/>
            </w:tcBorders>
            <w:shd w:val="clear" w:color="auto" w:fill="auto"/>
            <w:tcMar>
              <w:top w:w="110" w:type="dxa"/>
            </w:tcMar>
            <w:vAlign w:val="center"/>
          </w:tcPr>
          <w:p w:rsidR="00784E52" w:rsidRPr="00D93C72" w:rsidRDefault="00784E52" w:rsidP="001A5BF9">
            <w:pPr>
              <w:rPr>
                <w:rFonts w:cs="Arial"/>
                <w:b/>
                <w:sz w:val="16"/>
                <w:szCs w:val="16"/>
              </w:rPr>
            </w:pPr>
            <w:r w:rsidRPr="00D93C72">
              <w:rPr>
                <w:b/>
                <w:sz w:val="16"/>
              </w:rPr>
              <w:t>Objectifs visés</w:t>
            </w:r>
          </w:p>
        </w:tc>
        <w:tc>
          <w:tcPr>
            <w:tcW w:w="1288" w:type="pct"/>
            <w:tcBorders>
              <w:top w:val="single" w:sz="4" w:space="0" w:color="auto"/>
            </w:tcBorders>
            <w:shd w:val="clear" w:color="auto" w:fill="FFFFFF"/>
            <w:tcMar>
              <w:top w:w="110" w:type="dxa"/>
            </w:tcMar>
            <w:vAlign w:val="center"/>
          </w:tcPr>
          <w:p w:rsidR="00784E52" w:rsidRPr="00D93C72" w:rsidRDefault="00784E52" w:rsidP="001A5BF9">
            <w:pPr>
              <w:rPr>
                <w:rFonts w:cs="Arial"/>
                <w:b/>
                <w:sz w:val="16"/>
                <w:szCs w:val="16"/>
              </w:rPr>
            </w:pPr>
            <w:r w:rsidRPr="00D93C72">
              <w:rPr>
                <w:b/>
                <w:sz w:val="16"/>
              </w:rPr>
              <w:t>Données relatives à l</w:t>
            </w:r>
            <w:r w:rsidR="00A20444" w:rsidRPr="00D93C72">
              <w:rPr>
                <w:b/>
                <w:sz w:val="16"/>
              </w:rPr>
              <w:t>’</w:t>
            </w:r>
            <w:r w:rsidRPr="00D93C72">
              <w:rPr>
                <w:b/>
                <w:sz w:val="16"/>
              </w:rPr>
              <w:t>exécution</w:t>
            </w:r>
          </w:p>
        </w:tc>
        <w:tc>
          <w:tcPr>
            <w:tcW w:w="682" w:type="pct"/>
            <w:tcBorders>
              <w:top w:val="single" w:sz="4" w:space="0" w:color="auto"/>
            </w:tcBorders>
            <w:shd w:val="clear" w:color="auto" w:fill="auto"/>
            <w:tcMar>
              <w:top w:w="110" w:type="dxa"/>
            </w:tcMar>
            <w:vAlign w:val="center"/>
          </w:tcPr>
          <w:p w:rsidR="00784E52" w:rsidRPr="00D93C72" w:rsidRDefault="00784E52" w:rsidP="001A5BF9">
            <w:pPr>
              <w:keepNext/>
              <w:keepLines/>
              <w:jc w:val="center"/>
              <w:rPr>
                <w:rFonts w:cs="Arial"/>
                <w:b/>
                <w:bCs/>
                <w:sz w:val="16"/>
                <w:szCs w:val="16"/>
              </w:rPr>
            </w:pPr>
            <w:r w:rsidRPr="00D93C72">
              <w:rPr>
                <w:b/>
                <w:sz w:val="16"/>
              </w:rPr>
              <w:t>Code de couleurs</w:t>
            </w:r>
          </w:p>
        </w:tc>
      </w:tr>
      <w:tr w:rsidR="00784E52" w:rsidRPr="005C7CCE" w:rsidTr="002A762E">
        <w:trPr>
          <w:cantSplit/>
        </w:trPr>
        <w:tc>
          <w:tcPr>
            <w:tcW w:w="831" w:type="pct"/>
            <w:shd w:val="clear" w:color="auto" w:fill="auto"/>
          </w:tcPr>
          <w:p w:rsidR="00784E52" w:rsidRPr="005C7CCE" w:rsidRDefault="00784E52" w:rsidP="001A5BF9">
            <w:pPr>
              <w:rPr>
                <w:rFonts w:cs="Arial"/>
                <w:sz w:val="16"/>
                <w:szCs w:val="16"/>
              </w:rPr>
            </w:pPr>
            <w:r w:rsidRPr="00922501">
              <w:rPr>
                <w:sz w:val="16"/>
              </w:rPr>
              <w:t>Nombre de réseaux nationaux de centres d</w:t>
            </w:r>
            <w:r w:rsidR="00A20444" w:rsidRPr="00922501">
              <w:rPr>
                <w:sz w:val="16"/>
              </w:rPr>
              <w:t>’</w:t>
            </w:r>
            <w:r w:rsidRPr="00922501">
              <w:rPr>
                <w:sz w:val="16"/>
              </w:rPr>
              <w:t>appui à la technologie et à l</w:t>
            </w:r>
            <w:r w:rsidR="00A20444" w:rsidRPr="00922501">
              <w:rPr>
                <w:sz w:val="16"/>
              </w:rPr>
              <w:t>’</w:t>
            </w:r>
            <w:r w:rsidRPr="00922501">
              <w:rPr>
                <w:sz w:val="16"/>
              </w:rPr>
              <w:t>innovation lancés</w:t>
            </w:r>
          </w:p>
        </w:tc>
        <w:tc>
          <w:tcPr>
            <w:tcW w:w="1138" w:type="pct"/>
            <w:shd w:val="clear" w:color="auto" w:fill="auto"/>
          </w:tcPr>
          <w:p w:rsidR="00D42474" w:rsidRDefault="00784E52" w:rsidP="001A5BF9">
            <w:pPr>
              <w:rPr>
                <w:rFonts w:cs="Arial"/>
                <w:color w:val="002060"/>
                <w:sz w:val="16"/>
                <w:szCs w:val="16"/>
                <w:lang w:bidi="th-TH"/>
              </w:rPr>
            </w:pPr>
            <w:r w:rsidRPr="005C7CCE">
              <w:rPr>
                <w:i/>
                <w:color w:val="002060"/>
                <w:sz w:val="16"/>
              </w:rPr>
              <w:t>Niveau de référence actualisé fin 2011 :</w:t>
            </w:r>
            <w:r w:rsidRPr="005C7CCE">
              <w:br/>
            </w:r>
            <w:r w:rsidRPr="005C7CCE">
              <w:rPr>
                <w:color w:val="002060"/>
                <w:sz w:val="16"/>
              </w:rPr>
              <w:t>20 réseaux de CATI</w:t>
            </w:r>
            <w:r w:rsidRPr="005C7CCE">
              <w:rPr>
                <w:rStyle w:val="FootnoteReference"/>
                <w:color w:val="002060"/>
                <w:sz w:val="16"/>
              </w:rPr>
              <w:footnoteReference w:id="30"/>
            </w:r>
            <w:r w:rsidRPr="005C7CCE">
              <w:rPr>
                <w:color w:val="002060"/>
                <w:sz w:val="16"/>
              </w:rPr>
              <w:t xml:space="preserve"> Afrique (7)</w:t>
            </w:r>
          </w:p>
          <w:p w:rsidR="00D42474" w:rsidRDefault="00784E52" w:rsidP="001A5BF9">
            <w:pPr>
              <w:rPr>
                <w:rFonts w:cs="Arial"/>
                <w:color w:val="002060"/>
                <w:sz w:val="16"/>
                <w:szCs w:val="16"/>
                <w:lang w:bidi="th-TH"/>
              </w:rPr>
            </w:pPr>
            <w:r w:rsidRPr="00D93C72">
              <w:rPr>
                <w:color w:val="002060"/>
                <w:sz w:val="16"/>
              </w:rPr>
              <w:t>Pays arabes (4)</w:t>
            </w:r>
          </w:p>
          <w:p w:rsidR="00D42474" w:rsidRDefault="00784E52" w:rsidP="001A5BF9">
            <w:pPr>
              <w:rPr>
                <w:rFonts w:cs="Arial"/>
                <w:color w:val="002060"/>
                <w:sz w:val="16"/>
                <w:szCs w:val="16"/>
                <w:lang w:bidi="th-TH"/>
              </w:rPr>
            </w:pPr>
            <w:r w:rsidRPr="00D93C72">
              <w:rPr>
                <w:color w:val="002060"/>
                <w:sz w:val="16"/>
              </w:rPr>
              <w:t>Asie et Pacifique (2)</w:t>
            </w:r>
          </w:p>
          <w:p w:rsidR="00D42474" w:rsidRDefault="00784E52" w:rsidP="001A5BF9">
            <w:pPr>
              <w:rPr>
                <w:rFonts w:cs="Arial"/>
                <w:color w:val="002060"/>
                <w:sz w:val="16"/>
                <w:szCs w:val="16"/>
                <w:lang w:bidi="th-TH"/>
              </w:rPr>
            </w:pPr>
            <w:r w:rsidRPr="00D93C72">
              <w:rPr>
                <w:color w:val="002060"/>
                <w:sz w:val="16"/>
              </w:rPr>
              <w:t>Amérique latine et Caraïbes (5)</w:t>
            </w:r>
          </w:p>
          <w:p w:rsidR="00D42474" w:rsidRDefault="00784E52" w:rsidP="001A5BF9">
            <w:pPr>
              <w:rPr>
                <w:rFonts w:cs="Arial"/>
                <w:color w:val="002060"/>
                <w:sz w:val="16"/>
                <w:szCs w:val="16"/>
                <w:lang w:bidi="th-TH"/>
              </w:rPr>
            </w:pPr>
            <w:r w:rsidRPr="00D93C72">
              <w:rPr>
                <w:color w:val="002060"/>
                <w:sz w:val="16"/>
              </w:rPr>
              <w:t>Certains pays d</w:t>
            </w:r>
            <w:r w:rsidR="00A20444" w:rsidRPr="00D93C72">
              <w:rPr>
                <w:color w:val="002060"/>
                <w:sz w:val="16"/>
              </w:rPr>
              <w:t>’</w:t>
            </w:r>
            <w:r w:rsidRPr="00D93C72">
              <w:rPr>
                <w:color w:val="002060"/>
                <w:sz w:val="16"/>
              </w:rPr>
              <w:t>Europe et d</w:t>
            </w:r>
            <w:r w:rsidR="00A20444" w:rsidRPr="00D93C72">
              <w:rPr>
                <w:color w:val="002060"/>
                <w:sz w:val="16"/>
              </w:rPr>
              <w:t>’</w:t>
            </w:r>
            <w:r w:rsidRPr="00D93C72">
              <w:rPr>
                <w:color w:val="002060"/>
                <w:sz w:val="16"/>
              </w:rPr>
              <w:t>Asie (2)</w:t>
            </w:r>
          </w:p>
          <w:p w:rsidR="00D42474" w:rsidRDefault="00D42474" w:rsidP="001A5BF9">
            <w:pPr>
              <w:rPr>
                <w:rFonts w:cs="Arial"/>
                <w:color w:val="002060"/>
                <w:sz w:val="8"/>
                <w:szCs w:val="8"/>
                <w:lang w:bidi="th-TH"/>
              </w:rPr>
            </w:pPr>
          </w:p>
          <w:p w:rsidR="00D42474" w:rsidRDefault="00784E52" w:rsidP="001A5BF9">
            <w:pPr>
              <w:rPr>
                <w:rFonts w:cs="Arial"/>
                <w:sz w:val="16"/>
                <w:szCs w:val="16"/>
                <w:lang w:bidi="th-TH"/>
              </w:rPr>
            </w:pPr>
            <w:r w:rsidRPr="005C7CCE">
              <w:rPr>
                <w:i/>
                <w:sz w:val="16"/>
              </w:rPr>
              <w:t>Niveau de référence initial</w:t>
            </w:r>
          </w:p>
          <w:p w:rsidR="00D42474" w:rsidRDefault="00667FB3" w:rsidP="001A5BF9">
            <w:pPr>
              <w:rPr>
                <w:rFonts w:cs="Arial"/>
                <w:sz w:val="16"/>
                <w:szCs w:val="16"/>
              </w:rPr>
            </w:pPr>
            <w:r>
              <w:rPr>
                <w:i/>
                <w:sz w:val="16"/>
              </w:rPr>
              <w:t xml:space="preserve">programme et </w:t>
            </w:r>
            <w:r w:rsidRPr="00922501">
              <w:rPr>
                <w:i/>
                <w:sz w:val="16"/>
              </w:rPr>
              <w:t>budget</w:t>
            </w:r>
            <w:r w:rsidR="00784E52" w:rsidRPr="00922501">
              <w:rPr>
                <w:i/>
                <w:sz w:val="16"/>
              </w:rPr>
              <w:t> 2012</w:t>
            </w:r>
            <w:r w:rsidR="002D6F2A" w:rsidRPr="00922501">
              <w:rPr>
                <w:i/>
                <w:sz w:val="16"/>
              </w:rPr>
              <w:noBreakHyphen/>
            </w:r>
            <w:r w:rsidR="00784E52" w:rsidRPr="00922501">
              <w:rPr>
                <w:i/>
                <w:sz w:val="16"/>
              </w:rPr>
              <w:t>2013 :</w:t>
            </w:r>
          </w:p>
          <w:p w:rsidR="00784E52" w:rsidRPr="005C7CCE" w:rsidRDefault="00784E52" w:rsidP="00D93C72">
            <w:pPr>
              <w:rPr>
                <w:rFonts w:cs="Arial"/>
                <w:color w:val="008000"/>
                <w:sz w:val="16"/>
                <w:szCs w:val="16"/>
              </w:rPr>
            </w:pPr>
            <w:r w:rsidRPr="00922501">
              <w:rPr>
                <w:sz w:val="16"/>
              </w:rPr>
              <w:t>12 réseaux nationaux lancés (premier trimestre 2011)</w:t>
            </w:r>
            <w:r w:rsidR="0010442A" w:rsidRPr="00922501">
              <w:rPr>
                <w:sz w:val="16"/>
              </w:rPr>
              <w:t> </w:t>
            </w:r>
            <w:r w:rsidRPr="00922501">
              <w:rPr>
                <w:sz w:val="16"/>
              </w:rPr>
              <w:t>: Afrique (4</w:t>
            </w:r>
            <w:proofErr w:type="gramStart"/>
            <w:r w:rsidRPr="00922501">
              <w:rPr>
                <w:sz w:val="16"/>
              </w:rPr>
              <w:t>)</w:t>
            </w:r>
            <w:proofErr w:type="gramEnd"/>
            <w:r w:rsidRPr="00922501">
              <w:br/>
            </w:r>
            <w:r w:rsidR="00D93C72">
              <w:rPr>
                <w:sz w:val="16"/>
              </w:rPr>
              <w:t>pays</w:t>
            </w:r>
            <w:r w:rsidRPr="00922501">
              <w:rPr>
                <w:sz w:val="16"/>
              </w:rPr>
              <w:t xml:space="preserve"> arabe</w:t>
            </w:r>
            <w:r w:rsidR="00D93C72">
              <w:rPr>
                <w:sz w:val="16"/>
              </w:rPr>
              <w:t>s</w:t>
            </w:r>
            <w:r w:rsidRPr="00922501">
              <w:rPr>
                <w:sz w:val="16"/>
              </w:rPr>
              <w:t xml:space="preserve"> (3), Asie et Pacifique (2), Amérique latine et Caraïbes (2), </w:t>
            </w:r>
            <w:r w:rsidR="00D93C72">
              <w:rPr>
                <w:sz w:val="16"/>
              </w:rPr>
              <w:t>c</w:t>
            </w:r>
            <w:r w:rsidRPr="00922501">
              <w:rPr>
                <w:sz w:val="16"/>
              </w:rPr>
              <w:t>ertains pays d</w:t>
            </w:r>
            <w:r w:rsidR="00A20444" w:rsidRPr="00922501">
              <w:rPr>
                <w:sz w:val="16"/>
              </w:rPr>
              <w:t>’</w:t>
            </w:r>
            <w:r w:rsidRPr="00922501">
              <w:rPr>
                <w:sz w:val="16"/>
              </w:rPr>
              <w:t>Europe et d</w:t>
            </w:r>
            <w:r w:rsidR="00A20444" w:rsidRPr="00922501">
              <w:rPr>
                <w:sz w:val="16"/>
              </w:rPr>
              <w:t>’</w:t>
            </w:r>
            <w:r w:rsidRPr="00922501">
              <w:rPr>
                <w:sz w:val="16"/>
              </w:rPr>
              <w:t>Asie (1)</w:t>
            </w:r>
          </w:p>
        </w:tc>
        <w:tc>
          <w:tcPr>
            <w:tcW w:w="1061" w:type="pct"/>
            <w:shd w:val="clear" w:color="auto" w:fill="auto"/>
            <w:tcMar>
              <w:top w:w="110" w:type="dxa"/>
            </w:tcMar>
          </w:tcPr>
          <w:p w:rsidR="00D42474" w:rsidRDefault="00784E52" w:rsidP="001A5BF9">
            <w:pPr>
              <w:rPr>
                <w:rFonts w:cs="Arial"/>
                <w:sz w:val="16"/>
                <w:szCs w:val="16"/>
              </w:rPr>
            </w:pPr>
            <w:r w:rsidRPr="005C7CCE">
              <w:rPr>
                <w:sz w:val="16"/>
              </w:rPr>
              <w:t xml:space="preserve">22 réseaux nationaux de CATI supplémentaires ont été lancés : </w:t>
            </w:r>
            <w:r w:rsidRPr="00922501">
              <w:rPr>
                <w:sz w:val="16"/>
              </w:rPr>
              <w:t>Afrique (9)</w:t>
            </w:r>
          </w:p>
          <w:p w:rsidR="00D42474" w:rsidRDefault="00784E52" w:rsidP="001A5BF9">
            <w:pPr>
              <w:rPr>
                <w:rFonts w:cs="Arial"/>
                <w:sz w:val="16"/>
                <w:szCs w:val="16"/>
              </w:rPr>
            </w:pPr>
            <w:r w:rsidRPr="00922501">
              <w:rPr>
                <w:sz w:val="16"/>
              </w:rPr>
              <w:t>Pays arabes (2)</w:t>
            </w:r>
          </w:p>
          <w:p w:rsidR="00D42474" w:rsidRDefault="00784E52" w:rsidP="001A5BF9">
            <w:pPr>
              <w:rPr>
                <w:rFonts w:cs="Arial"/>
                <w:sz w:val="16"/>
                <w:szCs w:val="16"/>
              </w:rPr>
            </w:pPr>
            <w:r w:rsidRPr="00922501">
              <w:rPr>
                <w:sz w:val="16"/>
              </w:rPr>
              <w:t>Asie et Pacifique (3)</w:t>
            </w:r>
          </w:p>
          <w:p w:rsidR="00D42474" w:rsidRDefault="00784E52" w:rsidP="001A5BF9">
            <w:pPr>
              <w:rPr>
                <w:rFonts w:cs="Arial"/>
                <w:sz w:val="16"/>
                <w:szCs w:val="16"/>
              </w:rPr>
            </w:pPr>
            <w:r w:rsidRPr="00922501">
              <w:rPr>
                <w:sz w:val="16"/>
              </w:rPr>
              <w:t>Amérique latine et Caraïbes (4)</w:t>
            </w:r>
          </w:p>
          <w:p w:rsidR="00784E52" w:rsidRPr="005C7CCE" w:rsidRDefault="00784E52" w:rsidP="001A5BF9">
            <w:pPr>
              <w:rPr>
                <w:rFonts w:cs="Arial"/>
                <w:i/>
                <w:sz w:val="16"/>
                <w:szCs w:val="16"/>
              </w:rPr>
            </w:pPr>
            <w:r w:rsidRPr="00922501">
              <w:rPr>
                <w:sz w:val="16"/>
              </w:rPr>
              <w:t>Certains pays d</w:t>
            </w:r>
            <w:r w:rsidR="00A20444" w:rsidRPr="00922501">
              <w:rPr>
                <w:sz w:val="16"/>
              </w:rPr>
              <w:t>’</w:t>
            </w:r>
            <w:r w:rsidRPr="00922501">
              <w:rPr>
                <w:sz w:val="16"/>
              </w:rPr>
              <w:t>Europe et d</w:t>
            </w:r>
            <w:r w:rsidR="00A20444" w:rsidRPr="00922501">
              <w:rPr>
                <w:sz w:val="16"/>
              </w:rPr>
              <w:t>’</w:t>
            </w:r>
            <w:r w:rsidRPr="00922501">
              <w:rPr>
                <w:sz w:val="16"/>
              </w:rPr>
              <w:t>Asie (4)</w:t>
            </w:r>
          </w:p>
        </w:tc>
        <w:tc>
          <w:tcPr>
            <w:tcW w:w="1288" w:type="pct"/>
            <w:shd w:val="clear" w:color="auto" w:fill="FFFFFF"/>
            <w:tcMar>
              <w:top w:w="110" w:type="dxa"/>
            </w:tcMar>
          </w:tcPr>
          <w:p w:rsidR="00D42474" w:rsidRDefault="00784E52" w:rsidP="001A5BF9">
            <w:pPr>
              <w:rPr>
                <w:rFonts w:cs="Arial"/>
                <w:sz w:val="16"/>
                <w:szCs w:val="16"/>
              </w:rPr>
            </w:pPr>
            <w:r w:rsidRPr="005C7CCE">
              <w:rPr>
                <w:sz w:val="16"/>
              </w:rPr>
              <w:t>19 réseaux de CATI supplémentaires ont été lancés en 2012</w:t>
            </w:r>
            <w:r w:rsidR="002D6F2A" w:rsidRPr="005C7CCE">
              <w:rPr>
                <w:sz w:val="16"/>
              </w:rPr>
              <w:noBreakHyphen/>
            </w:r>
            <w:r w:rsidRPr="005C7CCE">
              <w:rPr>
                <w:sz w:val="16"/>
              </w:rPr>
              <w:t>2013 : Afrique (12), pays arabes (2), Amérique latine et Caraïbes (4), et certains pays d</w:t>
            </w:r>
            <w:r w:rsidR="00A20444" w:rsidRPr="005C7CCE">
              <w:rPr>
                <w:sz w:val="16"/>
              </w:rPr>
              <w:t>’</w:t>
            </w:r>
            <w:r w:rsidRPr="005C7CCE">
              <w:rPr>
                <w:sz w:val="16"/>
              </w:rPr>
              <w:t>Europe et d</w:t>
            </w:r>
            <w:r w:rsidR="00A20444" w:rsidRPr="005C7CCE">
              <w:rPr>
                <w:sz w:val="16"/>
              </w:rPr>
              <w:t>’</w:t>
            </w:r>
            <w:r w:rsidRPr="005C7CCE">
              <w:rPr>
                <w:sz w:val="16"/>
              </w:rPr>
              <w:t>Asie (1).</w:t>
            </w:r>
          </w:p>
          <w:p w:rsidR="00D42474" w:rsidRDefault="00D42474" w:rsidP="001A5BF9">
            <w:pPr>
              <w:rPr>
                <w:rFonts w:cs="Arial"/>
                <w:sz w:val="16"/>
                <w:szCs w:val="16"/>
              </w:rPr>
            </w:pPr>
          </w:p>
          <w:p w:rsidR="00784E52" w:rsidRPr="005C7CCE" w:rsidRDefault="00784E52" w:rsidP="001A5BF9">
            <w:pPr>
              <w:rPr>
                <w:rFonts w:cs="Arial"/>
                <w:sz w:val="16"/>
                <w:szCs w:val="16"/>
              </w:rPr>
            </w:pPr>
            <w:r w:rsidRPr="005C7CCE">
              <w:rPr>
                <w:sz w:val="16"/>
              </w:rPr>
              <w:t>39 réseaux de CATI ont été établis : Afrique (19), pays arabes (6), Asie et Pacifique (2), Amérique latine et Caraïbes (9) et certains pays d</w:t>
            </w:r>
            <w:r w:rsidR="00A20444" w:rsidRPr="005C7CCE">
              <w:rPr>
                <w:sz w:val="16"/>
              </w:rPr>
              <w:t>’</w:t>
            </w:r>
            <w:r w:rsidRPr="005C7CCE">
              <w:rPr>
                <w:sz w:val="16"/>
              </w:rPr>
              <w:t>Europe et d</w:t>
            </w:r>
            <w:r w:rsidR="00A20444" w:rsidRPr="005C7CCE">
              <w:rPr>
                <w:sz w:val="16"/>
              </w:rPr>
              <w:t>’</w:t>
            </w:r>
            <w:r w:rsidRPr="005C7CCE">
              <w:rPr>
                <w:sz w:val="16"/>
              </w:rPr>
              <w:t>Asie (3) (cumul).</w:t>
            </w:r>
          </w:p>
        </w:tc>
        <w:tc>
          <w:tcPr>
            <w:tcW w:w="682" w:type="pct"/>
            <w:shd w:val="clear" w:color="auto" w:fill="auto"/>
            <w:tcMar>
              <w:top w:w="110" w:type="dxa"/>
            </w:tcMar>
          </w:tcPr>
          <w:p w:rsidR="00784E52" w:rsidRPr="005C7CCE" w:rsidRDefault="00784E52" w:rsidP="001A5BF9">
            <w:pPr>
              <w:keepNext/>
              <w:keepLines/>
              <w:jc w:val="center"/>
              <w:rPr>
                <w:rFonts w:cs="Arial"/>
                <w:b/>
                <w:bCs/>
                <w:color w:val="808080"/>
                <w:sz w:val="16"/>
                <w:szCs w:val="16"/>
              </w:rPr>
            </w:pPr>
            <w:r w:rsidRPr="00B470C6">
              <w:rPr>
                <w:color w:val="008000"/>
                <w:sz w:val="16"/>
              </w:rPr>
              <w:t>Objectif pleinement atteint</w:t>
            </w:r>
          </w:p>
        </w:tc>
      </w:tr>
      <w:tr w:rsidR="00784E52" w:rsidRPr="005C7CCE" w:rsidTr="002A762E">
        <w:trPr>
          <w:cantSplit/>
        </w:trPr>
        <w:tc>
          <w:tcPr>
            <w:tcW w:w="831" w:type="pct"/>
            <w:shd w:val="clear" w:color="auto" w:fill="auto"/>
          </w:tcPr>
          <w:p w:rsidR="00784E52" w:rsidRPr="005C7CCE" w:rsidRDefault="00784E52" w:rsidP="001A5BF9">
            <w:pPr>
              <w:rPr>
                <w:rFonts w:cs="Arial"/>
                <w:sz w:val="16"/>
                <w:szCs w:val="16"/>
              </w:rPr>
            </w:pPr>
            <w:r w:rsidRPr="005C7CCE">
              <w:rPr>
                <w:sz w:val="16"/>
              </w:rPr>
              <w:t>Nombre d</w:t>
            </w:r>
            <w:r w:rsidR="00A20444" w:rsidRPr="005C7CCE">
              <w:rPr>
                <w:sz w:val="16"/>
              </w:rPr>
              <w:t>’</w:t>
            </w:r>
            <w:r w:rsidRPr="005C7CCE">
              <w:rPr>
                <w:sz w:val="16"/>
              </w:rPr>
              <w:t>utilisateurs ayant bénéficié des services des centres de technologie et d</w:t>
            </w:r>
            <w:r w:rsidR="00A20444" w:rsidRPr="005C7CCE">
              <w:rPr>
                <w:sz w:val="16"/>
              </w:rPr>
              <w:t>’</w:t>
            </w:r>
            <w:r w:rsidRPr="005C7CCE">
              <w:rPr>
                <w:sz w:val="16"/>
              </w:rPr>
              <w:t>appui à l</w:t>
            </w:r>
            <w:r w:rsidR="00A20444" w:rsidRPr="005C7CCE">
              <w:rPr>
                <w:sz w:val="16"/>
              </w:rPr>
              <w:t>’</w:t>
            </w:r>
            <w:r w:rsidRPr="005C7CCE">
              <w:rPr>
                <w:sz w:val="16"/>
              </w:rPr>
              <w:t>innovation par trimestre et par pays</w:t>
            </w:r>
          </w:p>
        </w:tc>
        <w:tc>
          <w:tcPr>
            <w:tcW w:w="1138" w:type="pct"/>
            <w:shd w:val="clear" w:color="auto" w:fill="auto"/>
          </w:tcPr>
          <w:p w:rsidR="00D42474" w:rsidRDefault="00784E52" w:rsidP="001A5BF9">
            <w:pPr>
              <w:rPr>
                <w:rFonts w:cs="Arial"/>
                <w:color w:val="008000"/>
                <w:sz w:val="16"/>
                <w:szCs w:val="16"/>
              </w:rPr>
            </w:pPr>
            <w:r w:rsidRPr="005C7CCE">
              <w:rPr>
                <w:i/>
                <w:color w:val="002060"/>
                <w:sz w:val="16"/>
              </w:rPr>
              <w:t>Niveau de référence actualisé fin 2011 </w:t>
            </w:r>
            <w:proofErr w:type="gramStart"/>
            <w:r w:rsidRPr="005C7CCE">
              <w:rPr>
                <w:i/>
                <w:color w:val="002060"/>
                <w:sz w:val="16"/>
              </w:rPr>
              <w:t>:</w:t>
            </w:r>
            <w:proofErr w:type="gramEnd"/>
            <w:r w:rsidRPr="005C7CCE">
              <w:br/>
            </w:r>
            <w:r w:rsidR="00D93C72">
              <w:rPr>
                <w:color w:val="002060"/>
                <w:sz w:val="16"/>
              </w:rPr>
              <w:t>e</w:t>
            </w:r>
            <w:r w:rsidRPr="00D93C72">
              <w:rPr>
                <w:color w:val="002060"/>
                <w:sz w:val="16"/>
              </w:rPr>
              <w:t>ntre 200 (min.) et 630 (max.) utilisateurs en moyenne bénéficient des services des centres par trimestre et par pays</w:t>
            </w:r>
          </w:p>
          <w:p w:rsidR="00D42474" w:rsidRDefault="00D42474" w:rsidP="001A5BF9">
            <w:pPr>
              <w:rPr>
                <w:rFonts w:cs="Arial"/>
                <w:i/>
                <w:sz w:val="8"/>
                <w:szCs w:val="8"/>
                <w:lang w:bidi="th-TH"/>
              </w:rPr>
            </w:pPr>
          </w:p>
          <w:p w:rsidR="00D42474" w:rsidRDefault="00784E52" w:rsidP="001A5BF9">
            <w:pPr>
              <w:rPr>
                <w:rFonts w:cs="Arial"/>
                <w:sz w:val="16"/>
                <w:szCs w:val="16"/>
                <w:lang w:bidi="th-TH"/>
              </w:rPr>
            </w:pPr>
            <w:r w:rsidRPr="005C7CCE">
              <w:rPr>
                <w:i/>
                <w:sz w:val="16"/>
              </w:rPr>
              <w:t>Niveau de référence initial</w:t>
            </w:r>
          </w:p>
          <w:p w:rsidR="00D42474" w:rsidRDefault="00667FB3" w:rsidP="001A5BF9">
            <w:pPr>
              <w:rPr>
                <w:rFonts w:cs="Arial"/>
                <w:sz w:val="16"/>
                <w:szCs w:val="16"/>
              </w:rPr>
            </w:pPr>
            <w:r>
              <w:rPr>
                <w:i/>
                <w:sz w:val="16"/>
              </w:rPr>
              <w:t>programme et budget</w:t>
            </w:r>
            <w:r w:rsidR="00784E52" w:rsidRPr="005C7CCE">
              <w:rPr>
                <w:i/>
                <w:sz w:val="16"/>
              </w:rPr>
              <w:t> 2012</w:t>
            </w:r>
            <w:r w:rsidR="002D6F2A" w:rsidRPr="005C7CCE">
              <w:rPr>
                <w:i/>
                <w:sz w:val="16"/>
              </w:rPr>
              <w:noBreakHyphen/>
            </w:r>
            <w:r w:rsidR="00784E52" w:rsidRPr="005C7CCE">
              <w:rPr>
                <w:i/>
                <w:sz w:val="16"/>
              </w:rPr>
              <w:t>2013 :</w:t>
            </w:r>
          </w:p>
          <w:p w:rsidR="00784E52" w:rsidRPr="005C7CCE" w:rsidRDefault="00D93C72" w:rsidP="001A5BF9">
            <w:pPr>
              <w:rPr>
                <w:rFonts w:cs="Arial"/>
                <w:sz w:val="16"/>
                <w:szCs w:val="16"/>
              </w:rPr>
            </w:pPr>
            <w:r>
              <w:rPr>
                <w:sz w:val="16"/>
              </w:rPr>
              <w:t>à</w:t>
            </w:r>
            <w:r w:rsidR="00784E52" w:rsidRPr="00D93C72">
              <w:rPr>
                <w:sz w:val="16"/>
              </w:rPr>
              <w:t xml:space="preserve"> déterminer fin 2011</w:t>
            </w:r>
          </w:p>
        </w:tc>
        <w:tc>
          <w:tcPr>
            <w:tcW w:w="1061" w:type="pct"/>
            <w:shd w:val="clear" w:color="auto" w:fill="auto"/>
            <w:tcMar>
              <w:top w:w="110" w:type="dxa"/>
            </w:tcMar>
          </w:tcPr>
          <w:p w:rsidR="00784E52" w:rsidRPr="00D93C72" w:rsidRDefault="00784E52" w:rsidP="001A5BF9">
            <w:pPr>
              <w:rPr>
                <w:rFonts w:cs="Arial"/>
                <w:sz w:val="16"/>
                <w:szCs w:val="16"/>
              </w:rPr>
            </w:pPr>
            <w:r w:rsidRPr="00D93C72">
              <w:rPr>
                <w:sz w:val="16"/>
              </w:rPr>
              <w:t>À déterminer fin 2011</w:t>
            </w:r>
          </w:p>
        </w:tc>
        <w:tc>
          <w:tcPr>
            <w:tcW w:w="1288" w:type="pct"/>
            <w:shd w:val="clear" w:color="auto" w:fill="FFFFFF"/>
            <w:tcMar>
              <w:top w:w="110" w:type="dxa"/>
            </w:tcMar>
          </w:tcPr>
          <w:p w:rsidR="00784E52" w:rsidRPr="005C7CCE" w:rsidRDefault="00784E52" w:rsidP="001A5BF9">
            <w:pPr>
              <w:rPr>
                <w:rFonts w:cs="Arial"/>
                <w:sz w:val="16"/>
                <w:szCs w:val="16"/>
              </w:rPr>
            </w:pPr>
            <w:r w:rsidRPr="005C7CCE">
              <w:rPr>
                <w:sz w:val="16"/>
              </w:rPr>
              <w:t xml:space="preserve">Entre 532 (min.) et </w:t>
            </w:r>
            <w:r w:rsidR="0010442A" w:rsidRPr="005C7CCE">
              <w:rPr>
                <w:sz w:val="16"/>
              </w:rPr>
              <w:t>1370</w:t>
            </w:r>
            <w:r w:rsidRPr="005C7CCE">
              <w:rPr>
                <w:sz w:val="16"/>
              </w:rPr>
              <w:t xml:space="preserve"> (max.) utilisateurs en moyenne bénéficiant des services de CATI par jour en 2013</w:t>
            </w:r>
          </w:p>
        </w:tc>
        <w:tc>
          <w:tcPr>
            <w:tcW w:w="682" w:type="pct"/>
            <w:shd w:val="clear" w:color="auto" w:fill="auto"/>
            <w:tcMar>
              <w:top w:w="110" w:type="dxa"/>
            </w:tcMar>
          </w:tcPr>
          <w:p w:rsidR="00784E52" w:rsidRPr="005C7CCE" w:rsidRDefault="00784E52" w:rsidP="001A5BF9">
            <w:pPr>
              <w:keepNext/>
              <w:keepLines/>
              <w:jc w:val="center"/>
              <w:rPr>
                <w:rFonts w:cs="Arial"/>
                <w:bCs/>
                <w:color w:val="808080"/>
                <w:sz w:val="16"/>
                <w:szCs w:val="16"/>
              </w:rPr>
            </w:pPr>
            <w:r w:rsidRPr="005C7CCE">
              <w:rPr>
                <w:color w:val="404040"/>
                <w:sz w:val="16"/>
              </w:rPr>
              <w:t>Non évaluable</w:t>
            </w:r>
          </w:p>
        </w:tc>
      </w:tr>
      <w:tr w:rsidR="00784E52" w:rsidRPr="005C7CCE" w:rsidTr="002A762E">
        <w:trPr>
          <w:cantSplit/>
        </w:trPr>
        <w:tc>
          <w:tcPr>
            <w:tcW w:w="831" w:type="pct"/>
            <w:shd w:val="clear" w:color="auto" w:fill="auto"/>
          </w:tcPr>
          <w:p w:rsidR="00784E52" w:rsidRPr="005C7CCE" w:rsidRDefault="00784E52" w:rsidP="001A5BF9">
            <w:pPr>
              <w:rPr>
                <w:rFonts w:cs="Arial"/>
                <w:sz w:val="16"/>
                <w:szCs w:val="16"/>
              </w:rPr>
            </w:pPr>
            <w:r w:rsidRPr="00D93C72">
              <w:rPr>
                <w:sz w:val="16"/>
              </w:rPr>
              <w:t>Pourcentage d</w:t>
            </w:r>
            <w:r w:rsidR="00A20444" w:rsidRPr="00D93C72">
              <w:rPr>
                <w:sz w:val="16"/>
              </w:rPr>
              <w:t>’</w:t>
            </w:r>
            <w:r w:rsidRPr="00D93C72">
              <w:rPr>
                <w:sz w:val="16"/>
              </w:rPr>
              <w:t>utilisateurs satisfaits des services par les centres</w:t>
            </w:r>
          </w:p>
        </w:tc>
        <w:tc>
          <w:tcPr>
            <w:tcW w:w="1138" w:type="pct"/>
            <w:shd w:val="clear" w:color="auto" w:fill="auto"/>
          </w:tcPr>
          <w:p w:rsidR="00784E52" w:rsidRPr="005C7CCE" w:rsidRDefault="00784E52" w:rsidP="001A5BF9">
            <w:pPr>
              <w:rPr>
                <w:rFonts w:cs="Arial"/>
                <w:sz w:val="16"/>
                <w:szCs w:val="16"/>
              </w:rPr>
            </w:pPr>
            <w:proofErr w:type="spellStart"/>
            <w:r w:rsidRPr="005C7CCE">
              <w:rPr>
                <w:color w:val="008000"/>
                <w:sz w:val="16"/>
              </w:rPr>
              <w:t>n.d</w:t>
            </w:r>
            <w:proofErr w:type="spellEnd"/>
            <w:r w:rsidRPr="005C7CCE">
              <w:rPr>
                <w:color w:val="008000"/>
                <w:sz w:val="16"/>
              </w:rPr>
              <w:t>.</w:t>
            </w:r>
          </w:p>
        </w:tc>
        <w:tc>
          <w:tcPr>
            <w:tcW w:w="1061" w:type="pct"/>
            <w:shd w:val="clear" w:color="auto" w:fill="auto"/>
            <w:tcMar>
              <w:top w:w="110" w:type="dxa"/>
            </w:tcMar>
          </w:tcPr>
          <w:p w:rsidR="00784E52" w:rsidRPr="005C7CCE" w:rsidRDefault="00784E52" w:rsidP="001A5BF9">
            <w:pPr>
              <w:rPr>
                <w:rFonts w:cs="Arial"/>
                <w:sz w:val="16"/>
                <w:szCs w:val="16"/>
              </w:rPr>
            </w:pPr>
            <w:r w:rsidRPr="005C7CCE">
              <w:rPr>
                <w:sz w:val="16"/>
              </w:rPr>
              <w:t>70</w:t>
            </w:r>
            <w:r w:rsidR="007E442D" w:rsidRPr="005C7CCE">
              <w:rPr>
                <w:sz w:val="16"/>
              </w:rPr>
              <w:t>%</w:t>
            </w:r>
          </w:p>
        </w:tc>
        <w:tc>
          <w:tcPr>
            <w:tcW w:w="1288" w:type="pct"/>
            <w:shd w:val="clear" w:color="auto" w:fill="FFFFFF"/>
            <w:tcMar>
              <w:top w:w="110" w:type="dxa"/>
            </w:tcMar>
          </w:tcPr>
          <w:p w:rsidR="00784E52" w:rsidRPr="005C7CCE" w:rsidRDefault="00784E52" w:rsidP="001A5BF9">
            <w:pPr>
              <w:rPr>
                <w:rFonts w:cs="Arial"/>
                <w:sz w:val="16"/>
                <w:szCs w:val="16"/>
              </w:rPr>
            </w:pPr>
            <w:r w:rsidRPr="005C7CCE">
              <w:rPr>
                <w:sz w:val="16"/>
              </w:rPr>
              <w:t>Aucune donnée fournie par</w:t>
            </w:r>
            <w:r w:rsidR="00A20444" w:rsidRPr="005C7CCE">
              <w:rPr>
                <w:sz w:val="16"/>
              </w:rPr>
              <w:t xml:space="preserve"> les CAT</w:t>
            </w:r>
            <w:r w:rsidRPr="005C7CCE">
              <w:rPr>
                <w:sz w:val="16"/>
              </w:rPr>
              <w:t>I au moment de la publication.</w:t>
            </w:r>
          </w:p>
        </w:tc>
        <w:tc>
          <w:tcPr>
            <w:tcW w:w="682" w:type="pct"/>
            <w:shd w:val="clear" w:color="auto" w:fill="auto"/>
            <w:tcMar>
              <w:top w:w="110" w:type="dxa"/>
            </w:tcMar>
          </w:tcPr>
          <w:p w:rsidR="00D42474" w:rsidRDefault="00784E52" w:rsidP="001A5BF9">
            <w:pPr>
              <w:keepNext/>
              <w:keepLines/>
              <w:jc w:val="center"/>
              <w:rPr>
                <w:rFonts w:cs="Arial"/>
                <w:bCs/>
                <w:color w:val="FF0000"/>
                <w:sz w:val="16"/>
                <w:szCs w:val="16"/>
              </w:rPr>
            </w:pPr>
            <w:r w:rsidRPr="005C7CCE">
              <w:rPr>
                <w:color w:val="FF0000"/>
                <w:sz w:val="16"/>
              </w:rPr>
              <w:t>Pas</w:t>
            </w:r>
          </w:p>
          <w:p w:rsidR="00784E52" w:rsidRPr="005C7CCE" w:rsidRDefault="00784E52" w:rsidP="001A5BF9">
            <w:pPr>
              <w:keepNext/>
              <w:keepLines/>
              <w:jc w:val="center"/>
              <w:rPr>
                <w:rFonts w:cs="Arial"/>
                <w:bCs/>
                <w:color w:val="808080"/>
                <w:sz w:val="16"/>
                <w:szCs w:val="16"/>
              </w:rPr>
            </w:pPr>
            <w:r w:rsidRPr="005C7CCE">
              <w:rPr>
                <w:color w:val="FF0000"/>
                <w:sz w:val="16"/>
              </w:rPr>
              <w:t>atteint</w:t>
            </w:r>
          </w:p>
        </w:tc>
      </w:tr>
      <w:tr w:rsidR="00784E52" w:rsidRPr="005C7CCE" w:rsidTr="002A762E">
        <w:trPr>
          <w:cantSplit/>
        </w:trPr>
        <w:tc>
          <w:tcPr>
            <w:tcW w:w="831" w:type="pct"/>
            <w:shd w:val="clear" w:color="auto" w:fill="auto"/>
          </w:tcPr>
          <w:p w:rsidR="00784E52" w:rsidRPr="002D02F3" w:rsidRDefault="00784E52" w:rsidP="001A5BF9">
            <w:pPr>
              <w:rPr>
                <w:rFonts w:cs="Arial"/>
                <w:sz w:val="16"/>
                <w:szCs w:val="16"/>
              </w:rPr>
            </w:pPr>
            <w:r w:rsidRPr="002D02F3">
              <w:rPr>
                <w:sz w:val="16"/>
              </w:rPr>
              <w:t>Nombre d</w:t>
            </w:r>
            <w:r w:rsidR="00A20444" w:rsidRPr="002D02F3">
              <w:rPr>
                <w:sz w:val="16"/>
              </w:rPr>
              <w:t>’</w:t>
            </w:r>
            <w:r w:rsidRPr="002D02F3">
              <w:rPr>
                <w:sz w:val="16"/>
              </w:rPr>
              <w:t>utilisateurs de services d</w:t>
            </w:r>
            <w:r w:rsidR="00A20444" w:rsidRPr="002D02F3">
              <w:rPr>
                <w:sz w:val="16"/>
              </w:rPr>
              <w:t>’</w:t>
            </w:r>
            <w:r w:rsidRPr="002D02F3">
              <w:rPr>
                <w:sz w:val="16"/>
              </w:rPr>
              <w:t>information à valeur ajoutée (service de recherche d</w:t>
            </w:r>
            <w:r w:rsidR="00A20444" w:rsidRPr="002D02F3">
              <w:rPr>
                <w:sz w:val="16"/>
              </w:rPr>
              <w:t>’</w:t>
            </w:r>
            <w:r w:rsidRPr="002D02F3">
              <w:rPr>
                <w:sz w:val="16"/>
              </w:rPr>
              <w:t>informations techniques, rapports sur la cartographie des brevets et coopération internationale en matière d</w:t>
            </w:r>
            <w:r w:rsidR="00A20444" w:rsidRPr="002D02F3">
              <w:rPr>
                <w:sz w:val="16"/>
              </w:rPr>
              <w:t>’</w:t>
            </w:r>
            <w:r w:rsidRPr="002D02F3">
              <w:rPr>
                <w:sz w:val="16"/>
              </w:rPr>
              <w:t>examen)</w:t>
            </w:r>
          </w:p>
        </w:tc>
        <w:tc>
          <w:tcPr>
            <w:tcW w:w="1138" w:type="pct"/>
            <w:shd w:val="clear" w:color="auto" w:fill="auto"/>
          </w:tcPr>
          <w:p w:rsidR="00D42474" w:rsidRDefault="00784E52" w:rsidP="001A5BF9">
            <w:pPr>
              <w:rPr>
                <w:rFonts w:cs="Arial"/>
                <w:color w:val="002060"/>
                <w:sz w:val="16"/>
                <w:szCs w:val="16"/>
                <w:lang w:bidi="th-TH"/>
              </w:rPr>
            </w:pPr>
            <w:r w:rsidRPr="005C7CCE">
              <w:rPr>
                <w:i/>
                <w:color w:val="002060"/>
                <w:sz w:val="16"/>
              </w:rPr>
              <w:t>Niveau de référence actualisé fin 2011 </w:t>
            </w:r>
            <w:proofErr w:type="gramStart"/>
            <w:r w:rsidRPr="005C7CCE">
              <w:rPr>
                <w:i/>
                <w:color w:val="002060"/>
                <w:sz w:val="16"/>
              </w:rPr>
              <w:t>:</w:t>
            </w:r>
            <w:proofErr w:type="gramEnd"/>
            <w:r w:rsidRPr="005C7CCE">
              <w:br/>
            </w:r>
            <w:r w:rsidR="002D02F3">
              <w:rPr>
                <w:color w:val="002060"/>
                <w:sz w:val="16"/>
              </w:rPr>
              <w:t>p</w:t>
            </w:r>
            <w:r w:rsidRPr="005C7CCE">
              <w:rPr>
                <w:color w:val="002060"/>
                <w:sz w:val="16"/>
              </w:rPr>
              <w:t xml:space="preserve">our le service </w:t>
            </w:r>
            <w:proofErr w:type="spellStart"/>
            <w:r w:rsidRPr="005C7CCE">
              <w:rPr>
                <w:color w:val="002060"/>
                <w:sz w:val="16"/>
              </w:rPr>
              <w:t>ICE</w:t>
            </w:r>
            <w:proofErr w:type="spellEnd"/>
            <w:r w:rsidRPr="005C7CCE">
              <w:rPr>
                <w:color w:val="002060"/>
                <w:sz w:val="16"/>
              </w:rPr>
              <w:t>/</w:t>
            </w:r>
            <w:proofErr w:type="spellStart"/>
            <w:r w:rsidRPr="005C7CCE">
              <w:rPr>
                <w:color w:val="002060"/>
                <w:sz w:val="16"/>
              </w:rPr>
              <w:t>WPIS</w:t>
            </w:r>
            <w:proofErr w:type="spellEnd"/>
            <w:r w:rsidRPr="005C7CCE">
              <w:rPr>
                <w:color w:val="002060"/>
                <w:sz w:val="16"/>
              </w:rPr>
              <w:t> :</w:t>
            </w:r>
          </w:p>
          <w:p w:rsidR="00D42474" w:rsidRDefault="00784E52" w:rsidP="001A5BF9">
            <w:pPr>
              <w:rPr>
                <w:rFonts w:cs="Arial"/>
                <w:color w:val="002060"/>
                <w:sz w:val="16"/>
                <w:szCs w:val="16"/>
                <w:lang w:bidi="th-TH"/>
              </w:rPr>
            </w:pPr>
            <w:r w:rsidRPr="005C7CCE">
              <w:rPr>
                <w:color w:val="002060"/>
                <w:sz w:val="16"/>
              </w:rPr>
              <w:t>284 demandes de recherche de 16 pays reçues en 2011, dont 107 demandes d</w:t>
            </w:r>
            <w:r w:rsidR="00A20444" w:rsidRPr="005C7CCE">
              <w:rPr>
                <w:color w:val="002060"/>
                <w:sz w:val="16"/>
              </w:rPr>
              <w:t>’</w:t>
            </w:r>
            <w:r w:rsidRPr="005C7CCE">
              <w:rPr>
                <w:color w:val="002060"/>
                <w:sz w:val="16"/>
              </w:rPr>
              <w:t>examen </w:t>
            </w:r>
            <w:proofErr w:type="spellStart"/>
            <w:r w:rsidRPr="005C7CCE">
              <w:rPr>
                <w:color w:val="002060"/>
                <w:sz w:val="16"/>
              </w:rPr>
              <w:t>ICE</w:t>
            </w:r>
            <w:proofErr w:type="spellEnd"/>
          </w:p>
          <w:p w:rsidR="00D42474" w:rsidRDefault="00D42474" w:rsidP="001A5BF9">
            <w:pPr>
              <w:rPr>
                <w:rFonts w:cs="Arial"/>
                <w:color w:val="002060"/>
                <w:sz w:val="8"/>
                <w:szCs w:val="8"/>
                <w:lang w:bidi="th-TH"/>
              </w:rPr>
            </w:pPr>
          </w:p>
          <w:p w:rsidR="00D42474" w:rsidRDefault="00784E52" w:rsidP="001A5BF9">
            <w:pPr>
              <w:rPr>
                <w:rFonts w:cs="Arial"/>
                <w:color w:val="002060"/>
                <w:sz w:val="16"/>
                <w:szCs w:val="16"/>
                <w:lang w:bidi="th-TH"/>
              </w:rPr>
            </w:pPr>
            <w:r w:rsidRPr="005C7CCE">
              <w:rPr>
                <w:color w:val="002060"/>
                <w:sz w:val="16"/>
              </w:rPr>
              <w:t>Pour les rapports panoramiques sur les brevets :</w:t>
            </w:r>
          </w:p>
          <w:p w:rsidR="00D42474" w:rsidRDefault="00784E52" w:rsidP="001A5BF9">
            <w:pPr>
              <w:rPr>
                <w:rFonts w:cs="Arial"/>
                <w:i/>
                <w:sz w:val="16"/>
                <w:szCs w:val="16"/>
                <w:lang w:bidi="th-TH"/>
              </w:rPr>
            </w:pPr>
            <w:r w:rsidRPr="005C7CCE">
              <w:rPr>
                <w:color w:val="002060"/>
                <w:sz w:val="16"/>
              </w:rPr>
              <w:t>partenaires de coopération : environ 20 Nombre de consultations de page : 2000;</w:t>
            </w:r>
            <w:r w:rsidR="004F3E42" w:rsidRPr="005C7CCE">
              <w:rPr>
                <w:color w:val="002060"/>
                <w:sz w:val="16"/>
              </w:rPr>
              <w:t xml:space="preserve"> </w:t>
            </w:r>
            <w:r w:rsidR="0010442A" w:rsidRPr="005C7CCE">
              <w:rPr>
                <w:color w:val="002060"/>
                <w:sz w:val="16"/>
              </w:rPr>
              <w:t xml:space="preserve"> </w:t>
            </w:r>
            <w:r w:rsidRPr="005C7CCE">
              <w:rPr>
                <w:color w:val="002060"/>
                <w:sz w:val="16"/>
              </w:rPr>
              <w:t xml:space="preserve">Nombre de téléchargements : </w:t>
            </w:r>
            <w:r w:rsidR="0010442A" w:rsidRPr="005C7CCE">
              <w:rPr>
                <w:color w:val="002060"/>
                <w:sz w:val="16"/>
              </w:rPr>
              <w:t>1500</w:t>
            </w:r>
          </w:p>
          <w:p w:rsidR="00D42474" w:rsidRDefault="00D42474" w:rsidP="001A5BF9">
            <w:pPr>
              <w:rPr>
                <w:rFonts w:cs="Arial"/>
                <w:i/>
                <w:sz w:val="8"/>
                <w:szCs w:val="8"/>
                <w:lang w:bidi="th-TH"/>
              </w:rPr>
            </w:pPr>
          </w:p>
          <w:p w:rsidR="00D42474" w:rsidRDefault="00784E52" w:rsidP="001A5BF9">
            <w:pPr>
              <w:rPr>
                <w:rFonts w:cs="Arial"/>
                <w:sz w:val="16"/>
                <w:szCs w:val="16"/>
                <w:lang w:bidi="th-TH"/>
              </w:rPr>
            </w:pPr>
            <w:r w:rsidRPr="005C7CCE">
              <w:rPr>
                <w:i/>
                <w:sz w:val="16"/>
              </w:rPr>
              <w:t>Niveau de référence initial</w:t>
            </w:r>
          </w:p>
          <w:p w:rsidR="00D42474" w:rsidRDefault="00667FB3" w:rsidP="001A5BF9">
            <w:pPr>
              <w:rPr>
                <w:rFonts w:cs="Arial"/>
                <w:sz w:val="16"/>
                <w:szCs w:val="16"/>
              </w:rPr>
            </w:pPr>
            <w:r>
              <w:rPr>
                <w:i/>
                <w:sz w:val="16"/>
              </w:rPr>
              <w:t>programme et budget</w:t>
            </w:r>
            <w:r w:rsidR="00784E52" w:rsidRPr="005C7CCE">
              <w:rPr>
                <w:i/>
                <w:sz w:val="16"/>
              </w:rPr>
              <w:t> 2012</w:t>
            </w:r>
            <w:r w:rsidR="002D6F2A" w:rsidRPr="005C7CCE">
              <w:rPr>
                <w:i/>
                <w:sz w:val="16"/>
              </w:rPr>
              <w:noBreakHyphen/>
            </w:r>
            <w:r w:rsidR="00784E52" w:rsidRPr="005C7CCE">
              <w:rPr>
                <w:i/>
                <w:sz w:val="16"/>
              </w:rPr>
              <w:t>2013 :</w:t>
            </w:r>
          </w:p>
          <w:p w:rsidR="00784E52" w:rsidRPr="005C7CCE" w:rsidRDefault="002D02F3" w:rsidP="001A5BF9">
            <w:pPr>
              <w:rPr>
                <w:rFonts w:cs="Arial"/>
                <w:sz w:val="16"/>
                <w:szCs w:val="16"/>
              </w:rPr>
            </w:pPr>
            <w:r w:rsidRPr="002D02F3">
              <w:rPr>
                <w:sz w:val="16"/>
              </w:rPr>
              <w:t>à</w:t>
            </w:r>
            <w:r w:rsidR="00784E52" w:rsidRPr="002D02F3">
              <w:rPr>
                <w:sz w:val="16"/>
              </w:rPr>
              <w:t xml:space="preserve"> déterminer fin 2011</w:t>
            </w:r>
          </w:p>
        </w:tc>
        <w:tc>
          <w:tcPr>
            <w:tcW w:w="1061" w:type="pct"/>
            <w:shd w:val="clear" w:color="auto" w:fill="auto"/>
            <w:tcMar>
              <w:top w:w="110" w:type="dxa"/>
            </w:tcMar>
          </w:tcPr>
          <w:p w:rsidR="00784E52" w:rsidRPr="002D02F3" w:rsidRDefault="00784E52" w:rsidP="001A5BF9">
            <w:pPr>
              <w:rPr>
                <w:rFonts w:cs="Arial"/>
                <w:sz w:val="16"/>
                <w:szCs w:val="16"/>
              </w:rPr>
            </w:pPr>
            <w:r w:rsidRPr="002D02F3">
              <w:rPr>
                <w:sz w:val="16"/>
              </w:rPr>
              <w:t>À déterminer fin 2011</w:t>
            </w:r>
          </w:p>
        </w:tc>
        <w:tc>
          <w:tcPr>
            <w:tcW w:w="1288" w:type="pct"/>
            <w:shd w:val="clear" w:color="auto" w:fill="FFFFFF"/>
            <w:tcMar>
              <w:top w:w="110" w:type="dxa"/>
            </w:tcMar>
          </w:tcPr>
          <w:p w:rsidR="00D42474" w:rsidRDefault="00784E52" w:rsidP="001A5BF9">
            <w:pPr>
              <w:rPr>
                <w:rFonts w:cs="Arial"/>
                <w:sz w:val="16"/>
                <w:szCs w:val="16"/>
                <w:lang w:bidi="th-TH"/>
              </w:rPr>
            </w:pPr>
            <w:r w:rsidRPr="005C7CCE">
              <w:rPr>
                <w:sz w:val="16"/>
              </w:rPr>
              <w:t xml:space="preserve">Pour le service </w:t>
            </w:r>
            <w:proofErr w:type="spellStart"/>
            <w:r w:rsidRPr="005C7CCE">
              <w:rPr>
                <w:sz w:val="16"/>
              </w:rPr>
              <w:t>ICE</w:t>
            </w:r>
            <w:proofErr w:type="spellEnd"/>
            <w:r w:rsidRPr="005C7CCE">
              <w:rPr>
                <w:sz w:val="16"/>
              </w:rPr>
              <w:t>/</w:t>
            </w:r>
            <w:proofErr w:type="spellStart"/>
            <w:r w:rsidRPr="005C7CCE">
              <w:rPr>
                <w:sz w:val="16"/>
              </w:rPr>
              <w:t>WPIS</w:t>
            </w:r>
            <w:proofErr w:type="spellEnd"/>
            <w:r w:rsidRPr="005C7CCE">
              <w:rPr>
                <w:sz w:val="16"/>
              </w:rPr>
              <w:t> : 435 demandes de recherche de 19 pays reçues en</w:t>
            </w:r>
            <w:r w:rsidR="0010442A" w:rsidRPr="005C7CCE">
              <w:rPr>
                <w:sz w:val="16"/>
              </w:rPr>
              <w:t> </w:t>
            </w:r>
            <w:r w:rsidR="00122FDE" w:rsidRPr="005C7CCE">
              <w:rPr>
                <w:sz w:val="16"/>
              </w:rPr>
              <w:t>2012</w:t>
            </w:r>
            <w:r w:rsidR="002D6F2A" w:rsidRPr="005C7CCE">
              <w:rPr>
                <w:sz w:val="16"/>
              </w:rPr>
              <w:noBreakHyphen/>
            </w:r>
            <w:r w:rsidR="00122FDE" w:rsidRPr="005C7CCE">
              <w:rPr>
                <w:sz w:val="16"/>
              </w:rPr>
              <w:t>2013</w:t>
            </w:r>
            <w:r w:rsidRPr="005C7CCE">
              <w:rPr>
                <w:sz w:val="16"/>
              </w:rPr>
              <w:t>, dont 214 demandes d</w:t>
            </w:r>
            <w:r w:rsidR="00A20444" w:rsidRPr="005C7CCE">
              <w:rPr>
                <w:sz w:val="16"/>
              </w:rPr>
              <w:t>’</w:t>
            </w:r>
            <w:r w:rsidRPr="005C7CCE">
              <w:rPr>
                <w:sz w:val="16"/>
              </w:rPr>
              <w:t xml:space="preserve">examen </w:t>
            </w:r>
            <w:proofErr w:type="spellStart"/>
            <w:r w:rsidRPr="005C7CCE">
              <w:rPr>
                <w:sz w:val="16"/>
              </w:rPr>
              <w:t>ICE</w:t>
            </w:r>
            <w:proofErr w:type="spellEnd"/>
          </w:p>
          <w:p w:rsidR="00D42474" w:rsidRDefault="00D42474" w:rsidP="001A5BF9">
            <w:pPr>
              <w:rPr>
                <w:rFonts w:cs="Arial"/>
                <w:sz w:val="16"/>
                <w:szCs w:val="16"/>
                <w:lang w:bidi="th-TH"/>
              </w:rPr>
            </w:pPr>
          </w:p>
          <w:p w:rsidR="00D42474" w:rsidRDefault="00784E52" w:rsidP="001A5BF9">
            <w:pPr>
              <w:rPr>
                <w:sz w:val="16"/>
              </w:rPr>
            </w:pPr>
            <w:r w:rsidRPr="005C7CCE">
              <w:rPr>
                <w:sz w:val="16"/>
              </w:rPr>
              <w:t>Pour les rapports panoramiques sur les brevets :</w:t>
            </w:r>
          </w:p>
          <w:p w:rsidR="00D42474" w:rsidRDefault="00784E52" w:rsidP="001A5BF9">
            <w:pPr>
              <w:rPr>
                <w:rFonts w:cs="Arial"/>
                <w:sz w:val="16"/>
                <w:szCs w:val="16"/>
              </w:rPr>
            </w:pPr>
            <w:r w:rsidRPr="005C7CCE">
              <w:rPr>
                <w:sz w:val="16"/>
              </w:rPr>
              <w:t>partenaires de coopération : environ 20</w:t>
            </w:r>
          </w:p>
          <w:p w:rsidR="00D42474" w:rsidRDefault="00784E52" w:rsidP="001A5BF9">
            <w:pPr>
              <w:pStyle w:val="Paragraphedeliste"/>
              <w:numPr>
                <w:ilvl w:val="0"/>
                <w:numId w:val="41"/>
              </w:numPr>
              <w:rPr>
                <w:sz w:val="16"/>
              </w:rPr>
            </w:pPr>
            <w:r w:rsidRPr="005C7CCE">
              <w:rPr>
                <w:sz w:val="16"/>
              </w:rPr>
              <w:t>Nombre de consultations de page</w:t>
            </w:r>
            <w:r w:rsidR="0010442A" w:rsidRPr="005C7CCE">
              <w:rPr>
                <w:sz w:val="16"/>
              </w:rPr>
              <w:t> </w:t>
            </w:r>
            <w:r w:rsidRPr="005C7CCE">
              <w:rPr>
                <w:sz w:val="16"/>
              </w:rPr>
              <w:t>: 19 401 (clics)</w:t>
            </w:r>
          </w:p>
          <w:p w:rsidR="00D42474" w:rsidRDefault="00784E52" w:rsidP="001A5BF9">
            <w:pPr>
              <w:pStyle w:val="Paragraphedeliste"/>
              <w:numPr>
                <w:ilvl w:val="0"/>
                <w:numId w:val="41"/>
              </w:numPr>
              <w:rPr>
                <w:sz w:val="16"/>
              </w:rPr>
            </w:pPr>
            <w:r w:rsidRPr="005C7CCE">
              <w:rPr>
                <w:sz w:val="16"/>
              </w:rPr>
              <w:t>Nombre de téléchargements : 26 487 (PDF)</w:t>
            </w:r>
          </w:p>
          <w:p w:rsidR="00784E52" w:rsidRPr="005C7CCE" w:rsidRDefault="00784E52" w:rsidP="001A5BF9">
            <w:pPr>
              <w:pStyle w:val="Paragraphedeliste"/>
              <w:numPr>
                <w:ilvl w:val="0"/>
                <w:numId w:val="41"/>
              </w:numPr>
              <w:rPr>
                <w:rFonts w:cs="Arial"/>
                <w:sz w:val="16"/>
                <w:szCs w:val="16"/>
              </w:rPr>
            </w:pPr>
            <w:r w:rsidRPr="002D02F3">
              <w:rPr>
                <w:sz w:val="16"/>
              </w:rPr>
              <w:t xml:space="preserve">Rapport panoramique sur les brevets consacré aux déchets </w:t>
            </w:r>
            <w:r w:rsidRPr="005C7CCE">
              <w:rPr>
                <w:sz w:val="16"/>
              </w:rPr>
              <w:t>électroniques, publié le</w:t>
            </w:r>
            <w:r w:rsidRPr="002D02F3">
              <w:rPr>
                <w:sz w:val="16"/>
              </w:rPr>
              <w:br/>
              <w:t>12 </w:t>
            </w:r>
            <w:r w:rsidRPr="005C7CCE">
              <w:rPr>
                <w:sz w:val="16"/>
              </w:rPr>
              <w:t xml:space="preserve">décembre 2013, </w:t>
            </w:r>
            <w:r w:rsidR="0010442A" w:rsidRPr="005C7CCE">
              <w:rPr>
                <w:sz w:val="16"/>
              </w:rPr>
              <w:t>1000</w:t>
            </w:r>
            <w:r w:rsidRPr="005C7CCE">
              <w:rPr>
                <w:sz w:val="16"/>
              </w:rPr>
              <w:t xml:space="preserve"> consultations de pages en deux semaines</w:t>
            </w:r>
          </w:p>
        </w:tc>
        <w:tc>
          <w:tcPr>
            <w:tcW w:w="682" w:type="pct"/>
            <w:shd w:val="clear" w:color="auto" w:fill="auto"/>
            <w:tcMar>
              <w:top w:w="110" w:type="dxa"/>
            </w:tcMar>
          </w:tcPr>
          <w:p w:rsidR="00D42474" w:rsidRDefault="00784E52" w:rsidP="001A5BF9">
            <w:pPr>
              <w:keepNext/>
              <w:keepLines/>
              <w:jc w:val="center"/>
              <w:rPr>
                <w:color w:val="404040"/>
                <w:sz w:val="16"/>
              </w:rPr>
            </w:pPr>
            <w:r w:rsidRPr="005C7CCE">
              <w:rPr>
                <w:color w:val="404040"/>
                <w:sz w:val="16"/>
              </w:rPr>
              <w:t>Non évaluable</w:t>
            </w:r>
          </w:p>
          <w:p w:rsidR="00D42474" w:rsidRDefault="00D42474" w:rsidP="001A5BF9">
            <w:pPr>
              <w:keepNext/>
              <w:keepLines/>
              <w:jc w:val="center"/>
              <w:rPr>
                <w:rFonts w:cs="Arial"/>
                <w:bCs/>
                <w:color w:val="404040"/>
                <w:sz w:val="16"/>
                <w:szCs w:val="16"/>
              </w:rPr>
            </w:pPr>
          </w:p>
          <w:p w:rsidR="00D42474" w:rsidRDefault="00D42474" w:rsidP="001A5BF9">
            <w:pPr>
              <w:keepNext/>
              <w:keepLines/>
              <w:jc w:val="center"/>
              <w:rPr>
                <w:rFonts w:cs="Arial"/>
                <w:bCs/>
                <w:color w:val="404040"/>
                <w:sz w:val="16"/>
                <w:szCs w:val="16"/>
              </w:rPr>
            </w:pPr>
          </w:p>
          <w:p w:rsidR="00D42474" w:rsidRDefault="00D42474" w:rsidP="001A5BF9">
            <w:pPr>
              <w:keepNext/>
              <w:keepLines/>
              <w:jc w:val="center"/>
              <w:rPr>
                <w:rFonts w:cs="Arial"/>
                <w:bCs/>
                <w:color w:val="404040"/>
                <w:sz w:val="16"/>
                <w:szCs w:val="16"/>
              </w:rPr>
            </w:pPr>
          </w:p>
          <w:p w:rsidR="00D42474" w:rsidRDefault="00D42474" w:rsidP="001A5BF9">
            <w:pPr>
              <w:keepNext/>
              <w:keepLines/>
              <w:jc w:val="center"/>
              <w:rPr>
                <w:rFonts w:cs="Arial"/>
                <w:bCs/>
                <w:color w:val="404040"/>
                <w:sz w:val="16"/>
                <w:szCs w:val="16"/>
              </w:rPr>
            </w:pPr>
          </w:p>
          <w:p w:rsidR="00D42474" w:rsidRDefault="00D42474" w:rsidP="001A5BF9">
            <w:pPr>
              <w:keepNext/>
              <w:keepLines/>
              <w:jc w:val="center"/>
              <w:rPr>
                <w:rFonts w:cs="Arial"/>
                <w:bCs/>
                <w:color w:val="404040"/>
                <w:sz w:val="16"/>
                <w:szCs w:val="16"/>
              </w:rPr>
            </w:pPr>
          </w:p>
          <w:p w:rsidR="00784E52" w:rsidRPr="005C7CCE" w:rsidRDefault="00784E52" w:rsidP="001A5BF9">
            <w:pPr>
              <w:keepNext/>
              <w:keepLines/>
              <w:jc w:val="center"/>
              <w:rPr>
                <w:rFonts w:cs="Arial"/>
                <w:bCs/>
                <w:color w:val="808080"/>
                <w:sz w:val="16"/>
                <w:szCs w:val="16"/>
              </w:rPr>
            </w:pPr>
            <w:r w:rsidRPr="005C7CCE">
              <w:rPr>
                <w:color w:val="404040"/>
                <w:sz w:val="16"/>
              </w:rPr>
              <w:t>Non évaluable</w:t>
            </w:r>
          </w:p>
        </w:tc>
      </w:tr>
      <w:tr w:rsidR="00784E52" w:rsidRPr="005C7CCE" w:rsidTr="002A762E">
        <w:trPr>
          <w:cantSplit/>
        </w:trPr>
        <w:tc>
          <w:tcPr>
            <w:tcW w:w="831" w:type="pct"/>
            <w:shd w:val="clear" w:color="auto" w:fill="auto"/>
          </w:tcPr>
          <w:p w:rsidR="00784E52" w:rsidRPr="002D02F3" w:rsidRDefault="00784E52" w:rsidP="001A5BF9">
            <w:pPr>
              <w:rPr>
                <w:rFonts w:cs="Arial"/>
                <w:sz w:val="16"/>
                <w:szCs w:val="16"/>
              </w:rPr>
            </w:pPr>
            <w:r w:rsidRPr="002D02F3">
              <w:rPr>
                <w:sz w:val="16"/>
              </w:rPr>
              <w:t>Pourcentage de bénéficiaires satisfaits des services d</w:t>
            </w:r>
            <w:r w:rsidR="00A20444" w:rsidRPr="002D02F3">
              <w:rPr>
                <w:sz w:val="16"/>
              </w:rPr>
              <w:t>’</w:t>
            </w:r>
            <w:r w:rsidRPr="002D02F3">
              <w:rPr>
                <w:sz w:val="16"/>
              </w:rPr>
              <w:t>information à valeur ajoutée (service de recherche d</w:t>
            </w:r>
            <w:r w:rsidR="00A20444" w:rsidRPr="002D02F3">
              <w:rPr>
                <w:sz w:val="16"/>
              </w:rPr>
              <w:t>’</w:t>
            </w:r>
            <w:r w:rsidRPr="002D02F3">
              <w:rPr>
                <w:sz w:val="16"/>
              </w:rPr>
              <w:t>informations techniques, rapports sur la cartographie des brevets et coopération internationale en matière d</w:t>
            </w:r>
            <w:r w:rsidR="00A20444" w:rsidRPr="002D02F3">
              <w:rPr>
                <w:sz w:val="16"/>
              </w:rPr>
              <w:t>’</w:t>
            </w:r>
            <w:r w:rsidRPr="002D02F3">
              <w:rPr>
                <w:sz w:val="16"/>
              </w:rPr>
              <w:t>examen)</w:t>
            </w:r>
          </w:p>
        </w:tc>
        <w:tc>
          <w:tcPr>
            <w:tcW w:w="1138" w:type="pct"/>
            <w:shd w:val="clear" w:color="auto" w:fill="auto"/>
          </w:tcPr>
          <w:p w:rsidR="00D42474" w:rsidRDefault="00784E52" w:rsidP="001A5BF9">
            <w:pPr>
              <w:rPr>
                <w:rFonts w:cs="Arial"/>
                <w:color w:val="002060"/>
                <w:sz w:val="16"/>
                <w:szCs w:val="16"/>
                <w:lang w:bidi="th-TH"/>
              </w:rPr>
            </w:pPr>
            <w:r w:rsidRPr="005C7CCE">
              <w:rPr>
                <w:i/>
                <w:color w:val="002060"/>
                <w:sz w:val="16"/>
              </w:rPr>
              <w:t>Niveau de référence actualisé fin 2011 </w:t>
            </w:r>
            <w:proofErr w:type="gramStart"/>
            <w:r w:rsidRPr="005C7CCE">
              <w:rPr>
                <w:i/>
                <w:color w:val="002060"/>
                <w:sz w:val="16"/>
              </w:rPr>
              <w:t>:</w:t>
            </w:r>
            <w:proofErr w:type="gramEnd"/>
            <w:r w:rsidRPr="005C7CCE">
              <w:br/>
            </w:r>
            <w:r w:rsidRPr="005C7CCE">
              <w:rPr>
                <w:color w:val="002060"/>
                <w:sz w:val="16"/>
              </w:rPr>
              <w:t xml:space="preserve">Pour le service </w:t>
            </w:r>
            <w:proofErr w:type="spellStart"/>
            <w:r w:rsidRPr="005C7CCE">
              <w:rPr>
                <w:color w:val="002060"/>
                <w:sz w:val="16"/>
              </w:rPr>
              <w:t>ICE</w:t>
            </w:r>
            <w:proofErr w:type="spellEnd"/>
            <w:r w:rsidRPr="005C7CCE">
              <w:rPr>
                <w:color w:val="002060"/>
                <w:sz w:val="16"/>
              </w:rPr>
              <w:t>/</w:t>
            </w:r>
            <w:proofErr w:type="spellStart"/>
            <w:r w:rsidRPr="005C7CCE">
              <w:rPr>
                <w:color w:val="002060"/>
                <w:sz w:val="16"/>
              </w:rPr>
              <w:t>WPIS</w:t>
            </w:r>
            <w:proofErr w:type="spellEnd"/>
            <w:r w:rsidRPr="005C7CCE">
              <w:rPr>
                <w:color w:val="002060"/>
                <w:sz w:val="16"/>
              </w:rPr>
              <w:t> : 70</w:t>
            </w:r>
            <w:r w:rsidR="007E442D" w:rsidRPr="005C7CCE">
              <w:rPr>
                <w:color w:val="002060"/>
                <w:sz w:val="16"/>
              </w:rPr>
              <w:t>%</w:t>
            </w:r>
          </w:p>
          <w:p w:rsidR="00D42474" w:rsidRDefault="00784E52" w:rsidP="001A5BF9">
            <w:pPr>
              <w:rPr>
                <w:rFonts w:cs="Arial"/>
                <w:color w:val="002060"/>
                <w:sz w:val="16"/>
                <w:szCs w:val="16"/>
                <w:lang w:bidi="th-TH"/>
              </w:rPr>
            </w:pPr>
            <w:r w:rsidRPr="005C7CCE">
              <w:rPr>
                <w:color w:val="002060"/>
                <w:sz w:val="16"/>
              </w:rPr>
              <w:t>Pour les rapports panoramiques sur les brevets :</w:t>
            </w:r>
          </w:p>
          <w:p w:rsidR="00D42474" w:rsidRDefault="00784E52" w:rsidP="001A5BF9">
            <w:pPr>
              <w:rPr>
                <w:rFonts w:cs="Arial"/>
                <w:color w:val="002060"/>
                <w:sz w:val="16"/>
                <w:szCs w:val="16"/>
                <w:lang w:bidi="th-TH"/>
              </w:rPr>
            </w:pPr>
            <w:r w:rsidRPr="005C7CCE">
              <w:rPr>
                <w:color w:val="002060"/>
                <w:sz w:val="16"/>
              </w:rPr>
              <w:t>Pour les utilisateurs de premier niveau 70</w:t>
            </w:r>
            <w:r w:rsidR="007E442D" w:rsidRPr="005C7CCE">
              <w:rPr>
                <w:color w:val="002060"/>
                <w:sz w:val="16"/>
              </w:rPr>
              <w:t>%</w:t>
            </w:r>
          </w:p>
          <w:p w:rsidR="00D42474" w:rsidRDefault="00784E52" w:rsidP="001A5BF9">
            <w:pPr>
              <w:rPr>
                <w:rFonts w:cs="Arial"/>
                <w:i/>
                <w:color w:val="002060"/>
                <w:sz w:val="16"/>
                <w:szCs w:val="16"/>
                <w:lang w:bidi="th-TH"/>
              </w:rPr>
            </w:pPr>
            <w:r w:rsidRPr="005C7CCE">
              <w:rPr>
                <w:color w:val="002060"/>
                <w:sz w:val="16"/>
              </w:rPr>
              <w:t>Pour les utilisateurs de second niveau 50</w:t>
            </w:r>
            <w:r w:rsidR="007E442D" w:rsidRPr="005C7CCE">
              <w:rPr>
                <w:color w:val="002060"/>
                <w:sz w:val="16"/>
              </w:rPr>
              <w:t>%</w:t>
            </w:r>
          </w:p>
          <w:p w:rsidR="00D42474" w:rsidRDefault="00D42474" w:rsidP="001A5BF9">
            <w:pPr>
              <w:rPr>
                <w:rFonts w:cs="Arial"/>
                <w:i/>
                <w:sz w:val="8"/>
                <w:szCs w:val="8"/>
                <w:lang w:bidi="th-TH"/>
              </w:rPr>
            </w:pPr>
          </w:p>
          <w:p w:rsidR="00D42474" w:rsidRDefault="00784E52" w:rsidP="001A5BF9">
            <w:pPr>
              <w:rPr>
                <w:rFonts w:cs="Arial"/>
                <w:sz w:val="16"/>
                <w:szCs w:val="16"/>
                <w:lang w:bidi="th-TH"/>
              </w:rPr>
            </w:pPr>
            <w:r w:rsidRPr="005C7CCE">
              <w:rPr>
                <w:i/>
                <w:sz w:val="16"/>
              </w:rPr>
              <w:t>Niveau de référence initial</w:t>
            </w:r>
          </w:p>
          <w:p w:rsidR="00D42474" w:rsidRDefault="00667FB3" w:rsidP="001A5BF9">
            <w:pPr>
              <w:rPr>
                <w:rFonts w:cs="Arial"/>
                <w:sz w:val="16"/>
                <w:szCs w:val="16"/>
              </w:rPr>
            </w:pPr>
            <w:r>
              <w:rPr>
                <w:i/>
                <w:sz w:val="16"/>
              </w:rPr>
              <w:t>programme et budget</w:t>
            </w:r>
            <w:r w:rsidR="00784E52" w:rsidRPr="005C7CCE">
              <w:rPr>
                <w:i/>
                <w:sz w:val="16"/>
              </w:rPr>
              <w:t> 2012</w:t>
            </w:r>
            <w:r w:rsidR="002D6F2A" w:rsidRPr="005C7CCE">
              <w:rPr>
                <w:i/>
                <w:sz w:val="16"/>
              </w:rPr>
              <w:noBreakHyphen/>
            </w:r>
            <w:r w:rsidR="00784E52" w:rsidRPr="005C7CCE">
              <w:rPr>
                <w:i/>
                <w:sz w:val="16"/>
              </w:rPr>
              <w:t>2013 :</w:t>
            </w:r>
          </w:p>
          <w:p w:rsidR="00784E52" w:rsidRPr="005C7CCE" w:rsidRDefault="00993241" w:rsidP="001A5BF9">
            <w:pPr>
              <w:rPr>
                <w:rFonts w:cs="Arial"/>
                <w:sz w:val="16"/>
                <w:szCs w:val="16"/>
              </w:rPr>
            </w:pPr>
            <w:proofErr w:type="spellStart"/>
            <w:r>
              <w:rPr>
                <w:sz w:val="16"/>
              </w:rPr>
              <w:t>n.d</w:t>
            </w:r>
            <w:proofErr w:type="spellEnd"/>
            <w:r>
              <w:rPr>
                <w:sz w:val="16"/>
              </w:rPr>
              <w:t>.</w:t>
            </w:r>
          </w:p>
        </w:tc>
        <w:tc>
          <w:tcPr>
            <w:tcW w:w="1061" w:type="pct"/>
            <w:shd w:val="clear" w:color="auto" w:fill="auto"/>
            <w:tcMar>
              <w:top w:w="110" w:type="dxa"/>
            </w:tcMar>
          </w:tcPr>
          <w:p w:rsidR="00784E52" w:rsidRPr="005C7CCE" w:rsidRDefault="00784E52" w:rsidP="001A5BF9">
            <w:pPr>
              <w:rPr>
                <w:rFonts w:cs="Arial"/>
                <w:i/>
                <w:sz w:val="16"/>
                <w:szCs w:val="16"/>
              </w:rPr>
            </w:pPr>
            <w:r w:rsidRPr="005C7CCE">
              <w:rPr>
                <w:sz w:val="16"/>
              </w:rPr>
              <w:t>70</w:t>
            </w:r>
            <w:r w:rsidR="007E442D" w:rsidRPr="005C7CCE">
              <w:rPr>
                <w:sz w:val="16"/>
              </w:rPr>
              <w:t>%</w:t>
            </w:r>
          </w:p>
        </w:tc>
        <w:tc>
          <w:tcPr>
            <w:tcW w:w="1288" w:type="pct"/>
            <w:shd w:val="clear" w:color="auto" w:fill="FFFFFF"/>
            <w:tcMar>
              <w:top w:w="110" w:type="dxa"/>
            </w:tcMar>
          </w:tcPr>
          <w:p w:rsidR="00D42474" w:rsidRDefault="00784E52" w:rsidP="001A5BF9">
            <w:pPr>
              <w:rPr>
                <w:rFonts w:cs="Arial"/>
                <w:sz w:val="16"/>
                <w:szCs w:val="16"/>
                <w:lang w:bidi="th-TH"/>
              </w:rPr>
            </w:pPr>
            <w:r w:rsidRPr="005C7CCE">
              <w:rPr>
                <w:sz w:val="16"/>
              </w:rPr>
              <w:t>Aucune enquête de satisfaction n</w:t>
            </w:r>
            <w:r w:rsidR="00A20444" w:rsidRPr="005C7CCE">
              <w:rPr>
                <w:sz w:val="16"/>
              </w:rPr>
              <w:t>’</w:t>
            </w:r>
            <w:r w:rsidRPr="005C7CCE">
              <w:rPr>
                <w:sz w:val="16"/>
              </w:rPr>
              <w:t xml:space="preserve">a été réalisée pour les services </w:t>
            </w:r>
            <w:proofErr w:type="spellStart"/>
            <w:r w:rsidRPr="005C7CCE">
              <w:rPr>
                <w:sz w:val="16"/>
              </w:rPr>
              <w:t>WPIS</w:t>
            </w:r>
            <w:proofErr w:type="spellEnd"/>
            <w:r w:rsidRPr="005C7CCE">
              <w:rPr>
                <w:sz w:val="16"/>
              </w:rPr>
              <w:t xml:space="preserve"> et </w:t>
            </w:r>
            <w:proofErr w:type="spellStart"/>
            <w:r w:rsidRPr="005C7CCE">
              <w:rPr>
                <w:sz w:val="16"/>
              </w:rPr>
              <w:t>ICE</w:t>
            </w:r>
            <w:proofErr w:type="spellEnd"/>
            <w:r w:rsidRPr="005C7CCE">
              <w:rPr>
                <w:sz w:val="16"/>
              </w:rPr>
              <w:t>.</w:t>
            </w:r>
            <w:r w:rsidR="0010442A" w:rsidRPr="005C7CCE">
              <w:rPr>
                <w:sz w:val="16"/>
              </w:rPr>
              <w:t xml:space="preserve"> </w:t>
            </w:r>
            <w:r w:rsidRPr="005C7CCE">
              <w:rPr>
                <w:sz w:val="16"/>
              </w:rPr>
              <w:t xml:space="preserve"> Les discussions avec les offices donateurs sur la manière d</w:t>
            </w:r>
            <w:r w:rsidR="00A20444" w:rsidRPr="005C7CCE">
              <w:rPr>
                <w:sz w:val="16"/>
              </w:rPr>
              <w:t>’</w:t>
            </w:r>
            <w:r w:rsidRPr="005C7CCE">
              <w:rPr>
                <w:sz w:val="16"/>
              </w:rPr>
              <w:t>évaluer et de récupérer un retour d</w:t>
            </w:r>
            <w:r w:rsidR="00A20444" w:rsidRPr="005C7CCE">
              <w:rPr>
                <w:sz w:val="16"/>
              </w:rPr>
              <w:t>’</w:t>
            </w:r>
            <w:r w:rsidRPr="005C7CCE">
              <w:rPr>
                <w:sz w:val="16"/>
              </w:rPr>
              <w:t>information pour les travaux effectués sont en cours.</w:t>
            </w: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5C7CCE">
              <w:rPr>
                <w:sz w:val="16"/>
              </w:rPr>
              <w:t>Une enquête de satisfaction pour le rapport panoramique sur les brevets a été réalisée en mars 2014 et 39 réponses ont été reçues (3 utilisateurs de premier niveau;</w:t>
            </w:r>
            <w:r w:rsidR="004F3E42" w:rsidRPr="005C7CCE">
              <w:rPr>
                <w:sz w:val="16"/>
              </w:rPr>
              <w:t xml:space="preserve"> </w:t>
            </w:r>
            <w:r w:rsidR="0010442A" w:rsidRPr="005C7CCE">
              <w:rPr>
                <w:sz w:val="16"/>
              </w:rPr>
              <w:t xml:space="preserve"> </w:t>
            </w:r>
            <w:r w:rsidRPr="005C7CCE">
              <w:rPr>
                <w:sz w:val="16"/>
              </w:rPr>
              <w:t xml:space="preserve">36 utilisateurs de second niveau). </w:t>
            </w:r>
            <w:r w:rsidR="0010442A" w:rsidRPr="005C7CCE">
              <w:rPr>
                <w:sz w:val="16"/>
              </w:rPr>
              <w:t xml:space="preserve"> </w:t>
            </w:r>
            <w:r w:rsidRPr="005C7CCE">
              <w:rPr>
                <w:sz w:val="16"/>
              </w:rPr>
              <w:t>Les résultats ont montré qu</w:t>
            </w:r>
            <w:r w:rsidR="00A20444" w:rsidRPr="005C7CCE">
              <w:rPr>
                <w:sz w:val="16"/>
              </w:rPr>
              <w:t>’</w:t>
            </w:r>
            <w:r w:rsidRPr="005C7CCE">
              <w:rPr>
                <w:sz w:val="16"/>
              </w:rPr>
              <w:t>environ 70</w:t>
            </w:r>
            <w:r w:rsidR="007E442D" w:rsidRPr="005C7CCE">
              <w:rPr>
                <w:sz w:val="16"/>
              </w:rPr>
              <w:t>%</w:t>
            </w:r>
            <w:r w:rsidRPr="005C7CCE">
              <w:rPr>
                <w:sz w:val="16"/>
              </w:rPr>
              <w:t> des utilisateurs étaient satisfaits de la qualité des rapports :</w:t>
            </w:r>
          </w:p>
          <w:p w:rsidR="00D42474" w:rsidRDefault="00784E52" w:rsidP="001A5BF9">
            <w:pPr>
              <w:pStyle w:val="Paragraphedeliste"/>
              <w:numPr>
                <w:ilvl w:val="0"/>
                <w:numId w:val="42"/>
              </w:numPr>
              <w:rPr>
                <w:rFonts w:cs="Arial"/>
                <w:sz w:val="16"/>
                <w:szCs w:val="16"/>
                <w:lang w:bidi="th-TH"/>
              </w:rPr>
            </w:pPr>
            <w:r w:rsidRPr="005C7CCE">
              <w:rPr>
                <w:sz w:val="16"/>
              </w:rPr>
              <w:t>78</w:t>
            </w:r>
            <w:r w:rsidR="007E442D" w:rsidRPr="005C7CCE">
              <w:rPr>
                <w:sz w:val="16"/>
              </w:rPr>
              <w:t>%</w:t>
            </w:r>
            <w:r w:rsidRPr="005C7CCE">
              <w:rPr>
                <w:sz w:val="16"/>
              </w:rPr>
              <w:t> ont trouvé la présentation des questions techniques très bonne ou excellente</w:t>
            </w:r>
          </w:p>
          <w:p w:rsidR="00D42474" w:rsidRDefault="00784E52" w:rsidP="001A5BF9">
            <w:pPr>
              <w:pStyle w:val="Paragraphedeliste"/>
              <w:numPr>
                <w:ilvl w:val="0"/>
                <w:numId w:val="42"/>
              </w:numPr>
              <w:rPr>
                <w:sz w:val="16"/>
              </w:rPr>
            </w:pPr>
            <w:r w:rsidRPr="005C7CCE">
              <w:rPr>
                <w:sz w:val="16"/>
              </w:rPr>
              <w:t>69</w:t>
            </w:r>
            <w:r w:rsidR="007E442D" w:rsidRPr="005C7CCE">
              <w:rPr>
                <w:sz w:val="16"/>
              </w:rPr>
              <w:t>%</w:t>
            </w:r>
            <w:r w:rsidRPr="005C7CCE">
              <w:rPr>
                <w:sz w:val="16"/>
              </w:rPr>
              <w:t> ont trouvé la présentation des résultats très bonne ou excellente</w:t>
            </w:r>
          </w:p>
          <w:p w:rsidR="00784E52" w:rsidRPr="005C7CCE" w:rsidRDefault="00784E52" w:rsidP="001A5BF9">
            <w:pPr>
              <w:pStyle w:val="Paragraphedeliste"/>
              <w:numPr>
                <w:ilvl w:val="0"/>
                <w:numId w:val="42"/>
              </w:numPr>
              <w:rPr>
                <w:rFonts w:cs="Arial"/>
                <w:lang w:bidi="th-TH"/>
              </w:rPr>
            </w:pPr>
            <w:r w:rsidRPr="005C7CCE">
              <w:rPr>
                <w:sz w:val="16"/>
              </w:rPr>
              <w:t>69</w:t>
            </w:r>
            <w:r w:rsidR="007E442D" w:rsidRPr="005C7CCE">
              <w:rPr>
                <w:sz w:val="16"/>
              </w:rPr>
              <w:t>%</w:t>
            </w:r>
            <w:r w:rsidRPr="005C7CCE">
              <w:rPr>
                <w:sz w:val="16"/>
              </w:rPr>
              <w:t xml:space="preserve"> ont trouvé les rapports étroitement ou très étroitement liés à leurs travaux</w:t>
            </w:r>
          </w:p>
        </w:tc>
        <w:tc>
          <w:tcPr>
            <w:tcW w:w="682" w:type="pct"/>
            <w:shd w:val="clear" w:color="auto" w:fill="auto"/>
            <w:tcMar>
              <w:top w:w="110" w:type="dxa"/>
            </w:tcMar>
          </w:tcPr>
          <w:p w:rsidR="00D42474" w:rsidRDefault="00784E52" w:rsidP="001A5BF9">
            <w:pPr>
              <w:keepNext/>
              <w:keepLines/>
              <w:jc w:val="center"/>
              <w:rPr>
                <w:color w:val="FF0000"/>
                <w:sz w:val="16"/>
              </w:rPr>
            </w:pPr>
            <w:r w:rsidRPr="005C7CCE">
              <w:rPr>
                <w:color w:val="FF0000"/>
                <w:sz w:val="16"/>
              </w:rPr>
              <w:t>Pas</w:t>
            </w:r>
          </w:p>
          <w:p w:rsidR="00D42474" w:rsidRDefault="00784E52" w:rsidP="001A5BF9">
            <w:pPr>
              <w:keepNext/>
              <w:keepLines/>
              <w:jc w:val="center"/>
              <w:rPr>
                <w:rFonts w:cs="Arial"/>
                <w:bCs/>
                <w:color w:val="808080"/>
                <w:sz w:val="16"/>
                <w:szCs w:val="16"/>
              </w:rPr>
            </w:pPr>
            <w:r w:rsidRPr="005C7CCE">
              <w:rPr>
                <w:color w:val="FF0000"/>
                <w:sz w:val="16"/>
              </w:rPr>
              <w:t>atteint</w:t>
            </w:r>
          </w:p>
          <w:p w:rsidR="00D42474" w:rsidRDefault="00D42474" w:rsidP="001A5BF9">
            <w:pPr>
              <w:keepNext/>
              <w:keepLines/>
              <w:jc w:val="center"/>
              <w:rPr>
                <w:rFonts w:cs="Arial"/>
                <w:bCs/>
                <w:sz w:val="16"/>
                <w:szCs w:val="16"/>
              </w:rPr>
            </w:pPr>
          </w:p>
          <w:p w:rsidR="00D42474" w:rsidRDefault="00D42474" w:rsidP="001A5BF9">
            <w:pPr>
              <w:keepNext/>
              <w:keepLines/>
              <w:jc w:val="center"/>
              <w:rPr>
                <w:rFonts w:cs="Arial"/>
                <w:bCs/>
                <w:sz w:val="16"/>
                <w:szCs w:val="16"/>
              </w:rPr>
            </w:pPr>
          </w:p>
          <w:p w:rsidR="00D42474" w:rsidRDefault="00D42474" w:rsidP="001A5BF9">
            <w:pPr>
              <w:keepNext/>
              <w:keepLines/>
              <w:jc w:val="center"/>
              <w:rPr>
                <w:rFonts w:cs="Arial"/>
                <w:bCs/>
                <w:sz w:val="16"/>
                <w:szCs w:val="16"/>
              </w:rPr>
            </w:pPr>
          </w:p>
          <w:p w:rsidR="00D42474" w:rsidRDefault="00D42474" w:rsidP="001A5BF9">
            <w:pPr>
              <w:keepNext/>
              <w:keepLines/>
              <w:jc w:val="center"/>
              <w:rPr>
                <w:rFonts w:cs="Arial"/>
                <w:bCs/>
                <w:sz w:val="16"/>
                <w:szCs w:val="16"/>
              </w:rPr>
            </w:pPr>
          </w:p>
          <w:p w:rsidR="00D42474" w:rsidRDefault="00D42474" w:rsidP="001A5BF9">
            <w:pPr>
              <w:keepNext/>
              <w:keepLines/>
              <w:jc w:val="center"/>
              <w:rPr>
                <w:rFonts w:cs="Arial"/>
                <w:bCs/>
                <w:sz w:val="16"/>
                <w:szCs w:val="16"/>
              </w:rPr>
            </w:pPr>
          </w:p>
          <w:p w:rsidR="00D42474" w:rsidRDefault="00D42474" w:rsidP="001A5BF9">
            <w:pPr>
              <w:keepNext/>
              <w:keepLines/>
              <w:jc w:val="center"/>
              <w:rPr>
                <w:rFonts w:cs="Arial"/>
                <w:bCs/>
                <w:sz w:val="16"/>
                <w:szCs w:val="16"/>
              </w:rPr>
            </w:pPr>
          </w:p>
          <w:p w:rsidR="00D42474" w:rsidRDefault="00D42474" w:rsidP="001A5BF9">
            <w:pPr>
              <w:keepNext/>
              <w:keepLines/>
              <w:jc w:val="center"/>
              <w:rPr>
                <w:rFonts w:cs="Arial"/>
                <w:bCs/>
                <w:sz w:val="16"/>
                <w:szCs w:val="16"/>
              </w:rPr>
            </w:pPr>
          </w:p>
          <w:p w:rsidR="00D42474" w:rsidRDefault="00D42474" w:rsidP="001A5BF9">
            <w:pPr>
              <w:keepNext/>
              <w:keepLines/>
              <w:jc w:val="center"/>
              <w:rPr>
                <w:rFonts w:cs="Arial"/>
                <w:bCs/>
                <w:sz w:val="16"/>
                <w:szCs w:val="16"/>
              </w:rPr>
            </w:pPr>
          </w:p>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r w:rsidR="00784E52" w:rsidRPr="005C7CCE" w:rsidTr="002A762E">
        <w:trPr>
          <w:cantSplit/>
        </w:trPr>
        <w:tc>
          <w:tcPr>
            <w:tcW w:w="831" w:type="pct"/>
            <w:shd w:val="clear" w:color="auto" w:fill="auto"/>
          </w:tcPr>
          <w:p w:rsidR="00784E52" w:rsidRPr="002D02F3" w:rsidRDefault="00784E52" w:rsidP="001A5BF9">
            <w:pPr>
              <w:rPr>
                <w:rFonts w:cs="Arial"/>
                <w:sz w:val="16"/>
                <w:szCs w:val="16"/>
              </w:rPr>
            </w:pPr>
            <w:r w:rsidRPr="002D02F3">
              <w:rPr>
                <w:sz w:val="16"/>
              </w:rPr>
              <w:t>Nombre d</w:t>
            </w:r>
            <w:r w:rsidR="00A20444" w:rsidRPr="002D02F3">
              <w:rPr>
                <w:sz w:val="16"/>
              </w:rPr>
              <w:t>’</w:t>
            </w:r>
            <w:r w:rsidRPr="002D02F3">
              <w:rPr>
                <w:sz w:val="16"/>
              </w:rPr>
              <w:t xml:space="preserve">utilisateurs inscrits aux programmes </w:t>
            </w:r>
            <w:proofErr w:type="spellStart"/>
            <w:r w:rsidRPr="002D02F3">
              <w:rPr>
                <w:sz w:val="16"/>
              </w:rPr>
              <w:t>aRDI</w:t>
            </w:r>
            <w:proofErr w:type="spellEnd"/>
            <w:r w:rsidRPr="002D02F3">
              <w:rPr>
                <w:sz w:val="16"/>
              </w:rPr>
              <w:t xml:space="preserve"> et ASPI</w:t>
            </w:r>
          </w:p>
        </w:tc>
        <w:tc>
          <w:tcPr>
            <w:tcW w:w="1138" w:type="pct"/>
            <w:shd w:val="clear" w:color="auto" w:fill="auto"/>
          </w:tcPr>
          <w:p w:rsidR="00D42474" w:rsidRDefault="00784E52" w:rsidP="001A5BF9">
            <w:pPr>
              <w:rPr>
                <w:sz w:val="16"/>
              </w:rPr>
            </w:pPr>
            <w:proofErr w:type="spellStart"/>
            <w:r w:rsidRPr="005C7CCE">
              <w:rPr>
                <w:sz w:val="16"/>
              </w:rPr>
              <w:t>aRDI</w:t>
            </w:r>
            <w:proofErr w:type="spellEnd"/>
            <w:r w:rsidRPr="005C7CCE">
              <w:rPr>
                <w:sz w:val="16"/>
              </w:rPr>
              <w:t xml:space="preserve"> (24),</w:t>
            </w:r>
          </w:p>
          <w:p w:rsidR="00D42474" w:rsidRDefault="00784E52" w:rsidP="001A5BF9">
            <w:pPr>
              <w:rPr>
                <w:rFonts w:cs="Arial"/>
                <w:sz w:val="16"/>
                <w:szCs w:val="16"/>
              </w:rPr>
            </w:pPr>
            <w:r w:rsidRPr="005C7CCE">
              <w:rPr>
                <w:sz w:val="16"/>
              </w:rPr>
              <w:t>ASPI (6)</w:t>
            </w:r>
          </w:p>
          <w:p w:rsidR="00784E52" w:rsidRPr="005C7CCE" w:rsidRDefault="00784E52" w:rsidP="001A5BF9">
            <w:pPr>
              <w:rPr>
                <w:rFonts w:cs="Arial"/>
                <w:sz w:val="16"/>
                <w:szCs w:val="16"/>
              </w:rPr>
            </w:pPr>
          </w:p>
        </w:tc>
        <w:tc>
          <w:tcPr>
            <w:tcW w:w="1061" w:type="pct"/>
            <w:shd w:val="clear" w:color="auto" w:fill="auto"/>
            <w:tcMar>
              <w:top w:w="110" w:type="dxa"/>
            </w:tcMar>
          </w:tcPr>
          <w:p w:rsidR="00D42474" w:rsidRDefault="00784E52" w:rsidP="001A5BF9">
            <w:pPr>
              <w:rPr>
                <w:rFonts w:cs="Arial"/>
                <w:sz w:val="16"/>
                <w:szCs w:val="16"/>
              </w:rPr>
            </w:pPr>
            <w:proofErr w:type="spellStart"/>
            <w:r w:rsidRPr="005C7CCE">
              <w:rPr>
                <w:sz w:val="16"/>
              </w:rPr>
              <w:t>aRDI</w:t>
            </w:r>
            <w:proofErr w:type="spellEnd"/>
            <w:r w:rsidRPr="005C7CCE">
              <w:rPr>
                <w:sz w:val="16"/>
              </w:rPr>
              <w:t xml:space="preserve"> 50 avant fin 2013, ASPI 20 avant fin 2013</w:t>
            </w:r>
          </w:p>
          <w:p w:rsidR="00784E52" w:rsidRPr="005C7CCE" w:rsidRDefault="00784E52" w:rsidP="001A5BF9">
            <w:pPr>
              <w:rPr>
                <w:rFonts w:cs="Arial"/>
                <w:i/>
                <w:sz w:val="16"/>
                <w:szCs w:val="16"/>
              </w:rPr>
            </w:pPr>
          </w:p>
        </w:tc>
        <w:tc>
          <w:tcPr>
            <w:tcW w:w="1288" w:type="pct"/>
            <w:shd w:val="clear" w:color="auto" w:fill="FFFFFF"/>
            <w:tcMar>
              <w:top w:w="110" w:type="dxa"/>
            </w:tcMar>
          </w:tcPr>
          <w:p w:rsidR="00D42474" w:rsidRDefault="00784E52" w:rsidP="001A5BF9">
            <w:pPr>
              <w:rPr>
                <w:rFonts w:cs="Arial"/>
                <w:sz w:val="16"/>
                <w:szCs w:val="16"/>
                <w:lang w:bidi="th-TH"/>
              </w:rPr>
            </w:pPr>
            <w:proofErr w:type="spellStart"/>
            <w:r w:rsidRPr="005C7CCE">
              <w:rPr>
                <w:sz w:val="16"/>
              </w:rPr>
              <w:t>aRDI</w:t>
            </w:r>
            <w:proofErr w:type="spellEnd"/>
            <w:r w:rsidRPr="005C7CCE">
              <w:rPr>
                <w:sz w:val="16"/>
              </w:rPr>
              <w:t xml:space="preserve"> (207 utilisateurs actifs)</w:t>
            </w:r>
          </w:p>
          <w:p w:rsidR="00784E52" w:rsidRPr="005C7CCE" w:rsidRDefault="00784E52" w:rsidP="001A5BF9">
            <w:pPr>
              <w:rPr>
                <w:rFonts w:cs="Arial"/>
                <w:sz w:val="16"/>
                <w:szCs w:val="16"/>
              </w:rPr>
            </w:pPr>
            <w:r w:rsidRPr="005C7CCE">
              <w:rPr>
                <w:sz w:val="16"/>
              </w:rPr>
              <w:t>ASPI (20 utilisateurs actifs)</w:t>
            </w:r>
          </w:p>
        </w:tc>
        <w:tc>
          <w:tcPr>
            <w:tcW w:w="682" w:type="pct"/>
            <w:shd w:val="clear" w:color="auto" w:fill="auto"/>
            <w:tcMar>
              <w:top w:w="110" w:type="dxa"/>
            </w:tcMar>
          </w:tcPr>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bl>
    <w:p w:rsidR="00D42474" w:rsidRDefault="00D42474" w:rsidP="001A5BF9"/>
    <w:p w:rsidR="00D42474" w:rsidRDefault="00D42474" w:rsidP="001A5BF9">
      <w:pPr>
        <w:rPr>
          <w:rFonts w:cs="Arial"/>
        </w:rPr>
      </w:pPr>
    </w:p>
    <w:p w:rsidR="00D42474" w:rsidRDefault="00D42474" w:rsidP="001A5BF9">
      <w:pPr>
        <w:rPr>
          <w:rFonts w:cs="Arial"/>
        </w:rPr>
      </w:pPr>
    </w:p>
    <w:p w:rsidR="00D42474" w:rsidRDefault="00784E52" w:rsidP="001A5BF9">
      <w:pPr>
        <w:keepNext/>
        <w:keepLines/>
        <w:rPr>
          <w:rFonts w:cs="Arial"/>
          <w:szCs w:val="22"/>
        </w:rPr>
      </w:pPr>
      <w:r w:rsidRPr="00866763">
        <w:rPr>
          <w:sz w:val="22"/>
        </w:rPr>
        <w:t>BUDGET ET DÉPENSES EFFECTIVES</w:t>
      </w:r>
    </w:p>
    <w:p w:rsidR="00D42474" w:rsidRDefault="00D42474" w:rsidP="001A5BF9">
      <w:pPr>
        <w:keepNext/>
        <w:keepLines/>
        <w:rPr>
          <w:rFonts w:cs="Arial"/>
          <w:szCs w:val="22"/>
        </w:rPr>
      </w:pPr>
    </w:p>
    <w:p w:rsidR="00D42474" w:rsidRDefault="00784E52" w:rsidP="001A5BF9">
      <w:pPr>
        <w:pStyle w:val="NormalWeb"/>
        <w:spacing w:before="0" w:beforeAutospacing="0" w:after="0" w:afterAutospacing="0"/>
        <w:jc w:val="center"/>
        <w:rPr>
          <w:sz w:val="20"/>
        </w:rPr>
      </w:pPr>
      <w:r w:rsidRPr="002D02F3">
        <w:rPr>
          <w:sz w:val="20"/>
        </w:rPr>
        <w:t>Budget et dépenses effectives (par résultat)</w:t>
      </w:r>
    </w:p>
    <w:p w:rsidR="00D42474" w:rsidRDefault="00784E52"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784E52" w:rsidRPr="002D02F3" w:rsidRDefault="00784E52" w:rsidP="001A5BF9">
      <w:pPr>
        <w:keepNext/>
        <w:keepLines/>
        <w:rPr>
          <w:rFonts w:cs="Arial"/>
          <w:szCs w:val="22"/>
        </w:rPr>
      </w:pPr>
    </w:p>
    <w:tbl>
      <w:tblPr>
        <w:tblW w:w="0" w:type="auto"/>
        <w:tblInd w:w="103" w:type="dxa"/>
        <w:tblLayout w:type="fixed"/>
        <w:tblLook w:val="04A0" w:firstRow="1" w:lastRow="0" w:firstColumn="1" w:lastColumn="0" w:noHBand="0" w:noVBand="1"/>
      </w:tblPr>
      <w:tblGrid>
        <w:gridCol w:w="537"/>
        <w:gridCol w:w="4571"/>
        <w:gridCol w:w="1417"/>
        <w:gridCol w:w="1418"/>
        <w:gridCol w:w="1418"/>
      </w:tblGrid>
      <w:tr w:rsidR="00784E52" w:rsidRPr="002D02F3" w:rsidTr="002A762E">
        <w:tc>
          <w:tcPr>
            <w:tcW w:w="5108"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2D02F3" w:rsidRDefault="00784E52" w:rsidP="001A5BF9">
            <w:pPr>
              <w:spacing w:before="120" w:after="120"/>
              <w:jc w:val="center"/>
              <w:rPr>
                <w:rFonts w:cs="Arial"/>
                <w:bCs/>
                <w:sz w:val="16"/>
                <w:szCs w:val="16"/>
              </w:rPr>
            </w:pPr>
            <w:r w:rsidRPr="002D02F3">
              <w:rPr>
                <w:sz w:val="16"/>
              </w:rPr>
              <w:t>Numéro et description du résultat escompté</w:t>
            </w:r>
          </w:p>
        </w:tc>
        <w:tc>
          <w:tcPr>
            <w:tcW w:w="1417"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784E52" w:rsidRPr="002D02F3" w:rsidTr="002A762E">
        <w:tc>
          <w:tcPr>
            <w:tcW w:w="537" w:type="dxa"/>
            <w:tcBorders>
              <w:top w:val="nil"/>
              <w:left w:val="single" w:sz="4" w:space="0" w:color="auto"/>
              <w:bottom w:val="single" w:sz="4" w:space="0" w:color="auto"/>
              <w:right w:val="nil"/>
            </w:tcBorders>
            <w:shd w:val="clear" w:color="000000" w:fill="FFFFFF"/>
            <w:noWrap/>
          </w:tcPr>
          <w:p w:rsidR="00784E52" w:rsidRPr="002D02F3" w:rsidRDefault="00784E52" w:rsidP="001A5BF9">
            <w:pPr>
              <w:spacing w:before="120" w:after="120"/>
              <w:jc w:val="center"/>
              <w:rPr>
                <w:rFonts w:cs="Arial"/>
                <w:sz w:val="16"/>
                <w:szCs w:val="16"/>
              </w:rPr>
            </w:pPr>
            <w:proofErr w:type="spellStart"/>
            <w:r w:rsidRPr="002D02F3">
              <w:rPr>
                <w:sz w:val="16"/>
              </w:rPr>
              <w:t>IV.2</w:t>
            </w:r>
            <w:proofErr w:type="spellEnd"/>
          </w:p>
        </w:tc>
        <w:tc>
          <w:tcPr>
            <w:tcW w:w="4571" w:type="dxa"/>
            <w:tcBorders>
              <w:top w:val="nil"/>
              <w:left w:val="nil"/>
              <w:bottom w:val="single" w:sz="4" w:space="0" w:color="auto"/>
              <w:right w:val="nil"/>
            </w:tcBorders>
            <w:shd w:val="clear" w:color="000000" w:fill="FFFFFF"/>
          </w:tcPr>
          <w:p w:rsidR="00784E52" w:rsidRPr="002D02F3" w:rsidRDefault="00784E52" w:rsidP="001A5BF9">
            <w:pPr>
              <w:spacing w:before="120" w:after="120"/>
              <w:rPr>
                <w:rFonts w:cs="Arial"/>
                <w:sz w:val="16"/>
                <w:szCs w:val="16"/>
              </w:rPr>
            </w:pPr>
            <w:r w:rsidRPr="002D02F3">
              <w:rPr>
                <w:sz w:val="16"/>
              </w:rPr>
              <w:t>Accès amélioré à l</w:t>
            </w:r>
            <w:r w:rsidR="00A20444" w:rsidRPr="002D02F3">
              <w:rPr>
                <w:sz w:val="16"/>
              </w:rPr>
              <w:t>’</w:t>
            </w:r>
            <w:r w:rsidRPr="002D02F3">
              <w:rPr>
                <w:sz w:val="16"/>
              </w:rPr>
              <w:t>information et aux savoirs en matière de propriété intellectuelle, et meilleure utilisation de cette information et de ces savoirs, par les institutions de propriété intellectuelle et le public, pour promouvoir l</w:t>
            </w:r>
            <w:r w:rsidR="00A20444" w:rsidRPr="002D02F3">
              <w:rPr>
                <w:sz w:val="16"/>
              </w:rPr>
              <w:t>’</w:t>
            </w:r>
            <w:r w:rsidRPr="002D02F3">
              <w:rPr>
                <w:sz w:val="16"/>
              </w:rPr>
              <w:t>innovation et faciliter l</w:t>
            </w:r>
            <w:r w:rsidR="00A20444" w:rsidRPr="002D02F3">
              <w:rPr>
                <w:sz w:val="16"/>
              </w:rPr>
              <w:t>’</w:t>
            </w:r>
            <w:r w:rsidRPr="002D02F3">
              <w:rPr>
                <w:sz w:val="16"/>
              </w:rPr>
              <w:t>accès aux œuvres de création protégées et aux œuvres de création dans le domaine public</w:t>
            </w:r>
          </w:p>
        </w:tc>
        <w:tc>
          <w:tcPr>
            <w:tcW w:w="1417" w:type="dxa"/>
            <w:tcBorders>
              <w:top w:val="nil"/>
              <w:left w:val="nil"/>
              <w:bottom w:val="single" w:sz="4" w:space="0" w:color="auto"/>
              <w:right w:val="nil"/>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7 038</w:t>
            </w:r>
          </w:p>
        </w:tc>
        <w:tc>
          <w:tcPr>
            <w:tcW w:w="1418" w:type="dxa"/>
            <w:tcBorders>
              <w:top w:val="nil"/>
              <w:left w:val="nil"/>
              <w:bottom w:val="single" w:sz="4" w:space="0" w:color="auto"/>
              <w:right w:val="nil"/>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7 855</w:t>
            </w:r>
          </w:p>
        </w:tc>
        <w:tc>
          <w:tcPr>
            <w:tcW w:w="1418" w:type="dxa"/>
            <w:tcBorders>
              <w:top w:val="nil"/>
              <w:left w:val="nil"/>
              <w:bottom w:val="single" w:sz="4" w:space="0" w:color="auto"/>
              <w:right w:val="single" w:sz="4" w:space="0" w:color="auto"/>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7 755</w:t>
            </w:r>
          </w:p>
        </w:tc>
      </w:tr>
      <w:tr w:rsidR="00784E52" w:rsidRPr="002D02F3" w:rsidTr="002A762E">
        <w:tc>
          <w:tcPr>
            <w:tcW w:w="537" w:type="dxa"/>
            <w:tcBorders>
              <w:top w:val="nil"/>
              <w:left w:val="single" w:sz="4" w:space="0" w:color="auto"/>
              <w:bottom w:val="single" w:sz="4" w:space="0" w:color="auto"/>
              <w:right w:val="nil"/>
            </w:tcBorders>
            <w:shd w:val="clear" w:color="000000" w:fill="CCFFFF"/>
            <w:noWrap/>
            <w:vAlign w:val="bottom"/>
          </w:tcPr>
          <w:p w:rsidR="00784E52" w:rsidRPr="002D02F3" w:rsidRDefault="00784E52" w:rsidP="001A5BF9">
            <w:pPr>
              <w:spacing w:before="120" w:after="120"/>
              <w:jc w:val="center"/>
              <w:rPr>
                <w:rFonts w:cs="Arial"/>
                <w:b/>
                <w:bCs/>
                <w:sz w:val="16"/>
                <w:szCs w:val="16"/>
              </w:rPr>
            </w:pPr>
            <w:r w:rsidRPr="002D02F3">
              <w:rPr>
                <w:b/>
                <w:sz w:val="16"/>
              </w:rPr>
              <w:t> </w:t>
            </w:r>
          </w:p>
        </w:tc>
        <w:tc>
          <w:tcPr>
            <w:tcW w:w="4571" w:type="dxa"/>
            <w:tcBorders>
              <w:top w:val="nil"/>
              <w:left w:val="nil"/>
              <w:bottom w:val="single" w:sz="4" w:space="0" w:color="auto"/>
              <w:right w:val="nil"/>
            </w:tcBorders>
            <w:shd w:val="clear" w:color="000000" w:fill="CCFFFF"/>
            <w:noWrap/>
            <w:vAlign w:val="center"/>
          </w:tcPr>
          <w:p w:rsidR="00784E52" w:rsidRPr="002D02F3" w:rsidRDefault="00784E52" w:rsidP="001A5BF9">
            <w:pPr>
              <w:spacing w:before="120" w:after="120"/>
              <w:rPr>
                <w:rFonts w:cs="Arial"/>
                <w:b/>
                <w:bCs/>
                <w:sz w:val="16"/>
                <w:szCs w:val="16"/>
              </w:rPr>
            </w:pPr>
            <w:r w:rsidRPr="002D02F3">
              <w:rPr>
                <w:b/>
                <w:sz w:val="16"/>
              </w:rPr>
              <w:t>Total</w:t>
            </w:r>
          </w:p>
        </w:tc>
        <w:tc>
          <w:tcPr>
            <w:tcW w:w="1417" w:type="dxa"/>
            <w:tcBorders>
              <w:top w:val="nil"/>
              <w:left w:val="single" w:sz="4" w:space="0" w:color="auto"/>
              <w:bottom w:val="single" w:sz="4" w:space="0" w:color="auto"/>
              <w:right w:val="single" w:sz="4" w:space="0" w:color="auto"/>
            </w:tcBorders>
            <w:shd w:val="clear" w:color="000000" w:fill="CCFFFF"/>
            <w:vAlign w:val="center"/>
          </w:tcPr>
          <w:p w:rsidR="00784E52" w:rsidRPr="002D02F3" w:rsidRDefault="00784E52" w:rsidP="001A5BF9">
            <w:pPr>
              <w:spacing w:before="120" w:after="120"/>
              <w:jc w:val="right"/>
              <w:rPr>
                <w:rFonts w:cs="Arial"/>
                <w:b/>
                <w:bCs/>
                <w:sz w:val="16"/>
                <w:szCs w:val="16"/>
              </w:rPr>
            </w:pPr>
            <w:r w:rsidRPr="002D02F3">
              <w:rPr>
                <w:b/>
                <w:sz w:val="16"/>
              </w:rPr>
              <w:t>7 038</w:t>
            </w:r>
          </w:p>
        </w:tc>
        <w:tc>
          <w:tcPr>
            <w:tcW w:w="1418" w:type="dxa"/>
            <w:tcBorders>
              <w:top w:val="nil"/>
              <w:left w:val="nil"/>
              <w:bottom w:val="single" w:sz="4" w:space="0" w:color="auto"/>
              <w:right w:val="single" w:sz="4" w:space="0" w:color="auto"/>
            </w:tcBorders>
            <w:shd w:val="clear" w:color="000000" w:fill="CCFFFF"/>
            <w:noWrap/>
            <w:vAlign w:val="center"/>
          </w:tcPr>
          <w:p w:rsidR="00784E52" w:rsidRPr="002D02F3" w:rsidRDefault="00784E52" w:rsidP="001A5BF9">
            <w:pPr>
              <w:spacing w:before="120" w:after="120"/>
              <w:jc w:val="right"/>
              <w:rPr>
                <w:rFonts w:cs="Arial"/>
                <w:b/>
                <w:bCs/>
                <w:sz w:val="16"/>
                <w:szCs w:val="16"/>
              </w:rPr>
            </w:pPr>
            <w:r w:rsidRPr="002D02F3">
              <w:rPr>
                <w:b/>
                <w:sz w:val="16"/>
              </w:rPr>
              <w:t>7 855</w:t>
            </w:r>
          </w:p>
        </w:tc>
        <w:tc>
          <w:tcPr>
            <w:tcW w:w="1418" w:type="dxa"/>
            <w:tcBorders>
              <w:top w:val="nil"/>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right"/>
              <w:rPr>
                <w:rFonts w:cs="Arial"/>
                <w:b/>
                <w:bCs/>
                <w:sz w:val="16"/>
                <w:szCs w:val="16"/>
              </w:rPr>
            </w:pPr>
            <w:r w:rsidRPr="002D02F3">
              <w:rPr>
                <w:b/>
                <w:sz w:val="16"/>
              </w:rPr>
              <w:t>7 755</w:t>
            </w:r>
          </w:p>
        </w:tc>
      </w:tr>
    </w:tbl>
    <w:p w:rsidR="00D42474" w:rsidRDefault="00D42474" w:rsidP="001A5BF9">
      <w:pPr>
        <w:rPr>
          <w:rFonts w:cs="Arial"/>
          <w:szCs w:val="22"/>
        </w:rPr>
      </w:pPr>
    </w:p>
    <w:p w:rsidR="00D42474" w:rsidRDefault="00D42474" w:rsidP="001A5BF9">
      <w:pPr>
        <w:rPr>
          <w:rFonts w:cs="Arial"/>
          <w:szCs w:val="22"/>
        </w:rPr>
      </w:pPr>
    </w:p>
    <w:p w:rsidR="00D42474" w:rsidRDefault="002D02F3">
      <w:pPr>
        <w:rPr>
          <w:rFonts w:cs="Arial"/>
          <w:szCs w:val="18"/>
        </w:rPr>
      </w:pPr>
      <w:r>
        <w:br w:type="page"/>
      </w:r>
    </w:p>
    <w:p w:rsidR="00D42474" w:rsidRDefault="00784E52" w:rsidP="001A5BF9">
      <w:pPr>
        <w:pStyle w:val="NormalWeb"/>
        <w:spacing w:before="0" w:beforeAutospacing="0" w:after="0" w:afterAutospacing="0"/>
        <w:jc w:val="center"/>
        <w:rPr>
          <w:sz w:val="20"/>
        </w:rPr>
      </w:pPr>
      <w:r w:rsidRPr="002D02F3">
        <w:rPr>
          <w:sz w:val="20"/>
        </w:rPr>
        <w:t xml:space="preserve">Budget et dépenses effectives (dépenses de </w:t>
      </w:r>
      <w:proofErr w:type="gramStart"/>
      <w:r w:rsidRPr="002D02F3">
        <w:rPr>
          <w:sz w:val="20"/>
        </w:rPr>
        <w:t>personnel et autres dépenses</w:t>
      </w:r>
      <w:proofErr w:type="gramEnd"/>
      <w:r w:rsidRPr="002D02F3">
        <w:rPr>
          <w:sz w:val="20"/>
        </w:rPr>
        <w:t>)</w:t>
      </w:r>
    </w:p>
    <w:p w:rsidR="00D42474" w:rsidRDefault="00784E52"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784E52" w:rsidRPr="002D02F3" w:rsidRDefault="00784E52" w:rsidP="001A5BF9">
      <w:pPr>
        <w:rPr>
          <w:rFonts w:cs="Arial"/>
          <w:szCs w:val="22"/>
        </w:rPr>
      </w:pPr>
    </w:p>
    <w:tbl>
      <w:tblPr>
        <w:tblW w:w="9356" w:type="dxa"/>
        <w:tblInd w:w="108" w:type="dxa"/>
        <w:tblLook w:val="04A0" w:firstRow="1" w:lastRow="0" w:firstColumn="1" w:lastColumn="0" w:noHBand="0" w:noVBand="1"/>
      </w:tblPr>
      <w:tblGrid>
        <w:gridCol w:w="2694"/>
        <w:gridCol w:w="1665"/>
        <w:gridCol w:w="1737"/>
        <w:gridCol w:w="1594"/>
        <w:gridCol w:w="1666"/>
      </w:tblGrid>
      <w:tr w:rsidR="00784E52" w:rsidRPr="002D02F3" w:rsidTr="00BB3F3E">
        <w:tc>
          <w:tcPr>
            <w:tcW w:w="2694"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2D02F3" w:rsidRDefault="00784E52" w:rsidP="001A5BF9">
            <w:pPr>
              <w:spacing w:before="120" w:after="120"/>
              <w:rPr>
                <w:rFonts w:cs="Arial"/>
                <w:sz w:val="16"/>
                <w:szCs w:val="16"/>
              </w:rPr>
            </w:pPr>
            <w:r w:rsidRPr="002D02F3">
              <w:rPr>
                <w:sz w:val="16"/>
              </w:rPr>
              <w:t> </w:t>
            </w:r>
          </w:p>
        </w:tc>
        <w:tc>
          <w:tcPr>
            <w:tcW w:w="1665"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737"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594"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666"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utilisation (</w:t>
            </w:r>
            <w:r w:rsidR="007E442D" w:rsidRPr="002D02F3">
              <w:rPr>
                <w:sz w:val="16"/>
              </w:rPr>
              <w:t>%</w:t>
            </w:r>
            <w:r w:rsidRPr="002D02F3">
              <w:rPr>
                <w:sz w:val="16"/>
              </w:rPr>
              <w:t>)</w:t>
            </w:r>
          </w:p>
        </w:tc>
      </w:tr>
      <w:tr w:rsidR="00784E52" w:rsidRPr="002D02F3" w:rsidTr="00BB3F3E">
        <w:trPr>
          <w:trHeight w:val="495"/>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665"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5 650</w:t>
            </w:r>
          </w:p>
        </w:tc>
        <w:tc>
          <w:tcPr>
            <w:tcW w:w="1737"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6 585</w:t>
            </w:r>
          </w:p>
        </w:tc>
        <w:tc>
          <w:tcPr>
            <w:tcW w:w="1594"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6 585</w:t>
            </w:r>
          </w:p>
        </w:tc>
        <w:tc>
          <w:tcPr>
            <w:tcW w:w="1666"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100</w:t>
            </w:r>
            <w:r w:rsidR="007E442D" w:rsidRPr="002D02F3">
              <w:rPr>
                <w:sz w:val="16"/>
              </w:rPr>
              <w:t>%</w:t>
            </w:r>
          </w:p>
        </w:tc>
      </w:tr>
      <w:tr w:rsidR="00784E52" w:rsidRPr="002D02F3" w:rsidTr="00BB3F3E">
        <w:trPr>
          <w:trHeight w:val="495"/>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rPr>
                <w:rFonts w:cs="Arial"/>
                <w:sz w:val="16"/>
                <w:szCs w:val="16"/>
              </w:rPr>
            </w:pPr>
            <w:r w:rsidRPr="002D02F3">
              <w:rPr>
                <w:sz w:val="16"/>
              </w:rPr>
              <w:t xml:space="preserve">Autres dépenses </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1 388</w:t>
            </w:r>
          </w:p>
        </w:tc>
        <w:tc>
          <w:tcPr>
            <w:tcW w:w="1737"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1 270</w:t>
            </w:r>
          </w:p>
        </w:tc>
        <w:tc>
          <w:tcPr>
            <w:tcW w:w="1594"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1 170</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92</w:t>
            </w:r>
            <w:r w:rsidR="007E442D" w:rsidRPr="002D02F3">
              <w:rPr>
                <w:sz w:val="16"/>
              </w:rPr>
              <w:t>%</w:t>
            </w:r>
          </w:p>
        </w:tc>
      </w:tr>
      <w:tr w:rsidR="00784E52" w:rsidRPr="002D02F3" w:rsidTr="00BB3F3E">
        <w:trPr>
          <w:trHeight w:val="495"/>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jc w:val="right"/>
              <w:rPr>
                <w:rFonts w:cs="Arial"/>
                <w:b/>
                <w:bCs/>
                <w:sz w:val="16"/>
                <w:szCs w:val="16"/>
              </w:rPr>
            </w:pPr>
            <w:r w:rsidRPr="002D02F3">
              <w:rPr>
                <w:b/>
                <w:sz w:val="16"/>
              </w:rPr>
              <w:t xml:space="preserve"> TOTAL </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7 038</w:t>
            </w:r>
          </w:p>
        </w:tc>
        <w:tc>
          <w:tcPr>
            <w:tcW w:w="1737"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7 855</w:t>
            </w:r>
          </w:p>
        </w:tc>
        <w:tc>
          <w:tcPr>
            <w:tcW w:w="1594"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7 755</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99</w:t>
            </w:r>
            <w:r w:rsidR="007E442D" w:rsidRPr="002D02F3">
              <w:rPr>
                <w:b/>
                <w:sz w:val="16"/>
              </w:rPr>
              <w:t>%</w:t>
            </w:r>
          </w:p>
        </w:tc>
      </w:tr>
    </w:tbl>
    <w:p w:rsidR="00D42474" w:rsidRDefault="00D42474" w:rsidP="001A5BF9">
      <w:pPr>
        <w:autoSpaceDE w:val="0"/>
        <w:autoSpaceDN w:val="0"/>
        <w:rPr>
          <w:sz w:val="16"/>
          <w:szCs w:val="16"/>
        </w:rPr>
      </w:pPr>
    </w:p>
    <w:p w:rsidR="00D42474" w:rsidRDefault="00784E52" w:rsidP="001A5BF9">
      <w:pPr>
        <w:autoSpaceDE w:val="0"/>
        <w:autoSpaceDN w:val="0"/>
        <w:rPr>
          <w:sz w:val="16"/>
          <w:szCs w:val="16"/>
        </w:rPr>
      </w:pPr>
      <w:proofErr w:type="gramStart"/>
      <w:r w:rsidRPr="002D02F3">
        <w:rPr>
          <w:sz w:val="16"/>
        </w:rPr>
        <w:t>NOTES</w:t>
      </w:r>
      <w:proofErr w:type="gramEnd"/>
      <w:r w:rsidR="0010442A" w:rsidRPr="002D02F3">
        <w:rPr>
          <w:sz w:val="16"/>
        </w:rPr>
        <w:t> </w:t>
      </w:r>
      <w:r w:rsidRPr="002D02F3">
        <w:rPr>
          <w:sz w:val="16"/>
        </w:rPr>
        <w:t>:</w:t>
      </w:r>
    </w:p>
    <w:p w:rsidR="00D42474" w:rsidRDefault="00D42474" w:rsidP="001A5BF9">
      <w:pPr>
        <w:autoSpaceDE w:val="0"/>
        <w:autoSpaceDN w:val="0"/>
        <w:rPr>
          <w:sz w:val="16"/>
          <w:szCs w:val="16"/>
        </w:rPr>
      </w:pPr>
    </w:p>
    <w:p w:rsidR="00D42474" w:rsidRDefault="00784E52" w:rsidP="001A5BF9">
      <w:pPr>
        <w:autoSpaceDE w:val="0"/>
        <w:autoSpaceDN w:val="0"/>
        <w:rPr>
          <w:sz w:val="16"/>
          <w:szCs w:val="16"/>
        </w:rPr>
      </w:pPr>
      <w:r w:rsidRPr="002D02F3">
        <w:rPr>
          <w:sz w:val="16"/>
        </w:rPr>
        <w:t>1)</w:t>
      </w:r>
      <w:r w:rsidR="004F3E42" w:rsidRPr="002D02F3">
        <w:rPr>
          <w:sz w:val="16"/>
        </w:rPr>
        <w:t xml:space="preserve"> </w:t>
      </w:r>
      <w:r w:rsidR="002D02F3">
        <w:rPr>
          <w:sz w:val="16"/>
        </w:rPr>
        <w:tab/>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autoSpaceDE w:val="0"/>
        <w:autoSpaceDN w:val="0"/>
        <w:rPr>
          <w:sz w:val="16"/>
          <w:szCs w:val="16"/>
        </w:rPr>
      </w:pPr>
    </w:p>
    <w:p w:rsidR="00D42474" w:rsidRDefault="00784E52" w:rsidP="001A5BF9">
      <w:pPr>
        <w:autoSpaceDE w:val="0"/>
        <w:autoSpaceDN w:val="0"/>
        <w:rPr>
          <w:sz w:val="16"/>
        </w:rPr>
      </w:pPr>
      <w:r w:rsidRPr="002D02F3">
        <w:rPr>
          <w:sz w:val="16"/>
        </w:rPr>
        <w:t>2)</w:t>
      </w:r>
      <w:r w:rsidR="002D02F3">
        <w:rPr>
          <w:sz w:val="16"/>
        </w:rPr>
        <w:tab/>
      </w:r>
      <w:r w:rsidRPr="002D02F3">
        <w:rPr>
          <w:sz w:val="16"/>
        </w:rPr>
        <w:t>Les dépenses de personnel indiquées dans le budget de l</w:t>
      </w:r>
      <w:r w:rsidR="00A20444" w:rsidRPr="002D02F3">
        <w:rPr>
          <w:sz w:val="16"/>
        </w:rPr>
        <w:t>’</w:t>
      </w:r>
      <w:r w:rsidRPr="002D02F3">
        <w:rPr>
          <w:sz w:val="16"/>
        </w:rPr>
        <w:t>exercice 2012</w:t>
      </w:r>
      <w:r w:rsidR="002D6F2A" w:rsidRPr="002D02F3">
        <w:rPr>
          <w:sz w:val="16"/>
        </w:rPr>
        <w:noBreakHyphen/>
      </w:r>
      <w:r w:rsidRPr="002D02F3">
        <w:rPr>
          <w:sz w:val="16"/>
        </w:rPr>
        <w:t>2013 après virements représentent les dépenses réelles engagées pendant l</w:t>
      </w:r>
      <w:r w:rsidR="00A20444" w:rsidRPr="002D02F3">
        <w:rPr>
          <w:sz w:val="16"/>
        </w:rPr>
        <w:t>’</w:t>
      </w:r>
      <w:r w:rsidRPr="002D02F3">
        <w:rPr>
          <w:sz w:val="16"/>
        </w:rPr>
        <w:t>exercice biennal.</w:t>
      </w:r>
    </w:p>
    <w:p w:rsidR="00D42474" w:rsidRDefault="00D42474" w:rsidP="001A5BF9">
      <w:pPr>
        <w:autoSpaceDE w:val="0"/>
        <w:autoSpaceDN w:val="0"/>
        <w:rPr>
          <w:szCs w:val="20"/>
        </w:rPr>
      </w:pPr>
    </w:p>
    <w:p w:rsidR="00D42474" w:rsidRDefault="00D42474" w:rsidP="001A5BF9">
      <w:pPr>
        <w:autoSpaceDE w:val="0"/>
        <w:autoSpaceDN w:val="0"/>
        <w:rPr>
          <w:szCs w:val="20"/>
        </w:rPr>
      </w:pPr>
    </w:p>
    <w:p w:rsidR="00D42474" w:rsidRDefault="00784E52" w:rsidP="001A5BF9">
      <w:pPr>
        <w:tabs>
          <w:tab w:val="left" w:pos="709"/>
        </w:tabs>
        <w:autoSpaceDE w:val="0"/>
        <w:autoSpaceDN w:val="0"/>
        <w:adjustRightInd w:val="0"/>
        <w:rPr>
          <w:rFonts w:cs="Arial"/>
          <w:szCs w:val="20"/>
          <w:u w:val="single"/>
        </w:rPr>
      </w:pPr>
      <w:r w:rsidRPr="002D02F3">
        <w:t>A.</w:t>
      </w:r>
      <w:r w:rsidRPr="002D02F3">
        <w:tab/>
      </w:r>
      <w:r w:rsidRPr="002D02F3">
        <w:rPr>
          <w:u w:val="single"/>
        </w:rPr>
        <w:t>Budget 2012</w:t>
      </w:r>
      <w:r w:rsidR="002D6F2A" w:rsidRPr="002D02F3">
        <w:rPr>
          <w:u w:val="single"/>
        </w:rPr>
        <w:noBreakHyphen/>
      </w:r>
      <w:r w:rsidRPr="002D02F3">
        <w:rPr>
          <w:u w:val="single"/>
        </w:rPr>
        <w:t>2013 après virements</w:t>
      </w:r>
    </w:p>
    <w:p w:rsidR="00D42474" w:rsidRDefault="00D42474" w:rsidP="001A5BF9">
      <w:pPr>
        <w:autoSpaceDE w:val="0"/>
        <w:autoSpaceDN w:val="0"/>
        <w:adjustRightInd w:val="0"/>
        <w:rPr>
          <w:rFonts w:cs="Arial"/>
          <w:szCs w:val="20"/>
        </w:rPr>
      </w:pPr>
    </w:p>
    <w:p w:rsidR="00D42474" w:rsidRDefault="00784E52" w:rsidP="001A5BF9">
      <w:pPr>
        <w:keepNext/>
        <w:keepLines/>
        <w:tabs>
          <w:tab w:val="left" w:pos="709"/>
        </w:tabs>
        <w:jc w:val="both"/>
      </w:pPr>
      <w:r w:rsidRPr="002D02F3">
        <w:t>14.9.</w:t>
      </w:r>
      <w:r w:rsidRPr="002D02F3">
        <w:tab/>
        <w:t>Le budget après virements reflète : i) un accroissement des ressources en personnel résultant d</w:t>
      </w:r>
      <w:r w:rsidR="00A20444" w:rsidRPr="002D02F3">
        <w:t>’</w:t>
      </w:r>
      <w:r w:rsidRPr="002D02F3">
        <w:t>un redéploiement interne à l</w:t>
      </w:r>
      <w:r w:rsidR="00A20444" w:rsidRPr="002D02F3">
        <w:t>’</w:t>
      </w:r>
      <w:r w:rsidRPr="002D02F3">
        <w:t>appui des travaux liés aux séminaires et ateliers sur l</w:t>
      </w:r>
      <w:r w:rsidR="00A20444" w:rsidRPr="002D02F3">
        <w:t>’</w:t>
      </w:r>
      <w:r w:rsidRPr="002D02F3">
        <w:t>accès à l</w:t>
      </w:r>
      <w:r w:rsidR="00A20444" w:rsidRPr="002D02F3">
        <w:t>’</w:t>
      </w:r>
      <w:r w:rsidRPr="002D02F3">
        <w:t>information, aux savoirs et au contenu en matière de propriété intellectuelle et sur l</w:t>
      </w:r>
      <w:r w:rsidR="00A20444" w:rsidRPr="002D02F3">
        <w:t>’</w:t>
      </w:r>
      <w:r w:rsidRPr="002D02F3">
        <w:t>accès aux publications en ligne et sur papier ainsi qu</w:t>
      </w:r>
      <w:r w:rsidR="00A20444" w:rsidRPr="002D02F3">
        <w:t>’</w:t>
      </w:r>
      <w:r w:rsidRPr="002D02F3">
        <w:t>aux CATI dans les États membres;</w:t>
      </w:r>
      <w:r w:rsidR="004F3E42" w:rsidRPr="002D02F3">
        <w:t xml:space="preserve"> </w:t>
      </w:r>
      <w:r w:rsidR="0010442A" w:rsidRPr="002D02F3">
        <w:t xml:space="preserve"> </w:t>
      </w:r>
      <w:r w:rsidRPr="002D02F3">
        <w:t>et ii) la régularisation de plusieurs agents temporaires de longue durée du programme exécutant des fonctions de nature continue.</w:t>
      </w:r>
    </w:p>
    <w:p w:rsidR="00D42474" w:rsidRDefault="00D42474" w:rsidP="001A5BF9">
      <w:pPr>
        <w:autoSpaceDE w:val="0"/>
        <w:autoSpaceDN w:val="0"/>
        <w:adjustRightInd w:val="0"/>
        <w:jc w:val="both"/>
        <w:rPr>
          <w:rFonts w:cs="Arial"/>
          <w:szCs w:val="20"/>
        </w:rPr>
      </w:pPr>
    </w:p>
    <w:p w:rsidR="00D42474" w:rsidRDefault="00784E52" w:rsidP="001A5BF9">
      <w:pPr>
        <w:keepNext/>
        <w:tabs>
          <w:tab w:val="left" w:pos="709"/>
        </w:tabs>
        <w:autoSpaceDE w:val="0"/>
        <w:autoSpaceDN w:val="0"/>
        <w:jc w:val="both"/>
        <w:rPr>
          <w:szCs w:val="20"/>
        </w:rPr>
      </w:pPr>
      <w:r w:rsidRPr="002D02F3">
        <w:t>14.10 L</w:t>
      </w:r>
      <w:r w:rsidR="00A20444" w:rsidRPr="002D02F3">
        <w:t>’</w:t>
      </w:r>
      <w:r w:rsidRPr="002D02F3">
        <w:t>affectation aux dépenses autres pour le budget 2012</w:t>
      </w:r>
      <w:r w:rsidR="002D6F2A" w:rsidRPr="002D02F3">
        <w:noBreakHyphen/>
      </w:r>
      <w:r w:rsidRPr="002D02F3">
        <w:t>2013 après virements, tient compte des ajustements à la baisse opérés pour réduire les coûts conformément aux engagements de l</w:t>
      </w:r>
      <w:r w:rsidR="00A20444" w:rsidRPr="002D02F3">
        <w:t>’</w:t>
      </w:r>
      <w:r w:rsidRPr="002D02F3">
        <w:t>Organisation de réduire les dépenses de 10,2</w:t>
      </w:r>
      <w:r w:rsidR="0010442A" w:rsidRPr="002D02F3">
        <w:t> </w:t>
      </w:r>
      <w:r w:rsidRPr="002D02F3">
        <w:t>millions de francs suisses pour l</w:t>
      </w:r>
      <w:r w:rsidR="00A20444" w:rsidRPr="002D02F3">
        <w:t>’</w:t>
      </w:r>
      <w:r w:rsidRPr="002D02F3">
        <w:t>exercice biennal</w:t>
      </w:r>
      <w:r w:rsidR="0010442A" w:rsidRPr="002D02F3">
        <w:t> </w:t>
      </w:r>
      <w:r w:rsidRPr="002D02F3">
        <w:t>2012</w:t>
      </w:r>
      <w:r w:rsidR="002D6F2A" w:rsidRPr="002D02F3">
        <w:noBreakHyphen/>
      </w:r>
      <w:r w:rsidRPr="002D02F3">
        <w:t>2013.</w:t>
      </w:r>
    </w:p>
    <w:p w:rsidR="00D42474" w:rsidRDefault="00D42474" w:rsidP="001A5BF9">
      <w:pPr>
        <w:autoSpaceDE w:val="0"/>
        <w:autoSpaceDN w:val="0"/>
        <w:adjustRightInd w:val="0"/>
        <w:jc w:val="both"/>
        <w:rPr>
          <w:rFonts w:cs="Arial"/>
          <w:szCs w:val="20"/>
        </w:rPr>
      </w:pPr>
    </w:p>
    <w:p w:rsidR="00D42474" w:rsidRDefault="00784E52" w:rsidP="001A5BF9">
      <w:pPr>
        <w:tabs>
          <w:tab w:val="left" w:pos="709"/>
        </w:tabs>
        <w:autoSpaceDE w:val="0"/>
        <w:autoSpaceDN w:val="0"/>
        <w:adjustRightInd w:val="0"/>
        <w:jc w:val="both"/>
        <w:rPr>
          <w:rFonts w:cs="Arial"/>
          <w:szCs w:val="20"/>
          <w:u w:val="single"/>
        </w:rPr>
      </w:pPr>
      <w:r w:rsidRPr="002D02F3">
        <w:t>B.</w:t>
      </w:r>
      <w:r w:rsidRPr="002D02F3">
        <w:tab/>
      </w:r>
      <w:r w:rsidRPr="002D02F3">
        <w:rPr>
          <w:u w:val="single"/>
        </w:rPr>
        <w:t>Utilisation du budget 2012</w:t>
      </w:r>
      <w:r w:rsidR="002D6F2A" w:rsidRPr="002D02F3">
        <w:rPr>
          <w:u w:val="single"/>
        </w:rPr>
        <w:noBreakHyphen/>
      </w:r>
      <w:r w:rsidRPr="002D02F3">
        <w:rPr>
          <w:u w:val="single"/>
        </w:rPr>
        <w:t>2013</w:t>
      </w:r>
    </w:p>
    <w:p w:rsidR="00D42474" w:rsidRDefault="00D42474" w:rsidP="001A5BF9">
      <w:pPr>
        <w:autoSpaceDE w:val="0"/>
        <w:autoSpaceDN w:val="0"/>
        <w:adjustRightInd w:val="0"/>
        <w:jc w:val="both"/>
        <w:rPr>
          <w:rFonts w:cs="Arial"/>
          <w:szCs w:val="20"/>
        </w:rPr>
      </w:pPr>
    </w:p>
    <w:p w:rsidR="00D42474" w:rsidRDefault="00784E52" w:rsidP="001A5BF9">
      <w:pPr>
        <w:tabs>
          <w:tab w:val="left" w:pos="709"/>
        </w:tabs>
        <w:autoSpaceDE w:val="0"/>
        <w:autoSpaceDN w:val="0"/>
        <w:adjustRightInd w:val="0"/>
        <w:jc w:val="both"/>
      </w:pPr>
      <w:r w:rsidRPr="002D02F3">
        <w:t>14.11.</w:t>
      </w:r>
      <w:r w:rsidRPr="002D02F3">
        <w:tab/>
        <w:t>Le taux d</w:t>
      </w:r>
      <w:r w:rsidR="00A20444" w:rsidRPr="002D02F3">
        <w:t>’</w:t>
      </w:r>
      <w:r w:rsidRPr="002D02F3">
        <w:t>utilisation du budget de 92</w:t>
      </w:r>
      <w:r w:rsidR="007E442D" w:rsidRPr="002D02F3">
        <w:t>%</w:t>
      </w:r>
      <w:r w:rsidRPr="002D02F3">
        <w:t xml:space="preserve"> reflète des dépenses légèrement inférieures à celles prévues, essentiellement pour les raisons suivantes : i) l</w:t>
      </w:r>
      <w:r w:rsidR="00A20444" w:rsidRPr="002D02F3">
        <w:t>’</w:t>
      </w:r>
      <w:r w:rsidRPr="002D02F3">
        <w:t>approbation de la phase II du projet du Plan d</w:t>
      </w:r>
      <w:r w:rsidR="00A20444" w:rsidRPr="002D02F3">
        <w:t>’</w:t>
      </w:r>
      <w:r w:rsidRPr="002D02F3">
        <w:t>action sur l</w:t>
      </w:r>
      <w:r w:rsidR="00A20444" w:rsidRPr="002D02F3">
        <w:t>’</w:t>
      </w:r>
      <w:r w:rsidRPr="002D02F3">
        <w:t>accès à l</w:t>
      </w:r>
      <w:r w:rsidR="00A20444" w:rsidRPr="002D02F3">
        <w:t>’</w:t>
      </w:r>
      <w:r w:rsidRPr="002D02F3">
        <w:t>information en matière de brevets par la dixième session</w:t>
      </w:r>
      <w:r w:rsidR="00A20444" w:rsidRPr="002D02F3">
        <w:t xml:space="preserve"> du CDI</w:t>
      </w:r>
      <w:r w:rsidRPr="002D02F3">
        <w:t>P en novembre 2012 seulement;</w:t>
      </w:r>
      <w:r w:rsidR="004F3E42" w:rsidRPr="002D02F3">
        <w:t xml:space="preserve"> </w:t>
      </w:r>
      <w:r w:rsidR="0010442A" w:rsidRPr="002D02F3">
        <w:t xml:space="preserve"> </w:t>
      </w:r>
      <w:r w:rsidRPr="002D02F3">
        <w:t>et ii) les économies réalisées sur les voyages et les services contractuels sur le même projet.</w:t>
      </w:r>
    </w:p>
    <w:p w:rsidR="00D42474" w:rsidRDefault="00784E52" w:rsidP="001A5BF9">
      <w:pPr>
        <w:pStyle w:val="Heading3"/>
        <w:rPr>
          <w:szCs w:val="22"/>
        </w:rPr>
      </w:pPr>
      <w:r w:rsidRPr="005C7CCE">
        <w:br w:type="page"/>
      </w:r>
      <w:bookmarkStart w:id="30" w:name="_Toc395082482"/>
      <w:r w:rsidRPr="0023086A">
        <w:rPr>
          <w:szCs w:val="22"/>
        </w:rPr>
        <w:t>Programme 15</w:t>
      </w:r>
      <w:r w:rsidRPr="0023086A">
        <w:rPr>
          <w:szCs w:val="22"/>
        </w:rPr>
        <w:tab/>
        <w:t>Solutions opérationnelles pour les offices de propriété intellectuelle</w:t>
      </w:r>
      <w:bookmarkEnd w:id="30"/>
    </w:p>
    <w:p w:rsidR="00D42474" w:rsidRDefault="00D42474" w:rsidP="001A5BF9">
      <w:pPr>
        <w:ind w:left="2268" w:hanging="2268"/>
        <w:rPr>
          <w:sz w:val="22"/>
          <w:szCs w:val="22"/>
        </w:rPr>
      </w:pPr>
    </w:p>
    <w:p w:rsidR="00D42474" w:rsidRDefault="00784E52" w:rsidP="001A5BF9">
      <w:pPr>
        <w:ind w:left="2268" w:hanging="2268"/>
        <w:rPr>
          <w:rFonts w:cs="Arial"/>
          <w:b/>
          <w:sz w:val="22"/>
          <w:szCs w:val="22"/>
        </w:rPr>
      </w:pPr>
      <w:r w:rsidRPr="0023086A">
        <w:rPr>
          <w:b/>
          <w:sz w:val="22"/>
          <w:szCs w:val="22"/>
        </w:rPr>
        <w:t>Chef de programme</w:t>
      </w:r>
      <w:r w:rsidRPr="0023086A">
        <w:rPr>
          <w:b/>
          <w:sz w:val="22"/>
          <w:szCs w:val="22"/>
        </w:rPr>
        <w:tab/>
      </w:r>
      <w:r w:rsidRPr="0023086A">
        <w:rPr>
          <w:b/>
          <w:sz w:val="22"/>
          <w:szCs w:val="22"/>
        </w:rPr>
        <w:tab/>
        <w:t>M. Y.</w:t>
      </w:r>
      <w:r w:rsidR="0010442A" w:rsidRPr="0023086A">
        <w:rPr>
          <w:b/>
          <w:sz w:val="22"/>
          <w:szCs w:val="22"/>
        </w:rPr>
        <w:t> </w:t>
      </w:r>
      <w:proofErr w:type="spellStart"/>
      <w:r w:rsidRPr="0023086A">
        <w:rPr>
          <w:b/>
          <w:sz w:val="22"/>
          <w:szCs w:val="22"/>
        </w:rPr>
        <w:t>Takagi</w:t>
      </w:r>
      <w:proofErr w:type="spellEnd"/>
    </w:p>
    <w:p w:rsidR="00D42474" w:rsidRDefault="00D42474" w:rsidP="001A5BF9">
      <w:pPr>
        <w:ind w:left="2268" w:hanging="2268"/>
        <w:rPr>
          <w:sz w:val="22"/>
          <w:szCs w:val="22"/>
        </w:rPr>
      </w:pPr>
    </w:p>
    <w:p w:rsidR="00D42474" w:rsidRDefault="00D42474" w:rsidP="001A5BF9">
      <w:pPr>
        <w:ind w:left="2268" w:hanging="2268"/>
        <w:rPr>
          <w:bCs/>
          <w:sz w:val="22"/>
          <w:szCs w:val="22"/>
        </w:rPr>
      </w:pPr>
    </w:p>
    <w:p w:rsidR="00D42474" w:rsidRDefault="00784E52" w:rsidP="001A5BF9">
      <w:pPr>
        <w:ind w:left="2268" w:hanging="2268"/>
        <w:rPr>
          <w:sz w:val="22"/>
          <w:szCs w:val="22"/>
        </w:rPr>
      </w:pPr>
      <w:r w:rsidRPr="0023086A">
        <w:rPr>
          <w:sz w:val="22"/>
          <w:szCs w:val="22"/>
        </w:rPr>
        <w:t>RÉALISATIONS EN 2012</w:t>
      </w:r>
      <w:r w:rsidR="002D6F2A" w:rsidRPr="0023086A">
        <w:rPr>
          <w:sz w:val="22"/>
          <w:szCs w:val="22"/>
        </w:rPr>
        <w:noBreakHyphen/>
      </w:r>
      <w:r w:rsidRPr="0023086A">
        <w:rPr>
          <w:sz w:val="22"/>
          <w:szCs w:val="22"/>
        </w:rPr>
        <w:t>2013</w:t>
      </w:r>
    </w:p>
    <w:p w:rsidR="00D42474" w:rsidRDefault="00D42474" w:rsidP="001A5BF9">
      <w:pPr>
        <w:rPr>
          <w:sz w:val="22"/>
          <w:szCs w:val="22"/>
        </w:rPr>
      </w:pPr>
    </w:p>
    <w:p w:rsidR="00D42474" w:rsidRDefault="00784E52" w:rsidP="001A5BF9">
      <w:pPr>
        <w:tabs>
          <w:tab w:val="left" w:pos="709"/>
        </w:tabs>
        <w:jc w:val="both"/>
      </w:pPr>
      <w:r w:rsidRPr="002D02F3">
        <w:t>15.1.</w:t>
      </w:r>
      <w:r w:rsidRPr="002D02F3">
        <w:tab/>
        <w:t>L</w:t>
      </w:r>
      <w:r w:rsidR="00A20444" w:rsidRPr="002D02F3">
        <w:t>’</w:t>
      </w:r>
      <w:r w:rsidRPr="002D02F3">
        <w:t>exercice biennal a confirmé un changement des conditions structurelles en vertu desquelles le programme fonctionnait, en particulier pour soutenir la demande croissante à l</w:t>
      </w:r>
      <w:r w:rsidR="00A20444" w:rsidRPr="002D02F3">
        <w:t>’</w:t>
      </w:r>
      <w:r w:rsidRPr="002D02F3">
        <w:t>égard des solutions opérationnelles de l</w:t>
      </w:r>
      <w:r w:rsidR="00A20444" w:rsidRPr="002D02F3">
        <w:t>’</w:t>
      </w:r>
      <w:r w:rsidRPr="002D02F3">
        <w:t>OMPI destinées aux offices de propriété intellectuelle, non seulement des solutions de base, mais également des solutions plus complexes, le tout fournissant aux offices de propriété intellectuelle des solutions opérationnelles ainsi que des outils techniques et plates</w:t>
      </w:r>
      <w:r w:rsidR="002D6F2A" w:rsidRPr="002D02F3">
        <w:noBreakHyphen/>
      </w:r>
      <w:r w:rsidRPr="002D02F3">
        <w:t>formes d</w:t>
      </w:r>
      <w:r w:rsidR="00A20444" w:rsidRPr="002D02F3">
        <w:t>’</w:t>
      </w:r>
      <w:r w:rsidRPr="002D02F3">
        <w:t xml:space="preserve">appui pour une administration économique et efficace des demandes en matière de propriété intellectuelle. </w:t>
      </w:r>
      <w:r w:rsidR="0010442A" w:rsidRPr="002D02F3">
        <w:t xml:space="preserve"> </w:t>
      </w:r>
      <w:r w:rsidRPr="002D02F3">
        <w:t>Le modèle de déploiement et d</w:t>
      </w:r>
      <w:r w:rsidR="00A20444" w:rsidRPr="002D02F3">
        <w:t>’</w:t>
      </w:r>
      <w:r w:rsidRPr="002D02F3">
        <w:t>appui existant du programme avait été créé avec une équipe réduite de l</w:t>
      </w:r>
      <w:r w:rsidR="00A20444" w:rsidRPr="002D02F3">
        <w:t>’</w:t>
      </w:r>
      <w:r w:rsidRPr="002D02F3">
        <w:t>OMPI, au service de moins d</w:t>
      </w:r>
      <w:r w:rsidR="00A20444" w:rsidRPr="002D02F3">
        <w:t>’</w:t>
      </w:r>
      <w:r w:rsidRPr="002D02F3">
        <w:t xml:space="preserve">offices ayant des besoins moindres. </w:t>
      </w:r>
      <w:r w:rsidR="0010442A" w:rsidRPr="002D02F3">
        <w:t xml:space="preserve"> </w:t>
      </w:r>
      <w:r w:rsidRPr="002D02F3">
        <w:t>Au cours de l</w:t>
      </w:r>
      <w:r w:rsidR="00A20444" w:rsidRPr="002D02F3">
        <w:t>’</w:t>
      </w:r>
      <w:r w:rsidRPr="002D02F3">
        <w:t>exercice biennal</w:t>
      </w:r>
      <w:r w:rsidR="0010442A" w:rsidRPr="002D02F3">
        <w:t> </w:t>
      </w:r>
      <w:r w:rsidRPr="002D02F3">
        <w:t>2012</w:t>
      </w:r>
      <w:r w:rsidR="002D6F2A" w:rsidRPr="002D02F3">
        <w:noBreakHyphen/>
      </w:r>
      <w:r w:rsidRPr="002D02F3">
        <w:t>2013, une augmentation de la demande à l</w:t>
      </w:r>
      <w:r w:rsidR="00A20444" w:rsidRPr="002D02F3">
        <w:t>’</w:t>
      </w:r>
      <w:r w:rsidRPr="002D02F3">
        <w:t>égard des solutions opérationnelles de l</w:t>
      </w:r>
      <w:r w:rsidR="00A20444" w:rsidRPr="002D02F3">
        <w:t>’</w:t>
      </w:r>
      <w:r w:rsidRPr="002D02F3">
        <w:t xml:space="preserve">OMPI destinées aux offices de propriété intellectuelle et des besoins plus complexes des utilisateurs ont été identifiés. </w:t>
      </w:r>
      <w:r w:rsidR="0010442A" w:rsidRPr="002D02F3">
        <w:t xml:space="preserve"> </w:t>
      </w:r>
      <w:r w:rsidRPr="002D02F3">
        <w:t>Afin de répondre à ces besoins et de fournir un environnement stimulant à la communauté des utilisateurs de l</w:t>
      </w:r>
      <w:r w:rsidR="00A20444" w:rsidRPr="002D02F3">
        <w:t>’</w:t>
      </w:r>
      <w:r w:rsidRPr="002D02F3">
        <w:t>OMPI, une nouvelle stratégie d</w:t>
      </w:r>
      <w:r w:rsidR="00A20444" w:rsidRPr="002D02F3">
        <w:t>’</w:t>
      </w:r>
      <w:r w:rsidRPr="002D02F3">
        <w:t>appui a été définie, axée sur des procédures d</w:t>
      </w:r>
      <w:r w:rsidR="00A20444" w:rsidRPr="002D02F3">
        <w:t>’</w:t>
      </w:r>
      <w:r w:rsidRPr="002D02F3">
        <w:t>assistance logicielle plus systématiques, une meilleure appropriation des systèmes par les utilisateurs, le transfert de savoirs aux niveaux national et régional ainsi que davantage de contributions dans les priorités en matière d</w:t>
      </w:r>
      <w:r w:rsidR="00A20444" w:rsidRPr="002D02F3">
        <w:t>’</w:t>
      </w:r>
      <w:r w:rsidRPr="002D02F3">
        <w:t xml:space="preserve">élaboration de systèmes de la part de la communauté des utilisateurs, en tenant toujours compte des besoins et des capacités propres à chaque office. </w:t>
      </w:r>
      <w:r w:rsidR="0010442A" w:rsidRPr="002D02F3">
        <w:t xml:space="preserve"> </w:t>
      </w:r>
      <w:r w:rsidRPr="002D02F3">
        <w:t>Le changement de la stratégie d</w:t>
      </w:r>
      <w:r w:rsidR="00A20444" w:rsidRPr="002D02F3">
        <w:t>’</w:t>
      </w:r>
      <w:r w:rsidRPr="002D02F3">
        <w:t>appui est un processus continu dont la mise en œuvre se poursuivra en 2014</w:t>
      </w:r>
      <w:r w:rsidR="002D6F2A" w:rsidRPr="002D02F3">
        <w:noBreakHyphen/>
      </w:r>
      <w:r w:rsidRPr="002D02F3">
        <w:t>2015.</w:t>
      </w:r>
    </w:p>
    <w:p w:rsidR="00D42474" w:rsidRDefault="00D42474" w:rsidP="001A5BF9">
      <w:pPr>
        <w:tabs>
          <w:tab w:val="left" w:pos="709"/>
        </w:tabs>
        <w:jc w:val="both"/>
        <w:rPr>
          <w:bCs/>
          <w:szCs w:val="20"/>
        </w:rPr>
      </w:pPr>
    </w:p>
    <w:p w:rsidR="00D42474" w:rsidRDefault="00784E52" w:rsidP="001A5BF9">
      <w:pPr>
        <w:tabs>
          <w:tab w:val="left" w:pos="709"/>
        </w:tabs>
        <w:jc w:val="both"/>
        <w:rPr>
          <w:spacing w:val="-4"/>
        </w:rPr>
      </w:pPr>
      <w:r w:rsidRPr="002D02F3">
        <w:rPr>
          <w:spacing w:val="-4"/>
        </w:rPr>
        <w:t>15.2.</w:t>
      </w:r>
      <w:r w:rsidRPr="002D02F3">
        <w:rPr>
          <w:spacing w:val="-4"/>
        </w:rPr>
        <w:tab/>
        <w:t>L</w:t>
      </w:r>
      <w:r w:rsidR="00A20444" w:rsidRPr="002D02F3">
        <w:rPr>
          <w:spacing w:val="-4"/>
        </w:rPr>
        <w:t>’</w:t>
      </w:r>
      <w:r w:rsidRPr="002D02F3">
        <w:rPr>
          <w:spacing w:val="-4"/>
        </w:rPr>
        <w:t>élaboration a commencé sur de nouveaux modules adaptables aux solutions opérationnelles de l</w:t>
      </w:r>
      <w:r w:rsidR="00A20444" w:rsidRPr="002D02F3">
        <w:rPr>
          <w:spacing w:val="-4"/>
        </w:rPr>
        <w:t>’</w:t>
      </w:r>
      <w:r w:rsidRPr="002D02F3">
        <w:rPr>
          <w:spacing w:val="-4"/>
        </w:rPr>
        <w:t xml:space="preserve">OMPI proposées pour les principales activités des offices de propriété intellectuelle, </w:t>
      </w:r>
      <w:r w:rsidR="00A20444" w:rsidRPr="002D02F3">
        <w:rPr>
          <w:spacing w:val="-4"/>
        </w:rPr>
        <w:t>à savoir</w:t>
      </w:r>
      <w:r w:rsidRPr="002D02F3">
        <w:rPr>
          <w:spacing w:val="-4"/>
        </w:rPr>
        <w:t xml:space="preserve"> WIPO File, système permettant la soumission en ligne de demandes de propriété intellectuelle et de documents justificatifs par les déposants et agents, et le serveur de publication de l</w:t>
      </w:r>
      <w:r w:rsidR="00A20444" w:rsidRPr="002D02F3">
        <w:rPr>
          <w:spacing w:val="-4"/>
        </w:rPr>
        <w:t>’</w:t>
      </w:r>
      <w:r w:rsidRPr="002D02F3">
        <w:rPr>
          <w:spacing w:val="-4"/>
        </w:rPr>
        <w:t>OMPI permettant de fournir aux offices un accès en ligne aux documents publiés et d</w:t>
      </w:r>
      <w:r w:rsidR="00A20444" w:rsidRPr="002D02F3">
        <w:rPr>
          <w:spacing w:val="-4"/>
        </w:rPr>
        <w:t>’</w:t>
      </w:r>
      <w:r w:rsidRPr="002D02F3">
        <w:rPr>
          <w:spacing w:val="-4"/>
        </w:rPr>
        <w:t>échanger facilement les données et documents publiés.</w:t>
      </w:r>
    </w:p>
    <w:p w:rsidR="00D42474" w:rsidRDefault="00D42474" w:rsidP="001A5BF9">
      <w:pPr>
        <w:tabs>
          <w:tab w:val="left" w:pos="709"/>
        </w:tabs>
        <w:jc w:val="both"/>
        <w:rPr>
          <w:bCs/>
          <w:szCs w:val="20"/>
        </w:rPr>
      </w:pPr>
    </w:p>
    <w:p w:rsidR="00D42474" w:rsidRDefault="00784E52" w:rsidP="001A5BF9">
      <w:pPr>
        <w:tabs>
          <w:tab w:val="left" w:pos="709"/>
        </w:tabs>
        <w:jc w:val="both"/>
        <w:rPr>
          <w:bCs/>
          <w:szCs w:val="20"/>
        </w:rPr>
      </w:pPr>
      <w:r w:rsidRPr="002D02F3">
        <w:t>15.3.</w:t>
      </w:r>
      <w:r w:rsidRPr="002D02F3">
        <w:tab/>
        <w:t>D</w:t>
      </w:r>
      <w:r w:rsidR="00A20444" w:rsidRPr="002D02F3">
        <w:t>’</w:t>
      </w:r>
      <w:r w:rsidRPr="002D02F3">
        <w:t>importantes mises à niveau ont été effectuées sur les solutions opérationnelles suivantes de l</w:t>
      </w:r>
      <w:r w:rsidR="00A20444" w:rsidRPr="002D02F3">
        <w:t>’</w:t>
      </w:r>
      <w:r w:rsidRPr="002D02F3">
        <w:t>OMPI destinées aux offices de propriété intellectuelle :</w:t>
      </w:r>
    </w:p>
    <w:p w:rsidR="00D42474" w:rsidRDefault="00D42474" w:rsidP="001A5BF9">
      <w:pPr>
        <w:tabs>
          <w:tab w:val="left" w:pos="709"/>
        </w:tabs>
        <w:jc w:val="both"/>
        <w:rPr>
          <w:bCs/>
          <w:szCs w:val="20"/>
        </w:rPr>
      </w:pPr>
    </w:p>
    <w:p w:rsidR="00D42474" w:rsidRDefault="0023086A" w:rsidP="0023086A">
      <w:pPr>
        <w:pStyle w:val="Paragraphedeliste"/>
        <w:numPr>
          <w:ilvl w:val="0"/>
          <w:numId w:val="44"/>
        </w:numPr>
        <w:ind w:left="1276" w:hanging="567"/>
        <w:jc w:val="both"/>
      </w:pPr>
      <w:r>
        <w:t>l</w:t>
      </w:r>
      <w:r w:rsidR="00784E52" w:rsidRPr="002D02F3">
        <w:t>e système d</w:t>
      </w:r>
      <w:r w:rsidR="00A20444" w:rsidRPr="002D02F3">
        <w:t>’</w:t>
      </w:r>
      <w:r w:rsidR="00784E52" w:rsidRPr="002D02F3">
        <w:t>administration de la propriété industrielle (IPAS) de l</w:t>
      </w:r>
      <w:r w:rsidR="00A20444" w:rsidRPr="002D02F3">
        <w:t>’</w:t>
      </w:r>
      <w:r w:rsidR="00784E52" w:rsidRPr="002D02F3">
        <w:t>OMPI qui soutient toutes les principales procédures de gestion d</w:t>
      </w:r>
      <w:r w:rsidR="00A20444" w:rsidRPr="002D02F3">
        <w:t>’</w:t>
      </w:r>
      <w:r w:rsidR="00784E52" w:rsidRPr="002D02F3">
        <w:t>un office de propriété intellectuelle, de l</w:t>
      </w:r>
      <w:r w:rsidR="00A20444" w:rsidRPr="002D02F3">
        <w:t>’</w:t>
      </w:r>
      <w:r w:rsidR="00784E52" w:rsidRPr="002D02F3">
        <w:t>enregistrement des dossiers de propriété intellectuelle à leur publication : le développement continu a mené à une amélioration majeure diffusée en 2012 et le système de gestion électronique de documents (</w:t>
      </w:r>
      <w:proofErr w:type="spellStart"/>
      <w:r w:rsidR="00784E52" w:rsidRPr="002D02F3">
        <w:t>SGED</w:t>
      </w:r>
      <w:proofErr w:type="spellEnd"/>
      <w:r w:rsidR="00784E52" w:rsidRPr="002D02F3">
        <w:t>) de l</w:t>
      </w:r>
      <w:r w:rsidR="00A20444" w:rsidRPr="002D02F3">
        <w:t>’</w:t>
      </w:r>
      <w:r w:rsidR="00784E52" w:rsidRPr="002D02F3">
        <w:t>OMPI a été intégré avec succès dans l</w:t>
      </w:r>
      <w:r w:rsidR="00A20444" w:rsidRPr="002D02F3">
        <w:t>’</w:t>
      </w:r>
      <w:r w:rsidR="00784E52" w:rsidRPr="002D02F3">
        <w:t>IPAS</w:t>
      </w:r>
      <w:r>
        <w:t>;</w:t>
      </w:r>
    </w:p>
    <w:p w:rsidR="00D42474" w:rsidRDefault="00D42474" w:rsidP="0023086A">
      <w:pPr>
        <w:ind w:left="1276" w:hanging="567"/>
        <w:jc w:val="both"/>
        <w:rPr>
          <w:bCs/>
          <w:szCs w:val="20"/>
        </w:rPr>
      </w:pPr>
    </w:p>
    <w:p w:rsidR="00D42474" w:rsidRDefault="0023086A" w:rsidP="0023086A">
      <w:pPr>
        <w:pStyle w:val="Paragraphedeliste"/>
        <w:numPr>
          <w:ilvl w:val="0"/>
          <w:numId w:val="44"/>
        </w:numPr>
        <w:ind w:left="1276" w:hanging="567"/>
        <w:jc w:val="both"/>
        <w:rPr>
          <w:bCs/>
        </w:rPr>
      </w:pPr>
      <w:r>
        <w:t>l</w:t>
      </w:r>
      <w:r w:rsidR="00784E52" w:rsidRPr="002D02F3">
        <w:t>e service d</w:t>
      </w:r>
      <w:r w:rsidR="00A20444" w:rsidRPr="002D02F3">
        <w:t>’</w:t>
      </w:r>
      <w:r w:rsidR="00784E52" w:rsidRPr="002D02F3">
        <w:t>accès numérique de l</w:t>
      </w:r>
      <w:r w:rsidR="00A20444" w:rsidRPr="002D02F3">
        <w:t>’</w:t>
      </w:r>
      <w:r w:rsidR="00784E52" w:rsidRPr="002D02F3">
        <w:t xml:space="preserve">OMPI permettant un échange sécurisé des documents de priorité et des documents similaires entre les offices de propriété intellectuelle participants : une nouvelle version du système a été lancée </w:t>
      </w:r>
      <w:proofErr w:type="spellStart"/>
      <w:r w:rsidR="00784E52" w:rsidRPr="002D02F3">
        <w:t>mi</w:t>
      </w:r>
      <w:r w:rsidR="002D6F2A" w:rsidRPr="002D02F3">
        <w:noBreakHyphen/>
      </w:r>
      <w:r w:rsidR="00784E52" w:rsidRPr="002D02F3">
        <w:t>2012</w:t>
      </w:r>
      <w:proofErr w:type="spellEnd"/>
      <w:r w:rsidR="00784E52" w:rsidRPr="002D02F3">
        <w:t>, mettant en œuvre une procédure d</w:t>
      </w:r>
      <w:r w:rsidR="00A20444" w:rsidRPr="002D02F3">
        <w:t>’</w:t>
      </w:r>
      <w:r w:rsidR="00784E52" w:rsidRPr="002D02F3">
        <w:t>échange des documents de priorité simplifiée entre les offices participants, pour soutenir l</w:t>
      </w:r>
      <w:r w:rsidR="00A20444" w:rsidRPr="002D02F3">
        <w:t>’</w:t>
      </w:r>
      <w:r w:rsidR="00784E52" w:rsidRPr="002D02F3">
        <w:t>échange en toute sécurité de documents de priorité associés aux brevets, aux modèles d</w:t>
      </w:r>
      <w:r w:rsidR="00A20444" w:rsidRPr="002D02F3">
        <w:t>’</w:t>
      </w:r>
      <w:r w:rsidR="00784E52" w:rsidRPr="002D02F3">
        <w:t>utilité, aux dessins et modèles industriels et aux marques, ainsi que d</w:t>
      </w:r>
      <w:r w:rsidR="00A20444" w:rsidRPr="002D02F3">
        <w:t>’</w:t>
      </w:r>
      <w:r w:rsidR="00784E52" w:rsidRPr="002D02F3">
        <w:t>autres améliorations convenues au sein du groupe de travail</w:t>
      </w:r>
      <w:r w:rsidR="00A20444" w:rsidRPr="002D02F3">
        <w:t xml:space="preserve"> du DAS</w:t>
      </w:r>
      <w:r>
        <w:t xml:space="preserve"> en 2011;</w:t>
      </w:r>
    </w:p>
    <w:p w:rsidR="00D42474" w:rsidRDefault="00D42474" w:rsidP="0023086A">
      <w:pPr>
        <w:ind w:left="1276" w:hanging="567"/>
        <w:jc w:val="both"/>
        <w:rPr>
          <w:bCs/>
          <w:szCs w:val="20"/>
        </w:rPr>
      </w:pPr>
    </w:p>
    <w:p w:rsidR="00D42474" w:rsidRDefault="0023086A" w:rsidP="0023086A">
      <w:pPr>
        <w:pStyle w:val="Paragraphedeliste"/>
        <w:numPr>
          <w:ilvl w:val="0"/>
          <w:numId w:val="44"/>
        </w:numPr>
        <w:ind w:left="1276" w:hanging="567"/>
        <w:jc w:val="both"/>
        <w:rPr>
          <w:bCs/>
        </w:rPr>
      </w:pPr>
      <w:r>
        <w:t>l</w:t>
      </w:r>
      <w:r w:rsidR="00784E52" w:rsidRPr="002D02F3">
        <w:t>e WIPO CASE (accès centralisé aux résultats de la recherche et de l</w:t>
      </w:r>
      <w:r w:rsidR="00A20444" w:rsidRPr="002D02F3">
        <w:t>’</w:t>
      </w:r>
      <w:r w:rsidR="00784E52" w:rsidRPr="002D02F3">
        <w:t>examen) permettant un échange sécurisé des documents et dossiers de recherche et d</w:t>
      </w:r>
      <w:r w:rsidR="00A20444" w:rsidRPr="002D02F3">
        <w:t>’</w:t>
      </w:r>
      <w:r w:rsidR="00784E52" w:rsidRPr="002D02F3">
        <w:t xml:space="preserve">examen en vue de faciliter le partage des travaux entre les offices de brevets : une mise à niveau critique effectuée </w:t>
      </w:r>
      <w:proofErr w:type="spellStart"/>
      <w:r w:rsidR="00784E52" w:rsidRPr="002D02F3">
        <w:t>mi</w:t>
      </w:r>
      <w:r w:rsidR="002D6F2A" w:rsidRPr="002D02F3">
        <w:noBreakHyphen/>
      </w:r>
      <w:r w:rsidR="00784E52" w:rsidRPr="002D02F3">
        <w:t>2012</w:t>
      </w:r>
      <w:proofErr w:type="spellEnd"/>
      <w:r w:rsidR="00784E52" w:rsidRPr="002D02F3">
        <w:t xml:space="preserve"> a ajouté une fonction de recherche de la famille des brevets ainsi que d</w:t>
      </w:r>
      <w:r w:rsidR="00A20444" w:rsidRPr="002D02F3">
        <w:t>’</w:t>
      </w:r>
      <w:r w:rsidR="00784E52" w:rsidRPr="002D02F3">
        <w:t>accès à distance aux bibliothèques numériques des offices de propriété intellectuelle, qui permet aux offices de rendre leurs documents disponibles sur Internet.</w:t>
      </w:r>
    </w:p>
    <w:p w:rsidR="00D42474" w:rsidRDefault="00D42474" w:rsidP="001A5BF9">
      <w:pPr>
        <w:jc w:val="both"/>
        <w:rPr>
          <w:bCs/>
          <w:szCs w:val="20"/>
        </w:rPr>
      </w:pPr>
    </w:p>
    <w:p w:rsidR="00D42474" w:rsidRDefault="00784E52" w:rsidP="001A5BF9">
      <w:pPr>
        <w:tabs>
          <w:tab w:val="left" w:pos="709"/>
        </w:tabs>
        <w:jc w:val="both"/>
        <w:rPr>
          <w:rFonts w:cs="Arial"/>
          <w:szCs w:val="20"/>
        </w:rPr>
      </w:pPr>
      <w:r w:rsidRPr="002D02F3">
        <w:t>15.4.</w:t>
      </w:r>
      <w:r w:rsidRPr="002D02F3">
        <w:tab/>
        <w:t>Avec le concours de l</w:t>
      </w:r>
      <w:r w:rsidR="00A20444" w:rsidRPr="002D02F3">
        <w:t>’</w:t>
      </w:r>
      <w:r w:rsidRPr="002D02F3">
        <w:t>Office des brevets du Japon (</w:t>
      </w:r>
      <w:proofErr w:type="spellStart"/>
      <w:r w:rsidRPr="002D02F3">
        <w:t>JPO</w:t>
      </w:r>
      <w:proofErr w:type="spellEnd"/>
      <w:r w:rsidRPr="002D02F3">
        <w:t>), deux</w:t>
      </w:r>
      <w:r w:rsidR="0010442A" w:rsidRPr="002D02F3">
        <w:t> </w:t>
      </w:r>
      <w:r w:rsidRPr="002D02F3">
        <w:t>ateliers de formation majeurs axés sur le partage des connaissances et de l</w:t>
      </w:r>
      <w:r w:rsidR="00A20444" w:rsidRPr="002D02F3">
        <w:t>’</w:t>
      </w:r>
      <w:r w:rsidRPr="002D02F3">
        <w:t xml:space="preserve">expérience dans le domaine de la modernisation des offices ont été organisés. </w:t>
      </w:r>
      <w:r w:rsidR="0010442A" w:rsidRPr="002D02F3">
        <w:t xml:space="preserve"> </w:t>
      </w:r>
      <w:r w:rsidRPr="002D02F3">
        <w:t>Le premier atelier ciblait la région africaine et avait été défini en coopération avec l</w:t>
      </w:r>
      <w:r w:rsidR="00A20444" w:rsidRPr="002D02F3">
        <w:t>’</w:t>
      </w:r>
      <w:r w:rsidRPr="002D02F3">
        <w:t>Organisation régionale africaine de la propriété intellectuelle(ARIPO) pour renforcer les capacités et les compétences techniques des coordonnateurs IPAS parmi les États membres de l</w:t>
      </w:r>
      <w:r w:rsidR="00A20444" w:rsidRPr="002D02F3">
        <w:t>’</w:t>
      </w:r>
      <w:r w:rsidRPr="002D02F3">
        <w:t>ARIPO, apprendre à mieux maîtriser l</w:t>
      </w:r>
      <w:r w:rsidR="00A20444" w:rsidRPr="002D02F3">
        <w:t>’</w:t>
      </w:r>
      <w:r w:rsidRPr="002D02F3">
        <w:t>architecture du système, mettre en place un réseau d</w:t>
      </w:r>
      <w:r w:rsidR="00A20444" w:rsidRPr="002D02F3">
        <w:t>’</w:t>
      </w:r>
      <w:r w:rsidRPr="002D02F3">
        <w:t xml:space="preserve">appui régional pour la gestion du système et partager les connaissances et les expériences en matière de support et de dépannage du système IPAS dans la région. </w:t>
      </w:r>
      <w:r w:rsidR="0010442A" w:rsidRPr="002D02F3">
        <w:t xml:space="preserve"> </w:t>
      </w:r>
      <w:r w:rsidRPr="002D02F3">
        <w:t>Le second atelier ciblait les États membres de l</w:t>
      </w:r>
      <w:r w:rsidR="00A20444" w:rsidRPr="002D02F3">
        <w:t>’</w:t>
      </w:r>
      <w:r w:rsidRPr="002D02F3">
        <w:t xml:space="preserve">Association des </w:t>
      </w:r>
      <w:r w:rsidR="00882581" w:rsidRPr="002D02F3">
        <w:t>n</w:t>
      </w:r>
      <w:r w:rsidRPr="002D02F3">
        <w:t>ations de l</w:t>
      </w:r>
      <w:r w:rsidR="00A20444" w:rsidRPr="002D02F3">
        <w:t>’</w:t>
      </w:r>
      <w:r w:rsidRPr="002D02F3">
        <w:t>Asie du Sud</w:t>
      </w:r>
      <w:r w:rsidR="002D6F2A" w:rsidRPr="002D02F3">
        <w:noBreakHyphen/>
      </w:r>
      <w:r w:rsidRPr="002D02F3">
        <w:t>Est (</w:t>
      </w:r>
      <w:r w:rsidR="00F93985">
        <w:t>ASEAN</w:t>
      </w:r>
      <w:r w:rsidRPr="002D02F3">
        <w:t>) et avait été défini en coopération avec l</w:t>
      </w:r>
      <w:r w:rsidR="00A20444" w:rsidRPr="002D02F3">
        <w:t>’</w:t>
      </w:r>
      <w:r w:rsidRPr="002D02F3">
        <w:t>Office de la propriété intellectuelle des Philippines (</w:t>
      </w:r>
      <w:proofErr w:type="spellStart"/>
      <w:r w:rsidRPr="002D02F3">
        <w:t>IPOPHL</w:t>
      </w:r>
      <w:proofErr w:type="spellEnd"/>
      <w:r w:rsidRPr="002D02F3">
        <w:t xml:space="preserve">). </w:t>
      </w:r>
      <w:r w:rsidR="0010442A" w:rsidRPr="002D02F3">
        <w:t xml:space="preserve"> </w:t>
      </w:r>
      <w:r w:rsidRPr="002D02F3">
        <w:t>Il visait à partager les connaissances et les expériences entre les États membres de l</w:t>
      </w:r>
      <w:r w:rsidR="00A20444" w:rsidRPr="002D02F3">
        <w:t>’</w:t>
      </w:r>
      <w:r w:rsidR="00F93985">
        <w:t>ASEAN</w:t>
      </w:r>
      <w:r w:rsidRPr="002D02F3">
        <w:t>, à les sensibiliser aux initiatives de partage des travaux et à faciliter la création de réseaux au niveau régional ainsi que la feuille de route informatique de l</w:t>
      </w:r>
      <w:r w:rsidR="00A20444" w:rsidRPr="002D02F3">
        <w:t>’</w:t>
      </w:r>
      <w:r w:rsidR="00F93985">
        <w:t>ASEAN</w:t>
      </w:r>
      <w:r w:rsidRPr="002D02F3">
        <w:t xml:space="preserve">. </w:t>
      </w:r>
      <w:r w:rsidR="0010442A" w:rsidRPr="002D02F3">
        <w:t xml:space="preserve"> </w:t>
      </w:r>
      <w:r w:rsidRPr="002D02F3">
        <w:t>L</w:t>
      </w:r>
      <w:r w:rsidR="00A20444" w:rsidRPr="002D02F3">
        <w:t>’</w:t>
      </w:r>
      <w:r w:rsidRPr="002D02F3">
        <w:t>évaluation des deux</w:t>
      </w:r>
      <w:r w:rsidR="0010442A" w:rsidRPr="002D02F3">
        <w:t> </w:t>
      </w:r>
      <w:r w:rsidRPr="002D02F3">
        <w:t>ateliers a confirmé leur valeur ajoutée en termes de renforcement des capacités.</w:t>
      </w:r>
    </w:p>
    <w:p w:rsidR="00D42474" w:rsidRDefault="00D42474" w:rsidP="001A5BF9">
      <w:pPr>
        <w:tabs>
          <w:tab w:val="left" w:pos="709"/>
        </w:tabs>
        <w:jc w:val="both"/>
        <w:rPr>
          <w:szCs w:val="20"/>
        </w:rPr>
      </w:pPr>
    </w:p>
    <w:p w:rsidR="00D42474" w:rsidRDefault="00784E52" w:rsidP="001A5BF9">
      <w:pPr>
        <w:tabs>
          <w:tab w:val="left" w:pos="709"/>
        </w:tabs>
        <w:jc w:val="both"/>
      </w:pPr>
      <w:r w:rsidRPr="002D02F3">
        <w:t>15.5.</w:t>
      </w:r>
      <w:r w:rsidRPr="002D02F3">
        <w:tab/>
        <w:t>Un atelier technique a également été organisé au siège de l</w:t>
      </w:r>
      <w:r w:rsidR="00A20444" w:rsidRPr="002D02F3">
        <w:t>’</w:t>
      </w:r>
      <w:r w:rsidRPr="002D02F3">
        <w:t>OMPI à Genève pour les administrateurs de l</w:t>
      </w:r>
      <w:r w:rsidR="00A20444" w:rsidRPr="002D02F3">
        <w:t>’</w:t>
      </w:r>
      <w:r w:rsidRPr="002D02F3">
        <w:t xml:space="preserve">IPAS et de </w:t>
      </w:r>
      <w:proofErr w:type="spellStart"/>
      <w:r w:rsidRPr="002D02F3">
        <w:t>WIPOScan</w:t>
      </w:r>
      <w:proofErr w:type="spellEnd"/>
      <w:r w:rsidRPr="002D02F3">
        <w:t xml:space="preserve"> de différentes régions.</w:t>
      </w:r>
      <w:r w:rsidR="004F3E42" w:rsidRPr="002D02F3">
        <w:t xml:space="preserve"> </w:t>
      </w:r>
      <w:r w:rsidR="0010442A" w:rsidRPr="002D02F3">
        <w:t xml:space="preserve"> </w:t>
      </w:r>
      <w:r w:rsidRPr="002D02F3">
        <w:t>Cet atelier a mené à une meilleure appropriation des systèmes par les utilisateurs.</w:t>
      </w:r>
    </w:p>
    <w:p w:rsidR="00D42474" w:rsidRDefault="00D42474" w:rsidP="001A5BF9">
      <w:pPr>
        <w:tabs>
          <w:tab w:val="left" w:pos="709"/>
        </w:tabs>
        <w:jc w:val="both"/>
        <w:rPr>
          <w:bCs/>
          <w:szCs w:val="20"/>
        </w:rPr>
      </w:pPr>
    </w:p>
    <w:p w:rsidR="00D42474" w:rsidRDefault="00784E52" w:rsidP="001A5BF9">
      <w:pPr>
        <w:tabs>
          <w:tab w:val="left" w:pos="709"/>
        </w:tabs>
        <w:jc w:val="both"/>
        <w:rPr>
          <w:bCs/>
          <w:szCs w:val="20"/>
        </w:rPr>
      </w:pPr>
      <w:r w:rsidRPr="002D02F3">
        <w:t>15.6.</w:t>
      </w:r>
      <w:r w:rsidRPr="002D02F3">
        <w:tab/>
        <w:t>Le tableau ci</w:t>
      </w:r>
      <w:r w:rsidR="002D6F2A" w:rsidRPr="002D02F3">
        <w:noBreakHyphen/>
      </w:r>
      <w:r w:rsidRPr="002D02F3">
        <w:t>dessous donne une vue d</w:t>
      </w:r>
      <w:r w:rsidR="00A20444" w:rsidRPr="002D02F3">
        <w:t>’</w:t>
      </w:r>
      <w:r w:rsidRPr="002D02F3">
        <w:t>ensemble du niveau d</w:t>
      </w:r>
      <w:r w:rsidR="00A20444" w:rsidRPr="002D02F3">
        <w:t>’</w:t>
      </w:r>
      <w:r w:rsidRPr="002D02F3">
        <w:t>utilisation des solutions opérationnelles de l</w:t>
      </w:r>
      <w:r w:rsidR="00A20444" w:rsidRPr="002D02F3">
        <w:t>’</w:t>
      </w:r>
      <w:r w:rsidRPr="002D02F3">
        <w:t xml:space="preserve">OMPI destinées aux offices de propriété intellectuelle sur les cinq dernières années. </w:t>
      </w:r>
      <w:r w:rsidR="0010442A" w:rsidRPr="002D02F3">
        <w:t xml:space="preserve"> </w:t>
      </w:r>
      <w:r w:rsidRPr="002D02F3">
        <w:t>Il met clairement en évidence un accroissement de l</w:t>
      </w:r>
      <w:r w:rsidR="00A20444" w:rsidRPr="002D02F3">
        <w:t>’</w:t>
      </w:r>
      <w:r w:rsidRPr="002D02F3">
        <w:t>utilisation entre l</w:t>
      </w:r>
      <w:r w:rsidR="00A20444" w:rsidRPr="002D02F3">
        <w:t>’</w:t>
      </w:r>
      <w:r w:rsidRPr="002D02F3">
        <w:t>exercice biennal 2010</w:t>
      </w:r>
      <w:r w:rsidR="002D6F2A" w:rsidRPr="002D02F3">
        <w:noBreakHyphen/>
      </w:r>
      <w:r w:rsidRPr="002D02F3">
        <w:t>2011 et l</w:t>
      </w:r>
      <w:r w:rsidR="00A20444" w:rsidRPr="002D02F3">
        <w:t>’</w:t>
      </w:r>
      <w:r w:rsidRPr="002D02F3">
        <w:t>exercice biennal 2012</w:t>
      </w:r>
      <w:r w:rsidR="002D6F2A" w:rsidRPr="002D02F3">
        <w:noBreakHyphen/>
      </w:r>
      <w:r w:rsidRPr="002D02F3">
        <w:t>2013.</w:t>
      </w:r>
    </w:p>
    <w:p w:rsidR="00D42474" w:rsidRDefault="00D42474" w:rsidP="001A5BF9">
      <w:pPr>
        <w:rPr>
          <w:bCs/>
          <w:szCs w:val="20"/>
        </w:rPr>
      </w:pPr>
    </w:p>
    <w:p w:rsidR="00D42474" w:rsidRDefault="00D656BD" w:rsidP="001A5BF9">
      <w:pPr>
        <w:ind w:left="2268" w:hanging="2268"/>
        <w:rPr>
          <w:bCs/>
          <w:szCs w:val="22"/>
        </w:rPr>
      </w:pPr>
      <w:r w:rsidRPr="002D02F3">
        <w:rPr>
          <w:noProof/>
        </w:rPr>
        <w:drawing>
          <wp:inline distT="0" distB="0" distL="0" distR="0" wp14:anchorId="3E05FAA6" wp14:editId="066D8D45">
            <wp:extent cx="5756910" cy="3364865"/>
            <wp:effectExtent l="0" t="0" r="0" b="6985"/>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6910" cy="3364865"/>
                    </a:xfrm>
                    <a:prstGeom prst="rect">
                      <a:avLst/>
                    </a:prstGeom>
                    <a:noFill/>
                    <a:ln>
                      <a:noFill/>
                    </a:ln>
                  </pic:spPr>
                </pic:pic>
              </a:graphicData>
            </a:graphic>
          </wp:inline>
        </w:drawing>
      </w:r>
    </w:p>
    <w:p w:rsidR="00D42474" w:rsidRDefault="00D42474" w:rsidP="001A5BF9">
      <w:pPr>
        <w:ind w:left="2268" w:hanging="2268"/>
        <w:rPr>
          <w:bCs/>
          <w:szCs w:val="22"/>
        </w:rPr>
      </w:pPr>
    </w:p>
    <w:p w:rsidR="00D42474" w:rsidRDefault="00784E52" w:rsidP="001A5BF9">
      <w:pPr>
        <w:tabs>
          <w:tab w:val="left" w:pos="709"/>
        </w:tabs>
        <w:jc w:val="both"/>
        <w:rPr>
          <w:bCs/>
          <w:szCs w:val="20"/>
        </w:rPr>
      </w:pPr>
      <w:r w:rsidRPr="002D02F3">
        <w:t>15.7.</w:t>
      </w:r>
      <w:r w:rsidRPr="002D02F3">
        <w:tab/>
        <w:t>À la fin de l</w:t>
      </w:r>
      <w:r w:rsidR="00A20444" w:rsidRPr="002D02F3">
        <w:t>’</w:t>
      </w:r>
      <w:r w:rsidRPr="002D02F3">
        <w:t>exercice biennal 2012</w:t>
      </w:r>
      <w:r w:rsidR="002D6F2A" w:rsidRPr="002D02F3">
        <w:noBreakHyphen/>
      </w:r>
      <w:r w:rsidRPr="002D02F3">
        <w:t>2013, 64 offices de propriété intellectuelle utilisaient les solutions opérationnelles de l</w:t>
      </w:r>
      <w:r w:rsidR="00A20444" w:rsidRPr="002D02F3">
        <w:t>’</w:t>
      </w:r>
      <w:r w:rsidRPr="002D02F3">
        <w:t>OMPI (comprenant l</w:t>
      </w:r>
      <w:r w:rsidR="00A20444" w:rsidRPr="002D02F3">
        <w:t>’</w:t>
      </w:r>
      <w:r w:rsidRPr="002D02F3">
        <w:t>IPAS, le système automatisé de gestion de la propriété industrielle (</w:t>
      </w:r>
      <w:proofErr w:type="spellStart"/>
      <w:r w:rsidRPr="002D02F3">
        <w:t>AIPMS</w:t>
      </w:r>
      <w:proofErr w:type="spellEnd"/>
      <w:r w:rsidRPr="002D02F3">
        <w:t>),</w:t>
      </w:r>
      <w:r w:rsidR="00A20444" w:rsidRPr="002D02F3">
        <w:t xml:space="preserve"> le </w:t>
      </w:r>
      <w:proofErr w:type="spellStart"/>
      <w:r w:rsidR="00A20444" w:rsidRPr="002D02F3">
        <w:t>SGE</w:t>
      </w:r>
      <w:r w:rsidRPr="002D02F3">
        <w:t>D</w:t>
      </w:r>
      <w:proofErr w:type="spellEnd"/>
      <w:r w:rsidRPr="002D02F3">
        <w:t xml:space="preserve">, </w:t>
      </w:r>
      <w:proofErr w:type="spellStart"/>
      <w:r w:rsidRPr="002D02F3">
        <w:t>WIPOScan</w:t>
      </w:r>
      <w:proofErr w:type="spellEnd"/>
      <w:r w:rsidRPr="002D02F3">
        <w:t xml:space="preserve"> et le module de Madrid).</w:t>
      </w:r>
    </w:p>
    <w:p w:rsidR="00D42474" w:rsidRDefault="00D42474" w:rsidP="001A5BF9">
      <w:pPr>
        <w:tabs>
          <w:tab w:val="left" w:pos="709"/>
        </w:tabs>
        <w:jc w:val="both"/>
        <w:rPr>
          <w:bCs/>
          <w:szCs w:val="20"/>
        </w:rPr>
      </w:pPr>
    </w:p>
    <w:p w:rsidR="00D42474" w:rsidRDefault="00784E52" w:rsidP="001A5BF9">
      <w:pPr>
        <w:tabs>
          <w:tab w:val="left" w:pos="709"/>
        </w:tabs>
        <w:jc w:val="both"/>
      </w:pPr>
      <w:r w:rsidRPr="002D02F3">
        <w:t>15.8.</w:t>
      </w:r>
      <w:r w:rsidRPr="002D02F3">
        <w:tab/>
        <w:t>En outre, sept offices de propriété intellectuelle utilisaient WIPO CASE (accès centralisé aux résultats de la recherche et de l</w:t>
      </w:r>
      <w:r w:rsidR="00A20444" w:rsidRPr="002D02F3">
        <w:t>’</w:t>
      </w:r>
      <w:r w:rsidRPr="002D02F3">
        <w:t>examen) et 11 offices utilisaient le service DAS (service d</w:t>
      </w:r>
      <w:r w:rsidR="00A20444" w:rsidRPr="002D02F3">
        <w:t>’</w:t>
      </w:r>
      <w:r w:rsidRPr="002D02F3">
        <w:t>accès numérique).</w:t>
      </w:r>
    </w:p>
    <w:p w:rsidR="00D42474" w:rsidRDefault="00D42474" w:rsidP="001A5BF9">
      <w:pPr>
        <w:tabs>
          <w:tab w:val="left" w:pos="709"/>
        </w:tabs>
        <w:jc w:val="both"/>
        <w:rPr>
          <w:bCs/>
          <w:szCs w:val="20"/>
        </w:rPr>
      </w:pPr>
    </w:p>
    <w:p w:rsidR="00D42474" w:rsidRDefault="00784E52" w:rsidP="001A5BF9">
      <w:pPr>
        <w:tabs>
          <w:tab w:val="left" w:pos="709"/>
        </w:tabs>
        <w:jc w:val="both"/>
      </w:pPr>
      <w:r w:rsidRPr="002D02F3">
        <w:t>15.9.</w:t>
      </w:r>
      <w:r w:rsidRPr="002D02F3">
        <w:tab/>
        <w:t>La collaboration et le partenariat ont été renforcés par la signature de 17 nouveaux accords de coopération pour le développement des services fournis par les offices de propriété intellectuelle au cours de l</w:t>
      </w:r>
      <w:r w:rsidR="00A20444" w:rsidRPr="002D02F3">
        <w:t>’</w:t>
      </w:r>
      <w:r w:rsidRPr="002D02F3">
        <w:t>exercice biennal.</w:t>
      </w:r>
    </w:p>
    <w:p w:rsidR="00D42474" w:rsidRDefault="00D42474" w:rsidP="001A5BF9">
      <w:pPr>
        <w:ind w:left="2268" w:hanging="2268"/>
        <w:rPr>
          <w:bCs/>
          <w:szCs w:val="22"/>
        </w:rPr>
      </w:pPr>
    </w:p>
    <w:p w:rsidR="00D42474" w:rsidRDefault="00D42474" w:rsidP="001A5BF9">
      <w:pPr>
        <w:ind w:left="2268" w:hanging="2268"/>
        <w:rPr>
          <w:rFonts w:cs="Arial"/>
          <w:bCs/>
          <w:szCs w:val="22"/>
        </w:rPr>
      </w:pPr>
    </w:p>
    <w:p w:rsidR="00D42474" w:rsidRDefault="00784E52" w:rsidP="001A5BF9">
      <w:pPr>
        <w:ind w:left="2268" w:hanging="2268"/>
      </w:pPr>
      <w:r w:rsidRPr="002D02F3">
        <w:rPr>
          <w:sz w:val="22"/>
        </w:rPr>
        <w:t>MISE EN ŒUVRE DU PLAN D</w:t>
      </w:r>
      <w:r w:rsidR="00A20444" w:rsidRPr="002D02F3">
        <w:rPr>
          <w:sz w:val="22"/>
        </w:rPr>
        <w:t>’</w:t>
      </w:r>
      <w:r w:rsidRPr="002D02F3">
        <w:rPr>
          <w:sz w:val="22"/>
        </w:rPr>
        <w:t>ACTION POUR LE DÉVELOPPEMENT</w:t>
      </w:r>
    </w:p>
    <w:p w:rsidR="00D42474" w:rsidRDefault="00D42474" w:rsidP="001A5BF9">
      <w:pPr>
        <w:ind w:left="2268" w:hanging="2268"/>
        <w:rPr>
          <w:szCs w:val="22"/>
        </w:rPr>
      </w:pPr>
    </w:p>
    <w:p w:rsidR="00D42474" w:rsidRDefault="00784E52" w:rsidP="001A5BF9">
      <w:pPr>
        <w:tabs>
          <w:tab w:val="left" w:pos="709"/>
        </w:tabs>
        <w:jc w:val="both"/>
        <w:rPr>
          <w:rFonts w:cs="Arial"/>
          <w:bCs/>
          <w:szCs w:val="20"/>
        </w:rPr>
      </w:pPr>
      <w:r w:rsidRPr="002D02F3">
        <w:t>15.10</w:t>
      </w:r>
      <w:r w:rsidRPr="002D02F3">
        <w:tab/>
        <w:t>La conception, la planification et la mise en œuvre des activités entreprises par le programme 15 étaient inspirées des recommandations pertinentes du Plan d</w:t>
      </w:r>
      <w:r w:rsidR="00A20444" w:rsidRPr="002D02F3">
        <w:t>’</w:t>
      </w:r>
      <w:r w:rsidRPr="002D02F3">
        <w:t>action pour le développement, en particulier les recommandations n</w:t>
      </w:r>
      <w:r w:rsidRPr="002D02F3">
        <w:rPr>
          <w:vertAlign w:val="superscript"/>
        </w:rPr>
        <w:t>os</w:t>
      </w:r>
      <w:r w:rsidRPr="002D02F3">
        <w:t xml:space="preserve"> 1, 2 et 10.</w:t>
      </w:r>
      <w:r w:rsidR="004F3E42" w:rsidRPr="002D02F3">
        <w:t xml:space="preserve"> </w:t>
      </w:r>
      <w:r w:rsidR="0010442A" w:rsidRPr="002D02F3">
        <w:t xml:space="preserve"> </w:t>
      </w:r>
      <w:r w:rsidRPr="002D02F3">
        <w:t>En outre, le programme a participé à l</w:t>
      </w:r>
      <w:r w:rsidR="00A20444" w:rsidRPr="002D02F3">
        <w:t>’</w:t>
      </w:r>
      <w:r w:rsidRPr="002D02F3">
        <w:t>exécution du projet du Plan d</w:t>
      </w:r>
      <w:r w:rsidR="00A20444" w:rsidRPr="002D02F3">
        <w:t>’</w:t>
      </w:r>
      <w:r w:rsidRPr="002D02F3">
        <w:t>action pour le développement intitulé “</w:t>
      </w:r>
      <w:r w:rsidR="009C658D" w:rsidRPr="002D02F3">
        <w:rPr>
          <w:sz w:val="22"/>
        </w:rPr>
        <w:t>Projet relatif à des institutions de propriété intellectuelle efficaces</w:t>
      </w:r>
      <w:r w:rsidRPr="002D02F3">
        <w:t>” et du projet intitulé “Les techniques de l</w:t>
      </w:r>
      <w:r w:rsidR="00A20444" w:rsidRPr="002D02F3">
        <w:t>’</w:t>
      </w:r>
      <w:r w:rsidRPr="002D02F3">
        <w:t>information et des communications, la fracture numérique et l</w:t>
      </w:r>
      <w:r w:rsidR="00A20444" w:rsidRPr="002D02F3">
        <w:t>’</w:t>
      </w:r>
      <w:r w:rsidRPr="002D02F3">
        <w:t>accès au savoir”.</w:t>
      </w:r>
      <w:r w:rsidR="004F3E42" w:rsidRPr="002D02F3">
        <w:t xml:space="preserve"> </w:t>
      </w:r>
      <w:r w:rsidR="0010442A" w:rsidRPr="002D02F3">
        <w:t xml:space="preserve"> </w:t>
      </w:r>
      <w:r w:rsidRPr="002D02F3">
        <w:t>Ces deux</w:t>
      </w:r>
      <w:r w:rsidR="0010442A" w:rsidRPr="002D02F3">
        <w:t> </w:t>
      </w:r>
      <w:r w:rsidRPr="002D02F3">
        <w:t>projets ont été achevés à la fin de</w:t>
      </w:r>
      <w:r w:rsidR="0010442A" w:rsidRPr="002D02F3">
        <w:t> </w:t>
      </w:r>
      <w:r w:rsidRPr="002D02F3">
        <w:t>2011 et évalués en</w:t>
      </w:r>
      <w:r w:rsidR="0010442A" w:rsidRPr="002D02F3">
        <w:t> </w:t>
      </w:r>
      <w:r w:rsidRPr="002D02F3">
        <w:t>2012.</w:t>
      </w:r>
      <w:r w:rsidR="0010442A" w:rsidRPr="002D02F3">
        <w:t xml:space="preserve"> </w:t>
      </w:r>
      <w:r w:rsidRPr="002D02F3">
        <w:t xml:space="preserve"> Les rapports d</w:t>
      </w:r>
      <w:r w:rsidR="00A20444" w:rsidRPr="002D02F3">
        <w:t>’</w:t>
      </w:r>
      <w:r w:rsidRPr="002D02F3">
        <w:t>évaluation ont été examinés par</w:t>
      </w:r>
      <w:r w:rsidR="00A20444" w:rsidRPr="002D02F3">
        <w:t xml:space="preserve"> le CDI</w:t>
      </w:r>
      <w:r w:rsidRPr="002D02F3">
        <w:t>P.</w:t>
      </w:r>
    </w:p>
    <w:p w:rsidR="00D42474" w:rsidRDefault="00D42474" w:rsidP="001A5BF9">
      <w:pPr>
        <w:tabs>
          <w:tab w:val="left" w:pos="709"/>
        </w:tabs>
        <w:jc w:val="both"/>
        <w:rPr>
          <w:rFonts w:cs="Arial"/>
          <w:bCs/>
          <w:szCs w:val="20"/>
        </w:rPr>
      </w:pPr>
    </w:p>
    <w:p w:rsidR="00D42474" w:rsidRDefault="00784E52" w:rsidP="001A5BF9">
      <w:pPr>
        <w:tabs>
          <w:tab w:val="left" w:pos="709"/>
        </w:tabs>
        <w:jc w:val="both"/>
        <w:rPr>
          <w:rFonts w:cs="Arial"/>
          <w:bCs/>
          <w:szCs w:val="20"/>
        </w:rPr>
      </w:pPr>
      <w:r w:rsidRPr="002D02F3">
        <w:t>15.11</w:t>
      </w:r>
      <w:r w:rsidRPr="002D02F3">
        <w:tab/>
        <w:t>En outre, afin d</w:t>
      </w:r>
      <w:r w:rsidR="00A20444" w:rsidRPr="002D02F3">
        <w:t>’</w:t>
      </w:r>
      <w:r w:rsidRPr="002D02F3">
        <w:t>améliorer l</w:t>
      </w:r>
      <w:r w:rsidR="00A20444" w:rsidRPr="002D02F3">
        <w:t>’</w:t>
      </w:r>
      <w:r w:rsidRPr="002D02F3">
        <w:t>infrastructure technique et du savoir pour les offices de propriété intellectuelle et d</w:t>
      </w:r>
      <w:r w:rsidR="00A20444" w:rsidRPr="002D02F3">
        <w:t>’</w:t>
      </w:r>
      <w:r w:rsidRPr="002D02F3">
        <w:t>autres institutions de propriété intellectuelle et de fournir de meilleurs services à leurs parties prenantes, le programme a continué de fournir une assistance technique aux offices de propriété intellectuelle dans les pays en développement et</w:t>
      </w:r>
      <w:r w:rsidR="00A20444" w:rsidRPr="002D02F3">
        <w:t xml:space="preserve"> les PMA</w:t>
      </w:r>
      <w:r w:rsidRPr="002D02F3">
        <w:t>, en vue d</w:t>
      </w:r>
      <w:r w:rsidR="00A20444" w:rsidRPr="002D02F3">
        <w:t>’</w:t>
      </w:r>
      <w:r w:rsidRPr="002D02F3">
        <w:t>améliorer leurs systèmes administratifs faisant appel</w:t>
      </w:r>
      <w:r w:rsidR="00A20444" w:rsidRPr="002D02F3">
        <w:t xml:space="preserve"> aux TIC</w:t>
      </w:r>
      <w:r w:rsidRPr="002D02F3">
        <w:t xml:space="preserve"> pour la réception, la gestion, l</w:t>
      </w:r>
      <w:r w:rsidR="00A20444" w:rsidRPr="002D02F3">
        <w:t>’</w:t>
      </w:r>
      <w:r w:rsidRPr="002D02F3">
        <w:t>examen, l</w:t>
      </w:r>
      <w:r w:rsidR="00A20444" w:rsidRPr="002D02F3">
        <w:t>’</w:t>
      </w:r>
      <w:r w:rsidRPr="002D02F3">
        <w:t>enregistrement et la publication des titres de propriété intellectuelle.</w:t>
      </w:r>
    </w:p>
    <w:p w:rsidR="00D42474" w:rsidRDefault="00D42474" w:rsidP="001A5BF9">
      <w:pPr>
        <w:rPr>
          <w:rFonts w:cs="Arial"/>
          <w:szCs w:val="22"/>
        </w:rPr>
      </w:pPr>
    </w:p>
    <w:p w:rsidR="00D42474" w:rsidRDefault="00D42474" w:rsidP="001A5BF9">
      <w:pPr>
        <w:rPr>
          <w:rFonts w:cs="Arial"/>
          <w:szCs w:val="22"/>
        </w:rPr>
      </w:pPr>
    </w:p>
    <w:p w:rsidR="00D42474" w:rsidRDefault="00784E52" w:rsidP="001A5BF9">
      <w:pPr>
        <w:ind w:left="2268" w:hanging="2268"/>
        <w:rPr>
          <w:rFonts w:cs="Arial"/>
          <w:szCs w:val="22"/>
        </w:rPr>
      </w:pPr>
      <w:r w:rsidRPr="002D02F3">
        <w:rPr>
          <w:sz w:val="22"/>
        </w:rPr>
        <w:t>DONNÉES RELATIVES À L</w:t>
      </w:r>
      <w:r w:rsidR="00A20444" w:rsidRPr="002D02F3">
        <w:rPr>
          <w:sz w:val="22"/>
        </w:rPr>
        <w:t>’</w:t>
      </w:r>
      <w:r w:rsidRPr="002D02F3">
        <w:rPr>
          <w:sz w:val="22"/>
        </w:rPr>
        <w:t>EXÉCUTION</w:t>
      </w:r>
    </w:p>
    <w:p w:rsidR="00784E52" w:rsidRPr="002D02F3" w:rsidRDefault="00784E52" w:rsidP="001A5BF9">
      <w:pPr>
        <w:ind w:left="2268" w:hanging="2268"/>
        <w:rPr>
          <w:szCs w:val="22"/>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02"/>
        <w:gridCol w:w="2143"/>
        <w:gridCol w:w="1070"/>
        <w:gridCol w:w="3206"/>
        <w:gridCol w:w="1536"/>
      </w:tblGrid>
      <w:tr w:rsidR="00784E52" w:rsidRPr="002D02F3" w:rsidTr="00BB3F3E">
        <w:trPr>
          <w:cantSplit/>
          <w:trHeight w:val="136"/>
        </w:trPr>
        <w:tc>
          <w:tcPr>
            <w:tcW w:w="5000" w:type="pct"/>
            <w:gridSpan w:val="5"/>
            <w:tcBorders>
              <w:top w:val="single" w:sz="4" w:space="0" w:color="auto"/>
              <w:bottom w:val="single" w:sz="4" w:space="0" w:color="auto"/>
            </w:tcBorders>
            <w:shd w:val="clear" w:color="auto" w:fill="CCFFFF"/>
            <w:vAlign w:val="center"/>
          </w:tcPr>
          <w:p w:rsidR="00784E52" w:rsidRPr="002D02F3" w:rsidRDefault="00784E52" w:rsidP="001A5BF9">
            <w:pPr>
              <w:keepNext/>
              <w:keepLines/>
              <w:tabs>
                <w:tab w:val="left" w:pos="1452"/>
              </w:tabs>
              <w:spacing w:before="120" w:after="120"/>
              <w:ind w:left="1452" w:hanging="1452"/>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Amélioration de l</w:t>
            </w:r>
            <w:r w:rsidR="00A20444" w:rsidRPr="002D02F3">
              <w:rPr>
                <w:sz w:val="16"/>
              </w:rPr>
              <w:t>’</w:t>
            </w:r>
            <w:r w:rsidRPr="002D02F3">
              <w:rPr>
                <w:sz w:val="16"/>
              </w:rPr>
              <w:t>infrastructure technique et du savoir pour les offices de propriété intellectuelle et autres institutions de propriété intellectuelle, leur permettant de fournir à leurs parties prenantes des services améliorés (moins chers, plus rapides, de meilleure qualité)</w:t>
            </w:r>
          </w:p>
        </w:tc>
      </w:tr>
      <w:tr w:rsidR="00784E52" w:rsidRPr="0023086A" w:rsidTr="002A762E">
        <w:trPr>
          <w:cantSplit/>
          <w:trHeight w:val="136"/>
        </w:trPr>
        <w:tc>
          <w:tcPr>
            <w:tcW w:w="749" w:type="pct"/>
            <w:tcBorders>
              <w:top w:val="single" w:sz="4" w:space="0" w:color="auto"/>
            </w:tcBorders>
            <w:shd w:val="clear" w:color="auto" w:fill="auto"/>
            <w:vAlign w:val="center"/>
          </w:tcPr>
          <w:p w:rsidR="00784E52" w:rsidRPr="0023086A" w:rsidRDefault="00784E52" w:rsidP="001A5BF9">
            <w:pPr>
              <w:rPr>
                <w:rFonts w:cs="Arial"/>
                <w:b/>
                <w:sz w:val="16"/>
                <w:szCs w:val="16"/>
              </w:rPr>
            </w:pPr>
            <w:r w:rsidRPr="0023086A">
              <w:rPr>
                <w:b/>
                <w:sz w:val="16"/>
              </w:rPr>
              <w:t>Indicateurs d</w:t>
            </w:r>
            <w:r w:rsidR="00A20444" w:rsidRPr="0023086A">
              <w:rPr>
                <w:b/>
                <w:sz w:val="16"/>
              </w:rPr>
              <w:t>’</w:t>
            </w:r>
            <w:r w:rsidRPr="0023086A">
              <w:rPr>
                <w:b/>
                <w:sz w:val="16"/>
              </w:rPr>
              <w:t>exécution</w:t>
            </w:r>
          </w:p>
        </w:tc>
        <w:tc>
          <w:tcPr>
            <w:tcW w:w="1145" w:type="pct"/>
            <w:tcBorders>
              <w:top w:val="single" w:sz="4" w:space="0" w:color="auto"/>
            </w:tcBorders>
            <w:shd w:val="clear" w:color="auto" w:fill="auto"/>
            <w:vAlign w:val="center"/>
          </w:tcPr>
          <w:p w:rsidR="00784E52" w:rsidRPr="0023086A" w:rsidRDefault="00784E52" w:rsidP="001A5BF9">
            <w:pPr>
              <w:rPr>
                <w:rFonts w:cs="Arial"/>
                <w:b/>
                <w:bCs/>
                <w:sz w:val="16"/>
                <w:szCs w:val="16"/>
              </w:rPr>
            </w:pPr>
            <w:r w:rsidRPr="0023086A">
              <w:rPr>
                <w:b/>
                <w:sz w:val="16"/>
              </w:rPr>
              <w:t>Niveaux de référence</w:t>
            </w:r>
          </w:p>
        </w:tc>
        <w:tc>
          <w:tcPr>
            <w:tcW w:w="572" w:type="pct"/>
            <w:tcBorders>
              <w:top w:val="single" w:sz="4" w:space="0" w:color="auto"/>
            </w:tcBorders>
            <w:shd w:val="clear" w:color="auto" w:fill="auto"/>
            <w:tcMar>
              <w:top w:w="110" w:type="dxa"/>
            </w:tcMar>
            <w:vAlign w:val="center"/>
          </w:tcPr>
          <w:p w:rsidR="00784E52" w:rsidRPr="0023086A" w:rsidRDefault="00784E52" w:rsidP="001A5BF9">
            <w:pPr>
              <w:rPr>
                <w:rFonts w:cs="Arial"/>
                <w:b/>
                <w:sz w:val="16"/>
                <w:szCs w:val="16"/>
              </w:rPr>
            </w:pPr>
            <w:r w:rsidRPr="0023086A">
              <w:rPr>
                <w:b/>
                <w:sz w:val="16"/>
              </w:rPr>
              <w:t>Objectifs visés</w:t>
            </w:r>
          </w:p>
        </w:tc>
        <w:tc>
          <w:tcPr>
            <w:tcW w:w="1713" w:type="pct"/>
            <w:tcBorders>
              <w:top w:val="single" w:sz="4" w:space="0" w:color="auto"/>
            </w:tcBorders>
            <w:shd w:val="clear" w:color="auto" w:fill="FFFFFF"/>
            <w:tcMar>
              <w:top w:w="110" w:type="dxa"/>
            </w:tcMar>
            <w:vAlign w:val="center"/>
          </w:tcPr>
          <w:p w:rsidR="00784E52" w:rsidRPr="0023086A" w:rsidRDefault="00784E52" w:rsidP="001A5BF9">
            <w:pPr>
              <w:rPr>
                <w:rFonts w:cs="Arial"/>
                <w:b/>
                <w:sz w:val="16"/>
                <w:szCs w:val="16"/>
              </w:rPr>
            </w:pPr>
            <w:r w:rsidRPr="0023086A">
              <w:rPr>
                <w:b/>
                <w:sz w:val="16"/>
              </w:rPr>
              <w:t>Données relatives à l</w:t>
            </w:r>
            <w:r w:rsidR="00A20444" w:rsidRPr="0023086A">
              <w:rPr>
                <w:b/>
                <w:sz w:val="16"/>
              </w:rPr>
              <w:t>’</w:t>
            </w:r>
            <w:r w:rsidRPr="0023086A">
              <w:rPr>
                <w:b/>
                <w:sz w:val="16"/>
              </w:rPr>
              <w:t>exécution</w:t>
            </w:r>
          </w:p>
        </w:tc>
        <w:tc>
          <w:tcPr>
            <w:tcW w:w="821" w:type="pct"/>
            <w:tcBorders>
              <w:top w:val="single" w:sz="4" w:space="0" w:color="auto"/>
            </w:tcBorders>
            <w:shd w:val="clear" w:color="auto" w:fill="auto"/>
            <w:tcMar>
              <w:top w:w="110" w:type="dxa"/>
            </w:tcMar>
            <w:vAlign w:val="center"/>
          </w:tcPr>
          <w:p w:rsidR="00784E52" w:rsidRPr="0023086A" w:rsidRDefault="00784E52" w:rsidP="001A5BF9">
            <w:pPr>
              <w:keepNext/>
              <w:keepLines/>
              <w:jc w:val="center"/>
              <w:rPr>
                <w:rFonts w:cs="Arial"/>
                <w:b/>
                <w:bCs/>
                <w:sz w:val="16"/>
                <w:szCs w:val="16"/>
              </w:rPr>
            </w:pPr>
            <w:r w:rsidRPr="0023086A">
              <w:rPr>
                <w:b/>
                <w:sz w:val="16"/>
              </w:rPr>
              <w:t>Code de couleurs</w:t>
            </w:r>
          </w:p>
        </w:tc>
      </w:tr>
      <w:tr w:rsidR="00784E52" w:rsidRPr="005C7CCE" w:rsidTr="002A762E">
        <w:trPr>
          <w:cantSplit/>
          <w:trHeight w:val="136"/>
        </w:trPr>
        <w:tc>
          <w:tcPr>
            <w:tcW w:w="749" w:type="pct"/>
            <w:shd w:val="clear" w:color="auto" w:fill="auto"/>
          </w:tcPr>
          <w:p w:rsidR="00D42474" w:rsidRDefault="00784E52" w:rsidP="001A5BF9">
            <w:pPr>
              <w:rPr>
                <w:sz w:val="16"/>
              </w:rPr>
            </w:pPr>
            <w:r w:rsidRPr="0023086A">
              <w:rPr>
                <w:sz w:val="16"/>
              </w:rPr>
              <w:t>Nombre d</w:t>
            </w:r>
            <w:r w:rsidR="00A20444" w:rsidRPr="0023086A">
              <w:rPr>
                <w:sz w:val="16"/>
              </w:rPr>
              <w:t>’</w:t>
            </w:r>
            <w:r w:rsidRPr="0023086A">
              <w:rPr>
                <w:sz w:val="16"/>
              </w:rPr>
              <w:t>offices dotés de systèmes d</w:t>
            </w:r>
            <w:r w:rsidR="00A20444" w:rsidRPr="0023086A">
              <w:rPr>
                <w:sz w:val="16"/>
              </w:rPr>
              <w:t>’</w:t>
            </w:r>
            <w:r w:rsidRPr="0023086A">
              <w:rPr>
                <w:sz w:val="16"/>
              </w:rPr>
              <w:t>administration de la propriété intellectuelle pleinement ou partiellement automatisés fournis par l</w:t>
            </w:r>
            <w:r w:rsidR="00A20444" w:rsidRPr="0023086A">
              <w:rPr>
                <w:sz w:val="16"/>
              </w:rPr>
              <w:t>’</w:t>
            </w:r>
            <w:r w:rsidRPr="0023086A">
              <w:rPr>
                <w:sz w:val="16"/>
              </w:rPr>
              <w:t>OMPI</w:t>
            </w:r>
          </w:p>
          <w:p w:rsidR="00784E52" w:rsidRPr="0023086A" w:rsidRDefault="00784E52" w:rsidP="001A5BF9">
            <w:pPr>
              <w:rPr>
                <w:rFonts w:cs="Arial"/>
                <w:sz w:val="16"/>
                <w:szCs w:val="16"/>
              </w:rPr>
            </w:pPr>
          </w:p>
        </w:tc>
        <w:tc>
          <w:tcPr>
            <w:tcW w:w="1145" w:type="pct"/>
            <w:shd w:val="clear" w:color="auto" w:fill="auto"/>
          </w:tcPr>
          <w:p w:rsidR="00D42474" w:rsidRDefault="00784E52"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181 900</w:t>
            </w:r>
          </w:p>
          <w:p w:rsidR="00D42474" w:rsidRDefault="00784E52" w:rsidP="001A5BF9">
            <w:pPr>
              <w:rPr>
                <w:color w:val="002060"/>
                <w:sz w:val="16"/>
              </w:rPr>
            </w:pPr>
            <w:r w:rsidRPr="005C7CCE">
              <w:rPr>
                <w:color w:val="002060"/>
                <w:sz w:val="16"/>
              </w:rPr>
              <w:t>Nombre d</w:t>
            </w:r>
            <w:r w:rsidR="00A20444" w:rsidRPr="005C7CCE">
              <w:rPr>
                <w:color w:val="002060"/>
                <w:sz w:val="16"/>
              </w:rPr>
              <w:t>’</w:t>
            </w:r>
            <w:r w:rsidRPr="005C7CCE">
              <w:rPr>
                <w:color w:val="002060"/>
                <w:sz w:val="16"/>
              </w:rPr>
              <w:t>offices entièrement automatisés fin 2011 : 33</w:t>
            </w:r>
          </w:p>
          <w:p w:rsidR="00D42474" w:rsidRDefault="00784E52" w:rsidP="001A5BF9">
            <w:pPr>
              <w:rPr>
                <w:rFonts w:cs="Arial"/>
                <w:color w:val="002060"/>
                <w:sz w:val="16"/>
                <w:szCs w:val="16"/>
                <w:lang w:bidi="th-TH"/>
              </w:rPr>
            </w:pPr>
            <w:r w:rsidRPr="005C7CCE">
              <w:rPr>
                <w:color w:val="002060"/>
                <w:sz w:val="16"/>
              </w:rPr>
              <w:t>Nombre d</w:t>
            </w:r>
            <w:r w:rsidR="00A20444" w:rsidRPr="005C7CCE">
              <w:rPr>
                <w:color w:val="002060"/>
                <w:sz w:val="16"/>
              </w:rPr>
              <w:t>’</w:t>
            </w:r>
            <w:r w:rsidRPr="005C7CCE">
              <w:rPr>
                <w:color w:val="002060"/>
                <w:sz w:val="16"/>
              </w:rPr>
              <w:t xml:space="preserve">offices partiellement automatisés </w:t>
            </w:r>
            <w:r w:rsidRPr="0023086A">
              <w:rPr>
                <w:color w:val="002060"/>
                <w:sz w:val="16"/>
              </w:rPr>
              <w:t>fin 2011 : 25</w:t>
            </w:r>
          </w:p>
          <w:p w:rsidR="00D42474" w:rsidRDefault="00784E52" w:rsidP="001A5BF9">
            <w:pPr>
              <w:rPr>
                <w:rFonts w:cs="Arial"/>
                <w:color w:val="002060"/>
                <w:sz w:val="16"/>
                <w:szCs w:val="16"/>
                <w:lang w:bidi="th-TH"/>
              </w:rPr>
            </w:pPr>
            <w:r w:rsidRPr="0023086A">
              <w:rPr>
                <w:color w:val="002060"/>
                <w:sz w:val="16"/>
              </w:rPr>
              <w:t>Total</w:t>
            </w:r>
            <w:r w:rsidR="0010442A" w:rsidRPr="0023086A">
              <w:rPr>
                <w:color w:val="002060"/>
                <w:sz w:val="16"/>
              </w:rPr>
              <w:t> </w:t>
            </w:r>
            <w:r w:rsidRPr="0023086A">
              <w:rPr>
                <w:color w:val="002060"/>
                <w:sz w:val="16"/>
              </w:rPr>
              <w:t>: 58 offices utilisant les systèmes d</w:t>
            </w:r>
            <w:r w:rsidR="00A20444" w:rsidRPr="0023086A">
              <w:rPr>
                <w:color w:val="002060"/>
                <w:sz w:val="16"/>
              </w:rPr>
              <w:t>’</w:t>
            </w:r>
            <w:r w:rsidRPr="0023086A">
              <w:rPr>
                <w:color w:val="002060"/>
                <w:sz w:val="16"/>
              </w:rPr>
              <w:t>administration de la propriété intellectuelle fournis par l</w:t>
            </w:r>
            <w:r w:rsidR="00A20444" w:rsidRPr="0023086A">
              <w:rPr>
                <w:color w:val="002060"/>
                <w:sz w:val="16"/>
              </w:rPr>
              <w:t>’</w:t>
            </w:r>
            <w:r w:rsidRPr="0023086A">
              <w:rPr>
                <w:color w:val="002060"/>
                <w:sz w:val="16"/>
              </w:rPr>
              <w:t>OMPI</w:t>
            </w:r>
          </w:p>
          <w:p w:rsidR="00D42474" w:rsidRDefault="00D42474" w:rsidP="001A5BF9">
            <w:pPr>
              <w:rPr>
                <w:rFonts w:cs="Arial"/>
                <w:i/>
                <w:sz w:val="16"/>
                <w:szCs w:val="16"/>
                <w:lang w:bidi="th-TH"/>
              </w:rPr>
            </w:pPr>
          </w:p>
          <w:p w:rsidR="00D42474" w:rsidRDefault="00784E52" w:rsidP="001A5BF9">
            <w:pPr>
              <w:rPr>
                <w:rFonts w:cs="Arial"/>
                <w:sz w:val="16"/>
                <w:szCs w:val="16"/>
              </w:rPr>
            </w:pPr>
            <w:r w:rsidRPr="005C7CCE">
              <w:rPr>
                <w:i/>
                <w:sz w:val="16"/>
              </w:rPr>
              <w:t xml:space="preserve">Niveau de référence initial </w:t>
            </w:r>
            <w:r w:rsidR="00667FB3">
              <w:rPr>
                <w:i/>
                <w:sz w:val="16"/>
              </w:rPr>
              <w:t xml:space="preserve">programme et </w:t>
            </w:r>
            <w:r w:rsidR="00667FB3" w:rsidRPr="0023086A">
              <w:rPr>
                <w:i/>
                <w:sz w:val="16"/>
              </w:rPr>
              <w:t>budget</w:t>
            </w:r>
            <w:r w:rsidRPr="0023086A">
              <w:rPr>
                <w:i/>
                <w:sz w:val="16"/>
              </w:rPr>
              <w:t> 2012</w:t>
            </w:r>
            <w:r w:rsidR="002D6F2A" w:rsidRPr="0023086A">
              <w:rPr>
                <w:i/>
                <w:sz w:val="16"/>
              </w:rPr>
              <w:noBreakHyphen/>
            </w:r>
            <w:r w:rsidRPr="0023086A">
              <w:rPr>
                <w:i/>
                <w:sz w:val="16"/>
              </w:rPr>
              <w:t>2013 :</w:t>
            </w:r>
          </w:p>
          <w:p w:rsidR="00784E52" w:rsidRPr="005C7CCE" w:rsidRDefault="00784E52" w:rsidP="001A5BF9">
            <w:pPr>
              <w:rPr>
                <w:rFonts w:cs="Arial"/>
                <w:sz w:val="16"/>
                <w:szCs w:val="16"/>
              </w:rPr>
            </w:pPr>
            <w:r w:rsidRPr="0023086A">
              <w:rPr>
                <w:sz w:val="16"/>
              </w:rPr>
              <w:t>38 offices en</w:t>
            </w:r>
            <w:r w:rsidR="00BD43F2" w:rsidRPr="0023086A">
              <w:rPr>
                <w:sz w:val="16"/>
              </w:rPr>
              <w:t>tièrement automatisés contre 25 </w:t>
            </w:r>
            <w:r w:rsidRPr="0023086A">
              <w:rPr>
                <w:sz w:val="16"/>
              </w:rPr>
              <w:t>offices partiellement automatisés.</w:t>
            </w:r>
            <w:r w:rsidR="004F3E42" w:rsidRPr="0023086A">
              <w:rPr>
                <w:sz w:val="16"/>
              </w:rPr>
              <w:t xml:space="preserve"> </w:t>
            </w:r>
            <w:r w:rsidR="0010442A" w:rsidRPr="0023086A">
              <w:rPr>
                <w:sz w:val="16"/>
              </w:rPr>
              <w:t xml:space="preserve"> </w:t>
            </w:r>
            <w:r w:rsidRPr="0023086A">
              <w:rPr>
                <w:sz w:val="16"/>
              </w:rPr>
              <w:t>Total de 58</w:t>
            </w:r>
            <w:r w:rsidR="00BD43F2" w:rsidRPr="0023086A">
              <w:rPr>
                <w:sz w:val="16"/>
              </w:rPr>
              <w:t> </w:t>
            </w:r>
            <w:r w:rsidRPr="0023086A">
              <w:rPr>
                <w:sz w:val="16"/>
              </w:rPr>
              <w:t>offices utilisant les systèmes d</w:t>
            </w:r>
            <w:r w:rsidR="00A20444" w:rsidRPr="0023086A">
              <w:rPr>
                <w:sz w:val="16"/>
              </w:rPr>
              <w:t>’</w:t>
            </w:r>
            <w:r w:rsidRPr="0023086A">
              <w:rPr>
                <w:sz w:val="16"/>
              </w:rPr>
              <w:t>administration de la propriété intellectuelle fournis par l</w:t>
            </w:r>
            <w:r w:rsidR="00A20444" w:rsidRPr="0023086A">
              <w:rPr>
                <w:sz w:val="16"/>
              </w:rPr>
              <w:t>’</w:t>
            </w:r>
            <w:r w:rsidRPr="0023086A">
              <w:rPr>
                <w:sz w:val="16"/>
              </w:rPr>
              <w:t>OMPI.</w:t>
            </w:r>
          </w:p>
        </w:tc>
        <w:tc>
          <w:tcPr>
            <w:tcW w:w="572" w:type="pct"/>
            <w:shd w:val="clear" w:color="auto" w:fill="auto"/>
            <w:tcMar>
              <w:top w:w="110" w:type="dxa"/>
            </w:tcMar>
          </w:tcPr>
          <w:p w:rsidR="00784E52" w:rsidRPr="005C7CCE" w:rsidRDefault="00784E52" w:rsidP="001A5BF9">
            <w:pPr>
              <w:rPr>
                <w:rFonts w:cs="Arial"/>
                <w:i/>
                <w:sz w:val="16"/>
                <w:szCs w:val="16"/>
              </w:rPr>
            </w:pPr>
            <w:r w:rsidRPr="005C7CCE">
              <w:rPr>
                <w:sz w:val="16"/>
              </w:rPr>
              <w:t>50/80</w:t>
            </w:r>
            <w:r w:rsidRPr="005C7CCE">
              <w:rPr>
                <w:rStyle w:val="FootnoteReference"/>
                <w:sz w:val="16"/>
              </w:rPr>
              <w:footnoteReference w:id="31"/>
            </w:r>
          </w:p>
        </w:tc>
        <w:tc>
          <w:tcPr>
            <w:tcW w:w="1713" w:type="pct"/>
            <w:shd w:val="clear" w:color="auto" w:fill="FFFFFF"/>
            <w:tcMar>
              <w:top w:w="110" w:type="dxa"/>
            </w:tcMar>
          </w:tcPr>
          <w:p w:rsidR="00D42474" w:rsidRDefault="00784E52" w:rsidP="001A5BF9">
            <w:pPr>
              <w:rPr>
                <w:rFonts w:cs="Arial"/>
                <w:sz w:val="16"/>
                <w:szCs w:val="16"/>
                <w:lang w:bidi="th-TH"/>
              </w:rPr>
            </w:pPr>
            <w:r w:rsidRPr="0023086A">
              <w:rPr>
                <w:sz w:val="16"/>
              </w:rPr>
              <w:t>Nombre d</w:t>
            </w:r>
            <w:r w:rsidR="00A20444" w:rsidRPr="0023086A">
              <w:rPr>
                <w:sz w:val="16"/>
              </w:rPr>
              <w:t>’</w:t>
            </w:r>
            <w:r w:rsidRPr="0023086A">
              <w:rPr>
                <w:sz w:val="16"/>
              </w:rPr>
              <w:t>offices entièrement automatisés à la fin de l</w:t>
            </w:r>
            <w:r w:rsidR="00A20444" w:rsidRPr="0023086A">
              <w:rPr>
                <w:sz w:val="16"/>
              </w:rPr>
              <w:t>’</w:t>
            </w:r>
            <w:r w:rsidRPr="0023086A">
              <w:rPr>
                <w:sz w:val="16"/>
              </w:rPr>
              <w:t>exercice biennal 2012</w:t>
            </w:r>
            <w:r w:rsidR="002D6F2A" w:rsidRPr="0023086A">
              <w:rPr>
                <w:sz w:val="16"/>
              </w:rPr>
              <w:noBreakHyphen/>
            </w:r>
            <w:r w:rsidRPr="0023086A">
              <w:rPr>
                <w:sz w:val="16"/>
              </w:rPr>
              <w:t>2013 : 43</w:t>
            </w:r>
          </w:p>
          <w:p w:rsidR="00D42474" w:rsidRDefault="00784E52" w:rsidP="001A5BF9">
            <w:pPr>
              <w:pStyle w:val="Paragraphedeliste"/>
              <w:numPr>
                <w:ilvl w:val="0"/>
                <w:numId w:val="45"/>
              </w:numPr>
              <w:rPr>
                <w:rFonts w:cs="Arial"/>
                <w:sz w:val="16"/>
                <w:szCs w:val="16"/>
                <w:lang w:bidi="th-TH"/>
              </w:rPr>
            </w:pPr>
            <w:r w:rsidRPr="0023086A">
              <w:rPr>
                <w:sz w:val="16"/>
              </w:rPr>
              <w:t>Afrique (10)</w:t>
            </w:r>
          </w:p>
          <w:p w:rsidR="00D42474" w:rsidRDefault="00784E52" w:rsidP="001A5BF9">
            <w:pPr>
              <w:pStyle w:val="Paragraphedeliste"/>
              <w:numPr>
                <w:ilvl w:val="0"/>
                <w:numId w:val="45"/>
              </w:numPr>
              <w:rPr>
                <w:rFonts w:cs="Arial"/>
                <w:sz w:val="16"/>
                <w:szCs w:val="16"/>
                <w:lang w:bidi="th-TH"/>
              </w:rPr>
            </w:pPr>
            <w:r w:rsidRPr="0023086A">
              <w:rPr>
                <w:sz w:val="16"/>
              </w:rPr>
              <w:t>Pays arabes (10)</w:t>
            </w:r>
          </w:p>
          <w:p w:rsidR="00D42474" w:rsidRDefault="00784E52" w:rsidP="001A5BF9">
            <w:pPr>
              <w:pStyle w:val="Paragraphedeliste"/>
              <w:numPr>
                <w:ilvl w:val="0"/>
                <w:numId w:val="45"/>
              </w:numPr>
              <w:rPr>
                <w:rFonts w:cs="Arial"/>
                <w:sz w:val="16"/>
                <w:szCs w:val="16"/>
                <w:lang w:bidi="th-TH"/>
              </w:rPr>
            </w:pPr>
            <w:r w:rsidRPr="0023086A">
              <w:rPr>
                <w:sz w:val="16"/>
              </w:rPr>
              <w:t>Asie et Pacifique (9)</w:t>
            </w:r>
          </w:p>
          <w:p w:rsidR="00D42474" w:rsidRDefault="00784E52" w:rsidP="001A5BF9">
            <w:pPr>
              <w:pStyle w:val="Paragraphedeliste"/>
              <w:numPr>
                <w:ilvl w:val="0"/>
                <w:numId w:val="45"/>
              </w:numPr>
              <w:rPr>
                <w:rFonts w:cs="Arial"/>
                <w:sz w:val="16"/>
                <w:szCs w:val="16"/>
                <w:lang w:bidi="th-TH"/>
              </w:rPr>
            </w:pPr>
            <w:r w:rsidRPr="0023086A">
              <w:rPr>
                <w:sz w:val="16"/>
              </w:rPr>
              <w:t>Certains pays d</w:t>
            </w:r>
            <w:r w:rsidR="00A20444" w:rsidRPr="0023086A">
              <w:rPr>
                <w:sz w:val="16"/>
              </w:rPr>
              <w:t>’</w:t>
            </w:r>
            <w:r w:rsidRPr="0023086A">
              <w:rPr>
                <w:sz w:val="16"/>
              </w:rPr>
              <w:t>Europe et d</w:t>
            </w:r>
            <w:r w:rsidR="00A20444" w:rsidRPr="0023086A">
              <w:rPr>
                <w:sz w:val="16"/>
              </w:rPr>
              <w:t>’</w:t>
            </w:r>
            <w:r w:rsidRPr="0023086A">
              <w:rPr>
                <w:sz w:val="16"/>
              </w:rPr>
              <w:t>Asie (4)</w:t>
            </w:r>
          </w:p>
          <w:p w:rsidR="00D42474" w:rsidRDefault="00784E52" w:rsidP="001A5BF9">
            <w:pPr>
              <w:pStyle w:val="Paragraphedeliste"/>
              <w:numPr>
                <w:ilvl w:val="0"/>
                <w:numId w:val="45"/>
              </w:numPr>
              <w:rPr>
                <w:rFonts w:cs="Arial"/>
                <w:sz w:val="16"/>
                <w:szCs w:val="16"/>
                <w:lang w:bidi="th-TH"/>
              </w:rPr>
            </w:pPr>
            <w:r w:rsidRPr="0023086A">
              <w:rPr>
                <w:sz w:val="16"/>
              </w:rPr>
              <w:t>Amérique latine et Caraïbes (9)</w:t>
            </w:r>
          </w:p>
          <w:p w:rsidR="00D42474" w:rsidRDefault="00784E52" w:rsidP="001A5BF9">
            <w:pPr>
              <w:pStyle w:val="Paragraphedeliste"/>
              <w:numPr>
                <w:ilvl w:val="0"/>
                <w:numId w:val="45"/>
              </w:numPr>
              <w:rPr>
                <w:rFonts w:cs="Arial"/>
                <w:sz w:val="16"/>
                <w:szCs w:val="16"/>
                <w:lang w:bidi="th-TH"/>
              </w:rPr>
            </w:pPr>
            <w:r w:rsidRPr="0023086A">
              <w:rPr>
                <w:sz w:val="16"/>
              </w:rPr>
              <w:t>Autre (1)</w:t>
            </w: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23086A">
              <w:rPr>
                <w:sz w:val="16"/>
              </w:rPr>
              <w:t>Nombre d</w:t>
            </w:r>
            <w:r w:rsidR="00A20444" w:rsidRPr="0023086A">
              <w:rPr>
                <w:sz w:val="16"/>
              </w:rPr>
              <w:t>’</w:t>
            </w:r>
            <w:r w:rsidRPr="0023086A">
              <w:rPr>
                <w:sz w:val="16"/>
              </w:rPr>
              <w:t>offices partiellement automatisés à la fin de l</w:t>
            </w:r>
            <w:r w:rsidR="00A20444" w:rsidRPr="0023086A">
              <w:rPr>
                <w:sz w:val="16"/>
              </w:rPr>
              <w:t>’</w:t>
            </w:r>
            <w:r w:rsidRPr="0023086A">
              <w:rPr>
                <w:sz w:val="16"/>
              </w:rPr>
              <w:t>exercice biennal 2012</w:t>
            </w:r>
            <w:r w:rsidR="002D6F2A" w:rsidRPr="0023086A">
              <w:rPr>
                <w:sz w:val="16"/>
              </w:rPr>
              <w:noBreakHyphen/>
            </w:r>
            <w:r w:rsidRPr="0023086A">
              <w:rPr>
                <w:sz w:val="16"/>
              </w:rPr>
              <w:t>2013 : 21</w:t>
            </w:r>
          </w:p>
          <w:p w:rsidR="00D42474" w:rsidRDefault="00784E52" w:rsidP="001A5BF9">
            <w:pPr>
              <w:pStyle w:val="Paragraphedeliste"/>
              <w:numPr>
                <w:ilvl w:val="0"/>
                <w:numId w:val="46"/>
              </w:numPr>
              <w:rPr>
                <w:rFonts w:cs="Arial"/>
                <w:sz w:val="16"/>
                <w:szCs w:val="16"/>
                <w:lang w:bidi="th-TH"/>
              </w:rPr>
            </w:pPr>
            <w:r w:rsidRPr="0023086A">
              <w:rPr>
                <w:sz w:val="16"/>
              </w:rPr>
              <w:t>Afrique (9)</w:t>
            </w:r>
          </w:p>
          <w:p w:rsidR="00D42474" w:rsidRDefault="00784E52" w:rsidP="001A5BF9">
            <w:pPr>
              <w:pStyle w:val="Paragraphedeliste"/>
              <w:numPr>
                <w:ilvl w:val="0"/>
                <w:numId w:val="46"/>
              </w:numPr>
              <w:rPr>
                <w:rFonts w:cs="Arial"/>
                <w:sz w:val="16"/>
                <w:szCs w:val="16"/>
                <w:lang w:bidi="th-TH"/>
              </w:rPr>
            </w:pPr>
            <w:r w:rsidRPr="0023086A">
              <w:rPr>
                <w:sz w:val="16"/>
              </w:rPr>
              <w:t>Pays arabes (4)</w:t>
            </w:r>
          </w:p>
          <w:p w:rsidR="00D42474" w:rsidRDefault="00784E52" w:rsidP="001A5BF9">
            <w:pPr>
              <w:pStyle w:val="Paragraphedeliste"/>
              <w:numPr>
                <w:ilvl w:val="0"/>
                <w:numId w:val="46"/>
              </w:numPr>
              <w:rPr>
                <w:rFonts w:cs="Arial"/>
                <w:sz w:val="16"/>
                <w:szCs w:val="16"/>
                <w:lang w:bidi="th-TH"/>
              </w:rPr>
            </w:pPr>
            <w:r w:rsidRPr="0023086A">
              <w:rPr>
                <w:sz w:val="16"/>
              </w:rPr>
              <w:t>Asie et Pacifique (2)</w:t>
            </w:r>
          </w:p>
          <w:p w:rsidR="00D42474" w:rsidRDefault="00784E52" w:rsidP="001A5BF9">
            <w:pPr>
              <w:pStyle w:val="Paragraphedeliste"/>
              <w:numPr>
                <w:ilvl w:val="0"/>
                <w:numId w:val="46"/>
              </w:numPr>
              <w:rPr>
                <w:rFonts w:cs="Arial"/>
                <w:sz w:val="16"/>
                <w:szCs w:val="16"/>
                <w:lang w:bidi="th-TH"/>
              </w:rPr>
            </w:pPr>
            <w:r w:rsidRPr="0023086A">
              <w:rPr>
                <w:sz w:val="16"/>
              </w:rPr>
              <w:t>Certains pays d</w:t>
            </w:r>
            <w:r w:rsidR="00A20444" w:rsidRPr="0023086A">
              <w:rPr>
                <w:sz w:val="16"/>
              </w:rPr>
              <w:t>’</w:t>
            </w:r>
            <w:r w:rsidRPr="0023086A">
              <w:rPr>
                <w:sz w:val="16"/>
              </w:rPr>
              <w:t>Europe et d</w:t>
            </w:r>
            <w:r w:rsidR="00A20444" w:rsidRPr="0023086A">
              <w:rPr>
                <w:sz w:val="16"/>
              </w:rPr>
              <w:t>’</w:t>
            </w:r>
            <w:r w:rsidRPr="0023086A">
              <w:rPr>
                <w:sz w:val="16"/>
              </w:rPr>
              <w:t>Asie (1)</w:t>
            </w:r>
          </w:p>
          <w:p w:rsidR="00D42474" w:rsidRDefault="00784E52" w:rsidP="001A5BF9">
            <w:pPr>
              <w:pStyle w:val="Paragraphedeliste"/>
              <w:numPr>
                <w:ilvl w:val="0"/>
                <w:numId w:val="46"/>
              </w:numPr>
              <w:rPr>
                <w:rFonts w:cs="Arial"/>
                <w:sz w:val="16"/>
                <w:szCs w:val="16"/>
                <w:lang w:bidi="th-TH"/>
              </w:rPr>
            </w:pPr>
            <w:r w:rsidRPr="0023086A">
              <w:rPr>
                <w:sz w:val="16"/>
              </w:rPr>
              <w:t>Amérique latine et Caraïbes (5)</w:t>
            </w:r>
          </w:p>
          <w:p w:rsidR="00D42474" w:rsidRDefault="00D42474" w:rsidP="001A5BF9">
            <w:pPr>
              <w:rPr>
                <w:rFonts w:cs="Arial"/>
                <w:sz w:val="16"/>
                <w:szCs w:val="16"/>
                <w:lang w:bidi="th-TH"/>
              </w:rPr>
            </w:pPr>
          </w:p>
          <w:p w:rsidR="00D42474" w:rsidRDefault="00784E52" w:rsidP="001A5BF9">
            <w:pPr>
              <w:rPr>
                <w:sz w:val="16"/>
              </w:rPr>
            </w:pPr>
            <w:r w:rsidRPr="0023086A">
              <w:rPr>
                <w:sz w:val="16"/>
              </w:rPr>
              <w:t>Total : 64 offices utilisant les systèmes d</w:t>
            </w:r>
            <w:r w:rsidR="00A20444" w:rsidRPr="0023086A">
              <w:rPr>
                <w:sz w:val="16"/>
              </w:rPr>
              <w:t>’</w:t>
            </w:r>
            <w:r w:rsidRPr="0023086A">
              <w:rPr>
                <w:sz w:val="16"/>
              </w:rPr>
              <w:t>administration de la propriété intellectuelle de l</w:t>
            </w:r>
            <w:r w:rsidR="00A20444" w:rsidRPr="0023086A">
              <w:rPr>
                <w:sz w:val="16"/>
              </w:rPr>
              <w:t>’</w:t>
            </w:r>
            <w:r w:rsidRPr="0023086A">
              <w:rPr>
                <w:sz w:val="16"/>
              </w:rPr>
              <w:t>OMPI à la fin de l</w:t>
            </w:r>
            <w:r w:rsidR="00A20444" w:rsidRPr="0023086A">
              <w:rPr>
                <w:sz w:val="16"/>
              </w:rPr>
              <w:t>’</w:t>
            </w:r>
            <w:r w:rsidRPr="0023086A">
              <w:rPr>
                <w:sz w:val="16"/>
              </w:rPr>
              <w:t>exercice biennal 2012</w:t>
            </w:r>
            <w:r w:rsidR="002D6F2A" w:rsidRPr="0023086A">
              <w:rPr>
                <w:sz w:val="16"/>
              </w:rPr>
              <w:noBreakHyphen/>
            </w:r>
            <w:r w:rsidRPr="0023086A">
              <w:rPr>
                <w:sz w:val="16"/>
              </w:rPr>
              <w:t>2013.</w:t>
            </w:r>
          </w:p>
          <w:p w:rsidR="00D42474" w:rsidRDefault="00784E52" w:rsidP="001A5BF9">
            <w:pPr>
              <w:pStyle w:val="Paragraphedeliste"/>
              <w:numPr>
                <w:ilvl w:val="0"/>
                <w:numId w:val="21"/>
              </w:numPr>
              <w:ind w:left="360"/>
              <w:rPr>
                <w:rFonts w:cs="Arial"/>
                <w:sz w:val="16"/>
                <w:szCs w:val="16"/>
                <w:lang w:bidi="th-TH"/>
              </w:rPr>
            </w:pPr>
            <w:r w:rsidRPr="0023086A">
              <w:rPr>
                <w:sz w:val="16"/>
              </w:rPr>
              <w:t>Afrique (19)</w:t>
            </w:r>
          </w:p>
          <w:p w:rsidR="00D42474" w:rsidRDefault="00784E52" w:rsidP="001A5BF9">
            <w:pPr>
              <w:pStyle w:val="Paragraphedeliste"/>
              <w:numPr>
                <w:ilvl w:val="0"/>
                <w:numId w:val="21"/>
              </w:numPr>
              <w:ind w:left="360"/>
              <w:rPr>
                <w:rFonts w:cs="Arial"/>
                <w:sz w:val="16"/>
                <w:szCs w:val="16"/>
                <w:lang w:bidi="th-TH"/>
              </w:rPr>
            </w:pPr>
            <w:r w:rsidRPr="0023086A">
              <w:rPr>
                <w:sz w:val="16"/>
              </w:rPr>
              <w:t>Pays arabes (14)</w:t>
            </w:r>
          </w:p>
          <w:p w:rsidR="00D42474" w:rsidRDefault="00784E52" w:rsidP="001A5BF9">
            <w:pPr>
              <w:pStyle w:val="Paragraphedeliste"/>
              <w:numPr>
                <w:ilvl w:val="0"/>
                <w:numId w:val="21"/>
              </w:numPr>
              <w:ind w:left="360"/>
              <w:rPr>
                <w:rFonts w:cs="Arial"/>
                <w:sz w:val="16"/>
                <w:szCs w:val="16"/>
                <w:lang w:bidi="th-TH"/>
              </w:rPr>
            </w:pPr>
            <w:r w:rsidRPr="0023086A">
              <w:rPr>
                <w:sz w:val="16"/>
              </w:rPr>
              <w:t>Région Asie et Pacifique (11)</w:t>
            </w:r>
          </w:p>
          <w:p w:rsidR="00D42474" w:rsidRDefault="00784E52" w:rsidP="001A5BF9">
            <w:pPr>
              <w:pStyle w:val="Paragraphedeliste"/>
              <w:numPr>
                <w:ilvl w:val="0"/>
                <w:numId w:val="21"/>
              </w:numPr>
              <w:ind w:left="360"/>
              <w:rPr>
                <w:rFonts w:cs="Arial"/>
                <w:sz w:val="16"/>
                <w:szCs w:val="16"/>
                <w:lang w:bidi="th-TH"/>
              </w:rPr>
            </w:pPr>
            <w:r w:rsidRPr="0023086A">
              <w:rPr>
                <w:sz w:val="16"/>
              </w:rPr>
              <w:t>Certains pays d</w:t>
            </w:r>
            <w:r w:rsidR="00A20444" w:rsidRPr="0023086A">
              <w:rPr>
                <w:sz w:val="16"/>
              </w:rPr>
              <w:t>’</w:t>
            </w:r>
            <w:r w:rsidRPr="0023086A">
              <w:rPr>
                <w:sz w:val="16"/>
              </w:rPr>
              <w:t>Europe et d</w:t>
            </w:r>
            <w:r w:rsidR="00A20444" w:rsidRPr="0023086A">
              <w:rPr>
                <w:sz w:val="16"/>
              </w:rPr>
              <w:t>’</w:t>
            </w:r>
            <w:r w:rsidRPr="0023086A">
              <w:rPr>
                <w:sz w:val="16"/>
              </w:rPr>
              <w:t>Asie (5)</w:t>
            </w:r>
          </w:p>
          <w:p w:rsidR="00D42474" w:rsidRDefault="00784E52" w:rsidP="001A5BF9">
            <w:pPr>
              <w:pStyle w:val="Paragraphedeliste"/>
              <w:numPr>
                <w:ilvl w:val="0"/>
                <w:numId w:val="21"/>
              </w:numPr>
              <w:ind w:left="360"/>
              <w:rPr>
                <w:rFonts w:cs="Arial"/>
                <w:sz w:val="16"/>
                <w:szCs w:val="16"/>
                <w:lang w:bidi="th-TH"/>
              </w:rPr>
            </w:pPr>
            <w:r w:rsidRPr="0023086A">
              <w:rPr>
                <w:sz w:val="16"/>
              </w:rPr>
              <w:t>Amérique latine et Caraïbes (14)</w:t>
            </w:r>
          </w:p>
          <w:p w:rsidR="00784E52" w:rsidRPr="0023086A" w:rsidRDefault="00784E52" w:rsidP="001A5BF9">
            <w:pPr>
              <w:pStyle w:val="Paragraphedeliste"/>
              <w:numPr>
                <w:ilvl w:val="0"/>
                <w:numId w:val="21"/>
              </w:numPr>
              <w:ind w:left="360"/>
              <w:rPr>
                <w:rFonts w:cs="Arial"/>
              </w:rPr>
            </w:pPr>
            <w:r w:rsidRPr="0023086A">
              <w:rPr>
                <w:sz w:val="16"/>
              </w:rPr>
              <w:t>Autre (1)</w:t>
            </w:r>
          </w:p>
        </w:tc>
        <w:tc>
          <w:tcPr>
            <w:tcW w:w="821" w:type="pct"/>
            <w:shd w:val="clear" w:color="auto" w:fill="auto"/>
            <w:tcMar>
              <w:top w:w="110" w:type="dxa"/>
            </w:tcMar>
          </w:tcPr>
          <w:p w:rsidR="00784E52" w:rsidRPr="005C7CCE" w:rsidRDefault="00784E52" w:rsidP="001A5BF9">
            <w:pPr>
              <w:keepNext/>
              <w:keepLines/>
              <w:jc w:val="center"/>
              <w:rPr>
                <w:rFonts w:cs="Arial"/>
                <w:bCs/>
                <w:color w:val="00B050"/>
                <w:sz w:val="16"/>
                <w:szCs w:val="16"/>
              </w:rPr>
            </w:pPr>
            <w:r w:rsidRPr="00B470C6">
              <w:rPr>
                <w:color w:val="008000"/>
                <w:sz w:val="16"/>
              </w:rPr>
              <w:t>Objectif pleinement atteint</w:t>
            </w:r>
          </w:p>
        </w:tc>
      </w:tr>
      <w:tr w:rsidR="00784E52" w:rsidRPr="0023086A" w:rsidTr="002A762E">
        <w:trPr>
          <w:cantSplit/>
          <w:trHeight w:val="136"/>
        </w:trPr>
        <w:tc>
          <w:tcPr>
            <w:tcW w:w="749" w:type="pct"/>
            <w:shd w:val="clear" w:color="auto" w:fill="auto"/>
          </w:tcPr>
          <w:p w:rsidR="00784E52" w:rsidRPr="0023086A" w:rsidRDefault="00784E52" w:rsidP="001A5BF9">
            <w:pPr>
              <w:rPr>
                <w:rFonts w:cs="Arial"/>
                <w:sz w:val="16"/>
                <w:szCs w:val="16"/>
              </w:rPr>
            </w:pPr>
            <w:r w:rsidRPr="0023086A">
              <w:rPr>
                <w:sz w:val="16"/>
              </w:rPr>
              <w:t>Nombre d</w:t>
            </w:r>
            <w:r w:rsidR="00A20444" w:rsidRPr="0023086A">
              <w:rPr>
                <w:sz w:val="16"/>
              </w:rPr>
              <w:t>’</w:t>
            </w:r>
            <w:r w:rsidRPr="0023086A">
              <w:rPr>
                <w:sz w:val="16"/>
              </w:rPr>
              <w:t>offices avec des données de propriété intellectuelle en ligne dans les bases de données de l</w:t>
            </w:r>
            <w:r w:rsidR="00A20444" w:rsidRPr="0023086A">
              <w:rPr>
                <w:sz w:val="16"/>
              </w:rPr>
              <w:t>’</w:t>
            </w:r>
            <w:r w:rsidRPr="0023086A">
              <w:rPr>
                <w:sz w:val="16"/>
              </w:rPr>
              <w:t>OMPI</w:t>
            </w:r>
          </w:p>
        </w:tc>
        <w:tc>
          <w:tcPr>
            <w:tcW w:w="1145" w:type="pct"/>
            <w:shd w:val="clear" w:color="auto" w:fill="auto"/>
          </w:tcPr>
          <w:p w:rsidR="00784E52" w:rsidRPr="005C7CCE" w:rsidRDefault="00784E52" w:rsidP="001A5BF9">
            <w:pPr>
              <w:rPr>
                <w:rFonts w:cs="Arial"/>
                <w:sz w:val="16"/>
                <w:szCs w:val="16"/>
              </w:rPr>
            </w:pPr>
            <w:r w:rsidRPr="005C7CCE">
              <w:rPr>
                <w:sz w:val="16"/>
              </w:rPr>
              <w:t>20</w:t>
            </w:r>
          </w:p>
        </w:tc>
        <w:tc>
          <w:tcPr>
            <w:tcW w:w="572" w:type="pct"/>
            <w:shd w:val="clear" w:color="auto" w:fill="auto"/>
            <w:tcMar>
              <w:top w:w="110" w:type="dxa"/>
            </w:tcMar>
          </w:tcPr>
          <w:p w:rsidR="00784E52" w:rsidRPr="005C7CCE" w:rsidRDefault="00784E52" w:rsidP="001A5BF9">
            <w:pPr>
              <w:rPr>
                <w:rFonts w:cs="Arial"/>
                <w:i/>
                <w:sz w:val="16"/>
                <w:szCs w:val="16"/>
              </w:rPr>
            </w:pPr>
            <w:r w:rsidRPr="005C7CCE">
              <w:rPr>
                <w:sz w:val="16"/>
              </w:rPr>
              <w:t>40 (cumul)</w:t>
            </w:r>
          </w:p>
        </w:tc>
        <w:tc>
          <w:tcPr>
            <w:tcW w:w="1713" w:type="pct"/>
            <w:shd w:val="clear" w:color="auto" w:fill="FFFFFF"/>
            <w:tcMar>
              <w:top w:w="110" w:type="dxa"/>
            </w:tcMar>
          </w:tcPr>
          <w:p w:rsidR="00D42474" w:rsidRDefault="00784E52" w:rsidP="001A5BF9">
            <w:pPr>
              <w:rPr>
                <w:rFonts w:cs="Arial"/>
                <w:sz w:val="16"/>
                <w:szCs w:val="16"/>
                <w:lang w:bidi="th-TH"/>
              </w:rPr>
            </w:pPr>
            <w:r w:rsidRPr="0023086A">
              <w:rPr>
                <w:sz w:val="16"/>
              </w:rPr>
              <w:t>48 offices (36 dans PATENTSCOPE et 12 dans la Base de données mondiale sur les marques) avec des données de propriété intellectuelle en ligne dans les bases de données de l</w:t>
            </w:r>
            <w:r w:rsidR="00A20444" w:rsidRPr="0023086A">
              <w:rPr>
                <w:sz w:val="16"/>
              </w:rPr>
              <w:t>’</w:t>
            </w:r>
            <w:r w:rsidRPr="0023086A">
              <w:rPr>
                <w:sz w:val="16"/>
              </w:rPr>
              <w:t>OMPI (cumul)</w:t>
            </w: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23086A">
              <w:rPr>
                <w:sz w:val="16"/>
              </w:rPr>
              <w:t>PATENTSCOPE</w:t>
            </w:r>
            <w:r w:rsidR="0010442A" w:rsidRPr="0023086A">
              <w:rPr>
                <w:sz w:val="16"/>
              </w:rPr>
              <w:t> </w:t>
            </w:r>
            <w:r w:rsidRPr="0023086A">
              <w:rPr>
                <w:sz w:val="16"/>
              </w:rPr>
              <w:t>:</w:t>
            </w:r>
          </w:p>
          <w:p w:rsidR="00D42474" w:rsidRDefault="00784E52" w:rsidP="001A5BF9">
            <w:pPr>
              <w:pStyle w:val="Paragraphedeliste"/>
              <w:numPr>
                <w:ilvl w:val="0"/>
                <w:numId w:val="22"/>
              </w:numPr>
              <w:ind w:left="360"/>
              <w:rPr>
                <w:rFonts w:cs="Arial"/>
                <w:sz w:val="16"/>
                <w:szCs w:val="16"/>
                <w:lang w:bidi="th-TH"/>
              </w:rPr>
            </w:pPr>
            <w:r w:rsidRPr="0023086A">
              <w:rPr>
                <w:sz w:val="16"/>
              </w:rPr>
              <w:t>Afrique (3)</w:t>
            </w:r>
          </w:p>
          <w:p w:rsidR="00D42474" w:rsidRDefault="00784E52" w:rsidP="001A5BF9">
            <w:pPr>
              <w:pStyle w:val="Paragraphedeliste"/>
              <w:numPr>
                <w:ilvl w:val="0"/>
                <w:numId w:val="22"/>
              </w:numPr>
              <w:ind w:left="360"/>
              <w:rPr>
                <w:rFonts w:cs="Arial"/>
                <w:sz w:val="16"/>
                <w:szCs w:val="16"/>
                <w:lang w:bidi="th-TH"/>
              </w:rPr>
            </w:pPr>
            <w:r w:rsidRPr="0023086A">
              <w:rPr>
                <w:sz w:val="16"/>
              </w:rPr>
              <w:t>Pays arabes (5)</w:t>
            </w:r>
          </w:p>
          <w:p w:rsidR="00D42474" w:rsidRDefault="00784E52" w:rsidP="001A5BF9">
            <w:pPr>
              <w:pStyle w:val="Paragraphedeliste"/>
              <w:numPr>
                <w:ilvl w:val="0"/>
                <w:numId w:val="22"/>
              </w:numPr>
              <w:ind w:left="360"/>
              <w:rPr>
                <w:rFonts w:cs="Arial"/>
                <w:sz w:val="16"/>
                <w:szCs w:val="16"/>
                <w:lang w:bidi="th-TH"/>
              </w:rPr>
            </w:pPr>
            <w:r w:rsidRPr="0023086A">
              <w:rPr>
                <w:sz w:val="16"/>
              </w:rPr>
              <w:t>Asie et Pacifique (4)</w:t>
            </w:r>
          </w:p>
          <w:p w:rsidR="00D42474" w:rsidRDefault="00784E52" w:rsidP="001A5BF9">
            <w:pPr>
              <w:pStyle w:val="Paragraphedeliste"/>
              <w:numPr>
                <w:ilvl w:val="0"/>
                <w:numId w:val="22"/>
              </w:numPr>
              <w:ind w:left="360"/>
              <w:rPr>
                <w:rFonts w:cs="Arial"/>
                <w:sz w:val="16"/>
                <w:szCs w:val="16"/>
                <w:lang w:bidi="th-TH"/>
              </w:rPr>
            </w:pPr>
            <w:r w:rsidRPr="0023086A">
              <w:rPr>
                <w:sz w:val="16"/>
              </w:rPr>
              <w:t>Certains pays d</w:t>
            </w:r>
            <w:r w:rsidR="00A20444" w:rsidRPr="0023086A">
              <w:rPr>
                <w:sz w:val="16"/>
              </w:rPr>
              <w:t>’</w:t>
            </w:r>
            <w:r w:rsidRPr="0023086A">
              <w:rPr>
                <w:sz w:val="16"/>
              </w:rPr>
              <w:t>Europe et d</w:t>
            </w:r>
            <w:r w:rsidR="00A20444" w:rsidRPr="0023086A">
              <w:rPr>
                <w:sz w:val="16"/>
              </w:rPr>
              <w:t>’</w:t>
            </w:r>
            <w:r w:rsidRPr="0023086A">
              <w:rPr>
                <w:sz w:val="16"/>
              </w:rPr>
              <w:t>Asie (3)</w:t>
            </w:r>
          </w:p>
          <w:p w:rsidR="00D42474" w:rsidRDefault="00784E52" w:rsidP="001A5BF9">
            <w:pPr>
              <w:pStyle w:val="Paragraphedeliste"/>
              <w:numPr>
                <w:ilvl w:val="0"/>
                <w:numId w:val="22"/>
              </w:numPr>
              <w:ind w:left="360"/>
              <w:rPr>
                <w:rFonts w:cs="Arial"/>
                <w:sz w:val="16"/>
                <w:szCs w:val="16"/>
                <w:lang w:bidi="th-TH"/>
              </w:rPr>
            </w:pPr>
            <w:r w:rsidRPr="0023086A">
              <w:rPr>
                <w:sz w:val="16"/>
              </w:rPr>
              <w:t>Amérique latine et Caraïbes (16)</w:t>
            </w:r>
          </w:p>
          <w:p w:rsidR="00D42474" w:rsidRDefault="00784E52" w:rsidP="001A5BF9">
            <w:pPr>
              <w:pStyle w:val="Paragraphedeliste"/>
              <w:numPr>
                <w:ilvl w:val="0"/>
                <w:numId w:val="22"/>
              </w:numPr>
              <w:ind w:left="360"/>
              <w:rPr>
                <w:rFonts w:cs="Arial"/>
                <w:sz w:val="16"/>
                <w:szCs w:val="16"/>
                <w:lang w:bidi="th-TH"/>
              </w:rPr>
            </w:pPr>
            <w:r w:rsidRPr="0023086A">
              <w:rPr>
                <w:sz w:val="16"/>
              </w:rPr>
              <w:t>Autre (5)</w:t>
            </w: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23086A">
              <w:rPr>
                <w:sz w:val="16"/>
              </w:rPr>
              <w:t>Base de données mondiale sur les marques</w:t>
            </w:r>
            <w:r w:rsidR="0010442A" w:rsidRPr="0023086A">
              <w:rPr>
                <w:sz w:val="16"/>
              </w:rPr>
              <w:t> </w:t>
            </w:r>
            <w:r w:rsidRPr="0023086A">
              <w:rPr>
                <w:sz w:val="16"/>
              </w:rPr>
              <w:t>:</w:t>
            </w:r>
          </w:p>
          <w:p w:rsidR="00D42474" w:rsidRDefault="00784E52" w:rsidP="001A5BF9">
            <w:pPr>
              <w:pStyle w:val="Paragraphedeliste"/>
              <w:numPr>
                <w:ilvl w:val="0"/>
                <w:numId w:val="23"/>
              </w:numPr>
              <w:ind w:left="360"/>
              <w:rPr>
                <w:rFonts w:cs="Arial"/>
                <w:sz w:val="16"/>
                <w:szCs w:val="16"/>
                <w:lang w:bidi="th-TH"/>
              </w:rPr>
            </w:pPr>
            <w:r w:rsidRPr="0023086A">
              <w:rPr>
                <w:sz w:val="16"/>
              </w:rPr>
              <w:t>Pays arabes (4)</w:t>
            </w:r>
          </w:p>
          <w:p w:rsidR="00D42474" w:rsidRDefault="00784E52" w:rsidP="001A5BF9">
            <w:pPr>
              <w:pStyle w:val="Paragraphedeliste"/>
              <w:numPr>
                <w:ilvl w:val="0"/>
                <w:numId w:val="23"/>
              </w:numPr>
              <w:ind w:left="360"/>
              <w:rPr>
                <w:rFonts w:cs="Arial"/>
                <w:sz w:val="16"/>
                <w:szCs w:val="16"/>
                <w:lang w:bidi="th-TH"/>
              </w:rPr>
            </w:pPr>
            <w:r w:rsidRPr="0023086A">
              <w:rPr>
                <w:sz w:val="16"/>
              </w:rPr>
              <w:t>Asie et Pacifique (2)</w:t>
            </w:r>
          </w:p>
          <w:p w:rsidR="00D42474" w:rsidRDefault="00784E52" w:rsidP="001A5BF9">
            <w:pPr>
              <w:pStyle w:val="Paragraphedeliste"/>
              <w:numPr>
                <w:ilvl w:val="0"/>
                <w:numId w:val="23"/>
              </w:numPr>
              <w:ind w:left="360"/>
              <w:rPr>
                <w:rFonts w:cs="Arial"/>
                <w:sz w:val="16"/>
                <w:szCs w:val="16"/>
                <w:lang w:bidi="th-TH"/>
              </w:rPr>
            </w:pPr>
            <w:r w:rsidRPr="0023086A">
              <w:rPr>
                <w:sz w:val="16"/>
              </w:rPr>
              <w:t>Certains pays d</w:t>
            </w:r>
            <w:r w:rsidR="00A20444" w:rsidRPr="0023086A">
              <w:rPr>
                <w:sz w:val="16"/>
              </w:rPr>
              <w:t>’</w:t>
            </w:r>
            <w:r w:rsidRPr="0023086A">
              <w:rPr>
                <w:sz w:val="16"/>
              </w:rPr>
              <w:t>Europe et d</w:t>
            </w:r>
            <w:r w:rsidR="00A20444" w:rsidRPr="0023086A">
              <w:rPr>
                <w:sz w:val="16"/>
              </w:rPr>
              <w:t>’</w:t>
            </w:r>
            <w:r w:rsidRPr="0023086A">
              <w:rPr>
                <w:sz w:val="16"/>
              </w:rPr>
              <w:t>Asie (1)</w:t>
            </w:r>
          </w:p>
          <w:p w:rsidR="00784E52" w:rsidRPr="0023086A" w:rsidRDefault="00784E52" w:rsidP="001A5BF9">
            <w:pPr>
              <w:pStyle w:val="Paragraphedeliste"/>
              <w:numPr>
                <w:ilvl w:val="0"/>
                <w:numId w:val="23"/>
              </w:numPr>
              <w:ind w:left="360"/>
              <w:rPr>
                <w:rFonts w:cs="Arial"/>
              </w:rPr>
            </w:pPr>
            <w:r w:rsidRPr="0023086A">
              <w:rPr>
                <w:sz w:val="16"/>
              </w:rPr>
              <w:t>Autre (5)</w:t>
            </w:r>
          </w:p>
        </w:tc>
        <w:tc>
          <w:tcPr>
            <w:tcW w:w="821" w:type="pct"/>
            <w:shd w:val="clear" w:color="auto" w:fill="auto"/>
            <w:tcMar>
              <w:top w:w="110" w:type="dxa"/>
            </w:tcMar>
          </w:tcPr>
          <w:p w:rsidR="00784E52" w:rsidRPr="0023086A"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5C7CCE" w:rsidTr="002A762E">
        <w:trPr>
          <w:cantSplit/>
          <w:trHeight w:val="1311"/>
        </w:trPr>
        <w:tc>
          <w:tcPr>
            <w:tcW w:w="749" w:type="pct"/>
            <w:shd w:val="clear" w:color="auto" w:fill="auto"/>
          </w:tcPr>
          <w:p w:rsidR="00784E52" w:rsidRPr="0023086A" w:rsidRDefault="00784E52" w:rsidP="001A5BF9">
            <w:pPr>
              <w:rPr>
                <w:rFonts w:cs="Arial"/>
                <w:sz w:val="16"/>
                <w:szCs w:val="16"/>
              </w:rPr>
            </w:pPr>
            <w:r w:rsidRPr="0023086A">
              <w:rPr>
                <w:sz w:val="16"/>
              </w:rPr>
              <w:t>Nombre de groupes d</w:t>
            </w:r>
            <w:r w:rsidR="00A20444" w:rsidRPr="0023086A">
              <w:rPr>
                <w:sz w:val="16"/>
              </w:rPr>
              <w:t>’</w:t>
            </w:r>
            <w:r w:rsidRPr="0023086A">
              <w:rPr>
                <w:sz w:val="16"/>
              </w:rPr>
              <w:t>offices participant à une plate</w:t>
            </w:r>
            <w:r w:rsidR="002D6F2A" w:rsidRPr="0023086A">
              <w:rPr>
                <w:sz w:val="16"/>
              </w:rPr>
              <w:noBreakHyphen/>
            </w:r>
            <w:r w:rsidRPr="0023086A">
              <w:rPr>
                <w:sz w:val="16"/>
              </w:rPr>
              <w:t>forme commune</w:t>
            </w:r>
          </w:p>
        </w:tc>
        <w:tc>
          <w:tcPr>
            <w:tcW w:w="1145" w:type="pct"/>
            <w:shd w:val="clear" w:color="auto" w:fill="auto"/>
          </w:tcPr>
          <w:p w:rsidR="00784E52" w:rsidRPr="005C7CCE" w:rsidRDefault="00784E52" w:rsidP="001A5BF9">
            <w:pPr>
              <w:rPr>
                <w:rFonts w:cs="Arial"/>
                <w:sz w:val="16"/>
                <w:szCs w:val="16"/>
              </w:rPr>
            </w:pPr>
            <w:r w:rsidRPr="005C7CCE">
              <w:rPr>
                <w:sz w:val="16"/>
              </w:rPr>
              <w:t>1</w:t>
            </w:r>
          </w:p>
        </w:tc>
        <w:tc>
          <w:tcPr>
            <w:tcW w:w="572" w:type="pct"/>
            <w:shd w:val="clear" w:color="auto" w:fill="auto"/>
            <w:tcMar>
              <w:top w:w="110" w:type="dxa"/>
            </w:tcMar>
          </w:tcPr>
          <w:p w:rsidR="00784E52" w:rsidRPr="005C7CCE" w:rsidRDefault="00784E52" w:rsidP="001A5BF9">
            <w:pPr>
              <w:rPr>
                <w:rFonts w:cs="Arial"/>
                <w:i/>
                <w:sz w:val="16"/>
                <w:szCs w:val="16"/>
              </w:rPr>
            </w:pPr>
            <w:r w:rsidRPr="005C7CCE">
              <w:rPr>
                <w:sz w:val="16"/>
              </w:rPr>
              <w:t>3 (cumul)</w:t>
            </w:r>
          </w:p>
        </w:tc>
        <w:tc>
          <w:tcPr>
            <w:tcW w:w="1713" w:type="pct"/>
            <w:shd w:val="clear" w:color="auto" w:fill="FFFFFF"/>
            <w:tcMar>
              <w:top w:w="110" w:type="dxa"/>
            </w:tcMar>
          </w:tcPr>
          <w:p w:rsidR="00784E52" w:rsidRPr="0023086A" w:rsidRDefault="00784E52" w:rsidP="001A5BF9">
            <w:pPr>
              <w:rPr>
                <w:rFonts w:cs="Arial"/>
                <w:sz w:val="16"/>
                <w:szCs w:val="16"/>
              </w:rPr>
            </w:pPr>
            <w:r w:rsidRPr="0023086A">
              <w:rPr>
                <w:sz w:val="16"/>
              </w:rPr>
              <w:t xml:space="preserve">Sept offices participants de différentes régions. </w:t>
            </w:r>
            <w:r w:rsidR="0010442A" w:rsidRPr="0023086A">
              <w:rPr>
                <w:sz w:val="16"/>
              </w:rPr>
              <w:t xml:space="preserve"> </w:t>
            </w:r>
            <w:r w:rsidRPr="0023086A">
              <w:rPr>
                <w:sz w:val="16"/>
              </w:rPr>
              <w:t>La question d</w:t>
            </w:r>
            <w:r w:rsidR="00A20444" w:rsidRPr="0023086A">
              <w:rPr>
                <w:sz w:val="16"/>
              </w:rPr>
              <w:t>’</w:t>
            </w:r>
            <w:r w:rsidRPr="0023086A">
              <w:rPr>
                <w:sz w:val="16"/>
              </w:rPr>
              <w:t>avoir différents groupes d</w:t>
            </w:r>
            <w:r w:rsidR="00A20444" w:rsidRPr="0023086A">
              <w:rPr>
                <w:sz w:val="16"/>
              </w:rPr>
              <w:t>’</w:t>
            </w:r>
            <w:r w:rsidRPr="0023086A">
              <w:rPr>
                <w:sz w:val="16"/>
              </w:rPr>
              <w:t>offices n</w:t>
            </w:r>
            <w:r w:rsidR="00A20444" w:rsidRPr="0023086A">
              <w:rPr>
                <w:sz w:val="16"/>
              </w:rPr>
              <w:t>’</w:t>
            </w:r>
            <w:r w:rsidRPr="0023086A">
              <w:rPr>
                <w:sz w:val="16"/>
              </w:rPr>
              <w:t>est plus d</w:t>
            </w:r>
            <w:r w:rsidR="00A20444" w:rsidRPr="0023086A">
              <w:rPr>
                <w:sz w:val="16"/>
              </w:rPr>
              <w:t>’</w:t>
            </w:r>
            <w:r w:rsidRPr="0023086A">
              <w:rPr>
                <w:sz w:val="16"/>
              </w:rPr>
              <w:t xml:space="preserve">actualité. </w:t>
            </w:r>
            <w:r w:rsidR="0010442A" w:rsidRPr="0023086A">
              <w:rPr>
                <w:sz w:val="16"/>
              </w:rPr>
              <w:t xml:space="preserve"> </w:t>
            </w:r>
            <w:r w:rsidRPr="0023086A">
              <w:rPr>
                <w:sz w:val="16"/>
              </w:rPr>
              <w:t>Les offices adhèrent à la plate</w:t>
            </w:r>
            <w:r w:rsidR="002D6F2A" w:rsidRPr="0023086A">
              <w:rPr>
                <w:sz w:val="16"/>
              </w:rPr>
              <w:noBreakHyphen/>
            </w:r>
            <w:r w:rsidRPr="0023086A">
              <w:rPr>
                <w:sz w:val="16"/>
              </w:rPr>
              <w:t>forme commune partout dans le monde et pas en groupes régionaux</w:t>
            </w:r>
          </w:p>
        </w:tc>
        <w:tc>
          <w:tcPr>
            <w:tcW w:w="821" w:type="pct"/>
            <w:shd w:val="clear" w:color="auto" w:fill="auto"/>
            <w:tcMar>
              <w:top w:w="110" w:type="dxa"/>
            </w:tcMar>
          </w:tcPr>
          <w:p w:rsidR="00784E52" w:rsidRPr="005C7CCE" w:rsidRDefault="00784E52" w:rsidP="001A5BF9">
            <w:pPr>
              <w:keepNext/>
              <w:keepLines/>
              <w:jc w:val="center"/>
              <w:rPr>
                <w:rFonts w:cs="Arial"/>
                <w:bCs/>
                <w:color w:val="80808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1523DC" w:rsidRPr="005C7CCE" w:rsidTr="002A762E">
        <w:trPr>
          <w:cantSplit/>
          <w:trHeight w:val="1569"/>
        </w:trPr>
        <w:tc>
          <w:tcPr>
            <w:tcW w:w="749" w:type="pct"/>
            <w:shd w:val="clear" w:color="auto" w:fill="auto"/>
          </w:tcPr>
          <w:p w:rsidR="001523DC" w:rsidRPr="0023086A" w:rsidRDefault="001523DC" w:rsidP="001A5BF9">
            <w:pPr>
              <w:rPr>
                <w:rFonts w:cs="Arial"/>
                <w:sz w:val="16"/>
                <w:szCs w:val="16"/>
              </w:rPr>
            </w:pPr>
            <w:r w:rsidRPr="0023086A">
              <w:rPr>
                <w:sz w:val="16"/>
              </w:rPr>
              <w:t>Nombre d’offices traitant des données du PCT et du système de Madrid avec l’appui de systèmes fournis par l’OMPI</w:t>
            </w:r>
          </w:p>
        </w:tc>
        <w:tc>
          <w:tcPr>
            <w:tcW w:w="1145" w:type="pct"/>
            <w:shd w:val="clear" w:color="auto" w:fill="auto"/>
          </w:tcPr>
          <w:p w:rsidR="001523DC" w:rsidRPr="005C7CCE" w:rsidRDefault="001523DC" w:rsidP="001A5BF9">
            <w:pPr>
              <w:rPr>
                <w:rFonts w:cs="Arial"/>
                <w:sz w:val="16"/>
                <w:szCs w:val="16"/>
              </w:rPr>
            </w:pPr>
            <w:r w:rsidRPr="005C7CCE">
              <w:rPr>
                <w:sz w:val="16"/>
              </w:rPr>
              <w:t>5</w:t>
            </w:r>
          </w:p>
        </w:tc>
        <w:tc>
          <w:tcPr>
            <w:tcW w:w="572" w:type="pct"/>
            <w:shd w:val="clear" w:color="auto" w:fill="auto"/>
            <w:tcMar>
              <w:top w:w="110" w:type="dxa"/>
            </w:tcMar>
          </w:tcPr>
          <w:p w:rsidR="001523DC" w:rsidRPr="005C7CCE" w:rsidRDefault="001523DC" w:rsidP="001A5BF9">
            <w:pPr>
              <w:rPr>
                <w:rFonts w:cs="Arial"/>
                <w:i/>
                <w:sz w:val="16"/>
                <w:szCs w:val="16"/>
              </w:rPr>
            </w:pPr>
            <w:r w:rsidRPr="005C7CCE">
              <w:rPr>
                <w:sz w:val="16"/>
              </w:rPr>
              <w:t xml:space="preserve">20 (cumul) </w:t>
            </w:r>
          </w:p>
        </w:tc>
        <w:tc>
          <w:tcPr>
            <w:tcW w:w="1713" w:type="pct"/>
            <w:shd w:val="clear" w:color="auto" w:fill="FFFFFF"/>
            <w:tcMar>
              <w:top w:w="110" w:type="dxa"/>
            </w:tcMar>
          </w:tcPr>
          <w:p w:rsidR="00D42474" w:rsidRDefault="001523DC" w:rsidP="001A5BF9">
            <w:pPr>
              <w:rPr>
                <w:rFonts w:cs="Arial"/>
                <w:sz w:val="16"/>
                <w:szCs w:val="16"/>
                <w:lang w:bidi="th-TH"/>
              </w:rPr>
            </w:pPr>
            <w:r w:rsidRPr="0023086A">
              <w:rPr>
                <w:sz w:val="16"/>
              </w:rPr>
              <w:t>40 offices traitant des données du PCT et du système de Madrid avec l’appui de systèmes fournis par l’OMPI</w:t>
            </w:r>
          </w:p>
          <w:p w:rsidR="00D42474" w:rsidRDefault="00D42474" w:rsidP="001A5BF9">
            <w:pPr>
              <w:rPr>
                <w:rFonts w:cs="Arial"/>
                <w:sz w:val="16"/>
                <w:szCs w:val="16"/>
                <w:lang w:bidi="th-TH"/>
              </w:rPr>
            </w:pPr>
          </w:p>
          <w:p w:rsidR="00D42474" w:rsidRDefault="001523DC" w:rsidP="001A5BF9">
            <w:pPr>
              <w:rPr>
                <w:rFonts w:cs="Arial"/>
                <w:sz w:val="16"/>
                <w:szCs w:val="16"/>
                <w:lang w:bidi="th-TH"/>
              </w:rPr>
            </w:pPr>
            <w:r w:rsidRPr="0023086A">
              <w:rPr>
                <w:sz w:val="16"/>
              </w:rPr>
              <w:t>Ventilation régionale du traitement des données du PCT :</w:t>
            </w:r>
          </w:p>
          <w:p w:rsidR="00D42474" w:rsidRDefault="001523DC" w:rsidP="001A5BF9">
            <w:pPr>
              <w:pStyle w:val="Paragraphedeliste"/>
              <w:numPr>
                <w:ilvl w:val="0"/>
                <w:numId w:val="24"/>
              </w:numPr>
              <w:ind w:left="360"/>
              <w:rPr>
                <w:rFonts w:cs="Arial"/>
                <w:sz w:val="16"/>
                <w:szCs w:val="16"/>
                <w:lang w:bidi="th-TH"/>
              </w:rPr>
            </w:pPr>
            <w:r w:rsidRPr="0023086A">
              <w:rPr>
                <w:sz w:val="16"/>
              </w:rPr>
              <w:t>Afrique (6)</w:t>
            </w:r>
          </w:p>
          <w:p w:rsidR="00D42474" w:rsidRDefault="001523DC" w:rsidP="001A5BF9">
            <w:pPr>
              <w:pStyle w:val="Paragraphedeliste"/>
              <w:numPr>
                <w:ilvl w:val="0"/>
                <w:numId w:val="24"/>
              </w:numPr>
              <w:ind w:left="360"/>
              <w:rPr>
                <w:rFonts w:cs="Arial"/>
                <w:sz w:val="16"/>
                <w:szCs w:val="16"/>
                <w:lang w:bidi="th-TH"/>
              </w:rPr>
            </w:pPr>
            <w:r w:rsidRPr="0023086A">
              <w:rPr>
                <w:sz w:val="16"/>
              </w:rPr>
              <w:t>Pays arabes (5)</w:t>
            </w:r>
          </w:p>
          <w:p w:rsidR="00D42474" w:rsidRDefault="001523DC" w:rsidP="001A5BF9">
            <w:pPr>
              <w:pStyle w:val="Paragraphedeliste"/>
              <w:numPr>
                <w:ilvl w:val="0"/>
                <w:numId w:val="24"/>
              </w:numPr>
              <w:ind w:left="360"/>
              <w:rPr>
                <w:rFonts w:cs="Arial"/>
                <w:sz w:val="16"/>
                <w:szCs w:val="16"/>
                <w:lang w:bidi="th-TH"/>
              </w:rPr>
            </w:pPr>
            <w:r w:rsidRPr="0023086A">
              <w:rPr>
                <w:sz w:val="16"/>
              </w:rPr>
              <w:t>Asie et Pacifique (4)</w:t>
            </w:r>
          </w:p>
          <w:p w:rsidR="00D42474" w:rsidRDefault="001523DC" w:rsidP="001A5BF9">
            <w:pPr>
              <w:pStyle w:val="Paragraphedeliste"/>
              <w:numPr>
                <w:ilvl w:val="0"/>
                <w:numId w:val="24"/>
              </w:numPr>
              <w:ind w:left="360"/>
              <w:rPr>
                <w:rFonts w:cs="Arial"/>
                <w:sz w:val="16"/>
                <w:szCs w:val="16"/>
                <w:lang w:bidi="th-TH"/>
              </w:rPr>
            </w:pPr>
            <w:r w:rsidRPr="0023086A">
              <w:rPr>
                <w:sz w:val="16"/>
              </w:rPr>
              <w:t>Certains pays d’Europe et d’Asie (5)</w:t>
            </w:r>
          </w:p>
          <w:p w:rsidR="00D42474" w:rsidRDefault="001523DC" w:rsidP="001A5BF9">
            <w:pPr>
              <w:pStyle w:val="Paragraphedeliste"/>
              <w:numPr>
                <w:ilvl w:val="0"/>
                <w:numId w:val="24"/>
              </w:numPr>
              <w:ind w:left="360"/>
              <w:rPr>
                <w:rFonts w:cs="Arial"/>
                <w:sz w:val="16"/>
                <w:szCs w:val="16"/>
                <w:lang w:bidi="th-TH"/>
              </w:rPr>
            </w:pPr>
            <w:r w:rsidRPr="0023086A">
              <w:rPr>
                <w:sz w:val="16"/>
              </w:rPr>
              <w:t>Amérique latine et Caraïbes (7)</w:t>
            </w:r>
          </w:p>
          <w:p w:rsidR="00D42474" w:rsidRDefault="001523DC" w:rsidP="001A5BF9">
            <w:pPr>
              <w:rPr>
                <w:rFonts w:cs="Arial"/>
                <w:sz w:val="16"/>
                <w:szCs w:val="16"/>
                <w:lang w:bidi="th-TH"/>
              </w:rPr>
            </w:pPr>
            <w:r w:rsidRPr="0023086A">
              <w:rPr>
                <w:sz w:val="16"/>
              </w:rPr>
              <w:t>TOTAL : 27</w:t>
            </w:r>
          </w:p>
          <w:p w:rsidR="00D42474" w:rsidRDefault="00D42474" w:rsidP="001A5BF9">
            <w:pPr>
              <w:rPr>
                <w:rFonts w:cs="Arial"/>
                <w:sz w:val="16"/>
                <w:szCs w:val="16"/>
                <w:lang w:bidi="th-TH"/>
              </w:rPr>
            </w:pPr>
          </w:p>
          <w:p w:rsidR="00D42474" w:rsidRDefault="001523DC" w:rsidP="001A5BF9">
            <w:pPr>
              <w:rPr>
                <w:rFonts w:cs="Arial"/>
                <w:sz w:val="16"/>
                <w:szCs w:val="16"/>
                <w:lang w:bidi="th-TH"/>
              </w:rPr>
            </w:pPr>
            <w:r w:rsidRPr="0023086A">
              <w:rPr>
                <w:sz w:val="16"/>
              </w:rPr>
              <w:t>Ventilation régionale du traitement des données du système de Madrid :</w:t>
            </w:r>
          </w:p>
          <w:p w:rsidR="00D42474" w:rsidRDefault="001523DC" w:rsidP="001A5BF9">
            <w:pPr>
              <w:pStyle w:val="Paragraphedeliste"/>
              <w:numPr>
                <w:ilvl w:val="0"/>
                <w:numId w:val="25"/>
              </w:numPr>
              <w:ind w:left="360"/>
              <w:rPr>
                <w:rFonts w:cs="Arial"/>
                <w:sz w:val="16"/>
                <w:szCs w:val="16"/>
                <w:lang w:bidi="th-TH"/>
              </w:rPr>
            </w:pPr>
            <w:r w:rsidRPr="0023086A">
              <w:rPr>
                <w:sz w:val="16"/>
              </w:rPr>
              <w:t>Afrique (7)</w:t>
            </w:r>
          </w:p>
          <w:p w:rsidR="00D42474" w:rsidRDefault="001523DC" w:rsidP="001A5BF9">
            <w:pPr>
              <w:pStyle w:val="Paragraphedeliste"/>
              <w:numPr>
                <w:ilvl w:val="0"/>
                <w:numId w:val="25"/>
              </w:numPr>
              <w:ind w:left="360"/>
              <w:rPr>
                <w:rFonts w:cs="Arial"/>
                <w:sz w:val="16"/>
                <w:szCs w:val="16"/>
                <w:lang w:bidi="th-TH"/>
              </w:rPr>
            </w:pPr>
            <w:r w:rsidRPr="0023086A">
              <w:rPr>
                <w:sz w:val="16"/>
              </w:rPr>
              <w:t>Pays arabes (1)</w:t>
            </w:r>
          </w:p>
          <w:p w:rsidR="00D42474" w:rsidRDefault="001523DC" w:rsidP="001A5BF9">
            <w:pPr>
              <w:pStyle w:val="Paragraphedeliste"/>
              <w:numPr>
                <w:ilvl w:val="0"/>
                <w:numId w:val="25"/>
              </w:numPr>
              <w:ind w:left="360"/>
              <w:rPr>
                <w:rFonts w:cs="Arial"/>
                <w:sz w:val="16"/>
                <w:szCs w:val="16"/>
                <w:lang w:bidi="th-TH"/>
              </w:rPr>
            </w:pPr>
            <w:r w:rsidRPr="0023086A">
              <w:rPr>
                <w:sz w:val="16"/>
              </w:rPr>
              <w:t>Asie et Pacifique (1)</w:t>
            </w:r>
          </w:p>
          <w:p w:rsidR="00D42474" w:rsidRDefault="001523DC" w:rsidP="001A5BF9">
            <w:pPr>
              <w:pStyle w:val="Paragraphedeliste"/>
              <w:numPr>
                <w:ilvl w:val="0"/>
                <w:numId w:val="25"/>
              </w:numPr>
              <w:ind w:left="360"/>
              <w:rPr>
                <w:rFonts w:cs="Arial"/>
                <w:sz w:val="16"/>
                <w:szCs w:val="16"/>
                <w:lang w:bidi="th-TH"/>
              </w:rPr>
            </w:pPr>
            <w:r w:rsidRPr="0023086A">
              <w:rPr>
                <w:sz w:val="16"/>
              </w:rPr>
              <w:t>Certains pays d’Europe et d’Asie (3)</w:t>
            </w:r>
          </w:p>
          <w:p w:rsidR="00D42474" w:rsidRDefault="001523DC" w:rsidP="001A5BF9">
            <w:pPr>
              <w:pStyle w:val="Paragraphedeliste"/>
              <w:numPr>
                <w:ilvl w:val="0"/>
                <w:numId w:val="25"/>
              </w:numPr>
              <w:ind w:left="360"/>
              <w:rPr>
                <w:rFonts w:cs="Arial"/>
                <w:sz w:val="16"/>
                <w:szCs w:val="16"/>
                <w:lang w:bidi="th-TH"/>
              </w:rPr>
            </w:pPr>
            <w:r w:rsidRPr="0023086A">
              <w:rPr>
                <w:sz w:val="16"/>
              </w:rPr>
              <w:t>Amérique latine et Caraïbes (1)</w:t>
            </w:r>
          </w:p>
          <w:p w:rsidR="00D42474" w:rsidRDefault="00D42474" w:rsidP="001A5BF9">
            <w:pPr>
              <w:pStyle w:val="Paragraphedeliste"/>
              <w:numPr>
                <w:ilvl w:val="0"/>
                <w:numId w:val="25"/>
              </w:numPr>
              <w:ind w:left="360"/>
              <w:rPr>
                <w:rFonts w:cs="Arial"/>
                <w:sz w:val="16"/>
                <w:szCs w:val="16"/>
                <w:lang w:bidi="th-TH"/>
              </w:rPr>
            </w:pPr>
          </w:p>
          <w:p w:rsidR="00D42474" w:rsidRDefault="001523DC" w:rsidP="001A5BF9">
            <w:pPr>
              <w:rPr>
                <w:rFonts w:cs="Arial"/>
                <w:sz w:val="16"/>
                <w:szCs w:val="16"/>
                <w:lang w:bidi="th-TH"/>
              </w:rPr>
            </w:pPr>
            <w:r w:rsidRPr="0023086A">
              <w:rPr>
                <w:sz w:val="16"/>
              </w:rPr>
              <w:t>TOTAL : 13</w:t>
            </w:r>
          </w:p>
          <w:p w:rsidR="001523DC" w:rsidRPr="0023086A" w:rsidRDefault="001523DC" w:rsidP="001A5BF9">
            <w:pPr>
              <w:rPr>
                <w:rFonts w:cs="Arial"/>
                <w:sz w:val="16"/>
                <w:szCs w:val="16"/>
              </w:rPr>
            </w:pPr>
          </w:p>
        </w:tc>
        <w:tc>
          <w:tcPr>
            <w:tcW w:w="821" w:type="pct"/>
            <w:shd w:val="clear" w:color="auto" w:fill="auto"/>
            <w:tcMar>
              <w:top w:w="110" w:type="dxa"/>
            </w:tcMar>
          </w:tcPr>
          <w:p w:rsidR="001523DC" w:rsidRPr="005C7CCE" w:rsidRDefault="001523DC" w:rsidP="00F966A7">
            <w:pPr>
              <w:keepNext/>
              <w:keepLines/>
              <w:jc w:val="center"/>
              <w:rPr>
                <w:rFonts w:cs="Arial"/>
                <w:bCs/>
                <w:color w:val="80808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bl>
    <w:p w:rsidR="00D42474" w:rsidRDefault="00D42474" w:rsidP="001A5BF9">
      <w:pPr>
        <w:keepNext/>
        <w:keepLines/>
        <w:rPr>
          <w:rFonts w:cs="Arial"/>
          <w:szCs w:val="22"/>
        </w:rPr>
      </w:pPr>
    </w:p>
    <w:p w:rsidR="00D42474" w:rsidRDefault="00D42474" w:rsidP="001A5BF9">
      <w:pPr>
        <w:keepNext/>
        <w:keepLines/>
        <w:rPr>
          <w:rFonts w:cs="Arial"/>
          <w:szCs w:val="22"/>
        </w:rPr>
      </w:pPr>
    </w:p>
    <w:p w:rsidR="00D42474" w:rsidRDefault="0023086A" w:rsidP="001A5BF9">
      <w:pPr>
        <w:keepNext/>
        <w:keepLines/>
        <w:rPr>
          <w:rFonts w:cs="Arial"/>
          <w:sz w:val="22"/>
          <w:szCs w:val="22"/>
        </w:rPr>
      </w:pPr>
      <w:r w:rsidRPr="0023086A">
        <w:rPr>
          <w:sz w:val="22"/>
        </w:rPr>
        <w:t>BUDGET ET DÉPENSES EFFECTIVES</w:t>
      </w:r>
    </w:p>
    <w:p w:rsidR="00D42474" w:rsidRDefault="00D42474" w:rsidP="001A5BF9">
      <w:pPr>
        <w:rPr>
          <w:szCs w:val="22"/>
        </w:rPr>
      </w:pPr>
    </w:p>
    <w:p w:rsidR="00D42474" w:rsidRDefault="00784E52" w:rsidP="001A5BF9">
      <w:pPr>
        <w:jc w:val="center"/>
      </w:pPr>
      <w:r w:rsidRPr="002D02F3">
        <w:t>Budget et dépenses effectives (par résultat)</w:t>
      </w:r>
    </w:p>
    <w:p w:rsidR="00D42474" w:rsidRDefault="00784E52" w:rsidP="001A5BF9">
      <w:pPr>
        <w:jc w:val="center"/>
        <w:rPr>
          <w:rFonts w:ascii="Times New Roman" w:hAnsi="Times New Roman"/>
          <w:szCs w:val="20"/>
        </w:rPr>
      </w:pPr>
      <w:r w:rsidRPr="002D02F3">
        <w:rPr>
          <w:i/>
        </w:rPr>
        <w:t>(</w:t>
      </w:r>
      <w:proofErr w:type="gramStart"/>
      <w:r w:rsidRPr="002D02F3">
        <w:rPr>
          <w:i/>
        </w:rPr>
        <w:t>en</w:t>
      </w:r>
      <w:proofErr w:type="gramEnd"/>
      <w:r w:rsidRPr="002D02F3">
        <w:rPr>
          <w:i/>
        </w:rPr>
        <w:t xml:space="preserve"> milliers de francs suisses)</w:t>
      </w:r>
    </w:p>
    <w:p w:rsidR="00784E52" w:rsidRPr="002D02F3" w:rsidRDefault="00784E52" w:rsidP="001A5BF9">
      <w:pPr>
        <w:rPr>
          <w:szCs w:val="22"/>
        </w:rPr>
      </w:pPr>
    </w:p>
    <w:tbl>
      <w:tblPr>
        <w:tblW w:w="0" w:type="auto"/>
        <w:tblInd w:w="103" w:type="dxa"/>
        <w:tblLayout w:type="fixed"/>
        <w:tblLook w:val="04A0" w:firstRow="1" w:lastRow="0" w:firstColumn="1" w:lastColumn="0" w:noHBand="0" w:noVBand="1"/>
      </w:tblPr>
      <w:tblGrid>
        <w:gridCol w:w="557"/>
        <w:gridCol w:w="4268"/>
        <w:gridCol w:w="1559"/>
        <w:gridCol w:w="1559"/>
        <w:gridCol w:w="1418"/>
      </w:tblGrid>
      <w:tr w:rsidR="00784E52" w:rsidRPr="002D02F3" w:rsidTr="00BB3F3E">
        <w:tc>
          <w:tcPr>
            <w:tcW w:w="4825"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2D02F3" w:rsidRDefault="00784E52" w:rsidP="001A5BF9">
            <w:pPr>
              <w:spacing w:before="120" w:after="120"/>
              <w:jc w:val="center"/>
              <w:rPr>
                <w:rFonts w:cs="Arial"/>
                <w:bCs/>
                <w:sz w:val="16"/>
                <w:szCs w:val="16"/>
              </w:rPr>
            </w:pPr>
            <w:r w:rsidRPr="002D02F3">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784E52" w:rsidRPr="002D02F3" w:rsidTr="00BB3F3E">
        <w:tc>
          <w:tcPr>
            <w:tcW w:w="557" w:type="dxa"/>
            <w:tcBorders>
              <w:top w:val="nil"/>
              <w:left w:val="single" w:sz="4" w:space="0" w:color="auto"/>
              <w:bottom w:val="single" w:sz="4" w:space="0" w:color="auto"/>
              <w:right w:val="nil"/>
            </w:tcBorders>
            <w:shd w:val="clear" w:color="000000" w:fill="FFFFFF"/>
            <w:noWrap/>
          </w:tcPr>
          <w:p w:rsidR="00784E52" w:rsidRPr="002D02F3" w:rsidRDefault="00784E52" w:rsidP="001A5BF9">
            <w:pPr>
              <w:spacing w:before="120" w:after="120"/>
              <w:jc w:val="center"/>
              <w:rPr>
                <w:rFonts w:cs="Arial"/>
                <w:sz w:val="16"/>
                <w:szCs w:val="16"/>
              </w:rPr>
            </w:pPr>
            <w:proofErr w:type="spellStart"/>
            <w:r w:rsidRPr="002D02F3">
              <w:rPr>
                <w:sz w:val="16"/>
              </w:rPr>
              <w:t>IV.5</w:t>
            </w:r>
            <w:proofErr w:type="spellEnd"/>
          </w:p>
        </w:tc>
        <w:tc>
          <w:tcPr>
            <w:tcW w:w="4268" w:type="dxa"/>
            <w:tcBorders>
              <w:top w:val="nil"/>
              <w:left w:val="nil"/>
              <w:bottom w:val="single" w:sz="4" w:space="0" w:color="auto"/>
              <w:right w:val="nil"/>
            </w:tcBorders>
            <w:shd w:val="clear" w:color="000000" w:fill="FFFFFF"/>
          </w:tcPr>
          <w:p w:rsidR="00784E52" w:rsidRPr="002D02F3" w:rsidRDefault="00784E52" w:rsidP="001A5BF9">
            <w:pPr>
              <w:spacing w:before="120" w:after="120"/>
              <w:rPr>
                <w:rFonts w:cs="Arial"/>
                <w:sz w:val="16"/>
                <w:szCs w:val="16"/>
              </w:rPr>
            </w:pPr>
            <w:r w:rsidRPr="002D02F3">
              <w:rPr>
                <w:sz w:val="16"/>
              </w:rPr>
              <w:t>Amélioration de l</w:t>
            </w:r>
            <w:r w:rsidR="00A20444" w:rsidRPr="002D02F3">
              <w:rPr>
                <w:sz w:val="16"/>
              </w:rPr>
              <w:t>’</w:t>
            </w:r>
            <w:r w:rsidRPr="002D02F3">
              <w:rPr>
                <w:sz w:val="16"/>
              </w:rPr>
              <w:t>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c>
          <w:tcPr>
            <w:tcW w:w="1559" w:type="dxa"/>
            <w:tcBorders>
              <w:top w:val="nil"/>
              <w:left w:val="nil"/>
              <w:bottom w:val="single" w:sz="4" w:space="0" w:color="auto"/>
              <w:right w:val="nil"/>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7 813</w:t>
            </w:r>
          </w:p>
        </w:tc>
        <w:tc>
          <w:tcPr>
            <w:tcW w:w="1559" w:type="dxa"/>
            <w:tcBorders>
              <w:top w:val="nil"/>
              <w:left w:val="nil"/>
              <w:bottom w:val="single" w:sz="4" w:space="0" w:color="auto"/>
              <w:right w:val="nil"/>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8 269</w:t>
            </w:r>
          </w:p>
        </w:tc>
        <w:tc>
          <w:tcPr>
            <w:tcW w:w="1418" w:type="dxa"/>
            <w:tcBorders>
              <w:top w:val="nil"/>
              <w:left w:val="nil"/>
              <w:bottom w:val="single" w:sz="4" w:space="0" w:color="auto"/>
              <w:right w:val="single" w:sz="4" w:space="0" w:color="auto"/>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8 042</w:t>
            </w:r>
          </w:p>
        </w:tc>
      </w:tr>
      <w:tr w:rsidR="00784E52" w:rsidRPr="002D02F3" w:rsidTr="00BB3F3E">
        <w:tc>
          <w:tcPr>
            <w:tcW w:w="557" w:type="dxa"/>
            <w:tcBorders>
              <w:top w:val="nil"/>
              <w:left w:val="single" w:sz="4" w:space="0" w:color="auto"/>
              <w:bottom w:val="single" w:sz="4" w:space="0" w:color="auto"/>
              <w:right w:val="nil"/>
            </w:tcBorders>
            <w:shd w:val="clear" w:color="000000" w:fill="CCFFFF"/>
            <w:noWrap/>
            <w:vAlign w:val="bottom"/>
          </w:tcPr>
          <w:p w:rsidR="00784E52" w:rsidRPr="002D02F3" w:rsidRDefault="00784E52" w:rsidP="001A5BF9">
            <w:pPr>
              <w:spacing w:before="120" w:after="120"/>
              <w:jc w:val="center"/>
              <w:rPr>
                <w:rFonts w:cs="Arial"/>
                <w:b/>
                <w:bCs/>
                <w:sz w:val="16"/>
                <w:szCs w:val="16"/>
              </w:rPr>
            </w:pPr>
            <w:r w:rsidRPr="002D02F3">
              <w:rPr>
                <w:b/>
                <w:sz w:val="16"/>
              </w:rPr>
              <w:t> </w:t>
            </w:r>
          </w:p>
        </w:tc>
        <w:tc>
          <w:tcPr>
            <w:tcW w:w="4268" w:type="dxa"/>
            <w:tcBorders>
              <w:top w:val="nil"/>
              <w:left w:val="nil"/>
              <w:bottom w:val="single" w:sz="4" w:space="0" w:color="auto"/>
              <w:right w:val="nil"/>
            </w:tcBorders>
            <w:shd w:val="clear" w:color="000000" w:fill="CCFFFF"/>
            <w:noWrap/>
            <w:vAlign w:val="center"/>
          </w:tcPr>
          <w:p w:rsidR="00784E52" w:rsidRPr="002D02F3" w:rsidRDefault="00784E52" w:rsidP="001A5BF9">
            <w:pPr>
              <w:spacing w:before="120" w:after="120"/>
              <w:rPr>
                <w:rFonts w:cs="Arial"/>
                <w:b/>
                <w:bCs/>
                <w:sz w:val="16"/>
                <w:szCs w:val="16"/>
              </w:rPr>
            </w:pPr>
            <w:r w:rsidRPr="002D02F3">
              <w:rPr>
                <w:b/>
                <w:sz w:val="16"/>
              </w:rPr>
              <w:t>Total</w:t>
            </w:r>
          </w:p>
        </w:tc>
        <w:tc>
          <w:tcPr>
            <w:tcW w:w="1559" w:type="dxa"/>
            <w:tcBorders>
              <w:top w:val="nil"/>
              <w:left w:val="single" w:sz="4" w:space="0" w:color="auto"/>
              <w:bottom w:val="single" w:sz="4" w:space="0" w:color="auto"/>
              <w:right w:val="single" w:sz="4" w:space="0" w:color="auto"/>
            </w:tcBorders>
            <w:shd w:val="clear" w:color="000000" w:fill="CCFFFF"/>
            <w:vAlign w:val="center"/>
          </w:tcPr>
          <w:p w:rsidR="00784E52" w:rsidRPr="002D02F3" w:rsidRDefault="00784E52" w:rsidP="001A5BF9">
            <w:pPr>
              <w:spacing w:before="120" w:after="120"/>
              <w:jc w:val="right"/>
              <w:rPr>
                <w:rFonts w:cs="Arial"/>
                <w:b/>
                <w:bCs/>
                <w:sz w:val="16"/>
                <w:szCs w:val="16"/>
              </w:rPr>
            </w:pPr>
            <w:r w:rsidRPr="002D02F3">
              <w:rPr>
                <w:b/>
                <w:sz w:val="16"/>
              </w:rPr>
              <w:t>7 813</w:t>
            </w:r>
          </w:p>
        </w:tc>
        <w:tc>
          <w:tcPr>
            <w:tcW w:w="1559" w:type="dxa"/>
            <w:tcBorders>
              <w:top w:val="nil"/>
              <w:left w:val="nil"/>
              <w:bottom w:val="single" w:sz="4" w:space="0" w:color="auto"/>
              <w:right w:val="single" w:sz="4" w:space="0" w:color="auto"/>
            </w:tcBorders>
            <w:shd w:val="clear" w:color="000000" w:fill="CCFFFF"/>
            <w:noWrap/>
            <w:vAlign w:val="center"/>
          </w:tcPr>
          <w:p w:rsidR="00784E52" w:rsidRPr="002D02F3" w:rsidRDefault="00784E52" w:rsidP="001A5BF9">
            <w:pPr>
              <w:spacing w:before="120" w:after="120"/>
              <w:jc w:val="right"/>
              <w:rPr>
                <w:rFonts w:cs="Arial"/>
                <w:b/>
                <w:bCs/>
                <w:sz w:val="16"/>
                <w:szCs w:val="16"/>
              </w:rPr>
            </w:pPr>
            <w:r w:rsidRPr="002D02F3">
              <w:rPr>
                <w:b/>
                <w:sz w:val="16"/>
              </w:rPr>
              <w:t>8 269</w:t>
            </w:r>
          </w:p>
        </w:tc>
        <w:tc>
          <w:tcPr>
            <w:tcW w:w="1418" w:type="dxa"/>
            <w:tcBorders>
              <w:top w:val="nil"/>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right"/>
              <w:rPr>
                <w:rFonts w:cs="Arial"/>
                <w:b/>
                <w:bCs/>
                <w:sz w:val="16"/>
                <w:szCs w:val="16"/>
              </w:rPr>
            </w:pPr>
            <w:r w:rsidRPr="002D02F3">
              <w:rPr>
                <w:b/>
                <w:sz w:val="16"/>
              </w:rPr>
              <w:t>8 042</w:t>
            </w:r>
          </w:p>
        </w:tc>
      </w:tr>
    </w:tbl>
    <w:p w:rsidR="00D42474" w:rsidRDefault="00D42474" w:rsidP="001A5BF9"/>
    <w:p w:rsidR="00D42474" w:rsidRDefault="00784E52" w:rsidP="001A5BF9">
      <w:pPr>
        <w:pStyle w:val="NormalWeb"/>
        <w:spacing w:before="0" w:beforeAutospacing="0" w:after="0" w:afterAutospacing="0"/>
        <w:jc w:val="center"/>
        <w:rPr>
          <w:sz w:val="20"/>
        </w:rPr>
      </w:pPr>
      <w:r w:rsidRPr="002D02F3">
        <w:rPr>
          <w:sz w:val="20"/>
        </w:rPr>
        <w:t xml:space="preserve">Budget et dépenses effectives (dépenses de </w:t>
      </w:r>
      <w:proofErr w:type="gramStart"/>
      <w:r w:rsidRPr="002D02F3">
        <w:rPr>
          <w:sz w:val="20"/>
        </w:rPr>
        <w:t>personnel et autres dépenses</w:t>
      </w:r>
      <w:proofErr w:type="gramEnd"/>
      <w:r w:rsidRPr="002D02F3">
        <w:rPr>
          <w:sz w:val="20"/>
        </w:rPr>
        <w:t>)</w:t>
      </w:r>
    </w:p>
    <w:p w:rsidR="00D42474" w:rsidRDefault="00784E52"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784E52" w:rsidRPr="002D02F3" w:rsidRDefault="00784E52" w:rsidP="001A5BF9"/>
    <w:tbl>
      <w:tblPr>
        <w:tblW w:w="9356" w:type="dxa"/>
        <w:tblInd w:w="108" w:type="dxa"/>
        <w:tblLook w:val="04A0" w:firstRow="1" w:lastRow="0" w:firstColumn="1" w:lastColumn="0" w:noHBand="0" w:noVBand="1"/>
      </w:tblPr>
      <w:tblGrid>
        <w:gridCol w:w="2694"/>
        <w:gridCol w:w="1665"/>
        <w:gridCol w:w="1666"/>
        <w:gridCol w:w="1665"/>
        <w:gridCol w:w="1666"/>
      </w:tblGrid>
      <w:tr w:rsidR="00784E52" w:rsidRPr="002D02F3" w:rsidTr="00BB3F3E">
        <w:tc>
          <w:tcPr>
            <w:tcW w:w="2694"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2D02F3" w:rsidRDefault="00784E52" w:rsidP="001A5BF9">
            <w:pPr>
              <w:spacing w:before="120" w:after="120"/>
              <w:rPr>
                <w:rFonts w:cs="Arial"/>
                <w:sz w:val="16"/>
                <w:szCs w:val="16"/>
              </w:rPr>
            </w:pPr>
            <w:r w:rsidRPr="002D02F3">
              <w:rPr>
                <w:sz w:val="16"/>
              </w:rPr>
              <w:t> </w:t>
            </w:r>
          </w:p>
        </w:tc>
        <w:tc>
          <w:tcPr>
            <w:tcW w:w="1665"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666"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665"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666"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utilisation (</w:t>
            </w:r>
            <w:r w:rsidR="007E442D" w:rsidRPr="002D02F3">
              <w:rPr>
                <w:sz w:val="16"/>
              </w:rPr>
              <w:t>%</w:t>
            </w:r>
            <w:r w:rsidRPr="002D02F3">
              <w:rPr>
                <w:sz w:val="16"/>
              </w:rPr>
              <w:t>)</w:t>
            </w:r>
          </w:p>
        </w:tc>
      </w:tr>
      <w:tr w:rsidR="00784E52" w:rsidRPr="002D02F3" w:rsidTr="00BB3F3E">
        <w:trPr>
          <w:trHeight w:val="544"/>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665"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sz w:val="16"/>
                <w:szCs w:val="16"/>
              </w:rPr>
            </w:pPr>
            <w:r w:rsidRPr="002D02F3">
              <w:rPr>
                <w:sz w:val="16"/>
              </w:rPr>
              <w:t>3 893</w:t>
            </w:r>
          </w:p>
        </w:tc>
        <w:tc>
          <w:tcPr>
            <w:tcW w:w="1666"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sz w:val="16"/>
                <w:szCs w:val="16"/>
              </w:rPr>
            </w:pPr>
            <w:r w:rsidRPr="002D02F3">
              <w:rPr>
                <w:sz w:val="16"/>
              </w:rPr>
              <w:t>4 596</w:t>
            </w:r>
          </w:p>
        </w:tc>
        <w:tc>
          <w:tcPr>
            <w:tcW w:w="1665"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sz w:val="16"/>
                <w:szCs w:val="16"/>
              </w:rPr>
            </w:pPr>
            <w:r w:rsidRPr="002D02F3">
              <w:rPr>
                <w:sz w:val="16"/>
              </w:rPr>
              <w:t>4 596</w:t>
            </w:r>
          </w:p>
        </w:tc>
        <w:tc>
          <w:tcPr>
            <w:tcW w:w="1666"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sz w:val="16"/>
                <w:szCs w:val="16"/>
              </w:rPr>
            </w:pPr>
            <w:r w:rsidRPr="002D02F3">
              <w:rPr>
                <w:sz w:val="16"/>
              </w:rPr>
              <w:t>100</w:t>
            </w:r>
            <w:r w:rsidR="007E442D" w:rsidRPr="002D02F3">
              <w:rPr>
                <w:sz w:val="16"/>
              </w:rPr>
              <w:t>%</w:t>
            </w:r>
          </w:p>
        </w:tc>
      </w:tr>
      <w:tr w:rsidR="00784E52" w:rsidRPr="002D02F3" w:rsidTr="00BB3F3E">
        <w:trPr>
          <w:trHeight w:val="544"/>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rPr>
                <w:rFonts w:cs="Arial"/>
                <w:sz w:val="16"/>
                <w:szCs w:val="16"/>
              </w:rPr>
            </w:pPr>
            <w:r w:rsidRPr="002D02F3">
              <w:rPr>
                <w:sz w:val="16"/>
              </w:rPr>
              <w:t xml:space="preserve">Autres dépenses </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sz w:val="16"/>
                <w:szCs w:val="16"/>
              </w:rPr>
            </w:pPr>
            <w:r w:rsidRPr="002D02F3">
              <w:rPr>
                <w:sz w:val="16"/>
              </w:rPr>
              <w:t>3 919</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sz w:val="16"/>
                <w:szCs w:val="16"/>
              </w:rPr>
            </w:pPr>
            <w:r w:rsidRPr="002D02F3">
              <w:rPr>
                <w:sz w:val="16"/>
              </w:rPr>
              <w:t>3 673</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sz w:val="16"/>
                <w:szCs w:val="16"/>
              </w:rPr>
            </w:pPr>
            <w:r w:rsidRPr="002D02F3">
              <w:rPr>
                <w:sz w:val="16"/>
              </w:rPr>
              <w:t>3 446</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sz w:val="16"/>
                <w:szCs w:val="16"/>
              </w:rPr>
            </w:pPr>
            <w:r w:rsidRPr="002D02F3">
              <w:rPr>
                <w:sz w:val="16"/>
              </w:rPr>
              <w:t>94</w:t>
            </w:r>
            <w:r w:rsidR="007E442D" w:rsidRPr="002D02F3">
              <w:rPr>
                <w:sz w:val="16"/>
              </w:rPr>
              <w:t>%</w:t>
            </w:r>
          </w:p>
        </w:tc>
      </w:tr>
      <w:tr w:rsidR="00784E52" w:rsidRPr="002D02F3" w:rsidTr="00BB3F3E">
        <w:trPr>
          <w:trHeight w:val="544"/>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jc w:val="right"/>
              <w:rPr>
                <w:rFonts w:cs="Arial"/>
                <w:b/>
                <w:bCs/>
                <w:sz w:val="16"/>
                <w:szCs w:val="16"/>
              </w:rPr>
            </w:pPr>
            <w:r w:rsidRPr="002D02F3">
              <w:rPr>
                <w:b/>
                <w:sz w:val="16"/>
              </w:rPr>
              <w:t xml:space="preserve">TOTAL </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b/>
                <w:bCs/>
                <w:sz w:val="16"/>
                <w:szCs w:val="16"/>
              </w:rPr>
            </w:pPr>
            <w:r w:rsidRPr="002D02F3">
              <w:rPr>
                <w:b/>
                <w:sz w:val="16"/>
              </w:rPr>
              <w:t>7 813</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b/>
                <w:bCs/>
                <w:sz w:val="16"/>
                <w:szCs w:val="16"/>
              </w:rPr>
            </w:pPr>
            <w:r w:rsidRPr="002D02F3">
              <w:rPr>
                <w:b/>
                <w:sz w:val="16"/>
              </w:rPr>
              <w:t>8 269</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b/>
                <w:bCs/>
                <w:sz w:val="16"/>
                <w:szCs w:val="16"/>
              </w:rPr>
            </w:pPr>
            <w:r w:rsidRPr="002D02F3">
              <w:rPr>
                <w:b/>
                <w:sz w:val="16"/>
              </w:rPr>
              <w:t>8 042</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jc w:val="center"/>
              <w:rPr>
                <w:rFonts w:cs="Arial"/>
                <w:b/>
                <w:bCs/>
                <w:sz w:val="16"/>
                <w:szCs w:val="16"/>
              </w:rPr>
            </w:pPr>
            <w:r w:rsidRPr="002D02F3">
              <w:rPr>
                <w:b/>
                <w:sz w:val="16"/>
              </w:rPr>
              <w:t>97</w:t>
            </w:r>
            <w:r w:rsidR="007E442D" w:rsidRPr="002D02F3">
              <w:rPr>
                <w:b/>
                <w:sz w:val="16"/>
              </w:rPr>
              <w:t>%</w:t>
            </w:r>
          </w:p>
        </w:tc>
      </w:tr>
    </w:tbl>
    <w:p w:rsidR="00D42474" w:rsidRDefault="00D42474" w:rsidP="001A5BF9">
      <w:pPr>
        <w:keepNext/>
        <w:autoSpaceDE w:val="0"/>
        <w:autoSpaceDN w:val="0"/>
        <w:rPr>
          <w:sz w:val="16"/>
          <w:szCs w:val="16"/>
        </w:rPr>
      </w:pPr>
    </w:p>
    <w:p w:rsidR="00D42474" w:rsidRDefault="00784E52" w:rsidP="001A5BF9">
      <w:pPr>
        <w:keepNext/>
        <w:autoSpaceDE w:val="0"/>
        <w:autoSpaceDN w:val="0"/>
        <w:rPr>
          <w:sz w:val="16"/>
          <w:szCs w:val="16"/>
        </w:rPr>
      </w:pPr>
      <w:proofErr w:type="gramStart"/>
      <w:r w:rsidRPr="002D02F3">
        <w:rPr>
          <w:sz w:val="16"/>
        </w:rPr>
        <w:t>NOTES</w:t>
      </w:r>
      <w:proofErr w:type="gramEnd"/>
      <w:r w:rsidRPr="002D02F3">
        <w:rPr>
          <w:sz w:val="16"/>
        </w:rPr>
        <w:t> :</w:t>
      </w:r>
    </w:p>
    <w:p w:rsidR="00D42474" w:rsidRDefault="00D42474" w:rsidP="001A5BF9">
      <w:pPr>
        <w:keepNext/>
        <w:autoSpaceDE w:val="0"/>
        <w:autoSpaceDN w:val="0"/>
        <w:rPr>
          <w:sz w:val="16"/>
          <w:szCs w:val="16"/>
        </w:rPr>
      </w:pPr>
    </w:p>
    <w:p w:rsidR="00D42474" w:rsidRDefault="00784E52" w:rsidP="001A5BF9">
      <w:pPr>
        <w:keepNext/>
        <w:autoSpaceDE w:val="0"/>
        <w:autoSpaceDN w:val="0"/>
        <w:rPr>
          <w:sz w:val="16"/>
          <w:szCs w:val="16"/>
        </w:rPr>
      </w:pPr>
      <w:r w:rsidRPr="002D02F3">
        <w:rPr>
          <w:sz w:val="16"/>
        </w:rPr>
        <w:t>1)</w:t>
      </w:r>
      <w:r w:rsidR="004F3E42" w:rsidRPr="002D02F3">
        <w:rPr>
          <w:sz w:val="16"/>
        </w:rPr>
        <w:t xml:space="preserve"> </w:t>
      </w:r>
      <w:r w:rsidR="0023086A">
        <w:rPr>
          <w:sz w:val="16"/>
        </w:rPr>
        <w:tab/>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keepNext/>
        <w:autoSpaceDE w:val="0"/>
        <w:autoSpaceDN w:val="0"/>
        <w:rPr>
          <w:sz w:val="16"/>
          <w:szCs w:val="16"/>
        </w:rPr>
      </w:pPr>
    </w:p>
    <w:p w:rsidR="00D42474" w:rsidRDefault="0023086A" w:rsidP="001A5BF9">
      <w:pPr>
        <w:keepNext/>
        <w:autoSpaceDE w:val="0"/>
        <w:autoSpaceDN w:val="0"/>
        <w:rPr>
          <w:sz w:val="16"/>
        </w:rPr>
      </w:pPr>
      <w:r>
        <w:rPr>
          <w:sz w:val="16"/>
        </w:rPr>
        <w:t>2)</w:t>
      </w:r>
      <w:r>
        <w:rPr>
          <w:sz w:val="16"/>
        </w:rPr>
        <w:tab/>
      </w:r>
      <w:r w:rsidR="00784E52" w:rsidRPr="002D02F3">
        <w:rPr>
          <w:sz w:val="16"/>
        </w:rPr>
        <w:t>Les dépenses de personnel indiquées dans le budget de l</w:t>
      </w:r>
      <w:r w:rsidR="00A20444" w:rsidRPr="002D02F3">
        <w:rPr>
          <w:sz w:val="16"/>
        </w:rPr>
        <w:t>’</w:t>
      </w:r>
      <w:r w:rsidR="00784E52" w:rsidRPr="002D02F3">
        <w:rPr>
          <w:sz w:val="16"/>
        </w:rPr>
        <w:t>exercice 2012</w:t>
      </w:r>
      <w:r w:rsidR="002D6F2A" w:rsidRPr="002D02F3">
        <w:rPr>
          <w:sz w:val="16"/>
        </w:rPr>
        <w:noBreakHyphen/>
      </w:r>
      <w:r w:rsidR="00784E52" w:rsidRPr="002D02F3">
        <w:rPr>
          <w:sz w:val="16"/>
        </w:rPr>
        <w:t>2013 après virements représentent les dépenses réelles engagées pendant l</w:t>
      </w:r>
      <w:r w:rsidR="00A20444" w:rsidRPr="002D02F3">
        <w:rPr>
          <w:sz w:val="16"/>
        </w:rPr>
        <w:t>’</w:t>
      </w:r>
      <w:r w:rsidR="00784E52" w:rsidRPr="002D02F3">
        <w:rPr>
          <w:sz w:val="16"/>
        </w:rPr>
        <w:t>exercice biennal.</w:t>
      </w:r>
    </w:p>
    <w:p w:rsidR="00D42474" w:rsidRDefault="00D42474" w:rsidP="001A5BF9">
      <w:pPr>
        <w:keepNext/>
        <w:autoSpaceDE w:val="0"/>
        <w:autoSpaceDN w:val="0"/>
        <w:rPr>
          <w:sz w:val="16"/>
          <w:szCs w:val="16"/>
        </w:rPr>
      </w:pPr>
    </w:p>
    <w:p w:rsidR="00D42474" w:rsidRDefault="00784E52" w:rsidP="001A5BF9">
      <w:pPr>
        <w:keepNext/>
        <w:autoSpaceDE w:val="0"/>
        <w:autoSpaceDN w:val="0"/>
        <w:rPr>
          <w:sz w:val="16"/>
          <w:szCs w:val="16"/>
        </w:rPr>
      </w:pPr>
      <w:r w:rsidRPr="002D02F3">
        <w:rPr>
          <w:sz w:val="16"/>
        </w:rPr>
        <w:t>3)</w:t>
      </w:r>
      <w:r w:rsidR="0023086A">
        <w:rPr>
          <w:sz w:val="16"/>
        </w:rPr>
        <w:tab/>
      </w:r>
      <w:r w:rsidRPr="002D02F3">
        <w:rPr>
          <w:sz w:val="16"/>
        </w:rPr>
        <w:t>L</w:t>
      </w:r>
      <w:r w:rsidR="00A20444" w:rsidRPr="002D02F3">
        <w:rPr>
          <w:sz w:val="16"/>
        </w:rPr>
        <w:t>’</w:t>
      </w:r>
      <w:r w:rsidRPr="002D02F3">
        <w:rPr>
          <w:sz w:val="16"/>
        </w:rPr>
        <w:t>affectation aux dépenses autres pour le budget 2012</w:t>
      </w:r>
      <w:r w:rsidR="002D6F2A" w:rsidRPr="002D02F3">
        <w:rPr>
          <w:sz w:val="16"/>
        </w:rPr>
        <w:noBreakHyphen/>
      </w:r>
      <w:r w:rsidRPr="002D02F3">
        <w:rPr>
          <w:sz w:val="16"/>
        </w:rPr>
        <w:t>2013 après virements, tient compte des ajustements à la baisse opérés pour réduire les coûts conformément aux engagements de l</w:t>
      </w:r>
      <w:r w:rsidR="00A20444" w:rsidRPr="002D02F3">
        <w:rPr>
          <w:sz w:val="16"/>
        </w:rPr>
        <w:t>’</w:t>
      </w:r>
      <w:r w:rsidRPr="002D02F3">
        <w:rPr>
          <w:sz w:val="16"/>
        </w:rPr>
        <w:t>Organisation de réduire les dépenses de 10,2</w:t>
      </w:r>
      <w:r w:rsidR="0010442A" w:rsidRPr="002D02F3">
        <w:rPr>
          <w:sz w:val="16"/>
        </w:rPr>
        <w:t> </w:t>
      </w:r>
      <w:r w:rsidRPr="002D02F3">
        <w:rPr>
          <w:sz w:val="16"/>
        </w:rPr>
        <w:t>millions de francs suisses pour l</w:t>
      </w:r>
      <w:r w:rsidR="00A20444" w:rsidRPr="002D02F3">
        <w:rPr>
          <w:sz w:val="16"/>
        </w:rPr>
        <w:t>’</w:t>
      </w:r>
      <w:r w:rsidRPr="002D02F3">
        <w:rPr>
          <w:sz w:val="16"/>
        </w:rPr>
        <w:t>exercice biennal</w:t>
      </w:r>
      <w:r w:rsidR="0010442A" w:rsidRPr="002D02F3">
        <w:rPr>
          <w:sz w:val="16"/>
        </w:rPr>
        <w:t> </w:t>
      </w:r>
      <w:r w:rsidRPr="002D02F3">
        <w:rPr>
          <w:sz w:val="16"/>
        </w:rPr>
        <w:t>2012</w:t>
      </w:r>
      <w:r w:rsidR="002D6F2A" w:rsidRPr="002D02F3">
        <w:rPr>
          <w:sz w:val="16"/>
        </w:rPr>
        <w:noBreakHyphen/>
      </w:r>
      <w:r w:rsidRPr="002D02F3">
        <w:rPr>
          <w:sz w:val="16"/>
        </w:rPr>
        <w:t>2013.</w:t>
      </w:r>
    </w:p>
    <w:p w:rsidR="00D42474" w:rsidRDefault="00D42474" w:rsidP="001A5BF9">
      <w:pPr>
        <w:rPr>
          <w:szCs w:val="22"/>
        </w:rPr>
      </w:pPr>
    </w:p>
    <w:p w:rsidR="00D42474" w:rsidRDefault="00D42474" w:rsidP="001A5BF9">
      <w:pPr>
        <w:tabs>
          <w:tab w:val="left" w:pos="709"/>
        </w:tabs>
      </w:pPr>
    </w:p>
    <w:p w:rsidR="00D42474" w:rsidRDefault="00784E52" w:rsidP="001A5BF9">
      <w:pPr>
        <w:tabs>
          <w:tab w:val="left" w:pos="709"/>
        </w:tabs>
        <w:rPr>
          <w:szCs w:val="20"/>
        </w:rPr>
      </w:pPr>
      <w:r w:rsidRPr="002D02F3">
        <w:t>A.</w:t>
      </w:r>
      <w:r w:rsidRPr="002D02F3">
        <w:tab/>
      </w:r>
      <w:r w:rsidRPr="0023086A">
        <w:rPr>
          <w:u w:val="single"/>
        </w:rPr>
        <w:t>Budget 2012</w:t>
      </w:r>
      <w:r w:rsidR="002D6F2A" w:rsidRPr="0023086A">
        <w:rPr>
          <w:u w:val="single"/>
        </w:rPr>
        <w:noBreakHyphen/>
      </w:r>
      <w:r w:rsidRPr="0023086A">
        <w:rPr>
          <w:u w:val="single"/>
        </w:rPr>
        <w:t>2013 après virements</w:t>
      </w:r>
    </w:p>
    <w:p w:rsidR="00D42474" w:rsidRDefault="00D42474" w:rsidP="001A5BF9">
      <w:pPr>
        <w:tabs>
          <w:tab w:val="left" w:pos="709"/>
        </w:tabs>
        <w:rPr>
          <w:szCs w:val="20"/>
        </w:rPr>
      </w:pPr>
    </w:p>
    <w:p w:rsidR="00D42474" w:rsidRDefault="00784E52" w:rsidP="001A5BF9">
      <w:pPr>
        <w:tabs>
          <w:tab w:val="left" w:pos="709"/>
        </w:tabs>
        <w:jc w:val="both"/>
      </w:pPr>
      <w:r w:rsidRPr="002D02F3">
        <w:t>15.12.</w:t>
      </w:r>
      <w:r w:rsidR="0010442A" w:rsidRPr="002D02F3">
        <w:t xml:space="preserve"> </w:t>
      </w:r>
      <w:r w:rsidRPr="002D02F3">
        <w:t xml:space="preserve"> </w:t>
      </w:r>
      <w:r w:rsidRPr="002D02F3">
        <w:tab/>
        <w:t>Des ressources supplémentaires pour les dépenses de personnel ont été affectées au programme pour appuyer la conception et la mise à niveau de solutions logicielles de l</w:t>
      </w:r>
      <w:r w:rsidR="00A20444" w:rsidRPr="002D02F3">
        <w:t>’</w:t>
      </w:r>
      <w:r w:rsidRPr="002D02F3">
        <w:t>OMPI et le déploiement du système d</w:t>
      </w:r>
      <w:r w:rsidR="00A20444" w:rsidRPr="002D02F3">
        <w:t>’</w:t>
      </w:r>
      <w:r w:rsidRPr="002D02F3">
        <w:t>administration de la propriété industrielle (IPAS) de l</w:t>
      </w:r>
      <w:r w:rsidR="00A20444" w:rsidRPr="002D02F3">
        <w:t>’</w:t>
      </w:r>
      <w:r w:rsidRPr="002D02F3">
        <w:t xml:space="preserve">OMPI qui prend en charge toutes les principales procédures de gestion des offices de propriété intellectuelle. </w:t>
      </w:r>
      <w:r w:rsidR="0010442A" w:rsidRPr="002D02F3">
        <w:t xml:space="preserve"> </w:t>
      </w:r>
      <w:r w:rsidRPr="002D02F3">
        <w:t>Compte tenu de l</w:t>
      </w:r>
      <w:r w:rsidR="00A20444" w:rsidRPr="002D02F3">
        <w:t>’</w:t>
      </w:r>
      <w:r w:rsidRPr="002D02F3">
        <w:t>augmentation de la demande à l</w:t>
      </w:r>
      <w:r w:rsidR="00A20444" w:rsidRPr="002D02F3">
        <w:t>’</w:t>
      </w:r>
      <w:r w:rsidRPr="002D02F3">
        <w:t>égard de ces services, 40 offices bénéficient désormais des systèmes appuyés par l</w:t>
      </w:r>
      <w:r w:rsidR="00A20444" w:rsidRPr="002D02F3">
        <w:t>’</w:t>
      </w:r>
      <w:r w:rsidRPr="002D02F3">
        <w:t>OMPI au lieu des 20 offices prévus pour l</w:t>
      </w:r>
      <w:r w:rsidR="00A20444" w:rsidRPr="002D02F3">
        <w:t>’</w:t>
      </w:r>
      <w:r w:rsidRPr="002D02F3">
        <w:t>exercice biennal.</w:t>
      </w:r>
    </w:p>
    <w:p w:rsidR="00D42474" w:rsidRDefault="00D42474" w:rsidP="001A5BF9">
      <w:pPr>
        <w:tabs>
          <w:tab w:val="left" w:pos="709"/>
        </w:tabs>
        <w:rPr>
          <w:szCs w:val="20"/>
        </w:rPr>
      </w:pPr>
    </w:p>
    <w:p w:rsidR="00D42474" w:rsidRDefault="00784E52" w:rsidP="001A5BF9">
      <w:pPr>
        <w:tabs>
          <w:tab w:val="left" w:pos="709"/>
        </w:tabs>
        <w:rPr>
          <w:szCs w:val="20"/>
          <w:u w:val="single"/>
        </w:rPr>
      </w:pPr>
      <w:r w:rsidRPr="002D02F3">
        <w:t>B.</w:t>
      </w:r>
      <w:r w:rsidRPr="002D02F3">
        <w:tab/>
      </w:r>
      <w:r w:rsidRPr="002D02F3">
        <w:rPr>
          <w:u w:val="single"/>
        </w:rPr>
        <w:t>Utilisation du budget 2012</w:t>
      </w:r>
      <w:r w:rsidR="002D6F2A" w:rsidRPr="002D02F3">
        <w:rPr>
          <w:u w:val="single"/>
        </w:rPr>
        <w:noBreakHyphen/>
      </w:r>
      <w:r w:rsidRPr="002D02F3">
        <w:rPr>
          <w:u w:val="single"/>
        </w:rPr>
        <w:t>2013</w:t>
      </w:r>
    </w:p>
    <w:p w:rsidR="00D42474" w:rsidRDefault="00D42474" w:rsidP="001A5BF9">
      <w:pPr>
        <w:tabs>
          <w:tab w:val="left" w:pos="709"/>
        </w:tabs>
        <w:rPr>
          <w:szCs w:val="20"/>
          <w:u w:val="single"/>
        </w:rPr>
      </w:pPr>
    </w:p>
    <w:p w:rsidR="00D42474" w:rsidRDefault="00784E52" w:rsidP="001A5BF9">
      <w:pPr>
        <w:tabs>
          <w:tab w:val="left" w:pos="709"/>
        </w:tabs>
        <w:autoSpaceDE w:val="0"/>
        <w:autoSpaceDN w:val="0"/>
        <w:adjustRightInd w:val="0"/>
        <w:jc w:val="both"/>
      </w:pPr>
      <w:r w:rsidRPr="002D02F3">
        <w:t>15.13.</w:t>
      </w:r>
      <w:r w:rsidRPr="002D02F3">
        <w:tab/>
        <w:t>Le taux d</w:t>
      </w:r>
      <w:r w:rsidR="00A20444" w:rsidRPr="002D02F3">
        <w:t>’</w:t>
      </w:r>
      <w:r w:rsidRPr="002D02F3">
        <w:t>utilisation du budget de 94</w:t>
      </w:r>
      <w:r w:rsidR="007E442D" w:rsidRPr="002D02F3">
        <w:t>%</w:t>
      </w:r>
      <w:r w:rsidRPr="002D02F3">
        <w:t xml:space="preserve"> reflète des dépenses légèrement inférieures à celles prévues, en raison des économies réalisées sur les voyages (missions du personnel) et les services contractuels.</w:t>
      </w:r>
    </w:p>
    <w:p w:rsidR="00D42474" w:rsidRDefault="00D42474" w:rsidP="001A5BF9">
      <w:pPr>
        <w:pStyle w:val="CommentText"/>
      </w:pPr>
    </w:p>
    <w:p w:rsidR="00D42474" w:rsidRDefault="00D42474" w:rsidP="001A5BF9">
      <w:pPr>
        <w:rPr>
          <w:szCs w:val="22"/>
        </w:rPr>
      </w:pPr>
    </w:p>
    <w:p w:rsidR="00D42474" w:rsidRDefault="00784E52" w:rsidP="001A5BF9">
      <w:r w:rsidRPr="002D02F3">
        <w:br w:type="page"/>
      </w:r>
    </w:p>
    <w:p w:rsidR="00D42474" w:rsidRDefault="00C82E6A" w:rsidP="00C82E6A">
      <w:pPr>
        <w:pStyle w:val="Heading2"/>
        <w:tabs>
          <w:tab w:val="clear" w:pos="9072"/>
        </w:tabs>
      </w:pPr>
      <w:bookmarkStart w:id="31" w:name="_Toc395082483"/>
      <w:r w:rsidRPr="00D54DAE">
        <w:t>OBJECTIF STRAT</w:t>
      </w:r>
      <w:r w:rsidRPr="00D54DAE">
        <w:rPr>
          <w:rFonts w:hint="eastAsia"/>
        </w:rPr>
        <w:t>É</w:t>
      </w:r>
      <w:r w:rsidRPr="00D54DAE">
        <w:t>GIQUE V</w:t>
      </w:r>
      <w:r w:rsidRPr="00D54DAE">
        <w:tab/>
      </w:r>
      <w:r w:rsidRPr="00D54DAE">
        <w:br/>
      </w:r>
      <w:r w:rsidR="00261484" w:rsidRPr="00D54DAE">
        <w:br/>
      </w:r>
      <w:r w:rsidR="00D54DAE" w:rsidRPr="00D54DAE">
        <w:t>Source de r</w:t>
      </w:r>
      <w:r w:rsidR="00D54DAE" w:rsidRPr="00D54DAE">
        <w:rPr>
          <w:rFonts w:hint="eastAsia"/>
        </w:rPr>
        <w:t>é</w:t>
      </w:r>
      <w:r w:rsidR="00D54DAE" w:rsidRPr="00D54DAE">
        <w:t>f</w:t>
      </w:r>
      <w:r w:rsidR="00D54DAE" w:rsidRPr="00D54DAE">
        <w:rPr>
          <w:rFonts w:hint="eastAsia"/>
        </w:rPr>
        <w:t>é</w:t>
      </w:r>
      <w:r w:rsidR="00D54DAE" w:rsidRPr="00D54DAE">
        <w:t>rences mondiale pour l</w:t>
      </w:r>
      <w:r w:rsidR="00A20444" w:rsidRPr="00D54DAE">
        <w:t>’</w:t>
      </w:r>
      <w:r w:rsidR="00D54DAE" w:rsidRPr="00D54DAE">
        <w:t>information</w:t>
      </w:r>
      <w:r w:rsidR="004F3E42" w:rsidRPr="00D54DAE">
        <w:t xml:space="preserve"> </w:t>
      </w:r>
      <w:r w:rsidR="00D54DAE" w:rsidRPr="00D54DAE">
        <w:t>et l</w:t>
      </w:r>
      <w:r w:rsidR="00A20444" w:rsidRPr="00D54DAE">
        <w:t>’</w:t>
      </w:r>
      <w:r w:rsidR="00D54DAE" w:rsidRPr="00D54DAE">
        <w:t>analyse en mati</w:t>
      </w:r>
      <w:r w:rsidR="00D54DAE" w:rsidRPr="00D54DAE">
        <w:rPr>
          <w:rFonts w:hint="eastAsia"/>
        </w:rPr>
        <w:t>è</w:t>
      </w:r>
      <w:r w:rsidR="00D54DAE" w:rsidRPr="00D54DAE">
        <w:t>re de propri</w:t>
      </w:r>
      <w:r w:rsidR="00D54DAE" w:rsidRPr="00D54DAE">
        <w:rPr>
          <w:rFonts w:hint="eastAsia"/>
        </w:rPr>
        <w:t>é</w:t>
      </w:r>
      <w:r w:rsidR="00D54DAE" w:rsidRPr="00D54DAE">
        <w:t>t</w:t>
      </w:r>
      <w:r w:rsidR="00D54DAE" w:rsidRPr="00D54DAE">
        <w:rPr>
          <w:rFonts w:hint="eastAsia"/>
        </w:rPr>
        <w:t>é</w:t>
      </w:r>
      <w:r w:rsidR="00D54DAE" w:rsidRPr="00D54DAE">
        <w:t xml:space="preserve"> intellectuelle</w:t>
      </w:r>
      <w:bookmarkEnd w:id="31"/>
    </w:p>
    <w:p w:rsidR="00D42474" w:rsidRDefault="00D42474" w:rsidP="001A5BF9">
      <w:pPr>
        <w:jc w:val="center"/>
      </w:pPr>
    </w:p>
    <w:p w:rsidR="00D42474" w:rsidRDefault="00D42474" w:rsidP="001A5BF9">
      <w:pPr>
        <w:jc w:val="center"/>
      </w:pPr>
    </w:p>
    <w:p w:rsidR="00D42474" w:rsidRDefault="00D42474" w:rsidP="001A5BF9">
      <w:pPr>
        <w:jc w:val="center"/>
      </w:pPr>
    </w:p>
    <w:p w:rsidR="00D42474" w:rsidRDefault="00784E52" w:rsidP="001A5BF9">
      <w:pPr>
        <w:jc w:val="center"/>
        <w:rPr>
          <w:szCs w:val="20"/>
        </w:rPr>
      </w:pPr>
      <w:r w:rsidRPr="002D02F3">
        <w:t>TABLEAU DE BORD DE L</w:t>
      </w:r>
      <w:r w:rsidR="00A20444" w:rsidRPr="002D02F3">
        <w:t>’</w:t>
      </w:r>
      <w:r w:rsidRPr="002D02F3">
        <w:t>EXÉCUTION DU PROGRAMME BIENNAL</w:t>
      </w:r>
    </w:p>
    <w:p w:rsidR="00D42474" w:rsidRDefault="00D42474" w:rsidP="001A5BF9">
      <w:pPr>
        <w:jc w:val="center"/>
      </w:pPr>
    </w:p>
    <w:p w:rsidR="00D42474" w:rsidRDefault="00784E52" w:rsidP="001A5BF9">
      <w:pPr>
        <w:autoSpaceDE w:val="0"/>
        <w:autoSpaceDN w:val="0"/>
        <w:adjustRightInd w:val="0"/>
        <w:jc w:val="both"/>
      </w:pPr>
      <w:r w:rsidRPr="002D02F3">
        <w:t>Le tableau de bord ci</w:t>
      </w:r>
      <w:r w:rsidR="002D6F2A" w:rsidRPr="002D02F3">
        <w:noBreakHyphen/>
      </w:r>
      <w:r w:rsidRPr="002D02F3">
        <w:t>dessous présente un résumé de la réalisation des résultats escomptés pour l</w:t>
      </w:r>
      <w:r w:rsidR="00A20444" w:rsidRPr="002D02F3">
        <w:t>’</w:t>
      </w:r>
      <w:r w:rsidRPr="002D02F3">
        <w:t>exercice biennal 2012</w:t>
      </w:r>
      <w:r w:rsidR="002D6F2A" w:rsidRPr="002D02F3">
        <w:noBreakHyphen/>
      </w:r>
      <w:r w:rsidRPr="002D02F3">
        <w:t>2013, telle que mesurée par les indicateurs au titre des programmes contribuant à cet objectif stratégique.</w:t>
      </w:r>
    </w:p>
    <w:p w:rsidR="00D42474" w:rsidRDefault="00D42474" w:rsidP="001A5BF9">
      <w:pPr>
        <w:tabs>
          <w:tab w:val="left" w:pos="1701"/>
        </w:tabs>
        <w:ind w:left="1701" w:hanging="1701"/>
        <w:jc w:val="center"/>
        <w:rPr>
          <w:rFonts w:cs="Arial"/>
          <w:b/>
          <w:bCs/>
          <w:caps/>
        </w:rPr>
      </w:pPr>
    </w:p>
    <w:p w:rsidR="00D42474" w:rsidRDefault="00E127F3" w:rsidP="001A5BF9">
      <w:pPr>
        <w:tabs>
          <w:tab w:val="left" w:pos="1701"/>
        </w:tabs>
        <w:ind w:left="1701" w:hanging="1701"/>
        <w:jc w:val="center"/>
        <w:rPr>
          <w:rFonts w:cs="Arial"/>
          <w:b/>
          <w:bCs/>
          <w:caps/>
        </w:rPr>
      </w:pPr>
      <w:r w:rsidRPr="00E127F3">
        <w:rPr>
          <w:noProof/>
        </w:rPr>
        <w:drawing>
          <wp:inline distT="0" distB="0" distL="0" distR="0" wp14:anchorId="33D1572D" wp14:editId="010A1B4A">
            <wp:extent cx="3812146" cy="2093436"/>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822196" cy="2098955"/>
                    </a:xfrm>
                    <a:prstGeom prst="rect">
                      <a:avLst/>
                    </a:prstGeom>
                    <a:noFill/>
                    <a:ln>
                      <a:noFill/>
                    </a:ln>
                  </pic:spPr>
                </pic:pic>
              </a:graphicData>
            </a:graphic>
          </wp:inline>
        </w:drawing>
      </w:r>
    </w:p>
    <w:p w:rsidR="00784E52" w:rsidRPr="005C7CCE" w:rsidRDefault="00784E52" w:rsidP="001A5BF9">
      <w:pPr>
        <w:tabs>
          <w:tab w:val="left" w:pos="1701"/>
        </w:tabs>
        <w:ind w:left="1701" w:hanging="1701"/>
        <w:jc w:val="center"/>
        <w:rPr>
          <w:rFonts w:cs="Arial"/>
          <w:b/>
          <w:bCs/>
          <w:caps/>
        </w:rPr>
      </w:pPr>
    </w:p>
    <w:tbl>
      <w:tblPr>
        <w:tblW w:w="0" w:type="auto"/>
        <w:tblInd w:w="98" w:type="dxa"/>
        <w:tblLook w:val="0000" w:firstRow="0" w:lastRow="0" w:firstColumn="0" w:lastColumn="0" w:noHBand="0" w:noVBand="0"/>
      </w:tblPr>
      <w:tblGrid>
        <w:gridCol w:w="3206"/>
        <w:gridCol w:w="3223"/>
        <w:gridCol w:w="1479"/>
        <w:gridCol w:w="1281"/>
      </w:tblGrid>
      <w:tr w:rsidR="00784E52" w:rsidRPr="002D02F3" w:rsidTr="00BB3F3E">
        <w:tc>
          <w:tcPr>
            <w:tcW w:w="3206" w:type="dxa"/>
            <w:tcBorders>
              <w:top w:val="single" w:sz="4" w:space="0" w:color="auto"/>
              <w:left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Résultats escomptés</w:t>
            </w:r>
          </w:p>
        </w:tc>
        <w:tc>
          <w:tcPr>
            <w:tcW w:w="3223"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Indicateurs d</w:t>
            </w:r>
            <w:r w:rsidR="00A20444" w:rsidRPr="002D02F3">
              <w:rPr>
                <w:b/>
                <w:sz w:val="14"/>
              </w:rPr>
              <w:t>’</w:t>
            </w:r>
            <w:r w:rsidRPr="002D02F3">
              <w:rPr>
                <w:b/>
                <w:sz w:val="14"/>
              </w:rPr>
              <w:t>exécution</w:t>
            </w:r>
          </w:p>
        </w:tc>
        <w:tc>
          <w:tcPr>
            <w:tcW w:w="1479"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Programme(s)</w:t>
            </w:r>
            <w:r w:rsidRPr="002D02F3">
              <w:br/>
            </w:r>
            <w:r w:rsidRPr="002D02F3">
              <w:rPr>
                <w:b/>
                <w:sz w:val="14"/>
              </w:rPr>
              <w:t>concerné(s)</w:t>
            </w:r>
          </w:p>
        </w:tc>
        <w:tc>
          <w:tcPr>
            <w:tcW w:w="1281" w:type="dxa"/>
            <w:tcBorders>
              <w:top w:val="single" w:sz="4" w:space="0" w:color="auto"/>
              <w:left w:val="nil"/>
              <w:bottom w:val="single" w:sz="4" w:space="0" w:color="auto"/>
              <w:right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Code de couleurs</w:t>
            </w:r>
          </w:p>
        </w:tc>
      </w:tr>
      <w:tr w:rsidR="00784E52" w:rsidRPr="005C7CCE" w:rsidTr="00BB3F3E">
        <w:tc>
          <w:tcPr>
            <w:tcW w:w="3206" w:type="dxa"/>
            <w:vMerge w:val="restart"/>
            <w:tcBorders>
              <w:top w:val="single" w:sz="4" w:space="0" w:color="auto"/>
              <w:left w:val="single" w:sz="4" w:space="0" w:color="auto"/>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Utilisation accrue de l</w:t>
            </w:r>
            <w:r w:rsidR="00A20444" w:rsidRPr="002D02F3">
              <w:rPr>
                <w:sz w:val="14"/>
              </w:rPr>
              <w:t>’</w:t>
            </w:r>
            <w:r w:rsidRPr="002D02F3">
              <w:rPr>
                <w:sz w:val="14"/>
              </w:rPr>
              <w:t>information statistique de l</w:t>
            </w:r>
            <w:r w:rsidR="00A20444" w:rsidRPr="002D02F3">
              <w:rPr>
                <w:sz w:val="14"/>
              </w:rPr>
              <w:t>’</w:t>
            </w:r>
            <w:r w:rsidRPr="002D02F3">
              <w:rPr>
                <w:sz w:val="14"/>
              </w:rPr>
              <w:t>OMPI concernant le fonctionnement du système international de la propriété intellectuelle</w:t>
            </w:r>
          </w:p>
        </w:tc>
        <w:tc>
          <w:tcPr>
            <w:tcW w:w="3223" w:type="dxa"/>
            <w:tcBorders>
              <w:top w:val="single" w:sz="4" w:space="0" w:color="auto"/>
              <w:left w:val="nil"/>
              <w:bottom w:val="nil"/>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de téléchargements de deux</w:t>
            </w:r>
            <w:r w:rsidR="0010442A" w:rsidRPr="002D02F3">
              <w:rPr>
                <w:sz w:val="14"/>
              </w:rPr>
              <w:t> </w:t>
            </w:r>
            <w:r w:rsidRPr="002D02F3">
              <w:rPr>
                <w:sz w:val="14"/>
              </w:rPr>
              <w:t>principaux rapports statistiques</w:t>
            </w:r>
          </w:p>
        </w:tc>
        <w:tc>
          <w:tcPr>
            <w:tcW w:w="1479" w:type="dxa"/>
            <w:tcBorders>
              <w:top w:val="single" w:sz="4" w:space="0" w:color="auto"/>
              <w:left w:val="nil"/>
              <w:bottom w:val="nil"/>
            </w:tcBorders>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16</w:t>
            </w:r>
          </w:p>
        </w:tc>
        <w:tc>
          <w:tcPr>
            <w:tcW w:w="1281" w:type="dxa"/>
            <w:tcBorders>
              <w:top w:val="single" w:sz="4" w:space="0" w:color="auto"/>
              <w:left w:val="nil"/>
              <w:bottom w:val="nil"/>
              <w:right w:val="single" w:sz="4" w:space="0" w:color="auto"/>
            </w:tcBorders>
          </w:tcPr>
          <w:p w:rsidR="00784E52" w:rsidRPr="005C7CCE" w:rsidRDefault="00784E52" w:rsidP="001A5BF9">
            <w:pPr>
              <w:jc w:val="center"/>
              <w:rPr>
                <w:rFonts w:cs="Arial"/>
                <w:color w:val="A6A6A6"/>
                <w:szCs w:val="22"/>
              </w:rPr>
            </w:pPr>
            <w:r w:rsidRPr="005C7CCE">
              <w:rPr>
                <w:color w:val="A6A6A6"/>
              </w:rPr>
              <w:sym w:font="Wingdings" w:char="F06C"/>
            </w:r>
          </w:p>
        </w:tc>
      </w:tr>
      <w:tr w:rsidR="00784E52" w:rsidRPr="005C7CCE" w:rsidTr="00BB3F3E">
        <w:tc>
          <w:tcPr>
            <w:tcW w:w="3206" w:type="dxa"/>
            <w:vMerge/>
            <w:tcBorders>
              <w:left w:val="single" w:sz="4" w:space="0" w:color="auto"/>
              <w:bottom w:val="nil"/>
              <w:right w:val="nil"/>
            </w:tcBorders>
            <w:shd w:val="clear" w:color="auto" w:fill="auto"/>
            <w:tcMar>
              <w:top w:w="113" w:type="dxa"/>
            </w:tcMar>
          </w:tcPr>
          <w:p w:rsidR="00784E52" w:rsidRPr="002D02F3" w:rsidRDefault="00784E52" w:rsidP="001A5BF9">
            <w:pPr>
              <w:spacing w:before="80"/>
              <w:rPr>
                <w:rFonts w:cs="Arial"/>
                <w:sz w:val="14"/>
                <w:szCs w:val="14"/>
              </w:rPr>
            </w:pPr>
          </w:p>
        </w:tc>
        <w:tc>
          <w:tcPr>
            <w:tcW w:w="3223" w:type="dxa"/>
            <w:tcBorders>
              <w:left w:val="nil"/>
              <w:bottom w:val="nil"/>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de téléchargements de données</w:t>
            </w:r>
          </w:p>
        </w:tc>
        <w:tc>
          <w:tcPr>
            <w:tcW w:w="1479" w:type="dxa"/>
            <w:tcBorders>
              <w:left w:val="nil"/>
              <w:bottom w:val="nil"/>
            </w:tcBorders>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16</w:t>
            </w:r>
          </w:p>
        </w:tc>
        <w:tc>
          <w:tcPr>
            <w:tcW w:w="1281" w:type="dxa"/>
            <w:tcBorders>
              <w:left w:val="nil"/>
              <w:bottom w:val="nil"/>
              <w:right w:val="single" w:sz="4" w:space="0" w:color="auto"/>
            </w:tcBorders>
          </w:tcPr>
          <w:p w:rsidR="00784E52" w:rsidRPr="005C7CCE" w:rsidRDefault="00784E52" w:rsidP="001A5BF9">
            <w:pPr>
              <w:jc w:val="center"/>
              <w:rPr>
                <w:color w:val="A6A6A6"/>
                <w:szCs w:val="22"/>
              </w:rPr>
            </w:pPr>
            <w:r w:rsidRPr="005C7CCE">
              <w:rPr>
                <w:color w:val="A6A6A6"/>
              </w:rPr>
              <w:sym w:font="Wingdings" w:char="F06C"/>
            </w:r>
          </w:p>
        </w:tc>
      </w:tr>
      <w:tr w:rsidR="00784E52" w:rsidRPr="005C7CCE" w:rsidTr="00BB3F3E">
        <w:tc>
          <w:tcPr>
            <w:tcW w:w="3206" w:type="dxa"/>
            <w:vMerge w:val="restart"/>
            <w:tcBorders>
              <w:top w:val="nil"/>
              <w:left w:val="single" w:sz="4" w:space="0" w:color="auto"/>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Utilisation d</w:t>
            </w:r>
            <w:r w:rsidR="00A20444" w:rsidRPr="002D02F3">
              <w:rPr>
                <w:sz w:val="14"/>
              </w:rPr>
              <w:t>’</w:t>
            </w:r>
            <w:r w:rsidRPr="002D02F3">
              <w:rPr>
                <w:sz w:val="14"/>
              </w:rPr>
              <w:t>une analyse économique de l</w:t>
            </w:r>
            <w:r w:rsidR="00A20444" w:rsidRPr="002D02F3">
              <w:rPr>
                <w:sz w:val="14"/>
              </w:rPr>
              <w:t>’</w:t>
            </w:r>
            <w:r w:rsidRPr="002D02F3">
              <w:rPr>
                <w:sz w:val="14"/>
              </w:rPr>
              <w:t>OMPI pour l</w:t>
            </w:r>
            <w:r w:rsidR="00A20444" w:rsidRPr="002D02F3">
              <w:rPr>
                <w:sz w:val="14"/>
              </w:rPr>
              <w:t>’</w:t>
            </w:r>
            <w:r w:rsidRPr="002D02F3">
              <w:rPr>
                <w:sz w:val="14"/>
              </w:rPr>
              <w:t>élaboration d</w:t>
            </w:r>
            <w:r w:rsidR="00A20444" w:rsidRPr="002D02F3">
              <w:rPr>
                <w:sz w:val="14"/>
              </w:rPr>
              <w:t>’</w:t>
            </w:r>
            <w:r w:rsidRPr="002D02F3">
              <w:rPr>
                <w:sz w:val="14"/>
              </w:rPr>
              <w:t>une politique de propriété intellectuelle</w:t>
            </w:r>
          </w:p>
        </w:tc>
        <w:tc>
          <w:tcPr>
            <w:tcW w:w="3223" w:type="dxa"/>
            <w:tcBorders>
              <w:top w:val="nil"/>
              <w:left w:val="nil"/>
              <w:bottom w:val="nil"/>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de citations dans les publications économiques et les rapports d</w:t>
            </w:r>
            <w:r w:rsidR="00A20444" w:rsidRPr="002D02F3">
              <w:rPr>
                <w:sz w:val="14"/>
              </w:rPr>
              <w:t>’</w:t>
            </w:r>
            <w:r w:rsidRPr="002D02F3">
              <w:rPr>
                <w:sz w:val="14"/>
              </w:rPr>
              <w:t>orientation des pouvoirs publics</w:t>
            </w:r>
          </w:p>
        </w:tc>
        <w:tc>
          <w:tcPr>
            <w:tcW w:w="1479" w:type="dxa"/>
            <w:tcBorders>
              <w:top w:val="nil"/>
              <w:left w:val="nil"/>
              <w:bottom w:val="nil"/>
            </w:tcBorders>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16</w:t>
            </w:r>
          </w:p>
        </w:tc>
        <w:tc>
          <w:tcPr>
            <w:tcW w:w="1281" w:type="dxa"/>
            <w:tcBorders>
              <w:top w:val="nil"/>
              <w:left w:val="nil"/>
              <w:bottom w:val="nil"/>
              <w:right w:val="single" w:sz="4" w:space="0" w:color="auto"/>
            </w:tcBorders>
          </w:tcPr>
          <w:p w:rsidR="00784E52" w:rsidRPr="005C7CCE" w:rsidRDefault="00784E52" w:rsidP="001A5BF9">
            <w:pPr>
              <w:jc w:val="center"/>
              <w:rPr>
                <w:color w:val="A6A6A6"/>
                <w:szCs w:val="22"/>
              </w:rPr>
            </w:pPr>
            <w:r w:rsidRPr="005C7CCE">
              <w:rPr>
                <w:color w:val="A6A6A6"/>
              </w:rPr>
              <w:sym w:font="Wingdings" w:char="F06C"/>
            </w:r>
          </w:p>
        </w:tc>
      </w:tr>
      <w:tr w:rsidR="00784E52" w:rsidRPr="005C7CCE" w:rsidTr="00BB3F3E">
        <w:tc>
          <w:tcPr>
            <w:tcW w:w="3206" w:type="dxa"/>
            <w:vMerge/>
            <w:tcBorders>
              <w:left w:val="single" w:sz="4" w:space="0" w:color="auto"/>
              <w:bottom w:val="nil"/>
              <w:right w:val="nil"/>
            </w:tcBorders>
            <w:shd w:val="clear" w:color="auto" w:fill="auto"/>
            <w:tcMar>
              <w:top w:w="113" w:type="dxa"/>
            </w:tcMar>
          </w:tcPr>
          <w:p w:rsidR="00784E52" w:rsidRPr="002D02F3" w:rsidRDefault="00784E52" w:rsidP="001A5BF9">
            <w:pPr>
              <w:spacing w:before="80"/>
              <w:rPr>
                <w:rFonts w:cs="Arial"/>
                <w:sz w:val="14"/>
                <w:szCs w:val="14"/>
              </w:rPr>
            </w:pPr>
          </w:p>
        </w:tc>
        <w:tc>
          <w:tcPr>
            <w:tcW w:w="3223" w:type="dxa"/>
            <w:tcBorders>
              <w:top w:val="nil"/>
              <w:left w:val="nil"/>
              <w:bottom w:val="nil"/>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de pays en développement jugeant utiles les études économiques de l</w:t>
            </w:r>
            <w:r w:rsidR="00A20444" w:rsidRPr="002D02F3">
              <w:rPr>
                <w:sz w:val="14"/>
              </w:rPr>
              <w:t>’</w:t>
            </w:r>
            <w:r w:rsidRPr="002D02F3">
              <w:rPr>
                <w:sz w:val="14"/>
              </w:rPr>
              <w:t>OMPI et degré d</w:t>
            </w:r>
            <w:r w:rsidR="00A20444" w:rsidRPr="002D02F3">
              <w:rPr>
                <w:sz w:val="14"/>
              </w:rPr>
              <w:t>’</w:t>
            </w:r>
            <w:r w:rsidRPr="002D02F3">
              <w:rPr>
                <w:sz w:val="14"/>
              </w:rPr>
              <w:t>utilité</w:t>
            </w:r>
          </w:p>
        </w:tc>
        <w:tc>
          <w:tcPr>
            <w:tcW w:w="1479" w:type="dxa"/>
            <w:tcBorders>
              <w:top w:val="nil"/>
              <w:left w:val="nil"/>
              <w:bottom w:val="nil"/>
            </w:tcBorders>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16</w:t>
            </w:r>
          </w:p>
        </w:tc>
        <w:tc>
          <w:tcPr>
            <w:tcW w:w="1281" w:type="dxa"/>
            <w:tcBorders>
              <w:top w:val="nil"/>
              <w:left w:val="nil"/>
              <w:bottom w:val="nil"/>
              <w:right w:val="single" w:sz="4" w:space="0" w:color="auto"/>
            </w:tcBorders>
          </w:tcPr>
          <w:p w:rsidR="00784E52" w:rsidRPr="005C7CCE" w:rsidRDefault="00784E52" w:rsidP="001A5BF9">
            <w:pPr>
              <w:jc w:val="center"/>
              <w:rPr>
                <w:color w:val="A6A6A6"/>
                <w:szCs w:val="22"/>
              </w:rPr>
            </w:pPr>
            <w:r w:rsidRPr="005C7CCE">
              <w:rPr>
                <w:color w:val="A6A6A6"/>
              </w:rPr>
              <w:sym w:font="Wingdings" w:char="F06C"/>
            </w:r>
          </w:p>
        </w:tc>
      </w:tr>
      <w:tr w:rsidR="00784E52" w:rsidRPr="005C7CCE" w:rsidTr="00BB3F3E">
        <w:tc>
          <w:tcPr>
            <w:tcW w:w="3206" w:type="dxa"/>
            <w:tcBorders>
              <w:top w:val="nil"/>
              <w:left w:val="single" w:sz="4" w:space="0" w:color="auto"/>
              <w:bottom w:val="single" w:sz="4" w:space="0" w:color="auto"/>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Accès amélioré à l</w:t>
            </w:r>
            <w:r w:rsidR="00A20444" w:rsidRPr="002D02F3">
              <w:rPr>
                <w:sz w:val="14"/>
              </w:rPr>
              <w:t>’</w:t>
            </w:r>
            <w:r w:rsidRPr="002D02F3">
              <w:rPr>
                <w:sz w:val="14"/>
              </w:rPr>
              <w:t>information juridique en matière de propriété intellectuelle et utilisation améliorée de celle</w:t>
            </w:r>
            <w:r w:rsidR="002D6F2A" w:rsidRPr="002D02F3">
              <w:rPr>
                <w:sz w:val="14"/>
              </w:rPr>
              <w:noBreakHyphen/>
            </w:r>
            <w:r w:rsidRPr="002D02F3">
              <w:rPr>
                <w:sz w:val="14"/>
              </w:rPr>
              <w:t>ci</w:t>
            </w:r>
          </w:p>
        </w:tc>
        <w:tc>
          <w:tcPr>
            <w:tcW w:w="3223" w:type="dxa"/>
            <w:tcBorders>
              <w:top w:val="nil"/>
              <w:left w:val="nil"/>
              <w:bottom w:val="single" w:sz="4" w:space="0" w:color="auto"/>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 xml:space="preserve">Traitement accru dans la base de données WIPO </w:t>
            </w:r>
            <w:proofErr w:type="spellStart"/>
            <w:r w:rsidRPr="002D02F3">
              <w:rPr>
                <w:sz w:val="14"/>
              </w:rPr>
              <w:t>Lex</w:t>
            </w:r>
            <w:proofErr w:type="spellEnd"/>
            <w:r w:rsidRPr="002D02F3">
              <w:rPr>
                <w:sz w:val="14"/>
              </w:rPr>
              <w:t xml:space="preserve"> d</w:t>
            </w:r>
            <w:r w:rsidR="00A20444" w:rsidRPr="002D02F3">
              <w:rPr>
                <w:sz w:val="14"/>
              </w:rPr>
              <w:t>’</w:t>
            </w:r>
            <w:r w:rsidRPr="002D02F3">
              <w:rPr>
                <w:sz w:val="14"/>
              </w:rPr>
              <w:t>informations juridiques en rapport avec la propriété intellectuelle</w:t>
            </w:r>
          </w:p>
        </w:tc>
        <w:tc>
          <w:tcPr>
            <w:tcW w:w="1479" w:type="dxa"/>
            <w:tcBorders>
              <w:top w:val="nil"/>
              <w:left w:val="nil"/>
              <w:bottom w:val="single" w:sz="4" w:space="0" w:color="auto"/>
            </w:tcBorders>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21</w:t>
            </w:r>
          </w:p>
        </w:tc>
        <w:tc>
          <w:tcPr>
            <w:tcW w:w="1281" w:type="dxa"/>
            <w:tcBorders>
              <w:top w:val="nil"/>
              <w:left w:val="nil"/>
              <w:bottom w:val="single" w:sz="4" w:space="0" w:color="auto"/>
              <w:right w:val="single" w:sz="4" w:space="0" w:color="auto"/>
            </w:tcBorders>
          </w:tcPr>
          <w:p w:rsidR="00784E52" w:rsidRPr="005C7CCE" w:rsidRDefault="00784E52" w:rsidP="001A5BF9">
            <w:pPr>
              <w:jc w:val="center"/>
              <w:rPr>
                <w:rFonts w:cs="Arial"/>
                <w:szCs w:val="22"/>
              </w:rPr>
            </w:pPr>
            <w:r w:rsidRPr="005C7CCE">
              <w:rPr>
                <w:color w:val="008000"/>
              </w:rPr>
              <w:sym w:font="Wingdings" w:char="F06C"/>
            </w:r>
          </w:p>
        </w:tc>
      </w:tr>
    </w:tbl>
    <w:p w:rsidR="00D42474" w:rsidRDefault="00D42474" w:rsidP="001A5BF9">
      <w:pPr>
        <w:tabs>
          <w:tab w:val="left" w:pos="0"/>
        </w:tabs>
        <w:rPr>
          <w:rFonts w:cs="Arial"/>
          <w:i/>
        </w:rPr>
      </w:pPr>
    </w:p>
    <w:p w:rsidR="00D42474" w:rsidRDefault="00784E52" w:rsidP="001A5BF9">
      <w:pPr>
        <w:rPr>
          <w:rFonts w:ascii="Arial Bold" w:hAnsi="Arial Bold"/>
          <w:b/>
          <w:bCs/>
        </w:rPr>
      </w:pPr>
      <w:r w:rsidRPr="005C7CCE">
        <w:br w:type="page"/>
      </w:r>
    </w:p>
    <w:p w:rsidR="00D42474" w:rsidRDefault="00784E52" w:rsidP="001A5BF9">
      <w:pPr>
        <w:pStyle w:val="Heading3"/>
        <w:rPr>
          <w:szCs w:val="22"/>
        </w:rPr>
      </w:pPr>
      <w:bookmarkStart w:id="32" w:name="_Toc395082484"/>
      <w:r w:rsidRPr="00755C5C">
        <w:rPr>
          <w:szCs w:val="22"/>
        </w:rPr>
        <w:t>Programme 16</w:t>
      </w:r>
      <w:r w:rsidRPr="00755C5C">
        <w:rPr>
          <w:b w:val="0"/>
          <w:szCs w:val="22"/>
        </w:rPr>
        <w:t xml:space="preserve"> </w:t>
      </w:r>
      <w:r w:rsidRPr="00755C5C">
        <w:rPr>
          <w:szCs w:val="22"/>
        </w:rPr>
        <w:tab/>
        <w:t>Économie et statistiques</w:t>
      </w:r>
      <w:bookmarkEnd w:id="32"/>
    </w:p>
    <w:p w:rsidR="00D42474" w:rsidRDefault="00D42474" w:rsidP="001A5BF9">
      <w:pPr>
        <w:ind w:left="2268" w:hanging="2268"/>
        <w:rPr>
          <w:rFonts w:cs="Arial"/>
          <w:b/>
          <w:sz w:val="22"/>
          <w:szCs w:val="22"/>
        </w:rPr>
      </w:pPr>
    </w:p>
    <w:p w:rsidR="00D42474" w:rsidRDefault="002109D8" w:rsidP="001A5BF9">
      <w:pPr>
        <w:ind w:left="2268" w:hanging="2268"/>
        <w:rPr>
          <w:rFonts w:cs="Arial"/>
          <w:b/>
          <w:sz w:val="22"/>
          <w:szCs w:val="22"/>
        </w:rPr>
      </w:pPr>
      <w:r w:rsidRPr="00755C5C">
        <w:rPr>
          <w:b/>
          <w:sz w:val="22"/>
          <w:szCs w:val="22"/>
        </w:rPr>
        <w:t>Chef de programme</w:t>
      </w:r>
      <w:r w:rsidRPr="00755C5C">
        <w:rPr>
          <w:b/>
          <w:sz w:val="22"/>
          <w:szCs w:val="22"/>
        </w:rPr>
        <w:tab/>
      </w:r>
      <w:r w:rsidRPr="00755C5C">
        <w:rPr>
          <w:b/>
          <w:sz w:val="22"/>
          <w:szCs w:val="22"/>
        </w:rPr>
        <w:tab/>
        <w:t>Directeu</w:t>
      </w:r>
      <w:r w:rsidR="00784E52" w:rsidRPr="00755C5C">
        <w:rPr>
          <w:b/>
          <w:sz w:val="22"/>
          <w:szCs w:val="22"/>
        </w:rPr>
        <w:t>r G</w:t>
      </w:r>
      <w:r w:rsidRPr="00755C5C">
        <w:rPr>
          <w:b/>
          <w:sz w:val="22"/>
          <w:szCs w:val="22"/>
        </w:rPr>
        <w:t>é</w:t>
      </w:r>
      <w:r w:rsidR="00784E52" w:rsidRPr="00755C5C">
        <w:rPr>
          <w:b/>
          <w:sz w:val="22"/>
          <w:szCs w:val="22"/>
        </w:rPr>
        <w:t>n</w:t>
      </w:r>
      <w:r w:rsidRPr="00755C5C">
        <w:rPr>
          <w:b/>
          <w:sz w:val="22"/>
          <w:szCs w:val="22"/>
        </w:rPr>
        <w:t>é</w:t>
      </w:r>
      <w:r w:rsidR="00784E52" w:rsidRPr="00755C5C">
        <w:rPr>
          <w:b/>
          <w:sz w:val="22"/>
          <w:szCs w:val="22"/>
        </w:rPr>
        <w:t>ral</w:t>
      </w:r>
    </w:p>
    <w:p w:rsidR="00D42474" w:rsidRDefault="00D42474" w:rsidP="001A5BF9">
      <w:pPr>
        <w:ind w:left="2268" w:hanging="2268"/>
        <w:rPr>
          <w:rFonts w:cs="Arial"/>
          <w:sz w:val="22"/>
          <w:szCs w:val="22"/>
        </w:rPr>
      </w:pPr>
    </w:p>
    <w:p w:rsidR="00D42474" w:rsidRDefault="00D42474" w:rsidP="001A5BF9">
      <w:pPr>
        <w:ind w:left="2268" w:hanging="2268"/>
        <w:rPr>
          <w:rFonts w:cs="Arial"/>
          <w:bCs/>
          <w:sz w:val="22"/>
          <w:szCs w:val="22"/>
        </w:rPr>
      </w:pPr>
    </w:p>
    <w:p w:rsidR="00D42474" w:rsidRDefault="00784E52" w:rsidP="001A5BF9">
      <w:pPr>
        <w:ind w:left="2268" w:hanging="2268"/>
        <w:rPr>
          <w:rFonts w:cs="Arial"/>
          <w:sz w:val="22"/>
          <w:szCs w:val="22"/>
        </w:rPr>
      </w:pPr>
      <w:r w:rsidRPr="00755C5C">
        <w:rPr>
          <w:sz w:val="22"/>
          <w:szCs w:val="22"/>
        </w:rPr>
        <w:t>RÉALISATIONS EN 2012</w:t>
      </w:r>
      <w:r w:rsidR="002D6F2A" w:rsidRPr="00755C5C">
        <w:rPr>
          <w:sz w:val="22"/>
          <w:szCs w:val="22"/>
        </w:rPr>
        <w:noBreakHyphen/>
      </w:r>
      <w:r w:rsidRPr="00755C5C">
        <w:rPr>
          <w:sz w:val="22"/>
          <w:szCs w:val="22"/>
        </w:rPr>
        <w:t>2013</w:t>
      </w:r>
    </w:p>
    <w:p w:rsidR="00D42474" w:rsidRDefault="00D42474" w:rsidP="001A5BF9">
      <w:pPr>
        <w:ind w:left="2268" w:hanging="2268"/>
        <w:rPr>
          <w:rFonts w:cs="Arial"/>
          <w:sz w:val="22"/>
          <w:szCs w:val="22"/>
        </w:rPr>
      </w:pPr>
    </w:p>
    <w:p w:rsidR="00D42474" w:rsidRDefault="00784E52" w:rsidP="001A5BF9">
      <w:pPr>
        <w:tabs>
          <w:tab w:val="left" w:pos="709"/>
        </w:tabs>
        <w:jc w:val="both"/>
        <w:rPr>
          <w:rFonts w:cs="Arial"/>
          <w:bCs/>
          <w:szCs w:val="20"/>
        </w:rPr>
      </w:pPr>
      <w:r w:rsidRPr="002D02F3">
        <w:t>16.1.</w:t>
      </w:r>
      <w:r w:rsidRPr="002D02F3">
        <w:tab/>
        <w:t>Les travaux statistiques ont pleinement atteint leur objectif qui est de promouvoir l</w:t>
      </w:r>
      <w:r w:rsidR="00A20444" w:rsidRPr="002D02F3">
        <w:t>’</w:t>
      </w:r>
      <w:r w:rsidRPr="002D02F3">
        <w:t>accès à des informations statistiques précises, exhaustives et ponctuelles sur l</w:t>
      </w:r>
      <w:r w:rsidR="00A20444" w:rsidRPr="002D02F3">
        <w:t>’</w:t>
      </w:r>
      <w:r w:rsidRPr="002D02F3">
        <w:t xml:space="preserve">exécution du système de propriété intellectuelle dans le monde. </w:t>
      </w:r>
      <w:r w:rsidR="0010442A" w:rsidRPr="002D02F3">
        <w:t xml:space="preserve"> </w:t>
      </w:r>
      <w:r w:rsidRPr="002D02F3">
        <w:t xml:space="preserve">Comme lors des années précédentes, le programme a mené des enquêtes annuelles exhaustives sur les offices de propriété intellectuelle nationaux et régionaux. </w:t>
      </w:r>
      <w:r w:rsidR="0010442A" w:rsidRPr="002D02F3">
        <w:t xml:space="preserve"> </w:t>
      </w:r>
      <w:r w:rsidRPr="002D02F3">
        <w:t>La couverture des données comprenait toujours les plus grandes juridictions utilisatrices de la propriété intellectuelle et elle était légèrement meilleure que celle de l</w:t>
      </w:r>
      <w:r w:rsidR="00A20444" w:rsidRPr="002D02F3">
        <w:t>’</w:t>
      </w:r>
      <w:r w:rsidRPr="002D02F3">
        <w:t xml:space="preserve">exercice biennal précédent. </w:t>
      </w:r>
      <w:r w:rsidR="0010442A" w:rsidRPr="002D02F3">
        <w:t xml:space="preserve"> </w:t>
      </w:r>
      <w:r w:rsidRPr="002D02F3">
        <w:t>L</w:t>
      </w:r>
      <w:r w:rsidR="00A20444" w:rsidRPr="002D02F3">
        <w:t>’</w:t>
      </w:r>
      <w:r w:rsidRPr="002D02F3">
        <w:t>exercice biennal a connu une réalisation importante avec la création d</w:t>
      </w:r>
      <w:r w:rsidR="00A20444" w:rsidRPr="002D02F3">
        <w:t>’</w:t>
      </w:r>
      <w:r w:rsidRPr="002D02F3">
        <w:t>un nouveau Centre de données statistiques sur la propriété intellectuelle permettant un accès plus personnalisé aux statistiques de l</w:t>
      </w:r>
      <w:r w:rsidR="00A20444" w:rsidRPr="002D02F3">
        <w:t>’</w:t>
      </w:r>
      <w:r w:rsidRPr="002D02F3">
        <w:t xml:space="preserve">OMPI en matière de propriété intellectuelle. </w:t>
      </w:r>
      <w:r w:rsidR="0010442A" w:rsidRPr="002D02F3">
        <w:t xml:space="preserve"> </w:t>
      </w:r>
      <w:r w:rsidRPr="002D02F3">
        <w:t xml:space="preserve">En outre, de nouveaux rapports statistiques relatifs aux systèmes de La Haye et de Madrid ont été élaborés dans le cadre du programme et viennent compléter les outils de reddition de compte de longue date du programme en matière de statistiques, en particulier les statistiques de propriété intellectuelle par pays, les indicateurs mondiaux relatifs à la propriété intellectuelle, les faits et chiffres de propriété intellectuelle ainsi que les rapports du PCT. </w:t>
      </w:r>
      <w:r w:rsidR="0010442A" w:rsidRPr="002D02F3">
        <w:t xml:space="preserve"> </w:t>
      </w:r>
      <w:r w:rsidRPr="002D02F3">
        <w:t>Dans l</w:t>
      </w:r>
      <w:r w:rsidR="00A20444" w:rsidRPr="002D02F3">
        <w:t>’</w:t>
      </w:r>
      <w:r w:rsidRPr="002D02F3">
        <w:t>ensemble, les offres élargies du programme ont répondu aux besoins d</w:t>
      </w:r>
      <w:r w:rsidR="00A20444" w:rsidRPr="002D02F3">
        <w:t>’</w:t>
      </w:r>
      <w:r w:rsidRPr="002D02F3">
        <w:t>un large éventail d</w:t>
      </w:r>
      <w:r w:rsidR="00A20444" w:rsidRPr="002D02F3">
        <w:t>’</w:t>
      </w:r>
      <w:r w:rsidRPr="002D02F3">
        <w:t>utilisateurs en matière de données et d</w:t>
      </w:r>
      <w:r w:rsidR="00A20444" w:rsidRPr="002D02F3">
        <w:t>’</w:t>
      </w:r>
      <w:r w:rsidRPr="002D02F3">
        <w:t xml:space="preserve">analyse statistique, des spécialistes des offices de propriété intellectuelle et des universitaires aux autres utilisateurs, extérieurs à la communauté de la propriété intellectuelle. </w:t>
      </w:r>
      <w:r w:rsidR="0010442A" w:rsidRPr="002D02F3">
        <w:t xml:space="preserve"> </w:t>
      </w:r>
      <w:r w:rsidRPr="002D02F3">
        <w:t>Bien que difficiles à suivre constamment au fil du temps, les statistiques sur la propriété intellectuelle et les rapports statistiques de l</w:t>
      </w:r>
      <w:r w:rsidR="00A20444" w:rsidRPr="002D02F3">
        <w:t>’</w:t>
      </w:r>
      <w:r w:rsidRPr="002D02F3">
        <w:t>OMPI continuent à être largement utilisés et cités dans les études universitaires, les rapports de politique générale, les articles dans les médias et d</w:t>
      </w:r>
      <w:r w:rsidR="00A20444" w:rsidRPr="002D02F3">
        <w:t>’</w:t>
      </w:r>
      <w:r w:rsidRPr="002D02F3">
        <w:t>autres publications de par le monde.</w:t>
      </w:r>
    </w:p>
    <w:p w:rsidR="00D42474" w:rsidRDefault="00D42474" w:rsidP="001A5BF9">
      <w:pPr>
        <w:tabs>
          <w:tab w:val="left" w:pos="709"/>
        </w:tabs>
        <w:ind w:firstLine="720"/>
        <w:jc w:val="both"/>
        <w:rPr>
          <w:rFonts w:cs="Arial"/>
          <w:bCs/>
          <w:szCs w:val="20"/>
        </w:rPr>
      </w:pPr>
    </w:p>
    <w:p w:rsidR="00D42474" w:rsidRDefault="00784E52" w:rsidP="001A5BF9">
      <w:pPr>
        <w:tabs>
          <w:tab w:val="left" w:pos="709"/>
        </w:tabs>
        <w:jc w:val="both"/>
        <w:rPr>
          <w:rFonts w:cs="Arial"/>
          <w:bCs/>
          <w:szCs w:val="20"/>
        </w:rPr>
      </w:pPr>
      <w:r w:rsidRPr="002D02F3">
        <w:t>16.2.</w:t>
      </w:r>
      <w:r w:rsidRPr="002D02F3">
        <w:tab/>
        <w:t>Les travaux relatifs à l</w:t>
      </w:r>
      <w:r w:rsidR="00A20444" w:rsidRPr="002D02F3">
        <w:t>’</w:t>
      </w:r>
      <w:r w:rsidRPr="002D02F3">
        <w:t xml:space="preserve">analyse économique du programme ont progressé et se sont étendus dans de nouvelles directions. </w:t>
      </w:r>
      <w:r w:rsidR="0010442A" w:rsidRPr="002D02F3">
        <w:t xml:space="preserve"> </w:t>
      </w:r>
      <w:r w:rsidRPr="002D02F3">
        <w:t>La publication du deuxième rapport sur la propriété intellectuelle dans le monde axé sur le rôle des marques dans l</w:t>
      </w:r>
      <w:r w:rsidR="00A20444" w:rsidRPr="002D02F3">
        <w:t>’</w:t>
      </w:r>
      <w:r w:rsidRPr="002D02F3">
        <w:t>économie mondiale a constitué une réalisation essentielle, qui a donné lieu à un grand nombre d</w:t>
      </w:r>
      <w:r w:rsidR="00A20444" w:rsidRPr="002D02F3">
        <w:t>’</w:t>
      </w:r>
      <w:r w:rsidRPr="002D02F3">
        <w:t>articles et suscité l</w:t>
      </w:r>
      <w:r w:rsidR="00A20444" w:rsidRPr="002D02F3">
        <w:t>’</w:t>
      </w:r>
      <w:r w:rsidRPr="002D02F3">
        <w:t xml:space="preserve">intérêt des décideurs et milieux universitaires. </w:t>
      </w:r>
      <w:r w:rsidR="0010442A" w:rsidRPr="002D02F3">
        <w:t xml:space="preserve"> </w:t>
      </w:r>
      <w:r w:rsidRPr="002D02F3">
        <w:t>En outre, l</w:t>
      </w:r>
      <w:r w:rsidR="00A20444" w:rsidRPr="002D02F3">
        <w:t>’</w:t>
      </w:r>
      <w:r w:rsidRPr="002D02F3">
        <w:t>OMPI a assumé le rôle de coéditeur, avec l</w:t>
      </w:r>
      <w:r w:rsidR="00A20444" w:rsidRPr="002D02F3">
        <w:t>’</w:t>
      </w:r>
      <w:proofErr w:type="spellStart"/>
      <w:r w:rsidRPr="002D02F3">
        <w:t>INSEAD</w:t>
      </w:r>
      <w:proofErr w:type="spellEnd"/>
      <w:r w:rsidRPr="002D02F3">
        <w:t xml:space="preserve"> et l</w:t>
      </w:r>
      <w:r w:rsidR="00A20444" w:rsidRPr="002D02F3">
        <w:t>’</w:t>
      </w:r>
      <w:r w:rsidRPr="002D02F3">
        <w:t xml:space="preserve">Université </w:t>
      </w:r>
      <w:proofErr w:type="spellStart"/>
      <w:r w:rsidRPr="002D02F3">
        <w:t>Cornell</w:t>
      </w:r>
      <w:proofErr w:type="spellEnd"/>
      <w:r w:rsidRPr="002D02F3">
        <w:t>, de l</w:t>
      </w:r>
      <w:r w:rsidR="00A20444" w:rsidRPr="002D02F3">
        <w:t>’</w:t>
      </w:r>
      <w:r w:rsidRPr="002D02F3">
        <w:t>Indice mondial de l</w:t>
      </w:r>
      <w:r w:rsidR="00A20444" w:rsidRPr="002D02F3">
        <w:t>’</w:t>
      </w:r>
      <w:r w:rsidRPr="002D02F3">
        <w:t xml:space="preserve">innovation. </w:t>
      </w:r>
      <w:r w:rsidR="0010442A" w:rsidRPr="002D02F3">
        <w:t xml:space="preserve"> </w:t>
      </w:r>
      <w:r w:rsidRPr="002D02F3">
        <w:t>Le lancement annuel de l</w:t>
      </w:r>
      <w:r w:rsidR="00A20444" w:rsidRPr="002D02F3">
        <w:t>’</w:t>
      </w:r>
      <w:r w:rsidRPr="002D02F3">
        <w:t>Indice mondial de l</w:t>
      </w:r>
      <w:r w:rsidR="00A20444" w:rsidRPr="002D02F3">
        <w:t>’</w:t>
      </w:r>
      <w:r w:rsidRPr="002D02F3">
        <w:t>innovation en</w:t>
      </w:r>
      <w:r w:rsidR="0010442A" w:rsidRPr="002D02F3">
        <w:t> </w:t>
      </w:r>
      <w:r w:rsidRPr="002D02F3">
        <w:t xml:space="preserve">2013, en présence du Secrétaire général des </w:t>
      </w:r>
      <w:r w:rsidR="00A20444" w:rsidRPr="002D02F3">
        <w:t>Nations Unies</w:t>
      </w:r>
      <w:r w:rsidRPr="002D02F3">
        <w:t>, a largement attiré l</w:t>
      </w:r>
      <w:r w:rsidR="00A20444" w:rsidRPr="002D02F3">
        <w:t>’</w:t>
      </w:r>
      <w:r w:rsidRPr="002D02F3">
        <w:t xml:space="preserve">attention des médias. </w:t>
      </w:r>
      <w:r w:rsidR="0010442A" w:rsidRPr="002D02F3">
        <w:t xml:space="preserve"> </w:t>
      </w:r>
      <w:r w:rsidRPr="002D02F3">
        <w:t xml:space="preserve">De plus, des gouvernements et des organisations internationales, notamment au sein du système des </w:t>
      </w:r>
      <w:r w:rsidR="00A20444" w:rsidRPr="002D02F3">
        <w:t>Nations Unies</w:t>
      </w:r>
      <w:r w:rsidRPr="002D02F3">
        <w:t>, utilisent de plus en plus l</w:t>
      </w:r>
      <w:r w:rsidR="00A20444" w:rsidRPr="002D02F3">
        <w:t>’</w:t>
      </w:r>
      <w:r w:rsidRPr="002D02F3">
        <w:t>Indice mondial de l</w:t>
      </w:r>
      <w:r w:rsidR="00A20444" w:rsidRPr="002D02F3">
        <w:t>’</w:t>
      </w:r>
      <w:r w:rsidRPr="002D02F3">
        <w:t>innovation comme source de référence pour analyser les performances nationales en matière d</w:t>
      </w:r>
      <w:r w:rsidR="00A20444" w:rsidRPr="002D02F3">
        <w:t>’</w:t>
      </w:r>
      <w:r w:rsidRPr="002D02F3">
        <w:t>innovation, comme l</w:t>
      </w:r>
      <w:r w:rsidR="00A20444" w:rsidRPr="002D02F3">
        <w:t>’</w:t>
      </w:r>
      <w:r w:rsidRPr="002D02F3">
        <w:t>ont prouvé des citations, des études de données et des demandes de services consultatifs.</w:t>
      </w:r>
    </w:p>
    <w:p w:rsidR="00D42474" w:rsidRDefault="00D42474" w:rsidP="001A5BF9">
      <w:pPr>
        <w:tabs>
          <w:tab w:val="left" w:pos="709"/>
        </w:tabs>
        <w:ind w:firstLine="720"/>
        <w:jc w:val="both"/>
        <w:rPr>
          <w:rFonts w:cs="Arial"/>
          <w:bCs/>
          <w:szCs w:val="20"/>
        </w:rPr>
      </w:pPr>
    </w:p>
    <w:p w:rsidR="00D42474" w:rsidRDefault="00784E52" w:rsidP="001A5BF9">
      <w:pPr>
        <w:tabs>
          <w:tab w:val="left" w:pos="709"/>
        </w:tabs>
        <w:jc w:val="both"/>
        <w:rPr>
          <w:rFonts w:cs="Arial"/>
          <w:bCs/>
          <w:szCs w:val="20"/>
        </w:rPr>
      </w:pPr>
      <w:r w:rsidRPr="002D02F3">
        <w:t>16.3.</w:t>
      </w:r>
      <w:r w:rsidRPr="002D02F3">
        <w:tab/>
        <w:t>Le programme a également contribué à l</w:t>
      </w:r>
      <w:r w:rsidR="00A20444" w:rsidRPr="002D02F3">
        <w:t>’</w:t>
      </w:r>
      <w:r w:rsidRPr="002D02F3">
        <w:t>intégration d</w:t>
      </w:r>
      <w:r w:rsidR="00A20444" w:rsidRPr="002D02F3">
        <w:t>’</w:t>
      </w:r>
      <w:r w:rsidRPr="002D02F3">
        <w:t>analyses économiques dans les discussions de politique générale à l</w:t>
      </w:r>
      <w:r w:rsidR="00A20444" w:rsidRPr="002D02F3">
        <w:t>’</w:t>
      </w:r>
      <w:r w:rsidRPr="002D02F3">
        <w:t xml:space="preserve">OMPI et ailleurs. </w:t>
      </w:r>
      <w:r w:rsidR="0010442A" w:rsidRPr="002D02F3">
        <w:t xml:space="preserve"> </w:t>
      </w:r>
      <w:r w:rsidRPr="002D02F3">
        <w:t>Il a en particulier appuyé les discus</w:t>
      </w:r>
      <w:r w:rsidR="002109D8" w:rsidRPr="002D02F3">
        <w:t>sions des États membres sur le T</w:t>
      </w:r>
      <w:r w:rsidRPr="002D02F3">
        <w:t>raité sur le droit des dessins et modèles (</w:t>
      </w:r>
      <w:proofErr w:type="spellStart"/>
      <w:r w:rsidRPr="002D02F3">
        <w:t>DLT</w:t>
      </w:r>
      <w:proofErr w:type="spellEnd"/>
      <w:r w:rsidRPr="002D02F3">
        <w:t>) proposé en contribuant à une étude, conjointement avec le programme 2, sur les effets éventuels d</w:t>
      </w:r>
      <w:r w:rsidR="00A20444" w:rsidRPr="002D02F3">
        <w:t>’</w:t>
      </w:r>
      <w:r w:rsidRPr="002D02F3">
        <w:t xml:space="preserve">un tel traité sur les utilisateurs et les offices de propriété intellectuelle. </w:t>
      </w:r>
      <w:r w:rsidR="0010442A" w:rsidRPr="002D02F3">
        <w:t xml:space="preserve"> </w:t>
      </w:r>
      <w:r w:rsidRPr="002D02F3">
        <w:t>De même, la preuve rapportée au titre de trois projets</w:t>
      </w:r>
      <w:r w:rsidR="00A20444" w:rsidRPr="002D02F3">
        <w:t xml:space="preserve"> du CDI</w:t>
      </w:r>
      <w:r w:rsidRPr="002D02F3">
        <w:t>P, sur la propriété intellectuelle et le développement socioéconomique, la propriété intellectuelle et l</w:t>
      </w:r>
      <w:r w:rsidR="00A20444" w:rsidRPr="002D02F3">
        <w:t>’</w:t>
      </w:r>
      <w:r w:rsidRPr="002D02F3">
        <w:t xml:space="preserve">économie informelle, et la propriété intellectuelle et la fuite des cerveaux, a apporté des informations dans les discussions des États membres sur la dimension du développement de la propriété intellectuelle. </w:t>
      </w:r>
      <w:r w:rsidR="0010442A" w:rsidRPr="002D02F3">
        <w:t xml:space="preserve"> </w:t>
      </w:r>
      <w:r w:rsidRPr="002D02F3">
        <w:t>Ces projets, ainsi que la série de séminaires de longue date du programme et son engagement dans le cadre du réseau d</w:t>
      </w:r>
      <w:r w:rsidR="00A20444" w:rsidRPr="002D02F3">
        <w:t>’</w:t>
      </w:r>
      <w:r w:rsidRPr="002D02F3">
        <w:t>économistes rattachés aux offices de propriété intellectuelle, ont contribué à renforcer le rôle de l</w:t>
      </w:r>
      <w:r w:rsidR="00A20444" w:rsidRPr="002D02F3">
        <w:t>’</w:t>
      </w:r>
      <w:r w:rsidRPr="002D02F3">
        <w:t>OMPI dans la promotion de recherches empiriques et rigoureuses d</w:t>
      </w:r>
      <w:r w:rsidR="00A20444" w:rsidRPr="002D02F3">
        <w:t>’</w:t>
      </w:r>
      <w:r w:rsidRPr="002D02F3">
        <w:t>un point de vue scientifique sur la propriété intellectuelle.</w:t>
      </w:r>
    </w:p>
    <w:p w:rsidR="00D42474" w:rsidRDefault="00D42474" w:rsidP="001A5BF9">
      <w:pPr>
        <w:rPr>
          <w:rFonts w:cs="Arial"/>
          <w:bCs/>
          <w:szCs w:val="22"/>
        </w:rPr>
      </w:pPr>
    </w:p>
    <w:p w:rsidR="00D42474" w:rsidRDefault="00784E52" w:rsidP="001A5BF9">
      <w:pPr>
        <w:pageBreakBefore/>
        <w:ind w:left="2268" w:hanging="2268"/>
        <w:rPr>
          <w:rFonts w:cs="Arial"/>
          <w:bCs/>
          <w:szCs w:val="22"/>
        </w:rPr>
      </w:pPr>
      <w:r w:rsidRPr="002D02F3">
        <w:rPr>
          <w:sz w:val="22"/>
        </w:rPr>
        <w:t>MISE EN ŒUVRE DU PLAN D</w:t>
      </w:r>
      <w:r w:rsidR="00A20444" w:rsidRPr="002D02F3">
        <w:rPr>
          <w:sz w:val="22"/>
        </w:rPr>
        <w:t>’</w:t>
      </w:r>
      <w:r w:rsidRPr="002D02F3">
        <w:rPr>
          <w:sz w:val="22"/>
        </w:rPr>
        <w:t>ACTION POUR LE DÉVELOPPEMENT</w:t>
      </w:r>
    </w:p>
    <w:p w:rsidR="00D42474" w:rsidRDefault="00D42474" w:rsidP="001A5BF9">
      <w:pPr>
        <w:ind w:left="2268" w:hanging="2268"/>
        <w:rPr>
          <w:rFonts w:cs="Arial"/>
          <w:szCs w:val="22"/>
        </w:rPr>
      </w:pPr>
    </w:p>
    <w:p w:rsidR="00D42474" w:rsidRDefault="00784E52" w:rsidP="001A5BF9">
      <w:pPr>
        <w:tabs>
          <w:tab w:val="left" w:pos="709"/>
        </w:tabs>
        <w:jc w:val="both"/>
        <w:rPr>
          <w:rFonts w:eastAsia="Calibri" w:cs="Arial"/>
          <w:bCs/>
          <w:szCs w:val="20"/>
        </w:rPr>
      </w:pPr>
      <w:r w:rsidRPr="002D02F3">
        <w:t>16.4</w:t>
      </w:r>
      <w:r w:rsidRPr="002D02F3">
        <w:tab/>
        <w:t>La conception, la planification et la mise en œuvre des activités entreprises par le programme 16 se sont inspirées des recommandations pertinentes du Plan d</w:t>
      </w:r>
      <w:r w:rsidR="00A20444" w:rsidRPr="002D02F3">
        <w:t>’</w:t>
      </w:r>
      <w:r w:rsidRPr="002D02F3">
        <w:t>action pour le développement, en particulier les recommandations n</w:t>
      </w:r>
      <w:r w:rsidRPr="002D02F3">
        <w:rPr>
          <w:vertAlign w:val="superscript"/>
        </w:rPr>
        <w:t>os</w:t>
      </w:r>
      <w:r w:rsidRPr="002D02F3">
        <w:t xml:space="preserve"> 1, 35 et 37.</w:t>
      </w:r>
      <w:r w:rsidR="004F3E42" w:rsidRPr="002D02F3">
        <w:t xml:space="preserve"> </w:t>
      </w:r>
      <w:r w:rsidR="0010442A" w:rsidRPr="002D02F3">
        <w:t xml:space="preserve"> </w:t>
      </w:r>
      <w:r w:rsidRPr="002D02F3">
        <w:t>En outre, le programme a participé à l</w:t>
      </w:r>
      <w:r w:rsidR="00A20444" w:rsidRPr="002D02F3">
        <w:t>’</w:t>
      </w:r>
      <w:r w:rsidRPr="002D02F3">
        <w:t>exécution de trois</w:t>
      </w:r>
      <w:r w:rsidR="0010442A" w:rsidRPr="002D02F3">
        <w:t> </w:t>
      </w:r>
      <w:r w:rsidRPr="002D02F3">
        <w:t>projets du Plan d</w:t>
      </w:r>
      <w:r w:rsidR="00A20444" w:rsidRPr="002D02F3">
        <w:t>’</w:t>
      </w:r>
      <w:r w:rsidRPr="002D02F3">
        <w:t>action pour le développement intitulés</w:t>
      </w:r>
      <w:r w:rsidR="0010442A" w:rsidRPr="002D02F3">
        <w:t> </w:t>
      </w:r>
      <w:r w:rsidRPr="002D02F3">
        <w:t>: la propriété intellectuelle et le développement économique et social;</w:t>
      </w:r>
      <w:r w:rsidR="004F3E42" w:rsidRPr="002D02F3">
        <w:t xml:space="preserve"> </w:t>
      </w:r>
      <w:r w:rsidR="0010442A" w:rsidRPr="002D02F3">
        <w:t xml:space="preserve"> </w:t>
      </w:r>
      <w:r w:rsidRPr="002D02F3">
        <w:t>la propriété intellectuelle et la fuite des cerveaux;</w:t>
      </w:r>
      <w:r w:rsidR="004F3E42" w:rsidRPr="002D02F3">
        <w:t xml:space="preserve"> </w:t>
      </w:r>
      <w:r w:rsidR="0010442A" w:rsidRPr="002D02F3">
        <w:t xml:space="preserve"> </w:t>
      </w:r>
      <w:r w:rsidRPr="002D02F3">
        <w:t>et la propriété intellectuelle et l</w:t>
      </w:r>
      <w:r w:rsidR="00A20444" w:rsidRPr="002D02F3">
        <w:t>’</w:t>
      </w:r>
      <w:r w:rsidRPr="002D02F3">
        <w:t>économie informelle.</w:t>
      </w:r>
      <w:r w:rsidR="004F3E42" w:rsidRPr="002D02F3">
        <w:t xml:space="preserve"> </w:t>
      </w:r>
      <w:r w:rsidR="0010442A" w:rsidRPr="002D02F3">
        <w:t xml:space="preserve"> </w:t>
      </w:r>
      <w:r w:rsidRPr="002D02F3">
        <w:t>Les activités suivantes ont été menées au titre de ces projets qui se sont achevés en</w:t>
      </w:r>
      <w:r w:rsidR="0010442A" w:rsidRPr="002D02F3">
        <w:t> </w:t>
      </w:r>
      <w:r w:rsidRPr="002D02F3">
        <w:t>2013 :</w:t>
      </w:r>
    </w:p>
    <w:p w:rsidR="00D42474" w:rsidRDefault="00D42474" w:rsidP="001A5BF9">
      <w:pPr>
        <w:tabs>
          <w:tab w:val="left" w:pos="709"/>
        </w:tabs>
        <w:jc w:val="both"/>
        <w:rPr>
          <w:rFonts w:eastAsia="Calibri" w:cs="Arial"/>
          <w:bCs/>
          <w:szCs w:val="20"/>
        </w:rPr>
      </w:pPr>
    </w:p>
    <w:p w:rsidR="00D42474" w:rsidRDefault="00784E52" w:rsidP="001A5BF9">
      <w:pPr>
        <w:pStyle w:val="Paragraphedeliste"/>
        <w:numPr>
          <w:ilvl w:val="0"/>
          <w:numId w:val="48"/>
        </w:numPr>
        <w:tabs>
          <w:tab w:val="left" w:pos="709"/>
        </w:tabs>
        <w:jc w:val="both"/>
        <w:rPr>
          <w:rFonts w:eastAsia="Calibri" w:cs="Arial"/>
          <w:bCs/>
        </w:rPr>
      </w:pPr>
      <w:r w:rsidRPr="002D02F3">
        <w:t>Dans le cadre du projet relatif à la propriété intellectuelle et au développement socioéconomique, des études nationales menées au Brésil, au Chili, en Thaïlande et en Uruguay ont été présentées aux onzième et douzième sessions</w:t>
      </w:r>
      <w:r w:rsidR="00A20444" w:rsidRPr="002D02F3">
        <w:t xml:space="preserve"> du CDI</w:t>
      </w:r>
      <w:r w:rsidRPr="002D02F3">
        <w:t xml:space="preserve">P. </w:t>
      </w:r>
      <w:r w:rsidR="0010442A" w:rsidRPr="002D02F3">
        <w:t xml:space="preserve"> </w:t>
      </w:r>
      <w:r w:rsidRPr="002D02F3">
        <w:t>Ayant créé de nouvelles sources de données, les équipes de recherche se sont servies de ces données pour étudier les modes d</w:t>
      </w:r>
      <w:r w:rsidR="00A20444" w:rsidRPr="002D02F3">
        <w:t>’</w:t>
      </w:r>
      <w:r w:rsidRPr="002D02F3">
        <w:t>utilisation de la propriété intellectuelle au niveau micro</w:t>
      </w:r>
      <w:r w:rsidR="002D6F2A" w:rsidRPr="002D02F3">
        <w:noBreakHyphen/>
      </w:r>
      <w:r w:rsidRPr="002D02F3">
        <w:t xml:space="preserve">économique. </w:t>
      </w:r>
      <w:r w:rsidR="0010442A" w:rsidRPr="002D02F3">
        <w:t xml:space="preserve"> </w:t>
      </w:r>
      <w:r w:rsidRPr="002D02F3">
        <w:t>Une réunion d</w:t>
      </w:r>
      <w:r w:rsidR="00A20444" w:rsidRPr="002D02F3">
        <w:t>’</w:t>
      </w:r>
      <w:r w:rsidRPr="002D02F3">
        <w:t xml:space="preserve">experts sur la propriété intellectuelle et le développement </w:t>
      </w:r>
      <w:r w:rsidR="00A20444" w:rsidRPr="002D02F3">
        <w:t>socioéconomique</w:t>
      </w:r>
      <w:r w:rsidRPr="002D02F3">
        <w:t xml:space="preserve"> a aussi eu lieu en décembre 2013. </w:t>
      </w:r>
      <w:r w:rsidR="0010442A" w:rsidRPr="002D02F3">
        <w:t xml:space="preserve"> </w:t>
      </w:r>
      <w:r w:rsidRPr="002D02F3">
        <w:t>Des personnes ayant apporté une contribution essentielle aux six études nationales et un certain nombre d</w:t>
      </w:r>
      <w:r w:rsidR="00A20444" w:rsidRPr="002D02F3">
        <w:t>’</w:t>
      </w:r>
      <w:r w:rsidRPr="002D02F3">
        <w:t>experts internationaux ont examiné les principaux enseignements retirés des différentes études, leurs possibilités d</w:t>
      </w:r>
      <w:r w:rsidR="00A20444" w:rsidRPr="002D02F3">
        <w:t>’</w:t>
      </w:r>
      <w:r w:rsidRPr="002D02F3">
        <w:t>application plus larges et leurs incidences sur l</w:t>
      </w:r>
      <w:r w:rsidR="00A20444" w:rsidRPr="002D02F3">
        <w:t>’</w:t>
      </w:r>
      <w:r w:rsidRPr="002D02F3">
        <w:t>élaboration des politiques aux niveaux national et international.</w:t>
      </w:r>
    </w:p>
    <w:p w:rsidR="00D42474" w:rsidRDefault="00D42474" w:rsidP="001A5BF9">
      <w:pPr>
        <w:tabs>
          <w:tab w:val="left" w:pos="709"/>
        </w:tabs>
        <w:ind w:left="993" w:hanging="284"/>
        <w:jc w:val="both"/>
        <w:rPr>
          <w:rFonts w:eastAsia="Calibri" w:cs="Arial"/>
          <w:bCs/>
          <w:szCs w:val="20"/>
        </w:rPr>
      </w:pPr>
    </w:p>
    <w:p w:rsidR="00D42474" w:rsidRDefault="00784E52" w:rsidP="001A5BF9">
      <w:pPr>
        <w:pStyle w:val="Paragraphedeliste"/>
        <w:numPr>
          <w:ilvl w:val="0"/>
          <w:numId w:val="48"/>
        </w:numPr>
        <w:tabs>
          <w:tab w:val="left" w:pos="709"/>
        </w:tabs>
        <w:jc w:val="both"/>
        <w:rPr>
          <w:rFonts w:eastAsia="Calibri" w:cs="Arial"/>
          <w:bCs/>
        </w:rPr>
      </w:pPr>
      <w:r w:rsidRPr="002D02F3">
        <w:t>Dans le cadre du projet relatif à la propriété intellectuelle et à la fuite des cerveaux, une étude cartographique des flux migratoires des scientifiques a été préparée et présentée à la douzième session</w:t>
      </w:r>
      <w:r w:rsidR="00A20444" w:rsidRPr="002D02F3">
        <w:t xml:space="preserve"> du CDI</w:t>
      </w:r>
      <w:r w:rsidRPr="002D02F3">
        <w:t xml:space="preserve">P. </w:t>
      </w:r>
      <w:r w:rsidR="0010442A" w:rsidRPr="002D02F3">
        <w:t xml:space="preserve"> </w:t>
      </w:r>
      <w:r w:rsidRPr="002D02F3">
        <w:t>Cette étude se fonde sur une nouvelle base de données sur les flux migratoires des inventeurs.</w:t>
      </w:r>
      <w:r w:rsidR="0010442A" w:rsidRPr="002D02F3">
        <w:t xml:space="preserve"> </w:t>
      </w:r>
      <w:r w:rsidRPr="002D02F3">
        <w:t xml:space="preserve"> De plus, un atelier d</w:t>
      </w:r>
      <w:r w:rsidR="00A20444" w:rsidRPr="002D02F3">
        <w:t>’</w:t>
      </w:r>
      <w:r w:rsidRPr="002D02F3">
        <w:t xml:space="preserve">experts sur la propriété intellectuelle, la mobilité internationale des travailleurs hautement qualifiés et la fuite des cerveaux a été organisé en avril 2013. </w:t>
      </w:r>
      <w:r w:rsidR="0010442A" w:rsidRPr="002D02F3">
        <w:t xml:space="preserve"> </w:t>
      </w:r>
      <w:r w:rsidRPr="002D02F3">
        <w:t>Un résumé de cet atelier a été présenté à la douzième session du comité.</w:t>
      </w:r>
    </w:p>
    <w:p w:rsidR="00D42474" w:rsidRDefault="00D42474" w:rsidP="001A5BF9">
      <w:pPr>
        <w:pStyle w:val="Paragraphedeliste"/>
        <w:tabs>
          <w:tab w:val="left" w:pos="709"/>
        </w:tabs>
        <w:jc w:val="both"/>
        <w:rPr>
          <w:rFonts w:eastAsia="Calibri" w:cs="Arial"/>
          <w:bCs/>
        </w:rPr>
      </w:pPr>
    </w:p>
    <w:p w:rsidR="00D42474" w:rsidRDefault="00784E52" w:rsidP="001A5BF9">
      <w:pPr>
        <w:pStyle w:val="Paragraphedeliste"/>
        <w:numPr>
          <w:ilvl w:val="0"/>
          <w:numId w:val="48"/>
        </w:numPr>
        <w:tabs>
          <w:tab w:val="left" w:pos="709"/>
        </w:tabs>
        <w:jc w:val="both"/>
        <w:rPr>
          <w:rFonts w:eastAsia="Calibri" w:cs="Arial"/>
        </w:rPr>
      </w:pPr>
      <w:r w:rsidRPr="002D02F3">
        <w:t>Dans le cadre du projet relatif à la propriété intellectuelle et à l</w:t>
      </w:r>
      <w:r w:rsidR="00A20444" w:rsidRPr="002D02F3">
        <w:t>’</w:t>
      </w:r>
      <w:r w:rsidRPr="002D02F3">
        <w:t>économie informelle, le projet interne de l</w:t>
      </w:r>
      <w:r w:rsidR="00A20444" w:rsidRPr="002D02F3">
        <w:t>’</w:t>
      </w:r>
      <w:r w:rsidRPr="002D02F3">
        <w:t>étude conceptuelle sur l</w:t>
      </w:r>
      <w:r w:rsidR="00A20444" w:rsidRPr="002D02F3">
        <w:t>’</w:t>
      </w:r>
      <w:r w:rsidRPr="002D02F3">
        <w:t>innovation, la propriété intellectuelle et l</w:t>
      </w:r>
      <w:r w:rsidR="00A20444" w:rsidRPr="002D02F3">
        <w:t>’</w:t>
      </w:r>
      <w:r w:rsidRPr="002D02F3">
        <w:t>économie informelle a été achevé et présenté à la onzième session</w:t>
      </w:r>
      <w:r w:rsidR="00A20444" w:rsidRPr="002D02F3">
        <w:t xml:space="preserve"> du CDI</w:t>
      </w:r>
      <w:r w:rsidRPr="002D02F3">
        <w:t>P, et le premier atelier international sur l</w:t>
      </w:r>
      <w:r w:rsidR="00A20444" w:rsidRPr="002D02F3">
        <w:t>’</w:t>
      </w:r>
      <w:r w:rsidRPr="002D02F3">
        <w:t>innovation, la propriété intellectuelle et l</w:t>
      </w:r>
      <w:r w:rsidR="00A20444" w:rsidRPr="002D02F3">
        <w:t>’</w:t>
      </w:r>
      <w:r w:rsidRPr="002D02F3">
        <w:t>économie informelle organisé par l</w:t>
      </w:r>
      <w:r w:rsidR="00A20444" w:rsidRPr="002D02F3">
        <w:t>’</w:t>
      </w:r>
      <w:r w:rsidRPr="002D02F3">
        <w:t>OMPI et l</w:t>
      </w:r>
      <w:r w:rsidR="00A20444" w:rsidRPr="002D02F3">
        <w:t>’</w:t>
      </w:r>
      <w:r w:rsidRPr="002D02F3">
        <w:t xml:space="preserve">Institute for </w:t>
      </w:r>
      <w:proofErr w:type="spellStart"/>
      <w:r w:rsidRPr="002D02F3">
        <w:t>Economic</w:t>
      </w:r>
      <w:proofErr w:type="spellEnd"/>
      <w:r w:rsidRPr="002D02F3">
        <w:t xml:space="preserve"> </w:t>
      </w:r>
      <w:proofErr w:type="spellStart"/>
      <w:r w:rsidRPr="002D02F3">
        <w:t>Research</w:t>
      </w:r>
      <w:proofErr w:type="spellEnd"/>
      <w:r w:rsidRPr="002D02F3">
        <w:t xml:space="preserve"> on Innovation s</w:t>
      </w:r>
      <w:r w:rsidR="00A20444" w:rsidRPr="002D02F3">
        <w:t>’</w:t>
      </w:r>
      <w:r w:rsidRPr="002D02F3">
        <w:t>est tenu du 19 au 21 novembre 2012 à Pretoria (Afrique du Sud).</w:t>
      </w:r>
    </w:p>
    <w:p w:rsidR="00D42474" w:rsidRDefault="00D42474" w:rsidP="001A5BF9">
      <w:pPr>
        <w:ind w:left="2268" w:hanging="2268"/>
        <w:rPr>
          <w:rFonts w:cs="Arial"/>
          <w:szCs w:val="22"/>
        </w:rPr>
      </w:pPr>
    </w:p>
    <w:p w:rsidR="00D42474" w:rsidRDefault="00D42474" w:rsidP="001A5BF9">
      <w:pPr>
        <w:ind w:left="2268" w:hanging="2268"/>
        <w:rPr>
          <w:rFonts w:cs="Arial"/>
          <w:szCs w:val="22"/>
        </w:rPr>
      </w:pPr>
    </w:p>
    <w:p w:rsidR="00D42474" w:rsidRDefault="00784E52" w:rsidP="00755C5C">
      <w:r w:rsidRPr="00755C5C">
        <w:t>DONNÉES RELATIVES À L</w:t>
      </w:r>
      <w:r w:rsidR="00A20444" w:rsidRPr="00755C5C">
        <w:t>’</w:t>
      </w:r>
      <w:r w:rsidRPr="00755C5C">
        <w:t>EXÉCUTION</w:t>
      </w:r>
      <w:r w:rsidR="00755C5C">
        <w:rPr>
          <w:rStyle w:val="FootnoteReference"/>
        </w:rPr>
        <w:footnoteReference w:id="32"/>
      </w:r>
    </w:p>
    <w:p w:rsidR="00784E52" w:rsidRPr="002D02F3" w:rsidRDefault="00784E52" w:rsidP="001A5BF9">
      <w:pPr>
        <w:ind w:left="2268" w:hanging="2268"/>
        <w:rPr>
          <w:rFonts w:cs="Arial"/>
          <w:szCs w:val="22"/>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43"/>
        <w:gridCol w:w="1700"/>
        <w:gridCol w:w="1675"/>
        <w:gridCol w:w="3172"/>
        <w:gridCol w:w="1267"/>
      </w:tblGrid>
      <w:tr w:rsidR="00784E52" w:rsidRPr="002D02F3" w:rsidTr="00BB3F3E">
        <w:trPr>
          <w:cantSplit/>
        </w:trPr>
        <w:tc>
          <w:tcPr>
            <w:tcW w:w="5000" w:type="pct"/>
            <w:gridSpan w:val="5"/>
            <w:tcBorders>
              <w:top w:val="single" w:sz="4" w:space="0" w:color="auto"/>
              <w:bottom w:val="single" w:sz="4" w:space="0" w:color="auto"/>
            </w:tcBorders>
            <w:shd w:val="clear" w:color="auto" w:fill="CCFFFF"/>
            <w:vAlign w:val="center"/>
          </w:tcPr>
          <w:p w:rsidR="00784E52" w:rsidRPr="002D02F3" w:rsidRDefault="00784E52" w:rsidP="00585C2F">
            <w:pPr>
              <w:keepNext/>
              <w:keepLines/>
              <w:spacing w:before="120" w:after="120"/>
              <w:ind w:left="1735" w:hanging="1735"/>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Utilisation accrue de l</w:t>
            </w:r>
            <w:r w:rsidR="00A20444" w:rsidRPr="002D02F3">
              <w:rPr>
                <w:sz w:val="16"/>
              </w:rPr>
              <w:t>’</w:t>
            </w:r>
            <w:r w:rsidRPr="002D02F3">
              <w:rPr>
                <w:sz w:val="16"/>
              </w:rPr>
              <w:t>information statistique de l</w:t>
            </w:r>
            <w:r w:rsidR="00A20444" w:rsidRPr="002D02F3">
              <w:rPr>
                <w:sz w:val="16"/>
              </w:rPr>
              <w:t>’</w:t>
            </w:r>
            <w:r w:rsidRPr="002D02F3">
              <w:rPr>
                <w:sz w:val="16"/>
              </w:rPr>
              <w:t>OMPI concernant le fonctionnement du système international de la propriété intellectuelle</w:t>
            </w:r>
          </w:p>
        </w:tc>
      </w:tr>
      <w:tr w:rsidR="00784E52" w:rsidRPr="00585C2F" w:rsidTr="00FA74F6">
        <w:trPr>
          <w:cantSplit/>
        </w:trPr>
        <w:tc>
          <w:tcPr>
            <w:tcW w:w="830" w:type="pct"/>
            <w:tcBorders>
              <w:top w:val="single" w:sz="4" w:space="0" w:color="auto"/>
            </w:tcBorders>
            <w:shd w:val="clear" w:color="auto" w:fill="auto"/>
            <w:vAlign w:val="center"/>
          </w:tcPr>
          <w:p w:rsidR="00784E52" w:rsidRPr="00585C2F" w:rsidRDefault="00784E52" w:rsidP="001A5BF9">
            <w:pPr>
              <w:rPr>
                <w:rFonts w:cs="Arial"/>
                <w:b/>
                <w:sz w:val="16"/>
                <w:szCs w:val="16"/>
              </w:rPr>
            </w:pPr>
            <w:r w:rsidRPr="00585C2F">
              <w:rPr>
                <w:b/>
                <w:sz w:val="16"/>
              </w:rPr>
              <w:t>Indicateurs d</w:t>
            </w:r>
            <w:r w:rsidR="00A20444" w:rsidRPr="00585C2F">
              <w:rPr>
                <w:b/>
                <w:sz w:val="16"/>
              </w:rPr>
              <w:t>’</w:t>
            </w:r>
            <w:r w:rsidRPr="00585C2F">
              <w:rPr>
                <w:b/>
                <w:sz w:val="16"/>
              </w:rPr>
              <w:t>exécution</w:t>
            </w:r>
          </w:p>
        </w:tc>
        <w:tc>
          <w:tcPr>
            <w:tcW w:w="914" w:type="pct"/>
            <w:tcBorders>
              <w:top w:val="single" w:sz="4" w:space="0" w:color="auto"/>
            </w:tcBorders>
            <w:shd w:val="clear" w:color="auto" w:fill="auto"/>
            <w:vAlign w:val="center"/>
          </w:tcPr>
          <w:p w:rsidR="00784E52" w:rsidRPr="00585C2F" w:rsidRDefault="00784E52" w:rsidP="001A5BF9">
            <w:pPr>
              <w:rPr>
                <w:rFonts w:cs="Arial"/>
                <w:b/>
                <w:bCs/>
                <w:sz w:val="16"/>
                <w:szCs w:val="16"/>
              </w:rPr>
            </w:pPr>
            <w:r w:rsidRPr="00585C2F">
              <w:rPr>
                <w:b/>
                <w:sz w:val="16"/>
              </w:rPr>
              <w:t>Niveaux de référence</w:t>
            </w:r>
          </w:p>
        </w:tc>
        <w:tc>
          <w:tcPr>
            <w:tcW w:w="874" w:type="pct"/>
            <w:tcBorders>
              <w:top w:val="single" w:sz="4" w:space="0" w:color="auto"/>
            </w:tcBorders>
            <w:shd w:val="clear" w:color="auto" w:fill="auto"/>
            <w:tcMar>
              <w:top w:w="110" w:type="dxa"/>
            </w:tcMar>
            <w:vAlign w:val="center"/>
          </w:tcPr>
          <w:p w:rsidR="00784E52" w:rsidRPr="00585C2F" w:rsidRDefault="00784E52" w:rsidP="001A5BF9">
            <w:pPr>
              <w:rPr>
                <w:rFonts w:cs="Arial"/>
                <w:b/>
                <w:sz w:val="16"/>
                <w:szCs w:val="16"/>
              </w:rPr>
            </w:pPr>
            <w:r w:rsidRPr="00585C2F">
              <w:rPr>
                <w:b/>
                <w:sz w:val="16"/>
              </w:rPr>
              <w:t>Objectifs visés</w:t>
            </w:r>
          </w:p>
        </w:tc>
        <w:tc>
          <w:tcPr>
            <w:tcW w:w="1700" w:type="pct"/>
            <w:tcBorders>
              <w:top w:val="single" w:sz="4" w:space="0" w:color="auto"/>
            </w:tcBorders>
            <w:shd w:val="clear" w:color="auto" w:fill="FFFFFF"/>
            <w:tcMar>
              <w:top w:w="110" w:type="dxa"/>
            </w:tcMar>
            <w:vAlign w:val="center"/>
          </w:tcPr>
          <w:p w:rsidR="00784E52" w:rsidRPr="00585C2F" w:rsidRDefault="00784E52" w:rsidP="001A5BF9">
            <w:pPr>
              <w:rPr>
                <w:rFonts w:cs="Arial"/>
                <w:b/>
                <w:sz w:val="16"/>
                <w:szCs w:val="16"/>
              </w:rPr>
            </w:pPr>
            <w:r w:rsidRPr="00585C2F">
              <w:rPr>
                <w:b/>
                <w:sz w:val="16"/>
              </w:rPr>
              <w:t>Données relatives à l</w:t>
            </w:r>
            <w:r w:rsidR="00A20444" w:rsidRPr="00585C2F">
              <w:rPr>
                <w:b/>
                <w:sz w:val="16"/>
              </w:rPr>
              <w:t>’</w:t>
            </w:r>
            <w:r w:rsidRPr="00585C2F">
              <w:rPr>
                <w:b/>
                <w:sz w:val="16"/>
              </w:rPr>
              <w:t>exécution</w:t>
            </w:r>
          </w:p>
        </w:tc>
        <w:tc>
          <w:tcPr>
            <w:tcW w:w="682" w:type="pct"/>
            <w:tcBorders>
              <w:top w:val="single" w:sz="4" w:space="0" w:color="auto"/>
            </w:tcBorders>
            <w:shd w:val="clear" w:color="auto" w:fill="auto"/>
            <w:tcMar>
              <w:top w:w="110" w:type="dxa"/>
            </w:tcMar>
            <w:vAlign w:val="center"/>
          </w:tcPr>
          <w:p w:rsidR="00784E52" w:rsidRPr="00585C2F" w:rsidRDefault="00784E52" w:rsidP="001A5BF9">
            <w:pPr>
              <w:keepNext/>
              <w:keepLines/>
              <w:jc w:val="center"/>
              <w:rPr>
                <w:rFonts w:cs="Arial"/>
                <w:b/>
                <w:bCs/>
                <w:sz w:val="16"/>
                <w:szCs w:val="16"/>
              </w:rPr>
            </w:pPr>
            <w:r w:rsidRPr="00585C2F">
              <w:rPr>
                <w:b/>
                <w:sz w:val="16"/>
              </w:rPr>
              <w:t>Code de couleurs</w:t>
            </w:r>
          </w:p>
        </w:tc>
      </w:tr>
      <w:tr w:rsidR="00784E52" w:rsidRPr="005C7CCE" w:rsidTr="00BB3F3E">
        <w:trPr>
          <w:cantSplit/>
        </w:trPr>
        <w:tc>
          <w:tcPr>
            <w:tcW w:w="830" w:type="pct"/>
            <w:shd w:val="clear" w:color="auto" w:fill="auto"/>
          </w:tcPr>
          <w:p w:rsidR="00784E52" w:rsidRPr="00755C5C" w:rsidRDefault="00784E52" w:rsidP="001A5BF9">
            <w:pPr>
              <w:rPr>
                <w:rFonts w:cs="Arial"/>
                <w:sz w:val="16"/>
                <w:szCs w:val="16"/>
              </w:rPr>
            </w:pPr>
            <w:r w:rsidRPr="00755C5C">
              <w:rPr>
                <w:sz w:val="16"/>
              </w:rPr>
              <w:t>Nombre de téléchargements de deux</w:t>
            </w:r>
            <w:r w:rsidR="0010442A" w:rsidRPr="00755C5C">
              <w:rPr>
                <w:sz w:val="16"/>
              </w:rPr>
              <w:t> </w:t>
            </w:r>
            <w:r w:rsidRPr="00755C5C">
              <w:rPr>
                <w:sz w:val="16"/>
              </w:rPr>
              <w:t>principaux rapports statistiques</w:t>
            </w:r>
          </w:p>
        </w:tc>
        <w:tc>
          <w:tcPr>
            <w:tcW w:w="914" w:type="pct"/>
            <w:shd w:val="clear" w:color="auto" w:fill="auto"/>
          </w:tcPr>
          <w:p w:rsidR="00784E52" w:rsidRPr="00755C5C" w:rsidRDefault="00784E52" w:rsidP="001A5BF9">
            <w:pPr>
              <w:rPr>
                <w:rFonts w:cs="Arial"/>
                <w:i/>
                <w:sz w:val="16"/>
                <w:szCs w:val="16"/>
              </w:rPr>
            </w:pPr>
            <w:r w:rsidRPr="00755C5C">
              <w:rPr>
                <w:sz w:val="16"/>
              </w:rPr>
              <w:t>À déterminer</w:t>
            </w:r>
          </w:p>
        </w:tc>
        <w:tc>
          <w:tcPr>
            <w:tcW w:w="874" w:type="pct"/>
            <w:shd w:val="clear" w:color="auto" w:fill="auto"/>
            <w:tcMar>
              <w:top w:w="110" w:type="dxa"/>
            </w:tcMar>
          </w:tcPr>
          <w:p w:rsidR="00784E52" w:rsidRPr="00755C5C" w:rsidRDefault="00784E52" w:rsidP="001A5BF9">
            <w:pPr>
              <w:rPr>
                <w:rFonts w:cs="Arial"/>
                <w:i/>
                <w:sz w:val="16"/>
                <w:szCs w:val="16"/>
              </w:rPr>
            </w:pPr>
            <w:r w:rsidRPr="00755C5C">
              <w:rPr>
                <w:rFonts w:ascii="ArialMT" w:hAnsi="ArialMT"/>
                <w:sz w:val="16"/>
              </w:rPr>
              <w:t>10</w:t>
            </w:r>
            <w:r w:rsidR="007E442D" w:rsidRPr="00755C5C">
              <w:rPr>
                <w:rFonts w:ascii="ArialMT" w:hAnsi="ArialMT"/>
                <w:sz w:val="16"/>
              </w:rPr>
              <w:t>%</w:t>
            </w:r>
            <w:r w:rsidRPr="00755C5C">
              <w:rPr>
                <w:rFonts w:ascii="ArialMT" w:hAnsi="ArialMT"/>
                <w:sz w:val="16"/>
              </w:rPr>
              <w:t> d</w:t>
            </w:r>
            <w:r w:rsidR="00A20444" w:rsidRPr="00755C5C">
              <w:rPr>
                <w:rFonts w:ascii="ArialMT" w:hAnsi="ArialMT"/>
                <w:sz w:val="16"/>
              </w:rPr>
              <w:t>’</w:t>
            </w:r>
            <w:r w:rsidRPr="00755C5C">
              <w:rPr>
                <w:rFonts w:ascii="ArialMT" w:hAnsi="ArialMT"/>
                <w:sz w:val="16"/>
              </w:rPr>
              <w:t>augmentation de l</w:t>
            </w:r>
            <w:r w:rsidR="00A20444" w:rsidRPr="00755C5C">
              <w:rPr>
                <w:rFonts w:ascii="ArialMT" w:hAnsi="ArialMT"/>
                <w:sz w:val="16"/>
              </w:rPr>
              <w:t>’</w:t>
            </w:r>
            <w:r w:rsidRPr="00755C5C">
              <w:rPr>
                <w:rFonts w:ascii="ArialMT" w:hAnsi="ArialMT"/>
                <w:sz w:val="16"/>
              </w:rPr>
              <w:t>utilisation</w:t>
            </w:r>
            <w:r w:rsidRPr="00755C5C">
              <w:rPr>
                <w:sz w:val="16"/>
              </w:rPr>
              <w:t xml:space="preserve"> </w:t>
            </w:r>
          </w:p>
        </w:tc>
        <w:tc>
          <w:tcPr>
            <w:tcW w:w="1700" w:type="pct"/>
            <w:shd w:val="clear" w:color="auto" w:fill="FFFFFF"/>
            <w:tcMar>
              <w:top w:w="110" w:type="dxa"/>
            </w:tcMar>
          </w:tcPr>
          <w:p w:rsidR="00784E52" w:rsidRPr="00755C5C" w:rsidRDefault="00784E52" w:rsidP="001A5BF9">
            <w:pPr>
              <w:rPr>
                <w:rFonts w:cs="Arial"/>
                <w:sz w:val="16"/>
                <w:szCs w:val="16"/>
              </w:rPr>
            </w:pPr>
            <w:r w:rsidRPr="00755C5C">
              <w:rPr>
                <w:sz w:val="16"/>
              </w:rPr>
              <w:t>En</w:t>
            </w:r>
            <w:r w:rsidR="0010442A" w:rsidRPr="00755C5C">
              <w:rPr>
                <w:sz w:val="16"/>
              </w:rPr>
              <w:t> </w:t>
            </w:r>
            <w:r w:rsidRPr="00755C5C">
              <w:rPr>
                <w:sz w:val="16"/>
              </w:rPr>
              <w:t xml:space="preserve">2013, les dernières éditions disponibles (éditions 2012 et 2013) des </w:t>
            </w:r>
            <w:r w:rsidRPr="00755C5C">
              <w:rPr>
                <w:i/>
                <w:sz w:val="16"/>
              </w:rPr>
              <w:t>Indicateurs mondiaux relatifs à la propriété intellectuelle</w:t>
            </w:r>
            <w:r w:rsidRPr="00755C5C">
              <w:rPr>
                <w:sz w:val="16"/>
              </w:rPr>
              <w:t xml:space="preserve"> (publication n°</w:t>
            </w:r>
            <w:r w:rsidR="0010442A" w:rsidRPr="00755C5C">
              <w:rPr>
                <w:sz w:val="16"/>
              </w:rPr>
              <w:t> </w:t>
            </w:r>
            <w:r w:rsidRPr="00755C5C">
              <w:rPr>
                <w:sz w:val="16"/>
              </w:rPr>
              <w:t>941)</w:t>
            </w:r>
            <w:r w:rsidRPr="00755C5C">
              <w:rPr>
                <w:rStyle w:val="FootnoteReference"/>
                <w:sz w:val="16"/>
              </w:rPr>
              <w:footnoteReference w:id="33"/>
            </w:r>
            <w:r w:rsidRPr="00755C5C">
              <w:rPr>
                <w:sz w:val="16"/>
              </w:rPr>
              <w:t xml:space="preserve"> et des </w:t>
            </w:r>
            <w:r w:rsidRPr="00755C5C">
              <w:rPr>
                <w:i/>
                <w:sz w:val="16"/>
              </w:rPr>
              <w:t>Faits et chiffres de l</w:t>
            </w:r>
            <w:r w:rsidR="00A20444" w:rsidRPr="00755C5C">
              <w:rPr>
                <w:i/>
                <w:sz w:val="16"/>
              </w:rPr>
              <w:t>’</w:t>
            </w:r>
            <w:r w:rsidRPr="00755C5C">
              <w:rPr>
                <w:i/>
                <w:sz w:val="16"/>
              </w:rPr>
              <w:t>OMPI relatifs à la propriété intellectuelle</w:t>
            </w:r>
            <w:r w:rsidRPr="00755C5C">
              <w:rPr>
                <w:sz w:val="16"/>
              </w:rPr>
              <w:t xml:space="preserve"> (publication n°</w:t>
            </w:r>
            <w:r w:rsidR="0010442A" w:rsidRPr="00755C5C">
              <w:rPr>
                <w:sz w:val="16"/>
              </w:rPr>
              <w:t> </w:t>
            </w:r>
            <w:r w:rsidRPr="00755C5C">
              <w:rPr>
                <w:sz w:val="16"/>
              </w:rPr>
              <w:t>943)</w:t>
            </w:r>
            <w:r w:rsidRPr="00755C5C">
              <w:rPr>
                <w:rStyle w:val="FootnoteReference"/>
                <w:sz w:val="16"/>
              </w:rPr>
              <w:footnoteReference w:id="34"/>
            </w:r>
            <w:r w:rsidRPr="00755C5C">
              <w:rPr>
                <w:sz w:val="16"/>
              </w:rPr>
              <w:t xml:space="preserve"> ont été téléchargées au total 52</w:t>
            </w:r>
            <w:r w:rsidR="0010442A" w:rsidRPr="00755C5C">
              <w:rPr>
                <w:sz w:val="16"/>
              </w:rPr>
              <w:t> </w:t>
            </w:r>
            <w:r w:rsidRPr="00755C5C">
              <w:rPr>
                <w:sz w:val="16"/>
              </w:rPr>
              <w:t>670 fois.</w:t>
            </w:r>
          </w:p>
        </w:tc>
        <w:tc>
          <w:tcPr>
            <w:tcW w:w="682" w:type="pct"/>
            <w:shd w:val="clear" w:color="auto" w:fill="auto"/>
            <w:tcMar>
              <w:top w:w="110" w:type="dxa"/>
            </w:tcMar>
          </w:tcPr>
          <w:p w:rsidR="00784E52" w:rsidRPr="005C7CCE" w:rsidRDefault="00784E52" w:rsidP="001A5BF9">
            <w:pPr>
              <w:keepNext/>
              <w:keepLines/>
              <w:jc w:val="center"/>
              <w:rPr>
                <w:rFonts w:cs="Arial"/>
                <w:bCs/>
                <w:color w:val="595959"/>
                <w:sz w:val="16"/>
                <w:szCs w:val="16"/>
              </w:rPr>
            </w:pPr>
            <w:r w:rsidRPr="005C7CCE">
              <w:rPr>
                <w:color w:val="595959"/>
                <w:sz w:val="16"/>
              </w:rPr>
              <w:t>Non évaluable</w:t>
            </w:r>
          </w:p>
        </w:tc>
      </w:tr>
      <w:tr w:rsidR="00784E52" w:rsidRPr="005C7CCE" w:rsidTr="00BB3F3E">
        <w:trPr>
          <w:cantSplit/>
        </w:trPr>
        <w:tc>
          <w:tcPr>
            <w:tcW w:w="830" w:type="pct"/>
            <w:tcBorders>
              <w:bottom w:val="single" w:sz="4" w:space="0" w:color="auto"/>
            </w:tcBorders>
            <w:shd w:val="clear" w:color="auto" w:fill="auto"/>
          </w:tcPr>
          <w:p w:rsidR="00784E52" w:rsidRPr="00755C5C" w:rsidRDefault="00784E52" w:rsidP="001A5BF9">
            <w:pPr>
              <w:spacing w:before="120"/>
              <w:rPr>
                <w:rFonts w:cs="Arial"/>
                <w:sz w:val="16"/>
                <w:szCs w:val="16"/>
              </w:rPr>
            </w:pPr>
            <w:r w:rsidRPr="00755C5C">
              <w:rPr>
                <w:sz w:val="16"/>
              </w:rPr>
              <w:t>Nombre de téléchargements de données</w:t>
            </w:r>
          </w:p>
        </w:tc>
        <w:tc>
          <w:tcPr>
            <w:tcW w:w="914" w:type="pct"/>
            <w:tcBorders>
              <w:bottom w:val="single" w:sz="4" w:space="0" w:color="auto"/>
            </w:tcBorders>
            <w:shd w:val="clear" w:color="auto" w:fill="auto"/>
          </w:tcPr>
          <w:p w:rsidR="00784E52" w:rsidRPr="00755C5C" w:rsidRDefault="00784E52" w:rsidP="001A5BF9">
            <w:pPr>
              <w:spacing w:before="120"/>
              <w:rPr>
                <w:rFonts w:cs="Arial"/>
                <w:sz w:val="16"/>
                <w:szCs w:val="16"/>
              </w:rPr>
            </w:pPr>
            <w:r w:rsidRPr="00755C5C">
              <w:rPr>
                <w:sz w:val="16"/>
              </w:rPr>
              <w:t>À déterminer</w:t>
            </w:r>
          </w:p>
        </w:tc>
        <w:tc>
          <w:tcPr>
            <w:tcW w:w="874" w:type="pct"/>
            <w:tcBorders>
              <w:bottom w:val="single" w:sz="4" w:space="0" w:color="auto"/>
            </w:tcBorders>
            <w:shd w:val="clear" w:color="auto" w:fill="auto"/>
            <w:tcMar>
              <w:top w:w="110" w:type="dxa"/>
            </w:tcMar>
          </w:tcPr>
          <w:p w:rsidR="00784E52" w:rsidRPr="00755C5C" w:rsidRDefault="00784E52" w:rsidP="001A5BF9">
            <w:pPr>
              <w:rPr>
                <w:rFonts w:cs="Arial"/>
                <w:i/>
                <w:sz w:val="16"/>
                <w:szCs w:val="16"/>
              </w:rPr>
            </w:pPr>
            <w:r w:rsidRPr="00755C5C">
              <w:rPr>
                <w:rFonts w:ascii="ArialMT" w:hAnsi="ArialMT"/>
                <w:sz w:val="16"/>
              </w:rPr>
              <w:t>10</w:t>
            </w:r>
            <w:r w:rsidR="007E442D" w:rsidRPr="00755C5C">
              <w:rPr>
                <w:rFonts w:ascii="ArialMT" w:hAnsi="ArialMT"/>
                <w:sz w:val="16"/>
              </w:rPr>
              <w:t>%</w:t>
            </w:r>
            <w:r w:rsidRPr="00755C5C">
              <w:rPr>
                <w:rFonts w:ascii="ArialMT" w:hAnsi="ArialMT"/>
                <w:sz w:val="16"/>
              </w:rPr>
              <w:t> d</w:t>
            </w:r>
            <w:r w:rsidR="00A20444" w:rsidRPr="00755C5C">
              <w:rPr>
                <w:rFonts w:ascii="ArialMT" w:hAnsi="ArialMT"/>
                <w:sz w:val="16"/>
              </w:rPr>
              <w:t>’</w:t>
            </w:r>
            <w:r w:rsidRPr="00755C5C">
              <w:rPr>
                <w:rFonts w:ascii="ArialMT" w:hAnsi="ArialMT"/>
                <w:sz w:val="16"/>
              </w:rPr>
              <w:t>augmentation de l</w:t>
            </w:r>
            <w:r w:rsidR="00A20444" w:rsidRPr="00755C5C">
              <w:rPr>
                <w:rFonts w:ascii="ArialMT" w:hAnsi="ArialMT"/>
                <w:sz w:val="16"/>
              </w:rPr>
              <w:t>’</w:t>
            </w:r>
            <w:r w:rsidRPr="00755C5C">
              <w:rPr>
                <w:rFonts w:ascii="ArialMT" w:hAnsi="ArialMT"/>
                <w:sz w:val="16"/>
              </w:rPr>
              <w:t>utilisation</w:t>
            </w:r>
          </w:p>
        </w:tc>
        <w:tc>
          <w:tcPr>
            <w:tcW w:w="1700" w:type="pct"/>
            <w:tcBorders>
              <w:bottom w:val="single" w:sz="4" w:space="0" w:color="auto"/>
            </w:tcBorders>
            <w:shd w:val="clear" w:color="auto" w:fill="FFFFFF"/>
            <w:tcMar>
              <w:top w:w="110" w:type="dxa"/>
            </w:tcMar>
          </w:tcPr>
          <w:p w:rsidR="00D42474" w:rsidRDefault="00784E52" w:rsidP="001A5BF9">
            <w:pPr>
              <w:pStyle w:val="Default"/>
              <w:rPr>
                <w:color w:val="auto"/>
                <w:sz w:val="16"/>
              </w:rPr>
            </w:pPr>
            <w:r w:rsidRPr="00755C5C">
              <w:rPr>
                <w:color w:val="auto"/>
                <w:sz w:val="16"/>
              </w:rPr>
              <w:t>En 2013, le Centre de données statistiques de l</w:t>
            </w:r>
            <w:r w:rsidR="00A20444" w:rsidRPr="00755C5C">
              <w:rPr>
                <w:color w:val="auto"/>
                <w:sz w:val="16"/>
              </w:rPr>
              <w:t>’</w:t>
            </w:r>
            <w:r w:rsidRPr="00755C5C">
              <w:rPr>
                <w:color w:val="auto"/>
                <w:sz w:val="16"/>
              </w:rPr>
              <w:t>OMPI a été utilisé par 23 496 visiteurs uniques qui ont consulté 162 463 pages.</w:t>
            </w:r>
          </w:p>
          <w:p w:rsidR="00784E52" w:rsidRPr="00755C5C" w:rsidRDefault="00784E52" w:rsidP="001A5BF9">
            <w:pPr>
              <w:rPr>
                <w:rFonts w:cs="Arial"/>
                <w:sz w:val="16"/>
                <w:szCs w:val="16"/>
              </w:rPr>
            </w:pPr>
          </w:p>
        </w:tc>
        <w:tc>
          <w:tcPr>
            <w:tcW w:w="682" w:type="pct"/>
            <w:tcBorders>
              <w:bottom w:val="single" w:sz="4" w:space="0" w:color="auto"/>
            </w:tcBorders>
            <w:shd w:val="clear" w:color="auto" w:fill="auto"/>
            <w:tcMar>
              <w:top w:w="110" w:type="dxa"/>
            </w:tcMar>
          </w:tcPr>
          <w:p w:rsidR="00784E52" w:rsidRPr="005C7CCE" w:rsidRDefault="00784E52" w:rsidP="001A5BF9">
            <w:pPr>
              <w:keepNext/>
              <w:keepLines/>
              <w:jc w:val="center"/>
              <w:rPr>
                <w:rFonts w:cs="Arial"/>
                <w:bCs/>
                <w:color w:val="595959"/>
                <w:sz w:val="16"/>
                <w:szCs w:val="16"/>
              </w:rPr>
            </w:pPr>
            <w:r w:rsidRPr="005C7CCE">
              <w:rPr>
                <w:color w:val="595959"/>
                <w:sz w:val="16"/>
              </w:rPr>
              <w:t>Non évaluable</w:t>
            </w:r>
          </w:p>
        </w:tc>
      </w:tr>
      <w:tr w:rsidR="00784E52" w:rsidRPr="002D02F3" w:rsidTr="00BB3F3E">
        <w:trPr>
          <w:cantSplit/>
        </w:trPr>
        <w:tc>
          <w:tcPr>
            <w:tcW w:w="5000" w:type="pct"/>
            <w:gridSpan w:val="5"/>
            <w:tcBorders>
              <w:top w:val="single" w:sz="4" w:space="0" w:color="auto"/>
              <w:bottom w:val="single" w:sz="4" w:space="0" w:color="auto"/>
            </w:tcBorders>
            <w:shd w:val="clear" w:color="auto" w:fill="CCFFFF"/>
            <w:vAlign w:val="center"/>
          </w:tcPr>
          <w:p w:rsidR="00784E52" w:rsidRPr="002D02F3" w:rsidRDefault="00784E52" w:rsidP="00BD640D">
            <w:pPr>
              <w:keepNext/>
              <w:keepLines/>
              <w:spacing w:before="120" w:after="120"/>
              <w:ind w:left="1735" w:hanging="1735"/>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Utilisation d</w:t>
            </w:r>
            <w:r w:rsidR="00A20444" w:rsidRPr="002D02F3">
              <w:rPr>
                <w:sz w:val="16"/>
              </w:rPr>
              <w:t>’</w:t>
            </w:r>
            <w:r w:rsidRPr="002D02F3">
              <w:rPr>
                <w:sz w:val="16"/>
              </w:rPr>
              <w:t>une analyse économique de l</w:t>
            </w:r>
            <w:r w:rsidR="00A20444" w:rsidRPr="002D02F3">
              <w:rPr>
                <w:sz w:val="16"/>
              </w:rPr>
              <w:t>’</w:t>
            </w:r>
            <w:r w:rsidRPr="002D02F3">
              <w:rPr>
                <w:sz w:val="16"/>
              </w:rPr>
              <w:t>OMPI pour l</w:t>
            </w:r>
            <w:r w:rsidR="00A20444" w:rsidRPr="002D02F3">
              <w:rPr>
                <w:sz w:val="16"/>
              </w:rPr>
              <w:t>’</w:t>
            </w:r>
            <w:r w:rsidRPr="002D02F3">
              <w:rPr>
                <w:sz w:val="16"/>
              </w:rPr>
              <w:t>élaboration d</w:t>
            </w:r>
            <w:r w:rsidR="00A20444" w:rsidRPr="002D02F3">
              <w:rPr>
                <w:sz w:val="16"/>
              </w:rPr>
              <w:t>’</w:t>
            </w:r>
            <w:r w:rsidRPr="002D02F3">
              <w:rPr>
                <w:sz w:val="16"/>
              </w:rPr>
              <w:t>une politique de propriété intellectuelle</w:t>
            </w:r>
          </w:p>
        </w:tc>
      </w:tr>
      <w:tr w:rsidR="00784E52" w:rsidRPr="00BD640D" w:rsidTr="00BB3F3E">
        <w:trPr>
          <w:cantSplit/>
        </w:trPr>
        <w:tc>
          <w:tcPr>
            <w:tcW w:w="830" w:type="pct"/>
            <w:tcBorders>
              <w:top w:val="single" w:sz="4" w:space="0" w:color="auto"/>
            </w:tcBorders>
            <w:shd w:val="clear" w:color="auto" w:fill="auto"/>
            <w:vAlign w:val="center"/>
          </w:tcPr>
          <w:p w:rsidR="00784E52" w:rsidRPr="00BD640D" w:rsidRDefault="00784E52" w:rsidP="001A5BF9">
            <w:pPr>
              <w:rPr>
                <w:rFonts w:cs="Arial"/>
                <w:b/>
                <w:sz w:val="16"/>
                <w:szCs w:val="16"/>
              </w:rPr>
            </w:pPr>
            <w:r w:rsidRPr="00BD640D">
              <w:rPr>
                <w:b/>
                <w:sz w:val="16"/>
              </w:rPr>
              <w:t>Indicateurs d</w:t>
            </w:r>
            <w:r w:rsidR="00A20444" w:rsidRPr="00BD640D">
              <w:rPr>
                <w:b/>
                <w:sz w:val="16"/>
              </w:rPr>
              <w:t>’</w:t>
            </w:r>
            <w:r w:rsidRPr="00BD640D">
              <w:rPr>
                <w:b/>
                <w:sz w:val="16"/>
              </w:rPr>
              <w:t>exécution</w:t>
            </w:r>
          </w:p>
        </w:tc>
        <w:tc>
          <w:tcPr>
            <w:tcW w:w="914" w:type="pct"/>
            <w:tcBorders>
              <w:top w:val="single" w:sz="4" w:space="0" w:color="auto"/>
            </w:tcBorders>
            <w:shd w:val="clear" w:color="auto" w:fill="auto"/>
            <w:vAlign w:val="center"/>
          </w:tcPr>
          <w:p w:rsidR="00784E52" w:rsidRPr="00BD640D" w:rsidRDefault="00784E52" w:rsidP="001A5BF9">
            <w:pPr>
              <w:rPr>
                <w:rFonts w:cs="Arial"/>
                <w:b/>
                <w:bCs/>
                <w:sz w:val="16"/>
                <w:szCs w:val="16"/>
              </w:rPr>
            </w:pPr>
            <w:r w:rsidRPr="00BD640D">
              <w:rPr>
                <w:b/>
                <w:sz w:val="16"/>
              </w:rPr>
              <w:t>Niveaux de référence</w:t>
            </w:r>
          </w:p>
        </w:tc>
        <w:tc>
          <w:tcPr>
            <w:tcW w:w="874" w:type="pct"/>
            <w:tcBorders>
              <w:top w:val="single" w:sz="4" w:space="0" w:color="auto"/>
            </w:tcBorders>
            <w:shd w:val="clear" w:color="auto" w:fill="auto"/>
            <w:tcMar>
              <w:top w:w="110" w:type="dxa"/>
            </w:tcMar>
            <w:vAlign w:val="center"/>
          </w:tcPr>
          <w:p w:rsidR="00784E52" w:rsidRPr="00BD640D" w:rsidRDefault="00784E52" w:rsidP="001A5BF9">
            <w:pPr>
              <w:rPr>
                <w:rFonts w:cs="Arial"/>
                <w:b/>
                <w:sz w:val="16"/>
                <w:szCs w:val="16"/>
              </w:rPr>
            </w:pPr>
            <w:r w:rsidRPr="00BD640D">
              <w:rPr>
                <w:b/>
                <w:sz w:val="16"/>
              </w:rPr>
              <w:t>Objectifs visés</w:t>
            </w:r>
          </w:p>
        </w:tc>
        <w:tc>
          <w:tcPr>
            <w:tcW w:w="1700" w:type="pct"/>
            <w:tcBorders>
              <w:top w:val="single" w:sz="4" w:space="0" w:color="auto"/>
            </w:tcBorders>
            <w:shd w:val="clear" w:color="auto" w:fill="FFFFFF"/>
            <w:tcMar>
              <w:top w:w="110" w:type="dxa"/>
            </w:tcMar>
            <w:vAlign w:val="center"/>
          </w:tcPr>
          <w:p w:rsidR="00784E52" w:rsidRPr="00BD640D" w:rsidRDefault="00784E52" w:rsidP="001A5BF9">
            <w:pPr>
              <w:rPr>
                <w:rFonts w:cs="Arial"/>
                <w:b/>
                <w:sz w:val="16"/>
                <w:szCs w:val="16"/>
              </w:rPr>
            </w:pPr>
            <w:r w:rsidRPr="00BD640D">
              <w:rPr>
                <w:b/>
                <w:sz w:val="16"/>
              </w:rPr>
              <w:t>Données relatives à l</w:t>
            </w:r>
            <w:r w:rsidR="00A20444" w:rsidRPr="00BD640D">
              <w:rPr>
                <w:b/>
                <w:sz w:val="16"/>
              </w:rPr>
              <w:t>’</w:t>
            </w:r>
            <w:r w:rsidRPr="00BD640D">
              <w:rPr>
                <w:b/>
                <w:sz w:val="16"/>
              </w:rPr>
              <w:t>exécution</w:t>
            </w:r>
          </w:p>
        </w:tc>
        <w:tc>
          <w:tcPr>
            <w:tcW w:w="682" w:type="pct"/>
            <w:tcBorders>
              <w:top w:val="single" w:sz="4" w:space="0" w:color="auto"/>
            </w:tcBorders>
            <w:shd w:val="clear" w:color="auto" w:fill="auto"/>
            <w:tcMar>
              <w:top w:w="110" w:type="dxa"/>
            </w:tcMar>
            <w:vAlign w:val="center"/>
          </w:tcPr>
          <w:p w:rsidR="00784E52" w:rsidRPr="00BD640D" w:rsidRDefault="00784E52" w:rsidP="001A5BF9">
            <w:pPr>
              <w:keepNext/>
              <w:keepLines/>
              <w:jc w:val="center"/>
              <w:rPr>
                <w:rFonts w:cs="Arial"/>
                <w:b/>
                <w:bCs/>
                <w:sz w:val="16"/>
                <w:szCs w:val="16"/>
              </w:rPr>
            </w:pPr>
            <w:r w:rsidRPr="00BD640D">
              <w:rPr>
                <w:b/>
                <w:sz w:val="16"/>
              </w:rPr>
              <w:t>Code de couleurs</w:t>
            </w:r>
          </w:p>
        </w:tc>
      </w:tr>
      <w:tr w:rsidR="00784E52" w:rsidRPr="005C7CCE" w:rsidTr="00BB3F3E">
        <w:trPr>
          <w:cantSplit/>
        </w:trPr>
        <w:tc>
          <w:tcPr>
            <w:tcW w:w="830" w:type="pct"/>
            <w:shd w:val="clear" w:color="auto" w:fill="auto"/>
          </w:tcPr>
          <w:p w:rsidR="00784E52" w:rsidRPr="005C7CCE" w:rsidRDefault="00784E52" w:rsidP="001A5BF9">
            <w:pPr>
              <w:rPr>
                <w:rFonts w:cs="Arial"/>
                <w:sz w:val="16"/>
                <w:szCs w:val="16"/>
              </w:rPr>
            </w:pPr>
            <w:r w:rsidRPr="005C7CCE">
              <w:rPr>
                <w:sz w:val="16"/>
              </w:rPr>
              <w:t>Nombre de citations dans les publications économiques et les rapports d</w:t>
            </w:r>
            <w:r w:rsidR="00A20444" w:rsidRPr="005C7CCE">
              <w:rPr>
                <w:sz w:val="16"/>
              </w:rPr>
              <w:t>’</w:t>
            </w:r>
            <w:r w:rsidRPr="005C7CCE">
              <w:rPr>
                <w:sz w:val="16"/>
              </w:rPr>
              <w:t>orientation des pouvoirs publics</w:t>
            </w:r>
          </w:p>
        </w:tc>
        <w:tc>
          <w:tcPr>
            <w:tcW w:w="914" w:type="pct"/>
            <w:shd w:val="clear" w:color="auto" w:fill="auto"/>
          </w:tcPr>
          <w:p w:rsidR="00D42474" w:rsidRDefault="00784E52" w:rsidP="001A5BF9">
            <w:pPr>
              <w:rPr>
                <w:i/>
                <w:color w:val="002060"/>
                <w:sz w:val="16"/>
              </w:rPr>
            </w:pPr>
            <w:r w:rsidRPr="005C7CCE">
              <w:rPr>
                <w:i/>
                <w:color w:val="002060"/>
                <w:sz w:val="16"/>
              </w:rPr>
              <w:t>Niveau de référence actualisé fin 2011 :</w:t>
            </w:r>
          </w:p>
          <w:p w:rsidR="00D42474" w:rsidRDefault="00BD640D" w:rsidP="001A5BF9">
            <w:pPr>
              <w:rPr>
                <w:rFonts w:cs="Arial"/>
                <w:color w:val="002060"/>
                <w:sz w:val="16"/>
                <w:szCs w:val="16"/>
                <w:lang w:bidi="th-TH"/>
              </w:rPr>
            </w:pPr>
            <w:r w:rsidRPr="00BD640D">
              <w:rPr>
                <w:color w:val="002060"/>
                <w:sz w:val="16"/>
              </w:rPr>
              <w:t>l</w:t>
            </w:r>
            <w:r w:rsidR="00784E52" w:rsidRPr="00BD640D">
              <w:rPr>
                <w:color w:val="002060"/>
                <w:sz w:val="16"/>
              </w:rPr>
              <w:t xml:space="preserve">e premier rapport sur la propriété intellectuelle dans le monde a été publié en </w:t>
            </w:r>
            <w:r w:rsidR="00A20444" w:rsidRPr="00BD640D">
              <w:rPr>
                <w:color w:val="002060"/>
                <w:sz w:val="16"/>
              </w:rPr>
              <w:t>novembre 20</w:t>
            </w:r>
            <w:r w:rsidR="00784E52" w:rsidRPr="00BD640D">
              <w:rPr>
                <w:color w:val="002060"/>
                <w:sz w:val="16"/>
              </w:rPr>
              <w:t>11, ce pour quoi il est trop tôt pour compter les citations à partir de fin 2011</w:t>
            </w:r>
          </w:p>
          <w:p w:rsidR="00D42474" w:rsidRDefault="00D42474" w:rsidP="001A5BF9">
            <w:pPr>
              <w:rPr>
                <w:rFonts w:cs="Arial"/>
                <w:i/>
                <w:color w:val="002060"/>
                <w:sz w:val="8"/>
                <w:szCs w:val="8"/>
              </w:rPr>
            </w:pPr>
          </w:p>
          <w:p w:rsidR="00D42474"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
          <w:p w:rsidR="00784E52" w:rsidRPr="005C7CCE" w:rsidRDefault="00BD640D" w:rsidP="001A5BF9">
            <w:pPr>
              <w:rPr>
                <w:rFonts w:cs="Arial"/>
                <w:sz w:val="16"/>
                <w:szCs w:val="16"/>
              </w:rPr>
            </w:pPr>
            <w:r w:rsidRPr="00BD640D">
              <w:rPr>
                <w:sz w:val="16"/>
              </w:rPr>
              <w:t>c</w:t>
            </w:r>
            <w:r w:rsidR="00784E52" w:rsidRPr="00BD640D">
              <w:rPr>
                <w:sz w:val="16"/>
              </w:rPr>
              <w:t>ompte tenu de la nouveauté du programme, un niveau de référence n</w:t>
            </w:r>
            <w:r w:rsidR="00A20444" w:rsidRPr="00BD640D">
              <w:rPr>
                <w:sz w:val="16"/>
              </w:rPr>
              <w:t>’</w:t>
            </w:r>
            <w:r w:rsidR="00784E52" w:rsidRPr="00BD640D">
              <w:rPr>
                <w:sz w:val="16"/>
              </w:rPr>
              <w:t>est pas disponible</w:t>
            </w:r>
          </w:p>
        </w:tc>
        <w:tc>
          <w:tcPr>
            <w:tcW w:w="874" w:type="pct"/>
            <w:shd w:val="clear" w:color="auto" w:fill="auto"/>
            <w:tcMar>
              <w:top w:w="110" w:type="dxa"/>
            </w:tcMar>
          </w:tcPr>
          <w:p w:rsidR="00784E52" w:rsidRPr="00BD640D" w:rsidRDefault="00784E52" w:rsidP="001A5BF9">
            <w:pPr>
              <w:autoSpaceDE w:val="0"/>
              <w:autoSpaceDN w:val="0"/>
              <w:adjustRightInd w:val="0"/>
              <w:rPr>
                <w:rFonts w:ascii="ArialMT" w:hAnsi="ArialMT" w:cs="ArialMT"/>
                <w:sz w:val="16"/>
                <w:szCs w:val="16"/>
              </w:rPr>
            </w:pPr>
            <w:r w:rsidRPr="00BD640D">
              <w:rPr>
                <w:rFonts w:ascii="ArialMT" w:hAnsi="ArialMT"/>
                <w:sz w:val="16"/>
              </w:rPr>
              <w:t>Compte tenu de la nouveauté du programme, impossible d</w:t>
            </w:r>
            <w:r w:rsidR="00A20444" w:rsidRPr="00BD640D">
              <w:rPr>
                <w:rFonts w:ascii="ArialMT" w:hAnsi="ArialMT"/>
                <w:sz w:val="16"/>
              </w:rPr>
              <w:t>’</w:t>
            </w:r>
            <w:r w:rsidRPr="00BD640D">
              <w:rPr>
                <w:rFonts w:ascii="ArialMT" w:hAnsi="ArialMT"/>
                <w:sz w:val="16"/>
              </w:rPr>
              <w:t>établir des objectifs significatifs</w:t>
            </w:r>
          </w:p>
        </w:tc>
        <w:tc>
          <w:tcPr>
            <w:tcW w:w="1700" w:type="pct"/>
            <w:shd w:val="clear" w:color="auto" w:fill="FFFFFF"/>
            <w:tcMar>
              <w:top w:w="110" w:type="dxa"/>
            </w:tcMar>
          </w:tcPr>
          <w:p w:rsidR="00D42474" w:rsidRDefault="00784E52" w:rsidP="001A5BF9">
            <w:pPr>
              <w:rPr>
                <w:sz w:val="16"/>
              </w:rPr>
            </w:pPr>
            <w:r w:rsidRPr="005C7CCE">
              <w:rPr>
                <w:sz w:val="16"/>
              </w:rPr>
              <w:t>En 2013, les deux</w:t>
            </w:r>
            <w:r w:rsidR="0010442A" w:rsidRPr="005C7CCE">
              <w:rPr>
                <w:sz w:val="16"/>
              </w:rPr>
              <w:t> </w:t>
            </w:r>
            <w:r w:rsidRPr="005C7CCE">
              <w:rPr>
                <w:sz w:val="16"/>
              </w:rPr>
              <w:t>éditions (2011 et 2013) du Rapport mondial sur la propriété intellectuelle de l</w:t>
            </w:r>
            <w:r w:rsidR="00A20444" w:rsidRPr="005C7CCE">
              <w:rPr>
                <w:sz w:val="16"/>
              </w:rPr>
              <w:t>’</w:t>
            </w:r>
            <w:r w:rsidRPr="005C7CCE">
              <w:rPr>
                <w:sz w:val="16"/>
              </w:rPr>
              <w:t>OMPI (publication n° 944)</w:t>
            </w:r>
            <w:r w:rsidRPr="005C7CCE">
              <w:rPr>
                <w:rStyle w:val="FootnoteReference"/>
                <w:sz w:val="16"/>
              </w:rPr>
              <w:footnoteReference w:id="35"/>
            </w:r>
            <w:r w:rsidRPr="005C7CCE">
              <w:rPr>
                <w:sz w:val="16"/>
              </w:rPr>
              <w:t xml:space="preserve"> ont été téléchargées, cumulativement, 17 536 fois.</w:t>
            </w:r>
          </w:p>
          <w:p w:rsidR="00D42474" w:rsidRDefault="00D42474" w:rsidP="001A5BF9">
            <w:pPr>
              <w:rPr>
                <w:rFonts w:cs="Arial"/>
                <w:sz w:val="16"/>
                <w:szCs w:val="16"/>
                <w:lang w:bidi="th-TH"/>
              </w:rPr>
            </w:pPr>
          </w:p>
          <w:p w:rsidR="00784E52" w:rsidRPr="005C7CCE" w:rsidRDefault="00784E52" w:rsidP="001A5BF9">
            <w:pPr>
              <w:rPr>
                <w:rFonts w:cs="Arial"/>
                <w:sz w:val="16"/>
                <w:szCs w:val="16"/>
                <w:lang w:bidi="th-TH"/>
              </w:rPr>
            </w:pPr>
            <w:r w:rsidRPr="005C7CCE">
              <w:rPr>
                <w:sz w:val="16"/>
              </w:rPr>
              <w:t>Le second Rapport mondial sur la propriété intellectuelle de l</w:t>
            </w:r>
            <w:r w:rsidR="00A20444" w:rsidRPr="005C7CCE">
              <w:rPr>
                <w:sz w:val="16"/>
              </w:rPr>
              <w:t>’</w:t>
            </w:r>
            <w:r w:rsidRPr="005C7CCE">
              <w:rPr>
                <w:sz w:val="16"/>
              </w:rPr>
              <w:t>OMPI a été publié en novembre 2013.</w:t>
            </w:r>
          </w:p>
        </w:tc>
        <w:tc>
          <w:tcPr>
            <w:tcW w:w="682" w:type="pct"/>
            <w:shd w:val="clear" w:color="auto" w:fill="auto"/>
            <w:tcMar>
              <w:top w:w="110" w:type="dxa"/>
            </w:tcMar>
          </w:tcPr>
          <w:p w:rsidR="00784E52" w:rsidRPr="005C7CCE" w:rsidRDefault="00784E52" w:rsidP="001A5BF9">
            <w:pPr>
              <w:keepNext/>
              <w:keepLines/>
              <w:jc w:val="center"/>
              <w:rPr>
                <w:rFonts w:cs="Arial"/>
                <w:bCs/>
                <w:color w:val="595959"/>
                <w:sz w:val="16"/>
                <w:szCs w:val="16"/>
              </w:rPr>
            </w:pPr>
            <w:r w:rsidRPr="005C7CCE">
              <w:rPr>
                <w:color w:val="595959"/>
                <w:sz w:val="16"/>
              </w:rPr>
              <w:t>Non évaluable</w:t>
            </w:r>
          </w:p>
        </w:tc>
      </w:tr>
      <w:tr w:rsidR="00784E52" w:rsidRPr="005C7CCE" w:rsidTr="00BB3F3E">
        <w:trPr>
          <w:cantSplit/>
        </w:trPr>
        <w:tc>
          <w:tcPr>
            <w:tcW w:w="830" w:type="pct"/>
            <w:shd w:val="clear" w:color="auto" w:fill="auto"/>
          </w:tcPr>
          <w:p w:rsidR="00784E52" w:rsidRPr="005C7CCE" w:rsidRDefault="00784E52" w:rsidP="001A5BF9">
            <w:pPr>
              <w:rPr>
                <w:rFonts w:cs="Arial"/>
                <w:sz w:val="16"/>
                <w:szCs w:val="16"/>
              </w:rPr>
            </w:pPr>
            <w:r w:rsidRPr="005C7CCE">
              <w:rPr>
                <w:sz w:val="16"/>
              </w:rPr>
              <w:t>Nombre de pays en développement jugeant utiles les études économiques de l</w:t>
            </w:r>
            <w:r w:rsidR="00A20444" w:rsidRPr="005C7CCE">
              <w:rPr>
                <w:sz w:val="16"/>
              </w:rPr>
              <w:t>’</w:t>
            </w:r>
            <w:r w:rsidRPr="005C7CCE">
              <w:rPr>
                <w:sz w:val="16"/>
              </w:rPr>
              <w:t>OMPI et degré d</w:t>
            </w:r>
            <w:r w:rsidR="00A20444" w:rsidRPr="005C7CCE">
              <w:rPr>
                <w:sz w:val="16"/>
              </w:rPr>
              <w:t>’</w:t>
            </w:r>
            <w:r w:rsidRPr="005C7CCE">
              <w:rPr>
                <w:sz w:val="16"/>
              </w:rPr>
              <w:t>utilité</w:t>
            </w:r>
          </w:p>
        </w:tc>
        <w:tc>
          <w:tcPr>
            <w:tcW w:w="914" w:type="pct"/>
            <w:shd w:val="clear" w:color="auto" w:fill="auto"/>
          </w:tcPr>
          <w:p w:rsidR="00D42474" w:rsidRDefault="00784E52" w:rsidP="001A5BF9">
            <w:pPr>
              <w:rPr>
                <w:i/>
                <w:color w:val="002060"/>
                <w:sz w:val="16"/>
              </w:rPr>
            </w:pPr>
            <w:r w:rsidRPr="005C7CCE">
              <w:rPr>
                <w:i/>
                <w:color w:val="002060"/>
                <w:sz w:val="16"/>
              </w:rPr>
              <w:t>Niveau de référence actualisé fin 2011 :</w:t>
            </w:r>
          </w:p>
          <w:p w:rsidR="00D42474" w:rsidRDefault="00BD640D" w:rsidP="001A5BF9">
            <w:pPr>
              <w:rPr>
                <w:rFonts w:cs="Arial"/>
                <w:i/>
                <w:color w:val="002060"/>
                <w:sz w:val="16"/>
                <w:szCs w:val="16"/>
              </w:rPr>
            </w:pPr>
            <w:r>
              <w:rPr>
                <w:i/>
                <w:color w:val="002060"/>
                <w:sz w:val="16"/>
              </w:rPr>
              <w:t>é</w:t>
            </w:r>
            <w:r w:rsidR="00784E52" w:rsidRPr="00BD640D">
              <w:rPr>
                <w:i/>
                <w:color w:val="002060"/>
                <w:sz w:val="16"/>
              </w:rPr>
              <w:t>tant donné que les études des pays en développement ne seront achevées qu</w:t>
            </w:r>
            <w:r w:rsidR="00A20444" w:rsidRPr="00BD640D">
              <w:rPr>
                <w:i/>
                <w:color w:val="002060"/>
                <w:sz w:val="16"/>
              </w:rPr>
              <w:t>’</w:t>
            </w:r>
            <w:r w:rsidR="00784E52" w:rsidRPr="00BD640D">
              <w:rPr>
                <w:i/>
                <w:color w:val="002060"/>
                <w:sz w:val="16"/>
              </w:rPr>
              <w:t>en</w:t>
            </w:r>
            <w:r w:rsidR="0010442A" w:rsidRPr="00BD640D">
              <w:rPr>
                <w:i/>
                <w:color w:val="002060"/>
                <w:sz w:val="16"/>
              </w:rPr>
              <w:t> </w:t>
            </w:r>
            <w:r w:rsidR="00784E52" w:rsidRPr="00BD640D">
              <w:rPr>
                <w:i/>
                <w:color w:val="002060"/>
                <w:sz w:val="16"/>
              </w:rPr>
              <w:t>2013, aucun niveau de référence n</w:t>
            </w:r>
            <w:r w:rsidR="00A20444" w:rsidRPr="00BD640D">
              <w:rPr>
                <w:i/>
                <w:color w:val="002060"/>
                <w:sz w:val="16"/>
              </w:rPr>
              <w:t>’</w:t>
            </w:r>
            <w:r w:rsidR="00784E52" w:rsidRPr="00BD640D">
              <w:rPr>
                <w:i/>
                <w:color w:val="002060"/>
                <w:sz w:val="16"/>
              </w:rPr>
              <w:t>est disponible.</w:t>
            </w:r>
          </w:p>
          <w:p w:rsidR="00D42474" w:rsidRDefault="00D42474" w:rsidP="001A5BF9">
            <w:pPr>
              <w:rPr>
                <w:rFonts w:cs="Arial"/>
                <w:i/>
                <w:sz w:val="8"/>
                <w:szCs w:val="8"/>
              </w:rPr>
            </w:pPr>
          </w:p>
          <w:p w:rsidR="00784E52" w:rsidRPr="005C7CCE" w:rsidRDefault="00784E52" w:rsidP="001A5BF9">
            <w:pPr>
              <w:autoSpaceDE w:val="0"/>
              <w:autoSpaceDN w:val="0"/>
              <w:adjustRightInd w:val="0"/>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p>
        </w:tc>
        <w:tc>
          <w:tcPr>
            <w:tcW w:w="874" w:type="pct"/>
            <w:shd w:val="clear" w:color="auto" w:fill="auto"/>
            <w:tcMar>
              <w:top w:w="110" w:type="dxa"/>
            </w:tcMar>
          </w:tcPr>
          <w:p w:rsidR="00784E52" w:rsidRPr="00BD640D" w:rsidRDefault="00784E52" w:rsidP="001A5BF9">
            <w:pPr>
              <w:autoSpaceDE w:val="0"/>
              <w:autoSpaceDN w:val="0"/>
              <w:adjustRightInd w:val="0"/>
              <w:rPr>
                <w:rFonts w:ascii="ArialMT" w:hAnsi="ArialMT" w:cs="ArialMT"/>
                <w:sz w:val="16"/>
                <w:szCs w:val="16"/>
              </w:rPr>
            </w:pPr>
            <w:r w:rsidRPr="00BD640D">
              <w:rPr>
                <w:rFonts w:ascii="ArialMT" w:hAnsi="ArialMT"/>
                <w:sz w:val="16"/>
              </w:rPr>
              <w:t>Compte tenu de la nouveauté du programme, impossible d</w:t>
            </w:r>
            <w:r w:rsidR="00A20444" w:rsidRPr="00BD640D">
              <w:rPr>
                <w:rFonts w:ascii="ArialMT" w:hAnsi="ArialMT"/>
                <w:sz w:val="16"/>
              </w:rPr>
              <w:t>’</w:t>
            </w:r>
            <w:r w:rsidRPr="00BD640D">
              <w:rPr>
                <w:rFonts w:ascii="ArialMT" w:hAnsi="ArialMT"/>
                <w:sz w:val="16"/>
              </w:rPr>
              <w:t>établir des objectifs significatifs</w:t>
            </w:r>
          </w:p>
        </w:tc>
        <w:tc>
          <w:tcPr>
            <w:tcW w:w="1700" w:type="pct"/>
            <w:shd w:val="clear" w:color="auto" w:fill="FFFFFF"/>
            <w:tcMar>
              <w:top w:w="110" w:type="dxa"/>
            </w:tcMar>
          </w:tcPr>
          <w:p w:rsidR="00D42474" w:rsidRDefault="00784E52" w:rsidP="001A5BF9">
            <w:pPr>
              <w:rPr>
                <w:sz w:val="16"/>
              </w:rPr>
            </w:pPr>
            <w:r w:rsidRPr="005C7CCE">
              <w:rPr>
                <w:sz w:val="16"/>
              </w:rPr>
              <w:t>Les six projets relatifs aux études de pays se sont achevés avant la fin de 2013.</w:t>
            </w:r>
          </w:p>
          <w:p w:rsidR="00D42474" w:rsidRDefault="00784E52" w:rsidP="001A5BF9">
            <w:pPr>
              <w:pStyle w:val="Paragraphedeliste"/>
              <w:numPr>
                <w:ilvl w:val="0"/>
                <w:numId w:val="47"/>
              </w:numPr>
              <w:rPr>
                <w:sz w:val="16"/>
              </w:rPr>
            </w:pPr>
            <w:r w:rsidRPr="005C7CCE">
              <w:rPr>
                <w:sz w:val="16"/>
              </w:rPr>
              <w:t>Trois études ont été présentées à la onzième session</w:t>
            </w:r>
            <w:r w:rsidR="00A20444" w:rsidRPr="005C7CCE">
              <w:rPr>
                <w:sz w:val="16"/>
              </w:rPr>
              <w:t xml:space="preserve"> du CDI</w:t>
            </w:r>
            <w:r w:rsidRPr="005C7CCE">
              <w:rPr>
                <w:sz w:val="16"/>
              </w:rPr>
              <w:t>P</w:t>
            </w:r>
          </w:p>
          <w:p w:rsidR="00D42474" w:rsidRDefault="00784E52" w:rsidP="001A5BF9">
            <w:pPr>
              <w:pStyle w:val="Paragraphedeliste"/>
              <w:numPr>
                <w:ilvl w:val="0"/>
                <w:numId w:val="47"/>
              </w:numPr>
              <w:rPr>
                <w:sz w:val="16"/>
              </w:rPr>
            </w:pPr>
            <w:r w:rsidRPr="005C7CCE">
              <w:rPr>
                <w:sz w:val="16"/>
              </w:rPr>
              <w:t>Une étude a été présentée à la douzième session</w:t>
            </w:r>
            <w:r w:rsidR="00A20444" w:rsidRPr="005C7CCE">
              <w:rPr>
                <w:sz w:val="16"/>
              </w:rPr>
              <w:t xml:space="preserve"> du CDI</w:t>
            </w:r>
            <w:r w:rsidRPr="005C7CCE">
              <w:rPr>
                <w:sz w:val="16"/>
              </w:rPr>
              <w:t>P</w:t>
            </w:r>
          </w:p>
          <w:p w:rsidR="00784E52" w:rsidRPr="005C7CCE" w:rsidRDefault="00784E52" w:rsidP="001A5BF9">
            <w:pPr>
              <w:pStyle w:val="Paragraphedeliste"/>
              <w:numPr>
                <w:ilvl w:val="0"/>
                <w:numId w:val="47"/>
              </w:numPr>
            </w:pPr>
            <w:r w:rsidRPr="005C7CCE">
              <w:rPr>
                <w:sz w:val="16"/>
              </w:rPr>
              <w:t>Deux études, qui se sont achevées fin 2013, seront présentées à la treizième session</w:t>
            </w:r>
            <w:r w:rsidR="00A20444" w:rsidRPr="005C7CCE">
              <w:rPr>
                <w:sz w:val="16"/>
              </w:rPr>
              <w:t xml:space="preserve"> du CDI</w:t>
            </w:r>
            <w:r w:rsidRPr="005C7CCE">
              <w:rPr>
                <w:sz w:val="16"/>
              </w:rPr>
              <w:t>P</w:t>
            </w:r>
          </w:p>
        </w:tc>
        <w:tc>
          <w:tcPr>
            <w:tcW w:w="682" w:type="pct"/>
            <w:shd w:val="clear" w:color="auto" w:fill="auto"/>
            <w:tcMar>
              <w:top w:w="110" w:type="dxa"/>
            </w:tcMar>
          </w:tcPr>
          <w:p w:rsidR="00784E52" w:rsidRPr="005C7CCE" w:rsidRDefault="00784E52" w:rsidP="001A5BF9">
            <w:pPr>
              <w:keepNext/>
              <w:keepLines/>
              <w:jc w:val="center"/>
              <w:rPr>
                <w:rFonts w:cs="Arial"/>
                <w:bCs/>
                <w:color w:val="595959"/>
                <w:sz w:val="16"/>
                <w:szCs w:val="16"/>
              </w:rPr>
            </w:pPr>
            <w:r w:rsidRPr="005C7CCE">
              <w:rPr>
                <w:color w:val="595959"/>
                <w:sz w:val="16"/>
              </w:rPr>
              <w:t>Non évaluable</w:t>
            </w:r>
          </w:p>
        </w:tc>
      </w:tr>
    </w:tbl>
    <w:p w:rsidR="00D42474" w:rsidRDefault="00D42474" w:rsidP="001A5BF9">
      <w:pPr>
        <w:rPr>
          <w:rFonts w:cs="Arial"/>
          <w:szCs w:val="22"/>
        </w:rPr>
      </w:pPr>
    </w:p>
    <w:p w:rsidR="00D42474" w:rsidRDefault="00784E52" w:rsidP="001A5BF9">
      <w:pPr>
        <w:rPr>
          <w:rFonts w:cs="Arial"/>
          <w:szCs w:val="22"/>
        </w:rPr>
      </w:pPr>
      <w:r w:rsidRPr="005C7CCE">
        <w:br w:type="page"/>
      </w:r>
    </w:p>
    <w:p w:rsidR="00D42474" w:rsidRDefault="00784E52" w:rsidP="001A5BF9">
      <w:pPr>
        <w:rPr>
          <w:sz w:val="22"/>
          <w:szCs w:val="22"/>
        </w:rPr>
      </w:pPr>
      <w:r w:rsidRPr="00BD640D">
        <w:rPr>
          <w:sz w:val="22"/>
          <w:szCs w:val="22"/>
        </w:rPr>
        <w:t>BUDGET ET DÉPENSES EFFECTIVES</w:t>
      </w:r>
    </w:p>
    <w:p w:rsidR="00D42474" w:rsidRDefault="00D42474" w:rsidP="001A5BF9">
      <w:pPr>
        <w:rPr>
          <w:rFonts w:cs="Arial"/>
          <w:szCs w:val="22"/>
        </w:rPr>
      </w:pPr>
    </w:p>
    <w:p w:rsidR="00D42474" w:rsidRDefault="00784E52" w:rsidP="001A5BF9">
      <w:pPr>
        <w:jc w:val="center"/>
      </w:pPr>
      <w:r w:rsidRPr="002D02F3">
        <w:t>Budget et dépenses effectives (par résultat)</w:t>
      </w:r>
    </w:p>
    <w:p w:rsidR="00D42474" w:rsidRDefault="00784E52" w:rsidP="001A5BF9">
      <w:pPr>
        <w:jc w:val="center"/>
        <w:rPr>
          <w:rFonts w:cs="Arial"/>
          <w:szCs w:val="20"/>
        </w:rPr>
      </w:pPr>
      <w:r w:rsidRPr="002D02F3">
        <w:rPr>
          <w:i/>
        </w:rPr>
        <w:t>(</w:t>
      </w:r>
      <w:proofErr w:type="gramStart"/>
      <w:r w:rsidRPr="002D02F3">
        <w:rPr>
          <w:i/>
        </w:rPr>
        <w:t>en</w:t>
      </w:r>
      <w:proofErr w:type="gramEnd"/>
      <w:r w:rsidRPr="002D02F3">
        <w:rPr>
          <w:i/>
        </w:rPr>
        <w:t xml:space="preserve"> milliers de francs suisses)</w:t>
      </w:r>
    </w:p>
    <w:p w:rsidR="00784E52" w:rsidRPr="002D02F3" w:rsidRDefault="00784E52" w:rsidP="001A5BF9"/>
    <w:tbl>
      <w:tblPr>
        <w:tblW w:w="0" w:type="auto"/>
        <w:tblInd w:w="103" w:type="dxa"/>
        <w:tblLayout w:type="fixed"/>
        <w:tblLook w:val="04A0" w:firstRow="1" w:lastRow="0" w:firstColumn="1" w:lastColumn="0" w:noHBand="0" w:noVBand="1"/>
      </w:tblPr>
      <w:tblGrid>
        <w:gridCol w:w="546"/>
        <w:gridCol w:w="4279"/>
        <w:gridCol w:w="1559"/>
        <w:gridCol w:w="1559"/>
        <w:gridCol w:w="1418"/>
      </w:tblGrid>
      <w:tr w:rsidR="00784E52" w:rsidRPr="002D02F3" w:rsidTr="00BB3F3E">
        <w:tc>
          <w:tcPr>
            <w:tcW w:w="4825"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2D02F3" w:rsidRDefault="00784E52" w:rsidP="001A5BF9">
            <w:pPr>
              <w:spacing w:before="120" w:after="120"/>
              <w:jc w:val="center"/>
              <w:rPr>
                <w:rFonts w:cs="Arial"/>
                <w:bCs/>
                <w:sz w:val="16"/>
                <w:szCs w:val="16"/>
              </w:rPr>
            </w:pPr>
            <w:r w:rsidRPr="002D02F3">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784E52" w:rsidRPr="002D02F3" w:rsidTr="00BB3F3E">
        <w:tc>
          <w:tcPr>
            <w:tcW w:w="546" w:type="dxa"/>
            <w:tcBorders>
              <w:top w:val="nil"/>
              <w:left w:val="single" w:sz="4" w:space="0" w:color="auto"/>
              <w:bottom w:val="nil"/>
              <w:right w:val="nil"/>
            </w:tcBorders>
            <w:shd w:val="clear" w:color="000000" w:fill="FFFFFF"/>
            <w:noWrap/>
          </w:tcPr>
          <w:p w:rsidR="00784E52" w:rsidRPr="002D02F3" w:rsidRDefault="00784E52" w:rsidP="001A5BF9">
            <w:pPr>
              <w:spacing w:before="120"/>
              <w:jc w:val="center"/>
              <w:rPr>
                <w:rFonts w:cs="Arial"/>
                <w:sz w:val="16"/>
                <w:szCs w:val="16"/>
              </w:rPr>
            </w:pPr>
            <w:proofErr w:type="spellStart"/>
            <w:r w:rsidRPr="002D02F3">
              <w:rPr>
                <w:sz w:val="16"/>
              </w:rPr>
              <w:t>III.6</w:t>
            </w:r>
            <w:proofErr w:type="spellEnd"/>
          </w:p>
        </w:tc>
        <w:tc>
          <w:tcPr>
            <w:tcW w:w="4279" w:type="dxa"/>
            <w:tcBorders>
              <w:top w:val="nil"/>
              <w:left w:val="nil"/>
              <w:bottom w:val="nil"/>
              <w:right w:val="nil"/>
            </w:tcBorders>
            <w:shd w:val="clear" w:color="000000" w:fill="FFFFFF"/>
          </w:tcPr>
          <w:p w:rsidR="00784E52" w:rsidRPr="002D02F3" w:rsidRDefault="00784E52" w:rsidP="001A5BF9">
            <w:pPr>
              <w:spacing w:before="120"/>
              <w:rPr>
                <w:rFonts w:cs="Arial"/>
                <w:sz w:val="16"/>
                <w:szCs w:val="16"/>
              </w:rPr>
            </w:pPr>
            <w:r w:rsidRPr="002D02F3">
              <w:rPr>
                <w:sz w:val="16"/>
              </w:rPr>
              <w:t>Principes du Plan d</w:t>
            </w:r>
            <w:r w:rsidR="00A20444" w:rsidRPr="002D02F3">
              <w:rPr>
                <w:sz w:val="16"/>
              </w:rPr>
              <w:t>’</w:t>
            </w:r>
            <w:r w:rsidRPr="002D02F3">
              <w:rPr>
                <w:sz w:val="16"/>
              </w:rPr>
              <w:t>action pour le développement intégrés dans les programmes et activités de l</w:t>
            </w:r>
            <w:r w:rsidR="00A20444" w:rsidRPr="002D02F3">
              <w:rPr>
                <w:sz w:val="16"/>
              </w:rPr>
              <w:t>’</w:t>
            </w:r>
            <w:r w:rsidRPr="002D02F3">
              <w:rPr>
                <w:sz w:val="16"/>
              </w:rPr>
              <w:t>Organisation</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276</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345</w:t>
            </w:r>
          </w:p>
        </w:tc>
        <w:tc>
          <w:tcPr>
            <w:tcW w:w="1418" w:type="dxa"/>
            <w:tcBorders>
              <w:top w:val="nil"/>
              <w:left w:val="nil"/>
              <w:bottom w:val="nil"/>
              <w:right w:val="single" w:sz="4" w:space="0" w:color="auto"/>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334</w:t>
            </w:r>
          </w:p>
        </w:tc>
      </w:tr>
      <w:tr w:rsidR="00784E52" w:rsidRPr="002D02F3" w:rsidTr="00BB3F3E">
        <w:tc>
          <w:tcPr>
            <w:tcW w:w="546" w:type="dxa"/>
            <w:tcBorders>
              <w:top w:val="nil"/>
              <w:left w:val="single" w:sz="4" w:space="0" w:color="auto"/>
              <w:bottom w:val="nil"/>
              <w:right w:val="nil"/>
            </w:tcBorders>
            <w:shd w:val="clear" w:color="000000" w:fill="FFFFFF"/>
            <w:noWrap/>
          </w:tcPr>
          <w:p w:rsidR="00784E52" w:rsidRPr="002D02F3" w:rsidRDefault="00784E52" w:rsidP="001A5BF9">
            <w:pPr>
              <w:spacing w:before="120"/>
              <w:jc w:val="center"/>
              <w:rPr>
                <w:rFonts w:cs="Arial"/>
                <w:sz w:val="16"/>
                <w:szCs w:val="16"/>
              </w:rPr>
            </w:pPr>
            <w:proofErr w:type="spellStart"/>
            <w:r w:rsidRPr="002D02F3">
              <w:rPr>
                <w:sz w:val="16"/>
              </w:rPr>
              <w:t>V.1</w:t>
            </w:r>
            <w:proofErr w:type="spellEnd"/>
          </w:p>
        </w:tc>
        <w:tc>
          <w:tcPr>
            <w:tcW w:w="4279" w:type="dxa"/>
            <w:tcBorders>
              <w:top w:val="nil"/>
              <w:left w:val="nil"/>
              <w:bottom w:val="nil"/>
              <w:right w:val="nil"/>
            </w:tcBorders>
            <w:shd w:val="clear" w:color="000000" w:fill="FFFFFF"/>
          </w:tcPr>
          <w:p w:rsidR="00784E52" w:rsidRPr="002D02F3" w:rsidRDefault="00784E52" w:rsidP="001A5BF9">
            <w:pPr>
              <w:spacing w:before="120"/>
              <w:rPr>
                <w:rFonts w:cs="Arial"/>
                <w:sz w:val="16"/>
                <w:szCs w:val="16"/>
              </w:rPr>
            </w:pPr>
            <w:r w:rsidRPr="002D02F3">
              <w:rPr>
                <w:sz w:val="16"/>
              </w:rPr>
              <w:t>Utilisation accrue de l</w:t>
            </w:r>
            <w:r w:rsidR="00A20444" w:rsidRPr="002D02F3">
              <w:rPr>
                <w:sz w:val="16"/>
              </w:rPr>
              <w:t>’</w:t>
            </w:r>
            <w:r w:rsidRPr="002D02F3">
              <w:rPr>
                <w:sz w:val="16"/>
              </w:rPr>
              <w:t>information statistique de l</w:t>
            </w:r>
            <w:r w:rsidR="00A20444" w:rsidRPr="002D02F3">
              <w:rPr>
                <w:sz w:val="16"/>
              </w:rPr>
              <w:t>’</w:t>
            </w:r>
            <w:r w:rsidRPr="002D02F3">
              <w:rPr>
                <w:sz w:val="16"/>
              </w:rPr>
              <w:t>OMPI concernant le fonctionnement du système international de la propriété intellectuelle</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1 569</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1 763</w:t>
            </w:r>
          </w:p>
        </w:tc>
        <w:tc>
          <w:tcPr>
            <w:tcW w:w="1418" w:type="dxa"/>
            <w:tcBorders>
              <w:top w:val="nil"/>
              <w:left w:val="nil"/>
              <w:bottom w:val="nil"/>
              <w:right w:val="single" w:sz="4" w:space="0" w:color="auto"/>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1 748</w:t>
            </w:r>
          </w:p>
        </w:tc>
      </w:tr>
      <w:tr w:rsidR="00784E52" w:rsidRPr="002D02F3" w:rsidTr="00BB3F3E">
        <w:tc>
          <w:tcPr>
            <w:tcW w:w="546" w:type="dxa"/>
            <w:tcBorders>
              <w:top w:val="nil"/>
              <w:left w:val="single" w:sz="4" w:space="0" w:color="auto"/>
              <w:bottom w:val="nil"/>
              <w:right w:val="nil"/>
            </w:tcBorders>
            <w:shd w:val="clear" w:color="000000" w:fill="FFFFFF"/>
            <w:noWrap/>
          </w:tcPr>
          <w:p w:rsidR="00784E52" w:rsidRPr="002D02F3" w:rsidRDefault="00784E52" w:rsidP="001A5BF9">
            <w:pPr>
              <w:spacing w:before="120"/>
              <w:jc w:val="center"/>
              <w:rPr>
                <w:rFonts w:cs="Arial"/>
                <w:sz w:val="16"/>
                <w:szCs w:val="16"/>
              </w:rPr>
            </w:pPr>
            <w:proofErr w:type="spellStart"/>
            <w:r w:rsidRPr="002D02F3">
              <w:rPr>
                <w:sz w:val="16"/>
              </w:rPr>
              <w:t>V.2</w:t>
            </w:r>
            <w:proofErr w:type="spellEnd"/>
          </w:p>
        </w:tc>
        <w:tc>
          <w:tcPr>
            <w:tcW w:w="4279" w:type="dxa"/>
            <w:tcBorders>
              <w:top w:val="nil"/>
              <w:left w:val="nil"/>
              <w:bottom w:val="nil"/>
              <w:right w:val="nil"/>
            </w:tcBorders>
            <w:shd w:val="clear" w:color="000000" w:fill="FFFFFF"/>
          </w:tcPr>
          <w:p w:rsidR="00784E52" w:rsidRPr="002D02F3" w:rsidRDefault="00784E52" w:rsidP="001A5BF9">
            <w:pPr>
              <w:spacing w:before="120"/>
              <w:rPr>
                <w:rFonts w:cs="Arial"/>
                <w:sz w:val="16"/>
                <w:szCs w:val="16"/>
              </w:rPr>
            </w:pPr>
            <w:r w:rsidRPr="002D02F3">
              <w:rPr>
                <w:sz w:val="16"/>
              </w:rPr>
              <w:t>Utilisation d</w:t>
            </w:r>
            <w:r w:rsidR="00A20444" w:rsidRPr="002D02F3">
              <w:rPr>
                <w:sz w:val="16"/>
              </w:rPr>
              <w:t>’</w:t>
            </w:r>
            <w:r w:rsidRPr="002D02F3">
              <w:rPr>
                <w:sz w:val="16"/>
              </w:rPr>
              <w:t>une analyse économique de l</w:t>
            </w:r>
            <w:r w:rsidR="00A20444" w:rsidRPr="002D02F3">
              <w:rPr>
                <w:sz w:val="16"/>
              </w:rPr>
              <w:t>’</w:t>
            </w:r>
            <w:r w:rsidRPr="002D02F3">
              <w:rPr>
                <w:sz w:val="16"/>
              </w:rPr>
              <w:t>OMPI pour l</w:t>
            </w:r>
            <w:r w:rsidR="00A20444" w:rsidRPr="002D02F3">
              <w:rPr>
                <w:sz w:val="16"/>
              </w:rPr>
              <w:t>’</w:t>
            </w:r>
            <w:r w:rsidRPr="002D02F3">
              <w:rPr>
                <w:sz w:val="16"/>
              </w:rPr>
              <w:t>élaboration d</w:t>
            </w:r>
            <w:r w:rsidR="00A20444" w:rsidRPr="002D02F3">
              <w:rPr>
                <w:sz w:val="16"/>
              </w:rPr>
              <w:t>’</w:t>
            </w:r>
            <w:r w:rsidRPr="002D02F3">
              <w:rPr>
                <w:sz w:val="16"/>
              </w:rPr>
              <w:t>une politique de propriété intellectuelle</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2 711</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3 044</w:t>
            </w:r>
          </w:p>
        </w:tc>
        <w:tc>
          <w:tcPr>
            <w:tcW w:w="1418" w:type="dxa"/>
            <w:tcBorders>
              <w:top w:val="nil"/>
              <w:left w:val="nil"/>
              <w:bottom w:val="nil"/>
              <w:right w:val="single" w:sz="4" w:space="0" w:color="auto"/>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2 909</w:t>
            </w:r>
          </w:p>
        </w:tc>
      </w:tr>
      <w:tr w:rsidR="00784E52" w:rsidRPr="002D02F3" w:rsidTr="002A762E">
        <w:trPr>
          <w:trHeight w:val="923"/>
        </w:trPr>
        <w:tc>
          <w:tcPr>
            <w:tcW w:w="546" w:type="dxa"/>
            <w:tcBorders>
              <w:top w:val="nil"/>
              <w:left w:val="single" w:sz="4" w:space="0" w:color="auto"/>
              <w:bottom w:val="single" w:sz="4" w:space="0" w:color="auto"/>
              <w:right w:val="nil"/>
            </w:tcBorders>
            <w:shd w:val="clear" w:color="000000" w:fill="FFFFFF"/>
            <w:noWrap/>
          </w:tcPr>
          <w:p w:rsidR="00784E52" w:rsidRPr="002D02F3" w:rsidRDefault="00784E52" w:rsidP="001A5BF9">
            <w:pPr>
              <w:spacing w:before="120" w:after="120"/>
              <w:jc w:val="center"/>
              <w:rPr>
                <w:rFonts w:cs="Arial"/>
                <w:sz w:val="16"/>
                <w:szCs w:val="16"/>
              </w:rPr>
            </w:pPr>
            <w:proofErr w:type="spellStart"/>
            <w:r w:rsidRPr="002D02F3">
              <w:rPr>
                <w:sz w:val="16"/>
              </w:rPr>
              <w:t>VII.3</w:t>
            </w:r>
            <w:proofErr w:type="spellEnd"/>
          </w:p>
        </w:tc>
        <w:tc>
          <w:tcPr>
            <w:tcW w:w="4279" w:type="dxa"/>
            <w:tcBorders>
              <w:top w:val="nil"/>
              <w:left w:val="nil"/>
              <w:bottom w:val="single" w:sz="4" w:space="0" w:color="auto"/>
              <w:right w:val="nil"/>
            </w:tcBorders>
            <w:shd w:val="clear" w:color="000000" w:fill="FFFFFF"/>
          </w:tcPr>
          <w:p w:rsidR="00784E52" w:rsidRPr="002D02F3" w:rsidRDefault="00784E52" w:rsidP="001A5BF9">
            <w:pPr>
              <w:spacing w:before="120" w:after="120"/>
              <w:rPr>
                <w:rFonts w:cs="Arial"/>
                <w:sz w:val="16"/>
                <w:szCs w:val="16"/>
              </w:rPr>
            </w:pPr>
            <w:r w:rsidRPr="002D02F3">
              <w:rPr>
                <w:sz w:val="16"/>
              </w:rPr>
              <w:t>Les instruments axés sur la propriété intellectuelle sont utilisés pour le transfert de technologie entre les pays développés et les pays en développement, notamment les pays les moins avancés, pour répondre aux défis mondiaux</w:t>
            </w:r>
          </w:p>
        </w:tc>
        <w:tc>
          <w:tcPr>
            <w:tcW w:w="1559" w:type="dxa"/>
            <w:tcBorders>
              <w:top w:val="nil"/>
              <w:left w:val="nil"/>
              <w:bottom w:val="single" w:sz="4" w:space="0" w:color="auto"/>
              <w:right w:val="nil"/>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30</w:t>
            </w:r>
          </w:p>
        </w:tc>
        <w:tc>
          <w:tcPr>
            <w:tcW w:w="1559" w:type="dxa"/>
            <w:tcBorders>
              <w:top w:val="nil"/>
              <w:left w:val="nil"/>
              <w:bottom w:val="single" w:sz="4" w:space="0" w:color="auto"/>
              <w:right w:val="nil"/>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30</w:t>
            </w:r>
          </w:p>
        </w:tc>
        <w:tc>
          <w:tcPr>
            <w:tcW w:w="1418" w:type="dxa"/>
            <w:tcBorders>
              <w:top w:val="nil"/>
              <w:left w:val="nil"/>
              <w:bottom w:val="single" w:sz="4" w:space="0" w:color="auto"/>
              <w:right w:val="single" w:sz="4" w:space="0" w:color="auto"/>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 </w:t>
            </w:r>
          </w:p>
        </w:tc>
      </w:tr>
      <w:tr w:rsidR="00784E52" w:rsidRPr="002D02F3" w:rsidTr="00BB3F3E">
        <w:tc>
          <w:tcPr>
            <w:tcW w:w="546" w:type="dxa"/>
            <w:tcBorders>
              <w:top w:val="nil"/>
              <w:left w:val="single" w:sz="4" w:space="0" w:color="auto"/>
              <w:bottom w:val="single" w:sz="4" w:space="0" w:color="auto"/>
              <w:right w:val="nil"/>
            </w:tcBorders>
            <w:shd w:val="clear" w:color="000000" w:fill="CCFFFF"/>
            <w:noWrap/>
            <w:vAlign w:val="bottom"/>
          </w:tcPr>
          <w:p w:rsidR="00784E52" w:rsidRPr="002D02F3" w:rsidRDefault="00784E52" w:rsidP="001A5BF9">
            <w:pPr>
              <w:spacing w:before="120" w:after="120"/>
              <w:jc w:val="center"/>
              <w:rPr>
                <w:rFonts w:cs="Arial"/>
                <w:b/>
                <w:bCs/>
                <w:sz w:val="16"/>
                <w:szCs w:val="16"/>
              </w:rPr>
            </w:pPr>
            <w:r w:rsidRPr="002D02F3">
              <w:rPr>
                <w:b/>
                <w:sz w:val="16"/>
              </w:rPr>
              <w:t> </w:t>
            </w:r>
          </w:p>
        </w:tc>
        <w:tc>
          <w:tcPr>
            <w:tcW w:w="4279" w:type="dxa"/>
            <w:tcBorders>
              <w:top w:val="nil"/>
              <w:left w:val="nil"/>
              <w:bottom w:val="single" w:sz="4" w:space="0" w:color="auto"/>
              <w:right w:val="nil"/>
            </w:tcBorders>
            <w:shd w:val="clear" w:color="000000" w:fill="CCFFFF"/>
            <w:noWrap/>
            <w:vAlign w:val="center"/>
          </w:tcPr>
          <w:p w:rsidR="00784E52" w:rsidRPr="002D02F3" w:rsidRDefault="00784E52" w:rsidP="001A5BF9">
            <w:pPr>
              <w:spacing w:before="120" w:after="120"/>
              <w:rPr>
                <w:rFonts w:cs="Arial"/>
                <w:b/>
                <w:bCs/>
                <w:sz w:val="16"/>
                <w:szCs w:val="16"/>
              </w:rPr>
            </w:pPr>
            <w:r w:rsidRPr="002D02F3">
              <w:rPr>
                <w:b/>
                <w:sz w:val="16"/>
              </w:rPr>
              <w:t>Total</w:t>
            </w:r>
          </w:p>
        </w:tc>
        <w:tc>
          <w:tcPr>
            <w:tcW w:w="1559" w:type="dxa"/>
            <w:tcBorders>
              <w:top w:val="nil"/>
              <w:left w:val="single" w:sz="4" w:space="0" w:color="auto"/>
              <w:bottom w:val="single" w:sz="4" w:space="0" w:color="auto"/>
              <w:right w:val="single" w:sz="4" w:space="0" w:color="auto"/>
            </w:tcBorders>
            <w:shd w:val="clear" w:color="000000" w:fill="CCFFFF"/>
            <w:vAlign w:val="center"/>
          </w:tcPr>
          <w:p w:rsidR="00784E52" w:rsidRPr="002D02F3" w:rsidRDefault="00784E52" w:rsidP="001A5BF9">
            <w:pPr>
              <w:spacing w:before="120" w:after="120"/>
              <w:jc w:val="right"/>
              <w:rPr>
                <w:rFonts w:cs="Arial"/>
                <w:b/>
                <w:bCs/>
                <w:sz w:val="16"/>
                <w:szCs w:val="16"/>
              </w:rPr>
            </w:pPr>
            <w:r w:rsidRPr="002D02F3">
              <w:rPr>
                <w:b/>
                <w:sz w:val="16"/>
              </w:rPr>
              <w:t>4 585</w:t>
            </w:r>
          </w:p>
        </w:tc>
        <w:tc>
          <w:tcPr>
            <w:tcW w:w="1559" w:type="dxa"/>
            <w:tcBorders>
              <w:top w:val="nil"/>
              <w:left w:val="nil"/>
              <w:bottom w:val="single" w:sz="4" w:space="0" w:color="auto"/>
              <w:right w:val="single" w:sz="4" w:space="0" w:color="auto"/>
            </w:tcBorders>
            <w:shd w:val="clear" w:color="000000" w:fill="CCFFFF"/>
            <w:noWrap/>
            <w:vAlign w:val="center"/>
          </w:tcPr>
          <w:p w:rsidR="00784E52" w:rsidRPr="002D02F3" w:rsidRDefault="00784E52" w:rsidP="001A5BF9">
            <w:pPr>
              <w:spacing w:before="120" w:after="120"/>
              <w:jc w:val="right"/>
              <w:rPr>
                <w:rFonts w:cs="Arial"/>
                <w:b/>
                <w:bCs/>
                <w:sz w:val="16"/>
                <w:szCs w:val="16"/>
              </w:rPr>
            </w:pPr>
            <w:r w:rsidRPr="002D02F3">
              <w:rPr>
                <w:b/>
                <w:sz w:val="16"/>
              </w:rPr>
              <w:t>5 182</w:t>
            </w:r>
          </w:p>
        </w:tc>
        <w:tc>
          <w:tcPr>
            <w:tcW w:w="1418" w:type="dxa"/>
            <w:tcBorders>
              <w:top w:val="nil"/>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right"/>
              <w:rPr>
                <w:rFonts w:cs="Arial"/>
                <w:b/>
                <w:bCs/>
                <w:sz w:val="16"/>
                <w:szCs w:val="16"/>
              </w:rPr>
            </w:pPr>
            <w:r w:rsidRPr="002D02F3">
              <w:rPr>
                <w:b/>
                <w:sz w:val="16"/>
              </w:rPr>
              <w:t>4 990</w:t>
            </w:r>
          </w:p>
        </w:tc>
      </w:tr>
    </w:tbl>
    <w:p w:rsidR="00D42474" w:rsidRDefault="00D42474" w:rsidP="001A5BF9"/>
    <w:p w:rsidR="00D42474" w:rsidRDefault="00D42474" w:rsidP="001A5BF9"/>
    <w:p w:rsidR="00D42474" w:rsidRDefault="00784E52" w:rsidP="001A5BF9">
      <w:pPr>
        <w:pStyle w:val="NormalWeb"/>
        <w:spacing w:before="0" w:beforeAutospacing="0" w:after="0" w:afterAutospacing="0"/>
        <w:jc w:val="center"/>
        <w:rPr>
          <w:sz w:val="20"/>
        </w:rPr>
      </w:pPr>
      <w:r w:rsidRPr="002D02F3">
        <w:rPr>
          <w:sz w:val="20"/>
        </w:rPr>
        <w:t xml:space="preserve">Budget et dépenses effectives (dépenses de </w:t>
      </w:r>
      <w:proofErr w:type="gramStart"/>
      <w:r w:rsidRPr="002D02F3">
        <w:rPr>
          <w:sz w:val="20"/>
        </w:rPr>
        <w:t>personnel et autres dépenses</w:t>
      </w:r>
      <w:proofErr w:type="gramEnd"/>
      <w:r w:rsidRPr="002D02F3">
        <w:rPr>
          <w:sz w:val="20"/>
        </w:rPr>
        <w:t>)</w:t>
      </w:r>
    </w:p>
    <w:p w:rsidR="00D42474" w:rsidRDefault="00784E52"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784E52" w:rsidRPr="002D02F3" w:rsidRDefault="00784E52" w:rsidP="001A5BF9"/>
    <w:tbl>
      <w:tblPr>
        <w:tblW w:w="9356" w:type="dxa"/>
        <w:tblInd w:w="108" w:type="dxa"/>
        <w:tblLook w:val="04A0" w:firstRow="1" w:lastRow="0" w:firstColumn="1" w:lastColumn="0" w:noHBand="0" w:noVBand="1"/>
      </w:tblPr>
      <w:tblGrid>
        <w:gridCol w:w="2694"/>
        <w:gridCol w:w="1665"/>
        <w:gridCol w:w="1666"/>
        <w:gridCol w:w="1665"/>
        <w:gridCol w:w="1666"/>
      </w:tblGrid>
      <w:tr w:rsidR="00784E52" w:rsidRPr="002D02F3" w:rsidTr="00BB3F3E">
        <w:tc>
          <w:tcPr>
            <w:tcW w:w="2694"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2D02F3" w:rsidRDefault="00784E52" w:rsidP="001A5BF9">
            <w:pPr>
              <w:spacing w:before="120" w:after="120"/>
              <w:rPr>
                <w:rFonts w:cs="Arial"/>
                <w:sz w:val="16"/>
                <w:szCs w:val="16"/>
              </w:rPr>
            </w:pPr>
            <w:r w:rsidRPr="002D02F3">
              <w:rPr>
                <w:sz w:val="16"/>
              </w:rPr>
              <w:t> </w:t>
            </w:r>
          </w:p>
        </w:tc>
        <w:tc>
          <w:tcPr>
            <w:tcW w:w="1665"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666"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665"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666"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utilisation (</w:t>
            </w:r>
            <w:r w:rsidR="007E442D" w:rsidRPr="002D02F3">
              <w:rPr>
                <w:sz w:val="16"/>
              </w:rPr>
              <w:t>%</w:t>
            </w:r>
            <w:r w:rsidRPr="002D02F3">
              <w:rPr>
                <w:sz w:val="16"/>
              </w:rPr>
              <w:t>)</w:t>
            </w:r>
          </w:p>
        </w:tc>
      </w:tr>
      <w:tr w:rsidR="00784E52" w:rsidRPr="002D02F3" w:rsidTr="00BB3F3E">
        <w:trPr>
          <w:trHeight w:val="486"/>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665"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3 455</w:t>
            </w:r>
          </w:p>
        </w:tc>
        <w:tc>
          <w:tcPr>
            <w:tcW w:w="1666"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3 776</w:t>
            </w:r>
          </w:p>
        </w:tc>
        <w:tc>
          <w:tcPr>
            <w:tcW w:w="1665"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3 776</w:t>
            </w:r>
          </w:p>
        </w:tc>
        <w:tc>
          <w:tcPr>
            <w:tcW w:w="1666"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100</w:t>
            </w:r>
            <w:r w:rsidR="007E442D" w:rsidRPr="002D02F3">
              <w:rPr>
                <w:sz w:val="16"/>
              </w:rPr>
              <w:t>%</w:t>
            </w:r>
          </w:p>
        </w:tc>
      </w:tr>
      <w:tr w:rsidR="00784E52" w:rsidRPr="002D02F3" w:rsidTr="00BB3F3E">
        <w:trPr>
          <w:trHeight w:val="486"/>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rPr>
                <w:rFonts w:cs="Arial"/>
                <w:sz w:val="16"/>
                <w:szCs w:val="16"/>
              </w:rPr>
            </w:pPr>
            <w:r w:rsidRPr="002D02F3">
              <w:rPr>
                <w:sz w:val="16"/>
              </w:rPr>
              <w:t xml:space="preserve">Autres dépenses </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1 130</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1 407</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1 214</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86</w:t>
            </w:r>
            <w:r w:rsidR="007E442D" w:rsidRPr="002D02F3">
              <w:rPr>
                <w:sz w:val="16"/>
              </w:rPr>
              <w:t>%</w:t>
            </w:r>
          </w:p>
        </w:tc>
      </w:tr>
      <w:tr w:rsidR="00784E52" w:rsidRPr="002D02F3" w:rsidTr="00BB3F3E">
        <w:trPr>
          <w:trHeight w:val="486"/>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jc w:val="right"/>
              <w:rPr>
                <w:rFonts w:cs="Arial"/>
                <w:b/>
                <w:bCs/>
                <w:sz w:val="16"/>
                <w:szCs w:val="16"/>
              </w:rPr>
            </w:pPr>
            <w:r w:rsidRPr="002D02F3">
              <w:rPr>
                <w:b/>
                <w:sz w:val="16"/>
              </w:rPr>
              <w:t xml:space="preserve"> TOTAL </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4 585</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5 182</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4 990</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96</w:t>
            </w:r>
            <w:r w:rsidR="007E442D" w:rsidRPr="002D02F3">
              <w:rPr>
                <w:b/>
                <w:sz w:val="16"/>
              </w:rPr>
              <w:t>%</w:t>
            </w:r>
          </w:p>
        </w:tc>
      </w:tr>
    </w:tbl>
    <w:p w:rsidR="00D42474" w:rsidRDefault="00D42474" w:rsidP="001A5BF9">
      <w:pPr>
        <w:rPr>
          <w:rFonts w:cs="Arial"/>
        </w:rPr>
      </w:pPr>
    </w:p>
    <w:p w:rsidR="00D42474" w:rsidRDefault="00784E52" w:rsidP="001A5BF9">
      <w:pPr>
        <w:keepNext/>
        <w:autoSpaceDE w:val="0"/>
        <w:autoSpaceDN w:val="0"/>
        <w:rPr>
          <w:rFonts w:cs="Arial"/>
          <w:sz w:val="16"/>
          <w:szCs w:val="16"/>
        </w:rPr>
      </w:pPr>
      <w:proofErr w:type="gramStart"/>
      <w:r w:rsidRPr="002D02F3">
        <w:rPr>
          <w:sz w:val="16"/>
        </w:rPr>
        <w:t>NOTES</w:t>
      </w:r>
      <w:proofErr w:type="gramEnd"/>
      <w:r w:rsidR="0010442A" w:rsidRPr="002D02F3">
        <w:rPr>
          <w:sz w:val="16"/>
        </w:rPr>
        <w:t> </w:t>
      </w:r>
      <w:r w:rsidRPr="002D02F3">
        <w:rPr>
          <w:sz w:val="16"/>
        </w:rPr>
        <w:t>:</w:t>
      </w:r>
    </w:p>
    <w:p w:rsidR="00D42474" w:rsidRDefault="00D42474" w:rsidP="001A5BF9">
      <w:pPr>
        <w:keepNext/>
        <w:autoSpaceDE w:val="0"/>
        <w:autoSpaceDN w:val="0"/>
        <w:rPr>
          <w:rFonts w:cs="Arial"/>
          <w:sz w:val="16"/>
          <w:szCs w:val="16"/>
        </w:rPr>
      </w:pPr>
    </w:p>
    <w:p w:rsidR="00D42474" w:rsidRDefault="00784E52" w:rsidP="001A5BF9">
      <w:pPr>
        <w:keepNext/>
        <w:autoSpaceDE w:val="0"/>
        <w:autoSpaceDN w:val="0"/>
        <w:rPr>
          <w:rFonts w:cs="Arial"/>
          <w:sz w:val="16"/>
          <w:szCs w:val="16"/>
        </w:rPr>
      </w:pPr>
      <w:r w:rsidRPr="002D02F3">
        <w:rPr>
          <w:sz w:val="16"/>
        </w:rPr>
        <w:t>1)</w:t>
      </w:r>
      <w:r w:rsidR="00BD640D">
        <w:rPr>
          <w:sz w:val="16"/>
        </w:rPr>
        <w:tab/>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keepNext/>
        <w:autoSpaceDE w:val="0"/>
        <w:autoSpaceDN w:val="0"/>
        <w:rPr>
          <w:rFonts w:cs="Arial"/>
          <w:sz w:val="16"/>
          <w:szCs w:val="16"/>
        </w:rPr>
      </w:pPr>
    </w:p>
    <w:p w:rsidR="00D42474" w:rsidRDefault="00784E52" w:rsidP="001A5BF9">
      <w:pPr>
        <w:keepNext/>
        <w:autoSpaceDE w:val="0"/>
        <w:autoSpaceDN w:val="0"/>
        <w:rPr>
          <w:sz w:val="16"/>
        </w:rPr>
      </w:pPr>
      <w:r w:rsidRPr="002D02F3">
        <w:rPr>
          <w:sz w:val="16"/>
        </w:rPr>
        <w:t>2)</w:t>
      </w:r>
      <w:r w:rsidR="00BD640D">
        <w:rPr>
          <w:sz w:val="16"/>
        </w:rPr>
        <w:tab/>
      </w:r>
      <w:r w:rsidRPr="002D02F3">
        <w:rPr>
          <w:sz w:val="16"/>
        </w:rPr>
        <w:t>Les dépenses de personnel indiquées dans le budget de l</w:t>
      </w:r>
      <w:r w:rsidR="00A20444" w:rsidRPr="002D02F3">
        <w:rPr>
          <w:sz w:val="16"/>
        </w:rPr>
        <w:t>’</w:t>
      </w:r>
      <w:r w:rsidRPr="002D02F3">
        <w:rPr>
          <w:sz w:val="16"/>
        </w:rPr>
        <w:t>exercice 2012</w:t>
      </w:r>
      <w:r w:rsidR="002D6F2A" w:rsidRPr="002D02F3">
        <w:rPr>
          <w:sz w:val="16"/>
        </w:rPr>
        <w:noBreakHyphen/>
      </w:r>
      <w:r w:rsidRPr="002D02F3">
        <w:rPr>
          <w:sz w:val="16"/>
        </w:rPr>
        <w:t>2013 après virements représentent les dépenses réelles engagées pendant l</w:t>
      </w:r>
      <w:r w:rsidR="00A20444" w:rsidRPr="002D02F3">
        <w:rPr>
          <w:sz w:val="16"/>
        </w:rPr>
        <w:t>’</w:t>
      </w:r>
      <w:r w:rsidRPr="002D02F3">
        <w:rPr>
          <w:sz w:val="16"/>
        </w:rPr>
        <w:t>exercice biennal.</w:t>
      </w:r>
    </w:p>
    <w:p w:rsidR="00D42474" w:rsidRDefault="00D42474" w:rsidP="001A5BF9">
      <w:pPr>
        <w:keepNext/>
        <w:autoSpaceDE w:val="0"/>
        <w:autoSpaceDN w:val="0"/>
        <w:rPr>
          <w:rFonts w:cs="Arial"/>
          <w:sz w:val="16"/>
          <w:szCs w:val="16"/>
        </w:rPr>
      </w:pPr>
    </w:p>
    <w:p w:rsidR="00D42474" w:rsidRDefault="00784E52" w:rsidP="001A5BF9">
      <w:pPr>
        <w:keepNext/>
        <w:autoSpaceDE w:val="0"/>
        <w:autoSpaceDN w:val="0"/>
        <w:rPr>
          <w:rFonts w:cs="Arial"/>
          <w:sz w:val="16"/>
          <w:szCs w:val="16"/>
        </w:rPr>
      </w:pPr>
      <w:r w:rsidRPr="002D02F3">
        <w:rPr>
          <w:sz w:val="16"/>
        </w:rPr>
        <w:t>3)</w:t>
      </w:r>
      <w:r w:rsidR="00BD640D">
        <w:rPr>
          <w:sz w:val="16"/>
        </w:rPr>
        <w:tab/>
      </w:r>
      <w:r w:rsidRPr="002D02F3">
        <w:rPr>
          <w:sz w:val="16"/>
        </w:rPr>
        <w:t>L</w:t>
      </w:r>
      <w:r w:rsidR="00A20444" w:rsidRPr="002D02F3">
        <w:rPr>
          <w:sz w:val="16"/>
        </w:rPr>
        <w:t>’</w:t>
      </w:r>
      <w:r w:rsidRPr="002D02F3">
        <w:rPr>
          <w:sz w:val="16"/>
        </w:rPr>
        <w:t>affectation aux dépenses autres pour le budget 2012</w:t>
      </w:r>
      <w:r w:rsidR="002D6F2A" w:rsidRPr="002D02F3">
        <w:rPr>
          <w:sz w:val="16"/>
        </w:rPr>
        <w:noBreakHyphen/>
      </w:r>
      <w:r w:rsidRPr="002D02F3">
        <w:rPr>
          <w:sz w:val="16"/>
        </w:rPr>
        <w:t>2013 après virements, tient compte des ajustements à la baisse opérés pour réduire les coûts conformément aux engagements de l</w:t>
      </w:r>
      <w:r w:rsidR="00A20444" w:rsidRPr="002D02F3">
        <w:rPr>
          <w:sz w:val="16"/>
        </w:rPr>
        <w:t>’</w:t>
      </w:r>
      <w:r w:rsidRPr="002D02F3">
        <w:rPr>
          <w:sz w:val="16"/>
        </w:rPr>
        <w:t>Organisation de réduire les dépenses de 10,2</w:t>
      </w:r>
      <w:r w:rsidR="0010442A" w:rsidRPr="002D02F3">
        <w:rPr>
          <w:sz w:val="16"/>
        </w:rPr>
        <w:t> </w:t>
      </w:r>
      <w:r w:rsidRPr="002D02F3">
        <w:rPr>
          <w:sz w:val="16"/>
        </w:rPr>
        <w:t>millions de francs suisses pour l</w:t>
      </w:r>
      <w:r w:rsidR="00A20444" w:rsidRPr="002D02F3">
        <w:rPr>
          <w:sz w:val="16"/>
        </w:rPr>
        <w:t>’</w:t>
      </w:r>
      <w:r w:rsidRPr="002D02F3">
        <w:rPr>
          <w:sz w:val="16"/>
        </w:rPr>
        <w:t>exercice biennal</w:t>
      </w:r>
      <w:r w:rsidR="0010442A" w:rsidRPr="002D02F3">
        <w:rPr>
          <w:sz w:val="16"/>
        </w:rPr>
        <w:t> </w:t>
      </w:r>
      <w:r w:rsidRPr="002D02F3">
        <w:rPr>
          <w:sz w:val="16"/>
        </w:rPr>
        <w:t>2012</w:t>
      </w:r>
      <w:r w:rsidR="002D6F2A" w:rsidRPr="002D02F3">
        <w:rPr>
          <w:sz w:val="16"/>
        </w:rPr>
        <w:noBreakHyphen/>
      </w:r>
      <w:r w:rsidRPr="002D02F3">
        <w:rPr>
          <w:sz w:val="16"/>
        </w:rPr>
        <w:t>2013.</w:t>
      </w:r>
    </w:p>
    <w:p w:rsidR="00D42474" w:rsidRDefault="00D42474" w:rsidP="001A5BF9">
      <w:pPr>
        <w:keepNext/>
        <w:keepLines/>
        <w:rPr>
          <w:rFonts w:cs="Arial"/>
          <w:szCs w:val="22"/>
        </w:rPr>
      </w:pPr>
    </w:p>
    <w:p w:rsidR="00D42474" w:rsidRDefault="00784E52" w:rsidP="001A5BF9">
      <w:pPr>
        <w:pageBreakBefore/>
        <w:tabs>
          <w:tab w:val="left" w:pos="709"/>
        </w:tabs>
        <w:rPr>
          <w:rFonts w:cs="Arial"/>
          <w:szCs w:val="20"/>
          <w:u w:val="single"/>
        </w:rPr>
      </w:pPr>
      <w:r w:rsidRPr="002D02F3">
        <w:t>A.</w:t>
      </w:r>
      <w:r w:rsidRPr="002D02F3">
        <w:rPr>
          <w:i/>
        </w:rPr>
        <w:tab/>
      </w:r>
      <w:r w:rsidRPr="002D02F3">
        <w:rPr>
          <w:u w:val="single"/>
        </w:rPr>
        <w:t>Budget 2012</w:t>
      </w:r>
      <w:r w:rsidR="002D6F2A" w:rsidRPr="002D02F3">
        <w:rPr>
          <w:u w:val="single"/>
        </w:rPr>
        <w:noBreakHyphen/>
      </w:r>
      <w:r w:rsidRPr="002D02F3">
        <w:rPr>
          <w:u w:val="single"/>
        </w:rPr>
        <w:t>2013 après virements</w:t>
      </w:r>
    </w:p>
    <w:p w:rsidR="00D42474" w:rsidRDefault="00D42474" w:rsidP="001A5BF9">
      <w:pPr>
        <w:tabs>
          <w:tab w:val="left" w:pos="709"/>
        </w:tabs>
        <w:rPr>
          <w:rFonts w:cs="Arial"/>
          <w:szCs w:val="20"/>
          <w:u w:val="single"/>
        </w:rPr>
      </w:pPr>
    </w:p>
    <w:p w:rsidR="00D42474" w:rsidRDefault="00784E52" w:rsidP="001A5BF9">
      <w:pPr>
        <w:tabs>
          <w:tab w:val="left" w:pos="709"/>
        </w:tabs>
        <w:jc w:val="both"/>
      </w:pPr>
      <w:r w:rsidRPr="002D02F3">
        <w:t>16.5.</w:t>
      </w:r>
      <w:r w:rsidRPr="002D02F3">
        <w:tab/>
        <w:t>Des ressources supplémentaires, notamment pour le personnel, ont été affectées aux résultats </w:t>
      </w:r>
      <w:proofErr w:type="spellStart"/>
      <w:r w:rsidRPr="002D02F3">
        <w:t>V.1</w:t>
      </w:r>
      <w:proofErr w:type="spellEnd"/>
      <w:r w:rsidRPr="002D02F3">
        <w:t xml:space="preserve"> (Utilisation accrue de l</w:t>
      </w:r>
      <w:r w:rsidR="00A20444" w:rsidRPr="002D02F3">
        <w:t>’</w:t>
      </w:r>
      <w:r w:rsidRPr="002D02F3">
        <w:t>information statistique de l</w:t>
      </w:r>
      <w:r w:rsidR="00A20444" w:rsidRPr="002D02F3">
        <w:t>’</w:t>
      </w:r>
      <w:r w:rsidRPr="002D02F3">
        <w:t>OMPI) pour la proposition de projet révisé pour le projet du Plan d</w:t>
      </w:r>
      <w:r w:rsidR="00A20444" w:rsidRPr="002D02F3">
        <w:t>’</w:t>
      </w:r>
      <w:r w:rsidRPr="002D02F3">
        <w:t>action sur la propriété intellectuelle et la fuite des cerveaux et </w:t>
      </w:r>
      <w:proofErr w:type="spellStart"/>
      <w:r w:rsidRPr="002D02F3">
        <w:t>V.2</w:t>
      </w:r>
      <w:proofErr w:type="spellEnd"/>
      <w:r w:rsidRPr="002D02F3">
        <w:t xml:space="preserve"> (Utilisation d</w:t>
      </w:r>
      <w:r w:rsidR="00A20444" w:rsidRPr="002D02F3">
        <w:t>’</w:t>
      </w:r>
      <w:r w:rsidRPr="002D02F3">
        <w:t>une analyse économique de l</w:t>
      </w:r>
      <w:r w:rsidR="00A20444" w:rsidRPr="002D02F3">
        <w:t>’</w:t>
      </w:r>
      <w:r w:rsidRPr="002D02F3">
        <w:t>OMPI) pour mettre davantage l</w:t>
      </w:r>
      <w:r w:rsidR="00A20444" w:rsidRPr="002D02F3">
        <w:t>’</w:t>
      </w:r>
      <w:r w:rsidRPr="002D02F3">
        <w:t>accent sur les études et l</w:t>
      </w:r>
      <w:r w:rsidR="00A20444" w:rsidRPr="002D02F3">
        <w:t>’</w:t>
      </w:r>
      <w:r w:rsidRPr="002D02F3">
        <w:t>analyse économique dans le cadre des projets du Plan d</w:t>
      </w:r>
      <w:r w:rsidR="00A20444" w:rsidRPr="002D02F3">
        <w:t>’</w:t>
      </w:r>
      <w:r w:rsidRPr="002D02F3">
        <w:t>action sur la propriété intellectuelle et le développement socioéconomique, la propriété intellectuelle et l</w:t>
      </w:r>
      <w:r w:rsidR="00A20444" w:rsidRPr="002D02F3">
        <w:t>’</w:t>
      </w:r>
      <w:r w:rsidRPr="002D02F3">
        <w:t>économie informelle, ainsi que la publication du Rapport mondial sur la propriété intellectuelle et l</w:t>
      </w:r>
      <w:r w:rsidR="00A20444" w:rsidRPr="002D02F3">
        <w:t>’</w:t>
      </w:r>
      <w:r w:rsidRPr="002D02F3">
        <w:t>Indice mondial de l</w:t>
      </w:r>
      <w:r w:rsidR="00A20444" w:rsidRPr="002D02F3">
        <w:t>’</w:t>
      </w:r>
      <w:r w:rsidRPr="002D02F3">
        <w:t>innovation.</w:t>
      </w:r>
    </w:p>
    <w:p w:rsidR="00D42474" w:rsidRDefault="00D42474" w:rsidP="001A5BF9">
      <w:pPr>
        <w:tabs>
          <w:tab w:val="left" w:pos="709"/>
        </w:tabs>
        <w:jc w:val="both"/>
        <w:rPr>
          <w:rFonts w:cs="Arial"/>
          <w:szCs w:val="20"/>
        </w:rPr>
      </w:pPr>
    </w:p>
    <w:p w:rsidR="00D42474" w:rsidRDefault="00D42474" w:rsidP="001A5BF9">
      <w:pPr>
        <w:tabs>
          <w:tab w:val="left" w:pos="709"/>
        </w:tabs>
        <w:autoSpaceDE w:val="0"/>
        <w:autoSpaceDN w:val="0"/>
        <w:jc w:val="both"/>
        <w:rPr>
          <w:rFonts w:cs="Arial"/>
          <w:szCs w:val="20"/>
        </w:rPr>
      </w:pPr>
    </w:p>
    <w:p w:rsidR="00D42474" w:rsidRDefault="00784E52" w:rsidP="001A5BF9">
      <w:pPr>
        <w:tabs>
          <w:tab w:val="left" w:pos="709"/>
        </w:tabs>
        <w:jc w:val="both"/>
        <w:rPr>
          <w:rFonts w:cs="Arial"/>
          <w:szCs w:val="20"/>
          <w:u w:val="single"/>
        </w:rPr>
      </w:pPr>
      <w:r w:rsidRPr="002D02F3">
        <w:t>B.</w:t>
      </w:r>
      <w:r w:rsidRPr="002D02F3">
        <w:tab/>
      </w:r>
      <w:r w:rsidRPr="002D02F3">
        <w:rPr>
          <w:u w:val="single"/>
        </w:rPr>
        <w:t>Utilisation du budget 2012</w:t>
      </w:r>
      <w:r w:rsidR="002D6F2A" w:rsidRPr="002D02F3">
        <w:rPr>
          <w:u w:val="single"/>
        </w:rPr>
        <w:noBreakHyphen/>
      </w:r>
      <w:r w:rsidRPr="002D02F3">
        <w:rPr>
          <w:u w:val="single"/>
        </w:rPr>
        <w:t>2013</w:t>
      </w:r>
    </w:p>
    <w:p w:rsidR="00D42474" w:rsidRDefault="00D42474" w:rsidP="001A5BF9">
      <w:pPr>
        <w:keepNext/>
        <w:keepLines/>
        <w:tabs>
          <w:tab w:val="left" w:pos="709"/>
        </w:tabs>
        <w:jc w:val="both"/>
        <w:rPr>
          <w:rFonts w:cs="Arial"/>
          <w:szCs w:val="20"/>
        </w:rPr>
      </w:pPr>
    </w:p>
    <w:p w:rsidR="00D42474" w:rsidRDefault="00784E52" w:rsidP="001A5BF9">
      <w:pPr>
        <w:keepNext/>
        <w:keepLines/>
        <w:tabs>
          <w:tab w:val="left" w:pos="709"/>
        </w:tabs>
        <w:jc w:val="both"/>
      </w:pPr>
      <w:r w:rsidRPr="002D02F3">
        <w:t>16.6.</w:t>
      </w:r>
      <w:r w:rsidRPr="002D02F3">
        <w:tab/>
        <w:t>L</w:t>
      </w:r>
      <w:r w:rsidR="00A20444" w:rsidRPr="002D02F3">
        <w:t>’</w:t>
      </w:r>
      <w:r w:rsidRPr="002D02F3">
        <w:t>utilisation du budget à 86</w:t>
      </w:r>
      <w:r w:rsidR="007E442D" w:rsidRPr="002D02F3">
        <w:t>%</w:t>
      </w:r>
      <w:r w:rsidRPr="002D02F3">
        <w:t> pour les dépenses autres que les dépenses de personnel est essentiellement due à : i) un léger retard dans la mise en œuvre de deux des six projets d</w:t>
      </w:r>
      <w:r w:rsidR="00A20444" w:rsidRPr="002D02F3">
        <w:t>’</w:t>
      </w:r>
      <w:r w:rsidRPr="002D02F3">
        <w:t>étude de pays dans le cadre du projet du Plan d</w:t>
      </w:r>
      <w:r w:rsidR="00A20444" w:rsidRPr="002D02F3">
        <w:t>’</w:t>
      </w:r>
      <w:r w:rsidRPr="002D02F3">
        <w:t xml:space="preserve">action sur la propriété intellectuelle et le développement </w:t>
      </w:r>
      <w:r w:rsidRPr="005C7CCE">
        <w:t>socioéconomique;</w:t>
      </w:r>
      <w:r w:rsidR="004F3E42" w:rsidRPr="005C7CCE">
        <w:t xml:space="preserve"> </w:t>
      </w:r>
      <w:r w:rsidR="0010442A" w:rsidRPr="005C7CCE">
        <w:t xml:space="preserve"> </w:t>
      </w:r>
      <w:r w:rsidRPr="005C7CCE">
        <w:t>et ii) des économies sur le projet, en particulier sur les services contractuels.</w:t>
      </w:r>
    </w:p>
    <w:p w:rsidR="00D42474" w:rsidRDefault="00784E52" w:rsidP="001A5BF9">
      <w:pPr>
        <w:rPr>
          <w:szCs w:val="20"/>
        </w:rPr>
      </w:pPr>
      <w:r w:rsidRPr="005C7CCE">
        <w:br w:type="page"/>
      </w:r>
    </w:p>
    <w:p w:rsidR="00D42474" w:rsidRDefault="00C82E6A" w:rsidP="00C82E6A">
      <w:pPr>
        <w:pStyle w:val="Heading2"/>
        <w:tabs>
          <w:tab w:val="clear" w:pos="9072"/>
        </w:tabs>
      </w:pPr>
      <w:bookmarkStart w:id="33" w:name="_Toc395082485"/>
      <w:r w:rsidRPr="00D54DAE">
        <w:t>OBJECTIF STRAT</w:t>
      </w:r>
      <w:r w:rsidRPr="00D54DAE">
        <w:rPr>
          <w:rFonts w:hint="eastAsia"/>
        </w:rPr>
        <w:t>É</w:t>
      </w:r>
      <w:r w:rsidRPr="00D54DAE">
        <w:t>GIQUE VI</w:t>
      </w:r>
      <w:r w:rsidRPr="00D54DAE">
        <w:tab/>
      </w:r>
      <w:r w:rsidRPr="00D54DAE">
        <w:br/>
      </w:r>
      <w:r w:rsidR="00D54DAE" w:rsidRPr="00D54DAE">
        <w:br/>
        <w:t>Coop</w:t>
      </w:r>
      <w:r w:rsidR="00D54DAE" w:rsidRPr="00D54DAE">
        <w:rPr>
          <w:rFonts w:hint="eastAsia"/>
        </w:rPr>
        <w:t>é</w:t>
      </w:r>
      <w:r w:rsidR="00D54DAE" w:rsidRPr="00D54DAE">
        <w:t>ration internationale pour le respect de la propri</w:t>
      </w:r>
      <w:r w:rsidR="00D54DAE" w:rsidRPr="00D54DAE">
        <w:rPr>
          <w:rFonts w:hint="eastAsia"/>
        </w:rPr>
        <w:t>é</w:t>
      </w:r>
      <w:r w:rsidR="00D54DAE" w:rsidRPr="00D54DAE">
        <w:t>t</w:t>
      </w:r>
      <w:r w:rsidR="00D54DAE" w:rsidRPr="00D54DAE">
        <w:rPr>
          <w:rFonts w:hint="eastAsia"/>
        </w:rPr>
        <w:t>é</w:t>
      </w:r>
      <w:r w:rsidR="00D54DAE" w:rsidRPr="00D54DAE">
        <w:t xml:space="preserve"> intellectuelle</w:t>
      </w:r>
      <w:bookmarkEnd w:id="33"/>
    </w:p>
    <w:p w:rsidR="00D42474" w:rsidRDefault="00D42474" w:rsidP="001A5BF9">
      <w:pPr>
        <w:jc w:val="center"/>
      </w:pPr>
    </w:p>
    <w:p w:rsidR="00D42474" w:rsidRDefault="00D42474" w:rsidP="001A5BF9">
      <w:pPr>
        <w:jc w:val="center"/>
      </w:pPr>
    </w:p>
    <w:p w:rsidR="00D42474" w:rsidRDefault="00D42474" w:rsidP="001A5BF9">
      <w:pPr>
        <w:jc w:val="center"/>
      </w:pPr>
    </w:p>
    <w:p w:rsidR="00D42474" w:rsidRDefault="00784E52" w:rsidP="001A5BF9">
      <w:pPr>
        <w:jc w:val="center"/>
        <w:rPr>
          <w:szCs w:val="20"/>
        </w:rPr>
      </w:pPr>
      <w:r w:rsidRPr="002D02F3">
        <w:t>TABLEAU DE BORD DE L</w:t>
      </w:r>
      <w:r w:rsidR="00A20444" w:rsidRPr="002D02F3">
        <w:t>’</w:t>
      </w:r>
      <w:r w:rsidRPr="002D02F3">
        <w:t>EXÉCUTION DU PROGRAMME BIENNAL</w:t>
      </w:r>
    </w:p>
    <w:p w:rsidR="00D42474" w:rsidRDefault="00D42474" w:rsidP="001A5BF9">
      <w:pPr>
        <w:jc w:val="center"/>
      </w:pPr>
    </w:p>
    <w:p w:rsidR="00D42474" w:rsidRDefault="00784E52" w:rsidP="001A5BF9">
      <w:pPr>
        <w:autoSpaceDE w:val="0"/>
        <w:autoSpaceDN w:val="0"/>
        <w:adjustRightInd w:val="0"/>
        <w:jc w:val="both"/>
      </w:pPr>
      <w:r w:rsidRPr="002D02F3">
        <w:t>Le tableau de bord ci</w:t>
      </w:r>
      <w:r w:rsidR="002D6F2A" w:rsidRPr="002D02F3">
        <w:noBreakHyphen/>
      </w:r>
      <w:r w:rsidRPr="002D02F3">
        <w:t>dessous présente un résumé de la réalisation des résultats escomptés pour l</w:t>
      </w:r>
      <w:r w:rsidR="00A20444" w:rsidRPr="002D02F3">
        <w:t>’</w:t>
      </w:r>
      <w:r w:rsidRPr="002D02F3">
        <w:t>exercice biennal 2012</w:t>
      </w:r>
      <w:r w:rsidR="002D6F2A" w:rsidRPr="002D02F3">
        <w:noBreakHyphen/>
      </w:r>
      <w:r w:rsidRPr="002D02F3">
        <w:t>2013, telle que mesurée par les indicateurs au titre des programmes contribuant à cet objectif stratégique.</w:t>
      </w:r>
    </w:p>
    <w:p w:rsidR="00D42474" w:rsidRDefault="00D42474" w:rsidP="001A5BF9">
      <w:pPr>
        <w:autoSpaceDE w:val="0"/>
        <w:autoSpaceDN w:val="0"/>
        <w:adjustRightInd w:val="0"/>
        <w:jc w:val="both"/>
        <w:rPr>
          <w:rFonts w:cs="Arial"/>
        </w:rPr>
      </w:pPr>
    </w:p>
    <w:p w:rsidR="00D42474" w:rsidRDefault="00516343" w:rsidP="001A5BF9">
      <w:pPr>
        <w:autoSpaceDE w:val="0"/>
        <w:autoSpaceDN w:val="0"/>
        <w:adjustRightInd w:val="0"/>
        <w:jc w:val="center"/>
        <w:rPr>
          <w:rFonts w:cs="Arial"/>
        </w:rPr>
      </w:pPr>
      <w:r w:rsidRPr="00516343">
        <w:rPr>
          <w:noProof/>
        </w:rPr>
        <w:drawing>
          <wp:inline distT="0" distB="0" distL="0" distR="0" wp14:anchorId="7BC5935C" wp14:editId="65B33A70">
            <wp:extent cx="4192073" cy="2302073"/>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191143" cy="2301562"/>
                    </a:xfrm>
                    <a:prstGeom prst="rect">
                      <a:avLst/>
                    </a:prstGeom>
                    <a:noFill/>
                    <a:ln>
                      <a:noFill/>
                    </a:ln>
                  </pic:spPr>
                </pic:pic>
              </a:graphicData>
            </a:graphic>
          </wp:inline>
        </w:drawing>
      </w:r>
    </w:p>
    <w:p w:rsidR="00D42474" w:rsidRDefault="00D42474" w:rsidP="001A5BF9">
      <w:pPr>
        <w:autoSpaceDE w:val="0"/>
        <w:autoSpaceDN w:val="0"/>
        <w:adjustRightInd w:val="0"/>
        <w:jc w:val="center"/>
        <w:rPr>
          <w:rFonts w:cs="Arial"/>
        </w:rPr>
      </w:pPr>
    </w:p>
    <w:p w:rsidR="00784E52" w:rsidRPr="005C7CCE" w:rsidRDefault="00784E52" w:rsidP="001A5BF9">
      <w:pPr>
        <w:tabs>
          <w:tab w:val="left" w:pos="1701"/>
        </w:tabs>
        <w:ind w:left="1701" w:hanging="1701"/>
        <w:jc w:val="center"/>
        <w:rPr>
          <w:rFonts w:cs="Arial"/>
          <w:b/>
          <w:bCs/>
          <w:caps/>
        </w:rPr>
      </w:pPr>
    </w:p>
    <w:tbl>
      <w:tblPr>
        <w:tblW w:w="0" w:type="auto"/>
        <w:tblInd w:w="98" w:type="dxa"/>
        <w:tblLook w:val="0000" w:firstRow="0" w:lastRow="0" w:firstColumn="0" w:lastColumn="0" w:noHBand="0" w:noVBand="0"/>
      </w:tblPr>
      <w:tblGrid>
        <w:gridCol w:w="3323"/>
        <w:gridCol w:w="3270"/>
        <w:gridCol w:w="1388"/>
        <w:gridCol w:w="1385"/>
      </w:tblGrid>
      <w:tr w:rsidR="00784E52" w:rsidRPr="002D02F3" w:rsidTr="00BB3F3E">
        <w:tc>
          <w:tcPr>
            <w:tcW w:w="3323" w:type="dxa"/>
            <w:tcBorders>
              <w:top w:val="single" w:sz="4" w:space="0" w:color="auto"/>
              <w:left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Résultats escomptés</w:t>
            </w:r>
          </w:p>
        </w:tc>
        <w:tc>
          <w:tcPr>
            <w:tcW w:w="3270"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Indicateurs d</w:t>
            </w:r>
            <w:r w:rsidR="00A20444" w:rsidRPr="002D02F3">
              <w:rPr>
                <w:b/>
                <w:sz w:val="14"/>
              </w:rPr>
              <w:t>’</w:t>
            </w:r>
            <w:r w:rsidRPr="002D02F3">
              <w:rPr>
                <w:b/>
                <w:sz w:val="14"/>
              </w:rPr>
              <w:t>exécution</w:t>
            </w:r>
          </w:p>
        </w:tc>
        <w:tc>
          <w:tcPr>
            <w:tcW w:w="1388"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Programme(s)</w:t>
            </w:r>
            <w:r w:rsidRPr="002D02F3">
              <w:br/>
            </w:r>
            <w:r w:rsidRPr="002D02F3">
              <w:rPr>
                <w:b/>
                <w:sz w:val="14"/>
              </w:rPr>
              <w:t>concerné(s)</w:t>
            </w:r>
          </w:p>
        </w:tc>
        <w:tc>
          <w:tcPr>
            <w:tcW w:w="1385" w:type="dxa"/>
            <w:tcBorders>
              <w:top w:val="single" w:sz="4" w:space="0" w:color="auto"/>
              <w:left w:val="nil"/>
              <w:bottom w:val="single" w:sz="4" w:space="0" w:color="auto"/>
              <w:right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Code de couleurs</w:t>
            </w:r>
          </w:p>
        </w:tc>
      </w:tr>
      <w:tr w:rsidR="00784E52" w:rsidRPr="005C7CCE" w:rsidTr="00BB3F3E">
        <w:tc>
          <w:tcPr>
            <w:tcW w:w="3323" w:type="dxa"/>
            <w:tcBorders>
              <w:top w:val="nil"/>
              <w:left w:val="single" w:sz="4" w:space="0" w:color="auto"/>
              <w:bottom w:val="nil"/>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Progrès du dialogue international de politique générale entre les États membres de l</w:t>
            </w:r>
            <w:r w:rsidR="00A20444" w:rsidRPr="002D02F3">
              <w:rPr>
                <w:sz w:val="14"/>
              </w:rPr>
              <w:t>’</w:t>
            </w:r>
            <w:r w:rsidRPr="002D02F3">
              <w:rPr>
                <w:sz w:val="14"/>
              </w:rPr>
              <w:t>OMPI en ce qui concerne la promotion du respect de la propriété intellectuelle, compte tenu de la recommandation n°</w:t>
            </w:r>
            <w:r w:rsidR="0010442A" w:rsidRPr="002D02F3">
              <w:rPr>
                <w:sz w:val="14"/>
              </w:rPr>
              <w:t> </w:t>
            </w:r>
            <w:r w:rsidRPr="002D02F3">
              <w:rPr>
                <w:sz w:val="14"/>
              </w:rPr>
              <w:t>45 du Plan d</w:t>
            </w:r>
            <w:r w:rsidR="00A20444" w:rsidRPr="002D02F3">
              <w:rPr>
                <w:sz w:val="14"/>
              </w:rPr>
              <w:t>’</w:t>
            </w:r>
            <w:r w:rsidRPr="002D02F3">
              <w:rPr>
                <w:sz w:val="14"/>
              </w:rPr>
              <w:t>action pour le développement</w:t>
            </w:r>
          </w:p>
        </w:tc>
        <w:tc>
          <w:tcPr>
            <w:tcW w:w="3270" w:type="dxa"/>
            <w:tcBorders>
              <w:top w:val="nil"/>
              <w:left w:val="nil"/>
              <w:bottom w:val="nil"/>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Accord permanent des États membres sur les activités de fond du Comité consultatif de l</w:t>
            </w:r>
            <w:r w:rsidR="00A20444" w:rsidRPr="002D02F3">
              <w:rPr>
                <w:sz w:val="14"/>
              </w:rPr>
              <w:t>’</w:t>
            </w:r>
            <w:r w:rsidRPr="002D02F3">
              <w:rPr>
                <w:sz w:val="14"/>
              </w:rPr>
              <w:t>OMPI sur l</w:t>
            </w:r>
            <w:r w:rsidR="00A20444" w:rsidRPr="002D02F3">
              <w:rPr>
                <w:sz w:val="14"/>
              </w:rPr>
              <w:t>’</w:t>
            </w:r>
            <w:r w:rsidRPr="002D02F3">
              <w:rPr>
                <w:sz w:val="14"/>
              </w:rPr>
              <w:t>application des droits (ACE) au cours de l</w:t>
            </w:r>
            <w:r w:rsidR="00A20444" w:rsidRPr="002D02F3">
              <w:rPr>
                <w:sz w:val="14"/>
              </w:rPr>
              <w:t>’</w:t>
            </w:r>
            <w:r w:rsidRPr="002D02F3">
              <w:rPr>
                <w:sz w:val="14"/>
              </w:rPr>
              <w:t>exercice biennal, en prenant en considération les préoccupations relatives au développement</w:t>
            </w:r>
          </w:p>
        </w:tc>
        <w:tc>
          <w:tcPr>
            <w:tcW w:w="1388" w:type="dxa"/>
            <w:tcBorders>
              <w:top w:val="nil"/>
              <w:left w:val="nil"/>
              <w:bottom w:val="nil"/>
            </w:tcBorders>
            <w:shd w:val="clear" w:color="auto" w:fill="auto"/>
            <w:tcMar>
              <w:top w:w="113" w:type="dxa"/>
            </w:tcMar>
          </w:tcPr>
          <w:p w:rsidR="00784E52" w:rsidRPr="002D02F3" w:rsidRDefault="00784E52" w:rsidP="001A5BF9">
            <w:pPr>
              <w:spacing w:before="80"/>
              <w:ind w:left="179"/>
              <w:rPr>
                <w:rFonts w:cs="Arial"/>
                <w:sz w:val="14"/>
                <w:szCs w:val="14"/>
              </w:rPr>
            </w:pPr>
            <w:r w:rsidRPr="002D02F3">
              <w:rPr>
                <w:sz w:val="14"/>
              </w:rPr>
              <w:t>Programme 17</w:t>
            </w:r>
          </w:p>
        </w:tc>
        <w:tc>
          <w:tcPr>
            <w:tcW w:w="1385" w:type="dxa"/>
            <w:tcBorders>
              <w:top w:val="nil"/>
              <w:left w:val="nil"/>
              <w:bottom w:val="nil"/>
              <w:right w:val="single" w:sz="4" w:space="0" w:color="auto"/>
            </w:tcBorders>
          </w:tcPr>
          <w:p w:rsidR="00784E52" w:rsidRPr="005C7CCE" w:rsidRDefault="00784E52" w:rsidP="001A5BF9">
            <w:pPr>
              <w:ind w:left="179"/>
              <w:jc w:val="center"/>
              <w:rPr>
                <w:rFonts w:cs="Arial"/>
                <w:color w:val="008000"/>
                <w:szCs w:val="22"/>
              </w:rPr>
            </w:pPr>
            <w:r w:rsidRPr="005C7CCE">
              <w:rPr>
                <w:color w:val="008000"/>
              </w:rPr>
              <w:sym w:font="Wingdings" w:char="F06C"/>
            </w:r>
          </w:p>
        </w:tc>
      </w:tr>
      <w:tr w:rsidR="00784E52" w:rsidRPr="005C7CCE" w:rsidTr="00BB3F3E">
        <w:tc>
          <w:tcPr>
            <w:tcW w:w="3323" w:type="dxa"/>
            <w:vMerge w:val="restart"/>
            <w:tcBorders>
              <w:top w:val="nil"/>
              <w:left w:val="single" w:sz="4" w:space="0" w:color="auto"/>
              <w:right w:val="nil"/>
            </w:tcBorders>
            <w:shd w:val="clear" w:color="auto" w:fill="auto"/>
            <w:tcMar>
              <w:top w:w="113" w:type="dxa"/>
            </w:tcMar>
          </w:tcPr>
          <w:p w:rsidR="00D42474" w:rsidRDefault="00784E52" w:rsidP="001A5BF9">
            <w:pPr>
              <w:spacing w:before="80"/>
              <w:rPr>
                <w:sz w:val="14"/>
              </w:rPr>
            </w:pPr>
            <w:r w:rsidRPr="002D02F3">
              <w:rPr>
                <w:sz w:val="14"/>
              </w:rPr>
              <w:t>Coopération et coordination systématiques et efficaces entre les travaux de l</w:t>
            </w:r>
            <w:r w:rsidR="00A20444" w:rsidRPr="002D02F3">
              <w:rPr>
                <w:sz w:val="14"/>
              </w:rPr>
              <w:t>’</w:t>
            </w:r>
            <w:r w:rsidRPr="002D02F3">
              <w:rPr>
                <w:sz w:val="14"/>
              </w:rPr>
              <w:t>OMPI et ceux d</w:t>
            </w:r>
            <w:r w:rsidR="00A20444" w:rsidRPr="002D02F3">
              <w:rPr>
                <w:sz w:val="14"/>
              </w:rPr>
              <w:t>’</w:t>
            </w:r>
            <w:r w:rsidRPr="002D02F3">
              <w:rPr>
                <w:sz w:val="14"/>
              </w:rPr>
              <w:t>autres organisations internationales dans le domaine de la promotion du respect de la propriété intellectuelle</w:t>
            </w:r>
          </w:p>
          <w:p w:rsidR="00784E52" w:rsidRPr="002D02F3" w:rsidRDefault="00784E52" w:rsidP="001A5BF9">
            <w:pPr>
              <w:spacing w:before="80"/>
              <w:rPr>
                <w:rFonts w:cs="Arial"/>
                <w:sz w:val="14"/>
                <w:szCs w:val="14"/>
              </w:rPr>
            </w:pPr>
          </w:p>
        </w:tc>
        <w:tc>
          <w:tcPr>
            <w:tcW w:w="3270" w:type="dxa"/>
            <w:tcBorders>
              <w:top w:val="nil"/>
              <w:left w:val="nil"/>
              <w:bottom w:val="nil"/>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de mécanismes de coopération officiels en place</w:t>
            </w:r>
          </w:p>
        </w:tc>
        <w:tc>
          <w:tcPr>
            <w:tcW w:w="1388" w:type="dxa"/>
            <w:tcBorders>
              <w:top w:val="nil"/>
              <w:left w:val="nil"/>
              <w:bottom w:val="nil"/>
            </w:tcBorders>
            <w:shd w:val="clear" w:color="auto" w:fill="auto"/>
            <w:tcMar>
              <w:top w:w="113" w:type="dxa"/>
            </w:tcMar>
          </w:tcPr>
          <w:p w:rsidR="00784E52" w:rsidRPr="002D02F3" w:rsidRDefault="00784E52" w:rsidP="001A5BF9">
            <w:pPr>
              <w:spacing w:before="80"/>
              <w:ind w:left="179"/>
              <w:rPr>
                <w:rFonts w:cs="Arial"/>
                <w:sz w:val="14"/>
                <w:szCs w:val="14"/>
              </w:rPr>
            </w:pPr>
            <w:r w:rsidRPr="002D02F3">
              <w:rPr>
                <w:sz w:val="14"/>
              </w:rPr>
              <w:t>Programme 17</w:t>
            </w:r>
          </w:p>
        </w:tc>
        <w:tc>
          <w:tcPr>
            <w:tcW w:w="1385" w:type="dxa"/>
            <w:tcBorders>
              <w:top w:val="nil"/>
              <w:left w:val="nil"/>
              <w:bottom w:val="nil"/>
              <w:right w:val="single" w:sz="4" w:space="0" w:color="auto"/>
            </w:tcBorders>
          </w:tcPr>
          <w:p w:rsidR="00784E52" w:rsidRPr="005C7CCE" w:rsidRDefault="00784E52" w:rsidP="001A5BF9">
            <w:pPr>
              <w:ind w:left="179"/>
              <w:jc w:val="center"/>
              <w:rPr>
                <w:rFonts w:cs="Arial"/>
                <w:color w:val="008000"/>
                <w:szCs w:val="22"/>
              </w:rPr>
            </w:pPr>
            <w:r w:rsidRPr="005C7CCE">
              <w:rPr>
                <w:color w:val="008000"/>
              </w:rPr>
              <w:sym w:font="Wingdings" w:char="F06C"/>
            </w:r>
          </w:p>
        </w:tc>
      </w:tr>
      <w:tr w:rsidR="00784E52" w:rsidRPr="005C7CCE" w:rsidTr="00BB3F3E">
        <w:tc>
          <w:tcPr>
            <w:tcW w:w="3323" w:type="dxa"/>
            <w:vMerge/>
            <w:tcBorders>
              <w:left w:val="single" w:sz="4" w:space="0" w:color="auto"/>
              <w:bottom w:val="single" w:sz="4" w:space="0" w:color="auto"/>
              <w:right w:val="nil"/>
            </w:tcBorders>
            <w:shd w:val="clear" w:color="auto" w:fill="auto"/>
            <w:tcMar>
              <w:top w:w="113" w:type="dxa"/>
            </w:tcMar>
          </w:tcPr>
          <w:p w:rsidR="00784E52" w:rsidRPr="002D02F3" w:rsidRDefault="00784E52" w:rsidP="001A5BF9">
            <w:pPr>
              <w:spacing w:before="80"/>
              <w:rPr>
                <w:rFonts w:cs="Arial"/>
                <w:sz w:val="14"/>
                <w:szCs w:val="14"/>
              </w:rPr>
            </w:pPr>
          </w:p>
        </w:tc>
        <w:tc>
          <w:tcPr>
            <w:tcW w:w="3270" w:type="dxa"/>
            <w:tcBorders>
              <w:top w:val="nil"/>
              <w:left w:val="nil"/>
              <w:bottom w:val="single" w:sz="4" w:space="0" w:color="auto"/>
              <w:right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w:t>
            </w:r>
            <w:r w:rsidR="00A20444" w:rsidRPr="002D02F3">
              <w:rPr>
                <w:sz w:val="14"/>
              </w:rPr>
              <w:t>’</w:t>
            </w:r>
            <w:r w:rsidRPr="002D02F3">
              <w:rPr>
                <w:sz w:val="14"/>
              </w:rPr>
              <w:t>activités communes</w:t>
            </w:r>
          </w:p>
        </w:tc>
        <w:tc>
          <w:tcPr>
            <w:tcW w:w="1388" w:type="dxa"/>
            <w:tcBorders>
              <w:top w:val="nil"/>
              <w:left w:val="nil"/>
              <w:bottom w:val="single" w:sz="4" w:space="0" w:color="auto"/>
            </w:tcBorders>
            <w:shd w:val="clear" w:color="auto" w:fill="auto"/>
            <w:tcMar>
              <w:top w:w="113" w:type="dxa"/>
            </w:tcMar>
          </w:tcPr>
          <w:p w:rsidR="00784E52" w:rsidRPr="002D02F3" w:rsidRDefault="00784E52" w:rsidP="001A5BF9">
            <w:pPr>
              <w:spacing w:before="80"/>
              <w:ind w:left="179"/>
              <w:rPr>
                <w:rFonts w:cs="Arial"/>
                <w:sz w:val="14"/>
                <w:szCs w:val="14"/>
              </w:rPr>
            </w:pPr>
            <w:r w:rsidRPr="002D02F3">
              <w:rPr>
                <w:sz w:val="14"/>
              </w:rPr>
              <w:t>Programme 17</w:t>
            </w:r>
          </w:p>
        </w:tc>
        <w:tc>
          <w:tcPr>
            <w:tcW w:w="1385" w:type="dxa"/>
            <w:tcBorders>
              <w:top w:val="nil"/>
              <w:left w:val="nil"/>
              <w:bottom w:val="single" w:sz="4" w:space="0" w:color="auto"/>
              <w:right w:val="single" w:sz="4" w:space="0" w:color="auto"/>
            </w:tcBorders>
          </w:tcPr>
          <w:p w:rsidR="00784E52" w:rsidRPr="005C7CCE" w:rsidRDefault="00784E52" w:rsidP="001A5BF9">
            <w:pPr>
              <w:ind w:left="179"/>
              <w:jc w:val="center"/>
              <w:rPr>
                <w:rFonts w:cs="Arial"/>
                <w:color w:val="008000"/>
                <w:szCs w:val="22"/>
              </w:rPr>
            </w:pPr>
            <w:r w:rsidRPr="005C7CCE">
              <w:rPr>
                <w:color w:val="008000"/>
              </w:rPr>
              <w:sym w:font="Wingdings" w:char="F06C"/>
            </w:r>
          </w:p>
        </w:tc>
      </w:tr>
    </w:tbl>
    <w:p w:rsidR="00D42474" w:rsidRDefault="00D42474" w:rsidP="001A5BF9">
      <w:pPr>
        <w:tabs>
          <w:tab w:val="left" w:pos="0"/>
        </w:tabs>
        <w:rPr>
          <w:rFonts w:cs="Arial"/>
          <w:i/>
          <w:szCs w:val="22"/>
        </w:rPr>
      </w:pPr>
    </w:p>
    <w:p w:rsidR="00D42474" w:rsidRDefault="00D42474" w:rsidP="001A5BF9">
      <w:pPr>
        <w:tabs>
          <w:tab w:val="left" w:pos="0"/>
        </w:tabs>
        <w:rPr>
          <w:rFonts w:cs="Arial"/>
          <w:iCs/>
        </w:rPr>
      </w:pPr>
    </w:p>
    <w:p w:rsidR="00D42474" w:rsidRDefault="00784E52" w:rsidP="001A5BF9">
      <w:pPr>
        <w:rPr>
          <w:rFonts w:ascii="Arial Bold" w:hAnsi="Arial Bold"/>
          <w:b/>
          <w:bCs/>
        </w:rPr>
      </w:pPr>
      <w:r w:rsidRPr="005C7CCE">
        <w:br w:type="page"/>
      </w:r>
    </w:p>
    <w:p w:rsidR="00D42474" w:rsidRDefault="00784E52" w:rsidP="001A5BF9">
      <w:pPr>
        <w:pStyle w:val="Heading3"/>
        <w:rPr>
          <w:szCs w:val="22"/>
        </w:rPr>
      </w:pPr>
      <w:bookmarkStart w:id="34" w:name="_Toc395082486"/>
      <w:r w:rsidRPr="00516343">
        <w:rPr>
          <w:szCs w:val="22"/>
        </w:rPr>
        <w:t>Programme 17</w:t>
      </w:r>
      <w:r w:rsidRPr="00516343">
        <w:rPr>
          <w:szCs w:val="22"/>
        </w:rPr>
        <w:tab/>
        <w:t>Promouvoir le respect de la propriété intellectuelle</w:t>
      </w:r>
      <w:bookmarkEnd w:id="34"/>
    </w:p>
    <w:p w:rsidR="00D42474" w:rsidRDefault="00D42474" w:rsidP="001A5BF9">
      <w:pPr>
        <w:ind w:left="2268" w:hanging="2268"/>
        <w:rPr>
          <w:rFonts w:cs="Arial"/>
          <w:b/>
          <w:sz w:val="22"/>
          <w:szCs w:val="22"/>
        </w:rPr>
      </w:pPr>
    </w:p>
    <w:p w:rsidR="00D42474" w:rsidRDefault="00784E52" w:rsidP="001A5BF9">
      <w:pPr>
        <w:ind w:left="2268" w:hanging="2268"/>
        <w:rPr>
          <w:rFonts w:cs="Arial"/>
          <w:b/>
          <w:sz w:val="22"/>
          <w:szCs w:val="22"/>
        </w:rPr>
      </w:pPr>
      <w:r w:rsidRPr="00516343">
        <w:rPr>
          <w:b/>
          <w:sz w:val="22"/>
          <w:szCs w:val="22"/>
        </w:rPr>
        <w:t>Chef de programme</w:t>
      </w:r>
      <w:r w:rsidRPr="00516343">
        <w:rPr>
          <w:b/>
          <w:sz w:val="22"/>
          <w:szCs w:val="22"/>
        </w:rPr>
        <w:tab/>
      </w:r>
      <w:r w:rsidRPr="00516343">
        <w:rPr>
          <w:b/>
          <w:sz w:val="22"/>
          <w:szCs w:val="22"/>
        </w:rPr>
        <w:tab/>
        <w:t>M. J.</w:t>
      </w:r>
      <w:r w:rsidR="0010442A" w:rsidRPr="00516343">
        <w:rPr>
          <w:b/>
          <w:sz w:val="22"/>
          <w:szCs w:val="22"/>
        </w:rPr>
        <w:t> </w:t>
      </w:r>
      <w:r w:rsidRPr="00516343">
        <w:rPr>
          <w:b/>
          <w:sz w:val="22"/>
          <w:szCs w:val="22"/>
        </w:rPr>
        <w:t>C.</w:t>
      </w:r>
      <w:r w:rsidR="0010442A" w:rsidRPr="00516343">
        <w:rPr>
          <w:b/>
          <w:sz w:val="22"/>
          <w:szCs w:val="22"/>
        </w:rPr>
        <w:t> </w:t>
      </w:r>
      <w:proofErr w:type="spellStart"/>
      <w:r w:rsidRPr="00516343">
        <w:rPr>
          <w:b/>
          <w:sz w:val="22"/>
          <w:szCs w:val="22"/>
        </w:rPr>
        <w:t>Wichard</w:t>
      </w:r>
      <w:proofErr w:type="spellEnd"/>
    </w:p>
    <w:p w:rsidR="00D42474" w:rsidRDefault="00D42474" w:rsidP="001A5BF9">
      <w:pPr>
        <w:ind w:left="2268" w:hanging="2268"/>
        <w:rPr>
          <w:rFonts w:cs="Arial"/>
          <w:sz w:val="22"/>
          <w:szCs w:val="22"/>
        </w:rPr>
      </w:pPr>
    </w:p>
    <w:p w:rsidR="00D42474" w:rsidRDefault="00D42474" w:rsidP="001A5BF9">
      <w:pPr>
        <w:ind w:left="2268" w:hanging="2268"/>
        <w:rPr>
          <w:rFonts w:cs="Arial"/>
          <w:bCs/>
          <w:sz w:val="22"/>
          <w:szCs w:val="22"/>
        </w:rPr>
      </w:pPr>
    </w:p>
    <w:p w:rsidR="00D42474" w:rsidRDefault="00784E52" w:rsidP="001A5BF9">
      <w:pPr>
        <w:ind w:left="2268" w:hanging="2268"/>
        <w:rPr>
          <w:rFonts w:cs="Arial"/>
          <w:sz w:val="22"/>
          <w:szCs w:val="22"/>
        </w:rPr>
      </w:pPr>
      <w:r w:rsidRPr="00516343">
        <w:rPr>
          <w:sz w:val="22"/>
          <w:szCs w:val="22"/>
        </w:rPr>
        <w:t>RÉALISATIONS EN 2012</w:t>
      </w:r>
      <w:r w:rsidR="002D6F2A" w:rsidRPr="00516343">
        <w:rPr>
          <w:sz w:val="22"/>
          <w:szCs w:val="22"/>
        </w:rPr>
        <w:noBreakHyphen/>
      </w:r>
      <w:r w:rsidRPr="00516343">
        <w:rPr>
          <w:sz w:val="22"/>
          <w:szCs w:val="22"/>
        </w:rPr>
        <w:t>2013</w:t>
      </w:r>
    </w:p>
    <w:p w:rsidR="00D42474" w:rsidRDefault="00D42474" w:rsidP="001A5BF9">
      <w:pPr>
        <w:ind w:left="2268" w:hanging="2268"/>
        <w:jc w:val="both"/>
        <w:rPr>
          <w:rFonts w:cs="Arial"/>
          <w:sz w:val="22"/>
          <w:szCs w:val="22"/>
        </w:rPr>
      </w:pPr>
    </w:p>
    <w:p w:rsidR="00D42474" w:rsidRDefault="00784E52" w:rsidP="001A5BF9">
      <w:pPr>
        <w:tabs>
          <w:tab w:val="left" w:pos="709"/>
        </w:tabs>
        <w:jc w:val="both"/>
      </w:pPr>
      <w:r w:rsidRPr="002D02F3">
        <w:t>17.1.</w:t>
      </w:r>
      <w:r w:rsidRPr="002D02F3">
        <w:tab/>
        <w:t>Au moyen d</w:t>
      </w:r>
      <w:r w:rsidR="00A20444" w:rsidRPr="002D02F3">
        <w:t>’</w:t>
      </w:r>
      <w:r w:rsidRPr="002D02F3">
        <w:t>un processus de consultation, le programme 17 a réussi à renforcer la confiance des États membres et des observateurs du Comité consultatif de l</w:t>
      </w:r>
      <w:r w:rsidR="00A20444" w:rsidRPr="002D02F3">
        <w:t>’</w:t>
      </w:r>
      <w:r w:rsidRPr="002D02F3">
        <w:t>OMPI sur l</w:t>
      </w:r>
      <w:r w:rsidR="00A20444" w:rsidRPr="002D02F3">
        <w:t>’</w:t>
      </w:r>
      <w:r w:rsidRPr="002D02F3">
        <w:t>application des droits (ACE) en tant que forum pour un dialogue de politique constructif, y compris un environnement propice à l</w:t>
      </w:r>
      <w:r w:rsidR="00A20444" w:rsidRPr="002D02F3">
        <w:t>’</w:t>
      </w:r>
      <w:r w:rsidRPr="002D02F3">
        <w:t>échange d</w:t>
      </w:r>
      <w:r w:rsidR="00A20444" w:rsidRPr="002D02F3">
        <w:t>’</w:t>
      </w:r>
      <w:r w:rsidRPr="002D02F3">
        <w:t xml:space="preserve">expériences dans le contexte de la promotion du respect de la propriété intellectuelle. </w:t>
      </w:r>
      <w:r w:rsidR="0010442A" w:rsidRPr="002D02F3">
        <w:t xml:space="preserve"> </w:t>
      </w:r>
      <w:r w:rsidRPr="002D02F3">
        <w:t>À sa huitième session, l</w:t>
      </w:r>
      <w:r w:rsidR="00A20444" w:rsidRPr="002D02F3">
        <w:t>’</w:t>
      </w:r>
      <w:r w:rsidRPr="002D02F3">
        <w:t>ACE a travaillé au recensement des motivations, notamment les variables socioéconomiques, qui alimentent les atteintes aux droits de la propriété intellectuelle;</w:t>
      </w:r>
      <w:r w:rsidR="004F3E42" w:rsidRPr="002D02F3">
        <w:t xml:space="preserve"> </w:t>
      </w:r>
      <w:r w:rsidR="0010442A" w:rsidRPr="002D02F3">
        <w:t xml:space="preserve"> </w:t>
      </w:r>
      <w:r w:rsidRPr="002D02F3">
        <w:t>à l</w:t>
      </w:r>
      <w:r w:rsidR="00A20444" w:rsidRPr="002D02F3">
        <w:t>’</w:t>
      </w:r>
      <w:r w:rsidRPr="002D02F3">
        <w:t>élaboration de méthodes analytiques mesurant l</w:t>
      </w:r>
      <w:r w:rsidR="00A20444" w:rsidRPr="002D02F3">
        <w:t>’</w:t>
      </w:r>
      <w:r w:rsidRPr="002D02F3">
        <w:t>impact de la contrefaçon et du piratage;</w:t>
      </w:r>
      <w:r w:rsidR="004F3E42" w:rsidRPr="002D02F3">
        <w:t xml:space="preserve"> </w:t>
      </w:r>
      <w:r w:rsidR="0010442A" w:rsidRPr="002D02F3">
        <w:t xml:space="preserve"> </w:t>
      </w:r>
      <w:r w:rsidRPr="002D02F3">
        <w:t>et à l</w:t>
      </w:r>
      <w:r w:rsidR="00A20444" w:rsidRPr="002D02F3">
        <w:t>’</w:t>
      </w:r>
      <w:r w:rsidRPr="002D02F3">
        <w:t>analyse d</w:t>
      </w:r>
      <w:r w:rsidR="00A20444" w:rsidRPr="002D02F3">
        <w:t>’</w:t>
      </w:r>
      <w:r w:rsidRPr="002D02F3">
        <w:t>autres modèles pour combattre la contrefaçon et le piratage.</w:t>
      </w:r>
      <w:r w:rsidR="0010442A" w:rsidRPr="002D02F3">
        <w:t xml:space="preserve"> </w:t>
      </w:r>
      <w:r w:rsidRPr="002D02F3">
        <w:t xml:space="preserve"> Les États membres ont convenu que le programme de travail de la neuvième session de l</w:t>
      </w:r>
      <w:r w:rsidR="00A20444" w:rsidRPr="002D02F3">
        <w:t>’</w:t>
      </w:r>
      <w:r w:rsidRPr="002D02F3">
        <w:t>ACE serait consacré i) aux modes extrajudiciaires de règlement des litiges dans le domaine de la propriété intellectuelle et ii) aux mesures de prévention à prendre ou aux expériences réussies pour compléter les mesures d</w:t>
      </w:r>
      <w:r w:rsidR="00A20444" w:rsidRPr="002D02F3">
        <w:t>’</w:t>
      </w:r>
      <w:r w:rsidRPr="002D02F3">
        <w:t>application.</w:t>
      </w:r>
    </w:p>
    <w:p w:rsidR="00D42474" w:rsidRDefault="00D42474" w:rsidP="001A5BF9">
      <w:pPr>
        <w:tabs>
          <w:tab w:val="left" w:pos="709"/>
        </w:tabs>
        <w:ind w:left="2268" w:hanging="2268"/>
        <w:jc w:val="both"/>
        <w:rPr>
          <w:rFonts w:cs="Arial"/>
          <w:bCs/>
          <w:szCs w:val="20"/>
        </w:rPr>
      </w:pPr>
    </w:p>
    <w:p w:rsidR="00D42474" w:rsidRDefault="00784E52" w:rsidP="001A5BF9">
      <w:pPr>
        <w:tabs>
          <w:tab w:val="left" w:pos="709"/>
        </w:tabs>
        <w:jc w:val="both"/>
      </w:pPr>
      <w:r w:rsidRPr="002D02F3">
        <w:t>17.2.</w:t>
      </w:r>
      <w:r w:rsidRPr="002D02F3">
        <w:tab/>
        <w:t>Le programme 17 était confronté à une demande en augmentation constante par les États membres (pays en développement et PMA) d</w:t>
      </w:r>
      <w:r w:rsidR="00A20444" w:rsidRPr="002D02F3">
        <w:t>’</w:t>
      </w:r>
      <w:r w:rsidRPr="002D02F3">
        <w:t>une assistance technique, qui comprenait l</w:t>
      </w:r>
      <w:r w:rsidR="00A20444" w:rsidRPr="002D02F3">
        <w:t>’</w:t>
      </w:r>
      <w:r w:rsidRPr="002D02F3">
        <w:t>assistance législative liée à l</w:t>
      </w:r>
      <w:r w:rsidR="00A20444" w:rsidRPr="002D02F3">
        <w:t>’</w:t>
      </w:r>
      <w:r w:rsidRPr="002D02F3">
        <w:t>adoption ou au renforcement des cadres juridiques nationaux ou régionaux afin de satisfaire aux normes et obligations figurant dans la partie III de l</w:t>
      </w:r>
      <w:r w:rsidR="00A20444" w:rsidRPr="002D02F3">
        <w:t>’</w:t>
      </w:r>
      <w:r w:rsidRPr="002D02F3">
        <w:t>Accord sur</w:t>
      </w:r>
      <w:r w:rsidR="00A20444" w:rsidRPr="002D02F3">
        <w:t xml:space="preserve"> les ADP</w:t>
      </w:r>
      <w:r w:rsidRPr="002D02F3">
        <w:t>IC et, au besoin, aux services de conseil sur l</w:t>
      </w:r>
      <w:r w:rsidR="00A20444" w:rsidRPr="002D02F3">
        <w:t>’</w:t>
      </w:r>
      <w:r w:rsidRPr="002D02F3">
        <w:t>architecture institutionnelle de l</w:t>
      </w:r>
      <w:r w:rsidR="00A20444" w:rsidRPr="002D02F3">
        <w:t>’</w:t>
      </w:r>
      <w:r w:rsidRPr="002D02F3">
        <w:t xml:space="preserve">application des droits de propriété intellectuelle. </w:t>
      </w:r>
      <w:r w:rsidR="0010442A" w:rsidRPr="002D02F3">
        <w:t xml:space="preserve"> </w:t>
      </w:r>
      <w:r w:rsidRPr="002D02F3">
        <w:t>En fournissant cette assistance, le programme 17 a systématiquement indiqué les éléments de flexibilité et les options figurant dans la partie III de l</w:t>
      </w:r>
      <w:r w:rsidR="00A20444" w:rsidRPr="002D02F3">
        <w:t>’</w:t>
      </w:r>
      <w:r w:rsidRPr="002D02F3">
        <w:t>Accord sur</w:t>
      </w:r>
      <w:r w:rsidR="00A20444" w:rsidRPr="002D02F3">
        <w:t xml:space="preserve"> les ADP</w:t>
      </w:r>
      <w:r w:rsidRPr="002D02F3">
        <w:t>IC et, conformément à la recommandation n° 45 du Plan d</w:t>
      </w:r>
      <w:r w:rsidR="00A20444" w:rsidRPr="002D02F3">
        <w:t>’</w:t>
      </w:r>
      <w:r w:rsidRPr="002D02F3">
        <w:t>action pour le développement, souligné les grandes préoccupations en matière de développement à prendre en compte dans la mise en œuvre des dispositions liées à l</w:t>
      </w:r>
      <w:r w:rsidR="00A20444" w:rsidRPr="002D02F3">
        <w:t>’</w:t>
      </w:r>
      <w:r w:rsidRPr="002D02F3">
        <w:t>application.</w:t>
      </w:r>
    </w:p>
    <w:p w:rsidR="00D42474" w:rsidRDefault="00D42474" w:rsidP="001A5BF9">
      <w:pPr>
        <w:tabs>
          <w:tab w:val="left" w:pos="709"/>
        </w:tabs>
        <w:autoSpaceDE w:val="0"/>
        <w:autoSpaceDN w:val="0"/>
        <w:adjustRightInd w:val="0"/>
        <w:jc w:val="both"/>
        <w:rPr>
          <w:rFonts w:cs="Arial"/>
          <w:bCs/>
          <w:szCs w:val="20"/>
        </w:rPr>
      </w:pPr>
    </w:p>
    <w:p w:rsidR="00D42474" w:rsidRDefault="00784E52" w:rsidP="001A5BF9">
      <w:pPr>
        <w:tabs>
          <w:tab w:val="left" w:pos="709"/>
        </w:tabs>
        <w:jc w:val="both"/>
      </w:pPr>
      <w:r w:rsidRPr="002D02F3">
        <w:t>17.3.</w:t>
      </w:r>
      <w:r w:rsidRPr="002D02F3">
        <w:tab/>
        <w:t>Un nombre croissant d</w:t>
      </w:r>
      <w:r w:rsidR="00A20444" w:rsidRPr="002D02F3">
        <w:t>’</w:t>
      </w:r>
      <w:r w:rsidRPr="002D02F3">
        <w:t>activités relatives au renforcement des capacités ont également été entreprises dans le domaine de la promotion du respect de la propriété intellectuelle, en veillant à ce que le contenu de ces activités tienne compte de manière adéquate des besoins exprimés et des réalités socioéconomiques des États membres participants, ainsi qu</w:t>
      </w:r>
      <w:r w:rsidR="00A20444" w:rsidRPr="002D02F3">
        <w:t>’</w:t>
      </w:r>
      <w:r w:rsidRPr="002D02F3">
        <w:t>un équilibre approprié entre droits privés et intérêt public, conformément à la recommandation n° 45 du Plan d</w:t>
      </w:r>
      <w:r w:rsidR="00A20444" w:rsidRPr="002D02F3">
        <w:t>’</w:t>
      </w:r>
      <w:r w:rsidRPr="002D02F3">
        <w:t>action pour le développement.</w:t>
      </w:r>
    </w:p>
    <w:p w:rsidR="00D42474" w:rsidRDefault="00D42474" w:rsidP="001A5BF9">
      <w:pPr>
        <w:tabs>
          <w:tab w:val="left" w:pos="709"/>
        </w:tabs>
        <w:jc w:val="both"/>
        <w:rPr>
          <w:rFonts w:cs="Arial"/>
          <w:bCs/>
          <w:szCs w:val="20"/>
        </w:rPr>
      </w:pPr>
    </w:p>
    <w:p w:rsidR="00D42474" w:rsidRDefault="00784E52" w:rsidP="001A5BF9">
      <w:pPr>
        <w:tabs>
          <w:tab w:val="left" w:pos="709"/>
        </w:tabs>
        <w:jc w:val="both"/>
      </w:pPr>
      <w:r w:rsidRPr="002D02F3">
        <w:t>17.4.</w:t>
      </w:r>
      <w:r w:rsidRPr="002D02F3">
        <w:tab/>
        <w:t>En réponse à la demande croissante de la part des États membres, les activités susmentionnées ont également couvert le domaine de l</w:t>
      </w:r>
      <w:r w:rsidR="00A20444" w:rsidRPr="002D02F3">
        <w:t>’</w:t>
      </w:r>
      <w:r w:rsidRPr="002D02F3">
        <w:t>enseignement et de la sensibilisation en matière de propriété intellectuelle, dans le but d</w:t>
      </w:r>
      <w:r w:rsidR="00A20444" w:rsidRPr="002D02F3">
        <w:t>’</w:t>
      </w:r>
      <w:r w:rsidRPr="002D02F3">
        <w:t>encourager la participation des consommateurs et de les amener à mieux comprendre les avantages sociaux de l</w:t>
      </w:r>
      <w:r w:rsidR="00A20444" w:rsidRPr="002D02F3">
        <w:t>’</w:t>
      </w:r>
      <w:r w:rsidRPr="002D02F3">
        <w:t xml:space="preserve">application de droits de propriété intellectuelle afin de créer un environnement respectueux de ces droits. </w:t>
      </w:r>
      <w:r w:rsidR="0010442A" w:rsidRPr="002D02F3">
        <w:t xml:space="preserve"> </w:t>
      </w:r>
      <w:r w:rsidRPr="002D02F3">
        <w:t>Ces activités visaient à sensibiliser le public à titre de mesure de prévention en complément des mesures d</w:t>
      </w:r>
      <w:r w:rsidR="00A20444" w:rsidRPr="002D02F3">
        <w:t>’</w:t>
      </w:r>
      <w:r w:rsidRPr="002D02F3">
        <w:t>application actuelles et à informer les autorités nationales compétentes et les parties prenantes sur la manière d</w:t>
      </w:r>
      <w:r w:rsidR="00A20444" w:rsidRPr="002D02F3">
        <w:t>’</w:t>
      </w:r>
      <w:r w:rsidRPr="002D02F3">
        <w:t xml:space="preserve">élaborer et de mettre en œuvre des stratégies de sensibilisation au niveau national en vue de promouvoir le respect de la propriété intellectuelle. </w:t>
      </w:r>
      <w:r w:rsidR="0010442A" w:rsidRPr="002D02F3">
        <w:t xml:space="preserve"> </w:t>
      </w:r>
      <w:r w:rsidRPr="002D02F3">
        <w:t>En outre, suite au transfert en 2012 de l</w:t>
      </w:r>
      <w:r w:rsidR="00A20444" w:rsidRPr="002D02F3">
        <w:t>’</w:t>
      </w:r>
      <w:r w:rsidRPr="002D02F3">
        <w:t>attribution de prix et autres activités de sensibilisation de l</w:t>
      </w:r>
      <w:r w:rsidR="00A20444" w:rsidRPr="002D02F3">
        <w:t>’</w:t>
      </w:r>
      <w:r w:rsidRPr="002D02F3">
        <w:t>OMPI vers le programme 17, 240 prix de l</w:t>
      </w:r>
      <w:r w:rsidR="00A20444" w:rsidRPr="002D02F3">
        <w:t>’</w:t>
      </w:r>
      <w:r w:rsidRPr="002D02F3">
        <w:t>OMPI ont été remis en vue d</w:t>
      </w:r>
      <w:r w:rsidR="00A20444" w:rsidRPr="002D02F3">
        <w:t>’</w:t>
      </w:r>
      <w:r w:rsidRPr="002D02F3">
        <w:t>appuyer les stratégies de sensibilisation nationales.</w:t>
      </w:r>
    </w:p>
    <w:p w:rsidR="00D42474" w:rsidRDefault="00D42474" w:rsidP="001A5BF9">
      <w:pPr>
        <w:tabs>
          <w:tab w:val="left" w:pos="709"/>
        </w:tabs>
        <w:jc w:val="both"/>
        <w:rPr>
          <w:rFonts w:cs="Arial"/>
          <w:bCs/>
          <w:szCs w:val="20"/>
        </w:rPr>
      </w:pPr>
    </w:p>
    <w:p w:rsidR="00D42474" w:rsidRDefault="00784E52" w:rsidP="001A5BF9">
      <w:pPr>
        <w:tabs>
          <w:tab w:val="left" w:pos="709"/>
        </w:tabs>
        <w:jc w:val="both"/>
        <w:rPr>
          <w:rFonts w:cs="Arial"/>
          <w:bCs/>
          <w:szCs w:val="20"/>
        </w:rPr>
      </w:pPr>
      <w:r w:rsidRPr="002D02F3">
        <w:t>17.5.</w:t>
      </w:r>
      <w:r w:rsidRPr="002D02F3">
        <w:tab/>
        <w:t>Le Secrétariat fournit à l</w:t>
      </w:r>
      <w:r w:rsidR="00A20444" w:rsidRPr="002D02F3">
        <w:t>’</w:t>
      </w:r>
      <w:r w:rsidRPr="002D02F3">
        <w:t>ACE un rapport complet de ses activités dans le domaine de la promotion du respect de la propriété intellectuelle.</w:t>
      </w:r>
    </w:p>
    <w:p w:rsidR="00D42474" w:rsidRDefault="00D42474" w:rsidP="001A5BF9">
      <w:pPr>
        <w:tabs>
          <w:tab w:val="left" w:pos="709"/>
        </w:tabs>
        <w:autoSpaceDE w:val="0"/>
        <w:autoSpaceDN w:val="0"/>
        <w:adjustRightInd w:val="0"/>
        <w:jc w:val="both"/>
        <w:rPr>
          <w:rFonts w:cs="Arial"/>
          <w:bCs/>
          <w:szCs w:val="20"/>
        </w:rPr>
      </w:pPr>
    </w:p>
    <w:p w:rsidR="00D42474" w:rsidRDefault="00784E52" w:rsidP="001A5BF9">
      <w:pPr>
        <w:tabs>
          <w:tab w:val="left" w:pos="709"/>
        </w:tabs>
        <w:jc w:val="both"/>
      </w:pPr>
      <w:r w:rsidRPr="002D02F3">
        <w:t>17.6.</w:t>
      </w:r>
      <w:r w:rsidRPr="002D02F3">
        <w:tab/>
        <w:t>Le programme 17 a poursuivi la coopération et la coordination avec des organisations intergouvernementales et non gouvernementales, des associations de parties prenantes et des établissements d</w:t>
      </w:r>
      <w:r w:rsidR="00A20444" w:rsidRPr="002D02F3">
        <w:t>’</w:t>
      </w:r>
      <w:r w:rsidRPr="002D02F3">
        <w:t xml:space="preserve">enseignement, pour intégrer des préoccupations en matière de développement dans les travaux des organisations partenaires. </w:t>
      </w:r>
      <w:r w:rsidR="0010442A" w:rsidRPr="002D02F3">
        <w:t xml:space="preserve"> </w:t>
      </w:r>
      <w:r w:rsidRPr="002D02F3">
        <w:t>L</w:t>
      </w:r>
      <w:r w:rsidR="00A20444" w:rsidRPr="002D02F3">
        <w:t>’</w:t>
      </w:r>
      <w:r w:rsidRPr="002D02F3">
        <w:t>approche du programme visant à chercher l</w:t>
      </w:r>
      <w:r w:rsidR="00A20444" w:rsidRPr="002D02F3">
        <w:t>’</w:t>
      </w:r>
      <w:r w:rsidRPr="002D02F3">
        <w:t>équilibre dans l</w:t>
      </w:r>
      <w:r w:rsidR="00A20444" w:rsidRPr="002D02F3">
        <w:t>’</w:t>
      </w:r>
      <w:r w:rsidRPr="002D02F3">
        <w:t>intégralité de ses activités, en tenant compte des intérêts des titulaires de droits privés et de la société civile, était appuyée par les organisations partenaires, comme par exemple, lors du</w:t>
      </w:r>
      <w:r w:rsidR="004F3E42" w:rsidRPr="002D02F3">
        <w:t xml:space="preserve"> </w:t>
      </w:r>
      <w:r w:rsidRPr="002D02F3">
        <w:t>septième Congrès mondial sur la lutte contre la contrefaçon et le piratage, qui a eu lieu à Istanbul (avril 2013).</w:t>
      </w:r>
    </w:p>
    <w:p w:rsidR="00D42474" w:rsidRDefault="00D42474" w:rsidP="001A5BF9">
      <w:pPr>
        <w:jc w:val="both"/>
        <w:rPr>
          <w:rFonts w:cs="Arial"/>
          <w:bCs/>
          <w:szCs w:val="22"/>
        </w:rPr>
      </w:pPr>
    </w:p>
    <w:p w:rsidR="00D42474" w:rsidRDefault="00D42474" w:rsidP="001A5BF9">
      <w:pPr>
        <w:ind w:left="2268" w:hanging="2268"/>
        <w:jc w:val="both"/>
      </w:pPr>
    </w:p>
    <w:p w:rsidR="00D42474" w:rsidRDefault="00516343">
      <w:pPr>
        <w:rPr>
          <w:sz w:val="22"/>
        </w:rPr>
      </w:pPr>
      <w:r>
        <w:rPr>
          <w:sz w:val="22"/>
        </w:rPr>
        <w:br w:type="page"/>
      </w:r>
    </w:p>
    <w:p w:rsidR="00D42474" w:rsidRDefault="00784E52" w:rsidP="001A5BF9">
      <w:pPr>
        <w:ind w:left="2268" w:hanging="2268"/>
        <w:jc w:val="both"/>
      </w:pPr>
      <w:r w:rsidRPr="002D02F3">
        <w:rPr>
          <w:sz w:val="22"/>
        </w:rPr>
        <w:t>MISE EN ŒUVRE DU PLAN D</w:t>
      </w:r>
      <w:r w:rsidR="00A20444" w:rsidRPr="002D02F3">
        <w:rPr>
          <w:sz w:val="22"/>
        </w:rPr>
        <w:t>’</w:t>
      </w:r>
      <w:r w:rsidRPr="002D02F3">
        <w:rPr>
          <w:sz w:val="22"/>
        </w:rPr>
        <w:t>ACTION POUR LE DÉVELOPPEMENT</w:t>
      </w:r>
    </w:p>
    <w:p w:rsidR="00D42474" w:rsidRDefault="00D42474" w:rsidP="001A5BF9">
      <w:pPr>
        <w:ind w:left="2268" w:hanging="2268"/>
        <w:jc w:val="both"/>
        <w:rPr>
          <w:rFonts w:cs="Arial"/>
          <w:bCs/>
          <w:szCs w:val="22"/>
        </w:rPr>
      </w:pPr>
    </w:p>
    <w:p w:rsidR="00D42474" w:rsidRDefault="00784E52" w:rsidP="001A5BF9">
      <w:pPr>
        <w:tabs>
          <w:tab w:val="left" w:pos="709"/>
        </w:tabs>
        <w:jc w:val="both"/>
      </w:pPr>
      <w:r w:rsidRPr="002D02F3">
        <w:t>17.7</w:t>
      </w:r>
      <w:r w:rsidRPr="002D02F3">
        <w:tab/>
        <w:t>L</w:t>
      </w:r>
      <w:r w:rsidR="00A20444" w:rsidRPr="002D02F3">
        <w:t>’</w:t>
      </w:r>
      <w:r w:rsidRPr="002D02F3">
        <w:t>élaboration, la planification et la mise en œuvre de toutes les activités menées dans le cadre du programme 17 se sont appuyées sur les recommandations pertinentes du Plan d</w:t>
      </w:r>
      <w:r w:rsidR="00A20444" w:rsidRPr="002D02F3">
        <w:t>’</w:t>
      </w:r>
      <w:r w:rsidRPr="002D02F3">
        <w:t>action pour le développement, en particulier les recommandations n</w:t>
      </w:r>
      <w:r w:rsidRPr="002D02F3">
        <w:rPr>
          <w:vertAlign w:val="superscript"/>
        </w:rPr>
        <w:t>os</w:t>
      </w:r>
      <w:r w:rsidRPr="002D02F3">
        <w:t xml:space="preserve"> 1 et 45.</w:t>
      </w:r>
    </w:p>
    <w:p w:rsidR="00D42474" w:rsidRDefault="00D42474" w:rsidP="001A5BF9">
      <w:pPr>
        <w:jc w:val="both"/>
        <w:rPr>
          <w:rFonts w:cs="Arial"/>
          <w:bCs/>
          <w:szCs w:val="20"/>
        </w:rPr>
      </w:pPr>
    </w:p>
    <w:p w:rsidR="00D42474" w:rsidRDefault="00784E52" w:rsidP="001A5BF9">
      <w:pPr>
        <w:tabs>
          <w:tab w:val="left" w:pos="709"/>
        </w:tabs>
        <w:jc w:val="both"/>
        <w:rPr>
          <w:rFonts w:cs="Arial"/>
          <w:bCs/>
          <w:szCs w:val="20"/>
        </w:rPr>
      </w:pPr>
      <w:r w:rsidRPr="002D02F3">
        <w:t>17.8</w:t>
      </w:r>
      <w:r w:rsidRPr="002D02F3">
        <w:tab/>
        <w:t>En termes plus concrets, les activités d</w:t>
      </w:r>
      <w:r w:rsidR="00A20444" w:rsidRPr="002D02F3">
        <w:t>’</w:t>
      </w:r>
      <w:r w:rsidRPr="002D02F3">
        <w:t>assistance technique, de renforcement des capacités et d</w:t>
      </w:r>
      <w:r w:rsidR="00A20444" w:rsidRPr="002D02F3">
        <w:t>’</w:t>
      </w:r>
      <w:r w:rsidRPr="002D02F3">
        <w:t>assistance législative ont été axées sur le développement, déterminées par la demande, neutres et transparentes, conformément aux recommandations susmentionnées ainsi qu</w:t>
      </w:r>
      <w:r w:rsidR="00A20444" w:rsidRPr="002D02F3">
        <w:t>’</w:t>
      </w:r>
      <w:r w:rsidRPr="002D02F3">
        <w:t>aux recommandations n</w:t>
      </w:r>
      <w:r w:rsidRPr="002D02F3">
        <w:rPr>
          <w:vertAlign w:val="superscript"/>
        </w:rPr>
        <w:t>os</w:t>
      </w:r>
      <w:r w:rsidRPr="002D02F3">
        <w:t> 6, 12, 13, et 14.</w:t>
      </w:r>
      <w:r w:rsidR="004F3E42" w:rsidRPr="002D02F3">
        <w:t xml:space="preserve"> </w:t>
      </w:r>
      <w:r w:rsidR="0010442A" w:rsidRPr="002D02F3">
        <w:t xml:space="preserve"> </w:t>
      </w:r>
      <w:r w:rsidRPr="002D02F3">
        <w:t>En outre, la recommandation n°</w:t>
      </w:r>
      <w:r w:rsidR="0010442A" w:rsidRPr="002D02F3">
        <w:t> </w:t>
      </w:r>
      <w:r w:rsidRPr="002D02F3">
        <w:t>45 a inspiré le programme de travail approuvé par l</w:t>
      </w:r>
      <w:r w:rsidR="00A20444" w:rsidRPr="002D02F3">
        <w:t>’</w:t>
      </w:r>
      <w:r w:rsidRPr="002D02F3">
        <w:t>ACE à sa huitième</w:t>
      </w:r>
      <w:r w:rsidR="0010442A" w:rsidRPr="002D02F3">
        <w:t> </w:t>
      </w:r>
      <w:r w:rsidRPr="002D02F3">
        <w:t>session.</w:t>
      </w:r>
    </w:p>
    <w:p w:rsidR="00D42474" w:rsidRDefault="00D42474" w:rsidP="001A5BF9">
      <w:pPr>
        <w:rPr>
          <w:rFonts w:eastAsia="MS Mincho" w:cs="Arial"/>
          <w:szCs w:val="22"/>
          <w:lang w:bidi="th-TH"/>
        </w:rPr>
      </w:pPr>
    </w:p>
    <w:p w:rsidR="00D42474" w:rsidRDefault="00D42474" w:rsidP="001A5BF9">
      <w:pPr>
        <w:rPr>
          <w:rFonts w:eastAsia="MS Mincho" w:cs="Arial"/>
          <w:szCs w:val="22"/>
          <w:lang w:bidi="th-TH"/>
        </w:rPr>
      </w:pPr>
    </w:p>
    <w:p w:rsidR="00D42474" w:rsidRDefault="00784E52" w:rsidP="001A5BF9">
      <w:pPr>
        <w:ind w:left="2268" w:hanging="2268"/>
        <w:rPr>
          <w:rFonts w:cs="Arial"/>
          <w:szCs w:val="22"/>
        </w:rPr>
      </w:pPr>
      <w:r w:rsidRPr="002D02F3">
        <w:rPr>
          <w:sz w:val="22"/>
        </w:rPr>
        <w:t>DONNÉES RELATIVES À L</w:t>
      </w:r>
      <w:r w:rsidR="00A20444" w:rsidRPr="002D02F3">
        <w:rPr>
          <w:sz w:val="22"/>
        </w:rPr>
        <w:t>’</w:t>
      </w:r>
      <w:r w:rsidRPr="002D02F3">
        <w:rPr>
          <w:sz w:val="22"/>
        </w:rPr>
        <w:t>EXÉCUTION</w:t>
      </w:r>
    </w:p>
    <w:p w:rsidR="00784E52" w:rsidRPr="00516343" w:rsidRDefault="00784E52" w:rsidP="001A5BF9">
      <w:pPr>
        <w:ind w:left="2268" w:hanging="2268"/>
        <w:rPr>
          <w:rFonts w:cs="Arial"/>
          <w:szCs w:val="22"/>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6"/>
        <w:gridCol w:w="1495"/>
        <w:gridCol w:w="281"/>
        <w:gridCol w:w="1428"/>
        <w:gridCol w:w="3251"/>
        <w:gridCol w:w="1276"/>
      </w:tblGrid>
      <w:tr w:rsidR="00784E52" w:rsidRPr="002D02F3" w:rsidTr="00BB3F3E">
        <w:trPr>
          <w:cantSplit/>
        </w:trPr>
        <w:tc>
          <w:tcPr>
            <w:tcW w:w="5000" w:type="pct"/>
            <w:gridSpan w:val="6"/>
            <w:tcBorders>
              <w:top w:val="single" w:sz="4" w:space="0" w:color="auto"/>
              <w:bottom w:val="single" w:sz="4" w:space="0" w:color="auto"/>
            </w:tcBorders>
            <w:shd w:val="clear" w:color="auto" w:fill="CCFFFF"/>
            <w:vAlign w:val="center"/>
          </w:tcPr>
          <w:p w:rsidR="00784E52" w:rsidRPr="002D02F3" w:rsidRDefault="00784E52" w:rsidP="00516343">
            <w:pPr>
              <w:keepNext/>
              <w:keepLines/>
              <w:spacing w:before="120" w:after="120"/>
              <w:ind w:left="1735" w:hanging="1735"/>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Progrès du dialogue international de politique générale entre les États membres de l</w:t>
            </w:r>
            <w:r w:rsidR="00A20444" w:rsidRPr="002D02F3">
              <w:rPr>
                <w:sz w:val="16"/>
              </w:rPr>
              <w:t>’</w:t>
            </w:r>
            <w:r w:rsidRPr="002D02F3">
              <w:rPr>
                <w:sz w:val="16"/>
              </w:rPr>
              <w:t>OMPI en ce qui concerne la promotion du respect de la propriété intellectuelle, compte tenu de la recommandation n°</w:t>
            </w:r>
            <w:r w:rsidR="0010442A" w:rsidRPr="002D02F3">
              <w:rPr>
                <w:sz w:val="16"/>
              </w:rPr>
              <w:t> </w:t>
            </w:r>
            <w:r w:rsidRPr="002D02F3">
              <w:rPr>
                <w:sz w:val="16"/>
              </w:rPr>
              <w:t>45 du Plan d</w:t>
            </w:r>
            <w:r w:rsidR="00A20444" w:rsidRPr="002D02F3">
              <w:rPr>
                <w:sz w:val="16"/>
              </w:rPr>
              <w:t>’</w:t>
            </w:r>
            <w:r w:rsidRPr="002D02F3">
              <w:rPr>
                <w:sz w:val="16"/>
              </w:rPr>
              <w:t>action pour le développement</w:t>
            </w:r>
          </w:p>
        </w:tc>
      </w:tr>
      <w:tr w:rsidR="00784E52" w:rsidRPr="002D02F3" w:rsidTr="00BB3F3E">
        <w:trPr>
          <w:cantSplit/>
        </w:trPr>
        <w:tc>
          <w:tcPr>
            <w:tcW w:w="869" w:type="pct"/>
            <w:tcBorders>
              <w:top w:val="single" w:sz="4" w:space="0" w:color="auto"/>
            </w:tcBorders>
            <w:shd w:val="clear" w:color="auto" w:fill="auto"/>
            <w:vAlign w:val="center"/>
          </w:tcPr>
          <w:p w:rsidR="00784E52" w:rsidRPr="002D02F3" w:rsidRDefault="00784E52" w:rsidP="00CB2895">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799" w:type="pct"/>
            <w:tcBorders>
              <w:top w:val="single" w:sz="4" w:space="0" w:color="auto"/>
            </w:tcBorders>
            <w:shd w:val="clear" w:color="auto" w:fill="auto"/>
            <w:vAlign w:val="center"/>
          </w:tcPr>
          <w:p w:rsidR="00784E52" w:rsidRPr="002D02F3" w:rsidRDefault="00784E52" w:rsidP="00CB2895">
            <w:pPr>
              <w:rPr>
                <w:rFonts w:cs="Arial"/>
                <w:b/>
                <w:bCs/>
                <w:sz w:val="16"/>
                <w:szCs w:val="16"/>
              </w:rPr>
            </w:pPr>
            <w:r w:rsidRPr="002D02F3">
              <w:rPr>
                <w:b/>
                <w:sz w:val="16"/>
              </w:rPr>
              <w:t>Niveaux de référence</w:t>
            </w:r>
          </w:p>
        </w:tc>
        <w:tc>
          <w:tcPr>
            <w:tcW w:w="913" w:type="pct"/>
            <w:gridSpan w:val="2"/>
            <w:tcBorders>
              <w:top w:val="single" w:sz="4" w:space="0" w:color="auto"/>
            </w:tcBorders>
            <w:shd w:val="clear" w:color="auto" w:fill="auto"/>
            <w:tcMar>
              <w:top w:w="110" w:type="dxa"/>
            </w:tcMar>
            <w:vAlign w:val="center"/>
          </w:tcPr>
          <w:p w:rsidR="00784E52" w:rsidRPr="002D02F3" w:rsidRDefault="00784E52" w:rsidP="00CB2895">
            <w:pPr>
              <w:rPr>
                <w:rFonts w:cs="Arial"/>
                <w:b/>
                <w:sz w:val="16"/>
                <w:szCs w:val="16"/>
              </w:rPr>
            </w:pPr>
            <w:r w:rsidRPr="002D02F3">
              <w:rPr>
                <w:b/>
                <w:sz w:val="16"/>
              </w:rPr>
              <w:t>Objectifs visés</w:t>
            </w:r>
          </w:p>
        </w:tc>
        <w:tc>
          <w:tcPr>
            <w:tcW w:w="1737" w:type="pct"/>
            <w:tcBorders>
              <w:top w:val="single" w:sz="4" w:space="0" w:color="auto"/>
            </w:tcBorders>
            <w:shd w:val="clear" w:color="auto" w:fill="FFFFFF"/>
            <w:tcMar>
              <w:top w:w="110" w:type="dxa"/>
            </w:tcMar>
            <w:vAlign w:val="center"/>
          </w:tcPr>
          <w:p w:rsidR="00784E52" w:rsidRPr="002D02F3" w:rsidRDefault="00784E52" w:rsidP="00CB2895">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784E52" w:rsidRPr="002D02F3" w:rsidRDefault="00784E52" w:rsidP="001A5BF9">
            <w:pPr>
              <w:keepNext/>
              <w:keepLines/>
              <w:jc w:val="center"/>
              <w:rPr>
                <w:rFonts w:cs="Arial"/>
                <w:b/>
                <w:bCs/>
                <w:sz w:val="16"/>
                <w:szCs w:val="16"/>
              </w:rPr>
            </w:pPr>
            <w:r w:rsidRPr="002D02F3">
              <w:rPr>
                <w:b/>
                <w:sz w:val="16"/>
              </w:rPr>
              <w:t>Code de couleurs</w:t>
            </w:r>
          </w:p>
        </w:tc>
      </w:tr>
      <w:tr w:rsidR="00784E52" w:rsidRPr="005C7CCE" w:rsidTr="00BB3F3E">
        <w:trPr>
          <w:cantSplit/>
        </w:trPr>
        <w:tc>
          <w:tcPr>
            <w:tcW w:w="869" w:type="pct"/>
            <w:tcBorders>
              <w:bottom w:val="single" w:sz="4" w:space="0" w:color="auto"/>
            </w:tcBorders>
            <w:shd w:val="clear" w:color="auto" w:fill="auto"/>
          </w:tcPr>
          <w:p w:rsidR="00784E52" w:rsidRPr="00516343" w:rsidRDefault="00784E52" w:rsidP="001A5BF9">
            <w:pPr>
              <w:rPr>
                <w:rFonts w:cs="Arial"/>
                <w:sz w:val="16"/>
                <w:szCs w:val="16"/>
              </w:rPr>
            </w:pPr>
            <w:r w:rsidRPr="00516343">
              <w:rPr>
                <w:sz w:val="16"/>
              </w:rPr>
              <w:t>Accord permanent des États membres sur les activités de fond du Comité consultatif de l</w:t>
            </w:r>
            <w:r w:rsidR="00A20444" w:rsidRPr="00516343">
              <w:rPr>
                <w:sz w:val="16"/>
              </w:rPr>
              <w:t>’</w:t>
            </w:r>
            <w:r w:rsidRPr="00516343">
              <w:rPr>
                <w:sz w:val="16"/>
              </w:rPr>
              <w:t>OMPI sur l</w:t>
            </w:r>
            <w:r w:rsidR="00A20444" w:rsidRPr="00516343">
              <w:rPr>
                <w:sz w:val="16"/>
              </w:rPr>
              <w:t>’</w:t>
            </w:r>
            <w:r w:rsidRPr="00516343">
              <w:rPr>
                <w:sz w:val="16"/>
              </w:rPr>
              <w:t>application des droits (ACE) au cours de l</w:t>
            </w:r>
            <w:r w:rsidR="00A20444" w:rsidRPr="00516343">
              <w:rPr>
                <w:sz w:val="16"/>
              </w:rPr>
              <w:t>’</w:t>
            </w:r>
            <w:r w:rsidRPr="00516343">
              <w:rPr>
                <w:sz w:val="16"/>
              </w:rPr>
              <w:t>exercice biennal, en prenant en considération les préoccupations relatives au développement</w:t>
            </w:r>
          </w:p>
        </w:tc>
        <w:tc>
          <w:tcPr>
            <w:tcW w:w="799" w:type="pct"/>
            <w:tcBorders>
              <w:bottom w:val="single" w:sz="4" w:space="0" w:color="auto"/>
            </w:tcBorders>
            <w:shd w:val="clear" w:color="auto" w:fill="auto"/>
          </w:tcPr>
          <w:p w:rsidR="00784E52" w:rsidRPr="00516343" w:rsidRDefault="00784E52" w:rsidP="001A5BF9">
            <w:pPr>
              <w:rPr>
                <w:rFonts w:cs="Arial"/>
                <w:sz w:val="16"/>
                <w:szCs w:val="16"/>
              </w:rPr>
            </w:pPr>
            <w:r w:rsidRPr="00516343">
              <w:rPr>
                <w:sz w:val="16"/>
              </w:rPr>
              <w:t>Programme de travail en cours</w:t>
            </w:r>
          </w:p>
        </w:tc>
        <w:tc>
          <w:tcPr>
            <w:tcW w:w="913" w:type="pct"/>
            <w:gridSpan w:val="2"/>
            <w:tcBorders>
              <w:bottom w:val="single" w:sz="4" w:space="0" w:color="auto"/>
            </w:tcBorders>
            <w:shd w:val="clear" w:color="auto" w:fill="auto"/>
            <w:tcMar>
              <w:top w:w="110" w:type="dxa"/>
            </w:tcMar>
          </w:tcPr>
          <w:p w:rsidR="00D42474" w:rsidRDefault="00784E52" w:rsidP="001A5BF9">
            <w:pPr>
              <w:autoSpaceDE w:val="0"/>
              <w:autoSpaceDN w:val="0"/>
              <w:adjustRightInd w:val="0"/>
              <w:rPr>
                <w:rFonts w:cs="Arial"/>
                <w:sz w:val="16"/>
                <w:szCs w:val="16"/>
              </w:rPr>
            </w:pPr>
            <w:r w:rsidRPr="005C7CCE">
              <w:rPr>
                <w:sz w:val="16"/>
                <w:szCs w:val="16"/>
              </w:rPr>
              <w:t>Accord sur</w:t>
            </w:r>
          </w:p>
          <w:p w:rsidR="00D42474" w:rsidRDefault="00784E52" w:rsidP="001A5BF9">
            <w:pPr>
              <w:autoSpaceDE w:val="0"/>
              <w:autoSpaceDN w:val="0"/>
              <w:adjustRightInd w:val="0"/>
              <w:rPr>
                <w:rFonts w:cs="Arial"/>
                <w:sz w:val="16"/>
                <w:szCs w:val="16"/>
              </w:rPr>
            </w:pPr>
            <w:r w:rsidRPr="005C7CCE">
              <w:rPr>
                <w:sz w:val="16"/>
                <w:szCs w:val="16"/>
              </w:rPr>
              <w:t>les programmes de travail</w:t>
            </w:r>
          </w:p>
          <w:p w:rsidR="00D42474" w:rsidRDefault="00784E52" w:rsidP="001A5BF9">
            <w:pPr>
              <w:autoSpaceDE w:val="0"/>
              <w:autoSpaceDN w:val="0"/>
              <w:adjustRightInd w:val="0"/>
              <w:rPr>
                <w:rFonts w:cs="Arial"/>
                <w:sz w:val="16"/>
                <w:szCs w:val="16"/>
              </w:rPr>
            </w:pPr>
            <w:r w:rsidRPr="005C7CCE">
              <w:rPr>
                <w:sz w:val="16"/>
                <w:szCs w:val="16"/>
              </w:rPr>
              <w:t>des huitième et neuvième sessions</w:t>
            </w:r>
          </w:p>
          <w:p w:rsidR="00784E52" w:rsidRPr="005C7CCE" w:rsidRDefault="00784E52" w:rsidP="001A5BF9">
            <w:pPr>
              <w:rPr>
                <w:rFonts w:cs="Arial"/>
                <w:i/>
                <w:sz w:val="16"/>
                <w:szCs w:val="16"/>
              </w:rPr>
            </w:pPr>
            <w:r w:rsidRPr="005C7CCE">
              <w:rPr>
                <w:sz w:val="16"/>
                <w:szCs w:val="16"/>
              </w:rPr>
              <w:t>de l</w:t>
            </w:r>
            <w:r w:rsidR="00A20444" w:rsidRPr="005C7CCE">
              <w:rPr>
                <w:sz w:val="16"/>
                <w:szCs w:val="16"/>
              </w:rPr>
              <w:t>’</w:t>
            </w:r>
            <w:r w:rsidRPr="005C7CCE">
              <w:rPr>
                <w:sz w:val="16"/>
                <w:szCs w:val="16"/>
              </w:rPr>
              <w:t xml:space="preserve">ACE </w:t>
            </w:r>
          </w:p>
        </w:tc>
        <w:tc>
          <w:tcPr>
            <w:tcW w:w="1737" w:type="pct"/>
            <w:tcBorders>
              <w:bottom w:val="single" w:sz="4" w:space="0" w:color="auto"/>
            </w:tcBorders>
            <w:shd w:val="clear" w:color="auto" w:fill="FFFFFF"/>
            <w:tcMar>
              <w:top w:w="110" w:type="dxa"/>
            </w:tcMar>
          </w:tcPr>
          <w:p w:rsidR="00784E52" w:rsidRPr="005C7CCE" w:rsidRDefault="00784E52" w:rsidP="001A5BF9">
            <w:pPr>
              <w:rPr>
                <w:rFonts w:cs="Arial"/>
                <w:sz w:val="16"/>
                <w:szCs w:val="16"/>
                <w:lang w:bidi="th-TH"/>
              </w:rPr>
            </w:pPr>
            <w:r w:rsidRPr="005C7CCE">
              <w:rPr>
                <w:sz w:val="16"/>
              </w:rPr>
              <w:t>Huit documents fondés sur l</w:t>
            </w:r>
            <w:r w:rsidR="00A20444" w:rsidRPr="005C7CCE">
              <w:rPr>
                <w:sz w:val="16"/>
              </w:rPr>
              <w:t>’</w:t>
            </w:r>
            <w:r w:rsidRPr="005C7CCE">
              <w:rPr>
                <w:sz w:val="16"/>
              </w:rPr>
              <w:t>objectif stratégique VI ont été présentés lors de la huitième session de l</w:t>
            </w:r>
            <w:r w:rsidR="00A20444" w:rsidRPr="005C7CCE">
              <w:rPr>
                <w:sz w:val="16"/>
              </w:rPr>
              <w:t>’</w:t>
            </w:r>
            <w:r w:rsidRPr="005C7CCE">
              <w:rPr>
                <w:sz w:val="16"/>
              </w:rPr>
              <w:t>ACE, qui s</w:t>
            </w:r>
            <w:r w:rsidR="00A20444" w:rsidRPr="005C7CCE">
              <w:rPr>
                <w:sz w:val="16"/>
              </w:rPr>
              <w:t>’</w:t>
            </w:r>
            <w:r w:rsidRPr="005C7CCE">
              <w:rPr>
                <w:sz w:val="16"/>
              </w:rPr>
              <w:t xml:space="preserve">est déroulée en décembre 2012. </w:t>
            </w:r>
            <w:r w:rsidR="0010442A" w:rsidRPr="005C7CCE">
              <w:rPr>
                <w:sz w:val="16"/>
              </w:rPr>
              <w:t xml:space="preserve"> </w:t>
            </w:r>
            <w:r w:rsidRPr="005C7CCE">
              <w:rPr>
                <w:sz w:val="16"/>
              </w:rPr>
              <w:t>Lors de cette session, les États membres ont convenu du programme de travail suivant pour la neuvième session : i) pratiques en matière de règlement extrajudiciaire des litiges dans différents domaines de la propriété intellectuelle et leur mise en œuvre;</w:t>
            </w:r>
            <w:r w:rsidR="004F3E42" w:rsidRPr="005C7CCE">
              <w:rPr>
                <w:sz w:val="16"/>
              </w:rPr>
              <w:t xml:space="preserve"> </w:t>
            </w:r>
            <w:r w:rsidR="0010442A" w:rsidRPr="005C7CCE">
              <w:rPr>
                <w:sz w:val="16"/>
              </w:rPr>
              <w:t xml:space="preserve"> </w:t>
            </w:r>
            <w:r w:rsidRPr="005C7CCE">
              <w:rPr>
                <w:sz w:val="16"/>
              </w:rPr>
              <w:t>et ii) actions, mesures ou expériences réussies en matière de prévention visant à compléter les mesures d</w:t>
            </w:r>
            <w:r w:rsidR="00A20444" w:rsidRPr="005C7CCE">
              <w:rPr>
                <w:sz w:val="16"/>
              </w:rPr>
              <w:t>’</w:t>
            </w:r>
            <w:r w:rsidRPr="005C7CCE">
              <w:rPr>
                <w:sz w:val="16"/>
              </w:rPr>
              <w:t xml:space="preserve">application en vigueur des droits, de manière à réduire la taille du marché pour les produits pirates ou de contrefaçon. </w:t>
            </w:r>
            <w:r w:rsidR="0010442A" w:rsidRPr="005C7CCE">
              <w:rPr>
                <w:sz w:val="16"/>
              </w:rPr>
              <w:t xml:space="preserve"> </w:t>
            </w:r>
            <w:r w:rsidRPr="005C7CCE">
              <w:rPr>
                <w:sz w:val="16"/>
              </w:rPr>
              <w:t>(WIPO/ACE/8/12).</w:t>
            </w:r>
          </w:p>
        </w:tc>
        <w:tc>
          <w:tcPr>
            <w:tcW w:w="682" w:type="pct"/>
            <w:tcBorders>
              <w:bottom w:val="single" w:sz="4" w:space="0" w:color="auto"/>
            </w:tcBorders>
            <w:shd w:val="clear" w:color="auto" w:fill="auto"/>
            <w:tcMar>
              <w:top w:w="110" w:type="dxa"/>
            </w:tcMar>
          </w:tcPr>
          <w:p w:rsidR="00784E52" w:rsidRPr="00516343"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2D02F3" w:rsidTr="00BB3F3E">
        <w:trPr>
          <w:cantSplit/>
        </w:trPr>
        <w:tc>
          <w:tcPr>
            <w:tcW w:w="5000" w:type="pct"/>
            <w:gridSpan w:val="6"/>
            <w:tcBorders>
              <w:top w:val="single" w:sz="4" w:space="0" w:color="auto"/>
              <w:bottom w:val="single" w:sz="4" w:space="0" w:color="auto"/>
            </w:tcBorders>
            <w:shd w:val="clear" w:color="auto" w:fill="CCFFFF"/>
            <w:vAlign w:val="center"/>
          </w:tcPr>
          <w:p w:rsidR="00784E52" w:rsidRPr="002D02F3" w:rsidRDefault="00784E52" w:rsidP="001A5BF9">
            <w:pPr>
              <w:keepNext/>
              <w:keepLines/>
              <w:tabs>
                <w:tab w:val="left" w:pos="1452"/>
              </w:tabs>
              <w:spacing w:before="120" w:after="120"/>
              <w:ind w:left="1452" w:hanging="1452"/>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Cadres législatif, réglementaires et politiques équilibrés et adaptés en matière de propriété intellectuelle</w:t>
            </w:r>
          </w:p>
        </w:tc>
      </w:tr>
      <w:tr w:rsidR="00784E52" w:rsidRPr="002D02F3" w:rsidTr="002A762E">
        <w:trPr>
          <w:cantSplit/>
        </w:trPr>
        <w:tc>
          <w:tcPr>
            <w:tcW w:w="869" w:type="pct"/>
            <w:tcBorders>
              <w:top w:val="single" w:sz="4" w:space="0" w:color="auto"/>
            </w:tcBorders>
            <w:shd w:val="clear" w:color="auto" w:fill="auto"/>
            <w:vAlign w:val="center"/>
          </w:tcPr>
          <w:p w:rsidR="00784E52" w:rsidRPr="002D02F3" w:rsidRDefault="00784E52" w:rsidP="00CB2895">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49" w:type="pct"/>
            <w:gridSpan w:val="2"/>
            <w:tcBorders>
              <w:top w:val="single" w:sz="4" w:space="0" w:color="auto"/>
            </w:tcBorders>
            <w:shd w:val="clear" w:color="auto" w:fill="auto"/>
            <w:vAlign w:val="center"/>
          </w:tcPr>
          <w:p w:rsidR="00784E52" w:rsidRPr="002D02F3" w:rsidRDefault="00784E52" w:rsidP="00CB2895">
            <w:pPr>
              <w:rPr>
                <w:rFonts w:cs="Arial"/>
                <w:b/>
                <w:bCs/>
                <w:sz w:val="16"/>
                <w:szCs w:val="16"/>
              </w:rPr>
            </w:pPr>
            <w:r w:rsidRPr="002D02F3">
              <w:rPr>
                <w:b/>
                <w:sz w:val="16"/>
              </w:rPr>
              <w:t>Niveaux de référence</w:t>
            </w:r>
          </w:p>
        </w:tc>
        <w:tc>
          <w:tcPr>
            <w:tcW w:w="763" w:type="pct"/>
            <w:tcBorders>
              <w:top w:val="single" w:sz="4" w:space="0" w:color="auto"/>
            </w:tcBorders>
            <w:shd w:val="clear" w:color="auto" w:fill="auto"/>
            <w:tcMar>
              <w:top w:w="110" w:type="dxa"/>
            </w:tcMar>
            <w:vAlign w:val="center"/>
          </w:tcPr>
          <w:p w:rsidR="00784E52" w:rsidRPr="002D02F3" w:rsidRDefault="00784E52" w:rsidP="00CB2895">
            <w:pPr>
              <w:rPr>
                <w:rFonts w:cs="Arial"/>
                <w:b/>
                <w:sz w:val="16"/>
                <w:szCs w:val="16"/>
              </w:rPr>
            </w:pPr>
            <w:r w:rsidRPr="002D02F3">
              <w:rPr>
                <w:b/>
                <w:sz w:val="16"/>
              </w:rPr>
              <w:t>Objectifs visés</w:t>
            </w:r>
          </w:p>
        </w:tc>
        <w:tc>
          <w:tcPr>
            <w:tcW w:w="1737" w:type="pct"/>
            <w:tcBorders>
              <w:top w:val="single" w:sz="4" w:space="0" w:color="auto"/>
            </w:tcBorders>
            <w:shd w:val="clear" w:color="auto" w:fill="FFFFFF"/>
            <w:tcMar>
              <w:top w:w="110" w:type="dxa"/>
            </w:tcMar>
            <w:vAlign w:val="center"/>
          </w:tcPr>
          <w:p w:rsidR="00784E52" w:rsidRPr="002D02F3" w:rsidRDefault="00784E52" w:rsidP="00CB2895">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784E52" w:rsidRPr="002D02F3" w:rsidRDefault="00784E52" w:rsidP="001A5BF9">
            <w:pPr>
              <w:keepNext/>
              <w:keepLines/>
              <w:jc w:val="center"/>
              <w:rPr>
                <w:rFonts w:cs="Arial"/>
                <w:b/>
                <w:bCs/>
                <w:sz w:val="16"/>
                <w:szCs w:val="16"/>
              </w:rPr>
            </w:pPr>
            <w:r w:rsidRPr="002D02F3">
              <w:rPr>
                <w:b/>
                <w:sz w:val="16"/>
              </w:rPr>
              <w:t>Code de couleurs</w:t>
            </w:r>
          </w:p>
        </w:tc>
      </w:tr>
      <w:tr w:rsidR="00784E52" w:rsidRPr="005C7CCE" w:rsidTr="002A762E">
        <w:trPr>
          <w:cantSplit/>
        </w:trPr>
        <w:tc>
          <w:tcPr>
            <w:tcW w:w="869" w:type="pct"/>
            <w:tcBorders>
              <w:bottom w:val="single" w:sz="4" w:space="0" w:color="auto"/>
            </w:tcBorders>
            <w:shd w:val="clear" w:color="auto" w:fill="auto"/>
          </w:tcPr>
          <w:p w:rsidR="00784E52" w:rsidRPr="005C7CCE" w:rsidRDefault="00784E52" w:rsidP="001A5BF9">
            <w:pPr>
              <w:rPr>
                <w:rFonts w:cs="Arial"/>
                <w:sz w:val="16"/>
                <w:szCs w:val="16"/>
              </w:rPr>
            </w:pPr>
            <w:r w:rsidRPr="00CB2895">
              <w:rPr>
                <w:sz w:val="16"/>
              </w:rPr>
              <w:t>Nombre de pays ayant bénéficié d</w:t>
            </w:r>
            <w:r w:rsidR="00A20444" w:rsidRPr="00CB2895">
              <w:rPr>
                <w:sz w:val="16"/>
              </w:rPr>
              <w:t>’</w:t>
            </w:r>
            <w:r w:rsidRPr="00CB2895">
              <w:rPr>
                <w:sz w:val="16"/>
              </w:rPr>
              <w:t>une assistance technique concernant des cadres législatifs nouveaux ou actualisés aux fins d</w:t>
            </w:r>
            <w:r w:rsidR="00A20444" w:rsidRPr="00CB2895">
              <w:rPr>
                <w:sz w:val="16"/>
              </w:rPr>
              <w:t>’</w:t>
            </w:r>
            <w:r w:rsidRPr="00CB2895">
              <w:rPr>
                <w:sz w:val="16"/>
              </w:rPr>
              <w:t>une application efficace des droits, compte tenu des éléments de flexibilité prévus dans la troisième partie de l</w:t>
            </w:r>
            <w:r w:rsidR="00A20444" w:rsidRPr="00CB2895">
              <w:rPr>
                <w:sz w:val="16"/>
              </w:rPr>
              <w:t>’</w:t>
            </w:r>
            <w:r w:rsidRPr="00CB2895">
              <w:rPr>
                <w:sz w:val="16"/>
              </w:rPr>
              <w:t>Accord sur</w:t>
            </w:r>
            <w:r w:rsidR="00A20444" w:rsidRPr="00CB2895">
              <w:rPr>
                <w:sz w:val="16"/>
              </w:rPr>
              <w:t xml:space="preserve"> les ADP</w:t>
            </w:r>
            <w:r w:rsidRPr="00CB2895">
              <w:rPr>
                <w:sz w:val="16"/>
              </w:rPr>
              <w:t>IC</w:t>
            </w:r>
          </w:p>
        </w:tc>
        <w:tc>
          <w:tcPr>
            <w:tcW w:w="949" w:type="pct"/>
            <w:gridSpan w:val="2"/>
            <w:tcBorders>
              <w:bottom w:val="single" w:sz="4" w:space="0" w:color="auto"/>
            </w:tcBorders>
            <w:shd w:val="clear" w:color="auto" w:fill="auto"/>
          </w:tcPr>
          <w:p w:rsidR="00D42474" w:rsidRDefault="00784E52" w:rsidP="001A5BF9">
            <w:pPr>
              <w:rPr>
                <w:i/>
                <w:color w:val="002060"/>
                <w:sz w:val="16"/>
                <w:szCs w:val="16"/>
              </w:rPr>
            </w:pPr>
            <w:r w:rsidRPr="005C7CCE">
              <w:rPr>
                <w:i/>
                <w:color w:val="002060"/>
                <w:sz w:val="16"/>
                <w:szCs w:val="16"/>
              </w:rPr>
              <w:t>Niveau de référence actualisé fin 2011 :</w:t>
            </w:r>
          </w:p>
          <w:p w:rsidR="00D42474" w:rsidRDefault="00CB2895" w:rsidP="001A5BF9">
            <w:pPr>
              <w:rPr>
                <w:rFonts w:cs="Arial"/>
                <w:color w:val="002060"/>
                <w:sz w:val="16"/>
                <w:szCs w:val="16"/>
                <w:lang w:bidi="th-TH"/>
              </w:rPr>
            </w:pPr>
            <w:r>
              <w:rPr>
                <w:color w:val="002060"/>
                <w:sz w:val="16"/>
                <w:szCs w:val="16"/>
              </w:rPr>
              <w:t>u</w:t>
            </w:r>
            <w:r w:rsidR="00784E52" w:rsidRPr="00CB2895">
              <w:rPr>
                <w:color w:val="002060"/>
                <w:sz w:val="16"/>
                <w:szCs w:val="16"/>
              </w:rPr>
              <w:t>n groupe régional (Afrique) et deux</w:t>
            </w:r>
            <w:r w:rsidR="0010442A" w:rsidRPr="00CB2895">
              <w:rPr>
                <w:color w:val="002060"/>
                <w:sz w:val="16"/>
                <w:szCs w:val="16"/>
              </w:rPr>
              <w:t> </w:t>
            </w:r>
            <w:r w:rsidR="00784E52" w:rsidRPr="00CB2895">
              <w:rPr>
                <w:color w:val="002060"/>
                <w:sz w:val="16"/>
                <w:szCs w:val="16"/>
              </w:rPr>
              <w:t>pays (en</w:t>
            </w:r>
            <w:r w:rsidR="0010442A" w:rsidRPr="00CB2895">
              <w:rPr>
                <w:color w:val="002060"/>
                <w:sz w:val="16"/>
                <w:szCs w:val="16"/>
              </w:rPr>
              <w:t> </w:t>
            </w:r>
            <w:r w:rsidR="00784E52" w:rsidRPr="00CB2895">
              <w:rPr>
                <w:color w:val="002060"/>
                <w:sz w:val="16"/>
                <w:szCs w:val="16"/>
              </w:rPr>
              <w:t>2010</w:t>
            </w:r>
            <w:r w:rsidR="002D6F2A" w:rsidRPr="00CB2895">
              <w:rPr>
                <w:color w:val="002060"/>
                <w:sz w:val="16"/>
                <w:szCs w:val="16"/>
              </w:rPr>
              <w:noBreakHyphen/>
            </w:r>
            <w:r w:rsidR="00784E52" w:rsidRPr="00CB2895">
              <w:rPr>
                <w:color w:val="002060"/>
                <w:sz w:val="16"/>
                <w:szCs w:val="16"/>
              </w:rPr>
              <w:t>2011)</w:t>
            </w:r>
          </w:p>
          <w:p w:rsidR="00D42474" w:rsidRDefault="00D42474" w:rsidP="001A5BF9">
            <w:pPr>
              <w:rPr>
                <w:rFonts w:cs="Arial"/>
                <w:i/>
                <w:sz w:val="16"/>
                <w:szCs w:val="16"/>
              </w:rPr>
            </w:pPr>
          </w:p>
          <w:p w:rsidR="00784E52" w:rsidRPr="005C7CCE" w:rsidRDefault="00784E52" w:rsidP="001A5BF9">
            <w:pPr>
              <w:rPr>
                <w:rFonts w:cs="Arial"/>
                <w:sz w:val="16"/>
                <w:szCs w:val="16"/>
                <w:lang w:bidi="th-TH"/>
              </w:rPr>
            </w:pPr>
            <w:r w:rsidRPr="005C7CCE">
              <w:rPr>
                <w:i/>
                <w:sz w:val="16"/>
                <w:szCs w:val="16"/>
              </w:rPr>
              <w:t xml:space="preserve">Niveau de référence initial </w:t>
            </w:r>
            <w:r w:rsidR="00667FB3">
              <w:rPr>
                <w:i/>
                <w:sz w:val="16"/>
                <w:szCs w:val="16"/>
              </w:rPr>
              <w:t>programme et budget</w:t>
            </w:r>
            <w:r w:rsidRPr="005C7CCE">
              <w:rPr>
                <w:i/>
                <w:sz w:val="16"/>
                <w:szCs w:val="16"/>
              </w:rPr>
              <w:t> 2012</w:t>
            </w:r>
            <w:r w:rsidR="002D6F2A" w:rsidRPr="005C7CCE">
              <w:rPr>
                <w:i/>
                <w:sz w:val="16"/>
                <w:szCs w:val="16"/>
              </w:rPr>
              <w:noBreakHyphen/>
            </w:r>
            <w:r w:rsidRPr="005C7CCE">
              <w:rPr>
                <w:i/>
                <w:sz w:val="16"/>
                <w:szCs w:val="16"/>
              </w:rPr>
              <w:t>2013 </w:t>
            </w:r>
            <w:proofErr w:type="gramStart"/>
            <w:r w:rsidRPr="005C7CCE">
              <w:rPr>
                <w:i/>
                <w:sz w:val="16"/>
                <w:szCs w:val="16"/>
              </w:rPr>
              <w:t>:</w:t>
            </w:r>
            <w:proofErr w:type="gramEnd"/>
            <w:r w:rsidR="00CB2895">
              <w:rPr>
                <w:sz w:val="16"/>
                <w:szCs w:val="16"/>
              </w:rPr>
              <w:br/>
              <w:t>u</w:t>
            </w:r>
            <w:r w:rsidRPr="005C7CCE">
              <w:rPr>
                <w:sz w:val="16"/>
                <w:szCs w:val="16"/>
              </w:rPr>
              <w:t>n groupe régional (Afrique)</w:t>
            </w:r>
            <w:r w:rsidRPr="005C7CCE">
              <w:rPr>
                <w:sz w:val="16"/>
                <w:szCs w:val="16"/>
              </w:rPr>
              <w:br/>
              <w:t>Un pays</w:t>
            </w:r>
            <w:r w:rsidRPr="005C7CCE">
              <w:rPr>
                <w:sz w:val="16"/>
                <w:szCs w:val="16"/>
              </w:rPr>
              <w:br/>
              <w:t>(Asie)</w:t>
            </w:r>
          </w:p>
        </w:tc>
        <w:tc>
          <w:tcPr>
            <w:tcW w:w="763" w:type="pct"/>
            <w:tcBorders>
              <w:bottom w:val="single" w:sz="4" w:space="0" w:color="auto"/>
            </w:tcBorders>
            <w:shd w:val="clear" w:color="auto" w:fill="auto"/>
            <w:tcMar>
              <w:top w:w="110" w:type="dxa"/>
            </w:tcMar>
          </w:tcPr>
          <w:p w:rsidR="00784E52" w:rsidRPr="005C7CCE" w:rsidRDefault="00784E52" w:rsidP="001A5BF9">
            <w:pPr>
              <w:autoSpaceDE w:val="0"/>
              <w:autoSpaceDN w:val="0"/>
              <w:adjustRightInd w:val="0"/>
              <w:rPr>
                <w:rFonts w:cs="Arial"/>
                <w:i/>
                <w:color w:val="008000"/>
                <w:sz w:val="16"/>
                <w:szCs w:val="16"/>
              </w:rPr>
            </w:pPr>
            <w:r w:rsidRPr="00CB2895">
              <w:rPr>
                <w:sz w:val="16"/>
              </w:rPr>
              <w:t>Quatre pays (en 2012</w:t>
            </w:r>
            <w:r w:rsidR="002D6F2A" w:rsidRPr="00CB2895">
              <w:rPr>
                <w:sz w:val="16"/>
              </w:rPr>
              <w:noBreakHyphen/>
            </w:r>
            <w:r w:rsidRPr="00CB2895">
              <w:rPr>
                <w:sz w:val="16"/>
              </w:rPr>
              <w:t>2013)</w:t>
            </w:r>
          </w:p>
        </w:tc>
        <w:tc>
          <w:tcPr>
            <w:tcW w:w="1737" w:type="pct"/>
            <w:tcBorders>
              <w:bottom w:val="single" w:sz="4" w:space="0" w:color="auto"/>
            </w:tcBorders>
            <w:shd w:val="clear" w:color="auto" w:fill="FFFFFF"/>
            <w:tcMar>
              <w:top w:w="110" w:type="dxa"/>
            </w:tcMar>
          </w:tcPr>
          <w:p w:rsidR="00D42474" w:rsidRDefault="00784E52" w:rsidP="001A5BF9">
            <w:pPr>
              <w:pStyle w:val="Paragraphedeliste"/>
              <w:tabs>
                <w:tab w:val="left" w:pos="307"/>
              </w:tabs>
              <w:ind w:left="307" w:hanging="283"/>
              <w:rPr>
                <w:rFonts w:cs="Arial"/>
                <w:sz w:val="16"/>
                <w:szCs w:val="16"/>
                <w:lang w:bidi="th-TH"/>
              </w:rPr>
            </w:pPr>
            <w:r w:rsidRPr="005C7CCE">
              <w:rPr>
                <w:sz w:val="16"/>
              </w:rPr>
              <w:t>i)</w:t>
            </w:r>
            <w:r w:rsidRPr="005C7CCE">
              <w:rPr>
                <w:sz w:val="16"/>
              </w:rPr>
              <w:tab/>
              <w:t>Un groupe régional (Afrique) et neuf pays</w:t>
            </w:r>
            <w:r w:rsidR="0010442A" w:rsidRPr="005C7CCE">
              <w:rPr>
                <w:sz w:val="16"/>
              </w:rPr>
              <w:t xml:space="preserve"> –</w:t>
            </w:r>
            <w:r w:rsidRPr="005C7CCE">
              <w:rPr>
                <w:sz w:val="16"/>
              </w:rPr>
              <w:t xml:space="preserve"> Afrique (3), Asie et Pacifique (5), Amérique latine et Caraïbes (1)</w:t>
            </w:r>
            <w:r w:rsidR="0010442A" w:rsidRPr="005C7CCE">
              <w:rPr>
                <w:sz w:val="16"/>
              </w:rPr>
              <w:t xml:space="preserve"> –</w:t>
            </w:r>
            <w:r w:rsidRPr="005C7CCE">
              <w:rPr>
                <w:sz w:val="16"/>
              </w:rPr>
              <w:t xml:space="preserve"> ont bé</w:t>
            </w:r>
            <w:r w:rsidR="00CB2895">
              <w:rPr>
                <w:sz w:val="16"/>
              </w:rPr>
              <w:t>néficié de conseils législatifs.</w:t>
            </w:r>
          </w:p>
          <w:p w:rsidR="00D42474" w:rsidRDefault="00784E52" w:rsidP="001A5BF9">
            <w:pPr>
              <w:pStyle w:val="Paragraphedeliste"/>
              <w:tabs>
                <w:tab w:val="left" w:pos="307"/>
              </w:tabs>
              <w:ind w:left="307" w:hanging="283"/>
              <w:rPr>
                <w:rFonts w:cs="Arial"/>
                <w:sz w:val="16"/>
                <w:szCs w:val="16"/>
                <w:lang w:bidi="th-TH"/>
              </w:rPr>
            </w:pPr>
            <w:r w:rsidRPr="005C7CCE">
              <w:rPr>
                <w:sz w:val="16"/>
              </w:rPr>
              <w:t>ii)</w:t>
            </w:r>
            <w:r w:rsidRPr="005C7CCE">
              <w:rPr>
                <w:sz w:val="16"/>
              </w:rPr>
              <w:tab/>
              <w:t>Des missions de diagnostic ont été conduites dans deux</w:t>
            </w:r>
            <w:r w:rsidR="0010442A" w:rsidRPr="005C7CCE">
              <w:rPr>
                <w:sz w:val="16"/>
              </w:rPr>
              <w:t> </w:t>
            </w:r>
            <w:r w:rsidRPr="005C7CCE">
              <w:rPr>
                <w:sz w:val="16"/>
              </w:rPr>
              <w:t>pays : Afriq</w:t>
            </w:r>
            <w:r w:rsidR="00CB2895">
              <w:rPr>
                <w:sz w:val="16"/>
              </w:rPr>
              <w:t>ue (1) et Asie et Pacifique (1).</w:t>
            </w:r>
          </w:p>
          <w:p w:rsidR="00784E52" w:rsidRPr="005C7CCE" w:rsidRDefault="00784E52" w:rsidP="001A5BF9">
            <w:pPr>
              <w:pStyle w:val="Paragraphedeliste"/>
              <w:tabs>
                <w:tab w:val="left" w:pos="307"/>
              </w:tabs>
              <w:ind w:left="307" w:hanging="283"/>
              <w:rPr>
                <w:rFonts w:cs="Arial"/>
                <w:sz w:val="16"/>
                <w:szCs w:val="16"/>
                <w:lang w:bidi="th-TH"/>
              </w:rPr>
            </w:pPr>
            <w:r w:rsidRPr="005C7CCE">
              <w:rPr>
                <w:sz w:val="16"/>
              </w:rPr>
              <w:t>iii)</w:t>
            </w:r>
            <w:r w:rsidRPr="005C7CCE">
              <w:rPr>
                <w:sz w:val="16"/>
              </w:rPr>
              <w:tab/>
              <w:t>Les rédacteurs juridiques de quatre États membres</w:t>
            </w:r>
            <w:r w:rsidR="0010442A" w:rsidRPr="005C7CCE">
              <w:rPr>
                <w:sz w:val="16"/>
              </w:rPr>
              <w:t xml:space="preserve"> –</w:t>
            </w:r>
            <w:r w:rsidRPr="005C7CCE">
              <w:rPr>
                <w:sz w:val="16"/>
              </w:rPr>
              <w:t xml:space="preserve"> Afrique (2) et Asie et Pacifique (2)</w:t>
            </w:r>
            <w:r w:rsidR="0010442A" w:rsidRPr="005C7CCE">
              <w:rPr>
                <w:sz w:val="16"/>
              </w:rPr>
              <w:t xml:space="preserve"> –</w:t>
            </w:r>
            <w:r w:rsidRPr="005C7CCE">
              <w:rPr>
                <w:sz w:val="16"/>
              </w:rPr>
              <w:t xml:space="preserve"> ont été invités à Genève. </w:t>
            </w:r>
            <w:r w:rsidR="0010442A" w:rsidRPr="005C7CCE">
              <w:rPr>
                <w:sz w:val="16"/>
              </w:rPr>
              <w:t xml:space="preserve"> </w:t>
            </w:r>
          </w:p>
        </w:tc>
        <w:tc>
          <w:tcPr>
            <w:tcW w:w="682" w:type="pct"/>
            <w:tcBorders>
              <w:bottom w:val="single" w:sz="4" w:space="0" w:color="auto"/>
            </w:tcBorders>
            <w:shd w:val="clear" w:color="auto" w:fill="auto"/>
            <w:tcMar>
              <w:top w:w="110" w:type="dxa"/>
            </w:tcMar>
          </w:tcPr>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r w:rsidR="00784E52" w:rsidRPr="002D02F3" w:rsidTr="00BB3F3E">
        <w:trPr>
          <w:cantSplit/>
        </w:trPr>
        <w:tc>
          <w:tcPr>
            <w:tcW w:w="5000" w:type="pct"/>
            <w:gridSpan w:val="6"/>
            <w:tcBorders>
              <w:top w:val="single" w:sz="4" w:space="0" w:color="auto"/>
              <w:bottom w:val="single" w:sz="4" w:space="0" w:color="auto"/>
            </w:tcBorders>
            <w:shd w:val="clear" w:color="auto" w:fill="CCFFFF"/>
            <w:vAlign w:val="center"/>
          </w:tcPr>
          <w:p w:rsidR="00784E52" w:rsidRPr="002D02F3" w:rsidRDefault="00784E52" w:rsidP="001A5BF9">
            <w:pPr>
              <w:keepNext/>
              <w:keepLines/>
              <w:pageBreakBefore/>
              <w:tabs>
                <w:tab w:val="left" w:pos="1452"/>
              </w:tabs>
              <w:spacing w:before="120" w:after="120"/>
              <w:ind w:left="1452" w:hanging="1452"/>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Renforcement des capacités en matière de ressources humaines pour pouvoir répondre aux nombreuses exigences en ce qui concerne l</w:t>
            </w:r>
            <w:r w:rsidR="00A20444" w:rsidRPr="002D02F3">
              <w:rPr>
                <w:sz w:val="16"/>
              </w:rPr>
              <w:t>’</w:t>
            </w:r>
            <w:r w:rsidRPr="002D02F3">
              <w:rPr>
                <w:sz w:val="16"/>
              </w:rPr>
              <w:t>utilisation efficace de la propriété intellectuelle au service du développement dans les pays en développement,</w:t>
            </w:r>
            <w:r w:rsidR="00A20444" w:rsidRPr="002D02F3">
              <w:rPr>
                <w:sz w:val="16"/>
              </w:rPr>
              <w:t xml:space="preserve"> les PMA</w:t>
            </w:r>
            <w:r w:rsidRPr="002D02F3">
              <w:rPr>
                <w:sz w:val="16"/>
              </w:rPr>
              <w:t xml:space="preserve"> et les pays en transition</w:t>
            </w:r>
          </w:p>
        </w:tc>
      </w:tr>
      <w:tr w:rsidR="00784E52" w:rsidRPr="002D02F3" w:rsidTr="002A762E">
        <w:trPr>
          <w:cantSplit/>
        </w:trPr>
        <w:tc>
          <w:tcPr>
            <w:tcW w:w="869" w:type="pct"/>
            <w:tcBorders>
              <w:top w:val="single" w:sz="4" w:space="0" w:color="auto"/>
            </w:tcBorders>
            <w:shd w:val="clear" w:color="auto" w:fill="auto"/>
            <w:vAlign w:val="center"/>
          </w:tcPr>
          <w:p w:rsidR="00784E52" w:rsidRPr="002D02F3" w:rsidRDefault="00784E52" w:rsidP="00CB2895">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49" w:type="pct"/>
            <w:gridSpan w:val="2"/>
            <w:tcBorders>
              <w:top w:val="single" w:sz="4" w:space="0" w:color="auto"/>
            </w:tcBorders>
            <w:shd w:val="clear" w:color="auto" w:fill="auto"/>
            <w:vAlign w:val="center"/>
          </w:tcPr>
          <w:p w:rsidR="00784E52" w:rsidRPr="002D02F3" w:rsidRDefault="00784E52" w:rsidP="00CB2895">
            <w:pPr>
              <w:rPr>
                <w:rFonts w:cs="Arial"/>
                <w:b/>
                <w:bCs/>
                <w:sz w:val="16"/>
                <w:szCs w:val="16"/>
              </w:rPr>
            </w:pPr>
            <w:r w:rsidRPr="002D02F3">
              <w:rPr>
                <w:b/>
                <w:sz w:val="16"/>
              </w:rPr>
              <w:t>Niveaux de référence</w:t>
            </w:r>
          </w:p>
        </w:tc>
        <w:tc>
          <w:tcPr>
            <w:tcW w:w="763" w:type="pct"/>
            <w:tcBorders>
              <w:top w:val="single" w:sz="4" w:space="0" w:color="auto"/>
            </w:tcBorders>
            <w:shd w:val="clear" w:color="auto" w:fill="auto"/>
            <w:tcMar>
              <w:top w:w="110" w:type="dxa"/>
            </w:tcMar>
            <w:vAlign w:val="center"/>
          </w:tcPr>
          <w:p w:rsidR="00784E52" w:rsidRPr="002D02F3" w:rsidRDefault="00784E52" w:rsidP="00CB2895">
            <w:pPr>
              <w:rPr>
                <w:rFonts w:cs="Arial"/>
                <w:b/>
                <w:sz w:val="16"/>
                <w:szCs w:val="16"/>
              </w:rPr>
            </w:pPr>
            <w:r w:rsidRPr="002D02F3">
              <w:rPr>
                <w:b/>
                <w:sz w:val="16"/>
              </w:rPr>
              <w:t>Objectifs visés</w:t>
            </w:r>
          </w:p>
        </w:tc>
        <w:tc>
          <w:tcPr>
            <w:tcW w:w="1737" w:type="pct"/>
            <w:tcBorders>
              <w:top w:val="single" w:sz="4" w:space="0" w:color="auto"/>
            </w:tcBorders>
            <w:shd w:val="clear" w:color="auto" w:fill="FFFFFF"/>
            <w:tcMar>
              <w:top w:w="110" w:type="dxa"/>
            </w:tcMar>
            <w:vAlign w:val="center"/>
          </w:tcPr>
          <w:p w:rsidR="00784E52" w:rsidRPr="002D02F3" w:rsidRDefault="00784E52" w:rsidP="00CB2895">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784E52" w:rsidRPr="002D02F3" w:rsidRDefault="00784E52" w:rsidP="001A5BF9">
            <w:pPr>
              <w:keepNext/>
              <w:keepLines/>
              <w:jc w:val="center"/>
              <w:rPr>
                <w:rFonts w:cs="Arial"/>
                <w:b/>
                <w:bCs/>
                <w:sz w:val="16"/>
                <w:szCs w:val="16"/>
              </w:rPr>
            </w:pPr>
            <w:r w:rsidRPr="002D02F3">
              <w:rPr>
                <w:b/>
                <w:sz w:val="16"/>
              </w:rPr>
              <w:t>Code de couleurs</w:t>
            </w:r>
          </w:p>
        </w:tc>
      </w:tr>
      <w:tr w:rsidR="00784E52" w:rsidRPr="005C7CCE" w:rsidTr="002A762E">
        <w:trPr>
          <w:cantSplit/>
        </w:trPr>
        <w:tc>
          <w:tcPr>
            <w:tcW w:w="869" w:type="pct"/>
            <w:shd w:val="clear" w:color="auto" w:fill="auto"/>
          </w:tcPr>
          <w:p w:rsidR="00784E52" w:rsidRPr="00CB2895" w:rsidRDefault="00784E52" w:rsidP="001A5BF9">
            <w:pPr>
              <w:rPr>
                <w:rFonts w:cs="Arial"/>
                <w:sz w:val="16"/>
                <w:szCs w:val="16"/>
              </w:rPr>
            </w:pPr>
            <w:r w:rsidRPr="00CB2895">
              <w:rPr>
                <w:sz w:val="16"/>
              </w:rPr>
              <w:t>Incorporation de questions relatives au développement dans les programmes de formation à l</w:t>
            </w:r>
            <w:r w:rsidR="00A20444" w:rsidRPr="00CB2895">
              <w:rPr>
                <w:sz w:val="16"/>
              </w:rPr>
              <w:t>’</w:t>
            </w:r>
            <w:r w:rsidRPr="00CB2895">
              <w:rPr>
                <w:sz w:val="16"/>
              </w:rPr>
              <w:t>application des droits mis en place par l</w:t>
            </w:r>
            <w:r w:rsidR="00A20444" w:rsidRPr="00CB2895">
              <w:rPr>
                <w:sz w:val="16"/>
              </w:rPr>
              <w:t>’</w:t>
            </w:r>
            <w:r w:rsidRPr="00CB2895">
              <w:rPr>
                <w:sz w:val="16"/>
              </w:rPr>
              <w:t>OMPI</w:t>
            </w:r>
          </w:p>
        </w:tc>
        <w:tc>
          <w:tcPr>
            <w:tcW w:w="949" w:type="pct"/>
            <w:gridSpan w:val="2"/>
            <w:shd w:val="clear" w:color="auto" w:fill="auto"/>
          </w:tcPr>
          <w:p w:rsidR="00784E52" w:rsidRPr="00CB2895" w:rsidRDefault="00784E52" w:rsidP="001A5BF9">
            <w:pPr>
              <w:rPr>
                <w:rFonts w:cs="Arial"/>
                <w:sz w:val="16"/>
                <w:szCs w:val="16"/>
              </w:rPr>
            </w:pPr>
            <w:r w:rsidRPr="00CB2895">
              <w:rPr>
                <w:sz w:val="16"/>
              </w:rPr>
              <w:t>Pas de données disponibles actuellement</w:t>
            </w:r>
          </w:p>
        </w:tc>
        <w:tc>
          <w:tcPr>
            <w:tcW w:w="763" w:type="pct"/>
            <w:shd w:val="clear" w:color="auto" w:fill="auto"/>
            <w:tcMar>
              <w:top w:w="110" w:type="dxa"/>
            </w:tcMar>
          </w:tcPr>
          <w:p w:rsidR="00784E52" w:rsidRPr="005C7CCE" w:rsidRDefault="00784E52" w:rsidP="001A5BF9">
            <w:pPr>
              <w:rPr>
                <w:rFonts w:cs="Arial"/>
                <w:i/>
                <w:sz w:val="16"/>
                <w:szCs w:val="16"/>
              </w:rPr>
            </w:pPr>
            <w:r w:rsidRPr="005C7CCE">
              <w:rPr>
                <w:sz w:val="16"/>
              </w:rPr>
              <w:t>100</w:t>
            </w:r>
            <w:r w:rsidR="007E442D" w:rsidRPr="005C7CCE">
              <w:rPr>
                <w:sz w:val="16"/>
              </w:rPr>
              <w:t>%</w:t>
            </w:r>
          </w:p>
        </w:tc>
        <w:tc>
          <w:tcPr>
            <w:tcW w:w="1737" w:type="pct"/>
            <w:shd w:val="clear" w:color="auto" w:fill="FFFFFF"/>
            <w:tcMar>
              <w:top w:w="110" w:type="dxa"/>
            </w:tcMar>
          </w:tcPr>
          <w:p w:rsidR="00D42474" w:rsidRDefault="00784E52" w:rsidP="001A5BF9">
            <w:pPr>
              <w:rPr>
                <w:rFonts w:cs="Arial"/>
                <w:sz w:val="16"/>
                <w:szCs w:val="16"/>
                <w:lang w:bidi="th-TH"/>
              </w:rPr>
            </w:pPr>
            <w:r w:rsidRPr="005C7CCE">
              <w:rPr>
                <w:sz w:val="16"/>
              </w:rPr>
              <w:t>100</w:t>
            </w:r>
            <w:r w:rsidR="007E442D" w:rsidRPr="005C7CCE">
              <w:rPr>
                <w:sz w:val="16"/>
              </w:rPr>
              <w:t>%</w:t>
            </w: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5C7CCE">
              <w:rPr>
                <w:sz w:val="16"/>
              </w:rPr>
              <w:t>Toutes les activités comprennent des questions relatives au développement conformément à la recommandation n° 45 du Plan d</w:t>
            </w:r>
            <w:r w:rsidR="00A20444" w:rsidRPr="005C7CCE">
              <w:rPr>
                <w:sz w:val="16"/>
              </w:rPr>
              <w:t>’</w:t>
            </w:r>
            <w:r w:rsidRPr="005C7CCE">
              <w:rPr>
                <w:sz w:val="16"/>
              </w:rPr>
              <w:t>action pour le développement :</w:t>
            </w:r>
          </w:p>
          <w:p w:rsidR="00D42474" w:rsidRDefault="00D42474" w:rsidP="001A5BF9">
            <w:pPr>
              <w:rPr>
                <w:rFonts w:cs="Arial"/>
                <w:sz w:val="16"/>
                <w:szCs w:val="16"/>
                <w:lang w:bidi="th-TH"/>
              </w:rPr>
            </w:pPr>
          </w:p>
          <w:p w:rsidR="00D42474" w:rsidRDefault="00784E52" w:rsidP="001A5BF9">
            <w:pPr>
              <w:pStyle w:val="Paragraphedeliste"/>
              <w:numPr>
                <w:ilvl w:val="0"/>
                <w:numId w:val="49"/>
              </w:numPr>
              <w:ind w:left="307" w:hanging="307"/>
              <w:rPr>
                <w:rFonts w:cs="Arial"/>
                <w:sz w:val="16"/>
                <w:szCs w:val="16"/>
                <w:lang w:bidi="th-TH"/>
              </w:rPr>
            </w:pPr>
            <w:r w:rsidRPr="005C7CCE">
              <w:rPr>
                <w:sz w:val="16"/>
              </w:rPr>
              <w:t>22 activités (sous</w:t>
            </w:r>
            <w:r w:rsidR="002D6F2A" w:rsidRPr="005C7CCE">
              <w:rPr>
                <w:sz w:val="16"/>
              </w:rPr>
              <w:noBreakHyphen/>
            </w:r>
            <w:r w:rsidRPr="005C7CCE">
              <w:rPr>
                <w:sz w:val="16"/>
              </w:rPr>
              <w:t>) régionales et 15 activités nationales de renforcement des capacités</w:t>
            </w:r>
            <w:r w:rsidR="00CB2895">
              <w:rPr>
                <w:sz w:val="16"/>
              </w:rPr>
              <w:t>;</w:t>
            </w:r>
          </w:p>
          <w:p w:rsidR="00D42474" w:rsidRDefault="00CB2895" w:rsidP="001A5BF9">
            <w:pPr>
              <w:pStyle w:val="Paragraphedeliste"/>
              <w:numPr>
                <w:ilvl w:val="0"/>
                <w:numId w:val="49"/>
              </w:numPr>
              <w:ind w:left="307" w:hanging="307"/>
              <w:rPr>
                <w:rFonts w:cs="Arial"/>
                <w:sz w:val="16"/>
                <w:szCs w:val="16"/>
                <w:lang w:bidi="th-TH"/>
              </w:rPr>
            </w:pPr>
            <w:r>
              <w:rPr>
                <w:sz w:val="16"/>
              </w:rPr>
              <w:t>q</w:t>
            </w:r>
            <w:r w:rsidR="00784E52" w:rsidRPr="005C7CCE">
              <w:rPr>
                <w:sz w:val="16"/>
              </w:rPr>
              <w:t>uatre réunions de consultation sur les stratégies de promotion du respect de la propriété intellectuelle</w:t>
            </w:r>
            <w:r>
              <w:rPr>
                <w:sz w:val="16"/>
              </w:rPr>
              <w:t>;</w:t>
            </w:r>
          </w:p>
          <w:p w:rsidR="00784E52" w:rsidRPr="005C7CCE" w:rsidRDefault="00CB2895" w:rsidP="001A5BF9">
            <w:pPr>
              <w:pStyle w:val="Paragraphedeliste"/>
              <w:numPr>
                <w:ilvl w:val="0"/>
                <w:numId w:val="49"/>
              </w:numPr>
              <w:ind w:left="307" w:hanging="307"/>
              <w:rPr>
                <w:rFonts w:cs="Arial"/>
                <w:sz w:val="16"/>
                <w:szCs w:val="16"/>
              </w:rPr>
            </w:pPr>
            <w:r>
              <w:rPr>
                <w:sz w:val="16"/>
              </w:rPr>
              <w:t>l</w:t>
            </w:r>
            <w:r w:rsidR="00784E52" w:rsidRPr="005C7CCE">
              <w:rPr>
                <w:sz w:val="16"/>
              </w:rPr>
              <w:t>e programme 17 a participé, en mettant l</w:t>
            </w:r>
            <w:r w:rsidR="00A20444" w:rsidRPr="005C7CCE">
              <w:rPr>
                <w:sz w:val="16"/>
              </w:rPr>
              <w:t>’</w:t>
            </w:r>
            <w:r w:rsidR="00784E52" w:rsidRPr="005C7CCE">
              <w:rPr>
                <w:sz w:val="16"/>
              </w:rPr>
              <w:t>accent sur la promotion du respect de la propriété intellectuelle, à 11 programmes de formation générale de l</w:t>
            </w:r>
            <w:r w:rsidR="00A20444" w:rsidRPr="005C7CCE">
              <w:rPr>
                <w:sz w:val="16"/>
              </w:rPr>
              <w:t>’</w:t>
            </w:r>
            <w:r w:rsidR="00784E52" w:rsidRPr="005C7CCE">
              <w:rPr>
                <w:sz w:val="16"/>
              </w:rPr>
              <w:t>OMPI</w:t>
            </w:r>
            <w:r>
              <w:rPr>
                <w:sz w:val="16"/>
              </w:rPr>
              <w:t>.</w:t>
            </w:r>
          </w:p>
        </w:tc>
        <w:tc>
          <w:tcPr>
            <w:tcW w:w="682" w:type="pct"/>
            <w:shd w:val="clear" w:color="auto" w:fill="auto"/>
            <w:tcMar>
              <w:top w:w="110" w:type="dxa"/>
            </w:tcMar>
          </w:tcPr>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r w:rsidR="00784E52" w:rsidRPr="005C7CCE" w:rsidTr="002A762E">
        <w:trPr>
          <w:cantSplit/>
        </w:trPr>
        <w:tc>
          <w:tcPr>
            <w:tcW w:w="869" w:type="pct"/>
            <w:tcBorders>
              <w:bottom w:val="single" w:sz="4" w:space="0" w:color="auto"/>
            </w:tcBorders>
            <w:shd w:val="clear" w:color="auto" w:fill="auto"/>
          </w:tcPr>
          <w:p w:rsidR="00784E52" w:rsidRPr="00CB2895" w:rsidRDefault="00784E52" w:rsidP="001A5BF9">
            <w:pPr>
              <w:rPr>
                <w:rFonts w:cs="Arial"/>
                <w:sz w:val="16"/>
                <w:szCs w:val="16"/>
              </w:rPr>
            </w:pPr>
            <w:r w:rsidRPr="00CB2895">
              <w:rPr>
                <w:sz w:val="16"/>
              </w:rPr>
              <w:t>Pourcentage d</w:t>
            </w:r>
            <w:r w:rsidR="00A20444" w:rsidRPr="00CB2895">
              <w:rPr>
                <w:sz w:val="16"/>
              </w:rPr>
              <w:t>’</w:t>
            </w:r>
            <w:r w:rsidRPr="00CB2895">
              <w:rPr>
                <w:sz w:val="16"/>
              </w:rPr>
              <w:t>agents chargés de l</w:t>
            </w:r>
            <w:r w:rsidR="00A20444" w:rsidRPr="00CB2895">
              <w:rPr>
                <w:sz w:val="16"/>
              </w:rPr>
              <w:t>’</w:t>
            </w:r>
            <w:r w:rsidRPr="00CB2895">
              <w:rPr>
                <w:sz w:val="16"/>
              </w:rPr>
              <w:t>application des droits qui font état de leur satisfaction à</w:t>
            </w:r>
            <w:r w:rsidR="0010442A" w:rsidRPr="00CB2895">
              <w:rPr>
                <w:sz w:val="16"/>
              </w:rPr>
              <w:t> </w:t>
            </w:r>
            <w:r w:rsidRPr="00CB2895">
              <w:rPr>
                <w:sz w:val="16"/>
              </w:rPr>
              <w:t>l</w:t>
            </w:r>
            <w:r w:rsidR="00A20444" w:rsidRPr="00CB2895">
              <w:rPr>
                <w:sz w:val="16"/>
              </w:rPr>
              <w:t>’</w:t>
            </w:r>
            <w:r w:rsidRPr="00CB2895">
              <w:rPr>
                <w:sz w:val="16"/>
              </w:rPr>
              <w:t>égard de la formation reçue, y</w:t>
            </w:r>
            <w:r w:rsidR="0010442A" w:rsidRPr="00CB2895">
              <w:rPr>
                <w:sz w:val="16"/>
              </w:rPr>
              <w:t> </w:t>
            </w:r>
            <w:r w:rsidRPr="00CB2895">
              <w:rPr>
                <w:sz w:val="16"/>
              </w:rPr>
              <w:t>compris les orientations sur la coopération stratégique, et de son utilité pour leur vie professionnelle</w:t>
            </w:r>
          </w:p>
        </w:tc>
        <w:tc>
          <w:tcPr>
            <w:tcW w:w="949" w:type="pct"/>
            <w:gridSpan w:val="2"/>
            <w:tcBorders>
              <w:bottom w:val="single" w:sz="4" w:space="0" w:color="auto"/>
            </w:tcBorders>
            <w:shd w:val="clear" w:color="auto" w:fill="auto"/>
          </w:tcPr>
          <w:p w:rsidR="00784E52" w:rsidRPr="00CB2895" w:rsidRDefault="00784E52" w:rsidP="001A5BF9">
            <w:pPr>
              <w:rPr>
                <w:rFonts w:cs="Arial"/>
                <w:sz w:val="16"/>
                <w:szCs w:val="16"/>
              </w:rPr>
            </w:pPr>
            <w:r w:rsidRPr="00CB2895">
              <w:rPr>
                <w:sz w:val="16"/>
              </w:rPr>
              <w:t>Pas de données disponibles actuellement</w:t>
            </w:r>
          </w:p>
        </w:tc>
        <w:tc>
          <w:tcPr>
            <w:tcW w:w="763" w:type="pct"/>
            <w:tcBorders>
              <w:bottom w:val="single" w:sz="4" w:space="0" w:color="auto"/>
            </w:tcBorders>
            <w:shd w:val="clear" w:color="auto" w:fill="auto"/>
            <w:tcMar>
              <w:top w:w="110" w:type="dxa"/>
            </w:tcMar>
          </w:tcPr>
          <w:p w:rsidR="00784E52" w:rsidRPr="005C7CCE" w:rsidRDefault="00784E52" w:rsidP="001A5BF9">
            <w:pPr>
              <w:rPr>
                <w:rFonts w:cs="Arial"/>
                <w:sz w:val="16"/>
                <w:szCs w:val="16"/>
                <w:lang w:bidi="th-TH"/>
              </w:rPr>
            </w:pPr>
            <w:r w:rsidRPr="005C7CCE">
              <w:rPr>
                <w:sz w:val="16"/>
              </w:rPr>
              <w:t>75</w:t>
            </w:r>
            <w:r w:rsidR="007E442D" w:rsidRPr="005C7CCE">
              <w:rPr>
                <w:sz w:val="16"/>
              </w:rPr>
              <w:t>%</w:t>
            </w:r>
          </w:p>
        </w:tc>
        <w:tc>
          <w:tcPr>
            <w:tcW w:w="1737" w:type="pct"/>
            <w:tcBorders>
              <w:bottom w:val="single" w:sz="4" w:space="0" w:color="auto"/>
            </w:tcBorders>
            <w:shd w:val="clear" w:color="auto" w:fill="FFFFFF"/>
            <w:tcMar>
              <w:top w:w="110" w:type="dxa"/>
            </w:tcMar>
          </w:tcPr>
          <w:p w:rsidR="00784E52" w:rsidRPr="005C7CCE" w:rsidRDefault="00784E52" w:rsidP="001A5BF9">
            <w:pPr>
              <w:rPr>
                <w:rFonts w:cs="Arial"/>
                <w:sz w:val="16"/>
                <w:szCs w:val="16"/>
              </w:rPr>
            </w:pPr>
            <w:r w:rsidRPr="005C7CCE">
              <w:rPr>
                <w:sz w:val="16"/>
              </w:rPr>
              <w:t>Le taux moyen de satisfaction exprimé par les participants aux activités de renforcement des capacités est supérieur à 85</w:t>
            </w:r>
            <w:r w:rsidR="007E442D" w:rsidRPr="005C7CCE">
              <w:rPr>
                <w:sz w:val="16"/>
              </w:rPr>
              <w:t>%</w:t>
            </w:r>
            <w:r w:rsidRPr="005C7CCE">
              <w:rPr>
                <w:sz w:val="16"/>
              </w:rPr>
              <w:t>.</w:t>
            </w:r>
          </w:p>
        </w:tc>
        <w:tc>
          <w:tcPr>
            <w:tcW w:w="682" w:type="pct"/>
            <w:tcBorders>
              <w:bottom w:val="single" w:sz="4" w:space="0" w:color="auto"/>
            </w:tcBorders>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2D02F3" w:rsidTr="00BB3F3E">
        <w:trPr>
          <w:cantSplit/>
        </w:trPr>
        <w:tc>
          <w:tcPr>
            <w:tcW w:w="5000" w:type="pct"/>
            <w:gridSpan w:val="6"/>
            <w:tcBorders>
              <w:top w:val="single" w:sz="4" w:space="0" w:color="auto"/>
              <w:bottom w:val="single" w:sz="4" w:space="0" w:color="auto"/>
            </w:tcBorders>
            <w:shd w:val="clear" w:color="auto" w:fill="CCFFFF"/>
            <w:vAlign w:val="center"/>
          </w:tcPr>
          <w:p w:rsidR="00784E52" w:rsidRPr="002D02F3" w:rsidRDefault="00784E52" w:rsidP="00CB2895">
            <w:pPr>
              <w:keepNext/>
              <w:keepLines/>
              <w:spacing w:before="120" w:after="120"/>
              <w:ind w:left="1735" w:hanging="1735"/>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Coopération et coordination systématiques, transparentes et efficaces entre les travaux de l</w:t>
            </w:r>
            <w:r w:rsidR="00A20444" w:rsidRPr="002D02F3">
              <w:rPr>
                <w:sz w:val="16"/>
              </w:rPr>
              <w:t>’</w:t>
            </w:r>
            <w:r w:rsidRPr="002D02F3">
              <w:rPr>
                <w:sz w:val="16"/>
              </w:rPr>
              <w:t>OMPI et ceux d</w:t>
            </w:r>
            <w:r w:rsidR="00A20444" w:rsidRPr="002D02F3">
              <w:rPr>
                <w:sz w:val="16"/>
              </w:rPr>
              <w:t>’</w:t>
            </w:r>
            <w:r w:rsidRPr="002D02F3">
              <w:rPr>
                <w:sz w:val="16"/>
              </w:rPr>
              <w:t>autres organisations internationales dans le domaine de la promotion du respect de la propriété intellectuelle</w:t>
            </w:r>
          </w:p>
        </w:tc>
      </w:tr>
      <w:tr w:rsidR="00784E52" w:rsidRPr="002D02F3" w:rsidTr="002A762E">
        <w:trPr>
          <w:cantSplit/>
        </w:trPr>
        <w:tc>
          <w:tcPr>
            <w:tcW w:w="869" w:type="pct"/>
            <w:tcBorders>
              <w:top w:val="single" w:sz="4" w:space="0" w:color="auto"/>
            </w:tcBorders>
            <w:shd w:val="clear" w:color="auto" w:fill="auto"/>
            <w:vAlign w:val="center"/>
          </w:tcPr>
          <w:p w:rsidR="00784E52" w:rsidRPr="002D02F3" w:rsidRDefault="00784E52" w:rsidP="00CB2895">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49" w:type="pct"/>
            <w:gridSpan w:val="2"/>
            <w:tcBorders>
              <w:top w:val="single" w:sz="4" w:space="0" w:color="auto"/>
            </w:tcBorders>
            <w:shd w:val="clear" w:color="auto" w:fill="auto"/>
            <w:vAlign w:val="center"/>
          </w:tcPr>
          <w:p w:rsidR="00784E52" w:rsidRPr="002D02F3" w:rsidRDefault="00784E52" w:rsidP="00CB2895">
            <w:pPr>
              <w:rPr>
                <w:rFonts w:cs="Arial"/>
                <w:b/>
                <w:bCs/>
                <w:sz w:val="16"/>
                <w:szCs w:val="16"/>
              </w:rPr>
            </w:pPr>
            <w:r w:rsidRPr="002D02F3">
              <w:rPr>
                <w:b/>
                <w:sz w:val="16"/>
              </w:rPr>
              <w:t>Niveaux de référence</w:t>
            </w:r>
          </w:p>
        </w:tc>
        <w:tc>
          <w:tcPr>
            <w:tcW w:w="763" w:type="pct"/>
            <w:tcBorders>
              <w:top w:val="single" w:sz="4" w:space="0" w:color="auto"/>
            </w:tcBorders>
            <w:shd w:val="clear" w:color="auto" w:fill="auto"/>
            <w:tcMar>
              <w:top w:w="110" w:type="dxa"/>
            </w:tcMar>
            <w:vAlign w:val="center"/>
          </w:tcPr>
          <w:p w:rsidR="00784E52" w:rsidRPr="002D02F3" w:rsidRDefault="00784E52" w:rsidP="00CB2895">
            <w:pPr>
              <w:rPr>
                <w:rFonts w:cs="Arial"/>
                <w:b/>
                <w:sz w:val="16"/>
                <w:szCs w:val="16"/>
              </w:rPr>
            </w:pPr>
            <w:r w:rsidRPr="002D02F3">
              <w:rPr>
                <w:b/>
                <w:sz w:val="16"/>
              </w:rPr>
              <w:t>Objectifs visés</w:t>
            </w:r>
          </w:p>
        </w:tc>
        <w:tc>
          <w:tcPr>
            <w:tcW w:w="1737" w:type="pct"/>
            <w:tcBorders>
              <w:top w:val="single" w:sz="4" w:space="0" w:color="auto"/>
            </w:tcBorders>
            <w:shd w:val="clear" w:color="auto" w:fill="FFFFFF"/>
            <w:tcMar>
              <w:top w:w="110" w:type="dxa"/>
            </w:tcMar>
            <w:vAlign w:val="center"/>
          </w:tcPr>
          <w:p w:rsidR="00784E52" w:rsidRPr="002D02F3" w:rsidRDefault="00784E52" w:rsidP="00CB2895">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784E52" w:rsidRPr="002D02F3" w:rsidRDefault="00784E52" w:rsidP="001A5BF9">
            <w:pPr>
              <w:keepNext/>
              <w:keepLines/>
              <w:jc w:val="center"/>
              <w:rPr>
                <w:rFonts w:cs="Arial"/>
                <w:b/>
                <w:bCs/>
                <w:sz w:val="16"/>
                <w:szCs w:val="16"/>
              </w:rPr>
            </w:pPr>
            <w:r w:rsidRPr="002D02F3">
              <w:rPr>
                <w:b/>
                <w:sz w:val="16"/>
              </w:rPr>
              <w:t>Code de couleurs</w:t>
            </w:r>
          </w:p>
        </w:tc>
      </w:tr>
      <w:tr w:rsidR="00784E52" w:rsidRPr="005C7CCE" w:rsidTr="002A762E">
        <w:trPr>
          <w:cantSplit/>
        </w:trPr>
        <w:tc>
          <w:tcPr>
            <w:tcW w:w="869" w:type="pct"/>
            <w:shd w:val="clear" w:color="auto" w:fill="auto"/>
          </w:tcPr>
          <w:p w:rsidR="00784E52" w:rsidRPr="005C7CCE" w:rsidRDefault="00784E52" w:rsidP="001A5BF9">
            <w:pPr>
              <w:keepNext/>
              <w:keepLines/>
              <w:rPr>
                <w:rFonts w:cs="Arial"/>
                <w:sz w:val="16"/>
                <w:szCs w:val="16"/>
              </w:rPr>
            </w:pPr>
            <w:r w:rsidRPr="005C7CCE">
              <w:rPr>
                <w:sz w:val="16"/>
              </w:rPr>
              <w:t>Nombre de mécanismes de coopération officiels en place</w:t>
            </w:r>
          </w:p>
        </w:tc>
        <w:tc>
          <w:tcPr>
            <w:tcW w:w="949" w:type="pct"/>
            <w:gridSpan w:val="2"/>
            <w:shd w:val="clear" w:color="auto" w:fill="auto"/>
          </w:tcPr>
          <w:p w:rsidR="00784E52" w:rsidRPr="005C7CCE" w:rsidRDefault="00784E52" w:rsidP="001A5BF9">
            <w:pPr>
              <w:keepNext/>
              <w:keepLines/>
              <w:rPr>
                <w:rFonts w:cs="Arial"/>
                <w:sz w:val="16"/>
                <w:szCs w:val="16"/>
              </w:rPr>
            </w:pPr>
            <w:r w:rsidRPr="005C7CCE">
              <w:rPr>
                <w:sz w:val="16"/>
              </w:rPr>
              <w:t>Trois</w:t>
            </w:r>
          </w:p>
        </w:tc>
        <w:tc>
          <w:tcPr>
            <w:tcW w:w="763" w:type="pct"/>
            <w:shd w:val="clear" w:color="auto" w:fill="auto"/>
            <w:tcMar>
              <w:top w:w="110" w:type="dxa"/>
            </w:tcMar>
          </w:tcPr>
          <w:p w:rsidR="00784E52" w:rsidRPr="00CB2895" w:rsidRDefault="00784E52" w:rsidP="001A5BF9">
            <w:pPr>
              <w:rPr>
                <w:rFonts w:cs="Arial"/>
                <w:i/>
                <w:sz w:val="16"/>
                <w:szCs w:val="16"/>
              </w:rPr>
            </w:pPr>
            <w:r w:rsidRPr="00CB2895">
              <w:rPr>
                <w:sz w:val="16"/>
              </w:rPr>
              <w:t xml:space="preserve">Quatre </w:t>
            </w:r>
          </w:p>
        </w:tc>
        <w:tc>
          <w:tcPr>
            <w:tcW w:w="1737" w:type="pct"/>
            <w:shd w:val="clear" w:color="auto" w:fill="FFFFFF"/>
            <w:tcMar>
              <w:top w:w="110" w:type="dxa"/>
            </w:tcMar>
          </w:tcPr>
          <w:p w:rsidR="00784E52" w:rsidRPr="00CB2895" w:rsidRDefault="00784E52" w:rsidP="001A5BF9">
            <w:pPr>
              <w:rPr>
                <w:rFonts w:cs="Arial"/>
                <w:sz w:val="16"/>
                <w:szCs w:val="16"/>
              </w:rPr>
            </w:pPr>
            <w:r w:rsidRPr="00CB2895">
              <w:rPr>
                <w:sz w:val="16"/>
              </w:rPr>
              <w:t>Quatre</w:t>
            </w:r>
          </w:p>
        </w:tc>
        <w:tc>
          <w:tcPr>
            <w:tcW w:w="682" w:type="pct"/>
            <w:shd w:val="clear" w:color="auto" w:fill="auto"/>
            <w:tcMar>
              <w:top w:w="110" w:type="dxa"/>
            </w:tcMar>
          </w:tcPr>
          <w:p w:rsidR="00784E52" w:rsidRPr="005C7CCE" w:rsidRDefault="00784E52" w:rsidP="001A5BF9">
            <w:pPr>
              <w:keepNext/>
              <w:keepLines/>
              <w:jc w:val="center"/>
              <w:rPr>
                <w:rFonts w:cs="Arial"/>
                <w:bCs/>
                <w:color w:val="808080"/>
                <w:sz w:val="16"/>
                <w:szCs w:val="16"/>
              </w:rPr>
            </w:pPr>
            <w:r w:rsidRPr="00B470C6">
              <w:rPr>
                <w:color w:val="008000"/>
                <w:sz w:val="16"/>
              </w:rPr>
              <w:t>Objectif pleinement atteint</w:t>
            </w:r>
          </w:p>
        </w:tc>
      </w:tr>
      <w:tr w:rsidR="00784E52" w:rsidRPr="005C7CCE" w:rsidTr="002A762E">
        <w:trPr>
          <w:cantSplit/>
        </w:trPr>
        <w:tc>
          <w:tcPr>
            <w:tcW w:w="869" w:type="pct"/>
            <w:shd w:val="clear" w:color="auto" w:fill="auto"/>
          </w:tcPr>
          <w:p w:rsidR="00784E52" w:rsidRPr="005C7CCE" w:rsidRDefault="00784E52" w:rsidP="001A5BF9">
            <w:pPr>
              <w:keepNext/>
              <w:keepLines/>
              <w:rPr>
                <w:rFonts w:cs="Arial"/>
                <w:sz w:val="16"/>
                <w:szCs w:val="16"/>
              </w:rPr>
            </w:pPr>
            <w:r w:rsidRPr="005C7CCE">
              <w:rPr>
                <w:sz w:val="16"/>
              </w:rPr>
              <w:t>Nombre d</w:t>
            </w:r>
            <w:r w:rsidR="00A20444" w:rsidRPr="005C7CCE">
              <w:rPr>
                <w:sz w:val="16"/>
              </w:rPr>
              <w:t>’</w:t>
            </w:r>
            <w:r w:rsidRPr="005C7CCE">
              <w:rPr>
                <w:sz w:val="16"/>
              </w:rPr>
              <w:t xml:space="preserve">activités communes </w:t>
            </w:r>
          </w:p>
        </w:tc>
        <w:tc>
          <w:tcPr>
            <w:tcW w:w="949" w:type="pct"/>
            <w:gridSpan w:val="2"/>
            <w:shd w:val="clear" w:color="auto" w:fill="auto"/>
          </w:tcPr>
          <w:p w:rsidR="00D42474" w:rsidRDefault="00784E52"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35 (en 2010</w:t>
            </w:r>
            <w:r w:rsidR="002D6F2A" w:rsidRPr="005C7CCE">
              <w:rPr>
                <w:color w:val="002060"/>
                <w:sz w:val="16"/>
              </w:rPr>
              <w:noBreakHyphen/>
            </w:r>
            <w:r w:rsidRPr="005C7CCE">
              <w:rPr>
                <w:color w:val="002060"/>
                <w:sz w:val="16"/>
              </w:rPr>
              <w:t>2013)</w:t>
            </w:r>
          </w:p>
          <w:p w:rsidR="00D42474" w:rsidRDefault="00D42474" w:rsidP="001A5BF9">
            <w:pPr>
              <w:rPr>
                <w:rFonts w:cs="Arial"/>
                <w:i/>
                <w:sz w:val="16"/>
                <w:szCs w:val="16"/>
              </w:rPr>
            </w:pPr>
          </w:p>
          <w:p w:rsidR="00784E52" w:rsidRPr="005C7CCE" w:rsidRDefault="00784E52" w:rsidP="001A5BF9">
            <w:pPr>
              <w:keepNext/>
              <w:keepLines/>
              <w:rPr>
                <w:rFonts w:cs="Arial"/>
                <w:sz w:val="16"/>
                <w:szCs w:val="16"/>
              </w:rPr>
            </w:pPr>
            <w:r w:rsidRPr="005C7CCE">
              <w:rPr>
                <w:i/>
                <w:sz w:val="16"/>
              </w:rPr>
              <w:t xml:space="preserve">Niveau de référence initial </w:t>
            </w:r>
            <w:r w:rsidR="00667FB3">
              <w:rPr>
                <w:i/>
                <w:sz w:val="16"/>
              </w:rPr>
              <w:t>programme et budget</w:t>
            </w:r>
            <w:r w:rsidRPr="005C7CCE">
              <w:rPr>
                <w:i/>
                <w:spacing w:val="-4"/>
                <w:sz w:val="16"/>
              </w:rPr>
              <w:t> 2012</w:t>
            </w:r>
            <w:r w:rsidR="002D6F2A" w:rsidRPr="005C7CCE">
              <w:rPr>
                <w:i/>
                <w:spacing w:val="-4"/>
                <w:sz w:val="16"/>
              </w:rPr>
              <w:noBreakHyphen/>
            </w:r>
            <w:r w:rsidRPr="005C7CCE">
              <w:rPr>
                <w:i/>
                <w:spacing w:val="-4"/>
                <w:sz w:val="16"/>
              </w:rPr>
              <w:t>2013 :</w:t>
            </w:r>
            <w:r w:rsidRPr="005C7CCE">
              <w:rPr>
                <w:spacing w:val="-4"/>
                <w:sz w:val="16"/>
              </w:rPr>
              <w:t xml:space="preserve"> 30</w:t>
            </w:r>
          </w:p>
        </w:tc>
        <w:tc>
          <w:tcPr>
            <w:tcW w:w="763" w:type="pct"/>
            <w:shd w:val="clear" w:color="auto" w:fill="auto"/>
            <w:tcMar>
              <w:top w:w="110" w:type="dxa"/>
            </w:tcMar>
          </w:tcPr>
          <w:p w:rsidR="00784E52" w:rsidRPr="00CB2895" w:rsidRDefault="00784E52" w:rsidP="001A5BF9">
            <w:pPr>
              <w:rPr>
                <w:rFonts w:cs="Arial"/>
                <w:sz w:val="16"/>
                <w:szCs w:val="16"/>
                <w:lang w:bidi="th-TH"/>
              </w:rPr>
            </w:pPr>
            <w:r w:rsidRPr="00CB2895">
              <w:rPr>
                <w:sz w:val="16"/>
              </w:rPr>
              <w:t>30</w:t>
            </w:r>
            <w:r w:rsidR="002A762E" w:rsidRPr="00CB2895">
              <w:rPr>
                <w:sz w:val="16"/>
              </w:rPr>
              <w:br/>
            </w:r>
            <w:r w:rsidRPr="00CB2895">
              <w:rPr>
                <w:sz w:val="16"/>
              </w:rPr>
              <w:t>(en 2012</w:t>
            </w:r>
            <w:r w:rsidR="002D6F2A" w:rsidRPr="00CB2895">
              <w:rPr>
                <w:sz w:val="16"/>
              </w:rPr>
              <w:noBreakHyphen/>
            </w:r>
            <w:r w:rsidRPr="00CB2895">
              <w:rPr>
                <w:sz w:val="16"/>
              </w:rPr>
              <w:t>2013)</w:t>
            </w:r>
          </w:p>
        </w:tc>
        <w:tc>
          <w:tcPr>
            <w:tcW w:w="1737" w:type="pct"/>
            <w:shd w:val="clear" w:color="auto" w:fill="FFFFFF"/>
            <w:tcMar>
              <w:top w:w="110" w:type="dxa"/>
            </w:tcMar>
          </w:tcPr>
          <w:p w:rsidR="00784E52" w:rsidRPr="00CB2895" w:rsidRDefault="00784E52" w:rsidP="001A5BF9">
            <w:pPr>
              <w:rPr>
                <w:rFonts w:cs="Arial"/>
                <w:sz w:val="16"/>
                <w:szCs w:val="16"/>
              </w:rPr>
            </w:pPr>
            <w:r w:rsidRPr="00CB2895">
              <w:rPr>
                <w:sz w:val="16"/>
              </w:rPr>
              <w:t>39 activités organisées conjointement avec des organisations partenaires et des parties prenantes et/ou auxquelles le programme 17 a participé.</w:t>
            </w:r>
          </w:p>
        </w:tc>
        <w:tc>
          <w:tcPr>
            <w:tcW w:w="682"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bl>
    <w:p w:rsidR="00D42474" w:rsidRDefault="00D42474" w:rsidP="001A5BF9">
      <w:pPr>
        <w:rPr>
          <w:rFonts w:cs="Arial"/>
          <w:szCs w:val="22"/>
        </w:rPr>
      </w:pPr>
    </w:p>
    <w:p w:rsidR="00D42474" w:rsidRDefault="00D42474" w:rsidP="001A5BF9">
      <w:pPr>
        <w:rPr>
          <w:rFonts w:cs="Arial"/>
          <w:szCs w:val="22"/>
        </w:rPr>
      </w:pPr>
    </w:p>
    <w:p w:rsidR="00D42474" w:rsidRDefault="008A271C" w:rsidP="001A5BF9">
      <w:pPr>
        <w:rPr>
          <w:rFonts w:cs="Arial"/>
          <w:sz w:val="22"/>
          <w:szCs w:val="22"/>
        </w:rPr>
      </w:pPr>
      <w:r w:rsidRPr="005C7CCE">
        <w:br w:type="page"/>
      </w:r>
      <w:r w:rsidR="00784E52" w:rsidRPr="00C373FF">
        <w:rPr>
          <w:sz w:val="22"/>
        </w:rPr>
        <w:t>UTILISATION DU BUDGET ET DÉPENSES EFFECTIVES</w:t>
      </w:r>
    </w:p>
    <w:p w:rsidR="00D42474" w:rsidRDefault="00D42474" w:rsidP="001A5BF9">
      <w:pPr>
        <w:rPr>
          <w:rFonts w:cs="Arial"/>
          <w:szCs w:val="20"/>
        </w:rPr>
      </w:pPr>
    </w:p>
    <w:p w:rsidR="00D42474" w:rsidRDefault="00784E52" w:rsidP="001A5BF9">
      <w:pPr>
        <w:pStyle w:val="NormalWeb"/>
        <w:spacing w:before="0" w:beforeAutospacing="0" w:after="0" w:afterAutospacing="0"/>
        <w:jc w:val="center"/>
        <w:rPr>
          <w:sz w:val="20"/>
        </w:rPr>
      </w:pPr>
      <w:r w:rsidRPr="002D02F3">
        <w:rPr>
          <w:sz w:val="20"/>
        </w:rPr>
        <w:t>Budget et dépenses effectives (par résultat)</w:t>
      </w:r>
    </w:p>
    <w:p w:rsidR="00D42474" w:rsidRDefault="00784E52" w:rsidP="001A5BF9">
      <w:pPr>
        <w:pStyle w:val="NormalWeb"/>
        <w:spacing w:before="0" w:beforeAutospacing="0" w:after="0" w:afterAutospacing="0"/>
        <w:jc w:val="center"/>
        <w:rPr>
          <w:i/>
          <w:iCs/>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784E52" w:rsidRPr="002D02F3" w:rsidRDefault="00784E52" w:rsidP="001A5BF9">
      <w:pPr>
        <w:rPr>
          <w:rFonts w:cs="Arial"/>
          <w:szCs w:val="20"/>
        </w:rPr>
      </w:pPr>
    </w:p>
    <w:tbl>
      <w:tblPr>
        <w:tblW w:w="0" w:type="auto"/>
        <w:tblInd w:w="103" w:type="dxa"/>
        <w:tblLayout w:type="fixed"/>
        <w:tblLook w:val="04A0" w:firstRow="1" w:lastRow="0" w:firstColumn="1" w:lastColumn="0" w:noHBand="0" w:noVBand="1"/>
      </w:tblPr>
      <w:tblGrid>
        <w:gridCol w:w="637"/>
        <w:gridCol w:w="4188"/>
        <w:gridCol w:w="1559"/>
        <w:gridCol w:w="1559"/>
        <w:gridCol w:w="1418"/>
      </w:tblGrid>
      <w:tr w:rsidR="00784E52" w:rsidRPr="002D02F3" w:rsidTr="00BB3F3E">
        <w:tc>
          <w:tcPr>
            <w:tcW w:w="4825"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2D02F3" w:rsidRDefault="00784E52" w:rsidP="001A5BF9">
            <w:pPr>
              <w:spacing w:before="120" w:after="120"/>
              <w:jc w:val="center"/>
              <w:rPr>
                <w:rFonts w:cs="Arial"/>
                <w:bCs/>
                <w:sz w:val="16"/>
                <w:szCs w:val="16"/>
              </w:rPr>
            </w:pPr>
            <w:r w:rsidRPr="002D02F3">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784E52" w:rsidRPr="002D02F3" w:rsidTr="00BB3F3E">
        <w:tc>
          <w:tcPr>
            <w:tcW w:w="637" w:type="dxa"/>
            <w:tcBorders>
              <w:top w:val="nil"/>
              <w:left w:val="single" w:sz="4" w:space="0" w:color="auto"/>
              <w:bottom w:val="nil"/>
              <w:right w:val="nil"/>
            </w:tcBorders>
            <w:shd w:val="clear" w:color="000000" w:fill="FFFFFF"/>
            <w:noWrap/>
          </w:tcPr>
          <w:p w:rsidR="00784E52" w:rsidRPr="002D02F3" w:rsidRDefault="00784E52" w:rsidP="001A5BF9">
            <w:pPr>
              <w:spacing w:before="120"/>
              <w:jc w:val="center"/>
              <w:rPr>
                <w:rFonts w:cs="Arial"/>
                <w:sz w:val="16"/>
                <w:szCs w:val="16"/>
              </w:rPr>
            </w:pPr>
            <w:proofErr w:type="spellStart"/>
            <w:r w:rsidRPr="002D02F3">
              <w:rPr>
                <w:sz w:val="16"/>
              </w:rPr>
              <w:t>I.4</w:t>
            </w:r>
            <w:proofErr w:type="spellEnd"/>
          </w:p>
        </w:tc>
        <w:tc>
          <w:tcPr>
            <w:tcW w:w="4188" w:type="dxa"/>
            <w:tcBorders>
              <w:top w:val="nil"/>
              <w:left w:val="nil"/>
              <w:bottom w:val="nil"/>
              <w:right w:val="nil"/>
            </w:tcBorders>
            <w:shd w:val="clear" w:color="000000" w:fill="FFFFFF"/>
          </w:tcPr>
          <w:p w:rsidR="00784E52" w:rsidRPr="002D02F3" w:rsidRDefault="00784E52" w:rsidP="001A5BF9">
            <w:pPr>
              <w:spacing w:before="120"/>
              <w:rPr>
                <w:rFonts w:cs="Arial"/>
                <w:sz w:val="16"/>
                <w:szCs w:val="16"/>
              </w:rPr>
            </w:pPr>
            <w:r w:rsidRPr="002D02F3">
              <w:rPr>
                <w:sz w:val="16"/>
              </w:rPr>
              <w:t>Cadres législatifs, réglementaires et politiques de propriété intellectuelle adaptés et équilibrés</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311</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282</w:t>
            </w:r>
          </w:p>
        </w:tc>
        <w:tc>
          <w:tcPr>
            <w:tcW w:w="1418" w:type="dxa"/>
            <w:tcBorders>
              <w:top w:val="nil"/>
              <w:left w:val="nil"/>
              <w:bottom w:val="nil"/>
              <w:right w:val="single" w:sz="4" w:space="0" w:color="auto"/>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 xml:space="preserve">292 </w:t>
            </w:r>
          </w:p>
        </w:tc>
      </w:tr>
      <w:tr w:rsidR="00784E52" w:rsidRPr="002D02F3" w:rsidTr="00BB3F3E">
        <w:tc>
          <w:tcPr>
            <w:tcW w:w="637" w:type="dxa"/>
            <w:tcBorders>
              <w:top w:val="nil"/>
              <w:left w:val="single" w:sz="4" w:space="0" w:color="auto"/>
              <w:bottom w:val="nil"/>
              <w:right w:val="nil"/>
            </w:tcBorders>
            <w:shd w:val="clear" w:color="000000" w:fill="FFFFFF"/>
            <w:noWrap/>
          </w:tcPr>
          <w:p w:rsidR="00784E52" w:rsidRPr="002D02F3" w:rsidRDefault="00784E52" w:rsidP="001A5BF9">
            <w:pPr>
              <w:spacing w:before="120"/>
              <w:jc w:val="center"/>
              <w:rPr>
                <w:rFonts w:cs="Arial"/>
                <w:sz w:val="16"/>
                <w:szCs w:val="16"/>
              </w:rPr>
            </w:pPr>
            <w:proofErr w:type="spellStart"/>
            <w:r w:rsidRPr="002D02F3">
              <w:rPr>
                <w:sz w:val="16"/>
              </w:rPr>
              <w:t>III.2</w:t>
            </w:r>
            <w:proofErr w:type="spellEnd"/>
          </w:p>
        </w:tc>
        <w:tc>
          <w:tcPr>
            <w:tcW w:w="4188" w:type="dxa"/>
            <w:tcBorders>
              <w:top w:val="nil"/>
              <w:left w:val="nil"/>
              <w:bottom w:val="nil"/>
              <w:right w:val="nil"/>
            </w:tcBorders>
            <w:shd w:val="clear" w:color="000000" w:fill="FFFFFF"/>
          </w:tcPr>
          <w:p w:rsidR="00784E52" w:rsidRPr="002D02F3" w:rsidRDefault="00784E52" w:rsidP="001A5BF9">
            <w:pPr>
              <w:spacing w:before="120"/>
              <w:rPr>
                <w:rFonts w:cs="Arial"/>
                <w:sz w:val="16"/>
                <w:szCs w:val="16"/>
              </w:rPr>
            </w:pPr>
            <w:r w:rsidRPr="002D02F3">
              <w:rPr>
                <w:sz w:val="16"/>
              </w:rPr>
              <w:t>Renforcement des capacités en matière de ressources humaines pour pouvoir répondre aux nombreuses exigences en ce qui concerne l</w:t>
            </w:r>
            <w:r w:rsidR="00A20444" w:rsidRPr="002D02F3">
              <w:rPr>
                <w:sz w:val="16"/>
              </w:rPr>
              <w:t>’</w:t>
            </w:r>
            <w:r w:rsidRPr="002D02F3">
              <w:rPr>
                <w:sz w:val="16"/>
              </w:rPr>
              <w:t>utilisation efficace de la propriété intellectuelle au service du développement dans les pays en développement,</w:t>
            </w:r>
            <w:r w:rsidR="00A20444" w:rsidRPr="002D02F3">
              <w:rPr>
                <w:sz w:val="16"/>
              </w:rPr>
              <w:t xml:space="preserve"> les PMA</w:t>
            </w:r>
            <w:r w:rsidRPr="002D02F3">
              <w:rPr>
                <w:sz w:val="16"/>
              </w:rPr>
              <w:t xml:space="preserve"> et les pays en transition</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1 261</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 xml:space="preserve">1 300 </w:t>
            </w:r>
          </w:p>
        </w:tc>
        <w:tc>
          <w:tcPr>
            <w:tcW w:w="1418" w:type="dxa"/>
            <w:tcBorders>
              <w:top w:val="nil"/>
              <w:left w:val="nil"/>
              <w:bottom w:val="nil"/>
              <w:right w:val="single" w:sz="4" w:space="0" w:color="auto"/>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1 403</w:t>
            </w:r>
          </w:p>
        </w:tc>
      </w:tr>
      <w:tr w:rsidR="00784E52" w:rsidRPr="002D02F3" w:rsidTr="00BB3F3E">
        <w:tc>
          <w:tcPr>
            <w:tcW w:w="637" w:type="dxa"/>
            <w:tcBorders>
              <w:top w:val="nil"/>
              <w:left w:val="single" w:sz="4" w:space="0" w:color="auto"/>
              <w:bottom w:val="nil"/>
              <w:right w:val="nil"/>
            </w:tcBorders>
            <w:shd w:val="clear" w:color="000000" w:fill="FFFFFF"/>
            <w:noWrap/>
          </w:tcPr>
          <w:p w:rsidR="00784E52" w:rsidRPr="002D02F3" w:rsidRDefault="00784E52" w:rsidP="001A5BF9">
            <w:pPr>
              <w:spacing w:before="120"/>
              <w:jc w:val="center"/>
              <w:rPr>
                <w:rFonts w:cs="Arial"/>
                <w:sz w:val="16"/>
                <w:szCs w:val="16"/>
              </w:rPr>
            </w:pPr>
            <w:proofErr w:type="spellStart"/>
            <w:r w:rsidRPr="002D02F3">
              <w:rPr>
                <w:sz w:val="16"/>
              </w:rPr>
              <w:t>VI.1</w:t>
            </w:r>
            <w:proofErr w:type="spellEnd"/>
          </w:p>
        </w:tc>
        <w:tc>
          <w:tcPr>
            <w:tcW w:w="4188" w:type="dxa"/>
            <w:tcBorders>
              <w:top w:val="nil"/>
              <w:left w:val="nil"/>
              <w:bottom w:val="nil"/>
              <w:right w:val="nil"/>
            </w:tcBorders>
            <w:shd w:val="clear" w:color="000000" w:fill="FFFFFF"/>
          </w:tcPr>
          <w:p w:rsidR="00784E52" w:rsidRPr="002D02F3" w:rsidRDefault="00784E52" w:rsidP="001A5BF9">
            <w:pPr>
              <w:spacing w:before="120"/>
              <w:rPr>
                <w:rFonts w:cs="Arial"/>
                <w:sz w:val="16"/>
                <w:szCs w:val="16"/>
              </w:rPr>
            </w:pPr>
            <w:r w:rsidRPr="002D02F3">
              <w:rPr>
                <w:sz w:val="16"/>
              </w:rPr>
              <w:t>Progrès du dialogue international de politique générale entre les États membres de l</w:t>
            </w:r>
            <w:r w:rsidR="00A20444" w:rsidRPr="002D02F3">
              <w:rPr>
                <w:sz w:val="16"/>
              </w:rPr>
              <w:t>’</w:t>
            </w:r>
            <w:r w:rsidRPr="002D02F3">
              <w:rPr>
                <w:sz w:val="16"/>
              </w:rPr>
              <w:t>OMPI en ce qui concerne la promotion du respect de la propriété intellectuelle, compte tenu de la recommandation n°</w:t>
            </w:r>
            <w:r w:rsidR="0010442A" w:rsidRPr="002D02F3">
              <w:rPr>
                <w:sz w:val="16"/>
              </w:rPr>
              <w:t> </w:t>
            </w:r>
            <w:r w:rsidRPr="002D02F3">
              <w:rPr>
                <w:sz w:val="16"/>
              </w:rPr>
              <w:t>45 du Plan d</w:t>
            </w:r>
            <w:r w:rsidR="00A20444" w:rsidRPr="002D02F3">
              <w:rPr>
                <w:sz w:val="16"/>
              </w:rPr>
              <w:t>’</w:t>
            </w:r>
            <w:r w:rsidRPr="002D02F3">
              <w:rPr>
                <w:sz w:val="16"/>
              </w:rPr>
              <w:t>action pour le développement</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 xml:space="preserve">635 </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 xml:space="preserve">469 </w:t>
            </w:r>
          </w:p>
        </w:tc>
        <w:tc>
          <w:tcPr>
            <w:tcW w:w="1418" w:type="dxa"/>
            <w:tcBorders>
              <w:top w:val="nil"/>
              <w:left w:val="nil"/>
              <w:bottom w:val="nil"/>
              <w:right w:val="single" w:sz="4" w:space="0" w:color="auto"/>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 xml:space="preserve">349 </w:t>
            </w:r>
          </w:p>
        </w:tc>
      </w:tr>
      <w:tr w:rsidR="00784E52" w:rsidRPr="002D02F3" w:rsidTr="00BB3F3E">
        <w:tc>
          <w:tcPr>
            <w:tcW w:w="637" w:type="dxa"/>
            <w:tcBorders>
              <w:top w:val="nil"/>
              <w:left w:val="single" w:sz="4" w:space="0" w:color="auto"/>
              <w:bottom w:val="nil"/>
              <w:right w:val="nil"/>
            </w:tcBorders>
            <w:shd w:val="clear" w:color="000000" w:fill="FFFFFF"/>
            <w:noWrap/>
          </w:tcPr>
          <w:p w:rsidR="00784E52" w:rsidRPr="002D02F3" w:rsidRDefault="00784E52" w:rsidP="001A5BF9">
            <w:pPr>
              <w:spacing w:before="120"/>
              <w:jc w:val="center"/>
              <w:rPr>
                <w:rFonts w:cs="Arial"/>
                <w:sz w:val="16"/>
                <w:szCs w:val="16"/>
              </w:rPr>
            </w:pPr>
            <w:proofErr w:type="spellStart"/>
            <w:r w:rsidRPr="002D02F3">
              <w:rPr>
                <w:sz w:val="16"/>
              </w:rPr>
              <w:t>VI.2</w:t>
            </w:r>
            <w:proofErr w:type="spellEnd"/>
          </w:p>
        </w:tc>
        <w:tc>
          <w:tcPr>
            <w:tcW w:w="4188" w:type="dxa"/>
            <w:tcBorders>
              <w:top w:val="nil"/>
              <w:left w:val="nil"/>
              <w:bottom w:val="nil"/>
              <w:right w:val="nil"/>
            </w:tcBorders>
            <w:shd w:val="clear" w:color="000000" w:fill="FFFFFF"/>
          </w:tcPr>
          <w:p w:rsidR="00784E52" w:rsidRPr="002D02F3" w:rsidRDefault="00784E52" w:rsidP="001A5BF9">
            <w:pPr>
              <w:spacing w:before="120"/>
              <w:rPr>
                <w:rFonts w:cs="Arial"/>
                <w:sz w:val="16"/>
                <w:szCs w:val="16"/>
              </w:rPr>
            </w:pPr>
            <w:r w:rsidRPr="002D02F3">
              <w:rPr>
                <w:sz w:val="16"/>
              </w:rPr>
              <w:t>Coopération et coordination systématiques et efficaces entre les travaux de l</w:t>
            </w:r>
            <w:r w:rsidR="00A20444" w:rsidRPr="002D02F3">
              <w:rPr>
                <w:sz w:val="16"/>
              </w:rPr>
              <w:t>’</w:t>
            </w:r>
            <w:r w:rsidRPr="002D02F3">
              <w:rPr>
                <w:sz w:val="16"/>
              </w:rPr>
              <w:t>OMPI et ceux d</w:t>
            </w:r>
            <w:r w:rsidR="00A20444" w:rsidRPr="002D02F3">
              <w:rPr>
                <w:sz w:val="16"/>
              </w:rPr>
              <w:t>’</w:t>
            </w:r>
            <w:r w:rsidRPr="002D02F3">
              <w:rPr>
                <w:sz w:val="16"/>
              </w:rPr>
              <w:t>autres organisations internationales dans le domaine de la promotion du respect de la propriété intellectuelle</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 xml:space="preserve">785 </w:t>
            </w:r>
          </w:p>
        </w:tc>
        <w:tc>
          <w:tcPr>
            <w:tcW w:w="1559" w:type="dxa"/>
            <w:tcBorders>
              <w:top w:val="nil"/>
              <w:left w:val="nil"/>
              <w:bottom w:val="nil"/>
              <w:right w:val="nil"/>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 xml:space="preserve">741 </w:t>
            </w:r>
          </w:p>
        </w:tc>
        <w:tc>
          <w:tcPr>
            <w:tcW w:w="1418" w:type="dxa"/>
            <w:tcBorders>
              <w:top w:val="nil"/>
              <w:left w:val="nil"/>
              <w:bottom w:val="nil"/>
              <w:right w:val="single" w:sz="4" w:space="0" w:color="auto"/>
            </w:tcBorders>
            <w:shd w:val="clear" w:color="000000" w:fill="FFFFFF"/>
            <w:vAlign w:val="center"/>
          </w:tcPr>
          <w:p w:rsidR="00784E52" w:rsidRPr="002D02F3" w:rsidRDefault="00784E52" w:rsidP="001A5BF9">
            <w:pPr>
              <w:spacing w:before="120"/>
              <w:jc w:val="right"/>
              <w:rPr>
                <w:rFonts w:cs="Arial"/>
                <w:sz w:val="16"/>
                <w:szCs w:val="16"/>
              </w:rPr>
            </w:pPr>
            <w:r w:rsidRPr="002D02F3">
              <w:rPr>
                <w:sz w:val="16"/>
              </w:rPr>
              <w:t xml:space="preserve">721 </w:t>
            </w:r>
          </w:p>
        </w:tc>
      </w:tr>
      <w:tr w:rsidR="00784E52" w:rsidRPr="002D02F3" w:rsidTr="00BB3F3E">
        <w:tc>
          <w:tcPr>
            <w:tcW w:w="637" w:type="dxa"/>
            <w:tcBorders>
              <w:top w:val="nil"/>
              <w:left w:val="single" w:sz="4" w:space="0" w:color="auto"/>
              <w:bottom w:val="single" w:sz="4" w:space="0" w:color="auto"/>
              <w:right w:val="nil"/>
            </w:tcBorders>
            <w:shd w:val="clear" w:color="000000" w:fill="FFFFFF"/>
            <w:noWrap/>
          </w:tcPr>
          <w:p w:rsidR="00784E52" w:rsidRPr="002D02F3" w:rsidRDefault="00784E52" w:rsidP="001A5BF9">
            <w:pPr>
              <w:spacing w:before="120" w:after="120"/>
              <w:jc w:val="center"/>
              <w:rPr>
                <w:rFonts w:cs="Arial"/>
                <w:sz w:val="16"/>
                <w:szCs w:val="16"/>
              </w:rPr>
            </w:pPr>
            <w:proofErr w:type="spellStart"/>
            <w:r w:rsidRPr="002D02F3">
              <w:rPr>
                <w:sz w:val="16"/>
              </w:rPr>
              <w:t>VIII.1</w:t>
            </w:r>
            <w:proofErr w:type="spellEnd"/>
          </w:p>
        </w:tc>
        <w:tc>
          <w:tcPr>
            <w:tcW w:w="4188" w:type="dxa"/>
            <w:tcBorders>
              <w:top w:val="nil"/>
              <w:left w:val="nil"/>
              <w:bottom w:val="single" w:sz="4" w:space="0" w:color="auto"/>
              <w:right w:val="nil"/>
            </w:tcBorders>
            <w:shd w:val="clear" w:color="000000" w:fill="FFFFFF"/>
          </w:tcPr>
          <w:p w:rsidR="00784E52" w:rsidRPr="002D02F3" w:rsidRDefault="00784E52" w:rsidP="001A5BF9">
            <w:pPr>
              <w:spacing w:before="120" w:after="120"/>
              <w:rPr>
                <w:rFonts w:cs="Arial"/>
                <w:sz w:val="16"/>
                <w:szCs w:val="16"/>
              </w:rPr>
            </w:pPr>
            <w:r w:rsidRPr="002D02F3">
              <w:rPr>
                <w:sz w:val="16"/>
              </w:rPr>
              <w:t>Communication plus efficace avec le grand public concernant la propriété intellectuelle et le rôle de l</w:t>
            </w:r>
            <w:r w:rsidR="00A20444" w:rsidRPr="002D02F3">
              <w:rPr>
                <w:sz w:val="16"/>
              </w:rPr>
              <w:t>’</w:t>
            </w:r>
            <w:r w:rsidRPr="002D02F3">
              <w:rPr>
                <w:sz w:val="16"/>
              </w:rPr>
              <w:t>OMPI</w:t>
            </w:r>
          </w:p>
        </w:tc>
        <w:tc>
          <w:tcPr>
            <w:tcW w:w="1559" w:type="dxa"/>
            <w:tcBorders>
              <w:top w:val="nil"/>
              <w:left w:val="nil"/>
              <w:bottom w:val="single" w:sz="4" w:space="0" w:color="auto"/>
              <w:right w:val="nil"/>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0</w:t>
            </w:r>
          </w:p>
        </w:tc>
        <w:tc>
          <w:tcPr>
            <w:tcW w:w="1559" w:type="dxa"/>
            <w:tcBorders>
              <w:top w:val="nil"/>
              <w:left w:val="nil"/>
              <w:bottom w:val="single" w:sz="4" w:space="0" w:color="auto"/>
              <w:right w:val="nil"/>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 xml:space="preserve">42 </w:t>
            </w:r>
          </w:p>
        </w:tc>
        <w:tc>
          <w:tcPr>
            <w:tcW w:w="1418" w:type="dxa"/>
            <w:tcBorders>
              <w:top w:val="nil"/>
              <w:left w:val="nil"/>
              <w:bottom w:val="single" w:sz="4" w:space="0" w:color="auto"/>
              <w:right w:val="single" w:sz="4" w:space="0" w:color="auto"/>
            </w:tcBorders>
            <w:shd w:val="clear" w:color="000000" w:fill="FFFFFF"/>
            <w:vAlign w:val="center"/>
          </w:tcPr>
          <w:p w:rsidR="00784E52" w:rsidRPr="002D02F3" w:rsidRDefault="00784E52" w:rsidP="001A5BF9">
            <w:pPr>
              <w:spacing w:before="120" w:after="120"/>
              <w:jc w:val="right"/>
              <w:rPr>
                <w:rFonts w:cs="Arial"/>
                <w:sz w:val="16"/>
                <w:szCs w:val="16"/>
              </w:rPr>
            </w:pPr>
            <w:r w:rsidRPr="002D02F3">
              <w:rPr>
                <w:sz w:val="16"/>
              </w:rPr>
              <w:t xml:space="preserve">38 </w:t>
            </w:r>
          </w:p>
        </w:tc>
      </w:tr>
      <w:tr w:rsidR="00784E52" w:rsidRPr="002D02F3" w:rsidTr="00BB3F3E">
        <w:tc>
          <w:tcPr>
            <w:tcW w:w="637" w:type="dxa"/>
            <w:tcBorders>
              <w:top w:val="nil"/>
              <w:left w:val="single" w:sz="4" w:space="0" w:color="auto"/>
              <w:bottom w:val="single" w:sz="4" w:space="0" w:color="auto"/>
              <w:right w:val="nil"/>
            </w:tcBorders>
            <w:shd w:val="clear" w:color="000000" w:fill="CCFFFF"/>
            <w:noWrap/>
            <w:vAlign w:val="bottom"/>
          </w:tcPr>
          <w:p w:rsidR="00784E52" w:rsidRPr="002D02F3" w:rsidRDefault="00784E52" w:rsidP="001A5BF9">
            <w:pPr>
              <w:spacing w:before="120" w:after="120"/>
              <w:jc w:val="center"/>
              <w:rPr>
                <w:rFonts w:cs="Arial"/>
                <w:b/>
                <w:bCs/>
                <w:sz w:val="16"/>
                <w:szCs w:val="16"/>
              </w:rPr>
            </w:pPr>
            <w:r w:rsidRPr="002D02F3">
              <w:rPr>
                <w:b/>
                <w:sz w:val="16"/>
              </w:rPr>
              <w:t> </w:t>
            </w:r>
          </w:p>
        </w:tc>
        <w:tc>
          <w:tcPr>
            <w:tcW w:w="4188" w:type="dxa"/>
            <w:tcBorders>
              <w:top w:val="nil"/>
              <w:left w:val="nil"/>
              <w:bottom w:val="single" w:sz="4" w:space="0" w:color="auto"/>
              <w:right w:val="nil"/>
            </w:tcBorders>
            <w:shd w:val="clear" w:color="000000" w:fill="CCFFFF"/>
            <w:noWrap/>
            <w:vAlign w:val="center"/>
          </w:tcPr>
          <w:p w:rsidR="00784E52" w:rsidRPr="002D02F3" w:rsidRDefault="00784E52" w:rsidP="001A5BF9">
            <w:pPr>
              <w:spacing w:before="120" w:after="120"/>
              <w:rPr>
                <w:rFonts w:cs="Arial"/>
                <w:b/>
                <w:bCs/>
                <w:sz w:val="16"/>
                <w:szCs w:val="16"/>
              </w:rPr>
            </w:pPr>
            <w:r w:rsidRPr="002D02F3">
              <w:rPr>
                <w:b/>
                <w:sz w:val="16"/>
              </w:rPr>
              <w:t>Total</w:t>
            </w:r>
          </w:p>
        </w:tc>
        <w:tc>
          <w:tcPr>
            <w:tcW w:w="1559" w:type="dxa"/>
            <w:tcBorders>
              <w:top w:val="nil"/>
              <w:left w:val="single" w:sz="4" w:space="0" w:color="auto"/>
              <w:bottom w:val="single" w:sz="4" w:space="0" w:color="auto"/>
              <w:right w:val="single" w:sz="4" w:space="0" w:color="auto"/>
            </w:tcBorders>
            <w:shd w:val="clear" w:color="000000" w:fill="CCFFFF"/>
            <w:vAlign w:val="center"/>
          </w:tcPr>
          <w:p w:rsidR="00784E52" w:rsidRPr="002D02F3" w:rsidRDefault="00784E52" w:rsidP="001A5BF9">
            <w:pPr>
              <w:spacing w:before="120" w:after="120"/>
              <w:jc w:val="right"/>
              <w:rPr>
                <w:rFonts w:cs="Arial"/>
                <w:b/>
                <w:bCs/>
                <w:sz w:val="16"/>
                <w:szCs w:val="16"/>
              </w:rPr>
            </w:pPr>
            <w:r w:rsidRPr="002D02F3">
              <w:rPr>
                <w:b/>
                <w:sz w:val="16"/>
              </w:rPr>
              <w:t>2 992</w:t>
            </w:r>
          </w:p>
        </w:tc>
        <w:tc>
          <w:tcPr>
            <w:tcW w:w="1559" w:type="dxa"/>
            <w:tcBorders>
              <w:top w:val="nil"/>
              <w:left w:val="nil"/>
              <w:bottom w:val="single" w:sz="4" w:space="0" w:color="auto"/>
              <w:right w:val="single" w:sz="4" w:space="0" w:color="auto"/>
            </w:tcBorders>
            <w:shd w:val="clear" w:color="000000" w:fill="CCFFFF"/>
            <w:noWrap/>
            <w:vAlign w:val="center"/>
          </w:tcPr>
          <w:p w:rsidR="00784E52" w:rsidRPr="002D02F3" w:rsidRDefault="00784E52" w:rsidP="001A5BF9">
            <w:pPr>
              <w:spacing w:before="120" w:after="120"/>
              <w:jc w:val="right"/>
              <w:rPr>
                <w:rFonts w:cs="Arial"/>
                <w:b/>
                <w:bCs/>
                <w:sz w:val="16"/>
                <w:szCs w:val="16"/>
              </w:rPr>
            </w:pPr>
            <w:r w:rsidRPr="002D02F3">
              <w:rPr>
                <w:b/>
                <w:sz w:val="16"/>
              </w:rPr>
              <w:t>2 833</w:t>
            </w:r>
          </w:p>
        </w:tc>
        <w:tc>
          <w:tcPr>
            <w:tcW w:w="1418" w:type="dxa"/>
            <w:tcBorders>
              <w:top w:val="nil"/>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right"/>
              <w:rPr>
                <w:rFonts w:cs="Arial"/>
                <w:b/>
                <w:bCs/>
                <w:sz w:val="16"/>
                <w:szCs w:val="16"/>
              </w:rPr>
            </w:pPr>
            <w:r w:rsidRPr="002D02F3">
              <w:rPr>
                <w:b/>
                <w:sz w:val="16"/>
              </w:rPr>
              <w:t>2 804</w:t>
            </w:r>
          </w:p>
        </w:tc>
      </w:tr>
    </w:tbl>
    <w:p w:rsidR="00D42474" w:rsidRDefault="00D42474" w:rsidP="001A5BF9">
      <w:pPr>
        <w:pStyle w:val="NormalWeb"/>
        <w:spacing w:before="0" w:beforeAutospacing="0" w:after="0" w:afterAutospacing="0"/>
        <w:jc w:val="center"/>
        <w:rPr>
          <w:sz w:val="22"/>
          <w:szCs w:val="22"/>
        </w:rPr>
      </w:pPr>
    </w:p>
    <w:p w:rsidR="00D42474" w:rsidRDefault="00D42474" w:rsidP="001A5BF9">
      <w:pPr>
        <w:pStyle w:val="NormalWeb"/>
        <w:spacing w:before="0" w:beforeAutospacing="0" w:after="0" w:afterAutospacing="0"/>
        <w:jc w:val="center"/>
        <w:rPr>
          <w:sz w:val="22"/>
          <w:szCs w:val="22"/>
        </w:rPr>
      </w:pPr>
    </w:p>
    <w:p w:rsidR="00D42474" w:rsidRDefault="00D42474" w:rsidP="001A5BF9">
      <w:pPr>
        <w:rPr>
          <w:rFonts w:cs="Arial"/>
          <w:szCs w:val="20"/>
        </w:rPr>
      </w:pPr>
    </w:p>
    <w:p w:rsidR="00D42474" w:rsidRDefault="00784E52" w:rsidP="001A5BF9">
      <w:pPr>
        <w:pStyle w:val="NormalWeb"/>
        <w:spacing w:before="0" w:beforeAutospacing="0" w:after="0" w:afterAutospacing="0"/>
        <w:jc w:val="center"/>
        <w:rPr>
          <w:sz w:val="20"/>
        </w:rPr>
      </w:pPr>
      <w:r w:rsidRPr="002D02F3">
        <w:rPr>
          <w:sz w:val="20"/>
        </w:rPr>
        <w:t xml:space="preserve">Budget et dépenses effectives (dépenses de </w:t>
      </w:r>
      <w:proofErr w:type="gramStart"/>
      <w:r w:rsidRPr="002D02F3">
        <w:rPr>
          <w:sz w:val="20"/>
        </w:rPr>
        <w:t>personnel et autres dépenses</w:t>
      </w:r>
      <w:proofErr w:type="gramEnd"/>
      <w:r w:rsidRPr="002D02F3">
        <w:rPr>
          <w:sz w:val="20"/>
        </w:rPr>
        <w:t>)</w:t>
      </w:r>
    </w:p>
    <w:p w:rsidR="00D42474" w:rsidRDefault="00784E52" w:rsidP="001A5BF9">
      <w:pPr>
        <w:pStyle w:val="NormalWeb"/>
        <w:spacing w:before="0" w:beforeAutospacing="0" w:after="0" w:afterAutospacing="0"/>
        <w:jc w:val="center"/>
        <w:rPr>
          <w:i/>
          <w:iCs/>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784E52" w:rsidRPr="002D02F3" w:rsidRDefault="00784E52" w:rsidP="001A5BF9">
      <w:pPr>
        <w:rPr>
          <w:rFonts w:cs="Arial"/>
          <w:szCs w:val="20"/>
        </w:rPr>
      </w:pPr>
    </w:p>
    <w:tbl>
      <w:tblPr>
        <w:tblW w:w="9356" w:type="dxa"/>
        <w:tblInd w:w="108" w:type="dxa"/>
        <w:tblLook w:val="04A0" w:firstRow="1" w:lastRow="0" w:firstColumn="1" w:lastColumn="0" w:noHBand="0" w:noVBand="1"/>
      </w:tblPr>
      <w:tblGrid>
        <w:gridCol w:w="2694"/>
        <w:gridCol w:w="1665"/>
        <w:gridCol w:w="1666"/>
        <w:gridCol w:w="1665"/>
        <w:gridCol w:w="1666"/>
      </w:tblGrid>
      <w:tr w:rsidR="00784E52" w:rsidRPr="002D02F3" w:rsidTr="00BB3F3E">
        <w:tc>
          <w:tcPr>
            <w:tcW w:w="2694"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2D02F3" w:rsidRDefault="00784E52" w:rsidP="001A5BF9">
            <w:pPr>
              <w:spacing w:before="120" w:after="120"/>
              <w:rPr>
                <w:rFonts w:cs="Arial"/>
                <w:sz w:val="16"/>
                <w:szCs w:val="16"/>
              </w:rPr>
            </w:pPr>
            <w:r w:rsidRPr="002D02F3">
              <w:rPr>
                <w:sz w:val="16"/>
              </w:rPr>
              <w:t> </w:t>
            </w:r>
          </w:p>
        </w:tc>
        <w:tc>
          <w:tcPr>
            <w:tcW w:w="1665"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666"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665"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666"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utilisation (</w:t>
            </w:r>
            <w:r w:rsidR="007E442D" w:rsidRPr="002D02F3">
              <w:rPr>
                <w:sz w:val="16"/>
              </w:rPr>
              <w:t>%</w:t>
            </w:r>
            <w:r w:rsidRPr="002D02F3">
              <w:rPr>
                <w:sz w:val="16"/>
              </w:rPr>
              <w:t>)</w:t>
            </w:r>
          </w:p>
        </w:tc>
      </w:tr>
      <w:tr w:rsidR="00784E52" w:rsidRPr="002D02F3" w:rsidTr="00BB3F3E">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665"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2 192</w:t>
            </w:r>
          </w:p>
        </w:tc>
        <w:tc>
          <w:tcPr>
            <w:tcW w:w="1666"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2 057</w:t>
            </w:r>
          </w:p>
        </w:tc>
        <w:tc>
          <w:tcPr>
            <w:tcW w:w="1665"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2 057</w:t>
            </w:r>
          </w:p>
        </w:tc>
        <w:tc>
          <w:tcPr>
            <w:tcW w:w="1666"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100</w:t>
            </w:r>
            <w:r w:rsidR="007E442D" w:rsidRPr="002D02F3">
              <w:rPr>
                <w:sz w:val="16"/>
              </w:rPr>
              <w:t>%</w:t>
            </w:r>
          </w:p>
        </w:tc>
      </w:tr>
      <w:tr w:rsidR="00784E52" w:rsidRPr="002D02F3" w:rsidTr="00BB3F3E">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rPr>
                <w:rFonts w:cs="Arial"/>
                <w:sz w:val="16"/>
                <w:szCs w:val="16"/>
              </w:rPr>
            </w:pPr>
            <w:r w:rsidRPr="002D02F3">
              <w:rPr>
                <w:sz w:val="16"/>
              </w:rPr>
              <w:t xml:space="preserve">Autres dépenses </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800</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776</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747</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sz w:val="16"/>
                <w:szCs w:val="16"/>
              </w:rPr>
            </w:pPr>
            <w:r w:rsidRPr="002D02F3">
              <w:rPr>
                <w:sz w:val="16"/>
              </w:rPr>
              <w:t>96</w:t>
            </w:r>
            <w:r w:rsidR="007E442D" w:rsidRPr="002D02F3">
              <w:rPr>
                <w:sz w:val="16"/>
              </w:rPr>
              <w:t>%</w:t>
            </w:r>
          </w:p>
        </w:tc>
      </w:tr>
      <w:tr w:rsidR="00784E52" w:rsidRPr="002D02F3" w:rsidTr="00BB3F3E">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jc w:val="right"/>
              <w:rPr>
                <w:rFonts w:cs="Arial"/>
                <w:b/>
                <w:bCs/>
                <w:sz w:val="16"/>
                <w:szCs w:val="16"/>
              </w:rPr>
            </w:pPr>
            <w:r w:rsidRPr="002D02F3">
              <w:rPr>
                <w:b/>
                <w:sz w:val="16"/>
              </w:rPr>
              <w:t xml:space="preserve"> TOTAL </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2 992</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2 833</w:t>
            </w:r>
          </w:p>
        </w:tc>
        <w:tc>
          <w:tcPr>
            <w:tcW w:w="1665"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2 804</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120" w:after="120"/>
              <w:jc w:val="center"/>
              <w:rPr>
                <w:rFonts w:cs="Arial"/>
                <w:b/>
                <w:bCs/>
                <w:sz w:val="16"/>
                <w:szCs w:val="16"/>
              </w:rPr>
            </w:pPr>
            <w:r w:rsidRPr="002D02F3">
              <w:rPr>
                <w:b/>
                <w:sz w:val="16"/>
              </w:rPr>
              <w:t>99</w:t>
            </w:r>
            <w:r w:rsidR="007E442D" w:rsidRPr="002D02F3">
              <w:rPr>
                <w:b/>
                <w:sz w:val="16"/>
              </w:rPr>
              <w:t>%</w:t>
            </w:r>
          </w:p>
        </w:tc>
      </w:tr>
    </w:tbl>
    <w:p w:rsidR="00D42474" w:rsidRDefault="00D42474" w:rsidP="001A5BF9">
      <w:pPr>
        <w:rPr>
          <w:rFonts w:cs="Arial"/>
          <w:szCs w:val="20"/>
        </w:rPr>
      </w:pPr>
    </w:p>
    <w:p w:rsidR="00D42474" w:rsidRDefault="00784E52" w:rsidP="001A5BF9">
      <w:pPr>
        <w:keepNext/>
        <w:autoSpaceDE w:val="0"/>
        <w:autoSpaceDN w:val="0"/>
        <w:rPr>
          <w:rFonts w:cs="Arial"/>
          <w:sz w:val="16"/>
          <w:szCs w:val="16"/>
        </w:rPr>
      </w:pPr>
      <w:proofErr w:type="gramStart"/>
      <w:r w:rsidRPr="002D02F3">
        <w:rPr>
          <w:sz w:val="16"/>
        </w:rPr>
        <w:t>NOTES</w:t>
      </w:r>
      <w:proofErr w:type="gramEnd"/>
      <w:r w:rsidR="0010442A" w:rsidRPr="002D02F3">
        <w:rPr>
          <w:sz w:val="16"/>
        </w:rPr>
        <w:t> </w:t>
      </w:r>
      <w:r w:rsidRPr="002D02F3">
        <w:rPr>
          <w:sz w:val="16"/>
        </w:rPr>
        <w:t>:</w:t>
      </w:r>
    </w:p>
    <w:p w:rsidR="00D42474" w:rsidRDefault="00D42474" w:rsidP="001A5BF9">
      <w:pPr>
        <w:keepNext/>
        <w:autoSpaceDE w:val="0"/>
        <w:autoSpaceDN w:val="0"/>
        <w:rPr>
          <w:rFonts w:cs="Arial"/>
          <w:sz w:val="16"/>
          <w:szCs w:val="16"/>
        </w:rPr>
      </w:pPr>
    </w:p>
    <w:p w:rsidR="00D42474" w:rsidRDefault="00784E52" w:rsidP="001A5BF9">
      <w:pPr>
        <w:keepNext/>
        <w:autoSpaceDE w:val="0"/>
        <w:autoSpaceDN w:val="0"/>
        <w:rPr>
          <w:rFonts w:cs="Arial"/>
          <w:sz w:val="16"/>
          <w:szCs w:val="16"/>
        </w:rPr>
      </w:pPr>
      <w:r w:rsidRPr="002D02F3">
        <w:rPr>
          <w:sz w:val="16"/>
        </w:rPr>
        <w:t>1)</w:t>
      </w:r>
      <w:r w:rsidR="004F3E42" w:rsidRPr="002D02F3">
        <w:rPr>
          <w:sz w:val="16"/>
        </w:rPr>
        <w:t xml:space="preserve"> </w:t>
      </w:r>
      <w:r w:rsidR="00C373FF">
        <w:rPr>
          <w:sz w:val="16"/>
        </w:rPr>
        <w:tab/>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keepNext/>
        <w:autoSpaceDE w:val="0"/>
        <w:autoSpaceDN w:val="0"/>
        <w:rPr>
          <w:rFonts w:cs="Arial"/>
          <w:sz w:val="16"/>
          <w:szCs w:val="16"/>
        </w:rPr>
      </w:pPr>
    </w:p>
    <w:p w:rsidR="00D42474" w:rsidRDefault="00C373FF" w:rsidP="001A5BF9">
      <w:pPr>
        <w:keepNext/>
        <w:autoSpaceDE w:val="0"/>
        <w:autoSpaceDN w:val="0"/>
        <w:rPr>
          <w:sz w:val="16"/>
        </w:rPr>
      </w:pPr>
      <w:r>
        <w:rPr>
          <w:sz w:val="16"/>
        </w:rPr>
        <w:t>2)</w:t>
      </w:r>
      <w:r>
        <w:rPr>
          <w:sz w:val="16"/>
        </w:rPr>
        <w:tab/>
      </w:r>
      <w:r w:rsidR="00784E52" w:rsidRPr="002D02F3">
        <w:rPr>
          <w:sz w:val="16"/>
        </w:rPr>
        <w:t>Les dépenses de personnel indiquées dans le budget de l</w:t>
      </w:r>
      <w:r w:rsidR="00A20444" w:rsidRPr="002D02F3">
        <w:rPr>
          <w:sz w:val="16"/>
        </w:rPr>
        <w:t>’</w:t>
      </w:r>
      <w:r w:rsidR="00784E52" w:rsidRPr="002D02F3">
        <w:rPr>
          <w:sz w:val="16"/>
        </w:rPr>
        <w:t>exercice 2012</w:t>
      </w:r>
      <w:r w:rsidR="002D6F2A" w:rsidRPr="002D02F3">
        <w:rPr>
          <w:sz w:val="16"/>
        </w:rPr>
        <w:noBreakHyphen/>
      </w:r>
      <w:r w:rsidR="00784E52" w:rsidRPr="002D02F3">
        <w:rPr>
          <w:sz w:val="16"/>
        </w:rPr>
        <w:t>2013 après virements représentent les dépenses réelles engagées pendant l</w:t>
      </w:r>
      <w:r w:rsidR="00A20444" w:rsidRPr="002D02F3">
        <w:rPr>
          <w:sz w:val="16"/>
        </w:rPr>
        <w:t>’</w:t>
      </w:r>
      <w:r w:rsidR="00784E52" w:rsidRPr="002D02F3">
        <w:rPr>
          <w:sz w:val="16"/>
        </w:rPr>
        <w:t>exercice biennal.</w:t>
      </w:r>
    </w:p>
    <w:p w:rsidR="00D42474" w:rsidRDefault="00D42474" w:rsidP="001A5BF9">
      <w:pPr>
        <w:keepNext/>
        <w:autoSpaceDE w:val="0"/>
        <w:autoSpaceDN w:val="0"/>
        <w:rPr>
          <w:sz w:val="16"/>
          <w:szCs w:val="16"/>
        </w:rPr>
      </w:pPr>
    </w:p>
    <w:p w:rsidR="00D42474" w:rsidRDefault="00D42474" w:rsidP="001A5BF9">
      <w:pPr>
        <w:rPr>
          <w:rFonts w:cs="Arial"/>
          <w:szCs w:val="20"/>
        </w:rPr>
      </w:pPr>
    </w:p>
    <w:p w:rsidR="00D42474" w:rsidRDefault="00784E52" w:rsidP="001A5BF9">
      <w:pPr>
        <w:keepNext/>
        <w:keepLines/>
        <w:pageBreakBefore/>
        <w:tabs>
          <w:tab w:val="left" w:pos="709"/>
        </w:tabs>
        <w:jc w:val="both"/>
        <w:rPr>
          <w:rFonts w:cs="Arial"/>
          <w:szCs w:val="20"/>
          <w:u w:val="single"/>
        </w:rPr>
      </w:pPr>
      <w:r w:rsidRPr="002D02F3">
        <w:t>A.</w:t>
      </w:r>
      <w:r w:rsidRPr="002D02F3">
        <w:tab/>
      </w:r>
      <w:r w:rsidRPr="002D02F3">
        <w:rPr>
          <w:u w:val="single"/>
        </w:rPr>
        <w:t>Budget 2012</w:t>
      </w:r>
      <w:r w:rsidR="002D6F2A" w:rsidRPr="002D02F3">
        <w:rPr>
          <w:u w:val="single"/>
        </w:rPr>
        <w:noBreakHyphen/>
      </w:r>
      <w:r w:rsidRPr="002D02F3">
        <w:rPr>
          <w:u w:val="single"/>
        </w:rPr>
        <w:t>2013 après virements</w:t>
      </w:r>
    </w:p>
    <w:p w:rsidR="00D42474" w:rsidRDefault="00D42474" w:rsidP="001A5BF9">
      <w:pPr>
        <w:keepNext/>
        <w:keepLines/>
        <w:tabs>
          <w:tab w:val="left" w:pos="709"/>
        </w:tabs>
        <w:jc w:val="both"/>
        <w:rPr>
          <w:rFonts w:cs="Arial"/>
          <w:szCs w:val="20"/>
          <w:u w:val="single"/>
        </w:rPr>
      </w:pPr>
    </w:p>
    <w:p w:rsidR="00D42474" w:rsidRDefault="00784E52" w:rsidP="001A5BF9">
      <w:pPr>
        <w:keepNext/>
        <w:tabs>
          <w:tab w:val="left" w:pos="709"/>
        </w:tabs>
        <w:autoSpaceDE w:val="0"/>
        <w:autoSpaceDN w:val="0"/>
        <w:jc w:val="both"/>
        <w:rPr>
          <w:rFonts w:cs="Arial"/>
          <w:szCs w:val="20"/>
        </w:rPr>
      </w:pPr>
      <w:r w:rsidRPr="002D02F3">
        <w:t>17.9</w:t>
      </w:r>
      <w:r w:rsidRPr="002D02F3">
        <w:tab/>
        <w:t>L</w:t>
      </w:r>
      <w:r w:rsidR="00A20444" w:rsidRPr="002D02F3">
        <w:t>’</w:t>
      </w:r>
      <w:r w:rsidRPr="002D02F3">
        <w:t>affectation aux dépenses autres pour le budget 2012</w:t>
      </w:r>
      <w:r w:rsidR="002D6F2A" w:rsidRPr="002D02F3">
        <w:noBreakHyphen/>
      </w:r>
      <w:r w:rsidRPr="002D02F3">
        <w:t>2013 après virements, tient compte des ajustements à la baisse opérés pour réduire les coûts conformément aux engagements de l</w:t>
      </w:r>
      <w:r w:rsidR="00A20444" w:rsidRPr="002D02F3">
        <w:t>’</w:t>
      </w:r>
      <w:r w:rsidRPr="002D02F3">
        <w:t>Organisation de réduire les dépenses de 10,2</w:t>
      </w:r>
      <w:r w:rsidR="0010442A" w:rsidRPr="002D02F3">
        <w:t> </w:t>
      </w:r>
      <w:r w:rsidRPr="002D02F3">
        <w:t>millions de francs suisses pour l</w:t>
      </w:r>
      <w:r w:rsidR="00A20444" w:rsidRPr="002D02F3">
        <w:t>’</w:t>
      </w:r>
      <w:r w:rsidRPr="002D02F3">
        <w:t>exercice biennal</w:t>
      </w:r>
      <w:r w:rsidR="0010442A" w:rsidRPr="002D02F3">
        <w:t> </w:t>
      </w:r>
      <w:r w:rsidRPr="002D02F3">
        <w:t>2012</w:t>
      </w:r>
      <w:r w:rsidR="002D6F2A" w:rsidRPr="002D02F3">
        <w:noBreakHyphen/>
      </w:r>
      <w:r w:rsidRPr="002D02F3">
        <w:t>2013.</w:t>
      </w:r>
    </w:p>
    <w:p w:rsidR="00D42474" w:rsidRDefault="00D42474" w:rsidP="001A5BF9">
      <w:pPr>
        <w:tabs>
          <w:tab w:val="left" w:pos="709"/>
        </w:tabs>
        <w:jc w:val="both"/>
        <w:rPr>
          <w:rFonts w:cs="Arial"/>
          <w:szCs w:val="20"/>
        </w:rPr>
      </w:pPr>
    </w:p>
    <w:p w:rsidR="00D42474" w:rsidRDefault="00784E52" w:rsidP="001A5BF9">
      <w:pPr>
        <w:keepNext/>
        <w:keepLines/>
        <w:tabs>
          <w:tab w:val="left" w:pos="709"/>
        </w:tabs>
        <w:jc w:val="both"/>
        <w:rPr>
          <w:rFonts w:cs="Arial"/>
          <w:szCs w:val="20"/>
        </w:rPr>
      </w:pPr>
      <w:r w:rsidRPr="002D02F3">
        <w:t>17.10.</w:t>
      </w:r>
      <w:r w:rsidRPr="002D02F3">
        <w:tab/>
        <w:t>La légère diminution nette de l</w:t>
      </w:r>
      <w:r w:rsidR="00A20444" w:rsidRPr="002D02F3">
        <w:t>’</w:t>
      </w:r>
      <w:r w:rsidRPr="002D02F3">
        <w:t>affectation de ressources pour le personnel traduit le transfert du programme d</w:t>
      </w:r>
      <w:r w:rsidR="00A20444" w:rsidRPr="002D02F3">
        <w:t>’</w:t>
      </w:r>
      <w:r w:rsidRPr="002D02F3">
        <w:t>attribution de prix du programme 19 ainsi que des ressources pour le personnel associées et le transfert d</w:t>
      </w:r>
      <w:r w:rsidR="00A20444" w:rsidRPr="002D02F3">
        <w:t>’</w:t>
      </w:r>
      <w:r w:rsidRPr="002D02F3">
        <w:t>un poste temporaire du programme afin de renforcer les travaux du groupe des Caraïbes dans le programme 9.</w:t>
      </w:r>
    </w:p>
    <w:p w:rsidR="00D42474" w:rsidRDefault="00D42474" w:rsidP="001A5BF9">
      <w:pPr>
        <w:keepNext/>
        <w:keepLines/>
        <w:tabs>
          <w:tab w:val="left" w:pos="709"/>
        </w:tabs>
        <w:jc w:val="both"/>
        <w:rPr>
          <w:rFonts w:cs="Arial"/>
          <w:szCs w:val="20"/>
          <w:u w:val="single"/>
        </w:rPr>
      </w:pPr>
    </w:p>
    <w:p w:rsidR="00D42474" w:rsidRDefault="00784E52" w:rsidP="001A5BF9">
      <w:pPr>
        <w:keepNext/>
        <w:keepLines/>
        <w:tabs>
          <w:tab w:val="left" w:pos="709"/>
        </w:tabs>
        <w:jc w:val="both"/>
        <w:rPr>
          <w:rFonts w:cs="Arial"/>
          <w:szCs w:val="20"/>
          <w:u w:val="single"/>
        </w:rPr>
      </w:pPr>
      <w:r w:rsidRPr="002D02F3">
        <w:t>B.</w:t>
      </w:r>
      <w:r w:rsidRPr="002D02F3">
        <w:tab/>
      </w:r>
      <w:r w:rsidRPr="002D02F3">
        <w:rPr>
          <w:u w:val="single"/>
        </w:rPr>
        <w:t>Utilisation du budget 2012</w:t>
      </w:r>
      <w:r w:rsidR="002D6F2A" w:rsidRPr="002D02F3">
        <w:rPr>
          <w:u w:val="single"/>
        </w:rPr>
        <w:noBreakHyphen/>
      </w:r>
      <w:r w:rsidRPr="002D02F3">
        <w:rPr>
          <w:u w:val="single"/>
        </w:rPr>
        <w:t>2013</w:t>
      </w:r>
    </w:p>
    <w:p w:rsidR="00D42474" w:rsidRDefault="00D42474" w:rsidP="001A5BF9">
      <w:pPr>
        <w:tabs>
          <w:tab w:val="left" w:pos="709"/>
        </w:tabs>
        <w:jc w:val="both"/>
        <w:rPr>
          <w:rFonts w:cs="Arial"/>
          <w:szCs w:val="20"/>
        </w:rPr>
      </w:pPr>
    </w:p>
    <w:p w:rsidR="00D42474" w:rsidRDefault="00784E52" w:rsidP="001A5BF9">
      <w:pPr>
        <w:tabs>
          <w:tab w:val="left" w:pos="709"/>
        </w:tabs>
        <w:autoSpaceDE w:val="0"/>
        <w:autoSpaceDN w:val="0"/>
        <w:adjustRightInd w:val="0"/>
        <w:jc w:val="both"/>
      </w:pPr>
      <w:r w:rsidRPr="002D02F3">
        <w:t>17.11.</w:t>
      </w:r>
      <w:r w:rsidRPr="002D02F3">
        <w:tab/>
        <w:t>L</w:t>
      </w:r>
      <w:r w:rsidR="00A20444" w:rsidRPr="002D02F3">
        <w:t>’</w:t>
      </w:r>
      <w:r w:rsidRPr="002D02F3">
        <w:t>utilisation de 96</w:t>
      </w:r>
      <w:r w:rsidR="007E442D" w:rsidRPr="002D02F3">
        <w:t>%</w:t>
      </w:r>
      <w:r w:rsidRPr="002D02F3">
        <w:t xml:space="preserve"> du budget reflète des dépenses légèrement inférieures à celles prévues pour l</w:t>
      </w:r>
      <w:r w:rsidR="00A20444" w:rsidRPr="002D02F3">
        <w:t>’</w:t>
      </w:r>
      <w:r w:rsidRPr="002D02F3">
        <w:t>organisation du comité consultatif sur l</w:t>
      </w:r>
      <w:r w:rsidR="00A20444" w:rsidRPr="002D02F3">
        <w:t>’</w:t>
      </w:r>
      <w:r w:rsidRPr="002D02F3">
        <w:t xml:space="preserve">application des droits (ACE), essentiellement en raison </w:t>
      </w:r>
      <w:r w:rsidRPr="005C7CCE">
        <w:rPr>
          <w:color w:val="000000"/>
        </w:rPr>
        <w:t>d</w:t>
      </w:r>
      <w:r w:rsidR="00A20444" w:rsidRPr="005C7CCE">
        <w:rPr>
          <w:color w:val="000000"/>
        </w:rPr>
        <w:t>’</w:t>
      </w:r>
      <w:r w:rsidRPr="005C7CCE">
        <w:rPr>
          <w:color w:val="000000"/>
        </w:rPr>
        <w:t>économies sur les voyages de tiers.</w:t>
      </w:r>
    </w:p>
    <w:p w:rsidR="00D42474" w:rsidRDefault="00D42474" w:rsidP="001A5BF9">
      <w:pPr>
        <w:rPr>
          <w:rFonts w:cs="Arial"/>
          <w:szCs w:val="20"/>
        </w:rPr>
      </w:pPr>
    </w:p>
    <w:p w:rsidR="00D42474" w:rsidRDefault="00784E52" w:rsidP="001A5BF9">
      <w:pPr>
        <w:rPr>
          <w:szCs w:val="20"/>
        </w:rPr>
      </w:pPr>
      <w:r w:rsidRPr="005C7CCE">
        <w:br w:type="page"/>
      </w:r>
    </w:p>
    <w:p w:rsidR="00D42474" w:rsidRDefault="00C82E6A" w:rsidP="00C82E6A">
      <w:pPr>
        <w:pStyle w:val="Heading2"/>
        <w:tabs>
          <w:tab w:val="clear" w:pos="9072"/>
        </w:tabs>
      </w:pPr>
      <w:bookmarkStart w:id="35" w:name="_Toc395082487"/>
      <w:r w:rsidRPr="00D54DAE">
        <w:t>OBJECTIF STRAT</w:t>
      </w:r>
      <w:r w:rsidRPr="00D54DAE">
        <w:rPr>
          <w:rFonts w:hint="eastAsia"/>
        </w:rPr>
        <w:t>É</w:t>
      </w:r>
      <w:r w:rsidRPr="00D54DAE">
        <w:t>GIQUE VII</w:t>
      </w:r>
      <w:r>
        <w:tab/>
      </w:r>
      <w:r w:rsidRPr="00D54DAE">
        <w:br/>
      </w:r>
      <w:r w:rsidR="00784E52" w:rsidRPr="00D54DAE">
        <w:br/>
      </w:r>
      <w:r w:rsidR="00D54DAE" w:rsidRPr="00D54DAE">
        <w:t>Propri</w:t>
      </w:r>
      <w:r w:rsidR="00D54DAE" w:rsidRPr="00D54DAE">
        <w:rPr>
          <w:rFonts w:hint="eastAsia"/>
        </w:rPr>
        <w:t>é</w:t>
      </w:r>
      <w:r w:rsidR="00D54DAE" w:rsidRPr="00D54DAE">
        <w:t>t</w:t>
      </w:r>
      <w:r w:rsidR="00D54DAE" w:rsidRPr="00D54DAE">
        <w:rPr>
          <w:rFonts w:hint="eastAsia"/>
        </w:rPr>
        <w:t>é</w:t>
      </w:r>
      <w:r w:rsidR="00D54DAE" w:rsidRPr="00D54DAE">
        <w:t xml:space="preserve"> intellectuelle et enjeux mondiaux</w:t>
      </w:r>
      <w:bookmarkEnd w:id="35"/>
    </w:p>
    <w:p w:rsidR="00D42474" w:rsidRDefault="00D42474" w:rsidP="001A5BF9"/>
    <w:p w:rsidR="00D42474" w:rsidRDefault="00D42474" w:rsidP="001A5BF9"/>
    <w:p w:rsidR="00D42474" w:rsidRDefault="00D42474" w:rsidP="001A5BF9"/>
    <w:p w:rsidR="00D42474" w:rsidRDefault="00784E52" w:rsidP="001A5BF9">
      <w:pPr>
        <w:jc w:val="center"/>
        <w:rPr>
          <w:szCs w:val="20"/>
        </w:rPr>
      </w:pPr>
      <w:r w:rsidRPr="002D02F3">
        <w:t>TABLEAU DE BORD DE L</w:t>
      </w:r>
      <w:r w:rsidR="00A20444" w:rsidRPr="002D02F3">
        <w:t>’</w:t>
      </w:r>
      <w:r w:rsidRPr="002D02F3">
        <w:t>EXÉCUTION DU PROGRAMME BIENNAL</w:t>
      </w:r>
    </w:p>
    <w:p w:rsidR="00D42474" w:rsidRDefault="00D42474" w:rsidP="001A5BF9"/>
    <w:p w:rsidR="00D42474" w:rsidRDefault="00784E52" w:rsidP="001A5BF9">
      <w:pPr>
        <w:autoSpaceDE w:val="0"/>
        <w:autoSpaceDN w:val="0"/>
        <w:adjustRightInd w:val="0"/>
        <w:jc w:val="both"/>
      </w:pPr>
      <w:r w:rsidRPr="002D02F3">
        <w:t>Le tableau de bord ci</w:t>
      </w:r>
      <w:r w:rsidR="002D6F2A" w:rsidRPr="002D02F3">
        <w:noBreakHyphen/>
      </w:r>
      <w:r w:rsidRPr="002D02F3">
        <w:t>dessous présente un résumé de la réalisation des résultats escomptés pour l</w:t>
      </w:r>
      <w:r w:rsidR="00A20444" w:rsidRPr="002D02F3">
        <w:t>’</w:t>
      </w:r>
      <w:r w:rsidRPr="002D02F3">
        <w:t>exercice biennal 2012</w:t>
      </w:r>
      <w:r w:rsidR="002D6F2A" w:rsidRPr="002D02F3">
        <w:noBreakHyphen/>
      </w:r>
      <w:r w:rsidRPr="002D02F3">
        <w:t>2013, telle que mesurée par les indicateurs au titre des programmes contribuant à cet objectif stratégique.</w:t>
      </w:r>
    </w:p>
    <w:p w:rsidR="00D42474" w:rsidRDefault="00D42474" w:rsidP="001A5BF9">
      <w:pPr>
        <w:autoSpaceDE w:val="0"/>
        <w:autoSpaceDN w:val="0"/>
        <w:adjustRightInd w:val="0"/>
        <w:jc w:val="both"/>
        <w:rPr>
          <w:rFonts w:cs="Arial"/>
        </w:rPr>
      </w:pPr>
    </w:p>
    <w:p w:rsidR="00D42474" w:rsidRDefault="00D42474" w:rsidP="001A5BF9">
      <w:pPr>
        <w:autoSpaceDE w:val="0"/>
        <w:autoSpaceDN w:val="0"/>
        <w:adjustRightInd w:val="0"/>
        <w:jc w:val="both"/>
        <w:rPr>
          <w:rFonts w:cs="Arial"/>
        </w:rPr>
      </w:pPr>
    </w:p>
    <w:p w:rsidR="00D42474" w:rsidRDefault="000A664E" w:rsidP="001A5BF9">
      <w:pPr>
        <w:autoSpaceDE w:val="0"/>
        <w:autoSpaceDN w:val="0"/>
        <w:adjustRightInd w:val="0"/>
        <w:jc w:val="center"/>
        <w:rPr>
          <w:rFonts w:cs="Arial"/>
        </w:rPr>
      </w:pPr>
      <w:r w:rsidRPr="000A664E">
        <w:rPr>
          <w:noProof/>
        </w:rPr>
        <w:drawing>
          <wp:inline distT="0" distB="0" distL="0" distR="0" wp14:anchorId="27D5D665" wp14:editId="518EB642">
            <wp:extent cx="3916550" cy="2150771"/>
            <wp:effectExtent l="0" t="0" r="8255"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925478" cy="2155674"/>
                    </a:xfrm>
                    <a:prstGeom prst="rect">
                      <a:avLst/>
                    </a:prstGeom>
                    <a:noFill/>
                    <a:ln>
                      <a:noFill/>
                    </a:ln>
                  </pic:spPr>
                </pic:pic>
              </a:graphicData>
            </a:graphic>
          </wp:inline>
        </w:drawing>
      </w:r>
    </w:p>
    <w:p w:rsidR="00D42474" w:rsidRDefault="00D42474" w:rsidP="001A5BF9">
      <w:pPr>
        <w:autoSpaceDE w:val="0"/>
        <w:autoSpaceDN w:val="0"/>
        <w:adjustRightInd w:val="0"/>
        <w:jc w:val="both"/>
        <w:rPr>
          <w:rFonts w:cs="Arial"/>
        </w:rPr>
      </w:pPr>
    </w:p>
    <w:p w:rsidR="00784E52" w:rsidRPr="005C7CCE" w:rsidRDefault="00784E52" w:rsidP="001A5BF9">
      <w:pPr>
        <w:tabs>
          <w:tab w:val="left" w:pos="0"/>
        </w:tabs>
        <w:rPr>
          <w:rFonts w:cs="Arial"/>
          <w:i/>
          <w:szCs w:val="22"/>
        </w:rPr>
      </w:pPr>
    </w:p>
    <w:tbl>
      <w:tblPr>
        <w:tblW w:w="0" w:type="auto"/>
        <w:tblInd w:w="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42"/>
        <w:gridCol w:w="3409"/>
        <w:gridCol w:w="1366"/>
        <w:gridCol w:w="1349"/>
      </w:tblGrid>
      <w:tr w:rsidR="00784E52" w:rsidRPr="002D02F3" w:rsidTr="00BB3F3E">
        <w:tc>
          <w:tcPr>
            <w:tcW w:w="3242"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Résultats escomptés</w:t>
            </w:r>
          </w:p>
        </w:tc>
        <w:tc>
          <w:tcPr>
            <w:tcW w:w="3409"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Indicateurs d</w:t>
            </w:r>
            <w:r w:rsidR="00A20444" w:rsidRPr="002D02F3">
              <w:rPr>
                <w:b/>
                <w:sz w:val="14"/>
              </w:rPr>
              <w:t>’</w:t>
            </w:r>
            <w:r w:rsidRPr="002D02F3">
              <w:rPr>
                <w:b/>
                <w:sz w:val="14"/>
              </w:rPr>
              <w:t>exécution</w:t>
            </w:r>
          </w:p>
        </w:tc>
        <w:tc>
          <w:tcPr>
            <w:tcW w:w="1366"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Programme(s)</w:t>
            </w:r>
            <w:r w:rsidRPr="002D02F3">
              <w:br/>
            </w:r>
            <w:r w:rsidRPr="002D02F3">
              <w:rPr>
                <w:b/>
                <w:sz w:val="14"/>
              </w:rPr>
              <w:t>concerné(s)</w:t>
            </w:r>
          </w:p>
        </w:tc>
        <w:tc>
          <w:tcPr>
            <w:tcW w:w="1349"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Code de couleurs</w:t>
            </w:r>
          </w:p>
        </w:tc>
      </w:tr>
      <w:tr w:rsidR="00784E52" w:rsidRPr="005C7CCE" w:rsidTr="00BB3F3E">
        <w:tc>
          <w:tcPr>
            <w:tcW w:w="3242" w:type="dxa"/>
            <w:vMerge w:val="restart"/>
            <w:tcBorders>
              <w:top w:val="single" w:sz="4" w:space="0" w:color="auto"/>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Meilleure compréhension par les décideurs du rapport entre les défis mondiaux, l</w:t>
            </w:r>
            <w:r w:rsidR="00A20444" w:rsidRPr="002D02F3">
              <w:rPr>
                <w:sz w:val="14"/>
              </w:rPr>
              <w:t>’</w:t>
            </w:r>
            <w:r w:rsidRPr="002D02F3">
              <w:rPr>
                <w:sz w:val="14"/>
              </w:rPr>
              <w:t>innovation et la propriété intellectuelle afin d</w:t>
            </w:r>
            <w:r w:rsidR="00A20444" w:rsidRPr="002D02F3">
              <w:rPr>
                <w:sz w:val="14"/>
              </w:rPr>
              <w:t>’</w:t>
            </w:r>
            <w:r w:rsidRPr="002D02F3">
              <w:rPr>
                <w:sz w:val="14"/>
              </w:rPr>
              <w:t>améliorer la prise de décisions de politique générale</w:t>
            </w:r>
          </w:p>
        </w:tc>
        <w:tc>
          <w:tcPr>
            <w:tcW w:w="3409" w:type="dxa"/>
            <w:tcBorders>
              <w:top w:val="single" w:sz="4" w:space="0" w:color="auto"/>
              <w:bottom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Mention des activités de l</w:t>
            </w:r>
            <w:r w:rsidR="00A20444" w:rsidRPr="002D02F3">
              <w:rPr>
                <w:sz w:val="14"/>
              </w:rPr>
              <w:t>’</w:t>
            </w:r>
            <w:r w:rsidRPr="002D02F3">
              <w:rPr>
                <w:sz w:val="14"/>
              </w:rPr>
              <w:t>OMPI dans le domaine des défis mondiaux dans les autres instances d</w:t>
            </w:r>
            <w:r w:rsidR="00A20444" w:rsidRPr="002D02F3">
              <w:rPr>
                <w:sz w:val="14"/>
              </w:rPr>
              <w:t>’</w:t>
            </w:r>
            <w:r w:rsidRPr="002D02F3">
              <w:rPr>
                <w:sz w:val="14"/>
              </w:rPr>
              <w:t>élaboration de politiques</w:t>
            </w:r>
          </w:p>
        </w:tc>
        <w:tc>
          <w:tcPr>
            <w:tcW w:w="1366" w:type="dxa"/>
            <w:tcBorders>
              <w:top w:val="single" w:sz="4" w:space="0" w:color="auto"/>
              <w:bottom w:val="nil"/>
            </w:tcBorders>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 xml:space="preserve">Programme 18 </w:t>
            </w:r>
          </w:p>
        </w:tc>
        <w:tc>
          <w:tcPr>
            <w:tcW w:w="1349" w:type="dxa"/>
            <w:tcBorders>
              <w:top w:val="single" w:sz="4" w:space="0" w:color="auto"/>
              <w:bottom w:val="nil"/>
            </w:tcBorders>
          </w:tcPr>
          <w:p w:rsidR="00784E52" w:rsidRPr="005C7CCE" w:rsidRDefault="00784E52" w:rsidP="001A5BF9">
            <w:pPr>
              <w:jc w:val="center"/>
              <w:rPr>
                <w:rFonts w:cs="Arial"/>
                <w:color w:val="008000"/>
                <w:szCs w:val="22"/>
              </w:rPr>
            </w:pPr>
            <w:r w:rsidRPr="005C7CCE">
              <w:rPr>
                <w:color w:val="008000"/>
              </w:rPr>
              <w:sym w:font="Wingdings" w:char="F06C"/>
            </w:r>
          </w:p>
        </w:tc>
      </w:tr>
      <w:tr w:rsidR="00784E52" w:rsidRPr="005C7CCE" w:rsidTr="00BB3F3E">
        <w:tc>
          <w:tcPr>
            <w:tcW w:w="3242" w:type="dxa"/>
            <w:vMerge/>
            <w:shd w:val="clear" w:color="auto" w:fill="auto"/>
            <w:tcMar>
              <w:top w:w="113" w:type="dxa"/>
            </w:tcMar>
          </w:tcPr>
          <w:p w:rsidR="00784E52" w:rsidRPr="002D02F3" w:rsidRDefault="00784E52" w:rsidP="001A5BF9">
            <w:pPr>
              <w:spacing w:before="80"/>
              <w:ind w:firstLineChars="100" w:firstLine="140"/>
              <w:rPr>
                <w:rFonts w:cs="Arial"/>
                <w:sz w:val="14"/>
                <w:szCs w:val="14"/>
              </w:rPr>
            </w:pPr>
          </w:p>
        </w:tc>
        <w:tc>
          <w:tcPr>
            <w:tcW w:w="3409" w:type="dxa"/>
            <w:tcBorders>
              <w:top w:val="nil"/>
              <w:bottom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Utilisation accrue de documents à partir de la page du site</w:t>
            </w:r>
            <w:r w:rsidR="0010442A" w:rsidRPr="002D02F3">
              <w:rPr>
                <w:sz w:val="14"/>
              </w:rPr>
              <w:t> </w:t>
            </w:r>
            <w:r w:rsidRPr="002D02F3">
              <w:rPr>
                <w:sz w:val="14"/>
              </w:rPr>
              <w:t>Web consacrée aux enjeux mondiaux</w:t>
            </w:r>
          </w:p>
        </w:tc>
        <w:tc>
          <w:tcPr>
            <w:tcW w:w="1366" w:type="dxa"/>
            <w:tcBorders>
              <w:top w:val="nil"/>
              <w:bottom w:val="nil"/>
            </w:tcBorders>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18</w:t>
            </w:r>
          </w:p>
        </w:tc>
        <w:tc>
          <w:tcPr>
            <w:tcW w:w="1349" w:type="dxa"/>
            <w:tcBorders>
              <w:top w:val="nil"/>
              <w:bottom w:val="nil"/>
            </w:tcBorders>
          </w:tcPr>
          <w:p w:rsidR="00784E52" w:rsidRPr="005C7CCE" w:rsidRDefault="00784E52" w:rsidP="001A5BF9">
            <w:pPr>
              <w:jc w:val="center"/>
              <w:rPr>
                <w:rFonts w:cs="Arial"/>
                <w:color w:val="008000"/>
                <w:szCs w:val="22"/>
              </w:rPr>
            </w:pPr>
            <w:r w:rsidRPr="005C7CCE">
              <w:rPr>
                <w:color w:val="008000"/>
              </w:rPr>
              <w:sym w:font="Wingdings" w:char="F06C"/>
            </w:r>
          </w:p>
        </w:tc>
      </w:tr>
      <w:tr w:rsidR="00784E52" w:rsidRPr="005C7CCE" w:rsidTr="00BB3F3E">
        <w:tc>
          <w:tcPr>
            <w:tcW w:w="3242" w:type="dxa"/>
            <w:vMerge/>
            <w:shd w:val="clear" w:color="auto" w:fill="auto"/>
            <w:tcMar>
              <w:top w:w="113" w:type="dxa"/>
            </w:tcMar>
          </w:tcPr>
          <w:p w:rsidR="00784E52" w:rsidRPr="002D02F3" w:rsidRDefault="00784E52" w:rsidP="001A5BF9">
            <w:pPr>
              <w:spacing w:before="80"/>
              <w:ind w:firstLineChars="100" w:firstLine="140"/>
              <w:rPr>
                <w:rFonts w:cs="Arial"/>
                <w:sz w:val="14"/>
                <w:szCs w:val="14"/>
              </w:rPr>
            </w:pPr>
          </w:p>
        </w:tc>
        <w:tc>
          <w:tcPr>
            <w:tcW w:w="3409" w:type="dxa"/>
            <w:tcBorders>
              <w:top w:val="nil"/>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Retours d</w:t>
            </w:r>
            <w:r w:rsidR="00A20444" w:rsidRPr="002D02F3">
              <w:rPr>
                <w:sz w:val="14"/>
              </w:rPr>
              <w:t>’</w:t>
            </w:r>
            <w:r w:rsidRPr="002D02F3">
              <w:rPr>
                <w:sz w:val="14"/>
              </w:rPr>
              <w:t>information des participants des instances d</w:t>
            </w:r>
            <w:r w:rsidR="00A20444" w:rsidRPr="002D02F3">
              <w:rPr>
                <w:sz w:val="14"/>
              </w:rPr>
              <w:t>’</w:t>
            </w:r>
            <w:r w:rsidRPr="002D02F3">
              <w:rPr>
                <w:sz w:val="14"/>
              </w:rPr>
              <w:t>examen des questions de politique générale</w:t>
            </w:r>
          </w:p>
        </w:tc>
        <w:tc>
          <w:tcPr>
            <w:tcW w:w="1366" w:type="dxa"/>
            <w:tcBorders>
              <w:top w:val="nil"/>
            </w:tcBorders>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 xml:space="preserve">Programme 18 </w:t>
            </w:r>
          </w:p>
        </w:tc>
        <w:tc>
          <w:tcPr>
            <w:tcW w:w="1349" w:type="dxa"/>
            <w:tcBorders>
              <w:top w:val="nil"/>
            </w:tcBorders>
          </w:tcPr>
          <w:p w:rsidR="00784E52" w:rsidRPr="005C7CCE" w:rsidRDefault="00784E52" w:rsidP="001A5BF9">
            <w:pPr>
              <w:jc w:val="center"/>
              <w:rPr>
                <w:rFonts w:cs="Arial"/>
                <w:color w:val="008000"/>
                <w:szCs w:val="22"/>
              </w:rPr>
            </w:pPr>
            <w:r w:rsidRPr="005C7CCE">
              <w:rPr>
                <w:color w:val="008000"/>
              </w:rPr>
              <w:sym w:font="Wingdings" w:char="F06C"/>
            </w:r>
          </w:p>
        </w:tc>
      </w:tr>
      <w:tr w:rsidR="00784E52" w:rsidRPr="005C7CCE" w:rsidTr="00BB3F3E">
        <w:tc>
          <w:tcPr>
            <w:tcW w:w="324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Reconnaissance de l</w:t>
            </w:r>
            <w:r w:rsidR="00A20444" w:rsidRPr="002D02F3">
              <w:rPr>
                <w:sz w:val="14"/>
              </w:rPr>
              <w:t>’</w:t>
            </w:r>
            <w:r w:rsidRPr="002D02F3">
              <w:rPr>
                <w:sz w:val="14"/>
              </w:rPr>
              <w:t>OMPI en tant que source fiable d</w:t>
            </w:r>
            <w:r w:rsidR="00A20444" w:rsidRPr="002D02F3">
              <w:rPr>
                <w:sz w:val="14"/>
              </w:rPr>
              <w:t>’</w:t>
            </w:r>
            <w:r w:rsidRPr="002D02F3">
              <w:rPr>
                <w:sz w:val="14"/>
              </w:rPr>
              <w:t>appui, d</w:t>
            </w:r>
            <w:r w:rsidR="00A20444" w:rsidRPr="002D02F3">
              <w:rPr>
                <w:sz w:val="14"/>
              </w:rPr>
              <w:t>’</w:t>
            </w:r>
            <w:r w:rsidRPr="002D02F3">
              <w:rPr>
                <w:sz w:val="14"/>
              </w:rPr>
              <w:t>assistance et de référence en ce qui concerne l</w:t>
            </w:r>
            <w:r w:rsidR="00A20444" w:rsidRPr="002D02F3">
              <w:rPr>
                <w:sz w:val="14"/>
              </w:rPr>
              <w:t>’</w:t>
            </w:r>
            <w:r w:rsidRPr="002D02F3">
              <w:rPr>
                <w:sz w:val="14"/>
              </w:rPr>
              <w:t>information en matière d</w:t>
            </w:r>
            <w:r w:rsidR="00A20444" w:rsidRPr="002D02F3">
              <w:rPr>
                <w:sz w:val="14"/>
              </w:rPr>
              <w:t>’</w:t>
            </w:r>
            <w:r w:rsidRPr="002D02F3">
              <w:rPr>
                <w:sz w:val="14"/>
              </w:rPr>
              <w:t xml:space="preserve">innovation et de propriété intellectuelle dans les processus de politique publique pertinents </w:t>
            </w:r>
          </w:p>
        </w:tc>
        <w:tc>
          <w:tcPr>
            <w:tcW w:w="3409"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Nombre et éventail de demandes émanant des États membres et des organisations internationales concernant des contributions de l</w:t>
            </w:r>
            <w:r w:rsidR="00A20444" w:rsidRPr="002D02F3">
              <w:rPr>
                <w:sz w:val="14"/>
              </w:rPr>
              <w:t>’</w:t>
            </w:r>
            <w:r w:rsidRPr="002D02F3">
              <w:rPr>
                <w:sz w:val="14"/>
              </w:rPr>
              <w:t>OMPI dans le domaine de la propriété intellectuelle en rapport avec les questions d</w:t>
            </w:r>
            <w:r w:rsidR="00A20444" w:rsidRPr="002D02F3">
              <w:rPr>
                <w:sz w:val="14"/>
              </w:rPr>
              <w:t>’</w:t>
            </w:r>
            <w:r w:rsidRPr="002D02F3">
              <w:rPr>
                <w:sz w:val="14"/>
              </w:rPr>
              <w:t>intérêt général à l</w:t>
            </w:r>
            <w:r w:rsidR="00A20444" w:rsidRPr="002D02F3">
              <w:rPr>
                <w:sz w:val="14"/>
              </w:rPr>
              <w:t>’</w:t>
            </w:r>
            <w:r w:rsidRPr="002D02F3">
              <w:rPr>
                <w:sz w:val="14"/>
              </w:rPr>
              <w:t>échelle mondiale</w:t>
            </w:r>
          </w:p>
        </w:tc>
        <w:tc>
          <w:tcPr>
            <w:tcW w:w="1366"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 xml:space="preserve">Programme 18 </w:t>
            </w:r>
          </w:p>
        </w:tc>
        <w:tc>
          <w:tcPr>
            <w:tcW w:w="1349" w:type="dxa"/>
          </w:tcPr>
          <w:p w:rsidR="00784E52" w:rsidRPr="005C7CCE" w:rsidRDefault="00784E52" w:rsidP="001A5BF9">
            <w:pPr>
              <w:jc w:val="center"/>
              <w:rPr>
                <w:rFonts w:cs="Arial"/>
                <w:color w:val="008000"/>
                <w:szCs w:val="22"/>
              </w:rPr>
            </w:pPr>
            <w:r w:rsidRPr="005C7CCE">
              <w:rPr>
                <w:color w:val="008000"/>
              </w:rPr>
              <w:sym w:font="Wingdings" w:char="F06C"/>
            </w:r>
          </w:p>
        </w:tc>
      </w:tr>
      <w:tr w:rsidR="00784E52" w:rsidRPr="005C7CCE" w:rsidTr="00BB3F3E">
        <w:tc>
          <w:tcPr>
            <w:tcW w:w="3242" w:type="dxa"/>
            <w:vMerge w:val="restart"/>
            <w:shd w:val="clear" w:color="auto" w:fill="auto"/>
            <w:tcMar>
              <w:top w:w="113" w:type="dxa"/>
            </w:tcMar>
          </w:tcPr>
          <w:p w:rsidR="00784E52" w:rsidRPr="002D02F3" w:rsidRDefault="00784E52" w:rsidP="001A5BF9">
            <w:pPr>
              <w:spacing w:before="80"/>
              <w:rPr>
                <w:rFonts w:cs="Arial"/>
                <w:sz w:val="14"/>
                <w:szCs w:val="14"/>
              </w:rPr>
            </w:pPr>
            <w:r w:rsidRPr="002D02F3">
              <w:rPr>
                <w:sz w:val="14"/>
              </w:rPr>
              <w:t>Les instruments axés sur la propriété intellectuelle sont utilisés pour le transfert des savoirs entre les pays développés et les pays en développement, notamment les pays les moins avancés, pour répondre aux défis mondiaux</w:t>
            </w:r>
          </w:p>
        </w:tc>
        <w:tc>
          <w:tcPr>
            <w:tcW w:w="3409"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de participants des plates</w:t>
            </w:r>
            <w:r w:rsidR="002D6F2A" w:rsidRPr="002D02F3">
              <w:rPr>
                <w:sz w:val="14"/>
              </w:rPr>
              <w:noBreakHyphen/>
            </w:r>
            <w:r w:rsidRPr="002D02F3">
              <w:rPr>
                <w:sz w:val="14"/>
              </w:rPr>
              <w:t>formes axées sur la propriété intellectuelle</w:t>
            </w:r>
          </w:p>
        </w:tc>
        <w:tc>
          <w:tcPr>
            <w:tcW w:w="1366"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 xml:space="preserve">Programme 18 </w:t>
            </w:r>
          </w:p>
        </w:tc>
        <w:tc>
          <w:tcPr>
            <w:tcW w:w="1349" w:type="dxa"/>
          </w:tcPr>
          <w:p w:rsidR="00784E52" w:rsidRPr="005C7CCE" w:rsidRDefault="00784E52" w:rsidP="001A5BF9">
            <w:pPr>
              <w:jc w:val="center"/>
              <w:rPr>
                <w:rFonts w:cs="Arial"/>
                <w:color w:val="00B050"/>
                <w:szCs w:val="22"/>
              </w:rPr>
            </w:pPr>
            <w:r w:rsidRPr="005C7CCE">
              <w:rPr>
                <w:color w:val="008000"/>
              </w:rPr>
              <w:sym w:font="Wingdings" w:char="F06C"/>
            </w:r>
          </w:p>
        </w:tc>
      </w:tr>
      <w:tr w:rsidR="00784E52" w:rsidRPr="005C7CCE" w:rsidTr="00BB3F3E">
        <w:tc>
          <w:tcPr>
            <w:tcW w:w="3242" w:type="dxa"/>
            <w:vMerge/>
            <w:shd w:val="clear" w:color="auto" w:fill="auto"/>
            <w:tcMar>
              <w:top w:w="113" w:type="dxa"/>
            </w:tcMar>
          </w:tcPr>
          <w:p w:rsidR="00784E52" w:rsidRPr="002D02F3" w:rsidRDefault="00784E52" w:rsidP="001A5BF9">
            <w:pPr>
              <w:spacing w:before="80"/>
              <w:rPr>
                <w:rFonts w:cs="Arial"/>
                <w:sz w:val="14"/>
                <w:szCs w:val="14"/>
              </w:rPr>
            </w:pPr>
          </w:p>
        </w:tc>
        <w:tc>
          <w:tcPr>
            <w:tcW w:w="3409"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de transactions conclues au moyen des plates</w:t>
            </w:r>
            <w:r w:rsidR="002D6F2A" w:rsidRPr="002D02F3">
              <w:rPr>
                <w:sz w:val="14"/>
              </w:rPr>
              <w:noBreakHyphen/>
            </w:r>
            <w:r w:rsidRPr="002D02F3">
              <w:rPr>
                <w:sz w:val="14"/>
              </w:rPr>
              <w:t>formes</w:t>
            </w:r>
          </w:p>
        </w:tc>
        <w:tc>
          <w:tcPr>
            <w:tcW w:w="1366"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18</w:t>
            </w:r>
          </w:p>
        </w:tc>
        <w:tc>
          <w:tcPr>
            <w:tcW w:w="1349" w:type="dxa"/>
          </w:tcPr>
          <w:p w:rsidR="00784E52" w:rsidRPr="005C7CCE" w:rsidRDefault="00784E52" w:rsidP="001A5BF9">
            <w:pPr>
              <w:jc w:val="center"/>
              <w:rPr>
                <w:rFonts w:cs="Arial"/>
                <w:szCs w:val="22"/>
              </w:rPr>
            </w:pPr>
            <w:r w:rsidRPr="005C7CCE">
              <w:rPr>
                <w:color w:val="E36C0A"/>
              </w:rPr>
              <w:sym w:font="Wingdings" w:char="F06C"/>
            </w:r>
          </w:p>
        </w:tc>
      </w:tr>
      <w:tr w:rsidR="00784E52" w:rsidRPr="005C7CCE" w:rsidTr="00BB3F3E">
        <w:tc>
          <w:tcPr>
            <w:tcW w:w="324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Reconnaissance de l</w:t>
            </w:r>
            <w:r w:rsidR="00A20444" w:rsidRPr="002D02F3">
              <w:rPr>
                <w:sz w:val="14"/>
              </w:rPr>
              <w:t>’</w:t>
            </w:r>
            <w:r w:rsidRPr="002D02F3">
              <w:rPr>
                <w:sz w:val="14"/>
              </w:rPr>
              <w:t>OMPI en tant qu</w:t>
            </w:r>
            <w:r w:rsidR="00A20444" w:rsidRPr="002D02F3">
              <w:rPr>
                <w:sz w:val="14"/>
              </w:rPr>
              <w:t>’</w:t>
            </w:r>
            <w:r w:rsidRPr="002D02F3">
              <w:rPr>
                <w:sz w:val="14"/>
              </w:rPr>
              <w:t>instance compétente pour examiner les questions relatives à la propriété intellectuelle et à la politique en matière de concurrence</w:t>
            </w:r>
          </w:p>
        </w:tc>
        <w:tc>
          <w:tcPr>
            <w:tcW w:w="3409"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de pays demandant à l</w:t>
            </w:r>
            <w:r w:rsidR="00A20444" w:rsidRPr="002D02F3">
              <w:rPr>
                <w:sz w:val="14"/>
              </w:rPr>
              <w:t>’</w:t>
            </w:r>
            <w:r w:rsidRPr="002D02F3">
              <w:rPr>
                <w:sz w:val="14"/>
              </w:rPr>
              <w:t>OMPI une contribution dans le domaine de la propriété intellectuelle en rapport avec des questions relatives au droit de la concurrence</w:t>
            </w:r>
          </w:p>
        </w:tc>
        <w:tc>
          <w:tcPr>
            <w:tcW w:w="1366"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18</w:t>
            </w:r>
          </w:p>
        </w:tc>
        <w:tc>
          <w:tcPr>
            <w:tcW w:w="1349" w:type="dxa"/>
          </w:tcPr>
          <w:p w:rsidR="00784E52" w:rsidRPr="005C7CCE" w:rsidRDefault="00784E52" w:rsidP="001A5BF9">
            <w:pPr>
              <w:jc w:val="center"/>
              <w:rPr>
                <w:rFonts w:cs="Arial"/>
                <w:color w:val="008000"/>
                <w:szCs w:val="22"/>
              </w:rPr>
            </w:pPr>
            <w:r w:rsidRPr="005C7CCE">
              <w:rPr>
                <w:color w:val="008000"/>
              </w:rPr>
              <w:sym w:font="Wingdings" w:char="F06C"/>
            </w:r>
          </w:p>
        </w:tc>
      </w:tr>
      <w:tr w:rsidR="00784E52" w:rsidRPr="005C7CCE" w:rsidTr="00BB3F3E">
        <w:tc>
          <w:tcPr>
            <w:tcW w:w="3242" w:type="dxa"/>
            <w:shd w:val="clear" w:color="auto" w:fill="auto"/>
            <w:tcMar>
              <w:top w:w="113" w:type="dxa"/>
            </w:tcMar>
          </w:tcPr>
          <w:p w:rsidR="00784E52" w:rsidRPr="002D02F3" w:rsidRDefault="00784E52" w:rsidP="001A5BF9">
            <w:pPr>
              <w:spacing w:before="80"/>
              <w:ind w:firstLineChars="100" w:firstLine="140"/>
              <w:rPr>
                <w:rFonts w:cs="Arial"/>
                <w:sz w:val="14"/>
                <w:szCs w:val="14"/>
              </w:rPr>
            </w:pPr>
            <w:r w:rsidRPr="002D02F3">
              <w:rPr>
                <w:sz w:val="14"/>
              </w:rPr>
              <w:t> </w:t>
            </w:r>
          </w:p>
        </w:tc>
        <w:tc>
          <w:tcPr>
            <w:tcW w:w="3409"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Nombre et éventail de parties prenantes (offices de propriété intellectuelle, services chargés de l</w:t>
            </w:r>
            <w:r w:rsidR="00A20444" w:rsidRPr="002D02F3">
              <w:rPr>
                <w:sz w:val="14"/>
              </w:rPr>
              <w:t>’</w:t>
            </w:r>
            <w:r w:rsidRPr="002D02F3">
              <w:rPr>
                <w:sz w:val="14"/>
              </w:rPr>
              <w:t>application du droit de la concurrence, organisations intergouvernementales et ONG compétentes) ayant engagé un dialogue avec l</w:t>
            </w:r>
            <w:r w:rsidR="00A20444" w:rsidRPr="002D02F3">
              <w:rPr>
                <w:sz w:val="14"/>
              </w:rPr>
              <w:t>’</w:t>
            </w:r>
            <w:r w:rsidRPr="002D02F3">
              <w:rPr>
                <w:sz w:val="14"/>
              </w:rPr>
              <w:t>OMPI</w:t>
            </w:r>
          </w:p>
        </w:tc>
        <w:tc>
          <w:tcPr>
            <w:tcW w:w="1366"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18</w:t>
            </w:r>
          </w:p>
        </w:tc>
        <w:tc>
          <w:tcPr>
            <w:tcW w:w="1349" w:type="dxa"/>
          </w:tcPr>
          <w:p w:rsidR="00784E52" w:rsidRPr="005C7CCE" w:rsidRDefault="00784E52" w:rsidP="001A5BF9">
            <w:pPr>
              <w:jc w:val="center"/>
              <w:rPr>
                <w:rFonts w:cs="Arial"/>
                <w:color w:val="008000"/>
                <w:szCs w:val="22"/>
              </w:rPr>
            </w:pPr>
            <w:r w:rsidRPr="005C7CCE">
              <w:rPr>
                <w:color w:val="008000"/>
              </w:rPr>
              <w:sym w:font="Wingdings" w:char="F06C"/>
            </w:r>
          </w:p>
        </w:tc>
      </w:tr>
    </w:tbl>
    <w:p w:rsidR="00D42474" w:rsidRDefault="00D42474" w:rsidP="001A5BF9">
      <w:pPr>
        <w:tabs>
          <w:tab w:val="left" w:pos="0"/>
        </w:tabs>
        <w:rPr>
          <w:rFonts w:cs="Arial"/>
          <w:iCs/>
        </w:rPr>
      </w:pPr>
    </w:p>
    <w:p w:rsidR="00D42474" w:rsidRDefault="00784E52" w:rsidP="001A5BF9">
      <w:pPr>
        <w:rPr>
          <w:rFonts w:ascii="Arial Bold" w:hAnsi="Arial Bold"/>
          <w:b/>
          <w:bCs/>
        </w:rPr>
      </w:pPr>
      <w:r w:rsidRPr="005C7CCE">
        <w:br w:type="page"/>
      </w:r>
    </w:p>
    <w:p w:rsidR="00D42474" w:rsidRDefault="00784E52" w:rsidP="001A5BF9">
      <w:pPr>
        <w:pStyle w:val="Heading3"/>
        <w:rPr>
          <w:szCs w:val="22"/>
        </w:rPr>
      </w:pPr>
      <w:bookmarkStart w:id="36" w:name="_Toc395082488"/>
      <w:r w:rsidRPr="00866763">
        <w:rPr>
          <w:szCs w:val="22"/>
        </w:rPr>
        <w:t>Programme 18</w:t>
      </w:r>
      <w:r w:rsidRPr="00866763">
        <w:rPr>
          <w:szCs w:val="22"/>
        </w:rPr>
        <w:tab/>
        <w:t>Propriété intellectuelle et défis mondiaux</w:t>
      </w:r>
      <w:bookmarkEnd w:id="36"/>
    </w:p>
    <w:p w:rsidR="00D42474" w:rsidRDefault="00D42474" w:rsidP="001A5BF9">
      <w:pPr>
        <w:ind w:left="2268" w:hanging="2268"/>
        <w:rPr>
          <w:rFonts w:cs="Arial"/>
          <w:sz w:val="22"/>
          <w:szCs w:val="22"/>
        </w:rPr>
      </w:pPr>
    </w:p>
    <w:p w:rsidR="00D42474" w:rsidRDefault="00784E52" w:rsidP="001A5BF9">
      <w:pPr>
        <w:ind w:left="2268" w:hanging="2268"/>
        <w:rPr>
          <w:rFonts w:cs="Arial"/>
          <w:b/>
          <w:sz w:val="22"/>
          <w:szCs w:val="22"/>
        </w:rPr>
      </w:pPr>
      <w:r w:rsidRPr="00866763">
        <w:rPr>
          <w:b/>
          <w:sz w:val="22"/>
          <w:szCs w:val="22"/>
        </w:rPr>
        <w:t>Chef de programme</w:t>
      </w:r>
      <w:r w:rsidRPr="00866763">
        <w:rPr>
          <w:b/>
          <w:sz w:val="22"/>
          <w:szCs w:val="22"/>
        </w:rPr>
        <w:tab/>
        <w:t>M. J.</w:t>
      </w:r>
      <w:r w:rsidR="0010442A" w:rsidRPr="00866763">
        <w:rPr>
          <w:b/>
          <w:sz w:val="22"/>
          <w:szCs w:val="22"/>
        </w:rPr>
        <w:t> </w:t>
      </w:r>
      <w:r w:rsidRPr="00866763">
        <w:rPr>
          <w:b/>
          <w:sz w:val="22"/>
          <w:szCs w:val="22"/>
        </w:rPr>
        <w:t>C.</w:t>
      </w:r>
      <w:r w:rsidR="0010442A" w:rsidRPr="00866763">
        <w:rPr>
          <w:b/>
          <w:sz w:val="22"/>
          <w:szCs w:val="22"/>
        </w:rPr>
        <w:t> </w:t>
      </w:r>
      <w:proofErr w:type="spellStart"/>
      <w:r w:rsidRPr="00866763">
        <w:rPr>
          <w:b/>
          <w:sz w:val="22"/>
          <w:szCs w:val="22"/>
        </w:rPr>
        <w:t>Wichard</w:t>
      </w:r>
      <w:proofErr w:type="spellEnd"/>
    </w:p>
    <w:p w:rsidR="00D42474" w:rsidRDefault="00D42474" w:rsidP="001A5BF9">
      <w:pPr>
        <w:rPr>
          <w:rFonts w:cs="Arial"/>
          <w:sz w:val="22"/>
          <w:szCs w:val="22"/>
        </w:rPr>
      </w:pPr>
    </w:p>
    <w:p w:rsidR="00D42474" w:rsidRDefault="00D42474" w:rsidP="001A5BF9">
      <w:pPr>
        <w:rPr>
          <w:rFonts w:cs="Arial"/>
          <w:bCs/>
          <w:sz w:val="22"/>
          <w:szCs w:val="22"/>
        </w:rPr>
      </w:pPr>
    </w:p>
    <w:p w:rsidR="00D42474" w:rsidRDefault="00784E52" w:rsidP="001A5BF9">
      <w:pPr>
        <w:rPr>
          <w:rFonts w:cs="Arial"/>
          <w:sz w:val="22"/>
          <w:szCs w:val="22"/>
        </w:rPr>
      </w:pPr>
      <w:r w:rsidRPr="00866763">
        <w:rPr>
          <w:sz w:val="22"/>
          <w:szCs w:val="22"/>
        </w:rPr>
        <w:t>RÉALISATIONS EN 2012</w:t>
      </w:r>
      <w:r w:rsidR="002D6F2A" w:rsidRPr="00866763">
        <w:rPr>
          <w:sz w:val="22"/>
          <w:szCs w:val="22"/>
        </w:rPr>
        <w:noBreakHyphen/>
      </w:r>
      <w:r w:rsidRPr="00866763">
        <w:rPr>
          <w:sz w:val="22"/>
          <w:szCs w:val="22"/>
        </w:rPr>
        <w:t>2013</w:t>
      </w:r>
    </w:p>
    <w:p w:rsidR="00D42474" w:rsidRDefault="00D42474" w:rsidP="001A5BF9">
      <w:pPr>
        <w:rPr>
          <w:rFonts w:cs="Arial"/>
          <w:sz w:val="22"/>
          <w:szCs w:val="22"/>
        </w:rPr>
      </w:pPr>
    </w:p>
    <w:p w:rsidR="00D42474" w:rsidRDefault="00784E52" w:rsidP="001A5BF9">
      <w:pPr>
        <w:pStyle w:val="Default"/>
        <w:tabs>
          <w:tab w:val="left" w:pos="709"/>
        </w:tabs>
        <w:jc w:val="both"/>
        <w:rPr>
          <w:color w:val="auto"/>
          <w:sz w:val="20"/>
        </w:rPr>
      </w:pPr>
      <w:r w:rsidRPr="002D02F3">
        <w:rPr>
          <w:color w:val="auto"/>
          <w:sz w:val="20"/>
        </w:rPr>
        <w:t>18.1</w:t>
      </w:r>
      <w:r w:rsidRPr="002D02F3">
        <w:rPr>
          <w:color w:val="auto"/>
          <w:sz w:val="20"/>
        </w:rPr>
        <w:tab/>
        <w:t>Le programme 18 a trait au rapport entre l</w:t>
      </w:r>
      <w:r w:rsidR="00A20444" w:rsidRPr="002D02F3">
        <w:rPr>
          <w:color w:val="auto"/>
          <w:sz w:val="20"/>
        </w:rPr>
        <w:t>’</w:t>
      </w:r>
      <w:r w:rsidRPr="002D02F3">
        <w:rPr>
          <w:color w:val="auto"/>
          <w:sz w:val="20"/>
        </w:rPr>
        <w:t>innovation et la propriété intellectuelle avec des questions urgentes et interdépendantes qui se posent au niveau mondial, notamment la santé publique, le changement climatique et la sécurité alimentaire.</w:t>
      </w:r>
      <w:r w:rsidR="004F3E42" w:rsidRPr="002D02F3">
        <w:rPr>
          <w:color w:val="auto"/>
          <w:sz w:val="20"/>
        </w:rPr>
        <w:t xml:space="preserve"> </w:t>
      </w:r>
      <w:r w:rsidR="0010442A" w:rsidRPr="002D02F3">
        <w:rPr>
          <w:color w:val="auto"/>
          <w:sz w:val="20"/>
        </w:rPr>
        <w:t xml:space="preserve"> </w:t>
      </w:r>
      <w:r w:rsidRPr="002D02F3">
        <w:rPr>
          <w:color w:val="auto"/>
          <w:sz w:val="20"/>
        </w:rPr>
        <w:t>En 2012</w:t>
      </w:r>
      <w:r w:rsidR="002D6F2A" w:rsidRPr="002D02F3">
        <w:rPr>
          <w:color w:val="auto"/>
          <w:sz w:val="20"/>
        </w:rPr>
        <w:noBreakHyphen/>
      </w:r>
      <w:r w:rsidRPr="002D02F3">
        <w:rPr>
          <w:color w:val="auto"/>
          <w:sz w:val="20"/>
        </w:rPr>
        <w:t>2013, le programme a de nouveau contribué à une meilleure compréhension par les décideurs du rapport entre les enjeux mondiaux, l</w:t>
      </w:r>
      <w:r w:rsidR="00A20444" w:rsidRPr="002D02F3">
        <w:rPr>
          <w:color w:val="auto"/>
          <w:sz w:val="20"/>
        </w:rPr>
        <w:t>’</w:t>
      </w:r>
      <w:r w:rsidRPr="002D02F3">
        <w:rPr>
          <w:color w:val="auto"/>
          <w:sz w:val="20"/>
        </w:rPr>
        <w:t>innovation et la propriété intellectuelle, avec notamment les deux</w:t>
      </w:r>
      <w:r w:rsidR="0010442A" w:rsidRPr="002D02F3">
        <w:rPr>
          <w:color w:val="auto"/>
          <w:sz w:val="20"/>
        </w:rPr>
        <w:t> </w:t>
      </w:r>
      <w:r w:rsidRPr="002D02F3">
        <w:rPr>
          <w:color w:val="auto"/>
          <w:sz w:val="20"/>
        </w:rPr>
        <w:t>plates</w:t>
      </w:r>
      <w:r w:rsidR="002D6F2A" w:rsidRPr="002D02F3">
        <w:rPr>
          <w:color w:val="auto"/>
          <w:sz w:val="20"/>
        </w:rPr>
        <w:noBreakHyphen/>
      </w:r>
      <w:r w:rsidRPr="002D02F3">
        <w:rPr>
          <w:color w:val="auto"/>
          <w:sz w:val="20"/>
        </w:rPr>
        <w:t>formes d</w:t>
      </w:r>
      <w:r w:rsidR="00A20444" w:rsidRPr="002D02F3">
        <w:rPr>
          <w:color w:val="auto"/>
          <w:sz w:val="20"/>
        </w:rPr>
        <w:t>’</w:t>
      </w:r>
      <w:r w:rsidRPr="002D02F3">
        <w:rPr>
          <w:color w:val="auto"/>
          <w:sz w:val="20"/>
        </w:rPr>
        <w:t xml:space="preserve">innovation et de transfert de technologies, impliquant plusieurs parties prenantes (WIPO </w:t>
      </w:r>
      <w:proofErr w:type="spellStart"/>
      <w:r w:rsidRPr="002D02F3">
        <w:rPr>
          <w:color w:val="auto"/>
          <w:sz w:val="20"/>
        </w:rPr>
        <w:t>Re:Search</w:t>
      </w:r>
      <w:proofErr w:type="spellEnd"/>
      <w:r w:rsidRPr="002D02F3">
        <w:rPr>
          <w:color w:val="auto"/>
          <w:sz w:val="20"/>
        </w:rPr>
        <w:t xml:space="preserve"> et WIPO GREEN), et la collaboration actuellement menée avec l</w:t>
      </w:r>
      <w:r w:rsidR="00A20444" w:rsidRPr="002D02F3">
        <w:rPr>
          <w:color w:val="auto"/>
          <w:sz w:val="20"/>
        </w:rPr>
        <w:t>’</w:t>
      </w:r>
      <w:r w:rsidRPr="002D02F3">
        <w:rPr>
          <w:color w:val="auto"/>
          <w:sz w:val="20"/>
        </w:rPr>
        <w:t>OMS et l</w:t>
      </w:r>
      <w:r w:rsidR="00A20444" w:rsidRPr="002D02F3">
        <w:rPr>
          <w:color w:val="auto"/>
          <w:sz w:val="20"/>
        </w:rPr>
        <w:t>’</w:t>
      </w:r>
      <w:r w:rsidRPr="002D02F3">
        <w:rPr>
          <w:color w:val="auto"/>
          <w:sz w:val="20"/>
        </w:rPr>
        <w:t>OMC sur des questions communes aux domaines de la santé, de l</w:t>
      </w:r>
      <w:r w:rsidR="00A20444" w:rsidRPr="002D02F3">
        <w:rPr>
          <w:color w:val="auto"/>
          <w:sz w:val="20"/>
        </w:rPr>
        <w:t>’</w:t>
      </w:r>
      <w:r w:rsidRPr="002D02F3">
        <w:rPr>
          <w:color w:val="auto"/>
          <w:sz w:val="20"/>
        </w:rPr>
        <w:t xml:space="preserve">innovation et du commerce. </w:t>
      </w:r>
      <w:r w:rsidR="0010442A" w:rsidRPr="002D02F3">
        <w:rPr>
          <w:color w:val="auto"/>
          <w:sz w:val="20"/>
        </w:rPr>
        <w:t xml:space="preserve"> </w:t>
      </w:r>
      <w:r w:rsidRPr="002D02F3">
        <w:rPr>
          <w:color w:val="auto"/>
          <w:sz w:val="20"/>
        </w:rPr>
        <w:t>Le programme a continué de recevoir des retours d</w:t>
      </w:r>
      <w:r w:rsidR="00A20444" w:rsidRPr="002D02F3">
        <w:rPr>
          <w:color w:val="auto"/>
          <w:sz w:val="20"/>
        </w:rPr>
        <w:t>’</w:t>
      </w:r>
      <w:r w:rsidRPr="002D02F3">
        <w:rPr>
          <w:color w:val="auto"/>
          <w:sz w:val="20"/>
        </w:rPr>
        <w:t>information positifs de la part d</w:t>
      </w:r>
      <w:r w:rsidR="00A20444" w:rsidRPr="002D02F3">
        <w:rPr>
          <w:color w:val="auto"/>
          <w:sz w:val="20"/>
        </w:rPr>
        <w:t>’</w:t>
      </w:r>
      <w:r w:rsidRPr="002D02F3">
        <w:rPr>
          <w:color w:val="auto"/>
          <w:sz w:val="20"/>
        </w:rPr>
        <w:t>un large éventail de parties prenantes pour les travaux de l</w:t>
      </w:r>
      <w:r w:rsidR="00A20444" w:rsidRPr="002D02F3">
        <w:rPr>
          <w:color w:val="auto"/>
          <w:sz w:val="20"/>
        </w:rPr>
        <w:t>’</w:t>
      </w:r>
      <w:r w:rsidRPr="002D02F3">
        <w:rPr>
          <w:color w:val="auto"/>
          <w:sz w:val="20"/>
        </w:rPr>
        <w:t>OMPI sur la propriété intellectuelle et les enjeux mondiaux.</w:t>
      </w:r>
    </w:p>
    <w:p w:rsidR="00D42474" w:rsidRDefault="00D42474" w:rsidP="001A5BF9">
      <w:pPr>
        <w:pStyle w:val="Default"/>
        <w:tabs>
          <w:tab w:val="left" w:pos="709"/>
        </w:tabs>
        <w:jc w:val="both"/>
        <w:rPr>
          <w:color w:val="auto"/>
          <w:sz w:val="20"/>
          <w:szCs w:val="20"/>
        </w:rPr>
      </w:pPr>
    </w:p>
    <w:p w:rsidR="00D42474" w:rsidRDefault="00784E52" w:rsidP="001A5BF9">
      <w:pPr>
        <w:tabs>
          <w:tab w:val="left" w:pos="709"/>
        </w:tabs>
        <w:jc w:val="both"/>
      </w:pPr>
      <w:r w:rsidRPr="002D02F3">
        <w:t xml:space="preserve">18.2. </w:t>
      </w:r>
      <w:r w:rsidR="0010442A" w:rsidRPr="002D02F3">
        <w:t xml:space="preserve"> </w:t>
      </w:r>
      <w:r w:rsidRPr="002D02F3">
        <w:tab/>
        <w:t>En étroite collaboration avec des secteurs appropriés au sein de l</w:t>
      </w:r>
      <w:r w:rsidR="00A20444" w:rsidRPr="002D02F3">
        <w:t>’</w:t>
      </w:r>
      <w:r w:rsidRPr="002D02F3">
        <w:t>OMPI, notamment le programme 20, les efforts déployés ont eu pour résultat une reconnaissance accrue de l</w:t>
      </w:r>
      <w:r w:rsidR="00A20444" w:rsidRPr="002D02F3">
        <w:t>’</w:t>
      </w:r>
      <w:r w:rsidRPr="002D02F3">
        <w:t>OMPI en tant que source crédible de soutien, de collaboration et de référence pour ce qui est de l</w:t>
      </w:r>
      <w:r w:rsidR="00A20444" w:rsidRPr="002D02F3">
        <w:t>’</w:t>
      </w:r>
      <w:r w:rsidRPr="002D02F3">
        <w:t>information sur les questions liées à la politique publique générale et la propriété intellectuelle, ce qui s</w:t>
      </w:r>
      <w:r w:rsidR="00A20444" w:rsidRPr="002D02F3">
        <w:t>’</w:t>
      </w:r>
      <w:r w:rsidRPr="002D02F3">
        <w:t>est soldé par des demandes continues de contribution et de participation à des processus de politique publique d</w:t>
      </w:r>
      <w:r w:rsidR="00A20444" w:rsidRPr="002D02F3">
        <w:t>’</w:t>
      </w:r>
      <w:r w:rsidRPr="002D02F3">
        <w:t>autres organisations internationales dont l</w:t>
      </w:r>
      <w:r w:rsidR="00A20444" w:rsidRPr="002D02F3">
        <w:t>’</w:t>
      </w:r>
      <w:r w:rsidRPr="002D02F3">
        <w:t>OMS et l</w:t>
      </w:r>
      <w:r w:rsidR="00A20444" w:rsidRPr="002D02F3">
        <w:t>’</w:t>
      </w:r>
      <w:r w:rsidRPr="002D02F3">
        <w:t>OMC, des organisations non gouvernementales, des universités et des institutions comme l</w:t>
      </w:r>
      <w:r w:rsidR="00A20444" w:rsidRPr="002D02F3">
        <w:t>’</w:t>
      </w:r>
      <w:r w:rsidRPr="002D02F3">
        <w:t xml:space="preserve">Institut de hautes études internationales et du développement. </w:t>
      </w:r>
      <w:r w:rsidR="0010442A" w:rsidRPr="002D02F3">
        <w:t xml:space="preserve"> </w:t>
      </w:r>
      <w:r w:rsidRPr="002D02F3">
        <w:t>L</w:t>
      </w:r>
      <w:r w:rsidR="00A20444" w:rsidRPr="002D02F3">
        <w:t>’</w:t>
      </w:r>
      <w:r w:rsidRPr="002D02F3">
        <w:t>organisation de trois séminaires de l</w:t>
      </w:r>
      <w:r w:rsidR="00A20444" w:rsidRPr="002D02F3">
        <w:t>’</w:t>
      </w:r>
      <w:r w:rsidRPr="002D02F3">
        <w:t>OMPI sur les enjeux mondiaux en 2012 a fourni un forum pour que les participants puissent y échanger des idées, des connaissances spécialisées et des informations liées à chacun des trois</w:t>
      </w:r>
      <w:r w:rsidR="0010442A" w:rsidRPr="002D02F3">
        <w:t> </w:t>
      </w:r>
      <w:r w:rsidRPr="002D02F3">
        <w:t>principaux domaines d</w:t>
      </w:r>
      <w:r w:rsidR="00A20444" w:rsidRPr="002D02F3">
        <w:t>’</w:t>
      </w:r>
      <w:r w:rsidRPr="002D02F3">
        <w:t>activité du programme.</w:t>
      </w:r>
      <w:r w:rsidR="0010442A" w:rsidRPr="002D02F3">
        <w:t xml:space="preserve"> </w:t>
      </w:r>
      <w:r w:rsidRPr="002D02F3">
        <w:t xml:space="preserve"> En outre, un colloque technique organisé conjointement par l</w:t>
      </w:r>
      <w:r w:rsidR="00A20444" w:rsidRPr="002D02F3">
        <w:t>’</w:t>
      </w:r>
      <w:r w:rsidRPr="002D02F3">
        <w:t>OMS, l</w:t>
      </w:r>
      <w:r w:rsidR="00A20444" w:rsidRPr="002D02F3">
        <w:t>’</w:t>
      </w:r>
      <w:r w:rsidRPr="002D02F3">
        <w:t>OMPI et l</w:t>
      </w:r>
      <w:r w:rsidR="00A20444" w:rsidRPr="002D02F3">
        <w:t>’</w:t>
      </w:r>
      <w:r w:rsidRPr="002D02F3">
        <w:t>OMC sur le thème de l</w:t>
      </w:r>
      <w:r w:rsidR="00A20444" w:rsidRPr="002D02F3">
        <w:t>’</w:t>
      </w:r>
      <w:r w:rsidRPr="002D02F3">
        <w:t>innovation médicale et de l</w:t>
      </w:r>
      <w:r w:rsidR="00A20444" w:rsidRPr="002D02F3">
        <w:t>’</w:t>
      </w:r>
      <w:r w:rsidRPr="002D02F3">
        <w:t>évolution des modèles commerciaux a eu lieu en juillet 2013, soulignant la nécessité de renforcer la coopération entre tous les secteurs et toutes les parties prenantes pour obtenir de meilleurs résultats.</w:t>
      </w:r>
    </w:p>
    <w:p w:rsidR="00D42474" w:rsidRDefault="00D42474" w:rsidP="001A5BF9">
      <w:pPr>
        <w:pStyle w:val="Default"/>
        <w:tabs>
          <w:tab w:val="left" w:pos="709"/>
        </w:tabs>
        <w:jc w:val="both"/>
        <w:rPr>
          <w:bCs/>
          <w:color w:val="auto"/>
          <w:sz w:val="20"/>
          <w:szCs w:val="20"/>
        </w:rPr>
      </w:pPr>
    </w:p>
    <w:p w:rsidR="00D42474" w:rsidRDefault="00784E52" w:rsidP="001A5BF9">
      <w:pPr>
        <w:pStyle w:val="Default"/>
        <w:tabs>
          <w:tab w:val="left" w:pos="709"/>
        </w:tabs>
        <w:jc w:val="both"/>
        <w:rPr>
          <w:color w:val="auto"/>
          <w:sz w:val="20"/>
        </w:rPr>
      </w:pPr>
      <w:r w:rsidRPr="002D02F3">
        <w:rPr>
          <w:color w:val="auto"/>
          <w:sz w:val="20"/>
        </w:rPr>
        <w:t xml:space="preserve">18.3. </w:t>
      </w:r>
      <w:r w:rsidR="0010442A" w:rsidRPr="002D02F3">
        <w:rPr>
          <w:color w:val="auto"/>
          <w:sz w:val="20"/>
        </w:rPr>
        <w:t xml:space="preserve"> </w:t>
      </w:r>
      <w:r w:rsidRPr="002D02F3">
        <w:rPr>
          <w:color w:val="auto"/>
          <w:sz w:val="20"/>
        </w:rPr>
        <w:tab/>
        <w:t>La coopération trilatérale avec l</w:t>
      </w:r>
      <w:r w:rsidR="00A20444" w:rsidRPr="002D02F3">
        <w:rPr>
          <w:color w:val="auto"/>
          <w:sz w:val="20"/>
        </w:rPr>
        <w:t>’</w:t>
      </w:r>
      <w:r w:rsidRPr="002D02F3">
        <w:rPr>
          <w:color w:val="auto"/>
          <w:sz w:val="20"/>
        </w:rPr>
        <w:t>OMS et l</w:t>
      </w:r>
      <w:r w:rsidR="00A20444" w:rsidRPr="002D02F3">
        <w:rPr>
          <w:color w:val="auto"/>
          <w:sz w:val="20"/>
        </w:rPr>
        <w:t>’</w:t>
      </w:r>
      <w:r w:rsidRPr="002D02F3">
        <w:rPr>
          <w:color w:val="auto"/>
          <w:sz w:val="20"/>
        </w:rPr>
        <w:t>OMC s</w:t>
      </w:r>
      <w:r w:rsidR="00A20444" w:rsidRPr="002D02F3">
        <w:rPr>
          <w:color w:val="auto"/>
          <w:sz w:val="20"/>
        </w:rPr>
        <w:t>’</w:t>
      </w:r>
      <w:r w:rsidRPr="002D02F3">
        <w:rPr>
          <w:color w:val="auto"/>
          <w:sz w:val="20"/>
        </w:rPr>
        <w:t>est également concentrée sur une meilleure compréhension par les décideurs de l</w:t>
      </w:r>
      <w:r w:rsidR="00A20444" w:rsidRPr="002D02F3">
        <w:rPr>
          <w:color w:val="auto"/>
          <w:sz w:val="20"/>
        </w:rPr>
        <w:t>’</w:t>
      </w:r>
      <w:r w:rsidRPr="002D02F3">
        <w:rPr>
          <w:color w:val="auto"/>
          <w:sz w:val="20"/>
        </w:rPr>
        <w:t xml:space="preserve">interaction entre santé, propriété intellectuelle et commerce. </w:t>
      </w:r>
      <w:r w:rsidR="0010442A" w:rsidRPr="002D02F3">
        <w:rPr>
          <w:color w:val="auto"/>
          <w:sz w:val="20"/>
        </w:rPr>
        <w:t xml:space="preserve"> </w:t>
      </w:r>
      <w:r w:rsidRPr="002D02F3">
        <w:rPr>
          <w:color w:val="auto"/>
          <w:sz w:val="20"/>
        </w:rPr>
        <w:t>Cette collaboration a notamment mené à la publication en</w:t>
      </w:r>
      <w:r w:rsidR="0010442A" w:rsidRPr="002D02F3">
        <w:rPr>
          <w:color w:val="auto"/>
          <w:sz w:val="20"/>
        </w:rPr>
        <w:t> </w:t>
      </w:r>
      <w:r w:rsidRPr="002D02F3">
        <w:rPr>
          <w:color w:val="auto"/>
          <w:sz w:val="20"/>
        </w:rPr>
        <w:t>2013 de l</w:t>
      </w:r>
      <w:r w:rsidR="00A20444" w:rsidRPr="002D02F3">
        <w:rPr>
          <w:color w:val="auto"/>
          <w:sz w:val="20"/>
        </w:rPr>
        <w:t>’</w:t>
      </w:r>
      <w:r w:rsidRPr="002D02F3">
        <w:rPr>
          <w:color w:val="auto"/>
          <w:sz w:val="20"/>
        </w:rPr>
        <w:t xml:space="preserve">étude technique commune intitulée </w:t>
      </w:r>
      <w:r w:rsidRPr="002D02F3">
        <w:rPr>
          <w:i/>
          <w:color w:val="auto"/>
          <w:sz w:val="20"/>
        </w:rPr>
        <w:t>Promouvoir l</w:t>
      </w:r>
      <w:r w:rsidR="00A20444" w:rsidRPr="002D02F3">
        <w:rPr>
          <w:i/>
          <w:color w:val="auto"/>
          <w:sz w:val="20"/>
        </w:rPr>
        <w:t>’</w:t>
      </w:r>
      <w:r w:rsidRPr="002D02F3">
        <w:rPr>
          <w:i/>
          <w:color w:val="auto"/>
          <w:sz w:val="20"/>
        </w:rPr>
        <w:t>accès aux technologies et l</w:t>
      </w:r>
      <w:r w:rsidR="00A20444" w:rsidRPr="002D02F3">
        <w:rPr>
          <w:i/>
          <w:color w:val="auto"/>
          <w:sz w:val="20"/>
        </w:rPr>
        <w:t>’</w:t>
      </w:r>
      <w:r w:rsidRPr="002D02F3">
        <w:rPr>
          <w:i/>
          <w:color w:val="auto"/>
          <w:sz w:val="20"/>
        </w:rPr>
        <w:t>innovation dans le domaine médical : convergences entre santé publique, propriété intellectuelle et commerce</w:t>
      </w:r>
      <w:r w:rsidRPr="002D02F3">
        <w:rPr>
          <w:rStyle w:val="FootnoteReference"/>
          <w:i/>
          <w:color w:val="auto"/>
          <w:sz w:val="20"/>
        </w:rPr>
        <w:footnoteReference w:id="36"/>
      </w:r>
      <w:r w:rsidRPr="002D02F3">
        <w:rPr>
          <w:i/>
          <w:color w:val="auto"/>
          <w:sz w:val="20"/>
        </w:rPr>
        <w:t>,</w:t>
      </w:r>
      <w:r w:rsidRPr="002D02F3">
        <w:rPr>
          <w:color w:val="auto"/>
          <w:sz w:val="20"/>
        </w:rPr>
        <w:t xml:space="preserve"> qui donne une vue d</w:t>
      </w:r>
      <w:r w:rsidR="00A20444" w:rsidRPr="002D02F3">
        <w:rPr>
          <w:color w:val="auto"/>
          <w:sz w:val="20"/>
        </w:rPr>
        <w:t>’</w:t>
      </w:r>
      <w:r w:rsidRPr="002D02F3">
        <w:rPr>
          <w:color w:val="auto"/>
          <w:sz w:val="20"/>
        </w:rPr>
        <w:t>ensemble de la situation actuelle et fournit une source complète d</w:t>
      </w:r>
      <w:r w:rsidR="00A20444" w:rsidRPr="002D02F3">
        <w:rPr>
          <w:color w:val="auto"/>
          <w:sz w:val="20"/>
        </w:rPr>
        <w:t>’</w:t>
      </w:r>
      <w:r w:rsidRPr="002D02F3">
        <w:rPr>
          <w:color w:val="auto"/>
          <w:sz w:val="20"/>
        </w:rPr>
        <w:t xml:space="preserve">informations empiriques sur tous les aspects importants de ces questions. </w:t>
      </w:r>
      <w:r w:rsidR="0010442A" w:rsidRPr="002D02F3">
        <w:rPr>
          <w:color w:val="auto"/>
          <w:sz w:val="20"/>
        </w:rPr>
        <w:t xml:space="preserve"> </w:t>
      </w:r>
      <w:r w:rsidRPr="002D02F3">
        <w:rPr>
          <w:color w:val="auto"/>
          <w:sz w:val="20"/>
        </w:rPr>
        <w:t>Par ailleurs, cette étude constitue un guide sur les cadres institutionnel et juridique disponibles pour traiter la convergence entre ces trois domaines, notamment dans le contexte des mandats des trois organisations et en soutien de leurs initiatives de renforcement des capacités.</w:t>
      </w:r>
    </w:p>
    <w:p w:rsidR="00D42474" w:rsidRDefault="00D42474" w:rsidP="001A5BF9">
      <w:pPr>
        <w:pStyle w:val="Default"/>
        <w:tabs>
          <w:tab w:val="left" w:pos="567"/>
          <w:tab w:val="left" w:pos="709"/>
        </w:tabs>
        <w:jc w:val="both"/>
        <w:rPr>
          <w:color w:val="auto"/>
          <w:sz w:val="20"/>
          <w:szCs w:val="20"/>
        </w:rPr>
      </w:pPr>
    </w:p>
    <w:p w:rsidR="00D42474" w:rsidRDefault="00784E52" w:rsidP="001A5BF9">
      <w:pPr>
        <w:pStyle w:val="Default"/>
        <w:tabs>
          <w:tab w:val="left" w:pos="709"/>
        </w:tabs>
        <w:jc w:val="both"/>
        <w:rPr>
          <w:color w:val="auto"/>
          <w:sz w:val="20"/>
        </w:rPr>
      </w:pPr>
      <w:r w:rsidRPr="002D02F3">
        <w:rPr>
          <w:color w:val="auto"/>
          <w:sz w:val="20"/>
        </w:rPr>
        <w:t xml:space="preserve">18.4. </w:t>
      </w:r>
      <w:r w:rsidR="0010442A" w:rsidRPr="002D02F3">
        <w:rPr>
          <w:color w:val="auto"/>
          <w:sz w:val="20"/>
        </w:rPr>
        <w:t xml:space="preserve"> </w:t>
      </w:r>
      <w:r w:rsidRPr="002D02F3">
        <w:rPr>
          <w:color w:val="auto"/>
          <w:sz w:val="20"/>
        </w:rPr>
        <w:tab/>
        <w:t>Une réalisation importante de l</w:t>
      </w:r>
      <w:r w:rsidR="00A20444" w:rsidRPr="002D02F3">
        <w:rPr>
          <w:color w:val="auto"/>
          <w:sz w:val="20"/>
        </w:rPr>
        <w:t>’</w:t>
      </w:r>
      <w:r w:rsidRPr="002D02F3">
        <w:rPr>
          <w:color w:val="auto"/>
          <w:sz w:val="20"/>
        </w:rPr>
        <w:t>exercice biennal a été le lancement opérationnel de la plate</w:t>
      </w:r>
      <w:r w:rsidR="002D6F2A" w:rsidRPr="002D02F3">
        <w:rPr>
          <w:color w:val="auto"/>
          <w:sz w:val="20"/>
        </w:rPr>
        <w:noBreakHyphen/>
      </w:r>
      <w:r w:rsidRPr="002D02F3">
        <w:rPr>
          <w:color w:val="auto"/>
          <w:sz w:val="20"/>
        </w:rPr>
        <w:t xml:space="preserve">forme WIPO GREEN en novembre 2013. </w:t>
      </w:r>
      <w:r w:rsidR="0010442A" w:rsidRPr="002D02F3">
        <w:rPr>
          <w:color w:val="auto"/>
          <w:sz w:val="20"/>
        </w:rPr>
        <w:t xml:space="preserve"> </w:t>
      </w:r>
      <w:r w:rsidRPr="002D02F3">
        <w:rPr>
          <w:color w:val="auto"/>
          <w:sz w:val="20"/>
        </w:rPr>
        <w:t>WIPO GREEN est un marché interactif qui vise à promouvoir l</w:t>
      </w:r>
      <w:r w:rsidR="00A20444" w:rsidRPr="002D02F3">
        <w:rPr>
          <w:color w:val="auto"/>
          <w:sz w:val="20"/>
        </w:rPr>
        <w:t>’</w:t>
      </w:r>
      <w:r w:rsidRPr="002D02F3">
        <w:rPr>
          <w:color w:val="auto"/>
          <w:sz w:val="20"/>
        </w:rPr>
        <w:t>innovation, le transfert et la diffusion de technologies vertes en mettant en présence les fournisseurs de technologies et de services et les entités en demande de solutions innovantes.</w:t>
      </w:r>
      <w:r w:rsidR="004F3E42" w:rsidRPr="002D02F3">
        <w:rPr>
          <w:color w:val="auto"/>
          <w:sz w:val="20"/>
        </w:rPr>
        <w:t xml:space="preserve"> </w:t>
      </w:r>
      <w:r w:rsidR="0010442A" w:rsidRPr="002D02F3">
        <w:rPr>
          <w:color w:val="auto"/>
          <w:sz w:val="20"/>
        </w:rPr>
        <w:t xml:space="preserve"> </w:t>
      </w:r>
      <w:r w:rsidRPr="002D02F3">
        <w:rPr>
          <w:color w:val="auto"/>
          <w:sz w:val="20"/>
        </w:rPr>
        <w:t>Parmi les partenaires figurent des organisations intergouvernementales, telles que</w:t>
      </w:r>
      <w:r w:rsidR="00A20444" w:rsidRPr="002D02F3">
        <w:rPr>
          <w:color w:val="auto"/>
          <w:sz w:val="20"/>
        </w:rPr>
        <w:t xml:space="preserve"> le PNU</w:t>
      </w:r>
      <w:r w:rsidRPr="002D02F3">
        <w:rPr>
          <w:color w:val="auto"/>
          <w:sz w:val="20"/>
        </w:rPr>
        <w:t>E et le Centre et Réseau des technologies climatiques, des institutions du secteur public, des petites et grandes entreprises, ainsi que</w:t>
      </w:r>
      <w:r w:rsidR="00A20444" w:rsidRPr="002D02F3">
        <w:rPr>
          <w:color w:val="auto"/>
          <w:sz w:val="20"/>
        </w:rPr>
        <w:t xml:space="preserve"> des ONG</w:t>
      </w:r>
      <w:r w:rsidRPr="002D02F3">
        <w:rPr>
          <w:color w:val="auto"/>
          <w:sz w:val="20"/>
        </w:rPr>
        <w:t xml:space="preserve">. </w:t>
      </w:r>
      <w:r w:rsidR="0010442A" w:rsidRPr="002D02F3">
        <w:rPr>
          <w:color w:val="auto"/>
          <w:sz w:val="20"/>
        </w:rPr>
        <w:t xml:space="preserve"> </w:t>
      </w:r>
      <w:r w:rsidRPr="002D02F3">
        <w:rPr>
          <w:color w:val="auto"/>
          <w:sz w:val="20"/>
        </w:rPr>
        <w:t>Le nombre croissant de partenaires et leur volonté d</w:t>
      </w:r>
      <w:r w:rsidR="00A20444" w:rsidRPr="002D02F3">
        <w:rPr>
          <w:color w:val="auto"/>
          <w:sz w:val="20"/>
        </w:rPr>
        <w:t>’</w:t>
      </w:r>
      <w:r w:rsidRPr="002D02F3">
        <w:rPr>
          <w:color w:val="auto"/>
          <w:sz w:val="20"/>
        </w:rPr>
        <w:t>améliorer la qualité et la quantité des entrées dans la base de données WIPO GREEN démontrent le potentiel de cette dernière pour soutenir le transfert de technologie des pays développés vers les pays en développement, ainsi que la coopération Sud</w:t>
      </w:r>
      <w:r w:rsidR="002D6F2A" w:rsidRPr="002D02F3">
        <w:rPr>
          <w:color w:val="auto"/>
          <w:sz w:val="20"/>
        </w:rPr>
        <w:noBreakHyphen/>
      </w:r>
      <w:r w:rsidRPr="002D02F3">
        <w:rPr>
          <w:color w:val="auto"/>
          <w:sz w:val="20"/>
        </w:rPr>
        <w:t xml:space="preserve">Sud. </w:t>
      </w:r>
      <w:r w:rsidR="0010442A" w:rsidRPr="002D02F3">
        <w:rPr>
          <w:color w:val="auto"/>
          <w:sz w:val="20"/>
        </w:rPr>
        <w:t xml:space="preserve"> </w:t>
      </w:r>
      <w:r w:rsidRPr="002D02F3">
        <w:rPr>
          <w:color w:val="auto"/>
          <w:sz w:val="20"/>
        </w:rPr>
        <w:t>Fin 2013, la base de données WIPO GREEN comptait 737 entrées.</w:t>
      </w:r>
      <w:r w:rsidR="0010442A" w:rsidRPr="002D02F3">
        <w:rPr>
          <w:color w:val="auto"/>
          <w:sz w:val="20"/>
        </w:rPr>
        <w:t xml:space="preserve"> </w:t>
      </w:r>
      <w:r w:rsidRPr="002D02F3">
        <w:rPr>
          <w:color w:val="auto"/>
          <w:sz w:val="20"/>
        </w:rPr>
        <w:t xml:space="preserve"> Lors de cette phase de formation, les efforts se sont concentrés sur l</w:t>
      </w:r>
      <w:r w:rsidR="00A20444" w:rsidRPr="002D02F3">
        <w:rPr>
          <w:color w:val="auto"/>
          <w:sz w:val="20"/>
        </w:rPr>
        <w:t>’</w:t>
      </w:r>
      <w:r w:rsidRPr="002D02F3">
        <w:rPr>
          <w:color w:val="auto"/>
          <w:sz w:val="20"/>
        </w:rPr>
        <w:t>élaboration d</w:t>
      </w:r>
      <w:r w:rsidR="00A20444" w:rsidRPr="002D02F3">
        <w:rPr>
          <w:color w:val="auto"/>
          <w:sz w:val="20"/>
        </w:rPr>
        <w:t>’</w:t>
      </w:r>
      <w:r w:rsidRPr="002D02F3">
        <w:rPr>
          <w:color w:val="auto"/>
          <w:sz w:val="20"/>
        </w:rPr>
        <w:t>un ensemble de partenaires solides et l</w:t>
      </w:r>
      <w:r w:rsidR="00A20444" w:rsidRPr="002D02F3">
        <w:rPr>
          <w:color w:val="auto"/>
          <w:sz w:val="20"/>
        </w:rPr>
        <w:t>’</w:t>
      </w:r>
      <w:r w:rsidRPr="002D02F3">
        <w:rPr>
          <w:color w:val="auto"/>
          <w:sz w:val="20"/>
        </w:rPr>
        <w:t>augmentation du nombre d</w:t>
      </w:r>
      <w:r w:rsidR="00A20444" w:rsidRPr="002D02F3">
        <w:rPr>
          <w:color w:val="auto"/>
          <w:sz w:val="20"/>
        </w:rPr>
        <w:t>’</w:t>
      </w:r>
      <w:r w:rsidRPr="002D02F3">
        <w:rPr>
          <w:color w:val="auto"/>
          <w:sz w:val="20"/>
        </w:rPr>
        <w:t>entrées, dans le but de promouvoir le renforcement des interactions du marché et de faire progresser l</w:t>
      </w:r>
      <w:r w:rsidR="00A20444" w:rsidRPr="002D02F3">
        <w:rPr>
          <w:color w:val="auto"/>
          <w:sz w:val="20"/>
        </w:rPr>
        <w:t>’</w:t>
      </w:r>
      <w:r w:rsidRPr="002D02F3">
        <w:rPr>
          <w:color w:val="auto"/>
          <w:sz w:val="20"/>
        </w:rPr>
        <w:t>utilisation transactionnelle de la plate</w:t>
      </w:r>
      <w:r w:rsidR="002D6F2A" w:rsidRPr="002D02F3">
        <w:rPr>
          <w:color w:val="auto"/>
          <w:sz w:val="20"/>
        </w:rPr>
        <w:noBreakHyphen/>
      </w:r>
      <w:r w:rsidRPr="002D02F3">
        <w:rPr>
          <w:color w:val="auto"/>
          <w:sz w:val="20"/>
        </w:rPr>
        <w:t xml:space="preserve">forme. </w:t>
      </w:r>
      <w:r w:rsidR="0010442A" w:rsidRPr="002D02F3">
        <w:rPr>
          <w:color w:val="auto"/>
          <w:sz w:val="20"/>
        </w:rPr>
        <w:t xml:space="preserve"> </w:t>
      </w:r>
      <w:r w:rsidRPr="002D02F3">
        <w:rPr>
          <w:color w:val="auto"/>
          <w:sz w:val="20"/>
        </w:rPr>
        <w:t>À cet égard, aucune transaction n</w:t>
      </w:r>
      <w:r w:rsidR="00A20444" w:rsidRPr="002D02F3">
        <w:rPr>
          <w:color w:val="auto"/>
          <w:sz w:val="20"/>
        </w:rPr>
        <w:t>’</w:t>
      </w:r>
      <w:r w:rsidRPr="002D02F3">
        <w:rPr>
          <w:color w:val="auto"/>
          <w:sz w:val="20"/>
        </w:rPr>
        <w:t>a été conclue lors de l</w:t>
      </w:r>
      <w:r w:rsidR="00A20444" w:rsidRPr="002D02F3">
        <w:rPr>
          <w:color w:val="auto"/>
          <w:sz w:val="20"/>
        </w:rPr>
        <w:t>’</w:t>
      </w:r>
      <w:r w:rsidRPr="002D02F3">
        <w:rPr>
          <w:color w:val="auto"/>
          <w:sz w:val="20"/>
        </w:rPr>
        <w:t>exercice biennal.</w:t>
      </w:r>
    </w:p>
    <w:p w:rsidR="00D42474" w:rsidRDefault="00D42474" w:rsidP="001A5BF9">
      <w:pPr>
        <w:pStyle w:val="Default"/>
        <w:tabs>
          <w:tab w:val="left" w:pos="567"/>
          <w:tab w:val="left" w:pos="709"/>
        </w:tabs>
        <w:jc w:val="both"/>
        <w:rPr>
          <w:color w:val="auto"/>
          <w:sz w:val="20"/>
          <w:szCs w:val="20"/>
        </w:rPr>
      </w:pPr>
    </w:p>
    <w:p w:rsidR="00D42474" w:rsidRDefault="00784E52" w:rsidP="001A5BF9">
      <w:pPr>
        <w:pStyle w:val="Default"/>
        <w:tabs>
          <w:tab w:val="left" w:pos="709"/>
        </w:tabs>
        <w:jc w:val="both"/>
        <w:rPr>
          <w:color w:val="auto"/>
          <w:sz w:val="20"/>
          <w:szCs w:val="20"/>
        </w:rPr>
      </w:pPr>
      <w:r w:rsidRPr="002D02F3">
        <w:rPr>
          <w:color w:val="auto"/>
          <w:sz w:val="20"/>
        </w:rPr>
        <w:t xml:space="preserve">18.5. </w:t>
      </w:r>
      <w:r w:rsidR="0010442A" w:rsidRPr="002D02F3">
        <w:rPr>
          <w:color w:val="auto"/>
          <w:sz w:val="20"/>
        </w:rPr>
        <w:t xml:space="preserve"> </w:t>
      </w:r>
      <w:r w:rsidRPr="002D02F3">
        <w:rPr>
          <w:color w:val="auto"/>
          <w:sz w:val="20"/>
        </w:rPr>
        <w:tab/>
        <w:t>WIPO </w:t>
      </w:r>
      <w:proofErr w:type="spellStart"/>
      <w:r w:rsidRPr="002D02F3">
        <w:rPr>
          <w:color w:val="auto"/>
          <w:sz w:val="20"/>
        </w:rPr>
        <w:t>Re:Search</w:t>
      </w:r>
      <w:proofErr w:type="spellEnd"/>
      <w:r w:rsidR="0010442A" w:rsidRPr="002D02F3">
        <w:rPr>
          <w:color w:val="auto"/>
          <w:sz w:val="20"/>
        </w:rPr>
        <w:t xml:space="preserve"> –</w:t>
      </w:r>
      <w:r w:rsidRPr="002D02F3">
        <w:rPr>
          <w:color w:val="auto"/>
          <w:sz w:val="20"/>
        </w:rPr>
        <w:t xml:space="preserve"> </w:t>
      </w:r>
      <w:r w:rsidRPr="002D02F3">
        <w:rPr>
          <w:i/>
          <w:color w:val="auto"/>
          <w:sz w:val="20"/>
        </w:rPr>
        <w:t>Mettre les innovations en commun pour lutter contre les maladies tropicales négligées</w:t>
      </w:r>
      <w:r w:rsidR="0010442A" w:rsidRPr="002D02F3">
        <w:rPr>
          <w:color w:val="auto"/>
          <w:sz w:val="20"/>
        </w:rPr>
        <w:t xml:space="preserve"> –</w:t>
      </w:r>
      <w:r w:rsidR="004F3E42" w:rsidRPr="002D02F3">
        <w:rPr>
          <w:color w:val="auto"/>
          <w:sz w:val="20"/>
        </w:rPr>
        <w:t xml:space="preserve"> </w:t>
      </w:r>
      <w:r w:rsidRPr="002D02F3">
        <w:rPr>
          <w:color w:val="auto"/>
          <w:sz w:val="20"/>
        </w:rPr>
        <w:t>a accompli des progrès significatifs au cours de l</w:t>
      </w:r>
      <w:r w:rsidR="00A20444" w:rsidRPr="002D02F3">
        <w:rPr>
          <w:color w:val="auto"/>
          <w:sz w:val="20"/>
        </w:rPr>
        <w:t>’</w:t>
      </w:r>
      <w:r w:rsidRPr="002D02F3">
        <w:rPr>
          <w:color w:val="auto"/>
          <w:sz w:val="20"/>
        </w:rPr>
        <w:t>exercice biennal, gagnant en reconnaissance comme étant une plate</w:t>
      </w:r>
      <w:r w:rsidR="002D6F2A" w:rsidRPr="002D02F3">
        <w:rPr>
          <w:color w:val="auto"/>
          <w:sz w:val="20"/>
        </w:rPr>
        <w:noBreakHyphen/>
      </w:r>
      <w:r w:rsidRPr="002D02F3">
        <w:rPr>
          <w:color w:val="auto"/>
          <w:sz w:val="20"/>
        </w:rPr>
        <w:t>forme permettant de soutenir l</w:t>
      </w:r>
      <w:r w:rsidR="00A20444" w:rsidRPr="002D02F3">
        <w:rPr>
          <w:color w:val="auto"/>
          <w:sz w:val="20"/>
        </w:rPr>
        <w:t>’</w:t>
      </w:r>
      <w:r w:rsidRPr="002D02F3">
        <w:rPr>
          <w:color w:val="auto"/>
          <w:sz w:val="20"/>
        </w:rPr>
        <w:t xml:space="preserve">innovation et le transfert de technologie dans la recherche sur les maladies tropicales négligées, telles que la tuberculose et le paludisme. </w:t>
      </w:r>
      <w:r w:rsidR="0010442A" w:rsidRPr="002D02F3">
        <w:rPr>
          <w:color w:val="auto"/>
          <w:sz w:val="20"/>
        </w:rPr>
        <w:t xml:space="preserve"> </w:t>
      </w:r>
      <w:r w:rsidRPr="002D02F3">
        <w:rPr>
          <w:color w:val="auto"/>
          <w:sz w:val="20"/>
        </w:rPr>
        <w:t>Le consortium a enregistré en 2012 une trentaine de nouveaux membres et 11 accords de recherche en collaboration, et en 2013, 19 nouveaux membres et 33 nouveaux accords de recherche en collaboration, portant le nombre total de membres à 80 et le nombre de collaborations à 44 au terme de l</w:t>
      </w:r>
      <w:r w:rsidR="00A20444" w:rsidRPr="002D02F3">
        <w:rPr>
          <w:color w:val="auto"/>
          <w:sz w:val="20"/>
        </w:rPr>
        <w:t>’</w:t>
      </w:r>
      <w:r w:rsidRPr="002D02F3">
        <w:rPr>
          <w:color w:val="auto"/>
          <w:sz w:val="20"/>
        </w:rPr>
        <w:t>exercice biennal, soit une augmentation de 260</w:t>
      </w:r>
      <w:r w:rsidR="007E442D" w:rsidRPr="002D02F3">
        <w:rPr>
          <w:color w:val="auto"/>
          <w:sz w:val="20"/>
        </w:rPr>
        <w:t>%</w:t>
      </w:r>
      <w:r w:rsidRPr="002D02F3">
        <w:rPr>
          <w:color w:val="auto"/>
          <w:sz w:val="20"/>
        </w:rPr>
        <w:t xml:space="preserve"> du nombre de membres depuis son lancement en octobre 2011.</w:t>
      </w:r>
      <w:r w:rsidR="0010442A" w:rsidRPr="002D02F3">
        <w:rPr>
          <w:color w:val="auto"/>
          <w:sz w:val="20"/>
        </w:rPr>
        <w:t xml:space="preserve"> </w:t>
      </w:r>
      <w:r w:rsidR="004F3E42" w:rsidRPr="002D02F3">
        <w:rPr>
          <w:color w:val="auto"/>
          <w:sz w:val="20"/>
        </w:rPr>
        <w:t xml:space="preserve"> </w:t>
      </w:r>
      <w:r w:rsidRPr="002D02F3">
        <w:rPr>
          <w:color w:val="auto"/>
          <w:sz w:val="20"/>
        </w:rPr>
        <w:t xml:space="preserve">En outre, WIPO </w:t>
      </w:r>
      <w:proofErr w:type="spellStart"/>
      <w:r w:rsidRPr="002D02F3">
        <w:rPr>
          <w:color w:val="auto"/>
          <w:sz w:val="20"/>
        </w:rPr>
        <w:t>Re:Search</w:t>
      </w:r>
      <w:proofErr w:type="spellEnd"/>
      <w:r w:rsidRPr="002D02F3">
        <w:rPr>
          <w:color w:val="auto"/>
          <w:sz w:val="20"/>
        </w:rPr>
        <w:t xml:space="preserve"> comprend 15</w:t>
      </w:r>
      <w:r w:rsidR="00B55E07" w:rsidRPr="002D02F3">
        <w:rPr>
          <w:color w:val="auto"/>
          <w:sz w:val="20"/>
        </w:rPr>
        <w:t> </w:t>
      </w:r>
      <w:r w:rsidRPr="002D02F3">
        <w:rPr>
          <w:color w:val="auto"/>
          <w:sz w:val="20"/>
        </w:rPr>
        <w:t>membres de 10</w:t>
      </w:r>
      <w:r w:rsidR="00B55E07" w:rsidRPr="002D02F3">
        <w:rPr>
          <w:color w:val="auto"/>
          <w:sz w:val="20"/>
        </w:rPr>
        <w:t> </w:t>
      </w:r>
      <w:r w:rsidRPr="002D02F3">
        <w:rPr>
          <w:color w:val="auto"/>
          <w:sz w:val="20"/>
        </w:rPr>
        <w:t>pays africains, point particulièrement important pour les objectifs politiques plus larges de l</w:t>
      </w:r>
      <w:r w:rsidR="00A20444" w:rsidRPr="002D02F3">
        <w:rPr>
          <w:color w:val="auto"/>
          <w:sz w:val="20"/>
        </w:rPr>
        <w:t>’</w:t>
      </w:r>
      <w:r w:rsidRPr="002D02F3">
        <w:rPr>
          <w:color w:val="auto"/>
          <w:sz w:val="20"/>
        </w:rPr>
        <w:t>OMPI dans le cadre de son Plan d</w:t>
      </w:r>
      <w:r w:rsidR="00A20444" w:rsidRPr="002D02F3">
        <w:rPr>
          <w:color w:val="auto"/>
          <w:sz w:val="20"/>
        </w:rPr>
        <w:t>’</w:t>
      </w:r>
      <w:r w:rsidRPr="002D02F3">
        <w:rPr>
          <w:color w:val="auto"/>
          <w:sz w:val="20"/>
        </w:rPr>
        <w:t>action pour le développement.</w:t>
      </w:r>
      <w:r w:rsidR="004F3E42" w:rsidRPr="002D02F3">
        <w:rPr>
          <w:color w:val="auto"/>
          <w:sz w:val="20"/>
        </w:rPr>
        <w:t xml:space="preserve"> </w:t>
      </w:r>
      <w:r w:rsidR="0010442A" w:rsidRPr="002D02F3">
        <w:rPr>
          <w:color w:val="auto"/>
          <w:sz w:val="20"/>
        </w:rPr>
        <w:t xml:space="preserve"> </w:t>
      </w:r>
      <w:r w:rsidRPr="002D02F3">
        <w:rPr>
          <w:color w:val="auto"/>
          <w:sz w:val="20"/>
        </w:rPr>
        <w:t>Outre l</w:t>
      </w:r>
      <w:r w:rsidR="00A20444" w:rsidRPr="002D02F3">
        <w:rPr>
          <w:color w:val="auto"/>
          <w:sz w:val="20"/>
        </w:rPr>
        <w:t>’</w:t>
      </w:r>
      <w:r w:rsidRPr="002D02F3">
        <w:rPr>
          <w:color w:val="auto"/>
          <w:sz w:val="20"/>
        </w:rPr>
        <w:t>augmentation du nombre de collaborations en matière de recherche, le potentiel de la plate</w:t>
      </w:r>
      <w:r w:rsidR="002D6F2A" w:rsidRPr="002D02F3">
        <w:rPr>
          <w:color w:val="auto"/>
          <w:sz w:val="20"/>
        </w:rPr>
        <w:noBreakHyphen/>
      </w:r>
      <w:r w:rsidRPr="002D02F3">
        <w:rPr>
          <w:color w:val="auto"/>
          <w:sz w:val="20"/>
        </w:rPr>
        <w:t>forme pour le transfert de technologie des pays développés vers les pays en développement, des actifs de propriété intellectuelle, y compris le savoir</w:t>
      </w:r>
      <w:r w:rsidR="002D6F2A" w:rsidRPr="002D02F3">
        <w:rPr>
          <w:color w:val="auto"/>
          <w:sz w:val="20"/>
        </w:rPr>
        <w:noBreakHyphen/>
      </w:r>
      <w:r w:rsidRPr="002D02F3">
        <w:rPr>
          <w:color w:val="auto"/>
          <w:sz w:val="20"/>
        </w:rPr>
        <w:t>faire et l</w:t>
      </w:r>
      <w:r w:rsidR="00A20444" w:rsidRPr="002D02F3">
        <w:rPr>
          <w:color w:val="auto"/>
          <w:sz w:val="20"/>
        </w:rPr>
        <w:t>’</w:t>
      </w:r>
      <w:r w:rsidRPr="002D02F3">
        <w:rPr>
          <w:color w:val="auto"/>
          <w:sz w:val="20"/>
        </w:rPr>
        <w:t>expertise, a été démontré en permettant à cinq chercheurs africains en science biomédicale de prendre un congé sabbatique pour effectuer des recherches dans des institutions de recherche à l</w:t>
      </w:r>
      <w:r w:rsidR="00A20444" w:rsidRPr="002D02F3">
        <w:rPr>
          <w:color w:val="auto"/>
          <w:sz w:val="20"/>
        </w:rPr>
        <w:t>’</w:t>
      </w:r>
      <w:r w:rsidRPr="002D02F3">
        <w:rPr>
          <w:color w:val="auto"/>
          <w:sz w:val="20"/>
        </w:rPr>
        <w:t xml:space="preserve">étranger, grâce à un </w:t>
      </w:r>
      <w:r w:rsidR="009C658D" w:rsidRPr="002D02F3">
        <w:rPr>
          <w:color w:val="auto"/>
          <w:sz w:val="20"/>
        </w:rPr>
        <w:t>fonds fiduciaire fourni par le G</w:t>
      </w:r>
      <w:r w:rsidRPr="002D02F3">
        <w:rPr>
          <w:color w:val="auto"/>
          <w:sz w:val="20"/>
        </w:rPr>
        <w:t>ouvernement australien.</w:t>
      </w:r>
    </w:p>
    <w:p w:rsidR="00D42474" w:rsidRDefault="00D42474" w:rsidP="001A5BF9">
      <w:pPr>
        <w:pStyle w:val="Default"/>
        <w:tabs>
          <w:tab w:val="left" w:pos="567"/>
          <w:tab w:val="left" w:pos="709"/>
        </w:tabs>
        <w:jc w:val="both"/>
        <w:rPr>
          <w:color w:val="auto"/>
          <w:sz w:val="20"/>
          <w:szCs w:val="20"/>
        </w:rPr>
      </w:pPr>
    </w:p>
    <w:p w:rsidR="00D42474" w:rsidRDefault="00784E52" w:rsidP="001A5BF9">
      <w:pPr>
        <w:tabs>
          <w:tab w:val="left" w:pos="709"/>
        </w:tabs>
        <w:jc w:val="both"/>
      </w:pPr>
      <w:r w:rsidRPr="002D02F3">
        <w:t xml:space="preserve">18,6. </w:t>
      </w:r>
      <w:r w:rsidR="0010442A" w:rsidRPr="002D02F3">
        <w:t xml:space="preserve"> </w:t>
      </w:r>
      <w:r w:rsidRPr="002D02F3">
        <w:tab/>
        <w:t>En ce qui concerne la propriété intellectuelle et la politique en matière de concurrence, le nombre de demandes d</w:t>
      </w:r>
      <w:r w:rsidR="00A20444" w:rsidRPr="002D02F3">
        <w:t>’</w:t>
      </w:r>
      <w:r w:rsidRPr="002D02F3">
        <w:t>États membres pour que le Secrétariat se livre à un dialogue et les aide à mieux comprendre l</w:t>
      </w:r>
      <w:r w:rsidR="00A20444" w:rsidRPr="002D02F3">
        <w:t>’</w:t>
      </w:r>
      <w:r w:rsidRPr="002D02F3">
        <w:t>interface entre la propriété intellectuelle et la concurrence a continué d</w:t>
      </w:r>
      <w:r w:rsidR="00A20444" w:rsidRPr="002D02F3">
        <w:t>’</w:t>
      </w:r>
      <w:r w:rsidRPr="002D02F3">
        <w:t>augmenter au cours de l</w:t>
      </w:r>
      <w:r w:rsidR="00A20444" w:rsidRPr="002D02F3">
        <w:t>’</w:t>
      </w:r>
      <w:r w:rsidRPr="002D02F3">
        <w:t xml:space="preserve">exercice biennal. </w:t>
      </w:r>
      <w:r w:rsidR="0010442A" w:rsidRPr="002D02F3">
        <w:t xml:space="preserve"> </w:t>
      </w:r>
      <w:r w:rsidRPr="002D02F3">
        <w:t>De plus, le programme a établi une coopération structurée bien qu</w:t>
      </w:r>
      <w:r w:rsidR="00A20444" w:rsidRPr="002D02F3">
        <w:t>’</w:t>
      </w:r>
      <w:r w:rsidRPr="002D02F3">
        <w:t>informelle avec d</w:t>
      </w:r>
      <w:r w:rsidR="00A20444" w:rsidRPr="002D02F3">
        <w:t>’</w:t>
      </w:r>
      <w:r w:rsidRPr="002D02F3">
        <w:t>autres organisations compétentes dans ce domaine, en particulier avec l</w:t>
      </w:r>
      <w:r w:rsidR="00A20444" w:rsidRPr="002D02F3">
        <w:t>’</w:t>
      </w:r>
      <w:r w:rsidRPr="002D02F3">
        <w:t>OCDE,</w:t>
      </w:r>
      <w:r w:rsidR="00A20444" w:rsidRPr="002D02F3">
        <w:t xml:space="preserve"> la CNU</w:t>
      </w:r>
      <w:r w:rsidRPr="002D02F3">
        <w:t>CED et l</w:t>
      </w:r>
      <w:r w:rsidR="00A20444" w:rsidRPr="002D02F3">
        <w:t>’</w:t>
      </w:r>
      <w:r w:rsidRPr="002D02F3">
        <w:t>OMC ainsi qu</w:t>
      </w:r>
      <w:r w:rsidR="00A20444" w:rsidRPr="002D02F3">
        <w:t>’</w:t>
      </w:r>
      <w:r w:rsidRPr="002D02F3">
        <w:t xml:space="preserve">avec le Réseau international de la concurrence. </w:t>
      </w:r>
      <w:r w:rsidR="0010442A" w:rsidRPr="002D02F3">
        <w:t xml:space="preserve"> </w:t>
      </w:r>
      <w:r w:rsidRPr="002D02F3">
        <w:t>Tous les objectifs de l</w:t>
      </w:r>
      <w:r w:rsidR="00A20444" w:rsidRPr="002D02F3">
        <w:t>’</w:t>
      </w:r>
      <w:r w:rsidRPr="002D02F3">
        <w:t>exercice biennal ont été pleinement atteints comme prévu, à l</w:t>
      </w:r>
      <w:r w:rsidR="00A20444" w:rsidRPr="002D02F3">
        <w:t>’</w:t>
      </w:r>
      <w:r w:rsidRPr="002D02F3">
        <w:t>exception de l</w:t>
      </w:r>
      <w:r w:rsidR="00A20444" w:rsidRPr="002D02F3">
        <w:t>’</w:t>
      </w:r>
      <w:r w:rsidRPr="002D02F3">
        <w:t>une des deux enquêtes dont les questionnaires soumis aux États membres ont été renvoyés après la date butoir, retardant ainsi le processus.</w:t>
      </w:r>
    </w:p>
    <w:p w:rsidR="00D42474" w:rsidRDefault="00D42474" w:rsidP="001A5BF9">
      <w:pPr>
        <w:tabs>
          <w:tab w:val="left" w:pos="709"/>
        </w:tabs>
        <w:jc w:val="both"/>
        <w:rPr>
          <w:rFonts w:cs="Arial"/>
          <w:bCs/>
          <w:szCs w:val="22"/>
        </w:rPr>
      </w:pPr>
    </w:p>
    <w:p w:rsidR="00D42474" w:rsidRDefault="00D42474" w:rsidP="001A5BF9">
      <w:pPr>
        <w:jc w:val="both"/>
        <w:rPr>
          <w:sz w:val="22"/>
        </w:rPr>
      </w:pPr>
    </w:p>
    <w:p w:rsidR="00D42474" w:rsidRDefault="00784E52" w:rsidP="001A5BF9">
      <w:pPr>
        <w:jc w:val="both"/>
      </w:pPr>
      <w:r w:rsidRPr="002D02F3">
        <w:rPr>
          <w:sz w:val="22"/>
        </w:rPr>
        <w:t>MISE EN ŒUVRE DU PLAN D</w:t>
      </w:r>
      <w:r w:rsidR="00A20444" w:rsidRPr="002D02F3">
        <w:rPr>
          <w:sz w:val="22"/>
        </w:rPr>
        <w:t>’</w:t>
      </w:r>
      <w:r w:rsidRPr="002D02F3">
        <w:rPr>
          <w:sz w:val="22"/>
        </w:rPr>
        <w:t>ACTION POUR LE DÉVELOPPEMENT</w:t>
      </w:r>
    </w:p>
    <w:p w:rsidR="00D42474" w:rsidRDefault="00D42474" w:rsidP="001A5BF9">
      <w:pPr>
        <w:jc w:val="both"/>
        <w:rPr>
          <w:rFonts w:cs="Arial"/>
          <w:b/>
          <w:bCs/>
          <w:szCs w:val="22"/>
        </w:rPr>
      </w:pPr>
    </w:p>
    <w:p w:rsidR="00D42474" w:rsidRDefault="00784E52" w:rsidP="001A5BF9">
      <w:pPr>
        <w:tabs>
          <w:tab w:val="left" w:pos="709"/>
        </w:tabs>
        <w:jc w:val="both"/>
        <w:rPr>
          <w:rFonts w:eastAsia="MS Mincho" w:cs="Arial"/>
          <w:szCs w:val="20"/>
          <w:lang w:bidi="th-TH"/>
        </w:rPr>
      </w:pPr>
      <w:r w:rsidRPr="002D02F3">
        <w:t>18.7</w:t>
      </w:r>
      <w:r w:rsidRPr="002D02F3">
        <w:tab/>
        <w:t>Les activités d</w:t>
      </w:r>
      <w:r w:rsidR="00A20444" w:rsidRPr="002D02F3">
        <w:t>’</w:t>
      </w:r>
      <w:r w:rsidRPr="002D02F3">
        <w:t>élaboration, de planification et de mise en œuvre des activités menées dans le cadre du programme 18 s</w:t>
      </w:r>
      <w:r w:rsidR="00A20444" w:rsidRPr="002D02F3">
        <w:t>’</w:t>
      </w:r>
      <w:r w:rsidRPr="002D02F3">
        <w:t>appuyaient sur les recommandations pertinentes du Plan d</w:t>
      </w:r>
      <w:r w:rsidR="00A20444" w:rsidRPr="002D02F3">
        <w:t>’</w:t>
      </w:r>
      <w:r w:rsidRPr="002D02F3">
        <w:t>action pour le développement.</w:t>
      </w:r>
      <w:r w:rsidR="004F3E42" w:rsidRPr="002D02F3">
        <w:t xml:space="preserve"> </w:t>
      </w:r>
      <w:r w:rsidR="0010442A" w:rsidRPr="002D02F3">
        <w:t xml:space="preserve"> </w:t>
      </w:r>
      <w:r w:rsidRPr="002D02F3">
        <w:t>Le programme a poursuivi sa mise en œuvre du Plan d</w:t>
      </w:r>
      <w:r w:rsidR="00A20444" w:rsidRPr="002D02F3">
        <w:t>’</w:t>
      </w:r>
      <w:r w:rsidRPr="002D02F3">
        <w:t>action pour le développement en participant aux initiatives de cartographies des brevets aux fins des politiques publiques dans les domaines de la sécurité alimentaire, de la santé et du changement climatique dans le contexte du projet “Fournir les moyens d</w:t>
      </w:r>
      <w:r w:rsidR="00A20444" w:rsidRPr="002D02F3">
        <w:t>’</w:t>
      </w:r>
      <w:r w:rsidRPr="002D02F3">
        <w:t>accéder à l</w:t>
      </w:r>
      <w:r w:rsidR="00A20444" w:rsidRPr="002D02F3">
        <w:t>’</w:t>
      </w:r>
      <w:r w:rsidRPr="002D02F3">
        <w:t xml:space="preserve">information en matière de brevets”. </w:t>
      </w:r>
      <w:r w:rsidR="0010442A" w:rsidRPr="002D02F3">
        <w:t xml:space="preserve"> </w:t>
      </w:r>
      <w:r w:rsidRPr="002D02F3">
        <w:t>Les phases I et II de ce projet se sont achevées lors de l</w:t>
      </w:r>
      <w:r w:rsidR="00A20444" w:rsidRPr="002D02F3">
        <w:t>’</w:t>
      </w:r>
      <w:r w:rsidRPr="002D02F3">
        <w:t xml:space="preserve">exercice biennal, en 2012 et en 2013 respectivement, et une évaluation de la phase I a été réalisée en 2012. </w:t>
      </w:r>
      <w:r w:rsidR="0010442A" w:rsidRPr="002D02F3">
        <w:t xml:space="preserve"> </w:t>
      </w:r>
      <w:r w:rsidRPr="002D02F3">
        <w:t xml:space="preserve">En outre, le programme était engagé dans la mise en œuvre du projet sur la propriété intellectuelle et la politique en matière de concurrence. </w:t>
      </w:r>
      <w:r w:rsidR="0010442A" w:rsidRPr="002D02F3">
        <w:t xml:space="preserve"> </w:t>
      </w:r>
      <w:r w:rsidRPr="002D02F3">
        <w:t>Ce projet s</w:t>
      </w:r>
      <w:r w:rsidR="00A20444" w:rsidRPr="002D02F3">
        <w:t>’</w:t>
      </w:r>
      <w:r w:rsidRPr="002D02F3">
        <w:t xml:space="preserve">est achevé en 2012 et a été intégré dans les principaux travaux du programme en 2013. </w:t>
      </w:r>
      <w:r w:rsidR="0010442A" w:rsidRPr="002D02F3">
        <w:t xml:space="preserve"> </w:t>
      </w:r>
      <w:r w:rsidRPr="002D02F3">
        <w:t>Au titre de ce projet, les études ci</w:t>
      </w:r>
      <w:r w:rsidR="002D6F2A" w:rsidRPr="002D02F3">
        <w:noBreakHyphen/>
      </w:r>
      <w:r w:rsidRPr="002D02F3">
        <w:t>après ont été finalisées et débattues</w:t>
      </w:r>
      <w:r w:rsidR="00A20444" w:rsidRPr="002D02F3">
        <w:t xml:space="preserve"> au CDI</w:t>
      </w:r>
      <w:r w:rsidRPr="002D02F3">
        <w:t>P</w:t>
      </w:r>
      <w:r w:rsidR="0010442A" w:rsidRPr="002D02F3">
        <w:t> </w:t>
      </w:r>
      <w:r w:rsidRPr="002D02F3">
        <w:t>: Interaction des institutions chargées de la propriété intellectuelle et des institutions chargées du droit de la concurrence</w:t>
      </w:r>
      <w:r w:rsidR="0010442A" w:rsidRPr="002D02F3">
        <w:t> </w:t>
      </w:r>
      <w:r w:rsidRPr="002D02F3">
        <w:t>: Résumé des réponses des États membres</w:t>
      </w:r>
      <w:r w:rsidR="004F3E42" w:rsidRPr="002D02F3">
        <w:t xml:space="preserve"> </w:t>
      </w:r>
      <w:r w:rsidRPr="002D02F3">
        <w:t>(</w:t>
      </w:r>
      <w:proofErr w:type="spellStart"/>
      <w:r w:rsidRPr="002D02F3">
        <w:t>CDPI</w:t>
      </w:r>
      <w:proofErr w:type="spellEnd"/>
      <w:r w:rsidRPr="002D02F3">
        <w:t>/8/INF/4);</w:t>
      </w:r>
      <w:r w:rsidR="004F3E42" w:rsidRPr="002D02F3">
        <w:t xml:space="preserve"> </w:t>
      </w:r>
      <w:r w:rsidR="0010442A" w:rsidRPr="002D02F3">
        <w:t xml:space="preserve"> </w:t>
      </w:r>
      <w:r w:rsidRPr="002D02F3">
        <w:t>Interface entre l</w:t>
      </w:r>
      <w:r w:rsidR="00A20444" w:rsidRPr="002D02F3">
        <w:t>’</w:t>
      </w:r>
      <w:r w:rsidRPr="002D02F3">
        <w:t xml:space="preserve">épuisement des droits de propriété intellectuelle et le droit de la concurrence </w:t>
      </w:r>
      <w:r w:rsidR="0010442A" w:rsidRPr="002D02F3">
        <w:t>–</w:t>
      </w:r>
      <w:r w:rsidRPr="002D02F3">
        <w:t xml:space="preserve"> Résumé (</w:t>
      </w:r>
      <w:proofErr w:type="spellStart"/>
      <w:r w:rsidRPr="002D02F3">
        <w:t>CDPI</w:t>
      </w:r>
      <w:proofErr w:type="spellEnd"/>
      <w:r w:rsidRPr="002D02F3">
        <w:t>/8/INF/5);</w:t>
      </w:r>
      <w:r w:rsidR="004F3E42" w:rsidRPr="002D02F3">
        <w:t xml:space="preserve"> </w:t>
      </w:r>
      <w:r w:rsidR="0010442A" w:rsidRPr="002D02F3">
        <w:t xml:space="preserve"> </w:t>
      </w:r>
      <w:r w:rsidRPr="002D02F3">
        <w:t xml:space="preserve">Report on an </w:t>
      </w:r>
      <w:proofErr w:type="spellStart"/>
      <w:r w:rsidRPr="002D02F3">
        <w:t>Analysis</w:t>
      </w:r>
      <w:proofErr w:type="spellEnd"/>
      <w:r w:rsidRPr="002D02F3">
        <w:t xml:space="preserve"> of the </w:t>
      </w:r>
      <w:proofErr w:type="spellStart"/>
      <w:r w:rsidRPr="002D02F3">
        <w:t>Economic</w:t>
      </w:r>
      <w:proofErr w:type="spellEnd"/>
      <w:r w:rsidRPr="002D02F3">
        <w:t>/</w:t>
      </w:r>
      <w:proofErr w:type="spellStart"/>
      <w:r w:rsidRPr="002D02F3">
        <w:t>Legal</w:t>
      </w:r>
      <w:proofErr w:type="spellEnd"/>
      <w:r w:rsidRPr="002D02F3">
        <w:t xml:space="preserve"> </w:t>
      </w:r>
      <w:proofErr w:type="spellStart"/>
      <w:r w:rsidRPr="002D02F3">
        <w:t>Literature</w:t>
      </w:r>
      <w:proofErr w:type="spellEnd"/>
      <w:r w:rsidRPr="002D02F3">
        <w:t xml:space="preserve"> on </w:t>
      </w:r>
      <w:proofErr w:type="spellStart"/>
      <w:r w:rsidRPr="002D02F3">
        <w:t>Intellectual</w:t>
      </w:r>
      <w:proofErr w:type="spellEnd"/>
      <w:r w:rsidRPr="002D02F3">
        <w:t xml:space="preserve"> </w:t>
      </w:r>
      <w:proofErr w:type="spellStart"/>
      <w:r w:rsidRPr="002D02F3">
        <w:t>Property</w:t>
      </w:r>
      <w:proofErr w:type="spellEnd"/>
      <w:r w:rsidRPr="002D02F3">
        <w:t xml:space="preserve"> (IP) </w:t>
      </w:r>
      <w:proofErr w:type="spellStart"/>
      <w:r w:rsidRPr="002D02F3">
        <w:t>Rights</w:t>
      </w:r>
      <w:proofErr w:type="spellEnd"/>
      <w:r w:rsidR="0010442A" w:rsidRPr="002D02F3">
        <w:t> </w:t>
      </w:r>
      <w:r w:rsidRPr="002D02F3">
        <w:t xml:space="preserve">: </w:t>
      </w:r>
      <w:proofErr w:type="spellStart"/>
      <w:r w:rsidRPr="002D02F3">
        <w:t>a</w:t>
      </w:r>
      <w:proofErr w:type="spellEnd"/>
      <w:r w:rsidRPr="002D02F3">
        <w:t xml:space="preserve"> </w:t>
      </w:r>
      <w:proofErr w:type="spellStart"/>
      <w:r w:rsidRPr="002D02F3">
        <w:t>Barrier</w:t>
      </w:r>
      <w:proofErr w:type="spellEnd"/>
      <w:r w:rsidRPr="002D02F3">
        <w:t xml:space="preserve"> to Entry? </w:t>
      </w:r>
      <w:r w:rsidR="0010442A" w:rsidRPr="002D02F3">
        <w:t xml:space="preserve"> </w:t>
      </w:r>
      <w:r w:rsidRPr="002D02F3">
        <w:t>(CDIP/8/INF/6</w:t>
      </w:r>
      <w:r w:rsidR="0010442A" w:rsidRPr="002D02F3">
        <w:t> </w:t>
      </w:r>
      <w:r w:rsidRPr="002D02F3">
        <w:t>Corr.);</w:t>
      </w:r>
      <w:r w:rsidR="0010442A" w:rsidRPr="002D02F3">
        <w:t xml:space="preserve"> </w:t>
      </w:r>
      <w:r w:rsidR="004F3E42" w:rsidRPr="002D02F3">
        <w:t xml:space="preserve"> </w:t>
      </w:r>
      <w:r w:rsidRPr="002D02F3">
        <w:t>et Étude sur l</w:t>
      </w:r>
      <w:r w:rsidR="00A20444" w:rsidRPr="002D02F3">
        <w:t>’</w:t>
      </w:r>
      <w:r w:rsidRPr="002D02F3">
        <w:t xml:space="preserve">application </w:t>
      </w:r>
      <w:proofErr w:type="spellStart"/>
      <w:r w:rsidRPr="002D02F3">
        <w:t>anticoncurrentielle</w:t>
      </w:r>
      <w:proofErr w:type="spellEnd"/>
      <w:r w:rsidRPr="002D02F3">
        <w:t xml:space="preserve"> des droits de propriété intellectuelle</w:t>
      </w:r>
      <w:r w:rsidR="0010442A" w:rsidRPr="002D02F3">
        <w:t> </w:t>
      </w:r>
      <w:r w:rsidRPr="002D02F3">
        <w:t>: simulacres de procès (CDIP/9/INF/6).</w:t>
      </w:r>
      <w:r w:rsidR="0010442A" w:rsidRPr="002D02F3">
        <w:t xml:space="preserve"> </w:t>
      </w:r>
      <w:r w:rsidR="004F3E42" w:rsidRPr="002D02F3">
        <w:t xml:space="preserve"> </w:t>
      </w:r>
      <w:r w:rsidRPr="002D02F3">
        <w:t>Le programme a également contribué à la mise en œuvre des projets suivants du Plan d</w:t>
      </w:r>
      <w:r w:rsidR="00A20444" w:rsidRPr="002D02F3">
        <w:t>’</w:t>
      </w:r>
      <w:r w:rsidRPr="002D02F3">
        <w:t>action pour le développement : Propriété intellectuelle et transfert de technologie : élaborer des solutions face aux défis communs;</w:t>
      </w:r>
      <w:r w:rsidR="004F3E42" w:rsidRPr="002D02F3">
        <w:t xml:space="preserve"> </w:t>
      </w:r>
      <w:r w:rsidR="0010442A" w:rsidRPr="002D02F3">
        <w:t xml:space="preserve"> </w:t>
      </w:r>
      <w:r w:rsidRPr="002D02F3">
        <w:t>partenariats ouverts et modèles fondés sur la propriété intellectuelle;</w:t>
      </w:r>
      <w:r w:rsidR="0010442A" w:rsidRPr="002D02F3">
        <w:t xml:space="preserve"> </w:t>
      </w:r>
      <w:r w:rsidR="004F3E42" w:rsidRPr="002D02F3">
        <w:t xml:space="preserve"> </w:t>
      </w:r>
      <w:r w:rsidRPr="002D02F3">
        <w:t>et propriété intellectuelle et fuite des cerveaux.</w:t>
      </w:r>
    </w:p>
    <w:p w:rsidR="00D42474" w:rsidRDefault="006D796D" w:rsidP="001A5BF9">
      <w:pPr>
        <w:rPr>
          <w:rFonts w:eastAsia="MS Mincho" w:cs="Arial"/>
          <w:szCs w:val="22"/>
          <w:lang w:bidi="th-TH"/>
        </w:rPr>
      </w:pPr>
      <w:r w:rsidRPr="002D02F3">
        <w:rPr>
          <w:rFonts w:eastAsia="MS Mincho" w:cs="Arial"/>
          <w:szCs w:val="22"/>
          <w:lang w:bidi="th-TH"/>
        </w:rPr>
        <w:br w:type="page"/>
      </w:r>
    </w:p>
    <w:p w:rsidR="00D42474" w:rsidRDefault="00784E52" w:rsidP="001A5BF9">
      <w:pPr>
        <w:rPr>
          <w:rFonts w:cs="Arial"/>
          <w:szCs w:val="22"/>
        </w:rPr>
      </w:pPr>
      <w:r w:rsidRPr="002D02F3">
        <w:rPr>
          <w:sz w:val="22"/>
        </w:rPr>
        <w:t>DONNÉES RELATIVES À L</w:t>
      </w:r>
      <w:r w:rsidR="00A20444" w:rsidRPr="002D02F3">
        <w:rPr>
          <w:sz w:val="22"/>
        </w:rPr>
        <w:t>’</w:t>
      </w:r>
      <w:r w:rsidRPr="002D02F3">
        <w:rPr>
          <w:sz w:val="22"/>
        </w:rPr>
        <w:t>EXÉCUTION</w:t>
      </w:r>
    </w:p>
    <w:p w:rsidR="00784E52" w:rsidRPr="002D02F3" w:rsidRDefault="00784E52" w:rsidP="001A5BF9">
      <w:pPr>
        <w:rPr>
          <w:rFonts w:cs="Arial"/>
          <w:b/>
          <w:szCs w:val="22"/>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44"/>
        <w:gridCol w:w="1844"/>
        <w:gridCol w:w="1356"/>
        <w:gridCol w:w="265"/>
        <w:gridCol w:w="2867"/>
        <w:gridCol w:w="1181"/>
      </w:tblGrid>
      <w:tr w:rsidR="00784E52" w:rsidRPr="002D02F3" w:rsidTr="00BB3F3E">
        <w:trPr>
          <w:cantSplit/>
        </w:trPr>
        <w:tc>
          <w:tcPr>
            <w:tcW w:w="5000" w:type="pct"/>
            <w:gridSpan w:val="6"/>
            <w:tcBorders>
              <w:top w:val="single" w:sz="4" w:space="0" w:color="auto"/>
              <w:bottom w:val="single" w:sz="4" w:space="0" w:color="auto"/>
            </w:tcBorders>
            <w:shd w:val="clear" w:color="auto" w:fill="CCFFFF"/>
            <w:vAlign w:val="center"/>
          </w:tcPr>
          <w:p w:rsidR="00784E52" w:rsidRPr="002D02F3" w:rsidRDefault="00784E52" w:rsidP="001A5BF9">
            <w:pPr>
              <w:keepNext/>
              <w:keepLines/>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Meilleure compréhension par les décideurs du rapport entre les défis mondiaux, l</w:t>
            </w:r>
            <w:r w:rsidR="00A20444" w:rsidRPr="002D02F3">
              <w:rPr>
                <w:sz w:val="16"/>
              </w:rPr>
              <w:t>’</w:t>
            </w:r>
            <w:r w:rsidRPr="002D02F3">
              <w:rPr>
                <w:sz w:val="16"/>
              </w:rPr>
              <w:t>innovation et la propriété intellectuelle afin d</w:t>
            </w:r>
            <w:r w:rsidR="00A20444" w:rsidRPr="002D02F3">
              <w:rPr>
                <w:sz w:val="16"/>
              </w:rPr>
              <w:t>’</w:t>
            </w:r>
            <w:r w:rsidRPr="002D02F3">
              <w:rPr>
                <w:sz w:val="16"/>
              </w:rPr>
              <w:t>améliorer la prise de décisions de politique générale</w:t>
            </w:r>
          </w:p>
        </w:tc>
      </w:tr>
      <w:tr w:rsidR="00784E52" w:rsidRPr="002D02F3" w:rsidTr="00BB3F3E">
        <w:trPr>
          <w:cantSplit/>
        </w:trPr>
        <w:tc>
          <w:tcPr>
            <w:tcW w:w="861" w:type="pct"/>
            <w:tcBorders>
              <w:top w:val="single" w:sz="4" w:space="0" w:color="auto"/>
            </w:tcBorders>
            <w:shd w:val="clear" w:color="auto" w:fill="auto"/>
            <w:vAlign w:val="center"/>
          </w:tcPr>
          <w:p w:rsidR="00784E52" w:rsidRPr="002D02F3" w:rsidRDefault="00784E52" w:rsidP="00866763">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06" w:type="pct"/>
            <w:tcBorders>
              <w:top w:val="single" w:sz="4" w:space="0" w:color="auto"/>
            </w:tcBorders>
            <w:shd w:val="clear" w:color="auto" w:fill="auto"/>
            <w:vAlign w:val="center"/>
          </w:tcPr>
          <w:p w:rsidR="00784E52" w:rsidRPr="002D02F3" w:rsidRDefault="00784E52" w:rsidP="00866763">
            <w:pPr>
              <w:rPr>
                <w:rFonts w:cs="Arial"/>
                <w:b/>
                <w:bCs/>
                <w:sz w:val="16"/>
                <w:szCs w:val="16"/>
              </w:rPr>
            </w:pPr>
            <w:r w:rsidRPr="002D02F3">
              <w:rPr>
                <w:b/>
                <w:sz w:val="16"/>
              </w:rPr>
              <w:t>Niveaux de référence</w:t>
            </w:r>
          </w:p>
        </w:tc>
        <w:tc>
          <w:tcPr>
            <w:tcW w:w="733" w:type="pct"/>
            <w:tcBorders>
              <w:top w:val="single" w:sz="4" w:space="0" w:color="auto"/>
            </w:tcBorders>
            <w:shd w:val="clear" w:color="auto" w:fill="auto"/>
            <w:tcMar>
              <w:top w:w="110" w:type="dxa"/>
            </w:tcMar>
            <w:vAlign w:val="center"/>
          </w:tcPr>
          <w:p w:rsidR="00784E52" w:rsidRPr="002D02F3" w:rsidRDefault="00784E52" w:rsidP="00866763">
            <w:pPr>
              <w:rPr>
                <w:rFonts w:cs="Arial"/>
                <w:b/>
                <w:sz w:val="16"/>
                <w:szCs w:val="16"/>
              </w:rPr>
            </w:pPr>
            <w:r w:rsidRPr="002D02F3">
              <w:rPr>
                <w:b/>
                <w:sz w:val="16"/>
              </w:rPr>
              <w:t>Objectifs visés</w:t>
            </w:r>
          </w:p>
        </w:tc>
        <w:tc>
          <w:tcPr>
            <w:tcW w:w="1818" w:type="pct"/>
            <w:gridSpan w:val="2"/>
            <w:tcBorders>
              <w:top w:val="single" w:sz="4" w:space="0" w:color="auto"/>
            </w:tcBorders>
            <w:shd w:val="clear" w:color="auto" w:fill="FFFFFF"/>
            <w:tcMar>
              <w:top w:w="110" w:type="dxa"/>
            </w:tcMar>
            <w:vAlign w:val="center"/>
          </w:tcPr>
          <w:p w:rsidR="00784E52" w:rsidRPr="002D02F3" w:rsidRDefault="00784E52" w:rsidP="00866763">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784E52" w:rsidRPr="002D02F3" w:rsidRDefault="00784E52" w:rsidP="001A5BF9">
            <w:pPr>
              <w:keepNext/>
              <w:keepLines/>
              <w:jc w:val="center"/>
              <w:rPr>
                <w:rFonts w:cs="Arial"/>
                <w:b/>
                <w:bCs/>
                <w:sz w:val="16"/>
                <w:szCs w:val="16"/>
              </w:rPr>
            </w:pPr>
            <w:r w:rsidRPr="002D02F3">
              <w:rPr>
                <w:b/>
                <w:sz w:val="16"/>
              </w:rPr>
              <w:t>Code de couleurs</w:t>
            </w:r>
          </w:p>
        </w:tc>
      </w:tr>
      <w:tr w:rsidR="00784E52" w:rsidRPr="005C7CCE" w:rsidTr="00BB3F3E">
        <w:trPr>
          <w:cantSplit/>
        </w:trPr>
        <w:tc>
          <w:tcPr>
            <w:tcW w:w="861" w:type="pct"/>
            <w:shd w:val="clear" w:color="auto" w:fill="auto"/>
          </w:tcPr>
          <w:p w:rsidR="00784E52" w:rsidRPr="00866763" w:rsidRDefault="00784E52" w:rsidP="001A5BF9">
            <w:pPr>
              <w:rPr>
                <w:rFonts w:cs="Arial"/>
                <w:sz w:val="16"/>
                <w:szCs w:val="16"/>
              </w:rPr>
            </w:pPr>
            <w:r w:rsidRPr="00866763">
              <w:rPr>
                <w:sz w:val="16"/>
              </w:rPr>
              <w:t>Mention des activités de l</w:t>
            </w:r>
            <w:r w:rsidR="00A20444" w:rsidRPr="00866763">
              <w:rPr>
                <w:sz w:val="16"/>
              </w:rPr>
              <w:t>’</w:t>
            </w:r>
            <w:r w:rsidRPr="00866763">
              <w:rPr>
                <w:sz w:val="16"/>
              </w:rPr>
              <w:t>OMPI dans le domaine des défis mondiaux dans les autres instances d</w:t>
            </w:r>
            <w:r w:rsidR="00A20444" w:rsidRPr="00866763">
              <w:rPr>
                <w:sz w:val="16"/>
              </w:rPr>
              <w:t>’</w:t>
            </w:r>
            <w:r w:rsidRPr="00866763">
              <w:rPr>
                <w:sz w:val="16"/>
              </w:rPr>
              <w:t>élaboration de politiques</w:t>
            </w:r>
          </w:p>
        </w:tc>
        <w:tc>
          <w:tcPr>
            <w:tcW w:w="906" w:type="pct"/>
            <w:shd w:val="clear" w:color="auto" w:fill="auto"/>
          </w:tcPr>
          <w:p w:rsidR="00D42474" w:rsidRDefault="00784E52" w:rsidP="001A5BF9">
            <w:pPr>
              <w:rPr>
                <w:rFonts w:cs="Arial"/>
                <w:bCs/>
                <w:color w:val="002060"/>
                <w:sz w:val="16"/>
                <w:szCs w:val="16"/>
              </w:rPr>
            </w:pPr>
            <w:r w:rsidRPr="005C7CCE">
              <w:rPr>
                <w:i/>
                <w:color w:val="002060"/>
                <w:sz w:val="16"/>
              </w:rPr>
              <w:t xml:space="preserve">Niveau de référence actualisé fin 2011 : </w:t>
            </w:r>
            <w:r w:rsidR="00866763">
              <w:rPr>
                <w:color w:val="002060"/>
                <w:sz w:val="16"/>
              </w:rPr>
              <w:t>r</w:t>
            </w:r>
            <w:r w:rsidRPr="005C7CCE">
              <w:rPr>
                <w:color w:val="002060"/>
                <w:sz w:val="16"/>
              </w:rPr>
              <w:t>éférences faites par des États membres à des réunions de l</w:t>
            </w:r>
            <w:r w:rsidR="00A20444" w:rsidRPr="005C7CCE">
              <w:rPr>
                <w:color w:val="002060"/>
                <w:sz w:val="16"/>
              </w:rPr>
              <w:t>’</w:t>
            </w:r>
            <w:r w:rsidR="00866763">
              <w:rPr>
                <w:color w:val="002060"/>
                <w:sz w:val="16"/>
              </w:rPr>
              <w:t>OMPI (comme les a</w:t>
            </w:r>
            <w:r w:rsidRPr="005C7CCE">
              <w:rPr>
                <w:color w:val="002060"/>
                <w:sz w:val="16"/>
              </w:rPr>
              <w:t>ssemblées générales,</w:t>
            </w:r>
            <w:r w:rsidR="00A20444" w:rsidRPr="005C7CCE">
              <w:rPr>
                <w:color w:val="002060"/>
                <w:sz w:val="16"/>
              </w:rPr>
              <w:t xml:space="preserve"> le CDI</w:t>
            </w:r>
            <w:r w:rsidRPr="005C7CCE">
              <w:rPr>
                <w:color w:val="002060"/>
                <w:sz w:val="16"/>
              </w:rPr>
              <w:t>P ou</w:t>
            </w:r>
            <w:r w:rsidR="00A20444" w:rsidRPr="005C7CCE">
              <w:rPr>
                <w:color w:val="002060"/>
                <w:sz w:val="16"/>
              </w:rPr>
              <w:t xml:space="preserve"> le SCP</w:t>
            </w:r>
            <w:r w:rsidRPr="005C7CCE">
              <w:rPr>
                <w:color w:val="002060"/>
                <w:sz w:val="16"/>
              </w:rPr>
              <w:t>), au Conseil exécutif de l</w:t>
            </w:r>
            <w:r w:rsidR="00A20444" w:rsidRPr="005C7CCE">
              <w:rPr>
                <w:color w:val="002060"/>
                <w:sz w:val="16"/>
              </w:rPr>
              <w:t>’</w:t>
            </w:r>
            <w:r w:rsidRPr="005C7CCE">
              <w:rPr>
                <w:color w:val="002060"/>
                <w:sz w:val="16"/>
              </w:rPr>
              <w:t>OMS, à l</w:t>
            </w:r>
            <w:r w:rsidR="00A20444" w:rsidRPr="005C7CCE">
              <w:rPr>
                <w:color w:val="002060"/>
                <w:sz w:val="16"/>
              </w:rPr>
              <w:t>’</w:t>
            </w:r>
            <w:r w:rsidRPr="005C7CCE">
              <w:rPr>
                <w:color w:val="002060"/>
                <w:sz w:val="16"/>
              </w:rPr>
              <w:t>Assemblée mondiale de la santé et au Conseil</w:t>
            </w:r>
            <w:r w:rsidR="00A20444" w:rsidRPr="005C7CCE">
              <w:rPr>
                <w:color w:val="002060"/>
                <w:sz w:val="16"/>
              </w:rPr>
              <w:t xml:space="preserve"> des ADP</w:t>
            </w:r>
            <w:r w:rsidRPr="005C7CCE">
              <w:rPr>
                <w:color w:val="002060"/>
                <w:sz w:val="16"/>
              </w:rPr>
              <w:t>IC de l</w:t>
            </w:r>
            <w:r w:rsidR="00A20444" w:rsidRPr="005C7CCE">
              <w:rPr>
                <w:color w:val="002060"/>
                <w:sz w:val="16"/>
              </w:rPr>
              <w:t>’</w:t>
            </w:r>
            <w:r w:rsidRPr="005C7CCE">
              <w:rPr>
                <w:color w:val="002060"/>
                <w:sz w:val="16"/>
              </w:rPr>
              <w:t>OMC</w:t>
            </w:r>
          </w:p>
          <w:p w:rsidR="00D42474" w:rsidRDefault="00D42474" w:rsidP="001A5BF9">
            <w:pPr>
              <w:rPr>
                <w:rFonts w:cs="Arial"/>
                <w:i/>
                <w:sz w:val="8"/>
                <w:szCs w:val="8"/>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866763">
              <w:rPr>
                <w:sz w:val="16"/>
              </w:rPr>
              <w:t>à</w:t>
            </w:r>
            <w:r w:rsidRPr="005C7CCE">
              <w:rPr>
                <w:sz w:val="16"/>
              </w:rPr>
              <w:t> déterminer</w:t>
            </w:r>
          </w:p>
        </w:tc>
        <w:tc>
          <w:tcPr>
            <w:tcW w:w="733" w:type="pct"/>
            <w:shd w:val="clear" w:color="auto" w:fill="auto"/>
            <w:tcMar>
              <w:top w:w="110" w:type="dxa"/>
            </w:tcMar>
          </w:tcPr>
          <w:p w:rsidR="00784E52" w:rsidRPr="00866763" w:rsidRDefault="00784E52" w:rsidP="001A5BF9">
            <w:pPr>
              <w:autoSpaceDE w:val="0"/>
              <w:autoSpaceDN w:val="0"/>
              <w:adjustRightInd w:val="0"/>
              <w:rPr>
                <w:rFonts w:cs="Arial"/>
                <w:sz w:val="16"/>
                <w:szCs w:val="16"/>
              </w:rPr>
            </w:pPr>
            <w:r w:rsidRPr="00866763">
              <w:rPr>
                <w:sz w:val="16"/>
              </w:rPr>
              <w:t>Références dans tous les processus</w:t>
            </w:r>
          </w:p>
        </w:tc>
        <w:tc>
          <w:tcPr>
            <w:tcW w:w="1818" w:type="pct"/>
            <w:gridSpan w:val="2"/>
            <w:shd w:val="clear" w:color="auto" w:fill="FFFFFF"/>
            <w:tcMar>
              <w:top w:w="110" w:type="dxa"/>
            </w:tcMar>
          </w:tcPr>
          <w:p w:rsidR="00784E52" w:rsidRPr="00866763" w:rsidRDefault="00784E52" w:rsidP="001A5BF9">
            <w:pPr>
              <w:rPr>
                <w:rFonts w:cs="Arial"/>
                <w:sz w:val="16"/>
                <w:szCs w:val="16"/>
                <w:lang w:bidi="th-TH"/>
              </w:rPr>
            </w:pPr>
            <w:r w:rsidRPr="00866763">
              <w:rPr>
                <w:sz w:val="16"/>
              </w:rPr>
              <w:t>Des délégués à d</w:t>
            </w:r>
            <w:r w:rsidR="00A20444" w:rsidRPr="00866763">
              <w:rPr>
                <w:sz w:val="16"/>
              </w:rPr>
              <w:t>’</w:t>
            </w:r>
            <w:r w:rsidRPr="00866763">
              <w:rPr>
                <w:sz w:val="16"/>
              </w:rPr>
              <w:t>importants forums de politique comme</w:t>
            </w:r>
            <w:r w:rsidR="00A20444" w:rsidRPr="00866763">
              <w:rPr>
                <w:sz w:val="16"/>
              </w:rPr>
              <w:t xml:space="preserve"> le SCP</w:t>
            </w:r>
            <w:r w:rsidRPr="00866763">
              <w:rPr>
                <w:sz w:val="16"/>
              </w:rPr>
              <w:t>,</w:t>
            </w:r>
            <w:r w:rsidR="00A20444" w:rsidRPr="00866763">
              <w:rPr>
                <w:sz w:val="16"/>
              </w:rPr>
              <w:t xml:space="preserve"> le CDI</w:t>
            </w:r>
            <w:r w:rsidRPr="00866763">
              <w:rPr>
                <w:sz w:val="16"/>
              </w:rPr>
              <w:t>P,</w:t>
            </w:r>
            <w:r w:rsidR="00A20444" w:rsidRPr="00866763">
              <w:rPr>
                <w:sz w:val="16"/>
              </w:rPr>
              <w:t xml:space="preserve"> le </w:t>
            </w:r>
            <w:proofErr w:type="spellStart"/>
            <w:r w:rsidR="00A20444" w:rsidRPr="00866763">
              <w:rPr>
                <w:sz w:val="16"/>
              </w:rPr>
              <w:t>HLC</w:t>
            </w:r>
            <w:r w:rsidRPr="00866763">
              <w:rPr>
                <w:sz w:val="16"/>
              </w:rPr>
              <w:t>P</w:t>
            </w:r>
            <w:proofErr w:type="spellEnd"/>
            <w:r w:rsidRPr="00866763">
              <w:rPr>
                <w:sz w:val="16"/>
              </w:rPr>
              <w:t>,</w:t>
            </w:r>
            <w:r w:rsidR="00A20444" w:rsidRPr="00866763">
              <w:rPr>
                <w:sz w:val="16"/>
              </w:rPr>
              <w:t xml:space="preserve"> le </w:t>
            </w:r>
            <w:proofErr w:type="spellStart"/>
            <w:r w:rsidR="00A20444" w:rsidRPr="00866763">
              <w:rPr>
                <w:sz w:val="16"/>
              </w:rPr>
              <w:t>CCN</w:t>
            </w:r>
            <w:r w:rsidRPr="00866763">
              <w:rPr>
                <w:sz w:val="16"/>
              </w:rPr>
              <w:t>UCC</w:t>
            </w:r>
            <w:proofErr w:type="spellEnd"/>
            <w:r w:rsidRPr="00866763">
              <w:rPr>
                <w:sz w:val="16"/>
              </w:rPr>
              <w:t>,</w:t>
            </w:r>
            <w:r w:rsidR="00A20444" w:rsidRPr="00866763">
              <w:rPr>
                <w:sz w:val="16"/>
              </w:rPr>
              <w:t xml:space="preserve"> le TEC</w:t>
            </w:r>
            <w:r w:rsidRPr="00866763">
              <w:rPr>
                <w:sz w:val="16"/>
              </w:rPr>
              <w:t xml:space="preserve"> et les Assemblées générales de l</w:t>
            </w:r>
            <w:r w:rsidR="00A20444" w:rsidRPr="00866763">
              <w:rPr>
                <w:sz w:val="16"/>
              </w:rPr>
              <w:t>’</w:t>
            </w:r>
            <w:r w:rsidRPr="00866763">
              <w:rPr>
                <w:sz w:val="16"/>
              </w:rPr>
              <w:t>OMPI ainsi que le Conseil exécutif de l</w:t>
            </w:r>
            <w:r w:rsidR="00A20444" w:rsidRPr="00866763">
              <w:rPr>
                <w:sz w:val="16"/>
              </w:rPr>
              <w:t>’</w:t>
            </w:r>
            <w:r w:rsidRPr="00866763">
              <w:rPr>
                <w:sz w:val="16"/>
              </w:rPr>
              <w:t>OMS, à l</w:t>
            </w:r>
            <w:r w:rsidR="00A20444" w:rsidRPr="00866763">
              <w:rPr>
                <w:sz w:val="16"/>
              </w:rPr>
              <w:t>’</w:t>
            </w:r>
            <w:r w:rsidRPr="00866763">
              <w:rPr>
                <w:sz w:val="16"/>
              </w:rPr>
              <w:t>Assemblée mondiale de la santé et au Conseil</w:t>
            </w:r>
            <w:r w:rsidR="00A20444" w:rsidRPr="00866763">
              <w:rPr>
                <w:sz w:val="16"/>
              </w:rPr>
              <w:t xml:space="preserve"> des ADP</w:t>
            </w:r>
            <w:r w:rsidRPr="00866763">
              <w:rPr>
                <w:sz w:val="16"/>
              </w:rPr>
              <w:t>IC de l</w:t>
            </w:r>
            <w:r w:rsidR="00A20444" w:rsidRPr="00866763">
              <w:rPr>
                <w:sz w:val="16"/>
              </w:rPr>
              <w:t>’</w:t>
            </w:r>
            <w:r w:rsidRPr="00866763">
              <w:rPr>
                <w:sz w:val="16"/>
              </w:rPr>
              <w:t>OMC ont fait part de leur soutien continu pour les travaux de l</w:t>
            </w:r>
            <w:r w:rsidR="00A20444" w:rsidRPr="00866763">
              <w:rPr>
                <w:sz w:val="16"/>
              </w:rPr>
              <w:t>’</w:t>
            </w:r>
            <w:r w:rsidRPr="00866763">
              <w:rPr>
                <w:sz w:val="16"/>
              </w:rPr>
              <w:t xml:space="preserve">OMPI sur la propriété intellectuelle et les enjeux mondiaux. </w:t>
            </w:r>
            <w:r w:rsidR="0010442A" w:rsidRPr="00866763">
              <w:rPr>
                <w:sz w:val="16"/>
              </w:rPr>
              <w:t xml:space="preserve"> </w:t>
            </w:r>
            <w:r w:rsidRPr="00866763">
              <w:rPr>
                <w:sz w:val="16"/>
              </w:rPr>
              <w:t>L</w:t>
            </w:r>
            <w:r w:rsidR="00A20444" w:rsidRPr="00866763">
              <w:rPr>
                <w:sz w:val="16"/>
              </w:rPr>
              <w:t>’</w:t>
            </w:r>
            <w:r w:rsidRPr="00866763">
              <w:rPr>
                <w:sz w:val="16"/>
              </w:rPr>
              <w:t xml:space="preserve">OMPI fait partie du groupe de travail sur le changement climatique du Comité de haut niveau du système des </w:t>
            </w:r>
            <w:r w:rsidR="00A20444" w:rsidRPr="00866763">
              <w:rPr>
                <w:sz w:val="16"/>
              </w:rPr>
              <w:t>Nations Unies</w:t>
            </w:r>
            <w:r w:rsidRPr="00866763">
              <w:rPr>
                <w:sz w:val="16"/>
              </w:rPr>
              <w:t xml:space="preserve"> chargé des programmes (</w:t>
            </w:r>
            <w:proofErr w:type="spellStart"/>
            <w:r w:rsidRPr="00866763">
              <w:rPr>
                <w:sz w:val="16"/>
              </w:rPr>
              <w:t>HLCP</w:t>
            </w:r>
            <w:proofErr w:type="spellEnd"/>
            <w:r w:rsidRPr="00866763">
              <w:rPr>
                <w:sz w:val="16"/>
              </w:rPr>
              <w:t>), dont WIPO GREEN est la clé de voûte.</w:t>
            </w:r>
          </w:p>
        </w:tc>
        <w:tc>
          <w:tcPr>
            <w:tcW w:w="682"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784E52" w:rsidRPr="005C7CCE" w:rsidTr="00BB3F3E">
        <w:trPr>
          <w:cantSplit/>
        </w:trPr>
        <w:tc>
          <w:tcPr>
            <w:tcW w:w="861" w:type="pct"/>
            <w:shd w:val="clear" w:color="auto" w:fill="auto"/>
          </w:tcPr>
          <w:p w:rsidR="00784E52" w:rsidRPr="00866763" w:rsidRDefault="00784E52" w:rsidP="001A5BF9">
            <w:pPr>
              <w:rPr>
                <w:rFonts w:cs="Arial"/>
                <w:sz w:val="16"/>
                <w:szCs w:val="16"/>
              </w:rPr>
            </w:pPr>
            <w:r w:rsidRPr="00866763">
              <w:rPr>
                <w:sz w:val="16"/>
              </w:rPr>
              <w:t>Utilisation accrue de documents à partir de la page du site</w:t>
            </w:r>
            <w:r w:rsidR="0010442A" w:rsidRPr="00866763">
              <w:rPr>
                <w:sz w:val="16"/>
              </w:rPr>
              <w:t> </w:t>
            </w:r>
            <w:r w:rsidRPr="00866763">
              <w:rPr>
                <w:sz w:val="16"/>
              </w:rPr>
              <w:t>Web consacrée aux enjeux mondiaux</w:t>
            </w:r>
          </w:p>
        </w:tc>
        <w:tc>
          <w:tcPr>
            <w:tcW w:w="906" w:type="pct"/>
            <w:shd w:val="clear" w:color="auto" w:fill="auto"/>
          </w:tcPr>
          <w:p w:rsidR="00784E52" w:rsidRPr="005C7CCE" w:rsidRDefault="00784E52" w:rsidP="001A5BF9">
            <w:pPr>
              <w:rPr>
                <w:rFonts w:cs="Arial"/>
                <w:sz w:val="16"/>
                <w:szCs w:val="16"/>
              </w:rPr>
            </w:pPr>
            <w:r w:rsidRPr="00866763">
              <w:rPr>
                <w:sz w:val="16"/>
              </w:rPr>
              <w:t>Nombre de téléchargements (0 car le site</w:t>
            </w:r>
            <w:r w:rsidR="0010442A" w:rsidRPr="00866763">
              <w:rPr>
                <w:sz w:val="16"/>
              </w:rPr>
              <w:t> </w:t>
            </w:r>
            <w:r w:rsidRPr="00866763">
              <w:rPr>
                <w:sz w:val="16"/>
              </w:rPr>
              <w:t>Web a été lancé au début de</w:t>
            </w:r>
            <w:r w:rsidR="0010442A" w:rsidRPr="00866763">
              <w:rPr>
                <w:sz w:val="16"/>
              </w:rPr>
              <w:t> </w:t>
            </w:r>
            <w:r w:rsidRPr="00866763">
              <w:rPr>
                <w:sz w:val="16"/>
              </w:rPr>
              <w:t>2012)</w:t>
            </w:r>
          </w:p>
        </w:tc>
        <w:tc>
          <w:tcPr>
            <w:tcW w:w="733" w:type="pct"/>
            <w:shd w:val="clear" w:color="auto" w:fill="auto"/>
            <w:tcMar>
              <w:top w:w="110" w:type="dxa"/>
            </w:tcMar>
          </w:tcPr>
          <w:p w:rsidR="00784E52" w:rsidRPr="00866763" w:rsidRDefault="00784E52" w:rsidP="001A5BF9">
            <w:pPr>
              <w:rPr>
                <w:rFonts w:cs="Arial"/>
                <w:i/>
                <w:sz w:val="16"/>
                <w:szCs w:val="16"/>
              </w:rPr>
            </w:pPr>
            <w:r w:rsidRPr="00866763">
              <w:rPr>
                <w:sz w:val="16"/>
              </w:rPr>
              <w:t>Augmentation de 50</w:t>
            </w:r>
            <w:r w:rsidR="007E442D" w:rsidRPr="00866763">
              <w:rPr>
                <w:sz w:val="16"/>
              </w:rPr>
              <w:t>%</w:t>
            </w:r>
            <w:r w:rsidRPr="00866763">
              <w:rPr>
                <w:sz w:val="16"/>
              </w:rPr>
              <w:t xml:space="preserve"> </w:t>
            </w:r>
          </w:p>
        </w:tc>
        <w:tc>
          <w:tcPr>
            <w:tcW w:w="1818" w:type="pct"/>
            <w:gridSpan w:val="2"/>
            <w:shd w:val="clear" w:color="auto" w:fill="FFFFFF"/>
            <w:tcMar>
              <w:top w:w="110" w:type="dxa"/>
            </w:tcMar>
          </w:tcPr>
          <w:p w:rsidR="00D42474" w:rsidRDefault="00784E52" w:rsidP="001A5BF9">
            <w:pPr>
              <w:rPr>
                <w:rFonts w:cs="Arial"/>
                <w:sz w:val="16"/>
                <w:szCs w:val="16"/>
                <w:lang w:bidi="th-TH"/>
              </w:rPr>
            </w:pPr>
            <w:r w:rsidRPr="00866763">
              <w:rPr>
                <w:sz w:val="16"/>
              </w:rPr>
              <w:t>6 476 pages consultées (</w:t>
            </w:r>
            <w:proofErr w:type="spellStart"/>
            <w:r w:rsidRPr="00866763">
              <w:rPr>
                <w:sz w:val="16"/>
              </w:rPr>
              <w:t>GCD</w:t>
            </w:r>
            <w:proofErr w:type="spellEnd"/>
            <w:r w:rsidRPr="00866763">
              <w:rPr>
                <w:sz w:val="16"/>
              </w:rPr>
              <w:t>)</w:t>
            </w:r>
          </w:p>
          <w:p w:rsidR="00D42474" w:rsidRDefault="00784E52" w:rsidP="001A5BF9">
            <w:pPr>
              <w:rPr>
                <w:rFonts w:cs="Arial"/>
                <w:sz w:val="16"/>
                <w:szCs w:val="16"/>
                <w:lang w:bidi="th-TH"/>
              </w:rPr>
            </w:pPr>
            <w:r w:rsidRPr="00866763">
              <w:rPr>
                <w:sz w:val="16"/>
              </w:rPr>
              <w:t xml:space="preserve">3 773 téléchargements de fichiers </w:t>
            </w:r>
            <w:proofErr w:type="spellStart"/>
            <w:r w:rsidRPr="00866763">
              <w:rPr>
                <w:sz w:val="16"/>
              </w:rPr>
              <w:t>pdf</w:t>
            </w:r>
            <w:proofErr w:type="spellEnd"/>
          </w:p>
          <w:p w:rsidR="00D42474" w:rsidRDefault="00784E52" w:rsidP="001A5BF9">
            <w:pPr>
              <w:rPr>
                <w:rFonts w:cs="Arial"/>
                <w:sz w:val="16"/>
                <w:szCs w:val="16"/>
                <w:lang w:bidi="th-TH"/>
              </w:rPr>
            </w:pPr>
            <w:r w:rsidRPr="00866763">
              <w:rPr>
                <w:sz w:val="16"/>
              </w:rPr>
              <w:t>73 648 pages de WIPO GREEN consultées</w:t>
            </w:r>
          </w:p>
          <w:p w:rsidR="00784E52" w:rsidRPr="00866763" w:rsidRDefault="00784E52" w:rsidP="001A5BF9">
            <w:pPr>
              <w:rPr>
                <w:rFonts w:cs="Arial"/>
                <w:sz w:val="16"/>
                <w:szCs w:val="16"/>
                <w:lang w:bidi="th-TH"/>
              </w:rPr>
            </w:pPr>
            <w:r w:rsidRPr="00866763">
              <w:rPr>
                <w:sz w:val="16"/>
              </w:rPr>
              <w:t>60 712 pages de WIPO </w:t>
            </w:r>
            <w:proofErr w:type="spellStart"/>
            <w:r w:rsidRPr="00866763">
              <w:rPr>
                <w:sz w:val="16"/>
              </w:rPr>
              <w:t>Re:Search</w:t>
            </w:r>
            <w:proofErr w:type="spellEnd"/>
            <w:r w:rsidRPr="00866763">
              <w:rPr>
                <w:sz w:val="16"/>
              </w:rPr>
              <w:t xml:space="preserve"> consultées</w:t>
            </w:r>
          </w:p>
        </w:tc>
        <w:tc>
          <w:tcPr>
            <w:tcW w:w="682"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784E52" w:rsidRPr="005C7CCE" w:rsidTr="00BB3F3E">
        <w:trPr>
          <w:cantSplit/>
        </w:trPr>
        <w:tc>
          <w:tcPr>
            <w:tcW w:w="861" w:type="pct"/>
            <w:tcBorders>
              <w:bottom w:val="single" w:sz="4" w:space="0" w:color="auto"/>
            </w:tcBorders>
            <w:shd w:val="clear" w:color="auto" w:fill="auto"/>
          </w:tcPr>
          <w:p w:rsidR="00784E52" w:rsidRPr="00866763" w:rsidRDefault="00784E52" w:rsidP="001A5BF9">
            <w:pPr>
              <w:rPr>
                <w:rFonts w:cs="Arial"/>
                <w:sz w:val="16"/>
                <w:szCs w:val="16"/>
              </w:rPr>
            </w:pPr>
            <w:r w:rsidRPr="00866763">
              <w:rPr>
                <w:sz w:val="16"/>
              </w:rPr>
              <w:t>Retours d</w:t>
            </w:r>
            <w:r w:rsidR="00A20444" w:rsidRPr="00866763">
              <w:rPr>
                <w:sz w:val="16"/>
              </w:rPr>
              <w:t>’</w:t>
            </w:r>
            <w:r w:rsidRPr="00866763">
              <w:rPr>
                <w:sz w:val="16"/>
              </w:rPr>
              <w:t>information des participants des instances d</w:t>
            </w:r>
            <w:r w:rsidR="00A20444" w:rsidRPr="00866763">
              <w:rPr>
                <w:sz w:val="16"/>
              </w:rPr>
              <w:t>’</w:t>
            </w:r>
            <w:r w:rsidRPr="00866763">
              <w:rPr>
                <w:sz w:val="16"/>
              </w:rPr>
              <w:t>examen des questions de politique générale</w:t>
            </w:r>
          </w:p>
        </w:tc>
        <w:tc>
          <w:tcPr>
            <w:tcW w:w="906" w:type="pct"/>
            <w:tcBorders>
              <w:bottom w:val="single" w:sz="4" w:space="0" w:color="auto"/>
            </w:tcBorders>
            <w:shd w:val="clear" w:color="auto" w:fill="auto"/>
          </w:tcPr>
          <w:p w:rsidR="00784E52" w:rsidRPr="005C7CCE" w:rsidRDefault="00784E52" w:rsidP="001A5BF9">
            <w:pPr>
              <w:rPr>
                <w:rFonts w:cs="Arial"/>
                <w:sz w:val="16"/>
                <w:szCs w:val="16"/>
              </w:rPr>
            </w:pPr>
            <w:r w:rsidRPr="005C7CCE">
              <w:rPr>
                <w:sz w:val="16"/>
              </w:rPr>
              <w:t>Retours d</w:t>
            </w:r>
            <w:r w:rsidR="00A20444" w:rsidRPr="005C7CCE">
              <w:rPr>
                <w:sz w:val="16"/>
              </w:rPr>
              <w:t>’</w:t>
            </w:r>
            <w:r w:rsidRPr="005C7CCE">
              <w:rPr>
                <w:sz w:val="16"/>
              </w:rPr>
              <w:t>information positifs des participants</w:t>
            </w:r>
          </w:p>
        </w:tc>
        <w:tc>
          <w:tcPr>
            <w:tcW w:w="733" w:type="pct"/>
            <w:tcBorders>
              <w:bottom w:val="single" w:sz="4" w:space="0" w:color="auto"/>
            </w:tcBorders>
            <w:shd w:val="clear" w:color="auto" w:fill="auto"/>
            <w:tcMar>
              <w:top w:w="110" w:type="dxa"/>
            </w:tcMar>
          </w:tcPr>
          <w:p w:rsidR="00784E52" w:rsidRPr="00866763" w:rsidRDefault="00784E52" w:rsidP="001A5BF9">
            <w:pPr>
              <w:autoSpaceDE w:val="0"/>
              <w:autoSpaceDN w:val="0"/>
              <w:adjustRightInd w:val="0"/>
              <w:rPr>
                <w:rFonts w:cs="Arial"/>
                <w:sz w:val="16"/>
                <w:szCs w:val="16"/>
              </w:rPr>
            </w:pPr>
            <w:r w:rsidRPr="00866763">
              <w:rPr>
                <w:sz w:val="16"/>
              </w:rPr>
              <w:t>Retours d</w:t>
            </w:r>
            <w:r w:rsidR="00A20444" w:rsidRPr="00866763">
              <w:rPr>
                <w:sz w:val="16"/>
              </w:rPr>
              <w:t>’</w:t>
            </w:r>
            <w:r w:rsidRPr="00866763">
              <w:rPr>
                <w:sz w:val="16"/>
              </w:rPr>
              <w:t>information positifs permanents de la part des principaux participants</w:t>
            </w:r>
          </w:p>
        </w:tc>
        <w:tc>
          <w:tcPr>
            <w:tcW w:w="1818" w:type="pct"/>
            <w:gridSpan w:val="2"/>
            <w:tcBorders>
              <w:bottom w:val="single" w:sz="4" w:space="0" w:color="auto"/>
            </w:tcBorders>
            <w:shd w:val="clear" w:color="auto" w:fill="FFFFFF"/>
            <w:tcMar>
              <w:top w:w="110" w:type="dxa"/>
            </w:tcMar>
          </w:tcPr>
          <w:p w:rsidR="00D42474" w:rsidRDefault="00784E52" w:rsidP="001A5BF9">
            <w:pPr>
              <w:rPr>
                <w:sz w:val="16"/>
              </w:rPr>
            </w:pPr>
            <w:r w:rsidRPr="00866763">
              <w:rPr>
                <w:sz w:val="16"/>
              </w:rPr>
              <w:t>Un retour d</w:t>
            </w:r>
            <w:r w:rsidR="00A20444" w:rsidRPr="00866763">
              <w:rPr>
                <w:sz w:val="16"/>
              </w:rPr>
              <w:t>’</w:t>
            </w:r>
            <w:r w:rsidRPr="00866763">
              <w:rPr>
                <w:sz w:val="16"/>
              </w:rPr>
              <w:t>information positif a été reçu de la part des participants quant au lancement de WIPO GREEN et à la réunion du conseil consultatif (novembre 2013).</w:t>
            </w:r>
          </w:p>
          <w:p w:rsidR="00D42474" w:rsidRDefault="00D42474" w:rsidP="001A5BF9">
            <w:pPr>
              <w:rPr>
                <w:rFonts w:cs="Arial"/>
                <w:sz w:val="8"/>
                <w:szCs w:val="8"/>
                <w:lang w:bidi="th-TH"/>
              </w:rPr>
            </w:pPr>
          </w:p>
          <w:p w:rsidR="00D42474" w:rsidRDefault="00784E52" w:rsidP="001A5BF9">
            <w:pPr>
              <w:rPr>
                <w:rFonts w:cs="Arial"/>
                <w:sz w:val="16"/>
                <w:szCs w:val="16"/>
                <w:lang w:bidi="th-TH"/>
              </w:rPr>
            </w:pPr>
            <w:r w:rsidRPr="00866763">
              <w:rPr>
                <w:sz w:val="16"/>
              </w:rPr>
              <w:t>Un retour d</w:t>
            </w:r>
            <w:r w:rsidR="00A20444" w:rsidRPr="00866763">
              <w:rPr>
                <w:sz w:val="16"/>
              </w:rPr>
              <w:t>’</w:t>
            </w:r>
            <w:r w:rsidRPr="00866763">
              <w:rPr>
                <w:sz w:val="16"/>
              </w:rPr>
              <w:t>information positif a été reçu de la part de la majorité des participants aux trois ateliers (Brésil, Thaïlande et Sri Lanka) et aux quatre manifestations tenues en marge de conférences internationales.</w:t>
            </w:r>
          </w:p>
          <w:p w:rsidR="00D42474" w:rsidRDefault="00D42474" w:rsidP="001A5BF9">
            <w:pPr>
              <w:rPr>
                <w:rFonts w:cs="Arial"/>
                <w:sz w:val="8"/>
                <w:szCs w:val="8"/>
                <w:lang w:bidi="th-TH"/>
              </w:rPr>
            </w:pPr>
          </w:p>
          <w:p w:rsidR="00784E52" w:rsidRPr="00866763" w:rsidRDefault="00784E52" w:rsidP="001A5BF9">
            <w:pPr>
              <w:rPr>
                <w:rFonts w:cs="Arial"/>
                <w:sz w:val="16"/>
                <w:szCs w:val="16"/>
                <w:lang w:bidi="th-TH"/>
              </w:rPr>
            </w:pPr>
            <w:r w:rsidRPr="00866763">
              <w:rPr>
                <w:sz w:val="16"/>
              </w:rPr>
              <w:t>Un retour d</w:t>
            </w:r>
            <w:r w:rsidR="00A20444" w:rsidRPr="00866763">
              <w:rPr>
                <w:sz w:val="16"/>
              </w:rPr>
              <w:t>’</w:t>
            </w:r>
            <w:r w:rsidRPr="00866763">
              <w:rPr>
                <w:sz w:val="16"/>
              </w:rPr>
              <w:t>information verbal ou par courrier électronique positif a été reçu de la part des participants du colloque technique OMPI/OMS/OMC organisé en juillet 2013.</w:t>
            </w:r>
          </w:p>
        </w:tc>
        <w:tc>
          <w:tcPr>
            <w:tcW w:w="682" w:type="pct"/>
            <w:tcBorders>
              <w:bottom w:val="single" w:sz="4" w:space="0" w:color="auto"/>
            </w:tcBorders>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784E52" w:rsidRPr="002D02F3" w:rsidTr="00BB3F3E">
        <w:trPr>
          <w:cantSplit/>
        </w:trPr>
        <w:tc>
          <w:tcPr>
            <w:tcW w:w="5000" w:type="pct"/>
            <w:gridSpan w:val="6"/>
            <w:tcBorders>
              <w:top w:val="single" w:sz="4" w:space="0" w:color="auto"/>
              <w:bottom w:val="single" w:sz="4" w:space="0" w:color="auto"/>
            </w:tcBorders>
            <w:shd w:val="clear" w:color="auto" w:fill="CCFFFF"/>
            <w:vAlign w:val="center"/>
          </w:tcPr>
          <w:p w:rsidR="00784E52" w:rsidRPr="002D02F3" w:rsidRDefault="00784E52" w:rsidP="00866763">
            <w:pPr>
              <w:keepNext/>
              <w:keepLines/>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w:t>
            </w:r>
            <w:r w:rsidRPr="002D02F3">
              <w:rPr>
                <w:b/>
                <w:sz w:val="16"/>
              </w:rPr>
              <w:t xml:space="preserve">: </w:t>
            </w:r>
            <w:r w:rsidRPr="002D02F3">
              <w:rPr>
                <w:b/>
                <w:sz w:val="16"/>
              </w:rPr>
              <w:tab/>
            </w:r>
            <w:r w:rsidRPr="002D02F3">
              <w:rPr>
                <w:sz w:val="16"/>
              </w:rPr>
              <w:t>Reconnaissance de l</w:t>
            </w:r>
            <w:r w:rsidR="00A20444" w:rsidRPr="002D02F3">
              <w:rPr>
                <w:sz w:val="16"/>
              </w:rPr>
              <w:t>’</w:t>
            </w:r>
            <w:r w:rsidRPr="002D02F3">
              <w:rPr>
                <w:sz w:val="16"/>
              </w:rPr>
              <w:t>OMPI en tant que source fiable d</w:t>
            </w:r>
            <w:r w:rsidR="00A20444" w:rsidRPr="002D02F3">
              <w:rPr>
                <w:sz w:val="16"/>
              </w:rPr>
              <w:t>’</w:t>
            </w:r>
            <w:r w:rsidRPr="002D02F3">
              <w:rPr>
                <w:sz w:val="16"/>
              </w:rPr>
              <w:t>appui, d</w:t>
            </w:r>
            <w:r w:rsidR="00A20444" w:rsidRPr="002D02F3">
              <w:rPr>
                <w:sz w:val="16"/>
              </w:rPr>
              <w:t>’</w:t>
            </w:r>
            <w:r w:rsidRPr="002D02F3">
              <w:rPr>
                <w:sz w:val="16"/>
              </w:rPr>
              <w:t>assistance et de référence en ce qui concerne l</w:t>
            </w:r>
            <w:r w:rsidR="00A20444" w:rsidRPr="002D02F3">
              <w:rPr>
                <w:sz w:val="16"/>
              </w:rPr>
              <w:t>’</w:t>
            </w:r>
            <w:r w:rsidRPr="002D02F3">
              <w:rPr>
                <w:sz w:val="16"/>
              </w:rPr>
              <w:t>information en matière d</w:t>
            </w:r>
            <w:r w:rsidR="00A20444" w:rsidRPr="002D02F3">
              <w:rPr>
                <w:sz w:val="16"/>
              </w:rPr>
              <w:t>’</w:t>
            </w:r>
            <w:r w:rsidRPr="002D02F3">
              <w:rPr>
                <w:sz w:val="16"/>
              </w:rPr>
              <w:t>innovation et de propriété intellectuelle dans les processus de politique publique pertinents</w:t>
            </w:r>
          </w:p>
        </w:tc>
      </w:tr>
      <w:tr w:rsidR="00784E52" w:rsidRPr="002D02F3" w:rsidTr="00BB3F3E">
        <w:trPr>
          <w:cantSplit/>
        </w:trPr>
        <w:tc>
          <w:tcPr>
            <w:tcW w:w="861" w:type="pct"/>
            <w:tcBorders>
              <w:top w:val="single" w:sz="4" w:space="0" w:color="auto"/>
            </w:tcBorders>
            <w:shd w:val="clear" w:color="auto" w:fill="auto"/>
            <w:vAlign w:val="center"/>
          </w:tcPr>
          <w:p w:rsidR="00784E52" w:rsidRPr="002D02F3" w:rsidRDefault="00784E52" w:rsidP="00866763">
            <w:pPr>
              <w:keepNext/>
              <w:keepLines/>
              <w:rPr>
                <w:rFonts w:cs="Arial"/>
                <w:b/>
                <w:sz w:val="16"/>
                <w:szCs w:val="16"/>
              </w:rPr>
            </w:pPr>
            <w:r w:rsidRPr="002D02F3">
              <w:rPr>
                <w:b/>
                <w:sz w:val="16"/>
              </w:rPr>
              <w:t>Indicateurs d</w:t>
            </w:r>
            <w:r w:rsidR="00A20444" w:rsidRPr="002D02F3">
              <w:rPr>
                <w:b/>
                <w:sz w:val="16"/>
              </w:rPr>
              <w:t>’</w:t>
            </w:r>
            <w:r w:rsidRPr="002D02F3">
              <w:rPr>
                <w:b/>
                <w:sz w:val="16"/>
              </w:rPr>
              <w:t>exécution</w:t>
            </w:r>
          </w:p>
        </w:tc>
        <w:tc>
          <w:tcPr>
            <w:tcW w:w="906" w:type="pct"/>
            <w:tcBorders>
              <w:top w:val="single" w:sz="4" w:space="0" w:color="auto"/>
            </w:tcBorders>
            <w:shd w:val="clear" w:color="auto" w:fill="auto"/>
            <w:vAlign w:val="center"/>
          </w:tcPr>
          <w:p w:rsidR="00784E52" w:rsidRPr="002D02F3" w:rsidRDefault="00784E52" w:rsidP="00866763">
            <w:pPr>
              <w:keepNext/>
              <w:keepLines/>
              <w:rPr>
                <w:rFonts w:cs="Arial"/>
                <w:b/>
                <w:bCs/>
                <w:sz w:val="16"/>
                <w:szCs w:val="16"/>
              </w:rPr>
            </w:pPr>
            <w:r w:rsidRPr="002D02F3">
              <w:rPr>
                <w:b/>
                <w:sz w:val="16"/>
              </w:rPr>
              <w:t>Niveaux de référence</w:t>
            </w:r>
          </w:p>
        </w:tc>
        <w:tc>
          <w:tcPr>
            <w:tcW w:w="733" w:type="pct"/>
            <w:tcBorders>
              <w:top w:val="single" w:sz="4" w:space="0" w:color="auto"/>
            </w:tcBorders>
            <w:shd w:val="clear" w:color="auto" w:fill="auto"/>
            <w:tcMar>
              <w:top w:w="110" w:type="dxa"/>
            </w:tcMar>
            <w:vAlign w:val="center"/>
          </w:tcPr>
          <w:p w:rsidR="00784E52" w:rsidRPr="002D02F3" w:rsidRDefault="00784E52" w:rsidP="00866763">
            <w:pPr>
              <w:keepNext/>
              <w:keepLines/>
              <w:rPr>
                <w:rFonts w:cs="Arial"/>
                <w:b/>
                <w:sz w:val="16"/>
                <w:szCs w:val="16"/>
              </w:rPr>
            </w:pPr>
            <w:r w:rsidRPr="002D02F3">
              <w:rPr>
                <w:b/>
                <w:sz w:val="16"/>
              </w:rPr>
              <w:t>Objectifs visés</w:t>
            </w:r>
          </w:p>
        </w:tc>
        <w:tc>
          <w:tcPr>
            <w:tcW w:w="1818" w:type="pct"/>
            <w:gridSpan w:val="2"/>
            <w:tcBorders>
              <w:top w:val="single" w:sz="4" w:space="0" w:color="auto"/>
            </w:tcBorders>
            <w:shd w:val="clear" w:color="auto" w:fill="FFFFFF"/>
            <w:tcMar>
              <w:top w:w="110" w:type="dxa"/>
            </w:tcMar>
            <w:vAlign w:val="center"/>
          </w:tcPr>
          <w:p w:rsidR="00784E52" w:rsidRPr="002D02F3" w:rsidRDefault="00784E52" w:rsidP="00866763">
            <w:pPr>
              <w:keepNext/>
              <w:keepLines/>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784E52" w:rsidRPr="002D02F3" w:rsidRDefault="00784E52" w:rsidP="00866763">
            <w:pPr>
              <w:keepNext/>
              <w:keepLines/>
              <w:jc w:val="center"/>
              <w:rPr>
                <w:rFonts w:cs="Arial"/>
                <w:b/>
                <w:bCs/>
                <w:sz w:val="16"/>
                <w:szCs w:val="16"/>
              </w:rPr>
            </w:pPr>
            <w:r w:rsidRPr="002D02F3">
              <w:rPr>
                <w:b/>
                <w:sz w:val="16"/>
              </w:rPr>
              <w:t>Code de couleurs</w:t>
            </w:r>
          </w:p>
        </w:tc>
      </w:tr>
      <w:tr w:rsidR="00784E52" w:rsidRPr="005C7CCE" w:rsidTr="00BB3F3E">
        <w:trPr>
          <w:cantSplit/>
        </w:trPr>
        <w:tc>
          <w:tcPr>
            <w:tcW w:w="861" w:type="pct"/>
            <w:tcBorders>
              <w:bottom w:val="single" w:sz="4" w:space="0" w:color="auto"/>
            </w:tcBorders>
            <w:shd w:val="clear" w:color="auto" w:fill="auto"/>
          </w:tcPr>
          <w:p w:rsidR="00784E52" w:rsidRPr="00866763" w:rsidRDefault="00784E52" w:rsidP="001A5BF9">
            <w:pPr>
              <w:rPr>
                <w:rFonts w:cs="Arial"/>
                <w:sz w:val="16"/>
                <w:szCs w:val="16"/>
              </w:rPr>
            </w:pPr>
            <w:r w:rsidRPr="00866763">
              <w:rPr>
                <w:sz w:val="16"/>
              </w:rPr>
              <w:t>Nombre et éventail de demandes émanant des États membres et des organisations internationales concernant des contributions de l</w:t>
            </w:r>
            <w:r w:rsidR="00A20444" w:rsidRPr="00866763">
              <w:rPr>
                <w:sz w:val="16"/>
              </w:rPr>
              <w:t>’</w:t>
            </w:r>
            <w:r w:rsidRPr="00866763">
              <w:rPr>
                <w:sz w:val="16"/>
              </w:rPr>
              <w:t>OMPI dans le domaine de la propriété intellectuelle en rapport avec les questions d</w:t>
            </w:r>
            <w:r w:rsidR="00A20444" w:rsidRPr="00866763">
              <w:rPr>
                <w:sz w:val="16"/>
              </w:rPr>
              <w:t>’</w:t>
            </w:r>
            <w:r w:rsidRPr="00866763">
              <w:rPr>
                <w:sz w:val="16"/>
              </w:rPr>
              <w:t>intérêt général à l</w:t>
            </w:r>
            <w:r w:rsidR="00A20444" w:rsidRPr="00866763">
              <w:rPr>
                <w:sz w:val="16"/>
              </w:rPr>
              <w:t>’</w:t>
            </w:r>
            <w:r w:rsidRPr="00866763">
              <w:rPr>
                <w:sz w:val="16"/>
              </w:rPr>
              <w:t>échelle mondiale</w:t>
            </w:r>
          </w:p>
        </w:tc>
        <w:tc>
          <w:tcPr>
            <w:tcW w:w="906" w:type="pct"/>
            <w:tcBorders>
              <w:bottom w:val="single" w:sz="4" w:space="0" w:color="auto"/>
            </w:tcBorders>
            <w:shd w:val="clear" w:color="auto" w:fill="auto"/>
          </w:tcPr>
          <w:p w:rsidR="00784E52" w:rsidRPr="00866763" w:rsidRDefault="00784E52" w:rsidP="001A5BF9">
            <w:pPr>
              <w:rPr>
                <w:rFonts w:cs="Arial"/>
                <w:sz w:val="16"/>
                <w:szCs w:val="16"/>
              </w:rPr>
            </w:pPr>
            <w:r w:rsidRPr="00866763">
              <w:rPr>
                <w:sz w:val="16"/>
              </w:rPr>
              <w:t>Une demande officielle (OMS)</w:t>
            </w:r>
          </w:p>
        </w:tc>
        <w:tc>
          <w:tcPr>
            <w:tcW w:w="733" w:type="pct"/>
            <w:tcBorders>
              <w:bottom w:val="single" w:sz="4" w:space="0" w:color="auto"/>
            </w:tcBorders>
            <w:shd w:val="clear" w:color="auto" w:fill="auto"/>
            <w:tcMar>
              <w:top w:w="110" w:type="dxa"/>
            </w:tcMar>
          </w:tcPr>
          <w:p w:rsidR="00784E52" w:rsidRPr="00866763" w:rsidRDefault="00784E52" w:rsidP="001A5BF9">
            <w:pPr>
              <w:rPr>
                <w:rFonts w:cs="Arial"/>
                <w:i/>
                <w:sz w:val="16"/>
                <w:szCs w:val="16"/>
              </w:rPr>
            </w:pPr>
            <w:r w:rsidRPr="00866763">
              <w:rPr>
                <w:sz w:val="16"/>
              </w:rPr>
              <w:t xml:space="preserve">Une à deux demandes par an </w:t>
            </w:r>
          </w:p>
        </w:tc>
        <w:tc>
          <w:tcPr>
            <w:tcW w:w="1818" w:type="pct"/>
            <w:gridSpan w:val="2"/>
            <w:tcBorders>
              <w:bottom w:val="single" w:sz="4" w:space="0" w:color="auto"/>
            </w:tcBorders>
            <w:shd w:val="clear" w:color="auto" w:fill="FFFFFF"/>
            <w:tcMar>
              <w:top w:w="110" w:type="dxa"/>
            </w:tcMar>
          </w:tcPr>
          <w:p w:rsidR="00D42474" w:rsidRDefault="00784E52" w:rsidP="001A5BF9">
            <w:pPr>
              <w:rPr>
                <w:sz w:val="16"/>
                <w:szCs w:val="16"/>
              </w:rPr>
            </w:pPr>
            <w:r w:rsidRPr="005C7CCE">
              <w:rPr>
                <w:sz w:val="16"/>
                <w:szCs w:val="16"/>
              </w:rPr>
              <w:t>Une manifestation conjointe a été organisée avec l</w:t>
            </w:r>
            <w:r w:rsidR="00A20444" w:rsidRPr="005C7CCE">
              <w:rPr>
                <w:sz w:val="16"/>
                <w:szCs w:val="16"/>
              </w:rPr>
              <w:t>’</w:t>
            </w:r>
            <w:r w:rsidRPr="005C7CCE">
              <w:rPr>
                <w:sz w:val="16"/>
                <w:szCs w:val="16"/>
              </w:rPr>
              <w:t xml:space="preserve">initiative </w:t>
            </w:r>
            <w:proofErr w:type="spellStart"/>
            <w:r w:rsidRPr="005C7CCE">
              <w:rPr>
                <w:i/>
                <w:sz w:val="16"/>
                <w:szCs w:val="16"/>
              </w:rPr>
              <w:t>infoDev</w:t>
            </w:r>
            <w:proofErr w:type="spellEnd"/>
            <w:r w:rsidRPr="005C7CCE">
              <w:rPr>
                <w:sz w:val="16"/>
                <w:szCs w:val="16"/>
              </w:rPr>
              <w:t xml:space="preserve"> de la Banque mondiale et le Kenya </w:t>
            </w:r>
            <w:proofErr w:type="spellStart"/>
            <w:r w:rsidRPr="005C7CCE">
              <w:rPr>
                <w:sz w:val="16"/>
                <w:szCs w:val="16"/>
              </w:rPr>
              <w:t>Climate</w:t>
            </w:r>
            <w:proofErr w:type="spellEnd"/>
            <w:r w:rsidRPr="005C7CCE">
              <w:rPr>
                <w:sz w:val="16"/>
                <w:szCs w:val="16"/>
              </w:rPr>
              <w:t xml:space="preserve"> Innovation Center (</w:t>
            </w:r>
            <w:proofErr w:type="spellStart"/>
            <w:r w:rsidRPr="005C7CCE">
              <w:rPr>
                <w:sz w:val="16"/>
                <w:szCs w:val="16"/>
              </w:rPr>
              <w:t>KCIC</w:t>
            </w:r>
            <w:proofErr w:type="spellEnd"/>
            <w:r w:rsidRPr="005C7CCE">
              <w:rPr>
                <w:sz w:val="16"/>
                <w:szCs w:val="16"/>
              </w:rPr>
              <w:t>), à la demande</w:t>
            </w:r>
            <w:r w:rsidR="00A20444" w:rsidRPr="005C7CCE">
              <w:rPr>
                <w:sz w:val="16"/>
                <w:szCs w:val="16"/>
              </w:rPr>
              <w:t xml:space="preserve"> du </w:t>
            </w:r>
            <w:proofErr w:type="spellStart"/>
            <w:r w:rsidR="00A20444" w:rsidRPr="005C7CCE">
              <w:rPr>
                <w:sz w:val="16"/>
                <w:szCs w:val="16"/>
              </w:rPr>
              <w:t>KCI</w:t>
            </w:r>
            <w:r w:rsidRPr="005C7CCE">
              <w:rPr>
                <w:sz w:val="16"/>
                <w:szCs w:val="16"/>
              </w:rPr>
              <w:t>C</w:t>
            </w:r>
            <w:proofErr w:type="spellEnd"/>
            <w:r w:rsidRPr="005C7CCE">
              <w:rPr>
                <w:sz w:val="16"/>
                <w:szCs w:val="16"/>
              </w:rPr>
              <w:t xml:space="preserve">. </w:t>
            </w:r>
            <w:r w:rsidR="0010442A" w:rsidRPr="005C7CCE">
              <w:rPr>
                <w:sz w:val="16"/>
                <w:szCs w:val="16"/>
              </w:rPr>
              <w:t xml:space="preserve"> </w:t>
            </w:r>
            <w:r w:rsidRPr="005C7CCE">
              <w:rPr>
                <w:sz w:val="16"/>
                <w:szCs w:val="16"/>
              </w:rPr>
              <w:t>Elle comprenait un programme de formation de l</w:t>
            </w:r>
            <w:r w:rsidR="00A20444" w:rsidRPr="005C7CCE">
              <w:rPr>
                <w:sz w:val="16"/>
                <w:szCs w:val="16"/>
              </w:rPr>
              <w:t>’</w:t>
            </w:r>
            <w:r w:rsidRPr="005C7CCE">
              <w:rPr>
                <w:sz w:val="16"/>
                <w:szCs w:val="16"/>
              </w:rPr>
              <w:t>OMPI sur la concession de licences de technologie.</w:t>
            </w: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5C7CCE">
              <w:rPr>
                <w:sz w:val="16"/>
                <w:szCs w:val="16"/>
              </w:rPr>
              <w:t xml:space="preserve">Deux présentations ont été faites lors du China International Small and Medium Enterprise </w:t>
            </w:r>
            <w:proofErr w:type="spellStart"/>
            <w:r w:rsidRPr="005C7CCE">
              <w:rPr>
                <w:sz w:val="16"/>
                <w:szCs w:val="16"/>
              </w:rPr>
              <w:t>Fair</w:t>
            </w:r>
            <w:proofErr w:type="spellEnd"/>
            <w:r w:rsidRPr="005C7CCE">
              <w:rPr>
                <w:sz w:val="16"/>
                <w:szCs w:val="16"/>
              </w:rPr>
              <w:t xml:space="preserve"> (</w:t>
            </w:r>
            <w:proofErr w:type="spellStart"/>
            <w:r w:rsidRPr="005C7CCE">
              <w:rPr>
                <w:sz w:val="16"/>
                <w:szCs w:val="16"/>
              </w:rPr>
              <w:t>CISMEF</w:t>
            </w:r>
            <w:proofErr w:type="spellEnd"/>
            <w:r w:rsidRPr="005C7CCE">
              <w:rPr>
                <w:sz w:val="16"/>
                <w:szCs w:val="16"/>
              </w:rPr>
              <w:t>), à Guangzhou en Chine, et lors de la Global South</w:t>
            </w:r>
            <w:r w:rsidR="002D6F2A" w:rsidRPr="005C7CCE">
              <w:rPr>
                <w:sz w:val="16"/>
                <w:szCs w:val="16"/>
              </w:rPr>
              <w:noBreakHyphen/>
            </w:r>
            <w:r w:rsidRPr="005C7CCE">
              <w:rPr>
                <w:sz w:val="16"/>
                <w:szCs w:val="16"/>
              </w:rPr>
              <w:t xml:space="preserve">South </w:t>
            </w:r>
            <w:proofErr w:type="spellStart"/>
            <w:r w:rsidRPr="005C7CCE">
              <w:rPr>
                <w:sz w:val="16"/>
                <w:szCs w:val="16"/>
              </w:rPr>
              <w:t>Development</w:t>
            </w:r>
            <w:proofErr w:type="spellEnd"/>
            <w:r w:rsidRPr="005C7CCE">
              <w:rPr>
                <w:sz w:val="16"/>
                <w:szCs w:val="16"/>
              </w:rPr>
              <w:t xml:space="preserve"> Expo à Nairobi, à la demande du South</w:t>
            </w:r>
            <w:r w:rsidR="002D6F2A" w:rsidRPr="005C7CCE">
              <w:rPr>
                <w:sz w:val="16"/>
                <w:szCs w:val="16"/>
              </w:rPr>
              <w:noBreakHyphen/>
            </w:r>
            <w:r w:rsidRPr="005C7CCE">
              <w:rPr>
                <w:sz w:val="16"/>
                <w:szCs w:val="16"/>
              </w:rPr>
              <w:t xml:space="preserve">South Global </w:t>
            </w:r>
            <w:proofErr w:type="spellStart"/>
            <w:r w:rsidRPr="005C7CCE">
              <w:rPr>
                <w:sz w:val="16"/>
                <w:szCs w:val="16"/>
              </w:rPr>
              <w:t>Assets</w:t>
            </w:r>
            <w:proofErr w:type="spellEnd"/>
            <w:r w:rsidRPr="005C7CCE">
              <w:rPr>
                <w:sz w:val="16"/>
                <w:szCs w:val="16"/>
              </w:rPr>
              <w:t xml:space="preserve"> and </w:t>
            </w:r>
            <w:proofErr w:type="spellStart"/>
            <w:r w:rsidRPr="005C7CCE">
              <w:rPr>
                <w:sz w:val="16"/>
                <w:szCs w:val="16"/>
              </w:rPr>
              <w:t>Technology</w:t>
            </w:r>
            <w:proofErr w:type="spellEnd"/>
            <w:r w:rsidRPr="005C7CCE">
              <w:rPr>
                <w:sz w:val="16"/>
                <w:szCs w:val="16"/>
              </w:rPr>
              <w:t xml:space="preserve"> Exchange (SS</w:t>
            </w:r>
            <w:r w:rsidR="002D6F2A" w:rsidRPr="005C7CCE">
              <w:rPr>
                <w:sz w:val="16"/>
                <w:szCs w:val="16"/>
              </w:rPr>
              <w:noBreakHyphen/>
            </w:r>
            <w:proofErr w:type="spellStart"/>
            <w:r w:rsidRPr="005C7CCE">
              <w:rPr>
                <w:sz w:val="16"/>
                <w:szCs w:val="16"/>
              </w:rPr>
              <w:t>GATE</w:t>
            </w:r>
            <w:proofErr w:type="spellEnd"/>
            <w:r w:rsidRPr="005C7CCE">
              <w:rPr>
                <w:sz w:val="16"/>
                <w:szCs w:val="16"/>
              </w:rPr>
              <w:t>), une initiative</w:t>
            </w:r>
            <w:r w:rsidR="00A20444" w:rsidRPr="005C7CCE">
              <w:rPr>
                <w:sz w:val="16"/>
                <w:szCs w:val="16"/>
              </w:rPr>
              <w:t xml:space="preserve"> du PNU</w:t>
            </w:r>
            <w:r w:rsidRPr="005C7CCE">
              <w:rPr>
                <w:sz w:val="16"/>
                <w:szCs w:val="16"/>
              </w:rPr>
              <w:t xml:space="preserve">D. </w:t>
            </w:r>
            <w:r w:rsidR="0010442A" w:rsidRPr="005C7CCE">
              <w:rPr>
                <w:sz w:val="16"/>
                <w:szCs w:val="16"/>
              </w:rPr>
              <w:t xml:space="preserve"> </w:t>
            </w:r>
            <w:r w:rsidRPr="005C7CCE">
              <w:rPr>
                <w:sz w:val="16"/>
                <w:szCs w:val="16"/>
              </w:rPr>
              <w:t xml:space="preserve">Une présentation a été faite à Belgrade à la demande du </w:t>
            </w:r>
            <w:proofErr w:type="spellStart"/>
            <w:r w:rsidRPr="005C7CCE">
              <w:rPr>
                <w:sz w:val="16"/>
                <w:szCs w:val="16"/>
              </w:rPr>
              <w:t>Regional</w:t>
            </w:r>
            <w:proofErr w:type="spellEnd"/>
            <w:r w:rsidRPr="005C7CCE">
              <w:rPr>
                <w:sz w:val="16"/>
                <w:szCs w:val="16"/>
              </w:rPr>
              <w:t xml:space="preserve"> </w:t>
            </w:r>
            <w:proofErr w:type="spellStart"/>
            <w:r w:rsidRPr="005C7CCE">
              <w:rPr>
                <w:sz w:val="16"/>
                <w:szCs w:val="16"/>
              </w:rPr>
              <w:t>Environmental</w:t>
            </w:r>
            <w:proofErr w:type="spellEnd"/>
            <w:r w:rsidRPr="005C7CCE">
              <w:rPr>
                <w:sz w:val="16"/>
                <w:szCs w:val="16"/>
              </w:rPr>
              <w:t xml:space="preserve"> Center for Central and </w:t>
            </w:r>
            <w:proofErr w:type="spellStart"/>
            <w:r w:rsidRPr="005C7CCE">
              <w:rPr>
                <w:sz w:val="16"/>
                <w:szCs w:val="16"/>
              </w:rPr>
              <w:t>Eastern</w:t>
            </w:r>
            <w:proofErr w:type="spellEnd"/>
            <w:r w:rsidRPr="005C7CCE">
              <w:rPr>
                <w:sz w:val="16"/>
                <w:szCs w:val="16"/>
              </w:rPr>
              <w:t xml:space="preserve"> Europe (Centre régional de l</w:t>
            </w:r>
            <w:r w:rsidR="00A20444" w:rsidRPr="005C7CCE">
              <w:rPr>
                <w:sz w:val="16"/>
                <w:szCs w:val="16"/>
              </w:rPr>
              <w:t>’</w:t>
            </w:r>
            <w:r w:rsidRPr="005C7CCE">
              <w:rPr>
                <w:sz w:val="16"/>
                <w:szCs w:val="16"/>
              </w:rPr>
              <w:t>environnement pour l</w:t>
            </w:r>
            <w:r w:rsidR="00A20444" w:rsidRPr="005C7CCE">
              <w:rPr>
                <w:sz w:val="16"/>
                <w:szCs w:val="16"/>
              </w:rPr>
              <w:t>’</w:t>
            </w:r>
            <w:r w:rsidRPr="005C7CCE">
              <w:rPr>
                <w:sz w:val="16"/>
                <w:szCs w:val="16"/>
              </w:rPr>
              <w:t>Europe centrale et orientale).</w:t>
            </w: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5C7CCE">
              <w:rPr>
                <w:sz w:val="16"/>
                <w:szCs w:val="16"/>
              </w:rPr>
              <w:t>Des manifestations nationales ont été organisées en Thaïlande et au Brésil sur demande des pays respectifs et en collaboration avec le programme 9.</w:t>
            </w: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5C7CCE">
              <w:rPr>
                <w:sz w:val="16"/>
                <w:szCs w:val="16"/>
              </w:rPr>
              <w:t>Suite à des demandes continues de l</w:t>
            </w:r>
            <w:r w:rsidR="00A20444" w:rsidRPr="005C7CCE">
              <w:rPr>
                <w:sz w:val="16"/>
                <w:szCs w:val="16"/>
              </w:rPr>
              <w:t>’</w:t>
            </w:r>
            <w:r w:rsidRPr="005C7CCE">
              <w:rPr>
                <w:sz w:val="16"/>
                <w:szCs w:val="16"/>
              </w:rPr>
              <w:t>Académie de l</w:t>
            </w:r>
            <w:r w:rsidR="00A20444" w:rsidRPr="005C7CCE">
              <w:rPr>
                <w:sz w:val="16"/>
                <w:szCs w:val="16"/>
              </w:rPr>
              <w:t>’</w:t>
            </w:r>
            <w:r w:rsidRPr="005C7CCE">
              <w:rPr>
                <w:sz w:val="16"/>
                <w:szCs w:val="16"/>
              </w:rPr>
              <w:t>OMPI, de l</w:t>
            </w:r>
            <w:r w:rsidR="00A20444" w:rsidRPr="005C7CCE">
              <w:rPr>
                <w:sz w:val="16"/>
                <w:szCs w:val="16"/>
              </w:rPr>
              <w:t>’</w:t>
            </w:r>
            <w:r w:rsidRPr="005C7CCE">
              <w:rPr>
                <w:sz w:val="16"/>
                <w:szCs w:val="16"/>
              </w:rPr>
              <w:t>OMC, de l</w:t>
            </w:r>
            <w:r w:rsidR="00A20444" w:rsidRPr="005C7CCE">
              <w:rPr>
                <w:sz w:val="16"/>
                <w:szCs w:val="16"/>
              </w:rPr>
              <w:t>’</w:t>
            </w:r>
            <w:r w:rsidRPr="005C7CCE">
              <w:rPr>
                <w:sz w:val="16"/>
                <w:szCs w:val="16"/>
              </w:rPr>
              <w:t>Université de Genève et de l</w:t>
            </w:r>
            <w:r w:rsidR="00A20444" w:rsidRPr="005C7CCE">
              <w:rPr>
                <w:sz w:val="16"/>
                <w:szCs w:val="16"/>
              </w:rPr>
              <w:t>’</w:t>
            </w:r>
            <w:r w:rsidRPr="005C7CCE">
              <w:rPr>
                <w:sz w:val="16"/>
                <w:szCs w:val="16"/>
              </w:rPr>
              <w:t>Institut de hautes études internationales et du développement, le programme a participé à un certain nombre d</w:t>
            </w:r>
            <w:r w:rsidR="00A20444" w:rsidRPr="005C7CCE">
              <w:rPr>
                <w:sz w:val="16"/>
                <w:szCs w:val="16"/>
              </w:rPr>
              <w:t>’</w:t>
            </w:r>
            <w:r w:rsidRPr="005C7CCE">
              <w:rPr>
                <w:sz w:val="16"/>
                <w:szCs w:val="16"/>
              </w:rPr>
              <w:t>activités de formation sur la propriété intellectuelle et le changement climatique.</w:t>
            </w: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5C7CCE">
              <w:rPr>
                <w:sz w:val="16"/>
                <w:szCs w:val="16"/>
              </w:rPr>
              <w:t>En coopération avec l</w:t>
            </w:r>
            <w:r w:rsidR="00A20444" w:rsidRPr="005C7CCE">
              <w:rPr>
                <w:sz w:val="16"/>
                <w:szCs w:val="16"/>
              </w:rPr>
              <w:t>’</w:t>
            </w:r>
            <w:proofErr w:type="spellStart"/>
            <w:r w:rsidRPr="005C7CCE">
              <w:rPr>
                <w:sz w:val="16"/>
                <w:szCs w:val="16"/>
              </w:rPr>
              <w:t>African</w:t>
            </w:r>
            <w:proofErr w:type="spellEnd"/>
            <w:r w:rsidRPr="005C7CCE">
              <w:rPr>
                <w:sz w:val="16"/>
                <w:szCs w:val="16"/>
              </w:rPr>
              <w:t xml:space="preserve"> Network for Drug and Diagnostics Innovation (ANDI</w:t>
            </w:r>
            <w:r w:rsidR="0010442A" w:rsidRPr="005C7CCE">
              <w:rPr>
                <w:sz w:val="16"/>
                <w:szCs w:val="16"/>
              </w:rPr>
              <w:t xml:space="preserve"> –</w:t>
            </w:r>
            <w:r w:rsidRPr="005C7CCE">
              <w:rPr>
                <w:sz w:val="16"/>
                <w:szCs w:val="16"/>
              </w:rPr>
              <w:t xml:space="preserve"> Réseau africain pour l</w:t>
            </w:r>
            <w:r w:rsidR="00A20444" w:rsidRPr="005C7CCE">
              <w:rPr>
                <w:sz w:val="16"/>
                <w:szCs w:val="16"/>
              </w:rPr>
              <w:t>’</w:t>
            </w:r>
            <w:r w:rsidRPr="005C7CCE">
              <w:rPr>
                <w:sz w:val="16"/>
                <w:szCs w:val="16"/>
              </w:rPr>
              <w:t xml:space="preserve">innovation en matière de médicaments et de diagnostic) et conformément aux </w:t>
            </w:r>
            <w:proofErr w:type="spellStart"/>
            <w:r w:rsidRPr="005C7CCE">
              <w:rPr>
                <w:sz w:val="16"/>
                <w:szCs w:val="16"/>
              </w:rPr>
              <w:t>mémorandums</w:t>
            </w:r>
            <w:proofErr w:type="spellEnd"/>
            <w:r w:rsidRPr="005C7CCE">
              <w:rPr>
                <w:sz w:val="16"/>
                <w:szCs w:val="16"/>
              </w:rPr>
              <w:t xml:space="preserve"> d</w:t>
            </w:r>
            <w:r w:rsidR="00A20444" w:rsidRPr="005C7CCE">
              <w:rPr>
                <w:sz w:val="16"/>
                <w:szCs w:val="16"/>
              </w:rPr>
              <w:t>’</w:t>
            </w:r>
            <w:r w:rsidRPr="005C7CCE">
              <w:rPr>
                <w:sz w:val="16"/>
                <w:szCs w:val="16"/>
              </w:rPr>
              <w:t>accord, un séminaire de formation sur la propriété intellectuelle a été organisé pour les membres du réseau ANDI à Genève en novembre 2012.</w:t>
            </w:r>
          </w:p>
          <w:p w:rsidR="00D42474" w:rsidRDefault="00D42474" w:rsidP="001A5BF9">
            <w:pPr>
              <w:rPr>
                <w:rFonts w:cs="Arial"/>
                <w:sz w:val="16"/>
                <w:szCs w:val="16"/>
                <w:lang w:bidi="th-TH"/>
              </w:rPr>
            </w:pPr>
          </w:p>
          <w:p w:rsidR="00D42474" w:rsidRDefault="00784E52" w:rsidP="001A5BF9">
            <w:pPr>
              <w:rPr>
                <w:rFonts w:cs="Arial"/>
                <w:sz w:val="16"/>
                <w:szCs w:val="16"/>
                <w:lang w:bidi="th-TH"/>
              </w:rPr>
            </w:pPr>
            <w:r w:rsidRPr="005C7CCE">
              <w:rPr>
                <w:sz w:val="16"/>
                <w:szCs w:val="16"/>
              </w:rPr>
              <w:t>En coopération avec l</w:t>
            </w:r>
            <w:r w:rsidR="00A20444" w:rsidRPr="005C7CCE">
              <w:rPr>
                <w:sz w:val="16"/>
                <w:szCs w:val="16"/>
              </w:rPr>
              <w:t>’</w:t>
            </w:r>
            <w:r w:rsidRPr="005C7CCE">
              <w:rPr>
                <w:sz w:val="16"/>
                <w:szCs w:val="16"/>
              </w:rPr>
              <w:t>OMC et l</w:t>
            </w:r>
            <w:r w:rsidR="00A20444" w:rsidRPr="005C7CCE">
              <w:rPr>
                <w:sz w:val="16"/>
                <w:szCs w:val="16"/>
              </w:rPr>
              <w:t>’</w:t>
            </w:r>
            <w:r w:rsidRPr="005C7CCE">
              <w:rPr>
                <w:sz w:val="16"/>
                <w:szCs w:val="16"/>
              </w:rPr>
              <w:t>OMS, un colloque technique commun a eu lieu en juillet 2013 sur le thème de l</w:t>
            </w:r>
            <w:r w:rsidR="00A20444" w:rsidRPr="005C7CCE">
              <w:rPr>
                <w:sz w:val="16"/>
                <w:szCs w:val="16"/>
              </w:rPr>
              <w:t>’</w:t>
            </w:r>
            <w:r w:rsidRPr="005C7CCE">
              <w:rPr>
                <w:sz w:val="16"/>
                <w:szCs w:val="16"/>
              </w:rPr>
              <w:t>innovation médicale</w:t>
            </w:r>
            <w:r w:rsidR="0010442A" w:rsidRPr="005C7CCE">
              <w:rPr>
                <w:sz w:val="16"/>
                <w:szCs w:val="16"/>
              </w:rPr>
              <w:t xml:space="preserve"> –</w:t>
            </w:r>
            <w:r w:rsidRPr="005C7CCE">
              <w:rPr>
                <w:sz w:val="16"/>
                <w:szCs w:val="16"/>
              </w:rPr>
              <w:t xml:space="preserve"> adapter les modèles commerciaux.</w:t>
            </w:r>
          </w:p>
          <w:p w:rsidR="00D42474" w:rsidRDefault="00D42474" w:rsidP="001A5BF9">
            <w:pPr>
              <w:rPr>
                <w:rFonts w:cs="Arial"/>
                <w:sz w:val="16"/>
                <w:szCs w:val="16"/>
                <w:lang w:bidi="th-TH"/>
              </w:rPr>
            </w:pPr>
          </w:p>
          <w:p w:rsidR="00784E52" w:rsidRPr="005C7CCE" w:rsidRDefault="00784E52" w:rsidP="001A5BF9">
            <w:pPr>
              <w:rPr>
                <w:rFonts w:cs="Arial"/>
                <w:sz w:val="16"/>
                <w:szCs w:val="16"/>
                <w:lang w:bidi="th-TH"/>
              </w:rPr>
            </w:pPr>
            <w:r w:rsidRPr="005C7CCE">
              <w:rPr>
                <w:sz w:val="16"/>
                <w:szCs w:val="16"/>
              </w:rPr>
              <w:t>En coopération avec l</w:t>
            </w:r>
            <w:r w:rsidR="00A20444" w:rsidRPr="005C7CCE">
              <w:rPr>
                <w:sz w:val="16"/>
                <w:szCs w:val="16"/>
              </w:rPr>
              <w:t>’</w:t>
            </w:r>
            <w:r w:rsidRPr="005C7CCE">
              <w:rPr>
                <w:sz w:val="16"/>
                <w:szCs w:val="16"/>
              </w:rPr>
              <w:t>OMC et l</w:t>
            </w:r>
            <w:r w:rsidR="00A20444" w:rsidRPr="005C7CCE">
              <w:rPr>
                <w:sz w:val="16"/>
                <w:szCs w:val="16"/>
              </w:rPr>
              <w:t>’</w:t>
            </w:r>
            <w:r w:rsidRPr="005C7CCE">
              <w:rPr>
                <w:sz w:val="16"/>
                <w:szCs w:val="16"/>
              </w:rPr>
              <w:t xml:space="preserve">OMS, une étude trilatérale intitulée </w:t>
            </w:r>
            <w:r w:rsidRPr="005C7CCE">
              <w:rPr>
                <w:i/>
                <w:sz w:val="16"/>
                <w:szCs w:val="16"/>
              </w:rPr>
              <w:t>Promouvoir l</w:t>
            </w:r>
            <w:r w:rsidR="00A20444" w:rsidRPr="005C7CCE">
              <w:rPr>
                <w:i/>
                <w:sz w:val="16"/>
                <w:szCs w:val="16"/>
              </w:rPr>
              <w:t>’</w:t>
            </w:r>
            <w:r w:rsidRPr="005C7CCE">
              <w:rPr>
                <w:i/>
                <w:sz w:val="16"/>
                <w:szCs w:val="16"/>
              </w:rPr>
              <w:t>accès aux technologies et l</w:t>
            </w:r>
            <w:r w:rsidR="00A20444" w:rsidRPr="005C7CCE">
              <w:rPr>
                <w:i/>
                <w:sz w:val="16"/>
                <w:szCs w:val="16"/>
              </w:rPr>
              <w:t>’</w:t>
            </w:r>
            <w:r w:rsidRPr="005C7CCE">
              <w:rPr>
                <w:i/>
                <w:sz w:val="16"/>
                <w:szCs w:val="16"/>
              </w:rPr>
              <w:t>innovation dans le domaine médical : convergences entre santé publique, propriété intellectuelle et commerce</w:t>
            </w:r>
            <w:r w:rsidRPr="005C7CCE">
              <w:rPr>
                <w:rStyle w:val="FootnoteReference"/>
                <w:i/>
                <w:sz w:val="16"/>
                <w:szCs w:val="16"/>
              </w:rPr>
              <w:footnoteReference w:id="37"/>
            </w:r>
            <w:r w:rsidRPr="005C7CCE">
              <w:rPr>
                <w:i/>
                <w:sz w:val="16"/>
                <w:szCs w:val="16"/>
              </w:rPr>
              <w:t xml:space="preserve"> </w:t>
            </w:r>
            <w:r w:rsidRPr="005C7CCE">
              <w:rPr>
                <w:sz w:val="16"/>
                <w:szCs w:val="16"/>
              </w:rPr>
              <w:t>a été publiée en janvier 2013.</w:t>
            </w:r>
            <w:r w:rsidRPr="005C7CCE">
              <w:rPr>
                <w:sz w:val="16"/>
              </w:rPr>
              <w:t xml:space="preserve"> </w:t>
            </w:r>
            <w:r w:rsidR="0010442A" w:rsidRPr="005C7CCE">
              <w:rPr>
                <w:sz w:val="16"/>
                <w:szCs w:val="16"/>
              </w:rPr>
              <w:t xml:space="preserve"> </w:t>
            </w:r>
          </w:p>
        </w:tc>
        <w:tc>
          <w:tcPr>
            <w:tcW w:w="682" w:type="pct"/>
            <w:tcBorders>
              <w:bottom w:val="single" w:sz="4" w:space="0" w:color="auto"/>
            </w:tcBorders>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784E52" w:rsidRPr="002D02F3" w:rsidTr="00BB3F3E">
        <w:trPr>
          <w:cantSplit/>
        </w:trPr>
        <w:tc>
          <w:tcPr>
            <w:tcW w:w="5000" w:type="pct"/>
            <w:gridSpan w:val="6"/>
            <w:tcBorders>
              <w:top w:val="single" w:sz="4" w:space="0" w:color="auto"/>
              <w:bottom w:val="single" w:sz="4" w:space="0" w:color="auto"/>
            </w:tcBorders>
            <w:shd w:val="clear" w:color="auto" w:fill="CCFFFF"/>
            <w:vAlign w:val="center"/>
          </w:tcPr>
          <w:p w:rsidR="00784E52" w:rsidRPr="002D02F3" w:rsidRDefault="00784E52" w:rsidP="001A5BF9">
            <w:pPr>
              <w:keepNext/>
              <w:keepLines/>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Les instruments axés sur la propriété intellectuelle sont utilisés pour le transfert de technologie entre les pays développés et les pays en développement, notamment les pays les moins avancés, pour répondre aux défis mondiaux</w:t>
            </w:r>
          </w:p>
        </w:tc>
      </w:tr>
      <w:tr w:rsidR="00784E52" w:rsidRPr="002D02F3" w:rsidTr="00BB3F3E">
        <w:trPr>
          <w:cantSplit/>
        </w:trPr>
        <w:tc>
          <w:tcPr>
            <w:tcW w:w="861" w:type="pct"/>
            <w:tcBorders>
              <w:top w:val="single" w:sz="4" w:space="0" w:color="auto"/>
            </w:tcBorders>
            <w:shd w:val="clear" w:color="auto" w:fill="auto"/>
            <w:vAlign w:val="center"/>
          </w:tcPr>
          <w:p w:rsidR="00784E52" w:rsidRPr="002D02F3" w:rsidRDefault="00784E52" w:rsidP="00866763">
            <w:pPr>
              <w:keepNext/>
              <w:keepLines/>
              <w:rPr>
                <w:rFonts w:cs="Arial"/>
                <w:b/>
                <w:sz w:val="16"/>
                <w:szCs w:val="16"/>
              </w:rPr>
            </w:pPr>
            <w:r w:rsidRPr="002D02F3">
              <w:rPr>
                <w:b/>
                <w:sz w:val="16"/>
              </w:rPr>
              <w:t>Indicateurs d</w:t>
            </w:r>
            <w:r w:rsidR="00A20444" w:rsidRPr="002D02F3">
              <w:rPr>
                <w:b/>
                <w:sz w:val="16"/>
              </w:rPr>
              <w:t>’</w:t>
            </w:r>
            <w:r w:rsidRPr="002D02F3">
              <w:rPr>
                <w:b/>
                <w:sz w:val="16"/>
              </w:rPr>
              <w:t>exécution</w:t>
            </w:r>
          </w:p>
        </w:tc>
        <w:tc>
          <w:tcPr>
            <w:tcW w:w="906" w:type="pct"/>
            <w:tcBorders>
              <w:top w:val="single" w:sz="4" w:space="0" w:color="auto"/>
            </w:tcBorders>
            <w:shd w:val="clear" w:color="auto" w:fill="auto"/>
            <w:vAlign w:val="center"/>
          </w:tcPr>
          <w:p w:rsidR="00784E52" w:rsidRPr="002D02F3" w:rsidRDefault="00784E52" w:rsidP="00866763">
            <w:pPr>
              <w:keepNext/>
              <w:keepLines/>
              <w:rPr>
                <w:rFonts w:cs="Arial"/>
                <w:b/>
                <w:bCs/>
                <w:sz w:val="16"/>
                <w:szCs w:val="16"/>
              </w:rPr>
            </w:pPr>
            <w:r w:rsidRPr="002D02F3">
              <w:rPr>
                <w:b/>
                <w:sz w:val="16"/>
              </w:rPr>
              <w:t>Niveaux de référence</w:t>
            </w:r>
          </w:p>
        </w:tc>
        <w:tc>
          <w:tcPr>
            <w:tcW w:w="905" w:type="pct"/>
            <w:gridSpan w:val="2"/>
            <w:tcBorders>
              <w:top w:val="single" w:sz="4" w:space="0" w:color="auto"/>
            </w:tcBorders>
            <w:shd w:val="clear" w:color="auto" w:fill="auto"/>
            <w:tcMar>
              <w:top w:w="110" w:type="dxa"/>
            </w:tcMar>
            <w:vAlign w:val="center"/>
          </w:tcPr>
          <w:p w:rsidR="00784E52" w:rsidRPr="002D02F3" w:rsidRDefault="00784E52" w:rsidP="00866763">
            <w:pPr>
              <w:keepNext/>
              <w:keepLines/>
              <w:rPr>
                <w:rFonts w:cs="Arial"/>
                <w:b/>
                <w:sz w:val="16"/>
                <w:szCs w:val="16"/>
              </w:rPr>
            </w:pPr>
            <w:r w:rsidRPr="002D02F3">
              <w:rPr>
                <w:b/>
                <w:sz w:val="16"/>
              </w:rPr>
              <w:t>Objectifs visés</w:t>
            </w:r>
          </w:p>
        </w:tc>
        <w:tc>
          <w:tcPr>
            <w:tcW w:w="1646" w:type="pct"/>
            <w:tcBorders>
              <w:top w:val="single" w:sz="4" w:space="0" w:color="auto"/>
            </w:tcBorders>
            <w:shd w:val="clear" w:color="auto" w:fill="FFFFFF"/>
            <w:tcMar>
              <w:top w:w="110" w:type="dxa"/>
            </w:tcMar>
            <w:vAlign w:val="center"/>
          </w:tcPr>
          <w:p w:rsidR="00784E52" w:rsidRPr="002D02F3" w:rsidRDefault="00784E52" w:rsidP="00866763">
            <w:pPr>
              <w:keepNext/>
              <w:keepLines/>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784E52" w:rsidRPr="002D02F3" w:rsidRDefault="00784E52" w:rsidP="001A5BF9">
            <w:pPr>
              <w:keepNext/>
              <w:keepLines/>
              <w:jc w:val="center"/>
              <w:rPr>
                <w:rFonts w:cs="Arial"/>
                <w:b/>
                <w:bCs/>
                <w:sz w:val="16"/>
                <w:szCs w:val="16"/>
              </w:rPr>
            </w:pPr>
            <w:r w:rsidRPr="002D02F3">
              <w:rPr>
                <w:b/>
                <w:sz w:val="16"/>
              </w:rPr>
              <w:t>Code de couleurs</w:t>
            </w:r>
          </w:p>
        </w:tc>
      </w:tr>
      <w:tr w:rsidR="00784E52" w:rsidRPr="005C7CCE" w:rsidTr="00BB3F3E">
        <w:trPr>
          <w:cantSplit/>
        </w:trPr>
        <w:tc>
          <w:tcPr>
            <w:tcW w:w="861" w:type="pct"/>
            <w:shd w:val="clear" w:color="auto" w:fill="auto"/>
          </w:tcPr>
          <w:p w:rsidR="00784E52" w:rsidRPr="00866763" w:rsidRDefault="00784E52" w:rsidP="001A5BF9">
            <w:pPr>
              <w:rPr>
                <w:rFonts w:cs="Arial"/>
                <w:sz w:val="16"/>
                <w:szCs w:val="16"/>
              </w:rPr>
            </w:pPr>
            <w:r w:rsidRPr="00866763">
              <w:rPr>
                <w:sz w:val="16"/>
              </w:rPr>
              <w:t>Nombre de participants des plates</w:t>
            </w:r>
            <w:r w:rsidR="002D6F2A" w:rsidRPr="00866763">
              <w:rPr>
                <w:sz w:val="16"/>
              </w:rPr>
              <w:noBreakHyphen/>
            </w:r>
            <w:r w:rsidRPr="00866763">
              <w:rPr>
                <w:sz w:val="16"/>
              </w:rPr>
              <w:t xml:space="preserve">formes axées sur la propriété intellectuelle </w:t>
            </w:r>
          </w:p>
        </w:tc>
        <w:tc>
          <w:tcPr>
            <w:tcW w:w="906" w:type="pct"/>
            <w:shd w:val="clear" w:color="auto" w:fill="auto"/>
          </w:tcPr>
          <w:p w:rsidR="00D42474" w:rsidRDefault="00784E52" w:rsidP="001A5BF9">
            <w:pPr>
              <w:rPr>
                <w:i/>
                <w:color w:val="002060"/>
                <w:sz w:val="16"/>
              </w:rPr>
            </w:pPr>
            <w:r w:rsidRPr="005C7CCE">
              <w:rPr>
                <w:i/>
                <w:color w:val="002060"/>
                <w:sz w:val="16"/>
              </w:rPr>
              <w:t>Niveau de référence actualisé fin 2011 :</w:t>
            </w:r>
          </w:p>
          <w:p w:rsidR="00D42474" w:rsidRDefault="00784E52" w:rsidP="001A5BF9">
            <w:pPr>
              <w:rPr>
                <w:rFonts w:cs="Arial"/>
                <w:color w:val="002060"/>
                <w:sz w:val="16"/>
                <w:szCs w:val="16"/>
                <w:lang w:val="en-US"/>
              </w:rPr>
            </w:pPr>
            <w:proofErr w:type="spellStart"/>
            <w:r w:rsidRPr="00733F94">
              <w:rPr>
                <w:color w:val="002060"/>
                <w:sz w:val="16"/>
                <w:lang w:val="en-US"/>
              </w:rPr>
              <w:t>WIPO</w:t>
            </w:r>
            <w:proofErr w:type="spellEnd"/>
            <w:r w:rsidRPr="00733F94">
              <w:rPr>
                <w:color w:val="002060"/>
                <w:sz w:val="16"/>
                <w:lang w:val="en-US"/>
              </w:rPr>
              <w:t xml:space="preserve"> </w:t>
            </w:r>
            <w:proofErr w:type="spellStart"/>
            <w:r w:rsidRPr="00733F94">
              <w:rPr>
                <w:color w:val="002060"/>
                <w:sz w:val="16"/>
                <w:lang w:val="en-US"/>
              </w:rPr>
              <w:t>Re:Search</w:t>
            </w:r>
            <w:proofErr w:type="spellEnd"/>
            <w:r w:rsidR="0010442A" w:rsidRPr="00733F94">
              <w:rPr>
                <w:color w:val="002060"/>
                <w:sz w:val="16"/>
                <w:lang w:val="en-US"/>
              </w:rPr>
              <w:t> </w:t>
            </w:r>
            <w:r w:rsidRPr="00733F94">
              <w:rPr>
                <w:color w:val="002060"/>
                <w:sz w:val="16"/>
                <w:lang w:val="en-US"/>
              </w:rPr>
              <w:t>:</w:t>
            </w:r>
            <w:r w:rsidRPr="00733F94">
              <w:rPr>
                <w:color w:val="002060"/>
                <w:lang w:val="en-US"/>
              </w:rPr>
              <w:br/>
            </w:r>
            <w:r w:rsidRPr="00733F94">
              <w:rPr>
                <w:color w:val="002060"/>
                <w:sz w:val="16"/>
                <w:lang w:val="en-US"/>
              </w:rPr>
              <w:t>31 participants</w:t>
            </w:r>
          </w:p>
          <w:p w:rsidR="00D42474" w:rsidRDefault="00784E52" w:rsidP="001A5BF9">
            <w:pPr>
              <w:rPr>
                <w:rFonts w:cs="Arial"/>
                <w:color w:val="002060"/>
                <w:sz w:val="16"/>
                <w:szCs w:val="16"/>
                <w:lang w:val="en-US"/>
              </w:rPr>
            </w:pPr>
            <w:proofErr w:type="spellStart"/>
            <w:r w:rsidRPr="00733F94">
              <w:rPr>
                <w:color w:val="002060"/>
                <w:sz w:val="16"/>
                <w:lang w:val="en-US"/>
              </w:rPr>
              <w:t>WIPO</w:t>
            </w:r>
            <w:proofErr w:type="spellEnd"/>
            <w:r w:rsidRPr="00733F94">
              <w:rPr>
                <w:color w:val="002060"/>
                <w:sz w:val="16"/>
                <w:lang w:val="en-US"/>
              </w:rPr>
              <w:t xml:space="preserve"> GREEN</w:t>
            </w:r>
            <w:r w:rsidR="0010442A" w:rsidRPr="00733F94">
              <w:rPr>
                <w:color w:val="002060"/>
                <w:sz w:val="16"/>
                <w:lang w:val="en-US"/>
              </w:rPr>
              <w:t> </w:t>
            </w:r>
            <w:r w:rsidRPr="00733F94">
              <w:rPr>
                <w:color w:val="002060"/>
                <w:sz w:val="16"/>
                <w:lang w:val="en-US"/>
              </w:rPr>
              <w:t>:</w:t>
            </w:r>
            <w:r w:rsidRPr="00733F94">
              <w:rPr>
                <w:color w:val="002060"/>
                <w:lang w:val="en-US"/>
              </w:rPr>
              <w:br/>
            </w:r>
            <w:r w:rsidRPr="00733F94">
              <w:rPr>
                <w:color w:val="002060"/>
                <w:sz w:val="16"/>
                <w:lang w:val="en-US"/>
              </w:rPr>
              <w:t>14 participants</w:t>
            </w:r>
          </w:p>
          <w:p w:rsidR="00D42474" w:rsidRDefault="00D42474" w:rsidP="001A5BF9">
            <w:pPr>
              <w:rPr>
                <w:i/>
                <w:sz w:val="16"/>
                <w:lang w:val="en-US"/>
              </w:rPr>
            </w:pPr>
          </w:p>
          <w:p w:rsidR="00784E52" w:rsidRPr="005C7CCE" w:rsidRDefault="00784E52"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0</w:t>
            </w:r>
          </w:p>
        </w:tc>
        <w:tc>
          <w:tcPr>
            <w:tcW w:w="905" w:type="pct"/>
            <w:gridSpan w:val="2"/>
            <w:shd w:val="clear" w:color="auto" w:fill="auto"/>
            <w:tcMar>
              <w:top w:w="110" w:type="dxa"/>
            </w:tcMar>
          </w:tcPr>
          <w:p w:rsidR="00784E52" w:rsidRPr="005C7CCE" w:rsidRDefault="00784E52" w:rsidP="001A5BF9">
            <w:pPr>
              <w:rPr>
                <w:rFonts w:cs="Arial"/>
                <w:sz w:val="16"/>
                <w:szCs w:val="16"/>
              </w:rPr>
            </w:pPr>
            <w:r w:rsidRPr="005C7CCE">
              <w:rPr>
                <w:sz w:val="16"/>
              </w:rPr>
              <w:t>8</w:t>
            </w:r>
            <w:r w:rsidR="002D6F2A" w:rsidRPr="005C7CCE">
              <w:rPr>
                <w:sz w:val="16"/>
              </w:rPr>
              <w:noBreakHyphen/>
            </w:r>
            <w:r w:rsidRPr="005C7CCE">
              <w:rPr>
                <w:sz w:val="16"/>
              </w:rPr>
              <w:t xml:space="preserve">10 participants </w:t>
            </w:r>
          </w:p>
        </w:tc>
        <w:tc>
          <w:tcPr>
            <w:tcW w:w="1646" w:type="pct"/>
            <w:shd w:val="clear" w:color="auto" w:fill="FFFFFF"/>
            <w:tcMar>
              <w:top w:w="110" w:type="dxa"/>
            </w:tcMar>
          </w:tcPr>
          <w:p w:rsidR="00D42474" w:rsidRDefault="00784E52" w:rsidP="001A5BF9">
            <w:pPr>
              <w:rPr>
                <w:rFonts w:cs="Arial"/>
                <w:sz w:val="16"/>
                <w:szCs w:val="16"/>
                <w:lang w:bidi="th-TH"/>
              </w:rPr>
            </w:pPr>
            <w:r w:rsidRPr="005C7CCE">
              <w:rPr>
                <w:sz w:val="16"/>
              </w:rPr>
              <w:t>Au cours de l</w:t>
            </w:r>
            <w:r w:rsidR="00A20444" w:rsidRPr="005C7CCE">
              <w:rPr>
                <w:sz w:val="16"/>
              </w:rPr>
              <w:t>’</w:t>
            </w:r>
            <w:r w:rsidRPr="005C7CCE">
              <w:rPr>
                <w:sz w:val="16"/>
              </w:rPr>
              <w:t>exercice biennal, WIPO </w:t>
            </w:r>
            <w:proofErr w:type="spellStart"/>
            <w:r w:rsidRPr="005C7CCE">
              <w:rPr>
                <w:sz w:val="16"/>
              </w:rPr>
              <w:t>Re:Search</w:t>
            </w:r>
            <w:proofErr w:type="spellEnd"/>
            <w:r w:rsidRPr="005C7CCE">
              <w:rPr>
                <w:sz w:val="16"/>
              </w:rPr>
              <w:t xml:space="preserve"> a ajouté 49 nouveaux membres (fournisseurs, utilisateurs et partisans) et 167 nouvelles entrées dans la base de données :</w:t>
            </w:r>
          </w:p>
          <w:p w:rsidR="00D42474" w:rsidRDefault="00784E52" w:rsidP="001A5BF9">
            <w:pPr>
              <w:pStyle w:val="Paragraphedeliste"/>
              <w:numPr>
                <w:ilvl w:val="0"/>
                <w:numId w:val="51"/>
              </w:numPr>
              <w:ind w:left="278" w:hanging="278"/>
              <w:rPr>
                <w:sz w:val="16"/>
              </w:rPr>
            </w:pPr>
            <w:r w:rsidRPr="005C7CCE">
              <w:rPr>
                <w:sz w:val="16"/>
              </w:rPr>
              <w:t>30 nouveaux membres et 90 nouvelles entrées en 2012;</w:t>
            </w:r>
            <w:r w:rsidR="004F3E42" w:rsidRPr="005C7CCE">
              <w:rPr>
                <w:sz w:val="16"/>
              </w:rPr>
              <w:t xml:space="preserve"> </w:t>
            </w:r>
            <w:r w:rsidR="0010442A" w:rsidRPr="005C7CCE">
              <w:rPr>
                <w:sz w:val="16"/>
              </w:rPr>
              <w:t xml:space="preserve"> </w:t>
            </w:r>
            <w:r w:rsidRPr="005C7CCE">
              <w:rPr>
                <w:sz w:val="16"/>
              </w:rPr>
              <w:t>et</w:t>
            </w:r>
          </w:p>
          <w:p w:rsidR="00D42474" w:rsidRDefault="00784E52" w:rsidP="001A5BF9">
            <w:pPr>
              <w:pStyle w:val="Paragraphedeliste"/>
              <w:numPr>
                <w:ilvl w:val="0"/>
                <w:numId w:val="51"/>
              </w:numPr>
              <w:ind w:left="278" w:hanging="278"/>
              <w:rPr>
                <w:rFonts w:cs="Arial"/>
                <w:lang w:bidi="th-TH"/>
              </w:rPr>
            </w:pPr>
            <w:r w:rsidRPr="005C7CCE">
              <w:rPr>
                <w:sz w:val="16"/>
              </w:rPr>
              <w:t>19 nouveaux membres et 77 nouvelles entrées en 2013</w:t>
            </w:r>
          </w:p>
          <w:p w:rsidR="00D42474" w:rsidRDefault="00784E52" w:rsidP="001A5BF9">
            <w:pPr>
              <w:rPr>
                <w:rFonts w:cs="Arial"/>
                <w:sz w:val="16"/>
                <w:szCs w:val="16"/>
                <w:lang w:bidi="th-TH"/>
              </w:rPr>
            </w:pPr>
            <w:r w:rsidRPr="005C7CCE">
              <w:rPr>
                <w:sz w:val="16"/>
              </w:rPr>
              <w:t>portant le total cumulé à 80 membres et 247 entrées.</w:t>
            </w:r>
          </w:p>
          <w:p w:rsidR="00D42474" w:rsidRDefault="00D42474" w:rsidP="001A5BF9">
            <w:pPr>
              <w:rPr>
                <w:rFonts w:cs="Arial"/>
                <w:sz w:val="8"/>
                <w:szCs w:val="8"/>
              </w:rPr>
            </w:pPr>
          </w:p>
          <w:p w:rsidR="00784E52" w:rsidRPr="005C7CCE" w:rsidRDefault="00784E52" w:rsidP="001A5BF9">
            <w:pPr>
              <w:rPr>
                <w:rFonts w:cs="Arial"/>
                <w:sz w:val="16"/>
                <w:szCs w:val="16"/>
              </w:rPr>
            </w:pPr>
            <w:r w:rsidRPr="005C7CCE">
              <w:rPr>
                <w:sz w:val="16"/>
              </w:rPr>
              <w:t>WIPO GREEN : 62 membres (37 partenaires, 25 fournisseurs de technologies et de prestations) (cumul).</w:t>
            </w:r>
          </w:p>
        </w:tc>
        <w:tc>
          <w:tcPr>
            <w:tcW w:w="682"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r w:rsidR="00784E52" w:rsidRPr="005C7CCE" w:rsidTr="00BB3F3E">
        <w:trPr>
          <w:cantSplit/>
        </w:trPr>
        <w:tc>
          <w:tcPr>
            <w:tcW w:w="861" w:type="pct"/>
            <w:tcBorders>
              <w:bottom w:val="single" w:sz="4" w:space="0" w:color="auto"/>
            </w:tcBorders>
            <w:shd w:val="clear" w:color="auto" w:fill="auto"/>
          </w:tcPr>
          <w:p w:rsidR="00784E52" w:rsidRPr="00866763" w:rsidRDefault="00784E52" w:rsidP="001A5BF9">
            <w:pPr>
              <w:rPr>
                <w:rFonts w:cs="Arial"/>
                <w:sz w:val="16"/>
                <w:szCs w:val="16"/>
              </w:rPr>
            </w:pPr>
            <w:r w:rsidRPr="00866763">
              <w:rPr>
                <w:sz w:val="16"/>
              </w:rPr>
              <w:t>Nombre de transactions conclues au moyen des plates</w:t>
            </w:r>
            <w:r w:rsidR="002D6F2A" w:rsidRPr="00866763">
              <w:rPr>
                <w:sz w:val="16"/>
              </w:rPr>
              <w:noBreakHyphen/>
            </w:r>
            <w:r w:rsidRPr="00866763">
              <w:rPr>
                <w:sz w:val="16"/>
              </w:rPr>
              <w:t>formes</w:t>
            </w:r>
          </w:p>
        </w:tc>
        <w:tc>
          <w:tcPr>
            <w:tcW w:w="906" w:type="pct"/>
            <w:tcBorders>
              <w:bottom w:val="single" w:sz="4" w:space="0" w:color="auto"/>
            </w:tcBorders>
            <w:shd w:val="clear" w:color="auto" w:fill="auto"/>
          </w:tcPr>
          <w:p w:rsidR="00784E52" w:rsidRPr="005C7CCE" w:rsidRDefault="00784E52" w:rsidP="001A5BF9">
            <w:pPr>
              <w:rPr>
                <w:rFonts w:cs="Arial"/>
                <w:sz w:val="16"/>
                <w:szCs w:val="16"/>
              </w:rPr>
            </w:pPr>
            <w:r w:rsidRPr="005C7CCE">
              <w:rPr>
                <w:sz w:val="16"/>
              </w:rPr>
              <w:t>0</w:t>
            </w:r>
          </w:p>
        </w:tc>
        <w:tc>
          <w:tcPr>
            <w:tcW w:w="905" w:type="pct"/>
            <w:gridSpan w:val="2"/>
            <w:tcBorders>
              <w:bottom w:val="single" w:sz="4" w:space="0" w:color="auto"/>
            </w:tcBorders>
            <w:shd w:val="clear" w:color="auto" w:fill="auto"/>
            <w:tcMar>
              <w:top w:w="110" w:type="dxa"/>
            </w:tcMar>
          </w:tcPr>
          <w:p w:rsidR="00D42474" w:rsidRDefault="00784E52" w:rsidP="001A5BF9">
            <w:pPr>
              <w:autoSpaceDE w:val="0"/>
              <w:autoSpaceDN w:val="0"/>
              <w:adjustRightInd w:val="0"/>
              <w:rPr>
                <w:rFonts w:cs="Arial"/>
                <w:sz w:val="16"/>
                <w:szCs w:val="16"/>
              </w:rPr>
            </w:pPr>
            <w:r w:rsidRPr="005C7CCE">
              <w:rPr>
                <w:sz w:val="16"/>
              </w:rPr>
              <w:t>10 transactions</w:t>
            </w:r>
          </w:p>
          <w:p w:rsidR="00784E52" w:rsidRPr="005C7CCE" w:rsidRDefault="00784E52" w:rsidP="001A5BF9">
            <w:pPr>
              <w:rPr>
                <w:rFonts w:cs="Arial"/>
                <w:sz w:val="16"/>
                <w:szCs w:val="16"/>
              </w:rPr>
            </w:pPr>
            <w:r w:rsidRPr="005C7CCE">
              <w:rPr>
                <w:sz w:val="16"/>
              </w:rPr>
              <w:t>conclues</w:t>
            </w:r>
          </w:p>
        </w:tc>
        <w:tc>
          <w:tcPr>
            <w:tcW w:w="1646" w:type="pct"/>
            <w:tcBorders>
              <w:bottom w:val="single" w:sz="4" w:space="0" w:color="auto"/>
            </w:tcBorders>
            <w:shd w:val="clear" w:color="auto" w:fill="FFFFFF"/>
            <w:tcMar>
              <w:top w:w="110" w:type="dxa"/>
            </w:tcMar>
          </w:tcPr>
          <w:p w:rsidR="00D42474" w:rsidRDefault="00784E52" w:rsidP="001A5BF9">
            <w:pPr>
              <w:rPr>
                <w:rFonts w:cs="Arial"/>
                <w:sz w:val="16"/>
                <w:szCs w:val="16"/>
                <w:lang w:bidi="th-TH"/>
              </w:rPr>
            </w:pPr>
            <w:r w:rsidRPr="005C7CCE">
              <w:rPr>
                <w:sz w:val="16"/>
              </w:rPr>
              <w:t>Fin 2013, WIPO </w:t>
            </w:r>
            <w:proofErr w:type="spellStart"/>
            <w:r w:rsidRPr="005C7CCE">
              <w:rPr>
                <w:sz w:val="16"/>
              </w:rPr>
              <w:t>Re:Search</w:t>
            </w:r>
            <w:proofErr w:type="spellEnd"/>
            <w:r w:rsidRPr="005C7CCE">
              <w:rPr>
                <w:sz w:val="16"/>
              </w:rPr>
              <w:t xml:space="preserve"> avait favorisé 44 activités de collaboration en matière de recherche (11 en</w:t>
            </w:r>
            <w:r w:rsidR="0010442A" w:rsidRPr="005C7CCE">
              <w:rPr>
                <w:sz w:val="16"/>
              </w:rPr>
              <w:t> </w:t>
            </w:r>
            <w:r w:rsidRPr="005C7CCE">
              <w:rPr>
                <w:sz w:val="16"/>
              </w:rPr>
              <w:t>2012</w:t>
            </w:r>
            <w:r w:rsidRPr="005C7CCE">
              <w:rPr>
                <w:rStyle w:val="FootnoteReference"/>
                <w:sz w:val="16"/>
              </w:rPr>
              <w:footnoteReference w:id="38"/>
            </w:r>
            <w:r w:rsidRPr="005C7CCE">
              <w:rPr>
                <w:sz w:val="16"/>
              </w:rPr>
              <w:t xml:space="preserve"> et 33 en 2013) et avait conclu cinq accords de placement de scientifiques africains du secteur biomédical</w:t>
            </w:r>
          </w:p>
          <w:p w:rsidR="00D42474" w:rsidRDefault="00D42474" w:rsidP="001A5BF9">
            <w:pPr>
              <w:rPr>
                <w:rFonts w:cs="Arial"/>
                <w:sz w:val="8"/>
                <w:szCs w:val="8"/>
                <w:lang w:bidi="th-TH"/>
              </w:rPr>
            </w:pPr>
          </w:p>
          <w:p w:rsidR="00D42474" w:rsidRDefault="00784E52" w:rsidP="001A5BF9">
            <w:pPr>
              <w:rPr>
                <w:sz w:val="16"/>
              </w:rPr>
            </w:pPr>
            <w:r w:rsidRPr="005C7CCE">
              <w:rPr>
                <w:sz w:val="16"/>
              </w:rPr>
              <w:t>Entre 2012 et 2013, WIPO GREEN a conclu :</w:t>
            </w:r>
          </w:p>
          <w:p w:rsidR="00D42474" w:rsidRDefault="00866763" w:rsidP="001A5BF9">
            <w:pPr>
              <w:pStyle w:val="Paragraphedeliste"/>
              <w:numPr>
                <w:ilvl w:val="0"/>
                <w:numId w:val="50"/>
              </w:numPr>
              <w:ind w:left="278" w:hanging="278"/>
              <w:rPr>
                <w:rFonts w:cs="Arial"/>
                <w:sz w:val="16"/>
                <w:szCs w:val="16"/>
                <w:lang w:bidi="th-TH"/>
              </w:rPr>
            </w:pPr>
            <w:r>
              <w:rPr>
                <w:sz w:val="16"/>
              </w:rPr>
              <w:t>d</w:t>
            </w:r>
            <w:r w:rsidR="00784E52" w:rsidRPr="005C7CCE">
              <w:rPr>
                <w:sz w:val="16"/>
              </w:rPr>
              <w:t>eux accords avec des partenaires externes pour l</w:t>
            </w:r>
            <w:r w:rsidR="00A20444" w:rsidRPr="005C7CCE">
              <w:rPr>
                <w:sz w:val="16"/>
              </w:rPr>
              <w:t>’</w:t>
            </w:r>
            <w:r w:rsidR="00784E52" w:rsidRPr="005C7CCE">
              <w:rPr>
                <w:sz w:val="16"/>
              </w:rPr>
              <w:t>intégration de données</w:t>
            </w:r>
            <w:r>
              <w:rPr>
                <w:sz w:val="16"/>
              </w:rPr>
              <w:t>;</w:t>
            </w:r>
          </w:p>
          <w:p w:rsidR="00D42474" w:rsidRDefault="00866763" w:rsidP="001A5BF9">
            <w:pPr>
              <w:pStyle w:val="Paragraphedeliste"/>
              <w:numPr>
                <w:ilvl w:val="0"/>
                <w:numId w:val="50"/>
              </w:numPr>
              <w:ind w:left="278" w:hanging="278"/>
              <w:rPr>
                <w:rFonts w:cs="Arial"/>
                <w:sz w:val="16"/>
                <w:szCs w:val="16"/>
                <w:lang w:bidi="th-TH"/>
              </w:rPr>
            </w:pPr>
            <w:r>
              <w:rPr>
                <w:sz w:val="16"/>
              </w:rPr>
              <w:t>d</w:t>
            </w:r>
            <w:r w:rsidR="00784E52" w:rsidRPr="005C7CCE">
              <w:rPr>
                <w:sz w:val="16"/>
              </w:rPr>
              <w:t>eux </w:t>
            </w:r>
            <w:proofErr w:type="spellStart"/>
            <w:r w:rsidR="00784E52" w:rsidRPr="005C7CCE">
              <w:rPr>
                <w:sz w:val="16"/>
              </w:rPr>
              <w:t>mémorandums</w:t>
            </w:r>
            <w:proofErr w:type="spellEnd"/>
            <w:r w:rsidR="00784E52" w:rsidRPr="005C7CCE">
              <w:rPr>
                <w:sz w:val="16"/>
              </w:rPr>
              <w:t xml:space="preserve"> d</w:t>
            </w:r>
            <w:r w:rsidR="00A20444" w:rsidRPr="005C7CCE">
              <w:rPr>
                <w:sz w:val="16"/>
              </w:rPr>
              <w:t>’</w:t>
            </w:r>
            <w:r w:rsidR="00784E52" w:rsidRPr="005C7CCE">
              <w:rPr>
                <w:sz w:val="16"/>
              </w:rPr>
              <w:t>accord et deux échanges de lettres pour des partenariats</w:t>
            </w:r>
            <w:r>
              <w:rPr>
                <w:sz w:val="16"/>
              </w:rPr>
              <w:t>;</w:t>
            </w:r>
          </w:p>
          <w:p w:rsidR="00784E52" w:rsidRPr="005C7CCE" w:rsidRDefault="00866763" w:rsidP="001A5BF9">
            <w:pPr>
              <w:pStyle w:val="Paragraphedeliste"/>
              <w:numPr>
                <w:ilvl w:val="0"/>
                <w:numId w:val="50"/>
              </w:numPr>
              <w:ind w:left="278" w:hanging="278"/>
              <w:rPr>
                <w:rFonts w:cs="Arial"/>
                <w:sz w:val="16"/>
                <w:szCs w:val="16"/>
                <w:lang w:bidi="th-TH"/>
              </w:rPr>
            </w:pPr>
            <w:r>
              <w:rPr>
                <w:sz w:val="16"/>
              </w:rPr>
              <w:t>a</w:t>
            </w:r>
            <w:r w:rsidR="00784E52" w:rsidRPr="005C7CCE">
              <w:rPr>
                <w:sz w:val="16"/>
              </w:rPr>
              <w:t>ucune transaction n</w:t>
            </w:r>
            <w:r w:rsidR="00A20444" w:rsidRPr="005C7CCE">
              <w:rPr>
                <w:sz w:val="16"/>
              </w:rPr>
              <w:t>’</w:t>
            </w:r>
            <w:r w:rsidR="00784E52" w:rsidRPr="005C7CCE">
              <w:rPr>
                <w:sz w:val="16"/>
              </w:rPr>
              <w:t>a été conclue.</w:t>
            </w:r>
          </w:p>
        </w:tc>
        <w:tc>
          <w:tcPr>
            <w:tcW w:w="682" w:type="pct"/>
            <w:tcBorders>
              <w:bottom w:val="single" w:sz="4" w:space="0" w:color="auto"/>
            </w:tcBorders>
            <w:shd w:val="clear" w:color="auto" w:fill="auto"/>
            <w:tcMar>
              <w:top w:w="110" w:type="dxa"/>
            </w:tcMar>
          </w:tcPr>
          <w:p w:rsidR="00784E52" w:rsidRPr="005C7CCE" w:rsidRDefault="0015421B" w:rsidP="001A5BF9">
            <w:pPr>
              <w:keepNext/>
              <w:keepLines/>
              <w:jc w:val="center"/>
              <w:rPr>
                <w:rFonts w:cs="Arial"/>
                <w:bCs/>
                <w:color w:val="008000"/>
                <w:sz w:val="16"/>
                <w:szCs w:val="16"/>
              </w:rPr>
            </w:pPr>
            <w:r w:rsidRPr="0015421B">
              <w:rPr>
                <w:color w:val="E36C0A"/>
                <w:sz w:val="16"/>
              </w:rPr>
              <w:t>Objectif partiellement atteint</w:t>
            </w:r>
          </w:p>
        </w:tc>
      </w:tr>
      <w:tr w:rsidR="00784E52" w:rsidRPr="002D02F3" w:rsidTr="00BB3F3E">
        <w:trPr>
          <w:cantSplit/>
        </w:trPr>
        <w:tc>
          <w:tcPr>
            <w:tcW w:w="5000" w:type="pct"/>
            <w:gridSpan w:val="6"/>
            <w:tcBorders>
              <w:top w:val="single" w:sz="4" w:space="0" w:color="auto"/>
              <w:bottom w:val="single" w:sz="4" w:space="0" w:color="auto"/>
            </w:tcBorders>
            <w:shd w:val="clear" w:color="auto" w:fill="CCFFFF"/>
            <w:vAlign w:val="center"/>
          </w:tcPr>
          <w:p w:rsidR="00784E52" w:rsidRPr="00866763" w:rsidRDefault="00784E52" w:rsidP="00866763">
            <w:pPr>
              <w:keepNext/>
              <w:keepLines/>
              <w:spacing w:before="120" w:after="120"/>
              <w:ind w:left="1735" w:hanging="1735"/>
              <w:rPr>
                <w:rFonts w:cs="Arial"/>
                <w:b/>
                <w:bCs/>
                <w:sz w:val="16"/>
                <w:szCs w:val="16"/>
              </w:rPr>
            </w:pPr>
            <w:r w:rsidRPr="00866763">
              <w:rPr>
                <w:b/>
                <w:sz w:val="16"/>
              </w:rPr>
              <w:t>Résultat escompté</w:t>
            </w:r>
            <w:r w:rsidR="0010442A" w:rsidRPr="00866763">
              <w:rPr>
                <w:b/>
                <w:sz w:val="16"/>
              </w:rPr>
              <w:t xml:space="preserve"> : </w:t>
            </w:r>
            <w:r w:rsidRPr="00866763">
              <w:rPr>
                <w:b/>
                <w:sz w:val="16"/>
              </w:rPr>
              <w:tab/>
            </w:r>
            <w:r w:rsidRPr="00866763">
              <w:rPr>
                <w:sz w:val="16"/>
              </w:rPr>
              <w:t>Reconnaissance de l</w:t>
            </w:r>
            <w:r w:rsidR="00A20444" w:rsidRPr="00866763">
              <w:rPr>
                <w:sz w:val="16"/>
              </w:rPr>
              <w:t>’</w:t>
            </w:r>
            <w:r w:rsidRPr="00866763">
              <w:rPr>
                <w:sz w:val="16"/>
              </w:rPr>
              <w:t>OMPI en tant qu</w:t>
            </w:r>
            <w:r w:rsidR="00A20444" w:rsidRPr="00866763">
              <w:rPr>
                <w:sz w:val="16"/>
              </w:rPr>
              <w:t>’</w:t>
            </w:r>
            <w:r w:rsidRPr="00866763">
              <w:rPr>
                <w:sz w:val="16"/>
              </w:rPr>
              <w:t>instance compétente pour examiner les questions relatives à la propriété intellectuelle et à la politique en matière de concurrence</w:t>
            </w:r>
          </w:p>
        </w:tc>
      </w:tr>
      <w:tr w:rsidR="00784E52" w:rsidRPr="00866763" w:rsidTr="00BB3F3E">
        <w:trPr>
          <w:cantSplit/>
        </w:trPr>
        <w:tc>
          <w:tcPr>
            <w:tcW w:w="861" w:type="pct"/>
            <w:tcBorders>
              <w:top w:val="single" w:sz="4" w:space="0" w:color="auto"/>
            </w:tcBorders>
            <w:shd w:val="clear" w:color="auto" w:fill="auto"/>
            <w:vAlign w:val="center"/>
          </w:tcPr>
          <w:p w:rsidR="00784E52" w:rsidRPr="00866763" w:rsidRDefault="00784E52" w:rsidP="00866763">
            <w:pPr>
              <w:rPr>
                <w:rFonts w:cs="Arial"/>
                <w:b/>
                <w:sz w:val="16"/>
                <w:szCs w:val="16"/>
              </w:rPr>
            </w:pPr>
            <w:r w:rsidRPr="00866763">
              <w:rPr>
                <w:b/>
                <w:sz w:val="16"/>
              </w:rPr>
              <w:t>Indicateurs d</w:t>
            </w:r>
            <w:r w:rsidR="00A20444" w:rsidRPr="00866763">
              <w:rPr>
                <w:b/>
                <w:sz w:val="16"/>
              </w:rPr>
              <w:t>’</w:t>
            </w:r>
            <w:r w:rsidRPr="00866763">
              <w:rPr>
                <w:b/>
                <w:sz w:val="16"/>
              </w:rPr>
              <w:t>exécution</w:t>
            </w:r>
          </w:p>
        </w:tc>
        <w:tc>
          <w:tcPr>
            <w:tcW w:w="906" w:type="pct"/>
            <w:tcBorders>
              <w:top w:val="single" w:sz="4" w:space="0" w:color="auto"/>
            </w:tcBorders>
            <w:shd w:val="clear" w:color="auto" w:fill="auto"/>
            <w:vAlign w:val="center"/>
          </w:tcPr>
          <w:p w:rsidR="00784E52" w:rsidRPr="00866763" w:rsidRDefault="00784E52" w:rsidP="00866763">
            <w:pPr>
              <w:rPr>
                <w:rFonts w:cs="Arial"/>
                <w:b/>
                <w:bCs/>
                <w:sz w:val="16"/>
                <w:szCs w:val="16"/>
              </w:rPr>
            </w:pPr>
            <w:r w:rsidRPr="00866763">
              <w:rPr>
                <w:b/>
                <w:sz w:val="16"/>
              </w:rPr>
              <w:t>Niveaux de référence</w:t>
            </w:r>
          </w:p>
        </w:tc>
        <w:tc>
          <w:tcPr>
            <w:tcW w:w="905" w:type="pct"/>
            <w:gridSpan w:val="2"/>
            <w:tcBorders>
              <w:top w:val="single" w:sz="4" w:space="0" w:color="auto"/>
            </w:tcBorders>
            <w:shd w:val="clear" w:color="auto" w:fill="auto"/>
            <w:tcMar>
              <w:top w:w="110" w:type="dxa"/>
            </w:tcMar>
            <w:vAlign w:val="center"/>
          </w:tcPr>
          <w:p w:rsidR="00784E52" w:rsidRPr="00866763" w:rsidRDefault="00784E52" w:rsidP="00866763">
            <w:pPr>
              <w:rPr>
                <w:rFonts w:cs="Arial"/>
                <w:b/>
                <w:sz w:val="16"/>
                <w:szCs w:val="16"/>
              </w:rPr>
            </w:pPr>
            <w:r w:rsidRPr="00866763">
              <w:rPr>
                <w:b/>
                <w:sz w:val="16"/>
              </w:rPr>
              <w:t>Objectifs visés</w:t>
            </w:r>
          </w:p>
        </w:tc>
        <w:tc>
          <w:tcPr>
            <w:tcW w:w="1646" w:type="pct"/>
            <w:tcBorders>
              <w:top w:val="single" w:sz="4" w:space="0" w:color="auto"/>
            </w:tcBorders>
            <w:shd w:val="clear" w:color="auto" w:fill="FFFFFF"/>
            <w:tcMar>
              <w:top w:w="110" w:type="dxa"/>
            </w:tcMar>
            <w:vAlign w:val="center"/>
          </w:tcPr>
          <w:p w:rsidR="00784E52" w:rsidRPr="00866763" w:rsidRDefault="00784E52" w:rsidP="00866763">
            <w:pPr>
              <w:rPr>
                <w:rFonts w:cs="Arial"/>
                <w:b/>
                <w:sz w:val="16"/>
                <w:szCs w:val="16"/>
              </w:rPr>
            </w:pPr>
            <w:r w:rsidRPr="00866763">
              <w:rPr>
                <w:b/>
                <w:sz w:val="16"/>
              </w:rPr>
              <w:t>Données relatives à l</w:t>
            </w:r>
            <w:r w:rsidR="00A20444" w:rsidRPr="00866763">
              <w:rPr>
                <w:b/>
                <w:sz w:val="16"/>
              </w:rPr>
              <w:t>’</w:t>
            </w:r>
            <w:r w:rsidRPr="00866763">
              <w:rPr>
                <w:b/>
                <w:sz w:val="16"/>
              </w:rPr>
              <w:t>exécution</w:t>
            </w:r>
          </w:p>
        </w:tc>
        <w:tc>
          <w:tcPr>
            <w:tcW w:w="682" w:type="pct"/>
            <w:tcBorders>
              <w:top w:val="single" w:sz="4" w:space="0" w:color="auto"/>
            </w:tcBorders>
            <w:shd w:val="clear" w:color="auto" w:fill="auto"/>
            <w:tcMar>
              <w:top w:w="110" w:type="dxa"/>
            </w:tcMar>
            <w:vAlign w:val="center"/>
          </w:tcPr>
          <w:p w:rsidR="00784E52" w:rsidRPr="00866763" w:rsidRDefault="00784E52" w:rsidP="00866763">
            <w:pPr>
              <w:keepNext/>
              <w:keepLines/>
              <w:jc w:val="center"/>
              <w:rPr>
                <w:rFonts w:cs="Arial"/>
                <w:b/>
                <w:bCs/>
                <w:sz w:val="16"/>
                <w:szCs w:val="16"/>
              </w:rPr>
            </w:pPr>
            <w:r w:rsidRPr="00866763">
              <w:rPr>
                <w:b/>
                <w:sz w:val="16"/>
              </w:rPr>
              <w:t>Code de couleurs</w:t>
            </w:r>
          </w:p>
        </w:tc>
      </w:tr>
      <w:tr w:rsidR="00784E52" w:rsidRPr="005C7CCE" w:rsidTr="00BB3F3E">
        <w:trPr>
          <w:cantSplit/>
        </w:trPr>
        <w:tc>
          <w:tcPr>
            <w:tcW w:w="861" w:type="pct"/>
            <w:shd w:val="clear" w:color="auto" w:fill="auto"/>
          </w:tcPr>
          <w:p w:rsidR="00784E52" w:rsidRPr="00866763" w:rsidRDefault="00784E52" w:rsidP="001A5BF9">
            <w:pPr>
              <w:rPr>
                <w:rFonts w:cs="Arial"/>
                <w:sz w:val="16"/>
                <w:szCs w:val="16"/>
              </w:rPr>
            </w:pPr>
            <w:r w:rsidRPr="00866763">
              <w:rPr>
                <w:sz w:val="16"/>
              </w:rPr>
              <w:t>Nombre de pays demandant à l</w:t>
            </w:r>
            <w:r w:rsidR="00A20444" w:rsidRPr="00866763">
              <w:rPr>
                <w:sz w:val="16"/>
              </w:rPr>
              <w:t>’</w:t>
            </w:r>
            <w:r w:rsidRPr="00866763">
              <w:rPr>
                <w:sz w:val="16"/>
              </w:rPr>
              <w:t>OMPI une contribution dans le domaine de la propriété intellectuelle en rapport avec des questions relatives au droit de la concurrence</w:t>
            </w:r>
          </w:p>
        </w:tc>
        <w:tc>
          <w:tcPr>
            <w:tcW w:w="906" w:type="pct"/>
            <w:shd w:val="clear" w:color="auto" w:fill="auto"/>
          </w:tcPr>
          <w:p w:rsidR="00784E52" w:rsidRPr="00866763" w:rsidRDefault="00784E52" w:rsidP="001A5BF9">
            <w:pPr>
              <w:rPr>
                <w:rFonts w:cs="Arial"/>
                <w:sz w:val="16"/>
                <w:szCs w:val="16"/>
              </w:rPr>
            </w:pPr>
            <w:r w:rsidRPr="00866763">
              <w:rPr>
                <w:sz w:val="16"/>
              </w:rPr>
              <w:t xml:space="preserve">Deux demandes (au </w:t>
            </w:r>
            <w:r w:rsidR="00A20444" w:rsidRPr="00866763">
              <w:rPr>
                <w:sz w:val="16"/>
              </w:rPr>
              <w:t>1</w:t>
            </w:r>
            <w:r w:rsidR="00A20444" w:rsidRPr="00866763">
              <w:rPr>
                <w:sz w:val="16"/>
                <w:vertAlign w:val="superscript"/>
              </w:rPr>
              <w:t>er</w:t>
            </w:r>
            <w:r w:rsidR="00A20444" w:rsidRPr="00866763">
              <w:rPr>
                <w:sz w:val="16"/>
              </w:rPr>
              <w:t> décembre 20</w:t>
            </w:r>
            <w:r w:rsidRPr="00866763">
              <w:rPr>
                <w:sz w:val="16"/>
              </w:rPr>
              <w:t>10)</w:t>
            </w:r>
          </w:p>
        </w:tc>
        <w:tc>
          <w:tcPr>
            <w:tcW w:w="905" w:type="pct"/>
            <w:gridSpan w:val="2"/>
            <w:shd w:val="clear" w:color="auto" w:fill="auto"/>
            <w:tcMar>
              <w:top w:w="110" w:type="dxa"/>
            </w:tcMar>
          </w:tcPr>
          <w:p w:rsidR="00D42474" w:rsidRDefault="00784E52" w:rsidP="001A5BF9">
            <w:pPr>
              <w:autoSpaceDE w:val="0"/>
              <w:autoSpaceDN w:val="0"/>
              <w:adjustRightInd w:val="0"/>
              <w:rPr>
                <w:rFonts w:cs="Arial"/>
                <w:sz w:val="16"/>
                <w:szCs w:val="16"/>
              </w:rPr>
            </w:pPr>
            <w:r w:rsidRPr="00866763">
              <w:rPr>
                <w:sz w:val="16"/>
              </w:rPr>
              <w:t>Six demandes</w:t>
            </w:r>
          </w:p>
          <w:p w:rsidR="00784E52" w:rsidRPr="00866763" w:rsidRDefault="00784E52" w:rsidP="001A5BF9">
            <w:pPr>
              <w:rPr>
                <w:rFonts w:cs="Arial"/>
                <w:sz w:val="16"/>
                <w:szCs w:val="16"/>
              </w:rPr>
            </w:pPr>
            <w:r w:rsidRPr="00866763">
              <w:rPr>
                <w:sz w:val="16"/>
              </w:rPr>
              <w:t>(en</w:t>
            </w:r>
            <w:r w:rsidR="0010442A" w:rsidRPr="00866763">
              <w:rPr>
                <w:sz w:val="16"/>
              </w:rPr>
              <w:t> </w:t>
            </w:r>
            <w:r w:rsidRPr="00866763">
              <w:rPr>
                <w:sz w:val="16"/>
              </w:rPr>
              <w:t>2012</w:t>
            </w:r>
            <w:r w:rsidR="002D6F2A" w:rsidRPr="00866763">
              <w:rPr>
                <w:sz w:val="16"/>
              </w:rPr>
              <w:noBreakHyphen/>
            </w:r>
            <w:r w:rsidRPr="00866763">
              <w:rPr>
                <w:sz w:val="16"/>
              </w:rPr>
              <w:t>2013)</w:t>
            </w:r>
          </w:p>
        </w:tc>
        <w:tc>
          <w:tcPr>
            <w:tcW w:w="1646" w:type="pct"/>
            <w:shd w:val="clear" w:color="auto" w:fill="FFFFFF"/>
            <w:tcMar>
              <w:top w:w="110" w:type="dxa"/>
            </w:tcMar>
          </w:tcPr>
          <w:p w:rsidR="00D42474" w:rsidRDefault="00784E52" w:rsidP="001A5BF9">
            <w:pPr>
              <w:rPr>
                <w:rFonts w:cs="Arial"/>
                <w:sz w:val="16"/>
                <w:szCs w:val="16"/>
                <w:lang w:bidi="th-TH"/>
              </w:rPr>
            </w:pPr>
            <w:r w:rsidRPr="005C7CCE">
              <w:rPr>
                <w:sz w:val="16"/>
              </w:rPr>
              <w:t>Six demandes d</w:t>
            </w:r>
            <w:r w:rsidR="00A20444" w:rsidRPr="005C7CCE">
              <w:rPr>
                <w:sz w:val="16"/>
              </w:rPr>
              <w:t>’</w:t>
            </w:r>
            <w:r w:rsidRPr="005C7CCE">
              <w:rPr>
                <w:sz w:val="16"/>
              </w:rPr>
              <w:t>entretiens bilatéraux (Chili, Brésil, Équateur, Inde, République dominicaine, République de Moldova) et une demande d</w:t>
            </w:r>
            <w:r w:rsidR="00A20444" w:rsidRPr="005C7CCE">
              <w:rPr>
                <w:sz w:val="16"/>
              </w:rPr>
              <w:t>’</w:t>
            </w:r>
            <w:r w:rsidRPr="005C7CCE">
              <w:rPr>
                <w:sz w:val="16"/>
              </w:rPr>
              <w:t>assistance en matière de législation (Bhoutan).</w:t>
            </w:r>
          </w:p>
          <w:p w:rsidR="00D42474" w:rsidRDefault="00D42474" w:rsidP="001A5BF9">
            <w:pPr>
              <w:rPr>
                <w:rFonts w:cs="Arial"/>
                <w:sz w:val="8"/>
                <w:szCs w:val="8"/>
                <w:lang w:bidi="th-TH"/>
              </w:rPr>
            </w:pPr>
          </w:p>
          <w:p w:rsidR="00784E52" w:rsidRPr="005C7CCE" w:rsidRDefault="00784E52" w:rsidP="001A5BF9">
            <w:pPr>
              <w:rPr>
                <w:rFonts w:cs="Arial"/>
                <w:sz w:val="16"/>
                <w:szCs w:val="16"/>
              </w:rPr>
            </w:pPr>
            <w:r w:rsidRPr="005C7CCE">
              <w:rPr>
                <w:sz w:val="16"/>
              </w:rPr>
              <w:t xml:space="preserve">19 ateliers organisés dans des États membres sur des questions spécifiques relatives à la propriété intellectuelle/concurrence. </w:t>
            </w:r>
            <w:r w:rsidR="0010442A" w:rsidRPr="005C7CCE">
              <w:rPr>
                <w:sz w:val="16"/>
              </w:rPr>
              <w:t xml:space="preserve"> </w:t>
            </w:r>
          </w:p>
        </w:tc>
        <w:tc>
          <w:tcPr>
            <w:tcW w:w="682"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784E52" w:rsidRPr="005C7CCE" w:rsidTr="00BB3F3E">
        <w:trPr>
          <w:cantSplit/>
        </w:trPr>
        <w:tc>
          <w:tcPr>
            <w:tcW w:w="861" w:type="pct"/>
            <w:shd w:val="clear" w:color="auto" w:fill="auto"/>
          </w:tcPr>
          <w:p w:rsidR="00784E52" w:rsidRPr="00866763" w:rsidRDefault="00784E52" w:rsidP="001A5BF9">
            <w:pPr>
              <w:rPr>
                <w:rFonts w:cs="Arial"/>
                <w:sz w:val="16"/>
                <w:szCs w:val="16"/>
              </w:rPr>
            </w:pPr>
            <w:r w:rsidRPr="00866763">
              <w:rPr>
                <w:sz w:val="16"/>
              </w:rPr>
              <w:t>Nombre et éventail de parties prenantes (offices de propriété intellectuelle, services chargés de l</w:t>
            </w:r>
            <w:r w:rsidR="00A20444" w:rsidRPr="00866763">
              <w:rPr>
                <w:sz w:val="16"/>
              </w:rPr>
              <w:t>’</w:t>
            </w:r>
            <w:r w:rsidRPr="00866763">
              <w:rPr>
                <w:sz w:val="16"/>
              </w:rPr>
              <w:t>application du droit de la concurrence, organisations intergouvernementales et ONG compétentes) ayant engagé un dialogue avec l</w:t>
            </w:r>
            <w:r w:rsidR="00A20444" w:rsidRPr="00866763">
              <w:rPr>
                <w:sz w:val="16"/>
              </w:rPr>
              <w:t>’</w:t>
            </w:r>
            <w:r w:rsidRPr="00866763">
              <w:rPr>
                <w:sz w:val="16"/>
              </w:rPr>
              <w:t>OMPI</w:t>
            </w:r>
          </w:p>
        </w:tc>
        <w:tc>
          <w:tcPr>
            <w:tcW w:w="906" w:type="pct"/>
            <w:shd w:val="clear" w:color="auto" w:fill="auto"/>
          </w:tcPr>
          <w:p w:rsidR="00784E52" w:rsidRPr="00866763" w:rsidRDefault="00784E52" w:rsidP="001A5BF9">
            <w:pPr>
              <w:rPr>
                <w:rFonts w:cs="Arial"/>
                <w:sz w:val="16"/>
                <w:szCs w:val="16"/>
              </w:rPr>
            </w:pPr>
            <w:r w:rsidRPr="00866763">
              <w:rPr>
                <w:sz w:val="16"/>
              </w:rPr>
              <w:t>Engagement avec cinq</w:t>
            </w:r>
            <w:r w:rsidR="0010442A" w:rsidRPr="00866763">
              <w:rPr>
                <w:sz w:val="16"/>
              </w:rPr>
              <w:t> </w:t>
            </w:r>
            <w:r w:rsidRPr="00866763">
              <w:rPr>
                <w:sz w:val="16"/>
              </w:rPr>
              <w:t>autorités nationales chargées de réglementer la concurrence (de trois</w:t>
            </w:r>
            <w:r w:rsidR="0010442A" w:rsidRPr="00866763">
              <w:rPr>
                <w:sz w:val="16"/>
              </w:rPr>
              <w:t> </w:t>
            </w:r>
            <w:r w:rsidRPr="00866763">
              <w:rPr>
                <w:sz w:val="16"/>
              </w:rPr>
              <w:t>États membres) et trois</w:t>
            </w:r>
            <w:r w:rsidR="0010442A" w:rsidRPr="00866763">
              <w:rPr>
                <w:sz w:val="16"/>
              </w:rPr>
              <w:t> </w:t>
            </w:r>
            <w:r w:rsidRPr="00866763">
              <w:rPr>
                <w:sz w:val="16"/>
              </w:rPr>
              <w:t>organisations intergouvernementales</w:t>
            </w:r>
          </w:p>
        </w:tc>
        <w:tc>
          <w:tcPr>
            <w:tcW w:w="905" w:type="pct"/>
            <w:gridSpan w:val="2"/>
            <w:shd w:val="clear" w:color="auto" w:fill="auto"/>
            <w:tcMar>
              <w:top w:w="110" w:type="dxa"/>
            </w:tcMar>
          </w:tcPr>
          <w:p w:rsidR="00D42474" w:rsidRDefault="00784E52" w:rsidP="001A5BF9">
            <w:pPr>
              <w:autoSpaceDE w:val="0"/>
              <w:autoSpaceDN w:val="0"/>
              <w:adjustRightInd w:val="0"/>
              <w:rPr>
                <w:rFonts w:cs="Arial"/>
                <w:sz w:val="16"/>
                <w:szCs w:val="16"/>
              </w:rPr>
            </w:pPr>
            <w:r w:rsidRPr="005C7CCE">
              <w:rPr>
                <w:sz w:val="16"/>
              </w:rPr>
              <w:t>Parties prenantes participant au forum mondial de l</w:t>
            </w:r>
            <w:r w:rsidR="00A20444" w:rsidRPr="005C7CCE">
              <w:rPr>
                <w:sz w:val="16"/>
              </w:rPr>
              <w:t>’</w:t>
            </w:r>
            <w:r w:rsidRPr="005C7CCE">
              <w:rPr>
                <w:sz w:val="16"/>
              </w:rPr>
              <w:t>OMPI : 15 administrations</w:t>
            </w:r>
          </w:p>
          <w:p w:rsidR="00784E52" w:rsidRPr="005C7CCE" w:rsidRDefault="00784E52" w:rsidP="001A5BF9">
            <w:pPr>
              <w:autoSpaceDE w:val="0"/>
              <w:autoSpaceDN w:val="0"/>
              <w:adjustRightInd w:val="0"/>
              <w:rPr>
                <w:rFonts w:cs="Arial"/>
                <w:sz w:val="16"/>
                <w:szCs w:val="16"/>
              </w:rPr>
            </w:pPr>
            <w:r w:rsidRPr="005C7CCE">
              <w:rPr>
                <w:sz w:val="16"/>
              </w:rPr>
              <w:t>nationales et cinq ONG</w:t>
            </w:r>
          </w:p>
        </w:tc>
        <w:tc>
          <w:tcPr>
            <w:tcW w:w="1646" w:type="pct"/>
            <w:shd w:val="clear" w:color="auto" w:fill="FFFFFF"/>
            <w:tcMar>
              <w:top w:w="110" w:type="dxa"/>
            </w:tcMar>
          </w:tcPr>
          <w:p w:rsidR="00784E52" w:rsidRPr="005C7CCE" w:rsidRDefault="00784E52" w:rsidP="001A5BF9">
            <w:pPr>
              <w:rPr>
                <w:rFonts w:cs="Arial"/>
                <w:sz w:val="16"/>
                <w:szCs w:val="16"/>
              </w:rPr>
            </w:pPr>
            <w:r w:rsidRPr="005C7CCE">
              <w:rPr>
                <w:sz w:val="16"/>
              </w:rPr>
              <w:t xml:space="preserve">19 ateliers et réunions avec 38 autorités chargées de réglementer la concurrence et cinq organisations intergouvernementales. </w:t>
            </w:r>
            <w:r w:rsidR="0010442A" w:rsidRPr="005C7CCE">
              <w:rPr>
                <w:sz w:val="16"/>
              </w:rPr>
              <w:t xml:space="preserve"> </w:t>
            </w:r>
            <w:r w:rsidRPr="005C7CCE">
              <w:rPr>
                <w:sz w:val="16"/>
              </w:rPr>
              <w:t>Création d</w:t>
            </w:r>
            <w:r w:rsidR="00A20444" w:rsidRPr="005C7CCE">
              <w:rPr>
                <w:sz w:val="16"/>
              </w:rPr>
              <w:t>’</w:t>
            </w:r>
            <w:r w:rsidRPr="005C7CCE">
              <w:rPr>
                <w:sz w:val="16"/>
              </w:rPr>
              <w:t>une coordination informelle avec</w:t>
            </w:r>
            <w:r w:rsidR="00A20444" w:rsidRPr="005C7CCE">
              <w:rPr>
                <w:sz w:val="16"/>
              </w:rPr>
              <w:t xml:space="preserve"> la CNU</w:t>
            </w:r>
            <w:r w:rsidRPr="005C7CCE">
              <w:rPr>
                <w:sz w:val="16"/>
              </w:rPr>
              <w:t>CED, l</w:t>
            </w:r>
            <w:r w:rsidR="00A20444" w:rsidRPr="005C7CCE">
              <w:rPr>
                <w:sz w:val="16"/>
              </w:rPr>
              <w:t>’</w:t>
            </w:r>
            <w:r w:rsidRPr="005C7CCE">
              <w:rPr>
                <w:sz w:val="16"/>
              </w:rPr>
              <w:t>OMC et l</w:t>
            </w:r>
            <w:r w:rsidR="00A20444" w:rsidRPr="005C7CCE">
              <w:rPr>
                <w:sz w:val="16"/>
              </w:rPr>
              <w:t>’</w:t>
            </w:r>
            <w:r w:rsidRPr="005C7CCE">
              <w:rPr>
                <w:sz w:val="16"/>
              </w:rPr>
              <w:t xml:space="preserve">OCDE. </w:t>
            </w:r>
            <w:r w:rsidR="0010442A" w:rsidRPr="005C7CCE">
              <w:rPr>
                <w:sz w:val="16"/>
              </w:rPr>
              <w:t xml:space="preserve"> </w:t>
            </w:r>
            <w:r w:rsidRPr="005C7CCE">
              <w:rPr>
                <w:sz w:val="16"/>
              </w:rPr>
              <w:t xml:space="preserve">Participation active au Réseau international de la concurrence. </w:t>
            </w:r>
            <w:r w:rsidR="0010442A" w:rsidRPr="005C7CCE">
              <w:rPr>
                <w:sz w:val="16"/>
              </w:rPr>
              <w:t xml:space="preserve"> </w:t>
            </w:r>
            <w:r w:rsidRPr="005C7CCE">
              <w:rPr>
                <w:sz w:val="16"/>
              </w:rPr>
              <w:t>Coopération avec le Marché commun de l</w:t>
            </w:r>
            <w:r w:rsidR="00A20444" w:rsidRPr="005C7CCE">
              <w:rPr>
                <w:sz w:val="16"/>
              </w:rPr>
              <w:t>’</w:t>
            </w:r>
            <w:r w:rsidRPr="005C7CCE">
              <w:rPr>
                <w:sz w:val="16"/>
              </w:rPr>
              <w:t>Afrique orientale et australe (</w:t>
            </w:r>
            <w:proofErr w:type="spellStart"/>
            <w:r w:rsidRPr="005C7CCE">
              <w:rPr>
                <w:sz w:val="16"/>
              </w:rPr>
              <w:t>COMESA</w:t>
            </w:r>
            <w:proofErr w:type="spellEnd"/>
            <w:r w:rsidRPr="005C7CCE">
              <w:rPr>
                <w:sz w:val="16"/>
              </w:rPr>
              <w:t>).</w:t>
            </w:r>
          </w:p>
        </w:tc>
        <w:tc>
          <w:tcPr>
            <w:tcW w:w="682" w:type="pct"/>
            <w:shd w:val="clear" w:color="auto" w:fill="auto"/>
            <w:tcMar>
              <w:top w:w="110" w:type="dxa"/>
            </w:tcMar>
          </w:tcPr>
          <w:p w:rsidR="00784E52" w:rsidRPr="005C7CCE" w:rsidRDefault="00784E52" w:rsidP="001A5BF9">
            <w:pPr>
              <w:keepNext/>
              <w:keepLines/>
              <w:jc w:val="center"/>
              <w:rPr>
                <w:rFonts w:cs="Arial"/>
                <w:bCs/>
                <w:color w:val="008000"/>
                <w:sz w:val="16"/>
                <w:szCs w:val="16"/>
              </w:rPr>
            </w:pPr>
            <w:r w:rsidRPr="00B470C6">
              <w:rPr>
                <w:color w:val="008000"/>
                <w:sz w:val="16"/>
              </w:rPr>
              <w:t>Objectif pleinement atteint</w:t>
            </w:r>
          </w:p>
        </w:tc>
      </w:tr>
    </w:tbl>
    <w:p w:rsidR="00D42474" w:rsidRDefault="00D42474" w:rsidP="001A5BF9">
      <w:pPr>
        <w:keepNext/>
        <w:keepLines/>
        <w:rPr>
          <w:rFonts w:cs="Arial"/>
          <w:sz w:val="18"/>
          <w:szCs w:val="18"/>
        </w:rPr>
      </w:pPr>
    </w:p>
    <w:p w:rsidR="00D42474" w:rsidRDefault="00D42474" w:rsidP="001A5BF9">
      <w:pPr>
        <w:keepNext/>
        <w:keepLines/>
        <w:rPr>
          <w:rFonts w:cs="Arial"/>
          <w:sz w:val="18"/>
          <w:szCs w:val="18"/>
        </w:rPr>
      </w:pPr>
    </w:p>
    <w:p w:rsidR="00D42474" w:rsidRDefault="00D42474" w:rsidP="001A5BF9">
      <w:pPr>
        <w:keepNext/>
        <w:keepLines/>
        <w:rPr>
          <w:rFonts w:cs="Arial"/>
          <w:sz w:val="18"/>
          <w:szCs w:val="18"/>
        </w:rPr>
      </w:pPr>
    </w:p>
    <w:p w:rsidR="00D42474" w:rsidRDefault="00784E52" w:rsidP="001A5BF9">
      <w:pPr>
        <w:keepNext/>
        <w:keepLines/>
        <w:rPr>
          <w:rFonts w:cs="Arial"/>
          <w:sz w:val="22"/>
          <w:szCs w:val="22"/>
        </w:rPr>
      </w:pPr>
      <w:r w:rsidRPr="00866763">
        <w:rPr>
          <w:sz w:val="22"/>
        </w:rPr>
        <w:t>BUDGET ET DÉPENSES EFFECTIVES</w:t>
      </w:r>
    </w:p>
    <w:p w:rsidR="00D42474" w:rsidRDefault="00D42474" w:rsidP="001A5BF9">
      <w:pPr>
        <w:keepNext/>
        <w:keepLines/>
        <w:rPr>
          <w:rFonts w:cs="Arial"/>
          <w:szCs w:val="22"/>
        </w:rPr>
      </w:pPr>
    </w:p>
    <w:p w:rsidR="00D42474" w:rsidRDefault="00784E52" w:rsidP="001A5BF9">
      <w:pPr>
        <w:pStyle w:val="NormalWeb"/>
        <w:spacing w:before="0" w:beforeAutospacing="0" w:after="0" w:afterAutospacing="0"/>
        <w:jc w:val="center"/>
        <w:rPr>
          <w:sz w:val="20"/>
        </w:rPr>
      </w:pPr>
      <w:r w:rsidRPr="002D02F3">
        <w:rPr>
          <w:sz w:val="20"/>
        </w:rPr>
        <w:t>Budget et dépenses effectives (par résultat)</w:t>
      </w:r>
    </w:p>
    <w:p w:rsidR="00D42474" w:rsidRDefault="00784E52"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784E52" w:rsidRPr="002D02F3" w:rsidRDefault="00784E52" w:rsidP="001A5BF9">
      <w:pPr>
        <w:keepNext/>
        <w:keepLines/>
        <w:rPr>
          <w:rFonts w:cs="Arial"/>
          <w:szCs w:val="22"/>
        </w:rPr>
      </w:pPr>
    </w:p>
    <w:tbl>
      <w:tblPr>
        <w:tblW w:w="0" w:type="auto"/>
        <w:tblInd w:w="103" w:type="dxa"/>
        <w:tblLayout w:type="fixed"/>
        <w:tblLook w:val="04A0" w:firstRow="1" w:lastRow="0" w:firstColumn="1" w:lastColumn="0" w:noHBand="0" w:noVBand="1"/>
      </w:tblPr>
      <w:tblGrid>
        <w:gridCol w:w="581"/>
        <w:gridCol w:w="4244"/>
        <w:gridCol w:w="1559"/>
        <w:gridCol w:w="1559"/>
        <w:gridCol w:w="1418"/>
      </w:tblGrid>
      <w:tr w:rsidR="00784E52" w:rsidRPr="002D02F3" w:rsidTr="00BB3F3E">
        <w:tc>
          <w:tcPr>
            <w:tcW w:w="4825"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2D02F3" w:rsidRDefault="00784E52" w:rsidP="001A5BF9">
            <w:pPr>
              <w:spacing w:before="120" w:after="120"/>
              <w:jc w:val="center"/>
              <w:rPr>
                <w:rFonts w:cs="Arial"/>
                <w:bCs/>
                <w:sz w:val="16"/>
                <w:szCs w:val="16"/>
              </w:rPr>
            </w:pPr>
            <w:r w:rsidRPr="002D02F3">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784E52" w:rsidRPr="002D02F3" w:rsidTr="00BB3F3E">
        <w:tblPrEx>
          <w:shd w:val="clear" w:color="auto" w:fill="FFFFFF"/>
        </w:tblPrEx>
        <w:tc>
          <w:tcPr>
            <w:tcW w:w="581" w:type="dxa"/>
            <w:tcBorders>
              <w:top w:val="nil"/>
              <w:left w:val="single" w:sz="4" w:space="0" w:color="auto"/>
              <w:bottom w:val="nil"/>
              <w:right w:val="nil"/>
            </w:tcBorders>
            <w:shd w:val="clear" w:color="auto" w:fill="FFFFFF"/>
            <w:noWrap/>
          </w:tcPr>
          <w:p w:rsidR="00784E52" w:rsidRPr="002D02F3" w:rsidRDefault="00784E52" w:rsidP="001A5BF9">
            <w:pPr>
              <w:spacing w:before="80"/>
              <w:jc w:val="center"/>
              <w:rPr>
                <w:rFonts w:cs="Arial"/>
                <w:sz w:val="16"/>
                <w:szCs w:val="16"/>
              </w:rPr>
            </w:pPr>
            <w:proofErr w:type="spellStart"/>
            <w:r w:rsidRPr="002D02F3">
              <w:rPr>
                <w:sz w:val="16"/>
              </w:rPr>
              <w:t>VII.1</w:t>
            </w:r>
            <w:proofErr w:type="spellEnd"/>
          </w:p>
        </w:tc>
        <w:tc>
          <w:tcPr>
            <w:tcW w:w="4244" w:type="dxa"/>
            <w:tcBorders>
              <w:top w:val="nil"/>
              <w:left w:val="nil"/>
              <w:bottom w:val="nil"/>
              <w:right w:val="nil"/>
            </w:tcBorders>
            <w:shd w:val="clear" w:color="auto" w:fill="FFFFFF"/>
          </w:tcPr>
          <w:p w:rsidR="00784E52" w:rsidRPr="002D02F3" w:rsidRDefault="00784E52" w:rsidP="001A5BF9">
            <w:pPr>
              <w:spacing w:before="80"/>
              <w:rPr>
                <w:rFonts w:cs="Arial"/>
                <w:sz w:val="16"/>
                <w:szCs w:val="16"/>
              </w:rPr>
            </w:pPr>
            <w:r w:rsidRPr="002D02F3">
              <w:rPr>
                <w:sz w:val="16"/>
              </w:rPr>
              <w:t>Meilleure compréhension par les décideurs du rapport entre les défis mondiaux, l</w:t>
            </w:r>
            <w:r w:rsidR="00A20444" w:rsidRPr="002D02F3">
              <w:rPr>
                <w:sz w:val="16"/>
              </w:rPr>
              <w:t>’</w:t>
            </w:r>
            <w:r w:rsidRPr="002D02F3">
              <w:rPr>
                <w:sz w:val="16"/>
              </w:rPr>
              <w:t>innovation et la propriété intellectuelle afin d</w:t>
            </w:r>
            <w:r w:rsidR="00A20444" w:rsidRPr="002D02F3">
              <w:rPr>
                <w:sz w:val="16"/>
              </w:rPr>
              <w:t>’</w:t>
            </w:r>
            <w:r w:rsidRPr="002D02F3">
              <w:rPr>
                <w:sz w:val="16"/>
              </w:rPr>
              <w:t>améliorer la prise de décisions de politique générale</w:t>
            </w:r>
          </w:p>
        </w:tc>
        <w:tc>
          <w:tcPr>
            <w:tcW w:w="1559" w:type="dxa"/>
            <w:tcBorders>
              <w:top w:val="nil"/>
              <w:left w:val="nil"/>
              <w:bottom w:val="nil"/>
              <w:right w:val="nil"/>
            </w:tcBorders>
            <w:shd w:val="clear" w:color="auto" w:fill="FFFFFF"/>
            <w:vAlign w:val="center"/>
          </w:tcPr>
          <w:p w:rsidR="00784E52" w:rsidRPr="002D02F3" w:rsidRDefault="00784E52" w:rsidP="001A5BF9">
            <w:pPr>
              <w:spacing w:before="80"/>
              <w:jc w:val="center"/>
              <w:rPr>
                <w:rFonts w:cs="Arial"/>
                <w:sz w:val="16"/>
                <w:szCs w:val="16"/>
              </w:rPr>
            </w:pPr>
            <w:r w:rsidRPr="002D02F3">
              <w:rPr>
                <w:sz w:val="16"/>
              </w:rPr>
              <w:t>1 040</w:t>
            </w:r>
          </w:p>
        </w:tc>
        <w:tc>
          <w:tcPr>
            <w:tcW w:w="1559" w:type="dxa"/>
            <w:tcBorders>
              <w:top w:val="nil"/>
              <w:left w:val="nil"/>
              <w:bottom w:val="nil"/>
              <w:right w:val="nil"/>
            </w:tcBorders>
            <w:shd w:val="clear" w:color="auto" w:fill="FFFFFF"/>
            <w:vAlign w:val="center"/>
          </w:tcPr>
          <w:p w:rsidR="00784E52" w:rsidRPr="002D02F3" w:rsidRDefault="00784E52" w:rsidP="001A5BF9">
            <w:pPr>
              <w:spacing w:before="80"/>
              <w:jc w:val="center"/>
              <w:rPr>
                <w:rFonts w:cs="Arial"/>
                <w:sz w:val="16"/>
                <w:szCs w:val="16"/>
              </w:rPr>
            </w:pPr>
            <w:r w:rsidRPr="002D02F3">
              <w:rPr>
                <w:sz w:val="16"/>
              </w:rPr>
              <w:t>1 716</w:t>
            </w:r>
          </w:p>
        </w:tc>
        <w:tc>
          <w:tcPr>
            <w:tcW w:w="1418" w:type="dxa"/>
            <w:tcBorders>
              <w:top w:val="nil"/>
              <w:left w:val="nil"/>
              <w:bottom w:val="nil"/>
              <w:right w:val="single" w:sz="4" w:space="0" w:color="auto"/>
            </w:tcBorders>
            <w:shd w:val="clear" w:color="auto" w:fill="FFFFFF"/>
            <w:vAlign w:val="center"/>
          </w:tcPr>
          <w:p w:rsidR="00784E52" w:rsidRPr="002D02F3" w:rsidRDefault="00784E52" w:rsidP="001A5BF9">
            <w:pPr>
              <w:spacing w:before="80"/>
              <w:jc w:val="center"/>
              <w:rPr>
                <w:rFonts w:cs="Arial"/>
                <w:sz w:val="16"/>
                <w:szCs w:val="16"/>
              </w:rPr>
            </w:pPr>
            <w:r w:rsidRPr="002D02F3">
              <w:rPr>
                <w:sz w:val="16"/>
              </w:rPr>
              <w:t>1 695</w:t>
            </w:r>
          </w:p>
        </w:tc>
      </w:tr>
      <w:tr w:rsidR="00784E52" w:rsidRPr="002D02F3" w:rsidTr="00BB3F3E">
        <w:tblPrEx>
          <w:shd w:val="clear" w:color="auto" w:fill="FFFFFF"/>
        </w:tblPrEx>
        <w:tc>
          <w:tcPr>
            <w:tcW w:w="581" w:type="dxa"/>
            <w:tcBorders>
              <w:top w:val="nil"/>
              <w:left w:val="single" w:sz="4" w:space="0" w:color="auto"/>
              <w:bottom w:val="nil"/>
              <w:right w:val="nil"/>
            </w:tcBorders>
            <w:shd w:val="clear" w:color="auto" w:fill="FFFFFF"/>
            <w:noWrap/>
          </w:tcPr>
          <w:p w:rsidR="00784E52" w:rsidRPr="002D02F3" w:rsidRDefault="00784E52" w:rsidP="001A5BF9">
            <w:pPr>
              <w:spacing w:before="80"/>
              <w:jc w:val="center"/>
              <w:rPr>
                <w:rFonts w:cs="Arial"/>
                <w:sz w:val="16"/>
                <w:szCs w:val="16"/>
              </w:rPr>
            </w:pPr>
            <w:proofErr w:type="spellStart"/>
            <w:r w:rsidRPr="002D02F3">
              <w:rPr>
                <w:sz w:val="16"/>
              </w:rPr>
              <w:t>VII.2</w:t>
            </w:r>
            <w:proofErr w:type="spellEnd"/>
          </w:p>
        </w:tc>
        <w:tc>
          <w:tcPr>
            <w:tcW w:w="4244" w:type="dxa"/>
            <w:tcBorders>
              <w:top w:val="nil"/>
              <w:left w:val="nil"/>
              <w:bottom w:val="nil"/>
              <w:right w:val="nil"/>
            </w:tcBorders>
            <w:shd w:val="clear" w:color="auto" w:fill="FFFFFF"/>
          </w:tcPr>
          <w:p w:rsidR="00784E52" w:rsidRPr="002D02F3" w:rsidRDefault="00784E52" w:rsidP="001A5BF9">
            <w:pPr>
              <w:spacing w:before="80"/>
              <w:rPr>
                <w:rFonts w:cs="Arial"/>
                <w:sz w:val="16"/>
                <w:szCs w:val="16"/>
              </w:rPr>
            </w:pPr>
            <w:r w:rsidRPr="002D02F3">
              <w:rPr>
                <w:sz w:val="16"/>
              </w:rPr>
              <w:t>Reconnaissance de l</w:t>
            </w:r>
            <w:r w:rsidR="00A20444" w:rsidRPr="002D02F3">
              <w:rPr>
                <w:sz w:val="16"/>
              </w:rPr>
              <w:t>’</w:t>
            </w:r>
            <w:r w:rsidRPr="002D02F3">
              <w:rPr>
                <w:sz w:val="16"/>
              </w:rPr>
              <w:t>OMPI en tant que source fiable d</w:t>
            </w:r>
            <w:r w:rsidR="00A20444" w:rsidRPr="002D02F3">
              <w:rPr>
                <w:sz w:val="16"/>
              </w:rPr>
              <w:t>’</w:t>
            </w:r>
            <w:r w:rsidRPr="002D02F3">
              <w:rPr>
                <w:sz w:val="16"/>
              </w:rPr>
              <w:t>appui, d</w:t>
            </w:r>
            <w:r w:rsidR="00A20444" w:rsidRPr="002D02F3">
              <w:rPr>
                <w:sz w:val="16"/>
              </w:rPr>
              <w:t>’</w:t>
            </w:r>
            <w:r w:rsidRPr="002D02F3">
              <w:rPr>
                <w:sz w:val="16"/>
              </w:rPr>
              <w:t>assistance et de référence en ce qui concerne l</w:t>
            </w:r>
            <w:r w:rsidR="00A20444" w:rsidRPr="002D02F3">
              <w:rPr>
                <w:sz w:val="16"/>
              </w:rPr>
              <w:t>’</w:t>
            </w:r>
            <w:r w:rsidRPr="002D02F3">
              <w:rPr>
                <w:sz w:val="16"/>
              </w:rPr>
              <w:t>information en matière d</w:t>
            </w:r>
            <w:r w:rsidR="00A20444" w:rsidRPr="002D02F3">
              <w:rPr>
                <w:sz w:val="16"/>
              </w:rPr>
              <w:t>’</w:t>
            </w:r>
            <w:r w:rsidRPr="002D02F3">
              <w:rPr>
                <w:sz w:val="16"/>
              </w:rPr>
              <w:t>innovation et de propriété intellectuelle dans les processus de politique publique pertinents</w:t>
            </w:r>
          </w:p>
        </w:tc>
        <w:tc>
          <w:tcPr>
            <w:tcW w:w="1559" w:type="dxa"/>
            <w:tcBorders>
              <w:top w:val="nil"/>
              <w:left w:val="nil"/>
              <w:bottom w:val="nil"/>
              <w:right w:val="nil"/>
            </w:tcBorders>
            <w:shd w:val="clear" w:color="auto" w:fill="FFFFFF"/>
            <w:vAlign w:val="center"/>
          </w:tcPr>
          <w:p w:rsidR="00784E52" w:rsidRPr="002D02F3" w:rsidRDefault="00784E52" w:rsidP="001A5BF9">
            <w:pPr>
              <w:spacing w:before="80"/>
              <w:jc w:val="center"/>
              <w:rPr>
                <w:rFonts w:cs="Arial"/>
                <w:sz w:val="16"/>
                <w:szCs w:val="16"/>
              </w:rPr>
            </w:pPr>
            <w:r w:rsidRPr="002D02F3">
              <w:rPr>
                <w:sz w:val="16"/>
              </w:rPr>
              <w:t>2 149</w:t>
            </w:r>
          </w:p>
        </w:tc>
        <w:tc>
          <w:tcPr>
            <w:tcW w:w="1559" w:type="dxa"/>
            <w:tcBorders>
              <w:top w:val="nil"/>
              <w:left w:val="nil"/>
              <w:bottom w:val="nil"/>
              <w:right w:val="nil"/>
            </w:tcBorders>
            <w:shd w:val="clear" w:color="auto" w:fill="FFFFFF"/>
            <w:vAlign w:val="center"/>
          </w:tcPr>
          <w:p w:rsidR="00784E52" w:rsidRPr="002D02F3" w:rsidRDefault="00784E52" w:rsidP="001A5BF9">
            <w:pPr>
              <w:spacing w:before="80"/>
              <w:jc w:val="center"/>
              <w:rPr>
                <w:rFonts w:cs="Arial"/>
                <w:sz w:val="16"/>
                <w:szCs w:val="16"/>
              </w:rPr>
            </w:pPr>
            <w:r w:rsidRPr="002D02F3">
              <w:rPr>
                <w:sz w:val="16"/>
              </w:rPr>
              <w:t>2 528</w:t>
            </w:r>
          </w:p>
        </w:tc>
        <w:tc>
          <w:tcPr>
            <w:tcW w:w="1418" w:type="dxa"/>
            <w:tcBorders>
              <w:top w:val="nil"/>
              <w:left w:val="nil"/>
              <w:bottom w:val="nil"/>
              <w:right w:val="single" w:sz="4" w:space="0" w:color="auto"/>
            </w:tcBorders>
            <w:shd w:val="clear" w:color="auto" w:fill="FFFFFF"/>
            <w:vAlign w:val="center"/>
          </w:tcPr>
          <w:p w:rsidR="00784E52" w:rsidRPr="002D02F3" w:rsidRDefault="00784E52" w:rsidP="001A5BF9">
            <w:pPr>
              <w:spacing w:before="80"/>
              <w:jc w:val="center"/>
              <w:rPr>
                <w:rFonts w:cs="Arial"/>
                <w:sz w:val="16"/>
                <w:szCs w:val="16"/>
              </w:rPr>
            </w:pPr>
            <w:r w:rsidRPr="002D02F3">
              <w:rPr>
                <w:sz w:val="16"/>
              </w:rPr>
              <w:t>2 426</w:t>
            </w:r>
          </w:p>
        </w:tc>
      </w:tr>
      <w:tr w:rsidR="00784E52" w:rsidRPr="002D02F3" w:rsidTr="00BB3F3E">
        <w:tblPrEx>
          <w:shd w:val="clear" w:color="auto" w:fill="FFFFFF"/>
        </w:tblPrEx>
        <w:tc>
          <w:tcPr>
            <w:tcW w:w="581" w:type="dxa"/>
            <w:tcBorders>
              <w:top w:val="nil"/>
              <w:left w:val="single" w:sz="4" w:space="0" w:color="auto"/>
              <w:bottom w:val="nil"/>
              <w:right w:val="nil"/>
            </w:tcBorders>
            <w:shd w:val="clear" w:color="auto" w:fill="FFFFFF"/>
            <w:noWrap/>
          </w:tcPr>
          <w:p w:rsidR="00784E52" w:rsidRPr="002D02F3" w:rsidRDefault="00784E52" w:rsidP="001A5BF9">
            <w:pPr>
              <w:spacing w:before="80"/>
              <w:jc w:val="center"/>
              <w:rPr>
                <w:rFonts w:cs="Arial"/>
                <w:sz w:val="16"/>
                <w:szCs w:val="16"/>
              </w:rPr>
            </w:pPr>
            <w:proofErr w:type="spellStart"/>
            <w:r w:rsidRPr="002D02F3">
              <w:rPr>
                <w:sz w:val="16"/>
              </w:rPr>
              <w:t>VII.3</w:t>
            </w:r>
            <w:proofErr w:type="spellEnd"/>
          </w:p>
        </w:tc>
        <w:tc>
          <w:tcPr>
            <w:tcW w:w="4244" w:type="dxa"/>
            <w:tcBorders>
              <w:top w:val="nil"/>
              <w:left w:val="nil"/>
              <w:bottom w:val="nil"/>
              <w:right w:val="nil"/>
            </w:tcBorders>
            <w:shd w:val="clear" w:color="auto" w:fill="FFFFFF"/>
          </w:tcPr>
          <w:p w:rsidR="00784E52" w:rsidRPr="002D02F3" w:rsidRDefault="00784E52" w:rsidP="001A5BF9">
            <w:pPr>
              <w:spacing w:before="80"/>
              <w:rPr>
                <w:rFonts w:cs="Arial"/>
                <w:sz w:val="16"/>
                <w:szCs w:val="16"/>
              </w:rPr>
            </w:pPr>
            <w:r w:rsidRPr="002D02F3">
              <w:rPr>
                <w:sz w:val="16"/>
              </w:rPr>
              <w:t>Les instruments axés sur la propriété intellectuelle sont utilisés pour le transfert de technologie entre les pays développés et les pays en développement, notamment les pays les moins avancés, pour répondre aux défis mondiaux</w:t>
            </w:r>
          </w:p>
        </w:tc>
        <w:tc>
          <w:tcPr>
            <w:tcW w:w="1559" w:type="dxa"/>
            <w:tcBorders>
              <w:top w:val="nil"/>
              <w:left w:val="nil"/>
              <w:bottom w:val="nil"/>
              <w:right w:val="nil"/>
            </w:tcBorders>
            <w:shd w:val="clear" w:color="auto" w:fill="FFFFFF"/>
            <w:vAlign w:val="center"/>
          </w:tcPr>
          <w:p w:rsidR="00784E52" w:rsidRPr="002D02F3" w:rsidRDefault="00784E52" w:rsidP="001A5BF9">
            <w:pPr>
              <w:spacing w:before="80"/>
              <w:jc w:val="center"/>
              <w:rPr>
                <w:rFonts w:cs="Arial"/>
                <w:sz w:val="16"/>
                <w:szCs w:val="16"/>
              </w:rPr>
            </w:pPr>
            <w:r w:rsidRPr="002D02F3">
              <w:rPr>
                <w:sz w:val="16"/>
              </w:rPr>
              <w:t>2 198</w:t>
            </w:r>
          </w:p>
        </w:tc>
        <w:tc>
          <w:tcPr>
            <w:tcW w:w="1559" w:type="dxa"/>
            <w:tcBorders>
              <w:top w:val="nil"/>
              <w:left w:val="nil"/>
              <w:bottom w:val="nil"/>
              <w:right w:val="nil"/>
            </w:tcBorders>
            <w:shd w:val="clear" w:color="auto" w:fill="FFFFFF"/>
            <w:vAlign w:val="center"/>
          </w:tcPr>
          <w:p w:rsidR="00784E52" w:rsidRPr="002D02F3" w:rsidRDefault="00784E52" w:rsidP="001A5BF9">
            <w:pPr>
              <w:spacing w:before="80"/>
              <w:jc w:val="center"/>
              <w:rPr>
                <w:rFonts w:cs="Arial"/>
                <w:sz w:val="16"/>
                <w:szCs w:val="16"/>
              </w:rPr>
            </w:pPr>
            <w:r w:rsidRPr="002D02F3">
              <w:rPr>
                <w:sz w:val="16"/>
              </w:rPr>
              <w:t>1 466</w:t>
            </w:r>
          </w:p>
        </w:tc>
        <w:tc>
          <w:tcPr>
            <w:tcW w:w="1418" w:type="dxa"/>
            <w:tcBorders>
              <w:top w:val="nil"/>
              <w:left w:val="nil"/>
              <w:bottom w:val="nil"/>
              <w:right w:val="single" w:sz="4" w:space="0" w:color="auto"/>
            </w:tcBorders>
            <w:shd w:val="clear" w:color="auto" w:fill="FFFFFF"/>
            <w:vAlign w:val="center"/>
          </w:tcPr>
          <w:p w:rsidR="00784E52" w:rsidRPr="002D02F3" w:rsidRDefault="00784E52" w:rsidP="001A5BF9">
            <w:pPr>
              <w:spacing w:before="80"/>
              <w:jc w:val="center"/>
              <w:rPr>
                <w:rFonts w:cs="Arial"/>
                <w:sz w:val="16"/>
                <w:szCs w:val="16"/>
              </w:rPr>
            </w:pPr>
            <w:r w:rsidRPr="002D02F3">
              <w:rPr>
                <w:sz w:val="16"/>
              </w:rPr>
              <w:t>1 549</w:t>
            </w:r>
          </w:p>
        </w:tc>
      </w:tr>
      <w:tr w:rsidR="00784E52" w:rsidRPr="002D02F3" w:rsidTr="00BB3F3E">
        <w:tblPrEx>
          <w:shd w:val="clear" w:color="auto" w:fill="FFFFFF"/>
        </w:tblPrEx>
        <w:tc>
          <w:tcPr>
            <w:tcW w:w="581" w:type="dxa"/>
            <w:tcBorders>
              <w:top w:val="nil"/>
              <w:left w:val="single" w:sz="4" w:space="0" w:color="auto"/>
              <w:bottom w:val="single" w:sz="4" w:space="0" w:color="auto"/>
              <w:right w:val="nil"/>
            </w:tcBorders>
            <w:shd w:val="clear" w:color="auto" w:fill="FFFFFF"/>
            <w:noWrap/>
          </w:tcPr>
          <w:p w:rsidR="00784E52" w:rsidRPr="002D02F3" w:rsidRDefault="00784E52" w:rsidP="001A5BF9">
            <w:pPr>
              <w:spacing w:before="80" w:after="80"/>
              <w:jc w:val="center"/>
              <w:rPr>
                <w:rFonts w:cs="Arial"/>
                <w:sz w:val="16"/>
                <w:szCs w:val="16"/>
              </w:rPr>
            </w:pPr>
            <w:proofErr w:type="spellStart"/>
            <w:r w:rsidRPr="002D02F3">
              <w:rPr>
                <w:sz w:val="16"/>
              </w:rPr>
              <w:t>VII.4</w:t>
            </w:r>
            <w:proofErr w:type="spellEnd"/>
          </w:p>
        </w:tc>
        <w:tc>
          <w:tcPr>
            <w:tcW w:w="4244" w:type="dxa"/>
            <w:tcBorders>
              <w:top w:val="nil"/>
              <w:left w:val="nil"/>
              <w:bottom w:val="single" w:sz="4" w:space="0" w:color="auto"/>
              <w:right w:val="nil"/>
            </w:tcBorders>
            <w:shd w:val="clear" w:color="auto" w:fill="FFFFFF"/>
          </w:tcPr>
          <w:p w:rsidR="00784E52" w:rsidRPr="002D02F3" w:rsidRDefault="00784E52" w:rsidP="001A5BF9">
            <w:pPr>
              <w:spacing w:before="80" w:after="80"/>
              <w:rPr>
                <w:rFonts w:cs="Arial"/>
                <w:sz w:val="16"/>
                <w:szCs w:val="16"/>
              </w:rPr>
            </w:pPr>
            <w:r w:rsidRPr="002D02F3">
              <w:rPr>
                <w:sz w:val="16"/>
              </w:rPr>
              <w:t>Reconnaissance de l</w:t>
            </w:r>
            <w:r w:rsidR="00A20444" w:rsidRPr="002D02F3">
              <w:rPr>
                <w:sz w:val="16"/>
              </w:rPr>
              <w:t>’</w:t>
            </w:r>
            <w:r w:rsidRPr="002D02F3">
              <w:rPr>
                <w:sz w:val="16"/>
              </w:rPr>
              <w:t>OMPI en tant qu</w:t>
            </w:r>
            <w:r w:rsidR="00A20444" w:rsidRPr="002D02F3">
              <w:rPr>
                <w:sz w:val="16"/>
              </w:rPr>
              <w:t>’</w:t>
            </w:r>
            <w:r w:rsidRPr="002D02F3">
              <w:rPr>
                <w:sz w:val="16"/>
              </w:rPr>
              <w:t>instance compétente pour examiner les questions relatives à la propriété intellectuelle et à la politique en matière de concurrence</w:t>
            </w:r>
          </w:p>
        </w:tc>
        <w:tc>
          <w:tcPr>
            <w:tcW w:w="1559" w:type="dxa"/>
            <w:tcBorders>
              <w:top w:val="nil"/>
              <w:left w:val="nil"/>
              <w:bottom w:val="single" w:sz="4" w:space="0" w:color="auto"/>
              <w:right w:val="nil"/>
            </w:tcBorders>
            <w:shd w:val="clear" w:color="auto" w:fill="FFFFFF"/>
            <w:vAlign w:val="center"/>
          </w:tcPr>
          <w:p w:rsidR="00784E52" w:rsidRPr="002D02F3" w:rsidRDefault="00784E52" w:rsidP="001A5BF9">
            <w:pPr>
              <w:spacing w:before="80" w:after="80"/>
              <w:jc w:val="center"/>
              <w:rPr>
                <w:rFonts w:cs="Arial"/>
                <w:sz w:val="16"/>
                <w:szCs w:val="16"/>
              </w:rPr>
            </w:pPr>
            <w:r w:rsidRPr="002D02F3">
              <w:rPr>
                <w:sz w:val="16"/>
              </w:rPr>
              <w:t>1 381</w:t>
            </w:r>
          </w:p>
        </w:tc>
        <w:tc>
          <w:tcPr>
            <w:tcW w:w="1559" w:type="dxa"/>
            <w:tcBorders>
              <w:top w:val="nil"/>
              <w:left w:val="nil"/>
              <w:bottom w:val="single" w:sz="4" w:space="0" w:color="auto"/>
              <w:right w:val="nil"/>
            </w:tcBorders>
            <w:shd w:val="clear" w:color="auto" w:fill="FFFFFF"/>
            <w:vAlign w:val="center"/>
          </w:tcPr>
          <w:p w:rsidR="00784E52" w:rsidRPr="002D02F3" w:rsidRDefault="00784E52" w:rsidP="001A5BF9">
            <w:pPr>
              <w:spacing w:before="80" w:after="80"/>
              <w:jc w:val="center"/>
              <w:rPr>
                <w:rFonts w:cs="Arial"/>
                <w:sz w:val="16"/>
                <w:szCs w:val="16"/>
              </w:rPr>
            </w:pPr>
            <w:r w:rsidRPr="002D02F3">
              <w:rPr>
                <w:sz w:val="16"/>
              </w:rPr>
              <w:t>1 428</w:t>
            </w:r>
          </w:p>
        </w:tc>
        <w:tc>
          <w:tcPr>
            <w:tcW w:w="1418" w:type="dxa"/>
            <w:tcBorders>
              <w:top w:val="nil"/>
              <w:left w:val="nil"/>
              <w:bottom w:val="single" w:sz="4" w:space="0" w:color="auto"/>
              <w:right w:val="single" w:sz="4" w:space="0" w:color="auto"/>
            </w:tcBorders>
            <w:shd w:val="clear" w:color="auto" w:fill="FFFFFF"/>
            <w:vAlign w:val="center"/>
          </w:tcPr>
          <w:p w:rsidR="00784E52" w:rsidRPr="002D02F3" w:rsidRDefault="00784E52" w:rsidP="001A5BF9">
            <w:pPr>
              <w:spacing w:before="80" w:after="80"/>
              <w:jc w:val="center"/>
              <w:rPr>
                <w:rFonts w:cs="Arial"/>
                <w:sz w:val="16"/>
                <w:szCs w:val="16"/>
              </w:rPr>
            </w:pPr>
            <w:r w:rsidRPr="002D02F3">
              <w:rPr>
                <w:sz w:val="16"/>
              </w:rPr>
              <w:t>1 416</w:t>
            </w:r>
          </w:p>
        </w:tc>
      </w:tr>
      <w:tr w:rsidR="00784E52" w:rsidRPr="002D02F3" w:rsidTr="00BB3F3E">
        <w:tblPrEx>
          <w:shd w:val="clear" w:color="auto" w:fill="FFFFFF"/>
        </w:tblPrEx>
        <w:tc>
          <w:tcPr>
            <w:tcW w:w="581" w:type="dxa"/>
            <w:tcBorders>
              <w:top w:val="nil"/>
              <w:left w:val="single" w:sz="4" w:space="0" w:color="auto"/>
              <w:bottom w:val="single" w:sz="4" w:space="0" w:color="auto"/>
              <w:right w:val="nil"/>
            </w:tcBorders>
            <w:shd w:val="clear" w:color="auto" w:fill="FFFFFF"/>
            <w:noWrap/>
            <w:vAlign w:val="bottom"/>
          </w:tcPr>
          <w:p w:rsidR="00784E52" w:rsidRPr="002D02F3" w:rsidRDefault="00784E52" w:rsidP="001A5BF9">
            <w:pPr>
              <w:spacing w:before="80" w:after="80"/>
              <w:jc w:val="center"/>
              <w:rPr>
                <w:rFonts w:cs="Arial"/>
                <w:b/>
                <w:bCs/>
                <w:sz w:val="16"/>
                <w:szCs w:val="16"/>
              </w:rPr>
            </w:pPr>
            <w:r w:rsidRPr="002D02F3">
              <w:rPr>
                <w:b/>
                <w:sz w:val="16"/>
              </w:rPr>
              <w:t> </w:t>
            </w:r>
          </w:p>
        </w:tc>
        <w:tc>
          <w:tcPr>
            <w:tcW w:w="4244" w:type="dxa"/>
            <w:tcBorders>
              <w:top w:val="nil"/>
              <w:left w:val="nil"/>
              <w:bottom w:val="single" w:sz="4" w:space="0" w:color="auto"/>
              <w:right w:val="nil"/>
            </w:tcBorders>
            <w:shd w:val="clear" w:color="auto" w:fill="FFFFFF"/>
            <w:noWrap/>
            <w:vAlign w:val="center"/>
          </w:tcPr>
          <w:p w:rsidR="00784E52" w:rsidRPr="002D02F3" w:rsidRDefault="00784E52" w:rsidP="001A5BF9">
            <w:pPr>
              <w:spacing w:before="80" w:after="80"/>
              <w:rPr>
                <w:rFonts w:cs="Arial"/>
                <w:b/>
                <w:bCs/>
                <w:sz w:val="16"/>
                <w:szCs w:val="16"/>
              </w:rPr>
            </w:pPr>
            <w:r w:rsidRPr="002D02F3">
              <w:rPr>
                <w:b/>
                <w:sz w:val="16"/>
              </w:rPr>
              <w:t>Total</w:t>
            </w:r>
          </w:p>
        </w:tc>
        <w:tc>
          <w:tcPr>
            <w:tcW w:w="1559" w:type="dxa"/>
            <w:tcBorders>
              <w:top w:val="nil"/>
              <w:left w:val="single" w:sz="4" w:space="0" w:color="auto"/>
              <w:bottom w:val="single" w:sz="4" w:space="0" w:color="auto"/>
              <w:right w:val="single" w:sz="4" w:space="0" w:color="auto"/>
            </w:tcBorders>
            <w:shd w:val="clear" w:color="auto" w:fill="FFFFFF"/>
            <w:vAlign w:val="center"/>
          </w:tcPr>
          <w:p w:rsidR="00784E52" w:rsidRPr="002D02F3" w:rsidRDefault="00784E52" w:rsidP="001A5BF9">
            <w:pPr>
              <w:spacing w:before="80" w:after="80"/>
              <w:jc w:val="right"/>
              <w:rPr>
                <w:rFonts w:cs="Arial"/>
                <w:b/>
                <w:bCs/>
                <w:sz w:val="16"/>
                <w:szCs w:val="16"/>
              </w:rPr>
            </w:pPr>
            <w:r w:rsidRPr="002D02F3">
              <w:rPr>
                <w:b/>
                <w:sz w:val="16"/>
              </w:rPr>
              <w:t>6 768</w:t>
            </w:r>
          </w:p>
        </w:tc>
        <w:tc>
          <w:tcPr>
            <w:tcW w:w="1559" w:type="dxa"/>
            <w:tcBorders>
              <w:top w:val="nil"/>
              <w:left w:val="nil"/>
              <w:bottom w:val="single" w:sz="4" w:space="0" w:color="auto"/>
              <w:right w:val="single" w:sz="4" w:space="0" w:color="auto"/>
            </w:tcBorders>
            <w:shd w:val="clear" w:color="auto" w:fill="FFFFFF"/>
            <w:noWrap/>
            <w:vAlign w:val="center"/>
          </w:tcPr>
          <w:p w:rsidR="00784E52" w:rsidRPr="002D02F3" w:rsidRDefault="00784E52" w:rsidP="001A5BF9">
            <w:pPr>
              <w:spacing w:before="80" w:after="80"/>
              <w:jc w:val="right"/>
              <w:rPr>
                <w:rFonts w:cs="Arial"/>
                <w:b/>
                <w:bCs/>
                <w:sz w:val="16"/>
                <w:szCs w:val="16"/>
              </w:rPr>
            </w:pPr>
            <w:r w:rsidRPr="002D02F3">
              <w:rPr>
                <w:b/>
                <w:sz w:val="16"/>
              </w:rPr>
              <w:t>7 138</w:t>
            </w:r>
          </w:p>
        </w:tc>
        <w:tc>
          <w:tcPr>
            <w:tcW w:w="1418" w:type="dxa"/>
            <w:tcBorders>
              <w:top w:val="nil"/>
              <w:left w:val="nil"/>
              <w:bottom w:val="single" w:sz="4" w:space="0" w:color="auto"/>
              <w:right w:val="single" w:sz="4" w:space="0" w:color="auto"/>
            </w:tcBorders>
            <w:shd w:val="clear" w:color="auto" w:fill="FFFFFF"/>
            <w:vAlign w:val="center"/>
          </w:tcPr>
          <w:p w:rsidR="00784E52" w:rsidRPr="002D02F3" w:rsidRDefault="00784E52" w:rsidP="001A5BF9">
            <w:pPr>
              <w:spacing w:before="80" w:after="80"/>
              <w:jc w:val="right"/>
              <w:rPr>
                <w:rFonts w:cs="Arial"/>
                <w:b/>
                <w:bCs/>
                <w:sz w:val="16"/>
                <w:szCs w:val="16"/>
              </w:rPr>
            </w:pPr>
            <w:r w:rsidRPr="002D02F3">
              <w:rPr>
                <w:b/>
                <w:sz w:val="16"/>
              </w:rPr>
              <w:t>7 086</w:t>
            </w:r>
          </w:p>
        </w:tc>
      </w:tr>
    </w:tbl>
    <w:p w:rsidR="00D42474" w:rsidRDefault="00D42474" w:rsidP="001A5BF9">
      <w:pPr>
        <w:keepNext/>
        <w:keepLines/>
        <w:rPr>
          <w:rFonts w:cs="Arial"/>
          <w:szCs w:val="22"/>
        </w:rPr>
      </w:pPr>
    </w:p>
    <w:p w:rsidR="00D42474" w:rsidRDefault="00D42474" w:rsidP="001A5BF9">
      <w:pPr>
        <w:keepNext/>
        <w:keepLines/>
        <w:rPr>
          <w:rFonts w:cs="Arial"/>
          <w:szCs w:val="22"/>
        </w:rPr>
      </w:pPr>
    </w:p>
    <w:p w:rsidR="00D42474" w:rsidRDefault="00784E52" w:rsidP="001A5BF9">
      <w:pPr>
        <w:pStyle w:val="NormalWeb"/>
        <w:spacing w:before="0" w:beforeAutospacing="0" w:after="0" w:afterAutospacing="0"/>
        <w:jc w:val="center"/>
        <w:rPr>
          <w:sz w:val="20"/>
        </w:rPr>
      </w:pPr>
      <w:r w:rsidRPr="002D02F3">
        <w:rPr>
          <w:sz w:val="20"/>
        </w:rPr>
        <w:t xml:space="preserve">Budget et dépenses effectives (dépenses de </w:t>
      </w:r>
      <w:proofErr w:type="gramStart"/>
      <w:r w:rsidRPr="002D02F3">
        <w:rPr>
          <w:sz w:val="20"/>
        </w:rPr>
        <w:t>personnel et autres dépenses</w:t>
      </w:r>
      <w:proofErr w:type="gramEnd"/>
      <w:r w:rsidRPr="002D02F3">
        <w:rPr>
          <w:sz w:val="20"/>
        </w:rPr>
        <w:t>)</w:t>
      </w:r>
    </w:p>
    <w:p w:rsidR="00D42474" w:rsidRDefault="00784E52"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784E52" w:rsidRPr="002D02F3" w:rsidRDefault="00784E52" w:rsidP="001A5BF9">
      <w:pPr>
        <w:keepNext/>
        <w:keepLines/>
        <w:rPr>
          <w:rFonts w:cs="Arial"/>
          <w:szCs w:val="22"/>
        </w:rPr>
      </w:pPr>
    </w:p>
    <w:tbl>
      <w:tblPr>
        <w:tblW w:w="9356" w:type="dxa"/>
        <w:tblInd w:w="108" w:type="dxa"/>
        <w:tblLook w:val="04A0" w:firstRow="1" w:lastRow="0" w:firstColumn="1" w:lastColumn="0" w:noHBand="0" w:noVBand="1"/>
      </w:tblPr>
      <w:tblGrid>
        <w:gridCol w:w="2694"/>
        <w:gridCol w:w="1664"/>
        <w:gridCol w:w="1666"/>
        <w:gridCol w:w="1668"/>
        <w:gridCol w:w="1664"/>
      </w:tblGrid>
      <w:tr w:rsidR="00784E52" w:rsidRPr="002D02F3" w:rsidTr="00BB3F3E">
        <w:tc>
          <w:tcPr>
            <w:tcW w:w="2694"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784E52" w:rsidRPr="002D02F3" w:rsidRDefault="00784E52" w:rsidP="001A5BF9">
            <w:pPr>
              <w:spacing w:before="120" w:after="120"/>
              <w:rPr>
                <w:rFonts w:cs="Arial"/>
                <w:sz w:val="16"/>
                <w:szCs w:val="16"/>
              </w:rPr>
            </w:pPr>
            <w:r w:rsidRPr="002D02F3">
              <w:rPr>
                <w:sz w:val="16"/>
              </w:rPr>
              <w:t> </w:t>
            </w:r>
          </w:p>
        </w:tc>
        <w:tc>
          <w:tcPr>
            <w:tcW w:w="1664"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666"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668"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664" w:type="dxa"/>
            <w:tcBorders>
              <w:top w:val="single" w:sz="4" w:space="0" w:color="auto"/>
              <w:left w:val="nil"/>
              <w:bottom w:val="nil"/>
              <w:right w:val="single" w:sz="4" w:space="0" w:color="auto"/>
            </w:tcBorders>
            <w:shd w:val="clear" w:color="000000" w:fill="CCFFFF"/>
            <w:vAlign w:val="center"/>
          </w:tcPr>
          <w:p w:rsidR="00784E52" w:rsidRPr="002D02F3" w:rsidRDefault="00784E52"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utilisation (</w:t>
            </w:r>
            <w:r w:rsidR="007E442D" w:rsidRPr="002D02F3">
              <w:rPr>
                <w:sz w:val="16"/>
              </w:rPr>
              <w:t>%</w:t>
            </w:r>
            <w:r w:rsidRPr="002D02F3">
              <w:rPr>
                <w:sz w:val="16"/>
              </w:rPr>
              <w:t>)</w:t>
            </w:r>
          </w:p>
        </w:tc>
      </w:tr>
      <w:tr w:rsidR="00784E52" w:rsidRPr="002D02F3" w:rsidTr="00BB3F3E">
        <w:trPr>
          <w:trHeight w:val="466"/>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664"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sz w:val="16"/>
                <w:szCs w:val="16"/>
              </w:rPr>
            </w:pPr>
            <w:r w:rsidRPr="002D02F3">
              <w:rPr>
                <w:sz w:val="16"/>
              </w:rPr>
              <w:t>5 513</w:t>
            </w:r>
          </w:p>
        </w:tc>
        <w:tc>
          <w:tcPr>
            <w:tcW w:w="1666"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sz w:val="16"/>
                <w:szCs w:val="16"/>
              </w:rPr>
            </w:pPr>
            <w:r w:rsidRPr="002D02F3">
              <w:rPr>
                <w:sz w:val="16"/>
              </w:rPr>
              <w:t>6 013</w:t>
            </w:r>
          </w:p>
        </w:tc>
        <w:tc>
          <w:tcPr>
            <w:tcW w:w="1668"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sz w:val="16"/>
                <w:szCs w:val="16"/>
              </w:rPr>
            </w:pPr>
            <w:r w:rsidRPr="002D02F3">
              <w:rPr>
                <w:sz w:val="16"/>
              </w:rPr>
              <w:t>6 013</w:t>
            </w:r>
          </w:p>
        </w:tc>
        <w:tc>
          <w:tcPr>
            <w:tcW w:w="1664" w:type="dxa"/>
            <w:tcBorders>
              <w:top w:val="single" w:sz="4" w:space="0" w:color="auto"/>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sz w:val="16"/>
                <w:szCs w:val="16"/>
              </w:rPr>
            </w:pPr>
            <w:r w:rsidRPr="002D02F3">
              <w:rPr>
                <w:sz w:val="16"/>
              </w:rPr>
              <w:t>100</w:t>
            </w:r>
            <w:r w:rsidR="007E442D" w:rsidRPr="002D02F3">
              <w:rPr>
                <w:sz w:val="16"/>
              </w:rPr>
              <w:t>%</w:t>
            </w:r>
          </w:p>
        </w:tc>
      </w:tr>
      <w:tr w:rsidR="00784E52" w:rsidRPr="002D02F3" w:rsidTr="00BB3F3E">
        <w:trPr>
          <w:trHeight w:val="466"/>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rPr>
                <w:rFonts w:cs="Arial"/>
                <w:sz w:val="16"/>
                <w:szCs w:val="16"/>
              </w:rPr>
            </w:pPr>
            <w:r w:rsidRPr="002D02F3">
              <w:rPr>
                <w:sz w:val="16"/>
              </w:rPr>
              <w:t xml:space="preserve">Autres dépenses </w:t>
            </w:r>
          </w:p>
        </w:tc>
        <w:tc>
          <w:tcPr>
            <w:tcW w:w="1664"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sz w:val="16"/>
                <w:szCs w:val="16"/>
              </w:rPr>
            </w:pPr>
            <w:r w:rsidRPr="002D02F3">
              <w:rPr>
                <w:sz w:val="16"/>
              </w:rPr>
              <w:t>1 255</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sz w:val="16"/>
                <w:szCs w:val="16"/>
              </w:rPr>
            </w:pPr>
            <w:r w:rsidRPr="002D02F3">
              <w:rPr>
                <w:sz w:val="16"/>
              </w:rPr>
              <w:t>1 125</w:t>
            </w:r>
          </w:p>
        </w:tc>
        <w:tc>
          <w:tcPr>
            <w:tcW w:w="1668"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sz w:val="16"/>
                <w:szCs w:val="16"/>
              </w:rPr>
            </w:pPr>
            <w:r w:rsidRPr="002D02F3">
              <w:rPr>
                <w:sz w:val="16"/>
              </w:rPr>
              <w:t>1 072</w:t>
            </w:r>
          </w:p>
        </w:tc>
        <w:tc>
          <w:tcPr>
            <w:tcW w:w="1664"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sz w:val="16"/>
                <w:szCs w:val="16"/>
              </w:rPr>
            </w:pPr>
            <w:r w:rsidRPr="002D02F3">
              <w:rPr>
                <w:sz w:val="16"/>
              </w:rPr>
              <w:t>95</w:t>
            </w:r>
            <w:r w:rsidR="007E442D" w:rsidRPr="002D02F3">
              <w:rPr>
                <w:sz w:val="16"/>
              </w:rPr>
              <w:t>%</w:t>
            </w:r>
          </w:p>
        </w:tc>
      </w:tr>
      <w:tr w:rsidR="00784E52" w:rsidRPr="002D02F3" w:rsidTr="00BB3F3E">
        <w:trPr>
          <w:trHeight w:val="466"/>
        </w:trPr>
        <w:tc>
          <w:tcPr>
            <w:tcW w:w="2694" w:type="dxa"/>
            <w:tcBorders>
              <w:top w:val="nil"/>
              <w:left w:val="single" w:sz="4" w:space="0" w:color="auto"/>
              <w:bottom w:val="single" w:sz="4" w:space="0" w:color="auto"/>
              <w:right w:val="single" w:sz="4" w:space="0" w:color="auto"/>
            </w:tcBorders>
            <w:shd w:val="clear" w:color="auto" w:fill="auto"/>
            <w:noWrap/>
            <w:vAlign w:val="center"/>
          </w:tcPr>
          <w:p w:rsidR="00784E52" w:rsidRPr="002D02F3" w:rsidRDefault="00784E52" w:rsidP="001A5BF9">
            <w:pPr>
              <w:spacing w:before="120" w:after="120"/>
              <w:jc w:val="right"/>
              <w:rPr>
                <w:rFonts w:cs="Arial"/>
                <w:b/>
                <w:bCs/>
                <w:sz w:val="16"/>
                <w:szCs w:val="16"/>
              </w:rPr>
            </w:pPr>
            <w:r w:rsidRPr="002D02F3">
              <w:rPr>
                <w:b/>
                <w:sz w:val="16"/>
              </w:rPr>
              <w:t xml:space="preserve"> TOTAL </w:t>
            </w:r>
          </w:p>
        </w:tc>
        <w:tc>
          <w:tcPr>
            <w:tcW w:w="1664"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b/>
                <w:bCs/>
                <w:sz w:val="16"/>
                <w:szCs w:val="16"/>
              </w:rPr>
            </w:pPr>
            <w:r w:rsidRPr="002D02F3">
              <w:rPr>
                <w:b/>
                <w:sz w:val="16"/>
              </w:rPr>
              <w:t>6 768</w:t>
            </w:r>
          </w:p>
        </w:tc>
        <w:tc>
          <w:tcPr>
            <w:tcW w:w="1666"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b/>
                <w:bCs/>
                <w:sz w:val="16"/>
                <w:szCs w:val="16"/>
              </w:rPr>
            </w:pPr>
            <w:r w:rsidRPr="002D02F3">
              <w:rPr>
                <w:b/>
                <w:sz w:val="16"/>
              </w:rPr>
              <w:t>7 138</w:t>
            </w:r>
          </w:p>
        </w:tc>
        <w:tc>
          <w:tcPr>
            <w:tcW w:w="1668"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b/>
                <w:bCs/>
                <w:sz w:val="16"/>
                <w:szCs w:val="16"/>
              </w:rPr>
            </w:pPr>
            <w:r w:rsidRPr="002D02F3">
              <w:rPr>
                <w:b/>
                <w:sz w:val="16"/>
              </w:rPr>
              <w:t>7 086</w:t>
            </w:r>
          </w:p>
        </w:tc>
        <w:tc>
          <w:tcPr>
            <w:tcW w:w="1664" w:type="dxa"/>
            <w:tcBorders>
              <w:top w:val="nil"/>
              <w:left w:val="nil"/>
              <w:bottom w:val="single" w:sz="4" w:space="0" w:color="auto"/>
              <w:right w:val="single" w:sz="4" w:space="0" w:color="auto"/>
            </w:tcBorders>
            <w:shd w:val="clear" w:color="auto" w:fill="auto"/>
            <w:vAlign w:val="center"/>
          </w:tcPr>
          <w:p w:rsidR="00784E52" w:rsidRPr="002D02F3" w:rsidRDefault="00784E52" w:rsidP="001A5BF9">
            <w:pPr>
              <w:spacing w:before="80" w:after="80"/>
              <w:jc w:val="center"/>
              <w:rPr>
                <w:rFonts w:cs="Arial"/>
                <w:b/>
                <w:bCs/>
                <w:sz w:val="16"/>
                <w:szCs w:val="16"/>
              </w:rPr>
            </w:pPr>
            <w:r w:rsidRPr="002D02F3">
              <w:rPr>
                <w:b/>
                <w:sz w:val="16"/>
              </w:rPr>
              <w:t>99</w:t>
            </w:r>
            <w:r w:rsidR="007E442D" w:rsidRPr="002D02F3">
              <w:rPr>
                <w:b/>
                <w:sz w:val="16"/>
              </w:rPr>
              <w:t>%</w:t>
            </w:r>
          </w:p>
        </w:tc>
      </w:tr>
    </w:tbl>
    <w:p w:rsidR="00D42474" w:rsidRDefault="00D42474" w:rsidP="001A5BF9">
      <w:pPr>
        <w:rPr>
          <w:rFonts w:cs="Arial"/>
          <w:sz w:val="16"/>
          <w:szCs w:val="16"/>
        </w:rPr>
      </w:pPr>
    </w:p>
    <w:p w:rsidR="00D42474" w:rsidRDefault="00784E52" w:rsidP="001A5BF9">
      <w:pPr>
        <w:autoSpaceDE w:val="0"/>
        <w:autoSpaceDN w:val="0"/>
        <w:rPr>
          <w:rFonts w:cs="Arial"/>
          <w:sz w:val="16"/>
          <w:szCs w:val="16"/>
        </w:rPr>
      </w:pPr>
      <w:proofErr w:type="gramStart"/>
      <w:r w:rsidRPr="002D02F3">
        <w:rPr>
          <w:sz w:val="16"/>
        </w:rPr>
        <w:t>NOTES</w:t>
      </w:r>
      <w:proofErr w:type="gramEnd"/>
      <w:r w:rsidR="0010442A" w:rsidRPr="002D02F3">
        <w:rPr>
          <w:sz w:val="16"/>
        </w:rPr>
        <w:t> </w:t>
      </w:r>
      <w:r w:rsidRPr="002D02F3">
        <w:rPr>
          <w:sz w:val="16"/>
        </w:rPr>
        <w:t>:</w:t>
      </w:r>
    </w:p>
    <w:p w:rsidR="00D42474" w:rsidRDefault="00D42474" w:rsidP="001A5BF9">
      <w:pPr>
        <w:autoSpaceDE w:val="0"/>
        <w:autoSpaceDN w:val="0"/>
        <w:rPr>
          <w:rFonts w:cs="Arial"/>
          <w:sz w:val="16"/>
          <w:szCs w:val="16"/>
        </w:rPr>
      </w:pPr>
    </w:p>
    <w:p w:rsidR="00D42474" w:rsidRDefault="00784E52" w:rsidP="001A5BF9">
      <w:pPr>
        <w:autoSpaceDE w:val="0"/>
        <w:autoSpaceDN w:val="0"/>
        <w:rPr>
          <w:rFonts w:cs="Arial"/>
          <w:sz w:val="16"/>
          <w:szCs w:val="16"/>
        </w:rPr>
      </w:pPr>
      <w:r w:rsidRPr="002D02F3">
        <w:rPr>
          <w:sz w:val="16"/>
        </w:rPr>
        <w:t>1)</w:t>
      </w:r>
      <w:r w:rsidR="004F3E42" w:rsidRPr="002D02F3">
        <w:rPr>
          <w:sz w:val="16"/>
        </w:rPr>
        <w:t xml:space="preserve"> </w:t>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autoSpaceDE w:val="0"/>
        <w:autoSpaceDN w:val="0"/>
        <w:rPr>
          <w:rFonts w:cs="Arial"/>
          <w:sz w:val="16"/>
          <w:szCs w:val="16"/>
        </w:rPr>
      </w:pPr>
    </w:p>
    <w:p w:rsidR="00D42474" w:rsidRDefault="00784E52" w:rsidP="001A5BF9">
      <w:pPr>
        <w:autoSpaceDE w:val="0"/>
        <w:autoSpaceDN w:val="0"/>
        <w:rPr>
          <w:sz w:val="16"/>
        </w:rPr>
      </w:pPr>
      <w:r w:rsidRPr="002D02F3">
        <w:rPr>
          <w:sz w:val="16"/>
        </w:rPr>
        <w:t>2) Les dépenses de personnel indiquées dans le budget de l</w:t>
      </w:r>
      <w:r w:rsidR="00A20444" w:rsidRPr="002D02F3">
        <w:rPr>
          <w:sz w:val="16"/>
        </w:rPr>
        <w:t>’</w:t>
      </w:r>
      <w:r w:rsidRPr="002D02F3">
        <w:rPr>
          <w:sz w:val="16"/>
        </w:rPr>
        <w:t>exercice 2012</w:t>
      </w:r>
      <w:r w:rsidR="002D6F2A" w:rsidRPr="002D02F3">
        <w:rPr>
          <w:sz w:val="16"/>
        </w:rPr>
        <w:noBreakHyphen/>
      </w:r>
      <w:r w:rsidRPr="002D02F3">
        <w:rPr>
          <w:sz w:val="16"/>
        </w:rPr>
        <w:t>2013 après virements représentent les dépenses réelles engagées pendant l</w:t>
      </w:r>
      <w:r w:rsidR="00A20444" w:rsidRPr="002D02F3">
        <w:rPr>
          <w:sz w:val="16"/>
        </w:rPr>
        <w:t>’</w:t>
      </w:r>
      <w:r w:rsidRPr="002D02F3">
        <w:rPr>
          <w:sz w:val="16"/>
        </w:rPr>
        <w:t>exercice biennal.</w:t>
      </w:r>
    </w:p>
    <w:p w:rsidR="00D42474" w:rsidRDefault="00D42474" w:rsidP="001A5BF9">
      <w:pPr>
        <w:rPr>
          <w:rFonts w:cs="Arial"/>
          <w:szCs w:val="22"/>
        </w:rPr>
      </w:pPr>
    </w:p>
    <w:p w:rsidR="00D42474" w:rsidRDefault="00784E52" w:rsidP="001A5BF9">
      <w:pPr>
        <w:pageBreakBefore/>
        <w:tabs>
          <w:tab w:val="left" w:pos="709"/>
        </w:tabs>
        <w:rPr>
          <w:rFonts w:cs="Arial"/>
          <w:szCs w:val="20"/>
          <w:u w:val="single"/>
        </w:rPr>
      </w:pPr>
      <w:r w:rsidRPr="00A86EF2">
        <w:t>A.</w:t>
      </w:r>
      <w:r w:rsidRPr="00A86EF2">
        <w:tab/>
      </w:r>
      <w:r w:rsidRPr="002D02F3">
        <w:rPr>
          <w:u w:val="single"/>
        </w:rPr>
        <w:t>Budget 2012</w:t>
      </w:r>
      <w:r w:rsidR="002D6F2A" w:rsidRPr="002D02F3">
        <w:rPr>
          <w:u w:val="single"/>
        </w:rPr>
        <w:noBreakHyphen/>
      </w:r>
      <w:r w:rsidRPr="002D02F3">
        <w:rPr>
          <w:u w:val="single"/>
        </w:rPr>
        <w:t>2013 après virements</w:t>
      </w:r>
    </w:p>
    <w:p w:rsidR="00D42474" w:rsidRDefault="00D42474" w:rsidP="001A5BF9">
      <w:pPr>
        <w:rPr>
          <w:rFonts w:cs="Arial"/>
          <w:szCs w:val="20"/>
        </w:rPr>
      </w:pPr>
    </w:p>
    <w:p w:rsidR="00D42474" w:rsidRDefault="00784E52" w:rsidP="001A5BF9">
      <w:pPr>
        <w:tabs>
          <w:tab w:val="left" w:pos="709"/>
        </w:tabs>
        <w:autoSpaceDE w:val="0"/>
        <w:autoSpaceDN w:val="0"/>
        <w:jc w:val="both"/>
        <w:rPr>
          <w:rFonts w:cs="Arial"/>
          <w:szCs w:val="20"/>
        </w:rPr>
      </w:pPr>
      <w:r w:rsidRPr="002D02F3">
        <w:t>18.8</w:t>
      </w:r>
      <w:r w:rsidRPr="002D02F3">
        <w:tab/>
        <w:t>L</w:t>
      </w:r>
      <w:r w:rsidR="00A20444" w:rsidRPr="002D02F3">
        <w:t>’</w:t>
      </w:r>
      <w:r w:rsidRPr="002D02F3">
        <w:t>affectation aux dépenses autres pour le budget 2012</w:t>
      </w:r>
      <w:r w:rsidR="002D6F2A" w:rsidRPr="002D02F3">
        <w:noBreakHyphen/>
      </w:r>
      <w:r w:rsidRPr="002D02F3">
        <w:t>2013 après virements, tient compte des ajustements à la baisse opérés pour réduire les coûts conformément aux engagements de l</w:t>
      </w:r>
      <w:r w:rsidR="00A20444" w:rsidRPr="002D02F3">
        <w:t>’</w:t>
      </w:r>
      <w:r w:rsidRPr="002D02F3">
        <w:t>Organisation de réduire les dépenses de 10,2</w:t>
      </w:r>
      <w:r w:rsidR="0010442A" w:rsidRPr="002D02F3">
        <w:t> </w:t>
      </w:r>
      <w:r w:rsidRPr="002D02F3">
        <w:t>millions de francs suisses pour l</w:t>
      </w:r>
      <w:r w:rsidR="00A20444" w:rsidRPr="002D02F3">
        <w:t>’</w:t>
      </w:r>
      <w:r w:rsidRPr="002D02F3">
        <w:t>exercice biennal</w:t>
      </w:r>
      <w:r w:rsidR="0010442A" w:rsidRPr="002D02F3">
        <w:t> </w:t>
      </w:r>
      <w:r w:rsidRPr="002D02F3">
        <w:t>2012</w:t>
      </w:r>
      <w:r w:rsidR="002D6F2A" w:rsidRPr="002D02F3">
        <w:noBreakHyphen/>
      </w:r>
      <w:r w:rsidRPr="002D02F3">
        <w:t>2013.</w:t>
      </w:r>
    </w:p>
    <w:p w:rsidR="00D42474" w:rsidRDefault="00D42474" w:rsidP="001A5BF9">
      <w:pPr>
        <w:jc w:val="both"/>
        <w:rPr>
          <w:rFonts w:cs="Arial"/>
          <w:szCs w:val="20"/>
        </w:rPr>
      </w:pPr>
    </w:p>
    <w:p w:rsidR="00D42474" w:rsidRDefault="00784E52" w:rsidP="001A5BF9">
      <w:pPr>
        <w:tabs>
          <w:tab w:val="left" w:pos="709"/>
        </w:tabs>
        <w:jc w:val="both"/>
      </w:pPr>
      <w:r w:rsidRPr="002D02F3">
        <w:t>18.9.</w:t>
      </w:r>
      <w:r w:rsidRPr="002D02F3">
        <w:tab/>
        <w:t>L</w:t>
      </w:r>
      <w:r w:rsidR="00A20444" w:rsidRPr="002D02F3">
        <w:t>’</w:t>
      </w:r>
      <w:r w:rsidRPr="002D02F3">
        <w:t>augmentation du montant des ressources dédiées au personnel découle essentiellement des ressources supplémentaires prévues pour appuyer les travaux des plates</w:t>
      </w:r>
      <w:r w:rsidR="002D6F2A" w:rsidRPr="002D02F3">
        <w:noBreakHyphen/>
      </w:r>
      <w:r w:rsidRPr="002D02F3">
        <w:t>formes et des applications informatiques de l</w:t>
      </w:r>
      <w:r w:rsidR="00A20444" w:rsidRPr="002D02F3">
        <w:t>’</w:t>
      </w:r>
      <w:r w:rsidRPr="002D02F3">
        <w:t>OMPI dans le secteur des questions mondiales.</w:t>
      </w:r>
    </w:p>
    <w:p w:rsidR="00D42474" w:rsidRDefault="00D42474" w:rsidP="001A5BF9">
      <w:pPr>
        <w:jc w:val="both"/>
        <w:rPr>
          <w:rFonts w:cs="Arial"/>
          <w:szCs w:val="20"/>
        </w:rPr>
      </w:pPr>
    </w:p>
    <w:p w:rsidR="00D42474" w:rsidRDefault="00784E52" w:rsidP="001A5BF9">
      <w:pPr>
        <w:tabs>
          <w:tab w:val="left" w:pos="709"/>
        </w:tabs>
        <w:jc w:val="both"/>
      </w:pPr>
      <w:r w:rsidRPr="002D02F3">
        <w:t>18.10.</w:t>
      </w:r>
      <w:r w:rsidRPr="002D02F3">
        <w:tab/>
        <w:t>L</w:t>
      </w:r>
      <w:r w:rsidR="00A20444" w:rsidRPr="002D02F3">
        <w:t>’</w:t>
      </w:r>
      <w:r w:rsidRPr="002D02F3">
        <w:t>affectation modifiée de ressources pour les résultats </w:t>
      </w:r>
      <w:proofErr w:type="spellStart"/>
      <w:r w:rsidRPr="002D02F3">
        <w:t>VII.1</w:t>
      </w:r>
      <w:proofErr w:type="spellEnd"/>
      <w:r w:rsidRPr="002D02F3">
        <w:t xml:space="preserve"> (Meilleure compréhension des enjeux mondiaux et de la propriété intellectuelle), </w:t>
      </w:r>
      <w:proofErr w:type="spellStart"/>
      <w:r w:rsidRPr="002D02F3">
        <w:t>VII.2</w:t>
      </w:r>
      <w:proofErr w:type="spellEnd"/>
      <w:r w:rsidRPr="002D02F3">
        <w:t> (L</w:t>
      </w:r>
      <w:r w:rsidR="00A20444" w:rsidRPr="002D02F3">
        <w:t>’</w:t>
      </w:r>
      <w:r w:rsidRPr="002D02F3">
        <w:t>OMPI en tant que source fiable d</w:t>
      </w:r>
      <w:r w:rsidR="00A20444" w:rsidRPr="002D02F3">
        <w:t>’</w:t>
      </w:r>
      <w:r w:rsidRPr="002D02F3">
        <w:t>information sur l</w:t>
      </w:r>
      <w:r w:rsidR="00A20444" w:rsidRPr="002D02F3">
        <w:t>’</w:t>
      </w:r>
      <w:r w:rsidRPr="002D02F3">
        <w:t xml:space="preserve">innovation et la propriété intellectuelle) et </w:t>
      </w:r>
      <w:proofErr w:type="spellStart"/>
      <w:r w:rsidRPr="002D02F3">
        <w:t>VII.3</w:t>
      </w:r>
      <w:proofErr w:type="spellEnd"/>
      <w:r w:rsidRPr="002D02F3">
        <w:t> (Utilisation d</w:t>
      </w:r>
      <w:r w:rsidR="00A20444" w:rsidRPr="002D02F3">
        <w:t>’</w:t>
      </w:r>
      <w:r w:rsidRPr="002D02F3">
        <w:t>instruments axés sur la propriété intellectuelle pour le transfert de technologie) est essentiellement due à : a) une augmentation des ressources affectées aux deux</w:t>
      </w:r>
      <w:r w:rsidR="0010442A" w:rsidRPr="002D02F3">
        <w:t> </w:t>
      </w:r>
      <w:r w:rsidRPr="002D02F3">
        <w:t>premiers résultats afin de répondre aux demandes constantes de contribution et de participation à des processus, séminaires, ateliers et conférences de politique publique;</w:t>
      </w:r>
      <w:r w:rsidR="004F3E42" w:rsidRPr="002D02F3">
        <w:t xml:space="preserve"> </w:t>
      </w:r>
      <w:r w:rsidR="0010442A" w:rsidRPr="002D02F3">
        <w:t xml:space="preserve"> </w:t>
      </w:r>
      <w:r w:rsidRPr="002D02F3">
        <w:t>et, b) une diminution des ressources requises pour la création et la mise en œuvre de plates</w:t>
      </w:r>
      <w:r w:rsidR="002D6F2A" w:rsidRPr="002D02F3">
        <w:noBreakHyphen/>
      </w:r>
      <w:r w:rsidRPr="002D02F3">
        <w:t>formes fondées sur la propriété intellectuelle en raison de retards par rapport aux plans initiaux, comme en atteste le dernier résultat.</w:t>
      </w:r>
    </w:p>
    <w:p w:rsidR="00D42474" w:rsidRDefault="00D42474" w:rsidP="001A5BF9">
      <w:pPr>
        <w:tabs>
          <w:tab w:val="left" w:pos="709"/>
        </w:tabs>
        <w:rPr>
          <w:rFonts w:cs="Arial"/>
          <w:szCs w:val="20"/>
        </w:rPr>
      </w:pPr>
    </w:p>
    <w:p w:rsidR="00D42474" w:rsidRDefault="00784E52" w:rsidP="001A5BF9">
      <w:pPr>
        <w:tabs>
          <w:tab w:val="left" w:pos="709"/>
        </w:tabs>
        <w:rPr>
          <w:rFonts w:cs="Arial"/>
          <w:szCs w:val="20"/>
          <w:u w:val="single"/>
        </w:rPr>
      </w:pPr>
      <w:r w:rsidRPr="002D02F3">
        <w:t>B.</w:t>
      </w:r>
      <w:r w:rsidRPr="002D02F3">
        <w:tab/>
      </w:r>
      <w:r w:rsidRPr="002D02F3">
        <w:rPr>
          <w:u w:val="single"/>
        </w:rPr>
        <w:t>Utilisation du budget 2012</w:t>
      </w:r>
      <w:r w:rsidR="002D6F2A" w:rsidRPr="002D02F3">
        <w:rPr>
          <w:u w:val="single"/>
        </w:rPr>
        <w:noBreakHyphen/>
      </w:r>
      <w:r w:rsidRPr="002D02F3">
        <w:rPr>
          <w:u w:val="single"/>
        </w:rPr>
        <w:t>2013</w:t>
      </w:r>
    </w:p>
    <w:p w:rsidR="00D42474" w:rsidRDefault="00D42474" w:rsidP="001A5BF9">
      <w:pPr>
        <w:tabs>
          <w:tab w:val="left" w:pos="709"/>
        </w:tabs>
        <w:rPr>
          <w:rFonts w:cs="Arial"/>
          <w:szCs w:val="20"/>
        </w:rPr>
      </w:pPr>
    </w:p>
    <w:p w:rsidR="00D42474" w:rsidRDefault="00784E52" w:rsidP="001A5BF9">
      <w:pPr>
        <w:tabs>
          <w:tab w:val="left" w:pos="709"/>
        </w:tabs>
      </w:pPr>
      <w:r w:rsidRPr="002D02F3">
        <w:t>18.11.</w:t>
      </w:r>
      <w:r w:rsidRPr="002D02F3">
        <w:tab/>
        <w:t>La légère sous</w:t>
      </w:r>
      <w:r w:rsidR="002D6F2A" w:rsidRPr="002D02F3">
        <w:noBreakHyphen/>
      </w:r>
      <w:r w:rsidRPr="002D02F3">
        <w:t>utilisation des ressources hors personnel reflète la réalisation d</w:t>
      </w:r>
      <w:r w:rsidR="00A20444" w:rsidRPr="002D02F3">
        <w:t>’</w:t>
      </w:r>
      <w:r w:rsidRPr="002D02F3">
        <w:t>économies, en particulier en ce qui concerne les voyages et l</w:t>
      </w:r>
      <w:r w:rsidR="00A20444" w:rsidRPr="002D02F3">
        <w:t>’</w:t>
      </w:r>
      <w:r w:rsidRPr="002D02F3">
        <w:t>organisation de réunions.</w:t>
      </w:r>
      <w:r w:rsidR="0010442A" w:rsidRPr="002D02F3">
        <w:t xml:space="preserve"> </w:t>
      </w:r>
      <w:r w:rsidRPr="002D02F3">
        <w:t xml:space="preserve"> </w:t>
      </w:r>
    </w:p>
    <w:p w:rsidR="00D42474" w:rsidRDefault="00D42474" w:rsidP="001A5BF9">
      <w:pPr>
        <w:tabs>
          <w:tab w:val="left" w:pos="709"/>
        </w:tabs>
      </w:pPr>
    </w:p>
    <w:p w:rsidR="00D42474" w:rsidRDefault="00784E52" w:rsidP="001A5BF9">
      <w:pPr>
        <w:tabs>
          <w:tab w:val="left" w:pos="709"/>
        </w:tabs>
        <w:rPr>
          <w:rFonts w:cs="Arial"/>
          <w:szCs w:val="20"/>
        </w:rPr>
      </w:pPr>
      <w:r w:rsidRPr="002D02F3">
        <w:br w:type="page"/>
      </w:r>
    </w:p>
    <w:p w:rsidR="00D42474" w:rsidRDefault="00C82E6A" w:rsidP="00C82E6A">
      <w:pPr>
        <w:pStyle w:val="Heading2"/>
        <w:tabs>
          <w:tab w:val="clear" w:pos="9072"/>
        </w:tabs>
      </w:pPr>
      <w:bookmarkStart w:id="37" w:name="_Toc395082489"/>
      <w:r w:rsidRPr="003D32C1">
        <w:t>OBJECTIF STRAT</w:t>
      </w:r>
      <w:r w:rsidRPr="003D32C1">
        <w:rPr>
          <w:rFonts w:hint="eastAsia"/>
        </w:rPr>
        <w:t>É</w:t>
      </w:r>
      <w:r w:rsidRPr="003D32C1">
        <w:t>GIQUE</w:t>
      </w:r>
      <w:r w:rsidRPr="003D32C1">
        <w:rPr>
          <w:rFonts w:hint="eastAsia"/>
        </w:rPr>
        <w:t> </w:t>
      </w:r>
      <w:r w:rsidRPr="003D32C1">
        <w:t>VIII</w:t>
      </w:r>
      <w:r>
        <w:tab/>
      </w:r>
      <w:r w:rsidRPr="003D32C1">
        <w:br/>
      </w:r>
      <w:r w:rsidR="003D32C1" w:rsidRPr="003D32C1">
        <w:br/>
        <w:t>Interface de communication dynamique entre l</w:t>
      </w:r>
      <w:r w:rsidR="00194574" w:rsidRPr="003D32C1">
        <w:rPr>
          <w:rFonts w:hint="eastAsia"/>
        </w:rPr>
        <w:t>’</w:t>
      </w:r>
      <w:r w:rsidR="003D32C1" w:rsidRPr="003D32C1">
        <w:t>OMPI, ses</w:t>
      </w:r>
      <w:r w:rsidR="003D32C1" w:rsidRPr="003D32C1">
        <w:rPr>
          <w:rFonts w:hint="eastAsia"/>
        </w:rPr>
        <w:t> é</w:t>
      </w:r>
      <w:r w:rsidR="003D32C1">
        <w:t>tats membres et </w:t>
      </w:r>
      <w:r w:rsidR="003D32C1" w:rsidRPr="003D32C1">
        <w:t>l</w:t>
      </w:r>
      <w:r w:rsidR="00194574" w:rsidRPr="003D32C1">
        <w:rPr>
          <w:rFonts w:hint="eastAsia"/>
        </w:rPr>
        <w:t>’</w:t>
      </w:r>
      <w:r w:rsidR="003D32C1" w:rsidRPr="003D32C1">
        <w:t>ensemble des parties prenantes</w:t>
      </w:r>
      <w:bookmarkEnd w:id="37"/>
    </w:p>
    <w:p w:rsidR="00D42474" w:rsidRDefault="00D42474" w:rsidP="001A5BF9">
      <w:pPr>
        <w:jc w:val="center"/>
        <w:rPr>
          <w:sz w:val="16"/>
          <w:szCs w:val="16"/>
        </w:rPr>
      </w:pPr>
    </w:p>
    <w:p w:rsidR="00D42474" w:rsidRDefault="00D42474" w:rsidP="001A5BF9">
      <w:pPr>
        <w:jc w:val="center"/>
        <w:rPr>
          <w:sz w:val="16"/>
          <w:szCs w:val="16"/>
        </w:rPr>
      </w:pPr>
    </w:p>
    <w:p w:rsidR="00D42474" w:rsidRDefault="00D42474" w:rsidP="001A5BF9">
      <w:pPr>
        <w:jc w:val="center"/>
        <w:rPr>
          <w:sz w:val="16"/>
          <w:szCs w:val="16"/>
        </w:rPr>
      </w:pPr>
    </w:p>
    <w:p w:rsidR="00D42474" w:rsidRDefault="00784E52" w:rsidP="001A5BF9">
      <w:pPr>
        <w:jc w:val="center"/>
        <w:rPr>
          <w:szCs w:val="20"/>
        </w:rPr>
      </w:pPr>
      <w:r w:rsidRPr="002D02F3">
        <w:t>TABLEAU DE BORD DE L</w:t>
      </w:r>
      <w:r w:rsidR="00A20444" w:rsidRPr="002D02F3">
        <w:t>’</w:t>
      </w:r>
      <w:r w:rsidRPr="002D02F3">
        <w:t>EXÉCUTION DU PROGRAMME BIENNAL</w:t>
      </w:r>
    </w:p>
    <w:p w:rsidR="00D42474" w:rsidRDefault="00D42474" w:rsidP="001A5BF9">
      <w:pPr>
        <w:jc w:val="center"/>
        <w:rPr>
          <w:sz w:val="16"/>
          <w:szCs w:val="16"/>
        </w:rPr>
      </w:pPr>
    </w:p>
    <w:p w:rsidR="00D42474" w:rsidRDefault="00784E52" w:rsidP="001A5BF9">
      <w:pPr>
        <w:autoSpaceDE w:val="0"/>
        <w:autoSpaceDN w:val="0"/>
        <w:adjustRightInd w:val="0"/>
        <w:jc w:val="both"/>
      </w:pPr>
      <w:r w:rsidRPr="002D02F3">
        <w:t>Le tableau de bord ci</w:t>
      </w:r>
      <w:r w:rsidR="002D6F2A" w:rsidRPr="002D02F3">
        <w:noBreakHyphen/>
      </w:r>
      <w:r w:rsidRPr="002D02F3">
        <w:t>dessous présente un résumé de la réalisation des résultats escomptés pour l</w:t>
      </w:r>
      <w:r w:rsidR="00A20444" w:rsidRPr="002D02F3">
        <w:t>’</w:t>
      </w:r>
      <w:r w:rsidRPr="002D02F3">
        <w:t>exercice biennal 2012</w:t>
      </w:r>
      <w:r w:rsidR="002D6F2A" w:rsidRPr="002D02F3">
        <w:noBreakHyphen/>
      </w:r>
      <w:r w:rsidRPr="002D02F3">
        <w:t xml:space="preserve">2013, telle que mesurée par les indicateurs au titre des programmes contribuant à cet objectif </w:t>
      </w:r>
      <w:r w:rsidR="00B66DCC">
        <w:t>s</w:t>
      </w:r>
      <w:r w:rsidRPr="002D02F3">
        <w:t>tratég</w:t>
      </w:r>
      <w:r w:rsidR="00EA3FF8">
        <w:t>ique.</w:t>
      </w:r>
    </w:p>
    <w:p w:rsidR="00D42474" w:rsidRDefault="00D42474" w:rsidP="001A5BF9">
      <w:pPr>
        <w:autoSpaceDE w:val="0"/>
        <w:autoSpaceDN w:val="0"/>
        <w:adjustRightInd w:val="0"/>
        <w:jc w:val="both"/>
        <w:rPr>
          <w:rFonts w:cs="Arial"/>
        </w:rPr>
      </w:pPr>
    </w:p>
    <w:p w:rsidR="00D42474" w:rsidRDefault="00EA3FF8" w:rsidP="001A5BF9">
      <w:pPr>
        <w:autoSpaceDE w:val="0"/>
        <w:autoSpaceDN w:val="0"/>
        <w:adjustRightInd w:val="0"/>
        <w:jc w:val="center"/>
        <w:rPr>
          <w:rFonts w:cs="Arial"/>
        </w:rPr>
      </w:pPr>
      <w:r w:rsidRPr="00EA3FF8">
        <w:rPr>
          <w:noProof/>
        </w:rPr>
        <w:drawing>
          <wp:inline distT="0" distB="0" distL="0" distR="0" wp14:anchorId="6AF2EC73" wp14:editId="0465D5E4">
            <wp:extent cx="4024648" cy="22101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033959" cy="2215244"/>
                    </a:xfrm>
                    <a:prstGeom prst="rect">
                      <a:avLst/>
                    </a:prstGeom>
                    <a:noFill/>
                    <a:ln>
                      <a:noFill/>
                    </a:ln>
                  </pic:spPr>
                </pic:pic>
              </a:graphicData>
            </a:graphic>
          </wp:inline>
        </w:drawing>
      </w:r>
    </w:p>
    <w:p w:rsidR="00784E52" w:rsidRPr="005C7CCE" w:rsidRDefault="00784E52" w:rsidP="001A5BF9">
      <w:pPr>
        <w:tabs>
          <w:tab w:val="left" w:pos="1701"/>
        </w:tabs>
        <w:ind w:left="1701" w:hanging="1701"/>
        <w:jc w:val="center"/>
        <w:rPr>
          <w:rFonts w:cs="Arial"/>
          <w:b/>
          <w:bCs/>
          <w:caps/>
          <w:sz w:val="16"/>
          <w:szCs w:val="16"/>
        </w:rPr>
      </w:pPr>
    </w:p>
    <w:tbl>
      <w:tblPr>
        <w:tblW w:w="0" w:type="auto"/>
        <w:tblInd w:w="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704"/>
        <w:gridCol w:w="4252"/>
        <w:gridCol w:w="1174"/>
        <w:gridCol w:w="1059"/>
      </w:tblGrid>
      <w:tr w:rsidR="00784E52" w:rsidRPr="002D02F3" w:rsidTr="006C679E">
        <w:tc>
          <w:tcPr>
            <w:tcW w:w="2704"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Résultats escomptés</w:t>
            </w:r>
          </w:p>
        </w:tc>
        <w:tc>
          <w:tcPr>
            <w:tcW w:w="4252"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Indicateurs d</w:t>
            </w:r>
            <w:r w:rsidR="00A20444" w:rsidRPr="002D02F3">
              <w:rPr>
                <w:b/>
                <w:sz w:val="14"/>
              </w:rPr>
              <w:t>’</w:t>
            </w:r>
            <w:r w:rsidRPr="002D02F3">
              <w:rPr>
                <w:b/>
                <w:sz w:val="14"/>
              </w:rPr>
              <w:t>exécution</w:t>
            </w:r>
          </w:p>
        </w:tc>
        <w:tc>
          <w:tcPr>
            <w:tcW w:w="1174"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Programme(s)</w:t>
            </w:r>
            <w:r w:rsidRPr="002D02F3">
              <w:br/>
            </w:r>
            <w:r w:rsidRPr="002D02F3">
              <w:rPr>
                <w:b/>
                <w:sz w:val="14"/>
              </w:rPr>
              <w:t>concerné(s)</w:t>
            </w:r>
          </w:p>
        </w:tc>
        <w:tc>
          <w:tcPr>
            <w:tcW w:w="1059" w:type="dxa"/>
            <w:tcBorders>
              <w:top w:val="single" w:sz="4" w:space="0" w:color="auto"/>
              <w:bottom w:val="single" w:sz="4" w:space="0" w:color="auto"/>
            </w:tcBorders>
            <w:shd w:val="clear" w:color="auto" w:fill="CCFFFF"/>
            <w:vAlign w:val="center"/>
          </w:tcPr>
          <w:p w:rsidR="00784E52" w:rsidRPr="002D02F3" w:rsidRDefault="00784E52" w:rsidP="001A5BF9">
            <w:pPr>
              <w:spacing w:before="120" w:after="120"/>
              <w:jc w:val="center"/>
              <w:rPr>
                <w:rFonts w:cs="Arial"/>
                <w:b/>
                <w:bCs/>
                <w:sz w:val="14"/>
                <w:szCs w:val="14"/>
              </w:rPr>
            </w:pPr>
            <w:r w:rsidRPr="002D02F3">
              <w:rPr>
                <w:b/>
                <w:sz w:val="14"/>
              </w:rPr>
              <w:t>Code de couleurs</w:t>
            </w:r>
          </w:p>
        </w:tc>
      </w:tr>
      <w:tr w:rsidR="00784E52" w:rsidRPr="005C7CCE" w:rsidTr="006C679E">
        <w:tc>
          <w:tcPr>
            <w:tcW w:w="2704" w:type="dxa"/>
            <w:vMerge w:val="restart"/>
            <w:tcBorders>
              <w:top w:val="single" w:sz="4" w:space="0" w:color="auto"/>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Communication plus efficace avec le grand public concernant la propriété intellectuelle et le rôle de l</w:t>
            </w:r>
            <w:r w:rsidR="00A20444" w:rsidRPr="002D02F3">
              <w:rPr>
                <w:sz w:val="14"/>
              </w:rPr>
              <w:t>’</w:t>
            </w:r>
            <w:r w:rsidRPr="002D02F3">
              <w:rPr>
                <w:sz w:val="14"/>
              </w:rPr>
              <w:t xml:space="preserve">OMPI </w:t>
            </w:r>
          </w:p>
        </w:tc>
        <w:tc>
          <w:tcPr>
            <w:tcW w:w="4252" w:type="dxa"/>
            <w:tcBorders>
              <w:top w:val="single" w:sz="4" w:space="0" w:color="auto"/>
            </w:tcBorders>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w:t>
            </w:r>
            <w:r w:rsidR="00A20444" w:rsidRPr="002D02F3">
              <w:rPr>
                <w:sz w:val="14"/>
              </w:rPr>
              <w:t>’</w:t>
            </w:r>
            <w:r w:rsidRPr="002D02F3">
              <w:rPr>
                <w:sz w:val="14"/>
              </w:rPr>
              <w:t>articles de presse sur les activités de l</w:t>
            </w:r>
            <w:r w:rsidR="00A20444" w:rsidRPr="002D02F3">
              <w:rPr>
                <w:sz w:val="14"/>
              </w:rPr>
              <w:t>’</w:t>
            </w:r>
            <w:r w:rsidRPr="002D02F3">
              <w:rPr>
                <w:sz w:val="14"/>
              </w:rPr>
              <w:t>OMPI</w:t>
            </w:r>
          </w:p>
        </w:tc>
        <w:tc>
          <w:tcPr>
            <w:tcW w:w="1174" w:type="dxa"/>
            <w:tcBorders>
              <w:top w:val="single" w:sz="4" w:space="0" w:color="auto"/>
            </w:tcBorders>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19</w:t>
            </w:r>
          </w:p>
        </w:tc>
        <w:tc>
          <w:tcPr>
            <w:tcW w:w="1059" w:type="dxa"/>
            <w:tcBorders>
              <w:top w:val="single" w:sz="4" w:space="0" w:color="auto"/>
            </w:tcBorders>
          </w:tcPr>
          <w:p w:rsidR="00784E52" w:rsidRPr="005C7CCE" w:rsidRDefault="00784E52" w:rsidP="001A5BF9">
            <w:pPr>
              <w:spacing w:before="20"/>
              <w:jc w:val="center"/>
              <w:rPr>
                <w:rFonts w:cs="Arial"/>
                <w:color w:val="008000"/>
                <w:szCs w:val="22"/>
              </w:rPr>
            </w:pPr>
            <w:r w:rsidRPr="005C7CCE">
              <w:rPr>
                <w:color w:val="008000"/>
              </w:rPr>
              <w:sym w:font="Wingdings" w:char="F06C"/>
            </w:r>
          </w:p>
        </w:tc>
      </w:tr>
      <w:tr w:rsidR="00784E52" w:rsidRPr="005C7CCE" w:rsidTr="006C679E">
        <w:tc>
          <w:tcPr>
            <w:tcW w:w="2704" w:type="dxa"/>
            <w:vMerge/>
            <w:shd w:val="clear" w:color="auto" w:fill="auto"/>
            <w:tcMar>
              <w:top w:w="113" w:type="dxa"/>
            </w:tcMar>
          </w:tcPr>
          <w:p w:rsidR="00784E52" w:rsidRPr="002D02F3" w:rsidRDefault="00784E52" w:rsidP="001A5BF9">
            <w:pPr>
              <w:spacing w:before="80"/>
              <w:rPr>
                <w:rFonts w:cs="Arial"/>
                <w:sz w:val="14"/>
                <w:szCs w:val="14"/>
              </w:rPr>
            </w:pP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Pourcentage des publications essentielles de l</w:t>
            </w:r>
            <w:r w:rsidR="00A20444" w:rsidRPr="002D02F3">
              <w:rPr>
                <w:sz w:val="14"/>
              </w:rPr>
              <w:t>’</w:t>
            </w:r>
            <w:r w:rsidRPr="002D02F3">
              <w:rPr>
                <w:sz w:val="14"/>
              </w:rPr>
              <w:t xml:space="preserve">OMPI disponibles dans toutes les langues officielles des </w:t>
            </w:r>
            <w:r w:rsidR="00A20444" w:rsidRPr="002D02F3">
              <w:rPr>
                <w:sz w:val="14"/>
              </w:rPr>
              <w:t>Nations Unies</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19</w:t>
            </w:r>
          </w:p>
        </w:tc>
        <w:tc>
          <w:tcPr>
            <w:tcW w:w="1059"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C679E">
        <w:tc>
          <w:tcPr>
            <w:tcW w:w="2704" w:type="dxa"/>
            <w:shd w:val="clear" w:color="auto" w:fill="auto"/>
            <w:tcMar>
              <w:top w:w="113" w:type="dxa"/>
            </w:tcMar>
          </w:tcPr>
          <w:p w:rsidR="00784E52" w:rsidRPr="002D02F3" w:rsidRDefault="00784E52" w:rsidP="001A5BF9">
            <w:pPr>
              <w:spacing w:before="80"/>
              <w:ind w:firstLineChars="100" w:firstLine="140"/>
              <w:rPr>
                <w:rFonts w:cs="Arial"/>
                <w:sz w:val="14"/>
                <w:szCs w:val="14"/>
              </w:rPr>
            </w:pPr>
            <w:r w:rsidRPr="002D02F3">
              <w:rPr>
                <w:sz w:val="14"/>
              </w:rPr>
              <w:t> </w:t>
            </w: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Nombre moyen de visionnements par vidéo de l</w:t>
            </w:r>
            <w:r w:rsidR="00A20444" w:rsidRPr="002D02F3">
              <w:rPr>
                <w:sz w:val="14"/>
              </w:rPr>
              <w:t>’</w:t>
            </w:r>
            <w:r w:rsidRPr="002D02F3">
              <w:rPr>
                <w:sz w:val="14"/>
              </w:rPr>
              <w:t xml:space="preserve">OMPI sur YouTube </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19</w:t>
            </w:r>
          </w:p>
        </w:tc>
        <w:tc>
          <w:tcPr>
            <w:tcW w:w="1059"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C679E">
        <w:tc>
          <w:tcPr>
            <w:tcW w:w="2704" w:type="dxa"/>
            <w:shd w:val="clear" w:color="auto" w:fill="auto"/>
            <w:tcMar>
              <w:top w:w="113" w:type="dxa"/>
            </w:tcMar>
          </w:tcPr>
          <w:p w:rsidR="00784E52" w:rsidRPr="002D02F3" w:rsidRDefault="00784E52" w:rsidP="001A5BF9">
            <w:pPr>
              <w:spacing w:before="80"/>
              <w:ind w:firstLineChars="100" w:firstLine="140"/>
              <w:rPr>
                <w:rFonts w:cs="Arial"/>
                <w:sz w:val="14"/>
                <w:szCs w:val="14"/>
              </w:rPr>
            </w:pPr>
            <w:r w:rsidRPr="002D02F3">
              <w:rPr>
                <w:sz w:val="14"/>
              </w:rPr>
              <w:t> </w:t>
            </w: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Nombre moyen de téléchargements par publication de l</w:t>
            </w:r>
            <w:r w:rsidR="00A20444" w:rsidRPr="002D02F3">
              <w:rPr>
                <w:sz w:val="14"/>
              </w:rPr>
              <w:t>’</w:t>
            </w:r>
            <w:r w:rsidRPr="002D02F3">
              <w:rPr>
                <w:sz w:val="14"/>
              </w:rPr>
              <w:t xml:space="preserve">OMPI </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19</w:t>
            </w:r>
          </w:p>
        </w:tc>
        <w:tc>
          <w:tcPr>
            <w:tcW w:w="1059"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C679E">
        <w:tc>
          <w:tcPr>
            <w:tcW w:w="2704" w:type="dxa"/>
            <w:shd w:val="clear" w:color="auto" w:fill="auto"/>
            <w:tcMar>
              <w:top w:w="113" w:type="dxa"/>
            </w:tcMar>
          </w:tcPr>
          <w:p w:rsidR="00784E52" w:rsidRPr="002D02F3" w:rsidRDefault="00784E52" w:rsidP="001A5BF9">
            <w:pPr>
              <w:spacing w:before="80"/>
              <w:ind w:firstLineChars="100" w:firstLine="140"/>
              <w:rPr>
                <w:rFonts w:cs="Arial"/>
                <w:sz w:val="14"/>
                <w:szCs w:val="14"/>
              </w:rPr>
            </w:pPr>
            <w:r w:rsidRPr="002D02F3">
              <w:rPr>
                <w:sz w:val="14"/>
              </w:rPr>
              <w:t> </w:t>
            </w: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 xml:space="preserve">Nombre de pays signalant des manifestations et des activités liées à la Journée mondiale de la propriété intellectuelle </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19</w:t>
            </w:r>
          </w:p>
        </w:tc>
        <w:tc>
          <w:tcPr>
            <w:tcW w:w="1059"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C679E">
        <w:tc>
          <w:tcPr>
            <w:tcW w:w="2704" w:type="dxa"/>
            <w:shd w:val="clear" w:color="auto" w:fill="auto"/>
            <w:tcMar>
              <w:top w:w="113" w:type="dxa"/>
            </w:tcMar>
          </w:tcPr>
          <w:p w:rsidR="00784E52" w:rsidRPr="002D02F3" w:rsidRDefault="00784E52" w:rsidP="001A5BF9">
            <w:pPr>
              <w:spacing w:before="80"/>
              <w:ind w:firstLineChars="100" w:firstLine="140"/>
              <w:rPr>
                <w:rFonts w:cs="Arial"/>
                <w:sz w:val="14"/>
                <w:szCs w:val="14"/>
              </w:rPr>
            </w:pPr>
            <w:r w:rsidRPr="002D02F3">
              <w:rPr>
                <w:sz w:val="14"/>
              </w:rPr>
              <w:t> </w:t>
            </w: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de demandes externes de renseignements ayant reçu une réponse de la bibliothèque de l</w:t>
            </w:r>
            <w:r w:rsidR="00A20444" w:rsidRPr="002D02F3">
              <w:rPr>
                <w:sz w:val="14"/>
              </w:rPr>
              <w:t>’</w:t>
            </w:r>
            <w:r w:rsidRPr="002D02F3">
              <w:rPr>
                <w:sz w:val="14"/>
              </w:rPr>
              <w:t>OMPI</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19</w:t>
            </w:r>
          </w:p>
        </w:tc>
        <w:tc>
          <w:tcPr>
            <w:tcW w:w="1059"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C679E">
        <w:tc>
          <w:tcPr>
            <w:tcW w:w="2704" w:type="dxa"/>
            <w:shd w:val="clear" w:color="auto" w:fill="auto"/>
            <w:tcMar>
              <w:top w:w="113" w:type="dxa"/>
            </w:tcMar>
          </w:tcPr>
          <w:p w:rsidR="00784E52" w:rsidRPr="002D02F3" w:rsidRDefault="00784E52" w:rsidP="001A5BF9">
            <w:pPr>
              <w:spacing w:before="80"/>
              <w:ind w:firstLineChars="100" w:firstLine="140"/>
              <w:rPr>
                <w:rFonts w:cs="Arial"/>
                <w:sz w:val="14"/>
                <w:szCs w:val="14"/>
              </w:rPr>
            </w:pPr>
            <w:r w:rsidRPr="002D02F3">
              <w:rPr>
                <w:sz w:val="14"/>
              </w:rPr>
              <w:t> </w:t>
            </w: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Pourcentage de parties prenantes conscientes de la mission, des activités et de l</w:t>
            </w:r>
            <w:r w:rsidR="00A20444" w:rsidRPr="002D02F3">
              <w:rPr>
                <w:sz w:val="14"/>
              </w:rPr>
              <w:t>’</w:t>
            </w:r>
            <w:r w:rsidRPr="002D02F3">
              <w:rPr>
                <w:sz w:val="14"/>
              </w:rPr>
              <w:t>image de marque de l</w:t>
            </w:r>
            <w:r w:rsidR="00A20444" w:rsidRPr="002D02F3">
              <w:rPr>
                <w:sz w:val="14"/>
              </w:rPr>
              <w:t>’</w:t>
            </w:r>
            <w:r w:rsidRPr="002D02F3">
              <w:rPr>
                <w:sz w:val="14"/>
              </w:rPr>
              <w:t xml:space="preserve">OMPI </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19</w:t>
            </w:r>
          </w:p>
        </w:tc>
        <w:tc>
          <w:tcPr>
            <w:tcW w:w="1059"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C679E">
        <w:tc>
          <w:tcPr>
            <w:tcW w:w="2704" w:type="dxa"/>
            <w:vMerge w:val="restart"/>
            <w:shd w:val="clear" w:color="auto" w:fill="auto"/>
            <w:tcMar>
              <w:top w:w="113" w:type="dxa"/>
            </w:tcMar>
          </w:tcPr>
          <w:p w:rsidR="00784E52" w:rsidRPr="002D02F3" w:rsidRDefault="00784E52" w:rsidP="001A5BF9">
            <w:pPr>
              <w:spacing w:before="80"/>
              <w:rPr>
                <w:rFonts w:cs="Arial"/>
                <w:sz w:val="14"/>
                <w:szCs w:val="14"/>
              </w:rPr>
            </w:pPr>
            <w:r w:rsidRPr="002D02F3">
              <w:rPr>
                <w:sz w:val="14"/>
              </w:rPr>
              <w:t>Amélioration de l</w:t>
            </w:r>
            <w:r w:rsidR="00A20444" w:rsidRPr="002D02F3">
              <w:rPr>
                <w:sz w:val="14"/>
              </w:rPr>
              <w:t>’</w:t>
            </w:r>
            <w:r w:rsidRPr="002D02F3">
              <w:rPr>
                <w:sz w:val="14"/>
              </w:rPr>
              <w:t>orientation vers les services et de la réactivité à la demande</w:t>
            </w: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Taux de satisfaction des clients et des parties prenantes</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19</w:t>
            </w:r>
          </w:p>
        </w:tc>
        <w:tc>
          <w:tcPr>
            <w:tcW w:w="1059"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C679E">
        <w:tc>
          <w:tcPr>
            <w:tcW w:w="2704" w:type="dxa"/>
            <w:vMerge/>
            <w:shd w:val="clear" w:color="auto" w:fill="auto"/>
            <w:tcMar>
              <w:top w:w="113" w:type="dxa"/>
            </w:tcMar>
          </w:tcPr>
          <w:p w:rsidR="00784E52" w:rsidRPr="002D02F3" w:rsidRDefault="00784E52" w:rsidP="001A5BF9">
            <w:pPr>
              <w:spacing w:before="80"/>
              <w:rPr>
                <w:rFonts w:cs="Arial"/>
                <w:sz w:val="14"/>
                <w:szCs w:val="14"/>
              </w:rPr>
            </w:pP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Durée de traitement des demandes de renseignements gérées par un système de tickets</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19</w:t>
            </w:r>
          </w:p>
        </w:tc>
        <w:tc>
          <w:tcPr>
            <w:tcW w:w="1059"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C679E">
        <w:tc>
          <w:tcPr>
            <w:tcW w:w="2704" w:type="dxa"/>
            <w:vMerge w:val="restart"/>
            <w:shd w:val="clear" w:color="auto" w:fill="auto"/>
            <w:tcMar>
              <w:top w:w="113" w:type="dxa"/>
            </w:tcMar>
          </w:tcPr>
          <w:p w:rsidR="00784E52" w:rsidRPr="002D02F3" w:rsidRDefault="00784E52" w:rsidP="001A5BF9">
            <w:pPr>
              <w:spacing w:before="80"/>
              <w:rPr>
                <w:rFonts w:cs="Arial"/>
                <w:sz w:val="14"/>
                <w:szCs w:val="14"/>
              </w:rPr>
            </w:pPr>
            <w:r w:rsidRPr="002D02F3">
              <w:rPr>
                <w:sz w:val="14"/>
              </w:rPr>
              <w:t>L</w:t>
            </w:r>
            <w:r w:rsidR="00A20444" w:rsidRPr="002D02F3">
              <w:rPr>
                <w:sz w:val="14"/>
              </w:rPr>
              <w:t>’</w:t>
            </w:r>
            <w:r w:rsidRPr="002D02F3">
              <w:rPr>
                <w:sz w:val="14"/>
              </w:rPr>
              <w:t>OMPI collabore efficacement avec d</w:t>
            </w:r>
            <w:r w:rsidR="00A20444" w:rsidRPr="002D02F3">
              <w:rPr>
                <w:sz w:val="14"/>
              </w:rPr>
              <w:t>’</w:t>
            </w:r>
            <w:r w:rsidRPr="002D02F3">
              <w:rPr>
                <w:sz w:val="14"/>
              </w:rPr>
              <w:t>autres processus et instances de négociation de l</w:t>
            </w:r>
            <w:r w:rsidR="00A20444" w:rsidRPr="002D02F3">
              <w:rPr>
                <w:sz w:val="14"/>
              </w:rPr>
              <w:t>’</w:t>
            </w:r>
            <w:r w:rsidRPr="002D02F3">
              <w:rPr>
                <w:sz w:val="14"/>
              </w:rPr>
              <w:t>ONU et d</w:t>
            </w:r>
            <w:r w:rsidR="00A20444" w:rsidRPr="002D02F3">
              <w:rPr>
                <w:sz w:val="14"/>
              </w:rPr>
              <w:t>’</w:t>
            </w:r>
            <w:r w:rsidRPr="002D02F3">
              <w:rPr>
                <w:sz w:val="14"/>
              </w:rPr>
              <w:t>autres organisations intergouvernementales</w:t>
            </w: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Utilisation des contributions de l</w:t>
            </w:r>
            <w:r w:rsidR="00A20444" w:rsidRPr="002D02F3">
              <w:rPr>
                <w:sz w:val="14"/>
              </w:rPr>
              <w:t>’</w:t>
            </w:r>
            <w:r w:rsidRPr="002D02F3">
              <w:rPr>
                <w:sz w:val="14"/>
              </w:rPr>
              <w:t>OMPI dans les rapports, les résolutions et les documents des processus ciblés</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20</w:t>
            </w:r>
          </w:p>
        </w:tc>
        <w:tc>
          <w:tcPr>
            <w:tcW w:w="1059" w:type="dxa"/>
          </w:tcPr>
          <w:p w:rsidR="00784E52" w:rsidRPr="005C7CCE" w:rsidRDefault="00784E52" w:rsidP="001A5BF9">
            <w:pPr>
              <w:spacing w:before="20"/>
              <w:jc w:val="center"/>
              <w:rPr>
                <w:color w:val="008000"/>
                <w:szCs w:val="22"/>
              </w:rPr>
            </w:pPr>
            <w:r w:rsidRPr="005C7CCE">
              <w:rPr>
                <w:color w:val="008000"/>
              </w:rPr>
              <w:sym w:font="Wingdings" w:char="F06C"/>
            </w:r>
          </w:p>
        </w:tc>
      </w:tr>
      <w:tr w:rsidR="00784E52" w:rsidRPr="005C7CCE" w:rsidTr="006C679E">
        <w:tc>
          <w:tcPr>
            <w:tcW w:w="2704" w:type="dxa"/>
            <w:vMerge/>
            <w:shd w:val="clear" w:color="auto" w:fill="auto"/>
            <w:tcMar>
              <w:top w:w="113" w:type="dxa"/>
            </w:tcMar>
          </w:tcPr>
          <w:p w:rsidR="00784E52" w:rsidRPr="002D02F3" w:rsidRDefault="00784E52" w:rsidP="001A5BF9">
            <w:pPr>
              <w:spacing w:before="80"/>
              <w:ind w:firstLineChars="100" w:firstLine="140"/>
              <w:rPr>
                <w:rFonts w:cs="Arial"/>
                <w:sz w:val="14"/>
                <w:szCs w:val="14"/>
              </w:rPr>
            </w:pP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Retours d</w:t>
            </w:r>
            <w:r w:rsidR="00A20444" w:rsidRPr="002D02F3">
              <w:rPr>
                <w:sz w:val="14"/>
              </w:rPr>
              <w:t>’</w:t>
            </w:r>
            <w:r w:rsidRPr="002D02F3">
              <w:rPr>
                <w:sz w:val="14"/>
              </w:rPr>
              <w:t>information concernant la contribution ou la participation de l</w:t>
            </w:r>
            <w:r w:rsidR="00A20444" w:rsidRPr="002D02F3">
              <w:rPr>
                <w:sz w:val="14"/>
              </w:rPr>
              <w:t>’</w:t>
            </w:r>
            <w:r w:rsidRPr="002D02F3">
              <w:rPr>
                <w:sz w:val="14"/>
              </w:rPr>
              <w:t xml:space="preserve">OMPI aux processus et forums des </w:t>
            </w:r>
            <w:r w:rsidR="00A20444" w:rsidRPr="002D02F3">
              <w:rPr>
                <w:sz w:val="14"/>
              </w:rPr>
              <w:t>Nations Unies</w:t>
            </w:r>
            <w:r w:rsidRPr="002D02F3">
              <w:rPr>
                <w:sz w:val="14"/>
              </w:rPr>
              <w:t xml:space="preserve"> et des autres organisations intergouvernementales.</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20</w:t>
            </w:r>
          </w:p>
        </w:tc>
        <w:tc>
          <w:tcPr>
            <w:tcW w:w="1059" w:type="dxa"/>
          </w:tcPr>
          <w:p w:rsidR="00784E52" w:rsidRPr="005C7CCE" w:rsidRDefault="00784E52" w:rsidP="001A5BF9">
            <w:pPr>
              <w:spacing w:before="20"/>
              <w:jc w:val="center"/>
              <w:rPr>
                <w:szCs w:val="22"/>
              </w:rPr>
            </w:pPr>
            <w:r w:rsidRPr="005C7CCE">
              <w:sym w:font="Wingdings" w:char="F06C"/>
            </w:r>
          </w:p>
        </w:tc>
      </w:tr>
      <w:tr w:rsidR="00784E52" w:rsidRPr="005C7CCE" w:rsidTr="006C679E">
        <w:tc>
          <w:tcPr>
            <w:tcW w:w="2704" w:type="dxa"/>
            <w:vMerge/>
            <w:shd w:val="clear" w:color="auto" w:fill="auto"/>
            <w:tcMar>
              <w:top w:w="113" w:type="dxa"/>
            </w:tcMar>
          </w:tcPr>
          <w:p w:rsidR="00784E52" w:rsidRPr="002D02F3" w:rsidRDefault="00784E52" w:rsidP="001A5BF9">
            <w:pPr>
              <w:spacing w:before="80"/>
              <w:ind w:firstLineChars="100" w:firstLine="140"/>
              <w:rPr>
                <w:rFonts w:cs="Arial"/>
                <w:sz w:val="14"/>
                <w:szCs w:val="14"/>
              </w:rPr>
            </w:pP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 xml:space="preserve">Pourcentage de réponses aux demandes externes de contributions émanant des </w:t>
            </w:r>
            <w:r w:rsidR="00A20444" w:rsidRPr="002D02F3">
              <w:rPr>
                <w:sz w:val="14"/>
              </w:rPr>
              <w:t>Nations Unies</w:t>
            </w:r>
            <w:r w:rsidRPr="002D02F3">
              <w:rPr>
                <w:sz w:val="14"/>
              </w:rPr>
              <w:t>, des organisations intergouvernementales, etc., soumises à temps</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20</w:t>
            </w:r>
          </w:p>
        </w:tc>
        <w:tc>
          <w:tcPr>
            <w:tcW w:w="1059"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C679E">
        <w:tc>
          <w:tcPr>
            <w:tcW w:w="2704" w:type="dxa"/>
            <w:vMerge/>
            <w:shd w:val="clear" w:color="auto" w:fill="auto"/>
            <w:tcMar>
              <w:top w:w="113" w:type="dxa"/>
            </w:tcMar>
          </w:tcPr>
          <w:p w:rsidR="00784E52" w:rsidRPr="002D02F3" w:rsidRDefault="00784E52" w:rsidP="001A5BF9">
            <w:pPr>
              <w:spacing w:before="80"/>
              <w:ind w:firstLineChars="100" w:firstLine="140"/>
              <w:rPr>
                <w:rFonts w:cs="Arial"/>
                <w:sz w:val="14"/>
                <w:szCs w:val="14"/>
              </w:rPr>
            </w:pP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w:t>
            </w:r>
            <w:r w:rsidR="00A20444" w:rsidRPr="002D02F3">
              <w:rPr>
                <w:sz w:val="14"/>
              </w:rPr>
              <w:t>’</w:t>
            </w:r>
            <w:r w:rsidRPr="002D02F3">
              <w:rPr>
                <w:sz w:val="14"/>
              </w:rPr>
              <w:t>activités et de plans de travail communs mis en œuvre et examinés conformément aux accords avec des organisations partenaires (</w:t>
            </w:r>
            <w:proofErr w:type="spellStart"/>
            <w:r w:rsidRPr="002D02F3">
              <w:rPr>
                <w:sz w:val="14"/>
              </w:rPr>
              <w:t>mémorandums</w:t>
            </w:r>
            <w:proofErr w:type="spellEnd"/>
            <w:r w:rsidRPr="002D02F3">
              <w:rPr>
                <w:sz w:val="14"/>
              </w:rPr>
              <w:t xml:space="preserve"> d</w:t>
            </w:r>
            <w:r w:rsidR="00A20444" w:rsidRPr="002D02F3">
              <w:rPr>
                <w:sz w:val="14"/>
              </w:rPr>
              <w:t>’</w:t>
            </w:r>
            <w:r w:rsidRPr="002D02F3">
              <w:rPr>
                <w:sz w:val="14"/>
              </w:rPr>
              <w:t>accord nouveaux et actuels avec des organisations intergouvernementales)</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20</w:t>
            </w:r>
          </w:p>
        </w:tc>
        <w:tc>
          <w:tcPr>
            <w:tcW w:w="1059"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C679E">
        <w:tc>
          <w:tcPr>
            <w:tcW w:w="2704" w:type="dxa"/>
            <w:vMerge/>
            <w:shd w:val="clear" w:color="auto" w:fill="auto"/>
            <w:tcMar>
              <w:top w:w="113" w:type="dxa"/>
            </w:tcMar>
          </w:tcPr>
          <w:p w:rsidR="00784E52" w:rsidRPr="002D02F3" w:rsidRDefault="00784E52" w:rsidP="001A5BF9">
            <w:pPr>
              <w:spacing w:before="80"/>
              <w:rPr>
                <w:rFonts w:cs="Arial"/>
                <w:sz w:val="14"/>
                <w:szCs w:val="14"/>
              </w:rPr>
            </w:pP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Nouvelles initiatives communes avec d</w:t>
            </w:r>
            <w:r w:rsidR="00A20444" w:rsidRPr="002D02F3">
              <w:rPr>
                <w:sz w:val="14"/>
              </w:rPr>
              <w:t>’</w:t>
            </w:r>
            <w:r w:rsidRPr="002D02F3">
              <w:rPr>
                <w:sz w:val="14"/>
              </w:rPr>
              <w:t xml:space="preserve">autres organismes des </w:t>
            </w:r>
            <w:r w:rsidR="00A20444" w:rsidRPr="002D02F3">
              <w:rPr>
                <w:sz w:val="14"/>
              </w:rPr>
              <w:t>Nations Unies</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21</w:t>
            </w:r>
          </w:p>
        </w:tc>
        <w:tc>
          <w:tcPr>
            <w:tcW w:w="1059"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C679E">
        <w:tc>
          <w:tcPr>
            <w:tcW w:w="2704"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Échanges ouverts, transparents et dynamiques avec</w:t>
            </w:r>
            <w:r w:rsidR="00A20444" w:rsidRPr="002D02F3">
              <w:rPr>
                <w:sz w:val="14"/>
              </w:rPr>
              <w:t xml:space="preserve"> les ONG</w:t>
            </w: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Nombre de séances d</w:t>
            </w:r>
            <w:r w:rsidR="00A20444" w:rsidRPr="002D02F3">
              <w:rPr>
                <w:sz w:val="14"/>
              </w:rPr>
              <w:t>’</w:t>
            </w:r>
            <w:r w:rsidRPr="002D02F3">
              <w:rPr>
                <w:sz w:val="14"/>
              </w:rPr>
              <w:t>information, de réunions et d</w:t>
            </w:r>
            <w:r w:rsidR="00A20444" w:rsidRPr="002D02F3">
              <w:rPr>
                <w:sz w:val="14"/>
              </w:rPr>
              <w:t>’</w:t>
            </w:r>
            <w:r w:rsidRPr="002D02F3">
              <w:rPr>
                <w:sz w:val="14"/>
              </w:rPr>
              <w:t>activités organisées à l</w:t>
            </w:r>
            <w:r w:rsidR="00A20444" w:rsidRPr="002D02F3">
              <w:rPr>
                <w:sz w:val="14"/>
              </w:rPr>
              <w:t>’</w:t>
            </w:r>
            <w:r w:rsidRPr="002D02F3">
              <w:rPr>
                <w:sz w:val="14"/>
              </w:rPr>
              <w:t>intention</w:t>
            </w:r>
            <w:r w:rsidR="00A20444" w:rsidRPr="002D02F3">
              <w:rPr>
                <w:sz w:val="14"/>
              </w:rPr>
              <w:t xml:space="preserve"> des ONG</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20</w:t>
            </w:r>
          </w:p>
        </w:tc>
        <w:tc>
          <w:tcPr>
            <w:tcW w:w="1059"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C679E">
        <w:tc>
          <w:tcPr>
            <w:tcW w:w="2704" w:type="dxa"/>
            <w:shd w:val="clear" w:color="auto" w:fill="auto"/>
            <w:tcMar>
              <w:top w:w="113" w:type="dxa"/>
            </w:tcMar>
          </w:tcPr>
          <w:p w:rsidR="00784E52" w:rsidRPr="002D02F3" w:rsidRDefault="00784E52" w:rsidP="001A5BF9">
            <w:pPr>
              <w:rPr>
                <w:rFonts w:cs="Arial"/>
                <w:sz w:val="14"/>
                <w:szCs w:val="14"/>
              </w:rPr>
            </w:pPr>
          </w:p>
        </w:tc>
        <w:tc>
          <w:tcPr>
            <w:tcW w:w="4252" w:type="dxa"/>
            <w:shd w:val="clear" w:color="auto" w:fill="auto"/>
            <w:tcMar>
              <w:top w:w="113" w:type="dxa"/>
            </w:tcMar>
          </w:tcPr>
          <w:p w:rsidR="00784E52" w:rsidRPr="002D02F3" w:rsidRDefault="00784E52" w:rsidP="001A5BF9">
            <w:pPr>
              <w:rPr>
                <w:rFonts w:cs="Arial"/>
                <w:sz w:val="14"/>
                <w:szCs w:val="14"/>
              </w:rPr>
            </w:pPr>
            <w:r w:rsidRPr="002D02F3">
              <w:rPr>
                <w:sz w:val="14"/>
              </w:rPr>
              <w:t>Nombre de séances d</w:t>
            </w:r>
            <w:r w:rsidR="00A20444" w:rsidRPr="002D02F3">
              <w:rPr>
                <w:sz w:val="14"/>
              </w:rPr>
              <w:t>’</w:t>
            </w:r>
            <w:r w:rsidRPr="002D02F3">
              <w:rPr>
                <w:sz w:val="14"/>
              </w:rPr>
              <w:t>information et d</w:t>
            </w:r>
            <w:r w:rsidR="00A20444" w:rsidRPr="002D02F3">
              <w:rPr>
                <w:sz w:val="14"/>
              </w:rPr>
              <w:t>’</w:t>
            </w:r>
            <w:r w:rsidRPr="002D02F3">
              <w:rPr>
                <w:sz w:val="14"/>
              </w:rPr>
              <w:t>activités organisées à l</w:t>
            </w:r>
            <w:r w:rsidR="00A20444" w:rsidRPr="002D02F3">
              <w:rPr>
                <w:sz w:val="14"/>
              </w:rPr>
              <w:t>’</w:t>
            </w:r>
            <w:r w:rsidRPr="002D02F3">
              <w:rPr>
                <w:sz w:val="14"/>
              </w:rPr>
              <w:t>intention des ONG des pays en développement et</w:t>
            </w:r>
            <w:r w:rsidR="00A20444" w:rsidRPr="002D02F3">
              <w:rPr>
                <w:sz w:val="14"/>
              </w:rPr>
              <w:t xml:space="preserve"> des PMA</w:t>
            </w:r>
          </w:p>
        </w:tc>
        <w:tc>
          <w:tcPr>
            <w:tcW w:w="1174" w:type="dxa"/>
            <w:shd w:val="clear" w:color="auto" w:fill="auto"/>
            <w:tcMar>
              <w:top w:w="113" w:type="dxa"/>
            </w:tcMar>
          </w:tcPr>
          <w:p w:rsidR="00784E52" w:rsidRPr="002D02F3" w:rsidRDefault="00784E52" w:rsidP="001A5BF9">
            <w:pPr>
              <w:jc w:val="center"/>
              <w:rPr>
                <w:rFonts w:cs="Arial"/>
                <w:sz w:val="14"/>
                <w:szCs w:val="14"/>
              </w:rPr>
            </w:pPr>
            <w:r w:rsidRPr="002D02F3">
              <w:rPr>
                <w:sz w:val="14"/>
              </w:rPr>
              <w:t>Programme 20</w:t>
            </w:r>
          </w:p>
        </w:tc>
        <w:tc>
          <w:tcPr>
            <w:tcW w:w="1059" w:type="dxa"/>
          </w:tcPr>
          <w:p w:rsidR="00784E52" w:rsidRPr="005C7CCE" w:rsidRDefault="00784E52" w:rsidP="001A5BF9">
            <w:pPr>
              <w:jc w:val="center"/>
              <w:rPr>
                <w:color w:val="00B050"/>
                <w:szCs w:val="22"/>
              </w:rPr>
            </w:pPr>
            <w:r w:rsidRPr="005C7CCE">
              <w:sym w:font="Wingdings" w:char="F06C"/>
            </w:r>
          </w:p>
        </w:tc>
      </w:tr>
      <w:tr w:rsidR="00784E52" w:rsidRPr="005C7CCE" w:rsidTr="006C679E">
        <w:tc>
          <w:tcPr>
            <w:tcW w:w="2704"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 xml:space="preserve">Engagement réel auprès des États membres </w:t>
            </w: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Pourcentage de réunions des comités pour lesquels des réunions d</w:t>
            </w:r>
            <w:r w:rsidR="00A20444" w:rsidRPr="002D02F3">
              <w:rPr>
                <w:sz w:val="14"/>
              </w:rPr>
              <w:t>’</w:t>
            </w:r>
            <w:r w:rsidRPr="002D02F3">
              <w:rPr>
                <w:sz w:val="14"/>
              </w:rPr>
              <w:t>information préalables sont tenues pour les États membres</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21</w:t>
            </w:r>
          </w:p>
        </w:tc>
        <w:tc>
          <w:tcPr>
            <w:tcW w:w="1059"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C679E">
        <w:tc>
          <w:tcPr>
            <w:tcW w:w="2704" w:type="dxa"/>
            <w:shd w:val="clear" w:color="auto" w:fill="auto"/>
            <w:tcMar>
              <w:top w:w="113" w:type="dxa"/>
            </w:tcMar>
          </w:tcPr>
          <w:p w:rsidR="00784E52" w:rsidRPr="002D02F3" w:rsidRDefault="00784E52" w:rsidP="001A5BF9">
            <w:pPr>
              <w:spacing w:before="80"/>
              <w:ind w:firstLineChars="100" w:firstLine="140"/>
              <w:rPr>
                <w:rFonts w:cs="Arial"/>
                <w:sz w:val="14"/>
                <w:szCs w:val="14"/>
              </w:rPr>
            </w:pPr>
            <w:r w:rsidRPr="002D02F3">
              <w:rPr>
                <w:sz w:val="14"/>
              </w:rPr>
              <w:t> </w:t>
            </w: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Pourcentage de lettres adressées par les États membres au Directeur général qui obtiennent une réponse dans un délai de deux semaines</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21</w:t>
            </w:r>
          </w:p>
        </w:tc>
        <w:tc>
          <w:tcPr>
            <w:tcW w:w="1059"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C679E">
        <w:tc>
          <w:tcPr>
            <w:tcW w:w="2704" w:type="dxa"/>
            <w:shd w:val="clear" w:color="auto" w:fill="auto"/>
            <w:tcMar>
              <w:top w:w="113" w:type="dxa"/>
            </w:tcMar>
          </w:tcPr>
          <w:p w:rsidR="00784E52" w:rsidRPr="002D02F3" w:rsidRDefault="00784E52" w:rsidP="001A5BF9">
            <w:pPr>
              <w:spacing w:before="80"/>
              <w:ind w:firstLineChars="100" w:firstLine="140"/>
              <w:rPr>
                <w:rFonts w:cs="Arial"/>
                <w:sz w:val="14"/>
                <w:szCs w:val="14"/>
              </w:rPr>
            </w:pPr>
            <w:r w:rsidRPr="002D02F3">
              <w:rPr>
                <w:sz w:val="14"/>
              </w:rPr>
              <w:t> </w:t>
            </w:r>
          </w:p>
        </w:tc>
        <w:tc>
          <w:tcPr>
            <w:tcW w:w="4252" w:type="dxa"/>
            <w:shd w:val="clear" w:color="auto" w:fill="auto"/>
            <w:tcMar>
              <w:top w:w="113" w:type="dxa"/>
            </w:tcMar>
          </w:tcPr>
          <w:p w:rsidR="00784E52" w:rsidRPr="002D02F3" w:rsidRDefault="00784E52" w:rsidP="001A5BF9">
            <w:pPr>
              <w:spacing w:before="80"/>
              <w:rPr>
                <w:rFonts w:cs="Arial"/>
                <w:sz w:val="14"/>
                <w:szCs w:val="14"/>
              </w:rPr>
            </w:pPr>
            <w:r w:rsidRPr="002D02F3">
              <w:rPr>
                <w:sz w:val="14"/>
              </w:rPr>
              <w:t>Niveaux de satisfaction des États membres quant à la préparation et au fonctionnement des assemblées</w:t>
            </w: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21</w:t>
            </w:r>
          </w:p>
        </w:tc>
        <w:tc>
          <w:tcPr>
            <w:tcW w:w="1059" w:type="dxa"/>
          </w:tcPr>
          <w:p w:rsidR="00784E52" w:rsidRPr="005C7CCE" w:rsidRDefault="00784E52" w:rsidP="001A5BF9">
            <w:pPr>
              <w:jc w:val="center"/>
              <w:rPr>
                <w:color w:val="008000"/>
                <w:szCs w:val="22"/>
              </w:rPr>
            </w:pPr>
            <w:r w:rsidRPr="005C7CCE">
              <w:rPr>
                <w:color w:val="008000"/>
              </w:rPr>
              <w:sym w:font="Wingdings" w:char="F06C"/>
            </w:r>
          </w:p>
        </w:tc>
      </w:tr>
      <w:tr w:rsidR="00784E52" w:rsidRPr="005C7CCE" w:rsidTr="006C679E">
        <w:tc>
          <w:tcPr>
            <w:tcW w:w="2704" w:type="dxa"/>
            <w:shd w:val="clear" w:color="auto" w:fill="auto"/>
            <w:tcMar>
              <w:top w:w="113" w:type="dxa"/>
            </w:tcMar>
          </w:tcPr>
          <w:p w:rsidR="00784E52" w:rsidRPr="002D02F3" w:rsidRDefault="00784E52" w:rsidP="001A5BF9">
            <w:pPr>
              <w:ind w:firstLineChars="100" w:firstLine="140"/>
              <w:rPr>
                <w:rFonts w:cs="Arial"/>
                <w:sz w:val="14"/>
                <w:szCs w:val="14"/>
              </w:rPr>
            </w:pPr>
            <w:r w:rsidRPr="002D02F3">
              <w:rPr>
                <w:sz w:val="14"/>
              </w:rPr>
              <w:t> </w:t>
            </w:r>
          </w:p>
        </w:tc>
        <w:tc>
          <w:tcPr>
            <w:tcW w:w="4252" w:type="dxa"/>
            <w:shd w:val="clear" w:color="auto" w:fill="auto"/>
            <w:tcMar>
              <w:top w:w="113" w:type="dxa"/>
            </w:tcMar>
          </w:tcPr>
          <w:p w:rsidR="00D42474" w:rsidRDefault="00784E52" w:rsidP="001A5BF9">
            <w:pPr>
              <w:spacing w:before="80"/>
              <w:rPr>
                <w:rFonts w:cs="Arial"/>
                <w:sz w:val="14"/>
                <w:szCs w:val="14"/>
              </w:rPr>
            </w:pPr>
            <w:r w:rsidRPr="002D02F3">
              <w:rPr>
                <w:sz w:val="14"/>
              </w:rPr>
              <w:t>Délais de publication des documents des assemblées</w:t>
            </w:r>
          </w:p>
          <w:p w:rsidR="00784E52" w:rsidRPr="002D02F3" w:rsidRDefault="00784E52" w:rsidP="001A5BF9">
            <w:pPr>
              <w:spacing w:before="80"/>
              <w:rPr>
                <w:rFonts w:cs="Arial"/>
                <w:sz w:val="14"/>
                <w:szCs w:val="14"/>
              </w:rPr>
            </w:pPr>
          </w:p>
        </w:tc>
        <w:tc>
          <w:tcPr>
            <w:tcW w:w="1174" w:type="dxa"/>
            <w:shd w:val="clear" w:color="auto" w:fill="auto"/>
            <w:tcMar>
              <w:top w:w="113" w:type="dxa"/>
            </w:tcMar>
          </w:tcPr>
          <w:p w:rsidR="00784E52" w:rsidRPr="002D02F3" w:rsidRDefault="00784E52" w:rsidP="001A5BF9">
            <w:pPr>
              <w:spacing w:before="80"/>
              <w:jc w:val="center"/>
              <w:rPr>
                <w:rFonts w:cs="Arial"/>
                <w:sz w:val="14"/>
                <w:szCs w:val="14"/>
              </w:rPr>
            </w:pPr>
            <w:r w:rsidRPr="002D02F3">
              <w:rPr>
                <w:sz w:val="14"/>
              </w:rPr>
              <w:t>Programme 21</w:t>
            </w:r>
          </w:p>
        </w:tc>
        <w:tc>
          <w:tcPr>
            <w:tcW w:w="1059" w:type="dxa"/>
          </w:tcPr>
          <w:p w:rsidR="00784E52" w:rsidRPr="005C7CCE" w:rsidRDefault="00784E52" w:rsidP="001A5BF9">
            <w:pPr>
              <w:jc w:val="center"/>
              <w:rPr>
                <w:color w:val="008000"/>
                <w:szCs w:val="22"/>
              </w:rPr>
            </w:pPr>
            <w:r w:rsidRPr="005C7CCE">
              <w:rPr>
                <w:color w:val="008000"/>
              </w:rPr>
              <w:sym w:font="Wingdings" w:char="F06C"/>
            </w:r>
          </w:p>
        </w:tc>
      </w:tr>
    </w:tbl>
    <w:p w:rsidR="00D42474" w:rsidRDefault="00784E52" w:rsidP="001A5BF9">
      <w:pPr>
        <w:rPr>
          <w:rFonts w:ascii="Arial Bold" w:hAnsi="Arial Bold"/>
          <w:b/>
          <w:bCs/>
          <w:caps/>
        </w:rPr>
      </w:pPr>
      <w:r w:rsidRPr="005C7CCE">
        <w:br w:type="page"/>
      </w:r>
    </w:p>
    <w:p w:rsidR="00D42474" w:rsidRDefault="00784E52" w:rsidP="001A5BF9">
      <w:pPr>
        <w:pStyle w:val="Heading3"/>
        <w:rPr>
          <w:szCs w:val="22"/>
        </w:rPr>
      </w:pPr>
      <w:bookmarkStart w:id="38" w:name="_Toc395082490"/>
      <w:r w:rsidRPr="00EA3FF8">
        <w:rPr>
          <w:szCs w:val="22"/>
        </w:rPr>
        <w:t>Programme 19</w:t>
      </w:r>
      <w:r w:rsidRPr="00EA3FF8">
        <w:rPr>
          <w:szCs w:val="22"/>
        </w:rPr>
        <w:tab/>
        <w:t>Communications</w:t>
      </w:r>
      <w:bookmarkEnd w:id="38"/>
    </w:p>
    <w:p w:rsidR="00D42474" w:rsidRDefault="00D42474" w:rsidP="001A5BF9">
      <w:pPr>
        <w:ind w:left="2268" w:hanging="2268"/>
        <w:rPr>
          <w:rFonts w:cs="Arial"/>
          <w:b/>
          <w:bCs/>
          <w:sz w:val="22"/>
          <w:szCs w:val="22"/>
        </w:rPr>
      </w:pPr>
    </w:p>
    <w:p w:rsidR="00D42474" w:rsidRDefault="00784E52" w:rsidP="001A5BF9">
      <w:pPr>
        <w:ind w:left="2268" w:hanging="2268"/>
        <w:rPr>
          <w:rFonts w:cs="Arial"/>
          <w:b/>
          <w:bCs/>
          <w:sz w:val="22"/>
          <w:szCs w:val="22"/>
        </w:rPr>
      </w:pPr>
      <w:r w:rsidRPr="00EA3FF8">
        <w:rPr>
          <w:b/>
          <w:sz w:val="22"/>
          <w:szCs w:val="22"/>
        </w:rPr>
        <w:t>Chef de programme</w:t>
      </w:r>
      <w:r w:rsidRPr="00EA3FF8">
        <w:rPr>
          <w:b/>
          <w:sz w:val="22"/>
          <w:szCs w:val="22"/>
        </w:rPr>
        <w:tab/>
      </w:r>
      <w:r w:rsidRPr="00EA3FF8">
        <w:rPr>
          <w:b/>
          <w:sz w:val="22"/>
          <w:szCs w:val="22"/>
        </w:rPr>
        <w:tab/>
        <w:t>M. J.</w:t>
      </w:r>
      <w:r w:rsidR="0010442A" w:rsidRPr="00EA3FF8">
        <w:rPr>
          <w:b/>
          <w:sz w:val="22"/>
          <w:szCs w:val="22"/>
        </w:rPr>
        <w:t> </w:t>
      </w:r>
      <w:r w:rsidRPr="00EA3FF8">
        <w:rPr>
          <w:b/>
          <w:sz w:val="22"/>
          <w:szCs w:val="22"/>
        </w:rPr>
        <w:t>C.</w:t>
      </w:r>
      <w:r w:rsidR="0010442A" w:rsidRPr="00EA3FF8">
        <w:rPr>
          <w:b/>
          <w:sz w:val="22"/>
          <w:szCs w:val="22"/>
        </w:rPr>
        <w:t> </w:t>
      </w:r>
      <w:proofErr w:type="spellStart"/>
      <w:r w:rsidRPr="00EA3FF8">
        <w:rPr>
          <w:b/>
          <w:sz w:val="22"/>
          <w:szCs w:val="22"/>
        </w:rPr>
        <w:t>Wichard</w:t>
      </w:r>
      <w:proofErr w:type="spellEnd"/>
    </w:p>
    <w:p w:rsidR="00D42474" w:rsidRDefault="00D42474" w:rsidP="001A5BF9">
      <w:pPr>
        <w:rPr>
          <w:rFonts w:cs="Arial"/>
          <w:sz w:val="22"/>
          <w:szCs w:val="22"/>
        </w:rPr>
      </w:pPr>
    </w:p>
    <w:p w:rsidR="00D42474" w:rsidRDefault="00D42474" w:rsidP="001A5BF9">
      <w:pPr>
        <w:rPr>
          <w:rFonts w:cs="Arial"/>
          <w:sz w:val="22"/>
          <w:szCs w:val="22"/>
        </w:rPr>
      </w:pPr>
    </w:p>
    <w:p w:rsidR="00D42474" w:rsidRDefault="00784E52" w:rsidP="001A5BF9">
      <w:pPr>
        <w:rPr>
          <w:rFonts w:cs="Arial"/>
          <w:sz w:val="22"/>
          <w:szCs w:val="22"/>
        </w:rPr>
      </w:pPr>
      <w:r w:rsidRPr="00EA3FF8">
        <w:rPr>
          <w:sz w:val="22"/>
          <w:szCs w:val="22"/>
        </w:rPr>
        <w:t>RÉALISATIONS EN 2012</w:t>
      </w:r>
      <w:r w:rsidR="002D6F2A" w:rsidRPr="00EA3FF8">
        <w:rPr>
          <w:sz w:val="22"/>
          <w:szCs w:val="22"/>
        </w:rPr>
        <w:noBreakHyphen/>
      </w:r>
      <w:r w:rsidRPr="00EA3FF8">
        <w:rPr>
          <w:sz w:val="22"/>
          <w:szCs w:val="22"/>
        </w:rPr>
        <w:t>2013</w:t>
      </w:r>
    </w:p>
    <w:p w:rsidR="00D42474" w:rsidRDefault="00D42474" w:rsidP="001A5BF9">
      <w:pPr>
        <w:rPr>
          <w:rFonts w:cs="Arial"/>
          <w:sz w:val="22"/>
          <w:szCs w:val="22"/>
        </w:rPr>
      </w:pPr>
    </w:p>
    <w:p w:rsidR="00D42474" w:rsidRDefault="00784E52" w:rsidP="001A5BF9">
      <w:pPr>
        <w:numPr>
          <w:ilvl w:val="0"/>
          <w:numId w:val="52"/>
        </w:numPr>
        <w:autoSpaceDE w:val="0"/>
        <w:autoSpaceDN w:val="0"/>
        <w:adjustRightInd w:val="0"/>
        <w:jc w:val="both"/>
      </w:pPr>
      <w:r w:rsidRPr="002D02F3">
        <w:t>En 2012</w:t>
      </w:r>
      <w:r w:rsidR="002D6F2A" w:rsidRPr="002D02F3">
        <w:noBreakHyphen/>
      </w:r>
      <w:r w:rsidRPr="002D02F3">
        <w:t>2013, le programme 19 a réalisé un certain nombre de projets stratégiques importants pour toute l</w:t>
      </w:r>
      <w:r w:rsidR="00A20444" w:rsidRPr="002D02F3">
        <w:t>’</w:t>
      </w:r>
      <w:r w:rsidRPr="002D02F3">
        <w:t>Organisation, qui ont permis d</w:t>
      </w:r>
      <w:r w:rsidR="00A20444" w:rsidRPr="002D02F3">
        <w:t>’</w:t>
      </w:r>
      <w:r w:rsidRPr="002D02F3">
        <w:t>améliorer la qualité, la facilité d</w:t>
      </w:r>
      <w:r w:rsidR="00A20444" w:rsidRPr="002D02F3">
        <w:t>’</w:t>
      </w:r>
      <w:r w:rsidRPr="002D02F3">
        <w:t>utilisation et la mise à disposition des contenus de l</w:t>
      </w:r>
      <w:r w:rsidR="00A20444" w:rsidRPr="002D02F3">
        <w:t>’</w:t>
      </w:r>
      <w:r w:rsidRPr="002D02F3">
        <w:t>OMPI;</w:t>
      </w:r>
      <w:r w:rsidR="004F3E42" w:rsidRPr="002D02F3">
        <w:t xml:space="preserve"> </w:t>
      </w:r>
      <w:r w:rsidR="0010442A" w:rsidRPr="002D02F3">
        <w:t xml:space="preserve"> </w:t>
      </w:r>
      <w:r w:rsidRPr="002D02F3">
        <w:t>de mieux faire comprendre le travail de l</w:t>
      </w:r>
      <w:r w:rsidR="00A20444" w:rsidRPr="002D02F3">
        <w:t>’</w:t>
      </w:r>
      <w:r w:rsidRPr="002D02F3">
        <w:t>OMPI et de renforcer son image de marque;</w:t>
      </w:r>
      <w:r w:rsidR="004F3E42" w:rsidRPr="002D02F3">
        <w:t xml:space="preserve"> </w:t>
      </w:r>
      <w:r w:rsidR="0010442A" w:rsidRPr="002D02F3">
        <w:t xml:space="preserve"> </w:t>
      </w:r>
      <w:r w:rsidRPr="002D02F3">
        <w:t>et de créer une culture interne de communication et de service.</w:t>
      </w:r>
      <w:r w:rsidR="0010442A" w:rsidRPr="002D02F3">
        <w:t xml:space="preserve"> </w:t>
      </w:r>
      <w:r w:rsidRPr="002D02F3">
        <w:t xml:space="preserve"> Suite à l</w:t>
      </w:r>
      <w:r w:rsidR="00A20444" w:rsidRPr="002D02F3">
        <w:t>’</w:t>
      </w:r>
      <w:r w:rsidRPr="002D02F3">
        <w:t>institution de nouvelles stratégies médiatiques, le nombre de personnes qui ont pu accéder aux contenus uniques de l</w:t>
      </w:r>
      <w:r w:rsidR="00A20444" w:rsidRPr="002D02F3">
        <w:t>’</w:t>
      </w:r>
      <w:r w:rsidRPr="002D02F3">
        <w:t>OMPI dans le monde a connu une augmentation exceptionnelle.</w:t>
      </w:r>
    </w:p>
    <w:p w:rsidR="00D42474" w:rsidRDefault="00D42474" w:rsidP="001A5BF9">
      <w:pPr>
        <w:autoSpaceDE w:val="0"/>
        <w:autoSpaceDN w:val="0"/>
        <w:adjustRightInd w:val="0"/>
        <w:jc w:val="both"/>
        <w:rPr>
          <w:rFonts w:eastAsia="SimSun" w:cs="Arial"/>
          <w:szCs w:val="20"/>
        </w:rPr>
      </w:pPr>
    </w:p>
    <w:p w:rsidR="00D42474" w:rsidRDefault="00784E52" w:rsidP="001A5BF9">
      <w:pPr>
        <w:numPr>
          <w:ilvl w:val="0"/>
          <w:numId w:val="52"/>
        </w:numPr>
        <w:autoSpaceDE w:val="0"/>
        <w:autoSpaceDN w:val="0"/>
        <w:adjustRightInd w:val="0"/>
        <w:jc w:val="both"/>
      </w:pPr>
      <w:r w:rsidRPr="002D02F3">
        <w:rPr>
          <w:i/>
        </w:rPr>
        <w:t>Amélioration de la distribution</w:t>
      </w:r>
      <w:r w:rsidRPr="002D02F3">
        <w:t xml:space="preserve"> L</w:t>
      </w:r>
      <w:r w:rsidR="00A20444" w:rsidRPr="002D02F3">
        <w:t>’</w:t>
      </w:r>
      <w:r w:rsidRPr="002D02F3">
        <w:t>OMPI a achevé un remaniement complet de son site</w:t>
      </w:r>
      <w:r w:rsidR="0010442A" w:rsidRPr="002D02F3">
        <w:t> </w:t>
      </w:r>
      <w:r w:rsidRPr="002D02F3">
        <w:t xml:space="preserve">Web. </w:t>
      </w:r>
      <w:r w:rsidR="0010442A" w:rsidRPr="002D02F3">
        <w:t xml:space="preserve"> </w:t>
      </w:r>
      <w:r w:rsidRPr="002D02F3">
        <w:t>Le nouveau site</w:t>
      </w:r>
      <w:r w:rsidR="0010442A" w:rsidRPr="002D02F3">
        <w:t> </w:t>
      </w:r>
      <w:r w:rsidRPr="002D02F3">
        <w:t>Web lancé en novembre 2013 a fait l</w:t>
      </w:r>
      <w:r w:rsidR="00A20444" w:rsidRPr="002D02F3">
        <w:t>’</w:t>
      </w:r>
      <w:r w:rsidRPr="002D02F3">
        <w:t>objet de retours d</w:t>
      </w:r>
      <w:r w:rsidR="00A20444" w:rsidRPr="002D02F3">
        <w:t>’</w:t>
      </w:r>
      <w:r w:rsidRPr="002D02F3">
        <w:t xml:space="preserve">information extrêmement positifs de la part des utilisateurs. </w:t>
      </w:r>
      <w:r w:rsidR="0010442A" w:rsidRPr="002D02F3">
        <w:t xml:space="preserve"> </w:t>
      </w:r>
      <w:r w:rsidRPr="002D02F3">
        <w:t>Le projet a vu un nettoyage des contenus de l</w:t>
      </w:r>
      <w:r w:rsidR="00A20444" w:rsidRPr="002D02F3">
        <w:t>’</w:t>
      </w:r>
      <w:r w:rsidRPr="002D02F3">
        <w:t>intégralité du site;</w:t>
      </w:r>
      <w:r w:rsidR="0010442A" w:rsidRPr="002D02F3">
        <w:t xml:space="preserve"> </w:t>
      </w:r>
      <w:r w:rsidR="004F3E42" w:rsidRPr="002D02F3">
        <w:t xml:space="preserve"> </w:t>
      </w:r>
      <w:r w:rsidRPr="002D02F3">
        <w:t xml:space="preserve">un accroissement significatif de la disponibilité des contenus importants en six langues, </w:t>
      </w:r>
      <w:r w:rsidR="00A20444" w:rsidRPr="002D02F3">
        <w:t>à savoir</w:t>
      </w:r>
      <w:r w:rsidRPr="002D02F3">
        <w:t xml:space="preserve"> que toutes les pages principales sont désormais disponibles en six langues;</w:t>
      </w:r>
      <w:r w:rsidR="004F3E42" w:rsidRPr="002D02F3">
        <w:t xml:space="preserve"> </w:t>
      </w:r>
      <w:r w:rsidR="0010442A" w:rsidRPr="002D02F3">
        <w:t xml:space="preserve"> </w:t>
      </w:r>
      <w:r w:rsidRPr="002D02F3">
        <w:t>l</w:t>
      </w:r>
      <w:r w:rsidR="00A20444" w:rsidRPr="002D02F3">
        <w:t>’</w:t>
      </w:r>
      <w:r w:rsidRPr="002D02F3">
        <w:t>élaboration d</w:t>
      </w:r>
      <w:r w:rsidR="00A20444" w:rsidRPr="002D02F3">
        <w:t>’</w:t>
      </w:r>
      <w:r w:rsidRPr="002D02F3">
        <w:t>une nouvelle stratégie relative à l</w:t>
      </w:r>
      <w:r w:rsidR="00A20444" w:rsidRPr="002D02F3">
        <w:t>’</w:t>
      </w:r>
      <w:r w:rsidRPr="002D02F3">
        <w:t>expérience des utilisateurs;</w:t>
      </w:r>
      <w:r w:rsidR="004F3E42" w:rsidRPr="002D02F3">
        <w:t xml:space="preserve"> </w:t>
      </w:r>
      <w:r w:rsidR="0010442A" w:rsidRPr="002D02F3">
        <w:t xml:space="preserve"> </w:t>
      </w:r>
      <w:r w:rsidRPr="002D02F3">
        <w:t>la révision complète et la restructuration de l</w:t>
      </w:r>
      <w:r w:rsidR="00A20444" w:rsidRPr="002D02F3">
        <w:t>’</w:t>
      </w:r>
      <w:r w:rsidRPr="002D02F3">
        <w:t>architecture de l</w:t>
      </w:r>
      <w:r w:rsidR="00A20444" w:rsidRPr="002D02F3">
        <w:t>’</w:t>
      </w:r>
      <w:r w:rsidRPr="002D02F3">
        <w:t>information du site</w:t>
      </w:r>
      <w:r w:rsidR="0010442A" w:rsidRPr="002D02F3">
        <w:t> </w:t>
      </w:r>
      <w:r w:rsidRPr="002D02F3">
        <w:t>Web conformément aux besoins des différents groupes de parties prenantes;</w:t>
      </w:r>
      <w:r w:rsidR="0010442A" w:rsidRPr="002D02F3">
        <w:t xml:space="preserve"> </w:t>
      </w:r>
      <w:r w:rsidR="004F3E42" w:rsidRPr="002D02F3">
        <w:t xml:space="preserve"> </w:t>
      </w:r>
      <w:r w:rsidRPr="002D02F3">
        <w:t>et une conception Web moderne et dynamique, qui optimise l</w:t>
      </w:r>
      <w:r w:rsidR="00A20444" w:rsidRPr="002D02F3">
        <w:t>’</w:t>
      </w:r>
      <w:r w:rsidRPr="002D02F3">
        <w:t>affichage du contenu pour l</w:t>
      </w:r>
      <w:r w:rsidR="00A20444" w:rsidRPr="002D02F3">
        <w:t>’</w:t>
      </w:r>
      <w:r w:rsidRPr="002D02F3">
        <w:t>utilisateur en fonction de la taille de l</w:t>
      </w:r>
      <w:r w:rsidR="00A20444" w:rsidRPr="002D02F3">
        <w:t>’</w:t>
      </w:r>
      <w:r w:rsidRPr="002D02F3">
        <w:t>écran de l</w:t>
      </w:r>
      <w:r w:rsidR="00A20444" w:rsidRPr="002D02F3">
        <w:t>’</w:t>
      </w:r>
      <w:r w:rsidRPr="002D02F3">
        <w:t>appareil qu</w:t>
      </w:r>
      <w:r w:rsidR="00A20444" w:rsidRPr="002D02F3">
        <w:t>’</w:t>
      </w:r>
      <w:r w:rsidRPr="002D02F3">
        <w:t>il ou elle utilise pour accéder au site</w:t>
      </w:r>
      <w:r w:rsidR="0010442A" w:rsidRPr="002D02F3">
        <w:t> </w:t>
      </w:r>
      <w:r w:rsidRPr="002D02F3">
        <w:t>Web.</w:t>
      </w:r>
      <w:r w:rsidR="0010442A" w:rsidRPr="002D02F3">
        <w:t xml:space="preserve"> </w:t>
      </w:r>
      <w:r w:rsidRPr="002D02F3">
        <w:t xml:space="preserve"> Parmi les améliorations populaires au niveau du contenu figurent les nouvelles pages consacrées aux profils de pays de l</w:t>
      </w:r>
      <w:r w:rsidR="00A20444" w:rsidRPr="002D02F3">
        <w:t>’</w:t>
      </w:r>
      <w:r w:rsidRPr="002D02F3">
        <w:t>OMPI, qui rassemblent le contenu dynamique de plus de 190 pays à partir d</w:t>
      </w:r>
      <w:r w:rsidR="00A20444" w:rsidRPr="002D02F3">
        <w:t>’</w:t>
      </w:r>
      <w:r w:rsidRPr="002D02F3">
        <w:t>une vingtaine de bases de données sous</w:t>
      </w:r>
      <w:r w:rsidR="002D6F2A" w:rsidRPr="002D02F3">
        <w:noBreakHyphen/>
      </w:r>
      <w:r w:rsidRPr="002D02F3">
        <w:t>jacentes de l</w:t>
      </w:r>
      <w:r w:rsidR="00A20444" w:rsidRPr="002D02F3">
        <w:t>’</w:t>
      </w:r>
      <w:r w:rsidRPr="002D02F3">
        <w:t>OMPI.</w:t>
      </w:r>
    </w:p>
    <w:p w:rsidR="00D42474" w:rsidRDefault="00D42474" w:rsidP="00EA3FF8">
      <w:pPr>
        <w:pStyle w:val="Paragraphedeliste"/>
        <w:ind w:left="0"/>
        <w:rPr>
          <w:rFonts w:eastAsia="SimSun" w:cs="Arial"/>
        </w:rPr>
      </w:pPr>
    </w:p>
    <w:p w:rsidR="00D42474" w:rsidRDefault="00784E52" w:rsidP="001A5BF9">
      <w:pPr>
        <w:numPr>
          <w:ilvl w:val="0"/>
          <w:numId w:val="52"/>
        </w:numPr>
        <w:autoSpaceDE w:val="0"/>
        <w:autoSpaceDN w:val="0"/>
        <w:adjustRightInd w:val="0"/>
        <w:jc w:val="both"/>
        <w:rPr>
          <w:rFonts w:eastAsia="SimSun" w:cs="Arial"/>
          <w:szCs w:val="20"/>
        </w:rPr>
      </w:pPr>
      <w:r w:rsidRPr="002D02F3">
        <w:t>L</w:t>
      </w:r>
      <w:r w:rsidR="00A20444" w:rsidRPr="002D02F3">
        <w:t>’</w:t>
      </w:r>
      <w:r w:rsidRPr="002D02F3">
        <w:t xml:space="preserve">OMPI a également renforcé sa présence sur les réseaux sociaux. </w:t>
      </w:r>
      <w:r w:rsidR="0010442A" w:rsidRPr="002D02F3">
        <w:t xml:space="preserve"> </w:t>
      </w:r>
      <w:r w:rsidRPr="002D02F3">
        <w:t>Dans les 21 mois qui ont suivi le lancement des premières apparitions officielles de l</w:t>
      </w:r>
      <w:r w:rsidR="00A20444" w:rsidRPr="002D02F3">
        <w:t>’</w:t>
      </w:r>
      <w:r w:rsidRPr="002D02F3">
        <w:t xml:space="preserve">OMPI sur Twitter, Flickr (partage de photos) et </w:t>
      </w:r>
      <w:proofErr w:type="spellStart"/>
      <w:r w:rsidRPr="002D02F3">
        <w:t>Scribd</w:t>
      </w:r>
      <w:proofErr w:type="spellEnd"/>
      <w:r w:rsidRPr="002D02F3">
        <w:t xml:space="preserve"> (partage de publications) en mars 2012, le nombre </w:t>
      </w:r>
      <w:r w:rsidR="00B55E07" w:rsidRPr="002D02F3">
        <w:t>“</w:t>
      </w:r>
      <w:r w:rsidRPr="002D02F3">
        <w:t>d</w:t>
      </w:r>
      <w:r w:rsidR="00A20444" w:rsidRPr="002D02F3">
        <w:t>’</w:t>
      </w:r>
      <w:r w:rsidRPr="002D02F3">
        <w:t>impressions” potentielles de tweets de l</w:t>
      </w:r>
      <w:r w:rsidR="00A20444" w:rsidRPr="002D02F3">
        <w:t>’</w:t>
      </w:r>
      <w:r w:rsidRPr="002D02F3">
        <w:t xml:space="preserve">OMPI a grimpé de 8,7 millions en 2012 à 22 millions en 2013. </w:t>
      </w:r>
      <w:r w:rsidR="0010442A" w:rsidRPr="002D02F3">
        <w:t xml:space="preserve"> </w:t>
      </w:r>
      <w:r w:rsidRPr="002D02F3">
        <w:t>Le taux d</w:t>
      </w:r>
      <w:r w:rsidR="00A20444" w:rsidRPr="002D02F3">
        <w:t>’</w:t>
      </w:r>
      <w:r w:rsidRPr="002D02F3">
        <w:t>influence sociale de l</w:t>
      </w:r>
      <w:r w:rsidR="00A20444" w:rsidRPr="002D02F3">
        <w:t>’</w:t>
      </w:r>
      <w:r w:rsidRPr="002D02F3">
        <w:t xml:space="preserve">OMPI (mesuré par </w:t>
      </w:r>
      <w:proofErr w:type="spellStart"/>
      <w:r w:rsidRPr="002D02F3">
        <w:rPr>
          <w:i/>
        </w:rPr>
        <w:t>Klout</w:t>
      </w:r>
      <w:proofErr w:type="spellEnd"/>
      <w:r w:rsidRPr="002D02F3">
        <w:t>) est passé à 64, dépassant celui de bon nombre d</w:t>
      </w:r>
      <w:r w:rsidR="00A20444" w:rsidRPr="002D02F3">
        <w:t>’</w:t>
      </w:r>
      <w:r w:rsidRPr="002D02F3">
        <w:t xml:space="preserve">institutions comparables qui ont depuis plus longtemps une présence dans les médias sociaux. </w:t>
      </w:r>
      <w:r w:rsidR="0010442A" w:rsidRPr="002D02F3">
        <w:t xml:space="preserve"> </w:t>
      </w:r>
      <w:r w:rsidRPr="002D02F3">
        <w:t>La chaîne de l</w:t>
      </w:r>
      <w:r w:rsidR="00A20444" w:rsidRPr="002D02F3">
        <w:t>’</w:t>
      </w:r>
      <w:r w:rsidRPr="002D02F3">
        <w:t>OMPI sur YouTube a également été agrandie, renforçant ainsi son utilisation de la vidéo comme moyen, entre autres, de distribution pour faciliter un libre accès aux séminaires, réunions et événements destinés à la presse.</w:t>
      </w:r>
    </w:p>
    <w:p w:rsidR="00D42474" w:rsidRDefault="00D42474" w:rsidP="001A5BF9">
      <w:pPr>
        <w:autoSpaceDE w:val="0"/>
        <w:autoSpaceDN w:val="0"/>
        <w:adjustRightInd w:val="0"/>
        <w:jc w:val="both"/>
        <w:rPr>
          <w:rFonts w:eastAsia="SimSun" w:cs="Arial"/>
          <w:szCs w:val="20"/>
        </w:rPr>
      </w:pPr>
    </w:p>
    <w:p w:rsidR="00D42474" w:rsidRDefault="00784E52" w:rsidP="001A5BF9">
      <w:pPr>
        <w:numPr>
          <w:ilvl w:val="0"/>
          <w:numId w:val="52"/>
        </w:numPr>
        <w:autoSpaceDE w:val="0"/>
        <w:autoSpaceDN w:val="0"/>
        <w:adjustRightInd w:val="0"/>
        <w:jc w:val="both"/>
      </w:pPr>
      <w:r w:rsidRPr="002D02F3">
        <w:rPr>
          <w:i/>
        </w:rPr>
        <w:t xml:space="preserve">Contenu de qualité. </w:t>
      </w:r>
      <w:r w:rsidR="0010442A" w:rsidRPr="002D02F3">
        <w:rPr>
          <w:i/>
        </w:rPr>
        <w:t xml:space="preserve"> </w:t>
      </w:r>
      <w:r w:rsidRPr="002D02F3">
        <w:t>Le nouveau Comité des publications intersectoriel s</w:t>
      </w:r>
      <w:r w:rsidR="00A20444" w:rsidRPr="002D02F3">
        <w:t>’</w:t>
      </w:r>
      <w:r w:rsidRPr="002D02F3">
        <w:t>est mis au travail afin de garantir que toutes les nouvelles publications de l</w:t>
      </w:r>
      <w:r w:rsidR="00A20444" w:rsidRPr="002D02F3">
        <w:t>’</w:t>
      </w:r>
      <w:r w:rsidRPr="002D02F3">
        <w:t>OMPI répondent aux normes de qualité, de pertinence et d</w:t>
      </w:r>
      <w:r w:rsidR="00A20444" w:rsidRPr="002D02F3">
        <w:t>’</w:t>
      </w:r>
      <w:r w:rsidRPr="002D02F3">
        <w:t xml:space="preserve">utilité. </w:t>
      </w:r>
      <w:r w:rsidR="0010442A" w:rsidRPr="002D02F3">
        <w:t xml:space="preserve"> </w:t>
      </w:r>
      <w:r w:rsidRPr="002D02F3">
        <w:t>Afin de faciliter l</w:t>
      </w:r>
      <w:r w:rsidR="00A20444" w:rsidRPr="002D02F3">
        <w:t>’</w:t>
      </w:r>
      <w:r w:rsidRPr="002D02F3">
        <w:t>accès libre aux publications de l</w:t>
      </w:r>
      <w:r w:rsidR="00A20444" w:rsidRPr="002D02F3">
        <w:t>’</w:t>
      </w:r>
      <w:r w:rsidRPr="002D02F3">
        <w:t xml:space="preserve">OMPI, une nouvelle politique a été instaurée, mettant toutes les publications à la disposition du public en téléchargement gratuit en ligne. </w:t>
      </w:r>
      <w:r w:rsidR="0010442A" w:rsidRPr="002D02F3">
        <w:t xml:space="preserve"> </w:t>
      </w:r>
      <w:r w:rsidRPr="002D02F3">
        <w:t>Pour les commandes de versions papier payantes, l</w:t>
      </w:r>
      <w:r w:rsidR="00A20444" w:rsidRPr="002D02F3">
        <w:t>’</w:t>
      </w:r>
      <w:r w:rsidRPr="002D02F3">
        <w:t>OMPI a lancé l</w:t>
      </w:r>
      <w:r w:rsidR="00A20444" w:rsidRPr="002D02F3">
        <w:t>’</w:t>
      </w:r>
      <w:r w:rsidRPr="002D02F3">
        <w:t>essai pilote d</w:t>
      </w:r>
      <w:r w:rsidR="00A20444" w:rsidRPr="002D02F3">
        <w:t>’</w:t>
      </w:r>
      <w:r w:rsidRPr="002D02F3">
        <w:t>un système d</w:t>
      </w:r>
      <w:r w:rsidR="00A20444" w:rsidRPr="002D02F3">
        <w:t>’</w:t>
      </w:r>
      <w:r w:rsidRPr="002D02F3">
        <w:t>impression à la demande externe.</w:t>
      </w:r>
    </w:p>
    <w:p w:rsidR="00D42474" w:rsidRDefault="00D42474" w:rsidP="001A5BF9">
      <w:pPr>
        <w:autoSpaceDE w:val="0"/>
        <w:autoSpaceDN w:val="0"/>
        <w:adjustRightInd w:val="0"/>
        <w:jc w:val="both"/>
        <w:rPr>
          <w:rFonts w:eastAsia="SimSun" w:cs="Arial"/>
          <w:szCs w:val="20"/>
        </w:rPr>
      </w:pPr>
    </w:p>
    <w:p w:rsidR="00D42474" w:rsidRDefault="00784E52" w:rsidP="001A5BF9">
      <w:pPr>
        <w:numPr>
          <w:ilvl w:val="0"/>
          <w:numId w:val="52"/>
        </w:numPr>
        <w:autoSpaceDE w:val="0"/>
        <w:autoSpaceDN w:val="0"/>
        <w:adjustRightInd w:val="0"/>
        <w:jc w:val="both"/>
        <w:rPr>
          <w:rFonts w:eastAsia="SimSun" w:cs="Arial"/>
          <w:szCs w:val="20"/>
        </w:rPr>
      </w:pPr>
      <w:r w:rsidRPr="002D02F3">
        <w:t>Une conception visuelle de haute qualité, infographie comprise, a amélioré l</w:t>
      </w:r>
      <w:r w:rsidR="00A20444" w:rsidRPr="002D02F3">
        <w:t>’</w:t>
      </w:r>
      <w:r w:rsidRPr="002D02F3">
        <w:t>accessibilité et l</w:t>
      </w:r>
      <w:r w:rsidR="00A20444" w:rsidRPr="002D02F3">
        <w:t>’</w:t>
      </w:r>
      <w:r w:rsidRPr="002D02F3">
        <w:t>impact des principaux rapports statistiques et économiques de l</w:t>
      </w:r>
      <w:r w:rsidR="00A20444" w:rsidRPr="002D02F3">
        <w:t>’</w:t>
      </w:r>
      <w:r w:rsidRPr="002D02F3">
        <w:t>OMPI, du Rapport annuel du Directeur général aux assemblées, d</w:t>
      </w:r>
      <w:r w:rsidR="00A20444" w:rsidRPr="002D02F3">
        <w:t>’</w:t>
      </w:r>
      <w:r w:rsidRPr="002D02F3">
        <w:t>innombrables supports publicitaires et d</w:t>
      </w:r>
      <w:r w:rsidR="00A20444" w:rsidRPr="002D02F3">
        <w:t>’</w:t>
      </w:r>
      <w:r w:rsidRPr="002D02F3">
        <w:t>information;</w:t>
      </w:r>
      <w:r w:rsidR="004F3E42" w:rsidRPr="002D02F3">
        <w:t xml:space="preserve"> </w:t>
      </w:r>
      <w:r w:rsidR="0010442A" w:rsidRPr="002D02F3">
        <w:t xml:space="preserve"> </w:t>
      </w:r>
      <w:r w:rsidRPr="002D02F3">
        <w:t>ainsi que de la Revue de l</w:t>
      </w:r>
      <w:r w:rsidR="00A20444" w:rsidRPr="002D02F3">
        <w:t>’</w:t>
      </w:r>
      <w:r w:rsidRPr="002D02F3">
        <w:t>OMPI, qui a fait l</w:t>
      </w:r>
      <w:r w:rsidR="00A20444" w:rsidRPr="002D02F3">
        <w:t>’</w:t>
      </w:r>
      <w:r w:rsidRPr="002D02F3">
        <w:t xml:space="preserve">objet de commentaires très élogieux sur Twitter et dans les enquêtes auprès des lecteurs. </w:t>
      </w:r>
      <w:r w:rsidR="0010442A" w:rsidRPr="002D02F3">
        <w:t xml:space="preserve"> </w:t>
      </w:r>
      <w:r w:rsidRPr="002D02F3">
        <w:t>(Fin 2013, 94</w:t>
      </w:r>
      <w:r w:rsidR="007E442D" w:rsidRPr="002D02F3">
        <w:t>%</w:t>
      </w:r>
      <w:r w:rsidRPr="002D02F3">
        <w:t> des personnes interrogées ont qualifié la revue [dans sa version anglaise], comme bonne ou très bonne.) L</w:t>
      </w:r>
      <w:r w:rsidR="00A20444" w:rsidRPr="002D02F3">
        <w:t>’</w:t>
      </w:r>
      <w:r w:rsidRPr="002D02F3">
        <w:t>Organisation a investi dans la production d</w:t>
      </w:r>
      <w:r w:rsidR="00A20444" w:rsidRPr="002D02F3">
        <w:t>’</w:t>
      </w:r>
      <w:r w:rsidRPr="002D02F3">
        <w:t>un contenu photographique de qualité, créant des galeries d</w:t>
      </w:r>
      <w:r w:rsidR="00A20444" w:rsidRPr="002D02F3">
        <w:t>’</w:t>
      </w:r>
      <w:r w:rsidRPr="002D02F3">
        <w:t>images sur Flickr pour donner une autre vue graphique des activités et manifestations de l</w:t>
      </w:r>
      <w:r w:rsidR="00A20444" w:rsidRPr="002D02F3">
        <w:t>’</w:t>
      </w:r>
      <w:r w:rsidRPr="002D02F3">
        <w:t xml:space="preserve">OMPI. </w:t>
      </w:r>
      <w:r w:rsidR="0010442A" w:rsidRPr="002D02F3">
        <w:t xml:space="preserve"> </w:t>
      </w:r>
      <w:r w:rsidRPr="002D02F3">
        <w:t>Le nombre total de photos de l</w:t>
      </w:r>
      <w:r w:rsidR="00A20444" w:rsidRPr="002D02F3">
        <w:t>’</w:t>
      </w:r>
      <w:r w:rsidRPr="002D02F3">
        <w:t>OMPI visualisées sur Flickr est passé de 150 000 à la fin de l</w:t>
      </w:r>
      <w:r w:rsidR="00A20444" w:rsidRPr="002D02F3">
        <w:t>’</w:t>
      </w:r>
      <w:r w:rsidRPr="002D02F3">
        <w:t>année 2012 à plus de 900 000 à la fin de l</w:t>
      </w:r>
      <w:r w:rsidR="00A20444" w:rsidRPr="002D02F3">
        <w:t>’</w:t>
      </w:r>
      <w:r w:rsidRPr="002D02F3">
        <w:t xml:space="preserve">année 2013. </w:t>
      </w:r>
      <w:r w:rsidR="0010442A" w:rsidRPr="002D02F3">
        <w:t xml:space="preserve"> </w:t>
      </w:r>
      <w:r w:rsidRPr="002D02F3">
        <w:t>Au total, 122 nouvelles vidéos ont été créées au cours de l</w:t>
      </w:r>
      <w:r w:rsidR="00A20444" w:rsidRPr="002D02F3">
        <w:t>’</w:t>
      </w:r>
      <w:r w:rsidRPr="002D02F3">
        <w:t>exercice biennal pour la chaîne YouTube et le site</w:t>
      </w:r>
      <w:r w:rsidR="0010442A" w:rsidRPr="002D02F3">
        <w:t> </w:t>
      </w:r>
      <w:r w:rsidRPr="002D02F3">
        <w:t>Web de l</w:t>
      </w:r>
      <w:r w:rsidR="00A20444" w:rsidRPr="002D02F3">
        <w:t>’</w:t>
      </w:r>
      <w:r w:rsidRPr="002D02F3">
        <w:t xml:space="preserve">OMPI, avec plus de contenus de type actualités et histoires de propriété intellectuelle, ainsi que des didacticiels et présentations. </w:t>
      </w:r>
      <w:r w:rsidR="0010442A" w:rsidRPr="002D02F3">
        <w:t xml:space="preserve"> </w:t>
      </w:r>
      <w:r w:rsidRPr="002D02F3">
        <w:t>Le nombre de consultations suite à l</w:t>
      </w:r>
      <w:r w:rsidR="00A20444" w:rsidRPr="002D02F3">
        <w:t>’</w:t>
      </w:r>
      <w:r w:rsidRPr="002D02F3">
        <w:t>ajout des animations pour enfants “</w:t>
      </w:r>
      <w:proofErr w:type="spellStart"/>
      <w:r w:rsidRPr="002D02F3">
        <w:t>Pororo</w:t>
      </w:r>
      <w:proofErr w:type="spellEnd"/>
      <w:r w:rsidRPr="002D02F3">
        <w:t>” (plus de 3,8 millions de visualisations) a augmenté de façon spectaculaire, l</w:t>
      </w:r>
      <w:r w:rsidR="00A20444" w:rsidRPr="002D02F3">
        <w:t>’</w:t>
      </w:r>
      <w:r w:rsidRPr="002D02F3">
        <w:t>exercice biennal s</w:t>
      </w:r>
      <w:r w:rsidR="00A20444" w:rsidRPr="002D02F3">
        <w:t>’</w:t>
      </w:r>
      <w:r w:rsidRPr="002D02F3">
        <w:t>achevant avec une augmentation exponentielle du total des consultations de la chaîne de l</w:t>
      </w:r>
      <w:r w:rsidR="00A20444" w:rsidRPr="002D02F3">
        <w:t>’</w:t>
      </w:r>
      <w:r w:rsidRPr="002D02F3">
        <w:t xml:space="preserve">OMPI de plus de </w:t>
      </w:r>
      <w:r w:rsidR="0010442A" w:rsidRPr="002D02F3">
        <w:t>2900</w:t>
      </w:r>
      <w:r w:rsidR="007E442D" w:rsidRPr="002D02F3">
        <w:t>%</w:t>
      </w:r>
      <w:r w:rsidRPr="002D02F3">
        <w:t xml:space="preserve"> par rapport à fin 2011.</w:t>
      </w:r>
    </w:p>
    <w:p w:rsidR="00D42474" w:rsidRDefault="00D42474" w:rsidP="001A5BF9">
      <w:pPr>
        <w:autoSpaceDE w:val="0"/>
        <w:autoSpaceDN w:val="0"/>
        <w:adjustRightInd w:val="0"/>
        <w:jc w:val="both"/>
        <w:rPr>
          <w:rFonts w:eastAsia="SimSun" w:cs="Arial"/>
          <w:szCs w:val="20"/>
        </w:rPr>
      </w:pPr>
    </w:p>
    <w:p w:rsidR="00D42474" w:rsidRDefault="00784E52" w:rsidP="001A5BF9">
      <w:pPr>
        <w:numPr>
          <w:ilvl w:val="0"/>
          <w:numId w:val="52"/>
        </w:numPr>
        <w:autoSpaceDE w:val="0"/>
        <w:autoSpaceDN w:val="0"/>
        <w:adjustRightInd w:val="0"/>
        <w:jc w:val="both"/>
      </w:pPr>
      <w:r w:rsidRPr="002D02F3">
        <w:rPr>
          <w:i/>
        </w:rPr>
        <w:t>Visibilité accrue.</w:t>
      </w:r>
      <w:r w:rsidR="0010442A" w:rsidRPr="002D02F3">
        <w:rPr>
          <w:i/>
        </w:rPr>
        <w:t xml:space="preserve"> </w:t>
      </w:r>
      <w:r w:rsidRPr="002D02F3">
        <w:rPr>
          <w:i/>
        </w:rPr>
        <w:t xml:space="preserve"> </w:t>
      </w:r>
      <w:r w:rsidRPr="002D02F3">
        <w:t>Des activités de communications concertées ont été consacrées à des manifestations, produits et résultats importants au cours de l</w:t>
      </w:r>
      <w:r w:rsidR="00A20444" w:rsidRPr="002D02F3">
        <w:t>’</w:t>
      </w:r>
      <w:r w:rsidRPr="002D02F3">
        <w:t>exercice biennal, tels que l</w:t>
      </w:r>
      <w:r w:rsidR="00A20444" w:rsidRPr="002D02F3">
        <w:t>’</w:t>
      </w:r>
      <w:r w:rsidRPr="002D02F3">
        <w:t>adoption de deux nouveaux traités de l</w:t>
      </w:r>
      <w:r w:rsidR="00A20444" w:rsidRPr="002D02F3">
        <w:t>’</w:t>
      </w:r>
      <w:r w:rsidRPr="002D02F3">
        <w:t>OMPI, la publication de ses rapports de renom mondial sur la propriété intellectuelle, les principales étapes de l</w:t>
      </w:r>
      <w:r w:rsidR="00A20444" w:rsidRPr="002D02F3">
        <w:t>’</w:t>
      </w:r>
      <w:r w:rsidRPr="002D02F3">
        <w:t>expansion de la base de données mondiale sur les marques et PATENTSCOPE, ainsi que le lancement de l</w:t>
      </w:r>
      <w:r w:rsidR="00A20444" w:rsidRPr="002D02F3">
        <w:t>’</w:t>
      </w:r>
      <w:r w:rsidRPr="002D02F3">
        <w:t xml:space="preserve">initiative de partenariat WIPO GREEN. </w:t>
      </w:r>
      <w:r w:rsidR="0010442A" w:rsidRPr="002D02F3">
        <w:t xml:space="preserve"> </w:t>
      </w:r>
      <w:r w:rsidRPr="002D02F3">
        <w:t>Une approche plus intégrée a été élaborée afin de promouvoir ce type d</w:t>
      </w:r>
      <w:r w:rsidR="00A20444" w:rsidRPr="002D02F3">
        <w:t>’</w:t>
      </w:r>
      <w:r w:rsidRPr="002D02F3">
        <w:t>événement clé, avec des cadres d</w:t>
      </w:r>
      <w:r w:rsidR="00A20444" w:rsidRPr="002D02F3">
        <w:t>’</w:t>
      </w:r>
      <w:r w:rsidRPr="002D02F3">
        <w:t xml:space="preserve">élaboration de </w:t>
      </w:r>
      <w:r w:rsidRPr="005C7CCE">
        <w:t xml:space="preserve">messages homogènes; </w:t>
      </w:r>
      <w:r w:rsidR="0010442A" w:rsidRPr="005C7CCE">
        <w:t xml:space="preserve"> </w:t>
      </w:r>
      <w:r w:rsidRPr="005C7CCE">
        <w:t xml:space="preserve">des contenus éditoriaux, visuels et Web sur mesure dans six langues; </w:t>
      </w:r>
      <w:r w:rsidR="0010442A" w:rsidRPr="005C7CCE">
        <w:t xml:space="preserve"> </w:t>
      </w:r>
      <w:r w:rsidRPr="005C7CCE">
        <w:t>une diffusion via de multiples canaux de communication;</w:t>
      </w:r>
      <w:r w:rsidR="0010442A" w:rsidRPr="005C7CCE">
        <w:t xml:space="preserve"> </w:t>
      </w:r>
      <w:r w:rsidR="004F3E42" w:rsidRPr="005C7CCE">
        <w:t xml:space="preserve"> </w:t>
      </w:r>
      <w:r w:rsidRPr="005C7CCE">
        <w:t>et des relations proactives entre la presse et les parties prenantes.</w:t>
      </w:r>
    </w:p>
    <w:p w:rsidR="00D42474" w:rsidRDefault="00D42474" w:rsidP="00EA3FF8">
      <w:pPr>
        <w:pStyle w:val="Paragraphedeliste"/>
        <w:ind w:left="0"/>
        <w:rPr>
          <w:rFonts w:eastAsia="SimSun" w:cs="Arial"/>
        </w:rPr>
      </w:pPr>
    </w:p>
    <w:p w:rsidR="00D42474" w:rsidRDefault="00784E52" w:rsidP="001A5BF9">
      <w:pPr>
        <w:numPr>
          <w:ilvl w:val="0"/>
          <w:numId w:val="52"/>
        </w:numPr>
        <w:autoSpaceDE w:val="0"/>
        <w:autoSpaceDN w:val="0"/>
        <w:adjustRightInd w:val="0"/>
        <w:jc w:val="both"/>
      </w:pPr>
      <w:r w:rsidRPr="005C7CCE">
        <w:t>Le recours à des personnalités comme porte</w:t>
      </w:r>
      <w:r w:rsidR="002D6F2A" w:rsidRPr="005C7CCE">
        <w:noBreakHyphen/>
      </w:r>
      <w:r w:rsidRPr="005C7CCE">
        <w:t>parole, comme l</w:t>
      </w:r>
      <w:r w:rsidR="00A20444" w:rsidRPr="005C7CCE">
        <w:t>’</w:t>
      </w:r>
      <w:r w:rsidRPr="005C7CCE">
        <w:t>acteur Javier Bardem pour la promotion de l</w:t>
      </w:r>
      <w:r w:rsidR="00A20444" w:rsidRPr="005C7CCE">
        <w:t>’</w:t>
      </w:r>
      <w:r w:rsidRPr="005C7CCE">
        <w:t xml:space="preserve">objectif de la conférence diplomatique sur la protection des interprétations et exécutions audiovisuelles, et le chanteur Stevie Wonder pour la conférence diplomatique de Marrakech, a été exploité, avec pour conséquence une couverture du Traité de Marrakech par des auteurs originaux sur quatre des </w:t>
      </w:r>
      <w:r w:rsidR="0010442A" w:rsidRPr="005C7CCE">
        <w:t>10</w:t>
      </w:r>
      <w:r w:rsidRPr="005C7CCE">
        <w:t> sites d</w:t>
      </w:r>
      <w:r w:rsidR="00A20444" w:rsidRPr="005C7CCE">
        <w:t>’</w:t>
      </w:r>
      <w:r w:rsidRPr="005C7CCE">
        <w:t>actualités les plus fréquentés dans le monde, accompagnée du</w:t>
      </w:r>
      <w:r w:rsidR="004F3E42" w:rsidRPr="005C7CCE">
        <w:t xml:space="preserve"> </w:t>
      </w:r>
      <w:r w:rsidRPr="005C7CCE">
        <w:t>“</w:t>
      </w:r>
      <w:proofErr w:type="spellStart"/>
      <w:r w:rsidRPr="005C7CCE">
        <w:t>buzz</w:t>
      </w:r>
      <w:proofErr w:type="spellEnd"/>
      <w:r w:rsidRPr="005C7CCE">
        <w:t>” sur Twitter qui a culminé à plus de 3,5 millions d</w:t>
      </w:r>
      <w:r w:rsidR="00A20444" w:rsidRPr="005C7CCE">
        <w:t>’</w:t>
      </w:r>
      <w:r w:rsidRPr="005C7CCE">
        <w:t>impressions potentielles de tweets à l</w:t>
      </w:r>
      <w:r w:rsidR="00A20444" w:rsidRPr="005C7CCE">
        <w:t>’</w:t>
      </w:r>
      <w:r w:rsidRPr="005C7CCE">
        <w:t>aide du hashtag #</w:t>
      </w:r>
      <w:proofErr w:type="spellStart"/>
      <w:r w:rsidRPr="005C7CCE">
        <w:t>VIPDC</w:t>
      </w:r>
      <w:proofErr w:type="spellEnd"/>
      <w:r w:rsidRPr="005C7CCE">
        <w:t xml:space="preserve">. </w:t>
      </w:r>
      <w:r w:rsidR="0010442A" w:rsidRPr="005C7CCE">
        <w:t xml:space="preserve"> </w:t>
      </w:r>
      <w:r w:rsidRPr="005C7CCE">
        <w:t>L</w:t>
      </w:r>
      <w:r w:rsidR="00A20444" w:rsidRPr="005C7CCE">
        <w:t>’</w:t>
      </w:r>
      <w:r w:rsidRPr="005C7CCE">
        <w:t>approche intégrée a également stimulé la couverture médiatique des indicateurs mondiaux de propriété intellectuelle (dont 2,3 millions d</w:t>
      </w:r>
      <w:r w:rsidR="00A20444" w:rsidRPr="005C7CCE">
        <w:t>’</w:t>
      </w:r>
      <w:r w:rsidRPr="005C7CCE">
        <w:t>impressions potentielles du principal tweet) et de l</w:t>
      </w:r>
      <w:r w:rsidR="00A20444" w:rsidRPr="005C7CCE">
        <w:t>’</w:t>
      </w:r>
      <w:r w:rsidRPr="005C7CCE">
        <w:t>Indice mondial de l</w:t>
      </w:r>
      <w:r w:rsidR="00A20444" w:rsidRPr="005C7CCE">
        <w:t>’</w:t>
      </w:r>
      <w:r w:rsidRPr="005C7CCE">
        <w:t>innovation (plus de 400 articles dans le monde et plus de 400</w:t>
      </w:r>
      <w:r w:rsidR="007E442D" w:rsidRPr="005C7CCE">
        <w:t>%</w:t>
      </w:r>
      <w:r w:rsidRPr="005C7CCE">
        <w:t> d</w:t>
      </w:r>
      <w:r w:rsidR="00A20444" w:rsidRPr="005C7CCE">
        <w:t>’</w:t>
      </w:r>
      <w:r w:rsidRPr="005C7CCE">
        <w:t>augmentation des consultations de la page en 2012 et 2013 par rapport à 2011).</w:t>
      </w:r>
    </w:p>
    <w:p w:rsidR="00D42474" w:rsidRDefault="00D42474" w:rsidP="001A5BF9">
      <w:pPr>
        <w:autoSpaceDE w:val="0"/>
        <w:autoSpaceDN w:val="0"/>
        <w:adjustRightInd w:val="0"/>
        <w:jc w:val="both"/>
        <w:rPr>
          <w:rFonts w:eastAsia="SimSun" w:cs="Arial"/>
          <w:szCs w:val="20"/>
        </w:rPr>
      </w:pPr>
    </w:p>
    <w:p w:rsidR="00D42474" w:rsidRDefault="00784E52" w:rsidP="001A5BF9">
      <w:pPr>
        <w:numPr>
          <w:ilvl w:val="0"/>
          <w:numId w:val="52"/>
        </w:numPr>
        <w:autoSpaceDE w:val="0"/>
        <w:autoSpaceDN w:val="0"/>
        <w:adjustRightInd w:val="0"/>
        <w:jc w:val="both"/>
      </w:pPr>
      <w:r w:rsidRPr="005C7CCE">
        <w:rPr>
          <w:i/>
        </w:rPr>
        <w:t>Sensibilisation.</w:t>
      </w:r>
      <w:r w:rsidR="0010442A" w:rsidRPr="005C7CCE">
        <w:rPr>
          <w:i/>
        </w:rPr>
        <w:t xml:space="preserve"> </w:t>
      </w:r>
      <w:r w:rsidRPr="005C7CCE">
        <w:rPr>
          <w:i/>
        </w:rPr>
        <w:t xml:space="preserve"> </w:t>
      </w:r>
      <w:r w:rsidRPr="005C7CCE">
        <w:t>Pour la campagne annuelle sur la Journée mondiale de la propriété intellectuelle, l</w:t>
      </w:r>
      <w:r w:rsidR="00A20444" w:rsidRPr="005C7CCE">
        <w:t>’</w:t>
      </w:r>
      <w:r w:rsidRPr="005C7CCE">
        <w:t>OMPI a intensifié son recours aux médias sociaux pour générer un profond sens d</w:t>
      </w:r>
      <w:r w:rsidR="00A20444" w:rsidRPr="005C7CCE">
        <w:t>’</w:t>
      </w:r>
      <w:r w:rsidRPr="005C7CCE">
        <w:t>engagement et d</w:t>
      </w:r>
      <w:r w:rsidR="00A20444" w:rsidRPr="005C7CCE">
        <w:t>’</w:t>
      </w:r>
      <w:r w:rsidRPr="005C7CCE">
        <w:t xml:space="preserve">adoption par le public dans un sens plus large. </w:t>
      </w:r>
      <w:r w:rsidR="0010442A" w:rsidRPr="005C7CCE">
        <w:t xml:space="preserve"> </w:t>
      </w:r>
      <w:r w:rsidRPr="005C7CCE">
        <w:t>Le nombre total de personnes ayant consulté la page</w:t>
      </w:r>
      <w:r w:rsidR="0010442A" w:rsidRPr="005C7CCE">
        <w:t> </w:t>
      </w:r>
      <w:r w:rsidRPr="005C7CCE">
        <w:t>Facebook de la Journée mondiale de la propriété intellectuelle a plus que doublé en 2013 (375 000 personnes) par rapport à 2012, la plupart des commentaires “j</w:t>
      </w:r>
      <w:r w:rsidR="00A20444" w:rsidRPr="005C7CCE">
        <w:t>’</w:t>
      </w:r>
      <w:r w:rsidRPr="005C7CCE">
        <w:t>aime” provenant de l</w:t>
      </w:r>
      <w:r w:rsidR="00A20444" w:rsidRPr="005C7CCE">
        <w:t>’</w:t>
      </w:r>
      <w:r w:rsidRPr="005C7CCE">
        <w:t>Inde, des États</w:t>
      </w:r>
      <w:r w:rsidR="002D6F2A" w:rsidRPr="005C7CCE">
        <w:noBreakHyphen/>
      </w:r>
      <w:r w:rsidRPr="005C7CCE">
        <w:t>Unis d</w:t>
      </w:r>
      <w:r w:rsidR="00A20444" w:rsidRPr="005C7CCE">
        <w:t>’</w:t>
      </w:r>
      <w:r w:rsidRPr="005C7CCE">
        <w:t>Amérique, du Mexique, du Brésil et du Royaume</w:t>
      </w:r>
      <w:r w:rsidR="002D6F2A" w:rsidRPr="005C7CCE">
        <w:noBreakHyphen/>
      </w:r>
      <w:r w:rsidRPr="005C7CCE">
        <w:t xml:space="preserve">Uni. </w:t>
      </w:r>
      <w:r w:rsidR="0010442A" w:rsidRPr="005C7CCE">
        <w:t xml:space="preserve"> </w:t>
      </w:r>
      <w:r w:rsidRPr="005C7CCE">
        <w:t>Le site</w:t>
      </w:r>
      <w:r w:rsidR="0010442A" w:rsidRPr="005C7CCE">
        <w:t> </w:t>
      </w:r>
      <w:r w:rsidRPr="005C7CCE">
        <w:t>Web de l</w:t>
      </w:r>
      <w:r w:rsidR="00A20444" w:rsidRPr="005C7CCE">
        <w:t>’</w:t>
      </w:r>
      <w:r w:rsidRPr="005C7CCE">
        <w:t xml:space="preserve">OMPI a enregistré plus du double de visites le 26 avril 2013 que tout autre jour des </w:t>
      </w:r>
      <w:r w:rsidR="0010442A" w:rsidRPr="005C7CCE">
        <w:t>12</w:t>
      </w:r>
      <w:r w:rsidRPr="005C7CCE">
        <w:t> mois précédents.</w:t>
      </w:r>
      <w:r w:rsidR="0010442A" w:rsidRPr="005C7CCE">
        <w:t xml:space="preserve"> </w:t>
      </w:r>
      <w:r w:rsidRPr="005C7CCE">
        <w:t xml:space="preserve"> Les contenus thématiques incluaient “Innovateurs visionnaires</w:t>
      </w:r>
      <w:r w:rsidRPr="005C7CCE">
        <w:rPr>
          <w:i/>
        </w:rPr>
        <w:t xml:space="preserve">” </w:t>
      </w:r>
      <w:r w:rsidRPr="005C7CCE">
        <w:t>et</w:t>
      </w:r>
      <w:r w:rsidRPr="005C7CCE">
        <w:rPr>
          <w:i/>
        </w:rPr>
        <w:t xml:space="preserve"> “Créativité : la prochaine génération”,</w:t>
      </w:r>
      <w:r w:rsidRPr="005C7CCE">
        <w:t xml:space="preserve"> et les expositions de la Journée mondiale de la propriété intellectuelle sur les brevets de Steve Jobs (2012) ainsi que l</w:t>
      </w:r>
      <w:r w:rsidR="00A20444" w:rsidRPr="005C7CCE">
        <w:t>’</w:t>
      </w:r>
      <w:r w:rsidRPr="005C7CCE">
        <w:t>impression 3D (2013).</w:t>
      </w:r>
    </w:p>
    <w:p w:rsidR="00D42474" w:rsidRDefault="00D42474" w:rsidP="00EA3FF8">
      <w:pPr>
        <w:pStyle w:val="Paragraphedeliste"/>
        <w:ind w:left="0"/>
        <w:rPr>
          <w:rFonts w:eastAsia="SimSun" w:cs="Arial"/>
        </w:rPr>
      </w:pPr>
    </w:p>
    <w:p w:rsidR="00D42474" w:rsidRDefault="00784E52" w:rsidP="001A5BF9">
      <w:pPr>
        <w:numPr>
          <w:ilvl w:val="0"/>
          <w:numId w:val="52"/>
        </w:numPr>
        <w:autoSpaceDE w:val="0"/>
        <w:autoSpaceDN w:val="0"/>
        <w:adjustRightInd w:val="0"/>
        <w:jc w:val="both"/>
        <w:rPr>
          <w:rFonts w:eastAsia="SimSun" w:cs="Arial"/>
          <w:szCs w:val="20"/>
        </w:rPr>
      </w:pPr>
      <w:r w:rsidRPr="005C7CCE">
        <w:t>En réponse aux demandes des États membres dans les pays en développement et les pays en transition, 46 nouvelles bibliothèques dépositaires ont été créées au cours de l</w:t>
      </w:r>
      <w:r w:rsidR="00A20444" w:rsidRPr="005C7CCE">
        <w:t>’</w:t>
      </w:r>
      <w:r w:rsidRPr="005C7CCE">
        <w:t xml:space="preserve">exercice biennal. </w:t>
      </w:r>
      <w:r w:rsidR="0010442A" w:rsidRPr="005C7CCE">
        <w:t xml:space="preserve"> </w:t>
      </w:r>
      <w:r w:rsidRPr="005C7CCE">
        <w:t>À Genève, les communautés locales et diplomatiques se sont engagées dans des manifestations culturelles pour illustrer le lien entre la propriété intellectuelle et la production culturelle, telles qu</w:t>
      </w:r>
      <w:r w:rsidR="00A20444" w:rsidRPr="005C7CCE">
        <w:t>’</w:t>
      </w:r>
      <w:r w:rsidRPr="005C7CCE">
        <w:t>un festival du film indien et un spectacle exceptionnel de danse folklorique géorgienne.</w:t>
      </w:r>
    </w:p>
    <w:p w:rsidR="00D42474" w:rsidRDefault="00D42474" w:rsidP="00EA3FF8">
      <w:pPr>
        <w:pStyle w:val="Paragraphedeliste"/>
        <w:ind w:left="0"/>
        <w:rPr>
          <w:rFonts w:eastAsia="SimSun" w:cs="Arial"/>
        </w:rPr>
      </w:pPr>
    </w:p>
    <w:p w:rsidR="00D42474" w:rsidRDefault="00784E52" w:rsidP="001A5BF9">
      <w:pPr>
        <w:numPr>
          <w:ilvl w:val="0"/>
          <w:numId w:val="52"/>
        </w:numPr>
        <w:autoSpaceDE w:val="0"/>
        <w:autoSpaceDN w:val="0"/>
        <w:adjustRightInd w:val="0"/>
        <w:jc w:val="both"/>
        <w:rPr>
          <w:rFonts w:eastAsia="SimSun" w:cs="Arial"/>
          <w:i/>
          <w:iCs/>
          <w:szCs w:val="20"/>
        </w:rPr>
      </w:pPr>
      <w:r w:rsidRPr="005C7CCE">
        <w:rPr>
          <w:i/>
        </w:rPr>
        <w:t>Image de marque</w:t>
      </w:r>
      <w:r w:rsidRPr="005C7CCE">
        <w:t xml:space="preserve">. </w:t>
      </w:r>
      <w:r w:rsidR="0010442A" w:rsidRPr="005C7CCE">
        <w:t xml:space="preserve"> </w:t>
      </w:r>
      <w:r w:rsidRPr="005C7CCE">
        <w:t>Le projet stratégique visant à définir, articuler et renforcer les éléments qui composent l</w:t>
      </w:r>
      <w:r w:rsidR="00A20444" w:rsidRPr="005C7CCE">
        <w:t>’</w:t>
      </w:r>
      <w:r w:rsidRPr="005C7CCE">
        <w:t>identité de la “marque” OMPI et sur lequel s</w:t>
      </w:r>
      <w:r w:rsidR="00A20444" w:rsidRPr="005C7CCE">
        <w:t>’</w:t>
      </w:r>
      <w:r w:rsidRPr="005C7CCE">
        <w:t>est construite la réputation de l</w:t>
      </w:r>
      <w:r w:rsidR="00A20444" w:rsidRPr="005C7CCE">
        <w:t>’</w:t>
      </w:r>
      <w:r w:rsidRPr="005C7CCE">
        <w:t>Organisation, a été achevé au cours de l</w:t>
      </w:r>
      <w:r w:rsidR="00A20444" w:rsidRPr="005C7CCE">
        <w:t>’</w:t>
      </w:r>
      <w:r w:rsidRPr="005C7CCE">
        <w:t xml:space="preserve">exercice biennal. </w:t>
      </w:r>
      <w:r w:rsidR="0010442A" w:rsidRPr="005C7CCE">
        <w:t xml:space="preserve"> </w:t>
      </w:r>
      <w:r w:rsidRPr="005C7CCE">
        <w:t>En 2012, une enquête sur la perception de l</w:t>
      </w:r>
      <w:r w:rsidR="00A20444" w:rsidRPr="005C7CCE">
        <w:t>’</w:t>
      </w:r>
      <w:r w:rsidRPr="005C7CCE">
        <w:t>OMPI qu</w:t>
      </w:r>
      <w:r w:rsidR="00A20444" w:rsidRPr="005C7CCE">
        <w:t>’</w:t>
      </w:r>
      <w:r w:rsidRPr="005C7CCE">
        <w:t>avaient ses parties prenantes internes et externes a fourni des contributions utiles et permis d</w:t>
      </w:r>
      <w:r w:rsidR="00A20444" w:rsidRPr="005C7CCE">
        <w:t>’</w:t>
      </w:r>
      <w:r w:rsidRPr="005C7CCE">
        <w:t xml:space="preserve">identifier les enjeux importants en termes de communication. </w:t>
      </w:r>
      <w:r w:rsidR="0010442A" w:rsidRPr="005C7CCE">
        <w:t xml:space="preserve"> </w:t>
      </w:r>
      <w:r w:rsidRPr="005C7CCE">
        <w:t>En 2013, les travaux se sont concentrés sur la mise en place d</w:t>
      </w:r>
      <w:r w:rsidR="00A20444" w:rsidRPr="005C7CCE">
        <w:t>’</w:t>
      </w:r>
      <w:r w:rsidRPr="005C7CCE">
        <w:t>une expression plus claire et plus homogène (d</w:t>
      </w:r>
      <w:r w:rsidR="00A20444" w:rsidRPr="005C7CCE">
        <w:t>’</w:t>
      </w:r>
      <w:r w:rsidRPr="005C7CCE">
        <w:t>un point vue verbal et visuel) de l</w:t>
      </w:r>
      <w:r w:rsidR="00A20444" w:rsidRPr="005C7CCE">
        <w:t>’</w:t>
      </w:r>
      <w:r w:rsidRPr="005C7CCE">
        <w:t>identité, du rôle, de la mission et des valeurs de l</w:t>
      </w:r>
      <w:r w:rsidR="00A20444" w:rsidRPr="005C7CCE">
        <w:t>’</w:t>
      </w:r>
      <w:r w:rsidRPr="005C7CCE">
        <w:t xml:space="preserve">OMPI à travers ses communications internes et externes. </w:t>
      </w:r>
      <w:r w:rsidR="0010442A" w:rsidRPr="005C7CCE">
        <w:t xml:space="preserve"> </w:t>
      </w:r>
      <w:r w:rsidRPr="005C7CCE">
        <w:t>À cet égard, un livre attrayant présentant la marque ainsi qu</w:t>
      </w:r>
      <w:r w:rsidR="00A20444" w:rsidRPr="005C7CCE">
        <w:t>’</w:t>
      </w:r>
      <w:r w:rsidRPr="005C7CCE">
        <w:t>une exposition visant à encourager l</w:t>
      </w:r>
      <w:r w:rsidR="00A20444" w:rsidRPr="005C7CCE">
        <w:t>’</w:t>
      </w:r>
      <w:r w:rsidRPr="005C7CCE">
        <w:t xml:space="preserve">engagement du personnel ont vu le jour. </w:t>
      </w:r>
      <w:r w:rsidR="0010442A" w:rsidRPr="005C7CCE">
        <w:t xml:space="preserve"> </w:t>
      </w:r>
      <w:r w:rsidRPr="005C7CCE">
        <w:t>Le nouveau site</w:t>
      </w:r>
      <w:r w:rsidR="0010442A" w:rsidRPr="005C7CCE">
        <w:t> </w:t>
      </w:r>
      <w:r w:rsidRPr="005C7CCE">
        <w:t xml:space="preserve">Web et une nouvelle brochure de présentation, </w:t>
      </w:r>
      <w:r w:rsidRPr="005C7CCE">
        <w:rPr>
          <w:i/>
        </w:rPr>
        <w:t>OMPI </w:t>
      </w:r>
      <w:r w:rsidR="002D6F2A" w:rsidRPr="005C7CCE">
        <w:rPr>
          <w:i/>
        </w:rPr>
        <w:noBreakHyphen/>
      </w:r>
      <w:r w:rsidRPr="005C7CCE">
        <w:rPr>
          <w:i/>
        </w:rPr>
        <w:t xml:space="preserve"> La propriété intellectuelle au service de tous, </w:t>
      </w:r>
      <w:r w:rsidRPr="005C7CCE">
        <w:t>ont servi à illustrer l</w:t>
      </w:r>
      <w:r w:rsidR="00A20444" w:rsidRPr="005C7CCE">
        <w:t>’</w:t>
      </w:r>
      <w:r w:rsidRPr="005C7CCE">
        <w:t>identité de notre organisation.</w:t>
      </w:r>
    </w:p>
    <w:p w:rsidR="00D42474" w:rsidRDefault="00D42474" w:rsidP="00EA3FF8">
      <w:pPr>
        <w:autoSpaceDE w:val="0"/>
        <w:autoSpaceDN w:val="0"/>
        <w:adjustRightInd w:val="0"/>
        <w:jc w:val="both"/>
        <w:rPr>
          <w:rFonts w:eastAsia="SimSun" w:cs="Arial"/>
          <w:i/>
          <w:iCs/>
          <w:szCs w:val="20"/>
        </w:rPr>
      </w:pPr>
    </w:p>
    <w:p w:rsidR="00D42474" w:rsidRDefault="00784E52" w:rsidP="001A5BF9">
      <w:pPr>
        <w:numPr>
          <w:ilvl w:val="0"/>
          <w:numId w:val="52"/>
        </w:numPr>
        <w:autoSpaceDE w:val="0"/>
        <w:autoSpaceDN w:val="0"/>
        <w:adjustRightInd w:val="0"/>
        <w:jc w:val="both"/>
        <w:rPr>
          <w:rFonts w:eastAsia="SimSun" w:cs="Arial"/>
          <w:szCs w:val="20"/>
        </w:rPr>
      </w:pPr>
      <w:r w:rsidRPr="005C7CCE">
        <w:rPr>
          <w:i/>
        </w:rPr>
        <w:t xml:space="preserve">Communication interne. </w:t>
      </w:r>
      <w:r w:rsidR="0010442A" w:rsidRPr="005C7CCE">
        <w:rPr>
          <w:i/>
        </w:rPr>
        <w:t xml:space="preserve"> </w:t>
      </w:r>
      <w:r w:rsidRPr="005C7CCE">
        <w:t>Dans le cadre</w:t>
      </w:r>
      <w:r w:rsidR="00A20444" w:rsidRPr="005C7CCE">
        <w:t xml:space="preserve"> du PRS</w:t>
      </w:r>
      <w:r w:rsidRPr="005C7CCE">
        <w:t xml:space="preserve"> (et au</w:t>
      </w:r>
      <w:r w:rsidR="002D6F2A" w:rsidRPr="005C7CCE">
        <w:noBreakHyphen/>
      </w:r>
      <w:r w:rsidRPr="005C7CCE">
        <w:t>delà), le programme a mené à la mise en œuvre de recommandations essentielles, basées sur les contributions du personnel, pour améliorer la communication interne de l</w:t>
      </w:r>
      <w:r w:rsidR="00A20444" w:rsidRPr="005C7CCE">
        <w:t>’</w:t>
      </w:r>
      <w:r w:rsidRPr="005C7CCE">
        <w:t xml:space="preserve">OMPI. </w:t>
      </w:r>
      <w:r w:rsidR="0010442A" w:rsidRPr="005C7CCE">
        <w:t xml:space="preserve"> </w:t>
      </w:r>
      <w:r w:rsidRPr="005C7CCE">
        <w:t>Les actions ont d</w:t>
      </w:r>
      <w:r w:rsidR="00A20444" w:rsidRPr="005C7CCE">
        <w:t>’</w:t>
      </w:r>
      <w:r w:rsidRPr="005C7CCE">
        <w:t>abord été axées sur des mécanismes concrets permettant de dépasser la culture de fonctionnement pyramidal et d</w:t>
      </w:r>
      <w:r w:rsidR="00A20444" w:rsidRPr="005C7CCE">
        <w:t>’</w:t>
      </w:r>
      <w:r w:rsidRPr="005C7CCE">
        <w:t>encourager la communication horizontale informelle;</w:t>
      </w:r>
      <w:r w:rsidR="004F3E42" w:rsidRPr="005C7CCE">
        <w:t xml:space="preserve"> </w:t>
      </w:r>
      <w:r w:rsidR="0010442A" w:rsidRPr="005C7CCE">
        <w:t xml:space="preserve"> </w:t>
      </w:r>
      <w:r w:rsidRPr="005C7CCE">
        <w:t xml:space="preserve">elles ont ensuite été axées sur le renforcement de la communication verticale directe entre la direction et le personnel à tous les niveaux. </w:t>
      </w:r>
      <w:r w:rsidR="0010442A" w:rsidRPr="005C7CCE">
        <w:t xml:space="preserve"> </w:t>
      </w:r>
      <w:r w:rsidRPr="005C7CCE">
        <w:t>Selon un sondage mené auprès du personnel, 75</w:t>
      </w:r>
      <w:r w:rsidR="007E442D" w:rsidRPr="005C7CCE">
        <w:t>%</w:t>
      </w:r>
      <w:r w:rsidRPr="005C7CCE">
        <w:t xml:space="preserve"> des personnes interrogées estimaient que le programme mensuel “Quoi de neuf” avait eu un impact positif sur la communication interne. </w:t>
      </w:r>
      <w:r w:rsidR="0010442A" w:rsidRPr="005C7CCE">
        <w:t xml:space="preserve"> </w:t>
      </w:r>
      <w:r w:rsidRPr="005C7CCE">
        <w:t>L</w:t>
      </w:r>
      <w:r w:rsidR="00A20444" w:rsidRPr="005C7CCE">
        <w:t>’</w:t>
      </w:r>
      <w:r w:rsidRPr="005C7CCE">
        <w:t>enquête sur les valeurs essentielles en 2012 a également révélé une augmentation de 50</w:t>
      </w:r>
      <w:r w:rsidR="007E442D" w:rsidRPr="005C7CCE">
        <w:t>%</w:t>
      </w:r>
      <w:r w:rsidRPr="005C7CCE">
        <w:t> du nombre de membres du personnel qui avaient le sentiment que l</w:t>
      </w:r>
      <w:r w:rsidR="00A20444" w:rsidRPr="005C7CCE">
        <w:t>’</w:t>
      </w:r>
      <w:r w:rsidRPr="005C7CCE">
        <w:t>Organisation communiquait avec eux de manière efficace.</w:t>
      </w:r>
    </w:p>
    <w:p w:rsidR="00D42474" w:rsidRDefault="00D42474" w:rsidP="00EA3FF8">
      <w:pPr>
        <w:autoSpaceDE w:val="0"/>
        <w:autoSpaceDN w:val="0"/>
        <w:adjustRightInd w:val="0"/>
        <w:jc w:val="both"/>
        <w:rPr>
          <w:rFonts w:eastAsia="SimSun" w:cs="Arial"/>
          <w:szCs w:val="20"/>
        </w:rPr>
      </w:pPr>
    </w:p>
    <w:p w:rsidR="00D42474" w:rsidRDefault="00784E52" w:rsidP="001A5BF9">
      <w:pPr>
        <w:numPr>
          <w:ilvl w:val="0"/>
          <w:numId w:val="52"/>
        </w:numPr>
        <w:autoSpaceDE w:val="0"/>
        <w:autoSpaceDN w:val="0"/>
        <w:adjustRightInd w:val="0"/>
        <w:jc w:val="both"/>
      </w:pPr>
      <w:r w:rsidRPr="005C7CCE">
        <w:rPr>
          <w:i/>
        </w:rPr>
        <w:t>Culture axée sur les services</w:t>
      </w:r>
      <w:r w:rsidRPr="005C7CCE">
        <w:t xml:space="preserve">. </w:t>
      </w:r>
      <w:r w:rsidR="0010442A" w:rsidRPr="005C7CCE">
        <w:t xml:space="preserve"> </w:t>
      </w:r>
      <w:r w:rsidRPr="005C7CCE">
        <w:t>Un programme de formation bien accueilli par le personnel a été présenté à environ 500 membres du personnel pour améliorer l</w:t>
      </w:r>
      <w:r w:rsidR="00A20444" w:rsidRPr="005C7CCE">
        <w:t>’</w:t>
      </w:r>
      <w:r w:rsidRPr="005C7CCE">
        <w:t>orientation sur les services de l</w:t>
      </w:r>
      <w:r w:rsidR="00A20444" w:rsidRPr="005C7CCE">
        <w:t>’</w:t>
      </w:r>
      <w:r w:rsidRPr="005C7CCE">
        <w:t>OMPI, y</w:t>
      </w:r>
      <w:r w:rsidR="0010442A" w:rsidRPr="005C7CCE">
        <w:t> </w:t>
      </w:r>
      <w:r w:rsidRPr="005C7CCE">
        <w:t xml:space="preserve">compris la réactivité dans la gestion des demandes par téléphone, sur le Web et par courrier électronique. </w:t>
      </w:r>
      <w:r w:rsidR="0010442A" w:rsidRPr="005C7CCE">
        <w:t xml:space="preserve"> </w:t>
      </w:r>
      <w:r w:rsidRPr="005C7CCE">
        <w:t xml:space="preserve">Des statistiques mensuelles ont été distribuées aux équipes concernant leurs taux de réponse aux appels téléphoniques. </w:t>
      </w:r>
      <w:r w:rsidR="0010442A" w:rsidRPr="005C7CCE">
        <w:t xml:space="preserve"> </w:t>
      </w:r>
      <w:r w:rsidRPr="005C7CCE">
        <w:t>Des outils pratiques ont été fournis pour permettre d</w:t>
      </w:r>
      <w:r w:rsidR="00A20444" w:rsidRPr="005C7CCE">
        <w:t>’</w:t>
      </w:r>
      <w:r w:rsidRPr="005C7CCE">
        <w:t>améliorer l</w:t>
      </w:r>
      <w:r w:rsidR="00A20444" w:rsidRPr="005C7CCE">
        <w:t>’</w:t>
      </w:r>
      <w:r w:rsidRPr="005C7CCE">
        <w:t xml:space="preserve">exécution et les configurations téléphoniques de 22 équipes de service à la clientèle ont été optimisées </w:t>
      </w:r>
      <w:r w:rsidRPr="002D02F3">
        <w:t xml:space="preserve">pour un meilleur suivi du service. </w:t>
      </w:r>
      <w:r w:rsidR="0010442A" w:rsidRPr="002D02F3">
        <w:t xml:space="preserve"> </w:t>
      </w:r>
      <w:r w:rsidRPr="002D02F3">
        <w:t>Une “netiquette” du courrier électronique de l</w:t>
      </w:r>
      <w:r w:rsidR="00A20444" w:rsidRPr="002D02F3">
        <w:t>’</w:t>
      </w:r>
      <w:r w:rsidRPr="002D02F3">
        <w:t>OMPI a été élaborée.</w:t>
      </w:r>
      <w:r w:rsidR="0010442A" w:rsidRPr="002D02F3">
        <w:t xml:space="preserve"> </w:t>
      </w:r>
      <w:r w:rsidRPr="002D02F3">
        <w:t xml:space="preserve"> Cinq services supplémentaires de l</w:t>
      </w:r>
      <w:r w:rsidR="00A20444" w:rsidRPr="002D02F3">
        <w:t>’</w:t>
      </w:r>
      <w:r w:rsidRPr="002D02F3">
        <w:t>OMPI utilisent le système de tickets “</w:t>
      </w:r>
      <w:proofErr w:type="spellStart"/>
      <w:r w:rsidRPr="002D02F3">
        <w:t>WINS</w:t>
      </w:r>
      <w:proofErr w:type="spellEnd"/>
      <w:r w:rsidRPr="002D02F3">
        <w:t xml:space="preserve">” pour suivre et gérer les demandes. </w:t>
      </w:r>
      <w:r w:rsidR="0010442A" w:rsidRPr="002D02F3">
        <w:t xml:space="preserve"> </w:t>
      </w:r>
      <w:r w:rsidRPr="002D02F3">
        <w:t>Un service disponible en permanence, lancé en 2012, utilise les bureaux extérieurs de l</w:t>
      </w:r>
      <w:r w:rsidR="00A20444" w:rsidRPr="002D02F3">
        <w:t>’</w:t>
      </w:r>
      <w:r w:rsidRPr="002D02F3">
        <w:t xml:space="preserve">OMPI pour répondre aux questions posées en dehors des heures de travail. </w:t>
      </w:r>
      <w:r w:rsidR="0010442A" w:rsidRPr="002D02F3">
        <w:t xml:space="preserve"> </w:t>
      </w:r>
      <w:r w:rsidRPr="002D02F3">
        <w:t>La première enquête effectuée par l</w:t>
      </w:r>
      <w:r w:rsidR="00A20444" w:rsidRPr="002D02F3">
        <w:t>’</w:t>
      </w:r>
      <w:r w:rsidRPr="002D02F3">
        <w:t>OMPI pour mesurer la satisfaction des clients externes à</w:t>
      </w:r>
      <w:r w:rsidR="0010442A" w:rsidRPr="002D02F3">
        <w:t> </w:t>
      </w:r>
      <w:r w:rsidRPr="002D02F3">
        <w:t>l</w:t>
      </w:r>
      <w:r w:rsidR="00A20444" w:rsidRPr="002D02F3">
        <w:t>’</w:t>
      </w:r>
      <w:r w:rsidRPr="002D02F3">
        <w:t>égard de l</w:t>
      </w:r>
      <w:r w:rsidR="00A20444" w:rsidRPr="002D02F3">
        <w:t>’</w:t>
      </w:r>
      <w:r w:rsidRPr="002D02F3">
        <w:t>orientation des services de l</w:t>
      </w:r>
      <w:r w:rsidR="00A20444" w:rsidRPr="002D02F3">
        <w:t>’</w:t>
      </w:r>
      <w:r w:rsidRPr="002D02F3">
        <w:t xml:space="preserve">OMPI a mis en œuvre une nouvelle méthodologie pour évaluer une série de quotients de satisfaction des clients du système de Madrid, du système de La Haye et des finances. </w:t>
      </w:r>
      <w:r w:rsidR="0010442A" w:rsidRPr="002D02F3">
        <w:t xml:space="preserve"> </w:t>
      </w:r>
      <w:r w:rsidRPr="002D02F3">
        <w:t>L</w:t>
      </w:r>
      <w:r w:rsidR="00A20444" w:rsidRPr="002D02F3">
        <w:t>’</w:t>
      </w:r>
      <w:r w:rsidRPr="002D02F3">
        <w:t>impact positif du programme de service à la clientèle se retrouve dans les résultats d</w:t>
      </w:r>
      <w:r w:rsidR="00A20444" w:rsidRPr="002D02F3">
        <w:t>’</w:t>
      </w:r>
      <w:r w:rsidRPr="002D02F3">
        <w:t>enquêtes internes et externes, dans les meilleurs taux de réactivité des statistiques relatives aux appels téléphoniques et dans le nombre réduit des plaintes reçues au sujet du service.</w:t>
      </w:r>
      <w:r w:rsidR="004F3E42" w:rsidRPr="002D02F3">
        <w:t xml:space="preserve"> </w:t>
      </w:r>
      <w:r w:rsidR="0010442A" w:rsidRPr="002D02F3">
        <w:t xml:space="preserve"> </w:t>
      </w:r>
      <w:r w:rsidRPr="002D02F3">
        <w:t>Les valeurs essentielles</w:t>
      </w:r>
      <w:r w:rsidR="00A20444" w:rsidRPr="002D02F3">
        <w:t xml:space="preserve"> du PRS</w:t>
      </w:r>
      <w:r w:rsidRPr="002D02F3">
        <w:t xml:space="preserve"> ont montré qu</w:t>
      </w:r>
      <w:r w:rsidR="00A20444" w:rsidRPr="002D02F3">
        <w:t>’</w:t>
      </w:r>
      <w:r w:rsidRPr="002D02F3">
        <w:t>un changement de culture était en cours, le pourcentage des perceptions positives par le personnel de l</w:t>
      </w:r>
      <w:r w:rsidR="00A20444" w:rsidRPr="002D02F3">
        <w:t>’</w:t>
      </w:r>
      <w:r w:rsidRPr="002D02F3">
        <w:t>OMPI de l</w:t>
      </w:r>
      <w:r w:rsidR="00A20444" w:rsidRPr="002D02F3">
        <w:t>’</w:t>
      </w:r>
      <w:r w:rsidRPr="002D02F3">
        <w:t>orientation des services de l</w:t>
      </w:r>
      <w:r w:rsidR="00A20444" w:rsidRPr="002D02F3">
        <w:t>’</w:t>
      </w:r>
      <w:r w:rsidRPr="002D02F3">
        <w:t>OMPI passant de 53</w:t>
      </w:r>
      <w:r w:rsidR="007E442D" w:rsidRPr="002D02F3">
        <w:t>%</w:t>
      </w:r>
      <w:r w:rsidRPr="002D02F3">
        <w:t xml:space="preserve"> en 2011 à 61</w:t>
      </w:r>
      <w:r w:rsidR="007E442D" w:rsidRPr="002D02F3">
        <w:t>%</w:t>
      </w:r>
      <w:r w:rsidRPr="002D02F3">
        <w:t xml:space="preserve"> en 2012.</w:t>
      </w:r>
    </w:p>
    <w:p w:rsidR="00D42474" w:rsidRDefault="00D42474" w:rsidP="001A5BF9">
      <w:pPr>
        <w:autoSpaceDE w:val="0"/>
        <w:autoSpaceDN w:val="0"/>
        <w:adjustRightInd w:val="0"/>
        <w:rPr>
          <w:rFonts w:eastAsia="SimSun"/>
          <w:iCs/>
          <w:szCs w:val="22"/>
        </w:rPr>
      </w:pPr>
    </w:p>
    <w:p w:rsidR="00D42474" w:rsidRDefault="00D42474" w:rsidP="001A5BF9">
      <w:pPr>
        <w:autoSpaceDE w:val="0"/>
        <w:autoSpaceDN w:val="0"/>
        <w:adjustRightInd w:val="0"/>
        <w:rPr>
          <w:rFonts w:eastAsia="SimSun"/>
          <w:iCs/>
          <w:szCs w:val="22"/>
        </w:rPr>
      </w:pPr>
    </w:p>
    <w:p w:rsidR="00D42474" w:rsidRDefault="00784E52" w:rsidP="001A5BF9">
      <w:pPr>
        <w:keepNext/>
        <w:keepLines/>
        <w:jc w:val="both"/>
      </w:pPr>
      <w:r w:rsidRPr="002D02F3">
        <w:rPr>
          <w:sz w:val="22"/>
        </w:rPr>
        <w:t>MISE EN ŒUVRE DU PLAN D</w:t>
      </w:r>
      <w:r w:rsidR="00A20444" w:rsidRPr="002D02F3">
        <w:rPr>
          <w:sz w:val="22"/>
        </w:rPr>
        <w:t>’</w:t>
      </w:r>
      <w:r w:rsidRPr="002D02F3">
        <w:rPr>
          <w:sz w:val="22"/>
        </w:rPr>
        <w:t>ACTION POUR LE DÉVELOPPEMENT</w:t>
      </w:r>
    </w:p>
    <w:p w:rsidR="00D42474" w:rsidRDefault="00D42474" w:rsidP="001A5BF9">
      <w:pPr>
        <w:keepNext/>
        <w:keepLines/>
        <w:jc w:val="both"/>
        <w:rPr>
          <w:rFonts w:eastAsia="SimSun" w:cs="Arial"/>
          <w:szCs w:val="20"/>
        </w:rPr>
      </w:pPr>
    </w:p>
    <w:p w:rsidR="00D42474" w:rsidRDefault="00784E52" w:rsidP="001A5BF9">
      <w:pPr>
        <w:numPr>
          <w:ilvl w:val="0"/>
          <w:numId w:val="52"/>
        </w:numPr>
        <w:autoSpaceDE w:val="0"/>
        <w:autoSpaceDN w:val="0"/>
        <w:adjustRightInd w:val="0"/>
        <w:jc w:val="both"/>
        <w:rPr>
          <w:rFonts w:eastAsia="SimSun"/>
          <w:szCs w:val="20"/>
        </w:rPr>
      </w:pPr>
      <w:r w:rsidRPr="002D02F3">
        <w:t>L</w:t>
      </w:r>
      <w:r w:rsidR="00A20444" w:rsidRPr="002D02F3">
        <w:t>’</w:t>
      </w:r>
      <w:r w:rsidRPr="002D02F3">
        <w:t>élaboration, la planification et la mise en œuvre des activités menées au titre du programme 19 se sont appuyées sur les recommandations pertinentes du Plan d</w:t>
      </w:r>
      <w:r w:rsidR="00A20444" w:rsidRPr="002D02F3">
        <w:t>’</w:t>
      </w:r>
      <w:r w:rsidRPr="002D02F3">
        <w:t>action pour le développement.</w:t>
      </w:r>
      <w:r w:rsidR="004F3E42" w:rsidRPr="002D02F3">
        <w:t xml:space="preserve"> </w:t>
      </w:r>
      <w:r w:rsidR="0010442A" w:rsidRPr="002D02F3">
        <w:t xml:space="preserve"> </w:t>
      </w:r>
      <w:r w:rsidRPr="002D02F3">
        <w:t>Des activités ont été spécialement créées pour sensibiliser le grand public dans les pays en développement et</w:t>
      </w:r>
      <w:r w:rsidR="00A20444" w:rsidRPr="002D02F3">
        <w:t xml:space="preserve"> les PMA</w:t>
      </w:r>
      <w:r w:rsidRPr="002D02F3">
        <w:t xml:space="preserve"> à l</w:t>
      </w:r>
      <w:r w:rsidR="00A20444" w:rsidRPr="002D02F3">
        <w:t>’</w:t>
      </w:r>
      <w:r w:rsidRPr="002D02F3">
        <w:t>importance et aux avantages du système des droits de propriété intellectuelle.</w:t>
      </w:r>
      <w:r w:rsidR="004F3E42" w:rsidRPr="002D02F3">
        <w:t xml:space="preserve"> </w:t>
      </w:r>
      <w:r w:rsidR="0010442A" w:rsidRPr="002D02F3">
        <w:t xml:space="preserve"> </w:t>
      </w:r>
      <w:r w:rsidRPr="002D02F3">
        <w:t>Le programme 19 a continué de construire la base de données d</w:t>
      </w:r>
      <w:r w:rsidR="00A20444" w:rsidRPr="002D02F3">
        <w:t>’</w:t>
      </w:r>
      <w:r w:rsidRPr="002D02F3">
        <w:t xml:space="preserve">études de cas </w:t>
      </w:r>
      <w:r w:rsidRPr="002D02F3">
        <w:rPr>
          <w:i/>
        </w:rPr>
        <w:t>IP </w:t>
      </w:r>
      <w:proofErr w:type="spellStart"/>
      <w:r w:rsidRPr="002D02F3">
        <w:rPr>
          <w:i/>
        </w:rPr>
        <w:t>Advantage</w:t>
      </w:r>
      <w:proofErr w:type="spellEnd"/>
      <w:r w:rsidRPr="002D02F3">
        <w:t>, initiative du Plan d</w:t>
      </w:r>
      <w:r w:rsidR="00A20444" w:rsidRPr="002D02F3">
        <w:t>’</w:t>
      </w:r>
      <w:r w:rsidRPr="002D02F3">
        <w:t>action pour le développement approuvée par</w:t>
      </w:r>
      <w:r w:rsidR="00A20444" w:rsidRPr="002D02F3">
        <w:t xml:space="preserve"> le CDI</w:t>
      </w:r>
      <w:r w:rsidRPr="002D02F3">
        <w:t>P, qui a fait l</w:t>
      </w:r>
      <w:r w:rsidR="00A20444" w:rsidRPr="002D02F3">
        <w:t>’</w:t>
      </w:r>
      <w:r w:rsidRPr="002D02F3">
        <w:t>objet de 312 000 visites en 2012</w:t>
      </w:r>
      <w:r w:rsidR="002D6F2A" w:rsidRPr="002D02F3">
        <w:noBreakHyphen/>
      </w:r>
      <w:r w:rsidRPr="002D02F3">
        <w:t>2013 et a fourni un appui sous la forme d</w:t>
      </w:r>
      <w:r w:rsidR="00A20444" w:rsidRPr="002D02F3">
        <w:t>’</w:t>
      </w:r>
      <w:r w:rsidRPr="002D02F3">
        <w:t>éditoriaux, de dessins, de vidéos, de sites</w:t>
      </w:r>
      <w:r w:rsidR="0010442A" w:rsidRPr="002D02F3">
        <w:t> </w:t>
      </w:r>
      <w:r w:rsidRPr="002D02F3">
        <w:t>Web et d</w:t>
      </w:r>
      <w:r w:rsidR="00A20444" w:rsidRPr="002D02F3">
        <w:t>’</w:t>
      </w:r>
      <w:r w:rsidRPr="002D02F3">
        <w:t>autres moyens de communication à de nombreux produits liés au Plan d</w:t>
      </w:r>
      <w:r w:rsidR="00A20444" w:rsidRPr="002D02F3">
        <w:t>’</w:t>
      </w:r>
      <w:r w:rsidRPr="002D02F3">
        <w:t>action pour le développement et produits d</w:t>
      </w:r>
      <w:r w:rsidR="00A20444" w:rsidRPr="002D02F3">
        <w:t>’</w:t>
      </w:r>
      <w:r w:rsidRPr="002D02F3">
        <w:t>autres programmes de l</w:t>
      </w:r>
      <w:r w:rsidR="00A20444" w:rsidRPr="002D02F3">
        <w:t>’</w:t>
      </w:r>
      <w:r w:rsidRPr="002D02F3">
        <w:t>Organisation.</w:t>
      </w:r>
    </w:p>
    <w:p w:rsidR="00D42474" w:rsidRDefault="00D42474" w:rsidP="001A5BF9">
      <w:pPr>
        <w:rPr>
          <w:sz w:val="22"/>
        </w:rPr>
      </w:pPr>
    </w:p>
    <w:p w:rsidR="00D42474" w:rsidRDefault="00D42474" w:rsidP="001A5BF9">
      <w:pPr>
        <w:rPr>
          <w:sz w:val="22"/>
        </w:rPr>
      </w:pPr>
    </w:p>
    <w:p w:rsidR="00D42474" w:rsidRDefault="00C82EE5" w:rsidP="001A5BF9">
      <w:pPr>
        <w:rPr>
          <w:rFonts w:cs="Arial"/>
          <w:szCs w:val="22"/>
        </w:rPr>
      </w:pPr>
      <w:r w:rsidRPr="00486AEA">
        <w:rPr>
          <w:sz w:val="22"/>
        </w:rPr>
        <w:t>DONNÉES RELATIVES À L</w:t>
      </w:r>
      <w:r w:rsidR="00A20444" w:rsidRPr="00486AEA">
        <w:rPr>
          <w:sz w:val="22"/>
        </w:rPr>
        <w:t>’</w:t>
      </w:r>
      <w:r w:rsidRPr="00486AEA">
        <w:rPr>
          <w:sz w:val="22"/>
        </w:rPr>
        <w:t>EXÉCUTION</w:t>
      </w:r>
    </w:p>
    <w:p w:rsidR="00C82EE5" w:rsidRPr="005C7CCE" w:rsidRDefault="00C82EE5" w:rsidP="001A5BF9">
      <w:pPr>
        <w:rPr>
          <w:rFonts w:cs="Arial"/>
          <w:szCs w:val="22"/>
        </w:rPr>
      </w:pPr>
    </w:p>
    <w:tbl>
      <w:tblPr>
        <w:tblW w:w="4961"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1"/>
        <w:gridCol w:w="2836"/>
        <w:gridCol w:w="1274"/>
        <w:gridCol w:w="2551"/>
        <w:gridCol w:w="1274"/>
      </w:tblGrid>
      <w:tr w:rsidR="00C82EE5" w:rsidRPr="002D02F3" w:rsidTr="00EA3FF8">
        <w:trPr>
          <w:cantSplit/>
          <w:trHeight w:val="435"/>
        </w:trPr>
        <w:tc>
          <w:tcPr>
            <w:tcW w:w="5000" w:type="pct"/>
            <w:gridSpan w:val="5"/>
            <w:tcBorders>
              <w:top w:val="single" w:sz="4" w:space="0" w:color="auto"/>
              <w:bottom w:val="single" w:sz="4" w:space="0" w:color="auto"/>
            </w:tcBorders>
            <w:shd w:val="clear" w:color="auto" w:fill="CCFFFF"/>
            <w:vAlign w:val="center"/>
          </w:tcPr>
          <w:p w:rsidR="00C82EE5" w:rsidRPr="002D02F3" w:rsidRDefault="00C82EE5" w:rsidP="001A5BF9">
            <w:pPr>
              <w:keepNext/>
              <w:keepLines/>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Communication plus efficace avec le grand public concernant la propriété intellectuelle et le rôle de l</w:t>
            </w:r>
            <w:r w:rsidR="00A20444" w:rsidRPr="002D02F3">
              <w:rPr>
                <w:sz w:val="16"/>
              </w:rPr>
              <w:t>’</w:t>
            </w:r>
            <w:r w:rsidRPr="002D02F3">
              <w:rPr>
                <w:sz w:val="16"/>
              </w:rPr>
              <w:t>OMPI</w:t>
            </w:r>
          </w:p>
        </w:tc>
      </w:tr>
      <w:tr w:rsidR="00C82EE5" w:rsidRPr="002D02F3" w:rsidTr="00EA3FF8">
        <w:trPr>
          <w:cantSplit/>
        </w:trPr>
        <w:tc>
          <w:tcPr>
            <w:tcW w:w="822" w:type="pct"/>
            <w:tcBorders>
              <w:top w:val="single" w:sz="4" w:space="0" w:color="auto"/>
            </w:tcBorders>
            <w:vAlign w:val="center"/>
          </w:tcPr>
          <w:p w:rsidR="00C82EE5" w:rsidRPr="002D02F3" w:rsidRDefault="00C82EE5" w:rsidP="00EA3FF8">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1493" w:type="pct"/>
            <w:tcBorders>
              <w:top w:val="single" w:sz="4" w:space="0" w:color="auto"/>
            </w:tcBorders>
            <w:shd w:val="clear" w:color="auto" w:fill="auto"/>
            <w:vAlign w:val="center"/>
          </w:tcPr>
          <w:p w:rsidR="00C82EE5" w:rsidRPr="002D02F3" w:rsidRDefault="00C82EE5" w:rsidP="00EA3FF8">
            <w:pPr>
              <w:rPr>
                <w:rFonts w:cs="Arial"/>
                <w:b/>
                <w:bCs/>
                <w:sz w:val="16"/>
                <w:szCs w:val="16"/>
              </w:rPr>
            </w:pPr>
            <w:r w:rsidRPr="002D02F3">
              <w:rPr>
                <w:b/>
                <w:sz w:val="16"/>
              </w:rPr>
              <w:t>Niveaux de référence</w:t>
            </w:r>
          </w:p>
        </w:tc>
        <w:tc>
          <w:tcPr>
            <w:tcW w:w="671" w:type="pct"/>
            <w:tcBorders>
              <w:top w:val="single" w:sz="4" w:space="0" w:color="auto"/>
            </w:tcBorders>
            <w:tcMar>
              <w:top w:w="110" w:type="dxa"/>
            </w:tcMar>
            <w:vAlign w:val="center"/>
          </w:tcPr>
          <w:p w:rsidR="00C82EE5" w:rsidRPr="002D02F3" w:rsidRDefault="00C82EE5" w:rsidP="00EA3FF8">
            <w:pPr>
              <w:rPr>
                <w:rFonts w:cs="Arial"/>
                <w:b/>
                <w:bCs/>
                <w:sz w:val="16"/>
                <w:szCs w:val="16"/>
              </w:rPr>
            </w:pPr>
            <w:r w:rsidRPr="002D02F3">
              <w:rPr>
                <w:b/>
                <w:sz w:val="16"/>
              </w:rPr>
              <w:t>Objectifs visés</w:t>
            </w:r>
          </w:p>
        </w:tc>
        <w:tc>
          <w:tcPr>
            <w:tcW w:w="1343" w:type="pct"/>
            <w:tcBorders>
              <w:top w:val="single" w:sz="4" w:space="0" w:color="auto"/>
            </w:tcBorders>
            <w:shd w:val="clear" w:color="auto" w:fill="FFFFFF"/>
            <w:tcMar>
              <w:top w:w="110" w:type="dxa"/>
            </w:tcMar>
            <w:vAlign w:val="center"/>
          </w:tcPr>
          <w:p w:rsidR="00C82EE5" w:rsidRPr="002D02F3" w:rsidRDefault="00C82EE5" w:rsidP="00EA3FF8">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72" w:type="pct"/>
            <w:tcBorders>
              <w:top w:val="single" w:sz="4" w:space="0" w:color="auto"/>
            </w:tcBorders>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EA3FF8">
        <w:trPr>
          <w:cantSplit/>
        </w:trPr>
        <w:tc>
          <w:tcPr>
            <w:tcW w:w="822" w:type="pct"/>
          </w:tcPr>
          <w:p w:rsidR="00C82EE5" w:rsidRPr="00EA3FF8" w:rsidRDefault="00C82EE5" w:rsidP="001A5BF9">
            <w:pPr>
              <w:keepNext/>
              <w:rPr>
                <w:rFonts w:cs="Arial"/>
                <w:sz w:val="16"/>
                <w:szCs w:val="16"/>
              </w:rPr>
            </w:pPr>
            <w:r w:rsidRPr="00EA3FF8">
              <w:rPr>
                <w:sz w:val="16"/>
              </w:rPr>
              <w:t>Nombre d</w:t>
            </w:r>
            <w:r w:rsidR="00A20444" w:rsidRPr="00EA3FF8">
              <w:rPr>
                <w:sz w:val="16"/>
              </w:rPr>
              <w:t>’</w:t>
            </w:r>
            <w:r w:rsidRPr="00EA3FF8">
              <w:rPr>
                <w:sz w:val="16"/>
              </w:rPr>
              <w:t>articles de presse sur les activités de l</w:t>
            </w:r>
            <w:r w:rsidR="00A20444" w:rsidRPr="00EA3FF8">
              <w:rPr>
                <w:sz w:val="16"/>
              </w:rPr>
              <w:t>’</w:t>
            </w:r>
            <w:r w:rsidRPr="00EA3FF8">
              <w:rPr>
                <w:sz w:val="16"/>
              </w:rPr>
              <w:t>OMPI</w:t>
            </w:r>
          </w:p>
        </w:tc>
        <w:tc>
          <w:tcPr>
            <w:tcW w:w="1493" w:type="pct"/>
            <w:shd w:val="clear" w:color="auto" w:fill="auto"/>
          </w:tcPr>
          <w:p w:rsidR="00D42474" w:rsidRDefault="00C82EE5" w:rsidP="001A5BF9">
            <w:pPr>
              <w:keepNext/>
              <w:rPr>
                <w:rFonts w:cs="Arial"/>
                <w:i/>
                <w:color w:val="002060"/>
                <w:sz w:val="16"/>
                <w:szCs w:val="16"/>
              </w:rPr>
            </w:pPr>
            <w:r w:rsidRPr="005C7CCE">
              <w:rPr>
                <w:i/>
                <w:color w:val="002060"/>
                <w:sz w:val="16"/>
              </w:rPr>
              <w:t xml:space="preserve">Niveau de référence actualisé fin 2011 : </w:t>
            </w:r>
            <w:r w:rsidR="0010442A" w:rsidRPr="005C7CCE">
              <w:rPr>
                <w:color w:val="002060"/>
                <w:sz w:val="16"/>
              </w:rPr>
              <w:t>7423</w:t>
            </w:r>
            <w:r w:rsidRPr="005C7CCE">
              <w:rPr>
                <w:color w:val="002060"/>
                <w:sz w:val="16"/>
              </w:rPr>
              <w:t xml:space="preserve"> (2010</w:t>
            </w:r>
            <w:r w:rsidR="002D6F2A" w:rsidRPr="005C7CCE">
              <w:rPr>
                <w:color w:val="002060"/>
                <w:sz w:val="16"/>
              </w:rPr>
              <w:noBreakHyphen/>
            </w:r>
            <w:r w:rsidRPr="005C7CCE">
              <w:rPr>
                <w:color w:val="002060"/>
                <w:sz w:val="16"/>
              </w:rPr>
              <w:t>2011)</w:t>
            </w:r>
          </w:p>
          <w:p w:rsidR="00D42474" w:rsidRDefault="00D42474" w:rsidP="001A5BF9">
            <w:pPr>
              <w:keepNext/>
              <w:rPr>
                <w:rFonts w:cs="Arial"/>
                <w:i/>
                <w:color w:val="002060"/>
                <w:sz w:val="8"/>
                <w:szCs w:val="8"/>
              </w:rPr>
            </w:pPr>
          </w:p>
          <w:p w:rsidR="00C82EE5" w:rsidRPr="005C7CCE" w:rsidRDefault="00C82EE5" w:rsidP="001A5BF9">
            <w:pPr>
              <w:keepNext/>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0010442A" w:rsidRPr="005C7CCE">
              <w:rPr>
                <w:sz w:val="16"/>
              </w:rPr>
              <w:t>6226</w:t>
            </w:r>
            <w:r w:rsidRPr="005C7CCE">
              <w:rPr>
                <w:sz w:val="16"/>
              </w:rPr>
              <w:t xml:space="preserve"> (2008</w:t>
            </w:r>
            <w:r w:rsidR="002D6F2A" w:rsidRPr="005C7CCE">
              <w:rPr>
                <w:sz w:val="16"/>
              </w:rPr>
              <w:noBreakHyphen/>
            </w:r>
            <w:r w:rsidRPr="005C7CCE">
              <w:rPr>
                <w:sz w:val="16"/>
              </w:rPr>
              <w:t>2009)</w:t>
            </w:r>
          </w:p>
        </w:tc>
        <w:tc>
          <w:tcPr>
            <w:tcW w:w="671" w:type="pct"/>
            <w:tcMar>
              <w:top w:w="110" w:type="dxa"/>
            </w:tcMar>
          </w:tcPr>
          <w:p w:rsidR="00C82EE5" w:rsidRPr="00EA3FF8" w:rsidRDefault="00C82EE5" w:rsidP="001A5BF9">
            <w:pPr>
              <w:keepNext/>
              <w:rPr>
                <w:rFonts w:cs="Arial"/>
                <w:sz w:val="16"/>
                <w:szCs w:val="16"/>
              </w:rPr>
            </w:pPr>
            <w:r w:rsidRPr="00EA3FF8">
              <w:rPr>
                <w:sz w:val="16"/>
              </w:rPr>
              <w:t>Augmentation de 5</w:t>
            </w:r>
            <w:r w:rsidR="007E442D" w:rsidRPr="00EA3FF8">
              <w:rPr>
                <w:sz w:val="16"/>
              </w:rPr>
              <w:t>%</w:t>
            </w:r>
          </w:p>
        </w:tc>
        <w:tc>
          <w:tcPr>
            <w:tcW w:w="1343" w:type="pct"/>
            <w:shd w:val="clear" w:color="auto" w:fill="FFFFFF"/>
            <w:tcMar>
              <w:top w:w="110" w:type="dxa"/>
            </w:tcMar>
          </w:tcPr>
          <w:p w:rsidR="00C82EE5" w:rsidRPr="005C7CCE" w:rsidRDefault="00C82EE5" w:rsidP="001A5BF9">
            <w:pPr>
              <w:keepNext/>
              <w:keepLines/>
              <w:rPr>
                <w:rFonts w:cs="Arial"/>
                <w:sz w:val="16"/>
                <w:szCs w:val="16"/>
                <w:highlight w:val="yellow"/>
              </w:rPr>
            </w:pPr>
            <w:r w:rsidRPr="005C7CCE">
              <w:rPr>
                <w:sz w:val="16"/>
              </w:rPr>
              <w:t>10 093 articles en 2012</w:t>
            </w:r>
            <w:r w:rsidR="002D6F2A" w:rsidRPr="005C7CCE">
              <w:rPr>
                <w:sz w:val="16"/>
              </w:rPr>
              <w:noBreakHyphen/>
            </w:r>
            <w:r w:rsidRPr="005C7CCE">
              <w:rPr>
                <w:sz w:val="16"/>
              </w:rPr>
              <w:t>2013;</w:t>
            </w:r>
            <w:r w:rsidR="004F3E42" w:rsidRPr="005C7CCE">
              <w:rPr>
                <w:sz w:val="16"/>
              </w:rPr>
              <w:t xml:space="preserve"> </w:t>
            </w:r>
            <w:r w:rsidR="0010442A" w:rsidRPr="005C7CCE">
              <w:rPr>
                <w:sz w:val="16"/>
              </w:rPr>
              <w:t xml:space="preserve"> </w:t>
            </w:r>
            <w:r w:rsidRPr="005C7CCE">
              <w:rPr>
                <w:sz w:val="16"/>
              </w:rPr>
              <w:t>une augmentation de 36</w:t>
            </w:r>
            <w:r w:rsidR="007E442D" w:rsidRPr="005C7CCE">
              <w:rPr>
                <w:sz w:val="16"/>
              </w:rPr>
              <w:t>%</w:t>
            </w:r>
            <w:r w:rsidRPr="005C7CCE">
              <w:rPr>
                <w:sz w:val="16"/>
              </w:rPr>
              <w:t xml:space="preserve"> sur 2010</w:t>
            </w:r>
            <w:r w:rsidR="002D6F2A" w:rsidRPr="005C7CCE">
              <w:rPr>
                <w:sz w:val="16"/>
              </w:rPr>
              <w:noBreakHyphen/>
            </w:r>
            <w:r w:rsidRPr="005C7CCE">
              <w:rPr>
                <w:sz w:val="16"/>
              </w:rPr>
              <w:t>2011.</w:t>
            </w:r>
          </w:p>
        </w:tc>
        <w:tc>
          <w:tcPr>
            <w:tcW w:w="672" w:type="pct"/>
            <w:tcMar>
              <w:top w:w="110" w:type="dxa"/>
            </w:tcMar>
          </w:tcPr>
          <w:p w:rsidR="00C82EE5" w:rsidRPr="005C7CCE" w:rsidRDefault="00C82EE5" w:rsidP="001A5BF9">
            <w:pPr>
              <w:keepNext/>
              <w:keepLines/>
              <w:jc w:val="center"/>
              <w:rPr>
                <w:rFonts w:cs="Arial"/>
                <w:color w:val="008000"/>
                <w:sz w:val="16"/>
                <w:szCs w:val="16"/>
              </w:rPr>
            </w:pPr>
            <w:r w:rsidRPr="00B470C6">
              <w:rPr>
                <w:color w:val="008000"/>
                <w:sz w:val="16"/>
              </w:rPr>
              <w:t>Objectif pleinement atteint</w:t>
            </w:r>
          </w:p>
        </w:tc>
      </w:tr>
      <w:tr w:rsidR="00C82EE5" w:rsidRPr="005C7CCE" w:rsidTr="00EA3FF8">
        <w:trPr>
          <w:cantSplit/>
        </w:trPr>
        <w:tc>
          <w:tcPr>
            <w:tcW w:w="822" w:type="pct"/>
          </w:tcPr>
          <w:p w:rsidR="00C82EE5" w:rsidRPr="00EA3FF8" w:rsidRDefault="00C82EE5" w:rsidP="001A5BF9">
            <w:pPr>
              <w:keepNext/>
              <w:rPr>
                <w:rFonts w:cs="Arial"/>
                <w:sz w:val="16"/>
                <w:szCs w:val="16"/>
              </w:rPr>
            </w:pPr>
            <w:r w:rsidRPr="00EA3FF8">
              <w:rPr>
                <w:sz w:val="16"/>
              </w:rPr>
              <w:t>Pourcentage des publications essentielles de l</w:t>
            </w:r>
            <w:r w:rsidR="00A20444" w:rsidRPr="00EA3FF8">
              <w:rPr>
                <w:sz w:val="16"/>
              </w:rPr>
              <w:t>’</w:t>
            </w:r>
            <w:r w:rsidRPr="00EA3FF8">
              <w:rPr>
                <w:sz w:val="16"/>
              </w:rPr>
              <w:t xml:space="preserve">OMPI disponibles dans toutes les langues officielles des </w:t>
            </w:r>
            <w:r w:rsidR="00A20444" w:rsidRPr="00EA3FF8">
              <w:rPr>
                <w:sz w:val="16"/>
              </w:rPr>
              <w:t>Nations Unies</w:t>
            </w:r>
          </w:p>
        </w:tc>
        <w:tc>
          <w:tcPr>
            <w:tcW w:w="1493" w:type="pct"/>
            <w:shd w:val="clear" w:color="auto" w:fill="auto"/>
          </w:tcPr>
          <w:p w:rsidR="00D42474" w:rsidRDefault="00C82EE5" w:rsidP="001A5BF9">
            <w:pPr>
              <w:keepNext/>
              <w:rPr>
                <w:rFonts w:cs="Arial"/>
                <w:i/>
                <w:color w:val="002060"/>
                <w:sz w:val="16"/>
                <w:szCs w:val="16"/>
              </w:rPr>
            </w:pPr>
            <w:r w:rsidRPr="005C7CCE">
              <w:rPr>
                <w:i/>
                <w:color w:val="002060"/>
                <w:sz w:val="16"/>
              </w:rPr>
              <w:t xml:space="preserve">Niveau de référence actualisé fin 2011 : </w:t>
            </w:r>
            <w:r w:rsidRPr="005C7CCE">
              <w:rPr>
                <w:color w:val="002060"/>
                <w:sz w:val="16"/>
              </w:rPr>
              <w:t>63,8</w:t>
            </w:r>
            <w:r w:rsidR="007E442D" w:rsidRPr="005C7CCE">
              <w:rPr>
                <w:color w:val="002060"/>
                <w:sz w:val="16"/>
              </w:rPr>
              <w:t>%</w:t>
            </w:r>
          </w:p>
          <w:p w:rsidR="00D42474" w:rsidRDefault="00D42474" w:rsidP="001A5BF9">
            <w:pPr>
              <w:keepNext/>
              <w:rPr>
                <w:rFonts w:cs="Arial"/>
                <w:i/>
                <w:color w:val="002060"/>
                <w:sz w:val="8"/>
                <w:szCs w:val="8"/>
              </w:rPr>
            </w:pPr>
          </w:p>
          <w:p w:rsidR="00C82EE5" w:rsidRPr="005C7CCE" w:rsidRDefault="00C82EE5" w:rsidP="001A5BF9">
            <w:pPr>
              <w:keepNext/>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63,8</w:t>
            </w:r>
            <w:r w:rsidR="007E442D" w:rsidRPr="005C7CCE">
              <w:rPr>
                <w:sz w:val="16"/>
              </w:rPr>
              <w:t>%</w:t>
            </w:r>
          </w:p>
        </w:tc>
        <w:tc>
          <w:tcPr>
            <w:tcW w:w="671" w:type="pct"/>
            <w:tcMar>
              <w:top w:w="110" w:type="dxa"/>
            </w:tcMar>
          </w:tcPr>
          <w:p w:rsidR="00C82EE5" w:rsidRPr="00EA3FF8" w:rsidRDefault="00C82EE5" w:rsidP="001A5BF9">
            <w:pPr>
              <w:rPr>
                <w:rFonts w:cs="Arial"/>
                <w:sz w:val="16"/>
                <w:szCs w:val="16"/>
              </w:rPr>
            </w:pPr>
            <w:r w:rsidRPr="00EA3FF8">
              <w:rPr>
                <w:sz w:val="16"/>
              </w:rPr>
              <w:t>≥ 70</w:t>
            </w:r>
            <w:r w:rsidR="007E442D" w:rsidRPr="00EA3FF8">
              <w:rPr>
                <w:sz w:val="16"/>
              </w:rPr>
              <w:t>%</w:t>
            </w:r>
          </w:p>
        </w:tc>
        <w:tc>
          <w:tcPr>
            <w:tcW w:w="1343" w:type="pct"/>
            <w:shd w:val="clear" w:color="auto" w:fill="FFFFFF"/>
            <w:tcMar>
              <w:top w:w="110" w:type="dxa"/>
            </w:tcMar>
          </w:tcPr>
          <w:p w:rsidR="00C82EE5" w:rsidRPr="005C7CCE" w:rsidRDefault="00C82EE5" w:rsidP="001A5BF9">
            <w:pPr>
              <w:keepNext/>
              <w:keepLines/>
              <w:rPr>
                <w:rFonts w:cs="Arial"/>
                <w:b/>
                <w:bCs/>
                <w:sz w:val="16"/>
                <w:szCs w:val="16"/>
                <w:highlight w:val="yellow"/>
              </w:rPr>
            </w:pPr>
            <w:r w:rsidRPr="005C7CCE">
              <w:rPr>
                <w:sz w:val="16"/>
              </w:rPr>
              <w:t>La proportion de publications essentielles disponibles dans les six langues s</w:t>
            </w:r>
            <w:r w:rsidR="00A20444" w:rsidRPr="005C7CCE">
              <w:rPr>
                <w:sz w:val="16"/>
              </w:rPr>
              <w:t>’</w:t>
            </w:r>
            <w:r w:rsidRPr="005C7CCE">
              <w:rPr>
                <w:sz w:val="16"/>
              </w:rPr>
              <w:t>élevait à 71,2</w:t>
            </w:r>
            <w:r w:rsidR="007E442D" w:rsidRPr="005C7CCE">
              <w:rPr>
                <w:sz w:val="16"/>
              </w:rPr>
              <w:t>%</w:t>
            </w:r>
            <w:r w:rsidRPr="005C7CCE">
              <w:rPr>
                <w:sz w:val="16"/>
              </w:rPr>
              <w:t xml:space="preserve"> à la fin de 2012.</w:t>
            </w:r>
            <w:r w:rsidR="0010442A" w:rsidRPr="005C7CCE">
              <w:rPr>
                <w:sz w:val="16"/>
              </w:rPr>
              <w:t xml:space="preserve"> </w:t>
            </w:r>
            <w:r w:rsidRPr="005C7CCE">
              <w:rPr>
                <w:sz w:val="16"/>
              </w:rPr>
              <w:t xml:space="preserve"> L</w:t>
            </w:r>
            <w:r w:rsidR="00A20444" w:rsidRPr="005C7CCE">
              <w:rPr>
                <w:sz w:val="16"/>
              </w:rPr>
              <w:t>’</w:t>
            </w:r>
            <w:r w:rsidRPr="005C7CCE">
              <w:rPr>
                <w:sz w:val="16"/>
              </w:rPr>
              <w:t>approche des “publications essentielles” a été remplacée en 2013 par la nouvelle politique linguistique.</w:t>
            </w:r>
          </w:p>
        </w:tc>
        <w:tc>
          <w:tcPr>
            <w:tcW w:w="672" w:type="pct"/>
            <w:tcMar>
              <w:top w:w="110" w:type="dxa"/>
            </w:tcMar>
          </w:tcPr>
          <w:p w:rsidR="00C82EE5" w:rsidRPr="005C7CCE" w:rsidRDefault="00C82EE5" w:rsidP="001A5BF9">
            <w:pPr>
              <w:keepNext/>
              <w:keepLines/>
              <w:jc w:val="center"/>
              <w:rPr>
                <w:rFonts w:cs="Arial"/>
                <w:color w:val="008000"/>
                <w:sz w:val="16"/>
                <w:szCs w:val="16"/>
              </w:rPr>
            </w:pPr>
            <w:r w:rsidRPr="00B470C6">
              <w:rPr>
                <w:color w:val="008000"/>
                <w:sz w:val="16"/>
              </w:rPr>
              <w:t>Objectif pleinement atteint</w:t>
            </w:r>
          </w:p>
        </w:tc>
      </w:tr>
      <w:tr w:rsidR="00C82EE5" w:rsidRPr="005C7CCE" w:rsidTr="00EA3FF8">
        <w:trPr>
          <w:cantSplit/>
        </w:trPr>
        <w:tc>
          <w:tcPr>
            <w:tcW w:w="822" w:type="pct"/>
          </w:tcPr>
          <w:p w:rsidR="00C82EE5" w:rsidRPr="00EA3FF8" w:rsidRDefault="00C82EE5" w:rsidP="001A5BF9">
            <w:pPr>
              <w:keepNext/>
              <w:rPr>
                <w:rFonts w:cs="Arial"/>
                <w:sz w:val="16"/>
                <w:szCs w:val="16"/>
              </w:rPr>
            </w:pPr>
            <w:r w:rsidRPr="00EA3FF8">
              <w:rPr>
                <w:sz w:val="16"/>
              </w:rPr>
              <w:t>Nombre moyen de visionnements par vidéo de l</w:t>
            </w:r>
            <w:r w:rsidR="00A20444" w:rsidRPr="00EA3FF8">
              <w:rPr>
                <w:sz w:val="16"/>
              </w:rPr>
              <w:t>’</w:t>
            </w:r>
            <w:r w:rsidRPr="00EA3FF8">
              <w:rPr>
                <w:sz w:val="16"/>
              </w:rPr>
              <w:t xml:space="preserve">OMPI sur YouTube </w:t>
            </w:r>
          </w:p>
        </w:tc>
        <w:tc>
          <w:tcPr>
            <w:tcW w:w="1493" w:type="pct"/>
            <w:shd w:val="clear" w:color="auto" w:fill="auto"/>
          </w:tcPr>
          <w:p w:rsidR="00D42474" w:rsidRDefault="00C82EE5" w:rsidP="001A5BF9">
            <w:pPr>
              <w:keepNext/>
              <w:rPr>
                <w:rFonts w:cs="Arial"/>
                <w:i/>
                <w:color w:val="002060"/>
                <w:sz w:val="16"/>
                <w:szCs w:val="16"/>
              </w:rPr>
            </w:pPr>
            <w:r w:rsidRPr="005C7CCE">
              <w:rPr>
                <w:i/>
                <w:color w:val="002060"/>
                <w:sz w:val="16"/>
              </w:rPr>
              <w:t xml:space="preserve">Niveau de référence actualisé fin 2011 : </w:t>
            </w:r>
            <w:r w:rsidR="0010442A" w:rsidRPr="005C7CCE">
              <w:rPr>
                <w:color w:val="002060"/>
                <w:sz w:val="16"/>
              </w:rPr>
              <w:t>1618</w:t>
            </w:r>
            <w:r w:rsidRPr="005C7CCE">
              <w:rPr>
                <w:color w:val="002060"/>
                <w:sz w:val="16"/>
              </w:rPr>
              <w:t> par vidéo (du 26 avril 2010 au 31 décembre 2011)</w:t>
            </w:r>
          </w:p>
          <w:p w:rsidR="00D42474" w:rsidRDefault="00D42474" w:rsidP="001A5BF9">
            <w:pPr>
              <w:keepNext/>
              <w:rPr>
                <w:rFonts w:cs="Arial"/>
                <w:i/>
                <w:color w:val="002060"/>
                <w:sz w:val="8"/>
                <w:szCs w:val="8"/>
              </w:rPr>
            </w:pPr>
          </w:p>
          <w:p w:rsidR="00C82EE5" w:rsidRPr="005C7CCE" w:rsidRDefault="00C82EE5" w:rsidP="001A5BF9">
            <w:pPr>
              <w:keepNext/>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Pr="005C7CCE">
              <w:rPr>
                <w:sz w:val="16"/>
              </w:rPr>
              <w:t>414 par vidéo (du 26 avril au 31 décembre 2010)</w:t>
            </w:r>
          </w:p>
        </w:tc>
        <w:tc>
          <w:tcPr>
            <w:tcW w:w="671" w:type="pct"/>
            <w:tcMar>
              <w:top w:w="110" w:type="dxa"/>
            </w:tcMar>
          </w:tcPr>
          <w:p w:rsidR="00C82EE5" w:rsidRPr="00EA3FF8" w:rsidRDefault="00C82EE5" w:rsidP="001A5BF9">
            <w:pPr>
              <w:rPr>
                <w:rFonts w:cs="Arial"/>
                <w:sz w:val="16"/>
                <w:szCs w:val="16"/>
              </w:rPr>
            </w:pPr>
            <w:r w:rsidRPr="00EA3FF8">
              <w:rPr>
                <w:sz w:val="16"/>
              </w:rPr>
              <w:t>Augmentation de 10</w:t>
            </w:r>
            <w:r w:rsidR="007E442D" w:rsidRPr="00EA3FF8">
              <w:rPr>
                <w:sz w:val="16"/>
              </w:rPr>
              <w:t>%</w:t>
            </w:r>
            <w:r w:rsidRPr="00EA3FF8">
              <w:rPr>
                <w:sz w:val="16"/>
              </w:rPr>
              <w:t xml:space="preserve"> </w:t>
            </w:r>
          </w:p>
        </w:tc>
        <w:tc>
          <w:tcPr>
            <w:tcW w:w="1343" w:type="pct"/>
            <w:shd w:val="clear" w:color="auto" w:fill="FFFFFF"/>
            <w:tcMar>
              <w:top w:w="110" w:type="dxa"/>
            </w:tcMar>
          </w:tcPr>
          <w:p w:rsidR="00C82EE5" w:rsidRPr="005C7CCE" w:rsidRDefault="00C82EE5" w:rsidP="001A5BF9">
            <w:pPr>
              <w:rPr>
                <w:rFonts w:cs="Arial"/>
                <w:sz w:val="16"/>
                <w:szCs w:val="16"/>
                <w:highlight w:val="yellow"/>
              </w:rPr>
            </w:pPr>
            <w:r w:rsidRPr="005C7CCE">
              <w:rPr>
                <w:sz w:val="16"/>
              </w:rPr>
              <w:t xml:space="preserve">Au total, </w:t>
            </w:r>
            <w:r w:rsidR="0010442A" w:rsidRPr="005C7CCE">
              <w:rPr>
                <w:sz w:val="16"/>
              </w:rPr>
              <w:t>4221</w:t>
            </w:r>
            <w:r w:rsidRPr="005C7CCE">
              <w:rPr>
                <w:sz w:val="16"/>
              </w:rPr>
              <w:t> 312 visionnements pour 226 vidéos en 2012</w:t>
            </w:r>
            <w:r w:rsidR="002D6F2A" w:rsidRPr="005C7CCE">
              <w:rPr>
                <w:sz w:val="16"/>
              </w:rPr>
              <w:noBreakHyphen/>
            </w:r>
            <w:r w:rsidRPr="005C7CCE">
              <w:rPr>
                <w:sz w:val="16"/>
              </w:rPr>
              <w:t xml:space="preserve">2013, soit une moyenne de 18 678 visionnements par vidéo ou une augmentation de plus de </w:t>
            </w:r>
            <w:r w:rsidR="0010442A" w:rsidRPr="005C7CCE">
              <w:rPr>
                <w:sz w:val="16"/>
              </w:rPr>
              <w:t>1000</w:t>
            </w:r>
            <w:r w:rsidR="007E442D" w:rsidRPr="005C7CCE">
              <w:rPr>
                <w:sz w:val="16"/>
              </w:rPr>
              <w:t>%</w:t>
            </w:r>
            <w:r w:rsidRPr="005C7CCE">
              <w:rPr>
                <w:sz w:val="16"/>
              </w:rPr>
              <w:t xml:space="preserve"> par rapport à l</w:t>
            </w:r>
            <w:r w:rsidR="00A20444" w:rsidRPr="005C7CCE">
              <w:rPr>
                <w:sz w:val="16"/>
              </w:rPr>
              <w:t>’</w:t>
            </w:r>
            <w:r w:rsidRPr="005C7CCE">
              <w:rPr>
                <w:sz w:val="16"/>
              </w:rPr>
              <w:t>exercice biennal précédent.</w:t>
            </w:r>
          </w:p>
        </w:tc>
        <w:tc>
          <w:tcPr>
            <w:tcW w:w="672" w:type="pct"/>
            <w:tcMar>
              <w:top w:w="110" w:type="dxa"/>
            </w:tcMar>
          </w:tcPr>
          <w:p w:rsidR="00C82EE5" w:rsidRPr="005C7CCE" w:rsidRDefault="00C82EE5" w:rsidP="001A5BF9">
            <w:pPr>
              <w:keepNext/>
              <w:keepLines/>
              <w:jc w:val="center"/>
              <w:rPr>
                <w:rFonts w:cs="Arial"/>
                <w:color w:val="008000"/>
                <w:sz w:val="16"/>
                <w:szCs w:val="16"/>
              </w:rPr>
            </w:pPr>
            <w:r w:rsidRPr="00B470C6">
              <w:rPr>
                <w:color w:val="008000"/>
                <w:sz w:val="16"/>
              </w:rPr>
              <w:t>Objectif pleinement atteint</w:t>
            </w:r>
          </w:p>
        </w:tc>
      </w:tr>
      <w:tr w:rsidR="00C82EE5" w:rsidRPr="005C7CCE" w:rsidTr="00EA3FF8">
        <w:trPr>
          <w:cantSplit/>
        </w:trPr>
        <w:tc>
          <w:tcPr>
            <w:tcW w:w="822" w:type="pct"/>
          </w:tcPr>
          <w:p w:rsidR="00C82EE5" w:rsidRPr="00EA3FF8" w:rsidRDefault="00C82EE5" w:rsidP="001A5BF9">
            <w:pPr>
              <w:rPr>
                <w:rFonts w:cs="Arial"/>
                <w:sz w:val="16"/>
                <w:szCs w:val="16"/>
              </w:rPr>
            </w:pPr>
            <w:r w:rsidRPr="00EA3FF8">
              <w:rPr>
                <w:sz w:val="16"/>
              </w:rPr>
              <w:t>Nombre moyen de téléchargements par publication de l</w:t>
            </w:r>
            <w:r w:rsidR="00A20444" w:rsidRPr="00EA3FF8">
              <w:rPr>
                <w:sz w:val="16"/>
              </w:rPr>
              <w:t>’</w:t>
            </w:r>
            <w:r w:rsidRPr="00EA3FF8">
              <w:rPr>
                <w:sz w:val="16"/>
              </w:rPr>
              <w:t xml:space="preserve">OMPI </w:t>
            </w:r>
          </w:p>
        </w:tc>
        <w:tc>
          <w:tcPr>
            <w:tcW w:w="1493" w:type="pct"/>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à déterminer (outils analytiques pas encore mis en place)</w:t>
            </w:r>
          </w:p>
          <w:p w:rsidR="00D42474" w:rsidRDefault="00D42474" w:rsidP="001A5BF9">
            <w:pPr>
              <w:rPr>
                <w:rFonts w:cs="Arial"/>
                <w:i/>
                <w:color w:val="002060"/>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Pr="005C7CCE">
              <w:rPr>
                <w:sz w:val="16"/>
              </w:rPr>
              <w:t>à déterminer</w:t>
            </w:r>
          </w:p>
        </w:tc>
        <w:tc>
          <w:tcPr>
            <w:tcW w:w="671" w:type="pct"/>
            <w:tcMar>
              <w:top w:w="110" w:type="dxa"/>
            </w:tcMar>
          </w:tcPr>
          <w:p w:rsidR="00C82EE5" w:rsidRPr="00EA3FF8" w:rsidRDefault="00C82EE5" w:rsidP="001A5BF9">
            <w:pPr>
              <w:rPr>
                <w:rFonts w:cs="Arial"/>
                <w:sz w:val="16"/>
                <w:szCs w:val="16"/>
              </w:rPr>
            </w:pPr>
            <w:r w:rsidRPr="00EA3FF8">
              <w:rPr>
                <w:sz w:val="16"/>
              </w:rPr>
              <w:t>Augmentation de 5</w:t>
            </w:r>
            <w:r w:rsidR="007E442D" w:rsidRPr="00EA3FF8">
              <w:rPr>
                <w:sz w:val="16"/>
              </w:rPr>
              <w:t>%</w:t>
            </w:r>
            <w:r w:rsidRPr="00EA3FF8">
              <w:rPr>
                <w:sz w:val="16"/>
              </w:rPr>
              <w:t xml:space="preserve"> </w:t>
            </w:r>
          </w:p>
        </w:tc>
        <w:tc>
          <w:tcPr>
            <w:tcW w:w="1343" w:type="pct"/>
            <w:shd w:val="clear" w:color="auto" w:fill="FFFFFF"/>
            <w:tcMar>
              <w:top w:w="110" w:type="dxa"/>
            </w:tcMar>
          </w:tcPr>
          <w:p w:rsidR="00C82EE5" w:rsidRPr="005C7CCE" w:rsidRDefault="00C82EE5" w:rsidP="001A5BF9">
            <w:pPr>
              <w:rPr>
                <w:rFonts w:cs="Arial"/>
                <w:sz w:val="16"/>
                <w:szCs w:val="16"/>
                <w:highlight w:val="yellow"/>
              </w:rPr>
            </w:pPr>
            <w:r w:rsidRPr="005C7CCE">
              <w:rPr>
                <w:sz w:val="16"/>
                <w:szCs w:val="16"/>
              </w:rPr>
              <w:t>Les consultations de publications de l</w:t>
            </w:r>
            <w:r w:rsidR="00A20444" w:rsidRPr="005C7CCE">
              <w:rPr>
                <w:sz w:val="16"/>
                <w:szCs w:val="16"/>
              </w:rPr>
              <w:t>’</w:t>
            </w:r>
            <w:r w:rsidRPr="005C7CCE">
              <w:rPr>
                <w:sz w:val="16"/>
                <w:szCs w:val="16"/>
              </w:rPr>
              <w:t xml:space="preserve">OMPI sur </w:t>
            </w:r>
            <w:proofErr w:type="spellStart"/>
            <w:r w:rsidRPr="005C7CCE">
              <w:rPr>
                <w:sz w:val="16"/>
                <w:szCs w:val="16"/>
              </w:rPr>
              <w:t>Scribd</w:t>
            </w:r>
            <w:proofErr w:type="spellEnd"/>
            <w:r w:rsidRPr="005C7CCE">
              <w:rPr>
                <w:sz w:val="16"/>
                <w:szCs w:val="16"/>
              </w:rPr>
              <w:t xml:space="preserve"> sont passées de 93 070 en 2012 à 255 771 en 2013, soit une augmentation annuelle de 174</w:t>
            </w:r>
            <w:r w:rsidR="007E442D" w:rsidRPr="005C7CCE">
              <w:rPr>
                <w:sz w:val="16"/>
                <w:szCs w:val="16"/>
              </w:rPr>
              <w:t>%</w:t>
            </w:r>
            <w:r w:rsidRPr="005C7CCE">
              <w:rPr>
                <w:sz w:val="16"/>
                <w:szCs w:val="16"/>
              </w:rPr>
              <w:t xml:space="preserve"> dans le cadre de l</w:t>
            </w:r>
            <w:r w:rsidR="00A20444" w:rsidRPr="005C7CCE">
              <w:rPr>
                <w:sz w:val="16"/>
                <w:szCs w:val="16"/>
              </w:rPr>
              <w:t>’</w:t>
            </w:r>
            <w:r w:rsidRPr="005C7CCE">
              <w:rPr>
                <w:sz w:val="16"/>
                <w:szCs w:val="16"/>
              </w:rPr>
              <w:t>exercice biennal.</w:t>
            </w:r>
          </w:p>
        </w:tc>
        <w:tc>
          <w:tcPr>
            <w:tcW w:w="672" w:type="pct"/>
            <w:tcMar>
              <w:top w:w="110" w:type="dxa"/>
            </w:tcMar>
          </w:tcPr>
          <w:p w:rsidR="00C82EE5" w:rsidRPr="005C7CCE" w:rsidRDefault="00C82EE5" w:rsidP="001A5BF9">
            <w:pPr>
              <w:keepNext/>
              <w:keepLines/>
              <w:jc w:val="center"/>
              <w:rPr>
                <w:rFonts w:cs="Arial"/>
                <w:color w:val="008000"/>
                <w:sz w:val="16"/>
                <w:szCs w:val="16"/>
              </w:rPr>
            </w:pPr>
            <w:r w:rsidRPr="00B470C6">
              <w:rPr>
                <w:color w:val="008000"/>
                <w:sz w:val="16"/>
              </w:rPr>
              <w:t>Objectif pleinement atteint</w:t>
            </w:r>
          </w:p>
        </w:tc>
      </w:tr>
      <w:tr w:rsidR="00C82EE5" w:rsidRPr="005C7CCE" w:rsidTr="00EA3FF8">
        <w:trPr>
          <w:cantSplit/>
        </w:trPr>
        <w:tc>
          <w:tcPr>
            <w:tcW w:w="822" w:type="pct"/>
          </w:tcPr>
          <w:p w:rsidR="00C82EE5" w:rsidRPr="00EA3FF8" w:rsidRDefault="00C82EE5" w:rsidP="001A5BF9">
            <w:pPr>
              <w:rPr>
                <w:rFonts w:cs="Arial"/>
                <w:sz w:val="16"/>
                <w:szCs w:val="16"/>
              </w:rPr>
            </w:pPr>
            <w:r w:rsidRPr="00EA3FF8">
              <w:rPr>
                <w:sz w:val="16"/>
              </w:rPr>
              <w:t xml:space="preserve">Nombre de pays signalant des manifestations et des activités liées à la Journée mondiale de la propriété intellectuelle </w:t>
            </w:r>
          </w:p>
        </w:tc>
        <w:tc>
          <w:tcPr>
            <w:tcW w:w="1493" w:type="pct"/>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activités organisées à l</w:t>
            </w:r>
            <w:r w:rsidR="00A20444" w:rsidRPr="005C7CCE">
              <w:rPr>
                <w:color w:val="002060"/>
                <w:sz w:val="16"/>
              </w:rPr>
              <w:t>’</w:t>
            </w:r>
            <w:r w:rsidRPr="005C7CCE">
              <w:rPr>
                <w:color w:val="002060"/>
                <w:sz w:val="16"/>
              </w:rPr>
              <w:t>occasion de la Journée mondiale de la propriété intellectuelle signalées par 132 pays (58 en 2010 et 74 en 2011)</w:t>
            </w:r>
          </w:p>
          <w:p w:rsidR="00D42474" w:rsidRDefault="00D42474" w:rsidP="001A5BF9">
            <w:pPr>
              <w:rPr>
                <w:rFonts w:cs="Arial"/>
                <w:i/>
                <w:color w:val="002060"/>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à déterminer</w:t>
            </w:r>
          </w:p>
        </w:tc>
        <w:tc>
          <w:tcPr>
            <w:tcW w:w="671" w:type="pct"/>
            <w:tcMar>
              <w:top w:w="110" w:type="dxa"/>
            </w:tcMar>
          </w:tcPr>
          <w:p w:rsidR="00C82EE5" w:rsidRPr="00EA3FF8" w:rsidRDefault="00C82EE5" w:rsidP="001A5BF9">
            <w:pPr>
              <w:rPr>
                <w:rFonts w:cs="Arial"/>
                <w:sz w:val="16"/>
                <w:szCs w:val="16"/>
              </w:rPr>
            </w:pPr>
            <w:r w:rsidRPr="00EA3FF8">
              <w:rPr>
                <w:sz w:val="16"/>
              </w:rPr>
              <w:t xml:space="preserve">≥ 75 pays </w:t>
            </w:r>
          </w:p>
        </w:tc>
        <w:tc>
          <w:tcPr>
            <w:tcW w:w="1343" w:type="pct"/>
            <w:shd w:val="clear" w:color="auto" w:fill="FFFFFF"/>
            <w:tcMar>
              <w:top w:w="110" w:type="dxa"/>
            </w:tcMar>
          </w:tcPr>
          <w:p w:rsidR="00D42474" w:rsidRDefault="00C82EE5" w:rsidP="001A5BF9">
            <w:pPr>
              <w:rPr>
                <w:rFonts w:cs="Arial"/>
                <w:sz w:val="16"/>
                <w:szCs w:val="16"/>
              </w:rPr>
            </w:pPr>
            <w:r w:rsidRPr="005C7CCE">
              <w:rPr>
                <w:sz w:val="16"/>
              </w:rPr>
              <w:t>76 pays ont fait part d</w:t>
            </w:r>
            <w:r w:rsidR="00A20444" w:rsidRPr="005C7CCE">
              <w:rPr>
                <w:sz w:val="16"/>
              </w:rPr>
              <w:t>’</w:t>
            </w:r>
            <w:r w:rsidRPr="005C7CCE">
              <w:rPr>
                <w:sz w:val="16"/>
              </w:rPr>
              <w:t>activités organisées à l</w:t>
            </w:r>
            <w:r w:rsidR="00A20444" w:rsidRPr="005C7CCE">
              <w:rPr>
                <w:sz w:val="16"/>
              </w:rPr>
              <w:t>’</w:t>
            </w:r>
            <w:r w:rsidRPr="005C7CCE">
              <w:rPr>
                <w:sz w:val="16"/>
              </w:rPr>
              <w:t>occasion de la Journée mondiale de la propriété intellectuelle en 2012.</w:t>
            </w:r>
          </w:p>
          <w:p w:rsidR="00D42474" w:rsidRDefault="00D42474" w:rsidP="001A5BF9">
            <w:pPr>
              <w:pStyle w:val="Paragraphedeliste"/>
              <w:ind w:left="360"/>
              <w:rPr>
                <w:rFonts w:cs="Arial"/>
                <w:sz w:val="16"/>
                <w:szCs w:val="16"/>
              </w:rPr>
            </w:pPr>
          </w:p>
          <w:p w:rsidR="00C82EE5" w:rsidRPr="005C7CCE" w:rsidRDefault="00C82EE5" w:rsidP="001A5BF9">
            <w:pPr>
              <w:rPr>
                <w:rFonts w:cs="Arial"/>
                <w:sz w:val="16"/>
                <w:szCs w:val="16"/>
                <w:highlight w:val="yellow"/>
              </w:rPr>
            </w:pPr>
            <w:r w:rsidRPr="005C7CCE">
              <w:rPr>
                <w:sz w:val="16"/>
              </w:rPr>
              <w:t>89 pays ont fait part d</w:t>
            </w:r>
            <w:r w:rsidR="00A20444" w:rsidRPr="005C7CCE">
              <w:rPr>
                <w:sz w:val="16"/>
              </w:rPr>
              <w:t>’</w:t>
            </w:r>
            <w:r w:rsidRPr="005C7CCE">
              <w:rPr>
                <w:sz w:val="16"/>
              </w:rPr>
              <w:t>activités organisées à l</w:t>
            </w:r>
            <w:r w:rsidR="00A20444" w:rsidRPr="005C7CCE">
              <w:rPr>
                <w:sz w:val="16"/>
              </w:rPr>
              <w:t>’</w:t>
            </w:r>
            <w:r w:rsidRPr="005C7CCE">
              <w:rPr>
                <w:sz w:val="16"/>
              </w:rPr>
              <w:t>occasion de la Journée mondiale de la propriété intellectuelle en 2013.</w:t>
            </w:r>
          </w:p>
        </w:tc>
        <w:tc>
          <w:tcPr>
            <w:tcW w:w="672" w:type="pct"/>
            <w:tcMar>
              <w:top w:w="110" w:type="dxa"/>
            </w:tcMar>
          </w:tcPr>
          <w:p w:rsidR="00C82EE5" w:rsidRPr="005C7CCE" w:rsidRDefault="00C82EE5" w:rsidP="001A5BF9">
            <w:pPr>
              <w:keepNext/>
              <w:keepLines/>
              <w:jc w:val="center"/>
              <w:rPr>
                <w:rFonts w:cs="Arial"/>
                <w:color w:val="008000"/>
                <w:sz w:val="16"/>
                <w:szCs w:val="16"/>
              </w:rPr>
            </w:pPr>
            <w:r w:rsidRPr="00B470C6">
              <w:rPr>
                <w:color w:val="008000"/>
                <w:sz w:val="16"/>
              </w:rPr>
              <w:t>Objectif pleinement atteint</w:t>
            </w:r>
          </w:p>
        </w:tc>
      </w:tr>
      <w:tr w:rsidR="00C82EE5" w:rsidRPr="005C7CCE" w:rsidTr="00EA3FF8">
        <w:trPr>
          <w:cantSplit/>
        </w:trPr>
        <w:tc>
          <w:tcPr>
            <w:tcW w:w="822" w:type="pct"/>
          </w:tcPr>
          <w:p w:rsidR="00C82EE5" w:rsidRPr="00EA3FF8" w:rsidRDefault="00C82EE5" w:rsidP="001A5BF9">
            <w:pPr>
              <w:rPr>
                <w:rFonts w:cs="Arial"/>
                <w:sz w:val="16"/>
                <w:szCs w:val="16"/>
              </w:rPr>
            </w:pPr>
            <w:r w:rsidRPr="00EA3FF8">
              <w:rPr>
                <w:sz w:val="16"/>
              </w:rPr>
              <w:t>Nombre de demandes externes de renseignements ayant reçu une réponse de la bibliothèque de l</w:t>
            </w:r>
            <w:r w:rsidR="00A20444" w:rsidRPr="00EA3FF8">
              <w:rPr>
                <w:sz w:val="16"/>
              </w:rPr>
              <w:t>’</w:t>
            </w:r>
            <w:r w:rsidRPr="00EA3FF8">
              <w:rPr>
                <w:sz w:val="16"/>
              </w:rPr>
              <w:t>OMPI</w:t>
            </w:r>
          </w:p>
        </w:tc>
        <w:tc>
          <w:tcPr>
            <w:tcW w:w="1493" w:type="pct"/>
            <w:shd w:val="clear" w:color="auto" w:fill="auto"/>
          </w:tcPr>
          <w:p w:rsidR="00D42474" w:rsidRDefault="00C82EE5" w:rsidP="001A5BF9">
            <w:pPr>
              <w:rPr>
                <w:rFonts w:cs="Arial"/>
                <w:color w:val="002060"/>
                <w:sz w:val="16"/>
                <w:szCs w:val="16"/>
              </w:rPr>
            </w:pPr>
            <w:r w:rsidRPr="005C7CCE">
              <w:rPr>
                <w:i/>
                <w:color w:val="002060"/>
                <w:sz w:val="16"/>
              </w:rPr>
              <w:t xml:space="preserve">Niveau de référence actualisé fin 2011 : </w:t>
            </w:r>
            <w:r w:rsidRPr="005C7CCE">
              <w:rPr>
                <w:color w:val="002060"/>
                <w:sz w:val="16"/>
              </w:rPr>
              <w:t>514 (2010</w:t>
            </w:r>
            <w:r w:rsidR="002D6F2A" w:rsidRPr="005C7CCE">
              <w:rPr>
                <w:color w:val="002060"/>
                <w:sz w:val="16"/>
              </w:rPr>
              <w:noBreakHyphen/>
            </w:r>
            <w:r w:rsidRPr="005C7CCE">
              <w:rPr>
                <w:color w:val="002060"/>
                <w:sz w:val="16"/>
              </w:rPr>
              <w:t>2011)</w:t>
            </w:r>
          </w:p>
          <w:p w:rsidR="00D42474" w:rsidRDefault="00D42474" w:rsidP="001A5BF9">
            <w:pPr>
              <w:rPr>
                <w:rFonts w:cs="Arial"/>
                <w:i/>
                <w:color w:val="002060"/>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br/>
            </w:r>
            <w:r w:rsidRPr="005C7CCE">
              <w:rPr>
                <w:sz w:val="16"/>
              </w:rPr>
              <w:t>270 (2008</w:t>
            </w:r>
            <w:r w:rsidR="002D6F2A" w:rsidRPr="005C7CCE">
              <w:rPr>
                <w:sz w:val="16"/>
              </w:rPr>
              <w:noBreakHyphen/>
            </w:r>
            <w:r w:rsidRPr="005C7CCE">
              <w:rPr>
                <w:sz w:val="16"/>
              </w:rPr>
              <w:t>2009)</w:t>
            </w:r>
          </w:p>
        </w:tc>
        <w:tc>
          <w:tcPr>
            <w:tcW w:w="671" w:type="pct"/>
            <w:tcMar>
              <w:top w:w="110" w:type="dxa"/>
            </w:tcMar>
          </w:tcPr>
          <w:p w:rsidR="00C82EE5" w:rsidRPr="00EA3FF8" w:rsidRDefault="00C82EE5" w:rsidP="001A5BF9">
            <w:pPr>
              <w:ind w:firstLineChars="21" w:firstLine="34"/>
              <w:rPr>
                <w:rFonts w:cs="Arial"/>
                <w:sz w:val="16"/>
                <w:szCs w:val="16"/>
              </w:rPr>
            </w:pPr>
            <w:r w:rsidRPr="00EA3FF8">
              <w:rPr>
                <w:sz w:val="16"/>
              </w:rPr>
              <w:t>Augmentation de 10</w:t>
            </w:r>
            <w:r w:rsidR="007E442D" w:rsidRPr="00EA3FF8">
              <w:rPr>
                <w:sz w:val="16"/>
              </w:rPr>
              <w:t>%</w:t>
            </w:r>
            <w:r w:rsidRPr="00EA3FF8">
              <w:rPr>
                <w:sz w:val="16"/>
              </w:rPr>
              <w:t xml:space="preserve"> </w:t>
            </w:r>
          </w:p>
        </w:tc>
        <w:tc>
          <w:tcPr>
            <w:tcW w:w="1343" w:type="pct"/>
            <w:shd w:val="clear" w:color="auto" w:fill="FFFFFF"/>
            <w:tcMar>
              <w:top w:w="110" w:type="dxa"/>
            </w:tcMar>
          </w:tcPr>
          <w:p w:rsidR="00D42474" w:rsidRDefault="00C82EE5" w:rsidP="001A5BF9">
            <w:pPr>
              <w:rPr>
                <w:rFonts w:cs="Arial"/>
                <w:sz w:val="16"/>
                <w:szCs w:val="16"/>
              </w:rPr>
            </w:pPr>
            <w:r w:rsidRPr="005C7CCE">
              <w:rPr>
                <w:sz w:val="16"/>
              </w:rPr>
              <w:t>1 234 demandes ayant reçu une réponse en 2012</w:t>
            </w:r>
            <w:r w:rsidR="002D6F2A" w:rsidRPr="005C7CCE">
              <w:rPr>
                <w:sz w:val="16"/>
              </w:rPr>
              <w:noBreakHyphen/>
            </w:r>
            <w:r w:rsidRPr="005C7CCE">
              <w:rPr>
                <w:sz w:val="16"/>
              </w:rPr>
              <w:t>2013, soit une augmentation de 140</w:t>
            </w:r>
            <w:r w:rsidR="007E442D" w:rsidRPr="005C7CCE">
              <w:rPr>
                <w:sz w:val="16"/>
              </w:rPr>
              <w:t>%</w:t>
            </w:r>
            <w:r w:rsidRPr="005C7CCE">
              <w:rPr>
                <w:sz w:val="16"/>
              </w:rPr>
              <w:t xml:space="preserve"> au regard du niveau de référence pour 2010</w:t>
            </w:r>
            <w:r w:rsidR="002D6F2A" w:rsidRPr="005C7CCE">
              <w:rPr>
                <w:sz w:val="16"/>
              </w:rPr>
              <w:noBreakHyphen/>
            </w:r>
            <w:r w:rsidRPr="005C7CCE">
              <w:rPr>
                <w:sz w:val="16"/>
              </w:rPr>
              <w:t>2011 :</w:t>
            </w:r>
          </w:p>
          <w:p w:rsidR="00D42474" w:rsidRDefault="00C82EE5" w:rsidP="001A5BF9">
            <w:pPr>
              <w:pStyle w:val="Paragraphedeliste"/>
              <w:numPr>
                <w:ilvl w:val="0"/>
                <w:numId w:val="53"/>
              </w:numPr>
              <w:rPr>
                <w:rFonts w:cs="Arial"/>
                <w:b/>
                <w:bCs/>
                <w:sz w:val="16"/>
                <w:szCs w:val="16"/>
              </w:rPr>
            </w:pPr>
            <w:r w:rsidRPr="005C7CCE">
              <w:rPr>
                <w:sz w:val="16"/>
              </w:rPr>
              <w:t>610 (2012)</w:t>
            </w:r>
          </w:p>
          <w:p w:rsidR="00D42474" w:rsidRDefault="00C82EE5" w:rsidP="001A5BF9">
            <w:pPr>
              <w:pStyle w:val="Paragraphedeliste"/>
              <w:numPr>
                <w:ilvl w:val="0"/>
                <w:numId w:val="53"/>
              </w:numPr>
              <w:rPr>
                <w:rFonts w:cs="Arial"/>
                <w:b/>
                <w:bCs/>
                <w:sz w:val="16"/>
                <w:szCs w:val="16"/>
              </w:rPr>
            </w:pPr>
            <w:r w:rsidRPr="005C7CCE">
              <w:rPr>
                <w:sz w:val="16"/>
              </w:rPr>
              <w:t>624 (2013)</w:t>
            </w:r>
          </w:p>
          <w:p w:rsidR="00C82EE5" w:rsidRPr="005C7CCE" w:rsidRDefault="00C82EE5" w:rsidP="001A5BF9">
            <w:pPr>
              <w:rPr>
                <w:rFonts w:cs="Arial"/>
                <w:sz w:val="8"/>
                <w:szCs w:val="8"/>
                <w:highlight w:val="yellow"/>
              </w:rPr>
            </w:pPr>
          </w:p>
        </w:tc>
        <w:tc>
          <w:tcPr>
            <w:tcW w:w="672" w:type="pct"/>
            <w:tcMar>
              <w:top w:w="110" w:type="dxa"/>
            </w:tcMar>
          </w:tcPr>
          <w:p w:rsidR="00C82EE5" w:rsidRPr="00EA3FF8" w:rsidRDefault="00C82EE5" w:rsidP="001A5BF9">
            <w:pPr>
              <w:keepNext/>
              <w:keepLines/>
              <w:jc w:val="center"/>
              <w:rPr>
                <w:rFonts w:cs="Arial"/>
                <w:color w:val="008000"/>
                <w:sz w:val="16"/>
                <w:szCs w:val="16"/>
              </w:rPr>
            </w:pPr>
            <w:r w:rsidRPr="00B470C6">
              <w:rPr>
                <w:color w:val="008000"/>
                <w:sz w:val="16"/>
              </w:rPr>
              <w:t>Objectif pleinement atteint</w:t>
            </w:r>
          </w:p>
        </w:tc>
      </w:tr>
      <w:tr w:rsidR="00C82EE5" w:rsidRPr="005C7CCE" w:rsidTr="00EA3FF8">
        <w:trPr>
          <w:cantSplit/>
        </w:trPr>
        <w:tc>
          <w:tcPr>
            <w:tcW w:w="822" w:type="pct"/>
            <w:tcBorders>
              <w:bottom w:val="single" w:sz="4" w:space="0" w:color="auto"/>
            </w:tcBorders>
          </w:tcPr>
          <w:p w:rsidR="00C82EE5" w:rsidRPr="00EA3FF8" w:rsidRDefault="00C82EE5" w:rsidP="001A5BF9">
            <w:pPr>
              <w:rPr>
                <w:rFonts w:cs="Arial"/>
                <w:sz w:val="16"/>
                <w:szCs w:val="16"/>
              </w:rPr>
            </w:pPr>
            <w:r w:rsidRPr="00EA3FF8">
              <w:rPr>
                <w:sz w:val="16"/>
              </w:rPr>
              <w:t>Pourcentage de parties prenantes conscientes de la mission, des activités et de l</w:t>
            </w:r>
            <w:r w:rsidR="00A20444" w:rsidRPr="00EA3FF8">
              <w:rPr>
                <w:sz w:val="16"/>
              </w:rPr>
              <w:t>’</w:t>
            </w:r>
            <w:r w:rsidRPr="00EA3FF8">
              <w:rPr>
                <w:sz w:val="16"/>
              </w:rPr>
              <w:t>image de marque de l</w:t>
            </w:r>
            <w:r w:rsidR="00A20444" w:rsidRPr="00EA3FF8">
              <w:rPr>
                <w:sz w:val="16"/>
              </w:rPr>
              <w:t>’</w:t>
            </w:r>
            <w:r w:rsidRPr="00EA3FF8">
              <w:rPr>
                <w:sz w:val="16"/>
              </w:rPr>
              <w:t xml:space="preserve">OMPI </w:t>
            </w:r>
          </w:p>
        </w:tc>
        <w:tc>
          <w:tcPr>
            <w:tcW w:w="1493" w:type="pct"/>
            <w:tcBorders>
              <w:bottom w:val="single" w:sz="4" w:space="0" w:color="auto"/>
            </w:tcBorders>
            <w:shd w:val="clear" w:color="auto" w:fill="auto"/>
          </w:tcPr>
          <w:p w:rsidR="00D42474" w:rsidRDefault="00C82EE5" w:rsidP="001A5BF9">
            <w:pPr>
              <w:rPr>
                <w:rFonts w:cs="Arial"/>
                <w:color w:val="002060"/>
                <w:sz w:val="16"/>
                <w:szCs w:val="16"/>
              </w:rPr>
            </w:pPr>
            <w:r w:rsidRPr="005C7CCE">
              <w:rPr>
                <w:i/>
                <w:color w:val="002060"/>
                <w:sz w:val="16"/>
              </w:rPr>
              <w:t xml:space="preserve">Niveau de référence actualisé fin 2011 : </w:t>
            </w:r>
            <w:r w:rsidRPr="005C7CCE">
              <w:rPr>
                <w:color w:val="002060"/>
                <w:sz w:val="16"/>
              </w:rPr>
              <w:t>65</w:t>
            </w:r>
            <w:r w:rsidR="007E442D" w:rsidRPr="005C7CCE">
              <w:rPr>
                <w:color w:val="002060"/>
                <w:sz w:val="16"/>
              </w:rPr>
              <w:t>%</w:t>
            </w:r>
            <w:r w:rsidRPr="005C7CCE">
              <w:rPr>
                <w:color w:val="002060"/>
                <w:sz w:val="16"/>
              </w:rPr>
              <w:t xml:space="preserve"> des participants à l</w:t>
            </w:r>
            <w:r w:rsidR="00A20444" w:rsidRPr="005C7CCE">
              <w:rPr>
                <w:color w:val="002060"/>
                <w:sz w:val="16"/>
              </w:rPr>
              <w:t>’</w:t>
            </w:r>
            <w:r w:rsidRPr="005C7CCE">
              <w:rPr>
                <w:color w:val="002060"/>
                <w:sz w:val="16"/>
              </w:rPr>
              <w:t>enquête percevaient l</w:t>
            </w:r>
            <w:r w:rsidR="00A20444" w:rsidRPr="005C7CCE">
              <w:rPr>
                <w:color w:val="002060"/>
                <w:sz w:val="16"/>
              </w:rPr>
              <w:t>’</w:t>
            </w:r>
            <w:r w:rsidRPr="005C7CCE">
              <w:rPr>
                <w:color w:val="002060"/>
                <w:sz w:val="16"/>
              </w:rPr>
              <w:t>OMPI comme le chef de file mondial de la protection et la promotion de la propriété intellectuelle (Enquête de l</w:t>
            </w:r>
            <w:r w:rsidR="00A20444" w:rsidRPr="005C7CCE">
              <w:rPr>
                <w:color w:val="002060"/>
                <w:sz w:val="16"/>
              </w:rPr>
              <w:t>’</w:t>
            </w:r>
            <w:r w:rsidRPr="005C7CCE">
              <w:rPr>
                <w:color w:val="002060"/>
                <w:sz w:val="16"/>
              </w:rPr>
              <w:t>OMPI sur les perceptions des parties prenantes, janvier 2012)</w:t>
            </w:r>
          </w:p>
          <w:p w:rsidR="00D42474" w:rsidRDefault="00D42474" w:rsidP="001A5BF9">
            <w:pPr>
              <w:rPr>
                <w:rFonts w:cs="Arial"/>
                <w:i/>
                <w:color w:val="002060"/>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Pr="005C7CCE">
              <w:rPr>
                <w:sz w:val="16"/>
              </w:rPr>
              <w:t>à déterminer</w:t>
            </w:r>
          </w:p>
        </w:tc>
        <w:tc>
          <w:tcPr>
            <w:tcW w:w="671" w:type="pct"/>
            <w:tcBorders>
              <w:bottom w:val="single" w:sz="4" w:space="0" w:color="auto"/>
            </w:tcBorders>
            <w:tcMar>
              <w:top w:w="110" w:type="dxa"/>
            </w:tcMar>
          </w:tcPr>
          <w:p w:rsidR="00C82EE5" w:rsidRPr="00EA3FF8" w:rsidRDefault="00C82EE5" w:rsidP="001A5BF9">
            <w:pPr>
              <w:ind w:firstLineChars="21" w:firstLine="34"/>
              <w:rPr>
                <w:rFonts w:cs="Arial"/>
                <w:sz w:val="16"/>
                <w:szCs w:val="16"/>
              </w:rPr>
            </w:pPr>
            <w:r w:rsidRPr="00EA3FF8">
              <w:rPr>
                <w:sz w:val="16"/>
              </w:rPr>
              <w:t>≥ 70</w:t>
            </w:r>
            <w:r w:rsidR="007E442D" w:rsidRPr="00EA3FF8">
              <w:rPr>
                <w:sz w:val="16"/>
              </w:rPr>
              <w:t>%</w:t>
            </w:r>
          </w:p>
        </w:tc>
        <w:tc>
          <w:tcPr>
            <w:tcW w:w="1343" w:type="pct"/>
            <w:tcBorders>
              <w:bottom w:val="single" w:sz="4" w:space="0" w:color="auto"/>
            </w:tcBorders>
            <w:shd w:val="clear" w:color="auto" w:fill="FFFFFF"/>
            <w:tcMar>
              <w:top w:w="110" w:type="dxa"/>
            </w:tcMar>
          </w:tcPr>
          <w:p w:rsidR="00D42474" w:rsidRDefault="00C82EE5" w:rsidP="001A5BF9">
            <w:pPr>
              <w:rPr>
                <w:rFonts w:cs="Arial"/>
                <w:sz w:val="16"/>
                <w:szCs w:val="16"/>
              </w:rPr>
            </w:pPr>
            <w:r w:rsidRPr="005C7CCE">
              <w:rPr>
                <w:sz w:val="16"/>
              </w:rPr>
              <w:t>87</w:t>
            </w:r>
            <w:r w:rsidR="007E442D" w:rsidRPr="005C7CCE">
              <w:rPr>
                <w:sz w:val="16"/>
              </w:rPr>
              <w:t>%</w:t>
            </w:r>
            <w:r w:rsidRPr="005C7CCE">
              <w:rPr>
                <w:sz w:val="16"/>
              </w:rPr>
              <w:t xml:space="preserve"> des participants à l</w:t>
            </w:r>
            <w:r w:rsidR="00A20444" w:rsidRPr="005C7CCE">
              <w:rPr>
                <w:sz w:val="16"/>
              </w:rPr>
              <w:t>’</w:t>
            </w:r>
            <w:r w:rsidRPr="005C7CCE">
              <w:rPr>
                <w:sz w:val="16"/>
              </w:rPr>
              <w:t>enquête percevaient l</w:t>
            </w:r>
            <w:r w:rsidR="00A20444" w:rsidRPr="005C7CCE">
              <w:rPr>
                <w:sz w:val="16"/>
              </w:rPr>
              <w:t>’</w:t>
            </w:r>
            <w:r w:rsidRPr="005C7CCE">
              <w:rPr>
                <w:sz w:val="16"/>
              </w:rPr>
              <w:t>image de l</w:t>
            </w:r>
            <w:r w:rsidR="00A20444" w:rsidRPr="005C7CCE">
              <w:rPr>
                <w:sz w:val="16"/>
              </w:rPr>
              <w:t>’</w:t>
            </w:r>
            <w:r w:rsidRPr="005C7CCE">
              <w:rPr>
                <w:sz w:val="16"/>
              </w:rPr>
              <w:t xml:space="preserve">OMPI comme bonne, très bonne ou excellente. </w:t>
            </w:r>
            <w:r w:rsidR="0010442A" w:rsidRPr="005C7CCE">
              <w:rPr>
                <w:sz w:val="16"/>
              </w:rPr>
              <w:t xml:space="preserve"> </w:t>
            </w:r>
            <w:r w:rsidRPr="005C7CCE">
              <w:rPr>
                <w:sz w:val="16"/>
              </w:rPr>
              <w:t>81</w:t>
            </w:r>
            <w:r w:rsidR="007E442D" w:rsidRPr="005C7CCE">
              <w:rPr>
                <w:sz w:val="16"/>
              </w:rPr>
              <w:t>%</w:t>
            </w:r>
            <w:r w:rsidRPr="005C7CCE">
              <w:rPr>
                <w:sz w:val="16"/>
              </w:rPr>
              <w:t xml:space="preserve"> des participants à l</w:t>
            </w:r>
            <w:r w:rsidR="00A20444" w:rsidRPr="005C7CCE">
              <w:rPr>
                <w:sz w:val="16"/>
              </w:rPr>
              <w:t>’</w:t>
            </w:r>
            <w:r w:rsidRPr="005C7CCE">
              <w:rPr>
                <w:sz w:val="16"/>
              </w:rPr>
              <w:t>enquête percevaient l</w:t>
            </w:r>
            <w:r w:rsidR="00A20444" w:rsidRPr="005C7CCE">
              <w:rPr>
                <w:sz w:val="16"/>
              </w:rPr>
              <w:t>’</w:t>
            </w:r>
            <w:r w:rsidRPr="005C7CCE">
              <w:rPr>
                <w:sz w:val="16"/>
              </w:rPr>
              <w:t xml:space="preserve">OMPI comme un forum mondial pour la promotion de la propriété intellectuelle. </w:t>
            </w:r>
            <w:r w:rsidR="0010442A" w:rsidRPr="005C7CCE">
              <w:rPr>
                <w:sz w:val="16"/>
              </w:rPr>
              <w:t xml:space="preserve"> </w:t>
            </w:r>
            <w:r w:rsidRPr="005C7CCE">
              <w:rPr>
                <w:sz w:val="16"/>
              </w:rPr>
              <w:t>(Résultats de l</w:t>
            </w:r>
            <w:r w:rsidR="00A20444" w:rsidRPr="005C7CCE">
              <w:rPr>
                <w:sz w:val="16"/>
              </w:rPr>
              <w:t>’</w:t>
            </w:r>
            <w:r w:rsidRPr="005C7CCE">
              <w:rPr>
                <w:sz w:val="16"/>
              </w:rPr>
              <w:t>enquête de l</w:t>
            </w:r>
            <w:r w:rsidR="00A20444" w:rsidRPr="005C7CCE">
              <w:rPr>
                <w:sz w:val="16"/>
              </w:rPr>
              <w:t>’</w:t>
            </w:r>
            <w:r w:rsidRPr="005C7CCE">
              <w:rPr>
                <w:sz w:val="16"/>
              </w:rPr>
              <w:t>OMPI sur l</w:t>
            </w:r>
            <w:r w:rsidR="00A20444" w:rsidRPr="005C7CCE">
              <w:rPr>
                <w:sz w:val="16"/>
              </w:rPr>
              <w:t>’</w:t>
            </w:r>
            <w:r w:rsidRPr="005C7CCE">
              <w:rPr>
                <w:sz w:val="16"/>
              </w:rPr>
              <w:t>orientation vers les services, août 2013).</w:t>
            </w:r>
          </w:p>
          <w:p w:rsidR="00C82EE5" w:rsidRPr="005C7CCE" w:rsidRDefault="00C82EE5" w:rsidP="001A5BF9">
            <w:pPr>
              <w:rPr>
                <w:rFonts w:cs="Arial"/>
                <w:sz w:val="16"/>
                <w:szCs w:val="16"/>
                <w:highlight w:val="yellow"/>
              </w:rPr>
            </w:pPr>
          </w:p>
        </w:tc>
        <w:tc>
          <w:tcPr>
            <w:tcW w:w="672" w:type="pct"/>
            <w:tcBorders>
              <w:bottom w:val="single" w:sz="4" w:space="0" w:color="auto"/>
            </w:tcBorders>
            <w:tcMar>
              <w:top w:w="110" w:type="dxa"/>
            </w:tcMar>
          </w:tcPr>
          <w:p w:rsidR="00C82EE5" w:rsidRPr="005C7CCE" w:rsidRDefault="00C82EE5" w:rsidP="001A5BF9">
            <w:pPr>
              <w:keepNext/>
              <w:keepLines/>
              <w:jc w:val="center"/>
              <w:rPr>
                <w:rFonts w:cs="Arial"/>
                <w:color w:val="008000"/>
                <w:sz w:val="16"/>
                <w:szCs w:val="16"/>
              </w:rPr>
            </w:pPr>
            <w:r w:rsidRPr="00B470C6">
              <w:rPr>
                <w:color w:val="008000"/>
                <w:sz w:val="16"/>
              </w:rPr>
              <w:t>Objectif pleinement atteint</w:t>
            </w:r>
          </w:p>
        </w:tc>
      </w:tr>
      <w:tr w:rsidR="00C82EE5" w:rsidRPr="00EA3FF8" w:rsidTr="00EA3FF8">
        <w:trPr>
          <w:cantSplit/>
        </w:trPr>
        <w:tc>
          <w:tcPr>
            <w:tcW w:w="5000" w:type="pct"/>
            <w:gridSpan w:val="5"/>
            <w:tcBorders>
              <w:top w:val="single" w:sz="4" w:space="0" w:color="auto"/>
              <w:bottom w:val="single" w:sz="4" w:space="0" w:color="auto"/>
            </w:tcBorders>
            <w:shd w:val="clear" w:color="auto" w:fill="CCFFFF"/>
            <w:vAlign w:val="center"/>
          </w:tcPr>
          <w:p w:rsidR="00C82EE5" w:rsidRPr="00EA3FF8" w:rsidRDefault="00C82EE5" w:rsidP="00EA3FF8">
            <w:pPr>
              <w:keepNext/>
              <w:keepLines/>
              <w:tabs>
                <w:tab w:val="left" w:pos="1452"/>
              </w:tabs>
              <w:spacing w:before="120" w:after="120"/>
              <w:ind w:left="1701" w:hanging="1701"/>
              <w:rPr>
                <w:b/>
                <w:sz w:val="16"/>
              </w:rPr>
            </w:pPr>
            <w:r w:rsidRPr="00EA3FF8">
              <w:rPr>
                <w:b/>
                <w:sz w:val="16"/>
              </w:rPr>
              <w:t>Résultat escompté</w:t>
            </w:r>
            <w:r w:rsidR="0010442A" w:rsidRPr="00EA3FF8">
              <w:rPr>
                <w:b/>
                <w:sz w:val="16"/>
              </w:rPr>
              <w:t xml:space="preserve"> : </w:t>
            </w:r>
            <w:r w:rsidRPr="00EA3FF8">
              <w:rPr>
                <w:sz w:val="16"/>
              </w:rPr>
              <w:tab/>
              <w:t>Amélioration de l</w:t>
            </w:r>
            <w:r w:rsidR="00A20444" w:rsidRPr="00EA3FF8">
              <w:rPr>
                <w:sz w:val="16"/>
              </w:rPr>
              <w:t>’</w:t>
            </w:r>
            <w:r w:rsidRPr="00EA3FF8">
              <w:rPr>
                <w:sz w:val="16"/>
              </w:rPr>
              <w:t>orientation vers les services et de la réactivité aux demandes</w:t>
            </w:r>
          </w:p>
        </w:tc>
      </w:tr>
      <w:tr w:rsidR="00EA3FF8" w:rsidRPr="00EA3FF8" w:rsidTr="00EA3FF8">
        <w:trPr>
          <w:cantSplit/>
        </w:trPr>
        <w:tc>
          <w:tcPr>
            <w:tcW w:w="822" w:type="pct"/>
            <w:tcBorders>
              <w:top w:val="single" w:sz="4" w:space="0" w:color="auto"/>
            </w:tcBorders>
            <w:vAlign w:val="center"/>
          </w:tcPr>
          <w:p w:rsidR="00C82EE5" w:rsidRPr="00EA3FF8" w:rsidRDefault="00C82EE5" w:rsidP="00EA3FF8">
            <w:pPr>
              <w:rPr>
                <w:rFonts w:cs="Arial"/>
                <w:b/>
                <w:sz w:val="16"/>
                <w:szCs w:val="16"/>
              </w:rPr>
            </w:pPr>
            <w:r w:rsidRPr="00EA3FF8">
              <w:rPr>
                <w:b/>
                <w:sz w:val="16"/>
              </w:rPr>
              <w:t>Indicateurs d</w:t>
            </w:r>
            <w:r w:rsidR="00A20444" w:rsidRPr="00EA3FF8">
              <w:rPr>
                <w:b/>
                <w:sz w:val="16"/>
              </w:rPr>
              <w:t>’</w:t>
            </w:r>
            <w:r w:rsidRPr="00EA3FF8">
              <w:rPr>
                <w:b/>
                <w:sz w:val="16"/>
              </w:rPr>
              <w:t>exécution</w:t>
            </w:r>
          </w:p>
        </w:tc>
        <w:tc>
          <w:tcPr>
            <w:tcW w:w="1493" w:type="pct"/>
            <w:tcBorders>
              <w:top w:val="single" w:sz="4" w:space="0" w:color="auto"/>
            </w:tcBorders>
            <w:shd w:val="clear" w:color="auto" w:fill="auto"/>
            <w:vAlign w:val="center"/>
          </w:tcPr>
          <w:p w:rsidR="00C82EE5" w:rsidRPr="00EA3FF8" w:rsidRDefault="00C82EE5" w:rsidP="00EA3FF8">
            <w:pPr>
              <w:rPr>
                <w:rFonts w:cs="Arial"/>
                <w:b/>
                <w:bCs/>
                <w:sz w:val="16"/>
                <w:szCs w:val="16"/>
              </w:rPr>
            </w:pPr>
            <w:r w:rsidRPr="00EA3FF8">
              <w:rPr>
                <w:b/>
                <w:sz w:val="16"/>
              </w:rPr>
              <w:t>Niveaux de référence</w:t>
            </w:r>
          </w:p>
        </w:tc>
        <w:tc>
          <w:tcPr>
            <w:tcW w:w="671" w:type="pct"/>
            <w:tcBorders>
              <w:top w:val="single" w:sz="4" w:space="0" w:color="auto"/>
            </w:tcBorders>
            <w:tcMar>
              <w:top w:w="110" w:type="dxa"/>
            </w:tcMar>
            <w:vAlign w:val="center"/>
          </w:tcPr>
          <w:p w:rsidR="00C82EE5" w:rsidRPr="00EA3FF8" w:rsidRDefault="00C82EE5" w:rsidP="00EA3FF8">
            <w:pPr>
              <w:rPr>
                <w:rFonts w:cs="Arial"/>
                <w:b/>
                <w:bCs/>
                <w:sz w:val="16"/>
                <w:szCs w:val="16"/>
              </w:rPr>
            </w:pPr>
            <w:r w:rsidRPr="00EA3FF8">
              <w:rPr>
                <w:b/>
                <w:sz w:val="16"/>
              </w:rPr>
              <w:t>Objectifs visés</w:t>
            </w:r>
          </w:p>
        </w:tc>
        <w:tc>
          <w:tcPr>
            <w:tcW w:w="1343" w:type="pct"/>
            <w:tcBorders>
              <w:top w:val="single" w:sz="4" w:space="0" w:color="auto"/>
            </w:tcBorders>
            <w:shd w:val="clear" w:color="auto" w:fill="FFFFFF"/>
            <w:tcMar>
              <w:top w:w="110" w:type="dxa"/>
            </w:tcMar>
            <w:vAlign w:val="center"/>
          </w:tcPr>
          <w:p w:rsidR="00C82EE5" w:rsidRPr="00EA3FF8" w:rsidRDefault="00C82EE5" w:rsidP="00EA3FF8">
            <w:pPr>
              <w:rPr>
                <w:rFonts w:cs="Arial"/>
                <w:b/>
                <w:sz w:val="16"/>
                <w:szCs w:val="16"/>
              </w:rPr>
            </w:pPr>
            <w:r w:rsidRPr="00EA3FF8">
              <w:rPr>
                <w:b/>
                <w:sz w:val="16"/>
              </w:rPr>
              <w:t>Données relatives à l</w:t>
            </w:r>
            <w:r w:rsidR="00A20444" w:rsidRPr="00EA3FF8">
              <w:rPr>
                <w:b/>
                <w:sz w:val="16"/>
              </w:rPr>
              <w:t>’</w:t>
            </w:r>
            <w:r w:rsidRPr="00EA3FF8">
              <w:rPr>
                <w:b/>
                <w:sz w:val="16"/>
              </w:rPr>
              <w:t>exécution</w:t>
            </w:r>
          </w:p>
        </w:tc>
        <w:tc>
          <w:tcPr>
            <w:tcW w:w="672" w:type="pct"/>
            <w:tcBorders>
              <w:top w:val="single" w:sz="4" w:space="0" w:color="auto"/>
            </w:tcBorders>
            <w:tcMar>
              <w:top w:w="110" w:type="dxa"/>
            </w:tcMar>
            <w:vAlign w:val="center"/>
          </w:tcPr>
          <w:p w:rsidR="00C82EE5" w:rsidRPr="00EA3FF8" w:rsidRDefault="00C82EE5" w:rsidP="001A5BF9">
            <w:pPr>
              <w:keepNext/>
              <w:keepLines/>
              <w:jc w:val="center"/>
              <w:rPr>
                <w:rFonts w:cs="Arial"/>
                <w:b/>
                <w:bCs/>
                <w:sz w:val="16"/>
                <w:szCs w:val="16"/>
              </w:rPr>
            </w:pPr>
            <w:r w:rsidRPr="00EA3FF8">
              <w:rPr>
                <w:b/>
                <w:sz w:val="16"/>
              </w:rPr>
              <w:t>Code de couleurs</w:t>
            </w:r>
          </w:p>
        </w:tc>
      </w:tr>
      <w:tr w:rsidR="00C82EE5" w:rsidRPr="005C7CCE" w:rsidTr="00EA3FF8">
        <w:trPr>
          <w:cantSplit/>
        </w:trPr>
        <w:tc>
          <w:tcPr>
            <w:tcW w:w="822" w:type="pct"/>
          </w:tcPr>
          <w:p w:rsidR="00C82EE5" w:rsidRPr="00EA3FF8" w:rsidRDefault="00C82EE5" w:rsidP="001A5BF9">
            <w:pPr>
              <w:rPr>
                <w:rFonts w:cs="Arial"/>
                <w:sz w:val="16"/>
                <w:szCs w:val="16"/>
              </w:rPr>
            </w:pPr>
            <w:r w:rsidRPr="00EA3FF8">
              <w:rPr>
                <w:sz w:val="16"/>
              </w:rPr>
              <w:t>Taux de satisfaction des clients et des parties prenantes</w:t>
            </w:r>
          </w:p>
        </w:tc>
        <w:tc>
          <w:tcPr>
            <w:tcW w:w="1493" w:type="pct"/>
            <w:shd w:val="clear" w:color="auto" w:fill="auto"/>
          </w:tcPr>
          <w:p w:rsidR="00D42474" w:rsidRDefault="00C82EE5" w:rsidP="001A5BF9">
            <w:pPr>
              <w:rPr>
                <w:i/>
                <w:color w:val="002060"/>
                <w:sz w:val="16"/>
              </w:rPr>
            </w:pPr>
            <w:r w:rsidRPr="005C7CCE">
              <w:rPr>
                <w:i/>
                <w:color w:val="002060"/>
                <w:sz w:val="16"/>
              </w:rPr>
              <w:t xml:space="preserve">Niveau de référence actualisé </w:t>
            </w:r>
            <w:r w:rsidRPr="00EA3FF8">
              <w:rPr>
                <w:i/>
                <w:color w:val="002060"/>
                <w:sz w:val="16"/>
              </w:rPr>
              <w:t>fin 2011 :</w:t>
            </w:r>
          </w:p>
          <w:p w:rsidR="00D42474" w:rsidRDefault="00C82EE5" w:rsidP="001A5BF9">
            <w:pPr>
              <w:rPr>
                <w:rFonts w:cs="Arial"/>
                <w:i/>
                <w:color w:val="002060"/>
                <w:sz w:val="16"/>
                <w:szCs w:val="16"/>
              </w:rPr>
            </w:pPr>
            <w:r w:rsidRPr="00EA3FF8">
              <w:rPr>
                <w:color w:val="002060"/>
                <w:sz w:val="16"/>
              </w:rPr>
              <w:t>86</w:t>
            </w:r>
            <w:r w:rsidR="007E442D" w:rsidRPr="00EA3FF8">
              <w:rPr>
                <w:color w:val="002060"/>
                <w:sz w:val="16"/>
              </w:rPr>
              <w:t>%</w:t>
            </w:r>
            <w:r w:rsidRPr="00EA3FF8">
              <w:rPr>
                <w:b/>
                <w:color w:val="002060"/>
                <w:sz w:val="16"/>
              </w:rPr>
              <w:t xml:space="preserve"> </w:t>
            </w:r>
            <w:r w:rsidRPr="00EA3FF8">
              <w:rPr>
                <w:color w:val="002060"/>
                <w:sz w:val="16"/>
              </w:rPr>
              <w:t>des clients des systèmes de Madrid et de La</w:t>
            </w:r>
            <w:r w:rsidR="0010442A" w:rsidRPr="00EA3FF8">
              <w:rPr>
                <w:color w:val="002060"/>
                <w:sz w:val="16"/>
              </w:rPr>
              <w:t> </w:t>
            </w:r>
            <w:r w:rsidRPr="00EA3FF8">
              <w:rPr>
                <w:color w:val="002060"/>
                <w:sz w:val="16"/>
              </w:rPr>
              <w:t>Haye satisfaits ou très satisfaits (résultats de l</w:t>
            </w:r>
            <w:r w:rsidR="00A20444" w:rsidRPr="00EA3FF8">
              <w:rPr>
                <w:color w:val="002060"/>
                <w:sz w:val="16"/>
              </w:rPr>
              <w:t>’</w:t>
            </w:r>
            <w:r w:rsidRPr="00EA3FF8">
              <w:rPr>
                <w:color w:val="002060"/>
                <w:sz w:val="16"/>
              </w:rPr>
              <w:t xml:space="preserve">enquête, </w:t>
            </w:r>
            <w:r w:rsidR="00A20444" w:rsidRPr="00EA3FF8">
              <w:rPr>
                <w:color w:val="002060"/>
                <w:sz w:val="16"/>
              </w:rPr>
              <w:t>mars 20</w:t>
            </w:r>
            <w:r w:rsidRPr="00EA3FF8">
              <w:rPr>
                <w:color w:val="002060"/>
                <w:sz w:val="16"/>
              </w:rPr>
              <w:t>12).</w:t>
            </w:r>
          </w:p>
          <w:p w:rsidR="00D42474" w:rsidRDefault="00D42474" w:rsidP="001A5BF9">
            <w:pPr>
              <w:rPr>
                <w:rFonts w:cs="Arial"/>
                <w:i/>
                <w:sz w:val="8"/>
                <w:szCs w:val="8"/>
              </w:rPr>
            </w:pPr>
          </w:p>
          <w:p w:rsidR="00C82EE5" w:rsidRPr="005C7CCE" w:rsidRDefault="00C82EE5" w:rsidP="001A5BF9">
            <w:pPr>
              <w:rPr>
                <w:rFonts w:cs="Arial"/>
                <w:sz w:val="16"/>
                <w:szCs w:val="16"/>
              </w:rPr>
            </w:pPr>
            <w:r w:rsidRPr="005C7CCE">
              <w:rPr>
                <w:sz w:val="16"/>
                <w:szCs w:val="16"/>
              </w:rPr>
              <w:t xml:space="preserve">Niveau de référence initial </w:t>
            </w:r>
            <w:r w:rsidR="00667FB3">
              <w:rPr>
                <w:sz w:val="16"/>
                <w:szCs w:val="16"/>
              </w:rPr>
              <w:t>programme et budget</w:t>
            </w:r>
            <w:r w:rsidRPr="005C7CCE">
              <w:rPr>
                <w:sz w:val="16"/>
                <w:szCs w:val="16"/>
              </w:rPr>
              <w:t> 2012</w:t>
            </w:r>
            <w:r w:rsidR="002D6F2A" w:rsidRPr="005C7CCE">
              <w:rPr>
                <w:sz w:val="16"/>
                <w:szCs w:val="16"/>
              </w:rPr>
              <w:noBreakHyphen/>
            </w:r>
            <w:r w:rsidRPr="005C7CCE">
              <w:rPr>
                <w:sz w:val="16"/>
                <w:szCs w:val="16"/>
              </w:rPr>
              <w:t>2013 : à</w:t>
            </w:r>
            <w:r w:rsidR="006C679E" w:rsidRPr="005C7CCE">
              <w:rPr>
                <w:sz w:val="16"/>
                <w:szCs w:val="16"/>
              </w:rPr>
              <w:t> </w:t>
            </w:r>
            <w:r w:rsidRPr="005C7CCE">
              <w:rPr>
                <w:sz w:val="16"/>
                <w:szCs w:val="16"/>
              </w:rPr>
              <w:t>déterminer</w:t>
            </w:r>
          </w:p>
        </w:tc>
        <w:tc>
          <w:tcPr>
            <w:tcW w:w="671" w:type="pct"/>
            <w:tcMar>
              <w:top w:w="110" w:type="dxa"/>
            </w:tcMar>
          </w:tcPr>
          <w:p w:rsidR="00C82EE5" w:rsidRPr="00EA3FF8" w:rsidRDefault="00C82EE5" w:rsidP="001A5BF9">
            <w:pPr>
              <w:ind w:firstLineChars="21" w:firstLine="34"/>
              <w:rPr>
                <w:rFonts w:cs="Arial"/>
                <w:sz w:val="16"/>
                <w:szCs w:val="16"/>
              </w:rPr>
            </w:pPr>
            <w:r w:rsidRPr="00EA3FF8">
              <w:rPr>
                <w:sz w:val="16"/>
              </w:rPr>
              <w:t>≥ 70</w:t>
            </w:r>
            <w:r w:rsidR="007E442D" w:rsidRPr="00EA3FF8">
              <w:rPr>
                <w:sz w:val="16"/>
              </w:rPr>
              <w:t>%</w:t>
            </w:r>
            <w:r w:rsidRPr="00EA3FF8">
              <w:rPr>
                <w:sz w:val="16"/>
              </w:rPr>
              <w:t xml:space="preserve"> de satisfaits ou très satisfaits </w:t>
            </w:r>
          </w:p>
        </w:tc>
        <w:tc>
          <w:tcPr>
            <w:tcW w:w="1343" w:type="pct"/>
            <w:shd w:val="clear" w:color="auto" w:fill="FFFFFF"/>
            <w:tcMar>
              <w:top w:w="110" w:type="dxa"/>
            </w:tcMar>
          </w:tcPr>
          <w:p w:rsidR="00D42474" w:rsidRDefault="00C82EE5" w:rsidP="001A5BF9">
            <w:pPr>
              <w:rPr>
                <w:rFonts w:cs="Arial"/>
                <w:sz w:val="16"/>
                <w:szCs w:val="16"/>
              </w:rPr>
            </w:pPr>
            <w:r w:rsidRPr="005C7CCE">
              <w:rPr>
                <w:sz w:val="16"/>
              </w:rPr>
              <w:t>84</w:t>
            </w:r>
            <w:r w:rsidR="007E442D" w:rsidRPr="005C7CCE">
              <w:rPr>
                <w:sz w:val="16"/>
              </w:rPr>
              <w:t>%</w:t>
            </w:r>
            <w:r w:rsidRPr="005C7CCE">
              <w:rPr>
                <w:sz w:val="16"/>
              </w:rPr>
              <w:t xml:space="preserve"> des clients étaient satisfaits ou hautement satisfaits (résultats de l</w:t>
            </w:r>
            <w:r w:rsidR="00A20444" w:rsidRPr="005C7CCE">
              <w:rPr>
                <w:sz w:val="16"/>
              </w:rPr>
              <w:t>’</w:t>
            </w:r>
            <w:r w:rsidRPr="005C7CCE">
              <w:rPr>
                <w:sz w:val="16"/>
              </w:rPr>
              <w:t>enquête d</w:t>
            </w:r>
            <w:r w:rsidR="00A20444" w:rsidRPr="005C7CCE">
              <w:rPr>
                <w:sz w:val="16"/>
              </w:rPr>
              <w:t>’</w:t>
            </w:r>
            <w:r w:rsidRPr="005C7CCE">
              <w:rPr>
                <w:sz w:val="16"/>
              </w:rPr>
              <w:t xml:space="preserve">août 2013). </w:t>
            </w:r>
            <w:r w:rsidR="0010442A" w:rsidRPr="005C7CCE">
              <w:rPr>
                <w:sz w:val="16"/>
              </w:rPr>
              <w:t xml:space="preserve"> </w:t>
            </w:r>
            <w:r w:rsidRPr="005C7CCE">
              <w:rPr>
                <w:sz w:val="16"/>
              </w:rPr>
              <w:t>Répartis de la manière suivante pour les deux services :</w:t>
            </w:r>
          </w:p>
          <w:p w:rsidR="00D42474" w:rsidRDefault="00C82EE5" w:rsidP="001A5BF9">
            <w:pPr>
              <w:ind w:left="458" w:hanging="426"/>
              <w:rPr>
                <w:rFonts w:cs="Arial"/>
                <w:sz w:val="16"/>
                <w:szCs w:val="16"/>
              </w:rPr>
            </w:pPr>
            <w:r w:rsidRPr="005C7CCE">
              <w:rPr>
                <w:sz w:val="16"/>
              </w:rPr>
              <w:t>2012 :</w:t>
            </w:r>
            <w:r w:rsidR="0010442A" w:rsidRPr="005C7CCE">
              <w:rPr>
                <w:sz w:val="16"/>
              </w:rPr>
              <w:t xml:space="preserve"> </w:t>
            </w:r>
            <w:r w:rsidRPr="005C7CCE">
              <w:rPr>
                <w:sz w:val="16"/>
              </w:rPr>
              <w:tab/>
              <w:t>Madrid =78</w:t>
            </w:r>
            <w:r w:rsidR="007E442D" w:rsidRPr="005C7CCE">
              <w:rPr>
                <w:sz w:val="16"/>
              </w:rPr>
              <w:t>%</w:t>
            </w:r>
            <w:r w:rsidRPr="005C7CCE">
              <w:rPr>
                <w:sz w:val="16"/>
              </w:rPr>
              <w:t xml:space="preserve"> </w:t>
            </w:r>
            <w:r w:rsidRPr="005C7CCE">
              <w:br/>
            </w:r>
            <w:r w:rsidRPr="005C7CCE">
              <w:rPr>
                <w:sz w:val="16"/>
              </w:rPr>
              <w:tab/>
              <w:t>La Haye =95</w:t>
            </w:r>
            <w:r w:rsidR="007E442D" w:rsidRPr="005C7CCE">
              <w:rPr>
                <w:sz w:val="16"/>
              </w:rPr>
              <w:t>%</w:t>
            </w:r>
          </w:p>
          <w:p w:rsidR="00C82EE5" w:rsidRPr="005C7CCE" w:rsidRDefault="00C82EE5" w:rsidP="001A5BF9">
            <w:pPr>
              <w:ind w:left="458" w:hanging="426"/>
              <w:rPr>
                <w:rFonts w:cs="Arial"/>
                <w:sz w:val="16"/>
                <w:szCs w:val="16"/>
                <w:highlight w:val="yellow"/>
              </w:rPr>
            </w:pPr>
            <w:r w:rsidRPr="005C7CCE">
              <w:rPr>
                <w:sz w:val="16"/>
              </w:rPr>
              <w:t xml:space="preserve">2013 : </w:t>
            </w:r>
            <w:r w:rsidRPr="005C7CCE">
              <w:rPr>
                <w:sz w:val="16"/>
              </w:rPr>
              <w:tab/>
              <w:t>Madrid =80</w:t>
            </w:r>
            <w:r w:rsidR="007E442D" w:rsidRPr="005C7CCE">
              <w:rPr>
                <w:sz w:val="16"/>
              </w:rPr>
              <w:t>%</w:t>
            </w:r>
            <w:r w:rsidRPr="005C7CCE">
              <w:rPr>
                <w:sz w:val="16"/>
              </w:rPr>
              <w:t xml:space="preserve"> </w:t>
            </w:r>
            <w:r w:rsidRPr="005C7CCE">
              <w:br/>
            </w:r>
            <w:r w:rsidRPr="005C7CCE">
              <w:rPr>
                <w:sz w:val="16"/>
              </w:rPr>
              <w:tab/>
              <w:t>La Haye =88</w:t>
            </w:r>
            <w:r w:rsidR="007E442D" w:rsidRPr="005C7CCE">
              <w:rPr>
                <w:sz w:val="16"/>
              </w:rPr>
              <w:t>%</w:t>
            </w:r>
          </w:p>
        </w:tc>
        <w:tc>
          <w:tcPr>
            <w:tcW w:w="672" w:type="pct"/>
            <w:tcMar>
              <w:top w:w="110" w:type="dxa"/>
            </w:tcMar>
          </w:tcPr>
          <w:p w:rsidR="00C82EE5" w:rsidRPr="00EA3FF8" w:rsidRDefault="00C82EE5" w:rsidP="001A5BF9">
            <w:pPr>
              <w:keepNext/>
              <w:keepLines/>
              <w:jc w:val="center"/>
              <w:rPr>
                <w:rFonts w:cs="Arial"/>
                <w:color w:val="008000"/>
                <w:sz w:val="16"/>
                <w:szCs w:val="16"/>
              </w:rPr>
            </w:pPr>
            <w:r w:rsidRPr="00B470C6">
              <w:rPr>
                <w:color w:val="008000"/>
                <w:sz w:val="16"/>
              </w:rPr>
              <w:t>Objectif pleinement atteint</w:t>
            </w:r>
          </w:p>
        </w:tc>
      </w:tr>
      <w:tr w:rsidR="00C82EE5" w:rsidRPr="005C7CCE" w:rsidTr="00EA3FF8">
        <w:trPr>
          <w:cantSplit/>
        </w:trPr>
        <w:tc>
          <w:tcPr>
            <w:tcW w:w="822" w:type="pct"/>
            <w:tcBorders>
              <w:bottom w:val="single" w:sz="4" w:space="0" w:color="auto"/>
            </w:tcBorders>
          </w:tcPr>
          <w:p w:rsidR="00C82EE5" w:rsidRPr="00EA3FF8" w:rsidRDefault="00C82EE5" w:rsidP="001A5BF9">
            <w:pPr>
              <w:rPr>
                <w:rFonts w:cs="Arial"/>
                <w:sz w:val="16"/>
                <w:szCs w:val="16"/>
              </w:rPr>
            </w:pPr>
            <w:r w:rsidRPr="00EA3FF8">
              <w:rPr>
                <w:sz w:val="16"/>
              </w:rPr>
              <w:t>Durée de traitement des demandes de renseignements gérées par un système de tickets</w:t>
            </w:r>
          </w:p>
        </w:tc>
        <w:tc>
          <w:tcPr>
            <w:tcW w:w="1493" w:type="pct"/>
            <w:tcBorders>
              <w:bottom w:val="single" w:sz="4" w:space="0" w:color="auto"/>
            </w:tcBorders>
            <w:shd w:val="clear" w:color="auto" w:fill="auto"/>
          </w:tcPr>
          <w:p w:rsidR="00D42474" w:rsidRDefault="00C82EE5" w:rsidP="001A5BF9">
            <w:pPr>
              <w:rPr>
                <w:i/>
                <w:color w:val="002060"/>
                <w:sz w:val="16"/>
              </w:rPr>
            </w:pPr>
            <w:r w:rsidRPr="005C7CCE">
              <w:rPr>
                <w:i/>
                <w:color w:val="002060"/>
                <w:sz w:val="16"/>
              </w:rPr>
              <w:t>Niveau de référence actualisé fin 2011 :</w:t>
            </w:r>
          </w:p>
          <w:p w:rsidR="00D42474" w:rsidRDefault="00C82EE5" w:rsidP="001A5BF9">
            <w:pPr>
              <w:rPr>
                <w:rFonts w:cs="Arial"/>
                <w:color w:val="002060"/>
                <w:sz w:val="16"/>
                <w:szCs w:val="16"/>
              </w:rPr>
            </w:pPr>
            <w:r w:rsidRPr="005C7CCE">
              <w:rPr>
                <w:color w:val="002060"/>
                <w:sz w:val="16"/>
              </w:rPr>
              <w:t>70</w:t>
            </w:r>
            <w:r w:rsidR="007E442D" w:rsidRPr="005C7CCE">
              <w:rPr>
                <w:color w:val="002060"/>
                <w:sz w:val="16"/>
              </w:rPr>
              <w:t>%</w:t>
            </w:r>
          </w:p>
          <w:p w:rsidR="00D42474" w:rsidRDefault="00D42474" w:rsidP="001A5BF9">
            <w:pPr>
              <w:rPr>
                <w:rFonts w:cs="Arial"/>
                <w:i/>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Pr="005C7CCE">
              <w:rPr>
                <w:sz w:val="16"/>
              </w:rPr>
              <w:t>données de septembre à décembre 2011</w:t>
            </w:r>
          </w:p>
        </w:tc>
        <w:tc>
          <w:tcPr>
            <w:tcW w:w="671" w:type="pct"/>
            <w:tcBorders>
              <w:bottom w:val="single" w:sz="4" w:space="0" w:color="auto"/>
            </w:tcBorders>
            <w:tcMar>
              <w:top w:w="110" w:type="dxa"/>
            </w:tcMar>
          </w:tcPr>
          <w:p w:rsidR="00C82EE5" w:rsidRPr="00EA3FF8" w:rsidRDefault="00C82EE5" w:rsidP="001A5BF9">
            <w:pPr>
              <w:autoSpaceDE w:val="0"/>
              <w:autoSpaceDN w:val="0"/>
              <w:adjustRightInd w:val="0"/>
              <w:rPr>
                <w:rFonts w:cs="Arial"/>
                <w:sz w:val="16"/>
                <w:szCs w:val="16"/>
              </w:rPr>
            </w:pPr>
            <w:r w:rsidRPr="00EA3FF8">
              <w:rPr>
                <w:sz w:val="16"/>
              </w:rPr>
              <w:t>≥ 90</w:t>
            </w:r>
            <w:r w:rsidR="007E442D" w:rsidRPr="00EA3FF8">
              <w:rPr>
                <w:sz w:val="16"/>
              </w:rPr>
              <w:t>%</w:t>
            </w:r>
            <w:r w:rsidRPr="00EA3FF8">
              <w:rPr>
                <w:sz w:val="16"/>
              </w:rPr>
              <w:t xml:space="preserve"> dans un délai de 3 jours ouvrables </w:t>
            </w:r>
          </w:p>
        </w:tc>
        <w:tc>
          <w:tcPr>
            <w:tcW w:w="1343" w:type="pct"/>
            <w:tcBorders>
              <w:bottom w:val="single" w:sz="4" w:space="0" w:color="auto"/>
            </w:tcBorders>
            <w:shd w:val="clear" w:color="auto" w:fill="FFFFFF"/>
            <w:tcMar>
              <w:top w:w="110" w:type="dxa"/>
            </w:tcMar>
          </w:tcPr>
          <w:p w:rsidR="00C82EE5" w:rsidRPr="005C7CCE" w:rsidRDefault="00C82EE5" w:rsidP="001A5BF9">
            <w:pPr>
              <w:rPr>
                <w:rFonts w:cs="Arial"/>
                <w:sz w:val="16"/>
                <w:szCs w:val="16"/>
              </w:rPr>
            </w:pPr>
            <w:r w:rsidRPr="005C7CCE">
              <w:rPr>
                <w:sz w:val="16"/>
              </w:rPr>
              <w:t>90</w:t>
            </w:r>
            <w:r w:rsidR="007E442D" w:rsidRPr="005C7CCE">
              <w:rPr>
                <w:sz w:val="16"/>
              </w:rPr>
              <w:t>%</w:t>
            </w:r>
            <w:r w:rsidRPr="005C7CCE">
              <w:rPr>
                <w:sz w:val="16"/>
              </w:rPr>
              <w:t xml:space="preserve"> des enquêtes entre avril et décembre 2012 et 99</w:t>
            </w:r>
            <w:r w:rsidR="007E442D" w:rsidRPr="005C7CCE">
              <w:rPr>
                <w:sz w:val="16"/>
              </w:rPr>
              <w:t>%</w:t>
            </w:r>
            <w:r w:rsidRPr="005C7CCE">
              <w:rPr>
                <w:sz w:val="16"/>
              </w:rPr>
              <w:t xml:space="preserve"> des enquêtes entre janvier à décembre 2013 reçues par le centre de service à la clientèle ont été traitées dans les trois jours ouvrés.</w:t>
            </w:r>
          </w:p>
        </w:tc>
        <w:tc>
          <w:tcPr>
            <w:tcW w:w="672" w:type="pct"/>
            <w:tcBorders>
              <w:bottom w:val="single" w:sz="4" w:space="0" w:color="auto"/>
            </w:tcBorders>
            <w:tcMar>
              <w:top w:w="110" w:type="dxa"/>
            </w:tcMar>
          </w:tcPr>
          <w:p w:rsidR="00C82EE5" w:rsidRPr="00EA3FF8" w:rsidRDefault="00C82EE5" w:rsidP="001A5BF9">
            <w:pPr>
              <w:keepNext/>
              <w:keepLines/>
              <w:jc w:val="center"/>
              <w:rPr>
                <w:rFonts w:cs="Arial"/>
                <w:color w:val="008000"/>
                <w:sz w:val="16"/>
                <w:szCs w:val="16"/>
              </w:rPr>
            </w:pPr>
            <w:r w:rsidRPr="00B470C6">
              <w:rPr>
                <w:color w:val="008000"/>
                <w:sz w:val="16"/>
              </w:rPr>
              <w:t>Objectif pleinement atteint</w:t>
            </w:r>
          </w:p>
        </w:tc>
      </w:tr>
    </w:tbl>
    <w:p w:rsidR="00D42474" w:rsidRDefault="00D42474" w:rsidP="001A5BF9">
      <w:pPr>
        <w:rPr>
          <w:rFonts w:eastAsia="SimSun"/>
          <w:color w:val="000000"/>
          <w:szCs w:val="22"/>
        </w:rPr>
      </w:pPr>
    </w:p>
    <w:p w:rsidR="00D42474" w:rsidRDefault="00D42474" w:rsidP="001A5BF9">
      <w:pPr>
        <w:rPr>
          <w:rFonts w:eastAsia="SimSun"/>
          <w:color w:val="000000"/>
          <w:szCs w:val="22"/>
        </w:rPr>
      </w:pPr>
    </w:p>
    <w:p w:rsidR="00D42474" w:rsidRDefault="00D42474" w:rsidP="001A5BF9">
      <w:pPr>
        <w:rPr>
          <w:rFonts w:eastAsia="SimSun"/>
          <w:color w:val="000000"/>
          <w:szCs w:val="22"/>
        </w:rPr>
      </w:pPr>
    </w:p>
    <w:p w:rsidR="00D42474" w:rsidRDefault="00EA3FF8">
      <w:pPr>
        <w:rPr>
          <w:sz w:val="22"/>
        </w:rPr>
      </w:pPr>
      <w:r>
        <w:rPr>
          <w:sz w:val="22"/>
        </w:rPr>
        <w:br w:type="page"/>
      </w:r>
    </w:p>
    <w:p w:rsidR="00D42474" w:rsidRDefault="00C82EE5" w:rsidP="001A5BF9">
      <w:pPr>
        <w:autoSpaceDE w:val="0"/>
        <w:autoSpaceDN w:val="0"/>
        <w:adjustRightInd w:val="0"/>
        <w:jc w:val="both"/>
        <w:rPr>
          <w:rFonts w:eastAsia="SimSun"/>
          <w:szCs w:val="22"/>
        </w:rPr>
      </w:pPr>
      <w:r w:rsidRPr="00866763">
        <w:rPr>
          <w:sz w:val="22"/>
        </w:rPr>
        <w:t>BUDGET ET DÉPENSES EFFECTIVES</w:t>
      </w:r>
    </w:p>
    <w:p w:rsidR="00D42474" w:rsidRDefault="00D42474" w:rsidP="001A5BF9">
      <w:pPr>
        <w:autoSpaceDE w:val="0"/>
        <w:autoSpaceDN w:val="0"/>
        <w:adjustRightInd w:val="0"/>
        <w:jc w:val="both"/>
        <w:rPr>
          <w:rFonts w:eastAsia="SimSun"/>
          <w:szCs w:val="22"/>
        </w:rPr>
      </w:pPr>
    </w:p>
    <w:p w:rsidR="00D42474" w:rsidRDefault="00C82EE5" w:rsidP="001A5BF9">
      <w:pPr>
        <w:pStyle w:val="NormalWeb"/>
        <w:spacing w:before="0" w:beforeAutospacing="0" w:after="0" w:afterAutospacing="0"/>
        <w:jc w:val="center"/>
        <w:rPr>
          <w:sz w:val="20"/>
        </w:rPr>
      </w:pPr>
      <w:r w:rsidRPr="002D02F3">
        <w:rPr>
          <w:sz w:val="20"/>
        </w:rPr>
        <w:t>Budget et dépenses effectives (par résultat)</w:t>
      </w:r>
    </w:p>
    <w:p w:rsidR="00D42474" w:rsidRDefault="00C82EE5"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C82EE5" w:rsidRPr="002D02F3" w:rsidRDefault="00C82EE5" w:rsidP="001A5BF9">
      <w:pPr>
        <w:autoSpaceDE w:val="0"/>
        <w:autoSpaceDN w:val="0"/>
        <w:adjustRightInd w:val="0"/>
        <w:jc w:val="both"/>
        <w:rPr>
          <w:rFonts w:eastAsia="SimSun"/>
          <w:szCs w:val="22"/>
        </w:rPr>
      </w:pPr>
    </w:p>
    <w:tbl>
      <w:tblPr>
        <w:tblW w:w="0" w:type="auto"/>
        <w:tblInd w:w="103" w:type="dxa"/>
        <w:tblLayout w:type="fixed"/>
        <w:tblLook w:val="04A0" w:firstRow="1" w:lastRow="0" w:firstColumn="1" w:lastColumn="0" w:noHBand="0" w:noVBand="1"/>
      </w:tblPr>
      <w:tblGrid>
        <w:gridCol w:w="630"/>
        <w:gridCol w:w="4195"/>
        <w:gridCol w:w="1559"/>
        <w:gridCol w:w="1559"/>
        <w:gridCol w:w="1418"/>
      </w:tblGrid>
      <w:tr w:rsidR="00C82EE5" w:rsidRPr="002D02F3" w:rsidTr="0056083E">
        <w:tc>
          <w:tcPr>
            <w:tcW w:w="4825"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center"/>
              <w:rPr>
                <w:rFonts w:cs="Arial"/>
                <w:bCs/>
                <w:sz w:val="16"/>
                <w:szCs w:val="16"/>
              </w:rPr>
            </w:pPr>
            <w:r w:rsidRPr="002D02F3">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C82EE5" w:rsidRPr="002D02F3" w:rsidTr="0056083E">
        <w:tc>
          <w:tcPr>
            <w:tcW w:w="630"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VIII.1</w:t>
            </w:r>
            <w:proofErr w:type="spellEnd"/>
          </w:p>
        </w:tc>
        <w:tc>
          <w:tcPr>
            <w:tcW w:w="4195"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Communication plus efficace avec le grand public concernant la propriété intellectuelle et le rôle de l</w:t>
            </w:r>
            <w:r w:rsidR="00A20444" w:rsidRPr="002D02F3">
              <w:rPr>
                <w:sz w:val="16"/>
              </w:rPr>
              <w:t>’</w:t>
            </w:r>
            <w:r w:rsidRPr="002D02F3">
              <w:rPr>
                <w:sz w:val="16"/>
              </w:rPr>
              <w:t>OMPI</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13 664 </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13 725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13 449</w:t>
            </w:r>
          </w:p>
        </w:tc>
      </w:tr>
      <w:tr w:rsidR="00C82EE5" w:rsidRPr="002D02F3" w:rsidTr="0056083E">
        <w:tc>
          <w:tcPr>
            <w:tcW w:w="630" w:type="dxa"/>
            <w:tcBorders>
              <w:top w:val="nil"/>
              <w:left w:val="single" w:sz="4" w:space="0" w:color="auto"/>
              <w:bottom w:val="single" w:sz="4" w:space="0" w:color="auto"/>
              <w:right w:val="nil"/>
            </w:tcBorders>
            <w:shd w:val="clear" w:color="000000" w:fill="FFFFFF"/>
            <w:noWrap/>
            <w:vAlign w:val="center"/>
          </w:tcPr>
          <w:p w:rsidR="00C82EE5" w:rsidRPr="002D02F3" w:rsidRDefault="00C82EE5" w:rsidP="001A5BF9">
            <w:pPr>
              <w:spacing w:before="120" w:after="120"/>
              <w:rPr>
                <w:rFonts w:cs="Arial"/>
                <w:sz w:val="16"/>
                <w:szCs w:val="16"/>
              </w:rPr>
            </w:pPr>
            <w:proofErr w:type="spellStart"/>
            <w:r w:rsidRPr="002D02F3">
              <w:rPr>
                <w:sz w:val="16"/>
              </w:rPr>
              <w:t>VIII.2</w:t>
            </w:r>
            <w:proofErr w:type="spellEnd"/>
          </w:p>
        </w:tc>
        <w:tc>
          <w:tcPr>
            <w:tcW w:w="4195" w:type="dxa"/>
            <w:tcBorders>
              <w:top w:val="nil"/>
              <w:left w:val="nil"/>
              <w:bottom w:val="single" w:sz="4" w:space="0" w:color="auto"/>
              <w:right w:val="nil"/>
            </w:tcBorders>
            <w:shd w:val="clear" w:color="000000" w:fill="FFFFFF"/>
            <w:vAlign w:val="center"/>
          </w:tcPr>
          <w:p w:rsidR="00C82EE5" w:rsidRPr="002D02F3" w:rsidRDefault="00C82EE5" w:rsidP="001A5BF9">
            <w:pPr>
              <w:spacing w:before="120" w:after="120"/>
              <w:rPr>
                <w:rFonts w:cs="Arial"/>
                <w:sz w:val="16"/>
                <w:szCs w:val="16"/>
              </w:rPr>
            </w:pPr>
            <w:r w:rsidRPr="002D02F3">
              <w:rPr>
                <w:sz w:val="16"/>
              </w:rPr>
              <w:t>Amélioration de l</w:t>
            </w:r>
            <w:r w:rsidR="00A20444" w:rsidRPr="002D02F3">
              <w:rPr>
                <w:sz w:val="16"/>
              </w:rPr>
              <w:t>’</w:t>
            </w:r>
            <w:r w:rsidRPr="002D02F3">
              <w:rPr>
                <w:sz w:val="16"/>
              </w:rPr>
              <w:t>orientation vers les services et de la réactivité à la demande</w:t>
            </w:r>
          </w:p>
        </w:tc>
        <w:tc>
          <w:tcPr>
            <w:tcW w:w="1559" w:type="dxa"/>
            <w:tcBorders>
              <w:top w:val="nil"/>
              <w:left w:val="nil"/>
              <w:bottom w:val="single" w:sz="4" w:space="0" w:color="auto"/>
              <w:right w:val="nil"/>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2 935 </w:t>
            </w:r>
          </w:p>
        </w:tc>
        <w:tc>
          <w:tcPr>
            <w:tcW w:w="1559" w:type="dxa"/>
            <w:tcBorders>
              <w:top w:val="nil"/>
              <w:left w:val="nil"/>
              <w:bottom w:val="single" w:sz="4" w:space="0" w:color="auto"/>
              <w:right w:val="nil"/>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2 851 </w:t>
            </w:r>
          </w:p>
        </w:tc>
        <w:tc>
          <w:tcPr>
            <w:tcW w:w="1418" w:type="dxa"/>
            <w:tcBorders>
              <w:top w:val="nil"/>
              <w:left w:val="nil"/>
              <w:bottom w:val="single" w:sz="4" w:space="0" w:color="auto"/>
              <w:right w:val="single" w:sz="4" w:space="0" w:color="auto"/>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2 660</w:t>
            </w:r>
          </w:p>
        </w:tc>
      </w:tr>
      <w:tr w:rsidR="00C82EE5" w:rsidRPr="002D02F3" w:rsidTr="0056083E">
        <w:tc>
          <w:tcPr>
            <w:tcW w:w="630" w:type="dxa"/>
            <w:tcBorders>
              <w:top w:val="nil"/>
              <w:left w:val="single" w:sz="4" w:space="0" w:color="auto"/>
              <w:bottom w:val="single" w:sz="4" w:space="0" w:color="auto"/>
              <w:right w:val="nil"/>
            </w:tcBorders>
            <w:shd w:val="clear" w:color="000000" w:fill="CCFFFF"/>
            <w:noWrap/>
            <w:vAlign w:val="bottom"/>
          </w:tcPr>
          <w:p w:rsidR="00C82EE5" w:rsidRPr="002D02F3" w:rsidRDefault="00C82EE5" w:rsidP="001A5BF9">
            <w:pPr>
              <w:spacing w:before="120" w:after="120"/>
              <w:jc w:val="center"/>
              <w:rPr>
                <w:rFonts w:cs="Arial"/>
                <w:b/>
                <w:bCs/>
                <w:sz w:val="16"/>
                <w:szCs w:val="16"/>
              </w:rPr>
            </w:pPr>
            <w:r w:rsidRPr="002D02F3">
              <w:rPr>
                <w:b/>
                <w:sz w:val="16"/>
              </w:rPr>
              <w:t> </w:t>
            </w:r>
          </w:p>
        </w:tc>
        <w:tc>
          <w:tcPr>
            <w:tcW w:w="4195" w:type="dxa"/>
            <w:tcBorders>
              <w:top w:val="nil"/>
              <w:left w:val="nil"/>
              <w:bottom w:val="single" w:sz="4" w:space="0" w:color="auto"/>
              <w:right w:val="nil"/>
            </w:tcBorders>
            <w:shd w:val="clear" w:color="000000" w:fill="CCFFFF"/>
            <w:noWrap/>
            <w:vAlign w:val="center"/>
          </w:tcPr>
          <w:p w:rsidR="00C82EE5" w:rsidRPr="002D02F3" w:rsidRDefault="00C82EE5" w:rsidP="001A5BF9">
            <w:pPr>
              <w:spacing w:before="120" w:after="120"/>
              <w:rPr>
                <w:rFonts w:cs="Arial"/>
                <w:b/>
                <w:bCs/>
                <w:sz w:val="16"/>
                <w:szCs w:val="16"/>
              </w:rPr>
            </w:pPr>
            <w:r w:rsidRPr="002D02F3">
              <w:rPr>
                <w:b/>
                <w:sz w:val="16"/>
              </w:rPr>
              <w:t>Total</w:t>
            </w:r>
          </w:p>
        </w:tc>
        <w:tc>
          <w:tcPr>
            <w:tcW w:w="1559" w:type="dxa"/>
            <w:tcBorders>
              <w:top w:val="nil"/>
              <w:left w:val="single" w:sz="4" w:space="0" w:color="auto"/>
              <w:bottom w:val="single" w:sz="4" w:space="0" w:color="auto"/>
              <w:right w:val="single" w:sz="4" w:space="0" w:color="auto"/>
            </w:tcBorders>
            <w:shd w:val="clear" w:color="000000" w:fill="CCFFFF"/>
            <w:vAlign w:val="center"/>
          </w:tcPr>
          <w:p w:rsidR="00C82EE5" w:rsidRPr="002D02F3" w:rsidRDefault="00C82EE5" w:rsidP="001A5BF9">
            <w:pPr>
              <w:spacing w:before="120" w:after="120"/>
              <w:jc w:val="right"/>
              <w:rPr>
                <w:rFonts w:cs="Arial"/>
                <w:b/>
                <w:bCs/>
                <w:sz w:val="16"/>
                <w:szCs w:val="16"/>
              </w:rPr>
            </w:pPr>
            <w:r w:rsidRPr="002D02F3">
              <w:rPr>
                <w:b/>
                <w:sz w:val="16"/>
              </w:rPr>
              <w:t>16 599</w:t>
            </w:r>
          </w:p>
        </w:tc>
        <w:tc>
          <w:tcPr>
            <w:tcW w:w="1559" w:type="dxa"/>
            <w:tcBorders>
              <w:top w:val="nil"/>
              <w:left w:val="nil"/>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right"/>
              <w:rPr>
                <w:rFonts w:cs="Arial"/>
                <w:b/>
                <w:bCs/>
                <w:sz w:val="16"/>
                <w:szCs w:val="16"/>
              </w:rPr>
            </w:pPr>
            <w:r w:rsidRPr="002D02F3">
              <w:rPr>
                <w:b/>
                <w:sz w:val="16"/>
              </w:rPr>
              <w:t>16 576</w:t>
            </w:r>
          </w:p>
        </w:tc>
        <w:tc>
          <w:tcPr>
            <w:tcW w:w="1418" w:type="dxa"/>
            <w:tcBorders>
              <w:top w:val="nil"/>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right"/>
              <w:rPr>
                <w:rFonts w:cs="Arial"/>
                <w:b/>
                <w:bCs/>
                <w:sz w:val="16"/>
                <w:szCs w:val="16"/>
              </w:rPr>
            </w:pPr>
            <w:r w:rsidRPr="002D02F3">
              <w:rPr>
                <w:b/>
                <w:sz w:val="16"/>
              </w:rPr>
              <w:t>16 108</w:t>
            </w:r>
          </w:p>
        </w:tc>
      </w:tr>
    </w:tbl>
    <w:p w:rsidR="00D42474" w:rsidRDefault="00D42474" w:rsidP="001A5BF9">
      <w:pPr>
        <w:autoSpaceDE w:val="0"/>
        <w:autoSpaceDN w:val="0"/>
        <w:adjustRightInd w:val="0"/>
        <w:jc w:val="both"/>
        <w:rPr>
          <w:rFonts w:eastAsia="SimSun"/>
          <w:szCs w:val="22"/>
        </w:rPr>
      </w:pPr>
    </w:p>
    <w:p w:rsidR="00D42474" w:rsidRDefault="00D42474" w:rsidP="001A5BF9">
      <w:pPr>
        <w:autoSpaceDE w:val="0"/>
        <w:autoSpaceDN w:val="0"/>
        <w:adjustRightInd w:val="0"/>
        <w:jc w:val="both"/>
        <w:rPr>
          <w:rFonts w:eastAsia="SimSun"/>
          <w:szCs w:val="22"/>
        </w:rPr>
      </w:pPr>
    </w:p>
    <w:p w:rsidR="00D42474" w:rsidRDefault="00C82EE5" w:rsidP="001A5BF9">
      <w:pPr>
        <w:pStyle w:val="NormalWeb"/>
        <w:spacing w:before="0" w:beforeAutospacing="0" w:after="0" w:afterAutospacing="0"/>
        <w:jc w:val="center"/>
        <w:rPr>
          <w:sz w:val="20"/>
        </w:rPr>
      </w:pPr>
      <w:r w:rsidRPr="002D02F3">
        <w:rPr>
          <w:sz w:val="20"/>
        </w:rPr>
        <w:t xml:space="preserve">Budget et dépenses effectives (dépenses de </w:t>
      </w:r>
      <w:proofErr w:type="gramStart"/>
      <w:r w:rsidRPr="002D02F3">
        <w:rPr>
          <w:sz w:val="20"/>
        </w:rPr>
        <w:t>personnel et autres dépenses</w:t>
      </w:r>
      <w:proofErr w:type="gramEnd"/>
      <w:r w:rsidRPr="002D02F3">
        <w:rPr>
          <w:sz w:val="20"/>
        </w:rPr>
        <w:t>)</w:t>
      </w:r>
    </w:p>
    <w:p w:rsidR="00D42474" w:rsidRDefault="00C82EE5"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C82EE5" w:rsidRPr="002D02F3" w:rsidRDefault="00C82EE5" w:rsidP="001A5BF9">
      <w:pPr>
        <w:autoSpaceDE w:val="0"/>
        <w:autoSpaceDN w:val="0"/>
        <w:adjustRightInd w:val="0"/>
        <w:jc w:val="both"/>
        <w:rPr>
          <w:rFonts w:eastAsia="SimSun"/>
          <w:szCs w:val="22"/>
        </w:rPr>
      </w:pPr>
    </w:p>
    <w:tbl>
      <w:tblPr>
        <w:tblW w:w="9356" w:type="dxa"/>
        <w:tblInd w:w="108" w:type="dxa"/>
        <w:tblLook w:val="04A0" w:firstRow="1" w:lastRow="0" w:firstColumn="1" w:lastColumn="0" w:noHBand="0" w:noVBand="1"/>
      </w:tblPr>
      <w:tblGrid>
        <w:gridCol w:w="2695"/>
        <w:gridCol w:w="1664"/>
        <w:gridCol w:w="1665"/>
        <w:gridCol w:w="1667"/>
        <w:gridCol w:w="1665"/>
      </w:tblGrid>
      <w:tr w:rsidR="00C82EE5" w:rsidRPr="002D02F3" w:rsidTr="0056083E">
        <w:tc>
          <w:tcPr>
            <w:tcW w:w="2695"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rPr>
                <w:rFonts w:cs="Arial"/>
                <w:sz w:val="16"/>
                <w:szCs w:val="16"/>
              </w:rPr>
            </w:pPr>
            <w:r w:rsidRPr="002D02F3">
              <w:rPr>
                <w:sz w:val="16"/>
              </w:rPr>
              <w:t> </w:t>
            </w:r>
          </w:p>
        </w:tc>
        <w:tc>
          <w:tcPr>
            <w:tcW w:w="1664"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665"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667"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665"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utilisation (</w:t>
            </w:r>
            <w:r w:rsidR="007E442D" w:rsidRPr="002D02F3">
              <w:rPr>
                <w:sz w:val="16"/>
              </w:rPr>
              <w:t>%</w:t>
            </w:r>
            <w:r w:rsidRPr="002D02F3">
              <w:rPr>
                <w:sz w:val="16"/>
              </w:rPr>
              <w:t>)</w:t>
            </w:r>
          </w:p>
        </w:tc>
      </w:tr>
      <w:tr w:rsidR="00C82EE5" w:rsidRPr="002D02F3" w:rsidTr="0056083E">
        <w:tc>
          <w:tcPr>
            <w:tcW w:w="2695"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664"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13 299</w:t>
            </w:r>
          </w:p>
        </w:tc>
        <w:tc>
          <w:tcPr>
            <w:tcW w:w="1665"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13 701</w:t>
            </w:r>
          </w:p>
        </w:tc>
        <w:tc>
          <w:tcPr>
            <w:tcW w:w="1667"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13 701</w:t>
            </w:r>
          </w:p>
        </w:tc>
        <w:tc>
          <w:tcPr>
            <w:tcW w:w="1665"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100</w:t>
            </w:r>
            <w:r w:rsidR="007E442D" w:rsidRPr="002D02F3">
              <w:rPr>
                <w:sz w:val="16"/>
              </w:rPr>
              <w:t>%</w:t>
            </w:r>
          </w:p>
        </w:tc>
      </w:tr>
      <w:tr w:rsidR="00C82EE5" w:rsidRPr="002D02F3" w:rsidTr="0056083E">
        <w:tc>
          <w:tcPr>
            <w:tcW w:w="2695"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rPr>
                <w:rFonts w:cs="Arial"/>
                <w:sz w:val="16"/>
                <w:szCs w:val="16"/>
              </w:rPr>
            </w:pPr>
            <w:r w:rsidRPr="002D02F3">
              <w:rPr>
                <w:sz w:val="16"/>
              </w:rPr>
              <w:t xml:space="preserve">Autres dépenses </w:t>
            </w:r>
          </w:p>
        </w:tc>
        <w:tc>
          <w:tcPr>
            <w:tcW w:w="1664"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3 300</w:t>
            </w:r>
          </w:p>
        </w:tc>
        <w:tc>
          <w:tcPr>
            <w:tcW w:w="1665"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2 875</w:t>
            </w:r>
          </w:p>
        </w:tc>
        <w:tc>
          <w:tcPr>
            <w:tcW w:w="1667"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2 407</w:t>
            </w:r>
          </w:p>
        </w:tc>
        <w:tc>
          <w:tcPr>
            <w:tcW w:w="1665"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84</w:t>
            </w:r>
            <w:r w:rsidR="007E442D" w:rsidRPr="002D02F3">
              <w:rPr>
                <w:sz w:val="16"/>
              </w:rPr>
              <w:t>%</w:t>
            </w:r>
          </w:p>
        </w:tc>
      </w:tr>
      <w:tr w:rsidR="00C82EE5" w:rsidRPr="002D02F3" w:rsidTr="0056083E">
        <w:tc>
          <w:tcPr>
            <w:tcW w:w="2695"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jc w:val="right"/>
              <w:rPr>
                <w:rFonts w:cs="Arial"/>
                <w:b/>
                <w:bCs/>
                <w:sz w:val="16"/>
                <w:szCs w:val="16"/>
              </w:rPr>
            </w:pPr>
            <w:r w:rsidRPr="002D02F3">
              <w:rPr>
                <w:b/>
                <w:sz w:val="16"/>
              </w:rPr>
              <w:t xml:space="preserve"> TOTAL </w:t>
            </w:r>
          </w:p>
        </w:tc>
        <w:tc>
          <w:tcPr>
            <w:tcW w:w="1664"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bCs/>
                <w:sz w:val="16"/>
                <w:szCs w:val="16"/>
              </w:rPr>
            </w:pPr>
            <w:r w:rsidRPr="002D02F3">
              <w:rPr>
                <w:b/>
                <w:sz w:val="16"/>
              </w:rPr>
              <w:t>16 599</w:t>
            </w:r>
          </w:p>
        </w:tc>
        <w:tc>
          <w:tcPr>
            <w:tcW w:w="1665"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16 576</w:t>
            </w:r>
          </w:p>
        </w:tc>
        <w:tc>
          <w:tcPr>
            <w:tcW w:w="1667"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16 108</w:t>
            </w:r>
          </w:p>
        </w:tc>
        <w:tc>
          <w:tcPr>
            <w:tcW w:w="1665"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97</w:t>
            </w:r>
            <w:r w:rsidR="007E442D" w:rsidRPr="002D02F3">
              <w:rPr>
                <w:b/>
                <w:sz w:val="16"/>
              </w:rPr>
              <w:t>%</w:t>
            </w:r>
          </w:p>
        </w:tc>
      </w:tr>
    </w:tbl>
    <w:p w:rsidR="00D42474" w:rsidRDefault="00D42474" w:rsidP="001A5BF9">
      <w:pPr>
        <w:autoSpaceDE w:val="0"/>
        <w:autoSpaceDN w:val="0"/>
        <w:adjustRightInd w:val="0"/>
        <w:jc w:val="both"/>
        <w:rPr>
          <w:rFonts w:eastAsia="SimSun"/>
          <w:szCs w:val="22"/>
        </w:rPr>
      </w:pPr>
    </w:p>
    <w:p w:rsidR="00D42474" w:rsidRDefault="00C82EE5" w:rsidP="001A5BF9">
      <w:pPr>
        <w:keepNext/>
        <w:autoSpaceDE w:val="0"/>
        <w:autoSpaceDN w:val="0"/>
        <w:rPr>
          <w:rFonts w:cs="Arial"/>
          <w:sz w:val="16"/>
          <w:szCs w:val="16"/>
        </w:rPr>
      </w:pPr>
      <w:proofErr w:type="gramStart"/>
      <w:r w:rsidRPr="002D02F3">
        <w:rPr>
          <w:sz w:val="16"/>
        </w:rPr>
        <w:t>NOTES</w:t>
      </w:r>
      <w:proofErr w:type="gramEnd"/>
      <w:r w:rsidR="0010442A" w:rsidRPr="002D02F3">
        <w:rPr>
          <w:sz w:val="16"/>
        </w:rPr>
        <w:t> </w:t>
      </w:r>
      <w:r w:rsidRPr="002D02F3">
        <w:rPr>
          <w:sz w:val="16"/>
        </w:rPr>
        <w:t>:</w:t>
      </w:r>
    </w:p>
    <w:p w:rsidR="00D42474" w:rsidRDefault="00D42474" w:rsidP="001A5BF9">
      <w:pPr>
        <w:keepNext/>
        <w:autoSpaceDE w:val="0"/>
        <w:autoSpaceDN w:val="0"/>
        <w:rPr>
          <w:rFonts w:cs="Arial"/>
          <w:sz w:val="16"/>
          <w:szCs w:val="16"/>
        </w:rPr>
      </w:pPr>
    </w:p>
    <w:p w:rsidR="00D42474" w:rsidRDefault="00C82EE5" w:rsidP="001A5BF9">
      <w:pPr>
        <w:keepNext/>
        <w:autoSpaceDE w:val="0"/>
        <w:autoSpaceDN w:val="0"/>
        <w:rPr>
          <w:rFonts w:cs="Arial"/>
          <w:sz w:val="16"/>
          <w:szCs w:val="16"/>
        </w:rPr>
      </w:pPr>
      <w:r w:rsidRPr="002D02F3">
        <w:rPr>
          <w:sz w:val="16"/>
        </w:rPr>
        <w:t>1)</w:t>
      </w:r>
      <w:r w:rsidR="004F3E42" w:rsidRPr="002D02F3">
        <w:rPr>
          <w:sz w:val="16"/>
        </w:rPr>
        <w:t xml:space="preserve"> </w:t>
      </w:r>
      <w:r w:rsidR="00B10DA8">
        <w:rPr>
          <w:sz w:val="16"/>
        </w:rPr>
        <w:tab/>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keepNext/>
        <w:autoSpaceDE w:val="0"/>
        <w:autoSpaceDN w:val="0"/>
        <w:rPr>
          <w:rFonts w:cs="Arial"/>
          <w:sz w:val="16"/>
          <w:szCs w:val="16"/>
        </w:rPr>
      </w:pPr>
    </w:p>
    <w:p w:rsidR="00D42474" w:rsidRDefault="00B10DA8" w:rsidP="001A5BF9">
      <w:pPr>
        <w:keepNext/>
        <w:autoSpaceDE w:val="0"/>
        <w:autoSpaceDN w:val="0"/>
        <w:rPr>
          <w:sz w:val="16"/>
        </w:rPr>
      </w:pPr>
      <w:r>
        <w:rPr>
          <w:sz w:val="16"/>
        </w:rPr>
        <w:t>2)</w:t>
      </w:r>
      <w:r>
        <w:rPr>
          <w:sz w:val="16"/>
        </w:rPr>
        <w:tab/>
      </w:r>
      <w:r w:rsidR="00C82EE5" w:rsidRPr="002D02F3">
        <w:rPr>
          <w:sz w:val="16"/>
        </w:rPr>
        <w:t>Les dépenses de personnel indiquées dans le budget de l</w:t>
      </w:r>
      <w:r w:rsidR="00A20444" w:rsidRPr="002D02F3">
        <w:rPr>
          <w:sz w:val="16"/>
        </w:rPr>
        <w:t>’</w:t>
      </w:r>
      <w:r w:rsidR="00C82EE5" w:rsidRPr="002D02F3">
        <w:rPr>
          <w:sz w:val="16"/>
        </w:rPr>
        <w:t>exercice 2012</w:t>
      </w:r>
      <w:r w:rsidR="002D6F2A" w:rsidRPr="002D02F3">
        <w:rPr>
          <w:sz w:val="16"/>
        </w:rPr>
        <w:noBreakHyphen/>
      </w:r>
      <w:r w:rsidR="00C82EE5" w:rsidRPr="002D02F3">
        <w:rPr>
          <w:sz w:val="16"/>
        </w:rPr>
        <w:t>2013 après virements représentent les dépenses réelles engagées pendant l</w:t>
      </w:r>
      <w:r w:rsidR="00A20444" w:rsidRPr="002D02F3">
        <w:rPr>
          <w:sz w:val="16"/>
        </w:rPr>
        <w:t>’</w:t>
      </w:r>
      <w:r w:rsidR="00C82EE5" w:rsidRPr="002D02F3">
        <w:rPr>
          <w:sz w:val="16"/>
        </w:rPr>
        <w:t>exercice biennal.</w:t>
      </w:r>
    </w:p>
    <w:p w:rsidR="00D42474" w:rsidRDefault="00D42474" w:rsidP="001A5BF9">
      <w:pPr>
        <w:keepNext/>
        <w:autoSpaceDE w:val="0"/>
        <w:autoSpaceDN w:val="0"/>
        <w:rPr>
          <w:sz w:val="16"/>
          <w:szCs w:val="16"/>
        </w:rPr>
      </w:pPr>
    </w:p>
    <w:p w:rsidR="00D42474" w:rsidRDefault="00D42474" w:rsidP="001A5BF9">
      <w:pPr>
        <w:autoSpaceDE w:val="0"/>
        <w:autoSpaceDN w:val="0"/>
        <w:adjustRightInd w:val="0"/>
        <w:jc w:val="both"/>
        <w:rPr>
          <w:rFonts w:eastAsia="SimSun"/>
          <w:szCs w:val="22"/>
        </w:rPr>
      </w:pPr>
    </w:p>
    <w:p w:rsidR="00D42474" w:rsidRDefault="00C82EE5" w:rsidP="00B10DA8">
      <w:pPr>
        <w:rPr>
          <w:rFonts w:eastAsia="SimSun"/>
        </w:rPr>
      </w:pPr>
      <w:r w:rsidRPr="00B10DA8">
        <w:t>A.</w:t>
      </w:r>
      <w:r w:rsidRPr="00B10DA8">
        <w:tab/>
      </w:r>
      <w:r w:rsidRPr="00B10DA8">
        <w:rPr>
          <w:u w:val="single"/>
        </w:rPr>
        <w:t>Budget 2012</w:t>
      </w:r>
      <w:r w:rsidR="002D6F2A" w:rsidRPr="00B10DA8">
        <w:rPr>
          <w:u w:val="single"/>
        </w:rPr>
        <w:noBreakHyphen/>
      </w:r>
      <w:r w:rsidRPr="00B10DA8">
        <w:rPr>
          <w:u w:val="single"/>
        </w:rPr>
        <w:t>2013 après virements</w:t>
      </w:r>
    </w:p>
    <w:p w:rsidR="00D42474" w:rsidRDefault="00D42474" w:rsidP="00B10DA8"/>
    <w:p w:rsidR="00D42474" w:rsidRDefault="00C82EE5" w:rsidP="00B10DA8">
      <w:r w:rsidRPr="00B10DA8">
        <w:t>19.14</w:t>
      </w:r>
      <w:r w:rsidRPr="00B10DA8">
        <w:tab/>
        <w:t>L</w:t>
      </w:r>
      <w:r w:rsidR="00A20444" w:rsidRPr="00B10DA8">
        <w:t>’</w:t>
      </w:r>
      <w:r w:rsidRPr="00B10DA8">
        <w:t>affectation aux dépenses autres pour le budget 2012</w:t>
      </w:r>
      <w:r w:rsidR="002D6F2A" w:rsidRPr="00B10DA8">
        <w:noBreakHyphen/>
      </w:r>
      <w:r w:rsidRPr="00B10DA8">
        <w:t>2013 après virements, tient compte des ajustements à la baisse opérés pour réduire les coûts conformément aux engagements de l</w:t>
      </w:r>
      <w:r w:rsidR="00A20444" w:rsidRPr="00B10DA8">
        <w:t>’</w:t>
      </w:r>
      <w:r w:rsidRPr="00B10DA8">
        <w:t>Organisation de réduire les dépenses de 10,2</w:t>
      </w:r>
      <w:r w:rsidR="0010442A" w:rsidRPr="00B10DA8">
        <w:t> </w:t>
      </w:r>
      <w:r w:rsidRPr="00B10DA8">
        <w:t>millions de francs suisses pour l</w:t>
      </w:r>
      <w:r w:rsidR="00A20444" w:rsidRPr="00B10DA8">
        <w:t>’</w:t>
      </w:r>
      <w:r w:rsidRPr="00B10DA8">
        <w:t>exercice biennal</w:t>
      </w:r>
      <w:r w:rsidR="0010442A" w:rsidRPr="00B10DA8">
        <w:t> </w:t>
      </w:r>
      <w:r w:rsidRPr="00B10DA8">
        <w:t>2012</w:t>
      </w:r>
      <w:r w:rsidR="002D6F2A" w:rsidRPr="00B10DA8">
        <w:noBreakHyphen/>
      </w:r>
      <w:r w:rsidRPr="00B10DA8">
        <w:t>2013.</w:t>
      </w:r>
    </w:p>
    <w:p w:rsidR="00D42474" w:rsidRDefault="00D42474" w:rsidP="00B10DA8"/>
    <w:p w:rsidR="00D42474" w:rsidRDefault="00C82EE5" w:rsidP="00B10DA8">
      <w:pPr>
        <w:rPr>
          <w:rFonts w:cs="Arial"/>
          <w:szCs w:val="20"/>
        </w:rPr>
      </w:pPr>
      <w:r w:rsidRPr="00B10DA8">
        <w:t>19.15.</w:t>
      </w:r>
      <w:r w:rsidRPr="00B10DA8">
        <w:tab/>
        <w:t>La hausse marquée de l</w:t>
      </w:r>
      <w:r w:rsidR="00A20444" w:rsidRPr="00B10DA8">
        <w:t>’</w:t>
      </w:r>
      <w:r w:rsidRPr="00B10DA8">
        <w:t>affectation des ressources en personnel reflète le virement du</w:t>
      </w:r>
      <w:r w:rsidRPr="002D02F3">
        <w:t xml:space="preserve"> programme d</w:t>
      </w:r>
      <w:r w:rsidR="00A20444" w:rsidRPr="002D02F3">
        <w:t>’</w:t>
      </w:r>
      <w:r w:rsidRPr="002D02F3">
        <w:t>attribution de prix vers le programme 17 en 2012 et le transfert des responsabilités pour les communications Web du programme 25 vers le programme 19 en 2013.</w:t>
      </w:r>
    </w:p>
    <w:p w:rsidR="00D42474" w:rsidRDefault="00D42474" w:rsidP="001A5BF9">
      <w:pPr>
        <w:tabs>
          <w:tab w:val="left" w:pos="709"/>
        </w:tabs>
        <w:autoSpaceDE w:val="0"/>
        <w:autoSpaceDN w:val="0"/>
        <w:adjustRightInd w:val="0"/>
        <w:jc w:val="both"/>
        <w:rPr>
          <w:rFonts w:eastAsia="SimSun"/>
          <w:szCs w:val="20"/>
        </w:rPr>
      </w:pPr>
    </w:p>
    <w:p w:rsidR="00D42474" w:rsidRDefault="00C82EE5" w:rsidP="001A5BF9">
      <w:pPr>
        <w:tabs>
          <w:tab w:val="left" w:pos="709"/>
        </w:tabs>
        <w:autoSpaceDE w:val="0"/>
        <w:autoSpaceDN w:val="0"/>
        <w:adjustRightInd w:val="0"/>
        <w:jc w:val="both"/>
        <w:rPr>
          <w:rFonts w:eastAsia="SimSun"/>
          <w:szCs w:val="20"/>
          <w:u w:val="single"/>
        </w:rPr>
      </w:pPr>
      <w:r w:rsidRPr="002D02F3">
        <w:t>B.</w:t>
      </w:r>
      <w:r w:rsidRPr="002D02F3">
        <w:tab/>
      </w:r>
      <w:r w:rsidRPr="002D02F3">
        <w:rPr>
          <w:u w:val="single"/>
        </w:rPr>
        <w:t>Utilisation du budget 2012</w:t>
      </w:r>
      <w:r w:rsidR="002D6F2A" w:rsidRPr="002D02F3">
        <w:rPr>
          <w:u w:val="single"/>
        </w:rPr>
        <w:noBreakHyphen/>
      </w:r>
      <w:r w:rsidRPr="002D02F3">
        <w:rPr>
          <w:u w:val="single"/>
        </w:rPr>
        <w:t>2013</w:t>
      </w:r>
    </w:p>
    <w:p w:rsidR="00D42474" w:rsidRDefault="00D42474" w:rsidP="001A5BF9">
      <w:pPr>
        <w:tabs>
          <w:tab w:val="left" w:pos="709"/>
        </w:tabs>
        <w:autoSpaceDE w:val="0"/>
        <w:autoSpaceDN w:val="0"/>
        <w:adjustRightInd w:val="0"/>
        <w:jc w:val="both"/>
        <w:rPr>
          <w:rFonts w:eastAsia="SimSun"/>
          <w:szCs w:val="20"/>
        </w:rPr>
      </w:pPr>
    </w:p>
    <w:p w:rsidR="00D42474" w:rsidRDefault="00C82EE5" w:rsidP="001A5BF9">
      <w:pPr>
        <w:tabs>
          <w:tab w:val="left" w:pos="709"/>
        </w:tabs>
        <w:autoSpaceDE w:val="0"/>
        <w:autoSpaceDN w:val="0"/>
        <w:adjustRightInd w:val="0"/>
        <w:jc w:val="both"/>
        <w:rPr>
          <w:color w:val="000000"/>
        </w:rPr>
      </w:pPr>
      <w:r w:rsidRPr="002D02F3">
        <w:t>19.16.</w:t>
      </w:r>
      <w:r w:rsidRPr="002D02F3">
        <w:tab/>
        <w:t>L</w:t>
      </w:r>
      <w:r w:rsidR="00A20444" w:rsidRPr="002D02F3">
        <w:t>’</w:t>
      </w:r>
      <w:r w:rsidRPr="002D02F3">
        <w:t>utilisation de 84</w:t>
      </w:r>
      <w:r w:rsidR="007E442D" w:rsidRPr="002D02F3">
        <w:t>%</w:t>
      </w:r>
      <w:r w:rsidRPr="002D02F3">
        <w:t xml:space="preserve"> du budget était essentiellement due à des dépenses mo</w:t>
      </w:r>
      <w:r w:rsidR="00076F3E" w:rsidRPr="002D02F3">
        <w:t xml:space="preserve">ins élevées que prévues pour : </w:t>
      </w:r>
      <w:r w:rsidRPr="002D02F3">
        <w:t>i) la mise en œuvre des initiatives en faveur d</w:t>
      </w:r>
      <w:r w:rsidR="00A20444" w:rsidRPr="002D02F3">
        <w:t>’</w:t>
      </w:r>
      <w:r w:rsidRPr="002D02F3">
        <w:t>une orientation vers les services du programme de réorientation stratégique reflétée sous le résultat </w:t>
      </w:r>
      <w:proofErr w:type="spellStart"/>
      <w:r w:rsidRPr="002D02F3">
        <w:t>VIII.2</w:t>
      </w:r>
      <w:proofErr w:type="spellEnd"/>
      <w:r w:rsidRPr="002D02F3">
        <w:t xml:space="preserve"> (Amélioration de l</w:t>
      </w:r>
      <w:r w:rsidR="00A20444" w:rsidRPr="002D02F3">
        <w:t>’</w:t>
      </w:r>
      <w:r w:rsidRPr="002D02F3">
        <w:t xml:space="preserve">orientation vers </w:t>
      </w:r>
      <w:r w:rsidRPr="005C7CCE">
        <w:rPr>
          <w:color w:val="000000"/>
        </w:rPr>
        <w:t>les services);</w:t>
      </w:r>
      <w:r w:rsidR="004F3E42" w:rsidRPr="005C7CCE">
        <w:rPr>
          <w:color w:val="000000"/>
        </w:rPr>
        <w:t xml:space="preserve"> </w:t>
      </w:r>
      <w:r w:rsidR="0010442A" w:rsidRPr="005C7CCE">
        <w:rPr>
          <w:color w:val="000000"/>
        </w:rPr>
        <w:t xml:space="preserve"> </w:t>
      </w:r>
      <w:r w:rsidRPr="005C7CCE">
        <w:rPr>
          <w:color w:val="000000"/>
        </w:rPr>
        <w:t>ii) l</w:t>
      </w:r>
      <w:r w:rsidR="00A20444" w:rsidRPr="005C7CCE">
        <w:rPr>
          <w:color w:val="000000"/>
        </w:rPr>
        <w:t>’</w:t>
      </w:r>
      <w:r w:rsidRPr="005C7CCE">
        <w:rPr>
          <w:color w:val="000000"/>
        </w:rPr>
        <w:t>extension de la bibliothèque électronique;</w:t>
      </w:r>
      <w:r w:rsidR="0010442A" w:rsidRPr="005C7CCE">
        <w:rPr>
          <w:color w:val="000000"/>
        </w:rPr>
        <w:t xml:space="preserve"> </w:t>
      </w:r>
      <w:r w:rsidR="004F3E42" w:rsidRPr="005C7CCE">
        <w:rPr>
          <w:color w:val="000000"/>
        </w:rPr>
        <w:t xml:space="preserve"> </w:t>
      </w:r>
      <w:r w:rsidR="00076F3E" w:rsidRPr="005C7CCE">
        <w:rPr>
          <w:color w:val="000000"/>
        </w:rPr>
        <w:t xml:space="preserve">et </w:t>
      </w:r>
      <w:r w:rsidRPr="005C7CCE">
        <w:rPr>
          <w:color w:val="000000"/>
        </w:rPr>
        <w:t>iii) les activités liées aux médias reflétées sous le résultat </w:t>
      </w:r>
      <w:proofErr w:type="spellStart"/>
      <w:r w:rsidRPr="005C7CCE">
        <w:rPr>
          <w:color w:val="000000"/>
        </w:rPr>
        <w:t>VIII.1</w:t>
      </w:r>
      <w:proofErr w:type="spellEnd"/>
      <w:r w:rsidRPr="005C7CCE">
        <w:rPr>
          <w:color w:val="000000"/>
        </w:rPr>
        <w:t xml:space="preserve"> (Communication plus efficace).</w:t>
      </w:r>
    </w:p>
    <w:p w:rsidR="00D42474" w:rsidRDefault="00C82EE5" w:rsidP="001A5BF9">
      <w:pPr>
        <w:rPr>
          <w:rFonts w:ascii="Arial Bold" w:hAnsi="Arial Bold"/>
          <w:b/>
          <w:bCs/>
          <w:caps/>
        </w:rPr>
      </w:pPr>
      <w:r w:rsidRPr="005C7CCE">
        <w:br w:type="page"/>
      </w:r>
    </w:p>
    <w:p w:rsidR="00D42474" w:rsidRDefault="00C82EE5" w:rsidP="001A5BF9">
      <w:pPr>
        <w:pStyle w:val="Heading3"/>
        <w:rPr>
          <w:szCs w:val="22"/>
        </w:rPr>
      </w:pPr>
      <w:bookmarkStart w:id="39" w:name="_Toc395082491"/>
      <w:r w:rsidRPr="00B76999">
        <w:rPr>
          <w:szCs w:val="22"/>
        </w:rPr>
        <w:t>Programme 20</w:t>
      </w:r>
      <w:r w:rsidRPr="00B76999">
        <w:rPr>
          <w:szCs w:val="22"/>
        </w:rPr>
        <w:tab/>
        <w:t>Relations extérieures, partenariats et bureaux extérieurs</w:t>
      </w:r>
      <w:bookmarkEnd w:id="39"/>
    </w:p>
    <w:p w:rsidR="00D42474" w:rsidRDefault="00D42474" w:rsidP="001A5BF9">
      <w:pPr>
        <w:rPr>
          <w:rFonts w:eastAsia="SimSun"/>
          <w:sz w:val="22"/>
          <w:szCs w:val="22"/>
        </w:rPr>
      </w:pPr>
    </w:p>
    <w:p w:rsidR="00D42474" w:rsidRDefault="00C82EE5" w:rsidP="001A5BF9">
      <w:pPr>
        <w:tabs>
          <w:tab w:val="left" w:pos="2268"/>
        </w:tabs>
        <w:rPr>
          <w:rFonts w:eastAsia="SimSun" w:cs="Arial"/>
          <w:b/>
          <w:sz w:val="22"/>
          <w:szCs w:val="22"/>
        </w:rPr>
      </w:pPr>
      <w:r w:rsidRPr="00B76999">
        <w:rPr>
          <w:b/>
          <w:sz w:val="22"/>
          <w:szCs w:val="22"/>
        </w:rPr>
        <w:t>Chef de programme</w:t>
      </w:r>
      <w:r w:rsidRPr="00B76999">
        <w:rPr>
          <w:b/>
          <w:sz w:val="22"/>
          <w:szCs w:val="22"/>
        </w:rPr>
        <w:tab/>
        <w:t>M. J.</w:t>
      </w:r>
      <w:r w:rsidR="0010442A" w:rsidRPr="00B76999">
        <w:rPr>
          <w:b/>
          <w:sz w:val="22"/>
          <w:szCs w:val="22"/>
        </w:rPr>
        <w:t> </w:t>
      </w:r>
      <w:r w:rsidRPr="00B76999">
        <w:rPr>
          <w:b/>
          <w:sz w:val="22"/>
          <w:szCs w:val="22"/>
        </w:rPr>
        <w:t>C.</w:t>
      </w:r>
      <w:r w:rsidR="0010442A" w:rsidRPr="00B76999">
        <w:rPr>
          <w:b/>
          <w:sz w:val="22"/>
          <w:szCs w:val="22"/>
        </w:rPr>
        <w:t> </w:t>
      </w:r>
      <w:proofErr w:type="spellStart"/>
      <w:r w:rsidRPr="00B76999">
        <w:rPr>
          <w:b/>
          <w:sz w:val="22"/>
          <w:szCs w:val="22"/>
        </w:rPr>
        <w:t>Wichard</w:t>
      </w:r>
      <w:proofErr w:type="spellEnd"/>
    </w:p>
    <w:p w:rsidR="00D42474" w:rsidRDefault="00D42474" w:rsidP="001A5BF9">
      <w:pPr>
        <w:rPr>
          <w:rFonts w:eastAsia="SimSun" w:cs="Arial"/>
          <w:sz w:val="22"/>
          <w:szCs w:val="22"/>
        </w:rPr>
      </w:pPr>
    </w:p>
    <w:p w:rsidR="00D42474" w:rsidRDefault="00D42474" w:rsidP="001A5BF9">
      <w:pPr>
        <w:rPr>
          <w:rFonts w:eastAsia="SimSun" w:cs="Arial"/>
          <w:sz w:val="22"/>
          <w:szCs w:val="22"/>
        </w:rPr>
      </w:pPr>
    </w:p>
    <w:p w:rsidR="00D42474" w:rsidRDefault="00C82EE5" w:rsidP="001A5BF9">
      <w:pPr>
        <w:jc w:val="both"/>
        <w:rPr>
          <w:rFonts w:cs="Arial"/>
          <w:bCs/>
          <w:sz w:val="22"/>
          <w:szCs w:val="22"/>
        </w:rPr>
      </w:pPr>
      <w:r w:rsidRPr="00B76999">
        <w:rPr>
          <w:sz w:val="22"/>
          <w:szCs w:val="22"/>
        </w:rPr>
        <w:t>RÉALISATIONS EN 2012</w:t>
      </w:r>
      <w:r w:rsidR="002D6F2A" w:rsidRPr="00B76999">
        <w:rPr>
          <w:sz w:val="22"/>
          <w:szCs w:val="22"/>
        </w:rPr>
        <w:noBreakHyphen/>
      </w:r>
      <w:r w:rsidRPr="00B76999">
        <w:rPr>
          <w:sz w:val="22"/>
          <w:szCs w:val="22"/>
        </w:rPr>
        <w:t>2013</w:t>
      </w:r>
    </w:p>
    <w:p w:rsidR="00D42474" w:rsidRDefault="00D42474" w:rsidP="001A5BF9">
      <w:pPr>
        <w:jc w:val="both"/>
        <w:rPr>
          <w:rFonts w:eastAsia="SimSun" w:cs="Arial"/>
          <w:b/>
          <w:sz w:val="22"/>
          <w:szCs w:val="22"/>
        </w:rPr>
      </w:pPr>
    </w:p>
    <w:p w:rsidR="00D42474" w:rsidRDefault="00C82EE5" w:rsidP="001A5BF9">
      <w:pPr>
        <w:jc w:val="both"/>
        <w:rPr>
          <w:rFonts w:eastAsia="SimSun" w:cs="Arial"/>
          <w:sz w:val="22"/>
          <w:szCs w:val="22"/>
        </w:rPr>
      </w:pPr>
      <w:r w:rsidRPr="00B76999">
        <w:rPr>
          <w:sz w:val="22"/>
          <w:szCs w:val="22"/>
        </w:rPr>
        <w:t>RELATIONS EXTÉRIEURES ET PARTENARIATS</w:t>
      </w:r>
    </w:p>
    <w:p w:rsidR="00D42474" w:rsidRDefault="00D42474" w:rsidP="001A5BF9">
      <w:pPr>
        <w:jc w:val="both"/>
        <w:rPr>
          <w:rFonts w:eastAsia="SimSun" w:cs="Arial"/>
          <w:sz w:val="22"/>
          <w:szCs w:val="22"/>
        </w:rPr>
      </w:pPr>
    </w:p>
    <w:p w:rsidR="00D42474" w:rsidRDefault="00C82EE5" w:rsidP="001A5BF9">
      <w:pPr>
        <w:autoSpaceDE w:val="0"/>
        <w:autoSpaceDN w:val="0"/>
        <w:adjustRightInd w:val="0"/>
        <w:jc w:val="both"/>
        <w:rPr>
          <w:rFonts w:eastAsia="SimSun" w:cs="Arial"/>
          <w:bCs/>
          <w:szCs w:val="20"/>
        </w:rPr>
      </w:pPr>
      <w:r w:rsidRPr="002D02F3">
        <w:t>20.1.</w:t>
      </w:r>
      <w:r w:rsidRPr="002D02F3">
        <w:tab/>
        <w:t>Tout au long de l</w:t>
      </w:r>
      <w:r w:rsidR="00A20444" w:rsidRPr="002D02F3">
        <w:t>’</w:t>
      </w:r>
      <w:r w:rsidRPr="002D02F3">
        <w:t>exercice biennal, l</w:t>
      </w:r>
      <w:r w:rsidR="00A20444" w:rsidRPr="002D02F3">
        <w:t>’</w:t>
      </w:r>
      <w:r w:rsidRPr="002D02F3">
        <w:t xml:space="preserve">OMPI a poursuivi le renforcement de son engagement au côté des </w:t>
      </w:r>
      <w:r w:rsidR="00A20444" w:rsidRPr="002D02F3">
        <w:t>Nations Unies</w:t>
      </w:r>
      <w:r w:rsidRPr="002D02F3">
        <w:t xml:space="preserve"> et d</w:t>
      </w:r>
      <w:r w:rsidR="00A20444" w:rsidRPr="002D02F3">
        <w:t>’</w:t>
      </w:r>
      <w:r w:rsidRPr="002D02F3">
        <w:t xml:space="preserve">autres organisations intergouvernementales et non gouvernementales. </w:t>
      </w:r>
      <w:r w:rsidR="0010442A" w:rsidRPr="002D02F3">
        <w:t xml:space="preserve"> </w:t>
      </w:r>
      <w:r w:rsidRPr="002D02F3">
        <w:t>Ce travail a contribué à l</w:t>
      </w:r>
      <w:r w:rsidR="00A20444" w:rsidRPr="002D02F3">
        <w:t>’</w:t>
      </w:r>
      <w:r w:rsidRPr="002D02F3">
        <w:t>objectif stratégique visant à faire de l</w:t>
      </w:r>
      <w:r w:rsidR="00A20444" w:rsidRPr="002D02F3">
        <w:t>’</w:t>
      </w:r>
      <w:r w:rsidRPr="002D02F3">
        <w:t xml:space="preserve">OMPI la référence en matière de propriété intellectuelle et de questions de politiques générales mondiales. </w:t>
      </w:r>
      <w:r w:rsidR="0010442A" w:rsidRPr="002D02F3">
        <w:t xml:space="preserve"> </w:t>
      </w:r>
      <w:r w:rsidRPr="002D02F3">
        <w:t>Le programme a également coordonné les efforts de mobilisation de ressources extrabudgétaires de l</w:t>
      </w:r>
      <w:r w:rsidR="00A20444" w:rsidRPr="002D02F3">
        <w:t>’</w:t>
      </w:r>
      <w:r w:rsidRPr="002D02F3">
        <w:t>OMPI, ce qui a eu pour effet d</w:t>
      </w:r>
      <w:r w:rsidR="00A20444" w:rsidRPr="002D02F3">
        <w:t>’</w:t>
      </w:r>
      <w:r w:rsidRPr="002D02F3">
        <w:t xml:space="preserve">engendrer une hausse générale du financement extrabudgétaire. </w:t>
      </w:r>
      <w:r w:rsidR="0010442A" w:rsidRPr="002D02F3">
        <w:t xml:space="preserve"> </w:t>
      </w:r>
      <w:r w:rsidRPr="002D02F3">
        <w:t>Les principales réalisations en 2012</w:t>
      </w:r>
      <w:r w:rsidR="002D6F2A" w:rsidRPr="002D02F3">
        <w:noBreakHyphen/>
      </w:r>
      <w:r w:rsidRPr="002D02F3">
        <w:t>2013 comprennent les suivantes :</w:t>
      </w:r>
    </w:p>
    <w:p w:rsidR="00D42474" w:rsidRDefault="00D42474" w:rsidP="001A5BF9">
      <w:pPr>
        <w:tabs>
          <w:tab w:val="num" w:pos="680"/>
        </w:tabs>
        <w:autoSpaceDE w:val="0"/>
        <w:autoSpaceDN w:val="0"/>
        <w:adjustRightInd w:val="0"/>
        <w:jc w:val="both"/>
        <w:rPr>
          <w:rFonts w:eastAsia="SimSun" w:cs="Arial"/>
          <w:bCs/>
          <w:szCs w:val="20"/>
        </w:rPr>
      </w:pPr>
    </w:p>
    <w:p w:rsidR="00D42474" w:rsidRDefault="00C82EE5" w:rsidP="001A5BF9">
      <w:pPr>
        <w:pStyle w:val="Paragraphedeliste"/>
        <w:numPr>
          <w:ilvl w:val="1"/>
          <w:numId w:val="54"/>
        </w:numPr>
        <w:tabs>
          <w:tab w:val="left" w:pos="1134"/>
        </w:tabs>
        <w:autoSpaceDE w:val="0"/>
        <w:autoSpaceDN w:val="0"/>
        <w:adjustRightInd w:val="0"/>
        <w:ind w:left="1134" w:hanging="425"/>
        <w:contextualSpacing/>
        <w:jc w:val="both"/>
        <w:rPr>
          <w:rFonts w:eastAsia="SimSun" w:cs="Arial"/>
          <w:bCs/>
        </w:rPr>
      </w:pPr>
      <w:r w:rsidRPr="002D02F3">
        <w:rPr>
          <w:i/>
        </w:rPr>
        <w:t xml:space="preserve">Lancement de </w:t>
      </w:r>
      <w:r w:rsidR="00AF56DE" w:rsidRPr="002D02F3">
        <w:rPr>
          <w:i/>
        </w:rPr>
        <w:t>l</w:t>
      </w:r>
      <w:r w:rsidR="00A20444" w:rsidRPr="002D02F3">
        <w:rPr>
          <w:i/>
        </w:rPr>
        <w:t>’</w:t>
      </w:r>
      <w:r w:rsidR="00AF56DE" w:rsidRPr="002D02F3">
        <w:rPr>
          <w:i/>
        </w:rPr>
        <w:t>Indice mondial de l</w:t>
      </w:r>
      <w:r w:rsidR="00A20444" w:rsidRPr="002D02F3">
        <w:rPr>
          <w:i/>
        </w:rPr>
        <w:t>’</w:t>
      </w:r>
      <w:r w:rsidR="00AF56DE" w:rsidRPr="002D02F3">
        <w:rPr>
          <w:i/>
        </w:rPr>
        <w:t>innovation 2013 </w:t>
      </w:r>
      <w:r w:rsidRPr="002D02F3">
        <w:rPr>
          <w:i/>
        </w:rPr>
        <w:t>(</w:t>
      </w:r>
      <w:proofErr w:type="spellStart"/>
      <w:r w:rsidRPr="002D02F3">
        <w:rPr>
          <w:i/>
        </w:rPr>
        <w:t>GII</w:t>
      </w:r>
      <w:proofErr w:type="spellEnd"/>
      <w:r w:rsidRPr="002D02F3">
        <w:rPr>
          <w:i/>
        </w:rPr>
        <w:t xml:space="preserve">) en présence du Secrétaire général des </w:t>
      </w:r>
      <w:r w:rsidR="00A20444" w:rsidRPr="002D02F3">
        <w:rPr>
          <w:i/>
        </w:rPr>
        <w:t>Nations Unies</w:t>
      </w:r>
      <w:r w:rsidRPr="002D02F3">
        <w:rPr>
          <w:i/>
        </w:rPr>
        <w:t xml:space="preserve"> lors du Segment de haut niveau du Conseil économique et social des </w:t>
      </w:r>
      <w:r w:rsidR="00A20444" w:rsidRPr="002D02F3">
        <w:rPr>
          <w:i/>
        </w:rPr>
        <w:t>Nations Unies</w:t>
      </w:r>
      <w:r w:rsidRPr="002D02F3">
        <w:rPr>
          <w:i/>
        </w:rPr>
        <w:t xml:space="preserve"> (</w:t>
      </w:r>
      <w:proofErr w:type="spellStart"/>
      <w:r w:rsidRPr="002D02F3">
        <w:rPr>
          <w:i/>
        </w:rPr>
        <w:t>ECOSOC</w:t>
      </w:r>
      <w:proofErr w:type="spellEnd"/>
      <w:r w:rsidRPr="002D02F3">
        <w:rPr>
          <w:i/>
        </w:rPr>
        <w:t>) en juillet 2013 :</w:t>
      </w:r>
      <w:r w:rsidRPr="002D02F3">
        <w:t xml:space="preserve"> lors de la préparation, le programme 20 a également organisé l</w:t>
      </w:r>
      <w:r w:rsidR="00A20444" w:rsidRPr="002D02F3">
        <w:t>’</w:t>
      </w:r>
      <w:r w:rsidRPr="002D02F3">
        <w:t>examen ministériel annuel de l</w:t>
      </w:r>
      <w:r w:rsidR="00A20444" w:rsidRPr="002D02F3">
        <w:t>’</w:t>
      </w:r>
      <w:proofErr w:type="spellStart"/>
      <w:r w:rsidRPr="002D02F3">
        <w:t>ECOSOC</w:t>
      </w:r>
      <w:proofErr w:type="spellEnd"/>
      <w:r w:rsidRPr="002D02F3">
        <w:t> : la réunion régionale préparatoire pour l</w:t>
      </w:r>
      <w:r w:rsidR="00A20444" w:rsidRPr="002D02F3">
        <w:t>’</w:t>
      </w:r>
      <w:r w:rsidRPr="002D02F3">
        <w:t xml:space="preserve">Afrique. </w:t>
      </w:r>
      <w:r w:rsidR="0010442A" w:rsidRPr="002D02F3">
        <w:t xml:space="preserve"> </w:t>
      </w:r>
      <w:r w:rsidRPr="002D02F3">
        <w:t>Plus de 20 ministères ont participé et convenu de messages clés pour l</w:t>
      </w:r>
      <w:r w:rsidR="00A20444" w:rsidRPr="002D02F3">
        <w:t>’</w:t>
      </w:r>
      <w:r w:rsidRPr="002D02F3">
        <w:t>examen ministériel annuel.</w:t>
      </w:r>
      <w:r w:rsidR="0010442A" w:rsidRPr="002D02F3">
        <w:t xml:space="preserve"> </w:t>
      </w:r>
      <w:r w:rsidRPr="002D02F3">
        <w:t xml:space="preserve"> L</w:t>
      </w:r>
      <w:r w:rsidR="00A20444" w:rsidRPr="002D02F3">
        <w:t>’</w:t>
      </w:r>
      <w:r w:rsidRPr="002D02F3">
        <w:t>office de l</w:t>
      </w:r>
      <w:r w:rsidR="00A20444" w:rsidRPr="002D02F3">
        <w:t>’</w:t>
      </w:r>
      <w:r w:rsidRPr="002D02F3">
        <w:t>OMPI de New York a joué un rôle clé dans l</w:t>
      </w:r>
      <w:r w:rsidR="00A20444" w:rsidRPr="002D02F3">
        <w:t>’</w:t>
      </w:r>
      <w:r w:rsidRPr="002D02F3">
        <w:t xml:space="preserve">établissement de liens avec le Secrétariat des </w:t>
      </w:r>
      <w:r w:rsidR="00A20444" w:rsidRPr="002D02F3">
        <w:t>Nations Unies</w:t>
      </w:r>
      <w:r w:rsidRPr="002D02F3">
        <w:t>.</w:t>
      </w:r>
    </w:p>
    <w:p w:rsidR="00D42474" w:rsidRDefault="00D42474" w:rsidP="001A5BF9">
      <w:pPr>
        <w:tabs>
          <w:tab w:val="left" w:pos="1134"/>
        </w:tabs>
        <w:autoSpaceDE w:val="0"/>
        <w:autoSpaceDN w:val="0"/>
        <w:adjustRightInd w:val="0"/>
        <w:ind w:left="1134" w:hanging="425"/>
        <w:jc w:val="both"/>
        <w:rPr>
          <w:rFonts w:eastAsia="SimSun" w:cs="Arial"/>
          <w:bCs/>
          <w:sz w:val="16"/>
          <w:szCs w:val="16"/>
        </w:rPr>
      </w:pPr>
    </w:p>
    <w:p w:rsidR="00D42474" w:rsidRDefault="00C82EE5" w:rsidP="001A5BF9">
      <w:pPr>
        <w:tabs>
          <w:tab w:val="left" w:pos="1134"/>
        </w:tabs>
        <w:autoSpaceDE w:val="0"/>
        <w:autoSpaceDN w:val="0"/>
        <w:adjustRightInd w:val="0"/>
        <w:ind w:left="1134" w:hanging="425"/>
        <w:jc w:val="both"/>
        <w:rPr>
          <w:rFonts w:eastAsia="SimSun" w:cs="Arial"/>
          <w:bCs/>
          <w:i/>
          <w:szCs w:val="20"/>
        </w:rPr>
      </w:pPr>
      <w:r w:rsidRPr="002D02F3">
        <w:t>ii)</w:t>
      </w:r>
      <w:r w:rsidRPr="002D02F3">
        <w:tab/>
      </w:r>
      <w:r w:rsidRPr="002D02F3">
        <w:rPr>
          <w:i/>
        </w:rPr>
        <w:t>Accélération de la mise en œuvre</w:t>
      </w:r>
      <w:r w:rsidR="00A20444" w:rsidRPr="002D02F3">
        <w:rPr>
          <w:i/>
        </w:rPr>
        <w:t xml:space="preserve"> des </w:t>
      </w:r>
      <w:proofErr w:type="spellStart"/>
      <w:r w:rsidR="00A20444" w:rsidRPr="002D02F3">
        <w:rPr>
          <w:i/>
        </w:rPr>
        <w:t>OMD</w:t>
      </w:r>
      <w:proofErr w:type="spellEnd"/>
      <w:r w:rsidRPr="002D02F3">
        <w:rPr>
          <w:i/>
        </w:rPr>
        <w:t xml:space="preserve"> et élaboration d</w:t>
      </w:r>
      <w:r w:rsidR="00A20444" w:rsidRPr="002D02F3">
        <w:rPr>
          <w:i/>
        </w:rPr>
        <w:t>’</w:t>
      </w:r>
      <w:r w:rsidRPr="002D02F3">
        <w:rPr>
          <w:i/>
        </w:rPr>
        <w:t>un Plan d</w:t>
      </w:r>
      <w:r w:rsidR="00A20444" w:rsidRPr="002D02F3">
        <w:rPr>
          <w:i/>
        </w:rPr>
        <w:t>’</w:t>
      </w:r>
      <w:r w:rsidRPr="002D02F3">
        <w:rPr>
          <w:i/>
        </w:rPr>
        <w:t>action pour le développement pour l</w:t>
      </w:r>
      <w:r w:rsidR="00A20444" w:rsidRPr="002D02F3">
        <w:rPr>
          <w:i/>
        </w:rPr>
        <w:t>’</w:t>
      </w:r>
      <w:r w:rsidRPr="002D02F3">
        <w:rPr>
          <w:i/>
        </w:rPr>
        <w:t>après 2015 et d</w:t>
      </w:r>
      <w:r w:rsidR="00A20444" w:rsidRPr="002D02F3">
        <w:rPr>
          <w:i/>
        </w:rPr>
        <w:t>’</w:t>
      </w:r>
      <w:r w:rsidRPr="002D02F3">
        <w:rPr>
          <w:i/>
        </w:rPr>
        <w:t xml:space="preserve">objectifs de développement durable : </w:t>
      </w:r>
      <w:r w:rsidRPr="002D02F3">
        <w:t>en 2012, l</w:t>
      </w:r>
      <w:r w:rsidR="00A20444" w:rsidRPr="002D02F3">
        <w:t>’</w:t>
      </w:r>
      <w:r w:rsidRPr="002D02F3">
        <w:t>OMPI a également adhéré au groupe de réflexion sur le retard pris dans la réalisation des </w:t>
      </w:r>
      <w:proofErr w:type="spellStart"/>
      <w:r w:rsidRPr="002D02F3">
        <w:t>OMD</w:t>
      </w:r>
      <w:proofErr w:type="spellEnd"/>
      <w:r w:rsidRPr="002D02F3">
        <w:t xml:space="preserve"> et contribué à la préparation des rapports pour 2012 et 2013. </w:t>
      </w:r>
      <w:r w:rsidR="0010442A" w:rsidRPr="002D02F3">
        <w:t xml:space="preserve"> </w:t>
      </w:r>
      <w:r w:rsidRPr="002D02F3">
        <w:t>L</w:t>
      </w:r>
      <w:r w:rsidR="00A20444" w:rsidRPr="002D02F3">
        <w:t>’</w:t>
      </w:r>
      <w:r w:rsidRPr="002D02F3">
        <w:t>OMPI a également contribué à l</w:t>
      </w:r>
      <w:r w:rsidR="00A20444" w:rsidRPr="002D02F3">
        <w:t>’</w:t>
      </w:r>
      <w:r w:rsidRPr="002D02F3">
        <w:t xml:space="preserve">Équipe spéciale du système des </w:t>
      </w:r>
      <w:r w:rsidR="00A20444" w:rsidRPr="002D02F3">
        <w:t>Nations Unies</w:t>
      </w:r>
      <w:r w:rsidRPr="002D02F3">
        <w:t xml:space="preserve"> chargée du programme de développement pour l</w:t>
      </w:r>
      <w:r w:rsidR="00A20444" w:rsidRPr="002D02F3">
        <w:t>’</w:t>
      </w:r>
      <w:r w:rsidRPr="002D02F3">
        <w:t>après 2015, aux travaux du Groupe de travail ouvert sur les objectifs de développement durables (</w:t>
      </w:r>
      <w:proofErr w:type="spellStart"/>
      <w:r w:rsidRPr="002D02F3">
        <w:t>ODD</w:t>
      </w:r>
      <w:proofErr w:type="spellEnd"/>
      <w:r w:rsidRPr="002D02F3">
        <w:t>) et à la note d</w:t>
      </w:r>
      <w:r w:rsidR="00A20444" w:rsidRPr="002D02F3">
        <w:t>’</w:t>
      </w:r>
      <w:r w:rsidRPr="002D02F3">
        <w:t>information et la note statistique</w:t>
      </w:r>
      <w:r w:rsidR="00A20444" w:rsidRPr="002D02F3">
        <w:t xml:space="preserve"> du </w:t>
      </w:r>
      <w:proofErr w:type="spellStart"/>
      <w:r w:rsidR="00A20444" w:rsidRPr="002D02F3">
        <w:t>GTO</w:t>
      </w:r>
      <w:proofErr w:type="spellEnd"/>
      <w:r w:rsidRPr="002D02F3">
        <w:t xml:space="preserve"> sur la </w:t>
      </w:r>
      <w:r w:rsidRPr="002D02F3">
        <w:rPr>
          <w:i/>
        </w:rPr>
        <w:t>“Science, technologie et innovation, partage des connaissances et renforcement des capacités”.</w:t>
      </w:r>
    </w:p>
    <w:p w:rsidR="00D42474" w:rsidRDefault="00D42474" w:rsidP="001A5BF9">
      <w:pPr>
        <w:tabs>
          <w:tab w:val="left" w:pos="1134"/>
        </w:tabs>
        <w:autoSpaceDE w:val="0"/>
        <w:autoSpaceDN w:val="0"/>
        <w:adjustRightInd w:val="0"/>
        <w:ind w:left="1134" w:hanging="425"/>
        <w:jc w:val="both"/>
        <w:rPr>
          <w:rFonts w:eastAsia="SimSun" w:cs="Arial"/>
          <w:bCs/>
          <w:sz w:val="16"/>
          <w:szCs w:val="16"/>
        </w:rPr>
      </w:pPr>
    </w:p>
    <w:p w:rsidR="00D42474" w:rsidRDefault="00C82EE5" w:rsidP="001A5BF9">
      <w:pPr>
        <w:tabs>
          <w:tab w:val="left" w:pos="1134"/>
        </w:tabs>
        <w:autoSpaceDE w:val="0"/>
        <w:autoSpaceDN w:val="0"/>
        <w:adjustRightInd w:val="0"/>
        <w:ind w:left="1134" w:hanging="425"/>
        <w:jc w:val="both"/>
        <w:rPr>
          <w:rFonts w:cs="Arial"/>
          <w:szCs w:val="20"/>
        </w:rPr>
      </w:pPr>
      <w:r w:rsidRPr="002D02F3">
        <w:t>iii)</w:t>
      </w:r>
      <w:r w:rsidRPr="002D02F3">
        <w:tab/>
      </w:r>
      <w:r w:rsidRPr="002D02F3">
        <w:rPr>
          <w:i/>
        </w:rPr>
        <w:t>Sommet mondial sur la société de l</w:t>
      </w:r>
      <w:r w:rsidR="00A20444" w:rsidRPr="002D02F3">
        <w:rPr>
          <w:i/>
        </w:rPr>
        <w:t>’</w:t>
      </w:r>
      <w:r w:rsidRPr="002D02F3">
        <w:rPr>
          <w:i/>
        </w:rPr>
        <w:t>information (</w:t>
      </w:r>
      <w:proofErr w:type="spellStart"/>
      <w:r w:rsidRPr="002D02F3">
        <w:rPr>
          <w:i/>
        </w:rPr>
        <w:t>SMSI</w:t>
      </w:r>
      <w:proofErr w:type="spellEnd"/>
      <w:r w:rsidRPr="002D02F3">
        <w:rPr>
          <w:i/>
        </w:rPr>
        <w:t>) et Forum sur la gouvernance de l</w:t>
      </w:r>
      <w:r w:rsidR="00A20444" w:rsidRPr="002D02F3">
        <w:rPr>
          <w:i/>
        </w:rPr>
        <w:t>’</w:t>
      </w:r>
      <w:r w:rsidRPr="002D02F3">
        <w:rPr>
          <w:i/>
        </w:rPr>
        <w:t>Internet :</w:t>
      </w:r>
      <w:r w:rsidRPr="002D02F3">
        <w:t xml:space="preserve"> le </w:t>
      </w:r>
      <w:r w:rsidR="0010442A" w:rsidRPr="002D02F3">
        <w:t>Directeur</w:t>
      </w:r>
      <w:r w:rsidRPr="002D02F3">
        <w:t xml:space="preserve"> général a prononcé des allocutions liminaires lors de la cérémonie d</w:t>
      </w:r>
      <w:r w:rsidR="00A20444" w:rsidRPr="002D02F3">
        <w:t>’</w:t>
      </w:r>
      <w:r w:rsidRPr="002D02F3">
        <w:t>ouverture du Forum</w:t>
      </w:r>
      <w:r w:rsidR="00A20444" w:rsidRPr="002D02F3">
        <w:t xml:space="preserve"> du </w:t>
      </w:r>
      <w:proofErr w:type="spellStart"/>
      <w:r w:rsidR="00A20444" w:rsidRPr="002D02F3">
        <w:t>SMS</w:t>
      </w:r>
      <w:r w:rsidRPr="002D02F3">
        <w:t>I</w:t>
      </w:r>
      <w:proofErr w:type="spellEnd"/>
      <w:r w:rsidRPr="002D02F3">
        <w:t xml:space="preserve"> en mai 2012 et 2013, ainsi qu</w:t>
      </w:r>
      <w:r w:rsidR="00A20444" w:rsidRPr="002D02F3">
        <w:t>’</w:t>
      </w:r>
      <w:r w:rsidRPr="002D02F3">
        <w:t>au Dialogue de haut niveau sur les innovations et la normalisation dans le domaine</w:t>
      </w:r>
      <w:r w:rsidR="00A20444" w:rsidRPr="002D02F3">
        <w:t xml:space="preserve"> des TIC</w:t>
      </w:r>
      <w:r w:rsidRPr="002D02F3">
        <w:t xml:space="preserve"> dans les économies émergentes au Forum</w:t>
      </w:r>
      <w:r w:rsidR="00A20444" w:rsidRPr="002D02F3">
        <w:t xml:space="preserve"> du </w:t>
      </w:r>
      <w:proofErr w:type="spellStart"/>
      <w:r w:rsidR="00A20444" w:rsidRPr="002D02F3">
        <w:t>SMS</w:t>
      </w:r>
      <w:r w:rsidRPr="002D02F3">
        <w:t>I</w:t>
      </w:r>
      <w:proofErr w:type="spellEnd"/>
      <w:r w:rsidRPr="002D02F3">
        <w:t xml:space="preserve"> de 2013. </w:t>
      </w:r>
      <w:r w:rsidR="0010442A" w:rsidRPr="002D02F3">
        <w:t xml:space="preserve"> </w:t>
      </w:r>
      <w:r w:rsidRPr="002D02F3">
        <w:t>Le programme 20 a également coordonné l</w:t>
      </w:r>
      <w:r w:rsidR="00A20444" w:rsidRPr="002D02F3">
        <w:t>’</w:t>
      </w:r>
      <w:r w:rsidRPr="002D02F3">
        <w:t>implication efficace de l</w:t>
      </w:r>
      <w:r w:rsidR="00A20444" w:rsidRPr="002D02F3">
        <w:t>’</w:t>
      </w:r>
      <w:r w:rsidRPr="002D02F3">
        <w:t>OMPI au sein du Forum sur la gouvernance de l</w:t>
      </w:r>
      <w:r w:rsidR="00A20444" w:rsidRPr="002D02F3">
        <w:t>’</w:t>
      </w:r>
      <w:r w:rsidRPr="002D02F3">
        <w:t>Internet en 2012 et 2013.</w:t>
      </w:r>
    </w:p>
    <w:p w:rsidR="00D42474" w:rsidRDefault="00D42474" w:rsidP="001A5BF9">
      <w:pPr>
        <w:tabs>
          <w:tab w:val="left" w:pos="1134"/>
        </w:tabs>
        <w:autoSpaceDE w:val="0"/>
        <w:autoSpaceDN w:val="0"/>
        <w:adjustRightInd w:val="0"/>
        <w:ind w:left="1134" w:hanging="425"/>
        <w:jc w:val="both"/>
        <w:rPr>
          <w:rFonts w:eastAsia="SimSun" w:cs="Arial"/>
          <w:bCs/>
          <w:sz w:val="16"/>
          <w:szCs w:val="16"/>
        </w:rPr>
      </w:pPr>
    </w:p>
    <w:p w:rsidR="00D42474" w:rsidRDefault="00C82EE5" w:rsidP="001A5BF9">
      <w:pPr>
        <w:tabs>
          <w:tab w:val="left" w:pos="1134"/>
        </w:tabs>
        <w:autoSpaceDE w:val="0"/>
        <w:autoSpaceDN w:val="0"/>
        <w:adjustRightInd w:val="0"/>
        <w:ind w:left="1134" w:hanging="425"/>
        <w:jc w:val="both"/>
        <w:rPr>
          <w:rFonts w:eastAsia="SimSun" w:cs="Arial"/>
          <w:bCs/>
          <w:szCs w:val="20"/>
        </w:rPr>
      </w:pPr>
      <w:r w:rsidRPr="002D02F3">
        <w:t>iv)</w:t>
      </w:r>
      <w:r w:rsidRPr="002D02F3">
        <w:tab/>
      </w:r>
      <w:proofErr w:type="spellStart"/>
      <w:r w:rsidRPr="002D02F3">
        <w:rPr>
          <w:i/>
        </w:rPr>
        <w:t>CCNUCC</w:t>
      </w:r>
      <w:proofErr w:type="spellEnd"/>
      <w:r w:rsidRPr="002D02F3">
        <w:t> :</w:t>
      </w:r>
      <w:r w:rsidRPr="002D02F3">
        <w:rPr>
          <w:i/>
        </w:rPr>
        <w:t xml:space="preserve"> </w:t>
      </w:r>
      <w:r w:rsidRPr="002D02F3">
        <w:t>l</w:t>
      </w:r>
      <w:r w:rsidR="00A20444" w:rsidRPr="002D02F3">
        <w:t>’</w:t>
      </w:r>
      <w:r w:rsidRPr="002D02F3">
        <w:t>OMPI a continué à être représentée en tant qu</w:t>
      </w:r>
      <w:r w:rsidR="00A20444" w:rsidRPr="002D02F3">
        <w:t>’</w:t>
      </w:r>
      <w:r w:rsidRPr="002D02F3">
        <w:t>observateur aux réunions de la </w:t>
      </w:r>
      <w:proofErr w:type="spellStart"/>
      <w:r w:rsidRPr="002D02F3">
        <w:t>CCNUCC</w:t>
      </w:r>
      <w:proofErr w:type="spellEnd"/>
      <w:r w:rsidRPr="002D02F3">
        <w:t xml:space="preserve"> pertinentes et a considérablement concentré son soutien sur le mécanisme technologique de la </w:t>
      </w:r>
      <w:proofErr w:type="spellStart"/>
      <w:r w:rsidRPr="002D02F3">
        <w:t>CCNUCC</w:t>
      </w:r>
      <w:proofErr w:type="spellEnd"/>
      <w:r w:rsidRPr="002D02F3">
        <w:t xml:space="preserve">. </w:t>
      </w:r>
      <w:r w:rsidR="0010442A" w:rsidRPr="002D02F3">
        <w:t xml:space="preserve"> </w:t>
      </w:r>
      <w:r w:rsidRPr="002D02F3">
        <w:t>Le programme 20 a joué un rôle instrumental pour mieux faire connaître WIPO GREEN au sein de la </w:t>
      </w:r>
      <w:proofErr w:type="spellStart"/>
      <w:r w:rsidRPr="002D02F3">
        <w:t>CCUNCC</w:t>
      </w:r>
      <w:proofErr w:type="spellEnd"/>
      <w:r w:rsidRPr="002D02F3">
        <w:t xml:space="preserve"> et, d</w:t>
      </w:r>
      <w:r w:rsidR="00A20444" w:rsidRPr="002D02F3">
        <w:t>’</w:t>
      </w:r>
      <w:r w:rsidRPr="002D02F3">
        <w:t>une manière plus générale, en apportant de nouveaux partenaires à la plate</w:t>
      </w:r>
      <w:r w:rsidR="002D6F2A" w:rsidRPr="002D02F3">
        <w:noBreakHyphen/>
      </w:r>
      <w:r w:rsidRPr="002D02F3">
        <w:t>forme WIPO GREEN.</w:t>
      </w:r>
    </w:p>
    <w:p w:rsidR="00D42474" w:rsidRDefault="00D42474" w:rsidP="001A5BF9">
      <w:pPr>
        <w:tabs>
          <w:tab w:val="left" w:pos="1134"/>
        </w:tabs>
        <w:autoSpaceDE w:val="0"/>
        <w:autoSpaceDN w:val="0"/>
        <w:adjustRightInd w:val="0"/>
        <w:ind w:left="1134" w:hanging="425"/>
        <w:jc w:val="both"/>
        <w:rPr>
          <w:rFonts w:eastAsia="SimSun" w:cs="Arial"/>
          <w:bCs/>
          <w:sz w:val="16"/>
          <w:szCs w:val="16"/>
        </w:rPr>
      </w:pPr>
    </w:p>
    <w:p w:rsidR="00D42474" w:rsidRDefault="00C82EE5" w:rsidP="001A5BF9">
      <w:pPr>
        <w:tabs>
          <w:tab w:val="left" w:pos="1134"/>
        </w:tabs>
        <w:autoSpaceDE w:val="0"/>
        <w:autoSpaceDN w:val="0"/>
        <w:adjustRightInd w:val="0"/>
        <w:ind w:left="1134" w:hanging="425"/>
        <w:jc w:val="both"/>
      </w:pPr>
      <w:r w:rsidRPr="002D02F3">
        <w:t>v)</w:t>
      </w:r>
      <w:r w:rsidRPr="002D02F3">
        <w:tab/>
      </w:r>
      <w:r w:rsidRPr="002D02F3">
        <w:rPr>
          <w:i/>
        </w:rPr>
        <w:t>Coopération avec l</w:t>
      </w:r>
      <w:r w:rsidR="00A20444" w:rsidRPr="002D02F3">
        <w:rPr>
          <w:i/>
        </w:rPr>
        <w:t>’</w:t>
      </w:r>
      <w:r w:rsidRPr="002D02F3">
        <w:rPr>
          <w:i/>
        </w:rPr>
        <w:t>OMC et l</w:t>
      </w:r>
      <w:r w:rsidR="00A20444" w:rsidRPr="002D02F3">
        <w:rPr>
          <w:i/>
        </w:rPr>
        <w:t>’</w:t>
      </w:r>
      <w:r w:rsidRPr="002D02F3">
        <w:rPr>
          <w:i/>
        </w:rPr>
        <w:t>OMS :</w:t>
      </w:r>
      <w:r w:rsidRPr="002D02F3">
        <w:t xml:space="preserve"> le programme a garanti l</w:t>
      </w:r>
      <w:r w:rsidR="00A20444" w:rsidRPr="002D02F3">
        <w:t>’</w:t>
      </w:r>
      <w:r w:rsidRPr="002D02F3">
        <w:t>implication efficace de l</w:t>
      </w:r>
      <w:r w:rsidR="00A20444" w:rsidRPr="002D02F3">
        <w:t>’</w:t>
      </w:r>
      <w:r w:rsidRPr="002D02F3">
        <w:t>OMPI dans le Conseil des ADPIC de l</w:t>
      </w:r>
      <w:r w:rsidR="00A20444" w:rsidRPr="002D02F3">
        <w:t>’</w:t>
      </w:r>
      <w:r w:rsidRPr="002D02F3">
        <w:t>OMC et dans les importants processus et réunions de l</w:t>
      </w:r>
      <w:r w:rsidR="00A20444" w:rsidRPr="002D02F3">
        <w:t>’</w:t>
      </w:r>
      <w:r w:rsidRPr="002D02F3">
        <w:t>OMS, et a coordonné la participation de l</w:t>
      </w:r>
      <w:r w:rsidR="00A20444" w:rsidRPr="002D02F3">
        <w:t>’</w:t>
      </w:r>
      <w:r w:rsidRPr="002D02F3">
        <w:t>OMPI aux ateliers régionaux et nationaux de l</w:t>
      </w:r>
      <w:r w:rsidR="00A20444" w:rsidRPr="002D02F3">
        <w:t>’</w:t>
      </w:r>
      <w:r w:rsidRPr="002D02F3">
        <w:t xml:space="preserve">OMC portant sur différents sujets. </w:t>
      </w:r>
      <w:r w:rsidR="0010442A" w:rsidRPr="002D02F3">
        <w:t xml:space="preserve"> </w:t>
      </w:r>
      <w:r w:rsidRPr="002D02F3">
        <w:t>Il a assuré l</w:t>
      </w:r>
      <w:r w:rsidR="00A20444" w:rsidRPr="002D02F3">
        <w:t>’</w:t>
      </w:r>
      <w:r w:rsidRPr="002D02F3">
        <w:t>implication de l</w:t>
      </w:r>
      <w:r w:rsidR="00A20444" w:rsidRPr="002D02F3">
        <w:t>’</w:t>
      </w:r>
      <w:r w:rsidRPr="002D02F3">
        <w:t xml:space="preserve">OMPI dans une série de réunions du Groupe </w:t>
      </w:r>
      <w:proofErr w:type="spellStart"/>
      <w:r w:rsidRPr="002D02F3">
        <w:t>interagences</w:t>
      </w:r>
      <w:proofErr w:type="spellEnd"/>
      <w:r w:rsidRPr="002D02F3">
        <w:t xml:space="preserve"> des </w:t>
      </w:r>
      <w:r w:rsidR="00A20444" w:rsidRPr="002D02F3">
        <w:t>Nations Unies</w:t>
      </w:r>
      <w:r w:rsidRPr="002D02F3">
        <w:t xml:space="preserve"> sur la prévention et le contrôle</w:t>
      </w:r>
      <w:r w:rsidR="00A20444" w:rsidRPr="002D02F3">
        <w:t xml:space="preserve"> des </w:t>
      </w:r>
      <w:proofErr w:type="spellStart"/>
      <w:r w:rsidR="00A20444" w:rsidRPr="002D02F3">
        <w:t>MNT</w:t>
      </w:r>
      <w:proofErr w:type="spellEnd"/>
      <w:r w:rsidRPr="002D02F3">
        <w:t>.</w:t>
      </w:r>
    </w:p>
    <w:p w:rsidR="00D42474" w:rsidRDefault="00D42474" w:rsidP="001A5BF9">
      <w:pPr>
        <w:tabs>
          <w:tab w:val="left" w:pos="1134"/>
        </w:tabs>
        <w:autoSpaceDE w:val="0"/>
        <w:autoSpaceDN w:val="0"/>
        <w:adjustRightInd w:val="0"/>
        <w:ind w:left="1134" w:hanging="425"/>
        <w:jc w:val="both"/>
        <w:rPr>
          <w:rFonts w:eastAsia="SimSun" w:cs="Arial"/>
          <w:bCs/>
          <w:sz w:val="16"/>
          <w:szCs w:val="16"/>
        </w:rPr>
      </w:pPr>
    </w:p>
    <w:p w:rsidR="00D42474" w:rsidRDefault="00C82EE5" w:rsidP="001A5BF9">
      <w:pPr>
        <w:tabs>
          <w:tab w:val="left" w:pos="1134"/>
        </w:tabs>
        <w:autoSpaceDE w:val="0"/>
        <w:autoSpaceDN w:val="0"/>
        <w:adjustRightInd w:val="0"/>
        <w:ind w:left="1134" w:hanging="425"/>
        <w:jc w:val="both"/>
        <w:rPr>
          <w:color w:val="000000"/>
        </w:rPr>
      </w:pPr>
      <w:r w:rsidRPr="002D02F3">
        <w:t>vi)</w:t>
      </w:r>
      <w:r w:rsidRPr="002D02F3">
        <w:tab/>
      </w:r>
      <w:r w:rsidRPr="002D02F3">
        <w:rPr>
          <w:i/>
        </w:rPr>
        <w:t>Semaine mondiale de l</w:t>
      </w:r>
      <w:r w:rsidR="00A20444" w:rsidRPr="002D02F3">
        <w:rPr>
          <w:i/>
        </w:rPr>
        <w:t>’</w:t>
      </w:r>
      <w:proofErr w:type="spellStart"/>
      <w:r w:rsidRPr="002D02F3">
        <w:rPr>
          <w:i/>
        </w:rPr>
        <w:t>entrepreunariat</w:t>
      </w:r>
      <w:proofErr w:type="spellEnd"/>
      <w:r w:rsidRPr="002D02F3">
        <w:rPr>
          <w:i/>
        </w:rPr>
        <w:t xml:space="preserve"> : </w:t>
      </w:r>
      <w:r w:rsidRPr="002D02F3">
        <w:t>l</w:t>
      </w:r>
      <w:r w:rsidR="00A20444" w:rsidRPr="002D02F3">
        <w:t>’</w:t>
      </w:r>
      <w:r w:rsidRPr="002D02F3">
        <w:t>OMPI, en collaboration avec la CNUCED, l</w:t>
      </w:r>
      <w:r w:rsidR="00A20444" w:rsidRPr="002D02F3">
        <w:t>’</w:t>
      </w:r>
      <w:r w:rsidRPr="002D02F3">
        <w:t xml:space="preserve">Institut des </w:t>
      </w:r>
      <w:r w:rsidR="00A20444" w:rsidRPr="002D02F3">
        <w:t>Nations Unies</w:t>
      </w:r>
      <w:r w:rsidRPr="002D02F3">
        <w:t xml:space="preserve"> pour la formation et la recherche (</w:t>
      </w:r>
      <w:proofErr w:type="spellStart"/>
      <w:r w:rsidRPr="002D02F3">
        <w:t>UNITAR</w:t>
      </w:r>
      <w:proofErr w:type="spellEnd"/>
      <w:r w:rsidRPr="002D02F3">
        <w:t>), l</w:t>
      </w:r>
      <w:r w:rsidR="00A20444" w:rsidRPr="002D02F3">
        <w:t>’</w:t>
      </w:r>
      <w:r w:rsidRPr="002D02F3">
        <w:t xml:space="preserve">Organisation internationale </w:t>
      </w:r>
      <w:r w:rsidRPr="005C7CCE">
        <w:t>du travail (OIT), le Centre du commerce international (CCI), l</w:t>
      </w:r>
      <w:r w:rsidR="00A20444" w:rsidRPr="005C7CCE">
        <w:t>’</w:t>
      </w:r>
      <w:r w:rsidRPr="005C7CCE">
        <w:t>Université de Genève (</w:t>
      </w:r>
      <w:proofErr w:type="spellStart"/>
      <w:r w:rsidRPr="005C7CCE">
        <w:t>UNIGE</w:t>
      </w:r>
      <w:proofErr w:type="spellEnd"/>
      <w:r w:rsidRPr="005C7CCE">
        <w:t>/</w:t>
      </w:r>
      <w:proofErr w:type="spellStart"/>
      <w:r w:rsidRPr="005C7CCE">
        <w:t>UNITEC</w:t>
      </w:r>
      <w:proofErr w:type="spellEnd"/>
      <w:r w:rsidRPr="005C7CCE">
        <w:t xml:space="preserve">), le Département de Genève pour le développement économique et la Fédération des entreprises romandes </w:t>
      </w:r>
      <w:r w:rsidRPr="005C7CCE">
        <w:rPr>
          <w:color w:val="000000"/>
        </w:rPr>
        <w:t>(FER)</w:t>
      </w:r>
      <w:r w:rsidRPr="005C7CCE">
        <w:t xml:space="preserve">, a </w:t>
      </w:r>
      <w:proofErr w:type="spellStart"/>
      <w:r w:rsidRPr="005C7CCE">
        <w:t>coorganisé</w:t>
      </w:r>
      <w:proofErr w:type="spellEnd"/>
      <w:r w:rsidRPr="005C7CCE">
        <w:t xml:space="preserve"> à Genève la Semaine mondiale de l</w:t>
      </w:r>
      <w:r w:rsidR="00A20444" w:rsidRPr="005C7CCE">
        <w:t>’</w:t>
      </w:r>
      <w:r w:rsidRPr="005C7CCE">
        <w:t>entreprenariat de 2012 et 2013, qui a illustré l</w:t>
      </w:r>
      <w:r w:rsidR="00A20444" w:rsidRPr="005C7CCE">
        <w:t>’</w:t>
      </w:r>
      <w:r w:rsidRPr="005C7CCE">
        <w:t>utilisation avec succès de divers instruments de gestion de la propriété intellectuelle par les petites et moyennes entreprises des pays en développement, les jeunes entrepreneurs et les femmes.</w:t>
      </w:r>
    </w:p>
    <w:p w:rsidR="00D42474" w:rsidRDefault="00D42474" w:rsidP="001A5BF9">
      <w:pPr>
        <w:tabs>
          <w:tab w:val="left" w:pos="1134"/>
        </w:tabs>
        <w:autoSpaceDE w:val="0"/>
        <w:autoSpaceDN w:val="0"/>
        <w:adjustRightInd w:val="0"/>
        <w:ind w:left="1134" w:hanging="425"/>
        <w:jc w:val="both"/>
        <w:rPr>
          <w:rFonts w:eastAsia="SimSun" w:cs="Arial"/>
          <w:bCs/>
          <w:color w:val="000000"/>
          <w:sz w:val="16"/>
          <w:szCs w:val="16"/>
        </w:rPr>
      </w:pPr>
    </w:p>
    <w:p w:rsidR="00D42474" w:rsidRDefault="00C82EE5" w:rsidP="001A5BF9">
      <w:pPr>
        <w:tabs>
          <w:tab w:val="left" w:pos="1134"/>
        </w:tabs>
        <w:autoSpaceDE w:val="0"/>
        <w:autoSpaceDN w:val="0"/>
        <w:adjustRightInd w:val="0"/>
        <w:ind w:left="1134" w:hanging="425"/>
        <w:jc w:val="both"/>
        <w:rPr>
          <w:rFonts w:eastAsia="SimSun" w:cs="Arial"/>
          <w:bCs/>
          <w:color w:val="000000"/>
          <w:szCs w:val="20"/>
        </w:rPr>
      </w:pPr>
      <w:r w:rsidRPr="005C7CCE">
        <w:rPr>
          <w:color w:val="000000"/>
        </w:rPr>
        <w:t>ix)</w:t>
      </w:r>
      <w:r w:rsidRPr="005C7CCE">
        <w:rPr>
          <w:color w:val="000000"/>
        </w:rPr>
        <w:tab/>
      </w:r>
      <w:r w:rsidRPr="005C7CCE">
        <w:rPr>
          <w:i/>
          <w:color w:val="000000"/>
        </w:rPr>
        <w:t xml:space="preserve">Coopération des </w:t>
      </w:r>
      <w:r w:rsidR="00A20444" w:rsidRPr="005C7CCE">
        <w:rPr>
          <w:i/>
          <w:color w:val="000000"/>
        </w:rPr>
        <w:t>Nations Unies</w:t>
      </w:r>
      <w:r w:rsidRPr="005C7CCE">
        <w:rPr>
          <w:i/>
          <w:color w:val="000000"/>
        </w:rPr>
        <w:t xml:space="preserve"> dans le domaine de l</w:t>
      </w:r>
      <w:r w:rsidR="00A20444" w:rsidRPr="005C7CCE">
        <w:rPr>
          <w:i/>
          <w:color w:val="000000"/>
        </w:rPr>
        <w:t>’</w:t>
      </w:r>
      <w:r w:rsidRPr="005C7CCE">
        <w:rPr>
          <w:i/>
          <w:color w:val="000000"/>
        </w:rPr>
        <w:t xml:space="preserve">eau : </w:t>
      </w:r>
      <w:r w:rsidRPr="005C7CCE">
        <w:rPr>
          <w:color w:val="000000"/>
        </w:rPr>
        <w:t>en 2012, l</w:t>
      </w:r>
      <w:r w:rsidR="00A20444" w:rsidRPr="005C7CCE">
        <w:rPr>
          <w:color w:val="000000"/>
        </w:rPr>
        <w:t>’</w:t>
      </w:r>
      <w:r w:rsidRPr="005C7CCE">
        <w:rPr>
          <w:color w:val="000000"/>
        </w:rPr>
        <w:t>OMPI a organisé un atelier à l</w:t>
      </w:r>
      <w:r w:rsidR="00A20444" w:rsidRPr="005C7CCE">
        <w:rPr>
          <w:color w:val="000000"/>
        </w:rPr>
        <w:t>’</w:t>
      </w:r>
      <w:r w:rsidRPr="005C7CCE">
        <w:rPr>
          <w:color w:val="000000"/>
        </w:rPr>
        <w:t>occasion de la Journée mondiale de l</w:t>
      </w:r>
      <w:r w:rsidR="00A20444" w:rsidRPr="005C7CCE">
        <w:rPr>
          <w:color w:val="000000"/>
        </w:rPr>
        <w:t>’</w:t>
      </w:r>
      <w:r w:rsidRPr="005C7CCE">
        <w:rPr>
          <w:color w:val="000000"/>
        </w:rPr>
        <w:t xml:space="preserve">eau dont le thème était “The </w:t>
      </w:r>
      <w:proofErr w:type="spellStart"/>
      <w:r w:rsidRPr="005C7CCE">
        <w:rPr>
          <w:color w:val="000000"/>
        </w:rPr>
        <w:t>Role</w:t>
      </w:r>
      <w:proofErr w:type="spellEnd"/>
      <w:r w:rsidRPr="005C7CCE">
        <w:rPr>
          <w:color w:val="000000"/>
        </w:rPr>
        <w:t xml:space="preserve"> of Patent Information in </w:t>
      </w:r>
      <w:proofErr w:type="spellStart"/>
      <w:r w:rsidRPr="005C7CCE">
        <w:rPr>
          <w:color w:val="000000"/>
        </w:rPr>
        <w:t>Supporting</w:t>
      </w:r>
      <w:proofErr w:type="spellEnd"/>
      <w:r w:rsidRPr="005C7CCE">
        <w:rPr>
          <w:color w:val="000000"/>
        </w:rPr>
        <w:t xml:space="preserve"> </w:t>
      </w:r>
      <w:proofErr w:type="spellStart"/>
      <w:r w:rsidRPr="005C7CCE">
        <w:rPr>
          <w:color w:val="000000"/>
        </w:rPr>
        <w:t>Sustainable</w:t>
      </w:r>
      <w:proofErr w:type="spellEnd"/>
      <w:r w:rsidRPr="005C7CCE">
        <w:rPr>
          <w:color w:val="000000"/>
        </w:rPr>
        <w:t xml:space="preserve"> Access to </w:t>
      </w:r>
      <w:proofErr w:type="spellStart"/>
      <w:r w:rsidRPr="005C7CCE">
        <w:rPr>
          <w:color w:val="000000"/>
        </w:rPr>
        <w:t>Safe</w:t>
      </w:r>
      <w:proofErr w:type="spellEnd"/>
      <w:r w:rsidRPr="005C7CCE">
        <w:rPr>
          <w:color w:val="000000"/>
        </w:rPr>
        <w:t xml:space="preserve"> </w:t>
      </w:r>
      <w:proofErr w:type="spellStart"/>
      <w:r w:rsidRPr="005C7CCE">
        <w:rPr>
          <w:color w:val="000000"/>
        </w:rPr>
        <w:t>Drinking</w:t>
      </w:r>
      <w:proofErr w:type="spellEnd"/>
      <w:r w:rsidRPr="005C7CCE">
        <w:rPr>
          <w:color w:val="000000"/>
        </w:rPr>
        <w:t xml:space="preserve"> </w:t>
      </w:r>
      <w:proofErr w:type="spellStart"/>
      <w:r w:rsidRPr="005C7CCE">
        <w:rPr>
          <w:color w:val="000000"/>
        </w:rPr>
        <w:t>Water</w:t>
      </w:r>
      <w:proofErr w:type="spellEnd"/>
      <w:r w:rsidRPr="005C7CCE">
        <w:rPr>
          <w:color w:val="000000"/>
        </w:rPr>
        <w:t>” en coopération avec l</w:t>
      </w:r>
      <w:r w:rsidR="00A20444" w:rsidRPr="005C7CCE">
        <w:rPr>
          <w:color w:val="000000"/>
        </w:rPr>
        <w:t>’</w:t>
      </w:r>
      <w:r w:rsidRPr="005C7CCE">
        <w:rPr>
          <w:color w:val="000000"/>
        </w:rPr>
        <w:t>Agence internationale pour les énergies renouvelables (IRENA) et l</w:t>
      </w:r>
      <w:r w:rsidR="00A20444" w:rsidRPr="005C7CCE">
        <w:rPr>
          <w:color w:val="000000"/>
        </w:rPr>
        <w:t>’</w:t>
      </w:r>
      <w:r w:rsidRPr="005C7CCE">
        <w:rPr>
          <w:color w:val="000000"/>
        </w:rPr>
        <w:t>Institut mondial pour le milieu hydrique et la santé (</w:t>
      </w:r>
      <w:proofErr w:type="spellStart"/>
      <w:r w:rsidRPr="005C7CCE">
        <w:rPr>
          <w:color w:val="000000"/>
        </w:rPr>
        <w:t>GIWEH</w:t>
      </w:r>
      <w:proofErr w:type="spellEnd"/>
      <w:r w:rsidRPr="005C7CCE">
        <w:rPr>
          <w:color w:val="000000"/>
        </w:rPr>
        <w:t xml:space="preserve">). </w:t>
      </w:r>
      <w:r w:rsidR="0010442A" w:rsidRPr="005C7CCE">
        <w:rPr>
          <w:color w:val="000000"/>
        </w:rPr>
        <w:t xml:space="preserve"> </w:t>
      </w:r>
      <w:r w:rsidRPr="005C7CCE">
        <w:rPr>
          <w:color w:val="000000"/>
        </w:rPr>
        <w:t>D</w:t>
      </w:r>
      <w:r w:rsidR="00A20444" w:rsidRPr="005C7CCE">
        <w:rPr>
          <w:color w:val="000000"/>
        </w:rPr>
        <w:t>’</w:t>
      </w:r>
      <w:r w:rsidRPr="005C7CCE">
        <w:rPr>
          <w:color w:val="000000"/>
        </w:rPr>
        <w:t>autres initiatives de suivi ont eu lieu en 2013.</w:t>
      </w:r>
    </w:p>
    <w:p w:rsidR="00D42474" w:rsidRDefault="00D42474" w:rsidP="001A5BF9">
      <w:pPr>
        <w:tabs>
          <w:tab w:val="left" w:pos="1134"/>
        </w:tabs>
        <w:autoSpaceDE w:val="0"/>
        <w:autoSpaceDN w:val="0"/>
        <w:adjustRightInd w:val="0"/>
        <w:ind w:left="1134" w:hanging="425"/>
        <w:jc w:val="both"/>
        <w:rPr>
          <w:rFonts w:cs="Arial"/>
          <w:szCs w:val="20"/>
        </w:rPr>
      </w:pPr>
    </w:p>
    <w:p w:rsidR="00D42474" w:rsidRDefault="00C82EE5" w:rsidP="001A5BF9">
      <w:pPr>
        <w:keepNext/>
        <w:keepLines/>
        <w:tabs>
          <w:tab w:val="left" w:pos="709"/>
        </w:tabs>
        <w:autoSpaceDE w:val="0"/>
        <w:autoSpaceDN w:val="0"/>
        <w:adjustRightInd w:val="0"/>
        <w:jc w:val="both"/>
      </w:pPr>
      <w:r w:rsidRPr="005C7CCE">
        <w:rPr>
          <w:color w:val="000000"/>
        </w:rPr>
        <w:t>20.2.</w:t>
      </w:r>
      <w:r w:rsidRPr="005C7CCE">
        <w:rPr>
          <w:color w:val="000000"/>
        </w:rPr>
        <w:tab/>
      </w:r>
      <w:r w:rsidRPr="005C7CCE">
        <w:t xml:space="preserve">Le programme 20 joue le rôle de programme de coordination centrale en matière de mobilisation des ressources extrabudgétaires. </w:t>
      </w:r>
      <w:r w:rsidR="0010442A" w:rsidRPr="005C7CCE">
        <w:t xml:space="preserve"> </w:t>
      </w:r>
      <w:r w:rsidRPr="005C7CCE">
        <w:t>Au cours de l</w:t>
      </w:r>
      <w:r w:rsidR="00A20444" w:rsidRPr="005C7CCE">
        <w:t>’</w:t>
      </w:r>
      <w:r w:rsidRPr="005C7CCE">
        <w:t>exercice biennal 2012</w:t>
      </w:r>
      <w:r w:rsidR="002D6F2A" w:rsidRPr="005C7CCE">
        <w:noBreakHyphen/>
      </w:r>
      <w:r w:rsidRPr="005C7CCE">
        <w:t>2013, l</w:t>
      </w:r>
      <w:r w:rsidR="00A20444" w:rsidRPr="005C7CCE">
        <w:t>’</w:t>
      </w:r>
      <w:r w:rsidRPr="005C7CCE">
        <w:t>OMPI est parvenue à augmenter avec succès la disponibilité des contributions volontaires, par le biais d</w:t>
      </w:r>
      <w:r w:rsidR="00A20444" w:rsidRPr="005C7CCE">
        <w:t>’</w:t>
      </w:r>
      <w:r w:rsidRPr="005C7CCE">
        <w:t xml:space="preserve">accords de fonds fiduciaires. </w:t>
      </w:r>
      <w:r w:rsidR="0010442A" w:rsidRPr="005C7CCE">
        <w:t xml:space="preserve"> </w:t>
      </w:r>
      <w:r w:rsidRPr="005C7CCE">
        <w:t>L</w:t>
      </w:r>
      <w:r w:rsidR="00A20444" w:rsidRPr="005C7CCE">
        <w:t>’</w:t>
      </w:r>
      <w:r w:rsidRPr="005C7CCE">
        <w:t>augmentation s</w:t>
      </w:r>
      <w:r w:rsidR="00A20444" w:rsidRPr="005C7CCE">
        <w:t>’</w:t>
      </w:r>
      <w:r w:rsidRPr="005C7CCE">
        <w:t>élève à 44,5</w:t>
      </w:r>
      <w:r w:rsidR="007E442D" w:rsidRPr="005C7CCE">
        <w:t>%</w:t>
      </w:r>
      <w:r w:rsidRPr="005C7CCE">
        <w:t xml:space="preserve"> au regard de l</w:t>
      </w:r>
      <w:r w:rsidR="00A20444" w:rsidRPr="005C7CCE">
        <w:t>’</w:t>
      </w:r>
      <w:r w:rsidRPr="005C7CCE">
        <w:t>exercice biennal 2010</w:t>
      </w:r>
      <w:r w:rsidR="002D6F2A" w:rsidRPr="005C7CCE">
        <w:noBreakHyphen/>
      </w:r>
      <w:r w:rsidRPr="005C7CCE">
        <w:t>2011.</w:t>
      </w:r>
      <w:r w:rsidR="0010442A" w:rsidRPr="005C7CCE">
        <w:t xml:space="preserve"> </w:t>
      </w:r>
      <w:r w:rsidRPr="005C7CCE">
        <w:t xml:space="preserve"> Le programme 20 a œuvré en étroite collaboration avec les autres programmes pertinents pour soutenir et promouvoir les efforts de mobilisation des ressources.</w:t>
      </w:r>
    </w:p>
    <w:p w:rsidR="00D42474" w:rsidRDefault="00D42474" w:rsidP="001A5BF9">
      <w:pPr>
        <w:autoSpaceDE w:val="0"/>
        <w:autoSpaceDN w:val="0"/>
        <w:adjustRightInd w:val="0"/>
        <w:jc w:val="both"/>
        <w:rPr>
          <w:rFonts w:eastAsia="SimSun" w:cs="Arial"/>
          <w:iCs/>
          <w:szCs w:val="20"/>
        </w:rPr>
      </w:pPr>
    </w:p>
    <w:p w:rsidR="00D42474" w:rsidRDefault="00C82EE5" w:rsidP="001A5BF9">
      <w:pPr>
        <w:autoSpaceDE w:val="0"/>
        <w:autoSpaceDN w:val="0"/>
        <w:adjustRightInd w:val="0"/>
        <w:jc w:val="both"/>
        <w:rPr>
          <w:rFonts w:eastAsia="SimSun" w:cs="Arial"/>
          <w:b/>
          <w:iCs/>
          <w:szCs w:val="20"/>
        </w:rPr>
      </w:pPr>
      <w:r w:rsidRPr="002D02F3">
        <w:rPr>
          <w:b/>
        </w:rPr>
        <w:t>Bureau de l</w:t>
      </w:r>
      <w:r w:rsidR="00A20444" w:rsidRPr="002D02F3">
        <w:rPr>
          <w:b/>
        </w:rPr>
        <w:t>’</w:t>
      </w:r>
      <w:r w:rsidRPr="002D02F3">
        <w:rPr>
          <w:b/>
        </w:rPr>
        <w:t>OMPI à New York</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pPr>
      <w:r w:rsidRPr="002D02F3">
        <w:t>20.3.</w:t>
      </w:r>
      <w:r w:rsidRPr="002D02F3">
        <w:tab/>
        <w:t>L</w:t>
      </w:r>
      <w:r w:rsidR="00A20444" w:rsidRPr="002D02F3">
        <w:t>’</w:t>
      </w:r>
      <w:r w:rsidRPr="002D02F3">
        <w:t>office de l</w:t>
      </w:r>
      <w:r w:rsidR="00A20444" w:rsidRPr="002D02F3">
        <w:t>’</w:t>
      </w:r>
      <w:r w:rsidRPr="002D02F3">
        <w:t>OMPI de New York a agi dans le prolongement des fonctions de relations extérieures de l</w:t>
      </w:r>
      <w:r w:rsidR="00A20444" w:rsidRPr="002D02F3">
        <w:t>’</w:t>
      </w:r>
      <w:r w:rsidRPr="002D02F3">
        <w:t xml:space="preserve">OMPI avec le Secrétariat des </w:t>
      </w:r>
      <w:r w:rsidR="00A20444" w:rsidRPr="002D02F3">
        <w:t>Nations Unies</w:t>
      </w:r>
      <w:r w:rsidRPr="002D02F3">
        <w:t xml:space="preserve"> et les Organisations des </w:t>
      </w:r>
      <w:r w:rsidR="00A20444" w:rsidRPr="002D02F3">
        <w:t>Nations Unies</w:t>
      </w:r>
      <w:r w:rsidRPr="002D02F3">
        <w:t xml:space="preserve"> installées à New York. </w:t>
      </w:r>
      <w:r w:rsidR="0010442A" w:rsidRPr="002D02F3">
        <w:t xml:space="preserve"> </w:t>
      </w:r>
      <w:r w:rsidRPr="002D02F3">
        <w:t xml:space="preserve">À cet égard, il a joué un rôle clé en apportant une contribution efficace aux activités pertinentes décrites précédemment. </w:t>
      </w:r>
      <w:r w:rsidR="0010442A" w:rsidRPr="002D02F3">
        <w:t xml:space="preserve"> </w:t>
      </w:r>
      <w:r w:rsidRPr="002D02F3">
        <w:t>À titre d</w:t>
      </w:r>
      <w:r w:rsidR="00A20444" w:rsidRPr="002D02F3">
        <w:t>’</w:t>
      </w:r>
      <w:r w:rsidRPr="002D02F3">
        <w:t>exemple supplémentaire, l</w:t>
      </w:r>
      <w:r w:rsidR="00A20444" w:rsidRPr="002D02F3">
        <w:t>’</w:t>
      </w:r>
      <w:r w:rsidRPr="002D02F3">
        <w:t>office de l</w:t>
      </w:r>
      <w:r w:rsidR="00A20444" w:rsidRPr="002D02F3">
        <w:t>’</w:t>
      </w:r>
      <w:r w:rsidRPr="002D02F3">
        <w:t xml:space="preserve">OMPI de New York a organisé un événement parallèle au siège des </w:t>
      </w:r>
      <w:r w:rsidR="00A20444" w:rsidRPr="002D02F3">
        <w:t>Nations Unies</w:t>
      </w:r>
      <w:r w:rsidRPr="002D02F3">
        <w:t xml:space="preserve"> à New York, en décembre 2013, en vue d</w:t>
      </w:r>
      <w:r w:rsidR="00A20444" w:rsidRPr="002D02F3">
        <w:t>’</w:t>
      </w:r>
      <w:r w:rsidRPr="002D02F3">
        <w:t>encourager l</w:t>
      </w:r>
      <w:r w:rsidR="00A20444" w:rsidRPr="002D02F3">
        <w:t>’</w:t>
      </w:r>
      <w:r w:rsidR="009C658D" w:rsidRPr="002D02F3">
        <w:t>adhésion au T</w:t>
      </w:r>
      <w:r w:rsidRPr="002D02F3">
        <w:t>raité de Marrakech dans le cadre des activités</w:t>
      </w:r>
      <w:r w:rsidR="004F3E42" w:rsidRPr="002D02F3">
        <w:t xml:space="preserve"> </w:t>
      </w:r>
      <w:r w:rsidRPr="002D02F3">
        <w:t xml:space="preserve">des </w:t>
      </w:r>
      <w:r w:rsidR="00A20444" w:rsidRPr="002D02F3">
        <w:t>Nations Unies</w:t>
      </w:r>
      <w:r w:rsidRPr="002D02F3">
        <w:t xml:space="preserve"> visant à marquer la Journée internationale des personnes souffrant de handicaps.</w:t>
      </w:r>
    </w:p>
    <w:p w:rsidR="00D42474" w:rsidRDefault="00D42474" w:rsidP="001A5BF9">
      <w:pPr>
        <w:autoSpaceDE w:val="0"/>
        <w:autoSpaceDN w:val="0"/>
        <w:adjustRightInd w:val="0"/>
        <w:jc w:val="both"/>
        <w:rPr>
          <w:rFonts w:eastAsia="SimSun" w:cs="Arial"/>
          <w:iCs/>
          <w:szCs w:val="20"/>
        </w:rPr>
      </w:pPr>
    </w:p>
    <w:p w:rsidR="00D42474" w:rsidRDefault="00C82EE5" w:rsidP="001A5BF9">
      <w:pPr>
        <w:autoSpaceDE w:val="0"/>
        <w:autoSpaceDN w:val="0"/>
        <w:adjustRightInd w:val="0"/>
        <w:jc w:val="both"/>
        <w:rPr>
          <w:rFonts w:eastAsia="SimSun" w:cs="Arial"/>
          <w:b/>
          <w:iCs/>
          <w:szCs w:val="20"/>
        </w:rPr>
      </w:pPr>
      <w:r w:rsidRPr="002D02F3">
        <w:rPr>
          <w:b/>
        </w:rPr>
        <w:t>Organisations non gouvernementales et relations avec le monde de l</w:t>
      </w:r>
      <w:r w:rsidR="00A20444" w:rsidRPr="002D02F3">
        <w:rPr>
          <w:b/>
        </w:rPr>
        <w:t>’</w:t>
      </w:r>
      <w:r w:rsidRPr="002D02F3">
        <w:rPr>
          <w:b/>
        </w:rPr>
        <w:t>entreprise</w:t>
      </w:r>
    </w:p>
    <w:p w:rsidR="00D42474" w:rsidRDefault="00D42474" w:rsidP="001A5BF9">
      <w:pPr>
        <w:autoSpaceDE w:val="0"/>
        <w:autoSpaceDN w:val="0"/>
        <w:adjustRightInd w:val="0"/>
        <w:jc w:val="both"/>
        <w:rPr>
          <w:rFonts w:eastAsia="SimSun" w:cs="Arial"/>
          <w:szCs w:val="20"/>
        </w:rPr>
      </w:pPr>
    </w:p>
    <w:p w:rsidR="00D42474" w:rsidRDefault="00C82EE5" w:rsidP="001A5BF9">
      <w:pPr>
        <w:tabs>
          <w:tab w:val="left" w:pos="709"/>
        </w:tabs>
        <w:autoSpaceDE w:val="0"/>
        <w:autoSpaceDN w:val="0"/>
        <w:adjustRightInd w:val="0"/>
        <w:jc w:val="both"/>
        <w:rPr>
          <w:rFonts w:eastAsia="SimSun" w:cs="Arial"/>
          <w:szCs w:val="20"/>
        </w:rPr>
      </w:pPr>
      <w:r w:rsidRPr="002D02F3">
        <w:t>20.4.</w:t>
      </w:r>
      <w:r w:rsidRPr="002D02F3">
        <w:tab/>
        <w:t>L</w:t>
      </w:r>
      <w:r w:rsidR="00A20444" w:rsidRPr="002D02F3">
        <w:t>’</w:t>
      </w:r>
      <w:r w:rsidRPr="002D02F3">
        <w:t xml:space="preserve">OMPI a poursuivi ses travaux visant à améliorer son implication auprès des parties prenantes non gouvernementales et à faciliter leur participation active à ses programmes. </w:t>
      </w:r>
      <w:r w:rsidR="0010442A" w:rsidRPr="002D02F3">
        <w:t xml:space="preserve"> </w:t>
      </w:r>
      <w:r w:rsidRPr="002D02F3">
        <w:t>Au cours de l</w:t>
      </w:r>
      <w:r w:rsidR="00A20444" w:rsidRPr="002D02F3">
        <w:t>’</w:t>
      </w:r>
      <w:r w:rsidRPr="002D02F3">
        <w:t>exercice biennal, l</w:t>
      </w:r>
      <w:r w:rsidR="00A20444" w:rsidRPr="002D02F3">
        <w:t>’</w:t>
      </w:r>
      <w:r w:rsidRPr="002D02F3">
        <w:t>OMPI a continué de recenser et promouvoir les opportunités et à améliorer les mesures qui garantissent une large participation de la société civile aux activités de l</w:t>
      </w:r>
      <w:r w:rsidR="00A20444" w:rsidRPr="002D02F3">
        <w:t>’</w:t>
      </w:r>
      <w:r w:rsidRPr="002D02F3">
        <w:t>OMPI, conformément à la recommandation n° 42 du Plan d</w:t>
      </w:r>
      <w:r w:rsidR="00A20444" w:rsidRPr="002D02F3">
        <w:t>’</w:t>
      </w:r>
      <w:r w:rsidRPr="002D02F3">
        <w:t xml:space="preserve">action pour le développement. </w:t>
      </w:r>
      <w:r w:rsidR="0010442A" w:rsidRPr="002D02F3">
        <w:t xml:space="preserve"> </w:t>
      </w:r>
      <w:r w:rsidRPr="002D02F3">
        <w:t>Cet objectif a été essentiellement atteint par le biais d</w:t>
      </w:r>
      <w:r w:rsidR="00A20444" w:rsidRPr="002D02F3">
        <w:t>’</w:t>
      </w:r>
      <w:r w:rsidRPr="002D02F3">
        <w:t>ateliers et de séminaires, de l</w:t>
      </w:r>
      <w:r w:rsidR="00A20444" w:rsidRPr="002D02F3">
        <w:t>’</w:t>
      </w:r>
      <w:r w:rsidRPr="002D02F3">
        <w:t xml:space="preserve">organisation de manifestations en marge des différents </w:t>
      </w:r>
      <w:r w:rsidRPr="005C7CCE">
        <w:t>comités permanents, de séances d</w:t>
      </w:r>
      <w:r w:rsidR="00A20444" w:rsidRPr="005C7CCE">
        <w:t>’</w:t>
      </w:r>
      <w:r w:rsidRPr="005C7CCE">
        <w:t>information ou d</w:t>
      </w:r>
      <w:r w:rsidR="00A20444" w:rsidRPr="005C7CCE">
        <w:t>’</w:t>
      </w:r>
      <w:r w:rsidRPr="005C7CCE">
        <w:t>autres forums qui ont été le lieu d</w:t>
      </w:r>
      <w:r w:rsidR="00A20444" w:rsidRPr="005C7CCE">
        <w:t>’</w:t>
      </w:r>
      <w:r w:rsidRPr="005C7CCE">
        <w:t>échanges utiles avec les participants non gouvernementaux.</w:t>
      </w:r>
    </w:p>
    <w:p w:rsidR="00D42474" w:rsidRDefault="00D42474" w:rsidP="001A5BF9">
      <w:pPr>
        <w:tabs>
          <w:tab w:val="left" w:pos="709"/>
        </w:tabs>
        <w:autoSpaceDE w:val="0"/>
        <w:autoSpaceDN w:val="0"/>
        <w:adjustRightInd w:val="0"/>
        <w:jc w:val="both"/>
        <w:rPr>
          <w:rFonts w:eastAsia="SimSun" w:cs="Arial"/>
          <w:szCs w:val="20"/>
        </w:rPr>
      </w:pPr>
    </w:p>
    <w:p w:rsidR="00D42474" w:rsidRDefault="00C82EE5" w:rsidP="001A5BF9">
      <w:pPr>
        <w:tabs>
          <w:tab w:val="left" w:pos="709"/>
        </w:tabs>
        <w:autoSpaceDE w:val="0"/>
        <w:autoSpaceDN w:val="0"/>
        <w:adjustRightInd w:val="0"/>
        <w:jc w:val="both"/>
      </w:pPr>
      <w:r w:rsidRPr="005C7CCE">
        <w:t>20.5.</w:t>
      </w:r>
      <w:r w:rsidRPr="005C7CCE">
        <w:tab/>
        <w:t>En 2012, l</w:t>
      </w:r>
      <w:r w:rsidR="00A20444" w:rsidRPr="005C7CCE">
        <w:t>’</w:t>
      </w:r>
      <w:r w:rsidRPr="005C7CCE">
        <w:t>OMPI a hébergé la première réunion du Directeur général réservée exclusivement aux ONG, qui a offert une occasion essentielle d</w:t>
      </w:r>
      <w:r w:rsidR="00A20444" w:rsidRPr="005C7CCE">
        <w:t>’</w:t>
      </w:r>
      <w:r w:rsidRPr="005C7CCE">
        <w:t>engager des échanges utiles sur les réalisations de l</w:t>
      </w:r>
      <w:r w:rsidR="00A20444" w:rsidRPr="005C7CCE">
        <w:t>’</w:t>
      </w:r>
      <w:r w:rsidRPr="005C7CCE">
        <w:t>OMPI accomplies jusqu</w:t>
      </w:r>
      <w:r w:rsidR="00A20444" w:rsidRPr="005C7CCE">
        <w:t>’</w:t>
      </w:r>
      <w:r w:rsidRPr="005C7CCE">
        <w:t>alors, ainsi que sur les priorités pour l</w:t>
      </w:r>
      <w:r w:rsidR="00A20444" w:rsidRPr="005C7CCE">
        <w:t>’</w:t>
      </w:r>
      <w:r w:rsidRPr="005C7CCE">
        <w:t xml:space="preserve">année à venir. </w:t>
      </w:r>
      <w:r w:rsidR="0010442A" w:rsidRPr="005C7CCE">
        <w:t xml:space="preserve"> </w:t>
      </w:r>
      <w:r w:rsidRPr="005C7CCE">
        <w:t>La tenue, en 2013, de la deuxième réunion annuelle du Directeur général avec les ONG accréditées et son institutionnalisation en tant qu</w:t>
      </w:r>
      <w:r w:rsidR="00A20444" w:rsidRPr="005C7CCE">
        <w:t>’</w:t>
      </w:r>
      <w:r w:rsidRPr="005C7CCE">
        <w:t>événement annuel reste un élément essentiel de ce dialogue primordial et souligne l</w:t>
      </w:r>
      <w:r w:rsidR="00A20444" w:rsidRPr="005C7CCE">
        <w:t>’</w:t>
      </w:r>
      <w:r w:rsidRPr="005C7CCE">
        <w:t>importance particulière que l</w:t>
      </w:r>
      <w:r w:rsidR="00A20444" w:rsidRPr="005C7CCE">
        <w:t>’</w:t>
      </w:r>
      <w:r w:rsidRPr="005C7CCE">
        <w:t>OMPI accorde aux intérêts et préoccupations des ONG, ainsi que son engagement en faveur d</w:t>
      </w:r>
      <w:r w:rsidR="00A20444" w:rsidRPr="005C7CCE">
        <w:t>’</w:t>
      </w:r>
      <w:r w:rsidRPr="005C7CCE">
        <w:t>une interaction ouverte, transparente et réactive avec celles</w:t>
      </w:r>
      <w:r w:rsidR="002D6F2A" w:rsidRPr="005C7CCE">
        <w:noBreakHyphen/>
      </w:r>
      <w:r w:rsidRPr="005C7CCE">
        <w:t>ci.</w:t>
      </w:r>
    </w:p>
    <w:p w:rsidR="00D42474" w:rsidRDefault="00D42474" w:rsidP="001A5BF9">
      <w:pPr>
        <w:tabs>
          <w:tab w:val="left" w:pos="709"/>
        </w:tabs>
        <w:autoSpaceDE w:val="0"/>
        <w:autoSpaceDN w:val="0"/>
        <w:adjustRightInd w:val="0"/>
        <w:jc w:val="both"/>
        <w:rPr>
          <w:rFonts w:eastAsia="SimSun" w:cs="Arial"/>
          <w:szCs w:val="20"/>
        </w:rPr>
      </w:pPr>
    </w:p>
    <w:p w:rsidR="00D42474" w:rsidRDefault="00C82EE5" w:rsidP="001A5BF9">
      <w:pPr>
        <w:tabs>
          <w:tab w:val="left" w:pos="709"/>
        </w:tabs>
        <w:autoSpaceDE w:val="0"/>
        <w:autoSpaceDN w:val="0"/>
        <w:adjustRightInd w:val="0"/>
        <w:jc w:val="both"/>
        <w:rPr>
          <w:rFonts w:eastAsia="SimSun" w:cs="Arial"/>
          <w:szCs w:val="20"/>
        </w:rPr>
      </w:pPr>
      <w:r w:rsidRPr="005C7CCE">
        <w:t>20.6.</w:t>
      </w:r>
      <w:r w:rsidRPr="005C7CCE">
        <w:tab/>
        <w:t>En 2012, les États membres ont également reconnu la nécessité d</w:t>
      </w:r>
      <w:r w:rsidR="00A20444" w:rsidRPr="005C7CCE">
        <w:t>’</w:t>
      </w:r>
      <w:r w:rsidRPr="005C7CCE">
        <w:t xml:space="preserve">un engagement plus inclusif avec un large éventail de parties prenantes non gouvernementales, y compris des entreprises privées. </w:t>
      </w:r>
      <w:r w:rsidR="0010442A" w:rsidRPr="005C7CCE">
        <w:t xml:space="preserve"> </w:t>
      </w:r>
      <w:r w:rsidRPr="005C7CCE">
        <w:t>En facilitant des débats plus productifs avec ces parties prenantes et, élément tout aussi important, entre elles, l</w:t>
      </w:r>
      <w:r w:rsidR="00A20444" w:rsidRPr="005C7CCE">
        <w:t>’</w:t>
      </w:r>
      <w:r w:rsidRPr="005C7CCE">
        <w:t xml:space="preserve">OMPI contribue à encourager les synergies, collaborations et coopérations nécessaires pour mieux traiter les questions de propriété intellectuelle. </w:t>
      </w:r>
      <w:r w:rsidR="0010442A" w:rsidRPr="005C7CCE">
        <w:t xml:space="preserve"> </w:t>
      </w:r>
      <w:r w:rsidRPr="005C7CCE">
        <w:t>Le Forum de l</w:t>
      </w:r>
      <w:r w:rsidR="00A20444" w:rsidRPr="005C7CCE">
        <w:t>’</w:t>
      </w:r>
      <w:r w:rsidRPr="005C7CCE">
        <w:t>OMPI 2013, organisé dans le cadre des assemblées des États membres, a offert une plate</w:t>
      </w:r>
      <w:r w:rsidR="002D6F2A" w:rsidRPr="005C7CCE">
        <w:noBreakHyphen/>
      </w:r>
      <w:r w:rsidRPr="005C7CCE">
        <w:t>forme de dialogue avec d</w:t>
      </w:r>
      <w:r w:rsidR="00A20444" w:rsidRPr="005C7CCE">
        <w:t>’</w:t>
      </w:r>
      <w:r w:rsidRPr="005C7CCE">
        <w:t>éminents innovateurs visionnaires sur le potentiel d</w:t>
      </w:r>
      <w:r w:rsidR="00A20444" w:rsidRPr="005C7CCE">
        <w:t>’</w:t>
      </w:r>
      <w:r w:rsidRPr="005C7CCE">
        <w:t>amélioration de la qualité de la vie que renferment leurs idées respectives;</w:t>
      </w:r>
      <w:r w:rsidR="004F3E42" w:rsidRPr="005C7CCE">
        <w:t xml:space="preserve"> </w:t>
      </w:r>
      <w:r w:rsidR="0010442A" w:rsidRPr="005C7CCE">
        <w:t xml:space="preserve"> </w:t>
      </w:r>
      <w:r w:rsidRPr="005C7CCE">
        <w:t>sur les moyens qu</w:t>
      </w:r>
      <w:r w:rsidR="00A20444" w:rsidRPr="005C7CCE">
        <w:t>’</w:t>
      </w:r>
      <w:r w:rsidRPr="005C7CCE">
        <w:t>ils utilisent pour diffuser les connaissances et les avantages tirés de leurs découvertes et des innovations en découlant;</w:t>
      </w:r>
      <w:r w:rsidR="004F3E42" w:rsidRPr="005C7CCE">
        <w:t xml:space="preserve"> </w:t>
      </w:r>
      <w:r w:rsidR="0010442A" w:rsidRPr="005C7CCE">
        <w:t xml:space="preserve"> </w:t>
      </w:r>
      <w:r w:rsidRPr="005C7CCE">
        <w:t>et sur la manière de stimuler la création de conditions propices à la réalisation des travaux d</w:t>
      </w:r>
      <w:r w:rsidR="00A20444" w:rsidRPr="005C7CCE">
        <w:t>’</w:t>
      </w:r>
      <w:r w:rsidRPr="005C7CCE">
        <w:t>avant</w:t>
      </w:r>
      <w:r w:rsidR="002D6F2A" w:rsidRPr="005C7CCE">
        <w:noBreakHyphen/>
      </w:r>
      <w:r w:rsidRPr="005C7CCE">
        <w:t>garde dans lesquels ils sont engagés.</w:t>
      </w:r>
    </w:p>
    <w:p w:rsidR="00D42474" w:rsidRDefault="00D42474" w:rsidP="001A5BF9">
      <w:pPr>
        <w:jc w:val="both"/>
        <w:rPr>
          <w:rFonts w:eastAsia="SimSun" w:cs="Arial"/>
          <w:iCs/>
          <w:szCs w:val="20"/>
        </w:rPr>
      </w:pPr>
    </w:p>
    <w:p w:rsidR="00D42474" w:rsidRDefault="00C82EE5" w:rsidP="001A5BF9">
      <w:pPr>
        <w:pageBreakBefore/>
        <w:autoSpaceDE w:val="0"/>
        <w:autoSpaceDN w:val="0"/>
        <w:adjustRightInd w:val="0"/>
        <w:jc w:val="both"/>
        <w:rPr>
          <w:rFonts w:eastAsia="SimSun" w:cs="Arial"/>
          <w:iCs/>
          <w:szCs w:val="20"/>
        </w:rPr>
      </w:pPr>
      <w:r w:rsidRPr="002D02F3">
        <w:t>BUREAUX EXTÉRIEURS</w:t>
      </w:r>
    </w:p>
    <w:p w:rsidR="00D42474" w:rsidRDefault="00D42474" w:rsidP="001A5BF9">
      <w:pPr>
        <w:autoSpaceDE w:val="0"/>
        <w:autoSpaceDN w:val="0"/>
        <w:adjustRightInd w:val="0"/>
        <w:jc w:val="both"/>
        <w:rPr>
          <w:rFonts w:cs="Arial"/>
          <w:bCs/>
          <w:szCs w:val="20"/>
          <w:u w:val="single"/>
        </w:rPr>
      </w:pPr>
    </w:p>
    <w:p w:rsidR="00D42474" w:rsidRDefault="00C82EE5" w:rsidP="001A5BF9">
      <w:pPr>
        <w:autoSpaceDE w:val="0"/>
        <w:autoSpaceDN w:val="0"/>
        <w:adjustRightInd w:val="0"/>
        <w:jc w:val="both"/>
        <w:rPr>
          <w:rFonts w:cs="Arial"/>
          <w:bCs/>
          <w:szCs w:val="20"/>
          <w:u w:val="single"/>
        </w:rPr>
      </w:pPr>
      <w:r w:rsidRPr="002D02F3">
        <w:rPr>
          <w:u w:val="single"/>
        </w:rPr>
        <w:t>Bureau de l</w:t>
      </w:r>
      <w:r w:rsidR="00A20444" w:rsidRPr="002D02F3">
        <w:rPr>
          <w:u w:val="single"/>
        </w:rPr>
        <w:t>’</w:t>
      </w:r>
      <w:r w:rsidRPr="002D02F3">
        <w:rPr>
          <w:u w:val="single"/>
        </w:rPr>
        <w:t>OMPI au Brésil</w:t>
      </w:r>
    </w:p>
    <w:p w:rsidR="00D42474" w:rsidRDefault="00D42474" w:rsidP="001A5BF9">
      <w:pPr>
        <w:autoSpaceDE w:val="0"/>
        <w:autoSpaceDN w:val="0"/>
        <w:adjustRightInd w:val="0"/>
        <w:jc w:val="both"/>
        <w:rPr>
          <w:rFonts w:cs="Arial"/>
          <w:bCs/>
          <w:szCs w:val="20"/>
        </w:rPr>
      </w:pPr>
    </w:p>
    <w:p w:rsidR="00D42474" w:rsidRDefault="00C82EE5" w:rsidP="001A5BF9">
      <w:pPr>
        <w:tabs>
          <w:tab w:val="left" w:pos="709"/>
        </w:tabs>
        <w:autoSpaceDE w:val="0"/>
        <w:autoSpaceDN w:val="0"/>
        <w:adjustRightInd w:val="0"/>
        <w:jc w:val="both"/>
        <w:rPr>
          <w:rFonts w:eastAsia="SimSun" w:cs="Arial"/>
          <w:iCs/>
          <w:szCs w:val="20"/>
        </w:rPr>
      </w:pPr>
      <w:r w:rsidRPr="002D02F3">
        <w:t>20.7.</w:t>
      </w:r>
      <w:r w:rsidRPr="002D02F3">
        <w:tab/>
        <w:t>Le Bureau de l</w:t>
      </w:r>
      <w:r w:rsidR="00A20444" w:rsidRPr="002D02F3">
        <w:t>’</w:t>
      </w:r>
      <w:r w:rsidRPr="002D02F3">
        <w:t>OMPI au Brésil a continué à concentrer ses efforts sur le renforcement des capacités nationales et à promouvoir l</w:t>
      </w:r>
      <w:r w:rsidR="00A20444" w:rsidRPr="002D02F3">
        <w:t>’</w:t>
      </w:r>
      <w:r w:rsidRPr="002D02F3">
        <w:t>utilisation des services de l</w:t>
      </w:r>
      <w:r w:rsidR="00A20444" w:rsidRPr="002D02F3">
        <w:t>’</w:t>
      </w:r>
      <w:r w:rsidRPr="002D02F3">
        <w:t>OMPI au cours de l</w:t>
      </w:r>
      <w:r w:rsidR="00A20444" w:rsidRPr="002D02F3">
        <w:t>’</w:t>
      </w:r>
      <w:r w:rsidRPr="002D02F3">
        <w:t xml:space="preserve">exercice biennal. </w:t>
      </w:r>
      <w:r w:rsidR="0010442A" w:rsidRPr="002D02F3">
        <w:t xml:space="preserve"> </w:t>
      </w:r>
      <w:r w:rsidRPr="002D02F3">
        <w:t>À cet égard, le Bureau de l</w:t>
      </w:r>
      <w:r w:rsidR="00A20444" w:rsidRPr="002D02F3">
        <w:t>’</w:t>
      </w:r>
      <w:r w:rsidRPr="002D02F3">
        <w:t>OMPI au Brésil a développé sa participation à des initiatives engagées par le monde de l</w:t>
      </w:r>
      <w:r w:rsidR="00A20444" w:rsidRPr="002D02F3">
        <w:t>’</w:t>
      </w:r>
      <w:r w:rsidRPr="002D02F3">
        <w:t>entreprise et les organismes gouvernementaux au Brésil et dans d</w:t>
      </w:r>
      <w:r w:rsidR="00A20444" w:rsidRPr="002D02F3">
        <w:t>’</w:t>
      </w:r>
      <w:r w:rsidRPr="002D02F3">
        <w:t xml:space="preserve">autres pays en développement avec lesquels le Brésil a établi des programmes de coopération afin de promouvoir une meilleure compréhension du système de propriété intellectuelle. </w:t>
      </w:r>
      <w:r w:rsidR="0010442A" w:rsidRPr="002D02F3">
        <w:t xml:space="preserve"> </w:t>
      </w:r>
      <w:r w:rsidRPr="002D02F3">
        <w:t>L</w:t>
      </w:r>
      <w:r w:rsidR="00A20444" w:rsidRPr="002D02F3">
        <w:t>’</w:t>
      </w:r>
      <w:r w:rsidRPr="002D02F3">
        <w:t>office a également participé régulièrement aux réunions de parties prenantes clés, telles que le Réseau technologique de Rio de Janeiro (</w:t>
      </w:r>
      <w:proofErr w:type="spellStart"/>
      <w:r w:rsidRPr="002D02F3">
        <w:t>REDETEC</w:t>
      </w:r>
      <w:proofErr w:type="spellEnd"/>
      <w:r w:rsidRPr="002D02F3">
        <w:t>), le Forum national des gestionnaires de technologie (</w:t>
      </w:r>
      <w:proofErr w:type="spellStart"/>
      <w:r w:rsidRPr="002D02F3">
        <w:t>FORTEC</w:t>
      </w:r>
      <w:proofErr w:type="spellEnd"/>
      <w:r w:rsidRPr="002D02F3">
        <w:t>), la </w:t>
      </w:r>
      <w:r w:rsidR="000F1A6E" w:rsidRPr="002D02F3">
        <w:t>treizième </w:t>
      </w:r>
      <w:r w:rsidRPr="002D02F3">
        <w:t>édition de la réunion annuelle de l</w:t>
      </w:r>
      <w:r w:rsidR="00A20444" w:rsidRPr="002D02F3">
        <w:t>’</w:t>
      </w:r>
      <w:r w:rsidRPr="002D02F3">
        <w:t>Association nationale pour la recherche et le développement des entreprises innovantes (</w:t>
      </w:r>
      <w:proofErr w:type="spellStart"/>
      <w:r w:rsidRPr="002D02F3">
        <w:t>ANPEI</w:t>
      </w:r>
      <w:proofErr w:type="spellEnd"/>
      <w:r w:rsidRPr="002D02F3">
        <w:t>), l</w:t>
      </w:r>
      <w:r w:rsidR="00A20444" w:rsidRPr="002D02F3">
        <w:t>’</w:t>
      </w:r>
      <w:r w:rsidRPr="002D02F3">
        <w:t>Association brésilienne de la propriété intellectuelle (</w:t>
      </w:r>
      <w:proofErr w:type="spellStart"/>
      <w:r w:rsidRPr="002D02F3">
        <w:t>ABPI</w:t>
      </w:r>
      <w:proofErr w:type="spellEnd"/>
      <w:r w:rsidRPr="002D02F3">
        <w:t>), la Confédération nationale des industries (</w:t>
      </w:r>
      <w:proofErr w:type="spellStart"/>
      <w:r w:rsidRPr="002D02F3">
        <w:t>CNI</w:t>
      </w:r>
      <w:proofErr w:type="spellEnd"/>
      <w:r w:rsidRPr="002D02F3">
        <w:t>), l</w:t>
      </w:r>
      <w:r w:rsidR="00A20444" w:rsidRPr="002D02F3">
        <w:t>’</w:t>
      </w:r>
      <w:r w:rsidRPr="002D02F3">
        <w:t>Agence brésilienne pour l</w:t>
      </w:r>
      <w:r w:rsidR="00A20444" w:rsidRPr="002D02F3">
        <w:t>’</w:t>
      </w:r>
      <w:r w:rsidRPr="002D02F3">
        <w:t>innovation, l</w:t>
      </w:r>
      <w:r w:rsidR="00A20444" w:rsidRPr="002D02F3">
        <w:t>’</w:t>
      </w:r>
      <w:r w:rsidRPr="002D02F3">
        <w:t xml:space="preserve">Agence pour la promotion des </w:t>
      </w:r>
      <w:r w:rsidRPr="005C7CCE">
        <w:t>exportations et des investissements (APEX) et la Banque brésilienne pour le développement économique et social et le système de coopération régionale relatif à la propriété intellectuelle (</w:t>
      </w:r>
      <w:proofErr w:type="spellStart"/>
      <w:r w:rsidRPr="005C7CCE">
        <w:t>PROSUR</w:t>
      </w:r>
      <w:proofErr w:type="spellEnd"/>
      <w:r w:rsidRPr="005C7CCE">
        <w:t>).</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pPr>
      <w:r w:rsidRPr="005C7CCE">
        <w:t>20.8.</w:t>
      </w:r>
      <w:r w:rsidRPr="005C7CCE">
        <w:tab/>
        <w:t>Dans le cadre du mémorandum d</w:t>
      </w:r>
      <w:r w:rsidR="00A20444" w:rsidRPr="005C7CCE">
        <w:t>’</w:t>
      </w:r>
      <w:r w:rsidRPr="005C7CCE">
        <w:t xml:space="preserve">accord signé </w:t>
      </w:r>
      <w:r w:rsidR="00F15D4F" w:rsidRPr="005C7CCE">
        <w:t xml:space="preserve">en 2012 </w:t>
      </w:r>
      <w:r w:rsidRPr="005C7CCE">
        <w:t>entre l</w:t>
      </w:r>
      <w:r w:rsidR="00A20444" w:rsidRPr="005C7CCE">
        <w:t>’</w:t>
      </w:r>
      <w:r w:rsidRPr="005C7CCE">
        <w:t>OMPI et l</w:t>
      </w:r>
      <w:r w:rsidR="00A20444" w:rsidRPr="005C7CCE">
        <w:t>’</w:t>
      </w:r>
      <w:r w:rsidRPr="005C7CCE">
        <w:t>Institut national de la propriété intellectuelle du Brésil (</w:t>
      </w:r>
      <w:proofErr w:type="spellStart"/>
      <w:r w:rsidRPr="005C7CCE">
        <w:t>INPI</w:t>
      </w:r>
      <w:proofErr w:type="spellEnd"/>
      <w:r w:rsidR="002D6F2A" w:rsidRPr="005C7CCE">
        <w:noBreakHyphen/>
      </w:r>
      <w:r w:rsidRPr="005C7CCE">
        <w:t>Brésil), un projet pilote a été lancé en 2013, dans lequel l</w:t>
      </w:r>
      <w:r w:rsidR="00A20444" w:rsidRPr="005C7CCE">
        <w:t>’</w:t>
      </w:r>
      <w:proofErr w:type="spellStart"/>
      <w:r w:rsidRPr="005C7CCE">
        <w:t>INPI</w:t>
      </w:r>
      <w:proofErr w:type="spellEnd"/>
      <w:r w:rsidR="002D6F2A" w:rsidRPr="005C7CCE">
        <w:noBreakHyphen/>
      </w:r>
      <w:r w:rsidRPr="005C7CCE">
        <w:t>Brésil et le Centre d</w:t>
      </w:r>
      <w:r w:rsidR="00A20444" w:rsidRPr="005C7CCE">
        <w:t>’</w:t>
      </w:r>
      <w:r w:rsidRPr="005C7CCE">
        <w:t>arbitrage et de médiation de l</w:t>
      </w:r>
      <w:r w:rsidR="00A20444" w:rsidRPr="005C7CCE">
        <w:t>’</w:t>
      </w:r>
      <w:r w:rsidRPr="005C7CCE">
        <w:t xml:space="preserve">OMPI ont établi une procédure conjointe de règlement des litiges visant à faciliter la médiation dans les litiges de propriété intellectuelle impliquant des marques (voir également le programme 7). </w:t>
      </w:r>
      <w:r w:rsidR="0010442A" w:rsidRPr="005C7CCE">
        <w:t xml:space="preserve"> </w:t>
      </w:r>
      <w:r w:rsidRPr="005C7CCE">
        <w:t>D</w:t>
      </w:r>
      <w:r w:rsidR="00A20444" w:rsidRPr="005C7CCE">
        <w:t>’</w:t>
      </w:r>
      <w:r w:rsidRPr="005C7CCE">
        <w:t>autres débats ont été entrepris par le groupe de travail d</w:t>
      </w:r>
      <w:r w:rsidR="00A20444" w:rsidRPr="005C7CCE">
        <w:t>’</w:t>
      </w:r>
      <w:r w:rsidRPr="005C7CCE">
        <w:t>experts pour aider à l</w:t>
      </w:r>
      <w:r w:rsidR="00A20444" w:rsidRPr="005C7CCE">
        <w:t>’</w:t>
      </w:r>
      <w:r w:rsidRPr="005C7CCE">
        <w:t>élargissement des services aux brevets et contrats de transfert de technologie.</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rPr>
          <w:rFonts w:eastAsia="SimSun" w:cs="Arial"/>
          <w:iCs/>
          <w:szCs w:val="20"/>
        </w:rPr>
      </w:pPr>
      <w:r w:rsidRPr="005C7CCE">
        <w:t>20.9.</w:t>
      </w:r>
      <w:r w:rsidRPr="005C7CCE">
        <w:tab/>
        <w:t>Le Bureau de l</w:t>
      </w:r>
      <w:r w:rsidR="00A20444" w:rsidRPr="005C7CCE">
        <w:t>’</w:t>
      </w:r>
      <w:r w:rsidRPr="005C7CCE">
        <w:t>OMPI au Brésil s</w:t>
      </w:r>
      <w:r w:rsidR="00A20444" w:rsidRPr="005C7CCE">
        <w:t>’</w:t>
      </w:r>
      <w:r w:rsidRPr="005C7CCE">
        <w:t>est également impliqué dans la promotion de la plate</w:t>
      </w:r>
      <w:r w:rsidR="002D6F2A" w:rsidRPr="005C7CCE">
        <w:noBreakHyphen/>
      </w:r>
      <w:r w:rsidRPr="005C7CCE">
        <w:t xml:space="preserve">forme WIPO GREEN parmi les institutions brésiliennes. </w:t>
      </w:r>
      <w:r w:rsidR="0010442A" w:rsidRPr="005C7CCE">
        <w:t xml:space="preserve"> </w:t>
      </w:r>
      <w:r w:rsidRPr="005C7CCE">
        <w:t>En tant que membres de WIPO GREEN depuis</w:t>
      </w:r>
      <w:r w:rsidR="0010442A" w:rsidRPr="005C7CCE">
        <w:t> </w:t>
      </w:r>
      <w:r w:rsidRPr="005C7CCE">
        <w:t>2012, l</w:t>
      </w:r>
      <w:r w:rsidR="00A20444" w:rsidRPr="005C7CCE">
        <w:t>’</w:t>
      </w:r>
      <w:proofErr w:type="spellStart"/>
      <w:r w:rsidRPr="005C7CCE">
        <w:t>INPI</w:t>
      </w:r>
      <w:proofErr w:type="spellEnd"/>
      <w:r w:rsidR="002D6F2A" w:rsidRPr="005C7CCE">
        <w:noBreakHyphen/>
      </w:r>
      <w:r w:rsidRPr="005C7CCE">
        <w:t>Brésil et</w:t>
      </w:r>
      <w:r w:rsidR="00A20444" w:rsidRPr="005C7CCE">
        <w:t xml:space="preserve"> le </w:t>
      </w:r>
      <w:proofErr w:type="spellStart"/>
      <w:r w:rsidR="00A20444" w:rsidRPr="005C7CCE">
        <w:t>FOR</w:t>
      </w:r>
      <w:r w:rsidRPr="005C7CCE">
        <w:t>TEC</w:t>
      </w:r>
      <w:proofErr w:type="spellEnd"/>
      <w:r w:rsidRPr="005C7CCE">
        <w:t xml:space="preserve"> ont participé à la cérémonie d</w:t>
      </w:r>
      <w:r w:rsidR="00A20444" w:rsidRPr="005C7CCE">
        <w:t>’</w:t>
      </w:r>
      <w:r w:rsidRPr="005C7CCE">
        <w:t>inauguration de la plate</w:t>
      </w:r>
      <w:r w:rsidR="002D6F2A" w:rsidRPr="005C7CCE">
        <w:noBreakHyphen/>
      </w:r>
      <w:r w:rsidRPr="005C7CCE">
        <w:t>forme à Genève.</w:t>
      </w:r>
      <w:r w:rsidR="00A20444" w:rsidRPr="005C7CCE">
        <w:t xml:space="preserve"> </w:t>
      </w:r>
      <w:r w:rsidR="0010442A" w:rsidRPr="005C7CCE">
        <w:t xml:space="preserve"> </w:t>
      </w:r>
      <w:r w:rsidR="00A20444" w:rsidRPr="005C7CCE">
        <w:t>Le </w:t>
      </w:r>
      <w:proofErr w:type="spellStart"/>
      <w:r w:rsidR="00A20444" w:rsidRPr="005C7CCE">
        <w:t>FOR</w:t>
      </w:r>
      <w:r w:rsidRPr="005C7CCE">
        <w:t>TEC</w:t>
      </w:r>
      <w:proofErr w:type="spellEnd"/>
      <w:r w:rsidRPr="005C7CCE">
        <w:t xml:space="preserve"> travaille actuellement sur la collecte de technologies à télécharger dans la base de données WIPO GREEN. </w:t>
      </w:r>
      <w:r w:rsidR="0010442A" w:rsidRPr="005C7CCE">
        <w:t xml:space="preserve"> </w:t>
      </w:r>
      <w:r w:rsidRPr="005C7CCE">
        <w:t>En outre, un atelier sur la propriété intellectuelle et les technologies vertes, avec la participation des pays d</w:t>
      </w:r>
      <w:r w:rsidR="00A20444" w:rsidRPr="005C7CCE">
        <w:t>’</w:t>
      </w:r>
      <w:r w:rsidRPr="005C7CCE">
        <w:t>Amérique du Sud, a été organisé et financé par</w:t>
      </w:r>
      <w:r w:rsidR="00A20444" w:rsidRPr="005C7CCE">
        <w:t xml:space="preserve"> le FIT</w:t>
      </w:r>
      <w:r w:rsidR="002D6F2A" w:rsidRPr="005C7CCE">
        <w:noBreakHyphen/>
      </w:r>
      <w:r w:rsidRPr="005C7CCE">
        <w:t>Brésil.</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pPr>
      <w:r w:rsidRPr="005C7CCE">
        <w:t>20.10.</w:t>
      </w:r>
      <w:r w:rsidRPr="005C7CCE">
        <w:tab/>
        <w:t>Le Bureau de l</w:t>
      </w:r>
      <w:r w:rsidR="00A20444" w:rsidRPr="005C7CCE">
        <w:t>’</w:t>
      </w:r>
      <w:r w:rsidRPr="005C7CCE">
        <w:t>OMPI au Brésil, en coordination avec le programme 16, a participé au groupe de travail pour l</w:t>
      </w:r>
      <w:r w:rsidR="00A20444" w:rsidRPr="005C7CCE">
        <w:t>’</w:t>
      </w:r>
      <w:r w:rsidRPr="005C7CCE">
        <w:t>organisation de la Conférence sur les statistiques relatives aux brevets pour les décideurs (</w:t>
      </w:r>
      <w:proofErr w:type="spellStart"/>
      <w:r w:rsidRPr="005C7CCE">
        <w:t>PSDBM</w:t>
      </w:r>
      <w:proofErr w:type="spellEnd"/>
      <w:r w:rsidRPr="005C7CCE">
        <w:t> 2013) qui s</w:t>
      </w:r>
      <w:r w:rsidR="00A20444" w:rsidRPr="005C7CCE">
        <w:t>’</w:t>
      </w:r>
      <w:r w:rsidRPr="005C7CCE">
        <w:t xml:space="preserve">est déroulée à Rio de Janeiro. </w:t>
      </w:r>
      <w:r w:rsidR="0010442A" w:rsidRPr="005C7CCE">
        <w:t xml:space="preserve"> </w:t>
      </w:r>
      <w:r w:rsidRPr="005C7CCE">
        <w:t>Cette manifestation a regroupé des experts de 17 pays et a donné lieu à 28 documents de travail en cours d</w:t>
      </w:r>
      <w:r w:rsidR="00A20444" w:rsidRPr="005C7CCE">
        <w:t>’</w:t>
      </w:r>
      <w:r w:rsidRPr="005C7CCE">
        <w:t>approbation par le comité scientifique.</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rPr>
          <w:rFonts w:eastAsia="SimSun" w:cs="Arial"/>
          <w:iCs/>
          <w:szCs w:val="20"/>
        </w:rPr>
      </w:pPr>
      <w:r w:rsidRPr="005C7CCE">
        <w:t>20.11.</w:t>
      </w:r>
      <w:r w:rsidRPr="005C7CCE">
        <w:tab/>
        <w:t>Le Bureau de l</w:t>
      </w:r>
      <w:r w:rsidR="00A20444" w:rsidRPr="005C7CCE">
        <w:t>’</w:t>
      </w:r>
      <w:r w:rsidRPr="005C7CCE">
        <w:t>OMPI au Brésil a continué de gérer les fonds fiduciaires destinés à soutenir les projets de coopération Sud</w:t>
      </w:r>
      <w:r w:rsidR="002D6F2A" w:rsidRPr="005C7CCE">
        <w:noBreakHyphen/>
      </w:r>
      <w:r w:rsidRPr="005C7CCE">
        <w:t>Sud qui ont été signés ente l</w:t>
      </w:r>
      <w:r w:rsidR="00A20444" w:rsidRPr="005C7CCE">
        <w:t>’</w:t>
      </w:r>
      <w:r w:rsidRPr="005C7CCE">
        <w:t xml:space="preserve">OMPI et le </w:t>
      </w:r>
      <w:r w:rsidR="009C658D">
        <w:t>G</w:t>
      </w:r>
      <w:r w:rsidRPr="005C7CCE">
        <w:t xml:space="preserve">ouvernement du Brésil en septembre 2012. </w:t>
      </w:r>
      <w:r w:rsidR="0010442A" w:rsidRPr="005C7CCE">
        <w:t xml:space="preserve"> </w:t>
      </w:r>
      <w:r w:rsidRPr="005C7CCE">
        <w:t>À cet égard, il a organisé et mis en œuvre les activités suivantes : i) le IIe Forum interrégional des directeurs des bureaux de la propriété industrielle de l</w:t>
      </w:r>
      <w:r w:rsidR="00A20444" w:rsidRPr="005C7CCE">
        <w:t>’</w:t>
      </w:r>
      <w:r w:rsidRPr="005C7CCE">
        <w:t>Amérique du Sud et des pays arabes, en coopération avec le programme 9;</w:t>
      </w:r>
      <w:r w:rsidR="004F3E42" w:rsidRPr="005C7CCE">
        <w:t xml:space="preserve"> </w:t>
      </w:r>
      <w:r w:rsidR="0010442A" w:rsidRPr="005C7CCE">
        <w:t xml:space="preserve"> </w:t>
      </w:r>
      <w:r w:rsidRPr="005C7CCE">
        <w:t>ii) une étude sur les solutions alternatives en faveur de l</w:t>
      </w:r>
      <w:r w:rsidR="00A20444" w:rsidRPr="005C7CCE">
        <w:t>’</w:t>
      </w:r>
      <w:r w:rsidRPr="005C7CCE">
        <w:t>institutionnalisation</w:t>
      </w:r>
      <w:r w:rsidR="00A20444" w:rsidRPr="005C7CCE">
        <w:t xml:space="preserve"> du </w:t>
      </w:r>
      <w:proofErr w:type="spellStart"/>
      <w:r w:rsidR="00A20444" w:rsidRPr="005C7CCE">
        <w:t>PRO</w:t>
      </w:r>
      <w:r w:rsidRPr="005C7CCE">
        <w:t>SUR</w:t>
      </w:r>
      <w:proofErr w:type="spellEnd"/>
      <w:r w:rsidRPr="005C7CCE">
        <w:t>;</w:t>
      </w:r>
      <w:r w:rsidR="0010442A" w:rsidRPr="005C7CCE">
        <w:t xml:space="preserve"> </w:t>
      </w:r>
      <w:r w:rsidR="004F3E42" w:rsidRPr="005C7CCE">
        <w:t xml:space="preserve"> </w:t>
      </w:r>
      <w:r w:rsidRPr="005C7CCE">
        <w:t>et iii) le cours intermédiaire pour la classification, la recherche et l</w:t>
      </w:r>
      <w:r w:rsidR="00A20444" w:rsidRPr="005C7CCE">
        <w:t>’</w:t>
      </w:r>
      <w:r w:rsidRPr="005C7CCE">
        <w:t>examen dans les domaines des produits chimiques et pharmaceutiques.</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rPr>
          <w:rFonts w:eastAsia="SimSun" w:cs="Arial"/>
          <w:iCs/>
          <w:szCs w:val="20"/>
        </w:rPr>
      </w:pPr>
      <w:r w:rsidRPr="005C7CCE">
        <w:t>20.12.</w:t>
      </w:r>
      <w:r w:rsidRPr="005C7CCE">
        <w:tab/>
        <w:t>En coopération avec le Bureau de l</w:t>
      </w:r>
      <w:r w:rsidR="00A20444" w:rsidRPr="005C7CCE">
        <w:t>’</w:t>
      </w:r>
      <w:r w:rsidRPr="005C7CCE">
        <w:t>OMPI au Brésil, l</w:t>
      </w:r>
      <w:r w:rsidR="00A20444" w:rsidRPr="005C7CCE">
        <w:t>’</w:t>
      </w:r>
      <w:proofErr w:type="spellStart"/>
      <w:r w:rsidRPr="005C7CCE">
        <w:t>INPI</w:t>
      </w:r>
      <w:proofErr w:type="spellEnd"/>
      <w:r w:rsidR="002D6F2A" w:rsidRPr="005C7CCE">
        <w:noBreakHyphen/>
      </w:r>
      <w:r w:rsidRPr="005C7CCE">
        <w:t>Brésil a hébergé la réunion du Global Agenda Council sur la propriété intellectuelle en 2013, lors de laquelle les questions émergentes relatives à la propriété intellectuelle et l</w:t>
      </w:r>
      <w:r w:rsidR="00A20444" w:rsidRPr="005C7CCE">
        <w:t>’</w:t>
      </w:r>
      <w:r w:rsidRPr="005C7CCE">
        <w:t>innovation ont été discutées entre les experts et les professionnels de différentes régions, représentants des secteurs privés et publics et de la société civile.</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rPr>
          <w:rFonts w:eastAsia="SimSun" w:cs="Arial"/>
          <w:iCs/>
          <w:szCs w:val="20"/>
        </w:rPr>
      </w:pPr>
      <w:r w:rsidRPr="005C7CCE">
        <w:t>20.13.</w:t>
      </w:r>
      <w:r w:rsidRPr="005C7CCE">
        <w:tab/>
        <w:t>Le Bureau de l</w:t>
      </w:r>
      <w:r w:rsidR="00A20444" w:rsidRPr="005C7CCE">
        <w:t>’</w:t>
      </w:r>
      <w:r w:rsidRPr="005C7CCE">
        <w:t>OMPI au Brésil a également continué à contribuer au service disponible en permanence de l</w:t>
      </w:r>
      <w:r w:rsidR="00A20444" w:rsidRPr="005C7CCE">
        <w:t>’</w:t>
      </w:r>
      <w:r w:rsidRPr="005C7CCE">
        <w:t>OMPI.</w:t>
      </w:r>
    </w:p>
    <w:p w:rsidR="00D42474" w:rsidRDefault="00D42474" w:rsidP="001A5BF9">
      <w:pPr>
        <w:autoSpaceDE w:val="0"/>
        <w:autoSpaceDN w:val="0"/>
        <w:adjustRightInd w:val="0"/>
        <w:jc w:val="both"/>
        <w:rPr>
          <w:rFonts w:eastAsia="SimSun" w:cs="Arial"/>
          <w:iCs/>
          <w:szCs w:val="20"/>
        </w:rPr>
      </w:pPr>
    </w:p>
    <w:p w:rsidR="00D42474" w:rsidRDefault="00C82EE5" w:rsidP="001A5BF9">
      <w:pPr>
        <w:autoSpaceDE w:val="0"/>
        <w:autoSpaceDN w:val="0"/>
        <w:adjustRightInd w:val="0"/>
        <w:jc w:val="both"/>
        <w:rPr>
          <w:u w:val="single"/>
        </w:rPr>
      </w:pPr>
      <w:r w:rsidRPr="002D02F3">
        <w:rPr>
          <w:u w:val="single"/>
        </w:rPr>
        <w:t>Bureau de l</w:t>
      </w:r>
      <w:r w:rsidR="00A20444" w:rsidRPr="002D02F3">
        <w:rPr>
          <w:u w:val="single"/>
        </w:rPr>
        <w:t>’</w:t>
      </w:r>
      <w:r w:rsidRPr="002D02F3">
        <w:rPr>
          <w:u w:val="single"/>
        </w:rPr>
        <w:t>OMPI au Japon</w:t>
      </w:r>
    </w:p>
    <w:p w:rsidR="00D42474" w:rsidRDefault="00D42474" w:rsidP="001A5BF9">
      <w:pPr>
        <w:autoSpaceDE w:val="0"/>
        <w:autoSpaceDN w:val="0"/>
        <w:adjustRightInd w:val="0"/>
        <w:jc w:val="both"/>
        <w:rPr>
          <w:rFonts w:cs="Arial"/>
          <w:szCs w:val="20"/>
        </w:rPr>
      </w:pPr>
    </w:p>
    <w:p w:rsidR="00D42474" w:rsidRDefault="00C82EE5" w:rsidP="001A5BF9">
      <w:pPr>
        <w:tabs>
          <w:tab w:val="left" w:pos="709"/>
        </w:tabs>
        <w:autoSpaceDE w:val="0"/>
        <w:autoSpaceDN w:val="0"/>
        <w:adjustRightInd w:val="0"/>
        <w:jc w:val="both"/>
      </w:pPr>
      <w:r w:rsidRPr="002D02F3">
        <w:t>20.14.</w:t>
      </w:r>
      <w:r w:rsidRPr="002D02F3">
        <w:tab/>
        <w:t>En 2013, le Bureau de l</w:t>
      </w:r>
      <w:r w:rsidR="00A20444" w:rsidRPr="002D02F3">
        <w:t>’</w:t>
      </w:r>
      <w:r w:rsidRPr="002D02F3">
        <w:t>OMPI au Japon a continué d</w:t>
      </w:r>
      <w:r w:rsidR="00A20444" w:rsidRPr="002D02F3">
        <w:t>’</w:t>
      </w:r>
      <w:r w:rsidRPr="002D02F3">
        <w:t xml:space="preserve">offrir des services efficaces et opportuns </w:t>
      </w:r>
      <w:r w:rsidRPr="005C7CCE">
        <w:t>aux utilisateurs des systèmes de protection mondiale de propriété intellectuelle de l</w:t>
      </w:r>
      <w:r w:rsidR="00A20444" w:rsidRPr="005C7CCE">
        <w:t>’</w:t>
      </w:r>
      <w:r w:rsidRPr="005C7CCE">
        <w:t>OMPI au Japon, tels que le PCT, le système de Madrid et le Centre d</w:t>
      </w:r>
      <w:r w:rsidR="00A20444" w:rsidRPr="005C7CCE">
        <w:t>’</w:t>
      </w:r>
      <w:r w:rsidRPr="005C7CCE">
        <w:t>arbitrage et de médiation de l</w:t>
      </w:r>
      <w:r w:rsidR="00A20444" w:rsidRPr="005C7CCE">
        <w:t>’</w:t>
      </w:r>
      <w:r w:rsidRPr="005C7CCE">
        <w:t xml:space="preserve">OMPI. </w:t>
      </w:r>
      <w:r w:rsidR="0010442A" w:rsidRPr="005C7CCE">
        <w:t xml:space="preserve"> </w:t>
      </w:r>
      <w:r w:rsidRPr="005C7CCE">
        <w:t>Tirant parti du nouvel emplacement du Bureau de l</w:t>
      </w:r>
      <w:r w:rsidR="00A20444" w:rsidRPr="005C7CCE">
        <w:t>’</w:t>
      </w:r>
      <w:r w:rsidRPr="005C7CCE">
        <w:t>OMPI au Japon, à proximité de différentes parties prenantes, dont le gouvernement d</w:t>
      </w:r>
      <w:r w:rsidR="00A20444" w:rsidRPr="005C7CCE">
        <w:t>’</w:t>
      </w:r>
      <w:r w:rsidRPr="005C7CCE">
        <w:t xml:space="preserve">accueil, le secteur industriel, les avocats et universités, le Bureau a intensifié ses activités promotionnelles et dispensé des conférences et séminaires à travers tout le Japon qui ont réuni plus de </w:t>
      </w:r>
      <w:r w:rsidR="0010442A" w:rsidRPr="005C7CCE">
        <w:t>6500</w:t>
      </w:r>
      <w:r w:rsidRPr="005C7CCE">
        <w:t> participants.</w:t>
      </w:r>
    </w:p>
    <w:p w:rsidR="00D42474" w:rsidRDefault="00D42474" w:rsidP="001A5BF9">
      <w:pPr>
        <w:autoSpaceDE w:val="0"/>
        <w:autoSpaceDN w:val="0"/>
        <w:adjustRightInd w:val="0"/>
        <w:jc w:val="both"/>
        <w:rPr>
          <w:rFonts w:eastAsia="SimSun" w:cs="Arial"/>
          <w:iCs/>
          <w:szCs w:val="20"/>
        </w:rPr>
      </w:pPr>
    </w:p>
    <w:p w:rsidR="00D42474" w:rsidRDefault="00B76999" w:rsidP="001A5BF9">
      <w:pPr>
        <w:tabs>
          <w:tab w:val="left" w:pos="709"/>
        </w:tabs>
        <w:autoSpaceDE w:val="0"/>
        <w:autoSpaceDN w:val="0"/>
        <w:adjustRightInd w:val="0"/>
        <w:jc w:val="both"/>
      </w:pPr>
      <w:r>
        <w:t>20.15.</w:t>
      </w:r>
      <w:r>
        <w:tab/>
      </w:r>
      <w:r w:rsidR="00C82EE5" w:rsidRPr="002D02F3">
        <w:t>Le Bureau de l</w:t>
      </w:r>
      <w:r w:rsidR="00A20444" w:rsidRPr="002D02F3">
        <w:t>’</w:t>
      </w:r>
      <w:r w:rsidR="00C82EE5" w:rsidRPr="002D02F3">
        <w:t>OMPI au Japon s</w:t>
      </w:r>
      <w:r w:rsidR="00A20444" w:rsidRPr="002D02F3">
        <w:t>’</w:t>
      </w:r>
      <w:r w:rsidR="00C82EE5" w:rsidRPr="002D02F3">
        <w:t>est également livré à des activités de renforcement des activités dans la région et ce, en coopération avec le gouvernement hôte dans le cadre du Fonds fiduciaire du Japon.</w:t>
      </w:r>
      <w:r w:rsidR="004F3E42" w:rsidRPr="002D02F3">
        <w:t xml:space="preserve"> </w:t>
      </w:r>
      <w:r w:rsidR="0010442A" w:rsidRPr="002D02F3">
        <w:t xml:space="preserve"> </w:t>
      </w:r>
      <w:r w:rsidR="00C82EE5" w:rsidRPr="002D02F3">
        <w:t xml:space="preserve">La base de données IP </w:t>
      </w:r>
      <w:proofErr w:type="spellStart"/>
      <w:r w:rsidR="00C82EE5" w:rsidRPr="002D02F3">
        <w:t>Advantage</w:t>
      </w:r>
      <w:proofErr w:type="spellEnd"/>
      <w:r w:rsidR="00C82EE5" w:rsidRPr="002D02F3">
        <w:t>, un exemple de l</w:t>
      </w:r>
      <w:r w:rsidR="00A20444" w:rsidRPr="002D02F3">
        <w:t>’</w:t>
      </w:r>
      <w:r w:rsidR="00C82EE5" w:rsidRPr="002D02F3">
        <w:t>utilisation avec succès de la propriété intellectuelle, a élargi sa couverture quant au nombre de cas (plus de 180) ainsi qu</w:t>
      </w:r>
      <w:r w:rsidR="00A20444" w:rsidRPr="002D02F3">
        <w:t>’</w:t>
      </w:r>
      <w:r w:rsidR="00C82EE5" w:rsidRPr="002D02F3">
        <w:t>au nombre de pays.</w:t>
      </w:r>
      <w:r w:rsidR="004F3E42" w:rsidRPr="002D02F3">
        <w:t xml:space="preserve"> </w:t>
      </w:r>
      <w:r w:rsidR="0010442A" w:rsidRPr="002D02F3">
        <w:t xml:space="preserve"> </w:t>
      </w:r>
      <w:r w:rsidR="00C82EE5" w:rsidRPr="002D02F3">
        <w:t>La traduction dans d</w:t>
      </w:r>
      <w:r w:rsidR="00A20444" w:rsidRPr="002D02F3">
        <w:t>’</w:t>
      </w:r>
      <w:r w:rsidR="00C82EE5" w:rsidRPr="002D02F3">
        <w:t>autres langues d</w:t>
      </w:r>
      <w:r w:rsidR="00A20444" w:rsidRPr="002D02F3">
        <w:t>’</w:t>
      </w:r>
      <w:r w:rsidR="00C82EE5" w:rsidRPr="002D02F3">
        <w:t>un “manga” sur la contrefaçon et le piratage, publié initialement en anglais et japonais, était sur le point d</w:t>
      </w:r>
      <w:r w:rsidR="00A20444" w:rsidRPr="002D02F3">
        <w:t>’</w:t>
      </w:r>
      <w:r w:rsidR="00C82EE5" w:rsidRPr="002D02F3">
        <w:t xml:space="preserve">être achevée. </w:t>
      </w:r>
      <w:r w:rsidR="0010442A" w:rsidRPr="002D02F3">
        <w:t xml:space="preserve"> </w:t>
      </w:r>
      <w:r w:rsidR="00C82EE5" w:rsidRPr="002D02F3">
        <w:t>Des ateliers et des cours de formation ont également été organisés pour renforcer la capacité des pays en développement dans plusieurs domaines de la propriété intellectuelle.</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rPr>
          <w:rFonts w:eastAsia="SimSun" w:cs="Arial"/>
          <w:iCs/>
          <w:szCs w:val="20"/>
        </w:rPr>
      </w:pPr>
      <w:r w:rsidRPr="002D02F3">
        <w:t>20.16</w:t>
      </w:r>
      <w:r w:rsidRPr="002D02F3">
        <w:tab/>
        <w:t>Pour rendre l</w:t>
      </w:r>
      <w:r w:rsidR="00A20444" w:rsidRPr="002D02F3">
        <w:t>’</w:t>
      </w:r>
      <w:r w:rsidRPr="002D02F3">
        <w:t>OMPI plus visible et la faire mieux connaître, le Bureau de l</w:t>
      </w:r>
      <w:r w:rsidR="00A20444" w:rsidRPr="002D02F3">
        <w:t>’</w:t>
      </w:r>
      <w:r w:rsidRPr="002D02F3">
        <w:t>OMPI au Japon a entrepris une série de discussions et d</w:t>
      </w:r>
      <w:r w:rsidR="00A20444" w:rsidRPr="002D02F3">
        <w:t>’</w:t>
      </w:r>
      <w:r w:rsidRPr="002D02F3">
        <w:t>exposés sur les activités de l</w:t>
      </w:r>
      <w:r w:rsidR="00A20444" w:rsidRPr="002D02F3">
        <w:t>’</w:t>
      </w:r>
      <w:r w:rsidRPr="002D02F3">
        <w:t>Organisation.</w:t>
      </w:r>
      <w:r w:rsidR="004F3E42" w:rsidRPr="002D02F3">
        <w:t xml:space="preserve"> </w:t>
      </w:r>
      <w:r w:rsidR="0010442A" w:rsidRPr="002D02F3">
        <w:t xml:space="preserve"> </w:t>
      </w:r>
      <w:r w:rsidRPr="002D02F3">
        <w:t>Ces dernières comprenaient les plates</w:t>
      </w:r>
      <w:r w:rsidR="002D6F2A" w:rsidRPr="002D02F3">
        <w:noBreakHyphen/>
      </w:r>
      <w:r w:rsidRPr="002D02F3">
        <w:t>formes mondiales de l</w:t>
      </w:r>
      <w:r w:rsidR="00A20444" w:rsidRPr="002D02F3">
        <w:t>’</w:t>
      </w:r>
      <w:r w:rsidRPr="002D02F3">
        <w:t>OMPI telles que WIPO GREEN et WIPO </w:t>
      </w:r>
      <w:proofErr w:type="spellStart"/>
      <w:r w:rsidRPr="002D02F3">
        <w:t>Re:Search</w:t>
      </w:r>
      <w:proofErr w:type="spellEnd"/>
      <w:r w:rsidRPr="002D02F3">
        <w:t>, ainsi que le travail de l</w:t>
      </w:r>
      <w:r w:rsidR="00A20444" w:rsidRPr="002D02F3">
        <w:t>’</w:t>
      </w:r>
      <w:r w:rsidRPr="002D02F3">
        <w:t>OMPI dans le domaine de la propriété industrielle, du droit d</w:t>
      </w:r>
      <w:r w:rsidR="00A20444" w:rsidRPr="002D02F3">
        <w:t>’</w:t>
      </w:r>
      <w:r w:rsidRPr="002D02F3">
        <w:t>auteur et de l</w:t>
      </w:r>
      <w:r w:rsidR="00A20444" w:rsidRPr="002D02F3">
        <w:t>’</w:t>
      </w:r>
      <w:r w:rsidRPr="002D02F3">
        <w:t xml:space="preserve">arbitrage et de la médiation, y compris le symposium sur le règlement extrajudiciaire des litiges. </w:t>
      </w:r>
      <w:r w:rsidR="0010442A" w:rsidRPr="002D02F3">
        <w:t xml:space="preserve"> </w:t>
      </w:r>
      <w:r w:rsidRPr="002D02F3">
        <w:t>Le Bureau de l</w:t>
      </w:r>
      <w:r w:rsidR="00A20444" w:rsidRPr="002D02F3">
        <w:t>’</w:t>
      </w:r>
      <w:r w:rsidRPr="002D02F3">
        <w:t>OMPI au Japon a amélioré le contenu de son site</w:t>
      </w:r>
      <w:r w:rsidR="0010442A" w:rsidRPr="002D02F3">
        <w:t> </w:t>
      </w:r>
      <w:r w:rsidRPr="002D02F3">
        <w:t>Web, disponible en japonais et en anglais, afin de fournir des informations à jour sur l</w:t>
      </w:r>
      <w:r w:rsidR="00A20444" w:rsidRPr="002D02F3">
        <w:t>’</w:t>
      </w:r>
      <w:r w:rsidRPr="002D02F3">
        <w:t>OMPI et le Bureau de l</w:t>
      </w:r>
      <w:r w:rsidR="00A20444" w:rsidRPr="002D02F3">
        <w:t>’</w:t>
      </w:r>
      <w:r w:rsidRPr="002D02F3">
        <w:t xml:space="preserve">OMPI au Japon. </w:t>
      </w:r>
      <w:r w:rsidR="0010442A" w:rsidRPr="002D02F3">
        <w:t xml:space="preserve"> </w:t>
      </w:r>
      <w:r w:rsidRPr="002D02F3">
        <w:t>Dans le cadre d</w:t>
      </w:r>
      <w:r w:rsidR="00A20444" w:rsidRPr="002D02F3">
        <w:t>’</w:t>
      </w:r>
      <w:r w:rsidRPr="002D02F3">
        <w:t>un effort visant à fournir davantage d</w:t>
      </w:r>
      <w:r w:rsidR="00A20444" w:rsidRPr="002D02F3">
        <w:t>’</w:t>
      </w:r>
      <w:r w:rsidRPr="002D02F3">
        <w:t>informations en japonais pour les parties prenantes au Japon, le guide de l</w:t>
      </w:r>
      <w:r w:rsidR="00A20444" w:rsidRPr="002D02F3">
        <w:t>’</w:t>
      </w:r>
      <w:r w:rsidRPr="002D02F3">
        <w:t>utilisateur</w:t>
      </w:r>
      <w:r w:rsidR="00A20444" w:rsidRPr="002D02F3">
        <w:t xml:space="preserve"> du PAT</w:t>
      </w:r>
      <w:r w:rsidRPr="002D02F3">
        <w:t>ENTSCOPE a été traduit en japonais afin d</w:t>
      </w:r>
      <w:r w:rsidR="00A20444" w:rsidRPr="002D02F3">
        <w:t>’</w:t>
      </w:r>
      <w:r w:rsidRPr="002D02F3">
        <w:t>améliorer l</w:t>
      </w:r>
      <w:r w:rsidR="00A20444" w:rsidRPr="002D02F3">
        <w:t>’</w:t>
      </w:r>
      <w:r w:rsidRPr="002D02F3">
        <w:t>utilisation de la base de données.</w:t>
      </w:r>
      <w:r w:rsidR="004F3E42" w:rsidRPr="002D02F3">
        <w:t xml:space="preserve"> </w:t>
      </w:r>
      <w:r w:rsidR="0010442A" w:rsidRPr="002D02F3">
        <w:t xml:space="preserve"> </w:t>
      </w:r>
      <w:r w:rsidRPr="002D02F3">
        <w:t>Le Bureau de l</w:t>
      </w:r>
      <w:r w:rsidR="00A20444" w:rsidRPr="002D02F3">
        <w:t>’</w:t>
      </w:r>
      <w:r w:rsidRPr="002D02F3">
        <w:t>OMPI au Japon a également participé à l</w:t>
      </w:r>
      <w:r w:rsidR="00A20444" w:rsidRPr="002D02F3">
        <w:t>’</w:t>
      </w:r>
      <w:r w:rsidRPr="002D02F3">
        <w:t>initiative lancée en</w:t>
      </w:r>
      <w:r w:rsidR="0010442A" w:rsidRPr="002D02F3">
        <w:t> </w:t>
      </w:r>
      <w:r w:rsidRPr="002D02F3">
        <w:t>2012 du nouveau service de l</w:t>
      </w:r>
      <w:r w:rsidR="00A20444" w:rsidRPr="002D02F3">
        <w:t>’</w:t>
      </w:r>
      <w:r w:rsidR="00BD43F2" w:rsidRPr="002D02F3">
        <w:t>OMPI à la clientèle 24 </w:t>
      </w:r>
      <w:r w:rsidRPr="002D02F3">
        <w:t>heures sur 24.</w:t>
      </w:r>
      <w:r w:rsidR="0010442A" w:rsidRPr="002D02F3">
        <w:t xml:space="preserve"> </w:t>
      </w:r>
      <w:r w:rsidR="004F3E42" w:rsidRPr="002D02F3">
        <w:t xml:space="preserve"> </w:t>
      </w:r>
      <w:r w:rsidRPr="002D02F3">
        <w:t>Enfin, le Bureau de l</w:t>
      </w:r>
      <w:r w:rsidR="00A20444" w:rsidRPr="002D02F3">
        <w:t>’</w:t>
      </w:r>
      <w:r w:rsidRPr="002D02F3">
        <w:t>OMPI au Japon s</w:t>
      </w:r>
      <w:r w:rsidR="00A20444" w:rsidRPr="002D02F3">
        <w:t>’</w:t>
      </w:r>
      <w:r w:rsidRPr="002D02F3">
        <w:t>est engagé dans des activités avec d</w:t>
      </w:r>
      <w:r w:rsidR="00A20444" w:rsidRPr="002D02F3">
        <w:t>’</w:t>
      </w:r>
      <w:r w:rsidRPr="002D02F3">
        <w:t xml:space="preserve">autres organisations des </w:t>
      </w:r>
      <w:r w:rsidR="00A20444" w:rsidRPr="002D02F3">
        <w:t>Nations Unies</w:t>
      </w:r>
      <w:r w:rsidRPr="002D02F3">
        <w:t xml:space="preserve"> au Japon et dans d</w:t>
      </w:r>
      <w:r w:rsidR="00A20444" w:rsidRPr="002D02F3">
        <w:t>’</w:t>
      </w:r>
      <w:r w:rsidRPr="002D02F3">
        <w:t>autres réunions/conférences internationales clés, telles que la Conférence internationale de Tokyo sur le développement en Afrique (</w:t>
      </w:r>
      <w:proofErr w:type="spellStart"/>
      <w:r w:rsidRPr="002D02F3">
        <w:t>TICAD</w:t>
      </w:r>
      <w:proofErr w:type="spellEnd"/>
      <w:r w:rsidRPr="002D02F3">
        <w:t>).</w:t>
      </w:r>
    </w:p>
    <w:p w:rsidR="00D42474" w:rsidRDefault="00D42474" w:rsidP="001A5BF9">
      <w:pPr>
        <w:tabs>
          <w:tab w:val="left" w:pos="709"/>
        </w:tabs>
        <w:autoSpaceDE w:val="0"/>
        <w:autoSpaceDN w:val="0"/>
        <w:adjustRightInd w:val="0"/>
        <w:jc w:val="both"/>
        <w:rPr>
          <w:rFonts w:eastAsia="SimSun" w:cs="Arial"/>
          <w:iCs/>
          <w:szCs w:val="20"/>
        </w:rPr>
      </w:pPr>
    </w:p>
    <w:p w:rsidR="00D42474" w:rsidRDefault="00C82EE5" w:rsidP="001A5BF9">
      <w:pPr>
        <w:autoSpaceDE w:val="0"/>
        <w:autoSpaceDN w:val="0"/>
        <w:adjustRightInd w:val="0"/>
        <w:jc w:val="both"/>
        <w:rPr>
          <w:u w:val="single"/>
        </w:rPr>
      </w:pPr>
      <w:r w:rsidRPr="002D02F3">
        <w:rPr>
          <w:u w:val="single"/>
        </w:rPr>
        <w:t>Le Bureau de l</w:t>
      </w:r>
      <w:r w:rsidR="00A20444" w:rsidRPr="002D02F3">
        <w:rPr>
          <w:u w:val="single"/>
        </w:rPr>
        <w:t>’</w:t>
      </w:r>
      <w:r w:rsidRPr="002D02F3">
        <w:rPr>
          <w:u w:val="single"/>
        </w:rPr>
        <w:t>OMPI à Singapour</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pPr>
      <w:r w:rsidRPr="002D02F3">
        <w:t>20.17.</w:t>
      </w:r>
      <w:r w:rsidRPr="002D02F3">
        <w:tab/>
        <w:t>Le Bureau de l</w:t>
      </w:r>
      <w:r w:rsidR="00A20444" w:rsidRPr="002D02F3">
        <w:t>’</w:t>
      </w:r>
      <w:r w:rsidRPr="002D02F3">
        <w:t>OMPI à Singapour a renforcé sa présence en tant que centre de services de l</w:t>
      </w:r>
      <w:r w:rsidR="00A20444" w:rsidRPr="002D02F3">
        <w:t>’</w:t>
      </w:r>
      <w:r w:rsidRPr="002D02F3">
        <w:t>OMPI et instance régionale de la propriété intellectuelle pour les États membres, les organisations internationales,</w:t>
      </w:r>
      <w:r w:rsidR="00A20444" w:rsidRPr="002D02F3">
        <w:t xml:space="preserve"> les ONG</w:t>
      </w:r>
      <w:r w:rsidRPr="002D02F3">
        <w:t xml:space="preserve"> et entreprises dans la région Asie et Pacifique, en particulier dans la région de l</w:t>
      </w:r>
      <w:r w:rsidR="00A20444" w:rsidRPr="002D02F3">
        <w:t>’</w:t>
      </w:r>
      <w:r w:rsidRPr="002D02F3">
        <w:t>Association des Nations d</w:t>
      </w:r>
      <w:r w:rsidR="00A20444" w:rsidRPr="002D02F3">
        <w:t>’</w:t>
      </w:r>
      <w:r w:rsidRPr="002D02F3">
        <w:t>Asie du Sud</w:t>
      </w:r>
      <w:r w:rsidR="002D6F2A" w:rsidRPr="002D02F3">
        <w:noBreakHyphen/>
      </w:r>
      <w:r w:rsidRPr="002D02F3">
        <w:t>Est (</w:t>
      </w:r>
      <w:r w:rsidR="00F93985">
        <w:t>ASEAN</w:t>
      </w:r>
      <w:r w:rsidRPr="002D02F3">
        <w:t xml:space="preserve">). </w:t>
      </w:r>
      <w:r w:rsidR="0010442A" w:rsidRPr="002D02F3">
        <w:t xml:space="preserve"> </w:t>
      </w:r>
      <w:r w:rsidRPr="002D02F3">
        <w:t>Les résultats concrets comprennent une augmentation de 6</w:t>
      </w:r>
      <w:r w:rsidR="007E442D" w:rsidRPr="002D02F3">
        <w:t>%</w:t>
      </w:r>
      <w:r w:rsidRPr="002D02F3">
        <w:t xml:space="preserve"> entre 2011 et 2012 du nombre de demandes selon le PCT en provenance de la région de l</w:t>
      </w:r>
      <w:r w:rsidR="00A20444" w:rsidRPr="002D02F3">
        <w:t>’</w:t>
      </w:r>
      <w:r w:rsidR="00F93985">
        <w:t>ASEAN</w:t>
      </w:r>
      <w:r w:rsidRPr="002D02F3">
        <w:t xml:space="preserve"> et une augmentation de 20</w:t>
      </w:r>
      <w:r w:rsidR="007E442D" w:rsidRPr="002D02F3">
        <w:t>%</w:t>
      </w:r>
      <w:r w:rsidRPr="002D02F3">
        <w:t xml:space="preserve"> des demandes liées au système de Madrid entre 2011 et 2013.</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rPr>
          <w:rFonts w:eastAsia="SimSun" w:cs="Arial"/>
          <w:iCs/>
          <w:szCs w:val="20"/>
        </w:rPr>
      </w:pPr>
      <w:r w:rsidRPr="002D02F3">
        <w:t>20.18.</w:t>
      </w:r>
      <w:r w:rsidRPr="002D02F3">
        <w:tab/>
        <w:t>Le Bureau de l</w:t>
      </w:r>
      <w:r w:rsidR="00A20444" w:rsidRPr="002D02F3">
        <w:t>’</w:t>
      </w:r>
      <w:r w:rsidRPr="002D02F3">
        <w:t>OMPI à Singapour a joué un rôle important dans la promotion de WIPO GREEN, des bases de données mondiales de l</w:t>
      </w:r>
      <w:r w:rsidR="00A20444" w:rsidRPr="002D02F3">
        <w:t>’</w:t>
      </w:r>
      <w:r w:rsidRPr="002D02F3">
        <w:t>OMPI, des CATI, du Rapport mondial relatif à la propriété intellectuelle et des systèmes d</w:t>
      </w:r>
      <w:r w:rsidR="00A20444" w:rsidRPr="002D02F3">
        <w:t>’</w:t>
      </w:r>
      <w:r w:rsidRPr="002D02F3">
        <w:t>accès centralisé à la recherche et à l</w:t>
      </w:r>
      <w:r w:rsidR="00A20444" w:rsidRPr="002D02F3">
        <w:t>’</w:t>
      </w:r>
      <w:r w:rsidRPr="002D02F3">
        <w:t>examen de l</w:t>
      </w:r>
      <w:r w:rsidR="00A20444" w:rsidRPr="002D02F3">
        <w:t>’</w:t>
      </w:r>
      <w:r w:rsidRPr="002D02F3">
        <w:t>OMPI, ainsi que dans le lancement de l</w:t>
      </w:r>
      <w:r w:rsidR="00A20444" w:rsidRPr="002D02F3">
        <w:t>’</w:t>
      </w:r>
      <w:r w:rsidRPr="002D02F3">
        <w:t>Indice mondial de l</w:t>
      </w:r>
      <w:r w:rsidR="00A20444" w:rsidRPr="002D02F3">
        <w:t>’</w:t>
      </w:r>
      <w:r w:rsidRPr="002D02F3">
        <w:t>innovation (</w:t>
      </w:r>
      <w:proofErr w:type="spellStart"/>
      <w:r w:rsidRPr="002D02F3">
        <w:t>GII</w:t>
      </w:r>
      <w:proofErr w:type="spellEnd"/>
      <w:r w:rsidRPr="002D02F3">
        <w:t xml:space="preserve">). </w:t>
      </w:r>
      <w:r w:rsidR="0010442A" w:rsidRPr="002D02F3">
        <w:t xml:space="preserve"> </w:t>
      </w:r>
      <w:r w:rsidRPr="002D02F3">
        <w:t>Afin de mieux faire connaître le système mondial de la propriété intellectuelle, le Bureau de l</w:t>
      </w:r>
      <w:r w:rsidR="00A20444" w:rsidRPr="002D02F3">
        <w:t>’</w:t>
      </w:r>
      <w:r w:rsidRPr="002D02F3">
        <w:t>OMPI à Singapour a organisé un séminaire à l</w:t>
      </w:r>
      <w:r w:rsidR="00A20444" w:rsidRPr="002D02F3">
        <w:t>’</w:t>
      </w:r>
      <w:r w:rsidRPr="002D02F3">
        <w:t xml:space="preserve">intention des journalistes qui a donné lieu à une couverture médiatique assurant la promotion de la propriété intellectuelle auprès des entreprises au </w:t>
      </w:r>
      <w:proofErr w:type="spellStart"/>
      <w:r w:rsidRPr="002D02F3">
        <w:t>Brunéi</w:t>
      </w:r>
      <w:proofErr w:type="spellEnd"/>
      <w:r w:rsidRPr="002D02F3">
        <w:t xml:space="preserve"> Darussalam, </w:t>
      </w:r>
      <w:r w:rsidR="00262B26">
        <w:t xml:space="preserve">en </w:t>
      </w:r>
      <w:r w:rsidR="00262B26" w:rsidRPr="00DE1445">
        <w:t>Chin</w:t>
      </w:r>
      <w:r w:rsidR="00262B26">
        <w:t xml:space="preserve">e (y compris dans la </w:t>
      </w:r>
      <w:r w:rsidR="00262B26" w:rsidRPr="00262B26">
        <w:t>Région administrative spéciale de Hong</w:t>
      </w:r>
      <w:r w:rsidR="00C9554C">
        <w:t> </w:t>
      </w:r>
      <w:r w:rsidR="00262B26" w:rsidRPr="00262B26">
        <w:t>Kong</w:t>
      </w:r>
      <w:r w:rsidR="00262B26">
        <w:t xml:space="preserve">), en Inde, en Indonésie et </w:t>
      </w:r>
      <w:r w:rsidRPr="002D02F3">
        <w:t>en Malaisie.</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rPr>
          <w:rFonts w:eastAsia="SimSun" w:cs="Arial"/>
          <w:iCs/>
          <w:szCs w:val="20"/>
        </w:rPr>
      </w:pPr>
      <w:r w:rsidRPr="002D02F3">
        <w:t>20.19.</w:t>
      </w:r>
      <w:r w:rsidRPr="002D02F3">
        <w:tab/>
        <w:t>L</w:t>
      </w:r>
      <w:r w:rsidR="00A20444" w:rsidRPr="002D02F3">
        <w:t>’</w:t>
      </w:r>
      <w:r w:rsidRPr="002D02F3">
        <w:t>engagement auprès de l</w:t>
      </w:r>
      <w:r w:rsidR="00A20444" w:rsidRPr="002D02F3">
        <w:t>’</w:t>
      </w:r>
      <w:r w:rsidR="00F93985">
        <w:t>ASEAN</w:t>
      </w:r>
      <w:r w:rsidRPr="002D02F3">
        <w:t xml:space="preserve"> a été renforcé et le Bureau de l</w:t>
      </w:r>
      <w:r w:rsidR="00A20444" w:rsidRPr="002D02F3">
        <w:t>’</w:t>
      </w:r>
      <w:r w:rsidRPr="002D02F3">
        <w:t>OMPI à Singapour a joué un rôle toujours plus central dans la coordination des activités requises par le Groupe de travail de l</w:t>
      </w:r>
      <w:r w:rsidR="00A20444" w:rsidRPr="002D02F3">
        <w:t>’</w:t>
      </w:r>
      <w:r w:rsidR="00F93985">
        <w:t>ASEAN</w:t>
      </w:r>
      <w:r w:rsidRPr="002D02F3">
        <w:t xml:space="preserve"> sur la coopération en matière de propriété intellectuelle (</w:t>
      </w:r>
      <w:proofErr w:type="spellStart"/>
      <w:r w:rsidRPr="002D02F3">
        <w:t>AWGIPC</w:t>
      </w:r>
      <w:proofErr w:type="spellEnd"/>
      <w:r w:rsidRPr="002D02F3">
        <w:t>) dans le cadre de la mise en œuvre du Plan d</w:t>
      </w:r>
      <w:r w:rsidR="00A20444" w:rsidRPr="002D02F3">
        <w:t>’</w:t>
      </w:r>
      <w:r w:rsidRPr="002D02F3">
        <w:t>action de l</w:t>
      </w:r>
      <w:r w:rsidR="00A20444" w:rsidRPr="002D02F3">
        <w:t>’</w:t>
      </w:r>
      <w:r w:rsidR="00F93985">
        <w:t>ASEAN</w:t>
      </w:r>
      <w:r w:rsidRPr="002D02F3">
        <w:t xml:space="preserve"> sur la propriété intellectuelle (2011</w:t>
      </w:r>
      <w:r w:rsidR="002D6F2A" w:rsidRPr="002D02F3">
        <w:noBreakHyphen/>
      </w:r>
      <w:r w:rsidRPr="002D02F3">
        <w:t xml:space="preserve">2015). </w:t>
      </w:r>
      <w:r w:rsidR="0010442A" w:rsidRPr="002D02F3">
        <w:t xml:space="preserve"> </w:t>
      </w:r>
      <w:r w:rsidRPr="002D02F3">
        <w:t>Des ateliers ont été organisés dans la plupart des États membres de l</w:t>
      </w:r>
      <w:r w:rsidR="00A20444" w:rsidRPr="002D02F3">
        <w:t>’</w:t>
      </w:r>
      <w:r w:rsidR="00F93985">
        <w:t>ASEAN</w:t>
      </w:r>
      <w:r w:rsidRPr="002D02F3">
        <w:t xml:space="preserve"> pour faire progresser les efforts déployés en vue de l</w:t>
      </w:r>
      <w:r w:rsidR="00A20444" w:rsidRPr="002D02F3">
        <w:t>’</w:t>
      </w:r>
      <w:r w:rsidRPr="002D02F3">
        <w:t>adhésion aux systèmes de Madrid et de La Haye, activité définie comme une priorité par l</w:t>
      </w:r>
      <w:r w:rsidR="00A20444" w:rsidRPr="002D02F3">
        <w:t>’</w:t>
      </w:r>
      <w:proofErr w:type="spellStart"/>
      <w:r w:rsidRPr="002D02F3">
        <w:t>AWGIPC</w:t>
      </w:r>
      <w:proofErr w:type="spellEnd"/>
      <w:r w:rsidRPr="002D02F3">
        <w:t xml:space="preserve">. </w:t>
      </w:r>
      <w:r w:rsidR="0010442A" w:rsidRPr="002D02F3">
        <w:t xml:space="preserve"> </w:t>
      </w:r>
      <w:r w:rsidRPr="002D02F3">
        <w:t>En outre, le Bureau de l</w:t>
      </w:r>
      <w:r w:rsidR="00A20444" w:rsidRPr="002D02F3">
        <w:t>’</w:t>
      </w:r>
      <w:r w:rsidRPr="002D02F3">
        <w:t xml:space="preserve">OMPI à Singapour a établi des partenariats avec les principales parties prenantes pour accélérer la réalisation des principaux résultats clés. </w:t>
      </w:r>
      <w:r w:rsidR="0010442A" w:rsidRPr="002D02F3">
        <w:t xml:space="preserve"> </w:t>
      </w:r>
      <w:r w:rsidRPr="002D02F3">
        <w:t>Ceux</w:t>
      </w:r>
      <w:r w:rsidR="002D6F2A" w:rsidRPr="002D02F3">
        <w:noBreakHyphen/>
      </w:r>
      <w:r w:rsidRPr="002D02F3">
        <w:t>ci comprenaient une collaboration entre l</w:t>
      </w:r>
      <w:r w:rsidR="00A20444" w:rsidRPr="002D02F3">
        <w:t>’</w:t>
      </w:r>
      <w:r w:rsidRPr="002D02F3">
        <w:t>équipe du Bureau de l</w:t>
      </w:r>
      <w:r w:rsidR="00A20444" w:rsidRPr="002D02F3">
        <w:t>’</w:t>
      </w:r>
      <w:r w:rsidRPr="002D02F3">
        <w:t>OMPI à Singapour et l</w:t>
      </w:r>
      <w:r w:rsidR="00A20444" w:rsidRPr="002D02F3">
        <w:t>’</w:t>
      </w:r>
      <w:r w:rsidRPr="002D02F3">
        <w:t>Accord de libre</w:t>
      </w:r>
      <w:r w:rsidR="002D6F2A" w:rsidRPr="002D02F3">
        <w:noBreakHyphen/>
      </w:r>
      <w:r w:rsidRPr="002D02F3">
        <w:t xml:space="preserve">échange </w:t>
      </w:r>
      <w:r w:rsidR="00F93985">
        <w:t>ASEAN</w:t>
      </w:r>
      <w:r w:rsidR="002D6F2A" w:rsidRPr="002D02F3">
        <w:noBreakHyphen/>
      </w:r>
      <w:r w:rsidRPr="002D02F3">
        <w:t>Australie</w:t>
      </w:r>
      <w:r w:rsidR="002D6F2A" w:rsidRPr="002D02F3">
        <w:noBreakHyphen/>
      </w:r>
      <w:r w:rsidRPr="002D02F3">
        <w:t>Nouvelle</w:t>
      </w:r>
      <w:r w:rsidR="002D6F2A" w:rsidRPr="002D02F3">
        <w:noBreakHyphen/>
      </w:r>
      <w:r w:rsidRPr="002D02F3">
        <w:t>Zélande (</w:t>
      </w:r>
      <w:proofErr w:type="spellStart"/>
      <w:r w:rsidRPr="002D02F3">
        <w:t>AANZFTA</w:t>
      </w:r>
      <w:proofErr w:type="spellEnd"/>
      <w:r w:rsidRPr="002D02F3">
        <w:t>) qui a donné lieu à un atelier régional OMPI</w:t>
      </w:r>
      <w:r w:rsidR="002D6F2A" w:rsidRPr="002D02F3">
        <w:noBreakHyphen/>
      </w:r>
      <w:r w:rsidR="00F93985">
        <w:t>ASEAN</w:t>
      </w:r>
      <w:r w:rsidR="002D6F2A" w:rsidRPr="002D02F3">
        <w:noBreakHyphen/>
      </w:r>
      <w:proofErr w:type="spellStart"/>
      <w:r w:rsidRPr="002D02F3">
        <w:t>AANZFTA</w:t>
      </w:r>
      <w:proofErr w:type="spellEnd"/>
      <w:r w:rsidRPr="002D02F3">
        <w:t xml:space="preserve"> pour les examinateurs de marques de l</w:t>
      </w:r>
      <w:r w:rsidR="00A20444" w:rsidRPr="002D02F3">
        <w:t>’</w:t>
      </w:r>
      <w:r w:rsidR="00F93985">
        <w:t>ASEAN</w:t>
      </w:r>
      <w:r w:rsidRPr="002D02F3">
        <w:t xml:space="preserve"> sur les opérations du Protocole de Madrid au sein du Bureau de l</w:t>
      </w:r>
      <w:r w:rsidR="00A20444" w:rsidRPr="002D02F3">
        <w:t>’</w:t>
      </w:r>
      <w:r w:rsidRPr="002D02F3">
        <w:t>OMPI à Singapour.</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pPr>
      <w:r w:rsidRPr="002D02F3">
        <w:t>20.20.</w:t>
      </w:r>
      <w:r w:rsidRPr="002D02F3">
        <w:tab/>
        <w:t>Le Bureau de l</w:t>
      </w:r>
      <w:r w:rsidR="00A20444" w:rsidRPr="002D02F3">
        <w:t>’</w:t>
      </w:r>
      <w:r w:rsidRPr="002D02F3">
        <w:t>OMPI à Singapour a poursuivi la gestion et la mise en œuvre du mémorandum d</w:t>
      </w:r>
      <w:r w:rsidR="00A20444" w:rsidRPr="002D02F3">
        <w:t>’</w:t>
      </w:r>
      <w:r w:rsidRPr="002D02F3">
        <w:t>accord conclu entre l</w:t>
      </w:r>
      <w:r w:rsidR="00A20444" w:rsidRPr="002D02F3">
        <w:t>’</w:t>
      </w:r>
      <w:r w:rsidRPr="002D02F3">
        <w:t>OMPI et le Gouvernement de Singapour, qui est axé sur le renforcement des capacités et des connaissances des fonctionnaires et des parties prenantes de la propriété intellectuelle de la région Asie</w:t>
      </w:r>
      <w:r w:rsidR="00C8367A">
        <w:t xml:space="preserve"> et </w:t>
      </w:r>
      <w:r w:rsidRPr="002D02F3">
        <w:t xml:space="preserve">Pacifique. </w:t>
      </w:r>
      <w:r w:rsidR="0010442A" w:rsidRPr="002D02F3">
        <w:t xml:space="preserve"> </w:t>
      </w:r>
      <w:r w:rsidRPr="002D02F3">
        <w:t>Au total, six ateliers couvrant des initiatives mondiales de l</w:t>
      </w:r>
      <w:r w:rsidR="00A20444" w:rsidRPr="002D02F3">
        <w:t>’</w:t>
      </w:r>
      <w:r w:rsidRPr="002D02F3">
        <w:t>OMPI ont été organisés.</w:t>
      </w:r>
      <w:r w:rsidR="0010442A" w:rsidRPr="002D02F3">
        <w:t xml:space="preserve"> </w:t>
      </w:r>
      <w:r w:rsidRPr="002D02F3">
        <w:t xml:space="preserve"> En outre, le Bureau de l</w:t>
      </w:r>
      <w:r w:rsidR="00A20444" w:rsidRPr="002D02F3">
        <w:t>’</w:t>
      </w:r>
      <w:r w:rsidRPr="002D02F3">
        <w:t xml:space="preserve">OMPI à Singapour a lancé un forum avec certains États membres </w:t>
      </w:r>
      <w:r w:rsidRPr="005C7CCE">
        <w:t>(l</w:t>
      </w:r>
      <w:r w:rsidR="00A20444" w:rsidRPr="005C7CCE">
        <w:t>’</w:t>
      </w:r>
      <w:r w:rsidRPr="005C7CCE">
        <w:t>Australie, la France, le Japon, la Nouvelle</w:t>
      </w:r>
      <w:r w:rsidR="002D6F2A" w:rsidRPr="005C7CCE">
        <w:noBreakHyphen/>
      </w:r>
      <w:r w:rsidRPr="005C7CCE">
        <w:t>Zélande, la République de Corée, les États</w:t>
      </w:r>
      <w:r w:rsidR="002D6F2A" w:rsidRPr="005C7CCE">
        <w:noBreakHyphen/>
      </w:r>
      <w:r w:rsidRPr="005C7CCE">
        <w:t>Unis d</w:t>
      </w:r>
      <w:r w:rsidR="00A20444" w:rsidRPr="005C7CCE">
        <w:t>’</w:t>
      </w:r>
      <w:r w:rsidRPr="005C7CCE">
        <w:t>Amérique et le Royaume</w:t>
      </w:r>
      <w:r w:rsidR="002D6F2A" w:rsidRPr="005C7CCE">
        <w:noBreakHyphen/>
      </w:r>
      <w:r w:rsidRPr="005C7CCE">
        <w:t>Uni) et des organisations (l</w:t>
      </w:r>
      <w:r w:rsidR="00A20444" w:rsidRPr="005C7CCE">
        <w:t>’</w:t>
      </w:r>
      <w:r w:rsidR="00F93985">
        <w:t>ASEAN</w:t>
      </w:r>
      <w:r w:rsidRPr="005C7CCE">
        <w:t>, l</w:t>
      </w:r>
      <w:r w:rsidR="00A20444" w:rsidRPr="005C7CCE">
        <w:t>’</w:t>
      </w:r>
      <w:r w:rsidRPr="005C7CCE">
        <w:t>Union européenne et l</w:t>
      </w:r>
      <w:r w:rsidR="00A20444" w:rsidRPr="005C7CCE">
        <w:t>’</w:t>
      </w:r>
      <w:r w:rsidRPr="005C7CCE">
        <w:t>OHMI</w:t>
      </w:r>
      <w:r w:rsidR="002D6F2A" w:rsidRPr="005C7CCE">
        <w:noBreakHyphen/>
      </w:r>
      <w:proofErr w:type="spellStart"/>
      <w:r w:rsidRPr="005C7CCE">
        <w:t>ECAP</w:t>
      </w:r>
      <w:proofErr w:type="spellEnd"/>
      <w:r w:rsidRPr="005C7CCE">
        <w:t xml:space="preserve"> III) qui </w:t>
      </w:r>
      <w:proofErr w:type="gramStart"/>
      <w:r w:rsidRPr="005C7CCE">
        <w:t>offre</w:t>
      </w:r>
      <w:proofErr w:type="gramEnd"/>
      <w:r w:rsidRPr="005C7CCE">
        <w:t xml:space="preserve"> une assistance technique en matière de propriété intellectuelle dans la région de l</w:t>
      </w:r>
      <w:r w:rsidR="00A20444" w:rsidRPr="005C7CCE">
        <w:t>’</w:t>
      </w:r>
      <w:r w:rsidR="00F93985">
        <w:t>ASEAN</w:t>
      </w:r>
      <w:r w:rsidRPr="005C7CCE">
        <w:t xml:space="preserve">. </w:t>
      </w:r>
      <w:r w:rsidR="0010442A" w:rsidRPr="005C7CCE">
        <w:t xml:space="preserve"> </w:t>
      </w:r>
      <w:r w:rsidRPr="005C7CCE">
        <w:t>Il en a résulté une méthode d</w:t>
      </w:r>
      <w:r w:rsidR="00A20444" w:rsidRPr="005C7CCE">
        <w:t>’</w:t>
      </w:r>
      <w:r w:rsidRPr="005C7CCE">
        <w:t>assistance coordonnée et collaborative.</w:t>
      </w:r>
      <w:r w:rsidR="0010442A" w:rsidRPr="005C7CCE">
        <w:t xml:space="preserve"> </w:t>
      </w:r>
      <w:r w:rsidRPr="005C7CCE">
        <w:t xml:space="preserve"> Suite à cette collaboration, le Bureau de l</w:t>
      </w:r>
      <w:r w:rsidR="00A20444" w:rsidRPr="005C7CCE">
        <w:t>’</w:t>
      </w:r>
      <w:r w:rsidRPr="005C7CCE">
        <w:t>OMPI à Singapour et l</w:t>
      </w:r>
      <w:r w:rsidR="00A20444" w:rsidRPr="005C7CCE">
        <w:t>’</w:t>
      </w:r>
      <w:r w:rsidRPr="005C7CCE">
        <w:t>OHMI</w:t>
      </w:r>
      <w:r w:rsidR="002D6F2A" w:rsidRPr="005C7CCE">
        <w:noBreakHyphen/>
      </w:r>
      <w:proofErr w:type="spellStart"/>
      <w:r w:rsidRPr="005C7CCE">
        <w:t>ECAP</w:t>
      </w:r>
      <w:proofErr w:type="spellEnd"/>
      <w:r w:rsidRPr="005C7CCE">
        <w:t xml:space="preserve"> sont convenus d</w:t>
      </w:r>
      <w:r w:rsidR="00A20444" w:rsidRPr="005C7CCE">
        <w:t>’</w:t>
      </w:r>
      <w:r w:rsidRPr="005C7CCE">
        <w:t>organiser conjointement un événement à Singapour sur les dessins et modèles industriels et le système de La Haye.</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pPr>
      <w:r w:rsidRPr="005C7CCE">
        <w:t>20.21.</w:t>
      </w:r>
      <w:r w:rsidRPr="005C7CCE">
        <w:tab/>
        <w:t>Le Bureau de l</w:t>
      </w:r>
      <w:r w:rsidR="00A20444" w:rsidRPr="005C7CCE">
        <w:t>’</w:t>
      </w:r>
      <w:r w:rsidRPr="005C7CCE">
        <w:t>OMPI à Singapour a apporté une assistance à 16 États membres pour la mise en œuvre de systèmes d</w:t>
      </w:r>
      <w:r w:rsidR="00A20444" w:rsidRPr="005C7CCE">
        <w:t>’</w:t>
      </w:r>
      <w:r w:rsidRPr="005C7CCE">
        <w:t>administration efficaces de la propriété intellectuelle, ainsi qu</w:t>
      </w:r>
      <w:r w:rsidR="00A20444" w:rsidRPr="005C7CCE">
        <w:t>’</w:t>
      </w:r>
      <w:r w:rsidRPr="005C7CCE">
        <w:t>une assistance relative aux systèmes de Madrid et de La Haye, au droit d</w:t>
      </w:r>
      <w:r w:rsidR="00A20444" w:rsidRPr="005C7CCE">
        <w:t>’</w:t>
      </w:r>
      <w:r w:rsidRPr="005C7CCE">
        <w:t>auteur, aux organismes de gestion collective (qui a contribué à l</w:t>
      </w:r>
      <w:r w:rsidR="00A20444" w:rsidRPr="005C7CCE">
        <w:t>’</w:t>
      </w:r>
      <w:r w:rsidRPr="005C7CCE">
        <w:t>établissement d</w:t>
      </w:r>
      <w:r w:rsidR="00A20444" w:rsidRPr="005C7CCE">
        <w:t>’</w:t>
      </w:r>
      <w:r w:rsidRPr="005C7CCE">
        <w:t>un organisme de gestion collective en République démocratique populaire lao), à l</w:t>
      </w:r>
      <w:r w:rsidR="00A20444" w:rsidRPr="005C7CCE">
        <w:t>’</w:t>
      </w:r>
      <w:r w:rsidRPr="005C7CCE">
        <w:t xml:space="preserve">éducation, à la sensibilisation et au renforcement des capacités. </w:t>
      </w:r>
      <w:r w:rsidR="0010442A" w:rsidRPr="005C7CCE">
        <w:t xml:space="preserve"> </w:t>
      </w:r>
      <w:r w:rsidRPr="005C7CCE">
        <w:t>En outre, le Bureau de l</w:t>
      </w:r>
      <w:r w:rsidR="00A20444" w:rsidRPr="005C7CCE">
        <w:t>’</w:t>
      </w:r>
      <w:r w:rsidRPr="005C7CCE">
        <w:t>OMPI à Singapour s</w:t>
      </w:r>
      <w:r w:rsidR="00A20444" w:rsidRPr="005C7CCE">
        <w:t>’</w:t>
      </w:r>
      <w:r w:rsidRPr="005C7CCE">
        <w:t>est impliqué dans l</w:t>
      </w:r>
      <w:r w:rsidR="00A20444" w:rsidRPr="005C7CCE">
        <w:t>’</w:t>
      </w:r>
      <w:r w:rsidRPr="005C7CCE">
        <w:t>organisation des cours d</w:t>
      </w:r>
      <w:r w:rsidR="00A20444" w:rsidRPr="005C7CCE">
        <w:t>’</w:t>
      </w:r>
      <w:r w:rsidRPr="005C7CCE">
        <w:t>été de l</w:t>
      </w:r>
      <w:r w:rsidR="00A20444" w:rsidRPr="005C7CCE">
        <w:t>’</w:t>
      </w:r>
      <w:r w:rsidRPr="005C7CCE">
        <w:t>Académie de l</w:t>
      </w:r>
      <w:r w:rsidR="00A20444" w:rsidRPr="005C7CCE">
        <w:t>’</w:t>
      </w:r>
      <w:r w:rsidRPr="005C7CCE">
        <w:t>OMPI en Asie et du programme de maîtrise en droit de la propriété intellectuelle de l</w:t>
      </w:r>
      <w:r w:rsidR="00A20444" w:rsidRPr="005C7CCE">
        <w:t>’</w:t>
      </w:r>
      <w:r w:rsidRPr="005C7CCE">
        <w:t>OMPI et de l</w:t>
      </w:r>
      <w:r w:rsidR="00A20444" w:rsidRPr="005C7CCE">
        <w:t>’</w:t>
      </w:r>
      <w:r w:rsidR="000F1A6E">
        <w:t>U</w:t>
      </w:r>
      <w:r w:rsidRPr="005C7CCE">
        <w:t>niversité de technologie de Queensland.</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pPr>
      <w:r w:rsidRPr="005C7CCE">
        <w:t>20.22.</w:t>
      </w:r>
      <w:r w:rsidRPr="005C7CCE">
        <w:tab/>
        <w:t>Pour améliorer la visibilité et l</w:t>
      </w:r>
      <w:r w:rsidR="00A20444" w:rsidRPr="005C7CCE">
        <w:t>’</w:t>
      </w:r>
      <w:r w:rsidRPr="005C7CCE">
        <w:t>homogénéité de la communication visant à promouvoir les services mondiaux de l</w:t>
      </w:r>
      <w:r w:rsidR="00A20444" w:rsidRPr="005C7CCE">
        <w:t>’</w:t>
      </w:r>
      <w:r w:rsidRPr="005C7CCE">
        <w:t>OMPI auprès des États membres et des entreprises de la région, le Bureau de l</w:t>
      </w:r>
      <w:r w:rsidR="00A20444" w:rsidRPr="005C7CCE">
        <w:t>’</w:t>
      </w:r>
      <w:r w:rsidRPr="005C7CCE">
        <w:t>OMPI à Singapour s</w:t>
      </w:r>
      <w:r w:rsidR="00A20444" w:rsidRPr="005C7CCE">
        <w:t>’</w:t>
      </w:r>
      <w:r w:rsidRPr="005C7CCE">
        <w:t>est engagé dans un programme d</w:t>
      </w:r>
      <w:r w:rsidR="00A20444" w:rsidRPr="005C7CCE">
        <w:t>’</w:t>
      </w:r>
      <w:r w:rsidRPr="005C7CCE">
        <w:t xml:space="preserve">amélioration de la communication. </w:t>
      </w:r>
      <w:r w:rsidR="0010442A" w:rsidRPr="005C7CCE">
        <w:t xml:space="preserve"> </w:t>
      </w:r>
      <w:r w:rsidRPr="005C7CCE">
        <w:t>Ce dernier a abouti à la création d</w:t>
      </w:r>
      <w:r w:rsidR="00A20444" w:rsidRPr="005C7CCE">
        <w:t>’</w:t>
      </w:r>
      <w:r w:rsidRPr="005C7CCE">
        <w:t xml:space="preserve">un nouveau contenu Web et de nouveaux documents marketing, à une signalisation améliorée des bâtiments et à une communication officielle régulière avec des principales parties prenantes de la région. </w:t>
      </w:r>
      <w:r w:rsidR="0010442A" w:rsidRPr="005C7CCE">
        <w:t xml:space="preserve"> </w:t>
      </w:r>
      <w:r w:rsidRPr="005C7CCE">
        <w:t>Le Bureau de l</w:t>
      </w:r>
      <w:r w:rsidR="00A20444" w:rsidRPr="005C7CCE">
        <w:t>’</w:t>
      </w:r>
      <w:r w:rsidRPr="005C7CCE">
        <w:t>OMPI à Singapour a continué à jouer un rôle clé dans les services permanents de l</w:t>
      </w:r>
      <w:r w:rsidR="00A20444" w:rsidRPr="005C7CCE">
        <w:t>’</w:t>
      </w:r>
      <w:r w:rsidRPr="005C7CCE">
        <w:t>OMPI.</w:t>
      </w:r>
    </w:p>
    <w:p w:rsidR="00D42474" w:rsidRDefault="00D42474" w:rsidP="001A5BF9">
      <w:pPr>
        <w:autoSpaceDE w:val="0"/>
        <w:autoSpaceDN w:val="0"/>
        <w:adjustRightInd w:val="0"/>
        <w:jc w:val="both"/>
        <w:rPr>
          <w:rFonts w:eastAsia="SimSun" w:cs="Arial"/>
          <w:iCs/>
          <w:szCs w:val="20"/>
        </w:rPr>
      </w:pPr>
    </w:p>
    <w:p w:rsidR="00D42474" w:rsidRDefault="00D42474" w:rsidP="001A5BF9">
      <w:pPr>
        <w:autoSpaceDE w:val="0"/>
        <w:autoSpaceDN w:val="0"/>
        <w:adjustRightInd w:val="0"/>
        <w:jc w:val="both"/>
        <w:rPr>
          <w:rFonts w:eastAsia="SimSun" w:cs="Arial"/>
          <w:iCs/>
          <w:szCs w:val="20"/>
        </w:rPr>
      </w:pPr>
    </w:p>
    <w:p w:rsidR="00D42474" w:rsidRDefault="00C82EE5" w:rsidP="001A5BF9">
      <w:pPr>
        <w:rPr>
          <w:rFonts w:cs="Arial"/>
          <w:bCs/>
          <w:szCs w:val="20"/>
        </w:rPr>
      </w:pPr>
      <w:r w:rsidRPr="002D02F3">
        <w:rPr>
          <w:sz w:val="22"/>
        </w:rPr>
        <w:t>MISE EN ŒUVRE DU PLAN D</w:t>
      </w:r>
      <w:r w:rsidR="00A20444" w:rsidRPr="002D02F3">
        <w:rPr>
          <w:sz w:val="22"/>
        </w:rPr>
        <w:t>’</w:t>
      </w:r>
      <w:r w:rsidRPr="002D02F3">
        <w:rPr>
          <w:sz w:val="22"/>
        </w:rPr>
        <w:t>ACTION POUR LE DÉVELOPPEMENT</w:t>
      </w:r>
    </w:p>
    <w:p w:rsidR="00D42474" w:rsidRDefault="00D42474" w:rsidP="001A5BF9">
      <w:pPr>
        <w:rPr>
          <w:rFonts w:cs="Arial"/>
          <w:bCs/>
          <w:szCs w:val="20"/>
        </w:rPr>
      </w:pPr>
    </w:p>
    <w:p w:rsidR="00D42474" w:rsidRDefault="00C82EE5" w:rsidP="001A5BF9">
      <w:pPr>
        <w:tabs>
          <w:tab w:val="left" w:pos="709"/>
        </w:tabs>
        <w:autoSpaceDE w:val="0"/>
        <w:autoSpaceDN w:val="0"/>
        <w:adjustRightInd w:val="0"/>
        <w:jc w:val="both"/>
      </w:pPr>
      <w:r w:rsidRPr="002D02F3">
        <w:t>20.23.</w:t>
      </w:r>
      <w:r w:rsidRPr="002D02F3">
        <w:tab/>
        <w:t>La conception des activités dans le cadre du programme 20 visait à appuyer la mise en œuvre des recommandations du Plan d</w:t>
      </w:r>
      <w:r w:rsidR="00A20444" w:rsidRPr="002D02F3">
        <w:t>’</w:t>
      </w:r>
      <w:r w:rsidRPr="002D02F3">
        <w:t>action pour le développement n</w:t>
      </w:r>
      <w:r w:rsidRPr="002D02F3">
        <w:rPr>
          <w:vertAlign w:val="superscript"/>
        </w:rPr>
        <w:t>os</w:t>
      </w:r>
      <w:r w:rsidRPr="002D02F3">
        <w:t> 2, 9, 14, 22, 24, 30, 40 et 42.</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rPr>
          <w:rFonts w:eastAsia="SimSun" w:cs="Arial"/>
          <w:iCs/>
          <w:szCs w:val="20"/>
        </w:rPr>
      </w:pPr>
      <w:r w:rsidRPr="002D02F3">
        <w:t>20.24.</w:t>
      </w:r>
      <w:r w:rsidRPr="002D02F3">
        <w:tab/>
        <w:t>À cet égard, le programme 20 a continué à agir en tant que coordinateur au sein de l</w:t>
      </w:r>
      <w:r w:rsidR="00A20444" w:rsidRPr="002D02F3">
        <w:t>’</w:t>
      </w:r>
      <w:r w:rsidRPr="002D02F3">
        <w:t>OMPI pour appuyer la mobilisation des ressources extrabudgétaires (recommandation n° 2) et a coopéré avec le programme 9 pour la mise en œuvre de la base de données de mise en parallèle des besoins de l</w:t>
      </w:r>
      <w:r w:rsidR="00A20444" w:rsidRPr="002D02F3">
        <w:t>’</w:t>
      </w:r>
      <w:r w:rsidRPr="002D02F3">
        <w:t>OMPI du projet du Plan d</w:t>
      </w:r>
      <w:r w:rsidR="00A20444" w:rsidRPr="002D02F3">
        <w:t>’</w:t>
      </w:r>
      <w:r w:rsidRPr="002D02F3">
        <w:t>action pour le développement (recommandation n° 9).</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rPr>
          <w:rFonts w:eastAsia="SimSun" w:cs="Arial"/>
          <w:iCs/>
          <w:szCs w:val="20"/>
        </w:rPr>
      </w:pPr>
      <w:r w:rsidRPr="002D02F3">
        <w:t>20.25.</w:t>
      </w:r>
      <w:r w:rsidRPr="002D02F3">
        <w:tab/>
        <w:t>En ce qui concerne la recommandation n°</w:t>
      </w:r>
      <w:r w:rsidR="0010442A" w:rsidRPr="002D02F3">
        <w:t> </w:t>
      </w:r>
      <w:r w:rsidRPr="002D02F3">
        <w:t>14 relative à la fourniture d</w:t>
      </w:r>
      <w:r w:rsidR="00A20444" w:rsidRPr="002D02F3">
        <w:t>’</w:t>
      </w:r>
      <w:r w:rsidRPr="002D02F3">
        <w:t>avis aux pays en développement et PMA sur l</w:t>
      </w:r>
      <w:r w:rsidR="00A20444" w:rsidRPr="002D02F3">
        <w:t>’</w:t>
      </w:r>
      <w:r w:rsidRPr="002D02F3">
        <w:t>application et l</w:t>
      </w:r>
      <w:r w:rsidR="00A20444" w:rsidRPr="002D02F3">
        <w:t>’</w:t>
      </w:r>
      <w:r w:rsidRPr="002D02F3">
        <w:t>exercice des droits et des obligations ainsi que sur la compréhension et l</w:t>
      </w:r>
      <w:r w:rsidR="00A20444" w:rsidRPr="002D02F3">
        <w:t>’</w:t>
      </w:r>
      <w:r w:rsidRPr="002D02F3">
        <w:t>utilisation des éléments de flexibilité prévus par l</w:t>
      </w:r>
      <w:r w:rsidR="00A20444" w:rsidRPr="002D02F3">
        <w:t>’</w:t>
      </w:r>
      <w:r w:rsidRPr="002D02F3">
        <w:t>Accord sur</w:t>
      </w:r>
      <w:r w:rsidR="00A20444" w:rsidRPr="002D02F3">
        <w:t xml:space="preserve"> les ADP</w:t>
      </w:r>
      <w:r w:rsidRPr="002D02F3">
        <w:t>IC, le programme</w:t>
      </w:r>
      <w:r w:rsidR="00B76999">
        <w:t> </w:t>
      </w:r>
      <w:r w:rsidRPr="002D02F3">
        <w:t>20, en coopération avec les secteurs opérationnels de l</w:t>
      </w:r>
      <w:r w:rsidR="00A20444" w:rsidRPr="002D02F3">
        <w:t>’</w:t>
      </w:r>
      <w:r w:rsidRPr="002D02F3">
        <w:t>OMPI, a veillé à ce que les activités entreprises avec l</w:t>
      </w:r>
      <w:r w:rsidR="00A20444" w:rsidRPr="002D02F3">
        <w:t>’</w:t>
      </w:r>
      <w:r w:rsidRPr="002D02F3">
        <w:t>OMC et l</w:t>
      </w:r>
      <w:r w:rsidR="00A20444" w:rsidRPr="002D02F3">
        <w:t>’</w:t>
      </w:r>
      <w:r w:rsidRPr="002D02F3">
        <w:t>OMS reflètent cette recommandation.</w:t>
      </w:r>
    </w:p>
    <w:p w:rsidR="00D42474" w:rsidRDefault="00D42474" w:rsidP="001A5BF9">
      <w:pPr>
        <w:autoSpaceDE w:val="0"/>
        <w:autoSpaceDN w:val="0"/>
        <w:adjustRightInd w:val="0"/>
        <w:jc w:val="both"/>
      </w:pPr>
    </w:p>
    <w:p w:rsidR="00D42474" w:rsidRDefault="00C82EE5" w:rsidP="001A5BF9">
      <w:pPr>
        <w:tabs>
          <w:tab w:val="left" w:pos="709"/>
        </w:tabs>
        <w:autoSpaceDE w:val="0"/>
        <w:autoSpaceDN w:val="0"/>
        <w:adjustRightInd w:val="0"/>
        <w:jc w:val="both"/>
        <w:rPr>
          <w:rFonts w:eastAsia="SimSun" w:cs="Arial"/>
          <w:iCs/>
          <w:szCs w:val="20"/>
        </w:rPr>
      </w:pPr>
      <w:r w:rsidRPr="002D02F3">
        <w:t>20.26.</w:t>
      </w:r>
      <w:r w:rsidRPr="002D02F3">
        <w:tab/>
        <w:t>Le programme 20 a également travaillé avec les secteurs concernés de l</w:t>
      </w:r>
      <w:r w:rsidR="00A20444" w:rsidRPr="002D02F3">
        <w:t>’</w:t>
      </w:r>
      <w:r w:rsidRPr="002D02F3">
        <w:t>OMPI pour renforcer leur coopération avec d</w:t>
      </w:r>
      <w:r w:rsidR="00A20444" w:rsidRPr="002D02F3">
        <w:t>’</w:t>
      </w:r>
      <w:r w:rsidRPr="002D02F3">
        <w:t xml:space="preserve">autres organisations intergouvernementales. </w:t>
      </w:r>
      <w:r w:rsidR="0010442A" w:rsidRPr="002D02F3">
        <w:t xml:space="preserve"> </w:t>
      </w:r>
      <w:r w:rsidRPr="002D02F3">
        <w:t>Tout au long de l</w:t>
      </w:r>
      <w:r w:rsidR="00A20444" w:rsidRPr="002D02F3">
        <w:t>’</w:t>
      </w:r>
      <w:r w:rsidRPr="002D02F3">
        <w:t>exercice biennal, le programme a poursuivi le renforcement de l</w:t>
      </w:r>
      <w:r w:rsidR="00A20444" w:rsidRPr="002D02F3">
        <w:t>’</w:t>
      </w:r>
      <w:r w:rsidRPr="002D02F3">
        <w:t>implication de l</w:t>
      </w:r>
      <w:r w:rsidR="00A20444" w:rsidRPr="002D02F3">
        <w:t>’</w:t>
      </w:r>
      <w:r w:rsidRPr="002D02F3">
        <w:t xml:space="preserve">OMPI dans les travaux des </w:t>
      </w:r>
      <w:r w:rsidR="00A20444" w:rsidRPr="002D02F3">
        <w:t>Nations Unies</w:t>
      </w:r>
      <w:r w:rsidRPr="002D02F3">
        <w:t xml:space="preserve"> et a activement rempli son rôle en tant qu</w:t>
      </w:r>
      <w:r w:rsidR="00A20444" w:rsidRPr="002D02F3">
        <w:t>’</w:t>
      </w:r>
      <w:r w:rsidRPr="002D02F3">
        <w:t xml:space="preserve">institution spécialisée du système des </w:t>
      </w:r>
      <w:r w:rsidR="00A20444" w:rsidRPr="002D02F3">
        <w:t>Nations Unies</w:t>
      </w:r>
      <w:r w:rsidRPr="002D02F3">
        <w:t>, comme exigé par le Plan d</w:t>
      </w:r>
      <w:r w:rsidR="00A20444" w:rsidRPr="002D02F3">
        <w:t>’</w:t>
      </w:r>
      <w:r w:rsidRPr="002D02F3">
        <w:t>action pour le développement (recommandations n</w:t>
      </w:r>
      <w:r w:rsidRPr="002D02F3">
        <w:rPr>
          <w:vertAlign w:val="superscript"/>
        </w:rPr>
        <w:t>os</w:t>
      </w:r>
      <w:r w:rsidRPr="002D02F3">
        <w:t xml:space="preserve"> 30 et 40). </w:t>
      </w:r>
      <w:r w:rsidR="0010442A" w:rsidRPr="002D02F3">
        <w:t xml:space="preserve"> </w:t>
      </w:r>
      <w:r w:rsidRPr="002D02F3">
        <w:t>Dans ce domaine, le programme a contribué à différents processus liés au cadre de développement de l</w:t>
      </w:r>
      <w:r w:rsidR="00A20444" w:rsidRPr="002D02F3">
        <w:t>’</w:t>
      </w:r>
      <w:r w:rsidRPr="002D02F3">
        <w:t xml:space="preserve">après 2015, aux travaux du groupe de travail ouvert, à la mise en œuvre de la conférence de </w:t>
      </w:r>
      <w:proofErr w:type="spellStart"/>
      <w:r w:rsidRPr="002D02F3">
        <w:t>Rio+20</w:t>
      </w:r>
      <w:proofErr w:type="spellEnd"/>
      <w:r w:rsidRPr="002D02F3">
        <w:t>, en particulier en lien avec la mise en place d</w:t>
      </w:r>
      <w:r w:rsidR="00A20444" w:rsidRPr="002D02F3">
        <w:t>’</w:t>
      </w:r>
      <w:r w:rsidRPr="002D02F3">
        <w:t xml:space="preserve">un mécanisme de facilitation de transfert de technologie (paragraphe 273 du document final de la Conférence </w:t>
      </w:r>
      <w:proofErr w:type="spellStart"/>
      <w:r w:rsidRPr="002D02F3">
        <w:t>Rio+20</w:t>
      </w:r>
      <w:proofErr w:type="spellEnd"/>
      <w:r w:rsidRPr="002D02F3">
        <w:t>) et au groupe de réflexion sur le retard pris dans la réalisation des </w:t>
      </w:r>
      <w:proofErr w:type="spellStart"/>
      <w:r w:rsidRPr="002D02F3">
        <w:t>OMD</w:t>
      </w:r>
      <w:proofErr w:type="spellEnd"/>
      <w:r w:rsidRPr="002D02F3">
        <w:t xml:space="preserve">. </w:t>
      </w:r>
      <w:r w:rsidR="0010442A" w:rsidRPr="002D02F3">
        <w:t xml:space="preserve"> </w:t>
      </w:r>
      <w:r w:rsidRPr="002D02F3">
        <w:t>Le programme a également participé à la session de fond de 2013 du Conseil économique et social (</w:t>
      </w:r>
      <w:proofErr w:type="spellStart"/>
      <w:r w:rsidRPr="002D02F3">
        <w:t>ECOSOC</w:t>
      </w:r>
      <w:proofErr w:type="spellEnd"/>
      <w:r w:rsidRPr="002D02F3">
        <w:t>) de l</w:t>
      </w:r>
      <w:r w:rsidR="00A20444" w:rsidRPr="002D02F3">
        <w:t>’</w:t>
      </w:r>
      <w:r w:rsidRPr="002D02F3">
        <w:t>ONU, à la dix</w:t>
      </w:r>
      <w:r w:rsidR="002D6F2A" w:rsidRPr="002D02F3">
        <w:noBreakHyphen/>
      </w:r>
      <w:r w:rsidRPr="002D02F3">
        <w:t>neuvième Conférence des Parties à la Convention</w:t>
      </w:r>
      <w:r w:rsidR="002D6F2A" w:rsidRPr="002D02F3">
        <w:noBreakHyphen/>
      </w:r>
      <w:r w:rsidRPr="002D02F3">
        <w:t xml:space="preserve">cadre des </w:t>
      </w:r>
      <w:r w:rsidR="00A20444" w:rsidRPr="002D02F3">
        <w:t>Nations Unies</w:t>
      </w:r>
      <w:r w:rsidRPr="002D02F3">
        <w:t xml:space="preserve"> sur les changements climatiques (</w:t>
      </w:r>
      <w:proofErr w:type="spellStart"/>
      <w:r w:rsidRPr="002D02F3">
        <w:t>CCNUCC</w:t>
      </w:r>
      <w:proofErr w:type="spellEnd"/>
      <w:r w:rsidRPr="002D02F3">
        <w:t>) qui s</w:t>
      </w:r>
      <w:r w:rsidR="00A20444" w:rsidRPr="002D02F3">
        <w:t>’</w:t>
      </w:r>
      <w:r w:rsidRPr="002D02F3">
        <w:t>est tenue à Varsovie, ainsi qu</w:t>
      </w:r>
      <w:r w:rsidR="00A20444" w:rsidRPr="002D02F3">
        <w:t>’</w:t>
      </w:r>
      <w:r w:rsidRPr="002D02F3">
        <w:t>au Comité exécutif technologique de la </w:t>
      </w:r>
      <w:proofErr w:type="spellStart"/>
      <w:r w:rsidRPr="002D02F3">
        <w:t>CCNUCC</w:t>
      </w:r>
      <w:proofErr w:type="spellEnd"/>
      <w:r w:rsidRPr="002D02F3">
        <w:t xml:space="preserve"> et du Conseil consultatif du Centre et Réseau des technologies climatiques de la </w:t>
      </w:r>
      <w:proofErr w:type="spellStart"/>
      <w:r w:rsidRPr="002D02F3">
        <w:t>CCNUCC</w:t>
      </w:r>
      <w:proofErr w:type="spellEnd"/>
      <w:r w:rsidRPr="002D02F3">
        <w:t>, au Forum du Sommet mondial sur la société de l</w:t>
      </w:r>
      <w:r w:rsidR="00A20444" w:rsidRPr="002D02F3">
        <w:t>’</w:t>
      </w:r>
      <w:r w:rsidRPr="002D02F3">
        <w:t>information (Forum du </w:t>
      </w:r>
      <w:proofErr w:type="spellStart"/>
      <w:r w:rsidRPr="002D02F3">
        <w:t>SMSI</w:t>
      </w:r>
      <w:proofErr w:type="spellEnd"/>
      <w:r w:rsidRPr="002D02F3">
        <w:t>), à la réunion d</w:t>
      </w:r>
      <w:r w:rsidR="00A20444" w:rsidRPr="002D02F3">
        <w:t>’</w:t>
      </w:r>
      <w:r w:rsidRPr="002D02F3">
        <w:t>examen du </w:t>
      </w:r>
      <w:proofErr w:type="spellStart"/>
      <w:r w:rsidRPr="002D02F3">
        <w:t>SMSI</w:t>
      </w:r>
      <w:proofErr w:type="spellEnd"/>
      <w:r w:rsidRPr="002D02F3">
        <w:t xml:space="preserve"> à haut niveau (</w:t>
      </w:r>
      <w:proofErr w:type="spellStart"/>
      <w:r w:rsidRPr="002D02F3">
        <w:t>SMSI</w:t>
      </w:r>
      <w:proofErr w:type="spellEnd"/>
      <w:r w:rsidRPr="002D02F3">
        <w:t> + 10) et au forum sur la gouvernance d</w:t>
      </w:r>
      <w:r w:rsidR="00A20444" w:rsidRPr="002D02F3">
        <w:t>’</w:t>
      </w:r>
      <w:r w:rsidRPr="002D02F3">
        <w:t>Internet.</w:t>
      </w:r>
    </w:p>
    <w:p w:rsidR="00D42474" w:rsidRDefault="00D42474" w:rsidP="001A5BF9">
      <w:pPr>
        <w:autoSpaceDE w:val="0"/>
        <w:autoSpaceDN w:val="0"/>
        <w:adjustRightInd w:val="0"/>
        <w:jc w:val="both"/>
        <w:rPr>
          <w:rFonts w:eastAsia="SimSun" w:cs="Arial"/>
          <w:iCs/>
          <w:szCs w:val="20"/>
        </w:rPr>
      </w:pPr>
    </w:p>
    <w:p w:rsidR="00D42474" w:rsidRDefault="00C82EE5" w:rsidP="001A5BF9">
      <w:pPr>
        <w:tabs>
          <w:tab w:val="left" w:pos="709"/>
        </w:tabs>
        <w:autoSpaceDE w:val="0"/>
        <w:autoSpaceDN w:val="0"/>
        <w:adjustRightInd w:val="0"/>
        <w:jc w:val="both"/>
        <w:rPr>
          <w:rFonts w:eastAsia="SimSun" w:cs="Arial"/>
          <w:iCs/>
          <w:szCs w:val="20"/>
        </w:rPr>
      </w:pPr>
      <w:r w:rsidRPr="002D02F3">
        <w:t>20.27.</w:t>
      </w:r>
      <w:r w:rsidRPr="002D02F3">
        <w:tab/>
        <w:t>Outre la recommandation n° 42, le programme 20 a également œuvré pour améliorer la participation de la société civile aux réunions de l</w:t>
      </w:r>
      <w:r w:rsidR="00A20444" w:rsidRPr="002D02F3">
        <w:t>’</w:t>
      </w:r>
      <w:r w:rsidRPr="002D02F3">
        <w:t>OMPI et pour entretenir une étroite coopération et collaboration avec ses parties prenantes non gouvernementales, que ce soit par le biais d</w:t>
      </w:r>
      <w:r w:rsidR="00A20444" w:rsidRPr="002D02F3">
        <w:t>’</w:t>
      </w:r>
      <w:r w:rsidRPr="002D02F3">
        <w:t>ateliers et de séminaires auxquels les représentants de la société civile ont participé ou ont prêté leur expertise, l</w:t>
      </w:r>
      <w:r w:rsidR="00A20444" w:rsidRPr="002D02F3">
        <w:t>’</w:t>
      </w:r>
      <w:r w:rsidRPr="002D02F3">
        <w:t>organisation d</w:t>
      </w:r>
      <w:r w:rsidR="00A20444" w:rsidRPr="002D02F3">
        <w:t>’</w:t>
      </w:r>
      <w:r w:rsidRPr="002D02F3">
        <w:t>événements parallèles, de séances d</w:t>
      </w:r>
      <w:r w:rsidR="00A20444" w:rsidRPr="002D02F3">
        <w:t>’</w:t>
      </w:r>
      <w:r w:rsidRPr="002D02F3">
        <w:t>information ou d</w:t>
      </w:r>
      <w:r w:rsidR="00A20444" w:rsidRPr="002D02F3">
        <w:t>’</w:t>
      </w:r>
      <w:r w:rsidRPr="002D02F3">
        <w:t>autres forums qui ont été le lieu d</w:t>
      </w:r>
      <w:r w:rsidR="00A20444" w:rsidRPr="002D02F3">
        <w:t>’</w:t>
      </w:r>
      <w:r w:rsidRPr="002D02F3">
        <w:t xml:space="preserve">échanges utiles avec les participants non gouvernementaux. </w:t>
      </w:r>
      <w:r w:rsidR="0010442A" w:rsidRPr="002D02F3">
        <w:t xml:space="preserve"> </w:t>
      </w:r>
      <w:r w:rsidRPr="002D02F3">
        <w:t>En outre, l</w:t>
      </w:r>
      <w:r w:rsidR="00A20444" w:rsidRPr="002D02F3">
        <w:t>’</w:t>
      </w:r>
      <w:r w:rsidRPr="002D02F3">
        <w:t>accueil des deux réunions annuelles du Directeur général avec les ONG accréditées en 2012 et 2013 reste un élément clé de ce processus et a mis en lumière l</w:t>
      </w:r>
      <w:r w:rsidR="00A20444" w:rsidRPr="002D02F3">
        <w:t>’</w:t>
      </w:r>
      <w:r w:rsidRPr="002D02F3">
        <w:t>importance particulière que l</w:t>
      </w:r>
      <w:r w:rsidR="00A20444" w:rsidRPr="002D02F3">
        <w:t>’</w:t>
      </w:r>
      <w:r w:rsidRPr="002D02F3">
        <w:t>OMPI accorde aux intérêts et préoccupations de la communauté des ONG.</w:t>
      </w:r>
    </w:p>
    <w:p w:rsidR="00D42474" w:rsidRDefault="00D42474" w:rsidP="001A5BF9">
      <w:pPr>
        <w:rPr>
          <w:rFonts w:eastAsia="SimSun" w:cs="Arial"/>
          <w:szCs w:val="20"/>
        </w:rPr>
      </w:pPr>
    </w:p>
    <w:p w:rsidR="00D42474" w:rsidRDefault="00D42474" w:rsidP="001A5BF9">
      <w:pPr>
        <w:rPr>
          <w:rFonts w:eastAsia="SimSun" w:cs="Arial"/>
          <w:szCs w:val="20"/>
        </w:rPr>
      </w:pPr>
    </w:p>
    <w:p w:rsidR="00D42474" w:rsidRDefault="00C82EE5" w:rsidP="001A5BF9">
      <w:pPr>
        <w:rPr>
          <w:rFonts w:eastAsia="SimSun" w:cs="Arial"/>
          <w:iCs/>
          <w:szCs w:val="20"/>
        </w:rPr>
      </w:pPr>
      <w:r w:rsidRPr="002D02F3">
        <w:rPr>
          <w:sz w:val="22"/>
        </w:rPr>
        <w:t>DONNÉES RELATIVES À L</w:t>
      </w:r>
      <w:r w:rsidR="00A20444" w:rsidRPr="002D02F3">
        <w:rPr>
          <w:sz w:val="22"/>
        </w:rPr>
        <w:t>’</w:t>
      </w:r>
      <w:r w:rsidRPr="002D02F3">
        <w:rPr>
          <w:sz w:val="22"/>
        </w:rPr>
        <w:t>EXÉCUTION</w:t>
      </w:r>
    </w:p>
    <w:p w:rsidR="00C82EE5" w:rsidRPr="00B76999" w:rsidRDefault="00C82EE5" w:rsidP="001A5BF9">
      <w:pPr>
        <w:rPr>
          <w:rFonts w:eastAsia="SimSun" w:cs="Arial"/>
          <w:szCs w:val="20"/>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52"/>
        <w:gridCol w:w="1868"/>
        <w:gridCol w:w="1686"/>
        <w:gridCol w:w="2573"/>
        <w:gridCol w:w="1278"/>
      </w:tblGrid>
      <w:tr w:rsidR="00C82EE5" w:rsidRPr="002D02F3" w:rsidTr="0056083E">
        <w:tc>
          <w:tcPr>
            <w:tcW w:w="5000" w:type="pct"/>
            <w:gridSpan w:val="5"/>
            <w:tcBorders>
              <w:top w:val="single" w:sz="4" w:space="0" w:color="auto"/>
              <w:bottom w:val="single" w:sz="4" w:space="0" w:color="auto"/>
            </w:tcBorders>
            <w:shd w:val="clear" w:color="auto" w:fill="CCFFFF"/>
            <w:vAlign w:val="center"/>
          </w:tcPr>
          <w:p w:rsidR="00C82EE5" w:rsidRPr="002D02F3" w:rsidRDefault="00C82EE5" w:rsidP="001A5BF9">
            <w:pPr>
              <w:keepNext/>
              <w:keepLines/>
              <w:tabs>
                <w:tab w:val="left" w:pos="1452"/>
              </w:tabs>
              <w:spacing w:before="120" w:after="120"/>
              <w:ind w:left="1701" w:hanging="1701"/>
              <w:rPr>
                <w:rFonts w:eastAsia="SimSun"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L</w:t>
            </w:r>
            <w:r w:rsidR="00A20444" w:rsidRPr="002D02F3">
              <w:rPr>
                <w:sz w:val="16"/>
              </w:rPr>
              <w:t>’</w:t>
            </w:r>
            <w:r w:rsidRPr="002D02F3">
              <w:rPr>
                <w:sz w:val="16"/>
              </w:rPr>
              <w:t>OMPI collabore efficacement avec d</w:t>
            </w:r>
            <w:r w:rsidR="00A20444" w:rsidRPr="002D02F3">
              <w:rPr>
                <w:sz w:val="16"/>
              </w:rPr>
              <w:t>’</w:t>
            </w:r>
            <w:r w:rsidRPr="002D02F3">
              <w:rPr>
                <w:sz w:val="16"/>
              </w:rPr>
              <w:t>autres processus et forums de négociation de l</w:t>
            </w:r>
            <w:r w:rsidR="00A20444" w:rsidRPr="002D02F3">
              <w:rPr>
                <w:sz w:val="16"/>
              </w:rPr>
              <w:t>’</w:t>
            </w:r>
            <w:r w:rsidRPr="002D02F3">
              <w:rPr>
                <w:sz w:val="16"/>
              </w:rPr>
              <w:t>ONU et d</w:t>
            </w:r>
            <w:r w:rsidR="00A20444" w:rsidRPr="002D02F3">
              <w:rPr>
                <w:sz w:val="16"/>
              </w:rPr>
              <w:t>’</w:t>
            </w:r>
            <w:r w:rsidRPr="002D02F3">
              <w:rPr>
                <w:sz w:val="16"/>
              </w:rPr>
              <w:t>autres organisations intergouvernementales</w:t>
            </w:r>
          </w:p>
        </w:tc>
      </w:tr>
      <w:tr w:rsidR="00C82EE5" w:rsidRPr="002D02F3" w:rsidTr="0056083E">
        <w:tc>
          <w:tcPr>
            <w:tcW w:w="1043" w:type="pct"/>
            <w:tcBorders>
              <w:top w:val="single" w:sz="4" w:space="0" w:color="auto"/>
            </w:tcBorders>
            <w:shd w:val="clear" w:color="auto" w:fill="auto"/>
            <w:vAlign w:val="center"/>
          </w:tcPr>
          <w:p w:rsidR="00C82EE5" w:rsidRPr="002D02F3" w:rsidRDefault="00C82EE5" w:rsidP="00B76999">
            <w:pPr>
              <w:rPr>
                <w:rFonts w:eastAsia="SimSun" w:cs="Arial"/>
                <w:b/>
                <w:sz w:val="16"/>
                <w:szCs w:val="16"/>
              </w:rPr>
            </w:pPr>
            <w:r w:rsidRPr="002D02F3">
              <w:rPr>
                <w:b/>
                <w:sz w:val="16"/>
              </w:rPr>
              <w:t>Indicateurs d</w:t>
            </w:r>
            <w:r w:rsidR="00A20444" w:rsidRPr="002D02F3">
              <w:rPr>
                <w:b/>
                <w:sz w:val="16"/>
              </w:rPr>
              <w:t>’</w:t>
            </w:r>
            <w:r w:rsidRPr="002D02F3">
              <w:rPr>
                <w:b/>
                <w:sz w:val="16"/>
              </w:rPr>
              <w:t>exécution</w:t>
            </w:r>
          </w:p>
        </w:tc>
        <w:tc>
          <w:tcPr>
            <w:tcW w:w="998" w:type="pct"/>
            <w:tcBorders>
              <w:top w:val="single" w:sz="4" w:space="0" w:color="auto"/>
            </w:tcBorders>
            <w:shd w:val="clear" w:color="auto" w:fill="auto"/>
            <w:vAlign w:val="center"/>
          </w:tcPr>
          <w:p w:rsidR="00C82EE5" w:rsidRPr="002D02F3" w:rsidRDefault="00C82EE5" w:rsidP="00B76999">
            <w:pPr>
              <w:rPr>
                <w:rFonts w:eastAsia="SimSun" w:cs="Arial"/>
                <w:b/>
                <w:bCs/>
                <w:sz w:val="16"/>
                <w:szCs w:val="16"/>
              </w:rPr>
            </w:pPr>
            <w:r w:rsidRPr="002D02F3">
              <w:rPr>
                <w:b/>
                <w:sz w:val="16"/>
              </w:rPr>
              <w:t>Niveaux de référence</w:t>
            </w:r>
          </w:p>
        </w:tc>
        <w:tc>
          <w:tcPr>
            <w:tcW w:w="901" w:type="pct"/>
            <w:tcBorders>
              <w:top w:val="single" w:sz="4" w:space="0" w:color="auto"/>
            </w:tcBorders>
            <w:shd w:val="clear" w:color="auto" w:fill="auto"/>
            <w:tcMar>
              <w:top w:w="110" w:type="dxa"/>
            </w:tcMar>
            <w:vAlign w:val="center"/>
          </w:tcPr>
          <w:p w:rsidR="00C82EE5" w:rsidRPr="002D02F3" w:rsidRDefault="00C82EE5" w:rsidP="00B76999">
            <w:pPr>
              <w:rPr>
                <w:rFonts w:eastAsia="SimSun" w:cs="Arial"/>
                <w:b/>
                <w:sz w:val="16"/>
                <w:szCs w:val="16"/>
              </w:rPr>
            </w:pPr>
            <w:r w:rsidRPr="002D02F3">
              <w:rPr>
                <w:b/>
                <w:sz w:val="16"/>
              </w:rPr>
              <w:t>Objectifs visés</w:t>
            </w:r>
          </w:p>
        </w:tc>
        <w:tc>
          <w:tcPr>
            <w:tcW w:w="1375" w:type="pct"/>
            <w:tcBorders>
              <w:top w:val="single" w:sz="4" w:space="0" w:color="auto"/>
            </w:tcBorders>
            <w:shd w:val="clear" w:color="auto" w:fill="FFFFFF"/>
            <w:tcMar>
              <w:top w:w="110" w:type="dxa"/>
            </w:tcMar>
            <w:vAlign w:val="center"/>
          </w:tcPr>
          <w:p w:rsidR="00C82EE5" w:rsidRPr="002D02F3" w:rsidRDefault="00C82EE5" w:rsidP="00B76999">
            <w:pPr>
              <w:rPr>
                <w:rFonts w:eastAsia="SimSun" w:cs="Arial"/>
                <w:b/>
                <w:sz w:val="16"/>
                <w:szCs w:val="16"/>
              </w:rPr>
            </w:pPr>
            <w:r w:rsidRPr="002D02F3">
              <w:rPr>
                <w:b/>
                <w:sz w:val="16"/>
              </w:rPr>
              <w:t>Données relatives à l</w:t>
            </w:r>
            <w:r w:rsidR="00A20444" w:rsidRPr="002D02F3">
              <w:rPr>
                <w:b/>
                <w:sz w:val="16"/>
              </w:rPr>
              <w:t>’</w:t>
            </w:r>
            <w:r w:rsidRPr="002D02F3">
              <w:rPr>
                <w:b/>
                <w:sz w:val="16"/>
              </w:rPr>
              <w:t>exécution</w:t>
            </w:r>
          </w:p>
        </w:tc>
        <w:tc>
          <w:tcPr>
            <w:tcW w:w="683" w:type="pct"/>
            <w:tcBorders>
              <w:top w:val="single" w:sz="4" w:space="0" w:color="auto"/>
            </w:tcBorders>
            <w:shd w:val="clear" w:color="auto" w:fill="auto"/>
            <w:tcMar>
              <w:top w:w="110" w:type="dxa"/>
            </w:tcMar>
            <w:vAlign w:val="center"/>
          </w:tcPr>
          <w:p w:rsidR="00C82EE5" w:rsidRPr="002D02F3" w:rsidRDefault="00C82EE5" w:rsidP="001A5BF9">
            <w:pPr>
              <w:keepNext/>
              <w:keepLines/>
              <w:jc w:val="center"/>
              <w:rPr>
                <w:rFonts w:eastAsia="SimSun" w:cs="Arial"/>
                <w:b/>
                <w:bCs/>
                <w:sz w:val="16"/>
                <w:szCs w:val="16"/>
              </w:rPr>
            </w:pPr>
            <w:r w:rsidRPr="002D02F3">
              <w:rPr>
                <w:b/>
                <w:sz w:val="16"/>
              </w:rPr>
              <w:t>Code de couleurs</w:t>
            </w:r>
          </w:p>
        </w:tc>
      </w:tr>
      <w:tr w:rsidR="00C82EE5" w:rsidRPr="005C7CCE" w:rsidTr="0056083E">
        <w:tc>
          <w:tcPr>
            <w:tcW w:w="1043" w:type="pct"/>
            <w:shd w:val="clear" w:color="auto" w:fill="auto"/>
          </w:tcPr>
          <w:p w:rsidR="00D42474" w:rsidRDefault="00C82EE5" w:rsidP="001A5BF9">
            <w:pPr>
              <w:rPr>
                <w:rFonts w:eastAsia="SimSun" w:cs="Arial"/>
                <w:sz w:val="16"/>
                <w:szCs w:val="16"/>
              </w:rPr>
            </w:pPr>
            <w:r w:rsidRPr="00B76999">
              <w:rPr>
                <w:sz w:val="16"/>
              </w:rPr>
              <w:t>Utilisation des contributions de l</w:t>
            </w:r>
            <w:r w:rsidR="00A20444" w:rsidRPr="00B76999">
              <w:rPr>
                <w:sz w:val="16"/>
              </w:rPr>
              <w:t>’</w:t>
            </w:r>
            <w:r w:rsidRPr="00B76999">
              <w:rPr>
                <w:sz w:val="16"/>
              </w:rPr>
              <w:t>OMPI dans les rapports, les résolutions et les documents des processus ciblés</w:t>
            </w:r>
          </w:p>
          <w:p w:rsidR="00C82EE5" w:rsidRPr="005C7CCE" w:rsidRDefault="00C82EE5" w:rsidP="001A5BF9">
            <w:pPr>
              <w:rPr>
                <w:rFonts w:eastAsia="SimSun" w:cs="Arial"/>
                <w:color w:val="000000"/>
                <w:sz w:val="16"/>
                <w:szCs w:val="16"/>
              </w:rPr>
            </w:pPr>
          </w:p>
        </w:tc>
        <w:tc>
          <w:tcPr>
            <w:tcW w:w="998" w:type="pct"/>
            <w:shd w:val="clear" w:color="auto" w:fill="auto"/>
          </w:tcPr>
          <w:p w:rsidR="00D42474" w:rsidRDefault="00C82EE5" w:rsidP="001A5BF9">
            <w:pPr>
              <w:rPr>
                <w:rFonts w:eastAsia="Calibri" w:cs="Arial"/>
                <w:i/>
                <w:color w:val="002060"/>
                <w:sz w:val="16"/>
                <w:szCs w:val="16"/>
              </w:rPr>
            </w:pPr>
            <w:r w:rsidRPr="005C7CCE">
              <w:rPr>
                <w:i/>
                <w:color w:val="002060"/>
                <w:sz w:val="16"/>
              </w:rPr>
              <w:t xml:space="preserve">Niveau de référence actualisé fin 2011 : </w:t>
            </w:r>
            <w:r w:rsidRPr="005C7CCE">
              <w:rPr>
                <w:color w:val="002060"/>
                <w:sz w:val="16"/>
              </w:rPr>
              <w:t>20 sur 24 soumissions (2010</w:t>
            </w:r>
            <w:r w:rsidR="002D6F2A" w:rsidRPr="005C7CCE">
              <w:rPr>
                <w:color w:val="002060"/>
                <w:sz w:val="16"/>
              </w:rPr>
              <w:noBreakHyphen/>
            </w:r>
            <w:r w:rsidRPr="005C7CCE">
              <w:rPr>
                <w:color w:val="002060"/>
                <w:sz w:val="16"/>
              </w:rPr>
              <w:t>2011)</w:t>
            </w:r>
          </w:p>
          <w:p w:rsidR="00D42474" w:rsidRDefault="00D42474" w:rsidP="001A5BF9">
            <w:pPr>
              <w:rPr>
                <w:rFonts w:cs="Arial"/>
                <w:i/>
                <w:color w:val="002060"/>
                <w:sz w:val="8"/>
                <w:szCs w:val="8"/>
              </w:rPr>
            </w:pPr>
          </w:p>
          <w:p w:rsidR="00C82EE5" w:rsidRPr="005C7CCE" w:rsidRDefault="00C82EE5" w:rsidP="001A5BF9">
            <w:pPr>
              <w:rPr>
                <w:rFonts w:eastAsia="SimSun" w:cs="Arial"/>
                <w:color w:val="000000"/>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w:t>
            </w:r>
            <w:r w:rsidRPr="005C7CCE">
              <w:rPr>
                <w:color w:val="000000"/>
                <w:sz w:val="16"/>
              </w:rPr>
              <w:t>données non disponibles</w:t>
            </w:r>
          </w:p>
        </w:tc>
        <w:tc>
          <w:tcPr>
            <w:tcW w:w="901" w:type="pct"/>
            <w:shd w:val="clear" w:color="auto" w:fill="auto"/>
            <w:tcMar>
              <w:top w:w="110" w:type="dxa"/>
            </w:tcMar>
          </w:tcPr>
          <w:p w:rsidR="00D42474" w:rsidRDefault="00C82EE5" w:rsidP="001A5BF9">
            <w:pPr>
              <w:rPr>
                <w:rFonts w:eastAsia="SimSun" w:cs="Arial"/>
                <w:sz w:val="16"/>
                <w:szCs w:val="16"/>
              </w:rPr>
            </w:pPr>
            <w:r w:rsidRPr="005C7CCE">
              <w:rPr>
                <w:sz w:val="16"/>
              </w:rPr>
              <w:t>100</w:t>
            </w:r>
            <w:r w:rsidR="007E442D" w:rsidRPr="005C7CCE">
              <w:rPr>
                <w:sz w:val="16"/>
              </w:rPr>
              <w:t>%</w:t>
            </w:r>
          </w:p>
          <w:p w:rsidR="00C82EE5" w:rsidRPr="005C7CCE" w:rsidRDefault="00C82EE5" w:rsidP="001A5BF9">
            <w:pPr>
              <w:rPr>
                <w:rFonts w:eastAsia="SimSun" w:cs="Arial"/>
                <w:sz w:val="16"/>
                <w:szCs w:val="16"/>
                <w:lang w:bidi="th-TH"/>
              </w:rPr>
            </w:pPr>
          </w:p>
        </w:tc>
        <w:tc>
          <w:tcPr>
            <w:tcW w:w="1375" w:type="pct"/>
            <w:shd w:val="clear" w:color="auto" w:fill="FFFFFF"/>
            <w:tcMar>
              <w:top w:w="110" w:type="dxa"/>
            </w:tcMar>
          </w:tcPr>
          <w:p w:rsidR="00C82EE5" w:rsidRPr="005C7CCE" w:rsidRDefault="00C82EE5" w:rsidP="001A5BF9">
            <w:pPr>
              <w:rPr>
                <w:rFonts w:eastAsia="SimSun" w:cs="Arial"/>
                <w:sz w:val="16"/>
                <w:szCs w:val="16"/>
              </w:rPr>
            </w:pPr>
            <w:r w:rsidRPr="00B76999">
              <w:rPr>
                <w:sz w:val="16"/>
              </w:rPr>
              <w:t>38 contributions en</w:t>
            </w:r>
            <w:r w:rsidR="0010442A" w:rsidRPr="00B76999">
              <w:rPr>
                <w:sz w:val="16"/>
              </w:rPr>
              <w:t> </w:t>
            </w:r>
            <w:r w:rsidRPr="00B76999">
              <w:rPr>
                <w:sz w:val="16"/>
              </w:rPr>
              <w:t>2012</w:t>
            </w:r>
            <w:r w:rsidR="002D6F2A" w:rsidRPr="00B76999">
              <w:rPr>
                <w:sz w:val="16"/>
              </w:rPr>
              <w:noBreakHyphen/>
            </w:r>
            <w:r w:rsidRPr="00B76999">
              <w:rPr>
                <w:sz w:val="16"/>
              </w:rPr>
              <w:t>2013 qui toutes ont été accueillies avec satisfaction.</w:t>
            </w:r>
          </w:p>
        </w:tc>
        <w:tc>
          <w:tcPr>
            <w:tcW w:w="683" w:type="pct"/>
            <w:shd w:val="clear" w:color="auto" w:fill="auto"/>
            <w:tcMar>
              <w:top w:w="110" w:type="dxa"/>
            </w:tcMar>
          </w:tcPr>
          <w:p w:rsidR="00C82EE5" w:rsidRPr="005C7CCE" w:rsidRDefault="00C82EE5" w:rsidP="001A5BF9">
            <w:pPr>
              <w:keepNext/>
              <w:keepLines/>
              <w:jc w:val="center"/>
              <w:rPr>
                <w:rFonts w:eastAsia="SimSun" w:cs="Arial"/>
                <w:bCs/>
                <w:color w:val="008000"/>
                <w:sz w:val="16"/>
                <w:szCs w:val="16"/>
              </w:rPr>
            </w:pPr>
            <w:r w:rsidRPr="00B470C6">
              <w:rPr>
                <w:color w:val="008000"/>
                <w:sz w:val="16"/>
              </w:rPr>
              <w:t>Objectif pleinement atteint</w:t>
            </w:r>
          </w:p>
        </w:tc>
      </w:tr>
      <w:tr w:rsidR="00C82EE5" w:rsidRPr="00B76999" w:rsidTr="0056083E">
        <w:tc>
          <w:tcPr>
            <w:tcW w:w="1043" w:type="pct"/>
            <w:shd w:val="clear" w:color="auto" w:fill="auto"/>
          </w:tcPr>
          <w:p w:rsidR="00C82EE5" w:rsidRPr="00B76999" w:rsidRDefault="00C82EE5" w:rsidP="001A5BF9">
            <w:pPr>
              <w:rPr>
                <w:rFonts w:eastAsia="SimSun" w:cs="Arial"/>
                <w:sz w:val="16"/>
                <w:szCs w:val="16"/>
              </w:rPr>
            </w:pPr>
            <w:r w:rsidRPr="00B76999">
              <w:rPr>
                <w:sz w:val="16"/>
              </w:rPr>
              <w:t>Retours d</w:t>
            </w:r>
            <w:r w:rsidR="00A20444" w:rsidRPr="00B76999">
              <w:rPr>
                <w:sz w:val="16"/>
              </w:rPr>
              <w:t>’</w:t>
            </w:r>
            <w:r w:rsidRPr="00B76999">
              <w:rPr>
                <w:sz w:val="16"/>
              </w:rPr>
              <w:t>information concernant la contribution ou la participation de l</w:t>
            </w:r>
            <w:r w:rsidR="00A20444" w:rsidRPr="00B76999">
              <w:rPr>
                <w:sz w:val="16"/>
              </w:rPr>
              <w:t>’</w:t>
            </w:r>
            <w:r w:rsidRPr="00B76999">
              <w:rPr>
                <w:sz w:val="16"/>
              </w:rPr>
              <w:t xml:space="preserve">OMPI aux processus et forums des </w:t>
            </w:r>
            <w:r w:rsidR="00A20444" w:rsidRPr="00B76999">
              <w:rPr>
                <w:sz w:val="16"/>
              </w:rPr>
              <w:t>Nations Unies</w:t>
            </w:r>
            <w:r w:rsidRPr="00B76999">
              <w:rPr>
                <w:sz w:val="16"/>
              </w:rPr>
              <w:t xml:space="preserve"> et des autres organisations intergouvernementales.</w:t>
            </w:r>
          </w:p>
        </w:tc>
        <w:tc>
          <w:tcPr>
            <w:tcW w:w="998" w:type="pct"/>
            <w:shd w:val="clear" w:color="auto" w:fill="auto"/>
          </w:tcPr>
          <w:p w:rsidR="00C82EE5" w:rsidRPr="00B76999" w:rsidRDefault="00C82EE5" w:rsidP="001A5BF9">
            <w:pPr>
              <w:rPr>
                <w:rFonts w:eastAsia="SimSun" w:cs="Arial"/>
                <w:sz w:val="16"/>
                <w:szCs w:val="16"/>
              </w:rPr>
            </w:pPr>
            <w:r w:rsidRPr="00B76999">
              <w:rPr>
                <w:sz w:val="16"/>
              </w:rPr>
              <w:t>Données non disponibles</w:t>
            </w:r>
          </w:p>
        </w:tc>
        <w:tc>
          <w:tcPr>
            <w:tcW w:w="901" w:type="pct"/>
            <w:shd w:val="clear" w:color="auto" w:fill="auto"/>
            <w:tcMar>
              <w:top w:w="110" w:type="dxa"/>
            </w:tcMar>
          </w:tcPr>
          <w:p w:rsidR="00C82EE5" w:rsidRPr="00B76999" w:rsidRDefault="00C82EE5" w:rsidP="001A5BF9">
            <w:pPr>
              <w:rPr>
                <w:rFonts w:eastAsia="SimSun" w:cs="Arial"/>
                <w:sz w:val="16"/>
                <w:szCs w:val="16"/>
              </w:rPr>
            </w:pPr>
            <w:r w:rsidRPr="00B76999">
              <w:rPr>
                <w:sz w:val="16"/>
              </w:rPr>
              <w:t>Évaluations positives concernant la contribution ou la participation de l</w:t>
            </w:r>
            <w:r w:rsidR="00A20444" w:rsidRPr="00B76999">
              <w:rPr>
                <w:sz w:val="16"/>
              </w:rPr>
              <w:t>’</w:t>
            </w:r>
            <w:r w:rsidRPr="00B76999">
              <w:rPr>
                <w:sz w:val="16"/>
              </w:rPr>
              <w:t>OMPI</w:t>
            </w:r>
          </w:p>
        </w:tc>
        <w:tc>
          <w:tcPr>
            <w:tcW w:w="1375" w:type="pct"/>
            <w:shd w:val="clear" w:color="auto" w:fill="FFFFFF"/>
            <w:tcMar>
              <w:top w:w="110" w:type="dxa"/>
            </w:tcMar>
          </w:tcPr>
          <w:p w:rsidR="00C82EE5" w:rsidRPr="00B76999" w:rsidRDefault="00C82EE5" w:rsidP="001A5BF9">
            <w:pPr>
              <w:rPr>
                <w:rFonts w:eastAsia="SimSun" w:cs="Arial"/>
                <w:sz w:val="16"/>
                <w:szCs w:val="16"/>
              </w:rPr>
            </w:pPr>
            <w:r w:rsidRPr="00B76999">
              <w:rPr>
                <w:sz w:val="16"/>
              </w:rPr>
              <w:t>Données non disponibles</w:t>
            </w:r>
          </w:p>
        </w:tc>
        <w:tc>
          <w:tcPr>
            <w:tcW w:w="683" w:type="pct"/>
            <w:shd w:val="clear" w:color="auto" w:fill="auto"/>
            <w:tcMar>
              <w:top w:w="110" w:type="dxa"/>
            </w:tcMar>
          </w:tcPr>
          <w:p w:rsidR="00C82EE5" w:rsidRPr="00B76999" w:rsidRDefault="00C82EE5" w:rsidP="001A5BF9">
            <w:pPr>
              <w:keepNext/>
              <w:keepLines/>
              <w:jc w:val="center"/>
              <w:rPr>
                <w:rFonts w:eastAsia="SimSun" w:cs="Arial"/>
                <w:sz w:val="16"/>
                <w:szCs w:val="16"/>
              </w:rPr>
            </w:pPr>
            <w:r w:rsidRPr="00B76999">
              <w:rPr>
                <w:sz w:val="16"/>
              </w:rPr>
              <w:t>Objectif abandonné</w:t>
            </w:r>
          </w:p>
        </w:tc>
      </w:tr>
      <w:tr w:rsidR="00C82EE5" w:rsidRPr="005C7CCE" w:rsidTr="0056083E">
        <w:tc>
          <w:tcPr>
            <w:tcW w:w="1043" w:type="pct"/>
            <w:shd w:val="clear" w:color="auto" w:fill="auto"/>
          </w:tcPr>
          <w:p w:rsidR="00C82EE5" w:rsidRPr="00B76999" w:rsidRDefault="00C82EE5" w:rsidP="001A5BF9">
            <w:pPr>
              <w:rPr>
                <w:rFonts w:eastAsia="SimSun" w:cs="Arial"/>
                <w:sz w:val="16"/>
                <w:szCs w:val="16"/>
              </w:rPr>
            </w:pPr>
            <w:r w:rsidRPr="00B76999">
              <w:rPr>
                <w:sz w:val="16"/>
              </w:rPr>
              <w:t xml:space="preserve">Pourcentage de réponses aux demandes externes de contributions émanant des </w:t>
            </w:r>
            <w:r w:rsidR="00A20444" w:rsidRPr="00B76999">
              <w:rPr>
                <w:sz w:val="16"/>
              </w:rPr>
              <w:t>Nations Unies</w:t>
            </w:r>
            <w:r w:rsidRPr="00B76999">
              <w:rPr>
                <w:sz w:val="16"/>
              </w:rPr>
              <w:t>, des organisations intergouvernementales, etc., soumises à temps</w:t>
            </w:r>
          </w:p>
        </w:tc>
        <w:tc>
          <w:tcPr>
            <w:tcW w:w="998" w:type="pct"/>
            <w:shd w:val="clear" w:color="auto" w:fill="auto"/>
          </w:tcPr>
          <w:p w:rsidR="00D42474" w:rsidRDefault="00C82EE5" w:rsidP="001A5BF9">
            <w:pPr>
              <w:rPr>
                <w:rFonts w:cs="Arial"/>
                <w:i/>
                <w:color w:val="002060"/>
                <w:sz w:val="16"/>
                <w:szCs w:val="16"/>
              </w:rPr>
            </w:pPr>
            <w:r w:rsidRPr="005C7CCE">
              <w:rPr>
                <w:i/>
                <w:color w:val="002060"/>
                <w:sz w:val="16"/>
              </w:rPr>
              <w:t>Niveau de</w:t>
            </w:r>
            <w:r w:rsidR="003F6CFA" w:rsidRPr="005C7CCE">
              <w:rPr>
                <w:i/>
                <w:color w:val="002060"/>
                <w:sz w:val="16"/>
              </w:rPr>
              <w:t xml:space="preserve"> référence actualisé fin 2011 :</w:t>
            </w:r>
            <w:r w:rsidR="003F6CFA" w:rsidRPr="005C7CCE">
              <w:rPr>
                <w:i/>
                <w:color w:val="002060"/>
                <w:sz w:val="16"/>
              </w:rPr>
              <w:br/>
            </w:r>
            <w:r w:rsidRPr="005C7CCE">
              <w:rPr>
                <w:color w:val="002060"/>
                <w:sz w:val="16"/>
              </w:rPr>
              <w:t>80</w:t>
            </w:r>
            <w:r w:rsidR="007E442D" w:rsidRPr="005C7CCE">
              <w:rPr>
                <w:color w:val="002060"/>
                <w:sz w:val="16"/>
              </w:rPr>
              <w:t>%</w:t>
            </w:r>
          </w:p>
          <w:p w:rsidR="00D42474" w:rsidRDefault="00D42474" w:rsidP="001A5BF9">
            <w:pPr>
              <w:rPr>
                <w:rFonts w:cs="Arial"/>
                <w:i/>
                <w:color w:val="002060"/>
                <w:sz w:val="8"/>
                <w:szCs w:val="8"/>
              </w:rPr>
            </w:pPr>
          </w:p>
          <w:p w:rsidR="00C82EE5" w:rsidRPr="005C7CCE" w:rsidRDefault="00C82EE5" w:rsidP="001A5BF9">
            <w:pPr>
              <w:rPr>
                <w:rFonts w:eastAsia="SimSun" w:cs="Arial"/>
                <w:color w:val="000000"/>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w:t>
            </w:r>
            <w:r w:rsidRPr="005C7CCE">
              <w:rPr>
                <w:color w:val="000000"/>
                <w:sz w:val="16"/>
              </w:rPr>
              <w:t>données non disponibles</w:t>
            </w:r>
          </w:p>
        </w:tc>
        <w:tc>
          <w:tcPr>
            <w:tcW w:w="901" w:type="pct"/>
            <w:shd w:val="clear" w:color="auto" w:fill="auto"/>
            <w:tcMar>
              <w:top w:w="110" w:type="dxa"/>
            </w:tcMar>
          </w:tcPr>
          <w:p w:rsidR="00C82EE5" w:rsidRPr="005C7CCE" w:rsidRDefault="00C82EE5" w:rsidP="001A5BF9">
            <w:pPr>
              <w:rPr>
                <w:rFonts w:eastAsia="SimSun" w:cs="Arial"/>
                <w:sz w:val="16"/>
                <w:szCs w:val="16"/>
                <w:lang w:bidi="th-TH"/>
              </w:rPr>
            </w:pPr>
            <w:r w:rsidRPr="005C7CCE">
              <w:rPr>
                <w:sz w:val="16"/>
              </w:rPr>
              <w:t>100</w:t>
            </w:r>
            <w:r w:rsidR="007E442D" w:rsidRPr="005C7CCE">
              <w:rPr>
                <w:sz w:val="16"/>
              </w:rPr>
              <w:t>%</w:t>
            </w:r>
          </w:p>
        </w:tc>
        <w:tc>
          <w:tcPr>
            <w:tcW w:w="1375" w:type="pct"/>
            <w:shd w:val="clear" w:color="auto" w:fill="FFFFFF"/>
            <w:tcMar>
              <w:top w:w="110" w:type="dxa"/>
            </w:tcMar>
          </w:tcPr>
          <w:p w:rsidR="00C82EE5" w:rsidRPr="005C7CCE" w:rsidRDefault="00C82EE5" w:rsidP="001A5BF9">
            <w:pPr>
              <w:rPr>
                <w:rFonts w:eastAsia="SimSun" w:cs="Arial"/>
                <w:sz w:val="16"/>
                <w:szCs w:val="16"/>
              </w:rPr>
            </w:pPr>
            <w:r w:rsidRPr="00B76999">
              <w:rPr>
                <w:sz w:val="16"/>
              </w:rPr>
              <w:t>90,5</w:t>
            </w:r>
            <w:r w:rsidR="007E442D" w:rsidRPr="00B76999">
              <w:rPr>
                <w:sz w:val="16"/>
              </w:rPr>
              <w:t>%</w:t>
            </w:r>
            <w:r w:rsidRPr="00B76999">
              <w:rPr>
                <w:sz w:val="16"/>
              </w:rPr>
              <w:t xml:space="preserve"> traitées dans les cinq</w:t>
            </w:r>
            <w:r w:rsidR="0010442A" w:rsidRPr="00B76999">
              <w:rPr>
                <w:sz w:val="16"/>
              </w:rPr>
              <w:t> </w:t>
            </w:r>
            <w:r w:rsidRPr="00B76999">
              <w:rPr>
                <w:sz w:val="16"/>
              </w:rPr>
              <w:t>jours de travail</w:t>
            </w:r>
          </w:p>
        </w:tc>
        <w:tc>
          <w:tcPr>
            <w:tcW w:w="683" w:type="pct"/>
            <w:shd w:val="clear" w:color="auto" w:fill="auto"/>
            <w:tcMar>
              <w:top w:w="110" w:type="dxa"/>
            </w:tcMar>
          </w:tcPr>
          <w:p w:rsidR="00C82EE5" w:rsidRPr="005C7CCE" w:rsidRDefault="00C82EE5" w:rsidP="001A5BF9">
            <w:pPr>
              <w:keepNext/>
              <w:keepLines/>
              <w:jc w:val="center"/>
              <w:rPr>
                <w:rFonts w:eastAsia="SimSun" w:cs="Arial"/>
                <w:bCs/>
                <w:color w:val="008000"/>
                <w:sz w:val="16"/>
                <w:szCs w:val="16"/>
              </w:rPr>
            </w:pPr>
            <w:r w:rsidRPr="00B470C6">
              <w:rPr>
                <w:color w:val="008000"/>
                <w:sz w:val="16"/>
              </w:rPr>
              <w:t>Objectif pleinement atteint</w:t>
            </w:r>
          </w:p>
        </w:tc>
      </w:tr>
      <w:tr w:rsidR="00C82EE5" w:rsidRPr="005C7CCE" w:rsidTr="0056083E">
        <w:tc>
          <w:tcPr>
            <w:tcW w:w="1043" w:type="pct"/>
            <w:tcBorders>
              <w:bottom w:val="single" w:sz="4" w:space="0" w:color="auto"/>
            </w:tcBorders>
            <w:shd w:val="clear" w:color="auto" w:fill="auto"/>
          </w:tcPr>
          <w:p w:rsidR="00C82EE5" w:rsidRPr="00B76999" w:rsidRDefault="00C82EE5" w:rsidP="001A5BF9">
            <w:pPr>
              <w:rPr>
                <w:rFonts w:eastAsia="SimSun" w:cs="Arial"/>
                <w:sz w:val="16"/>
                <w:szCs w:val="16"/>
              </w:rPr>
            </w:pPr>
            <w:r w:rsidRPr="00B76999">
              <w:rPr>
                <w:sz w:val="16"/>
              </w:rPr>
              <w:t>Nombre d</w:t>
            </w:r>
            <w:r w:rsidR="00A20444" w:rsidRPr="00B76999">
              <w:rPr>
                <w:sz w:val="16"/>
              </w:rPr>
              <w:t>’</w:t>
            </w:r>
            <w:r w:rsidRPr="00B76999">
              <w:rPr>
                <w:sz w:val="16"/>
              </w:rPr>
              <w:t>activités et de plans de travail communs mis en œuvre et examinés conformément aux accords avec des organisations partenaires (</w:t>
            </w:r>
            <w:proofErr w:type="spellStart"/>
            <w:r w:rsidRPr="00B76999">
              <w:rPr>
                <w:sz w:val="16"/>
              </w:rPr>
              <w:t>mémorandums</w:t>
            </w:r>
            <w:proofErr w:type="spellEnd"/>
            <w:r w:rsidRPr="00B76999">
              <w:rPr>
                <w:sz w:val="16"/>
              </w:rPr>
              <w:t xml:space="preserve"> d</w:t>
            </w:r>
            <w:r w:rsidR="00A20444" w:rsidRPr="00B76999">
              <w:rPr>
                <w:sz w:val="16"/>
              </w:rPr>
              <w:t>’</w:t>
            </w:r>
            <w:r w:rsidRPr="00B76999">
              <w:rPr>
                <w:sz w:val="16"/>
              </w:rPr>
              <w:t>accord nouveaux et actuels avec des organisations intergouvernementales)</w:t>
            </w:r>
          </w:p>
        </w:tc>
        <w:tc>
          <w:tcPr>
            <w:tcW w:w="998" w:type="pct"/>
            <w:tcBorders>
              <w:bottom w:val="single" w:sz="4" w:space="0" w:color="auto"/>
            </w:tcBorders>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indiqué dans les programmes concernés pour 2010</w:t>
            </w:r>
            <w:r w:rsidR="002D6F2A" w:rsidRPr="005C7CCE">
              <w:rPr>
                <w:color w:val="002060"/>
                <w:sz w:val="16"/>
              </w:rPr>
              <w:noBreakHyphen/>
            </w:r>
            <w:r w:rsidRPr="005C7CCE">
              <w:rPr>
                <w:color w:val="002060"/>
                <w:sz w:val="16"/>
              </w:rPr>
              <w:t>2011</w:t>
            </w:r>
          </w:p>
          <w:p w:rsidR="00D42474" w:rsidRDefault="00D42474" w:rsidP="001A5BF9">
            <w:pPr>
              <w:rPr>
                <w:rFonts w:cs="Arial"/>
                <w:i/>
                <w:sz w:val="8"/>
                <w:szCs w:val="8"/>
              </w:rPr>
            </w:pPr>
          </w:p>
          <w:p w:rsidR="00D42474" w:rsidRDefault="00C82EE5" w:rsidP="001A5BF9">
            <w:pPr>
              <w:rPr>
                <w:rFonts w:eastAsia="SimSun"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données non disponibles</w:t>
            </w:r>
          </w:p>
          <w:p w:rsidR="00C82EE5" w:rsidRPr="005C7CCE" w:rsidRDefault="00C82EE5" w:rsidP="001A5BF9">
            <w:pPr>
              <w:rPr>
                <w:rFonts w:eastAsia="SimSun" w:cs="Arial"/>
                <w:color w:val="000000"/>
                <w:sz w:val="16"/>
                <w:szCs w:val="16"/>
              </w:rPr>
            </w:pPr>
          </w:p>
        </w:tc>
        <w:tc>
          <w:tcPr>
            <w:tcW w:w="901" w:type="pct"/>
            <w:tcBorders>
              <w:bottom w:val="single" w:sz="4" w:space="0" w:color="auto"/>
            </w:tcBorders>
            <w:shd w:val="clear" w:color="auto" w:fill="auto"/>
            <w:tcMar>
              <w:top w:w="110" w:type="dxa"/>
            </w:tcMar>
          </w:tcPr>
          <w:p w:rsidR="00D42474" w:rsidRDefault="00C82EE5" w:rsidP="001A5BF9">
            <w:pPr>
              <w:rPr>
                <w:rFonts w:eastAsia="SimSun" w:cs="Arial"/>
                <w:sz w:val="16"/>
                <w:szCs w:val="16"/>
              </w:rPr>
            </w:pPr>
            <w:r w:rsidRPr="005C7CCE">
              <w:rPr>
                <w:sz w:val="16"/>
              </w:rPr>
              <w:t>Activités : 8</w:t>
            </w:r>
          </w:p>
          <w:p w:rsidR="00C82EE5" w:rsidRPr="005C7CCE" w:rsidRDefault="00C82EE5" w:rsidP="001A5BF9">
            <w:pPr>
              <w:rPr>
                <w:rFonts w:eastAsia="SimSun" w:cs="Arial"/>
                <w:sz w:val="16"/>
                <w:szCs w:val="16"/>
              </w:rPr>
            </w:pPr>
            <w:r w:rsidRPr="005C7CCE">
              <w:rPr>
                <w:sz w:val="16"/>
              </w:rPr>
              <w:t>Plans de travail : 4</w:t>
            </w:r>
          </w:p>
        </w:tc>
        <w:tc>
          <w:tcPr>
            <w:tcW w:w="1375" w:type="pct"/>
            <w:tcBorders>
              <w:bottom w:val="single" w:sz="4" w:space="0" w:color="auto"/>
            </w:tcBorders>
            <w:shd w:val="clear" w:color="auto" w:fill="FFFFFF"/>
            <w:tcMar>
              <w:top w:w="110" w:type="dxa"/>
            </w:tcMar>
          </w:tcPr>
          <w:p w:rsidR="00D42474" w:rsidRDefault="00C82EE5" w:rsidP="001A5BF9">
            <w:pPr>
              <w:rPr>
                <w:rFonts w:eastAsia="SimSun" w:cs="Arial"/>
                <w:sz w:val="16"/>
                <w:szCs w:val="16"/>
              </w:rPr>
            </w:pPr>
            <w:r w:rsidRPr="005C7CCE">
              <w:rPr>
                <w:sz w:val="16"/>
              </w:rPr>
              <w:t>Activités : 17</w:t>
            </w:r>
          </w:p>
          <w:p w:rsidR="00C82EE5" w:rsidRPr="005C7CCE" w:rsidRDefault="00C82EE5" w:rsidP="001A5BF9">
            <w:pPr>
              <w:rPr>
                <w:rFonts w:eastAsia="SimSun" w:cs="Arial"/>
                <w:sz w:val="16"/>
                <w:szCs w:val="16"/>
              </w:rPr>
            </w:pPr>
            <w:r w:rsidRPr="005C7CCE">
              <w:rPr>
                <w:sz w:val="16"/>
              </w:rPr>
              <w:t>Plans de travail : 4</w:t>
            </w:r>
          </w:p>
        </w:tc>
        <w:tc>
          <w:tcPr>
            <w:tcW w:w="683" w:type="pct"/>
            <w:tcBorders>
              <w:bottom w:val="single" w:sz="4" w:space="0" w:color="auto"/>
            </w:tcBorders>
            <w:shd w:val="clear" w:color="auto" w:fill="auto"/>
            <w:tcMar>
              <w:top w:w="110" w:type="dxa"/>
            </w:tcMar>
          </w:tcPr>
          <w:p w:rsidR="00C82EE5" w:rsidRPr="005C7CCE" w:rsidRDefault="00C82EE5" w:rsidP="001A5BF9">
            <w:pPr>
              <w:keepNext/>
              <w:keepLines/>
              <w:jc w:val="center"/>
              <w:rPr>
                <w:rFonts w:eastAsia="SimSun" w:cs="Arial"/>
                <w:bCs/>
                <w:color w:val="008000"/>
                <w:sz w:val="16"/>
                <w:szCs w:val="16"/>
              </w:rPr>
            </w:pPr>
            <w:r w:rsidRPr="00B470C6">
              <w:rPr>
                <w:color w:val="008000"/>
                <w:sz w:val="16"/>
              </w:rPr>
              <w:t>Objectif pleinement atteint</w:t>
            </w:r>
          </w:p>
        </w:tc>
      </w:tr>
      <w:tr w:rsidR="00C82EE5" w:rsidRPr="002D02F3" w:rsidTr="0056083E">
        <w:tc>
          <w:tcPr>
            <w:tcW w:w="5000" w:type="pct"/>
            <w:gridSpan w:val="5"/>
            <w:tcBorders>
              <w:top w:val="single" w:sz="4" w:space="0" w:color="auto"/>
              <w:bottom w:val="single" w:sz="4" w:space="0" w:color="auto"/>
            </w:tcBorders>
            <w:shd w:val="clear" w:color="auto" w:fill="CCFFFF"/>
            <w:vAlign w:val="center"/>
          </w:tcPr>
          <w:p w:rsidR="00C82EE5" w:rsidRPr="002D02F3" w:rsidRDefault="00C82EE5" w:rsidP="00B76999">
            <w:pPr>
              <w:tabs>
                <w:tab w:val="left" w:pos="1452"/>
              </w:tabs>
              <w:spacing w:before="120" w:after="120"/>
              <w:ind w:left="1452" w:hanging="1452"/>
              <w:rPr>
                <w:rFonts w:eastAsia="SimSun"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Échanges ouverts, transparents et dynamiques avec</w:t>
            </w:r>
            <w:r w:rsidR="00A20444" w:rsidRPr="002D02F3">
              <w:rPr>
                <w:sz w:val="16"/>
              </w:rPr>
              <w:t xml:space="preserve"> les ONG</w:t>
            </w:r>
          </w:p>
        </w:tc>
      </w:tr>
      <w:tr w:rsidR="00C82EE5" w:rsidRPr="002D02F3" w:rsidTr="0056083E">
        <w:tc>
          <w:tcPr>
            <w:tcW w:w="1043" w:type="pct"/>
            <w:tcBorders>
              <w:top w:val="single" w:sz="4" w:space="0" w:color="auto"/>
            </w:tcBorders>
            <w:shd w:val="clear" w:color="auto" w:fill="auto"/>
            <w:vAlign w:val="center"/>
          </w:tcPr>
          <w:p w:rsidR="00C82EE5" w:rsidRPr="002D02F3" w:rsidRDefault="00C82EE5" w:rsidP="00B76999">
            <w:pPr>
              <w:rPr>
                <w:rFonts w:eastAsia="SimSun" w:cs="Arial"/>
                <w:b/>
                <w:sz w:val="16"/>
                <w:szCs w:val="16"/>
              </w:rPr>
            </w:pPr>
            <w:r w:rsidRPr="002D02F3">
              <w:rPr>
                <w:b/>
                <w:sz w:val="16"/>
              </w:rPr>
              <w:t>Indicateurs d</w:t>
            </w:r>
            <w:r w:rsidR="00A20444" w:rsidRPr="002D02F3">
              <w:rPr>
                <w:b/>
                <w:sz w:val="16"/>
              </w:rPr>
              <w:t>’</w:t>
            </w:r>
            <w:r w:rsidRPr="002D02F3">
              <w:rPr>
                <w:b/>
                <w:sz w:val="16"/>
              </w:rPr>
              <w:t>exécution</w:t>
            </w:r>
          </w:p>
        </w:tc>
        <w:tc>
          <w:tcPr>
            <w:tcW w:w="998" w:type="pct"/>
            <w:tcBorders>
              <w:top w:val="single" w:sz="4" w:space="0" w:color="auto"/>
            </w:tcBorders>
            <w:shd w:val="clear" w:color="auto" w:fill="auto"/>
            <w:vAlign w:val="center"/>
          </w:tcPr>
          <w:p w:rsidR="00C82EE5" w:rsidRPr="002D02F3" w:rsidRDefault="00C82EE5" w:rsidP="00B76999">
            <w:pPr>
              <w:rPr>
                <w:rFonts w:eastAsia="SimSun" w:cs="Arial"/>
                <w:b/>
                <w:bCs/>
                <w:sz w:val="16"/>
                <w:szCs w:val="16"/>
              </w:rPr>
            </w:pPr>
            <w:r w:rsidRPr="002D02F3">
              <w:rPr>
                <w:b/>
                <w:sz w:val="16"/>
              </w:rPr>
              <w:t>Niveaux de référence</w:t>
            </w:r>
          </w:p>
        </w:tc>
        <w:tc>
          <w:tcPr>
            <w:tcW w:w="901" w:type="pct"/>
            <w:tcBorders>
              <w:top w:val="single" w:sz="4" w:space="0" w:color="auto"/>
            </w:tcBorders>
            <w:shd w:val="clear" w:color="auto" w:fill="auto"/>
            <w:tcMar>
              <w:top w:w="110" w:type="dxa"/>
            </w:tcMar>
            <w:vAlign w:val="center"/>
          </w:tcPr>
          <w:p w:rsidR="00C82EE5" w:rsidRPr="002D02F3" w:rsidRDefault="00C82EE5" w:rsidP="00B76999">
            <w:pPr>
              <w:rPr>
                <w:rFonts w:eastAsia="SimSun" w:cs="Arial"/>
                <w:b/>
                <w:sz w:val="16"/>
                <w:szCs w:val="16"/>
              </w:rPr>
            </w:pPr>
            <w:r w:rsidRPr="002D02F3">
              <w:rPr>
                <w:b/>
                <w:sz w:val="16"/>
              </w:rPr>
              <w:t>Objectifs visés</w:t>
            </w:r>
          </w:p>
        </w:tc>
        <w:tc>
          <w:tcPr>
            <w:tcW w:w="1375" w:type="pct"/>
            <w:tcBorders>
              <w:top w:val="single" w:sz="4" w:space="0" w:color="auto"/>
            </w:tcBorders>
            <w:shd w:val="clear" w:color="auto" w:fill="FFFFFF"/>
            <w:tcMar>
              <w:top w:w="110" w:type="dxa"/>
            </w:tcMar>
            <w:vAlign w:val="center"/>
          </w:tcPr>
          <w:p w:rsidR="00C82EE5" w:rsidRPr="002D02F3" w:rsidRDefault="00C82EE5" w:rsidP="00B76999">
            <w:pPr>
              <w:rPr>
                <w:rFonts w:eastAsia="SimSun" w:cs="Arial"/>
                <w:b/>
                <w:sz w:val="16"/>
                <w:szCs w:val="16"/>
              </w:rPr>
            </w:pPr>
            <w:r w:rsidRPr="002D02F3">
              <w:rPr>
                <w:b/>
                <w:sz w:val="16"/>
              </w:rPr>
              <w:t>Données relatives à l</w:t>
            </w:r>
            <w:r w:rsidR="00A20444" w:rsidRPr="002D02F3">
              <w:rPr>
                <w:b/>
                <w:sz w:val="16"/>
              </w:rPr>
              <w:t>’</w:t>
            </w:r>
            <w:r w:rsidRPr="002D02F3">
              <w:rPr>
                <w:b/>
                <w:sz w:val="16"/>
              </w:rPr>
              <w:t>exécution</w:t>
            </w:r>
          </w:p>
        </w:tc>
        <w:tc>
          <w:tcPr>
            <w:tcW w:w="683" w:type="pct"/>
            <w:tcBorders>
              <w:top w:val="single" w:sz="4" w:space="0" w:color="auto"/>
            </w:tcBorders>
            <w:shd w:val="clear" w:color="auto" w:fill="auto"/>
            <w:tcMar>
              <w:top w:w="110" w:type="dxa"/>
            </w:tcMar>
            <w:vAlign w:val="center"/>
          </w:tcPr>
          <w:p w:rsidR="00C82EE5" w:rsidRPr="002D02F3" w:rsidRDefault="00C82EE5" w:rsidP="00B76999">
            <w:pPr>
              <w:jc w:val="center"/>
              <w:rPr>
                <w:rFonts w:eastAsia="SimSun" w:cs="Arial"/>
                <w:b/>
                <w:bCs/>
                <w:sz w:val="16"/>
                <w:szCs w:val="16"/>
              </w:rPr>
            </w:pPr>
            <w:r w:rsidRPr="002D02F3">
              <w:rPr>
                <w:b/>
                <w:sz w:val="16"/>
              </w:rPr>
              <w:t>Code de couleurs</w:t>
            </w:r>
          </w:p>
        </w:tc>
      </w:tr>
      <w:tr w:rsidR="00C82EE5" w:rsidRPr="005C7CCE" w:rsidTr="0056083E">
        <w:tc>
          <w:tcPr>
            <w:tcW w:w="1043" w:type="pct"/>
            <w:shd w:val="clear" w:color="auto" w:fill="auto"/>
          </w:tcPr>
          <w:p w:rsidR="00C82EE5" w:rsidRPr="005C7CCE" w:rsidRDefault="00C82EE5" w:rsidP="00B76999">
            <w:pPr>
              <w:rPr>
                <w:rFonts w:eastAsia="SimSun" w:cs="Arial"/>
                <w:color w:val="008000"/>
                <w:sz w:val="16"/>
                <w:szCs w:val="16"/>
              </w:rPr>
            </w:pPr>
            <w:r w:rsidRPr="00B76999">
              <w:rPr>
                <w:sz w:val="16"/>
              </w:rPr>
              <w:t>Nombre de séances d</w:t>
            </w:r>
            <w:r w:rsidR="00A20444" w:rsidRPr="00B76999">
              <w:rPr>
                <w:sz w:val="16"/>
              </w:rPr>
              <w:t>’</w:t>
            </w:r>
            <w:r w:rsidRPr="00B76999">
              <w:rPr>
                <w:sz w:val="16"/>
              </w:rPr>
              <w:t>information, de réunions et d</w:t>
            </w:r>
            <w:r w:rsidR="00A20444" w:rsidRPr="00B76999">
              <w:rPr>
                <w:sz w:val="16"/>
              </w:rPr>
              <w:t>’</w:t>
            </w:r>
            <w:r w:rsidRPr="00B76999">
              <w:rPr>
                <w:sz w:val="16"/>
              </w:rPr>
              <w:t>activités organisées à l</w:t>
            </w:r>
            <w:r w:rsidR="00A20444" w:rsidRPr="00B76999">
              <w:rPr>
                <w:sz w:val="16"/>
              </w:rPr>
              <w:t>’</w:t>
            </w:r>
            <w:r w:rsidRPr="00B76999">
              <w:rPr>
                <w:sz w:val="16"/>
              </w:rPr>
              <w:t>intention</w:t>
            </w:r>
            <w:r w:rsidR="00A20444" w:rsidRPr="00B76999">
              <w:rPr>
                <w:sz w:val="16"/>
              </w:rPr>
              <w:t xml:space="preserve"> des ONG</w:t>
            </w:r>
          </w:p>
        </w:tc>
        <w:tc>
          <w:tcPr>
            <w:tcW w:w="998" w:type="pct"/>
            <w:shd w:val="clear" w:color="auto" w:fill="auto"/>
          </w:tcPr>
          <w:p w:rsidR="00D42474" w:rsidRDefault="00C82EE5" w:rsidP="00B76999">
            <w:pPr>
              <w:rPr>
                <w:rFonts w:cs="Arial"/>
                <w:i/>
                <w:color w:val="002060"/>
                <w:sz w:val="16"/>
                <w:szCs w:val="16"/>
              </w:rPr>
            </w:pPr>
            <w:r w:rsidRPr="005C7CCE">
              <w:rPr>
                <w:i/>
                <w:color w:val="002060"/>
                <w:sz w:val="16"/>
              </w:rPr>
              <w:t xml:space="preserve">Niveau de référence actualisé fin 2011 : </w:t>
            </w:r>
            <w:r w:rsidRPr="005C7CCE">
              <w:rPr>
                <w:color w:val="002060"/>
                <w:sz w:val="16"/>
              </w:rPr>
              <w:t>4</w:t>
            </w:r>
          </w:p>
          <w:p w:rsidR="00D42474" w:rsidRDefault="00D42474" w:rsidP="00B76999">
            <w:pPr>
              <w:rPr>
                <w:rFonts w:cs="Arial"/>
                <w:i/>
                <w:color w:val="002060"/>
                <w:sz w:val="8"/>
                <w:szCs w:val="8"/>
              </w:rPr>
            </w:pPr>
          </w:p>
          <w:p w:rsidR="00C82EE5" w:rsidRPr="005C7CCE" w:rsidRDefault="00C82EE5" w:rsidP="00B76999">
            <w:pPr>
              <w:rPr>
                <w:rFonts w:eastAsia="SimSun" w:cs="Arial"/>
                <w:color w:val="000000"/>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w:t>
            </w:r>
            <w:r w:rsidRPr="005C7CCE">
              <w:rPr>
                <w:color w:val="000000"/>
                <w:sz w:val="16"/>
              </w:rPr>
              <w:t>données non disponibles</w:t>
            </w:r>
          </w:p>
        </w:tc>
        <w:tc>
          <w:tcPr>
            <w:tcW w:w="901" w:type="pct"/>
            <w:shd w:val="clear" w:color="auto" w:fill="auto"/>
            <w:tcMar>
              <w:top w:w="110" w:type="dxa"/>
            </w:tcMar>
          </w:tcPr>
          <w:p w:rsidR="00C82EE5" w:rsidRPr="00B76999" w:rsidRDefault="00C82EE5" w:rsidP="00B76999">
            <w:pPr>
              <w:rPr>
                <w:rFonts w:eastAsia="SimSun" w:cs="Arial"/>
                <w:sz w:val="16"/>
                <w:szCs w:val="16"/>
              </w:rPr>
            </w:pPr>
            <w:r w:rsidRPr="00B76999">
              <w:rPr>
                <w:sz w:val="16"/>
              </w:rPr>
              <w:t>4</w:t>
            </w:r>
          </w:p>
        </w:tc>
        <w:tc>
          <w:tcPr>
            <w:tcW w:w="1375" w:type="pct"/>
            <w:shd w:val="clear" w:color="auto" w:fill="FFFFFF"/>
            <w:tcMar>
              <w:top w:w="110" w:type="dxa"/>
            </w:tcMar>
          </w:tcPr>
          <w:p w:rsidR="00C82EE5" w:rsidRPr="00B76999" w:rsidRDefault="00C82EE5" w:rsidP="00B76999">
            <w:pPr>
              <w:rPr>
                <w:rFonts w:eastAsia="SimSun" w:cs="Arial"/>
                <w:sz w:val="16"/>
                <w:szCs w:val="16"/>
              </w:rPr>
            </w:pPr>
            <w:r w:rsidRPr="00B76999">
              <w:rPr>
                <w:sz w:val="16"/>
              </w:rPr>
              <w:t>9</w:t>
            </w:r>
          </w:p>
        </w:tc>
        <w:tc>
          <w:tcPr>
            <w:tcW w:w="683" w:type="pct"/>
            <w:shd w:val="clear" w:color="auto" w:fill="auto"/>
            <w:tcMar>
              <w:top w:w="110" w:type="dxa"/>
            </w:tcMar>
          </w:tcPr>
          <w:p w:rsidR="00C82EE5" w:rsidRPr="005C7CCE" w:rsidRDefault="00C82EE5" w:rsidP="00B76999">
            <w:pPr>
              <w:jc w:val="center"/>
              <w:rPr>
                <w:rFonts w:eastAsia="SimSun" w:cs="Arial"/>
                <w:bCs/>
                <w:color w:val="008000"/>
                <w:sz w:val="16"/>
                <w:szCs w:val="16"/>
              </w:rPr>
            </w:pPr>
            <w:r w:rsidRPr="00B470C6">
              <w:rPr>
                <w:color w:val="008000"/>
                <w:sz w:val="16"/>
              </w:rPr>
              <w:t>Objectif pleinement atteint</w:t>
            </w:r>
          </w:p>
        </w:tc>
      </w:tr>
      <w:tr w:rsidR="00C82EE5" w:rsidRPr="00B76999" w:rsidTr="0056083E">
        <w:tc>
          <w:tcPr>
            <w:tcW w:w="1043" w:type="pct"/>
            <w:tcBorders>
              <w:bottom w:val="single" w:sz="4" w:space="0" w:color="auto"/>
            </w:tcBorders>
            <w:shd w:val="clear" w:color="auto" w:fill="auto"/>
          </w:tcPr>
          <w:p w:rsidR="00C82EE5" w:rsidRPr="00B76999" w:rsidRDefault="00C82EE5" w:rsidP="00B76999">
            <w:pPr>
              <w:keepNext/>
              <w:keepLines/>
              <w:rPr>
                <w:rFonts w:eastAsia="SimSun" w:cs="Arial"/>
                <w:sz w:val="16"/>
                <w:szCs w:val="16"/>
              </w:rPr>
            </w:pPr>
            <w:r w:rsidRPr="00B76999">
              <w:rPr>
                <w:sz w:val="16"/>
              </w:rPr>
              <w:t>Nombre de séances d</w:t>
            </w:r>
            <w:r w:rsidR="00A20444" w:rsidRPr="00B76999">
              <w:rPr>
                <w:sz w:val="16"/>
              </w:rPr>
              <w:t>’</w:t>
            </w:r>
            <w:r w:rsidRPr="00B76999">
              <w:rPr>
                <w:sz w:val="16"/>
              </w:rPr>
              <w:t>information et d</w:t>
            </w:r>
            <w:r w:rsidR="00A20444" w:rsidRPr="00B76999">
              <w:rPr>
                <w:sz w:val="16"/>
              </w:rPr>
              <w:t>’</w:t>
            </w:r>
            <w:r w:rsidRPr="00B76999">
              <w:rPr>
                <w:sz w:val="16"/>
              </w:rPr>
              <w:t>activités organisées à l</w:t>
            </w:r>
            <w:r w:rsidR="00A20444" w:rsidRPr="00B76999">
              <w:rPr>
                <w:sz w:val="16"/>
              </w:rPr>
              <w:t>’</w:t>
            </w:r>
            <w:r w:rsidRPr="00B76999">
              <w:rPr>
                <w:sz w:val="16"/>
              </w:rPr>
              <w:t>intention</w:t>
            </w:r>
            <w:r w:rsidR="00A20444" w:rsidRPr="00B76999">
              <w:rPr>
                <w:sz w:val="16"/>
              </w:rPr>
              <w:t xml:space="preserve"> des ONG</w:t>
            </w:r>
            <w:r w:rsidRPr="00B76999">
              <w:rPr>
                <w:sz w:val="16"/>
              </w:rPr>
              <w:t xml:space="preserve"> des pays en développement et</w:t>
            </w:r>
            <w:r w:rsidR="00A20444" w:rsidRPr="00B76999">
              <w:rPr>
                <w:sz w:val="16"/>
              </w:rPr>
              <w:t xml:space="preserve"> des PMA</w:t>
            </w:r>
          </w:p>
        </w:tc>
        <w:tc>
          <w:tcPr>
            <w:tcW w:w="998" w:type="pct"/>
            <w:tcBorders>
              <w:bottom w:val="single" w:sz="4" w:space="0" w:color="auto"/>
            </w:tcBorders>
            <w:shd w:val="clear" w:color="auto" w:fill="auto"/>
          </w:tcPr>
          <w:p w:rsidR="00C82EE5" w:rsidRPr="00B76999" w:rsidRDefault="00C82EE5" w:rsidP="00B76999">
            <w:pPr>
              <w:keepNext/>
              <w:keepLines/>
              <w:rPr>
                <w:rFonts w:eastAsia="SimSun" w:cs="Arial"/>
                <w:sz w:val="16"/>
                <w:szCs w:val="16"/>
              </w:rPr>
            </w:pPr>
            <w:r w:rsidRPr="00B76999">
              <w:rPr>
                <w:sz w:val="16"/>
              </w:rPr>
              <w:t>Données non disponibles</w:t>
            </w:r>
          </w:p>
        </w:tc>
        <w:tc>
          <w:tcPr>
            <w:tcW w:w="901" w:type="pct"/>
            <w:tcBorders>
              <w:bottom w:val="single" w:sz="4" w:space="0" w:color="auto"/>
            </w:tcBorders>
            <w:shd w:val="clear" w:color="auto" w:fill="auto"/>
            <w:tcMar>
              <w:top w:w="110" w:type="dxa"/>
            </w:tcMar>
          </w:tcPr>
          <w:p w:rsidR="00C82EE5" w:rsidRPr="00B76999" w:rsidRDefault="00C82EE5" w:rsidP="00B76999">
            <w:pPr>
              <w:keepNext/>
              <w:keepLines/>
              <w:rPr>
                <w:rFonts w:eastAsia="SimSun" w:cs="Arial"/>
                <w:sz w:val="16"/>
                <w:szCs w:val="16"/>
              </w:rPr>
            </w:pPr>
            <w:r w:rsidRPr="00B76999">
              <w:rPr>
                <w:sz w:val="16"/>
              </w:rPr>
              <w:t>4</w:t>
            </w:r>
          </w:p>
        </w:tc>
        <w:tc>
          <w:tcPr>
            <w:tcW w:w="1375" w:type="pct"/>
            <w:tcBorders>
              <w:bottom w:val="single" w:sz="4" w:space="0" w:color="auto"/>
            </w:tcBorders>
            <w:shd w:val="clear" w:color="auto" w:fill="FFFFFF"/>
            <w:tcMar>
              <w:top w:w="110" w:type="dxa"/>
            </w:tcMar>
          </w:tcPr>
          <w:p w:rsidR="00C82EE5" w:rsidRPr="00B76999" w:rsidRDefault="00C82EE5" w:rsidP="00B76999">
            <w:pPr>
              <w:keepNext/>
              <w:keepLines/>
              <w:rPr>
                <w:rFonts w:eastAsia="SimSun" w:cs="Arial"/>
                <w:sz w:val="16"/>
                <w:szCs w:val="16"/>
              </w:rPr>
            </w:pPr>
            <w:r w:rsidRPr="00B76999">
              <w:rPr>
                <w:sz w:val="16"/>
              </w:rPr>
              <w:t>Données non disponibles</w:t>
            </w:r>
          </w:p>
        </w:tc>
        <w:tc>
          <w:tcPr>
            <w:tcW w:w="683" w:type="pct"/>
            <w:tcBorders>
              <w:bottom w:val="single" w:sz="4" w:space="0" w:color="auto"/>
            </w:tcBorders>
            <w:shd w:val="clear" w:color="auto" w:fill="auto"/>
            <w:tcMar>
              <w:top w:w="110" w:type="dxa"/>
            </w:tcMar>
          </w:tcPr>
          <w:p w:rsidR="00C82EE5" w:rsidRPr="00B76999" w:rsidRDefault="00C82EE5" w:rsidP="00B76999">
            <w:pPr>
              <w:keepNext/>
              <w:keepLines/>
              <w:jc w:val="center"/>
              <w:rPr>
                <w:rFonts w:eastAsia="SimSun" w:cs="Arial"/>
                <w:sz w:val="16"/>
                <w:szCs w:val="16"/>
              </w:rPr>
            </w:pPr>
            <w:r w:rsidRPr="00B76999">
              <w:rPr>
                <w:sz w:val="16"/>
              </w:rPr>
              <w:t>Objectif abandonné</w:t>
            </w:r>
          </w:p>
        </w:tc>
      </w:tr>
      <w:tr w:rsidR="00C82EE5" w:rsidRPr="002D02F3" w:rsidTr="0056083E">
        <w:tc>
          <w:tcPr>
            <w:tcW w:w="5000" w:type="pct"/>
            <w:gridSpan w:val="5"/>
            <w:tcBorders>
              <w:top w:val="single" w:sz="4" w:space="0" w:color="auto"/>
              <w:bottom w:val="single" w:sz="4" w:space="0" w:color="auto"/>
            </w:tcBorders>
            <w:shd w:val="clear" w:color="auto" w:fill="CCFFFF"/>
            <w:vAlign w:val="center"/>
          </w:tcPr>
          <w:p w:rsidR="00C82EE5" w:rsidRPr="002D02F3" w:rsidRDefault="00C82EE5" w:rsidP="00B76999">
            <w:pPr>
              <w:keepNext/>
              <w:keepLines/>
              <w:tabs>
                <w:tab w:val="left" w:pos="1452"/>
              </w:tabs>
              <w:spacing w:before="120" w:after="120"/>
              <w:ind w:left="1701" w:hanging="1701"/>
              <w:rPr>
                <w:rFonts w:eastAsia="SimSun"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Augmentation des ressources extrabudgétaires disponibles aux fins du développement de la propriété intellectuelle, soit par des contributions directes à l</w:t>
            </w:r>
            <w:r w:rsidR="00A20444" w:rsidRPr="002D02F3">
              <w:rPr>
                <w:sz w:val="16"/>
              </w:rPr>
              <w:t>’</w:t>
            </w:r>
            <w:r w:rsidRPr="002D02F3">
              <w:rPr>
                <w:sz w:val="16"/>
              </w:rPr>
              <w:t>OMPI soit par accès à d</w:t>
            </w:r>
            <w:r w:rsidR="00A20444" w:rsidRPr="002D02F3">
              <w:rPr>
                <w:sz w:val="16"/>
              </w:rPr>
              <w:t>’</w:t>
            </w:r>
            <w:r w:rsidRPr="002D02F3">
              <w:rPr>
                <w:sz w:val="16"/>
              </w:rPr>
              <w:t>autres moyens externes de financement</w:t>
            </w:r>
          </w:p>
        </w:tc>
      </w:tr>
      <w:tr w:rsidR="00C82EE5" w:rsidRPr="002D02F3" w:rsidTr="0056083E">
        <w:tc>
          <w:tcPr>
            <w:tcW w:w="1043" w:type="pct"/>
            <w:tcBorders>
              <w:top w:val="single" w:sz="4" w:space="0" w:color="auto"/>
            </w:tcBorders>
            <w:shd w:val="clear" w:color="auto" w:fill="auto"/>
            <w:vAlign w:val="center"/>
          </w:tcPr>
          <w:p w:rsidR="00C82EE5" w:rsidRPr="002D02F3" w:rsidRDefault="00C82EE5" w:rsidP="00B76999">
            <w:pPr>
              <w:keepNext/>
              <w:keepLines/>
              <w:rPr>
                <w:rFonts w:eastAsia="SimSun" w:cs="Arial"/>
                <w:b/>
                <w:sz w:val="16"/>
                <w:szCs w:val="16"/>
              </w:rPr>
            </w:pPr>
            <w:r w:rsidRPr="002D02F3">
              <w:rPr>
                <w:b/>
                <w:sz w:val="16"/>
              </w:rPr>
              <w:t>Indicateurs d</w:t>
            </w:r>
            <w:r w:rsidR="00A20444" w:rsidRPr="002D02F3">
              <w:rPr>
                <w:b/>
                <w:sz w:val="16"/>
              </w:rPr>
              <w:t>’</w:t>
            </w:r>
            <w:r w:rsidRPr="002D02F3">
              <w:rPr>
                <w:b/>
                <w:sz w:val="16"/>
              </w:rPr>
              <w:t>exécution</w:t>
            </w:r>
          </w:p>
        </w:tc>
        <w:tc>
          <w:tcPr>
            <w:tcW w:w="998" w:type="pct"/>
            <w:tcBorders>
              <w:top w:val="single" w:sz="4" w:space="0" w:color="auto"/>
            </w:tcBorders>
            <w:shd w:val="clear" w:color="auto" w:fill="auto"/>
            <w:vAlign w:val="center"/>
          </w:tcPr>
          <w:p w:rsidR="00C82EE5" w:rsidRPr="002D02F3" w:rsidRDefault="00C82EE5" w:rsidP="00B76999">
            <w:pPr>
              <w:keepNext/>
              <w:keepLines/>
              <w:rPr>
                <w:rFonts w:eastAsia="SimSun" w:cs="Arial"/>
                <w:b/>
                <w:bCs/>
                <w:sz w:val="16"/>
                <w:szCs w:val="16"/>
              </w:rPr>
            </w:pPr>
            <w:r w:rsidRPr="002D02F3">
              <w:rPr>
                <w:b/>
                <w:sz w:val="16"/>
              </w:rPr>
              <w:t>Niveaux de référence</w:t>
            </w:r>
          </w:p>
        </w:tc>
        <w:tc>
          <w:tcPr>
            <w:tcW w:w="901" w:type="pct"/>
            <w:tcBorders>
              <w:top w:val="single" w:sz="4" w:space="0" w:color="auto"/>
            </w:tcBorders>
            <w:shd w:val="clear" w:color="auto" w:fill="auto"/>
            <w:tcMar>
              <w:top w:w="110" w:type="dxa"/>
            </w:tcMar>
            <w:vAlign w:val="center"/>
          </w:tcPr>
          <w:p w:rsidR="00C82EE5" w:rsidRPr="002D02F3" w:rsidRDefault="00C82EE5" w:rsidP="00B76999">
            <w:pPr>
              <w:keepNext/>
              <w:keepLines/>
              <w:rPr>
                <w:rFonts w:eastAsia="SimSun" w:cs="Arial"/>
                <w:b/>
                <w:sz w:val="16"/>
                <w:szCs w:val="16"/>
              </w:rPr>
            </w:pPr>
            <w:r w:rsidRPr="002D02F3">
              <w:rPr>
                <w:b/>
                <w:sz w:val="16"/>
              </w:rPr>
              <w:t>Objectifs visés</w:t>
            </w:r>
          </w:p>
        </w:tc>
        <w:tc>
          <w:tcPr>
            <w:tcW w:w="1375" w:type="pct"/>
            <w:tcBorders>
              <w:top w:val="single" w:sz="4" w:space="0" w:color="auto"/>
            </w:tcBorders>
            <w:shd w:val="clear" w:color="auto" w:fill="FFFFFF"/>
            <w:tcMar>
              <w:top w:w="110" w:type="dxa"/>
            </w:tcMar>
            <w:vAlign w:val="center"/>
          </w:tcPr>
          <w:p w:rsidR="00C82EE5" w:rsidRPr="002D02F3" w:rsidRDefault="00C82EE5" w:rsidP="00B76999">
            <w:pPr>
              <w:keepNext/>
              <w:keepLines/>
              <w:rPr>
                <w:rFonts w:eastAsia="SimSun" w:cs="Arial"/>
                <w:b/>
                <w:sz w:val="16"/>
                <w:szCs w:val="16"/>
              </w:rPr>
            </w:pPr>
            <w:r w:rsidRPr="002D02F3">
              <w:rPr>
                <w:b/>
                <w:sz w:val="16"/>
              </w:rPr>
              <w:t>Données relatives à l</w:t>
            </w:r>
            <w:r w:rsidR="00A20444" w:rsidRPr="002D02F3">
              <w:rPr>
                <w:b/>
                <w:sz w:val="16"/>
              </w:rPr>
              <w:t>’</w:t>
            </w:r>
            <w:r w:rsidRPr="002D02F3">
              <w:rPr>
                <w:b/>
                <w:sz w:val="16"/>
              </w:rPr>
              <w:t>exécution</w:t>
            </w:r>
          </w:p>
        </w:tc>
        <w:tc>
          <w:tcPr>
            <w:tcW w:w="683" w:type="pct"/>
            <w:tcBorders>
              <w:top w:val="single" w:sz="4" w:space="0" w:color="auto"/>
            </w:tcBorders>
            <w:shd w:val="clear" w:color="auto" w:fill="auto"/>
            <w:tcMar>
              <w:top w:w="110" w:type="dxa"/>
            </w:tcMar>
            <w:vAlign w:val="center"/>
          </w:tcPr>
          <w:p w:rsidR="00C82EE5" w:rsidRPr="002D02F3" w:rsidRDefault="00C82EE5" w:rsidP="001A5BF9">
            <w:pPr>
              <w:keepNext/>
              <w:keepLines/>
              <w:jc w:val="center"/>
              <w:rPr>
                <w:rFonts w:eastAsia="SimSun" w:cs="Arial"/>
                <w:b/>
                <w:bCs/>
                <w:sz w:val="16"/>
                <w:szCs w:val="16"/>
              </w:rPr>
            </w:pPr>
            <w:r w:rsidRPr="002D02F3">
              <w:rPr>
                <w:b/>
                <w:sz w:val="16"/>
              </w:rPr>
              <w:t>Code de couleurs</w:t>
            </w:r>
          </w:p>
        </w:tc>
      </w:tr>
      <w:tr w:rsidR="00C82EE5" w:rsidRPr="005C7CCE" w:rsidTr="0056083E">
        <w:tc>
          <w:tcPr>
            <w:tcW w:w="1043" w:type="pct"/>
            <w:shd w:val="clear" w:color="auto" w:fill="auto"/>
          </w:tcPr>
          <w:p w:rsidR="00C82EE5" w:rsidRPr="00B76999" w:rsidRDefault="00C82EE5" w:rsidP="001A5BF9">
            <w:pPr>
              <w:keepNext/>
              <w:keepLines/>
              <w:rPr>
                <w:rFonts w:eastAsia="SimSun" w:cs="Arial"/>
                <w:sz w:val="16"/>
                <w:szCs w:val="16"/>
              </w:rPr>
            </w:pPr>
            <w:r w:rsidRPr="00B76999">
              <w:rPr>
                <w:sz w:val="16"/>
              </w:rPr>
              <w:t>Augmentation des fonds disponibles dans le cadre d</w:t>
            </w:r>
            <w:r w:rsidR="00A20444" w:rsidRPr="00B76999">
              <w:rPr>
                <w:sz w:val="16"/>
              </w:rPr>
              <w:t>’</w:t>
            </w:r>
            <w:r w:rsidRPr="00B76999">
              <w:rPr>
                <w:sz w:val="16"/>
              </w:rPr>
              <w:t>accords concernant des fonds fiduciaires</w:t>
            </w:r>
          </w:p>
        </w:tc>
        <w:tc>
          <w:tcPr>
            <w:tcW w:w="998" w:type="pct"/>
            <w:shd w:val="clear" w:color="auto" w:fill="auto"/>
          </w:tcPr>
          <w:p w:rsidR="00D42474" w:rsidRDefault="00C82EE5" w:rsidP="001A5BF9">
            <w:pPr>
              <w:keepNext/>
              <w:keepLines/>
              <w:rPr>
                <w:rFonts w:cs="Arial"/>
                <w:i/>
                <w:color w:val="002060"/>
                <w:sz w:val="16"/>
                <w:szCs w:val="16"/>
              </w:rPr>
            </w:pPr>
            <w:r w:rsidRPr="005C7CCE">
              <w:rPr>
                <w:i/>
                <w:color w:val="002060"/>
                <w:sz w:val="16"/>
              </w:rPr>
              <w:t xml:space="preserve">Niveau de référence actualisé fin 2011 : </w:t>
            </w:r>
            <w:r w:rsidRPr="005C7CCE">
              <w:rPr>
                <w:color w:val="002060"/>
                <w:sz w:val="16"/>
              </w:rPr>
              <w:t>11,9 millions de francs suisses en 2010</w:t>
            </w:r>
            <w:r w:rsidR="002D6F2A" w:rsidRPr="005C7CCE">
              <w:rPr>
                <w:color w:val="002060"/>
                <w:sz w:val="16"/>
              </w:rPr>
              <w:noBreakHyphen/>
            </w:r>
            <w:r w:rsidRPr="005C7CCE">
              <w:rPr>
                <w:color w:val="002060"/>
                <w:sz w:val="16"/>
              </w:rPr>
              <w:t>2011</w:t>
            </w:r>
          </w:p>
          <w:p w:rsidR="00D42474" w:rsidRDefault="00D42474" w:rsidP="001A5BF9">
            <w:pPr>
              <w:keepNext/>
              <w:keepLines/>
              <w:rPr>
                <w:rFonts w:cs="Arial"/>
                <w:i/>
                <w:color w:val="002060"/>
                <w:sz w:val="8"/>
                <w:szCs w:val="8"/>
              </w:rPr>
            </w:pPr>
          </w:p>
          <w:p w:rsidR="00C82EE5" w:rsidRPr="005C7CCE" w:rsidRDefault="00C82EE5" w:rsidP="001A5BF9">
            <w:pPr>
              <w:keepNext/>
              <w:keepLines/>
              <w:rPr>
                <w:rFonts w:eastAsia="SimSun" w:cs="Arial"/>
                <w:color w:val="000000"/>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B76999">
              <w:rPr>
                <w:color w:val="000000"/>
                <w:sz w:val="16"/>
              </w:rPr>
              <w:t>v</w:t>
            </w:r>
            <w:r w:rsidRPr="005C7CCE">
              <w:rPr>
                <w:color w:val="000000"/>
                <w:sz w:val="16"/>
              </w:rPr>
              <w:t>oir le rapport de gestion financière pour l</w:t>
            </w:r>
            <w:r w:rsidR="00A20444" w:rsidRPr="005C7CCE">
              <w:rPr>
                <w:color w:val="000000"/>
                <w:sz w:val="16"/>
              </w:rPr>
              <w:t>’</w:t>
            </w:r>
            <w:r w:rsidRPr="005C7CCE">
              <w:rPr>
                <w:color w:val="000000"/>
                <w:sz w:val="16"/>
              </w:rPr>
              <w:t>exercice biennal 2010</w:t>
            </w:r>
            <w:r w:rsidR="002D6F2A" w:rsidRPr="005C7CCE">
              <w:rPr>
                <w:color w:val="000000"/>
                <w:sz w:val="16"/>
              </w:rPr>
              <w:noBreakHyphen/>
            </w:r>
            <w:r w:rsidRPr="005C7CCE">
              <w:rPr>
                <w:color w:val="000000"/>
                <w:sz w:val="16"/>
              </w:rPr>
              <w:t>2011</w:t>
            </w:r>
          </w:p>
        </w:tc>
        <w:tc>
          <w:tcPr>
            <w:tcW w:w="901" w:type="pct"/>
            <w:shd w:val="clear" w:color="auto" w:fill="auto"/>
            <w:tcMar>
              <w:top w:w="110" w:type="dxa"/>
            </w:tcMar>
          </w:tcPr>
          <w:p w:rsidR="00C82EE5" w:rsidRPr="005C7CCE" w:rsidRDefault="00C82EE5" w:rsidP="001A5BF9">
            <w:pPr>
              <w:keepNext/>
              <w:keepLines/>
              <w:rPr>
                <w:rFonts w:eastAsia="SimSun" w:cs="Arial"/>
                <w:sz w:val="16"/>
                <w:szCs w:val="16"/>
              </w:rPr>
            </w:pPr>
            <w:r w:rsidRPr="005C7CCE">
              <w:rPr>
                <w:sz w:val="16"/>
              </w:rPr>
              <w:t>10</w:t>
            </w:r>
            <w:r w:rsidR="007E442D" w:rsidRPr="005C7CCE">
              <w:rPr>
                <w:sz w:val="16"/>
              </w:rPr>
              <w:t>%</w:t>
            </w:r>
          </w:p>
        </w:tc>
        <w:tc>
          <w:tcPr>
            <w:tcW w:w="1375" w:type="pct"/>
            <w:shd w:val="clear" w:color="auto" w:fill="FFFFFF"/>
            <w:tcMar>
              <w:top w:w="110" w:type="dxa"/>
            </w:tcMar>
          </w:tcPr>
          <w:p w:rsidR="00C82EE5" w:rsidRPr="005C7CCE" w:rsidRDefault="00C82EE5" w:rsidP="001A5BF9">
            <w:pPr>
              <w:keepNext/>
              <w:keepLines/>
              <w:rPr>
                <w:rFonts w:eastAsia="SimSun" w:cs="Arial"/>
                <w:sz w:val="16"/>
                <w:szCs w:val="16"/>
              </w:rPr>
            </w:pPr>
            <w:r w:rsidRPr="005C7CCE">
              <w:rPr>
                <w:sz w:val="16"/>
              </w:rPr>
              <w:t>Le revenu des Fonds fiduciaires en 2012</w:t>
            </w:r>
            <w:r w:rsidR="002D6F2A" w:rsidRPr="005C7CCE">
              <w:rPr>
                <w:sz w:val="16"/>
              </w:rPr>
              <w:noBreakHyphen/>
            </w:r>
            <w:r w:rsidRPr="005C7CCE">
              <w:rPr>
                <w:sz w:val="16"/>
              </w:rPr>
              <w:t>2013 a atteint 17,2 millions de francs suisses.</w:t>
            </w:r>
            <w:r w:rsidR="0010442A" w:rsidRPr="005C7CCE">
              <w:rPr>
                <w:sz w:val="16"/>
              </w:rPr>
              <w:t xml:space="preserve"> </w:t>
            </w:r>
            <w:r w:rsidRPr="005C7CCE">
              <w:rPr>
                <w:sz w:val="16"/>
              </w:rPr>
              <w:t xml:space="preserve"> Le revenu des Fonds fiduciaires en 2010</w:t>
            </w:r>
            <w:r w:rsidR="002D6F2A" w:rsidRPr="005C7CCE">
              <w:rPr>
                <w:sz w:val="16"/>
              </w:rPr>
              <w:noBreakHyphen/>
            </w:r>
            <w:r w:rsidRPr="005C7CCE">
              <w:rPr>
                <w:sz w:val="16"/>
              </w:rPr>
              <w:t>2011 a atteint 11,9 millions de francs suisses, une augmentation de 5,3 millions de francs suisses ou environ 44,5</w:t>
            </w:r>
            <w:r w:rsidR="007E442D" w:rsidRPr="005C7CCE">
              <w:rPr>
                <w:sz w:val="16"/>
              </w:rPr>
              <w:t>%</w:t>
            </w:r>
            <w:r w:rsidRPr="005C7CCE">
              <w:rPr>
                <w:sz w:val="16"/>
              </w:rPr>
              <w:t>.</w:t>
            </w:r>
          </w:p>
        </w:tc>
        <w:tc>
          <w:tcPr>
            <w:tcW w:w="683" w:type="pct"/>
            <w:shd w:val="clear" w:color="auto" w:fill="auto"/>
            <w:tcMar>
              <w:top w:w="110" w:type="dxa"/>
            </w:tcMar>
          </w:tcPr>
          <w:p w:rsidR="00C82EE5" w:rsidRPr="005C7CCE" w:rsidRDefault="00C82EE5" w:rsidP="001A5BF9">
            <w:pPr>
              <w:keepNext/>
              <w:keepLines/>
              <w:jc w:val="center"/>
              <w:rPr>
                <w:rFonts w:eastAsia="SimSun" w:cs="Arial"/>
                <w:bCs/>
                <w:color w:val="008000"/>
                <w:sz w:val="16"/>
                <w:szCs w:val="16"/>
              </w:rPr>
            </w:pPr>
            <w:r w:rsidRPr="00B470C6">
              <w:rPr>
                <w:color w:val="008000"/>
                <w:sz w:val="16"/>
              </w:rPr>
              <w:t>Objectif pleinement atteint</w:t>
            </w:r>
          </w:p>
        </w:tc>
      </w:tr>
      <w:tr w:rsidR="00C82EE5" w:rsidRPr="005C7CCE" w:rsidTr="0056083E">
        <w:tc>
          <w:tcPr>
            <w:tcW w:w="1043" w:type="pct"/>
            <w:shd w:val="clear" w:color="auto" w:fill="auto"/>
          </w:tcPr>
          <w:p w:rsidR="00C82EE5" w:rsidRPr="00B76999" w:rsidRDefault="00C82EE5" w:rsidP="001A5BF9">
            <w:pPr>
              <w:rPr>
                <w:rFonts w:eastAsia="SimSun" w:cs="Arial"/>
                <w:sz w:val="16"/>
                <w:szCs w:val="16"/>
              </w:rPr>
            </w:pPr>
            <w:r w:rsidRPr="00B76999">
              <w:rPr>
                <w:sz w:val="16"/>
              </w:rPr>
              <w:t>Nombre et poids financier des projets mis en œuvre par l</w:t>
            </w:r>
            <w:r w:rsidR="00A20444" w:rsidRPr="00B76999">
              <w:rPr>
                <w:sz w:val="16"/>
              </w:rPr>
              <w:t>’</w:t>
            </w:r>
            <w:r w:rsidRPr="00B76999">
              <w:rPr>
                <w:sz w:val="16"/>
              </w:rPr>
              <w:t>OMPI qui sont financés par des mécanismes externes existants financés par des donateurs</w:t>
            </w:r>
          </w:p>
        </w:tc>
        <w:tc>
          <w:tcPr>
            <w:tcW w:w="998" w:type="pct"/>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zéro</w:t>
            </w:r>
          </w:p>
          <w:p w:rsidR="00D42474" w:rsidRDefault="00D42474" w:rsidP="001A5BF9">
            <w:pPr>
              <w:rPr>
                <w:rFonts w:cs="Arial"/>
                <w:i/>
                <w:color w:val="002060"/>
                <w:sz w:val="8"/>
                <w:szCs w:val="8"/>
              </w:rPr>
            </w:pPr>
          </w:p>
          <w:p w:rsidR="00C82EE5" w:rsidRPr="005C7CCE" w:rsidRDefault="00C82EE5" w:rsidP="001A5BF9">
            <w:pPr>
              <w:rPr>
                <w:rFonts w:eastAsia="SimSun" w:cs="Arial"/>
                <w:color w:val="000000"/>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w:t>
            </w:r>
            <w:r w:rsidRPr="005C7CCE">
              <w:rPr>
                <w:color w:val="000000"/>
                <w:sz w:val="16"/>
              </w:rPr>
              <w:t>données non disponibles</w:t>
            </w:r>
          </w:p>
        </w:tc>
        <w:tc>
          <w:tcPr>
            <w:tcW w:w="901" w:type="pct"/>
            <w:shd w:val="clear" w:color="auto" w:fill="auto"/>
            <w:tcMar>
              <w:top w:w="110" w:type="dxa"/>
            </w:tcMar>
          </w:tcPr>
          <w:p w:rsidR="00C82EE5" w:rsidRPr="00B76999" w:rsidRDefault="00C82EE5" w:rsidP="001A5BF9">
            <w:pPr>
              <w:rPr>
                <w:rFonts w:eastAsia="SimSun" w:cs="Arial"/>
                <w:sz w:val="16"/>
                <w:szCs w:val="16"/>
              </w:rPr>
            </w:pPr>
            <w:r w:rsidRPr="00B76999">
              <w:rPr>
                <w:sz w:val="16"/>
              </w:rPr>
              <w:t>Cinq projets, valeur totale : 2 millions de francs suisses</w:t>
            </w:r>
          </w:p>
        </w:tc>
        <w:tc>
          <w:tcPr>
            <w:tcW w:w="1375" w:type="pct"/>
            <w:shd w:val="clear" w:color="auto" w:fill="FFFFFF"/>
            <w:tcMar>
              <w:top w:w="110" w:type="dxa"/>
            </w:tcMar>
          </w:tcPr>
          <w:p w:rsidR="00C82EE5" w:rsidRPr="005C7CCE" w:rsidRDefault="00C82EE5" w:rsidP="001A5BF9">
            <w:pPr>
              <w:rPr>
                <w:rFonts w:eastAsia="SimSun" w:cs="Arial"/>
                <w:sz w:val="16"/>
                <w:szCs w:val="16"/>
              </w:rPr>
            </w:pPr>
            <w:r w:rsidRPr="005C7CCE">
              <w:rPr>
                <w:sz w:val="16"/>
              </w:rPr>
              <w:t>Données non disponibles</w:t>
            </w:r>
          </w:p>
        </w:tc>
        <w:tc>
          <w:tcPr>
            <w:tcW w:w="683" w:type="pct"/>
            <w:shd w:val="clear" w:color="auto" w:fill="auto"/>
            <w:tcMar>
              <w:top w:w="110" w:type="dxa"/>
            </w:tcMar>
          </w:tcPr>
          <w:p w:rsidR="00C82EE5" w:rsidRPr="005C7CCE" w:rsidRDefault="00C82EE5" w:rsidP="001A5BF9">
            <w:pPr>
              <w:keepNext/>
              <w:keepLines/>
              <w:jc w:val="center"/>
              <w:rPr>
                <w:rFonts w:eastAsia="SimSun" w:cs="Arial"/>
                <w:color w:val="008000"/>
                <w:sz w:val="16"/>
                <w:szCs w:val="16"/>
              </w:rPr>
            </w:pPr>
            <w:r w:rsidRPr="00B76999">
              <w:rPr>
                <w:sz w:val="16"/>
              </w:rPr>
              <w:t>Objectif abandonné</w:t>
            </w:r>
          </w:p>
        </w:tc>
      </w:tr>
      <w:tr w:rsidR="00C82EE5" w:rsidRPr="005C7CCE" w:rsidTr="0056083E">
        <w:tc>
          <w:tcPr>
            <w:tcW w:w="1043" w:type="pct"/>
            <w:shd w:val="clear" w:color="auto" w:fill="auto"/>
          </w:tcPr>
          <w:p w:rsidR="00C82EE5" w:rsidRPr="00B76999" w:rsidRDefault="00C82EE5" w:rsidP="001A5BF9">
            <w:pPr>
              <w:rPr>
                <w:rFonts w:eastAsia="SimSun" w:cs="Arial"/>
                <w:sz w:val="16"/>
                <w:szCs w:val="16"/>
              </w:rPr>
            </w:pPr>
            <w:r w:rsidRPr="00B76999">
              <w:rPr>
                <w:sz w:val="16"/>
              </w:rPr>
              <w:t>Élaboration des lignes directrices de l</w:t>
            </w:r>
            <w:r w:rsidR="00A20444" w:rsidRPr="00B76999">
              <w:rPr>
                <w:sz w:val="16"/>
              </w:rPr>
              <w:t>’</w:t>
            </w:r>
            <w:r w:rsidRPr="00B76999">
              <w:rPr>
                <w:sz w:val="16"/>
              </w:rPr>
              <w:t>OMPI pour la recherche de partenariats avec le secteur privé</w:t>
            </w:r>
          </w:p>
        </w:tc>
        <w:tc>
          <w:tcPr>
            <w:tcW w:w="998" w:type="pct"/>
            <w:shd w:val="clear" w:color="auto" w:fill="auto"/>
          </w:tcPr>
          <w:p w:rsidR="00D42474" w:rsidRDefault="00C82EE5" w:rsidP="001A5BF9">
            <w:pPr>
              <w:rPr>
                <w:rFonts w:eastAsia="SimSun" w:cs="Arial"/>
                <w:bCs/>
                <w:color w:val="002060"/>
                <w:sz w:val="16"/>
                <w:szCs w:val="16"/>
              </w:rPr>
            </w:pPr>
            <w:r w:rsidRPr="005C7CCE">
              <w:rPr>
                <w:i/>
                <w:color w:val="002060"/>
                <w:sz w:val="16"/>
              </w:rPr>
              <w:t xml:space="preserve">Niveau de référence actualisé fin 2011 : </w:t>
            </w:r>
            <w:r w:rsidR="00667FB3">
              <w:rPr>
                <w:color w:val="002060"/>
                <w:sz w:val="16"/>
              </w:rPr>
              <w:t>p</w:t>
            </w:r>
            <w:r w:rsidRPr="005C7CCE">
              <w:rPr>
                <w:color w:val="002060"/>
                <w:sz w:val="16"/>
              </w:rPr>
              <w:t>rojet préparé et révisé en interne</w:t>
            </w:r>
            <w:r w:rsidRPr="00B76999">
              <w:rPr>
                <w:color w:val="002060"/>
                <w:sz w:val="16"/>
              </w:rPr>
              <w:t>.</w:t>
            </w:r>
            <w:r w:rsidR="0010442A" w:rsidRPr="00B76999">
              <w:rPr>
                <w:color w:val="002060"/>
                <w:sz w:val="16"/>
              </w:rPr>
              <w:t xml:space="preserve"> </w:t>
            </w:r>
            <w:r w:rsidRPr="00B76999">
              <w:rPr>
                <w:color w:val="002060"/>
                <w:sz w:val="16"/>
              </w:rPr>
              <w:t xml:space="preserve"> Le projet final constituera l</w:t>
            </w:r>
            <w:r w:rsidR="00A20444" w:rsidRPr="00B76999">
              <w:rPr>
                <w:color w:val="002060"/>
                <w:sz w:val="16"/>
              </w:rPr>
              <w:t>’</w:t>
            </w:r>
            <w:r w:rsidRPr="00B76999">
              <w:rPr>
                <w:color w:val="002060"/>
                <w:sz w:val="16"/>
              </w:rPr>
              <w:t>assise des consultations avec les États membres.</w:t>
            </w:r>
          </w:p>
          <w:p w:rsidR="00D42474" w:rsidRDefault="00D42474" w:rsidP="001A5BF9">
            <w:pPr>
              <w:rPr>
                <w:rFonts w:cs="Arial"/>
                <w:i/>
                <w:sz w:val="8"/>
                <w:szCs w:val="8"/>
              </w:rPr>
            </w:pPr>
          </w:p>
          <w:p w:rsidR="00D42474" w:rsidRDefault="00C82EE5" w:rsidP="001A5BF9">
            <w:pPr>
              <w:rPr>
                <w:rFonts w:eastAsia="SimSun"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w:t>
            </w:r>
            <w:r w:rsidR="00667FB3">
              <w:rPr>
                <w:sz w:val="16"/>
              </w:rPr>
              <w:t>projet</w:t>
            </w:r>
            <w:r w:rsidRPr="005C7CCE">
              <w:rPr>
                <w:sz w:val="16"/>
              </w:rPr>
              <w:t xml:space="preserve"> en préparation pour consultations</w:t>
            </w:r>
          </w:p>
          <w:p w:rsidR="00C82EE5" w:rsidRPr="005C7CCE" w:rsidRDefault="00C82EE5" w:rsidP="001A5BF9">
            <w:pPr>
              <w:rPr>
                <w:rFonts w:eastAsia="SimSun" w:cs="Arial"/>
                <w:color w:val="000000"/>
                <w:sz w:val="16"/>
                <w:szCs w:val="16"/>
              </w:rPr>
            </w:pPr>
          </w:p>
        </w:tc>
        <w:tc>
          <w:tcPr>
            <w:tcW w:w="901" w:type="pct"/>
            <w:shd w:val="clear" w:color="auto" w:fill="auto"/>
            <w:tcMar>
              <w:top w:w="110" w:type="dxa"/>
            </w:tcMar>
          </w:tcPr>
          <w:p w:rsidR="00C82EE5" w:rsidRPr="00B76999" w:rsidRDefault="00C82EE5" w:rsidP="001A5BF9">
            <w:pPr>
              <w:rPr>
                <w:rFonts w:eastAsia="SimSun" w:cs="Arial"/>
                <w:sz w:val="16"/>
                <w:szCs w:val="16"/>
              </w:rPr>
            </w:pPr>
            <w:r w:rsidRPr="00B76999">
              <w:rPr>
                <w:sz w:val="16"/>
              </w:rPr>
              <w:t>Approbation des lignes directrices de l</w:t>
            </w:r>
            <w:r w:rsidR="00A20444" w:rsidRPr="00B76999">
              <w:rPr>
                <w:sz w:val="16"/>
              </w:rPr>
              <w:t>’</w:t>
            </w:r>
            <w:r w:rsidRPr="00B76999">
              <w:rPr>
                <w:sz w:val="16"/>
              </w:rPr>
              <w:t xml:space="preserve">OMPI par les États membres </w:t>
            </w:r>
          </w:p>
        </w:tc>
        <w:tc>
          <w:tcPr>
            <w:tcW w:w="1375" w:type="pct"/>
            <w:shd w:val="clear" w:color="auto" w:fill="FFFFFF"/>
            <w:tcMar>
              <w:top w:w="110" w:type="dxa"/>
            </w:tcMar>
          </w:tcPr>
          <w:p w:rsidR="00C82EE5" w:rsidRPr="005C7CCE" w:rsidRDefault="00C82EE5" w:rsidP="001A5BF9">
            <w:pPr>
              <w:rPr>
                <w:rFonts w:eastAsia="SimSun" w:cs="Arial"/>
                <w:sz w:val="16"/>
                <w:szCs w:val="16"/>
              </w:rPr>
            </w:pPr>
            <w:r w:rsidRPr="005C7CCE">
              <w:rPr>
                <w:sz w:val="16"/>
              </w:rPr>
              <w:t xml:space="preserve">Le processus interne est en cours. </w:t>
            </w:r>
            <w:r w:rsidR="0010442A" w:rsidRPr="005C7CCE">
              <w:rPr>
                <w:sz w:val="16"/>
              </w:rPr>
              <w:t xml:space="preserve"> </w:t>
            </w:r>
          </w:p>
        </w:tc>
        <w:tc>
          <w:tcPr>
            <w:tcW w:w="683" w:type="pct"/>
            <w:shd w:val="clear" w:color="auto" w:fill="auto"/>
            <w:tcMar>
              <w:top w:w="110" w:type="dxa"/>
            </w:tcMar>
          </w:tcPr>
          <w:p w:rsidR="00C82EE5" w:rsidRPr="005C7CCE" w:rsidRDefault="00C82EE5" w:rsidP="001A5BF9">
            <w:pPr>
              <w:keepNext/>
              <w:keepLines/>
              <w:jc w:val="center"/>
              <w:rPr>
                <w:rFonts w:eastAsia="SimSun" w:cs="Arial"/>
                <w:bCs/>
                <w:color w:val="008000"/>
                <w:sz w:val="16"/>
                <w:szCs w:val="16"/>
              </w:rPr>
            </w:pPr>
            <w:r w:rsidRPr="00B76999">
              <w:rPr>
                <w:color w:val="FF0000"/>
                <w:sz w:val="16"/>
              </w:rPr>
              <w:t>Objectif pas atteint</w:t>
            </w:r>
          </w:p>
        </w:tc>
      </w:tr>
    </w:tbl>
    <w:p w:rsidR="00D42474" w:rsidRDefault="00D42474" w:rsidP="001A5BF9">
      <w:pPr>
        <w:jc w:val="right"/>
        <w:rPr>
          <w:rFonts w:eastAsia="SimSun" w:cs="Arial"/>
          <w:szCs w:val="20"/>
        </w:rPr>
      </w:pPr>
    </w:p>
    <w:p w:rsidR="00D42474" w:rsidRDefault="00D42474" w:rsidP="001A5BF9">
      <w:pPr>
        <w:jc w:val="right"/>
        <w:rPr>
          <w:rFonts w:eastAsia="SimSun" w:cs="Arial"/>
          <w:szCs w:val="20"/>
        </w:rPr>
      </w:pPr>
    </w:p>
    <w:p w:rsidR="00D42474" w:rsidRDefault="003C618F">
      <w:pPr>
        <w:rPr>
          <w:sz w:val="22"/>
          <w:szCs w:val="22"/>
        </w:rPr>
      </w:pPr>
      <w:r>
        <w:rPr>
          <w:sz w:val="22"/>
          <w:szCs w:val="22"/>
        </w:rPr>
        <w:br w:type="page"/>
      </w:r>
    </w:p>
    <w:p w:rsidR="00D42474" w:rsidRDefault="003C618F" w:rsidP="003C618F">
      <w:pPr>
        <w:rPr>
          <w:rFonts w:eastAsia="SimSun"/>
          <w:sz w:val="22"/>
          <w:szCs w:val="22"/>
        </w:rPr>
      </w:pPr>
      <w:r w:rsidRPr="003C618F">
        <w:rPr>
          <w:sz w:val="22"/>
          <w:szCs w:val="22"/>
        </w:rPr>
        <w:t>BUDGET ET DÉPENSES EFFECTIVES</w:t>
      </w:r>
    </w:p>
    <w:p w:rsidR="00D42474" w:rsidRDefault="00D42474" w:rsidP="001A5BF9">
      <w:pPr>
        <w:rPr>
          <w:rFonts w:eastAsia="SimSun" w:cs="Arial"/>
          <w:szCs w:val="20"/>
        </w:rPr>
      </w:pPr>
    </w:p>
    <w:p w:rsidR="00D42474" w:rsidRDefault="00C82EE5" w:rsidP="001A5BF9">
      <w:pPr>
        <w:pStyle w:val="NormalWeb"/>
        <w:spacing w:before="0" w:beforeAutospacing="0" w:after="0" w:afterAutospacing="0"/>
        <w:jc w:val="center"/>
        <w:rPr>
          <w:sz w:val="20"/>
        </w:rPr>
      </w:pPr>
      <w:r w:rsidRPr="002D02F3">
        <w:rPr>
          <w:sz w:val="20"/>
        </w:rPr>
        <w:t>Budget et dépenses effectives (par résultat)</w:t>
      </w:r>
    </w:p>
    <w:p w:rsidR="00D42474" w:rsidRDefault="00C82EE5"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C82EE5" w:rsidRPr="002D02F3" w:rsidRDefault="00C82EE5" w:rsidP="001A5BF9">
      <w:pPr>
        <w:jc w:val="right"/>
        <w:rPr>
          <w:rFonts w:eastAsia="SimSun" w:cs="Arial"/>
          <w:szCs w:val="20"/>
        </w:rPr>
      </w:pPr>
    </w:p>
    <w:tbl>
      <w:tblPr>
        <w:tblW w:w="0" w:type="auto"/>
        <w:tblInd w:w="103" w:type="dxa"/>
        <w:tblLayout w:type="fixed"/>
        <w:tblLook w:val="04A0" w:firstRow="1" w:lastRow="0" w:firstColumn="1" w:lastColumn="0" w:noHBand="0" w:noVBand="1"/>
      </w:tblPr>
      <w:tblGrid>
        <w:gridCol w:w="609"/>
        <w:gridCol w:w="4216"/>
        <w:gridCol w:w="1559"/>
        <w:gridCol w:w="1559"/>
        <w:gridCol w:w="1418"/>
      </w:tblGrid>
      <w:tr w:rsidR="00C82EE5" w:rsidRPr="002D02F3" w:rsidTr="0056083E">
        <w:tc>
          <w:tcPr>
            <w:tcW w:w="4825"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center"/>
              <w:rPr>
                <w:rFonts w:cs="Arial"/>
                <w:bCs/>
                <w:sz w:val="16"/>
                <w:szCs w:val="16"/>
              </w:rPr>
            </w:pPr>
            <w:r w:rsidRPr="002D02F3">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C82EE5" w:rsidRPr="002D02F3" w:rsidTr="0056083E">
        <w:tc>
          <w:tcPr>
            <w:tcW w:w="609" w:type="dxa"/>
            <w:tcBorders>
              <w:top w:val="nil"/>
              <w:left w:val="single" w:sz="4" w:space="0" w:color="auto"/>
              <w:bottom w:val="nil"/>
              <w:right w:val="nil"/>
            </w:tcBorders>
            <w:shd w:val="clear" w:color="000000" w:fill="FFFFFF"/>
            <w:noWrap/>
            <w:vAlign w:val="center"/>
          </w:tcPr>
          <w:p w:rsidR="00C82EE5" w:rsidRPr="002D02F3" w:rsidRDefault="00C82EE5" w:rsidP="001A5BF9">
            <w:pPr>
              <w:spacing w:before="80"/>
              <w:rPr>
                <w:rFonts w:cs="Arial"/>
                <w:sz w:val="16"/>
                <w:szCs w:val="16"/>
              </w:rPr>
            </w:pPr>
            <w:proofErr w:type="spellStart"/>
            <w:r w:rsidRPr="002D02F3">
              <w:rPr>
                <w:sz w:val="16"/>
              </w:rPr>
              <w:t>II.1</w:t>
            </w:r>
            <w:proofErr w:type="spellEnd"/>
          </w:p>
        </w:tc>
        <w:tc>
          <w:tcPr>
            <w:tcW w:w="4216" w:type="dxa"/>
            <w:tcBorders>
              <w:top w:val="nil"/>
              <w:left w:val="nil"/>
              <w:bottom w:val="nil"/>
              <w:right w:val="nil"/>
            </w:tcBorders>
            <w:shd w:val="clear" w:color="000000" w:fill="FFFFFF"/>
            <w:vAlign w:val="center"/>
          </w:tcPr>
          <w:p w:rsidR="00C82EE5" w:rsidRPr="002D02F3" w:rsidRDefault="00C82EE5" w:rsidP="001A5BF9">
            <w:pPr>
              <w:spacing w:before="80"/>
              <w:rPr>
                <w:rFonts w:cs="Arial"/>
                <w:sz w:val="16"/>
                <w:szCs w:val="16"/>
              </w:rPr>
            </w:pPr>
            <w:r w:rsidRPr="002D02F3">
              <w:rPr>
                <w:sz w:val="16"/>
              </w:rPr>
              <w:t>Utilisation stratégique en connaissance de cause</w:t>
            </w:r>
            <w:r w:rsidR="00A20444" w:rsidRPr="002D02F3">
              <w:rPr>
                <w:sz w:val="16"/>
              </w:rPr>
              <w:t xml:space="preserve"> du PCT</w:t>
            </w:r>
            <w:r w:rsidRPr="002D02F3">
              <w:rPr>
                <w:sz w:val="16"/>
              </w:rPr>
              <w:t xml:space="preserve"> par tous les innovateurs susceptibles d</w:t>
            </w:r>
            <w:r w:rsidR="00A20444" w:rsidRPr="002D02F3">
              <w:rPr>
                <w:sz w:val="16"/>
              </w:rPr>
              <w:t>’</w:t>
            </w:r>
            <w:r w:rsidRPr="002D02F3">
              <w:rPr>
                <w:sz w:val="16"/>
              </w:rPr>
              <w:t>en tirer parti</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661 </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1 148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1 240 </w:t>
            </w:r>
          </w:p>
        </w:tc>
      </w:tr>
      <w:tr w:rsidR="00C82EE5" w:rsidRPr="002D02F3" w:rsidTr="0056083E">
        <w:tc>
          <w:tcPr>
            <w:tcW w:w="609" w:type="dxa"/>
            <w:tcBorders>
              <w:top w:val="nil"/>
              <w:left w:val="single" w:sz="4" w:space="0" w:color="auto"/>
              <w:bottom w:val="nil"/>
              <w:right w:val="nil"/>
            </w:tcBorders>
            <w:shd w:val="clear" w:color="000000" w:fill="FFFFFF"/>
            <w:noWrap/>
            <w:vAlign w:val="center"/>
          </w:tcPr>
          <w:p w:rsidR="00C82EE5" w:rsidRPr="002D02F3" w:rsidRDefault="00C82EE5" w:rsidP="001A5BF9">
            <w:pPr>
              <w:spacing w:before="80"/>
              <w:rPr>
                <w:rFonts w:cs="Arial"/>
                <w:sz w:val="16"/>
                <w:szCs w:val="16"/>
              </w:rPr>
            </w:pPr>
            <w:proofErr w:type="spellStart"/>
            <w:r w:rsidRPr="002D02F3">
              <w:rPr>
                <w:sz w:val="16"/>
              </w:rPr>
              <w:t>II.8</w:t>
            </w:r>
            <w:proofErr w:type="spellEnd"/>
          </w:p>
        </w:tc>
        <w:tc>
          <w:tcPr>
            <w:tcW w:w="4216" w:type="dxa"/>
            <w:tcBorders>
              <w:top w:val="nil"/>
              <w:left w:val="nil"/>
              <w:bottom w:val="nil"/>
              <w:right w:val="nil"/>
            </w:tcBorders>
            <w:shd w:val="clear" w:color="000000" w:fill="FFFFFF"/>
            <w:vAlign w:val="center"/>
          </w:tcPr>
          <w:p w:rsidR="00C82EE5" w:rsidRPr="002D02F3" w:rsidRDefault="00C82EE5" w:rsidP="001A5BF9">
            <w:pPr>
              <w:spacing w:before="80"/>
              <w:rPr>
                <w:rFonts w:cs="Arial"/>
                <w:sz w:val="16"/>
                <w:szCs w:val="16"/>
              </w:rPr>
            </w:pPr>
            <w:r w:rsidRPr="002D02F3">
              <w:rPr>
                <w:sz w:val="16"/>
              </w:rPr>
              <w:t>Meilleure utilisation des systèmes de Madrid et de Lisbonne, notamment par les pays en développement et</w:t>
            </w:r>
            <w:r w:rsidR="00A20444" w:rsidRPr="002D02F3">
              <w:rPr>
                <w:sz w:val="16"/>
              </w:rPr>
              <w:t xml:space="preserve"> les PMA</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738 </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574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440 </w:t>
            </w:r>
          </w:p>
        </w:tc>
      </w:tr>
      <w:tr w:rsidR="00C82EE5" w:rsidRPr="002D02F3" w:rsidTr="0056083E">
        <w:tc>
          <w:tcPr>
            <w:tcW w:w="609" w:type="dxa"/>
            <w:tcBorders>
              <w:top w:val="nil"/>
              <w:left w:val="single" w:sz="4" w:space="0" w:color="auto"/>
              <w:bottom w:val="nil"/>
              <w:right w:val="nil"/>
            </w:tcBorders>
            <w:shd w:val="clear" w:color="000000" w:fill="FFFFFF"/>
            <w:noWrap/>
            <w:vAlign w:val="center"/>
          </w:tcPr>
          <w:p w:rsidR="00C82EE5" w:rsidRPr="002D02F3" w:rsidRDefault="00C82EE5" w:rsidP="001A5BF9">
            <w:pPr>
              <w:spacing w:before="80"/>
              <w:rPr>
                <w:rFonts w:cs="Arial"/>
                <w:sz w:val="16"/>
                <w:szCs w:val="16"/>
              </w:rPr>
            </w:pPr>
            <w:proofErr w:type="spellStart"/>
            <w:r w:rsidRPr="002D02F3">
              <w:rPr>
                <w:sz w:val="16"/>
              </w:rPr>
              <w:t>III.2</w:t>
            </w:r>
            <w:proofErr w:type="spellEnd"/>
          </w:p>
        </w:tc>
        <w:tc>
          <w:tcPr>
            <w:tcW w:w="4216" w:type="dxa"/>
            <w:tcBorders>
              <w:top w:val="nil"/>
              <w:left w:val="nil"/>
              <w:bottom w:val="nil"/>
              <w:right w:val="nil"/>
            </w:tcBorders>
            <w:shd w:val="clear" w:color="000000" w:fill="FFFFFF"/>
            <w:vAlign w:val="center"/>
          </w:tcPr>
          <w:p w:rsidR="00C82EE5" w:rsidRPr="002D02F3" w:rsidRDefault="00C82EE5" w:rsidP="001A5BF9">
            <w:pPr>
              <w:spacing w:before="80"/>
              <w:rPr>
                <w:rFonts w:cs="Arial"/>
                <w:sz w:val="16"/>
                <w:szCs w:val="16"/>
              </w:rPr>
            </w:pPr>
            <w:r w:rsidRPr="002D02F3">
              <w:rPr>
                <w:sz w:val="16"/>
              </w:rPr>
              <w:t>Renforcement des capacités en matière de ressources humaines pour pouvoir répondre aux nombreuses exigences en ce qui concerne l</w:t>
            </w:r>
            <w:r w:rsidR="00A20444" w:rsidRPr="002D02F3">
              <w:rPr>
                <w:sz w:val="16"/>
              </w:rPr>
              <w:t>’</w:t>
            </w:r>
            <w:r w:rsidRPr="002D02F3">
              <w:rPr>
                <w:sz w:val="16"/>
              </w:rPr>
              <w:t>utilisation efficace de la propriété intellectuelle au service du développement dans les pays en développement,</w:t>
            </w:r>
            <w:r w:rsidR="00A20444" w:rsidRPr="002D02F3">
              <w:rPr>
                <w:sz w:val="16"/>
              </w:rPr>
              <w:t xml:space="preserve"> les PMA</w:t>
            </w:r>
            <w:r w:rsidRPr="002D02F3">
              <w:rPr>
                <w:sz w:val="16"/>
              </w:rPr>
              <w:t xml:space="preserve"> et les pays en transition</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3 053 </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2 693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2 638</w:t>
            </w:r>
          </w:p>
        </w:tc>
      </w:tr>
      <w:tr w:rsidR="00C82EE5" w:rsidRPr="002D02F3" w:rsidTr="0056083E">
        <w:tc>
          <w:tcPr>
            <w:tcW w:w="609" w:type="dxa"/>
            <w:tcBorders>
              <w:top w:val="nil"/>
              <w:left w:val="single" w:sz="4" w:space="0" w:color="auto"/>
              <w:bottom w:val="nil"/>
              <w:right w:val="nil"/>
            </w:tcBorders>
            <w:shd w:val="clear" w:color="000000" w:fill="FFFFFF"/>
            <w:noWrap/>
            <w:vAlign w:val="center"/>
          </w:tcPr>
          <w:p w:rsidR="00C82EE5" w:rsidRPr="002D02F3" w:rsidRDefault="00C82EE5" w:rsidP="001A5BF9">
            <w:pPr>
              <w:spacing w:before="80"/>
              <w:rPr>
                <w:rFonts w:cs="Arial"/>
                <w:sz w:val="16"/>
                <w:szCs w:val="16"/>
              </w:rPr>
            </w:pPr>
            <w:proofErr w:type="spellStart"/>
            <w:r w:rsidRPr="002D02F3">
              <w:rPr>
                <w:sz w:val="16"/>
              </w:rPr>
              <w:t>III.10</w:t>
            </w:r>
            <w:proofErr w:type="spellEnd"/>
          </w:p>
        </w:tc>
        <w:tc>
          <w:tcPr>
            <w:tcW w:w="4216" w:type="dxa"/>
            <w:tcBorders>
              <w:top w:val="nil"/>
              <w:left w:val="nil"/>
              <w:bottom w:val="nil"/>
              <w:right w:val="nil"/>
            </w:tcBorders>
            <w:shd w:val="clear" w:color="000000" w:fill="FFFFFF"/>
            <w:vAlign w:val="center"/>
          </w:tcPr>
          <w:p w:rsidR="00C82EE5" w:rsidRPr="002D02F3" w:rsidRDefault="00C82EE5" w:rsidP="001A5BF9">
            <w:pPr>
              <w:spacing w:before="80"/>
              <w:rPr>
                <w:rFonts w:cs="Arial"/>
                <w:sz w:val="16"/>
                <w:szCs w:val="16"/>
              </w:rPr>
            </w:pPr>
            <w:r w:rsidRPr="002D02F3">
              <w:rPr>
                <w:sz w:val="16"/>
              </w:rPr>
              <w:t>Augmentation des ressources extrabudgétaires disponibles aux fins du développement de la propriété intellectuelle, soit par des contributions directes à l</w:t>
            </w:r>
            <w:r w:rsidR="00A20444" w:rsidRPr="002D02F3">
              <w:rPr>
                <w:sz w:val="16"/>
              </w:rPr>
              <w:t>’</w:t>
            </w:r>
            <w:r w:rsidRPr="002D02F3">
              <w:rPr>
                <w:sz w:val="16"/>
              </w:rPr>
              <w:t>OMPI soit par accès à d</w:t>
            </w:r>
            <w:r w:rsidR="00A20444" w:rsidRPr="002D02F3">
              <w:rPr>
                <w:sz w:val="16"/>
              </w:rPr>
              <w:t>’</w:t>
            </w:r>
            <w:r w:rsidRPr="002D02F3">
              <w:rPr>
                <w:sz w:val="16"/>
              </w:rPr>
              <w:t>autres moyens externes de financement</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1 769 </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1 508</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1 355 </w:t>
            </w:r>
          </w:p>
        </w:tc>
      </w:tr>
      <w:tr w:rsidR="00C82EE5" w:rsidRPr="002D02F3" w:rsidTr="0056083E">
        <w:tc>
          <w:tcPr>
            <w:tcW w:w="609" w:type="dxa"/>
            <w:tcBorders>
              <w:top w:val="nil"/>
              <w:left w:val="single" w:sz="4" w:space="0" w:color="auto"/>
              <w:bottom w:val="nil"/>
              <w:right w:val="nil"/>
            </w:tcBorders>
            <w:shd w:val="clear" w:color="000000" w:fill="FFFFFF"/>
            <w:noWrap/>
            <w:vAlign w:val="center"/>
          </w:tcPr>
          <w:p w:rsidR="00C82EE5" w:rsidRPr="002D02F3" w:rsidRDefault="00C82EE5" w:rsidP="001A5BF9">
            <w:pPr>
              <w:spacing w:before="80"/>
              <w:rPr>
                <w:rFonts w:cs="Arial"/>
                <w:sz w:val="16"/>
                <w:szCs w:val="16"/>
              </w:rPr>
            </w:pPr>
            <w:proofErr w:type="spellStart"/>
            <w:r w:rsidRPr="002D02F3">
              <w:rPr>
                <w:sz w:val="16"/>
              </w:rPr>
              <w:t>IV.5</w:t>
            </w:r>
            <w:proofErr w:type="spellEnd"/>
          </w:p>
        </w:tc>
        <w:tc>
          <w:tcPr>
            <w:tcW w:w="4216" w:type="dxa"/>
            <w:tcBorders>
              <w:top w:val="nil"/>
              <w:left w:val="nil"/>
              <w:bottom w:val="nil"/>
              <w:right w:val="nil"/>
            </w:tcBorders>
            <w:shd w:val="clear" w:color="000000" w:fill="FFFFFF"/>
            <w:vAlign w:val="center"/>
          </w:tcPr>
          <w:p w:rsidR="00C82EE5" w:rsidRPr="002D02F3" w:rsidRDefault="00C82EE5" w:rsidP="001A5BF9">
            <w:pPr>
              <w:spacing w:before="80"/>
              <w:rPr>
                <w:rFonts w:cs="Arial"/>
                <w:sz w:val="16"/>
                <w:szCs w:val="16"/>
              </w:rPr>
            </w:pPr>
            <w:r w:rsidRPr="002D02F3">
              <w:rPr>
                <w:sz w:val="16"/>
              </w:rPr>
              <w:t>Amélioration de l</w:t>
            </w:r>
            <w:r w:rsidR="00A20444" w:rsidRPr="002D02F3">
              <w:rPr>
                <w:sz w:val="16"/>
              </w:rPr>
              <w:t>’</w:t>
            </w:r>
            <w:r w:rsidRPr="002D02F3">
              <w:rPr>
                <w:sz w:val="16"/>
              </w:rPr>
              <w:t>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135 </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107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94 </w:t>
            </w:r>
          </w:p>
        </w:tc>
      </w:tr>
      <w:tr w:rsidR="00C82EE5" w:rsidRPr="002D02F3" w:rsidTr="0056083E">
        <w:tc>
          <w:tcPr>
            <w:tcW w:w="609" w:type="dxa"/>
            <w:tcBorders>
              <w:top w:val="nil"/>
              <w:left w:val="single" w:sz="4" w:space="0" w:color="auto"/>
              <w:bottom w:val="nil"/>
              <w:right w:val="nil"/>
            </w:tcBorders>
            <w:shd w:val="clear" w:color="000000" w:fill="FFFFFF"/>
            <w:noWrap/>
            <w:vAlign w:val="center"/>
          </w:tcPr>
          <w:p w:rsidR="00C82EE5" w:rsidRPr="002D02F3" w:rsidRDefault="00C82EE5" w:rsidP="001A5BF9">
            <w:pPr>
              <w:spacing w:before="80"/>
              <w:rPr>
                <w:rFonts w:cs="Arial"/>
                <w:sz w:val="16"/>
                <w:szCs w:val="16"/>
              </w:rPr>
            </w:pPr>
            <w:proofErr w:type="spellStart"/>
            <w:r w:rsidRPr="002D02F3">
              <w:rPr>
                <w:sz w:val="16"/>
              </w:rPr>
              <w:t>VIII.3</w:t>
            </w:r>
            <w:proofErr w:type="spellEnd"/>
          </w:p>
        </w:tc>
        <w:tc>
          <w:tcPr>
            <w:tcW w:w="4216" w:type="dxa"/>
            <w:tcBorders>
              <w:top w:val="nil"/>
              <w:left w:val="nil"/>
              <w:bottom w:val="nil"/>
              <w:right w:val="nil"/>
            </w:tcBorders>
            <w:shd w:val="clear" w:color="000000" w:fill="FFFFFF"/>
            <w:vAlign w:val="center"/>
          </w:tcPr>
          <w:p w:rsidR="00C82EE5" w:rsidRPr="002D02F3" w:rsidRDefault="00C82EE5" w:rsidP="001A5BF9">
            <w:pPr>
              <w:spacing w:before="80"/>
              <w:rPr>
                <w:rFonts w:cs="Arial"/>
                <w:sz w:val="16"/>
                <w:szCs w:val="16"/>
              </w:rPr>
            </w:pPr>
            <w:r w:rsidRPr="002D02F3">
              <w:rPr>
                <w:sz w:val="16"/>
              </w:rPr>
              <w:t>L</w:t>
            </w:r>
            <w:r w:rsidR="00A20444" w:rsidRPr="002D02F3">
              <w:rPr>
                <w:sz w:val="16"/>
              </w:rPr>
              <w:t>’</w:t>
            </w:r>
            <w:r w:rsidRPr="002D02F3">
              <w:rPr>
                <w:sz w:val="16"/>
              </w:rPr>
              <w:t>OMPI collabore efficacement avec d</w:t>
            </w:r>
            <w:r w:rsidR="00A20444" w:rsidRPr="002D02F3">
              <w:rPr>
                <w:sz w:val="16"/>
              </w:rPr>
              <w:t>’</w:t>
            </w:r>
            <w:r w:rsidRPr="002D02F3">
              <w:rPr>
                <w:sz w:val="16"/>
              </w:rPr>
              <w:t>autres processus et instances de négociation de l</w:t>
            </w:r>
            <w:r w:rsidR="00A20444" w:rsidRPr="002D02F3">
              <w:rPr>
                <w:sz w:val="16"/>
              </w:rPr>
              <w:t>’</w:t>
            </w:r>
            <w:r w:rsidRPr="002D02F3">
              <w:rPr>
                <w:sz w:val="16"/>
              </w:rPr>
              <w:t>ONU et d</w:t>
            </w:r>
            <w:r w:rsidR="00A20444" w:rsidRPr="002D02F3">
              <w:rPr>
                <w:sz w:val="16"/>
              </w:rPr>
              <w:t>’</w:t>
            </w:r>
            <w:r w:rsidRPr="002D02F3">
              <w:rPr>
                <w:sz w:val="16"/>
              </w:rPr>
              <w:t>autres organisations intergouvernementales</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3 362 </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3 350</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80"/>
              <w:jc w:val="right"/>
              <w:rPr>
                <w:rFonts w:cs="Arial"/>
                <w:sz w:val="16"/>
                <w:szCs w:val="16"/>
              </w:rPr>
            </w:pPr>
            <w:r w:rsidRPr="002D02F3">
              <w:rPr>
                <w:sz w:val="16"/>
              </w:rPr>
              <w:t xml:space="preserve">2 910 </w:t>
            </w:r>
          </w:p>
        </w:tc>
      </w:tr>
      <w:tr w:rsidR="00C82EE5" w:rsidRPr="002D02F3" w:rsidTr="0056083E">
        <w:tc>
          <w:tcPr>
            <w:tcW w:w="609" w:type="dxa"/>
            <w:tcBorders>
              <w:top w:val="nil"/>
              <w:left w:val="single" w:sz="4" w:space="0" w:color="auto"/>
              <w:bottom w:val="single" w:sz="4" w:space="0" w:color="auto"/>
              <w:right w:val="nil"/>
            </w:tcBorders>
            <w:shd w:val="clear" w:color="000000" w:fill="FFFFFF"/>
            <w:noWrap/>
            <w:vAlign w:val="center"/>
          </w:tcPr>
          <w:p w:rsidR="00C82EE5" w:rsidRPr="002D02F3" w:rsidRDefault="00C82EE5" w:rsidP="001A5BF9">
            <w:pPr>
              <w:spacing w:beforeLines="80" w:before="192" w:after="80"/>
              <w:rPr>
                <w:rFonts w:cs="Arial"/>
                <w:sz w:val="16"/>
                <w:szCs w:val="16"/>
              </w:rPr>
            </w:pPr>
            <w:proofErr w:type="spellStart"/>
            <w:r w:rsidRPr="002D02F3">
              <w:rPr>
                <w:sz w:val="16"/>
              </w:rPr>
              <w:t>VIII.4</w:t>
            </w:r>
            <w:proofErr w:type="spellEnd"/>
          </w:p>
        </w:tc>
        <w:tc>
          <w:tcPr>
            <w:tcW w:w="4216" w:type="dxa"/>
            <w:tcBorders>
              <w:top w:val="nil"/>
              <w:left w:val="nil"/>
              <w:bottom w:val="single" w:sz="4" w:space="0" w:color="auto"/>
              <w:right w:val="nil"/>
            </w:tcBorders>
            <w:shd w:val="clear" w:color="000000" w:fill="FFFFFF"/>
            <w:vAlign w:val="center"/>
          </w:tcPr>
          <w:p w:rsidR="00C82EE5" w:rsidRPr="002D02F3" w:rsidRDefault="00C82EE5" w:rsidP="001A5BF9">
            <w:pPr>
              <w:spacing w:beforeLines="80" w:before="192" w:after="80"/>
              <w:rPr>
                <w:rFonts w:cs="Arial"/>
                <w:sz w:val="16"/>
                <w:szCs w:val="16"/>
              </w:rPr>
            </w:pPr>
            <w:r w:rsidRPr="002D02F3">
              <w:rPr>
                <w:sz w:val="16"/>
              </w:rPr>
              <w:t>Échanges ouverts, transparents et dynamiques avec</w:t>
            </w:r>
            <w:r w:rsidR="00A20444" w:rsidRPr="002D02F3">
              <w:rPr>
                <w:sz w:val="16"/>
              </w:rPr>
              <w:t xml:space="preserve"> les ONG</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Lines="80" w:before="192" w:after="80"/>
              <w:jc w:val="right"/>
              <w:rPr>
                <w:rFonts w:cs="Arial"/>
                <w:sz w:val="16"/>
                <w:szCs w:val="16"/>
              </w:rPr>
            </w:pPr>
            <w:r w:rsidRPr="002D02F3">
              <w:rPr>
                <w:sz w:val="16"/>
              </w:rPr>
              <w:t xml:space="preserve">1 194 </w:t>
            </w:r>
          </w:p>
        </w:tc>
        <w:tc>
          <w:tcPr>
            <w:tcW w:w="1559" w:type="dxa"/>
            <w:tcBorders>
              <w:top w:val="nil"/>
              <w:left w:val="nil"/>
              <w:bottom w:val="nil"/>
              <w:right w:val="nil"/>
            </w:tcBorders>
            <w:shd w:val="clear" w:color="000000" w:fill="FFFFFF"/>
            <w:vAlign w:val="center"/>
          </w:tcPr>
          <w:p w:rsidR="00C82EE5" w:rsidRPr="002D02F3" w:rsidRDefault="00C82EE5" w:rsidP="001A5BF9">
            <w:pPr>
              <w:spacing w:beforeLines="80" w:before="192" w:after="80"/>
              <w:jc w:val="right"/>
              <w:rPr>
                <w:rFonts w:cs="Arial"/>
                <w:sz w:val="16"/>
                <w:szCs w:val="16"/>
              </w:rPr>
            </w:pPr>
            <w:r w:rsidRPr="002D02F3">
              <w:rPr>
                <w:sz w:val="16"/>
              </w:rPr>
              <w:t xml:space="preserve">1 130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Lines="80" w:before="192" w:after="80"/>
              <w:jc w:val="right"/>
              <w:rPr>
                <w:rFonts w:cs="Arial"/>
                <w:sz w:val="16"/>
                <w:szCs w:val="16"/>
              </w:rPr>
            </w:pPr>
            <w:r w:rsidRPr="002D02F3">
              <w:rPr>
                <w:sz w:val="16"/>
              </w:rPr>
              <w:t xml:space="preserve">980 </w:t>
            </w:r>
          </w:p>
        </w:tc>
      </w:tr>
      <w:tr w:rsidR="00C82EE5" w:rsidRPr="002D02F3" w:rsidTr="0056083E">
        <w:tc>
          <w:tcPr>
            <w:tcW w:w="609" w:type="dxa"/>
            <w:tcBorders>
              <w:top w:val="nil"/>
              <w:left w:val="single" w:sz="4" w:space="0" w:color="auto"/>
              <w:bottom w:val="single" w:sz="4" w:space="0" w:color="auto"/>
              <w:right w:val="nil"/>
            </w:tcBorders>
            <w:shd w:val="clear" w:color="000000" w:fill="CCFFFF"/>
            <w:noWrap/>
            <w:vAlign w:val="bottom"/>
          </w:tcPr>
          <w:p w:rsidR="00C82EE5" w:rsidRPr="002D02F3" w:rsidRDefault="00C82EE5" w:rsidP="001A5BF9">
            <w:pPr>
              <w:spacing w:beforeLines="80" w:before="192" w:after="80"/>
              <w:jc w:val="center"/>
              <w:rPr>
                <w:rFonts w:cs="Arial"/>
                <w:b/>
                <w:bCs/>
                <w:sz w:val="16"/>
                <w:szCs w:val="16"/>
              </w:rPr>
            </w:pPr>
            <w:r w:rsidRPr="002D02F3">
              <w:rPr>
                <w:b/>
                <w:sz w:val="16"/>
              </w:rPr>
              <w:t> </w:t>
            </w:r>
          </w:p>
        </w:tc>
        <w:tc>
          <w:tcPr>
            <w:tcW w:w="4216" w:type="dxa"/>
            <w:tcBorders>
              <w:top w:val="nil"/>
              <w:left w:val="nil"/>
              <w:bottom w:val="single" w:sz="4" w:space="0" w:color="auto"/>
              <w:right w:val="nil"/>
            </w:tcBorders>
            <w:shd w:val="clear" w:color="000000" w:fill="CCFFFF"/>
            <w:noWrap/>
            <w:vAlign w:val="center"/>
          </w:tcPr>
          <w:p w:rsidR="00C82EE5" w:rsidRPr="002D02F3" w:rsidRDefault="00C82EE5" w:rsidP="001A5BF9">
            <w:pPr>
              <w:spacing w:beforeLines="80" w:before="192" w:after="80"/>
              <w:rPr>
                <w:rFonts w:cs="Arial"/>
                <w:b/>
                <w:bCs/>
                <w:sz w:val="16"/>
                <w:szCs w:val="16"/>
              </w:rPr>
            </w:pPr>
            <w:r w:rsidRPr="002D02F3">
              <w:rPr>
                <w:b/>
                <w:sz w:val="16"/>
              </w:rPr>
              <w:t>Total</w:t>
            </w:r>
          </w:p>
        </w:tc>
        <w:tc>
          <w:tcPr>
            <w:tcW w:w="1559" w:type="dxa"/>
            <w:tcBorders>
              <w:top w:val="single" w:sz="4" w:space="0" w:color="auto"/>
              <w:left w:val="single" w:sz="4" w:space="0" w:color="auto"/>
              <w:bottom w:val="single" w:sz="4" w:space="0" w:color="auto"/>
              <w:right w:val="single" w:sz="4" w:space="0" w:color="auto"/>
            </w:tcBorders>
            <w:shd w:val="clear" w:color="000000" w:fill="CCFFFF"/>
            <w:vAlign w:val="center"/>
          </w:tcPr>
          <w:p w:rsidR="00C82EE5" w:rsidRPr="002D02F3" w:rsidRDefault="00C82EE5" w:rsidP="001A5BF9">
            <w:pPr>
              <w:spacing w:beforeLines="80" w:before="192" w:after="80"/>
              <w:jc w:val="right"/>
              <w:rPr>
                <w:rFonts w:cs="Arial"/>
                <w:b/>
                <w:bCs/>
                <w:sz w:val="16"/>
                <w:szCs w:val="16"/>
              </w:rPr>
            </w:pPr>
            <w:r w:rsidRPr="002D02F3">
              <w:rPr>
                <w:b/>
                <w:sz w:val="16"/>
              </w:rPr>
              <w:t>10 912</w:t>
            </w:r>
          </w:p>
        </w:tc>
        <w:tc>
          <w:tcPr>
            <w:tcW w:w="1559" w:type="dxa"/>
            <w:tcBorders>
              <w:top w:val="single" w:sz="4" w:space="0" w:color="auto"/>
              <w:left w:val="nil"/>
              <w:bottom w:val="single" w:sz="4" w:space="0" w:color="auto"/>
              <w:right w:val="single" w:sz="4" w:space="0" w:color="auto"/>
            </w:tcBorders>
            <w:shd w:val="clear" w:color="000000" w:fill="CCFFFF"/>
            <w:noWrap/>
            <w:vAlign w:val="center"/>
          </w:tcPr>
          <w:p w:rsidR="00C82EE5" w:rsidRPr="002D02F3" w:rsidRDefault="00C82EE5" w:rsidP="001A5BF9">
            <w:pPr>
              <w:spacing w:beforeLines="80" w:before="192" w:after="80"/>
              <w:jc w:val="right"/>
              <w:rPr>
                <w:rFonts w:cs="Arial"/>
                <w:b/>
                <w:bCs/>
                <w:sz w:val="16"/>
                <w:szCs w:val="16"/>
              </w:rPr>
            </w:pPr>
            <w:r w:rsidRPr="002D02F3">
              <w:rPr>
                <w:b/>
                <w:sz w:val="16"/>
              </w:rPr>
              <w:t>10 510</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Lines="80" w:before="192" w:after="80"/>
              <w:jc w:val="right"/>
              <w:rPr>
                <w:rFonts w:cs="Arial"/>
                <w:b/>
                <w:bCs/>
                <w:sz w:val="16"/>
                <w:szCs w:val="16"/>
              </w:rPr>
            </w:pPr>
            <w:r w:rsidRPr="002D02F3">
              <w:rPr>
                <w:b/>
                <w:sz w:val="16"/>
              </w:rPr>
              <w:t>9 657</w:t>
            </w:r>
          </w:p>
        </w:tc>
      </w:tr>
    </w:tbl>
    <w:p w:rsidR="00D42474" w:rsidRDefault="00D42474" w:rsidP="001A5BF9">
      <w:pPr>
        <w:pStyle w:val="NormalWeb"/>
        <w:spacing w:before="0" w:beforeAutospacing="0" w:after="0" w:afterAutospacing="0"/>
        <w:jc w:val="center"/>
        <w:rPr>
          <w:sz w:val="20"/>
          <w:szCs w:val="20"/>
        </w:rPr>
      </w:pPr>
    </w:p>
    <w:p w:rsidR="00D42474" w:rsidRDefault="00D42474" w:rsidP="001A5BF9">
      <w:pPr>
        <w:pStyle w:val="NormalWeb"/>
        <w:spacing w:before="0" w:beforeAutospacing="0" w:after="0" w:afterAutospacing="0"/>
        <w:jc w:val="center"/>
        <w:rPr>
          <w:sz w:val="20"/>
          <w:szCs w:val="20"/>
        </w:rPr>
      </w:pPr>
    </w:p>
    <w:p w:rsidR="00D42474" w:rsidRDefault="00C82EE5" w:rsidP="001A5BF9">
      <w:pPr>
        <w:pStyle w:val="NormalWeb"/>
        <w:spacing w:before="0" w:beforeAutospacing="0" w:after="0" w:afterAutospacing="0"/>
        <w:jc w:val="center"/>
        <w:rPr>
          <w:sz w:val="20"/>
        </w:rPr>
      </w:pPr>
      <w:r w:rsidRPr="002D02F3">
        <w:rPr>
          <w:sz w:val="20"/>
        </w:rPr>
        <w:t xml:space="preserve">Budget et dépenses effectives (dépenses de </w:t>
      </w:r>
      <w:proofErr w:type="gramStart"/>
      <w:r w:rsidRPr="002D02F3">
        <w:rPr>
          <w:sz w:val="20"/>
        </w:rPr>
        <w:t>personnel et autres dépenses</w:t>
      </w:r>
      <w:proofErr w:type="gramEnd"/>
      <w:r w:rsidRPr="002D02F3">
        <w:rPr>
          <w:sz w:val="20"/>
        </w:rPr>
        <w:t>)</w:t>
      </w:r>
    </w:p>
    <w:p w:rsidR="00D42474" w:rsidRDefault="00C82EE5"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C82EE5" w:rsidRPr="002D02F3" w:rsidRDefault="00C82EE5" w:rsidP="001A5BF9">
      <w:pPr>
        <w:jc w:val="right"/>
        <w:rPr>
          <w:rFonts w:eastAsia="SimSun" w:cs="Arial"/>
          <w:szCs w:val="20"/>
        </w:rPr>
      </w:pPr>
    </w:p>
    <w:tbl>
      <w:tblPr>
        <w:tblW w:w="9356" w:type="dxa"/>
        <w:tblInd w:w="108" w:type="dxa"/>
        <w:tblLook w:val="04A0" w:firstRow="1" w:lastRow="0" w:firstColumn="1" w:lastColumn="0" w:noHBand="0" w:noVBand="1"/>
      </w:tblPr>
      <w:tblGrid>
        <w:gridCol w:w="2695"/>
        <w:gridCol w:w="1665"/>
        <w:gridCol w:w="1665"/>
        <w:gridCol w:w="1665"/>
        <w:gridCol w:w="1666"/>
      </w:tblGrid>
      <w:tr w:rsidR="00C82EE5" w:rsidRPr="002D02F3" w:rsidTr="0056083E">
        <w:tc>
          <w:tcPr>
            <w:tcW w:w="2695"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rPr>
                <w:rFonts w:cs="Arial"/>
                <w:sz w:val="16"/>
                <w:szCs w:val="16"/>
              </w:rPr>
            </w:pPr>
            <w:r w:rsidRPr="002D02F3">
              <w:rPr>
                <w:sz w:val="16"/>
              </w:rPr>
              <w:t> </w:t>
            </w:r>
          </w:p>
        </w:tc>
        <w:tc>
          <w:tcPr>
            <w:tcW w:w="1665"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665"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665"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666"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utilisation (</w:t>
            </w:r>
            <w:r w:rsidR="007E442D" w:rsidRPr="002D02F3">
              <w:rPr>
                <w:sz w:val="16"/>
              </w:rPr>
              <w:t>%</w:t>
            </w:r>
            <w:r w:rsidRPr="002D02F3">
              <w:rPr>
                <w:sz w:val="16"/>
              </w:rPr>
              <w:t>)</w:t>
            </w:r>
          </w:p>
        </w:tc>
      </w:tr>
      <w:tr w:rsidR="00C82EE5" w:rsidRPr="002D02F3" w:rsidTr="0056083E">
        <w:trPr>
          <w:trHeight w:val="502"/>
        </w:trPr>
        <w:tc>
          <w:tcPr>
            <w:tcW w:w="2695"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665"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7 554</w:t>
            </w:r>
          </w:p>
        </w:tc>
        <w:tc>
          <w:tcPr>
            <w:tcW w:w="1665"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7 237</w:t>
            </w:r>
          </w:p>
        </w:tc>
        <w:tc>
          <w:tcPr>
            <w:tcW w:w="1665"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7 237</w:t>
            </w:r>
          </w:p>
        </w:tc>
        <w:tc>
          <w:tcPr>
            <w:tcW w:w="1666"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100</w:t>
            </w:r>
            <w:r w:rsidR="007E442D" w:rsidRPr="002D02F3">
              <w:rPr>
                <w:sz w:val="16"/>
              </w:rPr>
              <w:t>%</w:t>
            </w:r>
          </w:p>
        </w:tc>
      </w:tr>
      <w:tr w:rsidR="00C82EE5" w:rsidRPr="002D02F3" w:rsidTr="0056083E">
        <w:trPr>
          <w:trHeight w:val="502"/>
        </w:trPr>
        <w:tc>
          <w:tcPr>
            <w:tcW w:w="2695"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rPr>
                <w:rFonts w:cs="Arial"/>
                <w:sz w:val="16"/>
                <w:szCs w:val="16"/>
              </w:rPr>
            </w:pPr>
            <w:r w:rsidRPr="002D02F3">
              <w:rPr>
                <w:sz w:val="16"/>
              </w:rPr>
              <w:t xml:space="preserve">Autres dépenses </w:t>
            </w:r>
          </w:p>
        </w:tc>
        <w:tc>
          <w:tcPr>
            <w:tcW w:w="1665"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3 358</w:t>
            </w:r>
          </w:p>
        </w:tc>
        <w:tc>
          <w:tcPr>
            <w:tcW w:w="1665"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3 273</w:t>
            </w:r>
          </w:p>
        </w:tc>
        <w:tc>
          <w:tcPr>
            <w:tcW w:w="1665"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2 420</w:t>
            </w:r>
          </w:p>
        </w:tc>
        <w:tc>
          <w:tcPr>
            <w:tcW w:w="1666"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74</w:t>
            </w:r>
            <w:r w:rsidR="007E442D" w:rsidRPr="002D02F3">
              <w:rPr>
                <w:sz w:val="16"/>
              </w:rPr>
              <w:t>%</w:t>
            </w:r>
          </w:p>
        </w:tc>
      </w:tr>
      <w:tr w:rsidR="00C82EE5" w:rsidRPr="002D02F3" w:rsidTr="0056083E">
        <w:trPr>
          <w:trHeight w:val="502"/>
        </w:trPr>
        <w:tc>
          <w:tcPr>
            <w:tcW w:w="2695"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jc w:val="right"/>
              <w:rPr>
                <w:rFonts w:cs="Arial"/>
                <w:b/>
                <w:bCs/>
                <w:sz w:val="16"/>
                <w:szCs w:val="16"/>
              </w:rPr>
            </w:pPr>
            <w:r w:rsidRPr="002D02F3">
              <w:rPr>
                <w:b/>
                <w:sz w:val="16"/>
              </w:rPr>
              <w:t xml:space="preserve"> TOTAL </w:t>
            </w:r>
          </w:p>
        </w:tc>
        <w:tc>
          <w:tcPr>
            <w:tcW w:w="1665"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bCs/>
                <w:sz w:val="16"/>
                <w:szCs w:val="16"/>
              </w:rPr>
            </w:pPr>
            <w:r w:rsidRPr="002D02F3">
              <w:rPr>
                <w:b/>
                <w:sz w:val="16"/>
              </w:rPr>
              <w:t>10 912</w:t>
            </w:r>
          </w:p>
        </w:tc>
        <w:tc>
          <w:tcPr>
            <w:tcW w:w="1665"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10 510</w:t>
            </w:r>
          </w:p>
        </w:tc>
        <w:tc>
          <w:tcPr>
            <w:tcW w:w="1665"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9 657</w:t>
            </w:r>
          </w:p>
        </w:tc>
        <w:tc>
          <w:tcPr>
            <w:tcW w:w="1666"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92</w:t>
            </w:r>
            <w:r w:rsidR="007E442D" w:rsidRPr="002D02F3">
              <w:rPr>
                <w:b/>
                <w:sz w:val="16"/>
              </w:rPr>
              <w:t>%</w:t>
            </w:r>
          </w:p>
        </w:tc>
      </w:tr>
    </w:tbl>
    <w:p w:rsidR="00D42474" w:rsidRDefault="00D42474" w:rsidP="001A5BF9">
      <w:pPr>
        <w:rPr>
          <w:rFonts w:eastAsia="SimSun" w:cs="Arial"/>
          <w:szCs w:val="20"/>
        </w:rPr>
      </w:pPr>
    </w:p>
    <w:p w:rsidR="00D42474" w:rsidRDefault="00C82EE5" w:rsidP="001A5BF9">
      <w:pPr>
        <w:keepNext/>
        <w:autoSpaceDE w:val="0"/>
        <w:autoSpaceDN w:val="0"/>
        <w:rPr>
          <w:rFonts w:cs="Arial"/>
          <w:sz w:val="16"/>
          <w:szCs w:val="16"/>
        </w:rPr>
      </w:pPr>
      <w:proofErr w:type="gramStart"/>
      <w:r w:rsidRPr="002D02F3">
        <w:rPr>
          <w:sz w:val="16"/>
        </w:rPr>
        <w:t>NOTES</w:t>
      </w:r>
      <w:proofErr w:type="gramEnd"/>
      <w:r w:rsidR="0010442A" w:rsidRPr="002D02F3">
        <w:rPr>
          <w:sz w:val="16"/>
        </w:rPr>
        <w:t> </w:t>
      </w:r>
      <w:r w:rsidRPr="002D02F3">
        <w:rPr>
          <w:sz w:val="16"/>
        </w:rPr>
        <w:t>:</w:t>
      </w:r>
    </w:p>
    <w:p w:rsidR="00D42474" w:rsidRDefault="00D42474" w:rsidP="001A5BF9">
      <w:pPr>
        <w:keepNext/>
        <w:autoSpaceDE w:val="0"/>
        <w:autoSpaceDN w:val="0"/>
        <w:rPr>
          <w:rFonts w:cs="Arial"/>
          <w:sz w:val="16"/>
          <w:szCs w:val="16"/>
        </w:rPr>
      </w:pPr>
    </w:p>
    <w:p w:rsidR="00D42474" w:rsidRDefault="00C82EE5" w:rsidP="001A5BF9">
      <w:pPr>
        <w:keepNext/>
        <w:autoSpaceDE w:val="0"/>
        <w:autoSpaceDN w:val="0"/>
        <w:rPr>
          <w:rFonts w:cs="Arial"/>
          <w:sz w:val="16"/>
          <w:szCs w:val="16"/>
        </w:rPr>
      </w:pPr>
      <w:r w:rsidRPr="002D02F3">
        <w:rPr>
          <w:sz w:val="16"/>
        </w:rPr>
        <w:t>1)</w:t>
      </w:r>
      <w:r w:rsidR="004F3E42" w:rsidRPr="002D02F3">
        <w:rPr>
          <w:sz w:val="16"/>
        </w:rPr>
        <w:t xml:space="preserve"> </w:t>
      </w:r>
      <w:r w:rsidR="003C618F">
        <w:rPr>
          <w:sz w:val="16"/>
        </w:rPr>
        <w:tab/>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keepNext/>
        <w:autoSpaceDE w:val="0"/>
        <w:autoSpaceDN w:val="0"/>
        <w:rPr>
          <w:rFonts w:cs="Arial"/>
          <w:sz w:val="16"/>
          <w:szCs w:val="16"/>
        </w:rPr>
      </w:pPr>
    </w:p>
    <w:p w:rsidR="00D42474" w:rsidRDefault="003C618F" w:rsidP="001A5BF9">
      <w:pPr>
        <w:keepNext/>
        <w:autoSpaceDE w:val="0"/>
        <w:autoSpaceDN w:val="0"/>
        <w:rPr>
          <w:sz w:val="16"/>
        </w:rPr>
      </w:pPr>
      <w:r>
        <w:rPr>
          <w:sz w:val="16"/>
        </w:rPr>
        <w:t>2)</w:t>
      </w:r>
      <w:r>
        <w:rPr>
          <w:sz w:val="16"/>
        </w:rPr>
        <w:tab/>
      </w:r>
      <w:r w:rsidR="00C82EE5" w:rsidRPr="002D02F3">
        <w:rPr>
          <w:sz w:val="16"/>
        </w:rPr>
        <w:t>Les dépenses de personnel indiquées dans le budget de l</w:t>
      </w:r>
      <w:r w:rsidR="00A20444" w:rsidRPr="002D02F3">
        <w:rPr>
          <w:sz w:val="16"/>
        </w:rPr>
        <w:t>’</w:t>
      </w:r>
      <w:r w:rsidR="00C82EE5" w:rsidRPr="002D02F3">
        <w:rPr>
          <w:sz w:val="16"/>
        </w:rPr>
        <w:t>exercice 2012</w:t>
      </w:r>
      <w:r w:rsidR="002D6F2A" w:rsidRPr="002D02F3">
        <w:rPr>
          <w:sz w:val="16"/>
        </w:rPr>
        <w:noBreakHyphen/>
      </w:r>
      <w:r w:rsidR="00C82EE5" w:rsidRPr="002D02F3">
        <w:rPr>
          <w:sz w:val="16"/>
        </w:rPr>
        <w:t>2013 après virements représentent les dépenses réelles engagées pendant l</w:t>
      </w:r>
      <w:r w:rsidR="00A20444" w:rsidRPr="002D02F3">
        <w:rPr>
          <w:sz w:val="16"/>
        </w:rPr>
        <w:t>’</w:t>
      </w:r>
      <w:r w:rsidR="00C82EE5" w:rsidRPr="002D02F3">
        <w:rPr>
          <w:sz w:val="16"/>
        </w:rPr>
        <w:t>exercice biennal.</w:t>
      </w:r>
    </w:p>
    <w:p w:rsidR="00D42474" w:rsidRDefault="00D42474" w:rsidP="001A5BF9">
      <w:pPr>
        <w:rPr>
          <w:rFonts w:eastAsia="SimSun" w:cs="Arial"/>
          <w:szCs w:val="20"/>
        </w:rPr>
      </w:pPr>
    </w:p>
    <w:p w:rsidR="00D42474" w:rsidRDefault="00D42474" w:rsidP="001A5BF9">
      <w:pPr>
        <w:rPr>
          <w:rFonts w:eastAsia="SimSun" w:cs="Arial"/>
          <w:szCs w:val="20"/>
        </w:rPr>
      </w:pPr>
    </w:p>
    <w:p w:rsidR="00D42474" w:rsidRDefault="003C618F">
      <w:r>
        <w:br w:type="page"/>
      </w:r>
    </w:p>
    <w:p w:rsidR="00D42474" w:rsidRDefault="00C82EE5" w:rsidP="001A5BF9">
      <w:pPr>
        <w:tabs>
          <w:tab w:val="left" w:pos="709"/>
        </w:tabs>
        <w:rPr>
          <w:rFonts w:eastAsia="SimSun" w:cs="Arial"/>
          <w:szCs w:val="20"/>
          <w:u w:val="single"/>
        </w:rPr>
      </w:pPr>
      <w:r w:rsidRPr="002D02F3">
        <w:t>A.</w:t>
      </w:r>
      <w:r w:rsidRPr="002D02F3">
        <w:tab/>
      </w:r>
      <w:r w:rsidRPr="003C618F">
        <w:rPr>
          <w:u w:val="single"/>
        </w:rPr>
        <w:t>Budget 2012</w:t>
      </w:r>
      <w:r w:rsidR="002D6F2A" w:rsidRPr="003C618F">
        <w:rPr>
          <w:u w:val="single"/>
        </w:rPr>
        <w:noBreakHyphen/>
      </w:r>
      <w:r w:rsidRPr="003C618F">
        <w:rPr>
          <w:u w:val="single"/>
        </w:rPr>
        <w:t>2013 après virements</w:t>
      </w:r>
    </w:p>
    <w:p w:rsidR="00D42474" w:rsidRDefault="00D42474" w:rsidP="001A5BF9">
      <w:pPr>
        <w:tabs>
          <w:tab w:val="left" w:pos="709"/>
        </w:tabs>
        <w:rPr>
          <w:rFonts w:eastAsia="SimSun" w:cs="Arial"/>
          <w:szCs w:val="20"/>
        </w:rPr>
      </w:pPr>
    </w:p>
    <w:p w:rsidR="00D42474" w:rsidRDefault="00C82EE5" w:rsidP="001A5BF9">
      <w:pPr>
        <w:keepNext/>
        <w:tabs>
          <w:tab w:val="left" w:pos="709"/>
        </w:tabs>
        <w:autoSpaceDE w:val="0"/>
        <w:autoSpaceDN w:val="0"/>
        <w:jc w:val="both"/>
        <w:rPr>
          <w:rFonts w:cs="Arial"/>
          <w:szCs w:val="20"/>
        </w:rPr>
      </w:pPr>
      <w:r w:rsidRPr="002D02F3">
        <w:t>20.26.</w:t>
      </w:r>
      <w:r w:rsidRPr="002D02F3">
        <w:tab/>
        <w:t>L</w:t>
      </w:r>
      <w:r w:rsidR="00A20444" w:rsidRPr="002D02F3">
        <w:t>’</w:t>
      </w:r>
      <w:r w:rsidRPr="002D02F3">
        <w:t>affectation aux dépenses autres pour le budget 2012</w:t>
      </w:r>
      <w:r w:rsidR="002D6F2A" w:rsidRPr="002D02F3">
        <w:noBreakHyphen/>
      </w:r>
      <w:r w:rsidRPr="002D02F3">
        <w:t>2013 après virements, tient compte des ajustements à la baisse opérés pour réduire les coûts conformément aux engagements de l</w:t>
      </w:r>
      <w:r w:rsidR="00A20444" w:rsidRPr="002D02F3">
        <w:t>’</w:t>
      </w:r>
      <w:r w:rsidRPr="002D02F3">
        <w:t>Organisation de réduire les dépenses de 10,2</w:t>
      </w:r>
      <w:r w:rsidR="0010442A" w:rsidRPr="002D02F3">
        <w:t> </w:t>
      </w:r>
      <w:r w:rsidRPr="002D02F3">
        <w:t>millions de francs suisses pour l</w:t>
      </w:r>
      <w:r w:rsidR="00A20444" w:rsidRPr="002D02F3">
        <w:t>’</w:t>
      </w:r>
      <w:r w:rsidRPr="002D02F3">
        <w:t>exercice biennal</w:t>
      </w:r>
      <w:r w:rsidR="0010442A" w:rsidRPr="002D02F3">
        <w:t> </w:t>
      </w:r>
      <w:r w:rsidRPr="002D02F3">
        <w:t>2012</w:t>
      </w:r>
      <w:r w:rsidR="002D6F2A" w:rsidRPr="002D02F3">
        <w:noBreakHyphen/>
      </w:r>
      <w:r w:rsidRPr="002D02F3">
        <w:t>2013.</w:t>
      </w:r>
    </w:p>
    <w:p w:rsidR="00D42474" w:rsidRDefault="00D42474" w:rsidP="001A5BF9">
      <w:pPr>
        <w:tabs>
          <w:tab w:val="left" w:pos="709"/>
        </w:tabs>
        <w:jc w:val="both"/>
        <w:rPr>
          <w:rFonts w:eastAsia="SimSun" w:cs="Arial"/>
          <w:szCs w:val="20"/>
        </w:rPr>
      </w:pPr>
    </w:p>
    <w:p w:rsidR="00D42474" w:rsidRDefault="00C82EE5" w:rsidP="001A5BF9">
      <w:pPr>
        <w:tabs>
          <w:tab w:val="left" w:pos="709"/>
        </w:tabs>
        <w:jc w:val="both"/>
      </w:pPr>
      <w:r w:rsidRPr="002D02F3">
        <w:t>20.27.</w:t>
      </w:r>
      <w:r w:rsidRPr="002D02F3">
        <w:tab/>
        <w:t>La répartition des ressources dans les résultats individuels traduit essentiellement la concentration des offices extérieurs sur les services à l</w:t>
      </w:r>
      <w:r w:rsidR="00A20444" w:rsidRPr="002D02F3">
        <w:t>’</w:t>
      </w:r>
      <w:r w:rsidRPr="002D02F3">
        <w:t>appui des services mondiaux de propriété intellectuelle de l</w:t>
      </w:r>
      <w:r w:rsidR="00A20444" w:rsidRPr="002D02F3">
        <w:t>’</w:t>
      </w:r>
      <w:r w:rsidRPr="002D02F3">
        <w:t>OMPI, en particulier dans le cadre du résultat </w:t>
      </w:r>
      <w:proofErr w:type="spellStart"/>
      <w:r w:rsidRPr="002D02F3">
        <w:t>II.1</w:t>
      </w:r>
      <w:proofErr w:type="spellEnd"/>
      <w:r w:rsidRPr="002D02F3">
        <w:t xml:space="preserve"> (Utilisation stratégique en connaissance de cause du PCT) et le recentrage de la mobilisation des ressources extrabudgétaires dans le cadre du résultat </w:t>
      </w:r>
      <w:proofErr w:type="spellStart"/>
      <w:r w:rsidRPr="002D02F3">
        <w:t>III.10</w:t>
      </w:r>
      <w:proofErr w:type="spellEnd"/>
      <w:r w:rsidRPr="002D02F3">
        <w:t xml:space="preserve"> (Augmentation des ressources </w:t>
      </w:r>
      <w:r w:rsidR="000F1A6E" w:rsidRPr="002D02F3">
        <w:t>extrabudgétaires</w:t>
      </w:r>
      <w:r w:rsidRPr="002D02F3">
        <w:t xml:space="preserve"> disponibles aux fins du développement de la propriété intellectuelle).</w:t>
      </w:r>
    </w:p>
    <w:p w:rsidR="00D42474" w:rsidRDefault="00D42474" w:rsidP="001A5BF9">
      <w:pPr>
        <w:tabs>
          <w:tab w:val="left" w:pos="709"/>
        </w:tabs>
        <w:jc w:val="both"/>
        <w:rPr>
          <w:rFonts w:eastAsia="SimSun" w:cs="Arial"/>
          <w:szCs w:val="20"/>
        </w:rPr>
      </w:pPr>
    </w:p>
    <w:p w:rsidR="00D42474" w:rsidRDefault="00C82EE5" w:rsidP="001A5BF9">
      <w:pPr>
        <w:tabs>
          <w:tab w:val="left" w:pos="709"/>
        </w:tabs>
        <w:jc w:val="both"/>
        <w:rPr>
          <w:rFonts w:eastAsia="SimSun" w:cs="Arial"/>
          <w:szCs w:val="20"/>
          <w:u w:val="single"/>
        </w:rPr>
      </w:pPr>
      <w:r w:rsidRPr="002D02F3">
        <w:t>B.</w:t>
      </w:r>
      <w:r w:rsidRPr="002D02F3">
        <w:tab/>
      </w:r>
      <w:r w:rsidRPr="002D02F3">
        <w:rPr>
          <w:u w:val="single"/>
        </w:rPr>
        <w:t>Utilisation du budget 2012</w:t>
      </w:r>
      <w:r w:rsidR="002D6F2A" w:rsidRPr="002D02F3">
        <w:rPr>
          <w:u w:val="single"/>
        </w:rPr>
        <w:noBreakHyphen/>
      </w:r>
      <w:r w:rsidRPr="002D02F3">
        <w:rPr>
          <w:u w:val="single"/>
        </w:rPr>
        <w:t>2013</w:t>
      </w:r>
    </w:p>
    <w:p w:rsidR="00D42474" w:rsidRDefault="00D42474" w:rsidP="001A5BF9">
      <w:pPr>
        <w:tabs>
          <w:tab w:val="left" w:pos="709"/>
        </w:tabs>
        <w:jc w:val="both"/>
        <w:rPr>
          <w:rFonts w:eastAsia="SimSun" w:cs="Arial"/>
          <w:szCs w:val="20"/>
          <w:u w:val="single"/>
        </w:rPr>
      </w:pPr>
    </w:p>
    <w:p w:rsidR="00D42474" w:rsidRDefault="00C82EE5" w:rsidP="001A5BF9">
      <w:pPr>
        <w:tabs>
          <w:tab w:val="left" w:pos="709"/>
        </w:tabs>
        <w:jc w:val="both"/>
      </w:pPr>
      <w:r w:rsidRPr="002D02F3">
        <w:t>20.28.</w:t>
      </w:r>
      <w:r w:rsidRPr="002D02F3">
        <w:tab/>
        <w:t>L</w:t>
      </w:r>
      <w:r w:rsidR="00A20444" w:rsidRPr="002D02F3">
        <w:t>’</w:t>
      </w:r>
      <w:r w:rsidRPr="002D02F3">
        <w:t>utilisation de 74</w:t>
      </w:r>
      <w:r w:rsidR="007E442D" w:rsidRPr="002D02F3">
        <w:t>%</w:t>
      </w:r>
      <w:r w:rsidRPr="002D02F3">
        <w:t xml:space="preserve"> du bud</w:t>
      </w:r>
      <w:r w:rsidR="003C618F">
        <w:t>get est essentiellement liée à</w:t>
      </w:r>
    </w:p>
    <w:p w:rsidR="00D42474" w:rsidRDefault="00D42474" w:rsidP="001A5BF9">
      <w:pPr>
        <w:tabs>
          <w:tab w:val="left" w:pos="709"/>
        </w:tabs>
        <w:jc w:val="both"/>
        <w:rPr>
          <w:rFonts w:eastAsia="SimSun" w:cs="Arial"/>
          <w:szCs w:val="20"/>
        </w:rPr>
      </w:pPr>
    </w:p>
    <w:p w:rsidR="00D42474" w:rsidRDefault="00C82EE5" w:rsidP="001A5BF9">
      <w:pPr>
        <w:tabs>
          <w:tab w:val="left" w:pos="709"/>
          <w:tab w:val="left" w:pos="1134"/>
        </w:tabs>
        <w:ind w:left="1134" w:hanging="425"/>
        <w:jc w:val="both"/>
        <w:rPr>
          <w:rFonts w:cs="Arial"/>
          <w:szCs w:val="20"/>
        </w:rPr>
      </w:pPr>
      <w:r w:rsidRPr="002D02F3">
        <w:t>i)</w:t>
      </w:r>
      <w:r w:rsidRPr="002D02F3">
        <w:tab/>
        <w:t xml:space="preserve">la mobilisation des ressources </w:t>
      </w:r>
      <w:r w:rsidR="000F1A6E" w:rsidRPr="002D02F3">
        <w:t>extrabudgétaires</w:t>
      </w:r>
      <w:r w:rsidRPr="002D02F3">
        <w:t xml:space="preserve"> dans le cadre du résultat </w:t>
      </w:r>
      <w:proofErr w:type="spellStart"/>
      <w:r w:rsidRPr="002D02F3">
        <w:t>III.10</w:t>
      </w:r>
      <w:proofErr w:type="spellEnd"/>
      <w:r w:rsidRPr="002D02F3">
        <w:t xml:space="preserve"> (Augmentation des ressources </w:t>
      </w:r>
      <w:r w:rsidR="000F1A6E" w:rsidRPr="002D02F3">
        <w:t>extrabudgétaires</w:t>
      </w:r>
      <w:r w:rsidRPr="002D02F3">
        <w:t>) : recentrage de la cible et de la méthode de mobilisation des ressources aboutissant à la réduction des dépenses;</w:t>
      </w:r>
      <w:r w:rsidR="004F3E42" w:rsidRPr="002D02F3">
        <w:t xml:space="preserve"> </w:t>
      </w:r>
      <w:r w:rsidR="0010442A" w:rsidRPr="002D02F3">
        <w:t xml:space="preserve"> </w:t>
      </w:r>
      <w:r w:rsidRPr="002D02F3">
        <w:t>et</w:t>
      </w:r>
    </w:p>
    <w:p w:rsidR="00D42474" w:rsidRDefault="00D42474" w:rsidP="001A5BF9">
      <w:pPr>
        <w:tabs>
          <w:tab w:val="left" w:pos="709"/>
          <w:tab w:val="left" w:pos="1134"/>
        </w:tabs>
        <w:ind w:left="1134" w:hanging="425"/>
        <w:jc w:val="both"/>
        <w:rPr>
          <w:rFonts w:cs="Arial"/>
          <w:szCs w:val="20"/>
        </w:rPr>
      </w:pPr>
    </w:p>
    <w:p w:rsidR="00D42474" w:rsidRDefault="00C82EE5" w:rsidP="001A5BF9">
      <w:pPr>
        <w:tabs>
          <w:tab w:val="left" w:pos="709"/>
          <w:tab w:val="left" w:pos="1134"/>
        </w:tabs>
        <w:ind w:left="1134" w:hanging="425"/>
        <w:jc w:val="both"/>
        <w:rPr>
          <w:rFonts w:eastAsia="SimSun" w:cs="Arial"/>
          <w:szCs w:val="20"/>
          <w:u w:val="single"/>
        </w:rPr>
      </w:pPr>
      <w:r w:rsidRPr="002D02F3">
        <w:t>ii)</w:t>
      </w:r>
      <w:r w:rsidRPr="002D02F3">
        <w:tab/>
        <w:t>l</w:t>
      </w:r>
      <w:r w:rsidR="00A20444" w:rsidRPr="002D02F3">
        <w:t>’</w:t>
      </w:r>
      <w:r w:rsidRPr="002D02F3">
        <w:t xml:space="preserve">engagement au côté des </w:t>
      </w:r>
      <w:r w:rsidR="00A20444" w:rsidRPr="002D02F3">
        <w:t>Nations Unies</w:t>
      </w:r>
      <w:r w:rsidRPr="002D02F3">
        <w:t xml:space="preserve"> et des organisations intergouvernementales et non gouvernementales reflété dans le cadre des résultats </w:t>
      </w:r>
      <w:proofErr w:type="spellStart"/>
      <w:r w:rsidRPr="002D02F3">
        <w:t>VIII.3</w:t>
      </w:r>
      <w:proofErr w:type="spellEnd"/>
      <w:r w:rsidRPr="002D02F3">
        <w:t xml:space="preserve"> (l</w:t>
      </w:r>
      <w:r w:rsidR="00A20444" w:rsidRPr="002D02F3">
        <w:t>’</w:t>
      </w:r>
      <w:r w:rsidRPr="002D02F3">
        <w:t xml:space="preserve">OMPI interagit efficacement et établit des partenariats avec les </w:t>
      </w:r>
      <w:r w:rsidR="00A20444" w:rsidRPr="002D02F3">
        <w:t>Nations Unies</w:t>
      </w:r>
      <w:r w:rsidRPr="002D02F3">
        <w:t xml:space="preserve"> et d</w:t>
      </w:r>
      <w:r w:rsidR="00A20444" w:rsidRPr="002D02F3">
        <w:t>’</w:t>
      </w:r>
      <w:r w:rsidRPr="002D02F3">
        <w:t>autres processus d</w:t>
      </w:r>
      <w:r w:rsidR="00A20444" w:rsidRPr="002D02F3">
        <w:t>’</w:t>
      </w:r>
      <w:r w:rsidRPr="002D02F3">
        <w:t>organisations intergouvernementales) et </w:t>
      </w:r>
      <w:proofErr w:type="spellStart"/>
      <w:r w:rsidRPr="002D02F3">
        <w:t>VIII.4</w:t>
      </w:r>
      <w:proofErr w:type="spellEnd"/>
      <w:r w:rsidRPr="002D02F3">
        <w:t xml:space="preserve"> (Échanges ouverts, transparents et dynamiques avec les ONG) : un manque de dotation en personnel pendant la première moitié de l</w:t>
      </w:r>
      <w:r w:rsidR="00A20444" w:rsidRPr="002D02F3">
        <w:t>’</w:t>
      </w:r>
      <w:r w:rsidRPr="002D02F3">
        <w:t>exercice biennal qui a nui à la mise en œuvre.</w:t>
      </w:r>
    </w:p>
    <w:p w:rsidR="00D42474" w:rsidRDefault="00D42474" w:rsidP="001A5BF9">
      <w:pPr>
        <w:tabs>
          <w:tab w:val="left" w:pos="709"/>
        </w:tabs>
        <w:autoSpaceDE w:val="0"/>
        <w:autoSpaceDN w:val="0"/>
        <w:adjustRightInd w:val="0"/>
        <w:jc w:val="both"/>
        <w:rPr>
          <w:rFonts w:eastAsia="SimSun"/>
          <w:szCs w:val="20"/>
        </w:rPr>
      </w:pPr>
    </w:p>
    <w:p w:rsidR="00D42474" w:rsidRDefault="00C82EE5" w:rsidP="001A5BF9">
      <w:pPr>
        <w:rPr>
          <w:rFonts w:eastAsia="SimSun"/>
          <w:color w:val="000000"/>
          <w:szCs w:val="20"/>
        </w:rPr>
      </w:pPr>
      <w:r w:rsidRPr="005C7CCE">
        <w:br w:type="page"/>
      </w:r>
    </w:p>
    <w:p w:rsidR="00D42474" w:rsidRDefault="00C82E6A" w:rsidP="00C82E6A">
      <w:pPr>
        <w:pStyle w:val="Heading2"/>
        <w:tabs>
          <w:tab w:val="clear" w:pos="9072"/>
        </w:tabs>
      </w:pPr>
      <w:bookmarkStart w:id="40" w:name="_Toc395082492"/>
      <w:r w:rsidRPr="003D32C1">
        <w:t>OBJECTIF STRAT</w:t>
      </w:r>
      <w:r w:rsidRPr="003D32C1">
        <w:rPr>
          <w:rFonts w:hint="eastAsia"/>
        </w:rPr>
        <w:t>É</w:t>
      </w:r>
      <w:r w:rsidRPr="003D32C1">
        <w:t>GIQUE</w:t>
      </w:r>
      <w:r w:rsidRPr="003D32C1">
        <w:rPr>
          <w:rFonts w:hint="eastAsia"/>
        </w:rPr>
        <w:t> </w:t>
      </w:r>
      <w:r w:rsidRPr="003D32C1">
        <w:t>IX</w:t>
      </w:r>
      <w:r w:rsidRPr="003D32C1">
        <w:tab/>
      </w:r>
      <w:r w:rsidRPr="003D32C1">
        <w:br/>
      </w:r>
      <w:r w:rsidR="00C82EE5" w:rsidRPr="003D32C1">
        <w:br/>
      </w:r>
      <w:r w:rsidR="003D32C1" w:rsidRPr="003D32C1">
        <w:t>Une structure d</w:t>
      </w:r>
      <w:r w:rsidR="00C756AD" w:rsidRPr="003D32C1">
        <w:rPr>
          <w:rFonts w:hint="eastAsia"/>
        </w:rPr>
        <w:t>’</w:t>
      </w:r>
      <w:r w:rsidR="003D32C1" w:rsidRPr="003D32C1">
        <w:t>appui administratif et</w:t>
      </w:r>
      <w:r w:rsidR="00C756AD" w:rsidRPr="003D32C1">
        <w:rPr>
          <w:rFonts w:hint="eastAsia"/>
        </w:rPr>
        <w:t> </w:t>
      </w:r>
      <w:r w:rsidR="003D32C1" w:rsidRPr="003D32C1">
        <w:t>financier efficace</w:t>
      </w:r>
      <w:bookmarkEnd w:id="40"/>
    </w:p>
    <w:p w:rsidR="00D42474" w:rsidRDefault="00D42474" w:rsidP="00C756AD">
      <w:pPr>
        <w:jc w:val="center"/>
      </w:pPr>
    </w:p>
    <w:p w:rsidR="00D42474" w:rsidRDefault="00D42474" w:rsidP="00C756AD">
      <w:pPr>
        <w:jc w:val="center"/>
      </w:pPr>
    </w:p>
    <w:p w:rsidR="00D42474" w:rsidRDefault="00D42474" w:rsidP="001A5BF9">
      <w:pPr>
        <w:jc w:val="center"/>
      </w:pPr>
    </w:p>
    <w:p w:rsidR="00D42474" w:rsidRDefault="00C82EE5" w:rsidP="001A5BF9">
      <w:pPr>
        <w:jc w:val="center"/>
        <w:rPr>
          <w:szCs w:val="20"/>
        </w:rPr>
      </w:pPr>
      <w:r w:rsidRPr="002D02F3">
        <w:t>TABLEAU DE BORD DE L</w:t>
      </w:r>
      <w:r w:rsidR="00A20444" w:rsidRPr="002D02F3">
        <w:t>’</w:t>
      </w:r>
      <w:r w:rsidRPr="002D02F3">
        <w:t>EXÉCUTION DU PROGRAMME BIENNAL</w:t>
      </w:r>
    </w:p>
    <w:p w:rsidR="00D42474" w:rsidRDefault="00D42474" w:rsidP="001A5BF9">
      <w:pPr>
        <w:jc w:val="center"/>
      </w:pPr>
    </w:p>
    <w:p w:rsidR="00D42474" w:rsidRDefault="00C82EE5" w:rsidP="001A5BF9">
      <w:pPr>
        <w:autoSpaceDE w:val="0"/>
        <w:autoSpaceDN w:val="0"/>
        <w:adjustRightInd w:val="0"/>
        <w:jc w:val="both"/>
      </w:pPr>
      <w:r w:rsidRPr="002D02F3">
        <w:t>Le tableau de bord ci</w:t>
      </w:r>
      <w:r w:rsidR="002D6F2A" w:rsidRPr="002D02F3">
        <w:noBreakHyphen/>
      </w:r>
      <w:r w:rsidRPr="002D02F3">
        <w:t>dessous présente un résumé de la réalisation des résultats escomptés pour l</w:t>
      </w:r>
      <w:r w:rsidR="00A20444" w:rsidRPr="002D02F3">
        <w:t>’</w:t>
      </w:r>
      <w:r w:rsidRPr="002D02F3">
        <w:t>exercice biennal 2012</w:t>
      </w:r>
      <w:r w:rsidR="002D6F2A" w:rsidRPr="002D02F3">
        <w:noBreakHyphen/>
      </w:r>
      <w:r w:rsidRPr="002D02F3">
        <w:t xml:space="preserve">2013, telle que mesurée par les indicateurs au titre des programmes contribuant </w:t>
      </w:r>
      <w:r w:rsidRPr="005C7CCE">
        <w:t>à cet objectif stratégique.</w:t>
      </w:r>
    </w:p>
    <w:p w:rsidR="00D42474" w:rsidRDefault="00D42474" w:rsidP="001A5BF9">
      <w:pPr>
        <w:autoSpaceDE w:val="0"/>
        <w:autoSpaceDN w:val="0"/>
        <w:adjustRightInd w:val="0"/>
        <w:jc w:val="both"/>
        <w:rPr>
          <w:rFonts w:cs="Arial"/>
        </w:rPr>
      </w:pPr>
    </w:p>
    <w:p w:rsidR="00D42474" w:rsidRDefault="00C756AD" w:rsidP="001A5BF9">
      <w:pPr>
        <w:autoSpaceDE w:val="0"/>
        <w:autoSpaceDN w:val="0"/>
        <w:adjustRightInd w:val="0"/>
        <w:jc w:val="center"/>
        <w:rPr>
          <w:rFonts w:cs="Arial"/>
        </w:rPr>
      </w:pPr>
      <w:r w:rsidRPr="00C756AD">
        <w:rPr>
          <w:noProof/>
        </w:rPr>
        <w:drawing>
          <wp:inline distT="0" distB="0" distL="0" distR="0" wp14:anchorId="51CB44B3" wp14:editId="7E175BB1">
            <wp:extent cx="3992451" cy="2192451"/>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992724" cy="2192601"/>
                    </a:xfrm>
                    <a:prstGeom prst="rect">
                      <a:avLst/>
                    </a:prstGeom>
                    <a:noFill/>
                    <a:ln>
                      <a:noFill/>
                    </a:ln>
                  </pic:spPr>
                </pic:pic>
              </a:graphicData>
            </a:graphic>
          </wp:inline>
        </w:drawing>
      </w:r>
    </w:p>
    <w:p w:rsidR="00D42474" w:rsidRDefault="00D42474" w:rsidP="001A5BF9">
      <w:pPr>
        <w:autoSpaceDE w:val="0"/>
        <w:autoSpaceDN w:val="0"/>
        <w:adjustRightInd w:val="0"/>
        <w:jc w:val="both"/>
      </w:pPr>
    </w:p>
    <w:p w:rsidR="00C82EE5" w:rsidRPr="005C7CCE" w:rsidRDefault="00C82EE5" w:rsidP="001A5BF9">
      <w:pPr>
        <w:tabs>
          <w:tab w:val="left" w:pos="0"/>
        </w:tabs>
        <w:rPr>
          <w:rFonts w:cs="Arial"/>
          <w:i/>
        </w:rPr>
      </w:pPr>
    </w:p>
    <w:tbl>
      <w:tblPr>
        <w:tblW w:w="0" w:type="auto"/>
        <w:tblInd w:w="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87"/>
        <w:gridCol w:w="3799"/>
        <w:gridCol w:w="1417"/>
        <w:gridCol w:w="1163"/>
      </w:tblGrid>
      <w:tr w:rsidR="00C82EE5" w:rsidRPr="002D02F3" w:rsidTr="0056083E">
        <w:trPr>
          <w:cantSplit/>
          <w:tblHeader/>
        </w:trPr>
        <w:tc>
          <w:tcPr>
            <w:tcW w:w="2987" w:type="dxa"/>
            <w:tcBorders>
              <w:top w:val="single" w:sz="4" w:space="0" w:color="auto"/>
              <w:bottom w:val="single" w:sz="4" w:space="0" w:color="auto"/>
            </w:tcBorders>
            <w:shd w:val="clear" w:color="auto" w:fill="CCFFFF"/>
            <w:vAlign w:val="center"/>
          </w:tcPr>
          <w:p w:rsidR="00C82EE5" w:rsidRPr="002D02F3" w:rsidRDefault="00C82EE5" w:rsidP="001A5BF9">
            <w:pPr>
              <w:spacing w:before="120" w:after="120"/>
              <w:jc w:val="center"/>
              <w:rPr>
                <w:rFonts w:cs="Arial"/>
                <w:b/>
                <w:bCs/>
                <w:sz w:val="14"/>
                <w:szCs w:val="14"/>
              </w:rPr>
            </w:pPr>
            <w:r w:rsidRPr="002D02F3">
              <w:rPr>
                <w:b/>
                <w:sz w:val="14"/>
              </w:rPr>
              <w:t>Résultats escomptés</w:t>
            </w:r>
          </w:p>
        </w:tc>
        <w:tc>
          <w:tcPr>
            <w:tcW w:w="3799" w:type="dxa"/>
            <w:tcBorders>
              <w:top w:val="single" w:sz="4" w:space="0" w:color="auto"/>
              <w:bottom w:val="single" w:sz="4" w:space="0" w:color="auto"/>
            </w:tcBorders>
            <w:shd w:val="clear" w:color="auto" w:fill="CCFFFF"/>
            <w:vAlign w:val="center"/>
          </w:tcPr>
          <w:p w:rsidR="00C82EE5" w:rsidRPr="002D02F3" w:rsidRDefault="00C82EE5" w:rsidP="001A5BF9">
            <w:pPr>
              <w:spacing w:before="120" w:after="120"/>
              <w:jc w:val="center"/>
              <w:rPr>
                <w:rFonts w:cs="Arial"/>
                <w:b/>
                <w:bCs/>
                <w:sz w:val="14"/>
                <w:szCs w:val="14"/>
              </w:rPr>
            </w:pPr>
            <w:r w:rsidRPr="002D02F3">
              <w:rPr>
                <w:b/>
                <w:sz w:val="14"/>
              </w:rPr>
              <w:t>Indicateurs d</w:t>
            </w:r>
            <w:r w:rsidR="00A20444" w:rsidRPr="002D02F3">
              <w:rPr>
                <w:b/>
                <w:sz w:val="14"/>
              </w:rPr>
              <w:t>’</w:t>
            </w:r>
            <w:r w:rsidRPr="002D02F3">
              <w:rPr>
                <w:b/>
                <w:sz w:val="14"/>
              </w:rPr>
              <w:t>exécution</w:t>
            </w:r>
          </w:p>
        </w:tc>
        <w:tc>
          <w:tcPr>
            <w:tcW w:w="1417" w:type="dxa"/>
            <w:tcBorders>
              <w:top w:val="single" w:sz="4" w:space="0" w:color="auto"/>
              <w:bottom w:val="single" w:sz="4" w:space="0" w:color="auto"/>
            </w:tcBorders>
            <w:shd w:val="clear" w:color="auto" w:fill="CCFFFF"/>
            <w:vAlign w:val="center"/>
          </w:tcPr>
          <w:p w:rsidR="00C82EE5" w:rsidRPr="002D02F3" w:rsidRDefault="00C82EE5" w:rsidP="001A5BF9">
            <w:pPr>
              <w:spacing w:before="120" w:after="120"/>
              <w:jc w:val="center"/>
              <w:rPr>
                <w:rFonts w:cs="Arial"/>
                <w:b/>
                <w:bCs/>
                <w:sz w:val="14"/>
                <w:szCs w:val="14"/>
              </w:rPr>
            </w:pPr>
            <w:r w:rsidRPr="002D02F3">
              <w:rPr>
                <w:b/>
                <w:sz w:val="14"/>
              </w:rPr>
              <w:t>Programme(s)</w:t>
            </w:r>
            <w:r w:rsidRPr="002D02F3">
              <w:br/>
            </w:r>
            <w:r w:rsidRPr="002D02F3">
              <w:rPr>
                <w:b/>
                <w:sz w:val="14"/>
              </w:rPr>
              <w:t>concerné(s)</w:t>
            </w:r>
          </w:p>
        </w:tc>
        <w:tc>
          <w:tcPr>
            <w:tcW w:w="1163" w:type="dxa"/>
            <w:tcBorders>
              <w:top w:val="single" w:sz="4" w:space="0" w:color="auto"/>
              <w:bottom w:val="single" w:sz="4" w:space="0" w:color="auto"/>
            </w:tcBorders>
            <w:shd w:val="clear" w:color="auto" w:fill="CCFFFF"/>
            <w:vAlign w:val="center"/>
          </w:tcPr>
          <w:p w:rsidR="00C82EE5" w:rsidRPr="002D02F3" w:rsidRDefault="00C82EE5" w:rsidP="001A5BF9">
            <w:pPr>
              <w:spacing w:before="120" w:after="120"/>
              <w:jc w:val="center"/>
              <w:rPr>
                <w:rFonts w:cs="Arial"/>
                <w:b/>
                <w:bCs/>
                <w:sz w:val="14"/>
                <w:szCs w:val="14"/>
              </w:rPr>
            </w:pPr>
            <w:r w:rsidRPr="002D02F3">
              <w:rPr>
                <w:b/>
                <w:sz w:val="14"/>
              </w:rPr>
              <w:t>Code de couleurs</w:t>
            </w:r>
          </w:p>
        </w:tc>
      </w:tr>
      <w:tr w:rsidR="00C82EE5" w:rsidRPr="005C7CCE" w:rsidTr="0056083E">
        <w:trPr>
          <w:cantSplit/>
        </w:trPr>
        <w:tc>
          <w:tcPr>
            <w:tcW w:w="2987" w:type="dxa"/>
            <w:vMerge w:val="restart"/>
            <w:tcBorders>
              <w:top w:val="single" w:sz="4" w:space="0" w:color="auto"/>
            </w:tcBorders>
            <w:shd w:val="clear" w:color="auto" w:fill="auto"/>
            <w:tcMar>
              <w:top w:w="113" w:type="dxa"/>
            </w:tcMar>
          </w:tcPr>
          <w:p w:rsidR="00C82EE5" w:rsidRPr="002D02F3" w:rsidRDefault="00C82EE5" w:rsidP="001A5BF9">
            <w:pPr>
              <w:spacing w:before="80"/>
              <w:rPr>
                <w:rFonts w:cs="Arial"/>
                <w:sz w:val="14"/>
                <w:szCs w:val="14"/>
              </w:rPr>
            </w:pPr>
            <w:r w:rsidRPr="002D02F3">
              <w:rPr>
                <w:sz w:val="14"/>
              </w:rPr>
              <w:t>Services d</w:t>
            </w:r>
            <w:r w:rsidR="00A20444" w:rsidRPr="002D02F3">
              <w:rPr>
                <w:sz w:val="14"/>
              </w:rPr>
              <w:t>’</w:t>
            </w:r>
            <w:r w:rsidRPr="002D02F3">
              <w:rPr>
                <w:sz w:val="14"/>
              </w:rPr>
              <w:t>appui efficaces, efficients, de qualité et tournés vers la clientèle, à l</w:t>
            </w:r>
            <w:r w:rsidR="00A20444" w:rsidRPr="002D02F3">
              <w:rPr>
                <w:sz w:val="14"/>
              </w:rPr>
              <w:t>’</w:t>
            </w:r>
            <w:r w:rsidRPr="002D02F3">
              <w:rPr>
                <w:sz w:val="14"/>
              </w:rPr>
              <w:t>intention à la fois des clients interne</w:t>
            </w:r>
            <w:r w:rsidR="00BA741D" w:rsidRPr="002D02F3">
              <w:rPr>
                <w:sz w:val="14"/>
              </w:rPr>
              <w:t>s</w:t>
            </w:r>
            <w:r w:rsidRPr="002D02F3">
              <w:rPr>
                <w:sz w:val="14"/>
              </w:rPr>
              <w:t xml:space="preserve"> et des parties prenantes externes (ressources humaines, informatique, conférences, service linguistique, achats, voyages, imprimerie et publications, gestion des locaux)</w:t>
            </w:r>
          </w:p>
        </w:tc>
        <w:tc>
          <w:tcPr>
            <w:tcW w:w="3799" w:type="dxa"/>
            <w:tcBorders>
              <w:top w:val="single" w:sz="4" w:space="0" w:color="auto"/>
            </w:tcBorders>
            <w:shd w:val="clear" w:color="auto" w:fill="auto"/>
            <w:tcMar>
              <w:top w:w="113" w:type="dxa"/>
            </w:tcMar>
          </w:tcPr>
          <w:p w:rsidR="00C82EE5" w:rsidRPr="002D02F3" w:rsidRDefault="00C82EE5" w:rsidP="001A5BF9">
            <w:pPr>
              <w:spacing w:before="80"/>
              <w:rPr>
                <w:rFonts w:cs="Arial"/>
                <w:sz w:val="14"/>
                <w:szCs w:val="14"/>
              </w:rPr>
            </w:pPr>
            <w:r w:rsidRPr="002D02F3">
              <w:rPr>
                <w:sz w:val="14"/>
              </w:rPr>
              <w:t>Économies sur les achats de biens et de services effectués par l</w:t>
            </w:r>
            <w:r w:rsidR="00A20444" w:rsidRPr="002D02F3">
              <w:rPr>
                <w:sz w:val="14"/>
              </w:rPr>
              <w:t>’</w:t>
            </w:r>
            <w:r w:rsidRPr="002D02F3">
              <w:rPr>
                <w:sz w:val="14"/>
              </w:rPr>
              <w:t>OMPI (par suite d</w:t>
            </w:r>
            <w:r w:rsidR="00A20444" w:rsidRPr="002D02F3">
              <w:rPr>
                <w:sz w:val="14"/>
              </w:rPr>
              <w:t>’</w:t>
            </w:r>
            <w:r w:rsidRPr="002D02F3">
              <w:rPr>
                <w:sz w:val="14"/>
              </w:rPr>
              <w:t xml:space="preserve">invitations à soumissionner, de négociations ou de mesures de mondialisation – </w:t>
            </w:r>
            <w:r w:rsidR="00A20444" w:rsidRPr="002D02F3">
              <w:rPr>
                <w:sz w:val="14"/>
              </w:rPr>
              <w:t>Nations Unies</w:t>
            </w:r>
            <w:r w:rsidRPr="002D02F3">
              <w:rPr>
                <w:sz w:val="14"/>
              </w:rPr>
              <w:t>)</w:t>
            </w:r>
          </w:p>
        </w:tc>
        <w:tc>
          <w:tcPr>
            <w:tcW w:w="1417" w:type="dxa"/>
            <w:tcBorders>
              <w:top w:val="single" w:sz="4" w:space="0" w:color="auto"/>
            </w:tcBorders>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24</w:t>
            </w:r>
            <w:r w:rsidRPr="002D02F3">
              <w:br/>
            </w:r>
          </w:p>
        </w:tc>
        <w:tc>
          <w:tcPr>
            <w:tcW w:w="1163" w:type="dxa"/>
            <w:tcBorders>
              <w:top w:val="single" w:sz="4" w:space="0" w:color="auto"/>
            </w:tcBorders>
          </w:tcPr>
          <w:p w:rsidR="00C82EE5" w:rsidRPr="005C7CCE" w:rsidRDefault="00C82EE5" w:rsidP="001A5BF9">
            <w:pPr>
              <w:spacing w:before="20"/>
              <w:jc w:val="center"/>
              <w:rPr>
                <w:szCs w:val="22"/>
              </w:rPr>
            </w:pPr>
            <w:r w:rsidRPr="005C7CCE">
              <w:rPr>
                <w:color w:val="008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clients internes satisfaits des services d</w:t>
            </w:r>
            <w:r w:rsidR="00A20444" w:rsidRPr="002D02F3">
              <w:rPr>
                <w:sz w:val="14"/>
              </w:rPr>
              <w:t>’</w:t>
            </w:r>
            <w:r w:rsidRPr="002D02F3">
              <w:rPr>
                <w:sz w:val="14"/>
              </w:rPr>
              <w:t xml:space="preserve">achat </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24</w:t>
            </w:r>
          </w:p>
        </w:tc>
        <w:tc>
          <w:tcPr>
            <w:tcW w:w="1163" w:type="dxa"/>
          </w:tcPr>
          <w:p w:rsidR="00C82EE5" w:rsidRPr="005C7CCE" w:rsidRDefault="00C82EE5" w:rsidP="001A5BF9">
            <w:pPr>
              <w:jc w:val="center"/>
              <w:rPr>
                <w:rFonts w:cs="Arial"/>
                <w:color w:val="A6A6A6"/>
                <w:szCs w:val="22"/>
              </w:rPr>
            </w:pPr>
            <w:r w:rsidRPr="005C7CCE">
              <w:rPr>
                <w:color w:val="A6A6A6"/>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dépenses soumises à effet de levier ou à une évaluation de l</w:t>
            </w:r>
            <w:r w:rsidR="00A20444" w:rsidRPr="002D02F3">
              <w:rPr>
                <w:sz w:val="14"/>
              </w:rPr>
              <w:t>’</w:t>
            </w:r>
            <w:r w:rsidRPr="002D02F3">
              <w:rPr>
                <w:sz w:val="14"/>
              </w:rPr>
              <w:t>ONU</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24</w:t>
            </w:r>
          </w:p>
        </w:tc>
        <w:tc>
          <w:tcPr>
            <w:tcW w:w="1163" w:type="dxa"/>
          </w:tcPr>
          <w:p w:rsidR="00C82EE5" w:rsidRPr="005C7CCE" w:rsidRDefault="00C82EE5" w:rsidP="001A5BF9">
            <w:pPr>
              <w:jc w:val="center"/>
              <w:rPr>
                <w:rFonts w:cs="Arial"/>
                <w:color w:val="A6A6A6"/>
                <w:szCs w:val="22"/>
              </w:rPr>
            </w:pPr>
            <w:r w:rsidRPr="005C7CCE">
              <w:rPr>
                <w:color w:val="A6A6A6"/>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Temps de traitement des autorisations de voyage et des demandes de manifestation électroniques (sous condition de respect des délais)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 xml:space="preserve">Programme 24 </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Temps de traitement des visas de tiers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24</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Réduction du coût des voyages du fait des conférences électroniques et des visioconférences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24</w:t>
            </w:r>
          </w:p>
        </w:tc>
        <w:tc>
          <w:tcPr>
            <w:tcW w:w="1163" w:type="dxa"/>
          </w:tcPr>
          <w:p w:rsidR="00C82EE5" w:rsidRPr="005C7CCE" w:rsidRDefault="00C82EE5" w:rsidP="001A5BF9">
            <w:pPr>
              <w:jc w:val="center"/>
              <w:rPr>
                <w:color w:val="008000"/>
                <w:szCs w:val="22"/>
              </w:rPr>
            </w:pPr>
            <w:r w:rsidRPr="005C7CCE">
              <w:rPr>
                <w:color w:val="A6A6A6"/>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Moins de temps passé entre la demande et la réalisation d</w:t>
            </w:r>
            <w:r w:rsidR="00A20444" w:rsidRPr="002D02F3">
              <w:rPr>
                <w:sz w:val="14"/>
              </w:rPr>
              <w:t>’</w:t>
            </w:r>
            <w:r w:rsidRPr="002D02F3">
              <w:rPr>
                <w:sz w:val="14"/>
              </w:rPr>
              <w:t>opérations standard en matière de ressources humaines (indemnité pour frais d</w:t>
            </w:r>
            <w:r w:rsidR="00A20444" w:rsidRPr="002D02F3">
              <w:rPr>
                <w:sz w:val="14"/>
              </w:rPr>
              <w:t>’</w:t>
            </w:r>
            <w:r w:rsidRPr="002D02F3">
              <w:rPr>
                <w:sz w:val="14"/>
              </w:rPr>
              <w:t>étude, indemnité pour charges de famille)</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23</w:t>
            </w:r>
          </w:p>
        </w:tc>
        <w:tc>
          <w:tcPr>
            <w:tcW w:w="1163" w:type="dxa"/>
          </w:tcPr>
          <w:p w:rsidR="00C82EE5" w:rsidRPr="005C7CCE" w:rsidRDefault="00C82EE5" w:rsidP="001A5BF9">
            <w:pPr>
              <w:spacing w:before="20"/>
              <w:jc w:val="center"/>
              <w:rPr>
                <w:rFonts w:cs="Arial"/>
                <w:color w:val="FF0000"/>
                <w:szCs w:val="22"/>
              </w:rPr>
            </w:pPr>
            <w:r w:rsidRPr="005C7CCE">
              <w:rPr>
                <w:color w:val="FF0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Rapport entre les membres du personnel (équivalent plein temps) et le personnel chargé des ressources humaines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23</w:t>
            </w:r>
          </w:p>
        </w:tc>
        <w:tc>
          <w:tcPr>
            <w:tcW w:w="1163" w:type="dxa"/>
          </w:tcPr>
          <w:p w:rsidR="00C82EE5" w:rsidRPr="005C7CCE" w:rsidRDefault="00C82EE5" w:rsidP="001A5BF9">
            <w:pPr>
              <w:spacing w:before="20"/>
              <w:jc w:val="center"/>
              <w:rPr>
                <w:szCs w:val="22"/>
              </w:rPr>
            </w:pPr>
            <w:r w:rsidRPr="005C7CCE">
              <w:rPr>
                <w:color w:val="FF0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des membres du personnel satisfaits des services en matière de ressources humaines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23</w:t>
            </w:r>
          </w:p>
        </w:tc>
        <w:tc>
          <w:tcPr>
            <w:tcW w:w="1163" w:type="dxa"/>
          </w:tcPr>
          <w:p w:rsidR="00C82EE5" w:rsidRPr="005C7CCE" w:rsidRDefault="00C82EE5" w:rsidP="001A5BF9">
            <w:pPr>
              <w:spacing w:before="20"/>
              <w:jc w:val="center"/>
              <w:rPr>
                <w:szCs w:val="22"/>
              </w:rPr>
            </w:pPr>
            <w:r w:rsidRPr="005C7CCE">
              <w:rPr>
                <w:color w:val="E36C0A"/>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Taux de productivité pour les calculs, l</w:t>
            </w:r>
            <w:r w:rsidR="00A20444" w:rsidRPr="002D02F3">
              <w:rPr>
                <w:sz w:val="14"/>
              </w:rPr>
              <w:t>’</w:t>
            </w:r>
            <w:r w:rsidRPr="002D02F3">
              <w:rPr>
                <w:sz w:val="14"/>
              </w:rPr>
              <w:t>introduction de données, le rassemblement et la fourniture de statistiques (remise du courrier)</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27</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documents presse PCT sur papier et sous forme électronique respectant les délais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27</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 xml:space="preserve">Pourcentage de notifications Madrid sur papier respectant les délais </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27</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données Romarin du système de Madrid sous forme électronique respectant les délais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27</w:t>
            </w:r>
          </w:p>
        </w:tc>
        <w:tc>
          <w:tcPr>
            <w:tcW w:w="1163" w:type="dxa"/>
          </w:tcPr>
          <w:p w:rsidR="00C82EE5" w:rsidRPr="005C7CCE" w:rsidRDefault="00C82EE5" w:rsidP="001A5BF9">
            <w:pPr>
              <w:spacing w:before="20"/>
              <w:jc w:val="center"/>
              <w:rPr>
                <w:szCs w:val="22"/>
              </w:rPr>
            </w:pPr>
            <w:r w:rsidRPr="005C7CCE">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des utilisateurs internes et externes satisfaits des services de conférence de l</w:t>
            </w:r>
            <w:r w:rsidR="00A20444" w:rsidRPr="002D02F3">
              <w:rPr>
                <w:sz w:val="14"/>
              </w:rPr>
              <w:t>’</w:t>
            </w:r>
            <w:r w:rsidRPr="002D02F3">
              <w:rPr>
                <w:sz w:val="14"/>
              </w:rPr>
              <w:t xml:space="preserve">OMPI </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27</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Normes de productivité de traduction et coût par page de traduction</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27</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noWrap/>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Politique linguistique globale adoptée par les États membres et exigences connexes en matière d</w:t>
            </w:r>
            <w:r w:rsidR="00A20444" w:rsidRPr="002D02F3">
              <w:rPr>
                <w:sz w:val="14"/>
              </w:rPr>
              <w:t>’</w:t>
            </w:r>
            <w:r w:rsidRPr="002D02F3">
              <w:rPr>
                <w:sz w:val="14"/>
              </w:rPr>
              <w:t>affectation des ressources</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Programme 27</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Externalisation de l</w:t>
            </w:r>
            <w:r w:rsidR="00A20444" w:rsidRPr="002D02F3">
              <w:rPr>
                <w:sz w:val="14"/>
              </w:rPr>
              <w:t>’</w:t>
            </w:r>
            <w:r w:rsidRPr="002D02F3">
              <w:rPr>
                <w:sz w:val="14"/>
              </w:rPr>
              <w:t>exploitation et de la fourniture de l</w:t>
            </w:r>
            <w:r w:rsidR="00A20444" w:rsidRPr="002D02F3">
              <w:rPr>
                <w:sz w:val="14"/>
              </w:rPr>
              <w:t>’</w:t>
            </w:r>
            <w:r w:rsidRPr="002D02F3">
              <w:rPr>
                <w:sz w:val="14"/>
              </w:rPr>
              <w:t>infrastructure technique informatique</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25</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Les réunions de l</w:t>
            </w:r>
            <w:r w:rsidR="00A20444" w:rsidRPr="002D02F3">
              <w:rPr>
                <w:sz w:val="14"/>
              </w:rPr>
              <w:t>’</w:t>
            </w:r>
            <w:r w:rsidRPr="002D02F3">
              <w:rPr>
                <w:sz w:val="14"/>
              </w:rPr>
              <w:t>OMPI sont accessibles en temps réel sur Internet ou après la rencontre</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25</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Nombre de voies de communication harmonieusement intégrées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25</w:t>
            </w:r>
          </w:p>
        </w:tc>
        <w:tc>
          <w:tcPr>
            <w:tcW w:w="1163" w:type="dxa"/>
          </w:tcPr>
          <w:p w:rsidR="00C82EE5" w:rsidRPr="005C7CCE" w:rsidRDefault="00C82EE5" w:rsidP="001A5BF9">
            <w:pPr>
              <w:jc w:val="center"/>
              <w:rPr>
                <w:szCs w:val="22"/>
              </w:rPr>
            </w:pPr>
            <w:r w:rsidRPr="005C7CCE">
              <w:rPr>
                <w:color w:val="E36C0A"/>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Location de lieux de travail supplémentaires et d</w:t>
            </w:r>
            <w:r w:rsidR="00A20444" w:rsidRPr="002D02F3">
              <w:rPr>
                <w:sz w:val="14"/>
              </w:rPr>
              <w:t>’</w:t>
            </w:r>
            <w:r w:rsidRPr="002D02F3">
              <w:rPr>
                <w:sz w:val="14"/>
              </w:rPr>
              <w:t>installations connexes (sur la base des mêmes effectifs qu</w:t>
            </w:r>
            <w:r w:rsidR="00A20444" w:rsidRPr="002D02F3">
              <w:rPr>
                <w:sz w:val="14"/>
              </w:rPr>
              <w:t>’</w:t>
            </w:r>
            <w:r w:rsidRPr="002D02F3">
              <w:rPr>
                <w:sz w:val="14"/>
              </w:rPr>
              <w:t>à la fin 2011)</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24</w:t>
            </w:r>
          </w:p>
        </w:tc>
        <w:tc>
          <w:tcPr>
            <w:tcW w:w="1163" w:type="dxa"/>
          </w:tcPr>
          <w:p w:rsidR="00C82EE5" w:rsidRPr="005C7CCE" w:rsidRDefault="00C82EE5" w:rsidP="001A5BF9">
            <w:pPr>
              <w:jc w:val="center"/>
              <w:rPr>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Nombre de grandes installations techniques (électriques, sanitaires, chauffage et climatisation) améliorées conformément aux normes en vigueur (à définir)</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 xml:space="preserve">Programme 24 </w:t>
            </w:r>
          </w:p>
        </w:tc>
        <w:tc>
          <w:tcPr>
            <w:tcW w:w="1163" w:type="dxa"/>
          </w:tcPr>
          <w:p w:rsidR="00C82EE5" w:rsidRPr="005C7CCE" w:rsidRDefault="00C82EE5" w:rsidP="001A5BF9">
            <w:pPr>
              <w:jc w:val="center"/>
              <w:rPr>
                <w:szCs w:val="22"/>
              </w:rPr>
            </w:pPr>
            <w:r w:rsidRPr="005C7CCE">
              <w:rPr>
                <w:color w:val="A6A6A6"/>
              </w:rPr>
              <w:sym w:font="Wingdings" w:char="F06C"/>
            </w:r>
          </w:p>
        </w:tc>
      </w:tr>
      <w:tr w:rsidR="00C82EE5" w:rsidRPr="005C7CCE" w:rsidTr="0056083E">
        <w:trPr>
          <w:cantSplit/>
        </w:trPr>
        <w:tc>
          <w:tcPr>
            <w:tcW w:w="2987" w:type="dxa"/>
            <w:vMerge w:val="restart"/>
            <w:shd w:val="clear" w:color="auto" w:fill="auto"/>
            <w:tcMar>
              <w:top w:w="113" w:type="dxa"/>
            </w:tcMar>
          </w:tcPr>
          <w:p w:rsidR="00C82EE5" w:rsidRPr="002D02F3" w:rsidRDefault="00C82EE5" w:rsidP="001A5BF9">
            <w:pPr>
              <w:keepNext/>
              <w:keepLines/>
              <w:spacing w:before="80"/>
              <w:rPr>
                <w:rFonts w:cs="Arial"/>
                <w:sz w:val="14"/>
                <w:szCs w:val="14"/>
              </w:rPr>
            </w:pPr>
            <w:r w:rsidRPr="002D02F3">
              <w:rPr>
                <w:sz w:val="14"/>
              </w:rPr>
              <w:t>Les investissements dans</w:t>
            </w:r>
            <w:r w:rsidR="00A20444" w:rsidRPr="002D02F3">
              <w:rPr>
                <w:sz w:val="14"/>
              </w:rPr>
              <w:t xml:space="preserve"> les TIC</w:t>
            </w:r>
            <w:r w:rsidRPr="002D02F3">
              <w:rPr>
                <w:sz w:val="14"/>
              </w:rPr>
              <w:t xml:space="preserve"> sont étroitement alignés sur les priorités stratégiques et entraînent des avantages sur le plan opérationnel</w:t>
            </w:r>
          </w:p>
        </w:tc>
        <w:tc>
          <w:tcPr>
            <w:tcW w:w="3799" w:type="dxa"/>
            <w:shd w:val="clear" w:color="auto" w:fill="auto"/>
            <w:tcMar>
              <w:top w:w="113" w:type="dxa"/>
            </w:tcMar>
          </w:tcPr>
          <w:p w:rsidR="00C82EE5" w:rsidRPr="002D02F3" w:rsidRDefault="00C82EE5" w:rsidP="001A5BF9">
            <w:pPr>
              <w:keepNext/>
              <w:keepLines/>
              <w:spacing w:before="80"/>
              <w:rPr>
                <w:rFonts w:cs="Arial"/>
                <w:sz w:val="14"/>
                <w:szCs w:val="14"/>
              </w:rPr>
            </w:pPr>
            <w:r w:rsidRPr="002D02F3">
              <w:rPr>
                <w:sz w:val="14"/>
              </w:rPr>
              <w:t>Pourcentage de projets dont les retombées ont été évaluées après la mise en œuvre du projet</w:t>
            </w:r>
          </w:p>
        </w:tc>
        <w:tc>
          <w:tcPr>
            <w:tcW w:w="1417" w:type="dxa"/>
            <w:shd w:val="clear" w:color="auto" w:fill="auto"/>
            <w:tcMar>
              <w:top w:w="113" w:type="dxa"/>
            </w:tcMar>
          </w:tcPr>
          <w:p w:rsidR="00C82EE5" w:rsidRPr="002D02F3" w:rsidRDefault="00C82EE5" w:rsidP="001A5BF9">
            <w:pPr>
              <w:keepNext/>
              <w:keepLines/>
              <w:spacing w:before="80"/>
              <w:jc w:val="center"/>
              <w:rPr>
                <w:rFonts w:cs="Arial"/>
                <w:sz w:val="14"/>
                <w:szCs w:val="14"/>
              </w:rPr>
            </w:pPr>
            <w:r w:rsidRPr="002D02F3">
              <w:rPr>
                <w:sz w:val="14"/>
              </w:rPr>
              <w:t>Programme 25</w:t>
            </w:r>
          </w:p>
        </w:tc>
        <w:tc>
          <w:tcPr>
            <w:tcW w:w="1163" w:type="dxa"/>
          </w:tcPr>
          <w:p w:rsidR="00C82EE5" w:rsidRPr="005C7CCE" w:rsidRDefault="00C82EE5" w:rsidP="001A5BF9">
            <w:pPr>
              <w:keepNext/>
              <w:keepLines/>
              <w:spacing w:before="20"/>
              <w:jc w:val="center"/>
              <w:rPr>
                <w:szCs w:val="22"/>
              </w:rPr>
            </w:pPr>
            <w:r w:rsidRPr="005C7CCE">
              <w:rPr>
                <w:color w:val="E36C0A"/>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Niveau de maturité d</w:t>
            </w:r>
            <w:r w:rsidR="00A20444" w:rsidRPr="002D02F3">
              <w:rPr>
                <w:sz w:val="14"/>
              </w:rPr>
              <w:t>’</w:t>
            </w:r>
            <w:proofErr w:type="spellStart"/>
            <w:r w:rsidRPr="002D02F3">
              <w:rPr>
                <w:sz w:val="14"/>
              </w:rPr>
              <w:t>ITIL</w:t>
            </w:r>
            <w:proofErr w:type="spellEnd"/>
            <w:r w:rsidRPr="002D02F3">
              <w:rPr>
                <w:sz w:val="14"/>
              </w:rPr>
              <w:t xml:space="preserve"> en fonction de l</w:t>
            </w:r>
            <w:r w:rsidR="00A20444" w:rsidRPr="002D02F3">
              <w:rPr>
                <w:sz w:val="14"/>
              </w:rPr>
              <w:t>’</w:t>
            </w:r>
            <w:r w:rsidRPr="002D02F3">
              <w:rPr>
                <w:sz w:val="14"/>
              </w:rPr>
              <w:t>auto</w:t>
            </w:r>
            <w:r w:rsidR="002D6F2A" w:rsidRPr="002D02F3">
              <w:rPr>
                <w:sz w:val="14"/>
              </w:rPr>
              <w:noBreakHyphen/>
            </w:r>
            <w:r w:rsidRPr="002D02F3">
              <w:rPr>
                <w:sz w:val="14"/>
              </w:rPr>
              <w:t>évaluation officielle à l</w:t>
            </w:r>
            <w:r w:rsidR="00A20444" w:rsidRPr="002D02F3">
              <w:rPr>
                <w:sz w:val="14"/>
              </w:rPr>
              <w:t>’</w:t>
            </w:r>
            <w:r w:rsidRPr="002D02F3">
              <w:rPr>
                <w:sz w:val="14"/>
              </w:rPr>
              <w:t>échelle 5</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25</w:t>
            </w:r>
          </w:p>
        </w:tc>
        <w:tc>
          <w:tcPr>
            <w:tcW w:w="1163" w:type="dxa"/>
          </w:tcPr>
          <w:p w:rsidR="00C82EE5" w:rsidRPr="005C7CCE" w:rsidRDefault="00C82EE5" w:rsidP="001A5BF9">
            <w:pPr>
              <w:spacing w:before="20"/>
              <w:jc w:val="center"/>
              <w:rPr>
                <w:color w:val="006600"/>
                <w:szCs w:val="22"/>
              </w:rPr>
            </w:pPr>
            <w:r w:rsidRPr="005C7CCE">
              <w:rPr>
                <w:color w:val="E36C0A"/>
              </w:rPr>
              <w:sym w:font="Wingdings" w:char="F06C"/>
            </w:r>
          </w:p>
        </w:tc>
      </w:tr>
      <w:tr w:rsidR="00C82EE5" w:rsidRPr="005C7CCE" w:rsidTr="0056083E">
        <w:trPr>
          <w:cantSplit/>
        </w:trPr>
        <w:tc>
          <w:tcPr>
            <w:tcW w:w="2987" w:type="dxa"/>
            <w:vMerge w:val="restart"/>
            <w:shd w:val="clear" w:color="auto" w:fill="auto"/>
            <w:tcMar>
              <w:top w:w="113" w:type="dxa"/>
            </w:tcMar>
          </w:tcPr>
          <w:p w:rsidR="00C82EE5" w:rsidRPr="002D02F3" w:rsidRDefault="00C82EE5" w:rsidP="001A5BF9">
            <w:pPr>
              <w:spacing w:before="80"/>
              <w:rPr>
                <w:rFonts w:cs="Arial"/>
                <w:sz w:val="14"/>
                <w:szCs w:val="14"/>
              </w:rPr>
            </w:pPr>
            <w:r w:rsidRPr="002D02F3">
              <w:rPr>
                <w:sz w:val="14"/>
              </w:rPr>
              <w:t xml:space="preserve">Planification, traitement, mise en œuvre, évaluation et établissement de rapports efficaces, efficients et fondés sur les résultats en matière de programmation et de finances. </w:t>
            </w:r>
            <w:r w:rsidR="0010442A" w:rsidRPr="002D02F3">
              <w:rPr>
                <w:sz w:val="14"/>
              </w:rPr>
              <w:t xml:space="preserve"> </w:t>
            </w:r>
          </w:p>
        </w:tc>
        <w:tc>
          <w:tcPr>
            <w:tcW w:w="3799" w:type="dxa"/>
            <w:shd w:val="clear" w:color="auto" w:fill="auto"/>
            <w:tcMar>
              <w:top w:w="113" w:type="dxa"/>
            </w:tcMar>
          </w:tcPr>
          <w:p w:rsidR="00C82EE5" w:rsidRPr="002D02F3" w:rsidRDefault="00C82EE5" w:rsidP="001A5BF9">
            <w:pPr>
              <w:spacing w:before="80"/>
              <w:rPr>
                <w:sz w:val="14"/>
                <w:szCs w:val="14"/>
                <w:lang w:bidi="th-TH"/>
              </w:rPr>
            </w:pPr>
            <w:r w:rsidRPr="002D02F3">
              <w:rPr>
                <w:sz w:val="14"/>
              </w:rPr>
              <w:t>Pourcentage de programmes de l</w:t>
            </w:r>
            <w:r w:rsidR="00A20444" w:rsidRPr="002D02F3">
              <w:rPr>
                <w:sz w:val="14"/>
              </w:rPr>
              <w:t>’</w:t>
            </w:r>
            <w:r w:rsidRPr="002D02F3">
              <w:rPr>
                <w:sz w:val="14"/>
              </w:rPr>
              <w:t>OMPI utilisant les données relatives à l</w:t>
            </w:r>
            <w:r w:rsidR="00A20444" w:rsidRPr="002D02F3">
              <w:rPr>
                <w:sz w:val="14"/>
              </w:rPr>
              <w:t>’</w:t>
            </w:r>
            <w:r w:rsidRPr="002D02F3">
              <w:rPr>
                <w:sz w:val="14"/>
              </w:rPr>
              <w:t>exécution du programme pour gérer cette exécution</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 xml:space="preserve">Programme 22 </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sz w:val="14"/>
                <w:szCs w:val="14"/>
                <w:lang w:bidi="th-TH"/>
              </w:rPr>
            </w:pPr>
            <w:r w:rsidRPr="002D02F3">
              <w:rPr>
                <w:sz w:val="14"/>
              </w:rPr>
              <w:t>Pourcentage de répondants (OMPI) qui estiment que l</w:t>
            </w:r>
            <w:r w:rsidR="00A20444" w:rsidRPr="002D02F3">
              <w:rPr>
                <w:sz w:val="14"/>
              </w:rPr>
              <w:t>’</w:t>
            </w:r>
            <w:r w:rsidRPr="002D02F3">
              <w:rPr>
                <w:sz w:val="14"/>
              </w:rPr>
              <w:t>OMPI doit rendre des comptes sur ses résultats</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 xml:space="preserve">Programme 22 </w:t>
            </w:r>
          </w:p>
        </w:tc>
        <w:tc>
          <w:tcPr>
            <w:tcW w:w="1163" w:type="dxa"/>
          </w:tcPr>
          <w:p w:rsidR="00C82EE5" w:rsidRPr="005C7CCE" w:rsidRDefault="00C82EE5" w:rsidP="001A5BF9">
            <w:pPr>
              <w:jc w:val="center"/>
              <w:rPr>
                <w:color w:val="008000"/>
                <w:szCs w:val="22"/>
              </w:rPr>
            </w:pPr>
            <w:r w:rsidRPr="005C7CCE">
              <w:rPr>
                <w:color w:val="008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Opérations financières et gestion du budget conformes aux dispositions des conventions et traités en vigueur de l</w:t>
            </w:r>
            <w:r w:rsidR="00A20444" w:rsidRPr="002D02F3">
              <w:rPr>
                <w:sz w:val="14"/>
              </w:rPr>
              <w:t>’</w:t>
            </w:r>
            <w:r w:rsidRPr="002D02F3">
              <w:rPr>
                <w:sz w:val="14"/>
              </w:rPr>
              <w:t>OMPI, son Règlement financier et son règlement d</w:t>
            </w:r>
            <w:r w:rsidR="00A20444" w:rsidRPr="002D02F3">
              <w:rPr>
                <w:sz w:val="14"/>
              </w:rPr>
              <w:t>’</w:t>
            </w:r>
            <w:r w:rsidRPr="002D02F3">
              <w:rPr>
                <w:sz w:val="14"/>
              </w:rPr>
              <w:t>exécution et les normes comptables applicables</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 xml:space="preserve">Programme 22 </w:t>
            </w:r>
          </w:p>
        </w:tc>
        <w:tc>
          <w:tcPr>
            <w:tcW w:w="1163" w:type="dxa"/>
          </w:tcPr>
          <w:p w:rsidR="00C82EE5" w:rsidRPr="005C7CCE" w:rsidRDefault="00C82EE5" w:rsidP="001A5BF9">
            <w:pPr>
              <w:jc w:val="center"/>
              <w:rPr>
                <w:color w:val="E36C0A"/>
                <w:szCs w:val="22"/>
              </w:rPr>
            </w:pPr>
            <w:r w:rsidRPr="005C7CCE">
              <w:rPr>
                <w:color w:val="E36C0A"/>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Le rapport financier satisfaisant produit par les vérificateurs externes des comptes confirme la conformité des opérations comptables avec les règlements et normes en vigueur.</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 xml:space="preserve">Programme 22 </w:t>
            </w:r>
          </w:p>
        </w:tc>
        <w:tc>
          <w:tcPr>
            <w:tcW w:w="1163" w:type="dxa"/>
          </w:tcPr>
          <w:p w:rsidR="00C82EE5" w:rsidRPr="005C7CCE" w:rsidRDefault="00C82EE5" w:rsidP="001A5BF9">
            <w:pPr>
              <w:jc w:val="center"/>
              <w:rPr>
                <w:color w:val="00B050"/>
                <w:szCs w:val="22"/>
              </w:rPr>
            </w:pPr>
            <w:r w:rsidRPr="005C7CCE">
              <w:rPr>
                <w:color w:val="A6A6A6"/>
              </w:rPr>
              <w:sym w:font="Wingdings" w:char="F06C"/>
            </w:r>
          </w:p>
        </w:tc>
      </w:tr>
      <w:tr w:rsidR="00C82EE5" w:rsidRPr="005C7CCE" w:rsidTr="0056083E">
        <w:trPr>
          <w:cantSplit/>
        </w:trPr>
        <w:tc>
          <w:tcPr>
            <w:tcW w:w="2987" w:type="dxa"/>
            <w:vMerge w:val="restart"/>
            <w:shd w:val="clear" w:color="auto" w:fill="auto"/>
            <w:tcMar>
              <w:top w:w="113" w:type="dxa"/>
            </w:tcMar>
          </w:tcPr>
          <w:p w:rsidR="00C82EE5" w:rsidRPr="002D02F3" w:rsidRDefault="00C82EE5" w:rsidP="001A5BF9">
            <w:pPr>
              <w:spacing w:before="80"/>
              <w:rPr>
                <w:rFonts w:cs="Arial"/>
                <w:sz w:val="14"/>
                <w:szCs w:val="14"/>
              </w:rPr>
            </w:pPr>
            <w:r w:rsidRPr="002D02F3">
              <w:rPr>
                <w:sz w:val="14"/>
              </w:rPr>
              <w:t>Effectifs gérés correctement, diversifiés, motivés et qualifiés</w:t>
            </w: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du personnel dont le travail est évalué en fonction de leurs objectifs et de leurs compétences individuels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23</w:t>
            </w:r>
          </w:p>
        </w:tc>
        <w:tc>
          <w:tcPr>
            <w:tcW w:w="1163" w:type="dxa"/>
          </w:tcPr>
          <w:p w:rsidR="00C82EE5" w:rsidRPr="005C7CCE" w:rsidRDefault="00C82EE5" w:rsidP="001A5BF9">
            <w:pPr>
              <w:jc w:val="center"/>
              <w:rPr>
                <w:color w:val="00B050"/>
                <w:szCs w:val="22"/>
              </w:rPr>
            </w:pPr>
            <w:r w:rsidRPr="005C7CCE">
              <w:rPr>
                <w:color w:val="008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Délai de recrutement</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23</w:t>
            </w:r>
          </w:p>
        </w:tc>
        <w:tc>
          <w:tcPr>
            <w:tcW w:w="1163" w:type="dxa"/>
          </w:tcPr>
          <w:p w:rsidR="00C82EE5" w:rsidRPr="005C7CCE" w:rsidRDefault="00C82EE5" w:rsidP="001A5BF9">
            <w:pPr>
              <w:jc w:val="center"/>
              <w:rPr>
                <w:color w:val="00B050"/>
                <w:szCs w:val="22"/>
              </w:rPr>
            </w:pPr>
            <w:r w:rsidRPr="005C7CCE">
              <w:rPr>
                <w:color w:val="008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la masse salariale totale consacrée à la formation du personnel</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23</w:t>
            </w:r>
          </w:p>
        </w:tc>
        <w:tc>
          <w:tcPr>
            <w:tcW w:w="1163" w:type="dxa"/>
          </w:tcPr>
          <w:p w:rsidR="00C82EE5" w:rsidRPr="005C7CCE" w:rsidRDefault="00C82EE5" w:rsidP="001A5BF9">
            <w:pPr>
              <w:jc w:val="center"/>
              <w:rPr>
                <w:szCs w:val="22"/>
              </w:rPr>
            </w:pPr>
            <w:r w:rsidRPr="005C7CCE">
              <w:rPr>
                <w:color w:val="E36C0A"/>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Diversité géographique – pourcentage d</w:t>
            </w:r>
            <w:r w:rsidR="00A20444" w:rsidRPr="002D02F3">
              <w:rPr>
                <w:sz w:val="14"/>
              </w:rPr>
              <w:t>’</w:t>
            </w:r>
            <w:r w:rsidRPr="002D02F3">
              <w:rPr>
                <w:sz w:val="14"/>
              </w:rPr>
              <w:t>États membres représentés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23</w:t>
            </w:r>
          </w:p>
        </w:tc>
        <w:tc>
          <w:tcPr>
            <w:tcW w:w="1163" w:type="dxa"/>
          </w:tcPr>
          <w:p w:rsidR="00C82EE5" w:rsidRPr="005C7CCE" w:rsidRDefault="00C82EE5" w:rsidP="001A5BF9">
            <w:pPr>
              <w:jc w:val="center"/>
              <w:rPr>
                <w:szCs w:val="22"/>
              </w:rPr>
            </w:pPr>
            <w:r w:rsidRPr="005C7CCE">
              <w:rPr>
                <w:color w:val="008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femmes dans des postes d</w:t>
            </w:r>
            <w:r w:rsidR="00A20444" w:rsidRPr="002D02F3">
              <w:rPr>
                <w:sz w:val="14"/>
              </w:rPr>
              <w:t>’</w:t>
            </w:r>
            <w:r w:rsidRPr="002D02F3">
              <w:rPr>
                <w:sz w:val="14"/>
              </w:rPr>
              <w:t>administrateur et les catégories supérieures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23</w:t>
            </w:r>
          </w:p>
        </w:tc>
        <w:tc>
          <w:tcPr>
            <w:tcW w:w="1163" w:type="dxa"/>
          </w:tcPr>
          <w:p w:rsidR="00C82EE5" w:rsidRPr="005C7CCE" w:rsidRDefault="00C82EE5" w:rsidP="001A5BF9">
            <w:pPr>
              <w:jc w:val="center"/>
              <w:rPr>
                <w:color w:val="FF0000"/>
                <w:szCs w:val="22"/>
              </w:rPr>
            </w:pPr>
            <w:r w:rsidRPr="005C7CCE">
              <w:rPr>
                <w:color w:val="FF0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Absentéisme en baisse</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23</w:t>
            </w:r>
          </w:p>
        </w:tc>
        <w:tc>
          <w:tcPr>
            <w:tcW w:w="1163" w:type="dxa"/>
          </w:tcPr>
          <w:p w:rsidR="00C82EE5" w:rsidRPr="005C7CCE" w:rsidRDefault="00C82EE5" w:rsidP="001A5BF9">
            <w:pPr>
              <w:jc w:val="center"/>
              <w:rPr>
                <w:color w:val="FF0000"/>
                <w:szCs w:val="22"/>
              </w:rPr>
            </w:pPr>
            <w:r w:rsidRPr="005C7CCE">
              <w:rPr>
                <w:color w:val="FF0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Diminution du nombre de recours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23</w:t>
            </w:r>
          </w:p>
        </w:tc>
        <w:tc>
          <w:tcPr>
            <w:tcW w:w="1163" w:type="dxa"/>
          </w:tcPr>
          <w:p w:rsidR="00C82EE5" w:rsidRPr="005C7CCE" w:rsidRDefault="00C82EE5" w:rsidP="001A5BF9">
            <w:pPr>
              <w:jc w:val="center"/>
              <w:rPr>
                <w:color w:val="FF0000"/>
                <w:szCs w:val="22"/>
              </w:rPr>
            </w:pPr>
            <w:r w:rsidRPr="005C7CCE">
              <w:rPr>
                <w:color w:val="FF0000"/>
              </w:rPr>
              <w:sym w:font="Wingdings" w:char="F06C"/>
            </w:r>
          </w:p>
        </w:tc>
      </w:tr>
      <w:tr w:rsidR="00C82EE5" w:rsidRPr="005C7CCE" w:rsidTr="0056083E">
        <w:trPr>
          <w:cantSplit/>
        </w:trPr>
        <w:tc>
          <w:tcPr>
            <w:tcW w:w="2987" w:type="dxa"/>
            <w:vMerge w:val="restart"/>
            <w:shd w:val="clear" w:color="auto" w:fill="auto"/>
            <w:tcMar>
              <w:top w:w="113" w:type="dxa"/>
            </w:tcMar>
          </w:tcPr>
          <w:p w:rsidR="00C82EE5" w:rsidRPr="002D02F3" w:rsidRDefault="00C82EE5" w:rsidP="001A5BF9">
            <w:pPr>
              <w:pageBreakBefore/>
              <w:spacing w:before="80"/>
              <w:rPr>
                <w:rFonts w:cs="Arial"/>
                <w:sz w:val="14"/>
                <w:szCs w:val="14"/>
              </w:rPr>
            </w:pPr>
            <w:r w:rsidRPr="002D02F3">
              <w:rPr>
                <w:sz w:val="14"/>
              </w:rPr>
              <w:t>Sûreté et sécurité des membres du personnel, des délégués, des visiteurs, des données et des biens de l</w:t>
            </w:r>
            <w:r w:rsidR="00A20444" w:rsidRPr="002D02F3">
              <w:rPr>
                <w:sz w:val="14"/>
              </w:rPr>
              <w:t>’</w:t>
            </w:r>
            <w:r w:rsidRPr="002D02F3">
              <w:rPr>
                <w:sz w:val="14"/>
              </w:rPr>
              <w:t>OMPI</w:t>
            </w: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membres du personnel, de délégués et de visiteurs de l</w:t>
            </w:r>
            <w:r w:rsidR="00A20444" w:rsidRPr="002D02F3">
              <w:rPr>
                <w:sz w:val="14"/>
              </w:rPr>
              <w:t>’</w:t>
            </w:r>
            <w:r w:rsidRPr="002D02F3">
              <w:rPr>
                <w:sz w:val="14"/>
              </w:rPr>
              <w:t>OMPI qui signalent une blessure ou un incident du travail</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Programme 28</w:t>
            </w:r>
          </w:p>
        </w:tc>
        <w:tc>
          <w:tcPr>
            <w:tcW w:w="1163" w:type="dxa"/>
          </w:tcPr>
          <w:p w:rsidR="00C82EE5" w:rsidRPr="005C7CCE" w:rsidRDefault="00C82EE5" w:rsidP="001A5BF9">
            <w:pPr>
              <w:jc w:val="center"/>
              <w:rPr>
                <w:szCs w:val="22"/>
              </w:rPr>
            </w:pPr>
            <w:r w:rsidRPr="005C7CCE">
              <w:rPr>
                <w:color w:val="008000"/>
              </w:rPr>
              <w:sym w:font="Wingdings" w:char="F06C"/>
            </w:r>
          </w:p>
        </w:tc>
      </w:tr>
      <w:tr w:rsidR="00C82EE5" w:rsidRPr="005C7CCE" w:rsidTr="0056083E">
        <w:trPr>
          <w:cantSplit/>
        </w:trPr>
        <w:tc>
          <w:tcPr>
            <w:tcW w:w="2987" w:type="dxa"/>
            <w:vMerge/>
            <w:shd w:val="clear" w:color="auto" w:fill="auto"/>
            <w:noWrap/>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demandes d</w:t>
            </w:r>
            <w:r w:rsidR="00A20444" w:rsidRPr="002D02F3">
              <w:rPr>
                <w:sz w:val="14"/>
              </w:rPr>
              <w:t>’</w:t>
            </w:r>
            <w:r w:rsidRPr="002D02F3">
              <w:rPr>
                <w:sz w:val="14"/>
              </w:rPr>
              <w:t>assistance en matière de sûreté et de sécurité reçues dans les délais pour des conférences ou des manifestations organisées à Genève ou hors de Genève</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Programme 28</w:t>
            </w:r>
          </w:p>
        </w:tc>
        <w:tc>
          <w:tcPr>
            <w:tcW w:w="1163" w:type="dxa"/>
          </w:tcPr>
          <w:p w:rsidR="00C82EE5" w:rsidRPr="005C7CCE" w:rsidRDefault="00C82EE5" w:rsidP="001A5BF9">
            <w:pPr>
              <w:jc w:val="center"/>
              <w:rPr>
                <w:szCs w:val="22"/>
              </w:rPr>
            </w:pPr>
            <w:r w:rsidRPr="005C7CCE">
              <w:rPr>
                <w:color w:val="008000"/>
              </w:rPr>
              <w:sym w:font="Wingdings" w:char="F06C"/>
            </w:r>
            <w:r w:rsidRPr="005C7CCE">
              <w:rPr>
                <w:color w:val="E36C0A"/>
              </w:rPr>
              <w:sym w:font="Wingdings" w:char="F06C"/>
            </w:r>
          </w:p>
        </w:tc>
      </w:tr>
      <w:tr w:rsidR="00C82EE5" w:rsidRPr="005C7CCE" w:rsidTr="0056083E">
        <w:trPr>
          <w:cantSplit/>
        </w:trPr>
        <w:tc>
          <w:tcPr>
            <w:tcW w:w="2987" w:type="dxa"/>
            <w:vMerge/>
            <w:shd w:val="clear" w:color="auto" w:fill="auto"/>
            <w:noWrap/>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Caractère exhaustif et pertinence de la série de politiques, procédures et normes en matière de sécurité de l</w:t>
            </w:r>
            <w:r w:rsidR="00A20444" w:rsidRPr="002D02F3">
              <w:rPr>
                <w:sz w:val="14"/>
              </w:rPr>
              <w:t>’</w:t>
            </w:r>
            <w:r w:rsidRPr="002D02F3">
              <w:rPr>
                <w:sz w:val="14"/>
              </w:rPr>
              <w:t>information</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Programme 25</w:t>
            </w:r>
          </w:p>
        </w:tc>
        <w:tc>
          <w:tcPr>
            <w:tcW w:w="1163" w:type="dxa"/>
          </w:tcPr>
          <w:p w:rsidR="00C82EE5" w:rsidRPr="005C7CCE" w:rsidRDefault="00C82EE5" w:rsidP="001A5BF9">
            <w:pPr>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noWrap/>
            <w:tcMar>
              <w:top w:w="113" w:type="dxa"/>
            </w:tcMar>
          </w:tcPr>
          <w:p w:rsidR="00C82EE5" w:rsidRPr="002D02F3" w:rsidRDefault="00C82EE5" w:rsidP="001A5BF9">
            <w:pPr>
              <w:spacing w:before="8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Registre actualisé des risques en matière de sécurité de l</w:t>
            </w:r>
            <w:r w:rsidR="00A20444" w:rsidRPr="002D02F3">
              <w:rPr>
                <w:sz w:val="14"/>
              </w:rPr>
              <w:t>’</w:t>
            </w:r>
            <w:r w:rsidRPr="002D02F3">
              <w:rPr>
                <w:sz w:val="14"/>
              </w:rPr>
              <w:t>information</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Programme 25</w:t>
            </w:r>
          </w:p>
        </w:tc>
        <w:tc>
          <w:tcPr>
            <w:tcW w:w="1163" w:type="dxa"/>
          </w:tcPr>
          <w:p w:rsidR="00C82EE5" w:rsidRPr="005C7CCE" w:rsidRDefault="00C82EE5" w:rsidP="001A5BF9">
            <w:pPr>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Coûts relatifs au nouveau bâtiment administratif maintenus au minimum</w:t>
            </w: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Utilisation des fonds restants disponibles dans le cadre du budget consolidé et des provisions approuvées pendant la période de garantie relative à la construction</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Programme 29</w:t>
            </w:r>
          </w:p>
        </w:tc>
        <w:tc>
          <w:tcPr>
            <w:tcW w:w="1163" w:type="dxa"/>
          </w:tcPr>
          <w:p w:rsidR="00C82EE5" w:rsidRPr="005C7CCE" w:rsidRDefault="00C82EE5" w:rsidP="001A5BF9">
            <w:pPr>
              <w:jc w:val="center"/>
              <w:rPr>
                <w:color w:val="A6A6A6"/>
                <w:szCs w:val="22"/>
              </w:rPr>
            </w:pPr>
            <w:r w:rsidRPr="005C7CCE">
              <w:rPr>
                <w:color w:val="A6A6A6"/>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 xml:space="preserve">Nouvelle salle de conférence et installations connexes pour les réunions des États membres </w:t>
            </w: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Construction d</w:t>
            </w:r>
            <w:r w:rsidR="00A20444" w:rsidRPr="002D02F3">
              <w:rPr>
                <w:sz w:val="14"/>
              </w:rPr>
              <w:t>’</w:t>
            </w:r>
            <w:r w:rsidRPr="002D02F3">
              <w:rPr>
                <w:sz w:val="14"/>
              </w:rPr>
              <w:t>une nouvelle salle de conférence et d</w:t>
            </w:r>
            <w:r w:rsidR="00A20444" w:rsidRPr="002D02F3">
              <w:rPr>
                <w:sz w:val="14"/>
              </w:rPr>
              <w:t>’</w:t>
            </w:r>
            <w:r w:rsidRPr="002D02F3">
              <w:rPr>
                <w:sz w:val="14"/>
              </w:rPr>
              <w:t>installations connexes conformément aux critères de qualité, au budget et aux délais approuvés</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Programme 29</w:t>
            </w:r>
          </w:p>
        </w:tc>
        <w:tc>
          <w:tcPr>
            <w:tcW w:w="1163" w:type="dxa"/>
          </w:tcPr>
          <w:p w:rsidR="00C82EE5" w:rsidRPr="005C7CCE" w:rsidRDefault="00C82EE5" w:rsidP="001A5BF9">
            <w:pPr>
              <w:jc w:val="center"/>
              <w:rPr>
                <w:color w:val="A6A6A6"/>
                <w:szCs w:val="22"/>
              </w:rPr>
            </w:pPr>
            <w:r w:rsidRPr="005C7CCE">
              <w:rPr>
                <w:color w:val="A6A6A6"/>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Meilleure coordination et meilleure cohésion au sein du Secrétariat</w:t>
            </w: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Achèvement</w:t>
            </w:r>
            <w:r w:rsidR="00A20444" w:rsidRPr="002D02F3">
              <w:rPr>
                <w:sz w:val="14"/>
              </w:rPr>
              <w:t xml:space="preserve"> du PRS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21</w:t>
            </w:r>
          </w:p>
        </w:tc>
        <w:tc>
          <w:tcPr>
            <w:tcW w:w="1163" w:type="dxa"/>
          </w:tcPr>
          <w:p w:rsidR="00C82EE5" w:rsidRPr="005C7CCE" w:rsidRDefault="00C82EE5" w:rsidP="001A5BF9">
            <w:pPr>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noWrap/>
            <w:tcMar>
              <w:top w:w="113" w:type="dxa"/>
            </w:tcMar>
          </w:tcPr>
          <w:p w:rsidR="00C82EE5" w:rsidRPr="002D02F3" w:rsidRDefault="00C82EE5" w:rsidP="001A5BF9">
            <w:pPr>
              <w:keepNext/>
              <w:keepLines/>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keepNext/>
              <w:keepLines/>
              <w:spacing w:before="80"/>
              <w:rPr>
                <w:rFonts w:cs="Arial"/>
                <w:sz w:val="14"/>
                <w:szCs w:val="14"/>
              </w:rPr>
            </w:pPr>
            <w:r w:rsidRPr="002D02F3">
              <w:rPr>
                <w:sz w:val="14"/>
                <w:szCs w:val="14"/>
              </w:rPr>
              <w:t>Réalisation des résultats de niveau de valeur</w:t>
            </w:r>
            <w:r w:rsidR="00A20444" w:rsidRPr="002D02F3">
              <w:rPr>
                <w:sz w:val="14"/>
                <w:szCs w:val="14"/>
              </w:rPr>
              <w:t xml:space="preserve"> du PRS</w:t>
            </w:r>
          </w:p>
        </w:tc>
        <w:tc>
          <w:tcPr>
            <w:tcW w:w="1417" w:type="dxa"/>
            <w:shd w:val="clear" w:color="auto" w:fill="auto"/>
            <w:tcMar>
              <w:top w:w="113" w:type="dxa"/>
            </w:tcMar>
          </w:tcPr>
          <w:p w:rsidR="00C82EE5" w:rsidRPr="002D02F3" w:rsidRDefault="00C82EE5" w:rsidP="001A5BF9">
            <w:pPr>
              <w:keepNext/>
              <w:keepLines/>
              <w:spacing w:before="80"/>
              <w:jc w:val="center"/>
              <w:rPr>
                <w:rFonts w:cs="Arial"/>
                <w:sz w:val="14"/>
                <w:szCs w:val="14"/>
              </w:rPr>
            </w:pPr>
            <w:r w:rsidRPr="002D02F3">
              <w:rPr>
                <w:sz w:val="14"/>
              </w:rPr>
              <w:t>Programme 21</w:t>
            </w:r>
          </w:p>
        </w:tc>
        <w:tc>
          <w:tcPr>
            <w:tcW w:w="1163" w:type="dxa"/>
          </w:tcPr>
          <w:p w:rsidR="00C82EE5" w:rsidRPr="005C7CCE" w:rsidRDefault="00C82EE5" w:rsidP="001A5BF9">
            <w:pPr>
              <w:keepNext/>
              <w:keepLines/>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noWrap/>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demandes d</w:t>
            </w:r>
            <w:r w:rsidR="00A20444" w:rsidRPr="002D02F3">
              <w:rPr>
                <w:sz w:val="14"/>
              </w:rPr>
              <w:t>’</w:t>
            </w:r>
            <w:r w:rsidRPr="002D02F3">
              <w:rPr>
                <w:sz w:val="14"/>
              </w:rPr>
              <w:t>avis juridique qui reçoivent une réponse du Bureau du conseiller juridique</w:t>
            </w:r>
            <w:r w:rsidR="004F3E42" w:rsidRPr="002D02F3">
              <w:rPr>
                <w:sz w:val="14"/>
              </w:rPr>
              <w:t xml:space="preserve"> </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21</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notifications d</w:t>
            </w:r>
            <w:r w:rsidR="00A20444" w:rsidRPr="002D02F3">
              <w:rPr>
                <w:sz w:val="14"/>
              </w:rPr>
              <w:t>’</w:t>
            </w:r>
            <w:r w:rsidRPr="002D02F3">
              <w:rPr>
                <w:sz w:val="14"/>
              </w:rPr>
              <w:t>adhésion traitées dans les délais requis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21</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vMerge w:val="restart"/>
            <w:shd w:val="clear" w:color="auto" w:fill="auto"/>
            <w:tcMar>
              <w:top w:w="113" w:type="dxa"/>
            </w:tcMar>
          </w:tcPr>
          <w:p w:rsidR="00C82EE5" w:rsidRPr="002D02F3" w:rsidRDefault="00C82EE5" w:rsidP="001A5BF9">
            <w:pPr>
              <w:spacing w:before="80"/>
              <w:rPr>
                <w:rFonts w:cs="Arial"/>
                <w:sz w:val="14"/>
                <w:szCs w:val="14"/>
              </w:rPr>
            </w:pPr>
            <w:r w:rsidRPr="002D02F3">
              <w:rPr>
                <w:sz w:val="14"/>
              </w:rPr>
              <w:t>Environnement de travail amélioré fondé sur un cadre réglementaire orienté vers le progrès et des voies effectives de prise en considération des préoccupations du personnel</w:t>
            </w: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w:t>
            </w:r>
            <w:r w:rsidR="00A20444" w:rsidRPr="002D02F3">
              <w:rPr>
                <w:sz w:val="14"/>
              </w:rPr>
              <w:t>’</w:t>
            </w:r>
            <w:r w:rsidRPr="002D02F3">
              <w:rPr>
                <w:sz w:val="14"/>
              </w:rPr>
              <w:t>utilisateurs satisfaits du niveau des services obtenus du Bureau du médiateur</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21</w:t>
            </w:r>
          </w:p>
        </w:tc>
        <w:tc>
          <w:tcPr>
            <w:tcW w:w="1163" w:type="dxa"/>
          </w:tcPr>
          <w:p w:rsidR="00C82EE5" w:rsidRPr="005C7CCE" w:rsidRDefault="00C82EE5" w:rsidP="001A5BF9">
            <w:pPr>
              <w:spacing w:before="20"/>
              <w:jc w:val="center"/>
              <w:rPr>
                <w:color w:val="008000"/>
                <w:szCs w:val="22"/>
              </w:rPr>
            </w:pPr>
            <w:r w:rsidRPr="005C7CCE">
              <w:rPr>
                <w:color w:val="008000"/>
              </w:rPr>
              <w:sym w:font="Wingdings" w:char="F06C"/>
            </w:r>
          </w:p>
        </w:tc>
      </w:tr>
      <w:tr w:rsidR="00C82EE5" w:rsidRPr="005C7CCE" w:rsidTr="0056083E">
        <w:trPr>
          <w:cantSplit/>
        </w:trPr>
        <w:tc>
          <w:tcPr>
            <w:tcW w:w="2987" w:type="dxa"/>
            <w:vMerge/>
            <w:shd w:val="clear" w:color="auto" w:fill="auto"/>
            <w:noWrap/>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fonctionnaires ayant connaissance des principes et des politiques de l</w:t>
            </w:r>
            <w:r w:rsidR="00A20444" w:rsidRPr="002D02F3">
              <w:rPr>
                <w:sz w:val="14"/>
              </w:rPr>
              <w:t>’</w:t>
            </w:r>
            <w:r w:rsidRPr="002D02F3">
              <w:rPr>
                <w:sz w:val="14"/>
              </w:rPr>
              <w:t>OMPI dans le domaine éthique</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21</w:t>
            </w:r>
          </w:p>
        </w:tc>
        <w:tc>
          <w:tcPr>
            <w:tcW w:w="1163" w:type="dxa"/>
          </w:tcPr>
          <w:p w:rsidR="00C82EE5" w:rsidRPr="005C7CCE" w:rsidRDefault="00C82EE5" w:rsidP="001A5BF9">
            <w:pPr>
              <w:jc w:val="center"/>
              <w:rPr>
                <w:color w:val="008000"/>
                <w:szCs w:val="22"/>
              </w:rPr>
            </w:pPr>
            <w:r w:rsidRPr="005C7CCE">
              <w:rPr>
                <w:color w:val="008000"/>
              </w:rPr>
              <w:sym w:font="Wingdings" w:char="F06C"/>
            </w:r>
          </w:p>
        </w:tc>
      </w:tr>
      <w:tr w:rsidR="00C82EE5" w:rsidRPr="005C7CCE" w:rsidTr="0056083E">
        <w:trPr>
          <w:cantSplit/>
        </w:trPr>
        <w:tc>
          <w:tcPr>
            <w:tcW w:w="2987" w:type="dxa"/>
            <w:vMerge w:val="restart"/>
            <w:shd w:val="clear" w:color="auto" w:fill="auto"/>
            <w:tcMar>
              <w:top w:w="113" w:type="dxa"/>
            </w:tcMar>
          </w:tcPr>
          <w:p w:rsidR="00C82EE5" w:rsidRPr="002D02F3" w:rsidRDefault="00C82EE5" w:rsidP="001A5BF9">
            <w:pPr>
              <w:spacing w:before="80"/>
              <w:rPr>
                <w:rFonts w:cs="Arial"/>
                <w:sz w:val="14"/>
                <w:szCs w:val="14"/>
              </w:rPr>
            </w:pPr>
            <w:r w:rsidRPr="002D02F3">
              <w:rPr>
                <w:sz w:val="14"/>
              </w:rPr>
              <w:t>Réduction de l</w:t>
            </w:r>
            <w:r w:rsidR="00A20444" w:rsidRPr="002D02F3">
              <w:rPr>
                <w:sz w:val="14"/>
              </w:rPr>
              <w:t>’</w:t>
            </w:r>
            <w:r w:rsidRPr="002D02F3">
              <w:rPr>
                <w:sz w:val="14"/>
              </w:rPr>
              <w:t>impact environnemental des activités de l</w:t>
            </w:r>
            <w:r w:rsidR="00A20444" w:rsidRPr="002D02F3">
              <w:rPr>
                <w:sz w:val="14"/>
              </w:rPr>
              <w:t>’</w:t>
            </w:r>
            <w:r w:rsidRPr="002D02F3">
              <w:rPr>
                <w:sz w:val="14"/>
              </w:rPr>
              <w:t xml:space="preserve">OMPI </w:t>
            </w: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Nombre de programmes assortis d</w:t>
            </w:r>
            <w:r w:rsidR="00A20444" w:rsidRPr="002D02F3">
              <w:rPr>
                <w:sz w:val="14"/>
              </w:rPr>
              <w:t>’</w:t>
            </w:r>
            <w:r w:rsidRPr="002D02F3">
              <w:rPr>
                <w:sz w:val="14"/>
              </w:rPr>
              <w:t>indicateurs, de niveaux de référence et de cibles d</w:t>
            </w:r>
            <w:r w:rsidR="00A20444" w:rsidRPr="002D02F3">
              <w:rPr>
                <w:sz w:val="14"/>
              </w:rPr>
              <w:t>’</w:t>
            </w:r>
            <w:r w:rsidRPr="002D02F3">
              <w:rPr>
                <w:sz w:val="14"/>
              </w:rPr>
              <w:t>amélioration de l</w:t>
            </w:r>
            <w:r w:rsidR="00A20444" w:rsidRPr="002D02F3">
              <w:rPr>
                <w:sz w:val="14"/>
              </w:rPr>
              <w:t>’</w:t>
            </w:r>
            <w:r w:rsidRPr="002D02F3">
              <w:rPr>
                <w:sz w:val="14"/>
              </w:rPr>
              <w:t>environnement</w:t>
            </w:r>
            <w:r w:rsidR="004F3E42" w:rsidRPr="002D02F3">
              <w:rPr>
                <w:sz w:val="14"/>
              </w:rPr>
              <w:t xml:space="preserve"> </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24</w:t>
            </w:r>
          </w:p>
        </w:tc>
        <w:tc>
          <w:tcPr>
            <w:tcW w:w="1163" w:type="dxa"/>
          </w:tcPr>
          <w:p w:rsidR="00C82EE5" w:rsidRPr="005C7CCE" w:rsidRDefault="00C82EE5" w:rsidP="001A5BF9">
            <w:pPr>
              <w:jc w:val="center"/>
              <w:rPr>
                <w:szCs w:val="22"/>
              </w:rPr>
            </w:pPr>
            <w:r w:rsidRPr="005C7CCE">
              <w:rPr>
                <w:color w:val="FF0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Pourcentage de réduction des émissions de carbone par rapport à la consommation d</w:t>
            </w:r>
            <w:r w:rsidR="00A20444" w:rsidRPr="002D02F3">
              <w:rPr>
                <w:sz w:val="14"/>
              </w:rPr>
              <w:t>’</w:t>
            </w:r>
            <w:r w:rsidRPr="002D02F3">
              <w:rPr>
                <w:sz w:val="14"/>
              </w:rPr>
              <w:t>énergie (s</w:t>
            </w:r>
            <w:r w:rsidR="00A20444" w:rsidRPr="002D02F3">
              <w:rPr>
                <w:sz w:val="14"/>
              </w:rPr>
              <w:t>’</w:t>
            </w:r>
            <w:r w:rsidRPr="002D02F3">
              <w:rPr>
                <w:sz w:val="14"/>
              </w:rPr>
              <w:t>agissant des bâtiments de l</w:t>
            </w:r>
            <w:r w:rsidR="00A20444" w:rsidRPr="002D02F3">
              <w:rPr>
                <w:sz w:val="14"/>
              </w:rPr>
              <w:t>’</w:t>
            </w:r>
            <w:r w:rsidRPr="002D02F3">
              <w:rPr>
                <w:sz w:val="14"/>
              </w:rPr>
              <w:t>OMPI)</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24</w:t>
            </w:r>
          </w:p>
        </w:tc>
        <w:tc>
          <w:tcPr>
            <w:tcW w:w="1163" w:type="dxa"/>
          </w:tcPr>
          <w:p w:rsidR="00C82EE5" w:rsidRPr="005C7CCE" w:rsidRDefault="00C82EE5" w:rsidP="001A5BF9">
            <w:pPr>
              <w:jc w:val="center"/>
              <w:rPr>
                <w:szCs w:val="22"/>
              </w:rPr>
            </w:pPr>
            <w:r w:rsidRPr="005C7CCE">
              <w:rPr>
                <w:color w:val="A6A6A6"/>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Amélioration de l</w:t>
            </w:r>
            <w:r w:rsidR="00A20444" w:rsidRPr="002D02F3">
              <w:rPr>
                <w:sz w:val="14"/>
              </w:rPr>
              <w:t>’</w:t>
            </w:r>
            <w:r w:rsidRPr="002D02F3">
              <w:rPr>
                <w:sz w:val="14"/>
              </w:rPr>
              <w:t>accès physique au campus de l</w:t>
            </w:r>
            <w:r w:rsidR="00A20444" w:rsidRPr="002D02F3">
              <w:rPr>
                <w:sz w:val="14"/>
              </w:rPr>
              <w:t>’</w:t>
            </w:r>
            <w:r w:rsidRPr="002D02F3">
              <w:rPr>
                <w:sz w:val="14"/>
              </w:rPr>
              <w:t xml:space="preserve">OMPI </w:t>
            </w: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Nombre de programmes assortis d</w:t>
            </w:r>
            <w:r w:rsidR="00A20444" w:rsidRPr="002D02F3">
              <w:rPr>
                <w:sz w:val="14"/>
              </w:rPr>
              <w:t>’</w:t>
            </w:r>
            <w:r w:rsidRPr="002D02F3">
              <w:rPr>
                <w:sz w:val="14"/>
              </w:rPr>
              <w:t>indicateurs, de niveaux de référence et de cibles d</w:t>
            </w:r>
            <w:r w:rsidR="00A20444" w:rsidRPr="002D02F3">
              <w:rPr>
                <w:sz w:val="14"/>
              </w:rPr>
              <w:t>’</w:t>
            </w:r>
            <w:r w:rsidRPr="002D02F3">
              <w:rPr>
                <w:sz w:val="14"/>
              </w:rPr>
              <w:t xml:space="preserve">accessibilité physique </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24</w:t>
            </w:r>
          </w:p>
        </w:tc>
        <w:tc>
          <w:tcPr>
            <w:tcW w:w="1163" w:type="dxa"/>
          </w:tcPr>
          <w:p w:rsidR="00C82EE5" w:rsidRPr="005C7CCE" w:rsidRDefault="00C82EE5" w:rsidP="001A5BF9">
            <w:pPr>
              <w:jc w:val="center"/>
              <w:rPr>
                <w:szCs w:val="22"/>
              </w:rPr>
            </w:pPr>
            <w:r w:rsidRPr="005C7CCE">
              <w:rPr>
                <w:color w:val="E36C0A"/>
              </w:rPr>
              <w:sym w:font="Wingdings" w:char="F06C"/>
            </w:r>
          </w:p>
        </w:tc>
      </w:tr>
      <w:tr w:rsidR="00C82EE5" w:rsidRPr="005C7CCE" w:rsidTr="0056083E">
        <w:trPr>
          <w:cantSplit/>
        </w:trPr>
        <w:tc>
          <w:tcPr>
            <w:tcW w:w="2987" w:type="dxa"/>
            <w:vMerge w:val="restart"/>
            <w:shd w:val="clear" w:color="auto" w:fill="auto"/>
            <w:tcMar>
              <w:top w:w="113" w:type="dxa"/>
            </w:tcMar>
          </w:tcPr>
          <w:p w:rsidR="00C82EE5" w:rsidRPr="002D02F3" w:rsidRDefault="00C82EE5" w:rsidP="001A5BF9">
            <w:pPr>
              <w:spacing w:before="80"/>
              <w:rPr>
                <w:rFonts w:cs="Arial"/>
                <w:sz w:val="14"/>
                <w:szCs w:val="14"/>
              </w:rPr>
            </w:pPr>
            <w:r w:rsidRPr="002D02F3">
              <w:rPr>
                <w:sz w:val="14"/>
              </w:rPr>
              <w:t>Fonction d</w:t>
            </w:r>
            <w:r w:rsidR="00A20444" w:rsidRPr="002D02F3">
              <w:rPr>
                <w:sz w:val="14"/>
              </w:rPr>
              <w:t>’</w:t>
            </w:r>
            <w:r w:rsidRPr="002D02F3">
              <w:rPr>
                <w:sz w:val="14"/>
              </w:rPr>
              <w:t>audit interne efficace et professionnelle couvrant tous les secteurs à haut risque</w:t>
            </w: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Nombre d</w:t>
            </w:r>
            <w:r w:rsidR="00A20444" w:rsidRPr="002D02F3">
              <w:rPr>
                <w:sz w:val="14"/>
              </w:rPr>
              <w:t>’</w:t>
            </w:r>
            <w:r w:rsidRPr="002D02F3">
              <w:rPr>
                <w:sz w:val="14"/>
              </w:rPr>
              <w:t xml:space="preserve">audits effectués dans des domaines à haut risque </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26</w:t>
            </w:r>
          </w:p>
        </w:tc>
        <w:tc>
          <w:tcPr>
            <w:tcW w:w="1163" w:type="dxa"/>
          </w:tcPr>
          <w:p w:rsidR="00C82EE5" w:rsidRPr="005C7CCE" w:rsidRDefault="00C82EE5" w:rsidP="001A5BF9">
            <w:pPr>
              <w:jc w:val="center"/>
              <w:rPr>
                <w:color w:val="008000"/>
                <w:szCs w:val="22"/>
              </w:rPr>
            </w:pPr>
            <w:r w:rsidRPr="005C7CCE">
              <w:rPr>
                <w:color w:val="008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Les normes professionnelles, le code de déontologie et les pratiques recommandées de l</w:t>
            </w:r>
            <w:r w:rsidR="00A20444" w:rsidRPr="002D02F3">
              <w:rPr>
                <w:sz w:val="14"/>
              </w:rPr>
              <w:t>’</w:t>
            </w:r>
            <w:r w:rsidRPr="002D02F3">
              <w:rPr>
                <w:sz w:val="14"/>
              </w:rPr>
              <w:t>Institut des auditeurs internes (IIA) sont appliqués.</w:t>
            </w:r>
          </w:p>
        </w:tc>
        <w:tc>
          <w:tcPr>
            <w:tcW w:w="1417" w:type="dxa"/>
            <w:shd w:val="clear" w:color="auto" w:fill="auto"/>
            <w:tcMar>
              <w:top w:w="113" w:type="dxa"/>
            </w:tcMar>
          </w:tcPr>
          <w:p w:rsidR="00C82EE5" w:rsidRPr="002D02F3" w:rsidRDefault="00C82EE5" w:rsidP="001A5BF9">
            <w:pPr>
              <w:spacing w:before="80"/>
              <w:jc w:val="center"/>
              <w:rPr>
                <w:rFonts w:cs="Arial"/>
                <w:sz w:val="14"/>
                <w:szCs w:val="14"/>
              </w:rPr>
            </w:pPr>
            <w:r w:rsidRPr="002D02F3">
              <w:rPr>
                <w:sz w:val="14"/>
              </w:rPr>
              <w:t>Programme 26</w:t>
            </w:r>
          </w:p>
        </w:tc>
        <w:tc>
          <w:tcPr>
            <w:tcW w:w="1163" w:type="dxa"/>
          </w:tcPr>
          <w:p w:rsidR="00C82EE5" w:rsidRPr="005C7CCE" w:rsidRDefault="00C82EE5" w:rsidP="001A5BF9">
            <w:pPr>
              <w:jc w:val="center"/>
              <w:rPr>
                <w:rFonts w:cs="Arial"/>
                <w:color w:val="008000"/>
                <w:szCs w:val="22"/>
              </w:rPr>
            </w:pPr>
            <w:r w:rsidRPr="005C7CCE">
              <w:rPr>
                <w:color w:val="008000"/>
              </w:rPr>
              <w:sym w:font="Wingdings" w:char="F06C"/>
            </w:r>
          </w:p>
        </w:tc>
      </w:tr>
      <w:tr w:rsidR="00C82EE5" w:rsidRPr="005C7CCE" w:rsidTr="0056083E">
        <w:trPr>
          <w:cantSplit/>
        </w:trPr>
        <w:tc>
          <w:tcPr>
            <w:tcW w:w="2987" w:type="dxa"/>
            <w:vMerge/>
            <w:shd w:val="clear" w:color="auto" w:fill="auto"/>
            <w:tcMar>
              <w:top w:w="113" w:type="dxa"/>
            </w:tcMar>
          </w:tcPr>
          <w:p w:rsidR="00C82EE5" w:rsidRPr="002D02F3" w:rsidRDefault="00C82EE5" w:rsidP="001A5BF9">
            <w:pPr>
              <w:spacing w:before="80"/>
              <w:ind w:firstLineChars="100" w:firstLine="140"/>
              <w:rPr>
                <w:rFonts w:cs="Arial"/>
                <w:sz w:val="14"/>
                <w:szCs w:val="14"/>
              </w:rPr>
            </w:pP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Suivi complet et précis de la mise en œuvre des recommandations relatives à la supervision, montrant les recommandations passées, les recommandations nouvelles ajoutées et l</w:t>
            </w:r>
            <w:r w:rsidR="00A20444" w:rsidRPr="002D02F3">
              <w:rPr>
                <w:sz w:val="14"/>
              </w:rPr>
              <w:t>’</w:t>
            </w:r>
            <w:r w:rsidRPr="002D02F3">
              <w:rPr>
                <w:sz w:val="14"/>
              </w:rPr>
              <w:t>état de leur application</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Programme 26</w:t>
            </w:r>
          </w:p>
        </w:tc>
        <w:tc>
          <w:tcPr>
            <w:tcW w:w="1163" w:type="dxa"/>
          </w:tcPr>
          <w:p w:rsidR="00C82EE5" w:rsidRPr="005C7CCE" w:rsidRDefault="00C82EE5" w:rsidP="001A5BF9">
            <w:pPr>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Les rapports d</w:t>
            </w:r>
            <w:r w:rsidR="00A20444" w:rsidRPr="002D02F3">
              <w:rPr>
                <w:sz w:val="14"/>
              </w:rPr>
              <w:t>’</w:t>
            </w:r>
            <w:r w:rsidRPr="002D02F3">
              <w:rPr>
                <w:sz w:val="14"/>
              </w:rPr>
              <w:t>investigation constituent une base fiable pour les décisions du Directeur général</w:t>
            </w: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Les enquêtes sont menées conformément à la Charte de la supervision interne, aux lignes directrices uniformes pour les enquêtes de l</w:t>
            </w:r>
            <w:r w:rsidR="00A20444" w:rsidRPr="002D02F3">
              <w:rPr>
                <w:sz w:val="14"/>
              </w:rPr>
              <w:t>’</w:t>
            </w:r>
            <w:r w:rsidRPr="002D02F3">
              <w:rPr>
                <w:sz w:val="14"/>
              </w:rPr>
              <w:t>ONU, au Manuel de procédure en matière d</w:t>
            </w:r>
            <w:r w:rsidR="00A20444" w:rsidRPr="002D02F3">
              <w:rPr>
                <w:sz w:val="14"/>
              </w:rPr>
              <w:t>’</w:t>
            </w:r>
            <w:r w:rsidRPr="002D02F3">
              <w:rPr>
                <w:sz w:val="14"/>
              </w:rPr>
              <w:t>enquêtes et à la politique en matière d</w:t>
            </w:r>
            <w:r w:rsidR="00A20444" w:rsidRPr="002D02F3">
              <w:rPr>
                <w:sz w:val="14"/>
              </w:rPr>
              <w:t>’</w:t>
            </w:r>
            <w:r w:rsidRPr="002D02F3">
              <w:rPr>
                <w:sz w:val="14"/>
              </w:rPr>
              <w:t>enquêtes (en cours d</w:t>
            </w:r>
            <w:r w:rsidR="00A20444" w:rsidRPr="002D02F3">
              <w:rPr>
                <w:sz w:val="14"/>
              </w:rPr>
              <w:t>’</w:t>
            </w:r>
            <w:r w:rsidRPr="002D02F3">
              <w:rPr>
                <w:sz w:val="14"/>
              </w:rPr>
              <w:t>élaboration).</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Programme 26</w:t>
            </w:r>
          </w:p>
        </w:tc>
        <w:tc>
          <w:tcPr>
            <w:tcW w:w="1163" w:type="dxa"/>
          </w:tcPr>
          <w:p w:rsidR="00C82EE5" w:rsidRPr="005C7CCE" w:rsidRDefault="00C82EE5" w:rsidP="001A5BF9">
            <w:pPr>
              <w:jc w:val="center"/>
              <w:rPr>
                <w:color w:val="008000"/>
                <w:szCs w:val="22"/>
              </w:rPr>
            </w:pPr>
            <w:r w:rsidRPr="005C7CCE">
              <w:rPr>
                <w:color w:val="008000"/>
              </w:rPr>
              <w:sym w:font="Wingdings" w:char="F06C"/>
            </w:r>
          </w:p>
        </w:tc>
      </w:tr>
      <w:tr w:rsidR="00C82EE5" w:rsidRPr="005C7CCE" w:rsidTr="0056083E">
        <w:trPr>
          <w:cantSplit/>
        </w:trPr>
        <w:tc>
          <w:tcPr>
            <w:tcW w:w="2987"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Des données d</w:t>
            </w:r>
            <w:r w:rsidR="00A20444" w:rsidRPr="002D02F3">
              <w:rPr>
                <w:sz w:val="14"/>
              </w:rPr>
              <w:t>’</w:t>
            </w:r>
            <w:r w:rsidRPr="002D02F3">
              <w:rPr>
                <w:sz w:val="14"/>
              </w:rPr>
              <w:t>évaluation fondées sur des éléments probants sont mises à la disposition de la haute direction, des chefs de programmes et des États membres aux fins de la prise de décisions</w:t>
            </w:r>
          </w:p>
        </w:tc>
        <w:tc>
          <w:tcPr>
            <w:tcW w:w="3799" w:type="dxa"/>
            <w:shd w:val="clear" w:color="auto" w:fill="auto"/>
            <w:tcMar>
              <w:top w:w="113" w:type="dxa"/>
            </w:tcMar>
          </w:tcPr>
          <w:p w:rsidR="00C82EE5" w:rsidRPr="002D02F3" w:rsidRDefault="00C82EE5" w:rsidP="001A5BF9">
            <w:pPr>
              <w:spacing w:before="80"/>
              <w:rPr>
                <w:rFonts w:cs="Arial"/>
                <w:sz w:val="14"/>
                <w:szCs w:val="14"/>
              </w:rPr>
            </w:pPr>
            <w:r w:rsidRPr="002D02F3">
              <w:rPr>
                <w:sz w:val="14"/>
              </w:rPr>
              <w:t>Les évaluations sont établies conformément à la politique d</w:t>
            </w:r>
            <w:r w:rsidR="00A20444" w:rsidRPr="002D02F3">
              <w:rPr>
                <w:sz w:val="14"/>
              </w:rPr>
              <w:t>’</w:t>
            </w:r>
            <w:r w:rsidRPr="002D02F3">
              <w:rPr>
                <w:sz w:val="14"/>
              </w:rPr>
              <w:t>évaluation et à la section du Manuel de procédures portant sur l</w:t>
            </w:r>
            <w:r w:rsidR="00A20444" w:rsidRPr="002D02F3">
              <w:rPr>
                <w:sz w:val="14"/>
              </w:rPr>
              <w:t>’</w:t>
            </w:r>
            <w:r w:rsidRPr="002D02F3">
              <w:rPr>
                <w:sz w:val="14"/>
              </w:rPr>
              <w:t>évaluation.</w:t>
            </w:r>
          </w:p>
        </w:tc>
        <w:tc>
          <w:tcPr>
            <w:tcW w:w="1417" w:type="dxa"/>
            <w:shd w:val="clear" w:color="auto" w:fill="auto"/>
            <w:noWrap/>
            <w:tcMar>
              <w:top w:w="113" w:type="dxa"/>
            </w:tcMar>
          </w:tcPr>
          <w:p w:rsidR="00C82EE5" w:rsidRPr="002D02F3" w:rsidRDefault="00C82EE5" w:rsidP="001A5BF9">
            <w:pPr>
              <w:spacing w:before="80"/>
              <w:jc w:val="center"/>
              <w:rPr>
                <w:rFonts w:cs="Arial"/>
                <w:sz w:val="14"/>
                <w:szCs w:val="14"/>
              </w:rPr>
            </w:pPr>
            <w:r w:rsidRPr="002D02F3">
              <w:rPr>
                <w:sz w:val="14"/>
              </w:rPr>
              <w:t>Programme 26</w:t>
            </w:r>
          </w:p>
        </w:tc>
        <w:tc>
          <w:tcPr>
            <w:tcW w:w="1163" w:type="dxa"/>
          </w:tcPr>
          <w:p w:rsidR="00C82EE5" w:rsidRPr="005C7CCE" w:rsidRDefault="00C82EE5" w:rsidP="001A5BF9">
            <w:pPr>
              <w:jc w:val="center"/>
              <w:rPr>
                <w:color w:val="008000"/>
                <w:szCs w:val="22"/>
              </w:rPr>
            </w:pPr>
            <w:r w:rsidRPr="005C7CCE">
              <w:rPr>
                <w:color w:val="008000"/>
              </w:rPr>
              <w:sym w:font="Wingdings" w:char="F06C"/>
            </w:r>
          </w:p>
        </w:tc>
      </w:tr>
    </w:tbl>
    <w:p w:rsidR="00D42474" w:rsidRDefault="00D42474" w:rsidP="001A5BF9">
      <w:pPr>
        <w:pStyle w:val="StyleHeading3ComplexItalic"/>
        <w:keepNext w:val="0"/>
        <w:tabs>
          <w:tab w:val="clear" w:pos="1985"/>
          <w:tab w:val="left" w:pos="1418"/>
        </w:tabs>
        <w:ind w:left="1418" w:hanging="1418"/>
        <w:rPr>
          <w:snapToGrid w:val="0"/>
          <w:color w:val="000000"/>
          <w:sz w:val="19"/>
          <w:szCs w:val="19"/>
        </w:rPr>
      </w:pPr>
    </w:p>
    <w:p w:rsidR="00D42474" w:rsidRDefault="00C82EE5" w:rsidP="001A5BF9">
      <w:pPr>
        <w:rPr>
          <w:rFonts w:ascii="Arial Bold" w:hAnsi="Arial Bold"/>
          <w:b/>
          <w:bCs/>
        </w:rPr>
      </w:pPr>
      <w:r w:rsidRPr="005C7CCE">
        <w:br w:type="page"/>
      </w:r>
    </w:p>
    <w:p w:rsidR="00D42474" w:rsidRDefault="00C82EE5" w:rsidP="001A5BF9">
      <w:pPr>
        <w:pStyle w:val="Heading3"/>
        <w:rPr>
          <w:szCs w:val="22"/>
        </w:rPr>
      </w:pPr>
      <w:bookmarkStart w:id="41" w:name="_Toc395082493"/>
      <w:r w:rsidRPr="00C756AD">
        <w:rPr>
          <w:szCs w:val="22"/>
        </w:rPr>
        <w:t>Programme 21</w:t>
      </w:r>
      <w:r w:rsidRPr="00C756AD">
        <w:rPr>
          <w:szCs w:val="22"/>
        </w:rPr>
        <w:tab/>
        <w:t>Direction générale</w:t>
      </w:r>
      <w:bookmarkEnd w:id="41"/>
    </w:p>
    <w:p w:rsidR="00D42474" w:rsidRDefault="00D42474" w:rsidP="001A5BF9">
      <w:pPr>
        <w:ind w:left="2268" w:hanging="2268"/>
        <w:rPr>
          <w:rFonts w:cs="Arial"/>
          <w:b/>
          <w:sz w:val="22"/>
          <w:szCs w:val="22"/>
        </w:rPr>
      </w:pPr>
    </w:p>
    <w:p w:rsidR="00D42474" w:rsidRDefault="00C82EE5" w:rsidP="001A5BF9">
      <w:pPr>
        <w:ind w:left="2268" w:hanging="2268"/>
        <w:rPr>
          <w:rFonts w:cs="Arial"/>
          <w:b/>
          <w:sz w:val="22"/>
          <w:szCs w:val="22"/>
        </w:rPr>
      </w:pPr>
      <w:r w:rsidRPr="00C756AD">
        <w:rPr>
          <w:b/>
          <w:sz w:val="22"/>
          <w:szCs w:val="22"/>
        </w:rPr>
        <w:t>Chef de programme</w:t>
      </w:r>
      <w:r w:rsidRPr="00C756AD">
        <w:rPr>
          <w:b/>
          <w:sz w:val="22"/>
          <w:szCs w:val="22"/>
        </w:rPr>
        <w:tab/>
      </w:r>
      <w:r w:rsidRPr="00C756AD">
        <w:rPr>
          <w:b/>
          <w:sz w:val="22"/>
          <w:szCs w:val="22"/>
        </w:rPr>
        <w:tab/>
        <w:t>Direct</w:t>
      </w:r>
      <w:r w:rsidR="00BA741D" w:rsidRPr="00C756AD">
        <w:rPr>
          <w:b/>
          <w:sz w:val="22"/>
          <w:szCs w:val="22"/>
        </w:rPr>
        <w:t>eu</w:t>
      </w:r>
      <w:r w:rsidRPr="00C756AD">
        <w:rPr>
          <w:b/>
          <w:sz w:val="22"/>
          <w:szCs w:val="22"/>
        </w:rPr>
        <w:t>r G</w:t>
      </w:r>
      <w:r w:rsidR="00BA741D" w:rsidRPr="00C756AD">
        <w:rPr>
          <w:b/>
          <w:sz w:val="22"/>
          <w:szCs w:val="22"/>
        </w:rPr>
        <w:t>é</w:t>
      </w:r>
      <w:r w:rsidRPr="00C756AD">
        <w:rPr>
          <w:b/>
          <w:sz w:val="22"/>
          <w:szCs w:val="22"/>
        </w:rPr>
        <w:t>n</w:t>
      </w:r>
      <w:r w:rsidR="00BA741D" w:rsidRPr="00C756AD">
        <w:rPr>
          <w:b/>
          <w:sz w:val="22"/>
          <w:szCs w:val="22"/>
        </w:rPr>
        <w:t>é</w:t>
      </w:r>
      <w:r w:rsidRPr="00C756AD">
        <w:rPr>
          <w:b/>
          <w:sz w:val="22"/>
          <w:szCs w:val="22"/>
        </w:rPr>
        <w:t>ral</w:t>
      </w:r>
    </w:p>
    <w:p w:rsidR="00D42474" w:rsidRDefault="00D42474" w:rsidP="001A5BF9">
      <w:pPr>
        <w:rPr>
          <w:rFonts w:cs="Arial"/>
          <w:sz w:val="22"/>
          <w:szCs w:val="22"/>
        </w:rPr>
      </w:pPr>
    </w:p>
    <w:p w:rsidR="00D42474" w:rsidRDefault="00D42474" w:rsidP="001A5BF9">
      <w:pPr>
        <w:rPr>
          <w:rFonts w:cs="Arial"/>
          <w:bCs/>
          <w:sz w:val="22"/>
          <w:szCs w:val="22"/>
        </w:rPr>
      </w:pPr>
    </w:p>
    <w:p w:rsidR="00D42474" w:rsidRDefault="00C82EE5" w:rsidP="001A5BF9">
      <w:pPr>
        <w:rPr>
          <w:rFonts w:cs="Arial"/>
          <w:sz w:val="22"/>
          <w:szCs w:val="22"/>
        </w:rPr>
      </w:pPr>
      <w:r w:rsidRPr="00C756AD">
        <w:rPr>
          <w:sz w:val="22"/>
          <w:szCs w:val="22"/>
        </w:rPr>
        <w:t>RÉALISATIONS EN 2012</w:t>
      </w:r>
      <w:r w:rsidR="002D6F2A" w:rsidRPr="00C756AD">
        <w:rPr>
          <w:sz w:val="22"/>
          <w:szCs w:val="22"/>
        </w:rPr>
        <w:noBreakHyphen/>
      </w:r>
      <w:r w:rsidRPr="00C756AD">
        <w:rPr>
          <w:sz w:val="22"/>
          <w:szCs w:val="22"/>
        </w:rPr>
        <w:t>2013</w:t>
      </w:r>
    </w:p>
    <w:p w:rsidR="00D42474" w:rsidRDefault="00D42474" w:rsidP="001A5BF9">
      <w:pPr>
        <w:rPr>
          <w:rFonts w:cs="Arial"/>
          <w:sz w:val="22"/>
          <w:szCs w:val="22"/>
        </w:rPr>
      </w:pPr>
    </w:p>
    <w:p w:rsidR="00D42474" w:rsidRDefault="00C82EE5" w:rsidP="001A5BF9">
      <w:pPr>
        <w:numPr>
          <w:ilvl w:val="0"/>
          <w:numId w:val="55"/>
        </w:numPr>
        <w:autoSpaceDE w:val="0"/>
        <w:autoSpaceDN w:val="0"/>
        <w:adjustRightInd w:val="0"/>
        <w:jc w:val="both"/>
        <w:rPr>
          <w:rFonts w:eastAsia="SimSun" w:cs="Arial"/>
          <w:szCs w:val="20"/>
        </w:rPr>
      </w:pPr>
      <w:r w:rsidRPr="002D02F3">
        <w:t xml:space="preserve">Le programme 21 couvre le cabinet du Directeur général, le Bureau du </w:t>
      </w:r>
      <w:r w:rsidR="00BA741D" w:rsidRPr="002D02F3">
        <w:t>c</w:t>
      </w:r>
      <w:r w:rsidRPr="002D02F3">
        <w:t xml:space="preserve">onseiller juridique, la Division des questions et de la documentation relatives aux </w:t>
      </w:r>
      <w:r w:rsidR="00BA741D" w:rsidRPr="002D02F3">
        <w:t>a</w:t>
      </w:r>
      <w:r w:rsidRPr="002D02F3">
        <w:t xml:space="preserve">ssemblées, le Bureau du médiateur, le Bureau de la déontologie et le Service du </w:t>
      </w:r>
      <w:r w:rsidR="0012178F" w:rsidRPr="002D02F3">
        <w:t>p</w:t>
      </w:r>
      <w:r w:rsidRPr="002D02F3">
        <w:t>rotocole.</w:t>
      </w:r>
    </w:p>
    <w:p w:rsidR="00D42474" w:rsidRDefault="00D42474" w:rsidP="001A5BF9">
      <w:pPr>
        <w:autoSpaceDE w:val="0"/>
        <w:autoSpaceDN w:val="0"/>
        <w:adjustRightInd w:val="0"/>
        <w:jc w:val="both"/>
        <w:rPr>
          <w:rFonts w:eastAsia="SimSun" w:cs="Arial"/>
          <w:bCs/>
          <w:szCs w:val="20"/>
        </w:rPr>
      </w:pPr>
    </w:p>
    <w:p w:rsidR="00D42474" w:rsidRDefault="00C82EE5" w:rsidP="001A5BF9">
      <w:pPr>
        <w:numPr>
          <w:ilvl w:val="0"/>
          <w:numId w:val="55"/>
        </w:numPr>
        <w:autoSpaceDE w:val="0"/>
        <w:autoSpaceDN w:val="0"/>
        <w:adjustRightInd w:val="0"/>
        <w:jc w:val="both"/>
      </w:pPr>
      <w:r w:rsidRPr="002D02F3">
        <w:t>Un véritable engagement avec les États membres et d</w:t>
      </w:r>
      <w:r w:rsidR="00A20444" w:rsidRPr="002D02F3">
        <w:t>’</w:t>
      </w:r>
      <w:r w:rsidRPr="002D02F3">
        <w:t>autres parties prenantes demeure une pierre angulaire des progrès qu</w:t>
      </w:r>
      <w:r w:rsidR="00A20444" w:rsidRPr="002D02F3">
        <w:t>’</w:t>
      </w:r>
      <w:r w:rsidRPr="002D02F3">
        <w:t>il convient de continuer à faire pour réaliser les neuf</w:t>
      </w:r>
      <w:r w:rsidR="0010442A" w:rsidRPr="002D02F3">
        <w:t> </w:t>
      </w:r>
      <w:r w:rsidRPr="002D02F3">
        <w:t>objectifs stratégiques de l</w:t>
      </w:r>
      <w:r w:rsidR="00A20444" w:rsidRPr="002D02F3">
        <w:t>’</w:t>
      </w:r>
      <w:r w:rsidRPr="002D02F3">
        <w:t>Organisation.</w:t>
      </w:r>
      <w:r w:rsidR="0010442A" w:rsidRPr="002D02F3">
        <w:t xml:space="preserve"> </w:t>
      </w:r>
      <w:r w:rsidR="004F3E42" w:rsidRPr="002D02F3">
        <w:t xml:space="preserve"> </w:t>
      </w:r>
      <w:r w:rsidRPr="002D02F3">
        <w:t>Cet engagement s</w:t>
      </w:r>
      <w:r w:rsidR="00A20444" w:rsidRPr="002D02F3">
        <w:t>’</w:t>
      </w:r>
      <w:r w:rsidRPr="002D02F3">
        <w:t>est révélé fondamental tout au long de l</w:t>
      </w:r>
      <w:r w:rsidR="00A20444" w:rsidRPr="002D02F3">
        <w:t>’</w:t>
      </w:r>
      <w:r w:rsidRPr="002D02F3">
        <w:t>exercice biennal pour appuyer les changements considérables qui se sont produits au sein de l</w:t>
      </w:r>
      <w:r w:rsidR="00A20444" w:rsidRPr="002D02F3">
        <w:t>’</w:t>
      </w:r>
      <w:r w:rsidRPr="002D02F3">
        <w:t>Organisation eu égard à la réforme de la structure et l</w:t>
      </w:r>
      <w:r w:rsidR="00A20444" w:rsidRPr="002D02F3">
        <w:t>’</w:t>
      </w:r>
      <w:r w:rsidRPr="002D02F3">
        <w:t xml:space="preserve">amélioration visant à appuyer les avancées sur le front normatif et dans la mise en œuvre des programmes. </w:t>
      </w:r>
      <w:r w:rsidR="0010442A" w:rsidRPr="002D02F3">
        <w:t xml:space="preserve"> </w:t>
      </w:r>
      <w:r w:rsidRPr="002D02F3">
        <w:t>À cette fin, le Directeur général a effectué des présentations régulières aux ambassadeurs et tenu des réunions avec les États membres qui se sont avérées très utiles pour obtenir des retours d</w:t>
      </w:r>
      <w:r w:rsidR="00A20444" w:rsidRPr="002D02F3">
        <w:t>’</w:t>
      </w:r>
      <w:r w:rsidRPr="002D02F3">
        <w:t>information et des conseils afin d</w:t>
      </w:r>
      <w:r w:rsidR="00A20444" w:rsidRPr="002D02F3">
        <w:t>’</w:t>
      </w:r>
      <w:r w:rsidRPr="002D02F3">
        <w:t>améliorer les progrès concernant de nombreuses questions.</w:t>
      </w:r>
    </w:p>
    <w:p w:rsidR="00D42474" w:rsidRDefault="00D42474" w:rsidP="001A5BF9">
      <w:pPr>
        <w:autoSpaceDE w:val="0"/>
        <w:autoSpaceDN w:val="0"/>
        <w:adjustRightInd w:val="0"/>
        <w:jc w:val="both"/>
        <w:rPr>
          <w:rFonts w:eastAsia="SimSun" w:cs="Arial"/>
          <w:bCs/>
          <w:szCs w:val="20"/>
        </w:rPr>
      </w:pPr>
    </w:p>
    <w:p w:rsidR="00D42474" w:rsidRDefault="00C82EE5" w:rsidP="001A5BF9">
      <w:pPr>
        <w:numPr>
          <w:ilvl w:val="0"/>
          <w:numId w:val="55"/>
        </w:numPr>
        <w:autoSpaceDE w:val="0"/>
        <w:autoSpaceDN w:val="0"/>
        <w:adjustRightInd w:val="0"/>
        <w:jc w:val="both"/>
        <w:rPr>
          <w:rFonts w:eastAsia="SimSun" w:cs="Arial"/>
          <w:bCs/>
          <w:szCs w:val="20"/>
        </w:rPr>
      </w:pPr>
      <w:r w:rsidRPr="002D02F3">
        <w:t>L</w:t>
      </w:r>
      <w:r w:rsidR="00A20444" w:rsidRPr="002D02F3">
        <w:t>’</w:t>
      </w:r>
      <w:r w:rsidRPr="002D02F3">
        <w:t>engagement interne a aussi été une priorité, en particulier pour ce qui est de la gestion des changements et de l</w:t>
      </w:r>
      <w:r w:rsidR="00A20444" w:rsidRPr="002D02F3">
        <w:t>’</w:t>
      </w:r>
      <w:r w:rsidRPr="002D02F3">
        <w:t>appui à lui donner dans l</w:t>
      </w:r>
      <w:r w:rsidR="00A20444" w:rsidRPr="002D02F3">
        <w:t>’</w:t>
      </w:r>
      <w:r w:rsidRPr="002D02F3">
        <w:t>Organisation.</w:t>
      </w:r>
      <w:r w:rsidR="004F3E42" w:rsidRPr="002D02F3">
        <w:t xml:space="preserve"> </w:t>
      </w:r>
      <w:r w:rsidR="0010442A" w:rsidRPr="002D02F3">
        <w:t xml:space="preserve"> </w:t>
      </w:r>
      <w:r w:rsidRPr="002D02F3">
        <w:t>Dans ce domaine, les séances régulières de l</w:t>
      </w:r>
      <w:r w:rsidR="00A20444" w:rsidRPr="002D02F3">
        <w:t>’</w:t>
      </w:r>
      <w:r w:rsidRPr="002D02F3">
        <w:t xml:space="preserve">Équipe de haute direction ont fourni une orientation aux entités structurelles traduisant les décisions stratégiques en réalités opérationnelles. </w:t>
      </w:r>
      <w:r w:rsidR="0010442A" w:rsidRPr="002D02F3">
        <w:t xml:space="preserve"> </w:t>
      </w:r>
      <w:r w:rsidRPr="002D02F3">
        <w:t>Le Directeur général s</w:t>
      </w:r>
      <w:r w:rsidR="00A20444" w:rsidRPr="002D02F3">
        <w:t>’</w:t>
      </w:r>
      <w:r w:rsidRPr="002D02F3">
        <w:t>est efforcé de communiquer avec les chefs de programme et le personnel dans son ensemble afin de garantir une communication cohérente à travers toute l</w:t>
      </w:r>
      <w:r w:rsidR="00A20444" w:rsidRPr="002D02F3">
        <w:t>’</w:t>
      </w:r>
      <w:r w:rsidRPr="002D02F3">
        <w:t>Organisation.</w:t>
      </w:r>
    </w:p>
    <w:p w:rsidR="00D42474" w:rsidRDefault="00D42474" w:rsidP="001A5BF9">
      <w:pPr>
        <w:autoSpaceDE w:val="0"/>
        <w:autoSpaceDN w:val="0"/>
        <w:adjustRightInd w:val="0"/>
        <w:jc w:val="both"/>
        <w:rPr>
          <w:rFonts w:eastAsia="SimSun" w:cs="Arial"/>
          <w:bCs/>
          <w:szCs w:val="20"/>
        </w:rPr>
      </w:pPr>
    </w:p>
    <w:p w:rsidR="00D42474" w:rsidRDefault="00C82EE5" w:rsidP="001A5BF9">
      <w:pPr>
        <w:numPr>
          <w:ilvl w:val="0"/>
          <w:numId w:val="55"/>
        </w:numPr>
        <w:autoSpaceDE w:val="0"/>
        <w:autoSpaceDN w:val="0"/>
        <w:adjustRightInd w:val="0"/>
        <w:jc w:val="both"/>
        <w:rPr>
          <w:rFonts w:eastAsia="SimSun" w:cs="Arial"/>
          <w:bCs/>
          <w:szCs w:val="20"/>
        </w:rPr>
      </w:pPr>
      <w:r w:rsidRPr="002D02F3">
        <w:t>Un élément clé du processus de changement d</w:t>
      </w:r>
      <w:r w:rsidR="00A20444" w:rsidRPr="002D02F3">
        <w:t>’</w:t>
      </w:r>
      <w:r w:rsidRPr="002D02F3">
        <w:t>un bout à l</w:t>
      </w:r>
      <w:r w:rsidR="00A20444" w:rsidRPr="002D02F3">
        <w:t>’</w:t>
      </w:r>
      <w:r w:rsidRPr="002D02F3">
        <w:t>autre de l</w:t>
      </w:r>
      <w:r w:rsidR="00A20444" w:rsidRPr="002D02F3">
        <w:t>’</w:t>
      </w:r>
      <w:r w:rsidRPr="002D02F3">
        <w:t>exercice biennal consistait à faire du programme de réorientation stratégique de l</w:t>
      </w:r>
      <w:r w:rsidR="00A20444" w:rsidRPr="002D02F3">
        <w:t>’</w:t>
      </w:r>
      <w:r w:rsidRPr="002D02F3">
        <w:t>OMPI une réussite sous la forme d</w:t>
      </w:r>
      <w:r w:rsidR="00A20444" w:rsidRPr="002D02F3">
        <w:t>’</w:t>
      </w:r>
      <w:r w:rsidRPr="002D02F3">
        <w:t>une série d</w:t>
      </w:r>
      <w:r w:rsidR="00A20444" w:rsidRPr="002D02F3">
        <w:t>’</w:t>
      </w:r>
      <w:r w:rsidRPr="002D02F3">
        <w:t>initiatives permettant d</w:t>
      </w:r>
      <w:r w:rsidR="00A20444" w:rsidRPr="002D02F3">
        <w:t>’</w:t>
      </w:r>
      <w:r w:rsidRPr="002D02F3">
        <w:t>améliorer l</w:t>
      </w:r>
      <w:r w:rsidR="00A20444" w:rsidRPr="002D02F3">
        <w:t>’</w:t>
      </w:r>
      <w:r w:rsidRPr="002D02F3">
        <w:t>Organisation dans son ensemble.</w:t>
      </w:r>
      <w:r w:rsidR="00A20444" w:rsidRPr="002D02F3">
        <w:t xml:space="preserve"> </w:t>
      </w:r>
      <w:r w:rsidR="0010442A" w:rsidRPr="002D02F3">
        <w:t xml:space="preserve"> </w:t>
      </w:r>
      <w:r w:rsidR="00A20444" w:rsidRPr="002D02F3">
        <w:t>Le PRS</w:t>
      </w:r>
      <w:r w:rsidRPr="002D02F3">
        <w:t xml:space="preserve"> comprenait 19</w:t>
      </w:r>
      <w:r w:rsidR="00BD43F2" w:rsidRPr="002D02F3">
        <w:t> </w:t>
      </w:r>
      <w:r w:rsidRPr="002D02F3">
        <w:t>initiatives interdépendantes regroupées sous les quatre</w:t>
      </w:r>
      <w:r w:rsidR="0010442A" w:rsidRPr="002D02F3">
        <w:t> </w:t>
      </w:r>
      <w:r w:rsidRPr="002D02F3">
        <w:t>valeurs essentielles de l</w:t>
      </w:r>
      <w:r w:rsidR="00A20444" w:rsidRPr="002D02F3">
        <w:t>’</w:t>
      </w:r>
      <w:r w:rsidRPr="002D02F3">
        <w:t>Organisation et ses résultats étaient mesurés par une enquête auprès du personnel et un tableau de bord (tous deux</w:t>
      </w:r>
      <w:r w:rsidR="0010442A" w:rsidRPr="002D02F3">
        <w:t> </w:t>
      </w:r>
      <w:r w:rsidRPr="002D02F3">
        <w:t>accessibles aux États membres sur l</w:t>
      </w:r>
      <w:r w:rsidR="00A20444" w:rsidRPr="002D02F3">
        <w:t>’</w:t>
      </w:r>
      <w:r w:rsidRPr="002D02F3">
        <w:t>Internet).</w:t>
      </w:r>
      <w:r w:rsidR="0010442A" w:rsidRPr="002D02F3">
        <w:t xml:space="preserve"> </w:t>
      </w:r>
      <w:r w:rsidR="004F3E42" w:rsidRPr="002D02F3">
        <w:t xml:space="preserve"> </w:t>
      </w:r>
      <w:r w:rsidRPr="002D02F3">
        <w:t>Les résultats étaient encourageants, montrant que, à maints égards,</w:t>
      </w:r>
      <w:r w:rsidR="00A20444" w:rsidRPr="002D02F3">
        <w:t xml:space="preserve"> le PRS</w:t>
      </w:r>
      <w:r w:rsidRPr="002D02F3">
        <w:t xml:space="preserve"> donnait une nouvelle orientation à la culture et aux valeurs du Secrétariat, lui permettant en effet de renforcer l</w:t>
      </w:r>
      <w:r w:rsidR="00A20444" w:rsidRPr="002D02F3">
        <w:t>’</w:t>
      </w:r>
      <w:r w:rsidRPr="002D02F3">
        <w:t>efficacité de ses procédures de travail et de mieux aligner ses programmes, sa structure et ses ressources sur les neuf</w:t>
      </w:r>
      <w:r w:rsidR="0010442A" w:rsidRPr="002D02F3">
        <w:t> </w:t>
      </w:r>
      <w:r w:rsidRPr="002D02F3">
        <w:t>objectifs stratégiques de l</w:t>
      </w:r>
      <w:r w:rsidR="00A20444" w:rsidRPr="002D02F3">
        <w:t>’</w:t>
      </w:r>
      <w:r w:rsidRPr="002D02F3">
        <w:t>Organisation.</w:t>
      </w:r>
    </w:p>
    <w:p w:rsidR="00D42474" w:rsidRDefault="00D42474" w:rsidP="001A5BF9">
      <w:pPr>
        <w:autoSpaceDE w:val="0"/>
        <w:autoSpaceDN w:val="0"/>
        <w:adjustRightInd w:val="0"/>
        <w:jc w:val="both"/>
        <w:rPr>
          <w:rFonts w:eastAsia="SimSun" w:cs="Arial"/>
          <w:bCs/>
          <w:szCs w:val="20"/>
        </w:rPr>
      </w:pPr>
    </w:p>
    <w:p w:rsidR="00D42474" w:rsidRDefault="00C82EE5" w:rsidP="001A5BF9">
      <w:pPr>
        <w:numPr>
          <w:ilvl w:val="0"/>
          <w:numId w:val="55"/>
        </w:numPr>
        <w:autoSpaceDE w:val="0"/>
        <w:autoSpaceDN w:val="0"/>
        <w:adjustRightInd w:val="0"/>
        <w:jc w:val="both"/>
        <w:rPr>
          <w:rFonts w:eastAsia="SimSun" w:cs="Arial"/>
          <w:bCs/>
          <w:szCs w:val="20"/>
        </w:rPr>
      </w:pPr>
      <w:r w:rsidRPr="002D02F3">
        <w:t>Il s</w:t>
      </w:r>
      <w:r w:rsidR="00A20444" w:rsidRPr="002D02F3">
        <w:t>’</w:t>
      </w:r>
      <w:r w:rsidRPr="002D02F3">
        <w:t>agissait du premier exercice biennal au cours duquel la Division des questions et de la documentation relatives aux Assemblées est entrée en fonction et les avantages de la création d</w:t>
      </w:r>
      <w:r w:rsidR="00A20444" w:rsidRPr="002D02F3">
        <w:t>’</w:t>
      </w:r>
      <w:r w:rsidRPr="002D02F3">
        <w:t xml:space="preserve">une entité dédiée et centralisée pour assurer la gestion des assemblées ont continué à se faire sentir. </w:t>
      </w:r>
      <w:r w:rsidR="0010442A" w:rsidRPr="002D02F3">
        <w:t xml:space="preserve"> </w:t>
      </w:r>
      <w:r w:rsidRPr="002D02F3">
        <w:t>L</w:t>
      </w:r>
      <w:r w:rsidR="00A20444" w:rsidRPr="002D02F3">
        <w:t>’</w:t>
      </w:r>
      <w:r w:rsidRPr="002D02F3">
        <w:t>organisation efficace d</w:t>
      </w:r>
      <w:r w:rsidR="00A20444" w:rsidRPr="002D02F3">
        <w:t>’</w:t>
      </w:r>
      <w:r w:rsidRPr="002D02F3">
        <w:t>une session extraordinaire des assemblées à la fin 2013 avec notification deux mois à l</w:t>
      </w:r>
      <w:r w:rsidR="00A20444" w:rsidRPr="002D02F3">
        <w:t>’</w:t>
      </w:r>
      <w:r w:rsidRPr="002D02F3">
        <w:t xml:space="preserve">avance en est un bon exemple. </w:t>
      </w:r>
      <w:r w:rsidR="0010442A" w:rsidRPr="002D02F3">
        <w:t xml:space="preserve"> </w:t>
      </w:r>
      <w:r w:rsidRPr="002D02F3">
        <w:t>Des innovations et rationalisations structurelles comme la diffusion sur le Web des débats, l</w:t>
      </w:r>
      <w:r w:rsidR="00A20444" w:rsidRPr="002D02F3">
        <w:t>’</w:t>
      </w:r>
      <w:r w:rsidRPr="002D02F3">
        <w:t>inscription par voie électronique et de nouvelles procédures de voyage ont eu lieu et été peaufinées.</w:t>
      </w:r>
      <w:r w:rsidR="004F3E42" w:rsidRPr="002D02F3">
        <w:t xml:space="preserve"> </w:t>
      </w:r>
      <w:r w:rsidR="0010442A" w:rsidRPr="002D02F3">
        <w:t xml:space="preserve"> </w:t>
      </w:r>
      <w:r w:rsidRPr="002D02F3">
        <w:t xml:space="preserve">La documentation a été distribuée très en avance et bien plus tôt que par le passé, et un nouvel outil a été élaboré pour aider les délégués à identifier les passages clés des rapports. </w:t>
      </w:r>
      <w:r w:rsidR="0010442A" w:rsidRPr="002D02F3">
        <w:t xml:space="preserve"> </w:t>
      </w:r>
      <w:r w:rsidRPr="002D02F3">
        <w:t>Le nombre des manifestations parallèles a augmenté et leur qualité a été améliorée.</w:t>
      </w:r>
      <w:r w:rsidR="0010442A" w:rsidRPr="002D02F3">
        <w:t xml:space="preserve"> </w:t>
      </w:r>
      <w:r w:rsidRPr="002D02F3">
        <w:t xml:space="preserve"> L</w:t>
      </w:r>
      <w:r w:rsidR="00A20444" w:rsidRPr="002D02F3">
        <w:t>’</w:t>
      </w:r>
      <w:r w:rsidRPr="002D02F3">
        <w:t>attention dédiée à l</w:t>
      </w:r>
      <w:r w:rsidR="00A20444" w:rsidRPr="002D02F3">
        <w:t>’</w:t>
      </w:r>
      <w:r w:rsidRPr="002D02F3">
        <w:t>amélioration de l</w:t>
      </w:r>
      <w:r w:rsidR="00A20444" w:rsidRPr="002D02F3">
        <w:t>’</w:t>
      </w:r>
      <w:r w:rsidRPr="002D02F3">
        <w:t>efficacité et l</w:t>
      </w:r>
      <w:r w:rsidR="00A20444" w:rsidRPr="002D02F3">
        <w:t>’</w:t>
      </w:r>
      <w:r w:rsidRPr="002D02F3">
        <w:t>expérience des assemblées des États membres a trouvé son reflet dans les taux particulièrement élevés de satisfaction obtenus dans l</w:t>
      </w:r>
      <w:r w:rsidR="00A20444" w:rsidRPr="002D02F3">
        <w:t>’</w:t>
      </w:r>
      <w:r w:rsidRPr="002D02F3">
        <w:t>enquête réalisée auprès des délégués.</w:t>
      </w:r>
    </w:p>
    <w:p w:rsidR="00D42474" w:rsidRDefault="00D42474" w:rsidP="001A5BF9">
      <w:pPr>
        <w:autoSpaceDE w:val="0"/>
        <w:autoSpaceDN w:val="0"/>
        <w:adjustRightInd w:val="0"/>
        <w:jc w:val="both"/>
        <w:rPr>
          <w:rFonts w:eastAsia="SimSun" w:cs="Arial"/>
          <w:bCs/>
          <w:szCs w:val="20"/>
        </w:rPr>
      </w:pPr>
    </w:p>
    <w:p w:rsidR="00D42474" w:rsidRDefault="00C82EE5" w:rsidP="001A5BF9">
      <w:pPr>
        <w:numPr>
          <w:ilvl w:val="0"/>
          <w:numId w:val="55"/>
        </w:numPr>
        <w:autoSpaceDE w:val="0"/>
        <w:autoSpaceDN w:val="0"/>
        <w:adjustRightInd w:val="0"/>
        <w:jc w:val="both"/>
        <w:rPr>
          <w:rFonts w:eastAsia="SimSun" w:cs="Arial"/>
          <w:szCs w:val="20"/>
        </w:rPr>
      </w:pPr>
      <w:r w:rsidRPr="002D02F3">
        <w:t>Le Bureau du conseiller juridique a connu un exercice biennal difficile comme en témoigne la demande accrue de ses services.</w:t>
      </w:r>
      <w:r w:rsidR="004F3E42" w:rsidRPr="002D02F3">
        <w:t xml:space="preserve"> </w:t>
      </w:r>
      <w:r w:rsidR="0010442A" w:rsidRPr="002D02F3">
        <w:t xml:space="preserve"> </w:t>
      </w:r>
      <w:r w:rsidRPr="002D02F3">
        <w:t>Il a continué de fournir au Directeur général, au Secrétariat et aux États membres des avis et des services juridiques indépendants, rapides et fiables sur des questions juridiques constitutionnelles et générales, des contrats, le droit des traités, des questions liées aux ressources administratives et humaines ainsi que sur la législation en matière de propriété intellectuelle.</w:t>
      </w:r>
      <w:r w:rsidR="004F3E42" w:rsidRPr="002D02F3">
        <w:t xml:space="preserve"> </w:t>
      </w:r>
      <w:r w:rsidR="0010442A" w:rsidRPr="002D02F3">
        <w:t xml:space="preserve"> </w:t>
      </w:r>
      <w:r w:rsidRPr="002D02F3">
        <w:t>Les fonctions de dépositaire des traités administrés par l</w:t>
      </w:r>
      <w:r w:rsidR="00A20444" w:rsidRPr="002D02F3">
        <w:t>’</w:t>
      </w:r>
      <w:r w:rsidRPr="002D02F3">
        <w:t xml:space="preserve">OMPI ont continué de jouer un rôle efficace. </w:t>
      </w:r>
      <w:r w:rsidR="0010442A" w:rsidRPr="002D02F3">
        <w:t xml:space="preserve"> </w:t>
      </w:r>
      <w:r w:rsidRPr="002D02F3">
        <w:t>La base de données en ligne WIPO </w:t>
      </w:r>
      <w:proofErr w:type="spellStart"/>
      <w:r w:rsidRPr="002D02F3">
        <w:t>Lex</w:t>
      </w:r>
      <w:proofErr w:type="spellEnd"/>
      <w:r w:rsidRPr="002D02F3">
        <w:t xml:space="preserve"> des lois et traités a été élargie aux six langues des </w:t>
      </w:r>
      <w:r w:rsidR="00A20444" w:rsidRPr="002D02F3">
        <w:t>Nations Unies</w:t>
      </w:r>
      <w:r w:rsidRPr="002D02F3">
        <w:t xml:space="preserve">. </w:t>
      </w:r>
      <w:r w:rsidR="0010442A" w:rsidRPr="002D02F3">
        <w:t xml:space="preserve"> </w:t>
      </w:r>
      <w:r w:rsidRPr="002D02F3">
        <w:t>Dans le même temps, considérable a été l</w:t>
      </w:r>
      <w:r w:rsidR="00A20444" w:rsidRPr="002D02F3">
        <w:t>’</w:t>
      </w:r>
      <w:r w:rsidRPr="002D02F3">
        <w:t xml:space="preserve">augmentation de la charge de travail associée aux réunions des États membres. </w:t>
      </w:r>
      <w:r w:rsidR="0010442A" w:rsidRPr="002D02F3">
        <w:t xml:space="preserve"> </w:t>
      </w:r>
      <w:r w:rsidRPr="002D02F3">
        <w:t>La prestati</w:t>
      </w:r>
      <w:r w:rsidR="0012178F" w:rsidRPr="002D02F3">
        <w:t>on de conseils et services aux c</w:t>
      </w:r>
      <w:r w:rsidRPr="002D02F3">
        <w:t>onférences diplomatiques de Beijing et Marrakech, y compris dans la manière d</w:t>
      </w:r>
      <w:r w:rsidR="00A20444" w:rsidRPr="002D02F3">
        <w:t>’</w:t>
      </w:r>
      <w:r w:rsidRPr="002D02F3">
        <w:t>aborder les réunions, a été gérée avec efficacité.</w:t>
      </w:r>
      <w:r w:rsidR="004F3E42" w:rsidRPr="002D02F3">
        <w:t xml:space="preserve"> </w:t>
      </w:r>
      <w:r w:rsidR="0010442A" w:rsidRPr="002D02F3">
        <w:t xml:space="preserve"> </w:t>
      </w:r>
      <w:r w:rsidRPr="002D02F3">
        <w:t>La fourniture continue d</w:t>
      </w:r>
      <w:r w:rsidR="00A20444" w:rsidRPr="002D02F3">
        <w:t>’</w:t>
      </w:r>
      <w:r w:rsidRPr="002D02F3">
        <w:t>avis juridiques ponctuels et pertinents associée au projet de la nouvelle salle de conférence a contribué au bon avancement de ces projets dans un cadre de qualité adéquat.</w:t>
      </w:r>
    </w:p>
    <w:p w:rsidR="00D42474" w:rsidRDefault="00D42474" w:rsidP="001A5BF9">
      <w:pPr>
        <w:autoSpaceDE w:val="0"/>
        <w:autoSpaceDN w:val="0"/>
        <w:adjustRightInd w:val="0"/>
        <w:jc w:val="both"/>
        <w:rPr>
          <w:rFonts w:eastAsia="SimSun" w:cs="Arial"/>
          <w:szCs w:val="20"/>
        </w:rPr>
      </w:pPr>
    </w:p>
    <w:p w:rsidR="00D42474" w:rsidRDefault="00C82EE5" w:rsidP="001A5BF9">
      <w:pPr>
        <w:numPr>
          <w:ilvl w:val="0"/>
          <w:numId w:val="55"/>
        </w:numPr>
        <w:jc w:val="both"/>
        <w:rPr>
          <w:rFonts w:eastAsia="SimSun" w:cs="Arial"/>
          <w:szCs w:val="20"/>
        </w:rPr>
      </w:pPr>
      <w:r w:rsidRPr="002D02F3">
        <w:t>L</w:t>
      </w:r>
      <w:r w:rsidR="00A20444" w:rsidRPr="002D02F3">
        <w:t>’</w:t>
      </w:r>
      <w:r w:rsidRPr="002D02F3">
        <w:t>OMPI continue à s</w:t>
      </w:r>
      <w:r w:rsidR="00A20444" w:rsidRPr="002D02F3">
        <w:t>’</w:t>
      </w:r>
      <w:r w:rsidRPr="002D02F3">
        <w:t xml:space="preserve">engager activement dans le système des </w:t>
      </w:r>
      <w:r w:rsidR="00A20444" w:rsidRPr="002D02F3">
        <w:t>Nations Unies</w:t>
      </w:r>
      <w:r w:rsidRPr="002D02F3">
        <w:t xml:space="preserve">, y compris dans le cadre du Conseil des chefs de secrétariat et de ses deux comités, le Comité de haut niveau sur la gestion et le Comité de haut niveau sur les programmes. </w:t>
      </w:r>
      <w:r w:rsidR="0010442A" w:rsidRPr="002D02F3">
        <w:t xml:space="preserve"> </w:t>
      </w:r>
      <w:r w:rsidRPr="002D02F3">
        <w:t xml:space="preserve">Le Directeur général est actuellement le président du Comité de haut niveau sur la gestion (depuis septembre 2012). </w:t>
      </w:r>
      <w:r w:rsidR="0010442A" w:rsidRPr="002D02F3">
        <w:t xml:space="preserve"> </w:t>
      </w:r>
      <w:r w:rsidRPr="002D02F3">
        <w:t>L</w:t>
      </w:r>
      <w:r w:rsidR="00A20444" w:rsidRPr="002D02F3">
        <w:t>’</w:t>
      </w:r>
      <w:r w:rsidRPr="002D02F3">
        <w:t>OMPI collabore activement avec d</w:t>
      </w:r>
      <w:r w:rsidR="00A20444" w:rsidRPr="002D02F3">
        <w:t>’</w:t>
      </w:r>
      <w:r w:rsidRPr="002D02F3">
        <w:t xml:space="preserve">autres organes des </w:t>
      </w:r>
      <w:r w:rsidR="00A20444" w:rsidRPr="002D02F3">
        <w:t>Nations Unies</w:t>
      </w:r>
      <w:r w:rsidRPr="002D02F3">
        <w:t xml:space="preserve"> en contribuant pour beaucoup à des questions dont traite</w:t>
      </w:r>
      <w:r w:rsidR="00A20444" w:rsidRPr="002D02F3">
        <w:t xml:space="preserve"> le CCS</w:t>
      </w:r>
      <w:r w:rsidRPr="002D02F3">
        <w:t>, en particulier le programme de développement pour l</w:t>
      </w:r>
      <w:r w:rsidR="00A20444" w:rsidRPr="002D02F3">
        <w:t>’</w:t>
      </w:r>
      <w:r w:rsidRPr="002D02F3">
        <w:t>après 2015.</w:t>
      </w:r>
    </w:p>
    <w:p w:rsidR="00D42474" w:rsidRDefault="00D42474" w:rsidP="001A5BF9">
      <w:pPr>
        <w:autoSpaceDE w:val="0"/>
        <w:autoSpaceDN w:val="0"/>
        <w:adjustRightInd w:val="0"/>
        <w:jc w:val="both"/>
        <w:rPr>
          <w:rFonts w:eastAsia="SimSun" w:cs="Arial"/>
          <w:szCs w:val="20"/>
        </w:rPr>
      </w:pPr>
    </w:p>
    <w:p w:rsidR="00D42474" w:rsidRDefault="00C82EE5" w:rsidP="001A5BF9">
      <w:pPr>
        <w:numPr>
          <w:ilvl w:val="0"/>
          <w:numId w:val="55"/>
        </w:numPr>
        <w:autoSpaceDE w:val="0"/>
        <w:autoSpaceDN w:val="0"/>
        <w:adjustRightInd w:val="0"/>
        <w:jc w:val="both"/>
        <w:rPr>
          <w:rFonts w:eastAsia="SimSun" w:cs="Arial"/>
          <w:szCs w:val="20"/>
        </w:rPr>
      </w:pPr>
      <w:r w:rsidRPr="002D02F3">
        <w:t>Des résultats substantiels ont été obtenus en termes de respect de l</w:t>
      </w:r>
      <w:r w:rsidR="00A20444" w:rsidRPr="002D02F3">
        <w:t>’</w:t>
      </w:r>
      <w:r w:rsidRPr="002D02F3">
        <w:t>engagement du Directeur général à mettre en place un système complet de déontologie et d</w:t>
      </w:r>
      <w:r w:rsidR="00A20444" w:rsidRPr="002D02F3">
        <w:t>’</w:t>
      </w:r>
      <w:r w:rsidRPr="002D02F3">
        <w:t>intégrité au sein de l</w:t>
      </w:r>
      <w:r w:rsidR="00A20444" w:rsidRPr="002D02F3">
        <w:t>’</w:t>
      </w:r>
      <w:r w:rsidRPr="002D02F3">
        <w:t xml:space="preserve">OMPI. </w:t>
      </w:r>
      <w:r w:rsidR="0010442A" w:rsidRPr="002D02F3">
        <w:t xml:space="preserve"> </w:t>
      </w:r>
      <w:r w:rsidRPr="002D02F3">
        <w:t>Deux éléments clés du cadre déontologique et d</w:t>
      </w:r>
      <w:r w:rsidR="00A20444" w:rsidRPr="002D02F3">
        <w:t>’</w:t>
      </w:r>
      <w:r w:rsidRPr="002D02F3">
        <w:t>intégrité ont été mis en place pendant l</w:t>
      </w:r>
      <w:r w:rsidR="00A20444" w:rsidRPr="002D02F3">
        <w:t>’</w:t>
      </w:r>
      <w:r w:rsidRPr="002D02F3">
        <w:t xml:space="preserve">exercice biennal suite à de vastes consultations internes. </w:t>
      </w:r>
      <w:r w:rsidR="0010442A" w:rsidRPr="002D02F3">
        <w:t xml:space="preserve"> </w:t>
      </w:r>
      <w:r w:rsidRPr="002D02F3">
        <w:t>Le Code de déontologie de l</w:t>
      </w:r>
      <w:r w:rsidR="00A20444" w:rsidRPr="002D02F3">
        <w:t>’</w:t>
      </w:r>
      <w:r w:rsidRPr="002D02F3">
        <w:t>OMPI offre une plate</w:t>
      </w:r>
      <w:r w:rsidR="002D6F2A" w:rsidRPr="002D02F3">
        <w:noBreakHyphen/>
      </w:r>
      <w:r w:rsidRPr="002D02F3">
        <w:t>forme commune de principes directeurs et de valeurs qui devraient être respectés par le personnel de l</w:t>
      </w:r>
      <w:r w:rsidR="00A20444" w:rsidRPr="002D02F3">
        <w:t>’</w:t>
      </w:r>
      <w:r w:rsidRPr="002D02F3">
        <w:t>OMPI dans l</w:t>
      </w:r>
      <w:r w:rsidR="00A20444" w:rsidRPr="002D02F3">
        <w:t>’</w:t>
      </w:r>
      <w:r w:rsidRPr="002D02F3">
        <w:t>exercice de ses fonctions.</w:t>
      </w:r>
      <w:r w:rsidR="004F3E42" w:rsidRPr="002D02F3">
        <w:t xml:space="preserve"> </w:t>
      </w:r>
      <w:r w:rsidR="0010442A" w:rsidRPr="002D02F3">
        <w:t xml:space="preserve"> </w:t>
      </w:r>
      <w:r w:rsidRPr="002D02F3">
        <w:t>La politique de protection des lanceurs d</w:t>
      </w:r>
      <w:r w:rsidR="00A20444" w:rsidRPr="002D02F3">
        <w:t>’</w:t>
      </w:r>
      <w:r w:rsidRPr="002D02F3">
        <w:t>alerte de l</w:t>
      </w:r>
      <w:r w:rsidR="00A20444" w:rsidRPr="002D02F3">
        <w:t>’</w:t>
      </w:r>
      <w:r w:rsidRPr="002D02F3">
        <w:t>OMPI définit la valeur que l</w:t>
      </w:r>
      <w:r w:rsidR="00A20444" w:rsidRPr="002D02F3">
        <w:t>’</w:t>
      </w:r>
      <w:r w:rsidRPr="002D02F3">
        <w:t>Organisation donne à la participation des membres du personnel de l</w:t>
      </w:r>
      <w:r w:rsidR="00A20444" w:rsidRPr="002D02F3">
        <w:t>’</w:t>
      </w:r>
      <w:r w:rsidRPr="002D02F3">
        <w:t>OMPI aux activités de supervision de l</w:t>
      </w:r>
      <w:r w:rsidR="00A20444" w:rsidRPr="002D02F3">
        <w:t>’</w:t>
      </w:r>
      <w:r w:rsidRPr="002D02F3">
        <w:t>Organisation et à la protection dont ils bénéficient contre les représailles liée à cette participation.</w:t>
      </w:r>
      <w:r w:rsidR="004F3E42" w:rsidRPr="002D02F3">
        <w:t xml:space="preserve"> </w:t>
      </w:r>
      <w:r w:rsidR="0010442A" w:rsidRPr="002D02F3">
        <w:t xml:space="preserve"> </w:t>
      </w:r>
      <w:r w:rsidRPr="002D02F3">
        <w:t>En outre, un programme de formation obligatoire exhaustif a été lancé et achevé au cours de l</w:t>
      </w:r>
      <w:r w:rsidR="00A20444" w:rsidRPr="002D02F3">
        <w:t>’</w:t>
      </w:r>
      <w:r w:rsidRPr="002D02F3">
        <w:t xml:space="preserve">exercice biennal. </w:t>
      </w:r>
      <w:r w:rsidR="0010442A" w:rsidRPr="002D02F3">
        <w:t xml:space="preserve"> </w:t>
      </w:r>
      <w:r w:rsidRPr="002D02F3">
        <w:t>Les retours d</w:t>
      </w:r>
      <w:r w:rsidR="00A20444" w:rsidRPr="002D02F3">
        <w:t>’</w:t>
      </w:r>
      <w:r w:rsidRPr="002D02F3">
        <w:t xml:space="preserve">information obtenus dans les enquêtes réalisées auprès du personnel indiquent un niveau élevé de sensibilisation aux principes déontologiques et aux procédures se rapportant à des fautes professionnelles. </w:t>
      </w:r>
      <w:r w:rsidR="0010442A" w:rsidRPr="002D02F3">
        <w:t xml:space="preserve"> </w:t>
      </w:r>
      <w:r w:rsidRPr="002D02F3">
        <w:t xml:space="preserve">Un nombre croissant de membres du personnel à tous les niveaux a également eu recours aux services de conseil du Bureau de déontologie. </w:t>
      </w:r>
      <w:r w:rsidR="0010442A" w:rsidRPr="002D02F3">
        <w:t xml:space="preserve"> </w:t>
      </w:r>
      <w:r w:rsidRPr="002D02F3">
        <w:t>Cela témoigne positivement d</w:t>
      </w:r>
      <w:r w:rsidR="00A20444" w:rsidRPr="002D02F3">
        <w:t>’</w:t>
      </w:r>
      <w:r w:rsidRPr="002D02F3">
        <w:t>une amélioration en termes de sensibilisation et de volonté de respecter les principes déontologiques au sein de l</w:t>
      </w:r>
      <w:r w:rsidR="00A20444" w:rsidRPr="002D02F3">
        <w:t>’</w:t>
      </w:r>
      <w:r w:rsidRPr="002D02F3">
        <w:t>Organisation.</w:t>
      </w:r>
    </w:p>
    <w:p w:rsidR="00D42474" w:rsidRDefault="00D42474" w:rsidP="001A5BF9">
      <w:pPr>
        <w:jc w:val="both"/>
        <w:rPr>
          <w:rFonts w:eastAsia="SimSun" w:cs="Arial"/>
          <w:szCs w:val="20"/>
        </w:rPr>
      </w:pPr>
    </w:p>
    <w:p w:rsidR="00D42474" w:rsidRDefault="00C82EE5" w:rsidP="001A5BF9">
      <w:pPr>
        <w:numPr>
          <w:ilvl w:val="0"/>
          <w:numId w:val="55"/>
        </w:numPr>
        <w:autoSpaceDE w:val="0"/>
        <w:autoSpaceDN w:val="0"/>
        <w:adjustRightInd w:val="0"/>
        <w:jc w:val="both"/>
        <w:rPr>
          <w:rFonts w:eastAsia="SimSun" w:cs="Arial"/>
          <w:szCs w:val="20"/>
        </w:rPr>
      </w:pPr>
      <w:r w:rsidRPr="002D02F3">
        <w:t>Au cours de l</w:t>
      </w:r>
      <w:r w:rsidR="00A20444" w:rsidRPr="002D02F3">
        <w:t>’</w:t>
      </w:r>
      <w:r w:rsidRPr="002D02F3">
        <w:t>exercice biennal, Le Bureau du médiateur est devenu une partie intégrante du cadre de responsabilité et d</w:t>
      </w:r>
      <w:r w:rsidR="00A20444" w:rsidRPr="002D02F3">
        <w:t>’</w:t>
      </w:r>
      <w:r w:rsidRPr="002D02F3">
        <w:t>intégrité de l</w:t>
      </w:r>
      <w:r w:rsidR="00A20444" w:rsidRPr="002D02F3">
        <w:t>’</w:t>
      </w:r>
      <w:r w:rsidRPr="002D02F3">
        <w:t>OMPI.</w:t>
      </w:r>
      <w:r w:rsidR="004F3E42" w:rsidRPr="002D02F3">
        <w:t xml:space="preserve"> </w:t>
      </w:r>
      <w:r w:rsidR="0010442A" w:rsidRPr="002D02F3">
        <w:t xml:space="preserve"> </w:t>
      </w:r>
      <w:r w:rsidRPr="002D02F3">
        <w:t>Il a continué de promouvoir activement une autre façon d</w:t>
      </w:r>
      <w:r w:rsidR="00A20444" w:rsidRPr="002D02F3">
        <w:t>’</w:t>
      </w:r>
      <w:r w:rsidRPr="002D02F3">
        <w:t>aborder les conflits sur le lieu de travail, communiquant régulièrement avec le personnel et fournissant des services d</w:t>
      </w:r>
      <w:r w:rsidR="00A20444" w:rsidRPr="002D02F3">
        <w:t>’</w:t>
      </w:r>
      <w:r w:rsidRPr="002D02F3">
        <w:t>encadrement et de médiation en vue de trouver des solutions à l</w:t>
      </w:r>
      <w:r w:rsidR="00A20444" w:rsidRPr="002D02F3">
        <w:t>’</w:t>
      </w:r>
      <w:r w:rsidRPr="002D02F3">
        <w:t>amiable et durables.</w:t>
      </w:r>
      <w:r w:rsidR="004F3E42" w:rsidRPr="002D02F3">
        <w:t xml:space="preserve"> </w:t>
      </w:r>
      <w:r w:rsidR="0010442A" w:rsidRPr="002D02F3">
        <w:t xml:space="preserve"> </w:t>
      </w:r>
      <w:r w:rsidRPr="002D02F3">
        <w:t>Les statistiques relatives aux visiteurs sur la période indiquent une tendance régulière et positive du personnel à préférer résoudre ses conflits par l</w:t>
      </w:r>
      <w:r w:rsidR="00A20444" w:rsidRPr="002D02F3">
        <w:t>’</w:t>
      </w:r>
      <w:r w:rsidRPr="002D02F3">
        <w:t>intermédiaire du Bureau des médiateurs.</w:t>
      </w:r>
    </w:p>
    <w:p w:rsidR="00D42474" w:rsidRDefault="00D42474" w:rsidP="001A5BF9">
      <w:pPr>
        <w:jc w:val="both"/>
        <w:rPr>
          <w:rFonts w:eastAsia="SimSun" w:cs="Arial"/>
          <w:szCs w:val="20"/>
        </w:rPr>
      </w:pPr>
    </w:p>
    <w:p w:rsidR="00D42474" w:rsidRDefault="00D42474" w:rsidP="001A5BF9">
      <w:pPr>
        <w:autoSpaceDE w:val="0"/>
        <w:autoSpaceDN w:val="0"/>
        <w:adjustRightInd w:val="0"/>
        <w:jc w:val="both"/>
        <w:rPr>
          <w:szCs w:val="20"/>
        </w:rPr>
      </w:pPr>
    </w:p>
    <w:p w:rsidR="00D42474" w:rsidRDefault="00C82EE5" w:rsidP="001A5BF9">
      <w:pPr>
        <w:autoSpaceDE w:val="0"/>
        <w:autoSpaceDN w:val="0"/>
        <w:adjustRightInd w:val="0"/>
        <w:jc w:val="both"/>
        <w:rPr>
          <w:rFonts w:eastAsia="SimSun" w:cs="Arial"/>
          <w:szCs w:val="20"/>
        </w:rPr>
      </w:pPr>
      <w:r w:rsidRPr="002D02F3">
        <w:rPr>
          <w:sz w:val="22"/>
        </w:rPr>
        <w:t>MISE EN ŒUVRE DU PLAN D</w:t>
      </w:r>
      <w:r w:rsidR="00A20444" w:rsidRPr="002D02F3">
        <w:rPr>
          <w:sz w:val="22"/>
        </w:rPr>
        <w:t>’</w:t>
      </w:r>
      <w:r w:rsidRPr="002D02F3">
        <w:rPr>
          <w:sz w:val="22"/>
        </w:rPr>
        <w:t>ACTION POUR LE DÉVELOPPEMENT</w:t>
      </w:r>
    </w:p>
    <w:p w:rsidR="00D42474" w:rsidRDefault="00D42474" w:rsidP="001A5BF9">
      <w:pPr>
        <w:autoSpaceDE w:val="0"/>
        <w:autoSpaceDN w:val="0"/>
        <w:adjustRightInd w:val="0"/>
        <w:jc w:val="both"/>
        <w:rPr>
          <w:rFonts w:eastAsia="SimSun" w:cs="Arial"/>
          <w:szCs w:val="20"/>
        </w:rPr>
      </w:pPr>
    </w:p>
    <w:p w:rsidR="00D42474" w:rsidRDefault="00C82EE5" w:rsidP="001A5BF9">
      <w:pPr>
        <w:tabs>
          <w:tab w:val="left" w:pos="709"/>
        </w:tabs>
        <w:jc w:val="both"/>
      </w:pPr>
      <w:r w:rsidRPr="002D02F3">
        <w:t>21.10.</w:t>
      </w:r>
      <w:r w:rsidRPr="002D02F3">
        <w:tab/>
        <w:t>Le programme 21, qui inclut les travaux du cabinet du Directeur général, joue un rôle essentiel dans la fourniture de l</w:t>
      </w:r>
      <w:r w:rsidR="00A20444" w:rsidRPr="002D02F3">
        <w:t>’</w:t>
      </w:r>
      <w:r w:rsidRPr="002D02F3">
        <w:t>orientation stratégique globale et la supervision nécessaires pour faciliter l</w:t>
      </w:r>
      <w:r w:rsidR="00A20444" w:rsidRPr="002D02F3">
        <w:t>’</w:t>
      </w:r>
      <w:r w:rsidRPr="002D02F3">
        <w:t>intégration et la mise en œuvre du Plan d</w:t>
      </w:r>
      <w:r w:rsidR="00A20444" w:rsidRPr="002D02F3">
        <w:t>’</w:t>
      </w:r>
      <w:r w:rsidRPr="002D02F3">
        <w:t>action pour le développement par tous les secteurs concernés de l</w:t>
      </w:r>
      <w:r w:rsidR="00A20444" w:rsidRPr="002D02F3">
        <w:t>’</w:t>
      </w:r>
      <w:r w:rsidRPr="002D02F3">
        <w:t xml:space="preserve">OMPI. </w:t>
      </w:r>
      <w:r w:rsidR="0010442A" w:rsidRPr="002D02F3">
        <w:t xml:space="preserve"> </w:t>
      </w:r>
      <w:r w:rsidRPr="002D02F3">
        <w:t>Afin de mettre en œuvre la recommandation n° 6 du Plan d</w:t>
      </w:r>
      <w:r w:rsidR="00A20444" w:rsidRPr="002D02F3">
        <w:t>’</w:t>
      </w:r>
      <w:r w:rsidRPr="002D02F3">
        <w:t>action pour le développement, un Bureau de la déontologie de l</w:t>
      </w:r>
      <w:r w:rsidR="00A20444" w:rsidRPr="002D02F3">
        <w:t>’</w:t>
      </w:r>
      <w:r w:rsidRPr="002D02F3">
        <w:t>OMPI a été établi et un code de déontologie a été publié suite aux consultations menées avec le Conseil du personnel de l</w:t>
      </w:r>
      <w:r w:rsidR="00A20444" w:rsidRPr="002D02F3">
        <w:t>’</w:t>
      </w:r>
      <w:r w:rsidRPr="002D02F3">
        <w:t>OMPI et l</w:t>
      </w:r>
      <w:r w:rsidR="00A20444" w:rsidRPr="002D02F3">
        <w:t>’</w:t>
      </w:r>
      <w:r w:rsidRPr="002D02F3">
        <w:t xml:space="preserve">ensemble du personnel. </w:t>
      </w:r>
      <w:r w:rsidR="0010442A" w:rsidRPr="002D02F3">
        <w:t xml:space="preserve"> </w:t>
      </w:r>
      <w:r w:rsidRPr="002D02F3">
        <w:t>Cette recommandation a commencé à être intégrée dans les activités de l</w:t>
      </w:r>
      <w:r w:rsidR="00A20444" w:rsidRPr="002D02F3">
        <w:t>’</w:t>
      </w:r>
      <w:r w:rsidRPr="002D02F3">
        <w:t xml:space="preserve">OMPI en 2013, suite à la conclusion du Programme de réorientation stratégique. </w:t>
      </w:r>
      <w:r w:rsidR="0010442A" w:rsidRPr="002D02F3">
        <w:t xml:space="preserve"> </w:t>
      </w:r>
      <w:r w:rsidRPr="002D02F3">
        <w:t>L</w:t>
      </w:r>
      <w:r w:rsidR="00A20444" w:rsidRPr="002D02F3">
        <w:t>’</w:t>
      </w:r>
      <w:r w:rsidRPr="002D02F3">
        <w:t>un des moments forts des activités du Bureau de la déontologie en 2013 a été le programme de formation complet à la déontologie et à l</w:t>
      </w:r>
      <w:r w:rsidR="00A20444" w:rsidRPr="002D02F3">
        <w:t>’</w:t>
      </w:r>
      <w:r w:rsidRPr="002D02F3">
        <w:t>intégrité lancé en 2012 et achevé en 2013.</w:t>
      </w:r>
    </w:p>
    <w:p w:rsidR="00D42474" w:rsidRDefault="00D42474" w:rsidP="001A5BF9">
      <w:pPr>
        <w:rPr>
          <w:rFonts w:eastAsia="MS Mincho" w:cs="Arial"/>
          <w:szCs w:val="22"/>
          <w:lang w:bidi="th-TH"/>
        </w:rPr>
      </w:pPr>
    </w:p>
    <w:p w:rsidR="00D42474" w:rsidRDefault="006D796D" w:rsidP="001A5BF9">
      <w:pPr>
        <w:rPr>
          <w:rFonts w:eastAsia="MS Mincho" w:cs="Arial"/>
          <w:szCs w:val="22"/>
          <w:lang w:bidi="th-TH"/>
        </w:rPr>
      </w:pPr>
      <w:r w:rsidRPr="002D02F3">
        <w:rPr>
          <w:rFonts w:eastAsia="MS Mincho" w:cs="Arial"/>
          <w:szCs w:val="22"/>
          <w:lang w:bidi="th-TH"/>
        </w:rPr>
        <w:br w:type="page"/>
      </w:r>
    </w:p>
    <w:p w:rsidR="00D42474" w:rsidRDefault="00C82EE5" w:rsidP="001A5BF9">
      <w:pPr>
        <w:rPr>
          <w:rFonts w:cs="Arial"/>
          <w:szCs w:val="22"/>
        </w:rPr>
      </w:pPr>
      <w:r w:rsidRPr="002D02F3">
        <w:rPr>
          <w:sz w:val="22"/>
        </w:rPr>
        <w:t>DONNÉES RELATIVES À L</w:t>
      </w:r>
      <w:r w:rsidR="00A20444" w:rsidRPr="002D02F3">
        <w:rPr>
          <w:sz w:val="22"/>
        </w:rPr>
        <w:t>’</w:t>
      </w:r>
      <w:r w:rsidRPr="002D02F3">
        <w:rPr>
          <w:sz w:val="22"/>
        </w:rPr>
        <w:t>EXÉCUTION</w:t>
      </w:r>
    </w:p>
    <w:p w:rsidR="00C82EE5" w:rsidRPr="002D02F3" w:rsidRDefault="00C82EE5" w:rsidP="001A5BF9">
      <w:pPr>
        <w:rPr>
          <w:rFonts w:cs="Arial"/>
          <w:b/>
          <w:szCs w:val="22"/>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77"/>
        <w:gridCol w:w="1710"/>
        <w:gridCol w:w="357"/>
        <w:gridCol w:w="1203"/>
        <w:gridCol w:w="356"/>
        <w:gridCol w:w="3041"/>
        <w:gridCol w:w="1213"/>
      </w:tblGrid>
      <w:tr w:rsidR="00C82EE5" w:rsidRPr="002D02F3" w:rsidTr="0056083E">
        <w:trPr>
          <w:cantSplit/>
        </w:trPr>
        <w:tc>
          <w:tcPr>
            <w:tcW w:w="5000" w:type="pct"/>
            <w:gridSpan w:val="7"/>
            <w:tcBorders>
              <w:top w:val="single" w:sz="4" w:space="0" w:color="auto"/>
              <w:bottom w:val="single" w:sz="4" w:space="0" w:color="auto"/>
            </w:tcBorders>
            <w:shd w:val="clear" w:color="auto" w:fill="CCFFFF"/>
            <w:vAlign w:val="center"/>
          </w:tcPr>
          <w:p w:rsidR="00C82EE5" w:rsidRPr="002D02F3" w:rsidRDefault="00C82EE5" w:rsidP="001A5BF9">
            <w:pPr>
              <w:keepNext/>
              <w:keepLines/>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Engagement réel auprès des États membres</w:t>
            </w:r>
          </w:p>
        </w:tc>
      </w:tr>
      <w:tr w:rsidR="00C82EE5" w:rsidRPr="002D02F3" w:rsidTr="00167DE6">
        <w:trPr>
          <w:cantSplit/>
        </w:trPr>
        <w:tc>
          <w:tcPr>
            <w:tcW w:w="789" w:type="pct"/>
            <w:tcBorders>
              <w:top w:val="single" w:sz="4" w:space="0" w:color="auto"/>
            </w:tcBorders>
            <w:shd w:val="clear" w:color="auto" w:fill="auto"/>
            <w:vAlign w:val="center"/>
          </w:tcPr>
          <w:p w:rsidR="00C82EE5" w:rsidRPr="002D02F3" w:rsidRDefault="00C82EE5" w:rsidP="00C756AD">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1105" w:type="pct"/>
            <w:gridSpan w:val="2"/>
            <w:tcBorders>
              <w:top w:val="single" w:sz="4" w:space="0" w:color="auto"/>
            </w:tcBorders>
            <w:shd w:val="clear" w:color="auto" w:fill="auto"/>
            <w:vAlign w:val="center"/>
          </w:tcPr>
          <w:p w:rsidR="00C82EE5" w:rsidRPr="002D02F3" w:rsidRDefault="00C82EE5" w:rsidP="00C756AD">
            <w:pPr>
              <w:rPr>
                <w:rFonts w:cs="Arial"/>
                <w:b/>
                <w:bCs/>
                <w:sz w:val="16"/>
                <w:szCs w:val="16"/>
              </w:rPr>
            </w:pPr>
            <w:r w:rsidRPr="002D02F3">
              <w:rPr>
                <w:b/>
                <w:sz w:val="16"/>
              </w:rPr>
              <w:t>Niveaux de référence</w:t>
            </w:r>
          </w:p>
        </w:tc>
        <w:tc>
          <w:tcPr>
            <w:tcW w:w="833" w:type="pct"/>
            <w:gridSpan w:val="2"/>
            <w:tcBorders>
              <w:top w:val="single" w:sz="4" w:space="0" w:color="auto"/>
            </w:tcBorders>
            <w:shd w:val="clear" w:color="auto" w:fill="auto"/>
            <w:tcMar>
              <w:top w:w="110" w:type="dxa"/>
            </w:tcMar>
            <w:vAlign w:val="center"/>
          </w:tcPr>
          <w:p w:rsidR="00C82EE5" w:rsidRPr="002D02F3" w:rsidRDefault="00C82EE5" w:rsidP="00C756AD">
            <w:pPr>
              <w:rPr>
                <w:rFonts w:cs="Arial"/>
                <w:b/>
                <w:sz w:val="16"/>
                <w:szCs w:val="16"/>
              </w:rPr>
            </w:pPr>
            <w:r w:rsidRPr="002D02F3">
              <w:rPr>
                <w:b/>
                <w:sz w:val="16"/>
              </w:rPr>
              <w:t>Objectifs visés</w:t>
            </w:r>
          </w:p>
        </w:tc>
        <w:tc>
          <w:tcPr>
            <w:tcW w:w="1625" w:type="pct"/>
            <w:tcBorders>
              <w:top w:val="single" w:sz="4" w:space="0" w:color="auto"/>
            </w:tcBorders>
            <w:shd w:val="clear" w:color="auto" w:fill="FFFFFF"/>
            <w:tcMar>
              <w:top w:w="110" w:type="dxa"/>
            </w:tcMar>
            <w:vAlign w:val="center"/>
          </w:tcPr>
          <w:p w:rsidR="00C82EE5" w:rsidRPr="002D02F3" w:rsidRDefault="00C82EE5" w:rsidP="00C756AD">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48" w:type="pct"/>
            <w:tcBorders>
              <w:top w:val="single" w:sz="4" w:space="0" w:color="auto"/>
            </w:tcBorders>
            <w:shd w:val="clear" w:color="auto" w:fill="auto"/>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167DE6">
        <w:trPr>
          <w:cantSplit/>
        </w:trPr>
        <w:tc>
          <w:tcPr>
            <w:tcW w:w="789" w:type="pct"/>
            <w:shd w:val="clear" w:color="auto" w:fill="auto"/>
          </w:tcPr>
          <w:p w:rsidR="00C82EE5" w:rsidRPr="00C756AD" w:rsidRDefault="00C82EE5" w:rsidP="001A5BF9">
            <w:pPr>
              <w:rPr>
                <w:rFonts w:cs="Arial"/>
                <w:sz w:val="16"/>
                <w:szCs w:val="16"/>
              </w:rPr>
            </w:pPr>
            <w:r w:rsidRPr="00C756AD">
              <w:rPr>
                <w:sz w:val="16"/>
              </w:rPr>
              <w:t>Pourcentage de réunions de comité pour lesquelles des réunions d</w:t>
            </w:r>
            <w:r w:rsidR="00A20444" w:rsidRPr="00C756AD">
              <w:rPr>
                <w:sz w:val="16"/>
              </w:rPr>
              <w:t>’</w:t>
            </w:r>
            <w:r w:rsidRPr="00C756AD">
              <w:rPr>
                <w:sz w:val="16"/>
              </w:rPr>
              <w:t>information préalables sont tenues pour les États membres</w:t>
            </w:r>
          </w:p>
        </w:tc>
        <w:tc>
          <w:tcPr>
            <w:tcW w:w="1105" w:type="pct"/>
            <w:gridSpan w:val="2"/>
            <w:shd w:val="clear" w:color="auto" w:fill="auto"/>
          </w:tcPr>
          <w:p w:rsidR="00D42474" w:rsidRDefault="00C82EE5" w:rsidP="001A5BF9">
            <w:pPr>
              <w:rPr>
                <w:i/>
                <w:color w:val="002060"/>
                <w:sz w:val="16"/>
              </w:rPr>
            </w:pPr>
            <w:r w:rsidRPr="005C7CCE">
              <w:rPr>
                <w:i/>
                <w:color w:val="002060"/>
                <w:sz w:val="16"/>
              </w:rPr>
              <w:t xml:space="preserve">Niveau de référence </w:t>
            </w:r>
            <w:r w:rsidRPr="00C756AD">
              <w:rPr>
                <w:i/>
                <w:color w:val="002060"/>
                <w:sz w:val="16"/>
              </w:rPr>
              <w:t>actualisé fin 2011 :</w:t>
            </w:r>
          </w:p>
          <w:p w:rsidR="00D42474" w:rsidRDefault="00C756AD" w:rsidP="001A5BF9">
            <w:pPr>
              <w:rPr>
                <w:rFonts w:cs="Arial"/>
                <w:color w:val="002060"/>
                <w:sz w:val="16"/>
                <w:szCs w:val="16"/>
              </w:rPr>
            </w:pPr>
            <w:r>
              <w:rPr>
                <w:color w:val="002060"/>
                <w:sz w:val="16"/>
              </w:rPr>
              <w:t>n</w:t>
            </w:r>
            <w:r w:rsidR="00C82EE5" w:rsidRPr="00C756AD">
              <w:rPr>
                <w:color w:val="002060"/>
                <w:sz w:val="16"/>
              </w:rPr>
              <w:t>ombre de réunions d</w:t>
            </w:r>
            <w:r w:rsidR="00A20444" w:rsidRPr="00C756AD">
              <w:rPr>
                <w:color w:val="002060"/>
                <w:sz w:val="16"/>
              </w:rPr>
              <w:t>’</w:t>
            </w:r>
            <w:r w:rsidR="00C82EE5" w:rsidRPr="00C756AD">
              <w:rPr>
                <w:color w:val="002060"/>
                <w:sz w:val="16"/>
              </w:rPr>
              <w:t>information tenues avant les réunions des comités en</w:t>
            </w:r>
            <w:r w:rsidR="0010442A" w:rsidRPr="00C756AD">
              <w:rPr>
                <w:color w:val="002060"/>
                <w:sz w:val="16"/>
              </w:rPr>
              <w:t> </w:t>
            </w:r>
            <w:r w:rsidR="00C82EE5" w:rsidRPr="00C756AD">
              <w:rPr>
                <w:color w:val="002060"/>
                <w:sz w:val="16"/>
              </w:rPr>
              <w:t>2011</w:t>
            </w:r>
            <w:r w:rsidR="0010442A" w:rsidRPr="00C756AD">
              <w:rPr>
                <w:color w:val="002060"/>
                <w:sz w:val="16"/>
              </w:rPr>
              <w:t> </w:t>
            </w:r>
            <w:r w:rsidR="00C82EE5" w:rsidRPr="00C756AD">
              <w:rPr>
                <w:color w:val="002060"/>
                <w:sz w:val="16"/>
              </w:rPr>
              <w:t>: 80</w:t>
            </w:r>
            <w:r w:rsidR="007E442D" w:rsidRPr="00C756AD">
              <w:rPr>
                <w:color w:val="002060"/>
                <w:sz w:val="16"/>
              </w:rPr>
              <w:t>%</w:t>
            </w:r>
          </w:p>
          <w:p w:rsidR="00D42474" w:rsidRDefault="00D42474" w:rsidP="001A5BF9">
            <w:pPr>
              <w:rPr>
                <w:rFonts w:cs="Arial"/>
                <w:i/>
                <w:sz w:val="8"/>
                <w:szCs w:val="8"/>
              </w:rPr>
            </w:pPr>
          </w:p>
          <w:p w:rsidR="00C82EE5" w:rsidRPr="005C7CCE" w:rsidRDefault="00C82EE5" w:rsidP="001A5BF9">
            <w:pPr>
              <w:rPr>
                <w:rFonts w:cs="Arial"/>
                <w:color w:val="000000"/>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 xml:space="preserve">2013 : </w:t>
            </w:r>
            <w:r w:rsidRPr="005C7CCE">
              <w:br/>
            </w:r>
            <w:r w:rsidR="00C756AD">
              <w:rPr>
                <w:sz w:val="16"/>
              </w:rPr>
              <w:t>à</w:t>
            </w:r>
            <w:r w:rsidRPr="005C7CCE">
              <w:rPr>
                <w:sz w:val="16"/>
              </w:rPr>
              <w:t> déterminer : nombre de réunions d</w:t>
            </w:r>
            <w:r w:rsidR="00A20444" w:rsidRPr="005C7CCE">
              <w:rPr>
                <w:sz w:val="16"/>
              </w:rPr>
              <w:t>’</w:t>
            </w:r>
            <w:r w:rsidRPr="005C7CCE">
              <w:rPr>
                <w:sz w:val="16"/>
              </w:rPr>
              <w:t>information tenues avant les réunions des comités en 2010</w:t>
            </w:r>
            <w:r w:rsidR="002D6F2A" w:rsidRPr="005C7CCE">
              <w:rPr>
                <w:sz w:val="16"/>
              </w:rPr>
              <w:noBreakHyphen/>
            </w:r>
            <w:r w:rsidRPr="005C7CCE">
              <w:rPr>
                <w:sz w:val="16"/>
              </w:rPr>
              <w:t>2011</w:t>
            </w:r>
          </w:p>
        </w:tc>
        <w:tc>
          <w:tcPr>
            <w:tcW w:w="833" w:type="pct"/>
            <w:gridSpan w:val="2"/>
            <w:shd w:val="clear" w:color="auto" w:fill="auto"/>
            <w:tcMar>
              <w:top w:w="110" w:type="dxa"/>
            </w:tcMar>
          </w:tcPr>
          <w:p w:rsidR="00D42474" w:rsidRDefault="00C82EE5" w:rsidP="001A5BF9">
            <w:pPr>
              <w:autoSpaceDE w:val="0"/>
              <w:autoSpaceDN w:val="0"/>
              <w:adjustRightInd w:val="0"/>
              <w:rPr>
                <w:rFonts w:ascii="ArialMT" w:hAnsi="ArialMT" w:cs="ArialMT"/>
                <w:sz w:val="16"/>
                <w:szCs w:val="16"/>
              </w:rPr>
            </w:pPr>
            <w:r w:rsidRPr="005C7CCE">
              <w:rPr>
                <w:rFonts w:ascii="ArialMT" w:hAnsi="ArialMT"/>
                <w:sz w:val="16"/>
              </w:rPr>
              <w:t>90</w:t>
            </w:r>
            <w:r w:rsidR="007E442D" w:rsidRPr="005C7CCE">
              <w:rPr>
                <w:rFonts w:ascii="ArialMT" w:hAnsi="ArialMT"/>
                <w:sz w:val="16"/>
              </w:rPr>
              <w:t>%</w:t>
            </w:r>
            <w:r w:rsidRPr="005C7CCE">
              <w:rPr>
                <w:rFonts w:ascii="ArialMT" w:hAnsi="ArialMT"/>
                <w:sz w:val="16"/>
              </w:rPr>
              <w:t xml:space="preserve"> des réunions</w:t>
            </w:r>
          </w:p>
          <w:p w:rsidR="00C82EE5" w:rsidRPr="005C7CCE" w:rsidRDefault="00C82EE5" w:rsidP="001A5BF9">
            <w:pPr>
              <w:rPr>
                <w:rFonts w:cs="Arial"/>
                <w:sz w:val="16"/>
                <w:szCs w:val="16"/>
                <w:lang w:bidi="th-TH"/>
              </w:rPr>
            </w:pPr>
            <w:r w:rsidRPr="005C7CCE">
              <w:rPr>
                <w:rFonts w:ascii="ArialMT" w:hAnsi="ArialMT"/>
                <w:sz w:val="16"/>
              </w:rPr>
              <w:t>de comités</w:t>
            </w:r>
            <w:r w:rsidRPr="005C7CCE">
              <w:rPr>
                <w:sz w:val="16"/>
              </w:rPr>
              <w:t xml:space="preserve"> </w:t>
            </w:r>
          </w:p>
        </w:tc>
        <w:tc>
          <w:tcPr>
            <w:tcW w:w="1625" w:type="pct"/>
            <w:shd w:val="clear" w:color="auto" w:fill="FFFFFF"/>
            <w:tcMar>
              <w:top w:w="110" w:type="dxa"/>
            </w:tcMar>
          </w:tcPr>
          <w:p w:rsidR="00C82EE5" w:rsidRPr="00C756AD" w:rsidRDefault="00C82EE5" w:rsidP="001A5BF9">
            <w:pPr>
              <w:rPr>
                <w:rFonts w:cs="Arial"/>
                <w:sz w:val="16"/>
                <w:szCs w:val="16"/>
              </w:rPr>
            </w:pPr>
            <w:r w:rsidRPr="00C756AD">
              <w:rPr>
                <w:sz w:val="16"/>
              </w:rPr>
              <w:t>81</w:t>
            </w:r>
            <w:r w:rsidR="007E442D" w:rsidRPr="00C756AD">
              <w:rPr>
                <w:sz w:val="16"/>
              </w:rPr>
              <w:t>%</w:t>
            </w:r>
            <w:r w:rsidRPr="00C756AD">
              <w:rPr>
                <w:sz w:val="16"/>
              </w:rPr>
              <w:t xml:space="preserve"> selon une enquête menée auprès de secrétaires de comités</w:t>
            </w:r>
          </w:p>
        </w:tc>
        <w:tc>
          <w:tcPr>
            <w:tcW w:w="648" w:type="pct"/>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color w:val="008000"/>
                <w:sz w:val="16"/>
              </w:rPr>
              <w:t>Objectif pleinement atteint</w:t>
            </w:r>
          </w:p>
        </w:tc>
      </w:tr>
      <w:tr w:rsidR="00C82EE5" w:rsidRPr="005C7CCE" w:rsidTr="00167DE6">
        <w:trPr>
          <w:cantSplit/>
        </w:trPr>
        <w:tc>
          <w:tcPr>
            <w:tcW w:w="789" w:type="pct"/>
            <w:shd w:val="clear" w:color="auto" w:fill="auto"/>
          </w:tcPr>
          <w:p w:rsidR="00C82EE5" w:rsidRPr="00C756AD" w:rsidRDefault="00C82EE5" w:rsidP="001A5BF9">
            <w:pPr>
              <w:rPr>
                <w:rFonts w:cs="Arial"/>
                <w:sz w:val="16"/>
                <w:szCs w:val="16"/>
              </w:rPr>
            </w:pPr>
            <w:r w:rsidRPr="00C756AD">
              <w:rPr>
                <w:sz w:val="16"/>
              </w:rPr>
              <w:t>Pourcentage de lettres adressées par les États membres au Directeur général qui obtiennent une réponse dans un délai de deux semaines</w:t>
            </w:r>
          </w:p>
        </w:tc>
        <w:tc>
          <w:tcPr>
            <w:tcW w:w="1105" w:type="pct"/>
            <w:gridSpan w:val="2"/>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80</w:t>
            </w:r>
            <w:r w:rsidR="007E442D" w:rsidRPr="005C7CCE">
              <w:rPr>
                <w:color w:val="002060"/>
                <w:sz w:val="16"/>
              </w:rPr>
              <w:t>%</w:t>
            </w:r>
          </w:p>
          <w:p w:rsidR="00D42474" w:rsidRDefault="00D42474" w:rsidP="001A5BF9">
            <w:pPr>
              <w:rPr>
                <w:rFonts w:cs="Arial"/>
                <w:i/>
                <w:color w:val="000000"/>
                <w:sz w:val="8"/>
                <w:szCs w:val="8"/>
              </w:rPr>
            </w:pPr>
          </w:p>
          <w:p w:rsidR="00C82EE5" w:rsidRPr="005C7CCE" w:rsidRDefault="00C82EE5" w:rsidP="001A5BF9">
            <w:pPr>
              <w:rPr>
                <w:rFonts w:cs="Arial"/>
                <w:color w:val="000000"/>
                <w:sz w:val="16"/>
                <w:szCs w:val="16"/>
              </w:rPr>
            </w:pPr>
            <w:r w:rsidRPr="005C7CCE">
              <w:rPr>
                <w:i/>
                <w:color w:val="000000"/>
                <w:sz w:val="16"/>
              </w:rPr>
              <w:t xml:space="preserve">Niveau de référence initial </w:t>
            </w:r>
            <w:r w:rsidR="00667FB3">
              <w:rPr>
                <w:i/>
                <w:color w:val="000000"/>
                <w:sz w:val="16"/>
              </w:rPr>
              <w:t>programme et budget</w:t>
            </w:r>
            <w:r w:rsidRPr="005C7CCE">
              <w:rPr>
                <w:i/>
                <w:color w:val="000000"/>
                <w:sz w:val="16"/>
              </w:rPr>
              <w:t> 2012</w:t>
            </w:r>
            <w:r w:rsidR="002D6F2A" w:rsidRPr="005C7CCE">
              <w:rPr>
                <w:i/>
                <w:color w:val="000000"/>
                <w:sz w:val="16"/>
              </w:rPr>
              <w:noBreakHyphen/>
            </w:r>
            <w:r w:rsidRPr="005C7CCE">
              <w:rPr>
                <w:i/>
                <w:color w:val="000000"/>
                <w:sz w:val="16"/>
              </w:rPr>
              <w:t xml:space="preserve">2013 : </w:t>
            </w:r>
            <w:r w:rsidRPr="005C7CCE">
              <w:br/>
            </w:r>
            <w:r w:rsidR="00C756AD">
              <w:rPr>
                <w:color w:val="000000"/>
                <w:sz w:val="16"/>
              </w:rPr>
              <w:t>à</w:t>
            </w:r>
            <w:r w:rsidRPr="005C7CCE">
              <w:rPr>
                <w:color w:val="000000"/>
                <w:sz w:val="16"/>
              </w:rPr>
              <w:t> déterminer</w:t>
            </w:r>
          </w:p>
        </w:tc>
        <w:tc>
          <w:tcPr>
            <w:tcW w:w="833" w:type="pct"/>
            <w:gridSpan w:val="2"/>
            <w:shd w:val="clear" w:color="auto" w:fill="auto"/>
            <w:tcMar>
              <w:top w:w="110" w:type="dxa"/>
            </w:tcMar>
          </w:tcPr>
          <w:p w:rsidR="00C82EE5" w:rsidRPr="00C756AD" w:rsidRDefault="00C82EE5" w:rsidP="001A5BF9">
            <w:pPr>
              <w:rPr>
                <w:rFonts w:cs="Arial"/>
                <w:sz w:val="16"/>
                <w:szCs w:val="16"/>
                <w:lang w:bidi="th-TH"/>
              </w:rPr>
            </w:pPr>
            <w:r w:rsidRPr="00C756AD">
              <w:rPr>
                <w:sz w:val="16"/>
              </w:rPr>
              <w:t>80</w:t>
            </w:r>
            <w:r w:rsidR="007E442D" w:rsidRPr="00C756AD">
              <w:rPr>
                <w:sz w:val="16"/>
              </w:rPr>
              <w:t>%</w:t>
            </w:r>
            <w:r w:rsidRPr="00C756AD">
              <w:rPr>
                <w:sz w:val="16"/>
              </w:rPr>
              <w:t xml:space="preserve"> en moyenne</w:t>
            </w:r>
          </w:p>
        </w:tc>
        <w:tc>
          <w:tcPr>
            <w:tcW w:w="1625" w:type="pct"/>
            <w:shd w:val="clear" w:color="auto" w:fill="FFFFFF"/>
            <w:tcMar>
              <w:top w:w="110" w:type="dxa"/>
            </w:tcMar>
          </w:tcPr>
          <w:p w:rsidR="00C82EE5" w:rsidRPr="00C756AD" w:rsidRDefault="00C82EE5" w:rsidP="001A5BF9">
            <w:pPr>
              <w:rPr>
                <w:rFonts w:cs="Arial"/>
                <w:sz w:val="16"/>
                <w:szCs w:val="16"/>
              </w:rPr>
            </w:pPr>
            <w:r w:rsidRPr="00C756AD">
              <w:rPr>
                <w:sz w:val="16"/>
              </w:rPr>
              <w:t>81</w:t>
            </w:r>
            <w:r w:rsidR="007E442D" w:rsidRPr="00C756AD">
              <w:rPr>
                <w:sz w:val="16"/>
              </w:rPr>
              <w:t>%</w:t>
            </w:r>
            <w:r w:rsidRPr="00C756AD">
              <w:rPr>
                <w:sz w:val="16"/>
              </w:rPr>
              <w:t xml:space="preserve"> selon une évaluation des lettres reçues et envoyées</w:t>
            </w:r>
          </w:p>
        </w:tc>
        <w:tc>
          <w:tcPr>
            <w:tcW w:w="648" w:type="pct"/>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C82EE5" w:rsidRPr="005C7CCE" w:rsidTr="00167DE6">
        <w:trPr>
          <w:cantSplit/>
        </w:trPr>
        <w:tc>
          <w:tcPr>
            <w:tcW w:w="789" w:type="pct"/>
            <w:shd w:val="clear" w:color="auto" w:fill="auto"/>
          </w:tcPr>
          <w:p w:rsidR="00C82EE5" w:rsidRPr="00C756AD" w:rsidRDefault="00C82EE5" w:rsidP="001A5BF9">
            <w:pPr>
              <w:rPr>
                <w:rFonts w:cs="Arial"/>
                <w:sz w:val="16"/>
                <w:szCs w:val="16"/>
              </w:rPr>
            </w:pPr>
            <w:r w:rsidRPr="00C756AD">
              <w:rPr>
                <w:sz w:val="16"/>
              </w:rPr>
              <w:t>Niveaux de satisfaction des États membres quant à la préparation et au fonctionnement des assemblées</w:t>
            </w:r>
          </w:p>
        </w:tc>
        <w:tc>
          <w:tcPr>
            <w:tcW w:w="1105" w:type="pct"/>
            <w:gridSpan w:val="2"/>
            <w:shd w:val="clear" w:color="auto" w:fill="auto"/>
          </w:tcPr>
          <w:p w:rsidR="00C82EE5" w:rsidRPr="005C7CCE" w:rsidRDefault="00C82EE5" w:rsidP="001A5BF9">
            <w:pPr>
              <w:rPr>
                <w:rFonts w:ascii="ArialMT" w:hAnsi="ArialMT" w:cs="ArialMT"/>
                <w:sz w:val="16"/>
                <w:szCs w:val="16"/>
              </w:rPr>
            </w:pPr>
            <w:r w:rsidRPr="00C756AD">
              <w:rPr>
                <w:rFonts w:ascii="ArialMT" w:hAnsi="ArialMT"/>
                <w:sz w:val="16"/>
              </w:rPr>
              <w:t>Données non disponibles à l</w:t>
            </w:r>
            <w:r w:rsidR="00A20444" w:rsidRPr="00C756AD">
              <w:rPr>
                <w:rFonts w:ascii="ArialMT" w:hAnsi="ArialMT"/>
                <w:sz w:val="16"/>
              </w:rPr>
              <w:t>’</w:t>
            </w:r>
            <w:r w:rsidRPr="00C756AD">
              <w:rPr>
                <w:rFonts w:ascii="ArialMT" w:hAnsi="ArialMT"/>
                <w:sz w:val="16"/>
              </w:rPr>
              <w:t>heure actuelle</w:t>
            </w:r>
          </w:p>
        </w:tc>
        <w:tc>
          <w:tcPr>
            <w:tcW w:w="833" w:type="pct"/>
            <w:gridSpan w:val="2"/>
            <w:shd w:val="clear" w:color="auto" w:fill="auto"/>
            <w:tcMar>
              <w:top w:w="110" w:type="dxa"/>
            </w:tcMar>
          </w:tcPr>
          <w:p w:rsidR="00C82EE5" w:rsidRPr="00C756AD" w:rsidRDefault="00C82EE5" w:rsidP="001A5BF9">
            <w:pPr>
              <w:rPr>
                <w:rFonts w:cs="Arial"/>
                <w:sz w:val="16"/>
                <w:szCs w:val="16"/>
              </w:rPr>
            </w:pPr>
            <w:r w:rsidRPr="00C756AD">
              <w:rPr>
                <w:sz w:val="16"/>
              </w:rPr>
              <w:t>85</w:t>
            </w:r>
            <w:r w:rsidR="007E442D" w:rsidRPr="00C756AD">
              <w:rPr>
                <w:sz w:val="16"/>
              </w:rPr>
              <w:t>%</w:t>
            </w:r>
            <w:r w:rsidRPr="00C756AD">
              <w:rPr>
                <w:sz w:val="16"/>
              </w:rPr>
              <w:t xml:space="preserve"> satisfaits des dispositions prises </w:t>
            </w:r>
          </w:p>
        </w:tc>
        <w:tc>
          <w:tcPr>
            <w:tcW w:w="1625" w:type="pct"/>
            <w:shd w:val="clear" w:color="auto" w:fill="FFFFFF"/>
            <w:tcMar>
              <w:top w:w="110" w:type="dxa"/>
            </w:tcMar>
          </w:tcPr>
          <w:p w:rsidR="00C82EE5" w:rsidRPr="005C7CCE" w:rsidRDefault="00C82EE5" w:rsidP="001A5BF9">
            <w:pPr>
              <w:rPr>
                <w:rFonts w:cs="Arial"/>
                <w:sz w:val="16"/>
                <w:szCs w:val="16"/>
              </w:rPr>
            </w:pPr>
            <w:r w:rsidRPr="005C7CCE">
              <w:rPr>
                <w:sz w:val="16"/>
              </w:rPr>
              <w:t>88</w:t>
            </w:r>
            <w:r w:rsidR="007E442D" w:rsidRPr="005C7CCE">
              <w:rPr>
                <w:sz w:val="16"/>
              </w:rPr>
              <w:t>%</w:t>
            </w:r>
            <w:r w:rsidRPr="005C7CCE">
              <w:rPr>
                <w:sz w:val="16"/>
              </w:rPr>
              <w:t xml:space="preserve"> selon une enquête menée auprès des assemblées de l</w:t>
            </w:r>
            <w:r w:rsidR="00A20444" w:rsidRPr="005C7CCE">
              <w:rPr>
                <w:sz w:val="16"/>
              </w:rPr>
              <w:t>’</w:t>
            </w:r>
            <w:r w:rsidRPr="005C7CCE">
              <w:rPr>
                <w:sz w:val="16"/>
              </w:rPr>
              <w:t>OMPI en 2012 (l</w:t>
            </w:r>
            <w:r w:rsidR="00A20444" w:rsidRPr="005C7CCE">
              <w:rPr>
                <w:sz w:val="16"/>
              </w:rPr>
              <w:t>’</w:t>
            </w:r>
            <w:r w:rsidRPr="005C7CCE">
              <w:rPr>
                <w:sz w:val="16"/>
              </w:rPr>
              <w:t>enquête n</w:t>
            </w:r>
            <w:r w:rsidR="00A20444" w:rsidRPr="005C7CCE">
              <w:rPr>
                <w:sz w:val="16"/>
              </w:rPr>
              <w:t>’</w:t>
            </w:r>
            <w:r w:rsidRPr="005C7CCE">
              <w:rPr>
                <w:sz w:val="16"/>
              </w:rPr>
              <w:t>a pas pu être menée en 2013 en raison de circonstances exceptionnelles;</w:t>
            </w:r>
            <w:r w:rsidR="004F3E42" w:rsidRPr="005C7CCE">
              <w:rPr>
                <w:sz w:val="16"/>
              </w:rPr>
              <w:t xml:space="preserve"> </w:t>
            </w:r>
            <w:r w:rsidR="0010442A" w:rsidRPr="005C7CCE">
              <w:rPr>
                <w:sz w:val="16"/>
              </w:rPr>
              <w:t xml:space="preserve"> </w:t>
            </w:r>
            <w:r w:rsidRPr="005C7CCE">
              <w:rPr>
                <w:sz w:val="16"/>
              </w:rPr>
              <w:t>elle sera réintroduite en 2014).</w:t>
            </w:r>
          </w:p>
        </w:tc>
        <w:tc>
          <w:tcPr>
            <w:tcW w:w="648" w:type="pct"/>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C82EE5" w:rsidRPr="005C7CCE" w:rsidTr="00167DE6">
        <w:trPr>
          <w:cantSplit/>
        </w:trPr>
        <w:tc>
          <w:tcPr>
            <w:tcW w:w="789" w:type="pct"/>
            <w:tcBorders>
              <w:bottom w:val="single" w:sz="4" w:space="0" w:color="auto"/>
            </w:tcBorders>
            <w:shd w:val="clear" w:color="auto" w:fill="auto"/>
          </w:tcPr>
          <w:p w:rsidR="00C82EE5" w:rsidRPr="00C756AD" w:rsidRDefault="00C82EE5" w:rsidP="001A5BF9">
            <w:pPr>
              <w:rPr>
                <w:rFonts w:cs="Arial"/>
                <w:sz w:val="16"/>
                <w:szCs w:val="16"/>
              </w:rPr>
            </w:pPr>
            <w:r w:rsidRPr="00C756AD">
              <w:rPr>
                <w:sz w:val="16"/>
              </w:rPr>
              <w:t>Délais de publication des documents des assemblées</w:t>
            </w:r>
          </w:p>
        </w:tc>
        <w:tc>
          <w:tcPr>
            <w:tcW w:w="1105" w:type="pct"/>
            <w:gridSpan w:val="2"/>
            <w:tcBorders>
              <w:bottom w:val="single" w:sz="4" w:space="0" w:color="auto"/>
            </w:tcBorders>
            <w:shd w:val="clear" w:color="auto" w:fill="auto"/>
          </w:tcPr>
          <w:p w:rsidR="00C82EE5" w:rsidRPr="00C756AD" w:rsidRDefault="00C82EE5" w:rsidP="001A5BF9">
            <w:pPr>
              <w:rPr>
                <w:rFonts w:cs="Arial"/>
                <w:sz w:val="16"/>
                <w:szCs w:val="16"/>
              </w:rPr>
            </w:pPr>
            <w:r w:rsidRPr="00C756AD">
              <w:rPr>
                <w:sz w:val="16"/>
              </w:rPr>
              <w:t>90</w:t>
            </w:r>
            <w:r w:rsidR="007E442D" w:rsidRPr="00C756AD">
              <w:rPr>
                <w:sz w:val="16"/>
              </w:rPr>
              <w:t>%</w:t>
            </w:r>
            <w:r w:rsidRPr="00C756AD">
              <w:rPr>
                <w:sz w:val="16"/>
              </w:rPr>
              <w:t xml:space="preserve"> des documents publiés au moins deux</w:t>
            </w:r>
            <w:r w:rsidR="0010442A" w:rsidRPr="00C756AD">
              <w:rPr>
                <w:sz w:val="16"/>
              </w:rPr>
              <w:t> </w:t>
            </w:r>
            <w:r w:rsidRPr="00C756AD">
              <w:rPr>
                <w:sz w:val="16"/>
              </w:rPr>
              <w:t>mois avant les assemblées</w:t>
            </w:r>
          </w:p>
        </w:tc>
        <w:tc>
          <w:tcPr>
            <w:tcW w:w="833" w:type="pct"/>
            <w:gridSpan w:val="2"/>
            <w:tcBorders>
              <w:bottom w:val="single" w:sz="4" w:space="0" w:color="auto"/>
            </w:tcBorders>
            <w:shd w:val="clear" w:color="auto" w:fill="auto"/>
            <w:tcMar>
              <w:top w:w="110" w:type="dxa"/>
            </w:tcMar>
          </w:tcPr>
          <w:p w:rsidR="00C82EE5" w:rsidRPr="00C756AD" w:rsidRDefault="00C82EE5" w:rsidP="001A5BF9">
            <w:pPr>
              <w:autoSpaceDE w:val="0"/>
              <w:autoSpaceDN w:val="0"/>
              <w:adjustRightInd w:val="0"/>
              <w:rPr>
                <w:rFonts w:ascii="ArialMT" w:hAnsi="ArialMT" w:cs="ArialMT"/>
                <w:sz w:val="16"/>
                <w:szCs w:val="16"/>
              </w:rPr>
            </w:pPr>
            <w:r w:rsidRPr="00C756AD">
              <w:rPr>
                <w:rFonts w:ascii="ArialMT" w:hAnsi="ArialMT"/>
                <w:sz w:val="16"/>
              </w:rPr>
              <w:t>Tous les documents publiés deux mois avant les assemblées</w:t>
            </w:r>
          </w:p>
        </w:tc>
        <w:tc>
          <w:tcPr>
            <w:tcW w:w="1625" w:type="pct"/>
            <w:tcBorders>
              <w:bottom w:val="single" w:sz="4" w:space="0" w:color="auto"/>
            </w:tcBorders>
            <w:shd w:val="clear" w:color="auto" w:fill="FFFFFF"/>
            <w:tcMar>
              <w:top w:w="110" w:type="dxa"/>
            </w:tcMar>
          </w:tcPr>
          <w:p w:rsidR="00C82EE5" w:rsidRPr="00C756AD" w:rsidRDefault="00C82EE5" w:rsidP="001A5BF9">
            <w:pPr>
              <w:rPr>
                <w:rFonts w:eastAsia="SimSun" w:cs="Arial"/>
                <w:sz w:val="16"/>
                <w:szCs w:val="16"/>
              </w:rPr>
            </w:pPr>
            <w:r w:rsidRPr="00C756AD">
              <w:rPr>
                <w:sz w:val="16"/>
              </w:rPr>
              <w:t>Pour les assemblées régulières, 95</w:t>
            </w:r>
            <w:r w:rsidR="007E442D" w:rsidRPr="00C756AD">
              <w:rPr>
                <w:sz w:val="16"/>
              </w:rPr>
              <w:t>%</w:t>
            </w:r>
            <w:r w:rsidRPr="00C756AD">
              <w:rPr>
                <w:sz w:val="16"/>
              </w:rPr>
              <w:t xml:space="preserve"> de l</w:t>
            </w:r>
            <w:r w:rsidR="00A20444" w:rsidRPr="00C756AD">
              <w:rPr>
                <w:sz w:val="16"/>
              </w:rPr>
              <w:t>’</w:t>
            </w:r>
            <w:r w:rsidRPr="00C756AD">
              <w:rPr>
                <w:sz w:val="16"/>
              </w:rPr>
              <w:t>ensemble des documents ont été publiés au moins deux mois avant les assemblées.</w:t>
            </w:r>
            <w:r w:rsidR="0010442A" w:rsidRPr="00C756AD">
              <w:rPr>
                <w:sz w:val="16"/>
              </w:rPr>
              <w:t xml:space="preserve"> </w:t>
            </w:r>
            <w:r w:rsidRPr="00C756AD">
              <w:rPr>
                <w:sz w:val="16"/>
              </w:rPr>
              <w:t xml:space="preserve"> Ils ne comprennent pas les documents qui, de par leur nature, sont toujours publiés à une date rapprochée de celle des </w:t>
            </w:r>
            <w:r w:rsidR="00B64C83" w:rsidRPr="00C756AD">
              <w:rPr>
                <w:sz w:val="16"/>
              </w:rPr>
              <w:t>a</w:t>
            </w:r>
            <w:r w:rsidRPr="00C756AD">
              <w:rPr>
                <w:sz w:val="16"/>
              </w:rPr>
              <w:t>ssemblés (p.</w:t>
            </w:r>
            <w:r w:rsidR="0010442A" w:rsidRPr="00C756AD">
              <w:rPr>
                <w:sz w:val="16"/>
              </w:rPr>
              <w:t> </w:t>
            </w:r>
            <w:r w:rsidRPr="00C756AD">
              <w:rPr>
                <w:sz w:val="16"/>
              </w:rPr>
              <w:t>ex. la liste des participants, la liste des documents, la liste des membres du Bureau et le résumé des décisions prises par</w:t>
            </w:r>
            <w:r w:rsidR="00A20444" w:rsidRPr="00C756AD">
              <w:rPr>
                <w:sz w:val="16"/>
              </w:rPr>
              <w:t xml:space="preserve"> le PBC</w:t>
            </w:r>
            <w:r w:rsidRPr="00C756AD">
              <w:rPr>
                <w:sz w:val="16"/>
              </w:rPr>
              <w:t xml:space="preserve"> en septembre).</w:t>
            </w:r>
          </w:p>
        </w:tc>
        <w:tc>
          <w:tcPr>
            <w:tcW w:w="648" w:type="pct"/>
            <w:tcBorders>
              <w:bottom w:val="single" w:sz="4" w:space="0" w:color="auto"/>
            </w:tcBorders>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C82EE5" w:rsidRPr="002D02F3" w:rsidTr="0056083E">
        <w:trPr>
          <w:cantSplit/>
        </w:trPr>
        <w:tc>
          <w:tcPr>
            <w:tcW w:w="5000" w:type="pct"/>
            <w:gridSpan w:val="7"/>
            <w:tcBorders>
              <w:top w:val="single" w:sz="4" w:space="0" w:color="auto"/>
              <w:bottom w:val="single" w:sz="4" w:space="0" w:color="auto"/>
            </w:tcBorders>
            <w:shd w:val="clear" w:color="auto" w:fill="CCFFFF"/>
            <w:vAlign w:val="center"/>
          </w:tcPr>
          <w:p w:rsidR="00C82EE5" w:rsidRPr="002D02F3" w:rsidRDefault="00C82EE5" w:rsidP="001A5BF9">
            <w:pPr>
              <w:keepNext/>
              <w:keepLines/>
              <w:pageBreakBefore/>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Meilleure coordination et meilleure cohésion au sein du Secrétariat</w:t>
            </w:r>
          </w:p>
        </w:tc>
      </w:tr>
      <w:tr w:rsidR="00C82EE5" w:rsidRPr="002D02F3" w:rsidTr="0056083E">
        <w:trPr>
          <w:cantSplit/>
        </w:trPr>
        <w:tc>
          <w:tcPr>
            <w:tcW w:w="789" w:type="pct"/>
            <w:tcBorders>
              <w:top w:val="single" w:sz="4" w:space="0" w:color="auto"/>
            </w:tcBorders>
            <w:shd w:val="clear" w:color="auto" w:fill="auto"/>
            <w:vAlign w:val="center"/>
          </w:tcPr>
          <w:p w:rsidR="00C82EE5" w:rsidRPr="002D02F3" w:rsidRDefault="00C82EE5" w:rsidP="001A5BF9">
            <w:pPr>
              <w:jc w:val="cente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14" w:type="pct"/>
            <w:tcBorders>
              <w:top w:val="single" w:sz="4" w:space="0" w:color="auto"/>
            </w:tcBorders>
            <w:shd w:val="clear" w:color="auto" w:fill="auto"/>
            <w:vAlign w:val="center"/>
          </w:tcPr>
          <w:p w:rsidR="00C82EE5" w:rsidRPr="002D02F3" w:rsidRDefault="00C82EE5" w:rsidP="001A5BF9">
            <w:pPr>
              <w:jc w:val="center"/>
              <w:rPr>
                <w:rFonts w:cs="Arial"/>
                <w:b/>
                <w:bCs/>
                <w:sz w:val="16"/>
                <w:szCs w:val="16"/>
              </w:rPr>
            </w:pPr>
            <w:r w:rsidRPr="002D02F3">
              <w:rPr>
                <w:b/>
                <w:sz w:val="16"/>
              </w:rPr>
              <w:t>Niveaux de référence</w:t>
            </w:r>
          </w:p>
        </w:tc>
        <w:tc>
          <w:tcPr>
            <w:tcW w:w="834" w:type="pct"/>
            <w:gridSpan w:val="2"/>
            <w:tcBorders>
              <w:top w:val="single" w:sz="4" w:space="0" w:color="auto"/>
            </w:tcBorders>
            <w:shd w:val="clear" w:color="auto" w:fill="auto"/>
            <w:tcMar>
              <w:top w:w="110" w:type="dxa"/>
            </w:tcMar>
            <w:vAlign w:val="center"/>
          </w:tcPr>
          <w:p w:rsidR="00C82EE5" w:rsidRPr="002D02F3" w:rsidRDefault="00C82EE5" w:rsidP="001A5BF9">
            <w:pPr>
              <w:jc w:val="center"/>
              <w:rPr>
                <w:rFonts w:cs="Arial"/>
                <w:b/>
                <w:sz w:val="16"/>
                <w:szCs w:val="16"/>
              </w:rPr>
            </w:pPr>
            <w:r w:rsidRPr="002D02F3">
              <w:rPr>
                <w:b/>
                <w:sz w:val="16"/>
              </w:rPr>
              <w:t>Objectifs visés</w:t>
            </w:r>
          </w:p>
        </w:tc>
        <w:tc>
          <w:tcPr>
            <w:tcW w:w="1815" w:type="pct"/>
            <w:gridSpan w:val="2"/>
            <w:tcBorders>
              <w:top w:val="single" w:sz="4" w:space="0" w:color="auto"/>
            </w:tcBorders>
            <w:shd w:val="clear" w:color="auto" w:fill="FFFFFF"/>
            <w:tcMar>
              <w:top w:w="110" w:type="dxa"/>
            </w:tcMar>
            <w:vAlign w:val="center"/>
          </w:tcPr>
          <w:p w:rsidR="00C82EE5" w:rsidRPr="002D02F3" w:rsidRDefault="00C82EE5" w:rsidP="001A5BF9">
            <w:pPr>
              <w:jc w:val="cente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48" w:type="pct"/>
            <w:tcBorders>
              <w:top w:val="single" w:sz="4" w:space="0" w:color="auto"/>
            </w:tcBorders>
            <w:shd w:val="clear" w:color="auto" w:fill="auto"/>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56083E">
        <w:trPr>
          <w:cantSplit/>
        </w:trPr>
        <w:tc>
          <w:tcPr>
            <w:tcW w:w="789" w:type="pct"/>
            <w:shd w:val="clear" w:color="auto" w:fill="auto"/>
          </w:tcPr>
          <w:p w:rsidR="00C82EE5" w:rsidRPr="00E519E2" w:rsidRDefault="00C82EE5" w:rsidP="001A5BF9">
            <w:pPr>
              <w:rPr>
                <w:rFonts w:cs="Arial"/>
                <w:sz w:val="16"/>
                <w:szCs w:val="16"/>
              </w:rPr>
            </w:pPr>
            <w:r w:rsidRPr="00E519E2">
              <w:rPr>
                <w:sz w:val="16"/>
              </w:rPr>
              <w:t>Achèvement</w:t>
            </w:r>
            <w:r w:rsidR="00A20444" w:rsidRPr="00E519E2">
              <w:rPr>
                <w:sz w:val="16"/>
              </w:rPr>
              <w:t xml:space="preserve"> du PRS</w:t>
            </w:r>
            <w:r w:rsidRPr="00E519E2">
              <w:rPr>
                <w:sz w:val="16"/>
              </w:rPr>
              <w:t xml:space="preserve"> </w:t>
            </w:r>
          </w:p>
        </w:tc>
        <w:tc>
          <w:tcPr>
            <w:tcW w:w="914" w:type="pct"/>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00E519E2">
              <w:rPr>
                <w:color w:val="002060"/>
                <w:sz w:val="16"/>
              </w:rPr>
              <w:t>u</w:t>
            </w:r>
            <w:r w:rsidRPr="005C7CCE">
              <w:rPr>
                <w:color w:val="002060"/>
                <w:sz w:val="16"/>
              </w:rPr>
              <w:t>ne initiative sur 19 achevée (PSMT)</w:t>
            </w:r>
          </w:p>
          <w:p w:rsidR="00D42474" w:rsidRDefault="00D42474" w:rsidP="001A5BF9">
            <w:pPr>
              <w:rPr>
                <w:rFonts w:cs="Arial"/>
                <w:i/>
                <w:color w:val="002060"/>
                <w:sz w:val="8"/>
                <w:szCs w:val="8"/>
              </w:rPr>
            </w:pPr>
          </w:p>
          <w:p w:rsidR="00C82EE5" w:rsidRPr="005C7CCE" w:rsidRDefault="00C82EE5" w:rsidP="001A5BF9">
            <w:pPr>
              <w:rPr>
                <w:rFonts w:cs="Arial"/>
                <w:color w:val="000000"/>
                <w:sz w:val="16"/>
                <w:szCs w:val="16"/>
              </w:rPr>
            </w:pPr>
            <w:r w:rsidRPr="005C7CCE">
              <w:rPr>
                <w:i/>
                <w:color w:val="000000"/>
                <w:sz w:val="16"/>
              </w:rPr>
              <w:t xml:space="preserve">Niveau de référence initial </w:t>
            </w:r>
            <w:r w:rsidR="00667FB3">
              <w:rPr>
                <w:i/>
                <w:color w:val="000000"/>
                <w:sz w:val="16"/>
              </w:rPr>
              <w:t>programme et budget</w:t>
            </w:r>
            <w:r w:rsidRPr="005C7CCE">
              <w:rPr>
                <w:i/>
                <w:color w:val="000000"/>
                <w:sz w:val="16"/>
              </w:rPr>
              <w:t> 2012</w:t>
            </w:r>
            <w:r w:rsidR="002D6F2A" w:rsidRPr="005C7CCE">
              <w:rPr>
                <w:i/>
                <w:color w:val="000000"/>
                <w:sz w:val="16"/>
              </w:rPr>
              <w:noBreakHyphen/>
            </w:r>
            <w:r w:rsidRPr="005C7CCE">
              <w:rPr>
                <w:i/>
                <w:color w:val="000000"/>
                <w:sz w:val="16"/>
              </w:rPr>
              <w:t xml:space="preserve">2013 : </w:t>
            </w:r>
            <w:r w:rsidRPr="005C7CCE">
              <w:br/>
            </w:r>
            <w:r w:rsidR="00E519E2">
              <w:rPr>
                <w:color w:val="000000"/>
                <w:sz w:val="16"/>
              </w:rPr>
              <w:t>u</w:t>
            </w:r>
            <w:r w:rsidRPr="005C7CCE">
              <w:rPr>
                <w:color w:val="000000"/>
                <w:sz w:val="16"/>
              </w:rPr>
              <w:t>ne initiative sur 19 achevée en</w:t>
            </w:r>
            <w:r w:rsidR="0010442A" w:rsidRPr="005C7CCE">
              <w:rPr>
                <w:color w:val="000000"/>
                <w:sz w:val="16"/>
              </w:rPr>
              <w:t> </w:t>
            </w:r>
            <w:r w:rsidRPr="005C7CCE">
              <w:rPr>
                <w:color w:val="000000"/>
                <w:sz w:val="16"/>
              </w:rPr>
              <w:t>2010</w:t>
            </w:r>
          </w:p>
        </w:tc>
        <w:tc>
          <w:tcPr>
            <w:tcW w:w="834" w:type="pct"/>
            <w:gridSpan w:val="2"/>
            <w:shd w:val="clear" w:color="auto" w:fill="auto"/>
            <w:tcMar>
              <w:top w:w="110" w:type="dxa"/>
            </w:tcMar>
          </w:tcPr>
          <w:p w:rsidR="00D42474" w:rsidRDefault="00C82EE5" w:rsidP="001A5BF9">
            <w:pPr>
              <w:autoSpaceDE w:val="0"/>
              <w:autoSpaceDN w:val="0"/>
              <w:adjustRightInd w:val="0"/>
              <w:rPr>
                <w:rFonts w:ascii="ArialMT" w:hAnsi="ArialMT" w:cs="ArialMT"/>
                <w:sz w:val="16"/>
                <w:szCs w:val="16"/>
              </w:rPr>
            </w:pPr>
            <w:r w:rsidRPr="005C7CCE">
              <w:rPr>
                <w:rFonts w:ascii="ArialMT" w:hAnsi="ArialMT"/>
                <w:sz w:val="16"/>
              </w:rPr>
              <w:t>Toutes les initiatives</w:t>
            </w:r>
          </w:p>
          <w:p w:rsidR="00C82EE5" w:rsidRPr="005C7CCE" w:rsidRDefault="00C82EE5" w:rsidP="001A5BF9">
            <w:pPr>
              <w:rPr>
                <w:rFonts w:cs="Arial"/>
                <w:sz w:val="16"/>
                <w:szCs w:val="16"/>
              </w:rPr>
            </w:pPr>
            <w:r w:rsidRPr="005C7CCE">
              <w:rPr>
                <w:rFonts w:ascii="ArialMT" w:hAnsi="ArialMT"/>
                <w:sz w:val="16"/>
              </w:rPr>
              <w:t>ont été achevées</w:t>
            </w:r>
            <w:r w:rsidRPr="005C7CCE">
              <w:rPr>
                <w:sz w:val="16"/>
              </w:rPr>
              <w:t xml:space="preserve"> </w:t>
            </w:r>
          </w:p>
        </w:tc>
        <w:tc>
          <w:tcPr>
            <w:tcW w:w="1815" w:type="pct"/>
            <w:gridSpan w:val="2"/>
            <w:shd w:val="clear" w:color="auto" w:fill="FFFFFF"/>
            <w:tcMar>
              <w:top w:w="110" w:type="dxa"/>
            </w:tcMar>
          </w:tcPr>
          <w:p w:rsidR="00C82EE5" w:rsidRPr="00E519E2" w:rsidRDefault="00C82EE5" w:rsidP="001A5BF9">
            <w:pPr>
              <w:rPr>
                <w:rFonts w:cs="Arial"/>
                <w:sz w:val="16"/>
                <w:szCs w:val="16"/>
              </w:rPr>
            </w:pPr>
            <w:r w:rsidRPr="00E519E2">
              <w:rPr>
                <w:sz w:val="16"/>
              </w:rPr>
              <w:t>Sur 19 initiatives, 17 ont été achevées et chaque projet a été intégré dans les plans de travail de l</w:t>
            </w:r>
            <w:r w:rsidR="00A20444" w:rsidRPr="00E519E2">
              <w:rPr>
                <w:sz w:val="16"/>
              </w:rPr>
              <w:t>’</w:t>
            </w:r>
            <w:r w:rsidRPr="00E519E2">
              <w:rPr>
                <w:sz w:val="16"/>
              </w:rPr>
              <w:t xml:space="preserve">Organisation. </w:t>
            </w:r>
            <w:r w:rsidR="0010442A" w:rsidRPr="00E519E2">
              <w:rPr>
                <w:sz w:val="16"/>
              </w:rPr>
              <w:t xml:space="preserve"> </w:t>
            </w:r>
            <w:r w:rsidRPr="00E519E2">
              <w:rPr>
                <w:sz w:val="16"/>
              </w:rPr>
              <w:t>La portée</w:t>
            </w:r>
            <w:r w:rsidR="00A20444" w:rsidRPr="00E519E2">
              <w:rPr>
                <w:sz w:val="16"/>
              </w:rPr>
              <w:t xml:space="preserve"> du PRS</w:t>
            </w:r>
            <w:r w:rsidRPr="00E519E2">
              <w:rPr>
                <w:sz w:val="16"/>
              </w:rPr>
              <w:t xml:space="preserve"> des deux</w:t>
            </w:r>
            <w:r w:rsidR="0010442A" w:rsidRPr="00E519E2">
              <w:rPr>
                <w:sz w:val="16"/>
              </w:rPr>
              <w:t> </w:t>
            </w:r>
            <w:r w:rsidRPr="00E519E2">
              <w:rPr>
                <w:sz w:val="16"/>
              </w:rPr>
              <w:t xml:space="preserve">projets restants, le projet ERP et le projet de communication interne, a été livrée. </w:t>
            </w:r>
            <w:r w:rsidR="0010442A" w:rsidRPr="00E519E2">
              <w:rPr>
                <w:sz w:val="16"/>
              </w:rPr>
              <w:t xml:space="preserve"> </w:t>
            </w:r>
            <w:r w:rsidRPr="00E519E2">
              <w:rPr>
                <w:sz w:val="16"/>
              </w:rPr>
              <w:t>Ces projets se poursuivent indépendamment</w:t>
            </w:r>
            <w:r w:rsidR="00A20444" w:rsidRPr="00E519E2">
              <w:rPr>
                <w:sz w:val="16"/>
              </w:rPr>
              <w:t xml:space="preserve"> du PRS</w:t>
            </w:r>
            <w:r w:rsidRPr="00E519E2">
              <w:rPr>
                <w:sz w:val="16"/>
              </w:rPr>
              <w:t xml:space="preserve">. </w:t>
            </w:r>
            <w:r w:rsidR="0010442A" w:rsidRPr="00E519E2">
              <w:rPr>
                <w:sz w:val="16"/>
              </w:rPr>
              <w:t xml:space="preserve"> </w:t>
            </w:r>
          </w:p>
        </w:tc>
        <w:tc>
          <w:tcPr>
            <w:tcW w:w="648" w:type="pct"/>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C82EE5" w:rsidRPr="005C7CCE" w:rsidTr="0056083E">
        <w:trPr>
          <w:cantSplit/>
        </w:trPr>
        <w:tc>
          <w:tcPr>
            <w:tcW w:w="789" w:type="pct"/>
            <w:shd w:val="clear" w:color="auto" w:fill="auto"/>
          </w:tcPr>
          <w:p w:rsidR="00C82EE5" w:rsidRPr="00E519E2" w:rsidRDefault="00C82EE5" w:rsidP="001A5BF9">
            <w:pPr>
              <w:rPr>
                <w:rFonts w:cs="Arial"/>
                <w:sz w:val="16"/>
                <w:szCs w:val="16"/>
              </w:rPr>
            </w:pPr>
            <w:r w:rsidRPr="00E519E2">
              <w:rPr>
                <w:sz w:val="16"/>
              </w:rPr>
              <w:t>Réalisation des résultats de niveau de valeur</w:t>
            </w:r>
            <w:r w:rsidR="00A20444" w:rsidRPr="00E519E2">
              <w:rPr>
                <w:sz w:val="16"/>
              </w:rPr>
              <w:t xml:space="preserve"> du PRS</w:t>
            </w:r>
            <w:r w:rsidRPr="00E519E2">
              <w:rPr>
                <w:sz w:val="16"/>
              </w:rPr>
              <w:t xml:space="preserve">. </w:t>
            </w:r>
            <w:r w:rsidR="0010442A" w:rsidRPr="00E519E2">
              <w:rPr>
                <w:sz w:val="16"/>
              </w:rPr>
              <w:t xml:space="preserve"> </w:t>
            </w:r>
            <w:r w:rsidRPr="00E519E2">
              <w:rPr>
                <w:sz w:val="16"/>
              </w:rPr>
              <w:t>Perception du personnel que l</w:t>
            </w:r>
            <w:r w:rsidR="00A20444" w:rsidRPr="00E519E2">
              <w:rPr>
                <w:sz w:val="16"/>
              </w:rPr>
              <w:t>’</w:t>
            </w:r>
            <w:r w:rsidRPr="00E519E2">
              <w:rPr>
                <w:sz w:val="16"/>
              </w:rPr>
              <w:t>OMPI est une bonne/excellente organisation à une certaine valeur</w:t>
            </w:r>
          </w:p>
        </w:tc>
        <w:tc>
          <w:tcPr>
            <w:tcW w:w="914" w:type="pct"/>
            <w:shd w:val="clear" w:color="auto" w:fill="auto"/>
          </w:tcPr>
          <w:p w:rsidR="00D42474" w:rsidRDefault="00C82EE5" w:rsidP="001A5BF9">
            <w:pPr>
              <w:rPr>
                <w:i/>
                <w:color w:val="002060"/>
                <w:sz w:val="16"/>
              </w:rPr>
            </w:pPr>
            <w:r w:rsidRPr="005C7CCE">
              <w:rPr>
                <w:i/>
                <w:color w:val="002060"/>
                <w:sz w:val="16"/>
              </w:rPr>
              <w:t>Niveau de référence actualisé fin 2011 :</w:t>
            </w:r>
          </w:p>
          <w:p w:rsidR="00D42474" w:rsidRDefault="00C82EE5" w:rsidP="001A5BF9">
            <w:pPr>
              <w:rPr>
                <w:rFonts w:eastAsia="SimSun" w:cs="Arial"/>
                <w:color w:val="002060"/>
                <w:sz w:val="16"/>
                <w:szCs w:val="16"/>
              </w:rPr>
            </w:pPr>
            <w:r w:rsidRPr="00E519E2">
              <w:rPr>
                <w:color w:val="002060"/>
                <w:sz w:val="16"/>
              </w:rPr>
              <w:t>Orientation vers les services</w:t>
            </w:r>
            <w:r w:rsidR="0010442A" w:rsidRPr="00E519E2">
              <w:rPr>
                <w:color w:val="002060"/>
                <w:sz w:val="16"/>
              </w:rPr>
              <w:t> </w:t>
            </w:r>
            <w:r w:rsidRPr="00E519E2">
              <w:rPr>
                <w:color w:val="002060"/>
                <w:sz w:val="16"/>
              </w:rPr>
              <w:t>: 45</w:t>
            </w:r>
            <w:r w:rsidR="007E442D" w:rsidRPr="00E519E2">
              <w:rPr>
                <w:color w:val="002060"/>
                <w:sz w:val="16"/>
              </w:rPr>
              <w:t>%</w:t>
            </w:r>
            <w:r w:rsidRPr="00E519E2">
              <w:rPr>
                <w:rStyle w:val="FootnoteReference"/>
                <w:color w:val="002060"/>
                <w:sz w:val="16"/>
              </w:rPr>
              <w:footnoteReference w:id="39"/>
            </w:r>
          </w:p>
          <w:p w:rsidR="00D42474" w:rsidRDefault="00C82EE5" w:rsidP="001A5BF9">
            <w:pPr>
              <w:rPr>
                <w:rFonts w:eastAsia="SimSun" w:cs="Arial"/>
                <w:color w:val="002060"/>
                <w:sz w:val="16"/>
                <w:szCs w:val="16"/>
              </w:rPr>
            </w:pPr>
            <w:r w:rsidRPr="00E519E2">
              <w:rPr>
                <w:color w:val="002060"/>
                <w:sz w:val="16"/>
              </w:rPr>
              <w:t>Unis dans l</w:t>
            </w:r>
            <w:r w:rsidR="00A20444" w:rsidRPr="00E519E2">
              <w:rPr>
                <w:color w:val="002060"/>
                <w:sz w:val="16"/>
              </w:rPr>
              <w:t>’</w:t>
            </w:r>
            <w:r w:rsidRPr="00E519E2">
              <w:rPr>
                <w:color w:val="002060"/>
                <w:sz w:val="16"/>
              </w:rPr>
              <w:t>action 37</w:t>
            </w:r>
            <w:r w:rsidR="007E442D" w:rsidRPr="00E519E2">
              <w:rPr>
                <w:color w:val="002060"/>
                <w:sz w:val="16"/>
              </w:rPr>
              <w:t>%</w:t>
            </w:r>
            <w:r w:rsidRPr="00E519E2">
              <w:rPr>
                <w:color w:val="002060"/>
                <w:sz w:val="16"/>
              </w:rPr>
              <w:t>*</w:t>
            </w:r>
          </w:p>
          <w:p w:rsidR="00D42474" w:rsidRDefault="00C82EE5" w:rsidP="001A5BF9">
            <w:pPr>
              <w:rPr>
                <w:rFonts w:eastAsia="SimSun" w:cs="Arial"/>
                <w:color w:val="002060"/>
                <w:sz w:val="16"/>
                <w:szCs w:val="16"/>
              </w:rPr>
            </w:pPr>
            <w:r w:rsidRPr="00E519E2">
              <w:rPr>
                <w:color w:val="002060"/>
                <w:sz w:val="16"/>
              </w:rPr>
              <w:t>Responsabilité de résultat 68</w:t>
            </w:r>
            <w:r w:rsidR="007E442D" w:rsidRPr="00E519E2">
              <w:rPr>
                <w:color w:val="002060"/>
                <w:sz w:val="16"/>
              </w:rPr>
              <w:t>%</w:t>
            </w:r>
            <w:r w:rsidRPr="00E519E2">
              <w:rPr>
                <w:color w:val="002060"/>
                <w:sz w:val="16"/>
              </w:rPr>
              <w:t>*</w:t>
            </w:r>
          </w:p>
          <w:p w:rsidR="00D42474" w:rsidRDefault="00C82EE5" w:rsidP="001A5BF9">
            <w:pPr>
              <w:rPr>
                <w:rFonts w:cs="Arial"/>
                <w:i/>
                <w:color w:val="002060"/>
                <w:sz w:val="16"/>
                <w:szCs w:val="16"/>
              </w:rPr>
            </w:pPr>
            <w:r w:rsidRPr="00E519E2">
              <w:rPr>
                <w:i/>
                <w:color w:val="002060"/>
                <w:sz w:val="16"/>
              </w:rPr>
              <w:t>Responsabilité au plan de l</w:t>
            </w:r>
            <w:r w:rsidR="00A20444" w:rsidRPr="00E519E2">
              <w:rPr>
                <w:i/>
                <w:color w:val="002060"/>
                <w:sz w:val="16"/>
              </w:rPr>
              <w:t>’</w:t>
            </w:r>
            <w:r w:rsidRPr="00E519E2">
              <w:rPr>
                <w:i/>
                <w:color w:val="002060"/>
                <w:sz w:val="16"/>
              </w:rPr>
              <w:t>environnement, au plan social et au plan de la gouvernance 63</w:t>
            </w:r>
            <w:r w:rsidR="007E442D" w:rsidRPr="00E519E2">
              <w:rPr>
                <w:i/>
                <w:color w:val="002060"/>
                <w:sz w:val="16"/>
              </w:rPr>
              <w:t>%</w:t>
            </w:r>
            <w:r w:rsidRPr="00E519E2">
              <w:rPr>
                <w:i/>
                <w:color w:val="002060"/>
                <w:sz w:val="16"/>
              </w:rPr>
              <w:t>*</w:t>
            </w:r>
          </w:p>
          <w:p w:rsidR="00D42474" w:rsidRDefault="00D42474" w:rsidP="001A5BF9">
            <w:pPr>
              <w:rPr>
                <w:rFonts w:cs="Arial"/>
                <w:i/>
                <w:color w:val="002060"/>
                <w:sz w:val="8"/>
                <w:szCs w:val="8"/>
              </w:rPr>
            </w:pPr>
          </w:p>
          <w:p w:rsidR="00C82EE5" w:rsidRPr="005C7CCE" w:rsidRDefault="00C82EE5" w:rsidP="00E519E2">
            <w:pPr>
              <w:rPr>
                <w:rFonts w:cs="Arial"/>
                <w:color w:val="000000"/>
                <w:sz w:val="16"/>
                <w:szCs w:val="16"/>
              </w:rPr>
            </w:pPr>
            <w:r w:rsidRPr="005C7CCE">
              <w:rPr>
                <w:i/>
                <w:color w:val="000000"/>
                <w:sz w:val="16"/>
              </w:rPr>
              <w:t xml:space="preserve">Niveau de référence initial </w:t>
            </w:r>
            <w:r w:rsidR="00667FB3">
              <w:rPr>
                <w:i/>
                <w:color w:val="000000"/>
                <w:sz w:val="16"/>
              </w:rPr>
              <w:t>programme et budget</w:t>
            </w:r>
            <w:r w:rsidRPr="005C7CCE">
              <w:rPr>
                <w:i/>
                <w:color w:val="000000"/>
                <w:sz w:val="16"/>
              </w:rPr>
              <w:t> 2012</w:t>
            </w:r>
            <w:r w:rsidR="002D6F2A" w:rsidRPr="005C7CCE">
              <w:rPr>
                <w:i/>
                <w:color w:val="000000"/>
                <w:sz w:val="16"/>
              </w:rPr>
              <w:noBreakHyphen/>
            </w:r>
            <w:r w:rsidRPr="005C7CCE">
              <w:rPr>
                <w:i/>
                <w:color w:val="000000"/>
                <w:sz w:val="16"/>
              </w:rPr>
              <w:t xml:space="preserve">2013 : </w:t>
            </w:r>
            <w:r w:rsidRPr="005C7CCE">
              <w:br/>
            </w:r>
            <w:r w:rsidR="00E519E2">
              <w:rPr>
                <w:color w:val="000000"/>
                <w:sz w:val="16"/>
              </w:rPr>
              <w:t>v</w:t>
            </w:r>
            <w:r w:rsidRPr="005C7CCE">
              <w:rPr>
                <w:color w:val="000000"/>
                <w:sz w:val="16"/>
              </w:rPr>
              <w:t>oir l</w:t>
            </w:r>
            <w:r w:rsidR="00A20444" w:rsidRPr="005C7CCE">
              <w:rPr>
                <w:color w:val="000000"/>
                <w:sz w:val="16"/>
              </w:rPr>
              <w:t>’</w:t>
            </w:r>
            <w:r w:rsidRPr="005C7CCE">
              <w:rPr>
                <w:color w:val="000000"/>
                <w:sz w:val="16"/>
              </w:rPr>
              <w:t>annexe sur le rapport des niveaux de référence</w:t>
            </w:r>
            <w:r w:rsidR="00A20444" w:rsidRPr="005C7CCE">
              <w:rPr>
                <w:color w:val="000000"/>
                <w:sz w:val="16"/>
              </w:rPr>
              <w:t xml:space="preserve"> du PRS</w:t>
            </w:r>
            <w:r w:rsidRPr="005C7CCE">
              <w:rPr>
                <w:color w:val="000000"/>
                <w:sz w:val="16"/>
              </w:rPr>
              <w:t xml:space="preserve"> (URL)</w:t>
            </w:r>
          </w:p>
        </w:tc>
        <w:tc>
          <w:tcPr>
            <w:tcW w:w="834" w:type="pct"/>
            <w:gridSpan w:val="2"/>
            <w:shd w:val="clear" w:color="auto" w:fill="auto"/>
            <w:tcMar>
              <w:top w:w="110" w:type="dxa"/>
            </w:tcMar>
          </w:tcPr>
          <w:p w:rsidR="00D42474" w:rsidRDefault="00C82EE5" w:rsidP="001A5BF9">
            <w:pPr>
              <w:autoSpaceDE w:val="0"/>
              <w:autoSpaceDN w:val="0"/>
              <w:adjustRightInd w:val="0"/>
              <w:rPr>
                <w:rFonts w:ascii="ArialMT" w:hAnsi="ArialMT" w:cs="ArialMT"/>
                <w:sz w:val="16"/>
                <w:szCs w:val="16"/>
              </w:rPr>
            </w:pPr>
            <w:r w:rsidRPr="005C7CCE">
              <w:rPr>
                <w:rFonts w:ascii="ArialMT" w:hAnsi="ArialMT"/>
                <w:sz w:val="16"/>
              </w:rPr>
              <w:t>75</w:t>
            </w:r>
            <w:r w:rsidR="007E442D" w:rsidRPr="005C7CCE">
              <w:rPr>
                <w:rFonts w:ascii="ArialMT" w:hAnsi="ArialMT"/>
                <w:sz w:val="16"/>
              </w:rPr>
              <w:t>%</w:t>
            </w:r>
            <w:r w:rsidRPr="005C7CCE">
              <w:rPr>
                <w:rFonts w:ascii="ArialMT" w:hAnsi="ArialMT"/>
                <w:sz w:val="16"/>
              </w:rPr>
              <w:t xml:space="preserve"> des résultats</w:t>
            </w:r>
          </w:p>
          <w:p w:rsidR="00D42474" w:rsidRDefault="00C82EE5" w:rsidP="001A5BF9">
            <w:pPr>
              <w:autoSpaceDE w:val="0"/>
              <w:autoSpaceDN w:val="0"/>
              <w:adjustRightInd w:val="0"/>
              <w:rPr>
                <w:rFonts w:ascii="ArialMT" w:hAnsi="ArialMT" w:cs="ArialMT"/>
                <w:sz w:val="16"/>
                <w:szCs w:val="16"/>
              </w:rPr>
            </w:pPr>
            <w:r w:rsidRPr="005C7CCE">
              <w:rPr>
                <w:rFonts w:ascii="ArialMT" w:hAnsi="ArialMT"/>
                <w:sz w:val="16"/>
              </w:rPr>
              <w:t>atteints (réf. : tableau de bord</w:t>
            </w:r>
          </w:p>
          <w:p w:rsidR="00D42474" w:rsidRDefault="00C82EE5" w:rsidP="001A5BF9">
            <w:pPr>
              <w:autoSpaceDE w:val="0"/>
              <w:autoSpaceDN w:val="0"/>
              <w:adjustRightInd w:val="0"/>
              <w:rPr>
                <w:rFonts w:ascii="ArialMT" w:hAnsi="ArialMT" w:cs="ArialMT"/>
                <w:sz w:val="16"/>
                <w:szCs w:val="16"/>
              </w:rPr>
            </w:pPr>
            <w:r w:rsidRPr="005C7CCE">
              <w:rPr>
                <w:rFonts w:ascii="ArialMT" w:hAnsi="ArialMT"/>
                <w:sz w:val="16"/>
              </w:rPr>
              <w:t>du cadre de résultats du</w:t>
            </w:r>
          </w:p>
          <w:p w:rsidR="00C82EE5" w:rsidRPr="005C7CCE" w:rsidRDefault="00C82EE5" w:rsidP="001A5BF9">
            <w:pPr>
              <w:rPr>
                <w:rFonts w:cs="Arial"/>
                <w:sz w:val="16"/>
                <w:szCs w:val="16"/>
              </w:rPr>
            </w:pPr>
            <w:r w:rsidRPr="005C7CCE">
              <w:rPr>
                <w:rFonts w:ascii="ArialMT" w:hAnsi="ArialMT"/>
                <w:sz w:val="16"/>
              </w:rPr>
              <w:t>PRS)</w:t>
            </w:r>
          </w:p>
        </w:tc>
        <w:tc>
          <w:tcPr>
            <w:tcW w:w="1815" w:type="pct"/>
            <w:gridSpan w:val="2"/>
            <w:shd w:val="clear" w:color="auto" w:fill="FFFFFF"/>
            <w:tcMar>
              <w:top w:w="110" w:type="dxa"/>
            </w:tcMar>
          </w:tcPr>
          <w:p w:rsidR="00D42474" w:rsidRDefault="00C82EE5" w:rsidP="001A5BF9">
            <w:pPr>
              <w:spacing w:after="80"/>
              <w:rPr>
                <w:rFonts w:cs="Arial"/>
                <w:sz w:val="16"/>
                <w:szCs w:val="16"/>
              </w:rPr>
            </w:pPr>
            <w:r w:rsidRPr="00E519E2">
              <w:rPr>
                <w:sz w:val="16"/>
              </w:rPr>
              <w:t>Orientation vers les services : 56</w:t>
            </w:r>
            <w:r w:rsidR="007E442D" w:rsidRPr="00E519E2">
              <w:rPr>
                <w:sz w:val="16"/>
              </w:rPr>
              <w:t>%</w:t>
            </w:r>
            <w:r w:rsidRPr="00E519E2">
              <w:rPr>
                <w:rStyle w:val="FootnoteReference"/>
                <w:sz w:val="16"/>
              </w:rPr>
              <w:footnoteReference w:customMarkFollows="1" w:id="40"/>
              <w:t>[1]</w:t>
            </w:r>
          </w:p>
          <w:p w:rsidR="00D42474" w:rsidRDefault="00C82EE5" w:rsidP="001A5BF9">
            <w:pPr>
              <w:spacing w:after="80"/>
              <w:rPr>
                <w:rFonts w:cs="Arial"/>
                <w:sz w:val="16"/>
                <w:szCs w:val="16"/>
              </w:rPr>
            </w:pPr>
            <w:r w:rsidRPr="00E519E2">
              <w:rPr>
                <w:sz w:val="16"/>
              </w:rPr>
              <w:t>Unis dans l</w:t>
            </w:r>
            <w:r w:rsidR="00A20444" w:rsidRPr="00E519E2">
              <w:rPr>
                <w:sz w:val="16"/>
              </w:rPr>
              <w:t>’</w:t>
            </w:r>
            <w:r w:rsidRPr="00E519E2">
              <w:rPr>
                <w:sz w:val="16"/>
              </w:rPr>
              <w:t>action</w:t>
            </w:r>
            <w:r w:rsidR="0010442A" w:rsidRPr="00E519E2">
              <w:rPr>
                <w:sz w:val="16"/>
              </w:rPr>
              <w:t> </w:t>
            </w:r>
            <w:r w:rsidRPr="00E519E2">
              <w:rPr>
                <w:sz w:val="16"/>
              </w:rPr>
              <w:t>: 55</w:t>
            </w:r>
            <w:r w:rsidR="007E442D" w:rsidRPr="00E519E2">
              <w:rPr>
                <w:sz w:val="16"/>
              </w:rPr>
              <w:t>%</w:t>
            </w:r>
          </w:p>
          <w:p w:rsidR="00D42474" w:rsidRDefault="00C82EE5" w:rsidP="001A5BF9">
            <w:pPr>
              <w:spacing w:after="80"/>
              <w:rPr>
                <w:rFonts w:cs="Arial"/>
                <w:sz w:val="16"/>
                <w:szCs w:val="16"/>
              </w:rPr>
            </w:pPr>
            <w:r w:rsidRPr="00E519E2">
              <w:rPr>
                <w:sz w:val="16"/>
              </w:rPr>
              <w:t>Responsabilité de résultat</w:t>
            </w:r>
            <w:r w:rsidR="0010442A" w:rsidRPr="00E519E2">
              <w:rPr>
                <w:sz w:val="16"/>
              </w:rPr>
              <w:t> </w:t>
            </w:r>
            <w:r w:rsidRPr="00E519E2">
              <w:rPr>
                <w:sz w:val="16"/>
              </w:rPr>
              <w:t>: 80</w:t>
            </w:r>
            <w:r w:rsidR="007E442D" w:rsidRPr="00E519E2">
              <w:rPr>
                <w:sz w:val="16"/>
              </w:rPr>
              <w:t>%</w:t>
            </w:r>
          </w:p>
          <w:p w:rsidR="00D42474" w:rsidRDefault="00C82EE5" w:rsidP="001A5BF9">
            <w:pPr>
              <w:rPr>
                <w:sz w:val="16"/>
              </w:rPr>
            </w:pPr>
            <w:r w:rsidRPr="00E519E2">
              <w:rPr>
                <w:sz w:val="16"/>
              </w:rPr>
              <w:t>Responsabilité environnementale, sociale</w:t>
            </w:r>
          </w:p>
          <w:p w:rsidR="00C82EE5" w:rsidRPr="00E519E2" w:rsidRDefault="00C82EE5" w:rsidP="001A5BF9">
            <w:pPr>
              <w:rPr>
                <w:rFonts w:cs="Arial"/>
                <w:sz w:val="16"/>
                <w:szCs w:val="16"/>
              </w:rPr>
            </w:pPr>
            <w:r w:rsidRPr="00E519E2">
              <w:rPr>
                <w:sz w:val="16"/>
              </w:rPr>
              <w:t>et en matière de gouvernance : 70</w:t>
            </w:r>
            <w:r w:rsidR="007E442D" w:rsidRPr="00E519E2">
              <w:rPr>
                <w:sz w:val="16"/>
              </w:rPr>
              <w:t>%</w:t>
            </w:r>
            <w:r w:rsidRPr="00E519E2">
              <w:rPr>
                <w:rStyle w:val="FootnoteReference"/>
                <w:sz w:val="16"/>
              </w:rPr>
              <w:footnoteReference w:customMarkFollows="1" w:id="41"/>
              <w:t>[2]</w:t>
            </w:r>
          </w:p>
        </w:tc>
        <w:tc>
          <w:tcPr>
            <w:tcW w:w="648" w:type="pct"/>
            <w:shd w:val="clear" w:color="auto" w:fill="auto"/>
            <w:tcMar>
              <w:top w:w="110" w:type="dxa"/>
            </w:tcMar>
          </w:tcPr>
          <w:p w:rsidR="00C82EE5" w:rsidRPr="005C7CCE" w:rsidRDefault="00C82EE5" w:rsidP="001A5BF9">
            <w:pPr>
              <w:keepNext/>
              <w:keepLines/>
              <w:jc w:val="center"/>
              <w:rPr>
                <w:rStyle w:val="Style5"/>
                <w:rFonts w:ascii="Arial" w:hAnsi="Arial" w:cs="Arial"/>
                <w:color w:val="008000"/>
                <w:sz w:val="16"/>
                <w:szCs w:val="16"/>
              </w:rPr>
            </w:pPr>
            <w:r w:rsidRPr="00B470C6">
              <w:rPr>
                <w:rStyle w:val="Style5"/>
                <w:rFonts w:ascii="Arial" w:hAnsi="Arial"/>
                <w:color w:val="008000"/>
                <w:sz w:val="16"/>
              </w:rPr>
              <w:t>Objectif pleinement atteint</w:t>
            </w:r>
          </w:p>
        </w:tc>
      </w:tr>
      <w:tr w:rsidR="00C82EE5" w:rsidRPr="005C7CCE" w:rsidTr="0056083E">
        <w:trPr>
          <w:cantSplit/>
        </w:trPr>
        <w:tc>
          <w:tcPr>
            <w:tcW w:w="789" w:type="pct"/>
            <w:shd w:val="clear" w:color="auto" w:fill="auto"/>
          </w:tcPr>
          <w:p w:rsidR="00C82EE5" w:rsidRPr="00E519E2" w:rsidRDefault="00C82EE5" w:rsidP="001A5BF9">
            <w:pPr>
              <w:rPr>
                <w:rFonts w:cs="Arial"/>
                <w:sz w:val="16"/>
                <w:szCs w:val="16"/>
              </w:rPr>
            </w:pPr>
            <w:r w:rsidRPr="00E519E2">
              <w:rPr>
                <w:sz w:val="16"/>
              </w:rPr>
              <w:t>Pourcentage de demandes d</w:t>
            </w:r>
            <w:r w:rsidR="00A20444" w:rsidRPr="00E519E2">
              <w:rPr>
                <w:sz w:val="16"/>
              </w:rPr>
              <w:t>’</w:t>
            </w:r>
            <w:r w:rsidRPr="00E519E2">
              <w:rPr>
                <w:sz w:val="16"/>
              </w:rPr>
              <w:t xml:space="preserve">avis juridique qui reçoivent des réponses </w:t>
            </w:r>
            <w:r w:rsidRPr="00E519E2">
              <w:rPr>
                <w:i/>
                <w:sz w:val="16"/>
              </w:rPr>
              <w:t xml:space="preserve">rapides, indépendantes et fiables </w:t>
            </w:r>
            <w:r w:rsidRPr="00E519E2">
              <w:rPr>
                <w:sz w:val="16"/>
              </w:rPr>
              <w:t>du Bureau du conseiller juridique</w:t>
            </w:r>
          </w:p>
        </w:tc>
        <w:tc>
          <w:tcPr>
            <w:tcW w:w="914" w:type="pct"/>
            <w:shd w:val="clear" w:color="auto" w:fill="auto"/>
          </w:tcPr>
          <w:p w:rsidR="00C82EE5" w:rsidRPr="005C7CCE" w:rsidRDefault="00C82EE5" w:rsidP="001A5BF9">
            <w:pPr>
              <w:rPr>
                <w:rFonts w:cs="Arial"/>
                <w:sz w:val="16"/>
                <w:szCs w:val="16"/>
              </w:rPr>
            </w:pPr>
            <w:r w:rsidRPr="005C7CCE">
              <w:rPr>
                <w:sz w:val="16"/>
              </w:rPr>
              <w:t>100</w:t>
            </w:r>
            <w:r w:rsidR="007E442D" w:rsidRPr="005C7CCE">
              <w:rPr>
                <w:sz w:val="16"/>
              </w:rPr>
              <w:t>%</w:t>
            </w:r>
          </w:p>
        </w:tc>
        <w:tc>
          <w:tcPr>
            <w:tcW w:w="834" w:type="pct"/>
            <w:gridSpan w:val="2"/>
            <w:shd w:val="clear" w:color="auto" w:fill="auto"/>
            <w:tcMar>
              <w:top w:w="110" w:type="dxa"/>
            </w:tcMar>
          </w:tcPr>
          <w:p w:rsidR="00C82EE5" w:rsidRPr="005C7CCE" w:rsidRDefault="00C82EE5" w:rsidP="001A5BF9">
            <w:pPr>
              <w:rPr>
                <w:rFonts w:eastAsia="SimSun" w:cs="Arial"/>
                <w:sz w:val="16"/>
                <w:szCs w:val="16"/>
              </w:rPr>
            </w:pPr>
            <w:r w:rsidRPr="005C7CCE">
              <w:rPr>
                <w:rFonts w:ascii="ArialMT" w:hAnsi="ArialMT"/>
                <w:sz w:val="16"/>
              </w:rPr>
              <w:t>95</w:t>
            </w:r>
            <w:r w:rsidR="007E442D" w:rsidRPr="005C7CCE">
              <w:rPr>
                <w:rFonts w:ascii="ArialMT" w:hAnsi="ArialMT"/>
                <w:sz w:val="16"/>
              </w:rPr>
              <w:t>%</w:t>
            </w:r>
          </w:p>
        </w:tc>
        <w:tc>
          <w:tcPr>
            <w:tcW w:w="1815" w:type="pct"/>
            <w:gridSpan w:val="2"/>
            <w:shd w:val="clear" w:color="auto" w:fill="FFFFFF"/>
            <w:tcMar>
              <w:top w:w="110" w:type="dxa"/>
            </w:tcMar>
          </w:tcPr>
          <w:p w:rsidR="00C82EE5" w:rsidRPr="00E519E2" w:rsidRDefault="00C82EE5" w:rsidP="001A5BF9">
            <w:pPr>
              <w:rPr>
                <w:rFonts w:cs="Arial"/>
                <w:sz w:val="16"/>
                <w:szCs w:val="16"/>
                <w:lang w:bidi="th-TH"/>
              </w:rPr>
            </w:pPr>
            <w:r w:rsidRPr="00E519E2">
              <w:rPr>
                <w:sz w:val="16"/>
              </w:rPr>
              <w:t>Malgré une augmentation du nombre de demandes d</w:t>
            </w:r>
            <w:r w:rsidR="00A20444" w:rsidRPr="00E519E2">
              <w:rPr>
                <w:sz w:val="16"/>
              </w:rPr>
              <w:t>’</w:t>
            </w:r>
            <w:r w:rsidRPr="00E519E2">
              <w:rPr>
                <w:sz w:val="16"/>
              </w:rPr>
              <w:t>avis ainsi que des domaines couverts, 98</w:t>
            </w:r>
            <w:r w:rsidR="007E442D" w:rsidRPr="00E519E2">
              <w:rPr>
                <w:sz w:val="16"/>
              </w:rPr>
              <w:t>%</w:t>
            </w:r>
            <w:r w:rsidRPr="00E519E2">
              <w:rPr>
                <w:sz w:val="16"/>
              </w:rPr>
              <w:t xml:space="preserve"> des demandes ont reçu des réponses rapides et fiables du Bureau du conseiller juridique.</w:t>
            </w:r>
          </w:p>
        </w:tc>
        <w:tc>
          <w:tcPr>
            <w:tcW w:w="648" w:type="pct"/>
            <w:shd w:val="clear" w:color="auto" w:fill="auto"/>
            <w:tcMar>
              <w:top w:w="110" w:type="dxa"/>
            </w:tcMar>
          </w:tcPr>
          <w:p w:rsidR="00C82EE5" w:rsidRPr="005C7CCE" w:rsidRDefault="00C82EE5" w:rsidP="001A5BF9">
            <w:pPr>
              <w:keepNext/>
              <w:keepLines/>
              <w:jc w:val="center"/>
              <w:rPr>
                <w:rStyle w:val="Style5"/>
                <w:rFonts w:ascii="Arial" w:hAnsi="Arial" w:cs="Arial"/>
                <w:color w:val="008000"/>
                <w:sz w:val="16"/>
                <w:szCs w:val="16"/>
              </w:rPr>
            </w:pPr>
            <w:r w:rsidRPr="00B470C6">
              <w:rPr>
                <w:rStyle w:val="Style5"/>
                <w:rFonts w:ascii="Arial" w:hAnsi="Arial"/>
                <w:color w:val="008000"/>
                <w:sz w:val="16"/>
              </w:rPr>
              <w:t>Objectif pleinement atteint</w:t>
            </w:r>
          </w:p>
        </w:tc>
      </w:tr>
      <w:tr w:rsidR="00C82EE5" w:rsidRPr="005C7CCE" w:rsidTr="0056083E">
        <w:trPr>
          <w:cantSplit/>
        </w:trPr>
        <w:tc>
          <w:tcPr>
            <w:tcW w:w="789" w:type="pct"/>
            <w:shd w:val="clear" w:color="auto" w:fill="auto"/>
          </w:tcPr>
          <w:p w:rsidR="00C82EE5" w:rsidRPr="00E519E2" w:rsidRDefault="00C82EE5" w:rsidP="001A5BF9">
            <w:pPr>
              <w:rPr>
                <w:rFonts w:cs="Arial"/>
                <w:sz w:val="16"/>
                <w:szCs w:val="16"/>
              </w:rPr>
            </w:pPr>
            <w:r w:rsidRPr="00E519E2">
              <w:rPr>
                <w:sz w:val="16"/>
              </w:rPr>
              <w:t>Pourcentage de notifications d</w:t>
            </w:r>
            <w:r w:rsidR="00A20444" w:rsidRPr="00E519E2">
              <w:rPr>
                <w:sz w:val="16"/>
              </w:rPr>
              <w:t>’</w:t>
            </w:r>
            <w:r w:rsidRPr="00E519E2">
              <w:rPr>
                <w:sz w:val="16"/>
              </w:rPr>
              <w:t>adhésion traitées dans les délais requis</w:t>
            </w:r>
          </w:p>
        </w:tc>
        <w:tc>
          <w:tcPr>
            <w:tcW w:w="914" w:type="pct"/>
            <w:shd w:val="clear" w:color="auto" w:fill="auto"/>
          </w:tcPr>
          <w:p w:rsidR="00C82EE5" w:rsidRPr="00E519E2" w:rsidRDefault="00C82EE5" w:rsidP="001A5BF9">
            <w:pPr>
              <w:rPr>
                <w:rFonts w:cs="Arial"/>
                <w:sz w:val="16"/>
                <w:szCs w:val="16"/>
              </w:rPr>
            </w:pPr>
            <w:r w:rsidRPr="00E519E2">
              <w:rPr>
                <w:sz w:val="16"/>
              </w:rPr>
              <w:t>100</w:t>
            </w:r>
            <w:r w:rsidR="007E442D" w:rsidRPr="00E519E2">
              <w:rPr>
                <w:sz w:val="16"/>
              </w:rPr>
              <w:t>%</w:t>
            </w:r>
            <w:r w:rsidRPr="00E519E2">
              <w:rPr>
                <w:sz w:val="16"/>
              </w:rPr>
              <w:t xml:space="preserve"> traitées dans les trois</w:t>
            </w:r>
            <w:r w:rsidR="0010442A" w:rsidRPr="00E519E2">
              <w:rPr>
                <w:sz w:val="16"/>
              </w:rPr>
              <w:t> </w:t>
            </w:r>
            <w:r w:rsidRPr="00E519E2">
              <w:rPr>
                <w:sz w:val="16"/>
              </w:rPr>
              <w:t>jours</w:t>
            </w:r>
          </w:p>
        </w:tc>
        <w:tc>
          <w:tcPr>
            <w:tcW w:w="834" w:type="pct"/>
            <w:gridSpan w:val="2"/>
            <w:shd w:val="clear" w:color="auto" w:fill="auto"/>
            <w:tcMar>
              <w:top w:w="110" w:type="dxa"/>
            </w:tcMar>
          </w:tcPr>
          <w:p w:rsidR="00C82EE5" w:rsidRPr="00E519E2" w:rsidRDefault="00C82EE5" w:rsidP="001A5BF9">
            <w:pPr>
              <w:rPr>
                <w:rFonts w:cs="Arial"/>
                <w:sz w:val="16"/>
                <w:szCs w:val="16"/>
                <w:lang w:bidi="th-TH"/>
              </w:rPr>
            </w:pPr>
            <w:r w:rsidRPr="00E519E2">
              <w:rPr>
                <w:sz w:val="16"/>
              </w:rPr>
              <w:t>95</w:t>
            </w:r>
            <w:r w:rsidR="007E442D" w:rsidRPr="00E519E2">
              <w:rPr>
                <w:sz w:val="16"/>
              </w:rPr>
              <w:t>%</w:t>
            </w:r>
            <w:r w:rsidRPr="00E519E2">
              <w:rPr>
                <w:sz w:val="16"/>
              </w:rPr>
              <w:t xml:space="preserve"> traitées dans les trois</w:t>
            </w:r>
            <w:r w:rsidR="0010442A" w:rsidRPr="00E519E2">
              <w:rPr>
                <w:sz w:val="16"/>
              </w:rPr>
              <w:t> </w:t>
            </w:r>
            <w:r w:rsidRPr="00E519E2">
              <w:rPr>
                <w:sz w:val="16"/>
              </w:rPr>
              <w:t>jours</w:t>
            </w:r>
          </w:p>
        </w:tc>
        <w:tc>
          <w:tcPr>
            <w:tcW w:w="1815" w:type="pct"/>
            <w:gridSpan w:val="2"/>
            <w:shd w:val="clear" w:color="auto" w:fill="FFFFFF"/>
            <w:tcMar>
              <w:top w:w="110" w:type="dxa"/>
            </w:tcMar>
          </w:tcPr>
          <w:p w:rsidR="00C82EE5" w:rsidRPr="00E519E2" w:rsidRDefault="00C82EE5" w:rsidP="001A5BF9">
            <w:pPr>
              <w:rPr>
                <w:rFonts w:cs="Arial"/>
                <w:sz w:val="16"/>
                <w:szCs w:val="16"/>
                <w:lang w:bidi="th-TH"/>
              </w:rPr>
            </w:pPr>
            <w:r w:rsidRPr="00E519E2">
              <w:rPr>
                <w:sz w:val="16"/>
              </w:rPr>
              <w:t>98</w:t>
            </w:r>
            <w:r w:rsidR="007E442D" w:rsidRPr="00E519E2">
              <w:rPr>
                <w:sz w:val="16"/>
              </w:rPr>
              <w:t>%</w:t>
            </w:r>
            <w:r w:rsidRPr="00E519E2">
              <w:rPr>
                <w:sz w:val="16"/>
              </w:rPr>
              <w:t xml:space="preserve"> des notifications d</w:t>
            </w:r>
            <w:r w:rsidR="00A20444" w:rsidRPr="00E519E2">
              <w:rPr>
                <w:sz w:val="16"/>
              </w:rPr>
              <w:t>’</w:t>
            </w:r>
            <w:r w:rsidRPr="00E519E2">
              <w:rPr>
                <w:sz w:val="16"/>
              </w:rPr>
              <w:t>adhésion et autres actes accomplis à l</w:t>
            </w:r>
            <w:r w:rsidR="00A20444" w:rsidRPr="00E519E2">
              <w:rPr>
                <w:sz w:val="16"/>
              </w:rPr>
              <w:t>’</w:t>
            </w:r>
            <w:r w:rsidRPr="00E519E2">
              <w:rPr>
                <w:sz w:val="16"/>
              </w:rPr>
              <w:t>égard de traités sont traités dans les trois jours</w:t>
            </w:r>
          </w:p>
        </w:tc>
        <w:tc>
          <w:tcPr>
            <w:tcW w:w="648" w:type="pct"/>
            <w:shd w:val="clear" w:color="auto" w:fill="auto"/>
            <w:tcMar>
              <w:top w:w="110" w:type="dxa"/>
            </w:tcMar>
          </w:tcPr>
          <w:p w:rsidR="00C82EE5" w:rsidRPr="005C7CCE" w:rsidRDefault="00C82EE5" w:rsidP="001A5BF9">
            <w:pPr>
              <w:keepNext/>
              <w:keepLines/>
              <w:jc w:val="center"/>
              <w:rPr>
                <w:rStyle w:val="Style5"/>
                <w:rFonts w:ascii="Arial" w:hAnsi="Arial" w:cs="Arial"/>
                <w:color w:val="008000"/>
                <w:sz w:val="16"/>
                <w:szCs w:val="16"/>
              </w:rPr>
            </w:pPr>
            <w:r w:rsidRPr="00B470C6">
              <w:rPr>
                <w:rStyle w:val="Style5"/>
                <w:rFonts w:ascii="Arial" w:hAnsi="Arial"/>
                <w:color w:val="008000"/>
                <w:sz w:val="16"/>
              </w:rPr>
              <w:t>Objectif pleinement atteint</w:t>
            </w:r>
          </w:p>
        </w:tc>
      </w:tr>
      <w:tr w:rsidR="00C82EE5" w:rsidRPr="005C7CCE" w:rsidTr="0056083E">
        <w:trPr>
          <w:cantSplit/>
        </w:trPr>
        <w:tc>
          <w:tcPr>
            <w:tcW w:w="789" w:type="pct"/>
            <w:shd w:val="clear" w:color="auto" w:fill="auto"/>
          </w:tcPr>
          <w:p w:rsidR="00C82EE5" w:rsidRPr="005C7CCE" w:rsidRDefault="00C82EE5" w:rsidP="001A5BF9">
            <w:pPr>
              <w:rPr>
                <w:rFonts w:cs="Arial"/>
                <w:color w:val="008000"/>
                <w:sz w:val="16"/>
                <w:szCs w:val="16"/>
              </w:rPr>
            </w:pPr>
            <w:r w:rsidRPr="00E519E2">
              <w:rPr>
                <w:sz w:val="16"/>
              </w:rPr>
              <w:t>Pourcentage d</w:t>
            </w:r>
            <w:r w:rsidR="00A20444" w:rsidRPr="00E519E2">
              <w:rPr>
                <w:sz w:val="16"/>
              </w:rPr>
              <w:t>’</w:t>
            </w:r>
            <w:r w:rsidRPr="00E519E2">
              <w:rPr>
                <w:sz w:val="16"/>
              </w:rPr>
              <w:t>utilisateurs satisfaits du niveau des services obtenus du Bureau du médiateur</w:t>
            </w:r>
          </w:p>
        </w:tc>
        <w:tc>
          <w:tcPr>
            <w:tcW w:w="914" w:type="pct"/>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76</w:t>
            </w:r>
            <w:r w:rsidR="007E442D" w:rsidRPr="005C7CCE">
              <w:rPr>
                <w:color w:val="002060"/>
                <w:sz w:val="16"/>
              </w:rPr>
              <w:t>%</w:t>
            </w:r>
          </w:p>
          <w:p w:rsidR="00D42474" w:rsidRDefault="00D42474" w:rsidP="001A5BF9">
            <w:pPr>
              <w:rPr>
                <w:rFonts w:cs="Arial"/>
                <w:i/>
                <w:color w:val="000000"/>
                <w:sz w:val="8"/>
                <w:szCs w:val="8"/>
              </w:rPr>
            </w:pPr>
          </w:p>
          <w:p w:rsidR="00C82EE5" w:rsidRPr="005C7CCE" w:rsidRDefault="00C82EE5" w:rsidP="001A5BF9">
            <w:pPr>
              <w:rPr>
                <w:rFonts w:cs="Arial"/>
                <w:color w:val="000000"/>
                <w:sz w:val="16"/>
                <w:szCs w:val="16"/>
              </w:rPr>
            </w:pPr>
            <w:r w:rsidRPr="005C7CCE">
              <w:rPr>
                <w:i/>
                <w:color w:val="000000"/>
                <w:sz w:val="16"/>
              </w:rPr>
              <w:t xml:space="preserve">Niveau de référence initial </w:t>
            </w:r>
            <w:r w:rsidR="00667FB3">
              <w:rPr>
                <w:i/>
                <w:color w:val="000000"/>
                <w:sz w:val="16"/>
              </w:rPr>
              <w:t>programme et budget</w:t>
            </w:r>
            <w:r w:rsidRPr="005C7CCE">
              <w:rPr>
                <w:i/>
                <w:color w:val="000000"/>
                <w:sz w:val="16"/>
              </w:rPr>
              <w:t> 2012</w:t>
            </w:r>
            <w:r w:rsidR="002D6F2A" w:rsidRPr="005C7CCE">
              <w:rPr>
                <w:i/>
                <w:color w:val="000000"/>
                <w:sz w:val="16"/>
              </w:rPr>
              <w:noBreakHyphen/>
            </w:r>
            <w:r w:rsidRPr="005C7CCE">
              <w:rPr>
                <w:i/>
                <w:color w:val="000000"/>
                <w:sz w:val="16"/>
              </w:rPr>
              <w:t xml:space="preserve">2013 : </w:t>
            </w:r>
            <w:r w:rsidRPr="005C7CCE">
              <w:br/>
            </w:r>
            <w:r w:rsidRPr="005C7CCE">
              <w:rPr>
                <w:color w:val="000000"/>
                <w:sz w:val="16"/>
              </w:rPr>
              <w:t>données non disponibles</w:t>
            </w:r>
          </w:p>
        </w:tc>
        <w:tc>
          <w:tcPr>
            <w:tcW w:w="834" w:type="pct"/>
            <w:gridSpan w:val="2"/>
            <w:shd w:val="clear" w:color="auto" w:fill="auto"/>
            <w:tcMar>
              <w:top w:w="110" w:type="dxa"/>
            </w:tcMar>
          </w:tcPr>
          <w:p w:rsidR="00C82EE5" w:rsidRPr="005C7CCE" w:rsidRDefault="00C82EE5" w:rsidP="001A5BF9">
            <w:pPr>
              <w:rPr>
                <w:rFonts w:cs="Arial"/>
                <w:sz w:val="16"/>
                <w:szCs w:val="16"/>
                <w:lang w:bidi="th-TH"/>
              </w:rPr>
            </w:pPr>
            <w:r w:rsidRPr="005C7CCE">
              <w:rPr>
                <w:rFonts w:ascii="ArialMT" w:hAnsi="ArialMT"/>
                <w:sz w:val="16"/>
              </w:rPr>
              <w:t>70</w:t>
            </w:r>
            <w:r w:rsidR="007E442D" w:rsidRPr="005C7CCE">
              <w:rPr>
                <w:rFonts w:ascii="ArialMT" w:hAnsi="ArialMT"/>
                <w:sz w:val="16"/>
              </w:rPr>
              <w:t>%</w:t>
            </w:r>
          </w:p>
        </w:tc>
        <w:tc>
          <w:tcPr>
            <w:tcW w:w="1815" w:type="pct"/>
            <w:gridSpan w:val="2"/>
            <w:shd w:val="clear" w:color="auto" w:fill="FFFFFF"/>
            <w:tcMar>
              <w:top w:w="110" w:type="dxa"/>
            </w:tcMar>
          </w:tcPr>
          <w:p w:rsidR="00C82EE5" w:rsidRPr="005C7CCE" w:rsidRDefault="00C82EE5" w:rsidP="001A5BF9">
            <w:pPr>
              <w:rPr>
                <w:rFonts w:cs="Arial"/>
                <w:sz w:val="16"/>
                <w:szCs w:val="16"/>
                <w:lang w:bidi="th-TH"/>
              </w:rPr>
            </w:pPr>
            <w:r w:rsidRPr="005C7CCE">
              <w:rPr>
                <w:sz w:val="16"/>
              </w:rPr>
              <w:t>77</w:t>
            </w:r>
            <w:r w:rsidR="007E442D" w:rsidRPr="005C7CCE">
              <w:rPr>
                <w:sz w:val="16"/>
              </w:rPr>
              <w:t>%</w:t>
            </w:r>
            <w:r w:rsidRPr="005C7CCE">
              <w:rPr>
                <w:sz w:val="16"/>
              </w:rPr>
              <w:t xml:space="preserve"> selon l</w:t>
            </w:r>
            <w:r w:rsidR="00A20444" w:rsidRPr="005C7CCE">
              <w:rPr>
                <w:sz w:val="16"/>
              </w:rPr>
              <w:t>’</w:t>
            </w:r>
            <w:r w:rsidRPr="005C7CCE">
              <w:rPr>
                <w:sz w:val="16"/>
              </w:rPr>
              <w:t>enquête sur les réactions des utilisateurs en 2012 (menée en mars 2013).</w:t>
            </w:r>
          </w:p>
        </w:tc>
        <w:tc>
          <w:tcPr>
            <w:tcW w:w="648" w:type="pct"/>
            <w:shd w:val="clear" w:color="auto" w:fill="auto"/>
            <w:tcMar>
              <w:top w:w="110" w:type="dxa"/>
            </w:tcMar>
          </w:tcPr>
          <w:p w:rsidR="00C82EE5" w:rsidRPr="005C7CCE" w:rsidRDefault="00C82EE5" w:rsidP="001A5BF9">
            <w:pPr>
              <w:keepNext/>
              <w:keepLines/>
              <w:jc w:val="center"/>
              <w:rPr>
                <w:rStyle w:val="Style5"/>
                <w:rFonts w:ascii="Arial" w:hAnsi="Arial" w:cs="Arial"/>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C82EE5" w:rsidRPr="002D02F3" w:rsidTr="0056083E">
        <w:trPr>
          <w:cantSplit/>
        </w:trPr>
        <w:tc>
          <w:tcPr>
            <w:tcW w:w="5000" w:type="pct"/>
            <w:gridSpan w:val="7"/>
            <w:tcBorders>
              <w:top w:val="single" w:sz="4" w:space="0" w:color="auto"/>
              <w:bottom w:val="single" w:sz="4" w:space="0" w:color="auto"/>
            </w:tcBorders>
            <w:shd w:val="clear" w:color="auto" w:fill="CCFFFF"/>
            <w:vAlign w:val="center"/>
          </w:tcPr>
          <w:p w:rsidR="00C82EE5" w:rsidRPr="002D02F3" w:rsidRDefault="00C82EE5" w:rsidP="001A5BF9">
            <w:pPr>
              <w:keepNext/>
              <w:keepLines/>
              <w:pageBreakBefore/>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Environnement de travail amélioré fondé sur un cadre réglementaire orienté vers le progrès et des voies effectives de prise en considération des préoccupations du personnel</w:t>
            </w:r>
          </w:p>
        </w:tc>
      </w:tr>
      <w:tr w:rsidR="00C82EE5" w:rsidRPr="002D02F3" w:rsidTr="0056083E">
        <w:trPr>
          <w:cantSplit/>
        </w:trPr>
        <w:tc>
          <w:tcPr>
            <w:tcW w:w="789" w:type="pct"/>
            <w:shd w:val="clear" w:color="auto" w:fill="auto"/>
            <w:vAlign w:val="center"/>
          </w:tcPr>
          <w:p w:rsidR="00C82EE5" w:rsidRPr="002D02F3" w:rsidRDefault="00C82EE5" w:rsidP="00E05381">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14" w:type="pct"/>
            <w:shd w:val="clear" w:color="auto" w:fill="auto"/>
            <w:vAlign w:val="center"/>
          </w:tcPr>
          <w:p w:rsidR="00C82EE5" w:rsidRPr="002D02F3" w:rsidRDefault="00C82EE5" w:rsidP="00E05381">
            <w:pPr>
              <w:rPr>
                <w:rFonts w:cs="Arial"/>
                <w:b/>
                <w:i/>
                <w:sz w:val="16"/>
                <w:szCs w:val="16"/>
              </w:rPr>
            </w:pPr>
            <w:r w:rsidRPr="002D02F3">
              <w:rPr>
                <w:b/>
                <w:i/>
                <w:sz w:val="16"/>
              </w:rPr>
              <w:t>Niveaux de référence</w:t>
            </w:r>
          </w:p>
        </w:tc>
        <w:tc>
          <w:tcPr>
            <w:tcW w:w="834" w:type="pct"/>
            <w:gridSpan w:val="2"/>
            <w:shd w:val="clear" w:color="auto" w:fill="auto"/>
            <w:tcMar>
              <w:top w:w="110" w:type="dxa"/>
            </w:tcMar>
            <w:vAlign w:val="center"/>
          </w:tcPr>
          <w:p w:rsidR="00C82EE5" w:rsidRPr="002D02F3" w:rsidRDefault="00C82EE5" w:rsidP="00E05381">
            <w:pPr>
              <w:rPr>
                <w:rFonts w:cs="Arial"/>
                <w:b/>
                <w:sz w:val="16"/>
                <w:szCs w:val="16"/>
              </w:rPr>
            </w:pPr>
            <w:r w:rsidRPr="002D02F3">
              <w:rPr>
                <w:b/>
                <w:sz w:val="16"/>
              </w:rPr>
              <w:t>Objectifs visés</w:t>
            </w:r>
          </w:p>
        </w:tc>
        <w:tc>
          <w:tcPr>
            <w:tcW w:w="1815" w:type="pct"/>
            <w:gridSpan w:val="2"/>
            <w:shd w:val="clear" w:color="auto" w:fill="FFFFFF"/>
            <w:tcMar>
              <w:top w:w="110" w:type="dxa"/>
            </w:tcMar>
            <w:vAlign w:val="center"/>
          </w:tcPr>
          <w:p w:rsidR="00C82EE5" w:rsidRPr="002D02F3" w:rsidRDefault="00C82EE5" w:rsidP="00E05381">
            <w:pPr>
              <w:rPr>
                <w:rFonts w:cs="Arial"/>
                <w:b/>
                <w:sz w:val="16"/>
                <w:szCs w:val="16"/>
                <w:lang w:bidi="th-TH"/>
              </w:rPr>
            </w:pPr>
            <w:r w:rsidRPr="002D02F3">
              <w:rPr>
                <w:b/>
                <w:sz w:val="16"/>
              </w:rPr>
              <w:t>Données relatives à l</w:t>
            </w:r>
            <w:r w:rsidR="00A20444" w:rsidRPr="002D02F3">
              <w:rPr>
                <w:b/>
                <w:sz w:val="16"/>
              </w:rPr>
              <w:t>’</w:t>
            </w:r>
            <w:r w:rsidRPr="002D02F3">
              <w:rPr>
                <w:b/>
                <w:sz w:val="16"/>
              </w:rPr>
              <w:t>exécution</w:t>
            </w:r>
          </w:p>
        </w:tc>
        <w:tc>
          <w:tcPr>
            <w:tcW w:w="648" w:type="pct"/>
            <w:shd w:val="clear" w:color="auto" w:fill="auto"/>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56083E">
        <w:trPr>
          <w:cantSplit/>
        </w:trPr>
        <w:tc>
          <w:tcPr>
            <w:tcW w:w="789" w:type="pct"/>
            <w:shd w:val="clear" w:color="auto" w:fill="auto"/>
          </w:tcPr>
          <w:p w:rsidR="00C82EE5" w:rsidRPr="005C7CCE" w:rsidRDefault="00C82EE5" w:rsidP="001A5BF9">
            <w:pPr>
              <w:rPr>
                <w:rFonts w:cs="Arial"/>
                <w:color w:val="008000"/>
                <w:sz w:val="16"/>
                <w:szCs w:val="16"/>
              </w:rPr>
            </w:pPr>
            <w:r w:rsidRPr="00E05381">
              <w:rPr>
                <w:sz w:val="16"/>
              </w:rPr>
              <w:t>Pourcentage de fonctionnaires ayant connaissance des principes et des politiques de l</w:t>
            </w:r>
            <w:r w:rsidR="00A20444" w:rsidRPr="00E05381">
              <w:rPr>
                <w:sz w:val="16"/>
              </w:rPr>
              <w:t>’</w:t>
            </w:r>
            <w:r w:rsidRPr="00E05381">
              <w:rPr>
                <w:sz w:val="16"/>
              </w:rPr>
              <w:t>OMPI dans le domaine éthique</w:t>
            </w:r>
          </w:p>
        </w:tc>
        <w:tc>
          <w:tcPr>
            <w:tcW w:w="914" w:type="pct"/>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74</w:t>
            </w:r>
            <w:r w:rsidR="007E442D" w:rsidRPr="005C7CCE">
              <w:rPr>
                <w:color w:val="002060"/>
                <w:sz w:val="16"/>
              </w:rPr>
              <w:t>%</w:t>
            </w:r>
          </w:p>
          <w:p w:rsidR="00D42474" w:rsidRDefault="00D42474" w:rsidP="001A5BF9">
            <w:pPr>
              <w:rPr>
                <w:rFonts w:cs="Arial"/>
                <w:i/>
                <w:color w:val="002060"/>
                <w:sz w:val="8"/>
                <w:szCs w:val="8"/>
              </w:rPr>
            </w:pPr>
          </w:p>
          <w:p w:rsidR="00D42474" w:rsidRDefault="00C82EE5" w:rsidP="001A5BF9">
            <w:pPr>
              <w:rPr>
                <w:rFonts w:cs="Arial"/>
                <w:color w:val="000000"/>
                <w:sz w:val="16"/>
                <w:szCs w:val="16"/>
              </w:rPr>
            </w:pPr>
            <w:r w:rsidRPr="005C7CCE">
              <w:rPr>
                <w:i/>
                <w:color w:val="000000"/>
                <w:sz w:val="16"/>
              </w:rPr>
              <w:t xml:space="preserve">Niveau de référence initial </w:t>
            </w:r>
            <w:r w:rsidR="00667FB3">
              <w:rPr>
                <w:i/>
                <w:color w:val="000000"/>
                <w:sz w:val="16"/>
              </w:rPr>
              <w:t>programme et budget</w:t>
            </w:r>
            <w:r w:rsidRPr="005C7CCE">
              <w:rPr>
                <w:i/>
                <w:color w:val="000000"/>
                <w:sz w:val="16"/>
              </w:rPr>
              <w:t> 2012</w:t>
            </w:r>
            <w:r w:rsidR="002D6F2A" w:rsidRPr="005C7CCE">
              <w:rPr>
                <w:i/>
                <w:color w:val="000000"/>
                <w:sz w:val="16"/>
              </w:rPr>
              <w:noBreakHyphen/>
            </w:r>
            <w:r w:rsidRPr="005C7CCE">
              <w:rPr>
                <w:i/>
                <w:color w:val="000000"/>
                <w:sz w:val="16"/>
              </w:rPr>
              <w:t xml:space="preserve">2013 : </w:t>
            </w:r>
            <w:r w:rsidRPr="005C7CCE">
              <w:rPr>
                <w:color w:val="000000"/>
                <w:sz w:val="16"/>
              </w:rPr>
              <w:t>64</w:t>
            </w:r>
            <w:r w:rsidR="007E442D" w:rsidRPr="005C7CCE">
              <w:rPr>
                <w:color w:val="000000"/>
                <w:sz w:val="16"/>
              </w:rPr>
              <w:t>%</w:t>
            </w:r>
          </w:p>
          <w:p w:rsidR="00C82EE5" w:rsidRPr="005C7CCE" w:rsidRDefault="00C82EE5" w:rsidP="001A5BF9">
            <w:pPr>
              <w:rPr>
                <w:rFonts w:cs="Arial"/>
                <w:color w:val="000000"/>
                <w:sz w:val="16"/>
                <w:szCs w:val="16"/>
              </w:rPr>
            </w:pPr>
          </w:p>
        </w:tc>
        <w:tc>
          <w:tcPr>
            <w:tcW w:w="834" w:type="pct"/>
            <w:gridSpan w:val="2"/>
            <w:shd w:val="clear" w:color="auto" w:fill="auto"/>
            <w:tcMar>
              <w:top w:w="110" w:type="dxa"/>
            </w:tcMar>
          </w:tcPr>
          <w:p w:rsidR="00C82EE5" w:rsidRPr="005C7CCE" w:rsidRDefault="00C82EE5" w:rsidP="001A5BF9">
            <w:pPr>
              <w:rPr>
                <w:rFonts w:ascii="ArialMT" w:hAnsi="ArialMT" w:cs="ArialMT"/>
                <w:sz w:val="16"/>
                <w:szCs w:val="16"/>
              </w:rPr>
            </w:pPr>
            <w:r w:rsidRPr="005C7CCE">
              <w:rPr>
                <w:rFonts w:ascii="ArialMT" w:hAnsi="ArialMT"/>
                <w:sz w:val="16"/>
              </w:rPr>
              <w:t>+10</w:t>
            </w:r>
            <w:r w:rsidR="007E442D" w:rsidRPr="005C7CCE">
              <w:rPr>
                <w:rFonts w:ascii="ArialMT" w:hAnsi="ArialMT"/>
                <w:sz w:val="16"/>
              </w:rPr>
              <w:t>%</w:t>
            </w:r>
          </w:p>
        </w:tc>
        <w:tc>
          <w:tcPr>
            <w:tcW w:w="1815" w:type="pct"/>
            <w:gridSpan w:val="2"/>
            <w:shd w:val="clear" w:color="auto" w:fill="FFFFFF"/>
            <w:tcMar>
              <w:top w:w="110" w:type="dxa"/>
            </w:tcMar>
          </w:tcPr>
          <w:p w:rsidR="00C82EE5" w:rsidRPr="005C7CCE" w:rsidRDefault="00C82EE5" w:rsidP="001A5BF9">
            <w:pPr>
              <w:rPr>
                <w:rFonts w:cs="Arial"/>
                <w:sz w:val="16"/>
                <w:szCs w:val="16"/>
                <w:lang w:bidi="th-TH"/>
              </w:rPr>
            </w:pPr>
            <w:r w:rsidRPr="005C7CCE">
              <w:rPr>
                <w:sz w:val="16"/>
              </w:rPr>
              <w:t>98</w:t>
            </w:r>
            <w:r w:rsidR="007E442D" w:rsidRPr="005C7CCE">
              <w:rPr>
                <w:sz w:val="16"/>
              </w:rPr>
              <w:t>%</w:t>
            </w:r>
            <w:r w:rsidRPr="005C7CCE">
              <w:rPr>
                <w:sz w:val="16"/>
              </w:rPr>
              <w:t xml:space="preserve"> selon l</w:t>
            </w:r>
            <w:r w:rsidR="00A20444" w:rsidRPr="005C7CCE">
              <w:rPr>
                <w:sz w:val="16"/>
              </w:rPr>
              <w:t>’</w:t>
            </w:r>
            <w:r w:rsidRPr="005C7CCE">
              <w:rPr>
                <w:sz w:val="16"/>
              </w:rPr>
              <w:t>enquête sur les valeurs essentielles</w:t>
            </w:r>
            <w:r w:rsidR="00A20444" w:rsidRPr="005C7CCE">
              <w:rPr>
                <w:sz w:val="16"/>
              </w:rPr>
              <w:t xml:space="preserve"> du PRS</w:t>
            </w:r>
            <w:r w:rsidRPr="005C7CCE">
              <w:rPr>
                <w:sz w:val="16"/>
              </w:rPr>
              <w:t xml:space="preserve"> (menée de janvier à février 2013).</w:t>
            </w:r>
          </w:p>
        </w:tc>
        <w:tc>
          <w:tcPr>
            <w:tcW w:w="648" w:type="pct"/>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color w:val="008000"/>
                <w:sz w:val="16"/>
              </w:rPr>
              <w:t>Objectif pleinement atteint</w:t>
            </w:r>
            <w:r w:rsidRPr="005C7CCE">
              <w:rPr>
                <w:color w:val="008000"/>
                <w:sz w:val="16"/>
              </w:rPr>
              <w:t xml:space="preserve"> </w:t>
            </w:r>
          </w:p>
        </w:tc>
      </w:tr>
      <w:tr w:rsidR="00C82EE5" w:rsidRPr="002D02F3" w:rsidTr="0056083E">
        <w:trPr>
          <w:cantSplit/>
        </w:trPr>
        <w:tc>
          <w:tcPr>
            <w:tcW w:w="5000" w:type="pct"/>
            <w:gridSpan w:val="7"/>
            <w:tcBorders>
              <w:top w:val="single" w:sz="4" w:space="0" w:color="auto"/>
              <w:bottom w:val="single" w:sz="4" w:space="0" w:color="auto"/>
            </w:tcBorders>
            <w:shd w:val="clear" w:color="auto" w:fill="CCFFFF"/>
            <w:vAlign w:val="center"/>
          </w:tcPr>
          <w:p w:rsidR="00C82EE5" w:rsidRPr="002D02F3" w:rsidRDefault="00C82EE5" w:rsidP="001A5BF9">
            <w:pPr>
              <w:keepNext/>
              <w:keepLines/>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L</w:t>
            </w:r>
            <w:r w:rsidR="00A20444" w:rsidRPr="002D02F3">
              <w:rPr>
                <w:sz w:val="16"/>
              </w:rPr>
              <w:t>’</w:t>
            </w:r>
            <w:r w:rsidRPr="002D02F3">
              <w:rPr>
                <w:sz w:val="16"/>
              </w:rPr>
              <w:t>OMPI collabore efficacement avec d</w:t>
            </w:r>
            <w:r w:rsidR="00A20444" w:rsidRPr="002D02F3">
              <w:rPr>
                <w:sz w:val="16"/>
              </w:rPr>
              <w:t>’</w:t>
            </w:r>
            <w:r w:rsidRPr="002D02F3">
              <w:rPr>
                <w:sz w:val="16"/>
              </w:rPr>
              <w:t>autres processus et forums de négociation de l</w:t>
            </w:r>
            <w:r w:rsidR="00A20444" w:rsidRPr="002D02F3">
              <w:rPr>
                <w:sz w:val="16"/>
              </w:rPr>
              <w:t>’</w:t>
            </w:r>
            <w:r w:rsidRPr="002D02F3">
              <w:rPr>
                <w:sz w:val="16"/>
              </w:rPr>
              <w:t>ONU et d</w:t>
            </w:r>
            <w:r w:rsidR="00A20444" w:rsidRPr="002D02F3">
              <w:rPr>
                <w:sz w:val="16"/>
              </w:rPr>
              <w:t>’</w:t>
            </w:r>
            <w:r w:rsidRPr="002D02F3">
              <w:rPr>
                <w:sz w:val="16"/>
              </w:rPr>
              <w:t>autres organisations intergouvernementales</w:t>
            </w:r>
          </w:p>
        </w:tc>
      </w:tr>
      <w:tr w:rsidR="00C82EE5" w:rsidRPr="002D02F3" w:rsidTr="0056083E">
        <w:trPr>
          <w:cantSplit/>
        </w:trPr>
        <w:tc>
          <w:tcPr>
            <w:tcW w:w="789" w:type="pct"/>
            <w:shd w:val="clear" w:color="auto" w:fill="auto"/>
            <w:vAlign w:val="center"/>
          </w:tcPr>
          <w:p w:rsidR="00C82EE5" w:rsidRPr="002D02F3" w:rsidRDefault="00C82EE5" w:rsidP="00E05381">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14" w:type="pct"/>
            <w:shd w:val="clear" w:color="auto" w:fill="auto"/>
            <w:vAlign w:val="center"/>
          </w:tcPr>
          <w:p w:rsidR="00C82EE5" w:rsidRPr="002D02F3" w:rsidRDefault="00C82EE5" w:rsidP="00E05381">
            <w:pPr>
              <w:rPr>
                <w:rFonts w:cs="Arial"/>
                <w:b/>
                <w:i/>
                <w:sz w:val="16"/>
                <w:szCs w:val="16"/>
              </w:rPr>
            </w:pPr>
            <w:r w:rsidRPr="002D02F3">
              <w:rPr>
                <w:b/>
                <w:i/>
                <w:sz w:val="16"/>
              </w:rPr>
              <w:t>Niveaux de référence</w:t>
            </w:r>
          </w:p>
        </w:tc>
        <w:tc>
          <w:tcPr>
            <w:tcW w:w="834" w:type="pct"/>
            <w:gridSpan w:val="2"/>
            <w:shd w:val="clear" w:color="auto" w:fill="auto"/>
            <w:tcMar>
              <w:top w:w="110" w:type="dxa"/>
            </w:tcMar>
            <w:vAlign w:val="center"/>
          </w:tcPr>
          <w:p w:rsidR="00C82EE5" w:rsidRPr="002D02F3" w:rsidRDefault="00C82EE5" w:rsidP="00E05381">
            <w:pPr>
              <w:rPr>
                <w:rFonts w:cs="Arial"/>
                <w:b/>
                <w:sz w:val="16"/>
                <w:szCs w:val="16"/>
              </w:rPr>
            </w:pPr>
            <w:r w:rsidRPr="002D02F3">
              <w:rPr>
                <w:b/>
                <w:sz w:val="16"/>
              </w:rPr>
              <w:t>Objectifs visés</w:t>
            </w:r>
          </w:p>
        </w:tc>
        <w:tc>
          <w:tcPr>
            <w:tcW w:w="1815" w:type="pct"/>
            <w:gridSpan w:val="2"/>
            <w:shd w:val="clear" w:color="auto" w:fill="FFFFFF"/>
            <w:tcMar>
              <w:top w:w="110" w:type="dxa"/>
            </w:tcMar>
            <w:vAlign w:val="center"/>
          </w:tcPr>
          <w:p w:rsidR="00C82EE5" w:rsidRPr="002D02F3" w:rsidRDefault="00C82EE5" w:rsidP="00E05381">
            <w:pPr>
              <w:rPr>
                <w:rFonts w:cs="Arial"/>
                <w:b/>
                <w:sz w:val="16"/>
                <w:szCs w:val="16"/>
                <w:lang w:bidi="th-TH"/>
              </w:rPr>
            </w:pPr>
            <w:r w:rsidRPr="002D02F3">
              <w:rPr>
                <w:b/>
                <w:sz w:val="16"/>
              </w:rPr>
              <w:t>Données relatives à l</w:t>
            </w:r>
            <w:r w:rsidR="00A20444" w:rsidRPr="002D02F3">
              <w:rPr>
                <w:b/>
                <w:sz w:val="16"/>
              </w:rPr>
              <w:t>’</w:t>
            </w:r>
            <w:r w:rsidRPr="002D02F3">
              <w:rPr>
                <w:b/>
                <w:sz w:val="16"/>
              </w:rPr>
              <w:t>exécution</w:t>
            </w:r>
          </w:p>
        </w:tc>
        <w:tc>
          <w:tcPr>
            <w:tcW w:w="648" w:type="pct"/>
            <w:shd w:val="clear" w:color="auto" w:fill="auto"/>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56083E">
        <w:trPr>
          <w:cantSplit/>
        </w:trPr>
        <w:tc>
          <w:tcPr>
            <w:tcW w:w="789" w:type="pct"/>
            <w:shd w:val="clear" w:color="auto" w:fill="auto"/>
          </w:tcPr>
          <w:p w:rsidR="00C82EE5" w:rsidRPr="005C7CCE" w:rsidRDefault="00C82EE5" w:rsidP="001A5BF9">
            <w:pPr>
              <w:rPr>
                <w:rFonts w:cs="Arial"/>
                <w:color w:val="008000"/>
                <w:sz w:val="16"/>
                <w:szCs w:val="16"/>
              </w:rPr>
            </w:pPr>
            <w:r w:rsidRPr="00E05381">
              <w:rPr>
                <w:sz w:val="16"/>
              </w:rPr>
              <w:t>Nouvelles initiatives communes avec d</w:t>
            </w:r>
            <w:r w:rsidR="00A20444" w:rsidRPr="00E05381">
              <w:rPr>
                <w:sz w:val="16"/>
              </w:rPr>
              <w:t>’</w:t>
            </w:r>
            <w:r w:rsidRPr="00E05381">
              <w:rPr>
                <w:sz w:val="16"/>
              </w:rPr>
              <w:t xml:space="preserve">autres organismes des </w:t>
            </w:r>
            <w:r w:rsidR="00A20444" w:rsidRPr="00E05381">
              <w:rPr>
                <w:sz w:val="16"/>
              </w:rPr>
              <w:t>Nations Unies</w:t>
            </w:r>
          </w:p>
        </w:tc>
        <w:tc>
          <w:tcPr>
            <w:tcW w:w="914" w:type="pct"/>
            <w:shd w:val="clear" w:color="auto" w:fill="auto"/>
          </w:tcPr>
          <w:p w:rsidR="00D42474" w:rsidRDefault="00C82EE5" w:rsidP="001A5BF9">
            <w:pPr>
              <w:pStyle w:val="Default"/>
              <w:rPr>
                <w:color w:val="002060"/>
                <w:sz w:val="16"/>
              </w:rPr>
            </w:pPr>
            <w:r w:rsidRPr="005C7CCE">
              <w:rPr>
                <w:i/>
                <w:color w:val="002060"/>
                <w:sz w:val="16"/>
              </w:rPr>
              <w:t xml:space="preserve">Niveau de référence actualisé fin 2011 : </w:t>
            </w:r>
            <w:r w:rsidRPr="00E05381">
              <w:rPr>
                <w:color w:val="002060"/>
                <w:sz w:val="16"/>
              </w:rPr>
              <w:t>deux</w:t>
            </w:r>
            <w:r w:rsidR="0010442A" w:rsidRPr="00E05381">
              <w:rPr>
                <w:color w:val="002060"/>
                <w:sz w:val="16"/>
              </w:rPr>
              <w:t> </w:t>
            </w:r>
            <w:r w:rsidRPr="005C7CCE">
              <w:rPr>
                <w:color w:val="002060"/>
                <w:sz w:val="16"/>
              </w:rPr>
              <w:t>pour l</w:t>
            </w:r>
            <w:r w:rsidR="00A20444" w:rsidRPr="005C7CCE">
              <w:rPr>
                <w:color w:val="002060"/>
                <w:sz w:val="16"/>
              </w:rPr>
              <w:t>’</w:t>
            </w:r>
            <w:r w:rsidRPr="005C7CCE">
              <w:rPr>
                <w:color w:val="002060"/>
                <w:sz w:val="16"/>
              </w:rPr>
              <w:t>exercice biennal 2012</w:t>
            </w:r>
            <w:r w:rsidR="002D6F2A" w:rsidRPr="005C7CCE">
              <w:rPr>
                <w:color w:val="002060"/>
                <w:sz w:val="16"/>
              </w:rPr>
              <w:noBreakHyphen/>
            </w:r>
            <w:r w:rsidRPr="005C7CCE">
              <w:rPr>
                <w:color w:val="002060"/>
                <w:sz w:val="16"/>
              </w:rPr>
              <w:t>2013</w:t>
            </w:r>
          </w:p>
          <w:p w:rsidR="00D42474" w:rsidRDefault="00D42474" w:rsidP="001A5BF9">
            <w:pPr>
              <w:rPr>
                <w:rFonts w:cs="Arial"/>
                <w:i/>
                <w:color w:val="002060"/>
                <w:sz w:val="8"/>
                <w:szCs w:val="8"/>
              </w:rPr>
            </w:pPr>
          </w:p>
          <w:p w:rsidR="00D42474" w:rsidRDefault="00C82EE5" w:rsidP="001A5BF9">
            <w:pPr>
              <w:rPr>
                <w:color w:val="000000"/>
                <w:sz w:val="16"/>
              </w:rPr>
            </w:pPr>
            <w:r w:rsidRPr="005C7CCE">
              <w:rPr>
                <w:i/>
                <w:color w:val="000000"/>
                <w:sz w:val="16"/>
              </w:rPr>
              <w:t xml:space="preserve">Niveau de référence initial </w:t>
            </w:r>
            <w:r w:rsidR="00667FB3">
              <w:rPr>
                <w:i/>
                <w:color w:val="000000"/>
                <w:sz w:val="16"/>
              </w:rPr>
              <w:t>programme et budget</w:t>
            </w:r>
            <w:r w:rsidRPr="005C7CCE">
              <w:rPr>
                <w:i/>
                <w:color w:val="000000"/>
                <w:sz w:val="16"/>
              </w:rPr>
              <w:t> 2012</w:t>
            </w:r>
            <w:r w:rsidR="002D6F2A" w:rsidRPr="005C7CCE">
              <w:rPr>
                <w:i/>
                <w:color w:val="000000"/>
                <w:sz w:val="16"/>
              </w:rPr>
              <w:noBreakHyphen/>
            </w:r>
            <w:r w:rsidRPr="005C7CCE">
              <w:rPr>
                <w:i/>
                <w:color w:val="000000"/>
                <w:sz w:val="16"/>
              </w:rPr>
              <w:t xml:space="preserve">2013 : </w:t>
            </w:r>
            <w:proofErr w:type="spellStart"/>
            <w:r w:rsidR="00993241">
              <w:rPr>
                <w:color w:val="000000"/>
                <w:sz w:val="16"/>
              </w:rPr>
              <w:t>n.d</w:t>
            </w:r>
            <w:proofErr w:type="spellEnd"/>
            <w:r w:rsidR="00993241">
              <w:rPr>
                <w:color w:val="000000"/>
                <w:sz w:val="16"/>
              </w:rPr>
              <w:t>.</w:t>
            </w:r>
          </w:p>
          <w:p w:rsidR="00E05381" w:rsidRPr="005C7CCE" w:rsidRDefault="00E05381" w:rsidP="001A5BF9">
            <w:pPr>
              <w:rPr>
                <w:rFonts w:cs="Arial"/>
                <w:color w:val="000000"/>
                <w:sz w:val="16"/>
                <w:szCs w:val="16"/>
              </w:rPr>
            </w:pPr>
          </w:p>
        </w:tc>
        <w:tc>
          <w:tcPr>
            <w:tcW w:w="834" w:type="pct"/>
            <w:gridSpan w:val="2"/>
            <w:shd w:val="clear" w:color="auto" w:fill="auto"/>
            <w:tcMar>
              <w:top w:w="110" w:type="dxa"/>
            </w:tcMar>
          </w:tcPr>
          <w:p w:rsidR="00C82EE5" w:rsidRPr="005C7CCE" w:rsidRDefault="00C82EE5" w:rsidP="001A5BF9">
            <w:pPr>
              <w:rPr>
                <w:rFonts w:ascii="ArialMT" w:hAnsi="ArialMT" w:cs="ArialMT"/>
                <w:sz w:val="16"/>
                <w:szCs w:val="16"/>
              </w:rPr>
            </w:pPr>
            <w:r w:rsidRPr="005C7CCE">
              <w:rPr>
                <w:rFonts w:ascii="ArialMT" w:hAnsi="ArialMT"/>
                <w:sz w:val="16"/>
              </w:rPr>
              <w:t>Deux</w:t>
            </w:r>
          </w:p>
        </w:tc>
        <w:tc>
          <w:tcPr>
            <w:tcW w:w="1815" w:type="pct"/>
            <w:gridSpan w:val="2"/>
            <w:shd w:val="clear" w:color="auto" w:fill="FFFFFF"/>
            <w:tcMar>
              <w:top w:w="110" w:type="dxa"/>
            </w:tcMar>
          </w:tcPr>
          <w:p w:rsidR="00C82EE5" w:rsidRPr="005C7CCE" w:rsidRDefault="00C82EE5" w:rsidP="001A5BF9">
            <w:pPr>
              <w:rPr>
                <w:rFonts w:cs="Arial"/>
                <w:sz w:val="16"/>
                <w:szCs w:val="16"/>
                <w:lang w:bidi="th-TH"/>
              </w:rPr>
            </w:pPr>
            <w:r w:rsidRPr="005C7CCE">
              <w:rPr>
                <w:sz w:val="16"/>
              </w:rPr>
              <w:t>Deux nouvelles initiatives entreprises par le Directeur général (le Directeur général a présidé le Comité de haut niveau sur la gestion en 2012;</w:t>
            </w:r>
            <w:r w:rsidR="004F3E42" w:rsidRPr="005C7CCE">
              <w:rPr>
                <w:sz w:val="16"/>
              </w:rPr>
              <w:t xml:space="preserve"> </w:t>
            </w:r>
            <w:r w:rsidR="0010442A" w:rsidRPr="005C7CCE">
              <w:rPr>
                <w:sz w:val="16"/>
              </w:rPr>
              <w:t xml:space="preserve"> </w:t>
            </w:r>
            <w:r w:rsidRPr="005C7CCE">
              <w:rPr>
                <w:sz w:val="16"/>
              </w:rPr>
              <w:t>lancement par le Directeur général de l</w:t>
            </w:r>
            <w:r w:rsidR="00A20444" w:rsidRPr="005C7CCE">
              <w:rPr>
                <w:sz w:val="16"/>
              </w:rPr>
              <w:t>’</w:t>
            </w:r>
            <w:r w:rsidRPr="005C7CCE">
              <w:rPr>
                <w:sz w:val="16"/>
              </w:rPr>
              <w:t>Indice mondial de l</w:t>
            </w:r>
            <w:r w:rsidR="00A20444" w:rsidRPr="005C7CCE">
              <w:rPr>
                <w:sz w:val="16"/>
              </w:rPr>
              <w:t>’</w:t>
            </w:r>
            <w:r w:rsidRPr="005C7CCE">
              <w:rPr>
                <w:sz w:val="16"/>
              </w:rPr>
              <w:t>innovation à l</w:t>
            </w:r>
            <w:r w:rsidR="00A20444" w:rsidRPr="005C7CCE">
              <w:rPr>
                <w:sz w:val="16"/>
              </w:rPr>
              <w:t>’</w:t>
            </w:r>
            <w:proofErr w:type="spellStart"/>
            <w:r w:rsidRPr="005C7CCE">
              <w:rPr>
                <w:sz w:val="16"/>
              </w:rPr>
              <w:t>ECOSOC</w:t>
            </w:r>
            <w:proofErr w:type="spellEnd"/>
            <w:r w:rsidRPr="005C7CCE">
              <w:rPr>
                <w:sz w:val="16"/>
              </w:rPr>
              <w:t xml:space="preserve"> à Genève en 2013).</w:t>
            </w:r>
          </w:p>
        </w:tc>
        <w:tc>
          <w:tcPr>
            <w:tcW w:w="648" w:type="pct"/>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color w:val="008000"/>
                <w:sz w:val="16"/>
              </w:rPr>
              <w:t>Objectif pleinement atteint</w:t>
            </w:r>
          </w:p>
        </w:tc>
      </w:tr>
      <w:tr w:rsidR="00C82EE5" w:rsidRPr="002D02F3" w:rsidTr="0056083E">
        <w:trPr>
          <w:cantSplit/>
        </w:trPr>
        <w:tc>
          <w:tcPr>
            <w:tcW w:w="5000" w:type="pct"/>
            <w:gridSpan w:val="7"/>
            <w:tcBorders>
              <w:top w:val="single" w:sz="4" w:space="0" w:color="auto"/>
              <w:bottom w:val="single" w:sz="4" w:space="0" w:color="auto"/>
            </w:tcBorders>
            <w:shd w:val="clear" w:color="auto" w:fill="CCFFFF"/>
            <w:vAlign w:val="center"/>
          </w:tcPr>
          <w:p w:rsidR="00C82EE5" w:rsidRPr="002D02F3" w:rsidRDefault="00C82EE5" w:rsidP="00E05381">
            <w:pPr>
              <w:keepNext/>
              <w:keepLines/>
              <w:spacing w:before="120" w:after="120"/>
              <w:ind w:left="1735" w:hanging="1735"/>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Accès amélioré à l</w:t>
            </w:r>
            <w:r w:rsidR="00A20444" w:rsidRPr="002D02F3">
              <w:rPr>
                <w:sz w:val="16"/>
              </w:rPr>
              <w:t>’</w:t>
            </w:r>
            <w:r w:rsidRPr="002D02F3">
              <w:rPr>
                <w:sz w:val="16"/>
              </w:rPr>
              <w:t>information juridique en matière de propriété intellectuelle et utilisation améliorée de celle</w:t>
            </w:r>
            <w:r w:rsidR="002D6F2A" w:rsidRPr="002D02F3">
              <w:rPr>
                <w:sz w:val="16"/>
              </w:rPr>
              <w:noBreakHyphen/>
            </w:r>
            <w:r w:rsidRPr="002D02F3">
              <w:rPr>
                <w:sz w:val="16"/>
              </w:rPr>
              <w:t>ci</w:t>
            </w:r>
          </w:p>
        </w:tc>
      </w:tr>
      <w:tr w:rsidR="00C82EE5" w:rsidRPr="002D02F3" w:rsidTr="0056083E">
        <w:trPr>
          <w:cantSplit/>
        </w:trPr>
        <w:tc>
          <w:tcPr>
            <w:tcW w:w="789" w:type="pct"/>
            <w:shd w:val="clear" w:color="auto" w:fill="auto"/>
            <w:vAlign w:val="center"/>
          </w:tcPr>
          <w:p w:rsidR="00C82EE5" w:rsidRPr="002D02F3" w:rsidRDefault="00C82EE5" w:rsidP="00E05381">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14" w:type="pct"/>
            <w:shd w:val="clear" w:color="auto" w:fill="auto"/>
            <w:vAlign w:val="center"/>
          </w:tcPr>
          <w:p w:rsidR="00C82EE5" w:rsidRPr="002D02F3" w:rsidRDefault="00C82EE5" w:rsidP="00E05381">
            <w:pPr>
              <w:rPr>
                <w:rFonts w:cs="Arial"/>
                <w:b/>
                <w:i/>
                <w:sz w:val="16"/>
                <w:szCs w:val="16"/>
              </w:rPr>
            </w:pPr>
            <w:r w:rsidRPr="002D02F3">
              <w:rPr>
                <w:b/>
                <w:i/>
                <w:sz w:val="16"/>
              </w:rPr>
              <w:t>Niveaux de référence</w:t>
            </w:r>
          </w:p>
        </w:tc>
        <w:tc>
          <w:tcPr>
            <w:tcW w:w="834" w:type="pct"/>
            <w:gridSpan w:val="2"/>
            <w:shd w:val="clear" w:color="auto" w:fill="auto"/>
            <w:tcMar>
              <w:top w:w="110" w:type="dxa"/>
            </w:tcMar>
            <w:vAlign w:val="center"/>
          </w:tcPr>
          <w:p w:rsidR="00C82EE5" w:rsidRPr="002D02F3" w:rsidRDefault="00C82EE5" w:rsidP="00E05381">
            <w:pPr>
              <w:rPr>
                <w:rFonts w:cs="Arial"/>
                <w:b/>
                <w:sz w:val="16"/>
                <w:szCs w:val="16"/>
              </w:rPr>
            </w:pPr>
            <w:r w:rsidRPr="002D02F3">
              <w:rPr>
                <w:b/>
                <w:sz w:val="16"/>
              </w:rPr>
              <w:t>Objectifs visés</w:t>
            </w:r>
          </w:p>
        </w:tc>
        <w:tc>
          <w:tcPr>
            <w:tcW w:w="1815" w:type="pct"/>
            <w:gridSpan w:val="2"/>
            <w:shd w:val="clear" w:color="auto" w:fill="FFFFFF"/>
            <w:tcMar>
              <w:top w:w="110" w:type="dxa"/>
            </w:tcMar>
            <w:vAlign w:val="center"/>
          </w:tcPr>
          <w:p w:rsidR="00C82EE5" w:rsidRPr="002D02F3" w:rsidRDefault="00C82EE5" w:rsidP="00E05381">
            <w:pPr>
              <w:rPr>
                <w:rFonts w:cs="Arial"/>
                <w:b/>
                <w:sz w:val="16"/>
                <w:szCs w:val="16"/>
                <w:lang w:bidi="th-TH"/>
              </w:rPr>
            </w:pPr>
            <w:r w:rsidRPr="002D02F3">
              <w:rPr>
                <w:b/>
                <w:sz w:val="16"/>
              </w:rPr>
              <w:t>Données relatives à l</w:t>
            </w:r>
            <w:r w:rsidR="00A20444" w:rsidRPr="002D02F3">
              <w:rPr>
                <w:b/>
                <w:sz w:val="16"/>
              </w:rPr>
              <w:t>’</w:t>
            </w:r>
            <w:r w:rsidRPr="002D02F3">
              <w:rPr>
                <w:b/>
                <w:sz w:val="16"/>
              </w:rPr>
              <w:t>exécution</w:t>
            </w:r>
          </w:p>
        </w:tc>
        <w:tc>
          <w:tcPr>
            <w:tcW w:w="648" w:type="pct"/>
            <w:shd w:val="clear" w:color="auto" w:fill="auto"/>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56083E">
        <w:trPr>
          <w:cantSplit/>
        </w:trPr>
        <w:tc>
          <w:tcPr>
            <w:tcW w:w="789" w:type="pct"/>
            <w:shd w:val="clear" w:color="auto" w:fill="auto"/>
          </w:tcPr>
          <w:p w:rsidR="00C82EE5" w:rsidRPr="00E05381" w:rsidRDefault="00C82EE5" w:rsidP="001A5BF9">
            <w:pPr>
              <w:rPr>
                <w:rFonts w:cs="Arial"/>
                <w:sz w:val="16"/>
                <w:szCs w:val="16"/>
              </w:rPr>
            </w:pPr>
            <w:r w:rsidRPr="00E05381">
              <w:rPr>
                <w:sz w:val="16"/>
              </w:rPr>
              <w:t xml:space="preserve">Traitement accru dans la base de données WIPO </w:t>
            </w:r>
            <w:proofErr w:type="spellStart"/>
            <w:r w:rsidRPr="00E05381">
              <w:rPr>
                <w:sz w:val="16"/>
              </w:rPr>
              <w:t>Lex</w:t>
            </w:r>
            <w:proofErr w:type="spellEnd"/>
            <w:r w:rsidRPr="00E05381">
              <w:rPr>
                <w:sz w:val="16"/>
              </w:rPr>
              <w:t xml:space="preserve"> d</w:t>
            </w:r>
            <w:r w:rsidR="00A20444" w:rsidRPr="00E05381">
              <w:rPr>
                <w:sz w:val="16"/>
              </w:rPr>
              <w:t>’</w:t>
            </w:r>
            <w:r w:rsidRPr="00E05381">
              <w:rPr>
                <w:sz w:val="16"/>
              </w:rPr>
              <w:t>informations juridiques en rapport avec la propriété intellectuelle</w:t>
            </w:r>
          </w:p>
        </w:tc>
        <w:tc>
          <w:tcPr>
            <w:tcW w:w="914" w:type="pct"/>
            <w:shd w:val="clear" w:color="auto" w:fill="auto"/>
          </w:tcPr>
          <w:p w:rsidR="00C82EE5" w:rsidRPr="00E05381" w:rsidRDefault="00C82EE5" w:rsidP="001A5BF9">
            <w:pPr>
              <w:rPr>
                <w:rFonts w:cs="Arial"/>
                <w:sz w:val="16"/>
                <w:szCs w:val="16"/>
              </w:rPr>
            </w:pPr>
            <w:r w:rsidRPr="00E05381">
              <w:rPr>
                <w:sz w:val="16"/>
              </w:rPr>
              <w:t>Couverture limitée des traités régionaux d</w:t>
            </w:r>
            <w:r w:rsidR="00A20444" w:rsidRPr="00E05381">
              <w:rPr>
                <w:sz w:val="16"/>
              </w:rPr>
              <w:t>’</w:t>
            </w:r>
            <w:r w:rsidRPr="00E05381">
              <w:rPr>
                <w:sz w:val="16"/>
              </w:rPr>
              <w:t>intégration économique (23 dont 13 ont été communiqués à l</w:t>
            </w:r>
            <w:r w:rsidR="00A20444" w:rsidRPr="00E05381">
              <w:rPr>
                <w:sz w:val="16"/>
              </w:rPr>
              <w:t>’</w:t>
            </w:r>
            <w:r w:rsidRPr="00E05381">
              <w:rPr>
                <w:sz w:val="16"/>
              </w:rPr>
              <w:t>OMC) et de traités bilatéraux avec des dispositions concernant la propriété intellectuelle (actuellement 90 dont 40 ont été communiqués à l</w:t>
            </w:r>
            <w:r w:rsidR="00A20444" w:rsidRPr="00E05381">
              <w:rPr>
                <w:sz w:val="16"/>
              </w:rPr>
              <w:t>’</w:t>
            </w:r>
            <w:r w:rsidRPr="00E05381">
              <w:rPr>
                <w:sz w:val="16"/>
              </w:rPr>
              <w:t>OMC)</w:t>
            </w:r>
          </w:p>
        </w:tc>
        <w:tc>
          <w:tcPr>
            <w:tcW w:w="834" w:type="pct"/>
            <w:gridSpan w:val="2"/>
            <w:shd w:val="clear" w:color="auto" w:fill="auto"/>
            <w:tcMar>
              <w:top w:w="110" w:type="dxa"/>
            </w:tcMar>
          </w:tcPr>
          <w:p w:rsidR="00C82EE5" w:rsidRPr="00E05381" w:rsidRDefault="00C82EE5" w:rsidP="001A5BF9">
            <w:pPr>
              <w:autoSpaceDE w:val="0"/>
              <w:autoSpaceDN w:val="0"/>
              <w:adjustRightInd w:val="0"/>
              <w:rPr>
                <w:rFonts w:ascii="ArialMT" w:hAnsi="ArialMT" w:cs="ArialMT"/>
                <w:sz w:val="16"/>
                <w:szCs w:val="16"/>
              </w:rPr>
            </w:pPr>
            <w:r w:rsidRPr="00E05381">
              <w:rPr>
                <w:rFonts w:ascii="ArialMT" w:hAnsi="ArialMT"/>
                <w:sz w:val="16"/>
              </w:rPr>
              <w:t>Large couverture de plus de 200 traités régionaux d</w:t>
            </w:r>
            <w:r w:rsidR="00A20444" w:rsidRPr="00E05381">
              <w:rPr>
                <w:rFonts w:ascii="ArialMT" w:hAnsi="ArialMT"/>
                <w:sz w:val="16"/>
              </w:rPr>
              <w:t>’</w:t>
            </w:r>
            <w:r w:rsidRPr="00E05381">
              <w:rPr>
                <w:rFonts w:ascii="ArialMT" w:hAnsi="ArialMT"/>
                <w:sz w:val="16"/>
              </w:rPr>
              <w:t>intégration économique et traités bilatéraux figurant dans la base de données de l</w:t>
            </w:r>
            <w:r w:rsidR="00A20444" w:rsidRPr="00E05381">
              <w:rPr>
                <w:rFonts w:ascii="ArialMT" w:hAnsi="ArialMT"/>
                <w:sz w:val="16"/>
              </w:rPr>
              <w:t>’</w:t>
            </w:r>
            <w:r w:rsidRPr="00E05381">
              <w:rPr>
                <w:rFonts w:ascii="ArialMT" w:hAnsi="ArialMT"/>
                <w:sz w:val="16"/>
              </w:rPr>
              <w:t>OMC.</w:t>
            </w:r>
            <w:r w:rsidR="004F3E42" w:rsidRPr="00E05381">
              <w:rPr>
                <w:rFonts w:ascii="ArialMT" w:hAnsi="ArialMT"/>
                <w:sz w:val="16"/>
              </w:rPr>
              <w:t xml:space="preserve"> </w:t>
            </w:r>
            <w:r w:rsidR="0010442A" w:rsidRPr="00E05381">
              <w:rPr>
                <w:rFonts w:ascii="ArialMT" w:hAnsi="ArialMT"/>
                <w:sz w:val="16"/>
              </w:rPr>
              <w:t xml:space="preserve"> </w:t>
            </w:r>
            <w:r w:rsidRPr="00E05381">
              <w:rPr>
                <w:rFonts w:ascii="ArialMT" w:hAnsi="ArialMT"/>
                <w:sz w:val="16"/>
              </w:rPr>
              <w:t>Couverture de certains ne figurant pas dans la base de données.</w:t>
            </w:r>
            <w:r w:rsidR="004F3E42" w:rsidRPr="00E05381">
              <w:rPr>
                <w:rFonts w:ascii="ArialMT" w:hAnsi="ArialMT"/>
                <w:sz w:val="16"/>
              </w:rPr>
              <w:t xml:space="preserve"> </w:t>
            </w:r>
            <w:r w:rsidR="0010442A" w:rsidRPr="00E05381">
              <w:rPr>
                <w:rFonts w:ascii="ArialMT" w:hAnsi="ArialMT"/>
                <w:sz w:val="16"/>
              </w:rPr>
              <w:t xml:space="preserve"> </w:t>
            </w:r>
          </w:p>
        </w:tc>
        <w:tc>
          <w:tcPr>
            <w:tcW w:w="1815" w:type="pct"/>
            <w:gridSpan w:val="2"/>
            <w:shd w:val="clear" w:color="auto" w:fill="FFFFFF"/>
            <w:tcMar>
              <w:top w:w="110" w:type="dxa"/>
            </w:tcMar>
          </w:tcPr>
          <w:p w:rsidR="00D42474" w:rsidRDefault="00C82EE5" w:rsidP="001A5BF9">
            <w:pPr>
              <w:rPr>
                <w:rFonts w:cs="Arial"/>
                <w:sz w:val="16"/>
                <w:szCs w:val="16"/>
                <w:lang w:bidi="th-TH"/>
              </w:rPr>
            </w:pPr>
            <w:r w:rsidRPr="005C7CCE">
              <w:rPr>
                <w:sz w:val="16"/>
              </w:rPr>
              <w:t>La base de données comprend 735 traités internationaux relatifs à la propriété intellectuelle :</w:t>
            </w:r>
          </w:p>
          <w:p w:rsidR="00D42474" w:rsidRDefault="00C82EE5" w:rsidP="001A5BF9">
            <w:pPr>
              <w:pStyle w:val="Paragraphedeliste"/>
              <w:numPr>
                <w:ilvl w:val="0"/>
                <w:numId w:val="56"/>
              </w:numPr>
              <w:ind w:left="248" w:hanging="248"/>
              <w:rPr>
                <w:rFonts w:cs="Arial"/>
                <w:sz w:val="16"/>
                <w:szCs w:val="16"/>
                <w:lang w:bidi="th-TH"/>
              </w:rPr>
            </w:pPr>
            <w:r w:rsidRPr="005C7CCE">
              <w:rPr>
                <w:sz w:val="16"/>
              </w:rPr>
              <w:t>623 intégrations économiques régionales et bilatérales (56 traités d</w:t>
            </w:r>
            <w:r w:rsidR="00A20444" w:rsidRPr="005C7CCE">
              <w:rPr>
                <w:sz w:val="16"/>
              </w:rPr>
              <w:t>’</w:t>
            </w:r>
            <w:r w:rsidRPr="005C7CCE">
              <w:rPr>
                <w:sz w:val="16"/>
              </w:rPr>
              <w:t>intégration économique régionale et 567 traités bilatéraux);</w:t>
            </w:r>
          </w:p>
          <w:p w:rsidR="00D42474" w:rsidRDefault="00C82EE5" w:rsidP="001A5BF9">
            <w:pPr>
              <w:pStyle w:val="Paragraphedeliste"/>
              <w:numPr>
                <w:ilvl w:val="0"/>
                <w:numId w:val="56"/>
              </w:numPr>
              <w:ind w:left="248" w:hanging="248"/>
              <w:rPr>
                <w:sz w:val="16"/>
              </w:rPr>
            </w:pPr>
            <w:r w:rsidRPr="005C7CCE">
              <w:rPr>
                <w:sz w:val="16"/>
              </w:rPr>
              <w:t>26 traités administrés par l</w:t>
            </w:r>
            <w:r w:rsidR="00A20444" w:rsidRPr="005C7CCE">
              <w:rPr>
                <w:sz w:val="16"/>
              </w:rPr>
              <w:t>’</w:t>
            </w:r>
            <w:r w:rsidRPr="005C7CCE">
              <w:rPr>
                <w:sz w:val="16"/>
              </w:rPr>
              <w:t>OMPI;</w:t>
            </w:r>
          </w:p>
          <w:p w:rsidR="00D42474" w:rsidRDefault="00C82EE5" w:rsidP="001A5BF9">
            <w:pPr>
              <w:pStyle w:val="Paragraphedeliste"/>
              <w:numPr>
                <w:ilvl w:val="0"/>
                <w:numId w:val="56"/>
              </w:numPr>
              <w:ind w:left="248" w:hanging="248"/>
              <w:rPr>
                <w:sz w:val="16"/>
              </w:rPr>
            </w:pPr>
            <w:r w:rsidRPr="005C7CCE">
              <w:rPr>
                <w:sz w:val="16"/>
              </w:rPr>
              <w:t xml:space="preserve">59 traités multilatéraux; </w:t>
            </w:r>
            <w:r w:rsidR="0010442A" w:rsidRPr="005C7CCE">
              <w:rPr>
                <w:sz w:val="16"/>
              </w:rPr>
              <w:t xml:space="preserve"> </w:t>
            </w:r>
            <w:r w:rsidRPr="005C7CCE">
              <w:rPr>
                <w:sz w:val="16"/>
              </w:rPr>
              <w:t>et</w:t>
            </w:r>
          </w:p>
          <w:p w:rsidR="00D42474" w:rsidRDefault="00C82EE5" w:rsidP="001A5BF9">
            <w:pPr>
              <w:pStyle w:val="Paragraphedeliste"/>
              <w:numPr>
                <w:ilvl w:val="0"/>
                <w:numId w:val="56"/>
              </w:numPr>
              <w:ind w:left="248" w:hanging="248"/>
              <w:rPr>
                <w:rFonts w:cs="Arial"/>
                <w:sz w:val="16"/>
                <w:szCs w:val="16"/>
                <w:lang w:bidi="th-TH"/>
              </w:rPr>
            </w:pPr>
            <w:r w:rsidRPr="005C7CCE">
              <w:rPr>
                <w:sz w:val="16"/>
              </w:rPr>
              <w:t>27 traités régionaux de propriété intellectuelle.</w:t>
            </w:r>
          </w:p>
          <w:p w:rsidR="00D42474" w:rsidRDefault="00D42474" w:rsidP="001A5BF9">
            <w:pPr>
              <w:rPr>
                <w:rFonts w:cs="Arial"/>
                <w:sz w:val="16"/>
                <w:szCs w:val="16"/>
                <w:lang w:bidi="th-TH"/>
              </w:rPr>
            </w:pPr>
          </w:p>
          <w:p w:rsidR="00D42474" w:rsidRDefault="00C82EE5" w:rsidP="001A5BF9">
            <w:pPr>
              <w:rPr>
                <w:rFonts w:cs="Arial"/>
                <w:sz w:val="16"/>
                <w:szCs w:val="16"/>
                <w:lang w:bidi="th-TH"/>
              </w:rPr>
            </w:pPr>
            <w:r w:rsidRPr="005C7CCE">
              <w:rPr>
                <w:sz w:val="16"/>
              </w:rPr>
              <w:t>La composante législative comprend plus de 12 000 textes juridiques.</w:t>
            </w:r>
          </w:p>
          <w:p w:rsidR="00D42474" w:rsidRDefault="00D42474" w:rsidP="001A5BF9">
            <w:pPr>
              <w:rPr>
                <w:rFonts w:cs="Arial"/>
                <w:sz w:val="16"/>
                <w:szCs w:val="16"/>
                <w:lang w:bidi="th-TH"/>
              </w:rPr>
            </w:pPr>
          </w:p>
          <w:p w:rsidR="00D42474" w:rsidRDefault="00C82EE5" w:rsidP="001A5BF9">
            <w:pPr>
              <w:rPr>
                <w:sz w:val="16"/>
              </w:rPr>
            </w:pPr>
            <w:r w:rsidRPr="005C7CCE">
              <w:rPr>
                <w:sz w:val="16"/>
              </w:rPr>
              <w:t xml:space="preserve">Le nombre de visiteurs a atteint </w:t>
            </w:r>
            <w:r w:rsidR="0010442A" w:rsidRPr="005C7CCE">
              <w:rPr>
                <w:sz w:val="16"/>
              </w:rPr>
              <w:t>2013</w:t>
            </w:r>
            <w:r w:rsidRPr="005C7CCE">
              <w:rPr>
                <w:sz w:val="16"/>
              </w:rPr>
              <w:t xml:space="preserve"> 651 en 2013 par rapport à </w:t>
            </w:r>
            <w:r w:rsidR="0010442A" w:rsidRPr="005C7CCE">
              <w:rPr>
                <w:sz w:val="16"/>
              </w:rPr>
              <w:t>1128</w:t>
            </w:r>
            <w:r w:rsidRPr="005C7CCE">
              <w:rPr>
                <w:sz w:val="16"/>
              </w:rPr>
              <w:t> 969 en 2012.</w:t>
            </w:r>
          </w:p>
          <w:p w:rsidR="00D42474" w:rsidRDefault="00D42474" w:rsidP="001A5BF9">
            <w:pPr>
              <w:rPr>
                <w:rFonts w:cs="Arial"/>
                <w:sz w:val="16"/>
                <w:szCs w:val="16"/>
                <w:lang w:bidi="th-TH"/>
              </w:rPr>
            </w:pPr>
          </w:p>
          <w:p w:rsidR="00D42474" w:rsidRDefault="00C82EE5" w:rsidP="001A5BF9">
            <w:pPr>
              <w:rPr>
                <w:rFonts w:cs="Arial"/>
                <w:sz w:val="16"/>
                <w:szCs w:val="16"/>
                <w:lang w:bidi="th-TH"/>
              </w:rPr>
            </w:pPr>
            <w:r w:rsidRPr="005C7CCE">
              <w:rPr>
                <w:sz w:val="16"/>
              </w:rPr>
              <w:t xml:space="preserve">Le nombre de pages consultées a atteint </w:t>
            </w:r>
            <w:r w:rsidR="0010442A" w:rsidRPr="005C7CCE">
              <w:rPr>
                <w:sz w:val="16"/>
              </w:rPr>
              <w:t>4315</w:t>
            </w:r>
            <w:r w:rsidRPr="005C7CCE">
              <w:rPr>
                <w:sz w:val="16"/>
              </w:rPr>
              <w:t xml:space="preserve"> 030 en 2013 par rapport à </w:t>
            </w:r>
            <w:r w:rsidR="0010442A" w:rsidRPr="005C7CCE">
              <w:rPr>
                <w:sz w:val="16"/>
              </w:rPr>
              <w:t>2880</w:t>
            </w:r>
            <w:r w:rsidRPr="005C7CCE">
              <w:rPr>
                <w:sz w:val="16"/>
              </w:rPr>
              <w:t> 905 en 2012.</w:t>
            </w:r>
          </w:p>
          <w:p w:rsidR="00C82EE5" w:rsidRPr="005C7CCE" w:rsidRDefault="00C82EE5" w:rsidP="001A5BF9">
            <w:pPr>
              <w:rPr>
                <w:rFonts w:cs="Arial"/>
                <w:sz w:val="16"/>
                <w:szCs w:val="16"/>
                <w:lang w:bidi="th-TH"/>
              </w:rPr>
            </w:pPr>
          </w:p>
        </w:tc>
        <w:tc>
          <w:tcPr>
            <w:tcW w:w="648" w:type="pct"/>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color w:val="008000"/>
                <w:sz w:val="16"/>
              </w:rPr>
              <w:t>Objectif pleinement atteint</w:t>
            </w:r>
          </w:p>
        </w:tc>
      </w:tr>
    </w:tbl>
    <w:p w:rsidR="00D42474" w:rsidRDefault="00D42474" w:rsidP="001A5BF9">
      <w:pPr>
        <w:rPr>
          <w:rFonts w:cs="Arial"/>
        </w:rPr>
      </w:pPr>
    </w:p>
    <w:p w:rsidR="00D42474" w:rsidRDefault="00D42474" w:rsidP="001A5BF9">
      <w:pPr>
        <w:rPr>
          <w:rFonts w:cs="Arial"/>
        </w:rPr>
      </w:pPr>
    </w:p>
    <w:p w:rsidR="00D42474" w:rsidRDefault="00D42474" w:rsidP="001A5BF9">
      <w:pPr>
        <w:rPr>
          <w:rFonts w:cs="Arial"/>
        </w:rPr>
      </w:pPr>
    </w:p>
    <w:p w:rsidR="00D42474" w:rsidRDefault="00D42474" w:rsidP="001A5BF9">
      <w:pPr>
        <w:rPr>
          <w:rFonts w:cs="Arial"/>
          <w:szCs w:val="22"/>
        </w:rPr>
      </w:pPr>
    </w:p>
    <w:p w:rsidR="00D42474" w:rsidRDefault="00D42474" w:rsidP="001A5BF9">
      <w:pPr>
        <w:rPr>
          <w:rFonts w:cs="Arial"/>
          <w:szCs w:val="22"/>
        </w:rPr>
      </w:pPr>
    </w:p>
    <w:p w:rsidR="00D42474" w:rsidRDefault="00C82EE5" w:rsidP="001A5BF9">
      <w:pPr>
        <w:pageBreakBefore/>
        <w:rPr>
          <w:rFonts w:cs="Arial"/>
          <w:szCs w:val="22"/>
        </w:rPr>
      </w:pPr>
      <w:r w:rsidRPr="00866763">
        <w:rPr>
          <w:sz w:val="22"/>
        </w:rPr>
        <w:t>BUDGET ET DÉPENSES EFFECTIVES</w:t>
      </w:r>
    </w:p>
    <w:p w:rsidR="00D42474" w:rsidRDefault="00D42474" w:rsidP="001A5BF9">
      <w:pPr>
        <w:rPr>
          <w:rFonts w:cs="Arial"/>
          <w:szCs w:val="20"/>
        </w:rPr>
      </w:pPr>
    </w:p>
    <w:p w:rsidR="00D42474" w:rsidRDefault="00C82EE5" w:rsidP="001A5BF9">
      <w:pPr>
        <w:pStyle w:val="NormalWeb"/>
        <w:spacing w:before="0" w:beforeAutospacing="0" w:after="0" w:afterAutospacing="0"/>
        <w:jc w:val="center"/>
        <w:rPr>
          <w:sz w:val="20"/>
        </w:rPr>
      </w:pPr>
      <w:r w:rsidRPr="002D02F3">
        <w:rPr>
          <w:sz w:val="20"/>
        </w:rPr>
        <w:t>Budget et dépenses effectives (par résultat)</w:t>
      </w:r>
    </w:p>
    <w:p w:rsidR="00D42474" w:rsidRDefault="00C82EE5"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C82EE5" w:rsidRPr="002D02F3" w:rsidRDefault="00C82EE5" w:rsidP="001A5BF9">
      <w:pPr>
        <w:rPr>
          <w:rFonts w:cs="Arial"/>
          <w:szCs w:val="20"/>
        </w:rPr>
      </w:pPr>
    </w:p>
    <w:tbl>
      <w:tblPr>
        <w:tblW w:w="0" w:type="auto"/>
        <w:tblInd w:w="103" w:type="dxa"/>
        <w:tblLayout w:type="fixed"/>
        <w:tblLook w:val="04A0" w:firstRow="1" w:lastRow="0" w:firstColumn="1" w:lastColumn="0" w:noHBand="0" w:noVBand="1"/>
      </w:tblPr>
      <w:tblGrid>
        <w:gridCol w:w="590"/>
        <w:gridCol w:w="4235"/>
        <w:gridCol w:w="1559"/>
        <w:gridCol w:w="9"/>
        <w:gridCol w:w="1550"/>
        <w:gridCol w:w="1418"/>
      </w:tblGrid>
      <w:tr w:rsidR="00C82EE5" w:rsidRPr="002D02F3" w:rsidTr="0056083E">
        <w:tc>
          <w:tcPr>
            <w:tcW w:w="4825"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center"/>
              <w:rPr>
                <w:rFonts w:cs="Arial"/>
                <w:bCs/>
                <w:sz w:val="16"/>
                <w:szCs w:val="16"/>
              </w:rPr>
            </w:pPr>
            <w:r w:rsidRPr="002D02F3">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559" w:type="dxa"/>
            <w:gridSpan w:val="2"/>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C82EE5" w:rsidRPr="002D02F3" w:rsidTr="0056083E">
        <w:tc>
          <w:tcPr>
            <w:tcW w:w="590"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V.3</w:t>
            </w:r>
            <w:proofErr w:type="spellEnd"/>
          </w:p>
        </w:tc>
        <w:tc>
          <w:tcPr>
            <w:tcW w:w="4235"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Accès amélioré à l</w:t>
            </w:r>
            <w:r w:rsidR="00A20444" w:rsidRPr="002D02F3">
              <w:rPr>
                <w:sz w:val="16"/>
              </w:rPr>
              <w:t>’</w:t>
            </w:r>
            <w:r w:rsidRPr="002D02F3">
              <w:rPr>
                <w:sz w:val="16"/>
              </w:rPr>
              <w:t>information juridique en matière de propriété intellectuelle et utilisation améliorée de celle</w:t>
            </w:r>
            <w:r w:rsidR="002D6F2A" w:rsidRPr="002D02F3">
              <w:rPr>
                <w:sz w:val="16"/>
              </w:rPr>
              <w:noBreakHyphen/>
            </w:r>
            <w:r w:rsidRPr="002D02F3">
              <w:rPr>
                <w:sz w:val="16"/>
              </w:rPr>
              <w:t>ci</w:t>
            </w:r>
          </w:p>
        </w:tc>
        <w:tc>
          <w:tcPr>
            <w:tcW w:w="1568" w:type="dxa"/>
            <w:gridSpan w:val="2"/>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2 244 </w:t>
            </w:r>
          </w:p>
        </w:tc>
        <w:tc>
          <w:tcPr>
            <w:tcW w:w="155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2 042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1 992</w:t>
            </w:r>
          </w:p>
        </w:tc>
      </w:tr>
      <w:tr w:rsidR="00C82EE5" w:rsidRPr="002D02F3" w:rsidTr="0056083E">
        <w:tc>
          <w:tcPr>
            <w:tcW w:w="590"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VIII.3</w:t>
            </w:r>
            <w:proofErr w:type="spellEnd"/>
          </w:p>
        </w:tc>
        <w:tc>
          <w:tcPr>
            <w:tcW w:w="4235"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L</w:t>
            </w:r>
            <w:r w:rsidR="00A20444" w:rsidRPr="002D02F3">
              <w:rPr>
                <w:sz w:val="16"/>
              </w:rPr>
              <w:t>’</w:t>
            </w:r>
            <w:r w:rsidRPr="002D02F3">
              <w:rPr>
                <w:sz w:val="16"/>
              </w:rPr>
              <w:t>OMPI collabore efficacement avec d</w:t>
            </w:r>
            <w:r w:rsidR="00A20444" w:rsidRPr="002D02F3">
              <w:rPr>
                <w:sz w:val="16"/>
              </w:rPr>
              <w:t>’</w:t>
            </w:r>
            <w:r w:rsidRPr="002D02F3">
              <w:rPr>
                <w:sz w:val="16"/>
              </w:rPr>
              <w:t>autres processus et instances de négociation de l</w:t>
            </w:r>
            <w:r w:rsidR="00A20444" w:rsidRPr="002D02F3">
              <w:rPr>
                <w:sz w:val="16"/>
              </w:rPr>
              <w:t>’</w:t>
            </w:r>
            <w:r w:rsidRPr="002D02F3">
              <w:rPr>
                <w:sz w:val="16"/>
              </w:rPr>
              <w:t>ONU et d</w:t>
            </w:r>
            <w:r w:rsidR="00A20444" w:rsidRPr="002D02F3">
              <w:rPr>
                <w:sz w:val="16"/>
              </w:rPr>
              <w:t>’</w:t>
            </w:r>
            <w:r w:rsidRPr="002D02F3">
              <w:rPr>
                <w:sz w:val="16"/>
              </w:rPr>
              <w:t>autres organisations intergouvernementales</w:t>
            </w:r>
          </w:p>
        </w:tc>
        <w:tc>
          <w:tcPr>
            <w:tcW w:w="1568" w:type="dxa"/>
            <w:gridSpan w:val="2"/>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100 </w:t>
            </w:r>
          </w:p>
        </w:tc>
        <w:tc>
          <w:tcPr>
            <w:tcW w:w="155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90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61 </w:t>
            </w:r>
          </w:p>
        </w:tc>
      </w:tr>
      <w:tr w:rsidR="00C82EE5" w:rsidRPr="002D02F3" w:rsidTr="0056083E">
        <w:tc>
          <w:tcPr>
            <w:tcW w:w="590"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VIII.5</w:t>
            </w:r>
            <w:proofErr w:type="spellEnd"/>
          </w:p>
        </w:tc>
        <w:tc>
          <w:tcPr>
            <w:tcW w:w="4235"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Engagement réel auprès des États membres</w:t>
            </w:r>
          </w:p>
        </w:tc>
        <w:tc>
          <w:tcPr>
            <w:tcW w:w="1568" w:type="dxa"/>
            <w:gridSpan w:val="2"/>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5 311 </w:t>
            </w:r>
          </w:p>
        </w:tc>
        <w:tc>
          <w:tcPr>
            <w:tcW w:w="155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4 531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4 517 </w:t>
            </w:r>
          </w:p>
        </w:tc>
      </w:tr>
      <w:tr w:rsidR="00C82EE5" w:rsidRPr="002D02F3" w:rsidTr="0056083E">
        <w:tc>
          <w:tcPr>
            <w:tcW w:w="590"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IX.7</w:t>
            </w:r>
            <w:proofErr w:type="spellEnd"/>
          </w:p>
        </w:tc>
        <w:tc>
          <w:tcPr>
            <w:tcW w:w="4235"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Meilleure coordination et meilleure cohésion au sein du Secrétariat</w:t>
            </w:r>
          </w:p>
        </w:tc>
        <w:tc>
          <w:tcPr>
            <w:tcW w:w="1568" w:type="dxa"/>
            <w:gridSpan w:val="2"/>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10 255 </w:t>
            </w:r>
          </w:p>
        </w:tc>
        <w:tc>
          <w:tcPr>
            <w:tcW w:w="155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11 213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10 769 </w:t>
            </w:r>
          </w:p>
        </w:tc>
      </w:tr>
      <w:tr w:rsidR="00C82EE5" w:rsidRPr="002D02F3" w:rsidTr="0056083E">
        <w:tc>
          <w:tcPr>
            <w:tcW w:w="590" w:type="dxa"/>
            <w:tcBorders>
              <w:top w:val="nil"/>
              <w:left w:val="single" w:sz="4" w:space="0" w:color="auto"/>
              <w:bottom w:val="single" w:sz="4" w:space="0" w:color="auto"/>
              <w:right w:val="nil"/>
            </w:tcBorders>
            <w:shd w:val="clear" w:color="000000" w:fill="FFFFFF"/>
            <w:noWrap/>
          </w:tcPr>
          <w:p w:rsidR="00C82EE5" w:rsidRPr="002D02F3" w:rsidRDefault="00C82EE5" w:rsidP="001A5BF9">
            <w:pPr>
              <w:spacing w:before="120" w:after="120"/>
              <w:jc w:val="center"/>
              <w:rPr>
                <w:rFonts w:cs="Arial"/>
                <w:sz w:val="16"/>
                <w:szCs w:val="16"/>
              </w:rPr>
            </w:pPr>
            <w:proofErr w:type="spellStart"/>
            <w:r w:rsidRPr="002D02F3">
              <w:rPr>
                <w:sz w:val="16"/>
              </w:rPr>
              <w:t>IX.8</w:t>
            </w:r>
            <w:proofErr w:type="spellEnd"/>
          </w:p>
        </w:tc>
        <w:tc>
          <w:tcPr>
            <w:tcW w:w="4235" w:type="dxa"/>
            <w:tcBorders>
              <w:top w:val="nil"/>
              <w:left w:val="nil"/>
              <w:bottom w:val="single" w:sz="4" w:space="0" w:color="auto"/>
              <w:right w:val="nil"/>
            </w:tcBorders>
            <w:shd w:val="clear" w:color="000000" w:fill="FFFFFF"/>
          </w:tcPr>
          <w:p w:rsidR="00C82EE5" w:rsidRPr="002D02F3" w:rsidRDefault="00C82EE5" w:rsidP="001A5BF9">
            <w:pPr>
              <w:spacing w:before="120" w:after="120"/>
              <w:rPr>
                <w:rFonts w:cs="Arial"/>
                <w:sz w:val="16"/>
                <w:szCs w:val="16"/>
              </w:rPr>
            </w:pPr>
            <w:r w:rsidRPr="002D02F3">
              <w:rPr>
                <w:sz w:val="16"/>
              </w:rPr>
              <w:t>Environnement de travail amélioré fondé sur un cadre réglementaire orienté vers le progrès et des voies effectives de prise en considération des préoccupations du personnel</w:t>
            </w:r>
          </w:p>
        </w:tc>
        <w:tc>
          <w:tcPr>
            <w:tcW w:w="1568" w:type="dxa"/>
            <w:gridSpan w:val="2"/>
            <w:tcBorders>
              <w:top w:val="nil"/>
              <w:left w:val="nil"/>
              <w:bottom w:val="nil"/>
              <w:right w:val="nil"/>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1 038 </w:t>
            </w:r>
          </w:p>
        </w:tc>
        <w:tc>
          <w:tcPr>
            <w:tcW w:w="1550" w:type="dxa"/>
            <w:tcBorders>
              <w:top w:val="nil"/>
              <w:left w:val="nil"/>
              <w:bottom w:val="nil"/>
              <w:right w:val="nil"/>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962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918 </w:t>
            </w:r>
          </w:p>
        </w:tc>
      </w:tr>
      <w:tr w:rsidR="00C82EE5" w:rsidRPr="002D02F3" w:rsidTr="0056083E">
        <w:tc>
          <w:tcPr>
            <w:tcW w:w="590" w:type="dxa"/>
            <w:tcBorders>
              <w:top w:val="nil"/>
              <w:left w:val="single" w:sz="4" w:space="0" w:color="auto"/>
              <w:bottom w:val="single" w:sz="4" w:space="0" w:color="auto"/>
              <w:right w:val="nil"/>
            </w:tcBorders>
            <w:shd w:val="clear" w:color="000000" w:fill="CCFFFF"/>
            <w:noWrap/>
            <w:vAlign w:val="bottom"/>
          </w:tcPr>
          <w:p w:rsidR="00C82EE5" w:rsidRPr="002D02F3" w:rsidRDefault="00C82EE5" w:rsidP="001A5BF9">
            <w:pPr>
              <w:spacing w:before="120" w:after="120"/>
              <w:jc w:val="center"/>
              <w:rPr>
                <w:rFonts w:cs="Arial"/>
                <w:b/>
                <w:bCs/>
                <w:sz w:val="16"/>
                <w:szCs w:val="16"/>
              </w:rPr>
            </w:pPr>
            <w:r w:rsidRPr="002D02F3">
              <w:rPr>
                <w:b/>
                <w:sz w:val="16"/>
              </w:rPr>
              <w:t> </w:t>
            </w:r>
          </w:p>
        </w:tc>
        <w:tc>
          <w:tcPr>
            <w:tcW w:w="4235" w:type="dxa"/>
            <w:tcBorders>
              <w:top w:val="nil"/>
              <w:left w:val="nil"/>
              <w:bottom w:val="single" w:sz="4" w:space="0" w:color="auto"/>
              <w:right w:val="nil"/>
            </w:tcBorders>
            <w:shd w:val="clear" w:color="000000" w:fill="CCFFFF"/>
            <w:noWrap/>
            <w:vAlign w:val="center"/>
          </w:tcPr>
          <w:p w:rsidR="00C82EE5" w:rsidRPr="002D02F3" w:rsidRDefault="00C82EE5" w:rsidP="001A5BF9">
            <w:pPr>
              <w:spacing w:before="120" w:after="120"/>
              <w:rPr>
                <w:rFonts w:cs="Arial"/>
                <w:b/>
                <w:bCs/>
                <w:sz w:val="16"/>
                <w:szCs w:val="16"/>
              </w:rPr>
            </w:pPr>
            <w:r w:rsidRPr="002D02F3">
              <w:rPr>
                <w:b/>
                <w:sz w:val="16"/>
              </w:rPr>
              <w:t>Total</w:t>
            </w:r>
          </w:p>
        </w:tc>
        <w:tc>
          <w:tcPr>
            <w:tcW w:w="1568" w:type="dxa"/>
            <w:gridSpan w:val="2"/>
            <w:tcBorders>
              <w:top w:val="single" w:sz="4" w:space="0" w:color="auto"/>
              <w:left w:val="single" w:sz="4" w:space="0" w:color="auto"/>
              <w:bottom w:val="single" w:sz="4" w:space="0" w:color="auto"/>
              <w:right w:val="single" w:sz="4" w:space="0" w:color="auto"/>
            </w:tcBorders>
            <w:shd w:val="clear" w:color="000000" w:fill="CCFFFF"/>
            <w:vAlign w:val="center"/>
          </w:tcPr>
          <w:p w:rsidR="00C82EE5" w:rsidRPr="002D02F3" w:rsidRDefault="00C82EE5" w:rsidP="001A5BF9">
            <w:pPr>
              <w:spacing w:before="120" w:after="120"/>
              <w:jc w:val="right"/>
              <w:rPr>
                <w:rFonts w:cs="Arial"/>
                <w:b/>
                <w:bCs/>
                <w:sz w:val="16"/>
                <w:szCs w:val="16"/>
              </w:rPr>
            </w:pPr>
            <w:r w:rsidRPr="002D02F3">
              <w:rPr>
                <w:b/>
                <w:sz w:val="16"/>
              </w:rPr>
              <w:t>18 948</w:t>
            </w:r>
          </w:p>
        </w:tc>
        <w:tc>
          <w:tcPr>
            <w:tcW w:w="1550" w:type="dxa"/>
            <w:tcBorders>
              <w:top w:val="single" w:sz="4" w:space="0" w:color="auto"/>
              <w:left w:val="nil"/>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right"/>
              <w:rPr>
                <w:rFonts w:cs="Arial"/>
                <w:b/>
                <w:bCs/>
                <w:sz w:val="16"/>
                <w:szCs w:val="16"/>
              </w:rPr>
            </w:pPr>
            <w:r w:rsidRPr="002D02F3">
              <w:rPr>
                <w:b/>
                <w:sz w:val="16"/>
              </w:rPr>
              <w:t>18 838</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right"/>
              <w:rPr>
                <w:rFonts w:cs="Arial"/>
                <w:b/>
                <w:bCs/>
                <w:sz w:val="16"/>
                <w:szCs w:val="16"/>
              </w:rPr>
            </w:pPr>
            <w:r w:rsidRPr="002D02F3">
              <w:rPr>
                <w:b/>
                <w:sz w:val="16"/>
              </w:rPr>
              <w:t>18 257</w:t>
            </w:r>
          </w:p>
        </w:tc>
      </w:tr>
    </w:tbl>
    <w:p w:rsidR="00D42474" w:rsidRDefault="00D42474" w:rsidP="001A5BF9">
      <w:pPr>
        <w:rPr>
          <w:rFonts w:cs="Arial"/>
          <w:szCs w:val="20"/>
        </w:rPr>
      </w:pPr>
    </w:p>
    <w:p w:rsidR="00D42474" w:rsidRDefault="00D42474" w:rsidP="001A5BF9">
      <w:pPr>
        <w:rPr>
          <w:rFonts w:cs="Arial"/>
          <w:szCs w:val="20"/>
        </w:rPr>
      </w:pPr>
    </w:p>
    <w:p w:rsidR="00D42474" w:rsidRDefault="00C82EE5" w:rsidP="001A5BF9">
      <w:pPr>
        <w:pStyle w:val="NormalWeb"/>
        <w:spacing w:before="0" w:beforeAutospacing="0" w:after="0" w:afterAutospacing="0"/>
        <w:jc w:val="center"/>
        <w:rPr>
          <w:sz w:val="20"/>
        </w:rPr>
      </w:pPr>
      <w:r w:rsidRPr="002D02F3">
        <w:rPr>
          <w:sz w:val="20"/>
        </w:rPr>
        <w:t xml:space="preserve">Budget et dépenses effectives (dépenses de </w:t>
      </w:r>
      <w:proofErr w:type="gramStart"/>
      <w:r w:rsidRPr="002D02F3">
        <w:rPr>
          <w:sz w:val="20"/>
        </w:rPr>
        <w:t>personnel et autres dépenses</w:t>
      </w:r>
      <w:proofErr w:type="gramEnd"/>
      <w:r w:rsidRPr="002D02F3">
        <w:rPr>
          <w:sz w:val="20"/>
        </w:rPr>
        <w:t>)</w:t>
      </w:r>
    </w:p>
    <w:p w:rsidR="00D42474" w:rsidRDefault="00C82EE5"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C82EE5" w:rsidRPr="002D02F3" w:rsidRDefault="00C82EE5" w:rsidP="001A5BF9">
      <w:pPr>
        <w:rPr>
          <w:rFonts w:cs="Arial"/>
          <w:szCs w:val="20"/>
        </w:rPr>
      </w:pPr>
    </w:p>
    <w:tbl>
      <w:tblPr>
        <w:tblpPr w:leftFromText="180" w:rightFromText="180" w:vertAnchor="text" w:horzAnchor="margin" w:tblpX="108" w:tblpY="179"/>
        <w:tblW w:w="0" w:type="auto"/>
        <w:tblLook w:val="04A0" w:firstRow="1" w:lastRow="0" w:firstColumn="1" w:lastColumn="0" w:noHBand="0" w:noVBand="1"/>
      </w:tblPr>
      <w:tblGrid>
        <w:gridCol w:w="2652"/>
        <w:gridCol w:w="1596"/>
        <w:gridCol w:w="1596"/>
        <w:gridCol w:w="1596"/>
        <w:gridCol w:w="1916"/>
      </w:tblGrid>
      <w:tr w:rsidR="00C82EE5" w:rsidRPr="002D02F3" w:rsidTr="0056083E">
        <w:tc>
          <w:tcPr>
            <w:tcW w:w="2652"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rPr>
                <w:rFonts w:cs="Arial"/>
                <w:sz w:val="16"/>
                <w:szCs w:val="16"/>
              </w:rPr>
            </w:pPr>
            <w:r w:rsidRPr="002D02F3">
              <w:rPr>
                <w:sz w:val="16"/>
              </w:rPr>
              <w:t> </w:t>
            </w:r>
          </w:p>
        </w:tc>
        <w:tc>
          <w:tcPr>
            <w:tcW w:w="1596"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596"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596"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916"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utilisation (</w:t>
            </w:r>
            <w:r w:rsidR="007E442D" w:rsidRPr="002D02F3">
              <w:rPr>
                <w:sz w:val="16"/>
              </w:rPr>
              <w:t>%</w:t>
            </w:r>
            <w:r w:rsidRPr="002D02F3">
              <w:rPr>
                <w:sz w:val="16"/>
              </w:rPr>
              <w:t>)</w:t>
            </w:r>
          </w:p>
        </w:tc>
      </w:tr>
      <w:tr w:rsidR="00C82EE5" w:rsidRPr="002D02F3" w:rsidTr="0056083E">
        <w:tc>
          <w:tcPr>
            <w:tcW w:w="2652"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596"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16 420</w:t>
            </w:r>
          </w:p>
        </w:tc>
        <w:tc>
          <w:tcPr>
            <w:tcW w:w="1596"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15 253</w:t>
            </w:r>
          </w:p>
        </w:tc>
        <w:tc>
          <w:tcPr>
            <w:tcW w:w="1596"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15 253</w:t>
            </w:r>
          </w:p>
        </w:tc>
        <w:tc>
          <w:tcPr>
            <w:tcW w:w="1916"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100</w:t>
            </w:r>
            <w:r w:rsidR="007E442D" w:rsidRPr="002D02F3">
              <w:rPr>
                <w:sz w:val="16"/>
              </w:rPr>
              <w:t>%</w:t>
            </w:r>
          </w:p>
        </w:tc>
      </w:tr>
      <w:tr w:rsidR="00C82EE5" w:rsidRPr="002D02F3" w:rsidTr="0056083E">
        <w:tc>
          <w:tcPr>
            <w:tcW w:w="2652"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rPr>
                <w:rFonts w:cs="Arial"/>
                <w:sz w:val="16"/>
                <w:szCs w:val="16"/>
              </w:rPr>
            </w:pPr>
            <w:r w:rsidRPr="002D02F3">
              <w:rPr>
                <w:sz w:val="16"/>
              </w:rPr>
              <w:t xml:space="preserve">Autres dépenses </w:t>
            </w:r>
          </w:p>
        </w:tc>
        <w:tc>
          <w:tcPr>
            <w:tcW w:w="1596"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2 528</w:t>
            </w:r>
          </w:p>
        </w:tc>
        <w:tc>
          <w:tcPr>
            <w:tcW w:w="1596"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3 585</w:t>
            </w:r>
          </w:p>
        </w:tc>
        <w:tc>
          <w:tcPr>
            <w:tcW w:w="1596"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3 005</w:t>
            </w:r>
          </w:p>
        </w:tc>
        <w:tc>
          <w:tcPr>
            <w:tcW w:w="1916"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84</w:t>
            </w:r>
            <w:r w:rsidR="007E442D" w:rsidRPr="002D02F3">
              <w:rPr>
                <w:sz w:val="16"/>
              </w:rPr>
              <w:t>%</w:t>
            </w:r>
          </w:p>
        </w:tc>
      </w:tr>
      <w:tr w:rsidR="00C82EE5" w:rsidRPr="002D02F3" w:rsidTr="0056083E">
        <w:tc>
          <w:tcPr>
            <w:tcW w:w="2652"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jc w:val="right"/>
              <w:rPr>
                <w:rFonts w:cs="Arial"/>
                <w:b/>
                <w:bCs/>
                <w:sz w:val="16"/>
                <w:szCs w:val="16"/>
              </w:rPr>
            </w:pPr>
            <w:r w:rsidRPr="002D02F3">
              <w:rPr>
                <w:b/>
                <w:sz w:val="16"/>
              </w:rPr>
              <w:t xml:space="preserve">TOTAL </w:t>
            </w:r>
          </w:p>
        </w:tc>
        <w:tc>
          <w:tcPr>
            <w:tcW w:w="1596"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bCs/>
                <w:sz w:val="16"/>
                <w:szCs w:val="16"/>
              </w:rPr>
            </w:pPr>
            <w:r w:rsidRPr="002D02F3">
              <w:rPr>
                <w:b/>
                <w:sz w:val="16"/>
              </w:rPr>
              <w:t>18 948</w:t>
            </w:r>
          </w:p>
        </w:tc>
        <w:tc>
          <w:tcPr>
            <w:tcW w:w="1596"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18 838</w:t>
            </w:r>
          </w:p>
        </w:tc>
        <w:tc>
          <w:tcPr>
            <w:tcW w:w="1596"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18 257</w:t>
            </w:r>
          </w:p>
        </w:tc>
        <w:tc>
          <w:tcPr>
            <w:tcW w:w="1916"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97</w:t>
            </w:r>
            <w:r w:rsidR="007E442D" w:rsidRPr="002D02F3">
              <w:rPr>
                <w:b/>
                <w:sz w:val="16"/>
              </w:rPr>
              <w:t>%</w:t>
            </w:r>
          </w:p>
        </w:tc>
      </w:tr>
    </w:tbl>
    <w:p w:rsidR="00D42474" w:rsidRDefault="00D42474" w:rsidP="001A5BF9">
      <w:pPr>
        <w:rPr>
          <w:rFonts w:cs="Arial"/>
        </w:rPr>
      </w:pPr>
    </w:p>
    <w:p w:rsidR="00D42474" w:rsidRDefault="00C82EE5" w:rsidP="001A5BF9">
      <w:pPr>
        <w:keepNext/>
        <w:keepLines/>
        <w:autoSpaceDE w:val="0"/>
        <w:autoSpaceDN w:val="0"/>
        <w:adjustRightInd w:val="0"/>
        <w:rPr>
          <w:rFonts w:cs="Arial"/>
          <w:sz w:val="16"/>
          <w:szCs w:val="16"/>
        </w:rPr>
      </w:pPr>
      <w:proofErr w:type="gramStart"/>
      <w:r w:rsidRPr="002D02F3">
        <w:rPr>
          <w:sz w:val="16"/>
        </w:rPr>
        <w:t>NOTES</w:t>
      </w:r>
      <w:proofErr w:type="gramEnd"/>
      <w:r w:rsidR="0010442A" w:rsidRPr="002D02F3">
        <w:rPr>
          <w:sz w:val="16"/>
        </w:rPr>
        <w:t> </w:t>
      </w:r>
      <w:r w:rsidRPr="002D02F3">
        <w:rPr>
          <w:sz w:val="16"/>
        </w:rPr>
        <w:t>:</w:t>
      </w:r>
    </w:p>
    <w:p w:rsidR="00D42474" w:rsidRDefault="00D42474" w:rsidP="001A5BF9">
      <w:pPr>
        <w:keepNext/>
        <w:keepLines/>
        <w:autoSpaceDE w:val="0"/>
        <w:autoSpaceDN w:val="0"/>
        <w:adjustRightInd w:val="0"/>
        <w:rPr>
          <w:rFonts w:cs="Arial"/>
          <w:sz w:val="16"/>
          <w:szCs w:val="16"/>
        </w:rPr>
      </w:pPr>
    </w:p>
    <w:p w:rsidR="00D42474" w:rsidRDefault="00C82EE5" w:rsidP="001A5BF9">
      <w:pPr>
        <w:keepNext/>
        <w:keepLines/>
        <w:autoSpaceDE w:val="0"/>
        <w:autoSpaceDN w:val="0"/>
        <w:adjustRightInd w:val="0"/>
        <w:rPr>
          <w:rFonts w:cs="Arial"/>
          <w:sz w:val="16"/>
          <w:szCs w:val="16"/>
        </w:rPr>
      </w:pPr>
      <w:r w:rsidRPr="002D02F3">
        <w:rPr>
          <w:sz w:val="16"/>
        </w:rPr>
        <w:t>1)</w:t>
      </w:r>
      <w:r w:rsidR="004F3E42" w:rsidRPr="002D02F3">
        <w:rPr>
          <w:sz w:val="16"/>
        </w:rPr>
        <w:t xml:space="preserve"> </w:t>
      </w:r>
      <w:r w:rsidR="00E05381">
        <w:rPr>
          <w:sz w:val="16"/>
        </w:rPr>
        <w:tab/>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keepNext/>
        <w:keepLines/>
        <w:autoSpaceDE w:val="0"/>
        <w:autoSpaceDN w:val="0"/>
        <w:adjustRightInd w:val="0"/>
        <w:rPr>
          <w:rFonts w:cs="Arial"/>
          <w:sz w:val="16"/>
          <w:szCs w:val="16"/>
        </w:rPr>
      </w:pPr>
    </w:p>
    <w:p w:rsidR="00D42474" w:rsidRDefault="00C82EE5" w:rsidP="001A5BF9">
      <w:pPr>
        <w:keepNext/>
        <w:keepLines/>
        <w:autoSpaceDE w:val="0"/>
        <w:autoSpaceDN w:val="0"/>
        <w:adjustRightInd w:val="0"/>
        <w:rPr>
          <w:sz w:val="16"/>
        </w:rPr>
      </w:pPr>
      <w:r w:rsidRPr="002D02F3">
        <w:rPr>
          <w:sz w:val="16"/>
        </w:rPr>
        <w:t>2)</w:t>
      </w:r>
      <w:r w:rsidR="00E05381">
        <w:rPr>
          <w:sz w:val="16"/>
        </w:rPr>
        <w:tab/>
      </w:r>
      <w:r w:rsidRPr="002D02F3">
        <w:rPr>
          <w:sz w:val="16"/>
        </w:rPr>
        <w:t>Les dépenses de personnel indiquées dans le budget de l</w:t>
      </w:r>
      <w:r w:rsidR="00A20444" w:rsidRPr="002D02F3">
        <w:rPr>
          <w:sz w:val="16"/>
        </w:rPr>
        <w:t>’</w:t>
      </w:r>
      <w:r w:rsidRPr="002D02F3">
        <w:rPr>
          <w:sz w:val="16"/>
        </w:rPr>
        <w:t>exercice 2012</w:t>
      </w:r>
      <w:r w:rsidR="002D6F2A" w:rsidRPr="002D02F3">
        <w:rPr>
          <w:sz w:val="16"/>
        </w:rPr>
        <w:noBreakHyphen/>
      </w:r>
      <w:r w:rsidRPr="002D02F3">
        <w:rPr>
          <w:sz w:val="16"/>
        </w:rPr>
        <w:t>2013 après virements représentent les dépenses réelles engagées pendant l</w:t>
      </w:r>
      <w:r w:rsidR="00A20444" w:rsidRPr="002D02F3">
        <w:rPr>
          <w:sz w:val="16"/>
        </w:rPr>
        <w:t>’</w:t>
      </w:r>
      <w:r w:rsidRPr="002D02F3">
        <w:rPr>
          <w:sz w:val="16"/>
        </w:rPr>
        <w:t>exercice biennal.</w:t>
      </w:r>
    </w:p>
    <w:p w:rsidR="00D42474" w:rsidRDefault="00D42474" w:rsidP="001A5BF9">
      <w:pPr>
        <w:rPr>
          <w:rFonts w:cs="Arial"/>
        </w:rPr>
      </w:pPr>
    </w:p>
    <w:p w:rsidR="00D42474" w:rsidRDefault="00C82EE5" w:rsidP="001A5BF9">
      <w:pPr>
        <w:tabs>
          <w:tab w:val="left" w:pos="709"/>
        </w:tabs>
        <w:jc w:val="both"/>
        <w:rPr>
          <w:rFonts w:cs="Arial"/>
          <w:szCs w:val="20"/>
          <w:u w:val="single"/>
        </w:rPr>
      </w:pPr>
      <w:r w:rsidRPr="002D02F3">
        <w:t>A.</w:t>
      </w:r>
      <w:r w:rsidRPr="002D02F3">
        <w:tab/>
      </w:r>
      <w:r w:rsidRPr="00E05381">
        <w:rPr>
          <w:u w:val="single"/>
        </w:rPr>
        <w:t>Budget 2012</w:t>
      </w:r>
      <w:r w:rsidR="002D6F2A" w:rsidRPr="00E05381">
        <w:rPr>
          <w:u w:val="single"/>
        </w:rPr>
        <w:noBreakHyphen/>
      </w:r>
      <w:r w:rsidRPr="00E05381">
        <w:rPr>
          <w:u w:val="single"/>
        </w:rPr>
        <w:t>2013 après virements</w:t>
      </w:r>
    </w:p>
    <w:p w:rsidR="00D42474" w:rsidRDefault="00D42474" w:rsidP="001A5BF9">
      <w:pPr>
        <w:jc w:val="both"/>
        <w:rPr>
          <w:rFonts w:cs="Arial"/>
          <w:szCs w:val="20"/>
          <w:u w:val="single"/>
        </w:rPr>
      </w:pPr>
    </w:p>
    <w:p w:rsidR="00D42474" w:rsidRDefault="00C82EE5" w:rsidP="001A5BF9">
      <w:pPr>
        <w:tabs>
          <w:tab w:val="left" w:pos="709"/>
        </w:tabs>
        <w:jc w:val="both"/>
        <w:rPr>
          <w:rFonts w:cs="Arial"/>
          <w:sz w:val="18"/>
          <w:szCs w:val="18"/>
        </w:rPr>
      </w:pPr>
      <w:r w:rsidRPr="002D02F3">
        <w:t>21.11.</w:t>
      </w:r>
      <w:r w:rsidRPr="002D02F3">
        <w:tab/>
        <w:t>Le budget 2012</w:t>
      </w:r>
      <w:r w:rsidR="002D6F2A" w:rsidRPr="002D02F3">
        <w:noBreakHyphen/>
      </w:r>
      <w:r w:rsidRPr="002D02F3">
        <w:t>2013 après virements traduit une nette augmentation des ressources hors personnel d</w:t>
      </w:r>
      <w:r w:rsidR="00A20444" w:rsidRPr="002D02F3">
        <w:t>’</w:t>
      </w:r>
      <w:r w:rsidRPr="002D02F3">
        <w:t>un million de francs suisses affectées à la mise en œuvre du PRS dans le cadre du résultat </w:t>
      </w:r>
      <w:proofErr w:type="spellStart"/>
      <w:r w:rsidRPr="002D02F3">
        <w:t>IX.7</w:t>
      </w:r>
      <w:proofErr w:type="spellEnd"/>
      <w:r w:rsidRPr="002D02F3">
        <w:t xml:space="preserve"> (Meilleure coordination et meilleure cohésion au sein du Secrétariat). </w:t>
      </w:r>
      <w:r w:rsidR="0010442A" w:rsidRPr="002D02F3">
        <w:t xml:space="preserve"> </w:t>
      </w:r>
      <w:r w:rsidRPr="002D02F3">
        <w:t>Cela tient essentiellement au report de certaines activités de l</w:t>
      </w:r>
      <w:r w:rsidR="00A20444" w:rsidRPr="002D02F3">
        <w:t>’</w:t>
      </w:r>
      <w:r w:rsidRPr="002D02F3">
        <w:t>exercice biennal 2010</w:t>
      </w:r>
      <w:r w:rsidR="002D6F2A" w:rsidRPr="002D02F3">
        <w:noBreakHyphen/>
      </w:r>
      <w:r w:rsidRPr="002D02F3">
        <w:t>2011 à celui de 2012</w:t>
      </w:r>
      <w:r w:rsidR="002D6F2A" w:rsidRPr="002D02F3">
        <w:noBreakHyphen/>
      </w:r>
      <w:r w:rsidRPr="002D02F3">
        <w:t>2013 et en partie à un élargissement de la portée de certaines initiatives, notamment au renforcement des contrôles internes et à la structure de l</w:t>
      </w:r>
      <w:r w:rsidR="00A20444" w:rsidRPr="002D02F3">
        <w:t>’</w:t>
      </w:r>
      <w:r w:rsidRPr="002D02F3">
        <w:t xml:space="preserve">organisation. </w:t>
      </w:r>
      <w:r w:rsidR="0010442A" w:rsidRPr="002D02F3">
        <w:t xml:space="preserve"> </w:t>
      </w:r>
      <w:r w:rsidRPr="002D02F3">
        <w:t>Le budget 2012</w:t>
      </w:r>
      <w:r w:rsidR="002D6F2A" w:rsidRPr="002D02F3">
        <w:noBreakHyphen/>
      </w:r>
      <w:r w:rsidRPr="002D02F3">
        <w:t>2013 après virements traduit également une baisse des ressources en personnel d</w:t>
      </w:r>
      <w:r w:rsidR="00A20444" w:rsidRPr="002D02F3">
        <w:t>’</w:t>
      </w:r>
      <w:r w:rsidRPr="002D02F3">
        <w:t>environ 1,2 million de francs suisses, essentiellement due à plusieurs postes vacants au sein du cabinet du Directeur général.</w:t>
      </w:r>
    </w:p>
    <w:p w:rsidR="00D42474" w:rsidRDefault="00D42474" w:rsidP="001A5BF9">
      <w:pPr>
        <w:jc w:val="both"/>
        <w:rPr>
          <w:rFonts w:cs="Arial"/>
          <w:szCs w:val="20"/>
        </w:rPr>
      </w:pPr>
    </w:p>
    <w:p w:rsidR="00D42474" w:rsidRDefault="00C82EE5" w:rsidP="001A5BF9">
      <w:pPr>
        <w:tabs>
          <w:tab w:val="left" w:pos="709"/>
        </w:tabs>
        <w:jc w:val="both"/>
        <w:rPr>
          <w:rFonts w:cs="Arial"/>
          <w:szCs w:val="20"/>
          <w:u w:val="single"/>
        </w:rPr>
      </w:pPr>
      <w:r w:rsidRPr="002D02F3">
        <w:t>B.</w:t>
      </w:r>
      <w:r w:rsidRPr="002D02F3">
        <w:tab/>
      </w:r>
      <w:r w:rsidRPr="002D02F3">
        <w:rPr>
          <w:u w:val="single"/>
        </w:rPr>
        <w:t>Utilisation du budget 2012</w:t>
      </w:r>
      <w:r w:rsidR="002D6F2A" w:rsidRPr="002D02F3">
        <w:rPr>
          <w:u w:val="single"/>
        </w:rPr>
        <w:noBreakHyphen/>
      </w:r>
      <w:r w:rsidRPr="002D02F3">
        <w:rPr>
          <w:u w:val="single"/>
        </w:rPr>
        <w:t>2013</w:t>
      </w:r>
    </w:p>
    <w:p w:rsidR="00D42474" w:rsidRDefault="00D42474" w:rsidP="001A5BF9">
      <w:pPr>
        <w:jc w:val="both"/>
        <w:rPr>
          <w:rFonts w:cs="Arial"/>
          <w:szCs w:val="20"/>
        </w:rPr>
      </w:pPr>
    </w:p>
    <w:p w:rsidR="00D42474" w:rsidRDefault="00C82EE5" w:rsidP="00E05381">
      <w:pPr>
        <w:tabs>
          <w:tab w:val="left" w:pos="709"/>
        </w:tabs>
        <w:jc w:val="both"/>
        <w:rPr>
          <w:rFonts w:eastAsia="SimSun"/>
          <w:color w:val="000000"/>
          <w:szCs w:val="20"/>
        </w:rPr>
      </w:pPr>
      <w:r w:rsidRPr="002D02F3">
        <w:t>21.12.</w:t>
      </w:r>
      <w:r w:rsidRPr="002D02F3">
        <w:tab/>
        <w:t>L</w:t>
      </w:r>
      <w:r w:rsidR="00A20444" w:rsidRPr="002D02F3">
        <w:t>’</w:t>
      </w:r>
      <w:r w:rsidRPr="002D02F3">
        <w:t>utilisation du budget s</w:t>
      </w:r>
      <w:r w:rsidR="00A20444" w:rsidRPr="002D02F3">
        <w:t>’</w:t>
      </w:r>
      <w:r w:rsidRPr="002D02F3">
        <w:t>est élevée à 84</w:t>
      </w:r>
      <w:r w:rsidR="007E442D" w:rsidRPr="002D02F3">
        <w:t>%</w:t>
      </w:r>
      <w:r w:rsidRPr="002D02F3">
        <w:t>, essentiellement en raison d</w:t>
      </w:r>
      <w:r w:rsidR="00A20444" w:rsidRPr="002D02F3">
        <w:t>’</w:t>
      </w:r>
      <w:r w:rsidRPr="002D02F3">
        <w:t>économies réalisées dans le cadre du PRS qui trouvent leur reflet sous le résultat </w:t>
      </w:r>
      <w:proofErr w:type="spellStart"/>
      <w:r w:rsidRPr="002D02F3">
        <w:t>IX.7</w:t>
      </w:r>
      <w:proofErr w:type="spellEnd"/>
      <w:r w:rsidRPr="002D02F3">
        <w:t xml:space="preserve"> (Meilleure coordination et meilleure cohésion au sein du Secrétariat)</w:t>
      </w:r>
      <w:r w:rsidR="00B64C83" w:rsidRPr="002D02F3">
        <w:t>.</w:t>
      </w:r>
      <w:r w:rsidRPr="005C7CCE">
        <w:br w:type="page"/>
      </w:r>
    </w:p>
    <w:p w:rsidR="00D42474" w:rsidRDefault="006E4689" w:rsidP="006E4689">
      <w:pPr>
        <w:pStyle w:val="Heading3"/>
        <w:rPr>
          <w:rFonts w:cs="Arial"/>
        </w:rPr>
      </w:pPr>
      <w:bookmarkStart w:id="42" w:name="_Toc395082494"/>
      <w:r w:rsidRPr="00933D5A">
        <w:t>Programme 22</w:t>
      </w:r>
      <w:r w:rsidRPr="00933D5A">
        <w:tab/>
        <w:t>Gestion du programme et des ressources</w:t>
      </w:r>
      <w:bookmarkEnd w:id="42"/>
    </w:p>
    <w:p w:rsidR="00D42474" w:rsidRDefault="00D42474" w:rsidP="001A5BF9">
      <w:pPr>
        <w:ind w:left="2268" w:hanging="2268"/>
        <w:rPr>
          <w:rFonts w:cs="Arial"/>
          <w:b/>
          <w:sz w:val="22"/>
          <w:szCs w:val="22"/>
        </w:rPr>
      </w:pPr>
    </w:p>
    <w:p w:rsidR="00D42474" w:rsidRDefault="00C82EE5" w:rsidP="001A5BF9">
      <w:pPr>
        <w:ind w:left="2268" w:hanging="2268"/>
        <w:rPr>
          <w:rFonts w:cs="Arial"/>
          <w:b/>
          <w:sz w:val="22"/>
          <w:szCs w:val="22"/>
        </w:rPr>
      </w:pPr>
      <w:r w:rsidRPr="00933D5A">
        <w:rPr>
          <w:b/>
          <w:sz w:val="22"/>
          <w:szCs w:val="22"/>
        </w:rPr>
        <w:t>Chef de programme</w:t>
      </w:r>
      <w:r w:rsidRPr="00933D5A">
        <w:rPr>
          <w:b/>
          <w:sz w:val="22"/>
          <w:szCs w:val="22"/>
        </w:rPr>
        <w:tab/>
      </w:r>
      <w:r w:rsidRPr="00933D5A">
        <w:rPr>
          <w:b/>
          <w:sz w:val="22"/>
          <w:szCs w:val="22"/>
        </w:rPr>
        <w:tab/>
        <w:t>M. A.</w:t>
      </w:r>
      <w:r w:rsidR="0010442A" w:rsidRPr="00933D5A">
        <w:rPr>
          <w:b/>
          <w:sz w:val="22"/>
          <w:szCs w:val="22"/>
        </w:rPr>
        <w:t> </w:t>
      </w:r>
      <w:proofErr w:type="spellStart"/>
      <w:r w:rsidRPr="00933D5A">
        <w:rPr>
          <w:b/>
          <w:sz w:val="22"/>
          <w:szCs w:val="22"/>
        </w:rPr>
        <w:t>Sundaram</w:t>
      </w:r>
      <w:proofErr w:type="spellEnd"/>
    </w:p>
    <w:p w:rsidR="00D42474" w:rsidRDefault="00D42474" w:rsidP="001A5BF9">
      <w:pPr>
        <w:rPr>
          <w:rFonts w:cs="Arial"/>
          <w:sz w:val="22"/>
          <w:szCs w:val="22"/>
        </w:rPr>
      </w:pPr>
    </w:p>
    <w:p w:rsidR="00D42474" w:rsidRDefault="00D42474" w:rsidP="001A5BF9">
      <w:pPr>
        <w:rPr>
          <w:rFonts w:cs="Arial"/>
          <w:bCs/>
          <w:sz w:val="22"/>
          <w:szCs w:val="22"/>
        </w:rPr>
      </w:pPr>
    </w:p>
    <w:p w:rsidR="00D42474" w:rsidRDefault="00C82EE5" w:rsidP="001A5BF9">
      <w:pPr>
        <w:rPr>
          <w:rFonts w:cs="Arial"/>
          <w:sz w:val="22"/>
          <w:szCs w:val="22"/>
        </w:rPr>
      </w:pPr>
      <w:r w:rsidRPr="00933D5A">
        <w:rPr>
          <w:sz w:val="22"/>
          <w:szCs w:val="22"/>
        </w:rPr>
        <w:t>RÉALISATIONS EN 2012</w:t>
      </w:r>
      <w:r w:rsidR="002D6F2A" w:rsidRPr="00933D5A">
        <w:rPr>
          <w:sz w:val="22"/>
          <w:szCs w:val="22"/>
        </w:rPr>
        <w:noBreakHyphen/>
      </w:r>
      <w:r w:rsidRPr="00933D5A">
        <w:rPr>
          <w:sz w:val="22"/>
          <w:szCs w:val="22"/>
        </w:rPr>
        <w:t>2013</w:t>
      </w:r>
    </w:p>
    <w:p w:rsidR="00D42474" w:rsidRDefault="00D42474" w:rsidP="001A5BF9">
      <w:pPr>
        <w:rPr>
          <w:rFonts w:cs="Arial"/>
          <w:sz w:val="22"/>
          <w:szCs w:val="22"/>
        </w:rPr>
      </w:pPr>
    </w:p>
    <w:p w:rsidR="00D42474" w:rsidRDefault="00C82EE5" w:rsidP="001A5BF9">
      <w:pPr>
        <w:tabs>
          <w:tab w:val="left" w:pos="709"/>
        </w:tabs>
        <w:autoSpaceDE w:val="0"/>
        <w:autoSpaceDN w:val="0"/>
        <w:adjustRightInd w:val="0"/>
        <w:jc w:val="both"/>
      </w:pPr>
      <w:r w:rsidRPr="002D02F3">
        <w:t>22.1.</w:t>
      </w:r>
      <w:r w:rsidRPr="002D02F3">
        <w:tab/>
        <w:t>La plate</w:t>
      </w:r>
      <w:r w:rsidR="002D6F2A" w:rsidRPr="002D02F3">
        <w:noBreakHyphen/>
      </w:r>
      <w:r w:rsidRPr="002D02F3">
        <w:t>forme renforcée de planification fournie dans le programme et budget 2012</w:t>
      </w:r>
      <w:r w:rsidR="002D6F2A" w:rsidRPr="002D02F3">
        <w:noBreakHyphen/>
      </w:r>
      <w:r w:rsidRPr="002D02F3">
        <w:t>2013 a constitué l</w:t>
      </w:r>
      <w:r w:rsidR="00A20444" w:rsidRPr="002D02F3">
        <w:t>’</w:t>
      </w:r>
      <w:r w:rsidRPr="002D02F3">
        <w:t>assise de la poursuite des améliorations apportées à la gestion des programmes et des finances pendant l</w:t>
      </w:r>
      <w:r w:rsidR="00A20444" w:rsidRPr="002D02F3">
        <w:t>’</w:t>
      </w:r>
      <w:r w:rsidRPr="002D02F3">
        <w:t>exercice biennal.</w:t>
      </w:r>
    </w:p>
    <w:p w:rsidR="00D42474" w:rsidRDefault="00D42474" w:rsidP="001A5BF9">
      <w:pPr>
        <w:tabs>
          <w:tab w:val="left" w:pos="709"/>
        </w:tabs>
        <w:autoSpaceDE w:val="0"/>
        <w:autoSpaceDN w:val="0"/>
        <w:adjustRightInd w:val="0"/>
        <w:jc w:val="both"/>
        <w:rPr>
          <w:rFonts w:cs="Arial"/>
          <w:szCs w:val="20"/>
        </w:rPr>
      </w:pPr>
    </w:p>
    <w:p w:rsidR="00D42474" w:rsidRDefault="00C82EE5" w:rsidP="001A5BF9">
      <w:pPr>
        <w:tabs>
          <w:tab w:val="left" w:pos="709"/>
        </w:tabs>
        <w:autoSpaceDE w:val="0"/>
        <w:autoSpaceDN w:val="0"/>
        <w:adjustRightInd w:val="0"/>
        <w:jc w:val="both"/>
        <w:rPr>
          <w:szCs w:val="20"/>
        </w:rPr>
      </w:pPr>
      <w:r w:rsidRPr="00933D5A">
        <w:rPr>
          <w:szCs w:val="20"/>
        </w:rPr>
        <w:t>22.2.</w:t>
      </w:r>
      <w:r w:rsidRPr="00933D5A">
        <w:rPr>
          <w:szCs w:val="20"/>
        </w:rPr>
        <w:tab/>
        <w:t>Les processus annuels 2012 et 2013 de planification des activités ont été encore améliorés, appuyés par un instrument de planification de première et deuxième génération issu du projet ERP </w:t>
      </w:r>
      <w:proofErr w:type="spellStart"/>
      <w:r w:rsidRPr="00933D5A">
        <w:rPr>
          <w:szCs w:val="20"/>
        </w:rPr>
        <w:t>EPM</w:t>
      </w:r>
      <w:proofErr w:type="spellEnd"/>
      <w:r w:rsidRPr="00933D5A">
        <w:rPr>
          <w:szCs w:val="20"/>
        </w:rPr>
        <w:t xml:space="preserve">, alignant étroitement les ressources sur les résultats escomptés au moyen des activités du programme de travail. </w:t>
      </w:r>
      <w:r w:rsidR="0010442A" w:rsidRPr="00933D5A">
        <w:rPr>
          <w:szCs w:val="20"/>
        </w:rPr>
        <w:t xml:space="preserve"> </w:t>
      </w:r>
      <w:r w:rsidRPr="00933D5A">
        <w:rPr>
          <w:szCs w:val="20"/>
        </w:rPr>
        <w:t>Cela a, pour la première fois, permis au Secrétariat d</w:t>
      </w:r>
      <w:r w:rsidR="00A20444" w:rsidRPr="00933D5A">
        <w:rPr>
          <w:szCs w:val="20"/>
        </w:rPr>
        <w:t>’</w:t>
      </w:r>
      <w:r w:rsidRPr="00933D5A">
        <w:rPr>
          <w:szCs w:val="20"/>
        </w:rPr>
        <w:t xml:space="preserve">effectuer une analyse </w:t>
      </w:r>
      <w:proofErr w:type="spellStart"/>
      <w:r w:rsidRPr="00933D5A">
        <w:rPr>
          <w:szCs w:val="20"/>
        </w:rPr>
        <w:t>interorganisations</w:t>
      </w:r>
      <w:proofErr w:type="spellEnd"/>
      <w:r w:rsidRPr="00933D5A">
        <w:rPr>
          <w:szCs w:val="20"/>
        </w:rPr>
        <w:t xml:space="preserve"> d</w:t>
      </w:r>
      <w:r w:rsidR="00A20444" w:rsidRPr="00933D5A">
        <w:rPr>
          <w:szCs w:val="20"/>
        </w:rPr>
        <w:t>’</w:t>
      </w:r>
      <w:r w:rsidRPr="00933D5A">
        <w:rPr>
          <w:szCs w:val="20"/>
        </w:rPr>
        <w:t>activités du programme de travail sur plusieurs dimensions, telles que les résultats et pays, contribuant ainsi à une meilleure coordination entre les agents d</w:t>
      </w:r>
      <w:r w:rsidR="00A20444" w:rsidRPr="00933D5A">
        <w:rPr>
          <w:szCs w:val="20"/>
        </w:rPr>
        <w:t>’</w:t>
      </w:r>
      <w:r w:rsidRPr="00933D5A">
        <w:rPr>
          <w:szCs w:val="20"/>
        </w:rPr>
        <w:t>exécution et une meilleure cohésion dans la prestation des services de l</w:t>
      </w:r>
      <w:r w:rsidR="00A20444" w:rsidRPr="00933D5A">
        <w:rPr>
          <w:szCs w:val="20"/>
        </w:rPr>
        <w:t>’</w:t>
      </w:r>
      <w:r w:rsidRPr="00933D5A">
        <w:rPr>
          <w:szCs w:val="20"/>
        </w:rPr>
        <w:t xml:space="preserve">OMPI. </w:t>
      </w:r>
      <w:r w:rsidR="0010442A" w:rsidRPr="00933D5A">
        <w:rPr>
          <w:szCs w:val="20"/>
        </w:rPr>
        <w:t xml:space="preserve"> </w:t>
      </w:r>
      <w:r w:rsidRPr="00933D5A">
        <w:rPr>
          <w:szCs w:val="20"/>
        </w:rPr>
        <w:t>Ce système a par ailleurs permis aux chefs de programme de suivre pour la première fois les dépenses réelles par rapport à leur programme de travail durant son exécution.</w:t>
      </w:r>
    </w:p>
    <w:p w:rsidR="00D42474" w:rsidRDefault="00D42474" w:rsidP="001A5BF9">
      <w:pPr>
        <w:tabs>
          <w:tab w:val="left" w:pos="709"/>
        </w:tabs>
        <w:autoSpaceDE w:val="0"/>
        <w:autoSpaceDN w:val="0"/>
        <w:adjustRightInd w:val="0"/>
        <w:jc w:val="both"/>
        <w:rPr>
          <w:rFonts w:cs="Arial"/>
          <w:szCs w:val="20"/>
        </w:rPr>
      </w:pPr>
    </w:p>
    <w:p w:rsidR="00D42474" w:rsidRDefault="00C82EE5" w:rsidP="001A5BF9">
      <w:pPr>
        <w:tabs>
          <w:tab w:val="left" w:pos="709"/>
        </w:tabs>
        <w:autoSpaceDE w:val="0"/>
        <w:autoSpaceDN w:val="0"/>
        <w:adjustRightInd w:val="0"/>
        <w:jc w:val="both"/>
        <w:rPr>
          <w:szCs w:val="20"/>
        </w:rPr>
      </w:pPr>
      <w:r w:rsidRPr="00933D5A">
        <w:rPr>
          <w:szCs w:val="20"/>
        </w:rPr>
        <w:t>22.3.</w:t>
      </w:r>
      <w:r w:rsidRPr="00933D5A">
        <w:rPr>
          <w:szCs w:val="20"/>
        </w:rPr>
        <w:tab/>
        <w:t>En outre, l</w:t>
      </w:r>
      <w:r w:rsidR="00A20444" w:rsidRPr="00933D5A">
        <w:rPr>
          <w:szCs w:val="20"/>
        </w:rPr>
        <w:t>’</w:t>
      </w:r>
      <w:r w:rsidRPr="00933D5A">
        <w:rPr>
          <w:szCs w:val="20"/>
        </w:rPr>
        <w:t>élaboration de l</w:t>
      </w:r>
      <w:r w:rsidR="00A20444" w:rsidRPr="00933D5A">
        <w:rPr>
          <w:szCs w:val="20"/>
        </w:rPr>
        <w:t>’</w:t>
      </w:r>
      <w:r w:rsidRPr="00933D5A">
        <w:rPr>
          <w:szCs w:val="20"/>
        </w:rPr>
        <w:t>instrument </w:t>
      </w:r>
      <w:proofErr w:type="spellStart"/>
      <w:r w:rsidRPr="00933D5A">
        <w:rPr>
          <w:szCs w:val="20"/>
        </w:rPr>
        <w:t>EPM</w:t>
      </w:r>
      <w:proofErr w:type="spellEnd"/>
      <w:r w:rsidRPr="00933D5A">
        <w:rPr>
          <w:szCs w:val="20"/>
        </w:rPr>
        <w:t xml:space="preserve"> à l</w:t>
      </w:r>
      <w:r w:rsidR="00A20444" w:rsidRPr="00933D5A">
        <w:rPr>
          <w:szCs w:val="20"/>
        </w:rPr>
        <w:t>’</w:t>
      </w:r>
      <w:r w:rsidRPr="00933D5A">
        <w:rPr>
          <w:szCs w:val="20"/>
        </w:rPr>
        <w:t>appui du processus de planification pour l</w:t>
      </w:r>
      <w:r w:rsidR="00A20444" w:rsidRPr="00933D5A">
        <w:rPr>
          <w:szCs w:val="20"/>
        </w:rPr>
        <w:t>’</w:t>
      </w:r>
      <w:r w:rsidRPr="00933D5A">
        <w:rPr>
          <w:szCs w:val="20"/>
        </w:rPr>
        <w:t>exercice 2014</w:t>
      </w:r>
      <w:r w:rsidR="002D6F2A" w:rsidRPr="00933D5A">
        <w:rPr>
          <w:szCs w:val="20"/>
        </w:rPr>
        <w:noBreakHyphen/>
      </w:r>
      <w:r w:rsidRPr="00933D5A">
        <w:rPr>
          <w:szCs w:val="20"/>
        </w:rPr>
        <w:t>2015 a été achevée et cet instrument a été mis à la disposition des chefs de programme au début de l</w:t>
      </w:r>
      <w:r w:rsidR="00A20444" w:rsidRPr="00933D5A">
        <w:rPr>
          <w:szCs w:val="20"/>
        </w:rPr>
        <w:t>’</w:t>
      </w:r>
      <w:r w:rsidRPr="00933D5A">
        <w:rPr>
          <w:szCs w:val="20"/>
        </w:rPr>
        <w:t xml:space="preserve">année 2013. </w:t>
      </w:r>
      <w:r w:rsidR="0010442A" w:rsidRPr="00933D5A">
        <w:rPr>
          <w:szCs w:val="20"/>
        </w:rPr>
        <w:t xml:space="preserve"> </w:t>
      </w:r>
      <w:r w:rsidRPr="00933D5A">
        <w:rPr>
          <w:szCs w:val="20"/>
        </w:rPr>
        <w:t>Cet outil a renforcé l</w:t>
      </w:r>
      <w:r w:rsidR="00A20444" w:rsidRPr="00933D5A">
        <w:rPr>
          <w:szCs w:val="20"/>
        </w:rPr>
        <w:t>’</w:t>
      </w:r>
      <w:r w:rsidRPr="00933D5A">
        <w:rPr>
          <w:szCs w:val="20"/>
        </w:rPr>
        <w:t>efficacité du processus de planification et a considérablement amélioré les capacités d</w:t>
      </w:r>
      <w:r w:rsidR="00A20444" w:rsidRPr="00933D5A">
        <w:rPr>
          <w:szCs w:val="20"/>
        </w:rPr>
        <w:t>’</w:t>
      </w:r>
      <w:r w:rsidRPr="00933D5A">
        <w:rPr>
          <w:szCs w:val="20"/>
        </w:rPr>
        <w:t>analyse des informations fournies par les chefs de programme.</w:t>
      </w:r>
    </w:p>
    <w:p w:rsidR="00D42474" w:rsidRDefault="00D42474" w:rsidP="001A5BF9">
      <w:pPr>
        <w:tabs>
          <w:tab w:val="left" w:pos="709"/>
        </w:tabs>
        <w:autoSpaceDE w:val="0"/>
        <w:autoSpaceDN w:val="0"/>
        <w:adjustRightInd w:val="0"/>
        <w:rPr>
          <w:rFonts w:cs="Arial"/>
          <w:szCs w:val="20"/>
        </w:rPr>
      </w:pPr>
    </w:p>
    <w:p w:rsidR="00D42474" w:rsidRDefault="00C82EE5" w:rsidP="001A5BF9">
      <w:pPr>
        <w:tabs>
          <w:tab w:val="left" w:pos="709"/>
        </w:tabs>
        <w:autoSpaceDE w:val="0"/>
        <w:autoSpaceDN w:val="0"/>
        <w:adjustRightInd w:val="0"/>
        <w:rPr>
          <w:szCs w:val="20"/>
        </w:rPr>
      </w:pPr>
      <w:r w:rsidRPr="00933D5A">
        <w:rPr>
          <w:szCs w:val="20"/>
        </w:rPr>
        <w:t>22.4.</w:t>
      </w:r>
      <w:r w:rsidRPr="00933D5A">
        <w:rPr>
          <w:szCs w:val="20"/>
        </w:rPr>
        <w:tab/>
        <w:t>Parmi les priorités clés établies pour 2012</w:t>
      </w:r>
      <w:r w:rsidR="002D6F2A" w:rsidRPr="00933D5A">
        <w:rPr>
          <w:szCs w:val="20"/>
        </w:rPr>
        <w:noBreakHyphen/>
      </w:r>
      <w:r w:rsidRPr="00933D5A">
        <w:rPr>
          <w:szCs w:val="20"/>
        </w:rPr>
        <w:t>2013, d</w:t>
      </w:r>
      <w:r w:rsidR="00A20444" w:rsidRPr="00933D5A">
        <w:rPr>
          <w:szCs w:val="20"/>
        </w:rPr>
        <w:t>’</w:t>
      </w:r>
      <w:r w:rsidRPr="00933D5A">
        <w:rPr>
          <w:szCs w:val="20"/>
        </w:rPr>
        <w:t>importants progrès ont été accomplis au cours de l</w:t>
      </w:r>
      <w:r w:rsidR="00A20444" w:rsidRPr="00933D5A">
        <w:rPr>
          <w:szCs w:val="20"/>
        </w:rPr>
        <w:t>’</w:t>
      </w:r>
      <w:r w:rsidRPr="00933D5A">
        <w:rPr>
          <w:szCs w:val="20"/>
        </w:rPr>
        <w:t>exercice biennal en ce qui concerne :</w:t>
      </w:r>
    </w:p>
    <w:p w:rsidR="00D42474" w:rsidRDefault="00D42474" w:rsidP="001A5BF9">
      <w:pPr>
        <w:autoSpaceDE w:val="0"/>
        <w:autoSpaceDN w:val="0"/>
        <w:adjustRightInd w:val="0"/>
        <w:rPr>
          <w:rFonts w:cs="Arial"/>
          <w:szCs w:val="20"/>
        </w:rPr>
      </w:pPr>
    </w:p>
    <w:p w:rsidR="00D42474" w:rsidRDefault="00C82EE5" w:rsidP="001A5BF9">
      <w:pPr>
        <w:numPr>
          <w:ilvl w:val="0"/>
          <w:numId w:val="75"/>
        </w:numPr>
        <w:tabs>
          <w:tab w:val="clear" w:pos="1080"/>
          <w:tab w:val="num" w:pos="1276"/>
        </w:tabs>
        <w:autoSpaceDE w:val="0"/>
        <w:autoSpaceDN w:val="0"/>
        <w:adjustRightInd w:val="0"/>
        <w:ind w:left="1276" w:hanging="567"/>
      </w:pPr>
      <w:r w:rsidRPr="002D02F3">
        <w:t>examen des processus liés à la gestion et à la prévision des recettes de l</w:t>
      </w:r>
      <w:r w:rsidR="00A20444" w:rsidRPr="002D02F3">
        <w:t>’</w:t>
      </w:r>
      <w:r w:rsidRPr="002D02F3">
        <w:t>OMPI, en prévision de la préparation du programme et budget 2014</w:t>
      </w:r>
      <w:r w:rsidR="002D6F2A" w:rsidRPr="002D02F3">
        <w:noBreakHyphen/>
      </w:r>
      <w:r w:rsidRPr="002D02F3">
        <w:t>2015;</w:t>
      </w:r>
    </w:p>
    <w:p w:rsidR="00D42474" w:rsidRDefault="00D42474" w:rsidP="001A5BF9">
      <w:pPr>
        <w:tabs>
          <w:tab w:val="num" w:pos="1276"/>
        </w:tabs>
        <w:autoSpaceDE w:val="0"/>
        <w:autoSpaceDN w:val="0"/>
        <w:adjustRightInd w:val="0"/>
        <w:ind w:left="1276" w:hanging="567"/>
        <w:rPr>
          <w:rFonts w:cs="Arial"/>
          <w:sz w:val="8"/>
          <w:szCs w:val="8"/>
        </w:rPr>
      </w:pPr>
    </w:p>
    <w:p w:rsidR="00D42474" w:rsidRDefault="00C82EE5" w:rsidP="001A5BF9">
      <w:pPr>
        <w:numPr>
          <w:ilvl w:val="0"/>
          <w:numId w:val="75"/>
        </w:numPr>
        <w:tabs>
          <w:tab w:val="clear" w:pos="1080"/>
          <w:tab w:val="num" w:pos="1276"/>
        </w:tabs>
        <w:autoSpaceDE w:val="0"/>
        <w:autoSpaceDN w:val="0"/>
        <w:adjustRightInd w:val="0"/>
        <w:ind w:left="1276" w:hanging="567"/>
      </w:pPr>
      <w:r w:rsidRPr="002D02F3">
        <w:t>l</w:t>
      </w:r>
      <w:r w:rsidR="00A20444" w:rsidRPr="002D02F3">
        <w:t>’</w:t>
      </w:r>
      <w:r w:rsidRPr="002D02F3">
        <w:t>institutionnalisation d</w:t>
      </w:r>
      <w:r w:rsidR="00A20444" w:rsidRPr="002D02F3">
        <w:t>’</w:t>
      </w:r>
      <w:r w:rsidRPr="002D02F3">
        <w:t>une culture responsable en matière de dépenses, des ordres de service nouveaux et révisés étant émis pour tenir compte des mesures de maîtrise des coûts, y compris en ce qui concerne les stages, les réceptions, les honoraires et émoluments pour conférenciers, les agents au bénéfice d</w:t>
      </w:r>
      <w:r w:rsidR="00A20444" w:rsidRPr="002D02F3">
        <w:t>’</w:t>
      </w:r>
      <w:r w:rsidRPr="002D02F3">
        <w:t xml:space="preserve">accords de service spéciaux et les voyages. </w:t>
      </w:r>
      <w:r w:rsidR="0010442A" w:rsidRPr="002D02F3">
        <w:t xml:space="preserve"> </w:t>
      </w:r>
      <w:r w:rsidRPr="002D02F3">
        <w:t>L</w:t>
      </w:r>
      <w:r w:rsidR="00A20444" w:rsidRPr="002D02F3">
        <w:t>’</w:t>
      </w:r>
      <w:r w:rsidRPr="002D02F3">
        <w:t>application de ces mesures a engendré des économies significatives sans compromettre l</w:t>
      </w:r>
      <w:r w:rsidR="00A20444" w:rsidRPr="002D02F3">
        <w:t>’</w:t>
      </w:r>
      <w:r w:rsidRPr="002D02F3">
        <w:t>exécution, les résultats et les objectifs du programme;</w:t>
      </w:r>
    </w:p>
    <w:p w:rsidR="00D42474" w:rsidRDefault="00D42474" w:rsidP="001A5BF9">
      <w:pPr>
        <w:tabs>
          <w:tab w:val="num" w:pos="1276"/>
        </w:tabs>
        <w:autoSpaceDE w:val="0"/>
        <w:autoSpaceDN w:val="0"/>
        <w:adjustRightInd w:val="0"/>
        <w:ind w:left="1276" w:hanging="567"/>
        <w:rPr>
          <w:rFonts w:cs="Arial"/>
          <w:sz w:val="8"/>
          <w:szCs w:val="8"/>
        </w:rPr>
      </w:pPr>
    </w:p>
    <w:p w:rsidR="00D42474" w:rsidRDefault="00C82EE5" w:rsidP="001A5BF9">
      <w:pPr>
        <w:numPr>
          <w:ilvl w:val="0"/>
          <w:numId w:val="75"/>
        </w:numPr>
        <w:tabs>
          <w:tab w:val="clear" w:pos="1080"/>
          <w:tab w:val="num" w:pos="1276"/>
        </w:tabs>
        <w:autoSpaceDE w:val="0"/>
        <w:autoSpaceDN w:val="0"/>
        <w:adjustRightInd w:val="0"/>
        <w:ind w:left="1276" w:hanging="567"/>
      </w:pPr>
      <w:r w:rsidRPr="002D02F3">
        <w:t>renforcement de la capacité qu</w:t>
      </w:r>
      <w:r w:rsidR="00A20444" w:rsidRPr="002D02F3">
        <w:t>’</w:t>
      </w:r>
      <w:r w:rsidRPr="002D02F3">
        <w:t>a l</w:t>
      </w:r>
      <w:r w:rsidR="00A20444" w:rsidRPr="002D02F3">
        <w:t>’</w:t>
      </w:r>
      <w:r w:rsidRPr="002D02F3">
        <w:t>Organisation de suivre les dépenses liées au développement;</w:t>
      </w:r>
    </w:p>
    <w:p w:rsidR="00D42474" w:rsidRDefault="00D42474" w:rsidP="001A5BF9">
      <w:pPr>
        <w:tabs>
          <w:tab w:val="num" w:pos="1276"/>
        </w:tabs>
        <w:autoSpaceDE w:val="0"/>
        <w:autoSpaceDN w:val="0"/>
        <w:adjustRightInd w:val="0"/>
        <w:ind w:left="1276" w:hanging="567"/>
        <w:rPr>
          <w:rFonts w:cs="Arial"/>
          <w:sz w:val="8"/>
          <w:szCs w:val="8"/>
        </w:rPr>
      </w:pPr>
    </w:p>
    <w:p w:rsidR="00D42474" w:rsidRDefault="00C82EE5" w:rsidP="001A5BF9">
      <w:pPr>
        <w:numPr>
          <w:ilvl w:val="0"/>
          <w:numId w:val="75"/>
        </w:numPr>
        <w:tabs>
          <w:tab w:val="clear" w:pos="1080"/>
          <w:tab w:val="num" w:pos="1276"/>
        </w:tabs>
        <w:autoSpaceDE w:val="0"/>
        <w:autoSpaceDN w:val="0"/>
        <w:adjustRightInd w:val="0"/>
        <w:ind w:left="1276" w:hanging="567"/>
        <w:rPr>
          <w:rFonts w:cs="Arial"/>
          <w:szCs w:val="20"/>
        </w:rPr>
      </w:pPr>
      <w:r w:rsidRPr="002D02F3">
        <w:t>le recensement des domaines dans lesquels des contrôles plus rigoureux pourraient être</w:t>
      </w:r>
      <w:r w:rsidR="00167DE6" w:rsidRPr="002D02F3">
        <w:t> </w:t>
      </w:r>
      <w:r w:rsidRPr="002D02F3">
        <w:t xml:space="preserve">appliqués pour garantir la conformité à la gestion des programmes comme des ressources; </w:t>
      </w:r>
      <w:r w:rsidR="0010442A" w:rsidRPr="002D02F3">
        <w:t xml:space="preserve"> </w:t>
      </w:r>
      <w:r w:rsidRPr="002D02F3">
        <w:t>et</w:t>
      </w:r>
    </w:p>
    <w:p w:rsidR="00D42474" w:rsidRDefault="00D42474" w:rsidP="001A5BF9">
      <w:pPr>
        <w:tabs>
          <w:tab w:val="num" w:pos="1276"/>
        </w:tabs>
        <w:autoSpaceDE w:val="0"/>
        <w:autoSpaceDN w:val="0"/>
        <w:adjustRightInd w:val="0"/>
        <w:ind w:left="1276" w:hanging="567"/>
        <w:rPr>
          <w:rFonts w:cs="Arial"/>
          <w:sz w:val="8"/>
          <w:szCs w:val="8"/>
        </w:rPr>
      </w:pPr>
    </w:p>
    <w:p w:rsidR="00D42474" w:rsidRDefault="00C82EE5" w:rsidP="001A5BF9">
      <w:pPr>
        <w:numPr>
          <w:ilvl w:val="0"/>
          <w:numId w:val="75"/>
        </w:numPr>
        <w:tabs>
          <w:tab w:val="clear" w:pos="1080"/>
          <w:tab w:val="num" w:pos="1276"/>
        </w:tabs>
        <w:autoSpaceDE w:val="0"/>
        <w:autoSpaceDN w:val="0"/>
        <w:adjustRightInd w:val="0"/>
        <w:ind w:left="1276" w:hanging="567"/>
        <w:rPr>
          <w:rFonts w:cs="Arial"/>
          <w:szCs w:val="20"/>
        </w:rPr>
      </w:pPr>
      <w:r w:rsidRPr="002D02F3">
        <w:t>la mise en œuvre du module ressources humaines/paie dans l</w:t>
      </w:r>
      <w:r w:rsidR="00A20444" w:rsidRPr="002D02F3">
        <w:t>’</w:t>
      </w:r>
      <w:r w:rsidRPr="002D02F3">
        <w:t xml:space="preserve">ERP qui a pris corps en janvier 2014. </w:t>
      </w:r>
      <w:r w:rsidR="0010442A" w:rsidRPr="002D02F3">
        <w:t xml:space="preserve"> </w:t>
      </w:r>
    </w:p>
    <w:p w:rsidR="00D42474" w:rsidRDefault="00D42474" w:rsidP="00933D5A">
      <w:pPr>
        <w:rPr>
          <w:rFonts w:cs="Arial"/>
          <w:szCs w:val="20"/>
        </w:rPr>
      </w:pPr>
    </w:p>
    <w:p w:rsidR="00D42474" w:rsidRDefault="00C82EE5" w:rsidP="001A5BF9">
      <w:pPr>
        <w:tabs>
          <w:tab w:val="left" w:pos="709"/>
        </w:tabs>
        <w:autoSpaceDE w:val="0"/>
        <w:autoSpaceDN w:val="0"/>
        <w:adjustRightInd w:val="0"/>
        <w:jc w:val="both"/>
        <w:rPr>
          <w:rFonts w:cs="Arial"/>
          <w:bCs/>
          <w:szCs w:val="20"/>
        </w:rPr>
      </w:pPr>
      <w:r w:rsidRPr="002D02F3">
        <w:t>22.5.</w:t>
      </w:r>
      <w:r w:rsidRPr="002D02F3">
        <w:tab/>
        <w:t>Suite à l</w:t>
      </w:r>
      <w:r w:rsidR="00A20444" w:rsidRPr="002D02F3">
        <w:t>’</w:t>
      </w:r>
      <w:r w:rsidRPr="002D02F3">
        <w:t>approbation et à l</w:t>
      </w:r>
      <w:r w:rsidR="00A20444" w:rsidRPr="002D02F3">
        <w:t>’</w:t>
      </w:r>
      <w:r w:rsidRPr="002D02F3">
        <w:t>émission de la nouvelle version révisée du Statut et règlement du personnel, le programme a contribué à sa mise en œuvre, y compris à l</w:t>
      </w:r>
      <w:r w:rsidR="00A20444" w:rsidRPr="002D02F3">
        <w:t>’</w:t>
      </w:r>
      <w:r w:rsidRPr="002D02F3">
        <w:t>examen et l</w:t>
      </w:r>
      <w:r w:rsidR="00A20444" w:rsidRPr="002D02F3">
        <w:t>’</w:t>
      </w:r>
      <w:r w:rsidRPr="002D02F3">
        <w:t xml:space="preserve">actualisation des procédures et documents de politique générale connexes. </w:t>
      </w:r>
      <w:r w:rsidR="0010442A" w:rsidRPr="002D02F3">
        <w:t xml:space="preserve"> </w:t>
      </w:r>
      <w:r w:rsidRPr="002D02F3">
        <w:t>Ces derniers ont permis de préciser beaucoup plus les processus, rôles et responsabilités, ainsi que de formuler des ordres de service pour en traiter (stages, bourses, services contractuels individuels).</w:t>
      </w:r>
    </w:p>
    <w:p w:rsidR="00D42474" w:rsidRDefault="00D42474" w:rsidP="001A5BF9">
      <w:pPr>
        <w:jc w:val="both"/>
        <w:rPr>
          <w:rFonts w:cs="Arial"/>
          <w:bCs/>
          <w:szCs w:val="20"/>
        </w:rPr>
      </w:pPr>
    </w:p>
    <w:p w:rsidR="00D42474" w:rsidRDefault="00C82EE5" w:rsidP="001A5BF9">
      <w:pPr>
        <w:tabs>
          <w:tab w:val="left" w:pos="709"/>
        </w:tabs>
        <w:autoSpaceDE w:val="0"/>
        <w:autoSpaceDN w:val="0"/>
        <w:adjustRightInd w:val="0"/>
        <w:jc w:val="both"/>
      </w:pPr>
      <w:r w:rsidRPr="002D02F3">
        <w:t>22.6.</w:t>
      </w:r>
      <w:r w:rsidRPr="002D02F3">
        <w:tab/>
        <w:t>Une vaste étude des pratiques de trésorerie et des risques de l</w:t>
      </w:r>
      <w:r w:rsidR="00A20444" w:rsidRPr="002D02F3">
        <w:t>’</w:t>
      </w:r>
      <w:r w:rsidRPr="002D02F3">
        <w:t>OMPI a été initiée et donnera lieu à des recommandations pour l</w:t>
      </w:r>
      <w:r w:rsidR="00A20444" w:rsidRPr="002D02F3">
        <w:t>’</w:t>
      </w:r>
      <w:r w:rsidRPr="002D02F3">
        <w:t>évolution à venir de la trésorerie de l</w:t>
      </w:r>
      <w:r w:rsidR="00A20444" w:rsidRPr="002D02F3">
        <w:t>’</w:t>
      </w:r>
      <w:r w:rsidRPr="002D02F3">
        <w:t xml:space="preserve">OMPI. </w:t>
      </w:r>
      <w:r w:rsidR="0010442A" w:rsidRPr="002D02F3">
        <w:t xml:space="preserve"> </w:t>
      </w:r>
      <w:r w:rsidRPr="002D02F3">
        <w:t>Les travaux relatifs à l</w:t>
      </w:r>
      <w:r w:rsidR="00A20444" w:rsidRPr="002D02F3">
        <w:t>’</w:t>
      </w:r>
      <w:r w:rsidRPr="002D02F3">
        <w:t xml:space="preserve">étude ont débuté en novembre 2013 et le rapport final devait être reçu en mars 2014. </w:t>
      </w:r>
      <w:r w:rsidR="0010442A" w:rsidRPr="002D02F3">
        <w:t xml:space="preserve"> </w:t>
      </w:r>
      <w:r w:rsidRPr="002D02F3">
        <w:t>D</w:t>
      </w:r>
      <w:r w:rsidR="00A20444" w:rsidRPr="002D02F3">
        <w:t>’</w:t>
      </w:r>
      <w:r w:rsidRPr="002D02F3">
        <w:t>autres initiatives ont été mises en œuvre dans le domaine</w:t>
      </w:r>
      <w:r w:rsidR="00076F3E" w:rsidRPr="002D02F3">
        <w:t xml:space="preserve"> de la trésorerie, notamment : </w:t>
      </w:r>
      <w:r w:rsidRPr="002D02F3">
        <w:t>a) la mise en place d</w:t>
      </w:r>
      <w:r w:rsidR="00A20444" w:rsidRPr="002D02F3">
        <w:t>’</w:t>
      </w:r>
      <w:r w:rsidRPr="002D02F3">
        <w:t>une unité centralisée de paiements pour les dépenses, qui a augmenté la séparation des tâches et renforcé par là</w:t>
      </w:r>
      <w:r w:rsidR="00B64C83" w:rsidRPr="002D02F3">
        <w:t xml:space="preserve"> </w:t>
      </w:r>
      <w:r w:rsidRPr="002D02F3">
        <w:t>même les contrôles internes;</w:t>
      </w:r>
      <w:r w:rsidR="004F3E42" w:rsidRPr="002D02F3">
        <w:t xml:space="preserve"> </w:t>
      </w:r>
      <w:r w:rsidR="0010442A" w:rsidRPr="002D02F3">
        <w:t xml:space="preserve"> </w:t>
      </w:r>
      <w:r w:rsidRPr="002D02F3">
        <w:t>b) l</w:t>
      </w:r>
      <w:r w:rsidR="00A20444" w:rsidRPr="002D02F3">
        <w:t>’</w:t>
      </w:r>
      <w:r w:rsidRPr="002D02F3">
        <w:t>amélioration de la sécurité entourant la transmission des fichiers de paiement aux banques et divers changements dans les méthodes de paiement qui ont eu pour conséquence de réduire les risques de change dans certains cas et les frais bancaires dans d</w:t>
      </w:r>
      <w:r w:rsidR="00A20444" w:rsidRPr="002D02F3">
        <w:t>’</w:t>
      </w:r>
      <w:r w:rsidRPr="002D02F3">
        <w:t>autres;</w:t>
      </w:r>
      <w:r w:rsidR="004F3E42" w:rsidRPr="002D02F3">
        <w:t xml:space="preserve"> </w:t>
      </w:r>
      <w:r w:rsidR="0010442A" w:rsidRPr="002D02F3">
        <w:t xml:space="preserve"> </w:t>
      </w:r>
      <w:r w:rsidRPr="002D02F3">
        <w:t>c) l</w:t>
      </w:r>
      <w:r w:rsidR="00A20444" w:rsidRPr="002D02F3">
        <w:t>’</w:t>
      </w:r>
      <w:r w:rsidRPr="002D02F3">
        <w:t>élargissement de l</w:t>
      </w:r>
      <w:r w:rsidR="00A20444" w:rsidRPr="002D02F3">
        <w:t>’</w:t>
      </w:r>
      <w:r w:rsidRPr="002D02F3">
        <w:t>automatisation des rapprochements bancaires des comptes bancaires de fonds fiduciaires et l</w:t>
      </w:r>
      <w:r w:rsidR="00A20444" w:rsidRPr="002D02F3">
        <w:t>’</w:t>
      </w:r>
      <w:r w:rsidRPr="002D02F3">
        <w:t>analyse des modèles de paiement des offices récepteurs en tant qu</w:t>
      </w:r>
      <w:r w:rsidR="00A20444" w:rsidRPr="002D02F3">
        <w:t>’</w:t>
      </w:r>
      <w:r w:rsidRPr="002D02F3">
        <w:t>exercice pour renforcer le modèle utilisé pour calculer le report des recettes du PCT effectué conformément aux normes comptables internationales du secteur public (IPSAS).</w:t>
      </w:r>
    </w:p>
    <w:p w:rsidR="00D42474" w:rsidRDefault="00D42474" w:rsidP="001A5BF9">
      <w:pPr>
        <w:pStyle w:val="Paragraphedeliste"/>
        <w:rPr>
          <w:rFonts w:cs="Arial"/>
          <w:sz w:val="16"/>
          <w:szCs w:val="16"/>
        </w:rPr>
      </w:pPr>
    </w:p>
    <w:p w:rsidR="00D42474" w:rsidRDefault="00C82EE5" w:rsidP="001A5BF9">
      <w:pPr>
        <w:tabs>
          <w:tab w:val="left" w:pos="709"/>
        </w:tabs>
        <w:autoSpaceDE w:val="0"/>
        <w:autoSpaceDN w:val="0"/>
        <w:adjustRightInd w:val="0"/>
        <w:jc w:val="both"/>
      </w:pPr>
      <w:r w:rsidRPr="002D02F3">
        <w:t>22.7.</w:t>
      </w:r>
      <w:r w:rsidRPr="002D02F3">
        <w:tab/>
        <w:t>Dans le cadre du PRS, le renforcement de la gestion des risques et des systèmes de contrôle internes s</w:t>
      </w:r>
      <w:r w:rsidR="00A20444" w:rsidRPr="002D02F3">
        <w:t>’</w:t>
      </w:r>
      <w:r w:rsidRPr="002D02F3">
        <w:t>est poursuivi au sein de l</w:t>
      </w:r>
      <w:r w:rsidR="00A20444" w:rsidRPr="002D02F3">
        <w:t>’</w:t>
      </w:r>
      <w:r w:rsidRPr="002D02F3">
        <w:t xml:space="preserve">OMPI. </w:t>
      </w:r>
      <w:r w:rsidR="0010442A" w:rsidRPr="002D02F3">
        <w:t xml:space="preserve"> </w:t>
      </w:r>
      <w:r w:rsidRPr="002D02F3">
        <w:t>Un nombre important d</w:t>
      </w:r>
      <w:r w:rsidR="00A20444" w:rsidRPr="002D02F3">
        <w:t>’</w:t>
      </w:r>
      <w:r w:rsidRPr="002D02F3">
        <w:t>étapes ont été accomplies, notamment l</w:t>
      </w:r>
      <w:r w:rsidR="00A20444" w:rsidRPr="002D02F3">
        <w:t>’</w:t>
      </w:r>
      <w:r w:rsidRPr="002D02F3">
        <w:t xml:space="preserve">intégration de la gestion des risques dans le cycle de planification annuelle des activités, ainsi que du recensement des risques et des mesures de prévention dans le programme et </w:t>
      </w:r>
      <w:r w:rsidRPr="005C7CCE">
        <w:t>budget 2014</w:t>
      </w:r>
      <w:r w:rsidR="002D6F2A" w:rsidRPr="005C7CCE">
        <w:noBreakHyphen/>
      </w:r>
      <w:r w:rsidRPr="005C7CCE">
        <w:t xml:space="preserve">2015. </w:t>
      </w:r>
      <w:r w:rsidR="0010442A" w:rsidRPr="005C7CCE">
        <w:t xml:space="preserve"> </w:t>
      </w:r>
      <w:r w:rsidRPr="005C7CCE">
        <w:t>Des coordonnateurs de la gestion des risques ont été désignés pour tous les secteurs et des registres des risques ont été créés pour tous les programmes, établissant clairement les événements potentiels susceptibles de compromettre la réalisation des résultats escomptés et/ou des objectifs stratégiques de l</w:t>
      </w:r>
      <w:r w:rsidR="00A20444" w:rsidRPr="005C7CCE">
        <w:t>’</w:t>
      </w:r>
      <w:r w:rsidRPr="005C7CCE">
        <w:t>organisation.</w:t>
      </w:r>
    </w:p>
    <w:p w:rsidR="00D42474" w:rsidRDefault="00C82EE5" w:rsidP="001A5BF9">
      <w:pPr>
        <w:pStyle w:val="Style1"/>
        <w:numPr>
          <w:ilvl w:val="0"/>
          <w:numId w:val="0"/>
        </w:numPr>
        <w:tabs>
          <w:tab w:val="left" w:pos="709"/>
        </w:tabs>
        <w:jc w:val="both"/>
        <w:rPr>
          <w:rFonts w:cs="Arial"/>
          <w:szCs w:val="20"/>
        </w:rPr>
      </w:pPr>
      <w:r w:rsidRPr="005C7CCE">
        <w:t>22.8.</w:t>
      </w:r>
      <w:r w:rsidRPr="005C7CCE">
        <w:tab/>
        <w:t xml:space="preserve">Les travaux se sont également poursuivis dans le domaine des contrôles internes en déployant des efforts constants destinés à attester des contrôles et des risques au sein de la Division des finances. </w:t>
      </w:r>
      <w:r w:rsidR="0010442A" w:rsidRPr="005C7CCE">
        <w:t xml:space="preserve"> </w:t>
      </w:r>
      <w:r w:rsidRPr="005C7CCE">
        <w:t>En outre, les procédures opérationnelles communes entre la Division des finances et du PCT ont été harmonisées, ce qui a facilité les rapprochements réguliers entre les systèmes exploités par les deux domaines (respectivement, le système de gestion de l</w:t>
      </w:r>
      <w:r w:rsidR="00A20444" w:rsidRPr="005C7CCE">
        <w:t>’</w:t>
      </w:r>
      <w:r w:rsidRPr="005C7CCE">
        <w:t xml:space="preserve">information administrative </w:t>
      </w:r>
      <w:proofErr w:type="spellStart"/>
      <w:r w:rsidRPr="005C7CCE">
        <w:t>AIMS</w:t>
      </w:r>
      <w:proofErr w:type="spellEnd"/>
      <w:r w:rsidRPr="005C7CCE">
        <w:t xml:space="preserve"> et le système </w:t>
      </w:r>
      <w:proofErr w:type="spellStart"/>
      <w:r w:rsidRPr="005C7CCE">
        <w:t>Bibadmin</w:t>
      </w:r>
      <w:proofErr w:type="spellEnd"/>
      <w:r w:rsidRPr="005C7CCE">
        <w:t>).</w:t>
      </w:r>
    </w:p>
    <w:p w:rsidR="00D42474" w:rsidRDefault="00D42474" w:rsidP="001A5BF9">
      <w:pPr>
        <w:pStyle w:val="Paragraphedeliste"/>
        <w:ind w:left="0"/>
        <w:jc w:val="both"/>
        <w:rPr>
          <w:rFonts w:cs="Arial"/>
        </w:rPr>
      </w:pPr>
    </w:p>
    <w:p w:rsidR="00D42474" w:rsidRDefault="00C82EE5" w:rsidP="001A5BF9">
      <w:pPr>
        <w:tabs>
          <w:tab w:val="left" w:pos="709"/>
        </w:tabs>
        <w:autoSpaceDE w:val="0"/>
        <w:autoSpaceDN w:val="0"/>
        <w:adjustRightInd w:val="0"/>
        <w:jc w:val="both"/>
      </w:pPr>
      <w:r w:rsidRPr="005C7CCE">
        <w:t>22.9.</w:t>
      </w:r>
      <w:r w:rsidRPr="005C7CCE">
        <w:tab/>
        <w:t>Les termes opérationnels d</w:t>
      </w:r>
      <w:r w:rsidR="00A20444" w:rsidRPr="005C7CCE">
        <w:t>’</w:t>
      </w:r>
      <w:r w:rsidRPr="005C7CCE">
        <w:t>un mémorandum d</w:t>
      </w:r>
      <w:r w:rsidR="00A20444" w:rsidRPr="005C7CCE">
        <w:t>’</w:t>
      </w:r>
      <w:r w:rsidRPr="005C7CCE">
        <w:t>accord, négocié pendant l</w:t>
      </w:r>
      <w:r w:rsidR="00A20444" w:rsidRPr="005C7CCE">
        <w:t>’</w:t>
      </w:r>
      <w:r w:rsidRPr="005C7CCE">
        <w:t>exercice biennal entre l</w:t>
      </w:r>
      <w:r w:rsidR="00A20444" w:rsidRPr="005C7CCE">
        <w:t>’</w:t>
      </w:r>
      <w:r w:rsidRPr="005C7CCE">
        <w:t>Office des brevets et des marques des États</w:t>
      </w:r>
      <w:r w:rsidR="002D6F2A" w:rsidRPr="005C7CCE">
        <w:noBreakHyphen/>
      </w:r>
      <w:r w:rsidRPr="005C7CCE">
        <w:t>Unis d</w:t>
      </w:r>
      <w:r w:rsidR="00A20444" w:rsidRPr="005C7CCE">
        <w:t>’</w:t>
      </w:r>
      <w:r w:rsidRPr="005C7CCE">
        <w:t>Amérique, l</w:t>
      </w:r>
      <w:r w:rsidR="00A20444" w:rsidRPr="005C7CCE">
        <w:t>’</w:t>
      </w:r>
      <w:r w:rsidRPr="005C7CCE">
        <w:t xml:space="preserve">Office européen des brevets et le Bureau international, ont été testés avec succès. </w:t>
      </w:r>
      <w:r w:rsidR="0010442A" w:rsidRPr="005C7CCE">
        <w:t xml:space="preserve"> </w:t>
      </w:r>
      <w:r w:rsidRPr="005C7CCE">
        <w:t>Le mémorandum d</w:t>
      </w:r>
      <w:r w:rsidR="00A20444" w:rsidRPr="005C7CCE">
        <w:t>’</w:t>
      </w:r>
      <w:r w:rsidRPr="005C7CCE">
        <w:t>accord est entré en vigueur en janvier 2014.</w:t>
      </w:r>
      <w:r w:rsidR="0010442A" w:rsidRPr="005C7CCE">
        <w:t xml:space="preserve"> </w:t>
      </w:r>
      <w:r w:rsidRPr="005C7CCE">
        <w:t xml:space="preserve"> Il représente un essai d</w:t>
      </w:r>
      <w:r w:rsidR="00A20444" w:rsidRPr="005C7CCE">
        <w:t>’</w:t>
      </w:r>
      <w:r w:rsidRPr="005C7CCE">
        <w:t>un an en vue de déterminer si la gestion des risques de change associés au paiement des frais de recherche peut être améliorée.</w:t>
      </w:r>
    </w:p>
    <w:p w:rsidR="00D42474" w:rsidRDefault="00D42474" w:rsidP="001A5BF9">
      <w:pPr>
        <w:pStyle w:val="Paragraphedeliste"/>
        <w:ind w:left="0"/>
        <w:rPr>
          <w:rFonts w:cs="Arial"/>
          <w:szCs w:val="22"/>
        </w:rPr>
      </w:pPr>
    </w:p>
    <w:p w:rsidR="00D42474" w:rsidRDefault="00D42474" w:rsidP="001A5BF9">
      <w:pPr>
        <w:pStyle w:val="Paragraphedeliste"/>
        <w:ind w:left="0"/>
        <w:rPr>
          <w:rFonts w:cs="Arial"/>
          <w:szCs w:val="22"/>
        </w:rPr>
      </w:pPr>
    </w:p>
    <w:p w:rsidR="00D42474" w:rsidRDefault="00C82EE5" w:rsidP="001A5BF9">
      <w:pPr>
        <w:tabs>
          <w:tab w:val="left" w:pos="709"/>
        </w:tabs>
      </w:pPr>
      <w:r w:rsidRPr="002D02F3">
        <w:rPr>
          <w:sz w:val="22"/>
        </w:rPr>
        <w:t>MISE EN ŒUVRE DU PLAN D</w:t>
      </w:r>
      <w:r w:rsidR="00A20444" w:rsidRPr="002D02F3">
        <w:rPr>
          <w:sz w:val="22"/>
        </w:rPr>
        <w:t>’</w:t>
      </w:r>
      <w:r w:rsidRPr="002D02F3">
        <w:rPr>
          <w:sz w:val="22"/>
        </w:rPr>
        <w:t>ACTION POUR LE DÉVELOPPEMENT</w:t>
      </w:r>
    </w:p>
    <w:p w:rsidR="00D42474" w:rsidRDefault="00D42474" w:rsidP="001A5BF9">
      <w:pPr>
        <w:tabs>
          <w:tab w:val="left" w:pos="709"/>
        </w:tabs>
        <w:rPr>
          <w:rFonts w:cs="Arial"/>
          <w:bCs/>
          <w:szCs w:val="22"/>
        </w:rPr>
      </w:pPr>
    </w:p>
    <w:p w:rsidR="00D42474" w:rsidRDefault="00C82EE5" w:rsidP="001A5BF9">
      <w:r w:rsidRPr="005C7CCE">
        <w:t>22.10.</w:t>
      </w:r>
      <w:r w:rsidRPr="005C7CCE">
        <w:tab/>
        <w:t>Le projet de gestion axée sur les résultats du CDIP, achevé en 2013, a principalement porté sur le renforcement des cadres biennaux de résultats et les paramètres d</w:t>
      </w:r>
      <w:r w:rsidR="00A20444" w:rsidRPr="005C7CCE">
        <w:t>’</w:t>
      </w:r>
      <w:r w:rsidRPr="005C7CCE">
        <w:t>évaluation, fournissant ainsi un socle plus solide pour le suivi et l</w:t>
      </w:r>
      <w:r w:rsidR="00A20444" w:rsidRPr="005C7CCE">
        <w:t>’</w:t>
      </w:r>
      <w:r w:rsidRPr="005C7CCE">
        <w:t>évaluation des activités de l</w:t>
      </w:r>
      <w:r w:rsidR="00A20444" w:rsidRPr="005C7CCE">
        <w:t>’</w:t>
      </w:r>
      <w:r w:rsidRPr="005C7CCE">
        <w:t xml:space="preserve">OMPI, y compris dans le domaine de la coopération pour le développement. </w:t>
      </w:r>
      <w:r w:rsidR="0010442A" w:rsidRPr="005C7CCE">
        <w:t xml:space="preserve"> </w:t>
      </w:r>
      <w:r w:rsidRPr="005C7CCE">
        <w:t>Le développement a été intégré dans l</w:t>
      </w:r>
      <w:r w:rsidR="00A20444" w:rsidRPr="005C7CCE">
        <w:t>’</w:t>
      </w:r>
      <w:r w:rsidRPr="005C7CCE">
        <w:t>ensemble des principaux objectifs stratégiques, conformément aux recommandations du Plan d</w:t>
      </w:r>
      <w:r w:rsidR="00A20444" w:rsidRPr="005C7CCE">
        <w:t>’</w:t>
      </w:r>
      <w:r w:rsidRPr="005C7CCE">
        <w:t>action pour le développement.</w:t>
      </w:r>
    </w:p>
    <w:p w:rsidR="00D42474" w:rsidRDefault="00D42474" w:rsidP="001A5BF9">
      <w:pPr>
        <w:jc w:val="both"/>
        <w:rPr>
          <w:rFonts w:cs="Arial"/>
          <w:szCs w:val="20"/>
        </w:rPr>
      </w:pPr>
    </w:p>
    <w:p w:rsidR="00D42474" w:rsidRDefault="00C82EE5" w:rsidP="001A5BF9">
      <w:pPr>
        <w:jc w:val="both"/>
        <w:rPr>
          <w:rFonts w:cs="Arial"/>
          <w:szCs w:val="20"/>
        </w:rPr>
      </w:pPr>
      <w:r w:rsidRPr="005C7CCE">
        <w:t>22.11.</w:t>
      </w:r>
      <w:r w:rsidRPr="005C7CCE">
        <w:tab/>
        <w:t>Le projet a également servi d</w:t>
      </w:r>
      <w:r w:rsidR="00A20444" w:rsidRPr="005C7CCE">
        <w:t>’</w:t>
      </w:r>
      <w:r w:rsidRPr="005C7CCE">
        <w:t>appui au programme 8 dans l</w:t>
      </w:r>
      <w:r w:rsidR="00A20444" w:rsidRPr="005C7CCE">
        <w:t>’</w:t>
      </w:r>
      <w:r w:rsidRPr="005C7CCE">
        <w:t>institutionnalisation d</w:t>
      </w:r>
      <w:r w:rsidR="00A20444" w:rsidRPr="005C7CCE">
        <w:t>’</w:t>
      </w:r>
      <w:r w:rsidRPr="005C7CCE">
        <w:t>un mécanisme d</w:t>
      </w:r>
      <w:r w:rsidR="00A20444" w:rsidRPr="005C7CCE">
        <w:t>’</w:t>
      </w:r>
      <w:r w:rsidRPr="005C7CCE">
        <w:t xml:space="preserve">évaluation indépendant pour tous les projets du plan </w:t>
      </w:r>
      <w:proofErr w:type="gramStart"/>
      <w:r w:rsidRPr="005C7CCE">
        <w:t>d</w:t>
      </w:r>
      <w:r w:rsidR="00A20444" w:rsidRPr="005C7CCE">
        <w:t>’</w:t>
      </w:r>
      <w:r w:rsidRPr="005C7CCE">
        <w:t>action achevés</w:t>
      </w:r>
      <w:proofErr w:type="gramEnd"/>
      <w:r w:rsidRPr="005C7CCE">
        <w:t xml:space="preserve">. </w:t>
      </w:r>
      <w:r w:rsidR="0010442A" w:rsidRPr="005C7CCE">
        <w:t xml:space="preserve"> </w:t>
      </w:r>
      <w:r w:rsidRPr="005C7CCE">
        <w:t>Des rapports d</w:t>
      </w:r>
      <w:r w:rsidR="00A20444" w:rsidRPr="005C7CCE">
        <w:t>’</w:t>
      </w:r>
      <w:r w:rsidRPr="005C7CCE">
        <w:t>évaluation ont été soumis au CDIP et examinés par le comité pour faciliter la prise de décisions.</w:t>
      </w:r>
    </w:p>
    <w:p w:rsidR="00D42474" w:rsidRDefault="00D42474" w:rsidP="001A5BF9">
      <w:pPr>
        <w:jc w:val="both"/>
        <w:rPr>
          <w:rFonts w:cs="Arial"/>
          <w:szCs w:val="22"/>
        </w:rPr>
      </w:pPr>
    </w:p>
    <w:p w:rsidR="00D42474" w:rsidRDefault="00D42474" w:rsidP="001A5BF9">
      <w:pPr>
        <w:rPr>
          <w:sz w:val="22"/>
        </w:rPr>
      </w:pPr>
    </w:p>
    <w:p w:rsidR="00D42474" w:rsidRDefault="00C82EE5" w:rsidP="001A5BF9">
      <w:pPr>
        <w:rPr>
          <w:rFonts w:cs="Arial"/>
          <w:szCs w:val="22"/>
        </w:rPr>
      </w:pPr>
      <w:r w:rsidRPr="00486AEA">
        <w:rPr>
          <w:sz w:val="22"/>
        </w:rPr>
        <w:t>DONNÉES RELATIVES À L</w:t>
      </w:r>
      <w:r w:rsidR="00A20444" w:rsidRPr="00486AEA">
        <w:rPr>
          <w:sz w:val="22"/>
        </w:rPr>
        <w:t>’</w:t>
      </w:r>
      <w:r w:rsidRPr="00486AEA">
        <w:rPr>
          <w:sz w:val="22"/>
        </w:rPr>
        <w:t>EXÉCUTION</w:t>
      </w:r>
    </w:p>
    <w:p w:rsidR="00C82EE5" w:rsidRPr="005C7CCE" w:rsidRDefault="00C82EE5" w:rsidP="001A5BF9">
      <w:pPr>
        <w:rPr>
          <w:rFonts w:cs="Arial"/>
          <w:b/>
          <w:szCs w:val="22"/>
        </w:rPr>
      </w:pPr>
    </w:p>
    <w:tbl>
      <w:tblPr>
        <w:tblW w:w="4888"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71"/>
        <w:gridCol w:w="2321"/>
        <w:gridCol w:w="1239"/>
        <w:gridCol w:w="2848"/>
        <w:gridCol w:w="1278"/>
      </w:tblGrid>
      <w:tr w:rsidR="00C82EE5" w:rsidRPr="002D02F3" w:rsidTr="0056083E">
        <w:trPr>
          <w:cantSplit/>
        </w:trPr>
        <w:tc>
          <w:tcPr>
            <w:tcW w:w="5000" w:type="pct"/>
            <w:gridSpan w:val="5"/>
            <w:tcBorders>
              <w:top w:val="single" w:sz="4" w:space="0" w:color="auto"/>
              <w:bottom w:val="single" w:sz="4" w:space="0" w:color="auto"/>
            </w:tcBorders>
            <w:shd w:val="clear" w:color="auto" w:fill="CCFFFF"/>
            <w:vAlign w:val="center"/>
          </w:tcPr>
          <w:p w:rsidR="00C82EE5" w:rsidRPr="002D02F3" w:rsidRDefault="00C82EE5" w:rsidP="00933D5A">
            <w:pPr>
              <w:keepNext/>
              <w:keepLines/>
              <w:spacing w:before="120" w:after="120"/>
              <w:ind w:left="1735" w:hanging="1735"/>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Planification, traitement, mise en œuvre, évaluation et établissement de rapports efficaces, efficients et fondés sur les résultats en matière de programmation et de finances</w:t>
            </w:r>
          </w:p>
        </w:tc>
      </w:tr>
      <w:tr w:rsidR="00C82EE5" w:rsidRPr="002D02F3" w:rsidTr="0056083E">
        <w:trPr>
          <w:cantSplit/>
        </w:trPr>
        <w:tc>
          <w:tcPr>
            <w:tcW w:w="893" w:type="pct"/>
            <w:tcBorders>
              <w:top w:val="single" w:sz="4" w:space="0" w:color="auto"/>
            </w:tcBorders>
            <w:vAlign w:val="center"/>
          </w:tcPr>
          <w:p w:rsidR="00C82EE5" w:rsidRPr="002D02F3" w:rsidRDefault="00C82EE5" w:rsidP="00933D5A">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1240" w:type="pct"/>
            <w:tcBorders>
              <w:top w:val="single" w:sz="4" w:space="0" w:color="auto"/>
            </w:tcBorders>
            <w:vAlign w:val="center"/>
          </w:tcPr>
          <w:p w:rsidR="00C82EE5" w:rsidRPr="002D02F3" w:rsidRDefault="00C82EE5" w:rsidP="00933D5A">
            <w:pPr>
              <w:rPr>
                <w:rFonts w:cs="Arial"/>
                <w:b/>
                <w:bCs/>
                <w:sz w:val="16"/>
                <w:szCs w:val="16"/>
              </w:rPr>
            </w:pPr>
            <w:r w:rsidRPr="002D02F3">
              <w:rPr>
                <w:b/>
                <w:sz w:val="16"/>
              </w:rPr>
              <w:t>Niveaux de référence</w:t>
            </w:r>
          </w:p>
        </w:tc>
        <w:tc>
          <w:tcPr>
            <w:tcW w:w="662" w:type="pct"/>
            <w:tcBorders>
              <w:top w:val="single" w:sz="4" w:space="0" w:color="auto"/>
            </w:tcBorders>
            <w:tcMar>
              <w:top w:w="110" w:type="dxa"/>
              <w:left w:w="108" w:type="dxa"/>
              <w:bottom w:w="0" w:type="dxa"/>
              <w:right w:w="108" w:type="dxa"/>
            </w:tcMar>
            <w:vAlign w:val="center"/>
          </w:tcPr>
          <w:p w:rsidR="00C82EE5" w:rsidRPr="002D02F3" w:rsidRDefault="00C82EE5" w:rsidP="00933D5A">
            <w:pPr>
              <w:rPr>
                <w:rFonts w:cs="Arial"/>
                <w:b/>
                <w:sz w:val="16"/>
                <w:szCs w:val="16"/>
              </w:rPr>
            </w:pPr>
            <w:r w:rsidRPr="002D02F3">
              <w:rPr>
                <w:b/>
                <w:sz w:val="16"/>
              </w:rPr>
              <w:t>Objectifs visés</w:t>
            </w:r>
          </w:p>
        </w:tc>
        <w:tc>
          <w:tcPr>
            <w:tcW w:w="1522" w:type="pct"/>
            <w:tcBorders>
              <w:top w:val="single" w:sz="4" w:space="0" w:color="auto"/>
            </w:tcBorders>
            <w:shd w:val="clear" w:color="auto" w:fill="FFFFFF"/>
            <w:tcMar>
              <w:top w:w="110" w:type="dxa"/>
              <w:left w:w="108" w:type="dxa"/>
              <w:bottom w:w="0" w:type="dxa"/>
              <w:right w:w="108" w:type="dxa"/>
            </w:tcMar>
            <w:vAlign w:val="center"/>
          </w:tcPr>
          <w:p w:rsidR="00C82EE5" w:rsidRPr="002D02F3" w:rsidRDefault="00C82EE5" w:rsidP="00933D5A">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3" w:type="pct"/>
            <w:tcBorders>
              <w:top w:val="single" w:sz="4" w:space="0" w:color="auto"/>
            </w:tcBorders>
            <w:tcMar>
              <w:top w:w="110" w:type="dxa"/>
              <w:left w:w="108" w:type="dxa"/>
              <w:bottom w:w="0" w:type="dxa"/>
              <w:right w:w="108"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56083E">
        <w:trPr>
          <w:cantSplit/>
        </w:trPr>
        <w:tc>
          <w:tcPr>
            <w:tcW w:w="893" w:type="pct"/>
          </w:tcPr>
          <w:p w:rsidR="00C82EE5" w:rsidRPr="00933D5A" w:rsidRDefault="00C82EE5" w:rsidP="001A5BF9">
            <w:pPr>
              <w:rPr>
                <w:rFonts w:cs="Arial"/>
                <w:sz w:val="16"/>
                <w:szCs w:val="16"/>
                <w:lang w:bidi="th-TH"/>
              </w:rPr>
            </w:pPr>
            <w:r w:rsidRPr="00933D5A">
              <w:rPr>
                <w:sz w:val="16"/>
              </w:rPr>
              <w:t>Pourcentage de programmes de l</w:t>
            </w:r>
            <w:r w:rsidR="00A20444" w:rsidRPr="00933D5A">
              <w:rPr>
                <w:sz w:val="16"/>
              </w:rPr>
              <w:t>’</w:t>
            </w:r>
            <w:r w:rsidRPr="00933D5A">
              <w:rPr>
                <w:sz w:val="16"/>
              </w:rPr>
              <w:t>OMPI utilisant les données relatives à l</w:t>
            </w:r>
            <w:r w:rsidR="00A20444" w:rsidRPr="00933D5A">
              <w:rPr>
                <w:sz w:val="16"/>
              </w:rPr>
              <w:t>’</w:t>
            </w:r>
            <w:r w:rsidRPr="00933D5A">
              <w:rPr>
                <w:sz w:val="16"/>
              </w:rPr>
              <w:t>exécution du programme pour gérer cette exécution</w:t>
            </w:r>
          </w:p>
        </w:tc>
        <w:tc>
          <w:tcPr>
            <w:tcW w:w="1240" w:type="pct"/>
          </w:tcPr>
          <w:p w:rsidR="00C82EE5" w:rsidRPr="00933D5A" w:rsidRDefault="00C82EE5" w:rsidP="001A5BF9">
            <w:pPr>
              <w:rPr>
                <w:rFonts w:cs="Arial"/>
                <w:sz w:val="16"/>
                <w:szCs w:val="16"/>
                <w:lang w:bidi="th-TH"/>
              </w:rPr>
            </w:pPr>
            <w:r w:rsidRPr="00933D5A">
              <w:rPr>
                <w:sz w:val="16"/>
              </w:rPr>
              <w:t>20</w:t>
            </w:r>
            <w:r w:rsidR="007E442D" w:rsidRPr="00933D5A">
              <w:rPr>
                <w:sz w:val="16"/>
              </w:rPr>
              <w:t>%</w:t>
            </w:r>
          </w:p>
        </w:tc>
        <w:tc>
          <w:tcPr>
            <w:tcW w:w="662" w:type="pct"/>
            <w:tcMar>
              <w:top w:w="110" w:type="dxa"/>
              <w:left w:w="108" w:type="dxa"/>
              <w:bottom w:w="0" w:type="dxa"/>
              <w:right w:w="108" w:type="dxa"/>
            </w:tcMar>
          </w:tcPr>
          <w:p w:rsidR="00C82EE5" w:rsidRPr="00933D5A" w:rsidRDefault="00C82EE5" w:rsidP="001A5BF9">
            <w:pPr>
              <w:rPr>
                <w:rFonts w:cs="Arial"/>
                <w:sz w:val="16"/>
                <w:szCs w:val="16"/>
                <w:lang w:bidi="th-TH"/>
              </w:rPr>
            </w:pPr>
            <w:r w:rsidRPr="00933D5A">
              <w:rPr>
                <w:sz w:val="16"/>
              </w:rPr>
              <w:t>50</w:t>
            </w:r>
            <w:r w:rsidR="007E442D" w:rsidRPr="00933D5A">
              <w:rPr>
                <w:sz w:val="16"/>
              </w:rPr>
              <w:t>%</w:t>
            </w:r>
          </w:p>
        </w:tc>
        <w:tc>
          <w:tcPr>
            <w:tcW w:w="1522" w:type="pct"/>
            <w:shd w:val="clear" w:color="auto" w:fill="FFFFFF"/>
            <w:tcMar>
              <w:top w:w="110" w:type="dxa"/>
              <w:left w:w="108" w:type="dxa"/>
              <w:bottom w:w="0" w:type="dxa"/>
              <w:right w:w="108" w:type="dxa"/>
            </w:tcMar>
          </w:tcPr>
          <w:p w:rsidR="00C82EE5" w:rsidRPr="00933D5A" w:rsidRDefault="00C82EE5" w:rsidP="001A5BF9">
            <w:pPr>
              <w:rPr>
                <w:rFonts w:cs="Arial"/>
                <w:sz w:val="16"/>
                <w:szCs w:val="16"/>
                <w:lang w:bidi="th-TH"/>
              </w:rPr>
            </w:pPr>
            <w:r w:rsidRPr="00933D5A">
              <w:rPr>
                <w:sz w:val="16"/>
              </w:rPr>
              <w:t>53</w:t>
            </w:r>
            <w:r w:rsidR="007E442D" w:rsidRPr="00933D5A">
              <w:rPr>
                <w:sz w:val="16"/>
              </w:rPr>
              <w:t>%</w:t>
            </w:r>
          </w:p>
        </w:tc>
        <w:tc>
          <w:tcPr>
            <w:tcW w:w="683" w:type="pct"/>
            <w:tcMar>
              <w:top w:w="110" w:type="dxa"/>
              <w:left w:w="108" w:type="dxa"/>
              <w:bottom w:w="0" w:type="dxa"/>
              <w:right w:w="108" w:type="dxa"/>
            </w:tcMar>
          </w:tcPr>
          <w:p w:rsidR="00C82EE5" w:rsidRPr="005C7CCE" w:rsidRDefault="00C82EE5" w:rsidP="001A5BF9">
            <w:pPr>
              <w:keepNext/>
              <w:keepLines/>
              <w:jc w:val="center"/>
              <w:rPr>
                <w:rFonts w:cs="Arial"/>
                <w:bCs/>
                <w:color w:val="008000"/>
                <w:sz w:val="16"/>
                <w:szCs w:val="16"/>
              </w:rPr>
            </w:pPr>
            <w:r w:rsidRPr="00B470C6">
              <w:rPr>
                <w:color w:val="008000"/>
                <w:sz w:val="16"/>
              </w:rPr>
              <w:t>Objectif pleinement atteint</w:t>
            </w:r>
          </w:p>
        </w:tc>
      </w:tr>
      <w:tr w:rsidR="00C82EE5" w:rsidRPr="005C7CCE" w:rsidTr="0056083E">
        <w:trPr>
          <w:cantSplit/>
        </w:trPr>
        <w:tc>
          <w:tcPr>
            <w:tcW w:w="893" w:type="pct"/>
          </w:tcPr>
          <w:p w:rsidR="00C82EE5" w:rsidRPr="00933D5A" w:rsidRDefault="00C82EE5" w:rsidP="001A5BF9">
            <w:pPr>
              <w:rPr>
                <w:rFonts w:cs="Arial"/>
                <w:sz w:val="16"/>
                <w:szCs w:val="16"/>
                <w:lang w:bidi="th-TH"/>
              </w:rPr>
            </w:pPr>
            <w:r w:rsidRPr="00933D5A">
              <w:rPr>
                <w:sz w:val="16"/>
              </w:rPr>
              <w:t>Pourcentage de répondants (OMPI) qui estiment que l</w:t>
            </w:r>
            <w:r w:rsidR="00A20444" w:rsidRPr="00933D5A">
              <w:rPr>
                <w:sz w:val="16"/>
              </w:rPr>
              <w:t>’</w:t>
            </w:r>
            <w:r w:rsidRPr="00933D5A">
              <w:rPr>
                <w:sz w:val="16"/>
              </w:rPr>
              <w:t>OMPI doit rendre des comptes sur ses résultats</w:t>
            </w:r>
          </w:p>
        </w:tc>
        <w:tc>
          <w:tcPr>
            <w:tcW w:w="1240" w:type="pct"/>
          </w:tcPr>
          <w:p w:rsidR="00C82EE5" w:rsidRPr="00933D5A" w:rsidRDefault="00C82EE5" w:rsidP="001A5BF9">
            <w:pPr>
              <w:rPr>
                <w:rFonts w:cs="Arial"/>
                <w:sz w:val="16"/>
                <w:szCs w:val="16"/>
                <w:lang w:bidi="th-TH"/>
              </w:rPr>
            </w:pPr>
            <w:r w:rsidRPr="00933D5A">
              <w:rPr>
                <w:sz w:val="16"/>
              </w:rPr>
              <w:t>59</w:t>
            </w:r>
            <w:r w:rsidR="007E442D" w:rsidRPr="00933D5A">
              <w:rPr>
                <w:sz w:val="16"/>
              </w:rPr>
              <w:t>%</w:t>
            </w:r>
          </w:p>
        </w:tc>
        <w:tc>
          <w:tcPr>
            <w:tcW w:w="662" w:type="pct"/>
            <w:tcMar>
              <w:top w:w="110" w:type="dxa"/>
              <w:left w:w="108" w:type="dxa"/>
              <w:bottom w:w="0" w:type="dxa"/>
              <w:right w:w="108" w:type="dxa"/>
            </w:tcMar>
          </w:tcPr>
          <w:p w:rsidR="00C82EE5" w:rsidRPr="00933D5A" w:rsidRDefault="00C82EE5" w:rsidP="001A5BF9">
            <w:pPr>
              <w:rPr>
                <w:rFonts w:cs="Arial"/>
                <w:sz w:val="16"/>
                <w:szCs w:val="16"/>
                <w:lang w:bidi="th-TH"/>
              </w:rPr>
            </w:pPr>
            <w:r w:rsidRPr="00933D5A">
              <w:rPr>
                <w:sz w:val="16"/>
              </w:rPr>
              <w:t>75</w:t>
            </w:r>
            <w:r w:rsidR="007E442D" w:rsidRPr="00933D5A">
              <w:rPr>
                <w:sz w:val="16"/>
              </w:rPr>
              <w:t>%</w:t>
            </w:r>
          </w:p>
        </w:tc>
        <w:tc>
          <w:tcPr>
            <w:tcW w:w="1522" w:type="pct"/>
            <w:shd w:val="clear" w:color="auto" w:fill="FFFFFF"/>
            <w:tcMar>
              <w:top w:w="110" w:type="dxa"/>
              <w:left w:w="108" w:type="dxa"/>
              <w:bottom w:w="0" w:type="dxa"/>
              <w:right w:w="108" w:type="dxa"/>
            </w:tcMar>
          </w:tcPr>
          <w:p w:rsidR="00C82EE5" w:rsidRPr="00933D5A" w:rsidRDefault="00C82EE5" w:rsidP="001A5BF9">
            <w:pPr>
              <w:rPr>
                <w:rFonts w:cs="Arial"/>
                <w:sz w:val="16"/>
                <w:szCs w:val="16"/>
              </w:rPr>
            </w:pPr>
            <w:r w:rsidRPr="00933D5A">
              <w:rPr>
                <w:sz w:val="16"/>
              </w:rPr>
              <w:t>80,7</w:t>
            </w:r>
            <w:r w:rsidR="007E442D" w:rsidRPr="00933D5A">
              <w:rPr>
                <w:sz w:val="16"/>
              </w:rPr>
              <w:t>%</w:t>
            </w:r>
          </w:p>
        </w:tc>
        <w:tc>
          <w:tcPr>
            <w:tcW w:w="683" w:type="pct"/>
            <w:tcMar>
              <w:top w:w="110" w:type="dxa"/>
              <w:left w:w="108" w:type="dxa"/>
              <w:bottom w:w="0" w:type="dxa"/>
              <w:right w:w="108" w:type="dxa"/>
            </w:tcMar>
          </w:tcPr>
          <w:p w:rsidR="00C82EE5" w:rsidRPr="005C7CCE" w:rsidRDefault="00C82EE5" w:rsidP="001A5BF9">
            <w:pPr>
              <w:keepNext/>
              <w:keepLines/>
              <w:jc w:val="center"/>
              <w:rPr>
                <w:rFonts w:cs="Arial"/>
                <w:bCs/>
                <w:color w:val="008000"/>
                <w:sz w:val="16"/>
                <w:szCs w:val="16"/>
              </w:rPr>
            </w:pPr>
            <w:r w:rsidRPr="00B470C6">
              <w:rPr>
                <w:color w:val="008000"/>
                <w:sz w:val="16"/>
              </w:rPr>
              <w:t>Objectif pleinement atteint</w:t>
            </w:r>
          </w:p>
        </w:tc>
      </w:tr>
      <w:tr w:rsidR="00C82EE5" w:rsidRPr="005C7CCE" w:rsidTr="0056083E">
        <w:trPr>
          <w:cantSplit/>
        </w:trPr>
        <w:tc>
          <w:tcPr>
            <w:tcW w:w="893" w:type="pct"/>
          </w:tcPr>
          <w:p w:rsidR="00C82EE5" w:rsidRPr="005C7CCE" w:rsidRDefault="00C82EE5" w:rsidP="001A5BF9">
            <w:pPr>
              <w:rPr>
                <w:rFonts w:cs="Arial"/>
                <w:sz w:val="16"/>
                <w:szCs w:val="16"/>
                <w:lang w:bidi="th-TH"/>
              </w:rPr>
            </w:pPr>
            <w:r w:rsidRPr="005C7CCE">
              <w:rPr>
                <w:sz w:val="16"/>
              </w:rPr>
              <w:t>Opérations financières et gestion du budget conformes aux dispositions des conventions et traités en vigueur de l</w:t>
            </w:r>
            <w:r w:rsidR="00A20444" w:rsidRPr="005C7CCE">
              <w:rPr>
                <w:sz w:val="16"/>
              </w:rPr>
              <w:t>’</w:t>
            </w:r>
            <w:r w:rsidRPr="005C7CCE">
              <w:rPr>
                <w:sz w:val="16"/>
              </w:rPr>
              <w:t>OMPI, son Règlement financier et son règlement d</w:t>
            </w:r>
            <w:r w:rsidR="00A20444" w:rsidRPr="005C7CCE">
              <w:rPr>
                <w:sz w:val="16"/>
              </w:rPr>
              <w:t>’</w:t>
            </w:r>
            <w:r w:rsidRPr="005C7CCE">
              <w:rPr>
                <w:sz w:val="16"/>
              </w:rPr>
              <w:t>exécution et aux normes comptables applicables</w:t>
            </w:r>
          </w:p>
        </w:tc>
        <w:tc>
          <w:tcPr>
            <w:tcW w:w="1240" w:type="pct"/>
          </w:tcPr>
          <w:p w:rsidR="00D42474" w:rsidRDefault="00C82EE5" w:rsidP="001A5BF9">
            <w:pPr>
              <w:rPr>
                <w:i/>
                <w:color w:val="002060"/>
                <w:sz w:val="16"/>
              </w:rPr>
            </w:pPr>
            <w:r w:rsidRPr="005C7CCE">
              <w:rPr>
                <w:i/>
                <w:color w:val="002060"/>
                <w:sz w:val="16"/>
              </w:rPr>
              <w:t>Niveau de référence actualisé fin 2011 :</w:t>
            </w:r>
          </w:p>
          <w:p w:rsidR="00D42474" w:rsidRDefault="00933D5A" w:rsidP="001A5BF9">
            <w:pPr>
              <w:rPr>
                <w:rFonts w:cs="Arial"/>
                <w:i/>
                <w:color w:val="002060"/>
                <w:sz w:val="16"/>
                <w:szCs w:val="16"/>
              </w:rPr>
            </w:pPr>
            <w:r w:rsidRPr="00933D5A">
              <w:rPr>
                <w:color w:val="002060"/>
                <w:sz w:val="16"/>
              </w:rPr>
              <w:t>e</w:t>
            </w:r>
            <w:r w:rsidR="00C82EE5" w:rsidRPr="00933D5A">
              <w:rPr>
                <w:color w:val="002060"/>
                <w:sz w:val="16"/>
              </w:rPr>
              <w:t>n</w:t>
            </w:r>
            <w:r w:rsidR="0010442A" w:rsidRPr="00933D5A">
              <w:rPr>
                <w:color w:val="002060"/>
                <w:sz w:val="16"/>
              </w:rPr>
              <w:t> </w:t>
            </w:r>
            <w:r w:rsidR="00C82EE5" w:rsidRPr="00933D5A">
              <w:rPr>
                <w:color w:val="002060"/>
                <w:sz w:val="16"/>
              </w:rPr>
              <w:t>2010</w:t>
            </w:r>
            <w:r w:rsidR="002D6F2A" w:rsidRPr="00933D5A">
              <w:rPr>
                <w:color w:val="002060"/>
                <w:sz w:val="16"/>
              </w:rPr>
              <w:noBreakHyphen/>
            </w:r>
            <w:r w:rsidR="00C82EE5" w:rsidRPr="00933D5A">
              <w:rPr>
                <w:color w:val="002060"/>
                <w:sz w:val="16"/>
              </w:rPr>
              <w:t>2011, l</w:t>
            </w:r>
            <w:r w:rsidR="00A20444" w:rsidRPr="00933D5A">
              <w:rPr>
                <w:color w:val="002060"/>
                <w:sz w:val="16"/>
              </w:rPr>
              <w:t>’</w:t>
            </w:r>
            <w:r w:rsidR="00C82EE5" w:rsidRPr="00933D5A">
              <w:rPr>
                <w:color w:val="002060"/>
                <w:sz w:val="16"/>
              </w:rPr>
              <w:t>ordre de services concernant les réceptions officielles a été mis à jour.</w:t>
            </w:r>
            <w:r w:rsidR="0010442A" w:rsidRPr="00933D5A">
              <w:rPr>
                <w:color w:val="002060"/>
                <w:sz w:val="16"/>
              </w:rPr>
              <w:t xml:space="preserve"> </w:t>
            </w:r>
            <w:r w:rsidR="004F3E42" w:rsidRPr="00933D5A">
              <w:rPr>
                <w:color w:val="002060"/>
                <w:sz w:val="16"/>
              </w:rPr>
              <w:t xml:space="preserve"> </w:t>
            </w:r>
            <w:r w:rsidR="00C82EE5" w:rsidRPr="00933D5A">
              <w:rPr>
                <w:color w:val="002060"/>
                <w:sz w:val="16"/>
              </w:rPr>
              <w:t>Les actualisations apportées au Règlement financier et son règlement d</w:t>
            </w:r>
            <w:r w:rsidR="00A20444" w:rsidRPr="00933D5A">
              <w:rPr>
                <w:color w:val="002060"/>
                <w:sz w:val="16"/>
              </w:rPr>
              <w:t>’</w:t>
            </w:r>
            <w:r w:rsidR="00C82EE5" w:rsidRPr="00933D5A">
              <w:rPr>
                <w:color w:val="002060"/>
                <w:sz w:val="16"/>
              </w:rPr>
              <w:t xml:space="preserve">exécution ont été soumises aux </w:t>
            </w:r>
            <w:r w:rsidR="00F32D50" w:rsidRPr="00933D5A">
              <w:rPr>
                <w:color w:val="002060"/>
                <w:sz w:val="16"/>
              </w:rPr>
              <w:t>a</w:t>
            </w:r>
            <w:r w:rsidR="00C82EE5" w:rsidRPr="00933D5A">
              <w:rPr>
                <w:color w:val="002060"/>
                <w:sz w:val="16"/>
              </w:rPr>
              <w:t>ssemblées de l</w:t>
            </w:r>
            <w:r w:rsidR="00A20444" w:rsidRPr="00933D5A">
              <w:rPr>
                <w:color w:val="002060"/>
                <w:sz w:val="16"/>
              </w:rPr>
              <w:t>’</w:t>
            </w:r>
            <w:r w:rsidR="00C82EE5" w:rsidRPr="00933D5A">
              <w:rPr>
                <w:color w:val="002060"/>
                <w:sz w:val="16"/>
              </w:rPr>
              <w:t xml:space="preserve">OMPI. </w:t>
            </w:r>
            <w:r w:rsidR="0010442A" w:rsidRPr="00933D5A">
              <w:rPr>
                <w:color w:val="002060"/>
                <w:sz w:val="16"/>
              </w:rPr>
              <w:t xml:space="preserve"> </w:t>
            </w:r>
            <w:r w:rsidR="00C82EE5" w:rsidRPr="00933D5A">
              <w:rPr>
                <w:color w:val="002060"/>
                <w:sz w:val="16"/>
              </w:rPr>
              <w:t>Les politiques approuvées et promulguées ont été les suivantes</w:t>
            </w:r>
            <w:r w:rsidR="0010442A" w:rsidRPr="00933D5A">
              <w:rPr>
                <w:color w:val="002060"/>
                <w:sz w:val="16"/>
              </w:rPr>
              <w:t> </w:t>
            </w:r>
            <w:r w:rsidR="00C82EE5" w:rsidRPr="00933D5A">
              <w:rPr>
                <w:color w:val="002060"/>
                <w:sz w:val="16"/>
              </w:rPr>
              <w:t>: Procédure budgétaire appliquée aux projets proposés par le Comité du développement et de la propriété intellectuelle (CDIP) pour la mise en œuvre des recommandations relatives au Plan d</w:t>
            </w:r>
            <w:r w:rsidR="00A20444" w:rsidRPr="00933D5A">
              <w:rPr>
                <w:color w:val="002060"/>
                <w:sz w:val="16"/>
              </w:rPr>
              <w:t>’</w:t>
            </w:r>
            <w:r w:rsidR="00C82EE5" w:rsidRPr="00933D5A">
              <w:rPr>
                <w:color w:val="002060"/>
                <w:sz w:val="16"/>
              </w:rPr>
              <w:t>action pour le développement;</w:t>
            </w:r>
            <w:r w:rsidR="004F3E42" w:rsidRPr="00933D5A">
              <w:rPr>
                <w:color w:val="002060"/>
                <w:sz w:val="16"/>
              </w:rPr>
              <w:t xml:space="preserve"> </w:t>
            </w:r>
            <w:r w:rsidR="0010442A" w:rsidRPr="00933D5A">
              <w:rPr>
                <w:color w:val="002060"/>
                <w:sz w:val="16"/>
              </w:rPr>
              <w:t xml:space="preserve"> </w:t>
            </w:r>
            <w:r w:rsidR="00C82EE5" w:rsidRPr="00933D5A">
              <w:rPr>
                <w:color w:val="002060"/>
                <w:sz w:val="16"/>
              </w:rPr>
              <w:t>politique en matière de réserves et principes régissant l</w:t>
            </w:r>
            <w:r w:rsidR="00A20444" w:rsidRPr="00933D5A">
              <w:rPr>
                <w:color w:val="002060"/>
                <w:sz w:val="16"/>
              </w:rPr>
              <w:t>’</w:t>
            </w:r>
            <w:r w:rsidR="00C82EE5" w:rsidRPr="00933D5A">
              <w:rPr>
                <w:color w:val="002060"/>
                <w:sz w:val="16"/>
              </w:rPr>
              <w:t>utilisation des réserves;</w:t>
            </w:r>
            <w:r w:rsidR="004F3E42" w:rsidRPr="00933D5A">
              <w:rPr>
                <w:color w:val="002060"/>
                <w:sz w:val="16"/>
              </w:rPr>
              <w:t xml:space="preserve"> </w:t>
            </w:r>
            <w:r w:rsidR="0010442A" w:rsidRPr="00933D5A">
              <w:rPr>
                <w:color w:val="002060"/>
                <w:sz w:val="16"/>
              </w:rPr>
              <w:t xml:space="preserve"> </w:t>
            </w:r>
            <w:r w:rsidR="00C82EE5" w:rsidRPr="00933D5A">
              <w:rPr>
                <w:color w:val="002060"/>
                <w:sz w:val="16"/>
              </w:rPr>
              <w:t>Politique en matière de placements;</w:t>
            </w:r>
            <w:r w:rsidR="0010442A" w:rsidRPr="00933D5A">
              <w:rPr>
                <w:color w:val="002060"/>
                <w:sz w:val="16"/>
              </w:rPr>
              <w:t xml:space="preserve"> </w:t>
            </w:r>
            <w:r w:rsidR="004F3E42" w:rsidRPr="00933D5A">
              <w:rPr>
                <w:color w:val="002060"/>
                <w:sz w:val="16"/>
              </w:rPr>
              <w:t xml:space="preserve"> </w:t>
            </w:r>
            <w:r w:rsidR="00C82EE5" w:rsidRPr="00933D5A">
              <w:rPr>
                <w:color w:val="002060"/>
                <w:sz w:val="16"/>
              </w:rPr>
              <w:t>et cadre de planification et de gestion du capital de l</w:t>
            </w:r>
            <w:r w:rsidR="00A20444" w:rsidRPr="00933D5A">
              <w:rPr>
                <w:color w:val="002060"/>
                <w:sz w:val="16"/>
              </w:rPr>
              <w:t>’</w:t>
            </w:r>
            <w:r w:rsidR="00C82EE5" w:rsidRPr="00933D5A">
              <w:rPr>
                <w:color w:val="002060"/>
                <w:sz w:val="16"/>
              </w:rPr>
              <w:t>OMPI.</w:t>
            </w:r>
          </w:p>
          <w:p w:rsidR="00D42474" w:rsidRDefault="00D42474" w:rsidP="001A5BF9">
            <w:pPr>
              <w:rPr>
                <w:rFonts w:cs="Arial"/>
                <w:i/>
                <w:sz w:val="8"/>
                <w:szCs w:val="8"/>
              </w:rPr>
            </w:pPr>
          </w:p>
          <w:p w:rsidR="00C82EE5" w:rsidRPr="005C7CCE" w:rsidRDefault="00C82EE5" w:rsidP="001A5BF9">
            <w:pPr>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933D5A">
              <w:rPr>
                <w:sz w:val="16"/>
              </w:rPr>
              <w:t xml:space="preserve"> e</w:t>
            </w:r>
            <w:r w:rsidRPr="005C7CCE">
              <w:rPr>
                <w:sz w:val="16"/>
              </w:rPr>
              <w:t>nsemble actuel de politiques, règlements et procédures consignés</w:t>
            </w:r>
            <w:r w:rsidRPr="005C7CCE">
              <w:br/>
            </w:r>
          </w:p>
        </w:tc>
        <w:tc>
          <w:tcPr>
            <w:tcW w:w="662" w:type="pct"/>
            <w:tcMar>
              <w:top w:w="110" w:type="dxa"/>
              <w:left w:w="108" w:type="dxa"/>
              <w:bottom w:w="0" w:type="dxa"/>
              <w:right w:w="108" w:type="dxa"/>
            </w:tcMar>
          </w:tcPr>
          <w:p w:rsidR="00C82EE5" w:rsidRPr="005C7CCE" w:rsidRDefault="00C82EE5" w:rsidP="001A5BF9">
            <w:pPr>
              <w:autoSpaceDE w:val="0"/>
              <w:autoSpaceDN w:val="0"/>
              <w:adjustRightInd w:val="0"/>
              <w:rPr>
                <w:rFonts w:cs="Arial"/>
                <w:sz w:val="16"/>
                <w:szCs w:val="16"/>
              </w:rPr>
            </w:pPr>
            <w:r w:rsidRPr="00933D5A">
              <w:rPr>
                <w:sz w:val="16"/>
              </w:rPr>
              <w:t>Les lacunes détectées grâce au visionnement de l</w:t>
            </w:r>
            <w:r w:rsidR="00A20444" w:rsidRPr="00933D5A">
              <w:rPr>
                <w:sz w:val="16"/>
              </w:rPr>
              <w:t>’</w:t>
            </w:r>
            <w:r w:rsidRPr="00933D5A">
              <w:rPr>
                <w:sz w:val="16"/>
              </w:rPr>
              <w:t>ERP sont comblées</w:t>
            </w:r>
          </w:p>
        </w:tc>
        <w:tc>
          <w:tcPr>
            <w:tcW w:w="1522" w:type="pct"/>
            <w:shd w:val="clear" w:color="auto" w:fill="FFFFFF"/>
            <w:tcMar>
              <w:top w:w="110" w:type="dxa"/>
              <w:left w:w="108" w:type="dxa"/>
              <w:bottom w:w="0" w:type="dxa"/>
              <w:right w:w="108" w:type="dxa"/>
            </w:tcMar>
          </w:tcPr>
          <w:p w:rsidR="00D42474" w:rsidRDefault="00C82EE5" w:rsidP="001A5BF9">
            <w:pPr>
              <w:rPr>
                <w:sz w:val="16"/>
              </w:rPr>
            </w:pPr>
            <w:r w:rsidRPr="005C7CCE">
              <w:rPr>
                <w:sz w:val="16"/>
              </w:rPr>
              <w:t xml:space="preserve">Les travaux effectués en 2012 pour réviser, actualiser et mettre en place des contrôles conformément aux besoins se sont poursuivis en 2013. </w:t>
            </w:r>
            <w:r w:rsidR="0010442A" w:rsidRPr="005C7CCE">
              <w:rPr>
                <w:sz w:val="16"/>
              </w:rPr>
              <w:t xml:space="preserve"> </w:t>
            </w:r>
            <w:r w:rsidRPr="005C7CCE">
              <w:rPr>
                <w:sz w:val="16"/>
              </w:rPr>
              <w:t>Les ordres de services, procédures et manuels des offices ont été examinés, révisés ou promulgués, de concert avec la formation et la communication nécessaires pour garantir une diffusion et une bonne compréhension parmi les communautés d</w:t>
            </w:r>
            <w:r w:rsidR="00A20444" w:rsidRPr="005C7CCE">
              <w:rPr>
                <w:sz w:val="16"/>
              </w:rPr>
              <w:t>’</w:t>
            </w:r>
            <w:r w:rsidRPr="005C7CCE">
              <w:rPr>
                <w:sz w:val="16"/>
              </w:rPr>
              <w:t>utilisateurs.</w:t>
            </w:r>
          </w:p>
          <w:p w:rsidR="00D42474" w:rsidRDefault="00D42474" w:rsidP="001A5BF9">
            <w:pPr>
              <w:rPr>
                <w:rFonts w:cs="Arial"/>
                <w:sz w:val="8"/>
                <w:szCs w:val="8"/>
              </w:rPr>
            </w:pPr>
          </w:p>
          <w:p w:rsidR="00C82EE5" w:rsidRPr="005C7CCE" w:rsidRDefault="00C82EE5" w:rsidP="001A5BF9">
            <w:pPr>
              <w:rPr>
                <w:rFonts w:cs="Arial"/>
                <w:sz w:val="16"/>
                <w:szCs w:val="16"/>
              </w:rPr>
            </w:pPr>
            <w:r w:rsidRPr="005C7CCE">
              <w:rPr>
                <w:sz w:val="16"/>
              </w:rPr>
              <w:t>Les ordres de service concernaient les voyages autorisés et les dépenses connexes, les réceptions officielles et le versement d</w:t>
            </w:r>
            <w:r w:rsidR="00A20444" w:rsidRPr="005C7CCE">
              <w:rPr>
                <w:sz w:val="16"/>
              </w:rPr>
              <w:t>’</w:t>
            </w:r>
            <w:r w:rsidRPr="005C7CCE">
              <w:rPr>
                <w:sz w:val="16"/>
              </w:rPr>
              <w:t xml:space="preserve">honoraires, les services contractuels individuels ainsi que les contributions destinées à réviser les politiques relatives aux stages, bourses et autres politiques en matière de ressources humaines. </w:t>
            </w:r>
            <w:r w:rsidR="0010442A" w:rsidRPr="005C7CCE">
              <w:rPr>
                <w:sz w:val="16"/>
              </w:rPr>
              <w:t xml:space="preserve"> </w:t>
            </w:r>
          </w:p>
        </w:tc>
        <w:tc>
          <w:tcPr>
            <w:tcW w:w="683" w:type="pct"/>
            <w:tcMar>
              <w:top w:w="110" w:type="dxa"/>
              <w:left w:w="108" w:type="dxa"/>
              <w:bottom w:w="0" w:type="dxa"/>
              <w:right w:w="108" w:type="dxa"/>
            </w:tcMar>
          </w:tcPr>
          <w:p w:rsidR="00C82EE5" w:rsidRPr="005C7CCE" w:rsidRDefault="0015421B" w:rsidP="001A5BF9">
            <w:pPr>
              <w:keepNext/>
              <w:keepLines/>
              <w:jc w:val="center"/>
              <w:rPr>
                <w:rFonts w:cs="Arial"/>
                <w:bCs/>
                <w:color w:val="E36C0A"/>
                <w:sz w:val="16"/>
                <w:szCs w:val="16"/>
              </w:rPr>
            </w:pPr>
            <w:r w:rsidRPr="0015421B">
              <w:rPr>
                <w:color w:val="E36C0A"/>
                <w:sz w:val="16"/>
              </w:rPr>
              <w:t>Objectif partiellement atteint</w:t>
            </w:r>
          </w:p>
        </w:tc>
      </w:tr>
      <w:tr w:rsidR="00C82EE5" w:rsidRPr="005C7CCE" w:rsidTr="0056083E">
        <w:trPr>
          <w:cantSplit/>
        </w:trPr>
        <w:tc>
          <w:tcPr>
            <w:tcW w:w="893" w:type="pct"/>
          </w:tcPr>
          <w:p w:rsidR="00D42474" w:rsidRDefault="00C82EE5" w:rsidP="001A5BF9">
            <w:pPr>
              <w:rPr>
                <w:rFonts w:cs="Arial"/>
                <w:sz w:val="16"/>
                <w:szCs w:val="16"/>
                <w:lang w:bidi="th-TH"/>
              </w:rPr>
            </w:pPr>
            <w:r w:rsidRPr="00933D5A">
              <w:rPr>
                <w:sz w:val="16"/>
              </w:rPr>
              <w:t>Le rapport financier satisfaisant produit par les vérificateurs externes des comptes confirme la conformité des opérations comptables avec les règlements et normes en vigueur.</w:t>
            </w:r>
          </w:p>
          <w:p w:rsidR="00C82EE5" w:rsidRPr="00933D5A" w:rsidRDefault="00C82EE5" w:rsidP="001A5BF9">
            <w:pPr>
              <w:rPr>
                <w:rFonts w:cs="Arial"/>
                <w:sz w:val="16"/>
                <w:szCs w:val="16"/>
                <w:lang w:bidi="th-TH"/>
              </w:rPr>
            </w:pPr>
          </w:p>
        </w:tc>
        <w:tc>
          <w:tcPr>
            <w:tcW w:w="1240" w:type="pct"/>
          </w:tcPr>
          <w:p w:rsidR="00C82EE5" w:rsidRPr="00933D5A" w:rsidRDefault="00C82EE5" w:rsidP="001A5BF9">
            <w:pPr>
              <w:rPr>
                <w:rFonts w:cs="Arial"/>
                <w:sz w:val="16"/>
                <w:szCs w:val="16"/>
                <w:lang w:bidi="th-TH"/>
              </w:rPr>
            </w:pPr>
            <w:r w:rsidRPr="00933D5A">
              <w:rPr>
                <w:sz w:val="16"/>
              </w:rPr>
              <w:t>Rapport sans réserve du vérificateur externe des comptes</w:t>
            </w:r>
          </w:p>
        </w:tc>
        <w:tc>
          <w:tcPr>
            <w:tcW w:w="662" w:type="pct"/>
            <w:tcMar>
              <w:top w:w="110" w:type="dxa"/>
              <w:left w:w="108" w:type="dxa"/>
              <w:bottom w:w="0" w:type="dxa"/>
              <w:right w:w="108" w:type="dxa"/>
            </w:tcMar>
          </w:tcPr>
          <w:p w:rsidR="00C82EE5" w:rsidRPr="00933D5A" w:rsidRDefault="00C82EE5" w:rsidP="001A5BF9">
            <w:pPr>
              <w:rPr>
                <w:rFonts w:cs="Arial"/>
                <w:sz w:val="16"/>
                <w:szCs w:val="16"/>
                <w:lang w:bidi="th-TH"/>
              </w:rPr>
            </w:pPr>
            <w:r w:rsidRPr="00933D5A">
              <w:rPr>
                <w:sz w:val="16"/>
              </w:rPr>
              <w:t>Rapport sans réserve du vérificateur externe des comptes</w:t>
            </w:r>
          </w:p>
        </w:tc>
        <w:tc>
          <w:tcPr>
            <w:tcW w:w="1522" w:type="pct"/>
            <w:shd w:val="clear" w:color="auto" w:fill="FFFFFF"/>
            <w:tcMar>
              <w:top w:w="110" w:type="dxa"/>
              <w:left w:w="108" w:type="dxa"/>
              <w:bottom w:w="0" w:type="dxa"/>
              <w:right w:w="108" w:type="dxa"/>
            </w:tcMar>
          </w:tcPr>
          <w:p w:rsidR="00C82EE5" w:rsidRPr="005C7CCE" w:rsidRDefault="00C82EE5" w:rsidP="001A5BF9">
            <w:pPr>
              <w:rPr>
                <w:rFonts w:cs="Arial"/>
                <w:sz w:val="16"/>
                <w:szCs w:val="16"/>
              </w:rPr>
            </w:pPr>
            <w:r w:rsidRPr="005C7CCE">
              <w:rPr>
                <w:sz w:val="16"/>
              </w:rPr>
              <w:t xml:space="preserve">Les vérificateurs externes des comptes ont émis un rapport sans réserve pour 2012. </w:t>
            </w:r>
            <w:r w:rsidR="0010442A" w:rsidRPr="005C7CCE">
              <w:rPr>
                <w:sz w:val="16"/>
              </w:rPr>
              <w:t xml:space="preserve"> </w:t>
            </w:r>
            <w:r w:rsidRPr="005C7CCE">
              <w:rPr>
                <w:sz w:val="16"/>
              </w:rPr>
              <w:t>Au moment de la présente publication, les résultats de l</w:t>
            </w:r>
            <w:r w:rsidR="00A20444" w:rsidRPr="005C7CCE">
              <w:rPr>
                <w:sz w:val="16"/>
              </w:rPr>
              <w:t>’</w:t>
            </w:r>
            <w:r w:rsidRPr="005C7CCE">
              <w:rPr>
                <w:sz w:val="16"/>
              </w:rPr>
              <w:t>audit 2013 n</w:t>
            </w:r>
            <w:r w:rsidR="00A20444" w:rsidRPr="005C7CCE">
              <w:rPr>
                <w:sz w:val="16"/>
              </w:rPr>
              <w:t>’</w:t>
            </w:r>
            <w:r w:rsidRPr="005C7CCE">
              <w:rPr>
                <w:sz w:val="16"/>
              </w:rPr>
              <w:t xml:space="preserve">ont pas encore été publiés. </w:t>
            </w:r>
            <w:r w:rsidR="0010442A" w:rsidRPr="005C7CCE">
              <w:rPr>
                <w:sz w:val="16"/>
              </w:rPr>
              <w:t xml:space="preserve"> </w:t>
            </w:r>
          </w:p>
        </w:tc>
        <w:tc>
          <w:tcPr>
            <w:tcW w:w="683" w:type="pct"/>
            <w:tcMar>
              <w:top w:w="110" w:type="dxa"/>
              <w:left w:w="108" w:type="dxa"/>
              <w:bottom w:w="0" w:type="dxa"/>
              <w:right w:w="108" w:type="dxa"/>
            </w:tcMar>
          </w:tcPr>
          <w:p w:rsidR="00C82EE5" w:rsidRPr="005C7CCE" w:rsidRDefault="00C82EE5" w:rsidP="001A5BF9">
            <w:pPr>
              <w:keepNext/>
              <w:keepLines/>
              <w:jc w:val="center"/>
              <w:rPr>
                <w:rFonts w:cs="Arial"/>
                <w:bCs/>
                <w:color w:val="E36C0A"/>
                <w:sz w:val="16"/>
                <w:szCs w:val="16"/>
              </w:rPr>
            </w:pPr>
            <w:r w:rsidRPr="005C7CCE">
              <w:rPr>
                <w:color w:val="404040"/>
                <w:sz w:val="16"/>
              </w:rPr>
              <w:t>Non évaluable</w:t>
            </w:r>
          </w:p>
        </w:tc>
      </w:tr>
    </w:tbl>
    <w:p w:rsidR="00D42474" w:rsidRDefault="00D42474" w:rsidP="001A5BF9">
      <w:pPr>
        <w:rPr>
          <w:rFonts w:cs="Arial"/>
          <w:sz w:val="16"/>
          <w:szCs w:val="16"/>
        </w:rPr>
      </w:pPr>
    </w:p>
    <w:p w:rsidR="00D42474" w:rsidRDefault="00D42474" w:rsidP="001A5BF9">
      <w:pPr>
        <w:rPr>
          <w:rFonts w:cs="Arial"/>
          <w:sz w:val="16"/>
          <w:szCs w:val="16"/>
        </w:rPr>
      </w:pPr>
    </w:p>
    <w:p w:rsidR="00D42474" w:rsidRDefault="00C82EE5" w:rsidP="001A5BF9">
      <w:pPr>
        <w:pageBreakBefore/>
        <w:rPr>
          <w:rFonts w:cs="Arial"/>
          <w:szCs w:val="22"/>
        </w:rPr>
      </w:pPr>
      <w:r w:rsidRPr="00866763">
        <w:rPr>
          <w:sz w:val="22"/>
        </w:rPr>
        <w:t>BUDGET ET DÉPENSES EFFECTIVES</w:t>
      </w:r>
    </w:p>
    <w:p w:rsidR="00D42474" w:rsidRDefault="00D42474" w:rsidP="001A5BF9">
      <w:pPr>
        <w:rPr>
          <w:rFonts w:cs="Arial"/>
          <w:sz w:val="16"/>
          <w:szCs w:val="16"/>
        </w:rPr>
      </w:pPr>
    </w:p>
    <w:p w:rsidR="00D42474" w:rsidRDefault="00C82EE5" w:rsidP="001A5BF9">
      <w:pPr>
        <w:pStyle w:val="NormalWeb"/>
        <w:spacing w:before="0" w:beforeAutospacing="0" w:after="0" w:afterAutospacing="0"/>
        <w:jc w:val="center"/>
        <w:rPr>
          <w:sz w:val="20"/>
        </w:rPr>
      </w:pPr>
      <w:r w:rsidRPr="002D02F3">
        <w:rPr>
          <w:sz w:val="20"/>
        </w:rPr>
        <w:t>Budget et dépenses effectives (par résultat)</w:t>
      </w:r>
    </w:p>
    <w:p w:rsidR="00D42474" w:rsidRDefault="00C82EE5" w:rsidP="001A5BF9">
      <w:pPr>
        <w:pStyle w:val="NormalWeb"/>
        <w:spacing w:before="0" w:beforeAutospacing="0" w:after="0" w:afterAutospacing="0"/>
        <w:jc w:val="center"/>
        <w:rPr>
          <w:i/>
          <w:iCs/>
          <w:sz w:val="20"/>
          <w:szCs w:val="22"/>
        </w:rPr>
      </w:pPr>
      <w:r w:rsidRPr="002D02F3">
        <w:rPr>
          <w:i/>
          <w:sz w:val="20"/>
        </w:rPr>
        <w:t>(</w:t>
      </w:r>
      <w:proofErr w:type="gramStart"/>
      <w:r w:rsidRPr="002D02F3">
        <w:rPr>
          <w:i/>
          <w:sz w:val="20"/>
        </w:rPr>
        <w:t>en</w:t>
      </w:r>
      <w:proofErr w:type="gramEnd"/>
      <w:r w:rsidRPr="002D02F3">
        <w:rPr>
          <w:i/>
          <w:sz w:val="20"/>
        </w:rPr>
        <w:t xml:space="preserve"> milliers de francs suisses)</w:t>
      </w:r>
    </w:p>
    <w:p w:rsidR="00C82EE5" w:rsidRPr="002D02F3" w:rsidRDefault="00C82EE5" w:rsidP="001A5BF9">
      <w:pPr>
        <w:pStyle w:val="NormalWeb"/>
        <w:spacing w:before="0" w:beforeAutospacing="0" w:after="0" w:afterAutospacing="0"/>
        <w:jc w:val="center"/>
        <w:rPr>
          <w:i/>
          <w:iCs/>
          <w:sz w:val="16"/>
          <w:szCs w:val="16"/>
        </w:rPr>
      </w:pPr>
    </w:p>
    <w:tbl>
      <w:tblPr>
        <w:tblW w:w="0" w:type="auto"/>
        <w:tblInd w:w="103" w:type="dxa"/>
        <w:tblLayout w:type="fixed"/>
        <w:tblLook w:val="04A0" w:firstRow="1" w:lastRow="0" w:firstColumn="1" w:lastColumn="0" w:noHBand="0" w:noVBand="1"/>
      </w:tblPr>
      <w:tblGrid>
        <w:gridCol w:w="537"/>
        <w:gridCol w:w="4571"/>
        <w:gridCol w:w="1417"/>
        <w:gridCol w:w="1418"/>
        <w:gridCol w:w="1418"/>
      </w:tblGrid>
      <w:tr w:rsidR="00C82EE5" w:rsidRPr="002D02F3" w:rsidTr="00167DE6">
        <w:tc>
          <w:tcPr>
            <w:tcW w:w="5108"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center"/>
              <w:rPr>
                <w:rFonts w:cs="Arial"/>
                <w:bCs/>
                <w:sz w:val="16"/>
                <w:szCs w:val="16"/>
              </w:rPr>
            </w:pPr>
            <w:r w:rsidRPr="002D02F3">
              <w:rPr>
                <w:sz w:val="16"/>
              </w:rPr>
              <w:t>Numéro et description du résultat escompté</w:t>
            </w:r>
          </w:p>
        </w:tc>
        <w:tc>
          <w:tcPr>
            <w:tcW w:w="1417"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C82EE5" w:rsidRPr="002D02F3" w:rsidTr="00167DE6">
        <w:tc>
          <w:tcPr>
            <w:tcW w:w="537" w:type="dxa"/>
            <w:tcBorders>
              <w:top w:val="nil"/>
              <w:left w:val="single" w:sz="4" w:space="0" w:color="auto"/>
              <w:bottom w:val="single" w:sz="4" w:space="0" w:color="auto"/>
              <w:right w:val="nil"/>
            </w:tcBorders>
            <w:shd w:val="clear" w:color="auto" w:fill="FFFFFF"/>
            <w:noWrap/>
          </w:tcPr>
          <w:p w:rsidR="00C82EE5" w:rsidRPr="002D02F3" w:rsidRDefault="00C82EE5" w:rsidP="001A5BF9">
            <w:pPr>
              <w:spacing w:before="80" w:after="80"/>
              <w:jc w:val="center"/>
              <w:rPr>
                <w:rFonts w:cs="Arial"/>
                <w:sz w:val="16"/>
                <w:szCs w:val="16"/>
              </w:rPr>
            </w:pPr>
            <w:proofErr w:type="spellStart"/>
            <w:r w:rsidRPr="002D02F3">
              <w:rPr>
                <w:sz w:val="16"/>
              </w:rPr>
              <w:t>IX.2</w:t>
            </w:r>
            <w:proofErr w:type="spellEnd"/>
          </w:p>
        </w:tc>
        <w:tc>
          <w:tcPr>
            <w:tcW w:w="4571" w:type="dxa"/>
            <w:tcBorders>
              <w:top w:val="nil"/>
              <w:left w:val="nil"/>
              <w:bottom w:val="single" w:sz="4" w:space="0" w:color="auto"/>
              <w:right w:val="nil"/>
            </w:tcBorders>
            <w:shd w:val="clear" w:color="auto" w:fill="FFFFFF"/>
          </w:tcPr>
          <w:p w:rsidR="00C82EE5" w:rsidRPr="002D02F3" w:rsidRDefault="00C82EE5" w:rsidP="001A5BF9">
            <w:pPr>
              <w:spacing w:before="80" w:after="80"/>
              <w:rPr>
                <w:rFonts w:cs="Arial"/>
                <w:sz w:val="16"/>
                <w:szCs w:val="16"/>
              </w:rPr>
            </w:pPr>
            <w:r w:rsidRPr="002D02F3">
              <w:rPr>
                <w:sz w:val="16"/>
              </w:rPr>
              <w:t>Planification, traitement, mise en œuvre, évaluation et établissement de rapports efficaces, efficients et fondés sur les résultats en matière de programmation et de finances</w:t>
            </w:r>
          </w:p>
        </w:tc>
        <w:tc>
          <w:tcPr>
            <w:tcW w:w="1417" w:type="dxa"/>
            <w:tcBorders>
              <w:top w:val="nil"/>
              <w:left w:val="nil"/>
              <w:bottom w:val="single" w:sz="4" w:space="0" w:color="auto"/>
              <w:right w:val="nil"/>
            </w:tcBorders>
            <w:shd w:val="clear" w:color="auto" w:fill="FFFFFF"/>
            <w:vAlign w:val="center"/>
          </w:tcPr>
          <w:p w:rsidR="00C82EE5" w:rsidRPr="002D02F3" w:rsidRDefault="00C82EE5" w:rsidP="001A5BF9">
            <w:pPr>
              <w:spacing w:before="80" w:after="80"/>
              <w:jc w:val="right"/>
              <w:rPr>
                <w:rFonts w:cs="Arial"/>
                <w:sz w:val="16"/>
                <w:szCs w:val="16"/>
              </w:rPr>
            </w:pPr>
            <w:r w:rsidRPr="002D02F3">
              <w:rPr>
                <w:sz w:val="16"/>
              </w:rPr>
              <w:t xml:space="preserve">18 901 </w:t>
            </w:r>
          </w:p>
        </w:tc>
        <w:tc>
          <w:tcPr>
            <w:tcW w:w="1418" w:type="dxa"/>
            <w:tcBorders>
              <w:top w:val="nil"/>
              <w:left w:val="nil"/>
              <w:bottom w:val="single" w:sz="4" w:space="0" w:color="auto"/>
              <w:right w:val="nil"/>
            </w:tcBorders>
            <w:shd w:val="clear" w:color="auto" w:fill="FFFFFF"/>
            <w:vAlign w:val="center"/>
          </w:tcPr>
          <w:p w:rsidR="00C82EE5" w:rsidRPr="002D02F3" w:rsidRDefault="00C82EE5" w:rsidP="001A5BF9">
            <w:pPr>
              <w:spacing w:before="80" w:after="80"/>
              <w:jc w:val="right"/>
              <w:rPr>
                <w:rFonts w:cs="Arial"/>
                <w:sz w:val="16"/>
                <w:szCs w:val="16"/>
              </w:rPr>
            </w:pPr>
            <w:r w:rsidRPr="002D02F3">
              <w:rPr>
                <w:sz w:val="16"/>
              </w:rPr>
              <w:t xml:space="preserve">19 794 </w:t>
            </w:r>
          </w:p>
        </w:tc>
        <w:tc>
          <w:tcPr>
            <w:tcW w:w="1418" w:type="dxa"/>
            <w:tcBorders>
              <w:top w:val="nil"/>
              <w:left w:val="nil"/>
              <w:bottom w:val="single" w:sz="4" w:space="0" w:color="auto"/>
              <w:right w:val="single" w:sz="4" w:space="0" w:color="auto"/>
            </w:tcBorders>
            <w:shd w:val="clear" w:color="auto" w:fill="FFFFFF"/>
            <w:vAlign w:val="center"/>
          </w:tcPr>
          <w:p w:rsidR="00C82EE5" w:rsidRPr="002D02F3" w:rsidRDefault="00C82EE5" w:rsidP="001A5BF9">
            <w:pPr>
              <w:spacing w:before="80" w:after="80"/>
              <w:jc w:val="right"/>
              <w:rPr>
                <w:rFonts w:cs="Arial"/>
                <w:sz w:val="16"/>
                <w:szCs w:val="16"/>
              </w:rPr>
            </w:pPr>
            <w:r w:rsidRPr="002D02F3">
              <w:rPr>
                <w:sz w:val="16"/>
              </w:rPr>
              <w:t xml:space="preserve">19 314 </w:t>
            </w:r>
          </w:p>
        </w:tc>
      </w:tr>
      <w:tr w:rsidR="00C82EE5" w:rsidRPr="002D02F3" w:rsidTr="00167DE6">
        <w:tc>
          <w:tcPr>
            <w:tcW w:w="537" w:type="dxa"/>
            <w:tcBorders>
              <w:top w:val="nil"/>
              <w:left w:val="single" w:sz="4" w:space="0" w:color="auto"/>
              <w:bottom w:val="single" w:sz="4" w:space="0" w:color="auto"/>
              <w:right w:val="nil"/>
            </w:tcBorders>
            <w:shd w:val="clear" w:color="auto" w:fill="CCFFFF"/>
            <w:noWrap/>
            <w:vAlign w:val="bottom"/>
          </w:tcPr>
          <w:p w:rsidR="00C82EE5" w:rsidRPr="002D02F3" w:rsidRDefault="00C82EE5" w:rsidP="001A5BF9">
            <w:pPr>
              <w:spacing w:before="80" w:after="80"/>
              <w:jc w:val="center"/>
              <w:rPr>
                <w:rFonts w:cs="Arial"/>
                <w:b/>
                <w:bCs/>
                <w:sz w:val="16"/>
                <w:szCs w:val="16"/>
              </w:rPr>
            </w:pPr>
            <w:r w:rsidRPr="002D02F3">
              <w:rPr>
                <w:b/>
                <w:sz w:val="16"/>
              </w:rPr>
              <w:t> </w:t>
            </w:r>
          </w:p>
        </w:tc>
        <w:tc>
          <w:tcPr>
            <w:tcW w:w="4571" w:type="dxa"/>
            <w:tcBorders>
              <w:top w:val="nil"/>
              <w:left w:val="nil"/>
              <w:bottom w:val="single" w:sz="4" w:space="0" w:color="auto"/>
              <w:right w:val="nil"/>
            </w:tcBorders>
            <w:shd w:val="clear" w:color="auto" w:fill="CCFFFF"/>
            <w:noWrap/>
            <w:vAlign w:val="center"/>
          </w:tcPr>
          <w:p w:rsidR="00C82EE5" w:rsidRPr="002D02F3" w:rsidRDefault="00C82EE5" w:rsidP="001A5BF9">
            <w:pPr>
              <w:spacing w:before="80" w:after="80"/>
              <w:rPr>
                <w:rFonts w:cs="Arial"/>
                <w:b/>
                <w:bCs/>
                <w:sz w:val="16"/>
                <w:szCs w:val="16"/>
              </w:rPr>
            </w:pPr>
            <w:r w:rsidRPr="002D02F3">
              <w:rPr>
                <w:b/>
                <w:sz w:val="16"/>
              </w:rPr>
              <w:t>Total</w:t>
            </w:r>
          </w:p>
        </w:tc>
        <w:tc>
          <w:tcPr>
            <w:tcW w:w="1417" w:type="dxa"/>
            <w:tcBorders>
              <w:top w:val="nil"/>
              <w:left w:val="single" w:sz="4" w:space="0" w:color="auto"/>
              <w:bottom w:val="single" w:sz="4" w:space="0" w:color="auto"/>
              <w:right w:val="single" w:sz="4" w:space="0" w:color="auto"/>
            </w:tcBorders>
            <w:shd w:val="clear" w:color="auto" w:fill="CCFFFF"/>
            <w:vAlign w:val="center"/>
          </w:tcPr>
          <w:p w:rsidR="00C82EE5" w:rsidRPr="002D02F3" w:rsidRDefault="00C82EE5" w:rsidP="001A5BF9">
            <w:pPr>
              <w:spacing w:before="80" w:after="80"/>
              <w:jc w:val="right"/>
              <w:rPr>
                <w:rFonts w:cs="Arial"/>
                <w:b/>
                <w:bCs/>
                <w:sz w:val="16"/>
                <w:szCs w:val="16"/>
              </w:rPr>
            </w:pPr>
            <w:r w:rsidRPr="002D02F3">
              <w:rPr>
                <w:b/>
                <w:sz w:val="16"/>
              </w:rPr>
              <w:t>18 901</w:t>
            </w:r>
          </w:p>
        </w:tc>
        <w:tc>
          <w:tcPr>
            <w:tcW w:w="1418" w:type="dxa"/>
            <w:tcBorders>
              <w:top w:val="nil"/>
              <w:left w:val="nil"/>
              <w:bottom w:val="single" w:sz="4" w:space="0" w:color="auto"/>
              <w:right w:val="single" w:sz="4" w:space="0" w:color="auto"/>
            </w:tcBorders>
            <w:shd w:val="clear" w:color="auto" w:fill="CCFFFF"/>
            <w:noWrap/>
            <w:vAlign w:val="center"/>
          </w:tcPr>
          <w:p w:rsidR="00C82EE5" w:rsidRPr="002D02F3" w:rsidRDefault="00C82EE5" w:rsidP="001A5BF9">
            <w:pPr>
              <w:spacing w:before="80" w:after="80"/>
              <w:jc w:val="right"/>
              <w:rPr>
                <w:rFonts w:cs="Arial"/>
                <w:b/>
                <w:bCs/>
                <w:sz w:val="16"/>
                <w:szCs w:val="16"/>
              </w:rPr>
            </w:pPr>
            <w:r w:rsidRPr="002D02F3">
              <w:rPr>
                <w:b/>
                <w:sz w:val="16"/>
              </w:rPr>
              <w:t>19 794</w:t>
            </w:r>
          </w:p>
        </w:tc>
        <w:tc>
          <w:tcPr>
            <w:tcW w:w="1418" w:type="dxa"/>
            <w:tcBorders>
              <w:top w:val="nil"/>
              <w:left w:val="nil"/>
              <w:bottom w:val="single" w:sz="4" w:space="0" w:color="auto"/>
              <w:right w:val="single" w:sz="4" w:space="0" w:color="auto"/>
            </w:tcBorders>
            <w:shd w:val="clear" w:color="auto" w:fill="CCFFFF"/>
            <w:vAlign w:val="center"/>
          </w:tcPr>
          <w:p w:rsidR="00C82EE5" w:rsidRPr="002D02F3" w:rsidRDefault="00C82EE5" w:rsidP="001A5BF9">
            <w:pPr>
              <w:spacing w:before="80" w:after="80"/>
              <w:jc w:val="right"/>
              <w:rPr>
                <w:rFonts w:cs="Arial"/>
                <w:b/>
                <w:bCs/>
                <w:sz w:val="16"/>
                <w:szCs w:val="16"/>
              </w:rPr>
            </w:pPr>
            <w:r w:rsidRPr="002D02F3">
              <w:rPr>
                <w:b/>
                <w:sz w:val="16"/>
              </w:rPr>
              <w:t>19 314</w:t>
            </w:r>
          </w:p>
        </w:tc>
      </w:tr>
    </w:tbl>
    <w:p w:rsidR="00D42474" w:rsidRDefault="00D42474" w:rsidP="001A5BF9">
      <w:pPr>
        <w:rPr>
          <w:rFonts w:cs="Arial"/>
          <w:szCs w:val="22"/>
        </w:rPr>
      </w:pPr>
    </w:p>
    <w:p w:rsidR="00D42474" w:rsidRDefault="00C82EE5" w:rsidP="001A5BF9">
      <w:pPr>
        <w:pStyle w:val="NormalWeb"/>
        <w:spacing w:before="0" w:beforeAutospacing="0" w:after="0" w:afterAutospacing="0"/>
        <w:jc w:val="center"/>
        <w:rPr>
          <w:sz w:val="20"/>
        </w:rPr>
      </w:pPr>
      <w:r w:rsidRPr="002D02F3">
        <w:rPr>
          <w:sz w:val="20"/>
        </w:rPr>
        <w:t xml:space="preserve">Budget et dépenses effectives (dépenses de </w:t>
      </w:r>
      <w:proofErr w:type="gramStart"/>
      <w:r w:rsidRPr="002D02F3">
        <w:rPr>
          <w:sz w:val="20"/>
        </w:rPr>
        <w:t>personnel et autres dépenses</w:t>
      </w:r>
      <w:proofErr w:type="gramEnd"/>
      <w:r w:rsidRPr="002D02F3">
        <w:rPr>
          <w:sz w:val="20"/>
        </w:rPr>
        <w:t>)</w:t>
      </w:r>
    </w:p>
    <w:p w:rsidR="00D42474" w:rsidRDefault="00C82EE5"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C82EE5" w:rsidRPr="002D02F3" w:rsidRDefault="00C82EE5" w:rsidP="001A5BF9">
      <w:pPr>
        <w:rPr>
          <w:rFonts w:cs="Arial"/>
          <w:szCs w:val="22"/>
        </w:rPr>
      </w:pPr>
    </w:p>
    <w:tbl>
      <w:tblPr>
        <w:tblW w:w="0" w:type="auto"/>
        <w:tblInd w:w="93" w:type="dxa"/>
        <w:tblLook w:val="04A0" w:firstRow="1" w:lastRow="0" w:firstColumn="1" w:lastColumn="0" w:noHBand="0" w:noVBand="1"/>
      </w:tblPr>
      <w:tblGrid>
        <w:gridCol w:w="2850"/>
        <w:gridCol w:w="1630"/>
        <w:gridCol w:w="1630"/>
        <w:gridCol w:w="1630"/>
        <w:gridCol w:w="1631"/>
      </w:tblGrid>
      <w:tr w:rsidR="00C82EE5" w:rsidRPr="002D02F3" w:rsidTr="0056083E">
        <w:tc>
          <w:tcPr>
            <w:tcW w:w="2850" w:type="dxa"/>
            <w:tcBorders>
              <w:top w:val="single" w:sz="4" w:space="0" w:color="auto"/>
              <w:left w:val="single" w:sz="4" w:space="0" w:color="auto"/>
              <w:bottom w:val="single" w:sz="4" w:space="0" w:color="auto"/>
              <w:right w:val="single" w:sz="4" w:space="0" w:color="auto"/>
            </w:tcBorders>
            <w:shd w:val="clear" w:color="auto" w:fill="CCFFFF"/>
            <w:noWrap/>
            <w:vAlign w:val="center"/>
          </w:tcPr>
          <w:p w:rsidR="00C82EE5" w:rsidRPr="002D02F3" w:rsidRDefault="00C82EE5" w:rsidP="001A5BF9">
            <w:pPr>
              <w:spacing w:before="120" w:after="120"/>
              <w:rPr>
                <w:rFonts w:cs="Arial"/>
                <w:sz w:val="16"/>
                <w:szCs w:val="16"/>
              </w:rPr>
            </w:pPr>
            <w:r w:rsidRPr="002D02F3">
              <w:rPr>
                <w:sz w:val="16"/>
              </w:rPr>
              <w:t> </w:t>
            </w:r>
          </w:p>
        </w:tc>
        <w:tc>
          <w:tcPr>
            <w:tcW w:w="1630" w:type="dxa"/>
            <w:tcBorders>
              <w:top w:val="single" w:sz="4" w:space="0" w:color="auto"/>
              <w:left w:val="nil"/>
              <w:bottom w:val="nil"/>
              <w:right w:val="single" w:sz="4" w:space="0" w:color="auto"/>
            </w:tcBorders>
            <w:shd w:val="clear" w:color="auto"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630" w:type="dxa"/>
            <w:tcBorders>
              <w:top w:val="single" w:sz="4" w:space="0" w:color="auto"/>
              <w:left w:val="nil"/>
              <w:bottom w:val="nil"/>
              <w:right w:val="single" w:sz="4" w:space="0" w:color="auto"/>
            </w:tcBorders>
            <w:shd w:val="clear" w:color="auto"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630" w:type="dxa"/>
            <w:tcBorders>
              <w:top w:val="single" w:sz="4" w:space="0" w:color="auto"/>
              <w:left w:val="nil"/>
              <w:bottom w:val="nil"/>
              <w:right w:val="single" w:sz="4" w:space="0" w:color="auto"/>
            </w:tcBorders>
            <w:shd w:val="clear" w:color="auto"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631" w:type="dxa"/>
            <w:tcBorders>
              <w:top w:val="single" w:sz="4" w:space="0" w:color="auto"/>
              <w:left w:val="nil"/>
              <w:bottom w:val="nil"/>
              <w:right w:val="single" w:sz="4" w:space="0" w:color="auto"/>
            </w:tcBorders>
            <w:shd w:val="clear" w:color="auto" w:fill="CCFFFF"/>
            <w:vAlign w:val="center"/>
          </w:tcPr>
          <w:p w:rsidR="00C82EE5" w:rsidRPr="002D02F3" w:rsidRDefault="00C82EE5"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 xml:space="preserve">utilisation </w:t>
            </w:r>
            <w:r w:rsidR="00BD43F2" w:rsidRPr="002D02F3">
              <w:rPr>
                <w:sz w:val="16"/>
              </w:rPr>
              <w:t>(%)</w:t>
            </w:r>
          </w:p>
        </w:tc>
      </w:tr>
      <w:tr w:rsidR="00C82EE5" w:rsidRPr="002D02F3" w:rsidTr="0056083E">
        <w:tc>
          <w:tcPr>
            <w:tcW w:w="2850" w:type="dxa"/>
            <w:tcBorders>
              <w:top w:val="nil"/>
              <w:left w:val="single" w:sz="4" w:space="0" w:color="auto"/>
              <w:bottom w:val="single" w:sz="4" w:space="0" w:color="auto"/>
              <w:right w:val="single" w:sz="4" w:space="0" w:color="auto"/>
            </w:tcBorders>
            <w:noWrap/>
            <w:vAlign w:val="center"/>
          </w:tcPr>
          <w:p w:rsidR="00C82EE5" w:rsidRPr="002D02F3" w:rsidRDefault="00C82EE5"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630" w:type="dxa"/>
            <w:tcBorders>
              <w:top w:val="single" w:sz="4" w:space="0" w:color="auto"/>
              <w:left w:val="nil"/>
              <w:bottom w:val="single" w:sz="4" w:space="0" w:color="auto"/>
              <w:right w:val="single" w:sz="4" w:space="0" w:color="auto"/>
            </w:tcBorders>
            <w:vAlign w:val="center"/>
          </w:tcPr>
          <w:p w:rsidR="00C82EE5" w:rsidRPr="002D02F3" w:rsidRDefault="00C82EE5" w:rsidP="001A5BF9">
            <w:pPr>
              <w:spacing w:before="80" w:after="80"/>
              <w:jc w:val="center"/>
              <w:rPr>
                <w:rFonts w:cs="Arial"/>
                <w:sz w:val="16"/>
                <w:szCs w:val="16"/>
              </w:rPr>
            </w:pPr>
            <w:r w:rsidRPr="002D02F3">
              <w:rPr>
                <w:sz w:val="16"/>
              </w:rPr>
              <w:t>16 760</w:t>
            </w:r>
          </w:p>
        </w:tc>
        <w:tc>
          <w:tcPr>
            <w:tcW w:w="1630" w:type="dxa"/>
            <w:tcBorders>
              <w:top w:val="single" w:sz="4" w:space="0" w:color="auto"/>
              <w:left w:val="nil"/>
              <w:bottom w:val="single" w:sz="4" w:space="0" w:color="auto"/>
              <w:right w:val="single" w:sz="4" w:space="0" w:color="auto"/>
            </w:tcBorders>
            <w:vAlign w:val="center"/>
          </w:tcPr>
          <w:p w:rsidR="00C82EE5" w:rsidRPr="002D02F3" w:rsidRDefault="00C82EE5" w:rsidP="001A5BF9">
            <w:pPr>
              <w:spacing w:before="80" w:after="80"/>
              <w:jc w:val="center"/>
              <w:rPr>
                <w:rFonts w:cs="Arial"/>
                <w:sz w:val="16"/>
                <w:szCs w:val="16"/>
              </w:rPr>
            </w:pPr>
            <w:r w:rsidRPr="002D02F3">
              <w:rPr>
                <w:sz w:val="16"/>
              </w:rPr>
              <w:t>17 498</w:t>
            </w:r>
          </w:p>
        </w:tc>
        <w:tc>
          <w:tcPr>
            <w:tcW w:w="1630" w:type="dxa"/>
            <w:tcBorders>
              <w:top w:val="single" w:sz="4" w:space="0" w:color="auto"/>
              <w:left w:val="nil"/>
              <w:bottom w:val="single" w:sz="4" w:space="0" w:color="auto"/>
              <w:right w:val="single" w:sz="4" w:space="0" w:color="auto"/>
            </w:tcBorders>
            <w:vAlign w:val="center"/>
          </w:tcPr>
          <w:p w:rsidR="00C82EE5" w:rsidRPr="002D02F3" w:rsidRDefault="00C82EE5" w:rsidP="001A5BF9">
            <w:pPr>
              <w:spacing w:before="80" w:after="80"/>
              <w:jc w:val="center"/>
              <w:rPr>
                <w:rFonts w:cs="Arial"/>
                <w:sz w:val="16"/>
                <w:szCs w:val="16"/>
              </w:rPr>
            </w:pPr>
            <w:r w:rsidRPr="002D02F3">
              <w:rPr>
                <w:sz w:val="16"/>
              </w:rPr>
              <w:t>17 498</w:t>
            </w:r>
          </w:p>
        </w:tc>
        <w:tc>
          <w:tcPr>
            <w:tcW w:w="1631" w:type="dxa"/>
            <w:tcBorders>
              <w:top w:val="single" w:sz="4" w:space="0" w:color="auto"/>
              <w:left w:val="nil"/>
              <w:bottom w:val="single" w:sz="4" w:space="0" w:color="auto"/>
              <w:right w:val="single" w:sz="4" w:space="0" w:color="auto"/>
            </w:tcBorders>
            <w:vAlign w:val="center"/>
          </w:tcPr>
          <w:p w:rsidR="00C82EE5" w:rsidRPr="002D02F3" w:rsidRDefault="00C82EE5" w:rsidP="001A5BF9">
            <w:pPr>
              <w:spacing w:before="80" w:after="80"/>
              <w:jc w:val="center"/>
              <w:rPr>
                <w:rFonts w:cs="Arial"/>
                <w:sz w:val="16"/>
                <w:szCs w:val="16"/>
              </w:rPr>
            </w:pPr>
            <w:r w:rsidRPr="002D02F3">
              <w:rPr>
                <w:sz w:val="16"/>
              </w:rPr>
              <w:t>100</w:t>
            </w:r>
            <w:r w:rsidR="007E442D" w:rsidRPr="002D02F3">
              <w:rPr>
                <w:sz w:val="16"/>
              </w:rPr>
              <w:t>%</w:t>
            </w:r>
          </w:p>
        </w:tc>
      </w:tr>
      <w:tr w:rsidR="00C82EE5" w:rsidRPr="002D02F3" w:rsidTr="0056083E">
        <w:tc>
          <w:tcPr>
            <w:tcW w:w="2850" w:type="dxa"/>
            <w:tcBorders>
              <w:top w:val="nil"/>
              <w:left w:val="single" w:sz="4" w:space="0" w:color="auto"/>
              <w:bottom w:val="single" w:sz="4" w:space="0" w:color="auto"/>
              <w:right w:val="single" w:sz="4" w:space="0" w:color="auto"/>
            </w:tcBorders>
            <w:noWrap/>
            <w:vAlign w:val="center"/>
          </w:tcPr>
          <w:p w:rsidR="00C82EE5" w:rsidRPr="002D02F3" w:rsidRDefault="00C82EE5" w:rsidP="001A5BF9">
            <w:pPr>
              <w:spacing w:before="120" w:after="120"/>
              <w:rPr>
                <w:rFonts w:cs="Arial"/>
                <w:sz w:val="16"/>
                <w:szCs w:val="16"/>
              </w:rPr>
            </w:pPr>
            <w:r w:rsidRPr="002D02F3">
              <w:rPr>
                <w:sz w:val="16"/>
              </w:rPr>
              <w:t xml:space="preserve">Autres dépenses </w:t>
            </w:r>
          </w:p>
        </w:tc>
        <w:tc>
          <w:tcPr>
            <w:tcW w:w="1630" w:type="dxa"/>
            <w:tcBorders>
              <w:top w:val="nil"/>
              <w:left w:val="nil"/>
              <w:bottom w:val="single" w:sz="4" w:space="0" w:color="auto"/>
              <w:right w:val="single" w:sz="4" w:space="0" w:color="auto"/>
            </w:tcBorders>
            <w:vAlign w:val="center"/>
          </w:tcPr>
          <w:p w:rsidR="00C82EE5" w:rsidRPr="002D02F3" w:rsidRDefault="00C82EE5" w:rsidP="001A5BF9">
            <w:pPr>
              <w:spacing w:before="80" w:after="80"/>
              <w:jc w:val="center"/>
              <w:rPr>
                <w:rFonts w:cs="Arial"/>
                <w:sz w:val="16"/>
                <w:szCs w:val="16"/>
              </w:rPr>
            </w:pPr>
            <w:r w:rsidRPr="002D02F3">
              <w:rPr>
                <w:sz w:val="16"/>
              </w:rPr>
              <w:t>2 141</w:t>
            </w:r>
          </w:p>
        </w:tc>
        <w:tc>
          <w:tcPr>
            <w:tcW w:w="1630" w:type="dxa"/>
            <w:tcBorders>
              <w:top w:val="nil"/>
              <w:left w:val="nil"/>
              <w:bottom w:val="single" w:sz="4" w:space="0" w:color="auto"/>
              <w:right w:val="single" w:sz="4" w:space="0" w:color="auto"/>
            </w:tcBorders>
            <w:vAlign w:val="center"/>
          </w:tcPr>
          <w:p w:rsidR="00C82EE5" w:rsidRPr="002D02F3" w:rsidRDefault="00C82EE5" w:rsidP="001A5BF9">
            <w:pPr>
              <w:spacing w:before="80" w:after="80"/>
              <w:jc w:val="center"/>
              <w:rPr>
                <w:rFonts w:cs="Arial"/>
                <w:sz w:val="16"/>
                <w:szCs w:val="16"/>
              </w:rPr>
            </w:pPr>
            <w:r w:rsidRPr="002D02F3">
              <w:rPr>
                <w:sz w:val="16"/>
              </w:rPr>
              <w:t>2 296</w:t>
            </w:r>
          </w:p>
        </w:tc>
        <w:tc>
          <w:tcPr>
            <w:tcW w:w="1630" w:type="dxa"/>
            <w:tcBorders>
              <w:top w:val="nil"/>
              <w:left w:val="nil"/>
              <w:bottom w:val="single" w:sz="4" w:space="0" w:color="auto"/>
              <w:right w:val="single" w:sz="4" w:space="0" w:color="auto"/>
            </w:tcBorders>
            <w:vAlign w:val="center"/>
          </w:tcPr>
          <w:p w:rsidR="00C82EE5" w:rsidRPr="002D02F3" w:rsidRDefault="00C82EE5" w:rsidP="001A5BF9">
            <w:pPr>
              <w:spacing w:before="80" w:after="80"/>
              <w:jc w:val="center"/>
              <w:rPr>
                <w:rFonts w:cs="Arial"/>
                <w:sz w:val="16"/>
                <w:szCs w:val="16"/>
              </w:rPr>
            </w:pPr>
            <w:r w:rsidRPr="002D02F3">
              <w:rPr>
                <w:sz w:val="16"/>
              </w:rPr>
              <w:t>1 816</w:t>
            </w:r>
          </w:p>
        </w:tc>
        <w:tc>
          <w:tcPr>
            <w:tcW w:w="1631" w:type="dxa"/>
            <w:tcBorders>
              <w:top w:val="nil"/>
              <w:left w:val="nil"/>
              <w:bottom w:val="single" w:sz="4" w:space="0" w:color="auto"/>
              <w:right w:val="single" w:sz="4" w:space="0" w:color="auto"/>
            </w:tcBorders>
            <w:vAlign w:val="center"/>
          </w:tcPr>
          <w:p w:rsidR="00C82EE5" w:rsidRPr="002D02F3" w:rsidRDefault="00C82EE5" w:rsidP="001A5BF9">
            <w:pPr>
              <w:spacing w:before="80" w:after="80"/>
              <w:jc w:val="center"/>
              <w:rPr>
                <w:rFonts w:cs="Arial"/>
                <w:sz w:val="16"/>
                <w:szCs w:val="16"/>
              </w:rPr>
            </w:pPr>
            <w:r w:rsidRPr="002D02F3">
              <w:rPr>
                <w:sz w:val="16"/>
              </w:rPr>
              <w:t>79</w:t>
            </w:r>
            <w:r w:rsidR="007E442D" w:rsidRPr="002D02F3">
              <w:rPr>
                <w:sz w:val="16"/>
              </w:rPr>
              <w:t>%</w:t>
            </w:r>
          </w:p>
        </w:tc>
      </w:tr>
      <w:tr w:rsidR="00C82EE5" w:rsidRPr="002D02F3" w:rsidTr="0056083E">
        <w:tc>
          <w:tcPr>
            <w:tcW w:w="2850" w:type="dxa"/>
            <w:tcBorders>
              <w:top w:val="nil"/>
              <w:left w:val="single" w:sz="4" w:space="0" w:color="auto"/>
              <w:bottom w:val="single" w:sz="4" w:space="0" w:color="auto"/>
              <w:right w:val="single" w:sz="4" w:space="0" w:color="auto"/>
            </w:tcBorders>
            <w:noWrap/>
            <w:vAlign w:val="center"/>
          </w:tcPr>
          <w:p w:rsidR="00C82EE5" w:rsidRPr="002D02F3" w:rsidRDefault="00C82EE5" w:rsidP="001A5BF9">
            <w:pPr>
              <w:spacing w:before="120" w:after="120"/>
              <w:jc w:val="right"/>
              <w:rPr>
                <w:rFonts w:cs="Arial"/>
                <w:b/>
                <w:bCs/>
                <w:sz w:val="16"/>
                <w:szCs w:val="16"/>
              </w:rPr>
            </w:pPr>
            <w:r w:rsidRPr="002D02F3">
              <w:rPr>
                <w:b/>
                <w:sz w:val="16"/>
              </w:rPr>
              <w:t xml:space="preserve"> TOTAL </w:t>
            </w:r>
          </w:p>
        </w:tc>
        <w:tc>
          <w:tcPr>
            <w:tcW w:w="1630" w:type="dxa"/>
            <w:tcBorders>
              <w:top w:val="nil"/>
              <w:left w:val="nil"/>
              <w:bottom w:val="single" w:sz="4" w:space="0" w:color="auto"/>
              <w:right w:val="single" w:sz="4" w:space="0" w:color="auto"/>
            </w:tcBorders>
            <w:vAlign w:val="center"/>
          </w:tcPr>
          <w:p w:rsidR="00C82EE5" w:rsidRPr="002D02F3" w:rsidRDefault="00C82EE5" w:rsidP="001A5BF9">
            <w:pPr>
              <w:spacing w:before="80" w:after="80"/>
              <w:jc w:val="center"/>
              <w:rPr>
                <w:rFonts w:cs="Arial"/>
                <w:b/>
                <w:bCs/>
                <w:sz w:val="16"/>
                <w:szCs w:val="16"/>
              </w:rPr>
            </w:pPr>
            <w:r w:rsidRPr="002D02F3">
              <w:rPr>
                <w:b/>
                <w:sz w:val="16"/>
              </w:rPr>
              <w:t>18 901</w:t>
            </w:r>
          </w:p>
        </w:tc>
        <w:tc>
          <w:tcPr>
            <w:tcW w:w="1630" w:type="dxa"/>
            <w:tcBorders>
              <w:top w:val="nil"/>
              <w:left w:val="nil"/>
              <w:bottom w:val="single" w:sz="4" w:space="0" w:color="auto"/>
              <w:right w:val="single" w:sz="4" w:space="0" w:color="auto"/>
            </w:tcBorders>
            <w:vAlign w:val="center"/>
          </w:tcPr>
          <w:p w:rsidR="00C82EE5" w:rsidRPr="002D02F3" w:rsidRDefault="00C82EE5" w:rsidP="001A5BF9">
            <w:pPr>
              <w:spacing w:before="80" w:after="80"/>
              <w:jc w:val="center"/>
              <w:rPr>
                <w:rFonts w:cs="Arial"/>
                <w:b/>
                <w:sz w:val="16"/>
                <w:szCs w:val="16"/>
              </w:rPr>
            </w:pPr>
            <w:r w:rsidRPr="002D02F3">
              <w:rPr>
                <w:b/>
                <w:sz w:val="16"/>
              </w:rPr>
              <w:t>19 794</w:t>
            </w:r>
          </w:p>
        </w:tc>
        <w:tc>
          <w:tcPr>
            <w:tcW w:w="1630" w:type="dxa"/>
            <w:tcBorders>
              <w:top w:val="nil"/>
              <w:left w:val="nil"/>
              <w:bottom w:val="single" w:sz="4" w:space="0" w:color="auto"/>
              <w:right w:val="single" w:sz="4" w:space="0" w:color="auto"/>
            </w:tcBorders>
            <w:vAlign w:val="center"/>
          </w:tcPr>
          <w:p w:rsidR="00C82EE5" w:rsidRPr="002D02F3" w:rsidRDefault="00C82EE5" w:rsidP="001A5BF9">
            <w:pPr>
              <w:spacing w:before="80" w:after="80"/>
              <w:jc w:val="center"/>
              <w:rPr>
                <w:rFonts w:cs="Arial"/>
                <w:b/>
                <w:sz w:val="16"/>
                <w:szCs w:val="16"/>
              </w:rPr>
            </w:pPr>
            <w:r w:rsidRPr="002D02F3">
              <w:rPr>
                <w:b/>
                <w:sz w:val="16"/>
              </w:rPr>
              <w:t>19 314</w:t>
            </w:r>
          </w:p>
        </w:tc>
        <w:tc>
          <w:tcPr>
            <w:tcW w:w="1631" w:type="dxa"/>
            <w:tcBorders>
              <w:top w:val="nil"/>
              <w:left w:val="nil"/>
              <w:bottom w:val="single" w:sz="4" w:space="0" w:color="auto"/>
              <w:right w:val="single" w:sz="4" w:space="0" w:color="auto"/>
            </w:tcBorders>
            <w:vAlign w:val="center"/>
          </w:tcPr>
          <w:p w:rsidR="00C82EE5" w:rsidRPr="002D02F3" w:rsidRDefault="00C82EE5" w:rsidP="001A5BF9">
            <w:pPr>
              <w:spacing w:before="80" w:after="80"/>
              <w:jc w:val="center"/>
              <w:rPr>
                <w:rFonts w:cs="Arial"/>
                <w:b/>
                <w:sz w:val="16"/>
                <w:szCs w:val="16"/>
              </w:rPr>
            </w:pPr>
            <w:r w:rsidRPr="002D02F3">
              <w:rPr>
                <w:b/>
                <w:sz w:val="16"/>
              </w:rPr>
              <w:t>98</w:t>
            </w:r>
            <w:r w:rsidR="007E442D" w:rsidRPr="002D02F3">
              <w:rPr>
                <w:b/>
                <w:sz w:val="16"/>
              </w:rPr>
              <w:t>%</w:t>
            </w:r>
          </w:p>
        </w:tc>
      </w:tr>
    </w:tbl>
    <w:p w:rsidR="00D42474" w:rsidRDefault="00D42474" w:rsidP="001A5BF9">
      <w:pPr>
        <w:rPr>
          <w:rFonts w:cs="Arial"/>
          <w:szCs w:val="22"/>
        </w:rPr>
      </w:pPr>
    </w:p>
    <w:p w:rsidR="00D42474" w:rsidRDefault="00C82EE5" w:rsidP="001A5BF9">
      <w:pPr>
        <w:keepNext/>
        <w:autoSpaceDE w:val="0"/>
        <w:autoSpaceDN w:val="0"/>
        <w:rPr>
          <w:rFonts w:cs="Arial"/>
          <w:sz w:val="16"/>
          <w:szCs w:val="16"/>
        </w:rPr>
      </w:pPr>
      <w:proofErr w:type="gramStart"/>
      <w:r w:rsidRPr="002D02F3">
        <w:rPr>
          <w:sz w:val="16"/>
        </w:rPr>
        <w:t>NOTES</w:t>
      </w:r>
      <w:proofErr w:type="gramEnd"/>
      <w:r w:rsidR="0010442A" w:rsidRPr="002D02F3">
        <w:rPr>
          <w:sz w:val="16"/>
        </w:rPr>
        <w:t> </w:t>
      </w:r>
      <w:r w:rsidRPr="002D02F3">
        <w:rPr>
          <w:sz w:val="16"/>
        </w:rPr>
        <w:t>:</w:t>
      </w:r>
    </w:p>
    <w:p w:rsidR="00D42474" w:rsidRDefault="00D42474" w:rsidP="001A5BF9">
      <w:pPr>
        <w:keepNext/>
        <w:autoSpaceDE w:val="0"/>
        <w:autoSpaceDN w:val="0"/>
        <w:rPr>
          <w:rFonts w:cs="Arial"/>
          <w:sz w:val="16"/>
          <w:szCs w:val="16"/>
        </w:rPr>
      </w:pPr>
    </w:p>
    <w:p w:rsidR="00D42474" w:rsidRDefault="00C82EE5" w:rsidP="001A5BF9">
      <w:pPr>
        <w:keepNext/>
        <w:autoSpaceDE w:val="0"/>
        <w:autoSpaceDN w:val="0"/>
        <w:rPr>
          <w:rFonts w:cs="Arial"/>
          <w:sz w:val="16"/>
          <w:szCs w:val="16"/>
        </w:rPr>
      </w:pPr>
      <w:r w:rsidRPr="002D02F3">
        <w:rPr>
          <w:sz w:val="16"/>
        </w:rPr>
        <w:t>1)</w:t>
      </w:r>
      <w:r w:rsidR="004F3E42" w:rsidRPr="002D02F3">
        <w:rPr>
          <w:sz w:val="16"/>
        </w:rPr>
        <w:t xml:space="preserve"> </w:t>
      </w:r>
      <w:r w:rsidR="00933D5A">
        <w:rPr>
          <w:sz w:val="16"/>
        </w:rPr>
        <w:tab/>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keepNext/>
        <w:autoSpaceDE w:val="0"/>
        <w:autoSpaceDN w:val="0"/>
        <w:rPr>
          <w:rFonts w:cs="Arial"/>
          <w:sz w:val="16"/>
          <w:szCs w:val="16"/>
        </w:rPr>
      </w:pPr>
    </w:p>
    <w:p w:rsidR="00D42474" w:rsidRDefault="00C82EE5" w:rsidP="001A5BF9">
      <w:pPr>
        <w:keepNext/>
        <w:autoSpaceDE w:val="0"/>
        <w:autoSpaceDN w:val="0"/>
        <w:rPr>
          <w:sz w:val="16"/>
        </w:rPr>
      </w:pPr>
      <w:r w:rsidRPr="002D02F3">
        <w:rPr>
          <w:sz w:val="16"/>
        </w:rPr>
        <w:t>2)</w:t>
      </w:r>
      <w:r w:rsidR="00933D5A">
        <w:rPr>
          <w:sz w:val="16"/>
        </w:rPr>
        <w:tab/>
      </w:r>
      <w:r w:rsidRPr="002D02F3">
        <w:rPr>
          <w:sz w:val="16"/>
        </w:rPr>
        <w:t>Les dépenses de personnel indiquées dans le budget de l</w:t>
      </w:r>
      <w:r w:rsidR="00A20444" w:rsidRPr="002D02F3">
        <w:rPr>
          <w:sz w:val="16"/>
        </w:rPr>
        <w:t>’</w:t>
      </w:r>
      <w:r w:rsidRPr="002D02F3">
        <w:rPr>
          <w:sz w:val="16"/>
        </w:rPr>
        <w:t>exercice 2012</w:t>
      </w:r>
      <w:r w:rsidR="002D6F2A" w:rsidRPr="002D02F3">
        <w:rPr>
          <w:sz w:val="16"/>
        </w:rPr>
        <w:noBreakHyphen/>
      </w:r>
      <w:r w:rsidRPr="002D02F3">
        <w:rPr>
          <w:sz w:val="16"/>
        </w:rPr>
        <w:t>2013 après virements représentent les dépenses réelles engagées pendant l</w:t>
      </w:r>
      <w:r w:rsidR="00A20444" w:rsidRPr="002D02F3">
        <w:rPr>
          <w:sz w:val="16"/>
        </w:rPr>
        <w:t>’</w:t>
      </w:r>
      <w:r w:rsidRPr="002D02F3">
        <w:rPr>
          <w:sz w:val="16"/>
        </w:rPr>
        <w:t>exercice biennal.</w:t>
      </w:r>
    </w:p>
    <w:p w:rsidR="00D42474" w:rsidRDefault="00D42474" w:rsidP="001A5BF9">
      <w:pPr>
        <w:rPr>
          <w:rFonts w:cs="Arial"/>
          <w:szCs w:val="22"/>
        </w:rPr>
      </w:pPr>
    </w:p>
    <w:p w:rsidR="00D42474" w:rsidRDefault="00C82EE5" w:rsidP="001A5BF9">
      <w:pPr>
        <w:tabs>
          <w:tab w:val="left" w:pos="709"/>
        </w:tabs>
        <w:rPr>
          <w:rFonts w:cs="Arial"/>
          <w:szCs w:val="20"/>
          <w:u w:val="single"/>
        </w:rPr>
      </w:pPr>
      <w:r w:rsidRPr="002D02F3">
        <w:t>A.</w:t>
      </w:r>
      <w:r w:rsidRPr="002D02F3">
        <w:tab/>
      </w:r>
      <w:r w:rsidRPr="00933D5A">
        <w:rPr>
          <w:u w:val="single"/>
        </w:rPr>
        <w:t>Budget 2012</w:t>
      </w:r>
      <w:r w:rsidR="002D6F2A" w:rsidRPr="00933D5A">
        <w:rPr>
          <w:u w:val="single"/>
        </w:rPr>
        <w:noBreakHyphen/>
      </w:r>
      <w:r w:rsidRPr="00933D5A">
        <w:rPr>
          <w:u w:val="single"/>
        </w:rPr>
        <w:t>2013 après virements</w:t>
      </w:r>
    </w:p>
    <w:p w:rsidR="00D42474" w:rsidRDefault="00D42474" w:rsidP="001A5BF9">
      <w:pPr>
        <w:tabs>
          <w:tab w:val="left" w:pos="709"/>
        </w:tabs>
        <w:rPr>
          <w:rFonts w:cs="Arial"/>
          <w:b/>
          <w:szCs w:val="20"/>
        </w:rPr>
      </w:pPr>
    </w:p>
    <w:p w:rsidR="00D42474" w:rsidRDefault="00C82EE5" w:rsidP="001A5BF9">
      <w:pPr>
        <w:tabs>
          <w:tab w:val="left" w:pos="709"/>
        </w:tabs>
        <w:jc w:val="both"/>
      </w:pPr>
      <w:r w:rsidRPr="002D02F3">
        <w:t>22.10.</w:t>
      </w:r>
      <w:r w:rsidRPr="002D02F3">
        <w:tab/>
        <w:t>L</w:t>
      </w:r>
      <w:r w:rsidR="00A20444" w:rsidRPr="002D02F3">
        <w:t>’</w:t>
      </w:r>
      <w:r w:rsidRPr="002D02F3">
        <w:t>augmentation du budget après virements traduit les autres ressour</w:t>
      </w:r>
      <w:r w:rsidR="00076F3E" w:rsidRPr="002D02F3">
        <w:t>ces supplémentaires affectées :</w:t>
      </w:r>
      <w:r w:rsidR="00BD43F2" w:rsidRPr="002D02F3">
        <w:t xml:space="preserve"> </w:t>
      </w:r>
      <w:r w:rsidRPr="002D02F3">
        <w:t>i) au projet du Plan d</w:t>
      </w:r>
      <w:r w:rsidR="00A20444" w:rsidRPr="002D02F3">
        <w:t>’</w:t>
      </w:r>
      <w:r w:rsidRPr="002D02F3">
        <w:t>action pour le développement sur l</w:t>
      </w:r>
      <w:r w:rsidR="00A20444" w:rsidRPr="002D02F3">
        <w:t>’</w:t>
      </w:r>
      <w:r w:rsidRPr="002D02F3">
        <w:t>amélioration du cadre de la gestion axée sur les résultats de l</w:t>
      </w:r>
      <w:r w:rsidR="00A20444" w:rsidRPr="002D02F3">
        <w:t>’</w:t>
      </w:r>
      <w:r w:rsidRPr="002D02F3">
        <w:t>OMPI pour appuyer le suivi et l</w:t>
      </w:r>
      <w:r w:rsidR="00A20444" w:rsidRPr="002D02F3">
        <w:t>’</w:t>
      </w:r>
      <w:r w:rsidRPr="002D02F3">
        <w:t>évaluation des activités de développement;</w:t>
      </w:r>
      <w:r w:rsidR="004F3E42" w:rsidRPr="002D02F3">
        <w:t xml:space="preserve"> </w:t>
      </w:r>
      <w:r w:rsidR="0010442A" w:rsidRPr="002D02F3">
        <w:t xml:space="preserve"> </w:t>
      </w:r>
      <w:r w:rsidRPr="002D02F3">
        <w:t>ii) à l</w:t>
      </w:r>
      <w:r w:rsidR="00A20444" w:rsidRPr="002D02F3">
        <w:t>’</w:t>
      </w:r>
      <w:r w:rsidRPr="002D02F3">
        <w:t>achat de licences centrales d</w:t>
      </w:r>
      <w:r w:rsidR="00A20444" w:rsidRPr="002D02F3">
        <w:t>’</w:t>
      </w:r>
      <w:r w:rsidRPr="002D02F3">
        <w:t>équipe (base de données des recommandations d</w:t>
      </w:r>
      <w:r w:rsidR="00A20444" w:rsidRPr="002D02F3">
        <w:t>’</w:t>
      </w:r>
      <w:r w:rsidRPr="002D02F3">
        <w:t>audit maintenue par la Division de l</w:t>
      </w:r>
      <w:r w:rsidR="00A20444" w:rsidRPr="002D02F3">
        <w:t>’</w:t>
      </w:r>
      <w:r w:rsidRPr="002D02F3">
        <w:t>audit et de la supervision internes) pour les vérificateurs externes des comptes;</w:t>
      </w:r>
      <w:r w:rsidR="004F3E42" w:rsidRPr="002D02F3">
        <w:t xml:space="preserve"> </w:t>
      </w:r>
      <w:r w:rsidR="0010442A" w:rsidRPr="002D02F3">
        <w:t xml:space="preserve"> </w:t>
      </w:r>
      <w:r w:rsidR="00076F3E" w:rsidRPr="002D02F3">
        <w:t xml:space="preserve">et </w:t>
      </w:r>
      <w:r w:rsidRPr="002D02F3">
        <w:t>iii) à une augmentation des frais bancaires.</w:t>
      </w:r>
      <w:r w:rsidR="0010442A" w:rsidRPr="002D02F3">
        <w:t xml:space="preserve"> </w:t>
      </w:r>
      <w:r w:rsidRPr="002D02F3">
        <w:t xml:space="preserve"> Ces charges ont augmenté régulièrement pendant l</w:t>
      </w:r>
      <w:r w:rsidR="00A20444" w:rsidRPr="002D02F3">
        <w:t>’</w:t>
      </w:r>
      <w:r w:rsidRPr="002D02F3">
        <w:t>exercice biennal, traduisant une hausse des tarifs bancaires et des niveaux d</w:t>
      </w:r>
      <w:r w:rsidR="00A20444" w:rsidRPr="002D02F3">
        <w:t>’</w:t>
      </w:r>
      <w:r w:rsidRPr="002D02F3">
        <w:t>activité de l</w:t>
      </w:r>
      <w:r w:rsidR="00A20444" w:rsidRPr="002D02F3">
        <w:t>’</w:t>
      </w:r>
      <w:r w:rsidRPr="002D02F3">
        <w:t>OMPI, ainsi que la décision des banques opérationnelles de l</w:t>
      </w:r>
      <w:r w:rsidR="00A20444" w:rsidRPr="002D02F3">
        <w:t>’</w:t>
      </w:r>
      <w:r w:rsidRPr="002D02F3">
        <w:t>OMPI de ne plus fournir de “services bancaires gratuits”.</w:t>
      </w:r>
    </w:p>
    <w:p w:rsidR="00D42474" w:rsidRDefault="00D42474" w:rsidP="001A5BF9">
      <w:pPr>
        <w:tabs>
          <w:tab w:val="left" w:pos="709"/>
        </w:tabs>
        <w:jc w:val="both"/>
        <w:rPr>
          <w:rFonts w:cs="Arial"/>
          <w:szCs w:val="20"/>
        </w:rPr>
      </w:pPr>
    </w:p>
    <w:p w:rsidR="00D42474" w:rsidRDefault="00C82EE5" w:rsidP="001A5BF9">
      <w:pPr>
        <w:tabs>
          <w:tab w:val="left" w:pos="709"/>
        </w:tabs>
        <w:jc w:val="both"/>
        <w:rPr>
          <w:rFonts w:cs="Arial"/>
          <w:iCs/>
          <w:szCs w:val="20"/>
        </w:rPr>
      </w:pPr>
      <w:r w:rsidRPr="002D02F3">
        <w:t>22.11.</w:t>
      </w:r>
      <w:r w:rsidRPr="002D02F3">
        <w:tab/>
        <w:t>La hausse des ressources en personnel découle essentiellement de l</w:t>
      </w:r>
      <w:r w:rsidR="00A20444" w:rsidRPr="002D02F3">
        <w:t>’</w:t>
      </w:r>
      <w:r w:rsidRPr="002D02F3">
        <w:t>engagement de l</w:t>
      </w:r>
      <w:r w:rsidR="00A20444" w:rsidRPr="002D02F3">
        <w:t>’</w:t>
      </w:r>
      <w:r w:rsidRPr="002D02F3">
        <w:t>Organisation, en cas d</w:t>
      </w:r>
      <w:r w:rsidR="00A20444" w:rsidRPr="002D02F3">
        <w:t>’</w:t>
      </w:r>
      <w:r w:rsidRPr="002D02F3">
        <w:t>augmentation du montant des recettes prévues, à reconstituer les provisions au titre des prestations après la cessation de service qui avaient été initialement budgétées à un niveau inférieur à celui de l</w:t>
      </w:r>
      <w:r w:rsidR="00A20444" w:rsidRPr="002D02F3">
        <w:t>’</w:t>
      </w:r>
      <w:r w:rsidRPr="002D02F3">
        <w:t>exercice biennal précédent.</w:t>
      </w:r>
    </w:p>
    <w:p w:rsidR="00D42474" w:rsidRDefault="00D42474" w:rsidP="001A5BF9">
      <w:pPr>
        <w:tabs>
          <w:tab w:val="left" w:pos="709"/>
        </w:tabs>
        <w:jc w:val="both"/>
        <w:rPr>
          <w:rFonts w:cs="Arial"/>
          <w:szCs w:val="22"/>
        </w:rPr>
      </w:pPr>
    </w:p>
    <w:p w:rsidR="00D42474" w:rsidRDefault="00C82EE5" w:rsidP="001A5BF9">
      <w:pPr>
        <w:tabs>
          <w:tab w:val="left" w:pos="709"/>
        </w:tabs>
        <w:jc w:val="both"/>
        <w:rPr>
          <w:rFonts w:cs="Arial"/>
          <w:u w:val="single"/>
        </w:rPr>
      </w:pPr>
      <w:r w:rsidRPr="002D02F3">
        <w:t>B.</w:t>
      </w:r>
      <w:r w:rsidRPr="002D02F3">
        <w:tab/>
      </w:r>
      <w:r w:rsidRPr="002D02F3">
        <w:rPr>
          <w:u w:val="single"/>
        </w:rPr>
        <w:t>Utilisation du budget 2012</w:t>
      </w:r>
      <w:r w:rsidR="002D6F2A" w:rsidRPr="002D02F3">
        <w:rPr>
          <w:u w:val="single"/>
        </w:rPr>
        <w:noBreakHyphen/>
      </w:r>
      <w:r w:rsidRPr="002D02F3">
        <w:rPr>
          <w:u w:val="single"/>
        </w:rPr>
        <w:t>2013</w:t>
      </w:r>
    </w:p>
    <w:p w:rsidR="00D42474" w:rsidRDefault="00D42474" w:rsidP="001A5BF9">
      <w:pPr>
        <w:tabs>
          <w:tab w:val="left" w:pos="709"/>
        </w:tabs>
        <w:jc w:val="both"/>
        <w:rPr>
          <w:rFonts w:cs="Arial"/>
          <w:sz w:val="24"/>
        </w:rPr>
      </w:pPr>
    </w:p>
    <w:p w:rsidR="00D42474" w:rsidRDefault="00C82EE5" w:rsidP="001A5BF9">
      <w:pPr>
        <w:tabs>
          <w:tab w:val="left" w:pos="709"/>
        </w:tabs>
        <w:jc w:val="both"/>
        <w:rPr>
          <w:rFonts w:cs="Arial"/>
          <w:spacing w:val="-12"/>
          <w:szCs w:val="20"/>
        </w:rPr>
      </w:pPr>
      <w:r w:rsidRPr="002D02F3">
        <w:rPr>
          <w:spacing w:val="-6"/>
        </w:rPr>
        <w:t>22.12.</w:t>
      </w:r>
      <w:r w:rsidRPr="002D02F3">
        <w:rPr>
          <w:spacing w:val="-6"/>
        </w:rPr>
        <w:tab/>
      </w:r>
      <w:r w:rsidRPr="002D02F3">
        <w:t>L</w:t>
      </w:r>
      <w:r w:rsidR="00A20444" w:rsidRPr="002D02F3">
        <w:t>’</w:t>
      </w:r>
      <w:r w:rsidRPr="002D02F3">
        <w:t>utilisation de 79</w:t>
      </w:r>
      <w:r w:rsidR="007E442D" w:rsidRPr="002D02F3">
        <w:t>%</w:t>
      </w:r>
      <w:r w:rsidRPr="002D02F3">
        <w:t xml:space="preserve"> des resso</w:t>
      </w:r>
      <w:r w:rsidR="00076F3E" w:rsidRPr="002D02F3">
        <w:t xml:space="preserve">urces hors personnel traduit : </w:t>
      </w:r>
      <w:r w:rsidRPr="002D02F3">
        <w:t>i) des dépenses inférieures à celles prévues pour le projet du Plan d</w:t>
      </w:r>
      <w:r w:rsidR="00A20444" w:rsidRPr="002D02F3">
        <w:t>’</w:t>
      </w:r>
      <w:r w:rsidRPr="002D02F3">
        <w:t>action pour le développement sur l</w:t>
      </w:r>
      <w:r w:rsidR="00A20444" w:rsidRPr="002D02F3">
        <w:t>’</w:t>
      </w:r>
      <w:r w:rsidRPr="002D02F3">
        <w:t>amélioration du cadre de gestion axée sur les résultats de l</w:t>
      </w:r>
      <w:r w:rsidR="00A20444" w:rsidRPr="002D02F3">
        <w:t>’</w:t>
      </w:r>
      <w:r w:rsidRPr="002D02F3">
        <w:t>OMPI suite au remplacement de séminaires régionaux de gestion axée sur les résultats par des manifestations similaires dans le cadre du budget régulier et des fonds fiduciaires;</w:t>
      </w:r>
      <w:r w:rsidR="004F3E42" w:rsidRPr="002D02F3">
        <w:t xml:space="preserve"> </w:t>
      </w:r>
      <w:r w:rsidR="0010442A" w:rsidRPr="002D02F3">
        <w:t xml:space="preserve"> </w:t>
      </w:r>
      <w:r w:rsidRPr="002D02F3">
        <w:t>ii) des frais de déplacement inférieurs à ceux prévus pour les membres de la Division de l</w:t>
      </w:r>
      <w:r w:rsidR="00A20444" w:rsidRPr="002D02F3">
        <w:t>’</w:t>
      </w:r>
      <w:r w:rsidRPr="002D02F3">
        <w:t>audit et de la supervision internes.</w:t>
      </w:r>
      <w:r w:rsidRPr="005C7CCE">
        <w:rPr>
          <w:spacing w:val="-12"/>
        </w:rPr>
        <w:br w:type="page"/>
      </w:r>
    </w:p>
    <w:p w:rsidR="00D42474" w:rsidRDefault="00C82EE5" w:rsidP="001A5BF9">
      <w:pPr>
        <w:pStyle w:val="Heading3"/>
        <w:rPr>
          <w:szCs w:val="22"/>
        </w:rPr>
      </w:pPr>
      <w:bookmarkStart w:id="43" w:name="_Toc395082495"/>
      <w:r w:rsidRPr="00933D5A">
        <w:rPr>
          <w:szCs w:val="22"/>
        </w:rPr>
        <w:t>Programme 23</w:t>
      </w:r>
      <w:r w:rsidRPr="00933D5A">
        <w:rPr>
          <w:szCs w:val="22"/>
        </w:rPr>
        <w:tab/>
        <w:t>Gestion et mise en valeur des ressources humaines</w:t>
      </w:r>
      <w:bookmarkEnd w:id="43"/>
    </w:p>
    <w:p w:rsidR="00D42474" w:rsidRDefault="00D42474" w:rsidP="001A5BF9">
      <w:pPr>
        <w:ind w:left="2268" w:hanging="2268"/>
        <w:rPr>
          <w:rFonts w:cs="Arial"/>
          <w:b/>
          <w:sz w:val="22"/>
          <w:szCs w:val="22"/>
        </w:rPr>
      </w:pPr>
    </w:p>
    <w:p w:rsidR="00D42474" w:rsidRDefault="00F32D50" w:rsidP="001A5BF9">
      <w:pPr>
        <w:ind w:left="2268" w:hanging="2268"/>
        <w:rPr>
          <w:rFonts w:cs="Arial"/>
          <w:b/>
          <w:sz w:val="22"/>
          <w:szCs w:val="22"/>
        </w:rPr>
      </w:pPr>
      <w:r w:rsidRPr="00933D5A">
        <w:rPr>
          <w:b/>
          <w:sz w:val="22"/>
          <w:szCs w:val="22"/>
        </w:rPr>
        <w:t>Chef de programme</w:t>
      </w:r>
      <w:r w:rsidRPr="00933D5A">
        <w:rPr>
          <w:b/>
          <w:sz w:val="22"/>
          <w:szCs w:val="22"/>
        </w:rPr>
        <w:tab/>
      </w:r>
      <w:r w:rsidRPr="00933D5A">
        <w:rPr>
          <w:b/>
          <w:sz w:val="22"/>
          <w:szCs w:val="22"/>
        </w:rPr>
        <w:tab/>
      </w:r>
      <w:r w:rsidR="00933D5A">
        <w:rPr>
          <w:b/>
          <w:sz w:val="22"/>
          <w:szCs w:val="22"/>
        </w:rPr>
        <w:t xml:space="preserve">Le </w:t>
      </w:r>
      <w:r w:rsidRPr="00933D5A">
        <w:rPr>
          <w:b/>
          <w:sz w:val="22"/>
          <w:szCs w:val="22"/>
        </w:rPr>
        <w:t>Directeu</w:t>
      </w:r>
      <w:r w:rsidR="00C82EE5" w:rsidRPr="00933D5A">
        <w:rPr>
          <w:b/>
          <w:sz w:val="22"/>
          <w:szCs w:val="22"/>
        </w:rPr>
        <w:t>r G</w:t>
      </w:r>
      <w:r w:rsidRPr="00933D5A">
        <w:rPr>
          <w:b/>
          <w:sz w:val="22"/>
          <w:szCs w:val="22"/>
        </w:rPr>
        <w:t>éné</w:t>
      </w:r>
      <w:r w:rsidR="00C82EE5" w:rsidRPr="00933D5A">
        <w:rPr>
          <w:b/>
          <w:sz w:val="22"/>
          <w:szCs w:val="22"/>
        </w:rPr>
        <w:t>ral</w:t>
      </w:r>
    </w:p>
    <w:p w:rsidR="00D42474" w:rsidRDefault="00D42474" w:rsidP="001A5BF9">
      <w:pPr>
        <w:rPr>
          <w:rFonts w:cs="Arial"/>
          <w:sz w:val="22"/>
          <w:szCs w:val="22"/>
        </w:rPr>
      </w:pPr>
    </w:p>
    <w:p w:rsidR="00D42474" w:rsidRDefault="00D42474" w:rsidP="001A5BF9">
      <w:pPr>
        <w:rPr>
          <w:bCs/>
          <w:sz w:val="22"/>
          <w:szCs w:val="22"/>
        </w:rPr>
      </w:pPr>
    </w:p>
    <w:p w:rsidR="00D42474" w:rsidRDefault="00C82EE5" w:rsidP="001A5BF9">
      <w:pPr>
        <w:rPr>
          <w:sz w:val="22"/>
          <w:szCs w:val="22"/>
        </w:rPr>
      </w:pPr>
      <w:r w:rsidRPr="00933D5A">
        <w:rPr>
          <w:sz w:val="22"/>
          <w:szCs w:val="22"/>
        </w:rPr>
        <w:t>RÉALISATIONS EN 2012</w:t>
      </w:r>
      <w:r w:rsidR="002D6F2A" w:rsidRPr="00933D5A">
        <w:rPr>
          <w:sz w:val="22"/>
          <w:szCs w:val="22"/>
        </w:rPr>
        <w:noBreakHyphen/>
      </w:r>
      <w:r w:rsidRPr="00933D5A">
        <w:rPr>
          <w:sz w:val="22"/>
          <w:szCs w:val="22"/>
        </w:rPr>
        <w:t>2013</w:t>
      </w:r>
    </w:p>
    <w:p w:rsidR="00D42474" w:rsidRDefault="00D42474" w:rsidP="001A5BF9">
      <w:pPr>
        <w:rPr>
          <w:rFonts w:cs="Arial"/>
          <w:sz w:val="22"/>
          <w:szCs w:val="22"/>
        </w:rPr>
      </w:pPr>
    </w:p>
    <w:p w:rsidR="00D42474" w:rsidRDefault="00C82EE5" w:rsidP="001A5BF9">
      <w:pPr>
        <w:pStyle w:val="Style1"/>
        <w:numPr>
          <w:ilvl w:val="0"/>
          <w:numId w:val="0"/>
        </w:numPr>
        <w:tabs>
          <w:tab w:val="left" w:pos="709"/>
        </w:tabs>
        <w:jc w:val="both"/>
        <w:rPr>
          <w:szCs w:val="20"/>
        </w:rPr>
      </w:pPr>
      <w:r w:rsidRPr="002D02F3">
        <w:t>23.1.</w:t>
      </w:r>
      <w:r w:rsidRPr="002D02F3">
        <w:tab/>
        <w:t xml:space="preserve">La mise en œuvre de plusieurs initiatives dans le domaine des ressources humaines se poursuit dans le cadre du PRS. </w:t>
      </w:r>
      <w:r w:rsidR="0010442A" w:rsidRPr="002D02F3">
        <w:t xml:space="preserve"> </w:t>
      </w:r>
      <w:r w:rsidRPr="002D02F3">
        <w:t>À la fin 2013, une stratégie en matière de ressources humaines a été approuvée par les États membres et constitue l</w:t>
      </w:r>
      <w:r w:rsidR="00A20444" w:rsidRPr="002D02F3">
        <w:t>’</w:t>
      </w:r>
      <w:r w:rsidRPr="002D02F3">
        <w:t>assise du plan d</w:t>
      </w:r>
      <w:r w:rsidR="00A20444" w:rsidRPr="002D02F3">
        <w:t>’</w:t>
      </w:r>
      <w:r w:rsidRPr="002D02F3">
        <w:t>action à court et moyen terme dans ce domaine pour l</w:t>
      </w:r>
      <w:r w:rsidR="00A20444" w:rsidRPr="002D02F3">
        <w:t>’</w:t>
      </w:r>
      <w:r w:rsidRPr="002D02F3">
        <w:t>exercice biennal 2014</w:t>
      </w:r>
      <w:r w:rsidR="002D6F2A" w:rsidRPr="002D02F3">
        <w:noBreakHyphen/>
      </w:r>
      <w:r w:rsidRPr="002D02F3">
        <w:t>2015.</w:t>
      </w:r>
    </w:p>
    <w:p w:rsidR="00D42474" w:rsidRDefault="00D42474" w:rsidP="001A5BF9">
      <w:pPr>
        <w:tabs>
          <w:tab w:val="left" w:pos="709"/>
        </w:tabs>
        <w:jc w:val="both"/>
        <w:rPr>
          <w:bCs/>
          <w:szCs w:val="20"/>
        </w:rPr>
      </w:pPr>
    </w:p>
    <w:p w:rsidR="00D42474" w:rsidRDefault="00C82EE5" w:rsidP="001A5BF9">
      <w:pPr>
        <w:pStyle w:val="Style1"/>
        <w:numPr>
          <w:ilvl w:val="0"/>
          <w:numId w:val="0"/>
        </w:numPr>
        <w:tabs>
          <w:tab w:val="left" w:pos="709"/>
        </w:tabs>
        <w:jc w:val="both"/>
        <w:rPr>
          <w:szCs w:val="20"/>
        </w:rPr>
      </w:pPr>
      <w:r w:rsidRPr="002D02F3">
        <w:t>23.2.</w:t>
      </w:r>
      <w:r w:rsidRPr="002D02F3">
        <w:tab/>
        <w:t>L</w:t>
      </w:r>
      <w:r w:rsidR="00A20444" w:rsidRPr="002D02F3">
        <w:t>’</w:t>
      </w:r>
      <w:r w:rsidRPr="002D02F3">
        <w:t>exercice biennal 2012</w:t>
      </w:r>
      <w:r w:rsidR="002D6F2A" w:rsidRPr="002D02F3">
        <w:noBreakHyphen/>
      </w:r>
      <w:r w:rsidRPr="002D02F3">
        <w:t xml:space="preserve">2013 a été marqué par une augmentation de la satisfaction de la clientèle et la reconnaissance du fait que les équipes chargées des ressources humaines sont devenues plus </w:t>
      </w:r>
      <w:proofErr w:type="gramStart"/>
      <w:r w:rsidRPr="002D02F3">
        <w:t>réactives</w:t>
      </w:r>
      <w:proofErr w:type="gramEnd"/>
      <w:r w:rsidRPr="002D02F3">
        <w:t xml:space="preserve"> aux besoins du personnel, comme l</w:t>
      </w:r>
      <w:r w:rsidR="00A20444" w:rsidRPr="002D02F3">
        <w:t>’</w:t>
      </w:r>
      <w:r w:rsidRPr="002D02F3">
        <w:t>ont confirmé les entretiens de départ et les résultats de la récente enquête sur les valeurs essentielles.</w:t>
      </w:r>
    </w:p>
    <w:p w:rsidR="00D42474" w:rsidRDefault="00D42474" w:rsidP="001A5BF9">
      <w:pPr>
        <w:tabs>
          <w:tab w:val="left" w:pos="709"/>
        </w:tabs>
        <w:jc w:val="both"/>
        <w:rPr>
          <w:rFonts w:cs="Arial"/>
          <w:szCs w:val="20"/>
        </w:rPr>
      </w:pPr>
    </w:p>
    <w:p w:rsidR="00D42474" w:rsidRDefault="00C82EE5" w:rsidP="001A5BF9">
      <w:pPr>
        <w:pStyle w:val="Style1"/>
        <w:numPr>
          <w:ilvl w:val="0"/>
          <w:numId w:val="0"/>
        </w:numPr>
        <w:tabs>
          <w:tab w:val="left" w:pos="709"/>
        </w:tabs>
        <w:jc w:val="both"/>
        <w:rPr>
          <w:rFonts w:cs="Arial"/>
          <w:szCs w:val="20"/>
        </w:rPr>
      </w:pPr>
      <w:r w:rsidRPr="002D02F3">
        <w:t>23.3.</w:t>
      </w:r>
      <w:r w:rsidRPr="002D02F3">
        <w:tab/>
        <w:t>Le département des ressources humaines a réussi à maintenir le délai de traitement de quatre jours institué au cours de l</w:t>
      </w:r>
      <w:r w:rsidR="00A20444" w:rsidRPr="002D02F3">
        <w:t>’</w:t>
      </w:r>
      <w:r w:rsidRPr="002D02F3">
        <w:t xml:space="preserve">exercice biennal précédent pour ses opérations de routine en matière de ressources humaines, en dépit des difficultés de mise en œuvre du système ERP et de la réforme des contrats. </w:t>
      </w:r>
      <w:r w:rsidR="0010442A" w:rsidRPr="002D02F3">
        <w:t xml:space="preserve"> </w:t>
      </w:r>
      <w:r w:rsidRPr="002D02F3">
        <w:t>Avec “l</w:t>
      </w:r>
      <w:r w:rsidR="00A20444" w:rsidRPr="002D02F3">
        <w:t>’</w:t>
      </w:r>
      <w:r w:rsidRPr="002D02F3">
        <w:t>entrée en fonction” du projet ERP en 2014, l</w:t>
      </w:r>
      <w:r w:rsidR="00A20444" w:rsidRPr="002D02F3">
        <w:t>’</w:t>
      </w:r>
      <w:r w:rsidRPr="002D02F3">
        <w:t>objectif éventuel d</w:t>
      </w:r>
      <w:r w:rsidR="00A20444" w:rsidRPr="002D02F3">
        <w:t>’</w:t>
      </w:r>
      <w:r w:rsidRPr="002D02F3">
        <w:t>une durée de traitement de deux jours reste d</w:t>
      </w:r>
      <w:r w:rsidR="00A20444" w:rsidRPr="002D02F3">
        <w:t>’</w:t>
      </w:r>
      <w:r w:rsidRPr="002D02F3">
        <w:t>actualité pour 2015.</w:t>
      </w:r>
    </w:p>
    <w:p w:rsidR="00D42474" w:rsidRDefault="00D42474" w:rsidP="001A5BF9">
      <w:pPr>
        <w:tabs>
          <w:tab w:val="left" w:pos="709"/>
        </w:tabs>
        <w:jc w:val="both"/>
        <w:rPr>
          <w:rFonts w:cs="Arial"/>
          <w:szCs w:val="20"/>
        </w:rPr>
      </w:pPr>
    </w:p>
    <w:p w:rsidR="00D42474" w:rsidRDefault="00C82EE5" w:rsidP="001A5BF9">
      <w:pPr>
        <w:pStyle w:val="Style1"/>
        <w:numPr>
          <w:ilvl w:val="0"/>
          <w:numId w:val="0"/>
        </w:numPr>
        <w:tabs>
          <w:tab w:val="left" w:pos="709"/>
        </w:tabs>
        <w:jc w:val="both"/>
        <w:rPr>
          <w:szCs w:val="20"/>
        </w:rPr>
      </w:pPr>
      <w:r w:rsidRPr="002D02F3">
        <w:t>23.4.</w:t>
      </w:r>
      <w:r w:rsidRPr="002D02F3">
        <w:tab/>
        <w:t>Suite à la recommandation en faveur d</w:t>
      </w:r>
      <w:r w:rsidR="00A20444" w:rsidRPr="002D02F3">
        <w:t>’</w:t>
      </w:r>
      <w:r w:rsidRPr="002D02F3">
        <w:t xml:space="preserve">un examen des services médicaux et des services de </w:t>
      </w:r>
      <w:r w:rsidRPr="005C7CCE">
        <w:t>santé et sécurité au travail à l</w:t>
      </w:r>
      <w:r w:rsidR="00A20444" w:rsidRPr="005C7CCE">
        <w:t>’</w:t>
      </w:r>
      <w:r w:rsidRPr="005C7CCE">
        <w:t>OMPI, un comité de la sécurité et de la santé au travail a été établi en décembre 2013.</w:t>
      </w:r>
      <w:r w:rsidR="00076F3E" w:rsidRPr="005C7CCE">
        <w:t xml:space="preserve"> </w:t>
      </w:r>
      <w:r w:rsidR="00F32D50">
        <w:t xml:space="preserve"> </w:t>
      </w:r>
      <w:r w:rsidRPr="005C7CCE">
        <w:t>Ce comité se compose de représentants du Secteur de la direction et de l</w:t>
      </w:r>
      <w:r w:rsidR="00A20444" w:rsidRPr="005C7CCE">
        <w:t>’</w:t>
      </w:r>
      <w:r w:rsidRPr="005C7CCE">
        <w:t xml:space="preserve">administration, de membres du personnel, de représentants des services médicaux et sociaux, et de représentants de la sécurité. </w:t>
      </w:r>
      <w:r w:rsidR="0010442A" w:rsidRPr="005C7CCE">
        <w:t xml:space="preserve"> </w:t>
      </w:r>
      <w:r w:rsidRPr="005C7CCE">
        <w:t>Le comité surveillera la mise en œuvre des activités visant à promouvoir un environnement sain et sûr, y compris le bien</w:t>
      </w:r>
      <w:r w:rsidR="002D6F2A" w:rsidRPr="005C7CCE">
        <w:noBreakHyphen/>
      </w:r>
      <w:r w:rsidRPr="005C7CCE">
        <w:t xml:space="preserve">être physique et psychologique. </w:t>
      </w:r>
      <w:r w:rsidR="0010442A" w:rsidRPr="005C7CCE">
        <w:t xml:space="preserve"> </w:t>
      </w:r>
      <w:r w:rsidRPr="005C7CCE">
        <w:t>Il abordera également les questions d</w:t>
      </w:r>
      <w:r w:rsidR="00A20444" w:rsidRPr="005C7CCE">
        <w:t>’</w:t>
      </w:r>
      <w:r w:rsidRPr="005C7CCE">
        <w:t>absentéisme.</w:t>
      </w:r>
    </w:p>
    <w:p w:rsidR="00D42474" w:rsidRDefault="00D42474" w:rsidP="001A5BF9">
      <w:pPr>
        <w:tabs>
          <w:tab w:val="left" w:pos="709"/>
        </w:tabs>
        <w:jc w:val="both"/>
        <w:rPr>
          <w:rFonts w:cs="Arial"/>
          <w:szCs w:val="20"/>
        </w:rPr>
      </w:pPr>
    </w:p>
    <w:p w:rsidR="00D42474" w:rsidRDefault="00C82EE5" w:rsidP="001A5BF9">
      <w:pPr>
        <w:pStyle w:val="Style1"/>
        <w:numPr>
          <w:ilvl w:val="0"/>
          <w:numId w:val="0"/>
        </w:numPr>
        <w:tabs>
          <w:tab w:val="left" w:pos="709"/>
        </w:tabs>
        <w:jc w:val="both"/>
      </w:pPr>
      <w:r w:rsidRPr="005C7CCE">
        <w:t>23.5.</w:t>
      </w:r>
      <w:r w:rsidRPr="005C7CCE">
        <w:tab/>
        <w:t xml:space="preserve">Le processus de régularisation des agents temporaires de </w:t>
      </w:r>
      <w:proofErr w:type="gramStart"/>
      <w:r w:rsidRPr="005C7CCE">
        <w:t>longue durée, approuvé</w:t>
      </w:r>
      <w:proofErr w:type="gramEnd"/>
      <w:r w:rsidRPr="005C7CCE">
        <w:t xml:space="preserve"> par les États membres en 2010, a quasiment été achevé. </w:t>
      </w:r>
      <w:r w:rsidR="0010442A" w:rsidRPr="005C7CCE">
        <w:t xml:space="preserve"> </w:t>
      </w:r>
      <w:r w:rsidRPr="005C7CCE">
        <w:t>Quelque 67 agents temporaires de longue durée ayant donné pleine satisfaction dans leurs fonctions, sans interruption, depuis cinq</w:t>
      </w:r>
      <w:r w:rsidR="0010442A" w:rsidRPr="005C7CCE">
        <w:t> </w:t>
      </w:r>
      <w:r w:rsidRPr="005C7CCE">
        <w:t>années au moins le 1er janvier 2012 ont été régularisés pendant l</w:t>
      </w:r>
      <w:r w:rsidR="00A20444" w:rsidRPr="005C7CCE">
        <w:t>’</w:t>
      </w:r>
      <w:r w:rsidRPr="005C7CCE">
        <w:t xml:space="preserve">exercice biennal après un concours. </w:t>
      </w:r>
      <w:r w:rsidR="0010442A" w:rsidRPr="005C7CCE">
        <w:t xml:space="preserve"> </w:t>
      </w:r>
      <w:r w:rsidRPr="005C7CCE">
        <w:t>Ce processus de régularisation s</w:t>
      </w:r>
      <w:r w:rsidR="00A20444" w:rsidRPr="005C7CCE">
        <w:t>’</w:t>
      </w:r>
      <w:r w:rsidRPr="005C7CCE">
        <w:t>achèvera à la fin de 2014.</w:t>
      </w:r>
    </w:p>
    <w:p w:rsidR="00D42474" w:rsidRDefault="00D42474" w:rsidP="001A5BF9">
      <w:pPr>
        <w:tabs>
          <w:tab w:val="left" w:pos="709"/>
        </w:tabs>
        <w:jc w:val="both"/>
        <w:rPr>
          <w:szCs w:val="20"/>
        </w:rPr>
      </w:pPr>
    </w:p>
    <w:p w:rsidR="00D42474" w:rsidRDefault="00C82EE5" w:rsidP="001A5BF9">
      <w:pPr>
        <w:pStyle w:val="Style1"/>
        <w:numPr>
          <w:ilvl w:val="0"/>
          <w:numId w:val="0"/>
        </w:numPr>
        <w:tabs>
          <w:tab w:val="left" w:pos="709"/>
        </w:tabs>
        <w:jc w:val="both"/>
      </w:pPr>
      <w:r w:rsidRPr="005C7CCE">
        <w:t>23.6.</w:t>
      </w:r>
      <w:r w:rsidRPr="005C7CCE">
        <w:tab/>
        <w:t>L</w:t>
      </w:r>
      <w:r w:rsidR="00A20444" w:rsidRPr="005C7CCE">
        <w:t>’</w:t>
      </w:r>
      <w:r w:rsidRPr="005C7CCE">
        <w:t>exercice biennal 2012</w:t>
      </w:r>
      <w:r w:rsidR="002D6F2A" w:rsidRPr="005C7CCE">
        <w:noBreakHyphen/>
      </w:r>
      <w:r w:rsidRPr="005C7CCE">
        <w:t>2013 a été marqué par la mise en place de la planification des ressources humaines en tant qu</w:t>
      </w:r>
      <w:r w:rsidR="00A20444" w:rsidRPr="005C7CCE">
        <w:t>’</w:t>
      </w:r>
      <w:r w:rsidRPr="005C7CCE">
        <w:t>activité clé de l</w:t>
      </w:r>
      <w:r w:rsidR="00A20444" w:rsidRPr="005C7CCE">
        <w:t>’</w:t>
      </w:r>
      <w:r w:rsidRPr="005C7CCE">
        <w:t>organisation systématiquement intégrée dans les cycles de planification annuels et biennaux des travaux de l</w:t>
      </w:r>
      <w:r w:rsidR="00A20444" w:rsidRPr="005C7CCE">
        <w:t>’</w:t>
      </w:r>
      <w:r w:rsidRPr="005C7CCE">
        <w:t xml:space="preserve">OMPI. </w:t>
      </w:r>
      <w:r w:rsidR="0010442A" w:rsidRPr="005C7CCE">
        <w:t xml:space="preserve"> </w:t>
      </w:r>
      <w:r w:rsidRPr="005C7CCE">
        <w:t>Suite à l</w:t>
      </w:r>
      <w:r w:rsidR="00A20444" w:rsidRPr="005C7CCE">
        <w:t>’</w:t>
      </w:r>
      <w:r w:rsidRPr="005C7CCE">
        <w:t>achèvement de l</w:t>
      </w:r>
      <w:r w:rsidR="00A20444" w:rsidRPr="005C7CCE">
        <w:t>’</w:t>
      </w:r>
      <w:r w:rsidRPr="005C7CCE">
        <w:t>initiative du PRS à la fin de 2012, l</w:t>
      </w:r>
      <w:r w:rsidR="00A20444" w:rsidRPr="005C7CCE">
        <w:t>’</w:t>
      </w:r>
      <w:r w:rsidRPr="005C7CCE">
        <w:t>OMPI a poursuivi ses efforts visant à garantir que les ressources humaines de l</w:t>
      </w:r>
      <w:r w:rsidR="00A20444" w:rsidRPr="005C7CCE">
        <w:t>’</w:t>
      </w:r>
      <w:r w:rsidRPr="005C7CCE">
        <w:t>Organisation soient régulièrement évaluées au regard des futurs besoins en termes d</w:t>
      </w:r>
      <w:r w:rsidR="00A20444" w:rsidRPr="005C7CCE">
        <w:t>’</w:t>
      </w:r>
      <w:r w:rsidRPr="005C7CCE">
        <w:t>effectifs, garantissant ainsi que l</w:t>
      </w:r>
      <w:r w:rsidR="00A20444" w:rsidRPr="005C7CCE">
        <w:t>’</w:t>
      </w:r>
      <w:r w:rsidRPr="005C7CCE">
        <w:t xml:space="preserve">Organisation aligne ainsi ses ressources humaines pour répondre aux besoins de ses programmes de la manière la plus efficace possible. </w:t>
      </w:r>
      <w:r w:rsidR="0010442A" w:rsidRPr="005C7CCE">
        <w:t xml:space="preserve"> </w:t>
      </w:r>
      <w:r w:rsidRPr="005C7CCE">
        <w:t>Les observations tirées des examens de la structure de l</w:t>
      </w:r>
      <w:r w:rsidR="00A20444" w:rsidRPr="005C7CCE">
        <w:t>’</w:t>
      </w:r>
      <w:r w:rsidRPr="005C7CCE">
        <w:t>organisation de 2012 ont été utilisées pour élaborer la planification biennale du programme et budget pour 2014</w:t>
      </w:r>
      <w:r w:rsidR="002D6F2A" w:rsidRPr="005C7CCE">
        <w:noBreakHyphen/>
      </w:r>
      <w:r w:rsidRPr="005C7CCE">
        <w:t>2015, en garantissant les ressources humaines appropriées nécessaires pour chaque programme en vue de l</w:t>
      </w:r>
      <w:r w:rsidR="00A20444" w:rsidRPr="005C7CCE">
        <w:t>’</w:t>
      </w:r>
      <w:r w:rsidRPr="005C7CCE">
        <w:t xml:space="preserve">obtention effective des résultats visés. </w:t>
      </w:r>
      <w:r w:rsidR="0010442A" w:rsidRPr="005C7CCE">
        <w:t xml:space="preserve"> </w:t>
      </w:r>
      <w:r w:rsidRPr="005C7CCE">
        <w:t>Des améliorations ont également été apportées au système de gestion des performances de l</w:t>
      </w:r>
      <w:r w:rsidR="00A20444" w:rsidRPr="005C7CCE">
        <w:t>’</w:t>
      </w:r>
      <w:r w:rsidRPr="005C7CCE">
        <w:t>Organisation pour permettre une plus grande justesse dans l</w:t>
      </w:r>
      <w:r w:rsidR="00A20444" w:rsidRPr="005C7CCE">
        <w:t>’</w:t>
      </w:r>
      <w:r w:rsidRPr="005C7CCE">
        <w:t>attribution du personnel aux activités des programmes et pour mieux rendre compte de l</w:t>
      </w:r>
      <w:r w:rsidR="00A20444" w:rsidRPr="005C7CCE">
        <w:t>’</w:t>
      </w:r>
      <w:r w:rsidRPr="005C7CCE">
        <w:t>utilisation des ressources de l</w:t>
      </w:r>
      <w:r w:rsidR="00A20444" w:rsidRPr="005C7CCE">
        <w:t>’</w:t>
      </w:r>
      <w:r w:rsidRPr="005C7CCE">
        <w:t>organisation.</w:t>
      </w:r>
    </w:p>
    <w:p w:rsidR="00D42474" w:rsidRDefault="00D42474" w:rsidP="001A5BF9">
      <w:pPr>
        <w:tabs>
          <w:tab w:val="left" w:pos="709"/>
        </w:tabs>
        <w:jc w:val="both"/>
        <w:rPr>
          <w:szCs w:val="20"/>
        </w:rPr>
      </w:pPr>
    </w:p>
    <w:p w:rsidR="00D42474" w:rsidRDefault="00C82EE5" w:rsidP="001A5BF9">
      <w:pPr>
        <w:pStyle w:val="Style1"/>
        <w:numPr>
          <w:ilvl w:val="0"/>
          <w:numId w:val="0"/>
        </w:numPr>
        <w:tabs>
          <w:tab w:val="left" w:pos="709"/>
        </w:tabs>
        <w:jc w:val="both"/>
      </w:pPr>
      <w:r w:rsidRPr="005C7CCE">
        <w:t>23.7.</w:t>
      </w:r>
      <w:r w:rsidRPr="005C7CCE">
        <w:tab/>
        <w:t>L</w:t>
      </w:r>
      <w:r w:rsidR="00A20444" w:rsidRPr="005C7CCE">
        <w:t>’</w:t>
      </w:r>
      <w:r w:rsidRPr="005C7CCE">
        <w:t>application du Statut et règlement du personnel révisé au recrutement, la nouvelle composition du Comité des nominations mise en place en 2012 et la rationalisation des processus de recrutement ont réduit la longueur du processus de recrutement à une moyenne de 16,03 semaines par rapport à 37,7 semaines à la fin de 2011.</w:t>
      </w:r>
    </w:p>
    <w:p w:rsidR="00D42474" w:rsidRDefault="00D42474" w:rsidP="001A5BF9">
      <w:pPr>
        <w:tabs>
          <w:tab w:val="left" w:pos="709"/>
        </w:tabs>
        <w:jc w:val="both"/>
        <w:rPr>
          <w:bCs/>
          <w:color w:val="000000"/>
          <w:szCs w:val="20"/>
        </w:rPr>
      </w:pPr>
    </w:p>
    <w:p w:rsidR="00D42474" w:rsidRDefault="00C82EE5" w:rsidP="001A5BF9">
      <w:pPr>
        <w:pStyle w:val="Style1"/>
        <w:numPr>
          <w:ilvl w:val="0"/>
          <w:numId w:val="0"/>
        </w:numPr>
        <w:tabs>
          <w:tab w:val="left" w:pos="709"/>
        </w:tabs>
        <w:jc w:val="both"/>
      </w:pPr>
      <w:r w:rsidRPr="005C7CCE">
        <w:t>23.8.</w:t>
      </w:r>
      <w:r w:rsidRPr="005C7CCE">
        <w:tab/>
        <w:t>Le Système de gestion des performances et de perfectionnement du personnel (PMSDS), initialement introduit en 2009 et peaufiné en 2011 et 2012, est arrivé à maturité en termes de portée, d</w:t>
      </w:r>
      <w:r w:rsidR="00A20444" w:rsidRPr="005C7CCE">
        <w:t>’</w:t>
      </w:r>
      <w:r w:rsidRPr="005C7CCE">
        <w:t>acceptation et d</w:t>
      </w:r>
      <w:r w:rsidR="00A20444" w:rsidRPr="005C7CCE">
        <w:t>’</w:t>
      </w:r>
      <w:r w:rsidRPr="005C7CCE">
        <w:t xml:space="preserve">application au cours des deux dernières années. </w:t>
      </w:r>
      <w:r w:rsidR="0010442A" w:rsidRPr="005C7CCE">
        <w:t xml:space="preserve"> </w:t>
      </w:r>
      <w:r w:rsidRPr="005C7CCE">
        <w:t>Cette tendance positive a été confirmée dans la toute dernière enquête sur les valeurs essentielles, dans laquelle un nombre encore plus grand de membres du personnel ont reconnu que leurs objectifs individuels contribuaient aux résultats escomptés de leurs programmes et qu</w:t>
      </w:r>
      <w:r w:rsidR="00A20444" w:rsidRPr="005C7CCE">
        <w:t>’</w:t>
      </w:r>
      <w:r w:rsidRPr="005C7CCE">
        <w:t>ils recevaient des retours d</w:t>
      </w:r>
      <w:r w:rsidR="00A20444" w:rsidRPr="005C7CCE">
        <w:t>’</w:t>
      </w:r>
      <w:r w:rsidRPr="005C7CCE">
        <w:t xml:space="preserve">information réguliers de leur supérieur hiérarchique quant à leurs performances. </w:t>
      </w:r>
      <w:r w:rsidR="0010442A" w:rsidRPr="005C7CCE">
        <w:t xml:space="preserve"> </w:t>
      </w:r>
      <w:r w:rsidRPr="005C7CCE">
        <w:t>En 2013, l</w:t>
      </w:r>
      <w:r w:rsidR="00A20444" w:rsidRPr="005C7CCE">
        <w:t>’</w:t>
      </w:r>
      <w:r w:rsidRPr="005C7CCE">
        <w:t xml:space="preserve">Organisation a intensifié ses efforts pour remédier de manière proactive aux résultats insuffisants. </w:t>
      </w:r>
      <w:r w:rsidR="0010442A" w:rsidRPr="005C7CCE">
        <w:t xml:space="preserve"> </w:t>
      </w:r>
      <w:r w:rsidRPr="005C7CCE">
        <w:t>Le manuel visant à traiter la question des résultats insuffisants a été révisé et de nouveaux modèles pour l</w:t>
      </w:r>
      <w:r w:rsidR="00A20444" w:rsidRPr="005C7CCE">
        <w:t>’</w:t>
      </w:r>
      <w:r w:rsidRPr="005C7CCE">
        <w:t>établissement de plans d</w:t>
      </w:r>
      <w:r w:rsidR="00A20444" w:rsidRPr="005C7CCE">
        <w:t>’</w:t>
      </w:r>
      <w:r w:rsidRPr="005C7CCE">
        <w:t>amélioration des résultats ont été fournis aux membres du personnel et aux dirigeants.</w:t>
      </w:r>
    </w:p>
    <w:p w:rsidR="00D42474" w:rsidRDefault="00D42474" w:rsidP="001A5BF9">
      <w:pPr>
        <w:tabs>
          <w:tab w:val="left" w:pos="709"/>
        </w:tabs>
        <w:jc w:val="both"/>
        <w:rPr>
          <w:szCs w:val="20"/>
        </w:rPr>
      </w:pPr>
    </w:p>
    <w:p w:rsidR="00D42474" w:rsidRDefault="00C82EE5" w:rsidP="001A5BF9">
      <w:pPr>
        <w:pStyle w:val="Style1"/>
        <w:keepNext/>
        <w:keepLines/>
        <w:numPr>
          <w:ilvl w:val="0"/>
          <w:numId w:val="0"/>
        </w:numPr>
        <w:tabs>
          <w:tab w:val="left" w:pos="709"/>
        </w:tabs>
        <w:jc w:val="both"/>
        <w:rPr>
          <w:bCs/>
          <w:szCs w:val="20"/>
        </w:rPr>
      </w:pPr>
      <w:r w:rsidRPr="005C7CCE">
        <w:t>23.9.</w:t>
      </w:r>
      <w:r w:rsidRPr="005C7CCE">
        <w:tab/>
        <w:t>En ce qui concerne le perfectionnement du personnel, une nouvelle politique de formation et de perfectionnement ainsi que de nouvelles directives en matière de formation ont été lancées en 2013, conformément à la stratégie de gestion des ressources humaines visant à faciliter l</w:t>
      </w:r>
      <w:r w:rsidR="00A20444" w:rsidRPr="005C7CCE">
        <w:t>’</w:t>
      </w:r>
      <w:r w:rsidRPr="005C7CCE">
        <w:t xml:space="preserve">apprentissage et le perfectionnement du personnel, ainsi que la réduction des lacunes en termes de compétences. </w:t>
      </w:r>
      <w:r w:rsidR="0010442A" w:rsidRPr="005C7CCE">
        <w:t xml:space="preserve"> </w:t>
      </w:r>
      <w:r w:rsidRPr="005C7CCE">
        <w:t>Outre le recensement des besoins en matière de formation personnelle par le biais</w:t>
      </w:r>
      <w:r w:rsidR="00A20444" w:rsidRPr="005C7CCE">
        <w:t xml:space="preserve"> du PMS</w:t>
      </w:r>
      <w:r w:rsidRPr="005C7CCE">
        <w:t xml:space="preserve">DS, les besoins essentiels en formation collective ont été identifiés dans le cadre du programme et budget. </w:t>
      </w:r>
      <w:r w:rsidR="0010442A" w:rsidRPr="005C7CCE">
        <w:t xml:space="preserve"> </w:t>
      </w:r>
      <w:r w:rsidRPr="005C7CCE">
        <w:t>Ils ont été inclus dans les plans de formation exhaustifs.</w:t>
      </w:r>
      <w:r w:rsidR="0010442A" w:rsidRPr="005C7CCE">
        <w:t xml:space="preserve"> </w:t>
      </w:r>
      <w:r w:rsidRPr="005C7CCE">
        <w:t xml:space="preserve"> Au cours de l</w:t>
      </w:r>
      <w:r w:rsidR="00A20444" w:rsidRPr="005C7CCE">
        <w:t>’</w:t>
      </w:r>
      <w:r w:rsidRPr="005C7CCE">
        <w:t>exercice biennal 2012</w:t>
      </w:r>
      <w:r w:rsidR="002D6F2A" w:rsidRPr="005C7CCE">
        <w:noBreakHyphen/>
      </w:r>
      <w:r w:rsidRPr="005C7CCE">
        <w:t>2013, l</w:t>
      </w:r>
      <w:r w:rsidR="00A20444" w:rsidRPr="005C7CCE">
        <w:t>’</w:t>
      </w:r>
      <w:r w:rsidRPr="005C7CCE">
        <w:t>Organisation a continué à dispenser des formations internes (y compris sur l</w:t>
      </w:r>
      <w:r w:rsidR="00A20444" w:rsidRPr="005C7CCE">
        <w:t>’</w:t>
      </w:r>
      <w:r w:rsidRPr="005C7CCE">
        <w:t>orientation vers les services à la clientèle, l</w:t>
      </w:r>
      <w:r w:rsidR="00A20444" w:rsidRPr="005C7CCE">
        <w:t>’</w:t>
      </w:r>
      <w:r w:rsidRPr="005C7CCE">
        <w:t>éthique et</w:t>
      </w:r>
      <w:r w:rsidR="00A20444" w:rsidRPr="005C7CCE">
        <w:t xml:space="preserve"> le PMS</w:t>
      </w:r>
      <w:r w:rsidRPr="005C7CCE">
        <w:t>DS) dans le cadre des initiatives du PRS, qui ont eu une incidence positive sur les résultats</w:t>
      </w:r>
      <w:r w:rsidR="00A20444" w:rsidRPr="005C7CCE">
        <w:t xml:space="preserve"> du PRS</w:t>
      </w:r>
      <w:r w:rsidRPr="005C7CCE">
        <w:t xml:space="preserve">. </w:t>
      </w:r>
      <w:r w:rsidR="0010442A" w:rsidRPr="005C7CCE">
        <w:t xml:space="preserve"> </w:t>
      </w:r>
      <w:r w:rsidRPr="005C7CCE">
        <w:t>Des formations intersectorielles collectives au sein de l</w:t>
      </w:r>
      <w:r w:rsidR="00A20444" w:rsidRPr="005C7CCE">
        <w:t>’</w:t>
      </w:r>
      <w:r w:rsidRPr="005C7CCE">
        <w:t>OMPI (y compris sur la résolution des litiges et la gestion des personnes), une coopération renforcée avec l</w:t>
      </w:r>
      <w:r w:rsidR="00A20444" w:rsidRPr="005C7CCE">
        <w:t>’</w:t>
      </w:r>
      <w:r w:rsidRPr="005C7CCE">
        <w:t xml:space="preserve">Office des </w:t>
      </w:r>
      <w:r w:rsidR="00A20444" w:rsidRPr="005C7CCE">
        <w:t>Nations Unies</w:t>
      </w:r>
      <w:r w:rsidRPr="005C7CCE">
        <w:t xml:space="preserve"> à Genève sur les questions de formation, la poursuite du contrat de formation linguistique commun (</w:t>
      </w:r>
      <w:proofErr w:type="spellStart"/>
      <w:r w:rsidRPr="005C7CCE">
        <w:t>UIT</w:t>
      </w:r>
      <w:proofErr w:type="spellEnd"/>
      <w:r w:rsidRPr="005C7CCE">
        <w:t>, OIT, OMS, OMPI) et un nouveau programme interne sur les thèmes propres à l</w:t>
      </w:r>
      <w:r w:rsidR="00A20444" w:rsidRPr="005C7CCE">
        <w:t>’</w:t>
      </w:r>
      <w:r w:rsidRPr="005C7CCE">
        <w:t xml:space="preserve">OMPI ont offert des opportunités de formation sur mesure pour le personnel et ce, de manière économique. </w:t>
      </w:r>
      <w:r w:rsidR="0010442A" w:rsidRPr="005C7CCE">
        <w:t xml:space="preserve"> </w:t>
      </w:r>
      <w:r w:rsidRPr="005C7CCE">
        <w:t>Une forte augmentation du pourcentage de membres du personnel ayant fait part de leur satisfaction en matière d</w:t>
      </w:r>
      <w:r w:rsidR="00A20444" w:rsidRPr="005C7CCE">
        <w:t>’</w:t>
      </w:r>
      <w:r w:rsidRPr="005C7CCE">
        <w:t>opportunités d</w:t>
      </w:r>
      <w:r w:rsidR="00A20444" w:rsidRPr="005C7CCE">
        <w:t>’</w:t>
      </w:r>
      <w:r w:rsidRPr="005C7CCE">
        <w:t>apprentissage proposées par l</w:t>
      </w:r>
      <w:r w:rsidR="00A20444" w:rsidRPr="005C7CCE">
        <w:t>’</w:t>
      </w:r>
      <w:r w:rsidRPr="005C7CCE">
        <w:t xml:space="preserve">OMPI a été constatée dans le cadre de la toute dernière enquête relative aux valeurs essentielles. </w:t>
      </w:r>
      <w:r w:rsidR="0010442A" w:rsidRPr="005C7CCE">
        <w:t xml:space="preserve"> </w:t>
      </w:r>
      <w:r w:rsidRPr="005C7CCE">
        <w:t>Un programme pilote visant à récompenser les excellents résultats, l</w:t>
      </w:r>
      <w:r w:rsidR="00A20444" w:rsidRPr="005C7CCE">
        <w:t>’</w:t>
      </w:r>
      <w:r w:rsidRPr="005C7CCE">
        <w:t>efficacité et l</w:t>
      </w:r>
      <w:r w:rsidR="00A20444" w:rsidRPr="005C7CCE">
        <w:t>’</w:t>
      </w:r>
      <w:r w:rsidRPr="005C7CCE">
        <w:t xml:space="preserve">innovation a été </w:t>
      </w:r>
      <w:proofErr w:type="gramStart"/>
      <w:r w:rsidRPr="005C7CCE">
        <w:t>lancé</w:t>
      </w:r>
      <w:proofErr w:type="gramEnd"/>
      <w:r w:rsidRPr="005C7CCE">
        <w:t xml:space="preserve"> en 2013.</w:t>
      </w:r>
    </w:p>
    <w:p w:rsidR="00D42474" w:rsidRDefault="00D42474" w:rsidP="001A5BF9">
      <w:pPr>
        <w:tabs>
          <w:tab w:val="left" w:pos="709"/>
        </w:tabs>
        <w:jc w:val="both"/>
        <w:rPr>
          <w:szCs w:val="20"/>
        </w:rPr>
      </w:pPr>
    </w:p>
    <w:p w:rsidR="00D42474" w:rsidRDefault="00C82EE5" w:rsidP="001A5BF9">
      <w:pPr>
        <w:pStyle w:val="Style1"/>
        <w:numPr>
          <w:ilvl w:val="0"/>
          <w:numId w:val="0"/>
        </w:numPr>
        <w:tabs>
          <w:tab w:val="left" w:pos="709"/>
        </w:tabs>
        <w:jc w:val="both"/>
        <w:rPr>
          <w:szCs w:val="20"/>
        </w:rPr>
      </w:pPr>
      <w:r w:rsidRPr="005C7CCE">
        <w:t>23.10.</w:t>
      </w:r>
      <w:r w:rsidRPr="005C7CCE">
        <w:tab/>
        <w:t>Des améliorations ont été réalisées en 2013 en ce qui concerne la parité hommes</w:t>
      </w:r>
      <w:r w:rsidR="002D6F2A" w:rsidRPr="005C7CCE">
        <w:noBreakHyphen/>
      </w:r>
      <w:r w:rsidRPr="005C7CCE">
        <w:t xml:space="preserve">femmes et la diversité géographique. </w:t>
      </w:r>
      <w:r w:rsidR="0010442A" w:rsidRPr="005C7CCE">
        <w:t xml:space="preserve"> </w:t>
      </w:r>
      <w:r w:rsidRPr="005C7CCE">
        <w:t>Un expert en matière de parité et de diversité a été recruté en juillet 2013.</w:t>
      </w:r>
      <w:r w:rsidR="0010442A" w:rsidRPr="005C7CCE">
        <w:t xml:space="preserve"> </w:t>
      </w:r>
      <w:r w:rsidRPr="005C7CCE">
        <w:t xml:space="preserve"> Une campagne pilote sur la diversité a été menée en vue d</w:t>
      </w:r>
      <w:r w:rsidR="00A20444" w:rsidRPr="005C7CCE">
        <w:t>’</w:t>
      </w:r>
      <w:r w:rsidRPr="005C7CCE">
        <w:t>accroître le nombre de demandeurs d</w:t>
      </w:r>
      <w:r w:rsidR="00A20444" w:rsidRPr="005C7CCE">
        <w:t>’</w:t>
      </w:r>
      <w:r w:rsidRPr="005C7CCE">
        <w:t>emploi en provenance de régions non représentées ou sous</w:t>
      </w:r>
      <w:r w:rsidR="002D6F2A" w:rsidRPr="005C7CCE">
        <w:noBreakHyphen/>
      </w:r>
      <w:r w:rsidRPr="005C7CCE">
        <w:t xml:space="preserve">représentées. </w:t>
      </w:r>
      <w:r w:rsidR="0010442A" w:rsidRPr="005C7CCE">
        <w:t xml:space="preserve"> </w:t>
      </w:r>
      <w:r w:rsidRPr="005C7CCE">
        <w:t>La politique de l</w:t>
      </w:r>
      <w:r w:rsidR="00A20444" w:rsidRPr="005C7CCE">
        <w:t>’</w:t>
      </w:r>
      <w:r w:rsidRPr="005C7CCE">
        <w:t>OMPI sur l</w:t>
      </w:r>
      <w:r w:rsidR="00A20444" w:rsidRPr="005C7CCE">
        <w:t>’</w:t>
      </w:r>
      <w:r w:rsidRPr="005C7CCE">
        <w:t xml:space="preserve">égalité des sexes et un </w:t>
      </w:r>
      <w:r w:rsidR="00D50C75">
        <w:t>p</w:t>
      </w:r>
      <w:r w:rsidRPr="005C7CCE">
        <w:t>lan d</w:t>
      </w:r>
      <w:r w:rsidR="00A20444" w:rsidRPr="005C7CCE">
        <w:t>’</w:t>
      </w:r>
      <w:r w:rsidRPr="005C7CCE">
        <w:t xml:space="preserve">action connexe </w:t>
      </w:r>
      <w:proofErr w:type="gramStart"/>
      <w:r w:rsidRPr="005C7CCE">
        <w:t>ont</w:t>
      </w:r>
      <w:proofErr w:type="gramEnd"/>
      <w:r w:rsidRPr="005C7CCE">
        <w:t xml:space="preserve"> été rédigés et largement diffusés pour consultation. </w:t>
      </w:r>
      <w:r w:rsidR="0010442A" w:rsidRPr="005C7CCE">
        <w:t xml:space="preserve"> </w:t>
      </w:r>
      <w:r w:rsidRPr="005C7CCE">
        <w:t>Un système de coordination dédié à la parité à l</w:t>
      </w:r>
      <w:r w:rsidR="00A20444" w:rsidRPr="005C7CCE">
        <w:t>’</w:t>
      </w:r>
      <w:r w:rsidRPr="005C7CCE">
        <w:t>échelle de l</w:t>
      </w:r>
      <w:r w:rsidR="00A20444" w:rsidRPr="005C7CCE">
        <w:t>’</w:t>
      </w:r>
      <w:r w:rsidRPr="005C7CCE">
        <w:t>organisation a été institué afin de faciliter l</w:t>
      </w:r>
      <w:r w:rsidR="00A20444" w:rsidRPr="005C7CCE">
        <w:t>’</w:t>
      </w:r>
      <w:r w:rsidRPr="005C7CCE">
        <w:t>accomplissement de progrès en matière d</w:t>
      </w:r>
      <w:r w:rsidR="00A20444" w:rsidRPr="005C7CCE">
        <w:t>’</w:t>
      </w:r>
      <w:r w:rsidRPr="005C7CCE">
        <w:t>intégration de la parité dans les programmes de l</w:t>
      </w:r>
      <w:r w:rsidR="00A20444" w:rsidRPr="005C7CCE">
        <w:t>’</w:t>
      </w:r>
      <w:r w:rsidRPr="005C7CCE">
        <w:t>OMPI.</w:t>
      </w:r>
    </w:p>
    <w:p w:rsidR="00D42474" w:rsidRDefault="00D42474" w:rsidP="001A5BF9">
      <w:pPr>
        <w:tabs>
          <w:tab w:val="left" w:pos="709"/>
        </w:tabs>
        <w:jc w:val="both"/>
        <w:rPr>
          <w:szCs w:val="20"/>
        </w:rPr>
      </w:pPr>
    </w:p>
    <w:p w:rsidR="00D42474" w:rsidRDefault="00C82EE5" w:rsidP="001A5BF9">
      <w:pPr>
        <w:pStyle w:val="Style1"/>
        <w:numPr>
          <w:ilvl w:val="0"/>
          <w:numId w:val="0"/>
        </w:numPr>
        <w:tabs>
          <w:tab w:val="left" w:pos="709"/>
        </w:tabs>
        <w:jc w:val="both"/>
      </w:pPr>
      <w:r w:rsidRPr="005C7CCE">
        <w:t>23.11.</w:t>
      </w:r>
      <w:r w:rsidRPr="005C7CCE">
        <w:tab/>
        <w:t>L</w:t>
      </w:r>
      <w:r w:rsidR="00A20444" w:rsidRPr="005C7CCE">
        <w:t>’</w:t>
      </w:r>
      <w:r w:rsidRPr="005C7CCE">
        <w:t>élaboration d</w:t>
      </w:r>
      <w:r w:rsidR="00A20444" w:rsidRPr="005C7CCE">
        <w:t>’</w:t>
      </w:r>
      <w:r w:rsidRPr="005C7CCE">
        <w:t>une politique visant à appuyer la réforme des contrats en 2012 et à établir de bonnes pratiques conformes aux normes internationales s</w:t>
      </w:r>
      <w:r w:rsidR="00A20444" w:rsidRPr="005C7CCE">
        <w:t>’</w:t>
      </w:r>
      <w:r w:rsidRPr="005C7CCE">
        <w:t xml:space="preserve">est poursuivie. </w:t>
      </w:r>
      <w:r w:rsidR="0010442A" w:rsidRPr="005C7CCE">
        <w:t xml:space="preserve"> </w:t>
      </w:r>
      <w:r w:rsidRPr="005C7CCE">
        <w:t xml:space="preserve">Un nouveau cadre et de nouvelles directives pour les programmes autres que de personnel, tels que les programmes de stage et de bourse, ont notamment été établis. </w:t>
      </w:r>
      <w:r w:rsidR="0010442A" w:rsidRPr="005C7CCE">
        <w:t xml:space="preserve"> </w:t>
      </w:r>
      <w:r w:rsidRPr="005C7CCE">
        <w:t>Des politiques et procédures ont également été établies pour mettre en œuvre une nouvelle méthode de planification des classifications et reclassifications de postes, l</w:t>
      </w:r>
      <w:r w:rsidR="00A20444" w:rsidRPr="005C7CCE">
        <w:t>’</w:t>
      </w:r>
      <w:r w:rsidRPr="005C7CCE">
        <w:t>âge de la retraite a été aligné sur les recommandations de l</w:t>
      </w:r>
      <w:r w:rsidR="00A20444" w:rsidRPr="005C7CCE">
        <w:t>’</w:t>
      </w:r>
      <w:proofErr w:type="spellStart"/>
      <w:r w:rsidRPr="005C7CCE">
        <w:t>ICSC</w:t>
      </w:r>
      <w:proofErr w:type="spellEnd"/>
      <w:r w:rsidRPr="005C7CCE">
        <w:t xml:space="preserve"> et les normes révisées de conduite applicables aux fonctionnaires internationaux ont été adoptées.</w:t>
      </w:r>
    </w:p>
    <w:p w:rsidR="00D42474" w:rsidRDefault="00D42474" w:rsidP="001A5BF9">
      <w:pPr>
        <w:tabs>
          <w:tab w:val="left" w:pos="709"/>
        </w:tabs>
        <w:jc w:val="both"/>
        <w:rPr>
          <w:rFonts w:cs="Arial"/>
          <w:szCs w:val="20"/>
        </w:rPr>
      </w:pPr>
    </w:p>
    <w:p w:rsidR="00D42474" w:rsidRDefault="00C82EE5" w:rsidP="001A5BF9">
      <w:pPr>
        <w:pStyle w:val="Style1"/>
        <w:numPr>
          <w:ilvl w:val="0"/>
          <w:numId w:val="0"/>
        </w:numPr>
        <w:tabs>
          <w:tab w:val="left" w:pos="709"/>
        </w:tabs>
        <w:jc w:val="both"/>
        <w:rPr>
          <w:szCs w:val="20"/>
        </w:rPr>
      </w:pPr>
      <w:r w:rsidRPr="005C7CCE">
        <w:t>23.12.</w:t>
      </w:r>
      <w:r w:rsidRPr="005C7CCE">
        <w:tab/>
        <w:t>Un examen du système judiciaire interne, qui comprenait une étude détaillée réalisée par un expert externe et des consultations intensives avec les diverses parties prenantes, a donné lieu à des modifications du Statut et règlement du personnel, entrées en vigueur au 1</w:t>
      </w:r>
      <w:r w:rsidRPr="00D50C75">
        <w:rPr>
          <w:vertAlign w:val="superscript"/>
        </w:rPr>
        <w:t>er</w:t>
      </w:r>
      <w:r w:rsidRPr="005C7CCE">
        <w:t xml:space="preserve"> janvier 2014. </w:t>
      </w:r>
      <w:r w:rsidR="0010442A" w:rsidRPr="005C7CCE">
        <w:t xml:space="preserve"> </w:t>
      </w:r>
      <w:r w:rsidRPr="005C7CCE">
        <w:t xml:space="preserve">Le système judiciaire interne amélioré prévoit des mécanismes formels rationalisés et de nouvelles procédures transparentes pour la gestion des griefs. </w:t>
      </w:r>
      <w:r w:rsidR="0010442A" w:rsidRPr="005C7CCE">
        <w:t xml:space="preserve"> </w:t>
      </w:r>
      <w:r w:rsidRPr="005C7CCE">
        <w:t>Pour la première fois, un règlement informel des conflits est expressément promu dans le PRS, tandis que le bureau du médiateur a été renforcé.</w:t>
      </w:r>
    </w:p>
    <w:p w:rsidR="00D42474" w:rsidRDefault="00D42474" w:rsidP="001A5BF9">
      <w:pPr>
        <w:tabs>
          <w:tab w:val="left" w:pos="709"/>
        </w:tabs>
        <w:rPr>
          <w:rFonts w:cs="Arial"/>
          <w:bCs/>
          <w:szCs w:val="22"/>
        </w:rPr>
      </w:pPr>
    </w:p>
    <w:p w:rsidR="00D42474" w:rsidRDefault="00D42474" w:rsidP="001A5BF9">
      <w:pPr>
        <w:tabs>
          <w:tab w:val="left" w:pos="709"/>
        </w:tabs>
        <w:rPr>
          <w:rFonts w:cs="Arial"/>
          <w:bCs/>
          <w:szCs w:val="22"/>
        </w:rPr>
      </w:pPr>
    </w:p>
    <w:p w:rsidR="00D42474" w:rsidRDefault="00C82EE5" w:rsidP="001A5BF9">
      <w:pPr>
        <w:tabs>
          <w:tab w:val="left" w:pos="709"/>
        </w:tabs>
      </w:pPr>
      <w:r w:rsidRPr="002D02F3">
        <w:rPr>
          <w:sz w:val="22"/>
        </w:rPr>
        <w:t>MISE EN ŒUVRE DU PLAN D</w:t>
      </w:r>
      <w:r w:rsidR="00A20444" w:rsidRPr="002D02F3">
        <w:rPr>
          <w:sz w:val="22"/>
        </w:rPr>
        <w:t>’</w:t>
      </w:r>
      <w:r w:rsidRPr="002D02F3">
        <w:rPr>
          <w:sz w:val="22"/>
        </w:rPr>
        <w:t>ACTION POUR LE DÉVELOPPEMENT</w:t>
      </w:r>
    </w:p>
    <w:p w:rsidR="00D42474" w:rsidRDefault="00D42474" w:rsidP="001A5BF9">
      <w:pPr>
        <w:tabs>
          <w:tab w:val="left" w:pos="709"/>
        </w:tabs>
      </w:pPr>
    </w:p>
    <w:p w:rsidR="00D42474" w:rsidRDefault="00C82EE5" w:rsidP="001A5BF9">
      <w:pPr>
        <w:tabs>
          <w:tab w:val="left" w:pos="709"/>
        </w:tabs>
        <w:jc w:val="both"/>
        <w:rPr>
          <w:rFonts w:cs="Arial"/>
          <w:bCs/>
          <w:szCs w:val="20"/>
        </w:rPr>
      </w:pPr>
      <w:r w:rsidRPr="002D02F3">
        <w:t>23.13.</w:t>
      </w:r>
      <w:r w:rsidRPr="002D02F3">
        <w:tab/>
        <w:t>Les normes de conduite de la fonction publique internationale continuent d</w:t>
      </w:r>
      <w:r w:rsidR="00A20444" w:rsidRPr="002D02F3">
        <w:t>’</w:t>
      </w:r>
      <w:r w:rsidRPr="002D02F3">
        <w:t>être incorporées dans tous les contrats de l</w:t>
      </w:r>
      <w:r w:rsidR="00A20444" w:rsidRPr="002D02F3">
        <w:t>’</w:t>
      </w:r>
      <w:r w:rsidRPr="002D02F3">
        <w:t>OMPI.</w:t>
      </w:r>
      <w:r w:rsidR="004F3E42" w:rsidRPr="002D02F3">
        <w:t xml:space="preserve"> </w:t>
      </w:r>
      <w:r w:rsidR="0010442A" w:rsidRPr="002D02F3">
        <w:t xml:space="preserve"> </w:t>
      </w:r>
      <w:r w:rsidRPr="002D02F3">
        <w:t>En outre, dans le cadre du système de déontologie et d</w:t>
      </w:r>
      <w:r w:rsidR="00A20444" w:rsidRPr="002D02F3">
        <w:t>’</w:t>
      </w:r>
      <w:r w:rsidRPr="002D02F3">
        <w:t>intégrité de l</w:t>
      </w:r>
      <w:r w:rsidR="00A20444" w:rsidRPr="002D02F3">
        <w:t>’</w:t>
      </w:r>
      <w:r w:rsidRPr="002D02F3">
        <w:t>OMPI, une politique de protection des personnes signalant des manquements a été instaurée et un programme obligatoire de formation à la déontologie et à l</w:t>
      </w:r>
      <w:r w:rsidR="00A20444" w:rsidRPr="002D02F3">
        <w:t>’</w:t>
      </w:r>
      <w:r w:rsidRPr="002D02F3">
        <w:t>intégrité, couvrant toute l</w:t>
      </w:r>
      <w:r w:rsidR="00A20444" w:rsidRPr="002D02F3">
        <w:t>’</w:t>
      </w:r>
      <w:r w:rsidRPr="002D02F3">
        <w:t>organisation et l</w:t>
      </w:r>
      <w:r w:rsidR="00A20444" w:rsidRPr="002D02F3">
        <w:t>’</w:t>
      </w:r>
      <w:r w:rsidRPr="002D02F3">
        <w:t>ensemble du personnel, a été achevé en 2013.</w:t>
      </w:r>
      <w:r w:rsidR="004F3E42" w:rsidRPr="002D02F3">
        <w:t xml:space="preserve"> </w:t>
      </w:r>
      <w:r w:rsidR="0010442A" w:rsidRPr="002D02F3">
        <w:t xml:space="preserve"> </w:t>
      </w:r>
      <w:r w:rsidRPr="002D02F3">
        <w:t>La liste des consultants (ROC) présentée à la troisième</w:t>
      </w:r>
      <w:r w:rsidR="0010442A" w:rsidRPr="002D02F3">
        <w:t> </w:t>
      </w:r>
      <w:r w:rsidRPr="002D02F3">
        <w:t>session</w:t>
      </w:r>
      <w:r w:rsidR="00A20444" w:rsidRPr="002D02F3">
        <w:t xml:space="preserve"> du CDI</w:t>
      </w:r>
      <w:r w:rsidRPr="002D02F3">
        <w:t>P a été intégrée au projet de la base de données d</w:t>
      </w:r>
      <w:r w:rsidR="00A20444" w:rsidRPr="002D02F3">
        <w:t>’</w:t>
      </w:r>
      <w:r w:rsidRPr="002D02F3">
        <w:t>assistance technique en matière de propriété intellectuelle (IP</w:t>
      </w:r>
      <w:r w:rsidR="002D6F2A" w:rsidRPr="002D02F3">
        <w:noBreakHyphen/>
      </w:r>
      <w:proofErr w:type="spellStart"/>
      <w:r w:rsidRPr="002D02F3">
        <w:t>TAD</w:t>
      </w:r>
      <w:proofErr w:type="spellEnd"/>
      <w:r w:rsidRPr="002D02F3">
        <w:t>) et elle continue d</w:t>
      </w:r>
      <w:r w:rsidR="00A20444" w:rsidRPr="002D02F3">
        <w:t>’</w:t>
      </w:r>
      <w:r w:rsidRPr="002D02F3">
        <w:t>être mise à jour à intervalles réguliers.</w:t>
      </w:r>
    </w:p>
    <w:p w:rsidR="00D42474" w:rsidRDefault="00D42474" w:rsidP="001A5BF9">
      <w:pPr>
        <w:jc w:val="both"/>
        <w:rPr>
          <w:rFonts w:cs="Arial"/>
          <w:bCs/>
          <w:sz w:val="18"/>
          <w:szCs w:val="18"/>
        </w:rPr>
      </w:pPr>
    </w:p>
    <w:p w:rsidR="00D42474" w:rsidRDefault="00D42474" w:rsidP="001A5BF9">
      <w:pPr>
        <w:jc w:val="both"/>
        <w:rPr>
          <w:rFonts w:cs="Arial"/>
          <w:bCs/>
          <w:sz w:val="18"/>
          <w:szCs w:val="18"/>
        </w:rPr>
      </w:pPr>
    </w:p>
    <w:p w:rsidR="00D42474" w:rsidRDefault="00C82EE5" w:rsidP="001A5BF9">
      <w:pPr>
        <w:rPr>
          <w:rFonts w:cs="Arial"/>
          <w:szCs w:val="22"/>
        </w:rPr>
      </w:pPr>
      <w:r w:rsidRPr="005C7CCE">
        <w:br w:type="page"/>
      </w:r>
    </w:p>
    <w:p w:rsidR="00D42474" w:rsidRDefault="00C82EE5" w:rsidP="001A5BF9">
      <w:pPr>
        <w:jc w:val="both"/>
        <w:rPr>
          <w:rFonts w:cs="Arial"/>
          <w:szCs w:val="22"/>
        </w:rPr>
      </w:pPr>
      <w:r w:rsidRPr="00486AEA">
        <w:rPr>
          <w:sz w:val="22"/>
        </w:rPr>
        <w:t>DONNÉES RELATIVES À L</w:t>
      </w:r>
      <w:r w:rsidR="00A20444" w:rsidRPr="00486AEA">
        <w:rPr>
          <w:sz w:val="22"/>
        </w:rPr>
        <w:t>’</w:t>
      </w:r>
      <w:r w:rsidRPr="00486AEA">
        <w:rPr>
          <w:sz w:val="22"/>
        </w:rPr>
        <w:t>EXÉCUTION</w:t>
      </w:r>
    </w:p>
    <w:p w:rsidR="00C82EE5" w:rsidRPr="005C7CCE" w:rsidRDefault="00C82EE5" w:rsidP="001A5BF9">
      <w:pPr>
        <w:jc w:val="both"/>
        <w:rPr>
          <w:b/>
          <w:sz w:val="16"/>
          <w:szCs w:val="16"/>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8"/>
        <w:gridCol w:w="376"/>
        <w:gridCol w:w="1557"/>
        <w:gridCol w:w="427"/>
        <w:gridCol w:w="1037"/>
        <w:gridCol w:w="382"/>
        <w:gridCol w:w="2697"/>
        <w:gridCol w:w="1273"/>
      </w:tblGrid>
      <w:tr w:rsidR="00C82EE5" w:rsidRPr="002D02F3" w:rsidTr="0056083E">
        <w:tc>
          <w:tcPr>
            <w:tcW w:w="5000" w:type="pct"/>
            <w:gridSpan w:val="8"/>
            <w:tcBorders>
              <w:top w:val="single" w:sz="4" w:space="0" w:color="auto"/>
              <w:bottom w:val="single" w:sz="4" w:space="0" w:color="auto"/>
            </w:tcBorders>
            <w:shd w:val="clear" w:color="auto" w:fill="CCFFFF"/>
            <w:vAlign w:val="center"/>
          </w:tcPr>
          <w:p w:rsidR="00C82EE5" w:rsidRPr="002D02F3" w:rsidRDefault="00C82EE5" w:rsidP="001A5BF9">
            <w:pPr>
              <w:tabs>
                <w:tab w:val="left" w:pos="1452"/>
              </w:tabs>
              <w:spacing w:before="120" w:after="120"/>
              <w:ind w:left="1701" w:hanging="1701"/>
              <w:jc w:val="both"/>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Services d</w:t>
            </w:r>
            <w:r w:rsidR="00A20444" w:rsidRPr="002D02F3">
              <w:rPr>
                <w:sz w:val="16"/>
              </w:rPr>
              <w:t>’</w:t>
            </w:r>
            <w:r w:rsidRPr="002D02F3">
              <w:rPr>
                <w:sz w:val="16"/>
              </w:rPr>
              <w:t>appui efficaces, efficients, de qualité et tournés vers la clientèle, à l</w:t>
            </w:r>
            <w:r w:rsidR="00A20444" w:rsidRPr="002D02F3">
              <w:rPr>
                <w:sz w:val="16"/>
              </w:rPr>
              <w:t>’</w:t>
            </w:r>
            <w:r w:rsidRPr="002D02F3">
              <w:rPr>
                <w:sz w:val="16"/>
              </w:rPr>
              <w:t>intention à la fois des clients internes et des parties prenantes externes (ressources humaines, informatique, conférences, service linguistique, achats, voyages, imprimerie et publications, gestion des locaux)</w:t>
            </w:r>
          </w:p>
        </w:tc>
      </w:tr>
      <w:tr w:rsidR="00C82EE5" w:rsidRPr="002D02F3" w:rsidTr="00167DE6">
        <w:tc>
          <w:tcPr>
            <w:tcW w:w="1061" w:type="pct"/>
            <w:gridSpan w:val="2"/>
            <w:tcBorders>
              <w:top w:val="single" w:sz="4" w:space="0" w:color="auto"/>
            </w:tcBorders>
            <w:shd w:val="clear" w:color="auto" w:fill="auto"/>
            <w:vAlign w:val="center"/>
          </w:tcPr>
          <w:p w:rsidR="00C82EE5" w:rsidRPr="002D02F3" w:rsidRDefault="00C82EE5" w:rsidP="00933D5A">
            <w:pPr>
              <w:spacing w:after="120"/>
              <w:rPr>
                <w:rFonts w:cs="Arial"/>
                <w:b/>
                <w:sz w:val="16"/>
                <w:szCs w:val="16"/>
              </w:rPr>
            </w:pPr>
            <w:r w:rsidRPr="002D02F3">
              <w:rPr>
                <w:b/>
                <w:sz w:val="16"/>
              </w:rPr>
              <w:t>Indicateurs d</w:t>
            </w:r>
            <w:r w:rsidR="00A20444" w:rsidRPr="002D02F3">
              <w:rPr>
                <w:b/>
                <w:sz w:val="16"/>
              </w:rPr>
              <w:t>’</w:t>
            </w:r>
            <w:r w:rsidRPr="002D02F3">
              <w:rPr>
                <w:b/>
                <w:sz w:val="16"/>
              </w:rPr>
              <w:t>exécution</w:t>
            </w:r>
          </w:p>
        </w:tc>
        <w:tc>
          <w:tcPr>
            <w:tcW w:w="1060" w:type="pct"/>
            <w:gridSpan w:val="2"/>
            <w:tcBorders>
              <w:top w:val="single" w:sz="4" w:space="0" w:color="auto"/>
            </w:tcBorders>
            <w:shd w:val="clear" w:color="auto" w:fill="auto"/>
            <w:vAlign w:val="center"/>
          </w:tcPr>
          <w:p w:rsidR="00C82EE5" w:rsidRPr="002D02F3" w:rsidRDefault="00C82EE5" w:rsidP="00933D5A">
            <w:pPr>
              <w:spacing w:after="120"/>
              <w:rPr>
                <w:rFonts w:cs="Arial"/>
                <w:b/>
                <w:bCs/>
                <w:sz w:val="16"/>
                <w:szCs w:val="16"/>
              </w:rPr>
            </w:pPr>
            <w:r w:rsidRPr="002D02F3">
              <w:rPr>
                <w:b/>
                <w:sz w:val="16"/>
              </w:rPr>
              <w:t>Niveaux de référence</w:t>
            </w:r>
          </w:p>
        </w:tc>
        <w:tc>
          <w:tcPr>
            <w:tcW w:w="758" w:type="pct"/>
            <w:gridSpan w:val="2"/>
            <w:tcBorders>
              <w:top w:val="single" w:sz="4" w:space="0" w:color="auto"/>
            </w:tcBorders>
            <w:shd w:val="clear" w:color="auto" w:fill="auto"/>
            <w:tcMar>
              <w:top w:w="110" w:type="dxa"/>
            </w:tcMar>
            <w:vAlign w:val="center"/>
          </w:tcPr>
          <w:p w:rsidR="00C82EE5" w:rsidRPr="002D02F3" w:rsidRDefault="00C82EE5" w:rsidP="00933D5A">
            <w:pPr>
              <w:spacing w:after="120"/>
              <w:rPr>
                <w:rFonts w:cs="Arial"/>
                <w:b/>
                <w:sz w:val="16"/>
                <w:szCs w:val="16"/>
              </w:rPr>
            </w:pPr>
            <w:r w:rsidRPr="002D02F3">
              <w:rPr>
                <w:b/>
                <w:sz w:val="16"/>
              </w:rPr>
              <w:t>Objectifs visés</w:t>
            </w:r>
          </w:p>
        </w:tc>
        <w:tc>
          <w:tcPr>
            <w:tcW w:w="1441" w:type="pct"/>
            <w:tcBorders>
              <w:top w:val="single" w:sz="4" w:space="0" w:color="auto"/>
            </w:tcBorders>
            <w:shd w:val="clear" w:color="auto" w:fill="FFFFFF"/>
            <w:tcMar>
              <w:top w:w="110" w:type="dxa"/>
            </w:tcMar>
            <w:vAlign w:val="center"/>
          </w:tcPr>
          <w:p w:rsidR="00C82EE5" w:rsidRPr="002D02F3" w:rsidRDefault="00C82EE5" w:rsidP="00933D5A">
            <w:pPr>
              <w:spacing w:after="120"/>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0" w:type="pct"/>
            <w:tcBorders>
              <w:top w:val="single" w:sz="4" w:space="0" w:color="auto"/>
            </w:tcBorders>
            <w:shd w:val="clear" w:color="auto" w:fill="auto"/>
            <w:tcMar>
              <w:top w:w="110" w:type="dxa"/>
            </w:tcMar>
            <w:vAlign w:val="center"/>
          </w:tcPr>
          <w:p w:rsidR="00C82EE5" w:rsidRPr="002D02F3" w:rsidRDefault="00C82EE5" w:rsidP="001A5BF9">
            <w:pPr>
              <w:spacing w:after="120"/>
              <w:jc w:val="center"/>
              <w:rPr>
                <w:rFonts w:cs="Arial"/>
                <w:b/>
                <w:bCs/>
                <w:sz w:val="16"/>
                <w:szCs w:val="16"/>
              </w:rPr>
            </w:pPr>
            <w:r w:rsidRPr="002D02F3">
              <w:rPr>
                <w:b/>
                <w:sz w:val="16"/>
              </w:rPr>
              <w:t>Code de couleurs</w:t>
            </w:r>
          </w:p>
        </w:tc>
      </w:tr>
      <w:tr w:rsidR="00C82EE5" w:rsidRPr="005C7CCE" w:rsidTr="00167DE6">
        <w:tc>
          <w:tcPr>
            <w:tcW w:w="1061" w:type="pct"/>
            <w:gridSpan w:val="2"/>
            <w:shd w:val="clear" w:color="auto" w:fill="auto"/>
          </w:tcPr>
          <w:p w:rsidR="00C82EE5" w:rsidRPr="00933D5A" w:rsidRDefault="00C82EE5" w:rsidP="001A5BF9">
            <w:pPr>
              <w:rPr>
                <w:rFonts w:cs="Arial"/>
                <w:sz w:val="16"/>
                <w:szCs w:val="16"/>
              </w:rPr>
            </w:pPr>
            <w:r w:rsidRPr="00933D5A">
              <w:rPr>
                <w:sz w:val="16"/>
              </w:rPr>
              <w:t>Moins de temps passé entre la demande et la réalisation d</w:t>
            </w:r>
            <w:r w:rsidR="00A20444" w:rsidRPr="00933D5A">
              <w:rPr>
                <w:sz w:val="16"/>
              </w:rPr>
              <w:t>’</w:t>
            </w:r>
            <w:r w:rsidRPr="00933D5A">
              <w:rPr>
                <w:sz w:val="16"/>
              </w:rPr>
              <w:t>opérations standard en matière de ressources humaines (indemnité pour frais d</w:t>
            </w:r>
            <w:r w:rsidR="00A20444" w:rsidRPr="00933D5A">
              <w:rPr>
                <w:sz w:val="16"/>
              </w:rPr>
              <w:t>’</w:t>
            </w:r>
            <w:r w:rsidRPr="00933D5A">
              <w:rPr>
                <w:sz w:val="16"/>
              </w:rPr>
              <w:t>étude, indemnité pour charges de famille)</w:t>
            </w:r>
          </w:p>
        </w:tc>
        <w:tc>
          <w:tcPr>
            <w:tcW w:w="1060" w:type="pct"/>
            <w:gridSpan w:val="2"/>
            <w:shd w:val="clear" w:color="auto" w:fill="auto"/>
          </w:tcPr>
          <w:p w:rsidR="00D42474" w:rsidRDefault="00C82EE5" w:rsidP="001A5BF9">
            <w:pPr>
              <w:rPr>
                <w:rFonts w:cs="Arial"/>
                <w:i/>
                <w:color w:val="002060"/>
                <w:sz w:val="16"/>
                <w:szCs w:val="16"/>
              </w:rPr>
            </w:pPr>
            <w:r w:rsidRPr="005C7CCE">
              <w:rPr>
                <w:i/>
                <w:color w:val="002060"/>
                <w:sz w:val="16"/>
              </w:rPr>
              <w:t xml:space="preserve">Niveau de </w:t>
            </w:r>
            <w:r w:rsidR="00933D5A">
              <w:rPr>
                <w:i/>
                <w:color w:val="002060"/>
                <w:sz w:val="16"/>
              </w:rPr>
              <w:t xml:space="preserve">référence actualisé fin 2011 : </w:t>
            </w:r>
            <w:r w:rsidR="00933D5A" w:rsidRPr="00933D5A">
              <w:rPr>
                <w:color w:val="002060"/>
                <w:sz w:val="16"/>
              </w:rPr>
              <w:t>q</w:t>
            </w:r>
            <w:r w:rsidRPr="00933D5A">
              <w:rPr>
                <w:color w:val="002060"/>
                <w:sz w:val="16"/>
              </w:rPr>
              <w:t>uatre </w:t>
            </w:r>
            <w:r w:rsidRPr="005C7CCE">
              <w:rPr>
                <w:color w:val="002060"/>
                <w:sz w:val="16"/>
              </w:rPr>
              <w:t>jours</w:t>
            </w:r>
          </w:p>
          <w:p w:rsidR="00D42474" w:rsidRDefault="00D42474" w:rsidP="001A5BF9">
            <w:pPr>
              <w:rPr>
                <w:rFonts w:cs="Arial"/>
                <w:i/>
                <w:color w:val="002060"/>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933D5A">
              <w:rPr>
                <w:sz w:val="16"/>
              </w:rPr>
              <w:t xml:space="preserve"> t</w:t>
            </w:r>
            <w:r w:rsidRPr="005C7CCE">
              <w:rPr>
                <w:sz w:val="16"/>
              </w:rPr>
              <w:t>rois jours</w:t>
            </w:r>
          </w:p>
        </w:tc>
        <w:tc>
          <w:tcPr>
            <w:tcW w:w="758" w:type="pct"/>
            <w:gridSpan w:val="2"/>
            <w:shd w:val="clear" w:color="auto" w:fill="auto"/>
            <w:tcMar>
              <w:top w:w="110" w:type="dxa"/>
            </w:tcMar>
          </w:tcPr>
          <w:p w:rsidR="00C82EE5" w:rsidRPr="005C7CCE" w:rsidRDefault="00C82EE5" w:rsidP="001A5BF9">
            <w:pPr>
              <w:rPr>
                <w:rFonts w:cs="Arial"/>
                <w:sz w:val="16"/>
                <w:szCs w:val="16"/>
                <w:lang w:bidi="th-TH"/>
              </w:rPr>
            </w:pPr>
            <w:r w:rsidRPr="005C7CCE">
              <w:rPr>
                <w:rFonts w:ascii="ArialMT" w:hAnsi="ArialMT"/>
                <w:sz w:val="16"/>
              </w:rPr>
              <w:t>Deux jours</w:t>
            </w:r>
            <w:r w:rsidRPr="005C7CCE">
              <w:rPr>
                <w:sz w:val="16"/>
              </w:rPr>
              <w:t xml:space="preserve"> </w:t>
            </w:r>
          </w:p>
        </w:tc>
        <w:tc>
          <w:tcPr>
            <w:tcW w:w="1441" w:type="pct"/>
            <w:shd w:val="clear" w:color="auto" w:fill="FFFFFF"/>
            <w:tcMar>
              <w:top w:w="110" w:type="dxa"/>
            </w:tcMar>
          </w:tcPr>
          <w:p w:rsidR="00C82EE5" w:rsidRPr="005C7CCE" w:rsidRDefault="00C82EE5" w:rsidP="001A5BF9">
            <w:pPr>
              <w:rPr>
                <w:rFonts w:cs="Arial"/>
                <w:sz w:val="16"/>
                <w:szCs w:val="16"/>
              </w:rPr>
            </w:pPr>
            <w:r w:rsidRPr="005C7CCE">
              <w:rPr>
                <w:sz w:val="16"/>
              </w:rPr>
              <w:t>Quatre jours : cible qui devrait être atteinte après la première année d</w:t>
            </w:r>
            <w:r w:rsidR="00A20444" w:rsidRPr="005C7CCE">
              <w:rPr>
                <w:sz w:val="16"/>
              </w:rPr>
              <w:t>’</w:t>
            </w:r>
            <w:r w:rsidRPr="005C7CCE">
              <w:rPr>
                <w:sz w:val="16"/>
              </w:rPr>
              <w:t>entrée en service du module de gestion des ressources humaines ERP (c</w:t>
            </w:r>
            <w:r w:rsidR="00A20444" w:rsidRPr="005C7CCE">
              <w:rPr>
                <w:sz w:val="16"/>
              </w:rPr>
              <w:t>’</w:t>
            </w:r>
            <w:r w:rsidRPr="005C7CCE">
              <w:rPr>
                <w:sz w:val="16"/>
              </w:rPr>
              <w:t>est</w:t>
            </w:r>
            <w:r w:rsidR="002D6F2A" w:rsidRPr="005C7CCE">
              <w:rPr>
                <w:sz w:val="16"/>
              </w:rPr>
              <w:noBreakHyphen/>
            </w:r>
            <w:r w:rsidRPr="005C7CCE">
              <w:rPr>
                <w:sz w:val="16"/>
              </w:rPr>
              <w:t>à</w:t>
            </w:r>
            <w:r w:rsidR="002D6F2A" w:rsidRPr="005C7CCE">
              <w:rPr>
                <w:sz w:val="16"/>
              </w:rPr>
              <w:noBreakHyphen/>
            </w:r>
            <w:r w:rsidRPr="005C7CCE">
              <w:rPr>
                <w:sz w:val="16"/>
              </w:rPr>
              <w:t>dire en 2015).</w:t>
            </w:r>
          </w:p>
        </w:tc>
        <w:tc>
          <w:tcPr>
            <w:tcW w:w="680" w:type="pct"/>
            <w:shd w:val="clear" w:color="auto" w:fill="auto"/>
            <w:tcMar>
              <w:top w:w="110" w:type="dxa"/>
            </w:tcMar>
          </w:tcPr>
          <w:p w:rsidR="00C82EE5" w:rsidRPr="00933D5A" w:rsidRDefault="00C82EE5" w:rsidP="001A5BF9">
            <w:pPr>
              <w:jc w:val="center"/>
              <w:rPr>
                <w:rFonts w:cs="Arial"/>
                <w:bCs/>
                <w:color w:val="FF0000"/>
                <w:sz w:val="16"/>
                <w:szCs w:val="16"/>
              </w:rPr>
            </w:pPr>
            <w:r w:rsidRPr="00933D5A">
              <w:rPr>
                <w:color w:val="FF0000"/>
                <w:sz w:val="16"/>
              </w:rPr>
              <w:t>Objectif pas atteint</w:t>
            </w:r>
          </w:p>
        </w:tc>
      </w:tr>
      <w:tr w:rsidR="00C82EE5" w:rsidRPr="005C7CCE" w:rsidTr="00167DE6">
        <w:tc>
          <w:tcPr>
            <w:tcW w:w="1061" w:type="pct"/>
            <w:gridSpan w:val="2"/>
            <w:shd w:val="clear" w:color="auto" w:fill="auto"/>
          </w:tcPr>
          <w:p w:rsidR="00C82EE5" w:rsidRPr="00933D5A" w:rsidRDefault="00C82EE5" w:rsidP="001A5BF9">
            <w:pPr>
              <w:rPr>
                <w:rFonts w:cs="Arial"/>
                <w:sz w:val="16"/>
                <w:szCs w:val="16"/>
              </w:rPr>
            </w:pPr>
            <w:r w:rsidRPr="00933D5A">
              <w:rPr>
                <w:sz w:val="16"/>
              </w:rPr>
              <w:t>Rapport entre les membres du personnel (équivalent plein temps) et le personnel chargé des ressources humaines</w:t>
            </w:r>
          </w:p>
        </w:tc>
        <w:tc>
          <w:tcPr>
            <w:tcW w:w="1060" w:type="pct"/>
            <w:gridSpan w:val="2"/>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29,3</w:t>
            </w:r>
          </w:p>
          <w:p w:rsidR="00D42474" w:rsidRDefault="00D42474" w:rsidP="001A5BF9">
            <w:pPr>
              <w:rPr>
                <w:rFonts w:cs="Arial"/>
                <w:i/>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933D5A">
              <w:rPr>
                <w:sz w:val="16"/>
              </w:rPr>
              <w:t xml:space="preserve"> u</w:t>
            </w:r>
            <w:r w:rsidRPr="005C7CCE">
              <w:rPr>
                <w:sz w:val="16"/>
              </w:rPr>
              <w:t>n agent des ressources humaines pour 31 agents de l</w:t>
            </w:r>
            <w:r w:rsidR="00A20444" w:rsidRPr="005C7CCE">
              <w:rPr>
                <w:sz w:val="16"/>
              </w:rPr>
              <w:t>’</w:t>
            </w:r>
            <w:r w:rsidRPr="005C7CCE">
              <w:rPr>
                <w:sz w:val="16"/>
              </w:rPr>
              <w:t>Organisation (janvier 2011)</w:t>
            </w:r>
          </w:p>
        </w:tc>
        <w:tc>
          <w:tcPr>
            <w:tcW w:w="758" w:type="pct"/>
            <w:gridSpan w:val="2"/>
            <w:shd w:val="clear" w:color="auto" w:fill="auto"/>
            <w:tcMar>
              <w:top w:w="110" w:type="dxa"/>
            </w:tcMar>
          </w:tcPr>
          <w:p w:rsidR="00D42474" w:rsidRDefault="00C82EE5" w:rsidP="001A5BF9">
            <w:pPr>
              <w:autoSpaceDE w:val="0"/>
              <w:autoSpaceDN w:val="0"/>
              <w:adjustRightInd w:val="0"/>
              <w:rPr>
                <w:rFonts w:ascii="ArialMT" w:hAnsi="ArialMT" w:cs="ArialMT"/>
                <w:sz w:val="16"/>
                <w:szCs w:val="16"/>
              </w:rPr>
            </w:pPr>
            <w:r w:rsidRPr="005C7CCE">
              <w:rPr>
                <w:rFonts w:ascii="ArialMT" w:hAnsi="ArialMT"/>
                <w:sz w:val="16"/>
              </w:rPr>
              <w:t>Un agent des ressources humaines pour 50 agents de</w:t>
            </w:r>
          </w:p>
          <w:p w:rsidR="00C82EE5" w:rsidRPr="005C7CCE" w:rsidRDefault="00C82EE5" w:rsidP="001A5BF9">
            <w:pPr>
              <w:rPr>
                <w:rFonts w:cs="Arial"/>
                <w:sz w:val="16"/>
                <w:szCs w:val="16"/>
              </w:rPr>
            </w:pPr>
            <w:r w:rsidRPr="005C7CCE">
              <w:rPr>
                <w:rFonts w:ascii="ArialMT" w:hAnsi="ArialMT"/>
                <w:sz w:val="16"/>
              </w:rPr>
              <w:t>l</w:t>
            </w:r>
            <w:r w:rsidR="00A20444" w:rsidRPr="005C7CCE">
              <w:rPr>
                <w:rFonts w:ascii="ArialMT" w:hAnsi="ArialMT"/>
                <w:sz w:val="16"/>
              </w:rPr>
              <w:t>’</w:t>
            </w:r>
            <w:r w:rsidRPr="005C7CCE">
              <w:rPr>
                <w:rFonts w:ascii="ArialMT" w:hAnsi="ArialMT"/>
                <w:sz w:val="16"/>
              </w:rPr>
              <w:t>Organisation</w:t>
            </w:r>
          </w:p>
        </w:tc>
        <w:tc>
          <w:tcPr>
            <w:tcW w:w="1441" w:type="pct"/>
            <w:shd w:val="clear" w:color="auto" w:fill="FFFFFF"/>
            <w:tcMar>
              <w:top w:w="110" w:type="dxa"/>
            </w:tcMar>
          </w:tcPr>
          <w:p w:rsidR="00D42474" w:rsidRDefault="00C82EE5" w:rsidP="001A5BF9">
            <w:pPr>
              <w:rPr>
                <w:rFonts w:cs="Arial"/>
                <w:sz w:val="16"/>
                <w:szCs w:val="16"/>
              </w:rPr>
            </w:pPr>
            <w:r w:rsidRPr="005C7CCE">
              <w:rPr>
                <w:sz w:val="16"/>
              </w:rPr>
              <w:t>Exercice biennal : 30,75</w:t>
            </w:r>
          </w:p>
          <w:p w:rsidR="00D42474" w:rsidRDefault="00C82EE5" w:rsidP="001A5BF9">
            <w:pPr>
              <w:pStyle w:val="Paragraphedeliste"/>
              <w:numPr>
                <w:ilvl w:val="0"/>
                <w:numId w:val="58"/>
              </w:numPr>
              <w:ind w:hanging="229"/>
              <w:rPr>
                <w:rFonts w:cs="Arial"/>
                <w:sz w:val="16"/>
                <w:szCs w:val="16"/>
              </w:rPr>
            </w:pPr>
            <w:r w:rsidRPr="005C7CCE">
              <w:rPr>
                <w:sz w:val="16"/>
              </w:rPr>
              <w:t>2012 : 31</w:t>
            </w:r>
          </w:p>
          <w:p w:rsidR="00C82EE5" w:rsidRPr="005C7CCE" w:rsidRDefault="00C82EE5" w:rsidP="001A5BF9">
            <w:pPr>
              <w:pStyle w:val="Paragraphedeliste"/>
              <w:numPr>
                <w:ilvl w:val="0"/>
                <w:numId w:val="58"/>
              </w:numPr>
              <w:ind w:hanging="229"/>
              <w:rPr>
                <w:rFonts w:cs="Arial"/>
                <w:sz w:val="16"/>
                <w:szCs w:val="16"/>
              </w:rPr>
            </w:pPr>
            <w:r w:rsidRPr="005C7CCE">
              <w:rPr>
                <w:sz w:val="16"/>
              </w:rPr>
              <w:t>2013 : 30,5</w:t>
            </w:r>
          </w:p>
        </w:tc>
        <w:tc>
          <w:tcPr>
            <w:tcW w:w="680" w:type="pct"/>
            <w:shd w:val="clear" w:color="auto" w:fill="auto"/>
            <w:tcMar>
              <w:top w:w="110" w:type="dxa"/>
            </w:tcMar>
          </w:tcPr>
          <w:p w:rsidR="00C82EE5" w:rsidRPr="00933D5A" w:rsidRDefault="00C82EE5" w:rsidP="001A5BF9">
            <w:pPr>
              <w:jc w:val="center"/>
              <w:rPr>
                <w:rFonts w:cs="Arial"/>
                <w:bCs/>
                <w:color w:val="FF0000"/>
                <w:sz w:val="16"/>
                <w:szCs w:val="16"/>
              </w:rPr>
            </w:pPr>
            <w:r w:rsidRPr="00933D5A">
              <w:rPr>
                <w:color w:val="FF0000"/>
                <w:sz w:val="16"/>
              </w:rPr>
              <w:t>Objectif pas atteint</w:t>
            </w:r>
          </w:p>
        </w:tc>
      </w:tr>
      <w:tr w:rsidR="00C82EE5" w:rsidRPr="005C7CCE" w:rsidTr="00167DE6">
        <w:tc>
          <w:tcPr>
            <w:tcW w:w="1061" w:type="pct"/>
            <w:gridSpan w:val="2"/>
            <w:tcBorders>
              <w:bottom w:val="single" w:sz="4" w:space="0" w:color="auto"/>
            </w:tcBorders>
            <w:shd w:val="clear" w:color="auto" w:fill="auto"/>
          </w:tcPr>
          <w:p w:rsidR="00C82EE5" w:rsidRPr="00933D5A" w:rsidRDefault="00C82EE5" w:rsidP="001A5BF9">
            <w:pPr>
              <w:rPr>
                <w:rFonts w:cs="Arial"/>
                <w:sz w:val="16"/>
                <w:szCs w:val="16"/>
              </w:rPr>
            </w:pPr>
            <w:r w:rsidRPr="00933D5A">
              <w:rPr>
                <w:sz w:val="16"/>
              </w:rPr>
              <w:t>Pourcentage des membres du personnel satisfaits des services en matière de ressources humaines</w:t>
            </w:r>
          </w:p>
        </w:tc>
        <w:tc>
          <w:tcPr>
            <w:tcW w:w="1060" w:type="pct"/>
            <w:gridSpan w:val="2"/>
            <w:tcBorders>
              <w:bottom w:val="single" w:sz="4" w:space="0" w:color="auto"/>
            </w:tcBorders>
            <w:shd w:val="clear" w:color="auto" w:fill="auto"/>
          </w:tcPr>
          <w:p w:rsidR="00D42474" w:rsidRDefault="00C82EE5" w:rsidP="001A5BF9">
            <w:pPr>
              <w:rPr>
                <w:i/>
                <w:color w:val="002060"/>
                <w:sz w:val="16"/>
              </w:rPr>
            </w:pPr>
            <w:r w:rsidRPr="005C7CCE">
              <w:rPr>
                <w:i/>
                <w:color w:val="002060"/>
                <w:sz w:val="16"/>
              </w:rPr>
              <w:t xml:space="preserve">Niveau de référence </w:t>
            </w:r>
            <w:r w:rsidRPr="00933D5A">
              <w:rPr>
                <w:i/>
                <w:color w:val="002060"/>
                <w:sz w:val="16"/>
              </w:rPr>
              <w:t>actualisé fin 2011 :</w:t>
            </w:r>
          </w:p>
          <w:p w:rsidR="00D42474" w:rsidRDefault="00933D5A" w:rsidP="001A5BF9">
            <w:pPr>
              <w:rPr>
                <w:rFonts w:cs="Arial"/>
                <w:color w:val="002060"/>
                <w:spacing w:val="-4"/>
                <w:sz w:val="16"/>
                <w:szCs w:val="16"/>
              </w:rPr>
            </w:pPr>
            <w:r w:rsidRPr="00933D5A">
              <w:rPr>
                <w:color w:val="002060"/>
                <w:spacing w:val="-4"/>
                <w:sz w:val="16"/>
              </w:rPr>
              <w:t>t</w:t>
            </w:r>
            <w:r w:rsidR="00C82EE5" w:rsidRPr="00933D5A">
              <w:rPr>
                <w:color w:val="002060"/>
                <w:spacing w:val="-4"/>
                <w:sz w:val="16"/>
              </w:rPr>
              <w:t>rès satisfaits</w:t>
            </w:r>
            <w:r w:rsidR="0010442A" w:rsidRPr="00933D5A">
              <w:rPr>
                <w:color w:val="002060"/>
                <w:spacing w:val="-4"/>
                <w:sz w:val="16"/>
              </w:rPr>
              <w:t> </w:t>
            </w:r>
            <w:r w:rsidR="00C82EE5" w:rsidRPr="00933D5A">
              <w:rPr>
                <w:color w:val="002060"/>
                <w:spacing w:val="-4"/>
                <w:sz w:val="16"/>
              </w:rPr>
              <w:t>: 31,8</w:t>
            </w:r>
            <w:r w:rsidR="007E442D" w:rsidRPr="00933D5A">
              <w:rPr>
                <w:color w:val="002060"/>
                <w:spacing w:val="-4"/>
                <w:sz w:val="16"/>
              </w:rPr>
              <w:t>%</w:t>
            </w:r>
            <w:r w:rsidR="00C82EE5" w:rsidRPr="00933D5A">
              <w:rPr>
                <w:color w:val="002060"/>
                <w:spacing w:val="-4"/>
                <w:sz w:val="16"/>
              </w:rPr>
              <w:t xml:space="preserve">, </w:t>
            </w:r>
            <w:r w:rsidR="00C82EE5" w:rsidRPr="00933D5A">
              <w:rPr>
                <w:color w:val="002060"/>
              </w:rPr>
              <w:br/>
            </w:r>
            <w:r w:rsidR="00C82EE5" w:rsidRPr="00933D5A">
              <w:rPr>
                <w:color w:val="002060"/>
                <w:spacing w:val="-4"/>
                <w:sz w:val="16"/>
              </w:rPr>
              <w:t>satisfaits</w:t>
            </w:r>
            <w:r w:rsidR="0010442A" w:rsidRPr="00933D5A">
              <w:rPr>
                <w:color w:val="002060"/>
                <w:spacing w:val="-4"/>
                <w:sz w:val="16"/>
              </w:rPr>
              <w:t> </w:t>
            </w:r>
            <w:r w:rsidR="00C82EE5" w:rsidRPr="00933D5A">
              <w:rPr>
                <w:color w:val="002060"/>
                <w:spacing w:val="-4"/>
                <w:sz w:val="16"/>
              </w:rPr>
              <w:t>: 45,5</w:t>
            </w:r>
            <w:r w:rsidR="007E442D" w:rsidRPr="00933D5A">
              <w:rPr>
                <w:color w:val="002060"/>
                <w:spacing w:val="-4"/>
                <w:sz w:val="16"/>
              </w:rPr>
              <w:t>%</w:t>
            </w:r>
            <w:proofErr w:type="gramStart"/>
            <w:r w:rsidR="00C82EE5" w:rsidRPr="00933D5A">
              <w:rPr>
                <w:color w:val="002060"/>
                <w:spacing w:val="-4"/>
                <w:sz w:val="16"/>
              </w:rPr>
              <w:t>,</w:t>
            </w:r>
            <w:proofErr w:type="gramEnd"/>
            <w:r w:rsidR="00C82EE5" w:rsidRPr="00933D5A">
              <w:rPr>
                <w:color w:val="002060"/>
              </w:rPr>
              <w:br/>
            </w:r>
            <w:r w:rsidR="00C82EE5" w:rsidRPr="00933D5A">
              <w:rPr>
                <w:color w:val="002060"/>
                <w:spacing w:val="-4"/>
                <w:sz w:val="16"/>
              </w:rPr>
              <w:t>mécontents</w:t>
            </w:r>
            <w:r w:rsidR="0010442A" w:rsidRPr="00933D5A">
              <w:rPr>
                <w:color w:val="002060"/>
                <w:spacing w:val="-4"/>
                <w:sz w:val="16"/>
              </w:rPr>
              <w:t> </w:t>
            </w:r>
            <w:r w:rsidR="00C82EE5" w:rsidRPr="00933D5A">
              <w:rPr>
                <w:color w:val="002060"/>
                <w:spacing w:val="-4"/>
                <w:sz w:val="16"/>
              </w:rPr>
              <w:t>: 18,2</w:t>
            </w:r>
            <w:r w:rsidR="007E442D" w:rsidRPr="00933D5A">
              <w:rPr>
                <w:color w:val="002060"/>
                <w:spacing w:val="-4"/>
                <w:sz w:val="16"/>
              </w:rPr>
              <w:t>%</w:t>
            </w:r>
            <w:r w:rsidR="00C82EE5" w:rsidRPr="00933D5A">
              <w:rPr>
                <w:color w:val="002060"/>
                <w:spacing w:val="-4"/>
                <w:sz w:val="16"/>
              </w:rPr>
              <w:t>,</w:t>
            </w:r>
            <w:r w:rsidR="00C82EE5" w:rsidRPr="00933D5A">
              <w:rPr>
                <w:color w:val="002060"/>
              </w:rPr>
              <w:br/>
            </w:r>
            <w:r w:rsidR="00C82EE5" w:rsidRPr="00933D5A">
              <w:rPr>
                <w:color w:val="002060"/>
                <w:spacing w:val="-4"/>
                <w:sz w:val="16"/>
              </w:rPr>
              <w:t>très mécontents</w:t>
            </w:r>
            <w:r w:rsidR="0010442A" w:rsidRPr="00933D5A">
              <w:rPr>
                <w:color w:val="002060"/>
                <w:spacing w:val="-4"/>
                <w:sz w:val="16"/>
              </w:rPr>
              <w:t> </w:t>
            </w:r>
            <w:r w:rsidR="00C82EE5" w:rsidRPr="00933D5A">
              <w:rPr>
                <w:color w:val="002060"/>
                <w:spacing w:val="-4"/>
                <w:sz w:val="16"/>
              </w:rPr>
              <w:t>: 4,5</w:t>
            </w:r>
            <w:r w:rsidR="007E442D" w:rsidRPr="00933D5A">
              <w:rPr>
                <w:color w:val="002060"/>
                <w:spacing w:val="-4"/>
                <w:sz w:val="16"/>
              </w:rPr>
              <w:t>%</w:t>
            </w:r>
          </w:p>
          <w:p w:rsidR="00D42474" w:rsidRDefault="00D42474" w:rsidP="001A5BF9">
            <w:pPr>
              <w:rPr>
                <w:rFonts w:cs="Arial"/>
                <w:i/>
                <w:color w:val="002060"/>
                <w:sz w:val="8"/>
                <w:szCs w:val="8"/>
              </w:rPr>
            </w:pPr>
          </w:p>
          <w:p w:rsidR="00D42474" w:rsidRDefault="00C82EE5" w:rsidP="001A5BF9">
            <w:pPr>
              <w:rPr>
                <w:sz w:val="16"/>
              </w:rPr>
            </w:pPr>
            <w:r w:rsidRPr="005C7CCE">
              <w:rPr>
                <w:i/>
                <w:sz w:val="16"/>
              </w:rPr>
              <w:t xml:space="preserve">Niveau de référence </w:t>
            </w:r>
            <w:r w:rsidRPr="00933D5A">
              <w:rPr>
                <w:i/>
                <w:sz w:val="16"/>
              </w:rPr>
              <w:t xml:space="preserve">initial </w:t>
            </w:r>
            <w:r w:rsidR="00667FB3" w:rsidRPr="00933D5A">
              <w:rPr>
                <w:i/>
                <w:sz w:val="16"/>
              </w:rPr>
              <w:t>programme et budget</w:t>
            </w:r>
            <w:r w:rsidRPr="00933D5A">
              <w:rPr>
                <w:i/>
                <w:sz w:val="16"/>
              </w:rPr>
              <w:t> 2012</w:t>
            </w:r>
            <w:r w:rsidR="002D6F2A" w:rsidRPr="00933D5A">
              <w:rPr>
                <w:i/>
                <w:sz w:val="16"/>
              </w:rPr>
              <w:noBreakHyphen/>
            </w:r>
            <w:r w:rsidRPr="00933D5A">
              <w:rPr>
                <w:i/>
                <w:sz w:val="16"/>
              </w:rPr>
              <w:t>2013 </w:t>
            </w:r>
            <w:proofErr w:type="gramStart"/>
            <w:r w:rsidRPr="00933D5A">
              <w:rPr>
                <w:i/>
                <w:sz w:val="16"/>
              </w:rPr>
              <w:t>:</w:t>
            </w:r>
            <w:proofErr w:type="gramEnd"/>
            <w:r w:rsidRPr="00933D5A">
              <w:br/>
            </w:r>
            <w:r w:rsidR="00933D5A" w:rsidRPr="00933D5A">
              <w:rPr>
                <w:spacing w:val="-4"/>
                <w:sz w:val="16"/>
              </w:rPr>
              <w:t>t</w:t>
            </w:r>
            <w:r w:rsidRPr="00933D5A">
              <w:rPr>
                <w:spacing w:val="-4"/>
                <w:sz w:val="16"/>
              </w:rPr>
              <w:t>rès satisfaits</w:t>
            </w:r>
            <w:r w:rsidR="0010442A" w:rsidRPr="00933D5A">
              <w:rPr>
                <w:spacing w:val="-4"/>
                <w:sz w:val="16"/>
              </w:rPr>
              <w:t> </w:t>
            </w:r>
            <w:r w:rsidRPr="00933D5A">
              <w:rPr>
                <w:spacing w:val="-4"/>
                <w:sz w:val="16"/>
              </w:rPr>
              <w:t>:</w:t>
            </w:r>
            <w:r w:rsidRPr="00933D5A">
              <w:rPr>
                <w:sz w:val="16"/>
              </w:rPr>
              <w:t xml:space="preserve"> 30,8</w:t>
            </w:r>
            <w:r w:rsidR="007E442D" w:rsidRPr="00933D5A">
              <w:rPr>
                <w:sz w:val="16"/>
              </w:rPr>
              <w:t>%</w:t>
            </w:r>
            <w:r w:rsidRPr="00933D5A">
              <w:rPr>
                <w:sz w:val="16"/>
              </w:rPr>
              <w:t xml:space="preserve">, </w:t>
            </w:r>
            <w:r w:rsidRPr="00933D5A">
              <w:br/>
            </w:r>
            <w:r w:rsidRPr="00933D5A">
              <w:rPr>
                <w:sz w:val="16"/>
              </w:rPr>
              <w:t>satisfaits</w:t>
            </w:r>
            <w:r w:rsidR="0010442A" w:rsidRPr="00933D5A">
              <w:rPr>
                <w:sz w:val="16"/>
              </w:rPr>
              <w:t> </w:t>
            </w:r>
            <w:r w:rsidRPr="00933D5A">
              <w:rPr>
                <w:sz w:val="16"/>
              </w:rPr>
              <w:t>: 48,2</w:t>
            </w:r>
            <w:r w:rsidR="007E442D" w:rsidRPr="00933D5A">
              <w:rPr>
                <w:sz w:val="16"/>
              </w:rPr>
              <w:t>%</w:t>
            </w:r>
            <w:r w:rsidRPr="00933D5A">
              <w:rPr>
                <w:sz w:val="16"/>
              </w:rPr>
              <w:t xml:space="preserve">, </w:t>
            </w:r>
            <w:r w:rsidRPr="00933D5A">
              <w:rPr>
                <w:spacing w:val="-4"/>
                <w:sz w:val="16"/>
              </w:rPr>
              <w:t>mécontents</w:t>
            </w:r>
            <w:r w:rsidR="0010442A" w:rsidRPr="00933D5A">
              <w:rPr>
                <w:spacing w:val="-4"/>
                <w:sz w:val="16"/>
              </w:rPr>
              <w:t> </w:t>
            </w:r>
            <w:r w:rsidRPr="00933D5A">
              <w:rPr>
                <w:spacing w:val="-4"/>
                <w:sz w:val="16"/>
              </w:rPr>
              <w:t>:</w:t>
            </w:r>
            <w:r w:rsidRPr="00933D5A">
              <w:rPr>
                <w:sz w:val="16"/>
              </w:rPr>
              <w:t xml:space="preserve"> 17,9</w:t>
            </w:r>
            <w:r w:rsidR="007E442D" w:rsidRPr="00933D5A">
              <w:rPr>
                <w:sz w:val="16"/>
              </w:rPr>
              <w:t>%</w:t>
            </w:r>
          </w:p>
          <w:p w:rsidR="00C82EE5" w:rsidRPr="005C7CCE" w:rsidRDefault="00C82EE5" w:rsidP="001A5BF9">
            <w:pPr>
              <w:rPr>
                <w:rFonts w:cs="Arial"/>
                <w:spacing w:val="-4"/>
                <w:sz w:val="16"/>
                <w:szCs w:val="16"/>
              </w:rPr>
            </w:pPr>
            <w:r w:rsidRPr="00933D5A">
              <w:rPr>
                <w:spacing w:val="-4"/>
                <w:sz w:val="16"/>
              </w:rPr>
              <w:t>très mécontents</w:t>
            </w:r>
            <w:r w:rsidR="0010442A" w:rsidRPr="00933D5A">
              <w:rPr>
                <w:spacing w:val="-4"/>
                <w:sz w:val="16"/>
              </w:rPr>
              <w:t> </w:t>
            </w:r>
            <w:r w:rsidRPr="00933D5A">
              <w:rPr>
                <w:spacing w:val="-4"/>
                <w:sz w:val="16"/>
              </w:rPr>
              <w:t>: 3,1</w:t>
            </w:r>
            <w:r w:rsidR="007E442D" w:rsidRPr="00933D5A">
              <w:rPr>
                <w:spacing w:val="-4"/>
                <w:sz w:val="16"/>
              </w:rPr>
              <w:t>%</w:t>
            </w:r>
          </w:p>
        </w:tc>
        <w:tc>
          <w:tcPr>
            <w:tcW w:w="758" w:type="pct"/>
            <w:gridSpan w:val="2"/>
            <w:tcBorders>
              <w:bottom w:val="single" w:sz="4" w:space="0" w:color="auto"/>
            </w:tcBorders>
            <w:shd w:val="clear" w:color="auto" w:fill="auto"/>
            <w:tcMar>
              <w:top w:w="110" w:type="dxa"/>
            </w:tcMar>
          </w:tcPr>
          <w:p w:rsidR="00C82EE5" w:rsidRPr="005C7CCE" w:rsidRDefault="00C82EE5" w:rsidP="001A5BF9">
            <w:pPr>
              <w:rPr>
                <w:rFonts w:cs="Arial"/>
                <w:sz w:val="16"/>
                <w:szCs w:val="16"/>
              </w:rPr>
            </w:pPr>
            <w:r w:rsidRPr="005C7CCE">
              <w:rPr>
                <w:rFonts w:ascii="ArialMT" w:hAnsi="ArialMT"/>
                <w:sz w:val="16"/>
              </w:rPr>
              <w:t>50</w:t>
            </w:r>
            <w:r w:rsidR="007E442D" w:rsidRPr="005C7CCE">
              <w:rPr>
                <w:rFonts w:ascii="ArialMT" w:hAnsi="ArialMT"/>
                <w:sz w:val="16"/>
              </w:rPr>
              <w:t>%</w:t>
            </w:r>
            <w:r w:rsidRPr="005C7CCE">
              <w:rPr>
                <w:rFonts w:ascii="ArialMT" w:hAnsi="ArialMT"/>
                <w:sz w:val="16"/>
              </w:rPr>
              <w:t xml:space="preserve"> très satisfaits</w:t>
            </w:r>
          </w:p>
        </w:tc>
        <w:tc>
          <w:tcPr>
            <w:tcW w:w="1441" w:type="pct"/>
            <w:tcBorders>
              <w:bottom w:val="single" w:sz="4" w:space="0" w:color="auto"/>
            </w:tcBorders>
            <w:shd w:val="clear" w:color="auto" w:fill="FFFFFF"/>
            <w:tcMar>
              <w:top w:w="110" w:type="dxa"/>
            </w:tcMar>
          </w:tcPr>
          <w:p w:rsidR="00D42474" w:rsidRDefault="00C82EE5" w:rsidP="001A5BF9">
            <w:pPr>
              <w:rPr>
                <w:rFonts w:cs="Arial"/>
                <w:sz w:val="16"/>
                <w:szCs w:val="16"/>
              </w:rPr>
            </w:pPr>
            <w:r w:rsidRPr="00933D5A">
              <w:rPr>
                <w:sz w:val="16"/>
              </w:rPr>
              <w:t>Exercice biennal</w:t>
            </w:r>
            <w:r w:rsidR="0010442A" w:rsidRPr="00933D5A">
              <w:rPr>
                <w:sz w:val="16"/>
              </w:rPr>
              <w:t> </w:t>
            </w:r>
            <w:r w:rsidRPr="00933D5A">
              <w:rPr>
                <w:sz w:val="16"/>
              </w:rPr>
              <w:t>:</w:t>
            </w:r>
          </w:p>
          <w:p w:rsidR="00D42474" w:rsidRDefault="00D42474" w:rsidP="001A5BF9">
            <w:pPr>
              <w:rPr>
                <w:rFonts w:cs="Arial"/>
                <w:sz w:val="8"/>
                <w:szCs w:val="8"/>
              </w:rPr>
            </w:pPr>
          </w:p>
          <w:p w:rsidR="00D42474" w:rsidRDefault="00C82EE5" w:rsidP="001A5BF9">
            <w:pPr>
              <w:ind w:left="131"/>
              <w:rPr>
                <w:rFonts w:cs="Arial"/>
                <w:sz w:val="16"/>
                <w:szCs w:val="16"/>
              </w:rPr>
            </w:pPr>
            <w:r w:rsidRPr="00933D5A">
              <w:rPr>
                <w:spacing w:val="-4"/>
                <w:sz w:val="16"/>
              </w:rPr>
              <w:t>Très satisfaits</w:t>
            </w:r>
            <w:r w:rsidR="0010442A" w:rsidRPr="00933D5A">
              <w:rPr>
                <w:spacing w:val="-4"/>
                <w:sz w:val="16"/>
              </w:rPr>
              <w:t> </w:t>
            </w:r>
            <w:r w:rsidRPr="00933D5A">
              <w:rPr>
                <w:spacing w:val="-4"/>
                <w:sz w:val="16"/>
              </w:rPr>
              <w:t xml:space="preserve">: </w:t>
            </w:r>
            <w:r w:rsidRPr="00933D5A">
              <w:rPr>
                <w:sz w:val="16"/>
              </w:rPr>
              <w:t>31,2</w:t>
            </w:r>
            <w:r w:rsidR="007E442D" w:rsidRPr="00933D5A">
              <w:rPr>
                <w:sz w:val="16"/>
              </w:rPr>
              <w:t>%</w:t>
            </w:r>
            <w:r w:rsidRPr="00933D5A">
              <w:br/>
            </w:r>
            <w:r w:rsidRPr="00933D5A">
              <w:rPr>
                <w:spacing w:val="-4"/>
                <w:sz w:val="16"/>
              </w:rPr>
              <w:t>satisfaits</w:t>
            </w:r>
            <w:r w:rsidR="0010442A" w:rsidRPr="00933D5A">
              <w:rPr>
                <w:spacing w:val="-4"/>
                <w:sz w:val="16"/>
              </w:rPr>
              <w:t> </w:t>
            </w:r>
            <w:r w:rsidRPr="00933D5A">
              <w:rPr>
                <w:spacing w:val="-4"/>
                <w:sz w:val="16"/>
              </w:rPr>
              <w:t xml:space="preserve">: </w:t>
            </w:r>
            <w:r w:rsidRPr="00933D5A">
              <w:rPr>
                <w:sz w:val="16"/>
              </w:rPr>
              <w:t>47,45</w:t>
            </w:r>
            <w:r w:rsidR="007E442D" w:rsidRPr="00933D5A">
              <w:rPr>
                <w:sz w:val="16"/>
              </w:rPr>
              <w:t>%</w:t>
            </w:r>
            <w:r w:rsidRPr="00933D5A">
              <w:br/>
            </w:r>
            <w:r w:rsidRPr="00933D5A">
              <w:rPr>
                <w:spacing w:val="-4"/>
                <w:sz w:val="16"/>
              </w:rPr>
              <w:t>mécontents</w:t>
            </w:r>
            <w:r w:rsidR="0010442A" w:rsidRPr="00933D5A">
              <w:rPr>
                <w:spacing w:val="-4"/>
                <w:sz w:val="16"/>
              </w:rPr>
              <w:t> </w:t>
            </w:r>
            <w:r w:rsidRPr="00933D5A">
              <w:rPr>
                <w:spacing w:val="-4"/>
                <w:sz w:val="16"/>
              </w:rPr>
              <w:t>:</w:t>
            </w:r>
            <w:r w:rsidRPr="00933D5A">
              <w:rPr>
                <w:sz w:val="16"/>
              </w:rPr>
              <w:t xml:space="preserve"> 18,05</w:t>
            </w:r>
            <w:r w:rsidR="007E442D" w:rsidRPr="00933D5A">
              <w:rPr>
                <w:sz w:val="16"/>
              </w:rPr>
              <w:t>%</w:t>
            </w:r>
            <w:r w:rsidRPr="00933D5A">
              <w:br/>
            </w:r>
            <w:r w:rsidRPr="00933D5A">
              <w:rPr>
                <w:spacing w:val="-4"/>
                <w:sz w:val="16"/>
              </w:rPr>
              <w:t>très mécontents</w:t>
            </w:r>
            <w:r w:rsidR="0010442A" w:rsidRPr="00933D5A">
              <w:rPr>
                <w:spacing w:val="-4"/>
                <w:sz w:val="16"/>
              </w:rPr>
              <w:t> </w:t>
            </w:r>
            <w:r w:rsidRPr="00933D5A">
              <w:rPr>
                <w:spacing w:val="-4"/>
                <w:sz w:val="16"/>
              </w:rPr>
              <w:t xml:space="preserve">: </w:t>
            </w:r>
            <w:r w:rsidRPr="00933D5A">
              <w:rPr>
                <w:sz w:val="16"/>
              </w:rPr>
              <w:t>3,3</w:t>
            </w:r>
            <w:r w:rsidR="007E442D" w:rsidRPr="00933D5A">
              <w:rPr>
                <w:sz w:val="16"/>
              </w:rPr>
              <w:t>%</w:t>
            </w:r>
          </w:p>
          <w:p w:rsidR="00D42474" w:rsidRDefault="00D42474" w:rsidP="001A5BF9">
            <w:pPr>
              <w:ind w:left="131"/>
              <w:rPr>
                <w:rFonts w:cs="Arial"/>
                <w:sz w:val="8"/>
                <w:szCs w:val="8"/>
              </w:rPr>
            </w:pPr>
          </w:p>
          <w:p w:rsidR="00D42474" w:rsidRDefault="00C82EE5" w:rsidP="001A5BF9">
            <w:pPr>
              <w:rPr>
                <w:rFonts w:cs="Arial"/>
                <w:sz w:val="16"/>
                <w:szCs w:val="16"/>
              </w:rPr>
            </w:pPr>
            <w:r w:rsidRPr="00933D5A">
              <w:rPr>
                <w:sz w:val="16"/>
              </w:rPr>
              <w:t>En</w:t>
            </w:r>
            <w:r w:rsidR="0010442A" w:rsidRPr="00933D5A">
              <w:rPr>
                <w:sz w:val="16"/>
              </w:rPr>
              <w:t> </w:t>
            </w:r>
            <w:r w:rsidRPr="00933D5A">
              <w:rPr>
                <w:sz w:val="16"/>
              </w:rPr>
              <w:t>2012</w:t>
            </w:r>
            <w:r w:rsidR="0010442A" w:rsidRPr="00933D5A">
              <w:rPr>
                <w:sz w:val="16"/>
              </w:rPr>
              <w:t> </w:t>
            </w:r>
            <w:r w:rsidRPr="00933D5A">
              <w:rPr>
                <w:sz w:val="16"/>
              </w:rPr>
              <w:t>:</w:t>
            </w:r>
          </w:p>
          <w:p w:rsidR="00D42474" w:rsidRDefault="00D42474" w:rsidP="001A5BF9">
            <w:pPr>
              <w:rPr>
                <w:rFonts w:cs="Arial"/>
                <w:sz w:val="8"/>
                <w:szCs w:val="8"/>
              </w:rPr>
            </w:pPr>
          </w:p>
          <w:p w:rsidR="00D42474" w:rsidRDefault="00C82EE5" w:rsidP="001A5BF9">
            <w:pPr>
              <w:ind w:left="131"/>
              <w:rPr>
                <w:rFonts w:cs="Arial"/>
                <w:sz w:val="16"/>
                <w:szCs w:val="16"/>
              </w:rPr>
            </w:pPr>
            <w:r w:rsidRPr="00933D5A">
              <w:rPr>
                <w:spacing w:val="-4"/>
                <w:sz w:val="16"/>
              </w:rPr>
              <w:t>Très satisfaits</w:t>
            </w:r>
            <w:r w:rsidR="0010442A" w:rsidRPr="00933D5A">
              <w:rPr>
                <w:spacing w:val="-4"/>
                <w:sz w:val="16"/>
              </w:rPr>
              <w:t> </w:t>
            </w:r>
            <w:r w:rsidRPr="00933D5A">
              <w:rPr>
                <w:spacing w:val="-4"/>
                <w:sz w:val="16"/>
              </w:rPr>
              <w:t xml:space="preserve">: </w:t>
            </w:r>
            <w:r w:rsidRPr="00933D5A">
              <w:rPr>
                <w:sz w:val="16"/>
              </w:rPr>
              <w:t>31,2</w:t>
            </w:r>
            <w:r w:rsidR="007E442D" w:rsidRPr="00933D5A">
              <w:rPr>
                <w:sz w:val="16"/>
              </w:rPr>
              <w:t>%</w:t>
            </w:r>
            <w:r w:rsidRPr="00933D5A">
              <w:rPr>
                <w:sz w:val="16"/>
              </w:rPr>
              <w:t xml:space="preserve"> </w:t>
            </w:r>
            <w:r w:rsidRPr="00933D5A">
              <w:br/>
            </w:r>
            <w:r w:rsidRPr="00933D5A">
              <w:rPr>
                <w:spacing w:val="-4"/>
                <w:sz w:val="16"/>
              </w:rPr>
              <w:t>satisfaits</w:t>
            </w:r>
            <w:r w:rsidR="0010442A" w:rsidRPr="00933D5A">
              <w:rPr>
                <w:spacing w:val="-4"/>
                <w:sz w:val="16"/>
              </w:rPr>
              <w:t> </w:t>
            </w:r>
            <w:r w:rsidRPr="00933D5A">
              <w:rPr>
                <w:spacing w:val="-4"/>
                <w:sz w:val="16"/>
              </w:rPr>
              <w:t xml:space="preserve">: </w:t>
            </w:r>
            <w:r w:rsidRPr="00933D5A">
              <w:rPr>
                <w:sz w:val="16"/>
              </w:rPr>
              <w:t>48,7</w:t>
            </w:r>
            <w:r w:rsidR="007E442D" w:rsidRPr="00933D5A">
              <w:rPr>
                <w:sz w:val="16"/>
              </w:rPr>
              <w:t>%</w:t>
            </w:r>
            <w:r w:rsidRPr="00933D5A">
              <w:br/>
            </w:r>
            <w:r w:rsidRPr="00933D5A">
              <w:rPr>
                <w:spacing w:val="-4"/>
                <w:sz w:val="16"/>
              </w:rPr>
              <w:t>mécontents</w:t>
            </w:r>
            <w:r w:rsidR="0010442A" w:rsidRPr="00933D5A">
              <w:rPr>
                <w:spacing w:val="-4"/>
                <w:sz w:val="16"/>
              </w:rPr>
              <w:t> </w:t>
            </w:r>
            <w:r w:rsidRPr="00933D5A">
              <w:rPr>
                <w:spacing w:val="-4"/>
                <w:sz w:val="16"/>
              </w:rPr>
              <w:t>:</w:t>
            </w:r>
            <w:r w:rsidRPr="00933D5A">
              <w:rPr>
                <w:sz w:val="16"/>
              </w:rPr>
              <w:t xml:space="preserve"> 17,2</w:t>
            </w:r>
            <w:r w:rsidR="007E442D" w:rsidRPr="00933D5A">
              <w:rPr>
                <w:sz w:val="16"/>
              </w:rPr>
              <w:t>%</w:t>
            </w:r>
            <w:r w:rsidRPr="00933D5A">
              <w:br/>
            </w:r>
            <w:r w:rsidRPr="00933D5A">
              <w:rPr>
                <w:spacing w:val="-4"/>
                <w:sz w:val="16"/>
              </w:rPr>
              <w:t>très mécontents</w:t>
            </w:r>
            <w:r w:rsidR="0010442A" w:rsidRPr="00933D5A">
              <w:rPr>
                <w:spacing w:val="-4"/>
                <w:sz w:val="16"/>
              </w:rPr>
              <w:t> </w:t>
            </w:r>
            <w:r w:rsidRPr="00933D5A">
              <w:rPr>
                <w:spacing w:val="-4"/>
                <w:sz w:val="16"/>
              </w:rPr>
              <w:t xml:space="preserve">: </w:t>
            </w:r>
            <w:r w:rsidRPr="00933D5A">
              <w:rPr>
                <w:sz w:val="16"/>
              </w:rPr>
              <w:t>2,9</w:t>
            </w:r>
            <w:r w:rsidR="007E442D" w:rsidRPr="00933D5A">
              <w:rPr>
                <w:sz w:val="16"/>
              </w:rPr>
              <w:t>%</w:t>
            </w:r>
          </w:p>
          <w:p w:rsidR="00D42474" w:rsidRDefault="00D42474" w:rsidP="001A5BF9">
            <w:pPr>
              <w:ind w:left="131"/>
              <w:rPr>
                <w:rFonts w:cs="Arial"/>
                <w:sz w:val="8"/>
                <w:szCs w:val="8"/>
              </w:rPr>
            </w:pPr>
          </w:p>
          <w:p w:rsidR="00D42474" w:rsidRDefault="00C82EE5" w:rsidP="001A5BF9">
            <w:pPr>
              <w:rPr>
                <w:rFonts w:cs="Arial"/>
                <w:sz w:val="16"/>
                <w:szCs w:val="16"/>
              </w:rPr>
            </w:pPr>
            <w:r w:rsidRPr="00933D5A">
              <w:rPr>
                <w:sz w:val="16"/>
              </w:rPr>
              <w:t>En</w:t>
            </w:r>
            <w:r w:rsidR="0010442A" w:rsidRPr="00933D5A">
              <w:rPr>
                <w:sz w:val="16"/>
              </w:rPr>
              <w:t> </w:t>
            </w:r>
            <w:r w:rsidRPr="00933D5A">
              <w:rPr>
                <w:sz w:val="16"/>
              </w:rPr>
              <w:t>2013</w:t>
            </w:r>
            <w:r w:rsidR="0010442A" w:rsidRPr="00933D5A">
              <w:rPr>
                <w:sz w:val="16"/>
              </w:rPr>
              <w:t> </w:t>
            </w:r>
            <w:r w:rsidRPr="00933D5A">
              <w:rPr>
                <w:sz w:val="16"/>
              </w:rPr>
              <w:t>:</w:t>
            </w:r>
          </w:p>
          <w:p w:rsidR="00D42474" w:rsidRDefault="00D42474" w:rsidP="001A5BF9">
            <w:pPr>
              <w:rPr>
                <w:rFonts w:cs="Arial"/>
                <w:sz w:val="8"/>
                <w:szCs w:val="8"/>
              </w:rPr>
            </w:pPr>
          </w:p>
          <w:p w:rsidR="00D42474" w:rsidRDefault="00C82EE5" w:rsidP="001A5BF9">
            <w:pPr>
              <w:ind w:left="131"/>
              <w:rPr>
                <w:rFonts w:cs="Arial"/>
                <w:sz w:val="16"/>
                <w:szCs w:val="16"/>
              </w:rPr>
            </w:pPr>
            <w:r w:rsidRPr="00933D5A">
              <w:rPr>
                <w:spacing w:val="-4"/>
                <w:sz w:val="16"/>
              </w:rPr>
              <w:t>Très satisfaits</w:t>
            </w:r>
            <w:r w:rsidR="0010442A" w:rsidRPr="00933D5A">
              <w:rPr>
                <w:spacing w:val="-4"/>
                <w:sz w:val="16"/>
              </w:rPr>
              <w:t> </w:t>
            </w:r>
            <w:r w:rsidRPr="00933D5A">
              <w:rPr>
                <w:spacing w:val="-4"/>
                <w:sz w:val="16"/>
              </w:rPr>
              <w:t xml:space="preserve">: </w:t>
            </w:r>
            <w:r w:rsidRPr="00933D5A">
              <w:rPr>
                <w:sz w:val="16"/>
              </w:rPr>
              <w:t>31,2</w:t>
            </w:r>
            <w:r w:rsidR="007E442D" w:rsidRPr="00933D5A">
              <w:rPr>
                <w:sz w:val="16"/>
              </w:rPr>
              <w:t>%</w:t>
            </w:r>
            <w:r w:rsidRPr="00933D5A">
              <w:rPr>
                <w:sz w:val="16"/>
              </w:rPr>
              <w:t xml:space="preserve"> </w:t>
            </w:r>
            <w:r w:rsidRPr="00933D5A">
              <w:br/>
            </w:r>
            <w:r w:rsidRPr="00933D5A">
              <w:rPr>
                <w:spacing w:val="-4"/>
                <w:sz w:val="16"/>
              </w:rPr>
              <w:t>satisfaits</w:t>
            </w:r>
            <w:r w:rsidR="0010442A" w:rsidRPr="00933D5A">
              <w:rPr>
                <w:spacing w:val="-4"/>
                <w:sz w:val="16"/>
              </w:rPr>
              <w:t> </w:t>
            </w:r>
            <w:r w:rsidRPr="00933D5A">
              <w:rPr>
                <w:spacing w:val="-4"/>
                <w:sz w:val="16"/>
              </w:rPr>
              <w:t xml:space="preserve">: </w:t>
            </w:r>
            <w:r w:rsidRPr="00933D5A">
              <w:rPr>
                <w:sz w:val="16"/>
              </w:rPr>
              <w:t>46,2</w:t>
            </w:r>
            <w:r w:rsidR="007E442D" w:rsidRPr="00933D5A">
              <w:rPr>
                <w:sz w:val="16"/>
              </w:rPr>
              <w:t>%</w:t>
            </w:r>
            <w:r w:rsidRPr="00933D5A">
              <w:br/>
            </w:r>
            <w:r w:rsidRPr="00933D5A">
              <w:rPr>
                <w:spacing w:val="-4"/>
                <w:sz w:val="16"/>
              </w:rPr>
              <w:t>mécontents</w:t>
            </w:r>
            <w:r w:rsidR="0010442A" w:rsidRPr="00933D5A">
              <w:rPr>
                <w:spacing w:val="-4"/>
                <w:sz w:val="16"/>
              </w:rPr>
              <w:t> </w:t>
            </w:r>
            <w:r w:rsidRPr="00933D5A">
              <w:rPr>
                <w:spacing w:val="-4"/>
                <w:sz w:val="16"/>
              </w:rPr>
              <w:t>:</w:t>
            </w:r>
            <w:r w:rsidRPr="00933D5A">
              <w:rPr>
                <w:sz w:val="16"/>
              </w:rPr>
              <w:t xml:space="preserve"> 18,9</w:t>
            </w:r>
            <w:r w:rsidR="007E442D" w:rsidRPr="00933D5A">
              <w:rPr>
                <w:sz w:val="16"/>
              </w:rPr>
              <w:t>%</w:t>
            </w:r>
            <w:r w:rsidRPr="00933D5A">
              <w:br/>
            </w:r>
            <w:r w:rsidRPr="00933D5A">
              <w:rPr>
                <w:spacing w:val="-4"/>
                <w:sz w:val="16"/>
              </w:rPr>
              <w:t>très mécontents</w:t>
            </w:r>
            <w:r w:rsidR="0010442A" w:rsidRPr="00933D5A">
              <w:rPr>
                <w:spacing w:val="-4"/>
                <w:sz w:val="16"/>
              </w:rPr>
              <w:t> </w:t>
            </w:r>
            <w:r w:rsidRPr="00933D5A">
              <w:rPr>
                <w:spacing w:val="-4"/>
                <w:sz w:val="16"/>
              </w:rPr>
              <w:t xml:space="preserve">: </w:t>
            </w:r>
            <w:r w:rsidRPr="00933D5A">
              <w:rPr>
                <w:sz w:val="16"/>
              </w:rPr>
              <w:t>3,7</w:t>
            </w:r>
            <w:r w:rsidR="007E442D" w:rsidRPr="00933D5A">
              <w:rPr>
                <w:sz w:val="16"/>
              </w:rPr>
              <w:t>%</w:t>
            </w:r>
          </w:p>
          <w:p w:rsidR="00C82EE5" w:rsidRPr="005C7CCE" w:rsidRDefault="00C82EE5" w:rsidP="001A5BF9">
            <w:pPr>
              <w:ind w:left="131"/>
              <w:rPr>
                <w:rFonts w:cs="Arial"/>
                <w:color w:val="008000"/>
                <w:sz w:val="16"/>
                <w:szCs w:val="16"/>
              </w:rPr>
            </w:pPr>
          </w:p>
        </w:tc>
        <w:tc>
          <w:tcPr>
            <w:tcW w:w="680" w:type="pct"/>
            <w:tcBorders>
              <w:bottom w:val="single" w:sz="4" w:space="0" w:color="auto"/>
            </w:tcBorders>
            <w:shd w:val="clear" w:color="auto" w:fill="auto"/>
            <w:tcMar>
              <w:top w:w="110" w:type="dxa"/>
            </w:tcMar>
          </w:tcPr>
          <w:p w:rsidR="00C82EE5" w:rsidRPr="005C7CCE" w:rsidRDefault="0015421B" w:rsidP="001A5BF9">
            <w:pPr>
              <w:jc w:val="center"/>
              <w:rPr>
                <w:rFonts w:cs="Arial"/>
                <w:bCs/>
                <w:color w:val="008000"/>
                <w:sz w:val="16"/>
                <w:szCs w:val="16"/>
              </w:rPr>
            </w:pPr>
            <w:r w:rsidRPr="0015421B">
              <w:rPr>
                <w:color w:val="E36C0A"/>
                <w:sz w:val="16"/>
              </w:rPr>
              <w:t>Objectif partiellement atteint</w:t>
            </w:r>
          </w:p>
        </w:tc>
      </w:tr>
      <w:tr w:rsidR="00C82EE5" w:rsidRPr="002D02F3" w:rsidTr="0056083E">
        <w:tc>
          <w:tcPr>
            <w:tcW w:w="5000" w:type="pct"/>
            <w:gridSpan w:val="8"/>
            <w:tcBorders>
              <w:top w:val="single" w:sz="4" w:space="0" w:color="auto"/>
              <w:bottom w:val="single" w:sz="4" w:space="0" w:color="auto"/>
            </w:tcBorders>
            <w:shd w:val="clear" w:color="auto" w:fill="CCFFFF"/>
            <w:vAlign w:val="center"/>
          </w:tcPr>
          <w:p w:rsidR="00C82EE5" w:rsidRPr="002D02F3" w:rsidRDefault="00C82EE5" w:rsidP="001A5BF9">
            <w:pPr>
              <w:tabs>
                <w:tab w:val="left" w:pos="1452"/>
              </w:tabs>
              <w:spacing w:before="120" w:after="120"/>
              <w:ind w:left="1701" w:hanging="1701"/>
              <w:jc w:val="both"/>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Effectifs gérés correctement, diversifiés, motivés et qualifiés</w:t>
            </w:r>
          </w:p>
        </w:tc>
      </w:tr>
      <w:tr w:rsidR="00C82EE5" w:rsidRPr="002D02F3" w:rsidTr="0056083E">
        <w:tc>
          <w:tcPr>
            <w:tcW w:w="860" w:type="pct"/>
            <w:tcBorders>
              <w:top w:val="single" w:sz="4" w:space="0" w:color="auto"/>
            </w:tcBorders>
            <w:shd w:val="clear" w:color="auto" w:fill="auto"/>
            <w:vAlign w:val="center"/>
          </w:tcPr>
          <w:p w:rsidR="00C82EE5" w:rsidRPr="002D02F3" w:rsidRDefault="00C82EE5" w:rsidP="00933D5A">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1033" w:type="pct"/>
            <w:gridSpan w:val="2"/>
            <w:tcBorders>
              <w:top w:val="single" w:sz="4" w:space="0" w:color="auto"/>
            </w:tcBorders>
            <w:shd w:val="clear" w:color="auto" w:fill="auto"/>
            <w:vAlign w:val="center"/>
          </w:tcPr>
          <w:p w:rsidR="00C82EE5" w:rsidRPr="002D02F3" w:rsidRDefault="00C82EE5" w:rsidP="00933D5A">
            <w:pPr>
              <w:rPr>
                <w:rFonts w:cs="Arial"/>
                <w:b/>
                <w:bCs/>
                <w:sz w:val="16"/>
                <w:szCs w:val="16"/>
              </w:rPr>
            </w:pPr>
            <w:r w:rsidRPr="002D02F3">
              <w:rPr>
                <w:b/>
                <w:sz w:val="16"/>
              </w:rPr>
              <w:t>Niveaux de référence</w:t>
            </w:r>
          </w:p>
        </w:tc>
        <w:tc>
          <w:tcPr>
            <w:tcW w:w="782" w:type="pct"/>
            <w:gridSpan w:val="2"/>
            <w:tcBorders>
              <w:top w:val="single" w:sz="4" w:space="0" w:color="auto"/>
            </w:tcBorders>
            <w:shd w:val="clear" w:color="auto" w:fill="auto"/>
            <w:tcMar>
              <w:top w:w="110" w:type="dxa"/>
            </w:tcMar>
            <w:vAlign w:val="center"/>
          </w:tcPr>
          <w:p w:rsidR="00C82EE5" w:rsidRPr="002D02F3" w:rsidRDefault="00C82EE5" w:rsidP="00933D5A">
            <w:pPr>
              <w:rPr>
                <w:rFonts w:cs="Arial"/>
                <w:b/>
                <w:sz w:val="16"/>
                <w:szCs w:val="16"/>
              </w:rPr>
            </w:pPr>
            <w:r w:rsidRPr="002D02F3">
              <w:rPr>
                <w:b/>
                <w:sz w:val="16"/>
              </w:rPr>
              <w:t>Objectifs visés</w:t>
            </w:r>
          </w:p>
        </w:tc>
        <w:tc>
          <w:tcPr>
            <w:tcW w:w="1645" w:type="pct"/>
            <w:gridSpan w:val="2"/>
            <w:tcBorders>
              <w:top w:val="single" w:sz="4" w:space="0" w:color="auto"/>
            </w:tcBorders>
            <w:shd w:val="clear" w:color="auto" w:fill="FFFFFF"/>
            <w:tcMar>
              <w:top w:w="110" w:type="dxa"/>
            </w:tcMar>
            <w:vAlign w:val="center"/>
          </w:tcPr>
          <w:p w:rsidR="00C82EE5" w:rsidRPr="002D02F3" w:rsidRDefault="00C82EE5" w:rsidP="00933D5A">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0" w:type="pct"/>
            <w:tcBorders>
              <w:top w:val="single" w:sz="4" w:space="0" w:color="auto"/>
            </w:tcBorders>
            <w:shd w:val="clear" w:color="auto" w:fill="auto"/>
            <w:tcMar>
              <w:top w:w="110" w:type="dxa"/>
            </w:tcMar>
            <w:vAlign w:val="center"/>
          </w:tcPr>
          <w:p w:rsidR="00C82EE5" w:rsidRPr="002D02F3" w:rsidRDefault="00C82EE5" w:rsidP="001A5BF9">
            <w:pPr>
              <w:jc w:val="center"/>
              <w:rPr>
                <w:rFonts w:cs="Arial"/>
                <w:b/>
                <w:bCs/>
                <w:sz w:val="16"/>
                <w:szCs w:val="16"/>
              </w:rPr>
            </w:pPr>
            <w:r w:rsidRPr="002D02F3">
              <w:rPr>
                <w:b/>
                <w:sz w:val="16"/>
              </w:rPr>
              <w:t>Code de couleurs</w:t>
            </w:r>
          </w:p>
        </w:tc>
      </w:tr>
      <w:tr w:rsidR="00C82EE5" w:rsidRPr="005C7CCE" w:rsidTr="0056083E">
        <w:tc>
          <w:tcPr>
            <w:tcW w:w="860" w:type="pct"/>
            <w:shd w:val="clear" w:color="auto" w:fill="auto"/>
          </w:tcPr>
          <w:p w:rsidR="00C82EE5" w:rsidRPr="005C7CCE" w:rsidRDefault="00C82EE5" w:rsidP="001A5BF9">
            <w:pPr>
              <w:rPr>
                <w:rFonts w:cs="Arial"/>
                <w:color w:val="008000"/>
                <w:sz w:val="16"/>
                <w:szCs w:val="16"/>
              </w:rPr>
            </w:pPr>
            <w:r w:rsidRPr="00933D5A">
              <w:rPr>
                <w:sz w:val="16"/>
              </w:rPr>
              <w:t>Pourcentage du personnel dont le travail est évalué en fonction de leurs objectifs et de leurs compétences individuels</w:t>
            </w:r>
          </w:p>
        </w:tc>
        <w:tc>
          <w:tcPr>
            <w:tcW w:w="1033" w:type="pct"/>
            <w:gridSpan w:val="2"/>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92</w:t>
            </w:r>
            <w:r w:rsidR="007E442D" w:rsidRPr="005C7CCE">
              <w:rPr>
                <w:color w:val="002060"/>
                <w:sz w:val="16"/>
              </w:rPr>
              <w:t>%</w:t>
            </w:r>
          </w:p>
          <w:p w:rsidR="00D42474" w:rsidRDefault="00D42474" w:rsidP="001A5BF9">
            <w:pPr>
              <w:rPr>
                <w:rFonts w:cs="Arial"/>
                <w:i/>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62</w:t>
            </w:r>
            <w:r w:rsidR="007E442D" w:rsidRPr="005C7CCE">
              <w:rPr>
                <w:sz w:val="16"/>
              </w:rPr>
              <w:t>%</w:t>
            </w:r>
          </w:p>
        </w:tc>
        <w:tc>
          <w:tcPr>
            <w:tcW w:w="782" w:type="pct"/>
            <w:gridSpan w:val="2"/>
            <w:shd w:val="clear" w:color="auto" w:fill="auto"/>
            <w:tcMar>
              <w:top w:w="110" w:type="dxa"/>
            </w:tcMar>
          </w:tcPr>
          <w:p w:rsidR="00C82EE5" w:rsidRPr="005C7CCE" w:rsidRDefault="00C82EE5" w:rsidP="001A5BF9">
            <w:pPr>
              <w:rPr>
                <w:rFonts w:cs="Arial"/>
                <w:sz w:val="16"/>
                <w:szCs w:val="16"/>
                <w:lang w:bidi="th-TH"/>
              </w:rPr>
            </w:pPr>
            <w:r w:rsidRPr="005C7CCE">
              <w:rPr>
                <w:rFonts w:ascii="ArialMT" w:hAnsi="ArialMT"/>
                <w:sz w:val="16"/>
              </w:rPr>
              <w:t>90</w:t>
            </w:r>
            <w:r w:rsidR="007E442D" w:rsidRPr="005C7CCE">
              <w:rPr>
                <w:rFonts w:ascii="ArialMT" w:hAnsi="ArialMT"/>
                <w:sz w:val="16"/>
              </w:rPr>
              <w:t>%</w:t>
            </w:r>
          </w:p>
        </w:tc>
        <w:tc>
          <w:tcPr>
            <w:tcW w:w="1645" w:type="pct"/>
            <w:gridSpan w:val="2"/>
            <w:shd w:val="clear" w:color="auto" w:fill="FFFFFF"/>
            <w:tcMar>
              <w:top w:w="110" w:type="dxa"/>
            </w:tcMar>
          </w:tcPr>
          <w:p w:rsidR="00D42474" w:rsidRDefault="00C82EE5" w:rsidP="001A5BF9">
            <w:pPr>
              <w:rPr>
                <w:rFonts w:cs="Arial"/>
                <w:sz w:val="16"/>
                <w:szCs w:val="16"/>
              </w:rPr>
            </w:pPr>
            <w:r w:rsidRPr="005C7CCE">
              <w:rPr>
                <w:sz w:val="16"/>
                <w:szCs w:val="16"/>
              </w:rPr>
              <w:t>Exercice biennal : 90,75</w:t>
            </w:r>
            <w:r w:rsidR="007E442D" w:rsidRPr="005C7CCE">
              <w:rPr>
                <w:sz w:val="16"/>
                <w:szCs w:val="16"/>
              </w:rPr>
              <w:t>%</w:t>
            </w:r>
            <w:r w:rsidRPr="005C7CCE">
              <w:rPr>
                <w:sz w:val="16"/>
                <w:szCs w:val="16"/>
              </w:rPr>
              <w:t xml:space="preserve"> des membres du personnel couverts au titre du PMSDS ont été évalués au regard d</w:t>
            </w:r>
            <w:r w:rsidR="00A20444" w:rsidRPr="005C7CCE">
              <w:rPr>
                <w:sz w:val="16"/>
                <w:szCs w:val="16"/>
              </w:rPr>
              <w:t>’</w:t>
            </w:r>
            <w:r w:rsidRPr="005C7CCE">
              <w:rPr>
                <w:sz w:val="16"/>
                <w:szCs w:val="16"/>
              </w:rPr>
              <w:t>objectifs et de compétences individuels</w:t>
            </w:r>
            <w:r w:rsidRPr="005C7CCE">
              <w:rPr>
                <w:sz w:val="16"/>
                <w:szCs w:val="16"/>
              </w:rPr>
              <w:br/>
            </w:r>
          </w:p>
          <w:p w:rsidR="00D42474" w:rsidRDefault="00C82EE5" w:rsidP="001A5BF9">
            <w:pPr>
              <w:pStyle w:val="Paragraphedeliste"/>
              <w:numPr>
                <w:ilvl w:val="0"/>
                <w:numId w:val="61"/>
              </w:numPr>
              <w:ind w:left="273" w:hanging="284"/>
              <w:rPr>
                <w:rFonts w:cs="Arial"/>
                <w:sz w:val="16"/>
                <w:szCs w:val="16"/>
              </w:rPr>
            </w:pPr>
            <w:r w:rsidRPr="005C7CCE">
              <w:rPr>
                <w:sz w:val="16"/>
                <w:szCs w:val="16"/>
              </w:rPr>
              <w:t>2012 : 91</w:t>
            </w:r>
            <w:r w:rsidR="007E442D" w:rsidRPr="005C7CCE">
              <w:rPr>
                <w:sz w:val="16"/>
                <w:szCs w:val="16"/>
              </w:rPr>
              <w:t>%</w:t>
            </w:r>
            <w:r w:rsidRPr="005C7CCE">
              <w:rPr>
                <w:sz w:val="16"/>
                <w:szCs w:val="16"/>
              </w:rPr>
              <w:t xml:space="preserve"> des membres du personnel couverts au titre du PMSDS ont été évalués au regard d</w:t>
            </w:r>
            <w:r w:rsidR="00A20444" w:rsidRPr="005C7CCE">
              <w:rPr>
                <w:sz w:val="16"/>
                <w:szCs w:val="16"/>
              </w:rPr>
              <w:t>’</w:t>
            </w:r>
            <w:r w:rsidRPr="005C7CCE">
              <w:rPr>
                <w:sz w:val="16"/>
                <w:szCs w:val="16"/>
              </w:rPr>
              <w:t xml:space="preserve">objectifs et de compétences </w:t>
            </w:r>
            <w:proofErr w:type="gramStart"/>
            <w:r w:rsidRPr="005C7CCE">
              <w:rPr>
                <w:sz w:val="16"/>
                <w:szCs w:val="16"/>
              </w:rPr>
              <w:t>individuels</w:t>
            </w:r>
            <w:proofErr w:type="gramEnd"/>
            <w:r w:rsidRPr="005C7CCE">
              <w:rPr>
                <w:rStyle w:val="FootnoteReference"/>
                <w:sz w:val="16"/>
                <w:szCs w:val="16"/>
              </w:rPr>
              <w:t xml:space="preserve"> </w:t>
            </w:r>
            <w:r w:rsidRPr="005C7CCE">
              <w:rPr>
                <w:sz w:val="16"/>
                <w:szCs w:val="16"/>
              </w:rPr>
              <w:t>(à fin avril 2012)</w:t>
            </w:r>
          </w:p>
          <w:p w:rsidR="00C82EE5" w:rsidRPr="005C7CCE" w:rsidRDefault="00C82EE5" w:rsidP="001A5BF9">
            <w:pPr>
              <w:pStyle w:val="Paragraphedeliste"/>
              <w:numPr>
                <w:ilvl w:val="0"/>
                <w:numId w:val="61"/>
              </w:numPr>
              <w:ind w:left="273" w:hanging="284"/>
              <w:rPr>
                <w:sz w:val="16"/>
                <w:szCs w:val="16"/>
              </w:rPr>
            </w:pPr>
            <w:r w:rsidRPr="005C7CCE">
              <w:rPr>
                <w:sz w:val="16"/>
                <w:szCs w:val="16"/>
              </w:rPr>
              <w:t>2013 : 90,5</w:t>
            </w:r>
            <w:r w:rsidR="007E442D" w:rsidRPr="005C7CCE">
              <w:rPr>
                <w:sz w:val="16"/>
                <w:szCs w:val="16"/>
              </w:rPr>
              <w:t>%</w:t>
            </w:r>
            <w:r w:rsidRPr="005C7CCE">
              <w:rPr>
                <w:sz w:val="16"/>
                <w:szCs w:val="16"/>
              </w:rPr>
              <w:t xml:space="preserve"> des membres du personnel couverts au titre du PMSDS ont été évalués au regard d</w:t>
            </w:r>
            <w:r w:rsidR="00A20444" w:rsidRPr="005C7CCE">
              <w:rPr>
                <w:sz w:val="16"/>
                <w:szCs w:val="16"/>
              </w:rPr>
              <w:t>’</w:t>
            </w:r>
            <w:r w:rsidRPr="005C7CCE">
              <w:rPr>
                <w:sz w:val="16"/>
                <w:szCs w:val="16"/>
              </w:rPr>
              <w:t>objectifs et de compétences individuels (à fin avril 2013)</w:t>
            </w:r>
          </w:p>
        </w:tc>
        <w:tc>
          <w:tcPr>
            <w:tcW w:w="680" w:type="pct"/>
            <w:shd w:val="clear" w:color="auto" w:fill="auto"/>
            <w:tcMar>
              <w:top w:w="110" w:type="dxa"/>
            </w:tcMar>
          </w:tcPr>
          <w:p w:rsidR="00C82EE5" w:rsidRPr="005C7CCE" w:rsidRDefault="00C82EE5" w:rsidP="001A5BF9">
            <w:pPr>
              <w:jc w:val="center"/>
              <w:rPr>
                <w:rFonts w:cs="Arial"/>
                <w:bCs/>
                <w:color w:val="008000"/>
                <w:sz w:val="16"/>
                <w:szCs w:val="16"/>
              </w:rPr>
            </w:pPr>
            <w:r w:rsidRPr="00B470C6">
              <w:rPr>
                <w:color w:val="008000"/>
                <w:sz w:val="16"/>
              </w:rPr>
              <w:t>Objectif pleinement atteint</w:t>
            </w:r>
          </w:p>
        </w:tc>
      </w:tr>
      <w:tr w:rsidR="00C82EE5" w:rsidRPr="005C7CCE" w:rsidTr="0056083E">
        <w:tc>
          <w:tcPr>
            <w:tcW w:w="860" w:type="pct"/>
            <w:shd w:val="clear" w:color="auto" w:fill="auto"/>
          </w:tcPr>
          <w:p w:rsidR="00C82EE5" w:rsidRPr="00933D5A" w:rsidRDefault="00C82EE5" w:rsidP="001A5BF9">
            <w:pPr>
              <w:pageBreakBefore/>
              <w:rPr>
                <w:rFonts w:cs="Arial"/>
                <w:sz w:val="16"/>
                <w:szCs w:val="16"/>
              </w:rPr>
            </w:pPr>
            <w:r w:rsidRPr="00933D5A">
              <w:rPr>
                <w:sz w:val="16"/>
              </w:rPr>
              <w:t>Délai de recrutement</w:t>
            </w:r>
          </w:p>
        </w:tc>
        <w:tc>
          <w:tcPr>
            <w:tcW w:w="1033" w:type="pct"/>
            <w:gridSpan w:val="2"/>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37,7 semaines</w:t>
            </w:r>
          </w:p>
          <w:p w:rsidR="00D42474" w:rsidRDefault="00D42474" w:rsidP="001A5BF9">
            <w:pPr>
              <w:rPr>
                <w:rFonts w:cs="Arial"/>
                <w:i/>
                <w:color w:val="002060"/>
                <w:sz w:val="16"/>
                <w:szCs w:val="16"/>
              </w:rPr>
            </w:pPr>
          </w:p>
          <w:p w:rsidR="00D42474"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24 semaines</w:t>
            </w:r>
          </w:p>
          <w:p w:rsidR="00C82EE5" w:rsidRPr="005C7CCE" w:rsidRDefault="00C82EE5" w:rsidP="001A5BF9">
            <w:pPr>
              <w:rPr>
                <w:rFonts w:cs="Arial"/>
                <w:sz w:val="16"/>
                <w:szCs w:val="16"/>
              </w:rPr>
            </w:pPr>
          </w:p>
        </w:tc>
        <w:tc>
          <w:tcPr>
            <w:tcW w:w="782" w:type="pct"/>
            <w:gridSpan w:val="2"/>
            <w:shd w:val="clear" w:color="auto" w:fill="auto"/>
            <w:tcMar>
              <w:top w:w="110" w:type="dxa"/>
            </w:tcMar>
          </w:tcPr>
          <w:p w:rsidR="00C82EE5" w:rsidRPr="00933D5A" w:rsidRDefault="00C82EE5" w:rsidP="001A5BF9">
            <w:pPr>
              <w:rPr>
                <w:rFonts w:cs="Arial"/>
                <w:sz w:val="16"/>
                <w:szCs w:val="16"/>
              </w:rPr>
            </w:pPr>
            <w:r w:rsidRPr="00933D5A">
              <w:rPr>
                <w:sz w:val="16"/>
              </w:rPr>
              <w:t>21 semaines</w:t>
            </w:r>
          </w:p>
        </w:tc>
        <w:tc>
          <w:tcPr>
            <w:tcW w:w="1645" w:type="pct"/>
            <w:gridSpan w:val="2"/>
            <w:shd w:val="clear" w:color="auto" w:fill="FFFFFF"/>
            <w:tcMar>
              <w:top w:w="110" w:type="dxa"/>
            </w:tcMar>
          </w:tcPr>
          <w:p w:rsidR="00D42474" w:rsidRDefault="00C82EE5" w:rsidP="001A5BF9">
            <w:pPr>
              <w:rPr>
                <w:rFonts w:cs="Arial"/>
                <w:sz w:val="16"/>
                <w:szCs w:val="16"/>
              </w:rPr>
            </w:pPr>
            <w:r w:rsidRPr="00933D5A">
              <w:rPr>
                <w:sz w:val="16"/>
              </w:rPr>
              <w:t>Moyenne de l</w:t>
            </w:r>
            <w:r w:rsidR="00A20444" w:rsidRPr="00933D5A">
              <w:rPr>
                <w:sz w:val="16"/>
              </w:rPr>
              <w:t>’</w:t>
            </w:r>
            <w:r w:rsidRPr="00933D5A">
              <w:rPr>
                <w:sz w:val="16"/>
              </w:rPr>
              <w:t>exercice biennal : 16,03 semaines (au 19 mars 2014)</w:t>
            </w:r>
            <w:r w:rsidRPr="00933D5A">
              <w:br/>
            </w:r>
          </w:p>
          <w:p w:rsidR="00D42474" w:rsidRDefault="00C82EE5" w:rsidP="001A5BF9">
            <w:pPr>
              <w:pStyle w:val="Paragraphedeliste"/>
              <w:numPr>
                <w:ilvl w:val="0"/>
                <w:numId w:val="60"/>
              </w:numPr>
              <w:ind w:left="273" w:hanging="273"/>
              <w:rPr>
                <w:rFonts w:cs="Arial"/>
                <w:sz w:val="16"/>
                <w:szCs w:val="16"/>
              </w:rPr>
            </w:pPr>
            <w:r w:rsidRPr="00933D5A">
              <w:rPr>
                <w:sz w:val="16"/>
              </w:rPr>
              <w:t>2012</w:t>
            </w:r>
            <w:r w:rsidR="0010442A" w:rsidRPr="00933D5A">
              <w:rPr>
                <w:sz w:val="16"/>
              </w:rPr>
              <w:t> </w:t>
            </w:r>
            <w:r w:rsidRPr="00933D5A">
              <w:rPr>
                <w:sz w:val="16"/>
              </w:rPr>
              <w:t>: 16,5 semaines</w:t>
            </w:r>
          </w:p>
          <w:p w:rsidR="00D42474" w:rsidRDefault="00C82EE5" w:rsidP="001A5BF9">
            <w:pPr>
              <w:pStyle w:val="Paragraphedeliste"/>
              <w:numPr>
                <w:ilvl w:val="0"/>
                <w:numId w:val="59"/>
              </w:numPr>
              <w:ind w:left="273" w:hanging="273"/>
              <w:rPr>
                <w:rFonts w:cs="Arial"/>
                <w:sz w:val="16"/>
                <w:szCs w:val="16"/>
              </w:rPr>
            </w:pPr>
            <w:r w:rsidRPr="00933D5A">
              <w:rPr>
                <w:sz w:val="16"/>
              </w:rPr>
              <w:t>2013</w:t>
            </w:r>
            <w:r w:rsidR="0010442A" w:rsidRPr="00933D5A">
              <w:rPr>
                <w:sz w:val="16"/>
              </w:rPr>
              <w:t> </w:t>
            </w:r>
            <w:r w:rsidRPr="00933D5A">
              <w:rPr>
                <w:sz w:val="16"/>
              </w:rPr>
              <w:t>: 15,56 semaines</w:t>
            </w:r>
          </w:p>
          <w:p w:rsidR="00C82EE5" w:rsidRPr="00933D5A" w:rsidRDefault="00C82EE5" w:rsidP="001A5BF9">
            <w:pPr>
              <w:rPr>
                <w:rFonts w:cs="Arial"/>
                <w:sz w:val="16"/>
                <w:szCs w:val="16"/>
              </w:rPr>
            </w:pPr>
          </w:p>
        </w:tc>
        <w:tc>
          <w:tcPr>
            <w:tcW w:w="680" w:type="pct"/>
            <w:shd w:val="clear" w:color="auto" w:fill="auto"/>
            <w:tcMar>
              <w:top w:w="110" w:type="dxa"/>
            </w:tcMar>
          </w:tcPr>
          <w:p w:rsidR="00C82EE5" w:rsidRPr="005C7CCE" w:rsidRDefault="00C82EE5" w:rsidP="001A5BF9">
            <w:pPr>
              <w:jc w:val="center"/>
              <w:rPr>
                <w:rFonts w:cs="Arial"/>
                <w:bCs/>
                <w:color w:val="008000"/>
                <w:sz w:val="16"/>
                <w:szCs w:val="16"/>
              </w:rPr>
            </w:pPr>
            <w:r w:rsidRPr="00B470C6">
              <w:rPr>
                <w:color w:val="008000"/>
                <w:sz w:val="16"/>
              </w:rPr>
              <w:t>Objectif pleinement atteint</w:t>
            </w:r>
          </w:p>
        </w:tc>
      </w:tr>
      <w:tr w:rsidR="00C82EE5" w:rsidRPr="005C7CCE" w:rsidTr="0056083E">
        <w:tc>
          <w:tcPr>
            <w:tcW w:w="860" w:type="pct"/>
            <w:shd w:val="clear" w:color="auto" w:fill="auto"/>
          </w:tcPr>
          <w:p w:rsidR="00C82EE5" w:rsidRPr="00933D5A" w:rsidRDefault="00C82EE5" w:rsidP="001A5BF9">
            <w:pPr>
              <w:keepNext/>
              <w:keepLines/>
              <w:rPr>
                <w:rFonts w:cs="Arial"/>
                <w:sz w:val="16"/>
                <w:szCs w:val="16"/>
              </w:rPr>
            </w:pPr>
            <w:r w:rsidRPr="00933D5A">
              <w:rPr>
                <w:sz w:val="16"/>
              </w:rPr>
              <w:t>Pourcentage de la masse salariale totale consacrée à la formation du personnel</w:t>
            </w:r>
          </w:p>
        </w:tc>
        <w:tc>
          <w:tcPr>
            <w:tcW w:w="1033" w:type="pct"/>
            <w:gridSpan w:val="2"/>
            <w:shd w:val="clear" w:color="auto" w:fill="auto"/>
          </w:tcPr>
          <w:p w:rsidR="00D42474" w:rsidRDefault="00C82EE5" w:rsidP="001A5BF9">
            <w:pPr>
              <w:keepNext/>
              <w:keepLines/>
              <w:rPr>
                <w:rFonts w:cs="Arial"/>
                <w:color w:val="002060"/>
                <w:sz w:val="16"/>
                <w:szCs w:val="16"/>
              </w:rPr>
            </w:pPr>
            <w:r w:rsidRPr="005C7CCE">
              <w:rPr>
                <w:i/>
                <w:color w:val="002060"/>
                <w:sz w:val="16"/>
              </w:rPr>
              <w:t xml:space="preserve">Niveau de référence actualisé fin 2011 : </w:t>
            </w:r>
            <w:r w:rsidRPr="005C7CCE">
              <w:rPr>
                <w:color w:val="002060"/>
                <w:sz w:val="16"/>
              </w:rPr>
              <w:t>0,46</w:t>
            </w:r>
            <w:r w:rsidR="007E442D" w:rsidRPr="005C7CCE">
              <w:rPr>
                <w:color w:val="002060"/>
                <w:sz w:val="16"/>
              </w:rPr>
              <w:t>%</w:t>
            </w:r>
            <w:r w:rsidRPr="005C7CCE">
              <w:rPr>
                <w:color w:val="002060"/>
                <w:sz w:val="16"/>
              </w:rPr>
              <w:t xml:space="preserve"> (</w:t>
            </w:r>
            <w:proofErr w:type="spellStart"/>
            <w:r w:rsidRPr="005C7CCE">
              <w:rPr>
                <w:color w:val="002060"/>
                <w:sz w:val="16"/>
              </w:rPr>
              <w:t>DGRH</w:t>
            </w:r>
            <w:proofErr w:type="spellEnd"/>
            <w:r w:rsidRPr="005C7CCE">
              <w:rPr>
                <w:color w:val="002060"/>
                <w:sz w:val="16"/>
              </w:rPr>
              <w:t>)</w:t>
            </w:r>
          </w:p>
          <w:p w:rsidR="00D42474" w:rsidRDefault="00D42474" w:rsidP="001A5BF9">
            <w:pPr>
              <w:keepNext/>
              <w:keepLines/>
              <w:rPr>
                <w:rFonts w:cs="Arial"/>
                <w:i/>
                <w:sz w:val="8"/>
                <w:szCs w:val="8"/>
              </w:rPr>
            </w:pPr>
          </w:p>
          <w:p w:rsidR="00C82EE5" w:rsidRPr="005C7CCE" w:rsidRDefault="00C82EE5" w:rsidP="001A5BF9">
            <w:pPr>
              <w:keepNext/>
              <w:keepLines/>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0,44</w:t>
            </w:r>
            <w:r w:rsidR="007E442D" w:rsidRPr="005C7CCE">
              <w:rPr>
                <w:sz w:val="16"/>
              </w:rPr>
              <w:t>%</w:t>
            </w:r>
            <w:r w:rsidRPr="005C7CCE">
              <w:rPr>
                <w:sz w:val="16"/>
              </w:rPr>
              <w:t xml:space="preserve"> (janvier 2011, </w:t>
            </w:r>
            <w:proofErr w:type="spellStart"/>
            <w:r w:rsidRPr="005C7CCE">
              <w:rPr>
                <w:sz w:val="16"/>
              </w:rPr>
              <w:t>DGRH</w:t>
            </w:r>
            <w:proofErr w:type="spellEnd"/>
            <w:r w:rsidRPr="005C7CCE">
              <w:rPr>
                <w:sz w:val="16"/>
              </w:rPr>
              <w:t>)</w:t>
            </w:r>
          </w:p>
        </w:tc>
        <w:tc>
          <w:tcPr>
            <w:tcW w:w="782" w:type="pct"/>
            <w:gridSpan w:val="2"/>
            <w:shd w:val="clear" w:color="auto" w:fill="auto"/>
            <w:tcMar>
              <w:top w:w="110" w:type="dxa"/>
            </w:tcMar>
          </w:tcPr>
          <w:p w:rsidR="00C82EE5" w:rsidRPr="005C7CCE" w:rsidRDefault="00C82EE5" w:rsidP="001A5BF9">
            <w:pPr>
              <w:keepNext/>
              <w:keepLines/>
              <w:rPr>
                <w:rFonts w:cs="Arial"/>
                <w:sz w:val="16"/>
                <w:szCs w:val="16"/>
              </w:rPr>
            </w:pPr>
            <w:r w:rsidRPr="005C7CCE">
              <w:rPr>
                <w:rFonts w:ascii="ArialMT" w:hAnsi="ArialMT"/>
                <w:sz w:val="16"/>
              </w:rPr>
              <w:t>1</w:t>
            </w:r>
            <w:r w:rsidR="007E442D" w:rsidRPr="005C7CCE">
              <w:rPr>
                <w:rFonts w:ascii="ArialMT" w:hAnsi="ArialMT"/>
                <w:sz w:val="16"/>
              </w:rPr>
              <w:t>%</w:t>
            </w:r>
          </w:p>
        </w:tc>
        <w:tc>
          <w:tcPr>
            <w:tcW w:w="1645" w:type="pct"/>
            <w:gridSpan w:val="2"/>
            <w:shd w:val="clear" w:color="auto" w:fill="FFFFFF"/>
            <w:tcMar>
              <w:top w:w="110" w:type="dxa"/>
            </w:tcMar>
          </w:tcPr>
          <w:p w:rsidR="00D42474" w:rsidRDefault="00C82EE5" w:rsidP="001A5BF9">
            <w:pPr>
              <w:keepNext/>
              <w:keepLines/>
              <w:rPr>
                <w:rFonts w:cs="Arial"/>
                <w:sz w:val="8"/>
                <w:szCs w:val="8"/>
              </w:rPr>
            </w:pPr>
            <w:r w:rsidRPr="005C7CCE">
              <w:rPr>
                <w:sz w:val="16"/>
              </w:rPr>
              <w:t>2012 : 0,74</w:t>
            </w:r>
            <w:r w:rsidR="007E442D" w:rsidRPr="005C7CCE">
              <w:rPr>
                <w:sz w:val="16"/>
              </w:rPr>
              <w:t>%</w:t>
            </w:r>
            <w:r w:rsidRPr="005C7CCE">
              <w:rPr>
                <w:sz w:val="16"/>
              </w:rPr>
              <w:t xml:space="preserve"> (</w:t>
            </w:r>
            <w:proofErr w:type="spellStart"/>
            <w:r w:rsidRPr="005C7CCE">
              <w:rPr>
                <w:sz w:val="16"/>
              </w:rPr>
              <w:t>DGRH</w:t>
            </w:r>
            <w:proofErr w:type="spellEnd"/>
            <w:r w:rsidRPr="005C7CCE">
              <w:rPr>
                <w:sz w:val="16"/>
              </w:rPr>
              <w:t xml:space="preserve"> et activités de formation financées par l</w:t>
            </w:r>
            <w:r w:rsidR="00A20444" w:rsidRPr="005C7CCE">
              <w:rPr>
                <w:sz w:val="16"/>
              </w:rPr>
              <w:t>’</w:t>
            </w:r>
            <w:proofErr w:type="spellStart"/>
            <w:r w:rsidRPr="005C7CCE">
              <w:rPr>
                <w:sz w:val="16"/>
              </w:rPr>
              <w:t>ICT</w:t>
            </w:r>
            <w:proofErr w:type="spellEnd"/>
            <w:r w:rsidRPr="005C7CCE">
              <w:rPr>
                <w:sz w:val="16"/>
              </w:rPr>
              <w:t>, l</w:t>
            </w:r>
            <w:r w:rsidR="00A20444" w:rsidRPr="005C7CCE">
              <w:rPr>
                <w:sz w:val="16"/>
              </w:rPr>
              <w:t>’</w:t>
            </w:r>
            <w:r w:rsidRPr="005C7CCE">
              <w:rPr>
                <w:sz w:val="16"/>
              </w:rPr>
              <w:t>ERP et le PRS, hors coûts de personnel liés aux activités des formateurs internes)</w:t>
            </w:r>
            <w:r w:rsidRPr="005C7CCE">
              <w:br/>
            </w:r>
          </w:p>
          <w:p w:rsidR="00C82EE5" w:rsidRPr="005C7CCE" w:rsidRDefault="00C82EE5" w:rsidP="001A5BF9">
            <w:pPr>
              <w:keepNext/>
              <w:keepLines/>
              <w:rPr>
                <w:rFonts w:cs="Arial"/>
                <w:sz w:val="16"/>
                <w:szCs w:val="16"/>
              </w:rPr>
            </w:pPr>
            <w:r w:rsidRPr="005C7CCE">
              <w:rPr>
                <w:sz w:val="16"/>
              </w:rPr>
              <w:t>2013 : 0,78</w:t>
            </w:r>
            <w:r w:rsidR="007E442D" w:rsidRPr="005C7CCE">
              <w:rPr>
                <w:sz w:val="16"/>
              </w:rPr>
              <w:t>%</w:t>
            </w:r>
            <w:r w:rsidRPr="005C7CCE">
              <w:rPr>
                <w:sz w:val="16"/>
              </w:rPr>
              <w:t xml:space="preserve"> (dont frais de formation d</w:t>
            </w:r>
            <w:r w:rsidR="00A20444" w:rsidRPr="005C7CCE">
              <w:rPr>
                <w:sz w:val="16"/>
              </w:rPr>
              <w:t>’</w:t>
            </w:r>
            <w:r w:rsidRPr="005C7CCE">
              <w:rPr>
                <w:sz w:val="16"/>
              </w:rPr>
              <w:t>autres secteurs et frais de personnel des formateurs internes)</w:t>
            </w:r>
          </w:p>
        </w:tc>
        <w:tc>
          <w:tcPr>
            <w:tcW w:w="680" w:type="pct"/>
            <w:shd w:val="clear" w:color="auto" w:fill="auto"/>
            <w:tcMar>
              <w:top w:w="110" w:type="dxa"/>
            </w:tcMar>
          </w:tcPr>
          <w:p w:rsidR="00C82EE5" w:rsidRPr="005C7CCE" w:rsidRDefault="0015421B" w:rsidP="001A5BF9">
            <w:pPr>
              <w:keepNext/>
              <w:keepLines/>
              <w:jc w:val="center"/>
              <w:rPr>
                <w:rFonts w:cs="Arial"/>
                <w:bCs/>
                <w:color w:val="008000"/>
                <w:sz w:val="16"/>
                <w:szCs w:val="16"/>
              </w:rPr>
            </w:pPr>
            <w:r w:rsidRPr="0015421B">
              <w:rPr>
                <w:color w:val="E36C0A"/>
                <w:sz w:val="16"/>
              </w:rPr>
              <w:t>Objectif partiellement atteint</w:t>
            </w:r>
          </w:p>
        </w:tc>
      </w:tr>
      <w:tr w:rsidR="00C82EE5" w:rsidRPr="005C7CCE" w:rsidTr="0056083E">
        <w:tc>
          <w:tcPr>
            <w:tcW w:w="860" w:type="pct"/>
            <w:shd w:val="clear" w:color="auto" w:fill="auto"/>
          </w:tcPr>
          <w:p w:rsidR="00C82EE5" w:rsidRPr="00933D5A" w:rsidRDefault="00C82EE5" w:rsidP="001A5BF9">
            <w:pPr>
              <w:keepNext/>
              <w:keepLines/>
              <w:rPr>
                <w:rFonts w:cs="Arial"/>
                <w:sz w:val="16"/>
                <w:szCs w:val="16"/>
              </w:rPr>
            </w:pPr>
            <w:r w:rsidRPr="00933D5A">
              <w:rPr>
                <w:sz w:val="16"/>
              </w:rPr>
              <w:t>Diversité géographique – pourcentage d</w:t>
            </w:r>
            <w:r w:rsidR="00A20444" w:rsidRPr="00933D5A">
              <w:rPr>
                <w:sz w:val="16"/>
              </w:rPr>
              <w:t>’</w:t>
            </w:r>
            <w:r w:rsidRPr="00933D5A">
              <w:rPr>
                <w:sz w:val="16"/>
              </w:rPr>
              <w:t>États membres représentés</w:t>
            </w:r>
          </w:p>
        </w:tc>
        <w:tc>
          <w:tcPr>
            <w:tcW w:w="1033" w:type="pct"/>
            <w:gridSpan w:val="2"/>
            <w:shd w:val="clear" w:color="auto" w:fill="auto"/>
          </w:tcPr>
          <w:p w:rsidR="00D42474" w:rsidRDefault="00C82EE5" w:rsidP="001A5BF9">
            <w:pPr>
              <w:keepNext/>
              <w:keepLines/>
              <w:rPr>
                <w:rFonts w:cs="Arial"/>
                <w:i/>
                <w:color w:val="002060"/>
                <w:sz w:val="16"/>
                <w:szCs w:val="16"/>
              </w:rPr>
            </w:pPr>
            <w:r w:rsidRPr="005C7CCE">
              <w:rPr>
                <w:i/>
                <w:color w:val="002060"/>
                <w:sz w:val="16"/>
              </w:rPr>
              <w:t xml:space="preserve">Niveau de référence actualisé fin 2011 : </w:t>
            </w:r>
            <w:r w:rsidRPr="005C7CCE">
              <w:rPr>
                <w:color w:val="002060"/>
                <w:sz w:val="16"/>
              </w:rPr>
              <w:t>57,8</w:t>
            </w:r>
            <w:r w:rsidR="007E442D" w:rsidRPr="005C7CCE">
              <w:rPr>
                <w:color w:val="002060"/>
                <w:sz w:val="16"/>
              </w:rPr>
              <w:t>%</w:t>
            </w:r>
          </w:p>
          <w:p w:rsidR="00D42474" w:rsidRDefault="00D42474" w:rsidP="001A5BF9">
            <w:pPr>
              <w:keepNext/>
              <w:keepLines/>
              <w:rPr>
                <w:rFonts w:cs="Arial"/>
                <w:i/>
                <w:color w:val="002060"/>
                <w:sz w:val="8"/>
                <w:szCs w:val="8"/>
              </w:rPr>
            </w:pPr>
          </w:p>
          <w:p w:rsidR="00C82EE5" w:rsidRPr="005C7CCE" w:rsidRDefault="00C82EE5" w:rsidP="001A5BF9">
            <w:pPr>
              <w:keepNext/>
              <w:keepLines/>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56,70</w:t>
            </w:r>
            <w:r w:rsidR="007E442D" w:rsidRPr="005C7CCE">
              <w:rPr>
                <w:sz w:val="16"/>
              </w:rPr>
              <w:t>%</w:t>
            </w:r>
          </w:p>
        </w:tc>
        <w:tc>
          <w:tcPr>
            <w:tcW w:w="782" w:type="pct"/>
            <w:gridSpan w:val="2"/>
            <w:shd w:val="clear" w:color="auto" w:fill="auto"/>
            <w:tcMar>
              <w:top w:w="110" w:type="dxa"/>
            </w:tcMar>
          </w:tcPr>
          <w:p w:rsidR="00C82EE5" w:rsidRPr="005C7CCE" w:rsidRDefault="00C82EE5" w:rsidP="001A5BF9">
            <w:pPr>
              <w:keepNext/>
              <w:keepLines/>
              <w:rPr>
                <w:rFonts w:ascii="ArialMT" w:hAnsi="ArialMT" w:cs="ArialMT"/>
                <w:sz w:val="16"/>
                <w:szCs w:val="16"/>
              </w:rPr>
            </w:pPr>
            <w:r w:rsidRPr="005C7CCE">
              <w:rPr>
                <w:rFonts w:ascii="ArialMT" w:hAnsi="ArialMT"/>
                <w:sz w:val="16"/>
              </w:rPr>
              <w:t>60</w:t>
            </w:r>
            <w:r w:rsidR="007E442D" w:rsidRPr="005C7CCE">
              <w:rPr>
                <w:rFonts w:ascii="ArialMT" w:hAnsi="ArialMT"/>
                <w:sz w:val="16"/>
              </w:rPr>
              <w:t>%</w:t>
            </w:r>
          </w:p>
        </w:tc>
        <w:tc>
          <w:tcPr>
            <w:tcW w:w="1645" w:type="pct"/>
            <w:gridSpan w:val="2"/>
            <w:shd w:val="clear" w:color="auto" w:fill="FFFFFF"/>
            <w:tcMar>
              <w:top w:w="110" w:type="dxa"/>
            </w:tcMar>
          </w:tcPr>
          <w:p w:rsidR="00D42474" w:rsidRDefault="00C82EE5" w:rsidP="001A5BF9">
            <w:pPr>
              <w:pStyle w:val="PlainText"/>
              <w:keepNext/>
              <w:keepLines/>
              <w:rPr>
                <w:rFonts w:ascii="Arial" w:hAnsi="Arial" w:cs="Arial"/>
                <w:sz w:val="8"/>
                <w:szCs w:val="8"/>
              </w:rPr>
            </w:pPr>
            <w:r w:rsidRPr="005C7CCE">
              <w:rPr>
                <w:rFonts w:ascii="Arial" w:hAnsi="Arial"/>
                <w:sz w:val="16"/>
              </w:rPr>
              <w:t>2012 : 58,9</w:t>
            </w:r>
            <w:r w:rsidR="007E442D" w:rsidRPr="005C7CCE">
              <w:rPr>
                <w:rFonts w:ascii="Arial" w:hAnsi="Arial"/>
                <w:sz w:val="16"/>
              </w:rPr>
              <w:t>%</w:t>
            </w:r>
            <w:r w:rsidRPr="005C7CCE">
              <w:rPr>
                <w:rFonts w:ascii="Arial" w:hAnsi="Arial"/>
                <w:sz w:val="16"/>
              </w:rPr>
              <w:t xml:space="preserve"> (dont services généraux et personnel linguistique)</w:t>
            </w:r>
            <w:r w:rsidRPr="005C7CCE">
              <w:br/>
            </w:r>
          </w:p>
          <w:p w:rsidR="00C82EE5" w:rsidRPr="005C7CCE" w:rsidRDefault="00C82EE5" w:rsidP="001A5BF9">
            <w:pPr>
              <w:pStyle w:val="PlainText"/>
              <w:keepNext/>
              <w:keepLines/>
              <w:rPr>
                <w:rFonts w:ascii="Arial" w:hAnsi="Arial" w:cs="Arial"/>
                <w:sz w:val="16"/>
                <w:szCs w:val="16"/>
              </w:rPr>
            </w:pPr>
            <w:r w:rsidRPr="005C7CCE">
              <w:rPr>
                <w:rFonts w:ascii="Arial" w:hAnsi="Arial"/>
                <w:sz w:val="16"/>
              </w:rPr>
              <w:t>2013 : 59,3</w:t>
            </w:r>
            <w:r w:rsidR="007E442D" w:rsidRPr="005C7CCE">
              <w:rPr>
                <w:rFonts w:ascii="Arial" w:hAnsi="Arial"/>
                <w:sz w:val="16"/>
              </w:rPr>
              <w:t>%</w:t>
            </w:r>
            <w:r w:rsidRPr="005C7CCE">
              <w:rPr>
                <w:rFonts w:ascii="Arial" w:hAnsi="Arial"/>
                <w:sz w:val="16"/>
              </w:rPr>
              <w:t xml:space="preserve"> (dont services généraux et personnel linguistique)</w:t>
            </w:r>
          </w:p>
        </w:tc>
        <w:tc>
          <w:tcPr>
            <w:tcW w:w="680" w:type="pct"/>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color w:val="008000"/>
                <w:sz w:val="16"/>
              </w:rPr>
              <w:t>Objectif pleinement atteint</w:t>
            </w:r>
          </w:p>
        </w:tc>
      </w:tr>
      <w:tr w:rsidR="00C82EE5" w:rsidRPr="005C7CCE" w:rsidTr="0056083E">
        <w:tc>
          <w:tcPr>
            <w:tcW w:w="860" w:type="pct"/>
            <w:shd w:val="clear" w:color="auto" w:fill="auto"/>
          </w:tcPr>
          <w:p w:rsidR="00C82EE5" w:rsidRPr="00933D5A" w:rsidRDefault="00C82EE5" w:rsidP="001A5BF9">
            <w:pPr>
              <w:rPr>
                <w:rFonts w:cs="Arial"/>
                <w:sz w:val="16"/>
                <w:szCs w:val="16"/>
              </w:rPr>
            </w:pPr>
            <w:r w:rsidRPr="00933D5A">
              <w:rPr>
                <w:sz w:val="16"/>
              </w:rPr>
              <w:t>Pourcentage de femmes dans des postes d</w:t>
            </w:r>
            <w:r w:rsidR="00A20444" w:rsidRPr="00933D5A">
              <w:rPr>
                <w:sz w:val="16"/>
              </w:rPr>
              <w:t>’</w:t>
            </w:r>
            <w:r w:rsidRPr="00933D5A">
              <w:rPr>
                <w:sz w:val="16"/>
              </w:rPr>
              <w:t>administrateur et les catégories supérieures</w:t>
            </w:r>
          </w:p>
        </w:tc>
        <w:tc>
          <w:tcPr>
            <w:tcW w:w="1033" w:type="pct"/>
            <w:gridSpan w:val="2"/>
            <w:shd w:val="clear" w:color="auto" w:fill="auto"/>
          </w:tcPr>
          <w:p w:rsidR="00D42474" w:rsidRDefault="00C82EE5" w:rsidP="001A5BF9">
            <w:pPr>
              <w:rPr>
                <w:i/>
                <w:color w:val="002060"/>
                <w:sz w:val="16"/>
              </w:rPr>
            </w:pPr>
            <w:r w:rsidRPr="00933D5A">
              <w:rPr>
                <w:i/>
                <w:color w:val="002060"/>
                <w:sz w:val="16"/>
              </w:rPr>
              <w:t>Niveau de référence actualisé fin 2011 :</w:t>
            </w:r>
          </w:p>
          <w:p w:rsidR="00D42474" w:rsidRDefault="00C82EE5" w:rsidP="001A5BF9">
            <w:pPr>
              <w:rPr>
                <w:rFonts w:cs="Arial"/>
                <w:color w:val="002060"/>
                <w:sz w:val="16"/>
                <w:szCs w:val="16"/>
              </w:rPr>
            </w:pPr>
            <w:r w:rsidRPr="00933D5A">
              <w:rPr>
                <w:color w:val="002060"/>
                <w:sz w:val="16"/>
              </w:rPr>
              <w:t>P</w:t>
            </w:r>
            <w:r w:rsidR="002D6F2A" w:rsidRPr="00933D5A">
              <w:rPr>
                <w:color w:val="002060"/>
                <w:sz w:val="16"/>
              </w:rPr>
              <w:noBreakHyphen/>
            </w:r>
            <w:r w:rsidRPr="00933D5A">
              <w:rPr>
                <w:color w:val="002060"/>
                <w:sz w:val="16"/>
              </w:rPr>
              <w:t>4 – 43,9</w:t>
            </w:r>
            <w:r w:rsidR="007E442D" w:rsidRPr="00933D5A">
              <w:rPr>
                <w:color w:val="002060"/>
                <w:sz w:val="16"/>
              </w:rPr>
              <w:t>%</w:t>
            </w:r>
            <w:r w:rsidRPr="00933D5A">
              <w:rPr>
                <w:color w:val="002060"/>
              </w:rPr>
              <w:br/>
            </w:r>
            <w:r w:rsidRPr="00933D5A">
              <w:rPr>
                <w:color w:val="002060"/>
                <w:sz w:val="16"/>
              </w:rPr>
              <w:t>P</w:t>
            </w:r>
            <w:r w:rsidR="002D6F2A" w:rsidRPr="00933D5A">
              <w:rPr>
                <w:color w:val="002060"/>
                <w:sz w:val="16"/>
              </w:rPr>
              <w:noBreakHyphen/>
            </w:r>
            <w:r w:rsidRPr="00933D5A">
              <w:rPr>
                <w:color w:val="002060"/>
                <w:sz w:val="16"/>
              </w:rPr>
              <w:t>5 – 31,9</w:t>
            </w:r>
            <w:r w:rsidR="007E442D" w:rsidRPr="00933D5A">
              <w:rPr>
                <w:color w:val="002060"/>
                <w:sz w:val="16"/>
              </w:rPr>
              <w:t>%</w:t>
            </w:r>
            <w:r w:rsidRPr="00933D5A">
              <w:rPr>
                <w:color w:val="002060"/>
              </w:rPr>
              <w:br/>
            </w:r>
            <w:proofErr w:type="spellStart"/>
            <w:r w:rsidRPr="00933D5A">
              <w:rPr>
                <w:color w:val="002060"/>
                <w:sz w:val="16"/>
              </w:rPr>
              <w:t>D</w:t>
            </w:r>
            <w:r w:rsidR="002D6F2A" w:rsidRPr="00933D5A">
              <w:rPr>
                <w:color w:val="002060"/>
                <w:sz w:val="16"/>
              </w:rPr>
              <w:noBreakHyphen/>
            </w:r>
            <w:r w:rsidRPr="00933D5A">
              <w:rPr>
                <w:color w:val="002060"/>
                <w:sz w:val="16"/>
              </w:rPr>
              <w:t>1</w:t>
            </w:r>
            <w:proofErr w:type="spellEnd"/>
            <w:r w:rsidRPr="00933D5A">
              <w:rPr>
                <w:color w:val="002060"/>
                <w:sz w:val="16"/>
              </w:rPr>
              <w:t xml:space="preserve"> – 14,6</w:t>
            </w:r>
            <w:r w:rsidR="007E442D" w:rsidRPr="00933D5A">
              <w:rPr>
                <w:color w:val="002060"/>
                <w:sz w:val="16"/>
              </w:rPr>
              <w:t>%</w:t>
            </w:r>
            <w:r w:rsidRPr="00933D5A">
              <w:rPr>
                <w:color w:val="002060"/>
              </w:rPr>
              <w:br/>
            </w:r>
            <w:r w:rsidRPr="00933D5A">
              <w:rPr>
                <w:color w:val="002060"/>
                <w:sz w:val="16"/>
              </w:rPr>
              <w:t>D</w:t>
            </w:r>
            <w:r w:rsidR="002D6F2A" w:rsidRPr="00933D5A">
              <w:rPr>
                <w:color w:val="002060"/>
                <w:sz w:val="16"/>
              </w:rPr>
              <w:noBreakHyphen/>
            </w:r>
            <w:r w:rsidRPr="00933D5A">
              <w:rPr>
                <w:color w:val="002060"/>
                <w:sz w:val="16"/>
              </w:rPr>
              <w:t>2 – 25,0</w:t>
            </w:r>
            <w:r w:rsidR="007E442D" w:rsidRPr="00933D5A">
              <w:rPr>
                <w:color w:val="002060"/>
                <w:sz w:val="16"/>
              </w:rPr>
              <w:t>%</w:t>
            </w:r>
          </w:p>
          <w:p w:rsidR="00D42474" w:rsidRDefault="00D42474" w:rsidP="001A5BF9">
            <w:pPr>
              <w:rPr>
                <w:rFonts w:cs="Arial"/>
                <w:i/>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 xml:space="preserve">programme et </w:t>
            </w:r>
            <w:r w:rsidR="00667FB3" w:rsidRPr="00933D5A">
              <w:rPr>
                <w:i/>
                <w:sz w:val="16"/>
              </w:rPr>
              <w:t>budget</w:t>
            </w:r>
            <w:r w:rsidRPr="00933D5A">
              <w:rPr>
                <w:i/>
                <w:sz w:val="16"/>
              </w:rPr>
              <w:t> 2012</w:t>
            </w:r>
            <w:r w:rsidR="002D6F2A" w:rsidRPr="00933D5A">
              <w:rPr>
                <w:i/>
                <w:sz w:val="16"/>
              </w:rPr>
              <w:noBreakHyphen/>
            </w:r>
            <w:r w:rsidRPr="00933D5A">
              <w:rPr>
                <w:i/>
                <w:sz w:val="16"/>
              </w:rPr>
              <w:t>2013 :</w:t>
            </w:r>
            <w:r w:rsidRPr="00933D5A">
              <w:br/>
            </w:r>
            <w:r w:rsidRPr="00933D5A">
              <w:rPr>
                <w:sz w:val="16"/>
              </w:rPr>
              <w:t>P</w:t>
            </w:r>
            <w:r w:rsidR="002D6F2A" w:rsidRPr="00933D5A">
              <w:rPr>
                <w:sz w:val="16"/>
              </w:rPr>
              <w:noBreakHyphen/>
            </w:r>
            <w:r w:rsidRPr="00933D5A">
              <w:rPr>
                <w:sz w:val="16"/>
              </w:rPr>
              <w:t>4 – 44,2</w:t>
            </w:r>
            <w:r w:rsidR="007E442D" w:rsidRPr="00933D5A">
              <w:rPr>
                <w:sz w:val="16"/>
              </w:rPr>
              <w:t>%</w:t>
            </w:r>
            <w:r w:rsidRPr="00933D5A">
              <w:rPr>
                <w:sz w:val="16"/>
              </w:rPr>
              <w:t xml:space="preserve"> </w:t>
            </w:r>
            <w:r w:rsidRPr="00933D5A">
              <w:br/>
            </w:r>
            <w:r w:rsidRPr="00933D5A">
              <w:rPr>
                <w:sz w:val="16"/>
              </w:rPr>
              <w:t>P</w:t>
            </w:r>
            <w:r w:rsidR="002D6F2A" w:rsidRPr="00933D5A">
              <w:rPr>
                <w:sz w:val="16"/>
              </w:rPr>
              <w:noBreakHyphen/>
            </w:r>
            <w:r w:rsidRPr="00933D5A">
              <w:rPr>
                <w:sz w:val="16"/>
              </w:rPr>
              <w:t xml:space="preserve">5 </w:t>
            </w:r>
            <w:r w:rsidR="0010442A" w:rsidRPr="00933D5A">
              <w:rPr>
                <w:sz w:val="16"/>
              </w:rPr>
              <w:t>–</w:t>
            </w:r>
            <w:r w:rsidRPr="00933D5A">
              <w:rPr>
                <w:sz w:val="16"/>
              </w:rPr>
              <w:t xml:space="preserve"> 30,9</w:t>
            </w:r>
            <w:r w:rsidR="007E442D" w:rsidRPr="00933D5A">
              <w:rPr>
                <w:sz w:val="16"/>
              </w:rPr>
              <w:t>%</w:t>
            </w:r>
            <w:r w:rsidRPr="00933D5A">
              <w:br/>
            </w:r>
            <w:proofErr w:type="spellStart"/>
            <w:r w:rsidRPr="00933D5A">
              <w:rPr>
                <w:sz w:val="16"/>
              </w:rPr>
              <w:t>D</w:t>
            </w:r>
            <w:r w:rsidR="002D6F2A" w:rsidRPr="00933D5A">
              <w:rPr>
                <w:sz w:val="16"/>
              </w:rPr>
              <w:noBreakHyphen/>
            </w:r>
            <w:r w:rsidRPr="00933D5A">
              <w:rPr>
                <w:sz w:val="16"/>
              </w:rPr>
              <w:t>1</w:t>
            </w:r>
            <w:proofErr w:type="spellEnd"/>
            <w:r w:rsidRPr="00933D5A">
              <w:rPr>
                <w:sz w:val="16"/>
              </w:rPr>
              <w:t xml:space="preserve"> </w:t>
            </w:r>
            <w:r w:rsidR="0010442A" w:rsidRPr="00933D5A">
              <w:rPr>
                <w:sz w:val="16"/>
              </w:rPr>
              <w:t>–</w:t>
            </w:r>
            <w:r w:rsidRPr="00933D5A">
              <w:rPr>
                <w:sz w:val="16"/>
              </w:rPr>
              <w:t xml:space="preserve"> 12,1</w:t>
            </w:r>
            <w:r w:rsidR="007E442D" w:rsidRPr="00933D5A">
              <w:rPr>
                <w:sz w:val="16"/>
              </w:rPr>
              <w:t>%</w:t>
            </w:r>
            <w:r w:rsidRPr="00933D5A">
              <w:br/>
            </w:r>
            <w:r w:rsidRPr="00933D5A">
              <w:rPr>
                <w:sz w:val="16"/>
              </w:rPr>
              <w:t>D</w:t>
            </w:r>
            <w:r w:rsidR="002D6F2A" w:rsidRPr="00933D5A">
              <w:rPr>
                <w:sz w:val="16"/>
              </w:rPr>
              <w:noBreakHyphen/>
            </w:r>
            <w:r w:rsidRPr="00933D5A">
              <w:rPr>
                <w:sz w:val="16"/>
              </w:rPr>
              <w:t>2 – 9,1</w:t>
            </w:r>
            <w:r w:rsidR="007E442D" w:rsidRPr="00933D5A">
              <w:rPr>
                <w:sz w:val="16"/>
              </w:rPr>
              <w:t>%</w:t>
            </w:r>
          </w:p>
        </w:tc>
        <w:tc>
          <w:tcPr>
            <w:tcW w:w="782" w:type="pct"/>
            <w:gridSpan w:val="2"/>
            <w:shd w:val="clear" w:color="auto" w:fill="auto"/>
            <w:tcMar>
              <w:top w:w="110" w:type="dxa"/>
            </w:tcMar>
          </w:tcPr>
          <w:p w:rsidR="00D42474" w:rsidRDefault="00C82EE5" w:rsidP="001A5BF9">
            <w:pPr>
              <w:autoSpaceDE w:val="0"/>
              <w:autoSpaceDN w:val="0"/>
              <w:adjustRightInd w:val="0"/>
              <w:rPr>
                <w:rFonts w:ascii="ArialMT" w:hAnsi="ArialMT" w:cs="ArialMT"/>
                <w:sz w:val="16"/>
                <w:szCs w:val="16"/>
              </w:rPr>
            </w:pPr>
            <w:r w:rsidRPr="005C7CCE">
              <w:rPr>
                <w:rFonts w:ascii="ArialMT" w:hAnsi="ArialMT"/>
                <w:sz w:val="16"/>
              </w:rPr>
              <w:t>50</w:t>
            </w:r>
            <w:r w:rsidR="007E442D" w:rsidRPr="005C7CCE">
              <w:rPr>
                <w:rFonts w:ascii="ArialMT" w:hAnsi="ArialMT"/>
                <w:sz w:val="16"/>
              </w:rPr>
              <w:t>%</w:t>
            </w:r>
            <w:r w:rsidRPr="005C7CCE">
              <w:rPr>
                <w:rFonts w:ascii="ArialMT" w:hAnsi="ArialMT"/>
                <w:sz w:val="16"/>
              </w:rPr>
              <w:t xml:space="preserve"> (selon le chiffre approuvé par l</w:t>
            </w:r>
            <w:r w:rsidR="00A20444" w:rsidRPr="005C7CCE">
              <w:rPr>
                <w:rFonts w:ascii="ArialMT" w:hAnsi="ArialMT"/>
                <w:sz w:val="16"/>
              </w:rPr>
              <w:t>’</w:t>
            </w:r>
            <w:r w:rsidRPr="005C7CCE">
              <w:rPr>
                <w:rFonts w:ascii="ArialMT" w:hAnsi="ArialMT"/>
                <w:sz w:val="16"/>
              </w:rPr>
              <w:t xml:space="preserve">Assemblée générale des </w:t>
            </w:r>
            <w:r w:rsidR="00A20444" w:rsidRPr="005C7CCE">
              <w:rPr>
                <w:rFonts w:ascii="ArialMT" w:hAnsi="ArialMT"/>
                <w:sz w:val="16"/>
              </w:rPr>
              <w:t>Nations Unies</w:t>
            </w:r>
          </w:p>
          <w:p w:rsidR="00C82EE5" w:rsidRPr="005C7CCE" w:rsidRDefault="00C82EE5" w:rsidP="001A5BF9">
            <w:pPr>
              <w:rPr>
                <w:rFonts w:cs="Arial"/>
                <w:sz w:val="16"/>
                <w:szCs w:val="16"/>
              </w:rPr>
            </w:pPr>
            <w:r w:rsidRPr="005C7CCE">
              <w:rPr>
                <w:rFonts w:ascii="ArialMT" w:hAnsi="ArialMT"/>
                <w:sz w:val="16"/>
              </w:rPr>
              <w:t>sur recommandation de la CFPI)</w:t>
            </w:r>
          </w:p>
        </w:tc>
        <w:tc>
          <w:tcPr>
            <w:tcW w:w="1645" w:type="pct"/>
            <w:gridSpan w:val="2"/>
            <w:shd w:val="clear" w:color="auto" w:fill="FFFFFF"/>
            <w:tcMar>
              <w:top w:w="110" w:type="dxa"/>
            </w:tcMar>
          </w:tcPr>
          <w:tbl>
            <w:tblPr>
              <w:tblW w:w="2383" w:type="dxa"/>
              <w:tblLayout w:type="fixed"/>
              <w:tblLook w:val="04A0" w:firstRow="1" w:lastRow="0" w:firstColumn="1" w:lastColumn="0" w:noHBand="0" w:noVBand="1"/>
            </w:tblPr>
            <w:tblGrid>
              <w:gridCol w:w="698"/>
              <w:gridCol w:w="709"/>
              <w:gridCol w:w="976"/>
            </w:tblGrid>
            <w:tr w:rsidR="00C82EE5" w:rsidRPr="005C7CCE" w:rsidTr="0056083E">
              <w:trPr>
                <w:trHeight w:val="255"/>
              </w:trPr>
              <w:tc>
                <w:tcPr>
                  <w:tcW w:w="698"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p>
              </w:tc>
              <w:tc>
                <w:tcPr>
                  <w:tcW w:w="709"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2012 :</w:t>
                  </w:r>
                </w:p>
              </w:tc>
              <w:tc>
                <w:tcPr>
                  <w:tcW w:w="976"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2013 :</w:t>
                  </w:r>
                </w:p>
              </w:tc>
            </w:tr>
            <w:tr w:rsidR="00C82EE5" w:rsidRPr="005C7CCE" w:rsidTr="0056083E">
              <w:trPr>
                <w:trHeight w:val="255"/>
              </w:trPr>
              <w:tc>
                <w:tcPr>
                  <w:tcW w:w="698"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P</w:t>
                  </w:r>
                  <w:r w:rsidR="002D6F2A" w:rsidRPr="005C7CCE">
                    <w:rPr>
                      <w:sz w:val="16"/>
                    </w:rPr>
                    <w:noBreakHyphen/>
                  </w:r>
                  <w:r w:rsidRPr="005C7CCE">
                    <w:rPr>
                      <w:sz w:val="16"/>
                    </w:rPr>
                    <w:t xml:space="preserve">4 – </w:t>
                  </w:r>
                </w:p>
              </w:tc>
              <w:tc>
                <w:tcPr>
                  <w:tcW w:w="709"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44,4</w:t>
                  </w:r>
                  <w:r w:rsidR="007E442D" w:rsidRPr="005C7CCE">
                    <w:rPr>
                      <w:sz w:val="16"/>
                    </w:rPr>
                    <w:t>%</w:t>
                  </w:r>
                </w:p>
              </w:tc>
              <w:tc>
                <w:tcPr>
                  <w:tcW w:w="976"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43,4</w:t>
                  </w:r>
                  <w:r w:rsidR="007E442D" w:rsidRPr="005C7CCE">
                    <w:rPr>
                      <w:sz w:val="16"/>
                    </w:rPr>
                    <w:t>%</w:t>
                  </w:r>
                </w:p>
              </w:tc>
            </w:tr>
            <w:tr w:rsidR="00C82EE5" w:rsidRPr="005C7CCE" w:rsidTr="0056083E">
              <w:trPr>
                <w:trHeight w:val="255"/>
              </w:trPr>
              <w:tc>
                <w:tcPr>
                  <w:tcW w:w="698"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P</w:t>
                  </w:r>
                  <w:r w:rsidR="002D6F2A" w:rsidRPr="005C7CCE">
                    <w:rPr>
                      <w:sz w:val="16"/>
                    </w:rPr>
                    <w:noBreakHyphen/>
                  </w:r>
                  <w:r w:rsidRPr="005C7CCE">
                    <w:rPr>
                      <w:sz w:val="16"/>
                    </w:rPr>
                    <w:t xml:space="preserve">5 – </w:t>
                  </w:r>
                </w:p>
              </w:tc>
              <w:tc>
                <w:tcPr>
                  <w:tcW w:w="709"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30,3</w:t>
                  </w:r>
                  <w:r w:rsidR="007E442D" w:rsidRPr="005C7CCE">
                    <w:rPr>
                      <w:sz w:val="16"/>
                    </w:rPr>
                    <w:t>%</w:t>
                  </w:r>
                </w:p>
              </w:tc>
              <w:tc>
                <w:tcPr>
                  <w:tcW w:w="976"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34,3</w:t>
                  </w:r>
                  <w:r w:rsidR="007E442D" w:rsidRPr="005C7CCE">
                    <w:rPr>
                      <w:sz w:val="16"/>
                    </w:rPr>
                    <w:t>%</w:t>
                  </w:r>
                </w:p>
              </w:tc>
            </w:tr>
            <w:tr w:rsidR="00C82EE5" w:rsidRPr="005C7CCE" w:rsidTr="0056083E">
              <w:trPr>
                <w:trHeight w:val="255"/>
              </w:trPr>
              <w:tc>
                <w:tcPr>
                  <w:tcW w:w="698"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proofErr w:type="spellStart"/>
                  <w:r w:rsidRPr="005C7CCE">
                    <w:rPr>
                      <w:sz w:val="16"/>
                    </w:rPr>
                    <w:t>D</w:t>
                  </w:r>
                  <w:r w:rsidR="002D6F2A" w:rsidRPr="005C7CCE">
                    <w:rPr>
                      <w:sz w:val="16"/>
                    </w:rPr>
                    <w:noBreakHyphen/>
                  </w:r>
                  <w:r w:rsidRPr="005C7CCE">
                    <w:rPr>
                      <w:sz w:val="16"/>
                    </w:rPr>
                    <w:t>1</w:t>
                  </w:r>
                  <w:proofErr w:type="spellEnd"/>
                  <w:r w:rsidRPr="005C7CCE">
                    <w:rPr>
                      <w:sz w:val="16"/>
                    </w:rPr>
                    <w:t xml:space="preserve"> – </w:t>
                  </w:r>
                </w:p>
              </w:tc>
              <w:tc>
                <w:tcPr>
                  <w:tcW w:w="709"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24,4</w:t>
                  </w:r>
                  <w:r w:rsidR="007E442D" w:rsidRPr="005C7CCE">
                    <w:rPr>
                      <w:sz w:val="16"/>
                    </w:rPr>
                    <w:t>%</w:t>
                  </w:r>
                </w:p>
              </w:tc>
              <w:tc>
                <w:tcPr>
                  <w:tcW w:w="976"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26,8</w:t>
                  </w:r>
                  <w:r w:rsidR="007E442D" w:rsidRPr="005C7CCE">
                    <w:rPr>
                      <w:sz w:val="16"/>
                    </w:rPr>
                    <w:t>%</w:t>
                  </w:r>
                </w:p>
              </w:tc>
            </w:tr>
            <w:tr w:rsidR="00C82EE5" w:rsidRPr="005C7CCE" w:rsidTr="0056083E">
              <w:trPr>
                <w:trHeight w:val="255"/>
              </w:trPr>
              <w:tc>
                <w:tcPr>
                  <w:tcW w:w="698"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D</w:t>
                  </w:r>
                  <w:r w:rsidR="002D6F2A" w:rsidRPr="005C7CCE">
                    <w:rPr>
                      <w:sz w:val="16"/>
                    </w:rPr>
                    <w:noBreakHyphen/>
                  </w:r>
                  <w:r w:rsidRPr="005C7CCE">
                    <w:rPr>
                      <w:sz w:val="16"/>
                    </w:rPr>
                    <w:t xml:space="preserve">2 – </w:t>
                  </w:r>
                </w:p>
              </w:tc>
              <w:tc>
                <w:tcPr>
                  <w:tcW w:w="709"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23,1</w:t>
                  </w:r>
                  <w:r w:rsidR="007E442D" w:rsidRPr="005C7CCE">
                    <w:rPr>
                      <w:sz w:val="16"/>
                    </w:rPr>
                    <w:t>%</w:t>
                  </w:r>
                </w:p>
              </w:tc>
              <w:tc>
                <w:tcPr>
                  <w:tcW w:w="976" w:type="dxa"/>
                  <w:tcBorders>
                    <w:top w:val="nil"/>
                    <w:left w:val="nil"/>
                    <w:bottom w:val="nil"/>
                    <w:right w:val="nil"/>
                  </w:tcBorders>
                  <w:shd w:val="clear" w:color="auto" w:fill="auto"/>
                  <w:noWrap/>
                  <w:vAlign w:val="bottom"/>
                </w:tcPr>
                <w:p w:rsidR="00C82EE5" w:rsidRPr="005C7CCE" w:rsidRDefault="00C82EE5" w:rsidP="001A5BF9">
                  <w:pPr>
                    <w:rPr>
                      <w:rFonts w:cs="Arial"/>
                      <w:sz w:val="16"/>
                      <w:szCs w:val="16"/>
                    </w:rPr>
                  </w:pPr>
                  <w:r w:rsidRPr="005C7CCE">
                    <w:rPr>
                      <w:sz w:val="16"/>
                    </w:rPr>
                    <w:t>33,3</w:t>
                  </w:r>
                  <w:r w:rsidR="007E442D" w:rsidRPr="005C7CCE">
                    <w:rPr>
                      <w:sz w:val="16"/>
                    </w:rPr>
                    <w:t>%</w:t>
                  </w:r>
                </w:p>
              </w:tc>
            </w:tr>
          </w:tbl>
          <w:p w:rsidR="00C82EE5" w:rsidRPr="005C7CCE" w:rsidRDefault="00C82EE5" w:rsidP="001A5BF9">
            <w:pPr>
              <w:pStyle w:val="PlainText"/>
              <w:rPr>
                <w:rFonts w:cs="Arial"/>
                <w:sz w:val="16"/>
                <w:szCs w:val="16"/>
              </w:rPr>
            </w:pPr>
          </w:p>
        </w:tc>
        <w:tc>
          <w:tcPr>
            <w:tcW w:w="680" w:type="pct"/>
            <w:shd w:val="clear" w:color="auto" w:fill="auto"/>
            <w:tcMar>
              <w:top w:w="110" w:type="dxa"/>
            </w:tcMar>
          </w:tcPr>
          <w:p w:rsidR="00C82EE5" w:rsidRPr="00933D5A" w:rsidRDefault="00C82EE5" w:rsidP="001A5BF9">
            <w:pPr>
              <w:jc w:val="center"/>
              <w:rPr>
                <w:rFonts w:cs="Arial"/>
                <w:bCs/>
                <w:color w:val="FF0000"/>
                <w:sz w:val="16"/>
                <w:szCs w:val="16"/>
              </w:rPr>
            </w:pPr>
            <w:r w:rsidRPr="00933D5A">
              <w:rPr>
                <w:color w:val="FF0000"/>
                <w:sz w:val="16"/>
              </w:rPr>
              <w:t>Objectif pas atteint</w:t>
            </w:r>
          </w:p>
        </w:tc>
      </w:tr>
      <w:tr w:rsidR="00C82EE5" w:rsidRPr="005C7CCE" w:rsidTr="00167DE6">
        <w:tc>
          <w:tcPr>
            <w:tcW w:w="860" w:type="pct"/>
            <w:shd w:val="clear" w:color="auto" w:fill="auto"/>
          </w:tcPr>
          <w:p w:rsidR="00C82EE5" w:rsidRPr="00933D5A" w:rsidRDefault="00C82EE5" w:rsidP="001A5BF9">
            <w:pPr>
              <w:rPr>
                <w:rFonts w:cs="Arial"/>
                <w:sz w:val="16"/>
                <w:szCs w:val="16"/>
              </w:rPr>
            </w:pPr>
            <w:r w:rsidRPr="00933D5A">
              <w:rPr>
                <w:sz w:val="16"/>
              </w:rPr>
              <w:t>Absentéisme en baisse</w:t>
            </w:r>
          </w:p>
        </w:tc>
        <w:tc>
          <w:tcPr>
            <w:tcW w:w="1033" w:type="pct"/>
            <w:gridSpan w:val="2"/>
            <w:shd w:val="clear" w:color="auto" w:fill="auto"/>
          </w:tcPr>
          <w:p w:rsidR="00D42474" w:rsidRDefault="00C82EE5" w:rsidP="001A5BF9">
            <w:pPr>
              <w:rPr>
                <w:rFonts w:cs="Arial"/>
                <w:i/>
                <w:color w:val="002060"/>
                <w:sz w:val="16"/>
                <w:szCs w:val="16"/>
              </w:rPr>
            </w:pPr>
            <w:r w:rsidRPr="005C7CCE">
              <w:rPr>
                <w:i/>
                <w:color w:val="002060"/>
                <w:sz w:val="16"/>
              </w:rPr>
              <w:t xml:space="preserve">Niveau de référence actualisé fin 2011 : </w:t>
            </w:r>
            <w:r w:rsidRPr="005C7CCE">
              <w:rPr>
                <w:color w:val="002060"/>
                <w:sz w:val="16"/>
              </w:rPr>
              <w:t>11,3</w:t>
            </w:r>
          </w:p>
          <w:p w:rsidR="00D42474" w:rsidRDefault="00D42474" w:rsidP="001A5BF9">
            <w:pPr>
              <w:rPr>
                <w:rFonts w:cs="Arial"/>
                <w:i/>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00933D5A">
              <w:rPr>
                <w:sz w:val="16"/>
              </w:rPr>
              <w:t xml:space="preserve"> n</w:t>
            </w:r>
            <w:r w:rsidRPr="005C7CCE">
              <w:rPr>
                <w:sz w:val="16"/>
              </w:rPr>
              <w:t>ombre moyen de jours de congé maladie par membre du personnel : 9,6</w:t>
            </w:r>
          </w:p>
        </w:tc>
        <w:tc>
          <w:tcPr>
            <w:tcW w:w="782" w:type="pct"/>
            <w:gridSpan w:val="2"/>
            <w:shd w:val="clear" w:color="auto" w:fill="auto"/>
            <w:tcMar>
              <w:top w:w="110" w:type="dxa"/>
            </w:tcMar>
          </w:tcPr>
          <w:p w:rsidR="00D42474" w:rsidRDefault="00C82EE5" w:rsidP="001A5BF9">
            <w:pPr>
              <w:rPr>
                <w:rFonts w:cs="Arial"/>
                <w:sz w:val="16"/>
                <w:szCs w:val="16"/>
              </w:rPr>
            </w:pPr>
            <w:r w:rsidRPr="005C7CCE">
              <w:rPr>
                <w:sz w:val="16"/>
              </w:rPr>
              <w:t>Moyenne de 5,5</w:t>
            </w:r>
          </w:p>
          <w:p w:rsidR="00C82EE5" w:rsidRPr="005C7CCE" w:rsidRDefault="00C82EE5" w:rsidP="001A5BF9">
            <w:pPr>
              <w:rPr>
                <w:rFonts w:cs="Arial"/>
                <w:sz w:val="16"/>
                <w:szCs w:val="16"/>
              </w:rPr>
            </w:pPr>
            <w:r w:rsidRPr="005C7CCE">
              <w:rPr>
                <w:sz w:val="16"/>
              </w:rPr>
              <w:t xml:space="preserve">jours par membre du personnel </w:t>
            </w:r>
          </w:p>
        </w:tc>
        <w:tc>
          <w:tcPr>
            <w:tcW w:w="1645" w:type="pct"/>
            <w:gridSpan w:val="2"/>
            <w:shd w:val="clear" w:color="auto" w:fill="FFFFFF"/>
            <w:tcMar>
              <w:top w:w="110" w:type="dxa"/>
            </w:tcMar>
          </w:tcPr>
          <w:p w:rsidR="00D42474" w:rsidRDefault="00C82EE5" w:rsidP="001A5BF9">
            <w:pPr>
              <w:rPr>
                <w:rFonts w:cs="Arial"/>
                <w:sz w:val="16"/>
                <w:szCs w:val="16"/>
              </w:rPr>
            </w:pPr>
            <w:r w:rsidRPr="005C7CCE">
              <w:rPr>
                <w:sz w:val="16"/>
              </w:rPr>
              <w:t>Pour l</w:t>
            </w:r>
            <w:r w:rsidR="00A20444" w:rsidRPr="005C7CCE">
              <w:rPr>
                <w:sz w:val="16"/>
              </w:rPr>
              <w:t>’</w:t>
            </w:r>
            <w:r w:rsidRPr="005C7CCE">
              <w:rPr>
                <w:sz w:val="16"/>
              </w:rPr>
              <w:t>exercice biennal : 10,34</w:t>
            </w:r>
          </w:p>
          <w:p w:rsidR="00D42474" w:rsidRDefault="00C82EE5" w:rsidP="001A5BF9">
            <w:pPr>
              <w:pStyle w:val="Paragraphedeliste"/>
              <w:numPr>
                <w:ilvl w:val="0"/>
                <w:numId w:val="57"/>
              </w:numPr>
              <w:rPr>
                <w:rFonts w:cs="Arial"/>
                <w:sz w:val="16"/>
                <w:szCs w:val="16"/>
              </w:rPr>
            </w:pPr>
            <w:r w:rsidRPr="005C7CCE">
              <w:rPr>
                <w:sz w:val="16"/>
              </w:rPr>
              <w:t>2012 : 9,07</w:t>
            </w:r>
          </w:p>
          <w:p w:rsidR="00C82EE5" w:rsidRPr="005C7CCE" w:rsidRDefault="00C82EE5" w:rsidP="001A5BF9">
            <w:pPr>
              <w:pStyle w:val="Paragraphedeliste"/>
              <w:numPr>
                <w:ilvl w:val="0"/>
                <w:numId w:val="57"/>
              </w:numPr>
            </w:pPr>
            <w:r w:rsidRPr="005C7CCE">
              <w:rPr>
                <w:sz w:val="16"/>
              </w:rPr>
              <w:t>2031 : 11,6</w:t>
            </w:r>
          </w:p>
        </w:tc>
        <w:tc>
          <w:tcPr>
            <w:tcW w:w="680" w:type="pct"/>
            <w:shd w:val="clear" w:color="auto" w:fill="auto"/>
            <w:tcMar>
              <w:top w:w="110" w:type="dxa"/>
            </w:tcMar>
          </w:tcPr>
          <w:p w:rsidR="00C82EE5" w:rsidRPr="00933D5A" w:rsidRDefault="00C82EE5" w:rsidP="001A5BF9">
            <w:pPr>
              <w:jc w:val="center"/>
              <w:rPr>
                <w:rFonts w:cs="Arial"/>
                <w:bCs/>
                <w:color w:val="FF0000"/>
                <w:sz w:val="16"/>
                <w:szCs w:val="16"/>
              </w:rPr>
            </w:pPr>
            <w:r w:rsidRPr="00933D5A">
              <w:rPr>
                <w:rStyle w:val="Style5"/>
                <w:rFonts w:ascii="Arial" w:hAnsi="Arial"/>
                <w:color w:val="FF0000"/>
                <w:sz w:val="16"/>
              </w:rPr>
              <w:t xml:space="preserve">Objectif pas atteint </w:t>
            </w:r>
          </w:p>
        </w:tc>
      </w:tr>
      <w:tr w:rsidR="00C82EE5" w:rsidRPr="005C7CCE" w:rsidTr="00167DE6">
        <w:tc>
          <w:tcPr>
            <w:tcW w:w="860" w:type="pct"/>
            <w:shd w:val="clear" w:color="auto" w:fill="auto"/>
          </w:tcPr>
          <w:p w:rsidR="00C82EE5" w:rsidRPr="00933D5A" w:rsidRDefault="00C82EE5" w:rsidP="001A5BF9">
            <w:pPr>
              <w:rPr>
                <w:rFonts w:cs="Arial"/>
                <w:sz w:val="16"/>
                <w:szCs w:val="16"/>
              </w:rPr>
            </w:pPr>
            <w:r w:rsidRPr="00933D5A">
              <w:rPr>
                <w:sz w:val="16"/>
              </w:rPr>
              <w:t>Diminution du nombre de recours</w:t>
            </w:r>
          </w:p>
        </w:tc>
        <w:tc>
          <w:tcPr>
            <w:tcW w:w="1033" w:type="pct"/>
            <w:gridSpan w:val="2"/>
            <w:shd w:val="clear" w:color="auto" w:fill="auto"/>
          </w:tcPr>
          <w:p w:rsidR="00D42474" w:rsidRDefault="00C82EE5" w:rsidP="001A5BF9">
            <w:pPr>
              <w:rPr>
                <w:i/>
                <w:color w:val="002060"/>
                <w:sz w:val="16"/>
              </w:rPr>
            </w:pPr>
            <w:r w:rsidRPr="005C7CCE">
              <w:rPr>
                <w:i/>
                <w:color w:val="002060"/>
                <w:sz w:val="16"/>
              </w:rPr>
              <w:t xml:space="preserve">Niveau de référence </w:t>
            </w:r>
            <w:r w:rsidRPr="00933D5A">
              <w:rPr>
                <w:i/>
                <w:color w:val="002060"/>
                <w:sz w:val="16"/>
              </w:rPr>
              <w:t>actualisé fin 2011 :</w:t>
            </w:r>
          </w:p>
          <w:p w:rsidR="00D42474" w:rsidRDefault="00C82EE5" w:rsidP="001A5BF9">
            <w:pPr>
              <w:rPr>
                <w:rFonts w:cs="Arial"/>
                <w:color w:val="002060"/>
                <w:sz w:val="16"/>
                <w:szCs w:val="16"/>
              </w:rPr>
            </w:pPr>
            <w:r w:rsidRPr="00933D5A">
              <w:rPr>
                <w:color w:val="002060"/>
                <w:sz w:val="16"/>
              </w:rPr>
              <w:t>Comité d</w:t>
            </w:r>
            <w:r w:rsidR="00A20444" w:rsidRPr="00933D5A">
              <w:rPr>
                <w:color w:val="002060"/>
                <w:sz w:val="16"/>
              </w:rPr>
              <w:t>’</w:t>
            </w:r>
            <w:r w:rsidRPr="00933D5A">
              <w:rPr>
                <w:color w:val="002060"/>
                <w:sz w:val="16"/>
              </w:rPr>
              <w:t>appel de l</w:t>
            </w:r>
            <w:r w:rsidR="00A20444" w:rsidRPr="00933D5A">
              <w:rPr>
                <w:color w:val="002060"/>
                <w:sz w:val="16"/>
              </w:rPr>
              <w:t>’</w:t>
            </w:r>
            <w:r w:rsidRPr="00933D5A">
              <w:rPr>
                <w:color w:val="002060"/>
                <w:sz w:val="16"/>
              </w:rPr>
              <w:t>OMPI</w:t>
            </w:r>
            <w:r w:rsidR="0010442A" w:rsidRPr="00933D5A">
              <w:rPr>
                <w:color w:val="002060"/>
                <w:sz w:val="16"/>
              </w:rPr>
              <w:t> </w:t>
            </w:r>
            <w:r w:rsidRPr="00933D5A">
              <w:rPr>
                <w:color w:val="002060"/>
                <w:sz w:val="16"/>
              </w:rPr>
              <w:t>: 14</w:t>
            </w:r>
          </w:p>
          <w:p w:rsidR="00D42474" w:rsidRDefault="00C82EE5" w:rsidP="001A5BF9">
            <w:pPr>
              <w:rPr>
                <w:rFonts w:cs="Arial"/>
                <w:color w:val="002060"/>
                <w:sz w:val="16"/>
                <w:szCs w:val="16"/>
              </w:rPr>
            </w:pPr>
            <w:proofErr w:type="spellStart"/>
            <w:r w:rsidRPr="00933D5A">
              <w:rPr>
                <w:color w:val="002060"/>
                <w:sz w:val="16"/>
              </w:rPr>
              <w:t>TAOIT</w:t>
            </w:r>
            <w:proofErr w:type="spellEnd"/>
            <w:r w:rsidR="0010442A" w:rsidRPr="00933D5A">
              <w:rPr>
                <w:color w:val="002060"/>
                <w:sz w:val="16"/>
              </w:rPr>
              <w:t> </w:t>
            </w:r>
            <w:r w:rsidRPr="00933D5A">
              <w:rPr>
                <w:color w:val="002060"/>
                <w:sz w:val="16"/>
              </w:rPr>
              <w:t>: 12</w:t>
            </w:r>
          </w:p>
          <w:p w:rsidR="00D42474" w:rsidRDefault="00D42474" w:rsidP="001A5BF9">
            <w:pPr>
              <w:rPr>
                <w:rFonts w:cs="Arial"/>
                <w:i/>
                <w:color w:val="002060"/>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r w:rsidRPr="005C7CCE">
              <w:rPr>
                <w:sz w:val="16"/>
              </w:rPr>
              <w:t xml:space="preserve"> 27 cas</w:t>
            </w:r>
          </w:p>
        </w:tc>
        <w:tc>
          <w:tcPr>
            <w:tcW w:w="782" w:type="pct"/>
            <w:gridSpan w:val="2"/>
            <w:shd w:val="clear" w:color="auto" w:fill="auto"/>
            <w:tcMar>
              <w:top w:w="110" w:type="dxa"/>
            </w:tcMar>
          </w:tcPr>
          <w:p w:rsidR="00C82EE5" w:rsidRPr="00933D5A" w:rsidRDefault="00C82EE5" w:rsidP="001A5BF9">
            <w:pPr>
              <w:rPr>
                <w:rFonts w:cs="Arial"/>
                <w:sz w:val="16"/>
                <w:szCs w:val="16"/>
              </w:rPr>
            </w:pPr>
            <w:r w:rsidRPr="00933D5A">
              <w:rPr>
                <w:rFonts w:ascii="ArialMT" w:hAnsi="ArialMT"/>
                <w:sz w:val="16"/>
              </w:rPr>
              <w:t>22 cas</w:t>
            </w:r>
          </w:p>
        </w:tc>
        <w:tc>
          <w:tcPr>
            <w:tcW w:w="1645" w:type="pct"/>
            <w:gridSpan w:val="2"/>
            <w:shd w:val="clear" w:color="auto" w:fill="FFFFFF"/>
            <w:tcMar>
              <w:top w:w="110" w:type="dxa"/>
            </w:tcMar>
          </w:tcPr>
          <w:p w:rsidR="00D42474" w:rsidRDefault="00C82EE5" w:rsidP="001A5BF9">
            <w:pPr>
              <w:rPr>
                <w:sz w:val="16"/>
              </w:rPr>
            </w:pPr>
            <w:r w:rsidRPr="00933D5A">
              <w:rPr>
                <w:sz w:val="16"/>
              </w:rPr>
              <w:t>Comité d</w:t>
            </w:r>
            <w:r w:rsidR="00A20444" w:rsidRPr="00933D5A">
              <w:rPr>
                <w:sz w:val="16"/>
              </w:rPr>
              <w:t>’</w:t>
            </w:r>
            <w:r w:rsidRPr="00933D5A">
              <w:rPr>
                <w:sz w:val="16"/>
              </w:rPr>
              <w:t>appel de l</w:t>
            </w:r>
            <w:r w:rsidR="00A20444" w:rsidRPr="00933D5A">
              <w:rPr>
                <w:sz w:val="16"/>
              </w:rPr>
              <w:t>’</w:t>
            </w:r>
            <w:r w:rsidRPr="00933D5A">
              <w:rPr>
                <w:sz w:val="16"/>
              </w:rPr>
              <w:t>OMPI</w:t>
            </w:r>
            <w:r w:rsidR="0010442A" w:rsidRPr="00933D5A">
              <w:rPr>
                <w:sz w:val="16"/>
              </w:rPr>
              <w:t> </w:t>
            </w:r>
            <w:r w:rsidRPr="00933D5A">
              <w:rPr>
                <w:sz w:val="16"/>
              </w:rPr>
              <w:t>: 54</w:t>
            </w:r>
          </w:p>
          <w:p w:rsidR="00C82EE5" w:rsidRPr="00933D5A" w:rsidRDefault="00C82EE5" w:rsidP="001A5BF9">
            <w:pPr>
              <w:rPr>
                <w:rFonts w:cs="Arial"/>
                <w:sz w:val="16"/>
                <w:szCs w:val="16"/>
              </w:rPr>
            </w:pPr>
            <w:proofErr w:type="spellStart"/>
            <w:r w:rsidRPr="00933D5A">
              <w:rPr>
                <w:sz w:val="16"/>
              </w:rPr>
              <w:t>TAOIT</w:t>
            </w:r>
            <w:proofErr w:type="spellEnd"/>
            <w:r w:rsidR="0010442A" w:rsidRPr="00933D5A">
              <w:rPr>
                <w:sz w:val="16"/>
              </w:rPr>
              <w:t> </w:t>
            </w:r>
            <w:r w:rsidRPr="00933D5A">
              <w:rPr>
                <w:sz w:val="16"/>
              </w:rPr>
              <w:t>: 21</w:t>
            </w:r>
          </w:p>
        </w:tc>
        <w:tc>
          <w:tcPr>
            <w:tcW w:w="680" w:type="pct"/>
            <w:shd w:val="clear" w:color="auto" w:fill="auto"/>
            <w:tcMar>
              <w:top w:w="110" w:type="dxa"/>
            </w:tcMar>
          </w:tcPr>
          <w:p w:rsidR="00C82EE5" w:rsidRPr="005C7CCE" w:rsidRDefault="00C82EE5" w:rsidP="001A5BF9">
            <w:pPr>
              <w:jc w:val="center"/>
              <w:rPr>
                <w:rFonts w:cs="Arial"/>
                <w:bCs/>
                <w:color w:val="008000"/>
                <w:sz w:val="16"/>
                <w:szCs w:val="16"/>
              </w:rPr>
            </w:pPr>
            <w:r w:rsidRPr="00933D5A">
              <w:rPr>
                <w:rStyle w:val="Style5"/>
                <w:rFonts w:ascii="Arial" w:hAnsi="Arial"/>
                <w:color w:val="FF0000"/>
                <w:sz w:val="16"/>
              </w:rPr>
              <w:t xml:space="preserve">Objectif pas atteint </w:t>
            </w:r>
          </w:p>
        </w:tc>
      </w:tr>
    </w:tbl>
    <w:p w:rsidR="00D42474" w:rsidRDefault="00D42474" w:rsidP="001A5BF9"/>
    <w:p w:rsidR="00D42474" w:rsidRDefault="00D42474" w:rsidP="001A5BF9">
      <w:pPr>
        <w:rPr>
          <w:rFonts w:cs="Arial"/>
        </w:rPr>
      </w:pPr>
    </w:p>
    <w:p w:rsidR="00D42474" w:rsidRDefault="006D796D" w:rsidP="001A5BF9">
      <w:pPr>
        <w:rPr>
          <w:rFonts w:cs="Arial"/>
          <w:szCs w:val="22"/>
        </w:rPr>
      </w:pPr>
      <w:r w:rsidRPr="005C7CCE">
        <w:rPr>
          <w:color w:val="008000"/>
        </w:rPr>
        <w:br w:type="page"/>
      </w:r>
      <w:r w:rsidR="00C82EE5" w:rsidRPr="00866763">
        <w:rPr>
          <w:sz w:val="22"/>
        </w:rPr>
        <w:t>BUDGET ET DÉPENSES EFFECTIVES</w:t>
      </w:r>
    </w:p>
    <w:p w:rsidR="00D42474" w:rsidRDefault="00D42474" w:rsidP="001A5BF9">
      <w:pPr>
        <w:rPr>
          <w:rFonts w:cs="Arial"/>
          <w:szCs w:val="22"/>
        </w:rPr>
      </w:pPr>
    </w:p>
    <w:p w:rsidR="00D42474" w:rsidRDefault="00C82EE5" w:rsidP="001A5BF9">
      <w:pPr>
        <w:jc w:val="center"/>
      </w:pPr>
      <w:r w:rsidRPr="002D02F3">
        <w:t>Budget et dépenses effectives (par résultat)</w:t>
      </w:r>
    </w:p>
    <w:p w:rsidR="00D42474" w:rsidRDefault="00C82EE5" w:rsidP="001A5BF9">
      <w:pPr>
        <w:jc w:val="center"/>
        <w:rPr>
          <w:rFonts w:ascii="Times New Roman" w:hAnsi="Times New Roman"/>
          <w:szCs w:val="20"/>
        </w:rPr>
      </w:pPr>
      <w:r w:rsidRPr="002D02F3">
        <w:rPr>
          <w:i/>
        </w:rPr>
        <w:t>(</w:t>
      </w:r>
      <w:proofErr w:type="gramStart"/>
      <w:r w:rsidRPr="002D02F3">
        <w:rPr>
          <w:i/>
        </w:rPr>
        <w:t>en</w:t>
      </w:r>
      <w:proofErr w:type="gramEnd"/>
      <w:r w:rsidRPr="002D02F3">
        <w:rPr>
          <w:i/>
        </w:rPr>
        <w:t xml:space="preserve"> milliers de francs suisses)</w:t>
      </w:r>
    </w:p>
    <w:p w:rsidR="00C82EE5" w:rsidRPr="002D02F3" w:rsidRDefault="00C82EE5" w:rsidP="001A5BF9">
      <w:pPr>
        <w:rPr>
          <w:rFonts w:cs="Arial"/>
          <w:b/>
          <w:bCs/>
          <w:sz w:val="18"/>
          <w:szCs w:val="18"/>
        </w:rPr>
      </w:pPr>
    </w:p>
    <w:tbl>
      <w:tblPr>
        <w:tblW w:w="0" w:type="auto"/>
        <w:tblInd w:w="103" w:type="dxa"/>
        <w:tblLayout w:type="fixed"/>
        <w:tblLook w:val="04A0" w:firstRow="1" w:lastRow="0" w:firstColumn="1" w:lastColumn="0" w:noHBand="0" w:noVBand="1"/>
      </w:tblPr>
      <w:tblGrid>
        <w:gridCol w:w="501"/>
        <w:gridCol w:w="4466"/>
        <w:gridCol w:w="1464"/>
        <w:gridCol w:w="1465"/>
        <w:gridCol w:w="1465"/>
      </w:tblGrid>
      <w:tr w:rsidR="00C82EE5" w:rsidRPr="002D02F3" w:rsidTr="007409F8">
        <w:tc>
          <w:tcPr>
            <w:tcW w:w="4967"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center"/>
              <w:rPr>
                <w:rFonts w:cs="Arial"/>
                <w:bCs/>
                <w:sz w:val="16"/>
                <w:szCs w:val="16"/>
              </w:rPr>
            </w:pPr>
            <w:r w:rsidRPr="002D02F3">
              <w:rPr>
                <w:sz w:val="16"/>
              </w:rPr>
              <w:t>Numéro et description du résultat escompté</w:t>
            </w:r>
          </w:p>
        </w:tc>
        <w:tc>
          <w:tcPr>
            <w:tcW w:w="1464"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465"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65"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C82EE5" w:rsidRPr="002D02F3" w:rsidTr="007409F8">
        <w:tc>
          <w:tcPr>
            <w:tcW w:w="501"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IX.1</w:t>
            </w:r>
            <w:proofErr w:type="spellEnd"/>
          </w:p>
        </w:tc>
        <w:tc>
          <w:tcPr>
            <w:tcW w:w="4466"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Services d</w:t>
            </w:r>
            <w:r w:rsidR="00A20444" w:rsidRPr="002D02F3">
              <w:rPr>
                <w:sz w:val="16"/>
              </w:rPr>
              <w:t>’</w:t>
            </w:r>
            <w:r w:rsidRPr="002D02F3">
              <w:rPr>
                <w:sz w:val="16"/>
              </w:rPr>
              <w:t>appui efficaces, efficients, de qualité et tournés vers la clientèle, à l</w:t>
            </w:r>
            <w:r w:rsidR="00A20444" w:rsidRPr="002D02F3">
              <w:rPr>
                <w:sz w:val="16"/>
              </w:rPr>
              <w:t>’</w:t>
            </w:r>
            <w:r w:rsidRPr="002D02F3">
              <w:rPr>
                <w:sz w:val="16"/>
              </w:rPr>
              <w:t>intention à la fois des clients interne</w:t>
            </w:r>
            <w:r w:rsidR="00D50C75" w:rsidRPr="002D02F3">
              <w:rPr>
                <w:sz w:val="16"/>
              </w:rPr>
              <w:t>s</w:t>
            </w:r>
            <w:r w:rsidRPr="002D02F3">
              <w:rPr>
                <w:sz w:val="16"/>
              </w:rPr>
              <w:t xml:space="preserve"> et des parties prenantes externes (ressources humaines, informatique, conférences, service linguistique, achats, voyages, imprimerie et publications, gestion des locaux)</w:t>
            </w:r>
          </w:p>
        </w:tc>
        <w:tc>
          <w:tcPr>
            <w:tcW w:w="1464"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8 790 </w:t>
            </w:r>
          </w:p>
        </w:tc>
        <w:tc>
          <w:tcPr>
            <w:tcW w:w="1465"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9 942 </w:t>
            </w:r>
          </w:p>
        </w:tc>
        <w:tc>
          <w:tcPr>
            <w:tcW w:w="1465"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9 970 </w:t>
            </w:r>
          </w:p>
        </w:tc>
      </w:tr>
      <w:tr w:rsidR="00C82EE5" w:rsidRPr="002D02F3" w:rsidTr="007409F8">
        <w:tc>
          <w:tcPr>
            <w:tcW w:w="501" w:type="dxa"/>
            <w:tcBorders>
              <w:top w:val="nil"/>
              <w:left w:val="single" w:sz="4" w:space="0" w:color="auto"/>
              <w:bottom w:val="single" w:sz="4" w:space="0" w:color="auto"/>
              <w:right w:val="nil"/>
            </w:tcBorders>
            <w:shd w:val="clear" w:color="000000" w:fill="FFFFFF"/>
            <w:noWrap/>
          </w:tcPr>
          <w:p w:rsidR="00C82EE5" w:rsidRPr="002D02F3" w:rsidRDefault="00C82EE5" w:rsidP="001A5BF9">
            <w:pPr>
              <w:spacing w:before="120" w:after="120"/>
              <w:jc w:val="center"/>
              <w:rPr>
                <w:rFonts w:cs="Arial"/>
                <w:sz w:val="16"/>
                <w:szCs w:val="16"/>
              </w:rPr>
            </w:pPr>
            <w:proofErr w:type="spellStart"/>
            <w:r w:rsidRPr="002D02F3">
              <w:rPr>
                <w:sz w:val="16"/>
              </w:rPr>
              <w:t>IX.3</w:t>
            </w:r>
            <w:proofErr w:type="spellEnd"/>
          </w:p>
        </w:tc>
        <w:tc>
          <w:tcPr>
            <w:tcW w:w="4466" w:type="dxa"/>
            <w:tcBorders>
              <w:top w:val="nil"/>
              <w:left w:val="nil"/>
              <w:bottom w:val="single" w:sz="4" w:space="0" w:color="auto"/>
              <w:right w:val="nil"/>
            </w:tcBorders>
            <w:shd w:val="clear" w:color="000000" w:fill="FFFFFF"/>
          </w:tcPr>
          <w:p w:rsidR="00C82EE5" w:rsidRPr="002D02F3" w:rsidRDefault="00C82EE5" w:rsidP="001A5BF9">
            <w:pPr>
              <w:spacing w:before="120" w:after="120"/>
              <w:rPr>
                <w:rFonts w:cs="Arial"/>
                <w:sz w:val="16"/>
                <w:szCs w:val="16"/>
              </w:rPr>
            </w:pPr>
            <w:r w:rsidRPr="002D02F3">
              <w:rPr>
                <w:sz w:val="16"/>
              </w:rPr>
              <w:t>Effectifs gérés correctement, diversifiés, motivés et qualifiés</w:t>
            </w:r>
          </w:p>
        </w:tc>
        <w:tc>
          <w:tcPr>
            <w:tcW w:w="1464" w:type="dxa"/>
            <w:tcBorders>
              <w:top w:val="nil"/>
              <w:left w:val="nil"/>
              <w:bottom w:val="single" w:sz="4" w:space="0" w:color="auto"/>
              <w:right w:val="nil"/>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12 703 </w:t>
            </w:r>
          </w:p>
        </w:tc>
        <w:tc>
          <w:tcPr>
            <w:tcW w:w="1465" w:type="dxa"/>
            <w:tcBorders>
              <w:top w:val="nil"/>
              <w:left w:val="nil"/>
              <w:bottom w:val="single" w:sz="4" w:space="0" w:color="auto"/>
              <w:right w:val="nil"/>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11 812 </w:t>
            </w:r>
          </w:p>
        </w:tc>
        <w:tc>
          <w:tcPr>
            <w:tcW w:w="1465" w:type="dxa"/>
            <w:tcBorders>
              <w:top w:val="nil"/>
              <w:left w:val="nil"/>
              <w:bottom w:val="single" w:sz="4" w:space="0" w:color="auto"/>
              <w:right w:val="single" w:sz="4" w:space="0" w:color="auto"/>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11 417</w:t>
            </w:r>
          </w:p>
        </w:tc>
      </w:tr>
      <w:tr w:rsidR="00C82EE5" w:rsidRPr="002D02F3" w:rsidTr="007409F8">
        <w:tc>
          <w:tcPr>
            <w:tcW w:w="501" w:type="dxa"/>
            <w:tcBorders>
              <w:top w:val="nil"/>
              <w:left w:val="single" w:sz="4" w:space="0" w:color="auto"/>
              <w:bottom w:val="single" w:sz="4" w:space="0" w:color="auto"/>
              <w:right w:val="nil"/>
            </w:tcBorders>
            <w:shd w:val="clear" w:color="000000" w:fill="CCFFFF"/>
            <w:noWrap/>
            <w:vAlign w:val="bottom"/>
          </w:tcPr>
          <w:p w:rsidR="00C82EE5" w:rsidRPr="002D02F3" w:rsidRDefault="00C82EE5" w:rsidP="001A5BF9">
            <w:pPr>
              <w:spacing w:before="120" w:after="120"/>
              <w:jc w:val="center"/>
              <w:rPr>
                <w:rFonts w:cs="Arial"/>
                <w:b/>
                <w:bCs/>
                <w:sz w:val="16"/>
                <w:szCs w:val="16"/>
              </w:rPr>
            </w:pPr>
            <w:r w:rsidRPr="002D02F3">
              <w:rPr>
                <w:b/>
                <w:sz w:val="16"/>
              </w:rPr>
              <w:t> </w:t>
            </w:r>
          </w:p>
        </w:tc>
        <w:tc>
          <w:tcPr>
            <w:tcW w:w="4466" w:type="dxa"/>
            <w:tcBorders>
              <w:top w:val="nil"/>
              <w:left w:val="nil"/>
              <w:bottom w:val="single" w:sz="4" w:space="0" w:color="auto"/>
              <w:right w:val="nil"/>
            </w:tcBorders>
            <w:shd w:val="clear" w:color="000000" w:fill="CCFFFF"/>
            <w:noWrap/>
            <w:vAlign w:val="center"/>
          </w:tcPr>
          <w:p w:rsidR="00C82EE5" w:rsidRPr="002D02F3" w:rsidRDefault="00C82EE5" w:rsidP="001A5BF9">
            <w:pPr>
              <w:spacing w:before="120" w:after="120"/>
              <w:rPr>
                <w:rFonts w:cs="Arial"/>
                <w:b/>
                <w:bCs/>
                <w:sz w:val="16"/>
                <w:szCs w:val="16"/>
              </w:rPr>
            </w:pPr>
            <w:r w:rsidRPr="002D02F3">
              <w:rPr>
                <w:b/>
                <w:sz w:val="16"/>
              </w:rPr>
              <w:t>Total</w:t>
            </w:r>
          </w:p>
        </w:tc>
        <w:tc>
          <w:tcPr>
            <w:tcW w:w="1464" w:type="dxa"/>
            <w:tcBorders>
              <w:top w:val="nil"/>
              <w:left w:val="single" w:sz="4" w:space="0" w:color="auto"/>
              <w:bottom w:val="single" w:sz="4" w:space="0" w:color="auto"/>
              <w:right w:val="single" w:sz="4" w:space="0" w:color="auto"/>
            </w:tcBorders>
            <w:shd w:val="clear" w:color="000000" w:fill="CCFFFF"/>
            <w:vAlign w:val="center"/>
          </w:tcPr>
          <w:p w:rsidR="00C82EE5" w:rsidRPr="002D02F3" w:rsidRDefault="00C82EE5" w:rsidP="001A5BF9">
            <w:pPr>
              <w:spacing w:before="120" w:after="120"/>
              <w:jc w:val="right"/>
              <w:rPr>
                <w:rFonts w:cs="Arial"/>
                <w:b/>
                <w:bCs/>
                <w:sz w:val="16"/>
                <w:szCs w:val="16"/>
              </w:rPr>
            </w:pPr>
            <w:r w:rsidRPr="002D02F3">
              <w:rPr>
                <w:b/>
                <w:sz w:val="16"/>
              </w:rPr>
              <w:t>21 493</w:t>
            </w:r>
          </w:p>
        </w:tc>
        <w:tc>
          <w:tcPr>
            <w:tcW w:w="1465" w:type="dxa"/>
            <w:tcBorders>
              <w:top w:val="nil"/>
              <w:left w:val="nil"/>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right"/>
              <w:rPr>
                <w:rFonts w:cs="Arial"/>
                <w:b/>
                <w:bCs/>
                <w:sz w:val="16"/>
                <w:szCs w:val="16"/>
              </w:rPr>
            </w:pPr>
            <w:r w:rsidRPr="002D02F3">
              <w:rPr>
                <w:b/>
                <w:sz w:val="16"/>
              </w:rPr>
              <w:t>21 754</w:t>
            </w:r>
          </w:p>
        </w:tc>
        <w:tc>
          <w:tcPr>
            <w:tcW w:w="1465" w:type="dxa"/>
            <w:tcBorders>
              <w:top w:val="nil"/>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right"/>
              <w:rPr>
                <w:rFonts w:cs="Arial"/>
                <w:b/>
                <w:bCs/>
                <w:sz w:val="16"/>
                <w:szCs w:val="16"/>
              </w:rPr>
            </w:pPr>
            <w:r w:rsidRPr="002D02F3">
              <w:rPr>
                <w:b/>
                <w:sz w:val="16"/>
              </w:rPr>
              <w:t>21 387</w:t>
            </w:r>
          </w:p>
        </w:tc>
      </w:tr>
    </w:tbl>
    <w:p w:rsidR="00D42474" w:rsidRDefault="00D42474" w:rsidP="001A5BF9">
      <w:pPr>
        <w:rPr>
          <w:rFonts w:cs="Arial"/>
          <w:szCs w:val="20"/>
        </w:rPr>
      </w:pPr>
    </w:p>
    <w:p w:rsidR="00D42474" w:rsidRDefault="00C82EE5" w:rsidP="001A5BF9">
      <w:pPr>
        <w:jc w:val="center"/>
      </w:pPr>
      <w:r w:rsidRPr="002D02F3">
        <w:t xml:space="preserve">Budget et dépenses effectives (dépenses de </w:t>
      </w:r>
      <w:proofErr w:type="gramStart"/>
      <w:r w:rsidRPr="002D02F3">
        <w:t>personnel et autres dépenses</w:t>
      </w:r>
      <w:proofErr w:type="gramEnd"/>
      <w:r w:rsidRPr="002D02F3">
        <w:t>)</w:t>
      </w:r>
    </w:p>
    <w:p w:rsidR="00D42474" w:rsidRDefault="00C82EE5" w:rsidP="001A5BF9">
      <w:pPr>
        <w:jc w:val="center"/>
        <w:rPr>
          <w:rFonts w:cs="Arial"/>
          <w:i/>
          <w:iCs/>
          <w:szCs w:val="20"/>
        </w:rPr>
      </w:pPr>
      <w:r w:rsidRPr="002D02F3">
        <w:rPr>
          <w:i/>
        </w:rPr>
        <w:t>(</w:t>
      </w:r>
      <w:proofErr w:type="gramStart"/>
      <w:r w:rsidRPr="002D02F3">
        <w:rPr>
          <w:i/>
        </w:rPr>
        <w:t>en</w:t>
      </w:r>
      <w:proofErr w:type="gramEnd"/>
      <w:r w:rsidRPr="002D02F3">
        <w:rPr>
          <w:i/>
        </w:rPr>
        <w:t xml:space="preserve"> milliers de francs suisses)</w:t>
      </w:r>
    </w:p>
    <w:p w:rsidR="00C82EE5" w:rsidRPr="002D02F3" w:rsidRDefault="00C82EE5" w:rsidP="001A5BF9">
      <w:pPr>
        <w:jc w:val="center"/>
        <w:rPr>
          <w:rFonts w:ascii="Times New Roman" w:hAnsi="Times New Roman"/>
          <w:sz w:val="24"/>
        </w:rPr>
      </w:pPr>
    </w:p>
    <w:tbl>
      <w:tblPr>
        <w:tblW w:w="9371" w:type="dxa"/>
        <w:tblInd w:w="93" w:type="dxa"/>
        <w:tblLook w:val="04A0" w:firstRow="1" w:lastRow="0" w:firstColumn="1" w:lastColumn="0" w:noHBand="0" w:noVBand="1"/>
      </w:tblPr>
      <w:tblGrid>
        <w:gridCol w:w="2567"/>
        <w:gridCol w:w="1701"/>
        <w:gridCol w:w="1701"/>
        <w:gridCol w:w="1701"/>
        <w:gridCol w:w="1701"/>
      </w:tblGrid>
      <w:tr w:rsidR="00C82EE5" w:rsidRPr="002D02F3" w:rsidTr="0056083E">
        <w:trPr>
          <w:trHeight w:val="466"/>
        </w:trPr>
        <w:tc>
          <w:tcPr>
            <w:tcW w:w="2567"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rPr>
                <w:rFonts w:cs="Arial"/>
                <w:sz w:val="16"/>
                <w:szCs w:val="16"/>
              </w:rPr>
            </w:pPr>
            <w:r w:rsidRPr="002D02F3">
              <w:rPr>
                <w:sz w:val="16"/>
              </w:rPr>
              <w:t> </w:t>
            </w:r>
          </w:p>
        </w:tc>
        <w:tc>
          <w:tcPr>
            <w:tcW w:w="1701"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701"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701"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701"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 xml:space="preserve">utilisation </w:t>
            </w:r>
            <w:r w:rsidR="00BD43F2" w:rsidRPr="002D02F3">
              <w:rPr>
                <w:sz w:val="16"/>
              </w:rPr>
              <w:t>(%)</w:t>
            </w:r>
          </w:p>
        </w:tc>
      </w:tr>
      <w:tr w:rsidR="00C82EE5" w:rsidRPr="002D02F3" w:rsidTr="0056083E">
        <w:trPr>
          <w:trHeight w:val="52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16 832</w:t>
            </w:r>
          </w:p>
        </w:tc>
        <w:tc>
          <w:tcPr>
            <w:tcW w:w="1701"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17 294</w:t>
            </w:r>
          </w:p>
        </w:tc>
        <w:tc>
          <w:tcPr>
            <w:tcW w:w="1701"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17 294</w:t>
            </w:r>
          </w:p>
        </w:tc>
        <w:tc>
          <w:tcPr>
            <w:tcW w:w="1701"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100</w:t>
            </w:r>
            <w:r w:rsidR="007E442D" w:rsidRPr="002D02F3">
              <w:rPr>
                <w:sz w:val="16"/>
              </w:rPr>
              <w:t>%</w:t>
            </w:r>
          </w:p>
        </w:tc>
      </w:tr>
      <w:tr w:rsidR="00C82EE5" w:rsidRPr="002D02F3" w:rsidTr="0056083E">
        <w:trPr>
          <w:trHeight w:val="52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rPr>
                <w:rFonts w:cs="Arial"/>
                <w:sz w:val="16"/>
                <w:szCs w:val="16"/>
              </w:rPr>
            </w:pPr>
            <w:r w:rsidRPr="002D02F3">
              <w:rPr>
                <w:sz w:val="16"/>
              </w:rPr>
              <w:t xml:space="preserve">Autres dépenses </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4 661</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4 461</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4 093</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sz w:val="16"/>
                <w:szCs w:val="16"/>
              </w:rPr>
            </w:pPr>
            <w:r w:rsidRPr="002D02F3">
              <w:rPr>
                <w:sz w:val="16"/>
              </w:rPr>
              <w:t>92</w:t>
            </w:r>
            <w:r w:rsidR="007E442D" w:rsidRPr="002D02F3">
              <w:rPr>
                <w:sz w:val="16"/>
              </w:rPr>
              <w:t>%</w:t>
            </w:r>
          </w:p>
        </w:tc>
      </w:tr>
      <w:tr w:rsidR="00C82EE5" w:rsidRPr="002D02F3" w:rsidTr="0056083E">
        <w:trPr>
          <w:trHeight w:val="52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jc w:val="right"/>
              <w:rPr>
                <w:rFonts w:cs="Arial"/>
                <w:b/>
                <w:bCs/>
                <w:sz w:val="16"/>
                <w:szCs w:val="16"/>
              </w:rPr>
            </w:pPr>
            <w:r w:rsidRPr="002D02F3">
              <w:rPr>
                <w:b/>
                <w:sz w:val="16"/>
              </w:rPr>
              <w:t xml:space="preserve"> TOTAL </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bCs/>
                <w:sz w:val="16"/>
                <w:szCs w:val="16"/>
              </w:rPr>
            </w:pPr>
            <w:r w:rsidRPr="002D02F3">
              <w:rPr>
                <w:b/>
                <w:sz w:val="16"/>
              </w:rPr>
              <w:t>21 493</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21 754</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21 387</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spacing w:before="120" w:after="120"/>
              <w:jc w:val="center"/>
              <w:rPr>
                <w:rFonts w:cs="Arial"/>
                <w:b/>
                <w:sz w:val="16"/>
                <w:szCs w:val="16"/>
              </w:rPr>
            </w:pPr>
            <w:r w:rsidRPr="002D02F3">
              <w:rPr>
                <w:b/>
                <w:sz w:val="16"/>
              </w:rPr>
              <w:t>98</w:t>
            </w:r>
            <w:r w:rsidR="007E442D" w:rsidRPr="002D02F3">
              <w:rPr>
                <w:b/>
                <w:sz w:val="16"/>
              </w:rPr>
              <w:t>%</w:t>
            </w:r>
          </w:p>
        </w:tc>
      </w:tr>
    </w:tbl>
    <w:p w:rsidR="00D42474" w:rsidRDefault="00D42474" w:rsidP="001A5BF9">
      <w:pPr>
        <w:rPr>
          <w:rFonts w:cs="Arial"/>
          <w:szCs w:val="22"/>
        </w:rPr>
      </w:pPr>
    </w:p>
    <w:p w:rsidR="00D42474" w:rsidRDefault="00C82EE5" w:rsidP="001A5BF9">
      <w:pPr>
        <w:keepNext/>
        <w:autoSpaceDE w:val="0"/>
        <w:autoSpaceDN w:val="0"/>
        <w:rPr>
          <w:sz w:val="16"/>
          <w:szCs w:val="16"/>
        </w:rPr>
      </w:pPr>
      <w:proofErr w:type="gramStart"/>
      <w:r w:rsidRPr="002D02F3">
        <w:rPr>
          <w:sz w:val="16"/>
        </w:rPr>
        <w:t>NOTES</w:t>
      </w:r>
      <w:proofErr w:type="gramEnd"/>
      <w:r w:rsidR="0010442A" w:rsidRPr="002D02F3">
        <w:rPr>
          <w:sz w:val="16"/>
        </w:rPr>
        <w:t> </w:t>
      </w:r>
      <w:r w:rsidRPr="002D02F3">
        <w:rPr>
          <w:sz w:val="16"/>
        </w:rPr>
        <w:t>:</w:t>
      </w:r>
    </w:p>
    <w:p w:rsidR="00D42474" w:rsidRDefault="00D42474" w:rsidP="001A5BF9">
      <w:pPr>
        <w:keepNext/>
        <w:autoSpaceDE w:val="0"/>
        <w:autoSpaceDN w:val="0"/>
        <w:rPr>
          <w:sz w:val="16"/>
          <w:szCs w:val="16"/>
        </w:rPr>
      </w:pPr>
    </w:p>
    <w:p w:rsidR="00D42474" w:rsidRDefault="00C82EE5" w:rsidP="001A5BF9">
      <w:pPr>
        <w:keepNext/>
        <w:autoSpaceDE w:val="0"/>
        <w:autoSpaceDN w:val="0"/>
        <w:rPr>
          <w:sz w:val="16"/>
          <w:szCs w:val="16"/>
        </w:rPr>
      </w:pPr>
      <w:r w:rsidRPr="002D02F3">
        <w:rPr>
          <w:sz w:val="16"/>
        </w:rPr>
        <w:t>1)</w:t>
      </w:r>
      <w:r w:rsidR="004F3E42" w:rsidRPr="002D02F3">
        <w:rPr>
          <w:sz w:val="16"/>
        </w:rPr>
        <w:t xml:space="preserve"> </w:t>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keepNext/>
        <w:autoSpaceDE w:val="0"/>
        <w:autoSpaceDN w:val="0"/>
        <w:rPr>
          <w:sz w:val="16"/>
          <w:szCs w:val="16"/>
        </w:rPr>
      </w:pPr>
    </w:p>
    <w:p w:rsidR="00D42474" w:rsidRDefault="00C82EE5" w:rsidP="001A5BF9">
      <w:pPr>
        <w:keepNext/>
        <w:autoSpaceDE w:val="0"/>
        <w:autoSpaceDN w:val="0"/>
        <w:rPr>
          <w:sz w:val="16"/>
        </w:rPr>
      </w:pPr>
      <w:r w:rsidRPr="002D02F3">
        <w:rPr>
          <w:sz w:val="16"/>
        </w:rPr>
        <w:t>(2) Les dépenses de personnel indiquées dans le budget de l</w:t>
      </w:r>
      <w:r w:rsidR="00A20444" w:rsidRPr="002D02F3">
        <w:rPr>
          <w:sz w:val="16"/>
        </w:rPr>
        <w:t>’</w:t>
      </w:r>
      <w:r w:rsidRPr="002D02F3">
        <w:rPr>
          <w:sz w:val="16"/>
        </w:rPr>
        <w:t>exercice 2012</w:t>
      </w:r>
      <w:r w:rsidR="002D6F2A" w:rsidRPr="002D02F3">
        <w:rPr>
          <w:sz w:val="16"/>
        </w:rPr>
        <w:noBreakHyphen/>
      </w:r>
      <w:r w:rsidRPr="002D02F3">
        <w:rPr>
          <w:sz w:val="16"/>
        </w:rPr>
        <w:t>2013 après virements représentent les dépenses réelles engagées pendant l</w:t>
      </w:r>
      <w:r w:rsidR="00A20444" w:rsidRPr="002D02F3">
        <w:rPr>
          <w:sz w:val="16"/>
        </w:rPr>
        <w:t>’</w:t>
      </w:r>
      <w:r w:rsidRPr="002D02F3">
        <w:rPr>
          <w:sz w:val="16"/>
        </w:rPr>
        <w:t>exercice biennal.</w:t>
      </w:r>
    </w:p>
    <w:p w:rsidR="00D42474" w:rsidRDefault="00D42474" w:rsidP="001A5BF9">
      <w:pPr>
        <w:rPr>
          <w:rFonts w:cs="Arial"/>
          <w:sz w:val="18"/>
          <w:szCs w:val="22"/>
        </w:rPr>
      </w:pPr>
    </w:p>
    <w:p w:rsidR="00D42474" w:rsidRDefault="00C82EE5" w:rsidP="001A5BF9">
      <w:pPr>
        <w:tabs>
          <w:tab w:val="left" w:pos="709"/>
        </w:tabs>
        <w:autoSpaceDE w:val="0"/>
        <w:autoSpaceDN w:val="0"/>
        <w:adjustRightInd w:val="0"/>
        <w:rPr>
          <w:rFonts w:cs="Arial"/>
          <w:szCs w:val="20"/>
          <w:u w:val="single"/>
        </w:rPr>
      </w:pPr>
      <w:r w:rsidRPr="00933D5A">
        <w:t>A.</w:t>
      </w:r>
      <w:r w:rsidRPr="00933D5A">
        <w:tab/>
      </w:r>
      <w:r w:rsidRPr="002D02F3">
        <w:rPr>
          <w:u w:val="single"/>
        </w:rPr>
        <w:t>Budget 2012</w:t>
      </w:r>
      <w:r w:rsidR="002D6F2A" w:rsidRPr="002D02F3">
        <w:rPr>
          <w:u w:val="single"/>
        </w:rPr>
        <w:noBreakHyphen/>
      </w:r>
      <w:r w:rsidRPr="002D02F3">
        <w:rPr>
          <w:u w:val="single"/>
        </w:rPr>
        <w:t>2013 après virements</w:t>
      </w:r>
    </w:p>
    <w:p w:rsidR="00D42474" w:rsidRDefault="00D42474" w:rsidP="001A5BF9">
      <w:pPr>
        <w:rPr>
          <w:sz w:val="18"/>
          <w:szCs w:val="20"/>
        </w:rPr>
      </w:pPr>
    </w:p>
    <w:p w:rsidR="00D42474" w:rsidRDefault="00C82EE5" w:rsidP="001A5BF9">
      <w:pPr>
        <w:tabs>
          <w:tab w:val="left" w:pos="709"/>
        </w:tabs>
        <w:autoSpaceDE w:val="0"/>
        <w:autoSpaceDN w:val="0"/>
        <w:adjustRightInd w:val="0"/>
        <w:jc w:val="both"/>
      </w:pPr>
      <w:r w:rsidRPr="002D02F3">
        <w:t xml:space="preserve">23.14. </w:t>
      </w:r>
      <w:r w:rsidR="0010442A" w:rsidRPr="002D02F3">
        <w:t xml:space="preserve"> </w:t>
      </w:r>
      <w:r w:rsidRPr="002D02F3">
        <w:tab/>
        <w:t>L</w:t>
      </w:r>
      <w:r w:rsidR="00A20444" w:rsidRPr="002D02F3">
        <w:t>’</w:t>
      </w:r>
      <w:r w:rsidRPr="002D02F3">
        <w:t>augmentation nette générale des ressources affectées au programme concerne essentiellement le résultat </w:t>
      </w:r>
      <w:proofErr w:type="spellStart"/>
      <w:r w:rsidRPr="002D02F3">
        <w:t>IX.1</w:t>
      </w:r>
      <w:proofErr w:type="spellEnd"/>
      <w:r w:rsidRPr="002D02F3">
        <w:t xml:space="preserve"> (Services d</w:t>
      </w:r>
      <w:r w:rsidR="00A20444" w:rsidRPr="002D02F3">
        <w:t>’</w:t>
      </w:r>
      <w:r w:rsidRPr="002D02F3">
        <w:t>appui efficaces, efficients, de qualité et tournés vers la clientèle) et tient essentiellement :</w:t>
      </w:r>
    </w:p>
    <w:p w:rsidR="00D42474" w:rsidRDefault="00D42474" w:rsidP="001A5BF9">
      <w:pPr>
        <w:tabs>
          <w:tab w:val="left" w:pos="709"/>
        </w:tabs>
        <w:autoSpaceDE w:val="0"/>
        <w:autoSpaceDN w:val="0"/>
        <w:adjustRightInd w:val="0"/>
        <w:jc w:val="both"/>
        <w:rPr>
          <w:rFonts w:cs="Arial"/>
          <w:sz w:val="18"/>
          <w:szCs w:val="20"/>
        </w:rPr>
      </w:pPr>
    </w:p>
    <w:p w:rsidR="00D42474" w:rsidRDefault="00C82EE5" w:rsidP="001A5BF9">
      <w:pPr>
        <w:pStyle w:val="Paragraphedeliste"/>
        <w:numPr>
          <w:ilvl w:val="0"/>
          <w:numId w:val="62"/>
        </w:numPr>
        <w:autoSpaceDE w:val="0"/>
        <w:autoSpaceDN w:val="0"/>
        <w:adjustRightInd w:val="0"/>
        <w:ind w:left="993" w:hanging="284"/>
        <w:jc w:val="both"/>
      </w:pPr>
      <w:r w:rsidRPr="002D02F3">
        <w:t xml:space="preserve">à des coûts de personnel marginaux associés à la mise en œuvre du nouveau Statut et règlement du personnel, à la réforme des contrats et </w:t>
      </w:r>
      <w:r w:rsidRPr="00CD758D">
        <w:t>au flux de RH ERP</w:t>
      </w:r>
      <w:r w:rsidRPr="002D02F3">
        <w:t>;</w:t>
      </w:r>
    </w:p>
    <w:p w:rsidR="00D42474" w:rsidRDefault="00C82EE5" w:rsidP="001A5BF9">
      <w:pPr>
        <w:pStyle w:val="Paragraphedeliste"/>
        <w:numPr>
          <w:ilvl w:val="0"/>
          <w:numId w:val="62"/>
        </w:numPr>
        <w:autoSpaceDE w:val="0"/>
        <w:autoSpaceDN w:val="0"/>
        <w:adjustRightInd w:val="0"/>
        <w:ind w:left="993" w:hanging="284"/>
        <w:jc w:val="both"/>
      </w:pPr>
      <w:r w:rsidRPr="002D02F3">
        <w:t>au renforcement de l</w:t>
      </w:r>
      <w:r w:rsidR="00A20444" w:rsidRPr="002D02F3">
        <w:t>’</w:t>
      </w:r>
      <w:r w:rsidRPr="002D02F3">
        <w:t>orientation vers la clientèle et à l</w:t>
      </w:r>
      <w:r w:rsidR="00A20444" w:rsidRPr="002D02F3">
        <w:t>’</w:t>
      </w:r>
      <w:r w:rsidRPr="002D02F3">
        <w:t>amélioration des services d</w:t>
      </w:r>
      <w:r w:rsidR="00A20444" w:rsidRPr="002D02F3">
        <w:t>’</w:t>
      </w:r>
      <w:r w:rsidRPr="002D02F3">
        <w:t>appui dispensés aux chefs de programme ainsi qu</w:t>
      </w:r>
      <w:r w:rsidR="00A20444" w:rsidRPr="002D02F3">
        <w:t>’</w:t>
      </w:r>
      <w:r w:rsidRPr="002D02F3">
        <w:t>aux membres du personnel;</w:t>
      </w:r>
    </w:p>
    <w:p w:rsidR="00D42474" w:rsidRDefault="00C82EE5" w:rsidP="001A5BF9">
      <w:pPr>
        <w:pStyle w:val="Paragraphedeliste"/>
        <w:numPr>
          <w:ilvl w:val="0"/>
          <w:numId w:val="62"/>
        </w:numPr>
        <w:autoSpaceDE w:val="0"/>
        <w:autoSpaceDN w:val="0"/>
        <w:adjustRightInd w:val="0"/>
        <w:ind w:left="993" w:hanging="284"/>
        <w:jc w:val="both"/>
      </w:pPr>
      <w:r w:rsidRPr="002D02F3">
        <w:t>à l</w:t>
      </w:r>
      <w:r w:rsidR="00A20444" w:rsidRPr="002D02F3">
        <w:t>’</w:t>
      </w:r>
      <w:r w:rsidRPr="002D02F3">
        <w:t>augmentation des coûts de l</w:t>
      </w:r>
      <w:r w:rsidR="00A20444" w:rsidRPr="002D02F3">
        <w:t>’</w:t>
      </w:r>
      <w:r w:rsidRPr="002D02F3">
        <w:t>accord de l</w:t>
      </w:r>
      <w:r w:rsidR="00A20444" w:rsidRPr="002D02F3">
        <w:t>’</w:t>
      </w:r>
      <w:r w:rsidRPr="002D02F3">
        <w:t>OMPI conclu avec l</w:t>
      </w:r>
      <w:r w:rsidR="00A20444" w:rsidRPr="002D02F3">
        <w:t>’</w:t>
      </w:r>
      <w:r w:rsidRPr="002D02F3">
        <w:t xml:space="preserve">Office des </w:t>
      </w:r>
      <w:r w:rsidR="00A20444" w:rsidRPr="002D02F3">
        <w:t>Nations Unies</w:t>
      </w:r>
      <w:r w:rsidRPr="002D02F3">
        <w:t xml:space="preserve"> à Genève pour la prestation de services médicaux;</w:t>
      </w:r>
      <w:r w:rsidR="004F3E42" w:rsidRPr="002D02F3">
        <w:t xml:space="preserve"> </w:t>
      </w:r>
      <w:r w:rsidR="0010442A" w:rsidRPr="002D02F3">
        <w:t xml:space="preserve"> </w:t>
      </w:r>
      <w:r w:rsidRPr="002D02F3">
        <w:t>et</w:t>
      </w:r>
    </w:p>
    <w:p w:rsidR="00D42474" w:rsidRDefault="00C82EE5" w:rsidP="001A5BF9">
      <w:pPr>
        <w:pStyle w:val="Paragraphedeliste"/>
        <w:numPr>
          <w:ilvl w:val="0"/>
          <w:numId w:val="62"/>
        </w:numPr>
        <w:autoSpaceDE w:val="0"/>
        <w:autoSpaceDN w:val="0"/>
        <w:adjustRightInd w:val="0"/>
        <w:ind w:left="993" w:hanging="284"/>
        <w:jc w:val="both"/>
        <w:rPr>
          <w:spacing w:val="-2"/>
        </w:rPr>
      </w:pPr>
      <w:r w:rsidRPr="002D02F3">
        <w:rPr>
          <w:spacing w:val="-2"/>
        </w:rPr>
        <w:t>un appui renforcé à la parité hommes</w:t>
      </w:r>
      <w:r w:rsidR="002D6F2A" w:rsidRPr="002D02F3">
        <w:rPr>
          <w:spacing w:val="-2"/>
        </w:rPr>
        <w:noBreakHyphen/>
      </w:r>
      <w:r w:rsidRPr="002D02F3">
        <w:rPr>
          <w:spacing w:val="-2"/>
        </w:rPr>
        <w:t>femmes et à la diversité géographique de l</w:t>
      </w:r>
      <w:r w:rsidR="00A20444" w:rsidRPr="002D02F3">
        <w:rPr>
          <w:spacing w:val="-2"/>
        </w:rPr>
        <w:t>’</w:t>
      </w:r>
      <w:r w:rsidRPr="002D02F3">
        <w:rPr>
          <w:spacing w:val="-2"/>
        </w:rPr>
        <w:t>Organisation.</w:t>
      </w:r>
    </w:p>
    <w:p w:rsidR="00D42474" w:rsidRDefault="00D42474" w:rsidP="001A5BF9">
      <w:pPr>
        <w:jc w:val="both"/>
        <w:rPr>
          <w:rFonts w:cs="Arial"/>
          <w:sz w:val="18"/>
          <w:szCs w:val="20"/>
        </w:rPr>
      </w:pPr>
    </w:p>
    <w:p w:rsidR="00D42474" w:rsidRDefault="00C82EE5" w:rsidP="001A5BF9">
      <w:pPr>
        <w:jc w:val="both"/>
        <w:rPr>
          <w:rFonts w:cs="Arial"/>
          <w:szCs w:val="20"/>
        </w:rPr>
      </w:pPr>
      <w:r w:rsidRPr="002D02F3">
        <w:t>Les éléments précités ont également engendré une migration des ressources du résultat </w:t>
      </w:r>
      <w:proofErr w:type="spellStart"/>
      <w:r w:rsidRPr="002D02F3">
        <w:t>IX.3</w:t>
      </w:r>
      <w:proofErr w:type="spellEnd"/>
      <w:r w:rsidRPr="002D02F3">
        <w:t xml:space="preserve"> (Effectifs gérés correctement, diversifiés, motivés et qualifiés) vers le résultat </w:t>
      </w:r>
      <w:proofErr w:type="spellStart"/>
      <w:r w:rsidRPr="002D02F3">
        <w:t>IX.1</w:t>
      </w:r>
      <w:proofErr w:type="spellEnd"/>
      <w:r w:rsidRPr="002D02F3">
        <w:t xml:space="preserve"> (Services d</w:t>
      </w:r>
      <w:r w:rsidR="00A20444" w:rsidRPr="002D02F3">
        <w:t>’</w:t>
      </w:r>
      <w:r w:rsidRPr="002D02F3">
        <w:t>appui efficaces, efficients, de qualité et tournés vers la clientèle).</w:t>
      </w:r>
    </w:p>
    <w:p w:rsidR="00D42474" w:rsidRDefault="00D42474" w:rsidP="001A5BF9">
      <w:pPr>
        <w:jc w:val="both"/>
        <w:rPr>
          <w:rFonts w:cs="Arial"/>
          <w:sz w:val="18"/>
          <w:szCs w:val="20"/>
        </w:rPr>
      </w:pPr>
    </w:p>
    <w:p w:rsidR="00D42474" w:rsidRDefault="00C82EE5" w:rsidP="001A5BF9">
      <w:pPr>
        <w:tabs>
          <w:tab w:val="left" w:pos="709"/>
        </w:tabs>
        <w:jc w:val="both"/>
        <w:rPr>
          <w:rFonts w:cs="Arial"/>
          <w:szCs w:val="20"/>
          <w:u w:val="single"/>
        </w:rPr>
      </w:pPr>
      <w:r w:rsidRPr="002D02F3">
        <w:t>B</w:t>
      </w:r>
      <w:r w:rsidR="00933D5A">
        <w:t>.</w:t>
      </w:r>
      <w:r w:rsidRPr="002D02F3">
        <w:t xml:space="preserve"> </w:t>
      </w:r>
      <w:r w:rsidRPr="002D02F3">
        <w:tab/>
      </w:r>
      <w:r w:rsidRPr="002D02F3">
        <w:rPr>
          <w:u w:val="single"/>
        </w:rPr>
        <w:t>Utilisation du budget 2012</w:t>
      </w:r>
      <w:r w:rsidR="002D6F2A" w:rsidRPr="002D02F3">
        <w:rPr>
          <w:u w:val="single"/>
        </w:rPr>
        <w:noBreakHyphen/>
      </w:r>
      <w:r w:rsidRPr="002D02F3">
        <w:rPr>
          <w:u w:val="single"/>
        </w:rPr>
        <w:t>2013</w:t>
      </w:r>
    </w:p>
    <w:p w:rsidR="00D42474" w:rsidRDefault="00D42474" w:rsidP="001A5BF9">
      <w:pPr>
        <w:jc w:val="both"/>
        <w:rPr>
          <w:rFonts w:cs="Arial"/>
          <w:sz w:val="18"/>
          <w:szCs w:val="20"/>
        </w:rPr>
      </w:pPr>
    </w:p>
    <w:p w:rsidR="00D42474" w:rsidRDefault="00C82EE5" w:rsidP="00933D5A">
      <w:pPr>
        <w:tabs>
          <w:tab w:val="left" w:pos="709"/>
        </w:tabs>
        <w:jc w:val="both"/>
        <w:rPr>
          <w:rFonts w:eastAsia="SimSun"/>
          <w:color w:val="000000"/>
          <w:szCs w:val="20"/>
        </w:rPr>
      </w:pPr>
      <w:r w:rsidRPr="002D02F3">
        <w:t>23.15.</w:t>
      </w:r>
      <w:r w:rsidRPr="002D02F3">
        <w:tab/>
        <w:t>Le taux d</w:t>
      </w:r>
      <w:r w:rsidR="00A20444" w:rsidRPr="002D02F3">
        <w:t>’</w:t>
      </w:r>
      <w:r w:rsidRPr="002D02F3">
        <w:t>utilisation de 92</w:t>
      </w:r>
      <w:r w:rsidR="007E442D" w:rsidRPr="002D02F3">
        <w:t>%</w:t>
      </w:r>
      <w:r w:rsidRPr="002D02F3">
        <w:t xml:space="preserve"> du budget traduit des dépenses inférieures à celles prévues en ce qui concerne : la couverture maternité et maladie, le Comité d</w:t>
      </w:r>
      <w:r w:rsidR="00A20444" w:rsidRPr="002D02F3">
        <w:t>’</w:t>
      </w:r>
      <w:r w:rsidRPr="002D02F3">
        <w:t>appel de l</w:t>
      </w:r>
      <w:r w:rsidR="00A20444" w:rsidRPr="002D02F3">
        <w:t>’</w:t>
      </w:r>
      <w:r w:rsidRPr="002D02F3">
        <w:t>OMPI et le tribunal administratif de l</w:t>
      </w:r>
      <w:r w:rsidR="00A20444" w:rsidRPr="002D02F3">
        <w:t>’</w:t>
      </w:r>
      <w:r w:rsidRPr="002D02F3">
        <w:t>OIT, ainsi que les activités de classification.</w:t>
      </w:r>
      <w:r w:rsidRPr="005C7CCE">
        <w:br w:type="page"/>
      </w:r>
    </w:p>
    <w:p w:rsidR="00D42474" w:rsidRDefault="00C82EE5" w:rsidP="001A5BF9">
      <w:pPr>
        <w:pStyle w:val="Heading3"/>
        <w:rPr>
          <w:rFonts w:ascii="Arial" w:hAnsi="Arial" w:cs="Arial"/>
          <w:szCs w:val="22"/>
        </w:rPr>
      </w:pPr>
      <w:bookmarkStart w:id="44" w:name="_Toc395082496"/>
      <w:r w:rsidRPr="00933D5A">
        <w:rPr>
          <w:rFonts w:ascii="Arial" w:hAnsi="Arial"/>
          <w:szCs w:val="22"/>
        </w:rPr>
        <w:t>Programme 24</w:t>
      </w:r>
      <w:r w:rsidRPr="00933D5A">
        <w:rPr>
          <w:rFonts w:ascii="Arial" w:hAnsi="Arial"/>
          <w:szCs w:val="22"/>
        </w:rPr>
        <w:tab/>
        <w:t>Services d</w:t>
      </w:r>
      <w:r w:rsidR="00A20444" w:rsidRPr="00933D5A">
        <w:rPr>
          <w:rFonts w:ascii="Arial" w:hAnsi="Arial"/>
          <w:szCs w:val="22"/>
        </w:rPr>
        <w:t>’</w:t>
      </w:r>
      <w:r w:rsidRPr="00933D5A">
        <w:rPr>
          <w:rFonts w:ascii="Arial" w:hAnsi="Arial"/>
          <w:szCs w:val="22"/>
        </w:rPr>
        <w:t>appui généraux</w:t>
      </w:r>
      <w:bookmarkEnd w:id="44"/>
    </w:p>
    <w:p w:rsidR="00D42474" w:rsidRDefault="00D42474" w:rsidP="001A5BF9">
      <w:pPr>
        <w:ind w:left="2268" w:hanging="2268"/>
        <w:rPr>
          <w:rFonts w:cs="Arial"/>
          <w:b/>
          <w:sz w:val="22"/>
          <w:szCs w:val="22"/>
        </w:rPr>
      </w:pPr>
    </w:p>
    <w:p w:rsidR="00D42474" w:rsidRDefault="00C82EE5" w:rsidP="001A5BF9">
      <w:pPr>
        <w:ind w:left="2268" w:hanging="2268"/>
        <w:rPr>
          <w:rFonts w:cs="Arial"/>
          <w:b/>
          <w:sz w:val="22"/>
          <w:szCs w:val="22"/>
        </w:rPr>
      </w:pPr>
      <w:r w:rsidRPr="00933D5A">
        <w:rPr>
          <w:b/>
          <w:sz w:val="22"/>
          <w:szCs w:val="22"/>
        </w:rPr>
        <w:t>Chef de programme</w:t>
      </w:r>
      <w:r w:rsidRPr="00933D5A">
        <w:rPr>
          <w:b/>
          <w:sz w:val="22"/>
          <w:szCs w:val="22"/>
        </w:rPr>
        <w:tab/>
        <w:t>M. A.</w:t>
      </w:r>
      <w:r w:rsidR="0010442A" w:rsidRPr="00933D5A">
        <w:rPr>
          <w:b/>
          <w:sz w:val="22"/>
          <w:szCs w:val="22"/>
        </w:rPr>
        <w:t> </w:t>
      </w:r>
      <w:proofErr w:type="spellStart"/>
      <w:r w:rsidRPr="00933D5A">
        <w:rPr>
          <w:b/>
          <w:sz w:val="22"/>
          <w:szCs w:val="22"/>
        </w:rPr>
        <w:t>Sundaram</w:t>
      </w:r>
      <w:proofErr w:type="spellEnd"/>
    </w:p>
    <w:p w:rsidR="00D42474" w:rsidRDefault="00D42474" w:rsidP="001A5BF9">
      <w:pPr>
        <w:ind w:left="2268" w:hanging="2268"/>
        <w:rPr>
          <w:rFonts w:cs="Arial"/>
          <w:b/>
          <w:sz w:val="22"/>
          <w:szCs w:val="22"/>
        </w:rPr>
      </w:pPr>
    </w:p>
    <w:p w:rsidR="00D42474" w:rsidRDefault="00D42474" w:rsidP="001A5BF9">
      <w:pPr>
        <w:ind w:left="2268" w:hanging="2268"/>
        <w:rPr>
          <w:rFonts w:cs="Arial"/>
          <w:b/>
          <w:bCs/>
          <w:sz w:val="22"/>
          <w:szCs w:val="22"/>
        </w:rPr>
      </w:pPr>
    </w:p>
    <w:p w:rsidR="00D42474" w:rsidRDefault="00C82EE5" w:rsidP="001A5BF9">
      <w:pPr>
        <w:rPr>
          <w:rFonts w:cs="Arial"/>
          <w:bCs/>
          <w:sz w:val="22"/>
          <w:szCs w:val="22"/>
        </w:rPr>
      </w:pPr>
      <w:r w:rsidRPr="00933D5A">
        <w:rPr>
          <w:sz w:val="22"/>
          <w:szCs w:val="22"/>
        </w:rPr>
        <w:t>RÉALISATIONS EN 2012</w:t>
      </w:r>
      <w:r w:rsidR="002D6F2A" w:rsidRPr="00933D5A">
        <w:rPr>
          <w:sz w:val="22"/>
          <w:szCs w:val="22"/>
        </w:rPr>
        <w:noBreakHyphen/>
      </w:r>
      <w:r w:rsidRPr="00933D5A">
        <w:rPr>
          <w:sz w:val="22"/>
          <w:szCs w:val="22"/>
        </w:rPr>
        <w:t>2013</w:t>
      </w:r>
    </w:p>
    <w:p w:rsidR="00D42474" w:rsidRDefault="00D42474" w:rsidP="001A5BF9">
      <w:pPr>
        <w:autoSpaceDE w:val="0"/>
        <w:autoSpaceDN w:val="0"/>
        <w:adjustRightInd w:val="0"/>
        <w:rPr>
          <w:rFonts w:cs="Arial"/>
          <w:sz w:val="22"/>
          <w:szCs w:val="22"/>
        </w:rPr>
      </w:pPr>
    </w:p>
    <w:p w:rsidR="00D42474" w:rsidRDefault="00C82EE5" w:rsidP="001A5BF9">
      <w:pPr>
        <w:pStyle w:val="Style1"/>
        <w:numPr>
          <w:ilvl w:val="0"/>
          <w:numId w:val="0"/>
        </w:numPr>
        <w:tabs>
          <w:tab w:val="left" w:pos="709"/>
        </w:tabs>
        <w:jc w:val="both"/>
        <w:rPr>
          <w:rFonts w:cs="Arial"/>
          <w:szCs w:val="20"/>
        </w:rPr>
      </w:pPr>
      <w:r w:rsidRPr="002D02F3">
        <w:t>24.1.</w:t>
      </w:r>
      <w:r w:rsidRPr="002D02F3">
        <w:tab/>
        <w:t>En 2012</w:t>
      </w:r>
      <w:r w:rsidR="002D6F2A" w:rsidRPr="002D02F3">
        <w:noBreakHyphen/>
      </w:r>
      <w:r w:rsidRPr="002D02F3">
        <w:t>2013, les achats et les voyages ont accompli des progrès satisfaisants et atteint les résultats escomptés, comme l</w:t>
      </w:r>
      <w:r w:rsidR="00A20444" w:rsidRPr="002D02F3">
        <w:t>’</w:t>
      </w:r>
      <w:r w:rsidRPr="002D02F3">
        <w:t>illustrent les données d</w:t>
      </w:r>
      <w:r w:rsidR="00A20444" w:rsidRPr="002D02F3">
        <w:t>’</w:t>
      </w:r>
      <w:r w:rsidRPr="002D02F3">
        <w:t>exécution présentées ci</w:t>
      </w:r>
      <w:r w:rsidR="002D6F2A" w:rsidRPr="002D02F3">
        <w:noBreakHyphen/>
      </w:r>
      <w:r w:rsidRPr="002D02F3">
        <w:t xml:space="preserve">dessous. </w:t>
      </w:r>
      <w:r w:rsidR="0010442A" w:rsidRPr="002D02F3">
        <w:t xml:space="preserve"> </w:t>
      </w:r>
      <w:r w:rsidRPr="002D02F3">
        <w:t>En ce qui concerne les systèmes fonctionnels destinés à appuyer les activités d</w:t>
      </w:r>
      <w:r w:rsidR="00A20444" w:rsidRPr="002D02F3">
        <w:t>’</w:t>
      </w:r>
      <w:r w:rsidRPr="002D02F3">
        <w:t>achat et de voyage, les points essentiels de l</w:t>
      </w:r>
      <w:r w:rsidR="00A20444" w:rsidRPr="002D02F3">
        <w:t>’</w:t>
      </w:r>
      <w:r w:rsidRPr="002D02F3">
        <w:t>exercice biennal comprenaient la mise à niveau des modules d</w:t>
      </w:r>
      <w:r w:rsidR="00A20444" w:rsidRPr="002D02F3">
        <w:t>’</w:t>
      </w:r>
      <w:r w:rsidRPr="002D02F3">
        <w:t>achat ERP et l</w:t>
      </w:r>
      <w:r w:rsidR="00A20444" w:rsidRPr="002D02F3">
        <w:t>’</w:t>
      </w:r>
      <w:r w:rsidRPr="002D02F3">
        <w:t>intégration des demandes de voyage autres que des membres du personnel par le biais du système de gestion électronique des formulaires e</w:t>
      </w:r>
      <w:r w:rsidR="002D6F2A" w:rsidRPr="002D02F3">
        <w:noBreakHyphen/>
      </w:r>
      <w:r w:rsidRPr="002D02F3">
        <w:t xml:space="preserve">Works. </w:t>
      </w:r>
      <w:r w:rsidR="0010442A" w:rsidRPr="002D02F3">
        <w:t xml:space="preserve"> </w:t>
      </w:r>
      <w:r w:rsidRPr="002D02F3">
        <w:t>Le cadre réglementaire a lui aussi été mis à jour et amélioré par une nouvelle procédure d</w:t>
      </w:r>
      <w:r w:rsidR="00A20444" w:rsidRPr="002D02F3">
        <w:t>’</w:t>
      </w:r>
      <w:r w:rsidRPr="002D02F3">
        <w:t>achats en vue du parachèvement du nouveau projet de salle de conférence, d</w:t>
      </w:r>
      <w:r w:rsidR="00A20444" w:rsidRPr="002D02F3">
        <w:t>’</w:t>
      </w:r>
      <w:r w:rsidRPr="002D02F3">
        <w:t>un code de conduite dans la gestion des relations avec les fournisseurs et d</w:t>
      </w:r>
      <w:r w:rsidR="00A20444" w:rsidRPr="002D02F3">
        <w:t>’</w:t>
      </w:r>
      <w:r w:rsidRPr="002D02F3">
        <w:t>une nouvelle politique sur les voyages, notamment un changement du seuil ouvrant droit à la classe affaires.</w:t>
      </w:r>
    </w:p>
    <w:p w:rsidR="00D42474" w:rsidRDefault="00D42474" w:rsidP="001A5BF9">
      <w:pPr>
        <w:tabs>
          <w:tab w:val="left" w:pos="709"/>
        </w:tabs>
        <w:autoSpaceDE w:val="0"/>
        <w:autoSpaceDN w:val="0"/>
        <w:adjustRightInd w:val="0"/>
        <w:jc w:val="both"/>
        <w:rPr>
          <w:rFonts w:cs="Arial"/>
          <w:szCs w:val="20"/>
        </w:rPr>
      </w:pPr>
    </w:p>
    <w:p w:rsidR="00D42474" w:rsidRDefault="00C82EE5" w:rsidP="001A5BF9">
      <w:pPr>
        <w:pStyle w:val="Style1"/>
        <w:numPr>
          <w:ilvl w:val="0"/>
          <w:numId w:val="0"/>
        </w:numPr>
        <w:tabs>
          <w:tab w:val="left" w:pos="709"/>
        </w:tabs>
        <w:jc w:val="both"/>
      </w:pPr>
      <w:r w:rsidRPr="002D02F3">
        <w:t>24.2.</w:t>
      </w:r>
      <w:r w:rsidRPr="002D02F3">
        <w:tab/>
        <w:t>Les économies se sont poursuivies grâce aux appels d</w:t>
      </w:r>
      <w:r w:rsidR="00A20444" w:rsidRPr="002D02F3">
        <w:t>’</w:t>
      </w:r>
      <w:r w:rsidRPr="002D02F3">
        <w:t>offres émis dans le cadre de la coopération avec d</w:t>
      </w:r>
      <w:r w:rsidR="00A20444" w:rsidRPr="002D02F3">
        <w:t>’</w:t>
      </w:r>
      <w:r w:rsidRPr="002D02F3">
        <w:t xml:space="preserve">autres organisations internationales, qui ont engendré une économie totale de </w:t>
      </w:r>
      <w:r w:rsidR="0010442A" w:rsidRPr="002D02F3">
        <w:t>1911</w:t>
      </w:r>
      <w:r w:rsidRPr="002D02F3">
        <w:t> 500 francs suisses pour l</w:t>
      </w:r>
      <w:r w:rsidR="00A20444" w:rsidRPr="002D02F3">
        <w:t>’</w:t>
      </w:r>
      <w:r w:rsidRPr="002D02F3">
        <w:t>exercice biennal.</w:t>
      </w:r>
      <w:r w:rsidR="0010442A" w:rsidRPr="002D02F3">
        <w:t xml:space="preserve"> </w:t>
      </w:r>
      <w:r w:rsidRPr="002D02F3">
        <w:t xml:space="preserve"> La mise en œuvre d</w:t>
      </w:r>
      <w:r w:rsidR="00A20444" w:rsidRPr="002D02F3">
        <w:t>’</w:t>
      </w:r>
      <w:r w:rsidRPr="002D02F3">
        <w:t>un nouveau seuil pour les voyages en classe économique (neuf heures), la réduction de l</w:t>
      </w:r>
      <w:r w:rsidR="00A20444" w:rsidRPr="002D02F3">
        <w:t>’</w:t>
      </w:r>
      <w:r w:rsidRPr="002D02F3">
        <w:t>indemnité de subsistance pour les vols de nuit et la réservation anticipée des billets ont permis de réaliser une économie totale de 923 000 francs suisses pour l</w:t>
      </w:r>
      <w:r w:rsidR="00A20444" w:rsidRPr="002D02F3">
        <w:t>’</w:t>
      </w:r>
      <w:r w:rsidRPr="002D02F3">
        <w:t xml:space="preserve">exercice biennal. </w:t>
      </w:r>
      <w:r w:rsidR="0010442A" w:rsidRPr="002D02F3">
        <w:t xml:space="preserve"> </w:t>
      </w:r>
      <w:r w:rsidRPr="002D02F3">
        <w:t>On a également réalisé d</w:t>
      </w:r>
      <w:r w:rsidR="00A20444" w:rsidRPr="002D02F3">
        <w:t>’</w:t>
      </w:r>
      <w:r w:rsidRPr="002D02F3">
        <w:t>autres gains d</w:t>
      </w:r>
      <w:r w:rsidR="00A20444" w:rsidRPr="002D02F3">
        <w:t>’</w:t>
      </w:r>
      <w:r w:rsidRPr="002D02F3">
        <w:t xml:space="preserve">efficacité internes, comme une baisse du délai de traitement des visas de tiers et des transactions liées aux voyages et à des manifestations. </w:t>
      </w:r>
      <w:r w:rsidR="0010442A" w:rsidRPr="002D02F3">
        <w:t xml:space="preserve"> </w:t>
      </w:r>
      <w:r w:rsidRPr="002D02F3">
        <w:t>Le temps de traitement des bons de commande a également été réduit de moitié, tandis que le nombre de bons de commande annulés a diminué de 30</w:t>
      </w:r>
      <w:r w:rsidR="007E442D" w:rsidRPr="002D02F3">
        <w:t>%</w:t>
      </w:r>
      <w:r w:rsidRPr="002D02F3">
        <w:t xml:space="preserve"> sur l</w:t>
      </w:r>
      <w:r w:rsidR="00A20444" w:rsidRPr="002D02F3">
        <w:t>’</w:t>
      </w:r>
      <w:r w:rsidRPr="002D02F3">
        <w:t>exercice biennal.</w:t>
      </w:r>
    </w:p>
    <w:p w:rsidR="00D42474" w:rsidRDefault="00D42474" w:rsidP="001A5BF9">
      <w:pPr>
        <w:tabs>
          <w:tab w:val="left" w:pos="709"/>
        </w:tabs>
        <w:jc w:val="both"/>
        <w:rPr>
          <w:rFonts w:cs="Arial"/>
          <w:szCs w:val="20"/>
        </w:rPr>
      </w:pPr>
    </w:p>
    <w:p w:rsidR="00D42474" w:rsidRDefault="00C82EE5" w:rsidP="001A5BF9">
      <w:pPr>
        <w:tabs>
          <w:tab w:val="left" w:pos="709"/>
        </w:tabs>
        <w:jc w:val="both"/>
      </w:pPr>
      <w:r w:rsidRPr="002D02F3">
        <w:t>24.3.</w:t>
      </w:r>
      <w:r w:rsidRPr="002D02F3">
        <w:tab/>
        <w:t xml:space="preserve">En ce qui concerne la gestion des locaux, à la fin de 2013, </w:t>
      </w:r>
      <w:r w:rsidR="0010442A" w:rsidRPr="002D02F3">
        <w:t>1627</w:t>
      </w:r>
      <w:r w:rsidRPr="002D02F3">
        <w:t> espaces de travail étaient disponibles dans l</w:t>
      </w:r>
      <w:r w:rsidR="00A20444" w:rsidRPr="002D02F3">
        <w:t>’</w:t>
      </w:r>
      <w:r w:rsidRPr="002D02F3">
        <w:t>ensemble des bâtiments (locaux détenus ou loués par l</w:t>
      </w:r>
      <w:r w:rsidR="00A20444" w:rsidRPr="002D02F3">
        <w:t>’</w:t>
      </w:r>
      <w:r w:rsidRPr="002D02F3">
        <w:t xml:space="preserve">OMPI), soit une augmentation de 48 espaces de travail supplémentaires par rapport à la fin du précédent exercice biennal (1 579 espaces de travail en 2011). </w:t>
      </w:r>
      <w:r w:rsidR="0010442A" w:rsidRPr="002D02F3">
        <w:t xml:space="preserve"> </w:t>
      </w:r>
      <w:r w:rsidRPr="002D02F3">
        <w:t>Sur ce nombre, 85,6</w:t>
      </w:r>
      <w:r w:rsidR="007E442D" w:rsidRPr="002D02F3">
        <w:t>%</w:t>
      </w:r>
      <w:r w:rsidRPr="002D02F3">
        <w:t xml:space="preserve"> étaient occupés en</w:t>
      </w:r>
      <w:r w:rsidR="0010442A" w:rsidRPr="002D02F3">
        <w:t> </w:t>
      </w:r>
      <w:r w:rsidRPr="002D02F3">
        <w:t>2013, contre 87</w:t>
      </w:r>
      <w:r w:rsidR="007E442D" w:rsidRPr="002D02F3">
        <w:t>%</w:t>
      </w:r>
      <w:r w:rsidRPr="002D02F3">
        <w:t xml:space="preserve"> à la fin de</w:t>
      </w:r>
      <w:r w:rsidR="0010442A" w:rsidRPr="002D02F3">
        <w:t> </w:t>
      </w:r>
      <w:r w:rsidRPr="002D02F3">
        <w:t>2011.</w:t>
      </w:r>
      <w:r w:rsidR="0010442A" w:rsidRPr="002D02F3">
        <w:t xml:space="preserve"> </w:t>
      </w:r>
      <w:r w:rsidR="004F3E42" w:rsidRPr="002D02F3">
        <w:t xml:space="preserve"> </w:t>
      </w:r>
      <w:r w:rsidRPr="002D02F3">
        <w:t>L</w:t>
      </w:r>
      <w:r w:rsidR="00A20444" w:rsidRPr="002D02F3">
        <w:t>’</w:t>
      </w:r>
      <w:r w:rsidRPr="002D02F3">
        <w:t>augmentation du nombre d</w:t>
      </w:r>
      <w:r w:rsidR="00A20444" w:rsidRPr="002D02F3">
        <w:t>’</w:t>
      </w:r>
      <w:r w:rsidRPr="002D02F3">
        <w:t>espaces de travail non occupés tenait essentiellement à la pleine mise en œuvre d</w:t>
      </w:r>
      <w:r w:rsidR="00A20444" w:rsidRPr="002D02F3">
        <w:t>’</w:t>
      </w:r>
      <w:r w:rsidRPr="002D02F3">
        <w:t>une politique d</w:t>
      </w:r>
      <w:r w:rsidR="00A20444" w:rsidRPr="002D02F3">
        <w:t>’</w:t>
      </w:r>
      <w:r w:rsidRPr="002D02F3">
        <w:t>attribution des espaces de bureaux plus stricte (publiée en décembre 2010) pour l</w:t>
      </w:r>
      <w:r w:rsidR="00A20444" w:rsidRPr="002D02F3">
        <w:t>’</w:t>
      </w:r>
      <w:r w:rsidRPr="002D02F3">
        <w:t>ensemble des bâtiments.</w:t>
      </w:r>
    </w:p>
    <w:p w:rsidR="00D42474" w:rsidRDefault="00D42474" w:rsidP="001A5BF9">
      <w:pPr>
        <w:tabs>
          <w:tab w:val="left" w:pos="709"/>
        </w:tabs>
        <w:jc w:val="both"/>
        <w:rPr>
          <w:rFonts w:cs="Arial"/>
          <w:szCs w:val="20"/>
        </w:rPr>
      </w:pPr>
    </w:p>
    <w:p w:rsidR="00D42474" w:rsidRDefault="00C82EE5" w:rsidP="001A5BF9">
      <w:pPr>
        <w:tabs>
          <w:tab w:val="left" w:pos="709"/>
        </w:tabs>
        <w:jc w:val="both"/>
      </w:pPr>
      <w:r w:rsidRPr="002D02F3">
        <w:t>24.4.</w:t>
      </w:r>
      <w:r w:rsidRPr="002D02F3">
        <w:tab/>
        <w:t>Par conséquent, le Secrétariat a pu poursuivre la gestion des demandes d</w:t>
      </w:r>
      <w:r w:rsidR="00A20444" w:rsidRPr="002D02F3">
        <w:t>’</w:t>
      </w:r>
      <w:r w:rsidRPr="002D02F3">
        <w:t xml:space="preserve">espaces de travail sans avoir besoin de recourir à la location de lieux de travail supplémentaires hors site. </w:t>
      </w:r>
      <w:r w:rsidR="0010442A" w:rsidRPr="002D02F3">
        <w:t xml:space="preserve"> </w:t>
      </w:r>
      <w:r w:rsidRPr="002D02F3">
        <w:t>En outre, un certain volume de documents, de dossiers et d</w:t>
      </w:r>
      <w:r w:rsidR="00A20444" w:rsidRPr="002D02F3">
        <w:t>’</w:t>
      </w:r>
      <w:r w:rsidRPr="002D02F3">
        <w:t xml:space="preserve">équipements entreposés ont pu être </w:t>
      </w:r>
      <w:proofErr w:type="gramStart"/>
      <w:r w:rsidRPr="002D02F3">
        <w:t>liquidés</w:t>
      </w:r>
      <w:proofErr w:type="gramEnd"/>
      <w:r w:rsidRPr="002D02F3">
        <w:t>, ce qui a contribué à l</w:t>
      </w:r>
      <w:r w:rsidR="00A20444" w:rsidRPr="002D02F3">
        <w:t>’</w:t>
      </w:r>
      <w:r w:rsidRPr="002D02F3">
        <w:t>utilisation plus efficace et économique des aires de stockage sur le site et hors site.</w:t>
      </w:r>
      <w:r w:rsidR="004F3E42" w:rsidRPr="002D02F3">
        <w:t xml:space="preserve"> </w:t>
      </w:r>
      <w:r w:rsidR="0010442A" w:rsidRPr="002D02F3">
        <w:t xml:space="preserve"> </w:t>
      </w:r>
      <w:r w:rsidRPr="002D02F3">
        <w:t>Cela a abouti à la résiliation de deux espaces de stockage hors site au cours de 2012 et à la résiliation de la location de 10 espaces de parking en 2013.</w:t>
      </w:r>
    </w:p>
    <w:p w:rsidR="00D42474" w:rsidRDefault="00D42474" w:rsidP="001A5BF9">
      <w:pPr>
        <w:tabs>
          <w:tab w:val="left" w:pos="709"/>
        </w:tabs>
        <w:jc w:val="both"/>
      </w:pPr>
    </w:p>
    <w:p w:rsidR="00D42474" w:rsidRDefault="00C82EE5" w:rsidP="001A5BF9">
      <w:pPr>
        <w:tabs>
          <w:tab w:val="left" w:pos="709"/>
        </w:tabs>
        <w:jc w:val="both"/>
      </w:pPr>
      <w:r w:rsidRPr="002D02F3">
        <w:t>24.5.</w:t>
      </w:r>
      <w:r w:rsidRPr="002D02F3">
        <w:tab/>
        <w:t>Afin d</w:t>
      </w:r>
      <w:r w:rsidR="00A20444" w:rsidRPr="002D02F3">
        <w:t>’</w:t>
      </w:r>
      <w:r w:rsidRPr="002D02F3">
        <w:t>améliorer la sécurité, une politique a été mise en œuvre dans l</w:t>
      </w:r>
      <w:r w:rsidR="00A20444" w:rsidRPr="002D02F3">
        <w:t>’</w:t>
      </w:r>
      <w:r w:rsidRPr="002D02F3">
        <w:t>ensemble des bâtiments (comme cela avait été fait dans le nouveau bâtiment au départ) dans le cadre de laquelle certains équipements de grande taille, classeurs et réserves de papier doivent être enlevés des espaces communs et placés dans des espaces clos afin de limiter les risques en cas d</w:t>
      </w:r>
      <w:r w:rsidR="00A20444" w:rsidRPr="002D02F3">
        <w:t>’</w:t>
      </w:r>
      <w:r w:rsidRPr="002D02F3">
        <w:t xml:space="preserve">incendie et autres incidents. </w:t>
      </w:r>
      <w:r w:rsidR="0010442A" w:rsidRPr="002D02F3">
        <w:t xml:space="preserve"> </w:t>
      </w:r>
      <w:r w:rsidRPr="002D02F3">
        <w:t>Un certain nombre d</w:t>
      </w:r>
      <w:r w:rsidR="00A20444" w:rsidRPr="002D02F3">
        <w:t>’</w:t>
      </w:r>
      <w:r w:rsidRPr="002D02F3">
        <w:t>espaces de travail restent réservés sur un seul étage du bâtiment du PCT afin de créer le “chantier” nécessaire, en vue d</w:t>
      </w:r>
      <w:r w:rsidR="00A20444" w:rsidRPr="002D02F3">
        <w:t>’</w:t>
      </w:r>
      <w:r w:rsidRPr="002D02F3">
        <w:t>appuyer les principales rénovations des façades et du système de refroidissement/chauffage prévues au cours de l</w:t>
      </w:r>
      <w:r w:rsidR="00A20444" w:rsidRPr="002D02F3">
        <w:t>’</w:t>
      </w:r>
      <w:r w:rsidRPr="002D02F3">
        <w:t>exercice 2014</w:t>
      </w:r>
      <w:r w:rsidR="002D6F2A" w:rsidRPr="002D02F3">
        <w:noBreakHyphen/>
      </w:r>
      <w:r w:rsidRPr="002D02F3">
        <w:t>2015.</w:t>
      </w:r>
    </w:p>
    <w:p w:rsidR="00D42474" w:rsidRDefault="00D42474" w:rsidP="001A5BF9">
      <w:pPr>
        <w:tabs>
          <w:tab w:val="left" w:pos="709"/>
        </w:tabs>
        <w:jc w:val="both"/>
        <w:rPr>
          <w:rFonts w:cs="Arial"/>
          <w:szCs w:val="20"/>
        </w:rPr>
      </w:pPr>
    </w:p>
    <w:p w:rsidR="00D42474" w:rsidRDefault="00C82EE5" w:rsidP="001A5BF9">
      <w:pPr>
        <w:tabs>
          <w:tab w:val="left" w:pos="709"/>
        </w:tabs>
        <w:jc w:val="both"/>
        <w:rPr>
          <w:rFonts w:cs="Arial"/>
          <w:szCs w:val="20"/>
        </w:rPr>
      </w:pPr>
      <w:r w:rsidRPr="002D02F3">
        <w:t>24.6.</w:t>
      </w:r>
      <w:r w:rsidRPr="002D02F3">
        <w:tab/>
        <w:t xml:space="preserve">En ce qui concerne les installations techniques, un entretien régulier a été entrepris et tous les locaux continuent à fonctionner correctement. </w:t>
      </w:r>
      <w:r w:rsidR="0010442A" w:rsidRPr="002D02F3">
        <w:t xml:space="preserve"> </w:t>
      </w:r>
      <w:r w:rsidRPr="002D02F3">
        <w:t>En ce qui concerne le bâtiment du PCT, les résultats de la deuxième évaluation technique d</w:t>
      </w:r>
      <w:r w:rsidR="00A20444" w:rsidRPr="002D02F3">
        <w:t>’</w:t>
      </w:r>
      <w:r w:rsidRPr="002D02F3">
        <w:t>experts ont été reçus en 2013;</w:t>
      </w:r>
      <w:r w:rsidR="004F3E42" w:rsidRPr="002D02F3">
        <w:t xml:space="preserve"> </w:t>
      </w:r>
      <w:r w:rsidR="0010442A" w:rsidRPr="002D02F3">
        <w:t xml:space="preserve"> </w:t>
      </w:r>
      <w:r w:rsidRPr="002D02F3">
        <w:t>le remplacemen</w:t>
      </w:r>
      <w:r w:rsidR="00BD43F2" w:rsidRPr="002D02F3">
        <w:t>t du système de refroidissement</w:t>
      </w:r>
      <w:r w:rsidRPr="002D02F3">
        <w:t>/chauffage et la rénovation des façades seront effectués dans le cadre du Plan</w:t>
      </w:r>
      <w:r w:rsidR="002D6F2A" w:rsidRPr="002D02F3">
        <w:noBreakHyphen/>
      </w:r>
      <w:r w:rsidRPr="002D02F3">
        <w:t>cadre d</w:t>
      </w:r>
      <w:r w:rsidR="00A20444" w:rsidRPr="002D02F3">
        <w:t>’</w:t>
      </w:r>
      <w:r w:rsidRPr="002D02F3">
        <w:t xml:space="preserve">équipement approuvé par les États membres en 2013. </w:t>
      </w:r>
      <w:r w:rsidR="0010442A" w:rsidRPr="002D02F3">
        <w:t xml:space="preserve"> </w:t>
      </w:r>
      <w:r w:rsidRPr="002D02F3">
        <w:t>En outre, la mise en œuvre d</w:t>
      </w:r>
      <w:r w:rsidR="00A20444" w:rsidRPr="002D02F3">
        <w:t>’</w:t>
      </w:r>
      <w:r w:rsidRPr="002D02F3">
        <w:t>une solution plus respectueuse de l</w:t>
      </w:r>
      <w:r w:rsidR="00A20444" w:rsidRPr="002D02F3">
        <w:t>’</w:t>
      </w:r>
      <w:r w:rsidRPr="002D02F3">
        <w:t xml:space="preserve">environnement pour le refroidissement des bâtiments </w:t>
      </w:r>
      <w:proofErr w:type="spellStart"/>
      <w:r w:rsidRPr="002D02F3">
        <w:t>GBI</w:t>
      </w:r>
      <w:proofErr w:type="spellEnd"/>
      <w:r w:rsidRPr="002D02F3">
        <w:t xml:space="preserve"> et </w:t>
      </w:r>
      <w:proofErr w:type="spellStart"/>
      <w:r w:rsidRPr="002D02F3">
        <w:t>GBII</w:t>
      </w:r>
      <w:proofErr w:type="spellEnd"/>
      <w:r w:rsidRPr="002D02F3">
        <w:t xml:space="preserve"> au moyen des eaux du lac Léman a été achevée </w:t>
      </w:r>
      <w:proofErr w:type="spellStart"/>
      <w:r w:rsidRPr="002D02F3">
        <w:t>mi</w:t>
      </w:r>
      <w:r w:rsidR="002D6F2A" w:rsidRPr="002D02F3">
        <w:noBreakHyphen/>
      </w:r>
      <w:r w:rsidRPr="002D02F3">
        <w:t>2013</w:t>
      </w:r>
      <w:proofErr w:type="spellEnd"/>
      <w:r w:rsidRPr="002D02F3">
        <w:t>.</w:t>
      </w:r>
    </w:p>
    <w:p w:rsidR="00D42474" w:rsidRDefault="00D42474" w:rsidP="001A5BF9">
      <w:pPr>
        <w:tabs>
          <w:tab w:val="left" w:pos="709"/>
        </w:tabs>
        <w:jc w:val="both"/>
        <w:rPr>
          <w:rFonts w:cs="Arial"/>
          <w:szCs w:val="20"/>
        </w:rPr>
      </w:pPr>
    </w:p>
    <w:p w:rsidR="00D42474" w:rsidRDefault="00C82EE5" w:rsidP="001A5BF9">
      <w:pPr>
        <w:pStyle w:val="Sansinterligne"/>
        <w:tabs>
          <w:tab w:val="left" w:pos="709"/>
        </w:tabs>
        <w:jc w:val="both"/>
        <w:rPr>
          <w:rFonts w:ascii="Arial" w:hAnsi="Arial"/>
          <w:sz w:val="20"/>
        </w:rPr>
      </w:pPr>
      <w:r w:rsidRPr="002D02F3">
        <w:rPr>
          <w:rFonts w:ascii="Arial" w:hAnsi="Arial"/>
          <w:sz w:val="20"/>
        </w:rPr>
        <w:t>24.7.</w:t>
      </w:r>
      <w:r w:rsidRPr="002D02F3">
        <w:rPr>
          <w:rFonts w:ascii="Arial" w:hAnsi="Arial"/>
          <w:sz w:val="20"/>
        </w:rPr>
        <w:tab/>
        <w:t>Les mesures visant à réduire la consommation d</w:t>
      </w:r>
      <w:r w:rsidR="00A20444" w:rsidRPr="002D02F3">
        <w:rPr>
          <w:rFonts w:ascii="Arial" w:hAnsi="Arial"/>
          <w:sz w:val="20"/>
        </w:rPr>
        <w:t>’</w:t>
      </w:r>
      <w:r w:rsidRPr="002D02F3">
        <w:rPr>
          <w:rFonts w:ascii="Arial" w:hAnsi="Arial"/>
          <w:sz w:val="20"/>
        </w:rPr>
        <w:t>électricité ont abouti à une réduction annuelle de la consommation d</w:t>
      </w:r>
      <w:r w:rsidR="00A20444" w:rsidRPr="002D02F3">
        <w:rPr>
          <w:rFonts w:ascii="Arial" w:hAnsi="Arial"/>
          <w:sz w:val="20"/>
        </w:rPr>
        <w:t>’</w:t>
      </w:r>
      <w:r w:rsidRPr="002D02F3">
        <w:rPr>
          <w:rFonts w:ascii="Arial" w:hAnsi="Arial"/>
          <w:sz w:val="20"/>
        </w:rPr>
        <w:t>électricité d</w:t>
      </w:r>
      <w:r w:rsidR="00A20444" w:rsidRPr="002D02F3">
        <w:rPr>
          <w:rFonts w:ascii="Arial" w:hAnsi="Arial"/>
          <w:sz w:val="20"/>
        </w:rPr>
        <w:t>’</w:t>
      </w:r>
      <w:r w:rsidRPr="002D02F3">
        <w:rPr>
          <w:rFonts w:ascii="Arial" w:hAnsi="Arial"/>
          <w:sz w:val="20"/>
        </w:rPr>
        <w:t>environ 2</w:t>
      </w:r>
      <w:r w:rsidR="007E442D" w:rsidRPr="002D02F3">
        <w:rPr>
          <w:rFonts w:ascii="Arial" w:hAnsi="Arial"/>
          <w:sz w:val="20"/>
        </w:rPr>
        <w:t>%</w:t>
      </w:r>
      <w:r w:rsidRPr="002D02F3">
        <w:rPr>
          <w:rFonts w:ascii="Arial" w:hAnsi="Arial"/>
          <w:sz w:val="20"/>
        </w:rPr>
        <w:t xml:space="preserve"> (140 000 kWh) entre 2012 et 2013, ce qui représente une économie annuelle d</w:t>
      </w:r>
      <w:r w:rsidR="00A20444" w:rsidRPr="002D02F3">
        <w:rPr>
          <w:rFonts w:ascii="Arial" w:hAnsi="Arial"/>
          <w:sz w:val="20"/>
        </w:rPr>
        <w:t>’</w:t>
      </w:r>
      <w:r w:rsidRPr="002D02F3">
        <w:rPr>
          <w:rFonts w:ascii="Arial" w:hAnsi="Arial"/>
          <w:sz w:val="20"/>
        </w:rPr>
        <w:t xml:space="preserve">environ 15 000 francs suisses. </w:t>
      </w:r>
      <w:r w:rsidR="0010442A" w:rsidRPr="002D02F3">
        <w:rPr>
          <w:rFonts w:ascii="Arial" w:hAnsi="Arial"/>
          <w:sz w:val="20"/>
        </w:rPr>
        <w:t xml:space="preserve"> </w:t>
      </w:r>
      <w:r w:rsidRPr="002D02F3">
        <w:rPr>
          <w:rFonts w:ascii="Arial" w:hAnsi="Arial"/>
          <w:sz w:val="20"/>
        </w:rPr>
        <w:t>Ces mesures comprenaient : i) une mise à niveau des installations électriques dans le plus vieux bâtiment du campus de l</w:t>
      </w:r>
      <w:r w:rsidR="00A20444" w:rsidRPr="002D02F3">
        <w:rPr>
          <w:rFonts w:ascii="Arial" w:hAnsi="Arial"/>
          <w:sz w:val="20"/>
        </w:rPr>
        <w:t>’</w:t>
      </w:r>
      <w:r w:rsidRPr="002D02F3">
        <w:rPr>
          <w:rFonts w:ascii="Arial" w:hAnsi="Arial"/>
          <w:sz w:val="20"/>
        </w:rPr>
        <w:t>OMPI (</w:t>
      </w:r>
      <w:proofErr w:type="spellStart"/>
      <w:r w:rsidRPr="002D02F3">
        <w:rPr>
          <w:rFonts w:ascii="Arial" w:hAnsi="Arial"/>
          <w:sz w:val="20"/>
        </w:rPr>
        <w:t>GBI</w:t>
      </w:r>
      <w:proofErr w:type="spellEnd"/>
      <w:r w:rsidRPr="002D02F3">
        <w:rPr>
          <w:rFonts w:ascii="Arial" w:hAnsi="Arial"/>
          <w:sz w:val="20"/>
        </w:rPr>
        <w:t>) qui s</w:t>
      </w:r>
      <w:r w:rsidR="00A20444" w:rsidRPr="002D02F3">
        <w:rPr>
          <w:rFonts w:ascii="Arial" w:hAnsi="Arial"/>
          <w:sz w:val="20"/>
        </w:rPr>
        <w:t>’</w:t>
      </w:r>
      <w:r w:rsidRPr="002D02F3">
        <w:rPr>
          <w:rFonts w:ascii="Arial" w:hAnsi="Arial"/>
          <w:sz w:val="20"/>
        </w:rPr>
        <w:t>est achevée en 2013;</w:t>
      </w:r>
      <w:r w:rsidR="004F3E42" w:rsidRPr="002D02F3">
        <w:rPr>
          <w:rFonts w:ascii="Arial" w:hAnsi="Arial"/>
          <w:sz w:val="20"/>
        </w:rPr>
        <w:t xml:space="preserve"> </w:t>
      </w:r>
      <w:r w:rsidR="0010442A" w:rsidRPr="002D02F3">
        <w:rPr>
          <w:rFonts w:ascii="Arial" w:hAnsi="Arial"/>
          <w:sz w:val="20"/>
        </w:rPr>
        <w:t xml:space="preserve"> </w:t>
      </w:r>
      <w:r w:rsidRPr="002D02F3">
        <w:rPr>
          <w:rFonts w:ascii="Arial" w:hAnsi="Arial"/>
          <w:sz w:val="20"/>
        </w:rPr>
        <w:t>ii) le déploiement d</w:t>
      </w:r>
      <w:r w:rsidR="00A20444" w:rsidRPr="002D02F3">
        <w:rPr>
          <w:rFonts w:ascii="Arial" w:hAnsi="Arial"/>
          <w:sz w:val="20"/>
        </w:rPr>
        <w:t>’</w:t>
      </w:r>
      <w:r w:rsidRPr="002D02F3">
        <w:rPr>
          <w:rFonts w:ascii="Arial" w:hAnsi="Arial"/>
          <w:sz w:val="20"/>
        </w:rPr>
        <w:t>un système de refroidissement économique et respectueux de l</w:t>
      </w:r>
      <w:r w:rsidR="00A20444" w:rsidRPr="002D02F3">
        <w:rPr>
          <w:rFonts w:ascii="Arial" w:hAnsi="Arial"/>
          <w:sz w:val="20"/>
        </w:rPr>
        <w:t>’</w:t>
      </w:r>
      <w:r w:rsidRPr="002D02F3">
        <w:rPr>
          <w:rFonts w:ascii="Arial" w:hAnsi="Arial"/>
          <w:sz w:val="20"/>
        </w:rPr>
        <w:t xml:space="preserve">environnement dans le bâtiment </w:t>
      </w:r>
      <w:proofErr w:type="spellStart"/>
      <w:r w:rsidRPr="002D02F3">
        <w:rPr>
          <w:rFonts w:ascii="Arial" w:hAnsi="Arial"/>
          <w:sz w:val="20"/>
        </w:rPr>
        <w:t>GBI</w:t>
      </w:r>
      <w:proofErr w:type="spellEnd"/>
      <w:r w:rsidRPr="002D02F3">
        <w:rPr>
          <w:rFonts w:ascii="Arial" w:hAnsi="Arial"/>
          <w:sz w:val="20"/>
        </w:rPr>
        <w:t xml:space="preserve"> en 2012 et le bâtiment </w:t>
      </w:r>
      <w:proofErr w:type="spellStart"/>
      <w:r w:rsidRPr="002D02F3">
        <w:rPr>
          <w:rFonts w:ascii="Arial" w:hAnsi="Arial"/>
          <w:sz w:val="20"/>
        </w:rPr>
        <w:t>GBII</w:t>
      </w:r>
      <w:proofErr w:type="spellEnd"/>
      <w:r w:rsidRPr="002D02F3">
        <w:rPr>
          <w:rFonts w:ascii="Arial" w:hAnsi="Arial"/>
          <w:sz w:val="20"/>
        </w:rPr>
        <w:t xml:space="preserve"> en 2013;</w:t>
      </w:r>
      <w:r w:rsidR="004F3E42" w:rsidRPr="002D02F3">
        <w:rPr>
          <w:rFonts w:ascii="Arial" w:hAnsi="Arial"/>
          <w:sz w:val="20"/>
        </w:rPr>
        <w:t xml:space="preserve"> </w:t>
      </w:r>
      <w:r w:rsidR="0010442A" w:rsidRPr="002D02F3">
        <w:rPr>
          <w:rFonts w:ascii="Arial" w:hAnsi="Arial"/>
          <w:sz w:val="20"/>
        </w:rPr>
        <w:t xml:space="preserve"> </w:t>
      </w:r>
      <w:r w:rsidRPr="002D02F3">
        <w:rPr>
          <w:rFonts w:ascii="Arial" w:hAnsi="Arial"/>
          <w:sz w:val="20"/>
        </w:rPr>
        <w:t>iii) la réduction de 50</w:t>
      </w:r>
      <w:r w:rsidR="007E442D" w:rsidRPr="002D02F3">
        <w:rPr>
          <w:rFonts w:ascii="Arial" w:hAnsi="Arial"/>
          <w:sz w:val="20"/>
        </w:rPr>
        <w:t>%</w:t>
      </w:r>
      <w:r w:rsidRPr="002D02F3">
        <w:rPr>
          <w:rFonts w:ascii="Arial" w:hAnsi="Arial"/>
          <w:sz w:val="20"/>
        </w:rPr>
        <w:t xml:space="preserve"> des sources de lumière dans les étages de bureaux du bâtiment AB en 2013;</w:t>
      </w:r>
      <w:r w:rsidR="0010442A" w:rsidRPr="002D02F3">
        <w:rPr>
          <w:rFonts w:ascii="Arial" w:hAnsi="Arial"/>
          <w:sz w:val="20"/>
        </w:rPr>
        <w:t xml:space="preserve"> </w:t>
      </w:r>
      <w:r w:rsidR="004F3E42" w:rsidRPr="002D02F3">
        <w:rPr>
          <w:rFonts w:ascii="Arial" w:hAnsi="Arial"/>
          <w:sz w:val="20"/>
        </w:rPr>
        <w:t xml:space="preserve"> </w:t>
      </w:r>
      <w:r w:rsidRPr="002D02F3">
        <w:rPr>
          <w:rFonts w:ascii="Arial" w:hAnsi="Arial"/>
          <w:sz w:val="20"/>
        </w:rPr>
        <w:t>et iv) l</w:t>
      </w:r>
      <w:r w:rsidR="00A20444" w:rsidRPr="002D02F3">
        <w:rPr>
          <w:rFonts w:ascii="Arial" w:hAnsi="Arial"/>
          <w:sz w:val="20"/>
        </w:rPr>
        <w:t>’</w:t>
      </w:r>
      <w:r w:rsidRPr="002D02F3">
        <w:rPr>
          <w:rFonts w:ascii="Arial" w:hAnsi="Arial"/>
          <w:sz w:val="20"/>
        </w:rPr>
        <w:t>installation de minuteries dans les couloirs des bâtiments A</w:t>
      </w:r>
      <w:r w:rsidR="00D50C75" w:rsidRPr="002D02F3">
        <w:rPr>
          <w:rFonts w:ascii="Arial" w:hAnsi="Arial"/>
          <w:sz w:val="20"/>
        </w:rPr>
        <w:t>B</w:t>
      </w:r>
      <w:r w:rsidRPr="002D02F3">
        <w:rPr>
          <w:rFonts w:ascii="Arial" w:hAnsi="Arial"/>
          <w:sz w:val="20"/>
        </w:rPr>
        <w:t xml:space="preserve"> et </w:t>
      </w:r>
      <w:proofErr w:type="spellStart"/>
      <w:r w:rsidRPr="002D02F3">
        <w:rPr>
          <w:rFonts w:ascii="Arial" w:hAnsi="Arial"/>
          <w:sz w:val="20"/>
        </w:rPr>
        <w:t>GBI</w:t>
      </w:r>
      <w:proofErr w:type="spellEnd"/>
      <w:r w:rsidRPr="002D02F3">
        <w:rPr>
          <w:rFonts w:ascii="Arial" w:hAnsi="Arial"/>
          <w:sz w:val="20"/>
        </w:rPr>
        <w:t xml:space="preserve"> et de capteurs de pénombre dans le bâtiment </w:t>
      </w:r>
      <w:proofErr w:type="spellStart"/>
      <w:r w:rsidRPr="002D02F3">
        <w:rPr>
          <w:rFonts w:ascii="Arial" w:hAnsi="Arial"/>
          <w:sz w:val="20"/>
        </w:rPr>
        <w:t>GBI</w:t>
      </w:r>
      <w:proofErr w:type="spellEnd"/>
      <w:r w:rsidRPr="002D02F3">
        <w:rPr>
          <w:rFonts w:ascii="Arial" w:hAnsi="Arial"/>
          <w:sz w:val="20"/>
        </w:rPr>
        <w:t>.</w:t>
      </w:r>
    </w:p>
    <w:p w:rsidR="00D42474" w:rsidRDefault="00D42474" w:rsidP="001A5BF9">
      <w:pPr>
        <w:pStyle w:val="Sansinterligne"/>
        <w:tabs>
          <w:tab w:val="left" w:pos="709"/>
        </w:tabs>
        <w:jc w:val="both"/>
        <w:rPr>
          <w:rFonts w:ascii="Arial" w:hAnsi="Arial" w:cs="Arial"/>
          <w:sz w:val="20"/>
          <w:szCs w:val="20"/>
        </w:rPr>
      </w:pPr>
    </w:p>
    <w:p w:rsidR="00D42474" w:rsidRDefault="00C82EE5" w:rsidP="001A5BF9">
      <w:pPr>
        <w:keepNext/>
        <w:keepLines/>
        <w:tabs>
          <w:tab w:val="left" w:pos="709"/>
        </w:tabs>
        <w:jc w:val="both"/>
        <w:rPr>
          <w:rFonts w:cs="Arial"/>
          <w:szCs w:val="20"/>
        </w:rPr>
      </w:pPr>
      <w:r w:rsidRPr="002D02F3">
        <w:t>24.8.</w:t>
      </w:r>
      <w:r w:rsidRPr="002D02F3">
        <w:tab/>
        <w:t>La consommation d</w:t>
      </w:r>
      <w:r w:rsidR="00A20444" w:rsidRPr="002D02F3">
        <w:t>’</w:t>
      </w:r>
      <w:r w:rsidRPr="002D02F3">
        <w:t>eau a été réduite d</w:t>
      </w:r>
      <w:r w:rsidR="00A20444" w:rsidRPr="002D02F3">
        <w:t>’</w:t>
      </w:r>
      <w:r w:rsidRPr="002D02F3">
        <w:t>environ 7</w:t>
      </w:r>
      <w:r w:rsidR="007E442D" w:rsidRPr="002D02F3">
        <w:t>%</w:t>
      </w:r>
      <w:r w:rsidRPr="002D02F3">
        <w:t xml:space="preserve"> depuis août 2013, suite à la connexion de l</w:t>
      </w:r>
      <w:r w:rsidR="00A20444" w:rsidRPr="002D02F3">
        <w:t>’</w:t>
      </w:r>
      <w:r w:rsidRPr="002D02F3">
        <w:t xml:space="preserve">une des unités de refroidissement des centres de données du </w:t>
      </w:r>
      <w:r w:rsidR="00D50C75" w:rsidRPr="002D02F3">
        <w:t>b</w:t>
      </w:r>
      <w:r w:rsidRPr="002D02F3">
        <w:t>âtiment AB aux eaux du lac Léman, soit une économie d</w:t>
      </w:r>
      <w:r w:rsidR="00A20444" w:rsidRPr="002D02F3">
        <w:t>’</w:t>
      </w:r>
      <w:r w:rsidRPr="002D02F3">
        <w:t xml:space="preserve">environ 12 000 francs suisses en 2013. </w:t>
      </w:r>
      <w:r w:rsidR="0010442A" w:rsidRPr="002D02F3">
        <w:t xml:space="preserve"> </w:t>
      </w:r>
      <w:r w:rsidRPr="002D02F3">
        <w:t>De plus, la mise à niveau des systèmes individuels de refroidissement et de chauffage dans les bureaux situés dans l</w:t>
      </w:r>
      <w:r w:rsidR="00A20444" w:rsidRPr="002D02F3">
        <w:t>’</w:t>
      </w:r>
      <w:r w:rsidRPr="002D02F3">
        <w:t>angle du nouveau bâtiment s</w:t>
      </w:r>
      <w:r w:rsidR="00A20444" w:rsidRPr="002D02F3">
        <w:t>’</w:t>
      </w:r>
      <w:r w:rsidRPr="002D02F3">
        <w:t xml:space="preserve">est achevée </w:t>
      </w:r>
      <w:proofErr w:type="spellStart"/>
      <w:r w:rsidRPr="002D02F3">
        <w:t>mi</w:t>
      </w:r>
      <w:r w:rsidR="002D6F2A" w:rsidRPr="002D02F3">
        <w:noBreakHyphen/>
      </w:r>
      <w:r w:rsidRPr="002D02F3">
        <w:t>2013</w:t>
      </w:r>
      <w:proofErr w:type="spellEnd"/>
      <w:r w:rsidRPr="002D02F3">
        <w:t>, offrant un meilleur contrôle de la température des pièces dans 19 bureaux.</w:t>
      </w:r>
    </w:p>
    <w:p w:rsidR="00D42474" w:rsidRDefault="00D42474" w:rsidP="001A5BF9">
      <w:pPr>
        <w:tabs>
          <w:tab w:val="left" w:pos="709"/>
        </w:tabs>
        <w:jc w:val="both"/>
        <w:rPr>
          <w:rFonts w:cs="Arial"/>
          <w:szCs w:val="20"/>
        </w:rPr>
      </w:pPr>
    </w:p>
    <w:p w:rsidR="00D42474" w:rsidRDefault="00C82EE5" w:rsidP="001A5BF9">
      <w:pPr>
        <w:pStyle w:val="Sansinterligne"/>
        <w:tabs>
          <w:tab w:val="left" w:pos="709"/>
        </w:tabs>
        <w:jc w:val="both"/>
        <w:rPr>
          <w:rFonts w:ascii="Arial" w:hAnsi="Arial" w:cs="Arial"/>
          <w:sz w:val="20"/>
          <w:szCs w:val="20"/>
        </w:rPr>
      </w:pPr>
      <w:r w:rsidRPr="002D02F3">
        <w:rPr>
          <w:rFonts w:ascii="Arial" w:hAnsi="Arial"/>
          <w:sz w:val="20"/>
        </w:rPr>
        <w:t>24.9.</w:t>
      </w:r>
      <w:r w:rsidRPr="002D02F3">
        <w:rPr>
          <w:rFonts w:ascii="Arial" w:hAnsi="Arial"/>
          <w:sz w:val="20"/>
        </w:rPr>
        <w:tab/>
        <w:t>Le réaménagement et l</w:t>
      </w:r>
      <w:r w:rsidR="00A20444" w:rsidRPr="002D02F3">
        <w:rPr>
          <w:rFonts w:ascii="Arial" w:hAnsi="Arial"/>
          <w:sz w:val="20"/>
        </w:rPr>
        <w:t>’</w:t>
      </w:r>
      <w:r w:rsidRPr="002D02F3">
        <w:rPr>
          <w:rFonts w:ascii="Arial" w:hAnsi="Arial"/>
          <w:sz w:val="20"/>
        </w:rPr>
        <w:t>agrandissement de l</w:t>
      </w:r>
      <w:r w:rsidR="00A20444" w:rsidRPr="002D02F3">
        <w:rPr>
          <w:rFonts w:ascii="Arial" w:hAnsi="Arial"/>
          <w:sz w:val="20"/>
        </w:rPr>
        <w:t>’</w:t>
      </w:r>
      <w:r w:rsidRPr="002D02F3">
        <w:rPr>
          <w:rFonts w:ascii="Arial" w:hAnsi="Arial"/>
          <w:sz w:val="20"/>
        </w:rPr>
        <w:t>une des salles de réunion du rez</w:t>
      </w:r>
      <w:r w:rsidR="002D6F2A" w:rsidRPr="002D02F3">
        <w:rPr>
          <w:rFonts w:ascii="Arial" w:hAnsi="Arial"/>
          <w:sz w:val="20"/>
        </w:rPr>
        <w:noBreakHyphen/>
      </w:r>
      <w:r w:rsidRPr="002D02F3">
        <w:rPr>
          <w:rFonts w:ascii="Arial" w:hAnsi="Arial"/>
          <w:sz w:val="20"/>
        </w:rPr>
        <w:t>de</w:t>
      </w:r>
      <w:r w:rsidR="002D6F2A" w:rsidRPr="002D02F3">
        <w:rPr>
          <w:rFonts w:ascii="Arial" w:hAnsi="Arial"/>
          <w:sz w:val="20"/>
        </w:rPr>
        <w:noBreakHyphen/>
      </w:r>
      <w:r w:rsidRPr="002D02F3">
        <w:rPr>
          <w:rFonts w:ascii="Arial" w:hAnsi="Arial"/>
          <w:sz w:val="20"/>
        </w:rPr>
        <w:t>chaussée du nouveau bâtiment (d</w:t>
      </w:r>
      <w:r w:rsidR="00A20444" w:rsidRPr="002D02F3">
        <w:rPr>
          <w:rFonts w:ascii="Arial" w:hAnsi="Arial"/>
          <w:sz w:val="20"/>
        </w:rPr>
        <w:t>’</w:t>
      </w:r>
      <w:r w:rsidRPr="002D02F3">
        <w:rPr>
          <w:rFonts w:ascii="Arial" w:hAnsi="Arial"/>
          <w:sz w:val="20"/>
        </w:rPr>
        <w:t>une capacité de 80 places et dotée de trois cabines d</w:t>
      </w:r>
      <w:r w:rsidR="00A20444" w:rsidRPr="002D02F3">
        <w:rPr>
          <w:rFonts w:ascii="Arial" w:hAnsi="Arial"/>
          <w:sz w:val="20"/>
        </w:rPr>
        <w:t>’</w:t>
      </w:r>
      <w:r w:rsidRPr="002D02F3">
        <w:rPr>
          <w:rFonts w:ascii="Arial" w:hAnsi="Arial"/>
          <w:sz w:val="20"/>
        </w:rPr>
        <w:t>interprétation) ont été entrepris en 2013 et achevé</w:t>
      </w:r>
      <w:r w:rsidR="00D50C75" w:rsidRPr="002D02F3">
        <w:rPr>
          <w:rFonts w:ascii="Arial" w:hAnsi="Arial"/>
          <w:sz w:val="20"/>
        </w:rPr>
        <w:t>s</w:t>
      </w:r>
      <w:r w:rsidRPr="002D02F3">
        <w:rPr>
          <w:rFonts w:ascii="Arial" w:hAnsi="Arial"/>
          <w:sz w:val="20"/>
        </w:rPr>
        <w:t xml:space="preserve"> en janvier 2014. </w:t>
      </w:r>
      <w:r w:rsidR="0010442A" w:rsidRPr="002D02F3">
        <w:rPr>
          <w:rFonts w:ascii="Arial" w:hAnsi="Arial"/>
          <w:sz w:val="20"/>
        </w:rPr>
        <w:t xml:space="preserve"> </w:t>
      </w:r>
      <w:r w:rsidRPr="002D02F3">
        <w:rPr>
          <w:rFonts w:ascii="Arial" w:hAnsi="Arial"/>
          <w:sz w:val="20"/>
        </w:rPr>
        <w:t>Une salle de réunion provisoire (d</w:t>
      </w:r>
      <w:r w:rsidR="00A20444" w:rsidRPr="002D02F3">
        <w:rPr>
          <w:rFonts w:ascii="Arial" w:hAnsi="Arial"/>
          <w:sz w:val="20"/>
        </w:rPr>
        <w:t>’</w:t>
      </w:r>
      <w:r w:rsidRPr="002D02F3">
        <w:rPr>
          <w:rFonts w:ascii="Arial" w:hAnsi="Arial"/>
          <w:sz w:val="20"/>
        </w:rPr>
        <w:t>une capacité d</w:t>
      </w:r>
      <w:r w:rsidR="00A20444" w:rsidRPr="002D02F3">
        <w:rPr>
          <w:rFonts w:ascii="Arial" w:hAnsi="Arial"/>
          <w:sz w:val="20"/>
        </w:rPr>
        <w:t>’</w:t>
      </w:r>
      <w:r w:rsidRPr="002D02F3">
        <w:rPr>
          <w:rFonts w:ascii="Arial" w:hAnsi="Arial"/>
          <w:sz w:val="20"/>
        </w:rPr>
        <w:t>accueil de 45 places et équipée de trois cabines d</w:t>
      </w:r>
      <w:r w:rsidR="00A20444" w:rsidRPr="002D02F3">
        <w:rPr>
          <w:rFonts w:ascii="Arial" w:hAnsi="Arial"/>
          <w:sz w:val="20"/>
        </w:rPr>
        <w:t>’</w:t>
      </w:r>
      <w:r w:rsidRPr="002D02F3">
        <w:rPr>
          <w:rFonts w:ascii="Arial" w:hAnsi="Arial"/>
          <w:sz w:val="20"/>
        </w:rPr>
        <w:t xml:space="preserve">interprétation) a été créée au </w:t>
      </w:r>
      <w:r w:rsidR="00D50C75" w:rsidRPr="002D02F3">
        <w:rPr>
          <w:rFonts w:ascii="Arial" w:hAnsi="Arial"/>
          <w:sz w:val="20"/>
        </w:rPr>
        <w:t>treizième</w:t>
      </w:r>
      <w:r w:rsidRPr="002D02F3">
        <w:t> </w:t>
      </w:r>
      <w:r w:rsidRPr="002D02F3">
        <w:rPr>
          <w:rFonts w:ascii="Arial" w:hAnsi="Arial"/>
          <w:sz w:val="20"/>
        </w:rPr>
        <w:t xml:space="preserve">étage du bâtiment AB, initialement en vue de compenser le manque de salles de réunion pendant la réalisation des travaux dans le nouveau bâtiment. </w:t>
      </w:r>
      <w:r w:rsidR="0010442A" w:rsidRPr="002D02F3">
        <w:rPr>
          <w:rFonts w:ascii="Arial" w:hAnsi="Arial"/>
          <w:sz w:val="20"/>
        </w:rPr>
        <w:t xml:space="preserve"> </w:t>
      </w:r>
      <w:r w:rsidRPr="002D02F3">
        <w:rPr>
          <w:rFonts w:ascii="Arial" w:hAnsi="Arial"/>
          <w:sz w:val="20"/>
        </w:rPr>
        <w:t>Cependant, comme cette salle répond à un grand nombre de demandes en raison de sa fonctionnalité et de ses installations particulières, il a été décidé de la conserver en 2014 et de réévaluer la situation après l</w:t>
      </w:r>
      <w:r w:rsidR="00A20444" w:rsidRPr="002D02F3">
        <w:rPr>
          <w:rFonts w:ascii="Arial" w:hAnsi="Arial"/>
          <w:sz w:val="20"/>
        </w:rPr>
        <w:t>’</w:t>
      </w:r>
      <w:r w:rsidRPr="002D02F3">
        <w:rPr>
          <w:rFonts w:ascii="Arial" w:hAnsi="Arial"/>
          <w:sz w:val="20"/>
        </w:rPr>
        <w:t>achèvement de toutes les nouvelles installations de réunion, une fois le projet de nouvelle salle de conférence livré.</w:t>
      </w:r>
    </w:p>
    <w:p w:rsidR="00D42474" w:rsidRDefault="00D42474" w:rsidP="001A5BF9">
      <w:pPr>
        <w:tabs>
          <w:tab w:val="left" w:pos="709"/>
          <w:tab w:val="left" w:pos="1440"/>
        </w:tabs>
        <w:jc w:val="both"/>
      </w:pPr>
    </w:p>
    <w:p w:rsidR="00D42474" w:rsidRDefault="00C82EE5" w:rsidP="001A5BF9">
      <w:pPr>
        <w:tabs>
          <w:tab w:val="left" w:pos="709"/>
        </w:tabs>
        <w:jc w:val="both"/>
      </w:pPr>
      <w:r w:rsidRPr="002D02F3">
        <w:t>24.10.</w:t>
      </w:r>
      <w:r w:rsidRPr="002D02F3">
        <w:tab/>
        <w:t>En ce qui concerne la gestion des biens, le comité de contrôle des biens a achevé son examen visant à établir une procédure d</w:t>
      </w:r>
      <w:r w:rsidR="00A20444" w:rsidRPr="002D02F3">
        <w:t>’</w:t>
      </w:r>
      <w:r w:rsidRPr="002D02F3">
        <w:t xml:space="preserve">inventaire plus simple et plus cohérente. </w:t>
      </w:r>
      <w:r w:rsidR="0010442A" w:rsidRPr="002D02F3">
        <w:t xml:space="preserve"> </w:t>
      </w:r>
      <w:r w:rsidRPr="002D02F3">
        <w:t>De nouvelles procédures ont été publiées en 2012;</w:t>
      </w:r>
      <w:r w:rsidR="0010442A" w:rsidRPr="002D02F3">
        <w:t xml:space="preserve"> </w:t>
      </w:r>
      <w:r w:rsidRPr="002D02F3">
        <w:t xml:space="preserve"> elles visent, en particulier, à rehausser le seuil de suivi des postes de 100 à 1000 francs suisses et le seuil de capitalisation des postes de</w:t>
      </w:r>
      <w:r w:rsidR="0010442A" w:rsidRPr="002D02F3">
        <w:t> </w:t>
      </w:r>
      <w:r w:rsidRPr="002D02F3">
        <w:t>1000 à 5000 francs suisses (à l</w:t>
      </w:r>
      <w:r w:rsidR="00A20444" w:rsidRPr="002D02F3">
        <w:t>’</w:t>
      </w:r>
      <w:r w:rsidRPr="002D02F3">
        <w:t xml:space="preserve">instar des autres organisations du système des </w:t>
      </w:r>
      <w:r w:rsidR="00A20444" w:rsidRPr="002D02F3">
        <w:t>Nations Unies</w:t>
      </w:r>
      <w:r w:rsidRPr="002D02F3">
        <w:t xml:space="preserve">), rationalisant par là même les procédures à faible valeur ajoutée. </w:t>
      </w:r>
      <w:r w:rsidR="0010442A" w:rsidRPr="002D02F3">
        <w:t xml:space="preserve"> </w:t>
      </w:r>
      <w:r w:rsidRPr="002D02F3">
        <w:t>L</w:t>
      </w:r>
      <w:r w:rsidR="00A20444" w:rsidRPr="002D02F3">
        <w:t>’</w:t>
      </w:r>
      <w:r w:rsidRPr="002D02F3">
        <w:t>interface avec les aspects financiers de la gestion des biens a été entièrement mise en œuvre, mettant ainsi fin à la double saisie des données et aux rapprochements périodiques.</w:t>
      </w:r>
    </w:p>
    <w:p w:rsidR="00D42474" w:rsidRDefault="00D42474" w:rsidP="001A5BF9">
      <w:pPr>
        <w:tabs>
          <w:tab w:val="left" w:pos="709"/>
        </w:tabs>
        <w:jc w:val="both"/>
        <w:rPr>
          <w:rFonts w:cs="Arial"/>
          <w:szCs w:val="20"/>
        </w:rPr>
      </w:pPr>
    </w:p>
    <w:p w:rsidR="00D42474" w:rsidRDefault="00C82EE5" w:rsidP="001A5BF9">
      <w:pPr>
        <w:tabs>
          <w:tab w:val="left" w:pos="709"/>
        </w:tabs>
        <w:jc w:val="both"/>
        <w:rPr>
          <w:rFonts w:cs="Arial"/>
          <w:szCs w:val="20"/>
        </w:rPr>
      </w:pPr>
      <w:r w:rsidRPr="002D02F3">
        <w:t>24.11.</w:t>
      </w:r>
      <w:r w:rsidRPr="002D02F3">
        <w:tab/>
        <w:t>En vertu du projet d</w:t>
      </w:r>
      <w:r w:rsidR="00A20444" w:rsidRPr="002D02F3">
        <w:t>’</w:t>
      </w:r>
      <w:r w:rsidRPr="002D02F3">
        <w:t>accessibilité de l</w:t>
      </w:r>
      <w:r w:rsidR="00A20444" w:rsidRPr="002D02F3">
        <w:t>’</w:t>
      </w:r>
      <w:r w:rsidRPr="002D02F3">
        <w:t>OMPI, qui s</w:t>
      </w:r>
      <w:r w:rsidR="00A20444" w:rsidRPr="002D02F3">
        <w:t>’</w:t>
      </w:r>
      <w:r w:rsidRPr="002D02F3">
        <w:t>inscrivait dans</w:t>
      </w:r>
      <w:r w:rsidR="00A20444" w:rsidRPr="002D02F3">
        <w:t xml:space="preserve"> le PRS</w:t>
      </w:r>
      <w:r w:rsidRPr="002D02F3">
        <w:t xml:space="preserve"> jusqu</w:t>
      </w:r>
      <w:r w:rsidR="00A20444" w:rsidRPr="002D02F3">
        <w:t>’</w:t>
      </w:r>
      <w:r w:rsidRPr="002D02F3">
        <w:t>à 2012, un audit complet de l</w:t>
      </w:r>
      <w:r w:rsidR="00A20444" w:rsidRPr="002D02F3">
        <w:t>’</w:t>
      </w:r>
      <w:r w:rsidRPr="002D02F3">
        <w:t>accessibilité physique a été réalisé en</w:t>
      </w:r>
      <w:r w:rsidR="0010442A" w:rsidRPr="002D02F3">
        <w:t> </w:t>
      </w:r>
      <w:r w:rsidRPr="002D02F3">
        <w:t>2012 par un architecte spécialisé dans tous les bâtiments existants du campus de l</w:t>
      </w:r>
      <w:r w:rsidR="00A20444" w:rsidRPr="002D02F3">
        <w:t>’</w:t>
      </w:r>
      <w:r w:rsidRPr="002D02F3">
        <w:t>OMPI.</w:t>
      </w:r>
      <w:r w:rsidR="0010442A" w:rsidRPr="002D02F3">
        <w:t xml:space="preserve"> </w:t>
      </w:r>
      <w:r w:rsidR="004F3E42" w:rsidRPr="002D02F3">
        <w:t xml:space="preserve"> </w:t>
      </w:r>
      <w:r w:rsidRPr="002D02F3">
        <w:t>La liste détaillée des recommandations découlant de cet audit a été examinée en 2013 afin d</w:t>
      </w:r>
      <w:r w:rsidR="00A20444" w:rsidRPr="002D02F3">
        <w:t>’</w:t>
      </w:r>
      <w:r w:rsidRPr="002D02F3">
        <w:t>établir une liste de priorités parmi les mesures d</w:t>
      </w:r>
      <w:r w:rsidR="00A20444" w:rsidRPr="002D02F3">
        <w:t>’</w:t>
      </w:r>
      <w:r w:rsidRPr="002D02F3">
        <w:t xml:space="preserve">amélioration à mettre en œuvre à compter de la fin 2013. </w:t>
      </w:r>
      <w:r w:rsidR="0010442A" w:rsidRPr="002D02F3">
        <w:t xml:space="preserve"> </w:t>
      </w:r>
      <w:r w:rsidRPr="002D02F3">
        <w:t>Un audit similaire a été mené au cours du premier semestre 2013 à</w:t>
      </w:r>
      <w:r w:rsidR="0010442A" w:rsidRPr="002D02F3">
        <w:t> </w:t>
      </w:r>
      <w:r w:rsidRPr="002D02F3">
        <w:t>l</w:t>
      </w:r>
      <w:r w:rsidR="00A20444" w:rsidRPr="002D02F3">
        <w:t>’</w:t>
      </w:r>
      <w:r w:rsidRPr="002D02F3">
        <w:t>égard de la future nouvelle salle de conférence.</w:t>
      </w:r>
      <w:r w:rsidR="0010442A" w:rsidRPr="002D02F3">
        <w:t xml:space="preserve"> </w:t>
      </w:r>
      <w:r w:rsidRPr="002D02F3">
        <w:t xml:space="preserve"> Un certain nombre de mesures ont été mises en œuvre en 2013 dans les bâtiments existants, dans la nouvelle salle (pendant la construction) et pendant la rénovation des parties du bâtiment AB (entre autres, des fonctionnalités telles que des rampes pour fauteuils roulants et des bandes antidérapantes sur les marches d</w:t>
      </w:r>
      <w:r w:rsidR="00A20444" w:rsidRPr="002D02F3">
        <w:t>’</w:t>
      </w:r>
      <w:r w:rsidRPr="002D02F3">
        <w:t>escaliers)</w:t>
      </w:r>
    </w:p>
    <w:p w:rsidR="00D42474" w:rsidRDefault="00D42474" w:rsidP="001A5BF9">
      <w:pPr>
        <w:tabs>
          <w:tab w:val="left" w:pos="709"/>
        </w:tabs>
        <w:jc w:val="both"/>
        <w:rPr>
          <w:rFonts w:cs="Arial"/>
          <w:szCs w:val="20"/>
        </w:rPr>
      </w:pPr>
    </w:p>
    <w:p w:rsidR="00D42474" w:rsidRDefault="00C82EE5" w:rsidP="001A5BF9">
      <w:pPr>
        <w:tabs>
          <w:tab w:val="left" w:pos="709"/>
        </w:tabs>
        <w:jc w:val="both"/>
        <w:rPr>
          <w:rFonts w:cs="Arial"/>
          <w:szCs w:val="20"/>
        </w:rPr>
      </w:pPr>
      <w:r w:rsidRPr="002D02F3">
        <w:t>24.12.</w:t>
      </w:r>
      <w:r w:rsidRPr="002D02F3">
        <w:tab/>
        <w:t>Dans le cadre de la Responsabilité sur le plan environnemental de l</w:t>
      </w:r>
      <w:r w:rsidR="00A20444" w:rsidRPr="002D02F3">
        <w:t>’</w:t>
      </w:r>
      <w:r w:rsidRPr="002D02F3">
        <w:t>OMPI, qui est une autre initiative</w:t>
      </w:r>
      <w:r w:rsidR="00A20444" w:rsidRPr="002D02F3">
        <w:t xml:space="preserve"> du PRS</w:t>
      </w:r>
      <w:r w:rsidRPr="002D02F3">
        <w:t>, un certain nombre d</w:t>
      </w:r>
      <w:r w:rsidR="00A20444" w:rsidRPr="002D02F3">
        <w:t>’</w:t>
      </w:r>
      <w:r w:rsidRPr="002D02F3">
        <w:t>activités ont été entreprises en</w:t>
      </w:r>
      <w:r w:rsidR="0010442A" w:rsidRPr="002D02F3">
        <w:t> </w:t>
      </w:r>
      <w:r w:rsidRPr="002D02F3">
        <w:t>2012 et en</w:t>
      </w:r>
      <w:r w:rsidR="0010442A" w:rsidRPr="002D02F3">
        <w:t> </w:t>
      </w:r>
      <w:r w:rsidRPr="002D02F3">
        <w:t>2013 en vue de mieux sensibiliser le personnel aux questions d</w:t>
      </w:r>
      <w:r w:rsidR="00A20444" w:rsidRPr="002D02F3">
        <w:t>’</w:t>
      </w:r>
      <w:r w:rsidRPr="002D02F3">
        <w:t>environnement et/ou de prendre des mesures concrètes et pratiques.</w:t>
      </w:r>
      <w:r w:rsidR="004F3E42" w:rsidRPr="002D02F3">
        <w:t xml:space="preserve"> </w:t>
      </w:r>
      <w:r w:rsidR="0010442A" w:rsidRPr="002D02F3">
        <w:t xml:space="preserve"> </w:t>
      </w:r>
      <w:r w:rsidRPr="002D02F3">
        <w:t>Ces mesures sont liées aux sujets suivants</w:t>
      </w:r>
      <w:r w:rsidR="0010442A" w:rsidRPr="002D02F3">
        <w:t> </w:t>
      </w:r>
      <w:r w:rsidRPr="002D02F3">
        <w:t>: questions relatives aux locaux (remplacement des installations techniques par des solutions plus écologiques, mise à niveau des installations électriques pour réduire la consommation d</w:t>
      </w:r>
      <w:r w:rsidR="00A20444" w:rsidRPr="002D02F3">
        <w:t>’</w:t>
      </w:r>
      <w:r w:rsidRPr="002D02F3">
        <w:t>électricité, conclusion d</w:t>
      </w:r>
      <w:r w:rsidR="00A20444" w:rsidRPr="002D02F3">
        <w:t>’</w:t>
      </w:r>
      <w:r w:rsidRPr="002D02F3">
        <w:t>un l</w:t>
      </w:r>
      <w:r w:rsidR="00A20444" w:rsidRPr="002D02F3">
        <w:t>’</w:t>
      </w:r>
      <w:r w:rsidRPr="002D02F3">
        <w:t>accord avec le fournisseur local d</w:t>
      </w:r>
      <w:r w:rsidR="00A20444" w:rsidRPr="002D02F3">
        <w:t>’</w:t>
      </w:r>
      <w:r w:rsidRPr="002D02F3">
        <w:t>électricité, renouvellement du tarif d</w:t>
      </w:r>
      <w:r w:rsidR="00A20444" w:rsidRPr="002D02F3">
        <w:t>’</w:t>
      </w:r>
      <w:r w:rsidRPr="002D02F3">
        <w:t>électricité pour le nouveau bâtiment avec le pourcentage maximum de contribution à la production d</w:t>
      </w:r>
      <w:r w:rsidR="00A20444" w:rsidRPr="002D02F3">
        <w:t>’</w:t>
      </w:r>
      <w:r w:rsidRPr="002D02F3">
        <w:t>électricité renouvelable dans le canton de Genève), adoption de critères environnementaux dans certains appels à soumission (p.</w:t>
      </w:r>
      <w:r w:rsidR="0010442A" w:rsidRPr="002D02F3">
        <w:t> </w:t>
      </w:r>
      <w:r w:rsidRPr="002D02F3">
        <w:t>ex. services de cafétéria, machines distributrices, articles de cafétéria jetables, produits de nettoyage, amélioration du recyclage), utilisation d</w:t>
      </w:r>
      <w:r w:rsidR="00A20444" w:rsidRPr="002D02F3">
        <w:t>’</w:t>
      </w:r>
      <w:r w:rsidRPr="002D02F3">
        <w:t xml:space="preserve">autres moyens pour les </w:t>
      </w:r>
      <w:proofErr w:type="spellStart"/>
      <w:r w:rsidRPr="002D02F3">
        <w:t>allers</w:t>
      </w:r>
      <w:r w:rsidR="002D6F2A" w:rsidRPr="002D02F3">
        <w:noBreakHyphen/>
      </w:r>
      <w:r w:rsidRPr="002D02F3">
        <w:t>retours</w:t>
      </w:r>
      <w:proofErr w:type="spellEnd"/>
      <w:r w:rsidRPr="002D02F3">
        <w:t xml:space="preserve"> domicile</w:t>
      </w:r>
      <w:r w:rsidR="002D6F2A" w:rsidRPr="002D02F3">
        <w:noBreakHyphen/>
      </w:r>
      <w:r w:rsidRPr="002D02F3">
        <w:t xml:space="preserve">bureau (journées ou mois de mobilité dans les transports publics et location gratuite de bicyclettes électriques et réparations des bicyclettes). </w:t>
      </w:r>
      <w:r w:rsidR="0010442A" w:rsidRPr="002D02F3">
        <w:t xml:space="preserve"> </w:t>
      </w:r>
      <w:r w:rsidRPr="002D02F3">
        <w:t>En outre, l</w:t>
      </w:r>
      <w:r w:rsidR="00A20444" w:rsidRPr="002D02F3">
        <w:t>’</w:t>
      </w:r>
      <w:r w:rsidRPr="002D02F3">
        <w:t>OMPI a pris part à un certain nombre d</w:t>
      </w:r>
      <w:r w:rsidR="00A20444" w:rsidRPr="002D02F3">
        <w:t>’</w:t>
      </w:r>
      <w:r w:rsidRPr="002D02F3">
        <w:t>initiatives dans le contexte interinstitutions de l</w:t>
      </w:r>
      <w:r w:rsidR="00A20444" w:rsidRPr="002D02F3">
        <w:t>’</w:t>
      </w:r>
      <w:r w:rsidRPr="002D02F3">
        <w:t>ONU (principalement par le biais du PNUE et de “</w:t>
      </w:r>
      <w:proofErr w:type="spellStart"/>
      <w:r w:rsidRPr="002D02F3">
        <w:t>Sustainable</w:t>
      </w:r>
      <w:proofErr w:type="spellEnd"/>
      <w:r w:rsidRPr="002D02F3">
        <w:t xml:space="preserve"> UN” (SUN), telles que la participation à la collecte annuelle de données pour le Calculateur des gaz à effet de serre, ainsi que la participation aux réunions interinstitutions de gestion des installations en 2012 et 2013.</w:t>
      </w:r>
    </w:p>
    <w:p w:rsidR="00D42474" w:rsidRDefault="00D42474" w:rsidP="001A5BF9">
      <w:pPr>
        <w:tabs>
          <w:tab w:val="left" w:pos="709"/>
        </w:tabs>
        <w:jc w:val="both"/>
        <w:rPr>
          <w:rFonts w:cs="Arial"/>
          <w:szCs w:val="20"/>
        </w:rPr>
      </w:pPr>
    </w:p>
    <w:p w:rsidR="00D42474" w:rsidRDefault="00C82EE5" w:rsidP="001A5BF9">
      <w:pPr>
        <w:keepNext/>
        <w:keepLines/>
        <w:tabs>
          <w:tab w:val="left" w:pos="709"/>
        </w:tabs>
        <w:jc w:val="both"/>
      </w:pPr>
      <w:r w:rsidRPr="002D02F3">
        <w:t>24.13.</w:t>
      </w:r>
      <w:r w:rsidRPr="002D02F3">
        <w:tab/>
        <w:t>Conformément à la stratégie de l</w:t>
      </w:r>
      <w:r w:rsidR="00A20444" w:rsidRPr="002D02F3">
        <w:t>’</w:t>
      </w:r>
      <w:r w:rsidRPr="002D02F3">
        <w:t>OMPI visant à réduire progressivement sa flotte de véhicules et à remplacer les véhicules existants par des solutions alternatives respectueuses de l</w:t>
      </w:r>
      <w:r w:rsidR="00A20444" w:rsidRPr="002D02F3">
        <w:t>’</w:t>
      </w:r>
      <w:r w:rsidRPr="002D02F3">
        <w:t>environnement, quatre</w:t>
      </w:r>
      <w:r w:rsidR="0010442A" w:rsidRPr="002D02F3">
        <w:t> </w:t>
      </w:r>
      <w:r w:rsidRPr="002D02F3">
        <w:t xml:space="preserve">des </w:t>
      </w:r>
      <w:r w:rsidR="0010442A" w:rsidRPr="002D02F3">
        <w:t>11</w:t>
      </w:r>
      <w:r w:rsidRPr="002D02F3">
        <w:t> véhicules officiels de l</w:t>
      </w:r>
      <w:r w:rsidR="00A20444" w:rsidRPr="002D02F3">
        <w:t>’</w:t>
      </w:r>
      <w:r w:rsidRPr="002D02F3">
        <w:t>OMPI ont été vendus au cours de l</w:t>
      </w:r>
      <w:r w:rsidR="00A20444" w:rsidRPr="002D02F3">
        <w:t>’</w:t>
      </w:r>
      <w:r w:rsidRPr="002D02F3">
        <w:t xml:space="preserve">exercice biennal. </w:t>
      </w:r>
      <w:r w:rsidR="0010442A" w:rsidRPr="002D02F3">
        <w:t xml:space="preserve"> </w:t>
      </w:r>
      <w:r w:rsidRPr="002D02F3">
        <w:t>Un nouveau véhicule hybride a été acheté en 2013 afin de réduire les émissions de carbone.</w:t>
      </w:r>
      <w:r w:rsidR="0010442A" w:rsidRPr="002D02F3">
        <w:t xml:space="preserve"> </w:t>
      </w:r>
      <w:r w:rsidR="004F3E42" w:rsidRPr="002D02F3">
        <w:t xml:space="preserve"> </w:t>
      </w:r>
      <w:r w:rsidRPr="002D02F3">
        <w:t>Le programme a également assumé la responsabilité de gestion de l</w:t>
      </w:r>
      <w:r w:rsidR="00A20444" w:rsidRPr="002D02F3">
        <w:t>’</w:t>
      </w:r>
      <w:r w:rsidRPr="002D02F3">
        <w:t>utilisation de tous les véhicules officiels dans l</w:t>
      </w:r>
      <w:r w:rsidR="00A20444" w:rsidRPr="002D02F3">
        <w:t>’</w:t>
      </w:r>
      <w:r w:rsidRPr="002D02F3">
        <w:t>ensemble de l</w:t>
      </w:r>
      <w:r w:rsidR="00A20444" w:rsidRPr="002D02F3">
        <w:t>’</w:t>
      </w:r>
      <w:r w:rsidRPr="002D02F3">
        <w:t>Organisation.</w:t>
      </w:r>
    </w:p>
    <w:p w:rsidR="00D42474" w:rsidRDefault="00D42474" w:rsidP="001A5BF9">
      <w:pPr>
        <w:tabs>
          <w:tab w:val="left" w:pos="709"/>
        </w:tabs>
        <w:jc w:val="both"/>
      </w:pPr>
    </w:p>
    <w:p w:rsidR="00D42474" w:rsidRDefault="00D42474" w:rsidP="001A5BF9"/>
    <w:p w:rsidR="00D42474" w:rsidRDefault="00C82EE5" w:rsidP="001A5BF9">
      <w:r w:rsidRPr="002D02F3">
        <w:rPr>
          <w:sz w:val="22"/>
        </w:rPr>
        <w:t>DONNÉES RELATIVES À L</w:t>
      </w:r>
      <w:r w:rsidR="00A20444" w:rsidRPr="002D02F3">
        <w:rPr>
          <w:sz w:val="22"/>
        </w:rPr>
        <w:t>’</w:t>
      </w:r>
      <w:r w:rsidRPr="002D02F3">
        <w:rPr>
          <w:sz w:val="22"/>
        </w:rPr>
        <w:t>EXÉCUTION</w:t>
      </w:r>
    </w:p>
    <w:p w:rsidR="00D42474" w:rsidRDefault="00D42474" w:rsidP="001A5BF9"/>
    <w:p w:rsidR="00C82EE5" w:rsidRPr="002D02F3" w:rsidRDefault="00C82EE5" w:rsidP="001A5BF9">
      <w:pPr>
        <w:rPr>
          <w:b/>
          <w:sz w:val="16"/>
          <w:szCs w:val="16"/>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518"/>
        <w:gridCol w:w="1638"/>
        <w:gridCol w:w="1365"/>
        <w:gridCol w:w="150"/>
        <w:gridCol w:w="3357"/>
        <w:gridCol w:w="196"/>
        <w:gridCol w:w="1133"/>
      </w:tblGrid>
      <w:tr w:rsidR="00C82EE5" w:rsidRPr="002D02F3" w:rsidTr="0056083E">
        <w:trPr>
          <w:cantSplit/>
        </w:trPr>
        <w:tc>
          <w:tcPr>
            <w:tcW w:w="5000" w:type="pct"/>
            <w:gridSpan w:val="7"/>
            <w:tcBorders>
              <w:top w:val="single" w:sz="4" w:space="0" w:color="auto"/>
              <w:bottom w:val="single" w:sz="4" w:space="0" w:color="auto"/>
            </w:tcBorders>
            <w:shd w:val="clear" w:color="auto" w:fill="CCFFFF"/>
            <w:vAlign w:val="center"/>
          </w:tcPr>
          <w:p w:rsidR="00C82EE5" w:rsidRPr="002D02F3" w:rsidRDefault="00C82EE5" w:rsidP="001A5BF9">
            <w:pPr>
              <w:keepNext/>
              <w:keepLines/>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Services d</w:t>
            </w:r>
            <w:r w:rsidR="00A20444" w:rsidRPr="002D02F3">
              <w:rPr>
                <w:sz w:val="16"/>
              </w:rPr>
              <w:t>’</w:t>
            </w:r>
            <w:r w:rsidRPr="002D02F3">
              <w:rPr>
                <w:sz w:val="16"/>
              </w:rPr>
              <w:t>appui efficaces, efficients, de qualité et tournés vers la clientèle, à l</w:t>
            </w:r>
            <w:r w:rsidR="00A20444" w:rsidRPr="002D02F3">
              <w:rPr>
                <w:sz w:val="16"/>
              </w:rPr>
              <w:t>’</w:t>
            </w:r>
            <w:r w:rsidRPr="002D02F3">
              <w:rPr>
                <w:sz w:val="16"/>
              </w:rPr>
              <w:t>intention à la fois des clients internes et des parties prenantes externes (ressources humaines, informatique, conférences, service linguistique, achats, voyages, imprimerie et publications, gestion des locaux)</w:t>
            </w:r>
          </w:p>
        </w:tc>
      </w:tr>
      <w:tr w:rsidR="00C82EE5" w:rsidRPr="002D02F3" w:rsidTr="0056083E">
        <w:trPr>
          <w:cantSplit/>
        </w:trPr>
        <w:tc>
          <w:tcPr>
            <w:tcW w:w="836" w:type="pct"/>
            <w:tcBorders>
              <w:top w:val="single" w:sz="4" w:space="0" w:color="auto"/>
            </w:tcBorders>
            <w:shd w:val="clear" w:color="auto" w:fill="auto"/>
            <w:vAlign w:val="center"/>
          </w:tcPr>
          <w:p w:rsidR="00C82EE5" w:rsidRPr="002D02F3" w:rsidRDefault="00C82EE5" w:rsidP="00933D5A">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00" w:type="pct"/>
            <w:tcBorders>
              <w:top w:val="single" w:sz="4" w:space="0" w:color="auto"/>
            </w:tcBorders>
            <w:shd w:val="clear" w:color="auto" w:fill="auto"/>
            <w:vAlign w:val="center"/>
          </w:tcPr>
          <w:p w:rsidR="00C82EE5" w:rsidRPr="002D02F3" w:rsidRDefault="00C82EE5" w:rsidP="00933D5A">
            <w:pPr>
              <w:rPr>
                <w:rFonts w:cs="Arial"/>
                <w:b/>
                <w:bCs/>
                <w:sz w:val="16"/>
                <w:szCs w:val="16"/>
              </w:rPr>
            </w:pPr>
            <w:r w:rsidRPr="002D02F3">
              <w:rPr>
                <w:b/>
                <w:sz w:val="16"/>
              </w:rPr>
              <w:t>Niveaux de référence</w:t>
            </w:r>
          </w:p>
        </w:tc>
        <w:tc>
          <w:tcPr>
            <w:tcW w:w="764" w:type="pct"/>
            <w:gridSpan w:val="2"/>
            <w:tcBorders>
              <w:top w:val="single" w:sz="4" w:space="0" w:color="auto"/>
            </w:tcBorders>
            <w:shd w:val="clear" w:color="auto" w:fill="auto"/>
            <w:tcMar>
              <w:top w:w="110" w:type="dxa"/>
            </w:tcMar>
            <w:vAlign w:val="center"/>
          </w:tcPr>
          <w:p w:rsidR="00C82EE5" w:rsidRPr="002D02F3" w:rsidRDefault="00C82EE5" w:rsidP="00933D5A">
            <w:pPr>
              <w:rPr>
                <w:rFonts w:cs="Arial"/>
                <w:b/>
                <w:sz w:val="16"/>
                <w:szCs w:val="16"/>
              </w:rPr>
            </w:pPr>
            <w:r w:rsidRPr="002D02F3">
              <w:rPr>
                <w:b/>
                <w:sz w:val="16"/>
              </w:rPr>
              <w:t>Objectifs visés</w:t>
            </w:r>
          </w:p>
        </w:tc>
        <w:tc>
          <w:tcPr>
            <w:tcW w:w="1818" w:type="pct"/>
            <w:tcBorders>
              <w:top w:val="single" w:sz="4" w:space="0" w:color="auto"/>
            </w:tcBorders>
            <w:shd w:val="clear" w:color="auto" w:fill="FFFFFF"/>
            <w:tcMar>
              <w:top w:w="110" w:type="dxa"/>
            </w:tcMar>
            <w:vAlign w:val="center"/>
          </w:tcPr>
          <w:p w:rsidR="00C82EE5" w:rsidRPr="002D02F3" w:rsidRDefault="00C82EE5" w:rsidP="00933D5A">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gridSpan w:val="2"/>
            <w:tcBorders>
              <w:top w:val="single" w:sz="4" w:space="0" w:color="auto"/>
            </w:tcBorders>
            <w:shd w:val="clear" w:color="auto" w:fill="auto"/>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56083E">
        <w:trPr>
          <w:cantSplit/>
        </w:trPr>
        <w:tc>
          <w:tcPr>
            <w:tcW w:w="836" w:type="pct"/>
            <w:shd w:val="clear" w:color="auto" w:fill="auto"/>
          </w:tcPr>
          <w:p w:rsidR="00C82EE5" w:rsidRPr="00933D5A" w:rsidRDefault="00C82EE5" w:rsidP="001A5BF9">
            <w:pPr>
              <w:rPr>
                <w:rFonts w:cs="Arial"/>
                <w:sz w:val="16"/>
                <w:szCs w:val="16"/>
              </w:rPr>
            </w:pPr>
            <w:r w:rsidRPr="00933D5A">
              <w:rPr>
                <w:sz w:val="16"/>
                <w:szCs w:val="16"/>
              </w:rPr>
              <w:t>Économies sur les achats de biens et de services effectués par l</w:t>
            </w:r>
            <w:r w:rsidR="00A20444" w:rsidRPr="00933D5A">
              <w:rPr>
                <w:sz w:val="16"/>
                <w:szCs w:val="16"/>
              </w:rPr>
              <w:t>’</w:t>
            </w:r>
            <w:r w:rsidRPr="00933D5A">
              <w:rPr>
                <w:sz w:val="16"/>
                <w:szCs w:val="16"/>
              </w:rPr>
              <w:t>OMPI (par suite d</w:t>
            </w:r>
            <w:r w:rsidR="00A20444" w:rsidRPr="00933D5A">
              <w:rPr>
                <w:sz w:val="16"/>
                <w:szCs w:val="16"/>
              </w:rPr>
              <w:t>’</w:t>
            </w:r>
            <w:r w:rsidRPr="00933D5A">
              <w:rPr>
                <w:sz w:val="16"/>
                <w:szCs w:val="16"/>
              </w:rPr>
              <w:t xml:space="preserve">invitations à soumissionner, de négociations ou de mesures de mondialisation – </w:t>
            </w:r>
            <w:r w:rsidR="00A20444" w:rsidRPr="00933D5A">
              <w:rPr>
                <w:sz w:val="16"/>
                <w:szCs w:val="16"/>
              </w:rPr>
              <w:t>Nations Unies</w:t>
            </w:r>
            <w:r w:rsidRPr="00933D5A">
              <w:rPr>
                <w:sz w:val="16"/>
                <w:szCs w:val="16"/>
              </w:rPr>
              <w:t>)</w:t>
            </w:r>
          </w:p>
        </w:tc>
        <w:tc>
          <w:tcPr>
            <w:tcW w:w="900" w:type="pct"/>
            <w:shd w:val="clear" w:color="auto" w:fill="auto"/>
          </w:tcPr>
          <w:p w:rsidR="00C82EE5" w:rsidRPr="005C7CCE" w:rsidRDefault="00C82EE5" w:rsidP="001A5BF9">
            <w:pPr>
              <w:rPr>
                <w:rFonts w:cs="Arial"/>
                <w:sz w:val="16"/>
                <w:szCs w:val="16"/>
              </w:rPr>
            </w:pPr>
            <w:r w:rsidRPr="005C7CCE">
              <w:rPr>
                <w:sz w:val="16"/>
                <w:szCs w:val="16"/>
              </w:rPr>
              <w:t>500 000 francs suisses (</w:t>
            </w:r>
            <w:r w:rsidR="00667FB3">
              <w:rPr>
                <w:sz w:val="16"/>
                <w:szCs w:val="16"/>
              </w:rPr>
              <w:t>programme et budget</w:t>
            </w:r>
            <w:r w:rsidRPr="005C7CCE">
              <w:rPr>
                <w:sz w:val="16"/>
                <w:szCs w:val="16"/>
              </w:rPr>
              <w:t> à la valeur 2010</w:t>
            </w:r>
            <w:r w:rsidR="002D6F2A" w:rsidRPr="005C7CCE">
              <w:rPr>
                <w:sz w:val="16"/>
                <w:szCs w:val="16"/>
              </w:rPr>
              <w:noBreakHyphen/>
            </w:r>
            <w:r w:rsidRPr="005C7CCE">
              <w:rPr>
                <w:sz w:val="16"/>
                <w:szCs w:val="16"/>
              </w:rPr>
              <w:t>2011)</w:t>
            </w:r>
          </w:p>
        </w:tc>
        <w:tc>
          <w:tcPr>
            <w:tcW w:w="764" w:type="pct"/>
            <w:gridSpan w:val="2"/>
            <w:shd w:val="clear" w:color="auto" w:fill="auto"/>
            <w:tcMar>
              <w:top w:w="110" w:type="dxa"/>
            </w:tcMar>
          </w:tcPr>
          <w:p w:rsidR="00D42474" w:rsidRDefault="00C82EE5" w:rsidP="001A5BF9">
            <w:pPr>
              <w:autoSpaceDE w:val="0"/>
              <w:autoSpaceDN w:val="0"/>
              <w:adjustRightInd w:val="0"/>
              <w:rPr>
                <w:rFonts w:ascii="ArialMT" w:hAnsi="ArialMT" w:cs="ArialMT"/>
                <w:sz w:val="16"/>
                <w:szCs w:val="16"/>
              </w:rPr>
            </w:pPr>
            <w:r w:rsidRPr="005C7CCE">
              <w:rPr>
                <w:rFonts w:ascii="ArialMT" w:hAnsi="ArialMT"/>
                <w:sz w:val="16"/>
                <w:szCs w:val="16"/>
              </w:rPr>
              <w:t>Au moins 500 000 francs suisses</w:t>
            </w:r>
          </w:p>
          <w:p w:rsidR="00C82EE5" w:rsidRPr="005C7CCE" w:rsidRDefault="00C82EE5" w:rsidP="001A5BF9">
            <w:pPr>
              <w:rPr>
                <w:rFonts w:cs="Arial"/>
                <w:sz w:val="16"/>
                <w:szCs w:val="16"/>
                <w:lang w:bidi="th-TH"/>
              </w:rPr>
            </w:pPr>
            <w:r w:rsidRPr="005C7CCE">
              <w:rPr>
                <w:rFonts w:ascii="ArialMT" w:hAnsi="ArialMT"/>
                <w:sz w:val="16"/>
                <w:szCs w:val="16"/>
              </w:rPr>
              <w:t>(</w:t>
            </w:r>
            <w:r w:rsidR="00667FB3">
              <w:rPr>
                <w:rFonts w:ascii="ArialMT" w:hAnsi="ArialMT"/>
                <w:sz w:val="16"/>
                <w:szCs w:val="16"/>
              </w:rPr>
              <w:t>programme et budget</w:t>
            </w:r>
            <w:r w:rsidRPr="005C7CCE">
              <w:rPr>
                <w:rFonts w:ascii="ArialMT" w:hAnsi="ArialMT"/>
                <w:sz w:val="16"/>
                <w:szCs w:val="16"/>
              </w:rPr>
              <w:t> à la valeur 2010</w:t>
            </w:r>
            <w:r w:rsidR="002D6F2A" w:rsidRPr="005C7CCE">
              <w:rPr>
                <w:rFonts w:ascii="ArialMT" w:hAnsi="ArialMT"/>
                <w:sz w:val="16"/>
                <w:szCs w:val="16"/>
              </w:rPr>
              <w:noBreakHyphen/>
            </w:r>
            <w:r w:rsidRPr="005C7CCE">
              <w:rPr>
                <w:rFonts w:ascii="ArialMT" w:hAnsi="ArialMT"/>
                <w:sz w:val="16"/>
                <w:szCs w:val="16"/>
              </w:rPr>
              <w:t>2011)</w:t>
            </w:r>
          </w:p>
        </w:tc>
        <w:tc>
          <w:tcPr>
            <w:tcW w:w="1818" w:type="pct"/>
            <w:shd w:val="clear" w:color="auto" w:fill="FFFFFF"/>
            <w:tcMar>
              <w:top w:w="110" w:type="dxa"/>
            </w:tcMar>
          </w:tcPr>
          <w:p w:rsidR="00C82EE5" w:rsidRPr="005C7CCE" w:rsidRDefault="00C82EE5" w:rsidP="001A5BF9">
            <w:pPr>
              <w:rPr>
                <w:rFonts w:cs="Arial"/>
                <w:sz w:val="16"/>
                <w:szCs w:val="16"/>
                <w:lang w:bidi="th-TH"/>
              </w:rPr>
            </w:pPr>
            <w:r w:rsidRPr="005C7CCE">
              <w:rPr>
                <w:sz w:val="16"/>
                <w:szCs w:val="16"/>
              </w:rPr>
              <w:t>1 911 500 francs suisse</w:t>
            </w:r>
            <w:r w:rsidR="00B93C56">
              <w:rPr>
                <w:sz w:val="16"/>
                <w:szCs w:val="16"/>
              </w:rPr>
              <w:t>s</w:t>
            </w:r>
            <w:r w:rsidRPr="005C7CCE">
              <w:rPr>
                <w:sz w:val="16"/>
                <w:szCs w:val="16"/>
              </w:rPr>
              <w:t>, selon les économies estimatives publiées par le groupe ACA.</w:t>
            </w:r>
          </w:p>
        </w:tc>
        <w:tc>
          <w:tcPr>
            <w:tcW w:w="682" w:type="pct"/>
            <w:gridSpan w:val="2"/>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color w:val="008000"/>
                <w:sz w:val="16"/>
                <w:szCs w:val="16"/>
              </w:rPr>
              <w:t>Objectif pleinement atteint</w:t>
            </w:r>
          </w:p>
        </w:tc>
      </w:tr>
      <w:tr w:rsidR="00C82EE5" w:rsidRPr="005C7CCE" w:rsidTr="0056083E">
        <w:trPr>
          <w:cantSplit/>
        </w:trPr>
        <w:tc>
          <w:tcPr>
            <w:tcW w:w="836" w:type="pct"/>
            <w:shd w:val="clear" w:color="auto" w:fill="auto"/>
          </w:tcPr>
          <w:p w:rsidR="00C82EE5" w:rsidRPr="00933D5A" w:rsidRDefault="00C82EE5" w:rsidP="001A5BF9">
            <w:pPr>
              <w:rPr>
                <w:rFonts w:cs="Arial"/>
                <w:sz w:val="16"/>
                <w:szCs w:val="16"/>
              </w:rPr>
            </w:pPr>
            <w:r w:rsidRPr="00933D5A">
              <w:rPr>
                <w:sz w:val="16"/>
                <w:szCs w:val="16"/>
              </w:rPr>
              <w:t>Pourcentage de clients internes satisfaits des services d</w:t>
            </w:r>
            <w:r w:rsidR="00A20444" w:rsidRPr="00933D5A">
              <w:rPr>
                <w:sz w:val="16"/>
                <w:szCs w:val="16"/>
              </w:rPr>
              <w:t>’</w:t>
            </w:r>
            <w:r w:rsidRPr="00933D5A">
              <w:rPr>
                <w:sz w:val="16"/>
                <w:szCs w:val="16"/>
              </w:rPr>
              <w:t>achat</w:t>
            </w:r>
          </w:p>
        </w:tc>
        <w:tc>
          <w:tcPr>
            <w:tcW w:w="900" w:type="pct"/>
            <w:shd w:val="clear" w:color="auto" w:fill="auto"/>
          </w:tcPr>
          <w:p w:rsidR="00D42474" w:rsidRDefault="00C82EE5" w:rsidP="001A5BF9">
            <w:pPr>
              <w:pStyle w:val="Default"/>
              <w:rPr>
                <w:color w:val="002060"/>
                <w:sz w:val="16"/>
                <w:szCs w:val="16"/>
              </w:rPr>
            </w:pPr>
            <w:r w:rsidRPr="005C7CCE">
              <w:rPr>
                <w:i/>
                <w:color w:val="002060"/>
                <w:sz w:val="16"/>
                <w:szCs w:val="16"/>
              </w:rPr>
              <w:t>Niveau de référence actualisé fin 2011 :</w:t>
            </w:r>
            <w:r w:rsidRPr="005C7CCE">
              <w:rPr>
                <w:color w:val="002060"/>
                <w:sz w:val="16"/>
                <w:szCs w:val="16"/>
              </w:rPr>
              <w:t xml:space="preserve"> 75</w:t>
            </w:r>
            <w:r w:rsidR="007E442D" w:rsidRPr="005C7CCE">
              <w:rPr>
                <w:color w:val="002060"/>
                <w:sz w:val="16"/>
                <w:szCs w:val="16"/>
              </w:rPr>
              <w:t>%</w:t>
            </w:r>
          </w:p>
          <w:p w:rsidR="00D42474" w:rsidRDefault="00D42474" w:rsidP="001A5BF9">
            <w:pPr>
              <w:rPr>
                <w:rFonts w:cs="Arial"/>
                <w:i/>
                <w:sz w:val="16"/>
                <w:szCs w:val="16"/>
              </w:rPr>
            </w:pPr>
          </w:p>
          <w:p w:rsidR="00C82EE5" w:rsidRPr="005C7CCE" w:rsidRDefault="00C82EE5" w:rsidP="00933D5A">
            <w:pPr>
              <w:rPr>
                <w:rFonts w:cs="Arial"/>
                <w:sz w:val="16"/>
                <w:szCs w:val="16"/>
              </w:rPr>
            </w:pPr>
            <w:r w:rsidRPr="005C7CCE">
              <w:rPr>
                <w:i/>
                <w:sz w:val="16"/>
                <w:szCs w:val="16"/>
              </w:rPr>
              <w:t xml:space="preserve">Niveau de référence initial </w:t>
            </w:r>
            <w:r w:rsidR="00667FB3">
              <w:rPr>
                <w:i/>
                <w:sz w:val="16"/>
                <w:szCs w:val="16"/>
              </w:rPr>
              <w:t>programme et budget</w:t>
            </w:r>
            <w:r w:rsidRPr="005C7CCE">
              <w:rPr>
                <w:i/>
                <w:sz w:val="16"/>
                <w:szCs w:val="16"/>
              </w:rPr>
              <w:t> 2012</w:t>
            </w:r>
            <w:r w:rsidR="002D6F2A" w:rsidRPr="005C7CCE">
              <w:rPr>
                <w:i/>
                <w:sz w:val="16"/>
                <w:szCs w:val="16"/>
              </w:rPr>
              <w:noBreakHyphen/>
            </w:r>
            <w:r w:rsidRPr="005C7CCE">
              <w:rPr>
                <w:i/>
                <w:sz w:val="16"/>
                <w:szCs w:val="16"/>
              </w:rPr>
              <w:t>2013 </w:t>
            </w:r>
            <w:proofErr w:type="gramStart"/>
            <w:r w:rsidRPr="005C7CCE">
              <w:rPr>
                <w:i/>
                <w:sz w:val="16"/>
                <w:szCs w:val="16"/>
              </w:rPr>
              <w:t>:</w:t>
            </w:r>
            <w:proofErr w:type="gramEnd"/>
            <w:r w:rsidRPr="005C7CCE">
              <w:rPr>
                <w:sz w:val="16"/>
                <w:szCs w:val="16"/>
              </w:rPr>
              <w:br/>
            </w:r>
            <w:r w:rsidR="00933D5A">
              <w:rPr>
                <w:sz w:val="16"/>
                <w:szCs w:val="16"/>
              </w:rPr>
              <w:t>à</w:t>
            </w:r>
            <w:r w:rsidRPr="005C7CCE">
              <w:rPr>
                <w:sz w:val="16"/>
                <w:szCs w:val="16"/>
              </w:rPr>
              <w:t> déterminer (fin 2011)</w:t>
            </w:r>
          </w:p>
        </w:tc>
        <w:tc>
          <w:tcPr>
            <w:tcW w:w="764" w:type="pct"/>
            <w:gridSpan w:val="2"/>
            <w:shd w:val="clear" w:color="auto" w:fill="auto"/>
            <w:tcMar>
              <w:top w:w="110" w:type="dxa"/>
            </w:tcMar>
          </w:tcPr>
          <w:p w:rsidR="00C82EE5" w:rsidRPr="00933D5A" w:rsidRDefault="00C82EE5" w:rsidP="001A5BF9">
            <w:pPr>
              <w:rPr>
                <w:rFonts w:ascii="ArialMT" w:hAnsi="ArialMT" w:cs="ArialMT"/>
                <w:sz w:val="16"/>
                <w:szCs w:val="16"/>
              </w:rPr>
            </w:pPr>
            <w:r w:rsidRPr="00933D5A">
              <w:rPr>
                <w:rFonts w:ascii="ArialMT" w:hAnsi="ArialMT"/>
                <w:sz w:val="16"/>
                <w:szCs w:val="16"/>
              </w:rPr>
              <w:t>À déterminer fin 2011</w:t>
            </w:r>
          </w:p>
        </w:tc>
        <w:tc>
          <w:tcPr>
            <w:tcW w:w="1818" w:type="pct"/>
            <w:shd w:val="clear" w:color="auto" w:fill="FFFFFF"/>
            <w:tcMar>
              <w:top w:w="110" w:type="dxa"/>
            </w:tcMar>
          </w:tcPr>
          <w:p w:rsidR="00C82EE5" w:rsidRPr="005C7CCE" w:rsidRDefault="00C82EE5" w:rsidP="001A5BF9">
            <w:pPr>
              <w:rPr>
                <w:rFonts w:cs="Arial"/>
                <w:sz w:val="16"/>
                <w:szCs w:val="16"/>
                <w:lang w:bidi="th-TH"/>
              </w:rPr>
            </w:pPr>
            <w:r w:rsidRPr="005C7CCE">
              <w:rPr>
                <w:sz w:val="16"/>
                <w:szCs w:val="16"/>
              </w:rPr>
              <w:t>73</w:t>
            </w:r>
            <w:r w:rsidR="007E442D" w:rsidRPr="005C7CCE">
              <w:rPr>
                <w:sz w:val="16"/>
                <w:szCs w:val="16"/>
              </w:rPr>
              <w:t>%</w:t>
            </w:r>
          </w:p>
        </w:tc>
        <w:tc>
          <w:tcPr>
            <w:tcW w:w="682" w:type="pct"/>
            <w:gridSpan w:val="2"/>
            <w:shd w:val="clear" w:color="auto" w:fill="auto"/>
            <w:tcMar>
              <w:top w:w="110" w:type="dxa"/>
            </w:tcMar>
          </w:tcPr>
          <w:p w:rsidR="00C82EE5" w:rsidRPr="005C7CCE" w:rsidRDefault="00C82EE5" w:rsidP="001A5BF9">
            <w:pPr>
              <w:keepNext/>
              <w:keepLines/>
              <w:spacing w:after="120"/>
              <w:jc w:val="center"/>
              <w:rPr>
                <w:rFonts w:cs="Arial"/>
                <w:bCs/>
                <w:color w:val="808080"/>
                <w:sz w:val="16"/>
                <w:szCs w:val="16"/>
              </w:rPr>
            </w:pPr>
            <w:r w:rsidRPr="005C7CCE">
              <w:rPr>
                <w:rStyle w:val="Style5"/>
                <w:rFonts w:ascii="Arial" w:hAnsi="Arial"/>
                <w:color w:val="808080"/>
                <w:sz w:val="16"/>
                <w:szCs w:val="16"/>
              </w:rPr>
              <w:t>Non évaluable</w:t>
            </w:r>
          </w:p>
        </w:tc>
      </w:tr>
      <w:tr w:rsidR="00C82EE5" w:rsidRPr="005C7CCE" w:rsidTr="0056083E">
        <w:trPr>
          <w:cantSplit/>
        </w:trPr>
        <w:tc>
          <w:tcPr>
            <w:tcW w:w="836" w:type="pct"/>
            <w:shd w:val="clear" w:color="auto" w:fill="auto"/>
          </w:tcPr>
          <w:p w:rsidR="00C82EE5" w:rsidRPr="00933D5A" w:rsidRDefault="00C82EE5" w:rsidP="001A5BF9">
            <w:pPr>
              <w:rPr>
                <w:rFonts w:cs="Arial"/>
                <w:sz w:val="16"/>
                <w:szCs w:val="16"/>
              </w:rPr>
            </w:pPr>
            <w:r w:rsidRPr="00933D5A">
              <w:rPr>
                <w:sz w:val="16"/>
                <w:szCs w:val="16"/>
              </w:rPr>
              <w:t>Pourcentage de dépenses soumises à effet de levier ou à une évaluation de l</w:t>
            </w:r>
            <w:r w:rsidR="00A20444" w:rsidRPr="00933D5A">
              <w:rPr>
                <w:sz w:val="16"/>
                <w:szCs w:val="16"/>
              </w:rPr>
              <w:t>’</w:t>
            </w:r>
            <w:r w:rsidRPr="00933D5A">
              <w:rPr>
                <w:sz w:val="16"/>
                <w:szCs w:val="16"/>
              </w:rPr>
              <w:t>ONU</w:t>
            </w:r>
          </w:p>
        </w:tc>
        <w:tc>
          <w:tcPr>
            <w:tcW w:w="900" w:type="pct"/>
            <w:shd w:val="clear" w:color="auto" w:fill="auto"/>
          </w:tcPr>
          <w:p w:rsidR="00D42474" w:rsidRDefault="00C82EE5" w:rsidP="001A5BF9">
            <w:pPr>
              <w:rPr>
                <w:color w:val="002060"/>
                <w:sz w:val="16"/>
                <w:szCs w:val="16"/>
              </w:rPr>
            </w:pPr>
            <w:r w:rsidRPr="00933D5A">
              <w:rPr>
                <w:i/>
                <w:color w:val="002060"/>
                <w:sz w:val="16"/>
                <w:szCs w:val="16"/>
              </w:rPr>
              <w:t>Niveau de référence actualisé fin 2011 :</w:t>
            </w:r>
            <w:r w:rsidRPr="00933D5A">
              <w:rPr>
                <w:color w:val="002060"/>
                <w:sz w:val="16"/>
                <w:szCs w:val="16"/>
              </w:rPr>
              <w:t xml:space="preserve"> 10</w:t>
            </w:r>
            <w:r w:rsidR="007E442D" w:rsidRPr="00933D5A">
              <w:rPr>
                <w:color w:val="002060"/>
                <w:sz w:val="16"/>
                <w:szCs w:val="16"/>
              </w:rPr>
              <w:t>%</w:t>
            </w:r>
          </w:p>
          <w:p w:rsidR="00D42474" w:rsidRDefault="00D42474" w:rsidP="001A5BF9">
            <w:pPr>
              <w:rPr>
                <w:color w:val="002060"/>
                <w:sz w:val="16"/>
                <w:szCs w:val="16"/>
              </w:rPr>
            </w:pPr>
          </w:p>
          <w:p w:rsidR="00C82EE5" w:rsidRPr="005C7CCE" w:rsidRDefault="00C82EE5" w:rsidP="00933D5A">
            <w:pPr>
              <w:rPr>
                <w:rFonts w:cs="Arial"/>
                <w:sz w:val="16"/>
                <w:szCs w:val="16"/>
              </w:rPr>
            </w:pPr>
            <w:r w:rsidRPr="005C7CCE">
              <w:rPr>
                <w:i/>
                <w:sz w:val="16"/>
                <w:szCs w:val="16"/>
              </w:rPr>
              <w:t xml:space="preserve">Niveau de référence initial </w:t>
            </w:r>
            <w:r w:rsidR="00667FB3">
              <w:rPr>
                <w:i/>
                <w:sz w:val="16"/>
                <w:szCs w:val="16"/>
              </w:rPr>
              <w:t>programme et budget</w:t>
            </w:r>
            <w:r w:rsidRPr="005C7CCE">
              <w:rPr>
                <w:i/>
                <w:sz w:val="16"/>
                <w:szCs w:val="16"/>
              </w:rPr>
              <w:t> 2012</w:t>
            </w:r>
            <w:r w:rsidR="002D6F2A" w:rsidRPr="005C7CCE">
              <w:rPr>
                <w:i/>
                <w:sz w:val="16"/>
                <w:szCs w:val="16"/>
              </w:rPr>
              <w:noBreakHyphen/>
            </w:r>
            <w:r w:rsidRPr="005C7CCE">
              <w:rPr>
                <w:i/>
                <w:sz w:val="16"/>
                <w:szCs w:val="16"/>
              </w:rPr>
              <w:t>2013 </w:t>
            </w:r>
            <w:proofErr w:type="gramStart"/>
            <w:r w:rsidRPr="005C7CCE">
              <w:rPr>
                <w:i/>
                <w:sz w:val="16"/>
                <w:szCs w:val="16"/>
              </w:rPr>
              <w:t>:</w:t>
            </w:r>
            <w:proofErr w:type="gramEnd"/>
            <w:r w:rsidRPr="005C7CCE">
              <w:rPr>
                <w:sz w:val="16"/>
                <w:szCs w:val="16"/>
              </w:rPr>
              <w:br/>
            </w:r>
            <w:r w:rsidR="00933D5A">
              <w:rPr>
                <w:sz w:val="16"/>
                <w:szCs w:val="16"/>
              </w:rPr>
              <w:t>à</w:t>
            </w:r>
            <w:r w:rsidRPr="005C7CCE">
              <w:rPr>
                <w:sz w:val="16"/>
                <w:szCs w:val="16"/>
              </w:rPr>
              <w:t> déterminer (fin 2011)</w:t>
            </w:r>
          </w:p>
        </w:tc>
        <w:tc>
          <w:tcPr>
            <w:tcW w:w="764" w:type="pct"/>
            <w:gridSpan w:val="2"/>
            <w:shd w:val="clear" w:color="auto" w:fill="auto"/>
            <w:tcMar>
              <w:top w:w="110" w:type="dxa"/>
            </w:tcMar>
          </w:tcPr>
          <w:p w:rsidR="00C82EE5" w:rsidRPr="00933D5A" w:rsidRDefault="00C82EE5" w:rsidP="001A5BF9">
            <w:pPr>
              <w:rPr>
                <w:rFonts w:cs="Arial"/>
                <w:sz w:val="16"/>
                <w:szCs w:val="16"/>
              </w:rPr>
            </w:pPr>
            <w:r w:rsidRPr="00933D5A">
              <w:rPr>
                <w:sz w:val="16"/>
                <w:szCs w:val="16"/>
              </w:rPr>
              <w:t>À déterminer fin 2011</w:t>
            </w:r>
          </w:p>
        </w:tc>
        <w:tc>
          <w:tcPr>
            <w:tcW w:w="1818" w:type="pct"/>
            <w:shd w:val="clear" w:color="auto" w:fill="FFFFFF"/>
            <w:tcMar>
              <w:top w:w="110" w:type="dxa"/>
            </w:tcMar>
          </w:tcPr>
          <w:p w:rsidR="00C82EE5" w:rsidRPr="005C7CCE" w:rsidRDefault="00C82EE5" w:rsidP="001A5BF9">
            <w:pPr>
              <w:rPr>
                <w:rFonts w:cs="Arial"/>
                <w:sz w:val="16"/>
                <w:szCs w:val="16"/>
                <w:lang w:bidi="th-TH"/>
              </w:rPr>
            </w:pPr>
            <w:r w:rsidRPr="005C7CCE">
              <w:rPr>
                <w:sz w:val="16"/>
                <w:szCs w:val="16"/>
              </w:rPr>
              <w:t>4</w:t>
            </w:r>
            <w:r w:rsidR="007E442D" w:rsidRPr="005C7CCE">
              <w:rPr>
                <w:sz w:val="16"/>
                <w:szCs w:val="16"/>
              </w:rPr>
              <w:t>%</w:t>
            </w:r>
          </w:p>
        </w:tc>
        <w:tc>
          <w:tcPr>
            <w:tcW w:w="682" w:type="pct"/>
            <w:gridSpan w:val="2"/>
            <w:shd w:val="clear" w:color="auto" w:fill="auto"/>
          </w:tcPr>
          <w:p w:rsidR="00C82EE5" w:rsidRPr="005C7CCE" w:rsidRDefault="00C82EE5" w:rsidP="001A5BF9">
            <w:pPr>
              <w:keepNext/>
              <w:keepLines/>
              <w:jc w:val="center"/>
              <w:rPr>
                <w:rFonts w:cs="Arial"/>
                <w:bCs/>
                <w:color w:val="808080"/>
                <w:sz w:val="16"/>
                <w:szCs w:val="16"/>
              </w:rPr>
            </w:pPr>
            <w:r w:rsidRPr="005C7CCE">
              <w:rPr>
                <w:rStyle w:val="Style5"/>
                <w:rFonts w:ascii="Arial" w:hAnsi="Arial"/>
                <w:color w:val="808080"/>
                <w:sz w:val="16"/>
                <w:szCs w:val="16"/>
              </w:rPr>
              <w:t>Non évaluable</w:t>
            </w:r>
          </w:p>
        </w:tc>
      </w:tr>
      <w:tr w:rsidR="00C82EE5" w:rsidRPr="005C7CCE" w:rsidTr="0056083E">
        <w:trPr>
          <w:cantSplit/>
        </w:trPr>
        <w:tc>
          <w:tcPr>
            <w:tcW w:w="836" w:type="pct"/>
            <w:shd w:val="clear" w:color="auto" w:fill="auto"/>
          </w:tcPr>
          <w:p w:rsidR="00C82EE5" w:rsidRPr="00933D5A" w:rsidRDefault="00C82EE5" w:rsidP="001A5BF9">
            <w:pPr>
              <w:rPr>
                <w:rFonts w:cs="Arial"/>
                <w:sz w:val="16"/>
                <w:szCs w:val="16"/>
              </w:rPr>
            </w:pPr>
            <w:r w:rsidRPr="00933D5A">
              <w:rPr>
                <w:sz w:val="16"/>
                <w:szCs w:val="16"/>
              </w:rPr>
              <w:t>Temps de traitement des autorisations de voyage et des demandes de manifestation électroniques (sous condition de respect des délais)</w:t>
            </w:r>
          </w:p>
        </w:tc>
        <w:tc>
          <w:tcPr>
            <w:tcW w:w="900" w:type="pct"/>
            <w:shd w:val="clear" w:color="auto" w:fill="auto"/>
          </w:tcPr>
          <w:p w:rsidR="00C82EE5" w:rsidRPr="00933D5A" w:rsidRDefault="00C82EE5" w:rsidP="001A5BF9">
            <w:pPr>
              <w:rPr>
                <w:rFonts w:cs="Arial"/>
                <w:sz w:val="16"/>
                <w:szCs w:val="16"/>
              </w:rPr>
            </w:pPr>
            <w:r w:rsidRPr="00933D5A">
              <w:rPr>
                <w:sz w:val="16"/>
                <w:szCs w:val="16"/>
              </w:rPr>
              <w:t>AVE = 1 jour</w:t>
            </w:r>
            <w:r w:rsidRPr="00933D5A">
              <w:rPr>
                <w:sz w:val="16"/>
                <w:szCs w:val="16"/>
              </w:rPr>
              <w:br/>
            </w:r>
            <w:proofErr w:type="spellStart"/>
            <w:r w:rsidRPr="00933D5A">
              <w:rPr>
                <w:sz w:val="16"/>
                <w:szCs w:val="16"/>
              </w:rPr>
              <w:t>DME</w:t>
            </w:r>
            <w:proofErr w:type="spellEnd"/>
            <w:r w:rsidRPr="00933D5A">
              <w:rPr>
                <w:sz w:val="16"/>
                <w:szCs w:val="16"/>
              </w:rPr>
              <w:t> = 2 heures</w:t>
            </w:r>
          </w:p>
        </w:tc>
        <w:tc>
          <w:tcPr>
            <w:tcW w:w="764" w:type="pct"/>
            <w:gridSpan w:val="2"/>
            <w:shd w:val="clear" w:color="auto" w:fill="auto"/>
            <w:tcMar>
              <w:top w:w="110" w:type="dxa"/>
            </w:tcMar>
          </w:tcPr>
          <w:p w:rsidR="00D42474" w:rsidRDefault="00C82EE5" w:rsidP="001A5BF9">
            <w:pPr>
              <w:autoSpaceDE w:val="0"/>
              <w:autoSpaceDN w:val="0"/>
              <w:adjustRightInd w:val="0"/>
              <w:rPr>
                <w:rFonts w:ascii="ArialMT" w:hAnsi="ArialMT" w:cs="ArialMT"/>
                <w:sz w:val="16"/>
                <w:szCs w:val="16"/>
              </w:rPr>
            </w:pPr>
            <w:r w:rsidRPr="00933D5A">
              <w:rPr>
                <w:rFonts w:ascii="ArialMT" w:hAnsi="ArialMT"/>
                <w:sz w:val="16"/>
                <w:szCs w:val="16"/>
              </w:rPr>
              <w:t>AVE = 1 jour</w:t>
            </w:r>
          </w:p>
          <w:p w:rsidR="00C82EE5" w:rsidRPr="00933D5A" w:rsidRDefault="00C82EE5" w:rsidP="001A5BF9">
            <w:pPr>
              <w:rPr>
                <w:rFonts w:cs="Arial"/>
                <w:sz w:val="16"/>
                <w:szCs w:val="16"/>
                <w:lang w:bidi="th-TH"/>
              </w:rPr>
            </w:pPr>
            <w:proofErr w:type="spellStart"/>
            <w:r w:rsidRPr="00933D5A">
              <w:rPr>
                <w:rFonts w:ascii="ArialMT" w:hAnsi="ArialMT"/>
                <w:sz w:val="16"/>
                <w:szCs w:val="16"/>
              </w:rPr>
              <w:t>DME</w:t>
            </w:r>
            <w:proofErr w:type="spellEnd"/>
            <w:r w:rsidRPr="00933D5A">
              <w:rPr>
                <w:rFonts w:ascii="ArialMT" w:hAnsi="ArialMT"/>
                <w:sz w:val="16"/>
                <w:szCs w:val="16"/>
              </w:rPr>
              <w:t> = 2 heures</w:t>
            </w:r>
          </w:p>
        </w:tc>
        <w:tc>
          <w:tcPr>
            <w:tcW w:w="1818" w:type="pct"/>
            <w:shd w:val="clear" w:color="auto" w:fill="FFFFFF"/>
            <w:tcMar>
              <w:top w:w="110" w:type="dxa"/>
            </w:tcMar>
          </w:tcPr>
          <w:p w:rsidR="00D42474" w:rsidRDefault="00C82EE5" w:rsidP="001A5BF9">
            <w:pPr>
              <w:rPr>
                <w:rFonts w:cs="Arial"/>
                <w:sz w:val="16"/>
                <w:szCs w:val="16"/>
                <w:lang w:bidi="th-TH"/>
              </w:rPr>
            </w:pPr>
            <w:r w:rsidRPr="00933D5A">
              <w:rPr>
                <w:sz w:val="16"/>
                <w:szCs w:val="16"/>
              </w:rPr>
              <w:t>AVE &lt; 1 jour</w:t>
            </w:r>
          </w:p>
          <w:p w:rsidR="00C82EE5" w:rsidRPr="00933D5A" w:rsidRDefault="00C82EE5" w:rsidP="001A5BF9">
            <w:pPr>
              <w:rPr>
                <w:rFonts w:cs="Arial"/>
                <w:sz w:val="16"/>
                <w:szCs w:val="16"/>
                <w:lang w:bidi="th-TH"/>
              </w:rPr>
            </w:pPr>
            <w:proofErr w:type="spellStart"/>
            <w:r w:rsidRPr="00933D5A">
              <w:rPr>
                <w:sz w:val="16"/>
                <w:szCs w:val="16"/>
              </w:rPr>
              <w:t>DME</w:t>
            </w:r>
            <w:proofErr w:type="spellEnd"/>
            <w:r w:rsidRPr="00933D5A">
              <w:rPr>
                <w:sz w:val="16"/>
                <w:szCs w:val="16"/>
              </w:rPr>
              <w:t> &lt; 2 heures</w:t>
            </w:r>
          </w:p>
        </w:tc>
        <w:tc>
          <w:tcPr>
            <w:tcW w:w="682" w:type="pct"/>
            <w:gridSpan w:val="2"/>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color w:val="008000"/>
                <w:sz w:val="16"/>
                <w:szCs w:val="16"/>
              </w:rPr>
              <w:t>Objectif pleinement atteint</w:t>
            </w:r>
          </w:p>
        </w:tc>
      </w:tr>
      <w:tr w:rsidR="00C82EE5" w:rsidRPr="005C7CCE" w:rsidTr="0056083E">
        <w:trPr>
          <w:cantSplit/>
        </w:trPr>
        <w:tc>
          <w:tcPr>
            <w:tcW w:w="836" w:type="pct"/>
            <w:shd w:val="clear" w:color="auto" w:fill="auto"/>
          </w:tcPr>
          <w:p w:rsidR="00C82EE5" w:rsidRPr="00933D5A" w:rsidRDefault="00C82EE5" w:rsidP="001A5BF9">
            <w:pPr>
              <w:rPr>
                <w:rFonts w:cs="Arial"/>
                <w:sz w:val="16"/>
                <w:szCs w:val="16"/>
              </w:rPr>
            </w:pPr>
            <w:r w:rsidRPr="00933D5A">
              <w:rPr>
                <w:sz w:val="16"/>
                <w:szCs w:val="16"/>
              </w:rPr>
              <w:t>Temps de traitement des visas de tiers</w:t>
            </w:r>
          </w:p>
        </w:tc>
        <w:tc>
          <w:tcPr>
            <w:tcW w:w="900" w:type="pct"/>
            <w:shd w:val="clear" w:color="auto" w:fill="auto"/>
          </w:tcPr>
          <w:p w:rsidR="00C82EE5" w:rsidRPr="00933D5A" w:rsidRDefault="00C82EE5" w:rsidP="001A5BF9">
            <w:pPr>
              <w:rPr>
                <w:rFonts w:cs="Arial"/>
                <w:sz w:val="16"/>
                <w:szCs w:val="16"/>
              </w:rPr>
            </w:pPr>
            <w:r w:rsidRPr="00933D5A">
              <w:rPr>
                <w:sz w:val="16"/>
                <w:szCs w:val="16"/>
              </w:rPr>
              <w:t>4 à 5 jours</w:t>
            </w:r>
          </w:p>
        </w:tc>
        <w:tc>
          <w:tcPr>
            <w:tcW w:w="764" w:type="pct"/>
            <w:gridSpan w:val="2"/>
            <w:shd w:val="clear" w:color="auto" w:fill="auto"/>
            <w:tcMar>
              <w:top w:w="110" w:type="dxa"/>
            </w:tcMar>
          </w:tcPr>
          <w:p w:rsidR="00C82EE5" w:rsidRPr="00933D5A" w:rsidRDefault="00C82EE5" w:rsidP="001A5BF9">
            <w:pPr>
              <w:rPr>
                <w:rFonts w:ascii="ArialMT" w:hAnsi="ArialMT" w:cs="ArialMT"/>
                <w:sz w:val="16"/>
                <w:szCs w:val="16"/>
              </w:rPr>
            </w:pPr>
            <w:r w:rsidRPr="00933D5A">
              <w:rPr>
                <w:rFonts w:ascii="ArialMT" w:hAnsi="ArialMT"/>
                <w:sz w:val="16"/>
                <w:szCs w:val="16"/>
              </w:rPr>
              <w:t>2 à 3 jours</w:t>
            </w:r>
          </w:p>
        </w:tc>
        <w:tc>
          <w:tcPr>
            <w:tcW w:w="1818" w:type="pct"/>
            <w:shd w:val="clear" w:color="auto" w:fill="FFFFFF"/>
            <w:tcMar>
              <w:top w:w="110" w:type="dxa"/>
            </w:tcMar>
          </w:tcPr>
          <w:p w:rsidR="00C82EE5" w:rsidRPr="00933D5A" w:rsidRDefault="00C82EE5" w:rsidP="001A5BF9">
            <w:pPr>
              <w:rPr>
                <w:rFonts w:cs="Arial"/>
                <w:sz w:val="16"/>
                <w:szCs w:val="16"/>
                <w:lang w:bidi="th-TH"/>
              </w:rPr>
            </w:pPr>
            <w:r w:rsidRPr="00933D5A">
              <w:rPr>
                <w:sz w:val="16"/>
                <w:szCs w:val="16"/>
              </w:rPr>
              <w:t>&lt; 2 jours</w:t>
            </w:r>
          </w:p>
        </w:tc>
        <w:tc>
          <w:tcPr>
            <w:tcW w:w="682" w:type="pct"/>
            <w:gridSpan w:val="2"/>
            <w:shd w:val="clear" w:color="auto" w:fill="auto"/>
            <w:tcMar>
              <w:top w:w="110" w:type="dxa"/>
            </w:tcMar>
          </w:tcPr>
          <w:p w:rsidR="00C82EE5" w:rsidRPr="005C7CCE" w:rsidRDefault="00C82EE5" w:rsidP="001A5BF9">
            <w:pPr>
              <w:keepNext/>
              <w:keepLines/>
              <w:spacing w:after="120"/>
              <w:jc w:val="center"/>
              <w:rPr>
                <w:rFonts w:cs="Arial"/>
                <w:bCs/>
                <w:color w:val="008000"/>
                <w:sz w:val="16"/>
                <w:szCs w:val="16"/>
              </w:rPr>
            </w:pPr>
            <w:r w:rsidRPr="00B470C6">
              <w:rPr>
                <w:color w:val="008000"/>
                <w:sz w:val="16"/>
                <w:szCs w:val="16"/>
              </w:rPr>
              <w:t>Objectif pleinement atteint</w:t>
            </w:r>
          </w:p>
        </w:tc>
      </w:tr>
      <w:tr w:rsidR="00C82EE5" w:rsidRPr="005C7CCE" w:rsidTr="0056083E">
        <w:trPr>
          <w:cantSplit/>
        </w:trPr>
        <w:tc>
          <w:tcPr>
            <w:tcW w:w="836" w:type="pct"/>
            <w:shd w:val="clear" w:color="auto" w:fill="auto"/>
          </w:tcPr>
          <w:p w:rsidR="00C82EE5" w:rsidRPr="00933D5A" w:rsidRDefault="00C82EE5" w:rsidP="001A5BF9">
            <w:pPr>
              <w:rPr>
                <w:rFonts w:cs="Arial"/>
                <w:sz w:val="16"/>
                <w:szCs w:val="16"/>
              </w:rPr>
            </w:pPr>
            <w:r w:rsidRPr="00933D5A">
              <w:rPr>
                <w:sz w:val="16"/>
              </w:rPr>
              <w:t>Réduction du coût des voyages du fait des conférences électroniques et des visioconférences</w:t>
            </w:r>
          </w:p>
        </w:tc>
        <w:tc>
          <w:tcPr>
            <w:tcW w:w="900" w:type="pct"/>
            <w:shd w:val="clear" w:color="auto" w:fill="auto"/>
          </w:tcPr>
          <w:p w:rsidR="00C82EE5" w:rsidRPr="005C7CCE" w:rsidRDefault="00C82EE5" w:rsidP="001A5BF9">
            <w:pPr>
              <w:rPr>
                <w:rFonts w:cs="Arial"/>
                <w:sz w:val="16"/>
                <w:szCs w:val="16"/>
              </w:rPr>
            </w:pPr>
            <w:r w:rsidRPr="005C7CCE">
              <w:rPr>
                <w:sz w:val="16"/>
              </w:rPr>
              <w:t>À déterminer</w:t>
            </w:r>
          </w:p>
        </w:tc>
        <w:tc>
          <w:tcPr>
            <w:tcW w:w="764" w:type="pct"/>
            <w:gridSpan w:val="2"/>
            <w:shd w:val="clear" w:color="auto" w:fill="auto"/>
            <w:tcMar>
              <w:top w:w="110" w:type="dxa"/>
            </w:tcMar>
          </w:tcPr>
          <w:p w:rsidR="00C82EE5" w:rsidRPr="005C7CCE" w:rsidRDefault="00C82EE5" w:rsidP="001A5BF9">
            <w:pPr>
              <w:rPr>
                <w:rFonts w:cs="Arial"/>
                <w:sz w:val="16"/>
                <w:szCs w:val="16"/>
              </w:rPr>
            </w:pPr>
            <w:r w:rsidRPr="005C7CCE">
              <w:rPr>
                <w:sz w:val="16"/>
              </w:rPr>
              <w:t>À déterminer</w:t>
            </w:r>
          </w:p>
        </w:tc>
        <w:tc>
          <w:tcPr>
            <w:tcW w:w="1818" w:type="pct"/>
            <w:shd w:val="clear" w:color="auto" w:fill="FFFFFF"/>
            <w:tcMar>
              <w:top w:w="110" w:type="dxa"/>
            </w:tcMar>
          </w:tcPr>
          <w:p w:rsidR="00D42474" w:rsidRDefault="00C82EE5" w:rsidP="001A5BF9">
            <w:pPr>
              <w:rPr>
                <w:rFonts w:cs="Arial"/>
                <w:sz w:val="16"/>
                <w:szCs w:val="16"/>
                <w:lang w:bidi="th-TH"/>
              </w:rPr>
            </w:pPr>
            <w:r w:rsidRPr="005C7CCE">
              <w:rPr>
                <w:sz w:val="16"/>
              </w:rPr>
              <w:t>Conformément à l</w:t>
            </w:r>
            <w:r w:rsidR="00A20444" w:rsidRPr="005C7CCE">
              <w:rPr>
                <w:sz w:val="16"/>
              </w:rPr>
              <w:t>’</w:t>
            </w:r>
            <w:r w:rsidRPr="005C7CCE">
              <w:rPr>
                <w:sz w:val="16"/>
              </w:rPr>
              <w:t>engagement de l</w:t>
            </w:r>
            <w:r w:rsidR="00A20444" w:rsidRPr="005C7CCE">
              <w:rPr>
                <w:sz w:val="16"/>
              </w:rPr>
              <w:t>’</w:t>
            </w:r>
            <w:r w:rsidRPr="005C7CCE">
              <w:rPr>
                <w:sz w:val="16"/>
              </w:rPr>
              <w:t>OMPI de réduire les coûts des voyages, un effort concerté a été déployé pendant l</w:t>
            </w:r>
            <w:r w:rsidR="00A20444" w:rsidRPr="005C7CCE">
              <w:rPr>
                <w:sz w:val="16"/>
              </w:rPr>
              <w:t>’</w:t>
            </w:r>
            <w:r w:rsidRPr="005C7CCE">
              <w:rPr>
                <w:sz w:val="16"/>
              </w:rPr>
              <w:t>exercice biennal pour accroître l</w:t>
            </w:r>
            <w:r w:rsidR="00A20444" w:rsidRPr="005C7CCE">
              <w:rPr>
                <w:sz w:val="16"/>
              </w:rPr>
              <w:t>’</w:t>
            </w:r>
            <w:r w:rsidRPr="005C7CCE">
              <w:rPr>
                <w:sz w:val="16"/>
              </w:rPr>
              <w:t>utilisation des technologies de conférence électronique :</w:t>
            </w:r>
          </w:p>
          <w:p w:rsidR="00D42474" w:rsidRDefault="00D42474" w:rsidP="001A5BF9">
            <w:pPr>
              <w:rPr>
                <w:rFonts w:cs="Arial"/>
                <w:sz w:val="16"/>
                <w:szCs w:val="16"/>
                <w:lang w:bidi="th-TH"/>
              </w:rPr>
            </w:pPr>
          </w:p>
          <w:p w:rsidR="00D42474" w:rsidRDefault="00C82EE5" w:rsidP="001A5BF9">
            <w:pPr>
              <w:rPr>
                <w:rFonts w:cs="Arial"/>
                <w:sz w:val="16"/>
                <w:szCs w:val="16"/>
                <w:lang w:bidi="th-TH"/>
              </w:rPr>
            </w:pPr>
            <w:r w:rsidRPr="005C7CCE">
              <w:rPr>
                <w:sz w:val="16"/>
              </w:rPr>
              <w:t>Visioconférences :</w:t>
            </w:r>
          </w:p>
          <w:p w:rsidR="00D42474" w:rsidRDefault="00C82EE5" w:rsidP="001A5BF9">
            <w:pPr>
              <w:pStyle w:val="Paragraphedeliste"/>
              <w:numPr>
                <w:ilvl w:val="0"/>
                <w:numId w:val="63"/>
              </w:numPr>
              <w:rPr>
                <w:rFonts w:cs="Arial"/>
                <w:sz w:val="16"/>
                <w:szCs w:val="16"/>
                <w:lang w:bidi="th-TH"/>
              </w:rPr>
            </w:pPr>
            <w:r w:rsidRPr="005C7CCE">
              <w:rPr>
                <w:sz w:val="16"/>
              </w:rPr>
              <w:t>2012 : 49 appels pour un total de 73 heures</w:t>
            </w:r>
          </w:p>
          <w:p w:rsidR="00D42474" w:rsidRDefault="00C82EE5" w:rsidP="001A5BF9">
            <w:pPr>
              <w:pStyle w:val="Paragraphedeliste"/>
              <w:numPr>
                <w:ilvl w:val="0"/>
                <w:numId w:val="63"/>
              </w:numPr>
              <w:rPr>
                <w:rFonts w:cs="Arial"/>
                <w:sz w:val="16"/>
                <w:szCs w:val="16"/>
                <w:lang w:bidi="th-TH"/>
              </w:rPr>
            </w:pPr>
            <w:r w:rsidRPr="005C7CCE">
              <w:rPr>
                <w:sz w:val="16"/>
              </w:rPr>
              <w:t>2013 : 57 appels pour un total de 94 heures</w:t>
            </w:r>
          </w:p>
          <w:p w:rsidR="00D42474" w:rsidRDefault="00D42474" w:rsidP="001A5BF9">
            <w:pPr>
              <w:rPr>
                <w:rFonts w:cs="Arial"/>
                <w:sz w:val="16"/>
                <w:szCs w:val="16"/>
                <w:lang w:bidi="th-TH"/>
              </w:rPr>
            </w:pPr>
          </w:p>
          <w:p w:rsidR="00D42474" w:rsidRDefault="00C82EE5" w:rsidP="001A5BF9">
            <w:pPr>
              <w:rPr>
                <w:rFonts w:cs="Arial"/>
                <w:sz w:val="16"/>
                <w:szCs w:val="16"/>
                <w:lang w:bidi="th-TH"/>
              </w:rPr>
            </w:pPr>
            <w:proofErr w:type="spellStart"/>
            <w:r w:rsidRPr="005C7CCE">
              <w:rPr>
                <w:sz w:val="16"/>
              </w:rPr>
              <w:t>WebEx</w:t>
            </w:r>
            <w:proofErr w:type="spellEnd"/>
            <w:r w:rsidRPr="005C7CCE">
              <w:rPr>
                <w:sz w:val="16"/>
              </w:rPr>
              <w:t>/</w:t>
            </w:r>
            <w:proofErr w:type="spellStart"/>
            <w:r w:rsidRPr="005C7CCE">
              <w:rPr>
                <w:sz w:val="16"/>
              </w:rPr>
              <w:t>GoToMeetings</w:t>
            </w:r>
            <w:proofErr w:type="spellEnd"/>
            <w:r w:rsidRPr="005C7CCE">
              <w:rPr>
                <w:sz w:val="16"/>
              </w:rPr>
              <w:t> :</w:t>
            </w:r>
          </w:p>
          <w:p w:rsidR="00D42474" w:rsidRDefault="00C82EE5" w:rsidP="001A5BF9">
            <w:pPr>
              <w:pStyle w:val="Paragraphedeliste"/>
              <w:numPr>
                <w:ilvl w:val="0"/>
                <w:numId w:val="63"/>
              </w:numPr>
              <w:rPr>
                <w:sz w:val="16"/>
              </w:rPr>
            </w:pPr>
            <w:r w:rsidRPr="005C7CCE">
              <w:rPr>
                <w:sz w:val="16"/>
              </w:rPr>
              <w:t>2012 : 51 manifestations (15 réunions, 36 entretiens à des fins de recrutement de ressources humaines)</w:t>
            </w:r>
          </w:p>
          <w:p w:rsidR="00C82EE5" w:rsidRPr="005C7CCE" w:rsidRDefault="00C82EE5" w:rsidP="001A5BF9">
            <w:pPr>
              <w:pStyle w:val="Paragraphedeliste"/>
              <w:numPr>
                <w:ilvl w:val="0"/>
                <w:numId w:val="63"/>
              </w:numPr>
              <w:rPr>
                <w:rFonts w:cs="Arial"/>
                <w:sz w:val="16"/>
                <w:szCs w:val="16"/>
                <w:lang w:bidi="th-TH"/>
              </w:rPr>
            </w:pPr>
            <w:r w:rsidRPr="005C7CCE">
              <w:rPr>
                <w:sz w:val="16"/>
              </w:rPr>
              <w:t xml:space="preserve">2013 : 63 manifestations (26 réunions, 37 entretiens à des fins de recrutement de ressources humaines) </w:t>
            </w:r>
          </w:p>
        </w:tc>
        <w:tc>
          <w:tcPr>
            <w:tcW w:w="682" w:type="pct"/>
            <w:gridSpan w:val="2"/>
            <w:shd w:val="clear" w:color="auto" w:fill="auto"/>
            <w:tcMar>
              <w:top w:w="110" w:type="dxa"/>
            </w:tcMar>
          </w:tcPr>
          <w:p w:rsidR="00C82EE5" w:rsidRPr="005C7CCE" w:rsidRDefault="00C82EE5" w:rsidP="001A5BF9">
            <w:pPr>
              <w:keepNext/>
              <w:keepLines/>
              <w:spacing w:after="120"/>
              <w:jc w:val="center"/>
              <w:rPr>
                <w:rFonts w:cs="Arial"/>
                <w:bCs/>
                <w:color w:val="808080"/>
                <w:sz w:val="16"/>
                <w:szCs w:val="16"/>
              </w:rPr>
            </w:pPr>
            <w:r w:rsidRPr="005C7CCE">
              <w:rPr>
                <w:rStyle w:val="Style5"/>
                <w:rFonts w:ascii="Arial" w:hAnsi="Arial"/>
                <w:color w:val="808080"/>
                <w:sz w:val="16"/>
              </w:rPr>
              <w:t>Non évaluable</w:t>
            </w:r>
          </w:p>
        </w:tc>
      </w:tr>
      <w:tr w:rsidR="00C82EE5" w:rsidRPr="005C7CCE" w:rsidTr="0056083E">
        <w:trPr>
          <w:cantSplit/>
        </w:trPr>
        <w:tc>
          <w:tcPr>
            <w:tcW w:w="836" w:type="pct"/>
            <w:shd w:val="clear" w:color="auto" w:fill="auto"/>
          </w:tcPr>
          <w:p w:rsidR="00D42474" w:rsidRDefault="00C82EE5" w:rsidP="001A5BF9">
            <w:pPr>
              <w:rPr>
                <w:sz w:val="16"/>
              </w:rPr>
            </w:pPr>
            <w:r w:rsidRPr="00933D5A">
              <w:rPr>
                <w:sz w:val="16"/>
              </w:rPr>
              <w:t>Location de lieux de travail supplémentaires et d</w:t>
            </w:r>
            <w:r w:rsidR="00A20444" w:rsidRPr="00933D5A">
              <w:rPr>
                <w:sz w:val="16"/>
              </w:rPr>
              <w:t>’</w:t>
            </w:r>
            <w:r w:rsidRPr="00933D5A">
              <w:rPr>
                <w:sz w:val="16"/>
              </w:rPr>
              <w:t>installations connexes (sur la base des mêmes effectifs qu</w:t>
            </w:r>
            <w:r w:rsidR="00A20444" w:rsidRPr="00933D5A">
              <w:rPr>
                <w:sz w:val="16"/>
              </w:rPr>
              <w:t>’</w:t>
            </w:r>
            <w:r w:rsidRPr="00933D5A">
              <w:rPr>
                <w:sz w:val="16"/>
              </w:rPr>
              <w:t>à la fin 2011)</w:t>
            </w:r>
          </w:p>
          <w:p w:rsidR="00C82EE5" w:rsidRPr="00933D5A" w:rsidRDefault="00C82EE5" w:rsidP="001A5BF9">
            <w:pPr>
              <w:rPr>
                <w:rFonts w:cs="Arial"/>
                <w:sz w:val="16"/>
                <w:szCs w:val="16"/>
              </w:rPr>
            </w:pPr>
          </w:p>
        </w:tc>
        <w:tc>
          <w:tcPr>
            <w:tcW w:w="900" w:type="pct"/>
            <w:shd w:val="clear" w:color="auto" w:fill="auto"/>
          </w:tcPr>
          <w:p w:rsidR="00C82EE5" w:rsidRPr="005C7CCE" w:rsidRDefault="00C82EE5" w:rsidP="001A5BF9">
            <w:pPr>
              <w:rPr>
                <w:rFonts w:cs="Arial"/>
                <w:sz w:val="16"/>
                <w:szCs w:val="16"/>
              </w:rPr>
            </w:pPr>
            <w:r w:rsidRPr="005C7CCE">
              <w:rPr>
                <w:sz w:val="16"/>
              </w:rPr>
              <w:t>80 espaces de travail</w:t>
            </w:r>
          </w:p>
        </w:tc>
        <w:tc>
          <w:tcPr>
            <w:tcW w:w="764" w:type="pct"/>
            <w:gridSpan w:val="2"/>
            <w:shd w:val="clear" w:color="auto" w:fill="auto"/>
            <w:tcMar>
              <w:top w:w="110" w:type="dxa"/>
            </w:tcMar>
          </w:tcPr>
          <w:p w:rsidR="00C82EE5" w:rsidRPr="005C7CCE" w:rsidRDefault="00C82EE5" w:rsidP="001A5BF9">
            <w:pPr>
              <w:rPr>
                <w:rFonts w:ascii="ArialMT" w:hAnsi="ArialMT" w:cs="ArialMT"/>
                <w:sz w:val="16"/>
                <w:szCs w:val="16"/>
              </w:rPr>
            </w:pPr>
            <w:r w:rsidRPr="005C7CCE">
              <w:rPr>
                <w:rFonts w:ascii="ArialMT" w:hAnsi="ArialMT"/>
                <w:sz w:val="16"/>
              </w:rPr>
              <w:t>80 espaces de travail</w:t>
            </w:r>
          </w:p>
        </w:tc>
        <w:tc>
          <w:tcPr>
            <w:tcW w:w="1818" w:type="pct"/>
            <w:shd w:val="clear" w:color="auto" w:fill="FFFFFF"/>
            <w:tcMar>
              <w:top w:w="110" w:type="dxa"/>
            </w:tcMar>
          </w:tcPr>
          <w:p w:rsidR="00C82EE5" w:rsidRPr="005C7CCE" w:rsidRDefault="00C82EE5" w:rsidP="001A5BF9">
            <w:pPr>
              <w:rPr>
                <w:rFonts w:cs="Arial"/>
                <w:sz w:val="16"/>
                <w:szCs w:val="16"/>
              </w:rPr>
            </w:pPr>
            <w:r w:rsidRPr="005C7CCE">
              <w:rPr>
                <w:sz w:val="16"/>
              </w:rPr>
              <w:t>80 espaces de travail (aucune location supplémentaire d</w:t>
            </w:r>
            <w:r w:rsidR="00A20444" w:rsidRPr="005C7CCE">
              <w:rPr>
                <w:sz w:val="16"/>
              </w:rPr>
              <w:t>’</w:t>
            </w:r>
            <w:r w:rsidRPr="005C7CCE">
              <w:rPr>
                <w:sz w:val="16"/>
              </w:rPr>
              <w:t>espaces de bureaux n</w:t>
            </w:r>
            <w:r w:rsidR="00A20444" w:rsidRPr="005C7CCE">
              <w:rPr>
                <w:sz w:val="16"/>
              </w:rPr>
              <w:t>’</w:t>
            </w:r>
            <w:r w:rsidRPr="005C7CCE">
              <w:rPr>
                <w:sz w:val="16"/>
              </w:rPr>
              <w:t>a été nécessaire pendant l</w:t>
            </w:r>
            <w:r w:rsidR="00A20444" w:rsidRPr="005C7CCE">
              <w:rPr>
                <w:sz w:val="16"/>
              </w:rPr>
              <w:t>’</w:t>
            </w:r>
            <w:r w:rsidRPr="005C7CCE">
              <w:rPr>
                <w:sz w:val="16"/>
              </w:rPr>
              <w:t>exercice biennal).</w:t>
            </w:r>
          </w:p>
        </w:tc>
        <w:tc>
          <w:tcPr>
            <w:tcW w:w="682" w:type="pct"/>
            <w:gridSpan w:val="2"/>
            <w:shd w:val="clear" w:color="auto" w:fill="auto"/>
          </w:tcPr>
          <w:p w:rsidR="00C82EE5" w:rsidRPr="005C7CCE" w:rsidRDefault="00C82EE5" w:rsidP="001A5BF9">
            <w:pPr>
              <w:keepNext/>
              <w:keepLines/>
              <w:jc w:val="center"/>
              <w:rPr>
                <w:rFonts w:cs="Arial"/>
                <w:bCs/>
                <w:color w:val="008000"/>
                <w:sz w:val="16"/>
                <w:szCs w:val="16"/>
              </w:rPr>
            </w:pPr>
            <w:r w:rsidRPr="00B470C6">
              <w:rPr>
                <w:color w:val="008000"/>
                <w:sz w:val="16"/>
              </w:rPr>
              <w:t>Objectif pleinement atteint</w:t>
            </w:r>
          </w:p>
        </w:tc>
      </w:tr>
      <w:tr w:rsidR="00C82EE5" w:rsidRPr="005C7CCE" w:rsidTr="0056083E">
        <w:trPr>
          <w:cantSplit/>
        </w:trPr>
        <w:tc>
          <w:tcPr>
            <w:tcW w:w="836" w:type="pct"/>
            <w:tcBorders>
              <w:bottom w:val="single" w:sz="4" w:space="0" w:color="auto"/>
            </w:tcBorders>
            <w:shd w:val="clear" w:color="auto" w:fill="auto"/>
          </w:tcPr>
          <w:p w:rsidR="00D42474" w:rsidRDefault="00C82EE5" w:rsidP="001A5BF9">
            <w:pPr>
              <w:rPr>
                <w:rFonts w:cs="Arial"/>
                <w:sz w:val="16"/>
                <w:szCs w:val="16"/>
              </w:rPr>
            </w:pPr>
            <w:r w:rsidRPr="005C7CCE">
              <w:rPr>
                <w:sz w:val="16"/>
              </w:rPr>
              <w:t>Nombre de grandes installations techniques (électriques, sanitaires, chauffage et climatisation) améliorées conformément aux normes en vigueur (à définir)</w:t>
            </w:r>
          </w:p>
          <w:p w:rsidR="00C82EE5" w:rsidRPr="005C7CCE" w:rsidRDefault="00C82EE5" w:rsidP="001A5BF9">
            <w:pPr>
              <w:rPr>
                <w:rFonts w:cs="Arial"/>
                <w:sz w:val="16"/>
                <w:szCs w:val="16"/>
              </w:rPr>
            </w:pPr>
          </w:p>
        </w:tc>
        <w:tc>
          <w:tcPr>
            <w:tcW w:w="900" w:type="pct"/>
            <w:tcBorders>
              <w:bottom w:val="single" w:sz="4" w:space="0" w:color="auto"/>
            </w:tcBorders>
            <w:shd w:val="clear" w:color="auto" w:fill="auto"/>
          </w:tcPr>
          <w:p w:rsidR="00D42474" w:rsidRDefault="00C82EE5" w:rsidP="001A5BF9">
            <w:pPr>
              <w:rPr>
                <w:rFonts w:cs="Arial"/>
                <w:color w:val="002060"/>
                <w:sz w:val="16"/>
                <w:szCs w:val="16"/>
              </w:rPr>
            </w:pPr>
            <w:r w:rsidRPr="005C7CCE">
              <w:rPr>
                <w:i/>
                <w:color w:val="002060"/>
                <w:sz w:val="16"/>
                <w:szCs w:val="16"/>
              </w:rPr>
              <w:t>Niveau de référence actualisé fin 2011 :</w:t>
            </w:r>
            <w:r w:rsidR="00933D5A">
              <w:rPr>
                <w:color w:val="002060"/>
                <w:sz w:val="16"/>
                <w:szCs w:val="16"/>
              </w:rPr>
              <w:t xml:space="preserve"> m</w:t>
            </w:r>
            <w:r w:rsidRPr="005C7CCE">
              <w:rPr>
                <w:color w:val="002060"/>
                <w:sz w:val="16"/>
                <w:szCs w:val="16"/>
              </w:rPr>
              <w:t>odernisation ou remplacement des installations de refroidissement dans au moins un bâtiment pour satisfaire à la norme établie dans le cadre des exigences en matière d</w:t>
            </w:r>
            <w:r w:rsidR="00A20444" w:rsidRPr="005C7CCE">
              <w:rPr>
                <w:color w:val="002060"/>
                <w:sz w:val="16"/>
                <w:szCs w:val="16"/>
              </w:rPr>
              <w:t>’</w:t>
            </w:r>
            <w:r w:rsidRPr="005C7CCE">
              <w:rPr>
                <w:color w:val="002060"/>
                <w:sz w:val="16"/>
                <w:szCs w:val="16"/>
              </w:rPr>
              <w:t xml:space="preserve">alimentation des </w:t>
            </w:r>
            <w:r w:rsidRPr="00933D5A">
              <w:rPr>
                <w:color w:val="002060"/>
                <w:sz w:val="16"/>
                <w:szCs w:val="16"/>
              </w:rPr>
              <w:t xml:space="preserve">installations par les “eaux profondes du lac Léman”. </w:t>
            </w:r>
            <w:r w:rsidR="0010442A" w:rsidRPr="00933D5A">
              <w:rPr>
                <w:color w:val="002060"/>
                <w:sz w:val="16"/>
                <w:szCs w:val="16"/>
              </w:rPr>
              <w:t xml:space="preserve"> </w:t>
            </w:r>
            <w:r w:rsidRPr="00933D5A">
              <w:rPr>
                <w:color w:val="002060"/>
                <w:sz w:val="16"/>
                <w:szCs w:val="16"/>
              </w:rPr>
              <w:t>D</w:t>
            </w:r>
            <w:r w:rsidR="00A20444" w:rsidRPr="00933D5A">
              <w:rPr>
                <w:color w:val="002060"/>
                <w:sz w:val="16"/>
                <w:szCs w:val="16"/>
              </w:rPr>
              <w:t>’</w:t>
            </w:r>
            <w:r w:rsidRPr="00933D5A">
              <w:rPr>
                <w:color w:val="002060"/>
                <w:sz w:val="16"/>
                <w:szCs w:val="16"/>
              </w:rPr>
              <w:t>autres normes pour d</w:t>
            </w:r>
            <w:r w:rsidR="00A20444" w:rsidRPr="00933D5A">
              <w:rPr>
                <w:color w:val="002060"/>
                <w:sz w:val="16"/>
                <w:szCs w:val="16"/>
              </w:rPr>
              <w:t>’</w:t>
            </w:r>
            <w:r w:rsidRPr="00933D5A">
              <w:rPr>
                <w:color w:val="002060"/>
                <w:sz w:val="16"/>
                <w:szCs w:val="16"/>
              </w:rPr>
              <w:t>autres installations restent à définir.</w:t>
            </w:r>
          </w:p>
          <w:p w:rsidR="00D42474" w:rsidRDefault="00D42474" w:rsidP="001A5BF9">
            <w:pPr>
              <w:rPr>
                <w:color w:val="002060"/>
                <w:sz w:val="16"/>
                <w:szCs w:val="16"/>
              </w:rPr>
            </w:pPr>
          </w:p>
          <w:p w:rsidR="00C82EE5" w:rsidRPr="005C7CCE" w:rsidRDefault="00C82EE5" w:rsidP="001A5BF9">
            <w:pPr>
              <w:rPr>
                <w:rFonts w:cs="Arial"/>
                <w:sz w:val="16"/>
                <w:szCs w:val="16"/>
              </w:rPr>
            </w:pPr>
            <w:r w:rsidRPr="005C7CCE">
              <w:rPr>
                <w:sz w:val="16"/>
                <w:szCs w:val="16"/>
              </w:rPr>
              <w:t xml:space="preserve">Niveau de référence initial </w:t>
            </w:r>
            <w:r w:rsidR="00667FB3">
              <w:rPr>
                <w:sz w:val="16"/>
                <w:szCs w:val="16"/>
              </w:rPr>
              <w:t>programme et budget</w:t>
            </w:r>
            <w:r w:rsidRPr="005C7CCE">
              <w:rPr>
                <w:sz w:val="16"/>
                <w:szCs w:val="16"/>
              </w:rPr>
              <w:t> 2012</w:t>
            </w:r>
            <w:r w:rsidR="002D6F2A" w:rsidRPr="005C7CCE">
              <w:rPr>
                <w:sz w:val="16"/>
                <w:szCs w:val="16"/>
              </w:rPr>
              <w:noBreakHyphen/>
            </w:r>
            <w:r w:rsidRPr="005C7CCE">
              <w:rPr>
                <w:sz w:val="16"/>
                <w:szCs w:val="16"/>
              </w:rPr>
              <w:t xml:space="preserve">2013 : </w:t>
            </w:r>
            <w:proofErr w:type="spellStart"/>
            <w:r w:rsidR="00993241">
              <w:rPr>
                <w:sz w:val="16"/>
                <w:szCs w:val="16"/>
              </w:rPr>
              <w:t>n.d</w:t>
            </w:r>
            <w:proofErr w:type="spellEnd"/>
            <w:r w:rsidR="00993241">
              <w:rPr>
                <w:sz w:val="16"/>
                <w:szCs w:val="16"/>
              </w:rPr>
              <w:t>.</w:t>
            </w:r>
          </w:p>
        </w:tc>
        <w:tc>
          <w:tcPr>
            <w:tcW w:w="764" w:type="pct"/>
            <w:gridSpan w:val="2"/>
            <w:tcBorders>
              <w:bottom w:val="single" w:sz="4" w:space="0" w:color="auto"/>
            </w:tcBorders>
            <w:shd w:val="clear" w:color="auto" w:fill="auto"/>
            <w:tcMar>
              <w:top w:w="110" w:type="dxa"/>
            </w:tcMar>
          </w:tcPr>
          <w:p w:rsidR="00C82EE5" w:rsidRPr="00896F15" w:rsidRDefault="00C82EE5" w:rsidP="001A5BF9">
            <w:pPr>
              <w:rPr>
                <w:rFonts w:cs="Arial"/>
                <w:sz w:val="16"/>
                <w:szCs w:val="16"/>
              </w:rPr>
            </w:pPr>
            <w:proofErr w:type="spellStart"/>
            <w:r w:rsidRPr="00896F15">
              <w:rPr>
                <w:sz w:val="16"/>
              </w:rPr>
              <w:t>n.d</w:t>
            </w:r>
            <w:proofErr w:type="spellEnd"/>
            <w:r w:rsidRPr="00896F15">
              <w:rPr>
                <w:sz w:val="16"/>
              </w:rPr>
              <w:t>.</w:t>
            </w:r>
          </w:p>
        </w:tc>
        <w:tc>
          <w:tcPr>
            <w:tcW w:w="1818" w:type="pct"/>
            <w:tcBorders>
              <w:bottom w:val="single" w:sz="4" w:space="0" w:color="auto"/>
            </w:tcBorders>
            <w:shd w:val="clear" w:color="auto" w:fill="FFFFFF"/>
            <w:tcMar>
              <w:top w:w="110" w:type="dxa"/>
            </w:tcMar>
          </w:tcPr>
          <w:p w:rsidR="00D42474" w:rsidRDefault="00C82EE5" w:rsidP="001A5BF9">
            <w:pPr>
              <w:rPr>
                <w:rFonts w:cs="Arial"/>
                <w:sz w:val="16"/>
                <w:szCs w:val="16"/>
              </w:rPr>
            </w:pPr>
            <w:r w:rsidRPr="00896F15">
              <w:rPr>
                <w:sz w:val="16"/>
              </w:rPr>
              <w:t xml:space="preserve">Les installations de refroidissement dans les bâtiments </w:t>
            </w:r>
            <w:proofErr w:type="spellStart"/>
            <w:r w:rsidRPr="00896F15">
              <w:rPr>
                <w:sz w:val="16"/>
              </w:rPr>
              <w:t>GBI</w:t>
            </w:r>
            <w:proofErr w:type="spellEnd"/>
            <w:r w:rsidRPr="00896F15">
              <w:rPr>
                <w:sz w:val="16"/>
              </w:rPr>
              <w:t xml:space="preserve"> et </w:t>
            </w:r>
            <w:proofErr w:type="spellStart"/>
            <w:r w:rsidRPr="00896F15">
              <w:rPr>
                <w:sz w:val="16"/>
              </w:rPr>
              <w:t>GBII</w:t>
            </w:r>
            <w:proofErr w:type="spellEnd"/>
            <w:r w:rsidRPr="00896F15">
              <w:rPr>
                <w:sz w:val="16"/>
              </w:rPr>
              <w:t xml:space="preserve"> au moyen du système des eaux profondes du lac Léman ont été mises à niveau et achevées respectivement en 2012 et un juin 2013.</w:t>
            </w:r>
          </w:p>
          <w:p w:rsidR="00D42474" w:rsidRDefault="00D42474" w:rsidP="001A5BF9">
            <w:pPr>
              <w:rPr>
                <w:rFonts w:cs="Arial"/>
                <w:sz w:val="16"/>
                <w:szCs w:val="16"/>
              </w:rPr>
            </w:pPr>
          </w:p>
          <w:p w:rsidR="00C82EE5" w:rsidRPr="00896F15" w:rsidRDefault="00C82EE5" w:rsidP="001A5BF9">
            <w:pPr>
              <w:rPr>
                <w:rFonts w:cs="Arial"/>
                <w:sz w:val="16"/>
                <w:szCs w:val="16"/>
              </w:rPr>
            </w:pPr>
            <w:r w:rsidRPr="00896F15">
              <w:rPr>
                <w:sz w:val="16"/>
              </w:rPr>
              <w:t>Les installations électriques du bâtiment le plus ancien (</w:t>
            </w:r>
            <w:proofErr w:type="spellStart"/>
            <w:r w:rsidRPr="00896F15">
              <w:rPr>
                <w:sz w:val="16"/>
              </w:rPr>
              <w:t>GBI</w:t>
            </w:r>
            <w:proofErr w:type="spellEnd"/>
            <w:r w:rsidRPr="00896F15">
              <w:rPr>
                <w:sz w:val="16"/>
              </w:rPr>
              <w:t>) ont commencé d</w:t>
            </w:r>
            <w:r w:rsidR="00A20444" w:rsidRPr="00896F15">
              <w:rPr>
                <w:sz w:val="16"/>
              </w:rPr>
              <w:t>’</w:t>
            </w:r>
            <w:r w:rsidRPr="00896F15">
              <w:rPr>
                <w:sz w:val="16"/>
              </w:rPr>
              <w:t>être modernisées en</w:t>
            </w:r>
            <w:r w:rsidR="0010442A" w:rsidRPr="00896F15">
              <w:rPr>
                <w:sz w:val="16"/>
              </w:rPr>
              <w:t> </w:t>
            </w:r>
            <w:r w:rsidRPr="00896F15">
              <w:rPr>
                <w:sz w:val="16"/>
              </w:rPr>
              <w:t>2012 pour être conformes à la législation locale récemment adoptée, ce qui présente l</w:t>
            </w:r>
            <w:r w:rsidR="00A20444" w:rsidRPr="00896F15">
              <w:rPr>
                <w:sz w:val="16"/>
              </w:rPr>
              <w:t>’</w:t>
            </w:r>
            <w:r w:rsidRPr="00896F15">
              <w:rPr>
                <w:sz w:val="16"/>
              </w:rPr>
              <w:t>avantage supplémentaire d</w:t>
            </w:r>
            <w:r w:rsidR="00A20444" w:rsidRPr="00896F15">
              <w:rPr>
                <w:sz w:val="16"/>
              </w:rPr>
              <w:t>’</w:t>
            </w:r>
            <w:r w:rsidRPr="00896F15">
              <w:rPr>
                <w:sz w:val="16"/>
              </w:rPr>
              <w:t>établir un cadre technique pour réduire la consommation d</w:t>
            </w:r>
            <w:r w:rsidR="00A20444" w:rsidRPr="00896F15">
              <w:rPr>
                <w:sz w:val="16"/>
              </w:rPr>
              <w:t>’</w:t>
            </w:r>
            <w:r w:rsidRPr="00896F15">
              <w:rPr>
                <w:sz w:val="16"/>
              </w:rPr>
              <w:t>électricité.</w:t>
            </w:r>
            <w:r w:rsidR="004F3E42" w:rsidRPr="00896F15">
              <w:rPr>
                <w:sz w:val="16"/>
              </w:rPr>
              <w:t xml:space="preserve"> </w:t>
            </w:r>
            <w:r w:rsidR="0010442A" w:rsidRPr="00896F15">
              <w:rPr>
                <w:sz w:val="16"/>
              </w:rPr>
              <w:t xml:space="preserve"> </w:t>
            </w:r>
            <w:r w:rsidRPr="00896F15">
              <w:rPr>
                <w:sz w:val="16"/>
              </w:rPr>
              <w:t>Ce processus s</w:t>
            </w:r>
            <w:r w:rsidR="00A20444" w:rsidRPr="00896F15">
              <w:rPr>
                <w:sz w:val="16"/>
              </w:rPr>
              <w:t>’</w:t>
            </w:r>
            <w:r w:rsidRPr="00896F15">
              <w:rPr>
                <w:sz w:val="16"/>
              </w:rPr>
              <w:t>est achevé en 2013.</w:t>
            </w:r>
          </w:p>
        </w:tc>
        <w:tc>
          <w:tcPr>
            <w:tcW w:w="682" w:type="pct"/>
            <w:gridSpan w:val="2"/>
            <w:tcBorders>
              <w:bottom w:val="single" w:sz="4" w:space="0" w:color="auto"/>
            </w:tcBorders>
            <w:shd w:val="clear" w:color="auto" w:fill="auto"/>
          </w:tcPr>
          <w:p w:rsidR="00C82EE5" w:rsidRPr="005C7CCE" w:rsidRDefault="00C82EE5" w:rsidP="001A5BF9">
            <w:pPr>
              <w:keepNext/>
              <w:keepLines/>
              <w:jc w:val="center"/>
              <w:rPr>
                <w:rFonts w:cs="Arial"/>
                <w:bCs/>
                <w:color w:val="333333"/>
                <w:sz w:val="16"/>
                <w:szCs w:val="16"/>
              </w:rPr>
            </w:pPr>
            <w:r w:rsidRPr="005C7CCE">
              <w:rPr>
                <w:rStyle w:val="Style5"/>
                <w:rFonts w:ascii="Arial" w:hAnsi="Arial"/>
                <w:color w:val="595959"/>
                <w:sz w:val="16"/>
              </w:rPr>
              <w:t>Non évaluable</w:t>
            </w:r>
          </w:p>
        </w:tc>
      </w:tr>
      <w:tr w:rsidR="00C82EE5" w:rsidRPr="002D02F3" w:rsidTr="0056083E">
        <w:trPr>
          <w:cantSplit/>
        </w:trPr>
        <w:tc>
          <w:tcPr>
            <w:tcW w:w="5000" w:type="pct"/>
            <w:gridSpan w:val="7"/>
            <w:tcBorders>
              <w:top w:val="single" w:sz="4" w:space="0" w:color="auto"/>
              <w:bottom w:val="single" w:sz="4" w:space="0" w:color="auto"/>
            </w:tcBorders>
            <w:shd w:val="clear" w:color="auto" w:fill="CCFFFF"/>
            <w:vAlign w:val="center"/>
          </w:tcPr>
          <w:p w:rsidR="00C82EE5" w:rsidRPr="002D02F3" w:rsidRDefault="00C82EE5" w:rsidP="001A5BF9">
            <w:pPr>
              <w:keepNext/>
              <w:keepLines/>
              <w:pageBreakBefore/>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Réduction de l</w:t>
            </w:r>
            <w:r w:rsidR="00A20444" w:rsidRPr="002D02F3">
              <w:rPr>
                <w:sz w:val="16"/>
              </w:rPr>
              <w:t>’</w:t>
            </w:r>
            <w:r w:rsidRPr="002D02F3">
              <w:rPr>
                <w:sz w:val="16"/>
              </w:rPr>
              <w:t>impact des activités de l</w:t>
            </w:r>
            <w:r w:rsidR="00A20444" w:rsidRPr="002D02F3">
              <w:rPr>
                <w:sz w:val="16"/>
              </w:rPr>
              <w:t>’</w:t>
            </w:r>
            <w:r w:rsidRPr="002D02F3">
              <w:rPr>
                <w:sz w:val="16"/>
              </w:rPr>
              <w:t>OMPI sur l</w:t>
            </w:r>
            <w:r w:rsidR="00A20444" w:rsidRPr="002D02F3">
              <w:rPr>
                <w:sz w:val="16"/>
              </w:rPr>
              <w:t>’</w:t>
            </w:r>
            <w:r w:rsidRPr="002D02F3">
              <w:rPr>
                <w:sz w:val="16"/>
              </w:rPr>
              <w:t>environnement</w:t>
            </w:r>
          </w:p>
        </w:tc>
      </w:tr>
      <w:tr w:rsidR="00C82EE5" w:rsidRPr="002D02F3" w:rsidTr="0056083E">
        <w:trPr>
          <w:cantSplit/>
        </w:trPr>
        <w:tc>
          <w:tcPr>
            <w:tcW w:w="836" w:type="pct"/>
            <w:tcBorders>
              <w:top w:val="single" w:sz="4" w:space="0" w:color="auto"/>
            </w:tcBorders>
            <w:shd w:val="clear" w:color="auto" w:fill="auto"/>
            <w:vAlign w:val="center"/>
          </w:tcPr>
          <w:p w:rsidR="00C82EE5" w:rsidRPr="002D02F3" w:rsidRDefault="00C82EE5" w:rsidP="00896F15">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00" w:type="pct"/>
            <w:tcBorders>
              <w:top w:val="single" w:sz="4" w:space="0" w:color="auto"/>
            </w:tcBorders>
            <w:shd w:val="clear" w:color="auto" w:fill="auto"/>
            <w:vAlign w:val="center"/>
          </w:tcPr>
          <w:p w:rsidR="00C82EE5" w:rsidRPr="002D02F3" w:rsidRDefault="00C82EE5" w:rsidP="00896F15">
            <w:pPr>
              <w:rPr>
                <w:rFonts w:cs="Arial"/>
                <w:b/>
                <w:bCs/>
                <w:sz w:val="16"/>
                <w:szCs w:val="16"/>
              </w:rPr>
            </w:pPr>
            <w:r w:rsidRPr="002D02F3">
              <w:rPr>
                <w:b/>
                <w:sz w:val="16"/>
              </w:rPr>
              <w:t>Niveaux de référence</w:t>
            </w:r>
          </w:p>
        </w:tc>
        <w:tc>
          <w:tcPr>
            <w:tcW w:w="764" w:type="pct"/>
            <w:gridSpan w:val="2"/>
            <w:tcBorders>
              <w:top w:val="single" w:sz="4" w:space="0" w:color="auto"/>
            </w:tcBorders>
            <w:shd w:val="clear" w:color="auto" w:fill="auto"/>
            <w:tcMar>
              <w:top w:w="110" w:type="dxa"/>
            </w:tcMar>
            <w:vAlign w:val="center"/>
          </w:tcPr>
          <w:p w:rsidR="00C82EE5" w:rsidRPr="002D02F3" w:rsidRDefault="00C82EE5" w:rsidP="00896F15">
            <w:pPr>
              <w:rPr>
                <w:rFonts w:cs="Arial"/>
                <w:b/>
                <w:sz w:val="16"/>
                <w:szCs w:val="16"/>
              </w:rPr>
            </w:pPr>
            <w:r w:rsidRPr="002D02F3">
              <w:rPr>
                <w:b/>
                <w:sz w:val="16"/>
              </w:rPr>
              <w:t>Objectifs visés</w:t>
            </w:r>
          </w:p>
        </w:tc>
        <w:tc>
          <w:tcPr>
            <w:tcW w:w="1818" w:type="pct"/>
            <w:tcBorders>
              <w:top w:val="single" w:sz="4" w:space="0" w:color="auto"/>
            </w:tcBorders>
            <w:shd w:val="clear" w:color="auto" w:fill="FFFFFF"/>
            <w:tcMar>
              <w:top w:w="110" w:type="dxa"/>
            </w:tcMar>
            <w:vAlign w:val="center"/>
          </w:tcPr>
          <w:p w:rsidR="00C82EE5" w:rsidRPr="002D02F3" w:rsidRDefault="00C82EE5" w:rsidP="00896F15">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gridSpan w:val="2"/>
            <w:tcBorders>
              <w:top w:val="single" w:sz="4" w:space="0" w:color="auto"/>
            </w:tcBorders>
            <w:shd w:val="clear" w:color="auto" w:fill="auto"/>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56083E">
        <w:trPr>
          <w:cantSplit/>
        </w:trPr>
        <w:tc>
          <w:tcPr>
            <w:tcW w:w="836" w:type="pct"/>
            <w:shd w:val="clear" w:color="auto" w:fill="auto"/>
          </w:tcPr>
          <w:p w:rsidR="00C82EE5" w:rsidRPr="005C7CCE" w:rsidRDefault="00C82EE5" w:rsidP="001A5BF9">
            <w:pPr>
              <w:rPr>
                <w:rFonts w:cs="Arial"/>
                <w:sz w:val="16"/>
                <w:szCs w:val="16"/>
              </w:rPr>
            </w:pPr>
            <w:r w:rsidRPr="00896F15">
              <w:rPr>
                <w:sz w:val="16"/>
              </w:rPr>
              <w:t>Nombre de programmes assortis d</w:t>
            </w:r>
            <w:r w:rsidR="00A20444" w:rsidRPr="00896F15">
              <w:rPr>
                <w:sz w:val="16"/>
              </w:rPr>
              <w:t>’</w:t>
            </w:r>
            <w:r w:rsidRPr="00896F15">
              <w:rPr>
                <w:sz w:val="16"/>
              </w:rPr>
              <w:t>indicateurs, de niveaux de référence et de cibles d</w:t>
            </w:r>
            <w:r w:rsidR="00A20444" w:rsidRPr="00896F15">
              <w:rPr>
                <w:sz w:val="16"/>
              </w:rPr>
              <w:t>’</w:t>
            </w:r>
            <w:r w:rsidRPr="00896F15">
              <w:rPr>
                <w:sz w:val="16"/>
              </w:rPr>
              <w:t>amélioration de l</w:t>
            </w:r>
            <w:r w:rsidR="00A20444" w:rsidRPr="00896F15">
              <w:rPr>
                <w:sz w:val="16"/>
              </w:rPr>
              <w:t>’</w:t>
            </w:r>
            <w:r w:rsidRPr="00896F15">
              <w:rPr>
                <w:sz w:val="16"/>
              </w:rPr>
              <w:t>environnement</w:t>
            </w:r>
            <w:r w:rsidR="004F3E42" w:rsidRPr="00896F15">
              <w:rPr>
                <w:sz w:val="16"/>
              </w:rPr>
              <w:t xml:space="preserve"> </w:t>
            </w:r>
          </w:p>
        </w:tc>
        <w:tc>
          <w:tcPr>
            <w:tcW w:w="900" w:type="pct"/>
            <w:shd w:val="clear" w:color="auto" w:fill="auto"/>
          </w:tcPr>
          <w:p w:rsidR="00D42474" w:rsidRDefault="00C82EE5" w:rsidP="001A5BF9">
            <w:pPr>
              <w:rPr>
                <w:color w:val="002060"/>
                <w:sz w:val="16"/>
                <w:szCs w:val="16"/>
              </w:rPr>
            </w:pPr>
            <w:r w:rsidRPr="005C7CCE">
              <w:rPr>
                <w:i/>
                <w:color w:val="002060"/>
                <w:sz w:val="16"/>
              </w:rPr>
              <w:t>Niveau de référence actualisé fin 2011 :</w:t>
            </w:r>
            <w:r w:rsidR="00896F15">
              <w:rPr>
                <w:color w:val="002060"/>
                <w:sz w:val="16"/>
              </w:rPr>
              <w:t xml:space="preserve"> q</w:t>
            </w:r>
            <w:r w:rsidRPr="005C7CCE">
              <w:rPr>
                <w:color w:val="002060"/>
                <w:sz w:val="16"/>
              </w:rPr>
              <w:t>uatre programmes en 2011</w:t>
            </w:r>
          </w:p>
          <w:p w:rsidR="00D42474" w:rsidRDefault="00D42474" w:rsidP="001A5BF9">
            <w:pPr>
              <w:rPr>
                <w:color w:val="002060"/>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896F15">
              <w:rPr>
                <w:sz w:val="16"/>
              </w:rPr>
              <w:t>à</w:t>
            </w:r>
            <w:r w:rsidRPr="005C7CCE">
              <w:rPr>
                <w:sz w:val="16"/>
              </w:rPr>
              <w:t> déterminer fin 2011</w:t>
            </w:r>
          </w:p>
        </w:tc>
        <w:tc>
          <w:tcPr>
            <w:tcW w:w="764" w:type="pct"/>
            <w:gridSpan w:val="2"/>
            <w:shd w:val="clear" w:color="auto" w:fill="auto"/>
            <w:tcMar>
              <w:top w:w="110" w:type="dxa"/>
            </w:tcMar>
          </w:tcPr>
          <w:p w:rsidR="00C82EE5" w:rsidRPr="00896F15" w:rsidRDefault="00C82EE5" w:rsidP="001A5BF9">
            <w:pPr>
              <w:rPr>
                <w:rFonts w:cs="Arial"/>
                <w:sz w:val="16"/>
                <w:szCs w:val="16"/>
              </w:rPr>
            </w:pPr>
            <w:r w:rsidRPr="00896F15">
              <w:rPr>
                <w:sz w:val="16"/>
              </w:rPr>
              <w:t>Tous les programmes</w:t>
            </w:r>
          </w:p>
        </w:tc>
        <w:tc>
          <w:tcPr>
            <w:tcW w:w="1818" w:type="pct"/>
            <w:shd w:val="clear" w:color="auto" w:fill="FFFFFF"/>
            <w:tcMar>
              <w:top w:w="110" w:type="dxa"/>
            </w:tcMar>
          </w:tcPr>
          <w:p w:rsidR="00D42474" w:rsidRDefault="00C82EE5" w:rsidP="001A5BF9">
            <w:pPr>
              <w:rPr>
                <w:rFonts w:cs="Arial"/>
                <w:sz w:val="16"/>
                <w:szCs w:val="16"/>
                <w:lang w:bidi="th-TH"/>
              </w:rPr>
            </w:pPr>
            <w:r w:rsidRPr="00896F15">
              <w:rPr>
                <w:sz w:val="16"/>
                <w:szCs w:val="16"/>
              </w:rPr>
              <w:t>Quatre programmes en</w:t>
            </w:r>
            <w:r w:rsidR="0010442A" w:rsidRPr="00896F15">
              <w:rPr>
                <w:sz w:val="16"/>
                <w:szCs w:val="16"/>
              </w:rPr>
              <w:t> </w:t>
            </w:r>
            <w:r w:rsidRPr="00896F15">
              <w:rPr>
                <w:sz w:val="16"/>
                <w:szCs w:val="16"/>
              </w:rPr>
              <w:t>2012 ont reflété la responsabilité sur le plan environnemental</w:t>
            </w:r>
            <w:r w:rsidR="0010442A" w:rsidRPr="00896F15">
              <w:rPr>
                <w:sz w:val="16"/>
                <w:szCs w:val="16"/>
              </w:rPr>
              <w:t> </w:t>
            </w:r>
            <w:r w:rsidRPr="00896F15">
              <w:rPr>
                <w:sz w:val="16"/>
                <w:szCs w:val="16"/>
              </w:rPr>
              <w:t>:</w:t>
            </w:r>
          </w:p>
          <w:p w:rsidR="00D42474" w:rsidRDefault="00D42474" w:rsidP="001A5BF9">
            <w:pPr>
              <w:rPr>
                <w:rFonts w:cs="Arial"/>
                <w:sz w:val="16"/>
                <w:szCs w:val="16"/>
                <w:u w:val="single"/>
                <w:lang w:bidi="th-TH"/>
              </w:rPr>
            </w:pPr>
          </w:p>
          <w:p w:rsidR="00D42474" w:rsidRDefault="00C82EE5" w:rsidP="001A5BF9">
            <w:pPr>
              <w:rPr>
                <w:rFonts w:cs="Arial"/>
                <w:sz w:val="16"/>
                <w:szCs w:val="16"/>
                <w:lang w:bidi="th-TH"/>
              </w:rPr>
            </w:pPr>
            <w:r w:rsidRPr="00896F15">
              <w:rPr>
                <w:sz w:val="16"/>
                <w:szCs w:val="16"/>
                <w:u w:val="single"/>
              </w:rPr>
              <w:t>Programme 24</w:t>
            </w:r>
            <w:r w:rsidRPr="00896F15">
              <w:rPr>
                <w:sz w:val="16"/>
                <w:szCs w:val="16"/>
              </w:rPr>
              <w:t> : l</w:t>
            </w:r>
            <w:r w:rsidR="00A20444" w:rsidRPr="00896F15">
              <w:rPr>
                <w:sz w:val="16"/>
                <w:szCs w:val="16"/>
              </w:rPr>
              <w:t>’</w:t>
            </w:r>
            <w:r w:rsidRPr="00896F15">
              <w:rPr>
                <w:sz w:val="16"/>
                <w:szCs w:val="16"/>
              </w:rPr>
              <w:t xml:space="preserve">alimentation par les eaux profondes du lac Léman a été déployée dans les bâtiments </w:t>
            </w:r>
            <w:proofErr w:type="spellStart"/>
            <w:r w:rsidRPr="00896F15">
              <w:rPr>
                <w:sz w:val="16"/>
                <w:szCs w:val="16"/>
              </w:rPr>
              <w:t>GBI</w:t>
            </w:r>
            <w:proofErr w:type="spellEnd"/>
            <w:r w:rsidRPr="00896F15">
              <w:rPr>
                <w:sz w:val="16"/>
                <w:szCs w:val="16"/>
              </w:rPr>
              <w:t xml:space="preserve"> et </w:t>
            </w:r>
            <w:proofErr w:type="spellStart"/>
            <w:r w:rsidRPr="00896F15">
              <w:rPr>
                <w:sz w:val="16"/>
                <w:szCs w:val="16"/>
              </w:rPr>
              <w:t>GBII</w:t>
            </w:r>
            <w:proofErr w:type="spellEnd"/>
            <w:r w:rsidRPr="00896F15">
              <w:rPr>
                <w:sz w:val="16"/>
                <w:szCs w:val="16"/>
              </w:rPr>
              <w:t xml:space="preserve"> en 2012 et 2013;</w:t>
            </w:r>
            <w:r w:rsidR="004F3E42" w:rsidRPr="00896F15">
              <w:rPr>
                <w:sz w:val="16"/>
                <w:szCs w:val="16"/>
              </w:rPr>
              <w:t xml:space="preserve"> </w:t>
            </w:r>
            <w:r w:rsidR="0010442A" w:rsidRPr="00896F15">
              <w:rPr>
                <w:sz w:val="16"/>
                <w:szCs w:val="16"/>
              </w:rPr>
              <w:t xml:space="preserve"> </w:t>
            </w:r>
            <w:r w:rsidRPr="00896F15">
              <w:rPr>
                <w:sz w:val="16"/>
                <w:szCs w:val="16"/>
              </w:rPr>
              <w:t>choix continu des tarifs d</w:t>
            </w:r>
            <w:r w:rsidR="00A20444" w:rsidRPr="00896F15">
              <w:rPr>
                <w:sz w:val="16"/>
                <w:szCs w:val="16"/>
              </w:rPr>
              <w:t>’</w:t>
            </w:r>
            <w:r w:rsidRPr="00896F15">
              <w:rPr>
                <w:sz w:val="16"/>
                <w:szCs w:val="16"/>
              </w:rPr>
              <w:t>électricité présentant le plus fort pourcentage de contribution à la production d</w:t>
            </w:r>
            <w:r w:rsidR="00A20444" w:rsidRPr="00896F15">
              <w:rPr>
                <w:sz w:val="16"/>
                <w:szCs w:val="16"/>
              </w:rPr>
              <w:t>’</w:t>
            </w:r>
            <w:r w:rsidRPr="00896F15">
              <w:rPr>
                <w:sz w:val="16"/>
                <w:szCs w:val="16"/>
              </w:rPr>
              <w:t>électricité renouvelable (pour le nouveau bâtiment);</w:t>
            </w:r>
            <w:r w:rsidR="004F3E42" w:rsidRPr="00896F15">
              <w:rPr>
                <w:sz w:val="16"/>
                <w:szCs w:val="16"/>
              </w:rPr>
              <w:t xml:space="preserve"> </w:t>
            </w:r>
            <w:r w:rsidR="0010442A" w:rsidRPr="00896F15">
              <w:rPr>
                <w:sz w:val="16"/>
                <w:szCs w:val="16"/>
              </w:rPr>
              <w:t xml:space="preserve"> </w:t>
            </w:r>
            <w:r w:rsidRPr="00896F15">
              <w:rPr>
                <w:sz w:val="16"/>
                <w:szCs w:val="16"/>
              </w:rPr>
              <w:t>2</w:t>
            </w:r>
            <w:r w:rsidR="007E442D" w:rsidRPr="00896F15">
              <w:rPr>
                <w:sz w:val="16"/>
                <w:szCs w:val="16"/>
              </w:rPr>
              <w:t>%</w:t>
            </w:r>
            <w:r w:rsidRPr="00896F15">
              <w:rPr>
                <w:sz w:val="16"/>
                <w:szCs w:val="16"/>
              </w:rPr>
              <w:t xml:space="preserve"> de réduction de la consommation d</w:t>
            </w:r>
            <w:r w:rsidR="00A20444" w:rsidRPr="00896F15">
              <w:rPr>
                <w:sz w:val="16"/>
                <w:szCs w:val="16"/>
              </w:rPr>
              <w:t>’</w:t>
            </w:r>
            <w:r w:rsidRPr="00896F15">
              <w:rPr>
                <w:sz w:val="16"/>
                <w:szCs w:val="16"/>
              </w:rPr>
              <w:t>électricité suite à la mise en œuvre de diverses mesures visant à moderniser les installations;</w:t>
            </w:r>
            <w:r w:rsidR="004F3E42" w:rsidRPr="00896F15">
              <w:rPr>
                <w:sz w:val="16"/>
                <w:szCs w:val="16"/>
              </w:rPr>
              <w:t xml:space="preserve"> </w:t>
            </w:r>
            <w:r w:rsidR="0010442A" w:rsidRPr="00896F15">
              <w:rPr>
                <w:sz w:val="16"/>
                <w:szCs w:val="16"/>
              </w:rPr>
              <w:t xml:space="preserve"> </w:t>
            </w:r>
            <w:r w:rsidRPr="00896F15">
              <w:rPr>
                <w:sz w:val="16"/>
                <w:szCs w:val="16"/>
              </w:rPr>
              <w:t>7</w:t>
            </w:r>
            <w:r w:rsidR="007E442D" w:rsidRPr="00896F15">
              <w:rPr>
                <w:sz w:val="16"/>
                <w:szCs w:val="16"/>
              </w:rPr>
              <w:t>%</w:t>
            </w:r>
            <w:r w:rsidRPr="00896F15">
              <w:rPr>
                <w:sz w:val="16"/>
                <w:szCs w:val="16"/>
              </w:rPr>
              <w:t xml:space="preserve"> de réduction de la consommation d</w:t>
            </w:r>
            <w:r w:rsidR="00A20444" w:rsidRPr="00896F15">
              <w:rPr>
                <w:sz w:val="16"/>
                <w:szCs w:val="16"/>
              </w:rPr>
              <w:t>’</w:t>
            </w:r>
            <w:r w:rsidRPr="00896F15">
              <w:rPr>
                <w:sz w:val="16"/>
                <w:szCs w:val="16"/>
              </w:rPr>
              <w:t>eau suite à la modernisation des installations dans l</w:t>
            </w:r>
            <w:r w:rsidR="00A20444" w:rsidRPr="00896F15">
              <w:rPr>
                <w:sz w:val="16"/>
                <w:szCs w:val="16"/>
              </w:rPr>
              <w:t>’</w:t>
            </w:r>
            <w:r w:rsidRPr="00896F15">
              <w:rPr>
                <w:sz w:val="16"/>
                <w:szCs w:val="16"/>
              </w:rPr>
              <w:t>un des centres de données;</w:t>
            </w:r>
            <w:r w:rsidR="004F3E42" w:rsidRPr="00896F15">
              <w:rPr>
                <w:sz w:val="16"/>
                <w:szCs w:val="16"/>
              </w:rPr>
              <w:t xml:space="preserve"> </w:t>
            </w:r>
            <w:r w:rsidR="0010442A" w:rsidRPr="00896F15">
              <w:rPr>
                <w:sz w:val="16"/>
                <w:szCs w:val="16"/>
              </w:rPr>
              <w:t xml:space="preserve"> </w:t>
            </w:r>
            <w:r w:rsidRPr="00896F15">
              <w:rPr>
                <w:sz w:val="16"/>
                <w:szCs w:val="16"/>
              </w:rPr>
              <w:t>intégration de critères écologiques dans les exigences de l</w:t>
            </w:r>
            <w:r w:rsidR="00A20444" w:rsidRPr="00896F15">
              <w:rPr>
                <w:sz w:val="16"/>
                <w:szCs w:val="16"/>
              </w:rPr>
              <w:t>’</w:t>
            </w:r>
            <w:r w:rsidRPr="00896F15">
              <w:rPr>
                <w:sz w:val="16"/>
                <w:szCs w:val="16"/>
              </w:rPr>
              <w:t>appel d</w:t>
            </w:r>
            <w:r w:rsidR="00A20444" w:rsidRPr="00896F15">
              <w:rPr>
                <w:sz w:val="16"/>
                <w:szCs w:val="16"/>
              </w:rPr>
              <w:t>’</w:t>
            </w:r>
            <w:r w:rsidRPr="00896F15">
              <w:rPr>
                <w:sz w:val="16"/>
                <w:szCs w:val="16"/>
              </w:rPr>
              <w:t>offres et au moins trois nouveaux contrats (services de cafétéria, distributeurs automatiques, produits de nettoyage, etc.).</w:t>
            </w:r>
          </w:p>
          <w:p w:rsidR="00D42474" w:rsidRDefault="00D42474" w:rsidP="001A5BF9">
            <w:pPr>
              <w:rPr>
                <w:rFonts w:cs="Arial"/>
                <w:sz w:val="16"/>
                <w:szCs w:val="16"/>
                <w:lang w:bidi="th-TH"/>
              </w:rPr>
            </w:pPr>
          </w:p>
          <w:p w:rsidR="00D42474" w:rsidRDefault="00C82EE5" w:rsidP="001A5BF9">
            <w:pPr>
              <w:rPr>
                <w:rFonts w:cs="Arial"/>
                <w:sz w:val="16"/>
                <w:szCs w:val="16"/>
                <w:lang w:bidi="th-TH"/>
              </w:rPr>
            </w:pPr>
            <w:r w:rsidRPr="00896F15">
              <w:rPr>
                <w:sz w:val="16"/>
                <w:szCs w:val="16"/>
                <w:u w:val="single"/>
              </w:rPr>
              <w:t>Programme 29</w:t>
            </w:r>
            <w:r w:rsidRPr="00896F15">
              <w:rPr>
                <w:sz w:val="16"/>
                <w:szCs w:val="16"/>
              </w:rPr>
              <w:t> : l</w:t>
            </w:r>
            <w:r w:rsidR="00A20444" w:rsidRPr="00896F15">
              <w:rPr>
                <w:sz w:val="16"/>
                <w:szCs w:val="16"/>
              </w:rPr>
              <w:t>’</w:t>
            </w:r>
            <w:r w:rsidRPr="00896F15">
              <w:rPr>
                <w:sz w:val="16"/>
                <w:szCs w:val="16"/>
              </w:rPr>
              <w:t>alimentation du système de refroidissement par les eaux profondes du lac Léman fait partie de la phase de construction de la nouvelle salle et de plusieurs aires rénovées du bâtiment AB.</w:t>
            </w:r>
          </w:p>
          <w:p w:rsidR="00D42474" w:rsidRDefault="00D42474" w:rsidP="001A5BF9">
            <w:pPr>
              <w:rPr>
                <w:rFonts w:cs="Arial"/>
                <w:sz w:val="16"/>
                <w:szCs w:val="16"/>
                <w:lang w:bidi="th-TH"/>
              </w:rPr>
            </w:pPr>
          </w:p>
          <w:p w:rsidR="00D42474" w:rsidRDefault="00C82EE5" w:rsidP="001A5BF9">
            <w:pPr>
              <w:rPr>
                <w:rFonts w:cs="Arial"/>
                <w:sz w:val="16"/>
                <w:szCs w:val="16"/>
                <w:lang w:bidi="th-TH"/>
              </w:rPr>
            </w:pPr>
            <w:r w:rsidRPr="00896F15">
              <w:rPr>
                <w:sz w:val="16"/>
                <w:szCs w:val="16"/>
                <w:u w:val="single"/>
              </w:rPr>
              <w:t>Programme 28</w:t>
            </w:r>
            <w:r w:rsidRPr="00896F15">
              <w:rPr>
                <w:sz w:val="16"/>
                <w:szCs w:val="16"/>
              </w:rPr>
              <w:t xml:space="preserve"> : méthode dynamique, </w:t>
            </w:r>
            <w:r w:rsidR="00A20444" w:rsidRPr="00896F15">
              <w:rPr>
                <w:sz w:val="16"/>
                <w:szCs w:val="16"/>
              </w:rPr>
              <w:t>à savoir</w:t>
            </w:r>
            <w:r w:rsidRPr="00896F15">
              <w:rPr>
                <w:sz w:val="16"/>
                <w:szCs w:val="16"/>
              </w:rPr>
              <w:t xml:space="preserve"> le remplacement d</w:t>
            </w:r>
            <w:r w:rsidR="00A20444" w:rsidRPr="00896F15">
              <w:rPr>
                <w:sz w:val="16"/>
                <w:szCs w:val="16"/>
              </w:rPr>
              <w:t>’</w:t>
            </w:r>
            <w:r w:rsidRPr="00896F15">
              <w:rPr>
                <w:sz w:val="16"/>
                <w:szCs w:val="16"/>
              </w:rPr>
              <w:t>anciens véhicules par des véhicules hybrides afin de réduire les émissions de carbone et la consommation d</w:t>
            </w:r>
            <w:r w:rsidR="00A20444" w:rsidRPr="00896F15">
              <w:rPr>
                <w:sz w:val="16"/>
                <w:szCs w:val="16"/>
              </w:rPr>
              <w:t>’</w:t>
            </w:r>
            <w:r w:rsidRPr="00896F15">
              <w:rPr>
                <w:sz w:val="16"/>
                <w:szCs w:val="16"/>
              </w:rPr>
              <w:t>énergie.</w:t>
            </w:r>
          </w:p>
          <w:p w:rsidR="00D42474" w:rsidRDefault="00D42474" w:rsidP="001A5BF9">
            <w:pPr>
              <w:rPr>
                <w:rFonts w:cs="Arial"/>
                <w:sz w:val="16"/>
                <w:szCs w:val="16"/>
                <w:lang w:bidi="th-TH"/>
              </w:rPr>
            </w:pPr>
          </w:p>
          <w:p w:rsidR="00C82EE5" w:rsidRPr="00896F15" w:rsidRDefault="00C82EE5" w:rsidP="001A5BF9">
            <w:pPr>
              <w:rPr>
                <w:rFonts w:cs="Arial"/>
                <w:sz w:val="16"/>
                <w:szCs w:val="16"/>
                <w:lang w:bidi="th-TH"/>
              </w:rPr>
            </w:pPr>
            <w:r w:rsidRPr="00896F15">
              <w:rPr>
                <w:sz w:val="16"/>
                <w:szCs w:val="16"/>
                <w:u w:val="single"/>
              </w:rPr>
              <w:t>Programme 19</w:t>
            </w:r>
            <w:r w:rsidR="0010442A" w:rsidRPr="00896F15">
              <w:rPr>
                <w:sz w:val="16"/>
                <w:szCs w:val="16"/>
                <w:u w:val="single"/>
              </w:rPr>
              <w:t> </w:t>
            </w:r>
            <w:r w:rsidRPr="00896F15">
              <w:rPr>
                <w:sz w:val="16"/>
                <w:szCs w:val="16"/>
                <w:u w:val="single"/>
              </w:rPr>
              <w:t>:</w:t>
            </w:r>
            <w:r w:rsidRPr="00896F15">
              <w:rPr>
                <w:sz w:val="16"/>
                <w:szCs w:val="16"/>
              </w:rPr>
              <w:t xml:space="preserve"> Publication de plusieurs articles sur les questions “écologiques” dans la Revue de l</w:t>
            </w:r>
            <w:r w:rsidR="00A20444" w:rsidRPr="00896F15">
              <w:rPr>
                <w:sz w:val="16"/>
                <w:szCs w:val="16"/>
              </w:rPr>
              <w:t>’</w:t>
            </w:r>
            <w:r w:rsidRPr="00896F15">
              <w:rPr>
                <w:sz w:val="16"/>
                <w:szCs w:val="16"/>
              </w:rPr>
              <w:t>OMPI.</w:t>
            </w:r>
          </w:p>
        </w:tc>
        <w:tc>
          <w:tcPr>
            <w:tcW w:w="682" w:type="pct"/>
            <w:gridSpan w:val="2"/>
            <w:shd w:val="clear" w:color="auto" w:fill="auto"/>
            <w:tcMar>
              <w:top w:w="110" w:type="dxa"/>
            </w:tcMar>
          </w:tcPr>
          <w:p w:rsidR="00C82EE5" w:rsidRPr="005C7CCE" w:rsidRDefault="00C82EE5" w:rsidP="001A5BF9">
            <w:pPr>
              <w:keepNext/>
              <w:keepLines/>
              <w:jc w:val="center"/>
              <w:rPr>
                <w:rFonts w:cs="Arial"/>
                <w:bCs/>
                <w:color w:val="808080"/>
                <w:sz w:val="16"/>
                <w:szCs w:val="16"/>
              </w:rPr>
            </w:pPr>
            <w:r w:rsidRPr="00896F15">
              <w:rPr>
                <w:color w:val="FF0000"/>
                <w:sz w:val="16"/>
              </w:rPr>
              <w:t>Objectif pas atteint</w:t>
            </w:r>
          </w:p>
        </w:tc>
      </w:tr>
      <w:tr w:rsidR="00C82EE5" w:rsidRPr="005C7CCE" w:rsidTr="0056083E">
        <w:trPr>
          <w:cantSplit/>
        </w:trPr>
        <w:tc>
          <w:tcPr>
            <w:tcW w:w="836" w:type="pct"/>
            <w:tcBorders>
              <w:bottom w:val="single" w:sz="4" w:space="0" w:color="auto"/>
            </w:tcBorders>
            <w:shd w:val="clear" w:color="auto" w:fill="auto"/>
          </w:tcPr>
          <w:p w:rsidR="00C82EE5" w:rsidRPr="005C7CCE" w:rsidRDefault="00C82EE5" w:rsidP="001A5BF9">
            <w:pPr>
              <w:rPr>
                <w:rFonts w:cs="Arial"/>
                <w:sz w:val="16"/>
                <w:szCs w:val="16"/>
              </w:rPr>
            </w:pPr>
            <w:r w:rsidRPr="00896F15">
              <w:rPr>
                <w:sz w:val="16"/>
              </w:rPr>
              <w:t>Pourcentage de réduction des émissions de carbone en ce qui concerne la consommation d</w:t>
            </w:r>
            <w:r w:rsidR="00A20444" w:rsidRPr="00896F15">
              <w:rPr>
                <w:sz w:val="16"/>
              </w:rPr>
              <w:t>’</w:t>
            </w:r>
            <w:r w:rsidRPr="00896F15">
              <w:rPr>
                <w:sz w:val="16"/>
              </w:rPr>
              <w:t>énergie</w:t>
            </w:r>
          </w:p>
        </w:tc>
        <w:tc>
          <w:tcPr>
            <w:tcW w:w="900" w:type="pct"/>
            <w:tcBorders>
              <w:bottom w:val="single" w:sz="4" w:space="0" w:color="auto"/>
            </w:tcBorders>
            <w:shd w:val="clear" w:color="auto" w:fill="auto"/>
          </w:tcPr>
          <w:p w:rsidR="00D42474" w:rsidRDefault="00C82EE5" w:rsidP="001A5BF9">
            <w:pPr>
              <w:rPr>
                <w:color w:val="002060"/>
                <w:sz w:val="16"/>
              </w:rPr>
            </w:pPr>
            <w:r w:rsidRPr="005C7CCE">
              <w:rPr>
                <w:i/>
                <w:color w:val="002060"/>
                <w:sz w:val="16"/>
              </w:rPr>
              <w:t>Niveau de référence actualisé fin </w:t>
            </w:r>
            <w:r w:rsidRPr="00896F15">
              <w:rPr>
                <w:i/>
                <w:color w:val="002060"/>
                <w:sz w:val="16"/>
              </w:rPr>
              <w:t>2011 :</w:t>
            </w:r>
          </w:p>
          <w:p w:rsidR="00D42474" w:rsidRDefault="00896F15" w:rsidP="001A5BF9">
            <w:pPr>
              <w:rPr>
                <w:rFonts w:cs="Arial"/>
                <w:color w:val="002060"/>
                <w:sz w:val="16"/>
                <w:szCs w:val="16"/>
              </w:rPr>
            </w:pPr>
            <w:r w:rsidRPr="00896F15">
              <w:rPr>
                <w:color w:val="002060"/>
                <w:sz w:val="16"/>
              </w:rPr>
              <w:t>r</w:t>
            </w:r>
            <w:r w:rsidR="00C82EE5" w:rsidRPr="00896F15">
              <w:rPr>
                <w:color w:val="002060"/>
                <w:sz w:val="16"/>
              </w:rPr>
              <w:t>éduction de 2</w:t>
            </w:r>
            <w:r w:rsidR="007E442D" w:rsidRPr="00896F15">
              <w:rPr>
                <w:color w:val="002060"/>
                <w:sz w:val="16"/>
              </w:rPr>
              <w:t>%</w:t>
            </w:r>
            <w:r w:rsidR="00C82EE5" w:rsidRPr="00896F15">
              <w:rPr>
                <w:color w:val="002060"/>
                <w:sz w:val="16"/>
              </w:rPr>
              <w:t xml:space="preserve"> des émissions de carbone ou indemnisation par le</w:t>
            </w:r>
            <w:r w:rsidR="007409F8" w:rsidRPr="00896F15">
              <w:rPr>
                <w:color w:val="002060"/>
                <w:sz w:val="16"/>
              </w:rPr>
              <w:t> </w:t>
            </w:r>
            <w:r w:rsidR="00C82EE5" w:rsidRPr="00896F15">
              <w:rPr>
                <w:color w:val="002060"/>
                <w:sz w:val="16"/>
              </w:rPr>
              <w:t>biais d</w:t>
            </w:r>
            <w:r w:rsidR="00A20444" w:rsidRPr="00896F15">
              <w:rPr>
                <w:color w:val="002060"/>
                <w:sz w:val="16"/>
              </w:rPr>
              <w:t>’</w:t>
            </w:r>
            <w:r w:rsidR="00C82EE5" w:rsidRPr="00896F15">
              <w:rPr>
                <w:color w:val="002060"/>
                <w:sz w:val="16"/>
              </w:rPr>
              <w:t>investissements dans la production locale d</w:t>
            </w:r>
            <w:r w:rsidR="00A20444" w:rsidRPr="00896F15">
              <w:rPr>
                <w:color w:val="002060"/>
                <w:sz w:val="16"/>
              </w:rPr>
              <w:t>’</w:t>
            </w:r>
            <w:r w:rsidR="00C82EE5" w:rsidRPr="00896F15">
              <w:rPr>
                <w:color w:val="002060"/>
                <w:sz w:val="16"/>
              </w:rPr>
              <w:t>énergie renouvelable</w:t>
            </w:r>
          </w:p>
          <w:p w:rsidR="00D42474" w:rsidRDefault="00D42474" w:rsidP="001A5BF9">
            <w:pPr>
              <w:rPr>
                <w:rFonts w:cs="Arial"/>
                <w:i/>
                <w:sz w:val="8"/>
                <w:szCs w:val="8"/>
              </w:rPr>
            </w:pPr>
          </w:p>
          <w:p w:rsidR="00C82EE5" w:rsidRPr="005C7CCE" w:rsidRDefault="00C82EE5"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896F15">
              <w:rPr>
                <w:sz w:val="16"/>
              </w:rPr>
              <w:t>à</w:t>
            </w:r>
            <w:r w:rsidRPr="005C7CCE">
              <w:rPr>
                <w:sz w:val="16"/>
              </w:rPr>
              <w:t> déterminer fin 2011</w:t>
            </w:r>
          </w:p>
        </w:tc>
        <w:tc>
          <w:tcPr>
            <w:tcW w:w="764" w:type="pct"/>
            <w:gridSpan w:val="2"/>
            <w:tcBorders>
              <w:bottom w:val="single" w:sz="4" w:space="0" w:color="auto"/>
            </w:tcBorders>
            <w:shd w:val="clear" w:color="auto" w:fill="auto"/>
            <w:tcMar>
              <w:top w:w="110" w:type="dxa"/>
            </w:tcMar>
          </w:tcPr>
          <w:p w:rsidR="00C82EE5" w:rsidRPr="00896F15" w:rsidRDefault="00C82EE5" w:rsidP="001A5BF9">
            <w:pPr>
              <w:rPr>
                <w:rFonts w:cs="Arial"/>
                <w:sz w:val="16"/>
                <w:szCs w:val="16"/>
              </w:rPr>
            </w:pPr>
            <w:r w:rsidRPr="00896F15">
              <w:rPr>
                <w:sz w:val="16"/>
              </w:rPr>
              <w:t>À déterminer fin 2011</w:t>
            </w:r>
          </w:p>
        </w:tc>
        <w:tc>
          <w:tcPr>
            <w:tcW w:w="1818" w:type="pct"/>
            <w:tcBorders>
              <w:bottom w:val="single" w:sz="4" w:space="0" w:color="auto"/>
            </w:tcBorders>
            <w:shd w:val="clear" w:color="auto" w:fill="FFFFFF"/>
            <w:tcMar>
              <w:top w:w="110" w:type="dxa"/>
            </w:tcMar>
          </w:tcPr>
          <w:p w:rsidR="00D42474" w:rsidRDefault="00C82EE5" w:rsidP="001A5BF9">
            <w:pPr>
              <w:rPr>
                <w:rFonts w:cs="Arial"/>
                <w:sz w:val="16"/>
                <w:szCs w:val="16"/>
                <w:lang w:bidi="th-TH"/>
              </w:rPr>
            </w:pPr>
            <w:r w:rsidRPr="00896F15">
              <w:rPr>
                <w:sz w:val="16"/>
                <w:szCs w:val="16"/>
              </w:rPr>
              <w:t>Indemnisation par le biais d</w:t>
            </w:r>
            <w:r w:rsidR="00A20444" w:rsidRPr="00896F15">
              <w:rPr>
                <w:sz w:val="16"/>
                <w:szCs w:val="16"/>
              </w:rPr>
              <w:t>’</w:t>
            </w:r>
            <w:r w:rsidRPr="00896F15">
              <w:rPr>
                <w:sz w:val="16"/>
                <w:szCs w:val="16"/>
              </w:rPr>
              <w:t>investissements dans la production locale d</w:t>
            </w:r>
            <w:r w:rsidR="00A20444" w:rsidRPr="00896F15">
              <w:rPr>
                <w:sz w:val="16"/>
                <w:szCs w:val="16"/>
              </w:rPr>
              <w:t>’</w:t>
            </w:r>
            <w:r w:rsidRPr="00896F15">
              <w:rPr>
                <w:sz w:val="16"/>
                <w:szCs w:val="16"/>
              </w:rPr>
              <w:t>énergie renouvelable grâce au choix (pour le nouveau bâtiment) des tarifs d</w:t>
            </w:r>
            <w:r w:rsidR="00A20444" w:rsidRPr="00896F15">
              <w:rPr>
                <w:sz w:val="16"/>
                <w:szCs w:val="16"/>
              </w:rPr>
              <w:t>’</w:t>
            </w:r>
            <w:r w:rsidRPr="00896F15">
              <w:rPr>
                <w:sz w:val="16"/>
                <w:szCs w:val="16"/>
              </w:rPr>
              <w:t>électricité qui présentent la plus forte contribution de ces investissements.</w:t>
            </w:r>
          </w:p>
          <w:p w:rsidR="00D42474" w:rsidRDefault="00D42474" w:rsidP="001A5BF9">
            <w:pPr>
              <w:rPr>
                <w:sz w:val="16"/>
                <w:szCs w:val="16"/>
              </w:rPr>
            </w:pPr>
          </w:p>
          <w:p w:rsidR="00C82EE5" w:rsidRPr="00896F15" w:rsidRDefault="00C82EE5" w:rsidP="001A5BF9">
            <w:pPr>
              <w:rPr>
                <w:rFonts w:cs="Arial"/>
                <w:sz w:val="16"/>
                <w:szCs w:val="16"/>
                <w:lang w:bidi="th-TH"/>
              </w:rPr>
            </w:pPr>
            <w:r w:rsidRPr="00896F15">
              <w:rPr>
                <w:sz w:val="16"/>
                <w:szCs w:val="16"/>
              </w:rPr>
              <w:t>Liquidation en</w:t>
            </w:r>
            <w:r w:rsidR="0010442A" w:rsidRPr="00896F15">
              <w:rPr>
                <w:sz w:val="16"/>
                <w:szCs w:val="16"/>
              </w:rPr>
              <w:t> </w:t>
            </w:r>
            <w:r w:rsidRPr="00896F15">
              <w:rPr>
                <w:sz w:val="16"/>
                <w:szCs w:val="16"/>
              </w:rPr>
              <w:t>2012 de trois</w:t>
            </w:r>
            <w:r w:rsidR="0010442A" w:rsidRPr="00896F15">
              <w:rPr>
                <w:sz w:val="16"/>
                <w:szCs w:val="16"/>
              </w:rPr>
              <w:t> </w:t>
            </w:r>
            <w:r w:rsidRPr="00896F15">
              <w:rPr>
                <w:sz w:val="16"/>
                <w:szCs w:val="16"/>
              </w:rPr>
              <w:t>véhicules d</w:t>
            </w:r>
            <w:r w:rsidR="00A20444" w:rsidRPr="00896F15">
              <w:rPr>
                <w:sz w:val="16"/>
                <w:szCs w:val="16"/>
              </w:rPr>
              <w:t>’</w:t>
            </w:r>
            <w:r w:rsidRPr="00896F15">
              <w:rPr>
                <w:sz w:val="16"/>
                <w:szCs w:val="16"/>
              </w:rPr>
              <w:t>un millésime plus ancien du parc officiel de l</w:t>
            </w:r>
            <w:r w:rsidR="00A20444" w:rsidRPr="00896F15">
              <w:rPr>
                <w:sz w:val="16"/>
                <w:szCs w:val="16"/>
              </w:rPr>
              <w:t>’</w:t>
            </w:r>
            <w:r w:rsidRPr="00896F15">
              <w:rPr>
                <w:sz w:val="16"/>
                <w:szCs w:val="16"/>
              </w:rPr>
              <w:t>OMPI, et d</w:t>
            </w:r>
            <w:r w:rsidR="00A20444" w:rsidRPr="00896F15">
              <w:rPr>
                <w:sz w:val="16"/>
                <w:szCs w:val="16"/>
              </w:rPr>
              <w:t>’</w:t>
            </w:r>
            <w:r w:rsidRPr="00896F15">
              <w:rPr>
                <w:sz w:val="16"/>
                <w:szCs w:val="16"/>
              </w:rPr>
              <w:t xml:space="preserve">un autre en </w:t>
            </w:r>
            <w:r w:rsidR="00A20444" w:rsidRPr="00896F15">
              <w:rPr>
                <w:sz w:val="16"/>
                <w:szCs w:val="16"/>
              </w:rPr>
              <w:t>janvier 20</w:t>
            </w:r>
            <w:r w:rsidRPr="00896F15">
              <w:rPr>
                <w:sz w:val="16"/>
                <w:szCs w:val="16"/>
              </w:rPr>
              <w:t>13, ce qui s</w:t>
            </w:r>
            <w:r w:rsidR="00A20444" w:rsidRPr="00896F15">
              <w:rPr>
                <w:sz w:val="16"/>
                <w:szCs w:val="16"/>
              </w:rPr>
              <w:t>’</w:t>
            </w:r>
            <w:r w:rsidRPr="00896F15">
              <w:rPr>
                <w:sz w:val="16"/>
                <w:szCs w:val="16"/>
              </w:rPr>
              <w:t>est soldé par une réduction des émissions de carbone à compter de</w:t>
            </w:r>
            <w:r w:rsidR="0010442A" w:rsidRPr="00896F15">
              <w:rPr>
                <w:sz w:val="16"/>
                <w:szCs w:val="16"/>
              </w:rPr>
              <w:t> </w:t>
            </w:r>
            <w:r w:rsidRPr="00896F15">
              <w:rPr>
                <w:sz w:val="16"/>
                <w:szCs w:val="16"/>
              </w:rPr>
              <w:t>2013.</w:t>
            </w:r>
            <w:r w:rsidRPr="00896F15">
              <w:rPr>
                <w:sz w:val="16"/>
              </w:rPr>
              <w:t xml:space="preserve"> </w:t>
            </w:r>
            <w:r w:rsidR="0010442A" w:rsidRPr="00896F15">
              <w:rPr>
                <w:sz w:val="16"/>
                <w:szCs w:val="16"/>
              </w:rPr>
              <w:t xml:space="preserve"> </w:t>
            </w:r>
            <w:r w:rsidRPr="00896F15">
              <w:rPr>
                <w:sz w:val="16"/>
                <w:szCs w:val="16"/>
              </w:rPr>
              <w:t>Un nouveau véhicule hybride a été acheté en 2013.</w:t>
            </w:r>
          </w:p>
        </w:tc>
        <w:tc>
          <w:tcPr>
            <w:tcW w:w="682" w:type="pct"/>
            <w:gridSpan w:val="2"/>
            <w:tcBorders>
              <w:bottom w:val="single" w:sz="4" w:space="0" w:color="auto"/>
            </w:tcBorders>
            <w:shd w:val="clear" w:color="auto" w:fill="auto"/>
            <w:tcMar>
              <w:top w:w="110" w:type="dxa"/>
            </w:tcMar>
          </w:tcPr>
          <w:p w:rsidR="00C82EE5" w:rsidRPr="005C7CCE" w:rsidRDefault="00C82EE5" w:rsidP="001A5BF9">
            <w:pPr>
              <w:keepNext/>
              <w:keepLines/>
              <w:jc w:val="center"/>
              <w:rPr>
                <w:rFonts w:cs="Arial"/>
                <w:bCs/>
                <w:color w:val="808080"/>
                <w:sz w:val="16"/>
                <w:szCs w:val="16"/>
              </w:rPr>
            </w:pPr>
            <w:r w:rsidRPr="005C7CCE">
              <w:rPr>
                <w:rStyle w:val="Style5"/>
                <w:rFonts w:ascii="Arial" w:hAnsi="Arial"/>
                <w:color w:val="595959"/>
                <w:sz w:val="16"/>
              </w:rPr>
              <w:t xml:space="preserve">Non évaluable </w:t>
            </w:r>
          </w:p>
        </w:tc>
      </w:tr>
      <w:tr w:rsidR="00C82EE5" w:rsidRPr="002D02F3" w:rsidTr="0056083E">
        <w:trPr>
          <w:cantSplit/>
        </w:trPr>
        <w:tc>
          <w:tcPr>
            <w:tcW w:w="5000" w:type="pct"/>
            <w:gridSpan w:val="7"/>
            <w:tcBorders>
              <w:top w:val="single" w:sz="4" w:space="0" w:color="auto"/>
              <w:bottom w:val="single" w:sz="4" w:space="0" w:color="auto"/>
            </w:tcBorders>
            <w:shd w:val="clear" w:color="auto" w:fill="CCFFFF"/>
            <w:vAlign w:val="center"/>
          </w:tcPr>
          <w:p w:rsidR="00C82EE5" w:rsidRPr="002D02F3" w:rsidRDefault="00C82EE5" w:rsidP="001A5BF9">
            <w:pPr>
              <w:keepNext/>
              <w:keepLines/>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Amélioration de l</w:t>
            </w:r>
            <w:r w:rsidR="00A20444" w:rsidRPr="002D02F3">
              <w:rPr>
                <w:sz w:val="16"/>
              </w:rPr>
              <w:t>’</w:t>
            </w:r>
            <w:r w:rsidRPr="002D02F3">
              <w:rPr>
                <w:sz w:val="16"/>
              </w:rPr>
              <w:t>accès physique au campus de l</w:t>
            </w:r>
            <w:r w:rsidR="00A20444" w:rsidRPr="002D02F3">
              <w:rPr>
                <w:sz w:val="16"/>
              </w:rPr>
              <w:t>’</w:t>
            </w:r>
            <w:r w:rsidRPr="002D02F3">
              <w:rPr>
                <w:sz w:val="16"/>
              </w:rPr>
              <w:t>OMPI</w:t>
            </w:r>
          </w:p>
        </w:tc>
      </w:tr>
      <w:tr w:rsidR="00C82EE5" w:rsidRPr="002D02F3" w:rsidTr="0056083E">
        <w:trPr>
          <w:cantSplit/>
        </w:trPr>
        <w:tc>
          <w:tcPr>
            <w:tcW w:w="836" w:type="pct"/>
            <w:tcBorders>
              <w:top w:val="single" w:sz="4" w:space="0" w:color="auto"/>
            </w:tcBorders>
            <w:shd w:val="clear" w:color="auto" w:fill="auto"/>
            <w:vAlign w:val="center"/>
          </w:tcPr>
          <w:p w:rsidR="00C82EE5" w:rsidRPr="002D02F3" w:rsidRDefault="00C82EE5" w:rsidP="00896F15">
            <w:pPr>
              <w:keepNext/>
              <w:keepLines/>
              <w:rPr>
                <w:rFonts w:cs="Arial"/>
                <w:b/>
                <w:sz w:val="16"/>
                <w:szCs w:val="16"/>
              </w:rPr>
            </w:pPr>
            <w:r w:rsidRPr="002D02F3">
              <w:rPr>
                <w:b/>
                <w:sz w:val="16"/>
              </w:rPr>
              <w:t>Indicateurs d</w:t>
            </w:r>
            <w:r w:rsidR="00A20444" w:rsidRPr="002D02F3">
              <w:rPr>
                <w:b/>
                <w:sz w:val="16"/>
              </w:rPr>
              <w:t>’</w:t>
            </w:r>
            <w:r w:rsidRPr="002D02F3">
              <w:rPr>
                <w:b/>
                <w:sz w:val="16"/>
              </w:rPr>
              <w:t>exécution</w:t>
            </w:r>
          </w:p>
        </w:tc>
        <w:tc>
          <w:tcPr>
            <w:tcW w:w="900" w:type="pct"/>
            <w:tcBorders>
              <w:top w:val="single" w:sz="4" w:space="0" w:color="auto"/>
            </w:tcBorders>
            <w:shd w:val="clear" w:color="auto" w:fill="auto"/>
            <w:vAlign w:val="center"/>
          </w:tcPr>
          <w:p w:rsidR="00C82EE5" w:rsidRPr="002D02F3" w:rsidRDefault="00C82EE5" w:rsidP="00896F15">
            <w:pPr>
              <w:keepNext/>
              <w:keepLines/>
              <w:rPr>
                <w:rFonts w:cs="Arial"/>
                <w:b/>
                <w:bCs/>
                <w:sz w:val="16"/>
                <w:szCs w:val="16"/>
              </w:rPr>
            </w:pPr>
            <w:r w:rsidRPr="002D02F3">
              <w:rPr>
                <w:b/>
                <w:sz w:val="16"/>
              </w:rPr>
              <w:t>Niveaux de référence</w:t>
            </w:r>
          </w:p>
        </w:tc>
        <w:tc>
          <w:tcPr>
            <w:tcW w:w="688" w:type="pct"/>
            <w:tcBorders>
              <w:top w:val="single" w:sz="4" w:space="0" w:color="auto"/>
            </w:tcBorders>
            <w:shd w:val="clear" w:color="auto" w:fill="auto"/>
            <w:tcMar>
              <w:top w:w="110" w:type="dxa"/>
            </w:tcMar>
            <w:vAlign w:val="center"/>
          </w:tcPr>
          <w:p w:rsidR="00C82EE5" w:rsidRPr="002D02F3" w:rsidRDefault="00C82EE5" w:rsidP="00896F15">
            <w:pPr>
              <w:keepNext/>
              <w:keepLines/>
              <w:rPr>
                <w:rFonts w:cs="Arial"/>
                <w:b/>
                <w:sz w:val="16"/>
                <w:szCs w:val="16"/>
              </w:rPr>
            </w:pPr>
            <w:r w:rsidRPr="002D02F3">
              <w:rPr>
                <w:b/>
                <w:sz w:val="16"/>
              </w:rPr>
              <w:t>Objectifs visés</w:t>
            </w:r>
          </w:p>
        </w:tc>
        <w:tc>
          <w:tcPr>
            <w:tcW w:w="2023" w:type="pct"/>
            <w:gridSpan w:val="3"/>
            <w:tcBorders>
              <w:top w:val="single" w:sz="4" w:space="0" w:color="auto"/>
            </w:tcBorders>
            <w:shd w:val="clear" w:color="auto" w:fill="FFFFFF"/>
            <w:tcMar>
              <w:top w:w="110" w:type="dxa"/>
            </w:tcMar>
            <w:vAlign w:val="center"/>
          </w:tcPr>
          <w:p w:rsidR="00C82EE5" w:rsidRPr="002D02F3" w:rsidRDefault="00C82EE5" w:rsidP="00896F15">
            <w:pPr>
              <w:keepNext/>
              <w:keepLines/>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553" w:type="pct"/>
            <w:tcBorders>
              <w:top w:val="single" w:sz="4" w:space="0" w:color="auto"/>
            </w:tcBorders>
            <w:shd w:val="clear" w:color="auto" w:fill="auto"/>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56083E">
        <w:trPr>
          <w:cantSplit/>
        </w:trPr>
        <w:tc>
          <w:tcPr>
            <w:tcW w:w="836" w:type="pct"/>
            <w:tcBorders>
              <w:bottom w:val="single" w:sz="4" w:space="0" w:color="auto"/>
            </w:tcBorders>
            <w:shd w:val="clear" w:color="auto" w:fill="auto"/>
          </w:tcPr>
          <w:p w:rsidR="00C82EE5" w:rsidRPr="005C7CCE" w:rsidRDefault="00C82EE5" w:rsidP="001A5BF9">
            <w:pPr>
              <w:rPr>
                <w:rFonts w:cs="Arial"/>
                <w:color w:val="008000"/>
                <w:sz w:val="16"/>
                <w:szCs w:val="16"/>
              </w:rPr>
            </w:pPr>
            <w:r w:rsidRPr="00896F15">
              <w:rPr>
                <w:sz w:val="16"/>
                <w:szCs w:val="16"/>
              </w:rPr>
              <w:t>Nombre de programmes assortis d</w:t>
            </w:r>
            <w:r w:rsidR="00A20444" w:rsidRPr="00896F15">
              <w:rPr>
                <w:sz w:val="16"/>
                <w:szCs w:val="16"/>
              </w:rPr>
              <w:t>’</w:t>
            </w:r>
            <w:r w:rsidRPr="00896F15">
              <w:rPr>
                <w:sz w:val="16"/>
                <w:szCs w:val="16"/>
              </w:rPr>
              <w:t>indicateurs, de niveaux de référence et de cibles d</w:t>
            </w:r>
            <w:r w:rsidR="00A20444" w:rsidRPr="00896F15">
              <w:rPr>
                <w:sz w:val="16"/>
                <w:szCs w:val="16"/>
              </w:rPr>
              <w:t>’</w:t>
            </w:r>
            <w:r w:rsidRPr="00896F15">
              <w:rPr>
                <w:sz w:val="16"/>
                <w:szCs w:val="16"/>
              </w:rPr>
              <w:t xml:space="preserve">accessibilité physique </w:t>
            </w:r>
          </w:p>
        </w:tc>
        <w:tc>
          <w:tcPr>
            <w:tcW w:w="900" w:type="pct"/>
            <w:tcBorders>
              <w:bottom w:val="single" w:sz="4" w:space="0" w:color="auto"/>
            </w:tcBorders>
            <w:shd w:val="clear" w:color="auto" w:fill="auto"/>
          </w:tcPr>
          <w:p w:rsidR="00D42474" w:rsidRDefault="00C82EE5" w:rsidP="001A5BF9">
            <w:pPr>
              <w:rPr>
                <w:color w:val="002060"/>
                <w:sz w:val="16"/>
                <w:szCs w:val="16"/>
              </w:rPr>
            </w:pPr>
            <w:r w:rsidRPr="005C7CCE">
              <w:rPr>
                <w:i/>
                <w:color w:val="002060"/>
                <w:sz w:val="16"/>
                <w:szCs w:val="16"/>
              </w:rPr>
              <w:t>Niveau de référence actualisé fin 2011 :</w:t>
            </w:r>
            <w:r w:rsidRPr="005C7CCE">
              <w:rPr>
                <w:color w:val="002060"/>
                <w:sz w:val="16"/>
                <w:szCs w:val="16"/>
              </w:rPr>
              <w:t xml:space="preserve"> </w:t>
            </w:r>
            <w:r w:rsidR="00896F15">
              <w:rPr>
                <w:color w:val="002060"/>
                <w:sz w:val="16"/>
                <w:szCs w:val="16"/>
              </w:rPr>
              <w:t>a</w:t>
            </w:r>
            <w:r w:rsidRPr="005C7CCE">
              <w:rPr>
                <w:color w:val="002060"/>
                <w:sz w:val="16"/>
                <w:szCs w:val="16"/>
              </w:rPr>
              <w:t>u moins un programme par an pour l</w:t>
            </w:r>
            <w:r w:rsidR="00A20444" w:rsidRPr="005C7CCE">
              <w:rPr>
                <w:color w:val="002060"/>
                <w:sz w:val="16"/>
                <w:szCs w:val="16"/>
              </w:rPr>
              <w:t>’</w:t>
            </w:r>
            <w:r w:rsidRPr="005C7CCE">
              <w:rPr>
                <w:color w:val="002060"/>
                <w:sz w:val="16"/>
                <w:szCs w:val="16"/>
              </w:rPr>
              <w:t>exercice biennal</w:t>
            </w:r>
          </w:p>
          <w:p w:rsidR="00D42474" w:rsidRDefault="00D42474" w:rsidP="001A5BF9">
            <w:pPr>
              <w:rPr>
                <w:rFonts w:cs="Arial"/>
                <w:i/>
                <w:sz w:val="16"/>
                <w:szCs w:val="16"/>
              </w:rPr>
            </w:pPr>
          </w:p>
          <w:p w:rsidR="00C82EE5" w:rsidRPr="005C7CCE" w:rsidRDefault="00C82EE5" w:rsidP="001A5BF9">
            <w:pPr>
              <w:rPr>
                <w:rFonts w:cs="Arial"/>
                <w:sz w:val="16"/>
                <w:szCs w:val="16"/>
              </w:rPr>
            </w:pPr>
            <w:r w:rsidRPr="005C7CCE">
              <w:rPr>
                <w:i/>
                <w:sz w:val="16"/>
                <w:szCs w:val="16"/>
              </w:rPr>
              <w:t xml:space="preserve">Niveau de référence initial </w:t>
            </w:r>
            <w:r w:rsidR="00667FB3">
              <w:rPr>
                <w:i/>
                <w:sz w:val="16"/>
                <w:szCs w:val="16"/>
              </w:rPr>
              <w:t>programme et budget</w:t>
            </w:r>
            <w:r w:rsidRPr="005C7CCE">
              <w:rPr>
                <w:i/>
                <w:sz w:val="16"/>
                <w:szCs w:val="16"/>
              </w:rPr>
              <w:t> 2012</w:t>
            </w:r>
            <w:r w:rsidR="002D6F2A" w:rsidRPr="005C7CCE">
              <w:rPr>
                <w:i/>
                <w:sz w:val="16"/>
                <w:szCs w:val="16"/>
              </w:rPr>
              <w:noBreakHyphen/>
            </w:r>
            <w:r w:rsidRPr="005C7CCE">
              <w:rPr>
                <w:i/>
                <w:sz w:val="16"/>
                <w:szCs w:val="16"/>
              </w:rPr>
              <w:t>2013 </w:t>
            </w:r>
            <w:proofErr w:type="gramStart"/>
            <w:r w:rsidRPr="005C7CCE">
              <w:rPr>
                <w:i/>
                <w:sz w:val="16"/>
                <w:szCs w:val="16"/>
              </w:rPr>
              <w:t>:</w:t>
            </w:r>
            <w:proofErr w:type="gramEnd"/>
            <w:r w:rsidR="00896F15">
              <w:rPr>
                <w:sz w:val="16"/>
                <w:szCs w:val="16"/>
              </w:rPr>
              <w:br/>
              <w:t>à</w:t>
            </w:r>
            <w:r w:rsidRPr="005C7CCE">
              <w:rPr>
                <w:sz w:val="16"/>
                <w:szCs w:val="16"/>
              </w:rPr>
              <w:t> déterminer fin 2011</w:t>
            </w:r>
          </w:p>
        </w:tc>
        <w:tc>
          <w:tcPr>
            <w:tcW w:w="688" w:type="pct"/>
            <w:tcBorders>
              <w:bottom w:val="single" w:sz="4" w:space="0" w:color="auto"/>
            </w:tcBorders>
            <w:shd w:val="clear" w:color="auto" w:fill="auto"/>
            <w:tcMar>
              <w:top w:w="110" w:type="dxa"/>
            </w:tcMar>
          </w:tcPr>
          <w:p w:rsidR="00C82EE5" w:rsidRPr="005C7CCE" w:rsidRDefault="00C82EE5" w:rsidP="001A5BF9">
            <w:pPr>
              <w:rPr>
                <w:rFonts w:cs="Arial"/>
                <w:sz w:val="16"/>
                <w:szCs w:val="16"/>
              </w:rPr>
            </w:pPr>
            <w:r w:rsidRPr="005C7CCE">
              <w:rPr>
                <w:sz w:val="16"/>
                <w:szCs w:val="16"/>
              </w:rPr>
              <w:t>Tous les programmes connexes</w:t>
            </w:r>
          </w:p>
        </w:tc>
        <w:tc>
          <w:tcPr>
            <w:tcW w:w="2023" w:type="pct"/>
            <w:gridSpan w:val="3"/>
            <w:tcBorders>
              <w:bottom w:val="single" w:sz="4" w:space="0" w:color="auto"/>
            </w:tcBorders>
            <w:shd w:val="clear" w:color="auto" w:fill="FFFFFF"/>
            <w:tcMar>
              <w:top w:w="110" w:type="dxa"/>
            </w:tcMar>
          </w:tcPr>
          <w:p w:rsidR="00D42474" w:rsidRDefault="00C82EE5" w:rsidP="001A5BF9">
            <w:pPr>
              <w:rPr>
                <w:rFonts w:cs="Arial"/>
                <w:sz w:val="16"/>
                <w:szCs w:val="16"/>
                <w:lang w:bidi="th-TH"/>
              </w:rPr>
            </w:pPr>
            <w:r w:rsidRPr="005C7CCE">
              <w:rPr>
                <w:sz w:val="16"/>
                <w:szCs w:val="16"/>
              </w:rPr>
              <w:t>Trois sur six</w:t>
            </w:r>
            <w:r w:rsidR="0010442A" w:rsidRPr="005C7CCE">
              <w:rPr>
                <w:sz w:val="16"/>
                <w:szCs w:val="16"/>
              </w:rPr>
              <w:t> </w:t>
            </w:r>
            <w:r w:rsidRPr="005C7CCE">
              <w:rPr>
                <w:sz w:val="16"/>
                <w:szCs w:val="16"/>
              </w:rPr>
              <w:t>des programmes connexes :</w:t>
            </w:r>
          </w:p>
          <w:p w:rsidR="00D42474" w:rsidRDefault="00D42474" w:rsidP="001A5BF9">
            <w:pPr>
              <w:rPr>
                <w:rFonts w:cs="Arial"/>
                <w:sz w:val="16"/>
                <w:szCs w:val="16"/>
                <w:lang w:bidi="th-TH"/>
              </w:rPr>
            </w:pPr>
          </w:p>
          <w:p w:rsidR="00D42474" w:rsidRDefault="00C82EE5" w:rsidP="001A5BF9">
            <w:pPr>
              <w:rPr>
                <w:rFonts w:cs="Arial"/>
                <w:sz w:val="16"/>
                <w:szCs w:val="16"/>
                <w:lang w:bidi="th-TH"/>
              </w:rPr>
            </w:pPr>
            <w:r w:rsidRPr="005C7CCE">
              <w:rPr>
                <w:sz w:val="16"/>
                <w:szCs w:val="16"/>
                <w:u w:val="single"/>
              </w:rPr>
              <w:t>Programme 24</w:t>
            </w:r>
            <w:r w:rsidRPr="005C7CCE">
              <w:rPr>
                <w:sz w:val="16"/>
                <w:szCs w:val="16"/>
              </w:rPr>
              <w:t> :</w:t>
            </w:r>
            <w:r w:rsidR="004F3E42" w:rsidRPr="005C7CCE">
              <w:rPr>
                <w:sz w:val="16"/>
                <w:szCs w:val="16"/>
              </w:rPr>
              <w:t xml:space="preserve"> </w:t>
            </w:r>
            <w:r w:rsidRPr="005C7CCE">
              <w:rPr>
                <w:sz w:val="16"/>
                <w:szCs w:val="16"/>
              </w:rPr>
              <w:t>suite à un audit physique des bâtiments existants (2012), les mesures suivantes ont été mises en œuvre en 2013 :</w:t>
            </w:r>
          </w:p>
          <w:p w:rsidR="00D42474" w:rsidRDefault="00D42474" w:rsidP="001A5BF9">
            <w:pPr>
              <w:rPr>
                <w:rFonts w:cs="Arial"/>
                <w:sz w:val="16"/>
                <w:szCs w:val="16"/>
                <w:lang w:bidi="th-TH"/>
              </w:rPr>
            </w:pPr>
          </w:p>
          <w:p w:rsidR="00D42474" w:rsidRDefault="00C82EE5" w:rsidP="001A5BF9">
            <w:pPr>
              <w:ind w:left="175"/>
              <w:rPr>
                <w:rFonts w:cs="Arial"/>
                <w:sz w:val="16"/>
                <w:szCs w:val="16"/>
                <w:lang w:bidi="th-TH"/>
              </w:rPr>
            </w:pPr>
            <w:r w:rsidRPr="005C7CCE">
              <w:rPr>
                <w:sz w:val="16"/>
                <w:szCs w:val="16"/>
              </w:rPr>
              <w:t>i) des bandes antidérapantes ont été fixées sur les marches des escaliers dans tous les bâtiments et ont été renforcées dans le bâtiment du PCT pour une meilleure visibilité</w:t>
            </w:r>
          </w:p>
          <w:p w:rsidR="00D42474" w:rsidRDefault="00D42474" w:rsidP="001A5BF9">
            <w:pPr>
              <w:ind w:left="175"/>
              <w:rPr>
                <w:rFonts w:cs="Arial"/>
                <w:sz w:val="16"/>
                <w:szCs w:val="16"/>
                <w:lang w:bidi="th-TH"/>
              </w:rPr>
            </w:pPr>
          </w:p>
          <w:p w:rsidR="00D42474" w:rsidRDefault="00C82EE5" w:rsidP="001A5BF9">
            <w:pPr>
              <w:ind w:left="175"/>
              <w:rPr>
                <w:sz w:val="16"/>
                <w:szCs w:val="16"/>
              </w:rPr>
            </w:pPr>
            <w:r w:rsidRPr="005C7CCE">
              <w:rPr>
                <w:sz w:val="16"/>
                <w:szCs w:val="16"/>
              </w:rPr>
              <w:t>ii) des rampes pour l</w:t>
            </w:r>
            <w:r w:rsidR="00A20444" w:rsidRPr="005C7CCE">
              <w:rPr>
                <w:sz w:val="16"/>
                <w:szCs w:val="16"/>
              </w:rPr>
              <w:t>’</w:t>
            </w:r>
            <w:r w:rsidRPr="005C7CCE">
              <w:rPr>
                <w:sz w:val="16"/>
                <w:szCs w:val="16"/>
              </w:rPr>
              <w:t>accès des fauteuils roulants jusqu</w:t>
            </w:r>
            <w:r w:rsidR="00A20444" w:rsidRPr="005C7CCE">
              <w:rPr>
                <w:sz w:val="16"/>
                <w:szCs w:val="16"/>
              </w:rPr>
              <w:t>’</w:t>
            </w:r>
            <w:r w:rsidRPr="005C7CCE">
              <w:rPr>
                <w:sz w:val="16"/>
                <w:szCs w:val="16"/>
              </w:rPr>
              <w:t>aux cabines d</w:t>
            </w:r>
            <w:r w:rsidR="00A20444" w:rsidRPr="005C7CCE">
              <w:rPr>
                <w:sz w:val="16"/>
                <w:szCs w:val="16"/>
              </w:rPr>
              <w:t>’</w:t>
            </w:r>
            <w:r w:rsidRPr="005C7CCE">
              <w:rPr>
                <w:sz w:val="16"/>
                <w:szCs w:val="16"/>
              </w:rPr>
              <w:t>interprétation dans la grande salle de réunion du rez</w:t>
            </w:r>
            <w:r w:rsidR="002D6F2A" w:rsidRPr="005C7CCE">
              <w:rPr>
                <w:sz w:val="16"/>
                <w:szCs w:val="16"/>
              </w:rPr>
              <w:noBreakHyphen/>
            </w:r>
            <w:r w:rsidRPr="005C7CCE">
              <w:rPr>
                <w:sz w:val="16"/>
                <w:szCs w:val="16"/>
              </w:rPr>
              <w:t>de</w:t>
            </w:r>
            <w:r w:rsidR="002D6F2A" w:rsidRPr="005C7CCE">
              <w:rPr>
                <w:sz w:val="16"/>
                <w:szCs w:val="16"/>
              </w:rPr>
              <w:noBreakHyphen/>
            </w:r>
            <w:r w:rsidRPr="005C7CCE">
              <w:rPr>
                <w:sz w:val="16"/>
                <w:szCs w:val="16"/>
              </w:rPr>
              <w:t>chaussée du nouveau bâtiment</w:t>
            </w:r>
          </w:p>
          <w:p w:rsidR="00D42474" w:rsidRDefault="00D42474" w:rsidP="001A5BF9">
            <w:pPr>
              <w:rPr>
                <w:rFonts w:cs="Arial"/>
                <w:sz w:val="16"/>
                <w:szCs w:val="16"/>
                <w:lang w:bidi="th-TH"/>
              </w:rPr>
            </w:pPr>
          </w:p>
          <w:p w:rsidR="00D42474" w:rsidRDefault="00C82EE5" w:rsidP="001A5BF9">
            <w:pPr>
              <w:rPr>
                <w:rFonts w:cs="Arial"/>
                <w:sz w:val="16"/>
                <w:szCs w:val="16"/>
                <w:lang w:bidi="th-TH"/>
              </w:rPr>
            </w:pPr>
            <w:r w:rsidRPr="005C7CCE">
              <w:rPr>
                <w:sz w:val="16"/>
                <w:szCs w:val="16"/>
                <w:u w:val="single"/>
              </w:rPr>
              <w:t>Programme 29</w:t>
            </w:r>
            <w:r w:rsidRPr="005C7CCE">
              <w:rPr>
                <w:sz w:val="16"/>
                <w:szCs w:val="16"/>
              </w:rPr>
              <w:t> : suite à un audit physique sur l</w:t>
            </w:r>
            <w:r w:rsidR="00A20444" w:rsidRPr="005C7CCE">
              <w:rPr>
                <w:sz w:val="16"/>
                <w:szCs w:val="16"/>
              </w:rPr>
              <w:t>’</w:t>
            </w:r>
            <w:r w:rsidRPr="005C7CCE">
              <w:rPr>
                <w:sz w:val="16"/>
                <w:szCs w:val="16"/>
              </w:rPr>
              <w:t>accessibilité du projet de nouvelle salle de conférence, les mesures suivantes ont été mises en œuvre en 2013 :</w:t>
            </w:r>
          </w:p>
          <w:p w:rsidR="00D42474" w:rsidRDefault="00D42474" w:rsidP="001A5BF9">
            <w:pPr>
              <w:rPr>
                <w:rFonts w:cs="Arial"/>
                <w:sz w:val="16"/>
                <w:szCs w:val="16"/>
                <w:lang w:bidi="th-TH"/>
              </w:rPr>
            </w:pPr>
          </w:p>
          <w:p w:rsidR="00D42474" w:rsidRDefault="00C82EE5" w:rsidP="001A5BF9">
            <w:pPr>
              <w:ind w:left="175"/>
              <w:rPr>
                <w:rFonts w:cs="Arial"/>
                <w:sz w:val="16"/>
                <w:szCs w:val="16"/>
                <w:lang w:bidi="th-TH"/>
              </w:rPr>
            </w:pPr>
            <w:r w:rsidRPr="005C7CCE">
              <w:rPr>
                <w:sz w:val="16"/>
                <w:szCs w:val="16"/>
              </w:rPr>
              <w:t>i) rampes pour l</w:t>
            </w:r>
            <w:r w:rsidR="00A20444" w:rsidRPr="005C7CCE">
              <w:rPr>
                <w:sz w:val="16"/>
                <w:szCs w:val="16"/>
              </w:rPr>
              <w:t>’</w:t>
            </w:r>
            <w:r w:rsidRPr="005C7CCE">
              <w:rPr>
                <w:sz w:val="16"/>
                <w:szCs w:val="16"/>
              </w:rPr>
              <w:t>accès des fauteuils roulants jusqu</w:t>
            </w:r>
            <w:r w:rsidR="00A20444" w:rsidRPr="005C7CCE">
              <w:rPr>
                <w:sz w:val="16"/>
                <w:szCs w:val="16"/>
              </w:rPr>
              <w:t>’</w:t>
            </w:r>
            <w:r w:rsidRPr="005C7CCE">
              <w:rPr>
                <w:sz w:val="16"/>
                <w:szCs w:val="16"/>
              </w:rPr>
              <w:t>aux cabines d</w:t>
            </w:r>
            <w:r w:rsidR="00A20444" w:rsidRPr="005C7CCE">
              <w:rPr>
                <w:sz w:val="16"/>
                <w:szCs w:val="16"/>
              </w:rPr>
              <w:t>’</w:t>
            </w:r>
            <w:r w:rsidRPr="005C7CCE">
              <w:rPr>
                <w:sz w:val="16"/>
                <w:szCs w:val="16"/>
              </w:rPr>
              <w:t>interprétation dans les nouvelles salles de réunion de la mezzanine du bâtiment AB</w:t>
            </w:r>
          </w:p>
          <w:p w:rsidR="00D42474" w:rsidRDefault="00D42474" w:rsidP="001A5BF9">
            <w:pPr>
              <w:ind w:left="175"/>
              <w:rPr>
                <w:rFonts w:cs="Arial"/>
                <w:sz w:val="16"/>
                <w:szCs w:val="16"/>
                <w:lang w:bidi="th-TH"/>
              </w:rPr>
            </w:pPr>
          </w:p>
          <w:p w:rsidR="00D42474" w:rsidRDefault="00C82EE5" w:rsidP="001A5BF9">
            <w:pPr>
              <w:ind w:left="175"/>
              <w:rPr>
                <w:rFonts w:cs="Arial"/>
                <w:sz w:val="16"/>
                <w:szCs w:val="16"/>
                <w:lang w:bidi="th-TH"/>
              </w:rPr>
            </w:pPr>
            <w:r w:rsidRPr="005C7CCE">
              <w:rPr>
                <w:sz w:val="16"/>
                <w:szCs w:val="16"/>
              </w:rPr>
              <w:t>ii) examen des itinéraires à emprunter en cas d</w:t>
            </w:r>
            <w:r w:rsidR="00A20444" w:rsidRPr="005C7CCE">
              <w:rPr>
                <w:sz w:val="16"/>
                <w:szCs w:val="16"/>
              </w:rPr>
              <w:t>’</w:t>
            </w:r>
            <w:r w:rsidRPr="005C7CCE">
              <w:rPr>
                <w:sz w:val="16"/>
                <w:szCs w:val="16"/>
              </w:rPr>
              <w:t>évacuation de la nouvelle salle et des installations adjacentes, et ajout de rampes d</w:t>
            </w:r>
            <w:r w:rsidR="00A20444" w:rsidRPr="005C7CCE">
              <w:rPr>
                <w:sz w:val="16"/>
                <w:szCs w:val="16"/>
              </w:rPr>
              <w:t>’</w:t>
            </w:r>
            <w:r w:rsidRPr="005C7CCE">
              <w:rPr>
                <w:sz w:val="16"/>
                <w:szCs w:val="16"/>
              </w:rPr>
              <w:t>évacuation pour fauteuils roulants</w:t>
            </w:r>
          </w:p>
          <w:p w:rsidR="00D42474" w:rsidRDefault="00D42474" w:rsidP="001A5BF9">
            <w:pPr>
              <w:ind w:left="175"/>
              <w:rPr>
                <w:rFonts w:cs="Arial"/>
                <w:sz w:val="16"/>
                <w:szCs w:val="16"/>
                <w:lang w:bidi="th-TH"/>
              </w:rPr>
            </w:pPr>
          </w:p>
          <w:p w:rsidR="00D42474" w:rsidRDefault="00C82EE5" w:rsidP="001A5BF9">
            <w:pPr>
              <w:ind w:left="175"/>
              <w:rPr>
                <w:rFonts w:cs="Arial"/>
                <w:sz w:val="16"/>
                <w:szCs w:val="16"/>
                <w:lang w:bidi="th-TH"/>
              </w:rPr>
            </w:pPr>
            <w:r w:rsidRPr="005C7CCE">
              <w:rPr>
                <w:sz w:val="16"/>
                <w:szCs w:val="16"/>
              </w:rPr>
              <w:t>iii) décision de créer une sortie supplémentaire depuis l</w:t>
            </w:r>
            <w:r w:rsidR="00A20444" w:rsidRPr="005C7CCE">
              <w:rPr>
                <w:sz w:val="16"/>
                <w:szCs w:val="16"/>
              </w:rPr>
              <w:t>’</w:t>
            </w:r>
            <w:r w:rsidRPr="005C7CCE">
              <w:rPr>
                <w:sz w:val="16"/>
                <w:szCs w:val="16"/>
              </w:rPr>
              <w:t>intérieur de la nouvelle salle directement à l</w:t>
            </w:r>
            <w:r w:rsidR="00A20444" w:rsidRPr="005C7CCE">
              <w:rPr>
                <w:sz w:val="16"/>
                <w:szCs w:val="16"/>
              </w:rPr>
              <w:t>’</w:t>
            </w:r>
            <w:r w:rsidRPr="005C7CCE">
              <w:rPr>
                <w:sz w:val="16"/>
                <w:szCs w:val="16"/>
              </w:rPr>
              <w:t>extérieur (mise en œuvre en 2014)</w:t>
            </w:r>
          </w:p>
          <w:p w:rsidR="00D42474" w:rsidRDefault="00D42474" w:rsidP="001A5BF9">
            <w:pPr>
              <w:rPr>
                <w:rFonts w:cs="Arial"/>
                <w:sz w:val="16"/>
                <w:szCs w:val="16"/>
                <w:lang w:bidi="th-TH"/>
              </w:rPr>
            </w:pPr>
          </w:p>
          <w:p w:rsidR="00D42474" w:rsidRDefault="00C82EE5" w:rsidP="001A5BF9">
            <w:pPr>
              <w:rPr>
                <w:rFonts w:cs="Arial"/>
                <w:sz w:val="16"/>
                <w:szCs w:val="16"/>
                <w:lang w:bidi="th-TH"/>
              </w:rPr>
            </w:pPr>
            <w:r w:rsidRPr="005C7CCE">
              <w:rPr>
                <w:sz w:val="16"/>
                <w:szCs w:val="16"/>
                <w:u w:val="single"/>
              </w:rPr>
              <w:t>Programme 28</w:t>
            </w:r>
            <w:r w:rsidRPr="005C7CCE">
              <w:rPr>
                <w:sz w:val="16"/>
                <w:szCs w:val="16"/>
              </w:rPr>
              <w:t> : les mesures ci</w:t>
            </w:r>
            <w:r w:rsidR="002D6F2A" w:rsidRPr="005C7CCE">
              <w:rPr>
                <w:sz w:val="16"/>
                <w:szCs w:val="16"/>
              </w:rPr>
              <w:noBreakHyphen/>
            </w:r>
            <w:r w:rsidRPr="005C7CCE">
              <w:rPr>
                <w:sz w:val="16"/>
                <w:szCs w:val="16"/>
              </w:rPr>
              <w:t xml:space="preserve">dessus constituent des améliorations en termes de sécurité. </w:t>
            </w:r>
            <w:r w:rsidR="0010442A" w:rsidRPr="005C7CCE">
              <w:rPr>
                <w:sz w:val="16"/>
                <w:szCs w:val="16"/>
              </w:rPr>
              <w:t xml:space="preserve"> </w:t>
            </w:r>
            <w:r w:rsidRPr="005C7CCE">
              <w:rPr>
                <w:sz w:val="16"/>
                <w:szCs w:val="16"/>
              </w:rPr>
              <w:t>En outre, des lecteurs de badge dans plusieurs zones de plusieurs bâtiments (suite à des travaux de construction ou rénovation) ont été installés ou déplacés afin d</w:t>
            </w:r>
            <w:r w:rsidR="00A20444" w:rsidRPr="005C7CCE">
              <w:rPr>
                <w:sz w:val="16"/>
                <w:szCs w:val="16"/>
              </w:rPr>
              <w:t>’</w:t>
            </w:r>
            <w:r w:rsidRPr="005C7CCE">
              <w:rPr>
                <w:sz w:val="16"/>
                <w:szCs w:val="16"/>
              </w:rPr>
              <w:t>être situés à une hauteur appropriée pour une personne en fauteuil roulant.</w:t>
            </w:r>
          </w:p>
          <w:p w:rsidR="00C82EE5" w:rsidRPr="005C7CCE" w:rsidRDefault="00C82EE5" w:rsidP="001A5BF9">
            <w:pPr>
              <w:rPr>
                <w:rFonts w:cs="Arial"/>
                <w:sz w:val="16"/>
                <w:szCs w:val="16"/>
              </w:rPr>
            </w:pPr>
          </w:p>
        </w:tc>
        <w:tc>
          <w:tcPr>
            <w:tcW w:w="553" w:type="pct"/>
            <w:tcBorders>
              <w:bottom w:val="single" w:sz="4" w:space="0" w:color="auto"/>
            </w:tcBorders>
            <w:shd w:val="clear" w:color="auto" w:fill="auto"/>
            <w:tcMar>
              <w:top w:w="110" w:type="dxa"/>
            </w:tcMar>
          </w:tcPr>
          <w:p w:rsidR="00C82EE5" w:rsidRPr="005C7CCE" w:rsidRDefault="0015421B" w:rsidP="001A5BF9">
            <w:pPr>
              <w:keepNext/>
              <w:keepLines/>
              <w:jc w:val="center"/>
              <w:rPr>
                <w:rFonts w:cs="Arial"/>
                <w:color w:val="008000"/>
                <w:sz w:val="16"/>
                <w:szCs w:val="16"/>
              </w:rPr>
            </w:pPr>
            <w:r w:rsidRPr="0015421B">
              <w:rPr>
                <w:color w:val="E36C0A"/>
                <w:sz w:val="16"/>
                <w:szCs w:val="16"/>
              </w:rPr>
              <w:t>Objectif partiellement atteint</w:t>
            </w:r>
          </w:p>
        </w:tc>
      </w:tr>
    </w:tbl>
    <w:p w:rsidR="00D42474" w:rsidRDefault="00D42474" w:rsidP="001A5BF9"/>
    <w:p w:rsidR="00D42474" w:rsidRDefault="00D42474" w:rsidP="001A5BF9">
      <w:pPr>
        <w:rPr>
          <w:rFonts w:cs="Arial"/>
        </w:rPr>
      </w:pPr>
    </w:p>
    <w:p w:rsidR="00D42474" w:rsidRDefault="006D796D" w:rsidP="001A5BF9">
      <w:pPr>
        <w:rPr>
          <w:rFonts w:cs="Arial"/>
          <w:szCs w:val="22"/>
        </w:rPr>
      </w:pPr>
      <w:r w:rsidRPr="005C7CCE">
        <w:rPr>
          <w:color w:val="008000"/>
        </w:rPr>
        <w:br w:type="page"/>
      </w:r>
      <w:r w:rsidR="00C82EE5" w:rsidRPr="00866763">
        <w:rPr>
          <w:sz w:val="22"/>
        </w:rPr>
        <w:t>BUDGET ET DÉPENSES EFFECTIVES</w:t>
      </w:r>
    </w:p>
    <w:p w:rsidR="00D42474" w:rsidRDefault="00D42474" w:rsidP="001A5BF9">
      <w:pPr>
        <w:rPr>
          <w:rFonts w:cs="Arial"/>
          <w:szCs w:val="22"/>
        </w:rPr>
      </w:pPr>
    </w:p>
    <w:p w:rsidR="00D42474" w:rsidRDefault="00C82EE5" w:rsidP="001A5BF9">
      <w:pPr>
        <w:pStyle w:val="NormalWeb"/>
        <w:spacing w:before="0" w:beforeAutospacing="0" w:after="0" w:afterAutospacing="0"/>
        <w:jc w:val="center"/>
        <w:rPr>
          <w:sz w:val="20"/>
        </w:rPr>
      </w:pPr>
      <w:r w:rsidRPr="002D02F3">
        <w:rPr>
          <w:sz w:val="20"/>
        </w:rPr>
        <w:t>Budget et dépenses effectives (par résultat)</w:t>
      </w:r>
    </w:p>
    <w:p w:rsidR="00D42474" w:rsidRDefault="00C82EE5"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C82EE5" w:rsidRPr="002D02F3" w:rsidRDefault="00C82EE5" w:rsidP="001A5BF9">
      <w:pPr>
        <w:rPr>
          <w:rFonts w:cs="Arial"/>
          <w:szCs w:val="22"/>
        </w:rPr>
      </w:pPr>
    </w:p>
    <w:tbl>
      <w:tblPr>
        <w:tblW w:w="0" w:type="auto"/>
        <w:tblInd w:w="103" w:type="dxa"/>
        <w:tblLayout w:type="fixed"/>
        <w:tblLook w:val="04A0" w:firstRow="1" w:lastRow="0" w:firstColumn="1" w:lastColumn="0" w:noHBand="0" w:noVBand="1"/>
      </w:tblPr>
      <w:tblGrid>
        <w:gridCol w:w="592"/>
        <w:gridCol w:w="4658"/>
        <w:gridCol w:w="1370"/>
        <w:gridCol w:w="1370"/>
        <w:gridCol w:w="1371"/>
      </w:tblGrid>
      <w:tr w:rsidR="00C82EE5" w:rsidRPr="002D02F3" w:rsidTr="007409F8">
        <w:tc>
          <w:tcPr>
            <w:tcW w:w="525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center"/>
              <w:rPr>
                <w:rFonts w:cs="Arial"/>
                <w:bCs/>
                <w:sz w:val="16"/>
                <w:szCs w:val="16"/>
              </w:rPr>
            </w:pPr>
            <w:r w:rsidRPr="002D02F3">
              <w:rPr>
                <w:sz w:val="16"/>
              </w:rPr>
              <w:t>Numéro et description du résultat escompté</w:t>
            </w:r>
          </w:p>
        </w:tc>
        <w:tc>
          <w:tcPr>
            <w:tcW w:w="1370"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370"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371"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C82EE5" w:rsidRPr="002D02F3" w:rsidTr="007409F8">
        <w:tc>
          <w:tcPr>
            <w:tcW w:w="592"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VIII.3</w:t>
            </w:r>
            <w:proofErr w:type="spellEnd"/>
          </w:p>
        </w:tc>
        <w:tc>
          <w:tcPr>
            <w:tcW w:w="4658"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L</w:t>
            </w:r>
            <w:r w:rsidR="00A20444" w:rsidRPr="002D02F3">
              <w:rPr>
                <w:sz w:val="16"/>
              </w:rPr>
              <w:t>’</w:t>
            </w:r>
            <w:r w:rsidRPr="002D02F3">
              <w:rPr>
                <w:sz w:val="16"/>
              </w:rPr>
              <w:t>OMPI collabore efficacement avec d</w:t>
            </w:r>
            <w:r w:rsidR="00A20444" w:rsidRPr="002D02F3">
              <w:rPr>
                <w:sz w:val="16"/>
              </w:rPr>
              <w:t>’</w:t>
            </w:r>
            <w:r w:rsidRPr="002D02F3">
              <w:rPr>
                <w:sz w:val="16"/>
              </w:rPr>
              <w:t>autres processus et instances de négociation de l</w:t>
            </w:r>
            <w:r w:rsidR="00A20444" w:rsidRPr="002D02F3">
              <w:rPr>
                <w:sz w:val="16"/>
              </w:rPr>
              <w:t>’</w:t>
            </w:r>
            <w:r w:rsidRPr="002D02F3">
              <w:rPr>
                <w:sz w:val="16"/>
              </w:rPr>
              <w:t>ONU et d</w:t>
            </w:r>
            <w:r w:rsidR="00A20444" w:rsidRPr="002D02F3">
              <w:rPr>
                <w:sz w:val="16"/>
              </w:rPr>
              <w:t>’</w:t>
            </w:r>
            <w:r w:rsidRPr="002D02F3">
              <w:rPr>
                <w:sz w:val="16"/>
              </w:rPr>
              <w:t>autres organisations intergouvernementales</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190 </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169 </w:t>
            </w:r>
          </w:p>
        </w:tc>
        <w:tc>
          <w:tcPr>
            <w:tcW w:w="1371"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137 </w:t>
            </w:r>
          </w:p>
        </w:tc>
      </w:tr>
      <w:tr w:rsidR="00C82EE5" w:rsidRPr="002D02F3" w:rsidTr="007409F8">
        <w:tc>
          <w:tcPr>
            <w:tcW w:w="592"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IX.1</w:t>
            </w:r>
            <w:proofErr w:type="spellEnd"/>
          </w:p>
        </w:tc>
        <w:tc>
          <w:tcPr>
            <w:tcW w:w="4658"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Services d</w:t>
            </w:r>
            <w:r w:rsidR="00A20444" w:rsidRPr="002D02F3">
              <w:rPr>
                <w:sz w:val="16"/>
              </w:rPr>
              <w:t>’</w:t>
            </w:r>
            <w:r w:rsidRPr="002D02F3">
              <w:rPr>
                <w:sz w:val="16"/>
              </w:rPr>
              <w:t>appui efficaces, efficients, de qualité et tournés vers la clientèle, à l</w:t>
            </w:r>
            <w:r w:rsidR="00A20444" w:rsidRPr="002D02F3">
              <w:rPr>
                <w:sz w:val="16"/>
              </w:rPr>
              <w:t>’</w:t>
            </w:r>
            <w:r w:rsidRPr="002D02F3">
              <w:rPr>
                <w:sz w:val="16"/>
              </w:rPr>
              <w:t>intention à la fois des clients interne</w:t>
            </w:r>
            <w:r w:rsidR="00B93C56" w:rsidRPr="002D02F3">
              <w:rPr>
                <w:sz w:val="16"/>
              </w:rPr>
              <w:t>s</w:t>
            </w:r>
            <w:r w:rsidRPr="002D02F3">
              <w:rPr>
                <w:sz w:val="16"/>
              </w:rPr>
              <w:t xml:space="preserve"> et des parties prenantes externes (ressources humaines, informatique, conférences, service linguistique, achats, voyages, imprimerie et publications, gestion des locaux)</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44 747 </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39 036 </w:t>
            </w:r>
          </w:p>
        </w:tc>
        <w:tc>
          <w:tcPr>
            <w:tcW w:w="1371"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37 223 </w:t>
            </w:r>
          </w:p>
        </w:tc>
      </w:tr>
      <w:tr w:rsidR="00C82EE5" w:rsidRPr="002D02F3" w:rsidTr="007409F8">
        <w:tc>
          <w:tcPr>
            <w:tcW w:w="592"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IX.4</w:t>
            </w:r>
            <w:proofErr w:type="spellEnd"/>
          </w:p>
        </w:tc>
        <w:tc>
          <w:tcPr>
            <w:tcW w:w="4658"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Sûreté et sécurité des membres du personnel, des délégués, des visiteurs, des données et des biens de l</w:t>
            </w:r>
            <w:r w:rsidR="00A20444" w:rsidRPr="002D02F3">
              <w:rPr>
                <w:sz w:val="16"/>
              </w:rPr>
              <w:t>’</w:t>
            </w:r>
            <w:r w:rsidRPr="002D02F3">
              <w:rPr>
                <w:sz w:val="16"/>
              </w:rPr>
              <w:t>OMPI</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393 </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466 </w:t>
            </w:r>
          </w:p>
        </w:tc>
        <w:tc>
          <w:tcPr>
            <w:tcW w:w="1371"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466</w:t>
            </w:r>
          </w:p>
        </w:tc>
      </w:tr>
      <w:tr w:rsidR="00C82EE5" w:rsidRPr="002D02F3" w:rsidTr="007409F8">
        <w:tc>
          <w:tcPr>
            <w:tcW w:w="592"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IX.6</w:t>
            </w:r>
            <w:proofErr w:type="spellEnd"/>
          </w:p>
        </w:tc>
        <w:tc>
          <w:tcPr>
            <w:tcW w:w="4658"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Nouvelle salle de conférence et installations connexes pour les réunions des États membres</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202 </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233 </w:t>
            </w:r>
          </w:p>
        </w:tc>
        <w:tc>
          <w:tcPr>
            <w:tcW w:w="1371"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233</w:t>
            </w:r>
          </w:p>
        </w:tc>
      </w:tr>
      <w:tr w:rsidR="00C82EE5" w:rsidRPr="002D02F3" w:rsidTr="007409F8">
        <w:tc>
          <w:tcPr>
            <w:tcW w:w="592"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IX.9</w:t>
            </w:r>
            <w:proofErr w:type="spellEnd"/>
          </w:p>
        </w:tc>
        <w:tc>
          <w:tcPr>
            <w:tcW w:w="4658"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Réduction de l</w:t>
            </w:r>
            <w:r w:rsidR="00A20444" w:rsidRPr="002D02F3">
              <w:rPr>
                <w:sz w:val="16"/>
              </w:rPr>
              <w:t>’</w:t>
            </w:r>
            <w:r w:rsidRPr="002D02F3">
              <w:rPr>
                <w:sz w:val="16"/>
              </w:rPr>
              <w:t>impact environnemental des activités de l</w:t>
            </w:r>
            <w:r w:rsidR="00A20444" w:rsidRPr="002D02F3">
              <w:rPr>
                <w:sz w:val="16"/>
              </w:rPr>
              <w:t>’</w:t>
            </w:r>
            <w:r w:rsidRPr="002D02F3">
              <w:rPr>
                <w:sz w:val="16"/>
              </w:rPr>
              <w:t>OMPI</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299 </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298 </w:t>
            </w:r>
          </w:p>
        </w:tc>
        <w:tc>
          <w:tcPr>
            <w:tcW w:w="1371"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195 </w:t>
            </w:r>
          </w:p>
        </w:tc>
      </w:tr>
      <w:tr w:rsidR="00C82EE5" w:rsidRPr="002D02F3" w:rsidTr="007409F8">
        <w:tc>
          <w:tcPr>
            <w:tcW w:w="592" w:type="dxa"/>
            <w:tcBorders>
              <w:top w:val="nil"/>
              <w:left w:val="single" w:sz="4" w:space="0" w:color="auto"/>
              <w:bottom w:val="single" w:sz="4" w:space="0" w:color="auto"/>
              <w:right w:val="nil"/>
            </w:tcBorders>
            <w:shd w:val="clear" w:color="000000" w:fill="FFFFFF"/>
            <w:noWrap/>
          </w:tcPr>
          <w:p w:rsidR="00C82EE5" w:rsidRPr="002D02F3" w:rsidRDefault="00C82EE5" w:rsidP="001A5BF9">
            <w:pPr>
              <w:spacing w:before="120" w:after="120"/>
              <w:jc w:val="center"/>
              <w:rPr>
                <w:rFonts w:cs="Arial"/>
                <w:sz w:val="16"/>
                <w:szCs w:val="16"/>
              </w:rPr>
            </w:pPr>
            <w:proofErr w:type="spellStart"/>
            <w:r w:rsidRPr="002D02F3">
              <w:rPr>
                <w:sz w:val="16"/>
              </w:rPr>
              <w:t>IX.10</w:t>
            </w:r>
            <w:proofErr w:type="spellEnd"/>
          </w:p>
        </w:tc>
        <w:tc>
          <w:tcPr>
            <w:tcW w:w="4658" w:type="dxa"/>
            <w:tcBorders>
              <w:top w:val="nil"/>
              <w:left w:val="nil"/>
              <w:bottom w:val="single" w:sz="4" w:space="0" w:color="auto"/>
              <w:right w:val="nil"/>
            </w:tcBorders>
            <w:shd w:val="clear" w:color="000000" w:fill="FFFFFF"/>
          </w:tcPr>
          <w:p w:rsidR="00C82EE5" w:rsidRPr="002D02F3" w:rsidRDefault="00C82EE5" w:rsidP="001A5BF9">
            <w:pPr>
              <w:spacing w:before="120" w:after="120"/>
              <w:rPr>
                <w:rFonts w:cs="Arial"/>
                <w:sz w:val="16"/>
                <w:szCs w:val="16"/>
              </w:rPr>
            </w:pPr>
            <w:r w:rsidRPr="002D02F3">
              <w:rPr>
                <w:sz w:val="16"/>
              </w:rPr>
              <w:t>Amélioration de l</w:t>
            </w:r>
            <w:r w:rsidR="00A20444" w:rsidRPr="002D02F3">
              <w:rPr>
                <w:sz w:val="16"/>
              </w:rPr>
              <w:t>’</w:t>
            </w:r>
            <w:r w:rsidRPr="002D02F3">
              <w:rPr>
                <w:sz w:val="16"/>
              </w:rPr>
              <w:t>accès physique au campus de l</w:t>
            </w:r>
            <w:r w:rsidR="00A20444" w:rsidRPr="002D02F3">
              <w:rPr>
                <w:sz w:val="16"/>
              </w:rPr>
              <w:t>’</w:t>
            </w:r>
            <w:r w:rsidRPr="002D02F3">
              <w:rPr>
                <w:sz w:val="16"/>
              </w:rPr>
              <w:t>OMPI</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439 </w:t>
            </w:r>
          </w:p>
        </w:tc>
        <w:tc>
          <w:tcPr>
            <w:tcW w:w="1370" w:type="dxa"/>
            <w:tcBorders>
              <w:top w:val="nil"/>
              <w:left w:val="nil"/>
              <w:bottom w:val="nil"/>
              <w:right w:val="nil"/>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486</w:t>
            </w:r>
          </w:p>
        </w:tc>
        <w:tc>
          <w:tcPr>
            <w:tcW w:w="1371"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411 </w:t>
            </w:r>
          </w:p>
        </w:tc>
      </w:tr>
      <w:tr w:rsidR="00C82EE5" w:rsidRPr="002D02F3" w:rsidTr="007409F8">
        <w:tc>
          <w:tcPr>
            <w:tcW w:w="592" w:type="dxa"/>
            <w:tcBorders>
              <w:top w:val="nil"/>
              <w:left w:val="single" w:sz="4" w:space="0" w:color="auto"/>
              <w:bottom w:val="single" w:sz="4" w:space="0" w:color="auto"/>
              <w:right w:val="nil"/>
            </w:tcBorders>
            <w:shd w:val="clear" w:color="000000" w:fill="CCFFFF"/>
            <w:noWrap/>
            <w:vAlign w:val="bottom"/>
          </w:tcPr>
          <w:p w:rsidR="00C82EE5" w:rsidRPr="002D02F3" w:rsidRDefault="00C82EE5" w:rsidP="001A5BF9">
            <w:pPr>
              <w:spacing w:before="120" w:after="120"/>
              <w:jc w:val="center"/>
              <w:rPr>
                <w:rFonts w:cs="Arial"/>
                <w:b/>
                <w:bCs/>
                <w:sz w:val="16"/>
                <w:szCs w:val="16"/>
              </w:rPr>
            </w:pPr>
            <w:r w:rsidRPr="002D02F3">
              <w:rPr>
                <w:b/>
                <w:sz w:val="16"/>
              </w:rPr>
              <w:t> </w:t>
            </w:r>
          </w:p>
        </w:tc>
        <w:tc>
          <w:tcPr>
            <w:tcW w:w="4658" w:type="dxa"/>
            <w:tcBorders>
              <w:top w:val="nil"/>
              <w:left w:val="nil"/>
              <w:bottom w:val="single" w:sz="4" w:space="0" w:color="auto"/>
              <w:right w:val="nil"/>
            </w:tcBorders>
            <w:shd w:val="clear" w:color="000000" w:fill="CCFFFF"/>
            <w:noWrap/>
            <w:vAlign w:val="center"/>
          </w:tcPr>
          <w:p w:rsidR="00C82EE5" w:rsidRPr="002D02F3" w:rsidRDefault="00C82EE5" w:rsidP="001A5BF9">
            <w:pPr>
              <w:spacing w:before="120" w:after="120"/>
              <w:rPr>
                <w:rFonts w:cs="Arial"/>
                <w:b/>
                <w:bCs/>
                <w:sz w:val="16"/>
                <w:szCs w:val="16"/>
              </w:rPr>
            </w:pPr>
            <w:r w:rsidRPr="002D02F3">
              <w:rPr>
                <w:b/>
                <w:sz w:val="16"/>
              </w:rPr>
              <w:t>Total</w:t>
            </w:r>
          </w:p>
        </w:tc>
        <w:tc>
          <w:tcPr>
            <w:tcW w:w="1370" w:type="dxa"/>
            <w:tcBorders>
              <w:top w:val="single" w:sz="4" w:space="0" w:color="auto"/>
              <w:left w:val="single" w:sz="4" w:space="0" w:color="auto"/>
              <w:bottom w:val="single" w:sz="4" w:space="0" w:color="auto"/>
              <w:right w:val="single" w:sz="4" w:space="0" w:color="auto"/>
            </w:tcBorders>
            <w:shd w:val="clear" w:color="000000" w:fill="CCFFFF"/>
            <w:vAlign w:val="center"/>
          </w:tcPr>
          <w:p w:rsidR="00C82EE5" w:rsidRPr="002D02F3" w:rsidRDefault="00C82EE5" w:rsidP="001A5BF9">
            <w:pPr>
              <w:spacing w:before="120" w:after="120"/>
              <w:jc w:val="right"/>
              <w:rPr>
                <w:rFonts w:cs="Arial"/>
                <w:b/>
                <w:bCs/>
                <w:sz w:val="16"/>
                <w:szCs w:val="16"/>
              </w:rPr>
            </w:pPr>
            <w:r w:rsidRPr="002D02F3">
              <w:rPr>
                <w:b/>
                <w:sz w:val="16"/>
              </w:rPr>
              <w:t>46 271</w:t>
            </w:r>
          </w:p>
        </w:tc>
        <w:tc>
          <w:tcPr>
            <w:tcW w:w="1370" w:type="dxa"/>
            <w:tcBorders>
              <w:top w:val="single" w:sz="4" w:space="0" w:color="auto"/>
              <w:left w:val="nil"/>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right"/>
              <w:rPr>
                <w:rFonts w:cs="Arial"/>
                <w:b/>
                <w:bCs/>
                <w:sz w:val="16"/>
                <w:szCs w:val="16"/>
              </w:rPr>
            </w:pPr>
            <w:r w:rsidRPr="002D02F3">
              <w:rPr>
                <w:b/>
                <w:sz w:val="16"/>
              </w:rPr>
              <w:t>40 688</w:t>
            </w:r>
          </w:p>
        </w:tc>
        <w:tc>
          <w:tcPr>
            <w:tcW w:w="1371"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right"/>
              <w:rPr>
                <w:rFonts w:cs="Arial"/>
                <w:b/>
                <w:bCs/>
                <w:sz w:val="16"/>
                <w:szCs w:val="16"/>
              </w:rPr>
            </w:pPr>
            <w:r w:rsidRPr="002D02F3">
              <w:rPr>
                <w:b/>
                <w:sz w:val="16"/>
              </w:rPr>
              <w:t>38 665</w:t>
            </w:r>
          </w:p>
        </w:tc>
      </w:tr>
    </w:tbl>
    <w:p w:rsidR="00D42474" w:rsidRDefault="00D42474" w:rsidP="001A5BF9">
      <w:pPr>
        <w:pStyle w:val="NormalWeb"/>
        <w:spacing w:before="0" w:beforeAutospacing="0" w:after="0" w:afterAutospacing="0"/>
        <w:jc w:val="center"/>
        <w:rPr>
          <w:sz w:val="20"/>
          <w:szCs w:val="20"/>
        </w:rPr>
      </w:pPr>
    </w:p>
    <w:p w:rsidR="00D42474" w:rsidRDefault="00D42474" w:rsidP="001A5BF9">
      <w:pPr>
        <w:pStyle w:val="NormalWeb"/>
        <w:spacing w:before="0" w:beforeAutospacing="0" w:after="0" w:afterAutospacing="0"/>
        <w:jc w:val="center"/>
        <w:rPr>
          <w:sz w:val="20"/>
          <w:szCs w:val="20"/>
        </w:rPr>
      </w:pPr>
    </w:p>
    <w:p w:rsidR="00D42474" w:rsidRDefault="00C82EE5" w:rsidP="001A5BF9">
      <w:pPr>
        <w:pStyle w:val="NormalWeb"/>
        <w:spacing w:before="0" w:beforeAutospacing="0" w:after="0" w:afterAutospacing="0"/>
        <w:jc w:val="center"/>
        <w:rPr>
          <w:sz w:val="20"/>
        </w:rPr>
      </w:pPr>
      <w:r w:rsidRPr="002D02F3">
        <w:rPr>
          <w:sz w:val="20"/>
        </w:rPr>
        <w:t xml:space="preserve">Budget et dépenses effectives (dépenses de </w:t>
      </w:r>
      <w:proofErr w:type="gramStart"/>
      <w:r w:rsidRPr="002D02F3">
        <w:rPr>
          <w:sz w:val="20"/>
        </w:rPr>
        <w:t>personnel et autres dépenses</w:t>
      </w:r>
      <w:proofErr w:type="gramEnd"/>
      <w:r w:rsidRPr="002D02F3">
        <w:rPr>
          <w:sz w:val="20"/>
        </w:rPr>
        <w:t>)</w:t>
      </w:r>
    </w:p>
    <w:p w:rsidR="00D42474" w:rsidRDefault="00C82EE5"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C82EE5" w:rsidRPr="002D02F3" w:rsidRDefault="00C82EE5" w:rsidP="001A5BF9">
      <w:pPr>
        <w:rPr>
          <w:rFonts w:cs="Arial"/>
          <w:szCs w:val="22"/>
        </w:rPr>
      </w:pPr>
    </w:p>
    <w:tbl>
      <w:tblPr>
        <w:tblW w:w="0" w:type="auto"/>
        <w:tblInd w:w="93" w:type="dxa"/>
        <w:tblLook w:val="04A0" w:firstRow="1" w:lastRow="0" w:firstColumn="1" w:lastColumn="0" w:noHBand="0" w:noVBand="1"/>
      </w:tblPr>
      <w:tblGrid>
        <w:gridCol w:w="2567"/>
        <w:gridCol w:w="1701"/>
        <w:gridCol w:w="1701"/>
        <w:gridCol w:w="1701"/>
        <w:gridCol w:w="1701"/>
      </w:tblGrid>
      <w:tr w:rsidR="00C82EE5" w:rsidRPr="002D02F3" w:rsidTr="0056083E">
        <w:trPr>
          <w:trHeight w:val="480"/>
        </w:trPr>
        <w:tc>
          <w:tcPr>
            <w:tcW w:w="2567"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rPr>
                <w:rFonts w:cs="Arial"/>
                <w:sz w:val="16"/>
                <w:szCs w:val="16"/>
              </w:rPr>
            </w:pPr>
            <w:r w:rsidRPr="002D02F3">
              <w:rPr>
                <w:sz w:val="16"/>
              </w:rPr>
              <w:t> </w:t>
            </w:r>
          </w:p>
        </w:tc>
        <w:tc>
          <w:tcPr>
            <w:tcW w:w="1701"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701"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701"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701" w:type="dxa"/>
            <w:tcBorders>
              <w:top w:val="single" w:sz="4" w:space="0" w:color="auto"/>
              <w:left w:val="nil"/>
              <w:bottom w:val="nil"/>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 xml:space="preserve">utilisation </w:t>
            </w:r>
            <w:r w:rsidR="00BD43F2" w:rsidRPr="002D02F3">
              <w:rPr>
                <w:sz w:val="16"/>
              </w:rPr>
              <w:t>(%)</w:t>
            </w:r>
          </w:p>
        </w:tc>
      </w:tr>
      <w:tr w:rsidR="00C82EE5" w:rsidRPr="002D02F3" w:rsidTr="0056083E">
        <w:trPr>
          <w:trHeight w:val="55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sz w:val="16"/>
                <w:szCs w:val="16"/>
              </w:rPr>
            </w:pPr>
            <w:r w:rsidRPr="002D02F3">
              <w:rPr>
                <w:sz w:val="16"/>
              </w:rPr>
              <w:t>17 351</w:t>
            </w:r>
          </w:p>
        </w:tc>
        <w:tc>
          <w:tcPr>
            <w:tcW w:w="1701"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sz w:val="16"/>
                <w:szCs w:val="16"/>
              </w:rPr>
            </w:pPr>
            <w:r w:rsidRPr="002D02F3">
              <w:rPr>
                <w:sz w:val="16"/>
              </w:rPr>
              <w:t>18 780</w:t>
            </w:r>
          </w:p>
        </w:tc>
        <w:tc>
          <w:tcPr>
            <w:tcW w:w="1701"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sz w:val="16"/>
                <w:szCs w:val="16"/>
              </w:rPr>
            </w:pPr>
            <w:r w:rsidRPr="002D02F3">
              <w:rPr>
                <w:sz w:val="16"/>
              </w:rPr>
              <w:t>18 780</w:t>
            </w:r>
          </w:p>
        </w:tc>
        <w:tc>
          <w:tcPr>
            <w:tcW w:w="1701" w:type="dxa"/>
            <w:tcBorders>
              <w:top w:val="single" w:sz="4" w:space="0" w:color="auto"/>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sz w:val="16"/>
                <w:szCs w:val="16"/>
              </w:rPr>
            </w:pPr>
            <w:r w:rsidRPr="002D02F3">
              <w:rPr>
                <w:sz w:val="16"/>
              </w:rPr>
              <w:t>100</w:t>
            </w:r>
            <w:r w:rsidR="007E442D" w:rsidRPr="002D02F3">
              <w:rPr>
                <w:sz w:val="16"/>
              </w:rPr>
              <w:t>%</w:t>
            </w:r>
          </w:p>
        </w:tc>
      </w:tr>
      <w:tr w:rsidR="00C82EE5" w:rsidRPr="002D02F3" w:rsidTr="0056083E">
        <w:trPr>
          <w:trHeight w:val="55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rPr>
                <w:rFonts w:cs="Arial"/>
                <w:sz w:val="16"/>
                <w:szCs w:val="16"/>
              </w:rPr>
            </w:pPr>
            <w:r w:rsidRPr="002D02F3">
              <w:rPr>
                <w:sz w:val="16"/>
              </w:rPr>
              <w:t xml:space="preserve">Autres dépenses </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sz w:val="16"/>
                <w:szCs w:val="16"/>
              </w:rPr>
            </w:pPr>
            <w:r w:rsidRPr="002D02F3">
              <w:rPr>
                <w:sz w:val="16"/>
              </w:rPr>
              <w:t>28 920</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sz w:val="16"/>
                <w:szCs w:val="16"/>
              </w:rPr>
            </w:pPr>
            <w:r w:rsidRPr="002D02F3">
              <w:rPr>
                <w:sz w:val="16"/>
              </w:rPr>
              <w:t>21 908</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sz w:val="16"/>
                <w:szCs w:val="16"/>
              </w:rPr>
            </w:pPr>
            <w:r w:rsidRPr="002D02F3">
              <w:rPr>
                <w:sz w:val="16"/>
              </w:rPr>
              <w:t>19 885</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sz w:val="16"/>
                <w:szCs w:val="16"/>
              </w:rPr>
            </w:pPr>
            <w:r w:rsidRPr="002D02F3">
              <w:rPr>
                <w:sz w:val="16"/>
              </w:rPr>
              <w:t>91</w:t>
            </w:r>
            <w:r w:rsidR="007E442D" w:rsidRPr="002D02F3">
              <w:rPr>
                <w:sz w:val="16"/>
              </w:rPr>
              <w:t>%</w:t>
            </w:r>
          </w:p>
        </w:tc>
      </w:tr>
      <w:tr w:rsidR="00C82EE5" w:rsidRPr="002D02F3" w:rsidTr="0056083E">
        <w:trPr>
          <w:trHeight w:val="555"/>
        </w:trPr>
        <w:tc>
          <w:tcPr>
            <w:tcW w:w="2567" w:type="dxa"/>
            <w:tcBorders>
              <w:top w:val="nil"/>
              <w:left w:val="single" w:sz="4" w:space="0" w:color="auto"/>
              <w:bottom w:val="single" w:sz="4" w:space="0" w:color="auto"/>
              <w:right w:val="single" w:sz="4" w:space="0" w:color="auto"/>
            </w:tcBorders>
            <w:shd w:val="clear" w:color="auto" w:fill="auto"/>
            <w:noWrap/>
            <w:vAlign w:val="center"/>
          </w:tcPr>
          <w:p w:rsidR="00C82EE5" w:rsidRPr="002D02F3" w:rsidRDefault="00C82EE5" w:rsidP="001A5BF9">
            <w:pPr>
              <w:spacing w:before="120" w:after="120"/>
              <w:jc w:val="right"/>
              <w:rPr>
                <w:rFonts w:cs="Arial"/>
                <w:b/>
                <w:bCs/>
                <w:sz w:val="16"/>
                <w:szCs w:val="16"/>
              </w:rPr>
            </w:pPr>
            <w:r w:rsidRPr="002D02F3">
              <w:rPr>
                <w:b/>
                <w:sz w:val="16"/>
              </w:rPr>
              <w:t xml:space="preserve">TOTAL </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b/>
                <w:bCs/>
                <w:sz w:val="16"/>
                <w:szCs w:val="16"/>
              </w:rPr>
            </w:pPr>
            <w:r w:rsidRPr="002D02F3">
              <w:rPr>
                <w:b/>
                <w:sz w:val="16"/>
              </w:rPr>
              <w:t>46 271</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b/>
                <w:sz w:val="16"/>
                <w:szCs w:val="16"/>
              </w:rPr>
            </w:pPr>
            <w:r w:rsidRPr="002D02F3">
              <w:rPr>
                <w:b/>
                <w:sz w:val="16"/>
              </w:rPr>
              <w:t>40 688</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b/>
                <w:sz w:val="16"/>
                <w:szCs w:val="16"/>
              </w:rPr>
            </w:pPr>
            <w:r w:rsidRPr="002D02F3">
              <w:rPr>
                <w:b/>
                <w:sz w:val="16"/>
              </w:rPr>
              <w:t>38 665</w:t>
            </w:r>
          </w:p>
        </w:tc>
        <w:tc>
          <w:tcPr>
            <w:tcW w:w="1701" w:type="dxa"/>
            <w:tcBorders>
              <w:top w:val="nil"/>
              <w:left w:val="nil"/>
              <w:bottom w:val="single" w:sz="4" w:space="0" w:color="auto"/>
              <w:right w:val="single" w:sz="4" w:space="0" w:color="auto"/>
            </w:tcBorders>
            <w:shd w:val="clear" w:color="auto" w:fill="auto"/>
            <w:vAlign w:val="center"/>
          </w:tcPr>
          <w:p w:rsidR="00C82EE5" w:rsidRPr="002D02F3" w:rsidRDefault="00C82EE5" w:rsidP="001A5BF9">
            <w:pPr>
              <w:jc w:val="center"/>
              <w:rPr>
                <w:rFonts w:cs="Arial"/>
                <w:b/>
                <w:sz w:val="16"/>
                <w:szCs w:val="16"/>
              </w:rPr>
            </w:pPr>
            <w:r w:rsidRPr="002D02F3">
              <w:rPr>
                <w:b/>
                <w:sz w:val="16"/>
              </w:rPr>
              <w:t>95</w:t>
            </w:r>
            <w:r w:rsidR="007E442D" w:rsidRPr="002D02F3">
              <w:rPr>
                <w:b/>
                <w:sz w:val="16"/>
              </w:rPr>
              <w:t>%</w:t>
            </w:r>
          </w:p>
        </w:tc>
      </w:tr>
    </w:tbl>
    <w:p w:rsidR="00D42474" w:rsidRDefault="00D42474" w:rsidP="001A5BF9">
      <w:pPr>
        <w:rPr>
          <w:rFonts w:cs="Arial"/>
          <w:szCs w:val="22"/>
        </w:rPr>
      </w:pPr>
    </w:p>
    <w:p w:rsidR="00D42474" w:rsidRDefault="00C82EE5" w:rsidP="001A5BF9">
      <w:pPr>
        <w:keepNext/>
        <w:autoSpaceDE w:val="0"/>
        <w:autoSpaceDN w:val="0"/>
        <w:rPr>
          <w:sz w:val="16"/>
          <w:szCs w:val="16"/>
        </w:rPr>
      </w:pPr>
      <w:proofErr w:type="gramStart"/>
      <w:r w:rsidRPr="002D02F3">
        <w:rPr>
          <w:sz w:val="16"/>
        </w:rPr>
        <w:t>NOTES</w:t>
      </w:r>
      <w:proofErr w:type="gramEnd"/>
      <w:r w:rsidR="0010442A" w:rsidRPr="002D02F3">
        <w:rPr>
          <w:sz w:val="16"/>
        </w:rPr>
        <w:t> </w:t>
      </w:r>
      <w:r w:rsidRPr="002D02F3">
        <w:rPr>
          <w:sz w:val="16"/>
        </w:rPr>
        <w:t>:</w:t>
      </w:r>
    </w:p>
    <w:p w:rsidR="00D42474" w:rsidRDefault="00D42474" w:rsidP="001A5BF9">
      <w:pPr>
        <w:keepNext/>
        <w:autoSpaceDE w:val="0"/>
        <w:autoSpaceDN w:val="0"/>
        <w:rPr>
          <w:sz w:val="16"/>
          <w:szCs w:val="16"/>
        </w:rPr>
      </w:pPr>
    </w:p>
    <w:p w:rsidR="00D42474" w:rsidRDefault="00C82EE5" w:rsidP="001A5BF9">
      <w:pPr>
        <w:keepNext/>
        <w:autoSpaceDE w:val="0"/>
        <w:autoSpaceDN w:val="0"/>
        <w:rPr>
          <w:sz w:val="16"/>
          <w:szCs w:val="16"/>
        </w:rPr>
      </w:pPr>
      <w:r w:rsidRPr="002D02F3">
        <w:rPr>
          <w:sz w:val="16"/>
        </w:rPr>
        <w:t>1)</w:t>
      </w:r>
      <w:r w:rsidR="004F3E42" w:rsidRPr="002D02F3">
        <w:rPr>
          <w:sz w:val="16"/>
        </w:rPr>
        <w:t xml:space="preserve"> </w:t>
      </w:r>
      <w:r w:rsidR="00896F15">
        <w:rPr>
          <w:sz w:val="16"/>
        </w:rPr>
        <w:tab/>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keepNext/>
        <w:autoSpaceDE w:val="0"/>
        <w:autoSpaceDN w:val="0"/>
        <w:rPr>
          <w:sz w:val="16"/>
          <w:szCs w:val="16"/>
        </w:rPr>
      </w:pPr>
    </w:p>
    <w:p w:rsidR="00D42474" w:rsidRDefault="00C82EE5" w:rsidP="001A5BF9">
      <w:pPr>
        <w:keepNext/>
        <w:autoSpaceDE w:val="0"/>
        <w:autoSpaceDN w:val="0"/>
        <w:rPr>
          <w:sz w:val="16"/>
        </w:rPr>
      </w:pPr>
      <w:r w:rsidRPr="002D02F3">
        <w:rPr>
          <w:sz w:val="16"/>
        </w:rPr>
        <w:t>2)</w:t>
      </w:r>
      <w:r w:rsidR="00896F15">
        <w:rPr>
          <w:sz w:val="16"/>
        </w:rPr>
        <w:tab/>
      </w:r>
      <w:r w:rsidRPr="002D02F3">
        <w:rPr>
          <w:sz w:val="16"/>
        </w:rPr>
        <w:t>Les dépenses de personnel indiquées dans le budget de l</w:t>
      </w:r>
      <w:r w:rsidR="00A20444" w:rsidRPr="002D02F3">
        <w:rPr>
          <w:sz w:val="16"/>
        </w:rPr>
        <w:t>’</w:t>
      </w:r>
      <w:r w:rsidRPr="002D02F3">
        <w:rPr>
          <w:sz w:val="16"/>
        </w:rPr>
        <w:t>exercice 2012</w:t>
      </w:r>
      <w:r w:rsidR="002D6F2A" w:rsidRPr="002D02F3">
        <w:rPr>
          <w:sz w:val="16"/>
        </w:rPr>
        <w:noBreakHyphen/>
      </w:r>
      <w:r w:rsidRPr="002D02F3">
        <w:rPr>
          <w:sz w:val="16"/>
        </w:rPr>
        <w:t>2013 après virements représentent les dépenses réelles engagées pendant l</w:t>
      </w:r>
      <w:r w:rsidR="00A20444" w:rsidRPr="002D02F3">
        <w:rPr>
          <w:sz w:val="16"/>
        </w:rPr>
        <w:t>’</w:t>
      </w:r>
      <w:r w:rsidRPr="002D02F3">
        <w:rPr>
          <w:sz w:val="16"/>
        </w:rPr>
        <w:t>exercice biennal.</w:t>
      </w:r>
    </w:p>
    <w:p w:rsidR="00D42474" w:rsidRDefault="00D42474" w:rsidP="001A5BF9">
      <w:pPr>
        <w:rPr>
          <w:rFonts w:cs="Arial"/>
          <w:szCs w:val="22"/>
        </w:rPr>
      </w:pPr>
    </w:p>
    <w:p w:rsidR="00D42474" w:rsidRDefault="00D42474" w:rsidP="001A5BF9">
      <w:pPr>
        <w:rPr>
          <w:rFonts w:cs="Arial"/>
          <w:szCs w:val="20"/>
        </w:rPr>
      </w:pPr>
    </w:p>
    <w:p w:rsidR="00D42474" w:rsidRDefault="00C82EE5" w:rsidP="001A5BF9">
      <w:pPr>
        <w:pageBreakBefore/>
        <w:tabs>
          <w:tab w:val="left" w:pos="709"/>
        </w:tabs>
        <w:rPr>
          <w:u w:val="single"/>
        </w:rPr>
      </w:pPr>
      <w:r w:rsidRPr="002D02F3">
        <w:t>A.</w:t>
      </w:r>
      <w:r w:rsidRPr="002D02F3">
        <w:tab/>
      </w:r>
      <w:r w:rsidRPr="002D02F3">
        <w:rPr>
          <w:u w:val="single"/>
        </w:rPr>
        <w:t>Budget 2012</w:t>
      </w:r>
      <w:r w:rsidR="002D6F2A" w:rsidRPr="002D02F3">
        <w:rPr>
          <w:u w:val="single"/>
        </w:rPr>
        <w:noBreakHyphen/>
      </w:r>
      <w:r w:rsidRPr="002D02F3">
        <w:rPr>
          <w:u w:val="single"/>
        </w:rPr>
        <w:t>2013 après virements</w:t>
      </w:r>
    </w:p>
    <w:p w:rsidR="00D42474" w:rsidRDefault="00D42474" w:rsidP="001A5BF9">
      <w:pPr>
        <w:tabs>
          <w:tab w:val="left" w:pos="709"/>
        </w:tabs>
        <w:jc w:val="both"/>
        <w:rPr>
          <w:u w:val="single"/>
        </w:rPr>
      </w:pPr>
    </w:p>
    <w:p w:rsidR="00D42474" w:rsidRDefault="00C82EE5" w:rsidP="001A5BF9">
      <w:pPr>
        <w:pStyle w:val="Paragraphedeliste"/>
        <w:tabs>
          <w:tab w:val="left" w:pos="709"/>
        </w:tabs>
        <w:autoSpaceDE w:val="0"/>
        <w:autoSpaceDN w:val="0"/>
        <w:ind w:left="0"/>
        <w:jc w:val="both"/>
      </w:pPr>
      <w:r w:rsidRPr="002D02F3">
        <w:t>24.14.</w:t>
      </w:r>
      <w:r w:rsidRPr="002D02F3">
        <w:tab/>
        <w:t>Le budget 2012</w:t>
      </w:r>
      <w:r w:rsidR="002D6F2A" w:rsidRPr="002D02F3">
        <w:noBreakHyphen/>
      </w:r>
      <w:r w:rsidRPr="002D02F3">
        <w:t>2013 après virements traduit la baisse des ressources hors personnel, essentiellement pour des services contractuels et des contrats de maintenance, qui trouvent leur reflet sous le résultat </w:t>
      </w:r>
      <w:proofErr w:type="spellStart"/>
      <w:r w:rsidRPr="002D02F3">
        <w:t>IX.1</w:t>
      </w:r>
      <w:proofErr w:type="spellEnd"/>
      <w:r w:rsidRPr="002D02F3">
        <w:t xml:space="preserve"> (Services d</w:t>
      </w:r>
      <w:r w:rsidR="00A20444" w:rsidRPr="002D02F3">
        <w:t>’</w:t>
      </w:r>
      <w:r w:rsidRPr="002D02F3">
        <w:t>appui efficaces, efficients, de qualité et tournés vers la clientèle) en raison de :</w:t>
      </w:r>
    </w:p>
    <w:p w:rsidR="00D42474" w:rsidRDefault="00D42474" w:rsidP="001A5BF9">
      <w:pPr>
        <w:pStyle w:val="Paragraphedeliste"/>
        <w:tabs>
          <w:tab w:val="left" w:pos="709"/>
        </w:tabs>
        <w:autoSpaceDE w:val="0"/>
        <w:autoSpaceDN w:val="0"/>
        <w:ind w:left="0"/>
        <w:jc w:val="both"/>
      </w:pPr>
    </w:p>
    <w:p w:rsidR="00D42474" w:rsidRDefault="00C82EE5" w:rsidP="001A5BF9">
      <w:pPr>
        <w:pStyle w:val="Paragraphedeliste"/>
        <w:numPr>
          <w:ilvl w:val="0"/>
          <w:numId w:val="90"/>
        </w:numPr>
        <w:tabs>
          <w:tab w:val="left" w:pos="709"/>
        </w:tabs>
        <w:autoSpaceDE w:val="0"/>
        <w:autoSpaceDN w:val="0"/>
        <w:jc w:val="both"/>
      </w:pPr>
      <w:r w:rsidRPr="002D02F3">
        <w:t>la réduction des coûts, conformément à l</w:t>
      </w:r>
      <w:r w:rsidR="00A20444" w:rsidRPr="002D02F3">
        <w:t>’</w:t>
      </w:r>
      <w:r w:rsidRPr="002D02F3">
        <w:t>engagement de l</w:t>
      </w:r>
      <w:r w:rsidR="00A20444" w:rsidRPr="002D02F3">
        <w:t>’</w:t>
      </w:r>
      <w:r w:rsidRPr="002D02F3">
        <w:t>Organisation de réduire les frais de 10,2 millions de francs suisses pour l</w:t>
      </w:r>
      <w:r w:rsidR="00A20444" w:rsidRPr="002D02F3">
        <w:t>’</w:t>
      </w:r>
      <w:r w:rsidRPr="002D02F3">
        <w:t>exercice biennal 2012</w:t>
      </w:r>
      <w:r w:rsidR="002D6F2A" w:rsidRPr="002D02F3">
        <w:noBreakHyphen/>
      </w:r>
      <w:r w:rsidRPr="002D02F3">
        <w:t>2013;</w:t>
      </w:r>
      <w:r w:rsidR="004F3E42" w:rsidRPr="002D02F3">
        <w:t xml:space="preserve"> </w:t>
      </w:r>
      <w:r w:rsidR="0010442A" w:rsidRPr="002D02F3">
        <w:t xml:space="preserve"> </w:t>
      </w:r>
      <w:r w:rsidRPr="002D02F3">
        <w:t>et</w:t>
      </w:r>
    </w:p>
    <w:p w:rsidR="00D42474" w:rsidRDefault="00C82EE5" w:rsidP="001A5BF9">
      <w:pPr>
        <w:pStyle w:val="Paragraphedeliste"/>
        <w:numPr>
          <w:ilvl w:val="0"/>
          <w:numId w:val="90"/>
        </w:numPr>
        <w:tabs>
          <w:tab w:val="left" w:pos="709"/>
        </w:tabs>
        <w:autoSpaceDE w:val="0"/>
        <w:autoSpaceDN w:val="0"/>
        <w:jc w:val="both"/>
      </w:pPr>
      <w:r w:rsidRPr="002D02F3">
        <w:t>la mise en œuvre réussie d</w:t>
      </w:r>
      <w:r w:rsidR="00A20444" w:rsidRPr="002D02F3">
        <w:t>’</w:t>
      </w:r>
      <w:r w:rsidRPr="002D02F3">
        <w:t>une politique d</w:t>
      </w:r>
      <w:r w:rsidR="00A20444" w:rsidRPr="002D02F3">
        <w:t>’</w:t>
      </w:r>
      <w:r w:rsidRPr="002D02F3">
        <w:t>affectation des espaces de bureau plus stricte qui a</w:t>
      </w:r>
      <w:r w:rsidR="00A747A7" w:rsidRPr="002D02F3">
        <w:t> </w:t>
      </w:r>
      <w:r w:rsidRPr="002D02F3">
        <w:t>résulté dans la diminution du besoin de location d</w:t>
      </w:r>
      <w:r w:rsidR="00A20444" w:rsidRPr="002D02F3">
        <w:t>’</w:t>
      </w:r>
      <w:r w:rsidRPr="002D02F3">
        <w:t>espaces de bureaux à l</w:t>
      </w:r>
      <w:r w:rsidR="00A20444" w:rsidRPr="002D02F3">
        <w:t>’</w:t>
      </w:r>
      <w:r w:rsidRPr="002D02F3">
        <w:t>extérieur du campus de l</w:t>
      </w:r>
      <w:r w:rsidR="00A20444" w:rsidRPr="002D02F3">
        <w:t>’</w:t>
      </w:r>
      <w:r w:rsidRPr="002D02F3">
        <w:t>OMPI.</w:t>
      </w:r>
    </w:p>
    <w:p w:rsidR="00D42474" w:rsidRDefault="00D42474" w:rsidP="001A5BF9">
      <w:pPr>
        <w:tabs>
          <w:tab w:val="left" w:pos="709"/>
        </w:tabs>
        <w:autoSpaceDE w:val="0"/>
        <w:autoSpaceDN w:val="0"/>
        <w:jc w:val="both"/>
      </w:pPr>
    </w:p>
    <w:p w:rsidR="00D42474" w:rsidRDefault="00C82EE5" w:rsidP="001A5BF9">
      <w:pPr>
        <w:tabs>
          <w:tab w:val="left" w:pos="709"/>
        </w:tabs>
        <w:autoSpaceDE w:val="0"/>
        <w:autoSpaceDN w:val="0"/>
        <w:jc w:val="both"/>
      </w:pPr>
      <w:r w:rsidRPr="002D02F3">
        <w:t>24.15.</w:t>
      </w:r>
      <w:r w:rsidRPr="002D02F3">
        <w:tab/>
        <w:t>L</w:t>
      </w:r>
      <w:r w:rsidR="00A20444" w:rsidRPr="002D02F3">
        <w:t>’</w:t>
      </w:r>
      <w:r w:rsidRPr="002D02F3">
        <w:t>augmentation des ressources en personnel tenait essentiellement à la régularisation des agents temporaires de longue durée dans le programme, ayant donné pleine satisfaction dans leurs fonctions, sans interruption.</w:t>
      </w:r>
    </w:p>
    <w:p w:rsidR="00D42474" w:rsidRDefault="00D42474" w:rsidP="001A5BF9">
      <w:pPr>
        <w:tabs>
          <w:tab w:val="left" w:pos="709"/>
        </w:tabs>
        <w:jc w:val="both"/>
      </w:pPr>
    </w:p>
    <w:p w:rsidR="00D42474" w:rsidRDefault="00C82EE5" w:rsidP="001A5BF9">
      <w:pPr>
        <w:tabs>
          <w:tab w:val="left" w:pos="709"/>
        </w:tabs>
        <w:jc w:val="both"/>
        <w:rPr>
          <w:u w:val="single"/>
        </w:rPr>
      </w:pPr>
      <w:r w:rsidRPr="005C7CCE">
        <w:t>B.</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Pr>
        <w:tabs>
          <w:tab w:val="left" w:pos="709"/>
        </w:tabs>
        <w:jc w:val="both"/>
      </w:pPr>
    </w:p>
    <w:p w:rsidR="00D42474" w:rsidRDefault="00C82EE5" w:rsidP="001A5BF9">
      <w:pPr>
        <w:tabs>
          <w:tab w:val="left" w:pos="709"/>
        </w:tabs>
        <w:jc w:val="both"/>
      </w:pPr>
      <w:r w:rsidRPr="005C7CCE">
        <w:t>24.17.</w:t>
      </w:r>
      <w:r w:rsidRPr="005C7CCE">
        <w:tab/>
        <w:t>L</w:t>
      </w:r>
      <w:r w:rsidR="00A20444" w:rsidRPr="005C7CCE">
        <w:t>’</w:t>
      </w:r>
      <w:r w:rsidRPr="005C7CCE">
        <w:t>utilisation du budget (ressources hors personnel) s</w:t>
      </w:r>
      <w:r w:rsidR="00A20444" w:rsidRPr="005C7CCE">
        <w:t>’</w:t>
      </w:r>
      <w:r w:rsidRPr="005C7CCE">
        <w:t>élève à 91</w:t>
      </w:r>
      <w:r w:rsidR="007E442D" w:rsidRPr="005C7CCE">
        <w:t>%</w:t>
      </w:r>
      <w:r w:rsidRPr="005C7CCE">
        <w:t xml:space="preserve"> en raison essentiellement d</w:t>
      </w:r>
      <w:r w:rsidR="00A20444" w:rsidRPr="005C7CCE">
        <w:t>’</w:t>
      </w:r>
      <w:r w:rsidRPr="005C7CCE">
        <w:t>économies résultant d</w:t>
      </w:r>
      <w:r w:rsidR="00A20444" w:rsidRPr="005C7CCE">
        <w:t>’</w:t>
      </w:r>
      <w:r w:rsidRPr="005C7CCE">
        <w:t>appels d</w:t>
      </w:r>
      <w:r w:rsidR="00A20444" w:rsidRPr="005C7CCE">
        <w:t>’</w:t>
      </w:r>
      <w:r w:rsidRPr="005C7CCE">
        <w:t>offres émis notamment dans le cadre de la coopération avec d</w:t>
      </w:r>
      <w:r w:rsidR="00A20444" w:rsidRPr="005C7CCE">
        <w:t>’</w:t>
      </w:r>
      <w:r w:rsidRPr="005C7CCE">
        <w:t>autres organisations internationales, d</w:t>
      </w:r>
      <w:r w:rsidR="00A20444" w:rsidRPr="005C7CCE">
        <w:t>’</w:t>
      </w:r>
      <w:r w:rsidRPr="005C7CCE">
        <w:t>économies en matière de consommation d</w:t>
      </w:r>
      <w:r w:rsidR="00A20444" w:rsidRPr="005C7CCE">
        <w:t>’</w:t>
      </w:r>
      <w:r w:rsidRPr="005C7CCE">
        <w:t>énergie (énergie et eau)</w:t>
      </w:r>
      <w:r w:rsidR="0010442A" w:rsidRPr="005C7CCE">
        <w:t> </w:t>
      </w:r>
      <w:r w:rsidRPr="005C7CCE">
        <w:t>et de la résiliation de la location de deux zones de stockage hors site.</w:t>
      </w:r>
    </w:p>
    <w:p w:rsidR="00D42474" w:rsidRDefault="00D42474" w:rsidP="001A5BF9">
      <w:pPr>
        <w:rPr>
          <w:rFonts w:cs="Arial"/>
          <w:szCs w:val="20"/>
        </w:rPr>
      </w:pPr>
    </w:p>
    <w:p w:rsidR="00D42474" w:rsidRDefault="00C82EE5" w:rsidP="001A5BF9">
      <w:pPr>
        <w:rPr>
          <w:rFonts w:eastAsia="SimSun"/>
          <w:color w:val="000000"/>
          <w:szCs w:val="20"/>
        </w:rPr>
      </w:pPr>
      <w:r w:rsidRPr="005C7CCE">
        <w:br w:type="page"/>
      </w:r>
    </w:p>
    <w:p w:rsidR="00D42474" w:rsidRDefault="00C82EE5" w:rsidP="001A5BF9">
      <w:pPr>
        <w:pStyle w:val="Heading3"/>
        <w:rPr>
          <w:szCs w:val="22"/>
        </w:rPr>
      </w:pPr>
      <w:bookmarkStart w:id="45" w:name="_Toc395082497"/>
      <w:r w:rsidRPr="002950DF">
        <w:rPr>
          <w:szCs w:val="22"/>
        </w:rPr>
        <w:t>Programme 25</w:t>
      </w:r>
      <w:r w:rsidRPr="002950DF">
        <w:rPr>
          <w:szCs w:val="22"/>
        </w:rPr>
        <w:tab/>
        <w:t>Technologies de l</w:t>
      </w:r>
      <w:r w:rsidR="00A20444" w:rsidRPr="002950DF">
        <w:rPr>
          <w:szCs w:val="22"/>
        </w:rPr>
        <w:t>’</w:t>
      </w:r>
      <w:r w:rsidRPr="002950DF">
        <w:rPr>
          <w:szCs w:val="22"/>
        </w:rPr>
        <w:t>information et de la communication</w:t>
      </w:r>
      <w:bookmarkEnd w:id="45"/>
    </w:p>
    <w:p w:rsidR="00D42474" w:rsidRDefault="00D42474" w:rsidP="001A5BF9">
      <w:pPr>
        <w:rPr>
          <w:sz w:val="22"/>
          <w:szCs w:val="22"/>
        </w:rPr>
      </w:pPr>
    </w:p>
    <w:p w:rsidR="00D42474" w:rsidRDefault="00C82EE5" w:rsidP="001A5BF9">
      <w:pPr>
        <w:ind w:left="2268" w:hanging="2268"/>
        <w:rPr>
          <w:rFonts w:cs="Arial"/>
          <w:b/>
          <w:sz w:val="22"/>
          <w:szCs w:val="22"/>
        </w:rPr>
      </w:pPr>
      <w:r w:rsidRPr="002950DF">
        <w:rPr>
          <w:b/>
          <w:sz w:val="22"/>
          <w:szCs w:val="22"/>
        </w:rPr>
        <w:t>Chef de programme</w:t>
      </w:r>
      <w:r w:rsidRPr="002950DF">
        <w:rPr>
          <w:b/>
          <w:sz w:val="22"/>
          <w:szCs w:val="22"/>
        </w:rPr>
        <w:tab/>
      </w:r>
      <w:r w:rsidRPr="002950DF">
        <w:rPr>
          <w:b/>
          <w:sz w:val="22"/>
          <w:szCs w:val="22"/>
        </w:rPr>
        <w:tab/>
        <w:t>M. A.</w:t>
      </w:r>
      <w:r w:rsidR="0010442A" w:rsidRPr="002950DF">
        <w:rPr>
          <w:b/>
          <w:sz w:val="22"/>
          <w:szCs w:val="22"/>
        </w:rPr>
        <w:t> </w:t>
      </w:r>
      <w:proofErr w:type="spellStart"/>
      <w:r w:rsidRPr="002950DF">
        <w:rPr>
          <w:b/>
          <w:sz w:val="22"/>
          <w:szCs w:val="22"/>
        </w:rPr>
        <w:t>Sundaram</w:t>
      </w:r>
      <w:proofErr w:type="spellEnd"/>
    </w:p>
    <w:p w:rsidR="00D42474" w:rsidRDefault="00D42474" w:rsidP="001A5BF9">
      <w:pPr>
        <w:rPr>
          <w:rFonts w:cs="Arial"/>
          <w:bCs/>
          <w:sz w:val="22"/>
          <w:szCs w:val="22"/>
        </w:rPr>
      </w:pPr>
    </w:p>
    <w:p w:rsidR="00D42474" w:rsidRDefault="00D42474" w:rsidP="001A5BF9">
      <w:pPr>
        <w:rPr>
          <w:rFonts w:cs="Arial"/>
          <w:bCs/>
          <w:sz w:val="22"/>
          <w:szCs w:val="22"/>
        </w:rPr>
      </w:pPr>
    </w:p>
    <w:p w:rsidR="00D42474" w:rsidRDefault="00C82EE5" w:rsidP="001A5BF9">
      <w:pPr>
        <w:rPr>
          <w:rFonts w:cs="Arial"/>
          <w:sz w:val="22"/>
          <w:szCs w:val="22"/>
        </w:rPr>
      </w:pPr>
      <w:r w:rsidRPr="002950DF">
        <w:rPr>
          <w:sz w:val="22"/>
          <w:szCs w:val="22"/>
        </w:rPr>
        <w:t>RÉALISATIONS EN 2012</w:t>
      </w:r>
      <w:r w:rsidR="002D6F2A" w:rsidRPr="002950DF">
        <w:rPr>
          <w:sz w:val="22"/>
          <w:szCs w:val="22"/>
        </w:rPr>
        <w:noBreakHyphen/>
      </w:r>
      <w:r w:rsidRPr="002950DF">
        <w:rPr>
          <w:sz w:val="22"/>
          <w:szCs w:val="22"/>
        </w:rPr>
        <w:t>2013</w:t>
      </w:r>
    </w:p>
    <w:p w:rsidR="00D42474" w:rsidRDefault="00D42474" w:rsidP="001A5BF9">
      <w:pPr>
        <w:jc w:val="both"/>
        <w:rPr>
          <w:rFonts w:cs="Arial"/>
          <w:sz w:val="22"/>
          <w:szCs w:val="22"/>
        </w:rPr>
      </w:pPr>
    </w:p>
    <w:p w:rsidR="00D42474" w:rsidRDefault="00C82EE5" w:rsidP="001A5BF9">
      <w:pPr>
        <w:numPr>
          <w:ilvl w:val="0"/>
          <w:numId w:val="77"/>
        </w:numPr>
        <w:jc w:val="both"/>
      </w:pPr>
      <w:r w:rsidRPr="002D02F3">
        <w:t>Pendant la période de reddition de compte, des progrès majeurs ont été accomplis sous la direction du comité renouvelé des TIC présidé par le Directeur général dans la création d</w:t>
      </w:r>
      <w:r w:rsidR="00A20444" w:rsidRPr="002D02F3">
        <w:t>’</w:t>
      </w:r>
      <w:r w:rsidRPr="002D02F3">
        <w:t>un milieu des TIC tourné vers les clients et capable d</w:t>
      </w:r>
      <w:r w:rsidR="00A20444" w:rsidRPr="002D02F3">
        <w:t>’</w:t>
      </w:r>
      <w:r w:rsidRPr="002D02F3">
        <w:t>offrir une expérience d</w:t>
      </w:r>
      <w:r w:rsidR="00A20444" w:rsidRPr="002D02F3">
        <w:t>’</w:t>
      </w:r>
      <w:r w:rsidRPr="002D02F3">
        <w:t>ensemble à l</w:t>
      </w:r>
      <w:r w:rsidR="00A20444" w:rsidRPr="002D02F3">
        <w:t>’</w:t>
      </w:r>
      <w:r w:rsidRPr="002D02F3">
        <w:t>utilisateur grâce à un environnement plus accessible, interopérable et compatible, aussi bien au sein de l</w:t>
      </w:r>
      <w:r w:rsidR="00A20444" w:rsidRPr="002D02F3">
        <w:t>’</w:t>
      </w:r>
      <w:r w:rsidRPr="002D02F3">
        <w:t>OMPI que pour ses clients externes.</w:t>
      </w:r>
    </w:p>
    <w:p w:rsidR="00D42474" w:rsidRDefault="00D42474" w:rsidP="001A5BF9">
      <w:pPr>
        <w:autoSpaceDE w:val="0"/>
        <w:autoSpaceDN w:val="0"/>
        <w:jc w:val="both"/>
        <w:rPr>
          <w:rFonts w:cs="Arial"/>
          <w:szCs w:val="20"/>
        </w:rPr>
      </w:pPr>
    </w:p>
    <w:p w:rsidR="00D42474" w:rsidRDefault="00C82EE5" w:rsidP="001A5BF9">
      <w:pPr>
        <w:numPr>
          <w:ilvl w:val="0"/>
          <w:numId w:val="77"/>
        </w:numPr>
        <w:jc w:val="both"/>
      </w:pPr>
      <w:r w:rsidRPr="002D02F3">
        <w:t>D</w:t>
      </w:r>
      <w:r w:rsidR="00A20444" w:rsidRPr="002D02F3">
        <w:t>’</w:t>
      </w:r>
      <w:r w:rsidRPr="002D02F3">
        <w:t>importants progrès ont été réalisés en matière de renforcement rentable de la capacité de continuité opérationnelle grâce à une restructuration de l</w:t>
      </w:r>
      <w:r w:rsidR="00A20444" w:rsidRPr="002D02F3">
        <w:t>’</w:t>
      </w:r>
      <w:r w:rsidRPr="002D02F3">
        <w:t>infrastructure</w:t>
      </w:r>
      <w:r w:rsidR="00A20444" w:rsidRPr="002D02F3">
        <w:t xml:space="preserve"> des TIC</w:t>
      </w:r>
      <w:r w:rsidRPr="002D02F3">
        <w:t xml:space="preserve"> et à l</w:t>
      </w:r>
      <w:r w:rsidR="00A20444" w:rsidRPr="002D02F3">
        <w:t>’</w:t>
      </w:r>
      <w:r w:rsidRPr="002D02F3">
        <w:t>externalisation stratégique de l</w:t>
      </w:r>
      <w:r w:rsidR="00A20444" w:rsidRPr="002D02F3">
        <w:t>’</w:t>
      </w:r>
      <w:r w:rsidRPr="002D02F3">
        <w:t>exploitation de l</w:t>
      </w:r>
      <w:r w:rsidR="00A20444" w:rsidRPr="002D02F3">
        <w:t>’</w:t>
      </w:r>
      <w:r w:rsidRPr="002D02F3">
        <w:t xml:space="preserve">infrastructure. </w:t>
      </w:r>
      <w:r w:rsidR="0010442A" w:rsidRPr="002D02F3">
        <w:t xml:space="preserve"> </w:t>
      </w:r>
      <w:r w:rsidRPr="002D02F3">
        <w:t>La restructuration de l</w:t>
      </w:r>
      <w:r w:rsidR="00A20444" w:rsidRPr="002D02F3">
        <w:t>’</w:t>
      </w:r>
      <w:r w:rsidRPr="002D02F3">
        <w:t>infrastructure et le passage de la gestion des infrastructures et des services à un modèle d</w:t>
      </w:r>
      <w:r w:rsidR="00A20444" w:rsidRPr="002D02F3">
        <w:t>’</w:t>
      </w:r>
      <w:r w:rsidRPr="002D02F3">
        <w:t>externalisation se</w:t>
      </w:r>
      <w:r w:rsidR="00B93C56" w:rsidRPr="002D02F3">
        <w:t xml:space="preserve"> </w:t>
      </w:r>
      <w:r w:rsidRPr="002D02F3">
        <w:t>s</w:t>
      </w:r>
      <w:r w:rsidR="00B93C56" w:rsidRPr="002D02F3">
        <w:t>on</w:t>
      </w:r>
      <w:r w:rsidRPr="002D02F3">
        <w:t>t révélé</w:t>
      </w:r>
      <w:r w:rsidR="00B93C56" w:rsidRPr="002D02F3">
        <w:t>s</w:t>
      </w:r>
      <w:r w:rsidRPr="002D02F3">
        <w:t xml:space="preserve"> à forte intensité de ressources pendant la transition.</w:t>
      </w:r>
    </w:p>
    <w:p w:rsidR="00D42474" w:rsidRDefault="00D42474" w:rsidP="001A5BF9">
      <w:pPr>
        <w:pStyle w:val="Paragraphedeliste"/>
        <w:jc w:val="both"/>
        <w:rPr>
          <w:rFonts w:cs="Arial"/>
        </w:rPr>
      </w:pPr>
    </w:p>
    <w:p w:rsidR="00D42474" w:rsidRDefault="00C82EE5" w:rsidP="001A5BF9">
      <w:pPr>
        <w:numPr>
          <w:ilvl w:val="0"/>
          <w:numId w:val="77"/>
        </w:numPr>
        <w:jc w:val="both"/>
        <w:rPr>
          <w:rFonts w:cs="Arial"/>
          <w:color w:val="000000"/>
          <w:szCs w:val="20"/>
        </w:rPr>
      </w:pPr>
      <w:r w:rsidRPr="002D02F3">
        <w:t>Afin d</w:t>
      </w:r>
      <w:r w:rsidR="00A20444" w:rsidRPr="002D02F3">
        <w:t>’</w:t>
      </w:r>
      <w:r w:rsidRPr="002D02F3">
        <w:t>accompagner le recours croissant de l</w:t>
      </w:r>
      <w:r w:rsidR="00A20444" w:rsidRPr="002D02F3">
        <w:t>’</w:t>
      </w:r>
      <w:r w:rsidRPr="002D02F3">
        <w:t xml:space="preserve">Organisation aux TIC, des pratiques de gestion des </w:t>
      </w:r>
      <w:r w:rsidRPr="005C7CCE">
        <w:rPr>
          <w:color w:val="000000"/>
        </w:rPr>
        <w:t>risques liés à l</w:t>
      </w:r>
      <w:r w:rsidR="00A20444" w:rsidRPr="005C7CCE">
        <w:rPr>
          <w:color w:val="000000"/>
        </w:rPr>
        <w:t>’</w:t>
      </w:r>
      <w:r w:rsidRPr="005C7CCE">
        <w:rPr>
          <w:color w:val="000000"/>
        </w:rPr>
        <w:t xml:space="preserve">information se sont rapidement mises en place. </w:t>
      </w:r>
      <w:r w:rsidR="0010442A" w:rsidRPr="005C7CCE">
        <w:rPr>
          <w:color w:val="000000"/>
        </w:rPr>
        <w:t xml:space="preserve"> </w:t>
      </w:r>
      <w:r w:rsidRPr="005C7CCE">
        <w:rPr>
          <w:color w:val="000000"/>
        </w:rPr>
        <w:t>L</w:t>
      </w:r>
      <w:r w:rsidR="00A20444" w:rsidRPr="005C7CCE">
        <w:rPr>
          <w:color w:val="000000"/>
        </w:rPr>
        <w:t>’</w:t>
      </w:r>
      <w:r w:rsidRPr="005C7CCE">
        <w:rPr>
          <w:color w:val="000000"/>
        </w:rPr>
        <w:t>OMPI a en particulier obtenu une certification ISO 27001 pour la gestion de la sécurité de l</w:t>
      </w:r>
      <w:r w:rsidR="00A20444" w:rsidRPr="005C7CCE">
        <w:rPr>
          <w:color w:val="000000"/>
        </w:rPr>
        <w:t>’</w:t>
      </w:r>
      <w:r w:rsidRPr="005C7CCE">
        <w:rPr>
          <w:color w:val="000000"/>
        </w:rPr>
        <w:t>information couvrant les demandes selon le PCT ainsi que les processus et systèmes de gestion des données.</w:t>
      </w:r>
    </w:p>
    <w:p w:rsidR="00D42474" w:rsidRDefault="00D42474" w:rsidP="001A5BF9">
      <w:pPr>
        <w:pStyle w:val="Paragraphedeliste"/>
        <w:jc w:val="both"/>
        <w:rPr>
          <w:rFonts w:cs="Arial"/>
          <w:color w:val="000000"/>
        </w:rPr>
      </w:pPr>
    </w:p>
    <w:p w:rsidR="00D42474" w:rsidRDefault="00C82EE5" w:rsidP="001A5BF9">
      <w:pPr>
        <w:numPr>
          <w:ilvl w:val="0"/>
          <w:numId w:val="77"/>
        </w:numPr>
        <w:jc w:val="both"/>
        <w:rPr>
          <w:rFonts w:cs="Arial"/>
          <w:color w:val="000000"/>
          <w:szCs w:val="20"/>
        </w:rPr>
      </w:pPr>
      <w:r w:rsidRPr="005C7CCE">
        <w:rPr>
          <w:color w:val="000000"/>
        </w:rPr>
        <w:t>Dans le cadre du processus de certification ISO, l</w:t>
      </w:r>
      <w:r w:rsidR="00A20444" w:rsidRPr="005C7CCE">
        <w:rPr>
          <w:color w:val="000000"/>
        </w:rPr>
        <w:t>’</w:t>
      </w:r>
      <w:r w:rsidRPr="005C7CCE">
        <w:rPr>
          <w:color w:val="000000"/>
        </w:rPr>
        <w:t>évaluation des risques liés à l</w:t>
      </w:r>
      <w:r w:rsidR="00A20444" w:rsidRPr="005C7CCE">
        <w:rPr>
          <w:color w:val="000000"/>
        </w:rPr>
        <w:t>’</w:t>
      </w:r>
      <w:r w:rsidRPr="005C7CCE">
        <w:rPr>
          <w:color w:val="000000"/>
        </w:rPr>
        <w:t>information a été effectuée de concert avec des examens complets et des mises à jour de toutes les politiques de sécurité de l</w:t>
      </w:r>
      <w:r w:rsidR="00A20444" w:rsidRPr="005C7CCE">
        <w:rPr>
          <w:color w:val="000000"/>
        </w:rPr>
        <w:t>’</w:t>
      </w:r>
      <w:r w:rsidRPr="005C7CCE">
        <w:rPr>
          <w:color w:val="000000"/>
        </w:rPr>
        <w:t>information de l</w:t>
      </w:r>
      <w:r w:rsidR="00A20444" w:rsidRPr="005C7CCE">
        <w:rPr>
          <w:color w:val="000000"/>
        </w:rPr>
        <w:t>’</w:t>
      </w:r>
      <w:r w:rsidRPr="005C7CCE">
        <w:rPr>
          <w:color w:val="000000"/>
        </w:rPr>
        <w:t xml:space="preserve">OMPI. </w:t>
      </w:r>
      <w:r w:rsidR="0010442A" w:rsidRPr="005C7CCE">
        <w:rPr>
          <w:color w:val="000000"/>
        </w:rPr>
        <w:t xml:space="preserve"> </w:t>
      </w:r>
      <w:r w:rsidRPr="005C7CCE">
        <w:rPr>
          <w:color w:val="000000"/>
        </w:rPr>
        <w:t>Les campagnes de sensibilisation à la sécurité de l</w:t>
      </w:r>
      <w:r w:rsidR="00A20444" w:rsidRPr="005C7CCE">
        <w:rPr>
          <w:color w:val="000000"/>
        </w:rPr>
        <w:t>’</w:t>
      </w:r>
      <w:r w:rsidRPr="005C7CCE">
        <w:rPr>
          <w:color w:val="000000"/>
        </w:rPr>
        <w:t>information se sont également intensifiées, aboutissant à plus de 30</w:t>
      </w:r>
      <w:r w:rsidR="007E442D" w:rsidRPr="005C7CCE">
        <w:rPr>
          <w:color w:val="000000"/>
        </w:rPr>
        <w:t>%</w:t>
      </w:r>
      <w:r w:rsidRPr="005C7CCE">
        <w:rPr>
          <w:color w:val="000000"/>
        </w:rPr>
        <w:t xml:space="preserve"> de l</w:t>
      </w:r>
      <w:r w:rsidR="00A20444" w:rsidRPr="005C7CCE">
        <w:rPr>
          <w:color w:val="000000"/>
        </w:rPr>
        <w:t>’</w:t>
      </w:r>
      <w:r w:rsidRPr="005C7CCE">
        <w:rPr>
          <w:color w:val="000000"/>
        </w:rPr>
        <w:t>ensemble des membres du personnel de l</w:t>
      </w:r>
      <w:r w:rsidR="00A20444" w:rsidRPr="005C7CCE">
        <w:rPr>
          <w:color w:val="000000"/>
        </w:rPr>
        <w:t>’</w:t>
      </w:r>
      <w:r w:rsidRPr="005C7CCE">
        <w:rPr>
          <w:color w:val="000000"/>
        </w:rPr>
        <w:t xml:space="preserve">OMPI suivant volontairement le cours </w:t>
      </w:r>
      <w:proofErr w:type="gramStart"/>
      <w:r w:rsidRPr="005C7CCE">
        <w:rPr>
          <w:color w:val="000000"/>
        </w:rPr>
        <w:t>pilote</w:t>
      </w:r>
      <w:proofErr w:type="gramEnd"/>
      <w:r w:rsidRPr="005C7CCE">
        <w:rPr>
          <w:color w:val="000000"/>
        </w:rPr>
        <w:t xml:space="preserve"> en ligne consacré à ce thème.</w:t>
      </w:r>
    </w:p>
    <w:p w:rsidR="00D42474" w:rsidRDefault="00D42474" w:rsidP="001A5BF9">
      <w:pPr>
        <w:jc w:val="both"/>
        <w:rPr>
          <w:rFonts w:cs="Arial"/>
          <w:color w:val="000000"/>
          <w:szCs w:val="20"/>
        </w:rPr>
      </w:pPr>
    </w:p>
    <w:p w:rsidR="00D42474" w:rsidRDefault="00C82EE5" w:rsidP="001A5BF9">
      <w:pPr>
        <w:numPr>
          <w:ilvl w:val="0"/>
          <w:numId w:val="77"/>
        </w:numPr>
        <w:jc w:val="both"/>
        <w:rPr>
          <w:rFonts w:cs="Arial"/>
          <w:szCs w:val="20"/>
        </w:rPr>
      </w:pPr>
      <w:r w:rsidRPr="002D02F3">
        <w:t>Les points forts suivants sont des indicateurs de progrès dans le domaine des services d</w:t>
      </w:r>
      <w:r w:rsidR="00A20444" w:rsidRPr="002D02F3">
        <w:t>’</w:t>
      </w:r>
      <w:r w:rsidRPr="002D02F3">
        <w:t>infrastructure, des solutions d</w:t>
      </w:r>
      <w:r w:rsidR="00A20444" w:rsidRPr="002D02F3">
        <w:t>’</w:t>
      </w:r>
      <w:r w:rsidRPr="002D02F3">
        <w:t>entreprise (y</w:t>
      </w:r>
      <w:r w:rsidR="0010442A" w:rsidRPr="002D02F3">
        <w:t> </w:t>
      </w:r>
      <w:r w:rsidRPr="002D02F3">
        <w:t>compris des services Internet), de la gestion des services informatiques et des services de sécurité de l</w:t>
      </w:r>
      <w:r w:rsidR="00A20444" w:rsidRPr="002D02F3">
        <w:t>’</w:t>
      </w:r>
      <w:r w:rsidRPr="002D02F3">
        <w:t>information</w:t>
      </w:r>
      <w:r w:rsidR="0010442A" w:rsidRPr="002D02F3">
        <w:t> </w:t>
      </w:r>
      <w:r w:rsidRPr="002D02F3">
        <w:t>:</w:t>
      </w:r>
    </w:p>
    <w:p w:rsidR="00D42474" w:rsidRDefault="00D42474" w:rsidP="001A5BF9">
      <w:pPr>
        <w:jc w:val="both"/>
      </w:pPr>
    </w:p>
    <w:p w:rsidR="00D42474" w:rsidRDefault="00C82EE5" w:rsidP="001A5BF9">
      <w:pPr>
        <w:pStyle w:val="Test"/>
        <w:numPr>
          <w:ilvl w:val="0"/>
          <w:numId w:val="78"/>
        </w:numPr>
        <w:tabs>
          <w:tab w:val="clear" w:pos="1324"/>
        </w:tabs>
        <w:ind w:left="1276" w:hanging="567"/>
        <w:jc w:val="both"/>
        <w:rPr>
          <w:sz w:val="20"/>
          <w:szCs w:val="20"/>
        </w:rPr>
      </w:pPr>
      <w:r w:rsidRPr="002D02F3">
        <w:rPr>
          <w:sz w:val="20"/>
        </w:rPr>
        <w:t>Le déploiement dans l</w:t>
      </w:r>
      <w:r w:rsidR="00A20444" w:rsidRPr="002D02F3">
        <w:rPr>
          <w:sz w:val="20"/>
        </w:rPr>
        <w:t>’</w:t>
      </w:r>
      <w:r w:rsidRPr="002D02F3">
        <w:rPr>
          <w:sz w:val="20"/>
        </w:rPr>
        <w:t>ensemble de l</w:t>
      </w:r>
      <w:r w:rsidR="00A20444" w:rsidRPr="002D02F3">
        <w:rPr>
          <w:sz w:val="20"/>
        </w:rPr>
        <w:t>’</w:t>
      </w:r>
      <w:r w:rsidRPr="002D02F3">
        <w:rPr>
          <w:sz w:val="20"/>
        </w:rPr>
        <w:t>Organisation de la nouvelle architecture interne des réseaux de données a pris fin en</w:t>
      </w:r>
      <w:r w:rsidR="0010442A" w:rsidRPr="002D02F3">
        <w:rPr>
          <w:sz w:val="20"/>
        </w:rPr>
        <w:t> </w:t>
      </w:r>
      <w:r w:rsidRPr="002D02F3">
        <w:rPr>
          <w:sz w:val="20"/>
        </w:rPr>
        <w:t>2012, offrant des contrôles renforcés de la sécurité du réseau et le traitement efficace du trafic multimédia (phonie, vidéo et données).</w:t>
      </w:r>
    </w:p>
    <w:p w:rsidR="00D42474" w:rsidRDefault="00D42474" w:rsidP="001A5BF9">
      <w:pPr>
        <w:pStyle w:val="Test"/>
        <w:numPr>
          <w:ilvl w:val="0"/>
          <w:numId w:val="0"/>
        </w:numPr>
        <w:ind w:left="1276"/>
        <w:jc w:val="both"/>
        <w:rPr>
          <w:sz w:val="20"/>
          <w:szCs w:val="20"/>
        </w:rPr>
      </w:pPr>
    </w:p>
    <w:p w:rsidR="00D42474" w:rsidRDefault="00C82EE5" w:rsidP="001A5BF9">
      <w:pPr>
        <w:pStyle w:val="Test"/>
        <w:numPr>
          <w:ilvl w:val="0"/>
          <w:numId w:val="78"/>
        </w:numPr>
        <w:tabs>
          <w:tab w:val="clear" w:pos="1324"/>
        </w:tabs>
        <w:ind w:left="1276" w:hanging="567"/>
        <w:jc w:val="both"/>
        <w:rPr>
          <w:sz w:val="20"/>
          <w:szCs w:val="20"/>
        </w:rPr>
      </w:pPr>
      <w:r w:rsidRPr="002D02F3">
        <w:rPr>
          <w:sz w:val="20"/>
        </w:rPr>
        <w:t>Un certain nombre de modernisations et d</w:t>
      </w:r>
      <w:r w:rsidR="00A20444" w:rsidRPr="002D02F3">
        <w:rPr>
          <w:sz w:val="20"/>
        </w:rPr>
        <w:t>’</w:t>
      </w:r>
      <w:r w:rsidRPr="002D02F3">
        <w:rPr>
          <w:sz w:val="20"/>
        </w:rPr>
        <w:t xml:space="preserve">améliorations des technologies ont été entreprises. </w:t>
      </w:r>
      <w:r w:rsidR="0010442A" w:rsidRPr="002D02F3">
        <w:rPr>
          <w:sz w:val="20"/>
        </w:rPr>
        <w:t xml:space="preserve"> </w:t>
      </w:r>
      <w:r w:rsidRPr="002D02F3">
        <w:rPr>
          <w:sz w:val="20"/>
        </w:rPr>
        <w:t>Elles comprennent :</w:t>
      </w:r>
    </w:p>
    <w:p w:rsidR="00D42474" w:rsidRDefault="00D42474" w:rsidP="001A5BF9">
      <w:pPr>
        <w:pStyle w:val="Test"/>
        <w:numPr>
          <w:ilvl w:val="0"/>
          <w:numId w:val="0"/>
        </w:numPr>
        <w:tabs>
          <w:tab w:val="num" w:pos="1276"/>
        </w:tabs>
        <w:ind w:left="1276"/>
        <w:rPr>
          <w:sz w:val="20"/>
          <w:szCs w:val="20"/>
        </w:rPr>
      </w:pPr>
    </w:p>
    <w:p w:rsidR="00D42474" w:rsidRDefault="00C82EE5" w:rsidP="001A5BF9">
      <w:pPr>
        <w:pStyle w:val="Test"/>
        <w:numPr>
          <w:ilvl w:val="0"/>
          <w:numId w:val="79"/>
        </w:numPr>
        <w:tabs>
          <w:tab w:val="clear" w:pos="1324"/>
          <w:tab w:val="num" w:pos="1560"/>
        </w:tabs>
        <w:ind w:left="1560" w:hanging="284"/>
        <w:jc w:val="both"/>
        <w:rPr>
          <w:color w:val="000000"/>
          <w:sz w:val="20"/>
          <w:szCs w:val="20"/>
        </w:rPr>
      </w:pPr>
      <w:r w:rsidRPr="002D02F3">
        <w:rPr>
          <w:sz w:val="20"/>
        </w:rPr>
        <w:t>le déploiement d</w:t>
      </w:r>
      <w:r w:rsidR="00A20444" w:rsidRPr="002D02F3">
        <w:rPr>
          <w:sz w:val="20"/>
        </w:rPr>
        <w:t>’</w:t>
      </w:r>
      <w:r w:rsidRPr="002D02F3">
        <w:rPr>
          <w:sz w:val="20"/>
        </w:rPr>
        <w:t>un nouveau système de téléphonie de propriété intellectuelle pour remplacer le standard téléphonique Nortel périmé, éliminant ainsi les risques opérationnels associés à l</w:t>
      </w:r>
      <w:r w:rsidR="00A20444" w:rsidRPr="002D02F3">
        <w:rPr>
          <w:sz w:val="20"/>
        </w:rPr>
        <w:t>’</w:t>
      </w:r>
      <w:r w:rsidRPr="002D02F3">
        <w:rPr>
          <w:sz w:val="20"/>
        </w:rPr>
        <w:t xml:space="preserve">utilisation de technologies obsolètes. </w:t>
      </w:r>
      <w:r w:rsidR="0010442A" w:rsidRPr="002D02F3">
        <w:rPr>
          <w:sz w:val="20"/>
        </w:rPr>
        <w:t xml:space="preserve"> </w:t>
      </w:r>
      <w:r w:rsidRPr="002D02F3">
        <w:rPr>
          <w:sz w:val="20"/>
        </w:rPr>
        <w:t xml:space="preserve">Ce déploiement a </w:t>
      </w:r>
      <w:r w:rsidRPr="005C7CCE">
        <w:rPr>
          <w:color w:val="000000"/>
          <w:sz w:val="20"/>
        </w:rPr>
        <w:t>également amélioré la disponibilité et réduit les coûts d</w:t>
      </w:r>
      <w:r w:rsidR="00A20444" w:rsidRPr="005C7CCE">
        <w:rPr>
          <w:color w:val="000000"/>
          <w:sz w:val="20"/>
        </w:rPr>
        <w:t>’</w:t>
      </w:r>
      <w:r w:rsidRPr="005C7CCE">
        <w:rPr>
          <w:color w:val="000000"/>
          <w:sz w:val="20"/>
        </w:rPr>
        <w:t>exploitation, en supprimant la nécessité d</w:t>
      </w:r>
      <w:r w:rsidR="00A20444" w:rsidRPr="005C7CCE">
        <w:rPr>
          <w:color w:val="000000"/>
          <w:sz w:val="20"/>
        </w:rPr>
        <w:t>’</w:t>
      </w:r>
      <w:r w:rsidRPr="005C7CCE">
        <w:rPr>
          <w:color w:val="000000"/>
          <w:sz w:val="20"/>
        </w:rPr>
        <w:t>entretenir un réseau de téléphonie distinct, tout en permettant l</w:t>
      </w:r>
      <w:r w:rsidR="00A20444" w:rsidRPr="005C7CCE">
        <w:rPr>
          <w:color w:val="000000"/>
          <w:sz w:val="20"/>
        </w:rPr>
        <w:t>’</w:t>
      </w:r>
      <w:r w:rsidRPr="005C7CCE">
        <w:rPr>
          <w:color w:val="000000"/>
          <w:sz w:val="20"/>
        </w:rPr>
        <w:t>utilisation de nouveaux services tels que des services de vidéo et téléphonie intégrés dans l</w:t>
      </w:r>
      <w:r w:rsidR="00A20444" w:rsidRPr="005C7CCE">
        <w:rPr>
          <w:color w:val="000000"/>
          <w:sz w:val="20"/>
        </w:rPr>
        <w:t>’</w:t>
      </w:r>
      <w:r w:rsidRPr="005C7CCE">
        <w:rPr>
          <w:color w:val="000000"/>
          <w:sz w:val="20"/>
        </w:rPr>
        <w:t>environnement informatique;</w:t>
      </w:r>
    </w:p>
    <w:p w:rsidR="00D42474" w:rsidRDefault="00D42474" w:rsidP="001A5BF9">
      <w:pPr>
        <w:pStyle w:val="Test"/>
        <w:numPr>
          <w:ilvl w:val="0"/>
          <w:numId w:val="0"/>
        </w:numPr>
        <w:tabs>
          <w:tab w:val="num" w:pos="1560"/>
        </w:tabs>
        <w:ind w:left="1560"/>
        <w:jc w:val="both"/>
        <w:rPr>
          <w:color w:val="000000"/>
          <w:sz w:val="20"/>
          <w:szCs w:val="20"/>
        </w:rPr>
      </w:pPr>
    </w:p>
    <w:p w:rsidR="00D42474" w:rsidRDefault="00C82EE5" w:rsidP="001A5BF9">
      <w:pPr>
        <w:pStyle w:val="Test"/>
        <w:numPr>
          <w:ilvl w:val="0"/>
          <w:numId w:val="79"/>
        </w:numPr>
        <w:tabs>
          <w:tab w:val="clear" w:pos="1324"/>
          <w:tab w:val="num" w:pos="1560"/>
        </w:tabs>
        <w:ind w:left="1560" w:hanging="284"/>
        <w:jc w:val="both"/>
        <w:rPr>
          <w:color w:val="000000"/>
          <w:sz w:val="20"/>
          <w:szCs w:val="20"/>
        </w:rPr>
      </w:pPr>
      <w:r w:rsidRPr="005C7CCE">
        <w:rPr>
          <w:color w:val="000000"/>
          <w:sz w:val="20"/>
        </w:rPr>
        <w:t>la mise à niveau des systèmes de productivité des bureaux pour migrer vers des plates</w:t>
      </w:r>
      <w:r w:rsidR="002D6F2A" w:rsidRPr="005C7CCE">
        <w:rPr>
          <w:color w:val="000000"/>
          <w:sz w:val="20"/>
        </w:rPr>
        <w:noBreakHyphen/>
      </w:r>
      <w:r w:rsidRPr="005C7CCE">
        <w:rPr>
          <w:color w:val="000000"/>
          <w:sz w:val="20"/>
        </w:rPr>
        <w:t>formes aux normes de l</w:t>
      </w:r>
      <w:r w:rsidR="00A20444" w:rsidRPr="005C7CCE">
        <w:rPr>
          <w:color w:val="000000"/>
          <w:sz w:val="20"/>
        </w:rPr>
        <w:t>’</w:t>
      </w:r>
      <w:r w:rsidRPr="005C7CCE">
        <w:rPr>
          <w:color w:val="000000"/>
          <w:sz w:val="20"/>
        </w:rPr>
        <w:t>industrie, y compris le remplacement des ordinateurs portables et des postes de travail dépassés, ainsi que des logiciels de bureautique périmés, qui gênaient la mise en œuvre efficace des travaux de l</w:t>
      </w:r>
      <w:r w:rsidR="00A20444" w:rsidRPr="005C7CCE">
        <w:rPr>
          <w:color w:val="000000"/>
          <w:sz w:val="20"/>
        </w:rPr>
        <w:t>’</w:t>
      </w:r>
      <w:r w:rsidRPr="005C7CCE">
        <w:rPr>
          <w:color w:val="000000"/>
          <w:sz w:val="20"/>
        </w:rPr>
        <w:t>Organisation avec les entités extérieures;</w:t>
      </w:r>
    </w:p>
    <w:p w:rsidR="00D42474" w:rsidRDefault="00D42474" w:rsidP="001A5BF9">
      <w:pPr>
        <w:pStyle w:val="Test"/>
        <w:numPr>
          <w:ilvl w:val="0"/>
          <w:numId w:val="0"/>
        </w:numPr>
        <w:tabs>
          <w:tab w:val="num" w:pos="1560"/>
        </w:tabs>
        <w:ind w:left="1560"/>
        <w:jc w:val="both"/>
        <w:rPr>
          <w:color w:val="000000"/>
          <w:sz w:val="20"/>
          <w:szCs w:val="20"/>
        </w:rPr>
      </w:pPr>
    </w:p>
    <w:p w:rsidR="00D42474" w:rsidRDefault="00C82EE5" w:rsidP="001A5BF9">
      <w:pPr>
        <w:pStyle w:val="Test"/>
        <w:numPr>
          <w:ilvl w:val="0"/>
          <w:numId w:val="79"/>
        </w:numPr>
        <w:tabs>
          <w:tab w:val="clear" w:pos="1324"/>
          <w:tab w:val="num" w:pos="1560"/>
        </w:tabs>
        <w:ind w:left="1560" w:hanging="284"/>
        <w:jc w:val="both"/>
        <w:rPr>
          <w:color w:val="000000"/>
          <w:sz w:val="20"/>
          <w:szCs w:val="20"/>
        </w:rPr>
      </w:pPr>
      <w:r w:rsidRPr="005C7CCE">
        <w:rPr>
          <w:color w:val="000000"/>
          <w:sz w:val="20"/>
        </w:rPr>
        <w:t xml:space="preserve">la mise à niveau du logiciel </w:t>
      </w:r>
      <w:proofErr w:type="spellStart"/>
      <w:r w:rsidRPr="005C7CCE">
        <w:rPr>
          <w:color w:val="000000"/>
          <w:sz w:val="20"/>
        </w:rPr>
        <w:t>PeopleSoft</w:t>
      </w:r>
      <w:proofErr w:type="spellEnd"/>
      <w:r w:rsidRPr="005C7CCE">
        <w:rPr>
          <w:color w:val="000000"/>
          <w:sz w:val="20"/>
        </w:rPr>
        <w:t xml:space="preserve"> en préparation pour la mise en œuvre de projets supplémentaires dans le cadre du portefeuille ERP. </w:t>
      </w:r>
      <w:r w:rsidR="0010442A" w:rsidRPr="005C7CCE">
        <w:rPr>
          <w:color w:val="000000"/>
          <w:sz w:val="20"/>
        </w:rPr>
        <w:t xml:space="preserve"> </w:t>
      </w:r>
      <w:r w:rsidRPr="005C7CCE">
        <w:rPr>
          <w:color w:val="000000"/>
          <w:sz w:val="20"/>
        </w:rPr>
        <w:t>Elle a permis de mettre en place une assistance vendeurs adéquate et d</w:t>
      </w:r>
      <w:r w:rsidR="00A20444" w:rsidRPr="005C7CCE">
        <w:rPr>
          <w:color w:val="000000"/>
          <w:sz w:val="20"/>
        </w:rPr>
        <w:t>’</w:t>
      </w:r>
      <w:r w:rsidRPr="005C7CCE">
        <w:rPr>
          <w:color w:val="000000"/>
          <w:sz w:val="20"/>
        </w:rPr>
        <w:t>offrir de nouvelles fonctionnalités et fonctions aux utilisateurs;</w:t>
      </w:r>
    </w:p>
    <w:p w:rsidR="00D42474" w:rsidRDefault="00D42474" w:rsidP="001A5BF9">
      <w:pPr>
        <w:pStyle w:val="Test"/>
        <w:numPr>
          <w:ilvl w:val="0"/>
          <w:numId w:val="0"/>
        </w:numPr>
        <w:tabs>
          <w:tab w:val="num" w:pos="1560"/>
        </w:tabs>
        <w:ind w:left="1560"/>
        <w:jc w:val="both"/>
        <w:rPr>
          <w:color w:val="000000"/>
          <w:sz w:val="20"/>
          <w:szCs w:val="20"/>
        </w:rPr>
      </w:pPr>
    </w:p>
    <w:p w:rsidR="00D42474" w:rsidRDefault="00C82EE5" w:rsidP="001A5BF9">
      <w:pPr>
        <w:pStyle w:val="Test"/>
        <w:numPr>
          <w:ilvl w:val="0"/>
          <w:numId w:val="79"/>
        </w:numPr>
        <w:tabs>
          <w:tab w:val="clear" w:pos="1324"/>
          <w:tab w:val="num" w:pos="1560"/>
        </w:tabs>
        <w:ind w:left="1560" w:hanging="284"/>
        <w:jc w:val="both"/>
        <w:rPr>
          <w:color w:val="000000"/>
          <w:sz w:val="20"/>
          <w:szCs w:val="20"/>
        </w:rPr>
      </w:pPr>
      <w:r w:rsidRPr="005C7CCE">
        <w:rPr>
          <w:color w:val="000000"/>
          <w:sz w:val="20"/>
        </w:rPr>
        <w:t>développement d</w:t>
      </w:r>
      <w:r w:rsidR="00A20444" w:rsidRPr="005C7CCE">
        <w:rPr>
          <w:color w:val="000000"/>
          <w:sz w:val="20"/>
        </w:rPr>
        <w:t>’</w:t>
      </w:r>
      <w:r w:rsidRPr="005C7CCE">
        <w:rPr>
          <w:color w:val="000000"/>
          <w:sz w:val="20"/>
        </w:rPr>
        <w:t>une plate</w:t>
      </w:r>
      <w:r w:rsidR="002D6F2A" w:rsidRPr="005C7CCE">
        <w:rPr>
          <w:color w:val="000000"/>
          <w:sz w:val="20"/>
        </w:rPr>
        <w:noBreakHyphen/>
      </w:r>
      <w:r w:rsidRPr="005C7CCE">
        <w:rPr>
          <w:color w:val="000000"/>
          <w:sz w:val="20"/>
        </w:rPr>
        <w:t xml:space="preserve">forme Single </w:t>
      </w:r>
      <w:proofErr w:type="spellStart"/>
      <w:r w:rsidRPr="005C7CCE">
        <w:rPr>
          <w:color w:val="000000"/>
          <w:sz w:val="20"/>
        </w:rPr>
        <w:t>Sign</w:t>
      </w:r>
      <w:proofErr w:type="spellEnd"/>
      <w:r w:rsidR="002D6F2A" w:rsidRPr="005C7CCE">
        <w:rPr>
          <w:color w:val="000000"/>
          <w:sz w:val="20"/>
        </w:rPr>
        <w:noBreakHyphen/>
      </w:r>
      <w:r w:rsidRPr="005C7CCE">
        <w:rPr>
          <w:color w:val="000000"/>
          <w:sz w:val="20"/>
        </w:rPr>
        <w:t>On (authentification unique et unifiée sur le Web) assurant une utilisation plus efficace avec davantage de sécurité des nouveaux modules de gestion des performances de l</w:t>
      </w:r>
      <w:r w:rsidR="00A20444" w:rsidRPr="005C7CCE">
        <w:rPr>
          <w:color w:val="000000"/>
          <w:sz w:val="20"/>
        </w:rPr>
        <w:t>’</w:t>
      </w:r>
      <w:r w:rsidRPr="005C7CCE">
        <w:rPr>
          <w:color w:val="000000"/>
          <w:sz w:val="20"/>
        </w:rPr>
        <w:t xml:space="preserve">Organisation du logiciel </w:t>
      </w:r>
      <w:proofErr w:type="spellStart"/>
      <w:r w:rsidRPr="005C7CCE">
        <w:rPr>
          <w:color w:val="000000"/>
          <w:sz w:val="20"/>
        </w:rPr>
        <w:t>PeopleSoft</w:t>
      </w:r>
      <w:proofErr w:type="spellEnd"/>
      <w:r w:rsidRPr="005C7CCE">
        <w:rPr>
          <w:color w:val="000000"/>
          <w:sz w:val="20"/>
        </w:rPr>
        <w:t xml:space="preserve"> et Oracle </w:t>
      </w:r>
      <w:proofErr w:type="spellStart"/>
      <w:r w:rsidRPr="005C7CCE">
        <w:rPr>
          <w:color w:val="000000"/>
          <w:sz w:val="20"/>
        </w:rPr>
        <w:t>Hyperion</w:t>
      </w:r>
      <w:proofErr w:type="spellEnd"/>
      <w:r w:rsidRPr="005C7CCE">
        <w:rPr>
          <w:color w:val="000000"/>
          <w:sz w:val="20"/>
        </w:rPr>
        <w:t xml:space="preserve"> mis en œuvre dans le cadre du portefeuille ERP;</w:t>
      </w:r>
    </w:p>
    <w:p w:rsidR="00D42474" w:rsidRDefault="00D42474" w:rsidP="001A5BF9">
      <w:pPr>
        <w:pStyle w:val="Paragraphedeliste"/>
        <w:tabs>
          <w:tab w:val="num" w:pos="1560"/>
        </w:tabs>
        <w:ind w:left="1560" w:hanging="284"/>
        <w:jc w:val="both"/>
        <w:rPr>
          <w:color w:val="000000"/>
        </w:rPr>
      </w:pPr>
    </w:p>
    <w:p w:rsidR="00D42474" w:rsidRDefault="00C82EE5" w:rsidP="001A5BF9">
      <w:pPr>
        <w:pStyle w:val="Test"/>
        <w:numPr>
          <w:ilvl w:val="0"/>
          <w:numId w:val="79"/>
        </w:numPr>
        <w:tabs>
          <w:tab w:val="clear" w:pos="1324"/>
          <w:tab w:val="num" w:pos="1560"/>
        </w:tabs>
        <w:ind w:left="1560" w:hanging="284"/>
        <w:jc w:val="both"/>
        <w:rPr>
          <w:color w:val="000000"/>
          <w:sz w:val="20"/>
          <w:szCs w:val="20"/>
        </w:rPr>
      </w:pPr>
      <w:r w:rsidRPr="005C7CCE">
        <w:rPr>
          <w:color w:val="000000"/>
          <w:sz w:val="20"/>
        </w:rPr>
        <w:t>la capacité de résistance en cas d</w:t>
      </w:r>
      <w:r w:rsidR="00A20444" w:rsidRPr="005C7CCE">
        <w:rPr>
          <w:color w:val="000000"/>
          <w:sz w:val="20"/>
        </w:rPr>
        <w:t>’</w:t>
      </w:r>
      <w:r w:rsidRPr="005C7CCE">
        <w:rPr>
          <w:color w:val="000000"/>
          <w:sz w:val="20"/>
        </w:rPr>
        <w:t>attaques extérieures a été renforcée par le biais de l</w:t>
      </w:r>
      <w:r w:rsidR="00A20444" w:rsidRPr="005C7CCE">
        <w:rPr>
          <w:color w:val="000000"/>
          <w:sz w:val="20"/>
        </w:rPr>
        <w:t>’</w:t>
      </w:r>
      <w:r w:rsidRPr="005C7CCE">
        <w:rPr>
          <w:color w:val="000000"/>
          <w:sz w:val="20"/>
        </w:rPr>
        <w:t>adoption d</w:t>
      </w:r>
      <w:r w:rsidR="00A20444" w:rsidRPr="005C7CCE">
        <w:rPr>
          <w:color w:val="000000"/>
          <w:sz w:val="20"/>
        </w:rPr>
        <w:t>’</w:t>
      </w:r>
      <w:r w:rsidRPr="005C7CCE">
        <w:rPr>
          <w:color w:val="000000"/>
          <w:sz w:val="20"/>
        </w:rPr>
        <w:t>un réseau de distribution de contenus et grâce au déploiement de systè</w:t>
      </w:r>
      <w:r w:rsidR="002950DF">
        <w:rPr>
          <w:color w:val="000000"/>
          <w:sz w:val="20"/>
        </w:rPr>
        <w:t>mes de contrôles technologiques;</w:t>
      </w:r>
    </w:p>
    <w:p w:rsidR="00D42474" w:rsidRDefault="00D42474" w:rsidP="001A5BF9">
      <w:pPr>
        <w:pStyle w:val="Test"/>
        <w:numPr>
          <w:ilvl w:val="0"/>
          <w:numId w:val="0"/>
        </w:numPr>
        <w:tabs>
          <w:tab w:val="num" w:pos="1276"/>
        </w:tabs>
        <w:ind w:left="1276"/>
        <w:jc w:val="both"/>
        <w:rPr>
          <w:color w:val="000000"/>
          <w:sz w:val="20"/>
          <w:szCs w:val="20"/>
        </w:rPr>
      </w:pPr>
    </w:p>
    <w:p w:rsidR="00D42474" w:rsidRDefault="00C82EE5" w:rsidP="001A5BF9">
      <w:pPr>
        <w:pStyle w:val="Test"/>
        <w:numPr>
          <w:ilvl w:val="0"/>
          <w:numId w:val="79"/>
        </w:numPr>
        <w:tabs>
          <w:tab w:val="clear" w:pos="1324"/>
          <w:tab w:val="num" w:pos="1560"/>
        </w:tabs>
        <w:ind w:left="1560" w:hanging="284"/>
        <w:jc w:val="both"/>
        <w:rPr>
          <w:color w:val="000000"/>
          <w:sz w:val="20"/>
          <w:szCs w:val="20"/>
        </w:rPr>
      </w:pPr>
      <w:r w:rsidRPr="005C7CCE">
        <w:rPr>
          <w:color w:val="000000"/>
          <w:sz w:val="20"/>
        </w:rPr>
        <w:t>amélioration d</w:t>
      </w:r>
      <w:r w:rsidR="00A20444" w:rsidRPr="005C7CCE">
        <w:rPr>
          <w:color w:val="000000"/>
          <w:sz w:val="20"/>
        </w:rPr>
        <w:t>’</w:t>
      </w:r>
      <w:r w:rsidRPr="005C7CCE">
        <w:rPr>
          <w:color w:val="000000"/>
          <w:sz w:val="20"/>
        </w:rPr>
        <w:t>un certain nombre d</w:t>
      </w:r>
      <w:r w:rsidR="00A20444" w:rsidRPr="005C7CCE">
        <w:rPr>
          <w:color w:val="000000"/>
          <w:sz w:val="20"/>
        </w:rPr>
        <w:t>’</w:t>
      </w:r>
      <w:r w:rsidRPr="005C7CCE">
        <w:rPr>
          <w:color w:val="000000"/>
          <w:sz w:val="20"/>
        </w:rPr>
        <w:t>applications administratives qui ont renforcé l</w:t>
      </w:r>
      <w:r w:rsidR="00A20444" w:rsidRPr="005C7CCE">
        <w:rPr>
          <w:color w:val="000000"/>
          <w:sz w:val="20"/>
        </w:rPr>
        <w:t>’</w:t>
      </w:r>
      <w:r w:rsidRPr="005C7CCE">
        <w:rPr>
          <w:color w:val="000000"/>
          <w:sz w:val="20"/>
        </w:rPr>
        <w:t xml:space="preserve">efficacité des processus administratifs. </w:t>
      </w:r>
      <w:r w:rsidR="0010442A" w:rsidRPr="005C7CCE">
        <w:rPr>
          <w:color w:val="000000"/>
          <w:sz w:val="20"/>
        </w:rPr>
        <w:t xml:space="preserve"> </w:t>
      </w:r>
      <w:r w:rsidRPr="005C7CCE">
        <w:rPr>
          <w:color w:val="000000"/>
          <w:sz w:val="20"/>
        </w:rPr>
        <w:t>Cela comprend la pleine intégration des demandes de voyages autres que celles des fonctionnaires et du processus de facturation dans le système électronique d</w:t>
      </w:r>
      <w:r w:rsidR="00A20444" w:rsidRPr="005C7CCE">
        <w:rPr>
          <w:color w:val="000000"/>
          <w:sz w:val="20"/>
        </w:rPr>
        <w:t>’</w:t>
      </w:r>
      <w:r w:rsidRPr="005C7CCE">
        <w:rPr>
          <w:color w:val="000000"/>
          <w:sz w:val="20"/>
        </w:rPr>
        <w:t>autorisation de voyage, des améliorations de l</w:t>
      </w:r>
      <w:r w:rsidR="00A20444" w:rsidRPr="005C7CCE">
        <w:rPr>
          <w:color w:val="000000"/>
          <w:sz w:val="20"/>
        </w:rPr>
        <w:t>’</w:t>
      </w:r>
      <w:r w:rsidRPr="005C7CCE">
        <w:rPr>
          <w:color w:val="000000"/>
          <w:sz w:val="20"/>
        </w:rPr>
        <w:t>expérience des utilisateurs du système de gestion de l</w:t>
      </w:r>
      <w:r w:rsidR="00A20444" w:rsidRPr="005C7CCE">
        <w:rPr>
          <w:color w:val="000000"/>
          <w:sz w:val="20"/>
        </w:rPr>
        <w:t>’</w:t>
      </w:r>
      <w:r w:rsidRPr="005C7CCE">
        <w:rPr>
          <w:color w:val="000000"/>
          <w:sz w:val="20"/>
        </w:rPr>
        <w:t>information administrative (</w:t>
      </w:r>
      <w:proofErr w:type="spellStart"/>
      <w:r w:rsidRPr="005C7CCE">
        <w:rPr>
          <w:color w:val="000000"/>
          <w:sz w:val="20"/>
        </w:rPr>
        <w:t>AIM</w:t>
      </w:r>
      <w:r w:rsidR="00B93C56">
        <w:rPr>
          <w:color w:val="000000"/>
          <w:sz w:val="20"/>
        </w:rPr>
        <w:t>S</w:t>
      </w:r>
      <w:proofErr w:type="spellEnd"/>
      <w:r w:rsidRPr="005C7CCE">
        <w:rPr>
          <w:color w:val="000000"/>
          <w:sz w:val="20"/>
        </w:rPr>
        <w:t>) et de la passerelle de paiement, ainsi que des améliorations du système de gestion des performances et de perfectionnement du personnel.</w:t>
      </w:r>
    </w:p>
    <w:p w:rsidR="00D42474" w:rsidRDefault="00D42474" w:rsidP="001A5BF9">
      <w:pPr>
        <w:pStyle w:val="Test"/>
        <w:numPr>
          <w:ilvl w:val="0"/>
          <w:numId w:val="0"/>
        </w:numPr>
        <w:tabs>
          <w:tab w:val="num" w:pos="1276"/>
        </w:tabs>
        <w:ind w:left="1276"/>
        <w:jc w:val="both"/>
        <w:rPr>
          <w:color w:val="000000"/>
          <w:sz w:val="20"/>
          <w:szCs w:val="20"/>
        </w:rPr>
      </w:pPr>
    </w:p>
    <w:p w:rsidR="00D42474" w:rsidRDefault="00C82EE5" w:rsidP="001A5BF9">
      <w:pPr>
        <w:pStyle w:val="Test"/>
        <w:numPr>
          <w:ilvl w:val="0"/>
          <w:numId w:val="78"/>
        </w:numPr>
        <w:tabs>
          <w:tab w:val="clear" w:pos="1324"/>
          <w:tab w:val="num" w:pos="1276"/>
        </w:tabs>
        <w:ind w:left="1276" w:hanging="567"/>
        <w:jc w:val="both"/>
        <w:rPr>
          <w:sz w:val="20"/>
          <w:szCs w:val="20"/>
        </w:rPr>
      </w:pPr>
      <w:r w:rsidRPr="002D02F3">
        <w:rPr>
          <w:sz w:val="20"/>
        </w:rPr>
        <w:t>Pour répondre à la demande des États membres, 40 réunions de l</w:t>
      </w:r>
      <w:r w:rsidR="00A20444" w:rsidRPr="002D02F3">
        <w:rPr>
          <w:sz w:val="20"/>
        </w:rPr>
        <w:t>’</w:t>
      </w:r>
      <w:r w:rsidRPr="002D02F3">
        <w:rPr>
          <w:sz w:val="20"/>
        </w:rPr>
        <w:t xml:space="preserve">OMPI (18 en 2012 et 22 en 2013), ainsi que les conférences diplomatiques de Beijing et de Marrakech, ont été diffusées en direct sur Internet (par le biais du système de vidéo du Web). </w:t>
      </w:r>
      <w:r w:rsidR="0010442A" w:rsidRPr="002D02F3">
        <w:rPr>
          <w:sz w:val="20"/>
        </w:rPr>
        <w:t xml:space="preserve"> </w:t>
      </w:r>
      <w:r w:rsidRPr="002D02F3">
        <w:rPr>
          <w:sz w:val="20"/>
        </w:rPr>
        <w:t>Les séances enregistrées étaient également disponibles sur le site</w:t>
      </w:r>
      <w:r w:rsidR="0010442A" w:rsidRPr="002D02F3">
        <w:rPr>
          <w:sz w:val="20"/>
        </w:rPr>
        <w:t> </w:t>
      </w:r>
      <w:r w:rsidRPr="002D02F3">
        <w:rPr>
          <w:sz w:val="20"/>
        </w:rPr>
        <w:t>Web de l</w:t>
      </w:r>
      <w:r w:rsidR="00A20444" w:rsidRPr="002D02F3">
        <w:rPr>
          <w:sz w:val="20"/>
        </w:rPr>
        <w:t>’</w:t>
      </w:r>
      <w:r w:rsidRPr="002D02F3">
        <w:rPr>
          <w:sz w:val="20"/>
        </w:rPr>
        <w:t>OMPI sous forme de vidéos à la demande.</w:t>
      </w:r>
      <w:r w:rsidR="0010442A" w:rsidRPr="002D02F3">
        <w:rPr>
          <w:sz w:val="20"/>
        </w:rPr>
        <w:t xml:space="preserve"> </w:t>
      </w:r>
      <w:r w:rsidR="004F3E42" w:rsidRPr="002D02F3">
        <w:rPr>
          <w:sz w:val="20"/>
        </w:rPr>
        <w:t xml:space="preserve"> </w:t>
      </w:r>
      <w:r w:rsidRPr="002D02F3">
        <w:t>Une coordination technique essentielle a également été mise en place pour appuyer les deux conférences diplomatiques.</w:t>
      </w:r>
    </w:p>
    <w:p w:rsidR="00D42474" w:rsidRDefault="00D42474" w:rsidP="001A5BF9">
      <w:pPr>
        <w:pStyle w:val="Test"/>
        <w:numPr>
          <w:ilvl w:val="0"/>
          <w:numId w:val="0"/>
        </w:numPr>
        <w:ind w:left="1276"/>
        <w:jc w:val="both"/>
        <w:rPr>
          <w:sz w:val="20"/>
          <w:szCs w:val="20"/>
        </w:rPr>
      </w:pPr>
    </w:p>
    <w:p w:rsidR="00D42474" w:rsidRDefault="00C82EE5" w:rsidP="001A5BF9">
      <w:pPr>
        <w:pStyle w:val="Test"/>
        <w:numPr>
          <w:ilvl w:val="0"/>
          <w:numId w:val="78"/>
        </w:numPr>
        <w:tabs>
          <w:tab w:val="clear" w:pos="1324"/>
          <w:tab w:val="num" w:pos="1276"/>
        </w:tabs>
        <w:ind w:left="1276" w:hanging="567"/>
        <w:jc w:val="both"/>
        <w:rPr>
          <w:sz w:val="20"/>
          <w:szCs w:val="20"/>
        </w:rPr>
      </w:pPr>
      <w:r w:rsidRPr="002D02F3">
        <w:rPr>
          <w:sz w:val="20"/>
        </w:rPr>
        <w:t>Les travaux préparatoires liés</w:t>
      </w:r>
      <w:r w:rsidR="00A20444" w:rsidRPr="002D02F3">
        <w:rPr>
          <w:sz w:val="20"/>
        </w:rPr>
        <w:t xml:space="preserve"> aux TIC</w:t>
      </w:r>
      <w:r w:rsidRPr="002D02F3">
        <w:rPr>
          <w:sz w:val="20"/>
        </w:rPr>
        <w:t xml:space="preserve"> se sont poursuivis pour la nouvelle salle de conférence, en portant principalement sur le choix des technologies, les achats et les négociations des contrats. </w:t>
      </w:r>
      <w:r w:rsidR="0010442A" w:rsidRPr="002D02F3">
        <w:rPr>
          <w:sz w:val="20"/>
        </w:rPr>
        <w:t xml:space="preserve"> </w:t>
      </w:r>
      <w:r w:rsidRPr="002D02F3">
        <w:rPr>
          <w:sz w:val="20"/>
        </w:rPr>
        <w:t>Certaines des technologies, comme les services sans fil de grande capacité (Wi</w:t>
      </w:r>
      <w:r w:rsidR="002D6F2A" w:rsidRPr="002D02F3">
        <w:rPr>
          <w:sz w:val="20"/>
        </w:rPr>
        <w:noBreakHyphen/>
      </w:r>
      <w:r w:rsidRPr="002D02F3">
        <w:rPr>
          <w:sz w:val="20"/>
        </w:rPr>
        <w:t>Fi), ont été déployées en 2013 pour couvrir les salles A et B, ouvrant la voie à la prestation de services informatiques intégrés de manière transparente dans et autour de la nouvelle salle de conférence.</w:t>
      </w:r>
    </w:p>
    <w:p w:rsidR="00D42474" w:rsidRDefault="00D42474" w:rsidP="001A5BF9">
      <w:pPr>
        <w:pStyle w:val="Test"/>
        <w:numPr>
          <w:ilvl w:val="0"/>
          <w:numId w:val="0"/>
        </w:numPr>
        <w:ind w:left="1276"/>
        <w:jc w:val="both"/>
        <w:rPr>
          <w:sz w:val="20"/>
          <w:szCs w:val="20"/>
        </w:rPr>
      </w:pPr>
    </w:p>
    <w:p w:rsidR="00D42474" w:rsidRDefault="00C82EE5" w:rsidP="001A5BF9">
      <w:pPr>
        <w:pStyle w:val="Test"/>
        <w:numPr>
          <w:ilvl w:val="0"/>
          <w:numId w:val="78"/>
        </w:numPr>
        <w:tabs>
          <w:tab w:val="clear" w:pos="1324"/>
          <w:tab w:val="num" w:pos="1276"/>
        </w:tabs>
        <w:ind w:left="1276" w:hanging="567"/>
        <w:jc w:val="both"/>
        <w:rPr>
          <w:sz w:val="20"/>
        </w:rPr>
      </w:pPr>
      <w:r w:rsidRPr="002D02F3">
        <w:rPr>
          <w:sz w:val="20"/>
        </w:rPr>
        <w:t>Les risques liés aux éventuelles incidences opérationnelles de catastrophes localisées ont été considérablement réduits grâce à l</w:t>
      </w:r>
      <w:r w:rsidR="00A20444" w:rsidRPr="002D02F3">
        <w:rPr>
          <w:sz w:val="20"/>
        </w:rPr>
        <w:t>’</w:t>
      </w:r>
      <w:r w:rsidRPr="002D02F3">
        <w:rPr>
          <w:sz w:val="20"/>
        </w:rPr>
        <w:t>établissement de deux centres de données étroitement liés, à la nouvelle répartition des systèmes de stockage des données et à la redondance des sauvegardes, de l</w:t>
      </w:r>
      <w:r w:rsidR="00A20444" w:rsidRPr="002D02F3">
        <w:rPr>
          <w:sz w:val="20"/>
        </w:rPr>
        <w:t>’</w:t>
      </w:r>
      <w:r w:rsidRPr="002D02F3">
        <w:rPr>
          <w:sz w:val="20"/>
        </w:rPr>
        <w:t>infrastructure des serveurs et de l</w:t>
      </w:r>
      <w:r w:rsidR="00A20444" w:rsidRPr="002D02F3">
        <w:rPr>
          <w:sz w:val="20"/>
        </w:rPr>
        <w:t>’</w:t>
      </w:r>
      <w:r w:rsidRPr="002D02F3">
        <w:rPr>
          <w:sz w:val="20"/>
        </w:rPr>
        <w:t xml:space="preserve">architecture des réseaux pour les deux centres de données. </w:t>
      </w:r>
      <w:r w:rsidR="0010442A" w:rsidRPr="002D02F3">
        <w:rPr>
          <w:sz w:val="20"/>
        </w:rPr>
        <w:t xml:space="preserve"> </w:t>
      </w:r>
      <w:r w:rsidRPr="002D02F3">
        <w:rPr>
          <w:sz w:val="20"/>
        </w:rPr>
        <w:t>De plus, 38 services TIC clés ont été évalués et des mesures adaptées mises en œuvre pour limiter les risques et garantir une amélioration de leur disponibilité.</w:t>
      </w:r>
    </w:p>
    <w:p w:rsidR="00D42474" w:rsidRDefault="00D42474" w:rsidP="001A5BF9">
      <w:pPr>
        <w:pStyle w:val="Test"/>
        <w:numPr>
          <w:ilvl w:val="0"/>
          <w:numId w:val="0"/>
        </w:numPr>
        <w:ind w:left="1276"/>
        <w:jc w:val="both"/>
        <w:rPr>
          <w:sz w:val="20"/>
          <w:szCs w:val="20"/>
        </w:rPr>
      </w:pPr>
    </w:p>
    <w:p w:rsidR="00D42474" w:rsidRDefault="00C82EE5" w:rsidP="001A5BF9">
      <w:pPr>
        <w:pStyle w:val="Test"/>
        <w:numPr>
          <w:ilvl w:val="0"/>
          <w:numId w:val="78"/>
        </w:numPr>
        <w:tabs>
          <w:tab w:val="clear" w:pos="1324"/>
          <w:tab w:val="num" w:pos="1276"/>
        </w:tabs>
        <w:ind w:left="1276" w:hanging="567"/>
        <w:jc w:val="both"/>
        <w:rPr>
          <w:sz w:val="20"/>
        </w:rPr>
      </w:pPr>
      <w:r w:rsidRPr="002D02F3">
        <w:rPr>
          <w:sz w:val="20"/>
        </w:rPr>
        <w:t>Un certain nombre de projets tournés vers l</w:t>
      </w:r>
      <w:r w:rsidR="00A20444" w:rsidRPr="002D02F3">
        <w:rPr>
          <w:sz w:val="20"/>
        </w:rPr>
        <w:t>’</w:t>
      </w:r>
      <w:r w:rsidRPr="002D02F3">
        <w:rPr>
          <w:sz w:val="20"/>
        </w:rPr>
        <w:t xml:space="preserve">extérieur, comme le système de ressources mondialement accessibles des intermédiaires de confiance (TIGAR), amélioration du programme WIPO </w:t>
      </w:r>
      <w:proofErr w:type="spellStart"/>
      <w:r w:rsidRPr="002D02F3">
        <w:rPr>
          <w:sz w:val="20"/>
        </w:rPr>
        <w:t>Re:Sea</w:t>
      </w:r>
      <w:r w:rsidR="00BD43F2" w:rsidRPr="002D02F3">
        <w:rPr>
          <w:sz w:val="20"/>
        </w:rPr>
        <w:t>r</w:t>
      </w:r>
      <w:r w:rsidRPr="002D02F3">
        <w:rPr>
          <w:sz w:val="20"/>
        </w:rPr>
        <w:t>ch</w:t>
      </w:r>
      <w:proofErr w:type="spellEnd"/>
      <w:r w:rsidRPr="002D02F3">
        <w:rPr>
          <w:sz w:val="20"/>
        </w:rPr>
        <w:t>, le dépôt électronique de plaintes auprès du Centre d</w:t>
      </w:r>
      <w:r w:rsidR="00A20444" w:rsidRPr="002D02F3">
        <w:rPr>
          <w:sz w:val="20"/>
        </w:rPr>
        <w:t>’</w:t>
      </w:r>
      <w:r w:rsidRPr="002D02F3">
        <w:rPr>
          <w:sz w:val="20"/>
        </w:rPr>
        <w:t>arbitrage et de médiation et la Base de données sur les statistiques de propriété intellectuelle ont enregistré d</w:t>
      </w:r>
      <w:r w:rsidR="00A20444" w:rsidRPr="002D02F3">
        <w:rPr>
          <w:sz w:val="20"/>
        </w:rPr>
        <w:t>’</w:t>
      </w:r>
      <w:r w:rsidRPr="002D02F3">
        <w:rPr>
          <w:sz w:val="20"/>
        </w:rPr>
        <w:t>autres progrès grâce à la collaboration étroite avec les programmes 3, 7, 16 et 18.</w:t>
      </w:r>
    </w:p>
    <w:p w:rsidR="00D42474" w:rsidRDefault="00D42474" w:rsidP="001A5BF9">
      <w:pPr>
        <w:tabs>
          <w:tab w:val="num" w:pos="1276"/>
        </w:tabs>
        <w:autoSpaceDE w:val="0"/>
        <w:autoSpaceDN w:val="0"/>
        <w:ind w:left="1276" w:hanging="567"/>
        <w:jc w:val="both"/>
        <w:rPr>
          <w:rFonts w:cs="Arial"/>
          <w:szCs w:val="20"/>
        </w:rPr>
      </w:pPr>
    </w:p>
    <w:p w:rsidR="00D42474" w:rsidRDefault="00C82EE5" w:rsidP="001A5BF9">
      <w:pPr>
        <w:pStyle w:val="Test"/>
        <w:numPr>
          <w:ilvl w:val="0"/>
          <w:numId w:val="78"/>
        </w:numPr>
        <w:tabs>
          <w:tab w:val="clear" w:pos="1324"/>
          <w:tab w:val="num" w:pos="1276"/>
        </w:tabs>
        <w:ind w:left="1276" w:hanging="567"/>
        <w:jc w:val="both"/>
        <w:rPr>
          <w:color w:val="000000"/>
          <w:sz w:val="20"/>
          <w:szCs w:val="20"/>
        </w:rPr>
      </w:pPr>
      <w:r w:rsidRPr="005C7CCE">
        <w:rPr>
          <w:color w:val="000000"/>
          <w:sz w:val="20"/>
        </w:rPr>
        <w:t xml:space="preserve">Les principaux contrats de services ont été revus. </w:t>
      </w:r>
      <w:r w:rsidR="0010442A" w:rsidRPr="005C7CCE">
        <w:rPr>
          <w:color w:val="000000"/>
          <w:sz w:val="20"/>
        </w:rPr>
        <w:t xml:space="preserve"> </w:t>
      </w:r>
      <w:r w:rsidRPr="005C7CCE">
        <w:rPr>
          <w:color w:val="000000"/>
          <w:sz w:val="20"/>
        </w:rPr>
        <w:t>Ils comprenaient :</w:t>
      </w:r>
    </w:p>
    <w:p w:rsidR="00D42474" w:rsidRDefault="00D42474" w:rsidP="001A5BF9">
      <w:pPr>
        <w:pStyle w:val="Paragraphedeliste"/>
        <w:tabs>
          <w:tab w:val="num" w:pos="1276"/>
        </w:tabs>
        <w:ind w:left="1276" w:hanging="567"/>
        <w:jc w:val="both"/>
        <w:rPr>
          <w:color w:val="000000"/>
        </w:rPr>
      </w:pPr>
    </w:p>
    <w:p w:rsidR="00D42474" w:rsidRDefault="00C82EE5" w:rsidP="001A5BF9">
      <w:pPr>
        <w:pStyle w:val="Test"/>
        <w:numPr>
          <w:ilvl w:val="0"/>
          <w:numId w:val="79"/>
        </w:numPr>
        <w:tabs>
          <w:tab w:val="clear" w:pos="1324"/>
          <w:tab w:val="num" w:pos="1560"/>
        </w:tabs>
        <w:ind w:left="1560" w:hanging="284"/>
        <w:jc w:val="both"/>
        <w:rPr>
          <w:color w:val="000000"/>
          <w:sz w:val="20"/>
          <w:szCs w:val="20"/>
        </w:rPr>
      </w:pPr>
      <w:r w:rsidRPr="005C7CCE">
        <w:rPr>
          <w:color w:val="000000"/>
          <w:sz w:val="20"/>
        </w:rPr>
        <w:t>la renégociation des services d</w:t>
      </w:r>
      <w:r w:rsidR="00A20444" w:rsidRPr="005C7CCE">
        <w:rPr>
          <w:color w:val="000000"/>
          <w:sz w:val="20"/>
        </w:rPr>
        <w:t>’</w:t>
      </w:r>
      <w:r w:rsidRPr="005C7CCE">
        <w:rPr>
          <w:color w:val="000000"/>
          <w:sz w:val="20"/>
        </w:rPr>
        <w:t>impression en réseau qui a engendré d</w:t>
      </w:r>
      <w:r w:rsidR="00A20444" w:rsidRPr="005C7CCE">
        <w:rPr>
          <w:color w:val="000000"/>
          <w:sz w:val="20"/>
        </w:rPr>
        <w:t>’</w:t>
      </w:r>
      <w:r w:rsidRPr="005C7CCE">
        <w:rPr>
          <w:color w:val="000000"/>
          <w:sz w:val="20"/>
        </w:rPr>
        <w:t>importantes économies;</w:t>
      </w:r>
    </w:p>
    <w:p w:rsidR="00D42474" w:rsidRDefault="00D42474" w:rsidP="001A5BF9">
      <w:pPr>
        <w:pStyle w:val="Test"/>
        <w:numPr>
          <w:ilvl w:val="0"/>
          <w:numId w:val="0"/>
        </w:numPr>
        <w:ind w:left="1560"/>
        <w:jc w:val="both"/>
        <w:rPr>
          <w:color w:val="000000"/>
          <w:sz w:val="20"/>
          <w:szCs w:val="20"/>
        </w:rPr>
      </w:pPr>
    </w:p>
    <w:p w:rsidR="00D42474" w:rsidRDefault="00C82EE5" w:rsidP="001A5BF9">
      <w:pPr>
        <w:pStyle w:val="Test"/>
        <w:numPr>
          <w:ilvl w:val="0"/>
          <w:numId w:val="79"/>
        </w:numPr>
        <w:tabs>
          <w:tab w:val="clear" w:pos="1324"/>
          <w:tab w:val="num" w:pos="1560"/>
        </w:tabs>
        <w:ind w:left="1560" w:hanging="284"/>
        <w:jc w:val="both"/>
        <w:rPr>
          <w:color w:val="000000"/>
          <w:sz w:val="20"/>
          <w:szCs w:val="20"/>
        </w:rPr>
      </w:pPr>
      <w:r w:rsidRPr="005C7CCE">
        <w:rPr>
          <w:color w:val="000000"/>
          <w:sz w:val="20"/>
        </w:rPr>
        <w:t>un nouvel appel d</w:t>
      </w:r>
      <w:r w:rsidR="00A20444" w:rsidRPr="005C7CCE">
        <w:rPr>
          <w:color w:val="000000"/>
          <w:sz w:val="20"/>
        </w:rPr>
        <w:t>’</w:t>
      </w:r>
      <w:r w:rsidRPr="005C7CCE">
        <w:rPr>
          <w:color w:val="000000"/>
          <w:sz w:val="20"/>
        </w:rPr>
        <w:t>offres pour l</w:t>
      </w:r>
      <w:r w:rsidR="00A20444" w:rsidRPr="005C7CCE">
        <w:rPr>
          <w:color w:val="000000"/>
          <w:sz w:val="20"/>
        </w:rPr>
        <w:t>’</w:t>
      </w:r>
      <w:r w:rsidRPr="005C7CCE">
        <w:rPr>
          <w:color w:val="000000"/>
          <w:sz w:val="20"/>
        </w:rPr>
        <w:t xml:space="preserve">appui du système </w:t>
      </w:r>
      <w:proofErr w:type="spellStart"/>
      <w:r w:rsidRPr="005C7CCE">
        <w:rPr>
          <w:color w:val="000000"/>
          <w:sz w:val="20"/>
        </w:rPr>
        <w:t>PeopleSoft</w:t>
      </w:r>
      <w:proofErr w:type="spellEnd"/>
      <w:r w:rsidRPr="005C7CCE">
        <w:rPr>
          <w:color w:val="000000"/>
          <w:sz w:val="20"/>
        </w:rPr>
        <w:t xml:space="preserve"> ainsi que pour les contrats de services d</w:t>
      </w:r>
      <w:r w:rsidR="00A20444" w:rsidRPr="005C7CCE">
        <w:rPr>
          <w:color w:val="000000"/>
          <w:sz w:val="20"/>
        </w:rPr>
        <w:t>’</w:t>
      </w:r>
      <w:r w:rsidRPr="005C7CCE">
        <w:rPr>
          <w:color w:val="000000"/>
          <w:sz w:val="20"/>
        </w:rPr>
        <w:t xml:space="preserve">assistance </w:t>
      </w:r>
      <w:proofErr w:type="spellStart"/>
      <w:r w:rsidRPr="005C7CCE">
        <w:rPr>
          <w:color w:val="000000"/>
          <w:sz w:val="20"/>
        </w:rPr>
        <w:t>ICT</w:t>
      </w:r>
      <w:proofErr w:type="spellEnd"/>
      <w:r w:rsidRPr="005C7CCE">
        <w:rPr>
          <w:color w:val="000000"/>
          <w:sz w:val="20"/>
        </w:rPr>
        <w:t xml:space="preserve"> généraux;</w:t>
      </w:r>
    </w:p>
    <w:p w:rsidR="00D42474" w:rsidRDefault="00D42474" w:rsidP="001A5BF9">
      <w:pPr>
        <w:pStyle w:val="Test"/>
        <w:numPr>
          <w:ilvl w:val="0"/>
          <w:numId w:val="0"/>
        </w:numPr>
        <w:ind w:left="1560"/>
        <w:jc w:val="both"/>
        <w:rPr>
          <w:color w:val="000000"/>
          <w:sz w:val="20"/>
          <w:szCs w:val="20"/>
        </w:rPr>
      </w:pPr>
    </w:p>
    <w:p w:rsidR="00D42474" w:rsidRDefault="00C82EE5" w:rsidP="001A5BF9">
      <w:pPr>
        <w:pStyle w:val="Test"/>
        <w:numPr>
          <w:ilvl w:val="0"/>
          <w:numId w:val="79"/>
        </w:numPr>
        <w:tabs>
          <w:tab w:val="clear" w:pos="1324"/>
          <w:tab w:val="num" w:pos="1560"/>
        </w:tabs>
        <w:ind w:left="1560" w:hanging="284"/>
        <w:jc w:val="both"/>
        <w:rPr>
          <w:color w:val="000000"/>
          <w:sz w:val="20"/>
          <w:szCs w:val="20"/>
        </w:rPr>
      </w:pPr>
      <w:r w:rsidRPr="005C7CCE">
        <w:rPr>
          <w:color w:val="000000"/>
          <w:sz w:val="20"/>
        </w:rPr>
        <w:t>un nouvel appel d</w:t>
      </w:r>
      <w:r w:rsidR="00A20444" w:rsidRPr="005C7CCE">
        <w:rPr>
          <w:color w:val="000000"/>
          <w:sz w:val="20"/>
        </w:rPr>
        <w:t>’</w:t>
      </w:r>
      <w:r w:rsidRPr="005C7CCE">
        <w:rPr>
          <w:color w:val="000000"/>
          <w:sz w:val="20"/>
        </w:rPr>
        <w:t>offres pour le contrat de télécommunications qui a permis d</w:t>
      </w:r>
      <w:r w:rsidR="00A20444" w:rsidRPr="005C7CCE">
        <w:rPr>
          <w:color w:val="000000"/>
          <w:sz w:val="20"/>
        </w:rPr>
        <w:t>’</w:t>
      </w:r>
      <w:r w:rsidRPr="005C7CCE">
        <w:rPr>
          <w:color w:val="000000"/>
          <w:sz w:val="20"/>
        </w:rPr>
        <w:t>améliorer les capacités des services à moindres coûts.</w:t>
      </w:r>
    </w:p>
    <w:p w:rsidR="00D42474" w:rsidRDefault="00D42474" w:rsidP="001A5BF9">
      <w:pPr>
        <w:tabs>
          <w:tab w:val="num" w:pos="0"/>
        </w:tabs>
        <w:jc w:val="both"/>
        <w:rPr>
          <w:rFonts w:cs="Arial"/>
          <w:color w:val="000000"/>
          <w:szCs w:val="22"/>
        </w:rPr>
      </w:pPr>
    </w:p>
    <w:p w:rsidR="00D42474" w:rsidRDefault="006D796D" w:rsidP="001A5BF9">
      <w:pPr>
        <w:rPr>
          <w:rFonts w:cs="Arial"/>
          <w:color w:val="000000"/>
          <w:szCs w:val="22"/>
        </w:rPr>
      </w:pPr>
      <w:r w:rsidRPr="005C7CCE">
        <w:rPr>
          <w:color w:val="000000"/>
        </w:rPr>
        <w:br w:type="page"/>
      </w:r>
      <w:r w:rsidR="00C82EE5" w:rsidRPr="00486AEA">
        <w:rPr>
          <w:color w:val="000000"/>
          <w:sz w:val="22"/>
        </w:rPr>
        <w:t>DONNÉES RELATIVES À L</w:t>
      </w:r>
      <w:r w:rsidR="00A20444" w:rsidRPr="00486AEA">
        <w:rPr>
          <w:color w:val="000000"/>
          <w:sz w:val="22"/>
        </w:rPr>
        <w:t>’</w:t>
      </w:r>
      <w:r w:rsidR="00C82EE5" w:rsidRPr="00486AEA">
        <w:rPr>
          <w:color w:val="000000"/>
          <w:sz w:val="22"/>
        </w:rPr>
        <w:t>EXÉCUTION</w:t>
      </w:r>
    </w:p>
    <w:p w:rsidR="00C82EE5" w:rsidRPr="005C7CCE" w:rsidRDefault="00C82EE5" w:rsidP="001A5BF9">
      <w:pPr>
        <w:rPr>
          <w:rFonts w:cs="Arial"/>
          <w:b/>
          <w:color w:val="000000"/>
          <w:szCs w:val="22"/>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48"/>
        <w:gridCol w:w="195"/>
        <w:gridCol w:w="1516"/>
        <w:gridCol w:w="1694"/>
        <w:gridCol w:w="3028"/>
        <w:gridCol w:w="1276"/>
      </w:tblGrid>
      <w:tr w:rsidR="00C82EE5" w:rsidRPr="002D02F3" w:rsidTr="0056083E">
        <w:trPr>
          <w:cantSplit/>
        </w:trPr>
        <w:tc>
          <w:tcPr>
            <w:tcW w:w="5000" w:type="pct"/>
            <w:gridSpan w:val="6"/>
            <w:tcBorders>
              <w:top w:val="single" w:sz="4" w:space="0" w:color="auto"/>
              <w:bottom w:val="single" w:sz="4" w:space="0" w:color="auto"/>
            </w:tcBorders>
            <w:shd w:val="clear" w:color="auto" w:fill="CCFFFF"/>
            <w:vAlign w:val="center"/>
          </w:tcPr>
          <w:p w:rsidR="00C82EE5" w:rsidRPr="002D02F3" w:rsidRDefault="00C82EE5" w:rsidP="001A5BF9">
            <w:pPr>
              <w:keepNext/>
              <w:keepLines/>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Les investissements dans</w:t>
            </w:r>
            <w:r w:rsidR="00A20444" w:rsidRPr="002D02F3">
              <w:rPr>
                <w:sz w:val="16"/>
              </w:rPr>
              <w:t xml:space="preserve"> les TIC</w:t>
            </w:r>
            <w:r w:rsidRPr="002D02F3">
              <w:rPr>
                <w:sz w:val="16"/>
              </w:rPr>
              <w:t xml:space="preserve"> sont étroitement alignés sur les priorités stratégiques et entraînent des avantages sur le plan opérationnel</w:t>
            </w:r>
          </w:p>
        </w:tc>
      </w:tr>
      <w:tr w:rsidR="00C82EE5" w:rsidRPr="002D02F3" w:rsidTr="00A747A7">
        <w:trPr>
          <w:cantSplit/>
        </w:trPr>
        <w:tc>
          <w:tcPr>
            <w:tcW w:w="985" w:type="pct"/>
            <w:gridSpan w:val="2"/>
            <w:tcBorders>
              <w:top w:val="single" w:sz="4" w:space="0" w:color="auto"/>
            </w:tcBorders>
            <w:shd w:val="clear" w:color="auto" w:fill="auto"/>
            <w:vAlign w:val="center"/>
          </w:tcPr>
          <w:p w:rsidR="00C82EE5" w:rsidRPr="002D02F3" w:rsidRDefault="00C82EE5" w:rsidP="002950DF">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810" w:type="pct"/>
            <w:tcBorders>
              <w:top w:val="single" w:sz="4" w:space="0" w:color="auto"/>
            </w:tcBorders>
            <w:shd w:val="clear" w:color="auto" w:fill="auto"/>
            <w:vAlign w:val="center"/>
          </w:tcPr>
          <w:p w:rsidR="00C82EE5" w:rsidRPr="002D02F3" w:rsidRDefault="00C82EE5" w:rsidP="002950DF">
            <w:pPr>
              <w:rPr>
                <w:rFonts w:cs="Arial"/>
                <w:b/>
                <w:bCs/>
                <w:sz w:val="16"/>
                <w:szCs w:val="16"/>
              </w:rPr>
            </w:pPr>
            <w:r w:rsidRPr="002D02F3">
              <w:rPr>
                <w:b/>
                <w:sz w:val="16"/>
              </w:rPr>
              <w:t>Niveaux de référence</w:t>
            </w:r>
          </w:p>
        </w:tc>
        <w:tc>
          <w:tcPr>
            <w:tcW w:w="905" w:type="pct"/>
            <w:tcBorders>
              <w:top w:val="single" w:sz="4" w:space="0" w:color="auto"/>
            </w:tcBorders>
            <w:shd w:val="clear" w:color="auto" w:fill="auto"/>
            <w:tcMar>
              <w:top w:w="110" w:type="dxa"/>
            </w:tcMar>
            <w:vAlign w:val="center"/>
          </w:tcPr>
          <w:p w:rsidR="00C82EE5" w:rsidRPr="002D02F3" w:rsidRDefault="00C82EE5" w:rsidP="002950DF">
            <w:pPr>
              <w:rPr>
                <w:rFonts w:cs="Arial"/>
                <w:b/>
                <w:sz w:val="16"/>
                <w:szCs w:val="16"/>
              </w:rPr>
            </w:pPr>
            <w:r w:rsidRPr="002D02F3">
              <w:rPr>
                <w:b/>
                <w:sz w:val="16"/>
              </w:rPr>
              <w:t>Objectifs visés</w:t>
            </w:r>
          </w:p>
        </w:tc>
        <w:tc>
          <w:tcPr>
            <w:tcW w:w="1618" w:type="pct"/>
            <w:tcBorders>
              <w:top w:val="single" w:sz="4" w:space="0" w:color="auto"/>
            </w:tcBorders>
            <w:shd w:val="clear" w:color="auto" w:fill="FFFFFF"/>
            <w:tcMar>
              <w:top w:w="110" w:type="dxa"/>
            </w:tcMar>
            <w:vAlign w:val="center"/>
          </w:tcPr>
          <w:p w:rsidR="00C82EE5" w:rsidRPr="002D02F3" w:rsidRDefault="00C82EE5" w:rsidP="002950DF">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A747A7">
        <w:trPr>
          <w:cantSplit/>
        </w:trPr>
        <w:tc>
          <w:tcPr>
            <w:tcW w:w="985" w:type="pct"/>
            <w:gridSpan w:val="2"/>
            <w:shd w:val="clear" w:color="auto" w:fill="auto"/>
          </w:tcPr>
          <w:p w:rsidR="00C82EE5" w:rsidRPr="002950DF" w:rsidRDefault="00C82EE5" w:rsidP="001A5BF9">
            <w:pPr>
              <w:rPr>
                <w:rFonts w:cs="Arial"/>
                <w:sz w:val="16"/>
                <w:szCs w:val="16"/>
              </w:rPr>
            </w:pPr>
            <w:r w:rsidRPr="002950DF">
              <w:rPr>
                <w:sz w:val="16"/>
              </w:rPr>
              <w:t>Pourcentage de projets dont les retombées ont été évaluées après la mise en œuvre du projet</w:t>
            </w:r>
          </w:p>
        </w:tc>
        <w:tc>
          <w:tcPr>
            <w:tcW w:w="810" w:type="pct"/>
            <w:shd w:val="clear" w:color="auto" w:fill="auto"/>
          </w:tcPr>
          <w:p w:rsidR="00C82EE5" w:rsidRPr="005C7CCE" w:rsidRDefault="00C82EE5" w:rsidP="001A5BF9">
            <w:pPr>
              <w:rPr>
                <w:rFonts w:cs="Arial"/>
                <w:color w:val="000000"/>
                <w:sz w:val="16"/>
                <w:szCs w:val="16"/>
              </w:rPr>
            </w:pPr>
            <w:r w:rsidRPr="005C7CCE">
              <w:rPr>
                <w:color w:val="000000"/>
                <w:sz w:val="16"/>
              </w:rPr>
              <w:t xml:space="preserve">0 </w:t>
            </w:r>
          </w:p>
        </w:tc>
        <w:tc>
          <w:tcPr>
            <w:tcW w:w="905" w:type="pct"/>
            <w:shd w:val="clear" w:color="auto" w:fill="auto"/>
            <w:tcMar>
              <w:top w:w="110" w:type="dxa"/>
            </w:tcMar>
          </w:tcPr>
          <w:p w:rsidR="00C82EE5" w:rsidRPr="005C7CCE" w:rsidRDefault="00C82EE5" w:rsidP="001A5BF9">
            <w:pPr>
              <w:rPr>
                <w:rFonts w:cs="Arial"/>
                <w:color w:val="000000"/>
                <w:sz w:val="16"/>
                <w:szCs w:val="16"/>
              </w:rPr>
            </w:pPr>
            <w:r w:rsidRPr="005C7CCE">
              <w:rPr>
                <w:color w:val="000000"/>
                <w:sz w:val="16"/>
              </w:rPr>
              <w:t>20</w:t>
            </w:r>
            <w:r w:rsidR="007E442D" w:rsidRPr="005C7CCE">
              <w:rPr>
                <w:color w:val="000000"/>
                <w:sz w:val="16"/>
              </w:rPr>
              <w:t>%</w:t>
            </w:r>
          </w:p>
        </w:tc>
        <w:tc>
          <w:tcPr>
            <w:tcW w:w="1618" w:type="pct"/>
            <w:shd w:val="clear" w:color="auto" w:fill="FFFFFF"/>
            <w:tcMar>
              <w:top w:w="110" w:type="dxa"/>
            </w:tcMar>
          </w:tcPr>
          <w:p w:rsidR="00C82EE5" w:rsidRPr="005C7CCE" w:rsidRDefault="00C82EE5" w:rsidP="001A5BF9">
            <w:pPr>
              <w:rPr>
                <w:rFonts w:cs="Arial"/>
                <w:color w:val="000000"/>
                <w:sz w:val="16"/>
                <w:szCs w:val="16"/>
              </w:rPr>
            </w:pPr>
            <w:r w:rsidRPr="005C7CCE">
              <w:rPr>
                <w:color w:val="000000"/>
                <w:sz w:val="16"/>
              </w:rPr>
              <w:t xml:space="preserve">Sur 16 projets initiés après le </w:t>
            </w:r>
            <w:r w:rsidRPr="005C7CCE">
              <w:br/>
            </w:r>
            <w:r w:rsidRPr="005C7CCE">
              <w:rPr>
                <w:color w:val="000000"/>
                <w:sz w:val="16"/>
              </w:rPr>
              <w:t xml:space="preserve">1er mai 2012 et officiellement gérés par le bureau de gestion des projets conformément à des processus Prince 2 conçus sur mesure, dont un processus de clôture officiel; </w:t>
            </w:r>
            <w:r w:rsidR="0010442A" w:rsidRPr="005C7CCE">
              <w:rPr>
                <w:color w:val="000000"/>
                <w:sz w:val="16"/>
              </w:rPr>
              <w:t xml:space="preserve"> </w:t>
            </w:r>
            <w:r w:rsidRPr="005C7CCE">
              <w:rPr>
                <w:color w:val="000000"/>
                <w:sz w:val="16"/>
              </w:rPr>
              <w:t>trois projets ont fait l</w:t>
            </w:r>
            <w:r w:rsidR="00A20444" w:rsidRPr="005C7CCE">
              <w:rPr>
                <w:color w:val="000000"/>
                <w:sz w:val="16"/>
              </w:rPr>
              <w:t>’</w:t>
            </w:r>
            <w:r w:rsidRPr="005C7CCE">
              <w:rPr>
                <w:color w:val="000000"/>
                <w:sz w:val="16"/>
              </w:rPr>
              <w:t>objet d</w:t>
            </w:r>
            <w:r w:rsidR="00A20444" w:rsidRPr="005C7CCE">
              <w:rPr>
                <w:color w:val="000000"/>
                <w:sz w:val="16"/>
              </w:rPr>
              <w:t>’</w:t>
            </w:r>
            <w:r w:rsidRPr="005C7CCE">
              <w:rPr>
                <w:color w:val="000000"/>
                <w:sz w:val="16"/>
              </w:rPr>
              <w:t xml:space="preserve">un examen des avantages. </w:t>
            </w:r>
            <w:r w:rsidR="0010442A" w:rsidRPr="005C7CCE">
              <w:rPr>
                <w:color w:val="000000"/>
                <w:sz w:val="16"/>
              </w:rPr>
              <w:t xml:space="preserve"> </w:t>
            </w:r>
          </w:p>
        </w:tc>
        <w:tc>
          <w:tcPr>
            <w:tcW w:w="682" w:type="pct"/>
            <w:shd w:val="clear" w:color="auto" w:fill="auto"/>
            <w:tcMar>
              <w:top w:w="110" w:type="dxa"/>
            </w:tcMar>
          </w:tcPr>
          <w:p w:rsidR="00C82EE5" w:rsidRPr="005C7CCE" w:rsidRDefault="0015421B" w:rsidP="001A5BF9">
            <w:pPr>
              <w:keepNext/>
              <w:keepLines/>
              <w:jc w:val="center"/>
              <w:rPr>
                <w:rFonts w:cs="Arial"/>
                <w:bCs/>
                <w:color w:val="008000"/>
                <w:sz w:val="16"/>
                <w:szCs w:val="16"/>
              </w:rPr>
            </w:pPr>
            <w:r w:rsidRPr="0015421B">
              <w:rPr>
                <w:color w:val="E36C0A"/>
                <w:sz w:val="16"/>
              </w:rPr>
              <w:t>Objectif partiellement atteint</w:t>
            </w:r>
          </w:p>
        </w:tc>
      </w:tr>
      <w:tr w:rsidR="00C82EE5" w:rsidRPr="005C7CCE" w:rsidTr="00A747A7">
        <w:trPr>
          <w:cantSplit/>
        </w:trPr>
        <w:tc>
          <w:tcPr>
            <w:tcW w:w="985" w:type="pct"/>
            <w:gridSpan w:val="2"/>
            <w:tcBorders>
              <w:bottom w:val="single" w:sz="4" w:space="0" w:color="auto"/>
            </w:tcBorders>
            <w:shd w:val="clear" w:color="auto" w:fill="auto"/>
          </w:tcPr>
          <w:p w:rsidR="00C82EE5" w:rsidRPr="002950DF" w:rsidRDefault="00C82EE5" w:rsidP="00B9205A">
            <w:pPr>
              <w:ind w:leftChars="-11" w:left="-22"/>
              <w:rPr>
                <w:rFonts w:cs="Arial"/>
                <w:sz w:val="16"/>
                <w:szCs w:val="16"/>
              </w:rPr>
            </w:pPr>
            <w:r w:rsidRPr="002950DF">
              <w:rPr>
                <w:sz w:val="16"/>
              </w:rPr>
              <w:t>Niveau de maturité d</w:t>
            </w:r>
            <w:r w:rsidR="00A20444" w:rsidRPr="002950DF">
              <w:rPr>
                <w:sz w:val="16"/>
              </w:rPr>
              <w:t>’</w:t>
            </w:r>
            <w:proofErr w:type="spellStart"/>
            <w:r w:rsidRPr="002950DF">
              <w:rPr>
                <w:sz w:val="16"/>
              </w:rPr>
              <w:t>ITIL</w:t>
            </w:r>
            <w:proofErr w:type="spellEnd"/>
            <w:r w:rsidRPr="002950DF">
              <w:rPr>
                <w:sz w:val="16"/>
              </w:rPr>
              <w:t xml:space="preserve"> en fonction de l</w:t>
            </w:r>
            <w:r w:rsidR="00A20444" w:rsidRPr="002950DF">
              <w:rPr>
                <w:sz w:val="16"/>
              </w:rPr>
              <w:t>’</w:t>
            </w:r>
            <w:r w:rsidRPr="002950DF">
              <w:rPr>
                <w:sz w:val="16"/>
              </w:rPr>
              <w:t>auto</w:t>
            </w:r>
            <w:r w:rsidR="002D6F2A" w:rsidRPr="002950DF">
              <w:rPr>
                <w:sz w:val="16"/>
              </w:rPr>
              <w:noBreakHyphen/>
            </w:r>
            <w:r w:rsidRPr="002950DF">
              <w:rPr>
                <w:sz w:val="16"/>
              </w:rPr>
              <w:t>évaluation officielle à l</w:t>
            </w:r>
            <w:r w:rsidR="00A20444" w:rsidRPr="002950DF">
              <w:rPr>
                <w:sz w:val="16"/>
              </w:rPr>
              <w:t>’</w:t>
            </w:r>
            <w:r w:rsidRPr="002950DF">
              <w:rPr>
                <w:sz w:val="16"/>
              </w:rPr>
              <w:t>échelle 5</w:t>
            </w:r>
          </w:p>
        </w:tc>
        <w:tc>
          <w:tcPr>
            <w:tcW w:w="810" w:type="pct"/>
            <w:tcBorders>
              <w:bottom w:val="single" w:sz="4" w:space="0" w:color="auto"/>
            </w:tcBorders>
            <w:shd w:val="clear" w:color="auto" w:fill="auto"/>
          </w:tcPr>
          <w:p w:rsidR="00C82EE5" w:rsidRPr="005C7CCE" w:rsidRDefault="00C82EE5" w:rsidP="00B9205A">
            <w:pPr>
              <w:ind w:leftChars="-11" w:left="-22"/>
              <w:rPr>
                <w:rFonts w:cs="Arial"/>
                <w:color w:val="000000"/>
                <w:sz w:val="16"/>
                <w:szCs w:val="16"/>
              </w:rPr>
            </w:pPr>
            <w:r w:rsidRPr="005C7CCE">
              <w:rPr>
                <w:color w:val="000000"/>
                <w:sz w:val="16"/>
              </w:rPr>
              <w:t>En moyenne, deux</w:t>
            </w:r>
            <w:r w:rsidR="0010442A" w:rsidRPr="005C7CCE">
              <w:rPr>
                <w:color w:val="000000"/>
                <w:sz w:val="16"/>
              </w:rPr>
              <w:t> </w:t>
            </w:r>
            <w:r w:rsidRPr="005C7CCE">
              <w:rPr>
                <w:color w:val="000000"/>
                <w:sz w:val="16"/>
              </w:rPr>
              <w:t>des services d</w:t>
            </w:r>
            <w:r w:rsidR="00A20444" w:rsidRPr="005C7CCE">
              <w:rPr>
                <w:color w:val="000000"/>
                <w:sz w:val="16"/>
              </w:rPr>
              <w:t>’</w:t>
            </w:r>
            <w:r w:rsidRPr="005C7CCE">
              <w:rPr>
                <w:color w:val="000000"/>
                <w:sz w:val="16"/>
              </w:rPr>
              <w:t>assistance</w:t>
            </w:r>
          </w:p>
        </w:tc>
        <w:tc>
          <w:tcPr>
            <w:tcW w:w="905" w:type="pct"/>
            <w:tcBorders>
              <w:bottom w:val="single" w:sz="4" w:space="0" w:color="auto"/>
            </w:tcBorders>
            <w:shd w:val="clear" w:color="auto" w:fill="auto"/>
            <w:tcMar>
              <w:top w:w="110" w:type="dxa"/>
            </w:tcMar>
          </w:tcPr>
          <w:p w:rsidR="00C82EE5" w:rsidRPr="005C7CCE" w:rsidRDefault="00C82EE5" w:rsidP="00B9205A">
            <w:pPr>
              <w:ind w:leftChars="-11" w:left="-22"/>
              <w:rPr>
                <w:rFonts w:cs="Arial"/>
                <w:color w:val="000000"/>
                <w:sz w:val="16"/>
                <w:szCs w:val="16"/>
              </w:rPr>
            </w:pPr>
            <w:r w:rsidRPr="005C7CCE">
              <w:rPr>
                <w:color w:val="000000"/>
                <w:sz w:val="16"/>
              </w:rPr>
              <w:t>Augmentation d</w:t>
            </w:r>
            <w:r w:rsidR="00A20444" w:rsidRPr="005C7CCE">
              <w:rPr>
                <w:color w:val="000000"/>
                <w:sz w:val="16"/>
              </w:rPr>
              <w:t>’</w:t>
            </w:r>
            <w:r w:rsidRPr="005C7CCE">
              <w:rPr>
                <w:color w:val="000000"/>
                <w:sz w:val="16"/>
              </w:rPr>
              <w:t>un point</w:t>
            </w:r>
          </w:p>
        </w:tc>
        <w:tc>
          <w:tcPr>
            <w:tcW w:w="1618" w:type="pct"/>
            <w:tcBorders>
              <w:bottom w:val="single" w:sz="4" w:space="0" w:color="auto"/>
            </w:tcBorders>
            <w:shd w:val="clear" w:color="auto" w:fill="FFFFFF"/>
            <w:tcMar>
              <w:top w:w="110" w:type="dxa"/>
            </w:tcMar>
          </w:tcPr>
          <w:p w:rsidR="00C82EE5" w:rsidRPr="005C7CCE" w:rsidRDefault="00C82EE5" w:rsidP="001A5BF9">
            <w:pPr>
              <w:rPr>
                <w:rFonts w:cs="Arial"/>
                <w:color w:val="000000"/>
                <w:sz w:val="16"/>
                <w:szCs w:val="16"/>
              </w:rPr>
            </w:pPr>
            <w:r w:rsidRPr="005C7CCE">
              <w:rPr>
                <w:color w:val="000000"/>
                <w:sz w:val="16"/>
              </w:rPr>
              <w:t>Le niveau de maturité dans la gestion des incidents et des changements a augmenté d</w:t>
            </w:r>
            <w:r w:rsidR="00A20444" w:rsidRPr="005C7CCE">
              <w:rPr>
                <w:color w:val="000000"/>
                <w:sz w:val="16"/>
              </w:rPr>
              <w:t>’</w:t>
            </w:r>
            <w:r w:rsidRPr="005C7CCE">
              <w:rPr>
                <w:color w:val="000000"/>
                <w:sz w:val="16"/>
              </w:rPr>
              <w:t>un point (pour atteindre trois);</w:t>
            </w:r>
            <w:r w:rsidR="004F3E42" w:rsidRPr="005C7CCE">
              <w:rPr>
                <w:color w:val="000000"/>
                <w:sz w:val="16"/>
              </w:rPr>
              <w:t xml:space="preserve"> </w:t>
            </w:r>
            <w:r w:rsidR="0010442A" w:rsidRPr="005C7CCE">
              <w:rPr>
                <w:color w:val="000000"/>
                <w:sz w:val="16"/>
              </w:rPr>
              <w:t xml:space="preserve"> </w:t>
            </w:r>
            <w:r w:rsidRPr="005C7CCE">
              <w:rPr>
                <w:color w:val="000000"/>
                <w:sz w:val="16"/>
              </w:rPr>
              <w:t>il n</w:t>
            </w:r>
            <w:r w:rsidR="00A20444" w:rsidRPr="005C7CCE">
              <w:rPr>
                <w:color w:val="000000"/>
                <w:sz w:val="16"/>
              </w:rPr>
              <w:t>’</w:t>
            </w:r>
            <w:r w:rsidRPr="005C7CCE">
              <w:rPr>
                <w:color w:val="000000"/>
                <w:sz w:val="16"/>
              </w:rPr>
              <w:t>y a eu aucun progrès en matière de gestion des problèmes et des configurations.</w:t>
            </w:r>
          </w:p>
        </w:tc>
        <w:tc>
          <w:tcPr>
            <w:tcW w:w="682" w:type="pct"/>
            <w:tcBorders>
              <w:bottom w:val="single" w:sz="4" w:space="0" w:color="auto"/>
            </w:tcBorders>
            <w:shd w:val="clear" w:color="auto" w:fill="auto"/>
            <w:tcMar>
              <w:top w:w="110" w:type="dxa"/>
            </w:tcMar>
          </w:tcPr>
          <w:p w:rsidR="00C82EE5" w:rsidRPr="005C7CCE" w:rsidRDefault="0015421B" w:rsidP="001A5BF9">
            <w:pPr>
              <w:keepNext/>
              <w:keepLines/>
              <w:jc w:val="center"/>
              <w:rPr>
                <w:rFonts w:cs="Arial"/>
                <w:bCs/>
                <w:color w:val="008000"/>
                <w:sz w:val="16"/>
                <w:szCs w:val="16"/>
              </w:rPr>
            </w:pPr>
            <w:r w:rsidRPr="0015421B">
              <w:rPr>
                <w:color w:val="E36C0A"/>
                <w:sz w:val="16"/>
              </w:rPr>
              <w:t>Objectif partiellement atteint</w:t>
            </w:r>
          </w:p>
        </w:tc>
      </w:tr>
      <w:tr w:rsidR="00C82EE5" w:rsidRPr="005C7CCE" w:rsidTr="0056083E">
        <w:trPr>
          <w:cantSplit/>
        </w:trPr>
        <w:tc>
          <w:tcPr>
            <w:tcW w:w="5000" w:type="pct"/>
            <w:gridSpan w:val="6"/>
            <w:tcBorders>
              <w:top w:val="single" w:sz="4" w:space="0" w:color="auto"/>
              <w:bottom w:val="single" w:sz="4" w:space="0" w:color="auto"/>
            </w:tcBorders>
            <w:shd w:val="clear" w:color="auto" w:fill="CCFFFF"/>
            <w:vAlign w:val="center"/>
          </w:tcPr>
          <w:p w:rsidR="00C82EE5" w:rsidRPr="005C7CCE" w:rsidRDefault="00C82EE5" w:rsidP="001A5BF9">
            <w:pPr>
              <w:keepNext/>
              <w:keepLines/>
              <w:tabs>
                <w:tab w:val="left" w:pos="1452"/>
              </w:tabs>
              <w:spacing w:before="120" w:after="120"/>
              <w:ind w:left="1701" w:hanging="1701"/>
              <w:rPr>
                <w:rFonts w:cs="Arial"/>
                <w:b/>
                <w:bCs/>
                <w:color w:val="000000"/>
                <w:sz w:val="16"/>
                <w:szCs w:val="16"/>
              </w:rPr>
            </w:pPr>
            <w:r w:rsidRPr="005C7CCE">
              <w:rPr>
                <w:b/>
                <w:color w:val="000000"/>
                <w:sz w:val="16"/>
              </w:rPr>
              <w:t>Résultat escompté</w:t>
            </w:r>
            <w:r w:rsidR="0010442A" w:rsidRPr="005C7CCE">
              <w:rPr>
                <w:b/>
                <w:color w:val="000000"/>
                <w:sz w:val="16"/>
              </w:rPr>
              <w:t xml:space="preserve"> : </w:t>
            </w:r>
            <w:r w:rsidRPr="005C7CCE">
              <w:rPr>
                <w:b/>
                <w:color w:val="000000"/>
                <w:sz w:val="16"/>
              </w:rPr>
              <w:tab/>
            </w:r>
            <w:r w:rsidRPr="005C7CCE">
              <w:rPr>
                <w:color w:val="000000"/>
                <w:sz w:val="16"/>
              </w:rPr>
              <w:t>Services d</w:t>
            </w:r>
            <w:r w:rsidR="00A20444" w:rsidRPr="005C7CCE">
              <w:rPr>
                <w:color w:val="000000"/>
                <w:sz w:val="16"/>
              </w:rPr>
              <w:t>’</w:t>
            </w:r>
            <w:r w:rsidRPr="005C7CCE">
              <w:rPr>
                <w:color w:val="000000"/>
                <w:sz w:val="16"/>
              </w:rPr>
              <w:t>appui efficaces, efficients, de qualité et tournés vers la clientèle, à l</w:t>
            </w:r>
            <w:r w:rsidR="00A20444" w:rsidRPr="005C7CCE">
              <w:rPr>
                <w:color w:val="000000"/>
                <w:sz w:val="16"/>
              </w:rPr>
              <w:t>’</w:t>
            </w:r>
            <w:r w:rsidRPr="005C7CCE">
              <w:rPr>
                <w:color w:val="000000"/>
                <w:sz w:val="16"/>
              </w:rPr>
              <w:t>intention à la fois des clients internes et des parties prenantes externes (ressources humaines, informatique, conférences, service linguistique, achats, voyages, imprimerie et publications, gestion des locaux)</w:t>
            </w:r>
          </w:p>
        </w:tc>
      </w:tr>
      <w:tr w:rsidR="00C82EE5" w:rsidRPr="002D02F3" w:rsidTr="0056083E">
        <w:trPr>
          <w:cantSplit/>
        </w:trPr>
        <w:tc>
          <w:tcPr>
            <w:tcW w:w="881" w:type="pct"/>
            <w:tcBorders>
              <w:top w:val="single" w:sz="4" w:space="0" w:color="auto"/>
            </w:tcBorders>
            <w:shd w:val="clear" w:color="auto" w:fill="auto"/>
            <w:vAlign w:val="center"/>
          </w:tcPr>
          <w:p w:rsidR="00C82EE5" w:rsidRPr="002D02F3" w:rsidRDefault="00C82EE5" w:rsidP="002950DF">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14" w:type="pct"/>
            <w:gridSpan w:val="2"/>
            <w:tcBorders>
              <w:top w:val="single" w:sz="4" w:space="0" w:color="auto"/>
            </w:tcBorders>
            <w:shd w:val="clear" w:color="auto" w:fill="auto"/>
            <w:vAlign w:val="center"/>
          </w:tcPr>
          <w:p w:rsidR="00C82EE5" w:rsidRPr="002D02F3" w:rsidRDefault="00C82EE5" w:rsidP="002950DF">
            <w:pPr>
              <w:rPr>
                <w:rFonts w:cs="Arial"/>
                <w:b/>
                <w:bCs/>
                <w:sz w:val="16"/>
                <w:szCs w:val="16"/>
              </w:rPr>
            </w:pPr>
            <w:r w:rsidRPr="002D02F3">
              <w:rPr>
                <w:b/>
                <w:sz w:val="16"/>
              </w:rPr>
              <w:t>Niveaux de référence</w:t>
            </w:r>
          </w:p>
        </w:tc>
        <w:tc>
          <w:tcPr>
            <w:tcW w:w="905" w:type="pct"/>
            <w:tcBorders>
              <w:top w:val="single" w:sz="4" w:space="0" w:color="auto"/>
            </w:tcBorders>
            <w:shd w:val="clear" w:color="auto" w:fill="auto"/>
            <w:tcMar>
              <w:top w:w="110" w:type="dxa"/>
            </w:tcMar>
            <w:vAlign w:val="center"/>
          </w:tcPr>
          <w:p w:rsidR="00C82EE5" w:rsidRPr="002D02F3" w:rsidRDefault="00C82EE5" w:rsidP="002950DF">
            <w:pPr>
              <w:rPr>
                <w:rFonts w:cs="Arial"/>
                <w:b/>
                <w:sz w:val="16"/>
                <w:szCs w:val="16"/>
              </w:rPr>
            </w:pPr>
            <w:r w:rsidRPr="002D02F3">
              <w:rPr>
                <w:b/>
                <w:sz w:val="16"/>
              </w:rPr>
              <w:t>Objectifs visés</w:t>
            </w:r>
          </w:p>
        </w:tc>
        <w:tc>
          <w:tcPr>
            <w:tcW w:w="1618" w:type="pct"/>
            <w:tcBorders>
              <w:top w:val="single" w:sz="4" w:space="0" w:color="auto"/>
            </w:tcBorders>
            <w:shd w:val="clear" w:color="auto" w:fill="FFFFFF"/>
            <w:tcMar>
              <w:top w:w="110" w:type="dxa"/>
            </w:tcMar>
            <w:vAlign w:val="center"/>
          </w:tcPr>
          <w:p w:rsidR="00C82EE5" w:rsidRPr="002D02F3" w:rsidRDefault="00C82EE5" w:rsidP="002950DF">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56083E">
        <w:trPr>
          <w:cantSplit/>
        </w:trPr>
        <w:tc>
          <w:tcPr>
            <w:tcW w:w="881" w:type="pct"/>
            <w:shd w:val="clear" w:color="auto" w:fill="auto"/>
          </w:tcPr>
          <w:p w:rsidR="00C82EE5" w:rsidRPr="002950DF" w:rsidRDefault="00C82EE5" w:rsidP="00B9205A">
            <w:pPr>
              <w:ind w:leftChars="-11" w:left="-22"/>
              <w:rPr>
                <w:rFonts w:cs="Arial"/>
                <w:sz w:val="16"/>
                <w:szCs w:val="16"/>
              </w:rPr>
            </w:pPr>
            <w:r w:rsidRPr="002950DF">
              <w:rPr>
                <w:sz w:val="16"/>
              </w:rPr>
              <w:t>Externalisation de l</w:t>
            </w:r>
            <w:r w:rsidR="00A20444" w:rsidRPr="002950DF">
              <w:rPr>
                <w:sz w:val="16"/>
              </w:rPr>
              <w:t>’</w:t>
            </w:r>
            <w:r w:rsidRPr="002950DF">
              <w:rPr>
                <w:sz w:val="16"/>
              </w:rPr>
              <w:t>exploitation et de la fourniture de l</w:t>
            </w:r>
            <w:r w:rsidR="00A20444" w:rsidRPr="002950DF">
              <w:rPr>
                <w:sz w:val="16"/>
              </w:rPr>
              <w:t>’</w:t>
            </w:r>
            <w:r w:rsidRPr="002950DF">
              <w:rPr>
                <w:sz w:val="16"/>
              </w:rPr>
              <w:t>infrastructure technique informatique</w:t>
            </w:r>
          </w:p>
        </w:tc>
        <w:tc>
          <w:tcPr>
            <w:tcW w:w="914" w:type="pct"/>
            <w:gridSpan w:val="2"/>
            <w:shd w:val="clear" w:color="auto" w:fill="auto"/>
          </w:tcPr>
          <w:p w:rsidR="00C82EE5" w:rsidRPr="002950DF" w:rsidRDefault="00C82EE5" w:rsidP="00B9205A">
            <w:pPr>
              <w:ind w:leftChars="-11" w:left="-22"/>
              <w:rPr>
                <w:rFonts w:cs="Arial"/>
                <w:sz w:val="16"/>
                <w:szCs w:val="16"/>
              </w:rPr>
            </w:pPr>
            <w:r w:rsidRPr="002950DF">
              <w:rPr>
                <w:sz w:val="16"/>
              </w:rPr>
              <w:t>Deux applications hébergées</w:t>
            </w:r>
          </w:p>
        </w:tc>
        <w:tc>
          <w:tcPr>
            <w:tcW w:w="905" w:type="pct"/>
            <w:shd w:val="clear" w:color="auto" w:fill="auto"/>
            <w:tcMar>
              <w:top w:w="110" w:type="dxa"/>
            </w:tcMar>
          </w:tcPr>
          <w:p w:rsidR="00D42474" w:rsidRDefault="00C82EE5" w:rsidP="001A5BF9">
            <w:pPr>
              <w:autoSpaceDE w:val="0"/>
              <w:autoSpaceDN w:val="0"/>
              <w:adjustRightInd w:val="0"/>
              <w:rPr>
                <w:rFonts w:cs="Arial"/>
                <w:color w:val="000000"/>
                <w:sz w:val="16"/>
                <w:szCs w:val="16"/>
              </w:rPr>
            </w:pPr>
            <w:r w:rsidRPr="005C7CCE">
              <w:rPr>
                <w:color w:val="000000"/>
                <w:sz w:val="16"/>
              </w:rPr>
              <w:t>30</w:t>
            </w:r>
            <w:r w:rsidR="007E442D" w:rsidRPr="005C7CCE">
              <w:rPr>
                <w:color w:val="000000"/>
                <w:sz w:val="16"/>
              </w:rPr>
              <w:t>%</w:t>
            </w:r>
            <w:r w:rsidRPr="005C7CCE">
              <w:rPr>
                <w:color w:val="000000"/>
                <w:sz w:val="16"/>
              </w:rPr>
              <w:t xml:space="preserve"> du parc</w:t>
            </w:r>
          </w:p>
          <w:p w:rsidR="00C82EE5" w:rsidRPr="005C7CCE" w:rsidRDefault="00C82EE5" w:rsidP="00B9205A">
            <w:pPr>
              <w:ind w:leftChars="14" w:left="28"/>
              <w:rPr>
                <w:rFonts w:cs="Arial"/>
                <w:color w:val="000000"/>
                <w:sz w:val="16"/>
                <w:szCs w:val="16"/>
              </w:rPr>
            </w:pPr>
            <w:r w:rsidRPr="005C7CCE">
              <w:rPr>
                <w:color w:val="000000"/>
                <w:sz w:val="16"/>
              </w:rPr>
              <w:t xml:space="preserve">de serveurs </w:t>
            </w:r>
            <w:proofErr w:type="gramStart"/>
            <w:r w:rsidRPr="005C7CCE">
              <w:rPr>
                <w:color w:val="000000"/>
                <w:sz w:val="16"/>
              </w:rPr>
              <w:t>hébergé</w:t>
            </w:r>
            <w:proofErr w:type="gramEnd"/>
            <w:r w:rsidRPr="005C7CCE">
              <w:rPr>
                <w:color w:val="000000"/>
                <w:sz w:val="16"/>
              </w:rPr>
              <w:t xml:space="preserve"> par l</w:t>
            </w:r>
            <w:r w:rsidR="00A20444" w:rsidRPr="005C7CCE">
              <w:rPr>
                <w:color w:val="000000"/>
                <w:sz w:val="16"/>
              </w:rPr>
              <w:t>’</w:t>
            </w:r>
            <w:proofErr w:type="spellStart"/>
            <w:r w:rsidRPr="005C7CCE">
              <w:rPr>
                <w:color w:val="000000"/>
                <w:sz w:val="16"/>
              </w:rPr>
              <w:t>ICC</w:t>
            </w:r>
            <w:proofErr w:type="spellEnd"/>
            <w:r w:rsidRPr="005C7CCE">
              <w:rPr>
                <w:color w:val="000000"/>
                <w:sz w:val="16"/>
              </w:rPr>
              <w:t xml:space="preserve"> </w:t>
            </w:r>
          </w:p>
        </w:tc>
        <w:tc>
          <w:tcPr>
            <w:tcW w:w="1618" w:type="pct"/>
            <w:shd w:val="clear" w:color="auto" w:fill="FFFFFF"/>
            <w:tcMar>
              <w:top w:w="110" w:type="dxa"/>
            </w:tcMar>
          </w:tcPr>
          <w:p w:rsidR="00C82EE5" w:rsidRPr="005C7CCE" w:rsidRDefault="00C82EE5" w:rsidP="001A5BF9">
            <w:pPr>
              <w:rPr>
                <w:rFonts w:cs="Arial"/>
                <w:color w:val="000000"/>
                <w:sz w:val="16"/>
                <w:szCs w:val="16"/>
              </w:rPr>
            </w:pPr>
            <w:r w:rsidRPr="005C7CCE">
              <w:rPr>
                <w:color w:val="000000"/>
                <w:sz w:val="16"/>
              </w:rPr>
              <w:t>75</w:t>
            </w:r>
            <w:r w:rsidR="007E442D" w:rsidRPr="005C7CCE">
              <w:rPr>
                <w:color w:val="000000"/>
                <w:sz w:val="16"/>
              </w:rPr>
              <w:t>%</w:t>
            </w:r>
            <w:r w:rsidRPr="005C7CCE">
              <w:rPr>
                <w:color w:val="000000"/>
                <w:sz w:val="16"/>
              </w:rPr>
              <w:t xml:space="preserve"> du parc de serveurs hébergé au Centre international de calcul des </w:t>
            </w:r>
            <w:r w:rsidR="00A20444" w:rsidRPr="005C7CCE">
              <w:rPr>
                <w:color w:val="000000"/>
                <w:sz w:val="16"/>
              </w:rPr>
              <w:t>Nations Unies</w:t>
            </w:r>
            <w:r w:rsidRPr="005C7CCE">
              <w:rPr>
                <w:color w:val="000000"/>
                <w:sz w:val="16"/>
              </w:rPr>
              <w:t xml:space="preserve"> (</w:t>
            </w:r>
            <w:proofErr w:type="spellStart"/>
            <w:r w:rsidRPr="005C7CCE">
              <w:rPr>
                <w:color w:val="000000"/>
                <w:sz w:val="16"/>
              </w:rPr>
              <w:t>UNICC</w:t>
            </w:r>
            <w:proofErr w:type="spellEnd"/>
            <w:r w:rsidRPr="005C7CCE">
              <w:rPr>
                <w:color w:val="000000"/>
                <w:sz w:val="16"/>
              </w:rPr>
              <w:t>) et tous les nouveaux serveurs sont désormais provisionnés par le biais de l</w:t>
            </w:r>
            <w:r w:rsidR="00A20444" w:rsidRPr="005C7CCE">
              <w:rPr>
                <w:color w:val="000000"/>
                <w:sz w:val="16"/>
              </w:rPr>
              <w:t>’</w:t>
            </w:r>
            <w:proofErr w:type="spellStart"/>
            <w:r w:rsidRPr="005C7CCE">
              <w:rPr>
                <w:color w:val="000000"/>
                <w:sz w:val="16"/>
              </w:rPr>
              <w:t>UNICC</w:t>
            </w:r>
            <w:proofErr w:type="spellEnd"/>
            <w:r w:rsidRPr="005C7CCE">
              <w:rPr>
                <w:color w:val="000000"/>
                <w:sz w:val="16"/>
              </w:rPr>
              <w:t>.</w:t>
            </w:r>
          </w:p>
        </w:tc>
        <w:tc>
          <w:tcPr>
            <w:tcW w:w="682" w:type="pct"/>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color w:val="008000"/>
                <w:sz w:val="16"/>
              </w:rPr>
              <w:t>Objectif pleinement atteint</w:t>
            </w:r>
          </w:p>
        </w:tc>
      </w:tr>
      <w:tr w:rsidR="00C82EE5" w:rsidRPr="005C7CCE" w:rsidTr="0056083E">
        <w:trPr>
          <w:cantSplit/>
        </w:trPr>
        <w:tc>
          <w:tcPr>
            <w:tcW w:w="881" w:type="pct"/>
            <w:shd w:val="clear" w:color="auto" w:fill="auto"/>
          </w:tcPr>
          <w:p w:rsidR="00C82EE5" w:rsidRPr="002950DF" w:rsidRDefault="00C82EE5" w:rsidP="00B9205A">
            <w:pPr>
              <w:ind w:leftChars="-11" w:left="-22"/>
              <w:rPr>
                <w:rFonts w:cs="Arial"/>
                <w:sz w:val="16"/>
                <w:szCs w:val="16"/>
              </w:rPr>
            </w:pPr>
            <w:r w:rsidRPr="002950DF">
              <w:rPr>
                <w:sz w:val="16"/>
              </w:rPr>
              <w:t>Les réunions de l</w:t>
            </w:r>
            <w:r w:rsidR="00A20444" w:rsidRPr="002950DF">
              <w:rPr>
                <w:sz w:val="16"/>
              </w:rPr>
              <w:t>’</w:t>
            </w:r>
            <w:r w:rsidRPr="002950DF">
              <w:rPr>
                <w:sz w:val="16"/>
              </w:rPr>
              <w:t>OMPI sont accessibles en temps réel sur Internet ou après la rencontre</w:t>
            </w:r>
          </w:p>
        </w:tc>
        <w:tc>
          <w:tcPr>
            <w:tcW w:w="914" w:type="pct"/>
            <w:gridSpan w:val="2"/>
            <w:shd w:val="clear" w:color="auto" w:fill="auto"/>
          </w:tcPr>
          <w:p w:rsidR="00C82EE5" w:rsidRPr="002950DF" w:rsidRDefault="00C82EE5" w:rsidP="00B9205A">
            <w:pPr>
              <w:ind w:leftChars="-11" w:left="-22"/>
              <w:rPr>
                <w:rFonts w:cs="Arial"/>
                <w:sz w:val="16"/>
                <w:szCs w:val="16"/>
              </w:rPr>
            </w:pPr>
            <w:r w:rsidRPr="002950DF">
              <w:rPr>
                <w:sz w:val="16"/>
              </w:rPr>
              <w:t>Assemblées radiodiffusées</w:t>
            </w:r>
          </w:p>
        </w:tc>
        <w:tc>
          <w:tcPr>
            <w:tcW w:w="905" w:type="pct"/>
            <w:shd w:val="clear" w:color="auto" w:fill="auto"/>
            <w:tcMar>
              <w:top w:w="110" w:type="dxa"/>
            </w:tcMar>
          </w:tcPr>
          <w:p w:rsidR="00D42474" w:rsidRDefault="00C82EE5" w:rsidP="001A5BF9">
            <w:pPr>
              <w:autoSpaceDE w:val="0"/>
              <w:autoSpaceDN w:val="0"/>
              <w:adjustRightInd w:val="0"/>
              <w:rPr>
                <w:rFonts w:cs="Arial"/>
                <w:color w:val="000000"/>
                <w:sz w:val="16"/>
                <w:szCs w:val="16"/>
              </w:rPr>
            </w:pPr>
            <w:r w:rsidRPr="005C7CCE">
              <w:rPr>
                <w:color w:val="000000"/>
                <w:sz w:val="16"/>
              </w:rPr>
              <w:t>Au moins 20 jours</w:t>
            </w:r>
          </w:p>
          <w:p w:rsidR="00C82EE5" w:rsidRPr="005C7CCE" w:rsidRDefault="00C82EE5" w:rsidP="00B9205A">
            <w:pPr>
              <w:ind w:leftChars="-11" w:left="-22"/>
              <w:rPr>
                <w:rFonts w:cs="Arial"/>
                <w:color w:val="000000"/>
                <w:sz w:val="16"/>
                <w:szCs w:val="16"/>
              </w:rPr>
            </w:pPr>
            <w:r w:rsidRPr="005C7CCE">
              <w:rPr>
                <w:color w:val="000000"/>
                <w:sz w:val="16"/>
              </w:rPr>
              <w:t xml:space="preserve">de réunions </w:t>
            </w:r>
            <w:proofErr w:type="gramStart"/>
            <w:r w:rsidRPr="005C7CCE">
              <w:rPr>
                <w:color w:val="000000"/>
                <w:sz w:val="16"/>
              </w:rPr>
              <w:t>radiodiffusés</w:t>
            </w:r>
            <w:proofErr w:type="gramEnd"/>
          </w:p>
        </w:tc>
        <w:tc>
          <w:tcPr>
            <w:tcW w:w="1618" w:type="pct"/>
            <w:shd w:val="clear" w:color="auto" w:fill="FFFFFF"/>
            <w:tcMar>
              <w:top w:w="110" w:type="dxa"/>
            </w:tcMar>
          </w:tcPr>
          <w:p w:rsidR="00C82EE5" w:rsidRPr="005C7CCE" w:rsidRDefault="00C82EE5" w:rsidP="001A5BF9">
            <w:pPr>
              <w:rPr>
                <w:rFonts w:cs="Arial"/>
                <w:color w:val="000000"/>
                <w:sz w:val="16"/>
                <w:szCs w:val="16"/>
              </w:rPr>
            </w:pPr>
            <w:r w:rsidRPr="005C7CCE">
              <w:rPr>
                <w:color w:val="000000"/>
                <w:sz w:val="16"/>
              </w:rPr>
              <w:t>Quelque 186 (88 en 2012 et 98 en 2013) jours de réunions ont fait l</w:t>
            </w:r>
            <w:r w:rsidR="00A20444" w:rsidRPr="005C7CCE">
              <w:rPr>
                <w:color w:val="000000"/>
                <w:sz w:val="16"/>
              </w:rPr>
              <w:t>’</w:t>
            </w:r>
            <w:r w:rsidRPr="005C7CCE">
              <w:rPr>
                <w:color w:val="000000"/>
                <w:sz w:val="16"/>
              </w:rPr>
              <w:t>objet d</w:t>
            </w:r>
            <w:r w:rsidR="00A20444" w:rsidRPr="005C7CCE">
              <w:rPr>
                <w:color w:val="000000"/>
                <w:sz w:val="16"/>
              </w:rPr>
              <w:t>’</w:t>
            </w:r>
            <w:r w:rsidRPr="005C7CCE">
              <w:rPr>
                <w:color w:val="000000"/>
                <w:sz w:val="16"/>
              </w:rPr>
              <w:t>une diffusion sur le Web, dont les réunions de l</w:t>
            </w:r>
            <w:r w:rsidR="00A20444" w:rsidRPr="005C7CCE">
              <w:rPr>
                <w:color w:val="000000"/>
                <w:sz w:val="16"/>
              </w:rPr>
              <w:t>’</w:t>
            </w:r>
            <w:r w:rsidRPr="005C7CCE">
              <w:rPr>
                <w:color w:val="000000"/>
                <w:sz w:val="16"/>
              </w:rPr>
              <w:t xml:space="preserve">Assemblée et les conférences diplomatiques. </w:t>
            </w:r>
            <w:r w:rsidR="0010442A" w:rsidRPr="005C7CCE">
              <w:rPr>
                <w:color w:val="000000"/>
                <w:sz w:val="16"/>
              </w:rPr>
              <w:t xml:space="preserve"> </w:t>
            </w:r>
            <w:r w:rsidRPr="005C7CCE">
              <w:rPr>
                <w:color w:val="000000"/>
                <w:sz w:val="16"/>
              </w:rPr>
              <w:t>Un système d</w:t>
            </w:r>
            <w:r w:rsidR="00A20444" w:rsidRPr="005C7CCE">
              <w:rPr>
                <w:color w:val="000000"/>
                <w:sz w:val="16"/>
              </w:rPr>
              <w:t>’</w:t>
            </w:r>
            <w:r w:rsidRPr="005C7CCE">
              <w:rPr>
                <w:color w:val="000000"/>
                <w:sz w:val="16"/>
              </w:rPr>
              <w:t>archive de vidéos à la demande des réunions diffusées sur Internet est disponible sur le site</w:t>
            </w:r>
            <w:r w:rsidR="0010442A" w:rsidRPr="005C7CCE">
              <w:rPr>
                <w:color w:val="000000"/>
                <w:sz w:val="16"/>
              </w:rPr>
              <w:t> </w:t>
            </w:r>
            <w:r w:rsidRPr="005C7CCE">
              <w:rPr>
                <w:color w:val="000000"/>
                <w:sz w:val="16"/>
              </w:rPr>
              <w:t>Web de l</w:t>
            </w:r>
            <w:r w:rsidR="00A20444" w:rsidRPr="005C7CCE">
              <w:rPr>
                <w:color w:val="000000"/>
                <w:sz w:val="16"/>
              </w:rPr>
              <w:t>’</w:t>
            </w:r>
            <w:r w:rsidRPr="005C7CCE">
              <w:rPr>
                <w:color w:val="000000"/>
                <w:sz w:val="16"/>
              </w:rPr>
              <w:t>OMPI.</w:t>
            </w:r>
          </w:p>
        </w:tc>
        <w:tc>
          <w:tcPr>
            <w:tcW w:w="682" w:type="pct"/>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color w:val="008000"/>
                <w:sz w:val="16"/>
              </w:rPr>
              <w:t>Objectif pleinement atteint</w:t>
            </w:r>
          </w:p>
        </w:tc>
      </w:tr>
      <w:tr w:rsidR="00C82EE5" w:rsidRPr="005C7CCE" w:rsidTr="0056083E">
        <w:trPr>
          <w:cantSplit/>
        </w:trPr>
        <w:tc>
          <w:tcPr>
            <w:tcW w:w="881" w:type="pct"/>
            <w:tcBorders>
              <w:bottom w:val="single" w:sz="4" w:space="0" w:color="auto"/>
            </w:tcBorders>
            <w:shd w:val="clear" w:color="auto" w:fill="auto"/>
          </w:tcPr>
          <w:p w:rsidR="00D42474" w:rsidRDefault="00C82EE5" w:rsidP="00B9205A">
            <w:pPr>
              <w:ind w:leftChars="-11" w:left="-22"/>
              <w:rPr>
                <w:rFonts w:cs="Arial"/>
                <w:sz w:val="16"/>
                <w:szCs w:val="16"/>
              </w:rPr>
            </w:pPr>
            <w:r w:rsidRPr="002950DF">
              <w:rPr>
                <w:sz w:val="16"/>
              </w:rPr>
              <w:t>Nombre de voies de communication harmonieusement intégrées</w:t>
            </w:r>
          </w:p>
          <w:p w:rsidR="00C82EE5" w:rsidRPr="002950DF" w:rsidRDefault="00C82EE5" w:rsidP="00B9205A">
            <w:pPr>
              <w:ind w:leftChars="-11" w:left="-22"/>
              <w:rPr>
                <w:rFonts w:cs="Arial"/>
                <w:sz w:val="16"/>
                <w:szCs w:val="16"/>
              </w:rPr>
            </w:pPr>
          </w:p>
        </w:tc>
        <w:tc>
          <w:tcPr>
            <w:tcW w:w="914" w:type="pct"/>
            <w:gridSpan w:val="2"/>
            <w:tcBorders>
              <w:bottom w:val="single" w:sz="4" w:space="0" w:color="auto"/>
            </w:tcBorders>
            <w:shd w:val="clear" w:color="auto" w:fill="auto"/>
          </w:tcPr>
          <w:p w:rsidR="00C82EE5" w:rsidRPr="002950DF" w:rsidRDefault="00C82EE5" w:rsidP="00B9205A">
            <w:pPr>
              <w:ind w:leftChars="-11" w:left="-22"/>
              <w:rPr>
                <w:rFonts w:cs="Arial"/>
                <w:sz w:val="16"/>
                <w:szCs w:val="16"/>
              </w:rPr>
            </w:pPr>
            <w:r w:rsidRPr="002950DF">
              <w:rPr>
                <w:sz w:val="16"/>
              </w:rPr>
              <w:t>Courrier électronique, téléphones séparés</w:t>
            </w:r>
          </w:p>
        </w:tc>
        <w:tc>
          <w:tcPr>
            <w:tcW w:w="905" w:type="pct"/>
            <w:tcBorders>
              <w:bottom w:val="single" w:sz="4" w:space="0" w:color="auto"/>
            </w:tcBorders>
            <w:shd w:val="clear" w:color="auto" w:fill="auto"/>
            <w:tcMar>
              <w:top w:w="110" w:type="dxa"/>
            </w:tcMar>
          </w:tcPr>
          <w:p w:rsidR="00D42474" w:rsidRDefault="00C82EE5" w:rsidP="001A5BF9">
            <w:pPr>
              <w:autoSpaceDE w:val="0"/>
              <w:autoSpaceDN w:val="0"/>
              <w:adjustRightInd w:val="0"/>
              <w:rPr>
                <w:rFonts w:cs="Arial"/>
                <w:color w:val="000000"/>
                <w:sz w:val="16"/>
                <w:szCs w:val="16"/>
              </w:rPr>
            </w:pPr>
            <w:r w:rsidRPr="005C7CCE">
              <w:rPr>
                <w:color w:val="000000"/>
                <w:sz w:val="16"/>
              </w:rPr>
              <w:t>courrier électronique, téléphone,</w:t>
            </w:r>
          </w:p>
          <w:p w:rsidR="00D42474" w:rsidRDefault="00C82EE5" w:rsidP="001A5BF9">
            <w:pPr>
              <w:autoSpaceDE w:val="0"/>
              <w:autoSpaceDN w:val="0"/>
              <w:adjustRightInd w:val="0"/>
              <w:rPr>
                <w:rFonts w:cs="Arial"/>
                <w:color w:val="000000"/>
                <w:sz w:val="16"/>
                <w:szCs w:val="16"/>
              </w:rPr>
            </w:pPr>
            <w:r w:rsidRPr="005C7CCE">
              <w:rPr>
                <w:color w:val="000000"/>
                <w:sz w:val="16"/>
              </w:rPr>
              <w:t>conférence Web, réunion Web,</w:t>
            </w:r>
          </w:p>
          <w:p w:rsidR="00D42474" w:rsidRDefault="00C82EE5" w:rsidP="001A5BF9">
            <w:pPr>
              <w:autoSpaceDE w:val="0"/>
              <w:autoSpaceDN w:val="0"/>
              <w:adjustRightInd w:val="0"/>
              <w:rPr>
                <w:rFonts w:cs="Arial"/>
                <w:color w:val="000000"/>
                <w:sz w:val="16"/>
                <w:szCs w:val="16"/>
              </w:rPr>
            </w:pPr>
            <w:r w:rsidRPr="005C7CCE">
              <w:rPr>
                <w:color w:val="000000"/>
                <w:sz w:val="16"/>
              </w:rPr>
              <w:t>séminaire Web</w:t>
            </w:r>
          </w:p>
          <w:p w:rsidR="00D42474" w:rsidRDefault="00C82EE5" w:rsidP="00B9205A">
            <w:pPr>
              <w:ind w:leftChars="-11" w:left="-22"/>
              <w:rPr>
                <w:rFonts w:cs="Arial"/>
                <w:color w:val="000000"/>
                <w:sz w:val="16"/>
                <w:szCs w:val="16"/>
              </w:rPr>
            </w:pPr>
            <w:r w:rsidRPr="005C7CCE">
              <w:rPr>
                <w:color w:val="000000"/>
                <w:sz w:val="16"/>
              </w:rPr>
              <w:t>intégrés</w:t>
            </w:r>
          </w:p>
          <w:p w:rsidR="00C82EE5" w:rsidRPr="005C7CCE" w:rsidRDefault="00C82EE5" w:rsidP="001A5BF9">
            <w:pPr>
              <w:rPr>
                <w:rFonts w:cs="Arial"/>
                <w:color w:val="000000"/>
                <w:sz w:val="16"/>
                <w:szCs w:val="16"/>
              </w:rPr>
            </w:pPr>
          </w:p>
        </w:tc>
        <w:tc>
          <w:tcPr>
            <w:tcW w:w="1618" w:type="pct"/>
            <w:tcBorders>
              <w:bottom w:val="single" w:sz="4" w:space="0" w:color="auto"/>
            </w:tcBorders>
            <w:shd w:val="clear" w:color="auto" w:fill="FFFFFF"/>
            <w:tcMar>
              <w:top w:w="110" w:type="dxa"/>
            </w:tcMar>
          </w:tcPr>
          <w:p w:rsidR="00C82EE5" w:rsidRPr="005C7CCE" w:rsidRDefault="00C82EE5" w:rsidP="001A5BF9">
            <w:pPr>
              <w:rPr>
                <w:rFonts w:cs="Arial"/>
                <w:color w:val="000000"/>
                <w:sz w:val="16"/>
                <w:szCs w:val="16"/>
              </w:rPr>
            </w:pPr>
            <w:r w:rsidRPr="005C7CCE">
              <w:rPr>
                <w:color w:val="000000"/>
                <w:sz w:val="16"/>
              </w:rPr>
              <w:t>Intégration réussie du courrier électronique, de la téléphonie et des réunions sur le Web.</w:t>
            </w:r>
            <w:r w:rsidR="0010442A" w:rsidRPr="005C7CCE">
              <w:rPr>
                <w:color w:val="000000"/>
                <w:sz w:val="16"/>
              </w:rPr>
              <w:t xml:space="preserve"> </w:t>
            </w:r>
            <w:r w:rsidRPr="005C7CCE">
              <w:rPr>
                <w:color w:val="000000"/>
                <w:sz w:val="16"/>
              </w:rPr>
              <w:t xml:space="preserve"> L</w:t>
            </w:r>
            <w:r w:rsidR="00A20444" w:rsidRPr="005C7CCE">
              <w:rPr>
                <w:color w:val="000000"/>
                <w:sz w:val="16"/>
              </w:rPr>
              <w:t>’</w:t>
            </w:r>
            <w:r w:rsidRPr="005C7CCE">
              <w:rPr>
                <w:color w:val="000000"/>
                <w:sz w:val="16"/>
              </w:rPr>
              <w:t>intégration des conférences Web et des séminaires sur le Web sera traitée pendant l</w:t>
            </w:r>
            <w:r w:rsidR="00A20444" w:rsidRPr="005C7CCE">
              <w:rPr>
                <w:color w:val="000000"/>
                <w:sz w:val="16"/>
              </w:rPr>
              <w:t>’</w:t>
            </w:r>
            <w:r w:rsidRPr="005C7CCE">
              <w:rPr>
                <w:color w:val="000000"/>
                <w:sz w:val="16"/>
              </w:rPr>
              <w:t>exercice biennal 2014</w:t>
            </w:r>
            <w:r w:rsidR="002D6F2A" w:rsidRPr="005C7CCE">
              <w:rPr>
                <w:color w:val="000000"/>
                <w:sz w:val="16"/>
              </w:rPr>
              <w:noBreakHyphen/>
            </w:r>
            <w:r w:rsidRPr="005C7CCE">
              <w:rPr>
                <w:color w:val="000000"/>
                <w:sz w:val="16"/>
              </w:rPr>
              <w:t xml:space="preserve">2015. </w:t>
            </w:r>
            <w:r w:rsidR="0010442A" w:rsidRPr="005C7CCE">
              <w:rPr>
                <w:color w:val="000000"/>
                <w:sz w:val="16"/>
              </w:rPr>
              <w:t xml:space="preserve"> </w:t>
            </w:r>
          </w:p>
        </w:tc>
        <w:tc>
          <w:tcPr>
            <w:tcW w:w="682" w:type="pct"/>
            <w:tcBorders>
              <w:bottom w:val="single" w:sz="4" w:space="0" w:color="auto"/>
            </w:tcBorders>
            <w:shd w:val="clear" w:color="auto" w:fill="auto"/>
            <w:tcMar>
              <w:top w:w="110" w:type="dxa"/>
            </w:tcMar>
          </w:tcPr>
          <w:p w:rsidR="00D42474" w:rsidRDefault="00C82EE5" w:rsidP="001A5BF9">
            <w:pPr>
              <w:keepNext/>
              <w:keepLines/>
              <w:jc w:val="center"/>
              <w:rPr>
                <w:rStyle w:val="Style5"/>
                <w:rFonts w:ascii="Arial" w:hAnsi="Arial" w:cs="Arial"/>
                <w:color w:val="008000"/>
                <w:sz w:val="16"/>
                <w:szCs w:val="16"/>
              </w:rPr>
            </w:pPr>
            <w:r w:rsidRPr="005C7CCE">
              <w:rPr>
                <w:color w:val="008000"/>
                <w:sz w:val="16"/>
              </w:rPr>
              <w:t xml:space="preserve"> </w:t>
            </w:r>
            <w:r w:rsidR="0015421B" w:rsidRPr="0015421B">
              <w:rPr>
                <w:color w:val="E36C0A"/>
                <w:sz w:val="16"/>
              </w:rPr>
              <w:t>Objectif partiellement atteint</w:t>
            </w:r>
          </w:p>
          <w:p w:rsidR="00C82EE5" w:rsidRPr="005C7CCE" w:rsidRDefault="00C82EE5" w:rsidP="001A5BF9">
            <w:pPr>
              <w:keepNext/>
              <w:keepLines/>
              <w:jc w:val="center"/>
              <w:rPr>
                <w:rFonts w:cs="Arial"/>
                <w:bCs/>
                <w:color w:val="008000"/>
                <w:sz w:val="16"/>
                <w:szCs w:val="16"/>
              </w:rPr>
            </w:pPr>
          </w:p>
        </w:tc>
      </w:tr>
      <w:tr w:rsidR="00C82EE5" w:rsidRPr="002D02F3" w:rsidTr="0056083E">
        <w:trPr>
          <w:cantSplit/>
        </w:trPr>
        <w:tc>
          <w:tcPr>
            <w:tcW w:w="5000" w:type="pct"/>
            <w:gridSpan w:val="6"/>
            <w:tcBorders>
              <w:top w:val="single" w:sz="4" w:space="0" w:color="auto"/>
              <w:bottom w:val="single" w:sz="4" w:space="0" w:color="auto"/>
            </w:tcBorders>
            <w:shd w:val="clear" w:color="auto" w:fill="CCFFFF"/>
            <w:vAlign w:val="center"/>
          </w:tcPr>
          <w:p w:rsidR="00C82EE5" w:rsidRPr="002D02F3" w:rsidRDefault="00C82EE5" w:rsidP="001A5BF9">
            <w:pPr>
              <w:keepNext/>
              <w:keepLines/>
              <w:tabs>
                <w:tab w:val="left" w:pos="1452"/>
              </w:tabs>
              <w:spacing w:before="120" w:after="120"/>
              <w:ind w:left="1701" w:hanging="1701"/>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Sûreté et sécurité des membres du personnel, des délégués, des visiteurs, des données et des biens de l</w:t>
            </w:r>
            <w:r w:rsidR="00A20444" w:rsidRPr="002D02F3">
              <w:rPr>
                <w:sz w:val="16"/>
              </w:rPr>
              <w:t>’</w:t>
            </w:r>
            <w:r w:rsidRPr="002D02F3">
              <w:rPr>
                <w:sz w:val="16"/>
              </w:rPr>
              <w:t>OMPI</w:t>
            </w:r>
          </w:p>
        </w:tc>
      </w:tr>
      <w:tr w:rsidR="00C82EE5" w:rsidRPr="002D02F3" w:rsidTr="0056083E">
        <w:trPr>
          <w:cantSplit/>
        </w:trPr>
        <w:tc>
          <w:tcPr>
            <w:tcW w:w="881" w:type="pct"/>
            <w:tcBorders>
              <w:top w:val="single" w:sz="4" w:space="0" w:color="auto"/>
            </w:tcBorders>
            <w:shd w:val="clear" w:color="auto" w:fill="auto"/>
            <w:vAlign w:val="center"/>
          </w:tcPr>
          <w:p w:rsidR="00C82EE5" w:rsidRPr="002D02F3" w:rsidRDefault="00C82EE5" w:rsidP="002950DF">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14" w:type="pct"/>
            <w:gridSpan w:val="2"/>
            <w:tcBorders>
              <w:top w:val="single" w:sz="4" w:space="0" w:color="auto"/>
            </w:tcBorders>
            <w:shd w:val="clear" w:color="auto" w:fill="auto"/>
            <w:vAlign w:val="center"/>
          </w:tcPr>
          <w:p w:rsidR="00C82EE5" w:rsidRPr="002D02F3" w:rsidRDefault="00C82EE5" w:rsidP="002950DF">
            <w:pPr>
              <w:rPr>
                <w:rFonts w:cs="Arial"/>
                <w:b/>
                <w:bCs/>
                <w:sz w:val="16"/>
                <w:szCs w:val="16"/>
              </w:rPr>
            </w:pPr>
            <w:r w:rsidRPr="002D02F3">
              <w:rPr>
                <w:b/>
                <w:sz w:val="16"/>
              </w:rPr>
              <w:t>Niveaux de référence</w:t>
            </w:r>
          </w:p>
        </w:tc>
        <w:tc>
          <w:tcPr>
            <w:tcW w:w="905" w:type="pct"/>
            <w:tcBorders>
              <w:top w:val="single" w:sz="4" w:space="0" w:color="auto"/>
            </w:tcBorders>
            <w:shd w:val="clear" w:color="auto" w:fill="auto"/>
            <w:tcMar>
              <w:top w:w="110" w:type="dxa"/>
            </w:tcMar>
            <w:vAlign w:val="center"/>
          </w:tcPr>
          <w:p w:rsidR="00C82EE5" w:rsidRPr="002D02F3" w:rsidRDefault="00C82EE5" w:rsidP="002950DF">
            <w:pPr>
              <w:rPr>
                <w:rFonts w:cs="Arial"/>
                <w:b/>
                <w:sz w:val="16"/>
                <w:szCs w:val="16"/>
              </w:rPr>
            </w:pPr>
            <w:r w:rsidRPr="002D02F3">
              <w:rPr>
                <w:b/>
                <w:sz w:val="16"/>
              </w:rPr>
              <w:t>Objectifs visés</w:t>
            </w:r>
          </w:p>
        </w:tc>
        <w:tc>
          <w:tcPr>
            <w:tcW w:w="1618" w:type="pct"/>
            <w:tcBorders>
              <w:top w:val="single" w:sz="4" w:space="0" w:color="auto"/>
            </w:tcBorders>
            <w:shd w:val="clear" w:color="auto" w:fill="FFFFFF"/>
            <w:tcMar>
              <w:top w:w="110" w:type="dxa"/>
            </w:tcMar>
            <w:vAlign w:val="center"/>
          </w:tcPr>
          <w:p w:rsidR="00C82EE5" w:rsidRPr="002D02F3" w:rsidRDefault="00C82EE5" w:rsidP="002950DF">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C82EE5" w:rsidRPr="002D02F3" w:rsidRDefault="00C82EE5" w:rsidP="001A5BF9">
            <w:pPr>
              <w:keepNext/>
              <w:keepLines/>
              <w:jc w:val="center"/>
              <w:rPr>
                <w:rFonts w:cs="Arial"/>
                <w:b/>
                <w:bCs/>
                <w:sz w:val="16"/>
                <w:szCs w:val="16"/>
              </w:rPr>
            </w:pPr>
            <w:r w:rsidRPr="002D02F3">
              <w:rPr>
                <w:b/>
                <w:sz w:val="16"/>
              </w:rPr>
              <w:t>Code de couleurs</w:t>
            </w:r>
          </w:p>
        </w:tc>
      </w:tr>
      <w:tr w:rsidR="00C82EE5" w:rsidRPr="005C7CCE" w:rsidTr="0056083E">
        <w:trPr>
          <w:cantSplit/>
        </w:trPr>
        <w:tc>
          <w:tcPr>
            <w:tcW w:w="881" w:type="pct"/>
            <w:shd w:val="clear" w:color="auto" w:fill="auto"/>
          </w:tcPr>
          <w:p w:rsidR="00C82EE5" w:rsidRPr="002950DF" w:rsidRDefault="00C82EE5" w:rsidP="00B9205A">
            <w:pPr>
              <w:ind w:leftChars="-11" w:left="-22"/>
              <w:rPr>
                <w:rFonts w:cs="Arial"/>
                <w:sz w:val="16"/>
                <w:szCs w:val="16"/>
              </w:rPr>
            </w:pPr>
            <w:r w:rsidRPr="002950DF">
              <w:rPr>
                <w:sz w:val="16"/>
              </w:rPr>
              <w:t>Caractère exhaustif et pertinence de la série de politiques, procédures et normes en matière de sécurité de l</w:t>
            </w:r>
            <w:r w:rsidR="00A20444" w:rsidRPr="002950DF">
              <w:rPr>
                <w:sz w:val="16"/>
              </w:rPr>
              <w:t>’</w:t>
            </w:r>
            <w:r w:rsidRPr="002950DF">
              <w:rPr>
                <w:sz w:val="16"/>
              </w:rPr>
              <w:t>information</w:t>
            </w:r>
          </w:p>
        </w:tc>
        <w:tc>
          <w:tcPr>
            <w:tcW w:w="914" w:type="pct"/>
            <w:gridSpan w:val="2"/>
            <w:shd w:val="clear" w:color="auto" w:fill="auto"/>
          </w:tcPr>
          <w:p w:rsidR="00C82EE5" w:rsidRPr="005C7CCE" w:rsidRDefault="00C82EE5" w:rsidP="00B9205A">
            <w:pPr>
              <w:ind w:leftChars="-11" w:left="-22"/>
              <w:rPr>
                <w:rFonts w:cs="Arial"/>
                <w:color w:val="000000"/>
                <w:sz w:val="16"/>
                <w:szCs w:val="16"/>
              </w:rPr>
            </w:pPr>
            <w:r w:rsidRPr="002950DF">
              <w:rPr>
                <w:sz w:val="16"/>
              </w:rPr>
              <w:t>Huit politiques en cours de révision</w:t>
            </w:r>
          </w:p>
        </w:tc>
        <w:tc>
          <w:tcPr>
            <w:tcW w:w="905" w:type="pct"/>
            <w:shd w:val="clear" w:color="auto" w:fill="auto"/>
            <w:tcMar>
              <w:top w:w="110" w:type="dxa"/>
            </w:tcMar>
          </w:tcPr>
          <w:p w:rsidR="00C82EE5" w:rsidRPr="005C7CCE" w:rsidRDefault="00C82EE5" w:rsidP="001A5BF9">
            <w:pPr>
              <w:rPr>
                <w:rFonts w:cs="Arial"/>
                <w:color w:val="000000"/>
                <w:sz w:val="16"/>
                <w:szCs w:val="16"/>
              </w:rPr>
            </w:pPr>
            <w:r w:rsidRPr="005C7CCE">
              <w:rPr>
                <w:color w:val="000000"/>
                <w:sz w:val="16"/>
              </w:rPr>
              <w:t xml:space="preserve">12 politiques à jour </w:t>
            </w:r>
          </w:p>
        </w:tc>
        <w:tc>
          <w:tcPr>
            <w:tcW w:w="1618" w:type="pct"/>
            <w:shd w:val="clear" w:color="auto" w:fill="FFFFFF"/>
            <w:tcMar>
              <w:top w:w="110" w:type="dxa"/>
            </w:tcMar>
          </w:tcPr>
          <w:p w:rsidR="00C82EE5" w:rsidRPr="005C7CCE" w:rsidRDefault="00C82EE5" w:rsidP="001A5BF9">
            <w:pPr>
              <w:rPr>
                <w:rFonts w:cs="Arial"/>
                <w:color w:val="000000"/>
                <w:sz w:val="16"/>
                <w:szCs w:val="16"/>
              </w:rPr>
            </w:pPr>
            <w:r w:rsidRPr="005C7CCE">
              <w:rPr>
                <w:color w:val="000000"/>
                <w:sz w:val="16"/>
              </w:rPr>
              <w:t>Les politiques de sécurité ont été révisées, actualisées et approuvées par le Conseil des TIC, ce qui a donné lieu à 20 politiques actualisées qui ont été publiées sur l</w:t>
            </w:r>
            <w:r w:rsidR="00A20444" w:rsidRPr="005C7CCE">
              <w:rPr>
                <w:color w:val="000000"/>
                <w:sz w:val="16"/>
              </w:rPr>
              <w:t>’</w:t>
            </w:r>
            <w:r w:rsidRPr="005C7CCE">
              <w:rPr>
                <w:color w:val="000000"/>
                <w:sz w:val="16"/>
              </w:rPr>
              <w:t>Intranet de l</w:t>
            </w:r>
            <w:r w:rsidR="00A20444" w:rsidRPr="005C7CCE">
              <w:rPr>
                <w:color w:val="000000"/>
                <w:sz w:val="16"/>
              </w:rPr>
              <w:t>’</w:t>
            </w:r>
            <w:r w:rsidRPr="005C7CCE">
              <w:rPr>
                <w:color w:val="000000"/>
                <w:sz w:val="16"/>
              </w:rPr>
              <w:t>OMPI.</w:t>
            </w:r>
          </w:p>
        </w:tc>
        <w:tc>
          <w:tcPr>
            <w:tcW w:w="682" w:type="pct"/>
            <w:shd w:val="clear" w:color="auto" w:fill="auto"/>
            <w:tcMar>
              <w:top w:w="110" w:type="dxa"/>
            </w:tcMar>
          </w:tcPr>
          <w:p w:rsidR="00C82EE5" w:rsidRPr="005C7CCE" w:rsidRDefault="00C82EE5"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C82EE5" w:rsidRPr="005C7CCE" w:rsidTr="0056083E">
        <w:trPr>
          <w:cantSplit/>
        </w:trPr>
        <w:tc>
          <w:tcPr>
            <w:tcW w:w="881" w:type="pct"/>
            <w:shd w:val="clear" w:color="auto" w:fill="auto"/>
          </w:tcPr>
          <w:p w:rsidR="00C82EE5" w:rsidRPr="002950DF" w:rsidRDefault="00C82EE5" w:rsidP="00B9205A">
            <w:pPr>
              <w:ind w:leftChars="-11" w:left="-22"/>
              <w:rPr>
                <w:rFonts w:cs="Arial"/>
                <w:sz w:val="16"/>
                <w:szCs w:val="16"/>
              </w:rPr>
            </w:pPr>
            <w:r w:rsidRPr="002950DF">
              <w:rPr>
                <w:sz w:val="16"/>
              </w:rPr>
              <w:t>Registre actualisé des risques en matière de sécurité de l</w:t>
            </w:r>
            <w:r w:rsidR="00A20444" w:rsidRPr="002950DF">
              <w:rPr>
                <w:sz w:val="16"/>
              </w:rPr>
              <w:t>’</w:t>
            </w:r>
            <w:r w:rsidRPr="002950DF">
              <w:rPr>
                <w:sz w:val="16"/>
              </w:rPr>
              <w:t>information</w:t>
            </w:r>
          </w:p>
        </w:tc>
        <w:tc>
          <w:tcPr>
            <w:tcW w:w="914" w:type="pct"/>
            <w:gridSpan w:val="2"/>
            <w:shd w:val="clear" w:color="auto" w:fill="auto"/>
          </w:tcPr>
          <w:p w:rsidR="00C82EE5" w:rsidRPr="005C7CCE" w:rsidRDefault="00C82EE5" w:rsidP="00B9205A">
            <w:pPr>
              <w:ind w:leftChars="-11" w:left="-22"/>
              <w:rPr>
                <w:rFonts w:cs="Arial"/>
                <w:color w:val="000000"/>
                <w:sz w:val="16"/>
                <w:szCs w:val="16"/>
              </w:rPr>
            </w:pPr>
            <w:r w:rsidRPr="005C7CCE">
              <w:rPr>
                <w:color w:val="000000"/>
                <w:sz w:val="16"/>
              </w:rPr>
              <w:t xml:space="preserve">Un registre des risques a été créé </w:t>
            </w:r>
          </w:p>
        </w:tc>
        <w:tc>
          <w:tcPr>
            <w:tcW w:w="905" w:type="pct"/>
            <w:shd w:val="clear" w:color="auto" w:fill="auto"/>
            <w:tcMar>
              <w:top w:w="110" w:type="dxa"/>
            </w:tcMar>
          </w:tcPr>
          <w:p w:rsidR="00D42474" w:rsidRDefault="00C82EE5" w:rsidP="001A5BF9">
            <w:pPr>
              <w:autoSpaceDE w:val="0"/>
              <w:autoSpaceDN w:val="0"/>
              <w:adjustRightInd w:val="0"/>
              <w:rPr>
                <w:rFonts w:cs="Arial"/>
                <w:color w:val="000000"/>
                <w:sz w:val="16"/>
                <w:szCs w:val="16"/>
              </w:rPr>
            </w:pPr>
            <w:r w:rsidRPr="005C7CCE">
              <w:rPr>
                <w:color w:val="000000"/>
                <w:sz w:val="16"/>
              </w:rPr>
              <w:t>Registre des risques révisé</w:t>
            </w:r>
          </w:p>
          <w:p w:rsidR="00D42474" w:rsidRDefault="00C82EE5" w:rsidP="00B9205A">
            <w:pPr>
              <w:ind w:leftChars="-11" w:left="-22"/>
              <w:rPr>
                <w:rFonts w:cs="Arial"/>
                <w:color w:val="000000"/>
                <w:sz w:val="16"/>
                <w:szCs w:val="16"/>
              </w:rPr>
            </w:pPr>
            <w:r w:rsidRPr="005C7CCE">
              <w:rPr>
                <w:color w:val="000000"/>
                <w:sz w:val="16"/>
              </w:rPr>
              <w:t>deux fois par an</w:t>
            </w:r>
          </w:p>
          <w:p w:rsidR="00C82EE5" w:rsidRPr="005C7CCE" w:rsidRDefault="00C82EE5" w:rsidP="001A5BF9">
            <w:pPr>
              <w:rPr>
                <w:rFonts w:cs="Arial"/>
                <w:color w:val="000000"/>
                <w:sz w:val="16"/>
                <w:szCs w:val="16"/>
              </w:rPr>
            </w:pPr>
          </w:p>
        </w:tc>
        <w:tc>
          <w:tcPr>
            <w:tcW w:w="1618" w:type="pct"/>
            <w:shd w:val="clear" w:color="auto" w:fill="FFFFFF"/>
            <w:tcMar>
              <w:top w:w="110" w:type="dxa"/>
            </w:tcMar>
          </w:tcPr>
          <w:p w:rsidR="00D42474" w:rsidRDefault="00C82EE5" w:rsidP="001A5BF9">
            <w:pPr>
              <w:rPr>
                <w:color w:val="000000"/>
                <w:sz w:val="16"/>
              </w:rPr>
            </w:pPr>
            <w:r w:rsidRPr="005C7CCE">
              <w:rPr>
                <w:color w:val="000000"/>
                <w:sz w:val="16"/>
              </w:rPr>
              <w:t>Le registre des risques en matière de sécurité de l</w:t>
            </w:r>
            <w:r w:rsidR="00A20444" w:rsidRPr="005C7CCE">
              <w:rPr>
                <w:color w:val="000000"/>
                <w:sz w:val="16"/>
              </w:rPr>
              <w:t>’</w:t>
            </w:r>
            <w:r w:rsidRPr="005C7CCE">
              <w:rPr>
                <w:color w:val="000000"/>
                <w:sz w:val="16"/>
              </w:rPr>
              <w:t>information a été mis à jour deux fois par an et a été examiné en détail dans le cadre de la certification ISO 27001 des opérations du PCT.</w:t>
            </w:r>
          </w:p>
          <w:p w:rsidR="00C82EE5" w:rsidRPr="005C7CCE" w:rsidRDefault="00C82EE5" w:rsidP="001A5BF9">
            <w:pPr>
              <w:rPr>
                <w:rFonts w:cs="Arial"/>
                <w:color w:val="000000"/>
                <w:sz w:val="16"/>
                <w:szCs w:val="16"/>
              </w:rPr>
            </w:pPr>
          </w:p>
        </w:tc>
        <w:tc>
          <w:tcPr>
            <w:tcW w:w="682" w:type="pct"/>
            <w:shd w:val="clear" w:color="auto" w:fill="auto"/>
            <w:tcMar>
              <w:top w:w="110" w:type="dxa"/>
            </w:tcMar>
          </w:tcPr>
          <w:p w:rsidR="00D42474" w:rsidRDefault="00C82EE5" w:rsidP="001A5BF9">
            <w:pPr>
              <w:keepNext/>
              <w:keepLines/>
              <w:jc w:val="center"/>
              <w:rPr>
                <w:rStyle w:val="Style5"/>
                <w:rFonts w:ascii="Arial" w:hAnsi="Arial"/>
                <w:color w:val="008000"/>
                <w:sz w:val="16"/>
              </w:rPr>
            </w:pPr>
            <w:r w:rsidRPr="00B470C6">
              <w:rPr>
                <w:rStyle w:val="Style5"/>
                <w:rFonts w:ascii="Arial" w:hAnsi="Arial"/>
                <w:color w:val="008000"/>
                <w:sz w:val="16"/>
              </w:rPr>
              <w:t>Objectif pleinement atteint</w:t>
            </w:r>
          </w:p>
          <w:p w:rsidR="00C82EE5" w:rsidRPr="005C7CCE" w:rsidRDefault="00C82EE5" w:rsidP="001A5BF9">
            <w:pPr>
              <w:keepNext/>
              <w:keepLines/>
              <w:jc w:val="center"/>
              <w:rPr>
                <w:rFonts w:cs="Arial"/>
                <w:bCs/>
                <w:color w:val="008000"/>
                <w:sz w:val="16"/>
                <w:szCs w:val="16"/>
              </w:rPr>
            </w:pPr>
          </w:p>
        </w:tc>
      </w:tr>
    </w:tbl>
    <w:p w:rsidR="00D42474" w:rsidRDefault="00C82EE5" w:rsidP="001A5BF9">
      <w:pPr>
        <w:keepNext/>
        <w:keepLines/>
        <w:rPr>
          <w:rFonts w:cs="Arial"/>
          <w:szCs w:val="22"/>
        </w:rPr>
      </w:pPr>
      <w:r w:rsidRPr="00866763">
        <w:rPr>
          <w:sz w:val="22"/>
        </w:rPr>
        <w:t>BUDGET ET DÉPENSES EFFECTIVES</w:t>
      </w:r>
    </w:p>
    <w:p w:rsidR="00D42474" w:rsidRDefault="00D42474" w:rsidP="001A5BF9"/>
    <w:p w:rsidR="00D42474" w:rsidRDefault="00C82EE5" w:rsidP="001A5BF9">
      <w:pPr>
        <w:pStyle w:val="NormalWeb"/>
        <w:spacing w:before="0" w:beforeAutospacing="0" w:after="0" w:afterAutospacing="0"/>
        <w:jc w:val="center"/>
        <w:rPr>
          <w:sz w:val="22"/>
        </w:rPr>
      </w:pPr>
      <w:r w:rsidRPr="002D02F3">
        <w:rPr>
          <w:sz w:val="22"/>
        </w:rPr>
        <w:t>Budget et dépenses effectives (par résultat)</w:t>
      </w:r>
    </w:p>
    <w:p w:rsidR="00D42474" w:rsidRDefault="00C82EE5" w:rsidP="001A5BF9">
      <w:pPr>
        <w:pStyle w:val="NormalWeb"/>
        <w:spacing w:before="0" w:beforeAutospacing="0" w:after="0" w:afterAutospacing="0"/>
        <w:jc w:val="center"/>
      </w:pPr>
      <w:r w:rsidRPr="002D02F3">
        <w:rPr>
          <w:i/>
          <w:sz w:val="22"/>
        </w:rPr>
        <w:t>(</w:t>
      </w:r>
      <w:proofErr w:type="gramStart"/>
      <w:r w:rsidRPr="002D02F3">
        <w:rPr>
          <w:i/>
          <w:sz w:val="22"/>
        </w:rPr>
        <w:t>en</w:t>
      </w:r>
      <w:proofErr w:type="gramEnd"/>
      <w:r w:rsidRPr="002D02F3">
        <w:rPr>
          <w:i/>
          <w:sz w:val="22"/>
        </w:rPr>
        <w:t xml:space="preserve"> milliers de francs suisses)</w:t>
      </w:r>
    </w:p>
    <w:p w:rsidR="00C82EE5" w:rsidRPr="002D02F3" w:rsidRDefault="00C82EE5" w:rsidP="001A5BF9"/>
    <w:tbl>
      <w:tblPr>
        <w:tblW w:w="0" w:type="auto"/>
        <w:tblInd w:w="103" w:type="dxa"/>
        <w:tblLayout w:type="fixed"/>
        <w:tblLook w:val="04A0" w:firstRow="1" w:lastRow="0" w:firstColumn="1" w:lastColumn="0" w:noHBand="0" w:noVBand="1"/>
      </w:tblPr>
      <w:tblGrid>
        <w:gridCol w:w="590"/>
        <w:gridCol w:w="4518"/>
        <w:gridCol w:w="1417"/>
        <w:gridCol w:w="1418"/>
        <w:gridCol w:w="1418"/>
      </w:tblGrid>
      <w:tr w:rsidR="00C82EE5" w:rsidRPr="002D02F3" w:rsidTr="001B5CFE">
        <w:tc>
          <w:tcPr>
            <w:tcW w:w="5108"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center"/>
              <w:rPr>
                <w:rFonts w:cs="Arial"/>
                <w:bCs/>
                <w:sz w:val="16"/>
                <w:szCs w:val="16"/>
              </w:rPr>
            </w:pPr>
            <w:r w:rsidRPr="002D02F3">
              <w:rPr>
                <w:sz w:val="16"/>
              </w:rPr>
              <w:t>Numéro et description du résultat escompté</w:t>
            </w:r>
          </w:p>
        </w:tc>
        <w:tc>
          <w:tcPr>
            <w:tcW w:w="1417"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C82EE5" w:rsidRPr="002D02F3" w:rsidTr="001B5CFE">
        <w:tc>
          <w:tcPr>
            <w:tcW w:w="590"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IX.1</w:t>
            </w:r>
            <w:proofErr w:type="spellEnd"/>
          </w:p>
        </w:tc>
        <w:tc>
          <w:tcPr>
            <w:tcW w:w="4518"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Services d</w:t>
            </w:r>
            <w:r w:rsidR="00A20444" w:rsidRPr="002D02F3">
              <w:rPr>
                <w:sz w:val="16"/>
              </w:rPr>
              <w:t>’</w:t>
            </w:r>
            <w:r w:rsidRPr="002D02F3">
              <w:rPr>
                <w:sz w:val="16"/>
              </w:rPr>
              <w:t>appui efficaces, efficients, de qualité et tournés vers la clientèle, à l</w:t>
            </w:r>
            <w:r w:rsidR="00A20444" w:rsidRPr="002D02F3">
              <w:rPr>
                <w:sz w:val="16"/>
              </w:rPr>
              <w:t>’</w:t>
            </w:r>
            <w:r w:rsidRPr="002D02F3">
              <w:rPr>
                <w:sz w:val="16"/>
              </w:rPr>
              <w:t>intention à la fois des clients interne</w:t>
            </w:r>
            <w:r w:rsidR="005B4F86" w:rsidRPr="002D02F3">
              <w:rPr>
                <w:sz w:val="16"/>
              </w:rPr>
              <w:t>s</w:t>
            </w:r>
            <w:r w:rsidRPr="002D02F3">
              <w:rPr>
                <w:sz w:val="16"/>
              </w:rPr>
              <w:t xml:space="preserve"> et des parties prenantes externes (ressources humaines, informatique, conférences, service linguistique, achats, voyages, imprimerie et publications, gestion des locaux)</w:t>
            </w:r>
          </w:p>
        </w:tc>
        <w:tc>
          <w:tcPr>
            <w:tcW w:w="1417"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45 827 </w:t>
            </w:r>
          </w:p>
        </w:tc>
        <w:tc>
          <w:tcPr>
            <w:tcW w:w="1418"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46 199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46 340 </w:t>
            </w:r>
          </w:p>
        </w:tc>
      </w:tr>
      <w:tr w:rsidR="00C82EE5" w:rsidRPr="002D02F3" w:rsidTr="001B5CFE">
        <w:tc>
          <w:tcPr>
            <w:tcW w:w="590" w:type="dxa"/>
            <w:tcBorders>
              <w:top w:val="nil"/>
              <w:left w:val="single" w:sz="4" w:space="0" w:color="auto"/>
              <w:bottom w:val="nil"/>
              <w:right w:val="nil"/>
            </w:tcBorders>
            <w:shd w:val="clear" w:color="000000" w:fill="FFFFFF"/>
            <w:noWrap/>
          </w:tcPr>
          <w:p w:rsidR="00C82EE5" w:rsidRPr="002D02F3" w:rsidRDefault="00C82EE5" w:rsidP="001A5BF9">
            <w:pPr>
              <w:spacing w:before="120"/>
              <w:jc w:val="center"/>
              <w:rPr>
                <w:rFonts w:cs="Arial"/>
                <w:sz w:val="16"/>
                <w:szCs w:val="16"/>
              </w:rPr>
            </w:pPr>
            <w:proofErr w:type="spellStart"/>
            <w:r w:rsidRPr="002D02F3">
              <w:rPr>
                <w:sz w:val="16"/>
              </w:rPr>
              <w:t>IX.4</w:t>
            </w:r>
            <w:proofErr w:type="spellEnd"/>
          </w:p>
        </w:tc>
        <w:tc>
          <w:tcPr>
            <w:tcW w:w="4518" w:type="dxa"/>
            <w:tcBorders>
              <w:top w:val="nil"/>
              <w:left w:val="nil"/>
              <w:bottom w:val="nil"/>
              <w:right w:val="nil"/>
            </w:tcBorders>
            <w:shd w:val="clear" w:color="000000" w:fill="FFFFFF"/>
          </w:tcPr>
          <w:p w:rsidR="00C82EE5" w:rsidRPr="002D02F3" w:rsidRDefault="00C82EE5" w:rsidP="001A5BF9">
            <w:pPr>
              <w:spacing w:before="120"/>
              <w:rPr>
                <w:rFonts w:cs="Arial"/>
                <w:sz w:val="16"/>
                <w:szCs w:val="16"/>
              </w:rPr>
            </w:pPr>
            <w:r w:rsidRPr="002D02F3">
              <w:rPr>
                <w:sz w:val="16"/>
              </w:rPr>
              <w:t>Sûreté et sécurité des membres du personnel, des délégués, des visiteurs, des données et des biens de l</w:t>
            </w:r>
            <w:r w:rsidR="00A20444" w:rsidRPr="002D02F3">
              <w:rPr>
                <w:sz w:val="16"/>
              </w:rPr>
              <w:t>’</w:t>
            </w:r>
            <w:r w:rsidRPr="002D02F3">
              <w:rPr>
                <w:sz w:val="16"/>
              </w:rPr>
              <w:t>OMPI</w:t>
            </w:r>
          </w:p>
        </w:tc>
        <w:tc>
          <w:tcPr>
            <w:tcW w:w="1417"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2 433 </w:t>
            </w:r>
          </w:p>
        </w:tc>
        <w:tc>
          <w:tcPr>
            <w:tcW w:w="1418" w:type="dxa"/>
            <w:tcBorders>
              <w:top w:val="nil"/>
              <w:left w:val="nil"/>
              <w:bottom w:val="nil"/>
              <w:right w:val="nil"/>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2 268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jc w:val="right"/>
              <w:rPr>
                <w:rFonts w:cs="Arial"/>
                <w:sz w:val="16"/>
                <w:szCs w:val="16"/>
              </w:rPr>
            </w:pPr>
            <w:r w:rsidRPr="002D02F3">
              <w:rPr>
                <w:sz w:val="16"/>
              </w:rPr>
              <w:t xml:space="preserve">2 239 </w:t>
            </w:r>
          </w:p>
        </w:tc>
      </w:tr>
      <w:tr w:rsidR="00C82EE5" w:rsidRPr="002D02F3" w:rsidTr="001B5CFE">
        <w:tc>
          <w:tcPr>
            <w:tcW w:w="590" w:type="dxa"/>
            <w:tcBorders>
              <w:top w:val="nil"/>
              <w:left w:val="single" w:sz="4" w:space="0" w:color="auto"/>
              <w:bottom w:val="single" w:sz="4" w:space="0" w:color="auto"/>
              <w:right w:val="nil"/>
            </w:tcBorders>
            <w:shd w:val="clear" w:color="000000" w:fill="FFFFFF"/>
            <w:noWrap/>
          </w:tcPr>
          <w:p w:rsidR="00C82EE5" w:rsidRPr="002D02F3" w:rsidRDefault="00C82EE5" w:rsidP="001A5BF9">
            <w:pPr>
              <w:spacing w:before="120" w:after="120"/>
              <w:jc w:val="center"/>
              <w:rPr>
                <w:rFonts w:cs="Arial"/>
                <w:sz w:val="16"/>
                <w:szCs w:val="16"/>
              </w:rPr>
            </w:pPr>
            <w:proofErr w:type="spellStart"/>
            <w:r w:rsidRPr="002D02F3">
              <w:rPr>
                <w:sz w:val="16"/>
              </w:rPr>
              <w:t>IX.14</w:t>
            </w:r>
            <w:proofErr w:type="spellEnd"/>
          </w:p>
        </w:tc>
        <w:tc>
          <w:tcPr>
            <w:tcW w:w="4518" w:type="dxa"/>
            <w:tcBorders>
              <w:top w:val="nil"/>
              <w:left w:val="nil"/>
              <w:bottom w:val="single" w:sz="4" w:space="0" w:color="auto"/>
              <w:right w:val="nil"/>
            </w:tcBorders>
            <w:shd w:val="clear" w:color="000000" w:fill="FFFFFF"/>
          </w:tcPr>
          <w:p w:rsidR="00C82EE5" w:rsidRPr="002D02F3" w:rsidRDefault="00C82EE5" w:rsidP="001A5BF9">
            <w:pPr>
              <w:spacing w:before="120" w:after="120"/>
              <w:rPr>
                <w:rFonts w:cs="Arial"/>
                <w:sz w:val="16"/>
                <w:szCs w:val="16"/>
              </w:rPr>
            </w:pPr>
            <w:r w:rsidRPr="002D02F3">
              <w:rPr>
                <w:sz w:val="16"/>
              </w:rPr>
              <w:t>Les investissements dans</w:t>
            </w:r>
            <w:r w:rsidR="00A20444" w:rsidRPr="002D02F3">
              <w:rPr>
                <w:sz w:val="16"/>
              </w:rPr>
              <w:t xml:space="preserve"> les TIC</w:t>
            </w:r>
            <w:r w:rsidRPr="002D02F3">
              <w:rPr>
                <w:sz w:val="16"/>
              </w:rPr>
              <w:t xml:space="preserve"> sont étroitement alignés sur les priorités stratégiques et entraînent des avantages sur le plan opérationnel</w:t>
            </w:r>
          </w:p>
        </w:tc>
        <w:tc>
          <w:tcPr>
            <w:tcW w:w="1417" w:type="dxa"/>
            <w:tcBorders>
              <w:top w:val="nil"/>
              <w:left w:val="nil"/>
              <w:bottom w:val="nil"/>
              <w:right w:val="nil"/>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2 147 </w:t>
            </w:r>
          </w:p>
        </w:tc>
        <w:tc>
          <w:tcPr>
            <w:tcW w:w="1418" w:type="dxa"/>
            <w:tcBorders>
              <w:top w:val="nil"/>
              <w:left w:val="nil"/>
              <w:bottom w:val="nil"/>
              <w:right w:val="nil"/>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2 155 </w:t>
            </w:r>
          </w:p>
        </w:tc>
        <w:tc>
          <w:tcPr>
            <w:tcW w:w="1418" w:type="dxa"/>
            <w:tcBorders>
              <w:top w:val="nil"/>
              <w:left w:val="nil"/>
              <w:bottom w:val="nil"/>
              <w:right w:val="single" w:sz="4" w:space="0" w:color="auto"/>
            </w:tcBorders>
            <w:shd w:val="clear" w:color="000000" w:fill="FFFFFF"/>
            <w:vAlign w:val="center"/>
          </w:tcPr>
          <w:p w:rsidR="00C82EE5" w:rsidRPr="002D02F3" w:rsidRDefault="00C82EE5" w:rsidP="001A5BF9">
            <w:pPr>
              <w:spacing w:before="120" w:after="120"/>
              <w:jc w:val="right"/>
              <w:rPr>
                <w:rFonts w:cs="Arial"/>
                <w:sz w:val="16"/>
                <w:szCs w:val="16"/>
              </w:rPr>
            </w:pPr>
            <w:r w:rsidRPr="002D02F3">
              <w:rPr>
                <w:sz w:val="16"/>
              </w:rPr>
              <w:t xml:space="preserve">2 002 </w:t>
            </w:r>
          </w:p>
        </w:tc>
      </w:tr>
      <w:tr w:rsidR="00C82EE5" w:rsidRPr="002D02F3" w:rsidTr="001B5CFE">
        <w:tc>
          <w:tcPr>
            <w:tcW w:w="590" w:type="dxa"/>
            <w:tcBorders>
              <w:top w:val="nil"/>
              <w:left w:val="single" w:sz="4" w:space="0" w:color="auto"/>
              <w:bottom w:val="single" w:sz="4" w:space="0" w:color="auto"/>
              <w:right w:val="nil"/>
            </w:tcBorders>
            <w:shd w:val="clear" w:color="000000" w:fill="CCFFFF"/>
            <w:noWrap/>
            <w:vAlign w:val="bottom"/>
          </w:tcPr>
          <w:p w:rsidR="00C82EE5" w:rsidRPr="002D02F3" w:rsidRDefault="00C82EE5" w:rsidP="001A5BF9">
            <w:pPr>
              <w:spacing w:before="120" w:after="120"/>
              <w:jc w:val="center"/>
              <w:rPr>
                <w:rFonts w:cs="Arial"/>
                <w:b/>
                <w:bCs/>
                <w:sz w:val="16"/>
                <w:szCs w:val="16"/>
              </w:rPr>
            </w:pPr>
            <w:r w:rsidRPr="002D02F3">
              <w:rPr>
                <w:b/>
                <w:sz w:val="16"/>
              </w:rPr>
              <w:t> </w:t>
            </w:r>
          </w:p>
        </w:tc>
        <w:tc>
          <w:tcPr>
            <w:tcW w:w="4518" w:type="dxa"/>
            <w:tcBorders>
              <w:top w:val="nil"/>
              <w:left w:val="nil"/>
              <w:bottom w:val="single" w:sz="4" w:space="0" w:color="auto"/>
              <w:right w:val="nil"/>
            </w:tcBorders>
            <w:shd w:val="clear" w:color="000000" w:fill="CCFFFF"/>
            <w:noWrap/>
            <w:vAlign w:val="center"/>
          </w:tcPr>
          <w:p w:rsidR="00C82EE5" w:rsidRPr="002D02F3" w:rsidRDefault="00C82EE5" w:rsidP="001A5BF9">
            <w:pPr>
              <w:spacing w:before="120" w:after="120"/>
              <w:rPr>
                <w:rFonts w:cs="Arial"/>
                <w:b/>
                <w:bCs/>
                <w:sz w:val="16"/>
                <w:szCs w:val="16"/>
              </w:rPr>
            </w:pPr>
            <w:r w:rsidRPr="002D02F3">
              <w:rPr>
                <w:b/>
                <w:sz w:val="16"/>
              </w:rPr>
              <w:t>Total</w:t>
            </w:r>
          </w:p>
        </w:tc>
        <w:tc>
          <w:tcPr>
            <w:tcW w:w="1417" w:type="dxa"/>
            <w:tcBorders>
              <w:top w:val="single" w:sz="4" w:space="0" w:color="auto"/>
              <w:left w:val="single" w:sz="4" w:space="0" w:color="auto"/>
              <w:bottom w:val="single" w:sz="4" w:space="0" w:color="auto"/>
              <w:right w:val="single" w:sz="4" w:space="0" w:color="auto"/>
            </w:tcBorders>
            <w:shd w:val="clear" w:color="000000" w:fill="CCFFFF"/>
            <w:vAlign w:val="center"/>
          </w:tcPr>
          <w:p w:rsidR="00C82EE5" w:rsidRPr="002D02F3" w:rsidRDefault="00C82EE5" w:rsidP="001A5BF9">
            <w:pPr>
              <w:spacing w:before="120" w:after="120"/>
              <w:jc w:val="right"/>
              <w:rPr>
                <w:rFonts w:cs="Arial"/>
                <w:b/>
                <w:bCs/>
                <w:sz w:val="16"/>
                <w:szCs w:val="16"/>
              </w:rPr>
            </w:pPr>
            <w:r w:rsidRPr="002D02F3">
              <w:rPr>
                <w:b/>
                <w:sz w:val="16"/>
              </w:rPr>
              <w:t>50 408</w:t>
            </w:r>
          </w:p>
        </w:tc>
        <w:tc>
          <w:tcPr>
            <w:tcW w:w="1418" w:type="dxa"/>
            <w:tcBorders>
              <w:top w:val="single" w:sz="4" w:space="0" w:color="auto"/>
              <w:left w:val="nil"/>
              <w:bottom w:val="single" w:sz="4" w:space="0" w:color="auto"/>
              <w:right w:val="single" w:sz="4" w:space="0" w:color="auto"/>
            </w:tcBorders>
            <w:shd w:val="clear" w:color="000000" w:fill="CCFFFF"/>
            <w:noWrap/>
            <w:vAlign w:val="center"/>
          </w:tcPr>
          <w:p w:rsidR="00C82EE5" w:rsidRPr="002D02F3" w:rsidRDefault="00C82EE5" w:rsidP="001A5BF9">
            <w:pPr>
              <w:spacing w:before="120" w:after="120"/>
              <w:jc w:val="right"/>
              <w:rPr>
                <w:rFonts w:cs="Arial"/>
                <w:b/>
                <w:bCs/>
                <w:sz w:val="16"/>
                <w:szCs w:val="16"/>
              </w:rPr>
            </w:pPr>
            <w:r w:rsidRPr="002D02F3">
              <w:rPr>
                <w:b/>
                <w:sz w:val="16"/>
              </w:rPr>
              <w:t>50 622</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C82EE5" w:rsidRPr="002D02F3" w:rsidRDefault="00C82EE5" w:rsidP="001A5BF9">
            <w:pPr>
              <w:spacing w:before="120" w:after="120"/>
              <w:jc w:val="right"/>
              <w:rPr>
                <w:rFonts w:cs="Arial"/>
                <w:b/>
                <w:bCs/>
                <w:sz w:val="16"/>
                <w:szCs w:val="16"/>
              </w:rPr>
            </w:pPr>
            <w:r w:rsidRPr="002D02F3">
              <w:rPr>
                <w:b/>
                <w:sz w:val="16"/>
              </w:rPr>
              <w:t>50 581</w:t>
            </w:r>
          </w:p>
        </w:tc>
      </w:tr>
    </w:tbl>
    <w:p w:rsidR="00D42474" w:rsidRDefault="00D42474" w:rsidP="001A5BF9"/>
    <w:p w:rsidR="00D42474" w:rsidRDefault="00D42474" w:rsidP="001A5BF9">
      <w:pPr>
        <w:keepNext/>
        <w:keepLines/>
        <w:rPr>
          <w:rFonts w:cs="Arial"/>
          <w:sz w:val="18"/>
          <w:szCs w:val="18"/>
        </w:rPr>
      </w:pPr>
    </w:p>
    <w:p w:rsidR="00D42474" w:rsidRDefault="00D42474" w:rsidP="001A5BF9">
      <w:pPr>
        <w:rPr>
          <w:rFonts w:cs="Arial"/>
          <w:color w:val="000000"/>
          <w:szCs w:val="22"/>
        </w:rPr>
      </w:pPr>
    </w:p>
    <w:p w:rsidR="00D42474" w:rsidRDefault="004007D3" w:rsidP="001A5BF9">
      <w:pPr>
        <w:pStyle w:val="NormalWeb"/>
        <w:spacing w:before="0" w:beforeAutospacing="0" w:after="0" w:afterAutospacing="0"/>
        <w:jc w:val="center"/>
        <w:rPr>
          <w:sz w:val="22"/>
        </w:rPr>
      </w:pPr>
      <w:r w:rsidRPr="002D02F3">
        <w:rPr>
          <w:sz w:val="22"/>
        </w:rPr>
        <w:t xml:space="preserve">Budget et dépenses effectives (dépenses de </w:t>
      </w:r>
      <w:proofErr w:type="gramStart"/>
      <w:r w:rsidRPr="002D02F3">
        <w:rPr>
          <w:sz w:val="22"/>
        </w:rPr>
        <w:t>personnel et autres dépenses</w:t>
      </w:r>
      <w:proofErr w:type="gramEnd"/>
      <w:r w:rsidRPr="002D02F3">
        <w:rPr>
          <w:sz w:val="22"/>
        </w:rPr>
        <w:t>)</w:t>
      </w:r>
    </w:p>
    <w:p w:rsidR="00D42474" w:rsidRDefault="004007D3" w:rsidP="001A5BF9">
      <w:pPr>
        <w:pStyle w:val="NormalWeb"/>
        <w:spacing w:before="0" w:beforeAutospacing="0" w:after="0" w:afterAutospacing="0"/>
        <w:jc w:val="center"/>
      </w:pPr>
      <w:r w:rsidRPr="002D02F3">
        <w:rPr>
          <w:i/>
          <w:sz w:val="22"/>
        </w:rPr>
        <w:t>(</w:t>
      </w:r>
      <w:proofErr w:type="gramStart"/>
      <w:r w:rsidRPr="002D02F3">
        <w:rPr>
          <w:i/>
          <w:sz w:val="22"/>
        </w:rPr>
        <w:t>en</w:t>
      </w:r>
      <w:proofErr w:type="gramEnd"/>
      <w:r w:rsidRPr="002D02F3">
        <w:rPr>
          <w:i/>
          <w:sz w:val="22"/>
        </w:rPr>
        <w:t xml:space="preserve"> milliers de francs suisses)</w:t>
      </w:r>
    </w:p>
    <w:p w:rsidR="004007D3" w:rsidRPr="002D02F3" w:rsidRDefault="004007D3" w:rsidP="001A5BF9"/>
    <w:tbl>
      <w:tblPr>
        <w:tblW w:w="0" w:type="auto"/>
        <w:tblInd w:w="93" w:type="dxa"/>
        <w:tblLook w:val="04A0" w:firstRow="1" w:lastRow="0" w:firstColumn="1" w:lastColumn="0" w:noHBand="0" w:noVBand="1"/>
      </w:tblPr>
      <w:tblGrid>
        <w:gridCol w:w="2425"/>
        <w:gridCol w:w="1736"/>
        <w:gridCol w:w="1737"/>
        <w:gridCol w:w="1736"/>
        <w:gridCol w:w="1737"/>
      </w:tblGrid>
      <w:tr w:rsidR="004007D3" w:rsidRPr="002D02F3" w:rsidTr="0056083E">
        <w:tc>
          <w:tcPr>
            <w:tcW w:w="2425"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4007D3" w:rsidRPr="002D02F3" w:rsidRDefault="004007D3" w:rsidP="001A5BF9">
            <w:pPr>
              <w:spacing w:before="120" w:after="120"/>
              <w:rPr>
                <w:rFonts w:cs="Arial"/>
                <w:sz w:val="16"/>
                <w:szCs w:val="16"/>
              </w:rPr>
            </w:pPr>
            <w:r w:rsidRPr="002D02F3">
              <w:rPr>
                <w:sz w:val="16"/>
              </w:rPr>
              <w:t> </w:t>
            </w:r>
          </w:p>
        </w:tc>
        <w:tc>
          <w:tcPr>
            <w:tcW w:w="1736" w:type="dxa"/>
            <w:tcBorders>
              <w:top w:val="single" w:sz="4" w:space="0" w:color="auto"/>
              <w:left w:val="nil"/>
              <w:bottom w:val="nil"/>
              <w:right w:val="single" w:sz="4" w:space="0" w:color="auto"/>
            </w:tcBorders>
            <w:shd w:val="clear" w:color="000000" w:fill="CCFFFF"/>
            <w:vAlign w:val="center"/>
          </w:tcPr>
          <w:p w:rsidR="004007D3" w:rsidRPr="002D02F3" w:rsidRDefault="004007D3"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737" w:type="dxa"/>
            <w:tcBorders>
              <w:top w:val="single" w:sz="4" w:space="0" w:color="auto"/>
              <w:left w:val="nil"/>
              <w:bottom w:val="nil"/>
              <w:right w:val="single" w:sz="4" w:space="0" w:color="auto"/>
            </w:tcBorders>
            <w:shd w:val="clear" w:color="000000" w:fill="CCFFFF"/>
            <w:vAlign w:val="center"/>
          </w:tcPr>
          <w:p w:rsidR="004007D3" w:rsidRPr="002D02F3" w:rsidRDefault="004007D3"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736" w:type="dxa"/>
            <w:tcBorders>
              <w:top w:val="single" w:sz="4" w:space="0" w:color="auto"/>
              <w:left w:val="nil"/>
              <w:bottom w:val="nil"/>
              <w:right w:val="single" w:sz="4" w:space="0" w:color="auto"/>
            </w:tcBorders>
            <w:shd w:val="clear" w:color="000000" w:fill="CCFFFF"/>
            <w:vAlign w:val="center"/>
          </w:tcPr>
          <w:p w:rsidR="004007D3" w:rsidRPr="002D02F3" w:rsidRDefault="004007D3"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737" w:type="dxa"/>
            <w:tcBorders>
              <w:top w:val="single" w:sz="4" w:space="0" w:color="auto"/>
              <w:left w:val="nil"/>
              <w:bottom w:val="nil"/>
              <w:right w:val="single" w:sz="4" w:space="0" w:color="auto"/>
            </w:tcBorders>
            <w:shd w:val="clear" w:color="000000" w:fill="CCFFFF"/>
            <w:vAlign w:val="center"/>
          </w:tcPr>
          <w:p w:rsidR="004007D3" w:rsidRPr="002D02F3" w:rsidRDefault="004007D3"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 xml:space="preserve">utilisation </w:t>
            </w:r>
            <w:r w:rsidR="00BD43F2" w:rsidRPr="002D02F3">
              <w:rPr>
                <w:sz w:val="16"/>
              </w:rPr>
              <w:t>(%)</w:t>
            </w:r>
          </w:p>
        </w:tc>
      </w:tr>
      <w:tr w:rsidR="004007D3" w:rsidRPr="002D02F3" w:rsidTr="0056083E">
        <w:tc>
          <w:tcPr>
            <w:tcW w:w="2425" w:type="dxa"/>
            <w:tcBorders>
              <w:top w:val="nil"/>
              <w:left w:val="single" w:sz="4" w:space="0" w:color="auto"/>
              <w:bottom w:val="single" w:sz="4" w:space="0" w:color="auto"/>
              <w:right w:val="single" w:sz="4" w:space="0" w:color="auto"/>
            </w:tcBorders>
            <w:shd w:val="clear" w:color="auto" w:fill="auto"/>
            <w:noWrap/>
            <w:vAlign w:val="center"/>
          </w:tcPr>
          <w:p w:rsidR="004007D3" w:rsidRPr="002D02F3" w:rsidRDefault="004007D3"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736" w:type="dxa"/>
            <w:tcBorders>
              <w:top w:val="single" w:sz="4" w:space="0" w:color="auto"/>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19 128</w:t>
            </w:r>
          </w:p>
        </w:tc>
        <w:tc>
          <w:tcPr>
            <w:tcW w:w="1737" w:type="dxa"/>
            <w:tcBorders>
              <w:top w:val="single" w:sz="4" w:space="0" w:color="auto"/>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20 260</w:t>
            </w:r>
          </w:p>
        </w:tc>
        <w:tc>
          <w:tcPr>
            <w:tcW w:w="1736" w:type="dxa"/>
            <w:tcBorders>
              <w:top w:val="single" w:sz="4" w:space="0" w:color="auto"/>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20 260</w:t>
            </w:r>
          </w:p>
        </w:tc>
        <w:tc>
          <w:tcPr>
            <w:tcW w:w="1737" w:type="dxa"/>
            <w:tcBorders>
              <w:top w:val="single" w:sz="4" w:space="0" w:color="auto"/>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100</w:t>
            </w:r>
            <w:r w:rsidR="007E442D" w:rsidRPr="002D02F3">
              <w:rPr>
                <w:sz w:val="16"/>
              </w:rPr>
              <w:t>%</w:t>
            </w:r>
          </w:p>
        </w:tc>
      </w:tr>
      <w:tr w:rsidR="004007D3" w:rsidRPr="002D02F3" w:rsidTr="0056083E">
        <w:tc>
          <w:tcPr>
            <w:tcW w:w="2425" w:type="dxa"/>
            <w:tcBorders>
              <w:top w:val="nil"/>
              <w:left w:val="single" w:sz="4" w:space="0" w:color="auto"/>
              <w:bottom w:val="single" w:sz="4" w:space="0" w:color="auto"/>
              <w:right w:val="single" w:sz="4" w:space="0" w:color="auto"/>
            </w:tcBorders>
            <w:shd w:val="clear" w:color="auto" w:fill="auto"/>
            <w:noWrap/>
            <w:vAlign w:val="center"/>
          </w:tcPr>
          <w:p w:rsidR="004007D3" w:rsidRPr="002D02F3" w:rsidRDefault="004007D3" w:rsidP="001A5BF9">
            <w:pPr>
              <w:spacing w:before="120" w:after="120"/>
              <w:rPr>
                <w:rFonts w:cs="Arial"/>
                <w:sz w:val="16"/>
                <w:szCs w:val="16"/>
              </w:rPr>
            </w:pPr>
            <w:r w:rsidRPr="002D02F3">
              <w:rPr>
                <w:sz w:val="16"/>
              </w:rPr>
              <w:t xml:space="preserve">Autres dépenses </w:t>
            </w:r>
          </w:p>
        </w:tc>
        <w:tc>
          <w:tcPr>
            <w:tcW w:w="1736"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31 279</w:t>
            </w:r>
          </w:p>
        </w:tc>
        <w:tc>
          <w:tcPr>
            <w:tcW w:w="1737"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30 363</w:t>
            </w:r>
          </w:p>
        </w:tc>
        <w:tc>
          <w:tcPr>
            <w:tcW w:w="1736"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30 321</w:t>
            </w:r>
          </w:p>
        </w:tc>
        <w:tc>
          <w:tcPr>
            <w:tcW w:w="1737"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100</w:t>
            </w:r>
            <w:r w:rsidR="007E442D" w:rsidRPr="002D02F3">
              <w:rPr>
                <w:sz w:val="16"/>
              </w:rPr>
              <w:t>%</w:t>
            </w:r>
          </w:p>
        </w:tc>
      </w:tr>
      <w:tr w:rsidR="004007D3" w:rsidRPr="002D02F3" w:rsidTr="0056083E">
        <w:tc>
          <w:tcPr>
            <w:tcW w:w="2425" w:type="dxa"/>
            <w:tcBorders>
              <w:top w:val="nil"/>
              <w:left w:val="single" w:sz="4" w:space="0" w:color="auto"/>
              <w:bottom w:val="single" w:sz="4" w:space="0" w:color="auto"/>
              <w:right w:val="single" w:sz="4" w:space="0" w:color="auto"/>
            </w:tcBorders>
            <w:shd w:val="clear" w:color="auto" w:fill="auto"/>
            <w:noWrap/>
            <w:vAlign w:val="center"/>
          </w:tcPr>
          <w:p w:rsidR="004007D3" w:rsidRPr="002D02F3" w:rsidRDefault="004007D3" w:rsidP="001A5BF9">
            <w:pPr>
              <w:spacing w:before="120" w:after="120"/>
              <w:jc w:val="right"/>
              <w:rPr>
                <w:rFonts w:cs="Arial"/>
                <w:b/>
                <w:bCs/>
                <w:sz w:val="16"/>
                <w:szCs w:val="16"/>
              </w:rPr>
            </w:pPr>
            <w:r w:rsidRPr="002D02F3">
              <w:rPr>
                <w:b/>
                <w:sz w:val="16"/>
              </w:rPr>
              <w:t xml:space="preserve"> TOTAL </w:t>
            </w:r>
          </w:p>
        </w:tc>
        <w:tc>
          <w:tcPr>
            <w:tcW w:w="1736"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b/>
                <w:bCs/>
                <w:sz w:val="16"/>
                <w:szCs w:val="16"/>
              </w:rPr>
            </w:pPr>
            <w:r w:rsidRPr="002D02F3">
              <w:rPr>
                <w:b/>
                <w:sz w:val="16"/>
              </w:rPr>
              <w:t>50 408</w:t>
            </w:r>
          </w:p>
        </w:tc>
        <w:tc>
          <w:tcPr>
            <w:tcW w:w="1737"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b/>
                <w:sz w:val="16"/>
                <w:szCs w:val="16"/>
              </w:rPr>
            </w:pPr>
            <w:r w:rsidRPr="002D02F3">
              <w:rPr>
                <w:b/>
                <w:sz w:val="16"/>
              </w:rPr>
              <w:t>50 622</w:t>
            </w:r>
          </w:p>
        </w:tc>
        <w:tc>
          <w:tcPr>
            <w:tcW w:w="1736"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b/>
                <w:sz w:val="16"/>
                <w:szCs w:val="16"/>
              </w:rPr>
            </w:pPr>
            <w:r w:rsidRPr="002D02F3">
              <w:rPr>
                <w:b/>
                <w:sz w:val="16"/>
              </w:rPr>
              <w:t>50 581</w:t>
            </w:r>
          </w:p>
        </w:tc>
        <w:tc>
          <w:tcPr>
            <w:tcW w:w="1737"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b/>
                <w:sz w:val="16"/>
                <w:szCs w:val="16"/>
              </w:rPr>
            </w:pPr>
            <w:r w:rsidRPr="002D02F3">
              <w:rPr>
                <w:b/>
                <w:sz w:val="16"/>
              </w:rPr>
              <w:t>100</w:t>
            </w:r>
            <w:r w:rsidR="007E442D" w:rsidRPr="002D02F3">
              <w:rPr>
                <w:b/>
                <w:sz w:val="16"/>
              </w:rPr>
              <w:t>%</w:t>
            </w:r>
          </w:p>
        </w:tc>
      </w:tr>
    </w:tbl>
    <w:p w:rsidR="00D42474" w:rsidRDefault="00D42474" w:rsidP="001A5BF9">
      <w:pPr>
        <w:keepNext/>
        <w:keepLines/>
        <w:rPr>
          <w:rFonts w:cs="Arial"/>
          <w:szCs w:val="20"/>
        </w:rPr>
      </w:pPr>
    </w:p>
    <w:p w:rsidR="00D42474" w:rsidRDefault="004007D3" w:rsidP="001A5BF9">
      <w:pPr>
        <w:keepNext/>
        <w:autoSpaceDE w:val="0"/>
        <w:autoSpaceDN w:val="0"/>
        <w:rPr>
          <w:rFonts w:cs="Arial"/>
          <w:sz w:val="16"/>
          <w:szCs w:val="16"/>
        </w:rPr>
      </w:pPr>
      <w:proofErr w:type="gramStart"/>
      <w:r w:rsidRPr="002D02F3">
        <w:rPr>
          <w:sz w:val="16"/>
        </w:rPr>
        <w:t>REMARQUES</w:t>
      </w:r>
      <w:proofErr w:type="gramEnd"/>
      <w:r w:rsidRPr="002D02F3">
        <w:rPr>
          <w:sz w:val="16"/>
        </w:rPr>
        <w:t> :</w:t>
      </w:r>
    </w:p>
    <w:p w:rsidR="00D42474" w:rsidRDefault="00D42474" w:rsidP="001A5BF9">
      <w:pPr>
        <w:keepNext/>
        <w:autoSpaceDE w:val="0"/>
        <w:autoSpaceDN w:val="0"/>
        <w:rPr>
          <w:rFonts w:cs="Arial"/>
          <w:sz w:val="16"/>
          <w:szCs w:val="16"/>
        </w:rPr>
      </w:pPr>
    </w:p>
    <w:p w:rsidR="00D42474" w:rsidRDefault="004007D3" w:rsidP="001A5BF9">
      <w:pPr>
        <w:keepNext/>
        <w:autoSpaceDE w:val="0"/>
        <w:autoSpaceDN w:val="0"/>
        <w:rPr>
          <w:rFonts w:cs="Arial"/>
          <w:sz w:val="16"/>
          <w:szCs w:val="16"/>
        </w:rPr>
      </w:pPr>
      <w:r w:rsidRPr="002D02F3">
        <w:rPr>
          <w:sz w:val="16"/>
        </w:rPr>
        <w:t xml:space="preserve">1) </w:t>
      </w:r>
      <w:r w:rsidR="002950DF">
        <w:rPr>
          <w:sz w:val="16"/>
        </w:rPr>
        <w:tab/>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keepNext/>
        <w:autoSpaceDE w:val="0"/>
        <w:autoSpaceDN w:val="0"/>
        <w:rPr>
          <w:rFonts w:cs="Arial"/>
          <w:sz w:val="16"/>
          <w:szCs w:val="16"/>
        </w:rPr>
      </w:pPr>
    </w:p>
    <w:p w:rsidR="00D42474" w:rsidRDefault="004007D3" w:rsidP="001A5BF9">
      <w:pPr>
        <w:keepNext/>
        <w:autoSpaceDE w:val="0"/>
        <w:autoSpaceDN w:val="0"/>
        <w:rPr>
          <w:sz w:val="16"/>
        </w:rPr>
      </w:pPr>
      <w:r w:rsidRPr="002D02F3">
        <w:rPr>
          <w:sz w:val="16"/>
        </w:rPr>
        <w:t>2)</w:t>
      </w:r>
      <w:r w:rsidR="002950DF">
        <w:rPr>
          <w:sz w:val="16"/>
        </w:rPr>
        <w:tab/>
      </w:r>
      <w:r w:rsidRPr="002D02F3">
        <w:rPr>
          <w:sz w:val="16"/>
        </w:rPr>
        <w:t>Les dépenses de personnel indiquées dans le budget de l</w:t>
      </w:r>
      <w:r w:rsidR="00A20444" w:rsidRPr="002D02F3">
        <w:rPr>
          <w:sz w:val="16"/>
        </w:rPr>
        <w:t>’</w:t>
      </w:r>
      <w:r w:rsidRPr="002D02F3">
        <w:rPr>
          <w:sz w:val="16"/>
        </w:rPr>
        <w:t>exercice 2012</w:t>
      </w:r>
      <w:r w:rsidR="002D6F2A" w:rsidRPr="002D02F3">
        <w:rPr>
          <w:sz w:val="16"/>
        </w:rPr>
        <w:noBreakHyphen/>
      </w:r>
      <w:r w:rsidRPr="002D02F3">
        <w:rPr>
          <w:sz w:val="16"/>
        </w:rPr>
        <w:t>2013 après virements représentent les dépenses réelles engagées pendant l</w:t>
      </w:r>
      <w:r w:rsidR="00A20444" w:rsidRPr="002D02F3">
        <w:rPr>
          <w:sz w:val="16"/>
        </w:rPr>
        <w:t>’</w:t>
      </w:r>
      <w:r w:rsidRPr="002D02F3">
        <w:rPr>
          <w:sz w:val="16"/>
        </w:rPr>
        <w:t>exercice biennal.</w:t>
      </w:r>
    </w:p>
    <w:p w:rsidR="00D42474" w:rsidRDefault="00D42474" w:rsidP="001A5BF9">
      <w:pPr>
        <w:keepNext/>
        <w:keepLines/>
        <w:rPr>
          <w:rFonts w:cs="Arial"/>
          <w:szCs w:val="20"/>
        </w:rPr>
      </w:pPr>
    </w:p>
    <w:p w:rsidR="00D42474" w:rsidRDefault="00D42474" w:rsidP="001A5BF9">
      <w:pPr>
        <w:keepNext/>
        <w:keepLines/>
        <w:rPr>
          <w:rFonts w:cs="Arial"/>
          <w:szCs w:val="20"/>
        </w:rPr>
      </w:pPr>
    </w:p>
    <w:p w:rsidR="00D42474" w:rsidRDefault="004007D3" w:rsidP="002950DF">
      <w:pPr>
        <w:pStyle w:val="Paragraphedeliste"/>
        <w:numPr>
          <w:ilvl w:val="0"/>
          <w:numId w:val="80"/>
        </w:numPr>
        <w:tabs>
          <w:tab w:val="left" w:pos="709"/>
        </w:tabs>
        <w:autoSpaceDE w:val="0"/>
        <w:autoSpaceDN w:val="0"/>
        <w:adjustRightInd w:val="0"/>
        <w:ind w:left="709" w:hanging="709"/>
        <w:rPr>
          <w:u w:val="single"/>
        </w:rPr>
      </w:pPr>
      <w:r w:rsidRPr="002D02F3">
        <w:rPr>
          <w:u w:val="single"/>
        </w:rPr>
        <w:t>Budget 2012</w:t>
      </w:r>
      <w:r w:rsidR="002D6F2A" w:rsidRPr="002D02F3">
        <w:rPr>
          <w:u w:val="single"/>
        </w:rPr>
        <w:noBreakHyphen/>
      </w:r>
      <w:r w:rsidRPr="002D02F3">
        <w:rPr>
          <w:u w:val="single"/>
        </w:rPr>
        <w:t>2013 après virements</w:t>
      </w:r>
    </w:p>
    <w:p w:rsidR="00D42474" w:rsidRDefault="00D42474" w:rsidP="002950DF">
      <w:pPr>
        <w:tabs>
          <w:tab w:val="left" w:pos="709"/>
        </w:tabs>
        <w:autoSpaceDE w:val="0"/>
        <w:autoSpaceDN w:val="0"/>
        <w:ind w:left="709" w:hanging="709"/>
        <w:jc w:val="both"/>
        <w:rPr>
          <w:rFonts w:cs="Arial"/>
          <w:szCs w:val="20"/>
        </w:rPr>
      </w:pPr>
    </w:p>
    <w:p w:rsidR="00D42474" w:rsidRDefault="004007D3" w:rsidP="002950DF">
      <w:pPr>
        <w:tabs>
          <w:tab w:val="left" w:pos="709"/>
        </w:tabs>
        <w:autoSpaceDE w:val="0"/>
        <w:autoSpaceDN w:val="0"/>
        <w:jc w:val="both"/>
      </w:pPr>
      <w:r w:rsidRPr="002D02F3">
        <w:t>25.6.</w:t>
      </w:r>
      <w:r w:rsidRPr="002D02F3">
        <w:tab/>
        <w:t>Le budget 2012</w:t>
      </w:r>
      <w:r w:rsidR="002D6F2A" w:rsidRPr="002D02F3">
        <w:noBreakHyphen/>
      </w:r>
      <w:r w:rsidRPr="002D02F3">
        <w:t>2013 après virements tient compte d</w:t>
      </w:r>
      <w:r w:rsidR="00A20444" w:rsidRPr="002D02F3">
        <w:t>’</w:t>
      </w:r>
      <w:r w:rsidRPr="002D02F3">
        <w:t>une diminution des ressources autre que celles pour le personnel en raison des ajustements réalisés pour réduire les coûts, conformément aux engagements de l</w:t>
      </w:r>
      <w:r w:rsidR="00A20444" w:rsidRPr="002D02F3">
        <w:t>’</w:t>
      </w:r>
      <w:r w:rsidRPr="002D02F3">
        <w:t>Organisation de réduire les dépenses de 10,2 millions de francs suisses pour l</w:t>
      </w:r>
      <w:r w:rsidR="00A20444" w:rsidRPr="002D02F3">
        <w:t>’</w:t>
      </w:r>
      <w:r w:rsidRPr="002D02F3">
        <w:t>exercice biennal 2012</w:t>
      </w:r>
      <w:r w:rsidR="002D6F2A" w:rsidRPr="002D02F3">
        <w:noBreakHyphen/>
      </w:r>
      <w:r w:rsidRPr="002D02F3">
        <w:t>2013.</w:t>
      </w:r>
    </w:p>
    <w:p w:rsidR="00D42474" w:rsidRDefault="00D42474" w:rsidP="002950DF">
      <w:pPr>
        <w:tabs>
          <w:tab w:val="left" w:pos="709"/>
        </w:tabs>
        <w:autoSpaceDE w:val="0"/>
        <w:autoSpaceDN w:val="0"/>
        <w:jc w:val="both"/>
        <w:rPr>
          <w:rFonts w:cs="Arial"/>
          <w:szCs w:val="20"/>
        </w:rPr>
      </w:pPr>
    </w:p>
    <w:p w:rsidR="00D42474" w:rsidRDefault="004007D3" w:rsidP="002950DF">
      <w:pPr>
        <w:tabs>
          <w:tab w:val="left" w:pos="709"/>
        </w:tabs>
        <w:jc w:val="both"/>
        <w:rPr>
          <w:rFonts w:cs="Arial"/>
          <w:szCs w:val="20"/>
        </w:rPr>
      </w:pPr>
      <w:r w:rsidRPr="002D02F3">
        <w:t>25.7.</w:t>
      </w:r>
      <w:r w:rsidRPr="002D02F3">
        <w:tab/>
        <w:t>Cela a été compensé par une augmentation des dépenses de personnel, essentiellement due au reclassement d</w:t>
      </w:r>
      <w:r w:rsidR="00A20444" w:rsidRPr="002D02F3">
        <w:t>’</w:t>
      </w:r>
      <w:r w:rsidRPr="002D02F3">
        <w:t>un certain nombre de postes, y compris pour le renforcement de la fonction d</w:t>
      </w:r>
      <w:r w:rsidR="00A20444" w:rsidRPr="002D02F3">
        <w:t>’</w:t>
      </w:r>
      <w:r w:rsidRPr="002D02F3">
        <w:t>architecture d</w:t>
      </w:r>
      <w:r w:rsidR="00A20444" w:rsidRPr="002D02F3">
        <w:t>’</w:t>
      </w:r>
      <w:r w:rsidRPr="002D02F3">
        <w:t>entreprise informatique et la régularisation des fonctions permanentes.</w:t>
      </w:r>
    </w:p>
    <w:p w:rsidR="00D42474" w:rsidRDefault="00D42474" w:rsidP="002950DF">
      <w:pPr>
        <w:tabs>
          <w:tab w:val="left" w:pos="709"/>
        </w:tabs>
        <w:jc w:val="both"/>
        <w:rPr>
          <w:rFonts w:cs="Arial"/>
          <w:szCs w:val="20"/>
        </w:rPr>
      </w:pPr>
    </w:p>
    <w:p w:rsidR="00D42474" w:rsidRDefault="004007D3" w:rsidP="002950DF">
      <w:pPr>
        <w:tabs>
          <w:tab w:val="left" w:pos="709"/>
        </w:tabs>
        <w:autoSpaceDE w:val="0"/>
        <w:autoSpaceDN w:val="0"/>
        <w:jc w:val="both"/>
        <w:rPr>
          <w:color w:val="000000"/>
        </w:rPr>
      </w:pPr>
      <w:r w:rsidRPr="005C7CCE">
        <w:t>25.8.</w:t>
      </w:r>
      <w:r w:rsidRPr="005C7CCE">
        <w:tab/>
        <w:t>Dans les ressources budgétaires globales consacrées aux dépenses autres que celles en personnel, un changement peut être observé à partir des résultats </w:t>
      </w:r>
      <w:proofErr w:type="spellStart"/>
      <w:r w:rsidRPr="005C7CCE">
        <w:t>IX.4</w:t>
      </w:r>
      <w:proofErr w:type="spellEnd"/>
      <w:r w:rsidRPr="005C7CCE">
        <w:t xml:space="preserve"> (Sûreté et sécurité des membres du personnel, des délégués, des visiteurs, des données et des biens de l</w:t>
      </w:r>
      <w:r w:rsidR="00A20444" w:rsidRPr="005C7CCE">
        <w:t>’</w:t>
      </w:r>
      <w:r w:rsidRPr="005C7CCE">
        <w:t>OMPI</w:t>
      </w:r>
      <w:r w:rsidRPr="005C7CCE">
        <w:rPr>
          <w:color w:val="000000"/>
        </w:rPr>
        <w:t>)</w:t>
      </w:r>
      <w:r w:rsidRPr="005C7CCE">
        <w:t xml:space="preserve"> et </w:t>
      </w:r>
      <w:proofErr w:type="spellStart"/>
      <w:r w:rsidRPr="005C7CCE">
        <w:t>IX.14</w:t>
      </w:r>
      <w:proofErr w:type="spellEnd"/>
      <w:r w:rsidRPr="005C7CCE">
        <w:t xml:space="preserve"> (Les investissements dans</w:t>
      </w:r>
      <w:r w:rsidR="00A20444" w:rsidRPr="005C7CCE">
        <w:t xml:space="preserve"> les TIC</w:t>
      </w:r>
      <w:r w:rsidRPr="005C7CCE">
        <w:t xml:space="preserve"> sont étroitement alignés</w:t>
      </w:r>
      <w:r w:rsidRPr="005C7CCE">
        <w:rPr>
          <w:color w:val="000000"/>
        </w:rPr>
        <w:t>) au résultat </w:t>
      </w:r>
      <w:proofErr w:type="spellStart"/>
      <w:r w:rsidRPr="005C7CCE">
        <w:rPr>
          <w:color w:val="000000"/>
        </w:rPr>
        <w:t>IX.1</w:t>
      </w:r>
      <w:proofErr w:type="spellEnd"/>
      <w:r w:rsidRPr="005C7CCE">
        <w:rPr>
          <w:color w:val="000000"/>
        </w:rPr>
        <w:t xml:space="preserve"> (Services d</w:t>
      </w:r>
      <w:r w:rsidR="00A20444" w:rsidRPr="005C7CCE">
        <w:rPr>
          <w:color w:val="000000"/>
        </w:rPr>
        <w:t>’</w:t>
      </w:r>
      <w:r w:rsidRPr="005C7CCE">
        <w:rPr>
          <w:color w:val="000000"/>
        </w:rPr>
        <w:t>appui efficaces, efficients, de qualité et tournés vers la clientèle) tenant compte de l</w:t>
      </w:r>
      <w:r w:rsidR="00A20444" w:rsidRPr="005C7CCE">
        <w:rPr>
          <w:color w:val="000000"/>
        </w:rPr>
        <w:t>’</w:t>
      </w:r>
      <w:r w:rsidRPr="005C7CCE">
        <w:rPr>
          <w:color w:val="000000"/>
        </w:rPr>
        <w:t>augmentation de la sous</w:t>
      </w:r>
      <w:r w:rsidR="002D6F2A" w:rsidRPr="005C7CCE">
        <w:rPr>
          <w:color w:val="000000"/>
        </w:rPr>
        <w:noBreakHyphen/>
      </w:r>
      <w:r w:rsidRPr="005C7CCE">
        <w:rPr>
          <w:color w:val="000000"/>
        </w:rPr>
        <w:t>traitance pour l</w:t>
      </w:r>
      <w:r w:rsidR="00A20444" w:rsidRPr="005C7CCE">
        <w:rPr>
          <w:color w:val="000000"/>
        </w:rPr>
        <w:t>’</w:t>
      </w:r>
      <w:proofErr w:type="spellStart"/>
      <w:r w:rsidRPr="005C7CCE">
        <w:rPr>
          <w:color w:val="000000"/>
        </w:rPr>
        <w:t>UNICC</w:t>
      </w:r>
      <w:proofErr w:type="spellEnd"/>
      <w:r w:rsidRPr="005C7CCE">
        <w:rPr>
          <w:color w:val="000000"/>
        </w:rPr>
        <w:t>.</w:t>
      </w:r>
      <w:r w:rsidR="002950DF">
        <w:rPr>
          <w:color w:val="000000"/>
        </w:rPr>
        <w:br w:type="page"/>
      </w:r>
    </w:p>
    <w:p w:rsidR="00D42474" w:rsidRDefault="004007D3" w:rsidP="002950DF">
      <w:pPr>
        <w:tabs>
          <w:tab w:val="left" w:pos="709"/>
        </w:tabs>
        <w:ind w:left="709" w:hanging="709"/>
        <w:jc w:val="both"/>
        <w:rPr>
          <w:rFonts w:cs="Arial"/>
          <w:color w:val="000000"/>
          <w:szCs w:val="20"/>
        </w:rPr>
      </w:pPr>
      <w:r w:rsidRPr="005C7CCE">
        <w:t>B.</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2950DF">
      <w:pPr>
        <w:tabs>
          <w:tab w:val="left" w:pos="709"/>
        </w:tabs>
        <w:ind w:left="709" w:hanging="709"/>
        <w:jc w:val="both"/>
        <w:rPr>
          <w:rFonts w:cs="Arial"/>
          <w:color w:val="000000"/>
          <w:szCs w:val="20"/>
        </w:rPr>
      </w:pPr>
    </w:p>
    <w:p w:rsidR="00D42474" w:rsidRDefault="004007D3" w:rsidP="002950DF">
      <w:pPr>
        <w:tabs>
          <w:tab w:val="left" w:pos="709"/>
        </w:tabs>
        <w:autoSpaceDE w:val="0"/>
        <w:autoSpaceDN w:val="0"/>
        <w:adjustRightInd w:val="0"/>
        <w:jc w:val="both"/>
      </w:pPr>
      <w:r w:rsidRPr="005C7CCE">
        <w:t>25.9.</w:t>
      </w:r>
      <w:r w:rsidRPr="005C7CCE">
        <w:tab/>
        <w:t>L</w:t>
      </w:r>
      <w:r w:rsidR="00A20444" w:rsidRPr="005C7CCE">
        <w:t>’</w:t>
      </w:r>
      <w:r w:rsidRPr="005C7CCE">
        <w:t>utilisation du budget global pour le programme au cours de l</w:t>
      </w:r>
      <w:r w:rsidR="00A20444" w:rsidRPr="005C7CCE">
        <w:t>’</w:t>
      </w:r>
      <w:r w:rsidRPr="005C7CCE">
        <w:t>exercice biennal a été conforme au budget après virements pour 2012</w:t>
      </w:r>
      <w:r w:rsidR="002D6F2A" w:rsidRPr="005C7CCE">
        <w:noBreakHyphen/>
      </w:r>
      <w:r w:rsidRPr="005C7CCE">
        <w:t>2013.</w:t>
      </w:r>
    </w:p>
    <w:p w:rsidR="00D42474" w:rsidRDefault="00D42474" w:rsidP="002950DF">
      <w:pPr>
        <w:tabs>
          <w:tab w:val="left" w:pos="709"/>
        </w:tabs>
        <w:ind w:left="709" w:hanging="709"/>
        <w:rPr>
          <w:rFonts w:cs="Arial"/>
          <w:color w:val="000000"/>
          <w:szCs w:val="20"/>
        </w:rPr>
      </w:pPr>
    </w:p>
    <w:p w:rsidR="00D42474" w:rsidRDefault="004007D3" w:rsidP="001A5BF9">
      <w:pPr>
        <w:rPr>
          <w:rFonts w:ascii="Arial Bold" w:hAnsi="Arial Bold" w:cs="Arial"/>
          <w:b/>
          <w:bCs/>
          <w:iCs/>
          <w:caps/>
          <w:szCs w:val="28"/>
        </w:rPr>
      </w:pPr>
      <w:r w:rsidRPr="005C7CCE">
        <w:br w:type="page"/>
      </w:r>
    </w:p>
    <w:p w:rsidR="00D42474" w:rsidRDefault="004007D3" w:rsidP="001A5BF9">
      <w:pPr>
        <w:pStyle w:val="Heading3"/>
        <w:rPr>
          <w:szCs w:val="22"/>
        </w:rPr>
      </w:pPr>
      <w:bookmarkStart w:id="46" w:name="_Toc395082498"/>
      <w:r w:rsidRPr="00EE7C90">
        <w:rPr>
          <w:szCs w:val="22"/>
        </w:rPr>
        <w:t>Programme 26</w:t>
      </w:r>
      <w:r w:rsidRPr="00EE7C90">
        <w:rPr>
          <w:b w:val="0"/>
          <w:szCs w:val="22"/>
        </w:rPr>
        <w:tab/>
      </w:r>
      <w:r w:rsidRPr="00EE7C90">
        <w:rPr>
          <w:szCs w:val="22"/>
        </w:rPr>
        <w:t>Supervision interne</w:t>
      </w:r>
      <w:bookmarkEnd w:id="46"/>
    </w:p>
    <w:p w:rsidR="00D42474" w:rsidRDefault="00D42474" w:rsidP="001A5BF9">
      <w:pPr>
        <w:ind w:left="2268" w:hanging="2268"/>
        <w:rPr>
          <w:rFonts w:cs="Arial"/>
          <w:b/>
          <w:sz w:val="22"/>
          <w:szCs w:val="22"/>
        </w:rPr>
      </w:pPr>
    </w:p>
    <w:p w:rsidR="00D42474" w:rsidRDefault="004007D3" w:rsidP="001A5BF9">
      <w:pPr>
        <w:ind w:left="2268" w:hanging="2268"/>
        <w:rPr>
          <w:rFonts w:cs="Arial"/>
          <w:b/>
          <w:sz w:val="22"/>
          <w:szCs w:val="22"/>
        </w:rPr>
      </w:pPr>
      <w:r w:rsidRPr="00EE7C90">
        <w:rPr>
          <w:b/>
          <w:sz w:val="22"/>
          <w:szCs w:val="22"/>
        </w:rPr>
        <w:t>Chef de programme</w:t>
      </w:r>
      <w:r w:rsidRPr="00EE7C90">
        <w:rPr>
          <w:b/>
          <w:sz w:val="22"/>
          <w:szCs w:val="22"/>
        </w:rPr>
        <w:tab/>
      </w:r>
      <w:r w:rsidRPr="00EE7C90">
        <w:rPr>
          <w:b/>
          <w:sz w:val="22"/>
          <w:szCs w:val="22"/>
        </w:rPr>
        <w:tab/>
        <w:t>M. T.</w:t>
      </w:r>
      <w:r w:rsidR="0010442A" w:rsidRPr="00EE7C90">
        <w:rPr>
          <w:b/>
          <w:sz w:val="22"/>
          <w:szCs w:val="22"/>
        </w:rPr>
        <w:t> </w:t>
      </w:r>
      <w:proofErr w:type="spellStart"/>
      <w:r w:rsidRPr="00EE7C90">
        <w:rPr>
          <w:b/>
          <w:sz w:val="22"/>
          <w:szCs w:val="22"/>
        </w:rPr>
        <w:t>Rajaobelina</w:t>
      </w:r>
      <w:proofErr w:type="spellEnd"/>
    </w:p>
    <w:p w:rsidR="00D42474" w:rsidRDefault="00D42474" w:rsidP="001A5BF9">
      <w:pPr>
        <w:rPr>
          <w:rFonts w:cs="Arial"/>
          <w:sz w:val="22"/>
          <w:szCs w:val="22"/>
        </w:rPr>
      </w:pPr>
    </w:p>
    <w:p w:rsidR="00D42474" w:rsidRDefault="00D42474" w:rsidP="001A5BF9">
      <w:pPr>
        <w:rPr>
          <w:rFonts w:cs="Arial"/>
          <w:bCs/>
          <w:sz w:val="22"/>
          <w:szCs w:val="22"/>
        </w:rPr>
      </w:pPr>
    </w:p>
    <w:p w:rsidR="00D42474" w:rsidRDefault="004007D3" w:rsidP="001A5BF9">
      <w:pPr>
        <w:rPr>
          <w:rFonts w:cs="Arial"/>
          <w:sz w:val="22"/>
          <w:szCs w:val="22"/>
        </w:rPr>
      </w:pPr>
      <w:r w:rsidRPr="00EE7C90">
        <w:rPr>
          <w:sz w:val="22"/>
          <w:szCs w:val="22"/>
        </w:rPr>
        <w:t>RÉALISATIONS EN 2012</w:t>
      </w:r>
      <w:r w:rsidR="002D6F2A" w:rsidRPr="00EE7C90">
        <w:rPr>
          <w:sz w:val="22"/>
          <w:szCs w:val="22"/>
        </w:rPr>
        <w:noBreakHyphen/>
      </w:r>
      <w:r w:rsidRPr="00EE7C90">
        <w:rPr>
          <w:sz w:val="22"/>
          <w:szCs w:val="22"/>
        </w:rPr>
        <w:t>2013</w:t>
      </w:r>
    </w:p>
    <w:p w:rsidR="00D42474" w:rsidRDefault="00D42474" w:rsidP="001A5BF9">
      <w:pPr>
        <w:rPr>
          <w:rFonts w:cs="Arial"/>
          <w:sz w:val="22"/>
          <w:szCs w:val="22"/>
        </w:rPr>
      </w:pPr>
    </w:p>
    <w:p w:rsidR="00D42474" w:rsidRDefault="004007D3" w:rsidP="001A5BF9">
      <w:pPr>
        <w:pStyle w:val="Paragraphedeliste"/>
        <w:tabs>
          <w:tab w:val="left" w:pos="720"/>
        </w:tabs>
        <w:ind w:left="0"/>
        <w:jc w:val="both"/>
      </w:pPr>
      <w:r w:rsidRPr="002D02F3">
        <w:t>26.1.</w:t>
      </w:r>
      <w:r w:rsidRPr="002D02F3">
        <w:tab/>
        <w:t>La Division de l</w:t>
      </w:r>
      <w:r w:rsidR="00A20444" w:rsidRPr="002D02F3">
        <w:t>’</w:t>
      </w:r>
      <w:r w:rsidRPr="002D02F3">
        <w:t>audit et de la supervision internes a connu des changements importants de dotation en personnel avec l</w:t>
      </w:r>
      <w:r w:rsidR="00A20444" w:rsidRPr="002D02F3">
        <w:t>’</w:t>
      </w:r>
      <w:r w:rsidRPr="002D02F3">
        <w:t>arrivée du nouveau directeur de la division et la désignation d</w:t>
      </w:r>
      <w:r w:rsidR="00A20444" w:rsidRPr="002D02F3">
        <w:t>’</w:t>
      </w:r>
      <w:r w:rsidRPr="002D02F3">
        <w:t>un nouveau chef pour la section des enquêtes.</w:t>
      </w:r>
      <w:r w:rsidR="004F3E42" w:rsidRPr="002D02F3">
        <w:t xml:space="preserve"> </w:t>
      </w:r>
      <w:r w:rsidR="0010442A" w:rsidRPr="002D02F3">
        <w:t xml:space="preserve"> </w:t>
      </w:r>
      <w:r w:rsidRPr="002D02F3">
        <w:t>À la fin de l</w:t>
      </w:r>
      <w:r w:rsidR="00A20444" w:rsidRPr="002D02F3">
        <w:t>’</w:t>
      </w:r>
      <w:r w:rsidRPr="002D02F3">
        <w:t xml:space="preserve">exercice biennal, tous les postes vacants avaient été pourvus et les effectifs étaient au complet. </w:t>
      </w:r>
      <w:r w:rsidR="0010442A" w:rsidRPr="002D02F3">
        <w:t xml:space="preserve"> </w:t>
      </w:r>
      <w:r w:rsidRPr="002D02F3">
        <w:t>D</w:t>
      </w:r>
      <w:r w:rsidR="00A20444" w:rsidRPr="002D02F3">
        <w:t>’</w:t>
      </w:r>
      <w:r w:rsidRPr="002D02F3">
        <w:t>importants changements ont également pris place avec l</w:t>
      </w:r>
      <w:r w:rsidR="00A20444" w:rsidRPr="002D02F3">
        <w:t>’</w:t>
      </w:r>
      <w:r w:rsidRPr="002D02F3">
        <w:t>introduction et l</w:t>
      </w:r>
      <w:r w:rsidR="00A20444" w:rsidRPr="002D02F3">
        <w:t>’</w:t>
      </w:r>
      <w:r w:rsidRPr="002D02F3">
        <w:t>utilisation d</w:t>
      </w:r>
      <w:r w:rsidR="00A20444" w:rsidRPr="002D02F3">
        <w:t>’</w:t>
      </w:r>
      <w:r w:rsidRPr="002D02F3">
        <w:t>un logiciel de gestion des documents de travail électroniques pour enregistrer les processus de supervision, y compris la planification, le travail sur le terrain, l</w:t>
      </w:r>
      <w:r w:rsidR="00A20444" w:rsidRPr="002D02F3">
        <w:t>’</w:t>
      </w:r>
      <w:r w:rsidRPr="002D02F3">
        <w:t>examen et l</w:t>
      </w:r>
      <w:r w:rsidR="00A20444" w:rsidRPr="002D02F3">
        <w:t>’</w:t>
      </w:r>
      <w:r w:rsidRPr="002D02F3">
        <w:t xml:space="preserve">élaboration de rapports. </w:t>
      </w:r>
      <w:r w:rsidR="0010442A" w:rsidRPr="002D02F3">
        <w:t xml:space="preserve"> </w:t>
      </w:r>
      <w:r w:rsidRPr="002D02F3">
        <w:t>Ce logiciel favorisait une amélioration des méthodes de travail, mais sa mise en œuvre nécessitait un certain temps, ce qui a eu une légère incidence sur le plan de l</w:t>
      </w:r>
      <w:r w:rsidR="00A20444" w:rsidRPr="002D02F3">
        <w:t>’</w:t>
      </w:r>
      <w:r w:rsidRPr="002D02F3">
        <w:t>exercice biennal.</w:t>
      </w:r>
    </w:p>
    <w:p w:rsidR="00D42474" w:rsidRDefault="00D42474" w:rsidP="001A5BF9">
      <w:pPr>
        <w:pStyle w:val="Paragraphedeliste"/>
        <w:tabs>
          <w:tab w:val="left" w:pos="720"/>
        </w:tabs>
        <w:ind w:left="0"/>
        <w:jc w:val="both"/>
        <w:rPr>
          <w:rFonts w:cs="Arial"/>
          <w:sz w:val="18"/>
        </w:rPr>
      </w:pPr>
    </w:p>
    <w:p w:rsidR="00D42474" w:rsidRDefault="004007D3" w:rsidP="001A5BF9">
      <w:pPr>
        <w:pStyle w:val="Paragraphedeliste"/>
        <w:tabs>
          <w:tab w:val="left" w:pos="720"/>
        </w:tabs>
        <w:ind w:left="0"/>
        <w:jc w:val="both"/>
        <w:rPr>
          <w:rFonts w:cs="Arial"/>
        </w:rPr>
      </w:pPr>
      <w:r w:rsidRPr="002D02F3">
        <w:t>26.2.</w:t>
      </w:r>
      <w:r w:rsidRPr="002D02F3">
        <w:tab/>
        <w:t>La Division de l</w:t>
      </w:r>
      <w:r w:rsidR="00A20444" w:rsidRPr="002D02F3">
        <w:t>’</w:t>
      </w:r>
      <w:r w:rsidRPr="002D02F3">
        <w:t>audit et de la supervision internes a publié 19 rapports d</w:t>
      </w:r>
      <w:r w:rsidR="00A20444" w:rsidRPr="002D02F3">
        <w:t>’</w:t>
      </w:r>
      <w:r w:rsidRPr="002D02F3">
        <w:t>audit et d</w:t>
      </w:r>
      <w:r w:rsidR="00A20444" w:rsidRPr="002D02F3">
        <w:t>’</w:t>
      </w:r>
      <w:r w:rsidRPr="002D02F3">
        <w:t>évaluation contenant 161 recommandations d</w:t>
      </w:r>
      <w:r w:rsidR="00A20444" w:rsidRPr="002D02F3">
        <w:t>’</w:t>
      </w:r>
      <w:r w:rsidRPr="002D02F3">
        <w:t xml:space="preserve">améliorations. </w:t>
      </w:r>
      <w:r w:rsidR="0010442A" w:rsidRPr="002D02F3">
        <w:t xml:space="preserve"> </w:t>
      </w:r>
      <w:r w:rsidRPr="002D02F3">
        <w:t>Le plan de supervision de la Division de l</w:t>
      </w:r>
      <w:r w:rsidR="00A20444" w:rsidRPr="002D02F3">
        <w:t>’</w:t>
      </w:r>
      <w:r w:rsidRPr="002D02F3">
        <w:t>audit et de la supervision internes a été mis en place à l</w:t>
      </w:r>
      <w:r w:rsidR="00A20444" w:rsidRPr="002D02F3">
        <w:t>’</w:t>
      </w:r>
      <w:r w:rsidRPr="002D02F3">
        <w:t>aide de la méthode d</w:t>
      </w:r>
      <w:r w:rsidR="00A20444" w:rsidRPr="002D02F3">
        <w:t>’</w:t>
      </w:r>
      <w:r w:rsidRPr="002D02F3">
        <w:t>évaluation des risques de la Division, qui prend en compte les contributions reçues de la part des États membres, de l</w:t>
      </w:r>
      <w:r w:rsidR="00A20444" w:rsidRPr="002D02F3">
        <w:t>’</w:t>
      </w:r>
      <w:r w:rsidRPr="002D02F3">
        <w:t>Organe consultatif indépendant de surveillance (</w:t>
      </w:r>
      <w:proofErr w:type="spellStart"/>
      <w:r w:rsidRPr="002D02F3">
        <w:t>OCIS</w:t>
      </w:r>
      <w:proofErr w:type="spellEnd"/>
      <w:r w:rsidRPr="002D02F3">
        <w:t xml:space="preserve">), de la haute direction et du vérificateur externe des comptes. </w:t>
      </w:r>
      <w:r w:rsidR="0010442A" w:rsidRPr="002D02F3">
        <w:t xml:space="preserve"> </w:t>
      </w:r>
      <w:r w:rsidRPr="002D02F3">
        <w:t>Les activités d</w:t>
      </w:r>
      <w:r w:rsidR="00A20444" w:rsidRPr="002D02F3">
        <w:t>’</w:t>
      </w:r>
      <w:r w:rsidRPr="002D02F3">
        <w:t>audit et d</w:t>
      </w:r>
      <w:r w:rsidR="00A20444" w:rsidRPr="002D02F3">
        <w:t>’</w:t>
      </w:r>
      <w:r w:rsidRPr="002D02F3">
        <w:t>évaluation ont couvert divers domaines de gestion des programmes et des projets, y compris des projets du Plan d</w:t>
      </w:r>
      <w:r w:rsidR="00A20444" w:rsidRPr="002D02F3">
        <w:t>’</w:t>
      </w:r>
      <w:r w:rsidRPr="002D02F3">
        <w:t>action pour le développement, la gestion axée sur les résultats, la gestion des ressources humaines, le Département des conférences et des services linguistiques, les technologies de l</w:t>
      </w:r>
      <w:r w:rsidR="00A20444" w:rsidRPr="002D02F3">
        <w:t>’</w:t>
      </w:r>
      <w:r w:rsidRPr="002D02F3">
        <w:t>information et de la communication, les processus relatifs aux voyages et à la création de recettes au titre des systèmes du PCT, de Madrid et de La Haye.</w:t>
      </w:r>
    </w:p>
    <w:p w:rsidR="00D42474" w:rsidRDefault="00D42474" w:rsidP="001A5BF9">
      <w:pPr>
        <w:pStyle w:val="Paragraphedeliste"/>
        <w:tabs>
          <w:tab w:val="left" w:pos="720"/>
        </w:tabs>
        <w:ind w:left="0"/>
        <w:jc w:val="both"/>
        <w:rPr>
          <w:rFonts w:cs="Arial"/>
          <w:sz w:val="18"/>
        </w:rPr>
      </w:pPr>
    </w:p>
    <w:p w:rsidR="00D42474" w:rsidRDefault="004007D3" w:rsidP="001A5BF9">
      <w:pPr>
        <w:pStyle w:val="Paragraphedeliste"/>
        <w:tabs>
          <w:tab w:val="left" w:pos="720"/>
        </w:tabs>
        <w:ind w:left="0"/>
        <w:jc w:val="both"/>
        <w:rPr>
          <w:rFonts w:cs="Arial"/>
        </w:rPr>
      </w:pPr>
      <w:r w:rsidRPr="002D02F3">
        <w:t>26.3.</w:t>
      </w:r>
      <w:r w:rsidRPr="002D02F3">
        <w:tab/>
        <w:t>Par le biais de son travail de supervision indépendant et objectif, la Division de l</w:t>
      </w:r>
      <w:r w:rsidR="00A20444" w:rsidRPr="002D02F3">
        <w:t>’</w:t>
      </w:r>
      <w:r w:rsidRPr="002D02F3">
        <w:t>audit et de la supervision internes a permis à la direction de l</w:t>
      </w:r>
      <w:r w:rsidR="00A20444" w:rsidRPr="002D02F3">
        <w:t>’</w:t>
      </w:r>
      <w:r w:rsidRPr="002D02F3">
        <w:t xml:space="preserve">OMPI de bâtir et de préserver une culture </w:t>
      </w:r>
      <w:r w:rsidRPr="005C7CCE">
        <w:t>d</w:t>
      </w:r>
      <w:r w:rsidR="00A20444" w:rsidRPr="005C7CCE">
        <w:t>’</w:t>
      </w:r>
      <w:r w:rsidRPr="005C7CCE">
        <w:t>apprentissage et un fort engagement à</w:t>
      </w:r>
      <w:r w:rsidR="0010442A" w:rsidRPr="005C7CCE">
        <w:t> </w:t>
      </w:r>
      <w:r w:rsidRPr="005C7CCE">
        <w:t>l</w:t>
      </w:r>
      <w:r w:rsidR="00A20444" w:rsidRPr="005C7CCE">
        <w:t>’</w:t>
      </w:r>
      <w:r w:rsidRPr="005C7CCE">
        <w:t>égard de la responsabilisation à tous les échelons de l</w:t>
      </w:r>
      <w:r w:rsidR="00A20444" w:rsidRPr="005C7CCE">
        <w:t>’</w:t>
      </w:r>
      <w:r w:rsidRPr="005C7CCE">
        <w:t>OMPI, tout en contribuant à améliorer les méthodes et les activités organisationnelles.</w:t>
      </w:r>
    </w:p>
    <w:p w:rsidR="00D42474" w:rsidRDefault="00D42474" w:rsidP="001A5BF9">
      <w:pPr>
        <w:pStyle w:val="Paragraphedeliste"/>
        <w:tabs>
          <w:tab w:val="left" w:pos="720"/>
        </w:tabs>
        <w:ind w:left="0"/>
        <w:jc w:val="both"/>
        <w:rPr>
          <w:rFonts w:cs="Arial"/>
          <w:sz w:val="18"/>
        </w:rPr>
      </w:pPr>
    </w:p>
    <w:p w:rsidR="00D42474" w:rsidRDefault="004007D3" w:rsidP="001A5BF9">
      <w:pPr>
        <w:pStyle w:val="Paragraphedeliste"/>
        <w:tabs>
          <w:tab w:val="left" w:pos="720"/>
        </w:tabs>
        <w:ind w:left="0"/>
        <w:jc w:val="both"/>
        <w:rPr>
          <w:rFonts w:cs="Arial"/>
        </w:rPr>
      </w:pPr>
      <w:r w:rsidRPr="005C7CCE">
        <w:t>26.4.</w:t>
      </w:r>
      <w:r w:rsidRPr="005C7CCE">
        <w:tab/>
        <w:t>Le retard en ce qui concerne les affaires nécessitant une enquête a été maîtrisé sans que la gestion de la charge de travail compromette le plan de travail de la Division, en dépit des 40 nouvelles affaires soumises au cours de l</w:t>
      </w:r>
      <w:r w:rsidR="00A20444" w:rsidRPr="005C7CCE">
        <w:t>’</w:t>
      </w:r>
      <w:r w:rsidRPr="005C7CCE">
        <w:t xml:space="preserve">exercice biennal. </w:t>
      </w:r>
      <w:r w:rsidR="0010442A" w:rsidRPr="005C7CCE">
        <w:t xml:space="preserve"> </w:t>
      </w:r>
      <w:r w:rsidRPr="005C7CCE">
        <w:t>La politique en matière d</w:t>
      </w:r>
      <w:r w:rsidR="00A20444" w:rsidRPr="005C7CCE">
        <w:t>’</w:t>
      </w:r>
      <w:r w:rsidRPr="005C7CCE">
        <w:t>enquêtes et la révision du Manuel de procédure en matière d</w:t>
      </w:r>
      <w:r w:rsidR="00A20444" w:rsidRPr="005C7CCE">
        <w:t>’</w:t>
      </w:r>
      <w:r w:rsidRPr="005C7CCE">
        <w:t>enquêtes se sont révélées être des instruments importants permettant une meilleure gestion de la charge de travail.</w:t>
      </w:r>
    </w:p>
    <w:p w:rsidR="00D42474" w:rsidRDefault="00D42474" w:rsidP="001A5BF9">
      <w:pPr>
        <w:pStyle w:val="Paragraphedeliste"/>
        <w:tabs>
          <w:tab w:val="left" w:pos="720"/>
        </w:tabs>
        <w:ind w:left="0"/>
        <w:jc w:val="both"/>
        <w:rPr>
          <w:rFonts w:cs="Arial"/>
          <w:sz w:val="18"/>
        </w:rPr>
      </w:pPr>
    </w:p>
    <w:p w:rsidR="00D42474" w:rsidRDefault="004007D3" w:rsidP="001A5BF9">
      <w:pPr>
        <w:pStyle w:val="Paragraphedeliste"/>
        <w:tabs>
          <w:tab w:val="left" w:pos="720"/>
        </w:tabs>
        <w:ind w:left="0"/>
        <w:jc w:val="both"/>
        <w:rPr>
          <w:rFonts w:cs="Arial"/>
        </w:rPr>
      </w:pPr>
      <w:r w:rsidRPr="005C7CCE">
        <w:t>26.5.</w:t>
      </w:r>
      <w:r w:rsidRPr="005C7CCE">
        <w:tab/>
        <w:t xml:space="preserve">Afin de mieux appréhender les attentes des collègues et de recueillir leur avis sur les activités de supervision, la Division utilise régulièrement des enquêtes de satisfaction. </w:t>
      </w:r>
      <w:r w:rsidR="0010442A" w:rsidRPr="005C7CCE">
        <w:t xml:space="preserve"> </w:t>
      </w:r>
      <w:r w:rsidRPr="005C7CCE">
        <w:t xml:space="preserve">Ces enquêtes lui ont permis </w:t>
      </w:r>
      <w:r w:rsidRPr="002D02F3">
        <w:t>de mieux cerner les domaines dans lesquels elle pourrait améliorer ses travaux.</w:t>
      </w:r>
    </w:p>
    <w:p w:rsidR="00D42474" w:rsidRDefault="00D42474" w:rsidP="001A5BF9">
      <w:pPr>
        <w:pStyle w:val="Paragraphedeliste"/>
        <w:tabs>
          <w:tab w:val="left" w:pos="720"/>
        </w:tabs>
        <w:ind w:left="0"/>
        <w:jc w:val="both"/>
        <w:rPr>
          <w:rFonts w:cs="Arial"/>
          <w:sz w:val="18"/>
        </w:rPr>
      </w:pPr>
    </w:p>
    <w:p w:rsidR="00D42474" w:rsidRDefault="004007D3" w:rsidP="001A5BF9">
      <w:pPr>
        <w:pStyle w:val="Paragraphedeliste"/>
        <w:tabs>
          <w:tab w:val="left" w:pos="720"/>
        </w:tabs>
        <w:ind w:left="0"/>
        <w:jc w:val="both"/>
        <w:rPr>
          <w:rFonts w:cs="Arial"/>
          <w:spacing w:val="-4"/>
        </w:rPr>
      </w:pPr>
      <w:r w:rsidRPr="002D02F3">
        <w:rPr>
          <w:spacing w:val="-4"/>
        </w:rPr>
        <w:t>26.6.</w:t>
      </w:r>
      <w:r w:rsidRPr="002D02F3">
        <w:rPr>
          <w:spacing w:val="-4"/>
        </w:rPr>
        <w:tab/>
        <w:t>La Division de l</w:t>
      </w:r>
      <w:r w:rsidR="00A20444" w:rsidRPr="002D02F3">
        <w:rPr>
          <w:spacing w:val="-4"/>
        </w:rPr>
        <w:t>’</w:t>
      </w:r>
      <w:r w:rsidRPr="002D02F3">
        <w:rPr>
          <w:spacing w:val="-4"/>
        </w:rPr>
        <w:t>audit et de la supervision internes a continué à communiquer avec le personnel, la direction et les États membres au moyen de différentes présentations.</w:t>
      </w:r>
      <w:r w:rsidR="004F3E42" w:rsidRPr="002D02F3">
        <w:rPr>
          <w:spacing w:val="-4"/>
        </w:rPr>
        <w:t xml:space="preserve"> </w:t>
      </w:r>
      <w:r w:rsidR="0010442A" w:rsidRPr="002D02F3">
        <w:rPr>
          <w:spacing w:val="-4"/>
        </w:rPr>
        <w:t xml:space="preserve"> </w:t>
      </w:r>
      <w:r w:rsidRPr="002D02F3">
        <w:rPr>
          <w:spacing w:val="-4"/>
        </w:rPr>
        <w:t>La division a également organisé un séminaire pour mieux faire connaître la fonction d</w:t>
      </w:r>
      <w:r w:rsidR="00A20444" w:rsidRPr="002D02F3">
        <w:rPr>
          <w:spacing w:val="-4"/>
        </w:rPr>
        <w:t>’</w:t>
      </w:r>
      <w:r w:rsidRPr="002D02F3">
        <w:rPr>
          <w:spacing w:val="-4"/>
        </w:rPr>
        <w:t>évaluation de l</w:t>
      </w:r>
      <w:r w:rsidR="00A20444" w:rsidRPr="002D02F3">
        <w:rPr>
          <w:spacing w:val="-4"/>
        </w:rPr>
        <w:t>’</w:t>
      </w:r>
      <w:r w:rsidRPr="002D02F3">
        <w:rPr>
          <w:spacing w:val="-4"/>
        </w:rPr>
        <w:t>OMPI et sensibiliser aux bonnes pratiques en matière d</w:t>
      </w:r>
      <w:r w:rsidR="00A20444" w:rsidRPr="002D02F3">
        <w:rPr>
          <w:spacing w:val="-4"/>
        </w:rPr>
        <w:t>’</w:t>
      </w:r>
      <w:r w:rsidRPr="002D02F3">
        <w:rPr>
          <w:spacing w:val="-4"/>
        </w:rPr>
        <w:t>évaluation en mettant en avant leur utilité dans le cadre de la gestion et de la prise de décisions.</w:t>
      </w:r>
    </w:p>
    <w:p w:rsidR="00D42474" w:rsidRDefault="00D42474" w:rsidP="001A5BF9">
      <w:pPr>
        <w:pStyle w:val="Paragraphedeliste"/>
        <w:tabs>
          <w:tab w:val="left" w:pos="720"/>
        </w:tabs>
        <w:ind w:left="0"/>
        <w:jc w:val="both"/>
        <w:rPr>
          <w:rFonts w:cs="Arial"/>
          <w:sz w:val="18"/>
        </w:rPr>
      </w:pPr>
    </w:p>
    <w:p w:rsidR="00D42474" w:rsidRDefault="004007D3" w:rsidP="001A5BF9">
      <w:pPr>
        <w:pStyle w:val="Paragraphedeliste"/>
        <w:tabs>
          <w:tab w:val="left" w:pos="720"/>
        </w:tabs>
        <w:ind w:left="0"/>
        <w:jc w:val="both"/>
        <w:rPr>
          <w:rFonts w:cs="Arial"/>
        </w:rPr>
      </w:pPr>
      <w:r w:rsidRPr="002D02F3">
        <w:t>26.7.</w:t>
      </w:r>
      <w:r w:rsidRPr="002D02F3">
        <w:tab/>
        <w:t>La Division de l</w:t>
      </w:r>
      <w:r w:rsidR="00A20444" w:rsidRPr="002D02F3">
        <w:t>’</w:t>
      </w:r>
      <w:r w:rsidRPr="002D02F3">
        <w:t xml:space="preserve">audit et de la supervision internes a fait le suivi des recommandations des années antérieures pour veiller à un suivi efficace de la direction. </w:t>
      </w:r>
      <w:r w:rsidR="0010442A" w:rsidRPr="002D02F3">
        <w:t xml:space="preserve"> </w:t>
      </w:r>
      <w:r w:rsidRPr="002D02F3">
        <w:t>La direction de l</w:t>
      </w:r>
      <w:r w:rsidR="00A20444" w:rsidRPr="002D02F3">
        <w:t>’</w:t>
      </w:r>
      <w:r w:rsidRPr="002D02F3">
        <w:t>OMPI a également régulièrement consulté la division sur d</w:t>
      </w:r>
      <w:r w:rsidR="00A20444" w:rsidRPr="002D02F3">
        <w:t>’</w:t>
      </w:r>
      <w:r w:rsidRPr="002D02F3">
        <w:t>autres questions comme la rédaction ou la révision des politiques et la préparation des examens externes.</w:t>
      </w:r>
    </w:p>
    <w:p w:rsidR="00D42474" w:rsidRDefault="00D42474" w:rsidP="001A5BF9">
      <w:pPr>
        <w:pStyle w:val="Paragraphedeliste"/>
        <w:tabs>
          <w:tab w:val="left" w:pos="720"/>
        </w:tabs>
        <w:ind w:left="0"/>
        <w:jc w:val="both"/>
        <w:rPr>
          <w:rFonts w:cs="Arial"/>
          <w:sz w:val="18"/>
        </w:rPr>
      </w:pPr>
    </w:p>
    <w:p w:rsidR="00D42474" w:rsidRDefault="004007D3" w:rsidP="001A5BF9">
      <w:pPr>
        <w:pStyle w:val="Paragraphedeliste"/>
        <w:tabs>
          <w:tab w:val="left" w:pos="720"/>
        </w:tabs>
        <w:ind w:left="0"/>
        <w:jc w:val="both"/>
        <w:rPr>
          <w:rFonts w:cs="Arial"/>
        </w:rPr>
      </w:pPr>
      <w:r w:rsidRPr="002D02F3">
        <w:t>26.8.</w:t>
      </w:r>
      <w:r w:rsidRPr="002D02F3">
        <w:tab/>
        <w:t>Les travaux de la Division de l</w:t>
      </w:r>
      <w:r w:rsidR="00A20444" w:rsidRPr="002D02F3">
        <w:t>’</w:t>
      </w:r>
      <w:r w:rsidRPr="002D02F3">
        <w:t>audit et de la supervision internes ont continué d</w:t>
      </w:r>
      <w:r w:rsidR="00A20444" w:rsidRPr="002D02F3">
        <w:t>’</w:t>
      </w:r>
      <w:r w:rsidRPr="002D02F3">
        <w:t>être étudiés de près par l</w:t>
      </w:r>
      <w:r w:rsidR="00A20444" w:rsidRPr="002D02F3">
        <w:t>’</w:t>
      </w:r>
      <w:r w:rsidRPr="002D02F3">
        <w:t>Organe consultatif indépendant de surveillance au cours de l</w:t>
      </w:r>
      <w:r w:rsidR="00A20444" w:rsidRPr="002D02F3">
        <w:t>’</w:t>
      </w:r>
      <w:r w:rsidRPr="002D02F3">
        <w:t xml:space="preserve">exercice biennal. </w:t>
      </w:r>
      <w:r w:rsidR="0010442A" w:rsidRPr="002D02F3">
        <w:t xml:space="preserve"> </w:t>
      </w:r>
      <w:r w:rsidRPr="002D02F3">
        <w:t>Par le passé, l</w:t>
      </w:r>
      <w:r w:rsidR="00A20444" w:rsidRPr="002D02F3">
        <w:t>’</w:t>
      </w:r>
      <w:r w:rsidRPr="002D02F3">
        <w:t xml:space="preserve">Organe consultatif a jugé que le fonctionnement de la division était à haut risque. </w:t>
      </w:r>
      <w:r w:rsidR="0010442A" w:rsidRPr="002D02F3">
        <w:t xml:space="preserve"> </w:t>
      </w:r>
      <w:r w:rsidRPr="002D02F3">
        <w:t>Dans son rapport annuel au Comité du programme et du budget en 2012</w:t>
      </w:r>
      <w:r w:rsidRPr="002D02F3">
        <w:rPr>
          <w:vertAlign w:val="superscript"/>
        </w:rPr>
        <w:footnoteReference w:id="42"/>
      </w:r>
      <w:r w:rsidRPr="002D02F3">
        <w:t>, l</w:t>
      </w:r>
      <w:r w:rsidR="00A20444" w:rsidRPr="002D02F3">
        <w:t>’</w:t>
      </w:r>
      <w:r w:rsidRPr="002D02F3">
        <w:t>Organe consultatif a fait valoir qu</w:t>
      </w:r>
      <w:r w:rsidR="00A20444" w:rsidRPr="002D02F3">
        <w:t>’</w:t>
      </w:r>
      <w:r w:rsidRPr="002D02F3">
        <w:t>il pensait que les progrès visant à remédier aux lacunes de la Division de l</w:t>
      </w:r>
      <w:r w:rsidR="00A20444" w:rsidRPr="002D02F3">
        <w:t>’</w:t>
      </w:r>
      <w:r w:rsidRPr="002D02F3">
        <w:t>audit et de la supervision internes avaient suffi à réduire la cote de risque des travaux de la division et a loué la qualité de certains rapports de supervision</w:t>
      </w:r>
      <w:r w:rsidRPr="002D02F3">
        <w:rPr>
          <w:rStyle w:val="FootnoteReference"/>
        </w:rPr>
        <w:footnoteReference w:id="43"/>
      </w:r>
      <w:r w:rsidRPr="002D02F3">
        <w:t>.</w:t>
      </w:r>
    </w:p>
    <w:p w:rsidR="00D42474" w:rsidRDefault="00D42474" w:rsidP="001A5BF9">
      <w:pPr>
        <w:rPr>
          <w:rFonts w:ascii="ArialMT" w:hAnsi="ArialMT" w:cs="ArialMT"/>
          <w:szCs w:val="20"/>
        </w:rPr>
      </w:pPr>
    </w:p>
    <w:p w:rsidR="00D42474" w:rsidRDefault="00D42474" w:rsidP="001A5BF9">
      <w:pPr>
        <w:rPr>
          <w:rFonts w:ascii="ArialMT" w:hAnsi="ArialMT" w:cs="ArialMT"/>
          <w:szCs w:val="20"/>
        </w:rPr>
      </w:pPr>
    </w:p>
    <w:p w:rsidR="00D42474" w:rsidRDefault="004007D3" w:rsidP="001A5BF9">
      <w:r w:rsidRPr="002D02F3">
        <w:rPr>
          <w:sz w:val="22"/>
        </w:rPr>
        <w:t>MISE EN ŒUVRE DU PLAN D</w:t>
      </w:r>
      <w:r w:rsidR="00A20444" w:rsidRPr="002D02F3">
        <w:rPr>
          <w:sz w:val="22"/>
        </w:rPr>
        <w:t>’</w:t>
      </w:r>
      <w:r w:rsidRPr="002D02F3">
        <w:rPr>
          <w:sz w:val="22"/>
        </w:rPr>
        <w:t>ACTION POUR LE DÉVELOPPEMENT</w:t>
      </w:r>
    </w:p>
    <w:p w:rsidR="00D42474" w:rsidRDefault="00D42474" w:rsidP="001A5BF9">
      <w:pPr>
        <w:rPr>
          <w:rFonts w:cs="Arial"/>
          <w:b/>
          <w:bCs/>
          <w:szCs w:val="22"/>
        </w:rPr>
      </w:pPr>
    </w:p>
    <w:p w:rsidR="00D42474" w:rsidRDefault="004007D3" w:rsidP="001A5BF9">
      <w:pPr>
        <w:pStyle w:val="Paragraphedeliste"/>
        <w:tabs>
          <w:tab w:val="left" w:pos="720"/>
        </w:tabs>
        <w:ind w:left="0"/>
        <w:jc w:val="both"/>
        <w:rPr>
          <w:rFonts w:cs="Arial"/>
        </w:rPr>
      </w:pPr>
      <w:r w:rsidRPr="002D02F3">
        <w:t>26.9.</w:t>
      </w:r>
      <w:r w:rsidRPr="002D02F3">
        <w:tab/>
        <w:t>Quatre évaluations de projets du Plan d</w:t>
      </w:r>
      <w:r w:rsidR="00A20444" w:rsidRPr="002D02F3">
        <w:t>’</w:t>
      </w:r>
      <w:r w:rsidRPr="002D02F3">
        <w:t xml:space="preserve">action pour le développement ont été menées, </w:t>
      </w:r>
      <w:r w:rsidR="00A20444" w:rsidRPr="002D02F3">
        <w:t>à savoir</w:t>
      </w:r>
      <w:r w:rsidRPr="002D02F3">
        <w:t> :</w:t>
      </w:r>
    </w:p>
    <w:p w:rsidR="00D42474" w:rsidRDefault="00D42474" w:rsidP="001A5BF9">
      <w:pPr>
        <w:jc w:val="both"/>
        <w:rPr>
          <w:rFonts w:cs="Arial"/>
          <w:szCs w:val="20"/>
        </w:rPr>
      </w:pPr>
    </w:p>
    <w:p w:rsidR="00D42474" w:rsidRDefault="00EE7C90" w:rsidP="001A5BF9">
      <w:pPr>
        <w:pStyle w:val="Paragraphedeliste"/>
        <w:numPr>
          <w:ilvl w:val="0"/>
          <w:numId w:val="66"/>
        </w:numPr>
        <w:ind w:left="1134"/>
        <w:jc w:val="both"/>
        <w:rPr>
          <w:rFonts w:cs="Arial"/>
        </w:rPr>
      </w:pPr>
      <w:r>
        <w:t>p</w:t>
      </w:r>
      <w:r w:rsidR="004007D3" w:rsidRPr="002D02F3">
        <w:t>rojet du Plan d</w:t>
      </w:r>
      <w:r w:rsidR="00A20444" w:rsidRPr="002D02F3">
        <w:t>’</w:t>
      </w:r>
      <w:r w:rsidR="004007D3" w:rsidRPr="002D02F3">
        <w:t>action pour le développement relatif à l</w:t>
      </w:r>
      <w:r w:rsidR="00A20444" w:rsidRPr="002D02F3">
        <w:t>’</w:t>
      </w:r>
      <w:r w:rsidR="004007D3" w:rsidRPr="002D02F3">
        <w:t>élaboration d</w:t>
      </w:r>
      <w:r w:rsidR="00A20444" w:rsidRPr="002D02F3">
        <w:t>’</w:t>
      </w:r>
      <w:r w:rsidR="004007D3" w:rsidRPr="002D02F3">
        <w:t>instruments permettant d</w:t>
      </w:r>
      <w:r w:rsidR="00A20444" w:rsidRPr="002D02F3">
        <w:t>’</w:t>
      </w:r>
      <w:r w:rsidR="004007D3" w:rsidRPr="002D02F3">
        <w:t>accéder à l</w:t>
      </w:r>
      <w:r w:rsidR="00A20444" w:rsidRPr="002D02F3">
        <w:t>’</w:t>
      </w:r>
      <w:r w:rsidR="004007D3" w:rsidRPr="002D02F3">
        <w:t>information en matière de brevets;</w:t>
      </w:r>
    </w:p>
    <w:p w:rsidR="00D42474" w:rsidRDefault="00EE7C90" w:rsidP="001A5BF9">
      <w:pPr>
        <w:pStyle w:val="Paragraphedeliste"/>
        <w:numPr>
          <w:ilvl w:val="0"/>
          <w:numId w:val="66"/>
        </w:numPr>
        <w:ind w:left="1134"/>
        <w:jc w:val="both"/>
        <w:rPr>
          <w:rFonts w:cs="Arial"/>
        </w:rPr>
      </w:pPr>
      <w:r>
        <w:t>p</w:t>
      </w:r>
      <w:r w:rsidR="004007D3" w:rsidRPr="002D02F3">
        <w:t>rojet du Plan d</w:t>
      </w:r>
      <w:r w:rsidR="00A20444" w:rsidRPr="002D02F3">
        <w:t>’</w:t>
      </w:r>
      <w:r w:rsidR="004007D3" w:rsidRPr="002D02F3">
        <w:t>action pour le développement sur les accès et l</w:t>
      </w:r>
      <w:r w:rsidR="00A20444" w:rsidRPr="002D02F3">
        <w:t>’</w:t>
      </w:r>
      <w:r w:rsidR="004007D3" w:rsidRPr="002D02F3">
        <w:t>appui aux bases de données spécialisées;</w:t>
      </w:r>
    </w:p>
    <w:p w:rsidR="00D42474" w:rsidRDefault="00EE7C90" w:rsidP="001A5BF9">
      <w:pPr>
        <w:pStyle w:val="Paragraphedeliste"/>
        <w:numPr>
          <w:ilvl w:val="0"/>
          <w:numId w:val="66"/>
        </w:numPr>
        <w:ind w:left="1134"/>
        <w:jc w:val="both"/>
        <w:rPr>
          <w:rFonts w:cs="Arial"/>
        </w:rPr>
      </w:pPr>
      <w:r>
        <w:t>p</w:t>
      </w:r>
      <w:r w:rsidR="004007D3" w:rsidRPr="002D02F3">
        <w:t>rojet pilote de création de nouvelles académies nationales de la propriété intellectuelle;</w:t>
      </w:r>
      <w:r w:rsidR="004F3E42" w:rsidRPr="002D02F3">
        <w:t xml:space="preserve"> </w:t>
      </w:r>
      <w:r w:rsidR="0010442A" w:rsidRPr="002D02F3">
        <w:t xml:space="preserve"> </w:t>
      </w:r>
      <w:r w:rsidR="004007D3" w:rsidRPr="002D02F3">
        <w:t>et</w:t>
      </w:r>
    </w:p>
    <w:p w:rsidR="00D42474" w:rsidRDefault="00EE7C90" w:rsidP="001A5BF9">
      <w:pPr>
        <w:pStyle w:val="Paragraphedeliste"/>
        <w:numPr>
          <w:ilvl w:val="0"/>
          <w:numId w:val="66"/>
        </w:numPr>
        <w:ind w:left="1134"/>
        <w:jc w:val="both"/>
        <w:rPr>
          <w:rFonts w:cs="Arial"/>
        </w:rPr>
      </w:pPr>
      <w:r>
        <w:t>p</w:t>
      </w:r>
      <w:r w:rsidR="004007D3" w:rsidRPr="002D02F3">
        <w:t>rojet du Plan d</w:t>
      </w:r>
      <w:r w:rsidR="00A20444" w:rsidRPr="002D02F3">
        <w:t>’</w:t>
      </w:r>
      <w:r w:rsidR="004007D3" w:rsidRPr="002D02F3">
        <w:t>action pour le développement relatif au renforcement des capacités des institutions de propriété intellectuelle et des utilisateurs aux niveaux national, sous</w:t>
      </w:r>
      <w:r w:rsidR="002D6F2A" w:rsidRPr="002D02F3">
        <w:noBreakHyphen/>
      </w:r>
      <w:r w:rsidR="004007D3" w:rsidRPr="002D02F3">
        <w:t>régional et régional.</w:t>
      </w:r>
    </w:p>
    <w:p w:rsidR="00D42474" w:rsidRDefault="00D42474" w:rsidP="001A5BF9">
      <w:pPr>
        <w:ind w:left="1134"/>
        <w:jc w:val="both"/>
        <w:rPr>
          <w:rFonts w:cs="Arial"/>
          <w:szCs w:val="20"/>
        </w:rPr>
      </w:pPr>
    </w:p>
    <w:p w:rsidR="00D42474" w:rsidRDefault="004007D3" w:rsidP="001A5BF9">
      <w:pPr>
        <w:pStyle w:val="Paragraphedeliste"/>
        <w:tabs>
          <w:tab w:val="left" w:pos="720"/>
        </w:tabs>
        <w:ind w:left="0"/>
        <w:jc w:val="both"/>
        <w:rPr>
          <w:rFonts w:cs="Arial"/>
        </w:rPr>
      </w:pPr>
      <w:r w:rsidRPr="002D02F3">
        <w:t>26.10.</w:t>
      </w:r>
      <w:r w:rsidRPr="002D02F3">
        <w:tab/>
        <w:t>En outre, la Division de l</w:t>
      </w:r>
      <w:r w:rsidR="00A20444" w:rsidRPr="002D02F3">
        <w:t>’</w:t>
      </w:r>
      <w:r w:rsidRPr="002D02F3">
        <w:t>audit et de la supervision internes a incorporé les préoccupations du Plan d</w:t>
      </w:r>
      <w:r w:rsidR="00A20444" w:rsidRPr="002D02F3">
        <w:t>’</w:t>
      </w:r>
      <w:r w:rsidRPr="002D02F3">
        <w:t xml:space="preserve">action pour le développement dans </w:t>
      </w:r>
      <w:proofErr w:type="spellStart"/>
      <w:r w:rsidRPr="002D02F3">
        <w:t>on</w:t>
      </w:r>
      <w:proofErr w:type="spellEnd"/>
      <w:r w:rsidRPr="002D02F3">
        <w:t xml:space="preserve"> portefeuille de pays et ses évaluations de programme, le cas échéant.</w:t>
      </w:r>
    </w:p>
    <w:p w:rsidR="00D42474" w:rsidRDefault="00D42474" w:rsidP="001A5BF9">
      <w:pPr>
        <w:rPr>
          <w:rFonts w:cs="Arial"/>
          <w:szCs w:val="22"/>
        </w:rPr>
      </w:pPr>
    </w:p>
    <w:p w:rsidR="00D42474" w:rsidRDefault="00D42474" w:rsidP="001A5BF9">
      <w:pPr>
        <w:rPr>
          <w:rFonts w:cs="Arial"/>
          <w:szCs w:val="22"/>
        </w:rPr>
      </w:pPr>
    </w:p>
    <w:p w:rsidR="00D42474" w:rsidRDefault="004007D3" w:rsidP="001A5BF9">
      <w:pPr>
        <w:rPr>
          <w:rFonts w:cs="Arial"/>
          <w:szCs w:val="22"/>
        </w:rPr>
      </w:pPr>
      <w:r w:rsidRPr="002D02F3">
        <w:rPr>
          <w:sz w:val="22"/>
        </w:rPr>
        <w:t>DONNÉES RELATIVES À L</w:t>
      </w:r>
      <w:r w:rsidR="00A20444" w:rsidRPr="002D02F3">
        <w:rPr>
          <w:sz w:val="22"/>
        </w:rPr>
        <w:t>’</w:t>
      </w:r>
      <w:r w:rsidRPr="002D02F3">
        <w:rPr>
          <w:sz w:val="22"/>
        </w:rPr>
        <w:t>EXÉCUTION</w:t>
      </w:r>
    </w:p>
    <w:p w:rsidR="004007D3" w:rsidRPr="002D02F3" w:rsidRDefault="004007D3" w:rsidP="001A5BF9">
      <w:pPr>
        <w:rPr>
          <w:rFonts w:cs="Arial"/>
          <w:b/>
          <w:szCs w:val="22"/>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6"/>
        <w:gridCol w:w="1710"/>
        <w:gridCol w:w="266"/>
        <w:gridCol w:w="1314"/>
        <w:gridCol w:w="386"/>
        <w:gridCol w:w="2839"/>
        <w:gridCol w:w="1276"/>
      </w:tblGrid>
      <w:tr w:rsidR="004007D3" w:rsidRPr="002D02F3" w:rsidTr="0056083E">
        <w:tc>
          <w:tcPr>
            <w:tcW w:w="5000" w:type="pct"/>
            <w:gridSpan w:val="7"/>
            <w:tcBorders>
              <w:top w:val="single" w:sz="4" w:space="0" w:color="auto"/>
              <w:bottom w:val="single" w:sz="4" w:space="0" w:color="auto"/>
            </w:tcBorders>
            <w:shd w:val="clear" w:color="auto" w:fill="CCFFFF"/>
            <w:vAlign w:val="center"/>
          </w:tcPr>
          <w:p w:rsidR="004007D3" w:rsidRPr="002D02F3" w:rsidRDefault="004007D3" w:rsidP="001A5BF9">
            <w:pPr>
              <w:keepNext/>
              <w:keepLines/>
              <w:tabs>
                <w:tab w:val="left" w:pos="1452"/>
              </w:tabs>
              <w:spacing w:before="120" w:after="120"/>
              <w:ind w:left="1452" w:hanging="1452"/>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Une fonction d</w:t>
            </w:r>
            <w:r w:rsidR="00A20444" w:rsidRPr="002D02F3">
              <w:rPr>
                <w:sz w:val="16"/>
              </w:rPr>
              <w:t>’</w:t>
            </w:r>
            <w:r w:rsidRPr="002D02F3">
              <w:rPr>
                <w:sz w:val="16"/>
              </w:rPr>
              <w:t>audit interne efficace et professionnelle couvrant tous les secteurs à haut risque</w:t>
            </w:r>
          </w:p>
        </w:tc>
      </w:tr>
      <w:tr w:rsidR="004007D3" w:rsidRPr="002D02F3" w:rsidTr="001B5CFE">
        <w:tc>
          <w:tcPr>
            <w:tcW w:w="837" w:type="pct"/>
            <w:tcBorders>
              <w:top w:val="single" w:sz="4" w:space="0" w:color="auto"/>
            </w:tcBorders>
            <w:shd w:val="clear" w:color="auto" w:fill="auto"/>
            <w:vAlign w:val="center"/>
          </w:tcPr>
          <w:p w:rsidR="004007D3" w:rsidRPr="002D02F3" w:rsidRDefault="004007D3" w:rsidP="00EE7C90">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1056" w:type="pct"/>
            <w:gridSpan w:val="2"/>
            <w:tcBorders>
              <w:top w:val="single" w:sz="4" w:space="0" w:color="auto"/>
            </w:tcBorders>
            <w:shd w:val="clear" w:color="auto" w:fill="auto"/>
            <w:vAlign w:val="center"/>
          </w:tcPr>
          <w:p w:rsidR="004007D3" w:rsidRPr="002D02F3" w:rsidRDefault="004007D3" w:rsidP="00EE7C90">
            <w:pPr>
              <w:rPr>
                <w:rFonts w:cs="Arial"/>
                <w:b/>
                <w:bCs/>
                <w:sz w:val="16"/>
                <w:szCs w:val="16"/>
              </w:rPr>
            </w:pPr>
            <w:r w:rsidRPr="002D02F3">
              <w:rPr>
                <w:b/>
                <w:sz w:val="16"/>
              </w:rPr>
              <w:t>Niveaux de référence</w:t>
            </w:r>
          </w:p>
        </w:tc>
        <w:tc>
          <w:tcPr>
            <w:tcW w:w="908" w:type="pct"/>
            <w:gridSpan w:val="2"/>
            <w:tcBorders>
              <w:top w:val="single" w:sz="4" w:space="0" w:color="auto"/>
            </w:tcBorders>
            <w:shd w:val="clear" w:color="auto" w:fill="auto"/>
            <w:tcMar>
              <w:top w:w="110" w:type="dxa"/>
            </w:tcMar>
            <w:vAlign w:val="center"/>
          </w:tcPr>
          <w:p w:rsidR="004007D3" w:rsidRPr="002D02F3" w:rsidRDefault="004007D3" w:rsidP="00EE7C90">
            <w:pPr>
              <w:rPr>
                <w:rFonts w:cs="Arial"/>
                <w:b/>
                <w:sz w:val="16"/>
                <w:szCs w:val="16"/>
              </w:rPr>
            </w:pPr>
            <w:r w:rsidRPr="002D02F3">
              <w:rPr>
                <w:b/>
                <w:sz w:val="16"/>
              </w:rPr>
              <w:t>Objectifs visés</w:t>
            </w:r>
          </w:p>
        </w:tc>
        <w:tc>
          <w:tcPr>
            <w:tcW w:w="1516" w:type="pct"/>
            <w:tcBorders>
              <w:top w:val="single" w:sz="4" w:space="0" w:color="auto"/>
            </w:tcBorders>
            <w:shd w:val="clear" w:color="auto" w:fill="FFFFFF"/>
            <w:tcMar>
              <w:top w:w="110" w:type="dxa"/>
            </w:tcMar>
            <w:vAlign w:val="center"/>
          </w:tcPr>
          <w:p w:rsidR="004007D3" w:rsidRPr="002D02F3" w:rsidRDefault="004007D3" w:rsidP="00EE7C90">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4007D3" w:rsidRPr="002D02F3" w:rsidRDefault="004007D3" w:rsidP="001A5BF9">
            <w:pPr>
              <w:keepNext/>
              <w:keepLines/>
              <w:jc w:val="center"/>
              <w:rPr>
                <w:rFonts w:cs="Arial"/>
                <w:b/>
                <w:bCs/>
                <w:sz w:val="16"/>
                <w:szCs w:val="16"/>
              </w:rPr>
            </w:pPr>
            <w:r w:rsidRPr="002D02F3">
              <w:rPr>
                <w:b/>
                <w:sz w:val="16"/>
              </w:rPr>
              <w:t>Code de couleurs</w:t>
            </w:r>
          </w:p>
        </w:tc>
      </w:tr>
      <w:tr w:rsidR="004007D3" w:rsidRPr="005C7CCE" w:rsidTr="001B5CFE">
        <w:tc>
          <w:tcPr>
            <w:tcW w:w="837" w:type="pct"/>
            <w:shd w:val="clear" w:color="auto" w:fill="auto"/>
          </w:tcPr>
          <w:p w:rsidR="004007D3" w:rsidRPr="00EE7C90" w:rsidRDefault="004007D3" w:rsidP="001A5BF9">
            <w:pPr>
              <w:keepNext/>
              <w:keepLines/>
              <w:rPr>
                <w:rFonts w:cs="Arial"/>
                <w:sz w:val="16"/>
                <w:szCs w:val="16"/>
                <w:lang w:bidi="th-TH"/>
              </w:rPr>
            </w:pPr>
            <w:r w:rsidRPr="00EE7C90">
              <w:rPr>
                <w:sz w:val="16"/>
              </w:rPr>
              <w:t>Nombre d</w:t>
            </w:r>
            <w:r w:rsidR="00A20444" w:rsidRPr="00EE7C90">
              <w:rPr>
                <w:sz w:val="16"/>
              </w:rPr>
              <w:t>’</w:t>
            </w:r>
            <w:r w:rsidRPr="00EE7C90">
              <w:rPr>
                <w:sz w:val="16"/>
              </w:rPr>
              <w:t xml:space="preserve">audits réalisés dans des secteurs à haut risque </w:t>
            </w:r>
          </w:p>
        </w:tc>
        <w:tc>
          <w:tcPr>
            <w:tcW w:w="1056" w:type="pct"/>
            <w:gridSpan w:val="2"/>
            <w:shd w:val="clear" w:color="auto" w:fill="auto"/>
          </w:tcPr>
          <w:p w:rsidR="00D42474" w:rsidRDefault="004007D3" w:rsidP="001A5BF9">
            <w:pPr>
              <w:keepNext/>
              <w:keepLines/>
              <w:rPr>
                <w:i/>
                <w:color w:val="002060"/>
                <w:sz w:val="16"/>
              </w:rPr>
            </w:pPr>
            <w:r w:rsidRPr="005C7CCE">
              <w:rPr>
                <w:i/>
                <w:color w:val="002060"/>
                <w:sz w:val="16"/>
              </w:rPr>
              <w:t>Niveau de référence actualisé fin 2011 :</w:t>
            </w:r>
          </w:p>
          <w:p w:rsidR="00D42474" w:rsidRDefault="00EE7C90" w:rsidP="001A5BF9">
            <w:pPr>
              <w:keepNext/>
              <w:keepLines/>
              <w:rPr>
                <w:rFonts w:cs="Arial"/>
                <w:color w:val="002060"/>
                <w:sz w:val="16"/>
                <w:szCs w:val="16"/>
                <w:lang w:bidi="th-TH"/>
              </w:rPr>
            </w:pPr>
            <w:r>
              <w:rPr>
                <w:color w:val="002060"/>
                <w:sz w:val="16"/>
              </w:rPr>
              <w:t>s</w:t>
            </w:r>
            <w:r w:rsidR="004007D3" w:rsidRPr="00EE7C90">
              <w:rPr>
                <w:color w:val="002060"/>
                <w:sz w:val="16"/>
              </w:rPr>
              <w:t>ix audits réalisés dans des secteurs à haut risque</w:t>
            </w:r>
          </w:p>
          <w:p w:rsidR="00D42474" w:rsidRDefault="00D42474" w:rsidP="001A5BF9">
            <w:pPr>
              <w:keepNext/>
              <w:keepLines/>
              <w:rPr>
                <w:rFonts w:cs="Arial"/>
                <w:i/>
                <w:color w:val="002060"/>
                <w:sz w:val="8"/>
                <w:szCs w:val="8"/>
              </w:rPr>
            </w:pPr>
          </w:p>
          <w:p w:rsidR="004007D3" w:rsidRPr="005C7CCE" w:rsidRDefault="004007D3" w:rsidP="001A5BF9">
            <w:pPr>
              <w:keepNext/>
              <w:keepLines/>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E7C90">
              <w:rPr>
                <w:sz w:val="16"/>
              </w:rPr>
              <w:t>s</w:t>
            </w:r>
            <w:r w:rsidRPr="005C7CCE">
              <w:rPr>
                <w:sz w:val="16"/>
              </w:rPr>
              <w:t>ix audits effectués (2010)</w:t>
            </w:r>
          </w:p>
        </w:tc>
        <w:tc>
          <w:tcPr>
            <w:tcW w:w="908" w:type="pct"/>
            <w:gridSpan w:val="2"/>
            <w:shd w:val="clear" w:color="auto" w:fill="auto"/>
            <w:tcMar>
              <w:top w:w="110" w:type="dxa"/>
            </w:tcMar>
          </w:tcPr>
          <w:p w:rsidR="004007D3" w:rsidRPr="00EE7C90" w:rsidRDefault="004007D3" w:rsidP="001A5BF9">
            <w:pPr>
              <w:autoSpaceDE w:val="0"/>
              <w:autoSpaceDN w:val="0"/>
              <w:adjustRightInd w:val="0"/>
              <w:rPr>
                <w:rFonts w:cs="Arial"/>
                <w:sz w:val="16"/>
                <w:szCs w:val="16"/>
                <w:lang w:bidi="th-TH"/>
              </w:rPr>
            </w:pPr>
            <w:r w:rsidRPr="00EE7C90">
              <w:rPr>
                <w:sz w:val="16"/>
              </w:rPr>
              <w:t>12 audits (en 2012</w:t>
            </w:r>
            <w:r w:rsidR="002D6F2A" w:rsidRPr="00EE7C90">
              <w:rPr>
                <w:sz w:val="16"/>
              </w:rPr>
              <w:noBreakHyphen/>
            </w:r>
            <w:r w:rsidRPr="00EE7C90">
              <w:rPr>
                <w:sz w:val="16"/>
              </w:rPr>
              <w:t>2013)</w:t>
            </w:r>
          </w:p>
        </w:tc>
        <w:tc>
          <w:tcPr>
            <w:tcW w:w="1516" w:type="pct"/>
            <w:shd w:val="clear" w:color="auto" w:fill="FFFFFF"/>
            <w:tcMar>
              <w:top w:w="110" w:type="dxa"/>
            </w:tcMar>
          </w:tcPr>
          <w:p w:rsidR="00D42474" w:rsidRDefault="004007D3" w:rsidP="001A5BF9">
            <w:pPr>
              <w:rPr>
                <w:sz w:val="16"/>
              </w:rPr>
            </w:pPr>
            <w:r w:rsidRPr="00EE7C90">
              <w:rPr>
                <w:sz w:val="16"/>
              </w:rPr>
              <w:t>2012</w:t>
            </w:r>
            <w:r w:rsidR="002D6F2A" w:rsidRPr="00EE7C90">
              <w:rPr>
                <w:sz w:val="16"/>
              </w:rPr>
              <w:noBreakHyphen/>
            </w:r>
            <w:r w:rsidRPr="00EE7C90">
              <w:rPr>
                <w:sz w:val="16"/>
              </w:rPr>
              <w:t>2013 : 11 audits effectués.</w:t>
            </w:r>
          </w:p>
          <w:p w:rsidR="00D42474" w:rsidRDefault="00D42474" w:rsidP="001A5BF9">
            <w:pPr>
              <w:rPr>
                <w:rFonts w:cs="Arial"/>
                <w:sz w:val="16"/>
                <w:szCs w:val="16"/>
                <w:lang w:bidi="th-TH"/>
              </w:rPr>
            </w:pPr>
          </w:p>
          <w:p w:rsidR="00D42474" w:rsidRDefault="004007D3" w:rsidP="001A5BF9">
            <w:pPr>
              <w:rPr>
                <w:rFonts w:cs="Arial"/>
                <w:sz w:val="16"/>
                <w:szCs w:val="16"/>
                <w:lang w:bidi="th-TH"/>
              </w:rPr>
            </w:pPr>
            <w:r w:rsidRPr="00EE7C90">
              <w:rPr>
                <w:sz w:val="16"/>
              </w:rPr>
              <w:t>Quatre audits ont été réalisés dans des secteurs à haut risque en</w:t>
            </w:r>
            <w:r w:rsidR="0010442A" w:rsidRPr="00EE7C90">
              <w:rPr>
                <w:sz w:val="16"/>
              </w:rPr>
              <w:t> </w:t>
            </w:r>
            <w:r w:rsidRPr="00EE7C90">
              <w:rPr>
                <w:sz w:val="16"/>
              </w:rPr>
              <w:t>2012</w:t>
            </w:r>
          </w:p>
          <w:p w:rsidR="00D42474" w:rsidRDefault="00D42474" w:rsidP="001A5BF9">
            <w:pPr>
              <w:rPr>
                <w:rFonts w:cs="Arial"/>
                <w:sz w:val="16"/>
                <w:szCs w:val="16"/>
                <w:lang w:bidi="th-TH"/>
              </w:rPr>
            </w:pPr>
          </w:p>
          <w:p w:rsidR="004007D3" w:rsidRPr="00EE7C90" w:rsidRDefault="004007D3" w:rsidP="001A5BF9">
            <w:pPr>
              <w:rPr>
                <w:rFonts w:cs="Arial"/>
                <w:sz w:val="16"/>
                <w:szCs w:val="16"/>
                <w:lang w:bidi="th-TH"/>
              </w:rPr>
            </w:pPr>
            <w:r w:rsidRPr="00EE7C90">
              <w:rPr>
                <w:sz w:val="16"/>
              </w:rPr>
              <w:t>Sept audits ont été réalisés dans des secteurs à haut risque en</w:t>
            </w:r>
            <w:r w:rsidR="0010442A" w:rsidRPr="00EE7C90">
              <w:rPr>
                <w:sz w:val="16"/>
              </w:rPr>
              <w:t> </w:t>
            </w:r>
            <w:r w:rsidRPr="00EE7C90">
              <w:rPr>
                <w:sz w:val="16"/>
              </w:rPr>
              <w:t>2013</w:t>
            </w:r>
          </w:p>
        </w:tc>
        <w:tc>
          <w:tcPr>
            <w:tcW w:w="682" w:type="pct"/>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color w:val="008000"/>
                <w:sz w:val="16"/>
              </w:rPr>
              <w:t>Objectif pleinement atteint</w:t>
            </w:r>
          </w:p>
        </w:tc>
      </w:tr>
      <w:tr w:rsidR="004007D3" w:rsidRPr="005C7CCE" w:rsidTr="001B5CFE">
        <w:tc>
          <w:tcPr>
            <w:tcW w:w="837" w:type="pct"/>
            <w:shd w:val="clear" w:color="auto" w:fill="auto"/>
          </w:tcPr>
          <w:p w:rsidR="004007D3" w:rsidRPr="00EE7C90" w:rsidRDefault="004007D3" w:rsidP="001A5BF9">
            <w:pPr>
              <w:rPr>
                <w:rFonts w:cs="Arial"/>
                <w:sz w:val="16"/>
                <w:szCs w:val="16"/>
                <w:lang w:bidi="th-TH"/>
              </w:rPr>
            </w:pPr>
            <w:r w:rsidRPr="00EE7C90">
              <w:rPr>
                <w:sz w:val="16"/>
              </w:rPr>
              <w:t>Les normes professionnelles, le code de déontologie et les pratiques recommandées de l</w:t>
            </w:r>
            <w:r w:rsidR="00A20444" w:rsidRPr="00EE7C90">
              <w:rPr>
                <w:sz w:val="16"/>
              </w:rPr>
              <w:t>’</w:t>
            </w:r>
            <w:r w:rsidRPr="00EE7C90">
              <w:rPr>
                <w:sz w:val="16"/>
              </w:rPr>
              <w:t>Institut des auditeurs internes (IIA) sont appliqués.</w:t>
            </w:r>
          </w:p>
        </w:tc>
        <w:tc>
          <w:tcPr>
            <w:tcW w:w="1056" w:type="pct"/>
            <w:gridSpan w:val="2"/>
            <w:shd w:val="clear" w:color="auto" w:fill="auto"/>
          </w:tcPr>
          <w:p w:rsidR="00D42474" w:rsidRDefault="004007D3" w:rsidP="001A5BF9">
            <w:pPr>
              <w:keepNext/>
              <w:keepLines/>
              <w:rPr>
                <w:i/>
                <w:color w:val="002060"/>
                <w:sz w:val="16"/>
              </w:rPr>
            </w:pPr>
            <w:r w:rsidRPr="005C7CCE">
              <w:rPr>
                <w:i/>
                <w:color w:val="002060"/>
                <w:sz w:val="16"/>
              </w:rPr>
              <w:t>Niveau de référence actualisé fin 2011 :</w:t>
            </w:r>
          </w:p>
          <w:p w:rsidR="00D42474" w:rsidRDefault="00EE7C90" w:rsidP="001A5BF9">
            <w:pPr>
              <w:rPr>
                <w:rFonts w:cs="Arial"/>
                <w:i/>
                <w:color w:val="002060"/>
                <w:sz w:val="16"/>
                <w:szCs w:val="16"/>
              </w:rPr>
            </w:pPr>
            <w:r>
              <w:rPr>
                <w:i/>
                <w:color w:val="002060"/>
                <w:sz w:val="16"/>
              </w:rPr>
              <w:t>e</w:t>
            </w:r>
            <w:r w:rsidR="004007D3" w:rsidRPr="00EE7C90">
              <w:rPr>
                <w:i/>
                <w:color w:val="002060"/>
                <w:sz w:val="16"/>
              </w:rPr>
              <w:t>xamen d</w:t>
            </w:r>
            <w:r w:rsidR="00A20444" w:rsidRPr="00EE7C90">
              <w:rPr>
                <w:i/>
                <w:color w:val="002060"/>
                <w:sz w:val="16"/>
              </w:rPr>
              <w:t>’</w:t>
            </w:r>
            <w:r w:rsidR="004007D3" w:rsidRPr="00EE7C90">
              <w:rPr>
                <w:i/>
                <w:color w:val="002060"/>
                <w:sz w:val="16"/>
              </w:rPr>
              <w:t>assurance</w:t>
            </w:r>
            <w:r w:rsidR="002D6F2A" w:rsidRPr="00EE7C90">
              <w:rPr>
                <w:i/>
                <w:color w:val="002060"/>
                <w:sz w:val="16"/>
              </w:rPr>
              <w:noBreakHyphen/>
            </w:r>
            <w:r w:rsidR="004007D3" w:rsidRPr="00EE7C90">
              <w:rPr>
                <w:i/>
                <w:color w:val="002060"/>
                <w:sz w:val="16"/>
              </w:rPr>
              <w:t>qualité de la Section d</w:t>
            </w:r>
            <w:r w:rsidR="00A20444" w:rsidRPr="00EE7C90">
              <w:rPr>
                <w:i/>
                <w:color w:val="002060"/>
                <w:sz w:val="16"/>
              </w:rPr>
              <w:t>’</w:t>
            </w:r>
            <w:r w:rsidR="004007D3" w:rsidRPr="00EE7C90">
              <w:rPr>
                <w:i/>
                <w:color w:val="002060"/>
                <w:sz w:val="16"/>
              </w:rPr>
              <w:t>audit interne réalisé par le vérificateur externe des comptes.</w:t>
            </w:r>
          </w:p>
          <w:p w:rsidR="00D42474" w:rsidRDefault="00D42474" w:rsidP="001A5BF9">
            <w:pPr>
              <w:rPr>
                <w:rFonts w:cs="Arial"/>
                <w:i/>
                <w:sz w:val="8"/>
                <w:szCs w:val="8"/>
              </w:rPr>
            </w:pPr>
          </w:p>
          <w:p w:rsidR="004007D3" w:rsidRPr="005C7CCE" w:rsidRDefault="004007D3" w:rsidP="001A5BF9">
            <w:pPr>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E7C90">
              <w:rPr>
                <w:sz w:val="16"/>
              </w:rPr>
              <w:t>l</w:t>
            </w:r>
            <w:r w:rsidRPr="005C7CCE">
              <w:rPr>
                <w:sz w:val="16"/>
              </w:rPr>
              <w:t>es activités de la Section de l</w:t>
            </w:r>
            <w:r w:rsidR="00A20444" w:rsidRPr="005C7CCE">
              <w:rPr>
                <w:sz w:val="16"/>
              </w:rPr>
              <w:t>’</w:t>
            </w:r>
            <w:r w:rsidRPr="005C7CCE">
              <w:rPr>
                <w:sz w:val="16"/>
              </w:rPr>
              <w:t>audit interne sont “généralement conformes aux normes établies par l</w:t>
            </w:r>
            <w:r w:rsidR="00A20444" w:rsidRPr="005C7CCE">
              <w:rPr>
                <w:sz w:val="16"/>
              </w:rPr>
              <w:t>’</w:t>
            </w:r>
            <w:r w:rsidRPr="005C7CCE">
              <w:rPr>
                <w:sz w:val="16"/>
              </w:rPr>
              <w:t>IIA” (examen d</w:t>
            </w:r>
            <w:r w:rsidR="00A20444" w:rsidRPr="005C7CCE">
              <w:rPr>
                <w:sz w:val="16"/>
              </w:rPr>
              <w:t>’</w:t>
            </w:r>
            <w:r w:rsidRPr="005C7CCE">
              <w:rPr>
                <w:sz w:val="16"/>
              </w:rPr>
              <w:t>assurance</w:t>
            </w:r>
            <w:r w:rsidR="002D6F2A" w:rsidRPr="005C7CCE">
              <w:rPr>
                <w:sz w:val="16"/>
              </w:rPr>
              <w:noBreakHyphen/>
            </w:r>
            <w:r w:rsidRPr="005C7CCE">
              <w:rPr>
                <w:sz w:val="16"/>
              </w:rPr>
              <w:t>qualité de la Section de l</w:t>
            </w:r>
            <w:r w:rsidR="00A20444" w:rsidRPr="005C7CCE">
              <w:rPr>
                <w:sz w:val="16"/>
              </w:rPr>
              <w:t>’</w:t>
            </w:r>
            <w:r w:rsidRPr="005C7CCE">
              <w:rPr>
                <w:sz w:val="16"/>
              </w:rPr>
              <w:t>audit interne effectué par le vérificateur externe des comptes, 2009)</w:t>
            </w:r>
          </w:p>
        </w:tc>
        <w:tc>
          <w:tcPr>
            <w:tcW w:w="908" w:type="pct"/>
            <w:gridSpan w:val="2"/>
            <w:shd w:val="clear" w:color="auto" w:fill="auto"/>
            <w:tcMar>
              <w:top w:w="110" w:type="dxa"/>
            </w:tcMar>
          </w:tcPr>
          <w:p w:rsidR="00D42474" w:rsidRDefault="004007D3" w:rsidP="001A5BF9">
            <w:pPr>
              <w:autoSpaceDE w:val="0"/>
              <w:autoSpaceDN w:val="0"/>
              <w:adjustRightInd w:val="0"/>
              <w:rPr>
                <w:rFonts w:cs="Arial"/>
                <w:sz w:val="16"/>
                <w:szCs w:val="16"/>
              </w:rPr>
            </w:pPr>
            <w:r w:rsidRPr="005C7CCE">
              <w:rPr>
                <w:sz w:val="16"/>
              </w:rPr>
              <w:t>Maintenir cette évaluation</w:t>
            </w:r>
          </w:p>
          <w:p w:rsidR="00D42474" w:rsidRDefault="004007D3" w:rsidP="001A5BF9">
            <w:pPr>
              <w:autoSpaceDE w:val="0"/>
              <w:autoSpaceDN w:val="0"/>
              <w:adjustRightInd w:val="0"/>
              <w:rPr>
                <w:rFonts w:cs="Arial"/>
                <w:sz w:val="16"/>
                <w:szCs w:val="16"/>
              </w:rPr>
            </w:pPr>
            <w:r w:rsidRPr="005C7CCE">
              <w:rPr>
                <w:sz w:val="16"/>
              </w:rPr>
              <w:t>“généralement conformes</w:t>
            </w:r>
          </w:p>
          <w:p w:rsidR="00D42474" w:rsidRDefault="004007D3" w:rsidP="001A5BF9">
            <w:pPr>
              <w:autoSpaceDE w:val="0"/>
              <w:autoSpaceDN w:val="0"/>
              <w:adjustRightInd w:val="0"/>
              <w:rPr>
                <w:rFonts w:cs="Arial"/>
                <w:sz w:val="16"/>
                <w:szCs w:val="16"/>
              </w:rPr>
            </w:pPr>
            <w:r w:rsidRPr="005C7CCE">
              <w:rPr>
                <w:sz w:val="16"/>
              </w:rPr>
              <w:t>aux normes établies par l</w:t>
            </w:r>
            <w:r w:rsidR="00A20444" w:rsidRPr="005C7CCE">
              <w:rPr>
                <w:sz w:val="16"/>
              </w:rPr>
              <w:t>’</w:t>
            </w:r>
            <w:r w:rsidRPr="005C7CCE">
              <w:rPr>
                <w:sz w:val="16"/>
              </w:rPr>
              <w:t>IIA”</w:t>
            </w:r>
          </w:p>
          <w:p w:rsidR="00D42474" w:rsidRDefault="004007D3" w:rsidP="001A5BF9">
            <w:pPr>
              <w:autoSpaceDE w:val="0"/>
              <w:autoSpaceDN w:val="0"/>
              <w:adjustRightInd w:val="0"/>
              <w:rPr>
                <w:rFonts w:cs="Arial"/>
                <w:sz w:val="16"/>
                <w:szCs w:val="16"/>
              </w:rPr>
            </w:pPr>
            <w:r w:rsidRPr="005C7CCE">
              <w:rPr>
                <w:sz w:val="16"/>
              </w:rPr>
              <w:t>lors des prochains examens</w:t>
            </w:r>
          </w:p>
          <w:p w:rsidR="00D42474" w:rsidRDefault="004007D3" w:rsidP="001A5BF9">
            <w:pPr>
              <w:autoSpaceDE w:val="0"/>
              <w:autoSpaceDN w:val="0"/>
              <w:adjustRightInd w:val="0"/>
              <w:rPr>
                <w:rFonts w:cs="Arial"/>
                <w:sz w:val="16"/>
                <w:szCs w:val="16"/>
              </w:rPr>
            </w:pPr>
            <w:r w:rsidRPr="005C7CCE">
              <w:rPr>
                <w:sz w:val="16"/>
              </w:rPr>
              <w:t>d</w:t>
            </w:r>
            <w:r w:rsidR="00A20444" w:rsidRPr="005C7CCE">
              <w:rPr>
                <w:sz w:val="16"/>
              </w:rPr>
              <w:t>’</w:t>
            </w:r>
            <w:r w:rsidRPr="005C7CCE">
              <w:rPr>
                <w:sz w:val="16"/>
              </w:rPr>
              <w:t>assurance qualité effectués</w:t>
            </w:r>
          </w:p>
          <w:p w:rsidR="004007D3" w:rsidRPr="005C7CCE" w:rsidRDefault="004007D3" w:rsidP="001A5BF9">
            <w:pPr>
              <w:rPr>
                <w:rFonts w:cs="Arial"/>
                <w:sz w:val="16"/>
                <w:szCs w:val="16"/>
                <w:lang w:bidi="th-TH"/>
              </w:rPr>
            </w:pPr>
            <w:r w:rsidRPr="005C7CCE">
              <w:rPr>
                <w:sz w:val="16"/>
              </w:rPr>
              <w:t>par le vérificateur externe</w:t>
            </w:r>
          </w:p>
        </w:tc>
        <w:tc>
          <w:tcPr>
            <w:tcW w:w="1516" w:type="pct"/>
            <w:shd w:val="clear" w:color="auto" w:fill="FFFFFF"/>
            <w:tcMar>
              <w:top w:w="110" w:type="dxa"/>
            </w:tcMar>
          </w:tcPr>
          <w:p w:rsidR="00D42474" w:rsidRDefault="004007D3" w:rsidP="001A5BF9">
            <w:pPr>
              <w:rPr>
                <w:sz w:val="16"/>
              </w:rPr>
            </w:pPr>
            <w:r w:rsidRPr="00EE7C90">
              <w:rPr>
                <w:sz w:val="16"/>
              </w:rPr>
              <w:t>Les travaux d</w:t>
            </w:r>
            <w:r w:rsidR="00A20444" w:rsidRPr="00EE7C90">
              <w:rPr>
                <w:sz w:val="16"/>
              </w:rPr>
              <w:t>’</w:t>
            </w:r>
            <w:r w:rsidRPr="00EE7C90">
              <w:rPr>
                <w:sz w:val="16"/>
              </w:rPr>
              <w:t>audit ont été soumis à une supervision et un contrôle de qualité à deux</w:t>
            </w:r>
            <w:r w:rsidR="0010442A" w:rsidRPr="00EE7C90">
              <w:rPr>
                <w:sz w:val="16"/>
              </w:rPr>
              <w:t> </w:t>
            </w:r>
            <w:r w:rsidRPr="00EE7C90">
              <w:rPr>
                <w:sz w:val="16"/>
              </w:rPr>
              <w:t>niveaux pour assurer la conformité avec les normes de l</w:t>
            </w:r>
            <w:r w:rsidR="00A20444" w:rsidRPr="00EE7C90">
              <w:rPr>
                <w:sz w:val="16"/>
              </w:rPr>
              <w:t>’</w:t>
            </w:r>
            <w:r w:rsidRPr="00EE7C90">
              <w:rPr>
                <w:sz w:val="16"/>
              </w:rPr>
              <w:t>IIA et un avis de pratiques</w:t>
            </w:r>
          </w:p>
          <w:p w:rsidR="00D42474" w:rsidRDefault="00D42474" w:rsidP="001A5BF9">
            <w:pPr>
              <w:rPr>
                <w:rFonts w:cs="Arial"/>
                <w:sz w:val="16"/>
                <w:szCs w:val="16"/>
                <w:lang w:bidi="th-TH"/>
              </w:rPr>
            </w:pPr>
          </w:p>
          <w:p w:rsidR="004007D3" w:rsidRPr="005C7CCE" w:rsidRDefault="004007D3" w:rsidP="001A5BF9">
            <w:pPr>
              <w:rPr>
                <w:rFonts w:cs="Arial"/>
                <w:sz w:val="16"/>
                <w:szCs w:val="16"/>
              </w:rPr>
            </w:pPr>
            <w:r w:rsidRPr="00EE7C90">
              <w:rPr>
                <w:sz w:val="16"/>
              </w:rPr>
              <w:t>Afin de se préparer à une évaluation d</w:t>
            </w:r>
            <w:r w:rsidR="00A20444" w:rsidRPr="00EE7C90">
              <w:rPr>
                <w:sz w:val="16"/>
              </w:rPr>
              <w:t>’</w:t>
            </w:r>
            <w:r w:rsidRPr="00EE7C90">
              <w:rPr>
                <w:sz w:val="16"/>
              </w:rPr>
              <w:t xml:space="preserve">assurance qualité, la </w:t>
            </w:r>
            <w:r w:rsidRPr="005C7CCE">
              <w:rPr>
                <w:sz w:val="16"/>
              </w:rPr>
              <w:t>Division de l</w:t>
            </w:r>
            <w:r w:rsidR="00A20444" w:rsidRPr="005C7CCE">
              <w:rPr>
                <w:sz w:val="16"/>
              </w:rPr>
              <w:t>’</w:t>
            </w:r>
            <w:r w:rsidRPr="005C7CCE">
              <w:rPr>
                <w:sz w:val="16"/>
              </w:rPr>
              <w:t>audit et de la supervision internes a effectué une auto</w:t>
            </w:r>
            <w:r w:rsidR="005B4F86">
              <w:rPr>
                <w:sz w:val="16"/>
              </w:rPr>
              <w:noBreakHyphen/>
            </w:r>
            <w:r w:rsidRPr="005C7CCE">
              <w:rPr>
                <w:sz w:val="16"/>
              </w:rPr>
              <w:t>évaluation conformément aux normes établies par l</w:t>
            </w:r>
            <w:r w:rsidR="00A20444" w:rsidRPr="005C7CCE">
              <w:rPr>
                <w:sz w:val="16"/>
              </w:rPr>
              <w:t>’</w:t>
            </w:r>
            <w:r w:rsidRPr="005C7CCE">
              <w:rPr>
                <w:sz w:val="16"/>
              </w:rPr>
              <w:t xml:space="preserve">IIA. </w:t>
            </w:r>
            <w:r w:rsidR="0010442A" w:rsidRPr="005C7CCE">
              <w:rPr>
                <w:sz w:val="16"/>
              </w:rPr>
              <w:t xml:space="preserve"> </w:t>
            </w:r>
            <w:r w:rsidRPr="005C7CCE">
              <w:rPr>
                <w:sz w:val="16"/>
              </w:rPr>
              <w:t>Le rapport a conclu que la Division de l</w:t>
            </w:r>
            <w:r w:rsidR="00A20444" w:rsidRPr="005C7CCE">
              <w:rPr>
                <w:sz w:val="16"/>
              </w:rPr>
              <w:t>’</w:t>
            </w:r>
            <w:r w:rsidRPr="005C7CCE">
              <w:rPr>
                <w:sz w:val="16"/>
              </w:rPr>
              <w:t>audit et de la supervision internes était généralement conforme aux normes établies par l</w:t>
            </w:r>
            <w:r w:rsidR="00A20444" w:rsidRPr="005C7CCE">
              <w:rPr>
                <w:sz w:val="16"/>
              </w:rPr>
              <w:t>’</w:t>
            </w:r>
            <w:r w:rsidRPr="005C7CCE">
              <w:rPr>
                <w:sz w:val="16"/>
              </w:rPr>
              <w:t>IIA.</w:t>
            </w:r>
          </w:p>
        </w:tc>
        <w:tc>
          <w:tcPr>
            <w:tcW w:w="682" w:type="pct"/>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4007D3" w:rsidRPr="005C7CCE" w:rsidTr="001B5CFE">
        <w:tc>
          <w:tcPr>
            <w:tcW w:w="837" w:type="pct"/>
            <w:tcBorders>
              <w:bottom w:val="single" w:sz="4" w:space="0" w:color="auto"/>
            </w:tcBorders>
            <w:shd w:val="clear" w:color="auto" w:fill="auto"/>
          </w:tcPr>
          <w:p w:rsidR="004007D3" w:rsidRPr="00EE7C90" w:rsidRDefault="004007D3" w:rsidP="001A5BF9">
            <w:pPr>
              <w:pageBreakBefore/>
              <w:rPr>
                <w:rFonts w:cs="Arial"/>
                <w:sz w:val="16"/>
                <w:szCs w:val="16"/>
                <w:lang w:bidi="th-TH"/>
              </w:rPr>
            </w:pPr>
            <w:r w:rsidRPr="00EE7C90">
              <w:rPr>
                <w:sz w:val="16"/>
              </w:rPr>
              <w:t>Suivi complet et précis de la mise en œuvre des recommandations relatives à la supervision, montrant les recommandations passées, les recommandations nouvelles ajoutées et l</w:t>
            </w:r>
            <w:r w:rsidR="00A20444" w:rsidRPr="00EE7C90">
              <w:rPr>
                <w:sz w:val="16"/>
              </w:rPr>
              <w:t>’</w:t>
            </w:r>
            <w:r w:rsidRPr="00EE7C90">
              <w:rPr>
                <w:sz w:val="16"/>
              </w:rPr>
              <w:t>état de leur application</w:t>
            </w:r>
          </w:p>
        </w:tc>
        <w:tc>
          <w:tcPr>
            <w:tcW w:w="1056" w:type="pct"/>
            <w:gridSpan w:val="2"/>
            <w:tcBorders>
              <w:bottom w:val="single" w:sz="4" w:space="0" w:color="auto"/>
            </w:tcBorders>
            <w:shd w:val="clear" w:color="auto" w:fill="auto"/>
          </w:tcPr>
          <w:p w:rsidR="00D42474" w:rsidRDefault="004007D3" w:rsidP="001A5BF9">
            <w:pPr>
              <w:keepNext/>
              <w:keepLines/>
              <w:rPr>
                <w:i/>
                <w:color w:val="002060"/>
                <w:sz w:val="16"/>
              </w:rPr>
            </w:pPr>
            <w:r w:rsidRPr="00EE7C90">
              <w:rPr>
                <w:i/>
                <w:color w:val="002060"/>
                <w:sz w:val="16"/>
              </w:rPr>
              <w:t>Niveau de référence actualisé fin 2011 :</w:t>
            </w:r>
          </w:p>
          <w:p w:rsidR="00D42474" w:rsidRDefault="00EE7C90" w:rsidP="001A5BF9">
            <w:pPr>
              <w:rPr>
                <w:rFonts w:cs="Arial"/>
                <w:color w:val="002060"/>
                <w:sz w:val="16"/>
                <w:szCs w:val="16"/>
              </w:rPr>
            </w:pPr>
            <w:r>
              <w:rPr>
                <w:color w:val="002060"/>
                <w:sz w:val="16"/>
              </w:rPr>
              <w:t>r</w:t>
            </w:r>
            <w:r w:rsidR="004007D3" w:rsidRPr="00EE7C90">
              <w:rPr>
                <w:color w:val="002060"/>
                <w:sz w:val="16"/>
              </w:rPr>
              <w:t>apports tous les six</w:t>
            </w:r>
            <w:r w:rsidR="0010442A" w:rsidRPr="00EE7C90">
              <w:rPr>
                <w:color w:val="002060"/>
                <w:sz w:val="16"/>
              </w:rPr>
              <w:t> </w:t>
            </w:r>
            <w:r w:rsidR="004007D3" w:rsidRPr="00EE7C90">
              <w:rPr>
                <w:color w:val="002060"/>
                <w:sz w:val="16"/>
              </w:rPr>
              <w:t>mois sur la mise en œuvre des activités de supervision ouvertes</w:t>
            </w:r>
          </w:p>
          <w:p w:rsidR="00D42474" w:rsidRDefault="00D42474" w:rsidP="001A5BF9">
            <w:pPr>
              <w:rPr>
                <w:rFonts w:cs="Arial"/>
                <w:i/>
                <w:sz w:val="8"/>
                <w:szCs w:val="8"/>
              </w:rPr>
            </w:pPr>
          </w:p>
          <w:p w:rsidR="00D42474" w:rsidRDefault="004007D3" w:rsidP="001A5BF9">
            <w:pPr>
              <w:rPr>
                <w:rFonts w:cs="Arial"/>
                <w:sz w:val="16"/>
                <w:szCs w:val="16"/>
                <w:lang w:bidi="th-TH"/>
              </w:rPr>
            </w:pPr>
            <w:r w:rsidRPr="00EE7C90">
              <w:rPr>
                <w:i/>
                <w:sz w:val="16"/>
              </w:rPr>
              <w:t xml:space="preserve">Niveau de référence initial </w:t>
            </w:r>
            <w:r w:rsidR="00667FB3" w:rsidRPr="00EE7C90">
              <w:rPr>
                <w:i/>
                <w:sz w:val="16"/>
              </w:rPr>
              <w:t>programme et budget</w:t>
            </w:r>
            <w:r w:rsidRPr="00EE7C90">
              <w:rPr>
                <w:i/>
                <w:sz w:val="16"/>
              </w:rPr>
              <w:t> 2012</w:t>
            </w:r>
            <w:r w:rsidR="002D6F2A" w:rsidRPr="00EE7C90">
              <w:rPr>
                <w:i/>
                <w:sz w:val="16"/>
              </w:rPr>
              <w:noBreakHyphen/>
            </w:r>
            <w:r w:rsidRPr="00EE7C90">
              <w:rPr>
                <w:i/>
                <w:sz w:val="16"/>
              </w:rPr>
              <w:t>2013 </w:t>
            </w:r>
            <w:proofErr w:type="gramStart"/>
            <w:r w:rsidRPr="00EE7C90">
              <w:rPr>
                <w:i/>
                <w:sz w:val="16"/>
              </w:rPr>
              <w:t>:</w:t>
            </w:r>
            <w:proofErr w:type="gramEnd"/>
            <w:r w:rsidRPr="00EE7C90">
              <w:br/>
            </w:r>
            <w:r w:rsidR="00EE7C90">
              <w:rPr>
                <w:sz w:val="16"/>
              </w:rPr>
              <w:t>l</w:t>
            </w:r>
            <w:r w:rsidRPr="00EE7C90">
              <w:rPr>
                <w:sz w:val="16"/>
              </w:rPr>
              <w:t>a Division de l</w:t>
            </w:r>
            <w:r w:rsidR="00A20444" w:rsidRPr="00EE7C90">
              <w:rPr>
                <w:sz w:val="16"/>
              </w:rPr>
              <w:t>’</w:t>
            </w:r>
            <w:r w:rsidRPr="00EE7C90">
              <w:rPr>
                <w:sz w:val="16"/>
              </w:rPr>
              <w:t>audit et de la supervision internes a examiné l</w:t>
            </w:r>
            <w:r w:rsidR="00A20444" w:rsidRPr="00EE7C90">
              <w:rPr>
                <w:sz w:val="16"/>
              </w:rPr>
              <w:t>’</w:t>
            </w:r>
            <w:r w:rsidRPr="00EE7C90">
              <w:rPr>
                <w:sz w:val="16"/>
              </w:rPr>
              <w:t>état d</w:t>
            </w:r>
            <w:r w:rsidR="00A20444" w:rsidRPr="00EE7C90">
              <w:rPr>
                <w:sz w:val="16"/>
              </w:rPr>
              <w:t>’</w:t>
            </w:r>
            <w:r w:rsidRPr="00EE7C90">
              <w:rPr>
                <w:sz w:val="16"/>
              </w:rPr>
              <w:t>avancement de la mise en œuvre des recommandations relatives à la supervision à deux</w:t>
            </w:r>
            <w:r w:rsidR="0010442A" w:rsidRPr="00EE7C90">
              <w:rPr>
                <w:sz w:val="16"/>
              </w:rPr>
              <w:t> </w:t>
            </w:r>
            <w:r w:rsidRPr="00EE7C90">
              <w:rPr>
                <w:sz w:val="16"/>
              </w:rPr>
              <w:t>reprises en 2010.</w:t>
            </w:r>
          </w:p>
          <w:p w:rsidR="004007D3" w:rsidRPr="00EE7C90" w:rsidRDefault="004007D3" w:rsidP="001A5BF9">
            <w:pPr>
              <w:rPr>
                <w:rFonts w:cs="Arial"/>
                <w:sz w:val="16"/>
                <w:szCs w:val="16"/>
                <w:lang w:bidi="th-TH"/>
              </w:rPr>
            </w:pPr>
          </w:p>
        </w:tc>
        <w:tc>
          <w:tcPr>
            <w:tcW w:w="908" w:type="pct"/>
            <w:gridSpan w:val="2"/>
            <w:tcBorders>
              <w:bottom w:val="single" w:sz="4" w:space="0" w:color="auto"/>
            </w:tcBorders>
            <w:shd w:val="clear" w:color="auto" w:fill="auto"/>
            <w:tcMar>
              <w:top w:w="110" w:type="dxa"/>
            </w:tcMar>
          </w:tcPr>
          <w:p w:rsidR="004007D3" w:rsidRPr="00EE7C90" w:rsidRDefault="004007D3" w:rsidP="001A5BF9">
            <w:pPr>
              <w:autoSpaceDE w:val="0"/>
              <w:autoSpaceDN w:val="0"/>
              <w:adjustRightInd w:val="0"/>
              <w:rPr>
                <w:rFonts w:cs="Arial"/>
                <w:sz w:val="16"/>
                <w:szCs w:val="16"/>
              </w:rPr>
            </w:pPr>
            <w:r w:rsidRPr="00EE7C90">
              <w:rPr>
                <w:sz w:val="16"/>
              </w:rPr>
              <w:t>La mise en œuvre de toutes les recommandations de la Division de l</w:t>
            </w:r>
            <w:r w:rsidR="00A20444" w:rsidRPr="00EE7C90">
              <w:rPr>
                <w:sz w:val="16"/>
              </w:rPr>
              <w:t>’</w:t>
            </w:r>
            <w:r w:rsidRPr="00EE7C90">
              <w:rPr>
                <w:sz w:val="16"/>
              </w:rPr>
              <w:t>audit et de la supervision internes fait l</w:t>
            </w:r>
            <w:r w:rsidR="00A20444" w:rsidRPr="00EE7C90">
              <w:rPr>
                <w:sz w:val="16"/>
              </w:rPr>
              <w:t>’</w:t>
            </w:r>
            <w:r w:rsidRPr="00EE7C90">
              <w:rPr>
                <w:sz w:val="16"/>
              </w:rPr>
              <w:t>objet d</w:t>
            </w:r>
            <w:r w:rsidR="00A20444" w:rsidRPr="00EE7C90">
              <w:rPr>
                <w:sz w:val="16"/>
              </w:rPr>
              <w:t>’</w:t>
            </w:r>
            <w:r w:rsidRPr="00EE7C90">
              <w:rPr>
                <w:sz w:val="16"/>
              </w:rPr>
              <w:t>un suivi tous les six mois</w:t>
            </w:r>
          </w:p>
        </w:tc>
        <w:tc>
          <w:tcPr>
            <w:tcW w:w="1516" w:type="pct"/>
            <w:tcBorders>
              <w:bottom w:val="single" w:sz="4" w:space="0" w:color="auto"/>
            </w:tcBorders>
            <w:shd w:val="clear" w:color="auto" w:fill="FFFFFF"/>
            <w:tcMar>
              <w:top w:w="110" w:type="dxa"/>
            </w:tcMar>
          </w:tcPr>
          <w:p w:rsidR="004007D3" w:rsidRPr="00EE7C90" w:rsidRDefault="004007D3" w:rsidP="001A5BF9">
            <w:pPr>
              <w:rPr>
                <w:rFonts w:cs="Arial"/>
                <w:sz w:val="16"/>
                <w:szCs w:val="16"/>
                <w:lang w:bidi="th-TH"/>
              </w:rPr>
            </w:pPr>
            <w:r w:rsidRPr="00EE7C90">
              <w:rPr>
                <w:sz w:val="16"/>
              </w:rPr>
              <w:t>Les rapports semestriels réguliers au DG comprenaient toutes les recommandations relatives à la supervision.</w:t>
            </w:r>
          </w:p>
        </w:tc>
        <w:tc>
          <w:tcPr>
            <w:tcW w:w="682" w:type="pct"/>
            <w:tcBorders>
              <w:bottom w:val="single" w:sz="4" w:space="0" w:color="auto"/>
            </w:tcBorders>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4007D3" w:rsidRPr="002D02F3" w:rsidTr="0056083E">
        <w:tc>
          <w:tcPr>
            <w:tcW w:w="5000" w:type="pct"/>
            <w:gridSpan w:val="7"/>
            <w:tcBorders>
              <w:top w:val="single" w:sz="4" w:space="0" w:color="auto"/>
              <w:bottom w:val="single" w:sz="4" w:space="0" w:color="auto"/>
            </w:tcBorders>
            <w:shd w:val="clear" w:color="auto" w:fill="CCFFFF"/>
            <w:vAlign w:val="center"/>
          </w:tcPr>
          <w:p w:rsidR="004007D3" w:rsidRPr="002D02F3" w:rsidRDefault="004007D3" w:rsidP="001A5BF9">
            <w:pPr>
              <w:keepNext/>
              <w:keepLines/>
              <w:tabs>
                <w:tab w:val="left" w:pos="1452"/>
              </w:tabs>
              <w:spacing w:before="120" w:after="120"/>
              <w:ind w:left="1452" w:hanging="1452"/>
              <w:rPr>
                <w:rFonts w:cs="Arial"/>
                <w:b/>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Les rapports d</w:t>
            </w:r>
            <w:r w:rsidR="00A20444" w:rsidRPr="002D02F3">
              <w:rPr>
                <w:sz w:val="16"/>
              </w:rPr>
              <w:t>’</w:t>
            </w:r>
            <w:r w:rsidRPr="002D02F3">
              <w:rPr>
                <w:sz w:val="16"/>
              </w:rPr>
              <w:t>enquête constituent une base fiable pour les décisions du Directeur général</w:t>
            </w:r>
          </w:p>
        </w:tc>
      </w:tr>
      <w:tr w:rsidR="004007D3" w:rsidRPr="002D02F3" w:rsidTr="0056083E">
        <w:tc>
          <w:tcPr>
            <w:tcW w:w="837" w:type="pct"/>
            <w:tcBorders>
              <w:top w:val="single" w:sz="4" w:space="0" w:color="auto"/>
            </w:tcBorders>
            <w:shd w:val="clear" w:color="auto" w:fill="auto"/>
            <w:vAlign w:val="center"/>
          </w:tcPr>
          <w:p w:rsidR="004007D3" w:rsidRPr="002D02F3" w:rsidRDefault="004007D3" w:rsidP="00EE7C90">
            <w:pPr>
              <w:keepNext/>
              <w:keepLines/>
              <w:rPr>
                <w:rFonts w:cs="Arial"/>
                <w:b/>
                <w:sz w:val="16"/>
                <w:szCs w:val="16"/>
              </w:rPr>
            </w:pPr>
            <w:r w:rsidRPr="002D02F3">
              <w:rPr>
                <w:b/>
                <w:sz w:val="16"/>
              </w:rPr>
              <w:t>Indicateurs d</w:t>
            </w:r>
            <w:r w:rsidR="00A20444" w:rsidRPr="002D02F3">
              <w:rPr>
                <w:b/>
                <w:sz w:val="16"/>
              </w:rPr>
              <w:t>’</w:t>
            </w:r>
            <w:r w:rsidRPr="002D02F3">
              <w:rPr>
                <w:b/>
                <w:sz w:val="16"/>
              </w:rPr>
              <w:t>exécution</w:t>
            </w:r>
          </w:p>
        </w:tc>
        <w:tc>
          <w:tcPr>
            <w:tcW w:w="914" w:type="pct"/>
            <w:tcBorders>
              <w:top w:val="single" w:sz="4" w:space="0" w:color="auto"/>
            </w:tcBorders>
            <w:shd w:val="clear" w:color="auto" w:fill="auto"/>
            <w:vAlign w:val="center"/>
          </w:tcPr>
          <w:p w:rsidR="004007D3" w:rsidRPr="002D02F3" w:rsidRDefault="004007D3" w:rsidP="00EE7C90">
            <w:pPr>
              <w:keepNext/>
              <w:keepLines/>
              <w:rPr>
                <w:rFonts w:cs="Arial"/>
                <w:b/>
                <w:bCs/>
                <w:sz w:val="16"/>
                <w:szCs w:val="16"/>
              </w:rPr>
            </w:pPr>
            <w:r w:rsidRPr="002D02F3">
              <w:rPr>
                <w:b/>
                <w:sz w:val="16"/>
              </w:rPr>
              <w:t>Niveaux de référence</w:t>
            </w:r>
          </w:p>
        </w:tc>
        <w:tc>
          <w:tcPr>
            <w:tcW w:w="844" w:type="pct"/>
            <w:gridSpan w:val="2"/>
            <w:tcBorders>
              <w:top w:val="single" w:sz="4" w:space="0" w:color="auto"/>
            </w:tcBorders>
            <w:shd w:val="clear" w:color="auto" w:fill="auto"/>
            <w:tcMar>
              <w:top w:w="110" w:type="dxa"/>
            </w:tcMar>
            <w:vAlign w:val="center"/>
          </w:tcPr>
          <w:p w:rsidR="004007D3" w:rsidRPr="002D02F3" w:rsidRDefault="004007D3" w:rsidP="00EE7C90">
            <w:pPr>
              <w:keepNext/>
              <w:keepLines/>
              <w:rPr>
                <w:rFonts w:cs="Arial"/>
                <w:b/>
                <w:sz w:val="16"/>
                <w:szCs w:val="16"/>
              </w:rPr>
            </w:pPr>
            <w:r w:rsidRPr="002D02F3">
              <w:rPr>
                <w:b/>
                <w:sz w:val="16"/>
              </w:rPr>
              <w:t>Objectifs visés</w:t>
            </w:r>
          </w:p>
        </w:tc>
        <w:tc>
          <w:tcPr>
            <w:tcW w:w="1723" w:type="pct"/>
            <w:gridSpan w:val="2"/>
            <w:tcBorders>
              <w:top w:val="single" w:sz="4" w:space="0" w:color="auto"/>
            </w:tcBorders>
            <w:shd w:val="clear" w:color="auto" w:fill="FFFFFF"/>
            <w:tcMar>
              <w:top w:w="110" w:type="dxa"/>
            </w:tcMar>
            <w:vAlign w:val="center"/>
          </w:tcPr>
          <w:p w:rsidR="004007D3" w:rsidRPr="002D02F3" w:rsidRDefault="004007D3" w:rsidP="00EE7C90">
            <w:pPr>
              <w:keepNext/>
              <w:keepLines/>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4007D3" w:rsidRPr="002D02F3" w:rsidRDefault="004007D3" w:rsidP="001A5BF9">
            <w:pPr>
              <w:keepNext/>
              <w:keepLines/>
              <w:jc w:val="center"/>
              <w:rPr>
                <w:rFonts w:cs="Arial"/>
                <w:b/>
                <w:bCs/>
                <w:sz w:val="16"/>
                <w:szCs w:val="16"/>
              </w:rPr>
            </w:pPr>
            <w:r w:rsidRPr="002D02F3">
              <w:rPr>
                <w:b/>
                <w:sz w:val="16"/>
              </w:rPr>
              <w:t>Code de couleurs</w:t>
            </w:r>
          </w:p>
        </w:tc>
      </w:tr>
      <w:tr w:rsidR="004007D3" w:rsidRPr="005C7CCE" w:rsidTr="0056083E">
        <w:tc>
          <w:tcPr>
            <w:tcW w:w="837" w:type="pct"/>
            <w:tcBorders>
              <w:bottom w:val="single" w:sz="4" w:space="0" w:color="auto"/>
            </w:tcBorders>
            <w:shd w:val="clear" w:color="auto" w:fill="auto"/>
          </w:tcPr>
          <w:p w:rsidR="004007D3" w:rsidRPr="005C7CCE" w:rsidRDefault="004007D3" w:rsidP="001A5BF9">
            <w:pPr>
              <w:keepNext/>
              <w:keepLines/>
              <w:rPr>
                <w:rFonts w:cs="Arial"/>
                <w:spacing w:val="-2"/>
                <w:sz w:val="16"/>
                <w:szCs w:val="16"/>
                <w:lang w:bidi="th-TH"/>
              </w:rPr>
            </w:pPr>
            <w:r w:rsidRPr="00EE7C90">
              <w:rPr>
                <w:spacing w:val="-2"/>
                <w:sz w:val="16"/>
              </w:rPr>
              <w:t>Les enquêtes sont menées conformément à la Charte de la supervision interne, aux lignes directrices uniformes pour les enquêtes de l</w:t>
            </w:r>
            <w:r w:rsidR="00A20444" w:rsidRPr="00EE7C90">
              <w:rPr>
                <w:spacing w:val="-2"/>
                <w:sz w:val="16"/>
              </w:rPr>
              <w:t>’</w:t>
            </w:r>
            <w:r w:rsidRPr="00EE7C90">
              <w:rPr>
                <w:spacing w:val="-2"/>
                <w:sz w:val="16"/>
              </w:rPr>
              <w:t>ONU, au Manuel de procédure en matière d</w:t>
            </w:r>
            <w:r w:rsidR="00A20444" w:rsidRPr="00EE7C90">
              <w:rPr>
                <w:spacing w:val="-2"/>
                <w:sz w:val="16"/>
              </w:rPr>
              <w:t>’</w:t>
            </w:r>
            <w:r w:rsidRPr="00EE7C90">
              <w:rPr>
                <w:spacing w:val="-2"/>
                <w:sz w:val="16"/>
              </w:rPr>
              <w:t>enquêtes et à la politique en matière d</w:t>
            </w:r>
            <w:r w:rsidR="00A20444" w:rsidRPr="00EE7C90">
              <w:rPr>
                <w:spacing w:val="-2"/>
                <w:sz w:val="16"/>
              </w:rPr>
              <w:t>’</w:t>
            </w:r>
            <w:r w:rsidRPr="00EE7C90">
              <w:rPr>
                <w:spacing w:val="-2"/>
                <w:sz w:val="16"/>
              </w:rPr>
              <w:t>enquêtes (en cours d</w:t>
            </w:r>
            <w:r w:rsidR="00A20444" w:rsidRPr="00EE7C90">
              <w:rPr>
                <w:spacing w:val="-2"/>
                <w:sz w:val="16"/>
              </w:rPr>
              <w:t>’</w:t>
            </w:r>
            <w:r w:rsidRPr="00EE7C90">
              <w:rPr>
                <w:spacing w:val="-2"/>
                <w:sz w:val="16"/>
              </w:rPr>
              <w:t>élaboration).</w:t>
            </w:r>
          </w:p>
        </w:tc>
        <w:tc>
          <w:tcPr>
            <w:tcW w:w="914" w:type="pct"/>
            <w:tcBorders>
              <w:bottom w:val="single" w:sz="4" w:space="0" w:color="auto"/>
            </w:tcBorders>
            <w:shd w:val="clear" w:color="auto" w:fill="auto"/>
          </w:tcPr>
          <w:p w:rsidR="00D42474" w:rsidRDefault="004007D3" w:rsidP="001A5BF9">
            <w:pPr>
              <w:keepNext/>
              <w:keepLines/>
              <w:rPr>
                <w:i/>
                <w:color w:val="002060"/>
                <w:sz w:val="16"/>
              </w:rPr>
            </w:pPr>
            <w:r w:rsidRPr="005C7CCE">
              <w:rPr>
                <w:i/>
                <w:color w:val="002060"/>
                <w:sz w:val="16"/>
              </w:rPr>
              <w:t>Niveau de référence actualisé fin 2011 :</w:t>
            </w:r>
          </w:p>
          <w:p w:rsidR="00D42474" w:rsidRDefault="004007D3" w:rsidP="001A5BF9">
            <w:pPr>
              <w:keepNext/>
              <w:keepLines/>
              <w:rPr>
                <w:rFonts w:cs="Arial"/>
                <w:i/>
                <w:color w:val="002060"/>
                <w:sz w:val="16"/>
                <w:szCs w:val="16"/>
              </w:rPr>
            </w:pPr>
            <w:r w:rsidRPr="005C7CCE">
              <w:rPr>
                <w:color w:val="002060"/>
                <w:sz w:val="16"/>
              </w:rPr>
              <w:t>12 mois</w:t>
            </w:r>
          </w:p>
          <w:p w:rsidR="00D42474" w:rsidRDefault="00D42474" w:rsidP="001A5BF9">
            <w:pPr>
              <w:keepNext/>
              <w:keepLines/>
              <w:rPr>
                <w:rFonts w:cs="Arial"/>
                <w:i/>
                <w:sz w:val="8"/>
                <w:szCs w:val="8"/>
              </w:rPr>
            </w:pPr>
          </w:p>
          <w:p w:rsidR="004007D3" w:rsidRPr="005C7CCE" w:rsidRDefault="004007D3" w:rsidP="001A5BF9">
            <w:pPr>
              <w:keepNext/>
              <w:keepLines/>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E7C90">
              <w:rPr>
                <w:sz w:val="16"/>
              </w:rPr>
              <w:t>l</w:t>
            </w:r>
            <w:r w:rsidRPr="005C7CCE">
              <w:rPr>
                <w:sz w:val="16"/>
              </w:rPr>
              <w:t>es enquêtes sont menées conformément à la Charte de l</w:t>
            </w:r>
            <w:r w:rsidR="00A20444" w:rsidRPr="005C7CCE">
              <w:rPr>
                <w:sz w:val="16"/>
              </w:rPr>
              <w:t>’</w:t>
            </w:r>
            <w:r w:rsidRPr="005C7CCE">
              <w:rPr>
                <w:sz w:val="16"/>
              </w:rPr>
              <w:t xml:space="preserve">audit interne, aux lignes directrices uniformes pour les enquêtes des </w:t>
            </w:r>
            <w:r w:rsidR="00A20444" w:rsidRPr="005C7CCE">
              <w:rPr>
                <w:sz w:val="16"/>
              </w:rPr>
              <w:t>Nations Unies</w:t>
            </w:r>
            <w:r w:rsidRPr="005C7CCE">
              <w:rPr>
                <w:sz w:val="16"/>
              </w:rPr>
              <w:t xml:space="preserve"> et au Manuel de procédures en matière d</w:t>
            </w:r>
            <w:r w:rsidR="00A20444" w:rsidRPr="005C7CCE">
              <w:rPr>
                <w:sz w:val="16"/>
              </w:rPr>
              <w:t>’</w:t>
            </w:r>
            <w:r w:rsidRPr="005C7CCE">
              <w:rPr>
                <w:sz w:val="16"/>
              </w:rPr>
              <w:t>enquêtes</w:t>
            </w:r>
          </w:p>
        </w:tc>
        <w:tc>
          <w:tcPr>
            <w:tcW w:w="844" w:type="pct"/>
            <w:gridSpan w:val="2"/>
            <w:tcBorders>
              <w:bottom w:val="single" w:sz="4" w:space="0" w:color="auto"/>
            </w:tcBorders>
            <w:shd w:val="clear" w:color="auto" w:fill="auto"/>
            <w:tcMar>
              <w:top w:w="110" w:type="dxa"/>
            </w:tcMar>
          </w:tcPr>
          <w:p w:rsidR="00D42474" w:rsidRDefault="004007D3" w:rsidP="001A5BF9">
            <w:pPr>
              <w:keepNext/>
              <w:keepLines/>
              <w:autoSpaceDE w:val="0"/>
              <w:autoSpaceDN w:val="0"/>
              <w:adjustRightInd w:val="0"/>
              <w:rPr>
                <w:rFonts w:cs="Arial"/>
                <w:sz w:val="16"/>
                <w:szCs w:val="16"/>
              </w:rPr>
            </w:pPr>
            <w:r w:rsidRPr="005C7CCE">
              <w:rPr>
                <w:sz w:val="16"/>
              </w:rPr>
              <w:t>Temps moyen écoulé inférieur</w:t>
            </w:r>
          </w:p>
          <w:p w:rsidR="004007D3" w:rsidRPr="005C7CCE" w:rsidRDefault="004007D3" w:rsidP="001A5BF9">
            <w:pPr>
              <w:keepNext/>
              <w:keepLines/>
              <w:autoSpaceDE w:val="0"/>
              <w:autoSpaceDN w:val="0"/>
              <w:adjustRightInd w:val="0"/>
              <w:rPr>
                <w:rFonts w:cs="Arial"/>
                <w:sz w:val="16"/>
                <w:szCs w:val="16"/>
              </w:rPr>
            </w:pPr>
            <w:r w:rsidRPr="005C7CCE">
              <w:rPr>
                <w:sz w:val="16"/>
              </w:rPr>
              <w:t>à six</w:t>
            </w:r>
            <w:r w:rsidR="0010442A" w:rsidRPr="005C7CCE">
              <w:rPr>
                <w:sz w:val="16"/>
              </w:rPr>
              <w:t> </w:t>
            </w:r>
            <w:r w:rsidRPr="005C7CCE">
              <w:rPr>
                <w:sz w:val="16"/>
              </w:rPr>
              <w:t>mois pour la réalisation des enquêtes</w:t>
            </w:r>
          </w:p>
        </w:tc>
        <w:tc>
          <w:tcPr>
            <w:tcW w:w="1723" w:type="pct"/>
            <w:gridSpan w:val="2"/>
            <w:tcBorders>
              <w:bottom w:val="single" w:sz="4" w:space="0" w:color="auto"/>
            </w:tcBorders>
            <w:shd w:val="clear" w:color="auto" w:fill="FFFFFF"/>
            <w:tcMar>
              <w:top w:w="110" w:type="dxa"/>
            </w:tcMar>
          </w:tcPr>
          <w:p w:rsidR="00D42474" w:rsidRDefault="004007D3" w:rsidP="001A5BF9">
            <w:pPr>
              <w:keepNext/>
              <w:keepLines/>
              <w:rPr>
                <w:rFonts w:cs="Arial"/>
                <w:sz w:val="16"/>
                <w:szCs w:val="16"/>
                <w:lang w:bidi="th-TH"/>
              </w:rPr>
            </w:pPr>
            <w:r w:rsidRPr="005C7CCE">
              <w:rPr>
                <w:sz w:val="16"/>
              </w:rPr>
              <w:t>21 dossiers d</w:t>
            </w:r>
            <w:r w:rsidR="00A20444" w:rsidRPr="005C7CCE">
              <w:rPr>
                <w:sz w:val="16"/>
              </w:rPr>
              <w:t>’</w:t>
            </w:r>
            <w:r w:rsidRPr="005C7CCE">
              <w:rPr>
                <w:sz w:val="16"/>
              </w:rPr>
              <w:t>enquête enregistrés en 2012 et 19 en 2013, contre 11 en 2011 et 13 en 2010.</w:t>
            </w:r>
          </w:p>
          <w:p w:rsidR="00D42474" w:rsidRDefault="00D42474" w:rsidP="001A5BF9">
            <w:pPr>
              <w:keepNext/>
              <w:keepLines/>
              <w:rPr>
                <w:rFonts w:cs="Arial"/>
                <w:sz w:val="16"/>
                <w:szCs w:val="16"/>
                <w:lang w:bidi="th-TH"/>
              </w:rPr>
            </w:pPr>
          </w:p>
          <w:p w:rsidR="00D42474" w:rsidRDefault="004007D3" w:rsidP="001A5BF9">
            <w:pPr>
              <w:keepNext/>
              <w:keepLines/>
              <w:rPr>
                <w:rFonts w:cs="Arial"/>
                <w:sz w:val="16"/>
                <w:szCs w:val="16"/>
                <w:lang w:bidi="th-TH"/>
              </w:rPr>
            </w:pPr>
            <w:r w:rsidRPr="005C7CCE">
              <w:rPr>
                <w:sz w:val="16"/>
              </w:rPr>
              <w:t>25 dossiers d</w:t>
            </w:r>
            <w:r w:rsidR="00A20444" w:rsidRPr="005C7CCE">
              <w:rPr>
                <w:sz w:val="16"/>
              </w:rPr>
              <w:t>’</w:t>
            </w:r>
            <w:r w:rsidRPr="005C7CCE">
              <w:rPr>
                <w:sz w:val="16"/>
              </w:rPr>
              <w:t>enquête ont été clôturés en 2012 et 21 en 2013.</w:t>
            </w:r>
          </w:p>
          <w:p w:rsidR="00D42474" w:rsidRDefault="00D42474" w:rsidP="001A5BF9">
            <w:pPr>
              <w:keepNext/>
              <w:keepLines/>
              <w:rPr>
                <w:rFonts w:cs="Arial"/>
                <w:sz w:val="16"/>
                <w:szCs w:val="16"/>
                <w:lang w:bidi="th-TH"/>
              </w:rPr>
            </w:pPr>
          </w:p>
          <w:p w:rsidR="004007D3" w:rsidRPr="005C7CCE" w:rsidRDefault="004007D3" w:rsidP="001A5BF9">
            <w:pPr>
              <w:keepNext/>
              <w:keepLines/>
              <w:rPr>
                <w:rFonts w:cs="Arial"/>
                <w:sz w:val="16"/>
                <w:szCs w:val="16"/>
              </w:rPr>
            </w:pPr>
            <w:r w:rsidRPr="005C7CCE">
              <w:rPr>
                <w:sz w:val="16"/>
              </w:rPr>
              <w:t>La durée moyenne pour clôturer un dossier d</w:t>
            </w:r>
            <w:r w:rsidR="00A20444" w:rsidRPr="005C7CCE">
              <w:rPr>
                <w:sz w:val="16"/>
              </w:rPr>
              <w:t>’</w:t>
            </w:r>
            <w:r w:rsidRPr="005C7CCE">
              <w:rPr>
                <w:sz w:val="16"/>
              </w:rPr>
              <w:t xml:space="preserve">enquête était de 6 mois en 2012 et de 3 mois en 2013. </w:t>
            </w:r>
            <w:r w:rsidR="0010442A" w:rsidRPr="005C7CCE">
              <w:rPr>
                <w:sz w:val="16"/>
              </w:rPr>
              <w:t xml:space="preserve"> </w:t>
            </w:r>
          </w:p>
        </w:tc>
        <w:tc>
          <w:tcPr>
            <w:tcW w:w="682" w:type="pct"/>
            <w:tcBorders>
              <w:bottom w:val="single" w:sz="4" w:space="0" w:color="auto"/>
            </w:tcBorders>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rStyle w:val="Style5"/>
                <w:rFonts w:ascii="Arial" w:hAnsi="Arial"/>
                <w:color w:val="008000"/>
                <w:sz w:val="16"/>
              </w:rPr>
              <w:t>Objectif pleinement atteint</w:t>
            </w:r>
            <w:r w:rsidRPr="005C7CCE">
              <w:rPr>
                <w:rStyle w:val="Style5"/>
                <w:rFonts w:ascii="Arial" w:hAnsi="Arial"/>
                <w:color w:val="008000"/>
                <w:sz w:val="16"/>
              </w:rPr>
              <w:t xml:space="preserve"> </w:t>
            </w:r>
          </w:p>
        </w:tc>
      </w:tr>
      <w:tr w:rsidR="004007D3" w:rsidRPr="002D02F3" w:rsidTr="0056083E">
        <w:tc>
          <w:tcPr>
            <w:tcW w:w="5000" w:type="pct"/>
            <w:gridSpan w:val="7"/>
            <w:tcBorders>
              <w:top w:val="single" w:sz="4" w:space="0" w:color="auto"/>
              <w:bottom w:val="single" w:sz="4" w:space="0" w:color="auto"/>
            </w:tcBorders>
            <w:shd w:val="clear" w:color="auto" w:fill="CCFFFF"/>
            <w:vAlign w:val="center"/>
          </w:tcPr>
          <w:p w:rsidR="004007D3" w:rsidRPr="002D02F3" w:rsidRDefault="004007D3" w:rsidP="001A5BF9">
            <w:pPr>
              <w:keepNext/>
              <w:keepLines/>
              <w:tabs>
                <w:tab w:val="left" w:pos="1452"/>
              </w:tabs>
              <w:spacing w:before="120" w:after="120"/>
              <w:ind w:left="1701" w:hanging="1701"/>
              <w:rPr>
                <w:rFonts w:cs="Arial"/>
                <w:bCs/>
                <w:sz w:val="16"/>
                <w:szCs w:val="16"/>
              </w:rPr>
            </w:pPr>
            <w:r w:rsidRPr="002D02F3">
              <w:rPr>
                <w:b/>
                <w:sz w:val="16"/>
              </w:rPr>
              <w:t>Résultat escompté</w:t>
            </w:r>
            <w:r w:rsidR="0010442A" w:rsidRPr="002D02F3">
              <w:rPr>
                <w:b/>
                <w:sz w:val="16"/>
              </w:rPr>
              <w:t xml:space="preserve"> : </w:t>
            </w:r>
            <w:r w:rsidRPr="002D02F3">
              <w:rPr>
                <w:b/>
                <w:sz w:val="16"/>
              </w:rPr>
              <w:tab/>
            </w:r>
            <w:r w:rsidRPr="002D02F3">
              <w:rPr>
                <w:sz w:val="16"/>
              </w:rPr>
              <w:t>Des données d</w:t>
            </w:r>
            <w:r w:rsidR="00A20444" w:rsidRPr="002D02F3">
              <w:rPr>
                <w:sz w:val="16"/>
              </w:rPr>
              <w:t>’</w:t>
            </w:r>
            <w:r w:rsidRPr="002D02F3">
              <w:rPr>
                <w:sz w:val="16"/>
              </w:rPr>
              <w:t>évaluation fondées sur des éléments probants sont mises à la disposition de la haute direction, des chefs de programmes et des États membres aux fins de la prise de décisions</w:t>
            </w:r>
          </w:p>
        </w:tc>
      </w:tr>
      <w:tr w:rsidR="004007D3" w:rsidRPr="002D02F3" w:rsidTr="001B5CFE">
        <w:tc>
          <w:tcPr>
            <w:tcW w:w="837" w:type="pct"/>
            <w:tcBorders>
              <w:top w:val="single" w:sz="4" w:space="0" w:color="auto"/>
            </w:tcBorders>
            <w:shd w:val="clear" w:color="auto" w:fill="auto"/>
            <w:vAlign w:val="center"/>
          </w:tcPr>
          <w:p w:rsidR="004007D3" w:rsidRPr="002D02F3" w:rsidRDefault="004007D3" w:rsidP="00EE7C90">
            <w:pPr>
              <w:rPr>
                <w:rFonts w:cs="Arial"/>
                <w:b/>
                <w:sz w:val="16"/>
                <w:szCs w:val="16"/>
              </w:rPr>
            </w:pPr>
            <w:r w:rsidRPr="002D02F3">
              <w:rPr>
                <w:b/>
                <w:sz w:val="16"/>
              </w:rPr>
              <w:t>Indicateurs d</w:t>
            </w:r>
            <w:r w:rsidR="00A20444" w:rsidRPr="002D02F3">
              <w:rPr>
                <w:b/>
                <w:sz w:val="16"/>
              </w:rPr>
              <w:t>’</w:t>
            </w:r>
            <w:r w:rsidRPr="002D02F3">
              <w:rPr>
                <w:b/>
                <w:sz w:val="16"/>
              </w:rPr>
              <w:t>exécution</w:t>
            </w:r>
          </w:p>
        </w:tc>
        <w:tc>
          <w:tcPr>
            <w:tcW w:w="914" w:type="pct"/>
            <w:tcBorders>
              <w:top w:val="single" w:sz="4" w:space="0" w:color="auto"/>
            </w:tcBorders>
            <w:shd w:val="clear" w:color="auto" w:fill="auto"/>
            <w:vAlign w:val="center"/>
          </w:tcPr>
          <w:p w:rsidR="004007D3" w:rsidRPr="002D02F3" w:rsidRDefault="004007D3" w:rsidP="00EE7C90">
            <w:pPr>
              <w:rPr>
                <w:rFonts w:cs="Arial"/>
                <w:b/>
                <w:bCs/>
                <w:sz w:val="16"/>
                <w:szCs w:val="16"/>
              </w:rPr>
            </w:pPr>
            <w:r w:rsidRPr="002D02F3">
              <w:rPr>
                <w:b/>
                <w:sz w:val="16"/>
              </w:rPr>
              <w:t>Niveaux de référence</w:t>
            </w:r>
          </w:p>
        </w:tc>
        <w:tc>
          <w:tcPr>
            <w:tcW w:w="844" w:type="pct"/>
            <w:gridSpan w:val="2"/>
            <w:tcBorders>
              <w:top w:val="single" w:sz="4" w:space="0" w:color="auto"/>
            </w:tcBorders>
            <w:shd w:val="clear" w:color="auto" w:fill="auto"/>
            <w:tcMar>
              <w:top w:w="110" w:type="dxa"/>
            </w:tcMar>
            <w:vAlign w:val="center"/>
          </w:tcPr>
          <w:p w:rsidR="004007D3" w:rsidRPr="002D02F3" w:rsidRDefault="004007D3" w:rsidP="00EE7C90">
            <w:pPr>
              <w:rPr>
                <w:rFonts w:cs="Arial"/>
                <w:b/>
                <w:sz w:val="16"/>
                <w:szCs w:val="16"/>
              </w:rPr>
            </w:pPr>
            <w:r w:rsidRPr="002D02F3">
              <w:rPr>
                <w:b/>
                <w:sz w:val="16"/>
              </w:rPr>
              <w:t>Objectifs visés</w:t>
            </w:r>
          </w:p>
        </w:tc>
        <w:tc>
          <w:tcPr>
            <w:tcW w:w="1723" w:type="pct"/>
            <w:gridSpan w:val="2"/>
            <w:tcBorders>
              <w:top w:val="single" w:sz="4" w:space="0" w:color="auto"/>
            </w:tcBorders>
            <w:shd w:val="clear" w:color="auto" w:fill="FFFFFF"/>
            <w:tcMar>
              <w:top w:w="110" w:type="dxa"/>
            </w:tcMar>
            <w:vAlign w:val="center"/>
          </w:tcPr>
          <w:p w:rsidR="004007D3" w:rsidRPr="002D02F3" w:rsidRDefault="004007D3" w:rsidP="00EE7C90">
            <w:pPr>
              <w:rPr>
                <w:rFonts w:cs="Arial"/>
                <w:b/>
                <w:sz w:val="16"/>
                <w:szCs w:val="16"/>
              </w:rPr>
            </w:pPr>
            <w:r w:rsidRPr="002D02F3">
              <w:rPr>
                <w:b/>
                <w:sz w:val="16"/>
              </w:rPr>
              <w:t>Données relatives à l</w:t>
            </w:r>
            <w:r w:rsidR="00A20444" w:rsidRPr="002D02F3">
              <w:rPr>
                <w:b/>
                <w:sz w:val="16"/>
              </w:rPr>
              <w:t>’</w:t>
            </w:r>
            <w:r w:rsidRPr="002D02F3">
              <w:rPr>
                <w:b/>
                <w:sz w:val="16"/>
              </w:rPr>
              <w:t>exécution</w:t>
            </w:r>
          </w:p>
        </w:tc>
        <w:tc>
          <w:tcPr>
            <w:tcW w:w="682" w:type="pct"/>
            <w:tcBorders>
              <w:top w:val="single" w:sz="4" w:space="0" w:color="auto"/>
            </w:tcBorders>
            <w:shd w:val="clear" w:color="auto" w:fill="auto"/>
            <w:tcMar>
              <w:top w:w="110" w:type="dxa"/>
            </w:tcMar>
            <w:vAlign w:val="center"/>
          </w:tcPr>
          <w:p w:rsidR="004007D3" w:rsidRPr="002D02F3" w:rsidRDefault="004007D3" w:rsidP="001A5BF9">
            <w:pPr>
              <w:keepNext/>
              <w:keepLines/>
              <w:jc w:val="center"/>
              <w:rPr>
                <w:rFonts w:cs="Arial"/>
                <w:b/>
                <w:bCs/>
                <w:sz w:val="16"/>
                <w:szCs w:val="16"/>
              </w:rPr>
            </w:pPr>
            <w:r w:rsidRPr="002D02F3">
              <w:rPr>
                <w:b/>
                <w:sz w:val="16"/>
              </w:rPr>
              <w:t>Code de couleurs</w:t>
            </w:r>
          </w:p>
        </w:tc>
      </w:tr>
      <w:tr w:rsidR="004007D3" w:rsidRPr="005C7CCE" w:rsidTr="001B5CFE">
        <w:tc>
          <w:tcPr>
            <w:tcW w:w="837" w:type="pct"/>
            <w:shd w:val="clear" w:color="auto" w:fill="auto"/>
          </w:tcPr>
          <w:p w:rsidR="004007D3" w:rsidRPr="005C7CCE" w:rsidRDefault="004007D3" w:rsidP="001A5BF9">
            <w:pPr>
              <w:rPr>
                <w:rFonts w:cs="Arial"/>
                <w:color w:val="008000"/>
                <w:sz w:val="16"/>
                <w:szCs w:val="16"/>
                <w:lang w:bidi="th-TH"/>
              </w:rPr>
            </w:pPr>
            <w:r w:rsidRPr="00EE7C90">
              <w:rPr>
                <w:sz w:val="16"/>
              </w:rPr>
              <w:t>Les évaluations sont établies conformément à la politique d</w:t>
            </w:r>
            <w:r w:rsidR="00A20444" w:rsidRPr="00EE7C90">
              <w:rPr>
                <w:sz w:val="16"/>
              </w:rPr>
              <w:t>’</w:t>
            </w:r>
            <w:r w:rsidRPr="00EE7C90">
              <w:rPr>
                <w:sz w:val="16"/>
              </w:rPr>
              <w:t>évaluation et à la section du Manuel de procédures portant sur l</w:t>
            </w:r>
            <w:r w:rsidR="00A20444" w:rsidRPr="00EE7C90">
              <w:rPr>
                <w:sz w:val="16"/>
              </w:rPr>
              <w:t>’</w:t>
            </w:r>
            <w:r w:rsidRPr="00EE7C90">
              <w:rPr>
                <w:sz w:val="16"/>
              </w:rPr>
              <w:t>évaluation.</w:t>
            </w:r>
          </w:p>
        </w:tc>
        <w:tc>
          <w:tcPr>
            <w:tcW w:w="914" w:type="pct"/>
            <w:shd w:val="clear" w:color="auto" w:fill="auto"/>
          </w:tcPr>
          <w:p w:rsidR="00D42474" w:rsidRDefault="004007D3" w:rsidP="001A5BF9">
            <w:pPr>
              <w:keepNext/>
              <w:keepLines/>
              <w:rPr>
                <w:rFonts w:cs="Arial"/>
                <w:i/>
                <w:color w:val="002060"/>
                <w:sz w:val="16"/>
                <w:szCs w:val="16"/>
              </w:rPr>
            </w:pPr>
            <w:r w:rsidRPr="005C7CCE">
              <w:rPr>
                <w:i/>
                <w:color w:val="002060"/>
                <w:sz w:val="16"/>
              </w:rPr>
              <w:t xml:space="preserve">Niveau de référence actualisé fin 2011 : </w:t>
            </w:r>
            <w:r w:rsidR="00EE7C90">
              <w:rPr>
                <w:color w:val="002060"/>
                <w:sz w:val="16"/>
              </w:rPr>
              <w:t>u</w:t>
            </w:r>
            <w:r w:rsidRPr="005C7CCE">
              <w:rPr>
                <w:color w:val="002060"/>
                <w:sz w:val="16"/>
              </w:rPr>
              <w:t>ne évaluation du portefeuille d</w:t>
            </w:r>
            <w:r w:rsidR="00A20444" w:rsidRPr="005C7CCE">
              <w:rPr>
                <w:color w:val="002060"/>
                <w:sz w:val="16"/>
              </w:rPr>
              <w:t>’</w:t>
            </w:r>
            <w:r w:rsidRPr="005C7CCE">
              <w:rPr>
                <w:color w:val="002060"/>
                <w:sz w:val="16"/>
              </w:rPr>
              <w:t>activités dans un pays (Kenya) a été presque achevée (projet de rapport final reçu)</w:t>
            </w:r>
          </w:p>
          <w:p w:rsidR="00D42474" w:rsidRDefault="00D42474" w:rsidP="001A5BF9">
            <w:pPr>
              <w:rPr>
                <w:rFonts w:cs="Arial"/>
                <w:i/>
                <w:sz w:val="8"/>
                <w:szCs w:val="8"/>
              </w:rPr>
            </w:pPr>
          </w:p>
          <w:p w:rsidR="004007D3" w:rsidRPr="005C7CCE" w:rsidRDefault="004007D3" w:rsidP="001A5BF9">
            <w:pPr>
              <w:rPr>
                <w:rFonts w:cs="Arial"/>
                <w:sz w:val="16"/>
                <w:szCs w:val="16"/>
                <w:lang w:bidi="th-TH"/>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Pr="005C7CCE">
              <w:rPr>
                <w:sz w:val="16"/>
              </w:rPr>
              <w:t>La politique d</w:t>
            </w:r>
            <w:r w:rsidR="00A20444" w:rsidRPr="005C7CCE">
              <w:rPr>
                <w:sz w:val="16"/>
              </w:rPr>
              <w:t>’</w:t>
            </w:r>
            <w:r w:rsidRPr="005C7CCE">
              <w:rPr>
                <w:sz w:val="16"/>
              </w:rPr>
              <w:t>évaluation sera mise en œuvre progressivement en 2012 et 2013</w:t>
            </w:r>
          </w:p>
        </w:tc>
        <w:tc>
          <w:tcPr>
            <w:tcW w:w="844" w:type="pct"/>
            <w:gridSpan w:val="2"/>
            <w:shd w:val="clear" w:color="auto" w:fill="auto"/>
            <w:tcMar>
              <w:top w:w="110" w:type="dxa"/>
            </w:tcMar>
          </w:tcPr>
          <w:p w:rsidR="00D42474" w:rsidRDefault="004007D3" w:rsidP="001A5BF9">
            <w:pPr>
              <w:autoSpaceDE w:val="0"/>
              <w:autoSpaceDN w:val="0"/>
              <w:adjustRightInd w:val="0"/>
              <w:rPr>
                <w:rFonts w:cs="Arial"/>
                <w:sz w:val="16"/>
                <w:szCs w:val="16"/>
              </w:rPr>
            </w:pPr>
            <w:r w:rsidRPr="005C7CCE">
              <w:rPr>
                <w:sz w:val="16"/>
              </w:rPr>
              <w:t>Au moins six</w:t>
            </w:r>
          </w:p>
          <w:p w:rsidR="00D42474" w:rsidRDefault="004007D3" w:rsidP="001A5BF9">
            <w:pPr>
              <w:autoSpaceDE w:val="0"/>
              <w:autoSpaceDN w:val="0"/>
              <w:adjustRightInd w:val="0"/>
              <w:rPr>
                <w:rFonts w:cs="Arial"/>
                <w:sz w:val="16"/>
                <w:szCs w:val="16"/>
              </w:rPr>
            </w:pPr>
            <w:r w:rsidRPr="005C7CCE">
              <w:rPr>
                <w:sz w:val="16"/>
              </w:rPr>
              <w:t>enquêtes clôturées</w:t>
            </w:r>
          </w:p>
          <w:p w:rsidR="004007D3" w:rsidRPr="005C7CCE" w:rsidRDefault="004007D3" w:rsidP="001A5BF9">
            <w:pPr>
              <w:rPr>
                <w:rFonts w:cs="Arial"/>
                <w:sz w:val="16"/>
                <w:szCs w:val="16"/>
                <w:lang w:bidi="th-TH"/>
              </w:rPr>
            </w:pPr>
            <w:r w:rsidRPr="005C7CCE">
              <w:rPr>
                <w:sz w:val="16"/>
              </w:rPr>
              <w:t>au cours de l</w:t>
            </w:r>
            <w:r w:rsidR="00A20444" w:rsidRPr="005C7CCE">
              <w:rPr>
                <w:sz w:val="16"/>
              </w:rPr>
              <w:t>’</w:t>
            </w:r>
            <w:r w:rsidRPr="005C7CCE">
              <w:rPr>
                <w:sz w:val="16"/>
              </w:rPr>
              <w:t>exercice biennal</w:t>
            </w:r>
          </w:p>
        </w:tc>
        <w:tc>
          <w:tcPr>
            <w:tcW w:w="1723" w:type="pct"/>
            <w:gridSpan w:val="2"/>
            <w:shd w:val="clear" w:color="auto" w:fill="FFFFFF"/>
            <w:tcMar>
              <w:top w:w="110" w:type="dxa"/>
            </w:tcMar>
          </w:tcPr>
          <w:p w:rsidR="00D42474" w:rsidRDefault="004007D3" w:rsidP="001A5BF9">
            <w:pPr>
              <w:rPr>
                <w:rFonts w:cs="Arial"/>
                <w:sz w:val="16"/>
                <w:szCs w:val="16"/>
                <w:lang w:bidi="th-TH"/>
              </w:rPr>
            </w:pPr>
            <w:r w:rsidRPr="005C7CCE">
              <w:rPr>
                <w:sz w:val="16"/>
              </w:rPr>
              <w:t>Huit enquêtes ont été clôturées au cours de l</w:t>
            </w:r>
            <w:r w:rsidR="00A20444" w:rsidRPr="005C7CCE">
              <w:rPr>
                <w:sz w:val="16"/>
              </w:rPr>
              <w:t>’</w:t>
            </w:r>
            <w:r w:rsidRPr="005C7CCE">
              <w:rPr>
                <w:sz w:val="16"/>
              </w:rPr>
              <w:t>exercice biennal.</w:t>
            </w:r>
          </w:p>
          <w:p w:rsidR="00D42474" w:rsidRDefault="00D42474" w:rsidP="001A5BF9">
            <w:pPr>
              <w:rPr>
                <w:rFonts w:cs="Arial"/>
                <w:sz w:val="10"/>
                <w:szCs w:val="10"/>
                <w:lang w:bidi="th-TH"/>
              </w:rPr>
            </w:pPr>
          </w:p>
          <w:p w:rsidR="00D42474" w:rsidRDefault="004007D3" w:rsidP="001A5BF9">
            <w:pPr>
              <w:rPr>
                <w:rFonts w:cs="Arial"/>
                <w:sz w:val="16"/>
                <w:szCs w:val="16"/>
                <w:lang w:bidi="th-TH"/>
              </w:rPr>
            </w:pPr>
            <w:r w:rsidRPr="005C7CCE">
              <w:rPr>
                <w:sz w:val="16"/>
              </w:rPr>
              <w:t>Six en 2012 :</w:t>
            </w:r>
          </w:p>
          <w:p w:rsidR="00D42474" w:rsidRDefault="00EE7C90" w:rsidP="001A5BF9">
            <w:pPr>
              <w:pStyle w:val="Paragraphedeliste"/>
              <w:numPr>
                <w:ilvl w:val="0"/>
                <w:numId w:val="64"/>
              </w:numPr>
              <w:rPr>
                <w:rFonts w:cs="Arial"/>
                <w:sz w:val="16"/>
                <w:szCs w:val="16"/>
                <w:lang w:bidi="th-TH"/>
              </w:rPr>
            </w:pPr>
            <w:r>
              <w:rPr>
                <w:sz w:val="16"/>
              </w:rPr>
              <w:t>l</w:t>
            </w:r>
            <w:r w:rsidR="00A20444" w:rsidRPr="005C7CCE">
              <w:rPr>
                <w:sz w:val="16"/>
              </w:rPr>
              <w:t>’</w:t>
            </w:r>
            <w:r w:rsidR="004007D3" w:rsidRPr="005C7CCE">
              <w:rPr>
                <w:sz w:val="16"/>
              </w:rPr>
              <w:t>évaluation du portefeuille d</w:t>
            </w:r>
            <w:r w:rsidR="00A20444" w:rsidRPr="005C7CCE">
              <w:rPr>
                <w:sz w:val="16"/>
              </w:rPr>
              <w:t>’</w:t>
            </w:r>
            <w:r w:rsidR="004007D3" w:rsidRPr="005C7CCE">
              <w:rPr>
                <w:sz w:val="16"/>
              </w:rPr>
              <w:t>activités dans un pays (Kenya)</w:t>
            </w:r>
            <w:r>
              <w:rPr>
                <w:sz w:val="16"/>
              </w:rPr>
              <w:t>;</w:t>
            </w:r>
          </w:p>
          <w:p w:rsidR="00D42474" w:rsidRDefault="00EE7C90" w:rsidP="001A5BF9">
            <w:pPr>
              <w:pStyle w:val="Paragraphedeliste"/>
              <w:numPr>
                <w:ilvl w:val="0"/>
                <w:numId w:val="64"/>
              </w:numPr>
              <w:rPr>
                <w:rFonts w:cs="Arial"/>
                <w:sz w:val="16"/>
                <w:szCs w:val="16"/>
                <w:lang w:bidi="th-TH"/>
              </w:rPr>
            </w:pPr>
            <w:r>
              <w:rPr>
                <w:sz w:val="16"/>
              </w:rPr>
              <w:t>l</w:t>
            </w:r>
            <w:r w:rsidR="004007D3" w:rsidRPr="005C7CCE">
              <w:rPr>
                <w:sz w:val="16"/>
              </w:rPr>
              <w:t>e rapport de validation du rapport sur l</w:t>
            </w:r>
            <w:r w:rsidR="00A20444" w:rsidRPr="005C7CCE">
              <w:rPr>
                <w:sz w:val="16"/>
              </w:rPr>
              <w:t>’</w:t>
            </w:r>
            <w:r w:rsidR="004007D3" w:rsidRPr="005C7CCE">
              <w:rPr>
                <w:sz w:val="16"/>
              </w:rPr>
              <w:t>exécution du programme 2010</w:t>
            </w:r>
            <w:r w:rsidR="002D6F2A" w:rsidRPr="005C7CCE">
              <w:rPr>
                <w:sz w:val="16"/>
              </w:rPr>
              <w:noBreakHyphen/>
            </w:r>
            <w:r w:rsidR="004007D3" w:rsidRPr="005C7CCE">
              <w:rPr>
                <w:sz w:val="16"/>
              </w:rPr>
              <w:t>2011 (en collaboration avec la Section de l</w:t>
            </w:r>
            <w:r w:rsidR="00A20444" w:rsidRPr="005C7CCE">
              <w:rPr>
                <w:sz w:val="16"/>
              </w:rPr>
              <w:t>’</w:t>
            </w:r>
            <w:r w:rsidR="004007D3" w:rsidRPr="005C7CCE">
              <w:rPr>
                <w:sz w:val="16"/>
              </w:rPr>
              <w:t>audit)</w:t>
            </w:r>
            <w:r>
              <w:rPr>
                <w:sz w:val="16"/>
              </w:rPr>
              <w:t xml:space="preserve"> ;</w:t>
            </w:r>
          </w:p>
          <w:p w:rsidR="00D42474" w:rsidRDefault="00EE7C90" w:rsidP="001A5BF9">
            <w:pPr>
              <w:pStyle w:val="Paragraphedeliste"/>
              <w:numPr>
                <w:ilvl w:val="0"/>
                <w:numId w:val="64"/>
              </w:numPr>
              <w:rPr>
                <w:rFonts w:cs="Arial"/>
                <w:sz w:val="16"/>
                <w:szCs w:val="16"/>
                <w:lang w:bidi="th-TH"/>
              </w:rPr>
            </w:pPr>
            <w:r>
              <w:rPr>
                <w:sz w:val="16"/>
              </w:rPr>
              <w:t>q</w:t>
            </w:r>
            <w:r w:rsidR="004007D3" w:rsidRPr="005C7CCE">
              <w:rPr>
                <w:sz w:val="16"/>
              </w:rPr>
              <w:t>uatre évaluations de projet du Plan d</w:t>
            </w:r>
            <w:r w:rsidR="00A20444" w:rsidRPr="005C7CCE">
              <w:rPr>
                <w:sz w:val="16"/>
              </w:rPr>
              <w:t>’</w:t>
            </w:r>
            <w:r w:rsidR="004007D3" w:rsidRPr="005C7CCE">
              <w:rPr>
                <w:sz w:val="16"/>
              </w:rPr>
              <w:t>action pour le développement.</w:t>
            </w:r>
          </w:p>
          <w:p w:rsidR="00D42474" w:rsidRDefault="00D42474" w:rsidP="001A5BF9">
            <w:pPr>
              <w:rPr>
                <w:rFonts w:cs="Arial"/>
                <w:sz w:val="10"/>
                <w:szCs w:val="10"/>
                <w:lang w:bidi="th-TH"/>
              </w:rPr>
            </w:pPr>
          </w:p>
          <w:p w:rsidR="00D42474" w:rsidRDefault="004007D3" w:rsidP="001A5BF9">
            <w:pPr>
              <w:rPr>
                <w:sz w:val="16"/>
              </w:rPr>
            </w:pPr>
            <w:r w:rsidRPr="005C7CCE">
              <w:rPr>
                <w:sz w:val="16"/>
              </w:rPr>
              <w:t>Deux en 2013 :</w:t>
            </w:r>
          </w:p>
          <w:p w:rsidR="00D42474" w:rsidRDefault="005B5604" w:rsidP="001A5BF9">
            <w:pPr>
              <w:pStyle w:val="Paragraphedeliste"/>
              <w:numPr>
                <w:ilvl w:val="0"/>
                <w:numId w:val="65"/>
              </w:numPr>
              <w:rPr>
                <w:sz w:val="16"/>
              </w:rPr>
            </w:pPr>
            <w:hyperlink r:id="rId76" w:tgtFrame="_self" w:history="1">
              <w:r w:rsidR="00EE7C90">
                <w:rPr>
                  <w:sz w:val="16"/>
                </w:rPr>
                <w:t>é</w:t>
              </w:r>
              <w:r w:rsidR="004007D3" w:rsidRPr="005C7CCE">
                <w:rPr>
                  <w:sz w:val="16"/>
                </w:rPr>
                <w:t>valuation du programme 1 Droit des brevets</w:t>
              </w:r>
            </w:hyperlink>
            <w:r w:rsidR="00EE7C90">
              <w:rPr>
                <w:sz w:val="16"/>
              </w:rPr>
              <w:t>;</w:t>
            </w:r>
          </w:p>
          <w:p w:rsidR="00D42474" w:rsidRDefault="005B5604" w:rsidP="001A5BF9">
            <w:pPr>
              <w:pStyle w:val="Paragraphedeliste"/>
              <w:numPr>
                <w:ilvl w:val="0"/>
                <w:numId w:val="65"/>
              </w:numPr>
              <w:rPr>
                <w:rFonts w:cs="Arial"/>
              </w:rPr>
            </w:pPr>
            <w:hyperlink r:id="rId77" w:tgtFrame="_self" w:history="1">
              <w:r w:rsidR="00EE7C90">
                <w:rPr>
                  <w:sz w:val="16"/>
                </w:rPr>
                <w:t>r</w:t>
              </w:r>
              <w:r w:rsidR="004007D3" w:rsidRPr="005C7CCE">
                <w:rPr>
                  <w:sz w:val="16"/>
                </w:rPr>
                <w:t>apport d</w:t>
              </w:r>
              <w:r w:rsidR="00A20444" w:rsidRPr="005C7CCE">
                <w:rPr>
                  <w:sz w:val="16"/>
                </w:rPr>
                <w:t>’</w:t>
              </w:r>
              <w:r w:rsidR="004007D3" w:rsidRPr="005C7CCE">
                <w:rPr>
                  <w:sz w:val="16"/>
                </w:rPr>
                <w:t>évaluation sur les Services d</w:t>
              </w:r>
              <w:r w:rsidR="00A20444" w:rsidRPr="005C7CCE">
                <w:rPr>
                  <w:sz w:val="16"/>
                </w:rPr>
                <w:t>’</w:t>
              </w:r>
              <w:r w:rsidR="004007D3" w:rsidRPr="005C7CCE">
                <w:rPr>
                  <w:sz w:val="16"/>
                </w:rPr>
                <w:t>appui fournis au Comité intergouvernemental de la propriété intellectuelle relative aux ressources génétiques, aux savoirs traditionnels et au folklore (IGC).</w:t>
              </w:r>
            </w:hyperlink>
          </w:p>
          <w:p w:rsidR="00D42474" w:rsidRDefault="00D42474" w:rsidP="001A5BF9">
            <w:pPr>
              <w:rPr>
                <w:rFonts w:cs="Arial"/>
                <w:sz w:val="10"/>
                <w:szCs w:val="10"/>
                <w:lang w:bidi="th-TH"/>
              </w:rPr>
            </w:pPr>
          </w:p>
          <w:p w:rsidR="004007D3" w:rsidRPr="005C7CCE" w:rsidRDefault="004007D3" w:rsidP="001A5BF9">
            <w:pPr>
              <w:rPr>
                <w:rFonts w:cs="Arial"/>
                <w:sz w:val="16"/>
                <w:szCs w:val="16"/>
              </w:rPr>
            </w:pPr>
            <w:r w:rsidRPr="005C7CCE">
              <w:rPr>
                <w:sz w:val="16"/>
              </w:rPr>
              <w:t>Toutes les évaluations ont été établies conformément à la politique d</w:t>
            </w:r>
            <w:r w:rsidR="00A20444" w:rsidRPr="005C7CCE">
              <w:rPr>
                <w:sz w:val="16"/>
              </w:rPr>
              <w:t>’</w:t>
            </w:r>
            <w:r w:rsidRPr="005C7CCE">
              <w:rPr>
                <w:sz w:val="16"/>
              </w:rPr>
              <w:t>évaluation et à la section du Manuel de procédures portant sur l</w:t>
            </w:r>
            <w:r w:rsidR="00A20444" w:rsidRPr="005C7CCE">
              <w:rPr>
                <w:sz w:val="16"/>
              </w:rPr>
              <w:t>’</w:t>
            </w:r>
            <w:r w:rsidRPr="005C7CCE">
              <w:rPr>
                <w:sz w:val="16"/>
              </w:rPr>
              <w:t>évaluation.</w:t>
            </w:r>
          </w:p>
        </w:tc>
        <w:tc>
          <w:tcPr>
            <w:tcW w:w="682" w:type="pct"/>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color w:val="008000"/>
                <w:sz w:val="16"/>
              </w:rPr>
              <w:t>Objectif pleinement atteint</w:t>
            </w:r>
          </w:p>
        </w:tc>
      </w:tr>
    </w:tbl>
    <w:p w:rsidR="00D42474" w:rsidRDefault="004007D3" w:rsidP="001A5BF9">
      <w:pPr>
        <w:keepNext/>
        <w:keepLines/>
        <w:rPr>
          <w:rFonts w:cs="Arial"/>
          <w:szCs w:val="22"/>
        </w:rPr>
      </w:pPr>
      <w:r w:rsidRPr="00866763">
        <w:rPr>
          <w:sz w:val="22"/>
        </w:rPr>
        <w:t>BUDGET ET DÉPENSES EFFECTIVES</w:t>
      </w:r>
    </w:p>
    <w:p w:rsidR="00D42474" w:rsidRDefault="00D42474" w:rsidP="001A5BF9">
      <w:pPr>
        <w:pStyle w:val="NormalWeb"/>
        <w:spacing w:before="0" w:beforeAutospacing="0" w:after="0" w:afterAutospacing="0"/>
        <w:jc w:val="center"/>
        <w:rPr>
          <w:sz w:val="20"/>
          <w:szCs w:val="20"/>
        </w:rPr>
      </w:pPr>
    </w:p>
    <w:p w:rsidR="00D42474" w:rsidRDefault="004007D3" w:rsidP="001A5BF9">
      <w:pPr>
        <w:pStyle w:val="NormalWeb"/>
        <w:spacing w:before="0" w:beforeAutospacing="0" w:after="0" w:afterAutospacing="0"/>
        <w:jc w:val="center"/>
        <w:rPr>
          <w:sz w:val="20"/>
        </w:rPr>
      </w:pPr>
      <w:r w:rsidRPr="002D02F3">
        <w:rPr>
          <w:sz w:val="20"/>
        </w:rPr>
        <w:t>Budget et dépenses effectives (par résultat)</w:t>
      </w:r>
    </w:p>
    <w:p w:rsidR="00D42474" w:rsidRDefault="004007D3"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4007D3" w:rsidRPr="002D02F3" w:rsidRDefault="004007D3" w:rsidP="001A5BF9"/>
    <w:tbl>
      <w:tblPr>
        <w:tblW w:w="0" w:type="auto"/>
        <w:tblInd w:w="103" w:type="dxa"/>
        <w:tblLayout w:type="fixed"/>
        <w:tblLook w:val="04A0" w:firstRow="1" w:lastRow="0" w:firstColumn="1" w:lastColumn="0" w:noHBand="0" w:noVBand="1"/>
      </w:tblPr>
      <w:tblGrid>
        <w:gridCol w:w="591"/>
        <w:gridCol w:w="4234"/>
        <w:gridCol w:w="1559"/>
        <w:gridCol w:w="1559"/>
        <w:gridCol w:w="1418"/>
      </w:tblGrid>
      <w:tr w:rsidR="004007D3" w:rsidRPr="002D02F3" w:rsidTr="0056083E">
        <w:tc>
          <w:tcPr>
            <w:tcW w:w="4825"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4007D3" w:rsidRPr="002D02F3" w:rsidRDefault="004007D3" w:rsidP="001A5BF9">
            <w:pPr>
              <w:spacing w:before="120" w:after="120"/>
              <w:jc w:val="center"/>
              <w:rPr>
                <w:rFonts w:cs="Arial"/>
                <w:bCs/>
                <w:sz w:val="16"/>
                <w:szCs w:val="16"/>
              </w:rPr>
            </w:pPr>
            <w:r w:rsidRPr="002D02F3">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4007D3" w:rsidRPr="002D02F3" w:rsidRDefault="004007D3" w:rsidP="001A5BF9">
            <w:pPr>
              <w:spacing w:before="120" w:after="120"/>
              <w:jc w:val="center"/>
              <w:rPr>
                <w:rFonts w:cs="Arial"/>
                <w:bCs/>
                <w:sz w:val="16"/>
                <w:szCs w:val="16"/>
              </w:rPr>
            </w:pPr>
            <w:r w:rsidRPr="002D02F3">
              <w:rPr>
                <w:sz w:val="16"/>
              </w:rPr>
              <w:t>Budget</w:t>
            </w:r>
            <w:r w:rsidRPr="002D02F3">
              <w:br/>
            </w:r>
            <w:r w:rsidRPr="002D02F3">
              <w:rPr>
                <w:sz w:val="16"/>
              </w:rPr>
              <w:t>2012–2013</w:t>
            </w:r>
            <w:r w:rsidRPr="002D02F3">
              <w:br/>
            </w:r>
            <w:r w:rsidRPr="002D02F3">
              <w:rPr>
                <w:sz w:val="16"/>
              </w:rPr>
              <w:t>approuvé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4007D3" w:rsidRPr="002D02F3" w:rsidRDefault="004007D3"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4007D3" w:rsidRPr="002D02F3" w:rsidRDefault="004007D3"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r>
      <w:tr w:rsidR="004007D3" w:rsidRPr="002D02F3" w:rsidTr="0056083E">
        <w:tc>
          <w:tcPr>
            <w:tcW w:w="591" w:type="dxa"/>
            <w:tcBorders>
              <w:top w:val="nil"/>
              <w:left w:val="single" w:sz="4" w:space="0" w:color="auto"/>
              <w:bottom w:val="nil"/>
              <w:right w:val="nil"/>
            </w:tcBorders>
            <w:shd w:val="clear" w:color="000000" w:fill="FFFFFF"/>
            <w:noWrap/>
          </w:tcPr>
          <w:p w:rsidR="004007D3" w:rsidRPr="002D02F3" w:rsidRDefault="004007D3" w:rsidP="001A5BF9">
            <w:pPr>
              <w:spacing w:before="120"/>
              <w:jc w:val="center"/>
              <w:rPr>
                <w:rFonts w:cs="Arial"/>
                <w:sz w:val="16"/>
                <w:szCs w:val="16"/>
              </w:rPr>
            </w:pPr>
            <w:proofErr w:type="spellStart"/>
            <w:r w:rsidRPr="002D02F3">
              <w:rPr>
                <w:sz w:val="16"/>
              </w:rPr>
              <w:t>IX.11</w:t>
            </w:r>
            <w:proofErr w:type="spellEnd"/>
          </w:p>
        </w:tc>
        <w:tc>
          <w:tcPr>
            <w:tcW w:w="4234" w:type="dxa"/>
            <w:tcBorders>
              <w:top w:val="nil"/>
              <w:left w:val="nil"/>
              <w:bottom w:val="nil"/>
              <w:right w:val="nil"/>
            </w:tcBorders>
            <w:shd w:val="clear" w:color="000000" w:fill="FFFFFF"/>
          </w:tcPr>
          <w:p w:rsidR="004007D3" w:rsidRPr="002D02F3" w:rsidRDefault="004007D3" w:rsidP="001A5BF9">
            <w:pPr>
              <w:spacing w:before="120"/>
              <w:rPr>
                <w:rFonts w:cs="Arial"/>
                <w:sz w:val="16"/>
                <w:szCs w:val="16"/>
              </w:rPr>
            </w:pPr>
            <w:r w:rsidRPr="002D02F3">
              <w:rPr>
                <w:sz w:val="16"/>
              </w:rPr>
              <w:t>Fonction d</w:t>
            </w:r>
            <w:r w:rsidR="00A20444" w:rsidRPr="002D02F3">
              <w:rPr>
                <w:sz w:val="16"/>
              </w:rPr>
              <w:t>’</w:t>
            </w:r>
            <w:r w:rsidRPr="002D02F3">
              <w:rPr>
                <w:sz w:val="16"/>
              </w:rPr>
              <w:t>audit interne efficace et professionnelle couvrant tous les secteurs à haut risque</w:t>
            </w:r>
          </w:p>
        </w:tc>
        <w:tc>
          <w:tcPr>
            <w:tcW w:w="1559" w:type="dxa"/>
            <w:tcBorders>
              <w:top w:val="nil"/>
              <w:left w:val="nil"/>
              <w:bottom w:val="nil"/>
              <w:right w:val="nil"/>
            </w:tcBorders>
            <w:shd w:val="clear" w:color="000000" w:fill="FFFFFF"/>
            <w:vAlign w:val="center"/>
          </w:tcPr>
          <w:p w:rsidR="004007D3" w:rsidRPr="002D02F3" w:rsidRDefault="004007D3" w:rsidP="001A5BF9">
            <w:pPr>
              <w:spacing w:before="120"/>
              <w:jc w:val="right"/>
              <w:rPr>
                <w:rFonts w:cs="Arial"/>
                <w:sz w:val="16"/>
                <w:szCs w:val="16"/>
              </w:rPr>
            </w:pPr>
            <w:r w:rsidRPr="002D02F3">
              <w:rPr>
                <w:sz w:val="16"/>
              </w:rPr>
              <w:t xml:space="preserve">1 364 </w:t>
            </w:r>
          </w:p>
        </w:tc>
        <w:tc>
          <w:tcPr>
            <w:tcW w:w="1559" w:type="dxa"/>
            <w:tcBorders>
              <w:top w:val="nil"/>
              <w:left w:val="nil"/>
              <w:bottom w:val="nil"/>
              <w:right w:val="nil"/>
            </w:tcBorders>
            <w:shd w:val="clear" w:color="000000" w:fill="FFFFFF"/>
            <w:vAlign w:val="center"/>
          </w:tcPr>
          <w:p w:rsidR="004007D3" w:rsidRPr="002D02F3" w:rsidRDefault="004007D3" w:rsidP="001A5BF9">
            <w:pPr>
              <w:spacing w:before="120"/>
              <w:jc w:val="right"/>
              <w:rPr>
                <w:rFonts w:cs="Arial"/>
                <w:sz w:val="16"/>
                <w:szCs w:val="16"/>
              </w:rPr>
            </w:pPr>
            <w:r w:rsidRPr="002D02F3">
              <w:rPr>
                <w:sz w:val="16"/>
              </w:rPr>
              <w:t>1 553</w:t>
            </w:r>
          </w:p>
        </w:tc>
        <w:tc>
          <w:tcPr>
            <w:tcW w:w="1418" w:type="dxa"/>
            <w:tcBorders>
              <w:top w:val="nil"/>
              <w:left w:val="nil"/>
              <w:bottom w:val="nil"/>
              <w:right w:val="single" w:sz="4" w:space="0" w:color="auto"/>
            </w:tcBorders>
            <w:shd w:val="clear" w:color="000000" w:fill="FFFFFF"/>
            <w:vAlign w:val="center"/>
          </w:tcPr>
          <w:p w:rsidR="004007D3" w:rsidRPr="002D02F3" w:rsidRDefault="004007D3" w:rsidP="001A5BF9">
            <w:pPr>
              <w:spacing w:before="120"/>
              <w:jc w:val="right"/>
              <w:rPr>
                <w:rFonts w:cs="Arial"/>
                <w:sz w:val="16"/>
                <w:szCs w:val="16"/>
              </w:rPr>
            </w:pPr>
            <w:r w:rsidRPr="002D02F3">
              <w:rPr>
                <w:sz w:val="16"/>
              </w:rPr>
              <w:t>1 834</w:t>
            </w:r>
          </w:p>
        </w:tc>
      </w:tr>
      <w:tr w:rsidR="004007D3" w:rsidRPr="002D02F3" w:rsidTr="0056083E">
        <w:tc>
          <w:tcPr>
            <w:tcW w:w="591" w:type="dxa"/>
            <w:tcBorders>
              <w:top w:val="nil"/>
              <w:left w:val="single" w:sz="4" w:space="0" w:color="auto"/>
              <w:bottom w:val="nil"/>
              <w:right w:val="nil"/>
            </w:tcBorders>
            <w:shd w:val="clear" w:color="000000" w:fill="FFFFFF"/>
            <w:noWrap/>
          </w:tcPr>
          <w:p w:rsidR="004007D3" w:rsidRPr="002D02F3" w:rsidRDefault="004007D3" w:rsidP="001A5BF9">
            <w:pPr>
              <w:spacing w:before="120"/>
              <w:jc w:val="center"/>
              <w:rPr>
                <w:rFonts w:cs="Arial"/>
                <w:sz w:val="16"/>
                <w:szCs w:val="16"/>
              </w:rPr>
            </w:pPr>
            <w:proofErr w:type="spellStart"/>
            <w:r w:rsidRPr="002D02F3">
              <w:rPr>
                <w:sz w:val="16"/>
              </w:rPr>
              <w:t>IX.12</w:t>
            </w:r>
            <w:proofErr w:type="spellEnd"/>
          </w:p>
        </w:tc>
        <w:tc>
          <w:tcPr>
            <w:tcW w:w="4234" w:type="dxa"/>
            <w:tcBorders>
              <w:top w:val="nil"/>
              <w:left w:val="nil"/>
              <w:bottom w:val="nil"/>
              <w:right w:val="nil"/>
            </w:tcBorders>
            <w:shd w:val="clear" w:color="000000" w:fill="FFFFFF"/>
          </w:tcPr>
          <w:p w:rsidR="004007D3" w:rsidRPr="002D02F3" w:rsidRDefault="004007D3" w:rsidP="001A5BF9">
            <w:pPr>
              <w:spacing w:before="120"/>
              <w:rPr>
                <w:rFonts w:cs="Arial"/>
                <w:sz w:val="16"/>
                <w:szCs w:val="16"/>
              </w:rPr>
            </w:pPr>
            <w:r w:rsidRPr="002D02F3">
              <w:rPr>
                <w:sz w:val="16"/>
              </w:rPr>
              <w:t>Les rapports d</w:t>
            </w:r>
            <w:r w:rsidR="00A20444" w:rsidRPr="002D02F3">
              <w:rPr>
                <w:sz w:val="16"/>
              </w:rPr>
              <w:t>’</w:t>
            </w:r>
            <w:r w:rsidRPr="002D02F3">
              <w:rPr>
                <w:sz w:val="16"/>
              </w:rPr>
              <w:t>investigation constituent une base fiable pour les décisions du Directeur général</w:t>
            </w:r>
          </w:p>
        </w:tc>
        <w:tc>
          <w:tcPr>
            <w:tcW w:w="1559" w:type="dxa"/>
            <w:tcBorders>
              <w:top w:val="nil"/>
              <w:left w:val="nil"/>
              <w:bottom w:val="nil"/>
              <w:right w:val="nil"/>
            </w:tcBorders>
            <w:shd w:val="clear" w:color="000000" w:fill="FFFFFF"/>
            <w:vAlign w:val="center"/>
          </w:tcPr>
          <w:p w:rsidR="004007D3" w:rsidRPr="002D02F3" w:rsidRDefault="004007D3" w:rsidP="001A5BF9">
            <w:pPr>
              <w:spacing w:before="120"/>
              <w:jc w:val="right"/>
              <w:rPr>
                <w:rFonts w:cs="Arial"/>
                <w:sz w:val="16"/>
                <w:szCs w:val="16"/>
              </w:rPr>
            </w:pPr>
            <w:r w:rsidRPr="002D02F3">
              <w:rPr>
                <w:sz w:val="16"/>
              </w:rPr>
              <w:t xml:space="preserve">1 364 </w:t>
            </w:r>
          </w:p>
        </w:tc>
        <w:tc>
          <w:tcPr>
            <w:tcW w:w="1559" w:type="dxa"/>
            <w:tcBorders>
              <w:top w:val="nil"/>
              <w:left w:val="nil"/>
              <w:bottom w:val="nil"/>
              <w:right w:val="nil"/>
            </w:tcBorders>
            <w:shd w:val="clear" w:color="000000" w:fill="FFFFFF"/>
            <w:vAlign w:val="center"/>
          </w:tcPr>
          <w:p w:rsidR="004007D3" w:rsidRPr="002D02F3" w:rsidRDefault="004007D3" w:rsidP="001A5BF9">
            <w:pPr>
              <w:spacing w:before="120"/>
              <w:jc w:val="right"/>
              <w:rPr>
                <w:rFonts w:cs="Arial"/>
                <w:sz w:val="16"/>
                <w:szCs w:val="16"/>
              </w:rPr>
            </w:pPr>
            <w:r w:rsidRPr="002D02F3">
              <w:rPr>
                <w:sz w:val="16"/>
              </w:rPr>
              <w:t>1 641</w:t>
            </w:r>
          </w:p>
        </w:tc>
        <w:tc>
          <w:tcPr>
            <w:tcW w:w="1418" w:type="dxa"/>
            <w:tcBorders>
              <w:top w:val="nil"/>
              <w:left w:val="nil"/>
              <w:bottom w:val="nil"/>
              <w:right w:val="single" w:sz="4" w:space="0" w:color="auto"/>
            </w:tcBorders>
            <w:shd w:val="clear" w:color="000000" w:fill="FFFFFF"/>
            <w:vAlign w:val="center"/>
          </w:tcPr>
          <w:p w:rsidR="004007D3" w:rsidRPr="002D02F3" w:rsidRDefault="004007D3" w:rsidP="001A5BF9">
            <w:pPr>
              <w:spacing w:before="120"/>
              <w:jc w:val="right"/>
              <w:rPr>
                <w:rFonts w:cs="Arial"/>
                <w:sz w:val="16"/>
                <w:szCs w:val="16"/>
              </w:rPr>
            </w:pPr>
            <w:r w:rsidRPr="002D02F3">
              <w:rPr>
                <w:sz w:val="16"/>
              </w:rPr>
              <w:t>1 497</w:t>
            </w:r>
          </w:p>
        </w:tc>
      </w:tr>
      <w:tr w:rsidR="004007D3" w:rsidRPr="002D02F3" w:rsidTr="0056083E">
        <w:tc>
          <w:tcPr>
            <w:tcW w:w="591" w:type="dxa"/>
            <w:tcBorders>
              <w:top w:val="nil"/>
              <w:left w:val="single" w:sz="4" w:space="0" w:color="auto"/>
              <w:bottom w:val="single" w:sz="4" w:space="0" w:color="auto"/>
              <w:right w:val="nil"/>
            </w:tcBorders>
            <w:shd w:val="clear" w:color="000000" w:fill="FFFFFF"/>
            <w:noWrap/>
          </w:tcPr>
          <w:p w:rsidR="004007D3" w:rsidRPr="002D02F3" w:rsidRDefault="004007D3" w:rsidP="001A5BF9">
            <w:pPr>
              <w:spacing w:before="120" w:after="120"/>
              <w:jc w:val="center"/>
              <w:rPr>
                <w:rFonts w:cs="Arial"/>
                <w:sz w:val="16"/>
                <w:szCs w:val="16"/>
              </w:rPr>
            </w:pPr>
            <w:proofErr w:type="spellStart"/>
            <w:r w:rsidRPr="002D02F3">
              <w:rPr>
                <w:sz w:val="16"/>
              </w:rPr>
              <w:t>IX.13</w:t>
            </w:r>
            <w:proofErr w:type="spellEnd"/>
          </w:p>
        </w:tc>
        <w:tc>
          <w:tcPr>
            <w:tcW w:w="4234" w:type="dxa"/>
            <w:tcBorders>
              <w:top w:val="nil"/>
              <w:left w:val="nil"/>
              <w:bottom w:val="single" w:sz="4" w:space="0" w:color="auto"/>
              <w:right w:val="nil"/>
            </w:tcBorders>
            <w:shd w:val="clear" w:color="000000" w:fill="FFFFFF"/>
          </w:tcPr>
          <w:p w:rsidR="004007D3" w:rsidRPr="002D02F3" w:rsidRDefault="004007D3" w:rsidP="001A5BF9">
            <w:pPr>
              <w:spacing w:before="120" w:after="120"/>
              <w:rPr>
                <w:rFonts w:cs="Arial"/>
                <w:sz w:val="16"/>
                <w:szCs w:val="16"/>
              </w:rPr>
            </w:pPr>
            <w:r w:rsidRPr="002D02F3">
              <w:rPr>
                <w:sz w:val="16"/>
              </w:rPr>
              <w:t>Des données d</w:t>
            </w:r>
            <w:r w:rsidR="00A20444" w:rsidRPr="002D02F3">
              <w:rPr>
                <w:sz w:val="16"/>
              </w:rPr>
              <w:t>’</w:t>
            </w:r>
            <w:r w:rsidRPr="002D02F3">
              <w:rPr>
                <w:sz w:val="16"/>
              </w:rPr>
              <w:t>évaluation fondées sur des éléments probants sont mises à la disposition de la haute direction, des chefs de programmes et des États membres aux fins de la prise de décisions</w:t>
            </w:r>
          </w:p>
        </w:tc>
        <w:tc>
          <w:tcPr>
            <w:tcW w:w="1559" w:type="dxa"/>
            <w:tcBorders>
              <w:top w:val="nil"/>
              <w:left w:val="nil"/>
              <w:bottom w:val="nil"/>
              <w:right w:val="nil"/>
            </w:tcBorders>
            <w:shd w:val="clear" w:color="000000" w:fill="FFFFFF"/>
            <w:vAlign w:val="center"/>
          </w:tcPr>
          <w:p w:rsidR="004007D3" w:rsidRPr="002D02F3" w:rsidRDefault="004007D3" w:rsidP="001A5BF9">
            <w:pPr>
              <w:spacing w:before="120" w:after="120"/>
              <w:jc w:val="right"/>
              <w:rPr>
                <w:rFonts w:cs="Arial"/>
                <w:sz w:val="16"/>
                <w:szCs w:val="16"/>
              </w:rPr>
            </w:pPr>
            <w:r w:rsidRPr="002D02F3">
              <w:rPr>
                <w:sz w:val="16"/>
              </w:rPr>
              <w:t xml:space="preserve">2 321 </w:t>
            </w:r>
          </w:p>
        </w:tc>
        <w:tc>
          <w:tcPr>
            <w:tcW w:w="1559" w:type="dxa"/>
            <w:tcBorders>
              <w:top w:val="nil"/>
              <w:left w:val="nil"/>
              <w:bottom w:val="nil"/>
              <w:right w:val="nil"/>
            </w:tcBorders>
            <w:shd w:val="clear" w:color="000000" w:fill="FFFFFF"/>
            <w:vAlign w:val="center"/>
          </w:tcPr>
          <w:p w:rsidR="004007D3" w:rsidRPr="002D02F3" w:rsidRDefault="004007D3" w:rsidP="001A5BF9">
            <w:pPr>
              <w:spacing w:before="120" w:after="120"/>
              <w:jc w:val="right"/>
              <w:rPr>
                <w:rFonts w:cs="Arial"/>
                <w:sz w:val="16"/>
                <w:szCs w:val="16"/>
              </w:rPr>
            </w:pPr>
            <w:r w:rsidRPr="002D02F3">
              <w:rPr>
                <w:sz w:val="16"/>
              </w:rPr>
              <w:t>1 598</w:t>
            </w:r>
          </w:p>
        </w:tc>
        <w:tc>
          <w:tcPr>
            <w:tcW w:w="1418" w:type="dxa"/>
            <w:tcBorders>
              <w:top w:val="nil"/>
              <w:left w:val="nil"/>
              <w:bottom w:val="nil"/>
              <w:right w:val="single" w:sz="4" w:space="0" w:color="auto"/>
            </w:tcBorders>
            <w:shd w:val="clear" w:color="000000" w:fill="FFFFFF"/>
            <w:vAlign w:val="center"/>
          </w:tcPr>
          <w:p w:rsidR="004007D3" w:rsidRPr="002D02F3" w:rsidRDefault="004007D3" w:rsidP="001A5BF9">
            <w:pPr>
              <w:spacing w:before="120" w:after="120"/>
              <w:jc w:val="right"/>
              <w:rPr>
                <w:rFonts w:cs="Arial"/>
                <w:sz w:val="16"/>
                <w:szCs w:val="16"/>
              </w:rPr>
            </w:pPr>
            <w:r w:rsidRPr="002D02F3">
              <w:rPr>
                <w:sz w:val="16"/>
              </w:rPr>
              <w:t xml:space="preserve">1 356 </w:t>
            </w:r>
          </w:p>
        </w:tc>
      </w:tr>
      <w:tr w:rsidR="004007D3" w:rsidRPr="002D02F3" w:rsidTr="0056083E">
        <w:tc>
          <w:tcPr>
            <w:tcW w:w="591" w:type="dxa"/>
            <w:tcBorders>
              <w:top w:val="nil"/>
              <w:left w:val="single" w:sz="4" w:space="0" w:color="auto"/>
              <w:bottom w:val="single" w:sz="4" w:space="0" w:color="auto"/>
              <w:right w:val="nil"/>
            </w:tcBorders>
            <w:shd w:val="clear" w:color="000000" w:fill="CCFFFF"/>
            <w:noWrap/>
            <w:vAlign w:val="bottom"/>
          </w:tcPr>
          <w:p w:rsidR="004007D3" w:rsidRPr="002D02F3" w:rsidRDefault="004007D3" w:rsidP="001A5BF9">
            <w:pPr>
              <w:spacing w:before="120" w:after="120"/>
              <w:jc w:val="center"/>
              <w:rPr>
                <w:rFonts w:cs="Arial"/>
                <w:b/>
                <w:bCs/>
                <w:sz w:val="16"/>
                <w:szCs w:val="16"/>
              </w:rPr>
            </w:pPr>
            <w:r w:rsidRPr="002D02F3">
              <w:rPr>
                <w:b/>
                <w:sz w:val="16"/>
              </w:rPr>
              <w:t> </w:t>
            </w:r>
          </w:p>
        </w:tc>
        <w:tc>
          <w:tcPr>
            <w:tcW w:w="4234" w:type="dxa"/>
            <w:tcBorders>
              <w:top w:val="nil"/>
              <w:left w:val="nil"/>
              <w:bottom w:val="single" w:sz="4" w:space="0" w:color="auto"/>
              <w:right w:val="nil"/>
            </w:tcBorders>
            <w:shd w:val="clear" w:color="000000" w:fill="CCFFFF"/>
            <w:noWrap/>
            <w:vAlign w:val="center"/>
          </w:tcPr>
          <w:p w:rsidR="004007D3" w:rsidRPr="002D02F3" w:rsidRDefault="004007D3" w:rsidP="001A5BF9">
            <w:pPr>
              <w:spacing w:before="120" w:after="120"/>
              <w:rPr>
                <w:rFonts w:cs="Arial"/>
                <w:b/>
                <w:bCs/>
                <w:sz w:val="16"/>
                <w:szCs w:val="16"/>
              </w:rPr>
            </w:pPr>
            <w:r w:rsidRPr="002D02F3">
              <w:rPr>
                <w:b/>
                <w:sz w:val="16"/>
              </w:rPr>
              <w:t>Total</w:t>
            </w:r>
          </w:p>
        </w:tc>
        <w:tc>
          <w:tcPr>
            <w:tcW w:w="1559" w:type="dxa"/>
            <w:tcBorders>
              <w:top w:val="single" w:sz="4" w:space="0" w:color="auto"/>
              <w:left w:val="single" w:sz="4" w:space="0" w:color="auto"/>
              <w:bottom w:val="single" w:sz="4" w:space="0" w:color="auto"/>
              <w:right w:val="single" w:sz="4" w:space="0" w:color="auto"/>
            </w:tcBorders>
            <w:shd w:val="clear" w:color="000000" w:fill="CCFFFF"/>
            <w:vAlign w:val="center"/>
          </w:tcPr>
          <w:p w:rsidR="004007D3" w:rsidRPr="002D02F3" w:rsidRDefault="004007D3" w:rsidP="001A5BF9">
            <w:pPr>
              <w:spacing w:before="120" w:after="120"/>
              <w:jc w:val="right"/>
              <w:rPr>
                <w:rFonts w:cs="Arial"/>
                <w:b/>
                <w:bCs/>
                <w:sz w:val="16"/>
                <w:szCs w:val="16"/>
              </w:rPr>
            </w:pPr>
            <w:r w:rsidRPr="002D02F3">
              <w:rPr>
                <w:b/>
                <w:sz w:val="16"/>
              </w:rPr>
              <w:t>5 050</w:t>
            </w:r>
          </w:p>
        </w:tc>
        <w:tc>
          <w:tcPr>
            <w:tcW w:w="1559" w:type="dxa"/>
            <w:tcBorders>
              <w:top w:val="single" w:sz="4" w:space="0" w:color="auto"/>
              <w:left w:val="nil"/>
              <w:bottom w:val="single" w:sz="4" w:space="0" w:color="auto"/>
              <w:right w:val="single" w:sz="4" w:space="0" w:color="auto"/>
            </w:tcBorders>
            <w:shd w:val="clear" w:color="000000" w:fill="CCFFFF"/>
            <w:noWrap/>
            <w:vAlign w:val="center"/>
          </w:tcPr>
          <w:p w:rsidR="004007D3" w:rsidRPr="002D02F3" w:rsidRDefault="004007D3" w:rsidP="001A5BF9">
            <w:pPr>
              <w:spacing w:before="120" w:after="120"/>
              <w:jc w:val="right"/>
              <w:rPr>
                <w:rFonts w:cs="Arial"/>
                <w:b/>
                <w:bCs/>
                <w:sz w:val="16"/>
                <w:szCs w:val="16"/>
              </w:rPr>
            </w:pPr>
            <w:r w:rsidRPr="002D02F3">
              <w:rPr>
                <w:b/>
                <w:sz w:val="16"/>
              </w:rPr>
              <w:t>4 792</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4007D3" w:rsidRPr="002D02F3" w:rsidRDefault="004007D3" w:rsidP="001A5BF9">
            <w:pPr>
              <w:spacing w:before="120" w:after="120"/>
              <w:jc w:val="right"/>
              <w:rPr>
                <w:rFonts w:cs="Arial"/>
                <w:b/>
                <w:bCs/>
                <w:sz w:val="16"/>
                <w:szCs w:val="16"/>
              </w:rPr>
            </w:pPr>
            <w:r w:rsidRPr="002D02F3">
              <w:rPr>
                <w:b/>
                <w:sz w:val="16"/>
              </w:rPr>
              <w:t>4 687</w:t>
            </w:r>
          </w:p>
        </w:tc>
      </w:tr>
    </w:tbl>
    <w:p w:rsidR="00D42474" w:rsidRDefault="00D42474" w:rsidP="001A5BF9"/>
    <w:p w:rsidR="00D42474" w:rsidRDefault="00D42474" w:rsidP="001A5BF9"/>
    <w:p w:rsidR="00D42474" w:rsidRDefault="004007D3" w:rsidP="001A5BF9">
      <w:pPr>
        <w:pStyle w:val="NormalWeb"/>
        <w:spacing w:before="0" w:beforeAutospacing="0" w:after="0" w:afterAutospacing="0"/>
        <w:jc w:val="center"/>
        <w:rPr>
          <w:sz w:val="20"/>
        </w:rPr>
      </w:pPr>
      <w:r w:rsidRPr="002D02F3">
        <w:rPr>
          <w:sz w:val="20"/>
        </w:rPr>
        <w:t xml:space="preserve">Budget et dépenses effectives (dépenses de </w:t>
      </w:r>
      <w:proofErr w:type="gramStart"/>
      <w:r w:rsidRPr="002D02F3">
        <w:rPr>
          <w:sz w:val="20"/>
        </w:rPr>
        <w:t>personnel et autres dépenses</w:t>
      </w:r>
      <w:proofErr w:type="gramEnd"/>
      <w:r w:rsidRPr="002D02F3">
        <w:rPr>
          <w:sz w:val="20"/>
        </w:rPr>
        <w:t>)</w:t>
      </w:r>
    </w:p>
    <w:p w:rsidR="00D42474" w:rsidRDefault="004007D3" w:rsidP="001A5BF9">
      <w:pPr>
        <w:pStyle w:val="NormalWeb"/>
        <w:spacing w:before="0" w:beforeAutospacing="0" w:after="0" w:afterAutospacing="0"/>
        <w:jc w:val="center"/>
        <w:rPr>
          <w:sz w:val="20"/>
          <w:szCs w:val="20"/>
        </w:rPr>
      </w:pPr>
      <w:r w:rsidRPr="002D02F3">
        <w:rPr>
          <w:i/>
          <w:sz w:val="20"/>
        </w:rPr>
        <w:t>(</w:t>
      </w:r>
      <w:proofErr w:type="gramStart"/>
      <w:r w:rsidRPr="002D02F3">
        <w:rPr>
          <w:i/>
          <w:sz w:val="20"/>
        </w:rPr>
        <w:t>en</w:t>
      </w:r>
      <w:proofErr w:type="gramEnd"/>
      <w:r w:rsidRPr="002D02F3">
        <w:rPr>
          <w:i/>
          <w:sz w:val="20"/>
        </w:rPr>
        <w:t xml:space="preserve"> milliers de francs suisses)</w:t>
      </w:r>
    </w:p>
    <w:p w:rsidR="004007D3" w:rsidRPr="002D02F3" w:rsidRDefault="004007D3" w:rsidP="001A5BF9">
      <w:pPr>
        <w:rPr>
          <w:szCs w:val="20"/>
        </w:rPr>
      </w:pPr>
    </w:p>
    <w:tbl>
      <w:tblPr>
        <w:tblW w:w="0" w:type="auto"/>
        <w:tblInd w:w="93" w:type="dxa"/>
        <w:tblLook w:val="04A0" w:firstRow="1" w:lastRow="0" w:firstColumn="1" w:lastColumn="0" w:noHBand="0" w:noVBand="1"/>
      </w:tblPr>
      <w:tblGrid>
        <w:gridCol w:w="2709"/>
        <w:gridCol w:w="1665"/>
        <w:gridCol w:w="1666"/>
        <w:gridCol w:w="1665"/>
        <w:gridCol w:w="1666"/>
      </w:tblGrid>
      <w:tr w:rsidR="004007D3" w:rsidRPr="002D02F3" w:rsidTr="0056083E">
        <w:tc>
          <w:tcPr>
            <w:tcW w:w="2709"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4007D3" w:rsidRPr="002D02F3" w:rsidRDefault="004007D3" w:rsidP="001A5BF9">
            <w:pPr>
              <w:spacing w:before="120" w:after="120"/>
              <w:rPr>
                <w:rFonts w:cs="Arial"/>
                <w:sz w:val="16"/>
                <w:szCs w:val="16"/>
              </w:rPr>
            </w:pPr>
            <w:r w:rsidRPr="002D02F3">
              <w:rPr>
                <w:sz w:val="16"/>
              </w:rPr>
              <w:t> </w:t>
            </w:r>
          </w:p>
        </w:tc>
        <w:tc>
          <w:tcPr>
            <w:tcW w:w="1665" w:type="dxa"/>
            <w:tcBorders>
              <w:top w:val="single" w:sz="4" w:space="0" w:color="auto"/>
              <w:left w:val="nil"/>
              <w:bottom w:val="nil"/>
              <w:right w:val="single" w:sz="4" w:space="0" w:color="auto"/>
            </w:tcBorders>
            <w:shd w:val="clear" w:color="000000" w:fill="CCFFFF"/>
            <w:vAlign w:val="center"/>
          </w:tcPr>
          <w:p w:rsidR="004007D3" w:rsidRPr="002D02F3" w:rsidRDefault="004007D3"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approuvé</w:t>
            </w:r>
          </w:p>
        </w:tc>
        <w:tc>
          <w:tcPr>
            <w:tcW w:w="1666" w:type="dxa"/>
            <w:tcBorders>
              <w:top w:val="single" w:sz="4" w:space="0" w:color="auto"/>
              <w:left w:val="nil"/>
              <w:bottom w:val="nil"/>
              <w:right w:val="single" w:sz="4" w:space="0" w:color="auto"/>
            </w:tcBorders>
            <w:shd w:val="clear" w:color="000000" w:fill="CCFFFF"/>
            <w:vAlign w:val="center"/>
          </w:tcPr>
          <w:p w:rsidR="004007D3" w:rsidRPr="002D02F3" w:rsidRDefault="004007D3" w:rsidP="001A5BF9">
            <w:pPr>
              <w:spacing w:before="120" w:after="120"/>
              <w:jc w:val="center"/>
              <w:rPr>
                <w:rFonts w:cs="Arial"/>
                <w:bCs/>
                <w:sz w:val="16"/>
                <w:szCs w:val="16"/>
              </w:rPr>
            </w:pPr>
            <w:r w:rsidRPr="002D02F3">
              <w:rPr>
                <w:sz w:val="16"/>
              </w:rPr>
              <w:t>Budget</w:t>
            </w:r>
            <w:r w:rsidRPr="002D02F3">
              <w:br/>
            </w:r>
            <w:r w:rsidRPr="002D02F3">
              <w:rPr>
                <w:sz w:val="16"/>
              </w:rPr>
              <w:t>2012</w:t>
            </w:r>
            <w:r w:rsidR="002D6F2A" w:rsidRPr="002D02F3">
              <w:rPr>
                <w:sz w:val="16"/>
              </w:rPr>
              <w:noBreakHyphen/>
            </w:r>
            <w:r w:rsidRPr="002D02F3">
              <w:rPr>
                <w:sz w:val="16"/>
              </w:rPr>
              <w:t>2013</w:t>
            </w:r>
            <w:r w:rsidRPr="002D02F3">
              <w:br/>
            </w:r>
            <w:r w:rsidRPr="002D02F3">
              <w:rPr>
                <w:sz w:val="16"/>
              </w:rPr>
              <w:t>après virements</w:t>
            </w:r>
          </w:p>
        </w:tc>
        <w:tc>
          <w:tcPr>
            <w:tcW w:w="1665" w:type="dxa"/>
            <w:tcBorders>
              <w:top w:val="single" w:sz="4" w:space="0" w:color="auto"/>
              <w:left w:val="nil"/>
              <w:bottom w:val="nil"/>
              <w:right w:val="single" w:sz="4" w:space="0" w:color="auto"/>
            </w:tcBorders>
            <w:shd w:val="clear" w:color="000000" w:fill="CCFFFF"/>
            <w:vAlign w:val="center"/>
          </w:tcPr>
          <w:p w:rsidR="004007D3" w:rsidRPr="002D02F3" w:rsidRDefault="004007D3" w:rsidP="001A5BF9">
            <w:pPr>
              <w:spacing w:before="120" w:after="120"/>
              <w:jc w:val="center"/>
              <w:rPr>
                <w:rFonts w:cs="Arial"/>
                <w:bCs/>
                <w:sz w:val="16"/>
                <w:szCs w:val="16"/>
              </w:rPr>
            </w:pPr>
            <w:r w:rsidRPr="002D02F3">
              <w:rPr>
                <w:sz w:val="16"/>
              </w:rPr>
              <w:t>Dépenses</w:t>
            </w:r>
            <w:r w:rsidRPr="002D02F3">
              <w:br/>
            </w:r>
            <w:r w:rsidRPr="002D02F3">
              <w:rPr>
                <w:sz w:val="16"/>
              </w:rPr>
              <w:t>2012</w:t>
            </w:r>
            <w:r w:rsidR="002D6F2A" w:rsidRPr="002D02F3">
              <w:rPr>
                <w:sz w:val="16"/>
              </w:rPr>
              <w:noBreakHyphen/>
            </w:r>
            <w:r w:rsidRPr="002D02F3">
              <w:rPr>
                <w:sz w:val="16"/>
              </w:rPr>
              <w:t>2013</w:t>
            </w:r>
          </w:p>
        </w:tc>
        <w:tc>
          <w:tcPr>
            <w:tcW w:w="1666" w:type="dxa"/>
            <w:tcBorders>
              <w:top w:val="single" w:sz="4" w:space="0" w:color="auto"/>
              <w:left w:val="nil"/>
              <w:bottom w:val="nil"/>
              <w:right w:val="single" w:sz="4" w:space="0" w:color="auto"/>
            </w:tcBorders>
            <w:shd w:val="clear" w:color="000000" w:fill="CCFFFF"/>
            <w:vAlign w:val="center"/>
          </w:tcPr>
          <w:p w:rsidR="004007D3" w:rsidRPr="002D02F3" w:rsidRDefault="004007D3" w:rsidP="001A5BF9">
            <w:pPr>
              <w:spacing w:before="120" w:after="120"/>
              <w:jc w:val="center"/>
              <w:rPr>
                <w:rFonts w:cs="Arial"/>
                <w:bCs/>
                <w:sz w:val="16"/>
                <w:szCs w:val="16"/>
              </w:rPr>
            </w:pPr>
            <w:r w:rsidRPr="002D02F3">
              <w:rPr>
                <w:sz w:val="16"/>
              </w:rPr>
              <w:t>Taux d</w:t>
            </w:r>
            <w:r w:rsidR="00A20444" w:rsidRPr="002D02F3">
              <w:rPr>
                <w:sz w:val="16"/>
              </w:rPr>
              <w:t>’</w:t>
            </w:r>
            <w:r w:rsidRPr="002D02F3">
              <w:rPr>
                <w:sz w:val="16"/>
              </w:rPr>
              <w:t xml:space="preserve">utilisation </w:t>
            </w:r>
            <w:r w:rsidR="00BD43F2" w:rsidRPr="002D02F3">
              <w:rPr>
                <w:sz w:val="16"/>
              </w:rPr>
              <w:t>(%)</w:t>
            </w:r>
          </w:p>
        </w:tc>
      </w:tr>
      <w:tr w:rsidR="004007D3" w:rsidRPr="002D02F3" w:rsidTr="0056083E">
        <w:tc>
          <w:tcPr>
            <w:tcW w:w="2709" w:type="dxa"/>
            <w:tcBorders>
              <w:top w:val="nil"/>
              <w:left w:val="single" w:sz="4" w:space="0" w:color="auto"/>
              <w:bottom w:val="single" w:sz="4" w:space="0" w:color="auto"/>
              <w:right w:val="single" w:sz="4" w:space="0" w:color="auto"/>
            </w:tcBorders>
            <w:shd w:val="clear" w:color="auto" w:fill="auto"/>
            <w:noWrap/>
            <w:vAlign w:val="center"/>
          </w:tcPr>
          <w:p w:rsidR="004007D3" w:rsidRPr="002D02F3" w:rsidRDefault="004007D3" w:rsidP="001A5BF9">
            <w:pPr>
              <w:spacing w:before="120" w:after="120"/>
              <w:rPr>
                <w:rFonts w:cs="Arial"/>
                <w:sz w:val="16"/>
                <w:szCs w:val="16"/>
              </w:rPr>
            </w:pPr>
            <w:r w:rsidRPr="002D02F3">
              <w:rPr>
                <w:sz w:val="16"/>
              </w:rPr>
              <w:t>Dépenses de personnel</w:t>
            </w:r>
            <w:r w:rsidR="004F3E42" w:rsidRPr="002D02F3">
              <w:rPr>
                <w:sz w:val="16"/>
              </w:rPr>
              <w:t xml:space="preserve"> </w:t>
            </w:r>
          </w:p>
        </w:tc>
        <w:tc>
          <w:tcPr>
            <w:tcW w:w="1665" w:type="dxa"/>
            <w:tcBorders>
              <w:top w:val="single" w:sz="4" w:space="0" w:color="auto"/>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4 250</w:t>
            </w:r>
          </w:p>
        </w:tc>
        <w:tc>
          <w:tcPr>
            <w:tcW w:w="1666" w:type="dxa"/>
            <w:tcBorders>
              <w:top w:val="single" w:sz="4" w:space="0" w:color="auto"/>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3 987</w:t>
            </w:r>
          </w:p>
        </w:tc>
        <w:tc>
          <w:tcPr>
            <w:tcW w:w="1665" w:type="dxa"/>
            <w:tcBorders>
              <w:top w:val="single" w:sz="4" w:space="0" w:color="auto"/>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3 987</w:t>
            </w:r>
          </w:p>
        </w:tc>
        <w:tc>
          <w:tcPr>
            <w:tcW w:w="1666" w:type="dxa"/>
            <w:tcBorders>
              <w:top w:val="single" w:sz="4" w:space="0" w:color="auto"/>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100</w:t>
            </w:r>
            <w:r w:rsidR="007E442D" w:rsidRPr="002D02F3">
              <w:rPr>
                <w:sz w:val="16"/>
              </w:rPr>
              <w:t>%</w:t>
            </w:r>
          </w:p>
        </w:tc>
      </w:tr>
      <w:tr w:rsidR="004007D3" w:rsidRPr="002D02F3" w:rsidTr="0056083E">
        <w:tc>
          <w:tcPr>
            <w:tcW w:w="2709" w:type="dxa"/>
            <w:tcBorders>
              <w:top w:val="nil"/>
              <w:left w:val="single" w:sz="4" w:space="0" w:color="auto"/>
              <w:bottom w:val="single" w:sz="4" w:space="0" w:color="auto"/>
              <w:right w:val="single" w:sz="4" w:space="0" w:color="auto"/>
            </w:tcBorders>
            <w:shd w:val="clear" w:color="auto" w:fill="auto"/>
            <w:noWrap/>
            <w:vAlign w:val="center"/>
          </w:tcPr>
          <w:p w:rsidR="004007D3" w:rsidRPr="002D02F3" w:rsidRDefault="004007D3" w:rsidP="001A5BF9">
            <w:pPr>
              <w:spacing w:before="120" w:after="120"/>
              <w:rPr>
                <w:rFonts w:cs="Arial"/>
                <w:sz w:val="16"/>
                <w:szCs w:val="16"/>
              </w:rPr>
            </w:pPr>
            <w:r w:rsidRPr="002D02F3">
              <w:rPr>
                <w:sz w:val="16"/>
              </w:rPr>
              <w:t xml:space="preserve">Autres dépenses </w:t>
            </w:r>
          </w:p>
        </w:tc>
        <w:tc>
          <w:tcPr>
            <w:tcW w:w="1665"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800</w:t>
            </w:r>
          </w:p>
        </w:tc>
        <w:tc>
          <w:tcPr>
            <w:tcW w:w="1666"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805</w:t>
            </w:r>
          </w:p>
        </w:tc>
        <w:tc>
          <w:tcPr>
            <w:tcW w:w="1665"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699</w:t>
            </w:r>
          </w:p>
        </w:tc>
        <w:tc>
          <w:tcPr>
            <w:tcW w:w="1666"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sz w:val="16"/>
                <w:szCs w:val="16"/>
              </w:rPr>
            </w:pPr>
            <w:r w:rsidRPr="002D02F3">
              <w:rPr>
                <w:sz w:val="16"/>
              </w:rPr>
              <w:t>87</w:t>
            </w:r>
            <w:r w:rsidR="007E442D" w:rsidRPr="002D02F3">
              <w:rPr>
                <w:sz w:val="16"/>
              </w:rPr>
              <w:t>%</w:t>
            </w:r>
          </w:p>
        </w:tc>
      </w:tr>
      <w:tr w:rsidR="004007D3" w:rsidRPr="002D02F3" w:rsidTr="0056083E">
        <w:tc>
          <w:tcPr>
            <w:tcW w:w="2709" w:type="dxa"/>
            <w:tcBorders>
              <w:top w:val="nil"/>
              <w:left w:val="single" w:sz="4" w:space="0" w:color="auto"/>
              <w:bottom w:val="single" w:sz="4" w:space="0" w:color="auto"/>
              <w:right w:val="single" w:sz="4" w:space="0" w:color="auto"/>
            </w:tcBorders>
            <w:shd w:val="clear" w:color="auto" w:fill="auto"/>
            <w:noWrap/>
            <w:vAlign w:val="center"/>
          </w:tcPr>
          <w:p w:rsidR="004007D3" w:rsidRPr="002D02F3" w:rsidRDefault="004007D3" w:rsidP="001A5BF9">
            <w:pPr>
              <w:spacing w:before="120" w:after="120"/>
              <w:jc w:val="right"/>
              <w:rPr>
                <w:rFonts w:cs="Arial"/>
                <w:b/>
                <w:bCs/>
                <w:sz w:val="16"/>
                <w:szCs w:val="16"/>
              </w:rPr>
            </w:pPr>
            <w:r w:rsidRPr="002D02F3">
              <w:rPr>
                <w:b/>
                <w:sz w:val="16"/>
              </w:rPr>
              <w:t xml:space="preserve"> TOTAL </w:t>
            </w:r>
          </w:p>
        </w:tc>
        <w:tc>
          <w:tcPr>
            <w:tcW w:w="1665"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b/>
                <w:bCs/>
                <w:sz w:val="16"/>
                <w:szCs w:val="16"/>
              </w:rPr>
            </w:pPr>
            <w:r w:rsidRPr="002D02F3">
              <w:rPr>
                <w:b/>
                <w:sz w:val="16"/>
              </w:rPr>
              <w:t>5 050</w:t>
            </w:r>
          </w:p>
        </w:tc>
        <w:tc>
          <w:tcPr>
            <w:tcW w:w="1666"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b/>
                <w:sz w:val="16"/>
                <w:szCs w:val="16"/>
              </w:rPr>
            </w:pPr>
            <w:r w:rsidRPr="002D02F3">
              <w:rPr>
                <w:b/>
                <w:sz w:val="16"/>
              </w:rPr>
              <w:t>4 792</w:t>
            </w:r>
          </w:p>
        </w:tc>
        <w:tc>
          <w:tcPr>
            <w:tcW w:w="1665"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b/>
                <w:sz w:val="16"/>
                <w:szCs w:val="16"/>
              </w:rPr>
            </w:pPr>
            <w:r w:rsidRPr="002D02F3">
              <w:rPr>
                <w:b/>
                <w:sz w:val="16"/>
              </w:rPr>
              <w:t>4 687</w:t>
            </w:r>
          </w:p>
        </w:tc>
        <w:tc>
          <w:tcPr>
            <w:tcW w:w="1666" w:type="dxa"/>
            <w:tcBorders>
              <w:top w:val="nil"/>
              <w:left w:val="nil"/>
              <w:bottom w:val="single" w:sz="4" w:space="0" w:color="auto"/>
              <w:right w:val="single" w:sz="4" w:space="0" w:color="auto"/>
            </w:tcBorders>
            <w:shd w:val="clear" w:color="auto" w:fill="auto"/>
            <w:vAlign w:val="center"/>
          </w:tcPr>
          <w:p w:rsidR="004007D3" w:rsidRPr="002D02F3" w:rsidRDefault="004007D3" w:rsidP="001A5BF9">
            <w:pPr>
              <w:spacing w:before="120" w:after="120"/>
              <w:jc w:val="center"/>
              <w:rPr>
                <w:rFonts w:cs="Arial"/>
                <w:b/>
                <w:sz w:val="16"/>
                <w:szCs w:val="16"/>
              </w:rPr>
            </w:pPr>
            <w:r w:rsidRPr="002D02F3">
              <w:rPr>
                <w:b/>
                <w:sz w:val="16"/>
              </w:rPr>
              <w:t>98</w:t>
            </w:r>
            <w:r w:rsidR="007E442D" w:rsidRPr="002D02F3">
              <w:rPr>
                <w:b/>
                <w:sz w:val="16"/>
              </w:rPr>
              <w:t>%</w:t>
            </w:r>
          </w:p>
        </w:tc>
      </w:tr>
    </w:tbl>
    <w:p w:rsidR="00D42474" w:rsidRDefault="00D42474" w:rsidP="001A5BF9"/>
    <w:p w:rsidR="00D42474" w:rsidRDefault="004007D3" w:rsidP="001A5BF9">
      <w:pPr>
        <w:autoSpaceDE w:val="0"/>
        <w:autoSpaceDN w:val="0"/>
        <w:rPr>
          <w:rFonts w:cs="Arial"/>
          <w:sz w:val="16"/>
          <w:szCs w:val="16"/>
        </w:rPr>
      </w:pPr>
      <w:proofErr w:type="gramStart"/>
      <w:r w:rsidRPr="002D02F3">
        <w:rPr>
          <w:sz w:val="16"/>
        </w:rPr>
        <w:t>NOTES</w:t>
      </w:r>
      <w:proofErr w:type="gramEnd"/>
      <w:r w:rsidR="0010442A" w:rsidRPr="002D02F3">
        <w:rPr>
          <w:sz w:val="16"/>
        </w:rPr>
        <w:t> </w:t>
      </w:r>
      <w:r w:rsidRPr="002D02F3">
        <w:rPr>
          <w:sz w:val="16"/>
        </w:rPr>
        <w:t>:</w:t>
      </w:r>
    </w:p>
    <w:p w:rsidR="00D42474" w:rsidRDefault="00D42474" w:rsidP="001A5BF9">
      <w:pPr>
        <w:autoSpaceDE w:val="0"/>
        <w:autoSpaceDN w:val="0"/>
        <w:rPr>
          <w:rFonts w:cs="Arial"/>
          <w:sz w:val="16"/>
          <w:szCs w:val="16"/>
        </w:rPr>
      </w:pPr>
    </w:p>
    <w:p w:rsidR="00D42474" w:rsidRDefault="004007D3" w:rsidP="001A5BF9">
      <w:pPr>
        <w:autoSpaceDE w:val="0"/>
        <w:autoSpaceDN w:val="0"/>
        <w:rPr>
          <w:rFonts w:cs="Arial"/>
          <w:sz w:val="16"/>
          <w:szCs w:val="16"/>
        </w:rPr>
      </w:pPr>
      <w:r w:rsidRPr="002D02F3">
        <w:rPr>
          <w:sz w:val="16"/>
        </w:rPr>
        <w:t>1)</w:t>
      </w:r>
      <w:r w:rsidR="004F3E42" w:rsidRPr="002D02F3">
        <w:rPr>
          <w:sz w:val="16"/>
        </w:rPr>
        <w:t xml:space="preserve"> </w:t>
      </w:r>
      <w:r w:rsidR="00EE7C90">
        <w:rPr>
          <w:sz w:val="16"/>
        </w:rPr>
        <w:tab/>
      </w:r>
      <w:r w:rsidRPr="002D02F3">
        <w:rPr>
          <w:sz w:val="16"/>
        </w:rPr>
        <w:t>Le budget restructuré après virements tient compte du budget ajusté des programmes après les virements réalisés au cours de l</w:t>
      </w:r>
      <w:r w:rsidR="00A20444" w:rsidRPr="002D02F3">
        <w:rPr>
          <w:sz w:val="16"/>
        </w:rPr>
        <w:t>’</w:t>
      </w:r>
      <w:r w:rsidRPr="002D02F3">
        <w:rPr>
          <w:sz w:val="16"/>
        </w:rPr>
        <w:t>exercice 2012</w:t>
      </w:r>
      <w:r w:rsidR="002D6F2A" w:rsidRPr="002D02F3">
        <w:rPr>
          <w:sz w:val="16"/>
        </w:rPr>
        <w:noBreakHyphen/>
      </w:r>
      <w:r w:rsidRPr="002D02F3">
        <w:rPr>
          <w:sz w:val="16"/>
        </w:rPr>
        <w:t xml:space="preserve">2013, conformément à </w:t>
      </w:r>
      <w:r w:rsidR="00E15133" w:rsidRPr="002D02F3">
        <w:rPr>
          <w:sz w:val="16"/>
        </w:rPr>
        <w:t>l</w:t>
      </w:r>
      <w:r w:rsidR="00A20444" w:rsidRPr="002D02F3">
        <w:rPr>
          <w:sz w:val="16"/>
        </w:rPr>
        <w:t>’</w:t>
      </w:r>
      <w:r w:rsidR="00E15133" w:rsidRPr="002D02F3">
        <w:rPr>
          <w:sz w:val="16"/>
        </w:rPr>
        <w:t>article 5.5</w:t>
      </w:r>
      <w:r w:rsidRPr="002D02F3">
        <w:rPr>
          <w:sz w:val="16"/>
        </w:rPr>
        <w:t xml:space="preserve"> du règlement d</w:t>
      </w:r>
      <w:r w:rsidR="00A20444" w:rsidRPr="002D02F3">
        <w:rPr>
          <w:sz w:val="16"/>
        </w:rPr>
        <w:t>’</w:t>
      </w:r>
      <w:r w:rsidRPr="002D02F3">
        <w:rPr>
          <w:sz w:val="16"/>
        </w:rPr>
        <w:t>exécution du Règlement financier.</w:t>
      </w:r>
    </w:p>
    <w:p w:rsidR="00D42474" w:rsidRDefault="00D42474" w:rsidP="001A5BF9">
      <w:pPr>
        <w:autoSpaceDE w:val="0"/>
        <w:autoSpaceDN w:val="0"/>
        <w:rPr>
          <w:rFonts w:cs="Arial"/>
          <w:sz w:val="16"/>
          <w:szCs w:val="16"/>
        </w:rPr>
      </w:pPr>
    </w:p>
    <w:p w:rsidR="00D42474" w:rsidRDefault="004007D3" w:rsidP="001A5BF9">
      <w:pPr>
        <w:autoSpaceDE w:val="0"/>
        <w:autoSpaceDN w:val="0"/>
        <w:rPr>
          <w:sz w:val="16"/>
        </w:rPr>
      </w:pPr>
      <w:r w:rsidRPr="002D02F3">
        <w:rPr>
          <w:sz w:val="16"/>
        </w:rPr>
        <w:t>2)</w:t>
      </w:r>
      <w:r w:rsidR="00EE7C90">
        <w:rPr>
          <w:sz w:val="16"/>
        </w:rPr>
        <w:tab/>
      </w:r>
      <w:r w:rsidRPr="002D02F3">
        <w:rPr>
          <w:sz w:val="16"/>
        </w:rPr>
        <w:t>Les dépenses de personnel indiquées dans le budget de l</w:t>
      </w:r>
      <w:r w:rsidR="00A20444" w:rsidRPr="002D02F3">
        <w:rPr>
          <w:sz w:val="16"/>
        </w:rPr>
        <w:t>’</w:t>
      </w:r>
      <w:r w:rsidRPr="002D02F3">
        <w:rPr>
          <w:sz w:val="16"/>
        </w:rPr>
        <w:t>exercice 2012</w:t>
      </w:r>
      <w:r w:rsidR="002D6F2A" w:rsidRPr="002D02F3">
        <w:rPr>
          <w:sz w:val="16"/>
        </w:rPr>
        <w:noBreakHyphen/>
      </w:r>
      <w:r w:rsidRPr="002D02F3">
        <w:rPr>
          <w:sz w:val="16"/>
        </w:rPr>
        <w:t>2013 après virements représentent les dépenses réelles engagées pendant l</w:t>
      </w:r>
      <w:r w:rsidR="00A20444" w:rsidRPr="002D02F3">
        <w:rPr>
          <w:sz w:val="16"/>
        </w:rPr>
        <w:t>’</w:t>
      </w:r>
      <w:r w:rsidRPr="002D02F3">
        <w:rPr>
          <w:sz w:val="16"/>
        </w:rPr>
        <w:t>exercice biennal.</w:t>
      </w:r>
    </w:p>
    <w:p w:rsidR="00D42474" w:rsidRDefault="00D42474" w:rsidP="001A5BF9">
      <w:pPr>
        <w:autoSpaceDE w:val="0"/>
        <w:autoSpaceDN w:val="0"/>
        <w:rPr>
          <w:rFonts w:cs="Arial"/>
          <w:sz w:val="16"/>
          <w:szCs w:val="16"/>
        </w:rPr>
      </w:pPr>
    </w:p>
    <w:p w:rsidR="00D42474" w:rsidRDefault="00D42474" w:rsidP="001A5BF9">
      <w:pPr>
        <w:rPr>
          <w:rFonts w:cs="Arial"/>
          <w:szCs w:val="22"/>
        </w:rPr>
      </w:pPr>
    </w:p>
    <w:p w:rsidR="00D42474" w:rsidRDefault="004007D3" w:rsidP="001A5BF9">
      <w:pPr>
        <w:tabs>
          <w:tab w:val="left" w:pos="709"/>
        </w:tabs>
        <w:jc w:val="both"/>
        <w:rPr>
          <w:rFonts w:eastAsia="SimSun" w:cs="Arial"/>
          <w:szCs w:val="20"/>
        </w:rPr>
      </w:pPr>
      <w:r w:rsidRPr="002D02F3">
        <w:t>A.</w:t>
      </w:r>
      <w:r w:rsidRPr="002D02F3">
        <w:tab/>
      </w:r>
      <w:r w:rsidRPr="002D02F3">
        <w:rPr>
          <w:u w:val="single"/>
        </w:rPr>
        <w:t>Budget 2012</w:t>
      </w:r>
      <w:r w:rsidR="002D6F2A" w:rsidRPr="002D02F3">
        <w:rPr>
          <w:u w:val="single"/>
        </w:rPr>
        <w:noBreakHyphen/>
      </w:r>
      <w:r w:rsidRPr="002D02F3">
        <w:rPr>
          <w:u w:val="single"/>
        </w:rPr>
        <w:t>2013 après virements</w:t>
      </w:r>
    </w:p>
    <w:p w:rsidR="00D42474" w:rsidRDefault="00D42474" w:rsidP="001A5BF9">
      <w:pPr>
        <w:tabs>
          <w:tab w:val="left" w:pos="709"/>
        </w:tabs>
        <w:jc w:val="both"/>
        <w:rPr>
          <w:rFonts w:cs="Arial"/>
          <w:szCs w:val="20"/>
        </w:rPr>
      </w:pPr>
    </w:p>
    <w:p w:rsidR="00D42474" w:rsidRDefault="004007D3" w:rsidP="001A5BF9">
      <w:pPr>
        <w:keepNext/>
        <w:tabs>
          <w:tab w:val="left" w:pos="709"/>
        </w:tabs>
        <w:autoSpaceDE w:val="0"/>
        <w:autoSpaceDN w:val="0"/>
        <w:jc w:val="both"/>
      </w:pPr>
      <w:r w:rsidRPr="002D02F3">
        <w:t>26.11.</w:t>
      </w:r>
      <w:r w:rsidRPr="002D02F3">
        <w:tab/>
        <w:t>Le budget 2012</w:t>
      </w:r>
      <w:r w:rsidR="002D6F2A" w:rsidRPr="002D02F3">
        <w:noBreakHyphen/>
      </w:r>
      <w:r w:rsidRPr="002D02F3">
        <w:t>2013 après virements tient compte d</w:t>
      </w:r>
      <w:r w:rsidR="00A20444" w:rsidRPr="002D02F3">
        <w:t>’</w:t>
      </w:r>
      <w:r w:rsidRPr="002D02F3">
        <w:t>une diminution des ressources autre que celles pour le personnel en raison des ajustements réalisés pour réduire les coûts, conformément aux engagements de l</w:t>
      </w:r>
      <w:r w:rsidR="00A20444" w:rsidRPr="002D02F3">
        <w:t>’</w:t>
      </w:r>
      <w:r w:rsidRPr="002D02F3">
        <w:t>Organisation de réduire les dépenses de 10,2 millions de francs suisses pour l</w:t>
      </w:r>
      <w:r w:rsidR="00A20444" w:rsidRPr="002D02F3">
        <w:t>’</w:t>
      </w:r>
      <w:r w:rsidRPr="002D02F3">
        <w:t>exercice biennal 2012</w:t>
      </w:r>
      <w:r w:rsidR="002D6F2A" w:rsidRPr="002D02F3">
        <w:noBreakHyphen/>
      </w:r>
      <w:r w:rsidRPr="002D02F3">
        <w:t xml:space="preserve">2013. </w:t>
      </w:r>
      <w:r w:rsidR="0010442A" w:rsidRPr="002D02F3">
        <w:t xml:space="preserve"> </w:t>
      </w:r>
      <w:r w:rsidRPr="002D02F3">
        <w:t>Cela a été compensé par le transfert de ressources supplémentaires au programme pour la réalisation de l</w:t>
      </w:r>
      <w:r w:rsidR="00A20444" w:rsidRPr="002D02F3">
        <w:t>’</w:t>
      </w:r>
      <w:r w:rsidRPr="002D02F3">
        <w:t>étude extérieure indépendante sur le programme de l</w:t>
      </w:r>
      <w:r w:rsidR="00A20444" w:rsidRPr="002D02F3">
        <w:t>’</w:t>
      </w:r>
      <w:r w:rsidRPr="002D02F3">
        <w:t>OMPI en matière d</w:t>
      </w:r>
      <w:r w:rsidR="00A20444" w:rsidRPr="002D02F3">
        <w:t>’</w:t>
      </w:r>
      <w:r w:rsidRPr="002D02F3">
        <w:t>assistance technique aux pays soumis à des sanctions de l</w:t>
      </w:r>
      <w:r w:rsidR="00A20444" w:rsidRPr="002D02F3">
        <w:t>’</w:t>
      </w:r>
      <w:r w:rsidRPr="002D02F3">
        <w:t>ONU.</w:t>
      </w:r>
    </w:p>
    <w:p w:rsidR="00D42474" w:rsidRDefault="00D42474" w:rsidP="001A5BF9">
      <w:pPr>
        <w:tabs>
          <w:tab w:val="left" w:pos="709"/>
        </w:tabs>
        <w:jc w:val="both"/>
        <w:rPr>
          <w:rFonts w:cs="Arial"/>
          <w:szCs w:val="20"/>
        </w:rPr>
      </w:pPr>
    </w:p>
    <w:p w:rsidR="00D42474" w:rsidRDefault="004007D3" w:rsidP="001A5BF9">
      <w:pPr>
        <w:tabs>
          <w:tab w:val="left" w:pos="709"/>
        </w:tabs>
        <w:jc w:val="both"/>
        <w:rPr>
          <w:rFonts w:eastAsia="SimSun" w:cs="Arial"/>
          <w:szCs w:val="20"/>
        </w:rPr>
      </w:pPr>
      <w:r w:rsidRPr="002D02F3">
        <w:t>B.</w:t>
      </w:r>
      <w:r w:rsidRPr="002D02F3">
        <w:tab/>
      </w:r>
      <w:r w:rsidRPr="002D02F3">
        <w:rPr>
          <w:u w:val="single"/>
        </w:rPr>
        <w:t>Utilisation du budget 2012</w:t>
      </w:r>
      <w:r w:rsidR="002D6F2A" w:rsidRPr="002D02F3">
        <w:rPr>
          <w:u w:val="single"/>
        </w:rPr>
        <w:noBreakHyphen/>
      </w:r>
      <w:r w:rsidRPr="002D02F3">
        <w:rPr>
          <w:u w:val="single"/>
        </w:rPr>
        <w:t>2013</w:t>
      </w:r>
    </w:p>
    <w:p w:rsidR="00D42474" w:rsidRDefault="00D42474" w:rsidP="001A5BF9">
      <w:pPr>
        <w:tabs>
          <w:tab w:val="left" w:pos="709"/>
        </w:tabs>
        <w:jc w:val="both"/>
        <w:rPr>
          <w:rFonts w:eastAsia="SimSun" w:cs="Arial"/>
          <w:szCs w:val="20"/>
        </w:rPr>
      </w:pPr>
    </w:p>
    <w:p w:rsidR="00D42474" w:rsidRDefault="004007D3" w:rsidP="001A5BF9">
      <w:pPr>
        <w:pStyle w:val="Paragraphedeliste"/>
        <w:tabs>
          <w:tab w:val="left" w:pos="720"/>
        </w:tabs>
        <w:ind w:left="0"/>
        <w:jc w:val="both"/>
      </w:pPr>
      <w:r w:rsidRPr="002D02F3">
        <w:t>26.12.</w:t>
      </w:r>
      <w:r w:rsidRPr="002D02F3">
        <w:tab/>
        <w:t>L</w:t>
      </w:r>
      <w:r w:rsidR="00A20444" w:rsidRPr="002D02F3">
        <w:t>’</w:t>
      </w:r>
      <w:r w:rsidRPr="002D02F3">
        <w:t>utilisation du budget tient compte d</w:t>
      </w:r>
      <w:r w:rsidR="00A20444" w:rsidRPr="002D02F3">
        <w:t>’</w:t>
      </w:r>
      <w:r w:rsidRPr="002D02F3">
        <w:t>une légère diminution des ressources déployées pour les activités relatives à l</w:t>
      </w:r>
      <w:r w:rsidR="00A20444" w:rsidRPr="002D02F3">
        <w:t>’</w:t>
      </w:r>
      <w:r w:rsidRPr="002D02F3">
        <w:t>audit, comme indiqué au titre du résultat </w:t>
      </w:r>
      <w:proofErr w:type="spellStart"/>
      <w:r w:rsidRPr="002D02F3">
        <w:t>IX.11</w:t>
      </w:r>
      <w:proofErr w:type="spellEnd"/>
      <w:r w:rsidRPr="002D02F3">
        <w:t xml:space="preserve"> (Une fonction d</w:t>
      </w:r>
      <w:r w:rsidR="00A20444" w:rsidRPr="002D02F3">
        <w:t>’</w:t>
      </w:r>
      <w:r w:rsidRPr="002D02F3">
        <w:t>audit interne efficace et professionnelle), due, entre autres, au coût de l</w:t>
      </w:r>
      <w:r w:rsidR="00A20444" w:rsidRPr="002D02F3">
        <w:t>’</w:t>
      </w:r>
      <w:r w:rsidRPr="002D02F3">
        <w:t xml:space="preserve">expertise externe pour les audits et enquêtes spécialisés. </w:t>
      </w:r>
      <w:r w:rsidR="0010442A" w:rsidRPr="002D02F3">
        <w:t xml:space="preserve"> </w:t>
      </w:r>
      <w:r w:rsidRPr="002D02F3">
        <w:t>Cela a été compensé par une diminution des ressources dédiées aux enquêtes, comme indiqué au titre du résultat </w:t>
      </w:r>
      <w:proofErr w:type="spellStart"/>
      <w:r w:rsidRPr="002D02F3">
        <w:t>IX.13</w:t>
      </w:r>
      <w:proofErr w:type="spellEnd"/>
      <w:r w:rsidRPr="002D02F3">
        <w:t xml:space="preserve"> (Données d</w:t>
      </w:r>
      <w:r w:rsidR="00A20444" w:rsidRPr="002D02F3">
        <w:t>’</w:t>
      </w:r>
      <w:r w:rsidRPr="002D02F3">
        <w:t>évaluation factuelles), essentiellement due au coût plus bas que prévu des prestataires de services individuels extérieurs.</w:t>
      </w:r>
    </w:p>
    <w:p w:rsidR="00D42474" w:rsidRDefault="00D42474" w:rsidP="001A5BF9">
      <w:pPr>
        <w:tabs>
          <w:tab w:val="left" w:pos="709"/>
        </w:tabs>
        <w:autoSpaceDE w:val="0"/>
        <w:autoSpaceDN w:val="0"/>
        <w:adjustRightInd w:val="0"/>
        <w:jc w:val="both"/>
        <w:rPr>
          <w:rFonts w:eastAsia="SimSun"/>
          <w:szCs w:val="20"/>
        </w:rPr>
      </w:pPr>
    </w:p>
    <w:p w:rsidR="00D42474" w:rsidRDefault="004007D3" w:rsidP="001A5BF9">
      <w:pPr>
        <w:rPr>
          <w:rFonts w:eastAsia="SimSun"/>
          <w:color w:val="000000"/>
          <w:szCs w:val="20"/>
        </w:rPr>
      </w:pPr>
      <w:r w:rsidRPr="005C7CCE">
        <w:br w:type="page"/>
      </w:r>
    </w:p>
    <w:p w:rsidR="00D42474" w:rsidRDefault="004007D3" w:rsidP="001A5BF9">
      <w:pPr>
        <w:pStyle w:val="Heading3"/>
        <w:rPr>
          <w:szCs w:val="22"/>
        </w:rPr>
      </w:pPr>
      <w:bookmarkStart w:id="47" w:name="_Toc395082499"/>
      <w:r w:rsidRPr="00EE7C90">
        <w:rPr>
          <w:szCs w:val="22"/>
        </w:rPr>
        <w:t>Programme 27</w:t>
      </w:r>
      <w:r w:rsidRPr="00EE7C90">
        <w:rPr>
          <w:b w:val="0"/>
          <w:szCs w:val="22"/>
        </w:rPr>
        <w:tab/>
      </w:r>
      <w:r w:rsidRPr="00EE7C90">
        <w:rPr>
          <w:szCs w:val="22"/>
        </w:rPr>
        <w:t>Services de conférence et services linguistiques</w:t>
      </w:r>
      <w:bookmarkEnd w:id="47"/>
    </w:p>
    <w:p w:rsidR="00D42474" w:rsidRDefault="00D42474" w:rsidP="001A5BF9">
      <w:pPr>
        <w:ind w:left="2268" w:hanging="2268"/>
        <w:rPr>
          <w:rFonts w:cs="Arial"/>
          <w:b/>
          <w:sz w:val="22"/>
          <w:szCs w:val="22"/>
        </w:rPr>
      </w:pPr>
    </w:p>
    <w:p w:rsidR="00D42474" w:rsidRDefault="004007D3" w:rsidP="001A5BF9">
      <w:pPr>
        <w:ind w:left="2268" w:hanging="2268"/>
        <w:rPr>
          <w:rFonts w:cs="Arial"/>
          <w:b/>
          <w:sz w:val="22"/>
          <w:szCs w:val="22"/>
        </w:rPr>
      </w:pPr>
      <w:r w:rsidRPr="00EE7C90">
        <w:rPr>
          <w:b/>
          <w:sz w:val="22"/>
          <w:szCs w:val="22"/>
        </w:rPr>
        <w:t>Chef de programme</w:t>
      </w:r>
      <w:r w:rsidRPr="00EE7C90">
        <w:rPr>
          <w:b/>
          <w:sz w:val="22"/>
          <w:szCs w:val="22"/>
        </w:rPr>
        <w:tab/>
      </w:r>
      <w:r w:rsidRPr="00EE7C90">
        <w:rPr>
          <w:b/>
          <w:sz w:val="22"/>
          <w:szCs w:val="22"/>
        </w:rPr>
        <w:tab/>
        <w:t>M. A.</w:t>
      </w:r>
      <w:r w:rsidR="0010442A" w:rsidRPr="00EE7C90">
        <w:rPr>
          <w:b/>
          <w:sz w:val="22"/>
          <w:szCs w:val="22"/>
        </w:rPr>
        <w:t> </w:t>
      </w:r>
      <w:proofErr w:type="spellStart"/>
      <w:r w:rsidRPr="00EE7C90">
        <w:rPr>
          <w:b/>
          <w:sz w:val="22"/>
          <w:szCs w:val="22"/>
        </w:rPr>
        <w:t>Sundaram</w:t>
      </w:r>
      <w:proofErr w:type="spellEnd"/>
    </w:p>
    <w:p w:rsidR="00D42474" w:rsidRDefault="00D42474" w:rsidP="001A5BF9">
      <w:pPr>
        <w:rPr>
          <w:rFonts w:cs="Arial"/>
          <w:sz w:val="22"/>
          <w:szCs w:val="22"/>
        </w:rPr>
      </w:pPr>
    </w:p>
    <w:p w:rsidR="00D42474" w:rsidRDefault="00D42474" w:rsidP="001A5BF9">
      <w:pPr>
        <w:rPr>
          <w:rFonts w:cs="Arial"/>
          <w:bCs/>
          <w:sz w:val="22"/>
          <w:szCs w:val="22"/>
        </w:rPr>
      </w:pPr>
    </w:p>
    <w:p w:rsidR="00D42474" w:rsidRDefault="004007D3" w:rsidP="001A5BF9">
      <w:pPr>
        <w:rPr>
          <w:rFonts w:cs="Arial"/>
          <w:sz w:val="22"/>
          <w:szCs w:val="22"/>
        </w:rPr>
      </w:pPr>
      <w:r w:rsidRPr="00EE7C90">
        <w:rPr>
          <w:sz w:val="22"/>
          <w:szCs w:val="22"/>
        </w:rPr>
        <w:t>RÉALISATIONS EN 2012</w:t>
      </w:r>
      <w:r w:rsidR="002D6F2A" w:rsidRPr="00EE7C90">
        <w:rPr>
          <w:sz w:val="22"/>
          <w:szCs w:val="22"/>
        </w:rPr>
        <w:noBreakHyphen/>
      </w:r>
      <w:r w:rsidRPr="00EE7C90">
        <w:rPr>
          <w:sz w:val="22"/>
          <w:szCs w:val="22"/>
        </w:rPr>
        <w:t>2013</w:t>
      </w:r>
    </w:p>
    <w:p w:rsidR="00D42474" w:rsidRDefault="00D42474" w:rsidP="001A5BF9">
      <w:pPr>
        <w:rPr>
          <w:rFonts w:cs="Arial"/>
          <w:sz w:val="22"/>
          <w:szCs w:val="22"/>
        </w:rPr>
      </w:pPr>
    </w:p>
    <w:p w:rsidR="00D42474" w:rsidRDefault="004007D3" w:rsidP="001A5BF9">
      <w:pPr>
        <w:tabs>
          <w:tab w:val="left" w:pos="709"/>
        </w:tabs>
        <w:autoSpaceDE w:val="0"/>
        <w:autoSpaceDN w:val="0"/>
        <w:adjustRightInd w:val="0"/>
        <w:jc w:val="both"/>
        <w:rPr>
          <w:color w:val="000000"/>
          <w:szCs w:val="20"/>
        </w:rPr>
      </w:pPr>
      <w:r w:rsidRPr="002D02F3">
        <w:rPr>
          <w:szCs w:val="20"/>
        </w:rPr>
        <w:t>27.1.</w:t>
      </w:r>
      <w:r w:rsidRPr="002D02F3">
        <w:rPr>
          <w:szCs w:val="20"/>
        </w:rPr>
        <w:tab/>
        <w:t>La mise en place de la politique linguistique de l</w:t>
      </w:r>
      <w:r w:rsidR="00A20444" w:rsidRPr="002D02F3">
        <w:rPr>
          <w:szCs w:val="20"/>
        </w:rPr>
        <w:t>’</w:t>
      </w:r>
      <w:r w:rsidRPr="002D02F3">
        <w:rPr>
          <w:szCs w:val="20"/>
        </w:rPr>
        <w:t>OMPI, adoptée par les États membres lors des Assemblées de 2011, a débuté en 2012, avec la couverture de six</w:t>
      </w:r>
      <w:r w:rsidR="0010442A" w:rsidRPr="002D02F3">
        <w:rPr>
          <w:szCs w:val="20"/>
        </w:rPr>
        <w:t> </w:t>
      </w:r>
      <w:r w:rsidRPr="002D02F3">
        <w:rPr>
          <w:szCs w:val="20"/>
        </w:rPr>
        <w:t xml:space="preserve">langues pour les documents des </w:t>
      </w:r>
      <w:r w:rsidRPr="002D02F3">
        <w:rPr>
          <w:color w:val="000000"/>
          <w:szCs w:val="20"/>
        </w:rPr>
        <w:t>réunions de tous les comités de l</w:t>
      </w:r>
      <w:r w:rsidR="00A20444" w:rsidRPr="002D02F3">
        <w:rPr>
          <w:color w:val="000000"/>
          <w:szCs w:val="20"/>
        </w:rPr>
        <w:t>’</w:t>
      </w:r>
      <w:r w:rsidRPr="002D02F3">
        <w:rPr>
          <w:color w:val="000000"/>
          <w:szCs w:val="20"/>
        </w:rPr>
        <w:t xml:space="preserve">OMPI et de la plupart des principaux organes, et elle </w:t>
      </w:r>
      <w:proofErr w:type="gramStart"/>
      <w:r w:rsidRPr="002D02F3">
        <w:rPr>
          <w:color w:val="000000"/>
          <w:szCs w:val="20"/>
        </w:rPr>
        <w:t>s</w:t>
      </w:r>
      <w:r w:rsidR="00A20444" w:rsidRPr="002D02F3">
        <w:rPr>
          <w:color w:val="000000"/>
          <w:szCs w:val="20"/>
        </w:rPr>
        <w:t>’</w:t>
      </w:r>
      <w:r w:rsidRPr="002D02F3">
        <w:rPr>
          <w:color w:val="000000"/>
          <w:szCs w:val="20"/>
        </w:rPr>
        <w:t>est</w:t>
      </w:r>
      <w:proofErr w:type="gramEnd"/>
      <w:r w:rsidRPr="002D02F3">
        <w:rPr>
          <w:color w:val="000000"/>
          <w:szCs w:val="20"/>
        </w:rPr>
        <w:t xml:space="preserve"> achevée à la fin de l</w:t>
      </w:r>
      <w:r w:rsidR="00A20444" w:rsidRPr="002D02F3">
        <w:rPr>
          <w:color w:val="000000"/>
          <w:szCs w:val="20"/>
        </w:rPr>
        <w:t>’</w:t>
      </w:r>
      <w:r w:rsidRPr="002D02F3">
        <w:rPr>
          <w:color w:val="000000"/>
          <w:szCs w:val="20"/>
        </w:rPr>
        <w:t xml:space="preserve">exercice biennal. </w:t>
      </w:r>
      <w:r w:rsidR="0010442A" w:rsidRPr="002D02F3">
        <w:rPr>
          <w:color w:val="000000"/>
          <w:szCs w:val="20"/>
        </w:rPr>
        <w:t xml:space="preserve"> </w:t>
      </w:r>
      <w:r w:rsidRPr="002D02F3">
        <w:rPr>
          <w:color w:val="000000"/>
          <w:szCs w:val="20"/>
        </w:rPr>
        <w:t>En raison de l</w:t>
      </w:r>
      <w:r w:rsidR="00A20444" w:rsidRPr="002D02F3">
        <w:rPr>
          <w:color w:val="000000"/>
          <w:szCs w:val="20"/>
        </w:rPr>
        <w:t>’</w:t>
      </w:r>
      <w:r w:rsidRPr="002D02F3">
        <w:rPr>
          <w:color w:val="000000"/>
          <w:szCs w:val="20"/>
        </w:rPr>
        <w:t>élargissement de la couverture linguistique, les volumes de traduction ont nettement augmenté au cours de</w:t>
      </w:r>
      <w:r w:rsidR="004F3E42" w:rsidRPr="002D02F3">
        <w:rPr>
          <w:color w:val="000000"/>
          <w:szCs w:val="20"/>
        </w:rPr>
        <w:t xml:space="preserve"> </w:t>
      </w:r>
      <w:r w:rsidRPr="002D02F3">
        <w:rPr>
          <w:color w:val="000000"/>
          <w:szCs w:val="20"/>
        </w:rPr>
        <w:t>l</w:t>
      </w:r>
      <w:r w:rsidR="00A20444" w:rsidRPr="002D02F3">
        <w:rPr>
          <w:color w:val="000000"/>
          <w:szCs w:val="20"/>
        </w:rPr>
        <w:t>’</w:t>
      </w:r>
      <w:r w:rsidRPr="002D02F3">
        <w:rPr>
          <w:color w:val="000000"/>
          <w:szCs w:val="20"/>
        </w:rPr>
        <w:t xml:space="preserve">exercice biennal. </w:t>
      </w:r>
      <w:r w:rsidR="0010442A" w:rsidRPr="002D02F3">
        <w:rPr>
          <w:color w:val="000000"/>
          <w:szCs w:val="20"/>
        </w:rPr>
        <w:t xml:space="preserve"> </w:t>
      </w:r>
      <w:r w:rsidRPr="002D02F3">
        <w:rPr>
          <w:color w:val="000000"/>
          <w:szCs w:val="20"/>
        </w:rPr>
        <w:t>Par rapport à un total de 24,52 millions de mots (environ 74 331</w:t>
      </w:r>
      <w:r w:rsidRPr="002D02F3">
        <w:rPr>
          <w:color w:val="000000"/>
          <w:szCs w:val="20"/>
          <w:vertAlign w:val="superscript"/>
        </w:rPr>
        <w:footnoteReference w:id="44"/>
      </w:r>
      <w:r w:rsidRPr="002D02F3">
        <w:rPr>
          <w:color w:val="000000"/>
          <w:szCs w:val="20"/>
        </w:rPr>
        <w:t> pages types de l</w:t>
      </w:r>
      <w:r w:rsidR="00A20444" w:rsidRPr="002D02F3">
        <w:rPr>
          <w:color w:val="000000"/>
          <w:szCs w:val="20"/>
        </w:rPr>
        <w:t>’</w:t>
      </w:r>
      <w:r w:rsidRPr="002D02F3">
        <w:rPr>
          <w:color w:val="000000"/>
          <w:szCs w:val="20"/>
        </w:rPr>
        <w:t>ONU) traduits en 2010</w:t>
      </w:r>
      <w:r w:rsidR="002D6F2A" w:rsidRPr="002D02F3">
        <w:rPr>
          <w:color w:val="000000"/>
          <w:szCs w:val="20"/>
        </w:rPr>
        <w:noBreakHyphen/>
      </w:r>
      <w:r w:rsidRPr="002D02F3">
        <w:rPr>
          <w:color w:val="000000"/>
          <w:szCs w:val="20"/>
        </w:rPr>
        <w:t>2011, le programme en a traduit 33,17 millions (100 524</w:t>
      </w:r>
      <w:r w:rsidRPr="002D02F3">
        <w:rPr>
          <w:color w:val="000000"/>
          <w:szCs w:val="20"/>
          <w:vertAlign w:val="superscript"/>
        </w:rPr>
        <w:footnoteReference w:id="45"/>
      </w:r>
      <w:r w:rsidRPr="002D02F3">
        <w:rPr>
          <w:color w:val="000000"/>
          <w:szCs w:val="20"/>
        </w:rPr>
        <w:t xml:space="preserve"> pages types de l</w:t>
      </w:r>
      <w:r w:rsidR="00A20444" w:rsidRPr="002D02F3">
        <w:rPr>
          <w:color w:val="000000"/>
          <w:szCs w:val="20"/>
        </w:rPr>
        <w:t>’</w:t>
      </w:r>
      <w:r w:rsidRPr="002D02F3">
        <w:rPr>
          <w:color w:val="000000"/>
          <w:szCs w:val="20"/>
        </w:rPr>
        <w:t>ONU) en 2012</w:t>
      </w:r>
      <w:r w:rsidR="002D6F2A" w:rsidRPr="002D02F3">
        <w:rPr>
          <w:color w:val="000000"/>
          <w:szCs w:val="20"/>
        </w:rPr>
        <w:noBreakHyphen/>
      </w:r>
      <w:r w:rsidRPr="002D02F3">
        <w:rPr>
          <w:color w:val="000000"/>
          <w:szCs w:val="20"/>
        </w:rPr>
        <w:t>2013, soit une hausse de 35</w:t>
      </w:r>
      <w:r w:rsidR="007E442D" w:rsidRPr="002D02F3">
        <w:rPr>
          <w:color w:val="000000"/>
          <w:szCs w:val="20"/>
        </w:rPr>
        <w:t>%</w:t>
      </w:r>
      <w:r w:rsidRPr="002D02F3">
        <w:rPr>
          <w:color w:val="000000"/>
          <w:szCs w:val="20"/>
        </w:rPr>
        <w:t xml:space="preserve"> pour l</w:t>
      </w:r>
      <w:r w:rsidR="00A20444" w:rsidRPr="002D02F3">
        <w:rPr>
          <w:color w:val="000000"/>
          <w:szCs w:val="20"/>
        </w:rPr>
        <w:t>’</w:t>
      </w:r>
      <w:r w:rsidRPr="002D02F3">
        <w:rPr>
          <w:color w:val="000000"/>
          <w:szCs w:val="20"/>
        </w:rPr>
        <w:t>exercice biennal.</w:t>
      </w:r>
      <w:r w:rsidR="0010442A" w:rsidRPr="002D02F3">
        <w:rPr>
          <w:color w:val="000000"/>
          <w:szCs w:val="20"/>
        </w:rPr>
        <w:t xml:space="preserve"> </w:t>
      </w:r>
      <w:r w:rsidRPr="002D02F3">
        <w:rPr>
          <w:color w:val="000000"/>
          <w:szCs w:val="20"/>
        </w:rPr>
        <w:t xml:space="preserve"> Les effets de la nouvelle politique linguistique ont été suivis avec attention en 2012 et une rationalisation rigoureuse ainsi que des mesures de contrôle ont été appliquées en 2013 afin de contenir l</w:t>
      </w:r>
      <w:r w:rsidR="00A20444" w:rsidRPr="002D02F3">
        <w:rPr>
          <w:color w:val="000000"/>
          <w:szCs w:val="20"/>
        </w:rPr>
        <w:t>’</w:t>
      </w:r>
      <w:r w:rsidRPr="002D02F3">
        <w:rPr>
          <w:color w:val="000000"/>
          <w:szCs w:val="20"/>
        </w:rPr>
        <w:t xml:space="preserve">augmentation. </w:t>
      </w:r>
      <w:r w:rsidR="0010442A" w:rsidRPr="002D02F3">
        <w:rPr>
          <w:color w:val="000000"/>
          <w:szCs w:val="20"/>
        </w:rPr>
        <w:t xml:space="preserve"> </w:t>
      </w:r>
      <w:r w:rsidRPr="002D02F3">
        <w:rPr>
          <w:color w:val="000000"/>
          <w:szCs w:val="20"/>
        </w:rPr>
        <w:t>Même si une hausse de 53</w:t>
      </w:r>
      <w:r w:rsidR="007E442D" w:rsidRPr="002D02F3">
        <w:rPr>
          <w:color w:val="000000"/>
          <w:szCs w:val="20"/>
        </w:rPr>
        <w:t>%</w:t>
      </w:r>
      <w:r w:rsidRPr="002D02F3">
        <w:rPr>
          <w:color w:val="000000"/>
          <w:szCs w:val="20"/>
        </w:rPr>
        <w:t> a été observée entre 2011 et 2012, le nombre de mots traduits en 2013 a diminué de 18</w:t>
      </w:r>
      <w:r w:rsidR="007E442D" w:rsidRPr="002D02F3">
        <w:rPr>
          <w:color w:val="000000"/>
          <w:szCs w:val="20"/>
        </w:rPr>
        <w:t>%</w:t>
      </w:r>
      <w:r w:rsidRPr="002D02F3">
        <w:rPr>
          <w:color w:val="000000"/>
          <w:szCs w:val="20"/>
        </w:rPr>
        <w:t xml:space="preserve"> par rapport à 2012.</w:t>
      </w:r>
    </w:p>
    <w:p w:rsidR="00D42474" w:rsidRDefault="00D42474" w:rsidP="001A5BF9">
      <w:pPr>
        <w:tabs>
          <w:tab w:val="left" w:pos="709"/>
        </w:tabs>
        <w:autoSpaceDE w:val="0"/>
        <w:autoSpaceDN w:val="0"/>
        <w:adjustRightInd w:val="0"/>
        <w:jc w:val="both"/>
        <w:rPr>
          <w:rFonts w:eastAsia="Batang" w:cs="Arial"/>
          <w:color w:val="000000"/>
          <w:szCs w:val="20"/>
        </w:rPr>
      </w:pPr>
    </w:p>
    <w:p w:rsidR="00D42474" w:rsidRDefault="004007D3" w:rsidP="001A5BF9">
      <w:pPr>
        <w:tabs>
          <w:tab w:val="left" w:pos="709"/>
        </w:tabs>
        <w:autoSpaceDE w:val="0"/>
        <w:autoSpaceDN w:val="0"/>
        <w:adjustRightInd w:val="0"/>
        <w:jc w:val="both"/>
        <w:rPr>
          <w:rFonts w:eastAsia="Batang" w:cs="Arial"/>
          <w:szCs w:val="20"/>
        </w:rPr>
      </w:pPr>
      <w:r w:rsidRPr="002D02F3">
        <w:rPr>
          <w:color w:val="000000"/>
          <w:szCs w:val="20"/>
        </w:rPr>
        <w:t>27.2.</w:t>
      </w:r>
      <w:r w:rsidRPr="002D02F3">
        <w:rPr>
          <w:color w:val="000000"/>
          <w:szCs w:val="20"/>
        </w:rPr>
        <w:tab/>
        <w:t>Le Secrétariat a continué à accorder plus d</w:t>
      </w:r>
      <w:r w:rsidR="00A20444" w:rsidRPr="002D02F3">
        <w:rPr>
          <w:color w:val="000000"/>
          <w:szCs w:val="20"/>
        </w:rPr>
        <w:t>’</w:t>
      </w:r>
      <w:r w:rsidRPr="002D02F3">
        <w:rPr>
          <w:color w:val="000000"/>
          <w:szCs w:val="20"/>
        </w:rPr>
        <w:t>importance à l</w:t>
      </w:r>
      <w:r w:rsidR="00A20444" w:rsidRPr="002D02F3">
        <w:rPr>
          <w:color w:val="000000"/>
          <w:szCs w:val="20"/>
        </w:rPr>
        <w:t>’</w:t>
      </w:r>
      <w:r w:rsidRPr="002D02F3">
        <w:rPr>
          <w:color w:val="000000"/>
          <w:szCs w:val="20"/>
        </w:rPr>
        <w:t>externalisation des services de traduction, avec 56</w:t>
      </w:r>
      <w:r w:rsidR="007E442D" w:rsidRPr="002D02F3">
        <w:rPr>
          <w:color w:val="000000"/>
          <w:szCs w:val="20"/>
        </w:rPr>
        <w:t>%</w:t>
      </w:r>
      <w:r w:rsidRPr="002D02F3">
        <w:rPr>
          <w:color w:val="000000"/>
          <w:szCs w:val="20"/>
        </w:rPr>
        <w:t> de la charge de travail sous</w:t>
      </w:r>
      <w:r w:rsidR="002D6F2A" w:rsidRPr="002D02F3">
        <w:rPr>
          <w:color w:val="000000"/>
          <w:szCs w:val="20"/>
        </w:rPr>
        <w:noBreakHyphen/>
      </w:r>
      <w:r w:rsidRPr="002D02F3">
        <w:rPr>
          <w:color w:val="000000"/>
          <w:szCs w:val="20"/>
        </w:rPr>
        <w:t>traitée par des traducteurs individuels ou institutionnels au cours de l</w:t>
      </w:r>
      <w:r w:rsidR="00A20444" w:rsidRPr="002D02F3">
        <w:rPr>
          <w:color w:val="000000"/>
          <w:szCs w:val="20"/>
        </w:rPr>
        <w:t>’</w:t>
      </w:r>
      <w:r w:rsidRPr="002D02F3">
        <w:rPr>
          <w:color w:val="000000"/>
          <w:szCs w:val="20"/>
        </w:rPr>
        <w:t xml:space="preserve">exercice biennal. </w:t>
      </w:r>
      <w:r w:rsidR="0010442A" w:rsidRPr="002D02F3">
        <w:rPr>
          <w:color w:val="000000"/>
          <w:szCs w:val="20"/>
        </w:rPr>
        <w:t xml:space="preserve"> </w:t>
      </w:r>
      <w:r w:rsidRPr="002D02F3">
        <w:rPr>
          <w:color w:val="000000"/>
          <w:szCs w:val="20"/>
        </w:rPr>
        <w:t xml:space="preserve">Pour améliorer la qualité des traductions, rationaliser les méthodes de travail et constituer des bases de données terminologiques multilingues, les outils appropriés de </w:t>
      </w:r>
      <w:r w:rsidRPr="002D02F3">
        <w:rPr>
          <w:szCs w:val="20"/>
        </w:rPr>
        <w:t xml:space="preserve">traduction assistée par ordinateur (TAO) répertoriés à la fin de 2012 ont été déployés en 2013. </w:t>
      </w:r>
      <w:r w:rsidR="0010442A" w:rsidRPr="002D02F3">
        <w:rPr>
          <w:szCs w:val="20"/>
        </w:rPr>
        <w:t xml:space="preserve"> </w:t>
      </w:r>
      <w:r w:rsidRPr="002D02F3">
        <w:rPr>
          <w:szCs w:val="20"/>
        </w:rPr>
        <w:t>Les outils de TAO sont désormais totalement intégrés dans les travaux du programme.</w:t>
      </w:r>
    </w:p>
    <w:p w:rsidR="00D42474" w:rsidRDefault="00D42474" w:rsidP="001A5BF9">
      <w:pPr>
        <w:tabs>
          <w:tab w:val="left" w:pos="709"/>
        </w:tabs>
        <w:autoSpaceDE w:val="0"/>
        <w:autoSpaceDN w:val="0"/>
        <w:adjustRightInd w:val="0"/>
        <w:jc w:val="both"/>
        <w:rPr>
          <w:rFonts w:eastAsia="Batang" w:cs="Arial"/>
          <w:szCs w:val="20"/>
        </w:rPr>
      </w:pPr>
    </w:p>
    <w:p w:rsidR="00D42474" w:rsidRDefault="004007D3" w:rsidP="001A5BF9">
      <w:pPr>
        <w:tabs>
          <w:tab w:val="left" w:pos="709"/>
        </w:tabs>
        <w:autoSpaceDE w:val="0"/>
        <w:autoSpaceDN w:val="0"/>
        <w:adjustRightInd w:val="0"/>
        <w:jc w:val="both"/>
        <w:rPr>
          <w:szCs w:val="20"/>
        </w:rPr>
      </w:pPr>
      <w:r w:rsidRPr="002D02F3">
        <w:rPr>
          <w:szCs w:val="20"/>
        </w:rPr>
        <w:t>27.3.</w:t>
      </w:r>
      <w:r w:rsidRPr="002D02F3">
        <w:rPr>
          <w:szCs w:val="20"/>
        </w:rPr>
        <w:tab/>
        <w:t>Des services d</w:t>
      </w:r>
      <w:r w:rsidR="00A20444" w:rsidRPr="002D02F3">
        <w:rPr>
          <w:szCs w:val="20"/>
        </w:rPr>
        <w:t>’</w:t>
      </w:r>
      <w:r w:rsidRPr="002D02F3">
        <w:rPr>
          <w:szCs w:val="20"/>
        </w:rPr>
        <w:t>interprétation ont continué d</w:t>
      </w:r>
      <w:r w:rsidR="00A20444" w:rsidRPr="002D02F3">
        <w:rPr>
          <w:szCs w:val="20"/>
        </w:rPr>
        <w:t>’</w:t>
      </w:r>
      <w:r w:rsidRPr="002D02F3">
        <w:rPr>
          <w:szCs w:val="20"/>
        </w:rPr>
        <w:t>être fournis pour toutes les réunions de l</w:t>
      </w:r>
      <w:r w:rsidR="00A20444" w:rsidRPr="002D02F3">
        <w:rPr>
          <w:szCs w:val="20"/>
        </w:rPr>
        <w:t>’</w:t>
      </w:r>
      <w:r w:rsidRPr="002D02F3">
        <w:rPr>
          <w:szCs w:val="20"/>
        </w:rPr>
        <w:t>OMPI, aussi bien au siège que dans d</w:t>
      </w:r>
      <w:r w:rsidR="00A20444" w:rsidRPr="002D02F3">
        <w:rPr>
          <w:szCs w:val="20"/>
        </w:rPr>
        <w:t>’</w:t>
      </w:r>
      <w:r w:rsidRPr="002D02F3">
        <w:rPr>
          <w:szCs w:val="20"/>
        </w:rPr>
        <w:t>autres endroits, selon les besoins.</w:t>
      </w:r>
    </w:p>
    <w:p w:rsidR="00D42474" w:rsidRDefault="00D42474" w:rsidP="001A5BF9">
      <w:pPr>
        <w:tabs>
          <w:tab w:val="left" w:pos="709"/>
        </w:tabs>
        <w:autoSpaceDE w:val="0"/>
        <w:autoSpaceDN w:val="0"/>
        <w:adjustRightInd w:val="0"/>
        <w:jc w:val="both"/>
        <w:rPr>
          <w:rFonts w:eastAsia="Batang" w:cs="Arial"/>
          <w:szCs w:val="20"/>
        </w:rPr>
      </w:pPr>
    </w:p>
    <w:p w:rsidR="00D42474" w:rsidRDefault="004007D3" w:rsidP="001A5BF9">
      <w:pPr>
        <w:tabs>
          <w:tab w:val="left" w:pos="709"/>
        </w:tabs>
        <w:autoSpaceDE w:val="0"/>
        <w:autoSpaceDN w:val="0"/>
        <w:adjustRightInd w:val="0"/>
        <w:jc w:val="both"/>
        <w:rPr>
          <w:rFonts w:eastAsia="Batang" w:cs="Arial"/>
          <w:szCs w:val="20"/>
        </w:rPr>
      </w:pPr>
      <w:r w:rsidRPr="002D02F3">
        <w:rPr>
          <w:szCs w:val="20"/>
        </w:rPr>
        <w:t>27.4.</w:t>
      </w:r>
      <w:r w:rsidRPr="002D02F3">
        <w:rPr>
          <w:szCs w:val="20"/>
        </w:rPr>
        <w:tab/>
        <w:t>Le programme a activement pris part à l</w:t>
      </w:r>
      <w:r w:rsidR="00A20444" w:rsidRPr="002D02F3">
        <w:rPr>
          <w:szCs w:val="20"/>
        </w:rPr>
        <w:t>’</w:t>
      </w:r>
      <w:r w:rsidRPr="002D02F3">
        <w:rPr>
          <w:szCs w:val="20"/>
        </w:rPr>
        <w:t>organisation de la conférence diplomatique sur la protection des prestations et des exécutions audiovisuelles à Beijing, en Chine, en juin 2012, et à la conférence diplomatique pour la conclusion d</w:t>
      </w:r>
      <w:r w:rsidR="00A20444" w:rsidRPr="002D02F3">
        <w:rPr>
          <w:szCs w:val="20"/>
        </w:rPr>
        <w:t>’</w:t>
      </w:r>
      <w:r w:rsidRPr="002D02F3">
        <w:rPr>
          <w:szCs w:val="20"/>
        </w:rPr>
        <w:t>un traité visant à faciliter l</w:t>
      </w:r>
      <w:r w:rsidR="00A20444" w:rsidRPr="002D02F3">
        <w:rPr>
          <w:szCs w:val="20"/>
        </w:rPr>
        <w:t>’</w:t>
      </w:r>
      <w:r w:rsidRPr="002D02F3">
        <w:rPr>
          <w:szCs w:val="20"/>
        </w:rPr>
        <w:t xml:space="preserve">accès des déficients visuels et des personnes ayant des difficultés de lecture des textes imprimés aux œuvres publiées à Marrakech, au Maroc, en juin 2013. </w:t>
      </w:r>
      <w:r w:rsidR="0010442A" w:rsidRPr="002D02F3">
        <w:rPr>
          <w:szCs w:val="20"/>
        </w:rPr>
        <w:t xml:space="preserve"> </w:t>
      </w:r>
      <w:r w:rsidRPr="002D02F3">
        <w:rPr>
          <w:szCs w:val="20"/>
        </w:rPr>
        <w:t>Il a fourni des services de conférence, d</w:t>
      </w:r>
      <w:r w:rsidR="00A20444" w:rsidRPr="002D02F3">
        <w:rPr>
          <w:szCs w:val="20"/>
        </w:rPr>
        <w:t>’</w:t>
      </w:r>
      <w:r w:rsidRPr="002D02F3">
        <w:rPr>
          <w:szCs w:val="20"/>
        </w:rPr>
        <w:t>interprétation et de traduction pour ces deux</w:t>
      </w:r>
      <w:r w:rsidR="0010442A" w:rsidRPr="002D02F3">
        <w:rPr>
          <w:szCs w:val="20"/>
        </w:rPr>
        <w:t> </w:t>
      </w:r>
      <w:r w:rsidRPr="002D02F3">
        <w:rPr>
          <w:szCs w:val="20"/>
        </w:rPr>
        <w:t>conférences comptant chacune environ 900 participants.</w:t>
      </w:r>
    </w:p>
    <w:p w:rsidR="00D42474" w:rsidRDefault="00D42474" w:rsidP="001A5BF9">
      <w:pPr>
        <w:tabs>
          <w:tab w:val="left" w:pos="709"/>
        </w:tabs>
        <w:autoSpaceDE w:val="0"/>
        <w:autoSpaceDN w:val="0"/>
        <w:adjustRightInd w:val="0"/>
        <w:jc w:val="both"/>
        <w:rPr>
          <w:rFonts w:eastAsia="Batang" w:cs="Arial"/>
          <w:szCs w:val="20"/>
        </w:rPr>
      </w:pPr>
    </w:p>
    <w:p w:rsidR="00D42474" w:rsidRDefault="004007D3" w:rsidP="001A5BF9">
      <w:pPr>
        <w:tabs>
          <w:tab w:val="left" w:pos="709"/>
        </w:tabs>
        <w:autoSpaceDE w:val="0"/>
        <w:autoSpaceDN w:val="0"/>
        <w:adjustRightInd w:val="0"/>
        <w:jc w:val="both"/>
        <w:rPr>
          <w:rFonts w:eastAsia="Batang" w:cs="Arial"/>
          <w:color w:val="000000"/>
          <w:spacing w:val="-2"/>
          <w:szCs w:val="20"/>
        </w:rPr>
      </w:pPr>
      <w:r w:rsidRPr="002D02F3">
        <w:rPr>
          <w:color w:val="000000"/>
          <w:szCs w:val="20"/>
        </w:rPr>
        <w:t>27.5.</w:t>
      </w:r>
      <w:r w:rsidRPr="002D02F3">
        <w:rPr>
          <w:color w:val="000000"/>
          <w:szCs w:val="20"/>
        </w:rPr>
        <w:tab/>
        <w:t>Les services aux congressistes, comme la diffusion sur le Web, la vidéo à la demande et l</w:t>
      </w:r>
      <w:r w:rsidR="00A20444" w:rsidRPr="002D02F3">
        <w:rPr>
          <w:color w:val="000000"/>
          <w:szCs w:val="20"/>
        </w:rPr>
        <w:t>’</w:t>
      </w:r>
      <w:r w:rsidRPr="002D02F3">
        <w:rPr>
          <w:color w:val="000000"/>
          <w:szCs w:val="20"/>
        </w:rPr>
        <w:t>inscription en ligne, ont continué de s</w:t>
      </w:r>
      <w:r w:rsidR="00A20444" w:rsidRPr="002D02F3">
        <w:rPr>
          <w:color w:val="000000"/>
          <w:szCs w:val="20"/>
        </w:rPr>
        <w:t>’</w:t>
      </w:r>
      <w:r w:rsidRPr="002D02F3">
        <w:rPr>
          <w:color w:val="000000"/>
          <w:szCs w:val="20"/>
        </w:rPr>
        <w:t>améliorer au cours de l</w:t>
      </w:r>
      <w:r w:rsidR="00A20444" w:rsidRPr="002D02F3">
        <w:rPr>
          <w:color w:val="000000"/>
          <w:szCs w:val="20"/>
        </w:rPr>
        <w:t>’</w:t>
      </w:r>
      <w:r w:rsidRPr="002D02F3">
        <w:rPr>
          <w:color w:val="000000"/>
          <w:szCs w:val="20"/>
        </w:rPr>
        <w:t xml:space="preserve">exercice biennal. </w:t>
      </w:r>
      <w:r w:rsidR="0010442A" w:rsidRPr="002D02F3">
        <w:rPr>
          <w:color w:val="000000"/>
          <w:szCs w:val="20"/>
        </w:rPr>
        <w:t xml:space="preserve"> </w:t>
      </w:r>
      <w:r w:rsidRPr="002D02F3">
        <w:rPr>
          <w:color w:val="000000"/>
          <w:szCs w:val="20"/>
        </w:rPr>
        <w:t>Le recours à l</w:t>
      </w:r>
      <w:r w:rsidR="00A20444" w:rsidRPr="002D02F3">
        <w:rPr>
          <w:color w:val="000000"/>
          <w:szCs w:val="20"/>
        </w:rPr>
        <w:t>’</w:t>
      </w:r>
      <w:r w:rsidRPr="002D02F3">
        <w:rPr>
          <w:color w:val="000000"/>
          <w:szCs w:val="20"/>
        </w:rPr>
        <w:t>enregistrement en ligne a été étendu à tous les principaux comités et organes de l</w:t>
      </w:r>
      <w:r w:rsidR="00A20444" w:rsidRPr="002D02F3">
        <w:rPr>
          <w:color w:val="000000"/>
          <w:szCs w:val="20"/>
        </w:rPr>
        <w:t>’</w:t>
      </w:r>
      <w:r w:rsidRPr="002D02F3">
        <w:rPr>
          <w:color w:val="000000"/>
          <w:szCs w:val="20"/>
        </w:rPr>
        <w:t>OMPI, et une version améliorée du système d</w:t>
      </w:r>
      <w:r w:rsidR="00A20444" w:rsidRPr="002D02F3">
        <w:rPr>
          <w:color w:val="000000"/>
          <w:szCs w:val="20"/>
        </w:rPr>
        <w:t>’</w:t>
      </w:r>
      <w:r w:rsidRPr="002D02F3">
        <w:rPr>
          <w:color w:val="000000"/>
          <w:szCs w:val="20"/>
        </w:rPr>
        <w:t xml:space="preserve">enregistrement sur le Web comprenant une fonctionnalité </w:t>
      </w:r>
      <w:r w:rsidRPr="002D02F3">
        <w:rPr>
          <w:color w:val="000000"/>
          <w:spacing w:val="-2"/>
          <w:szCs w:val="20"/>
        </w:rPr>
        <w:t>pour faciliter l</w:t>
      </w:r>
      <w:r w:rsidR="00A20444" w:rsidRPr="002D02F3">
        <w:rPr>
          <w:color w:val="000000"/>
          <w:spacing w:val="-2"/>
          <w:szCs w:val="20"/>
        </w:rPr>
        <w:t>’</w:t>
      </w:r>
      <w:r w:rsidRPr="002D02F3">
        <w:rPr>
          <w:color w:val="000000"/>
          <w:spacing w:val="-2"/>
          <w:szCs w:val="20"/>
        </w:rPr>
        <w:t>enregistrement des congressistes déjà enregistrés a été introduite pour les deux</w:t>
      </w:r>
      <w:r w:rsidR="0010442A" w:rsidRPr="002D02F3">
        <w:rPr>
          <w:color w:val="000000"/>
          <w:spacing w:val="-2"/>
          <w:szCs w:val="20"/>
        </w:rPr>
        <w:t> </w:t>
      </w:r>
      <w:r w:rsidRPr="002D02F3">
        <w:rPr>
          <w:color w:val="000000"/>
          <w:spacing w:val="-2"/>
          <w:szCs w:val="20"/>
        </w:rPr>
        <w:t>sessions des assemblées qui se sont déroulées en 2013.</w:t>
      </w:r>
    </w:p>
    <w:p w:rsidR="00D42474" w:rsidRDefault="00D42474" w:rsidP="001A5BF9">
      <w:pPr>
        <w:tabs>
          <w:tab w:val="left" w:pos="709"/>
        </w:tabs>
        <w:autoSpaceDE w:val="0"/>
        <w:autoSpaceDN w:val="0"/>
        <w:adjustRightInd w:val="0"/>
        <w:jc w:val="both"/>
        <w:rPr>
          <w:rFonts w:eastAsia="Batang" w:cs="Arial"/>
          <w:color w:val="000000"/>
          <w:szCs w:val="20"/>
        </w:rPr>
      </w:pPr>
    </w:p>
    <w:p w:rsidR="00D42474" w:rsidRDefault="004007D3" w:rsidP="001A5BF9">
      <w:pPr>
        <w:tabs>
          <w:tab w:val="left" w:pos="709"/>
        </w:tabs>
        <w:autoSpaceDE w:val="0"/>
        <w:autoSpaceDN w:val="0"/>
        <w:adjustRightInd w:val="0"/>
        <w:jc w:val="both"/>
        <w:rPr>
          <w:color w:val="000000"/>
          <w:szCs w:val="20"/>
        </w:rPr>
      </w:pPr>
      <w:r w:rsidRPr="002D02F3">
        <w:rPr>
          <w:color w:val="000000"/>
          <w:szCs w:val="20"/>
        </w:rPr>
        <w:t>27.6.</w:t>
      </w:r>
      <w:r w:rsidRPr="002D02F3">
        <w:rPr>
          <w:color w:val="000000"/>
          <w:szCs w:val="20"/>
        </w:rPr>
        <w:tab/>
        <w:t>Au cours de l</w:t>
      </w:r>
      <w:r w:rsidR="00A20444" w:rsidRPr="002D02F3">
        <w:rPr>
          <w:color w:val="000000"/>
          <w:szCs w:val="20"/>
        </w:rPr>
        <w:t>’</w:t>
      </w:r>
      <w:r w:rsidRPr="002D02F3">
        <w:rPr>
          <w:color w:val="000000"/>
          <w:szCs w:val="20"/>
        </w:rPr>
        <w:t>exercice biennal, 260 réunions intergouvernementales ont eu lieu à Genève, contre 250 en 2010</w:t>
      </w:r>
      <w:r w:rsidR="002D6F2A" w:rsidRPr="002D02F3">
        <w:rPr>
          <w:color w:val="000000"/>
          <w:szCs w:val="20"/>
        </w:rPr>
        <w:noBreakHyphen/>
      </w:r>
      <w:r w:rsidRPr="002D02F3">
        <w:rPr>
          <w:color w:val="000000"/>
          <w:szCs w:val="20"/>
        </w:rPr>
        <w:t xml:space="preserve">2011. </w:t>
      </w:r>
      <w:r w:rsidR="0010442A" w:rsidRPr="002D02F3">
        <w:rPr>
          <w:color w:val="000000"/>
          <w:szCs w:val="20"/>
        </w:rPr>
        <w:t xml:space="preserve"> </w:t>
      </w:r>
      <w:r w:rsidRPr="002D02F3">
        <w:rPr>
          <w:szCs w:val="20"/>
        </w:rPr>
        <w:t>Le nombre de réunions ad hoc (visites d</w:t>
      </w:r>
      <w:r w:rsidR="00A20444" w:rsidRPr="002D02F3">
        <w:rPr>
          <w:szCs w:val="20"/>
        </w:rPr>
        <w:t>’</w:t>
      </w:r>
      <w:r w:rsidRPr="002D02F3">
        <w:rPr>
          <w:szCs w:val="20"/>
        </w:rPr>
        <w:t>étude, consultations, groupes, réunions bilatérales, présentations, visites officielles et réunions internes) a augmenté à 11 200 par rapport à </w:t>
      </w:r>
      <w:r w:rsidR="0010442A" w:rsidRPr="002D02F3">
        <w:rPr>
          <w:szCs w:val="20"/>
        </w:rPr>
        <w:t>6560</w:t>
      </w:r>
      <w:r w:rsidRPr="002D02F3">
        <w:rPr>
          <w:szCs w:val="20"/>
        </w:rPr>
        <w:t xml:space="preserve"> en 2010</w:t>
      </w:r>
      <w:r w:rsidR="002D6F2A" w:rsidRPr="002D02F3">
        <w:rPr>
          <w:szCs w:val="20"/>
        </w:rPr>
        <w:noBreakHyphen/>
      </w:r>
      <w:r w:rsidRPr="002D02F3">
        <w:rPr>
          <w:szCs w:val="20"/>
        </w:rPr>
        <w:t>2011.</w:t>
      </w:r>
      <w:r w:rsidR="0010442A" w:rsidRPr="002D02F3">
        <w:rPr>
          <w:szCs w:val="20"/>
        </w:rPr>
        <w:t xml:space="preserve"> </w:t>
      </w:r>
      <w:r w:rsidRPr="002D02F3">
        <w:rPr>
          <w:szCs w:val="20"/>
        </w:rPr>
        <w:t xml:space="preserve"> </w:t>
      </w:r>
      <w:r w:rsidRPr="002D02F3">
        <w:rPr>
          <w:color w:val="000000"/>
          <w:szCs w:val="20"/>
        </w:rPr>
        <w:t>En outre pendant l</w:t>
      </w:r>
      <w:r w:rsidR="00A20444" w:rsidRPr="002D02F3">
        <w:rPr>
          <w:color w:val="000000"/>
          <w:szCs w:val="20"/>
        </w:rPr>
        <w:t>’</w:t>
      </w:r>
      <w:r w:rsidRPr="002D02F3">
        <w:rPr>
          <w:color w:val="000000"/>
          <w:szCs w:val="20"/>
        </w:rPr>
        <w:t>exercice biennal, 167 réunions au total auront eu lieu en dehors des heures de réunions standard, c</w:t>
      </w:r>
      <w:r w:rsidR="00A20444" w:rsidRPr="002D02F3">
        <w:rPr>
          <w:color w:val="000000"/>
          <w:szCs w:val="20"/>
        </w:rPr>
        <w:t>’</w:t>
      </w:r>
      <w:r w:rsidRPr="002D02F3">
        <w:rPr>
          <w:color w:val="000000"/>
          <w:szCs w:val="20"/>
        </w:rPr>
        <w:t>est</w:t>
      </w:r>
      <w:r w:rsidR="002D6F2A" w:rsidRPr="002D02F3">
        <w:rPr>
          <w:color w:val="000000"/>
          <w:szCs w:val="20"/>
        </w:rPr>
        <w:noBreakHyphen/>
      </w:r>
      <w:r w:rsidRPr="002D02F3">
        <w:rPr>
          <w:color w:val="000000"/>
          <w:szCs w:val="20"/>
        </w:rPr>
        <w:t>à</w:t>
      </w:r>
      <w:r w:rsidR="002D6F2A" w:rsidRPr="002D02F3">
        <w:rPr>
          <w:color w:val="000000"/>
          <w:szCs w:val="20"/>
        </w:rPr>
        <w:noBreakHyphen/>
      </w:r>
      <w:r w:rsidRPr="002D02F3">
        <w:rPr>
          <w:color w:val="000000"/>
          <w:szCs w:val="20"/>
        </w:rPr>
        <w:t>dire après 18 h 30 ou le week</w:t>
      </w:r>
      <w:r w:rsidR="002D6F2A" w:rsidRPr="002D02F3">
        <w:rPr>
          <w:color w:val="000000"/>
          <w:szCs w:val="20"/>
        </w:rPr>
        <w:noBreakHyphen/>
      </w:r>
      <w:r w:rsidRPr="002D02F3">
        <w:rPr>
          <w:color w:val="000000"/>
          <w:szCs w:val="20"/>
        </w:rPr>
        <w:t>end.</w:t>
      </w:r>
    </w:p>
    <w:p w:rsidR="00D42474" w:rsidRDefault="00D42474" w:rsidP="001A5BF9">
      <w:pPr>
        <w:tabs>
          <w:tab w:val="left" w:pos="709"/>
        </w:tabs>
        <w:autoSpaceDE w:val="0"/>
        <w:autoSpaceDN w:val="0"/>
        <w:adjustRightInd w:val="0"/>
        <w:jc w:val="both"/>
        <w:rPr>
          <w:rFonts w:eastAsia="Batang" w:cs="Arial"/>
          <w:color w:val="000000"/>
          <w:szCs w:val="20"/>
        </w:rPr>
      </w:pPr>
    </w:p>
    <w:p w:rsidR="00D42474" w:rsidRDefault="004007D3" w:rsidP="001A5BF9">
      <w:pPr>
        <w:keepLines/>
        <w:tabs>
          <w:tab w:val="left" w:pos="709"/>
        </w:tabs>
        <w:autoSpaceDE w:val="0"/>
        <w:autoSpaceDN w:val="0"/>
        <w:adjustRightInd w:val="0"/>
        <w:jc w:val="both"/>
        <w:rPr>
          <w:rFonts w:cs="Arial"/>
          <w:bCs/>
          <w:color w:val="000000"/>
          <w:spacing w:val="-4"/>
          <w:szCs w:val="20"/>
        </w:rPr>
      </w:pPr>
      <w:r w:rsidRPr="002D02F3">
        <w:rPr>
          <w:color w:val="000000"/>
          <w:spacing w:val="-4"/>
          <w:szCs w:val="20"/>
        </w:rPr>
        <w:t>27.7.</w:t>
      </w:r>
      <w:r w:rsidRPr="002D02F3">
        <w:rPr>
          <w:color w:val="000000"/>
          <w:spacing w:val="-4"/>
          <w:szCs w:val="20"/>
        </w:rPr>
        <w:tab/>
        <w:t>La politique sur la gestion des dossiers et l</w:t>
      </w:r>
      <w:r w:rsidR="00A20444" w:rsidRPr="002D02F3">
        <w:rPr>
          <w:color w:val="000000"/>
          <w:spacing w:val="-4"/>
          <w:szCs w:val="20"/>
        </w:rPr>
        <w:t>’</w:t>
      </w:r>
      <w:r w:rsidRPr="002D02F3">
        <w:rPr>
          <w:color w:val="000000"/>
          <w:spacing w:val="-4"/>
          <w:szCs w:val="20"/>
        </w:rPr>
        <w:t>archivage, adoptée au cours de l</w:t>
      </w:r>
      <w:r w:rsidR="00A20444" w:rsidRPr="002D02F3">
        <w:rPr>
          <w:color w:val="000000"/>
          <w:spacing w:val="-4"/>
          <w:szCs w:val="20"/>
        </w:rPr>
        <w:t>’</w:t>
      </w:r>
      <w:r w:rsidRPr="002D02F3">
        <w:rPr>
          <w:color w:val="000000"/>
          <w:spacing w:val="-4"/>
          <w:szCs w:val="20"/>
        </w:rPr>
        <w:t>exercice biennal, a tenu lieu de cadre général pour l</w:t>
      </w:r>
      <w:r w:rsidR="00A20444" w:rsidRPr="002D02F3">
        <w:rPr>
          <w:color w:val="000000"/>
          <w:spacing w:val="-4"/>
          <w:szCs w:val="20"/>
        </w:rPr>
        <w:t>’</w:t>
      </w:r>
      <w:r w:rsidRPr="002D02F3">
        <w:rPr>
          <w:color w:val="000000"/>
          <w:spacing w:val="-4"/>
          <w:szCs w:val="20"/>
        </w:rPr>
        <w:t>élaboration future des procédures et des calendriers de conservation de l</w:t>
      </w:r>
      <w:r w:rsidR="00A20444" w:rsidRPr="002D02F3">
        <w:rPr>
          <w:color w:val="000000"/>
          <w:spacing w:val="-4"/>
          <w:szCs w:val="20"/>
        </w:rPr>
        <w:t>’</w:t>
      </w:r>
      <w:r w:rsidRPr="002D02F3">
        <w:rPr>
          <w:color w:val="000000"/>
          <w:spacing w:val="-4"/>
          <w:szCs w:val="20"/>
        </w:rPr>
        <w:t>OMPI en ce qui concerne l</w:t>
      </w:r>
      <w:r w:rsidR="00A20444" w:rsidRPr="002D02F3">
        <w:rPr>
          <w:color w:val="000000"/>
          <w:spacing w:val="-4"/>
          <w:szCs w:val="20"/>
        </w:rPr>
        <w:t>’</w:t>
      </w:r>
      <w:r w:rsidRPr="002D02F3">
        <w:rPr>
          <w:color w:val="000000"/>
          <w:spacing w:val="-4"/>
          <w:szCs w:val="20"/>
        </w:rPr>
        <w:t>utilisation, le contrôle, la sécurité, la conservation et la liquidation des dossiers de l</w:t>
      </w:r>
      <w:r w:rsidR="00A20444" w:rsidRPr="002D02F3">
        <w:rPr>
          <w:color w:val="000000"/>
          <w:spacing w:val="-4"/>
          <w:szCs w:val="20"/>
        </w:rPr>
        <w:t>’</w:t>
      </w:r>
      <w:r w:rsidRPr="002D02F3">
        <w:rPr>
          <w:color w:val="000000"/>
          <w:spacing w:val="-4"/>
          <w:szCs w:val="20"/>
        </w:rPr>
        <w:t>OMPI.</w:t>
      </w:r>
    </w:p>
    <w:p w:rsidR="00D42474" w:rsidRDefault="00D42474" w:rsidP="001A5BF9">
      <w:pPr>
        <w:tabs>
          <w:tab w:val="left" w:pos="709"/>
        </w:tabs>
        <w:jc w:val="both"/>
        <w:rPr>
          <w:rFonts w:cs="Arial"/>
          <w:bCs/>
          <w:szCs w:val="20"/>
        </w:rPr>
      </w:pPr>
    </w:p>
    <w:p w:rsidR="00D42474" w:rsidRDefault="004007D3" w:rsidP="001A5BF9">
      <w:pPr>
        <w:tabs>
          <w:tab w:val="left" w:pos="709"/>
        </w:tabs>
        <w:jc w:val="both"/>
        <w:rPr>
          <w:rFonts w:eastAsia="Calibri" w:cs="Arial"/>
          <w:szCs w:val="20"/>
        </w:rPr>
      </w:pPr>
      <w:r w:rsidRPr="002D02F3">
        <w:rPr>
          <w:szCs w:val="20"/>
        </w:rPr>
        <w:t>27.8.</w:t>
      </w:r>
      <w:r w:rsidRPr="002D02F3">
        <w:rPr>
          <w:szCs w:val="20"/>
        </w:rPr>
        <w:tab/>
        <w:t>Conformément aux engagements de l</w:t>
      </w:r>
      <w:r w:rsidR="00A20444" w:rsidRPr="002D02F3">
        <w:rPr>
          <w:szCs w:val="20"/>
        </w:rPr>
        <w:t>’</w:t>
      </w:r>
      <w:r w:rsidRPr="002D02F3">
        <w:rPr>
          <w:szCs w:val="20"/>
        </w:rPr>
        <w:t>OMPI visant à améliorer les mesures d</w:t>
      </w:r>
      <w:r w:rsidR="00A20444" w:rsidRPr="002D02F3">
        <w:rPr>
          <w:szCs w:val="20"/>
        </w:rPr>
        <w:t>’</w:t>
      </w:r>
      <w:r w:rsidRPr="002D02F3">
        <w:rPr>
          <w:szCs w:val="20"/>
        </w:rPr>
        <w:t xml:space="preserve">efficacité, les négociations concernant les tarifs des services postaux avec les partenaires externes se sont poursuivies. </w:t>
      </w:r>
      <w:r w:rsidR="0010442A" w:rsidRPr="002D02F3">
        <w:rPr>
          <w:szCs w:val="20"/>
        </w:rPr>
        <w:t xml:space="preserve"> </w:t>
      </w:r>
      <w:r w:rsidRPr="002D02F3">
        <w:rPr>
          <w:szCs w:val="20"/>
        </w:rPr>
        <w:t>Les coûts d</w:t>
      </w:r>
      <w:r w:rsidR="00A20444" w:rsidRPr="002D02F3">
        <w:rPr>
          <w:szCs w:val="20"/>
        </w:rPr>
        <w:t>’</w:t>
      </w:r>
      <w:r w:rsidRPr="002D02F3">
        <w:rPr>
          <w:szCs w:val="20"/>
        </w:rPr>
        <w:t>expédition ont ainsi connu une diminution de 23</w:t>
      </w:r>
      <w:r w:rsidR="007E442D" w:rsidRPr="002D02F3">
        <w:rPr>
          <w:szCs w:val="20"/>
        </w:rPr>
        <w:t>%</w:t>
      </w:r>
      <w:r w:rsidRPr="002D02F3">
        <w:rPr>
          <w:szCs w:val="20"/>
        </w:rPr>
        <w:t xml:space="preserve"> en 2013 par rapport à 2012.</w:t>
      </w:r>
    </w:p>
    <w:p w:rsidR="00D42474" w:rsidRDefault="00D42474" w:rsidP="001A5BF9">
      <w:pPr>
        <w:jc w:val="both"/>
        <w:rPr>
          <w:rFonts w:cs="Arial"/>
          <w:bCs/>
          <w:szCs w:val="20"/>
        </w:rPr>
      </w:pPr>
    </w:p>
    <w:p w:rsidR="00D42474" w:rsidRDefault="004007D3" w:rsidP="001A5BF9">
      <w:pPr>
        <w:tabs>
          <w:tab w:val="left" w:pos="709"/>
        </w:tabs>
        <w:jc w:val="both"/>
        <w:rPr>
          <w:szCs w:val="20"/>
        </w:rPr>
      </w:pPr>
      <w:r w:rsidRPr="002D02F3">
        <w:rPr>
          <w:szCs w:val="20"/>
        </w:rPr>
        <w:t>27.9.</w:t>
      </w:r>
      <w:r w:rsidRPr="002D02F3">
        <w:rPr>
          <w:szCs w:val="20"/>
        </w:rPr>
        <w:tab/>
        <w:t>Les services d</w:t>
      </w:r>
      <w:r w:rsidR="00A20444" w:rsidRPr="002D02F3">
        <w:rPr>
          <w:szCs w:val="20"/>
        </w:rPr>
        <w:t>’</w:t>
      </w:r>
      <w:r w:rsidRPr="002D02F3">
        <w:rPr>
          <w:szCs w:val="20"/>
        </w:rPr>
        <w:t>impression et de publication ont continué à être fournis de manière efficace et ponctuelle en dépit de l</w:t>
      </w:r>
      <w:r w:rsidR="00A20444" w:rsidRPr="002D02F3">
        <w:rPr>
          <w:szCs w:val="20"/>
        </w:rPr>
        <w:t>’</w:t>
      </w:r>
      <w:r w:rsidRPr="002D02F3">
        <w:rPr>
          <w:szCs w:val="20"/>
        </w:rPr>
        <w:t>augmentation de la charge de travail due au nombre croissant de réunions que l</w:t>
      </w:r>
      <w:r w:rsidR="00A20444" w:rsidRPr="002D02F3">
        <w:rPr>
          <w:szCs w:val="20"/>
        </w:rPr>
        <w:t>’</w:t>
      </w:r>
      <w:r w:rsidRPr="002D02F3">
        <w:rPr>
          <w:szCs w:val="20"/>
        </w:rPr>
        <w:t>OMPI a organisées au cours de l</w:t>
      </w:r>
      <w:r w:rsidR="00A20444" w:rsidRPr="002D02F3">
        <w:rPr>
          <w:szCs w:val="20"/>
        </w:rPr>
        <w:t>’</w:t>
      </w:r>
      <w:r w:rsidRPr="002D02F3">
        <w:rPr>
          <w:szCs w:val="20"/>
        </w:rPr>
        <w:t>exercice biennal, notamment les deux</w:t>
      </w:r>
      <w:r w:rsidR="0010442A" w:rsidRPr="002D02F3">
        <w:rPr>
          <w:szCs w:val="20"/>
        </w:rPr>
        <w:t> </w:t>
      </w:r>
      <w:r w:rsidRPr="002D02F3">
        <w:rPr>
          <w:szCs w:val="20"/>
        </w:rPr>
        <w:t>conférences diplomatiques et les sessions extraordinaires de l</w:t>
      </w:r>
      <w:r w:rsidR="00A20444" w:rsidRPr="002D02F3">
        <w:rPr>
          <w:szCs w:val="20"/>
        </w:rPr>
        <w:t>’</w:t>
      </w:r>
      <w:r w:rsidRPr="002D02F3">
        <w:rPr>
          <w:szCs w:val="20"/>
        </w:rPr>
        <w:t>Assemblée générale.</w:t>
      </w:r>
    </w:p>
    <w:p w:rsidR="00D42474" w:rsidRDefault="00D42474" w:rsidP="001A5BF9">
      <w:pPr>
        <w:rPr>
          <w:rFonts w:cs="Arial"/>
          <w:szCs w:val="22"/>
        </w:rPr>
      </w:pPr>
    </w:p>
    <w:p w:rsidR="00D42474" w:rsidRDefault="00D42474" w:rsidP="001A5BF9">
      <w:pPr>
        <w:rPr>
          <w:rFonts w:cs="Arial"/>
          <w:szCs w:val="22"/>
        </w:rPr>
      </w:pPr>
    </w:p>
    <w:p w:rsidR="00D42474" w:rsidRDefault="004007D3" w:rsidP="001A5BF9">
      <w:pPr>
        <w:rPr>
          <w:rFonts w:cs="Arial"/>
          <w:szCs w:val="22"/>
        </w:rPr>
      </w:pPr>
      <w:r w:rsidRPr="00486AEA">
        <w:rPr>
          <w:sz w:val="22"/>
        </w:rPr>
        <w:t>DONNÉES RELATIVES À L</w:t>
      </w:r>
      <w:r w:rsidR="00A20444" w:rsidRPr="00486AEA">
        <w:rPr>
          <w:sz w:val="22"/>
        </w:rPr>
        <w:t>’</w:t>
      </w:r>
      <w:r w:rsidRPr="00486AEA">
        <w:rPr>
          <w:sz w:val="22"/>
        </w:rPr>
        <w:t>EXÉCUTION</w:t>
      </w:r>
    </w:p>
    <w:p w:rsidR="004007D3" w:rsidRPr="005C7CCE" w:rsidRDefault="004007D3" w:rsidP="001A5BF9">
      <w:pPr>
        <w:rPr>
          <w:rFonts w:cs="Arial"/>
          <w:b/>
          <w:szCs w:val="22"/>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15"/>
        <w:gridCol w:w="1731"/>
        <w:gridCol w:w="1361"/>
        <w:gridCol w:w="3674"/>
        <w:gridCol w:w="1276"/>
      </w:tblGrid>
      <w:tr w:rsidR="004007D3" w:rsidRPr="00251542" w:rsidTr="0056083E">
        <w:trPr>
          <w:cantSplit/>
        </w:trPr>
        <w:tc>
          <w:tcPr>
            <w:tcW w:w="5000" w:type="pct"/>
            <w:gridSpan w:val="5"/>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452"/>
              </w:tabs>
              <w:spacing w:before="120" w:after="120"/>
              <w:ind w:left="1701" w:hanging="1701"/>
              <w:rPr>
                <w:rFonts w:cs="Arial"/>
                <w:b/>
                <w:bCs/>
                <w:sz w:val="16"/>
                <w:szCs w:val="16"/>
              </w:rPr>
            </w:pPr>
            <w:r w:rsidRPr="00251542">
              <w:rPr>
                <w:b/>
                <w:sz w:val="16"/>
              </w:rPr>
              <w:t>Résultat escompté</w:t>
            </w:r>
            <w:r w:rsidR="0010442A" w:rsidRPr="00251542">
              <w:rPr>
                <w:b/>
                <w:sz w:val="16"/>
              </w:rPr>
              <w:t xml:space="preserve"> : </w:t>
            </w:r>
            <w:r w:rsidRPr="00251542">
              <w:rPr>
                <w:b/>
                <w:sz w:val="16"/>
              </w:rPr>
              <w:tab/>
            </w:r>
            <w:r w:rsidRPr="00251542">
              <w:rPr>
                <w:sz w:val="16"/>
              </w:rPr>
              <w:t>Services d</w:t>
            </w:r>
            <w:r w:rsidR="00A20444" w:rsidRPr="00251542">
              <w:rPr>
                <w:sz w:val="16"/>
              </w:rPr>
              <w:t>’</w:t>
            </w:r>
            <w:r w:rsidRPr="00251542">
              <w:rPr>
                <w:sz w:val="16"/>
              </w:rPr>
              <w:t>appui efficaces, efficients, de qualité et tournés vers la clientèle, à l</w:t>
            </w:r>
            <w:r w:rsidR="00A20444" w:rsidRPr="00251542">
              <w:rPr>
                <w:sz w:val="16"/>
              </w:rPr>
              <w:t>’</w:t>
            </w:r>
            <w:r w:rsidRPr="00251542">
              <w:rPr>
                <w:sz w:val="16"/>
              </w:rPr>
              <w:t>intention à la fois des clients internes et des parties prenantes externes (ressources humaines, informatique, conférences, service linguistique, achats, voyages, imprimerie et publications, gestion des locaux)</w:t>
            </w:r>
          </w:p>
        </w:tc>
      </w:tr>
      <w:tr w:rsidR="004007D3" w:rsidRPr="00251542" w:rsidTr="0056083E">
        <w:trPr>
          <w:cantSplit/>
        </w:trPr>
        <w:tc>
          <w:tcPr>
            <w:tcW w:w="703" w:type="pct"/>
            <w:tcBorders>
              <w:top w:val="single" w:sz="4" w:space="0" w:color="auto"/>
              <w:bottom w:val="nil"/>
              <w:right w:val="nil"/>
            </w:tcBorders>
            <w:shd w:val="clear" w:color="auto" w:fill="auto"/>
            <w:vAlign w:val="center"/>
          </w:tcPr>
          <w:p w:rsidR="004007D3" w:rsidRPr="00251542" w:rsidRDefault="004007D3" w:rsidP="00EE7C90">
            <w:pPr>
              <w:rPr>
                <w:rFonts w:cs="Arial"/>
                <w:b/>
                <w:sz w:val="16"/>
                <w:szCs w:val="16"/>
              </w:rPr>
            </w:pPr>
            <w:r w:rsidRPr="00251542">
              <w:rPr>
                <w:b/>
                <w:sz w:val="16"/>
              </w:rPr>
              <w:t>Indicateurs d</w:t>
            </w:r>
            <w:r w:rsidR="00A20444" w:rsidRPr="00251542">
              <w:rPr>
                <w:b/>
                <w:sz w:val="16"/>
              </w:rPr>
              <w:t>’</w:t>
            </w:r>
            <w:r w:rsidRPr="00251542">
              <w:rPr>
                <w:b/>
                <w:sz w:val="16"/>
              </w:rPr>
              <w:t>exécution</w:t>
            </w:r>
          </w:p>
        </w:tc>
        <w:tc>
          <w:tcPr>
            <w:tcW w:w="925" w:type="pct"/>
            <w:tcBorders>
              <w:top w:val="single" w:sz="4" w:space="0" w:color="auto"/>
              <w:left w:val="nil"/>
              <w:bottom w:val="nil"/>
              <w:right w:val="nil"/>
            </w:tcBorders>
            <w:shd w:val="clear" w:color="auto" w:fill="auto"/>
            <w:vAlign w:val="center"/>
          </w:tcPr>
          <w:p w:rsidR="004007D3" w:rsidRPr="00251542" w:rsidRDefault="004007D3" w:rsidP="00EE7C90">
            <w:pPr>
              <w:rPr>
                <w:rFonts w:cs="Arial"/>
                <w:b/>
                <w:bCs/>
                <w:sz w:val="16"/>
                <w:szCs w:val="16"/>
              </w:rPr>
            </w:pPr>
            <w:r w:rsidRPr="00251542">
              <w:rPr>
                <w:b/>
                <w:sz w:val="16"/>
              </w:rPr>
              <w:t>Niveaux de référence</w:t>
            </w:r>
          </w:p>
        </w:tc>
        <w:tc>
          <w:tcPr>
            <w:tcW w:w="727" w:type="pct"/>
            <w:tcBorders>
              <w:top w:val="single" w:sz="4" w:space="0" w:color="auto"/>
              <w:left w:val="nil"/>
              <w:bottom w:val="nil"/>
              <w:right w:val="nil"/>
            </w:tcBorders>
            <w:shd w:val="clear" w:color="auto" w:fill="auto"/>
            <w:tcMar>
              <w:top w:w="110" w:type="dxa"/>
            </w:tcMar>
            <w:vAlign w:val="center"/>
          </w:tcPr>
          <w:p w:rsidR="004007D3" w:rsidRPr="00251542" w:rsidRDefault="004007D3" w:rsidP="00EE7C90">
            <w:pPr>
              <w:rPr>
                <w:rFonts w:cs="Arial"/>
                <w:b/>
                <w:sz w:val="16"/>
                <w:szCs w:val="16"/>
              </w:rPr>
            </w:pPr>
            <w:r w:rsidRPr="00251542">
              <w:rPr>
                <w:b/>
                <w:sz w:val="16"/>
              </w:rPr>
              <w:t>Objectifs visés</w:t>
            </w:r>
          </w:p>
        </w:tc>
        <w:tc>
          <w:tcPr>
            <w:tcW w:w="1963" w:type="pct"/>
            <w:tcBorders>
              <w:top w:val="single" w:sz="4" w:space="0" w:color="auto"/>
              <w:left w:val="nil"/>
              <w:bottom w:val="nil"/>
              <w:right w:val="nil"/>
            </w:tcBorders>
            <w:shd w:val="clear" w:color="auto" w:fill="FFFFFF"/>
            <w:tcMar>
              <w:top w:w="110" w:type="dxa"/>
            </w:tcMar>
            <w:vAlign w:val="center"/>
          </w:tcPr>
          <w:p w:rsidR="004007D3" w:rsidRPr="00251542" w:rsidRDefault="004007D3" w:rsidP="00EE7C90">
            <w:pPr>
              <w:rPr>
                <w:rFonts w:cs="Arial"/>
                <w:b/>
                <w:sz w:val="16"/>
                <w:szCs w:val="16"/>
              </w:rPr>
            </w:pPr>
            <w:r w:rsidRPr="00251542">
              <w:rPr>
                <w:b/>
                <w:sz w:val="16"/>
              </w:rPr>
              <w:t>Données relatives à l</w:t>
            </w:r>
            <w:r w:rsidR="00A20444" w:rsidRPr="00251542">
              <w:rPr>
                <w:b/>
                <w:sz w:val="16"/>
              </w:rPr>
              <w:t>’</w:t>
            </w:r>
            <w:r w:rsidRPr="00251542">
              <w:rPr>
                <w:b/>
                <w:sz w:val="16"/>
              </w:rPr>
              <w:t>exécution</w:t>
            </w:r>
          </w:p>
        </w:tc>
        <w:tc>
          <w:tcPr>
            <w:tcW w:w="682" w:type="pct"/>
            <w:tcBorders>
              <w:top w:val="single" w:sz="4" w:space="0" w:color="auto"/>
              <w:left w:val="nil"/>
              <w:bottom w:val="nil"/>
            </w:tcBorders>
            <w:shd w:val="clear" w:color="auto" w:fill="auto"/>
            <w:tcMar>
              <w:top w:w="110" w:type="dxa"/>
            </w:tcMar>
            <w:vAlign w:val="center"/>
          </w:tcPr>
          <w:p w:rsidR="004007D3" w:rsidRPr="00251542" w:rsidRDefault="004007D3" w:rsidP="001A5BF9">
            <w:pPr>
              <w:keepNext/>
              <w:keepLines/>
              <w:jc w:val="center"/>
              <w:rPr>
                <w:rFonts w:cs="Arial"/>
                <w:b/>
                <w:bCs/>
                <w:sz w:val="16"/>
                <w:szCs w:val="16"/>
              </w:rPr>
            </w:pPr>
            <w:r w:rsidRPr="00251542">
              <w:rPr>
                <w:b/>
                <w:sz w:val="16"/>
              </w:rPr>
              <w:t>Code de couleurs</w:t>
            </w:r>
          </w:p>
        </w:tc>
      </w:tr>
      <w:tr w:rsidR="004007D3" w:rsidRPr="005C7CCE" w:rsidTr="0056083E">
        <w:trPr>
          <w:cantSplit/>
        </w:trPr>
        <w:tc>
          <w:tcPr>
            <w:tcW w:w="703" w:type="pct"/>
            <w:tcBorders>
              <w:top w:val="nil"/>
            </w:tcBorders>
            <w:shd w:val="clear" w:color="auto" w:fill="auto"/>
          </w:tcPr>
          <w:p w:rsidR="004007D3" w:rsidRPr="00EE7C90" w:rsidRDefault="004007D3" w:rsidP="001A5BF9">
            <w:pPr>
              <w:keepNext/>
              <w:ind w:leftChars="-1" w:left="1" w:hangingChars="2" w:hanging="3"/>
              <w:rPr>
                <w:rFonts w:cs="Arial"/>
                <w:sz w:val="16"/>
                <w:szCs w:val="16"/>
              </w:rPr>
            </w:pPr>
            <w:r w:rsidRPr="00EE7C90">
              <w:rPr>
                <w:sz w:val="16"/>
              </w:rPr>
              <w:t>Pourcentage des utilisateurs internes et externes satisfaits des services de conférence de l</w:t>
            </w:r>
            <w:r w:rsidR="00A20444" w:rsidRPr="00EE7C90">
              <w:rPr>
                <w:sz w:val="16"/>
              </w:rPr>
              <w:t>’</w:t>
            </w:r>
            <w:r w:rsidRPr="00EE7C90">
              <w:rPr>
                <w:sz w:val="16"/>
              </w:rPr>
              <w:t xml:space="preserve">OMPI </w:t>
            </w:r>
          </w:p>
        </w:tc>
        <w:tc>
          <w:tcPr>
            <w:tcW w:w="925" w:type="pct"/>
            <w:tcBorders>
              <w:top w:val="nil"/>
            </w:tcBorders>
            <w:shd w:val="clear" w:color="auto" w:fill="auto"/>
          </w:tcPr>
          <w:p w:rsidR="00D42474" w:rsidRDefault="004007D3" w:rsidP="001A5BF9">
            <w:pPr>
              <w:autoSpaceDE w:val="0"/>
              <w:autoSpaceDN w:val="0"/>
              <w:adjustRightInd w:val="0"/>
              <w:rPr>
                <w:color w:val="002060"/>
                <w:sz w:val="16"/>
              </w:rPr>
            </w:pPr>
            <w:r w:rsidRPr="005C7CCE">
              <w:rPr>
                <w:i/>
                <w:color w:val="002060"/>
                <w:sz w:val="16"/>
              </w:rPr>
              <w:t xml:space="preserve">Niveau de référence actualisé fin 2011 : </w:t>
            </w:r>
            <w:r w:rsidRPr="005C7CCE">
              <w:rPr>
                <w:color w:val="002060"/>
                <w:sz w:val="16"/>
              </w:rPr>
              <w:t>89</w:t>
            </w:r>
            <w:r w:rsidR="007E442D" w:rsidRPr="005C7CCE">
              <w:rPr>
                <w:color w:val="002060"/>
                <w:sz w:val="16"/>
              </w:rPr>
              <w:t>%</w:t>
            </w:r>
            <w:r w:rsidRPr="005C7CCE">
              <w:rPr>
                <w:color w:val="002060"/>
                <w:sz w:val="16"/>
              </w:rPr>
              <w:t> d</w:t>
            </w:r>
            <w:r w:rsidR="00A20444" w:rsidRPr="005C7CCE">
              <w:rPr>
                <w:color w:val="002060"/>
                <w:sz w:val="16"/>
              </w:rPr>
              <w:t>’</w:t>
            </w:r>
            <w:r w:rsidRPr="005C7CCE">
              <w:rPr>
                <w:color w:val="002060"/>
                <w:sz w:val="16"/>
              </w:rPr>
              <w:t>avis favorables</w:t>
            </w:r>
          </w:p>
          <w:p w:rsidR="00D42474" w:rsidRDefault="00D42474" w:rsidP="001A5BF9">
            <w:pPr>
              <w:keepNext/>
              <w:rPr>
                <w:rFonts w:cs="Arial"/>
                <w:i/>
                <w:sz w:val="8"/>
                <w:szCs w:val="8"/>
              </w:rPr>
            </w:pPr>
          </w:p>
          <w:p w:rsidR="004007D3" w:rsidRPr="005C7CCE" w:rsidRDefault="004007D3" w:rsidP="001A5BF9">
            <w:pPr>
              <w:keepNext/>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E7C90">
              <w:rPr>
                <w:sz w:val="16"/>
              </w:rPr>
              <w:t>é</w:t>
            </w:r>
            <w:r w:rsidRPr="005C7CCE">
              <w:rPr>
                <w:sz w:val="16"/>
              </w:rPr>
              <w:t>valuation à la fin 2011</w:t>
            </w:r>
          </w:p>
        </w:tc>
        <w:tc>
          <w:tcPr>
            <w:tcW w:w="727" w:type="pct"/>
            <w:tcBorders>
              <w:top w:val="nil"/>
            </w:tcBorders>
            <w:shd w:val="clear" w:color="auto" w:fill="auto"/>
            <w:tcMar>
              <w:top w:w="110" w:type="dxa"/>
            </w:tcMar>
          </w:tcPr>
          <w:p w:rsidR="00D42474" w:rsidRDefault="004007D3" w:rsidP="001A5BF9">
            <w:pPr>
              <w:autoSpaceDE w:val="0"/>
              <w:autoSpaceDN w:val="0"/>
              <w:adjustRightInd w:val="0"/>
              <w:rPr>
                <w:rFonts w:cs="Arial"/>
                <w:sz w:val="16"/>
                <w:szCs w:val="16"/>
              </w:rPr>
            </w:pPr>
            <w:r w:rsidRPr="005C7CCE">
              <w:rPr>
                <w:sz w:val="16"/>
              </w:rPr>
              <w:t>10</w:t>
            </w:r>
            <w:r w:rsidR="007E442D" w:rsidRPr="005C7CCE">
              <w:rPr>
                <w:sz w:val="16"/>
              </w:rPr>
              <w:t>%</w:t>
            </w:r>
            <w:r w:rsidR="001F5113" w:rsidRPr="005C7CCE">
              <w:rPr>
                <w:sz w:val="16"/>
              </w:rPr>
              <w:t xml:space="preserve"> </w:t>
            </w:r>
            <w:r w:rsidRPr="005C7CCE">
              <w:rPr>
                <w:sz w:val="16"/>
              </w:rPr>
              <w:t>d</w:t>
            </w:r>
            <w:r w:rsidR="00A20444" w:rsidRPr="005C7CCE">
              <w:rPr>
                <w:sz w:val="16"/>
              </w:rPr>
              <w:t>’</w:t>
            </w:r>
            <w:r w:rsidRPr="005C7CCE">
              <w:rPr>
                <w:sz w:val="16"/>
              </w:rPr>
              <w:t>augmentation du taux à</w:t>
            </w:r>
          </w:p>
          <w:p w:rsidR="004007D3" w:rsidRPr="005C7CCE" w:rsidRDefault="004007D3" w:rsidP="001A5BF9">
            <w:pPr>
              <w:keepNext/>
              <w:rPr>
                <w:rFonts w:cs="Arial"/>
                <w:sz w:val="16"/>
                <w:szCs w:val="16"/>
              </w:rPr>
            </w:pPr>
            <w:r w:rsidRPr="005C7CCE">
              <w:rPr>
                <w:sz w:val="16"/>
              </w:rPr>
              <w:t>la fin 2013</w:t>
            </w:r>
          </w:p>
        </w:tc>
        <w:tc>
          <w:tcPr>
            <w:tcW w:w="1963" w:type="pct"/>
            <w:tcBorders>
              <w:top w:val="nil"/>
            </w:tcBorders>
            <w:shd w:val="clear" w:color="auto" w:fill="FFFFFF"/>
            <w:tcMar>
              <w:top w:w="110" w:type="dxa"/>
            </w:tcMar>
          </w:tcPr>
          <w:p w:rsidR="004007D3" w:rsidRPr="005C7CCE" w:rsidRDefault="004007D3" w:rsidP="001A5BF9">
            <w:pPr>
              <w:rPr>
                <w:rFonts w:cs="Arial"/>
                <w:sz w:val="16"/>
                <w:szCs w:val="16"/>
              </w:rPr>
            </w:pPr>
            <w:r w:rsidRPr="005C7CCE">
              <w:rPr>
                <w:sz w:val="16"/>
              </w:rPr>
              <w:t xml:space="preserve">Un total de 260 réunions intergouvernementales </w:t>
            </w:r>
            <w:proofErr w:type="gramStart"/>
            <w:r w:rsidRPr="005C7CCE">
              <w:rPr>
                <w:sz w:val="16"/>
              </w:rPr>
              <w:t>ont</w:t>
            </w:r>
            <w:proofErr w:type="gramEnd"/>
            <w:r w:rsidRPr="005C7CCE">
              <w:rPr>
                <w:sz w:val="16"/>
              </w:rPr>
              <w:t xml:space="preserve"> eu lieu à Genève au cours de l</w:t>
            </w:r>
            <w:r w:rsidR="00A20444" w:rsidRPr="005C7CCE">
              <w:rPr>
                <w:sz w:val="16"/>
              </w:rPr>
              <w:t>’</w:t>
            </w:r>
            <w:r w:rsidRPr="005C7CCE">
              <w:rPr>
                <w:sz w:val="16"/>
              </w:rPr>
              <w:t>exercice biennal.</w:t>
            </w:r>
            <w:r w:rsidR="0010442A" w:rsidRPr="005C7CCE">
              <w:rPr>
                <w:sz w:val="16"/>
              </w:rPr>
              <w:t xml:space="preserve"> </w:t>
            </w:r>
            <w:r w:rsidRPr="005C7CCE">
              <w:rPr>
                <w:sz w:val="16"/>
              </w:rPr>
              <w:t xml:space="preserve"> En outre, des services d</w:t>
            </w:r>
            <w:r w:rsidR="00A20444" w:rsidRPr="005C7CCE">
              <w:rPr>
                <w:sz w:val="16"/>
              </w:rPr>
              <w:t>’</w:t>
            </w:r>
            <w:r w:rsidRPr="005C7CCE">
              <w:rPr>
                <w:sz w:val="16"/>
              </w:rPr>
              <w:t>appui pour les conférences ont été assurés pour quelque 11 200 autres manifestations, telles que des visites d</w:t>
            </w:r>
            <w:r w:rsidR="00A20444" w:rsidRPr="005C7CCE">
              <w:rPr>
                <w:sz w:val="16"/>
              </w:rPr>
              <w:t>’</w:t>
            </w:r>
            <w:r w:rsidRPr="005C7CCE">
              <w:rPr>
                <w:sz w:val="16"/>
              </w:rPr>
              <w:t xml:space="preserve">étude, consultations, groupes, réunions bilatérales, présentations, visites officielles et réunions internes. </w:t>
            </w:r>
            <w:r w:rsidR="0010442A" w:rsidRPr="005C7CCE">
              <w:rPr>
                <w:sz w:val="16"/>
              </w:rPr>
              <w:t xml:space="preserve"> </w:t>
            </w:r>
            <w:r w:rsidRPr="005C7CCE">
              <w:rPr>
                <w:sz w:val="16"/>
              </w:rPr>
              <w:t>Les résultats d</w:t>
            </w:r>
            <w:r w:rsidR="00A20444" w:rsidRPr="005C7CCE">
              <w:rPr>
                <w:sz w:val="16"/>
              </w:rPr>
              <w:t>’</w:t>
            </w:r>
            <w:r w:rsidRPr="005C7CCE">
              <w:rPr>
                <w:sz w:val="16"/>
              </w:rPr>
              <w:t>une enquête de satisfaction menée en 2013 ont indiqué que 98</w:t>
            </w:r>
            <w:r w:rsidR="007E442D" w:rsidRPr="005C7CCE">
              <w:rPr>
                <w:sz w:val="16"/>
              </w:rPr>
              <w:t>%</w:t>
            </w:r>
            <w:r w:rsidRPr="005C7CCE">
              <w:rPr>
                <w:sz w:val="16"/>
              </w:rPr>
              <w:t> des utilisateurs jugeaient la qualité globale des services de conférence de l</w:t>
            </w:r>
            <w:r w:rsidR="00A20444" w:rsidRPr="005C7CCE">
              <w:rPr>
                <w:sz w:val="16"/>
              </w:rPr>
              <w:t>’</w:t>
            </w:r>
            <w:r w:rsidRPr="005C7CCE">
              <w:rPr>
                <w:sz w:val="16"/>
              </w:rPr>
              <w:t>OMPI excellents (64</w:t>
            </w:r>
            <w:r w:rsidR="007E442D" w:rsidRPr="005C7CCE">
              <w:rPr>
                <w:sz w:val="16"/>
              </w:rPr>
              <w:t>%</w:t>
            </w:r>
            <w:r w:rsidRPr="005C7CCE">
              <w:rPr>
                <w:sz w:val="16"/>
              </w:rPr>
              <w:t>) ou bons (34</w:t>
            </w:r>
            <w:r w:rsidR="007E442D" w:rsidRPr="005C7CCE">
              <w:rPr>
                <w:sz w:val="16"/>
              </w:rPr>
              <w:t>%</w:t>
            </w:r>
            <w:r w:rsidRPr="005C7CCE">
              <w:rPr>
                <w:sz w:val="16"/>
              </w:rPr>
              <w:t>).</w:t>
            </w:r>
          </w:p>
        </w:tc>
        <w:tc>
          <w:tcPr>
            <w:tcW w:w="682" w:type="pct"/>
            <w:tcBorders>
              <w:top w:val="nil"/>
            </w:tcBorders>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color w:val="008000"/>
                <w:sz w:val="16"/>
              </w:rPr>
              <w:t>Objectif pleinement atteint</w:t>
            </w:r>
          </w:p>
        </w:tc>
      </w:tr>
      <w:tr w:rsidR="004007D3" w:rsidRPr="005C7CCE" w:rsidTr="0056083E">
        <w:trPr>
          <w:cantSplit/>
        </w:trPr>
        <w:tc>
          <w:tcPr>
            <w:tcW w:w="703" w:type="pct"/>
            <w:shd w:val="clear" w:color="auto" w:fill="auto"/>
          </w:tcPr>
          <w:p w:rsidR="004007D3" w:rsidRPr="00EE7C90" w:rsidRDefault="004007D3" w:rsidP="001A5BF9">
            <w:pPr>
              <w:rPr>
                <w:rFonts w:cs="Arial"/>
                <w:sz w:val="16"/>
                <w:szCs w:val="16"/>
              </w:rPr>
            </w:pPr>
            <w:r w:rsidRPr="00EE7C90">
              <w:rPr>
                <w:sz w:val="16"/>
              </w:rPr>
              <w:t>Normes de productivité de traduction et coût par page de traduction</w:t>
            </w:r>
          </w:p>
        </w:tc>
        <w:tc>
          <w:tcPr>
            <w:tcW w:w="925" w:type="pct"/>
            <w:shd w:val="clear" w:color="auto" w:fill="auto"/>
          </w:tcPr>
          <w:p w:rsidR="00D42474" w:rsidRDefault="004007D3" w:rsidP="001A5BF9">
            <w:pPr>
              <w:rPr>
                <w:color w:val="002060"/>
                <w:sz w:val="16"/>
              </w:rPr>
            </w:pPr>
            <w:r w:rsidRPr="005C7CCE">
              <w:rPr>
                <w:i/>
                <w:color w:val="002060"/>
                <w:sz w:val="16"/>
              </w:rPr>
              <w:t xml:space="preserve">Niveau de référence actualisé fin 2011 : </w:t>
            </w:r>
            <w:r w:rsidRPr="005C7CCE">
              <w:rPr>
                <w:color w:val="002060"/>
                <w:sz w:val="16"/>
              </w:rPr>
              <w:t>11 933 276 mots</w:t>
            </w:r>
          </w:p>
          <w:p w:rsidR="00D42474" w:rsidRDefault="004007D3" w:rsidP="001A5BF9">
            <w:pPr>
              <w:rPr>
                <w:rFonts w:cs="Arial"/>
                <w:color w:val="002060"/>
                <w:sz w:val="16"/>
                <w:szCs w:val="16"/>
              </w:rPr>
            </w:pPr>
            <w:r w:rsidRPr="005C7CCE">
              <w:rPr>
                <w:color w:val="002060"/>
                <w:sz w:val="16"/>
              </w:rPr>
              <w:t xml:space="preserve">en 2011 (environ 36 161 pages types </w:t>
            </w:r>
            <w:r w:rsidRPr="00EE7C90">
              <w:rPr>
                <w:color w:val="002060"/>
                <w:sz w:val="16"/>
              </w:rPr>
              <w:t>de l</w:t>
            </w:r>
            <w:r w:rsidR="00A20444" w:rsidRPr="00EE7C90">
              <w:rPr>
                <w:color w:val="002060"/>
                <w:sz w:val="16"/>
              </w:rPr>
              <w:t>’</w:t>
            </w:r>
            <w:r w:rsidRPr="00EE7C90">
              <w:rPr>
                <w:color w:val="002060"/>
                <w:sz w:val="16"/>
              </w:rPr>
              <w:t>ONU)</w:t>
            </w:r>
          </w:p>
          <w:p w:rsidR="00D42474" w:rsidRDefault="004007D3" w:rsidP="001A5BF9">
            <w:pPr>
              <w:autoSpaceDE w:val="0"/>
              <w:autoSpaceDN w:val="0"/>
              <w:adjustRightInd w:val="0"/>
              <w:rPr>
                <w:color w:val="002060"/>
                <w:sz w:val="16"/>
              </w:rPr>
            </w:pPr>
            <w:r w:rsidRPr="00EE7C90">
              <w:rPr>
                <w:color w:val="002060"/>
                <w:sz w:val="16"/>
              </w:rPr>
              <w:t>213</w:t>
            </w:r>
            <w:r w:rsidR="0010442A" w:rsidRPr="00EE7C90">
              <w:rPr>
                <w:color w:val="002060"/>
                <w:sz w:val="16"/>
              </w:rPr>
              <w:t> </w:t>
            </w:r>
            <w:r w:rsidRPr="00EE7C90">
              <w:rPr>
                <w:color w:val="002060"/>
                <w:sz w:val="16"/>
              </w:rPr>
              <w:t>francs suisses par page</w:t>
            </w:r>
          </w:p>
          <w:p w:rsidR="00D42474" w:rsidRDefault="00D42474" w:rsidP="001A5BF9">
            <w:pPr>
              <w:rPr>
                <w:rFonts w:cs="Arial"/>
                <w:i/>
                <w:sz w:val="8"/>
                <w:szCs w:val="8"/>
              </w:rPr>
            </w:pPr>
          </w:p>
          <w:p w:rsidR="004007D3" w:rsidRPr="005C7CCE" w:rsidRDefault="004007D3"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E7C90">
              <w:rPr>
                <w:sz w:val="16"/>
              </w:rPr>
              <w:t>p</w:t>
            </w:r>
            <w:r w:rsidRPr="005C7CCE">
              <w:rPr>
                <w:sz w:val="16"/>
              </w:rPr>
              <w:t>roductivité et niveaux des coûts à la fin 2011</w:t>
            </w:r>
          </w:p>
        </w:tc>
        <w:tc>
          <w:tcPr>
            <w:tcW w:w="727" w:type="pct"/>
            <w:shd w:val="clear" w:color="auto" w:fill="auto"/>
            <w:tcMar>
              <w:top w:w="110" w:type="dxa"/>
            </w:tcMar>
          </w:tcPr>
          <w:p w:rsidR="00D42474" w:rsidRDefault="004007D3" w:rsidP="001A5BF9">
            <w:pPr>
              <w:autoSpaceDE w:val="0"/>
              <w:autoSpaceDN w:val="0"/>
              <w:adjustRightInd w:val="0"/>
              <w:rPr>
                <w:rFonts w:cs="Arial"/>
                <w:sz w:val="16"/>
                <w:szCs w:val="16"/>
              </w:rPr>
            </w:pPr>
            <w:r w:rsidRPr="005C7CCE">
              <w:rPr>
                <w:sz w:val="16"/>
              </w:rPr>
              <w:t>10</w:t>
            </w:r>
            <w:r w:rsidR="007E442D" w:rsidRPr="005C7CCE">
              <w:rPr>
                <w:sz w:val="16"/>
              </w:rPr>
              <w:t>%</w:t>
            </w:r>
            <w:r w:rsidR="001F5113" w:rsidRPr="005C7CCE">
              <w:rPr>
                <w:sz w:val="16"/>
              </w:rPr>
              <w:t xml:space="preserve"> </w:t>
            </w:r>
            <w:r w:rsidRPr="005C7CCE">
              <w:rPr>
                <w:sz w:val="16"/>
              </w:rPr>
              <w:t>d</w:t>
            </w:r>
            <w:r w:rsidR="00A20444" w:rsidRPr="005C7CCE">
              <w:rPr>
                <w:sz w:val="16"/>
              </w:rPr>
              <w:t>’</w:t>
            </w:r>
            <w:r w:rsidRPr="005C7CCE">
              <w:rPr>
                <w:sz w:val="16"/>
              </w:rPr>
              <w:t>augmentation par rapport au</w:t>
            </w:r>
          </w:p>
          <w:p w:rsidR="004007D3" w:rsidRPr="005C7CCE" w:rsidRDefault="004007D3" w:rsidP="001A5BF9">
            <w:pPr>
              <w:rPr>
                <w:rFonts w:cs="Arial"/>
                <w:sz w:val="16"/>
                <w:szCs w:val="16"/>
              </w:rPr>
            </w:pPr>
            <w:r w:rsidRPr="005C7CCE">
              <w:rPr>
                <w:sz w:val="16"/>
              </w:rPr>
              <w:t>niveau de référence</w:t>
            </w:r>
          </w:p>
        </w:tc>
        <w:tc>
          <w:tcPr>
            <w:tcW w:w="1963" w:type="pct"/>
            <w:shd w:val="clear" w:color="auto" w:fill="FFFFFF"/>
            <w:tcMar>
              <w:top w:w="110" w:type="dxa"/>
            </w:tcMar>
          </w:tcPr>
          <w:p w:rsidR="00D42474" w:rsidRDefault="004007D3" w:rsidP="001A5BF9">
            <w:pPr>
              <w:rPr>
                <w:rFonts w:cs="Arial"/>
                <w:sz w:val="16"/>
                <w:szCs w:val="16"/>
                <w:lang w:bidi="th-TH"/>
              </w:rPr>
            </w:pPr>
            <w:r w:rsidRPr="005C7CCE">
              <w:rPr>
                <w:sz w:val="16"/>
              </w:rPr>
              <w:t>Un total de 18,24 millions de mots (55 282 pages types de l</w:t>
            </w:r>
            <w:r w:rsidR="00A20444" w:rsidRPr="005C7CCE">
              <w:rPr>
                <w:sz w:val="16"/>
              </w:rPr>
              <w:t>’</w:t>
            </w:r>
            <w:r w:rsidRPr="005C7CCE">
              <w:rPr>
                <w:sz w:val="16"/>
              </w:rPr>
              <w:t xml:space="preserve">ONU) </w:t>
            </w:r>
            <w:proofErr w:type="gramStart"/>
            <w:r w:rsidRPr="005C7CCE">
              <w:rPr>
                <w:sz w:val="16"/>
              </w:rPr>
              <w:t>ont</w:t>
            </w:r>
            <w:proofErr w:type="gramEnd"/>
            <w:r w:rsidRPr="005C7CCE">
              <w:rPr>
                <w:sz w:val="16"/>
              </w:rPr>
              <w:t xml:space="preserve"> été traduits en 2012 et 14,93 millions de mots (45 242 pages types de l</w:t>
            </w:r>
            <w:r w:rsidR="00A20444" w:rsidRPr="005C7CCE">
              <w:rPr>
                <w:sz w:val="16"/>
              </w:rPr>
              <w:t>’</w:t>
            </w:r>
            <w:r w:rsidRPr="005C7CCE">
              <w:rPr>
                <w:sz w:val="16"/>
              </w:rPr>
              <w:t>ONU) en 2013.</w:t>
            </w:r>
          </w:p>
          <w:p w:rsidR="00D42474" w:rsidRDefault="00D42474" w:rsidP="001A5BF9">
            <w:pPr>
              <w:rPr>
                <w:rFonts w:cs="Arial"/>
                <w:sz w:val="16"/>
                <w:szCs w:val="16"/>
              </w:rPr>
            </w:pPr>
          </w:p>
          <w:p w:rsidR="004007D3" w:rsidRPr="005C7CCE" w:rsidRDefault="004007D3" w:rsidP="001A5BF9">
            <w:pPr>
              <w:rPr>
                <w:rFonts w:cs="Arial"/>
                <w:sz w:val="16"/>
                <w:szCs w:val="16"/>
              </w:rPr>
            </w:pPr>
            <w:r w:rsidRPr="005C7CCE">
              <w:rPr>
                <w:sz w:val="16"/>
              </w:rPr>
              <w:t>Le coût par page (moyenne pondérée pour l</w:t>
            </w:r>
            <w:r w:rsidR="00A20444" w:rsidRPr="005C7CCE">
              <w:rPr>
                <w:sz w:val="16"/>
              </w:rPr>
              <w:t>’</w:t>
            </w:r>
            <w:r w:rsidRPr="005C7CCE">
              <w:rPr>
                <w:sz w:val="16"/>
              </w:rPr>
              <w:t xml:space="preserve">exercice biennal) était de 191 francs suisses. </w:t>
            </w:r>
            <w:r w:rsidR="0010442A" w:rsidRPr="005C7CCE">
              <w:rPr>
                <w:sz w:val="16"/>
              </w:rPr>
              <w:t xml:space="preserve"> </w:t>
            </w:r>
          </w:p>
        </w:tc>
        <w:tc>
          <w:tcPr>
            <w:tcW w:w="682" w:type="pct"/>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color w:val="008000"/>
                <w:sz w:val="16"/>
              </w:rPr>
              <w:t>Objectif pleinement atteint</w:t>
            </w:r>
          </w:p>
        </w:tc>
      </w:tr>
      <w:tr w:rsidR="004007D3" w:rsidRPr="005C7CCE" w:rsidTr="0056083E">
        <w:trPr>
          <w:cantSplit/>
        </w:trPr>
        <w:tc>
          <w:tcPr>
            <w:tcW w:w="703" w:type="pct"/>
            <w:shd w:val="clear" w:color="auto" w:fill="auto"/>
          </w:tcPr>
          <w:p w:rsidR="004007D3" w:rsidRPr="005C7CCE" w:rsidRDefault="004007D3" w:rsidP="001A5BF9">
            <w:pPr>
              <w:rPr>
                <w:rFonts w:cs="Arial"/>
                <w:color w:val="008000"/>
                <w:sz w:val="16"/>
                <w:szCs w:val="16"/>
              </w:rPr>
            </w:pPr>
            <w:r w:rsidRPr="00EE7C90">
              <w:rPr>
                <w:sz w:val="16"/>
              </w:rPr>
              <w:t>Politique linguistique globale adoptée par les États membres et exigences connexes en matière d</w:t>
            </w:r>
            <w:r w:rsidR="00A20444" w:rsidRPr="00EE7C90">
              <w:rPr>
                <w:sz w:val="16"/>
              </w:rPr>
              <w:t>’</w:t>
            </w:r>
            <w:r w:rsidRPr="00EE7C90">
              <w:rPr>
                <w:sz w:val="16"/>
              </w:rPr>
              <w:t>affectation des ressources</w:t>
            </w:r>
          </w:p>
        </w:tc>
        <w:tc>
          <w:tcPr>
            <w:tcW w:w="925" w:type="pct"/>
            <w:shd w:val="clear" w:color="auto" w:fill="auto"/>
          </w:tcPr>
          <w:p w:rsidR="00D42474" w:rsidRDefault="004007D3" w:rsidP="001A5BF9">
            <w:pPr>
              <w:rPr>
                <w:rFonts w:cs="Arial"/>
                <w:i/>
                <w:color w:val="002060"/>
                <w:sz w:val="16"/>
                <w:szCs w:val="16"/>
              </w:rPr>
            </w:pPr>
            <w:r w:rsidRPr="005C7CCE">
              <w:rPr>
                <w:i/>
                <w:color w:val="002060"/>
                <w:sz w:val="16"/>
              </w:rPr>
              <w:t xml:space="preserve">Niveau de référence actualisé fin 2011 : </w:t>
            </w:r>
            <w:r w:rsidR="00EE7C90">
              <w:rPr>
                <w:color w:val="002060"/>
                <w:sz w:val="16"/>
              </w:rPr>
              <w:t>p</w:t>
            </w:r>
            <w:r w:rsidRPr="005C7CCE">
              <w:rPr>
                <w:color w:val="002060"/>
                <w:sz w:val="16"/>
              </w:rPr>
              <w:t>olitique linguistique 2011 élaborée pour la documentation des comités permanents et des organes principaux de l</w:t>
            </w:r>
            <w:r w:rsidR="00A20444" w:rsidRPr="005C7CCE">
              <w:rPr>
                <w:color w:val="002060"/>
                <w:sz w:val="16"/>
              </w:rPr>
              <w:t>’</w:t>
            </w:r>
            <w:r w:rsidRPr="005C7CCE">
              <w:rPr>
                <w:color w:val="002060"/>
                <w:sz w:val="16"/>
              </w:rPr>
              <w:t>OMPI</w:t>
            </w:r>
          </w:p>
          <w:p w:rsidR="00D42474" w:rsidRDefault="00D42474" w:rsidP="001A5BF9">
            <w:pPr>
              <w:rPr>
                <w:rFonts w:cs="Arial"/>
                <w:i/>
                <w:color w:val="002060"/>
                <w:sz w:val="8"/>
                <w:szCs w:val="8"/>
              </w:rPr>
            </w:pPr>
          </w:p>
          <w:p w:rsidR="004007D3" w:rsidRPr="005C7CCE" w:rsidRDefault="004007D3"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E7C90">
              <w:rPr>
                <w:sz w:val="16"/>
              </w:rPr>
              <w:t>p</w:t>
            </w:r>
            <w:r w:rsidRPr="005C7CCE">
              <w:rPr>
                <w:sz w:val="16"/>
              </w:rPr>
              <w:t>olitique linguistique élaborée en 2010 exclusivement pour la documentation des comités permanents de l</w:t>
            </w:r>
            <w:r w:rsidR="00A20444" w:rsidRPr="005C7CCE">
              <w:rPr>
                <w:sz w:val="16"/>
              </w:rPr>
              <w:t>’</w:t>
            </w:r>
            <w:r w:rsidRPr="005C7CCE">
              <w:rPr>
                <w:sz w:val="16"/>
              </w:rPr>
              <w:t>OMPI</w:t>
            </w:r>
          </w:p>
        </w:tc>
        <w:tc>
          <w:tcPr>
            <w:tcW w:w="727" w:type="pct"/>
            <w:shd w:val="clear" w:color="auto" w:fill="auto"/>
            <w:tcMar>
              <w:top w:w="110" w:type="dxa"/>
            </w:tcMar>
          </w:tcPr>
          <w:p w:rsidR="00D42474" w:rsidRDefault="004007D3" w:rsidP="001A5BF9">
            <w:pPr>
              <w:autoSpaceDE w:val="0"/>
              <w:autoSpaceDN w:val="0"/>
              <w:adjustRightInd w:val="0"/>
              <w:rPr>
                <w:rFonts w:cs="Arial"/>
                <w:sz w:val="16"/>
                <w:szCs w:val="16"/>
              </w:rPr>
            </w:pPr>
            <w:r w:rsidRPr="005C7CCE">
              <w:rPr>
                <w:sz w:val="16"/>
              </w:rPr>
              <w:t>La politique linguistique couvre</w:t>
            </w:r>
          </w:p>
          <w:p w:rsidR="00D42474" w:rsidRDefault="004007D3" w:rsidP="001A5BF9">
            <w:pPr>
              <w:autoSpaceDE w:val="0"/>
              <w:autoSpaceDN w:val="0"/>
              <w:adjustRightInd w:val="0"/>
              <w:rPr>
                <w:rFonts w:cs="Arial"/>
                <w:sz w:val="16"/>
                <w:szCs w:val="16"/>
              </w:rPr>
            </w:pPr>
            <w:r w:rsidRPr="005C7CCE">
              <w:rPr>
                <w:sz w:val="16"/>
              </w:rPr>
              <w:t>la documentation de toutes les réunions de l</w:t>
            </w:r>
            <w:r w:rsidR="00A20444" w:rsidRPr="005C7CCE">
              <w:rPr>
                <w:sz w:val="16"/>
              </w:rPr>
              <w:t>’</w:t>
            </w:r>
            <w:r w:rsidRPr="005C7CCE">
              <w:rPr>
                <w:sz w:val="16"/>
              </w:rPr>
              <w:t>OMPI, ainsi</w:t>
            </w:r>
          </w:p>
          <w:p w:rsidR="00D42474" w:rsidRDefault="004007D3" w:rsidP="001A5BF9">
            <w:pPr>
              <w:autoSpaceDE w:val="0"/>
              <w:autoSpaceDN w:val="0"/>
              <w:adjustRightInd w:val="0"/>
              <w:rPr>
                <w:rFonts w:cs="Arial"/>
                <w:sz w:val="16"/>
                <w:szCs w:val="16"/>
              </w:rPr>
            </w:pPr>
            <w:r w:rsidRPr="005C7CCE">
              <w:rPr>
                <w:sz w:val="16"/>
              </w:rPr>
              <w:t>que l</w:t>
            </w:r>
            <w:r w:rsidR="00A20444" w:rsidRPr="005C7CCE">
              <w:rPr>
                <w:sz w:val="16"/>
              </w:rPr>
              <w:t>’</w:t>
            </w:r>
            <w:r w:rsidRPr="005C7CCE">
              <w:rPr>
                <w:sz w:val="16"/>
              </w:rPr>
              <w:t>offre linguistique des</w:t>
            </w:r>
          </w:p>
          <w:p w:rsidR="00D42474" w:rsidRDefault="004007D3" w:rsidP="001A5BF9">
            <w:pPr>
              <w:autoSpaceDE w:val="0"/>
              <w:autoSpaceDN w:val="0"/>
              <w:adjustRightInd w:val="0"/>
              <w:rPr>
                <w:rFonts w:cs="Arial"/>
                <w:sz w:val="16"/>
                <w:szCs w:val="16"/>
              </w:rPr>
            </w:pPr>
            <w:r w:rsidRPr="005C7CCE">
              <w:rPr>
                <w:sz w:val="16"/>
              </w:rPr>
              <w:t>publications et du site</w:t>
            </w:r>
            <w:r w:rsidR="0010442A" w:rsidRPr="005C7CCE">
              <w:rPr>
                <w:sz w:val="16"/>
              </w:rPr>
              <w:t> </w:t>
            </w:r>
            <w:r w:rsidRPr="005C7CCE">
              <w:rPr>
                <w:sz w:val="16"/>
              </w:rPr>
              <w:t>Web</w:t>
            </w:r>
          </w:p>
          <w:p w:rsidR="004007D3" w:rsidRPr="005C7CCE" w:rsidRDefault="004007D3" w:rsidP="001A5BF9">
            <w:pPr>
              <w:rPr>
                <w:rFonts w:cs="Arial"/>
                <w:sz w:val="16"/>
                <w:szCs w:val="16"/>
              </w:rPr>
            </w:pPr>
            <w:r w:rsidRPr="005C7CCE">
              <w:rPr>
                <w:sz w:val="16"/>
              </w:rPr>
              <w:t>de l</w:t>
            </w:r>
            <w:r w:rsidR="00A20444" w:rsidRPr="005C7CCE">
              <w:rPr>
                <w:sz w:val="16"/>
              </w:rPr>
              <w:t>’</w:t>
            </w:r>
            <w:r w:rsidRPr="005C7CCE">
              <w:rPr>
                <w:sz w:val="16"/>
              </w:rPr>
              <w:t>OMPI</w:t>
            </w:r>
          </w:p>
        </w:tc>
        <w:tc>
          <w:tcPr>
            <w:tcW w:w="1963" w:type="pct"/>
            <w:shd w:val="clear" w:color="auto" w:fill="FFFFFF"/>
            <w:tcMar>
              <w:top w:w="110" w:type="dxa"/>
            </w:tcMar>
          </w:tcPr>
          <w:p w:rsidR="004007D3" w:rsidRPr="005C7CCE" w:rsidRDefault="004007D3" w:rsidP="001A5BF9">
            <w:pPr>
              <w:rPr>
                <w:rFonts w:cs="Arial"/>
                <w:sz w:val="16"/>
                <w:szCs w:val="16"/>
              </w:rPr>
            </w:pPr>
            <w:r w:rsidRPr="005C7CCE">
              <w:rPr>
                <w:sz w:val="16"/>
              </w:rPr>
              <w:t>La politique linguistique a été élargie à tous les comités permanents et des organes principaux de l</w:t>
            </w:r>
            <w:r w:rsidR="00A20444" w:rsidRPr="005C7CCE">
              <w:rPr>
                <w:sz w:val="16"/>
              </w:rPr>
              <w:t>’</w:t>
            </w:r>
            <w:r w:rsidRPr="005C7CCE">
              <w:rPr>
                <w:sz w:val="16"/>
              </w:rPr>
              <w:t>OMPI.</w:t>
            </w:r>
          </w:p>
        </w:tc>
        <w:tc>
          <w:tcPr>
            <w:tcW w:w="682" w:type="pct"/>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color w:val="008000"/>
                <w:sz w:val="16"/>
              </w:rPr>
              <w:t>Objectif pleinement atteint</w:t>
            </w:r>
            <w:r w:rsidRPr="005C7CCE">
              <w:rPr>
                <w:color w:val="008000"/>
                <w:sz w:val="16"/>
              </w:rPr>
              <w:t xml:space="preserve"> </w:t>
            </w:r>
          </w:p>
        </w:tc>
      </w:tr>
      <w:tr w:rsidR="004007D3" w:rsidRPr="005C7CCE" w:rsidTr="0056083E">
        <w:trPr>
          <w:cantSplit/>
        </w:trPr>
        <w:tc>
          <w:tcPr>
            <w:tcW w:w="703" w:type="pct"/>
            <w:shd w:val="clear" w:color="auto" w:fill="auto"/>
          </w:tcPr>
          <w:p w:rsidR="004007D3" w:rsidRPr="00EE7C90" w:rsidRDefault="004007D3" w:rsidP="001A5BF9">
            <w:pPr>
              <w:rPr>
                <w:rFonts w:cs="Arial"/>
                <w:sz w:val="16"/>
                <w:szCs w:val="16"/>
              </w:rPr>
            </w:pPr>
            <w:r w:rsidRPr="00EE7C90">
              <w:rPr>
                <w:sz w:val="16"/>
              </w:rPr>
              <w:t>Taux de productivité pour les calculs, l</w:t>
            </w:r>
            <w:r w:rsidR="00A20444" w:rsidRPr="00EE7C90">
              <w:rPr>
                <w:sz w:val="16"/>
              </w:rPr>
              <w:t>’</w:t>
            </w:r>
            <w:r w:rsidRPr="00EE7C90">
              <w:rPr>
                <w:sz w:val="16"/>
              </w:rPr>
              <w:t>introduction de données, le rassemblement et la fourniture de statistiques (remise du courrier)</w:t>
            </w:r>
          </w:p>
        </w:tc>
        <w:tc>
          <w:tcPr>
            <w:tcW w:w="925" w:type="pct"/>
            <w:shd w:val="clear" w:color="auto" w:fill="auto"/>
          </w:tcPr>
          <w:p w:rsidR="00D42474" w:rsidRDefault="004007D3" w:rsidP="001A5BF9">
            <w:pPr>
              <w:rPr>
                <w:i/>
                <w:color w:val="002060"/>
                <w:sz w:val="16"/>
              </w:rPr>
            </w:pPr>
            <w:r w:rsidRPr="005C7CCE">
              <w:rPr>
                <w:i/>
                <w:color w:val="002060"/>
                <w:sz w:val="16"/>
              </w:rPr>
              <w:t>Niveau de référence a</w:t>
            </w:r>
            <w:r w:rsidRPr="00EE7C90">
              <w:rPr>
                <w:i/>
                <w:color w:val="002060"/>
                <w:sz w:val="16"/>
              </w:rPr>
              <w:t>ctualisé fin 2011 :</w:t>
            </w:r>
          </w:p>
          <w:p w:rsidR="00D42474" w:rsidRDefault="004007D3" w:rsidP="001A5BF9">
            <w:pPr>
              <w:autoSpaceDE w:val="0"/>
              <w:autoSpaceDN w:val="0"/>
              <w:adjustRightInd w:val="0"/>
              <w:rPr>
                <w:color w:val="002060"/>
                <w:sz w:val="16"/>
              </w:rPr>
            </w:pPr>
            <w:r w:rsidRPr="00EE7C90">
              <w:rPr>
                <w:color w:val="002060"/>
                <w:sz w:val="16"/>
              </w:rPr>
              <w:t>1</w:t>
            </w:r>
            <w:r w:rsidR="0010442A" w:rsidRPr="00EE7C90">
              <w:rPr>
                <w:color w:val="002060"/>
                <w:sz w:val="16"/>
              </w:rPr>
              <w:t> </w:t>
            </w:r>
            <w:r w:rsidRPr="00EE7C90">
              <w:rPr>
                <w:color w:val="002060"/>
                <w:sz w:val="16"/>
              </w:rPr>
              <w:t>694</w:t>
            </w:r>
            <w:r w:rsidR="0010442A" w:rsidRPr="00EE7C90">
              <w:rPr>
                <w:color w:val="002060"/>
                <w:sz w:val="16"/>
              </w:rPr>
              <w:t> </w:t>
            </w:r>
            <w:r w:rsidRPr="00EE7C90">
              <w:rPr>
                <w:color w:val="002060"/>
                <w:sz w:val="16"/>
              </w:rPr>
              <w:t xml:space="preserve">940 articles envoyés au coût de </w:t>
            </w:r>
            <w:r w:rsidR="0010442A" w:rsidRPr="00EE7C90">
              <w:rPr>
                <w:color w:val="002060"/>
                <w:sz w:val="16"/>
              </w:rPr>
              <w:t>2495 </w:t>
            </w:r>
            <w:r w:rsidRPr="00EE7C90">
              <w:rPr>
                <w:color w:val="002060"/>
                <w:sz w:val="16"/>
              </w:rPr>
              <w:t>669</w:t>
            </w:r>
            <w:r w:rsidR="0010442A" w:rsidRPr="00EE7C90">
              <w:rPr>
                <w:color w:val="002060"/>
                <w:sz w:val="16"/>
              </w:rPr>
              <w:t> </w:t>
            </w:r>
            <w:r w:rsidRPr="00EE7C90">
              <w:rPr>
                <w:color w:val="002060"/>
                <w:sz w:val="16"/>
              </w:rPr>
              <w:t>francs suisses en</w:t>
            </w:r>
            <w:r w:rsidR="0010442A" w:rsidRPr="00EE7C90">
              <w:rPr>
                <w:color w:val="002060"/>
                <w:sz w:val="16"/>
              </w:rPr>
              <w:t> </w:t>
            </w:r>
            <w:r w:rsidRPr="00EE7C90">
              <w:rPr>
                <w:color w:val="002060"/>
                <w:sz w:val="16"/>
              </w:rPr>
              <w:t>2011</w:t>
            </w:r>
          </w:p>
          <w:p w:rsidR="00D42474" w:rsidRDefault="00D42474" w:rsidP="001A5BF9">
            <w:pPr>
              <w:rPr>
                <w:rFonts w:cs="Arial"/>
                <w:i/>
                <w:color w:val="002060"/>
                <w:sz w:val="8"/>
                <w:szCs w:val="8"/>
              </w:rPr>
            </w:pPr>
          </w:p>
          <w:p w:rsidR="004007D3" w:rsidRPr="005C7CCE" w:rsidRDefault="004007D3" w:rsidP="001A5BF9">
            <w:pPr>
              <w:rPr>
                <w:rFonts w:cs="Arial"/>
                <w:sz w:val="16"/>
                <w:szCs w:val="16"/>
              </w:rPr>
            </w:pPr>
            <w:r w:rsidRPr="005C7CCE">
              <w:rPr>
                <w:i/>
                <w:sz w:val="16"/>
              </w:rPr>
              <w:t xml:space="preserve">Niveau de référence initial </w:t>
            </w:r>
            <w:r w:rsidR="00667FB3">
              <w:rPr>
                <w:i/>
                <w:sz w:val="16"/>
              </w:rPr>
              <w:t>programme et budget</w:t>
            </w:r>
            <w:r w:rsidRPr="005C7CCE">
              <w:rPr>
                <w:i/>
                <w:sz w:val="16"/>
              </w:rPr>
              <w:t> 2012</w:t>
            </w:r>
            <w:r w:rsidR="002D6F2A" w:rsidRPr="005C7CCE">
              <w:rPr>
                <w:i/>
                <w:sz w:val="16"/>
              </w:rPr>
              <w:noBreakHyphen/>
            </w:r>
            <w:r w:rsidRPr="005C7CCE">
              <w:rPr>
                <w:i/>
                <w:sz w:val="16"/>
              </w:rPr>
              <w:t>2013 </w:t>
            </w:r>
            <w:proofErr w:type="gramStart"/>
            <w:r w:rsidRPr="005C7CCE">
              <w:rPr>
                <w:i/>
                <w:sz w:val="16"/>
              </w:rPr>
              <w:t>:</w:t>
            </w:r>
            <w:proofErr w:type="gramEnd"/>
            <w:r w:rsidRPr="005C7CCE">
              <w:br/>
            </w:r>
            <w:r w:rsidR="00EE7C90">
              <w:rPr>
                <w:sz w:val="16"/>
              </w:rPr>
              <w:t>t</w:t>
            </w:r>
            <w:r w:rsidRPr="005C7CCE">
              <w:rPr>
                <w:sz w:val="16"/>
              </w:rPr>
              <w:t>aux de productivité à la fin 2011</w:t>
            </w:r>
          </w:p>
        </w:tc>
        <w:tc>
          <w:tcPr>
            <w:tcW w:w="727" w:type="pct"/>
            <w:shd w:val="clear" w:color="auto" w:fill="auto"/>
            <w:tcMar>
              <w:top w:w="110" w:type="dxa"/>
            </w:tcMar>
          </w:tcPr>
          <w:p w:rsidR="004007D3" w:rsidRPr="005C7CCE" w:rsidRDefault="004007D3" w:rsidP="001A5BF9">
            <w:pPr>
              <w:autoSpaceDE w:val="0"/>
              <w:autoSpaceDN w:val="0"/>
              <w:adjustRightInd w:val="0"/>
              <w:rPr>
                <w:rFonts w:eastAsia="Batang" w:cs="Arial"/>
                <w:sz w:val="16"/>
                <w:szCs w:val="16"/>
              </w:rPr>
            </w:pPr>
            <w:r w:rsidRPr="005C7CCE">
              <w:rPr>
                <w:sz w:val="16"/>
              </w:rPr>
              <w:t>10</w:t>
            </w:r>
            <w:r w:rsidR="007E442D" w:rsidRPr="005C7CCE">
              <w:rPr>
                <w:sz w:val="16"/>
              </w:rPr>
              <w:t>%</w:t>
            </w:r>
            <w:r w:rsidR="001F5113" w:rsidRPr="005C7CCE">
              <w:rPr>
                <w:sz w:val="16"/>
              </w:rPr>
              <w:t xml:space="preserve"> </w:t>
            </w:r>
            <w:r w:rsidRPr="005C7CCE">
              <w:rPr>
                <w:sz w:val="16"/>
              </w:rPr>
              <w:t>d</w:t>
            </w:r>
            <w:r w:rsidR="00A20444" w:rsidRPr="005C7CCE">
              <w:rPr>
                <w:sz w:val="16"/>
              </w:rPr>
              <w:t>’</w:t>
            </w:r>
            <w:r w:rsidRPr="005C7CCE">
              <w:rPr>
                <w:sz w:val="16"/>
              </w:rPr>
              <w:t xml:space="preserve">augmentation par rapport aux niveaux de référence </w:t>
            </w:r>
          </w:p>
        </w:tc>
        <w:tc>
          <w:tcPr>
            <w:tcW w:w="1963" w:type="pct"/>
            <w:shd w:val="clear" w:color="auto" w:fill="FFFFFF"/>
            <w:tcMar>
              <w:top w:w="110" w:type="dxa"/>
            </w:tcMar>
          </w:tcPr>
          <w:p w:rsidR="00D42474" w:rsidRDefault="004007D3" w:rsidP="001A5BF9">
            <w:pPr>
              <w:rPr>
                <w:rFonts w:cs="Arial"/>
                <w:sz w:val="16"/>
                <w:szCs w:val="16"/>
              </w:rPr>
            </w:pPr>
            <w:r w:rsidRPr="005C7CCE">
              <w:rPr>
                <w:sz w:val="16"/>
              </w:rPr>
              <w:t>La renégociation des contrats avec les services postaux et le regroupement des adresses ont entraîné une baisse globale des coûts d</w:t>
            </w:r>
            <w:r w:rsidR="00A20444" w:rsidRPr="005C7CCE">
              <w:rPr>
                <w:sz w:val="16"/>
              </w:rPr>
              <w:t>’</w:t>
            </w:r>
            <w:r w:rsidRPr="005C7CCE">
              <w:rPr>
                <w:sz w:val="16"/>
              </w:rPr>
              <w:t>expédition de 23</w:t>
            </w:r>
            <w:r w:rsidR="007E442D" w:rsidRPr="005C7CCE">
              <w:rPr>
                <w:sz w:val="16"/>
              </w:rPr>
              <w:t>%</w:t>
            </w:r>
            <w:r w:rsidRPr="005C7CCE">
              <w:rPr>
                <w:sz w:val="16"/>
              </w:rPr>
              <w:t xml:space="preserve"> en 2013 par rapport à 2012.</w:t>
            </w:r>
          </w:p>
          <w:p w:rsidR="00D42474" w:rsidRDefault="004007D3" w:rsidP="001A5BF9">
            <w:pPr>
              <w:numPr>
                <w:ilvl w:val="0"/>
                <w:numId w:val="67"/>
              </w:numPr>
              <w:rPr>
                <w:sz w:val="16"/>
              </w:rPr>
            </w:pPr>
            <w:r w:rsidRPr="005C7CCE">
              <w:rPr>
                <w:sz w:val="16"/>
              </w:rPr>
              <w:t xml:space="preserve">1 803 346 articles au coût de </w:t>
            </w:r>
            <w:r w:rsidR="0010442A" w:rsidRPr="005C7CCE">
              <w:rPr>
                <w:sz w:val="16"/>
              </w:rPr>
              <w:t>2216</w:t>
            </w:r>
            <w:r w:rsidRPr="005C7CCE">
              <w:rPr>
                <w:sz w:val="16"/>
              </w:rPr>
              <w:t> 038 francs suisses (2012)</w:t>
            </w:r>
          </w:p>
          <w:p w:rsidR="00D42474" w:rsidRDefault="004007D3" w:rsidP="001A5BF9">
            <w:pPr>
              <w:numPr>
                <w:ilvl w:val="0"/>
                <w:numId w:val="67"/>
              </w:numPr>
              <w:rPr>
                <w:rFonts w:cs="Arial"/>
                <w:sz w:val="16"/>
                <w:szCs w:val="16"/>
              </w:rPr>
            </w:pPr>
            <w:r w:rsidRPr="005C7CCE">
              <w:rPr>
                <w:sz w:val="16"/>
              </w:rPr>
              <w:t xml:space="preserve">1 439 000 articles au coût de </w:t>
            </w:r>
            <w:r w:rsidR="0010442A" w:rsidRPr="005C7CCE">
              <w:rPr>
                <w:sz w:val="16"/>
              </w:rPr>
              <w:t>1705</w:t>
            </w:r>
            <w:r w:rsidRPr="005C7CCE">
              <w:rPr>
                <w:sz w:val="16"/>
              </w:rPr>
              <w:t> 981 francs suisses (2013)</w:t>
            </w:r>
          </w:p>
          <w:p w:rsidR="00D42474" w:rsidRDefault="00D42474" w:rsidP="001A5BF9">
            <w:pPr>
              <w:rPr>
                <w:rFonts w:cs="Arial"/>
                <w:sz w:val="16"/>
                <w:szCs w:val="16"/>
                <w:lang w:bidi="th-TH"/>
              </w:rPr>
            </w:pPr>
          </w:p>
          <w:p w:rsidR="004007D3" w:rsidRPr="005C7CCE" w:rsidRDefault="004007D3" w:rsidP="001A5BF9">
            <w:pPr>
              <w:rPr>
                <w:rFonts w:cs="Arial"/>
                <w:sz w:val="16"/>
                <w:szCs w:val="16"/>
              </w:rPr>
            </w:pPr>
            <w:r w:rsidRPr="005C7CCE">
              <w:rPr>
                <w:sz w:val="16"/>
              </w:rPr>
              <w:t>18</w:t>
            </w:r>
            <w:r w:rsidR="007E442D" w:rsidRPr="005C7CCE">
              <w:rPr>
                <w:sz w:val="16"/>
              </w:rPr>
              <w:t>%</w:t>
            </w:r>
            <w:r w:rsidRPr="005C7CCE">
              <w:rPr>
                <w:sz w:val="16"/>
              </w:rPr>
              <w:t xml:space="preserve"> du courrier recommandé pour le système de Madrid a été envoyé par courrier ordinaire en 2013, ce qui a également contribué aux réductions de coûts.</w:t>
            </w:r>
          </w:p>
        </w:tc>
        <w:tc>
          <w:tcPr>
            <w:tcW w:w="682" w:type="pct"/>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color w:val="008000"/>
                <w:sz w:val="16"/>
              </w:rPr>
              <w:t>Objectif pleinement atteint</w:t>
            </w:r>
          </w:p>
        </w:tc>
      </w:tr>
      <w:tr w:rsidR="004007D3" w:rsidRPr="005C7CCE" w:rsidTr="0056083E">
        <w:trPr>
          <w:cantSplit/>
        </w:trPr>
        <w:tc>
          <w:tcPr>
            <w:tcW w:w="703" w:type="pct"/>
            <w:shd w:val="clear" w:color="auto" w:fill="auto"/>
          </w:tcPr>
          <w:p w:rsidR="00D42474" w:rsidRDefault="004007D3" w:rsidP="001A5BF9">
            <w:pPr>
              <w:rPr>
                <w:rFonts w:cs="Arial"/>
                <w:sz w:val="16"/>
                <w:szCs w:val="16"/>
              </w:rPr>
            </w:pPr>
            <w:r w:rsidRPr="00EE7C90">
              <w:rPr>
                <w:sz w:val="16"/>
              </w:rPr>
              <w:t>Pourcentage de documents presse PCT sur papier et sous forme électronique respectant les délais</w:t>
            </w:r>
          </w:p>
          <w:p w:rsidR="004007D3" w:rsidRPr="00EE7C90" w:rsidRDefault="004007D3" w:rsidP="001A5BF9">
            <w:pPr>
              <w:rPr>
                <w:rFonts w:cs="Arial"/>
                <w:sz w:val="16"/>
                <w:szCs w:val="16"/>
              </w:rPr>
            </w:pPr>
          </w:p>
        </w:tc>
        <w:tc>
          <w:tcPr>
            <w:tcW w:w="925" w:type="pct"/>
            <w:shd w:val="clear" w:color="auto" w:fill="auto"/>
          </w:tcPr>
          <w:p w:rsidR="004007D3" w:rsidRPr="00EE7C90" w:rsidRDefault="004007D3" w:rsidP="001A5BF9">
            <w:pPr>
              <w:rPr>
                <w:rFonts w:cs="Arial"/>
                <w:sz w:val="16"/>
                <w:szCs w:val="16"/>
              </w:rPr>
            </w:pPr>
            <w:r w:rsidRPr="00EE7C90">
              <w:rPr>
                <w:sz w:val="16"/>
              </w:rPr>
              <w:t>Taux à la fin 2011</w:t>
            </w:r>
          </w:p>
        </w:tc>
        <w:tc>
          <w:tcPr>
            <w:tcW w:w="727" w:type="pct"/>
            <w:shd w:val="clear" w:color="auto" w:fill="auto"/>
            <w:tcMar>
              <w:top w:w="110" w:type="dxa"/>
            </w:tcMar>
          </w:tcPr>
          <w:p w:rsidR="00D42474" w:rsidRDefault="004007D3" w:rsidP="001A5BF9">
            <w:pPr>
              <w:autoSpaceDE w:val="0"/>
              <w:autoSpaceDN w:val="0"/>
              <w:adjustRightInd w:val="0"/>
              <w:rPr>
                <w:rFonts w:cs="Arial"/>
                <w:sz w:val="16"/>
                <w:szCs w:val="16"/>
              </w:rPr>
            </w:pPr>
            <w:r w:rsidRPr="005C7CCE">
              <w:rPr>
                <w:sz w:val="16"/>
              </w:rPr>
              <w:t>10</w:t>
            </w:r>
            <w:r w:rsidR="007E442D" w:rsidRPr="005C7CCE">
              <w:rPr>
                <w:sz w:val="16"/>
              </w:rPr>
              <w:t>%</w:t>
            </w:r>
            <w:r w:rsidR="001F5113" w:rsidRPr="005C7CCE">
              <w:rPr>
                <w:sz w:val="16"/>
              </w:rPr>
              <w:t xml:space="preserve"> </w:t>
            </w:r>
            <w:r w:rsidRPr="005C7CCE">
              <w:rPr>
                <w:sz w:val="16"/>
              </w:rPr>
              <w:t>d</w:t>
            </w:r>
            <w:r w:rsidR="00A20444" w:rsidRPr="005C7CCE">
              <w:rPr>
                <w:sz w:val="16"/>
              </w:rPr>
              <w:t>’</w:t>
            </w:r>
            <w:r w:rsidRPr="005C7CCE">
              <w:rPr>
                <w:sz w:val="16"/>
              </w:rPr>
              <w:t>amélioration par rapport au</w:t>
            </w:r>
          </w:p>
          <w:p w:rsidR="004007D3" w:rsidRPr="005C7CCE" w:rsidRDefault="004007D3" w:rsidP="001A5BF9">
            <w:pPr>
              <w:rPr>
                <w:rFonts w:cs="Arial"/>
                <w:sz w:val="16"/>
                <w:szCs w:val="16"/>
              </w:rPr>
            </w:pPr>
            <w:r w:rsidRPr="005C7CCE">
              <w:rPr>
                <w:sz w:val="16"/>
              </w:rPr>
              <w:t>niveau de référence</w:t>
            </w:r>
          </w:p>
        </w:tc>
        <w:tc>
          <w:tcPr>
            <w:tcW w:w="1963" w:type="pct"/>
            <w:shd w:val="clear" w:color="auto" w:fill="FFFFFF"/>
            <w:tcMar>
              <w:top w:w="110" w:type="dxa"/>
            </w:tcMar>
          </w:tcPr>
          <w:p w:rsidR="00D42474" w:rsidRDefault="004007D3" w:rsidP="001A5BF9">
            <w:pPr>
              <w:rPr>
                <w:rFonts w:cs="Arial"/>
                <w:sz w:val="16"/>
                <w:szCs w:val="16"/>
                <w:lang w:bidi="th-TH"/>
              </w:rPr>
            </w:pPr>
            <w:r w:rsidRPr="005C7CCE">
              <w:rPr>
                <w:sz w:val="16"/>
              </w:rPr>
              <w:t>Documents presse PCT sur papier respectant les délais : 98</w:t>
            </w:r>
            <w:r w:rsidR="007E442D" w:rsidRPr="005C7CCE">
              <w:rPr>
                <w:sz w:val="16"/>
              </w:rPr>
              <w:t>%</w:t>
            </w:r>
          </w:p>
          <w:p w:rsidR="00D42474" w:rsidRDefault="00D42474" w:rsidP="001A5BF9">
            <w:pPr>
              <w:rPr>
                <w:rFonts w:cs="Arial"/>
                <w:sz w:val="16"/>
                <w:szCs w:val="16"/>
                <w:lang w:bidi="th-TH"/>
              </w:rPr>
            </w:pPr>
          </w:p>
          <w:p w:rsidR="004007D3" w:rsidRPr="005C7CCE" w:rsidRDefault="004007D3" w:rsidP="001A5BF9">
            <w:pPr>
              <w:rPr>
                <w:rFonts w:cs="Arial"/>
                <w:sz w:val="16"/>
                <w:szCs w:val="16"/>
              </w:rPr>
            </w:pPr>
            <w:r w:rsidRPr="005C7CCE">
              <w:rPr>
                <w:sz w:val="16"/>
              </w:rPr>
              <w:t>Documents presse PCT sous forme électronique respectant les délais : 100</w:t>
            </w:r>
            <w:r w:rsidR="007E442D" w:rsidRPr="005C7CCE">
              <w:rPr>
                <w:sz w:val="16"/>
              </w:rPr>
              <w:t>%</w:t>
            </w:r>
          </w:p>
        </w:tc>
        <w:tc>
          <w:tcPr>
            <w:tcW w:w="682" w:type="pct"/>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color w:val="008000"/>
                <w:sz w:val="16"/>
              </w:rPr>
              <w:t>Objectif pleinement atteint</w:t>
            </w:r>
            <w:r w:rsidRPr="005C7CCE">
              <w:rPr>
                <w:color w:val="008000"/>
                <w:sz w:val="16"/>
              </w:rPr>
              <w:t xml:space="preserve"> </w:t>
            </w:r>
          </w:p>
        </w:tc>
      </w:tr>
      <w:tr w:rsidR="004007D3" w:rsidRPr="005C7CCE" w:rsidTr="0056083E">
        <w:trPr>
          <w:cantSplit/>
        </w:trPr>
        <w:tc>
          <w:tcPr>
            <w:tcW w:w="703" w:type="pct"/>
            <w:shd w:val="clear" w:color="auto" w:fill="auto"/>
          </w:tcPr>
          <w:p w:rsidR="00D42474" w:rsidRDefault="004007D3" w:rsidP="001A5BF9">
            <w:pPr>
              <w:rPr>
                <w:sz w:val="16"/>
              </w:rPr>
            </w:pPr>
            <w:r w:rsidRPr="00EE7C90">
              <w:rPr>
                <w:sz w:val="16"/>
              </w:rPr>
              <w:t>Pourcentage de notifications Madrid sur papier respectant les délais</w:t>
            </w:r>
          </w:p>
          <w:p w:rsidR="004007D3" w:rsidRPr="00EE7C90" w:rsidRDefault="004007D3" w:rsidP="001A5BF9">
            <w:pPr>
              <w:rPr>
                <w:rFonts w:cs="Arial"/>
                <w:sz w:val="16"/>
                <w:szCs w:val="16"/>
              </w:rPr>
            </w:pPr>
          </w:p>
        </w:tc>
        <w:tc>
          <w:tcPr>
            <w:tcW w:w="925" w:type="pct"/>
            <w:shd w:val="clear" w:color="auto" w:fill="auto"/>
          </w:tcPr>
          <w:p w:rsidR="004007D3" w:rsidRPr="00EE7C90" w:rsidRDefault="004007D3" w:rsidP="001A5BF9">
            <w:pPr>
              <w:rPr>
                <w:rFonts w:cs="Arial"/>
                <w:sz w:val="16"/>
                <w:szCs w:val="16"/>
              </w:rPr>
            </w:pPr>
            <w:r w:rsidRPr="00EE7C90">
              <w:rPr>
                <w:sz w:val="16"/>
              </w:rPr>
              <w:t>Taux à la fin 2011</w:t>
            </w:r>
          </w:p>
        </w:tc>
        <w:tc>
          <w:tcPr>
            <w:tcW w:w="727" w:type="pct"/>
            <w:shd w:val="clear" w:color="auto" w:fill="auto"/>
            <w:tcMar>
              <w:top w:w="110" w:type="dxa"/>
            </w:tcMar>
          </w:tcPr>
          <w:p w:rsidR="00D42474" w:rsidRDefault="004007D3" w:rsidP="001A5BF9">
            <w:pPr>
              <w:autoSpaceDE w:val="0"/>
              <w:autoSpaceDN w:val="0"/>
              <w:adjustRightInd w:val="0"/>
              <w:rPr>
                <w:rFonts w:cs="Arial"/>
                <w:sz w:val="16"/>
                <w:szCs w:val="16"/>
              </w:rPr>
            </w:pPr>
            <w:r w:rsidRPr="005C7CCE">
              <w:rPr>
                <w:sz w:val="16"/>
              </w:rPr>
              <w:t>10</w:t>
            </w:r>
            <w:r w:rsidR="007E442D" w:rsidRPr="005C7CCE">
              <w:rPr>
                <w:sz w:val="16"/>
              </w:rPr>
              <w:t>%</w:t>
            </w:r>
            <w:r w:rsidR="001F5113" w:rsidRPr="005C7CCE">
              <w:rPr>
                <w:sz w:val="16"/>
              </w:rPr>
              <w:t xml:space="preserve"> </w:t>
            </w:r>
            <w:r w:rsidRPr="005C7CCE">
              <w:rPr>
                <w:sz w:val="16"/>
              </w:rPr>
              <w:t>d</w:t>
            </w:r>
            <w:r w:rsidR="00A20444" w:rsidRPr="005C7CCE">
              <w:rPr>
                <w:sz w:val="16"/>
              </w:rPr>
              <w:t>’</w:t>
            </w:r>
            <w:r w:rsidRPr="005C7CCE">
              <w:rPr>
                <w:sz w:val="16"/>
              </w:rPr>
              <w:t>amélioration par rapport au niveau de référence</w:t>
            </w:r>
          </w:p>
          <w:p w:rsidR="004007D3" w:rsidRPr="005C7CCE" w:rsidRDefault="004007D3" w:rsidP="001A5BF9">
            <w:pPr>
              <w:rPr>
                <w:rFonts w:cs="Arial"/>
                <w:sz w:val="16"/>
                <w:szCs w:val="16"/>
              </w:rPr>
            </w:pPr>
          </w:p>
        </w:tc>
        <w:tc>
          <w:tcPr>
            <w:tcW w:w="1962" w:type="pct"/>
            <w:shd w:val="clear" w:color="auto" w:fill="FFFFFF"/>
            <w:tcMar>
              <w:top w:w="110" w:type="dxa"/>
            </w:tcMar>
          </w:tcPr>
          <w:p w:rsidR="004007D3" w:rsidRPr="005C7CCE" w:rsidRDefault="004007D3" w:rsidP="001A5BF9">
            <w:pPr>
              <w:rPr>
                <w:rFonts w:eastAsia="Calibri" w:cs="Arial"/>
                <w:sz w:val="16"/>
                <w:szCs w:val="16"/>
              </w:rPr>
            </w:pPr>
            <w:r w:rsidRPr="005C7CCE">
              <w:rPr>
                <w:sz w:val="16"/>
              </w:rPr>
              <w:t>Notifications Madrid sur papier respectant les délais : 99</w:t>
            </w:r>
            <w:r w:rsidR="007E442D" w:rsidRPr="005C7CCE">
              <w:rPr>
                <w:sz w:val="16"/>
              </w:rPr>
              <w:t>%</w:t>
            </w:r>
          </w:p>
        </w:tc>
        <w:tc>
          <w:tcPr>
            <w:tcW w:w="682" w:type="pct"/>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color w:val="008000"/>
                <w:sz w:val="16"/>
              </w:rPr>
              <w:t>Objectif pleinement atteint</w:t>
            </w:r>
            <w:r w:rsidRPr="005C7CCE">
              <w:rPr>
                <w:color w:val="008000"/>
                <w:sz w:val="16"/>
              </w:rPr>
              <w:t xml:space="preserve"> </w:t>
            </w:r>
          </w:p>
        </w:tc>
      </w:tr>
      <w:tr w:rsidR="004007D3" w:rsidRPr="005C7CCE" w:rsidTr="0056083E">
        <w:trPr>
          <w:cantSplit/>
        </w:trPr>
        <w:tc>
          <w:tcPr>
            <w:tcW w:w="703" w:type="pct"/>
            <w:shd w:val="clear" w:color="auto" w:fill="auto"/>
          </w:tcPr>
          <w:p w:rsidR="00D42474" w:rsidRDefault="004007D3" w:rsidP="001A5BF9">
            <w:pPr>
              <w:rPr>
                <w:rFonts w:cs="Arial"/>
                <w:sz w:val="16"/>
                <w:szCs w:val="16"/>
              </w:rPr>
            </w:pPr>
            <w:r w:rsidRPr="00EE7C90">
              <w:rPr>
                <w:sz w:val="16"/>
              </w:rPr>
              <w:t>Pourcentage de données Romarin du système de Madrid sous forme électronique respectant les délais</w:t>
            </w:r>
          </w:p>
          <w:p w:rsidR="004007D3" w:rsidRPr="00EE7C90" w:rsidRDefault="004007D3" w:rsidP="001A5BF9">
            <w:pPr>
              <w:rPr>
                <w:rFonts w:cs="Arial"/>
                <w:sz w:val="16"/>
                <w:szCs w:val="16"/>
              </w:rPr>
            </w:pPr>
          </w:p>
        </w:tc>
        <w:tc>
          <w:tcPr>
            <w:tcW w:w="925" w:type="pct"/>
            <w:shd w:val="clear" w:color="auto" w:fill="auto"/>
          </w:tcPr>
          <w:p w:rsidR="004007D3" w:rsidRPr="00EE7C90" w:rsidRDefault="004007D3" w:rsidP="001A5BF9">
            <w:pPr>
              <w:rPr>
                <w:rFonts w:cs="Arial"/>
                <w:sz w:val="16"/>
                <w:szCs w:val="16"/>
              </w:rPr>
            </w:pPr>
            <w:r w:rsidRPr="00EE7C90">
              <w:rPr>
                <w:sz w:val="16"/>
              </w:rPr>
              <w:t>Taux à la fin 2011</w:t>
            </w:r>
          </w:p>
        </w:tc>
        <w:tc>
          <w:tcPr>
            <w:tcW w:w="727" w:type="pct"/>
            <w:shd w:val="clear" w:color="auto" w:fill="auto"/>
            <w:tcMar>
              <w:top w:w="110" w:type="dxa"/>
            </w:tcMar>
          </w:tcPr>
          <w:p w:rsidR="004007D3" w:rsidRPr="005C7CCE" w:rsidRDefault="004007D3" w:rsidP="001A5BF9">
            <w:pPr>
              <w:rPr>
                <w:rFonts w:cs="Arial"/>
                <w:sz w:val="16"/>
                <w:szCs w:val="16"/>
              </w:rPr>
            </w:pPr>
            <w:r w:rsidRPr="005C7CCE">
              <w:rPr>
                <w:sz w:val="16"/>
              </w:rPr>
              <w:t>10</w:t>
            </w:r>
            <w:r w:rsidR="007E442D" w:rsidRPr="005C7CCE">
              <w:rPr>
                <w:sz w:val="16"/>
              </w:rPr>
              <w:t>%</w:t>
            </w:r>
            <w:r w:rsidR="001F5113" w:rsidRPr="005C7CCE">
              <w:rPr>
                <w:sz w:val="16"/>
              </w:rPr>
              <w:t xml:space="preserve"> </w:t>
            </w:r>
            <w:r w:rsidRPr="005C7CCE">
              <w:rPr>
                <w:sz w:val="16"/>
              </w:rPr>
              <w:t>d</w:t>
            </w:r>
            <w:r w:rsidR="00A20444" w:rsidRPr="005C7CCE">
              <w:rPr>
                <w:sz w:val="16"/>
              </w:rPr>
              <w:t>’</w:t>
            </w:r>
            <w:r w:rsidRPr="005C7CCE">
              <w:rPr>
                <w:sz w:val="16"/>
              </w:rPr>
              <w:t>amélioration par rapport au niveau de référence</w:t>
            </w:r>
          </w:p>
        </w:tc>
        <w:tc>
          <w:tcPr>
            <w:tcW w:w="1962" w:type="pct"/>
            <w:shd w:val="clear" w:color="auto" w:fill="FFFFFF"/>
            <w:tcMar>
              <w:top w:w="110" w:type="dxa"/>
            </w:tcMar>
          </w:tcPr>
          <w:p w:rsidR="00D42474" w:rsidRDefault="004007D3" w:rsidP="001A5BF9">
            <w:pPr>
              <w:rPr>
                <w:rFonts w:cs="Arial"/>
                <w:sz w:val="16"/>
                <w:szCs w:val="16"/>
                <w:lang w:bidi="th-TH"/>
              </w:rPr>
            </w:pPr>
            <w:r w:rsidRPr="005C7CCE">
              <w:rPr>
                <w:sz w:val="16"/>
              </w:rPr>
              <w:t>Données Romarin du système de Madrid sous forme électronique respectant les délais : 100</w:t>
            </w:r>
            <w:r w:rsidR="007E442D" w:rsidRPr="005C7CCE">
              <w:rPr>
                <w:sz w:val="16"/>
              </w:rPr>
              <w:t>%</w:t>
            </w:r>
            <w:r w:rsidRPr="005C7CCE">
              <w:rPr>
                <w:sz w:val="16"/>
              </w:rPr>
              <w:t xml:space="preserve"> (début 2012)</w:t>
            </w:r>
          </w:p>
          <w:p w:rsidR="00D42474" w:rsidRDefault="00D42474" w:rsidP="001A5BF9">
            <w:pPr>
              <w:rPr>
                <w:rFonts w:cs="Arial"/>
                <w:sz w:val="16"/>
                <w:szCs w:val="16"/>
                <w:lang w:bidi="th-TH"/>
              </w:rPr>
            </w:pPr>
          </w:p>
          <w:p w:rsidR="004007D3" w:rsidRPr="005C7CCE" w:rsidRDefault="004007D3" w:rsidP="001A5BF9">
            <w:pPr>
              <w:rPr>
                <w:rFonts w:cs="Arial"/>
                <w:sz w:val="16"/>
                <w:szCs w:val="16"/>
              </w:rPr>
            </w:pPr>
            <w:r w:rsidRPr="005C7CCE">
              <w:rPr>
                <w:sz w:val="16"/>
              </w:rPr>
              <w:t xml:space="preserve">Ce service a été arrêté début 2012. </w:t>
            </w:r>
            <w:r w:rsidR="0010442A" w:rsidRPr="005C7CCE">
              <w:rPr>
                <w:sz w:val="16"/>
              </w:rPr>
              <w:t xml:space="preserve"> </w:t>
            </w:r>
          </w:p>
        </w:tc>
        <w:tc>
          <w:tcPr>
            <w:tcW w:w="682" w:type="pct"/>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EE7C90">
              <w:rPr>
                <w:sz w:val="16"/>
              </w:rPr>
              <w:t>Objectif abandonné</w:t>
            </w:r>
          </w:p>
        </w:tc>
      </w:tr>
    </w:tbl>
    <w:p w:rsidR="00D42474" w:rsidRDefault="00D42474" w:rsidP="001A5BF9">
      <w:pPr>
        <w:keepNext/>
        <w:keepLines/>
        <w:rPr>
          <w:rFonts w:cs="Arial"/>
          <w:szCs w:val="22"/>
        </w:rPr>
      </w:pPr>
    </w:p>
    <w:p w:rsidR="00D42474" w:rsidRDefault="00D42474" w:rsidP="001A5BF9">
      <w:pPr>
        <w:keepNext/>
        <w:keepLines/>
        <w:rPr>
          <w:rFonts w:cs="Arial"/>
          <w:szCs w:val="22"/>
        </w:rPr>
      </w:pPr>
    </w:p>
    <w:p w:rsidR="00D42474" w:rsidRDefault="004007D3" w:rsidP="001A5BF9">
      <w:pPr>
        <w:keepNext/>
        <w:keepLines/>
        <w:rPr>
          <w:rFonts w:cs="Arial"/>
          <w:szCs w:val="22"/>
        </w:rPr>
      </w:pPr>
      <w:r w:rsidRPr="00866763">
        <w:rPr>
          <w:sz w:val="22"/>
        </w:rPr>
        <w:t>BUDGET ET DÉPENSES EFFECTIVES</w:t>
      </w:r>
    </w:p>
    <w:p w:rsidR="00D42474" w:rsidRDefault="00D42474" w:rsidP="001A5BF9">
      <w:pPr>
        <w:keepNext/>
        <w:keepLines/>
        <w:rPr>
          <w:rFonts w:cs="Arial"/>
          <w:szCs w:val="20"/>
        </w:rPr>
      </w:pPr>
    </w:p>
    <w:p w:rsidR="00D42474" w:rsidRDefault="004007D3" w:rsidP="001A5BF9">
      <w:pPr>
        <w:jc w:val="center"/>
      </w:pPr>
      <w:r w:rsidRPr="00251542">
        <w:t>Budget et dépenses effectives (par résultat)</w:t>
      </w:r>
    </w:p>
    <w:p w:rsidR="00D42474" w:rsidRDefault="004007D3" w:rsidP="001A5BF9">
      <w:pPr>
        <w:jc w:val="center"/>
        <w:rPr>
          <w:rFonts w:cs="Arial"/>
          <w:szCs w:val="20"/>
        </w:rPr>
      </w:pPr>
      <w:r w:rsidRPr="00251542">
        <w:rPr>
          <w:i/>
        </w:rPr>
        <w:t>(</w:t>
      </w:r>
      <w:proofErr w:type="gramStart"/>
      <w:r w:rsidRPr="00251542">
        <w:rPr>
          <w:i/>
        </w:rPr>
        <w:t>en</w:t>
      </w:r>
      <w:proofErr w:type="gramEnd"/>
      <w:r w:rsidRPr="00251542">
        <w:rPr>
          <w:i/>
        </w:rPr>
        <w:t xml:space="preserve"> milliers de francs suisses)</w:t>
      </w:r>
    </w:p>
    <w:p w:rsidR="004007D3" w:rsidRPr="00251542" w:rsidRDefault="004007D3" w:rsidP="001A5BF9">
      <w:pPr>
        <w:keepNext/>
        <w:keepLines/>
        <w:rPr>
          <w:rFonts w:cs="Arial"/>
          <w:szCs w:val="20"/>
        </w:rPr>
      </w:pPr>
    </w:p>
    <w:tbl>
      <w:tblPr>
        <w:tblW w:w="0" w:type="auto"/>
        <w:tblInd w:w="103" w:type="dxa"/>
        <w:tblLayout w:type="fixed"/>
        <w:tblLook w:val="04A0" w:firstRow="1" w:lastRow="0" w:firstColumn="1" w:lastColumn="0" w:noHBand="0" w:noVBand="1"/>
      </w:tblPr>
      <w:tblGrid>
        <w:gridCol w:w="501"/>
        <w:gridCol w:w="4749"/>
        <w:gridCol w:w="1370"/>
        <w:gridCol w:w="1370"/>
        <w:gridCol w:w="1366"/>
        <w:gridCol w:w="15"/>
      </w:tblGrid>
      <w:tr w:rsidR="004007D3" w:rsidRPr="00251542" w:rsidTr="00797A8B">
        <w:tc>
          <w:tcPr>
            <w:tcW w:w="5250"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4007D3" w:rsidRPr="00251542" w:rsidRDefault="004007D3" w:rsidP="001A5BF9">
            <w:pPr>
              <w:spacing w:before="120" w:after="120"/>
              <w:jc w:val="center"/>
              <w:rPr>
                <w:rFonts w:cs="Arial"/>
                <w:bCs/>
                <w:sz w:val="16"/>
                <w:szCs w:val="16"/>
              </w:rPr>
            </w:pPr>
            <w:r w:rsidRPr="00251542">
              <w:rPr>
                <w:sz w:val="16"/>
              </w:rPr>
              <w:t>Numéro et description du résultat escompté</w:t>
            </w:r>
          </w:p>
        </w:tc>
        <w:tc>
          <w:tcPr>
            <w:tcW w:w="1370" w:type="dxa"/>
            <w:tcBorders>
              <w:top w:val="single" w:sz="4" w:space="0" w:color="auto"/>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2012–2013</w:t>
            </w:r>
            <w:r w:rsidRPr="00251542">
              <w:br/>
            </w:r>
            <w:r w:rsidRPr="00251542">
              <w:rPr>
                <w:sz w:val="16"/>
              </w:rPr>
              <w:t>approuvé</w:t>
            </w:r>
          </w:p>
        </w:tc>
        <w:tc>
          <w:tcPr>
            <w:tcW w:w="1370" w:type="dxa"/>
            <w:tcBorders>
              <w:top w:val="single" w:sz="4" w:space="0" w:color="auto"/>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w:t>
            </w:r>
            <w:r w:rsidR="002D6F2A" w:rsidRPr="00251542">
              <w:rPr>
                <w:sz w:val="16"/>
              </w:rPr>
              <w:noBreakHyphen/>
            </w:r>
            <w:r w:rsidRPr="00251542">
              <w:rPr>
                <w:sz w:val="16"/>
              </w:rPr>
              <w:t>2013</w:t>
            </w:r>
            <w:r w:rsidRPr="00251542">
              <w:br/>
            </w:r>
            <w:r w:rsidRPr="00251542">
              <w:rPr>
                <w:sz w:val="16"/>
              </w:rPr>
              <w:t>après virements</w:t>
            </w:r>
          </w:p>
        </w:tc>
        <w:tc>
          <w:tcPr>
            <w:tcW w:w="1371" w:type="dxa"/>
            <w:gridSpan w:val="2"/>
            <w:tcBorders>
              <w:top w:val="single" w:sz="4" w:space="0" w:color="auto"/>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Dépenses</w:t>
            </w:r>
            <w:r w:rsidRPr="00251542">
              <w:br/>
            </w:r>
            <w:r w:rsidRPr="00251542">
              <w:rPr>
                <w:sz w:val="16"/>
              </w:rPr>
              <w:t>2012</w:t>
            </w:r>
            <w:r w:rsidR="002D6F2A" w:rsidRPr="00251542">
              <w:rPr>
                <w:sz w:val="16"/>
              </w:rPr>
              <w:noBreakHyphen/>
            </w:r>
            <w:r w:rsidRPr="00251542">
              <w:rPr>
                <w:sz w:val="16"/>
              </w:rPr>
              <w:t>2013</w:t>
            </w:r>
          </w:p>
        </w:tc>
      </w:tr>
      <w:tr w:rsidR="004007D3" w:rsidRPr="00251542" w:rsidTr="00797A8B">
        <w:trPr>
          <w:gridAfter w:val="1"/>
          <w:wAfter w:w="15" w:type="dxa"/>
        </w:trPr>
        <w:tc>
          <w:tcPr>
            <w:tcW w:w="501" w:type="dxa"/>
            <w:tcBorders>
              <w:top w:val="nil"/>
              <w:left w:val="single" w:sz="4" w:space="0" w:color="auto"/>
              <w:bottom w:val="single" w:sz="4" w:space="0" w:color="auto"/>
              <w:right w:val="nil"/>
            </w:tcBorders>
            <w:shd w:val="clear" w:color="000000" w:fill="FFFFFF"/>
            <w:noWrap/>
          </w:tcPr>
          <w:p w:rsidR="004007D3" w:rsidRPr="00251542" w:rsidRDefault="004007D3" w:rsidP="001A5BF9">
            <w:pPr>
              <w:spacing w:before="120" w:after="120"/>
              <w:jc w:val="center"/>
              <w:rPr>
                <w:rFonts w:cs="Arial"/>
                <w:sz w:val="16"/>
                <w:szCs w:val="16"/>
              </w:rPr>
            </w:pPr>
            <w:proofErr w:type="spellStart"/>
            <w:r w:rsidRPr="00251542">
              <w:rPr>
                <w:sz w:val="16"/>
              </w:rPr>
              <w:t>IX.1</w:t>
            </w:r>
            <w:proofErr w:type="spellEnd"/>
          </w:p>
        </w:tc>
        <w:tc>
          <w:tcPr>
            <w:tcW w:w="4749" w:type="dxa"/>
            <w:tcBorders>
              <w:top w:val="nil"/>
              <w:left w:val="nil"/>
              <w:bottom w:val="single" w:sz="4" w:space="0" w:color="auto"/>
              <w:right w:val="nil"/>
            </w:tcBorders>
            <w:shd w:val="clear" w:color="000000" w:fill="FFFFFF"/>
          </w:tcPr>
          <w:p w:rsidR="004007D3" w:rsidRPr="00251542" w:rsidRDefault="004007D3" w:rsidP="001A5BF9">
            <w:pPr>
              <w:spacing w:before="120" w:after="120"/>
              <w:rPr>
                <w:rFonts w:cs="Arial"/>
                <w:sz w:val="16"/>
                <w:szCs w:val="16"/>
              </w:rPr>
            </w:pPr>
            <w:r w:rsidRPr="00251542">
              <w:rPr>
                <w:sz w:val="16"/>
              </w:rPr>
              <w:t>Services d</w:t>
            </w:r>
            <w:r w:rsidR="00A20444" w:rsidRPr="00251542">
              <w:rPr>
                <w:sz w:val="16"/>
              </w:rPr>
              <w:t>’</w:t>
            </w:r>
            <w:r w:rsidRPr="00251542">
              <w:rPr>
                <w:sz w:val="16"/>
              </w:rPr>
              <w:t>appui efficaces, efficients, de qualité et tournés vers la clientèle, à l</w:t>
            </w:r>
            <w:r w:rsidR="00A20444" w:rsidRPr="00251542">
              <w:rPr>
                <w:sz w:val="16"/>
              </w:rPr>
              <w:t>’</w:t>
            </w:r>
            <w:r w:rsidRPr="00251542">
              <w:rPr>
                <w:sz w:val="16"/>
              </w:rPr>
              <w:t>intention à la fois des clients interne</w:t>
            </w:r>
            <w:r w:rsidR="00C61B12" w:rsidRPr="00251542">
              <w:rPr>
                <w:sz w:val="16"/>
              </w:rPr>
              <w:t>s</w:t>
            </w:r>
            <w:r w:rsidRPr="00251542">
              <w:rPr>
                <w:sz w:val="16"/>
              </w:rPr>
              <w:t xml:space="preserve"> et des parties prenantes externes (ressources humaines, informatique, conférences, service linguistique, achats, voyages, imprimerie et publications, gestion des locaux)</w:t>
            </w:r>
          </w:p>
        </w:tc>
        <w:tc>
          <w:tcPr>
            <w:tcW w:w="1365" w:type="dxa"/>
            <w:tcBorders>
              <w:top w:val="nil"/>
              <w:left w:val="nil"/>
              <w:bottom w:val="nil"/>
              <w:right w:val="nil"/>
            </w:tcBorders>
            <w:shd w:val="clear" w:color="000000" w:fill="FFFFFF"/>
            <w:vAlign w:val="center"/>
          </w:tcPr>
          <w:p w:rsidR="004007D3" w:rsidRPr="00251542" w:rsidRDefault="004007D3" w:rsidP="001A5BF9">
            <w:pPr>
              <w:spacing w:before="120" w:after="120"/>
              <w:jc w:val="right"/>
              <w:rPr>
                <w:rFonts w:cs="Arial"/>
                <w:sz w:val="16"/>
                <w:szCs w:val="16"/>
              </w:rPr>
            </w:pPr>
            <w:r w:rsidRPr="00251542">
              <w:rPr>
                <w:sz w:val="16"/>
              </w:rPr>
              <w:t xml:space="preserve">37 240 </w:t>
            </w:r>
          </w:p>
        </w:tc>
        <w:tc>
          <w:tcPr>
            <w:tcW w:w="1365" w:type="dxa"/>
            <w:tcBorders>
              <w:top w:val="nil"/>
              <w:left w:val="nil"/>
              <w:bottom w:val="nil"/>
              <w:right w:val="nil"/>
            </w:tcBorders>
            <w:shd w:val="clear" w:color="000000" w:fill="FFFFFF"/>
            <w:vAlign w:val="center"/>
          </w:tcPr>
          <w:p w:rsidR="004007D3" w:rsidRPr="00251542" w:rsidRDefault="004007D3" w:rsidP="001A5BF9">
            <w:pPr>
              <w:spacing w:before="120" w:after="120"/>
              <w:jc w:val="right"/>
              <w:rPr>
                <w:rFonts w:cs="Arial"/>
                <w:sz w:val="16"/>
                <w:szCs w:val="16"/>
              </w:rPr>
            </w:pPr>
            <w:r w:rsidRPr="00251542">
              <w:rPr>
                <w:sz w:val="16"/>
              </w:rPr>
              <w:t xml:space="preserve">37 706 </w:t>
            </w:r>
          </w:p>
        </w:tc>
        <w:tc>
          <w:tcPr>
            <w:tcW w:w="1366" w:type="dxa"/>
            <w:tcBorders>
              <w:top w:val="nil"/>
              <w:left w:val="nil"/>
              <w:bottom w:val="nil"/>
              <w:right w:val="single" w:sz="4" w:space="0" w:color="auto"/>
            </w:tcBorders>
            <w:shd w:val="clear" w:color="000000" w:fill="FFFFFF"/>
            <w:vAlign w:val="center"/>
          </w:tcPr>
          <w:p w:rsidR="004007D3" w:rsidRPr="00251542" w:rsidRDefault="004007D3" w:rsidP="001A5BF9">
            <w:pPr>
              <w:spacing w:before="120" w:after="120"/>
              <w:jc w:val="right"/>
              <w:rPr>
                <w:rFonts w:cs="Arial"/>
                <w:sz w:val="16"/>
                <w:szCs w:val="16"/>
              </w:rPr>
            </w:pPr>
            <w:r w:rsidRPr="00251542">
              <w:rPr>
                <w:sz w:val="16"/>
              </w:rPr>
              <w:t xml:space="preserve">37 079 </w:t>
            </w:r>
          </w:p>
        </w:tc>
      </w:tr>
      <w:tr w:rsidR="004007D3" w:rsidRPr="00251542" w:rsidTr="00797A8B">
        <w:trPr>
          <w:gridAfter w:val="1"/>
          <w:wAfter w:w="15" w:type="dxa"/>
        </w:trPr>
        <w:tc>
          <w:tcPr>
            <w:tcW w:w="501" w:type="dxa"/>
            <w:tcBorders>
              <w:top w:val="nil"/>
              <w:left w:val="single" w:sz="4" w:space="0" w:color="auto"/>
              <w:bottom w:val="single" w:sz="4" w:space="0" w:color="auto"/>
              <w:right w:val="nil"/>
            </w:tcBorders>
            <w:shd w:val="clear" w:color="000000" w:fill="CCFFFF"/>
            <w:noWrap/>
            <w:vAlign w:val="bottom"/>
          </w:tcPr>
          <w:p w:rsidR="004007D3" w:rsidRPr="00251542" w:rsidRDefault="004007D3" w:rsidP="001A5BF9">
            <w:pPr>
              <w:spacing w:before="120" w:after="120"/>
              <w:jc w:val="center"/>
              <w:rPr>
                <w:rFonts w:cs="Arial"/>
                <w:b/>
                <w:bCs/>
                <w:sz w:val="16"/>
                <w:szCs w:val="16"/>
              </w:rPr>
            </w:pPr>
            <w:r w:rsidRPr="00251542">
              <w:rPr>
                <w:b/>
                <w:sz w:val="16"/>
              </w:rPr>
              <w:t> </w:t>
            </w:r>
          </w:p>
        </w:tc>
        <w:tc>
          <w:tcPr>
            <w:tcW w:w="4749" w:type="dxa"/>
            <w:tcBorders>
              <w:top w:val="nil"/>
              <w:left w:val="nil"/>
              <w:bottom w:val="single" w:sz="4" w:space="0" w:color="auto"/>
              <w:right w:val="nil"/>
            </w:tcBorders>
            <w:shd w:val="clear" w:color="000000" w:fill="CCFFFF"/>
            <w:noWrap/>
            <w:vAlign w:val="center"/>
          </w:tcPr>
          <w:p w:rsidR="004007D3" w:rsidRPr="00251542" w:rsidRDefault="004007D3" w:rsidP="001A5BF9">
            <w:pPr>
              <w:spacing w:before="120" w:after="120"/>
              <w:rPr>
                <w:rFonts w:cs="Arial"/>
                <w:b/>
                <w:bCs/>
                <w:sz w:val="16"/>
                <w:szCs w:val="16"/>
              </w:rPr>
            </w:pPr>
            <w:r w:rsidRPr="00251542">
              <w:rPr>
                <w:b/>
                <w:sz w:val="16"/>
              </w:rPr>
              <w:t>Total</w:t>
            </w:r>
          </w:p>
        </w:tc>
        <w:tc>
          <w:tcPr>
            <w:tcW w:w="1365" w:type="dxa"/>
            <w:tcBorders>
              <w:top w:val="single" w:sz="4" w:space="0" w:color="auto"/>
              <w:left w:val="single" w:sz="4" w:space="0" w:color="auto"/>
              <w:bottom w:val="single" w:sz="4" w:space="0" w:color="auto"/>
              <w:right w:val="single" w:sz="4" w:space="0" w:color="auto"/>
            </w:tcBorders>
            <w:shd w:val="clear" w:color="000000" w:fill="CCFFFF"/>
            <w:vAlign w:val="center"/>
          </w:tcPr>
          <w:p w:rsidR="004007D3" w:rsidRPr="00251542" w:rsidRDefault="004007D3" w:rsidP="001A5BF9">
            <w:pPr>
              <w:spacing w:before="120" w:after="120"/>
              <w:jc w:val="right"/>
              <w:rPr>
                <w:rFonts w:cs="Arial"/>
                <w:b/>
                <w:bCs/>
                <w:sz w:val="16"/>
                <w:szCs w:val="16"/>
              </w:rPr>
            </w:pPr>
            <w:r w:rsidRPr="00251542">
              <w:rPr>
                <w:b/>
                <w:sz w:val="16"/>
              </w:rPr>
              <w:t>37 240</w:t>
            </w:r>
          </w:p>
        </w:tc>
        <w:tc>
          <w:tcPr>
            <w:tcW w:w="1365" w:type="dxa"/>
            <w:tcBorders>
              <w:top w:val="single" w:sz="4" w:space="0" w:color="auto"/>
              <w:left w:val="nil"/>
              <w:bottom w:val="single" w:sz="4" w:space="0" w:color="auto"/>
              <w:right w:val="single" w:sz="4" w:space="0" w:color="auto"/>
            </w:tcBorders>
            <w:shd w:val="clear" w:color="000000" w:fill="CCFFFF"/>
            <w:noWrap/>
            <w:vAlign w:val="center"/>
          </w:tcPr>
          <w:p w:rsidR="004007D3" w:rsidRPr="00251542" w:rsidRDefault="004007D3" w:rsidP="001A5BF9">
            <w:pPr>
              <w:spacing w:before="120" w:after="120"/>
              <w:jc w:val="right"/>
              <w:rPr>
                <w:rFonts w:cs="Arial"/>
                <w:b/>
                <w:bCs/>
                <w:sz w:val="16"/>
                <w:szCs w:val="16"/>
              </w:rPr>
            </w:pPr>
            <w:r w:rsidRPr="00251542">
              <w:rPr>
                <w:b/>
                <w:sz w:val="16"/>
              </w:rPr>
              <w:t>37 706</w:t>
            </w:r>
          </w:p>
        </w:tc>
        <w:tc>
          <w:tcPr>
            <w:tcW w:w="1366" w:type="dxa"/>
            <w:tcBorders>
              <w:top w:val="single" w:sz="4" w:space="0" w:color="auto"/>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right"/>
              <w:rPr>
                <w:rFonts w:cs="Arial"/>
                <w:b/>
                <w:bCs/>
                <w:sz w:val="16"/>
                <w:szCs w:val="16"/>
              </w:rPr>
            </w:pPr>
            <w:r w:rsidRPr="00251542">
              <w:rPr>
                <w:b/>
                <w:sz w:val="16"/>
              </w:rPr>
              <w:t>37 079</w:t>
            </w:r>
          </w:p>
        </w:tc>
      </w:tr>
    </w:tbl>
    <w:p w:rsidR="00D42474" w:rsidRDefault="00D42474" w:rsidP="001A5BF9">
      <w:pPr>
        <w:keepNext/>
        <w:keepLines/>
        <w:rPr>
          <w:rFonts w:cs="Arial"/>
          <w:szCs w:val="20"/>
        </w:rPr>
      </w:pPr>
    </w:p>
    <w:p w:rsidR="00D42474" w:rsidRDefault="00EE7C90">
      <w:r>
        <w:br w:type="page"/>
      </w:r>
    </w:p>
    <w:p w:rsidR="00D42474" w:rsidRDefault="004007D3" w:rsidP="001A5BF9">
      <w:pPr>
        <w:jc w:val="center"/>
      </w:pPr>
      <w:r w:rsidRPr="00251542">
        <w:t xml:space="preserve">Budget et dépenses effectives (dépenses de </w:t>
      </w:r>
      <w:proofErr w:type="gramStart"/>
      <w:r w:rsidRPr="00251542">
        <w:t>personnel et autres dépenses</w:t>
      </w:r>
      <w:proofErr w:type="gramEnd"/>
      <w:r w:rsidRPr="00251542">
        <w:t>)</w:t>
      </w:r>
    </w:p>
    <w:p w:rsidR="00D42474" w:rsidRDefault="004007D3" w:rsidP="001A5BF9">
      <w:pPr>
        <w:jc w:val="center"/>
        <w:rPr>
          <w:rFonts w:cs="Arial"/>
          <w:i/>
          <w:iCs/>
          <w:szCs w:val="20"/>
        </w:rPr>
      </w:pPr>
      <w:r w:rsidRPr="00251542">
        <w:rPr>
          <w:i/>
        </w:rPr>
        <w:t>(</w:t>
      </w:r>
      <w:proofErr w:type="gramStart"/>
      <w:r w:rsidRPr="00251542">
        <w:rPr>
          <w:i/>
        </w:rPr>
        <w:t>en</w:t>
      </w:r>
      <w:proofErr w:type="gramEnd"/>
      <w:r w:rsidRPr="00251542">
        <w:rPr>
          <w:i/>
        </w:rPr>
        <w:t xml:space="preserve"> milliers de francs suisses)</w:t>
      </w:r>
    </w:p>
    <w:p w:rsidR="004007D3" w:rsidRPr="00251542" w:rsidRDefault="004007D3" w:rsidP="001A5BF9">
      <w:pPr>
        <w:jc w:val="center"/>
        <w:rPr>
          <w:rFonts w:cs="Arial"/>
          <w:szCs w:val="20"/>
        </w:rPr>
      </w:pPr>
    </w:p>
    <w:tbl>
      <w:tblPr>
        <w:tblW w:w="0" w:type="auto"/>
        <w:tblInd w:w="93" w:type="dxa"/>
        <w:tblLook w:val="04A0" w:firstRow="1" w:lastRow="0" w:firstColumn="1" w:lastColumn="0" w:noHBand="0" w:noVBand="1"/>
      </w:tblPr>
      <w:tblGrid>
        <w:gridCol w:w="2567"/>
        <w:gridCol w:w="1701"/>
        <w:gridCol w:w="1701"/>
        <w:gridCol w:w="1701"/>
        <w:gridCol w:w="1701"/>
      </w:tblGrid>
      <w:tr w:rsidR="004007D3" w:rsidRPr="00251542" w:rsidTr="0056083E">
        <w:tc>
          <w:tcPr>
            <w:tcW w:w="2567"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4007D3" w:rsidRPr="00251542" w:rsidRDefault="004007D3" w:rsidP="001A5BF9">
            <w:pPr>
              <w:spacing w:before="120" w:after="120"/>
              <w:rPr>
                <w:rFonts w:cs="Arial"/>
                <w:sz w:val="16"/>
                <w:szCs w:val="16"/>
              </w:rPr>
            </w:pPr>
            <w:r w:rsidRPr="00251542">
              <w:rPr>
                <w:sz w:val="16"/>
              </w:rPr>
              <w:t> </w:t>
            </w:r>
          </w:p>
        </w:tc>
        <w:tc>
          <w:tcPr>
            <w:tcW w:w="1701" w:type="dxa"/>
            <w:tcBorders>
              <w:top w:val="single" w:sz="4" w:space="0" w:color="auto"/>
              <w:left w:val="nil"/>
              <w:bottom w:val="nil"/>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w:t>
            </w:r>
            <w:r w:rsidR="002D6F2A" w:rsidRPr="00251542">
              <w:rPr>
                <w:sz w:val="16"/>
              </w:rPr>
              <w:noBreakHyphen/>
            </w:r>
            <w:r w:rsidRPr="00251542">
              <w:rPr>
                <w:sz w:val="16"/>
              </w:rPr>
              <w:t>2013</w:t>
            </w:r>
            <w:r w:rsidRPr="00251542">
              <w:br/>
            </w:r>
            <w:r w:rsidRPr="00251542">
              <w:rPr>
                <w:sz w:val="16"/>
              </w:rPr>
              <w:t>approuvé</w:t>
            </w:r>
          </w:p>
        </w:tc>
        <w:tc>
          <w:tcPr>
            <w:tcW w:w="1701" w:type="dxa"/>
            <w:tcBorders>
              <w:top w:val="single" w:sz="4" w:space="0" w:color="auto"/>
              <w:left w:val="nil"/>
              <w:bottom w:val="nil"/>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w:t>
            </w:r>
            <w:r w:rsidR="002D6F2A" w:rsidRPr="00251542">
              <w:rPr>
                <w:sz w:val="16"/>
              </w:rPr>
              <w:noBreakHyphen/>
            </w:r>
            <w:r w:rsidRPr="00251542">
              <w:rPr>
                <w:sz w:val="16"/>
              </w:rPr>
              <w:t>2013</w:t>
            </w:r>
            <w:r w:rsidRPr="00251542">
              <w:br/>
            </w:r>
            <w:r w:rsidRPr="00251542">
              <w:rPr>
                <w:sz w:val="16"/>
              </w:rPr>
              <w:t>après virements</w:t>
            </w:r>
          </w:p>
        </w:tc>
        <w:tc>
          <w:tcPr>
            <w:tcW w:w="1701" w:type="dxa"/>
            <w:tcBorders>
              <w:top w:val="single" w:sz="4" w:space="0" w:color="auto"/>
              <w:left w:val="nil"/>
              <w:bottom w:val="nil"/>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Dépenses</w:t>
            </w:r>
            <w:r w:rsidRPr="00251542">
              <w:br/>
            </w:r>
            <w:r w:rsidRPr="00251542">
              <w:rPr>
                <w:sz w:val="16"/>
              </w:rPr>
              <w:t>2012</w:t>
            </w:r>
            <w:r w:rsidR="002D6F2A" w:rsidRPr="00251542">
              <w:rPr>
                <w:sz w:val="16"/>
              </w:rPr>
              <w:noBreakHyphen/>
            </w:r>
            <w:r w:rsidRPr="00251542">
              <w:rPr>
                <w:sz w:val="16"/>
              </w:rPr>
              <w:t>2013</w:t>
            </w:r>
          </w:p>
        </w:tc>
        <w:tc>
          <w:tcPr>
            <w:tcW w:w="1701" w:type="dxa"/>
            <w:tcBorders>
              <w:top w:val="single" w:sz="4" w:space="0" w:color="auto"/>
              <w:left w:val="nil"/>
              <w:bottom w:val="nil"/>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Taux d</w:t>
            </w:r>
            <w:r w:rsidR="00A20444" w:rsidRPr="00251542">
              <w:rPr>
                <w:sz w:val="16"/>
              </w:rPr>
              <w:t>’</w:t>
            </w:r>
            <w:r w:rsidRPr="00251542">
              <w:rPr>
                <w:sz w:val="16"/>
              </w:rPr>
              <w:t xml:space="preserve">utilisation </w:t>
            </w:r>
            <w:r w:rsidR="00BD43F2" w:rsidRPr="00251542">
              <w:rPr>
                <w:sz w:val="16"/>
              </w:rPr>
              <w:t>(%)</w:t>
            </w:r>
          </w:p>
        </w:tc>
      </w:tr>
      <w:tr w:rsidR="004007D3" w:rsidRPr="00251542" w:rsidTr="0056083E">
        <w:tc>
          <w:tcPr>
            <w:tcW w:w="2567" w:type="dxa"/>
            <w:tcBorders>
              <w:top w:val="nil"/>
              <w:left w:val="single" w:sz="4" w:space="0" w:color="auto"/>
              <w:bottom w:val="single" w:sz="4" w:space="0" w:color="auto"/>
              <w:right w:val="single" w:sz="4" w:space="0" w:color="auto"/>
            </w:tcBorders>
            <w:shd w:val="clear" w:color="auto" w:fill="auto"/>
            <w:noWrap/>
            <w:vAlign w:val="center"/>
          </w:tcPr>
          <w:p w:rsidR="004007D3" w:rsidRPr="00251542" w:rsidRDefault="004007D3" w:rsidP="001A5BF9">
            <w:pPr>
              <w:spacing w:before="120" w:after="120"/>
              <w:rPr>
                <w:rFonts w:cs="Arial"/>
                <w:sz w:val="16"/>
                <w:szCs w:val="16"/>
              </w:rPr>
            </w:pPr>
            <w:r w:rsidRPr="00251542">
              <w:rPr>
                <w:sz w:val="16"/>
              </w:rPr>
              <w:t>Dépenses de personnel</w:t>
            </w:r>
            <w:r w:rsidR="004F3E42" w:rsidRPr="00251542">
              <w:rPr>
                <w:sz w:val="16"/>
              </w:rPr>
              <w:t xml:space="preserve"> </w:t>
            </w:r>
          </w:p>
        </w:tc>
        <w:tc>
          <w:tcPr>
            <w:tcW w:w="1701"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28 090</w:t>
            </w:r>
          </w:p>
        </w:tc>
        <w:tc>
          <w:tcPr>
            <w:tcW w:w="1701"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28 022</w:t>
            </w:r>
          </w:p>
        </w:tc>
        <w:tc>
          <w:tcPr>
            <w:tcW w:w="1701"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28 022</w:t>
            </w:r>
          </w:p>
        </w:tc>
        <w:tc>
          <w:tcPr>
            <w:tcW w:w="1701"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100</w:t>
            </w:r>
            <w:r w:rsidR="007E442D" w:rsidRPr="00251542">
              <w:rPr>
                <w:sz w:val="16"/>
              </w:rPr>
              <w:t>%</w:t>
            </w:r>
          </w:p>
        </w:tc>
      </w:tr>
      <w:tr w:rsidR="004007D3" w:rsidRPr="00251542" w:rsidTr="0056083E">
        <w:tc>
          <w:tcPr>
            <w:tcW w:w="2567" w:type="dxa"/>
            <w:tcBorders>
              <w:top w:val="nil"/>
              <w:left w:val="single" w:sz="4" w:space="0" w:color="auto"/>
              <w:bottom w:val="single" w:sz="4" w:space="0" w:color="auto"/>
              <w:right w:val="single" w:sz="4" w:space="0" w:color="auto"/>
            </w:tcBorders>
            <w:shd w:val="clear" w:color="auto" w:fill="auto"/>
            <w:noWrap/>
            <w:vAlign w:val="center"/>
          </w:tcPr>
          <w:p w:rsidR="004007D3" w:rsidRPr="00251542" w:rsidRDefault="004007D3" w:rsidP="001A5BF9">
            <w:pPr>
              <w:spacing w:before="120" w:after="120"/>
              <w:rPr>
                <w:rFonts w:cs="Arial"/>
                <w:sz w:val="16"/>
                <w:szCs w:val="16"/>
              </w:rPr>
            </w:pPr>
            <w:r w:rsidRPr="00251542">
              <w:rPr>
                <w:sz w:val="16"/>
              </w:rPr>
              <w:t xml:space="preserve">Autres dépenses </w:t>
            </w:r>
          </w:p>
        </w:tc>
        <w:tc>
          <w:tcPr>
            <w:tcW w:w="170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9 150</w:t>
            </w:r>
          </w:p>
        </w:tc>
        <w:tc>
          <w:tcPr>
            <w:tcW w:w="170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9 684</w:t>
            </w:r>
          </w:p>
        </w:tc>
        <w:tc>
          <w:tcPr>
            <w:tcW w:w="170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9 057</w:t>
            </w:r>
          </w:p>
        </w:tc>
        <w:tc>
          <w:tcPr>
            <w:tcW w:w="170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94</w:t>
            </w:r>
            <w:r w:rsidR="007E442D" w:rsidRPr="00251542">
              <w:rPr>
                <w:sz w:val="16"/>
              </w:rPr>
              <w:t>%</w:t>
            </w:r>
          </w:p>
        </w:tc>
      </w:tr>
      <w:tr w:rsidR="004007D3" w:rsidRPr="00251542" w:rsidTr="0056083E">
        <w:tc>
          <w:tcPr>
            <w:tcW w:w="2567" w:type="dxa"/>
            <w:tcBorders>
              <w:top w:val="nil"/>
              <w:left w:val="single" w:sz="4" w:space="0" w:color="auto"/>
              <w:bottom w:val="single" w:sz="4" w:space="0" w:color="auto"/>
              <w:right w:val="single" w:sz="4" w:space="0" w:color="auto"/>
            </w:tcBorders>
            <w:shd w:val="clear" w:color="auto" w:fill="auto"/>
            <w:noWrap/>
            <w:vAlign w:val="center"/>
          </w:tcPr>
          <w:p w:rsidR="004007D3" w:rsidRPr="00251542" w:rsidRDefault="004007D3" w:rsidP="001A5BF9">
            <w:pPr>
              <w:spacing w:before="120" w:after="120"/>
              <w:jc w:val="right"/>
              <w:rPr>
                <w:rFonts w:cs="Arial"/>
                <w:b/>
                <w:bCs/>
                <w:sz w:val="16"/>
                <w:szCs w:val="16"/>
              </w:rPr>
            </w:pPr>
            <w:r w:rsidRPr="00251542">
              <w:rPr>
                <w:b/>
                <w:sz w:val="16"/>
              </w:rPr>
              <w:t xml:space="preserve"> TOTAL </w:t>
            </w:r>
          </w:p>
        </w:tc>
        <w:tc>
          <w:tcPr>
            <w:tcW w:w="170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bCs/>
                <w:sz w:val="16"/>
                <w:szCs w:val="16"/>
              </w:rPr>
            </w:pPr>
            <w:r w:rsidRPr="00251542">
              <w:rPr>
                <w:b/>
                <w:sz w:val="16"/>
              </w:rPr>
              <w:t>37 240</w:t>
            </w:r>
          </w:p>
        </w:tc>
        <w:tc>
          <w:tcPr>
            <w:tcW w:w="170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sz w:val="16"/>
                <w:szCs w:val="16"/>
              </w:rPr>
            </w:pPr>
            <w:r w:rsidRPr="00251542">
              <w:rPr>
                <w:b/>
                <w:sz w:val="16"/>
              </w:rPr>
              <w:t>37 706</w:t>
            </w:r>
          </w:p>
        </w:tc>
        <w:tc>
          <w:tcPr>
            <w:tcW w:w="170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sz w:val="16"/>
                <w:szCs w:val="16"/>
              </w:rPr>
            </w:pPr>
            <w:r w:rsidRPr="00251542">
              <w:rPr>
                <w:b/>
                <w:sz w:val="16"/>
              </w:rPr>
              <w:t>37 079</w:t>
            </w:r>
          </w:p>
        </w:tc>
        <w:tc>
          <w:tcPr>
            <w:tcW w:w="170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sz w:val="16"/>
                <w:szCs w:val="16"/>
              </w:rPr>
            </w:pPr>
            <w:r w:rsidRPr="00251542">
              <w:rPr>
                <w:b/>
                <w:sz w:val="16"/>
              </w:rPr>
              <w:t>98</w:t>
            </w:r>
            <w:r w:rsidR="007E442D" w:rsidRPr="00251542">
              <w:rPr>
                <w:b/>
                <w:sz w:val="16"/>
              </w:rPr>
              <w:t>%</w:t>
            </w:r>
          </w:p>
        </w:tc>
      </w:tr>
    </w:tbl>
    <w:p w:rsidR="00D42474" w:rsidRDefault="00D42474" w:rsidP="001A5BF9">
      <w:pPr>
        <w:keepNext/>
        <w:keepLines/>
        <w:rPr>
          <w:rFonts w:cs="Arial"/>
          <w:szCs w:val="22"/>
        </w:rPr>
      </w:pPr>
    </w:p>
    <w:p w:rsidR="00D42474" w:rsidRDefault="004007D3" w:rsidP="001A5BF9">
      <w:pPr>
        <w:keepNext/>
        <w:autoSpaceDE w:val="0"/>
        <w:autoSpaceDN w:val="0"/>
        <w:rPr>
          <w:rFonts w:cs="Arial"/>
          <w:sz w:val="16"/>
          <w:szCs w:val="16"/>
        </w:rPr>
      </w:pPr>
      <w:proofErr w:type="gramStart"/>
      <w:r w:rsidRPr="00251542">
        <w:rPr>
          <w:sz w:val="16"/>
        </w:rPr>
        <w:t>NOTES</w:t>
      </w:r>
      <w:proofErr w:type="gramEnd"/>
      <w:r w:rsidR="0010442A" w:rsidRPr="00251542">
        <w:rPr>
          <w:sz w:val="16"/>
        </w:rPr>
        <w:t> </w:t>
      </w:r>
      <w:r w:rsidRPr="00251542">
        <w:rPr>
          <w:sz w:val="16"/>
        </w:rPr>
        <w:t>:</w:t>
      </w:r>
    </w:p>
    <w:p w:rsidR="00D42474" w:rsidRDefault="00D42474" w:rsidP="001A5BF9">
      <w:pPr>
        <w:keepNext/>
        <w:autoSpaceDE w:val="0"/>
        <w:autoSpaceDN w:val="0"/>
        <w:rPr>
          <w:rFonts w:cs="Arial"/>
          <w:sz w:val="16"/>
          <w:szCs w:val="16"/>
        </w:rPr>
      </w:pPr>
    </w:p>
    <w:p w:rsidR="00D42474" w:rsidRDefault="00EE7C90" w:rsidP="001A5BF9">
      <w:pPr>
        <w:keepNext/>
        <w:autoSpaceDE w:val="0"/>
        <w:autoSpaceDN w:val="0"/>
        <w:rPr>
          <w:rFonts w:cs="Arial"/>
          <w:sz w:val="16"/>
          <w:szCs w:val="16"/>
        </w:rPr>
      </w:pPr>
      <w:r>
        <w:rPr>
          <w:sz w:val="16"/>
        </w:rPr>
        <w:t>1)</w:t>
      </w:r>
      <w:r>
        <w:rPr>
          <w:sz w:val="16"/>
        </w:rPr>
        <w:tab/>
      </w:r>
      <w:r w:rsidR="004007D3" w:rsidRPr="00251542">
        <w:rPr>
          <w:sz w:val="16"/>
        </w:rPr>
        <w:t>Le budget restructuré après virements tient compte du budget ajusté des programmes après les virements réalisés au cours de l</w:t>
      </w:r>
      <w:r w:rsidR="00A20444" w:rsidRPr="00251542">
        <w:rPr>
          <w:sz w:val="16"/>
        </w:rPr>
        <w:t>’</w:t>
      </w:r>
      <w:r w:rsidR="004007D3" w:rsidRPr="00251542">
        <w:rPr>
          <w:sz w:val="16"/>
        </w:rPr>
        <w:t>exercice 2012</w:t>
      </w:r>
      <w:r w:rsidR="002D6F2A" w:rsidRPr="00251542">
        <w:rPr>
          <w:sz w:val="16"/>
        </w:rPr>
        <w:noBreakHyphen/>
      </w:r>
      <w:r w:rsidR="004007D3" w:rsidRPr="00251542">
        <w:rPr>
          <w:sz w:val="16"/>
        </w:rPr>
        <w:t xml:space="preserve">2013, conformément à </w:t>
      </w:r>
      <w:r w:rsidR="00E15133" w:rsidRPr="00251542">
        <w:rPr>
          <w:sz w:val="16"/>
        </w:rPr>
        <w:t>l</w:t>
      </w:r>
      <w:r w:rsidR="00A20444" w:rsidRPr="00251542">
        <w:rPr>
          <w:sz w:val="16"/>
        </w:rPr>
        <w:t>’</w:t>
      </w:r>
      <w:r w:rsidR="00E15133" w:rsidRPr="00251542">
        <w:rPr>
          <w:sz w:val="16"/>
        </w:rPr>
        <w:t>article 5.5</w:t>
      </w:r>
      <w:r w:rsidR="004007D3" w:rsidRPr="00251542">
        <w:rPr>
          <w:sz w:val="16"/>
        </w:rPr>
        <w:t xml:space="preserve"> du règlement d</w:t>
      </w:r>
      <w:r w:rsidR="00A20444" w:rsidRPr="00251542">
        <w:rPr>
          <w:sz w:val="16"/>
        </w:rPr>
        <w:t>’</w:t>
      </w:r>
      <w:r w:rsidR="004007D3" w:rsidRPr="00251542">
        <w:rPr>
          <w:sz w:val="16"/>
        </w:rPr>
        <w:t>exécution du Règlement financier.</w:t>
      </w:r>
    </w:p>
    <w:p w:rsidR="00D42474" w:rsidRDefault="00D42474" w:rsidP="001A5BF9">
      <w:pPr>
        <w:keepNext/>
        <w:autoSpaceDE w:val="0"/>
        <w:autoSpaceDN w:val="0"/>
        <w:rPr>
          <w:rFonts w:cs="Arial"/>
          <w:sz w:val="16"/>
          <w:szCs w:val="16"/>
        </w:rPr>
      </w:pPr>
    </w:p>
    <w:p w:rsidR="00D42474" w:rsidRDefault="00EE7C90" w:rsidP="001A5BF9">
      <w:pPr>
        <w:keepNext/>
        <w:autoSpaceDE w:val="0"/>
        <w:autoSpaceDN w:val="0"/>
        <w:rPr>
          <w:sz w:val="16"/>
        </w:rPr>
      </w:pPr>
      <w:r>
        <w:rPr>
          <w:sz w:val="16"/>
        </w:rPr>
        <w:t>2)</w:t>
      </w:r>
      <w:r>
        <w:rPr>
          <w:sz w:val="16"/>
        </w:rPr>
        <w:tab/>
      </w:r>
      <w:r w:rsidR="004007D3" w:rsidRPr="00251542">
        <w:rPr>
          <w:sz w:val="16"/>
        </w:rPr>
        <w:t>Les dépenses de personnel indiquées dans le budget de l</w:t>
      </w:r>
      <w:r w:rsidR="00A20444" w:rsidRPr="00251542">
        <w:rPr>
          <w:sz w:val="16"/>
        </w:rPr>
        <w:t>’</w:t>
      </w:r>
      <w:r w:rsidR="004007D3" w:rsidRPr="00251542">
        <w:rPr>
          <w:sz w:val="16"/>
        </w:rPr>
        <w:t>exercice 2012</w:t>
      </w:r>
      <w:r w:rsidR="002D6F2A" w:rsidRPr="00251542">
        <w:rPr>
          <w:sz w:val="16"/>
        </w:rPr>
        <w:noBreakHyphen/>
      </w:r>
      <w:r w:rsidR="004007D3" w:rsidRPr="00251542">
        <w:rPr>
          <w:sz w:val="16"/>
        </w:rPr>
        <w:t>2013 après virements représentent les dépenses réelles engagées pendant l</w:t>
      </w:r>
      <w:r w:rsidR="00A20444" w:rsidRPr="00251542">
        <w:rPr>
          <w:sz w:val="16"/>
        </w:rPr>
        <w:t>’</w:t>
      </w:r>
      <w:r w:rsidR="004007D3" w:rsidRPr="00251542">
        <w:rPr>
          <w:sz w:val="16"/>
        </w:rPr>
        <w:t>exercice biennal.</w:t>
      </w:r>
    </w:p>
    <w:p w:rsidR="00D42474" w:rsidRDefault="00D42474" w:rsidP="001A5BF9">
      <w:pPr>
        <w:keepNext/>
        <w:keepLines/>
        <w:rPr>
          <w:rFonts w:cs="Arial"/>
          <w:szCs w:val="22"/>
        </w:rPr>
      </w:pPr>
    </w:p>
    <w:p w:rsidR="00D42474" w:rsidRDefault="00D42474" w:rsidP="001A5BF9">
      <w:pPr>
        <w:keepNext/>
        <w:keepLines/>
        <w:rPr>
          <w:rFonts w:cs="Arial"/>
          <w:szCs w:val="22"/>
        </w:rPr>
      </w:pPr>
    </w:p>
    <w:p w:rsidR="00D42474" w:rsidRDefault="004007D3" w:rsidP="00EE7C90">
      <w:r w:rsidRPr="00EE7C90">
        <w:t>A.</w:t>
      </w:r>
      <w:r w:rsidRPr="00EE7C90">
        <w:tab/>
      </w:r>
      <w:r w:rsidRPr="00EE7C90">
        <w:rPr>
          <w:u w:val="single"/>
        </w:rPr>
        <w:t>Budget 2012</w:t>
      </w:r>
      <w:r w:rsidR="002D6F2A" w:rsidRPr="00EE7C90">
        <w:rPr>
          <w:u w:val="single"/>
        </w:rPr>
        <w:noBreakHyphen/>
      </w:r>
      <w:r w:rsidRPr="00EE7C90">
        <w:rPr>
          <w:u w:val="single"/>
        </w:rPr>
        <w:t>2013 après virements</w:t>
      </w:r>
    </w:p>
    <w:p w:rsidR="00D42474" w:rsidRDefault="00D42474" w:rsidP="00EE7C90">
      <w:pPr>
        <w:tabs>
          <w:tab w:val="left" w:pos="709"/>
        </w:tabs>
        <w:jc w:val="both"/>
        <w:rPr>
          <w:rFonts w:cs="Arial"/>
          <w:szCs w:val="20"/>
        </w:rPr>
      </w:pPr>
    </w:p>
    <w:p w:rsidR="00D42474" w:rsidRDefault="004007D3" w:rsidP="00EE7C90">
      <w:pPr>
        <w:tabs>
          <w:tab w:val="left" w:pos="709"/>
        </w:tabs>
        <w:jc w:val="both"/>
      </w:pPr>
      <w:r w:rsidRPr="005C7CCE">
        <w:t>27.11.</w:t>
      </w:r>
      <w:r w:rsidRPr="005C7CCE">
        <w:tab/>
        <w:t>L</w:t>
      </w:r>
      <w:r w:rsidR="00A20444" w:rsidRPr="005C7CCE">
        <w:t>’</w:t>
      </w:r>
      <w:r w:rsidRPr="005C7CCE">
        <w:t>augmentation du budget après virements tient compte des ressources supplémentaires nettes transférées au programme pour :</w:t>
      </w:r>
    </w:p>
    <w:p w:rsidR="00D42474" w:rsidRDefault="00D42474" w:rsidP="00EE7C90">
      <w:pPr>
        <w:tabs>
          <w:tab w:val="left" w:pos="709"/>
        </w:tabs>
        <w:jc w:val="both"/>
        <w:rPr>
          <w:rFonts w:cs="Arial"/>
          <w:szCs w:val="20"/>
        </w:rPr>
      </w:pPr>
    </w:p>
    <w:p w:rsidR="00D42474" w:rsidRDefault="004007D3" w:rsidP="00EE7C90">
      <w:pPr>
        <w:numPr>
          <w:ilvl w:val="0"/>
          <w:numId w:val="68"/>
        </w:numPr>
        <w:tabs>
          <w:tab w:val="left" w:pos="709"/>
        </w:tabs>
        <w:ind w:left="993" w:hanging="284"/>
        <w:jc w:val="both"/>
      </w:pPr>
      <w:r w:rsidRPr="005C7CCE">
        <w:t>la mise en œuvre de la politique linguistique de l</w:t>
      </w:r>
      <w:r w:rsidR="00A20444" w:rsidRPr="005C7CCE">
        <w:t>’</w:t>
      </w:r>
      <w:r w:rsidRPr="005C7CCE">
        <w:t>OMPI, en particulier pour traiter l</w:t>
      </w:r>
      <w:r w:rsidR="00A20444" w:rsidRPr="005C7CCE">
        <w:t>’</w:t>
      </w:r>
      <w:r w:rsidRPr="005C7CCE">
        <w:t>augmentation des volumes de traduction en raison de l</w:t>
      </w:r>
      <w:r w:rsidR="00A20444" w:rsidRPr="005C7CCE">
        <w:t>’</w:t>
      </w:r>
      <w:r w:rsidRPr="005C7CCE">
        <w:t>élargissement de la couverture linguistique;</w:t>
      </w:r>
      <w:r w:rsidR="004F3E42" w:rsidRPr="005C7CCE">
        <w:t xml:space="preserve"> </w:t>
      </w:r>
      <w:r w:rsidR="0010442A" w:rsidRPr="005C7CCE">
        <w:t xml:space="preserve"> </w:t>
      </w:r>
      <w:r w:rsidRPr="005C7CCE">
        <w:t>et,</w:t>
      </w:r>
    </w:p>
    <w:p w:rsidR="00D42474" w:rsidRDefault="004007D3" w:rsidP="00EE7C90">
      <w:pPr>
        <w:numPr>
          <w:ilvl w:val="0"/>
          <w:numId w:val="68"/>
        </w:numPr>
        <w:tabs>
          <w:tab w:val="left" w:pos="709"/>
        </w:tabs>
        <w:ind w:left="993" w:hanging="284"/>
        <w:jc w:val="both"/>
      </w:pPr>
      <w:r w:rsidRPr="005C7CCE">
        <w:t>la prestation de services d</w:t>
      </w:r>
      <w:r w:rsidR="00A20444" w:rsidRPr="005C7CCE">
        <w:t>’</w:t>
      </w:r>
      <w:r w:rsidRPr="005C7CCE">
        <w:t>interprétation pour la session extraordinaire de l</w:t>
      </w:r>
      <w:r w:rsidR="00A20444" w:rsidRPr="005C7CCE">
        <w:t>’</w:t>
      </w:r>
      <w:r w:rsidRPr="005C7CCE">
        <w:t>Assemblée générale en décembre 2013.</w:t>
      </w:r>
    </w:p>
    <w:p w:rsidR="00D42474" w:rsidRDefault="00D42474" w:rsidP="00EE7C90">
      <w:pPr>
        <w:tabs>
          <w:tab w:val="left" w:pos="709"/>
        </w:tabs>
        <w:jc w:val="both"/>
        <w:rPr>
          <w:rFonts w:cs="Arial"/>
          <w:szCs w:val="20"/>
        </w:rPr>
      </w:pPr>
    </w:p>
    <w:p w:rsidR="00D42474" w:rsidRDefault="004007D3" w:rsidP="00EE7C90">
      <w:pPr>
        <w:tabs>
          <w:tab w:val="left" w:pos="709"/>
        </w:tabs>
        <w:jc w:val="both"/>
        <w:rPr>
          <w:rFonts w:cs="Arial"/>
          <w:szCs w:val="20"/>
        </w:rPr>
      </w:pPr>
      <w:r w:rsidRPr="005C7CCE">
        <w:t>B.</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EE7C90">
      <w:pPr>
        <w:tabs>
          <w:tab w:val="left" w:pos="709"/>
        </w:tabs>
        <w:jc w:val="both"/>
        <w:rPr>
          <w:rFonts w:cs="Arial"/>
          <w:szCs w:val="20"/>
        </w:rPr>
      </w:pPr>
    </w:p>
    <w:p w:rsidR="00D42474" w:rsidRDefault="004007D3" w:rsidP="00EE7C90">
      <w:pPr>
        <w:tabs>
          <w:tab w:val="left" w:pos="709"/>
        </w:tabs>
        <w:jc w:val="both"/>
      </w:pPr>
      <w:r w:rsidRPr="005C7CCE">
        <w:t>27.12.</w:t>
      </w:r>
      <w:r w:rsidRPr="005C7CCE">
        <w:tab/>
        <w:t>La légère sous</w:t>
      </w:r>
      <w:r w:rsidR="002D6F2A" w:rsidRPr="005C7CCE">
        <w:noBreakHyphen/>
      </w:r>
      <w:r w:rsidRPr="005C7CCE">
        <w:t>utilisation des ressources au cours de l</w:t>
      </w:r>
      <w:r w:rsidR="00A20444" w:rsidRPr="005C7CCE">
        <w:t>’</w:t>
      </w:r>
      <w:r w:rsidRPr="005C7CCE">
        <w:t>exercice biennal par rapport au budget après virements tient compte de l</w:t>
      </w:r>
      <w:r w:rsidR="00A20444" w:rsidRPr="005C7CCE">
        <w:t>’</w:t>
      </w:r>
      <w:r w:rsidRPr="005C7CCE">
        <w:t>évolution plus lente que prévue des outils de traduction informatiques, et des économies liées aux services d</w:t>
      </w:r>
      <w:r w:rsidR="00A20444" w:rsidRPr="005C7CCE">
        <w:t>’</w:t>
      </w:r>
      <w:r w:rsidRPr="005C7CCE">
        <w:t>expédition du courrier, d</w:t>
      </w:r>
      <w:r w:rsidR="00A20444" w:rsidRPr="005C7CCE">
        <w:t>’</w:t>
      </w:r>
      <w:r w:rsidRPr="005C7CCE">
        <w:t>imprimerie et de gestion des dossiers et des archives.</w:t>
      </w:r>
    </w:p>
    <w:p w:rsidR="00D42474" w:rsidRDefault="004007D3" w:rsidP="001A5BF9">
      <w:pPr>
        <w:rPr>
          <w:rFonts w:ascii="Arial Bold" w:hAnsi="Arial Bold"/>
          <w:b/>
          <w:bCs/>
          <w:caps/>
        </w:rPr>
      </w:pPr>
      <w:r w:rsidRPr="005C7CCE">
        <w:br w:type="page"/>
      </w:r>
    </w:p>
    <w:p w:rsidR="00D42474" w:rsidRDefault="004007D3" w:rsidP="001A5BF9">
      <w:pPr>
        <w:pStyle w:val="Heading3"/>
        <w:rPr>
          <w:szCs w:val="22"/>
        </w:rPr>
      </w:pPr>
      <w:bookmarkStart w:id="48" w:name="_Toc395082500"/>
      <w:r w:rsidRPr="0098611A">
        <w:rPr>
          <w:szCs w:val="22"/>
        </w:rPr>
        <w:t>Programme 28</w:t>
      </w:r>
      <w:r w:rsidRPr="0098611A">
        <w:rPr>
          <w:szCs w:val="22"/>
        </w:rPr>
        <w:tab/>
        <w:t>Sûreté et sécurité</w:t>
      </w:r>
      <w:bookmarkEnd w:id="48"/>
    </w:p>
    <w:p w:rsidR="00D42474" w:rsidRDefault="00D42474" w:rsidP="001A5BF9">
      <w:pPr>
        <w:ind w:left="2268" w:hanging="2268"/>
        <w:rPr>
          <w:rFonts w:cs="Arial"/>
          <w:b/>
          <w:sz w:val="22"/>
          <w:szCs w:val="22"/>
        </w:rPr>
      </w:pPr>
    </w:p>
    <w:p w:rsidR="00D42474" w:rsidRDefault="004007D3" w:rsidP="001A5BF9">
      <w:pPr>
        <w:ind w:left="2268" w:hanging="2268"/>
        <w:rPr>
          <w:rFonts w:cs="Arial"/>
          <w:b/>
          <w:sz w:val="22"/>
          <w:szCs w:val="22"/>
        </w:rPr>
      </w:pPr>
      <w:r w:rsidRPr="0098611A">
        <w:rPr>
          <w:b/>
          <w:sz w:val="22"/>
          <w:szCs w:val="22"/>
        </w:rPr>
        <w:t>Chef de programme</w:t>
      </w:r>
      <w:r w:rsidRPr="0098611A">
        <w:rPr>
          <w:b/>
          <w:sz w:val="22"/>
          <w:szCs w:val="22"/>
        </w:rPr>
        <w:tab/>
      </w:r>
      <w:r w:rsidRPr="0098611A">
        <w:rPr>
          <w:b/>
          <w:sz w:val="22"/>
          <w:szCs w:val="22"/>
        </w:rPr>
        <w:tab/>
        <w:t>M. A.</w:t>
      </w:r>
      <w:r w:rsidR="0010442A" w:rsidRPr="0098611A">
        <w:rPr>
          <w:b/>
          <w:sz w:val="22"/>
          <w:szCs w:val="22"/>
        </w:rPr>
        <w:t> </w:t>
      </w:r>
      <w:proofErr w:type="spellStart"/>
      <w:r w:rsidRPr="0098611A">
        <w:rPr>
          <w:b/>
          <w:sz w:val="22"/>
          <w:szCs w:val="22"/>
        </w:rPr>
        <w:t>Sundaram</w:t>
      </w:r>
      <w:proofErr w:type="spellEnd"/>
    </w:p>
    <w:p w:rsidR="00D42474" w:rsidRDefault="00D42474" w:rsidP="001A5BF9">
      <w:pPr>
        <w:rPr>
          <w:rFonts w:cs="Arial"/>
          <w:sz w:val="22"/>
          <w:szCs w:val="22"/>
        </w:rPr>
      </w:pPr>
    </w:p>
    <w:p w:rsidR="00D42474" w:rsidRDefault="00D42474" w:rsidP="001A5BF9">
      <w:pPr>
        <w:rPr>
          <w:rFonts w:cs="Arial"/>
          <w:bCs/>
          <w:sz w:val="22"/>
          <w:szCs w:val="22"/>
        </w:rPr>
      </w:pPr>
    </w:p>
    <w:p w:rsidR="00D42474" w:rsidRDefault="004007D3" w:rsidP="001A5BF9">
      <w:pPr>
        <w:rPr>
          <w:rFonts w:cs="Arial"/>
          <w:sz w:val="22"/>
          <w:szCs w:val="22"/>
        </w:rPr>
      </w:pPr>
      <w:r w:rsidRPr="0098611A">
        <w:rPr>
          <w:sz w:val="22"/>
          <w:szCs w:val="22"/>
        </w:rPr>
        <w:t>RÉALISATIONS EN 2012</w:t>
      </w:r>
      <w:r w:rsidR="002D6F2A" w:rsidRPr="0098611A">
        <w:rPr>
          <w:sz w:val="22"/>
          <w:szCs w:val="22"/>
        </w:rPr>
        <w:noBreakHyphen/>
      </w:r>
      <w:r w:rsidRPr="0098611A">
        <w:rPr>
          <w:sz w:val="22"/>
          <w:szCs w:val="22"/>
        </w:rPr>
        <w:t>2013</w:t>
      </w:r>
    </w:p>
    <w:p w:rsidR="00D42474" w:rsidRDefault="00D42474" w:rsidP="001A5BF9">
      <w:pPr>
        <w:rPr>
          <w:rFonts w:cs="Arial"/>
          <w:sz w:val="22"/>
          <w:szCs w:val="22"/>
        </w:rPr>
      </w:pPr>
    </w:p>
    <w:p w:rsidR="00D42474" w:rsidRDefault="004007D3" w:rsidP="001A5BF9">
      <w:pPr>
        <w:tabs>
          <w:tab w:val="left" w:pos="709"/>
        </w:tabs>
        <w:jc w:val="both"/>
        <w:rPr>
          <w:rFonts w:cs="Arial"/>
          <w:bCs/>
          <w:szCs w:val="20"/>
        </w:rPr>
      </w:pPr>
      <w:r w:rsidRPr="00251542">
        <w:t>28.1.</w:t>
      </w:r>
      <w:r w:rsidRPr="00251542">
        <w:tab/>
        <w:t>Les coûts des services de sûreté et de sécurité sur l</w:t>
      </w:r>
      <w:r w:rsidR="00A20444" w:rsidRPr="00251542">
        <w:t>’</w:t>
      </w:r>
      <w:r w:rsidRPr="00251542">
        <w:t>exercice biennal 2013</w:t>
      </w:r>
      <w:r w:rsidR="002D6F2A" w:rsidRPr="00251542">
        <w:noBreakHyphen/>
      </w:r>
      <w:r w:rsidRPr="00251542">
        <w:t>2013 sont toujours conformes à ceux des années antérieures en pourcentage des dépenses totales de l</w:t>
      </w:r>
      <w:r w:rsidR="00A20444" w:rsidRPr="00251542">
        <w:t>’</w:t>
      </w:r>
      <w:r w:rsidRPr="00251542">
        <w:t xml:space="preserve">Organisation. </w:t>
      </w:r>
      <w:r w:rsidR="0010442A" w:rsidRPr="00251542">
        <w:t xml:space="preserve"> </w:t>
      </w:r>
      <w:r w:rsidRPr="00251542">
        <w:t>Au cours de l</w:t>
      </w:r>
      <w:r w:rsidR="00A20444" w:rsidRPr="00251542">
        <w:t>’</w:t>
      </w:r>
      <w:r w:rsidRPr="00251542">
        <w:t>exercice biennal, le programme a continué de gérer tous les systèmes de sécurité et de sûreté de l</w:t>
      </w:r>
      <w:r w:rsidR="00A20444" w:rsidRPr="00251542">
        <w:t>’</w:t>
      </w:r>
      <w:r w:rsidRPr="00251542">
        <w:t>organisation et a progressivement assumé la responsabilité de la gestion des nouveaux systèmes de sécurité et de sûreté dans le nouveau bâtiment tandis que les garanties expiraient.</w:t>
      </w:r>
    </w:p>
    <w:p w:rsidR="00D42474" w:rsidRDefault="00D42474" w:rsidP="001A5BF9">
      <w:pPr>
        <w:tabs>
          <w:tab w:val="left" w:pos="709"/>
        </w:tabs>
        <w:jc w:val="both"/>
        <w:rPr>
          <w:rFonts w:cs="Arial"/>
          <w:bCs/>
          <w:szCs w:val="20"/>
        </w:rPr>
      </w:pPr>
    </w:p>
    <w:p w:rsidR="00D42474" w:rsidRDefault="004007D3" w:rsidP="001A5BF9">
      <w:pPr>
        <w:tabs>
          <w:tab w:val="left" w:pos="709"/>
        </w:tabs>
        <w:jc w:val="both"/>
        <w:rPr>
          <w:color w:val="000000"/>
        </w:rPr>
      </w:pPr>
      <w:r w:rsidRPr="00251542">
        <w:t>28.2.</w:t>
      </w:r>
      <w:r w:rsidRPr="00251542">
        <w:tab/>
        <w:t>L</w:t>
      </w:r>
      <w:r w:rsidR="00A20444" w:rsidRPr="00251542">
        <w:t>’</w:t>
      </w:r>
      <w:r w:rsidRPr="00251542">
        <w:t>exercice biennal 2012</w:t>
      </w:r>
      <w:r w:rsidR="00FC3E1C" w:rsidRPr="00251542">
        <w:noBreakHyphen/>
        <w:t>20</w:t>
      </w:r>
      <w:r w:rsidRPr="00251542">
        <w:t>13 a également vu l</w:t>
      </w:r>
      <w:r w:rsidR="00A20444" w:rsidRPr="00251542">
        <w:t>’</w:t>
      </w:r>
      <w:r w:rsidRPr="00251542">
        <w:t xml:space="preserve">entrée en vigueur de nouvelles politiques sur la sécurité et la sûreté des déplacements des fonctionnaires en mission, ainsi que la normalisation de la présentation des badges conformément au système unifié de sécurité des </w:t>
      </w:r>
      <w:r w:rsidR="00A20444" w:rsidRPr="00251542">
        <w:t>Nations Unies</w:t>
      </w:r>
      <w:r w:rsidRPr="00251542">
        <w:t>, l</w:t>
      </w:r>
      <w:r w:rsidR="00A20444" w:rsidRPr="00251542">
        <w:t>’</w:t>
      </w:r>
      <w:r w:rsidRPr="00251542">
        <w:t>adoption d</w:t>
      </w:r>
      <w:r w:rsidR="00A20444" w:rsidRPr="00251542">
        <w:t>’</w:t>
      </w:r>
      <w:r w:rsidRPr="00251542">
        <w:t>un contrôle d</w:t>
      </w:r>
      <w:r w:rsidR="00A20444" w:rsidRPr="00251542">
        <w:t>’</w:t>
      </w:r>
      <w:r w:rsidRPr="00251542">
        <w:t>accès biométrique amélioré au Centre informatique du nouveau bâtiment et un resserrement de la sécurité aux manifestations commanditées par l</w:t>
      </w:r>
      <w:r w:rsidR="00A20444" w:rsidRPr="00251542">
        <w:t>’</w:t>
      </w:r>
      <w:r w:rsidRPr="00251542">
        <w:t>OMPI à l</w:t>
      </w:r>
      <w:r w:rsidR="00A20444" w:rsidRPr="00251542">
        <w:t>’</w:t>
      </w:r>
      <w:r w:rsidRPr="00251542">
        <w:t xml:space="preserve">extérieur de Genève. </w:t>
      </w:r>
      <w:r w:rsidR="0010442A" w:rsidRPr="00251542">
        <w:t xml:space="preserve"> </w:t>
      </w:r>
      <w:r w:rsidRPr="00251542">
        <w:t>Plus particulièrement, des services de sécurité complets ont été fournis avant et pendant deux</w:t>
      </w:r>
      <w:r w:rsidR="0010442A" w:rsidRPr="00251542">
        <w:t> </w:t>
      </w:r>
      <w:r w:rsidRPr="00251542">
        <w:t>conférences diplomatiques importantes, la conférence diplomatique sur la protection des prestations et des exécutions audiovisuelles à Beijing, en Chine, du 20 au 26 juin 2012, et la conférence diplomatique pour la conclusion d</w:t>
      </w:r>
      <w:r w:rsidR="00A20444" w:rsidRPr="00251542">
        <w:t>’</w:t>
      </w:r>
      <w:r w:rsidRPr="00251542">
        <w:t>un traité visant à faciliter l</w:t>
      </w:r>
      <w:r w:rsidR="00A20444" w:rsidRPr="00251542">
        <w:t>’</w:t>
      </w:r>
      <w:r w:rsidRPr="00251542">
        <w:t xml:space="preserve">accès des déficients visuels et des personnes ayant des difficultés de lecture des textes imprimés aux œuvres publiées à Marrakech, au Maroc, du 17 au 28 juin 2013. </w:t>
      </w:r>
      <w:r w:rsidR="0010442A" w:rsidRPr="00251542">
        <w:t xml:space="preserve"> </w:t>
      </w:r>
      <w:r w:rsidRPr="00251542">
        <w:t>Par ailleurs, suite à la décision du Conseil des chefs de secrétariat en novembre 2012, les procédures de sécurité des manifestations ont été resserrées afin de garantir une gestion de la sécurité et de la sûreté optimale pour ce type de manifestation d</w:t>
      </w:r>
      <w:r w:rsidR="00A20444" w:rsidRPr="00251542">
        <w:t>’</w:t>
      </w:r>
      <w:r w:rsidRPr="00251542">
        <w:t xml:space="preserve">envergure. </w:t>
      </w:r>
      <w:r w:rsidR="0010442A" w:rsidRPr="00251542">
        <w:t xml:space="preserve"> </w:t>
      </w:r>
      <w:r w:rsidRPr="00251542">
        <w:t>En conséquence, des évaluations des risques plus poussées relatives aux lieux ont été réalisées, des protocoles de sécurité et d</w:t>
      </w:r>
      <w:r w:rsidR="00A20444" w:rsidRPr="00251542">
        <w:t>’</w:t>
      </w:r>
      <w:r w:rsidRPr="00251542">
        <w:t>évacuation ont été élaborés et les services de sécurité ont été renforcés pour plusieurs importantes manifestations et conférences extérieures organisées sous l</w:t>
      </w:r>
      <w:r w:rsidR="00A20444" w:rsidRPr="00251542">
        <w:t>’</w:t>
      </w:r>
      <w:r w:rsidRPr="00251542">
        <w:t>égide de l</w:t>
      </w:r>
      <w:r w:rsidR="00A20444" w:rsidRPr="00251542">
        <w:t>’</w:t>
      </w:r>
      <w:r w:rsidRPr="00251542">
        <w:t xml:space="preserve">OMPI en 2013, </w:t>
      </w:r>
      <w:r w:rsidR="00A20444" w:rsidRPr="00251542">
        <w:t>à savoir</w:t>
      </w:r>
      <w:r w:rsidRPr="00251542">
        <w:t xml:space="preserve"> la Conférence africaine sur l</w:t>
      </w:r>
      <w:r w:rsidR="00A20444" w:rsidRPr="00251542">
        <w:t>’</w:t>
      </w:r>
      <w:r w:rsidRPr="00251542">
        <w:t>importance stratégique des politiques de propriété intellectuelle pour favoriser l</w:t>
      </w:r>
      <w:r w:rsidR="00A20444" w:rsidRPr="00251542">
        <w:t>’</w:t>
      </w:r>
      <w:r w:rsidRPr="00251542">
        <w:t xml:space="preserve">innovation, la création de </w:t>
      </w:r>
      <w:r w:rsidRPr="005C7CCE">
        <w:rPr>
          <w:color w:val="000000"/>
        </w:rPr>
        <w:t>valeur et la compétitivité, qui s</w:t>
      </w:r>
      <w:r w:rsidR="00A20444" w:rsidRPr="005C7CCE">
        <w:rPr>
          <w:color w:val="000000"/>
        </w:rPr>
        <w:t>’</w:t>
      </w:r>
      <w:r w:rsidRPr="005C7CCE">
        <w:rPr>
          <w:color w:val="000000"/>
        </w:rPr>
        <w:t>était tenue à Dar es</w:t>
      </w:r>
      <w:r w:rsidR="00C61B12">
        <w:rPr>
          <w:color w:val="000000"/>
        </w:rPr>
        <w:noBreakHyphen/>
      </w:r>
      <w:r w:rsidRPr="005C7CCE">
        <w:rPr>
          <w:color w:val="000000"/>
        </w:rPr>
        <w:t xml:space="preserve">Salaam, en </w:t>
      </w:r>
      <w:r w:rsidR="00A20444" w:rsidRPr="005C7CCE">
        <w:rPr>
          <w:color w:val="000000"/>
        </w:rPr>
        <w:t>République</w:t>
      </w:r>
      <w:r w:rsidR="002D6F2A" w:rsidRPr="005C7CCE">
        <w:rPr>
          <w:color w:val="000000"/>
        </w:rPr>
        <w:noBreakHyphen/>
      </w:r>
      <w:r w:rsidR="00A20444" w:rsidRPr="005C7CCE">
        <w:rPr>
          <w:color w:val="000000"/>
        </w:rPr>
        <w:t>Unie de Tanzanie</w:t>
      </w:r>
      <w:r w:rsidRPr="005C7CCE">
        <w:rPr>
          <w:color w:val="000000"/>
        </w:rPr>
        <w:t>, les 12 et 13 mars;</w:t>
      </w:r>
      <w:r w:rsidR="004F3E42" w:rsidRPr="005C7CCE">
        <w:rPr>
          <w:color w:val="000000"/>
        </w:rPr>
        <w:t xml:space="preserve"> </w:t>
      </w:r>
      <w:r w:rsidR="0010442A" w:rsidRPr="005C7CCE">
        <w:rPr>
          <w:color w:val="000000"/>
        </w:rPr>
        <w:t xml:space="preserve"> </w:t>
      </w:r>
      <w:r w:rsidRPr="005C7CCE">
        <w:rPr>
          <w:color w:val="000000"/>
        </w:rPr>
        <w:t>le Colloque mondial sur les indications géographiques à Bangkok, en Thaïlande, du 27 au 29 mars;</w:t>
      </w:r>
      <w:r w:rsidR="0010442A" w:rsidRPr="005C7CCE">
        <w:rPr>
          <w:color w:val="000000"/>
        </w:rPr>
        <w:t xml:space="preserve"> </w:t>
      </w:r>
      <w:r w:rsidR="004F3E42" w:rsidRPr="005C7CCE">
        <w:rPr>
          <w:color w:val="000000"/>
        </w:rPr>
        <w:t xml:space="preserve"> </w:t>
      </w:r>
      <w:r w:rsidRPr="005C7CCE">
        <w:rPr>
          <w:color w:val="000000"/>
        </w:rPr>
        <w:t>la réunion de</w:t>
      </w:r>
      <w:r w:rsidR="00A20444" w:rsidRPr="005C7CCE">
        <w:rPr>
          <w:color w:val="000000"/>
        </w:rPr>
        <w:t xml:space="preserve"> la </w:t>
      </w:r>
      <w:proofErr w:type="spellStart"/>
      <w:r w:rsidR="00A20444" w:rsidRPr="005C7CCE">
        <w:rPr>
          <w:color w:val="000000"/>
        </w:rPr>
        <w:t>CED</w:t>
      </w:r>
      <w:r w:rsidRPr="005C7CCE">
        <w:rPr>
          <w:color w:val="000000"/>
        </w:rPr>
        <w:t>EAO</w:t>
      </w:r>
      <w:proofErr w:type="spellEnd"/>
      <w:r w:rsidRPr="005C7CCE">
        <w:rPr>
          <w:color w:val="000000"/>
        </w:rPr>
        <w:t xml:space="preserve"> et des ministres mauritaniens relative à la responsabilité du droit d</w:t>
      </w:r>
      <w:r w:rsidR="00A20444" w:rsidRPr="005C7CCE">
        <w:rPr>
          <w:color w:val="000000"/>
        </w:rPr>
        <w:t>’</w:t>
      </w:r>
      <w:r w:rsidRPr="005C7CCE">
        <w:rPr>
          <w:color w:val="000000"/>
        </w:rPr>
        <w:t>auteur à Abidjan, en Côte d</w:t>
      </w:r>
      <w:r w:rsidR="00A20444" w:rsidRPr="005C7CCE">
        <w:rPr>
          <w:color w:val="000000"/>
        </w:rPr>
        <w:t>’</w:t>
      </w:r>
      <w:r w:rsidRPr="005C7CCE">
        <w:rPr>
          <w:color w:val="000000"/>
        </w:rPr>
        <w:t>Ivoire, du 4 au 6 décembre, ainsi que la conférence diplomatique susmentionnée de Marrakech (Maroc).</w:t>
      </w:r>
    </w:p>
    <w:p w:rsidR="00D42474" w:rsidRDefault="00D42474" w:rsidP="001A5BF9">
      <w:pPr>
        <w:tabs>
          <w:tab w:val="left" w:pos="709"/>
        </w:tabs>
        <w:jc w:val="both"/>
        <w:rPr>
          <w:color w:val="000000"/>
        </w:rPr>
      </w:pPr>
    </w:p>
    <w:p w:rsidR="00D42474" w:rsidRDefault="004007D3" w:rsidP="001A5BF9">
      <w:pPr>
        <w:tabs>
          <w:tab w:val="left" w:pos="709"/>
        </w:tabs>
        <w:jc w:val="both"/>
        <w:rPr>
          <w:rFonts w:cs="Arial"/>
          <w:bCs/>
          <w:szCs w:val="20"/>
        </w:rPr>
      </w:pPr>
      <w:r w:rsidRPr="005C7CCE">
        <w:rPr>
          <w:color w:val="000000"/>
        </w:rPr>
        <w:t>28.3.</w:t>
      </w:r>
      <w:r w:rsidRPr="005C7CCE">
        <w:rPr>
          <w:color w:val="000000"/>
        </w:rPr>
        <w:tab/>
        <w:t>Les locaux des bureaux extérieurs de l</w:t>
      </w:r>
      <w:r w:rsidR="00A20444" w:rsidRPr="005C7CCE">
        <w:rPr>
          <w:color w:val="000000"/>
        </w:rPr>
        <w:t>’</w:t>
      </w:r>
      <w:r w:rsidRPr="005C7CCE">
        <w:rPr>
          <w:color w:val="000000"/>
        </w:rPr>
        <w:t>OMPI de Singapour et Tokyo ont également subi des audits d</w:t>
      </w:r>
      <w:r w:rsidR="00A20444" w:rsidRPr="005C7CCE">
        <w:rPr>
          <w:color w:val="000000"/>
        </w:rPr>
        <w:t>’</w:t>
      </w:r>
      <w:r w:rsidRPr="005C7CCE">
        <w:rPr>
          <w:color w:val="000000"/>
        </w:rPr>
        <w:t xml:space="preserve">évaluation en 2012. </w:t>
      </w:r>
      <w:r w:rsidR="0010442A" w:rsidRPr="005C7CCE">
        <w:rPr>
          <w:color w:val="000000"/>
        </w:rPr>
        <w:t xml:space="preserve"> </w:t>
      </w:r>
      <w:r w:rsidRPr="005C7CCE">
        <w:rPr>
          <w:color w:val="000000"/>
        </w:rPr>
        <w:t>Toutefois, les audits d</w:t>
      </w:r>
      <w:r w:rsidR="00A20444" w:rsidRPr="005C7CCE">
        <w:rPr>
          <w:color w:val="000000"/>
        </w:rPr>
        <w:t>’</w:t>
      </w:r>
      <w:r w:rsidRPr="005C7CCE">
        <w:rPr>
          <w:color w:val="000000"/>
        </w:rPr>
        <w:t xml:space="preserve">évaluation des bureaux externes de Rio de Janeiro et </w:t>
      </w:r>
      <w:r w:rsidRPr="00251542">
        <w:t>de New York, initialement prévus pour le premier semestre de 2013, ont été reportés en raison des préparatifs intensifs menant à (et des demandes croissantes nécessaires pour) la conférence diplomatique de Marrakech, ainsi que les sessions extraordinaires de l</w:t>
      </w:r>
      <w:r w:rsidR="00A20444" w:rsidRPr="00251542">
        <w:t>’</w:t>
      </w:r>
      <w:r w:rsidRPr="00251542">
        <w:t xml:space="preserve">Assemblée générale qui ont eu lieu en décembre 2013. </w:t>
      </w:r>
      <w:r w:rsidR="0010442A" w:rsidRPr="00251542">
        <w:t xml:space="preserve"> </w:t>
      </w:r>
      <w:r w:rsidRPr="00251542">
        <w:t>En outre, le programme a également participé de manière intensive à l</w:t>
      </w:r>
      <w:r w:rsidR="00A20444" w:rsidRPr="00251542">
        <w:t>’</w:t>
      </w:r>
      <w:r w:rsidRPr="00251542">
        <w:t>élaboration du Plan d</w:t>
      </w:r>
      <w:r w:rsidR="00A20444" w:rsidRPr="00251542">
        <w:t>’</w:t>
      </w:r>
      <w:r w:rsidRPr="00251542">
        <w:t>intervention pour la poursuite des opérations et la Stratégie de gestion pour la poursuite des opérations de l</w:t>
      </w:r>
      <w:r w:rsidR="00A20444" w:rsidRPr="00251542">
        <w:t>’</w:t>
      </w:r>
      <w:r w:rsidRPr="00251542">
        <w:t>OMPI.</w:t>
      </w:r>
    </w:p>
    <w:p w:rsidR="00D42474" w:rsidRDefault="00D42474" w:rsidP="001A5BF9">
      <w:pPr>
        <w:tabs>
          <w:tab w:val="left" w:pos="709"/>
        </w:tabs>
        <w:jc w:val="both"/>
        <w:rPr>
          <w:rFonts w:cs="Arial"/>
          <w:bCs/>
          <w:szCs w:val="20"/>
        </w:rPr>
      </w:pPr>
    </w:p>
    <w:p w:rsidR="00D42474" w:rsidRDefault="004007D3" w:rsidP="001A5BF9">
      <w:pPr>
        <w:tabs>
          <w:tab w:val="left" w:pos="709"/>
        </w:tabs>
        <w:jc w:val="both"/>
        <w:rPr>
          <w:color w:val="000000"/>
        </w:rPr>
      </w:pPr>
      <w:r w:rsidRPr="00251542">
        <w:t>28.4.</w:t>
      </w:r>
      <w:r w:rsidRPr="00251542">
        <w:tab/>
        <w:t>Le nombre total d</w:t>
      </w:r>
      <w:r w:rsidR="00A20444" w:rsidRPr="00251542">
        <w:t>’</w:t>
      </w:r>
      <w:r w:rsidRPr="00251542">
        <w:t>incidents déclarés menaçant la sûreté et la sécurité lors de l</w:t>
      </w:r>
      <w:r w:rsidR="00A20444" w:rsidRPr="00251542">
        <w:t>’</w:t>
      </w:r>
      <w:r w:rsidRPr="00251542">
        <w:t>exercice biennal est resté faible, avec six incidents où des membres du personnel ont subi des blessures en 2012 et</w:t>
      </w:r>
      <w:r w:rsidR="0010442A" w:rsidRPr="00251542">
        <w:t xml:space="preserve"> </w:t>
      </w:r>
      <w:r w:rsidRPr="005C7CCE">
        <w:rPr>
          <w:color w:val="000000"/>
        </w:rPr>
        <w:t>quatre</w:t>
      </w:r>
      <w:r w:rsidR="0010442A" w:rsidRPr="005C7CCE">
        <w:rPr>
          <w:color w:val="000000"/>
        </w:rPr>
        <w:t> </w:t>
      </w:r>
      <w:r w:rsidRPr="005C7CCE">
        <w:rPr>
          <w:color w:val="000000"/>
        </w:rPr>
        <w:t>en 2013.</w:t>
      </w:r>
      <w:r w:rsidR="0010442A" w:rsidRPr="005C7CCE">
        <w:rPr>
          <w:color w:val="000000"/>
        </w:rPr>
        <w:t xml:space="preserve"> </w:t>
      </w:r>
      <w:r w:rsidRPr="005C7CCE">
        <w:rPr>
          <w:color w:val="000000"/>
        </w:rPr>
        <w:t xml:space="preserve"> Le pourcentage total d</w:t>
      </w:r>
      <w:r w:rsidR="00A20444" w:rsidRPr="005C7CCE">
        <w:rPr>
          <w:color w:val="000000"/>
        </w:rPr>
        <w:t>’</w:t>
      </w:r>
      <w:r w:rsidRPr="005C7CCE">
        <w:rPr>
          <w:color w:val="000000"/>
        </w:rPr>
        <w:t>incidents ayant causé des blessures à des membres du personnel a été nettement inférieur à 2</w:t>
      </w:r>
      <w:r w:rsidR="007E442D" w:rsidRPr="005C7CCE">
        <w:rPr>
          <w:color w:val="000000"/>
        </w:rPr>
        <w:t>%</w:t>
      </w:r>
      <w:r w:rsidRPr="005C7CCE">
        <w:rPr>
          <w:color w:val="000000"/>
        </w:rPr>
        <w:t xml:space="preserve"> en 2012</w:t>
      </w:r>
      <w:r w:rsidR="002D6F2A" w:rsidRPr="005C7CCE">
        <w:rPr>
          <w:color w:val="000000"/>
        </w:rPr>
        <w:noBreakHyphen/>
      </w:r>
      <w:r w:rsidRPr="005C7CCE">
        <w:rPr>
          <w:color w:val="000000"/>
        </w:rPr>
        <w:t>2013.</w:t>
      </w:r>
    </w:p>
    <w:p w:rsidR="00D42474" w:rsidRDefault="00D42474" w:rsidP="001A5BF9">
      <w:pPr>
        <w:tabs>
          <w:tab w:val="left" w:pos="709"/>
        </w:tabs>
        <w:jc w:val="both"/>
        <w:rPr>
          <w:rFonts w:cs="Arial"/>
          <w:bCs/>
          <w:color w:val="000000"/>
          <w:szCs w:val="20"/>
        </w:rPr>
      </w:pPr>
    </w:p>
    <w:p w:rsidR="00D42474" w:rsidRDefault="004007D3" w:rsidP="001A5BF9">
      <w:pPr>
        <w:tabs>
          <w:tab w:val="left" w:pos="709"/>
        </w:tabs>
        <w:jc w:val="both"/>
        <w:rPr>
          <w:color w:val="000000"/>
        </w:rPr>
      </w:pPr>
      <w:r w:rsidRPr="005C7CCE">
        <w:rPr>
          <w:color w:val="000000"/>
        </w:rPr>
        <w:t>28.5.</w:t>
      </w:r>
      <w:r w:rsidRPr="005C7CCE">
        <w:rPr>
          <w:color w:val="000000"/>
        </w:rPr>
        <w:tab/>
        <w:t>Au cours de l</w:t>
      </w:r>
      <w:r w:rsidR="00A20444" w:rsidRPr="005C7CCE">
        <w:rPr>
          <w:color w:val="000000"/>
        </w:rPr>
        <w:t>’</w:t>
      </w:r>
      <w:r w:rsidRPr="005C7CCE">
        <w:rPr>
          <w:color w:val="000000"/>
        </w:rPr>
        <w:t>exercice biennal, les travaux relatifs à la construction et aux systèmes technique</w:t>
      </w:r>
      <w:r w:rsidR="00857F09">
        <w:rPr>
          <w:color w:val="000000"/>
        </w:rPr>
        <w:t>s</w:t>
      </w:r>
      <w:r w:rsidRPr="005C7CCE">
        <w:rPr>
          <w:color w:val="000000"/>
        </w:rPr>
        <w:t xml:space="preserve"> de sûreté et de sécurité du nouveau Centre des opérations de coordination de sécurité, qui se trouve au rez</w:t>
      </w:r>
      <w:r w:rsidR="002D6F2A" w:rsidRPr="005C7CCE">
        <w:rPr>
          <w:color w:val="000000"/>
        </w:rPr>
        <w:noBreakHyphen/>
      </w:r>
      <w:r w:rsidRPr="005C7CCE">
        <w:rPr>
          <w:color w:val="000000"/>
        </w:rPr>
        <w:t>de</w:t>
      </w:r>
      <w:r w:rsidR="002D6F2A" w:rsidRPr="005C7CCE">
        <w:rPr>
          <w:color w:val="000000"/>
        </w:rPr>
        <w:noBreakHyphen/>
      </w:r>
      <w:r w:rsidRPr="005C7CCE">
        <w:rPr>
          <w:color w:val="000000"/>
        </w:rPr>
        <w:t>chaussée du bâtiment </w:t>
      </w:r>
      <w:proofErr w:type="spellStart"/>
      <w:r w:rsidRPr="005C7CCE">
        <w:rPr>
          <w:color w:val="000000"/>
        </w:rPr>
        <w:t>GB1</w:t>
      </w:r>
      <w:proofErr w:type="spellEnd"/>
      <w:r w:rsidRPr="005C7CCE">
        <w:rPr>
          <w:color w:val="000000"/>
        </w:rPr>
        <w:t xml:space="preserve">, ont connu une progression stable. </w:t>
      </w:r>
      <w:r w:rsidR="0010442A" w:rsidRPr="005C7CCE">
        <w:rPr>
          <w:color w:val="000000"/>
        </w:rPr>
        <w:t xml:space="preserve"> </w:t>
      </w:r>
      <w:r w:rsidRPr="005C7CCE">
        <w:rPr>
          <w:color w:val="000000"/>
        </w:rPr>
        <w:t>Les travaux ont débuté en février 2012.</w:t>
      </w:r>
      <w:r w:rsidR="0010442A" w:rsidRPr="005C7CCE">
        <w:rPr>
          <w:color w:val="000000"/>
        </w:rPr>
        <w:t xml:space="preserve"> </w:t>
      </w:r>
      <w:r w:rsidRPr="005C7CCE">
        <w:rPr>
          <w:color w:val="000000"/>
        </w:rPr>
        <w:t xml:space="preserve"> La complexité technique du Centre des opérations de coordination de sécurité nécessitait un réseau local (LAN) distinct, qui a été installé à la fin de 2012, indépendamment du réseau étendu mis à la disposition du reste de l</w:t>
      </w:r>
      <w:r w:rsidR="00A20444" w:rsidRPr="005C7CCE">
        <w:rPr>
          <w:color w:val="000000"/>
        </w:rPr>
        <w:t>’</w:t>
      </w:r>
      <w:r w:rsidRPr="005C7CCE">
        <w:rPr>
          <w:color w:val="000000"/>
        </w:rPr>
        <w:t>Organisation, afin d</w:t>
      </w:r>
      <w:r w:rsidR="00A20444" w:rsidRPr="005C7CCE">
        <w:rPr>
          <w:color w:val="000000"/>
        </w:rPr>
        <w:t>’</w:t>
      </w:r>
      <w:r w:rsidRPr="005C7CCE">
        <w:rPr>
          <w:color w:val="000000"/>
        </w:rPr>
        <w:t xml:space="preserve">assurer une connectivité et une exécution optimales des systèmes de sécurité. </w:t>
      </w:r>
      <w:r w:rsidR="0010442A" w:rsidRPr="005C7CCE">
        <w:rPr>
          <w:color w:val="000000"/>
        </w:rPr>
        <w:t xml:space="preserve"> </w:t>
      </w:r>
      <w:r w:rsidRPr="005C7CCE">
        <w:rPr>
          <w:color w:val="000000"/>
        </w:rPr>
        <w:t>En outre, des technologies propres à la sûreté et à la sécurité, telles que des systèmes de communication d</w:t>
      </w:r>
      <w:r w:rsidR="00A20444" w:rsidRPr="005C7CCE">
        <w:rPr>
          <w:color w:val="000000"/>
        </w:rPr>
        <w:t>’</w:t>
      </w:r>
      <w:r w:rsidRPr="005C7CCE">
        <w:rPr>
          <w:color w:val="000000"/>
        </w:rPr>
        <w:t xml:space="preserve">urgence et des systèmes de détection incendie, ont été installées à la fin de 2013. </w:t>
      </w:r>
      <w:r w:rsidR="0010442A" w:rsidRPr="005C7CCE">
        <w:rPr>
          <w:color w:val="000000"/>
        </w:rPr>
        <w:t xml:space="preserve"> </w:t>
      </w:r>
      <w:r w:rsidRPr="005C7CCE">
        <w:rPr>
          <w:color w:val="000000"/>
        </w:rPr>
        <w:t>L</w:t>
      </w:r>
      <w:r w:rsidR="00A20444" w:rsidRPr="005C7CCE">
        <w:rPr>
          <w:color w:val="000000"/>
        </w:rPr>
        <w:t>’</w:t>
      </w:r>
      <w:r w:rsidRPr="005C7CCE">
        <w:rPr>
          <w:color w:val="000000"/>
        </w:rPr>
        <w:t>achèvement du projet est prévu pour la fin de 2014.</w:t>
      </w:r>
    </w:p>
    <w:p w:rsidR="00D42474" w:rsidRDefault="00D42474" w:rsidP="001A5BF9">
      <w:pPr>
        <w:tabs>
          <w:tab w:val="left" w:pos="709"/>
        </w:tabs>
        <w:jc w:val="both"/>
        <w:rPr>
          <w:rFonts w:cs="Arial"/>
          <w:bCs/>
          <w:color w:val="000000"/>
          <w:szCs w:val="20"/>
        </w:rPr>
      </w:pPr>
    </w:p>
    <w:p w:rsidR="00D42474" w:rsidRDefault="004007D3" w:rsidP="001A5BF9">
      <w:pPr>
        <w:tabs>
          <w:tab w:val="left" w:pos="709"/>
        </w:tabs>
        <w:jc w:val="both"/>
        <w:rPr>
          <w:color w:val="000000"/>
        </w:rPr>
      </w:pPr>
      <w:r w:rsidRPr="005C7CCE">
        <w:rPr>
          <w:color w:val="000000"/>
        </w:rPr>
        <w:t>28.6.</w:t>
      </w:r>
      <w:r w:rsidRPr="005C7CCE">
        <w:rPr>
          <w:color w:val="000000"/>
        </w:rPr>
        <w:tab/>
        <w:t>Par ailleurs, dans le cadre des engagements de l</w:t>
      </w:r>
      <w:r w:rsidR="00A20444" w:rsidRPr="005C7CCE">
        <w:rPr>
          <w:color w:val="000000"/>
        </w:rPr>
        <w:t>’</w:t>
      </w:r>
      <w:r w:rsidRPr="005C7CCE">
        <w:rPr>
          <w:color w:val="000000"/>
        </w:rPr>
        <w:t>OMPI visant à respecter le Manuel des politiques de sécurité de l</w:t>
      </w:r>
      <w:r w:rsidR="00A20444" w:rsidRPr="005C7CCE">
        <w:rPr>
          <w:color w:val="000000"/>
        </w:rPr>
        <w:t>’</w:t>
      </w:r>
      <w:r w:rsidRPr="005C7CCE">
        <w:rPr>
          <w:color w:val="000000"/>
        </w:rPr>
        <w:t xml:space="preserve">ONU ainsi que les politiques cantonales en matière de sécurité </w:t>
      </w:r>
      <w:proofErr w:type="gramStart"/>
      <w:r w:rsidRPr="005C7CCE">
        <w:rPr>
          <w:color w:val="000000"/>
        </w:rPr>
        <w:t>incendie</w:t>
      </w:r>
      <w:proofErr w:type="gramEnd"/>
      <w:r w:rsidRPr="005C7CCE">
        <w:rPr>
          <w:color w:val="000000"/>
        </w:rPr>
        <w:t xml:space="preserve">, un examen complet des procédures en vigueur a été réalisé. </w:t>
      </w:r>
      <w:r w:rsidR="0010442A" w:rsidRPr="005C7CCE">
        <w:rPr>
          <w:color w:val="000000"/>
        </w:rPr>
        <w:t xml:space="preserve"> </w:t>
      </w:r>
      <w:r w:rsidRPr="005C7CCE">
        <w:rPr>
          <w:color w:val="000000"/>
        </w:rPr>
        <w:t>En conséquence, les mesures suivantes ont été mises en œuvre lors de l</w:t>
      </w:r>
      <w:r w:rsidR="00A20444" w:rsidRPr="005C7CCE">
        <w:rPr>
          <w:color w:val="000000"/>
        </w:rPr>
        <w:t>’</w:t>
      </w:r>
      <w:r w:rsidRPr="005C7CCE">
        <w:rPr>
          <w:color w:val="000000"/>
        </w:rPr>
        <w:t>exercice biennal : i) nouvelle signalisation de sécurité incendie;</w:t>
      </w:r>
      <w:r w:rsidR="004F3E42" w:rsidRPr="005C7CCE">
        <w:rPr>
          <w:color w:val="000000"/>
        </w:rPr>
        <w:t xml:space="preserve"> </w:t>
      </w:r>
      <w:r w:rsidR="0010442A" w:rsidRPr="005C7CCE">
        <w:rPr>
          <w:color w:val="000000"/>
        </w:rPr>
        <w:t xml:space="preserve"> </w:t>
      </w:r>
      <w:r w:rsidRPr="005C7CCE">
        <w:rPr>
          <w:color w:val="000000"/>
        </w:rPr>
        <w:t>ii) installation de 58 portes coupe</w:t>
      </w:r>
      <w:r w:rsidR="002D6F2A" w:rsidRPr="005C7CCE">
        <w:rPr>
          <w:color w:val="000000"/>
        </w:rPr>
        <w:noBreakHyphen/>
      </w:r>
      <w:r w:rsidRPr="005C7CCE">
        <w:rPr>
          <w:color w:val="000000"/>
        </w:rPr>
        <w:t>feu à commande automatique;</w:t>
      </w:r>
      <w:r w:rsidR="004F3E42" w:rsidRPr="005C7CCE">
        <w:rPr>
          <w:color w:val="000000"/>
        </w:rPr>
        <w:t xml:space="preserve"> </w:t>
      </w:r>
      <w:r w:rsidR="0010442A" w:rsidRPr="005C7CCE">
        <w:rPr>
          <w:color w:val="000000"/>
        </w:rPr>
        <w:t xml:space="preserve"> </w:t>
      </w:r>
      <w:r w:rsidRPr="005C7CCE">
        <w:rPr>
          <w:color w:val="000000"/>
        </w:rPr>
        <w:t>iii) mise à niveau de 240 extincteurs;</w:t>
      </w:r>
      <w:r w:rsidR="004F3E42" w:rsidRPr="005C7CCE">
        <w:rPr>
          <w:color w:val="000000"/>
        </w:rPr>
        <w:t xml:space="preserve"> </w:t>
      </w:r>
      <w:r w:rsidR="0010442A" w:rsidRPr="005C7CCE">
        <w:rPr>
          <w:color w:val="000000"/>
        </w:rPr>
        <w:t xml:space="preserve"> </w:t>
      </w:r>
      <w:r w:rsidRPr="005C7CCE">
        <w:rPr>
          <w:color w:val="000000"/>
        </w:rPr>
        <w:t>iv) installation de nouvelles sirènes et gicleurs dans certains locaux;</w:t>
      </w:r>
      <w:r w:rsidR="004F3E42" w:rsidRPr="005C7CCE">
        <w:rPr>
          <w:color w:val="000000"/>
        </w:rPr>
        <w:t xml:space="preserve"> </w:t>
      </w:r>
      <w:r w:rsidR="0010442A" w:rsidRPr="005C7CCE">
        <w:rPr>
          <w:color w:val="000000"/>
        </w:rPr>
        <w:t xml:space="preserve"> </w:t>
      </w:r>
      <w:r w:rsidRPr="005C7CCE">
        <w:rPr>
          <w:color w:val="000000"/>
        </w:rPr>
        <w:t>v) inspections de sécurité incendie de routine par un agent spécialement formé;</w:t>
      </w:r>
      <w:r w:rsidR="004F3E42" w:rsidRPr="005C7CCE">
        <w:rPr>
          <w:color w:val="000000"/>
        </w:rPr>
        <w:t xml:space="preserve"> </w:t>
      </w:r>
      <w:r w:rsidR="0010442A" w:rsidRPr="005C7CCE">
        <w:rPr>
          <w:color w:val="000000"/>
        </w:rPr>
        <w:t xml:space="preserve"> </w:t>
      </w:r>
      <w:r w:rsidRPr="005C7CCE">
        <w:rPr>
          <w:color w:val="000000"/>
        </w:rPr>
        <w:t>vi) nomination de responsables d</w:t>
      </w:r>
      <w:r w:rsidR="00A20444" w:rsidRPr="005C7CCE">
        <w:rPr>
          <w:color w:val="000000"/>
        </w:rPr>
        <w:t>’</w:t>
      </w:r>
      <w:r w:rsidRPr="005C7CCE">
        <w:rPr>
          <w:color w:val="000000"/>
        </w:rPr>
        <w:t>étage dans tous les bâtiments de l</w:t>
      </w:r>
      <w:r w:rsidR="00A20444" w:rsidRPr="005C7CCE">
        <w:rPr>
          <w:color w:val="000000"/>
        </w:rPr>
        <w:t>’</w:t>
      </w:r>
      <w:r w:rsidRPr="005C7CCE">
        <w:rPr>
          <w:color w:val="000000"/>
        </w:rPr>
        <w:t>OMPI;</w:t>
      </w:r>
      <w:r w:rsidR="0010442A" w:rsidRPr="005C7CCE">
        <w:rPr>
          <w:color w:val="000000"/>
        </w:rPr>
        <w:t xml:space="preserve"> </w:t>
      </w:r>
      <w:r w:rsidR="004F3E42" w:rsidRPr="005C7CCE">
        <w:rPr>
          <w:color w:val="000000"/>
        </w:rPr>
        <w:t xml:space="preserve"> </w:t>
      </w:r>
      <w:r w:rsidRPr="005C7CCE">
        <w:rPr>
          <w:color w:val="000000"/>
        </w:rPr>
        <w:t>et vii) programme de formation pour le personnel de l</w:t>
      </w:r>
      <w:r w:rsidR="00A20444" w:rsidRPr="005C7CCE">
        <w:rPr>
          <w:color w:val="000000"/>
        </w:rPr>
        <w:t>’</w:t>
      </w:r>
      <w:r w:rsidRPr="005C7CCE">
        <w:rPr>
          <w:color w:val="000000"/>
        </w:rPr>
        <w:t xml:space="preserve">OMPI sur la prévention incendie et les techniques de lutte contre les incendies. </w:t>
      </w:r>
      <w:r w:rsidR="0010442A" w:rsidRPr="005C7CCE">
        <w:rPr>
          <w:color w:val="000000"/>
        </w:rPr>
        <w:t xml:space="preserve"> </w:t>
      </w:r>
      <w:r w:rsidRPr="005C7CCE">
        <w:rPr>
          <w:color w:val="000000"/>
        </w:rPr>
        <w:t>Cette formation a été fournie en priorité aux responsables d</w:t>
      </w:r>
      <w:r w:rsidR="00A20444" w:rsidRPr="005C7CCE">
        <w:rPr>
          <w:color w:val="000000"/>
        </w:rPr>
        <w:t>’</w:t>
      </w:r>
      <w:r w:rsidRPr="005C7CCE">
        <w:rPr>
          <w:color w:val="000000"/>
        </w:rPr>
        <w:t>étage de l</w:t>
      </w:r>
      <w:r w:rsidR="00A20444" w:rsidRPr="005C7CCE">
        <w:rPr>
          <w:color w:val="000000"/>
        </w:rPr>
        <w:t>’</w:t>
      </w:r>
      <w:r w:rsidRPr="005C7CCE">
        <w:rPr>
          <w:color w:val="000000"/>
        </w:rPr>
        <w:t>OMPI.</w:t>
      </w:r>
      <w:r w:rsidR="0010442A" w:rsidRPr="005C7CCE">
        <w:rPr>
          <w:color w:val="000000"/>
        </w:rPr>
        <w:t xml:space="preserve"> </w:t>
      </w:r>
      <w:r w:rsidRPr="005C7CCE">
        <w:rPr>
          <w:color w:val="000000"/>
        </w:rPr>
        <w:t xml:space="preserve"> De plus, conformément aux engagements de l</w:t>
      </w:r>
      <w:r w:rsidR="00A20444" w:rsidRPr="005C7CCE">
        <w:rPr>
          <w:color w:val="000000"/>
        </w:rPr>
        <w:t>’</w:t>
      </w:r>
      <w:r w:rsidRPr="005C7CCE">
        <w:rPr>
          <w:color w:val="000000"/>
        </w:rPr>
        <w:t>OMPI visant à améliorer le niveau de préparation en matière de sécurité, 12 cours de formation aux premiers secours ont été fournis à 200 membres du personnel de l</w:t>
      </w:r>
      <w:r w:rsidR="00A20444" w:rsidRPr="005C7CCE">
        <w:rPr>
          <w:color w:val="000000"/>
        </w:rPr>
        <w:t>’</w:t>
      </w:r>
      <w:r w:rsidRPr="005C7CCE">
        <w:rPr>
          <w:color w:val="000000"/>
        </w:rPr>
        <w:t>OMPI et des trousses de premier secours ainsi que des défibrillateurs ont été déployés dans tous les bâtiments du campus de l</w:t>
      </w:r>
      <w:r w:rsidR="00A20444" w:rsidRPr="005C7CCE">
        <w:rPr>
          <w:color w:val="000000"/>
        </w:rPr>
        <w:t>’</w:t>
      </w:r>
      <w:r w:rsidRPr="005C7CCE">
        <w:rPr>
          <w:color w:val="000000"/>
        </w:rPr>
        <w:t>OMPI.</w:t>
      </w:r>
    </w:p>
    <w:p w:rsidR="00D42474" w:rsidRDefault="00D42474" w:rsidP="001A5BF9">
      <w:pPr>
        <w:rPr>
          <w:sz w:val="22"/>
        </w:rPr>
      </w:pPr>
    </w:p>
    <w:p w:rsidR="00D42474" w:rsidRDefault="00D42474" w:rsidP="001A5BF9">
      <w:pPr>
        <w:rPr>
          <w:sz w:val="22"/>
        </w:rPr>
      </w:pPr>
    </w:p>
    <w:p w:rsidR="00D42474" w:rsidRDefault="004007D3" w:rsidP="001A5BF9">
      <w:pPr>
        <w:rPr>
          <w:rFonts w:cs="Arial"/>
          <w:szCs w:val="22"/>
        </w:rPr>
      </w:pPr>
      <w:r w:rsidRPr="00486AEA">
        <w:rPr>
          <w:sz w:val="22"/>
        </w:rPr>
        <w:t>DONNÉES RELATIVES À L</w:t>
      </w:r>
      <w:r w:rsidR="00A20444" w:rsidRPr="00486AEA">
        <w:rPr>
          <w:sz w:val="22"/>
        </w:rPr>
        <w:t>’</w:t>
      </w:r>
      <w:r w:rsidRPr="00486AEA">
        <w:rPr>
          <w:sz w:val="22"/>
        </w:rPr>
        <w:t>EXÉCUTION</w:t>
      </w:r>
    </w:p>
    <w:p w:rsidR="004007D3" w:rsidRPr="005C7CCE" w:rsidRDefault="004007D3" w:rsidP="001A5BF9">
      <w:pPr>
        <w:rPr>
          <w:rFonts w:cs="Arial"/>
          <w:b/>
          <w:szCs w:val="22"/>
        </w:rPr>
      </w:pPr>
    </w:p>
    <w:tbl>
      <w:tblPr>
        <w:tblW w:w="4888"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90"/>
        <w:gridCol w:w="1145"/>
        <w:gridCol w:w="992"/>
        <w:gridCol w:w="4252"/>
        <w:gridCol w:w="1278"/>
      </w:tblGrid>
      <w:tr w:rsidR="004007D3" w:rsidRPr="00251542" w:rsidTr="0056083E">
        <w:trPr>
          <w:cantSplit/>
        </w:trPr>
        <w:tc>
          <w:tcPr>
            <w:tcW w:w="5000" w:type="pct"/>
            <w:gridSpan w:val="5"/>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452"/>
              </w:tabs>
              <w:spacing w:before="120" w:after="120"/>
              <w:ind w:left="1701" w:hanging="1701"/>
              <w:rPr>
                <w:rFonts w:cs="Arial"/>
                <w:b/>
                <w:bCs/>
                <w:sz w:val="16"/>
                <w:szCs w:val="16"/>
              </w:rPr>
            </w:pPr>
            <w:r w:rsidRPr="00251542">
              <w:rPr>
                <w:b/>
                <w:sz w:val="16"/>
              </w:rPr>
              <w:t>Résultat escompté</w:t>
            </w:r>
            <w:r w:rsidR="0010442A" w:rsidRPr="00251542">
              <w:rPr>
                <w:b/>
                <w:sz w:val="16"/>
              </w:rPr>
              <w:t xml:space="preserve"> : </w:t>
            </w:r>
            <w:r w:rsidRPr="00251542">
              <w:rPr>
                <w:b/>
                <w:sz w:val="16"/>
              </w:rPr>
              <w:tab/>
            </w:r>
            <w:r w:rsidRPr="00251542">
              <w:rPr>
                <w:sz w:val="16"/>
              </w:rPr>
              <w:t>Sûreté et sécurité des membres du personnel, des délégués, des visiteurs, des données et des biens de</w:t>
            </w:r>
            <w:r w:rsidR="00797A8B" w:rsidRPr="00251542">
              <w:rPr>
                <w:sz w:val="16"/>
              </w:rPr>
              <w:t> </w:t>
            </w:r>
            <w:r w:rsidRPr="00251542">
              <w:rPr>
                <w:sz w:val="16"/>
              </w:rPr>
              <w:t>l</w:t>
            </w:r>
            <w:r w:rsidR="00A20444" w:rsidRPr="00251542">
              <w:rPr>
                <w:sz w:val="16"/>
              </w:rPr>
              <w:t>’</w:t>
            </w:r>
            <w:r w:rsidRPr="00251542">
              <w:rPr>
                <w:sz w:val="16"/>
              </w:rPr>
              <w:t>OMPI</w:t>
            </w:r>
          </w:p>
        </w:tc>
      </w:tr>
      <w:tr w:rsidR="004007D3" w:rsidRPr="00251542" w:rsidTr="00797A8B">
        <w:trPr>
          <w:cantSplit/>
        </w:trPr>
        <w:tc>
          <w:tcPr>
            <w:tcW w:w="903" w:type="pct"/>
            <w:tcBorders>
              <w:top w:val="single" w:sz="4" w:space="0" w:color="auto"/>
            </w:tcBorders>
            <w:shd w:val="clear" w:color="auto" w:fill="auto"/>
            <w:vAlign w:val="center"/>
          </w:tcPr>
          <w:p w:rsidR="004007D3" w:rsidRPr="00251542" w:rsidRDefault="004007D3" w:rsidP="0098611A">
            <w:pPr>
              <w:rPr>
                <w:rFonts w:cs="Arial"/>
                <w:b/>
                <w:sz w:val="16"/>
                <w:szCs w:val="16"/>
              </w:rPr>
            </w:pPr>
            <w:r w:rsidRPr="00251542">
              <w:rPr>
                <w:b/>
                <w:sz w:val="16"/>
              </w:rPr>
              <w:t>Indicateurs d</w:t>
            </w:r>
            <w:r w:rsidR="00A20444" w:rsidRPr="00251542">
              <w:rPr>
                <w:b/>
                <w:sz w:val="16"/>
              </w:rPr>
              <w:t>’</w:t>
            </w:r>
            <w:r w:rsidRPr="00251542">
              <w:rPr>
                <w:b/>
                <w:sz w:val="16"/>
              </w:rPr>
              <w:t>exécution</w:t>
            </w:r>
          </w:p>
        </w:tc>
        <w:tc>
          <w:tcPr>
            <w:tcW w:w="612" w:type="pct"/>
            <w:tcBorders>
              <w:top w:val="single" w:sz="4" w:space="0" w:color="auto"/>
            </w:tcBorders>
            <w:shd w:val="clear" w:color="auto" w:fill="auto"/>
            <w:vAlign w:val="center"/>
          </w:tcPr>
          <w:p w:rsidR="004007D3" w:rsidRPr="00251542" w:rsidRDefault="004007D3" w:rsidP="0098611A">
            <w:pPr>
              <w:rPr>
                <w:rFonts w:cs="Arial"/>
                <w:b/>
                <w:bCs/>
                <w:sz w:val="16"/>
                <w:szCs w:val="16"/>
              </w:rPr>
            </w:pPr>
            <w:r w:rsidRPr="00251542">
              <w:rPr>
                <w:b/>
                <w:sz w:val="16"/>
              </w:rPr>
              <w:t>Niveaux de référence</w:t>
            </w:r>
          </w:p>
        </w:tc>
        <w:tc>
          <w:tcPr>
            <w:tcW w:w="530" w:type="pct"/>
            <w:tcBorders>
              <w:top w:val="single" w:sz="4" w:space="0" w:color="auto"/>
            </w:tcBorders>
            <w:shd w:val="clear" w:color="auto" w:fill="auto"/>
            <w:tcMar>
              <w:top w:w="110" w:type="dxa"/>
            </w:tcMar>
            <w:vAlign w:val="center"/>
          </w:tcPr>
          <w:p w:rsidR="004007D3" w:rsidRPr="00251542" w:rsidRDefault="004007D3" w:rsidP="0098611A">
            <w:pPr>
              <w:rPr>
                <w:rFonts w:cs="Arial"/>
                <w:b/>
                <w:sz w:val="16"/>
                <w:szCs w:val="16"/>
              </w:rPr>
            </w:pPr>
            <w:r w:rsidRPr="00251542">
              <w:rPr>
                <w:b/>
                <w:sz w:val="16"/>
              </w:rPr>
              <w:t>Objectifs visés</w:t>
            </w:r>
          </w:p>
        </w:tc>
        <w:tc>
          <w:tcPr>
            <w:tcW w:w="2272" w:type="pct"/>
            <w:tcBorders>
              <w:top w:val="single" w:sz="4" w:space="0" w:color="auto"/>
            </w:tcBorders>
            <w:shd w:val="clear" w:color="auto" w:fill="FFFFFF"/>
            <w:tcMar>
              <w:top w:w="110" w:type="dxa"/>
            </w:tcMar>
            <w:vAlign w:val="center"/>
          </w:tcPr>
          <w:p w:rsidR="004007D3" w:rsidRPr="00251542" w:rsidRDefault="004007D3" w:rsidP="0098611A">
            <w:pPr>
              <w:rPr>
                <w:rFonts w:cs="Arial"/>
                <w:b/>
                <w:sz w:val="16"/>
                <w:szCs w:val="16"/>
              </w:rPr>
            </w:pPr>
            <w:r w:rsidRPr="00251542">
              <w:rPr>
                <w:b/>
                <w:sz w:val="16"/>
              </w:rPr>
              <w:t>Données relatives à l</w:t>
            </w:r>
            <w:r w:rsidR="00A20444" w:rsidRPr="00251542">
              <w:rPr>
                <w:b/>
                <w:sz w:val="16"/>
              </w:rPr>
              <w:t>’</w:t>
            </w:r>
            <w:r w:rsidRPr="00251542">
              <w:rPr>
                <w:b/>
                <w:sz w:val="16"/>
              </w:rPr>
              <w:t>exécution</w:t>
            </w:r>
          </w:p>
        </w:tc>
        <w:tc>
          <w:tcPr>
            <w:tcW w:w="683" w:type="pct"/>
            <w:tcBorders>
              <w:top w:val="single" w:sz="4" w:space="0" w:color="auto"/>
            </w:tcBorders>
            <w:shd w:val="clear" w:color="auto" w:fill="auto"/>
            <w:tcMar>
              <w:top w:w="110" w:type="dxa"/>
            </w:tcMar>
            <w:vAlign w:val="center"/>
          </w:tcPr>
          <w:p w:rsidR="004007D3" w:rsidRPr="00251542" w:rsidRDefault="004007D3" w:rsidP="001A5BF9">
            <w:pPr>
              <w:keepNext/>
              <w:keepLines/>
              <w:jc w:val="center"/>
              <w:rPr>
                <w:rFonts w:cs="Arial"/>
                <w:b/>
                <w:bCs/>
                <w:sz w:val="16"/>
                <w:szCs w:val="16"/>
              </w:rPr>
            </w:pPr>
            <w:r w:rsidRPr="00251542">
              <w:rPr>
                <w:b/>
                <w:sz w:val="16"/>
              </w:rPr>
              <w:t>Code de couleurs</w:t>
            </w:r>
          </w:p>
        </w:tc>
      </w:tr>
      <w:tr w:rsidR="004007D3" w:rsidRPr="005C7CCE" w:rsidTr="00797A8B">
        <w:trPr>
          <w:cantSplit/>
        </w:trPr>
        <w:tc>
          <w:tcPr>
            <w:tcW w:w="903" w:type="pct"/>
            <w:shd w:val="clear" w:color="auto" w:fill="auto"/>
          </w:tcPr>
          <w:p w:rsidR="004007D3" w:rsidRPr="0098611A" w:rsidRDefault="004007D3" w:rsidP="001A5BF9">
            <w:pPr>
              <w:rPr>
                <w:rFonts w:cs="Arial"/>
                <w:sz w:val="16"/>
                <w:szCs w:val="16"/>
              </w:rPr>
            </w:pPr>
            <w:r w:rsidRPr="0098611A">
              <w:rPr>
                <w:sz w:val="16"/>
              </w:rPr>
              <w:t>Pourcentage de membres du personnel, de délégués et de visiteurs de l</w:t>
            </w:r>
            <w:r w:rsidR="00A20444" w:rsidRPr="0098611A">
              <w:rPr>
                <w:sz w:val="16"/>
              </w:rPr>
              <w:t>’</w:t>
            </w:r>
            <w:r w:rsidRPr="0098611A">
              <w:rPr>
                <w:sz w:val="16"/>
              </w:rPr>
              <w:t>OMPI qui signalent une blessure ou un incident du travail</w:t>
            </w:r>
          </w:p>
        </w:tc>
        <w:tc>
          <w:tcPr>
            <w:tcW w:w="612" w:type="pct"/>
            <w:shd w:val="clear" w:color="auto" w:fill="auto"/>
          </w:tcPr>
          <w:p w:rsidR="004007D3" w:rsidRPr="0098611A" w:rsidRDefault="004007D3" w:rsidP="001A5BF9">
            <w:pPr>
              <w:rPr>
                <w:rFonts w:cs="Arial"/>
                <w:sz w:val="16"/>
                <w:szCs w:val="16"/>
              </w:rPr>
            </w:pPr>
            <w:r w:rsidRPr="0098611A">
              <w:rPr>
                <w:sz w:val="16"/>
              </w:rPr>
              <w:t>2</w:t>
            </w:r>
            <w:r w:rsidR="007E442D" w:rsidRPr="0098611A">
              <w:rPr>
                <w:sz w:val="16"/>
              </w:rPr>
              <w:t>%</w:t>
            </w:r>
          </w:p>
        </w:tc>
        <w:tc>
          <w:tcPr>
            <w:tcW w:w="530" w:type="pct"/>
            <w:shd w:val="clear" w:color="auto" w:fill="auto"/>
            <w:tcMar>
              <w:top w:w="110" w:type="dxa"/>
            </w:tcMar>
          </w:tcPr>
          <w:p w:rsidR="004007D3" w:rsidRPr="0098611A" w:rsidRDefault="004007D3" w:rsidP="001A5BF9">
            <w:pPr>
              <w:rPr>
                <w:rFonts w:cs="Arial"/>
                <w:sz w:val="16"/>
                <w:szCs w:val="16"/>
              </w:rPr>
            </w:pPr>
            <w:r w:rsidRPr="0098611A">
              <w:rPr>
                <w:sz w:val="16"/>
              </w:rPr>
              <w:t>2</w:t>
            </w:r>
            <w:r w:rsidR="007E442D" w:rsidRPr="0098611A">
              <w:rPr>
                <w:sz w:val="16"/>
              </w:rPr>
              <w:t>%</w:t>
            </w:r>
            <w:r w:rsidRPr="0098611A">
              <w:rPr>
                <w:sz w:val="16"/>
              </w:rPr>
              <w:t> ou moins</w:t>
            </w:r>
          </w:p>
        </w:tc>
        <w:tc>
          <w:tcPr>
            <w:tcW w:w="2272" w:type="pct"/>
            <w:shd w:val="clear" w:color="auto" w:fill="FFFFFF"/>
            <w:tcMar>
              <w:top w:w="110" w:type="dxa"/>
            </w:tcMar>
          </w:tcPr>
          <w:p w:rsidR="00D42474" w:rsidRDefault="004007D3" w:rsidP="001A5BF9">
            <w:pPr>
              <w:rPr>
                <w:rFonts w:cs="Arial"/>
                <w:sz w:val="16"/>
                <w:szCs w:val="16"/>
              </w:rPr>
            </w:pPr>
            <w:r w:rsidRPr="005C7CCE">
              <w:rPr>
                <w:sz w:val="16"/>
              </w:rPr>
              <w:t>Le pourcentage total d</w:t>
            </w:r>
            <w:r w:rsidR="00A20444" w:rsidRPr="005C7CCE">
              <w:rPr>
                <w:sz w:val="16"/>
              </w:rPr>
              <w:t>’</w:t>
            </w:r>
            <w:r w:rsidRPr="005C7CCE">
              <w:rPr>
                <w:sz w:val="16"/>
              </w:rPr>
              <w:t>incidents ayant causé des blessures à des membres du personnel a été nettement inférieur à 2</w:t>
            </w:r>
            <w:r w:rsidR="007E442D" w:rsidRPr="005C7CCE">
              <w:rPr>
                <w:sz w:val="16"/>
              </w:rPr>
              <w:t>%</w:t>
            </w:r>
            <w:r w:rsidRPr="005C7CCE">
              <w:rPr>
                <w:sz w:val="16"/>
              </w:rPr>
              <w:t xml:space="preserve"> en 2012</w:t>
            </w:r>
            <w:r w:rsidR="002D6F2A" w:rsidRPr="005C7CCE">
              <w:rPr>
                <w:sz w:val="16"/>
              </w:rPr>
              <w:noBreakHyphen/>
            </w:r>
            <w:r w:rsidRPr="005C7CCE">
              <w:rPr>
                <w:sz w:val="16"/>
              </w:rPr>
              <w:t>2013.</w:t>
            </w:r>
          </w:p>
          <w:p w:rsidR="00D42474" w:rsidRDefault="00D42474" w:rsidP="001A5BF9">
            <w:pPr>
              <w:jc w:val="both"/>
              <w:rPr>
                <w:rFonts w:cs="Arial"/>
                <w:sz w:val="8"/>
                <w:szCs w:val="8"/>
              </w:rPr>
            </w:pPr>
          </w:p>
          <w:p w:rsidR="00D42474" w:rsidRDefault="004007D3" w:rsidP="001A5BF9">
            <w:pPr>
              <w:pStyle w:val="Paragraphedeliste"/>
              <w:numPr>
                <w:ilvl w:val="0"/>
                <w:numId w:val="69"/>
              </w:numPr>
              <w:ind w:left="460"/>
              <w:jc w:val="both"/>
              <w:rPr>
                <w:rFonts w:cs="Arial"/>
                <w:sz w:val="16"/>
                <w:szCs w:val="16"/>
              </w:rPr>
            </w:pPr>
            <w:r w:rsidRPr="005C7CCE">
              <w:rPr>
                <w:sz w:val="16"/>
              </w:rPr>
              <w:t>six incidents impliquant des membres du personnel (2012)</w:t>
            </w:r>
          </w:p>
          <w:p w:rsidR="004007D3" w:rsidRPr="005C7CCE" w:rsidRDefault="004007D3" w:rsidP="001A5BF9">
            <w:pPr>
              <w:pStyle w:val="Paragraphedeliste"/>
              <w:numPr>
                <w:ilvl w:val="0"/>
                <w:numId w:val="69"/>
              </w:numPr>
              <w:ind w:left="460"/>
              <w:jc w:val="both"/>
              <w:rPr>
                <w:rFonts w:cs="Arial"/>
                <w:sz w:val="16"/>
                <w:szCs w:val="16"/>
              </w:rPr>
            </w:pPr>
            <w:r w:rsidRPr="005C7CCE">
              <w:rPr>
                <w:sz w:val="16"/>
              </w:rPr>
              <w:t>quatre incidents impliquant des membres du personnel (2013)</w:t>
            </w:r>
          </w:p>
        </w:tc>
        <w:tc>
          <w:tcPr>
            <w:tcW w:w="683" w:type="pct"/>
            <w:shd w:val="clear" w:color="auto" w:fill="auto"/>
            <w:tcMar>
              <w:top w:w="110" w:type="dxa"/>
            </w:tcMar>
          </w:tcPr>
          <w:p w:rsidR="004007D3" w:rsidRPr="005C7CCE" w:rsidRDefault="004007D3" w:rsidP="001A5BF9">
            <w:pPr>
              <w:keepNext/>
              <w:keepLines/>
              <w:jc w:val="center"/>
              <w:rPr>
                <w:rFonts w:cs="Arial"/>
                <w:bCs/>
                <w:color w:val="008000"/>
                <w:sz w:val="16"/>
                <w:szCs w:val="16"/>
              </w:rPr>
            </w:pPr>
            <w:r w:rsidRPr="00B470C6">
              <w:rPr>
                <w:color w:val="008000"/>
                <w:sz w:val="16"/>
              </w:rPr>
              <w:t>Objectif pleinement atteint</w:t>
            </w:r>
          </w:p>
        </w:tc>
      </w:tr>
      <w:tr w:rsidR="004007D3" w:rsidRPr="005C7CCE" w:rsidTr="00797A8B">
        <w:trPr>
          <w:cantSplit/>
        </w:trPr>
        <w:tc>
          <w:tcPr>
            <w:tcW w:w="903" w:type="pct"/>
            <w:shd w:val="clear" w:color="auto" w:fill="auto"/>
          </w:tcPr>
          <w:p w:rsidR="004007D3" w:rsidRPr="0098611A" w:rsidRDefault="004007D3" w:rsidP="001A5BF9">
            <w:pPr>
              <w:rPr>
                <w:rFonts w:cs="Arial"/>
                <w:sz w:val="16"/>
                <w:szCs w:val="16"/>
              </w:rPr>
            </w:pPr>
            <w:r w:rsidRPr="0098611A">
              <w:rPr>
                <w:sz w:val="16"/>
              </w:rPr>
              <w:t>Pourcentage de demandes d</w:t>
            </w:r>
            <w:r w:rsidR="00A20444" w:rsidRPr="0098611A">
              <w:rPr>
                <w:sz w:val="16"/>
              </w:rPr>
              <w:t>’</w:t>
            </w:r>
            <w:r w:rsidRPr="0098611A">
              <w:rPr>
                <w:sz w:val="16"/>
              </w:rPr>
              <w:t>assistance en matière de sûreté et de sécurité reçues dans les délais pour des conférences ou des manifestations organisées à Genève ou hors de Genève</w:t>
            </w:r>
          </w:p>
        </w:tc>
        <w:tc>
          <w:tcPr>
            <w:tcW w:w="612" w:type="pct"/>
            <w:shd w:val="clear" w:color="auto" w:fill="auto"/>
          </w:tcPr>
          <w:p w:rsidR="004007D3" w:rsidRPr="0098611A" w:rsidRDefault="004007D3" w:rsidP="001A5BF9">
            <w:pPr>
              <w:rPr>
                <w:rFonts w:cs="Arial"/>
                <w:sz w:val="16"/>
                <w:szCs w:val="16"/>
              </w:rPr>
            </w:pPr>
            <w:r w:rsidRPr="0098611A">
              <w:rPr>
                <w:sz w:val="16"/>
              </w:rPr>
              <w:t>65</w:t>
            </w:r>
            <w:r w:rsidR="007E442D" w:rsidRPr="0098611A">
              <w:rPr>
                <w:sz w:val="16"/>
              </w:rPr>
              <w:t>%</w:t>
            </w:r>
          </w:p>
        </w:tc>
        <w:tc>
          <w:tcPr>
            <w:tcW w:w="530" w:type="pct"/>
            <w:shd w:val="clear" w:color="auto" w:fill="auto"/>
            <w:tcMar>
              <w:top w:w="110" w:type="dxa"/>
            </w:tcMar>
          </w:tcPr>
          <w:p w:rsidR="004007D3" w:rsidRPr="0098611A" w:rsidRDefault="004007D3" w:rsidP="001A5BF9">
            <w:pPr>
              <w:rPr>
                <w:rFonts w:cs="Arial"/>
                <w:sz w:val="16"/>
                <w:szCs w:val="16"/>
              </w:rPr>
            </w:pPr>
            <w:r w:rsidRPr="0098611A">
              <w:rPr>
                <w:rFonts w:ascii="ArialMT" w:hAnsi="ArialMT"/>
                <w:sz w:val="16"/>
              </w:rPr>
              <w:t>80</w:t>
            </w:r>
            <w:r w:rsidR="007E442D" w:rsidRPr="0098611A">
              <w:rPr>
                <w:rFonts w:ascii="ArialMT" w:hAnsi="ArialMT"/>
                <w:sz w:val="16"/>
              </w:rPr>
              <w:t>%</w:t>
            </w:r>
          </w:p>
        </w:tc>
        <w:tc>
          <w:tcPr>
            <w:tcW w:w="2272" w:type="pct"/>
            <w:shd w:val="clear" w:color="auto" w:fill="FFFFFF"/>
            <w:tcMar>
              <w:top w:w="110" w:type="dxa"/>
            </w:tcMar>
          </w:tcPr>
          <w:p w:rsidR="00D42474" w:rsidRDefault="004007D3" w:rsidP="001A5BF9">
            <w:pPr>
              <w:rPr>
                <w:rFonts w:cs="Arial"/>
                <w:sz w:val="16"/>
                <w:szCs w:val="16"/>
              </w:rPr>
            </w:pPr>
            <w:r w:rsidRPr="005C7CCE">
              <w:rPr>
                <w:sz w:val="16"/>
              </w:rPr>
              <w:t>Lors de l</w:t>
            </w:r>
            <w:r w:rsidR="00A20444" w:rsidRPr="005C7CCE">
              <w:rPr>
                <w:sz w:val="16"/>
              </w:rPr>
              <w:t>’</w:t>
            </w:r>
            <w:r w:rsidRPr="005C7CCE">
              <w:rPr>
                <w:sz w:val="16"/>
              </w:rPr>
              <w:t>exercice biennal, sept audits de conférences/réunions externes ont été réalisés avec le concours des offices nationaux respectifs</w:t>
            </w:r>
            <w:r w:rsidR="00A20444" w:rsidRPr="005C7CCE">
              <w:rPr>
                <w:sz w:val="16"/>
              </w:rPr>
              <w:t xml:space="preserve"> du </w:t>
            </w:r>
            <w:proofErr w:type="spellStart"/>
            <w:r w:rsidR="00A20444" w:rsidRPr="005C7CCE">
              <w:rPr>
                <w:sz w:val="16"/>
              </w:rPr>
              <w:t>DSS</w:t>
            </w:r>
            <w:proofErr w:type="spellEnd"/>
            <w:r w:rsidRPr="005C7CCE">
              <w:rPr>
                <w:sz w:val="16"/>
              </w:rPr>
              <w:t xml:space="preserve"> de l</w:t>
            </w:r>
            <w:r w:rsidR="00A20444" w:rsidRPr="005C7CCE">
              <w:rPr>
                <w:sz w:val="16"/>
              </w:rPr>
              <w:t>’</w:t>
            </w:r>
            <w:r w:rsidRPr="005C7CCE">
              <w:rPr>
                <w:sz w:val="16"/>
              </w:rPr>
              <w:t>ONU et en conformité avec toutes les normes du Système de gestion de la sécurité de l</w:t>
            </w:r>
            <w:r w:rsidR="00A20444" w:rsidRPr="005C7CCE">
              <w:rPr>
                <w:sz w:val="16"/>
              </w:rPr>
              <w:t>’</w:t>
            </w:r>
            <w:r w:rsidRPr="005C7CCE">
              <w:rPr>
                <w:sz w:val="16"/>
              </w:rPr>
              <w:t>ONU :</w:t>
            </w:r>
          </w:p>
          <w:p w:rsidR="00D42474" w:rsidRDefault="00D42474" w:rsidP="001A5BF9">
            <w:pPr>
              <w:rPr>
                <w:rFonts w:cs="Arial"/>
                <w:sz w:val="16"/>
                <w:szCs w:val="16"/>
              </w:rPr>
            </w:pPr>
          </w:p>
          <w:p w:rsidR="00D42474" w:rsidRDefault="0098611A" w:rsidP="001A5BF9">
            <w:pPr>
              <w:pStyle w:val="Paragraphedeliste"/>
              <w:numPr>
                <w:ilvl w:val="0"/>
                <w:numId w:val="70"/>
              </w:numPr>
              <w:ind w:left="460" w:hanging="284"/>
              <w:rPr>
                <w:rFonts w:cs="Arial"/>
                <w:sz w:val="16"/>
                <w:szCs w:val="16"/>
              </w:rPr>
            </w:pPr>
            <w:r>
              <w:rPr>
                <w:sz w:val="16"/>
              </w:rPr>
              <w:t>t</w:t>
            </w:r>
            <w:r w:rsidR="004007D3" w:rsidRPr="005C7CCE">
              <w:rPr>
                <w:sz w:val="16"/>
              </w:rPr>
              <w:t>rois (2012)</w:t>
            </w:r>
          </w:p>
          <w:p w:rsidR="00D42474" w:rsidRDefault="0098611A" w:rsidP="001A5BF9">
            <w:pPr>
              <w:pStyle w:val="Paragraphedeliste"/>
              <w:numPr>
                <w:ilvl w:val="0"/>
                <w:numId w:val="70"/>
              </w:numPr>
              <w:ind w:left="460" w:hanging="284"/>
              <w:rPr>
                <w:rFonts w:cs="Arial"/>
                <w:sz w:val="16"/>
                <w:szCs w:val="16"/>
              </w:rPr>
            </w:pPr>
            <w:r>
              <w:rPr>
                <w:sz w:val="16"/>
              </w:rPr>
              <w:t>q</w:t>
            </w:r>
            <w:r w:rsidR="004007D3" w:rsidRPr="005C7CCE">
              <w:rPr>
                <w:sz w:val="16"/>
              </w:rPr>
              <w:t>uatre (2013)</w:t>
            </w:r>
            <w:r w:rsidR="004007D3" w:rsidRPr="005C7CCE">
              <w:br/>
            </w:r>
          </w:p>
          <w:p w:rsidR="00D42474" w:rsidRDefault="004007D3" w:rsidP="001A5BF9">
            <w:pPr>
              <w:rPr>
                <w:rFonts w:cs="Arial"/>
                <w:sz w:val="16"/>
                <w:szCs w:val="16"/>
              </w:rPr>
            </w:pPr>
            <w:r w:rsidRPr="005C7CCE">
              <w:rPr>
                <w:sz w:val="16"/>
              </w:rPr>
              <w:t>En outre, des audits ont été réalisés pour deux</w:t>
            </w:r>
            <w:r w:rsidR="0010442A" w:rsidRPr="005C7CCE">
              <w:rPr>
                <w:sz w:val="16"/>
              </w:rPr>
              <w:t> </w:t>
            </w:r>
            <w:r w:rsidRPr="005C7CCE">
              <w:rPr>
                <w:sz w:val="16"/>
              </w:rPr>
              <w:t>manifestations extérieures directement gérées par l</w:t>
            </w:r>
            <w:r w:rsidR="00A20444" w:rsidRPr="005C7CCE">
              <w:rPr>
                <w:sz w:val="16"/>
              </w:rPr>
              <w:t>’</w:t>
            </w:r>
            <w:r w:rsidRPr="005C7CCE">
              <w:rPr>
                <w:sz w:val="16"/>
              </w:rPr>
              <w:t xml:space="preserve">OMPI. </w:t>
            </w:r>
            <w:r w:rsidR="0010442A" w:rsidRPr="005C7CCE">
              <w:rPr>
                <w:sz w:val="16"/>
              </w:rPr>
              <w:t xml:space="preserve"> </w:t>
            </w:r>
            <w:r w:rsidRPr="005C7CCE">
              <w:rPr>
                <w:sz w:val="16"/>
              </w:rPr>
              <w:t>(100</w:t>
            </w:r>
            <w:r w:rsidR="007E442D" w:rsidRPr="005C7CCE">
              <w:rPr>
                <w:sz w:val="16"/>
              </w:rPr>
              <w:t>%</w:t>
            </w:r>
            <w:r w:rsidRPr="005C7CCE">
              <w:rPr>
                <w:sz w:val="16"/>
              </w:rPr>
              <w:t xml:space="preserve"> de toutes les demandes ont reçu une réponse en temps opportun)</w:t>
            </w:r>
          </w:p>
          <w:p w:rsidR="00D42474" w:rsidRDefault="00D42474" w:rsidP="001A5BF9">
            <w:pPr>
              <w:rPr>
                <w:rFonts w:cs="Arial"/>
                <w:sz w:val="16"/>
                <w:szCs w:val="16"/>
              </w:rPr>
            </w:pPr>
          </w:p>
          <w:p w:rsidR="00D42474" w:rsidRDefault="004007D3" w:rsidP="001A5BF9">
            <w:pPr>
              <w:rPr>
                <w:rFonts w:cs="Arial"/>
                <w:sz w:val="16"/>
                <w:szCs w:val="16"/>
              </w:rPr>
            </w:pPr>
            <w:r w:rsidRPr="005C7CCE">
              <w:rPr>
                <w:sz w:val="16"/>
              </w:rPr>
              <w:t>En 2012, deux</w:t>
            </w:r>
            <w:r w:rsidR="0010442A" w:rsidRPr="005C7CCE">
              <w:rPr>
                <w:sz w:val="16"/>
              </w:rPr>
              <w:t> </w:t>
            </w:r>
            <w:r w:rsidRPr="005C7CCE">
              <w:rPr>
                <w:sz w:val="16"/>
              </w:rPr>
              <w:t>audits ont été réalisés dans des bureaux externes (Singapour et Tokyo).</w:t>
            </w:r>
          </w:p>
          <w:p w:rsidR="00D42474" w:rsidRDefault="00D42474" w:rsidP="001A5BF9">
            <w:pPr>
              <w:rPr>
                <w:rFonts w:cs="Arial"/>
                <w:sz w:val="16"/>
                <w:szCs w:val="16"/>
              </w:rPr>
            </w:pPr>
          </w:p>
          <w:p w:rsidR="00D42474" w:rsidRDefault="004007D3" w:rsidP="001A5BF9">
            <w:pPr>
              <w:rPr>
                <w:rFonts w:cs="Arial"/>
                <w:sz w:val="16"/>
                <w:szCs w:val="16"/>
              </w:rPr>
            </w:pPr>
            <w:r w:rsidRPr="005C7CCE">
              <w:rPr>
                <w:sz w:val="16"/>
              </w:rPr>
              <w:t>En 2013, les audits des bureaux externes de Rio de Janeiro et de New York ont été reportés en raison des préparatifs intensifs menant à (et des demandes croissantes nécessaires pour) la conférence diplomatique de Marrakech, ainsi que les sessions extraordinaires de l</w:t>
            </w:r>
            <w:r w:rsidR="00A20444" w:rsidRPr="005C7CCE">
              <w:rPr>
                <w:sz w:val="16"/>
              </w:rPr>
              <w:t>’</w:t>
            </w:r>
            <w:r w:rsidRPr="005C7CCE">
              <w:rPr>
                <w:sz w:val="16"/>
              </w:rPr>
              <w:t>Assemblée générale qui ont eu lieu en décembre 2013.</w:t>
            </w:r>
          </w:p>
          <w:p w:rsidR="004007D3" w:rsidRPr="005C7CCE" w:rsidRDefault="004007D3" w:rsidP="001A5BF9">
            <w:pPr>
              <w:rPr>
                <w:rFonts w:cs="Arial"/>
                <w:sz w:val="16"/>
                <w:szCs w:val="16"/>
                <w:lang w:bidi="th-TH"/>
              </w:rPr>
            </w:pPr>
          </w:p>
        </w:tc>
        <w:tc>
          <w:tcPr>
            <w:tcW w:w="683" w:type="pct"/>
            <w:shd w:val="clear" w:color="auto" w:fill="auto"/>
          </w:tcPr>
          <w:p w:rsidR="00D42474" w:rsidRDefault="004007D3" w:rsidP="001A5BF9">
            <w:pPr>
              <w:keepNext/>
              <w:keepLines/>
              <w:jc w:val="center"/>
              <w:rPr>
                <w:color w:val="008000"/>
                <w:sz w:val="16"/>
                <w:szCs w:val="16"/>
              </w:rPr>
            </w:pPr>
            <w:r w:rsidRPr="00B470C6">
              <w:rPr>
                <w:color w:val="008000"/>
                <w:sz w:val="16"/>
                <w:szCs w:val="16"/>
              </w:rPr>
              <w:t>Objectif pleinement atteint</w:t>
            </w:r>
          </w:p>
          <w:p w:rsidR="00D42474" w:rsidRDefault="00D42474" w:rsidP="001A5BF9">
            <w:pPr>
              <w:keepNext/>
              <w:keepLines/>
              <w:jc w:val="center"/>
              <w:rPr>
                <w:rStyle w:val="Style5"/>
                <w:rFonts w:ascii="Arial" w:hAnsi="Arial" w:cs="Arial"/>
                <w:color w:val="008000"/>
                <w:sz w:val="16"/>
                <w:szCs w:val="16"/>
              </w:rPr>
            </w:pPr>
          </w:p>
          <w:p w:rsidR="00D42474" w:rsidRDefault="00D42474" w:rsidP="001A5BF9">
            <w:pPr>
              <w:keepNext/>
              <w:keepLines/>
              <w:jc w:val="center"/>
              <w:rPr>
                <w:rStyle w:val="Style5"/>
                <w:rFonts w:ascii="Arial" w:hAnsi="Arial" w:cs="Arial"/>
                <w:color w:val="008000"/>
                <w:sz w:val="16"/>
                <w:szCs w:val="16"/>
              </w:rPr>
            </w:pPr>
          </w:p>
          <w:p w:rsidR="00D42474" w:rsidRDefault="00D42474" w:rsidP="001A5BF9">
            <w:pPr>
              <w:keepNext/>
              <w:keepLines/>
              <w:jc w:val="center"/>
              <w:rPr>
                <w:rStyle w:val="Style5"/>
                <w:rFonts w:ascii="Arial" w:hAnsi="Arial" w:cs="Arial"/>
                <w:color w:val="008000"/>
                <w:sz w:val="16"/>
                <w:szCs w:val="16"/>
              </w:rPr>
            </w:pPr>
          </w:p>
          <w:p w:rsidR="00D42474" w:rsidRDefault="00D42474" w:rsidP="001A5BF9">
            <w:pPr>
              <w:keepNext/>
              <w:keepLines/>
              <w:jc w:val="center"/>
              <w:rPr>
                <w:rStyle w:val="Style5"/>
                <w:rFonts w:ascii="Arial" w:hAnsi="Arial" w:cs="Arial"/>
                <w:color w:val="008000"/>
                <w:sz w:val="16"/>
                <w:szCs w:val="16"/>
              </w:rPr>
            </w:pPr>
          </w:p>
          <w:p w:rsidR="00D42474" w:rsidRDefault="00D42474" w:rsidP="001A5BF9">
            <w:pPr>
              <w:keepNext/>
              <w:keepLines/>
              <w:jc w:val="center"/>
              <w:rPr>
                <w:rStyle w:val="Style5"/>
                <w:rFonts w:ascii="Arial" w:hAnsi="Arial" w:cs="Arial"/>
                <w:color w:val="008000"/>
                <w:sz w:val="16"/>
                <w:szCs w:val="16"/>
              </w:rPr>
            </w:pPr>
          </w:p>
          <w:p w:rsidR="00D42474" w:rsidRDefault="00D42474" w:rsidP="001A5BF9">
            <w:pPr>
              <w:keepNext/>
              <w:keepLines/>
              <w:jc w:val="center"/>
              <w:rPr>
                <w:rStyle w:val="Style5"/>
                <w:rFonts w:ascii="Arial" w:hAnsi="Arial" w:cs="Arial"/>
                <w:color w:val="008000"/>
                <w:sz w:val="16"/>
                <w:szCs w:val="16"/>
              </w:rPr>
            </w:pPr>
          </w:p>
          <w:p w:rsidR="00D42474" w:rsidRDefault="0015421B" w:rsidP="001A5BF9">
            <w:pPr>
              <w:keepNext/>
              <w:keepLines/>
              <w:jc w:val="center"/>
              <w:rPr>
                <w:rStyle w:val="Style5"/>
                <w:rFonts w:ascii="Arial" w:hAnsi="Arial" w:cs="Arial"/>
                <w:color w:val="008000"/>
                <w:sz w:val="16"/>
                <w:szCs w:val="16"/>
              </w:rPr>
            </w:pPr>
            <w:r w:rsidRPr="0015421B">
              <w:rPr>
                <w:rStyle w:val="Style5"/>
                <w:rFonts w:ascii="Arial" w:hAnsi="Arial"/>
                <w:color w:val="E36C0A"/>
                <w:sz w:val="16"/>
              </w:rPr>
              <w:t>Objectif partiellement atteint</w:t>
            </w:r>
          </w:p>
          <w:p w:rsidR="004007D3" w:rsidRPr="005C7CCE" w:rsidRDefault="004007D3" w:rsidP="001A5BF9">
            <w:pPr>
              <w:keepNext/>
              <w:keepLines/>
              <w:jc w:val="center"/>
              <w:rPr>
                <w:rFonts w:cs="Arial"/>
                <w:bCs/>
                <w:color w:val="008000"/>
                <w:sz w:val="16"/>
                <w:szCs w:val="16"/>
              </w:rPr>
            </w:pPr>
          </w:p>
        </w:tc>
      </w:tr>
    </w:tbl>
    <w:p w:rsidR="00D42474" w:rsidRDefault="00D42474" w:rsidP="001A5BF9">
      <w:pPr>
        <w:rPr>
          <w:rFonts w:cs="Arial"/>
          <w:szCs w:val="22"/>
        </w:rPr>
      </w:pPr>
    </w:p>
    <w:p w:rsidR="00D42474" w:rsidRDefault="00D42474" w:rsidP="001A5BF9">
      <w:pPr>
        <w:rPr>
          <w:rFonts w:cs="Arial"/>
          <w:szCs w:val="22"/>
        </w:rPr>
      </w:pPr>
    </w:p>
    <w:p w:rsidR="00D42474" w:rsidRDefault="00D42474" w:rsidP="001A5BF9">
      <w:pPr>
        <w:rPr>
          <w:rFonts w:cs="Arial"/>
          <w:szCs w:val="22"/>
        </w:rPr>
      </w:pPr>
    </w:p>
    <w:p w:rsidR="00D42474" w:rsidRDefault="006D796D" w:rsidP="001A5BF9">
      <w:pPr>
        <w:rPr>
          <w:rFonts w:cs="Arial"/>
          <w:szCs w:val="22"/>
        </w:rPr>
      </w:pPr>
      <w:r w:rsidRPr="005C7CCE">
        <w:rPr>
          <w:color w:val="008000"/>
        </w:rPr>
        <w:br w:type="page"/>
      </w:r>
      <w:r w:rsidR="004007D3" w:rsidRPr="00866763">
        <w:rPr>
          <w:sz w:val="22"/>
        </w:rPr>
        <w:t>BUDGET ET DÉPENSES EFFECTIVES</w:t>
      </w:r>
    </w:p>
    <w:p w:rsidR="00D42474" w:rsidRDefault="00D42474" w:rsidP="001A5BF9">
      <w:pPr>
        <w:rPr>
          <w:rFonts w:cs="Arial"/>
          <w:szCs w:val="22"/>
        </w:rPr>
      </w:pPr>
    </w:p>
    <w:p w:rsidR="00D42474" w:rsidRDefault="004007D3" w:rsidP="001A5BF9">
      <w:pPr>
        <w:pStyle w:val="NormalWeb"/>
        <w:spacing w:before="0" w:beforeAutospacing="0" w:after="0" w:afterAutospacing="0"/>
        <w:jc w:val="center"/>
        <w:rPr>
          <w:sz w:val="20"/>
        </w:rPr>
      </w:pPr>
      <w:r w:rsidRPr="00251542">
        <w:rPr>
          <w:sz w:val="20"/>
        </w:rPr>
        <w:t>Budget et dépenses effectives (par résultat)</w:t>
      </w:r>
    </w:p>
    <w:p w:rsidR="00D42474" w:rsidRDefault="004007D3" w:rsidP="001A5BF9">
      <w:pPr>
        <w:pStyle w:val="NormalWeb"/>
        <w:spacing w:before="0" w:beforeAutospacing="0" w:after="0" w:afterAutospacing="0"/>
        <w:jc w:val="center"/>
        <w:rPr>
          <w:i/>
          <w:iCs/>
          <w:sz w:val="20"/>
          <w:szCs w:val="20"/>
        </w:rPr>
      </w:pPr>
      <w:r w:rsidRPr="00251542">
        <w:rPr>
          <w:i/>
          <w:sz w:val="20"/>
        </w:rPr>
        <w:t>(</w:t>
      </w:r>
      <w:proofErr w:type="gramStart"/>
      <w:r w:rsidRPr="00251542">
        <w:rPr>
          <w:i/>
          <w:sz w:val="20"/>
        </w:rPr>
        <w:t>en</w:t>
      </w:r>
      <w:proofErr w:type="gramEnd"/>
      <w:r w:rsidRPr="00251542">
        <w:rPr>
          <w:i/>
          <w:sz w:val="20"/>
        </w:rPr>
        <w:t xml:space="preserve"> milliers de francs suisses)</w:t>
      </w:r>
    </w:p>
    <w:p w:rsidR="004007D3" w:rsidRPr="00251542" w:rsidRDefault="004007D3" w:rsidP="001A5BF9">
      <w:pPr>
        <w:pStyle w:val="NormalWeb"/>
        <w:spacing w:before="0" w:beforeAutospacing="0" w:after="0" w:afterAutospacing="0"/>
        <w:jc w:val="center"/>
        <w:rPr>
          <w:sz w:val="20"/>
          <w:szCs w:val="20"/>
        </w:rPr>
      </w:pPr>
    </w:p>
    <w:tbl>
      <w:tblPr>
        <w:tblW w:w="0" w:type="auto"/>
        <w:tblInd w:w="103" w:type="dxa"/>
        <w:tblLayout w:type="fixed"/>
        <w:tblLook w:val="04A0" w:firstRow="1" w:lastRow="0" w:firstColumn="1" w:lastColumn="0" w:noHBand="0" w:noVBand="1"/>
      </w:tblPr>
      <w:tblGrid>
        <w:gridCol w:w="501"/>
        <w:gridCol w:w="4607"/>
        <w:gridCol w:w="1417"/>
        <w:gridCol w:w="1418"/>
        <w:gridCol w:w="1418"/>
      </w:tblGrid>
      <w:tr w:rsidR="004007D3" w:rsidRPr="00251542" w:rsidTr="00797A8B">
        <w:tc>
          <w:tcPr>
            <w:tcW w:w="5108"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4007D3" w:rsidRPr="00251542" w:rsidRDefault="004007D3" w:rsidP="001A5BF9">
            <w:pPr>
              <w:spacing w:before="120" w:after="120"/>
              <w:jc w:val="center"/>
              <w:rPr>
                <w:rFonts w:cs="Arial"/>
                <w:bCs/>
                <w:sz w:val="16"/>
                <w:szCs w:val="16"/>
              </w:rPr>
            </w:pPr>
            <w:r w:rsidRPr="00251542">
              <w:rPr>
                <w:sz w:val="16"/>
              </w:rPr>
              <w:t>Numéro et description du résultat escompté</w:t>
            </w:r>
          </w:p>
        </w:tc>
        <w:tc>
          <w:tcPr>
            <w:tcW w:w="1417" w:type="dxa"/>
            <w:tcBorders>
              <w:top w:val="single" w:sz="4" w:space="0" w:color="auto"/>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2012–2013</w:t>
            </w:r>
            <w:r w:rsidRPr="00251542">
              <w:br/>
            </w:r>
            <w:r w:rsidRPr="00251542">
              <w:rPr>
                <w:sz w:val="16"/>
              </w:rPr>
              <w:t>approuvé</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w:t>
            </w:r>
            <w:r w:rsidR="002D6F2A" w:rsidRPr="00251542">
              <w:rPr>
                <w:sz w:val="16"/>
              </w:rPr>
              <w:noBreakHyphen/>
            </w:r>
            <w:r w:rsidRPr="00251542">
              <w:rPr>
                <w:sz w:val="16"/>
              </w:rPr>
              <w:t>2013</w:t>
            </w:r>
            <w:r w:rsidRPr="00251542">
              <w:br/>
            </w:r>
            <w:r w:rsidRPr="00251542">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Dépenses</w:t>
            </w:r>
            <w:r w:rsidRPr="00251542">
              <w:br/>
            </w:r>
            <w:r w:rsidRPr="00251542">
              <w:rPr>
                <w:sz w:val="16"/>
              </w:rPr>
              <w:t>2012</w:t>
            </w:r>
            <w:r w:rsidR="002D6F2A" w:rsidRPr="00251542">
              <w:rPr>
                <w:sz w:val="16"/>
              </w:rPr>
              <w:noBreakHyphen/>
            </w:r>
            <w:r w:rsidRPr="00251542">
              <w:rPr>
                <w:sz w:val="16"/>
              </w:rPr>
              <w:t>2013</w:t>
            </w:r>
          </w:p>
        </w:tc>
      </w:tr>
      <w:tr w:rsidR="004007D3" w:rsidRPr="00251542" w:rsidTr="00797A8B">
        <w:tc>
          <w:tcPr>
            <w:tcW w:w="501" w:type="dxa"/>
            <w:tcBorders>
              <w:top w:val="nil"/>
              <w:left w:val="single" w:sz="4" w:space="0" w:color="auto"/>
              <w:bottom w:val="single" w:sz="4" w:space="0" w:color="auto"/>
              <w:right w:val="nil"/>
            </w:tcBorders>
            <w:shd w:val="clear" w:color="000000" w:fill="FFFFFF"/>
            <w:noWrap/>
          </w:tcPr>
          <w:p w:rsidR="004007D3" w:rsidRPr="00251542" w:rsidRDefault="004007D3" w:rsidP="001A5BF9">
            <w:pPr>
              <w:spacing w:before="120" w:after="120"/>
              <w:jc w:val="center"/>
              <w:rPr>
                <w:rFonts w:cs="Arial"/>
                <w:sz w:val="16"/>
                <w:szCs w:val="16"/>
              </w:rPr>
            </w:pPr>
            <w:proofErr w:type="spellStart"/>
            <w:r w:rsidRPr="00251542">
              <w:rPr>
                <w:sz w:val="16"/>
              </w:rPr>
              <w:t>IX.4</w:t>
            </w:r>
            <w:proofErr w:type="spellEnd"/>
          </w:p>
        </w:tc>
        <w:tc>
          <w:tcPr>
            <w:tcW w:w="4607" w:type="dxa"/>
            <w:tcBorders>
              <w:top w:val="nil"/>
              <w:left w:val="nil"/>
              <w:bottom w:val="single" w:sz="4" w:space="0" w:color="auto"/>
              <w:right w:val="nil"/>
            </w:tcBorders>
            <w:shd w:val="clear" w:color="000000" w:fill="FFFFFF"/>
          </w:tcPr>
          <w:p w:rsidR="004007D3" w:rsidRPr="00251542" w:rsidRDefault="004007D3" w:rsidP="001A5BF9">
            <w:pPr>
              <w:spacing w:before="120" w:after="120"/>
              <w:rPr>
                <w:rFonts w:cs="Arial"/>
                <w:sz w:val="16"/>
                <w:szCs w:val="16"/>
              </w:rPr>
            </w:pPr>
            <w:r w:rsidRPr="00251542">
              <w:rPr>
                <w:sz w:val="16"/>
              </w:rPr>
              <w:t>Sûreté et sécurité des membres du personnel, des délégués, des visiteurs, des données et des biens de l</w:t>
            </w:r>
            <w:r w:rsidR="00A20444" w:rsidRPr="00251542">
              <w:rPr>
                <w:sz w:val="16"/>
              </w:rPr>
              <w:t>’</w:t>
            </w:r>
            <w:r w:rsidRPr="00251542">
              <w:rPr>
                <w:sz w:val="16"/>
              </w:rPr>
              <w:t>OMPI</w:t>
            </w:r>
          </w:p>
        </w:tc>
        <w:tc>
          <w:tcPr>
            <w:tcW w:w="1417" w:type="dxa"/>
            <w:tcBorders>
              <w:top w:val="nil"/>
              <w:left w:val="nil"/>
              <w:bottom w:val="nil"/>
              <w:right w:val="nil"/>
            </w:tcBorders>
            <w:shd w:val="clear" w:color="000000" w:fill="FFFFFF"/>
            <w:vAlign w:val="center"/>
          </w:tcPr>
          <w:p w:rsidR="004007D3" w:rsidRPr="00251542" w:rsidRDefault="004007D3" w:rsidP="001A5BF9">
            <w:pPr>
              <w:spacing w:before="120" w:after="120"/>
              <w:jc w:val="right"/>
              <w:rPr>
                <w:rFonts w:cs="Arial"/>
                <w:sz w:val="16"/>
                <w:szCs w:val="16"/>
              </w:rPr>
            </w:pPr>
            <w:r w:rsidRPr="00251542">
              <w:rPr>
                <w:sz w:val="16"/>
              </w:rPr>
              <w:t xml:space="preserve">12 159 </w:t>
            </w:r>
          </w:p>
        </w:tc>
        <w:tc>
          <w:tcPr>
            <w:tcW w:w="1418" w:type="dxa"/>
            <w:tcBorders>
              <w:top w:val="nil"/>
              <w:left w:val="nil"/>
              <w:bottom w:val="nil"/>
              <w:right w:val="nil"/>
            </w:tcBorders>
            <w:shd w:val="clear" w:color="000000" w:fill="FFFFFF"/>
            <w:vAlign w:val="center"/>
          </w:tcPr>
          <w:p w:rsidR="004007D3" w:rsidRPr="00251542" w:rsidRDefault="004007D3" w:rsidP="001A5BF9">
            <w:pPr>
              <w:spacing w:before="120" w:after="120"/>
              <w:jc w:val="right"/>
              <w:rPr>
                <w:rFonts w:cs="Arial"/>
                <w:sz w:val="16"/>
                <w:szCs w:val="16"/>
              </w:rPr>
            </w:pPr>
            <w:r w:rsidRPr="00251542">
              <w:rPr>
                <w:sz w:val="16"/>
              </w:rPr>
              <w:t xml:space="preserve">11 385 </w:t>
            </w:r>
          </w:p>
        </w:tc>
        <w:tc>
          <w:tcPr>
            <w:tcW w:w="1418" w:type="dxa"/>
            <w:tcBorders>
              <w:top w:val="nil"/>
              <w:left w:val="nil"/>
              <w:bottom w:val="nil"/>
              <w:right w:val="single" w:sz="4" w:space="0" w:color="auto"/>
            </w:tcBorders>
            <w:shd w:val="clear" w:color="000000" w:fill="FFFFFF"/>
            <w:vAlign w:val="center"/>
          </w:tcPr>
          <w:p w:rsidR="004007D3" w:rsidRPr="00251542" w:rsidRDefault="004007D3" w:rsidP="001A5BF9">
            <w:pPr>
              <w:spacing w:before="120" w:after="120"/>
              <w:jc w:val="right"/>
              <w:rPr>
                <w:rFonts w:cs="Arial"/>
                <w:sz w:val="16"/>
                <w:szCs w:val="16"/>
              </w:rPr>
            </w:pPr>
            <w:r w:rsidRPr="00251542">
              <w:rPr>
                <w:sz w:val="16"/>
              </w:rPr>
              <w:t xml:space="preserve">11 026 </w:t>
            </w:r>
          </w:p>
        </w:tc>
      </w:tr>
      <w:tr w:rsidR="004007D3" w:rsidRPr="00251542" w:rsidTr="00797A8B">
        <w:tc>
          <w:tcPr>
            <w:tcW w:w="501" w:type="dxa"/>
            <w:tcBorders>
              <w:top w:val="nil"/>
              <w:left w:val="single" w:sz="4" w:space="0" w:color="auto"/>
              <w:bottom w:val="single" w:sz="4" w:space="0" w:color="auto"/>
              <w:right w:val="nil"/>
            </w:tcBorders>
            <w:shd w:val="clear" w:color="000000" w:fill="CCFFFF"/>
            <w:noWrap/>
            <w:vAlign w:val="bottom"/>
          </w:tcPr>
          <w:p w:rsidR="004007D3" w:rsidRPr="00251542" w:rsidRDefault="004007D3" w:rsidP="001A5BF9">
            <w:pPr>
              <w:spacing w:before="120" w:after="120"/>
              <w:jc w:val="center"/>
              <w:rPr>
                <w:rFonts w:cs="Arial"/>
                <w:b/>
                <w:bCs/>
                <w:sz w:val="16"/>
                <w:szCs w:val="16"/>
              </w:rPr>
            </w:pPr>
            <w:r w:rsidRPr="00251542">
              <w:rPr>
                <w:b/>
                <w:sz w:val="16"/>
              </w:rPr>
              <w:t> </w:t>
            </w:r>
          </w:p>
        </w:tc>
        <w:tc>
          <w:tcPr>
            <w:tcW w:w="4607" w:type="dxa"/>
            <w:tcBorders>
              <w:top w:val="nil"/>
              <w:left w:val="nil"/>
              <w:bottom w:val="single" w:sz="4" w:space="0" w:color="auto"/>
              <w:right w:val="nil"/>
            </w:tcBorders>
            <w:shd w:val="clear" w:color="000000" w:fill="CCFFFF"/>
            <w:noWrap/>
            <w:vAlign w:val="center"/>
          </w:tcPr>
          <w:p w:rsidR="004007D3" w:rsidRPr="00251542" w:rsidRDefault="004007D3" w:rsidP="001A5BF9">
            <w:pPr>
              <w:spacing w:before="120" w:after="120"/>
              <w:rPr>
                <w:rFonts w:cs="Arial"/>
                <w:b/>
                <w:bCs/>
                <w:sz w:val="16"/>
                <w:szCs w:val="16"/>
              </w:rPr>
            </w:pPr>
            <w:r w:rsidRPr="00251542">
              <w:rPr>
                <w:b/>
                <w:sz w:val="16"/>
              </w:rPr>
              <w:t>Total</w:t>
            </w:r>
          </w:p>
        </w:tc>
        <w:tc>
          <w:tcPr>
            <w:tcW w:w="1417" w:type="dxa"/>
            <w:tcBorders>
              <w:top w:val="single" w:sz="4" w:space="0" w:color="auto"/>
              <w:left w:val="single" w:sz="4" w:space="0" w:color="auto"/>
              <w:bottom w:val="single" w:sz="4" w:space="0" w:color="auto"/>
              <w:right w:val="single" w:sz="4" w:space="0" w:color="auto"/>
            </w:tcBorders>
            <w:shd w:val="clear" w:color="000000" w:fill="CCFFFF"/>
            <w:vAlign w:val="center"/>
          </w:tcPr>
          <w:p w:rsidR="004007D3" w:rsidRPr="00251542" w:rsidRDefault="004007D3" w:rsidP="001A5BF9">
            <w:pPr>
              <w:spacing w:before="120" w:after="120"/>
              <w:jc w:val="right"/>
              <w:rPr>
                <w:rFonts w:cs="Arial"/>
                <w:b/>
                <w:bCs/>
                <w:sz w:val="16"/>
                <w:szCs w:val="16"/>
              </w:rPr>
            </w:pPr>
            <w:r w:rsidRPr="00251542">
              <w:rPr>
                <w:b/>
                <w:sz w:val="16"/>
              </w:rPr>
              <w:t>12 159</w:t>
            </w:r>
          </w:p>
        </w:tc>
        <w:tc>
          <w:tcPr>
            <w:tcW w:w="1418" w:type="dxa"/>
            <w:tcBorders>
              <w:top w:val="single" w:sz="4" w:space="0" w:color="auto"/>
              <w:left w:val="nil"/>
              <w:bottom w:val="single" w:sz="4" w:space="0" w:color="auto"/>
              <w:right w:val="single" w:sz="4" w:space="0" w:color="auto"/>
            </w:tcBorders>
            <w:shd w:val="clear" w:color="000000" w:fill="CCFFFF"/>
            <w:noWrap/>
            <w:vAlign w:val="center"/>
          </w:tcPr>
          <w:p w:rsidR="004007D3" w:rsidRPr="00251542" w:rsidRDefault="004007D3" w:rsidP="001A5BF9">
            <w:pPr>
              <w:spacing w:before="120" w:after="120"/>
              <w:jc w:val="right"/>
              <w:rPr>
                <w:rFonts w:cs="Arial"/>
                <w:b/>
                <w:bCs/>
                <w:sz w:val="16"/>
                <w:szCs w:val="16"/>
              </w:rPr>
            </w:pPr>
            <w:r w:rsidRPr="00251542">
              <w:rPr>
                <w:b/>
                <w:sz w:val="16"/>
              </w:rPr>
              <w:t>11 385</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right"/>
              <w:rPr>
                <w:rFonts w:cs="Arial"/>
                <w:b/>
                <w:bCs/>
                <w:sz w:val="16"/>
                <w:szCs w:val="16"/>
              </w:rPr>
            </w:pPr>
            <w:r w:rsidRPr="00251542">
              <w:rPr>
                <w:b/>
                <w:sz w:val="16"/>
              </w:rPr>
              <w:t>11 026</w:t>
            </w:r>
          </w:p>
        </w:tc>
      </w:tr>
    </w:tbl>
    <w:p w:rsidR="00D42474" w:rsidRDefault="00D42474" w:rsidP="001A5BF9">
      <w:pPr>
        <w:rPr>
          <w:rFonts w:cs="Arial"/>
          <w:szCs w:val="22"/>
        </w:rPr>
      </w:pPr>
    </w:p>
    <w:p w:rsidR="00D42474" w:rsidRDefault="00D42474" w:rsidP="001A5BF9">
      <w:pPr>
        <w:rPr>
          <w:rFonts w:cs="Arial"/>
          <w:szCs w:val="20"/>
        </w:rPr>
      </w:pPr>
    </w:p>
    <w:p w:rsidR="00D42474" w:rsidRDefault="00D42474" w:rsidP="001A5BF9">
      <w:pPr>
        <w:pStyle w:val="NormalWeb"/>
        <w:spacing w:before="0" w:beforeAutospacing="0" w:after="0" w:afterAutospacing="0"/>
        <w:jc w:val="center"/>
        <w:rPr>
          <w:sz w:val="20"/>
          <w:szCs w:val="20"/>
        </w:rPr>
      </w:pPr>
    </w:p>
    <w:p w:rsidR="00D42474" w:rsidRDefault="004007D3" w:rsidP="001A5BF9">
      <w:pPr>
        <w:pStyle w:val="NormalWeb"/>
        <w:spacing w:before="0" w:beforeAutospacing="0" w:after="0" w:afterAutospacing="0"/>
        <w:jc w:val="center"/>
        <w:rPr>
          <w:sz w:val="20"/>
        </w:rPr>
      </w:pPr>
      <w:r w:rsidRPr="00251542">
        <w:rPr>
          <w:sz w:val="20"/>
        </w:rPr>
        <w:t xml:space="preserve">Budget et dépenses effectives (dépenses de </w:t>
      </w:r>
      <w:proofErr w:type="gramStart"/>
      <w:r w:rsidRPr="00251542">
        <w:rPr>
          <w:sz w:val="20"/>
        </w:rPr>
        <w:t>personnel et autres dépenses</w:t>
      </w:r>
      <w:proofErr w:type="gramEnd"/>
      <w:r w:rsidRPr="00251542">
        <w:rPr>
          <w:sz w:val="20"/>
        </w:rPr>
        <w:t>)</w:t>
      </w:r>
    </w:p>
    <w:p w:rsidR="00D42474" w:rsidRDefault="004007D3" w:rsidP="001A5BF9">
      <w:pPr>
        <w:pStyle w:val="NormalWeb"/>
        <w:spacing w:before="0" w:beforeAutospacing="0" w:after="0" w:afterAutospacing="0"/>
        <w:jc w:val="center"/>
        <w:rPr>
          <w:sz w:val="20"/>
          <w:szCs w:val="20"/>
        </w:rPr>
      </w:pPr>
      <w:r w:rsidRPr="00251542">
        <w:rPr>
          <w:i/>
          <w:sz w:val="20"/>
        </w:rPr>
        <w:t>(</w:t>
      </w:r>
      <w:proofErr w:type="gramStart"/>
      <w:r w:rsidRPr="00251542">
        <w:rPr>
          <w:i/>
          <w:sz w:val="20"/>
        </w:rPr>
        <w:t>en</w:t>
      </w:r>
      <w:proofErr w:type="gramEnd"/>
      <w:r w:rsidRPr="00251542">
        <w:rPr>
          <w:i/>
          <w:sz w:val="20"/>
        </w:rPr>
        <w:t xml:space="preserve"> milliers de francs suisses)</w:t>
      </w:r>
    </w:p>
    <w:p w:rsidR="004007D3" w:rsidRPr="00251542" w:rsidRDefault="004007D3" w:rsidP="001A5BF9">
      <w:pPr>
        <w:rPr>
          <w:rFonts w:cs="Arial"/>
          <w:szCs w:val="22"/>
        </w:rPr>
      </w:pPr>
    </w:p>
    <w:tbl>
      <w:tblPr>
        <w:tblW w:w="0" w:type="auto"/>
        <w:tblInd w:w="93" w:type="dxa"/>
        <w:tblLook w:val="04A0" w:firstRow="1" w:lastRow="0" w:firstColumn="1" w:lastColumn="0" w:noHBand="0" w:noVBand="1"/>
      </w:tblPr>
      <w:tblGrid>
        <w:gridCol w:w="2709"/>
        <w:gridCol w:w="1630"/>
        <w:gridCol w:w="1631"/>
        <w:gridCol w:w="1630"/>
        <w:gridCol w:w="1631"/>
      </w:tblGrid>
      <w:tr w:rsidR="004007D3" w:rsidRPr="00251542" w:rsidTr="0056083E">
        <w:tc>
          <w:tcPr>
            <w:tcW w:w="2709"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4007D3" w:rsidRPr="00251542" w:rsidRDefault="004007D3" w:rsidP="001A5BF9">
            <w:pPr>
              <w:spacing w:before="120" w:after="120"/>
              <w:rPr>
                <w:rFonts w:cs="Arial"/>
                <w:sz w:val="16"/>
                <w:szCs w:val="16"/>
              </w:rPr>
            </w:pPr>
            <w:r w:rsidRPr="00251542">
              <w:rPr>
                <w:sz w:val="16"/>
              </w:rPr>
              <w:t> </w:t>
            </w:r>
          </w:p>
        </w:tc>
        <w:tc>
          <w:tcPr>
            <w:tcW w:w="1630" w:type="dxa"/>
            <w:tcBorders>
              <w:top w:val="single" w:sz="4" w:space="0" w:color="auto"/>
              <w:left w:val="nil"/>
              <w:bottom w:val="nil"/>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w:t>
            </w:r>
            <w:r w:rsidR="002D6F2A" w:rsidRPr="00251542">
              <w:rPr>
                <w:sz w:val="16"/>
              </w:rPr>
              <w:noBreakHyphen/>
            </w:r>
            <w:r w:rsidRPr="00251542">
              <w:rPr>
                <w:sz w:val="16"/>
              </w:rPr>
              <w:t>2013</w:t>
            </w:r>
            <w:r w:rsidRPr="00251542">
              <w:br/>
            </w:r>
            <w:r w:rsidRPr="00251542">
              <w:rPr>
                <w:sz w:val="16"/>
              </w:rPr>
              <w:t>approuvé</w:t>
            </w:r>
          </w:p>
        </w:tc>
        <w:tc>
          <w:tcPr>
            <w:tcW w:w="1631" w:type="dxa"/>
            <w:tcBorders>
              <w:top w:val="single" w:sz="4" w:space="0" w:color="auto"/>
              <w:left w:val="nil"/>
              <w:bottom w:val="nil"/>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w:t>
            </w:r>
            <w:r w:rsidR="002D6F2A" w:rsidRPr="00251542">
              <w:rPr>
                <w:sz w:val="16"/>
              </w:rPr>
              <w:noBreakHyphen/>
            </w:r>
            <w:r w:rsidRPr="00251542">
              <w:rPr>
                <w:sz w:val="16"/>
              </w:rPr>
              <w:t>2013</w:t>
            </w:r>
            <w:r w:rsidRPr="00251542">
              <w:br/>
            </w:r>
            <w:r w:rsidRPr="00251542">
              <w:rPr>
                <w:sz w:val="16"/>
              </w:rPr>
              <w:t>après virements</w:t>
            </w:r>
          </w:p>
        </w:tc>
        <w:tc>
          <w:tcPr>
            <w:tcW w:w="1630" w:type="dxa"/>
            <w:tcBorders>
              <w:top w:val="single" w:sz="4" w:space="0" w:color="auto"/>
              <w:left w:val="nil"/>
              <w:bottom w:val="nil"/>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Dépenses</w:t>
            </w:r>
            <w:r w:rsidRPr="00251542">
              <w:br/>
            </w:r>
            <w:r w:rsidRPr="00251542">
              <w:rPr>
                <w:sz w:val="16"/>
              </w:rPr>
              <w:t>2012</w:t>
            </w:r>
            <w:r w:rsidR="002D6F2A" w:rsidRPr="00251542">
              <w:rPr>
                <w:sz w:val="16"/>
              </w:rPr>
              <w:noBreakHyphen/>
            </w:r>
            <w:r w:rsidRPr="00251542">
              <w:rPr>
                <w:sz w:val="16"/>
              </w:rPr>
              <w:t>2013</w:t>
            </w:r>
          </w:p>
        </w:tc>
        <w:tc>
          <w:tcPr>
            <w:tcW w:w="1631" w:type="dxa"/>
            <w:tcBorders>
              <w:top w:val="single" w:sz="4" w:space="0" w:color="auto"/>
              <w:left w:val="nil"/>
              <w:bottom w:val="nil"/>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Taux d</w:t>
            </w:r>
            <w:r w:rsidR="00A20444" w:rsidRPr="00251542">
              <w:rPr>
                <w:sz w:val="16"/>
              </w:rPr>
              <w:t>’</w:t>
            </w:r>
            <w:r w:rsidRPr="00251542">
              <w:rPr>
                <w:sz w:val="16"/>
              </w:rPr>
              <w:t xml:space="preserve">utilisation </w:t>
            </w:r>
            <w:r w:rsidR="00BD43F2" w:rsidRPr="00251542">
              <w:rPr>
                <w:sz w:val="16"/>
              </w:rPr>
              <w:t>(%)</w:t>
            </w:r>
          </w:p>
        </w:tc>
      </w:tr>
      <w:tr w:rsidR="004007D3" w:rsidRPr="00251542" w:rsidTr="0056083E">
        <w:tc>
          <w:tcPr>
            <w:tcW w:w="2709" w:type="dxa"/>
            <w:tcBorders>
              <w:top w:val="nil"/>
              <w:left w:val="single" w:sz="4" w:space="0" w:color="auto"/>
              <w:bottom w:val="single" w:sz="4" w:space="0" w:color="auto"/>
              <w:right w:val="single" w:sz="4" w:space="0" w:color="auto"/>
            </w:tcBorders>
            <w:shd w:val="clear" w:color="auto" w:fill="auto"/>
            <w:noWrap/>
            <w:vAlign w:val="center"/>
          </w:tcPr>
          <w:p w:rsidR="004007D3" w:rsidRPr="00251542" w:rsidRDefault="004007D3" w:rsidP="001A5BF9">
            <w:pPr>
              <w:spacing w:before="120" w:after="120"/>
              <w:rPr>
                <w:rFonts w:cs="Arial"/>
                <w:sz w:val="16"/>
                <w:szCs w:val="16"/>
              </w:rPr>
            </w:pPr>
            <w:r w:rsidRPr="00251542">
              <w:rPr>
                <w:sz w:val="16"/>
              </w:rPr>
              <w:t>Dépenses de personnel</w:t>
            </w:r>
            <w:r w:rsidR="004F3E42" w:rsidRPr="00251542">
              <w:rPr>
                <w:sz w:val="16"/>
              </w:rPr>
              <w:t xml:space="preserve"> </w:t>
            </w:r>
          </w:p>
        </w:tc>
        <w:tc>
          <w:tcPr>
            <w:tcW w:w="1630"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2 693</w:t>
            </w:r>
          </w:p>
        </w:tc>
        <w:tc>
          <w:tcPr>
            <w:tcW w:w="1631"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2 280</w:t>
            </w:r>
          </w:p>
        </w:tc>
        <w:tc>
          <w:tcPr>
            <w:tcW w:w="1630"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2 280</w:t>
            </w:r>
          </w:p>
        </w:tc>
        <w:tc>
          <w:tcPr>
            <w:tcW w:w="1631"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100</w:t>
            </w:r>
            <w:r w:rsidR="007E442D" w:rsidRPr="00251542">
              <w:rPr>
                <w:sz w:val="16"/>
              </w:rPr>
              <w:t>%</w:t>
            </w:r>
          </w:p>
        </w:tc>
      </w:tr>
      <w:tr w:rsidR="004007D3" w:rsidRPr="00251542" w:rsidTr="0056083E">
        <w:tc>
          <w:tcPr>
            <w:tcW w:w="2709" w:type="dxa"/>
            <w:tcBorders>
              <w:top w:val="nil"/>
              <w:left w:val="single" w:sz="4" w:space="0" w:color="auto"/>
              <w:bottom w:val="single" w:sz="4" w:space="0" w:color="auto"/>
              <w:right w:val="single" w:sz="4" w:space="0" w:color="auto"/>
            </w:tcBorders>
            <w:shd w:val="clear" w:color="auto" w:fill="auto"/>
            <w:noWrap/>
            <w:vAlign w:val="center"/>
          </w:tcPr>
          <w:p w:rsidR="004007D3" w:rsidRPr="00251542" w:rsidRDefault="004007D3" w:rsidP="001A5BF9">
            <w:pPr>
              <w:spacing w:before="120" w:after="120"/>
              <w:rPr>
                <w:rFonts w:cs="Arial"/>
                <w:sz w:val="16"/>
                <w:szCs w:val="16"/>
              </w:rPr>
            </w:pPr>
            <w:r w:rsidRPr="00251542">
              <w:rPr>
                <w:sz w:val="16"/>
              </w:rPr>
              <w:t xml:space="preserve">Autres dépenses </w:t>
            </w:r>
          </w:p>
        </w:tc>
        <w:tc>
          <w:tcPr>
            <w:tcW w:w="1630"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9 466</w:t>
            </w:r>
          </w:p>
        </w:tc>
        <w:tc>
          <w:tcPr>
            <w:tcW w:w="163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9 105</w:t>
            </w:r>
          </w:p>
        </w:tc>
        <w:tc>
          <w:tcPr>
            <w:tcW w:w="1630"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8 746</w:t>
            </w:r>
          </w:p>
        </w:tc>
        <w:tc>
          <w:tcPr>
            <w:tcW w:w="163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96</w:t>
            </w:r>
            <w:r w:rsidR="007E442D" w:rsidRPr="00251542">
              <w:rPr>
                <w:sz w:val="16"/>
              </w:rPr>
              <w:t>%</w:t>
            </w:r>
          </w:p>
        </w:tc>
      </w:tr>
      <w:tr w:rsidR="004007D3" w:rsidRPr="00251542" w:rsidTr="0056083E">
        <w:tc>
          <w:tcPr>
            <w:tcW w:w="2709" w:type="dxa"/>
            <w:tcBorders>
              <w:top w:val="nil"/>
              <w:left w:val="single" w:sz="4" w:space="0" w:color="auto"/>
              <w:bottom w:val="single" w:sz="4" w:space="0" w:color="auto"/>
              <w:right w:val="single" w:sz="4" w:space="0" w:color="auto"/>
            </w:tcBorders>
            <w:shd w:val="clear" w:color="auto" w:fill="auto"/>
            <w:noWrap/>
            <w:vAlign w:val="center"/>
          </w:tcPr>
          <w:p w:rsidR="004007D3" w:rsidRPr="00251542" w:rsidRDefault="004007D3" w:rsidP="001A5BF9">
            <w:pPr>
              <w:spacing w:before="120" w:after="120"/>
              <w:jc w:val="right"/>
              <w:rPr>
                <w:rFonts w:cs="Arial"/>
                <w:b/>
                <w:bCs/>
                <w:sz w:val="16"/>
                <w:szCs w:val="16"/>
              </w:rPr>
            </w:pPr>
            <w:r w:rsidRPr="00251542">
              <w:rPr>
                <w:b/>
                <w:sz w:val="16"/>
              </w:rPr>
              <w:t xml:space="preserve"> TOTAL </w:t>
            </w:r>
          </w:p>
        </w:tc>
        <w:tc>
          <w:tcPr>
            <w:tcW w:w="1630"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bCs/>
                <w:sz w:val="16"/>
                <w:szCs w:val="16"/>
              </w:rPr>
            </w:pPr>
            <w:r w:rsidRPr="00251542">
              <w:rPr>
                <w:b/>
                <w:sz w:val="16"/>
              </w:rPr>
              <w:t>12 159</w:t>
            </w:r>
          </w:p>
        </w:tc>
        <w:tc>
          <w:tcPr>
            <w:tcW w:w="163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sz w:val="16"/>
                <w:szCs w:val="16"/>
              </w:rPr>
            </w:pPr>
            <w:r w:rsidRPr="00251542">
              <w:rPr>
                <w:b/>
                <w:sz w:val="16"/>
              </w:rPr>
              <w:t>11 385</w:t>
            </w:r>
          </w:p>
        </w:tc>
        <w:tc>
          <w:tcPr>
            <w:tcW w:w="1630"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sz w:val="16"/>
                <w:szCs w:val="16"/>
              </w:rPr>
            </w:pPr>
            <w:r w:rsidRPr="00251542">
              <w:rPr>
                <w:b/>
                <w:sz w:val="16"/>
              </w:rPr>
              <w:t>11 026</w:t>
            </w:r>
          </w:p>
        </w:tc>
        <w:tc>
          <w:tcPr>
            <w:tcW w:w="1631"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sz w:val="16"/>
                <w:szCs w:val="16"/>
              </w:rPr>
            </w:pPr>
            <w:r w:rsidRPr="00251542">
              <w:rPr>
                <w:b/>
                <w:sz w:val="16"/>
              </w:rPr>
              <w:t>97</w:t>
            </w:r>
            <w:r w:rsidR="007E442D" w:rsidRPr="00251542">
              <w:rPr>
                <w:b/>
                <w:sz w:val="16"/>
              </w:rPr>
              <w:t>%</w:t>
            </w:r>
          </w:p>
        </w:tc>
      </w:tr>
    </w:tbl>
    <w:p w:rsidR="00D42474" w:rsidRDefault="00D42474" w:rsidP="001A5BF9">
      <w:pPr>
        <w:rPr>
          <w:rFonts w:cs="Arial"/>
          <w:szCs w:val="22"/>
        </w:rPr>
      </w:pPr>
    </w:p>
    <w:p w:rsidR="00D42474" w:rsidRDefault="004007D3" w:rsidP="001A5BF9">
      <w:pPr>
        <w:keepNext/>
        <w:autoSpaceDE w:val="0"/>
        <w:autoSpaceDN w:val="0"/>
        <w:rPr>
          <w:rFonts w:cs="Arial"/>
          <w:sz w:val="16"/>
          <w:szCs w:val="16"/>
        </w:rPr>
      </w:pPr>
      <w:proofErr w:type="gramStart"/>
      <w:r w:rsidRPr="00251542">
        <w:rPr>
          <w:sz w:val="16"/>
        </w:rPr>
        <w:t>NOTES</w:t>
      </w:r>
      <w:proofErr w:type="gramEnd"/>
      <w:r w:rsidR="0010442A" w:rsidRPr="00251542">
        <w:rPr>
          <w:sz w:val="16"/>
        </w:rPr>
        <w:t> </w:t>
      </w:r>
      <w:r w:rsidRPr="00251542">
        <w:rPr>
          <w:sz w:val="16"/>
        </w:rPr>
        <w:t>:</w:t>
      </w:r>
    </w:p>
    <w:p w:rsidR="00D42474" w:rsidRDefault="00D42474" w:rsidP="001A5BF9">
      <w:pPr>
        <w:keepNext/>
        <w:autoSpaceDE w:val="0"/>
        <w:autoSpaceDN w:val="0"/>
        <w:rPr>
          <w:rFonts w:cs="Arial"/>
          <w:sz w:val="16"/>
          <w:szCs w:val="16"/>
        </w:rPr>
      </w:pPr>
    </w:p>
    <w:p w:rsidR="00D42474" w:rsidRDefault="004007D3" w:rsidP="001A5BF9">
      <w:pPr>
        <w:keepNext/>
        <w:autoSpaceDE w:val="0"/>
        <w:autoSpaceDN w:val="0"/>
        <w:rPr>
          <w:rFonts w:cs="Arial"/>
          <w:sz w:val="16"/>
          <w:szCs w:val="16"/>
        </w:rPr>
      </w:pPr>
      <w:r w:rsidRPr="00251542">
        <w:rPr>
          <w:sz w:val="16"/>
        </w:rPr>
        <w:t>1)</w:t>
      </w:r>
      <w:r w:rsidR="0098611A">
        <w:rPr>
          <w:sz w:val="16"/>
        </w:rPr>
        <w:tab/>
      </w:r>
      <w:r w:rsidR="004F3E42" w:rsidRPr="00251542">
        <w:rPr>
          <w:sz w:val="16"/>
        </w:rPr>
        <w:t xml:space="preserve"> </w:t>
      </w:r>
      <w:r w:rsidRPr="00251542">
        <w:rPr>
          <w:sz w:val="16"/>
        </w:rPr>
        <w:t>Le budget restructuré après virements tient compte du budget ajusté des programmes après les virements réalisés au cours de l</w:t>
      </w:r>
      <w:r w:rsidR="00A20444" w:rsidRPr="00251542">
        <w:rPr>
          <w:sz w:val="16"/>
        </w:rPr>
        <w:t>’</w:t>
      </w:r>
      <w:r w:rsidRPr="00251542">
        <w:rPr>
          <w:sz w:val="16"/>
        </w:rPr>
        <w:t>exercice 2012</w:t>
      </w:r>
      <w:r w:rsidR="002D6F2A" w:rsidRPr="00251542">
        <w:rPr>
          <w:sz w:val="16"/>
        </w:rPr>
        <w:noBreakHyphen/>
      </w:r>
      <w:r w:rsidRPr="00251542">
        <w:rPr>
          <w:sz w:val="16"/>
        </w:rPr>
        <w:t xml:space="preserve">2013, conformément à </w:t>
      </w:r>
      <w:r w:rsidR="00E15133" w:rsidRPr="00251542">
        <w:rPr>
          <w:sz w:val="16"/>
        </w:rPr>
        <w:t>l</w:t>
      </w:r>
      <w:r w:rsidR="00A20444" w:rsidRPr="00251542">
        <w:rPr>
          <w:sz w:val="16"/>
        </w:rPr>
        <w:t>’</w:t>
      </w:r>
      <w:r w:rsidR="00E15133" w:rsidRPr="00251542">
        <w:rPr>
          <w:sz w:val="16"/>
        </w:rPr>
        <w:t>article 5.5</w:t>
      </w:r>
      <w:r w:rsidRPr="00251542">
        <w:rPr>
          <w:sz w:val="16"/>
        </w:rPr>
        <w:t xml:space="preserve"> du règlement d</w:t>
      </w:r>
      <w:r w:rsidR="00A20444" w:rsidRPr="00251542">
        <w:rPr>
          <w:sz w:val="16"/>
        </w:rPr>
        <w:t>’</w:t>
      </w:r>
      <w:r w:rsidRPr="00251542">
        <w:rPr>
          <w:sz w:val="16"/>
        </w:rPr>
        <w:t>exécution du Règlement financier.</w:t>
      </w:r>
    </w:p>
    <w:p w:rsidR="00D42474" w:rsidRDefault="00D42474" w:rsidP="001A5BF9">
      <w:pPr>
        <w:keepNext/>
        <w:autoSpaceDE w:val="0"/>
        <w:autoSpaceDN w:val="0"/>
        <w:rPr>
          <w:rFonts w:cs="Arial"/>
          <w:sz w:val="16"/>
          <w:szCs w:val="16"/>
        </w:rPr>
      </w:pPr>
    </w:p>
    <w:p w:rsidR="00D42474" w:rsidRDefault="004007D3" w:rsidP="001A5BF9">
      <w:pPr>
        <w:keepNext/>
        <w:autoSpaceDE w:val="0"/>
        <w:autoSpaceDN w:val="0"/>
        <w:rPr>
          <w:sz w:val="16"/>
        </w:rPr>
      </w:pPr>
      <w:r w:rsidRPr="00251542">
        <w:rPr>
          <w:sz w:val="16"/>
        </w:rPr>
        <w:t>2)</w:t>
      </w:r>
      <w:r w:rsidR="0098611A">
        <w:rPr>
          <w:sz w:val="16"/>
        </w:rPr>
        <w:tab/>
      </w:r>
      <w:r w:rsidRPr="00251542">
        <w:rPr>
          <w:sz w:val="16"/>
        </w:rPr>
        <w:t>Les dépenses de personnel indiquées dans le budget de l</w:t>
      </w:r>
      <w:r w:rsidR="00A20444" w:rsidRPr="00251542">
        <w:rPr>
          <w:sz w:val="16"/>
        </w:rPr>
        <w:t>’</w:t>
      </w:r>
      <w:r w:rsidRPr="00251542">
        <w:rPr>
          <w:sz w:val="16"/>
        </w:rPr>
        <w:t>exercice 2012</w:t>
      </w:r>
      <w:r w:rsidR="002D6F2A" w:rsidRPr="00251542">
        <w:rPr>
          <w:sz w:val="16"/>
        </w:rPr>
        <w:noBreakHyphen/>
      </w:r>
      <w:r w:rsidRPr="00251542">
        <w:rPr>
          <w:sz w:val="16"/>
        </w:rPr>
        <w:t>2013 après virements représentent les dépenses réelles engagées pendant l</w:t>
      </w:r>
      <w:r w:rsidR="00A20444" w:rsidRPr="00251542">
        <w:rPr>
          <w:sz w:val="16"/>
        </w:rPr>
        <w:t>’</w:t>
      </w:r>
      <w:r w:rsidRPr="00251542">
        <w:rPr>
          <w:sz w:val="16"/>
        </w:rPr>
        <w:t>exercice biennal.</w:t>
      </w:r>
    </w:p>
    <w:p w:rsidR="00D42474" w:rsidRDefault="00D42474" w:rsidP="001A5BF9">
      <w:pPr>
        <w:rPr>
          <w:rFonts w:cs="Arial"/>
          <w:szCs w:val="22"/>
        </w:rPr>
      </w:pPr>
    </w:p>
    <w:p w:rsidR="00D42474" w:rsidRDefault="00D42474" w:rsidP="001A5BF9">
      <w:pPr>
        <w:rPr>
          <w:rFonts w:cs="Arial"/>
          <w:szCs w:val="22"/>
        </w:rPr>
      </w:pPr>
    </w:p>
    <w:p w:rsidR="00D42474" w:rsidRDefault="004007D3" w:rsidP="001A5BF9">
      <w:pPr>
        <w:tabs>
          <w:tab w:val="left" w:pos="709"/>
        </w:tabs>
        <w:rPr>
          <w:rFonts w:cs="Arial"/>
          <w:szCs w:val="20"/>
          <w:u w:val="single"/>
        </w:rPr>
      </w:pPr>
      <w:r w:rsidRPr="00251542">
        <w:t>A.</w:t>
      </w:r>
      <w:r w:rsidRPr="00251542">
        <w:rPr>
          <w:i/>
        </w:rPr>
        <w:tab/>
      </w:r>
      <w:r w:rsidRPr="00251542">
        <w:rPr>
          <w:u w:val="single"/>
        </w:rPr>
        <w:t>Budget 2012</w:t>
      </w:r>
      <w:r w:rsidR="002D6F2A" w:rsidRPr="00251542">
        <w:rPr>
          <w:u w:val="single"/>
        </w:rPr>
        <w:noBreakHyphen/>
      </w:r>
      <w:r w:rsidRPr="00251542">
        <w:rPr>
          <w:u w:val="single"/>
        </w:rPr>
        <w:t>2013 après virements</w:t>
      </w:r>
    </w:p>
    <w:p w:rsidR="00D42474" w:rsidRDefault="00D42474" w:rsidP="001A5BF9">
      <w:pPr>
        <w:tabs>
          <w:tab w:val="left" w:pos="709"/>
        </w:tabs>
        <w:jc w:val="both"/>
        <w:rPr>
          <w:rFonts w:cs="Arial"/>
          <w:szCs w:val="20"/>
          <w:u w:val="single"/>
        </w:rPr>
      </w:pPr>
    </w:p>
    <w:p w:rsidR="00D42474" w:rsidRDefault="004007D3" w:rsidP="001A5BF9">
      <w:pPr>
        <w:tabs>
          <w:tab w:val="left" w:pos="709"/>
        </w:tabs>
        <w:autoSpaceDE w:val="0"/>
        <w:autoSpaceDN w:val="0"/>
        <w:jc w:val="both"/>
      </w:pPr>
      <w:r w:rsidRPr="00251542">
        <w:t>28.7.</w:t>
      </w:r>
      <w:r w:rsidRPr="00251542">
        <w:tab/>
        <w:t>Le budget après virements tient compte d</w:t>
      </w:r>
      <w:r w:rsidR="00A20444" w:rsidRPr="00251542">
        <w:t>’</w:t>
      </w:r>
      <w:r w:rsidRPr="00251542">
        <w:t>un ajustement à la baisse en ressources de personnel et autres, respectivement, pour les raisons suivantes :</w:t>
      </w:r>
    </w:p>
    <w:p w:rsidR="00D42474" w:rsidRDefault="00D42474" w:rsidP="001A5BF9">
      <w:pPr>
        <w:tabs>
          <w:tab w:val="left" w:pos="709"/>
        </w:tabs>
        <w:autoSpaceDE w:val="0"/>
        <w:autoSpaceDN w:val="0"/>
        <w:jc w:val="both"/>
        <w:rPr>
          <w:rFonts w:cs="Arial"/>
          <w:szCs w:val="20"/>
        </w:rPr>
      </w:pPr>
    </w:p>
    <w:p w:rsidR="00D42474" w:rsidRDefault="004007D3" w:rsidP="001A5BF9">
      <w:pPr>
        <w:pStyle w:val="Paragraphedeliste"/>
        <w:numPr>
          <w:ilvl w:val="0"/>
          <w:numId w:val="71"/>
        </w:numPr>
        <w:tabs>
          <w:tab w:val="left" w:pos="709"/>
        </w:tabs>
        <w:autoSpaceDE w:val="0"/>
        <w:autoSpaceDN w:val="0"/>
        <w:jc w:val="both"/>
      </w:pPr>
      <w:r w:rsidRPr="00251542">
        <w:t>le transfert de postes vacants du programme pour renforcer les travaux de l</w:t>
      </w:r>
      <w:r w:rsidR="00A20444" w:rsidRPr="00251542">
        <w:t>’</w:t>
      </w:r>
      <w:r w:rsidRPr="00251542">
        <w:t>Organisation sur les études économiques et l</w:t>
      </w:r>
      <w:r w:rsidR="00A20444" w:rsidRPr="00251542">
        <w:t>’</w:t>
      </w:r>
      <w:r w:rsidRPr="00251542">
        <w:t>analyse dans le cadre du programme 16 et pour favoriser la mise en œuvre de la politique linguistique de l</w:t>
      </w:r>
      <w:r w:rsidR="00A20444" w:rsidRPr="00251542">
        <w:t>’</w:t>
      </w:r>
      <w:r w:rsidRPr="00251542">
        <w:t>OMPI au titre du programme 27;</w:t>
      </w:r>
    </w:p>
    <w:p w:rsidR="00D42474" w:rsidRDefault="00D42474" w:rsidP="001A5BF9">
      <w:pPr>
        <w:pStyle w:val="Paragraphedeliste"/>
        <w:tabs>
          <w:tab w:val="left" w:pos="709"/>
        </w:tabs>
        <w:autoSpaceDE w:val="0"/>
        <w:autoSpaceDN w:val="0"/>
        <w:jc w:val="both"/>
        <w:rPr>
          <w:rFonts w:cs="Arial"/>
        </w:rPr>
      </w:pPr>
    </w:p>
    <w:p w:rsidR="00D42474" w:rsidRDefault="004007D3" w:rsidP="001A5BF9">
      <w:pPr>
        <w:pStyle w:val="Paragraphedeliste"/>
        <w:keepNext/>
        <w:numPr>
          <w:ilvl w:val="0"/>
          <w:numId w:val="71"/>
        </w:numPr>
        <w:tabs>
          <w:tab w:val="left" w:pos="709"/>
        </w:tabs>
        <w:autoSpaceDE w:val="0"/>
        <w:autoSpaceDN w:val="0"/>
        <w:jc w:val="both"/>
        <w:rPr>
          <w:rFonts w:cs="Arial"/>
        </w:rPr>
      </w:pPr>
      <w:r w:rsidRPr="005C7CCE">
        <w:t>les ajustements réalisés pour réduire les coûts, conformément aux engagements de l</w:t>
      </w:r>
      <w:r w:rsidR="00A20444" w:rsidRPr="005C7CCE">
        <w:t>’</w:t>
      </w:r>
      <w:r w:rsidRPr="005C7CCE">
        <w:t>Organisation de réduire les dépenses de 10,2 millions de francs suisses pour l</w:t>
      </w:r>
      <w:r w:rsidR="00A20444" w:rsidRPr="005C7CCE">
        <w:t>’</w:t>
      </w:r>
      <w:r w:rsidRPr="005C7CCE">
        <w:t>exercice biennal 2012</w:t>
      </w:r>
      <w:r w:rsidR="002D6F2A" w:rsidRPr="005C7CCE">
        <w:noBreakHyphen/>
      </w:r>
      <w:r w:rsidRPr="005C7CCE">
        <w:t>2013.</w:t>
      </w:r>
    </w:p>
    <w:p w:rsidR="00D42474" w:rsidRDefault="00D42474" w:rsidP="001A5BF9">
      <w:pPr>
        <w:tabs>
          <w:tab w:val="left" w:pos="709"/>
        </w:tabs>
        <w:autoSpaceDE w:val="0"/>
        <w:autoSpaceDN w:val="0"/>
        <w:jc w:val="both"/>
        <w:rPr>
          <w:rFonts w:cs="Arial"/>
          <w:szCs w:val="20"/>
        </w:rPr>
      </w:pPr>
    </w:p>
    <w:p w:rsidR="00D42474" w:rsidRDefault="004007D3" w:rsidP="001A5BF9">
      <w:pPr>
        <w:tabs>
          <w:tab w:val="left" w:pos="709"/>
        </w:tabs>
        <w:jc w:val="both"/>
        <w:rPr>
          <w:rFonts w:cs="Arial"/>
          <w:szCs w:val="20"/>
          <w:u w:val="single"/>
        </w:rPr>
      </w:pPr>
      <w:r w:rsidRPr="005C7CCE">
        <w:t>B.</w:t>
      </w:r>
      <w:r w:rsidRPr="005C7CCE">
        <w:tab/>
      </w:r>
      <w:r w:rsidRPr="005C7CCE">
        <w:rPr>
          <w:u w:val="single"/>
        </w:rPr>
        <w:t>Utilisation du budget 2012</w:t>
      </w:r>
      <w:r w:rsidR="002D6F2A" w:rsidRPr="005C7CCE">
        <w:rPr>
          <w:u w:val="single"/>
        </w:rPr>
        <w:noBreakHyphen/>
      </w:r>
      <w:r w:rsidRPr="005C7CCE">
        <w:rPr>
          <w:u w:val="single"/>
        </w:rPr>
        <w:t>2013</w:t>
      </w:r>
    </w:p>
    <w:p w:rsidR="00D42474" w:rsidRDefault="00D42474" w:rsidP="001A5BF9">
      <w:pPr>
        <w:tabs>
          <w:tab w:val="left" w:pos="709"/>
        </w:tabs>
        <w:jc w:val="both"/>
        <w:rPr>
          <w:rFonts w:cs="Arial"/>
          <w:szCs w:val="20"/>
        </w:rPr>
      </w:pPr>
    </w:p>
    <w:p w:rsidR="00D42474" w:rsidRDefault="004007D3" w:rsidP="001A5BF9">
      <w:pPr>
        <w:tabs>
          <w:tab w:val="left" w:pos="709"/>
        </w:tabs>
        <w:jc w:val="both"/>
      </w:pPr>
      <w:r w:rsidRPr="005C7CCE">
        <w:t>28.8.</w:t>
      </w:r>
      <w:r w:rsidRPr="005C7CCE">
        <w:tab/>
        <w:t>L</w:t>
      </w:r>
      <w:r w:rsidR="00A20444" w:rsidRPr="005C7CCE">
        <w:t>’</w:t>
      </w:r>
      <w:r w:rsidRPr="005C7CCE">
        <w:t>utilisation du budget pour ce qui est des dépenses autres que celles de personnel s</w:t>
      </w:r>
      <w:r w:rsidR="00A20444" w:rsidRPr="005C7CCE">
        <w:t>’</w:t>
      </w:r>
      <w:r w:rsidRPr="005C7CCE">
        <w:t>est élevée à 96</w:t>
      </w:r>
      <w:r w:rsidR="007E442D" w:rsidRPr="005C7CCE">
        <w:t>%</w:t>
      </w:r>
      <w:r w:rsidRPr="005C7CCE">
        <w:t>, essentiellement en raison d</w:t>
      </w:r>
      <w:r w:rsidR="00A20444" w:rsidRPr="005C7CCE">
        <w:t>’</w:t>
      </w:r>
      <w:r w:rsidRPr="005C7CCE">
        <w:t>un léger retard dans la mise en œuvre du projet de sécurité H</w:t>
      </w:r>
      <w:r w:rsidR="002D6F2A" w:rsidRPr="005C7CCE">
        <w:noBreakHyphen/>
      </w:r>
      <w:r w:rsidRPr="005C7CCE">
        <w:t>MOSS en l</w:t>
      </w:r>
      <w:r w:rsidR="00A20444" w:rsidRPr="005C7CCE">
        <w:t>’</w:t>
      </w:r>
      <w:r w:rsidRPr="005C7CCE">
        <w:t>attente de la nomination d</w:t>
      </w:r>
      <w:r w:rsidR="00A20444" w:rsidRPr="005C7CCE">
        <w:t>’</w:t>
      </w:r>
      <w:r w:rsidRPr="005C7CCE">
        <w:t xml:space="preserve">un nouveau chef de projet. </w:t>
      </w:r>
      <w:r w:rsidR="0010442A" w:rsidRPr="005C7CCE">
        <w:t xml:space="preserve"> </w:t>
      </w:r>
      <w:r w:rsidRPr="005C7CCE">
        <w:t>En outre la surcapacité Arndt prévue pour les exigences de sécurité ad hoc pour les événements inattendus n</w:t>
      </w:r>
      <w:r w:rsidR="00A20444" w:rsidRPr="005C7CCE">
        <w:t>’</w:t>
      </w:r>
      <w:r w:rsidRPr="005C7CCE">
        <w:t>a pas été totalement utilisée.</w:t>
      </w:r>
    </w:p>
    <w:p w:rsidR="00D42474" w:rsidRDefault="004007D3" w:rsidP="001A5BF9">
      <w:pPr>
        <w:rPr>
          <w:rFonts w:eastAsia="SimSun"/>
          <w:color w:val="000000"/>
          <w:szCs w:val="20"/>
        </w:rPr>
      </w:pPr>
      <w:r w:rsidRPr="005C7CCE">
        <w:br w:type="page"/>
      </w:r>
    </w:p>
    <w:p w:rsidR="00D42474" w:rsidRDefault="004007D3" w:rsidP="001A5BF9">
      <w:pPr>
        <w:pStyle w:val="Heading3"/>
        <w:rPr>
          <w:szCs w:val="22"/>
        </w:rPr>
      </w:pPr>
      <w:bookmarkStart w:id="49" w:name="_Toc395082501"/>
      <w:r w:rsidRPr="0098611A">
        <w:rPr>
          <w:szCs w:val="22"/>
        </w:rPr>
        <w:t>Programme 29</w:t>
      </w:r>
      <w:r w:rsidRPr="0098611A">
        <w:rPr>
          <w:szCs w:val="22"/>
        </w:rPr>
        <w:tab/>
        <w:t>Projets de construction</w:t>
      </w:r>
      <w:bookmarkEnd w:id="49"/>
    </w:p>
    <w:p w:rsidR="00D42474" w:rsidRDefault="00D42474" w:rsidP="001A5BF9">
      <w:pPr>
        <w:ind w:left="2268" w:hanging="2268"/>
        <w:rPr>
          <w:rFonts w:cs="Arial"/>
          <w:b/>
          <w:sz w:val="22"/>
          <w:szCs w:val="22"/>
        </w:rPr>
      </w:pPr>
    </w:p>
    <w:p w:rsidR="00D42474" w:rsidRDefault="004007D3" w:rsidP="001A5BF9">
      <w:pPr>
        <w:ind w:left="2268" w:hanging="2268"/>
        <w:rPr>
          <w:rFonts w:cs="Arial"/>
          <w:b/>
          <w:sz w:val="22"/>
          <w:szCs w:val="22"/>
        </w:rPr>
      </w:pPr>
      <w:r w:rsidRPr="0098611A">
        <w:rPr>
          <w:b/>
          <w:sz w:val="22"/>
          <w:szCs w:val="22"/>
        </w:rPr>
        <w:t>Chef de programme</w:t>
      </w:r>
      <w:r w:rsidRPr="0098611A">
        <w:rPr>
          <w:b/>
          <w:sz w:val="22"/>
          <w:szCs w:val="22"/>
        </w:rPr>
        <w:tab/>
      </w:r>
      <w:r w:rsidRPr="0098611A">
        <w:rPr>
          <w:b/>
          <w:sz w:val="22"/>
          <w:szCs w:val="22"/>
        </w:rPr>
        <w:tab/>
        <w:t>M. A.</w:t>
      </w:r>
      <w:r w:rsidR="0010442A" w:rsidRPr="0098611A">
        <w:rPr>
          <w:b/>
          <w:sz w:val="22"/>
          <w:szCs w:val="22"/>
        </w:rPr>
        <w:t> </w:t>
      </w:r>
      <w:proofErr w:type="spellStart"/>
      <w:r w:rsidRPr="0098611A">
        <w:rPr>
          <w:b/>
          <w:sz w:val="22"/>
          <w:szCs w:val="22"/>
        </w:rPr>
        <w:t>Sundaram</w:t>
      </w:r>
      <w:proofErr w:type="spellEnd"/>
    </w:p>
    <w:p w:rsidR="00D42474" w:rsidRDefault="00D42474" w:rsidP="001A5BF9">
      <w:pPr>
        <w:rPr>
          <w:rFonts w:cs="Arial"/>
          <w:sz w:val="22"/>
          <w:szCs w:val="22"/>
        </w:rPr>
      </w:pPr>
    </w:p>
    <w:p w:rsidR="00D42474" w:rsidRDefault="00D42474" w:rsidP="001A5BF9">
      <w:pPr>
        <w:rPr>
          <w:rFonts w:cs="Arial"/>
          <w:bCs/>
          <w:sz w:val="22"/>
          <w:szCs w:val="22"/>
        </w:rPr>
      </w:pPr>
    </w:p>
    <w:p w:rsidR="00D42474" w:rsidRDefault="004007D3" w:rsidP="001A5BF9">
      <w:pPr>
        <w:rPr>
          <w:rFonts w:cs="Arial"/>
          <w:sz w:val="22"/>
          <w:szCs w:val="22"/>
        </w:rPr>
      </w:pPr>
      <w:r w:rsidRPr="0098611A">
        <w:rPr>
          <w:sz w:val="22"/>
          <w:szCs w:val="22"/>
        </w:rPr>
        <w:t>RÉALISATIONS EN 2012</w:t>
      </w:r>
      <w:r w:rsidR="002D6F2A" w:rsidRPr="0098611A">
        <w:rPr>
          <w:sz w:val="22"/>
          <w:szCs w:val="22"/>
        </w:rPr>
        <w:noBreakHyphen/>
      </w:r>
      <w:r w:rsidRPr="0098611A">
        <w:rPr>
          <w:sz w:val="22"/>
          <w:szCs w:val="22"/>
        </w:rPr>
        <w:t>2013</w:t>
      </w:r>
    </w:p>
    <w:p w:rsidR="00D42474" w:rsidRDefault="00D42474" w:rsidP="001A5BF9">
      <w:pPr>
        <w:rPr>
          <w:rFonts w:cs="Arial"/>
          <w:sz w:val="22"/>
          <w:szCs w:val="22"/>
        </w:rPr>
      </w:pPr>
    </w:p>
    <w:p w:rsidR="00D42474" w:rsidRDefault="004007D3" w:rsidP="001A5BF9">
      <w:pPr>
        <w:jc w:val="both"/>
        <w:rPr>
          <w:sz w:val="22"/>
          <w:szCs w:val="22"/>
        </w:rPr>
      </w:pPr>
      <w:r w:rsidRPr="0098611A">
        <w:rPr>
          <w:sz w:val="22"/>
          <w:szCs w:val="22"/>
        </w:rPr>
        <w:t>PROJET RELATIF À LA NOUVELLE CONSTRUCTION</w:t>
      </w:r>
    </w:p>
    <w:p w:rsidR="00D42474" w:rsidRDefault="00D42474" w:rsidP="001A5BF9">
      <w:pPr>
        <w:jc w:val="both"/>
        <w:rPr>
          <w:sz w:val="22"/>
          <w:szCs w:val="22"/>
        </w:rPr>
      </w:pPr>
    </w:p>
    <w:p w:rsidR="00D42474" w:rsidRDefault="004007D3" w:rsidP="001A5BF9">
      <w:pPr>
        <w:tabs>
          <w:tab w:val="left" w:pos="709"/>
        </w:tabs>
        <w:jc w:val="both"/>
      </w:pPr>
      <w:r w:rsidRPr="00251542">
        <w:t>29.1.</w:t>
      </w:r>
      <w:r w:rsidRPr="00251542">
        <w:tab/>
        <w:t>À la fin de</w:t>
      </w:r>
      <w:r w:rsidR="0010442A" w:rsidRPr="00251542">
        <w:t> </w:t>
      </w:r>
      <w:r w:rsidRPr="00251542">
        <w:t>2011, un certain nombre de réparations, de travaux de remplacement et de finition n</w:t>
      </w:r>
      <w:r w:rsidR="00A20444" w:rsidRPr="00251542">
        <w:t>’</w:t>
      </w:r>
      <w:r w:rsidRPr="00251542">
        <w:t>avaient pas été terminés par l</w:t>
      </w:r>
      <w:r w:rsidR="00A20444" w:rsidRPr="00251542">
        <w:t>’</w:t>
      </w:r>
      <w:r w:rsidRPr="00251542">
        <w:t>ancien entrepreneur général.</w:t>
      </w:r>
      <w:r w:rsidR="004F3E42" w:rsidRPr="00251542">
        <w:t xml:space="preserve"> </w:t>
      </w:r>
      <w:r w:rsidR="0010442A" w:rsidRPr="00251542">
        <w:t xml:space="preserve"> </w:t>
      </w:r>
      <w:r w:rsidRPr="00251542">
        <w:t>En raison des retards constants, le Secrétariat a amorcé une série de discussions de haut niveau avec l</w:t>
      </w:r>
      <w:r w:rsidR="00A20444" w:rsidRPr="00251542">
        <w:t>’</w:t>
      </w:r>
      <w:r w:rsidRPr="00251542">
        <w:t xml:space="preserve">ancien entrepreneur général entre </w:t>
      </w:r>
      <w:r w:rsidR="00A20444" w:rsidRPr="00251542">
        <w:t>décembre 20</w:t>
      </w:r>
      <w:r w:rsidRPr="00251542">
        <w:t xml:space="preserve">11 et </w:t>
      </w:r>
      <w:r w:rsidR="00A20444" w:rsidRPr="00251542">
        <w:t>juillet 20</w:t>
      </w:r>
      <w:r w:rsidRPr="00251542">
        <w:t>12.</w:t>
      </w:r>
      <w:r w:rsidR="004F3E42" w:rsidRPr="00251542">
        <w:t xml:space="preserve"> </w:t>
      </w:r>
      <w:r w:rsidR="0010442A" w:rsidRPr="00251542">
        <w:t xml:space="preserve"> </w:t>
      </w:r>
      <w:r w:rsidRPr="00251542">
        <w:t>Suite à ces réunions, l</w:t>
      </w:r>
      <w:r w:rsidR="00A20444" w:rsidRPr="00251542">
        <w:t>’</w:t>
      </w:r>
      <w:r w:rsidRPr="00251542">
        <w:t>OMPI et l</w:t>
      </w:r>
      <w:r w:rsidR="00A20444" w:rsidRPr="00251542">
        <w:t>’</w:t>
      </w:r>
      <w:r w:rsidRPr="00251542">
        <w:t>ancien entrepreneur général ont décidé ensemble et à l</w:t>
      </w:r>
      <w:r w:rsidR="00A20444" w:rsidRPr="00251542">
        <w:t>’</w:t>
      </w:r>
      <w:r w:rsidRPr="00251542">
        <w:t>amiable de résilier le contrat.</w:t>
      </w:r>
      <w:r w:rsidR="004F3E42" w:rsidRPr="00251542">
        <w:t xml:space="preserve"> </w:t>
      </w:r>
      <w:r w:rsidR="0010442A" w:rsidRPr="00251542">
        <w:t xml:space="preserve"> </w:t>
      </w:r>
      <w:r w:rsidRPr="00251542">
        <w:t>Depuis août 2012, tous les travaux de réparation, de remplacement et de finition sont réalisés par l</w:t>
      </w:r>
      <w:r w:rsidR="00A20444" w:rsidRPr="00251542">
        <w:t>’</w:t>
      </w:r>
      <w:r w:rsidRPr="00251542">
        <w:t>OMPI, les coûts étant couverts par les fonds retenus sur les derniers paiements effectués à l</w:t>
      </w:r>
      <w:r w:rsidR="00A20444" w:rsidRPr="00251542">
        <w:t>’</w:t>
      </w:r>
      <w:r w:rsidRPr="00251542">
        <w:t xml:space="preserve">ancien entrepreneur général. </w:t>
      </w:r>
      <w:r w:rsidR="0010442A" w:rsidRPr="00251542">
        <w:t xml:space="preserve"> </w:t>
      </w:r>
      <w:r w:rsidRPr="00251542">
        <w:t>La majorité des travaux en suspens concernant les façades et divers éléments plus petits dans le bâtiment ont été achevés lors de l</w:t>
      </w:r>
      <w:r w:rsidR="00A20444" w:rsidRPr="00251542">
        <w:t>’</w:t>
      </w:r>
      <w:r w:rsidRPr="00251542">
        <w:t xml:space="preserve">exercice biennal. </w:t>
      </w:r>
      <w:r w:rsidR="0010442A" w:rsidRPr="00251542">
        <w:t xml:space="preserve"> </w:t>
      </w:r>
      <w:r w:rsidRPr="00251542">
        <w:t>Les travaux restants concernant essentiellement le rez</w:t>
      </w:r>
      <w:r w:rsidR="002D6F2A" w:rsidRPr="00251542">
        <w:noBreakHyphen/>
      </w:r>
      <w:r w:rsidRPr="00251542">
        <w:t>de</w:t>
      </w:r>
      <w:r w:rsidR="002D6F2A" w:rsidRPr="00251542">
        <w:noBreakHyphen/>
      </w:r>
      <w:r w:rsidRPr="00251542">
        <w:t>chaussée et les fenêtres donnant sur les jardins ont exigé une évaluation approfondie, qui s</w:t>
      </w:r>
      <w:r w:rsidR="00A20444" w:rsidRPr="00251542">
        <w:t>’</w:t>
      </w:r>
      <w:r w:rsidRPr="00251542">
        <w:t xml:space="preserve">est déroulée au cours du second semestre de 2013. </w:t>
      </w:r>
      <w:r w:rsidR="0010442A" w:rsidRPr="00251542">
        <w:t xml:space="preserve"> </w:t>
      </w:r>
      <w:r w:rsidRPr="00251542">
        <w:t>Les travaux de réparation nécessaires devraient être effectués lors de l</w:t>
      </w:r>
      <w:r w:rsidR="00A20444" w:rsidRPr="00251542">
        <w:t>’</w:t>
      </w:r>
      <w:r w:rsidRPr="00251542">
        <w:t>exercice biennal 2014</w:t>
      </w:r>
      <w:r w:rsidR="002D6F2A" w:rsidRPr="00251542">
        <w:noBreakHyphen/>
      </w:r>
      <w:r w:rsidRPr="00251542">
        <w:t xml:space="preserve">2015. </w:t>
      </w:r>
      <w:r w:rsidR="0010442A" w:rsidRPr="00251542">
        <w:t xml:space="preserve"> </w:t>
      </w:r>
      <w:r w:rsidRPr="00251542">
        <w:t>Le couvert végétal du toit a été reporté de l</w:t>
      </w:r>
      <w:r w:rsidR="00A20444" w:rsidRPr="00251542">
        <w:t>’</w:t>
      </w:r>
      <w:r w:rsidRPr="00251542">
        <w:t>automne 2013 au printemps 2014.</w:t>
      </w:r>
    </w:p>
    <w:p w:rsidR="00D42474" w:rsidRDefault="00D42474" w:rsidP="001A5BF9">
      <w:pPr>
        <w:jc w:val="both"/>
        <w:rPr>
          <w:rFonts w:cs="Arial"/>
          <w:szCs w:val="20"/>
        </w:rPr>
      </w:pPr>
    </w:p>
    <w:p w:rsidR="00D42474" w:rsidRDefault="004007D3" w:rsidP="001A5BF9">
      <w:pPr>
        <w:jc w:val="both"/>
      </w:pPr>
      <w:r w:rsidRPr="00251542">
        <w:t>PROJET DE NOUVELLE SALLE DE CONFÉRENCE</w:t>
      </w:r>
    </w:p>
    <w:p w:rsidR="00D42474" w:rsidRDefault="00D42474" w:rsidP="001A5BF9">
      <w:pPr>
        <w:jc w:val="both"/>
        <w:rPr>
          <w:rFonts w:cs="Arial"/>
          <w:szCs w:val="20"/>
        </w:rPr>
      </w:pPr>
    </w:p>
    <w:p w:rsidR="00D42474" w:rsidRDefault="004007D3" w:rsidP="001A5BF9">
      <w:pPr>
        <w:jc w:val="both"/>
        <w:rPr>
          <w:rFonts w:cs="Arial"/>
          <w:szCs w:val="20"/>
        </w:rPr>
      </w:pPr>
      <w:r w:rsidRPr="00251542">
        <w:t>29.2.</w:t>
      </w:r>
      <w:r w:rsidRPr="00251542">
        <w:tab/>
        <w:t>Le chantier du projet de nouvelle salle de conférence a ouvert à la mi</w:t>
      </w:r>
      <w:r w:rsidR="002D6F2A" w:rsidRPr="00251542">
        <w:noBreakHyphen/>
      </w:r>
      <w:r w:rsidR="00A20444" w:rsidRPr="00251542">
        <w:t>août 20</w:t>
      </w:r>
      <w:r w:rsidRPr="00251542">
        <w:t>11, et les travaux d</w:t>
      </w:r>
      <w:r w:rsidR="00A20444" w:rsidRPr="00251542">
        <w:t>’</w:t>
      </w:r>
      <w:r w:rsidRPr="00251542">
        <w:t>excavation et de construction de l</w:t>
      </w:r>
      <w:r w:rsidR="00A20444" w:rsidRPr="00251542">
        <w:t>’</w:t>
      </w:r>
      <w:r w:rsidRPr="00251542">
        <w:t>ouvrage principal se sont poursuivis jusqu</w:t>
      </w:r>
      <w:r w:rsidR="00A20444" w:rsidRPr="00251542">
        <w:t>’</w:t>
      </w:r>
      <w:r w:rsidRPr="00251542">
        <w:t>à la fin 2011.</w:t>
      </w:r>
      <w:r w:rsidR="004F3E42" w:rsidRPr="00251542">
        <w:t xml:space="preserve"> </w:t>
      </w:r>
      <w:r w:rsidR="0010442A" w:rsidRPr="00251542">
        <w:t xml:space="preserve"> </w:t>
      </w:r>
      <w:r w:rsidRPr="00251542">
        <w:t>Compte tenu des retards provoqués par l</w:t>
      </w:r>
      <w:r w:rsidR="00A20444" w:rsidRPr="00251542">
        <w:t>’</w:t>
      </w:r>
      <w:r w:rsidRPr="00251542">
        <w:t>ancien entrepreneur général au début de</w:t>
      </w:r>
      <w:r w:rsidR="0010442A" w:rsidRPr="00251542">
        <w:t> </w:t>
      </w:r>
      <w:r w:rsidRPr="00251542">
        <w:t>2012 et du manque ultérieur de conformité avec certain</w:t>
      </w:r>
      <w:r w:rsidR="00857F09" w:rsidRPr="00251542">
        <w:t>e</w:t>
      </w:r>
      <w:r w:rsidRPr="00251542">
        <w:t>s obligations contractuelles, le Secrétariat a amorcé une série de discussions de haut niveau avec l</w:t>
      </w:r>
      <w:r w:rsidR="00A20444" w:rsidRPr="00251542">
        <w:t>’</w:t>
      </w:r>
      <w:r w:rsidRPr="00251542">
        <w:t>ancien entrepreneur général jusqu</w:t>
      </w:r>
      <w:r w:rsidR="00A20444" w:rsidRPr="00251542">
        <w:t>’</w:t>
      </w:r>
      <w:r w:rsidRPr="00251542">
        <w:t xml:space="preserve">en </w:t>
      </w:r>
      <w:r w:rsidR="00A20444" w:rsidRPr="00251542">
        <w:t>juillet 20</w:t>
      </w:r>
      <w:r w:rsidRPr="00251542">
        <w:t>12.</w:t>
      </w:r>
      <w:r w:rsidR="004F3E42" w:rsidRPr="00251542">
        <w:t xml:space="preserve"> </w:t>
      </w:r>
      <w:r w:rsidR="0010442A" w:rsidRPr="00251542">
        <w:t xml:space="preserve"> </w:t>
      </w:r>
      <w:r w:rsidRPr="00251542">
        <w:t>Suite à ces réunions, l</w:t>
      </w:r>
      <w:r w:rsidR="00A20444" w:rsidRPr="00251542">
        <w:t>’</w:t>
      </w:r>
      <w:r w:rsidRPr="00251542">
        <w:t>OMPI et l</w:t>
      </w:r>
      <w:r w:rsidR="00A20444" w:rsidRPr="00251542">
        <w:t>’</w:t>
      </w:r>
      <w:r w:rsidRPr="00251542">
        <w:t>ancien entrepreneur général ont décidé ensemble et à l</w:t>
      </w:r>
      <w:r w:rsidR="00A20444" w:rsidRPr="00251542">
        <w:t>’</w:t>
      </w:r>
      <w:r w:rsidRPr="00251542">
        <w:t>amiable de résilier le contrat.</w:t>
      </w:r>
      <w:r w:rsidR="004F3E42" w:rsidRPr="00251542">
        <w:t xml:space="preserve"> </w:t>
      </w:r>
      <w:r w:rsidR="0010442A" w:rsidRPr="00251542">
        <w:t xml:space="preserve"> </w:t>
      </w:r>
      <w:r w:rsidRPr="00251542">
        <w:t>Au mois d</w:t>
      </w:r>
      <w:r w:rsidR="00A20444" w:rsidRPr="00251542">
        <w:t>’</w:t>
      </w:r>
      <w:r w:rsidRPr="00251542">
        <w:t>août 2012, le chantier est passé sous la responsabilité directe de l</w:t>
      </w:r>
      <w:r w:rsidR="00A20444" w:rsidRPr="00251542">
        <w:t>’</w:t>
      </w:r>
      <w:r w:rsidRPr="00251542">
        <w:t>OMPI.</w:t>
      </w:r>
      <w:r w:rsidR="0010442A" w:rsidRPr="00251542">
        <w:t xml:space="preserve"> </w:t>
      </w:r>
      <w:r w:rsidRPr="00251542">
        <w:t xml:space="preserve"> Un certain nombre de modifications ont été apportées à la structure de gouvernance et de gestion du projet, ainsi qu</w:t>
      </w:r>
      <w:r w:rsidR="00A20444" w:rsidRPr="00251542">
        <w:t>’</w:t>
      </w:r>
      <w:r w:rsidRPr="00251542">
        <w:t>au cadre contractuel, et des mandats supplémentaires ont été confiés à l</w:t>
      </w:r>
      <w:r w:rsidR="00A20444" w:rsidRPr="00251542">
        <w:t>’</w:t>
      </w:r>
      <w:r w:rsidRPr="00251542">
        <w:t>architecte, au pilote et aux bureaux d</w:t>
      </w:r>
      <w:r w:rsidR="00A20444" w:rsidRPr="00251542">
        <w:t>’</w:t>
      </w:r>
      <w:r w:rsidRPr="00251542">
        <w:t>ingénieurs afin de répartir tous les éléments relevant précédemment du mandat de l</w:t>
      </w:r>
      <w:r w:rsidR="00A20444" w:rsidRPr="00251542">
        <w:t>’</w:t>
      </w:r>
      <w:r w:rsidRPr="00251542">
        <w:t xml:space="preserve">entrepreneur général. </w:t>
      </w:r>
      <w:r w:rsidR="0010442A" w:rsidRPr="00251542">
        <w:t xml:space="preserve"> </w:t>
      </w:r>
      <w:r w:rsidRPr="00251542">
        <w:t xml:space="preserve">La structure remaniée de gouvernance et de gestion du projet a apporté une plus grande souplesse et agilité, et a conduit à une amélioration des délais de réactivité. </w:t>
      </w:r>
      <w:r w:rsidR="0010442A" w:rsidRPr="00251542">
        <w:t xml:space="preserve"> </w:t>
      </w:r>
      <w:r w:rsidRPr="00251542">
        <w:t>À la fin de 2012, environ 27</w:t>
      </w:r>
      <w:r w:rsidR="007E442D" w:rsidRPr="00251542">
        <w:t>%</w:t>
      </w:r>
      <w:r w:rsidRPr="00251542">
        <w:t xml:space="preserve"> des entrepreneurs et des fournisseurs ont été engagés par l</w:t>
      </w:r>
      <w:r w:rsidR="00A20444" w:rsidRPr="00251542">
        <w:t>’</w:t>
      </w:r>
      <w:r w:rsidRPr="00251542">
        <w:t>OMPI à l</w:t>
      </w:r>
      <w:r w:rsidR="00A20444" w:rsidRPr="00251542">
        <w:t>’</w:t>
      </w:r>
      <w:r w:rsidRPr="00251542">
        <w:t>issue d</w:t>
      </w:r>
      <w:r w:rsidR="00A20444" w:rsidRPr="00251542">
        <w:t>’</w:t>
      </w:r>
      <w:r w:rsidRPr="00251542">
        <w:t>un processus d</w:t>
      </w:r>
      <w:r w:rsidR="00A20444" w:rsidRPr="00251542">
        <w:t>’</w:t>
      </w:r>
      <w:r w:rsidRPr="00251542">
        <w:t>achat spécifique, ce qui correspond à environ 42</w:t>
      </w:r>
      <w:r w:rsidR="007E442D" w:rsidRPr="00251542">
        <w:t>%</w:t>
      </w:r>
      <w:r w:rsidRPr="00251542">
        <w:t xml:space="preserve"> des coûts totaux de construction.</w:t>
      </w:r>
      <w:r w:rsidR="0010442A" w:rsidRPr="00251542">
        <w:t xml:space="preserve"> </w:t>
      </w:r>
      <w:r w:rsidRPr="00251542">
        <w:t xml:space="preserve"> Fin 2013, le nombre total d</w:t>
      </w:r>
      <w:r w:rsidR="00A20444" w:rsidRPr="00251542">
        <w:t>’</w:t>
      </w:r>
      <w:r w:rsidRPr="00251542">
        <w:t>entrepreneurs sur site était d</w:t>
      </w:r>
      <w:r w:rsidR="00A20444" w:rsidRPr="00251542">
        <w:t>’</w:t>
      </w:r>
      <w:r w:rsidRPr="00251542">
        <w:t>environ 50, pour un montant contractuel global de près de 50 millions de francs suisses, ce qui correspond à environ 98</w:t>
      </w:r>
      <w:r w:rsidR="007E442D" w:rsidRPr="00251542">
        <w:t>%</w:t>
      </w:r>
      <w:r w:rsidRPr="00251542">
        <w:t> du coût de construction de référence.</w:t>
      </w:r>
      <w:r w:rsidR="0010442A" w:rsidRPr="00251542">
        <w:t xml:space="preserve"> </w:t>
      </w:r>
      <w:r w:rsidRPr="00251542">
        <w:t xml:space="preserve"> Les dispositions susvisées ont également facilité la gestion d</w:t>
      </w:r>
      <w:r w:rsidR="00A20444" w:rsidRPr="00251542">
        <w:t>’</w:t>
      </w:r>
      <w:r w:rsidRPr="00251542">
        <w:t xml:space="preserve">un certain nombre de modifications et </w:t>
      </w:r>
      <w:r w:rsidRPr="005C7CCE">
        <w:t>questions imprévues au titre du projet, identifiées lors de son exécution de manière dynamique et opportune.</w:t>
      </w:r>
    </w:p>
    <w:p w:rsidR="00D42474" w:rsidRDefault="00D42474" w:rsidP="001A5BF9">
      <w:pPr>
        <w:tabs>
          <w:tab w:val="left" w:pos="709"/>
        </w:tabs>
        <w:jc w:val="both"/>
        <w:rPr>
          <w:rFonts w:cs="Arial"/>
          <w:szCs w:val="20"/>
        </w:rPr>
      </w:pPr>
    </w:p>
    <w:p w:rsidR="00D42474" w:rsidRDefault="004007D3" w:rsidP="001A5BF9">
      <w:pPr>
        <w:tabs>
          <w:tab w:val="left" w:pos="709"/>
        </w:tabs>
        <w:autoSpaceDE w:val="0"/>
        <w:autoSpaceDN w:val="0"/>
        <w:adjustRightInd w:val="0"/>
        <w:jc w:val="both"/>
        <w:rPr>
          <w:rFonts w:cs="Arial"/>
          <w:szCs w:val="20"/>
        </w:rPr>
      </w:pPr>
      <w:r w:rsidRPr="005C7CCE">
        <w:t>29.3.</w:t>
      </w:r>
      <w:r w:rsidRPr="005C7CCE">
        <w:tab/>
        <w:t>Les retards de l</w:t>
      </w:r>
      <w:r w:rsidR="00A20444" w:rsidRPr="005C7CCE">
        <w:t>’</w:t>
      </w:r>
      <w:r w:rsidRPr="005C7CCE">
        <w:t>ancien entrepreneur général, la résiliation à l</w:t>
      </w:r>
      <w:r w:rsidR="00A20444" w:rsidRPr="005C7CCE">
        <w:t>’</w:t>
      </w:r>
      <w:r w:rsidRPr="005C7CCE">
        <w:t>amiable du contrat qui s</w:t>
      </w:r>
      <w:r w:rsidR="00A20444" w:rsidRPr="005C7CCE">
        <w:t>’</w:t>
      </w:r>
      <w:r w:rsidRPr="005C7CCE">
        <w:t>est ensuivie et l</w:t>
      </w:r>
      <w:r w:rsidR="00A20444" w:rsidRPr="005C7CCE">
        <w:t>’</w:t>
      </w:r>
      <w:r w:rsidRPr="005C7CCE">
        <w:t>avancement du chantier ont mené à un calendrier provisoire révisé, portant la date d</w:t>
      </w:r>
      <w:r w:rsidR="00A20444" w:rsidRPr="005C7CCE">
        <w:t>’</w:t>
      </w:r>
      <w:r w:rsidRPr="005C7CCE">
        <w:t>achèvement prévue d</w:t>
      </w:r>
      <w:r w:rsidR="00A20444" w:rsidRPr="005C7CCE">
        <w:t>’</w:t>
      </w:r>
      <w:r w:rsidRPr="005C7CCE">
        <w:t>avril 2013, soit la date de livraison initiale conformément au contrat avec l</w:t>
      </w:r>
      <w:r w:rsidR="00A20444" w:rsidRPr="005C7CCE">
        <w:t>’</w:t>
      </w:r>
      <w:r w:rsidRPr="005C7CCE">
        <w:t xml:space="preserve">ancien entrepreneur général, à février 2014. </w:t>
      </w:r>
      <w:r w:rsidR="0010442A" w:rsidRPr="005C7CCE">
        <w:t xml:space="preserve"> </w:t>
      </w:r>
      <w:r w:rsidRPr="005C7CCE">
        <w:t>La date d</w:t>
      </w:r>
      <w:r w:rsidR="00A20444" w:rsidRPr="005C7CCE">
        <w:t>’</w:t>
      </w:r>
      <w:r w:rsidRPr="005C7CCE">
        <w:t>achèvement prévue a de nouveau été modifiée de février 2014 à avril 2014</w:t>
      </w:r>
      <w:r w:rsidRPr="005C7CCE">
        <w:rPr>
          <w:rStyle w:val="FootnoteReference"/>
        </w:rPr>
        <w:footnoteReference w:id="46"/>
      </w:r>
      <w:r w:rsidR="0010442A" w:rsidRPr="005C7CCE">
        <w:t>.</w:t>
      </w:r>
    </w:p>
    <w:p w:rsidR="00D42474" w:rsidRDefault="00D42474" w:rsidP="001A5BF9">
      <w:pPr>
        <w:tabs>
          <w:tab w:val="left" w:pos="709"/>
        </w:tabs>
        <w:autoSpaceDE w:val="0"/>
        <w:autoSpaceDN w:val="0"/>
        <w:adjustRightInd w:val="0"/>
        <w:jc w:val="both"/>
        <w:rPr>
          <w:rFonts w:cs="Arial"/>
          <w:szCs w:val="20"/>
        </w:rPr>
      </w:pPr>
    </w:p>
    <w:p w:rsidR="00D42474" w:rsidRDefault="004007D3" w:rsidP="001A5BF9">
      <w:pPr>
        <w:tabs>
          <w:tab w:val="left" w:pos="709"/>
        </w:tabs>
        <w:jc w:val="both"/>
      </w:pPr>
      <w:r w:rsidRPr="005C7CCE">
        <w:t>29.4.</w:t>
      </w:r>
      <w:r w:rsidRPr="005C7CCE">
        <w:tab/>
        <w:t>Une partie du sous</w:t>
      </w:r>
      <w:r w:rsidR="002D6F2A" w:rsidRPr="005C7CCE">
        <w:noBreakHyphen/>
      </w:r>
      <w:r w:rsidRPr="005C7CCE">
        <w:t xml:space="preserve">sol rénové du bâtiment AB a été livrée et est utilisée depuis septembre 2013. </w:t>
      </w:r>
      <w:r w:rsidR="0010442A" w:rsidRPr="005C7CCE">
        <w:t xml:space="preserve"> </w:t>
      </w:r>
      <w:r w:rsidRPr="005C7CCE">
        <w:t>Une nouvelle salle de réunion sur la mezzanine du bâtiment AB est utilisée depuis octobre 2013.</w:t>
      </w:r>
    </w:p>
    <w:p w:rsidR="00D42474" w:rsidRDefault="00D42474" w:rsidP="001A5BF9">
      <w:pPr>
        <w:rPr>
          <w:rFonts w:cs="Arial"/>
          <w:bCs/>
          <w:szCs w:val="20"/>
        </w:rPr>
      </w:pPr>
    </w:p>
    <w:p w:rsidR="00D42474" w:rsidRDefault="00D42474" w:rsidP="001A5BF9">
      <w:pPr>
        <w:rPr>
          <w:rFonts w:cs="Arial"/>
          <w:szCs w:val="20"/>
        </w:rPr>
      </w:pPr>
    </w:p>
    <w:p w:rsidR="00D42474" w:rsidRDefault="004007D3" w:rsidP="001A5BF9">
      <w:pPr>
        <w:rPr>
          <w:rFonts w:cs="Arial"/>
          <w:szCs w:val="22"/>
        </w:rPr>
      </w:pPr>
      <w:r w:rsidRPr="005C7CCE">
        <w:br w:type="page"/>
      </w:r>
    </w:p>
    <w:p w:rsidR="00D42474" w:rsidRDefault="004007D3" w:rsidP="001A5BF9">
      <w:pPr>
        <w:rPr>
          <w:rFonts w:cs="Arial"/>
          <w:szCs w:val="22"/>
        </w:rPr>
      </w:pPr>
      <w:r w:rsidRPr="00486AEA">
        <w:rPr>
          <w:sz w:val="22"/>
        </w:rPr>
        <w:t>DONNÉES RELATIVES À L</w:t>
      </w:r>
      <w:r w:rsidR="00A20444" w:rsidRPr="00486AEA">
        <w:rPr>
          <w:sz w:val="22"/>
        </w:rPr>
        <w:t>’</w:t>
      </w:r>
      <w:r w:rsidRPr="00486AEA">
        <w:rPr>
          <w:sz w:val="22"/>
        </w:rPr>
        <w:t>EXÉCUTION</w:t>
      </w:r>
    </w:p>
    <w:p w:rsidR="004007D3" w:rsidRPr="005C7CCE" w:rsidRDefault="004007D3" w:rsidP="001A5BF9">
      <w:pPr>
        <w:rPr>
          <w:b/>
          <w:sz w:val="16"/>
          <w:szCs w:val="16"/>
        </w:rPr>
      </w:pPr>
    </w:p>
    <w:tbl>
      <w:tblPr>
        <w:tblW w:w="4888"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2"/>
        <w:gridCol w:w="1095"/>
        <w:gridCol w:w="1136"/>
        <w:gridCol w:w="4390"/>
        <w:gridCol w:w="1134"/>
      </w:tblGrid>
      <w:tr w:rsidR="004007D3" w:rsidRPr="00251542" w:rsidTr="0056083E">
        <w:trPr>
          <w:cantSplit/>
          <w:trHeight w:val="677"/>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4007D3" w:rsidRPr="00251542" w:rsidRDefault="004007D3" w:rsidP="001A5BF9">
            <w:pPr>
              <w:keepNext/>
              <w:keepLines/>
              <w:tabs>
                <w:tab w:val="left" w:pos="1452"/>
              </w:tabs>
              <w:spacing w:before="120" w:after="120"/>
              <w:ind w:left="1452" w:hanging="1452"/>
              <w:rPr>
                <w:rFonts w:cs="Arial"/>
                <w:b/>
                <w:bCs/>
                <w:sz w:val="16"/>
                <w:szCs w:val="16"/>
              </w:rPr>
            </w:pPr>
            <w:r w:rsidRPr="00251542">
              <w:rPr>
                <w:b/>
                <w:sz w:val="16"/>
              </w:rPr>
              <w:t>Résultat escompté</w:t>
            </w:r>
            <w:r w:rsidR="0010442A" w:rsidRPr="00251542">
              <w:rPr>
                <w:b/>
                <w:sz w:val="16"/>
              </w:rPr>
              <w:t xml:space="preserve"> : </w:t>
            </w:r>
            <w:r w:rsidRPr="00251542">
              <w:rPr>
                <w:b/>
                <w:sz w:val="16"/>
              </w:rPr>
              <w:tab/>
            </w:r>
            <w:r w:rsidRPr="00251542">
              <w:rPr>
                <w:sz w:val="16"/>
              </w:rPr>
              <w:t>Nouvelle salle de conférence et installations connexes pour les réunions des États membres</w:t>
            </w:r>
          </w:p>
        </w:tc>
      </w:tr>
      <w:tr w:rsidR="004007D3" w:rsidRPr="00251542" w:rsidTr="0056083E">
        <w:trPr>
          <w:cantSplit/>
        </w:trPr>
        <w:tc>
          <w:tcPr>
            <w:tcW w:w="856" w:type="pct"/>
            <w:tcBorders>
              <w:top w:val="single" w:sz="4" w:space="0" w:color="auto"/>
              <w:left w:val="single" w:sz="4" w:space="0" w:color="auto"/>
              <w:bottom w:val="nil"/>
            </w:tcBorders>
            <w:shd w:val="clear" w:color="auto" w:fill="auto"/>
            <w:vAlign w:val="center"/>
          </w:tcPr>
          <w:p w:rsidR="004007D3" w:rsidRPr="00251542" w:rsidRDefault="004007D3" w:rsidP="0098611A">
            <w:pPr>
              <w:rPr>
                <w:rFonts w:cs="Arial"/>
                <w:b/>
                <w:sz w:val="16"/>
                <w:szCs w:val="16"/>
              </w:rPr>
            </w:pPr>
            <w:r w:rsidRPr="00251542">
              <w:rPr>
                <w:b/>
                <w:sz w:val="16"/>
              </w:rPr>
              <w:t>Indicateurs d</w:t>
            </w:r>
            <w:r w:rsidR="00A20444" w:rsidRPr="00251542">
              <w:rPr>
                <w:b/>
                <w:sz w:val="16"/>
              </w:rPr>
              <w:t>’</w:t>
            </w:r>
            <w:r w:rsidRPr="00251542">
              <w:rPr>
                <w:b/>
                <w:sz w:val="16"/>
              </w:rPr>
              <w:t>exécution</w:t>
            </w:r>
          </w:p>
        </w:tc>
        <w:tc>
          <w:tcPr>
            <w:tcW w:w="585" w:type="pct"/>
            <w:tcBorders>
              <w:top w:val="single" w:sz="4" w:space="0" w:color="auto"/>
              <w:bottom w:val="nil"/>
            </w:tcBorders>
            <w:shd w:val="clear" w:color="auto" w:fill="auto"/>
            <w:vAlign w:val="center"/>
          </w:tcPr>
          <w:p w:rsidR="004007D3" w:rsidRPr="00251542" w:rsidRDefault="004007D3" w:rsidP="0098611A">
            <w:pPr>
              <w:rPr>
                <w:rFonts w:cs="Arial"/>
                <w:b/>
                <w:bCs/>
                <w:sz w:val="16"/>
                <w:szCs w:val="16"/>
              </w:rPr>
            </w:pPr>
            <w:r w:rsidRPr="00251542">
              <w:rPr>
                <w:b/>
                <w:sz w:val="16"/>
              </w:rPr>
              <w:t>Niveaux de référence</w:t>
            </w:r>
          </w:p>
        </w:tc>
        <w:tc>
          <w:tcPr>
            <w:tcW w:w="607" w:type="pct"/>
            <w:tcBorders>
              <w:top w:val="single" w:sz="4" w:space="0" w:color="auto"/>
              <w:bottom w:val="nil"/>
            </w:tcBorders>
            <w:shd w:val="clear" w:color="auto" w:fill="auto"/>
            <w:tcMar>
              <w:top w:w="110" w:type="dxa"/>
            </w:tcMar>
            <w:vAlign w:val="center"/>
          </w:tcPr>
          <w:p w:rsidR="004007D3" w:rsidRPr="00251542" w:rsidRDefault="004007D3" w:rsidP="0098611A">
            <w:pPr>
              <w:rPr>
                <w:rFonts w:cs="Arial"/>
                <w:b/>
                <w:sz w:val="16"/>
                <w:szCs w:val="16"/>
              </w:rPr>
            </w:pPr>
            <w:r w:rsidRPr="00251542">
              <w:rPr>
                <w:b/>
                <w:sz w:val="16"/>
              </w:rPr>
              <w:t>Objectifs visés</w:t>
            </w:r>
          </w:p>
        </w:tc>
        <w:tc>
          <w:tcPr>
            <w:tcW w:w="2346" w:type="pct"/>
            <w:tcBorders>
              <w:top w:val="single" w:sz="4" w:space="0" w:color="auto"/>
              <w:bottom w:val="nil"/>
            </w:tcBorders>
            <w:shd w:val="clear" w:color="auto" w:fill="FFFFFF"/>
            <w:tcMar>
              <w:top w:w="110" w:type="dxa"/>
            </w:tcMar>
            <w:vAlign w:val="center"/>
          </w:tcPr>
          <w:p w:rsidR="004007D3" w:rsidRPr="00251542" w:rsidRDefault="004007D3" w:rsidP="0098611A">
            <w:pPr>
              <w:rPr>
                <w:rFonts w:cs="Arial"/>
                <w:b/>
                <w:sz w:val="16"/>
                <w:szCs w:val="16"/>
              </w:rPr>
            </w:pPr>
            <w:r w:rsidRPr="00251542">
              <w:rPr>
                <w:b/>
                <w:sz w:val="16"/>
              </w:rPr>
              <w:t>Données relatives à l</w:t>
            </w:r>
            <w:r w:rsidR="00A20444" w:rsidRPr="00251542">
              <w:rPr>
                <w:b/>
                <w:sz w:val="16"/>
              </w:rPr>
              <w:t>’</w:t>
            </w:r>
            <w:r w:rsidRPr="00251542">
              <w:rPr>
                <w:b/>
                <w:sz w:val="16"/>
              </w:rPr>
              <w:t>exécution</w:t>
            </w:r>
          </w:p>
        </w:tc>
        <w:tc>
          <w:tcPr>
            <w:tcW w:w="606" w:type="pct"/>
            <w:tcBorders>
              <w:top w:val="single" w:sz="4" w:space="0" w:color="auto"/>
              <w:bottom w:val="nil"/>
              <w:right w:val="single" w:sz="4" w:space="0" w:color="auto"/>
            </w:tcBorders>
            <w:shd w:val="clear" w:color="auto" w:fill="auto"/>
            <w:tcMar>
              <w:top w:w="110" w:type="dxa"/>
            </w:tcMar>
            <w:vAlign w:val="center"/>
          </w:tcPr>
          <w:p w:rsidR="004007D3" w:rsidRPr="00251542" w:rsidRDefault="004007D3" w:rsidP="001A5BF9">
            <w:pPr>
              <w:keepNext/>
              <w:keepLines/>
              <w:jc w:val="center"/>
              <w:rPr>
                <w:rFonts w:cs="Arial"/>
                <w:b/>
                <w:bCs/>
                <w:sz w:val="16"/>
                <w:szCs w:val="16"/>
              </w:rPr>
            </w:pPr>
            <w:r w:rsidRPr="00251542">
              <w:rPr>
                <w:b/>
                <w:sz w:val="16"/>
              </w:rPr>
              <w:t>Code de couleurs</w:t>
            </w:r>
          </w:p>
        </w:tc>
      </w:tr>
      <w:tr w:rsidR="004007D3" w:rsidRPr="005C7CCE" w:rsidTr="0056083E">
        <w:trPr>
          <w:cantSplit/>
        </w:trPr>
        <w:tc>
          <w:tcPr>
            <w:tcW w:w="856" w:type="pct"/>
            <w:tcBorders>
              <w:top w:val="nil"/>
              <w:left w:val="single" w:sz="4" w:space="0" w:color="auto"/>
              <w:bottom w:val="single" w:sz="4" w:space="0" w:color="auto"/>
            </w:tcBorders>
            <w:shd w:val="clear" w:color="auto" w:fill="auto"/>
          </w:tcPr>
          <w:p w:rsidR="004007D3" w:rsidRPr="0098611A" w:rsidRDefault="004007D3" w:rsidP="001A5BF9">
            <w:pPr>
              <w:rPr>
                <w:rFonts w:cs="Arial"/>
                <w:sz w:val="16"/>
                <w:szCs w:val="16"/>
              </w:rPr>
            </w:pPr>
            <w:r w:rsidRPr="0098611A">
              <w:rPr>
                <w:sz w:val="16"/>
              </w:rPr>
              <w:t>Construction d</w:t>
            </w:r>
            <w:r w:rsidR="00A20444" w:rsidRPr="0098611A">
              <w:rPr>
                <w:sz w:val="16"/>
              </w:rPr>
              <w:t>’</w:t>
            </w:r>
            <w:r w:rsidRPr="0098611A">
              <w:rPr>
                <w:sz w:val="16"/>
              </w:rPr>
              <w:t>une nouvelle salle de conférence et d</w:t>
            </w:r>
            <w:r w:rsidR="00A20444" w:rsidRPr="0098611A">
              <w:rPr>
                <w:sz w:val="16"/>
              </w:rPr>
              <w:t>’</w:t>
            </w:r>
            <w:r w:rsidRPr="0098611A">
              <w:rPr>
                <w:sz w:val="16"/>
              </w:rPr>
              <w:t>installations connexes conformément aux critères de qualité, au budget et aux délais approuvés</w:t>
            </w:r>
          </w:p>
        </w:tc>
        <w:tc>
          <w:tcPr>
            <w:tcW w:w="585" w:type="pct"/>
            <w:tcBorders>
              <w:top w:val="nil"/>
              <w:bottom w:val="single" w:sz="4" w:space="0" w:color="auto"/>
            </w:tcBorders>
            <w:shd w:val="clear" w:color="auto" w:fill="auto"/>
          </w:tcPr>
          <w:p w:rsidR="004007D3" w:rsidRPr="0098611A" w:rsidRDefault="004007D3" w:rsidP="001A5BF9">
            <w:pPr>
              <w:rPr>
                <w:rFonts w:cs="Arial"/>
                <w:sz w:val="16"/>
                <w:szCs w:val="16"/>
              </w:rPr>
            </w:pPr>
            <w:proofErr w:type="spellStart"/>
            <w:r w:rsidRPr="0098611A">
              <w:rPr>
                <w:sz w:val="16"/>
              </w:rPr>
              <w:t>n.d</w:t>
            </w:r>
            <w:proofErr w:type="spellEnd"/>
            <w:r w:rsidRPr="0098611A">
              <w:rPr>
                <w:sz w:val="16"/>
              </w:rPr>
              <w:t>.</w:t>
            </w:r>
          </w:p>
        </w:tc>
        <w:tc>
          <w:tcPr>
            <w:tcW w:w="607" w:type="pct"/>
            <w:tcBorders>
              <w:top w:val="nil"/>
              <w:bottom w:val="single" w:sz="4" w:space="0" w:color="auto"/>
            </w:tcBorders>
            <w:shd w:val="clear" w:color="auto" w:fill="auto"/>
            <w:tcMar>
              <w:top w:w="110" w:type="dxa"/>
            </w:tcMar>
          </w:tcPr>
          <w:p w:rsidR="004007D3" w:rsidRPr="0098611A" w:rsidRDefault="004007D3" w:rsidP="001A5BF9">
            <w:pPr>
              <w:rPr>
                <w:rFonts w:cs="Arial"/>
                <w:i/>
                <w:sz w:val="16"/>
                <w:szCs w:val="16"/>
              </w:rPr>
            </w:pPr>
            <w:proofErr w:type="spellStart"/>
            <w:r w:rsidRPr="0098611A">
              <w:rPr>
                <w:sz w:val="16"/>
              </w:rPr>
              <w:t>n.d</w:t>
            </w:r>
            <w:proofErr w:type="spellEnd"/>
            <w:r w:rsidRPr="0098611A">
              <w:rPr>
                <w:sz w:val="16"/>
              </w:rPr>
              <w:t xml:space="preserve">. </w:t>
            </w:r>
            <w:r w:rsidR="0010442A" w:rsidRPr="0098611A">
              <w:rPr>
                <w:sz w:val="16"/>
              </w:rPr>
              <w:t xml:space="preserve"> </w:t>
            </w:r>
          </w:p>
        </w:tc>
        <w:tc>
          <w:tcPr>
            <w:tcW w:w="2346" w:type="pct"/>
            <w:tcBorders>
              <w:top w:val="nil"/>
              <w:bottom w:val="single" w:sz="4" w:space="0" w:color="auto"/>
            </w:tcBorders>
            <w:shd w:val="clear" w:color="auto" w:fill="FFFFFF"/>
            <w:tcMar>
              <w:top w:w="110" w:type="dxa"/>
            </w:tcMar>
          </w:tcPr>
          <w:p w:rsidR="00D42474" w:rsidRDefault="004007D3" w:rsidP="001A5BF9">
            <w:pPr>
              <w:rPr>
                <w:rFonts w:cs="Arial"/>
                <w:sz w:val="16"/>
                <w:szCs w:val="16"/>
                <w:lang w:bidi="th-TH"/>
              </w:rPr>
            </w:pPr>
            <w:r w:rsidRPr="005C7CCE">
              <w:rPr>
                <w:sz w:val="16"/>
              </w:rPr>
              <w:t>Achèvement de la phase de construction du projet de nouvelle salle de conférence (nouvelle salle de conférence à proprement parler, modifications des deux étages restants du bâtiment AB et du nouveau centre d</w:t>
            </w:r>
            <w:r w:rsidR="00A20444" w:rsidRPr="005C7CCE">
              <w:rPr>
                <w:sz w:val="16"/>
              </w:rPr>
              <w:t>’</w:t>
            </w:r>
            <w:r w:rsidRPr="005C7CCE">
              <w:rPr>
                <w:sz w:val="16"/>
              </w:rPr>
              <w:t>accès au campus de l</w:t>
            </w:r>
            <w:r w:rsidR="00A20444" w:rsidRPr="005C7CCE">
              <w:rPr>
                <w:sz w:val="16"/>
              </w:rPr>
              <w:t>’</w:t>
            </w:r>
            <w:r w:rsidRPr="005C7CCE">
              <w:rPr>
                <w:sz w:val="16"/>
              </w:rPr>
              <w:t>OMPI) reporté à avril 2014</w:t>
            </w:r>
            <w:r w:rsidRPr="005C7CCE">
              <w:rPr>
                <w:vertAlign w:val="superscript"/>
              </w:rPr>
              <w:footnoteReference w:id="47"/>
            </w:r>
            <w:r w:rsidRPr="005C7CCE">
              <w:rPr>
                <w:sz w:val="16"/>
                <w:vertAlign w:val="superscript"/>
              </w:rPr>
              <w:t xml:space="preserve"> </w:t>
            </w:r>
            <w:r w:rsidRPr="005C7CCE">
              <w:rPr>
                <w:sz w:val="16"/>
              </w:rPr>
              <w:t>pour une première utilisation prévue en septembre 2014.</w:t>
            </w:r>
          </w:p>
          <w:p w:rsidR="00D42474" w:rsidRDefault="00D42474" w:rsidP="001A5BF9">
            <w:pPr>
              <w:rPr>
                <w:rFonts w:cs="Arial"/>
                <w:sz w:val="16"/>
                <w:szCs w:val="16"/>
                <w:lang w:bidi="th-TH"/>
              </w:rPr>
            </w:pPr>
          </w:p>
          <w:p w:rsidR="00D42474" w:rsidRDefault="004007D3" w:rsidP="001A5BF9">
            <w:pPr>
              <w:rPr>
                <w:rFonts w:cs="Arial"/>
                <w:sz w:val="16"/>
                <w:szCs w:val="16"/>
                <w:lang w:bidi="th-TH"/>
              </w:rPr>
            </w:pPr>
            <w:r w:rsidRPr="005C7CCE">
              <w:rPr>
                <w:sz w:val="16"/>
              </w:rPr>
              <w:t>Achèvement des modifications au niveau du sous</w:t>
            </w:r>
            <w:r w:rsidR="002D6F2A" w:rsidRPr="005C7CCE">
              <w:rPr>
                <w:sz w:val="16"/>
              </w:rPr>
              <w:noBreakHyphen/>
            </w:r>
            <w:r w:rsidRPr="005C7CCE">
              <w:rPr>
                <w:sz w:val="16"/>
              </w:rPr>
              <w:t>sol du bâtiment AB ainsi qu</w:t>
            </w:r>
            <w:r w:rsidR="00A20444" w:rsidRPr="005C7CCE">
              <w:rPr>
                <w:sz w:val="16"/>
              </w:rPr>
              <w:t>’</w:t>
            </w:r>
            <w:r w:rsidRPr="005C7CCE">
              <w:rPr>
                <w:sz w:val="16"/>
              </w:rPr>
              <w:t>une nouvelle salle de réunion sur la mezzanine du bâtiment AB en septembre et en octobre 2013 respectivement.</w:t>
            </w:r>
          </w:p>
          <w:p w:rsidR="00D42474" w:rsidRDefault="00D42474" w:rsidP="001A5BF9">
            <w:pPr>
              <w:rPr>
                <w:rFonts w:cs="Arial"/>
                <w:sz w:val="16"/>
                <w:szCs w:val="16"/>
                <w:lang w:bidi="th-TH"/>
              </w:rPr>
            </w:pPr>
          </w:p>
          <w:p w:rsidR="00D42474" w:rsidRDefault="004007D3" w:rsidP="001A5BF9">
            <w:pPr>
              <w:rPr>
                <w:rFonts w:cs="Arial"/>
                <w:sz w:val="16"/>
                <w:szCs w:val="16"/>
                <w:lang w:bidi="th-TH"/>
              </w:rPr>
            </w:pPr>
            <w:r w:rsidRPr="005C7CCE">
              <w:rPr>
                <w:sz w:val="16"/>
              </w:rPr>
              <w:t>Le respect des normes de qualité prescrites et approuvées et des limites budgétaires continue d</w:t>
            </w:r>
            <w:r w:rsidR="00A20444" w:rsidRPr="005C7CCE">
              <w:rPr>
                <w:sz w:val="16"/>
              </w:rPr>
              <w:t>’</w:t>
            </w:r>
            <w:r w:rsidRPr="005C7CCE">
              <w:rPr>
                <w:sz w:val="16"/>
              </w:rPr>
              <w:t>être surveillé de près par le pilote, le comité de gestion et coordination de la construction, et le comité de construction.</w:t>
            </w:r>
          </w:p>
          <w:p w:rsidR="004007D3" w:rsidRPr="005C7CCE" w:rsidRDefault="004007D3" w:rsidP="001A5BF9">
            <w:pPr>
              <w:rPr>
                <w:rFonts w:cs="Arial"/>
                <w:sz w:val="16"/>
                <w:szCs w:val="16"/>
              </w:rPr>
            </w:pPr>
          </w:p>
        </w:tc>
        <w:tc>
          <w:tcPr>
            <w:tcW w:w="606" w:type="pct"/>
            <w:tcBorders>
              <w:top w:val="nil"/>
              <w:bottom w:val="single" w:sz="4" w:space="0" w:color="auto"/>
              <w:right w:val="single" w:sz="4" w:space="0" w:color="auto"/>
            </w:tcBorders>
            <w:shd w:val="clear" w:color="auto" w:fill="auto"/>
            <w:tcMar>
              <w:top w:w="110" w:type="dxa"/>
            </w:tcMar>
          </w:tcPr>
          <w:p w:rsidR="004007D3" w:rsidRPr="005C7CCE" w:rsidRDefault="004007D3" w:rsidP="001A5BF9">
            <w:pPr>
              <w:keepNext/>
              <w:keepLines/>
              <w:jc w:val="center"/>
              <w:rPr>
                <w:rFonts w:cs="Arial"/>
                <w:bCs/>
                <w:color w:val="808080"/>
                <w:sz w:val="16"/>
                <w:szCs w:val="16"/>
              </w:rPr>
            </w:pPr>
            <w:r w:rsidRPr="005C7CCE">
              <w:rPr>
                <w:rStyle w:val="Style5"/>
                <w:rFonts w:ascii="Arial" w:hAnsi="Arial"/>
                <w:color w:val="595959"/>
                <w:sz w:val="16"/>
              </w:rPr>
              <w:t>Non évaluable</w:t>
            </w:r>
          </w:p>
        </w:tc>
      </w:tr>
      <w:tr w:rsidR="004007D3" w:rsidRPr="00251542" w:rsidTr="0056083E">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4007D3" w:rsidRPr="00251542" w:rsidRDefault="004007D3" w:rsidP="001A5BF9">
            <w:pPr>
              <w:keepNext/>
              <w:keepLines/>
              <w:tabs>
                <w:tab w:val="left" w:pos="1452"/>
              </w:tabs>
              <w:spacing w:before="120" w:after="120"/>
              <w:ind w:left="1452" w:hanging="1452"/>
              <w:rPr>
                <w:rFonts w:cs="Arial"/>
                <w:b/>
                <w:bCs/>
                <w:sz w:val="16"/>
                <w:szCs w:val="16"/>
              </w:rPr>
            </w:pPr>
            <w:r w:rsidRPr="00251542">
              <w:rPr>
                <w:b/>
                <w:sz w:val="16"/>
              </w:rPr>
              <w:t>Résultat escompté</w:t>
            </w:r>
            <w:r w:rsidR="0010442A" w:rsidRPr="00251542">
              <w:rPr>
                <w:b/>
                <w:sz w:val="16"/>
              </w:rPr>
              <w:t xml:space="preserve"> : </w:t>
            </w:r>
            <w:r w:rsidRPr="00251542">
              <w:rPr>
                <w:b/>
                <w:sz w:val="16"/>
              </w:rPr>
              <w:tab/>
            </w:r>
            <w:r w:rsidRPr="00251542">
              <w:rPr>
                <w:sz w:val="16"/>
              </w:rPr>
              <w:t>Coûts relatifs au nouveau bâtiment administratif maintenus au minimum</w:t>
            </w:r>
          </w:p>
        </w:tc>
      </w:tr>
      <w:tr w:rsidR="004007D3" w:rsidRPr="00251542" w:rsidTr="0056083E">
        <w:trPr>
          <w:cantSplit/>
        </w:trPr>
        <w:tc>
          <w:tcPr>
            <w:tcW w:w="856" w:type="pct"/>
            <w:tcBorders>
              <w:top w:val="single" w:sz="4" w:space="0" w:color="auto"/>
              <w:left w:val="single" w:sz="4" w:space="0" w:color="auto"/>
              <w:bottom w:val="nil"/>
            </w:tcBorders>
            <w:shd w:val="clear" w:color="auto" w:fill="auto"/>
            <w:vAlign w:val="center"/>
          </w:tcPr>
          <w:p w:rsidR="004007D3" w:rsidRPr="00251542" w:rsidRDefault="004007D3" w:rsidP="0098611A">
            <w:pPr>
              <w:rPr>
                <w:rFonts w:cs="Arial"/>
                <w:b/>
                <w:sz w:val="16"/>
                <w:szCs w:val="16"/>
              </w:rPr>
            </w:pPr>
            <w:r w:rsidRPr="00251542">
              <w:rPr>
                <w:b/>
                <w:sz w:val="16"/>
              </w:rPr>
              <w:t>Indicateurs d</w:t>
            </w:r>
            <w:r w:rsidR="00A20444" w:rsidRPr="00251542">
              <w:rPr>
                <w:b/>
                <w:sz w:val="16"/>
              </w:rPr>
              <w:t>’</w:t>
            </w:r>
            <w:r w:rsidRPr="00251542">
              <w:rPr>
                <w:b/>
                <w:sz w:val="16"/>
              </w:rPr>
              <w:t>exécution</w:t>
            </w:r>
          </w:p>
        </w:tc>
        <w:tc>
          <w:tcPr>
            <w:tcW w:w="585" w:type="pct"/>
            <w:tcBorders>
              <w:top w:val="single" w:sz="4" w:space="0" w:color="auto"/>
              <w:bottom w:val="nil"/>
            </w:tcBorders>
            <w:shd w:val="clear" w:color="auto" w:fill="auto"/>
            <w:vAlign w:val="center"/>
          </w:tcPr>
          <w:p w:rsidR="004007D3" w:rsidRPr="00251542" w:rsidRDefault="004007D3" w:rsidP="0098611A">
            <w:pPr>
              <w:rPr>
                <w:rFonts w:cs="Arial"/>
                <w:b/>
                <w:bCs/>
                <w:sz w:val="16"/>
                <w:szCs w:val="16"/>
              </w:rPr>
            </w:pPr>
            <w:r w:rsidRPr="00251542">
              <w:rPr>
                <w:b/>
                <w:sz w:val="16"/>
              </w:rPr>
              <w:t>Niveaux de référence</w:t>
            </w:r>
          </w:p>
        </w:tc>
        <w:tc>
          <w:tcPr>
            <w:tcW w:w="607" w:type="pct"/>
            <w:tcBorders>
              <w:top w:val="single" w:sz="4" w:space="0" w:color="auto"/>
              <w:bottom w:val="nil"/>
            </w:tcBorders>
            <w:shd w:val="clear" w:color="auto" w:fill="auto"/>
            <w:tcMar>
              <w:top w:w="110" w:type="dxa"/>
            </w:tcMar>
            <w:vAlign w:val="center"/>
          </w:tcPr>
          <w:p w:rsidR="004007D3" w:rsidRPr="00251542" w:rsidRDefault="004007D3" w:rsidP="0098611A">
            <w:pPr>
              <w:rPr>
                <w:rFonts w:cs="Arial"/>
                <w:b/>
                <w:sz w:val="16"/>
                <w:szCs w:val="16"/>
              </w:rPr>
            </w:pPr>
            <w:r w:rsidRPr="00251542">
              <w:rPr>
                <w:b/>
                <w:sz w:val="16"/>
              </w:rPr>
              <w:t>Objectifs visés</w:t>
            </w:r>
          </w:p>
        </w:tc>
        <w:tc>
          <w:tcPr>
            <w:tcW w:w="2346" w:type="pct"/>
            <w:tcBorders>
              <w:top w:val="single" w:sz="4" w:space="0" w:color="auto"/>
              <w:bottom w:val="nil"/>
            </w:tcBorders>
            <w:shd w:val="clear" w:color="auto" w:fill="FFFFFF"/>
            <w:tcMar>
              <w:top w:w="110" w:type="dxa"/>
            </w:tcMar>
            <w:vAlign w:val="center"/>
          </w:tcPr>
          <w:p w:rsidR="004007D3" w:rsidRPr="00251542" w:rsidRDefault="004007D3" w:rsidP="0098611A">
            <w:pPr>
              <w:rPr>
                <w:rFonts w:cs="Arial"/>
                <w:b/>
                <w:sz w:val="16"/>
                <w:szCs w:val="16"/>
              </w:rPr>
            </w:pPr>
            <w:r w:rsidRPr="00251542">
              <w:rPr>
                <w:b/>
                <w:sz w:val="16"/>
              </w:rPr>
              <w:t>Données relatives à l</w:t>
            </w:r>
            <w:r w:rsidR="00A20444" w:rsidRPr="00251542">
              <w:rPr>
                <w:b/>
                <w:sz w:val="16"/>
              </w:rPr>
              <w:t>’</w:t>
            </w:r>
            <w:r w:rsidRPr="00251542">
              <w:rPr>
                <w:b/>
                <w:sz w:val="16"/>
              </w:rPr>
              <w:t>exécution</w:t>
            </w:r>
          </w:p>
        </w:tc>
        <w:tc>
          <w:tcPr>
            <w:tcW w:w="606" w:type="pct"/>
            <w:tcBorders>
              <w:top w:val="single" w:sz="4" w:space="0" w:color="auto"/>
              <w:bottom w:val="nil"/>
              <w:right w:val="single" w:sz="4" w:space="0" w:color="auto"/>
            </w:tcBorders>
            <w:shd w:val="clear" w:color="auto" w:fill="auto"/>
            <w:tcMar>
              <w:top w:w="110" w:type="dxa"/>
            </w:tcMar>
            <w:vAlign w:val="center"/>
          </w:tcPr>
          <w:p w:rsidR="004007D3" w:rsidRPr="00251542" w:rsidRDefault="004007D3" w:rsidP="001A5BF9">
            <w:pPr>
              <w:keepNext/>
              <w:keepLines/>
              <w:jc w:val="center"/>
              <w:rPr>
                <w:rFonts w:cs="Arial"/>
                <w:b/>
                <w:bCs/>
                <w:sz w:val="16"/>
                <w:szCs w:val="16"/>
              </w:rPr>
            </w:pPr>
            <w:r w:rsidRPr="00251542">
              <w:rPr>
                <w:b/>
                <w:sz w:val="16"/>
              </w:rPr>
              <w:t>Code de couleurs</w:t>
            </w:r>
          </w:p>
        </w:tc>
      </w:tr>
      <w:tr w:rsidR="004007D3" w:rsidRPr="005C7CCE" w:rsidTr="0056083E">
        <w:trPr>
          <w:cantSplit/>
        </w:trPr>
        <w:tc>
          <w:tcPr>
            <w:tcW w:w="856" w:type="pct"/>
            <w:tcBorders>
              <w:top w:val="nil"/>
              <w:left w:val="single" w:sz="4" w:space="0" w:color="auto"/>
              <w:bottom w:val="single" w:sz="4" w:space="0" w:color="auto"/>
            </w:tcBorders>
            <w:shd w:val="clear" w:color="auto" w:fill="auto"/>
          </w:tcPr>
          <w:p w:rsidR="00D42474" w:rsidRDefault="004007D3" w:rsidP="001A5BF9">
            <w:pPr>
              <w:rPr>
                <w:rFonts w:cs="Arial"/>
                <w:sz w:val="16"/>
                <w:szCs w:val="16"/>
              </w:rPr>
            </w:pPr>
            <w:r w:rsidRPr="0098611A">
              <w:rPr>
                <w:sz w:val="16"/>
              </w:rPr>
              <w:t>Utilisation des fonds restants disponibles dans le cadre du budget consolidé et des provisions approuvées pendant la période de garantie relative à la construction</w:t>
            </w:r>
          </w:p>
          <w:p w:rsidR="004007D3" w:rsidRPr="0098611A" w:rsidRDefault="004007D3" w:rsidP="001A5BF9">
            <w:pPr>
              <w:rPr>
                <w:rFonts w:cs="Arial"/>
                <w:sz w:val="16"/>
                <w:szCs w:val="16"/>
              </w:rPr>
            </w:pPr>
          </w:p>
        </w:tc>
        <w:tc>
          <w:tcPr>
            <w:tcW w:w="585" w:type="pct"/>
            <w:tcBorders>
              <w:top w:val="nil"/>
              <w:bottom w:val="single" w:sz="4" w:space="0" w:color="auto"/>
            </w:tcBorders>
            <w:shd w:val="clear" w:color="auto" w:fill="auto"/>
          </w:tcPr>
          <w:p w:rsidR="004007D3" w:rsidRPr="0098611A" w:rsidRDefault="004007D3" w:rsidP="001A5BF9">
            <w:pPr>
              <w:rPr>
                <w:rFonts w:cs="Arial"/>
                <w:sz w:val="16"/>
                <w:szCs w:val="16"/>
              </w:rPr>
            </w:pPr>
            <w:proofErr w:type="spellStart"/>
            <w:r w:rsidRPr="0098611A">
              <w:rPr>
                <w:sz w:val="16"/>
              </w:rPr>
              <w:t>n.d</w:t>
            </w:r>
            <w:proofErr w:type="spellEnd"/>
            <w:r w:rsidRPr="0098611A">
              <w:rPr>
                <w:sz w:val="16"/>
              </w:rPr>
              <w:t>.</w:t>
            </w:r>
          </w:p>
        </w:tc>
        <w:tc>
          <w:tcPr>
            <w:tcW w:w="607" w:type="pct"/>
            <w:tcBorders>
              <w:top w:val="nil"/>
              <w:bottom w:val="single" w:sz="4" w:space="0" w:color="auto"/>
            </w:tcBorders>
            <w:shd w:val="clear" w:color="auto" w:fill="auto"/>
            <w:tcMar>
              <w:top w:w="110" w:type="dxa"/>
            </w:tcMar>
          </w:tcPr>
          <w:p w:rsidR="004007D3" w:rsidRPr="0098611A" w:rsidRDefault="004007D3" w:rsidP="001A5BF9">
            <w:pPr>
              <w:rPr>
                <w:rFonts w:cs="Arial"/>
                <w:i/>
                <w:sz w:val="16"/>
                <w:szCs w:val="16"/>
              </w:rPr>
            </w:pPr>
            <w:proofErr w:type="spellStart"/>
            <w:r w:rsidRPr="0098611A">
              <w:rPr>
                <w:sz w:val="16"/>
              </w:rPr>
              <w:t>n.d</w:t>
            </w:r>
            <w:proofErr w:type="spellEnd"/>
            <w:r w:rsidRPr="0098611A">
              <w:rPr>
                <w:sz w:val="16"/>
              </w:rPr>
              <w:t xml:space="preserve">. </w:t>
            </w:r>
            <w:r w:rsidR="0010442A" w:rsidRPr="0098611A">
              <w:rPr>
                <w:sz w:val="16"/>
              </w:rPr>
              <w:t xml:space="preserve"> </w:t>
            </w:r>
          </w:p>
        </w:tc>
        <w:tc>
          <w:tcPr>
            <w:tcW w:w="2346" w:type="pct"/>
            <w:tcBorders>
              <w:top w:val="nil"/>
              <w:bottom w:val="single" w:sz="4" w:space="0" w:color="auto"/>
            </w:tcBorders>
            <w:shd w:val="clear" w:color="auto" w:fill="FFFFFF"/>
            <w:tcMar>
              <w:top w:w="110" w:type="dxa"/>
            </w:tcMar>
          </w:tcPr>
          <w:p w:rsidR="004007D3" w:rsidRPr="005C7CCE" w:rsidRDefault="004007D3" w:rsidP="001A5BF9">
            <w:pPr>
              <w:rPr>
                <w:rFonts w:cs="Arial"/>
                <w:sz w:val="16"/>
                <w:szCs w:val="16"/>
              </w:rPr>
            </w:pPr>
            <w:r w:rsidRPr="005C7CCE">
              <w:rPr>
                <w:sz w:val="16"/>
              </w:rPr>
              <w:t>Les dépenses ne dépassaient pas les limites budgétaires à la fin de l</w:t>
            </w:r>
            <w:r w:rsidR="00A20444" w:rsidRPr="005C7CCE">
              <w:rPr>
                <w:sz w:val="16"/>
              </w:rPr>
              <w:t>’</w:t>
            </w:r>
            <w:r w:rsidRPr="005C7CCE">
              <w:rPr>
                <w:sz w:val="16"/>
              </w:rPr>
              <w:t>exercice biennal 2012</w:t>
            </w:r>
            <w:r w:rsidR="002D6F2A" w:rsidRPr="005C7CCE">
              <w:rPr>
                <w:sz w:val="16"/>
              </w:rPr>
              <w:noBreakHyphen/>
            </w:r>
            <w:r w:rsidRPr="005C7CCE">
              <w:rPr>
                <w:sz w:val="16"/>
              </w:rPr>
              <w:t>2013.</w:t>
            </w:r>
          </w:p>
        </w:tc>
        <w:tc>
          <w:tcPr>
            <w:tcW w:w="606" w:type="pct"/>
            <w:tcBorders>
              <w:top w:val="nil"/>
              <w:bottom w:val="single" w:sz="4" w:space="0" w:color="auto"/>
              <w:right w:val="single" w:sz="4" w:space="0" w:color="auto"/>
            </w:tcBorders>
            <w:shd w:val="clear" w:color="auto" w:fill="auto"/>
            <w:tcMar>
              <w:top w:w="110" w:type="dxa"/>
            </w:tcMar>
          </w:tcPr>
          <w:p w:rsidR="004007D3" w:rsidRPr="005C7CCE" w:rsidRDefault="004007D3" w:rsidP="001A5BF9">
            <w:pPr>
              <w:keepNext/>
              <w:keepLines/>
              <w:jc w:val="center"/>
              <w:rPr>
                <w:rFonts w:cs="Arial"/>
                <w:bCs/>
                <w:color w:val="808080"/>
                <w:sz w:val="16"/>
                <w:szCs w:val="16"/>
              </w:rPr>
            </w:pPr>
            <w:r w:rsidRPr="005C7CCE">
              <w:rPr>
                <w:rStyle w:val="Style5"/>
                <w:rFonts w:ascii="Arial" w:hAnsi="Arial"/>
                <w:color w:val="595959"/>
                <w:sz w:val="16"/>
              </w:rPr>
              <w:t>Non évaluable</w:t>
            </w:r>
          </w:p>
        </w:tc>
      </w:tr>
    </w:tbl>
    <w:p w:rsidR="00D42474" w:rsidRDefault="00D42474" w:rsidP="001A5BF9">
      <w:pPr>
        <w:rPr>
          <w:rFonts w:cs="Arial"/>
          <w:szCs w:val="22"/>
        </w:rPr>
      </w:pPr>
    </w:p>
    <w:p w:rsidR="00D42474" w:rsidRDefault="00D42474" w:rsidP="001A5BF9">
      <w:pPr>
        <w:rPr>
          <w:rFonts w:cs="Arial"/>
          <w:szCs w:val="22"/>
        </w:rPr>
      </w:pPr>
    </w:p>
    <w:p w:rsidR="00D42474" w:rsidRDefault="004007D3" w:rsidP="001A5BF9">
      <w:pPr>
        <w:rPr>
          <w:rFonts w:cs="Arial"/>
          <w:szCs w:val="22"/>
        </w:rPr>
      </w:pPr>
      <w:r w:rsidRPr="00866763">
        <w:rPr>
          <w:sz w:val="22"/>
        </w:rPr>
        <w:t>BUDGET ET DÉPENSES EFFECTIVES</w:t>
      </w:r>
    </w:p>
    <w:p w:rsidR="00D42474" w:rsidRDefault="00D42474" w:rsidP="001A5BF9">
      <w:pPr>
        <w:rPr>
          <w:rFonts w:cs="Arial"/>
          <w:szCs w:val="20"/>
        </w:rPr>
      </w:pPr>
    </w:p>
    <w:p w:rsidR="00D42474" w:rsidRDefault="004007D3" w:rsidP="001A5BF9">
      <w:pPr>
        <w:jc w:val="center"/>
      </w:pPr>
      <w:r w:rsidRPr="00251542">
        <w:t>Budget et dépenses effectives (par résultat)</w:t>
      </w:r>
    </w:p>
    <w:p w:rsidR="00D42474" w:rsidRDefault="004007D3" w:rsidP="001A5BF9">
      <w:pPr>
        <w:jc w:val="center"/>
        <w:rPr>
          <w:rFonts w:cs="Arial"/>
          <w:i/>
          <w:iCs/>
          <w:szCs w:val="20"/>
        </w:rPr>
      </w:pPr>
      <w:r w:rsidRPr="00251542">
        <w:rPr>
          <w:i/>
        </w:rPr>
        <w:t>(</w:t>
      </w:r>
      <w:proofErr w:type="gramStart"/>
      <w:r w:rsidRPr="00251542">
        <w:rPr>
          <w:i/>
        </w:rPr>
        <w:t>en</w:t>
      </w:r>
      <w:proofErr w:type="gramEnd"/>
      <w:r w:rsidRPr="00251542">
        <w:rPr>
          <w:i/>
        </w:rPr>
        <w:t xml:space="preserve"> milliers de francs suisses)</w:t>
      </w:r>
    </w:p>
    <w:p w:rsidR="004007D3" w:rsidRPr="00251542" w:rsidRDefault="004007D3" w:rsidP="001A5BF9">
      <w:pPr>
        <w:jc w:val="center"/>
        <w:rPr>
          <w:szCs w:val="20"/>
        </w:rPr>
      </w:pPr>
    </w:p>
    <w:tbl>
      <w:tblPr>
        <w:tblW w:w="0" w:type="auto"/>
        <w:tblInd w:w="103" w:type="dxa"/>
        <w:tblLayout w:type="fixed"/>
        <w:tblLook w:val="04A0" w:firstRow="1" w:lastRow="0" w:firstColumn="1" w:lastColumn="0" w:noHBand="0" w:noVBand="1"/>
      </w:tblPr>
      <w:tblGrid>
        <w:gridCol w:w="537"/>
        <w:gridCol w:w="4288"/>
        <w:gridCol w:w="1559"/>
        <w:gridCol w:w="1559"/>
        <w:gridCol w:w="1418"/>
      </w:tblGrid>
      <w:tr w:rsidR="004007D3" w:rsidRPr="00251542" w:rsidTr="0056083E">
        <w:tc>
          <w:tcPr>
            <w:tcW w:w="4825" w:type="dxa"/>
            <w:gridSpan w:val="2"/>
            <w:tcBorders>
              <w:top w:val="single" w:sz="4" w:space="0" w:color="auto"/>
              <w:left w:val="single" w:sz="4" w:space="0" w:color="auto"/>
              <w:bottom w:val="single" w:sz="4" w:space="0" w:color="auto"/>
              <w:right w:val="single" w:sz="4" w:space="0" w:color="auto"/>
            </w:tcBorders>
            <w:shd w:val="clear" w:color="000000" w:fill="CCFFFF"/>
            <w:noWrap/>
            <w:vAlign w:val="center"/>
          </w:tcPr>
          <w:p w:rsidR="004007D3" w:rsidRPr="00251542" w:rsidRDefault="004007D3" w:rsidP="001A5BF9">
            <w:pPr>
              <w:spacing w:before="120" w:after="120"/>
              <w:jc w:val="center"/>
              <w:rPr>
                <w:rFonts w:cs="Arial"/>
                <w:bCs/>
                <w:sz w:val="16"/>
                <w:szCs w:val="16"/>
              </w:rPr>
            </w:pPr>
            <w:r w:rsidRPr="00251542">
              <w:rPr>
                <w:sz w:val="16"/>
              </w:rPr>
              <w:t>Numéro et description du résultat escompté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2012–2013</w:t>
            </w:r>
            <w:r w:rsidRPr="00251542">
              <w:br/>
            </w:r>
            <w:r w:rsidRPr="00251542">
              <w:rPr>
                <w:sz w:val="16"/>
              </w:rPr>
              <w:t>approuvé</w:t>
            </w:r>
          </w:p>
        </w:tc>
        <w:tc>
          <w:tcPr>
            <w:tcW w:w="1559" w:type="dxa"/>
            <w:tcBorders>
              <w:top w:val="single" w:sz="4" w:space="0" w:color="auto"/>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w:t>
            </w:r>
            <w:r w:rsidR="002D6F2A" w:rsidRPr="00251542">
              <w:rPr>
                <w:sz w:val="16"/>
              </w:rPr>
              <w:noBreakHyphen/>
            </w:r>
            <w:r w:rsidRPr="00251542">
              <w:rPr>
                <w:sz w:val="16"/>
              </w:rPr>
              <w:t>2013</w:t>
            </w:r>
            <w:r w:rsidRPr="00251542">
              <w:br/>
            </w:r>
            <w:r w:rsidRPr="00251542">
              <w:rPr>
                <w:sz w:val="16"/>
              </w:rPr>
              <w:t>après virements</w:t>
            </w:r>
          </w:p>
        </w:tc>
        <w:tc>
          <w:tcPr>
            <w:tcW w:w="1418" w:type="dxa"/>
            <w:tcBorders>
              <w:top w:val="single" w:sz="4" w:space="0" w:color="auto"/>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Dépenses</w:t>
            </w:r>
            <w:r w:rsidRPr="00251542">
              <w:br/>
            </w:r>
            <w:r w:rsidRPr="00251542">
              <w:rPr>
                <w:sz w:val="16"/>
              </w:rPr>
              <w:t>2012</w:t>
            </w:r>
            <w:r w:rsidR="002D6F2A" w:rsidRPr="00251542">
              <w:rPr>
                <w:sz w:val="16"/>
              </w:rPr>
              <w:noBreakHyphen/>
            </w:r>
            <w:r w:rsidRPr="00251542">
              <w:rPr>
                <w:sz w:val="16"/>
              </w:rPr>
              <w:t>2013</w:t>
            </w:r>
          </w:p>
        </w:tc>
      </w:tr>
      <w:tr w:rsidR="004007D3" w:rsidRPr="00251542" w:rsidTr="0056083E">
        <w:tc>
          <w:tcPr>
            <w:tcW w:w="537" w:type="dxa"/>
            <w:tcBorders>
              <w:top w:val="nil"/>
              <w:left w:val="single" w:sz="4" w:space="0" w:color="auto"/>
              <w:bottom w:val="nil"/>
              <w:right w:val="nil"/>
            </w:tcBorders>
            <w:shd w:val="clear" w:color="000000" w:fill="FFFFFF"/>
            <w:noWrap/>
          </w:tcPr>
          <w:p w:rsidR="004007D3" w:rsidRPr="00251542" w:rsidRDefault="004007D3" w:rsidP="001A5BF9">
            <w:pPr>
              <w:spacing w:before="120"/>
              <w:jc w:val="center"/>
              <w:rPr>
                <w:rFonts w:cs="Arial"/>
                <w:sz w:val="16"/>
                <w:szCs w:val="16"/>
              </w:rPr>
            </w:pPr>
            <w:proofErr w:type="spellStart"/>
            <w:r w:rsidRPr="00251542">
              <w:rPr>
                <w:sz w:val="16"/>
              </w:rPr>
              <w:t>IX.4</w:t>
            </w:r>
            <w:proofErr w:type="spellEnd"/>
          </w:p>
        </w:tc>
        <w:tc>
          <w:tcPr>
            <w:tcW w:w="4288" w:type="dxa"/>
            <w:tcBorders>
              <w:top w:val="nil"/>
              <w:left w:val="nil"/>
              <w:bottom w:val="nil"/>
              <w:right w:val="nil"/>
            </w:tcBorders>
            <w:shd w:val="clear" w:color="000000" w:fill="FFFFFF"/>
          </w:tcPr>
          <w:p w:rsidR="004007D3" w:rsidRPr="00251542" w:rsidRDefault="004007D3" w:rsidP="001A5BF9">
            <w:pPr>
              <w:spacing w:before="120"/>
              <w:rPr>
                <w:rFonts w:cs="Arial"/>
                <w:sz w:val="16"/>
                <w:szCs w:val="16"/>
              </w:rPr>
            </w:pPr>
            <w:r w:rsidRPr="00251542">
              <w:rPr>
                <w:sz w:val="16"/>
              </w:rPr>
              <w:t>Sûreté et sécurité des membres du personnel, des délégués, des visiteurs, des données et des biens de l</w:t>
            </w:r>
            <w:r w:rsidR="00A20444" w:rsidRPr="00251542">
              <w:rPr>
                <w:sz w:val="16"/>
              </w:rPr>
              <w:t>’</w:t>
            </w:r>
            <w:r w:rsidRPr="00251542">
              <w:rPr>
                <w:sz w:val="16"/>
              </w:rPr>
              <w:t>OMPI</w:t>
            </w:r>
          </w:p>
        </w:tc>
        <w:tc>
          <w:tcPr>
            <w:tcW w:w="1559" w:type="dxa"/>
            <w:tcBorders>
              <w:top w:val="nil"/>
              <w:left w:val="nil"/>
              <w:bottom w:val="nil"/>
              <w:right w:val="nil"/>
            </w:tcBorders>
            <w:shd w:val="clear" w:color="000000" w:fill="FFFFFF"/>
            <w:vAlign w:val="center"/>
          </w:tcPr>
          <w:p w:rsidR="004007D3" w:rsidRPr="00251542" w:rsidRDefault="004007D3" w:rsidP="001A5BF9">
            <w:pPr>
              <w:spacing w:before="120"/>
              <w:jc w:val="right"/>
              <w:rPr>
                <w:rFonts w:cs="Arial"/>
                <w:sz w:val="16"/>
                <w:szCs w:val="16"/>
              </w:rPr>
            </w:pPr>
            <w:r w:rsidRPr="00251542">
              <w:rPr>
                <w:sz w:val="16"/>
              </w:rPr>
              <w:t xml:space="preserve">46 </w:t>
            </w:r>
          </w:p>
        </w:tc>
        <w:tc>
          <w:tcPr>
            <w:tcW w:w="1559" w:type="dxa"/>
            <w:tcBorders>
              <w:top w:val="nil"/>
              <w:left w:val="nil"/>
              <w:bottom w:val="nil"/>
              <w:right w:val="nil"/>
            </w:tcBorders>
            <w:shd w:val="clear" w:color="000000" w:fill="FFFFFF"/>
            <w:vAlign w:val="center"/>
          </w:tcPr>
          <w:p w:rsidR="004007D3" w:rsidRPr="00251542" w:rsidRDefault="004007D3" w:rsidP="001A5BF9">
            <w:pPr>
              <w:spacing w:before="120"/>
              <w:jc w:val="right"/>
              <w:rPr>
                <w:rFonts w:cs="Arial"/>
                <w:sz w:val="16"/>
                <w:szCs w:val="16"/>
              </w:rPr>
            </w:pPr>
            <w:r w:rsidRPr="00251542">
              <w:rPr>
                <w:sz w:val="16"/>
              </w:rPr>
              <w:t xml:space="preserve">48 </w:t>
            </w:r>
          </w:p>
        </w:tc>
        <w:tc>
          <w:tcPr>
            <w:tcW w:w="1418" w:type="dxa"/>
            <w:tcBorders>
              <w:top w:val="nil"/>
              <w:left w:val="nil"/>
              <w:bottom w:val="nil"/>
              <w:right w:val="single" w:sz="4" w:space="0" w:color="auto"/>
            </w:tcBorders>
            <w:shd w:val="clear" w:color="000000" w:fill="FFFFFF"/>
            <w:vAlign w:val="center"/>
          </w:tcPr>
          <w:p w:rsidR="004007D3" w:rsidRPr="00251542" w:rsidRDefault="004007D3" w:rsidP="001A5BF9">
            <w:pPr>
              <w:spacing w:before="120"/>
              <w:jc w:val="right"/>
              <w:rPr>
                <w:rFonts w:cs="Arial"/>
                <w:sz w:val="16"/>
                <w:szCs w:val="16"/>
              </w:rPr>
            </w:pPr>
            <w:r w:rsidRPr="00251542">
              <w:rPr>
                <w:sz w:val="16"/>
              </w:rPr>
              <w:t xml:space="preserve">60 </w:t>
            </w:r>
          </w:p>
        </w:tc>
      </w:tr>
      <w:tr w:rsidR="004007D3" w:rsidRPr="00251542" w:rsidTr="0056083E">
        <w:tc>
          <w:tcPr>
            <w:tcW w:w="537" w:type="dxa"/>
            <w:tcBorders>
              <w:top w:val="nil"/>
              <w:left w:val="single" w:sz="4" w:space="0" w:color="auto"/>
              <w:bottom w:val="nil"/>
              <w:right w:val="nil"/>
            </w:tcBorders>
            <w:shd w:val="clear" w:color="000000" w:fill="FFFFFF"/>
            <w:noWrap/>
          </w:tcPr>
          <w:p w:rsidR="004007D3" w:rsidRPr="00251542" w:rsidRDefault="004007D3" w:rsidP="001A5BF9">
            <w:pPr>
              <w:spacing w:before="120"/>
              <w:jc w:val="center"/>
              <w:rPr>
                <w:rFonts w:cs="Arial"/>
                <w:sz w:val="16"/>
                <w:szCs w:val="16"/>
              </w:rPr>
            </w:pPr>
            <w:proofErr w:type="spellStart"/>
            <w:r w:rsidRPr="00251542">
              <w:rPr>
                <w:sz w:val="16"/>
              </w:rPr>
              <w:t>IX.5</w:t>
            </w:r>
            <w:proofErr w:type="spellEnd"/>
          </w:p>
        </w:tc>
        <w:tc>
          <w:tcPr>
            <w:tcW w:w="4288" w:type="dxa"/>
            <w:tcBorders>
              <w:top w:val="nil"/>
              <w:left w:val="nil"/>
              <w:bottom w:val="nil"/>
              <w:right w:val="nil"/>
            </w:tcBorders>
            <w:shd w:val="clear" w:color="000000" w:fill="FFFFFF"/>
          </w:tcPr>
          <w:p w:rsidR="004007D3" w:rsidRPr="00251542" w:rsidRDefault="004007D3" w:rsidP="001A5BF9">
            <w:pPr>
              <w:spacing w:before="120"/>
              <w:rPr>
                <w:rFonts w:cs="Arial"/>
                <w:sz w:val="16"/>
                <w:szCs w:val="16"/>
              </w:rPr>
            </w:pPr>
            <w:r w:rsidRPr="00251542">
              <w:rPr>
                <w:sz w:val="16"/>
              </w:rPr>
              <w:t>Coûts relatifs au nouveau bâtiment administratif maintenus au minimum</w:t>
            </w:r>
          </w:p>
        </w:tc>
        <w:tc>
          <w:tcPr>
            <w:tcW w:w="1559" w:type="dxa"/>
            <w:tcBorders>
              <w:top w:val="nil"/>
              <w:left w:val="nil"/>
              <w:bottom w:val="nil"/>
              <w:right w:val="nil"/>
            </w:tcBorders>
            <w:shd w:val="clear" w:color="000000" w:fill="FFFFFF"/>
            <w:vAlign w:val="center"/>
          </w:tcPr>
          <w:p w:rsidR="004007D3" w:rsidRPr="00251542" w:rsidRDefault="004007D3" w:rsidP="001A5BF9">
            <w:pPr>
              <w:spacing w:before="120"/>
              <w:jc w:val="right"/>
              <w:rPr>
                <w:rFonts w:cs="Arial"/>
                <w:sz w:val="16"/>
                <w:szCs w:val="16"/>
              </w:rPr>
            </w:pPr>
            <w:r w:rsidRPr="00251542">
              <w:rPr>
                <w:sz w:val="16"/>
              </w:rPr>
              <w:t xml:space="preserve">7 020 </w:t>
            </w:r>
          </w:p>
        </w:tc>
        <w:tc>
          <w:tcPr>
            <w:tcW w:w="1559" w:type="dxa"/>
            <w:tcBorders>
              <w:top w:val="nil"/>
              <w:left w:val="nil"/>
              <w:bottom w:val="nil"/>
              <w:right w:val="nil"/>
            </w:tcBorders>
            <w:shd w:val="clear" w:color="000000" w:fill="FFFFFF"/>
            <w:vAlign w:val="center"/>
          </w:tcPr>
          <w:p w:rsidR="004007D3" w:rsidRPr="00251542" w:rsidRDefault="004007D3" w:rsidP="001A5BF9">
            <w:pPr>
              <w:spacing w:before="120"/>
              <w:jc w:val="right"/>
              <w:rPr>
                <w:rFonts w:cs="Arial"/>
                <w:sz w:val="16"/>
                <w:szCs w:val="16"/>
              </w:rPr>
            </w:pPr>
            <w:r w:rsidRPr="00251542">
              <w:rPr>
                <w:sz w:val="16"/>
              </w:rPr>
              <w:t xml:space="preserve">6 601 </w:t>
            </w:r>
          </w:p>
        </w:tc>
        <w:tc>
          <w:tcPr>
            <w:tcW w:w="1418" w:type="dxa"/>
            <w:tcBorders>
              <w:top w:val="nil"/>
              <w:left w:val="nil"/>
              <w:bottom w:val="nil"/>
              <w:right w:val="single" w:sz="4" w:space="0" w:color="auto"/>
            </w:tcBorders>
            <w:shd w:val="clear" w:color="000000" w:fill="FFFFFF"/>
            <w:vAlign w:val="center"/>
          </w:tcPr>
          <w:p w:rsidR="004007D3" w:rsidRPr="00251542" w:rsidRDefault="004007D3" w:rsidP="001A5BF9">
            <w:pPr>
              <w:spacing w:before="120"/>
              <w:jc w:val="right"/>
              <w:rPr>
                <w:rFonts w:cs="Arial"/>
                <w:sz w:val="16"/>
                <w:szCs w:val="16"/>
              </w:rPr>
            </w:pPr>
            <w:r w:rsidRPr="00251542">
              <w:rPr>
                <w:sz w:val="16"/>
              </w:rPr>
              <w:t xml:space="preserve">6 674 </w:t>
            </w:r>
          </w:p>
        </w:tc>
      </w:tr>
      <w:tr w:rsidR="004007D3" w:rsidRPr="00251542" w:rsidTr="0056083E">
        <w:tc>
          <w:tcPr>
            <w:tcW w:w="537" w:type="dxa"/>
            <w:tcBorders>
              <w:top w:val="nil"/>
              <w:left w:val="single" w:sz="4" w:space="0" w:color="auto"/>
              <w:bottom w:val="single" w:sz="4" w:space="0" w:color="auto"/>
              <w:right w:val="nil"/>
            </w:tcBorders>
            <w:shd w:val="clear" w:color="000000" w:fill="FFFFFF"/>
            <w:noWrap/>
          </w:tcPr>
          <w:p w:rsidR="004007D3" w:rsidRPr="00251542" w:rsidRDefault="004007D3" w:rsidP="001A5BF9">
            <w:pPr>
              <w:spacing w:before="120" w:after="120"/>
              <w:jc w:val="center"/>
              <w:rPr>
                <w:rFonts w:cs="Arial"/>
                <w:sz w:val="16"/>
                <w:szCs w:val="16"/>
              </w:rPr>
            </w:pPr>
            <w:proofErr w:type="spellStart"/>
            <w:r w:rsidRPr="00251542">
              <w:rPr>
                <w:sz w:val="16"/>
              </w:rPr>
              <w:t>IX.6</w:t>
            </w:r>
            <w:proofErr w:type="spellEnd"/>
          </w:p>
        </w:tc>
        <w:tc>
          <w:tcPr>
            <w:tcW w:w="4288" w:type="dxa"/>
            <w:tcBorders>
              <w:top w:val="nil"/>
              <w:left w:val="nil"/>
              <w:bottom w:val="single" w:sz="4" w:space="0" w:color="auto"/>
              <w:right w:val="nil"/>
            </w:tcBorders>
            <w:shd w:val="clear" w:color="000000" w:fill="FFFFFF"/>
          </w:tcPr>
          <w:p w:rsidR="004007D3" w:rsidRPr="00251542" w:rsidRDefault="004007D3" w:rsidP="001A5BF9">
            <w:pPr>
              <w:spacing w:before="120" w:after="120"/>
              <w:rPr>
                <w:rFonts w:cs="Arial"/>
                <w:sz w:val="16"/>
                <w:szCs w:val="16"/>
              </w:rPr>
            </w:pPr>
            <w:r w:rsidRPr="00251542">
              <w:rPr>
                <w:sz w:val="16"/>
              </w:rPr>
              <w:t>Nouvelle salle de conférence et installations connexes pour les réunions des États membres</w:t>
            </w:r>
          </w:p>
        </w:tc>
        <w:tc>
          <w:tcPr>
            <w:tcW w:w="1559" w:type="dxa"/>
            <w:tcBorders>
              <w:top w:val="nil"/>
              <w:left w:val="nil"/>
              <w:bottom w:val="single" w:sz="4" w:space="0" w:color="auto"/>
              <w:right w:val="nil"/>
            </w:tcBorders>
            <w:shd w:val="clear" w:color="000000" w:fill="FFFFFF"/>
            <w:vAlign w:val="center"/>
          </w:tcPr>
          <w:p w:rsidR="004007D3" w:rsidRPr="00251542" w:rsidRDefault="004007D3" w:rsidP="001A5BF9">
            <w:pPr>
              <w:spacing w:before="120" w:after="120"/>
              <w:jc w:val="right"/>
              <w:rPr>
                <w:rFonts w:cs="Arial"/>
                <w:sz w:val="16"/>
                <w:szCs w:val="16"/>
              </w:rPr>
            </w:pPr>
            <w:r w:rsidRPr="00251542">
              <w:rPr>
                <w:sz w:val="16"/>
              </w:rPr>
              <w:t xml:space="preserve"> 608 </w:t>
            </w:r>
          </w:p>
        </w:tc>
        <w:tc>
          <w:tcPr>
            <w:tcW w:w="1559" w:type="dxa"/>
            <w:tcBorders>
              <w:top w:val="nil"/>
              <w:left w:val="nil"/>
              <w:bottom w:val="single" w:sz="4" w:space="0" w:color="auto"/>
              <w:right w:val="nil"/>
            </w:tcBorders>
            <w:shd w:val="clear" w:color="000000" w:fill="FFFFFF"/>
            <w:vAlign w:val="center"/>
          </w:tcPr>
          <w:p w:rsidR="004007D3" w:rsidRPr="00251542" w:rsidRDefault="004007D3" w:rsidP="001A5BF9">
            <w:pPr>
              <w:spacing w:before="120" w:after="120"/>
              <w:jc w:val="right"/>
              <w:rPr>
                <w:rFonts w:cs="Arial"/>
                <w:sz w:val="16"/>
                <w:szCs w:val="16"/>
              </w:rPr>
            </w:pPr>
            <w:r w:rsidRPr="00251542">
              <w:rPr>
                <w:sz w:val="16"/>
              </w:rPr>
              <w:t xml:space="preserve">587 </w:t>
            </w:r>
          </w:p>
        </w:tc>
        <w:tc>
          <w:tcPr>
            <w:tcW w:w="1418" w:type="dxa"/>
            <w:tcBorders>
              <w:top w:val="nil"/>
              <w:left w:val="nil"/>
              <w:bottom w:val="single" w:sz="4" w:space="0" w:color="auto"/>
              <w:right w:val="single" w:sz="4" w:space="0" w:color="auto"/>
            </w:tcBorders>
            <w:shd w:val="clear" w:color="000000" w:fill="FFFFFF"/>
            <w:vAlign w:val="center"/>
          </w:tcPr>
          <w:p w:rsidR="004007D3" w:rsidRPr="00251542" w:rsidRDefault="004007D3" w:rsidP="001A5BF9">
            <w:pPr>
              <w:spacing w:before="120" w:after="120"/>
              <w:jc w:val="right"/>
              <w:rPr>
                <w:rFonts w:cs="Arial"/>
                <w:sz w:val="16"/>
                <w:szCs w:val="16"/>
              </w:rPr>
            </w:pPr>
            <w:r w:rsidRPr="00251542">
              <w:rPr>
                <w:sz w:val="16"/>
              </w:rPr>
              <w:t xml:space="preserve">350 </w:t>
            </w:r>
          </w:p>
        </w:tc>
      </w:tr>
      <w:tr w:rsidR="004007D3" w:rsidRPr="00251542" w:rsidTr="0056083E">
        <w:tc>
          <w:tcPr>
            <w:tcW w:w="537" w:type="dxa"/>
            <w:tcBorders>
              <w:top w:val="nil"/>
              <w:left w:val="single" w:sz="4" w:space="0" w:color="auto"/>
              <w:bottom w:val="single" w:sz="4" w:space="0" w:color="auto"/>
              <w:right w:val="nil"/>
            </w:tcBorders>
            <w:shd w:val="clear" w:color="000000" w:fill="CCFFFF"/>
            <w:noWrap/>
            <w:vAlign w:val="bottom"/>
          </w:tcPr>
          <w:p w:rsidR="004007D3" w:rsidRPr="00251542" w:rsidRDefault="004007D3" w:rsidP="001A5BF9">
            <w:pPr>
              <w:spacing w:before="120" w:after="120"/>
              <w:jc w:val="center"/>
              <w:rPr>
                <w:rFonts w:cs="Arial"/>
                <w:b/>
                <w:bCs/>
                <w:sz w:val="16"/>
                <w:szCs w:val="16"/>
              </w:rPr>
            </w:pPr>
            <w:r w:rsidRPr="00251542">
              <w:rPr>
                <w:b/>
                <w:sz w:val="16"/>
              </w:rPr>
              <w:t> </w:t>
            </w:r>
          </w:p>
        </w:tc>
        <w:tc>
          <w:tcPr>
            <w:tcW w:w="4288" w:type="dxa"/>
            <w:tcBorders>
              <w:top w:val="nil"/>
              <w:left w:val="nil"/>
              <w:bottom w:val="single" w:sz="4" w:space="0" w:color="auto"/>
              <w:right w:val="nil"/>
            </w:tcBorders>
            <w:shd w:val="clear" w:color="000000" w:fill="CCFFFF"/>
            <w:noWrap/>
            <w:vAlign w:val="center"/>
          </w:tcPr>
          <w:p w:rsidR="004007D3" w:rsidRPr="00251542" w:rsidRDefault="004007D3" w:rsidP="001A5BF9">
            <w:pPr>
              <w:spacing w:before="120" w:after="120"/>
              <w:rPr>
                <w:rFonts w:cs="Arial"/>
                <w:b/>
                <w:bCs/>
                <w:sz w:val="16"/>
                <w:szCs w:val="16"/>
              </w:rPr>
            </w:pPr>
            <w:r w:rsidRPr="00251542">
              <w:rPr>
                <w:b/>
                <w:sz w:val="16"/>
              </w:rPr>
              <w:t>Total</w:t>
            </w:r>
          </w:p>
        </w:tc>
        <w:tc>
          <w:tcPr>
            <w:tcW w:w="1559" w:type="dxa"/>
            <w:tcBorders>
              <w:top w:val="nil"/>
              <w:left w:val="single" w:sz="4" w:space="0" w:color="auto"/>
              <w:bottom w:val="single" w:sz="4" w:space="0" w:color="auto"/>
              <w:right w:val="single" w:sz="4" w:space="0" w:color="auto"/>
            </w:tcBorders>
            <w:shd w:val="clear" w:color="000000" w:fill="CCFFFF"/>
            <w:vAlign w:val="center"/>
          </w:tcPr>
          <w:p w:rsidR="004007D3" w:rsidRPr="00251542" w:rsidRDefault="004007D3" w:rsidP="001A5BF9">
            <w:pPr>
              <w:spacing w:before="120" w:after="120"/>
              <w:jc w:val="right"/>
              <w:rPr>
                <w:rFonts w:cs="Arial"/>
                <w:b/>
                <w:bCs/>
                <w:sz w:val="16"/>
                <w:szCs w:val="16"/>
              </w:rPr>
            </w:pPr>
            <w:r w:rsidRPr="00251542">
              <w:rPr>
                <w:b/>
                <w:sz w:val="16"/>
              </w:rPr>
              <w:t>7 675</w:t>
            </w:r>
          </w:p>
        </w:tc>
        <w:tc>
          <w:tcPr>
            <w:tcW w:w="1559" w:type="dxa"/>
            <w:tcBorders>
              <w:top w:val="nil"/>
              <w:left w:val="nil"/>
              <w:bottom w:val="single" w:sz="4" w:space="0" w:color="auto"/>
              <w:right w:val="single" w:sz="4" w:space="0" w:color="auto"/>
            </w:tcBorders>
            <w:shd w:val="clear" w:color="000000" w:fill="CCFFFF"/>
            <w:noWrap/>
            <w:vAlign w:val="center"/>
          </w:tcPr>
          <w:p w:rsidR="004007D3" w:rsidRPr="00251542" w:rsidRDefault="004007D3" w:rsidP="001A5BF9">
            <w:pPr>
              <w:spacing w:before="120" w:after="120"/>
              <w:jc w:val="right"/>
              <w:rPr>
                <w:rFonts w:cs="Arial"/>
                <w:b/>
                <w:bCs/>
                <w:sz w:val="16"/>
                <w:szCs w:val="16"/>
              </w:rPr>
            </w:pPr>
            <w:r w:rsidRPr="00251542">
              <w:rPr>
                <w:b/>
                <w:sz w:val="16"/>
              </w:rPr>
              <w:t>7 237</w:t>
            </w:r>
          </w:p>
        </w:tc>
        <w:tc>
          <w:tcPr>
            <w:tcW w:w="1418" w:type="dxa"/>
            <w:tcBorders>
              <w:top w:val="nil"/>
              <w:left w:val="nil"/>
              <w:bottom w:val="single" w:sz="4" w:space="0" w:color="auto"/>
              <w:right w:val="single" w:sz="4" w:space="0" w:color="auto"/>
            </w:tcBorders>
            <w:shd w:val="clear" w:color="000000" w:fill="CCFFFF"/>
            <w:vAlign w:val="center"/>
          </w:tcPr>
          <w:p w:rsidR="004007D3" w:rsidRPr="00251542" w:rsidRDefault="004007D3" w:rsidP="001A5BF9">
            <w:pPr>
              <w:spacing w:before="120" w:after="120"/>
              <w:jc w:val="right"/>
              <w:rPr>
                <w:rFonts w:cs="Arial"/>
                <w:b/>
                <w:bCs/>
                <w:sz w:val="16"/>
                <w:szCs w:val="16"/>
              </w:rPr>
            </w:pPr>
            <w:r w:rsidRPr="00251542">
              <w:rPr>
                <w:b/>
                <w:sz w:val="16"/>
              </w:rPr>
              <w:t>7 084</w:t>
            </w:r>
          </w:p>
        </w:tc>
      </w:tr>
    </w:tbl>
    <w:p w:rsidR="00D42474" w:rsidRDefault="00D42474" w:rsidP="001A5BF9">
      <w:pPr>
        <w:spacing w:after="200" w:line="276" w:lineRule="auto"/>
        <w:rPr>
          <w:rFonts w:ascii="Calibri" w:eastAsia="Calibri" w:hAnsi="Calibri"/>
          <w:szCs w:val="22"/>
        </w:rPr>
      </w:pPr>
    </w:p>
    <w:p w:rsidR="00D42474" w:rsidRDefault="00D42474" w:rsidP="001A5BF9">
      <w:pPr>
        <w:jc w:val="center"/>
        <w:rPr>
          <w:rFonts w:cs="Arial"/>
          <w:color w:val="000000"/>
          <w:szCs w:val="22"/>
        </w:rPr>
      </w:pPr>
    </w:p>
    <w:p w:rsidR="00D42474" w:rsidRDefault="0098611A">
      <w:pPr>
        <w:rPr>
          <w:color w:val="000000"/>
        </w:rPr>
      </w:pPr>
      <w:r>
        <w:rPr>
          <w:color w:val="000000"/>
        </w:rPr>
        <w:br w:type="page"/>
      </w:r>
    </w:p>
    <w:p w:rsidR="00D42474" w:rsidRDefault="004007D3" w:rsidP="001A5BF9">
      <w:pPr>
        <w:jc w:val="center"/>
        <w:rPr>
          <w:color w:val="000000"/>
        </w:rPr>
      </w:pPr>
      <w:r w:rsidRPr="005C7CCE">
        <w:rPr>
          <w:color w:val="000000"/>
        </w:rPr>
        <w:t xml:space="preserve">Budget et dépenses effectives (dépenses de </w:t>
      </w:r>
      <w:proofErr w:type="gramStart"/>
      <w:r w:rsidRPr="005C7CCE">
        <w:rPr>
          <w:color w:val="000000"/>
        </w:rPr>
        <w:t>personnel et autres dépenses</w:t>
      </w:r>
      <w:proofErr w:type="gramEnd"/>
      <w:r w:rsidRPr="005C7CCE">
        <w:rPr>
          <w:color w:val="000000"/>
        </w:rPr>
        <w:t>)</w:t>
      </w:r>
    </w:p>
    <w:p w:rsidR="00D42474" w:rsidRDefault="004007D3" w:rsidP="001A5BF9">
      <w:pPr>
        <w:jc w:val="center"/>
        <w:rPr>
          <w:rFonts w:cs="Arial"/>
          <w:i/>
          <w:iCs/>
          <w:szCs w:val="20"/>
        </w:rPr>
      </w:pPr>
      <w:r w:rsidRPr="00251542">
        <w:rPr>
          <w:i/>
        </w:rPr>
        <w:t>(</w:t>
      </w:r>
      <w:proofErr w:type="gramStart"/>
      <w:r w:rsidRPr="00251542">
        <w:rPr>
          <w:i/>
        </w:rPr>
        <w:t>en</w:t>
      </w:r>
      <w:proofErr w:type="gramEnd"/>
      <w:r w:rsidRPr="00251542">
        <w:rPr>
          <w:i/>
        </w:rPr>
        <w:t xml:space="preserve"> milliers de francs suisses)</w:t>
      </w:r>
    </w:p>
    <w:p w:rsidR="004007D3" w:rsidRPr="00251542" w:rsidRDefault="004007D3" w:rsidP="001A5BF9">
      <w:pPr>
        <w:jc w:val="center"/>
      </w:pPr>
    </w:p>
    <w:tbl>
      <w:tblPr>
        <w:tblW w:w="0" w:type="auto"/>
        <w:tblInd w:w="93" w:type="dxa"/>
        <w:tblLook w:val="04A0" w:firstRow="1" w:lastRow="0" w:firstColumn="1" w:lastColumn="0" w:noHBand="0" w:noVBand="1"/>
      </w:tblPr>
      <w:tblGrid>
        <w:gridCol w:w="2709"/>
        <w:gridCol w:w="1692"/>
        <w:gridCol w:w="1692"/>
        <w:gridCol w:w="1692"/>
        <w:gridCol w:w="1586"/>
      </w:tblGrid>
      <w:tr w:rsidR="004007D3" w:rsidRPr="00251542" w:rsidTr="0056083E">
        <w:tc>
          <w:tcPr>
            <w:tcW w:w="2709" w:type="dxa"/>
            <w:tcBorders>
              <w:top w:val="single" w:sz="4" w:space="0" w:color="auto"/>
              <w:left w:val="single" w:sz="4" w:space="0" w:color="auto"/>
              <w:bottom w:val="single" w:sz="4" w:space="0" w:color="auto"/>
              <w:right w:val="single" w:sz="4" w:space="0" w:color="auto"/>
            </w:tcBorders>
            <w:shd w:val="clear" w:color="000000" w:fill="CCFFFF"/>
            <w:noWrap/>
            <w:vAlign w:val="center"/>
          </w:tcPr>
          <w:p w:rsidR="004007D3" w:rsidRPr="00251542" w:rsidRDefault="004007D3" w:rsidP="001A5BF9">
            <w:pPr>
              <w:spacing w:before="120" w:after="120"/>
              <w:rPr>
                <w:rFonts w:cs="Arial"/>
                <w:sz w:val="16"/>
                <w:szCs w:val="16"/>
              </w:rPr>
            </w:pPr>
            <w:r w:rsidRPr="00251542">
              <w:rPr>
                <w:sz w:val="16"/>
              </w:rPr>
              <w:t> </w:t>
            </w:r>
          </w:p>
        </w:tc>
        <w:tc>
          <w:tcPr>
            <w:tcW w:w="1692" w:type="dxa"/>
            <w:tcBorders>
              <w:top w:val="single" w:sz="4" w:space="0" w:color="auto"/>
              <w:left w:val="nil"/>
              <w:bottom w:val="nil"/>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w:t>
            </w:r>
            <w:r w:rsidR="002D6F2A" w:rsidRPr="00251542">
              <w:rPr>
                <w:sz w:val="16"/>
              </w:rPr>
              <w:noBreakHyphen/>
            </w:r>
            <w:r w:rsidRPr="00251542">
              <w:rPr>
                <w:sz w:val="16"/>
              </w:rPr>
              <w:t>2013</w:t>
            </w:r>
            <w:r w:rsidRPr="00251542">
              <w:br/>
            </w:r>
            <w:r w:rsidRPr="00251542">
              <w:rPr>
                <w:sz w:val="16"/>
              </w:rPr>
              <w:t>approuvé</w:t>
            </w:r>
          </w:p>
        </w:tc>
        <w:tc>
          <w:tcPr>
            <w:tcW w:w="1692" w:type="dxa"/>
            <w:tcBorders>
              <w:top w:val="single" w:sz="4" w:space="0" w:color="auto"/>
              <w:left w:val="nil"/>
              <w:bottom w:val="nil"/>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Budget</w:t>
            </w:r>
            <w:r w:rsidRPr="00251542">
              <w:br/>
            </w:r>
            <w:r w:rsidRPr="00251542">
              <w:rPr>
                <w:sz w:val="16"/>
              </w:rPr>
              <w:t>2012</w:t>
            </w:r>
            <w:r w:rsidR="002D6F2A" w:rsidRPr="00251542">
              <w:rPr>
                <w:sz w:val="16"/>
              </w:rPr>
              <w:noBreakHyphen/>
            </w:r>
            <w:r w:rsidRPr="00251542">
              <w:rPr>
                <w:sz w:val="16"/>
              </w:rPr>
              <w:t>2013</w:t>
            </w:r>
            <w:r w:rsidRPr="00251542">
              <w:br/>
            </w:r>
            <w:r w:rsidRPr="00251542">
              <w:rPr>
                <w:sz w:val="16"/>
              </w:rPr>
              <w:t>après virements</w:t>
            </w:r>
          </w:p>
        </w:tc>
        <w:tc>
          <w:tcPr>
            <w:tcW w:w="1692" w:type="dxa"/>
            <w:tcBorders>
              <w:top w:val="single" w:sz="4" w:space="0" w:color="auto"/>
              <w:left w:val="nil"/>
              <w:bottom w:val="nil"/>
              <w:right w:val="single" w:sz="4" w:space="0" w:color="auto"/>
            </w:tcBorders>
            <w:shd w:val="clear" w:color="000000" w:fill="CCFFFF"/>
            <w:vAlign w:val="center"/>
          </w:tcPr>
          <w:p w:rsidR="004007D3" w:rsidRPr="00251542" w:rsidRDefault="004007D3" w:rsidP="001A5BF9">
            <w:pPr>
              <w:spacing w:before="120" w:after="120"/>
              <w:jc w:val="center"/>
              <w:rPr>
                <w:rFonts w:cs="Arial"/>
                <w:bCs/>
                <w:sz w:val="16"/>
                <w:szCs w:val="16"/>
              </w:rPr>
            </w:pPr>
            <w:r w:rsidRPr="00251542">
              <w:rPr>
                <w:sz w:val="16"/>
              </w:rPr>
              <w:t>Dépenses</w:t>
            </w:r>
            <w:r w:rsidRPr="00251542">
              <w:br/>
            </w:r>
            <w:r w:rsidRPr="00251542">
              <w:rPr>
                <w:sz w:val="16"/>
              </w:rPr>
              <w:t>2012</w:t>
            </w:r>
            <w:r w:rsidR="002D6F2A" w:rsidRPr="00251542">
              <w:rPr>
                <w:sz w:val="16"/>
              </w:rPr>
              <w:noBreakHyphen/>
            </w:r>
            <w:r w:rsidRPr="00251542">
              <w:rPr>
                <w:sz w:val="16"/>
              </w:rPr>
              <w:t>2013</w:t>
            </w:r>
          </w:p>
        </w:tc>
        <w:tc>
          <w:tcPr>
            <w:tcW w:w="1586" w:type="dxa"/>
            <w:tcBorders>
              <w:top w:val="single" w:sz="4" w:space="0" w:color="auto"/>
              <w:left w:val="nil"/>
              <w:bottom w:val="nil"/>
              <w:right w:val="single" w:sz="4" w:space="0" w:color="auto"/>
            </w:tcBorders>
            <w:shd w:val="clear" w:color="000000" w:fill="CCFFFF"/>
            <w:vAlign w:val="center"/>
          </w:tcPr>
          <w:p w:rsidR="004007D3" w:rsidRPr="00251542" w:rsidRDefault="001F5113" w:rsidP="001A5BF9">
            <w:pPr>
              <w:spacing w:before="120" w:after="120"/>
              <w:jc w:val="center"/>
              <w:rPr>
                <w:rFonts w:cs="Arial"/>
                <w:bCs/>
                <w:sz w:val="16"/>
                <w:szCs w:val="16"/>
              </w:rPr>
            </w:pPr>
            <w:r w:rsidRPr="00251542">
              <w:rPr>
                <w:sz w:val="16"/>
              </w:rPr>
              <w:t>Taux d</w:t>
            </w:r>
            <w:r w:rsidR="00A20444" w:rsidRPr="00251542">
              <w:rPr>
                <w:sz w:val="16"/>
              </w:rPr>
              <w:t>’</w:t>
            </w:r>
            <w:r w:rsidRPr="00251542">
              <w:rPr>
                <w:sz w:val="16"/>
              </w:rPr>
              <w:t>utilisation</w:t>
            </w:r>
            <w:r w:rsidRPr="00251542">
              <w:rPr>
                <w:sz w:val="16"/>
              </w:rPr>
              <w:br/>
            </w:r>
            <w:r w:rsidR="00BD43F2" w:rsidRPr="00251542">
              <w:rPr>
                <w:sz w:val="16"/>
              </w:rPr>
              <w:t>(%)</w:t>
            </w:r>
          </w:p>
        </w:tc>
      </w:tr>
      <w:tr w:rsidR="004007D3" w:rsidRPr="00251542" w:rsidTr="0056083E">
        <w:tc>
          <w:tcPr>
            <w:tcW w:w="2709" w:type="dxa"/>
            <w:tcBorders>
              <w:top w:val="nil"/>
              <w:left w:val="single" w:sz="4" w:space="0" w:color="auto"/>
              <w:bottom w:val="single" w:sz="4" w:space="0" w:color="auto"/>
              <w:right w:val="single" w:sz="4" w:space="0" w:color="auto"/>
            </w:tcBorders>
            <w:shd w:val="clear" w:color="auto" w:fill="auto"/>
            <w:noWrap/>
            <w:vAlign w:val="center"/>
          </w:tcPr>
          <w:p w:rsidR="004007D3" w:rsidRPr="00251542" w:rsidRDefault="004007D3" w:rsidP="001A5BF9">
            <w:pPr>
              <w:spacing w:before="120" w:after="120"/>
              <w:rPr>
                <w:rFonts w:cs="Arial"/>
                <w:sz w:val="16"/>
                <w:szCs w:val="16"/>
              </w:rPr>
            </w:pPr>
            <w:r w:rsidRPr="00251542">
              <w:rPr>
                <w:sz w:val="16"/>
              </w:rPr>
              <w:t>Dépenses de personnel</w:t>
            </w:r>
            <w:r w:rsidR="004F3E42" w:rsidRPr="00251542">
              <w:rPr>
                <w:sz w:val="16"/>
              </w:rPr>
              <w:t xml:space="preserve"> </w:t>
            </w:r>
          </w:p>
        </w:tc>
        <w:tc>
          <w:tcPr>
            <w:tcW w:w="1692"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345</w:t>
            </w:r>
          </w:p>
        </w:tc>
        <w:tc>
          <w:tcPr>
            <w:tcW w:w="1692"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367</w:t>
            </w:r>
          </w:p>
        </w:tc>
        <w:tc>
          <w:tcPr>
            <w:tcW w:w="1692"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367</w:t>
            </w:r>
          </w:p>
        </w:tc>
        <w:tc>
          <w:tcPr>
            <w:tcW w:w="1586" w:type="dxa"/>
            <w:tcBorders>
              <w:top w:val="single" w:sz="4" w:space="0" w:color="auto"/>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100</w:t>
            </w:r>
            <w:r w:rsidR="007E442D" w:rsidRPr="00251542">
              <w:rPr>
                <w:sz w:val="16"/>
              </w:rPr>
              <w:t>%</w:t>
            </w:r>
          </w:p>
        </w:tc>
      </w:tr>
      <w:tr w:rsidR="004007D3" w:rsidRPr="00251542" w:rsidTr="0056083E">
        <w:tc>
          <w:tcPr>
            <w:tcW w:w="2709" w:type="dxa"/>
            <w:tcBorders>
              <w:top w:val="nil"/>
              <w:left w:val="single" w:sz="4" w:space="0" w:color="auto"/>
              <w:bottom w:val="single" w:sz="4" w:space="0" w:color="auto"/>
              <w:right w:val="single" w:sz="4" w:space="0" w:color="auto"/>
            </w:tcBorders>
            <w:shd w:val="clear" w:color="auto" w:fill="auto"/>
            <w:noWrap/>
            <w:vAlign w:val="center"/>
          </w:tcPr>
          <w:p w:rsidR="004007D3" w:rsidRPr="00251542" w:rsidRDefault="004007D3" w:rsidP="001A5BF9">
            <w:pPr>
              <w:spacing w:before="120" w:after="120"/>
              <w:rPr>
                <w:rFonts w:cs="Arial"/>
                <w:sz w:val="16"/>
                <w:szCs w:val="16"/>
              </w:rPr>
            </w:pPr>
            <w:r w:rsidRPr="00251542">
              <w:rPr>
                <w:sz w:val="16"/>
              </w:rPr>
              <w:t xml:space="preserve">Autres dépenses </w:t>
            </w:r>
          </w:p>
        </w:tc>
        <w:tc>
          <w:tcPr>
            <w:tcW w:w="1692"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7 330</w:t>
            </w:r>
          </w:p>
        </w:tc>
        <w:tc>
          <w:tcPr>
            <w:tcW w:w="1692"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6 870</w:t>
            </w:r>
          </w:p>
        </w:tc>
        <w:tc>
          <w:tcPr>
            <w:tcW w:w="1692"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6 717</w:t>
            </w:r>
          </w:p>
        </w:tc>
        <w:tc>
          <w:tcPr>
            <w:tcW w:w="1586"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sz w:val="16"/>
                <w:szCs w:val="16"/>
              </w:rPr>
            </w:pPr>
            <w:r w:rsidRPr="00251542">
              <w:rPr>
                <w:sz w:val="16"/>
              </w:rPr>
              <w:t>98</w:t>
            </w:r>
            <w:r w:rsidR="007E442D" w:rsidRPr="00251542">
              <w:rPr>
                <w:sz w:val="16"/>
              </w:rPr>
              <w:t>%</w:t>
            </w:r>
          </w:p>
        </w:tc>
      </w:tr>
      <w:tr w:rsidR="004007D3" w:rsidRPr="00251542" w:rsidTr="0056083E">
        <w:tc>
          <w:tcPr>
            <w:tcW w:w="2709" w:type="dxa"/>
            <w:tcBorders>
              <w:top w:val="nil"/>
              <w:left w:val="single" w:sz="4" w:space="0" w:color="auto"/>
              <w:bottom w:val="single" w:sz="4" w:space="0" w:color="auto"/>
              <w:right w:val="single" w:sz="4" w:space="0" w:color="auto"/>
            </w:tcBorders>
            <w:shd w:val="clear" w:color="auto" w:fill="auto"/>
            <w:noWrap/>
            <w:vAlign w:val="center"/>
          </w:tcPr>
          <w:p w:rsidR="004007D3" w:rsidRPr="00251542" w:rsidRDefault="004007D3" w:rsidP="001A5BF9">
            <w:pPr>
              <w:spacing w:before="120" w:after="120"/>
              <w:jc w:val="right"/>
              <w:rPr>
                <w:rFonts w:cs="Arial"/>
                <w:b/>
                <w:bCs/>
                <w:sz w:val="16"/>
                <w:szCs w:val="16"/>
              </w:rPr>
            </w:pPr>
            <w:r w:rsidRPr="00251542">
              <w:rPr>
                <w:b/>
                <w:sz w:val="16"/>
              </w:rPr>
              <w:t xml:space="preserve"> TOTAL </w:t>
            </w:r>
          </w:p>
        </w:tc>
        <w:tc>
          <w:tcPr>
            <w:tcW w:w="1692"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bCs/>
                <w:sz w:val="16"/>
                <w:szCs w:val="16"/>
              </w:rPr>
            </w:pPr>
            <w:r w:rsidRPr="00251542">
              <w:rPr>
                <w:b/>
                <w:sz w:val="16"/>
              </w:rPr>
              <w:t>7 675</w:t>
            </w:r>
          </w:p>
        </w:tc>
        <w:tc>
          <w:tcPr>
            <w:tcW w:w="1692"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bCs/>
                <w:sz w:val="16"/>
                <w:szCs w:val="16"/>
              </w:rPr>
            </w:pPr>
            <w:r w:rsidRPr="00251542">
              <w:rPr>
                <w:b/>
                <w:sz w:val="16"/>
              </w:rPr>
              <w:t>7 237</w:t>
            </w:r>
          </w:p>
        </w:tc>
        <w:tc>
          <w:tcPr>
            <w:tcW w:w="1692"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bCs/>
                <w:sz w:val="16"/>
                <w:szCs w:val="16"/>
              </w:rPr>
            </w:pPr>
            <w:r w:rsidRPr="00251542">
              <w:rPr>
                <w:b/>
                <w:sz w:val="16"/>
              </w:rPr>
              <w:t>7 084</w:t>
            </w:r>
          </w:p>
        </w:tc>
        <w:tc>
          <w:tcPr>
            <w:tcW w:w="1586" w:type="dxa"/>
            <w:tcBorders>
              <w:top w:val="nil"/>
              <w:left w:val="nil"/>
              <w:bottom w:val="single" w:sz="4" w:space="0" w:color="auto"/>
              <w:right w:val="single" w:sz="4" w:space="0" w:color="auto"/>
            </w:tcBorders>
            <w:shd w:val="clear" w:color="auto" w:fill="auto"/>
            <w:vAlign w:val="center"/>
          </w:tcPr>
          <w:p w:rsidR="004007D3" w:rsidRPr="00251542" w:rsidRDefault="004007D3" w:rsidP="001A5BF9">
            <w:pPr>
              <w:spacing w:before="120" w:after="120"/>
              <w:jc w:val="center"/>
              <w:rPr>
                <w:rFonts w:cs="Arial"/>
                <w:b/>
                <w:bCs/>
                <w:sz w:val="16"/>
                <w:szCs w:val="16"/>
              </w:rPr>
            </w:pPr>
            <w:r w:rsidRPr="00251542">
              <w:rPr>
                <w:b/>
                <w:sz w:val="16"/>
              </w:rPr>
              <w:t>98</w:t>
            </w:r>
            <w:r w:rsidR="007E442D" w:rsidRPr="00251542">
              <w:rPr>
                <w:b/>
                <w:sz w:val="16"/>
              </w:rPr>
              <w:t>%</w:t>
            </w:r>
          </w:p>
        </w:tc>
      </w:tr>
    </w:tbl>
    <w:p w:rsidR="00D42474" w:rsidRDefault="00D42474" w:rsidP="001A5BF9">
      <w:pPr>
        <w:rPr>
          <w:rFonts w:ascii="Calibri" w:eastAsia="Calibri" w:hAnsi="Calibri"/>
          <w:szCs w:val="22"/>
        </w:rPr>
      </w:pPr>
    </w:p>
    <w:p w:rsidR="00D42474" w:rsidRDefault="004007D3" w:rsidP="001A5BF9">
      <w:pPr>
        <w:keepNext/>
        <w:autoSpaceDE w:val="0"/>
        <w:autoSpaceDN w:val="0"/>
        <w:rPr>
          <w:sz w:val="16"/>
          <w:szCs w:val="16"/>
        </w:rPr>
      </w:pPr>
      <w:proofErr w:type="gramStart"/>
      <w:r w:rsidRPr="00251542">
        <w:rPr>
          <w:sz w:val="16"/>
        </w:rPr>
        <w:t>NOTES</w:t>
      </w:r>
      <w:proofErr w:type="gramEnd"/>
      <w:r w:rsidR="0010442A" w:rsidRPr="00251542">
        <w:rPr>
          <w:sz w:val="16"/>
        </w:rPr>
        <w:t> </w:t>
      </w:r>
      <w:r w:rsidRPr="00251542">
        <w:rPr>
          <w:sz w:val="16"/>
        </w:rPr>
        <w:t>:</w:t>
      </w:r>
    </w:p>
    <w:p w:rsidR="00D42474" w:rsidRDefault="00D42474" w:rsidP="001A5BF9">
      <w:pPr>
        <w:keepNext/>
        <w:autoSpaceDE w:val="0"/>
        <w:autoSpaceDN w:val="0"/>
        <w:rPr>
          <w:sz w:val="16"/>
          <w:szCs w:val="16"/>
        </w:rPr>
      </w:pPr>
    </w:p>
    <w:p w:rsidR="00D42474" w:rsidRDefault="004007D3" w:rsidP="001A5BF9">
      <w:pPr>
        <w:keepNext/>
        <w:autoSpaceDE w:val="0"/>
        <w:autoSpaceDN w:val="0"/>
        <w:rPr>
          <w:sz w:val="16"/>
          <w:szCs w:val="16"/>
        </w:rPr>
      </w:pPr>
      <w:r w:rsidRPr="00251542">
        <w:rPr>
          <w:sz w:val="16"/>
        </w:rPr>
        <w:t>1)</w:t>
      </w:r>
      <w:r w:rsidR="004F3E42" w:rsidRPr="00251542">
        <w:rPr>
          <w:sz w:val="16"/>
        </w:rPr>
        <w:t xml:space="preserve"> </w:t>
      </w:r>
      <w:r w:rsidR="0098611A">
        <w:rPr>
          <w:sz w:val="16"/>
        </w:rPr>
        <w:tab/>
      </w:r>
      <w:r w:rsidRPr="00251542">
        <w:rPr>
          <w:sz w:val="16"/>
        </w:rPr>
        <w:t>Le budget restructuré après virements tient compte du budget ajusté des programmes après les virements réalisés au cours de l</w:t>
      </w:r>
      <w:r w:rsidR="00A20444" w:rsidRPr="00251542">
        <w:rPr>
          <w:sz w:val="16"/>
        </w:rPr>
        <w:t>’</w:t>
      </w:r>
      <w:r w:rsidRPr="00251542">
        <w:rPr>
          <w:sz w:val="16"/>
        </w:rPr>
        <w:t>exercice 2012</w:t>
      </w:r>
      <w:r w:rsidR="002D6F2A" w:rsidRPr="00251542">
        <w:rPr>
          <w:sz w:val="16"/>
        </w:rPr>
        <w:noBreakHyphen/>
      </w:r>
      <w:r w:rsidRPr="00251542">
        <w:rPr>
          <w:sz w:val="16"/>
        </w:rPr>
        <w:t xml:space="preserve">2013, conformément à </w:t>
      </w:r>
      <w:r w:rsidR="00E15133" w:rsidRPr="00251542">
        <w:rPr>
          <w:sz w:val="16"/>
        </w:rPr>
        <w:t>l</w:t>
      </w:r>
      <w:r w:rsidR="00A20444" w:rsidRPr="00251542">
        <w:rPr>
          <w:sz w:val="16"/>
        </w:rPr>
        <w:t>’</w:t>
      </w:r>
      <w:r w:rsidR="00E15133" w:rsidRPr="00251542">
        <w:rPr>
          <w:sz w:val="16"/>
        </w:rPr>
        <w:t>article 5.5</w:t>
      </w:r>
      <w:r w:rsidRPr="00251542">
        <w:rPr>
          <w:sz w:val="16"/>
        </w:rPr>
        <w:t xml:space="preserve"> du règlement d</w:t>
      </w:r>
      <w:r w:rsidR="00A20444" w:rsidRPr="00251542">
        <w:rPr>
          <w:sz w:val="16"/>
        </w:rPr>
        <w:t>’</w:t>
      </w:r>
      <w:r w:rsidRPr="00251542">
        <w:rPr>
          <w:sz w:val="16"/>
        </w:rPr>
        <w:t>exécution du Règlement financier.</w:t>
      </w:r>
    </w:p>
    <w:p w:rsidR="00D42474" w:rsidRDefault="00D42474" w:rsidP="001A5BF9">
      <w:pPr>
        <w:keepNext/>
        <w:autoSpaceDE w:val="0"/>
        <w:autoSpaceDN w:val="0"/>
        <w:rPr>
          <w:sz w:val="16"/>
          <w:szCs w:val="16"/>
        </w:rPr>
      </w:pPr>
    </w:p>
    <w:p w:rsidR="00D42474" w:rsidRDefault="0098611A" w:rsidP="001A5BF9">
      <w:pPr>
        <w:keepNext/>
        <w:autoSpaceDE w:val="0"/>
        <w:autoSpaceDN w:val="0"/>
        <w:rPr>
          <w:sz w:val="16"/>
        </w:rPr>
      </w:pPr>
      <w:r>
        <w:rPr>
          <w:sz w:val="16"/>
        </w:rPr>
        <w:t>2)</w:t>
      </w:r>
      <w:r>
        <w:rPr>
          <w:sz w:val="16"/>
        </w:rPr>
        <w:tab/>
      </w:r>
      <w:r w:rsidR="004007D3" w:rsidRPr="00251542">
        <w:rPr>
          <w:sz w:val="16"/>
        </w:rPr>
        <w:t>Les dépenses de personnel indiquées dans le budget de l</w:t>
      </w:r>
      <w:r w:rsidR="00A20444" w:rsidRPr="00251542">
        <w:rPr>
          <w:sz w:val="16"/>
        </w:rPr>
        <w:t>’</w:t>
      </w:r>
      <w:r w:rsidR="004007D3" w:rsidRPr="00251542">
        <w:rPr>
          <w:sz w:val="16"/>
        </w:rPr>
        <w:t>exercice 2012</w:t>
      </w:r>
      <w:r w:rsidR="002D6F2A" w:rsidRPr="00251542">
        <w:rPr>
          <w:sz w:val="16"/>
        </w:rPr>
        <w:noBreakHyphen/>
      </w:r>
      <w:r w:rsidR="004007D3" w:rsidRPr="00251542">
        <w:rPr>
          <w:sz w:val="16"/>
        </w:rPr>
        <w:t>2013 après virements représentent les dépenses réelles engagées pendant l</w:t>
      </w:r>
      <w:r w:rsidR="00A20444" w:rsidRPr="00251542">
        <w:rPr>
          <w:sz w:val="16"/>
        </w:rPr>
        <w:t>’</w:t>
      </w:r>
      <w:r w:rsidR="004007D3" w:rsidRPr="00251542">
        <w:rPr>
          <w:sz w:val="16"/>
        </w:rPr>
        <w:t>exercice biennal.</w:t>
      </w:r>
    </w:p>
    <w:p w:rsidR="00D42474" w:rsidRDefault="00D42474" w:rsidP="001A5BF9">
      <w:pPr>
        <w:rPr>
          <w:rFonts w:ascii="Calibri" w:eastAsia="Calibri" w:hAnsi="Calibri"/>
          <w:szCs w:val="22"/>
        </w:rPr>
      </w:pPr>
    </w:p>
    <w:p w:rsidR="00D42474" w:rsidRDefault="00D42474" w:rsidP="001A5BF9">
      <w:pPr>
        <w:rPr>
          <w:rFonts w:cs="Arial"/>
          <w:szCs w:val="22"/>
        </w:rPr>
      </w:pPr>
    </w:p>
    <w:p w:rsidR="00D42474" w:rsidRDefault="004007D3" w:rsidP="001A5BF9">
      <w:pPr>
        <w:tabs>
          <w:tab w:val="left" w:pos="709"/>
        </w:tabs>
        <w:rPr>
          <w:rFonts w:cs="Arial"/>
          <w:szCs w:val="20"/>
        </w:rPr>
      </w:pPr>
      <w:r w:rsidRPr="00251542">
        <w:t>A.</w:t>
      </w:r>
      <w:r w:rsidRPr="00251542">
        <w:tab/>
      </w:r>
      <w:r w:rsidRPr="00251542">
        <w:rPr>
          <w:u w:val="single"/>
        </w:rPr>
        <w:t>Budget 2012</w:t>
      </w:r>
      <w:r w:rsidR="002D6F2A" w:rsidRPr="00251542">
        <w:rPr>
          <w:u w:val="single"/>
        </w:rPr>
        <w:noBreakHyphen/>
      </w:r>
      <w:r w:rsidRPr="00251542">
        <w:rPr>
          <w:u w:val="single"/>
        </w:rPr>
        <w:t>2013 après virements</w:t>
      </w:r>
    </w:p>
    <w:p w:rsidR="00D42474" w:rsidRDefault="00D42474" w:rsidP="001A5BF9">
      <w:pPr>
        <w:tabs>
          <w:tab w:val="left" w:pos="709"/>
        </w:tabs>
        <w:rPr>
          <w:rFonts w:cs="Arial"/>
          <w:szCs w:val="20"/>
        </w:rPr>
      </w:pPr>
    </w:p>
    <w:p w:rsidR="00D42474" w:rsidRDefault="004007D3" w:rsidP="001A5BF9">
      <w:pPr>
        <w:keepNext/>
        <w:tabs>
          <w:tab w:val="left" w:pos="709"/>
        </w:tabs>
        <w:autoSpaceDE w:val="0"/>
        <w:autoSpaceDN w:val="0"/>
        <w:jc w:val="both"/>
        <w:rPr>
          <w:szCs w:val="20"/>
        </w:rPr>
      </w:pPr>
      <w:r w:rsidRPr="00251542">
        <w:t>29.5.</w:t>
      </w:r>
      <w:r w:rsidRPr="00251542">
        <w:tab/>
        <w:t>L</w:t>
      </w:r>
      <w:r w:rsidR="00A20444" w:rsidRPr="00251542">
        <w:t>’</w:t>
      </w:r>
      <w:r w:rsidRPr="00251542">
        <w:t>affectation aux dépenses autres pour le budget 2012</w:t>
      </w:r>
      <w:r w:rsidR="002D6F2A" w:rsidRPr="00251542">
        <w:noBreakHyphen/>
      </w:r>
      <w:r w:rsidRPr="00251542">
        <w:t>2013 après virements, tient compte des ajustements à la baisse opérés pour réduire les coûts conformément aux engagements de l</w:t>
      </w:r>
      <w:r w:rsidR="00A20444" w:rsidRPr="00251542">
        <w:t>’</w:t>
      </w:r>
      <w:r w:rsidRPr="00251542">
        <w:t>Organisation de réduire les dépenses de 10,2</w:t>
      </w:r>
      <w:r w:rsidR="0010442A" w:rsidRPr="00251542">
        <w:t> </w:t>
      </w:r>
      <w:r w:rsidRPr="00251542">
        <w:t>millions de francs suisses pour l</w:t>
      </w:r>
      <w:r w:rsidR="00A20444" w:rsidRPr="00251542">
        <w:t>’</w:t>
      </w:r>
      <w:r w:rsidRPr="00251542">
        <w:t>exercice biennal</w:t>
      </w:r>
      <w:r w:rsidR="0010442A" w:rsidRPr="00251542">
        <w:t> </w:t>
      </w:r>
      <w:r w:rsidRPr="00251542">
        <w:t>2012</w:t>
      </w:r>
      <w:r w:rsidR="002D6F2A" w:rsidRPr="00251542">
        <w:noBreakHyphen/>
      </w:r>
      <w:r w:rsidRPr="00251542">
        <w:t>2013.</w:t>
      </w:r>
    </w:p>
    <w:p w:rsidR="00D42474" w:rsidRDefault="00D42474" w:rsidP="001A5BF9">
      <w:pPr>
        <w:tabs>
          <w:tab w:val="left" w:pos="709"/>
        </w:tabs>
        <w:jc w:val="both"/>
        <w:rPr>
          <w:rFonts w:cs="Arial"/>
          <w:szCs w:val="20"/>
        </w:rPr>
      </w:pPr>
    </w:p>
    <w:p w:rsidR="00D42474" w:rsidRDefault="004007D3" w:rsidP="001A5BF9">
      <w:pPr>
        <w:tabs>
          <w:tab w:val="left" w:pos="709"/>
        </w:tabs>
        <w:jc w:val="both"/>
        <w:rPr>
          <w:rFonts w:cs="Arial"/>
          <w:szCs w:val="20"/>
        </w:rPr>
      </w:pPr>
      <w:r w:rsidRPr="005C7CCE">
        <w:t>B.</w:t>
      </w:r>
      <w:r w:rsidRPr="005C7CCE">
        <w:tab/>
      </w:r>
      <w:r w:rsidRPr="005C7CCE">
        <w:rPr>
          <w:u w:val="single"/>
        </w:rPr>
        <w:t>Utilisation du budget</w:t>
      </w:r>
    </w:p>
    <w:p w:rsidR="00D42474" w:rsidRDefault="00D42474" w:rsidP="001A5BF9">
      <w:pPr>
        <w:keepNext/>
        <w:keepLines/>
        <w:tabs>
          <w:tab w:val="left" w:pos="709"/>
        </w:tabs>
        <w:jc w:val="both"/>
        <w:rPr>
          <w:rFonts w:cs="Arial"/>
          <w:szCs w:val="20"/>
        </w:rPr>
      </w:pPr>
    </w:p>
    <w:p w:rsidR="00D42474" w:rsidRDefault="004007D3" w:rsidP="001A5BF9">
      <w:pPr>
        <w:tabs>
          <w:tab w:val="left" w:pos="709"/>
        </w:tabs>
        <w:autoSpaceDE w:val="0"/>
        <w:autoSpaceDN w:val="0"/>
        <w:adjustRightInd w:val="0"/>
        <w:jc w:val="both"/>
      </w:pPr>
      <w:r w:rsidRPr="005C7CCE">
        <w:t>29.6.</w:t>
      </w:r>
      <w:r w:rsidRPr="005C7CCE">
        <w:tab/>
        <w:t>L</w:t>
      </w:r>
      <w:r w:rsidR="00A20444" w:rsidRPr="005C7CCE">
        <w:t>’</w:t>
      </w:r>
      <w:r w:rsidRPr="005C7CCE">
        <w:t>utilisation du budget global pour le programme au cours de l</w:t>
      </w:r>
      <w:r w:rsidR="00A20444" w:rsidRPr="005C7CCE">
        <w:t>’</w:t>
      </w:r>
      <w:r w:rsidRPr="005C7CCE">
        <w:t>exercice biennal a été conforme au budget après virements pour 2012</w:t>
      </w:r>
      <w:r w:rsidR="002D6F2A" w:rsidRPr="005C7CCE">
        <w:noBreakHyphen/>
      </w:r>
      <w:r w:rsidRPr="005C7CCE">
        <w:t>2013.</w:t>
      </w:r>
    </w:p>
    <w:p w:rsidR="00D42474" w:rsidRDefault="00D42474" w:rsidP="00251542">
      <w:pPr>
        <w:pStyle w:val="Endofdocument-Annex"/>
      </w:pPr>
    </w:p>
    <w:p w:rsidR="00D42474" w:rsidRDefault="00D42474" w:rsidP="00251542">
      <w:pPr>
        <w:pStyle w:val="Endofdocument-Annex"/>
      </w:pPr>
    </w:p>
    <w:p w:rsidR="00D42474" w:rsidRDefault="00D42474" w:rsidP="00251542">
      <w:pPr>
        <w:pStyle w:val="Endofdocument-Annex"/>
      </w:pPr>
    </w:p>
    <w:p w:rsidR="00D42474" w:rsidRDefault="004007D3" w:rsidP="00251542">
      <w:pPr>
        <w:pStyle w:val="Endofdocument-Annex"/>
      </w:pPr>
      <w:r w:rsidRPr="00251542">
        <w:t>[Les annexes suivent]</w:t>
      </w:r>
    </w:p>
    <w:p w:rsidR="00D42474" w:rsidRDefault="00D42474" w:rsidP="001A5BF9">
      <w:pPr>
        <w:tabs>
          <w:tab w:val="left" w:pos="709"/>
        </w:tabs>
        <w:autoSpaceDE w:val="0"/>
        <w:autoSpaceDN w:val="0"/>
        <w:adjustRightInd w:val="0"/>
        <w:jc w:val="both"/>
        <w:rPr>
          <w:rFonts w:eastAsia="Batang" w:cs="Arial"/>
          <w:szCs w:val="20"/>
        </w:rPr>
      </w:pPr>
    </w:p>
    <w:p w:rsidR="00D42474" w:rsidRDefault="00D42474" w:rsidP="001A5BF9">
      <w:pPr>
        <w:keepNext/>
        <w:keepLines/>
        <w:tabs>
          <w:tab w:val="left" w:pos="709"/>
        </w:tabs>
        <w:rPr>
          <w:rFonts w:cs="Arial"/>
          <w:szCs w:val="20"/>
        </w:rPr>
      </w:pPr>
    </w:p>
    <w:p w:rsidR="004007D3" w:rsidRPr="005C7CCE" w:rsidRDefault="004007D3" w:rsidP="001A5BF9">
      <w:pPr>
        <w:sectPr w:rsidR="004007D3" w:rsidRPr="005C7CCE" w:rsidSect="0056083E">
          <w:headerReference w:type="default" r:id="rId78"/>
          <w:footerReference w:type="default" r:id="rId79"/>
          <w:pgSz w:w="11907" w:h="16840" w:code="9"/>
          <w:pgMar w:top="567" w:right="1134" w:bottom="1418" w:left="1418" w:header="510" w:footer="1021" w:gutter="0"/>
          <w:pgNumType w:start="1"/>
          <w:cols w:space="720"/>
          <w:docGrid w:linePitch="272"/>
        </w:sectPr>
      </w:pPr>
    </w:p>
    <w:p w:rsidR="00D42474" w:rsidRDefault="004007D3" w:rsidP="007B0500">
      <w:pPr>
        <w:pStyle w:val="Heading1"/>
      </w:pPr>
      <w:bookmarkStart w:id="50" w:name="_Toc395082502"/>
      <w:r w:rsidRPr="005C7CCE">
        <w:t>ANNEXES</w:t>
      </w:r>
      <w:bookmarkEnd w:id="50"/>
    </w:p>
    <w:p w:rsidR="00D42474" w:rsidRDefault="00D42474" w:rsidP="001A5BF9">
      <w:pPr>
        <w:pStyle w:val="Heading4"/>
      </w:pPr>
    </w:p>
    <w:p w:rsidR="00D42474" w:rsidRDefault="004007D3" w:rsidP="001A5BF9">
      <w:pPr>
        <w:pStyle w:val="Heading4"/>
      </w:pPr>
      <w:bookmarkStart w:id="51" w:name="_Toc395082503"/>
      <w:r w:rsidRPr="005C7CCE">
        <w:t>Annexe I</w:t>
      </w:r>
      <w:r w:rsidRPr="005C7CCE">
        <w:br/>
      </w:r>
      <w:r w:rsidRPr="005C7CCE">
        <w:br/>
        <w:t>Répartition des évaluations de l</w:t>
      </w:r>
      <w:r w:rsidR="00A20444" w:rsidRPr="005C7CCE">
        <w:t>’</w:t>
      </w:r>
      <w:r w:rsidRPr="005C7CCE">
        <w:t>exécution par programme</w:t>
      </w:r>
      <w:bookmarkEnd w:id="51"/>
    </w:p>
    <w:p w:rsidR="00D42474" w:rsidRDefault="00D42474" w:rsidP="001A5BF9">
      <w:pPr>
        <w:jc w:val="both"/>
      </w:pPr>
    </w:p>
    <w:p w:rsidR="00D42474" w:rsidRDefault="004007D3" w:rsidP="001A5BF9">
      <w:pPr>
        <w:jc w:val="both"/>
        <w:rPr>
          <w:spacing w:val="-2"/>
        </w:rPr>
      </w:pPr>
      <w:r w:rsidRPr="00ED7374">
        <w:rPr>
          <w:spacing w:val="-2"/>
        </w:rPr>
        <w:t>Dans le présent Rapport sur l</w:t>
      </w:r>
      <w:r w:rsidR="00A20444" w:rsidRPr="00ED7374">
        <w:rPr>
          <w:spacing w:val="-2"/>
        </w:rPr>
        <w:t>’</w:t>
      </w:r>
      <w:r w:rsidRPr="00ED7374">
        <w:rPr>
          <w:spacing w:val="-2"/>
        </w:rPr>
        <w:t>exécution du programme en 2012</w:t>
      </w:r>
      <w:r w:rsidR="002D6F2A" w:rsidRPr="00ED7374">
        <w:rPr>
          <w:spacing w:val="-2"/>
        </w:rPr>
        <w:noBreakHyphen/>
      </w:r>
      <w:r w:rsidRPr="00ED7374">
        <w:rPr>
          <w:spacing w:val="-2"/>
        </w:rPr>
        <w:t>2013, l</w:t>
      </w:r>
      <w:r w:rsidR="00A20444" w:rsidRPr="00ED7374">
        <w:rPr>
          <w:spacing w:val="-2"/>
        </w:rPr>
        <w:t>’</w:t>
      </w:r>
      <w:r w:rsidRPr="00ED7374">
        <w:rPr>
          <w:spacing w:val="-2"/>
        </w:rPr>
        <w:t>exécution de chacun des programmes est évaluée de la manière suivante :</w:t>
      </w:r>
    </w:p>
    <w:p w:rsidR="00D42474" w:rsidRDefault="00D42474" w:rsidP="001A5BF9">
      <w:pPr>
        <w:jc w:val="both"/>
        <w:rPr>
          <w:i/>
          <w:iCs/>
          <w:spacing w:val="-2"/>
        </w:rPr>
      </w:pPr>
    </w:p>
    <w:p w:rsidR="00D42474" w:rsidRDefault="004007D3" w:rsidP="001A5BF9">
      <w:pPr>
        <w:jc w:val="both"/>
        <w:rPr>
          <w:bCs/>
          <w:i/>
          <w:iCs/>
          <w:spacing w:val="-2"/>
          <w:szCs w:val="22"/>
        </w:rPr>
      </w:pPr>
      <w:r w:rsidRPr="00ED7374">
        <w:rPr>
          <w:i/>
          <w:spacing w:val="-2"/>
        </w:rPr>
        <w:t>Section</w:t>
      </w:r>
      <w:r w:rsidR="0010442A" w:rsidRPr="00ED7374">
        <w:rPr>
          <w:i/>
          <w:spacing w:val="-2"/>
        </w:rPr>
        <w:t> </w:t>
      </w:r>
      <w:r w:rsidRPr="00ED7374">
        <w:rPr>
          <w:i/>
          <w:spacing w:val="-2"/>
        </w:rPr>
        <w:t>I</w:t>
      </w:r>
      <w:r w:rsidR="0010442A" w:rsidRPr="00ED7374">
        <w:rPr>
          <w:i/>
          <w:spacing w:val="-2"/>
        </w:rPr>
        <w:t> </w:t>
      </w:r>
      <w:r w:rsidRPr="00ED7374">
        <w:rPr>
          <w:i/>
          <w:spacing w:val="-2"/>
        </w:rPr>
        <w:t>: Réalisations pendant l</w:t>
      </w:r>
      <w:r w:rsidR="00A20444" w:rsidRPr="00ED7374">
        <w:rPr>
          <w:i/>
          <w:spacing w:val="-2"/>
        </w:rPr>
        <w:t>’</w:t>
      </w:r>
      <w:r w:rsidRPr="00ED7374">
        <w:rPr>
          <w:i/>
          <w:spacing w:val="-2"/>
        </w:rPr>
        <w:t>exercice biennal</w:t>
      </w:r>
      <w:r w:rsidR="0010442A" w:rsidRPr="00ED7374">
        <w:rPr>
          <w:i/>
          <w:spacing w:val="-2"/>
        </w:rPr>
        <w:t> </w:t>
      </w:r>
      <w:r w:rsidRPr="00ED7374">
        <w:rPr>
          <w:i/>
          <w:spacing w:val="-2"/>
        </w:rPr>
        <w:t>2012</w:t>
      </w:r>
      <w:r w:rsidR="002D6F2A" w:rsidRPr="00ED7374">
        <w:rPr>
          <w:i/>
          <w:spacing w:val="-2"/>
        </w:rPr>
        <w:noBreakHyphen/>
      </w:r>
      <w:r w:rsidRPr="00ED7374">
        <w:rPr>
          <w:i/>
          <w:spacing w:val="-2"/>
        </w:rPr>
        <w:t>2013</w:t>
      </w:r>
    </w:p>
    <w:p w:rsidR="00D42474" w:rsidRDefault="00D42474" w:rsidP="001A5BF9">
      <w:pPr>
        <w:jc w:val="both"/>
        <w:rPr>
          <w:spacing w:val="-2"/>
        </w:rPr>
      </w:pPr>
    </w:p>
    <w:p w:rsidR="00D42474" w:rsidRDefault="004007D3" w:rsidP="001A5BF9">
      <w:pPr>
        <w:jc w:val="both"/>
        <w:rPr>
          <w:spacing w:val="-2"/>
        </w:rPr>
      </w:pPr>
      <w:r w:rsidRPr="00ED7374">
        <w:rPr>
          <w:spacing w:val="-2"/>
        </w:rPr>
        <w:t>Un résumé analytique qui présente les résultats obtenus en 2012</w:t>
      </w:r>
      <w:r w:rsidR="002D6F2A" w:rsidRPr="00ED7374">
        <w:rPr>
          <w:spacing w:val="-2"/>
        </w:rPr>
        <w:noBreakHyphen/>
      </w:r>
      <w:r w:rsidRPr="00ED7374">
        <w:rPr>
          <w:spacing w:val="-2"/>
        </w:rPr>
        <w:t>2013 par le programme concerné et les difficultés rencontrées durant la période examinée.</w:t>
      </w:r>
    </w:p>
    <w:p w:rsidR="00D42474" w:rsidRDefault="00D42474" w:rsidP="001A5BF9">
      <w:pPr>
        <w:jc w:val="both"/>
        <w:rPr>
          <w:i/>
          <w:iCs/>
          <w:spacing w:val="-2"/>
        </w:rPr>
      </w:pPr>
    </w:p>
    <w:p w:rsidR="00D42474" w:rsidRDefault="004007D3" w:rsidP="001A5BF9">
      <w:pPr>
        <w:jc w:val="both"/>
        <w:rPr>
          <w:i/>
          <w:iCs/>
          <w:spacing w:val="-2"/>
        </w:rPr>
      </w:pPr>
      <w:r w:rsidRPr="00ED7374">
        <w:rPr>
          <w:i/>
          <w:spacing w:val="-2"/>
        </w:rPr>
        <w:t>Section</w:t>
      </w:r>
      <w:r w:rsidR="0010442A" w:rsidRPr="00ED7374">
        <w:rPr>
          <w:i/>
          <w:spacing w:val="-2"/>
        </w:rPr>
        <w:t> </w:t>
      </w:r>
      <w:r w:rsidRPr="00ED7374">
        <w:rPr>
          <w:i/>
          <w:spacing w:val="-2"/>
        </w:rPr>
        <w:t>II</w:t>
      </w:r>
      <w:r w:rsidR="0010442A" w:rsidRPr="00ED7374">
        <w:rPr>
          <w:i/>
          <w:spacing w:val="-2"/>
        </w:rPr>
        <w:t> </w:t>
      </w:r>
      <w:r w:rsidRPr="00ED7374">
        <w:rPr>
          <w:i/>
          <w:spacing w:val="-2"/>
        </w:rPr>
        <w:t>: Mise en œuvre du Plan d</w:t>
      </w:r>
      <w:r w:rsidR="00A20444" w:rsidRPr="00ED7374">
        <w:rPr>
          <w:i/>
          <w:spacing w:val="-2"/>
        </w:rPr>
        <w:t>’</w:t>
      </w:r>
      <w:r w:rsidRPr="00ED7374">
        <w:rPr>
          <w:i/>
          <w:spacing w:val="-2"/>
        </w:rPr>
        <w:t>action de l</w:t>
      </w:r>
      <w:r w:rsidR="00A20444" w:rsidRPr="00ED7374">
        <w:rPr>
          <w:i/>
          <w:spacing w:val="-2"/>
        </w:rPr>
        <w:t>’</w:t>
      </w:r>
      <w:r w:rsidRPr="00ED7374">
        <w:rPr>
          <w:i/>
          <w:spacing w:val="-2"/>
        </w:rPr>
        <w:t>OMPI pour le développement</w:t>
      </w:r>
    </w:p>
    <w:p w:rsidR="00D42474" w:rsidRDefault="00D42474" w:rsidP="001A5BF9">
      <w:pPr>
        <w:jc w:val="both"/>
        <w:rPr>
          <w:spacing w:val="-2"/>
        </w:rPr>
      </w:pPr>
    </w:p>
    <w:p w:rsidR="00D42474" w:rsidRDefault="004007D3" w:rsidP="001A5BF9">
      <w:pPr>
        <w:autoSpaceDE w:val="0"/>
        <w:autoSpaceDN w:val="0"/>
        <w:adjustRightInd w:val="0"/>
        <w:jc w:val="both"/>
        <w:rPr>
          <w:rFonts w:ascii="ArialMT" w:hAnsi="ArialMT" w:cs="ArialMT"/>
          <w:spacing w:val="-2"/>
          <w:lang w:bidi="th-TH"/>
        </w:rPr>
      </w:pPr>
      <w:r w:rsidRPr="00ED7374">
        <w:rPr>
          <w:spacing w:val="-2"/>
        </w:rPr>
        <w:t>Cette section rend compte de la manière dont un programme s</w:t>
      </w:r>
      <w:r w:rsidR="00A20444" w:rsidRPr="00ED7374">
        <w:rPr>
          <w:spacing w:val="-2"/>
        </w:rPr>
        <w:t>’</w:t>
      </w:r>
      <w:r w:rsidRPr="00ED7374">
        <w:rPr>
          <w:spacing w:val="-2"/>
        </w:rPr>
        <w:t>inscrit dans la mise en œuvre du Plan d</w:t>
      </w:r>
      <w:r w:rsidR="00A20444" w:rsidRPr="00ED7374">
        <w:rPr>
          <w:spacing w:val="-2"/>
        </w:rPr>
        <w:t>’</w:t>
      </w:r>
      <w:r w:rsidRPr="00ED7374">
        <w:rPr>
          <w:spacing w:val="-2"/>
        </w:rPr>
        <w:t>action pour le développement.</w:t>
      </w:r>
      <w:r w:rsidR="004F3E42" w:rsidRPr="00ED7374">
        <w:rPr>
          <w:spacing w:val="-2"/>
        </w:rPr>
        <w:t xml:space="preserve"> </w:t>
      </w:r>
      <w:r w:rsidR="0010442A" w:rsidRPr="00ED7374">
        <w:rPr>
          <w:spacing w:val="-2"/>
        </w:rPr>
        <w:t xml:space="preserve"> </w:t>
      </w:r>
      <w:r w:rsidRPr="00ED7374">
        <w:rPr>
          <w:spacing w:val="-2"/>
        </w:rPr>
        <w:t>Conformément à la procédure budgétaire appliquée aux projets proposés par le Comité du développement et de la propriété intellectuelle (CDIP) pour la mise en œuvre des recommandations relatives au Plan d</w:t>
      </w:r>
      <w:r w:rsidR="00A20444" w:rsidRPr="00ED7374">
        <w:rPr>
          <w:spacing w:val="-2"/>
        </w:rPr>
        <w:t>’</w:t>
      </w:r>
      <w:r w:rsidRPr="00ED7374">
        <w:rPr>
          <w:spacing w:val="-2"/>
        </w:rPr>
        <w:t>action pour le développement, approuvée par les assemblées des États membres de l</w:t>
      </w:r>
      <w:r w:rsidR="00A20444" w:rsidRPr="00ED7374">
        <w:rPr>
          <w:spacing w:val="-2"/>
        </w:rPr>
        <w:t>’</w:t>
      </w:r>
      <w:r w:rsidRPr="00ED7374">
        <w:rPr>
          <w:spacing w:val="-2"/>
        </w:rPr>
        <w:t>OMPI en</w:t>
      </w:r>
      <w:r w:rsidR="0010442A" w:rsidRPr="00ED7374">
        <w:rPr>
          <w:spacing w:val="-2"/>
        </w:rPr>
        <w:t> </w:t>
      </w:r>
      <w:r w:rsidRPr="00ED7374">
        <w:rPr>
          <w:spacing w:val="-2"/>
        </w:rPr>
        <w:t>2010</w:t>
      </w:r>
      <w:r w:rsidRPr="00ED7374">
        <w:rPr>
          <w:rStyle w:val="FootnoteReference"/>
          <w:spacing w:val="-2"/>
        </w:rPr>
        <w:footnoteReference w:id="48"/>
      </w:r>
      <w:r w:rsidRPr="00ED7374">
        <w:rPr>
          <w:spacing w:val="-2"/>
        </w:rPr>
        <w:t>, le rapport concernant le Plan d</w:t>
      </w:r>
      <w:r w:rsidR="00A20444" w:rsidRPr="00ED7374">
        <w:rPr>
          <w:spacing w:val="-2"/>
        </w:rPr>
        <w:t>’</w:t>
      </w:r>
      <w:r w:rsidRPr="00ED7374">
        <w:rPr>
          <w:spacing w:val="-2"/>
        </w:rPr>
        <w:t>action pour le développement comprend des informations détaillées sur la mise en œuvre des projets et des recommandations du Plan d</w:t>
      </w:r>
      <w:r w:rsidR="00A20444" w:rsidRPr="00ED7374">
        <w:rPr>
          <w:spacing w:val="-2"/>
        </w:rPr>
        <w:t>’</w:t>
      </w:r>
      <w:r w:rsidRPr="00ED7374">
        <w:rPr>
          <w:spacing w:val="-2"/>
        </w:rPr>
        <w:t>action pour le développement.</w:t>
      </w:r>
    </w:p>
    <w:p w:rsidR="00D42474" w:rsidRDefault="00D42474" w:rsidP="001A5BF9">
      <w:pPr>
        <w:jc w:val="both"/>
        <w:rPr>
          <w:i/>
          <w:iCs/>
          <w:spacing w:val="-2"/>
        </w:rPr>
      </w:pPr>
    </w:p>
    <w:p w:rsidR="00D42474" w:rsidRDefault="004007D3" w:rsidP="001A5BF9">
      <w:pPr>
        <w:jc w:val="both"/>
        <w:rPr>
          <w:i/>
          <w:iCs/>
          <w:spacing w:val="-2"/>
        </w:rPr>
      </w:pPr>
      <w:r w:rsidRPr="00ED7374">
        <w:rPr>
          <w:i/>
          <w:spacing w:val="-2"/>
        </w:rPr>
        <w:t>Section</w:t>
      </w:r>
      <w:r w:rsidR="0010442A" w:rsidRPr="00ED7374">
        <w:rPr>
          <w:i/>
          <w:spacing w:val="-2"/>
        </w:rPr>
        <w:t> </w:t>
      </w:r>
      <w:r w:rsidRPr="00ED7374">
        <w:rPr>
          <w:i/>
          <w:spacing w:val="-2"/>
        </w:rPr>
        <w:t>III</w:t>
      </w:r>
      <w:r w:rsidR="0010442A" w:rsidRPr="00ED7374">
        <w:rPr>
          <w:i/>
          <w:spacing w:val="-2"/>
        </w:rPr>
        <w:t> </w:t>
      </w:r>
      <w:r w:rsidRPr="00ED7374">
        <w:rPr>
          <w:i/>
          <w:spacing w:val="-2"/>
        </w:rPr>
        <w:t>: Données relatives à l</w:t>
      </w:r>
      <w:r w:rsidR="00A20444" w:rsidRPr="00ED7374">
        <w:rPr>
          <w:i/>
          <w:spacing w:val="-2"/>
        </w:rPr>
        <w:t>’</w:t>
      </w:r>
      <w:r w:rsidRPr="00ED7374">
        <w:rPr>
          <w:i/>
          <w:spacing w:val="-2"/>
        </w:rPr>
        <w:t>exécution</w:t>
      </w:r>
    </w:p>
    <w:p w:rsidR="00D42474" w:rsidRDefault="00D42474" w:rsidP="001A5BF9">
      <w:pPr>
        <w:jc w:val="both"/>
        <w:rPr>
          <w:spacing w:val="-2"/>
        </w:rPr>
      </w:pPr>
    </w:p>
    <w:p w:rsidR="00D42474" w:rsidRDefault="004007D3" w:rsidP="001A5BF9">
      <w:pPr>
        <w:jc w:val="both"/>
        <w:rPr>
          <w:spacing w:val="-2"/>
        </w:rPr>
      </w:pPr>
      <w:r w:rsidRPr="00ED7374">
        <w:rPr>
          <w:spacing w:val="-2"/>
        </w:rPr>
        <w:t>Le tableau qui figure dans cette section présente un récapitulatif des résultats escomptés par programme et les indicateurs d</w:t>
      </w:r>
      <w:r w:rsidR="00A20444" w:rsidRPr="00ED7374">
        <w:rPr>
          <w:spacing w:val="-2"/>
        </w:rPr>
        <w:t>’</w:t>
      </w:r>
      <w:r w:rsidRPr="00ED7374">
        <w:rPr>
          <w:spacing w:val="-2"/>
        </w:rPr>
        <w:t>exécution tels qu</w:t>
      </w:r>
      <w:r w:rsidR="00A20444" w:rsidRPr="00ED7374">
        <w:rPr>
          <w:spacing w:val="-2"/>
        </w:rPr>
        <w:t>’</w:t>
      </w:r>
      <w:r w:rsidRPr="00ED7374">
        <w:rPr>
          <w:spacing w:val="-2"/>
        </w:rPr>
        <w:t>ils ont été approuvés par les États membres dans le programme et budget pour 2012</w:t>
      </w:r>
      <w:r w:rsidR="002D6F2A" w:rsidRPr="00ED7374">
        <w:rPr>
          <w:spacing w:val="-2"/>
        </w:rPr>
        <w:noBreakHyphen/>
      </w:r>
      <w:r w:rsidRPr="00ED7374">
        <w:rPr>
          <w:spacing w:val="-2"/>
        </w:rPr>
        <w:t xml:space="preserve">2013. </w:t>
      </w:r>
      <w:r w:rsidR="0010442A" w:rsidRPr="00ED7374">
        <w:rPr>
          <w:spacing w:val="-2"/>
        </w:rPr>
        <w:t xml:space="preserve"> </w:t>
      </w:r>
      <w:r w:rsidRPr="00ED7374">
        <w:rPr>
          <w:spacing w:val="-2"/>
        </w:rPr>
        <w:t xml:space="preserve">Les niveaux de référence ont été mis à jour, selon les besoins, afin de rendre compte des niveaux réels à la fin de 2011. </w:t>
      </w:r>
      <w:r w:rsidR="0010442A" w:rsidRPr="00ED7374">
        <w:rPr>
          <w:spacing w:val="-2"/>
        </w:rPr>
        <w:t xml:space="preserve"> </w:t>
      </w:r>
      <w:r w:rsidRPr="00ED7374">
        <w:rPr>
          <w:spacing w:val="-2"/>
        </w:rPr>
        <w:t>Conformément à la demande des États membres, les tableaux des données d</w:t>
      </w:r>
      <w:r w:rsidR="00A20444" w:rsidRPr="00ED7374">
        <w:rPr>
          <w:spacing w:val="-2"/>
        </w:rPr>
        <w:t>’</w:t>
      </w:r>
      <w:r w:rsidRPr="00ED7374">
        <w:rPr>
          <w:spacing w:val="-2"/>
        </w:rPr>
        <w:t>exécution ont été améliorés en 2012</w:t>
      </w:r>
      <w:r w:rsidR="002D6F2A" w:rsidRPr="00ED7374">
        <w:rPr>
          <w:spacing w:val="-2"/>
        </w:rPr>
        <w:noBreakHyphen/>
      </w:r>
      <w:r w:rsidRPr="00ED7374">
        <w:rPr>
          <w:spacing w:val="-2"/>
        </w:rPr>
        <w:t>2013 afin de rendre compte non seulement des niveaux de référence initiaux (selon le programme et budget 2012</w:t>
      </w:r>
      <w:r w:rsidR="002D6F2A" w:rsidRPr="00ED7374">
        <w:rPr>
          <w:spacing w:val="-2"/>
        </w:rPr>
        <w:noBreakHyphen/>
      </w:r>
      <w:r w:rsidRPr="00ED7374">
        <w:rPr>
          <w:spacing w:val="-2"/>
        </w:rPr>
        <w:t>2013), mais également des niveaux de référence actualisés (selon les chiffres de fin 2011), et les objectifs (selon le programme et budget 2012</w:t>
      </w:r>
      <w:r w:rsidR="002D6F2A" w:rsidRPr="00ED7374">
        <w:rPr>
          <w:spacing w:val="-2"/>
        </w:rPr>
        <w:noBreakHyphen/>
      </w:r>
      <w:r w:rsidRPr="00ED7374">
        <w:rPr>
          <w:spacing w:val="-2"/>
        </w:rPr>
        <w:t>2013) à des fins de comparaison par rapport aux données d</w:t>
      </w:r>
      <w:r w:rsidR="00A20444" w:rsidRPr="00ED7374">
        <w:rPr>
          <w:spacing w:val="-2"/>
        </w:rPr>
        <w:t>’</w:t>
      </w:r>
      <w:r w:rsidRPr="00ED7374">
        <w:rPr>
          <w:spacing w:val="-2"/>
        </w:rPr>
        <w:t xml:space="preserve">exécution et aux évaluations. </w:t>
      </w:r>
      <w:r w:rsidR="0010442A" w:rsidRPr="00ED7374">
        <w:rPr>
          <w:spacing w:val="-2"/>
        </w:rPr>
        <w:t xml:space="preserve"> </w:t>
      </w:r>
      <w:r w:rsidRPr="00ED7374">
        <w:rPr>
          <w:spacing w:val="-2"/>
        </w:rPr>
        <w:t>Les données relatives à l</w:t>
      </w:r>
      <w:r w:rsidR="00A20444" w:rsidRPr="00ED7374">
        <w:rPr>
          <w:spacing w:val="-2"/>
        </w:rPr>
        <w:t>’</w:t>
      </w:r>
      <w:r w:rsidRPr="00ED7374">
        <w:rPr>
          <w:spacing w:val="-2"/>
        </w:rPr>
        <w:t>exécution du programme pour</w:t>
      </w:r>
      <w:r w:rsidR="0010442A" w:rsidRPr="00ED7374">
        <w:rPr>
          <w:spacing w:val="-2"/>
        </w:rPr>
        <w:t> </w:t>
      </w:r>
      <w:r w:rsidRPr="00ED7374">
        <w:rPr>
          <w:spacing w:val="-2"/>
        </w:rPr>
        <w:t>2012</w:t>
      </w:r>
      <w:r w:rsidR="002D6F2A" w:rsidRPr="00ED7374">
        <w:rPr>
          <w:spacing w:val="-2"/>
        </w:rPr>
        <w:noBreakHyphen/>
      </w:r>
      <w:r w:rsidRPr="00ED7374">
        <w:rPr>
          <w:spacing w:val="-2"/>
        </w:rPr>
        <w:t>2013 sont présentées en fonction de chaque indicateur, dans la quatrième colonne du tableau.</w:t>
      </w:r>
      <w:r w:rsidR="0010442A" w:rsidRPr="00ED7374">
        <w:rPr>
          <w:spacing w:val="-2"/>
        </w:rPr>
        <w:t xml:space="preserve"> </w:t>
      </w:r>
      <w:r w:rsidR="004F3E42" w:rsidRPr="00ED7374">
        <w:rPr>
          <w:spacing w:val="-2"/>
        </w:rPr>
        <w:t xml:space="preserve"> </w:t>
      </w:r>
      <w:r w:rsidRPr="00ED7374">
        <w:rPr>
          <w:spacing w:val="-2"/>
        </w:rPr>
        <w:t>Dans la cinquième colonne se trouve une évaluation de l</w:t>
      </w:r>
      <w:r w:rsidR="00A20444" w:rsidRPr="00ED7374">
        <w:rPr>
          <w:spacing w:val="-2"/>
        </w:rPr>
        <w:t>’</w:t>
      </w:r>
      <w:r w:rsidRPr="00ED7374">
        <w:rPr>
          <w:spacing w:val="-2"/>
        </w:rPr>
        <w:t>exécution du programme au moyen du “code de couleurs”.</w:t>
      </w:r>
    </w:p>
    <w:p w:rsidR="00D42474" w:rsidRDefault="00D42474" w:rsidP="001A5BF9">
      <w:pPr>
        <w:jc w:val="both"/>
        <w:rPr>
          <w:i/>
          <w:iCs/>
          <w:spacing w:val="-2"/>
        </w:rPr>
      </w:pPr>
    </w:p>
    <w:p w:rsidR="00D42474" w:rsidRDefault="004007D3" w:rsidP="001A5BF9">
      <w:pPr>
        <w:jc w:val="both"/>
        <w:rPr>
          <w:i/>
          <w:iCs/>
          <w:spacing w:val="-2"/>
        </w:rPr>
      </w:pPr>
      <w:r w:rsidRPr="00ED7374">
        <w:rPr>
          <w:i/>
          <w:spacing w:val="-2"/>
        </w:rPr>
        <w:t>Section</w:t>
      </w:r>
      <w:r w:rsidR="0010442A" w:rsidRPr="00ED7374">
        <w:rPr>
          <w:i/>
          <w:spacing w:val="-2"/>
        </w:rPr>
        <w:t> </w:t>
      </w:r>
      <w:r w:rsidRPr="00ED7374">
        <w:rPr>
          <w:i/>
          <w:spacing w:val="-2"/>
        </w:rPr>
        <w:t>IV</w:t>
      </w:r>
      <w:r w:rsidR="0010442A" w:rsidRPr="00ED7374">
        <w:rPr>
          <w:i/>
          <w:spacing w:val="-2"/>
        </w:rPr>
        <w:t> </w:t>
      </w:r>
      <w:r w:rsidRPr="00ED7374">
        <w:rPr>
          <w:i/>
          <w:spacing w:val="-2"/>
        </w:rPr>
        <w:t>: Budget et dépenses effectives pour</w:t>
      </w:r>
      <w:r w:rsidR="0010442A" w:rsidRPr="00ED7374">
        <w:rPr>
          <w:i/>
          <w:spacing w:val="-2"/>
        </w:rPr>
        <w:t> </w:t>
      </w:r>
      <w:r w:rsidRPr="00ED7374">
        <w:rPr>
          <w:i/>
          <w:spacing w:val="-2"/>
        </w:rPr>
        <w:t>2012</w:t>
      </w:r>
    </w:p>
    <w:p w:rsidR="00D42474" w:rsidRDefault="00D42474" w:rsidP="001A5BF9">
      <w:pPr>
        <w:jc w:val="both"/>
        <w:rPr>
          <w:spacing w:val="-2"/>
        </w:rPr>
      </w:pPr>
    </w:p>
    <w:p w:rsidR="00D42474" w:rsidRDefault="004007D3" w:rsidP="001A5BF9">
      <w:pPr>
        <w:tabs>
          <w:tab w:val="left" w:pos="851"/>
        </w:tabs>
        <w:jc w:val="both"/>
        <w:rPr>
          <w:spacing w:val="-2"/>
        </w:rPr>
      </w:pPr>
      <w:r w:rsidRPr="00ED7374">
        <w:rPr>
          <w:spacing w:val="-2"/>
        </w:rPr>
        <w:t>La dernière section fournit des informations sur le budget 2012</w:t>
      </w:r>
      <w:r w:rsidR="002D6F2A" w:rsidRPr="00ED7374">
        <w:rPr>
          <w:spacing w:val="-2"/>
        </w:rPr>
        <w:noBreakHyphen/>
      </w:r>
      <w:r w:rsidRPr="00ED7374">
        <w:rPr>
          <w:spacing w:val="-2"/>
        </w:rPr>
        <w:t>2013 approuvé, le budget après virements 2012</w:t>
      </w:r>
      <w:r w:rsidR="002D6F2A" w:rsidRPr="00ED7374">
        <w:rPr>
          <w:spacing w:val="-2"/>
        </w:rPr>
        <w:noBreakHyphen/>
      </w:r>
      <w:r w:rsidRPr="00ED7374">
        <w:rPr>
          <w:spacing w:val="-2"/>
        </w:rPr>
        <w:t>2013, les dépenses effectives et l</w:t>
      </w:r>
      <w:r w:rsidR="00A20444" w:rsidRPr="00ED7374">
        <w:rPr>
          <w:spacing w:val="-2"/>
        </w:rPr>
        <w:t>’</w:t>
      </w:r>
      <w:r w:rsidRPr="00ED7374">
        <w:rPr>
          <w:spacing w:val="-2"/>
        </w:rPr>
        <w:t>utilisation du budget au cours de l</w:t>
      </w:r>
      <w:r w:rsidR="00A20444" w:rsidRPr="00ED7374">
        <w:rPr>
          <w:spacing w:val="-2"/>
        </w:rPr>
        <w:t>’</w:t>
      </w:r>
      <w:r w:rsidRPr="00ED7374">
        <w:rPr>
          <w:spacing w:val="-2"/>
        </w:rPr>
        <w:t xml:space="preserve">exercice biennal. </w:t>
      </w:r>
      <w:r w:rsidR="0010442A" w:rsidRPr="00ED7374">
        <w:rPr>
          <w:spacing w:val="-2"/>
        </w:rPr>
        <w:t xml:space="preserve"> </w:t>
      </w:r>
      <w:r w:rsidRPr="00ED7374">
        <w:rPr>
          <w:spacing w:val="-2"/>
        </w:rPr>
        <w:t>Les rapports concernant cette section avaient été améliorés pour inclure deux</w:t>
      </w:r>
      <w:r w:rsidR="0010442A" w:rsidRPr="00ED7374">
        <w:rPr>
          <w:spacing w:val="-2"/>
        </w:rPr>
        <w:t> </w:t>
      </w:r>
      <w:r w:rsidRPr="00ED7374">
        <w:rPr>
          <w:spacing w:val="-2"/>
        </w:rPr>
        <w:t>tableaux pour 2012</w:t>
      </w:r>
      <w:r w:rsidR="002D6F2A" w:rsidRPr="00ED7374">
        <w:rPr>
          <w:spacing w:val="-2"/>
        </w:rPr>
        <w:noBreakHyphen/>
      </w:r>
      <w:r w:rsidRPr="00ED7374">
        <w:rPr>
          <w:spacing w:val="-2"/>
        </w:rPr>
        <w:t>2013 :</w:t>
      </w:r>
    </w:p>
    <w:p w:rsidR="00D42474" w:rsidRDefault="00D42474" w:rsidP="001A5BF9">
      <w:pPr>
        <w:jc w:val="both"/>
        <w:rPr>
          <w:spacing w:val="-2"/>
        </w:rPr>
      </w:pPr>
    </w:p>
    <w:p w:rsidR="00D42474" w:rsidRDefault="004007D3" w:rsidP="001A5BF9">
      <w:pPr>
        <w:jc w:val="both"/>
        <w:rPr>
          <w:spacing w:val="-2"/>
        </w:rPr>
      </w:pPr>
      <w:r w:rsidRPr="00ED7374">
        <w:rPr>
          <w:spacing w:val="-2"/>
        </w:rPr>
        <w:t>L</w:t>
      </w:r>
      <w:r w:rsidR="00857F09" w:rsidRPr="00ED7374">
        <w:rPr>
          <w:spacing w:val="-2"/>
        </w:rPr>
        <w:t>a partie</w:t>
      </w:r>
      <w:r w:rsidRPr="00ED7374">
        <w:rPr>
          <w:spacing w:val="-2"/>
        </w:rPr>
        <w:t xml:space="preserve"> Budget et dépenses effectives (par résultat)</w:t>
      </w:r>
      <w:r w:rsidRPr="00ED7374">
        <w:rPr>
          <w:i/>
          <w:spacing w:val="-2"/>
        </w:rPr>
        <w:t xml:space="preserve"> </w:t>
      </w:r>
      <w:r w:rsidRPr="00ED7374">
        <w:rPr>
          <w:spacing w:val="-2"/>
        </w:rPr>
        <w:t>donne pour la première fois des informations sur le budget 2012</w:t>
      </w:r>
      <w:r w:rsidR="002D6F2A" w:rsidRPr="00ED7374">
        <w:rPr>
          <w:spacing w:val="-2"/>
        </w:rPr>
        <w:noBreakHyphen/>
      </w:r>
      <w:r w:rsidRPr="00ED7374">
        <w:rPr>
          <w:spacing w:val="-2"/>
        </w:rPr>
        <w:t>2013 approuvé, le budget 2012</w:t>
      </w:r>
      <w:r w:rsidR="002D6F2A" w:rsidRPr="00ED7374">
        <w:rPr>
          <w:spacing w:val="-2"/>
        </w:rPr>
        <w:noBreakHyphen/>
      </w:r>
      <w:r w:rsidRPr="00ED7374">
        <w:rPr>
          <w:spacing w:val="-2"/>
        </w:rPr>
        <w:t>2013 après virements, et les dépenses effectives par résultat pour l</w:t>
      </w:r>
      <w:r w:rsidR="00A20444" w:rsidRPr="00ED7374">
        <w:rPr>
          <w:spacing w:val="-2"/>
        </w:rPr>
        <w:t>’</w:t>
      </w:r>
      <w:r w:rsidRPr="00ED7374">
        <w:rPr>
          <w:spacing w:val="-2"/>
        </w:rPr>
        <w:t>exercice biennal.</w:t>
      </w:r>
    </w:p>
    <w:p w:rsidR="00D42474" w:rsidRDefault="00D42474" w:rsidP="001A5BF9">
      <w:pPr>
        <w:jc w:val="both"/>
        <w:rPr>
          <w:spacing w:val="-2"/>
        </w:rPr>
      </w:pPr>
    </w:p>
    <w:p w:rsidR="00D42474" w:rsidRDefault="004007D3" w:rsidP="001A5BF9">
      <w:pPr>
        <w:jc w:val="both"/>
        <w:rPr>
          <w:spacing w:val="-2"/>
        </w:rPr>
      </w:pPr>
      <w:r w:rsidRPr="00CD758D">
        <w:rPr>
          <w:spacing w:val="-2"/>
        </w:rPr>
        <w:t>L</w:t>
      </w:r>
      <w:r w:rsidR="00857F09" w:rsidRPr="00CD758D">
        <w:rPr>
          <w:spacing w:val="-2"/>
        </w:rPr>
        <w:t>a partie</w:t>
      </w:r>
      <w:r w:rsidRPr="00CD758D">
        <w:rPr>
          <w:spacing w:val="-2"/>
        </w:rPr>
        <w:t xml:space="preserve"> Budget et dépenses effectives (ressources de </w:t>
      </w:r>
      <w:proofErr w:type="gramStart"/>
      <w:r w:rsidRPr="00CD758D">
        <w:rPr>
          <w:spacing w:val="-2"/>
        </w:rPr>
        <w:t>personnel et autres ressources</w:t>
      </w:r>
      <w:proofErr w:type="gramEnd"/>
      <w:r w:rsidRPr="00CD758D">
        <w:rPr>
          <w:spacing w:val="-2"/>
        </w:rPr>
        <w:t>) fournit des informations sur le budget 2013 approuvé, le budget 2012</w:t>
      </w:r>
      <w:r w:rsidR="002D6F2A" w:rsidRPr="00CD758D">
        <w:rPr>
          <w:spacing w:val="-2"/>
        </w:rPr>
        <w:noBreakHyphen/>
      </w:r>
      <w:r w:rsidRPr="00CD758D">
        <w:rPr>
          <w:spacing w:val="-2"/>
        </w:rPr>
        <w:t>2013 après virements, et les dépenses 2012</w:t>
      </w:r>
      <w:r w:rsidR="002D6F2A" w:rsidRPr="00CD758D">
        <w:rPr>
          <w:spacing w:val="-2"/>
        </w:rPr>
        <w:noBreakHyphen/>
      </w:r>
      <w:r w:rsidRPr="00CD758D">
        <w:rPr>
          <w:spacing w:val="-2"/>
        </w:rPr>
        <w:t>2013 réelles (dépenses de personnel et autres dépenses).</w:t>
      </w:r>
      <w:r w:rsidR="004F3E42" w:rsidRPr="00CD758D">
        <w:rPr>
          <w:spacing w:val="-2"/>
        </w:rPr>
        <w:t xml:space="preserve"> </w:t>
      </w:r>
      <w:r w:rsidR="0010442A" w:rsidRPr="00CD758D">
        <w:rPr>
          <w:spacing w:val="-2"/>
        </w:rPr>
        <w:t xml:space="preserve"> </w:t>
      </w:r>
      <w:r w:rsidRPr="00CD758D">
        <w:rPr>
          <w:spacing w:val="-2"/>
        </w:rPr>
        <w:t>Les différences entre le budget approuvé et le budget après virements faisaient l</w:t>
      </w:r>
      <w:r w:rsidR="00A20444" w:rsidRPr="00CD758D">
        <w:rPr>
          <w:spacing w:val="-2"/>
        </w:rPr>
        <w:t>’</w:t>
      </w:r>
      <w:r w:rsidRPr="00CD758D">
        <w:rPr>
          <w:spacing w:val="-2"/>
        </w:rPr>
        <w:t>objet d</w:t>
      </w:r>
      <w:r w:rsidR="00A20444" w:rsidRPr="00CD758D">
        <w:rPr>
          <w:spacing w:val="-2"/>
        </w:rPr>
        <w:t>’</w:t>
      </w:r>
      <w:r w:rsidRPr="00CD758D">
        <w:rPr>
          <w:spacing w:val="-2"/>
        </w:rPr>
        <w:t>explications;</w:t>
      </w:r>
      <w:r w:rsidR="004F3E42" w:rsidRPr="00CD758D">
        <w:rPr>
          <w:spacing w:val="-2"/>
        </w:rPr>
        <w:t xml:space="preserve"> </w:t>
      </w:r>
      <w:r w:rsidR="0010442A" w:rsidRPr="00CD758D">
        <w:rPr>
          <w:spacing w:val="-2"/>
        </w:rPr>
        <w:t xml:space="preserve"> </w:t>
      </w:r>
      <w:r w:rsidRPr="00CD758D">
        <w:rPr>
          <w:spacing w:val="-2"/>
        </w:rPr>
        <w:t>de même, l</w:t>
      </w:r>
      <w:r w:rsidR="00A20444" w:rsidRPr="00CD758D">
        <w:rPr>
          <w:spacing w:val="-2"/>
        </w:rPr>
        <w:t>’</w:t>
      </w:r>
      <w:r w:rsidRPr="00CD758D">
        <w:rPr>
          <w:spacing w:val="-2"/>
        </w:rPr>
        <w:t>utilisation du budget était expliquée en tenant compte d</w:t>
      </w:r>
      <w:r w:rsidR="00A20444" w:rsidRPr="00CD758D">
        <w:rPr>
          <w:spacing w:val="-2"/>
        </w:rPr>
        <w:t>’</w:t>
      </w:r>
      <w:r w:rsidRPr="00CD758D">
        <w:rPr>
          <w:spacing w:val="-2"/>
        </w:rPr>
        <w:t>une vue Résultats et d</w:t>
      </w:r>
      <w:r w:rsidR="00A20444" w:rsidRPr="00CD758D">
        <w:rPr>
          <w:spacing w:val="-2"/>
        </w:rPr>
        <w:t>’</w:t>
      </w:r>
      <w:r w:rsidRPr="00CD758D">
        <w:rPr>
          <w:spacing w:val="-2"/>
        </w:rPr>
        <w:t>une vue selon le type de dépenses (personnel et autres).</w:t>
      </w:r>
    </w:p>
    <w:p w:rsidR="00D42474" w:rsidRDefault="00D42474" w:rsidP="00ED7374">
      <w:pPr>
        <w:pStyle w:val="Endofdocument-Annex"/>
      </w:pPr>
    </w:p>
    <w:p w:rsidR="00D42474" w:rsidRDefault="00D42474" w:rsidP="00ED7374">
      <w:pPr>
        <w:pStyle w:val="Endofdocument-Annex"/>
      </w:pPr>
    </w:p>
    <w:p w:rsidR="00D42474" w:rsidRDefault="004007D3" w:rsidP="00ED7374">
      <w:pPr>
        <w:pStyle w:val="Endofdocument-Annex"/>
        <w:rPr>
          <w:rFonts w:eastAsia="Times New Roman" w:cs="Times New Roman"/>
          <w:sz w:val="20"/>
          <w:szCs w:val="24"/>
        </w:rPr>
      </w:pPr>
      <w:r w:rsidRPr="00251542">
        <w:t>[L</w:t>
      </w:r>
      <w:r w:rsidR="00A20444" w:rsidRPr="00251542">
        <w:t>’</w:t>
      </w:r>
      <w:r w:rsidR="00ED7374">
        <w:t>annexe II suit]</w:t>
      </w:r>
    </w:p>
    <w:p w:rsidR="00D42474" w:rsidRDefault="004007D3" w:rsidP="001A5BF9">
      <w:pPr>
        <w:pStyle w:val="Heading4"/>
      </w:pPr>
      <w:bookmarkStart w:id="52" w:name="_Toc395082504"/>
      <w:r w:rsidRPr="00251542">
        <w:t>Annexe II</w:t>
      </w:r>
      <w:r w:rsidRPr="00251542">
        <w:br/>
      </w:r>
      <w:r w:rsidRPr="00251542">
        <w:br/>
        <w:t>Mise en œuvre des fonds fiduciaires 2013</w:t>
      </w:r>
      <w:bookmarkEnd w:id="52"/>
    </w:p>
    <w:p w:rsidR="00D42474" w:rsidRDefault="00D42474" w:rsidP="001A5BF9">
      <w:pPr>
        <w:jc w:val="center"/>
        <w:rPr>
          <w:rFonts w:cs="Arial"/>
        </w:rPr>
      </w:pPr>
    </w:p>
    <w:p w:rsidR="00D42474" w:rsidRDefault="004007D3" w:rsidP="001A5BF9">
      <w:pPr>
        <w:jc w:val="both"/>
      </w:pPr>
      <w:r w:rsidRPr="00251542">
        <w:t>Comme toutes les initiatives visant à intégrer les activités dans le cadre de gestion axée sur les résultats de l</w:t>
      </w:r>
      <w:r w:rsidR="00A20444" w:rsidRPr="00251542">
        <w:t>’</w:t>
      </w:r>
      <w:r w:rsidRPr="00251542">
        <w:t>Organisation, quelle que soit la source des fonds, la présente annexe donne pour la première fois une vue globale des activités mises en œuvre pour les fonds fiduciaires de l</w:t>
      </w:r>
      <w:r w:rsidR="00A20444" w:rsidRPr="00251542">
        <w:t>’</w:t>
      </w:r>
      <w:r w:rsidRPr="00251542">
        <w:t xml:space="preserve">OMPI. </w:t>
      </w:r>
      <w:r w:rsidR="0010442A" w:rsidRPr="00251542">
        <w:t xml:space="preserve"> </w:t>
      </w:r>
      <w:r w:rsidRPr="00251542">
        <w:t xml:space="preserve">En même temps, ce rapport répond à une demande émise par les donateurs qui souhaitaient obtenir un rapport plus exhaustif sur tous les fonds fiduciaires avec des informations financières et pragmatiques. </w:t>
      </w:r>
      <w:r w:rsidR="0010442A" w:rsidRPr="00251542">
        <w:t xml:space="preserve"> </w:t>
      </w:r>
      <w:r w:rsidRPr="00251542">
        <w:t>Dans une volonté de regrouper tous les rapports, le rapport sur les fonds fiduciaires fait partie intégrante du Rapport sur l</w:t>
      </w:r>
      <w:r w:rsidR="00A20444" w:rsidRPr="00251542">
        <w:t>’</w:t>
      </w:r>
      <w:r w:rsidRPr="00251542">
        <w:t>exécution du programme et couvre des activités mises en œuvre en</w:t>
      </w:r>
      <w:r w:rsidR="0010442A" w:rsidRPr="00251542">
        <w:t> </w:t>
      </w:r>
      <w:r w:rsidRPr="00251542">
        <w:t>2013.</w:t>
      </w:r>
      <w:r w:rsidR="0010442A" w:rsidRPr="00251542">
        <w:t xml:space="preserve"> </w:t>
      </w:r>
      <w:r w:rsidR="004F3E42" w:rsidRPr="00251542">
        <w:t xml:space="preserve"> </w:t>
      </w:r>
      <w:r w:rsidRPr="00251542">
        <w:t>Le rapport annuel suivant concernant les fonds fiduciaires sera inclus dans le rapport sur l</w:t>
      </w:r>
      <w:r w:rsidR="00A20444" w:rsidRPr="00251542">
        <w:t>’</w:t>
      </w:r>
      <w:r w:rsidRPr="00251542">
        <w:t>exécution du programme pour 2014.</w:t>
      </w:r>
      <w:r w:rsidR="004F3E42" w:rsidRPr="00251542">
        <w:t xml:space="preserve"> </w:t>
      </w:r>
      <w:r w:rsidR="0010442A" w:rsidRPr="00251542">
        <w:t xml:space="preserve"> </w:t>
      </w:r>
      <w:r w:rsidRPr="00251542">
        <w:t>La présente annexe concerne les fonds fiduciaires précisés dans le tableau ci</w:t>
      </w:r>
      <w:r w:rsidR="002D6F2A" w:rsidRPr="00251542">
        <w:noBreakHyphen/>
      </w:r>
      <w:r w:rsidRPr="00251542">
        <w:t xml:space="preserve">dessous et </w:t>
      </w:r>
      <w:r w:rsidR="00857F09" w:rsidRPr="00251542">
        <w:t>exclut</w:t>
      </w:r>
      <w:r w:rsidRPr="00251542">
        <w:t xml:space="preserve"> ceux des administrateurs auxiliaires.</w:t>
      </w:r>
    </w:p>
    <w:p w:rsidR="004007D3" w:rsidRPr="005C7CCE" w:rsidRDefault="004007D3" w:rsidP="001A5BF9">
      <w:pPr>
        <w:jc w:val="cente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249"/>
      </w:tblGrid>
      <w:tr w:rsidR="00DF60ED" w:rsidRPr="00251542" w:rsidTr="00B470C6">
        <w:tc>
          <w:tcPr>
            <w:tcW w:w="2228" w:type="pct"/>
            <w:shd w:val="clear" w:color="auto" w:fill="CCFFFF"/>
            <w:tcMar>
              <w:top w:w="57" w:type="dxa"/>
              <w:left w:w="57" w:type="dxa"/>
              <w:bottom w:w="57" w:type="dxa"/>
              <w:right w:w="57" w:type="dxa"/>
            </w:tcMar>
          </w:tcPr>
          <w:p w:rsidR="00DF60ED" w:rsidRPr="00251542" w:rsidRDefault="00DF60ED" w:rsidP="00B470C6">
            <w:pPr>
              <w:jc w:val="center"/>
              <w:rPr>
                <w:rFonts w:cs="Arial"/>
                <w:b/>
                <w:bCs/>
                <w:sz w:val="18"/>
                <w:szCs w:val="18"/>
              </w:rPr>
            </w:pPr>
            <w:r w:rsidRPr="00251542">
              <w:rPr>
                <w:b/>
                <w:sz w:val="18"/>
              </w:rPr>
              <w:t>FONDS FIDUCIAIRES</w:t>
            </w:r>
          </w:p>
        </w:tc>
        <w:tc>
          <w:tcPr>
            <w:tcW w:w="2772" w:type="pct"/>
            <w:shd w:val="clear" w:color="auto" w:fill="CCFFFF"/>
            <w:tcMar>
              <w:top w:w="57" w:type="dxa"/>
              <w:left w:w="57" w:type="dxa"/>
              <w:bottom w:w="57" w:type="dxa"/>
              <w:right w:w="57" w:type="dxa"/>
            </w:tcMar>
          </w:tcPr>
          <w:p w:rsidR="00DF60ED" w:rsidRPr="00251542" w:rsidRDefault="00DF60ED" w:rsidP="00B470C6">
            <w:pPr>
              <w:jc w:val="center"/>
              <w:rPr>
                <w:rFonts w:cs="Arial"/>
                <w:b/>
                <w:bCs/>
                <w:sz w:val="18"/>
                <w:szCs w:val="18"/>
              </w:rPr>
            </w:pPr>
            <w:r w:rsidRPr="00251542">
              <w:rPr>
                <w:b/>
                <w:sz w:val="18"/>
              </w:rPr>
              <w:t>SECTEUR DE MISE EN ŒUVRE</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Australie</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Cabinet du Directeur général</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Brésil</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Infrastructure mondiale</w:t>
            </w:r>
          </w:p>
        </w:tc>
      </w:tr>
      <w:tr w:rsidR="00DF60ED" w:rsidRPr="00251542" w:rsidTr="00B470C6">
        <w:tc>
          <w:tcPr>
            <w:tcW w:w="2228" w:type="pct"/>
            <w:tcMar>
              <w:top w:w="57" w:type="dxa"/>
              <w:left w:w="57" w:type="dxa"/>
              <w:bottom w:w="57" w:type="dxa"/>
              <w:right w:w="57" w:type="dxa"/>
            </w:tcMar>
            <w:vAlign w:val="center"/>
          </w:tcPr>
          <w:p w:rsidR="00DF60ED" w:rsidRPr="00251542" w:rsidRDefault="00DF60ED" w:rsidP="00B470C6">
            <w:pPr>
              <w:rPr>
                <w:rFonts w:cs="Arial"/>
                <w:sz w:val="18"/>
                <w:szCs w:val="18"/>
              </w:rPr>
            </w:pPr>
            <w:r w:rsidRPr="00251542">
              <w:rPr>
                <w:sz w:val="18"/>
              </w:rPr>
              <w:t>Union européenne/Pakistan</w:t>
            </w:r>
          </w:p>
        </w:tc>
        <w:tc>
          <w:tcPr>
            <w:tcW w:w="2772" w:type="pct"/>
            <w:tcMar>
              <w:top w:w="57" w:type="dxa"/>
              <w:left w:w="57" w:type="dxa"/>
              <w:bottom w:w="57" w:type="dxa"/>
              <w:right w:w="57" w:type="dxa"/>
            </w:tcMar>
            <w:vAlign w:val="center"/>
          </w:tcPr>
          <w:p w:rsidR="00DF60ED" w:rsidRPr="00251542" w:rsidRDefault="00DF60ED" w:rsidP="00B470C6">
            <w:pPr>
              <w:rPr>
                <w:rFonts w:cs="Arial"/>
                <w:sz w:val="18"/>
                <w:szCs w:val="18"/>
              </w:rPr>
            </w:pPr>
            <w:r w:rsidRPr="00251542">
              <w:rPr>
                <w:sz w:val="18"/>
              </w:rPr>
              <w:t>Secteur du développement</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Finlande/droit d</w:t>
            </w:r>
            <w:r w:rsidR="00A20444" w:rsidRPr="00251542">
              <w:rPr>
                <w:sz w:val="18"/>
              </w:rPr>
              <w:t>’</w:t>
            </w:r>
            <w:r w:rsidRPr="00251542">
              <w:rPr>
                <w:sz w:val="18"/>
              </w:rPr>
              <w:t>auteur III</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de la culture et des industries de la création</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France/propriété intellectuelle</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du développement</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Programme ibéro</w:t>
            </w:r>
            <w:r w:rsidR="002D6F2A" w:rsidRPr="00251542">
              <w:rPr>
                <w:sz w:val="18"/>
              </w:rPr>
              <w:noBreakHyphen/>
            </w:r>
            <w:r w:rsidRPr="00251542">
              <w:rPr>
                <w:sz w:val="18"/>
              </w:rPr>
              <w:t>américain de la propriété industrielle</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du développement</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Italie</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du développement</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Japon/droit d</w:t>
            </w:r>
            <w:r w:rsidR="00A20444" w:rsidRPr="00251542">
              <w:rPr>
                <w:sz w:val="18"/>
              </w:rPr>
              <w:t>’</w:t>
            </w:r>
            <w:r w:rsidRPr="00251542">
              <w:rPr>
                <w:sz w:val="18"/>
              </w:rPr>
              <w:t>auteur</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de la culture et des industries de la création</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Japon/propriété intellectuelle</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du développement</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Japon/propriété intellectuelle/Afrique</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du développement</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République de Corée/droit d</w:t>
            </w:r>
            <w:r w:rsidR="00A20444" w:rsidRPr="00251542">
              <w:rPr>
                <w:sz w:val="18"/>
              </w:rPr>
              <w:t>’</w:t>
            </w:r>
            <w:r w:rsidRPr="00251542">
              <w:rPr>
                <w:sz w:val="18"/>
              </w:rPr>
              <w:t>auteur</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de la culture et des industries de la création</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République de Corée/éducation</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du développement</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République de Corée/propriété intellectuelle</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du développement</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Espagne</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du développement</w:t>
            </w:r>
          </w:p>
        </w:tc>
      </w:tr>
      <w:tr w:rsidR="00DF60ED" w:rsidRPr="00251542" w:rsidTr="00B470C6">
        <w:tc>
          <w:tcPr>
            <w:tcW w:w="2228"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États</w:t>
            </w:r>
            <w:r w:rsidR="002D6F2A" w:rsidRPr="00251542">
              <w:rPr>
                <w:sz w:val="18"/>
              </w:rPr>
              <w:noBreakHyphen/>
            </w:r>
            <w:r w:rsidRPr="00251542">
              <w:rPr>
                <w:sz w:val="18"/>
              </w:rPr>
              <w:t>Unis d</w:t>
            </w:r>
            <w:r w:rsidR="00A20444" w:rsidRPr="00251542">
              <w:rPr>
                <w:sz w:val="18"/>
              </w:rPr>
              <w:t>’</w:t>
            </w:r>
            <w:r w:rsidRPr="00251542">
              <w:rPr>
                <w:sz w:val="18"/>
              </w:rPr>
              <w:t>Amérique/droit d</w:t>
            </w:r>
            <w:r w:rsidR="00A20444" w:rsidRPr="00251542">
              <w:rPr>
                <w:sz w:val="18"/>
              </w:rPr>
              <w:t>’</w:t>
            </w:r>
            <w:r w:rsidRPr="00251542">
              <w:rPr>
                <w:sz w:val="18"/>
              </w:rPr>
              <w:t>auteur</w:t>
            </w:r>
          </w:p>
        </w:tc>
        <w:tc>
          <w:tcPr>
            <w:tcW w:w="2772" w:type="pct"/>
            <w:tcMar>
              <w:top w:w="57" w:type="dxa"/>
              <w:left w:w="57" w:type="dxa"/>
              <w:bottom w:w="57" w:type="dxa"/>
              <w:right w:w="57" w:type="dxa"/>
            </w:tcMar>
          </w:tcPr>
          <w:p w:rsidR="00DF60ED" w:rsidRPr="00251542" w:rsidRDefault="00DF60ED" w:rsidP="00B470C6">
            <w:pPr>
              <w:rPr>
                <w:rFonts w:cs="Arial"/>
                <w:sz w:val="18"/>
                <w:szCs w:val="18"/>
              </w:rPr>
            </w:pPr>
            <w:r w:rsidRPr="00251542">
              <w:rPr>
                <w:sz w:val="18"/>
              </w:rPr>
              <w:t>Secteur de la culture et des industries de la création</w:t>
            </w:r>
          </w:p>
        </w:tc>
      </w:tr>
    </w:tbl>
    <w:p w:rsidR="00D42474" w:rsidRDefault="00D42474" w:rsidP="001A5BF9">
      <w:pPr>
        <w:rPr>
          <w:b/>
        </w:rPr>
      </w:pPr>
    </w:p>
    <w:p w:rsidR="00D42474" w:rsidRDefault="00B470C6">
      <w:pPr>
        <w:rPr>
          <w:b/>
        </w:rPr>
      </w:pPr>
      <w:r>
        <w:rPr>
          <w:b/>
        </w:rPr>
        <w:br w:type="page"/>
      </w:r>
    </w:p>
    <w:p w:rsidR="00D42474" w:rsidRDefault="004007D3" w:rsidP="001A5BF9">
      <w:pPr>
        <w:rPr>
          <w:rFonts w:cs="Arial"/>
          <w:b/>
          <w:szCs w:val="20"/>
        </w:rPr>
      </w:pPr>
      <w:r w:rsidRPr="00251542">
        <w:rPr>
          <w:b/>
        </w:rPr>
        <w:t>AUSTRALIE</w:t>
      </w:r>
    </w:p>
    <w:p w:rsidR="004007D3" w:rsidRPr="00251542" w:rsidRDefault="004007D3" w:rsidP="001A5BF9">
      <w:pPr>
        <w:rPr>
          <w:rFonts w:cs="Arial"/>
          <w:b/>
          <w:szCs w:val="20"/>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985"/>
        <w:gridCol w:w="850"/>
        <w:gridCol w:w="3260"/>
      </w:tblGrid>
      <w:tr w:rsidR="004007D3" w:rsidRPr="00251542" w:rsidTr="0056083E">
        <w:trPr>
          <w:cantSplit/>
        </w:trPr>
        <w:tc>
          <w:tcPr>
            <w:tcW w:w="9072" w:type="dxa"/>
            <w:gridSpan w:val="5"/>
            <w:tcBorders>
              <w:top w:val="single" w:sz="4" w:space="0" w:color="000000"/>
              <w:bottom w:val="single" w:sz="4" w:space="0" w:color="000000"/>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xml:space="preserve"> : </w:t>
            </w:r>
            <w:r w:rsidRPr="00251542">
              <w:rPr>
                <w:b/>
                <w:sz w:val="16"/>
              </w:rPr>
              <w:tab/>
            </w:r>
            <w:r w:rsidRPr="00251542">
              <w:rPr>
                <w:sz w:val="16"/>
              </w:rPr>
              <w:t>Politiques nationales de propriété intellectuelle et d</w:t>
            </w:r>
            <w:r w:rsidR="00A20444" w:rsidRPr="00251542">
              <w:rPr>
                <w:sz w:val="16"/>
              </w:rPr>
              <w:t>’</w:t>
            </w:r>
            <w:r w:rsidRPr="00251542">
              <w:rPr>
                <w:sz w:val="16"/>
              </w:rPr>
              <w:t>innovation cohérentes et clairement définies, stratégies et plans de développement conformes aux objectifs nationaux</w:t>
            </w:r>
          </w:p>
        </w:tc>
      </w:tr>
      <w:tr w:rsidR="004007D3" w:rsidRPr="00251542" w:rsidTr="0056083E">
        <w:trPr>
          <w:cantSplit/>
        </w:trPr>
        <w:tc>
          <w:tcPr>
            <w:tcW w:w="1843" w:type="dxa"/>
            <w:tcBorders>
              <w:top w:val="single" w:sz="4" w:space="0" w:color="000000"/>
            </w:tcBorders>
            <w:vAlign w:val="center"/>
          </w:tcPr>
          <w:p w:rsidR="004007D3" w:rsidRPr="00251542" w:rsidRDefault="004007D3" w:rsidP="001A5BF9">
            <w:pPr>
              <w:keepNext/>
              <w:keepLines/>
              <w:rPr>
                <w:rFonts w:cs="Arial"/>
                <w:b/>
                <w:bCs/>
                <w:sz w:val="16"/>
                <w:szCs w:val="16"/>
              </w:rPr>
            </w:pPr>
            <w:r w:rsidRPr="00251542">
              <w:rPr>
                <w:b/>
                <w:sz w:val="16"/>
              </w:rPr>
              <w:t>Activité</w:t>
            </w:r>
          </w:p>
        </w:tc>
        <w:tc>
          <w:tcPr>
            <w:tcW w:w="1134" w:type="dxa"/>
            <w:tcBorders>
              <w:top w:val="single" w:sz="4" w:space="0" w:color="000000"/>
            </w:tcBorders>
            <w:shd w:val="clear" w:color="auto" w:fill="auto"/>
            <w:tcMar>
              <w:top w:w="110" w:type="dxa"/>
            </w:tcMar>
            <w:vAlign w:val="center"/>
          </w:tcPr>
          <w:p w:rsidR="004007D3" w:rsidRPr="00251542" w:rsidRDefault="004007D3" w:rsidP="001A5BF9">
            <w:pPr>
              <w:keepNext/>
              <w:keepLines/>
              <w:rPr>
                <w:rFonts w:cs="Arial"/>
                <w:sz w:val="16"/>
                <w:szCs w:val="16"/>
              </w:rPr>
            </w:pPr>
            <w:r w:rsidRPr="00251542">
              <w:rPr>
                <w:b/>
                <w:sz w:val="16"/>
              </w:rPr>
              <w:t>Date</w:t>
            </w:r>
          </w:p>
        </w:tc>
        <w:tc>
          <w:tcPr>
            <w:tcW w:w="1985" w:type="dxa"/>
            <w:tcBorders>
              <w:top w:val="single" w:sz="4" w:space="0" w:color="000000"/>
            </w:tcBorders>
            <w:shd w:val="clear" w:color="auto" w:fill="auto"/>
            <w:tcMar>
              <w:top w:w="110" w:type="dxa"/>
            </w:tcMar>
            <w:vAlign w:val="center"/>
          </w:tcPr>
          <w:p w:rsidR="004007D3" w:rsidRPr="00251542" w:rsidRDefault="004007D3" w:rsidP="001A5BF9">
            <w:pPr>
              <w:keepNext/>
              <w:keepLines/>
              <w:rPr>
                <w:rFonts w:cs="Arial"/>
                <w:sz w:val="16"/>
                <w:szCs w:val="16"/>
              </w:rPr>
            </w:pPr>
            <w:r w:rsidRPr="00251542">
              <w:rPr>
                <w:b/>
                <w:sz w:val="16"/>
              </w:rPr>
              <w:t>Pays hôte/bénéficiaire</w:t>
            </w:r>
          </w:p>
        </w:tc>
        <w:tc>
          <w:tcPr>
            <w:tcW w:w="4110" w:type="dxa"/>
            <w:gridSpan w:val="2"/>
            <w:tcBorders>
              <w:top w:val="single" w:sz="4" w:space="0" w:color="000000"/>
            </w:tcBorders>
            <w:shd w:val="clear" w:color="auto" w:fill="FFFFFF"/>
            <w:tcMar>
              <w:top w:w="110" w:type="dxa"/>
            </w:tcMar>
            <w:vAlign w:val="center"/>
          </w:tcPr>
          <w:p w:rsidR="004007D3" w:rsidRPr="00251542" w:rsidRDefault="004007D3" w:rsidP="001A5BF9">
            <w:pPr>
              <w:keepNext/>
              <w:keepLines/>
              <w:rPr>
                <w:rFonts w:cs="Arial"/>
                <w:sz w:val="16"/>
                <w:szCs w:val="16"/>
              </w:rPr>
            </w:pPr>
            <w:r w:rsidRPr="00251542">
              <w:rPr>
                <w:b/>
                <w:sz w:val="16"/>
              </w:rPr>
              <w:t>Objectif(s)/description(s)</w:t>
            </w:r>
          </w:p>
        </w:tc>
      </w:tr>
      <w:tr w:rsidR="004007D3" w:rsidRPr="00251542" w:rsidTr="0056083E">
        <w:trPr>
          <w:cantSplit/>
          <w:trHeight w:val="49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Mission/Stratégie en matière de propriété intellectuelle</w:t>
            </w:r>
          </w:p>
        </w:tc>
        <w:tc>
          <w:tcPr>
            <w:tcW w:w="1134" w:type="dxa"/>
          </w:tcPr>
          <w:p w:rsidR="004007D3" w:rsidRPr="00251542" w:rsidRDefault="00ED7374" w:rsidP="001A5BF9">
            <w:pPr>
              <w:autoSpaceDE w:val="0"/>
              <w:autoSpaceDN w:val="0"/>
              <w:adjustRightInd w:val="0"/>
              <w:spacing w:before="120" w:after="120"/>
              <w:rPr>
                <w:rFonts w:cs="Arial"/>
                <w:sz w:val="16"/>
                <w:szCs w:val="16"/>
              </w:rPr>
            </w:pPr>
            <w:r>
              <w:rPr>
                <w:sz w:val="16"/>
              </w:rPr>
              <w:t>j</w:t>
            </w:r>
            <w:r w:rsidR="004007D3" w:rsidRPr="00251542">
              <w:rPr>
                <w:sz w:val="16"/>
              </w:rPr>
              <w:t xml:space="preserve">anvier – </w:t>
            </w:r>
            <w:r w:rsidR="00A20444" w:rsidRPr="00251542">
              <w:rPr>
                <w:sz w:val="16"/>
              </w:rPr>
              <w:t>avril 20</w:t>
            </w:r>
            <w:r w:rsidR="004007D3"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Cambodge</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Aider le Cambodge à formuler une stratégie nationale de propriété intellectuelle dans le but d</w:t>
            </w:r>
            <w:r w:rsidR="00A20444" w:rsidRPr="00251542">
              <w:rPr>
                <w:sz w:val="16"/>
              </w:rPr>
              <w:t>’</w:t>
            </w:r>
            <w:r w:rsidRPr="00251542">
              <w:rPr>
                <w:sz w:val="16"/>
              </w:rPr>
              <w:t>exploiter les capacités nationales en matière de propriété intellectuelle pour atteindre les objectifs de développement</w:t>
            </w:r>
          </w:p>
        </w:tc>
      </w:tr>
      <w:tr w:rsidR="004007D3" w:rsidRPr="00251542" w:rsidTr="0056083E">
        <w:trPr>
          <w:cantSplit/>
          <w:trHeight w:val="530"/>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Mission/Bilan et évaluation des besoins</w:t>
            </w:r>
          </w:p>
        </w:tc>
        <w:tc>
          <w:tcPr>
            <w:tcW w:w="1134" w:type="dxa"/>
          </w:tcPr>
          <w:p w:rsidR="004007D3" w:rsidRPr="00251542" w:rsidRDefault="004007D3" w:rsidP="00ED7374">
            <w:pPr>
              <w:autoSpaceDE w:val="0"/>
              <w:autoSpaceDN w:val="0"/>
              <w:adjustRightInd w:val="0"/>
              <w:spacing w:before="120" w:after="120"/>
              <w:rPr>
                <w:rFonts w:cs="Arial"/>
                <w:sz w:val="16"/>
                <w:szCs w:val="16"/>
              </w:rPr>
            </w:pPr>
            <w:r w:rsidRPr="00251542">
              <w:rPr>
                <w:sz w:val="16"/>
              </w:rPr>
              <w:t xml:space="preserve">2 – </w:t>
            </w:r>
            <w:r w:rsidR="00A20444" w:rsidRPr="00251542">
              <w:rPr>
                <w:sz w:val="16"/>
              </w:rPr>
              <w:t>5</w:t>
            </w:r>
            <w:r w:rsidR="00ED7374">
              <w:rPr>
                <w:sz w:val="16"/>
              </w:rPr>
              <w:t xml:space="preserve"> </w:t>
            </w:r>
            <w:r w:rsidR="00A20444" w:rsidRPr="00251542">
              <w:rPr>
                <w:sz w:val="16"/>
              </w:rPr>
              <w:t>avril 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Îles Salomon</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Produire un rapport sur “la propriété intellectuelle dans les Îles Salomon”, fournissant une évaluation de la situation actuelle de la propriété intellectuelle dans le pays et servant de base pour l</w:t>
            </w:r>
            <w:r w:rsidR="00A20444" w:rsidRPr="00251542">
              <w:rPr>
                <w:sz w:val="16"/>
              </w:rPr>
              <w:t>’</w:t>
            </w:r>
            <w:r w:rsidRPr="00251542">
              <w:rPr>
                <w:sz w:val="16"/>
              </w:rPr>
              <w:t>élaboration d</w:t>
            </w:r>
            <w:r w:rsidR="00A20444" w:rsidRPr="00251542">
              <w:rPr>
                <w:sz w:val="16"/>
              </w:rPr>
              <w:t>’</w:t>
            </w:r>
            <w:r w:rsidRPr="00251542">
              <w:rPr>
                <w:sz w:val="16"/>
              </w:rPr>
              <w:t>une stratégie de propriété intellectuelle</w:t>
            </w:r>
          </w:p>
        </w:tc>
      </w:tr>
      <w:tr w:rsidR="004007D3" w:rsidRPr="00251542" w:rsidTr="0056083E">
        <w:trPr>
          <w:cantSplit/>
          <w:trHeight w:val="552"/>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Mission/Évaluation des besoins et stratégie en matière de propriété intellectuelle</w:t>
            </w:r>
          </w:p>
        </w:tc>
        <w:tc>
          <w:tcPr>
            <w:tcW w:w="1134" w:type="dxa"/>
          </w:tcPr>
          <w:p w:rsidR="004007D3" w:rsidRPr="00251542" w:rsidRDefault="004007D3" w:rsidP="00ED7374">
            <w:pPr>
              <w:autoSpaceDE w:val="0"/>
              <w:autoSpaceDN w:val="0"/>
              <w:adjustRightInd w:val="0"/>
              <w:spacing w:before="120" w:after="120"/>
              <w:rPr>
                <w:rFonts w:cs="Arial"/>
                <w:sz w:val="16"/>
                <w:szCs w:val="16"/>
              </w:rPr>
            </w:pPr>
            <w:r w:rsidRPr="00251542">
              <w:rPr>
                <w:sz w:val="16"/>
              </w:rPr>
              <w:t>13 – 1</w:t>
            </w:r>
            <w:r w:rsidR="00A20444" w:rsidRPr="00251542">
              <w:rPr>
                <w:sz w:val="16"/>
              </w:rPr>
              <w:t>6</w:t>
            </w:r>
            <w:r w:rsidR="00ED7374">
              <w:rPr>
                <w:sz w:val="16"/>
              </w:rPr>
              <w:t xml:space="preserve"> </w:t>
            </w:r>
            <w:r w:rsidR="00A20444" w:rsidRPr="00251542">
              <w:rPr>
                <w:sz w:val="16"/>
              </w:rPr>
              <w:t>mai 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Vanuatu</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Effectuer une évaluation approfondie de la modernisation du système national de propriété intellectuelle et préparer un premier projet de stratégie de propriété intellectuelle nationale afin de permettre l</w:t>
            </w:r>
            <w:r w:rsidR="00A20444" w:rsidRPr="00251542">
              <w:rPr>
                <w:sz w:val="16"/>
              </w:rPr>
              <w:t>’</w:t>
            </w:r>
            <w:r w:rsidRPr="00251542">
              <w:rPr>
                <w:sz w:val="16"/>
              </w:rPr>
              <w:t>utilisation efficace du système de propriété intellectuelle national pour le développement économique</w:t>
            </w:r>
          </w:p>
        </w:tc>
      </w:tr>
      <w:tr w:rsidR="004007D3" w:rsidRPr="00251542" w:rsidTr="0056083E">
        <w:trPr>
          <w:cantSplit/>
          <w:trHeight w:val="552"/>
        </w:trPr>
        <w:tc>
          <w:tcPr>
            <w:tcW w:w="1843"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Mission/Évaluation des besoins et stratégie en matière de propriété intellectuelle</w:t>
            </w:r>
          </w:p>
        </w:tc>
        <w:tc>
          <w:tcPr>
            <w:tcW w:w="1134" w:type="dxa"/>
            <w:tcBorders>
              <w:bottom w:val="single" w:sz="4" w:space="0" w:color="000000"/>
            </w:tcBorders>
          </w:tcPr>
          <w:p w:rsidR="004007D3" w:rsidRPr="00251542" w:rsidRDefault="004007D3" w:rsidP="00ED7374">
            <w:pPr>
              <w:autoSpaceDE w:val="0"/>
              <w:autoSpaceDN w:val="0"/>
              <w:adjustRightInd w:val="0"/>
              <w:spacing w:before="120" w:after="120"/>
              <w:rPr>
                <w:rFonts w:cs="Arial"/>
                <w:sz w:val="16"/>
                <w:szCs w:val="16"/>
              </w:rPr>
            </w:pPr>
            <w:r w:rsidRPr="00251542">
              <w:rPr>
                <w:sz w:val="16"/>
              </w:rPr>
              <w:t>20 – 2</w:t>
            </w:r>
            <w:r w:rsidR="00A20444" w:rsidRPr="00251542">
              <w:rPr>
                <w:sz w:val="16"/>
              </w:rPr>
              <w:t>3</w:t>
            </w:r>
            <w:r w:rsidR="00ED7374">
              <w:rPr>
                <w:sz w:val="16"/>
              </w:rPr>
              <w:t xml:space="preserve"> </w:t>
            </w:r>
            <w:r w:rsidR="00A20444" w:rsidRPr="00251542">
              <w:rPr>
                <w:sz w:val="16"/>
              </w:rPr>
              <w:t>mai 20</w:t>
            </w:r>
            <w:r w:rsidRPr="00251542">
              <w:rPr>
                <w:sz w:val="16"/>
              </w:rPr>
              <w:t>13</w:t>
            </w:r>
          </w:p>
        </w:tc>
        <w:tc>
          <w:tcPr>
            <w:tcW w:w="1985"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Tonga</w:t>
            </w:r>
          </w:p>
        </w:tc>
        <w:tc>
          <w:tcPr>
            <w:tcW w:w="4110" w:type="dxa"/>
            <w:gridSpan w:val="2"/>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Effectuer une évaluation approfondie de la modernisation du système national de propriété intellectuelle et préparer un premier projet de stratégie de propriété intellectuelle nationale afin de permettre l</w:t>
            </w:r>
            <w:r w:rsidR="00A20444" w:rsidRPr="00251542">
              <w:rPr>
                <w:sz w:val="16"/>
              </w:rPr>
              <w:t>’</w:t>
            </w:r>
            <w:r w:rsidRPr="00251542">
              <w:rPr>
                <w:sz w:val="16"/>
              </w:rPr>
              <w:t>utilisation efficace du système de propriété intellectuelle national pour le développement économique</w:t>
            </w:r>
          </w:p>
        </w:tc>
      </w:tr>
      <w:tr w:rsidR="004007D3" w:rsidRPr="00251542" w:rsidTr="0056083E">
        <w:trPr>
          <w:cantSplit/>
        </w:trPr>
        <w:tc>
          <w:tcPr>
            <w:tcW w:w="9072" w:type="dxa"/>
            <w:gridSpan w:val="5"/>
            <w:tcBorders>
              <w:top w:val="single" w:sz="4" w:space="0" w:color="000000"/>
              <w:bottom w:val="single" w:sz="4" w:space="0" w:color="000000"/>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 :</w:t>
            </w:r>
            <w:r w:rsidR="0010442A" w:rsidRPr="00251542">
              <w:rPr>
                <w:b/>
                <w:sz w:val="16"/>
              </w:rPr>
              <w:t xml:space="preserve"> </w:t>
            </w:r>
            <w:r w:rsidRPr="00251542">
              <w:rPr>
                <w:b/>
                <w:sz w:val="16"/>
              </w:rPr>
              <w:tab/>
            </w:r>
            <w:r w:rsidRPr="00251542">
              <w:rPr>
                <w:sz w:val="16"/>
              </w:rPr>
              <w:t>Les offices de propriété intellectuelle comprennent mieux les exigences et les processus d</w:t>
            </w:r>
            <w:r w:rsidR="00A20444" w:rsidRPr="00251542">
              <w:rPr>
                <w:sz w:val="16"/>
              </w:rPr>
              <w:t>’</w:t>
            </w:r>
            <w:r w:rsidRPr="00251542">
              <w:rPr>
                <w:sz w:val="16"/>
              </w:rPr>
              <w:t>adhésion requis pour mettre en œuvre le PCT dans leur pays et sont plus confiants à leur égard</w:t>
            </w:r>
          </w:p>
        </w:tc>
      </w:tr>
      <w:tr w:rsidR="004007D3" w:rsidRPr="00ED7374" w:rsidTr="0056083E">
        <w:trPr>
          <w:cantSplit/>
        </w:trPr>
        <w:tc>
          <w:tcPr>
            <w:tcW w:w="1843" w:type="dxa"/>
            <w:tcBorders>
              <w:top w:val="single" w:sz="4" w:space="0" w:color="000000"/>
            </w:tcBorders>
            <w:vAlign w:val="center"/>
          </w:tcPr>
          <w:p w:rsidR="004007D3" w:rsidRPr="00ED7374" w:rsidRDefault="004007D3" w:rsidP="001A5BF9">
            <w:pPr>
              <w:keepNext/>
              <w:keepLines/>
              <w:rPr>
                <w:rFonts w:cs="Arial"/>
                <w:b/>
                <w:bCs/>
                <w:sz w:val="16"/>
                <w:szCs w:val="16"/>
              </w:rPr>
            </w:pPr>
            <w:r w:rsidRPr="00ED7374">
              <w:rPr>
                <w:b/>
                <w:sz w:val="16"/>
              </w:rPr>
              <w:t>Activité</w:t>
            </w:r>
          </w:p>
        </w:tc>
        <w:tc>
          <w:tcPr>
            <w:tcW w:w="1134" w:type="dxa"/>
            <w:tcBorders>
              <w:top w:val="single" w:sz="4" w:space="0" w:color="000000"/>
            </w:tcBorders>
            <w:shd w:val="clear" w:color="auto" w:fill="auto"/>
            <w:tcMar>
              <w:top w:w="110" w:type="dxa"/>
            </w:tcMar>
            <w:vAlign w:val="center"/>
          </w:tcPr>
          <w:p w:rsidR="004007D3" w:rsidRPr="00ED7374" w:rsidRDefault="004007D3" w:rsidP="001A5BF9">
            <w:pPr>
              <w:keepNext/>
              <w:keepLines/>
              <w:rPr>
                <w:rFonts w:cs="Arial"/>
                <w:b/>
                <w:sz w:val="16"/>
                <w:szCs w:val="16"/>
              </w:rPr>
            </w:pPr>
            <w:r w:rsidRPr="00ED7374">
              <w:rPr>
                <w:b/>
                <w:sz w:val="16"/>
              </w:rPr>
              <w:t>Date</w:t>
            </w:r>
          </w:p>
        </w:tc>
        <w:tc>
          <w:tcPr>
            <w:tcW w:w="1985" w:type="dxa"/>
            <w:tcBorders>
              <w:top w:val="single" w:sz="4" w:space="0" w:color="000000"/>
            </w:tcBorders>
            <w:shd w:val="clear" w:color="auto" w:fill="auto"/>
            <w:tcMar>
              <w:top w:w="110" w:type="dxa"/>
            </w:tcMar>
            <w:vAlign w:val="center"/>
          </w:tcPr>
          <w:p w:rsidR="004007D3" w:rsidRPr="00ED7374" w:rsidRDefault="004007D3" w:rsidP="001A5BF9">
            <w:pPr>
              <w:keepNext/>
              <w:keepLines/>
              <w:rPr>
                <w:rFonts w:cs="Arial"/>
                <w:b/>
                <w:sz w:val="16"/>
                <w:szCs w:val="16"/>
              </w:rPr>
            </w:pPr>
            <w:r w:rsidRPr="00ED7374">
              <w:rPr>
                <w:b/>
                <w:sz w:val="16"/>
              </w:rPr>
              <w:t>Pays hôte/bénéficiaire</w:t>
            </w:r>
          </w:p>
        </w:tc>
        <w:tc>
          <w:tcPr>
            <w:tcW w:w="4110" w:type="dxa"/>
            <w:gridSpan w:val="2"/>
            <w:tcBorders>
              <w:top w:val="single" w:sz="4" w:space="0" w:color="000000"/>
            </w:tcBorders>
            <w:shd w:val="clear" w:color="auto" w:fill="FFFFFF"/>
            <w:tcMar>
              <w:top w:w="110" w:type="dxa"/>
            </w:tcMar>
            <w:vAlign w:val="center"/>
          </w:tcPr>
          <w:p w:rsidR="004007D3" w:rsidRPr="00ED7374" w:rsidRDefault="004007D3" w:rsidP="001A5BF9">
            <w:pPr>
              <w:keepNext/>
              <w:keepLines/>
              <w:rPr>
                <w:rFonts w:cs="Arial"/>
                <w:b/>
                <w:sz w:val="16"/>
                <w:szCs w:val="16"/>
              </w:rPr>
            </w:pPr>
            <w:r w:rsidRPr="00ED7374">
              <w:rPr>
                <w:b/>
                <w:sz w:val="16"/>
              </w:rPr>
              <w:t>Objectif(s)/description(s)</w:t>
            </w:r>
          </w:p>
        </w:tc>
      </w:tr>
      <w:tr w:rsidR="004007D3" w:rsidRPr="00251542" w:rsidTr="0056083E">
        <w:trPr>
          <w:cantSplit/>
          <w:trHeight w:val="520"/>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Séminaire sous</w:t>
            </w:r>
            <w:r w:rsidR="002D6F2A" w:rsidRPr="00251542">
              <w:rPr>
                <w:sz w:val="16"/>
              </w:rPr>
              <w:noBreakHyphen/>
            </w:r>
            <w:r w:rsidRPr="00251542">
              <w:rPr>
                <w:sz w:val="16"/>
              </w:rPr>
              <w:t>régional sur le PCT</w:t>
            </w:r>
          </w:p>
        </w:tc>
        <w:tc>
          <w:tcPr>
            <w:tcW w:w="1134"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19 et 2</w:t>
            </w:r>
            <w:r w:rsidR="00ED7374">
              <w:rPr>
                <w:sz w:val="16"/>
              </w:rPr>
              <w:t xml:space="preserve">0 février </w:t>
            </w:r>
            <w:r w:rsidR="00A20444" w:rsidRPr="00251542">
              <w:rPr>
                <w:sz w:val="16"/>
              </w:rPr>
              <w:t>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Afrique du Sud/Rwanda, Ouganda et République</w:t>
            </w:r>
            <w:r w:rsidR="002D6F2A" w:rsidRPr="00251542">
              <w:rPr>
                <w:sz w:val="16"/>
              </w:rPr>
              <w:noBreakHyphen/>
            </w:r>
            <w:r w:rsidRPr="00251542">
              <w:rPr>
                <w:sz w:val="16"/>
              </w:rPr>
              <w:t xml:space="preserve">Unie de Tanzanie </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Présenter aux chefs de bureaux récemment nommés dans plusieurs pays africains une vue d</w:t>
            </w:r>
            <w:r w:rsidR="00A20444" w:rsidRPr="00251542">
              <w:rPr>
                <w:sz w:val="16"/>
              </w:rPr>
              <w:t>’</w:t>
            </w:r>
            <w:r w:rsidRPr="00251542">
              <w:rPr>
                <w:sz w:val="16"/>
              </w:rPr>
              <w:t>ensemble du PCT et des moyens visant à améliorer les systèmes nationaux de brevets dans le cadre du système international</w:t>
            </w:r>
          </w:p>
        </w:tc>
      </w:tr>
      <w:tr w:rsidR="004007D3" w:rsidRPr="00251542" w:rsidTr="0056083E">
        <w:trPr>
          <w:cantSplit/>
          <w:trHeight w:val="520"/>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Atelier sous</w:t>
            </w:r>
            <w:r w:rsidR="002D6F2A" w:rsidRPr="00251542">
              <w:rPr>
                <w:sz w:val="16"/>
              </w:rPr>
              <w:noBreakHyphen/>
            </w:r>
            <w:r w:rsidRPr="00251542">
              <w:rPr>
                <w:sz w:val="16"/>
              </w:rPr>
              <w:t>régional sur le PCT pour les pays de la région Asie et Pacifique</w:t>
            </w:r>
          </w:p>
        </w:tc>
        <w:tc>
          <w:tcPr>
            <w:tcW w:w="1134" w:type="dxa"/>
          </w:tcPr>
          <w:p w:rsidR="004007D3" w:rsidRPr="00251542" w:rsidRDefault="004007D3" w:rsidP="00ED7374">
            <w:pPr>
              <w:autoSpaceDE w:val="0"/>
              <w:autoSpaceDN w:val="0"/>
              <w:adjustRightInd w:val="0"/>
              <w:spacing w:before="120" w:after="120"/>
              <w:rPr>
                <w:rFonts w:cs="Arial"/>
                <w:sz w:val="16"/>
                <w:szCs w:val="16"/>
              </w:rPr>
            </w:pPr>
            <w:r w:rsidRPr="00251542">
              <w:rPr>
                <w:sz w:val="16"/>
              </w:rPr>
              <w:t>15 – 1</w:t>
            </w:r>
            <w:r w:rsidR="00A20444" w:rsidRPr="00251542">
              <w:rPr>
                <w:sz w:val="16"/>
              </w:rPr>
              <w:t>7</w:t>
            </w:r>
            <w:r w:rsidR="00ED7374">
              <w:rPr>
                <w:sz w:val="16"/>
              </w:rPr>
              <w:t xml:space="preserve"> </w:t>
            </w:r>
            <w:r w:rsidR="00A20444" w:rsidRPr="00251542">
              <w:rPr>
                <w:sz w:val="16"/>
              </w:rPr>
              <w:t>avril 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Singapour/Cambodge, République démocratique populaire lao, Myanmar et les Philippines (sous l</w:t>
            </w:r>
            <w:r w:rsidR="00A20444" w:rsidRPr="00251542">
              <w:rPr>
                <w:sz w:val="16"/>
              </w:rPr>
              <w:t>’</w:t>
            </w:r>
            <w:r w:rsidRPr="00251542">
              <w:rPr>
                <w:sz w:val="16"/>
              </w:rPr>
              <w:t>égide du bureau de l</w:t>
            </w:r>
            <w:r w:rsidR="00A20444" w:rsidRPr="00251542">
              <w:rPr>
                <w:sz w:val="16"/>
              </w:rPr>
              <w:t>’</w:t>
            </w:r>
            <w:r w:rsidRPr="00251542">
              <w:rPr>
                <w:sz w:val="16"/>
              </w:rPr>
              <w:t>OMPI à Singapour)</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 xml:space="preserve">Fournir une formation complète sur le système du PCT, le fonctionnement et les avantages du PCT pour les pays en développement dans la région Asie et Pacifique. </w:t>
            </w:r>
            <w:r w:rsidR="0010442A" w:rsidRPr="00251542">
              <w:rPr>
                <w:sz w:val="16"/>
              </w:rPr>
              <w:t xml:space="preserve"> </w:t>
            </w:r>
            <w:r w:rsidRPr="00251542">
              <w:rPr>
                <w:sz w:val="16"/>
              </w:rPr>
              <w:t>Fournir des conseils sur l</w:t>
            </w:r>
            <w:r w:rsidR="00A20444" w:rsidRPr="00251542">
              <w:rPr>
                <w:sz w:val="16"/>
              </w:rPr>
              <w:t>’</w:t>
            </w:r>
            <w:r w:rsidRPr="00251542">
              <w:rPr>
                <w:sz w:val="16"/>
              </w:rPr>
              <w:t>adhésion au PCT et ses implications</w:t>
            </w:r>
          </w:p>
        </w:tc>
      </w:tr>
      <w:tr w:rsidR="004007D3" w:rsidRPr="00251542" w:rsidTr="0056083E">
        <w:trPr>
          <w:cantSplit/>
          <w:trHeight w:val="528"/>
        </w:trPr>
        <w:tc>
          <w:tcPr>
            <w:tcW w:w="1843"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Programme d</w:t>
            </w:r>
            <w:r w:rsidR="00A20444" w:rsidRPr="00251542">
              <w:rPr>
                <w:sz w:val="16"/>
              </w:rPr>
              <w:t>’</w:t>
            </w:r>
            <w:r w:rsidRPr="00251542">
              <w:rPr>
                <w:sz w:val="16"/>
              </w:rPr>
              <w:t xml:space="preserve">examen des brevets </w:t>
            </w:r>
          </w:p>
        </w:tc>
        <w:tc>
          <w:tcPr>
            <w:tcW w:w="1134" w:type="dxa"/>
            <w:tcBorders>
              <w:bottom w:val="single" w:sz="4" w:space="0" w:color="000000"/>
            </w:tcBorders>
          </w:tcPr>
          <w:p w:rsidR="004007D3" w:rsidRPr="00251542" w:rsidRDefault="004007D3" w:rsidP="00ED7374">
            <w:pPr>
              <w:autoSpaceDE w:val="0"/>
              <w:autoSpaceDN w:val="0"/>
              <w:adjustRightInd w:val="0"/>
              <w:spacing w:before="120" w:after="120"/>
              <w:rPr>
                <w:rFonts w:cs="Arial"/>
                <w:sz w:val="16"/>
                <w:szCs w:val="16"/>
              </w:rPr>
            </w:pPr>
            <w:r w:rsidRPr="00251542">
              <w:rPr>
                <w:sz w:val="16"/>
              </w:rPr>
              <w:t>17 – 2</w:t>
            </w:r>
            <w:r w:rsidR="00A20444" w:rsidRPr="00251542">
              <w:rPr>
                <w:sz w:val="16"/>
              </w:rPr>
              <w:t>1</w:t>
            </w:r>
            <w:r w:rsidR="00ED7374">
              <w:rPr>
                <w:sz w:val="16"/>
              </w:rPr>
              <w:t xml:space="preserve"> </w:t>
            </w:r>
            <w:r w:rsidR="00A20444" w:rsidRPr="00251542">
              <w:rPr>
                <w:sz w:val="16"/>
              </w:rPr>
              <w:t>juin 20</w:t>
            </w:r>
            <w:r w:rsidRPr="00251542">
              <w:rPr>
                <w:sz w:val="16"/>
              </w:rPr>
              <w:t>13</w:t>
            </w:r>
          </w:p>
        </w:tc>
        <w:tc>
          <w:tcPr>
            <w:tcW w:w="1985"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Australie</w:t>
            </w:r>
            <w:r w:rsidR="00E40890" w:rsidRPr="00251542">
              <w:rPr>
                <w:sz w:val="16"/>
              </w:rPr>
              <w:t>/</w:t>
            </w:r>
            <w:r w:rsidRPr="00251542">
              <w:rPr>
                <w:sz w:val="16"/>
              </w:rPr>
              <w:t xml:space="preserve">Égypte </w:t>
            </w:r>
          </w:p>
        </w:tc>
        <w:tc>
          <w:tcPr>
            <w:tcW w:w="4110" w:type="dxa"/>
            <w:gridSpan w:val="2"/>
            <w:tcBorders>
              <w:bottom w:val="single" w:sz="4" w:space="0" w:color="000000"/>
            </w:tcBorders>
          </w:tcPr>
          <w:p w:rsidR="004007D3" w:rsidRPr="00251542" w:rsidRDefault="004007D3" w:rsidP="009C658D">
            <w:pPr>
              <w:autoSpaceDE w:val="0"/>
              <w:autoSpaceDN w:val="0"/>
              <w:adjustRightInd w:val="0"/>
              <w:spacing w:before="120" w:after="120"/>
              <w:rPr>
                <w:rFonts w:cs="Arial"/>
                <w:sz w:val="16"/>
                <w:szCs w:val="16"/>
              </w:rPr>
            </w:pPr>
            <w:r w:rsidRPr="00251542">
              <w:rPr>
                <w:sz w:val="16"/>
              </w:rPr>
              <w:t>Fournir une formation substantielle et concrète en matière d</w:t>
            </w:r>
            <w:r w:rsidR="00A20444" w:rsidRPr="00251542">
              <w:rPr>
                <w:sz w:val="16"/>
              </w:rPr>
              <w:t>’</w:t>
            </w:r>
            <w:r w:rsidRPr="00251542">
              <w:rPr>
                <w:sz w:val="16"/>
              </w:rPr>
              <w:t>examen des brevets aux examinateurs de l</w:t>
            </w:r>
            <w:r w:rsidR="00A20444" w:rsidRPr="00251542">
              <w:rPr>
                <w:sz w:val="16"/>
              </w:rPr>
              <w:t>’</w:t>
            </w:r>
            <w:r w:rsidRPr="00251542">
              <w:rPr>
                <w:sz w:val="16"/>
              </w:rPr>
              <w:t>Office égyptien des brevets sur les procédures et les pratiques de recherche internationale et d</w:t>
            </w:r>
            <w:r w:rsidR="00A20444" w:rsidRPr="00251542">
              <w:rPr>
                <w:sz w:val="16"/>
              </w:rPr>
              <w:t>’</w:t>
            </w:r>
            <w:r w:rsidRPr="00251542">
              <w:rPr>
                <w:sz w:val="16"/>
              </w:rPr>
              <w:t xml:space="preserve">examen préliminaire. </w:t>
            </w:r>
            <w:r w:rsidR="0010442A" w:rsidRPr="00251542">
              <w:rPr>
                <w:sz w:val="16"/>
              </w:rPr>
              <w:t xml:space="preserve"> </w:t>
            </w:r>
            <w:r w:rsidRPr="00251542">
              <w:rPr>
                <w:sz w:val="16"/>
              </w:rPr>
              <w:t>Cette formation a été fournie par IP </w:t>
            </w:r>
            <w:proofErr w:type="spellStart"/>
            <w:r w:rsidRPr="00251542">
              <w:rPr>
                <w:sz w:val="16"/>
              </w:rPr>
              <w:t>Australia</w:t>
            </w:r>
            <w:proofErr w:type="spellEnd"/>
            <w:r w:rsidRPr="00251542">
              <w:rPr>
                <w:sz w:val="16"/>
              </w:rPr>
              <w:t xml:space="preserve"> et s</w:t>
            </w:r>
            <w:r w:rsidR="00A20444" w:rsidRPr="00251542">
              <w:rPr>
                <w:sz w:val="16"/>
              </w:rPr>
              <w:t>’</w:t>
            </w:r>
            <w:r w:rsidRPr="00251542">
              <w:rPr>
                <w:sz w:val="16"/>
              </w:rPr>
              <w:t>est concentrée sur le fait de doter les examinateurs des compétences leur permettant d</w:t>
            </w:r>
            <w:r w:rsidR="00A20444" w:rsidRPr="00251542">
              <w:rPr>
                <w:sz w:val="16"/>
              </w:rPr>
              <w:t>’</w:t>
            </w:r>
            <w:r w:rsidRPr="00251542">
              <w:rPr>
                <w:sz w:val="16"/>
              </w:rPr>
              <w:t xml:space="preserve">agir comme une administration internationale dans le cadre du PCT et de réaliser les processus requis dans le cadre du </w:t>
            </w:r>
            <w:r w:rsidR="009C658D" w:rsidRPr="00251542">
              <w:rPr>
                <w:sz w:val="16"/>
              </w:rPr>
              <w:t>t</w:t>
            </w:r>
            <w:r w:rsidRPr="00251542">
              <w:rPr>
                <w:sz w:val="16"/>
              </w:rPr>
              <w:t>raité</w:t>
            </w:r>
          </w:p>
        </w:tc>
      </w:tr>
      <w:tr w:rsidR="004007D3" w:rsidRPr="00251542" w:rsidTr="0056083E">
        <w:trPr>
          <w:cantSplit/>
        </w:trPr>
        <w:tc>
          <w:tcPr>
            <w:tcW w:w="9072" w:type="dxa"/>
            <w:gridSpan w:val="5"/>
            <w:tcBorders>
              <w:top w:val="single" w:sz="4" w:space="0" w:color="000000"/>
              <w:bottom w:val="single" w:sz="4" w:space="0" w:color="000000"/>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 :</w:t>
            </w:r>
            <w:r w:rsidR="0010442A" w:rsidRPr="00251542">
              <w:rPr>
                <w:b/>
                <w:sz w:val="16"/>
              </w:rPr>
              <w:t xml:space="preserve"> </w:t>
            </w:r>
            <w:r w:rsidRPr="00251542">
              <w:rPr>
                <w:b/>
                <w:sz w:val="16"/>
              </w:rPr>
              <w:tab/>
            </w:r>
            <w:r w:rsidRPr="00251542">
              <w:rPr>
                <w:sz w:val="16"/>
              </w:rPr>
              <w:t>Les offices de propriété intellectuelle comprennent mieux les exigences et les processus d</w:t>
            </w:r>
            <w:r w:rsidR="00A20444" w:rsidRPr="00251542">
              <w:rPr>
                <w:sz w:val="16"/>
              </w:rPr>
              <w:t>’</w:t>
            </w:r>
            <w:r w:rsidRPr="00251542">
              <w:rPr>
                <w:sz w:val="16"/>
              </w:rPr>
              <w:t>adhésion requis pour mettre en œuvre le Protocole de Madrid dans leur pays et sont plus confiants à leur égard</w:t>
            </w:r>
          </w:p>
        </w:tc>
      </w:tr>
      <w:tr w:rsidR="004007D3" w:rsidRPr="00ED7374" w:rsidTr="0056083E">
        <w:trPr>
          <w:cantSplit/>
        </w:trPr>
        <w:tc>
          <w:tcPr>
            <w:tcW w:w="1843" w:type="dxa"/>
            <w:tcBorders>
              <w:top w:val="single" w:sz="4" w:space="0" w:color="000000"/>
            </w:tcBorders>
            <w:vAlign w:val="center"/>
          </w:tcPr>
          <w:p w:rsidR="004007D3" w:rsidRPr="00ED7374" w:rsidRDefault="004007D3" w:rsidP="001A5BF9">
            <w:pPr>
              <w:keepNext/>
              <w:keepLines/>
              <w:rPr>
                <w:rFonts w:cs="Arial"/>
                <w:b/>
                <w:bCs/>
                <w:sz w:val="16"/>
                <w:szCs w:val="16"/>
              </w:rPr>
            </w:pPr>
            <w:r w:rsidRPr="00ED7374">
              <w:rPr>
                <w:b/>
                <w:sz w:val="16"/>
              </w:rPr>
              <w:t>Activité</w:t>
            </w:r>
          </w:p>
        </w:tc>
        <w:tc>
          <w:tcPr>
            <w:tcW w:w="1134" w:type="dxa"/>
            <w:tcBorders>
              <w:top w:val="single" w:sz="4" w:space="0" w:color="000000"/>
            </w:tcBorders>
            <w:shd w:val="clear" w:color="auto" w:fill="auto"/>
            <w:tcMar>
              <w:top w:w="110" w:type="dxa"/>
            </w:tcMar>
            <w:vAlign w:val="center"/>
          </w:tcPr>
          <w:p w:rsidR="004007D3" w:rsidRPr="00ED7374" w:rsidRDefault="004007D3" w:rsidP="001A5BF9">
            <w:pPr>
              <w:keepNext/>
              <w:keepLines/>
              <w:rPr>
                <w:rFonts w:cs="Arial"/>
                <w:b/>
                <w:sz w:val="16"/>
                <w:szCs w:val="16"/>
              </w:rPr>
            </w:pPr>
            <w:r w:rsidRPr="00ED7374">
              <w:rPr>
                <w:b/>
                <w:sz w:val="16"/>
              </w:rPr>
              <w:t>Date</w:t>
            </w:r>
          </w:p>
        </w:tc>
        <w:tc>
          <w:tcPr>
            <w:tcW w:w="1985" w:type="dxa"/>
            <w:tcBorders>
              <w:top w:val="single" w:sz="4" w:space="0" w:color="000000"/>
            </w:tcBorders>
            <w:shd w:val="clear" w:color="auto" w:fill="auto"/>
            <w:tcMar>
              <w:top w:w="110" w:type="dxa"/>
            </w:tcMar>
            <w:vAlign w:val="center"/>
          </w:tcPr>
          <w:p w:rsidR="004007D3" w:rsidRPr="00ED7374" w:rsidRDefault="004007D3" w:rsidP="001A5BF9">
            <w:pPr>
              <w:keepNext/>
              <w:keepLines/>
              <w:rPr>
                <w:rFonts w:cs="Arial"/>
                <w:b/>
                <w:sz w:val="16"/>
                <w:szCs w:val="16"/>
              </w:rPr>
            </w:pPr>
            <w:r w:rsidRPr="00ED7374">
              <w:rPr>
                <w:b/>
                <w:sz w:val="16"/>
              </w:rPr>
              <w:t>Pays hôte/bénéficiaire</w:t>
            </w:r>
          </w:p>
        </w:tc>
        <w:tc>
          <w:tcPr>
            <w:tcW w:w="4110" w:type="dxa"/>
            <w:gridSpan w:val="2"/>
            <w:tcBorders>
              <w:top w:val="single" w:sz="4" w:space="0" w:color="000000"/>
            </w:tcBorders>
            <w:shd w:val="clear" w:color="auto" w:fill="FFFFFF"/>
            <w:tcMar>
              <w:top w:w="110" w:type="dxa"/>
            </w:tcMar>
            <w:vAlign w:val="center"/>
          </w:tcPr>
          <w:p w:rsidR="004007D3" w:rsidRPr="00ED7374" w:rsidRDefault="004007D3" w:rsidP="001A5BF9">
            <w:pPr>
              <w:keepNext/>
              <w:keepLines/>
              <w:rPr>
                <w:rFonts w:cs="Arial"/>
                <w:b/>
                <w:sz w:val="16"/>
                <w:szCs w:val="16"/>
              </w:rPr>
            </w:pPr>
            <w:r w:rsidRPr="00ED7374">
              <w:rPr>
                <w:b/>
                <w:sz w:val="16"/>
              </w:rPr>
              <w:t>Objectif(s)/description(s)</w:t>
            </w:r>
          </w:p>
        </w:tc>
      </w:tr>
      <w:tr w:rsidR="004007D3" w:rsidRPr="00251542" w:rsidTr="0056083E">
        <w:trPr>
          <w:cantSplit/>
          <w:trHeight w:val="473"/>
        </w:trPr>
        <w:tc>
          <w:tcPr>
            <w:tcW w:w="1843"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p>
        </w:tc>
        <w:tc>
          <w:tcPr>
            <w:tcW w:w="1134"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p>
        </w:tc>
        <w:tc>
          <w:tcPr>
            <w:tcW w:w="2835" w:type="dxa"/>
            <w:gridSpan w:val="2"/>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w:t>
            </w:r>
            <w:r w:rsidRPr="00ED7374">
              <w:rPr>
                <w:i/>
                <w:sz w:val="16"/>
              </w:rPr>
              <w:t xml:space="preserve">aucune </w:t>
            </w:r>
            <w:r w:rsidRPr="00251542">
              <w:rPr>
                <w:i/>
                <w:sz w:val="16"/>
              </w:rPr>
              <w:t>activité en 2013</w:t>
            </w:r>
            <w:r w:rsidRPr="00251542">
              <w:rPr>
                <w:sz w:val="16"/>
              </w:rPr>
              <w:t>]</w:t>
            </w:r>
          </w:p>
        </w:tc>
        <w:tc>
          <w:tcPr>
            <w:tcW w:w="3260" w:type="dxa"/>
            <w:tcBorders>
              <w:bottom w:val="single" w:sz="4" w:space="0" w:color="000000"/>
            </w:tcBorders>
          </w:tcPr>
          <w:p w:rsidR="004007D3" w:rsidRPr="00251542" w:rsidRDefault="004007D3" w:rsidP="001A5BF9">
            <w:pPr>
              <w:autoSpaceDE w:val="0"/>
              <w:autoSpaceDN w:val="0"/>
              <w:adjustRightInd w:val="0"/>
              <w:spacing w:before="120"/>
              <w:rPr>
                <w:rFonts w:cs="Arial"/>
                <w:sz w:val="16"/>
                <w:szCs w:val="16"/>
              </w:rPr>
            </w:pPr>
          </w:p>
        </w:tc>
      </w:tr>
      <w:tr w:rsidR="004007D3" w:rsidRPr="00251542" w:rsidTr="0056083E">
        <w:trPr>
          <w:cantSplit/>
          <w:trHeight w:val="315"/>
        </w:trPr>
        <w:tc>
          <w:tcPr>
            <w:tcW w:w="9072" w:type="dxa"/>
            <w:gridSpan w:val="5"/>
            <w:tcBorders>
              <w:top w:val="single" w:sz="4" w:space="0" w:color="000000"/>
              <w:bottom w:val="single" w:sz="4" w:space="0" w:color="000000"/>
            </w:tcBorders>
            <w:shd w:val="clear" w:color="auto" w:fill="CCFFFF"/>
          </w:tcPr>
          <w:p w:rsidR="004007D3" w:rsidRPr="00251542" w:rsidRDefault="004007D3" w:rsidP="001A5BF9">
            <w:pPr>
              <w:keepNext/>
              <w:keepLines/>
              <w:tabs>
                <w:tab w:val="left" w:pos="1740"/>
              </w:tabs>
              <w:spacing w:before="120" w:after="120"/>
              <w:ind w:left="1740" w:hanging="1740"/>
              <w:rPr>
                <w:rFonts w:cs="Arial"/>
                <w:sz w:val="16"/>
                <w:szCs w:val="16"/>
              </w:rPr>
            </w:pPr>
            <w:r w:rsidRPr="00251542">
              <w:rPr>
                <w:b/>
                <w:sz w:val="16"/>
              </w:rPr>
              <w:t>RÉSULTAT</w:t>
            </w:r>
            <w:r w:rsidR="0010442A" w:rsidRPr="00251542">
              <w:rPr>
                <w:b/>
                <w:sz w:val="16"/>
              </w:rPr>
              <w:t xml:space="preserve"> : </w:t>
            </w:r>
            <w:r w:rsidRPr="00251542">
              <w:rPr>
                <w:b/>
                <w:sz w:val="16"/>
              </w:rPr>
              <w:tab/>
            </w:r>
            <w:r w:rsidRPr="00251542">
              <w:rPr>
                <w:sz w:val="16"/>
              </w:rPr>
              <w:t>Renforcement des ressources humaines dans les pays en développement,</w:t>
            </w:r>
            <w:r w:rsidR="00A20444" w:rsidRPr="00251542">
              <w:rPr>
                <w:sz w:val="16"/>
              </w:rPr>
              <w:t xml:space="preserve"> les PMA</w:t>
            </w:r>
            <w:r w:rsidRPr="00251542">
              <w:rPr>
                <w:sz w:val="16"/>
              </w:rPr>
              <w:t xml:space="preserve"> et les pays en transition pour leur permettre d</w:t>
            </w:r>
            <w:r w:rsidR="00A20444" w:rsidRPr="00251542">
              <w:rPr>
                <w:sz w:val="16"/>
              </w:rPr>
              <w:t>’</w:t>
            </w:r>
            <w:r w:rsidRPr="00251542">
              <w:rPr>
                <w:sz w:val="16"/>
              </w:rPr>
              <w:t>utiliser avec efficacité la propriété intellectuelle au service du développement.</w:t>
            </w:r>
          </w:p>
        </w:tc>
      </w:tr>
      <w:tr w:rsidR="004007D3" w:rsidRPr="00ED7374" w:rsidTr="0056083E">
        <w:trPr>
          <w:cantSplit/>
          <w:trHeight w:val="402"/>
        </w:trPr>
        <w:tc>
          <w:tcPr>
            <w:tcW w:w="1843" w:type="dxa"/>
            <w:tcBorders>
              <w:top w:val="single" w:sz="4" w:space="0" w:color="000000"/>
            </w:tcBorders>
            <w:vAlign w:val="center"/>
          </w:tcPr>
          <w:p w:rsidR="004007D3" w:rsidRPr="00ED7374" w:rsidRDefault="004007D3" w:rsidP="001A5BF9">
            <w:pPr>
              <w:keepNext/>
              <w:keepLines/>
              <w:spacing w:before="120" w:after="120"/>
              <w:rPr>
                <w:rFonts w:cs="Arial"/>
                <w:b/>
                <w:bCs/>
                <w:sz w:val="16"/>
                <w:szCs w:val="16"/>
              </w:rPr>
            </w:pPr>
            <w:r w:rsidRPr="00ED7374">
              <w:rPr>
                <w:b/>
                <w:sz w:val="16"/>
              </w:rPr>
              <w:t>Activité</w:t>
            </w:r>
          </w:p>
        </w:tc>
        <w:tc>
          <w:tcPr>
            <w:tcW w:w="1134" w:type="dxa"/>
            <w:tcBorders>
              <w:top w:val="single" w:sz="4" w:space="0" w:color="000000"/>
            </w:tcBorders>
            <w:vAlign w:val="center"/>
          </w:tcPr>
          <w:p w:rsidR="004007D3" w:rsidRPr="00ED7374" w:rsidRDefault="004007D3" w:rsidP="001A5BF9">
            <w:pPr>
              <w:keepNext/>
              <w:keepLines/>
              <w:spacing w:before="120" w:after="120"/>
              <w:rPr>
                <w:rFonts w:cs="Arial"/>
                <w:b/>
                <w:sz w:val="16"/>
                <w:szCs w:val="16"/>
              </w:rPr>
            </w:pPr>
            <w:r w:rsidRPr="00ED7374">
              <w:rPr>
                <w:b/>
                <w:sz w:val="16"/>
              </w:rPr>
              <w:t>Date</w:t>
            </w:r>
          </w:p>
        </w:tc>
        <w:tc>
          <w:tcPr>
            <w:tcW w:w="1985" w:type="dxa"/>
            <w:tcBorders>
              <w:top w:val="single" w:sz="4" w:space="0" w:color="000000"/>
            </w:tcBorders>
            <w:vAlign w:val="center"/>
          </w:tcPr>
          <w:p w:rsidR="004007D3" w:rsidRPr="00ED7374" w:rsidRDefault="004007D3" w:rsidP="001A5BF9">
            <w:pPr>
              <w:keepNext/>
              <w:keepLines/>
              <w:spacing w:before="120" w:after="120"/>
              <w:rPr>
                <w:rFonts w:cs="Arial"/>
                <w:b/>
                <w:sz w:val="16"/>
                <w:szCs w:val="16"/>
              </w:rPr>
            </w:pPr>
            <w:r w:rsidRPr="00ED7374">
              <w:rPr>
                <w:b/>
                <w:sz w:val="16"/>
              </w:rPr>
              <w:t>Pays hôte/bénéficiaire</w:t>
            </w:r>
          </w:p>
        </w:tc>
        <w:tc>
          <w:tcPr>
            <w:tcW w:w="4110" w:type="dxa"/>
            <w:gridSpan w:val="2"/>
            <w:tcBorders>
              <w:top w:val="single" w:sz="4" w:space="0" w:color="000000"/>
            </w:tcBorders>
            <w:vAlign w:val="center"/>
          </w:tcPr>
          <w:p w:rsidR="004007D3" w:rsidRPr="00ED7374" w:rsidRDefault="004007D3" w:rsidP="001A5BF9">
            <w:pPr>
              <w:keepNext/>
              <w:keepLines/>
              <w:spacing w:before="120" w:after="120"/>
              <w:rPr>
                <w:rFonts w:cs="Arial"/>
                <w:b/>
                <w:sz w:val="16"/>
                <w:szCs w:val="16"/>
              </w:rPr>
            </w:pPr>
            <w:r w:rsidRPr="00ED7374">
              <w:rPr>
                <w:b/>
                <w:sz w:val="16"/>
              </w:rPr>
              <w:t>Objectif(s)/description(s)</w:t>
            </w:r>
          </w:p>
        </w:tc>
      </w:tr>
      <w:tr w:rsidR="004007D3" w:rsidRPr="00251542" w:rsidTr="0056083E">
        <w:trPr>
          <w:cantSplit/>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Séminaire national sur le droit d</w:t>
            </w:r>
            <w:r w:rsidR="00A20444" w:rsidRPr="00251542">
              <w:rPr>
                <w:sz w:val="16"/>
              </w:rPr>
              <w:t>’</w:t>
            </w:r>
            <w:r w:rsidRPr="00251542">
              <w:rPr>
                <w:sz w:val="16"/>
              </w:rPr>
              <w:t>auteur et r</w:t>
            </w:r>
            <w:r w:rsidR="009C658D" w:rsidRPr="00251542">
              <w:rPr>
                <w:sz w:val="16"/>
              </w:rPr>
              <w:t>éunion de consultation avec le G</w:t>
            </w:r>
            <w:r w:rsidRPr="00251542">
              <w:rPr>
                <w:sz w:val="16"/>
              </w:rPr>
              <w:t>ouvernement de Tonga</w:t>
            </w:r>
          </w:p>
        </w:tc>
        <w:tc>
          <w:tcPr>
            <w:tcW w:w="1134" w:type="dxa"/>
          </w:tcPr>
          <w:p w:rsidR="004007D3" w:rsidRPr="00251542" w:rsidRDefault="004007D3" w:rsidP="00ED7374">
            <w:pPr>
              <w:autoSpaceDE w:val="0"/>
              <w:autoSpaceDN w:val="0"/>
              <w:adjustRightInd w:val="0"/>
              <w:spacing w:before="120" w:after="120"/>
              <w:rPr>
                <w:rFonts w:cs="Arial"/>
                <w:sz w:val="16"/>
                <w:szCs w:val="16"/>
              </w:rPr>
            </w:pPr>
            <w:r w:rsidRPr="00251542">
              <w:rPr>
                <w:sz w:val="16"/>
              </w:rPr>
              <w:t>14 – 1</w:t>
            </w:r>
            <w:r w:rsidR="00A20444" w:rsidRPr="00251542">
              <w:rPr>
                <w:sz w:val="16"/>
              </w:rPr>
              <w:t>7</w:t>
            </w:r>
            <w:r w:rsidR="00ED7374">
              <w:rPr>
                <w:sz w:val="16"/>
              </w:rPr>
              <w:t xml:space="preserve"> </w:t>
            </w:r>
            <w:r w:rsidR="00A20444" w:rsidRPr="00251542">
              <w:rPr>
                <w:sz w:val="16"/>
              </w:rPr>
              <w:t>janvier</w:t>
            </w:r>
            <w:r w:rsidR="00ED7374">
              <w:rPr>
                <w:sz w:val="16"/>
              </w:rPr>
              <w:t xml:space="preserve"> </w:t>
            </w:r>
            <w:r w:rsidR="00A20444" w:rsidRPr="00251542">
              <w:rPr>
                <w:sz w:val="16"/>
              </w:rPr>
              <w:t>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Tonga</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Accroître les capacités et la connaissance du droit d</w:t>
            </w:r>
            <w:r w:rsidR="00A20444" w:rsidRPr="00251542">
              <w:rPr>
                <w:sz w:val="16"/>
              </w:rPr>
              <w:t>’</w:t>
            </w:r>
            <w:r w:rsidRPr="00251542">
              <w:rPr>
                <w:sz w:val="16"/>
              </w:rPr>
              <w:t xml:space="preserve">auteur et des droits connexes parmi les fonctionnaires nationaux et les parties prenantes associées. </w:t>
            </w:r>
            <w:r w:rsidR="0010442A" w:rsidRPr="00251542">
              <w:rPr>
                <w:sz w:val="16"/>
              </w:rPr>
              <w:t xml:space="preserve"> </w:t>
            </w:r>
            <w:r w:rsidRPr="00251542">
              <w:rPr>
                <w:sz w:val="16"/>
              </w:rPr>
              <w:t>Le séminaire s</w:t>
            </w:r>
            <w:r w:rsidR="00A20444" w:rsidRPr="00251542">
              <w:rPr>
                <w:sz w:val="16"/>
              </w:rPr>
              <w:t>’</w:t>
            </w:r>
            <w:r w:rsidRPr="00251542">
              <w:rPr>
                <w:sz w:val="16"/>
              </w:rPr>
              <w:t>est axé sur la pertinence et l</w:t>
            </w:r>
            <w:r w:rsidR="00A20444" w:rsidRPr="00251542">
              <w:rPr>
                <w:sz w:val="16"/>
              </w:rPr>
              <w:t>’</w:t>
            </w:r>
            <w:r w:rsidRPr="00251542">
              <w:rPr>
                <w:sz w:val="16"/>
              </w:rPr>
              <w:t>importance du droit d</w:t>
            </w:r>
            <w:r w:rsidR="00A20444" w:rsidRPr="00251542">
              <w:rPr>
                <w:sz w:val="16"/>
              </w:rPr>
              <w:t>’</w:t>
            </w:r>
            <w:r w:rsidRPr="00251542">
              <w:rPr>
                <w:sz w:val="16"/>
              </w:rPr>
              <w:t>auteur dans la promotion du développement culturel et économique</w:t>
            </w:r>
          </w:p>
        </w:tc>
      </w:tr>
      <w:tr w:rsidR="004007D3" w:rsidRPr="00251542" w:rsidTr="0056083E">
        <w:trPr>
          <w:cantSplit/>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Visite d</w:t>
            </w:r>
            <w:r w:rsidR="00A20444" w:rsidRPr="00251542">
              <w:rPr>
                <w:sz w:val="16"/>
              </w:rPr>
              <w:t>’</w:t>
            </w:r>
            <w:r w:rsidRPr="00251542">
              <w:rPr>
                <w:sz w:val="16"/>
              </w:rPr>
              <w:t>étude sur le droit d</w:t>
            </w:r>
            <w:r w:rsidR="00A20444" w:rsidRPr="00251542">
              <w:rPr>
                <w:sz w:val="16"/>
              </w:rPr>
              <w:t>’</w:t>
            </w:r>
            <w:r w:rsidRPr="00251542">
              <w:rPr>
                <w:sz w:val="16"/>
              </w:rPr>
              <w:t xml:space="preserve">auteur </w:t>
            </w:r>
          </w:p>
        </w:tc>
        <w:tc>
          <w:tcPr>
            <w:tcW w:w="1134"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15, 16, 18 et 1</w:t>
            </w:r>
            <w:r w:rsidR="00A20444" w:rsidRPr="00251542">
              <w:rPr>
                <w:sz w:val="16"/>
              </w:rPr>
              <w:t>9 avril 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Samoa, Îles Salomon et Tonga (fonctionnaires des pays susmentionnés accueillis en Australie)</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Accroître la connaissance et la compréhension du droit d</w:t>
            </w:r>
            <w:r w:rsidR="00A20444" w:rsidRPr="00251542">
              <w:rPr>
                <w:sz w:val="16"/>
              </w:rPr>
              <w:t>’</w:t>
            </w:r>
            <w:r w:rsidRPr="00251542">
              <w:rPr>
                <w:sz w:val="16"/>
              </w:rPr>
              <w:t>auteur ainsi que pour améliorer la capacité des directeurs des offices du droit d</w:t>
            </w:r>
            <w:r w:rsidR="00A20444" w:rsidRPr="00251542">
              <w:rPr>
                <w:sz w:val="16"/>
              </w:rPr>
              <w:t>’</w:t>
            </w:r>
            <w:r w:rsidRPr="00251542">
              <w:rPr>
                <w:sz w:val="16"/>
              </w:rPr>
              <w:t>auteur et autres hauts fonctionnaires à traiter des politiques et stratégies en matière de droit d</w:t>
            </w:r>
            <w:r w:rsidR="00A20444" w:rsidRPr="00251542">
              <w:rPr>
                <w:sz w:val="16"/>
              </w:rPr>
              <w:t>’</w:t>
            </w:r>
            <w:r w:rsidRPr="00251542">
              <w:rPr>
                <w:sz w:val="16"/>
              </w:rPr>
              <w:t>auteur</w:t>
            </w:r>
          </w:p>
        </w:tc>
      </w:tr>
      <w:tr w:rsidR="004007D3" w:rsidRPr="00251542" w:rsidTr="0056083E">
        <w:trPr>
          <w:cantSplit/>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Mission d</w:t>
            </w:r>
            <w:r w:rsidR="00A20444" w:rsidRPr="00251542">
              <w:rPr>
                <w:sz w:val="16"/>
              </w:rPr>
              <w:t>’</w:t>
            </w:r>
            <w:r w:rsidRPr="00251542">
              <w:rPr>
                <w:sz w:val="16"/>
              </w:rPr>
              <w:t>expert d</w:t>
            </w:r>
            <w:r w:rsidR="00A20444" w:rsidRPr="00251542">
              <w:rPr>
                <w:sz w:val="16"/>
              </w:rPr>
              <w:t>’</w:t>
            </w:r>
            <w:r w:rsidRPr="00251542">
              <w:rPr>
                <w:sz w:val="16"/>
              </w:rPr>
              <w:t>un fonctionnaire d</w:t>
            </w:r>
            <w:r w:rsidR="00A20444" w:rsidRPr="00251542">
              <w:rPr>
                <w:sz w:val="16"/>
              </w:rPr>
              <w:t>’</w:t>
            </w:r>
            <w:r w:rsidRPr="00251542">
              <w:rPr>
                <w:sz w:val="16"/>
              </w:rPr>
              <w:t>IP </w:t>
            </w:r>
            <w:proofErr w:type="spellStart"/>
            <w:r w:rsidRPr="00251542">
              <w:rPr>
                <w:sz w:val="16"/>
              </w:rPr>
              <w:t>Australia</w:t>
            </w:r>
            <w:proofErr w:type="spellEnd"/>
            <w:r w:rsidRPr="00251542">
              <w:rPr>
                <w:sz w:val="16"/>
              </w:rPr>
              <w:t xml:space="preserve"> </w:t>
            </w:r>
          </w:p>
        </w:tc>
        <w:tc>
          <w:tcPr>
            <w:tcW w:w="1134"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10 – 1</w:t>
            </w:r>
            <w:r w:rsidR="00ED7374">
              <w:rPr>
                <w:sz w:val="16"/>
              </w:rPr>
              <w:t xml:space="preserve">4 </w:t>
            </w:r>
            <w:r w:rsidR="00A20444" w:rsidRPr="00251542">
              <w:rPr>
                <w:sz w:val="16"/>
              </w:rPr>
              <w:t>juin 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Cambodge</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Introduire les meilleures pratiques d</w:t>
            </w:r>
            <w:r w:rsidR="00A20444" w:rsidRPr="00251542">
              <w:rPr>
                <w:sz w:val="16"/>
              </w:rPr>
              <w:t>’</w:t>
            </w:r>
            <w:r w:rsidRPr="00251542">
              <w:rPr>
                <w:sz w:val="16"/>
              </w:rPr>
              <w:t>examen dans le système des marques dans le cadre de la loi sur les marques révisée et son règlement d</w:t>
            </w:r>
            <w:r w:rsidR="00A20444" w:rsidRPr="00251542">
              <w:rPr>
                <w:sz w:val="16"/>
              </w:rPr>
              <w:t>’</w:t>
            </w:r>
            <w:r w:rsidRPr="00251542">
              <w:rPr>
                <w:sz w:val="16"/>
              </w:rPr>
              <w:t>application au Cambodge</w:t>
            </w:r>
          </w:p>
        </w:tc>
      </w:tr>
      <w:tr w:rsidR="004007D3" w:rsidRPr="00251542" w:rsidTr="0056083E">
        <w:trPr>
          <w:cantSplit/>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Mission d</w:t>
            </w:r>
            <w:r w:rsidR="00A20444" w:rsidRPr="00251542">
              <w:rPr>
                <w:sz w:val="16"/>
              </w:rPr>
              <w:t>’</w:t>
            </w:r>
            <w:r w:rsidRPr="00251542">
              <w:rPr>
                <w:sz w:val="16"/>
              </w:rPr>
              <w:t>expert d</w:t>
            </w:r>
            <w:r w:rsidR="00A20444" w:rsidRPr="00251542">
              <w:rPr>
                <w:sz w:val="16"/>
              </w:rPr>
              <w:t>’</w:t>
            </w:r>
            <w:r w:rsidRPr="00251542">
              <w:rPr>
                <w:sz w:val="16"/>
              </w:rPr>
              <w:t>un fonctionnaire d</w:t>
            </w:r>
            <w:r w:rsidR="00A20444" w:rsidRPr="00251542">
              <w:rPr>
                <w:sz w:val="16"/>
              </w:rPr>
              <w:t>’</w:t>
            </w:r>
            <w:r w:rsidRPr="00251542">
              <w:rPr>
                <w:sz w:val="16"/>
              </w:rPr>
              <w:t>IP </w:t>
            </w:r>
            <w:proofErr w:type="spellStart"/>
            <w:r w:rsidRPr="00251542">
              <w:rPr>
                <w:sz w:val="16"/>
              </w:rPr>
              <w:t>Australia</w:t>
            </w:r>
            <w:proofErr w:type="spellEnd"/>
            <w:r w:rsidRPr="00251542">
              <w:rPr>
                <w:sz w:val="16"/>
              </w:rPr>
              <w:t xml:space="preserve"> </w:t>
            </w:r>
          </w:p>
        </w:tc>
        <w:tc>
          <w:tcPr>
            <w:tcW w:w="1134" w:type="dxa"/>
          </w:tcPr>
          <w:p w:rsidR="004007D3" w:rsidRPr="00251542" w:rsidRDefault="004007D3" w:rsidP="00ED7374">
            <w:pPr>
              <w:autoSpaceDE w:val="0"/>
              <w:autoSpaceDN w:val="0"/>
              <w:adjustRightInd w:val="0"/>
              <w:spacing w:before="120" w:after="120"/>
              <w:rPr>
                <w:rFonts w:cs="Arial"/>
                <w:sz w:val="16"/>
                <w:szCs w:val="16"/>
              </w:rPr>
            </w:pPr>
            <w:r w:rsidRPr="00251542">
              <w:rPr>
                <w:sz w:val="16"/>
              </w:rPr>
              <w:t>8 – 1</w:t>
            </w:r>
            <w:r w:rsidR="00A20444" w:rsidRPr="00251542">
              <w:rPr>
                <w:sz w:val="16"/>
              </w:rPr>
              <w:t>2 juillet</w:t>
            </w:r>
            <w:r w:rsidR="00ED7374">
              <w:rPr>
                <w:sz w:val="16"/>
              </w:rPr>
              <w:t xml:space="preserve"> </w:t>
            </w:r>
            <w:r w:rsidR="00A20444" w:rsidRPr="00251542">
              <w:rPr>
                <w:sz w:val="16"/>
              </w:rPr>
              <w:t>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République démocratique populaire lao</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Fournir une formation en cours d</w:t>
            </w:r>
            <w:r w:rsidR="00A20444" w:rsidRPr="00251542">
              <w:rPr>
                <w:sz w:val="16"/>
              </w:rPr>
              <w:t>’</w:t>
            </w:r>
            <w:r w:rsidRPr="00251542">
              <w:rPr>
                <w:sz w:val="16"/>
              </w:rPr>
              <w:t>emploi à l</w:t>
            </w:r>
            <w:r w:rsidR="00A20444" w:rsidRPr="00251542">
              <w:rPr>
                <w:sz w:val="16"/>
              </w:rPr>
              <w:t>’</w:t>
            </w:r>
            <w:r w:rsidRPr="00251542">
              <w:rPr>
                <w:sz w:val="16"/>
              </w:rPr>
              <w:t>intention des examinateurs de marques afin d</w:t>
            </w:r>
            <w:r w:rsidR="00A20444" w:rsidRPr="00251542">
              <w:rPr>
                <w:sz w:val="16"/>
              </w:rPr>
              <w:t>’</w:t>
            </w:r>
            <w:r w:rsidRPr="00251542">
              <w:rPr>
                <w:sz w:val="16"/>
              </w:rPr>
              <w:t>améliorer leurs connaissances et leurs compétences concernant l</w:t>
            </w:r>
            <w:r w:rsidR="00A20444" w:rsidRPr="00251542">
              <w:rPr>
                <w:sz w:val="16"/>
              </w:rPr>
              <w:t>’</w:t>
            </w:r>
            <w:r w:rsidRPr="00251542">
              <w:rPr>
                <w:sz w:val="16"/>
              </w:rPr>
              <w:t>examen sur la base de motifs absolus ou relatifs</w:t>
            </w:r>
          </w:p>
        </w:tc>
      </w:tr>
      <w:tr w:rsidR="004007D3" w:rsidRPr="00251542" w:rsidTr="0056083E">
        <w:trPr>
          <w:cantSplit/>
          <w:trHeight w:val="315"/>
        </w:trPr>
        <w:tc>
          <w:tcPr>
            <w:tcW w:w="1843"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Mise à disposition d</w:t>
            </w:r>
            <w:r w:rsidR="00A20444" w:rsidRPr="00251542">
              <w:rPr>
                <w:sz w:val="16"/>
              </w:rPr>
              <w:t>’</w:t>
            </w:r>
            <w:r w:rsidRPr="00251542">
              <w:rPr>
                <w:sz w:val="16"/>
              </w:rPr>
              <w:t>un conférencier pour un forum international sur l</w:t>
            </w:r>
            <w:r w:rsidR="00A20444" w:rsidRPr="00251542">
              <w:rPr>
                <w:sz w:val="16"/>
              </w:rPr>
              <w:t>’</w:t>
            </w:r>
            <w:r w:rsidRPr="00251542">
              <w:rPr>
                <w:sz w:val="16"/>
              </w:rPr>
              <w:t>évaluation de la propriété intellectuelle</w:t>
            </w:r>
          </w:p>
        </w:tc>
        <w:tc>
          <w:tcPr>
            <w:tcW w:w="1134" w:type="dxa"/>
            <w:tcBorders>
              <w:bottom w:val="single" w:sz="4" w:space="0" w:color="000000"/>
            </w:tcBorders>
          </w:tcPr>
          <w:p w:rsidR="004007D3" w:rsidRPr="00251542" w:rsidRDefault="004007D3" w:rsidP="00ED7374">
            <w:pPr>
              <w:autoSpaceDE w:val="0"/>
              <w:autoSpaceDN w:val="0"/>
              <w:adjustRightInd w:val="0"/>
              <w:spacing w:before="120" w:after="120"/>
              <w:rPr>
                <w:rFonts w:cs="Arial"/>
                <w:sz w:val="16"/>
                <w:szCs w:val="16"/>
              </w:rPr>
            </w:pPr>
            <w:r w:rsidRPr="00251542">
              <w:rPr>
                <w:sz w:val="16"/>
              </w:rPr>
              <w:t xml:space="preserve">6 – </w:t>
            </w:r>
            <w:r w:rsidR="00A20444" w:rsidRPr="00251542">
              <w:rPr>
                <w:sz w:val="16"/>
              </w:rPr>
              <w:t>7</w:t>
            </w:r>
            <w:r w:rsidR="00ED7374">
              <w:rPr>
                <w:sz w:val="16"/>
              </w:rPr>
              <w:t xml:space="preserve"> </w:t>
            </w:r>
            <w:r w:rsidR="00A20444" w:rsidRPr="00251542">
              <w:rPr>
                <w:sz w:val="16"/>
              </w:rPr>
              <w:t>novembre</w:t>
            </w:r>
            <w:r w:rsidR="00ED7374">
              <w:rPr>
                <w:sz w:val="16"/>
              </w:rPr>
              <w:t xml:space="preserve"> </w:t>
            </w:r>
            <w:r w:rsidR="00A20444" w:rsidRPr="00251542">
              <w:rPr>
                <w:sz w:val="16"/>
              </w:rPr>
              <w:t>20</w:t>
            </w:r>
            <w:r w:rsidRPr="00251542">
              <w:rPr>
                <w:sz w:val="16"/>
              </w:rPr>
              <w:t>13</w:t>
            </w:r>
          </w:p>
        </w:tc>
        <w:tc>
          <w:tcPr>
            <w:tcW w:w="1985"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La Malaisie a accueilli le forum et le conférencier in</w:t>
            </w:r>
            <w:r w:rsidR="00E40890" w:rsidRPr="00251542">
              <w:rPr>
                <w:sz w:val="16"/>
              </w:rPr>
              <w:t>ternational est venu du Brésil/400 </w:t>
            </w:r>
            <w:r w:rsidRPr="00251542">
              <w:rPr>
                <w:sz w:val="16"/>
              </w:rPr>
              <w:t>participants sont venus de Chine (1), de l</w:t>
            </w:r>
            <w:r w:rsidR="00A20444" w:rsidRPr="00251542">
              <w:rPr>
                <w:sz w:val="16"/>
              </w:rPr>
              <w:t>’</w:t>
            </w:r>
            <w:r w:rsidRPr="00251542">
              <w:rPr>
                <w:sz w:val="16"/>
              </w:rPr>
              <w:t>Union européenne (1), de France (1), du Japon (5), de Malaisie (pays hôte</w:t>
            </w:r>
            <w:r w:rsidR="00E40890" w:rsidRPr="00251542">
              <w:rPr>
                <w:sz w:val="16"/>
              </w:rPr>
              <w:t xml:space="preserve"> </w:t>
            </w:r>
            <w:r w:rsidR="002D6F2A" w:rsidRPr="00251542">
              <w:rPr>
                <w:sz w:val="16"/>
              </w:rPr>
              <w:noBreakHyphen/>
            </w:r>
            <w:r w:rsidRPr="00251542">
              <w:rPr>
                <w:sz w:val="16"/>
              </w:rPr>
              <w:t xml:space="preserve"> 381), des Philippines (1), de Singapour (2), de Thaïlande (3), du Royaume</w:t>
            </w:r>
            <w:r w:rsidR="002D6F2A" w:rsidRPr="00251542">
              <w:rPr>
                <w:sz w:val="16"/>
              </w:rPr>
              <w:noBreakHyphen/>
            </w:r>
            <w:r w:rsidRPr="00251542">
              <w:rPr>
                <w:sz w:val="16"/>
              </w:rPr>
              <w:t>Uni (1), des États</w:t>
            </w:r>
            <w:r w:rsidR="002D6F2A" w:rsidRPr="00251542">
              <w:rPr>
                <w:sz w:val="16"/>
              </w:rPr>
              <w:noBreakHyphen/>
            </w:r>
            <w:r w:rsidRPr="00251542">
              <w:rPr>
                <w:sz w:val="16"/>
              </w:rPr>
              <w:t>Unis d</w:t>
            </w:r>
            <w:r w:rsidR="00A20444" w:rsidRPr="00251542">
              <w:rPr>
                <w:sz w:val="16"/>
              </w:rPr>
              <w:t>’</w:t>
            </w:r>
            <w:r w:rsidRPr="00251542">
              <w:rPr>
                <w:sz w:val="16"/>
              </w:rPr>
              <w:t xml:space="preserve">Amérique (2) et du Viet Nam (1) </w:t>
            </w:r>
          </w:p>
        </w:tc>
        <w:tc>
          <w:tcPr>
            <w:tcW w:w="4110" w:type="dxa"/>
            <w:gridSpan w:val="2"/>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Fournir une expertise sur l</w:t>
            </w:r>
            <w:r w:rsidR="00A20444" w:rsidRPr="00251542">
              <w:rPr>
                <w:sz w:val="16"/>
              </w:rPr>
              <w:t>’</w:t>
            </w:r>
            <w:r w:rsidRPr="00251542">
              <w:rPr>
                <w:sz w:val="16"/>
              </w:rPr>
              <w:t>évaluation de la propriété intellectuelle, le financement de la propriété intellectuelle et la mise en place d</w:t>
            </w:r>
            <w:r w:rsidR="00A20444" w:rsidRPr="00251542">
              <w:rPr>
                <w:sz w:val="16"/>
              </w:rPr>
              <w:t>’</w:t>
            </w:r>
            <w:r w:rsidRPr="00251542">
              <w:rPr>
                <w:sz w:val="16"/>
              </w:rPr>
              <w:t>un écosystème de propriété intellectuelle durable</w:t>
            </w:r>
          </w:p>
        </w:tc>
      </w:tr>
      <w:tr w:rsidR="004007D3" w:rsidRPr="00251542" w:rsidTr="0056083E">
        <w:trPr>
          <w:cantSplit/>
          <w:trHeight w:val="315"/>
        </w:trPr>
        <w:tc>
          <w:tcPr>
            <w:tcW w:w="9072" w:type="dxa"/>
            <w:gridSpan w:val="5"/>
            <w:tcBorders>
              <w:top w:val="single" w:sz="4" w:space="0" w:color="000000"/>
              <w:bottom w:val="single" w:sz="4" w:space="0" w:color="000000"/>
            </w:tcBorders>
            <w:shd w:val="clear" w:color="auto" w:fill="CCFFFF"/>
          </w:tcPr>
          <w:p w:rsidR="004007D3" w:rsidRPr="00251542" w:rsidRDefault="004007D3" w:rsidP="001A5BF9">
            <w:pPr>
              <w:keepNext/>
              <w:keepLines/>
              <w:tabs>
                <w:tab w:val="left" w:pos="1740"/>
              </w:tabs>
              <w:spacing w:before="120" w:after="120"/>
              <w:ind w:left="1740" w:hanging="1740"/>
              <w:rPr>
                <w:rFonts w:cs="Arial"/>
                <w:sz w:val="16"/>
                <w:szCs w:val="16"/>
              </w:rPr>
            </w:pPr>
            <w:r w:rsidRPr="00251542">
              <w:rPr>
                <w:b/>
                <w:sz w:val="16"/>
              </w:rPr>
              <w:t>RÉSULTAT</w:t>
            </w:r>
            <w:r w:rsidRPr="00251542">
              <w:rPr>
                <w:sz w:val="16"/>
              </w:rPr>
              <w:t> :</w:t>
            </w:r>
            <w:r w:rsidR="0010442A" w:rsidRPr="00251542">
              <w:rPr>
                <w:sz w:val="16"/>
              </w:rPr>
              <w:t xml:space="preserve"> </w:t>
            </w:r>
            <w:r w:rsidRPr="00251542">
              <w:rPr>
                <w:sz w:val="16"/>
              </w:rPr>
              <w:tab/>
              <w:t>Les instruments axés sur la propriété intellectuelle et la formation sont utilisés pour améliorer le transfert de savoir entre les pays développés et les pays en développement, notamment les pays les moins avancés, pour répondre aux défis mondiaux.</w:t>
            </w:r>
          </w:p>
        </w:tc>
      </w:tr>
      <w:tr w:rsidR="004007D3" w:rsidRPr="00ED7374" w:rsidTr="0056083E">
        <w:trPr>
          <w:cantSplit/>
          <w:trHeight w:val="429"/>
        </w:trPr>
        <w:tc>
          <w:tcPr>
            <w:tcW w:w="1843" w:type="dxa"/>
            <w:tcBorders>
              <w:top w:val="single" w:sz="4" w:space="0" w:color="000000"/>
            </w:tcBorders>
            <w:vAlign w:val="center"/>
          </w:tcPr>
          <w:p w:rsidR="004007D3" w:rsidRPr="00ED7374" w:rsidRDefault="004007D3" w:rsidP="001A5BF9">
            <w:pPr>
              <w:keepNext/>
              <w:keepLines/>
              <w:spacing w:before="120" w:after="120"/>
              <w:rPr>
                <w:rFonts w:cs="Arial"/>
                <w:b/>
                <w:bCs/>
                <w:sz w:val="16"/>
                <w:szCs w:val="16"/>
              </w:rPr>
            </w:pPr>
            <w:r w:rsidRPr="00ED7374">
              <w:rPr>
                <w:b/>
                <w:sz w:val="16"/>
              </w:rPr>
              <w:t>Activité</w:t>
            </w:r>
          </w:p>
        </w:tc>
        <w:tc>
          <w:tcPr>
            <w:tcW w:w="1134" w:type="dxa"/>
            <w:tcBorders>
              <w:top w:val="single" w:sz="4" w:space="0" w:color="000000"/>
            </w:tcBorders>
            <w:vAlign w:val="center"/>
          </w:tcPr>
          <w:p w:rsidR="004007D3" w:rsidRPr="00ED7374" w:rsidRDefault="004007D3" w:rsidP="001A5BF9">
            <w:pPr>
              <w:keepNext/>
              <w:keepLines/>
              <w:spacing w:before="120" w:after="120"/>
              <w:rPr>
                <w:rFonts w:cs="Arial"/>
                <w:b/>
                <w:sz w:val="16"/>
                <w:szCs w:val="16"/>
              </w:rPr>
            </w:pPr>
            <w:r w:rsidRPr="00ED7374">
              <w:rPr>
                <w:b/>
                <w:sz w:val="16"/>
              </w:rPr>
              <w:t>Date</w:t>
            </w:r>
          </w:p>
        </w:tc>
        <w:tc>
          <w:tcPr>
            <w:tcW w:w="1985" w:type="dxa"/>
            <w:tcBorders>
              <w:top w:val="single" w:sz="4" w:space="0" w:color="000000"/>
            </w:tcBorders>
            <w:vAlign w:val="center"/>
          </w:tcPr>
          <w:p w:rsidR="004007D3" w:rsidRPr="00ED7374" w:rsidRDefault="004007D3" w:rsidP="001A5BF9">
            <w:pPr>
              <w:keepNext/>
              <w:keepLines/>
              <w:spacing w:before="120" w:after="120"/>
              <w:rPr>
                <w:rFonts w:cs="Arial"/>
                <w:b/>
                <w:sz w:val="16"/>
                <w:szCs w:val="16"/>
              </w:rPr>
            </w:pPr>
            <w:r w:rsidRPr="00ED7374">
              <w:rPr>
                <w:b/>
                <w:sz w:val="16"/>
              </w:rPr>
              <w:t>Pays hôte/bénéficiaire</w:t>
            </w:r>
          </w:p>
        </w:tc>
        <w:tc>
          <w:tcPr>
            <w:tcW w:w="4110" w:type="dxa"/>
            <w:gridSpan w:val="2"/>
            <w:tcBorders>
              <w:top w:val="single" w:sz="4" w:space="0" w:color="000000"/>
            </w:tcBorders>
            <w:vAlign w:val="center"/>
          </w:tcPr>
          <w:p w:rsidR="004007D3" w:rsidRPr="00ED7374" w:rsidRDefault="004007D3" w:rsidP="001A5BF9">
            <w:pPr>
              <w:keepNext/>
              <w:keepLines/>
              <w:spacing w:before="120" w:after="120"/>
              <w:rPr>
                <w:rFonts w:cs="Arial"/>
                <w:b/>
                <w:sz w:val="16"/>
                <w:szCs w:val="16"/>
              </w:rPr>
            </w:pPr>
            <w:r w:rsidRPr="00ED7374">
              <w:rPr>
                <w:b/>
                <w:sz w:val="16"/>
              </w:rPr>
              <w:t>Objectif(s)/description(s)</w:t>
            </w:r>
          </w:p>
        </w:tc>
      </w:tr>
      <w:tr w:rsidR="004007D3" w:rsidRPr="00251542" w:rsidTr="0056083E">
        <w:trPr>
          <w:cantSplit/>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Accords d</w:t>
            </w:r>
            <w:r w:rsidR="00A20444" w:rsidRPr="00251542">
              <w:rPr>
                <w:sz w:val="16"/>
              </w:rPr>
              <w:t>’</w:t>
            </w:r>
            <w:r w:rsidRPr="00251542">
              <w:rPr>
                <w:sz w:val="16"/>
              </w:rPr>
              <w:t>accueil pour des chercheurs en science biomédicale africains dans des organismes de recherche à l</w:t>
            </w:r>
            <w:r w:rsidR="00A20444" w:rsidRPr="00251542">
              <w:rPr>
                <w:sz w:val="16"/>
              </w:rPr>
              <w:t>’</w:t>
            </w:r>
            <w:r w:rsidRPr="00251542">
              <w:rPr>
                <w:sz w:val="16"/>
              </w:rPr>
              <w:t>étranger</w:t>
            </w:r>
          </w:p>
        </w:tc>
        <w:tc>
          <w:tcPr>
            <w:tcW w:w="1134" w:type="dxa"/>
          </w:tcPr>
          <w:p w:rsidR="004007D3" w:rsidRPr="00251542" w:rsidRDefault="00ED7374" w:rsidP="001A5BF9">
            <w:pPr>
              <w:autoSpaceDE w:val="0"/>
              <w:autoSpaceDN w:val="0"/>
              <w:adjustRightInd w:val="0"/>
              <w:spacing w:before="120" w:after="120"/>
              <w:rPr>
                <w:rFonts w:cs="Arial"/>
                <w:sz w:val="16"/>
                <w:szCs w:val="16"/>
              </w:rPr>
            </w:pPr>
            <w:r>
              <w:rPr>
                <w:sz w:val="16"/>
              </w:rPr>
              <w:t>j</w:t>
            </w:r>
            <w:r w:rsidR="004007D3" w:rsidRPr="00251542">
              <w:rPr>
                <w:sz w:val="16"/>
              </w:rPr>
              <w:t>anvier à décembre 2013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Cameroun, Égypte, Ghana, Nigéria et Afrique du Sud (les institutions d</w:t>
            </w:r>
            <w:r w:rsidR="00A20444" w:rsidRPr="00251542">
              <w:rPr>
                <w:sz w:val="16"/>
              </w:rPr>
              <w:t>’</w:t>
            </w:r>
            <w:r w:rsidRPr="00251542">
              <w:rPr>
                <w:sz w:val="16"/>
              </w:rPr>
              <w:t>accueil se trouvent en Inde, en Suisse et aux États</w:t>
            </w:r>
            <w:r w:rsidR="002D6F2A" w:rsidRPr="00251542">
              <w:rPr>
                <w:sz w:val="16"/>
              </w:rPr>
              <w:noBreakHyphen/>
            </w:r>
            <w:r w:rsidRPr="00251542">
              <w:rPr>
                <w:sz w:val="16"/>
              </w:rPr>
              <w:t>Unis d</w:t>
            </w:r>
            <w:r w:rsidR="00A20444" w:rsidRPr="00251542">
              <w:rPr>
                <w:sz w:val="16"/>
              </w:rPr>
              <w:t>’</w:t>
            </w:r>
            <w:r w:rsidRPr="00251542">
              <w:rPr>
                <w:sz w:val="16"/>
              </w:rPr>
              <w:t>Amérique)</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Le but des accords d</w:t>
            </w:r>
            <w:r w:rsidR="00A20444" w:rsidRPr="00251542">
              <w:rPr>
                <w:sz w:val="16"/>
              </w:rPr>
              <w:t>’</w:t>
            </w:r>
            <w:r w:rsidRPr="00251542">
              <w:rPr>
                <w:sz w:val="16"/>
              </w:rPr>
              <w:t>accueil est de : i) promouvoir l</w:t>
            </w:r>
            <w:r w:rsidR="00A20444" w:rsidRPr="00251542">
              <w:rPr>
                <w:sz w:val="16"/>
              </w:rPr>
              <w:t>’</w:t>
            </w:r>
            <w:r w:rsidRPr="00251542">
              <w:rPr>
                <w:sz w:val="16"/>
              </w:rPr>
              <w:t>utilisation efficace du système de la propriété intellectuelle pour relever un défi dans le domaine de la santé mondiale (maladies tropicales négligées), qui touche de nombreux PMA;</w:t>
            </w:r>
            <w:r w:rsidR="004F3E42" w:rsidRPr="00251542">
              <w:rPr>
                <w:sz w:val="16"/>
              </w:rPr>
              <w:t xml:space="preserve"> </w:t>
            </w:r>
            <w:r w:rsidR="0010442A" w:rsidRPr="00251542">
              <w:rPr>
                <w:sz w:val="16"/>
              </w:rPr>
              <w:t xml:space="preserve"> </w:t>
            </w:r>
            <w:r w:rsidRPr="00251542">
              <w:rPr>
                <w:sz w:val="16"/>
              </w:rPr>
              <w:t>et ii) promouvoir le transfert de savoir pour les scientifiques, notamment dans</w:t>
            </w:r>
            <w:r w:rsidR="00A20444" w:rsidRPr="00251542">
              <w:rPr>
                <w:sz w:val="16"/>
              </w:rPr>
              <w:t xml:space="preserve"> les PMA</w:t>
            </w:r>
            <w:r w:rsidRPr="00251542">
              <w:rPr>
                <w:sz w:val="16"/>
              </w:rPr>
              <w:t>.</w:t>
            </w:r>
            <w:r w:rsidR="0010442A" w:rsidRPr="00251542">
              <w:rPr>
                <w:sz w:val="16"/>
              </w:rPr>
              <w:t xml:space="preserve"> </w:t>
            </w:r>
            <w:r w:rsidRPr="00251542">
              <w:rPr>
                <w:sz w:val="16"/>
              </w:rPr>
              <w:t xml:space="preserve"> Des programmes de recherche personnalisés ont été élaborés pour veiller à ce que les participants mettent à niveau leurs compétences en matière de recherche et soient en mesure d</w:t>
            </w:r>
            <w:r w:rsidR="00A20444" w:rsidRPr="00251542">
              <w:rPr>
                <w:sz w:val="16"/>
              </w:rPr>
              <w:t>’</w:t>
            </w:r>
            <w:r w:rsidRPr="00251542">
              <w:rPr>
                <w:sz w:val="16"/>
              </w:rPr>
              <w:t>apporter une contribution significative dans leur pays d</w:t>
            </w:r>
            <w:r w:rsidR="00A20444" w:rsidRPr="00251542">
              <w:rPr>
                <w:sz w:val="16"/>
              </w:rPr>
              <w:t>’</w:t>
            </w:r>
            <w:r w:rsidRPr="00251542">
              <w:rPr>
                <w:sz w:val="16"/>
              </w:rPr>
              <w:t>origine pour effectuer des recherches sur les maladies tropicales négligées</w:t>
            </w:r>
          </w:p>
        </w:tc>
      </w:tr>
      <w:tr w:rsidR="004007D3" w:rsidRPr="00251542" w:rsidTr="0056083E">
        <w:trPr>
          <w:cantSplit/>
          <w:trHeight w:val="315"/>
        </w:trPr>
        <w:tc>
          <w:tcPr>
            <w:tcW w:w="1843" w:type="dxa"/>
          </w:tcPr>
          <w:p w:rsidR="004007D3" w:rsidRPr="00251542" w:rsidRDefault="004007D3" w:rsidP="001A5BF9">
            <w:pPr>
              <w:spacing w:before="120" w:after="120"/>
              <w:rPr>
                <w:rFonts w:cs="Arial"/>
                <w:sz w:val="16"/>
                <w:szCs w:val="16"/>
              </w:rPr>
            </w:pPr>
            <w:r w:rsidRPr="00251542">
              <w:rPr>
                <w:sz w:val="16"/>
              </w:rPr>
              <w:t>Atelier national sur la gestion de la propriété intellectuelle et de la technologie dans les universités et les instituts de recherche et développement</w:t>
            </w:r>
          </w:p>
        </w:tc>
        <w:tc>
          <w:tcPr>
            <w:tcW w:w="1134" w:type="dxa"/>
          </w:tcPr>
          <w:p w:rsidR="004007D3" w:rsidRPr="00251542" w:rsidRDefault="004007D3" w:rsidP="00ED7374">
            <w:pPr>
              <w:autoSpaceDE w:val="0"/>
              <w:autoSpaceDN w:val="0"/>
              <w:adjustRightInd w:val="0"/>
              <w:spacing w:before="120" w:after="120"/>
              <w:rPr>
                <w:rFonts w:cs="Arial"/>
                <w:sz w:val="16"/>
                <w:szCs w:val="16"/>
              </w:rPr>
            </w:pPr>
            <w:r w:rsidRPr="00251542">
              <w:rPr>
                <w:sz w:val="16"/>
              </w:rPr>
              <w:t>20 – 2</w:t>
            </w:r>
            <w:r w:rsidR="00A20444" w:rsidRPr="00251542">
              <w:rPr>
                <w:sz w:val="16"/>
              </w:rPr>
              <w:t>3</w:t>
            </w:r>
            <w:r w:rsidR="00ED7374">
              <w:rPr>
                <w:sz w:val="16"/>
              </w:rPr>
              <w:t xml:space="preserve"> </w:t>
            </w:r>
            <w:r w:rsidR="00A20444" w:rsidRPr="00251542">
              <w:rPr>
                <w:sz w:val="16"/>
              </w:rPr>
              <w:t>mai 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Indonésie</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Développer des compétences sur la gestion des droits de propriété intellectuelle et du transfert de technologie à l</w:t>
            </w:r>
            <w:r w:rsidR="00A20444" w:rsidRPr="00251542">
              <w:rPr>
                <w:sz w:val="16"/>
              </w:rPr>
              <w:t>’</w:t>
            </w:r>
            <w:r w:rsidRPr="00251542">
              <w:rPr>
                <w:sz w:val="16"/>
              </w:rPr>
              <w:t>intention des professionnels des universités publiques et des instituts de recherche et développement</w:t>
            </w:r>
          </w:p>
        </w:tc>
      </w:tr>
      <w:tr w:rsidR="004007D3" w:rsidRPr="00251542" w:rsidTr="0056083E">
        <w:trPr>
          <w:cantSplit/>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Formation nationale sur les transferts de technologie réussis</w:t>
            </w:r>
          </w:p>
        </w:tc>
        <w:tc>
          <w:tcPr>
            <w:tcW w:w="1134" w:type="dxa"/>
          </w:tcPr>
          <w:p w:rsidR="004007D3" w:rsidRPr="00251542" w:rsidRDefault="004007D3" w:rsidP="00ED7374">
            <w:pPr>
              <w:spacing w:before="120" w:after="120"/>
              <w:rPr>
                <w:rFonts w:cs="Arial"/>
                <w:sz w:val="16"/>
                <w:szCs w:val="16"/>
              </w:rPr>
            </w:pPr>
            <w:r w:rsidRPr="00251542">
              <w:rPr>
                <w:sz w:val="16"/>
              </w:rPr>
              <w:t>28 – 3</w:t>
            </w:r>
            <w:r w:rsidR="00A20444" w:rsidRPr="00251542">
              <w:rPr>
                <w:sz w:val="16"/>
              </w:rPr>
              <w:t>1</w:t>
            </w:r>
            <w:r w:rsidR="00ED7374">
              <w:rPr>
                <w:sz w:val="16"/>
              </w:rPr>
              <w:t xml:space="preserve"> </w:t>
            </w:r>
            <w:r w:rsidR="00A20444" w:rsidRPr="00251542">
              <w:rPr>
                <w:sz w:val="16"/>
              </w:rPr>
              <w:t>mai 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Thaïlande</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Aider la Thaïlande à valoriser le capital humain avec les compétences nécessaires dans les domaines concernés par le transfert de technologie, telles que l</w:t>
            </w:r>
            <w:r w:rsidR="00A20444" w:rsidRPr="00251542">
              <w:rPr>
                <w:sz w:val="16"/>
              </w:rPr>
              <w:t>’</w:t>
            </w:r>
            <w:r w:rsidRPr="00251542">
              <w:rPr>
                <w:sz w:val="16"/>
              </w:rPr>
              <w:t>utilisation d</w:t>
            </w:r>
            <w:r w:rsidR="00A20444" w:rsidRPr="00251542">
              <w:rPr>
                <w:sz w:val="16"/>
              </w:rPr>
              <w:t>’</w:t>
            </w:r>
            <w:r w:rsidRPr="00251542">
              <w:rPr>
                <w:sz w:val="16"/>
              </w:rPr>
              <w:t>accords de licence comme un instrument pour le transfert de technologie</w:t>
            </w:r>
          </w:p>
        </w:tc>
      </w:tr>
      <w:tr w:rsidR="004007D3" w:rsidRPr="00251542" w:rsidTr="0056083E">
        <w:trPr>
          <w:cantSplit/>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Atelier national sur l</w:t>
            </w:r>
            <w:r w:rsidR="00A20444" w:rsidRPr="00251542">
              <w:rPr>
                <w:sz w:val="16"/>
              </w:rPr>
              <w:t>’</w:t>
            </w:r>
            <w:r w:rsidRPr="00251542">
              <w:rPr>
                <w:sz w:val="16"/>
              </w:rPr>
              <w:t>évaluation de la propriété intellectuelle</w:t>
            </w:r>
          </w:p>
        </w:tc>
        <w:tc>
          <w:tcPr>
            <w:tcW w:w="1134" w:type="dxa"/>
          </w:tcPr>
          <w:p w:rsidR="004007D3" w:rsidRPr="00251542" w:rsidRDefault="004007D3" w:rsidP="00ED7374">
            <w:pPr>
              <w:spacing w:before="120" w:after="120"/>
              <w:rPr>
                <w:rFonts w:cs="Arial"/>
                <w:sz w:val="16"/>
                <w:szCs w:val="16"/>
              </w:rPr>
            </w:pPr>
            <w:r w:rsidRPr="00251542">
              <w:rPr>
                <w:sz w:val="16"/>
              </w:rPr>
              <w:t xml:space="preserve">5 – </w:t>
            </w:r>
            <w:r w:rsidR="00A20444" w:rsidRPr="00251542">
              <w:rPr>
                <w:sz w:val="16"/>
              </w:rPr>
              <w:t>7</w:t>
            </w:r>
            <w:r w:rsidR="00ED7374">
              <w:rPr>
                <w:sz w:val="16"/>
              </w:rPr>
              <w:t xml:space="preserve"> </w:t>
            </w:r>
            <w:r w:rsidR="00A20444" w:rsidRPr="00251542">
              <w:rPr>
                <w:sz w:val="16"/>
              </w:rPr>
              <w:t>juin 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Viet Nam (Hanoi)</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Aider le Viet Nam à constituer une masse critique de professionnels de la gestion de la technologie et de la propriété intellectuelle, dotés des compétences nécessaires dans le domaine de l</w:t>
            </w:r>
            <w:r w:rsidR="00A20444" w:rsidRPr="00251542">
              <w:rPr>
                <w:sz w:val="16"/>
              </w:rPr>
              <w:t>’</w:t>
            </w:r>
            <w:r w:rsidRPr="00251542">
              <w:rPr>
                <w:sz w:val="16"/>
              </w:rPr>
              <w:t>évaluation de la propriété intellectuelle</w:t>
            </w:r>
          </w:p>
        </w:tc>
      </w:tr>
      <w:tr w:rsidR="004007D3" w:rsidRPr="00251542" w:rsidTr="0056083E">
        <w:trPr>
          <w:cantSplit/>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Atelier national sur l</w:t>
            </w:r>
            <w:r w:rsidR="00A20444" w:rsidRPr="00251542">
              <w:rPr>
                <w:sz w:val="16"/>
              </w:rPr>
              <w:t>’</w:t>
            </w:r>
            <w:r w:rsidRPr="00251542">
              <w:rPr>
                <w:sz w:val="16"/>
              </w:rPr>
              <w:t>évaluation de la propriété intellectuelle</w:t>
            </w:r>
          </w:p>
        </w:tc>
        <w:tc>
          <w:tcPr>
            <w:tcW w:w="1134" w:type="dxa"/>
          </w:tcPr>
          <w:p w:rsidR="004007D3" w:rsidRPr="00251542" w:rsidRDefault="004007D3" w:rsidP="00ED7374">
            <w:pPr>
              <w:autoSpaceDE w:val="0"/>
              <w:autoSpaceDN w:val="0"/>
              <w:adjustRightInd w:val="0"/>
              <w:spacing w:before="120" w:after="120"/>
              <w:rPr>
                <w:rFonts w:cs="Arial"/>
                <w:sz w:val="16"/>
                <w:szCs w:val="16"/>
              </w:rPr>
            </w:pPr>
            <w:r w:rsidRPr="00251542">
              <w:rPr>
                <w:sz w:val="16"/>
              </w:rPr>
              <w:t>10 – 1</w:t>
            </w:r>
            <w:r w:rsidR="00A20444" w:rsidRPr="00251542">
              <w:rPr>
                <w:sz w:val="16"/>
              </w:rPr>
              <w:t>2</w:t>
            </w:r>
            <w:r w:rsidR="00ED7374">
              <w:rPr>
                <w:sz w:val="16"/>
              </w:rPr>
              <w:t xml:space="preserve"> </w:t>
            </w:r>
            <w:r w:rsidR="00A20444" w:rsidRPr="00251542">
              <w:rPr>
                <w:sz w:val="16"/>
              </w:rPr>
              <w:t>juin 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 xml:space="preserve">Viet Nam </w:t>
            </w:r>
            <w:r w:rsidRPr="00251542">
              <w:br/>
            </w:r>
            <w:r w:rsidRPr="00251542">
              <w:rPr>
                <w:sz w:val="16"/>
              </w:rPr>
              <w:t>(Hô Chi Minh</w:t>
            </w:r>
            <w:r w:rsidR="002D6F2A" w:rsidRPr="00251542">
              <w:rPr>
                <w:sz w:val="16"/>
              </w:rPr>
              <w:noBreakHyphen/>
            </w:r>
            <w:r w:rsidRPr="00251542">
              <w:rPr>
                <w:sz w:val="16"/>
              </w:rPr>
              <w:t>Ville)</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Aider le Viet Nam à constituer une masse critique de professionnels de la gestion informatique et de la propriété intellectuelle, dotés des compétences nécessaires dans le domaine de l</w:t>
            </w:r>
            <w:r w:rsidR="00A20444" w:rsidRPr="00251542">
              <w:rPr>
                <w:sz w:val="16"/>
              </w:rPr>
              <w:t>’</w:t>
            </w:r>
            <w:r w:rsidRPr="00251542">
              <w:rPr>
                <w:sz w:val="16"/>
              </w:rPr>
              <w:t>évaluation de la propriété intellectuelle</w:t>
            </w:r>
          </w:p>
        </w:tc>
      </w:tr>
      <w:tr w:rsidR="004007D3" w:rsidRPr="00251542" w:rsidTr="0056083E">
        <w:trPr>
          <w:cantSplit/>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Traduction du Manuel de l</w:t>
            </w:r>
            <w:r w:rsidR="00A20444" w:rsidRPr="00251542">
              <w:rPr>
                <w:sz w:val="16"/>
              </w:rPr>
              <w:t>’</w:t>
            </w:r>
            <w:r w:rsidRPr="00251542">
              <w:rPr>
                <w:sz w:val="16"/>
              </w:rPr>
              <w:t>OMPI sur la rédaction des demandes de brevet en vietnamien</w:t>
            </w:r>
          </w:p>
        </w:tc>
        <w:tc>
          <w:tcPr>
            <w:tcW w:w="1134" w:type="dxa"/>
          </w:tcPr>
          <w:p w:rsidR="004007D3" w:rsidRPr="00251542" w:rsidRDefault="00ED7374" w:rsidP="00ED7374">
            <w:pPr>
              <w:autoSpaceDE w:val="0"/>
              <w:autoSpaceDN w:val="0"/>
              <w:adjustRightInd w:val="0"/>
              <w:spacing w:before="120" w:after="120"/>
              <w:rPr>
                <w:rFonts w:cs="Arial"/>
                <w:sz w:val="16"/>
                <w:szCs w:val="16"/>
              </w:rPr>
            </w:pPr>
            <w:r>
              <w:rPr>
                <w:sz w:val="16"/>
              </w:rPr>
              <w:t>s</w:t>
            </w:r>
            <w:r w:rsidR="00BD43F2" w:rsidRPr="00251542">
              <w:rPr>
                <w:sz w:val="16"/>
              </w:rPr>
              <w:t>eptembre</w:t>
            </w:r>
            <w:r>
              <w:rPr>
                <w:sz w:val="16"/>
              </w:rPr>
              <w:t xml:space="preserve"> </w:t>
            </w:r>
            <w:r w:rsidR="004007D3" w:rsidRPr="00251542">
              <w:rPr>
                <w:sz w:val="16"/>
              </w:rPr>
              <w:t>2013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Viet Nam</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Permettre la plus ample diffusion du savoir par l</w:t>
            </w:r>
            <w:r w:rsidR="00A20444" w:rsidRPr="00251542">
              <w:rPr>
                <w:sz w:val="16"/>
              </w:rPr>
              <w:t>’</w:t>
            </w:r>
            <w:r w:rsidRPr="00251542">
              <w:rPr>
                <w:sz w:val="16"/>
              </w:rPr>
              <w:t>utilisation du Manuel dans la formation dispensée par les participants du cours sur les fonds fiduciaires de l</w:t>
            </w:r>
            <w:r w:rsidR="00A20444" w:rsidRPr="00251542">
              <w:rPr>
                <w:sz w:val="16"/>
              </w:rPr>
              <w:t>’</w:t>
            </w:r>
            <w:r w:rsidRPr="00251542">
              <w:rPr>
                <w:sz w:val="16"/>
              </w:rPr>
              <w:t>OMPI (voir ci</w:t>
            </w:r>
            <w:r w:rsidR="002D6F2A" w:rsidRPr="00251542">
              <w:rPr>
                <w:sz w:val="16"/>
              </w:rPr>
              <w:noBreakHyphen/>
            </w:r>
            <w:r w:rsidRPr="00251542">
              <w:rPr>
                <w:sz w:val="16"/>
              </w:rPr>
              <w:t>après) dans leur environnement de travail</w:t>
            </w:r>
          </w:p>
        </w:tc>
      </w:tr>
      <w:tr w:rsidR="004007D3" w:rsidRPr="00251542" w:rsidTr="0056083E">
        <w:trPr>
          <w:cantSplit/>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Atelier national sur la rédaction des demandes de brevet</w:t>
            </w:r>
          </w:p>
        </w:tc>
        <w:tc>
          <w:tcPr>
            <w:tcW w:w="1134" w:type="dxa"/>
          </w:tcPr>
          <w:p w:rsidR="004007D3" w:rsidRPr="00251542" w:rsidRDefault="004007D3" w:rsidP="00ED7374">
            <w:pPr>
              <w:spacing w:before="120" w:after="120"/>
              <w:rPr>
                <w:rFonts w:cs="Arial"/>
                <w:sz w:val="16"/>
                <w:szCs w:val="16"/>
              </w:rPr>
            </w:pPr>
            <w:r w:rsidRPr="00251542">
              <w:rPr>
                <w:sz w:val="16"/>
              </w:rPr>
              <w:t>9 – 1</w:t>
            </w:r>
            <w:r w:rsidR="00ED7374">
              <w:rPr>
                <w:sz w:val="16"/>
              </w:rPr>
              <w:t xml:space="preserve">3 </w:t>
            </w:r>
            <w:r w:rsidR="00A20444" w:rsidRPr="00251542">
              <w:rPr>
                <w:sz w:val="16"/>
              </w:rPr>
              <w:t>septembre</w:t>
            </w:r>
            <w:r w:rsidR="00ED7374">
              <w:rPr>
                <w:sz w:val="16"/>
              </w:rPr>
              <w:t xml:space="preserve"> </w:t>
            </w:r>
            <w:r w:rsidR="00A20444" w:rsidRPr="00251542">
              <w:rPr>
                <w:sz w:val="16"/>
              </w:rPr>
              <w:t>20</w:t>
            </w:r>
            <w:r w:rsidRPr="00251542">
              <w:rPr>
                <w:sz w:val="16"/>
              </w:rPr>
              <w:t>13</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Viet Nam</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Fournir une connaissance stratégique du système des brevets et une formation pratique sur la rédaction des demandes de brevet, notamment sur les différentes stratégies de revendication de conception</w:t>
            </w:r>
          </w:p>
        </w:tc>
      </w:tr>
      <w:tr w:rsidR="004007D3" w:rsidRPr="00251542" w:rsidTr="0056083E">
        <w:trPr>
          <w:cantSplit/>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“Boîte à outils”</w:t>
            </w:r>
          </w:p>
        </w:tc>
        <w:tc>
          <w:tcPr>
            <w:tcW w:w="1134" w:type="dxa"/>
          </w:tcPr>
          <w:p w:rsidR="004007D3" w:rsidRPr="00251542" w:rsidRDefault="00ED7374" w:rsidP="00ED7374">
            <w:pPr>
              <w:spacing w:before="120" w:after="120"/>
              <w:rPr>
                <w:rFonts w:cs="Arial"/>
                <w:sz w:val="16"/>
                <w:szCs w:val="16"/>
              </w:rPr>
            </w:pPr>
            <w:r>
              <w:rPr>
                <w:sz w:val="16"/>
              </w:rPr>
              <w:t>o</w:t>
            </w:r>
            <w:r w:rsidR="00A20444" w:rsidRPr="00251542">
              <w:rPr>
                <w:sz w:val="16"/>
              </w:rPr>
              <w:t>ctobre</w:t>
            </w:r>
            <w:r>
              <w:rPr>
                <w:sz w:val="16"/>
              </w:rPr>
              <w:t xml:space="preserve"> </w:t>
            </w:r>
            <w:r w:rsidR="00A20444" w:rsidRPr="00251542">
              <w:rPr>
                <w:sz w:val="16"/>
              </w:rPr>
              <w:t>20</w:t>
            </w:r>
            <w:r w:rsidR="004007D3" w:rsidRPr="00251542">
              <w:rPr>
                <w:sz w:val="16"/>
              </w:rPr>
              <w:t xml:space="preserve">13 – </w:t>
            </w:r>
            <w:r w:rsidR="00A20444" w:rsidRPr="00251542">
              <w:rPr>
                <w:sz w:val="16"/>
              </w:rPr>
              <w:t>avril 20</w:t>
            </w:r>
            <w:r w:rsidR="004007D3" w:rsidRPr="00251542">
              <w:rPr>
                <w:sz w:val="16"/>
              </w:rPr>
              <w:t>14</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Tous les pays bénéficiaires des fonds fiduciaires</w:t>
            </w:r>
          </w:p>
        </w:tc>
        <w:tc>
          <w:tcPr>
            <w:tcW w:w="4110"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Élaborer les modèles des accords axés sur la propriété intellectuelle qui faciliteront la collaboration entre les établissements universitaires de la région Asie et Pacifique, dans le cadre de la recherche et du commerce, avec d</w:t>
            </w:r>
            <w:r w:rsidR="00A20444" w:rsidRPr="00251542">
              <w:rPr>
                <w:sz w:val="16"/>
              </w:rPr>
              <w:t>’</w:t>
            </w:r>
            <w:r w:rsidRPr="00251542">
              <w:rPr>
                <w:sz w:val="16"/>
              </w:rPr>
              <w:t>autres instituts de recherche</w:t>
            </w:r>
            <w:r w:rsidR="002D6F2A" w:rsidRPr="00251542">
              <w:rPr>
                <w:sz w:val="16"/>
              </w:rPr>
              <w:noBreakHyphen/>
            </w:r>
            <w:r w:rsidRPr="00251542">
              <w:rPr>
                <w:sz w:val="16"/>
              </w:rPr>
              <w:t>développement, consortiums et industries</w:t>
            </w:r>
          </w:p>
        </w:tc>
      </w:tr>
      <w:tr w:rsidR="004007D3" w:rsidRPr="00251542" w:rsidTr="0056083E">
        <w:trPr>
          <w:cantSplit/>
          <w:trHeight w:val="315"/>
        </w:trPr>
        <w:tc>
          <w:tcPr>
            <w:tcW w:w="1843"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 xml:space="preserve">Programme national de formation avancée sur la concession de licences de technologie </w:t>
            </w:r>
          </w:p>
        </w:tc>
        <w:tc>
          <w:tcPr>
            <w:tcW w:w="1134" w:type="dxa"/>
            <w:tcBorders>
              <w:bottom w:val="single" w:sz="4" w:space="0" w:color="000000"/>
            </w:tcBorders>
          </w:tcPr>
          <w:p w:rsidR="004007D3" w:rsidRPr="00251542" w:rsidRDefault="004007D3" w:rsidP="00ED7374">
            <w:pPr>
              <w:spacing w:before="120" w:after="120"/>
              <w:rPr>
                <w:rFonts w:cs="Arial"/>
                <w:sz w:val="16"/>
                <w:szCs w:val="16"/>
              </w:rPr>
            </w:pPr>
            <w:r w:rsidRPr="00251542">
              <w:rPr>
                <w:sz w:val="16"/>
              </w:rPr>
              <w:t xml:space="preserve">4 – </w:t>
            </w:r>
            <w:r w:rsidR="00A20444" w:rsidRPr="00251542">
              <w:rPr>
                <w:sz w:val="16"/>
              </w:rPr>
              <w:t>7</w:t>
            </w:r>
            <w:r w:rsidR="00ED7374">
              <w:rPr>
                <w:sz w:val="16"/>
              </w:rPr>
              <w:t xml:space="preserve"> </w:t>
            </w:r>
            <w:r w:rsidR="00A20444" w:rsidRPr="00251542">
              <w:rPr>
                <w:sz w:val="16"/>
              </w:rPr>
              <w:t>novembre</w:t>
            </w:r>
            <w:r w:rsidR="00ED7374">
              <w:rPr>
                <w:sz w:val="16"/>
              </w:rPr>
              <w:t xml:space="preserve"> </w:t>
            </w:r>
            <w:r w:rsidR="00A20444" w:rsidRPr="00251542">
              <w:rPr>
                <w:sz w:val="16"/>
              </w:rPr>
              <w:t>20</w:t>
            </w:r>
            <w:r w:rsidRPr="00251542">
              <w:rPr>
                <w:sz w:val="16"/>
              </w:rPr>
              <w:t>13</w:t>
            </w:r>
          </w:p>
        </w:tc>
        <w:tc>
          <w:tcPr>
            <w:tcW w:w="1985"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Thaïlande</w:t>
            </w:r>
          </w:p>
        </w:tc>
        <w:tc>
          <w:tcPr>
            <w:tcW w:w="4110" w:type="dxa"/>
            <w:gridSpan w:val="2"/>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Mettre à niveau les connaissances et les compétences des professionnels dans le domaine de la concession de licences, en particulier dans l</w:t>
            </w:r>
            <w:r w:rsidR="00A20444" w:rsidRPr="00251542">
              <w:rPr>
                <w:sz w:val="16"/>
              </w:rPr>
              <w:t>’</w:t>
            </w:r>
            <w:r w:rsidRPr="00251542">
              <w:rPr>
                <w:sz w:val="16"/>
              </w:rPr>
              <w:t>application des méthodes d</w:t>
            </w:r>
            <w:r w:rsidR="00A20444" w:rsidRPr="00251542">
              <w:rPr>
                <w:sz w:val="16"/>
              </w:rPr>
              <w:t>’</w:t>
            </w:r>
            <w:r w:rsidRPr="00251542">
              <w:rPr>
                <w:sz w:val="16"/>
              </w:rPr>
              <w:t>évaluation de la propriété intellectuelle dans le cadre de la négociation de licences et dans la rédaction d</w:t>
            </w:r>
            <w:r w:rsidR="00A20444" w:rsidRPr="00251542">
              <w:rPr>
                <w:sz w:val="16"/>
              </w:rPr>
              <w:t>’</w:t>
            </w:r>
            <w:r w:rsidRPr="00251542">
              <w:rPr>
                <w:sz w:val="16"/>
              </w:rPr>
              <w:t>un accord de licence</w:t>
            </w:r>
          </w:p>
        </w:tc>
      </w:tr>
      <w:tr w:rsidR="004007D3" w:rsidRPr="00251542" w:rsidTr="0056083E">
        <w:trPr>
          <w:cantSplit/>
          <w:trHeight w:val="315"/>
        </w:trPr>
        <w:tc>
          <w:tcPr>
            <w:tcW w:w="9072" w:type="dxa"/>
            <w:gridSpan w:val="5"/>
            <w:tcBorders>
              <w:top w:val="single" w:sz="4" w:space="0" w:color="000000"/>
              <w:bottom w:val="single" w:sz="4" w:space="0" w:color="000000"/>
            </w:tcBorders>
            <w:shd w:val="clear" w:color="auto" w:fill="CCFFFF"/>
          </w:tcPr>
          <w:p w:rsidR="004007D3" w:rsidRPr="00251542" w:rsidRDefault="004007D3" w:rsidP="001A5BF9">
            <w:pPr>
              <w:keepNext/>
              <w:keepLines/>
              <w:tabs>
                <w:tab w:val="left" w:pos="1740"/>
              </w:tabs>
              <w:spacing w:before="120" w:after="120"/>
              <w:ind w:left="1740" w:hanging="1740"/>
              <w:rPr>
                <w:sz w:val="18"/>
                <w:szCs w:val="18"/>
              </w:rPr>
            </w:pPr>
            <w:r w:rsidRPr="00A343B3">
              <w:rPr>
                <w:b/>
                <w:sz w:val="16"/>
              </w:rPr>
              <w:t>RÉSULTAT</w:t>
            </w:r>
            <w:r w:rsidR="0010442A" w:rsidRPr="00A343B3">
              <w:rPr>
                <w:b/>
                <w:sz w:val="16"/>
              </w:rPr>
              <w:t xml:space="preserve"> : </w:t>
            </w:r>
            <w:r w:rsidRPr="00251542">
              <w:rPr>
                <w:b/>
                <w:sz w:val="18"/>
              </w:rPr>
              <w:tab/>
            </w:r>
            <w:r w:rsidRPr="00A343B3">
              <w:rPr>
                <w:sz w:val="16"/>
                <w:szCs w:val="16"/>
              </w:rPr>
              <w:t>Amélioration de l</w:t>
            </w:r>
            <w:r w:rsidR="00A20444" w:rsidRPr="00A343B3">
              <w:rPr>
                <w:sz w:val="16"/>
                <w:szCs w:val="16"/>
              </w:rPr>
              <w:t>’</w:t>
            </w:r>
            <w:r w:rsidRPr="00A343B3">
              <w:rPr>
                <w:sz w:val="16"/>
                <w:szCs w:val="16"/>
              </w:rPr>
              <w:t>accès aux informations et au savoir en matière de propriété intellectuelle et leur utilisation par les institutions de propriété intellectuelle et le public au service de l</w:t>
            </w:r>
            <w:r w:rsidR="00A20444" w:rsidRPr="00A343B3">
              <w:rPr>
                <w:sz w:val="16"/>
                <w:szCs w:val="16"/>
              </w:rPr>
              <w:t>’</w:t>
            </w:r>
            <w:r w:rsidRPr="00A343B3">
              <w:rPr>
                <w:sz w:val="16"/>
                <w:szCs w:val="16"/>
              </w:rPr>
              <w:t>innovation, et facilité d</w:t>
            </w:r>
            <w:r w:rsidR="00A20444" w:rsidRPr="00A343B3">
              <w:rPr>
                <w:sz w:val="16"/>
                <w:szCs w:val="16"/>
              </w:rPr>
              <w:t>’</w:t>
            </w:r>
            <w:r w:rsidRPr="00A343B3">
              <w:rPr>
                <w:sz w:val="16"/>
                <w:szCs w:val="16"/>
              </w:rPr>
              <w:t>accès aux œuvres créatives protégées et aux œuvres créatives tombées dans le domaine public</w:t>
            </w:r>
          </w:p>
        </w:tc>
      </w:tr>
      <w:tr w:rsidR="004007D3" w:rsidRPr="00A36B64" w:rsidTr="0056083E">
        <w:trPr>
          <w:cantSplit/>
          <w:trHeight w:val="487"/>
        </w:trPr>
        <w:tc>
          <w:tcPr>
            <w:tcW w:w="1843" w:type="dxa"/>
            <w:tcBorders>
              <w:top w:val="single" w:sz="4" w:space="0" w:color="000000"/>
            </w:tcBorders>
            <w:vAlign w:val="center"/>
          </w:tcPr>
          <w:p w:rsidR="004007D3" w:rsidRPr="00A36B64" w:rsidRDefault="004007D3" w:rsidP="001A5BF9">
            <w:pPr>
              <w:keepNext/>
              <w:keepLines/>
              <w:rPr>
                <w:rFonts w:cs="Arial"/>
                <w:b/>
                <w:bCs/>
                <w:sz w:val="16"/>
                <w:szCs w:val="16"/>
              </w:rPr>
            </w:pPr>
            <w:r w:rsidRPr="00A36B64">
              <w:rPr>
                <w:b/>
                <w:sz w:val="16"/>
              </w:rPr>
              <w:t>Activité</w:t>
            </w:r>
          </w:p>
        </w:tc>
        <w:tc>
          <w:tcPr>
            <w:tcW w:w="1134" w:type="dxa"/>
            <w:tcBorders>
              <w:top w:val="single" w:sz="4" w:space="0" w:color="000000"/>
            </w:tcBorders>
            <w:vAlign w:val="center"/>
          </w:tcPr>
          <w:p w:rsidR="004007D3" w:rsidRPr="00A36B64" w:rsidRDefault="004007D3" w:rsidP="001A5BF9">
            <w:pPr>
              <w:keepNext/>
              <w:keepLines/>
              <w:rPr>
                <w:rFonts w:cs="Arial"/>
                <w:b/>
                <w:sz w:val="16"/>
                <w:szCs w:val="16"/>
              </w:rPr>
            </w:pPr>
            <w:r w:rsidRPr="00A36B64">
              <w:rPr>
                <w:b/>
                <w:sz w:val="16"/>
              </w:rPr>
              <w:t>Date</w:t>
            </w:r>
          </w:p>
        </w:tc>
        <w:tc>
          <w:tcPr>
            <w:tcW w:w="1985" w:type="dxa"/>
            <w:tcBorders>
              <w:top w:val="single" w:sz="4" w:space="0" w:color="000000"/>
            </w:tcBorders>
            <w:vAlign w:val="center"/>
          </w:tcPr>
          <w:p w:rsidR="004007D3" w:rsidRPr="00A36B64" w:rsidRDefault="004007D3" w:rsidP="001A5BF9">
            <w:pPr>
              <w:keepNext/>
              <w:keepLines/>
              <w:rPr>
                <w:rFonts w:cs="Arial"/>
                <w:b/>
                <w:sz w:val="16"/>
                <w:szCs w:val="16"/>
              </w:rPr>
            </w:pPr>
            <w:r w:rsidRPr="00A36B64">
              <w:rPr>
                <w:b/>
                <w:sz w:val="16"/>
              </w:rPr>
              <w:t>Pays hôte/bénéficiaire</w:t>
            </w:r>
          </w:p>
        </w:tc>
        <w:tc>
          <w:tcPr>
            <w:tcW w:w="4110" w:type="dxa"/>
            <w:gridSpan w:val="2"/>
            <w:tcBorders>
              <w:top w:val="single" w:sz="4" w:space="0" w:color="000000"/>
            </w:tcBorders>
            <w:vAlign w:val="center"/>
          </w:tcPr>
          <w:p w:rsidR="004007D3" w:rsidRPr="00A36B64" w:rsidRDefault="004007D3" w:rsidP="001A5BF9">
            <w:pPr>
              <w:keepNext/>
              <w:keepLines/>
              <w:rPr>
                <w:rFonts w:cs="Arial"/>
                <w:b/>
                <w:sz w:val="16"/>
                <w:szCs w:val="16"/>
              </w:rPr>
            </w:pPr>
            <w:r w:rsidRPr="00A36B64">
              <w:rPr>
                <w:b/>
                <w:sz w:val="16"/>
              </w:rPr>
              <w:t>Objectif(s)/description(s)</w:t>
            </w:r>
          </w:p>
        </w:tc>
      </w:tr>
      <w:tr w:rsidR="004007D3" w:rsidRPr="00251542" w:rsidTr="0056083E">
        <w:trPr>
          <w:cantSplit/>
          <w:trHeight w:val="315"/>
        </w:trPr>
        <w:tc>
          <w:tcPr>
            <w:tcW w:w="1843" w:type="dxa"/>
          </w:tcPr>
          <w:p w:rsidR="004007D3" w:rsidRPr="00251542" w:rsidRDefault="004007D3" w:rsidP="001A5BF9">
            <w:pPr>
              <w:spacing w:before="120" w:after="120"/>
              <w:rPr>
                <w:rFonts w:cs="Arial"/>
                <w:sz w:val="16"/>
                <w:szCs w:val="16"/>
              </w:rPr>
            </w:pPr>
            <w:r w:rsidRPr="00251542">
              <w:rPr>
                <w:sz w:val="16"/>
              </w:rPr>
              <w:t>Mission de consultants de l</w:t>
            </w:r>
            <w:r w:rsidR="00A20444" w:rsidRPr="00251542">
              <w:rPr>
                <w:sz w:val="16"/>
              </w:rPr>
              <w:t>’</w:t>
            </w:r>
            <w:r w:rsidRPr="00251542">
              <w:rPr>
                <w:sz w:val="16"/>
              </w:rPr>
              <w:t>OMPI en Namibie, au Bangladesh et au Sri Lanka</w:t>
            </w:r>
          </w:p>
        </w:tc>
        <w:tc>
          <w:tcPr>
            <w:tcW w:w="1134" w:type="dxa"/>
          </w:tcPr>
          <w:p w:rsidR="004007D3" w:rsidRPr="00251542" w:rsidRDefault="00ED7374" w:rsidP="00ED7374">
            <w:pPr>
              <w:spacing w:before="120" w:after="120"/>
              <w:rPr>
                <w:rFonts w:cs="Arial"/>
                <w:sz w:val="16"/>
                <w:szCs w:val="16"/>
              </w:rPr>
            </w:pPr>
            <w:r>
              <w:rPr>
                <w:sz w:val="16"/>
              </w:rPr>
              <w:t>f</w:t>
            </w:r>
            <w:r w:rsidR="00BD43F2" w:rsidRPr="00251542">
              <w:rPr>
                <w:sz w:val="16"/>
              </w:rPr>
              <w:t>évrier </w:t>
            </w:r>
            <w:r w:rsidR="004007D3" w:rsidRPr="00251542">
              <w:rPr>
                <w:sz w:val="16"/>
              </w:rPr>
              <w:t>2013 (Namibie</w:t>
            </w:r>
            <w:proofErr w:type="gramStart"/>
            <w:r w:rsidR="004007D3" w:rsidRPr="00251542">
              <w:rPr>
                <w:sz w:val="16"/>
              </w:rPr>
              <w:t>)</w:t>
            </w:r>
            <w:proofErr w:type="gramEnd"/>
            <w:r w:rsidR="004007D3" w:rsidRPr="00251542">
              <w:br/>
            </w:r>
            <w:r>
              <w:rPr>
                <w:sz w:val="16"/>
              </w:rPr>
              <w:t>a</w:t>
            </w:r>
            <w:r w:rsidR="00BD43F2" w:rsidRPr="00251542">
              <w:rPr>
                <w:sz w:val="16"/>
              </w:rPr>
              <w:t>vril </w:t>
            </w:r>
            <w:r w:rsidR="004007D3" w:rsidRPr="00251542">
              <w:rPr>
                <w:sz w:val="16"/>
              </w:rPr>
              <w:t xml:space="preserve">2013 </w:t>
            </w:r>
            <w:r w:rsidR="004007D3" w:rsidRPr="00251542">
              <w:rPr>
                <w:spacing w:val="-4"/>
                <w:sz w:val="16"/>
              </w:rPr>
              <w:t>(Bangladesh)</w:t>
            </w:r>
            <w:r>
              <w:rPr>
                <w:spacing w:val="-4"/>
                <w:sz w:val="16"/>
              </w:rPr>
              <w:t>d</w:t>
            </w:r>
            <w:r w:rsidR="00BD43F2" w:rsidRPr="00251542">
              <w:rPr>
                <w:sz w:val="16"/>
              </w:rPr>
              <w:t>écembre</w:t>
            </w:r>
            <w:r>
              <w:rPr>
                <w:sz w:val="16"/>
              </w:rPr>
              <w:t xml:space="preserve"> </w:t>
            </w:r>
            <w:r w:rsidR="004007D3" w:rsidRPr="00251542">
              <w:rPr>
                <w:sz w:val="16"/>
              </w:rPr>
              <w:t>2013 (Sri Lanka)</w:t>
            </w:r>
          </w:p>
        </w:tc>
        <w:tc>
          <w:tcPr>
            <w:tcW w:w="198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Bangladesh, Namibie et Sri Lanka</w:t>
            </w:r>
          </w:p>
        </w:tc>
        <w:tc>
          <w:tcPr>
            <w:tcW w:w="4110" w:type="dxa"/>
            <w:gridSpan w:val="2"/>
          </w:tcPr>
          <w:p w:rsidR="004007D3" w:rsidRPr="00251542" w:rsidRDefault="004007D3" w:rsidP="001A5BF9">
            <w:pPr>
              <w:spacing w:before="120" w:after="120"/>
              <w:rPr>
                <w:rFonts w:cs="Arial"/>
                <w:sz w:val="16"/>
                <w:szCs w:val="16"/>
              </w:rPr>
            </w:pPr>
            <w:r w:rsidRPr="00251542">
              <w:rPr>
                <w:sz w:val="16"/>
              </w:rPr>
              <w:t>Explorer la possibilité d</w:t>
            </w:r>
            <w:r w:rsidR="00A20444" w:rsidRPr="00251542">
              <w:rPr>
                <w:sz w:val="16"/>
              </w:rPr>
              <w:t>’</w:t>
            </w:r>
            <w:r w:rsidRPr="00251542">
              <w:rPr>
                <w:sz w:val="16"/>
              </w:rPr>
              <w:t>établir un mémorandum d</w:t>
            </w:r>
            <w:r w:rsidR="00A20444" w:rsidRPr="00251542">
              <w:rPr>
                <w:sz w:val="16"/>
              </w:rPr>
              <w:t>’</w:t>
            </w:r>
            <w:r w:rsidRPr="00251542">
              <w:rPr>
                <w:sz w:val="16"/>
              </w:rPr>
              <w:t>accord avec une ONG locale de manière à renforcer les capacités de cette organisation locale au service des déficients visuels, ainsi que pour renforcer les capacités du secteur de l</w:t>
            </w:r>
            <w:r w:rsidR="00A20444" w:rsidRPr="00251542">
              <w:rPr>
                <w:sz w:val="16"/>
              </w:rPr>
              <w:t>’</w:t>
            </w:r>
            <w:r w:rsidRPr="00251542">
              <w:rPr>
                <w:sz w:val="16"/>
              </w:rPr>
              <w:t>édition national et des administrations publiques en vue de la production ou de la conversion et de la diffusion de livres en formats accessibles (braille, audio, gros caractères)</w:t>
            </w:r>
          </w:p>
        </w:tc>
      </w:tr>
    </w:tbl>
    <w:p w:rsidR="00D42474" w:rsidRDefault="00D42474" w:rsidP="001A5BF9"/>
    <w:p w:rsidR="00D42474" w:rsidRDefault="00D42474" w:rsidP="001A5BF9">
      <w:pPr>
        <w:tabs>
          <w:tab w:val="left" w:pos="0"/>
          <w:tab w:val="left" w:pos="9071"/>
        </w:tabs>
        <w:rPr>
          <w:rFonts w:cs="Arial"/>
          <w:b/>
          <w:sz w:val="18"/>
          <w:szCs w:val="18"/>
        </w:rPr>
      </w:pPr>
    </w:p>
    <w:p w:rsidR="00D42474" w:rsidRDefault="004007D3" w:rsidP="001A5BF9">
      <w:pPr>
        <w:tabs>
          <w:tab w:val="left" w:pos="0"/>
          <w:tab w:val="left" w:pos="9071"/>
        </w:tabs>
        <w:rPr>
          <w:rFonts w:cs="Arial"/>
          <w:b/>
          <w:sz w:val="18"/>
          <w:szCs w:val="18"/>
        </w:rPr>
      </w:pPr>
      <w:r w:rsidRPr="00251542">
        <w:rPr>
          <w:b/>
          <w:sz w:val="18"/>
        </w:rPr>
        <w:t>AUSTRALIE – Contributions des donateurs et dépenses en</w:t>
      </w:r>
      <w:r w:rsidR="0010442A" w:rsidRPr="00251542">
        <w:rPr>
          <w:b/>
          <w:sz w:val="18"/>
        </w:rPr>
        <w:t> </w:t>
      </w:r>
      <w:r w:rsidRPr="00251542">
        <w:rPr>
          <w:b/>
          <w:sz w:val="18"/>
        </w:rPr>
        <w:t>2013</w:t>
      </w:r>
      <w:r w:rsidRPr="00251542">
        <w:rPr>
          <w:b/>
          <w:sz w:val="18"/>
          <w:vertAlign w:val="superscript"/>
        </w:rPr>
        <w:t>1</w:t>
      </w:r>
    </w:p>
    <w:p w:rsidR="004007D3" w:rsidRPr="00251542" w:rsidRDefault="004007D3" w:rsidP="001A5BF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540"/>
        <w:gridCol w:w="1693"/>
        <w:gridCol w:w="1701"/>
        <w:gridCol w:w="2326"/>
      </w:tblGrid>
      <w:tr w:rsidR="004007D3" w:rsidRPr="00251542" w:rsidTr="00797A8B">
        <w:trPr>
          <w:trHeight w:val="437"/>
        </w:trPr>
        <w:tc>
          <w:tcPr>
            <w:tcW w:w="187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12</w:t>
            </w:r>
          </w:p>
        </w:tc>
        <w:tc>
          <w:tcPr>
            <w:tcW w:w="154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69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2326"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13</w:t>
            </w:r>
          </w:p>
        </w:tc>
      </w:tr>
      <w:tr w:rsidR="004007D3" w:rsidRPr="00251542" w:rsidTr="00797A8B">
        <w:trPr>
          <w:trHeight w:val="567"/>
        </w:trPr>
        <w:tc>
          <w:tcPr>
            <w:tcW w:w="1870"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1 841 407</w:t>
            </w:r>
          </w:p>
        </w:tc>
        <w:tc>
          <w:tcPr>
            <w:tcW w:w="1540" w:type="dxa"/>
            <w:shd w:val="clear" w:color="auto" w:fill="auto"/>
            <w:vAlign w:val="center"/>
          </w:tcPr>
          <w:p w:rsidR="004007D3" w:rsidRPr="00251542" w:rsidRDefault="002D6F2A" w:rsidP="001A5BF9">
            <w:pPr>
              <w:spacing w:before="120" w:after="120"/>
              <w:jc w:val="center"/>
              <w:rPr>
                <w:rFonts w:eastAsia="MS Mincho" w:cs="Arial"/>
                <w:sz w:val="16"/>
                <w:szCs w:val="16"/>
                <w:lang w:bidi="th-TH"/>
              </w:rPr>
            </w:pPr>
            <w:r w:rsidRPr="00251542">
              <w:rPr>
                <w:sz w:val="16"/>
              </w:rPr>
              <w:noBreakHyphen/>
            </w:r>
            <w:r w:rsidR="004007D3" w:rsidRPr="00251542">
              <w:rPr>
                <w:sz w:val="16"/>
              </w:rPr>
              <w:t>13 623</w:t>
            </w:r>
          </w:p>
        </w:tc>
        <w:tc>
          <w:tcPr>
            <w:tcW w:w="169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694 474</w:t>
            </w:r>
          </w:p>
        </w:tc>
        <w:tc>
          <w:tcPr>
            <w:tcW w:w="1701" w:type="dxa"/>
            <w:shd w:val="clear" w:color="auto" w:fill="auto"/>
            <w:vAlign w:val="center"/>
          </w:tcPr>
          <w:p w:rsidR="004007D3" w:rsidRPr="00251542" w:rsidRDefault="002D6F2A" w:rsidP="001A5BF9">
            <w:pPr>
              <w:autoSpaceDE w:val="0"/>
              <w:autoSpaceDN w:val="0"/>
              <w:adjustRightInd w:val="0"/>
              <w:spacing w:before="120" w:after="120"/>
              <w:jc w:val="center"/>
              <w:rPr>
                <w:rFonts w:eastAsia="MS Mincho" w:cs="Arial"/>
                <w:sz w:val="16"/>
                <w:szCs w:val="16"/>
                <w:lang w:bidi="th-TH"/>
              </w:rPr>
            </w:pPr>
            <w:r w:rsidRPr="00251542">
              <w:rPr>
                <w:sz w:val="16"/>
              </w:rPr>
              <w:noBreakHyphen/>
            </w:r>
          </w:p>
        </w:tc>
        <w:tc>
          <w:tcPr>
            <w:tcW w:w="2326"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1 333 310</w:t>
            </w:r>
          </w:p>
        </w:tc>
      </w:tr>
    </w:tbl>
    <w:p w:rsidR="00D42474" w:rsidRDefault="004007D3" w:rsidP="001A5BF9">
      <w:pPr>
        <w:spacing w:before="120"/>
        <w:rPr>
          <w:sz w:val="16"/>
          <w:szCs w:val="16"/>
        </w:rPr>
      </w:pPr>
      <w:r w:rsidRPr="00A36B64">
        <w:rPr>
          <w:i/>
          <w:sz w:val="16"/>
          <w:szCs w:val="16"/>
          <w:vertAlign w:val="superscript"/>
        </w:rPr>
        <w:t xml:space="preserve">1 </w:t>
      </w:r>
      <w:r w:rsidR="00A36B64">
        <w:rPr>
          <w:i/>
          <w:sz w:val="16"/>
          <w:szCs w:val="16"/>
          <w:vertAlign w:val="superscript"/>
        </w:rPr>
        <w:t xml:space="preserve"> </w:t>
      </w:r>
      <w:r w:rsidRPr="00A36B64">
        <w:rPr>
          <w:i/>
          <w:sz w:val="16"/>
          <w:szCs w:val="16"/>
        </w:rPr>
        <w:t>États financiers de l</w:t>
      </w:r>
      <w:r w:rsidR="00A20444" w:rsidRPr="00A36B64">
        <w:rPr>
          <w:i/>
          <w:sz w:val="16"/>
          <w:szCs w:val="16"/>
        </w:rPr>
        <w:t>’</w:t>
      </w:r>
      <w:r w:rsidRPr="00A36B64">
        <w:rPr>
          <w:i/>
          <w:sz w:val="16"/>
          <w:szCs w:val="16"/>
        </w:rPr>
        <w:t>OMPI 2013 (annexe III)</w:t>
      </w:r>
    </w:p>
    <w:p w:rsidR="00D42474" w:rsidRDefault="004007D3" w:rsidP="001A5BF9">
      <w:pPr>
        <w:rPr>
          <w:rFonts w:cs="Arial"/>
          <w:b/>
          <w:szCs w:val="20"/>
        </w:rPr>
      </w:pPr>
      <w:r w:rsidRPr="00251542">
        <w:br w:type="page"/>
      </w:r>
      <w:r w:rsidRPr="00A36B64">
        <w:rPr>
          <w:b/>
        </w:rPr>
        <w:t>BRÉSIL</w:t>
      </w:r>
    </w:p>
    <w:p w:rsidR="004007D3" w:rsidRPr="00251542" w:rsidRDefault="004007D3" w:rsidP="001A5BF9">
      <w:pPr>
        <w:rPr>
          <w:rFonts w:cs="Arial"/>
          <w:b/>
          <w:szCs w:val="20"/>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835"/>
        <w:gridCol w:w="3260"/>
      </w:tblGrid>
      <w:tr w:rsidR="004007D3" w:rsidRPr="00251542" w:rsidTr="0056083E">
        <w:tc>
          <w:tcPr>
            <w:tcW w:w="9072" w:type="dxa"/>
            <w:gridSpan w:val="4"/>
            <w:tcBorders>
              <w:top w:val="single" w:sz="4" w:space="0" w:color="000000"/>
              <w:bottom w:val="single" w:sz="4" w:space="0" w:color="000000"/>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xml:space="preserve"> : </w:t>
            </w:r>
            <w:r w:rsidRPr="00251542">
              <w:rPr>
                <w:b/>
                <w:sz w:val="16"/>
              </w:rPr>
              <w:tab/>
            </w:r>
            <w:r w:rsidRPr="00251542">
              <w:rPr>
                <w:sz w:val="16"/>
              </w:rPr>
              <w:t>Renforcement des ressources humaines dans les pays en développement,</w:t>
            </w:r>
            <w:r w:rsidR="00A20444" w:rsidRPr="00251542">
              <w:rPr>
                <w:sz w:val="16"/>
              </w:rPr>
              <w:t xml:space="preserve"> les PMA</w:t>
            </w:r>
            <w:r w:rsidRPr="00251542">
              <w:rPr>
                <w:sz w:val="16"/>
              </w:rPr>
              <w:t xml:space="preserve"> et les pays en transition pour leur permettre d</w:t>
            </w:r>
            <w:r w:rsidR="00A20444" w:rsidRPr="00251542">
              <w:rPr>
                <w:sz w:val="16"/>
              </w:rPr>
              <w:t>’</w:t>
            </w:r>
            <w:r w:rsidRPr="00251542">
              <w:rPr>
                <w:sz w:val="16"/>
              </w:rPr>
              <w:t>utiliser avec efficacité la propriété intellectuelle au service du développement</w:t>
            </w:r>
          </w:p>
        </w:tc>
      </w:tr>
      <w:tr w:rsidR="004007D3" w:rsidRPr="00A36B64" w:rsidTr="0056083E">
        <w:tc>
          <w:tcPr>
            <w:tcW w:w="1843" w:type="dxa"/>
            <w:tcBorders>
              <w:top w:val="single" w:sz="4" w:space="0" w:color="000000"/>
            </w:tcBorders>
            <w:vAlign w:val="center"/>
          </w:tcPr>
          <w:p w:rsidR="004007D3" w:rsidRPr="00A36B64" w:rsidRDefault="004007D3" w:rsidP="001A5BF9">
            <w:pPr>
              <w:keepNext/>
              <w:keepLines/>
              <w:rPr>
                <w:rFonts w:cs="Arial"/>
                <w:b/>
                <w:bCs/>
                <w:sz w:val="16"/>
                <w:szCs w:val="16"/>
              </w:rPr>
            </w:pPr>
            <w:r w:rsidRPr="00A36B64">
              <w:rPr>
                <w:b/>
                <w:sz w:val="16"/>
              </w:rPr>
              <w:t>Activité</w:t>
            </w:r>
          </w:p>
        </w:tc>
        <w:tc>
          <w:tcPr>
            <w:tcW w:w="1134" w:type="dxa"/>
            <w:tcBorders>
              <w:top w:val="single" w:sz="4" w:space="0" w:color="000000"/>
            </w:tcBorders>
            <w:shd w:val="clear" w:color="auto" w:fill="auto"/>
            <w:tcMar>
              <w:top w:w="110" w:type="dxa"/>
            </w:tcMar>
            <w:vAlign w:val="center"/>
          </w:tcPr>
          <w:p w:rsidR="004007D3" w:rsidRPr="00A36B64" w:rsidRDefault="004007D3" w:rsidP="001A5BF9">
            <w:pPr>
              <w:keepNext/>
              <w:keepLines/>
              <w:rPr>
                <w:rFonts w:cs="Arial"/>
                <w:b/>
                <w:sz w:val="16"/>
                <w:szCs w:val="16"/>
              </w:rPr>
            </w:pPr>
            <w:r w:rsidRPr="00A36B64">
              <w:rPr>
                <w:b/>
                <w:sz w:val="16"/>
              </w:rPr>
              <w:t>Date</w:t>
            </w:r>
          </w:p>
        </w:tc>
        <w:tc>
          <w:tcPr>
            <w:tcW w:w="2835" w:type="dxa"/>
            <w:tcBorders>
              <w:top w:val="single" w:sz="4" w:space="0" w:color="000000"/>
            </w:tcBorders>
            <w:shd w:val="clear" w:color="auto" w:fill="auto"/>
            <w:tcMar>
              <w:top w:w="110" w:type="dxa"/>
            </w:tcMar>
            <w:vAlign w:val="center"/>
          </w:tcPr>
          <w:p w:rsidR="004007D3" w:rsidRPr="00A36B64" w:rsidRDefault="004007D3" w:rsidP="001A5BF9">
            <w:pPr>
              <w:keepNext/>
              <w:keepLines/>
              <w:rPr>
                <w:rFonts w:cs="Arial"/>
                <w:b/>
                <w:sz w:val="16"/>
                <w:szCs w:val="16"/>
              </w:rPr>
            </w:pPr>
            <w:r w:rsidRPr="00A36B64">
              <w:rPr>
                <w:b/>
                <w:sz w:val="16"/>
              </w:rPr>
              <w:t>Pays hôte/bénéficiaire</w:t>
            </w:r>
          </w:p>
        </w:tc>
        <w:tc>
          <w:tcPr>
            <w:tcW w:w="3260" w:type="dxa"/>
            <w:tcBorders>
              <w:top w:val="single" w:sz="4" w:space="0" w:color="000000"/>
            </w:tcBorders>
            <w:shd w:val="clear" w:color="auto" w:fill="FFFFFF"/>
            <w:tcMar>
              <w:top w:w="110" w:type="dxa"/>
            </w:tcMar>
            <w:vAlign w:val="center"/>
          </w:tcPr>
          <w:p w:rsidR="004007D3" w:rsidRPr="00A36B64" w:rsidRDefault="004007D3" w:rsidP="001A5BF9">
            <w:pPr>
              <w:keepNext/>
              <w:keepLines/>
              <w:rPr>
                <w:rFonts w:cs="Arial"/>
                <w:b/>
                <w:sz w:val="16"/>
                <w:szCs w:val="16"/>
              </w:rPr>
            </w:pPr>
            <w:r w:rsidRPr="00A36B64">
              <w:rPr>
                <w:b/>
                <w:sz w:val="16"/>
              </w:rPr>
              <w:t>Objectif(s)/description(s)</w:t>
            </w:r>
          </w:p>
        </w:tc>
      </w:tr>
      <w:tr w:rsidR="004007D3" w:rsidRPr="00251542" w:rsidTr="0056083E">
        <w:trPr>
          <w:trHeight w:val="371"/>
        </w:trPr>
        <w:tc>
          <w:tcPr>
            <w:tcW w:w="1843" w:type="dxa"/>
          </w:tcPr>
          <w:p w:rsidR="004007D3" w:rsidRPr="00251542" w:rsidRDefault="004007D3" w:rsidP="001A5BF9">
            <w:pPr>
              <w:spacing w:after="220"/>
              <w:rPr>
                <w:rFonts w:eastAsia="SimSun"/>
                <w:sz w:val="16"/>
                <w:szCs w:val="16"/>
              </w:rPr>
            </w:pPr>
            <w:r w:rsidRPr="00251542">
              <w:rPr>
                <w:sz w:val="16"/>
              </w:rPr>
              <w:t>Lancement du centre de médiation de l</w:t>
            </w:r>
            <w:r w:rsidR="00A20444" w:rsidRPr="00251542">
              <w:rPr>
                <w:sz w:val="16"/>
              </w:rPr>
              <w:t>’</w:t>
            </w:r>
            <w:proofErr w:type="spellStart"/>
            <w:r w:rsidRPr="00251542">
              <w:rPr>
                <w:sz w:val="16"/>
              </w:rPr>
              <w:t>INPI</w:t>
            </w:r>
            <w:proofErr w:type="spellEnd"/>
            <w:r w:rsidRPr="00251542">
              <w:rPr>
                <w:sz w:val="16"/>
              </w:rPr>
              <w:t>, incluant un atelier</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12 – 1</w:t>
            </w:r>
            <w:r w:rsidR="00A20444" w:rsidRPr="00251542">
              <w:rPr>
                <w:sz w:val="16"/>
              </w:rPr>
              <w:t>4</w:t>
            </w:r>
            <w:r w:rsidR="00ED7374">
              <w:rPr>
                <w:sz w:val="16"/>
              </w:rPr>
              <w:t xml:space="preserve"> </w:t>
            </w:r>
            <w:r w:rsidR="00A20444" w:rsidRPr="00251542">
              <w:rPr>
                <w:sz w:val="16"/>
              </w:rPr>
              <w:t>mars 20</w:t>
            </w:r>
            <w:r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Brésil</w:t>
            </w:r>
          </w:p>
        </w:tc>
        <w:tc>
          <w:tcPr>
            <w:tcW w:w="3260" w:type="dxa"/>
          </w:tcPr>
          <w:p w:rsidR="004007D3" w:rsidRPr="00251542" w:rsidRDefault="004007D3" w:rsidP="001A5BF9">
            <w:pPr>
              <w:spacing w:after="120"/>
              <w:rPr>
                <w:rFonts w:eastAsia="SimSun" w:cs="Arial"/>
                <w:sz w:val="16"/>
                <w:szCs w:val="16"/>
              </w:rPr>
            </w:pPr>
            <w:r w:rsidRPr="00251542">
              <w:rPr>
                <w:sz w:val="16"/>
              </w:rPr>
              <w:t>Le centre de médiation de l</w:t>
            </w:r>
            <w:r w:rsidR="00A20444" w:rsidRPr="00251542">
              <w:rPr>
                <w:sz w:val="16"/>
              </w:rPr>
              <w:t>’</w:t>
            </w:r>
            <w:proofErr w:type="spellStart"/>
            <w:r w:rsidRPr="00251542">
              <w:rPr>
                <w:sz w:val="16"/>
              </w:rPr>
              <w:t>INPI</w:t>
            </w:r>
            <w:proofErr w:type="spellEnd"/>
            <w:r w:rsidRPr="00251542">
              <w:rPr>
                <w:sz w:val="16"/>
              </w:rPr>
              <w:t xml:space="preserve"> a été inauguré lors d</w:t>
            </w:r>
            <w:r w:rsidR="00A20444" w:rsidRPr="00251542">
              <w:rPr>
                <w:sz w:val="16"/>
              </w:rPr>
              <w:t>’</w:t>
            </w:r>
            <w:r w:rsidRPr="00251542">
              <w:rPr>
                <w:sz w:val="16"/>
              </w:rPr>
              <w:t>une cérémonie suivie d</w:t>
            </w:r>
            <w:r w:rsidR="00A20444" w:rsidRPr="00251542">
              <w:rPr>
                <w:sz w:val="16"/>
              </w:rPr>
              <w:t>’</w:t>
            </w:r>
            <w:r w:rsidRPr="00251542">
              <w:rPr>
                <w:sz w:val="16"/>
              </w:rPr>
              <w:t xml:space="preserve">un atelier à la </w:t>
            </w:r>
            <w:proofErr w:type="spellStart"/>
            <w:r w:rsidRPr="00251542">
              <w:rPr>
                <w:sz w:val="16"/>
              </w:rPr>
              <w:t>Regional</w:t>
            </w:r>
            <w:proofErr w:type="spellEnd"/>
            <w:r w:rsidRPr="00251542">
              <w:rPr>
                <w:sz w:val="16"/>
              </w:rPr>
              <w:t xml:space="preserve"> </w:t>
            </w:r>
            <w:proofErr w:type="spellStart"/>
            <w:r w:rsidRPr="00251542">
              <w:rPr>
                <w:sz w:val="16"/>
              </w:rPr>
              <w:t>Federal</w:t>
            </w:r>
            <w:proofErr w:type="spellEnd"/>
            <w:r w:rsidRPr="00251542">
              <w:rPr>
                <w:sz w:val="16"/>
              </w:rPr>
              <w:t xml:space="preserve"> </w:t>
            </w:r>
            <w:proofErr w:type="spellStart"/>
            <w:r w:rsidRPr="00251542">
              <w:rPr>
                <w:sz w:val="16"/>
              </w:rPr>
              <w:t>Judiciary</w:t>
            </w:r>
            <w:proofErr w:type="spellEnd"/>
            <w:r w:rsidRPr="00251542">
              <w:rPr>
                <w:sz w:val="16"/>
              </w:rPr>
              <w:t xml:space="preserve"> </w:t>
            </w:r>
            <w:proofErr w:type="spellStart"/>
            <w:r w:rsidRPr="00251542">
              <w:rPr>
                <w:sz w:val="16"/>
              </w:rPr>
              <w:t>School</w:t>
            </w:r>
            <w:proofErr w:type="spellEnd"/>
            <w:r w:rsidRPr="00251542">
              <w:rPr>
                <w:sz w:val="16"/>
              </w:rPr>
              <w:t xml:space="preserve"> (</w:t>
            </w:r>
            <w:proofErr w:type="spellStart"/>
            <w:r w:rsidRPr="00251542">
              <w:rPr>
                <w:sz w:val="16"/>
              </w:rPr>
              <w:t>EMARF</w:t>
            </w:r>
            <w:proofErr w:type="spellEnd"/>
            <w:r w:rsidRPr="00251542">
              <w:rPr>
                <w:sz w:val="16"/>
              </w:rPr>
              <w:t xml:space="preserve">), les 12 et 13 mars 2013. </w:t>
            </w:r>
            <w:r w:rsidR="0010442A" w:rsidRPr="00251542">
              <w:rPr>
                <w:sz w:val="16"/>
              </w:rPr>
              <w:t xml:space="preserve"> </w:t>
            </w:r>
            <w:r w:rsidRPr="00251542">
              <w:rPr>
                <w:sz w:val="16"/>
              </w:rPr>
              <w:t>Le Bureau de l</w:t>
            </w:r>
            <w:r w:rsidR="00A20444" w:rsidRPr="00251542">
              <w:rPr>
                <w:sz w:val="16"/>
              </w:rPr>
              <w:t>’</w:t>
            </w:r>
            <w:r w:rsidRPr="00251542">
              <w:rPr>
                <w:sz w:val="16"/>
              </w:rPr>
              <w:t>OMPI au Brésil a participé à la cérémonie d</w:t>
            </w:r>
            <w:r w:rsidR="00A20444" w:rsidRPr="00251542">
              <w:rPr>
                <w:sz w:val="16"/>
              </w:rPr>
              <w:t>’</w:t>
            </w:r>
            <w:r w:rsidRPr="00251542">
              <w:rPr>
                <w:sz w:val="16"/>
              </w:rPr>
              <w:t>ouverture pour souligner l</w:t>
            </w:r>
            <w:r w:rsidR="00A20444" w:rsidRPr="00251542">
              <w:rPr>
                <w:sz w:val="16"/>
              </w:rPr>
              <w:t>’</w:t>
            </w:r>
            <w:r w:rsidRPr="00251542">
              <w:rPr>
                <w:sz w:val="16"/>
              </w:rPr>
              <w:t>importance du partenariat entre l</w:t>
            </w:r>
            <w:r w:rsidR="00A20444" w:rsidRPr="00251542">
              <w:rPr>
                <w:sz w:val="16"/>
              </w:rPr>
              <w:t>’</w:t>
            </w:r>
            <w:r w:rsidRPr="00251542">
              <w:rPr>
                <w:sz w:val="16"/>
              </w:rPr>
              <w:t>OMPI et l</w:t>
            </w:r>
            <w:r w:rsidR="00A20444" w:rsidRPr="00251542">
              <w:rPr>
                <w:sz w:val="16"/>
              </w:rPr>
              <w:t>’</w:t>
            </w:r>
            <w:proofErr w:type="spellStart"/>
            <w:r w:rsidRPr="00251542">
              <w:rPr>
                <w:sz w:val="16"/>
              </w:rPr>
              <w:t>INPI</w:t>
            </w:r>
            <w:proofErr w:type="spellEnd"/>
            <w:r w:rsidRPr="00251542">
              <w:rPr>
                <w:sz w:val="16"/>
              </w:rPr>
              <w:t xml:space="preserve"> dans la création du nouveau centre de l</w:t>
            </w:r>
            <w:r w:rsidR="00A20444" w:rsidRPr="00251542">
              <w:rPr>
                <w:sz w:val="16"/>
              </w:rPr>
              <w:t>’</w:t>
            </w:r>
            <w:proofErr w:type="spellStart"/>
            <w:r w:rsidRPr="00251542">
              <w:rPr>
                <w:sz w:val="16"/>
              </w:rPr>
              <w:t>INPI</w:t>
            </w:r>
            <w:proofErr w:type="spellEnd"/>
            <w:r w:rsidRPr="00251542">
              <w:rPr>
                <w:sz w:val="16"/>
              </w:rPr>
              <w:t xml:space="preserve">. </w:t>
            </w:r>
            <w:r w:rsidR="0010442A" w:rsidRPr="00251542">
              <w:rPr>
                <w:sz w:val="16"/>
              </w:rPr>
              <w:t xml:space="preserve"> </w:t>
            </w:r>
            <w:r w:rsidRPr="00251542">
              <w:rPr>
                <w:sz w:val="16"/>
              </w:rPr>
              <w:t>En outre, le Centre d</w:t>
            </w:r>
            <w:r w:rsidR="00A20444" w:rsidRPr="00251542">
              <w:rPr>
                <w:sz w:val="16"/>
              </w:rPr>
              <w:t>’</w:t>
            </w:r>
            <w:r w:rsidRPr="00251542">
              <w:rPr>
                <w:sz w:val="16"/>
              </w:rPr>
              <w:t>arbitrage et de médiation de l</w:t>
            </w:r>
            <w:r w:rsidR="00A20444" w:rsidRPr="00251542">
              <w:rPr>
                <w:sz w:val="16"/>
              </w:rPr>
              <w:t>’</w:t>
            </w:r>
            <w:r w:rsidRPr="00251542">
              <w:rPr>
                <w:sz w:val="16"/>
              </w:rPr>
              <w:t>OMPI a établi un rapport sur les dernières activités de renforcement des capacités organisées par l</w:t>
            </w:r>
            <w:r w:rsidR="00A20444" w:rsidRPr="00251542">
              <w:rPr>
                <w:sz w:val="16"/>
              </w:rPr>
              <w:t>’</w:t>
            </w:r>
            <w:proofErr w:type="spellStart"/>
            <w:r w:rsidRPr="00251542">
              <w:rPr>
                <w:sz w:val="16"/>
              </w:rPr>
              <w:t>INPI</w:t>
            </w:r>
            <w:proofErr w:type="spellEnd"/>
            <w:r w:rsidRPr="00251542">
              <w:rPr>
                <w:sz w:val="16"/>
              </w:rPr>
              <w:t xml:space="preserve"> et l</w:t>
            </w:r>
            <w:r w:rsidR="00A20444" w:rsidRPr="00251542">
              <w:rPr>
                <w:sz w:val="16"/>
              </w:rPr>
              <w:t>’</w:t>
            </w:r>
            <w:r w:rsidRPr="00251542">
              <w:rPr>
                <w:sz w:val="16"/>
              </w:rPr>
              <w:t>OMPI pour mettre en évidence l</w:t>
            </w:r>
            <w:r w:rsidR="00A20444" w:rsidRPr="00251542">
              <w:rPr>
                <w:sz w:val="16"/>
              </w:rPr>
              <w:t>’</w:t>
            </w:r>
            <w:r w:rsidRPr="00251542">
              <w:rPr>
                <w:sz w:val="16"/>
              </w:rPr>
              <w:t>importance de la formation et susciter de l</w:t>
            </w:r>
            <w:r w:rsidR="00A20444" w:rsidRPr="00251542">
              <w:rPr>
                <w:sz w:val="16"/>
              </w:rPr>
              <w:t>’</w:t>
            </w:r>
            <w:r w:rsidRPr="00251542">
              <w:rPr>
                <w:sz w:val="16"/>
              </w:rPr>
              <w:t>intérêt envers la médiation et d</w:t>
            </w:r>
            <w:r w:rsidR="00A20444" w:rsidRPr="00251542">
              <w:rPr>
                <w:sz w:val="16"/>
              </w:rPr>
              <w:t>’</w:t>
            </w:r>
            <w:r w:rsidRPr="00251542">
              <w:rPr>
                <w:sz w:val="16"/>
              </w:rPr>
              <w:t>autres travaux de règlement extrajudiciaire des</w:t>
            </w:r>
            <w:r w:rsidR="00797A8B" w:rsidRPr="00251542">
              <w:rPr>
                <w:sz w:val="16"/>
              </w:rPr>
              <w:t> </w:t>
            </w:r>
            <w:r w:rsidRPr="00251542">
              <w:rPr>
                <w:sz w:val="16"/>
              </w:rPr>
              <w:t>litiges.</w:t>
            </w:r>
          </w:p>
        </w:tc>
      </w:tr>
      <w:tr w:rsidR="004007D3" w:rsidRPr="00251542" w:rsidTr="0056083E">
        <w:trPr>
          <w:trHeight w:val="371"/>
        </w:trPr>
        <w:tc>
          <w:tcPr>
            <w:tcW w:w="1843" w:type="dxa"/>
          </w:tcPr>
          <w:p w:rsidR="004007D3" w:rsidRPr="00251542" w:rsidRDefault="004007D3" w:rsidP="001A5BF9">
            <w:pPr>
              <w:spacing w:after="120"/>
              <w:rPr>
                <w:rFonts w:eastAsia="SimSun"/>
                <w:sz w:val="16"/>
                <w:szCs w:val="16"/>
              </w:rPr>
            </w:pPr>
            <w:r w:rsidRPr="00251542">
              <w:rPr>
                <w:sz w:val="16"/>
              </w:rPr>
              <w:t>Réunion des pays</w:t>
            </w:r>
            <w:r w:rsidR="00A20444" w:rsidRPr="00251542">
              <w:rPr>
                <w:sz w:val="16"/>
              </w:rPr>
              <w:t xml:space="preserve"> du </w:t>
            </w:r>
            <w:proofErr w:type="spellStart"/>
            <w:r w:rsidR="00A20444" w:rsidRPr="00251542">
              <w:rPr>
                <w:sz w:val="16"/>
              </w:rPr>
              <w:t>PRO</w:t>
            </w:r>
            <w:r w:rsidRPr="00251542">
              <w:rPr>
                <w:sz w:val="16"/>
              </w:rPr>
              <w:t>SUR</w:t>
            </w:r>
            <w:proofErr w:type="spellEnd"/>
            <w:r w:rsidRPr="00251542">
              <w:rPr>
                <w:sz w:val="16"/>
              </w:rPr>
              <w:t xml:space="preserve"> avec</w:t>
            </w:r>
            <w:r w:rsidR="00A20444" w:rsidRPr="00251542">
              <w:rPr>
                <w:sz w:val="16"/>
              </w:rPr>
              <w:t xml:space="preserve"> la BID</w:t>
            </w:r>
            <w:r w:rsidRPr="00251542">
              <w:rPr>
                <w:sz w:val="16"/>
              </w:rPr>
              <w:t>, l</w:t>
            </w:r>
            <w:r w:rsidR="00A20444" w:rsidRPr="00251542">
              <w:rPr>
                <w:sz w:val="16"/>
              </w:rPr>
              <w:t>’</w:t>
            </w:r>
            <w:r w:rsidRPr="00251542">
              <w:rPr>
                <w:sz w:val="16"/>
              </w:rPr>
              <w:t>USPTO et</w:t>
            </w:r>
            <w:r w:rsidR="00A20444" w:rsidRPr="00251542">
              <w:rPr>
                <w:sz w:val="16"/>
              </w:rPr>
              <w:t xml:space="preserve"> le </w:t>
            </w:r>
            <w:proofErr w:type="spellStart"/>
            <w:r w:rsidR="00A20444" w:rsidRPr="00251542">
              <w:rPr>
                <w:sz w:val="16"/>
              </w:rPr>
              <w:t>CIP</w:t>
            </w:r>
            <w:r w:rsidRPr="00251542">
              <w:rPr>
                <w:sz w:val="16"/>
              </w:rPr>
              <w:t>O</w:t>
            </w:r>
            <w:proofErr w:type="spellEnd"/>
            <w:r w:rsidRPr="00251542">
              <w:rPr>
                <w:sz w:val="16"/>
              </w:rPr>
              <w:t>.</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 xml:space="preserve">2 – </w:t>
            </w:r>
            <w:r w:rsidR="00A20444" w:rsidRPr="00251542">
              <w:rPr>
                <w:sz w:val="16"/>
              </w:rPr>
              <w:t>4</w:t>
            </w:r>
            <w:r w:rsidR="00ED7374">
              <w:rPr>
                <w:sz w:val="16"/>
              </w:rPr>
              <w:t xml:space="preserve"> </w:t>
            </w:r>
            <w:r w:rsidR="00A20444" w:rsidRPr="00251542">
              <w:rPr>
                <w:sz w:val="16"/>
              </w:rPr>
              <w:t>avril 20</w:t>
            </w:r>
            <w:r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États</w:t>
            </w:r>
            <w:r w:rsidR="002D6F2A" w:rsidRPr="00251542">
              <w:rPr>
                <w:sz w:val="16"/>
              </w:rPr>
              <w:noBreakHyphen/>
            </w:r>
            <w:r w:rsidRPr="00251542">
              <w:rPr>
                <w:sz w:val="16"/>
              </w:rPr>
              <w:t>Unis d</w:t>
            </w:r>
            <w:r w:rsidR="00A20444" w:rsidRPr="00251542">
              <w:rPr>
                <w:sz w:val="16"/>
              </w:rPr>
              <w:t>’</w:t>
            </w:r>
            <w:r w:rsidRPr="00251542">
              <w:rPr>
                <w:sz w:val="16"/>
              </w:rPr>
              <w:t>Amérique/Argentine, Brésil, Chili, Colombie, Équateur, Paraguay, Pérou, Surinam, Uruguay</w:t>
            </w:r>
          </w:p>
        </w:tc>
        <w:tc>
          <w:tcPr>
            <w:tcW w:w="3260" w:type="dxa"/>
          </w:tcPr>
          <w:p w:rsidR="004007D3" w:rsidRPr="00251542" w:rsidRDefault="004007D3" w:rsidP="001A5BF9">
            <w:pPr>
              <w:spacing w:after="220"/>
              <w:rPr>
                <w:rFonts w:eastAsia="SimSun" w:cs="Arial"/>
                <w:sz w:val="16"/>
                <w:szCs w:val="16"/>
                <w:shd w:val="clear" w:color="000000" w:fill="auto"/>
              </w:rPr>
            </w:pPr>
            <w:r w:rsidRPr="00251542">
              <w:rPr>
                <w:sz w:val="16"/>
              </w:rPr>
              <w:t>Réunion pour évoquer les futures stratégies du projet de plate</w:t>
            </w:r>
            <w:r w:rsidR="002D6F2A" w:rsidRPr="00251542">
              <w:rPr>
                <w:sz w:val="16"/>
              </w:rPr>
              <w:noBreakHyphen/>
            </w:r>
            <w:r w:rsidRPr="00251542">
              <w:rPr>
                <w:sz w:val="16"/>
              </w:rPr>
              <w:t xml:space="preserve">forme </w:t>
            </w:r>
            <w:proofErr w:type="spellStart"/>
            <w:r w:rsidRPr="00251542">
              <w:rPr>
                <w:sz w:val="16"/>
              </w:rPr>
              <w:t>PROSUR</w:t>
            </w:r>
            <w:proofErr w:type="spellEnd"/>
          </w:p>
        </w:tc>
      </w:tr>
      <w:tr w:rsidR="004007D3" w:rsidRPr="00251542" w:rsidTr="0056083E">
        <w:trPr>
          <w:trHeight w:val="371"/>
        </w:trPr>
        <w:tc>
          <w:tcPr>
            <w:tcW w:w="1843" w:type="dxa"/>
          </w:tcPr>
          <w:p w:rsidR="004007D3" w:rsidRPr="00251542" w:rsidRDefault="004007D3" w:rsidP="001A5BF9">
            <w:pPr>
              <w:spacing w:after="220"/>
              <w:rPr>
                <w:rFonts w:eastAsia="SimSun"/>
                <w:sz w:val="16"/>
                <w:szCs w:val="16"/>
              </w:rPr>
            </w:pPr>
            <w:r w:rsidRPr="00251542">
              <w:rPr>
                <w:sz w:val="16"/>
              </w:rPr>
              <w:t>Trente</w:t>
            </w:r>
            <w:r w:rsidR="00857F09" w:rsidRPr="00251542">
              <w:rPr>
                <w:sz w:val="16"/>
              </w:rPr>
              <w:t> </w:t>
            </w:r>
            <w:r w:rsidRPr="00251542">
              <w:rPr>
                <w:sz w:val="16"/>
              </w:rPr>
              <w:t>et</w:t>
            </w:r>
            <w:r w:rsidR="00857F09" w:rsidRPr="00251542">
              <w:rPr>
                <w:sz w:val="16"/>
              </w:rPr>
              <w:t> </w:t>
            </w:r>
            <w:r w:rsidRPr="00251542">
              <w:rPr>
                <w:sz w:val="16"/>
              </w:rPr>
              <w:t>unième séminaire des fonctionnaires des offices de propriété intellectuelle des pays d</w:t>
            </w:r>
            <w:r w:rsidR="00A20444" w:rsidRPr="00251542">
              <w:rPr>
                <w:sz w:val="16"/>
              </w:rPr>
              <w:t>’</w:t>
            </w:r>
            <w:r w:rsidRPr="00251542">
              <w:rPr>
                <w:sz w:val="16"/>
              </w:rPr>
              <w:t>Amérique latine</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15 – 1</w:t>
            </w:r>
            <w:r w:rsidR="00A20444" w:rsidRPr="00251542">
              <w:rPr>
                <w:sz w:val="16"/>
              </w:rPr>
              <w:t>9</w:t>
            </w:r>
            <w:r w:rsidR="00ED7374">
              <w:rPr>
                <w:sz w:val="16"/>
              </w:rPr>
              <w:t xml:space="preserve"> </w:t>
            </w:r>
            <w:r w:rsidR="00A20444" w:rsidRPr="00251542">
              <w:rPr>
                <w:sz w:val="16"/>
              </w:rPr>
              <w:t>avril 20</w:t>
            </w:r>
            <w:r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Brésil/Argentine, Brésil, Bolivie</w:t>
            </w:r>
            <w:r w:rsidR="00A930EA" w:rsidRPr="00251542">
              <w:rPr>
                <w:sz w:val="16"/>
              </w:rPr>
              <w:t xml:space="preserve"> (État plurinational de)</w:t>
            </w:r>
            <w:r w:rsidRPr="00251542">
              <w:rPr>
                <w:sz w:val="16"/>
              </w:rPr>
              <w:t>, Chili, Colombie, Costa Rica, Cuba, Équateur, El Salvador, Guatemala, Honduras, Mexique, Nicaragua, Panama, Paraguay, Pérou, République dominicaine, Uruguay</w:t>
            </w:r>
          </w:p>
        </w:tc>
        <w:tc>
          <w:tcPr>
            <w:tcW w:w="3260" w:type="dxa"/>
          </w:tcPr>
          <w:p w:rsidR="004007D3" w:rsidRPr="00251542" w:rsidRDefault="004007D3" w:rsidP="001A5BF9">
            <w:pPr>
              <w:spacing w:after="220"/>
              <w:rPr>
                <w:rFonts w:eastAsia="SimSun" w:cs="Arial"/>
                <w:sz w:val="16"/>
                <w:szCs w:val="16"/>
              </w:rPr>
            </w:pPr>
            <w:r w:rsidRPr="00251542">
              <w:rPr>
                <w:sz w:val="16"/>
              </w:rPr>
              <w:t>Créer un forum pour les représentants des offices de propriété intellectuelle d</w:t>
            </w:r>
            <w:r w:rsidR="00A20444" w:rsidRPr="00251542">
              <w:rPr>
                <w:sz w:val="16"/>
              </w:rPr>
              <w:t>’</w:t>
            </w:r>
            <w:r w:rsidRPr="00251542">
              <w:rPr>
                <w:sz w:val="16"/>
              </w:rPr>
              <w:t>Amérique latine afin d</w:t>
            </w:r>
            <w:r w:rsidR="00A20444" w:rsidRPr="00251542">
              <w:rPr>
                <w:sz w:val="16"/>
              </w:rPr>
              <w:t>’</w:t>
            </w:r>
            <w:r w:rsidRPr="00251542">
              <w:rPr>
                <w:sz w:val="16"/>
              </w:rPr>
              <w:t>accroître les échanges d</w:t>
            </w:r>
            <w:r w:rsidR="00A20444" w:rsidRPr="00251542">
              <w:rPr>
                <w:sz w:val="16"/>
              </w:rPr>
              <w:t>’</w:t>
            </w:r>
            <w:r w:rsidRPr="00251542">
              <w:rPr>
                <w:sz w:val="16"/>
              </w:rPr>
              <w:t>expériences et le partenariat sur la propriété intellectuelle en vue de renforcer l</w:t>
            </w:r>
            <w:r w:rsidR="00A20444" w:rsidRPr="00251542">
              <w:rPr>
                <w:sz w:val="16"/>
              </w:rPr>
              <w:t>’</w:t>
            </w:r>
            <w:r w:rsidRPr="00251542">
              <w:rPr>
                <w:sz w:val="16"/>
              </w:rPr>
              <w:t>utilisation des actifs incorporels</w:t>
            </w:r>
          </w:p>
        </w:tc>
      </w:tr>
      <w:tr w:rsidR="004007D3" w:rsidRPr="00251542" w:rsidTr="0056083E">
        <w:trPr>
          <w:trHeight w:val="371"/>
        </w:trPr>
        <w:tc>
          <w:tcPr>
            <w:tcW w:w="1843" w:type="dxa"/>
          </w:tcPr>
          <w:p w:rsidR="004007D3" w:rsidRPr="00251542" w:rsidRDefault="004007D3" w:rsidP="001A5BF9">
            <w:pPr>
              <w:spacing w:after="220"/>
              <w:rPr>
                <w:rFonts w:eastAsia="SimSun"/>
                <w:sz w:val="16"/>
                <w:szCs w:val="16"/>
              </w:rPr>
            </w:pPr>
            <w:r w:rsidRPr="00251542">
              <w:rPr>
                <w:sz w:val="16"/>
              </w:rPr>
              <w:t xml:space="preserve">“PI </w:t>
            </w:r>
            <w:proofErr w:type="spellStart"/>
            <w:r w:rsidRPr="00251542">
              <w:rPr>
                <w:sz w:val="16"/>
              </w:rPr>
              <w:t>em</w:t>
            </w:r>
            <w:proofErr w:type="spellEnd"/>
            <w:r w:rsidRPr="00251542">
              <w:rPr>
                <w:sz w:val="16"/>
              </w:rPr>
              <w:t xml:space="preserve"> </w:t>
            </w:r>
            <w:proofErr w:type="spellStart"/>
            <w:r w:rsidRPr="00251542">
              <w:rPr>
                <w:sz w:val="16"/>
              </w:rPr>
              <w:t>questão</w:t>
            </w:r>
            <w:proofErr w:type="spellEnd"/>
            <w:r w:rsidRPr="00251542">
              <w:rPr>
                <w:sz w:val="16"/>
              </w:rPr>
              <w:t>”</w:t>
            </w:r>
          </w:p>
        </w:tc>
        <w:tc>
          <w:tcPr>
            <w:tcW w:w="1134" w:type="dxa"/>
          </w:tcPr>
          <w:p w:rsidR="004007D3" w:rsidRPr="00251542" w:rsidRDefault="004007D3" w:rsidP="001A5BF9">
            <w:pPr>
              <w:autoSpaceDE w:val="0"/>
              <w:autoSpaceDN w:val="0"/>
              <w:adjustRightInd w:val="0"/>
              <w:spacing w:after="120"/>
              <w:rPr>
                <w:rFonts w:cs="Arial"/>
                <w:sz w:val="16"/>
                <w:szCs w:val="16"/>
              </w:rPr>
            </w:pPr>
            <w:r w:rsidRPr="00251542">
              <w:rPr>
                <w:sz w:val="16"/>
              </w:rPr>
              <w:t>8 avril 2013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Brésil</w:t>
            </w:r>
          </w:p>
        </w:tc>
        <w:tc>
          <w:tcPr>
            <w:tcW w:w="3260" w:type="dxa"/>
          </w:tcPr>
          <w:p w:rsidR="004007D3" w:rsidRPr="00251542" w:rsidRDefault="004007D3" w:rsidP="001A5BF9">
            <w:pPr>
              <w:spacing w:after="120"/>
              <w:rPr>
                <w:rFonts w:eastAsia="SimSun"/>
                <w:sz w:val="16"/>
                <w:szCs w:val="16"/>
              </w:rPr>
            </w:pPr>
            <w:r w:rsidRPr="00251542">
              <w:rPr>
                <w:sz w:val="16"/>
              </w:rPr>
              <w:t>Conférence sur les Aspects relatifs à l</w:t>
            </w:r>
            <w:r w:rsidR="00A20444" w:rsidRPr="00251542">
              <w:rPr>
                <w:sz w:val="16"/>
              </w:rPr>
              <w:t>’</w:t>
            </w:r>
            <w:r w:rsidRPr="00251542">
              <w:rPr>
                <w:sz w:val="16"/>
              </w:rPr>
              <w:t>élaboration de projets de recherche sur l</w:t>
            </w:r>
            <w:r w:rsidR="00A20444" w:rsidRPr="00251542">
              <w:rPr>
                <w:sz w:val="16"/>
              </w:rPr>
              <w:t>’</w:t>
            </w:r>
            <w:r w:rsidRPr="00251542">
              <w:rPr>
                <w:sz w:val="16"/>
              </w:rPr>
              <w:t>économie de la propriété intellectuelle à destination des étudiants du cours de master/maîtrise sur la propriété intellectuelle, l</w:t>
            </w:r>
            <w:r w:rsidR="00A20444" w:rsidRPr="00251542">
              <w:rPr>
                <w:sz w:val="16"/>
              </w:rPr>
              <w:t>’</w:t>
            </w:r>
            <w:r w:rsidRPr="00251542">
              <w:rPr>
                <w:sz w:val="16"/>
              </w:rPr>
              <w:t>innovation et le développement ainsi que d</w:t>
            </w:r>
            <w:r w:rsidR="00A20444" w:rsidRPr="00251542">
              <w:rPr>
                <w:sz w:val="16"/>
              </w:rPr>
              <w:t>’</w:t>
            </w:r>
            <w:r w:rsidRPr="00251542">
              <w:rPr>
                <w:sz w:val="16"/>
              </w:rPr>
              <w:t>un groupe de chercheurs brésiliens</w:t>
            </w:r>
          </w:p>
        </w:tc>
      </w:tr>
      <w:tr w:rsidR="004007D3" w:rsidRPr="00251542" w:rsidTr="0056083E">
        <w:trPr>
          <w:trHeight w:val="371"/>
        </w:trPr>
        <w:tc>
          <w:tcPr>
            <w:tcW w:w="1843" w:type="dxa"/>
          </w:tcPr>
          <w:p w:rsidR="004007D3" w:rsidRPr="00251542" w:rsidRDefault="004007D3" w:rsidP="001A5BF9">
            <w:pPr>
              <w:spacing w:after="220"/>
              <w:rPr>
                <w:rFonts w:eastAsia="SimSun"/>
                <w:sz w:val="16"/>
                <w:szCs w:val="16"/>
              </w:rPr>
            </w:pPr>
            <w:r w:rsidRPr="00251542">
              <w:rPr>
                <w:sz w:val="16"/>
              </w:rPr>
              <w:t>Programme de formation sur la commercialisation de la propriété intellectuelle</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13 – 1</w:t>
            </w:r>
            <w:r w:rsidR="00A20444" w:rsidRPr="00251542">
              <w:rPr>
                <w:sz w:val="16"/>
              </w:rPr>
              <w:t>4</w:t>
            </w:r>
            <w:r w:rsidR="00ED7374">
              <w:rPr>
                <w:sz w:val="16"/>
              </w:rPr>
              <w:t xml:space="preserve"> </w:t>
            </w:r>
            <w:r w:rsidR="00A20444" w:rsidRPr="00251542">
              <w:rPr>
                <w:sz w:val="16"/>
              </w:rPr>
              <w:t>mai 20</w:t>
            </w:r>
            <w:r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Brésil</w:t>
            </w:r>
          </w:p>
        </w:tc>
        <w:tc>
          <w:tcPr>
            <w:tcW w:w="3260" w:type="dxa"/>
          </w:tcPr>
          <w:p w:rsidR="004007D3" w:rsidRPr="00251542" w:rsidRDefault="004007D3" w:rsidP="001A5BF9">
            <w:pPr>
              <w:spacing w:after="120"/>
              <w:rPr>
                <w:rFonts w:eastAsia="SimSun"/>
                <w:sz w:val="16"/>
                <w:szCs w:val="16"/>
              </w:rPr>
            </w:pPr>
            <w:r w:rsidRPr="00251542">
              <w:rPr>
                <w:sz w:val="16"/>
              </w:rPr>
              <w:t xml:space="preserve">Renforcer les capacités dans le secteur privé et les instituts de recherche relatives à la gestion des intangibles </w:t>
            </w:r>
          </w:p>
        </w:tc>
      </w:tr>
      <w:tr w:rsidR="004007D3" w:rsidRPr="00251542" w:rsidTr="0056083E">
        <w:trPr>
          <w:trHeight w:hRule="exact" w:val="1841"/>
        </w:trPr>
        <w:tc>
          <w:tcPr>
            <w:tcW w:w="1843" w:type="dxa"/>
          </w:tcPr>
          <w:p w:rsidR="004007D3" w:rsidRPr="00251542" w:rsidRDefault="004007D3" w:rsidP="001A5BF9">
            <w:pPr>
              <w:spacing w:after="220"/>
              <w:rPr>
                <w:rFonts w:eastAsia="SimSun"/>
                <w:sz w:val="16"/>
                <w:szCs w:val="16"/>
              </w:rPr>
            </w:pPr>
            <w:r w:rsidRPr="00251542">
              <w:rPr>
                <w:sz w:val="16"/>
              </w:rPr>
              <w:t>Réunion du Conseil du programme mondial de la propriété intellectuelle</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11 – 1</w:t>
            </w:r>
            <w:r w:rsidR="00A20444" w:rsidRPr="00251542">
              <w:rPr>
                <w:sz w:val="16"/>
              </w:rPr>
              <w:t>2</w:t>
            </w:r>
            <w:r w:rsidR="00ED7374">
              <w:rPr>
                <w:sz w:val="16"/>
              </w:rPr>
              <w:t xml:space="preserve"> </w:t>
            </w:r>
            <w:r w:rsidR="00A20444" w:rsidRPr="00251542">
              <w:rPr>
                <w:sz w:val="16"/>
              </w:rPr>
              <w:t>juin 20</w:t>
            </w:r>
            <w:r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Brésil/Colombie, Pérou et Uruguay</w:t>
            </w:r>
          </w:p>
        </w:tc>
        <w:tc>
          <w:tcPr>
            <w:tcW w:w="3260" w:type="dxa"/>
          </w:tcPr>
          <w:p w:rsidR="004007D3" w:rsidRPr="00251542" w:rsidRDefault="004007D3" w:rsidP="001A5BF9">
            <w:pPr>
              <w:spacing w:after="220"/>
              <w:rPr>
                <w:rFonts w:eastAsia="SimSun"/>
                <w:sz w:val="16"/>
                <w:szCs w:val="16"/>
              </w:rPr>
            </w:pPr>
            <w:r w:rsidRPr="00251542">
              <w:rPr>
                <w:sz w:val="16"/>
              </w:rPr>
              <w:t>Créer un forum de discussion sur l</w:t>
            </w:r>
            <w:r w:rsidR="00A20444" w:rsidRPr="00251542">
              <w:rPr>
                <w:sz w:val="16"/>
              </w:rPr>
              <w:t>’</w:t>
            </w:r>
            <w:r w:rsidRPr="00251542">
              <w:rPr>
                <w:sz w:val="16"/>
              </w:rPr>
              <w:t>avenir du système de la propriété intellectuelle en insistant sur le développement, en particulier dans le cadre du Réseau thématique des conseils du Forum économique mondial pour plus de 1500 dirigeants dédiés à aborder les questions urgentes et à fournir des idées neuves et des solutions pour un développement économique durable</w:t>
            </w:r>
          </w:p>
        </w:tc>
      </w:tr>
      <w:tr w:rsidR="004007D3" w:rsidRPr="00251542" w:rsidTr="0056083E">
        <w:trPr>
          <w:trHeight w:val="371"/>
        </w:trPr>
        <w:tc>
          <w:tcPr>
            <w:tcW w:w="1843" w:type="dxa"/>
          </w:tcPr>
          <w:p w:rsidR="004007D3" w:rsidRPr="00251542" w:rsidRDefault="004007D3" w:rsidP="001A5BF9">
            <w:pPr>
              <w:autoSpaceDE w:val="0"/>
              <w:autoSpaceDN w:val="0"/>
              <w:adjustRightInd w:val="0"/>
              <w:spacing w:after="120"/>
              <w:rPr>
                <w:rFonts w:cs="Arial"/>
                <w:sz w:val="16"/>
                <w:szCs w:val="16"/>
              </w:rPr>
            </w:pPr>
            <w:r w:rsidRPr="00251542">
              <w:rPr>
                <w:sz w:val="16"/>
              </w:rPr>
              <w:t>Deuxième forum interrégional des chefs des offices de la propriété industrielle des pays arabes et sud</w:t>
            </w:r>
            <w:r w:rsidR="002D6F2A" w:rsidRPr="00251542">
              <w:rPr>
                <w:sz w:val="16"/>
              </w:rPr>
              <w:noBreakHyphen/>
            </w:r>
            <w:r w:rsidRPr="00251542">
              <w:rPr>
                <w:sz w:val="16"/>
              </w:rPr>
              <w:t>américains</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25 – 2</w:t>
            </w:r>
            <w:r w:rsidR="00A20444" w:rsidRPr="00251542">
              <w:rPr>
                <w:sz w:val="16"/>
              </w:rPr>
              <w:t>7</w:t>
            </w:r>
            <w:r w:rsidR="00ED7374">
              <w:rPr>
                <w:sz w:val="16"/>
              </w:rPr>
              <w:t xml:space="preserve"> </w:t>
            </w:r>
            <w:r w:rsidR="00A20444" w:rsidRPr="00251542">
              <w:rPr>
                <w:sz w:val="16"/>
              </w:rPr>
              <w:t>juin 20</w:t>
            </w:r>
            <w:r w:rsidRPr="00251542">
              <w:rPr>
                <w:sz w:val="16"/>
              </w:rPr>
              <w:t>13</w:t>
            </w:r>
          </w:p>
        </w:tc>
        <w:tc>
          <w:tcPr>
            <w:tcW w:w="2835" w:type="dxa"/>
          </w:tcPr>
          <w:p w:rsidR="004007D3" w:rsidRPr="00251542" w:rsidRDefault="004007D3" w:rsidP="001A5BF9">
            <w:pPr>
              <w:rPr>
                <w:bCs/>
                <w:sz w:val="16"/>
                <w:szCs w:val="16"/>
              </w:rPr>
            </w:pPr>
            <w:r w:rsidRPr="00251542">
              <w:rPr>
                <w:sz w:val="16"/>
              </w:rPr>
              <w:t>Brésil/Argentine, Chili, Colombie, Équateur, Paraguay, Pérou et Uruguay (participants financés par le fonds fiduciaire du Brésil);</w:t>
            </w:r>
            <w:r w:rsidR="004F3E42" w:rsidRPr="00251542">
              <w:rPr>
                <w:sz w:val="16"/>
              </w:rPr>
              <w:t xml:space="preserve"> </w:t>
            </w:r>
            <w:r w:rsidR="0010442A" w:rsidRPr="00251542">
              <w:rPr>
                <w:sz w:val="16"/>
              </w:rPr>
              <w:t xml:space="preserve"> </w:t>
            </w:r>
            <w:r w:rsidRPr="00251542">
              <w:rPr>
                <w:sz w:val="16"/>
              </w:rPr>
              <w:t xml:space="preserve">Égypte, Libye, Maroc, Oman, Palestine, Qatar, </w:t>
            </w:r>
            <w:r w:rsidR="00A20444" w:rsidRPr="00251542">
              <w:rPr>
                <w:sz w:val="16"/>
              </w:rPr>
              <w:t>Arabie saoudite</w:t>
            </w:r>
            <w:r w:rsidRPr="00251542">
              <w:rPr>
                <w:sz w:val="16"/>
              </w:rPr>
              <w:t>, Soudan, Tunisie et Yémen (financés par le programme 30)</w:t>
            </w:r>
          </w:p>
        </w:tc>
        <w:tc>
          <w:tcPr>
            <w:tcW w:w="3260" w:type="dxa"/>
          </w:tcPr>
          <w:p w:rsidR="004007D3" w:rsidRPr="00251542" w:rsidRDefault="004007D3" w:rsidP="001A5BF9">
            <w:pPr>
              <w:spacing w:after="220"/>
              <w:rPr>
                <w:rFonts w:eastAsia="SimSun"/>
                <w:sz w:val="16"/>
                <w:szCs w:val="16"/>
              </w:rPr>
            </w:pPr>
            <w:r w:rsidRPr="00251542">
              <w:rPr>
                <w:sz w:val="16"/>
              </w:rPr>
              <w:t xml:space="preserve"> i) Débattre de l</w:t>
            </w:r>
            <w:r w:rsidR="00A20444" w:rsidRPr="00251542">
              <w:rPr>
                <w:sz w:val="16"/>
              </w:rPr>
              <w:t>’</w:t>
            </w:r>
            <w:r w:rsidRPr="00251542">
              <w:rPr>
                <w:sz w:val="16"/>
              </w:rPr>
              <w:t>importance croissante des stratégies d</w:t>
            </w:r>
            <w:r w:rsidR="00A20444" w:rsidRPr="00251542">
              <w:rPr>
                <w:sz w:val="16"/>
              </w:rPr>
              <w:t>’</w:t>
            </w:r>
            <w:r w:rsidRPr="00251542">
              <w:rPr>
                <w:sz w:val="16"/>
              </w:rPr>
              <w:t>innovation pour la compétitivité économique et le développement social;</w:t>
            </w:r>
            <w:r w:rsidR="004F3E42" w:rsidRPr="00251542">
              <w:rPr>
                <w:sz w:val="16"/>
              </w:rPr>
              <w:t xml:space="preserve"> </w:t>
            </w:r>
            <w:r w:rsidR="0010442A" w:rsidRPr="00251542">
              <w:rPr>
                <w:sz w:val="16"/>
              </w:rPr>
              <w:t xml:space="preserve"> </w:t>
            </w:r>
            <w:r w:rsidRPr="00251542">
              <w:rPr>
                <w:sz w:val="16"/>
              </w:rPr>
              <w:t>ii) renforcer la coopération entre les deux régions;</w:t>
            </w:r>
            <w:r w:rsidR="0010442A" w:rsidRPr="00251542">
              <w:rPr>
                <w:sz w:val="16"/>
              </w:rPr>
              <w:t xml:space="preserve"> </w:t>
            </w:r>
            <w:r w:rsidR="004F3E42" w:rsidRPr="00251542">
              <w:rPr>
                <w:sz w:val="16"/>
              </w:rPr>
              <w:t xml:space="preserve"> </w:t>
            </w:r>
            <w:r w:rsidRPr="00251542">
              <w:rPr>
                <w:sz w:val="16"/>
              </w:rPr>
              <w:t>et iii) favoriser le partage des expériences et des enjeux similaires sur les questions relatives à la propriété intellectuelle</w:t>
            </w:r>
          </w:p>
        </w:tc>
      </w:tr>
      <w:tr w:rsidR="004007D3" w:rsidRPr="00251542" w:rsidTr="0056083E">
        <w:trPr>
          <w:trHeight w:val="371"/>
        </w:trPr>
        <w:tc>
          <w:tcPr>
            <w:tcW w:w="1843" w:type="dxa"/>
          </w:tcPr>
          <w:p w:rsidR="004007D3" w:rsidRPr="00251542" w:rsidRDefault="004007D3" w:rsidP="001A5BF9">
            <w:pPr>
              <w:pageBreakBefore/>
              <w:spacing w:after="220"/>
              <w:rPr>
                <w:rFonts w:eastAsia="SimSun"/>
                <w:sz w:val="16"/>
                <w:szCs w:val="16"/>
              </w:rPr>
            </w:pPr>
            <w:r w:rsidRPr="00251542">
              <w:rPr>
                <w:sz w:val="16"/>
              </w:rPr>
              <w:t>Deux ateliers sur la propriété intellectuelle et le transfert de technologie organisés par l</w:t>
            </w:r>
            <w:r w:rsidR="00A20444" w:rsidRPr="00251542">
              <w:rPr>
                <w:sz w:val="16"/>
              </w:rPr>
              <w:t>’</w:t>
            </w:r>
            <w:r w:rsidRPr="00251542">
              <w:rPr>
                <w:sz w:val="16"/>
              </w:rPr>
              <w:t>Université catholique de Rio de Janeiro (</w:t>
            </w:r>
            <w:proofErr w:type="spellStart"/>
            <w:r w:rsidRPr="00251542">
              <w:rPr>
                <w:sz w:val="16"/>
              </w:rPr>
              <w:t>PUC</w:t>
            </w:r>
            <w:proofErr w:type="spellEnd"/>
            <w:r w:rsidR="002D6F2A" w:rsidRPr="00251542">
              <w:rPr>
                <w:sz w:val="16"/>
              </w:rPr>
              <w:noBreakHyphen/>
            </w:r>
            <w:r w:rsidRPr="00251542">
              <w:rPr>
                <w:sz w:val="16"/>
              </w:rPr>
              <w:t>Rio) et l</w:t>
            </w:r>
            <w:r w:rsidR="00A20444" w:rsidRPr="00251542">
              <w:rPr>
                <w:sz w:val="16"/>
              </w:rPr>
              <w:t>’</w:t>
            </w:r>
            <w:r w:rsidRPr="00251542">
              <w:rPr>
                <w:sz w:val="16"/>
              </w:rPr>
              <w:t>Université catholique de Rio Grande do Sul (</w:t>
            </w:r>
            <w:proofErr w:type="spellStart"/>
            <w:r w:rsidRPr="00251542">
              <w:rPr>
                <w:sz w:val="16"/>
              </w:rPr>
              <w:t>PUC</w:t>
            </w:r>
            <w:proofErr w:type="spellEnd"/>
            <w:r w:rsidR="002D6F2A" w:rsidRPr="00251542">
              <w:rPr>
                <w:sz w:val="16"/>
              </w:rPr>
              <w:noBreakHyphen/>
            </w:r>
            <w:r w:rsidRPr="00251542">
              <w:rPr>
                <w:sz w:val="16"/>
              </w:rPr>
              <w:t>RS)</w:t>
            </w:r>
          </w:p>
        </w:tc>
        <w:tc>
          <w:tcPr>
            <w:tcW w:w="1134" w:type="dxa"/>
          </w:tcPr>
          <w:p w:rsidR="004007D3" w:rsidRPr="00251542" w:rsidRDefault="00A20444" w:rsidP="00ED7374">
            <w:pPr>
              <w:autoSpaceDE w:val="0"/>
              <w:autoSpaceDN w:val="0"/>
              <w:adjustRightInd w:val="0"/>
              <w:spacing w:after="120"/>
              <w:rPr>
                <w:rFonts w:cs="Arial"/>
                <w:sz w:val="16"/>
                <w:szCs w:val="16"/>
              </w:rPr>
            </w:pPr>
            <w:r w:rsidRPr="00251542">
              <w:rPr>
                <w:sz w:val="16"/>
              </w:rPr>
              <w:t>1</w:t>
            </w:r>
            <w:r w:rsidRPr="00251542">
              <w:rPr>
                <w:sz w:val="16"/>
                <w:vertAlign w:val="superscript"/>
              </w:rPr>
              <w:t>er</w:t>
            </w:r>
            <w:r w:rsidRPr="00251542">
              <w:rPr>
                <w:sz w:val="16"/>
              </w:rPr>
              <w:t> </w:t>
            </w:r>
            <w:r w:rsidR="004007D3" w:rsidRPr="00251542">
              <w:rPr>
                <w:sz w:val="16"/>
              </w:rPr>
              <w:t xml:space="preserve">– </w:t>
            </w:r>
            <w:r w:rsidRPr="00251542">
              <w:rPr>
                <w:sz w:val="16"/>
              </w:rPr>
              <w:t>4</w:t>
            </w:r>
            <w:r w:rsidR="00ED7374">
              <w:rPr>
                <w:sz w:val="16"/>
              </w:rPr>
              <w:t xml:space="preserve"> </w:t>
            </w:r>
            <w:r w:rsidRPr="00251542">
              <w:rPr>
                <w:sz w:val="16"/>
              </w:rPr>
              <w:t>juillet 20</w:t>
            </w:r>
            <w:r w:rsidR="004007D3"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 xml:space="preserve">Brésil (Rio de Janeiro et Porto </w:t>
            </w:r>
            <w:proofErr w:type="spellStart"/>
            <w:r w:rsidRPr="00251542">
              <w:rPr>
                <w:sz w:val="16"/>
              </w:rPr>
              <w:t>Alegre</w:t>
            </w:r>
            <w:proofErr w:type="spellEnd"/>
            <w:r w:rsidRPr="00251542">
              <w:rPr>
                <w:sz w:val="16"/>
              </w:rPr>
              <w:t>)/Brésil</w:t>
            </w:r>
          </w:p>
        </w:tc>
        <w:tc>
          <w:tcPr>
            <w:tcW w:w="3260" w:type="dxa"/>
          </w:tcPr>
          <w:p w:rsidR="004007D3" w:rsidRPr="00251542" w:rsidRDefault="004007D3" w:rsidP="001A5BF9">
            <w:pPr>
              <w:spacing w:after="220"/>
              <w:rPr>
                <w:rFonts w:eastAsia="SimSun"/>
                <w:sz w:val="16"/>
                <w:szCs w:val="16"/>
              </w:rPr>
            </w:pPr>
            <w:r w:rsidRPr="00251542">
              <w:rPr>
                <w:sz w:val="16"/>
              </w:rPr>
              <w:t>Débattre des aspects relatifs aux politiques publiques en matière d</w:t>
            </w:r>
            <w:r w:rsidR="00A20444" w:rsidRPr="00251542">
              <w:rPr>
                <w:sz w:val="16"/>
              </w:rPr>
              <w:t>’</w:t>
            </w:r>
            <w:r w:rsidRPr="00251542">
              <w:rPr>
                <w:sz w:val="16"/>
              </w:rPr>
              <w:t>innovation et de propriété intellectuelle car ils sont liés aux enjeux du transfert de savoir auxquels sont confrontés les bureaux de transfert de technologie des universités et des instituts de recherche</w:t>
            </w:r>
          </w:p>
        </w:tc>
      </w:tr>
      <w:tr w:rsidR="004007D3" w:rsidRPr="00251542" w:rsidTr="0056083E">
        <w:trPr>
          <w:trHeight w:val="371"/>
        </w:trPr>
        <w:tc>
          <w:tcPr>
            <w:tcW w:w="1843" w:type="dxa"/>
          </w:tcPr>
          <w:p w:rsidR="004007D3" w:rsidRPr="00251542" w:rsidRDefault="004007D3" w:rsidP="001A5BF9">
            <w:pPr>
              <w:spacing w:before="120" w:after="220"/>
              <w:rPr>
                <w:rFonts w:eastAsia="SimSun"/>
                <w:sz w:val="16"/>
                <w:szCs w:val="16"/>
              </w:rPr>
            </w:pPr>
            <w:r w:rsidRPr="00251542">
              <w:rPr>
                <w:sz w:val="16"/>
              </w:rPr>
              <w:t>Conférence sur l</w:t>
            </w:r>
            <w:r w:rsidR="00A20444" w:rsidRPr="00251542">
              <w:rPr>
                <w:sz w:val="16"/>
              </w:rPr>
              <w:t>’</w:t>
            </w:r>
            <w:r w:rsidRPr="00251542">
              <w:rPr>
                <w:sz w:val="16"/>
              </w:rPr>
              <w:t>utilisation stratégique de la propriété intellectuelle par l</w:t>
            </w:r>
            <w:r w:rsidR="00A20444" w:rsidRPr="00251542">
              <w:rPr>
                <w:sz w:val="16"/>
              </w:rPr>
              <w:t>’</w:t>
            </w:r>
            <w:r w:rsidRPr="00251542">
              <w:rPr>
                <w:sz w:val="16"/>
              </w:rPr>
              <w:t>industrie du sport</w:t>
            </w:r>
          </w:p>
        </w:tc>
        <w:tc>
          <w:tcPr>
            <w:tcW w:w="1134" w:type="dxa"/>
          </w:tcPr>
          <w:p w:rsidR="004007D3" w:rsidRPr="00251542" w:rsidRDefault="004007D3" w:rsidP="00ED7374">
            <w:pPr>
              <w:autoSpaceDE w:val="0"/>
              <w:autoSpaceDN w:val="0"/>
              <w:adjustRightInd w:val="0"/>
              <w:spacing w:before="120" w:after="120"/>
              <w:rPr>
                <w:rFonts w:cs="Arial"/>
                <w:sz w:val="16"/>
                <w:szCs w:val="16"/>
              </w:rPr>
            </w:pPr>
            <w:r w:rsidRPr="00251542">
              <w:rPr>
                <w:sz w:val="16"/>
              </w:rPr>
              <w:t>30 – 3</w:t>
            </w:r>
            <w:r w:rsidR="00A20444" w:rsidRPr="00251542">
              <w:rPr>
                <w:sz w:val="16"/>
              </w:rPr>
              <w:t>1</w:t>
            </w:r>
            <w:r w:rsidR="00ED7374">
              <w:rPr>
                <w:sz w:val="16"/>
              </w:rPr>
              <w:t xml:space="preserve"> </w:t>
            </w:r>
            <w:r w:rsidR="00A20444" w:rsidRPr="00251542">
              <w:rPr>
                <w:sz w:val="16"/>
              </w:rPr>
              <w:t>juillet 20</w:t>
            </w:r>
            <w:r w:rsidRPr="00251542">
              <w:rPr>
                <w:sz w:val="16"/>
              </w:rPr>
              <w:t>13</w:t>
            </w:r>
          </w:p>
        </w:tc>
        <w:tc>
          <w:tcPr>
            <w:tcW w:w="283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Brésil</w:t>
            </w:r>
          </w:p>
        </w:tc>
        <w:tc>
          <w:tcPr>
            <w:tcW w:w="3260" w:type="dxa"/>
          </w:tcPr>
          <w:p w:rsidR="004007D3" w:rsidRPr="00251542" w:rsidRDefault="004007D3" w:rsidP="001A5BF9">
            <w:pPr>
              <w:spacing w:before="120" w:after="120"/>
              <w:rPr>
                <w:rFonts w:eastAsia="SimSun" w:cs="Arial"/>
                <w:sz w:val="16"/>
                <w:szCs w:val="16"/>
              </w:rPr>
            </w:pPr>
            <w:r w:rsidRPr="00251542">
              <w:rPr>
                <w:sz w:val="16"/>
              </w:rPr>
              <w:t>Renforcer la compréhension de l</w:t>
            </w:r>
            <w:r w:rsidR="00A20444" w:rsidRPr="00251542">
              <w:rPr>
                <w:sz w:val="16"/>
              </w:rPr>
              <w:t>’</w:t>
            </w:r>
            <w:r w:rsidRPr="00251542">
              <w:rPr>
                <w:sz w:val="16"/>
              </w:rPr>
              <w:t>importance de : i) une approche stratégique permettant de créer un héritage en matière de propriété intellectuelle après les grandes manifestations sportives;</w:t>
            </w:r>
            <w:r w:rsidR="004F3E42" w:rsidRPr="00251542">
              <w:rPr>
                <w:sz w:val="16"/>
              </w:rPr>
              <w:t xml:space="preserve"> </w:t>
            </w:r>
            <w:r w:rsidR="0010442A" w:rsidRPr="00251542">
              <w:rPr>
                <w:sz w:val="16"/>
              </w:rPr>
              <w:t xml:space="preserve"> </w:t>
            </w:r>
            <w:r w:rsidRPr="00251542">
              <w:rPr>
                <w:sz w:val="16"/>
              </w:rPr>
              <w:t>ii) un usage éclairé des marques et brevets pour la réussite des transactions commerciales entreprises dans le cadre de grandes manifestations sportives.</w:t>
            </w:r>
          </w:p>
        </w:tc>
      </w:tr>
      <w:tr w:rsidR="004007D3" w:rsidRPr="00251542" w:rsidTr="0056083E">
        <w:trPr>
          <w:trHeight w:val="371"/>
        </w:trPr>
        <w:tc>
          <w:tcPr>
            <w:tcW w:w="1843" w:type="dxa"/>
          </w:tcPr>
          <w:p w:rsidR="004007D3" w:rsidRPr="00251542" w:rsidRDefault="004007D3" w:rsidP="001A5BF9">
            <w:pPr>
              <w:spacing w:after="220"/>
              <w:rPr>
                <w:rFonts w:eastAsia="SimSun"/>
                <w:sz w:val="16"/>
                <w:szCs w:val="16"/>
              </w:rPr>
            </w:pPr>
            <w:r w:rsidRPr="00251542">
              <w:rPr>
                <w:sz w:val="16"/>
              </w:rPr>
              <w:t>Sixième congrès international sur les logiciels libres et le gouvernement électronique (</w:t>
            </w:r>
            <w:proofErr w:type="spellStart"/>
            <w:r w:rsidRPr="00251542">
              <w:rPr>
                <w:sz w:val="16"/>
              </w:rPr>
              <w:t>CONSEGUI</w:t>
            </w:r>
            <w:proofErr w:type="spellEnd"/>
            <w:r w:rsidRPr="00251542">
              <w:rPr>
                <w:sz w:val="16"/>
              </w:rPr>
              <w:t>)</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13 – 1</w:t>
            </w:r>
            <w:r w:rsidR="00A20444" w:rsidRPr="00251542">
              <w:rPr>
                <w:sz w:val="16"/>
              </w:rPr>
              <w:t>5</w:t>
            </w:r>
            <w:r w:rsidR="00ED7374">
              <w:rPr>
                <w:sz w:val="16"/>
              </w:rPr>
              <w:t xml:space="preserve"> </w:t>
            </w:r>
            <w:r w:rsidR="00A20444" w:rsidRPr="00251542">
              <w:rPr>
                <w:sz w:val="16"/>
              </w:rPr>
              <w:t>août 20</w:t>
            </w:r>
            <w:r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Brésil</w:t>
            </w:r>
          </w:p>
        </w:tc>
        <w:tc>
          <w:tcPr>
            <w:tcW w:w="3260" w:type="dxa"/>
          </w:tcPr>
          <w:p w:rsidR="004007D3" w:rsidRPr="00251542" w:rsidRDefault="004007D3" w:rsidP="009C658D">
            <w:pPr>
              <w:spacing w:after="120"/>
              <w:rPr>
                <w:rFonts w:eastAsia="SimSun"/>
                <w:sz w:val="16"/>
                <w:szCs w:val="16"/>
              </w:rPr>
            </w:pPr>
            <w:r w:rsidRPr="00251542">
              <w:rPr>
                <w:sz w:val="16"/>
              </w:rPr>
              <w:t xml:space="preserve">Stimuler un débat entre les représentants du </w:t>
            </w:r>
            <w:r w:rsidR="009C658D" w:rsidRPr="00251542">
              <w:rPr>
                <w:sz w:val="16"/>
              </w:rPr>
              <w:t>G</w:t>
            </w:r>
            <w:r w:rsidRPr="00251542">
              <w:rPr>
                <w:sz w:val="16"/>
              </w:rPr>
              <w:t>ouvernement brésilien et de la société civile sur les projets et les initiatives qui se rapportent au partage des connaissances, à l</w:t>
            </w:r>
            <w:r w:rsidR="00A20444" w:rsidRPr="00251542">
              <w:rPr>
                <w:sz w:val="16"/>
              </w:rPr>
              <w:t>’</w:t>
            </w:r>
            <w:r w:rsidRPr="00251542">
              <w:rPr>
                <w:sz w:val="16"/>
              </w:rPr>
              <w:t>adoption de normes ouvertes et à la promotion des solutions logicielles libres pour contribuer à l</w:t>
            </w:r>
            <w:r w:rsidR="00A20444" w:rsidRPr="00251542">
              <w:rPr>
                <w:sz w:val="16"/>
              </w:rPr>
              <w:t>’</w:t>
            </w:r>
            <w:r w:rsidRPr="00251542">
              <w:rPr>
                <w:sz w:val="16"/>
              </w:rPr>
              <w:t>amélioration des politiques générales sur les technologies de l</w:t>
            </w:r>
            <w:r w:rsidR="00A20444" w:rsidRPr="00251542">
              <w:rPr>
                <w:sz w:val="16"/>
              </w:rPr>
              <w:t>’</w:t>
            </w:r>
            <w:r w:rsidRPr="00251542">
              <w:rPr>
                <w:sz w:val="16"/>
              </w:rPr>
              <w:t>information et de la communication</w:t>
            </w:r>
          </w:p>
        </w:tc>
      </w:tr>
      <w:tr w:rsidR="004007D3" w:rsidRPr="00251542" w:rsidTr="0056083E">
        <w:trPr>
          <w:trHeight w:val="371"/>
        </w:trPr>
        <w:tc>
          <w:tcPr>
            <w:tcW w:w="1843" w:type="dxa"/>
          </w:tcPr>
          <w:p w:rsidR="004007D3" w:rsidRPr="00251542" w:rsidRDefault="004007D3" w:rsidP="001A5BF9">
            <w:pPr>
              <w:spacing w:after="220"/>
              <w:rPr>
                <w:rFonts w:eastAsia="SimSun"/>
                <w:sz w:val="16"/>
                <w:szCs w:val="16"/>
              </w:rPr>
            </w:pPr>
            <w:r w:rsidRPr="00251542">
              <w:rPr>
                <w:sz w:val="16"/>
              </w:rPr>
              <w:t>Atelier interrégional de l</w:t>
            </w:r>
            <w:r w:rsidR="00A20444" w:rsidRPr="00251542">
              <w:rPr>
                <w:sz w:val="16"/>
              </w:rPr>
              <w:t>’</w:t>
            </w:r>
            <w:r w:rsidRPr="00251542">
              <w:rPr>
                <w:sz w:val="16"/>
              </w:rPr>
              <w:t>OMPI sur l</w:t>
            </w:r>
            <w:r w:rsidR="00A20444" w:rsidRPr="00251542">
              <w:rPr>
                <w:sz w:val="16"/>
              </w:rPr>
              <w:t>’</w:t>
            </w:r>
            <w:r w:rsidRPr="00251542">
              <w:rPr>
                <w:sz w:val="16"/>
              </w:rPr>
              <w:t>analyse des brevets</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26 – 2</w:t>
            </w:r>
            <w:r w:rsidR="00A20444" w:rsidRPr="00251542">
              <w:rPr>
                <w:sz w:val="16"/>
              </w:rPr>
              <w:t>8</w:t>
            </w:r>
            <w:r w:rsidR="00ED7374">
              <w:rPr>
                <w:sz w:val="16"/>
              </w:rPr>
              <w:t xml:space="preserve"> </w:t>
            </w:r>
            <w:r w:rsidR="00A20444" w:rsidRPr="00251542">
              <w:rPr>
                <w:sz w:val="16"/>
              </w:rPr>
              <w:t>août 20</w:t>
            </w:r>
            <w:r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 xml:space="preserve">Brésil/Chili, Colombie, Cuba, Mexique et Philippines </w:t>
            </w:r>
          </w:p>
        </w:tc>
        <w:tc>
          <w:tcPr>
            <w:tcW w:w="3260" w:type="dxa"/>
          </w:tcPr>
          <w:p w:rsidR="004007D3" w:rsidRPr="00251542" w:rsidRDefault="004007D3" w:rsidP="001A5BF9">
            <w:pPr>
              <w:spacing w:after="220"/>
              <w:rPr>
                <w:rFonts w:eastAsia="SimSun"/>
                <w:sz w:val="16"/>
                <w:szCs w:val="16"/>
              </w:rPr>
            </w:pPr>
            <w:r w:rsidRPr="00251542">
              <w:rPr>
                <w:sz w:val="16"/>
              </w:rPr>
              <w:t xml:space="preserve"> i) Débattre des enjeux en matière de panoramas sur les brevets;</w:t>
            </w:r>
            <w:r w:rsidR="004F3E42" w:rsidRPr="00251542">
              <w:rPr>
                <w:sz w:val="16"/>
              </w:rPr>
              <w:t xml:space="preserve"> </w:t>
            </w:r>
            <w:r w:rsidR="0010442A" w:rsidRPr="00251542">
              <w:rPr>
                <w:sz w:val="16"/>
              </w:rPr>
              <w:t xml:space="preserve"> </w:t>
            </w:r>
            <w:r w:rsidRPr="00251542">
              <w:rPr>
                <w:sz w:val="16"/>
              </w:rPr>
              <w:t>ii) partager les meilleures pratiques;</w:t>
            </w:r>
            <w:r w:rsidR="0010442A" w:rsidRPr="00251542">
              <w:rPr>
                <w:sz w:val="16"/>
              </w:rPr>
              <w:t xml:space="preserve"> </w:t>
            </w:r>
            <w:r w:rsidR="004F3E42" w:rsidRPr="00251542">
              <w:rPr>
                <w:sz w:val="16"/>
              </w:rPr>
              <w:t xml:space="preserve"> </w:t>
            </w:r>
            <w:r w:rsidRPr="00251542">
              <w:rPr>
                <w:sz w:val="16"/>
              </w:rPr>
              <w:t>iii) identifier les opportunités pour une meilleure coopération dans le domaine de l</w:t>
            </w:r>
            <w:r w:rsidR="00A20444" w:rsidRPr="00251542">
              <w:rPr>
                <w:sz w:val="16"/>
              </w:rPr>
              <w:t>’</w:t>
            </w:r>
            <w:r w:rsidRPr="00251542">
              <w:rPr>
                <w:sz w:val="16"/>
              </w:rPr>
              <w:t>utilisation de l</w:t>
            </w:r>
            <w:r w:rsidR="00A20444" w:rsidRPr="00251542">
              <w:rPr>
                <w:sz w:val="16"/>
              </w:rPr>
              <w:t>’</w:t>
            </w:r>
            <w:r w:rsidRPr="00251542">
              <w:rPr>
                <w:sz w:val="16"/>
              </w:rPr>
              <w:t>information en matière de brevets;</w:t>
            </w:r>
            <w:r w:rsidR="004F3E42" w:rsidRPr="00251542">
              <w:rPr>
                <w:sz w:val="16"/>
              </w:rPr>
              <w:t xml:space="preserve"> </w:t>
            </w:r>
            <w:r w:rsidR="0010442A" w:rsidRPr="00251542">
              <w:rPr>
                <w:sz w:val="16"/>
              </w:rPr>
              <w:t xml:space="preserve"> </w:t>
            </w:r>
            <w:r w:rsidRPr="00251542">
              <w:rPr>
                <w:sz w:val="16"/>
              </w:rPr>
              <w:t>et iv) fournir une plate</w:t>
            </w:r>
            <w:r w:rsidR="002D6F2A" w:rsidRPr="00251542">
              <w:rPr>
                <w:sz w:val="16"/>
              </w:rPr>
              <w:noBreakHyphen/>
            </w:r>
            <w:r w:rsidRPr="00251542">
              <w:rPr>
                <w:sz w:val="16"/>
              </w:rPr>
              <w:t>forme de discussion et de retour d</w:t>
            </w:r>
            <w:r w:rsidR="00A20444" w:rsidRPr="00251542">
              <w:rPr>
                <w:sz w:val="16"/>
              </w:rPr>
              <w:t>’</w:t>
            </w:r>
            <w:r w:rsidRPr="00251542">
              <w:rPr>
                <w:sz w:val="16"/>
              </w:rPr>
              <w:t>information pour le projet de directives de l</w:t>
            </w:r>
            <w:r w:rsidR="00A20444" w:rsidRPr="00251542">
              <w:rPr>
                <w:sz w:val="16"/>
              </w:rPr>
              <w:t>’</w:t>
            </w:r>
            <w:r w:rsidRPr="00251542">
              <w:rPr>
                <w:sz w:val="16"/>
              </w:rPr>
              <w:t>OMPI en matière de rapports panoramiques sur les brevets</w:t>
            </w:r>
          </w:p>
        </w:tc>
      </w:tr>
      <w:tr w:rsidR="004007D3" w:rsidRPr="00251542" w:rsidTr="0056083E">
        <w:trPr>
          <w:trHeight w:val="371"/>
        </w:trPr>
        <w:tc>
          <w:tcPr>
            <w:tcW w:w="1843" w:type="dxa"/>
          </w:tcPr>
          <w:p w:rsidR="004007D3" w:rsidRPr="00251542" w:rsidRDefault="004007D3" w:rsidP="001A5BF9">
            <w:pPr>
              <w:spacing w:after="220"/>
              <w:rPr>
                <w:rFonts w:eastAsia="SimSun"/>
                <w:sz w:val="16"/>
                <w:szCs w:val="16"/>
              </w:rPr>
            </w:pPr>
            <w:r w:rsidRPr="00251542">
              <w:rPr>
                <w:sz w:val="16"/>
              </w:rPr>
              <w:t>Consultance</w:t>
            </w:r>
            <w:r w:rsidR="00A20444" w:rsidRPr="00251542">
              <w:rPr>
                <w:sz w:val="16"/>
              </w:rPr>
              <w:t xml:space="preserve"> du </w:t>
            </w:r>
            <w:proofErr w:type="spellStart"/>
            <w:r w:rsidR="00A20444" w:rsidRPr="00251542">
              <w:rPr>
                <w:sz w:val="16"/>
              </w:rPr>
              <w:t>PRO</w:t>
            </w:r>
            <w:r w:rsidRPr="00251542">
              <w:rPr>
                <w:sz w:val="16"/>
              </w:rPr>
              <w:t>SUR</w:t>
            </w:r>
            <w:proofErr w:type="spellEnd"/>
          </w:p>
        </w:tc>
        <w:tc>
          <w:tcPr>
            <w:tcW w:w="1134" w:type="dxa"/>
          </w:tcPr>
          <w:p w:rsidR="004007D3" w:rsidRPr="00251542" w:rsidRDefault="00A20444" w:rsidP="00ED7374">
            <w:pPr>
              <w:autoSpaceDE w:val="0"/>
              <w:autoSpaceDN w:val="0"/>
              <w:adjustRightInd w:val="0"/>
              <w:spacing w:after="120"/>
              <w:rPr>
                <w:rFonts w:cs="Arial"/>
                <w:sz w:val="16"/>
                <w:szCs w:val="16"/>
              </w:rPr>
            </w:pPr>
            <w:r w:rsidRPr="00251542">
              <w:rPr>
                <w:sz w:val="16"/>
              </w:rPr>
              <w:t>3 septembre</w:t>
            </w:r>
            <w:r w:rsidR="004007D3" w:rsidRPr="00251542">
              <w:rPr>
                <w:sz w:val="16"/>
              </w:rPr>
              <w:t xml:space="preserve"> – </w:t>
            </w:r>
            <w:r w:rsidRPr="00251542">
              <w:rPr>
                <w:sz w:val="16"/>
              </w:rPr>
              <w:t>3 octobre</w:t>
            </w:r>
            <w:r w:rsidR="00ED7374">
              <w:rPr>
                <w:sz w:val="16"/>
              </w:rPr>
              <w:t xml:space="preserve"> </w:t>
            </w:r>
            <w:r w:rsidRPr="00251542">
              <w:rPr>
                <w:sz w:val="16"/>
              </w:rPr>
              <w:t>20</w:t>
            </w:r>
            <w:r w:rsidR="004007D3"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Argentine, Chili, Colombie, Équateur, Paraguay, Pérou, Surinam, Uruguay</w:t>
            </w:r>
          </w:p>
        </w:tc>
        <w:tc>
          <w:tcPr>
            <w:tcW w:w="3260" w:type="dxa"/>
          </w:tcPr>
          <w:p w:rsidR="004007D3" w:rsidRPr="00251542" w:rsidRDefault="004007D3" w:rsidP="001A5BF9">
            <w:pPr>
              <w:spacing w:after="200"/>
              <w:rPr>
                <w:rFonts w:cs="Arial"/>
                <w:sz w:val="16"/>
                <w:szCs w:val="16"/>
              </w:rPr>
            </w:pPr>
            <w:r w:rsidRPr="00251542">
              <w:rPr>
                <w:sz w:val="16"/>
              </w:rPr>
              <w:t>Élaborer une étude d</w:t>
            </w:r>
            <w:r w:rsidR="00A20444" w:rsidRPr="00251542">
              <w:rPr>
                <w:sz w:val="16"/>
              </w:rPr>
              <w:t>’</w:t>
            </w:r>
            <w:r w:rsidRPr="00251542">
              <w:rPr>
                <w:sz w:val="16"/>
              </w:rPr>
              <w:t>évaluation sur l</w:t>
            </w:r>
            <w:r w:rsidR="00A20444" w:rsidRPr="00251542">
              <w:rPr>
                <w:sz w:val="16"/>
              </w:rPr>
              <w:t>’</w:t>
            </w:r>
            <w:r w:rsidRPr="00251542">
              <w:rPr>
                <w:sz w:val="16"/>
              </w:rPr>
              <w:t>institutionnalisation de la plate</w:t>
            </w:r>
            <w:r w:rsidR="002D6F2A" w:rsidRPr="00251542">
              <w:rPr>
                <w:sz w:val="16"/>
              </w:rPr>
              <w:noBreakHyphen/>
            </w:r>
            <w:r w:rsidRPr="00251542">
              <w:rPr>
                <w:sz w:val="16"/>
              </w:rPr>
              <w:t>forme</w:t>
            </w:r>
            <w:r w:rsidR="00A20444" w:rsidRPr="00251542">
              <w:rPr>
                <w:sz w:val="16"/>
              </w:rPr>
              <w:t xml:space="preserve"> du </w:t>
            </w:r>
            <w:proofErr w:type="spellStart"/>
            <w:r w:rsidR="00A20444" w:rsidRPr="00251542">
              <w:rPr>
                <w:sz w:val="16"/>
              </w:rPr>
              <w:t>PRO</w:t>
            </w:r>
            <w:r w:rsidRPr="00251542">
              <w:rPr>
                <w:sz w:val="16"/>
              </w:rPr>
              <w:t>SUR</w:t>
            </w:r>
            <w:proofErr w:type="spellEnd"/>
            <w:r w:rsidRPr="00251542">
              <w:rPr>
                <w:sz w:val="16"/>
              </w:rPr>
              <w:t xml:space="preserve"> (Système de coopération régionale sur la propriété intellectuelle) </w:t>
            </w:r>
          </w:p>
        </w:tc>
      </w:tr>
      <w:tr w:rsidR="004007D3" w:rsidRPr="00251542" w:rsidTr="0056083E">
        <w:trPr>
          <w:trHeight w:val="371"/>
        </w:trPr>
        <w:tc>
          <w:tcPr>
            <w:tcW w:w="1843" w:type="dxa"/>
          </w:tcPr>
          <w:p w:rsidR="004007D3" w:rsidRPr="00251542" w:rsidRDefault="004007D3" w:rsidP="001A5BF9">
            <w:pPr>
              <w:spacing w:after="220"/>
              <w:rPr>
                <w:rFonts w:eastAsia="SimSun"/>
                <w:sz w:val="16"/>
                <w:szCs w:val="16"/>
              </w:rPr>
            </w:pPr>
            <w:r w:rsidRPr="00251542">
              <w:rPr>
                <w:sz w:val="16"/>
              </w:rPr>
              <w:t>Atelier sur l</w:t>
            </w:r>
            <w:r w:rsidR="00A20444" w:rsidRPr="00251542">
              <w:rPr>
                <w:sz w:val="16"/>
              </w:rPr>
              <w:t>’</w:t>
            </w:r>
            <w:r w:rsidRPr="00251542">
              <w:rPr>
                <w:sz w:val="16"/>
              </w:rPr>
              <w:t>utilisation stratégique de la propriété intellectuelle pour</w:t>
            </w:r>
            <w:r w:rsidR="00A20444" w:rsidRPr="00251542">
              <w:rPr>
                <w:sz w:val="16"/>
              </w:rPr>
              <w:t xml:space="preserve"> les PME</w:t>
            </w:r>
            <w:r w:rsidRPr="00251542">
              <w:rPr>
                <w:sz w:val="16"/>
              </w:rPr>
              <w:t xml:space="preserve"> </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10 et 1</w:t>
            </w:r>
            <w:r w:rsidR="00A20444" w:rsidRPr="00251542">
              <w:rPr>
                <w:sz w:val="16"/>
              </w:rPr>
              <w:t>1</w:t>
            </w:r>
            <w:r w:rsidR="00ED7374">
              <w:rPr>
                <w:sz w:val="16"/>
              </w:rPr>
              <w:t xml:space="preserve"> </w:t>
            </w:r>
            <w:r w:rsidR="00A20444" w:rsidRPr="00251542">
              <w:rPr>
                <w:sz w:val="16"/>
              </w:rPr>
              <w:t>septembre</w:t>
            </w:r>
            <w:r w:rsidR="00ED7374">
              <w:rPr>
                <w:sz w:val="16"/>
              </w:rPr>
              <w:t xml:space="preserve"> </w:t>
            </w:r>
            <w:r w:rsidR="00A20444" w:rsidRPr="00251542">
              <w:rPr>
                <w:sz w:val="16"/>
              </w:rPr>
              <w:t>20</w:t>
            </w:r>
            <w:r w:rsidRPr="00251542">
              <w:rPr>
                <w:sz w:val="16"/>
              </w:rPr>
              <w:t>13</w:t>
            </w:r>
          </w:p>
        </w:tc>
        <w:tc>
          <w:tcPr>
            <w:tcW w:w="2835" w:type="dxa"/>
          </w:tcPr>
          <w:p w:rsidR="00D42474" w:rsidRDefault="004007D3" w:rsidP="001A5BF9">
            <w:pPr>
              <w:autoSpaceDE w:val="0"/>
              <w:autoSpaceDN w:val="0"/>
              <w:adjustRightInd w:val="0"/>
              <w:spacing w:after="120"/>
              <w:rPr>
                <w:rFonts w:cs="Arial"/>
                <w:sz w:val="16"/>
                <w:szCs w:val="16"/>
              </w:rPr>
            </w:pPr>
            <w:r w:rsidRPr="00251542">
              <w:rPr>
                <w:sz w:val="16"/>
              </w:rPr>
              <w:t>Brésil</w:t>
            </w:r>
          </w:p>
          <w:p w:rsidR="004007D3" w:rsidRPr="00251542" w:rsidRDefault="004007D3" w:rsidP="001A5BF9">
            <w:pPr>
              <w:autoSpaceDE w:val="0"/>
              <w:autoSpaceDN w:val="0"/>
              <w:adjustRightInd w:val="0"/>
              <w:spacing w:after="120"/>
              <w:rPr>
                <w:rFonts w:cs="Arial"/>
                <w:sz w:val="16"/>
                <w:szCs w:val="16"/>
              </w:rPr>
            </w:pPr>
          </w:p>
        </w:tc>
        <w:tc>
          <w:tcPr>
            <w:tcW w:w="3260" w:type="dxa"/>
          </w:tcPr>
          <w:p w:rsidR="004007D3" w:rsidRPr="00251542" w:rsidRDefault="004007D3" w:rsidP="001A5BF9">
            <w:pPr>
              <w:spacing w:after="220"/>
              <w:rPr>
                <w:rFonts w:eastAsia="SimSun" w:cs="Arial"/>
                <w:sz w:val="16"/>
                <w:szCs w:val="16"/>
              </w:rPr>
            </w:pPr>
            <w:r w:rsidRPr="00251542">
              <w:rPr>
                <w:sz w:val="16"/>
              </w:rPr>
              <w:t>Promouvoir une meilleure compréhension et utilisation du système de la propriété intellectuelle par</w:t>
            </w:r>
            <w:r w:rsidR="00A20444" w:rsidRPr="00251542">
              <w:rPr>
                <w:sz w:val="16"/>
              </w:rPr>
              <w:t xml:space="preserve"> les PME</w:t>
            </w:r>
          </w:p>
        </w:tc>
      </w:tr>
      <w:tr w:rsidR="004007D3" w:rsidRPr="00251542" w:rsidTr="0056083E">
        <w:trPr>
          <w:trHeight w:val="371"/>
        </w:trPr>
        <w:tc>
          <w:tcPr>
            <w:tcW w:w="1843" w:type="dxa"/>
          </w:tcPr>
          <w:p w:rsidR="004007D3" w:rsidRPr="00251542" w:rsidRDefault="004007D3" w:rsidP="001A5BF9">
            <w:pPr>
              <w:spacing w:after="220"/>
              <w:rPr>
                <w:rFonts w:eastAsia="SimSun"/>
                <w:sz w:val="16"/>
                <w:szCs w:val="16"/>
              </w:rPr>
            </w:pPr>
            <w:r w:rsidRPr="00251542">
              <w:rPr>
                <w:sz w:val="16"/>
              </w:rPr>
              <w:t>Assemblée annuelle du réseau de la propriété intellectuelle de Rio de Janeiro (</w:t>
            </w:r>
            <w:proofErr w:type="spellStart"/>
            <w:r w:rsidRPr="00251542">
              <w:rPr>
                <w:sz w:val="16"/>
              </w:rPr>
              <w:t>REPICT</w:t>
            </w:r>
            <w:proofErr w:type="spellEnd"/>
            <w:r w:rsidRPr="00251542">
              <w:rPr>
                <w:sz w:val="16"/>
              </w:rPr>
              <w:t>)</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12 et 1</w:t>
            </w:r>
            <w:r w:rsidR="00A20444" w:rsidRPr="00251542">
              <w:rPr>
                <w:sz w:val="16"/>
              </w:rPr>
              <w:t>3</w:t>
            </w:r>
            <w:r w:rsidR="00ED7374">
              <w:rPr>
                <w:sz w:val="16"/>
              </w:rPr>
              <w:t xml:space="preserve"> </w:t>
            </w:r>
            <w:r w:rsidR="00A20444" w:rsidRPr="00251542">
              <w:rPr>
                <w:sz w:val="16"/>
              </w:rPr>
              <w:t>septembre</w:t>
            </w:r>
            <w:r w:rsidR="00ED7374">
              <w:rPr>
                <w:sz w:val="16"/>
              </w:rPr>
              <w:t xml:space="preserve"> </w:t>
            </w:r>
            <w:r w:rsidR="00A20444" w:rsidRPr="00251542">
              <w:rPr>
                <w:sz w:val="16"/>
              </w:rPr>
              <w:t>20</w:t>
            </w:r>
            <w:r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Brésil</w:t>
            </w:r>
          </w:p>
        </w:tc>
        <w:tc>
          <w:tcPr>
            <w:tcW w:w="3260" w:type="dxa"/>
          </w:tcPr>
          <w:p w:rsidR="00D42474" w:rsidRDefault="004007D3" w:rsidP="001A5BF9">
            <w:pPr>
              <w:tabs>
                <w:tab w:val="left" w:pos="567"/>
                <w:tab w:val="left" w:pos="1134"/>
                <w:tab w:val="left" w:pos="1701"/>
                <w:tab w:val="left" w:pos="5670"/>
              </w:tabs>
              <w:suppressAutoHyphens/>
              <w:rPr>
                <w:sz w:val="16"/>
              </w:rPr>
            </w:pPr>
            <w:r w:rsidRPr="00251542">
              <w:rPr>
                <w:sz w:val="16"/>
              </w:rPr>
              <w:t xml:space="preserve">Le </w:t>
            </w:r>
            <w:proofErr w:type="spellStart"/>
            <w:r w:rsidRPr="00251542">
              <w:rPr>
                <w:sz w:val="16"/>
              </w:rPr>
              <w:t>REPICT</w:t>
            </w:r>
            <w:proofErr w:type="spellEnd"/>
            <w:r w:rsidRPr="00251542">
              <w:rPr>
                <w:sz w:val="16"/>
              </w:rPr>
              <w:t xml:space="preserve"> a servi de modèle pour optimiser la prestation de services de propriété intellectuelle, ainsi que pour contribuer à un débat ouvert au sein de la communauté scientifique et technologique brésilienne sur des questions telles que la loi sur l</w:t>
            </w:r>
            <w:r w:rsidR="00A20444" w:rsidRPr="00251542">
              <w:rPr>
                <w:sz w:val="16"/>
              </w:rPr>
              <w:t>’</w:t>
            </w:r>
            <w:r w:rsidRPr="00251542">
              <w:rPr>
                <w:sz w:val="16"/>
              </w:rPr>
              <w:t>innovation, les incitations à l</w:t>
            </w:r>
            <w:r w:rsidR="00A20444" w:rsidRPr="00251542">
              <w:rPr>
                <w:sz w:val="16"/>
              </w:rPr>
              <w:t>’</w:t>
            </w:r>
            <w:r w:rsidRPr="00251542">
              <w:rPr>
                <w:sz w:val="16"/>
              </w:rPr>
              <w:t>investissement dans la recherche et le développement, et aux modèles de protection, d</w:t>
            </w:r>
            <w:r w:rsidR="00A20444" w:rsidRPr="00251542">
              <w:rPr>
                <w:sz w:val="16"/>
              </w:rPr>
              <w:t>’</w:t>
            </w:r>
            <w:r w:rsidRPr="00251542">
              <w:rPr>
                <w:sz w:val="16"/>
              </w:rPr>
              <w:t>innovation et de commercialisation en matière de propriété intellectuelle.</w:t>
            </w:r>
          </w:p>
          <w:p w:rsidR="004007D3" w:rsidRPr="00251542" w:rsidRDefault="004007D3" w:rsidP="001A5BF9">
            <w:pPr>
              <w:spacing w:after="220"/>
              <w:rPr>
                <w:rFonts w:eastAsia="SimSun" w:cs="Arial"/>
                <w:sz w:val="16"/>
                <w:szCs w:val="16"/>
              </w:rPr>
            </w:pPr>
            <w:r w:rsidRPr="00251542">
              <w:rPr>
                <w:sz w:val="16"/>
              </w:rPr>
              <w:t>Il s</w:t>
            </w:r>
            <w:r w:rsidR="00A20444" w:rsidRPr="00251542">
              <w:rPr>
                <w:sz w:val="16"/>
              </w:rPr>
              <w:t>’</w:t>
            </w:r>
            <w:r w:rsidRPr="00251542">
              <w:rPr>
                <w:sz w:val="16"/>
              </w:rPr>
              <w:t>agissait de la seizième édition de l</w:t>
            </w:r>
            <w:r w:rsidR="00A20444" w:rsidRPr="00251542">
              <w:rPr>
                <w:sz w:val="16"/>
              </w:rPr>
              <w:t>’</w:t>
            </w:r>
            <w:r w:rsidRPr="00251542">
              <w:rPr>
                <w:sz w:val="16"/>
              </w:rPr>
              <w:t>assemblée annuelle</w:t>
            </w:r>
            <w:r w:rsidR="00A20444" w:rsidRPr="00251542">
              <w:rPr>
                <w:sz w:val="16"/>
              </w:rPr>
              <w:t xml:space="preserve"> du </w:t>
            </w:r>
            <w:proofErr w:type="spellStart"/>
            <w:r w:rsidR="00A20444" w:rsidRPr="00251542">
              <w:rPr>
                <w:sz w:val="16"/>
              </w:rPr>
              <w:t>REP</w:t>
            </w:r>
            <w:r w:rsidRPr="00251542">
              <w:rPr>
                <w:sz w:val="16"/>
              </w:rPr>
              <w:t>ICT</w:t>
            </w:r>
            <w:proofErr w:type="spellEnd"/>
            <w:r w:rsidRPr="00251542">
              <w:rPr>
                <w:sz w:val="16"/>
              </w:rPr>
              <w:t>, qui est l</w:t>
            </w:r>
            <w:r w:rsidR="00A20444" w:rsidRPr="00251542">
              <w:rPr>
                <w:sz w:val="16"/>
              </w:rPr>
              <w:t>’</w:t>
            </w:r>
            <w:r w:rsidRPr="00251542">
              <w:rPr>
                <w:sz w:val="16"/>
              </w:rPr>
              <w:t>une des manifestations régulières les plus importantes sur la propriété intellectuelle et le transfert de technologie au Brésil.</w:t>
            </w:r>
          </w:p>
        </w:tc>
      </w:tr>
      <w:tr w:rsidR="004007D3" w:rsidRPr="00251542" w:rsidTr="0056083E">
        <w:trPr>
          <w:trHeight w:val="371"/>
        </w:trPr>
        <w:tc>
          <w:tcPr>
            <w:tcW w:w="1843" w:type="dxa"/>
          </w:tcPr>
          <w:p w:rsidR="004007D3" w:rsidRPr="00251542" w:rsidRDefault="004007D3" w:rsidP="001A5BF9">
            <w:pPr>
              <w:spacing w:after="220"/>
              <w:rPr>
                <w:rFonts w:eastAsia="SimSun"/>
                <w:sz w:val="16"/>
                <w:szCs w:val="16"/>
              </w:rPr>
            </w:pPr>
            <w:r w:rsidRPr="00251542">
              <w:rPr>
                <w:sz w:val="16"/>
              </w:rPr>
              <w:t>Atelier sur la propriété intellectuelle et transfert de technologie dans le cadre des technologies vertes</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22 – 2</w:t>
            </w:r>
            <w:r w:rsidR="00A20444" w:rsidRPr="00251542">
              <w:rPr>
                <w:sz w:val="16"/>
              </w:rPr>
              <w:t>4</w:t>
            </w:r>
            <w:r w:rsidR="00ED7374">
              <w:rPr>
                <w:sz w:val="16"/>
              </w:rPr>
              <w:t xml:space="preserve"> </w:t>
            </w:r>
            <w:r w:rsidR="00A20444" w:rsidRPr="00251542">
              <w:rPr>
                <w:sz w:val="16"/>
              </w:rPr>
              <w:t>octobre</w:t>
            </w:r>
            <w:r w:rsidR="00ED7374">
              <w:rPr>
                <w:sz w:val="16"/>
              </w:rPr>
              <w:t xml:space="preserve"> </w:t>
            </w:r>
            <w:r w:rsidR="00A20444" w:rsidRPr="00251542">
              <w:rPr>
                <w:sz w:val="16"/>
              </w:rPr>
              <w:t>20</w:t>
            </w:r>
            <w:r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Brésil</w:t>
            </w:r>
          </w:p>
        </w:tc>
        <w:tc>
          <w:tcPr>
            <w:tcW w:w="3260" w:type="dxa"/>
          </w:tcPr>
          <w:p w:rsidR="004007D3" w:rsidRPr="00251542" w:rsidRDefault="004007D3" w:rsidP="001A5BF9">
            <w:pPr>
              <w:spacing w:after="220"/>
              <w:rPr>
                <w:rFonts w:eastAsia="SimSun" w:cs="Arial"/>
                <w:sz w:val="16"/>
                <w:szCs w:val="16"/>
              </w:rPr>
            </w:pPr>
            <w:r w:rsidRPr="00251542">
              <w:rPr>
                <w:sz w:val="16"/>
              </w:rPr>
              <w:t xml:space="preserve"> i) Débattre des mécanismes d</w:t>
            </w:r>
            <w:r w:rsidR="00A20444" w:rsidRPr="00251542">
              <w:rPr>
                <w:sz w:val="16"/>
              </w:rPr>
              <w:t>’</w:t>
            </w:r>
            <w:r w:rsidRPr="00251542">
              <w:rPr>
                <w:sz w:val="16"/>
              </w:rPr>
              <w:t>accès aux technologies vertes dans le cadre de la plate</w:t>
            </w:r>
            <w:r w:rsidR="002D6F2A" w:rsidRPr="00251542">
              <w:rPr>
                <w:sz w:val="16"/>
              </w:rPr>
              <w:noBreakHyphen/>
            </w:r>
            <w:r w:rsidRPr="00251542">
              <w:rPr>
                <w:sz w:val="16"/>
              </w:rPr>
              <w:t>forme WIPO GREEN et des enjeux relatifs à la négociation du transfert des technologies vertes;</w:t>
            </w:r>
            <w:r w:rsidR="004F3E42" w:rsidRPr="00251542">
              <w:rPr>
                <w:sz w:val="16"/>
              </w:rPr>
              <w:t xml:space="preserve"> </w:t>
            </w:r>
            <w:r w:rsidR="0010442A" w:rsidRPr="00251542">
              <w:rPr>
                <w:sz w:val="16"/>
              </w:rPr>
              <w:t xml:space="preserve"> </w:t>
            </w:r>
            <w:r w:rsidRPr="00251542">
              <w:rPr>
                <w:sz w:val="16"/>
              </w:rPr>
              <w:t>et ii) présenter des cas d</w:t>
            </w:r>
            <w:r w:rsidR="00A20444" w:rsidRPr="00251542">
              <w:rPr>
                <w:sz w:val="16"/>
              </w:rPr>
              <w:t>’</w:t>
            </w:r>
            <w:r w:rsidRPr="00251542">
              <w:rPr>
                <w:sz w:val="16"/>
              </w:rPr>
              <w:t>entreprise réussis, dans lesquels la gestion de la propriété intellectuelle était centrale pour élaborer des technologies propres et durables</w:t>
            </w:r>
          </w:p>
        </w:tc>
      </w:tr>
      <w:tr w:rsidR="004007D3" w:rsidRPr="00251542" w:rsidTr="0056083E">
        <w:trPr>
          <w:trHeight w:val="371"/>
        </w:trPr>
        <w:tc>
          <w:tcPr>
            <w:tcW w:w="1843" w:type="dxa"/>
          </w:tcPr>
          <w:p w:rsidR="004007D3" w:rsidRPr="00251542" w:rsidRDefault="004007D3" w:rsidP="001A5BF9">
            <w:pPr>
              <w:spacing w:after="220"/>
              <w:rPr>
                <w:rFonts w:eastAsia="SimSun"/>
                <w:sz w:val="16"/>
                <w:szCs w:val="16"/>
              </w:rPr>
            </w:pPr>
            <w:r w:rsidRPr="00251542">
              <w:rPr>
                <w:sz w:val="16"/>
              </w:rPr>
              <w:t>Conférence sur les statistiques de brevets pour les décideurs politiques (</w:t>
            </w:r>
            <w:proofErr w:type="spellStart"/>
            <w:r w:rsidRPr="00251542">
              <w:rPr>
                <w:sz w:val="16"/>
              </w:rPr>
              <w:t>PSDBM</w:t>
            </w:r>
            <w:proofErr w:type="spellEnd"/>
            <w:r w:rsidRPr="00251542">
              <w:rPr>
                <w:sz w:val="16"/>
              </w:rPr>
              <w:t xml:space="preserve"> 2013)</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11 – 1</w:t>
            </w:r>
            <w:r w:rsidR="00A20444" w:rsidRPr="00251542">
              <w:rPr>
                <w:sz w:val="16"/>
              </w:rPr>
              <w:t>3</w:t>
            </w:r>
            <w:r w:rsidR="00ED7374">
              <w:rPr>
                <w:sz w:val="16"/>
              </w:rPr>
              <w:t xml:space="preserve"> </w:t>
            </w:r>
            <w:r w:rsidR="00A20444" w:rsidRPr="00251542">
              <w:rPr>
                <w:sz w:val="16"/>
              </w:rPr>
              <w:t>novembre</w:t>
            </w:r>
            <w:r w:rsidR="00ED7374">
              <w:rPr>
                <w:sz w:val="16"/>
              </w:rPr>
              <w:t xml:space="preserve"> </w:t>
            </w:r>
            <w:r w:rsidR="00A20444" w:rsidRPr="00251542">
              <w:rPr>
                <w:sz w:val="16"/>
              </w:rPr>
              <w:t>20</w:t>
            </w:r>
            <w:r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Brésil</w:t>
            </w:r>
          </w:p>
        </w:tc>
        <w:tc>
          <w:tcPr>
            <w:tcW w:w="3260" w:type="dxa"/>
          </w:tcPr>
          <w:p w:rsidR="004007D3" w:rsidRPr="00251542" w:rsidRDefault="004007D3" w:rsidP="001A5BF9">
            <w:pPr>
              <w:spacing w:after="220"/>
              <w:rPr>
                <w:rFonts w:eastAsia="SimSun" w:cs="Arial"/>
                <w:sz w:val="16"/>
                <w:szCs w:val="16"/>
              </w:rPr>
            </w:pPr>
            <w:r w:rsidRPr="00251542">
              <w:rPr>
                <w:sz w:val="16"/>
              </w:rPr>
              <w:t xml:space="preserve">La </w:t>
            </w:r>
            <w:proofErr w:type="spellStart"/>
            <w:r w:rsidRPr="00251542">
              <w:rPr>
                <w:sz w:val="16"/>
              </w:rPr>
              <w:t>PSDBM</w:t>
            </w:r>
            <w:proofErr w:type="spellEnd"/>
            <w:r w:rsidRPr="00251542">
              <w:rPr>
                <w:sz w:val="16"/>
              </w:rPr>
              <w:t> 2013 a été organisée par l</w:t>
            </w:r>
            <w:r w:rsidR="00A20444" w:rsidRPr="00251542">
              <w:rPr>
                <w:sz w:val="16"/>
              </w:rPr>
              <w:t>’</w:t>
            </w:r>
            <w:r w:rsidRPr="00251542">
              <w:rPr>
                <w:sz w:val="16"/>
              </w:rPr>
              <w:t>Organisation pour la coopération et le développement économiques (OCDE), l</w:t>
            </w:r>
            <w:r w:rsidR="00A20444" w:rsidRPr="00251542">
              <w:rPr>
                <w:sz w:val="16"/>
              </w:rPr>
              <w:t>’</w:t>
            </w:r>
            <w:r w:rsidRPr="00251542">
              <w:rPr>
                <w:sz w:val="16"/>
              </w:rPr>
              <w:t>Office européen des brevets (OEB), l</w:t>
            </w:r>
            <w:r w:rsidR="00A20444" w:rsidRPr="00251542">
              <w:rPr>
                <w:sz w:val="16"/>
              </w:rPr>
              <w:t>’</w:t>
            </w:r>
            <w:r w:rsidRPr="00251542">
              <w:rPr>
                <w:sz w:val="16"/>
              </w:rPr>
              <w:t>Institut national de la propriété industrielle (</w:t>
            </w:r>
            <w:proofErr w:type="spellStart"/>
            <w:r w:rsidRPr="00251542">
              <w:rPr>
                <w:sz w:val="16"/>
              </w:rPr>
              <w:t>INPI</w:t>
            </w:r>
            <w:proofErr w:type="spellEnd"/>
            <w:r w:rsidRPr="00251542">
              <w:rPr>
                <w:sz w:val="16"/>
              </w:rPr>
              <w:t>) du Brésil et l</w:t>
            </w:r>
            <w:r w:rsidR="00A20444" w:rsidRPr="00251542">
              <w:rPr>
                <w:sz w:val="16"/>
              </w:rPr>
              <w:t>’</w:t>
            </w:r>
            <w:r w:rsidRPr="00251542">
              <w:rPr>
                <w:sz w:val="16"/>
              </w:rPr>
              <w:t xml:space="preserve">OMPI. </w:t>
            </w:r>
            <w:r w:rsidR="0010442A" w:rsidRPr="00251542">
              <w:rPr>
                <w:sz w:val="16"/>
              </w:rPr>
              <w:t xml:space="preserve"> </w:t>
            </w:r>
            <w:r w:rsidRPr="00251542">
              <w:rPr>
                <w:sz w:val="16"/>
              </w:rPr>
              <w:t>La conférence a traité de la gestion des demandes de brevet par les offices de propriété intellectuelle, de la relation entre la propriété intellectuelle et la mobilité mondiale du capital humain, de la géographie de l</w:t>
            </w:r>
            <w:r w:rsidR="00A20444" w:rsidRPr="00251542">
              <w:rPr>
                <w:sz w:val="16"/>
              </w:rPr>
              <w:t>’</w:t>
            </w:r>
            <w:r w:rsidRPr="00251542">
              <w:rPr>
                <w:sz w:val="16"/>
              </w:rPr>
              <w:t>innovation et de l</w:t>
            </w:r>
            <w:r w:rsidR="00A20444" w:rsidRPr="00251542">
              <w:rPr>
                <w:sz w:val="16"/>
              </w:rPr>
              <w:t>’</w:t>
            </w:r>
            <w:r w:rsidRPr="00251542">
              <w:rPr>
                <w:sz w:val="16"/>
              </w:rPr>
              <w:t xml:space="preserve">évolution technologique, entre autres thèmes. </w:t>
            </w:r>
            <w:r w:rsidR="0010442A" w:rsidRPr="00251542">
              <w:rPr>
                <w:sz w:val="16"/>
              </w:rPr>
              <w:t xml:space="preserve"> </w:t>
            </w:r>
            <w:r w:rsidRPr="00251542">
              <w:rPr>
                <w:sz w:val="16"/>
              </w:rPr>
              <w:t>En outre, la conférence a offert l</w:t>
            </w:r>
            <w:r w:rsidR="00A20444" w:rsidRPr="00251542">
              <w:rPr>
                <w:sz w:val="16"/>
              </w:rPr>
              <w:t>’</w:t>
            </w:r>
            <w:r w:rsidRPr="00251542">
              <w:rPr>
                <w:sz w:val="16"/>
              </w:rPr>
              <w:t>opportunité d</w:t>
            </w:r>
            <w:r w:rsidR="00A20444" w:rsidRPr="00251542">
              <w:rPr>
                <w:sz w:val="16"/>
              </w:rPr>
              <w:t>’</w:t>
            </w:r>
            <w:r w:rsidRPr="00251542">
              <w:rPr>
                <w:sz w:val="16"/>
              </w:rPr>
              <w:t>élargir la compréhension des statistiques de brevets et de la manière dont elles peuvent faire office d</w:t>
            </w:r>
            <w:r w:rsidR="00A20444" w:rsidRPr="00251542">
              <w:rPr>
                <w:sz w:val="16"/>
              </w:rPr>
              <w:t>’</w:t>
            </w:r>
            <w:r w:rsidRPr="00251542">
              <w:rPr>
                <w:sz w:val="16"/>
              </w:rPr>
              <w:t>instrument pour définir des politiques.</w:t>
            </w:r>
          </w:p>
        </w:tc>
      </w:tr>
      <w:tr w:rsidR="004007D3" w:rsidRPr="00251542" w:rsidTr="0056083E">
        <w:trPr>
          <w:trHeight w:val="371"/>
        </w:trPr>
        <w:tc>
          <w:tcPr>
            <w:tcW w:w="1843" w:type="dxa"/>
          </w:tcPr>
          <w:p w:rsidR="004007D3" w:rsidRPr="00251542" w:rsidRDefault="004007D3" w:rsidP="001A5BF9">
            <w:pPr>
              <w:spacing w:before="120" w:after="220"/>
              <w:rPr>
                <w:rFonts w:eastAsia="SimSun"/>
                <w:sz w:val="16"/>
                <w:szCs w:val="16"/>
              </w:rPr>
            </w:pPr>
            <w:r w:rsidRPr="00251542">
              <w:rPr>
                <w:sz w:val="16"/>
              </w:rPr>
              <w:t>Sixième réunion universitaire sur la propriété intellectuelle, l</w:t>
            </w:r>
            <w:r w:rsidR="00A20444" w:rsidRPr="00251542">
              <w:rPr>
                <w:sz w:val="16"/>
              </w:rPr>
              <w:t>’</w:t>
            </w:r>
            <w:r w:rsidRPr="00251542">
              <w:rPr>
                <w:sz w:val="16"/>
              </w:rPr>
              <w:t>innovation et le développement (</w:t>
            </w:r>
            <w:proofErr w:type="spellStart"/>
            <w:r w:rsidRPr="00251542">
              <w:rPr>
                <w:sz w:val="16"/>
              </w:rPr>
              <w:t>ENAPID</w:t>
            </w:r>
            <w:proofErr w:type="spellEnd"/>
            <w:r w:rsidRPr="00251542">
              <w:rPr>
                <w:sz w:val="16"/>
              </w:rPr>
              <w:t>)</w:t>
            </w:r>
          </w:p>
        </w:tc>
        <w:tc>
          <w:tcPr>
            <w:tcW w:w="1134" w:type="dxa"/>
          </w:tcPr>
          <w:p w:rsidR="004007D3" w:rsidRPr="00251542" w:rsidRDefault="004007D3" w:rsidP="00ED7374">
            <w:pPr>
              <w:autoSpaceDE w:val="0"/>
              <w:autoSpaceDN w:val="0"/>
              <w:adjustRightInd w:val="0"/>
              <w:spacing w:before="120" w:after="120"/>
              <w:rPr>
                <w:rFonts w:cs="Arial"/>
                <w:sz w:val="16"/>
                <w:szCs w:val="16"/>
              </w:rPr>
            </w:pPr>
            <w:r w:rsidRPr="00251542">
              <w:rPr>
                <w:sz w:val="16"/>
              </w:rPr>
              <w:t>26 – 2</w:t>
            </w:r>
            <w:r w:rsidR="00A20444" w:rsidRPr="00251542">
              <w:rPr>
                <w:sz w:val="16"/>
              </w:rPr>
              <w:t>8</w:t>
            </w:r>
            <w:r w:rsidR="00ED7374">
              <w:rPr>
                <w:sz w:val="16"/>
              </w:rPr>
              <w:t xml:space="preserve"> </w:t>
            </w:r>
            <w:r w:rsidR="00A20444" w:rsidRPr="00251542">
              <w:rPr>
                <w:sz w:val="16"/>
              </w:rPr>
              <w:t>novembre</w:t>
            </w:r>
            <w:r w:rsidR="00ED7374">
              <w:rPr>
                <w:sz w:val="16"/>
              </w:rPr>
              <w:t xml:space="preserve"> </w:t>
            </w:r>
            <w:r w:rsidR="00A20444" w:rsidRPr="00251542">
              <w:rPr>
                <w:sz w:val="16"/>
              </w:rPr>
              <w:t>20</w:t>
            </w:r>
            <w:r w:rsidRPr="00251542">
              <w:rPr>
                <w:sz w:val="16"/>
              </w:rPr>
              <w:t>13</w:t>
            </w:r>
          </w:p>
        </w:tc>
        <w:tc>
          <w:tcPr>
            <w:tcW w:w="2835"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Brésil</w:t>
            </w:r>
          </w:p>
        </w:tc>
        <w:tc>
          <w:tcPr>
            <w:tcW w:w="3260" w:type="dxa"/>
          </w:tcPr>
          <w:p w:rsidR="004007D3" w:rsidRPr="00251542" w:rsidRDefault="004007D3" w:rsidP="001A5BF9">
            <w:pPr>
              <w:spacing w:before="120" w:after="220"/>
              <w:rPr>
                <w:rFonts w:eastAsia="SimSun" w:cs="Arial"/>
                <w:sz w:val="16"/>
                <w:szCs w:val="16"/>
              </w:rPr>
            </w:pPr>
            <w:r w:rsidRPr="00251542">
              <w:rPr>
                <w:sz w:val="16"/>
              </w:rPr>
              <w:t>Fournir un forum pour des débats universitaires sur les indications géographiques, les brevets verts, les bureaux de transfert de technologie, les stratégies commerciales et l</w:t>
            </w:r>
            <w:r w:rsidR="00A20444" w:rsidRPr="00251542">
              <w:rPr>
                <w:sz w:val="16"/>
              </w:rPr>
              <w:t>’</w:t>
            </w:r>
            <w:r w:rsidRPr="00251542">
              <w:rPr>
                <w:sz w:val="16"/>
              </w:rPr>
              <w:t xml:space="preserve">enseignement en matière de propriété intellectuelle. </w:t>
            </w:r>
            <w:r w:rsidR="0010442A" w:rsidRPr="00251542">
              <w:rPr>
                <w:sz w:val="16"/>
              </w:rPr>
              <w:t xml:space="preserve"> </w:t>
            </w:r>
            <w:r w:rsidRPr="00251542">
              <w:rPr>
                <w:sz w:val="16"/>
              </w:rPr>
              <w:t>Trois experts internationaux venus de Colombie, du Mexique et d</w:t>
            </w:r>
            <w:r w:rsidR="00A20444" w:rsidRPr="00251542">
              <w:rPr>
                <w:sz w:val="16"/>
              </w:rPr>
              <w:t>’</w:t>
            </w:r>
            <w:r w:rsidRPr="00251542">
              <w:rPr>
                <w:sz w:val="16"/>
              </w:rPr>
              <w:t xml:space="preserve">Uruguay ont participé à la réunion. </w:t>
            </w:r>
            <w:r w:rsidR="0010442A" w:rsidRPr="00251542">
              <w:rPr>
                <w:sz w:val="16"/>
              </w:rPr>
              <w:t xml:space="preserve"> </w:t>
            </w:r>
            <w:r w:rsidRPr="00251542">
              <w:rPr>
                <w:sz w:val="16"/>
              </w:rPr>
              <w:t>Ils ont présenté différentes expériences concernant la gestion des réseaux de propriété intellectuelle et ont également débattu des gains économiques découlant de la protection des indications géographiques.</w:t>
            </w:r>
          </w:p>
        </w:tc>
      </w:tr>
      <w:tr w:rsidR="004007D3" w:rsidRPr="00251542" w:rsidTr="0056083E">
        <w:trPr>
          <w:trHeight w:val="371"/>
        </w:trPr>
        <w:tc>
          <w:tcPr>
            <w:tcW w:w="1843" w:type="dxa"/>
          </w:tcPr>
          <w:p w:rsidR="004007D3" w:rsidRPr="00251542" w:rsidRDefault="004007D3" w:rsidP="001A5BF9">
            <w:pPr>
              <w:spacing w:after="220"/>
              <w:rPr>
                <w:rFonts w:eastAsia="SimSun" w:cs="Arial"/>
                <w:sz w:val="16"/>
                <w:szCs w:val="16"/>
              </w:rPr>
            </w:pPr>
            <w:r w:rsidRPr="00251542">
              <w:rPr>
                <w:sz w:val="16"/>
              </w:rPr>
              <w:t>Cours de niveau intermédiaire pour le classement, la recherche et l</w:t>
            </w:r>
            <w:r w:rsidR="00A20444" w:rsidRPr="00251542">
              <w:rPr>
                <w:sz w:val="16"/>
              </w:rPr>
              <w:t>’</w:t>
            </w:r>
            <w:r w:rsidRPr="00251542">
              <w:rPr>
                <w:sz w:val="16"/>
              </w:rPr>
              <w:t>examen dans le domaine de la chimie et de la pharmacie</w:t>
            </w:r>
          </w:p>
        </w:tc>
        <w:tc>
          <w:tcPr>
            <w:tcW w:w="1134" w:type="dxa"/>
          </w:tcPr>
          <w:p w:rsidR="004007D3" w:rsidRPr="00251542" w:rsidRDefault="004007D3" w:rsidP="00ED7374">
            <w:pPr>
              <w:autoSpaceDE w:val="0"/>
              <w:autoSpaceDN w:val="0"/>
              <w:adjustRightInd w:val="0"/>
              <w:spacing w:after="120"/>
              <w:rPr>
                <w:rFonts w:cs="Arial"/>
                <w:sz w:val="16"/>
                <w:szCs w:val="16"/>
              </w:rPr>
            </w:pPr>
            <w:r w:rsidRPr="00251542">
              <w:rPr>
                <w:sz w:val="16"/>
              </w:rPr>
              <w:t>2</w:t>
            </w:r>
            <w:r w:rsidR="00A20444" w:rsidRPr="00251542">
              <w:rPr>
                <w:sz w:val="16"/>
              </w:rPr>
              <w:t>5</w:t>
            </w:r>
            <w:r w:rsidR="00ED7374">
              <w:rPr>
                <w:sz w:val="16"/>
              </w:rPr>
              <w:t xml:space="preserve"> </w:t>
            </w:r>
            <w:r w:rsidR="00A20444" w:rsidRPr="00251542">
              <w:rPr>
                <w:sz w:val="16"/>
              </w:rPr>
              <w:t>novembre</w:t>
            </w:r>
            <w:r w:rsidRPr="00251542">
              <w:rPr>
                <w:sz w:val="16"/>
              </w:rPr>
              <w:t xml:space="preserve"> – </w:t>
            </w:r>
            <w:r w:rsidR="00A20444" w:rsidRPr="00251542">
              <w:rPr>
                <w:sz w:val="16"/>
              </w:rPr>
              <w:t>5 décembre 20</w:t>
            </w:r>
            <w:r w:rsidRPr="00251542">
              <w:rPr>
                <w:sz w:val="16"/>
              </w:rPr>
              <w:t>13</w:t>
            </w:r>
          </w:p>
        </w:tc>
        <w:tc>
          <w:tcPr>
            <w:tcW w:w="2835" w:type="dxa"/>
          </w:tcPr>
          <w:p w:rsidR="004007D3" w:rsidRPr="00251542" w:rsidRDefault="004007D3" w:rsidP="001A5BF9">
            <w:pPr>
              <w:autoSpaceDE w:val="0"/>
              <w:autoSpaceDN w:val="0"/>
              <w:adjustRightInd w:val="0"/>
              <w:spacing w:after="120"/>
              <w:rPr>
                <w:rFonts w:cs="Arial"/>
                <w:sz w:val="16"/>
                <w:szCs w:val="16"/>
              </w:rPr>
            </w:pPr>
            <w:r w:rsidRPr="00251542">
              <w:rPr>
                <w:sz w:val="16"/>
              </w:rPr>
              <w:t>Brésil/Argentine, Chili, Colombie, Cuba, Équateur, Paraguay, Pérou et Uruguay</w:t>
            </w:r>
          </w:p>
        </w:tc>
        <w:tc>
          <w:tcPr>
            <w:tcW w:w="3260" w:type="dxa"/>
          </w:tcPr>
          <w:p w:rsidR="004007D3" w:rsidRPr="00251542" w:rsidRDefault="004007D3" w:rsidP="001A5BF9">
            <w:pPr>
              <w:spacing w:after="220"/>
              <w:rPr>
                <w:rFonts w:eastAsia="SimSun" w:cs="Arial"/>
                <w:sz w:val="16"/>
                <w:szCs w:val="16"/>
                <w:shd w:val="clear" w:color="000000" w:fill="auto"/>
              </w:rPr>
            </w:pPr>
            <w:r w:rsidRPr="00251542">
              <w:rPr>
                <w:sz w:val="16"/>
              </w:rPr>
              <w:t>Promouvoir l</w:t>
            </w:r>
            <w:r w:rsidR="00A20444" w:rsidRPr="00251542">
              <w:rPr>
                <w:sz w:val="16"/>
              </w:rPr>
              <w:t>’</w:t>
            </w:r>
            <w:r w:rsidRPr="00251542">
              <w:rPr>
                <w:sz w:val="16"/>
              </w:rPr>
              <w:t>échange d</w:t>
            </w:r>
            <w:r w:rsidR="00A20444" w:rsidRPr="00251542">
              <w:rPr>
                <w:sz w:val="16"/>
              </w:rPr>
              <w:t>’</w:t>
            </w:r>
            <w:r w:rsidRPr="00251542">
              <w:rPr>
                <w:sz w:val="16"/>
              </w:rPr>
              <w:t>expériences entre les examinateurs de la région de l</w:t>
            </w:r>
            <w:r w:rsidR="00A20444" w:rsidRPr="00251542">
              <w:rPr>
                <w:sz w:val="16"/>
              </w:rPr>
              <w:t>’</w:t>
            </w:r>
            <w:r w:rsidRPr="00251542">
              <w:rPr>
                <w:sz w:val="16"/>
              </w:rPr>
              <w:t>Amérique latine</w:t>
            </w:r>
          </w:p>
        </w:tc>
      </w:tr>
    </w:tbl>
    <w:p w:rsidR="00D42474" w:rsidRDefault="00D42474" w:rsidP="001A5BF9"/>
    <w:p w:rsidR="00D42474" w:rsidRDefault="00D42474" w:rsidP="001A5BF9">
      <w:pPr>
        <w:tabs>
          <w:tab w:val="left" w:pos="0"/>
          <w:tab w:val="left" w:pos="9071"/>
        </w:tabs>
        <w:rPr>
          <w:rFonts w:cs="Arial"/>
          <w:b/>
          <w:sz w:val="18"/>
          <w:szCs w:val="18"/>
        </w:rPr>
      </w:pPr>
    </w:p>
    <w:p w:rsidR="00D42474" w:rsidRDefault="00D42474" w:rsidP="001A5BF9">
      <w:pPr>
        <w:tabs>
          <w:tab w:val="left" w:pos="0"/>
          <w:tab w:val="left" w:pos="9071"/>
        </w:tabs>
        <w:rPr>
          <w:rFonts w:cs="Arial"/>
          <w:b/>
          <w:sz w:val="18"/>
          <w:szCs w:val="18"/>
        </w:rPr>
      </w:pPr>
    </w:p>
    <w:p w:rsidR="00D42474" w:rsidRDefault="004007D3" w:rsidP="001A5BF9">
      <w:pPr>
        <w:tabs>
          <w:tab w:val="left" w:pos="0"/>
          <w:tab w:val="left" w:pos="9071"/>
        </w:tabs>
        <w:rPr>
          <w:rFonts w:cs="Arial"/>
          <w:b/>
          <w:sz w:val="18"/>
          <w:szCs w:val="18"/>
        </w:rPr>
      </w:pPr>
      <w:r w:rsidRPr="00251542">
        <w:rPr>
          <w:b/>
          <w:sz w:val="18"/>
        </w:rPr>
        <w:t>Brésil – Contributions des donateurs et dépenses en</w:t>
      </w:r>
      <w:r w:rsidR="0010442A" w:rsidRPr="00251542">
        <w:rPr>
          <w:b/>
          <w:sz w:val="18"/>
        </w:rPr>
        <w:t> </w:t>
      </w:r>
      <w:r w:rsidRPr="00251542">
        <w:rPr>
          <w:b/>
          <w:sz w:val="18"/>
        </w:rPr>
        <w:t>2013</w:t>
      </w:r>
      <w:r w:rsidRPr="00251542">
        <w:rPr>
          <w:b/>
          <w:sz w:val="18"/>
          <w:vertAlign w:val="superscript"/>
        </w:rPr>
        <w:t>1</w:t>
      </w:r>
    </w:p>
    <w:p w:rsidR="004007D3" w:rsidRPr="00251542" w:rsidRDefault="004007D3" w:rsidP="001A5BF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4007D3" w:rsidRPr="00251542" w:rsidTr="0056083E">
        <w:trPr>
          <w:trHeight w:val="567"/>
        </w:trPr>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12</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4"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13</w:t>
            </w:r>
          </w:p>
        </w:tc>
      </w:tr>
      <w:tr w:rsidR="004007D3" w:rsidRPr="00251542" w:rsidTr="0056083E">
        <w:trPr>
          <w:trHeight w:val="567"/>
        </w:trPr>
        <w:tc>
          <w:tcPr>
            <w:tcW w:w="184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466 247</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293 548</w:t>
            </w:r>
          </w:p>
        </w:tc>
        <w:tc>
          <w:tcPr>
            <w:tcW w:w="184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269 066</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 </w:t>
            </w:r>
          </w:p>
        </w:tc>
        <w:tc>
          <w:tcPr>
            <w:tcW w:w="1984"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490 730</w:t>
            </w:r>
          </w:p>
        </w:tc>
      </w:tr>
    </w:tbl>
    <w:p w:rsidR="00D42474" w:rsidRDefault="004007D3" w:rsidP="001A5BF9">
      <w:pPr>
        <w:spacing w:before="120"/>
        <w:rPr>
          <w:sz w:val="16"/>
          <w:szCs w:val="16"/>
        </w:rPr>
      </w:pPr>
      <w:r w:rsidRPr="00A36B64">
        <w:rPr>
          <w:i/>
          <w:sz w:val="16"/>
          <w:szCs w:val="16"/>
          <w:vertAlign w:val="superscript"/>
        </w:rPr>
        <w:t>1</w:t>
      </w:r>
      <w:r w:rsidRPr="00A36B64">
        <w:rPr>
          <w:i/>
          <w:sz w:val="16"/>
          <w:szCs w:val="16"/>
        </w:rPr>
        <w:t xml:space="preserve"> </w:t>
      </w:r>
      <w:r w:rsidR="00A36B64">
        <w:rPr>
          <w:i/>
          <w:sz w:val="16"/>
          <w:szCs w:val="16"/>
        </w:rPr>
        <w:t xml:space="preserve"> </w:t>
      </w:r>
      <w:r w:rsidRPr="00A36B64">
        <w:rPr>
          <w:i/>
          <w:sz w:val="16"/>
          <w:szCs w:val="16"/>
        </w:rPr>
        <w:t>États financiers de l</w:t>
      </w:r>
      <w:r w:rsidR="00A20444" w:rsidRPr="00A36B64">
        <w:rPr>
          <w:i/>
          <w:sz w:val="16"/>
          <w:szCs w:val="16"/>
        </w:rPr>
        <w:t>’</w:t>
      </w:r>
      <w:r w:rsidRPr="00A36B64">
        <w:rPr>
          <w:i/>
          <w:sz w:val="16"/>
          <w:szCs w:val="16"/>
        </w:rPr>
        <w:t>OMPI 2013 (annexe III)</w:t>
      </w:r>
    </w:p>
    <w:p w:rsidR="00D42474" w:rsidRDefault="00D42474" w:rsidP="001A5BF9">
      <w:pPr>
        <w:tabs>
          <w:tab w:val="left" w:pos="0"/>
          <w:tab w:val="left" w:pos="9071"/>
        </w:tabs>
        <w:rPr>
          <w:rFonts w:cs="Arial"/>
          <w:b/>
          <w:szCs w:val="20"/>
        </w:rPr>
      </w:pPr>
    </w:p>
    <w:p w:rsidR="00D42474" w:rsidRDefault="00D42474" w:rsidP="001A5BF9">
      <w:pPr>
        <w:tabs>
          <w:tab w:val="left" w:pos="0"/>
          <w:tab w:val="left" w:pos="9071"/>
        </w:tabs>
        <w:rPr>
          <w:rFonts w:cs="Arial"/>
          <w:b/>
          <w:szCs w:val="20"/>
        </w:rPr>
      </w:pPr>
    </w:p>
    <w:p w:rsidR="00D42474" w:rsidRDefault="00D42474" w:rsidP="001A5BF9">
      <w:pPr>
        <w:tabs>
          <w:tab w:val="left" w:pos="0"/>
          <w:tab w:val="left" w:pos="9071"/>
        </w:tabs>
        <w:rPr>
          <w:rFonts w:cs="Arial"/>
          <w:b/>
          <w:szCs w:val="20"/>
        </w:rPr>
      </w:pPr>
    </w:p>
    <w:p w:rsidR="00D42474" w:rsidRDefault="004007D3" w:rsidP="001A5BF9">
      <w:pPr>
        <w:tabs>
          <w:tab w:val="left" w:pos="0"/>
          <w:tab w:val="left" w:pos="9071"/>
        </w:tabs>
        <w:rPr>
          <w:rFonts w:cs="Arial"/>
          <w:b/>
          <w:szCs w:val="20"/>
        </w:rPr>
      </w:pPr>
      <w:r w:rsidRPr="00251542">
        <w:br w:type="page"/>
      </w:r>
      <w:r w:rsidRPr="00251542">
        <w:rPr>
          <w:b/>
        </w:rPr>
        <w:t>UNION EUROPÉENNE (Projet Pakistan)</w:t>
      </w:r>
    </w:p>
    <w:p w:rsidR="004007D3" w:rsidRPr="00251542" w:rsidRDefault="004007D3" w:rsidP="001A5BF9">
      <w:pPr>
        <w:tabs>
          <w:tab w:val="left" w:pos="0"/>
          <w:tab w:val="left" w:pos="9071"/>
        </w:tabs>
        <w:rPr>
          <w:rFonts w:cs="Arial"/>
          <w:b/>
          <w:szCs w:val="20"/>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1559"/>
        <w:gridCol w:w="142"/>
        <w:gridCol w:w="284"/>
        <w:gridCol w:w="1984"/>
        <w:gridCol w:w="3260"/>
      </w:tblGrid>
      <w:tr w:rsidR="004007D3" w:rsidRPr="00251542" w:rsidTr="0056083E">
        <w:tc>
          <w:tcPr>
            <w:tcW w:w="9072" w:type="dxa"/>
            <w:gridSpan w:val="6"/>
            <w:tcBorders>
              <w:top w:val="single" w:sz="4" w:space="0" w:color="auto"/>
              <w:bottom w:val="single" w:sz="4" w:space="0" w:color="auto"/>
            </w:tcBorders>
            <w:shd w:val="clear" w:color="auto" w:fill="CCFFFF"/>
            <w:vAlign w:val="center"/>
          </w:tcPr>
          <w:p w:rsidR="004007D3" w:rsidRPr="00251542" w:rsidRDefault="004007D3" w:rsidP="001A5BF9">
            <w:pPr>
              <w:tabs>
                <w:tab w:val="left" w:pos="0"/>
                <w:tab w:val="left" w:pos="1692"/>
                <w:tab w:val="left" w:pos="9071"/>
              </w:tabs>
              <w:spacing w:before="120" w:after="120"/>
              <w:rPr>
                <w:rFonts w:cs="Arial"/>
                <w:b/>
                <w:bCs/>
                <w:sz w:val="16"/>
                <w:szCs w:val="16"/>
              </w:rPr>
            </w:pPr>
            <w:r w:rsidRPr="00251542">
              <w:rPr>
                <w:b/>
                <w:sz w:val="16"/>
                <w:szCs w:val="16"/>
              </w:rPr>
              <w:t>RÉSULTAT :</w:t>
            </w:r>
            <w:r w:rsidR="0010442A" w:rsidRPr="00251542">
              <w:rPr>
                <w:b/>
                <w:sz w:val="16"/>
                <w:szCs w:val="16"/>
              </w:rPr>
              <w:t xml:space="preserve"> </w:t>
            </w:r>
            <w:r w:rsidRPr="00251542">
              <w:rPr>
                <w:b/>
                <w:sz w:val="16"/>
              </w:rPr>
              <w:tab/>
            </w:r>
            <w:r w:rsidRPr="00251542">
              <w:rPr>
                <w:sz w:val="16"/>
                <w:szCs w:val="16"/>
              </w:rPr>
              <w:t>Cadres législatifs, réglementaires et politiques de propriété intellectuelle adaptés et équilibrés</w:t>
            </w:r>
          </w:p>
        </w:tc>
      </w:tr>
      <w:tr w:rsidR="004007D3" w:rsidRPr="00251542" w:rsidTr="00797A8B">
        <w:tc>
          <w:tcPr>
            <w:tcW w:w="1843" w:type="dxa"/>
            <w:tcBorders>
              <w:top w:val="single" w:sz="4" w:space="0" w:color="auto"/>
            </w:tcBorders>
            <w:vAlign w:val="center"/>
          </w:tcPr>
          <w:p w:rsidR="004007D3" w:rsidRPr="00251542" w:rsidRDefault="004007D3" w:rsidP="001A5BF9">
            <w:pPr>
              <w:keepNext/>
              <w:keepLines/>
              <w:rPr>
                <w:rFonts w:cs="Arial"/>
                <w:b/>
                <w:bCs/>
                <w:sz w:val="16"/>
                <w:szCs w:val="16"/>
              </w:rPr>
            </w:pPr>
            <w:r w:rsidRPr="00251542">
              <w:rPr>
                <w:b/>
                <w:sz w:val="16"/>
              </w:rPr>
              <w:t>Activité</w:t>
            </w:r>
          </w:p>
        </w:tc>
        <w:tc>
          <w:tcPr>
            <w:tcW w:w="1701" w:type="dxa"/>
            <w:gridSpan w:val="2"/>
            <w:tcBorders>
              <w:top w:val="single" w:sz="4" w:space="0" w:color="auto"/>
            </w:tcBorders>
            <w:shd w:val="clear" w:color="auto" w:fill="auto"/>
            <w:tcMar>
              <w:top w:w="110" w:type="dxa"/>
            </w:tcMar>
            <w:vAlign w:val="center"/>
          </w:tcPr>
          <w:p w:rsidR="004007D3" w:rsidRPr="00251542" w:rsidRDefault="004007D3" w:rsidP="001A5BF9">
            <w:pPr>
              <w:keepNext/>
              <w:keepLines/>
              <w:rPr>
                <w:rFonts w:cs="Arial"/>
                <w:sz w:val="16"/>
                <w:szCs w:val="16"/>
              </w:rPr>
            </w:pPr>
            <w:r w:rsidRPr="00251542">
              <w:rPr>
                <w:b/>
                <w:sz w:val="16"/>
              </w:rPr>
              <w:t>Date :</w:t>
            </w:r>
          </w:p>
        </w:tc>
        <w:tc>
          <w:tcPr>
            <w:tcW w:w="2268" w:type="dxa"/>
            <w:gridSpan w:val="2"/>
            <w:tcBorders>
              <w:top w:val="single" w:sz="4" w:space="0" w:color="auto"/>
            </w:tcBorders>
            <w:shd w:val="clear" w:color="auto" w:fill="auto"/>
            <w:tcMar>
              <w:top w:w="110" w:type="dxa"/>
            </w:tcMar>
            <w:vAlign w:val="center"/>
          </w:tcPr>
          <w:p w:rsidR="004007D3" w:rsidRPr="00251542" w:rsidRDefault="004007D3" w:rsidP="001A5BF9">
            <w:pPr>
              <w:keepNext/>
              <w:keepLines/>
              <w:rPr>
                <w:rFonts w:cs="Arial"/>
                <w:sz w:val="16"/>
                <w:szCs w:val="16"/>
              </w:rPr>
            </w:pPr>
            <w:r w:rsidRPr="00251542">
              <w:rPr>
                <w:b/>
                <w:sz w:val="16"/>
              </w:rPr>
              <w:t>Pays hôte/bénéficiaire</w:t>
            </w:r>
          </w:p>
        </w:tc>
        <w:tc>
          <w:tcPr>
            <w:tcW w:w="3260" w:type="dxa"/>
            <w:tcBorders>
              <w:top w:val="single" w:sz="4" w:space="0" w:color="auto"/>
            </w:tcBorders>
            <w:shd w:val="clear" w:color="auto" w:fill="FFFFFF"/>
            <w:tcMar>
              <w:top w:w="110" w:type="dxa"/>
            </w:tcMar>
            <w:vAlign w:val="center"/>
          </w:tcPr>
          <w:p w:rsidR="004007D3" w:rsidRPr="00251542" w:rsidRDefault="004007D3" w:rsidP="001A5BF9">
            <w:pPr>
              <w:keepNext/>
              <w:keepLines/>
              <w:rPr>
                <w:rFonts w:cs="Arial"/>
                <w:sz w:val="16"/>
                <w:szCs w:val="16"/>
              </w:rPr>
            </w:pPr>
            <w:r w:rsidRPr="00251542">
              <w:rPr>
                <w:b/>
                <w:sz w:val="16"/>
              </w:rPr>
              <w:t>Objectif(s)/description(s)</w:t>
            </w:r>
          </w:p>
        </w:tc>
      </w:tr>
      <w:tr w:rsidR="004007D3" w:rsidRPr="00251542" w:rsidTr="00797A8B">
        <w:trPr>
          <w:trHeight w:val="49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Dernières consultations avec les parties prenantes nationales sur la protection des modèles d</w:t>
            </w:r>
            <w:r w:rsidR="00A20444" w:rsidRPr="00251542">
              <w:rPr>
                <w:sz w:val="16"/>
              </w:rPr>
              <w:t>’</w:t>
            </w:r>
            <w:r w:rsidRPr="00251542">
              <w:rPr>
                <w:sz w:val="16"/>
              </w:rPr>
              <w:t>utilité</w:t>
            </w:r>
          </w:p>
        </w:tc>
        <w:tc>
          <w:tcPr>
            <w:tcW w:w="1701"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25</w:t>
            </w:r>
            <w:r w:rsidR="002D6F2A" w:rsidRPr="00251542">
              <w:rPr>
                <w:sz w:val="16"/>
              </w:rPr>
              <w:noBreakHyphen/>
            </w:r>
            <w:r w:rsidRPr="00251542">
              <w:rPr>
                <w:sz w:val="16"/>
              </w:rPr>
              <w:t>26 février 2013</w:t>
            </w:r>
          </w:p>
        </w:tc>
        <w:tc>
          <w:tcPr>
            <w:tcW w:w="2268" w:type="dxa"/>
            <w:gridSpan w:val="2"/>
          </w:tcPr>
          <w:p w:rsidR="00D42474" w:rsidRDefault="004007D3" w:rsidP="001A5BF9">
            <w:pPr>
              <w:autoSpaceDE w:val="0"/>
              <w:autoSpaceDN w:val="0"/>
              <w:adjustRightInd w:val="0"/>
              <w:spacing w:before="120" w:after="120"/>
              <w:rPr>
                <w:rFonts w:cs="Arial"/>
                <w:sz w:val="16"/>
                <w:szCs w:val="16"/>
              </w:rPr>
            </w:pPr>
            <w:r w:rsidRPr="00251542">
              <w:rPr>
                <w:sz w:val="16"/>
              </w:rPr>
              <w:t>Pakistan</w:t>
            </w:r>
          </w:p>
          <w:p w:rsidR="004007D3" w:rsidRPr="00251542" w:rsidRDefault="004007D3" w:rsidP="001A5BF9">
            <w:pPr>
              <w:autoSpaceDE w:val="0"/>
              <w:autoSpaceDN w:val="0"/>
              <w:adjustRightInd w:val="0"/>
              <w:spacing w:before="120" w:after="120"/>
              <w:rPr>
                <w:rFonts w:cs="Arial"/>
                <w:sz w:val="16"/>
                <w:szCs w:val="16"/>
              </w:rPr>
            </w:pPr>
            <w:r w:rsidRPr="00251542">
              <w:rPr>
                <w:sz w:val="16"/>
              </w:rPr>
              <w:t>17 participants</w:t>
            </w:r>
          </w:p>
        </w:tc>
        <w:tc>
          <w:tcPr>
            <w:tcW w:w="3260"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 xml:space="preserve">i) Présenter le document finalisé </w:t>
            </w:r>
            <w:r w:rsidR="0010442A" w:rsidRPr="00251542">
              <w:rPr>
                <w:sz w:val="16"/>
              </w:rPr>
              <w:t>“</w:t>
            </w:r>
            <w:r w:rsidRPr="00251542">
              <w:rPr>
                <w:sz w:val="16"/>
              </w:rPr>
              <w:t>Protection des modèles d</w:t>
            </w:r>
            <w:r w:rsidR="00A20444" w:rsidRPr="00251542">
              <w:rPr>
                <w:sz w:val="16"/>
              </w:rPr>
              <w:t>’</w:t>
            </w:r>
            <w:r w:rsidRPr="00251542">
              <w:rPr>
                <w:sz w:val="16"/>
              </w:rPr>
              <w:t>utilité au Pakistan – option pour stimuler l</w:t>
            </w:r>
            <w:r w:rsidR="00A20444" w:rsidRPr="00251542">
              <w:rPr>
                <w:sz w:val="16"/>
              </w:rPr>
              <w:t>’</w:t>
            </w:r>
            <w:r w:rsidRPr="00251542">
              <w:rPr>
                <w:sz w:val="16"/>
              </w:rPr>
              <w:t>innovation progressive</w:t>
            </w:r>
            <w:r w:rsidR="0010442A" w:rsidRPr="00251542">
              <w:rPr>
                <w:sz w:val="16"/>
              </w:rPr>
              <w:t xml:space="preserve">”; </w:t>
            </w:r>
            <w:r w:rsidR="004F3E42" w:rsidRPr="00251542">
              <w:rPr>
                <w:sz w:val="16"/>
              </w:rPr>
              <w:t xml:space="preserve"> </w:t>
            </w:r>
            <w:r w:rsidRPr="00251542">
              <w:rPr>
                <w:sz w:val="16"/>
              </w:rPr>
              <w:t>et ii) débattre des recommandations du document et de la marche à suivre</w:t>
            </w:r>
          </w:p>
        </w:tc>
      </w:tr>
      <w:tr w:rsidR="004007D3" w:rsidRPr="00251542" w:rsidTr="00797A8B">
        <w:trPr>
          <w:trHeight w:val="495"/>
        </w:trPr>
        <w:tc>
          <w:tcPr>
            <w:tcW w:w="1843" w:type="dxa"/>
          </w:tcPr>
          <w:p w:rsidR="00D42474" w:rsidRDefault="004007D3" w:rsidP="001A5BF9">
            <w:pPr>
              <w:autoSpaceDE w:val="0"/>
              <w:autoSpaceDN w:val="0"/>
              <w:adjustRightInd w:val="0"/>
              <w:spacing w:before="120" w:after="120"/>
              <w:rPr>
                <w:rFonts w:cs="Arial"/>
                <w:sz w:val="16"/>
                <w:szCs w:val="16"/>
              </w:rPr>
            </w:pPr>
            <w:r w:rsidRPr="00251542">
              <w:rPr>
                <w:sz w:val="16"/>
              </w:rPr>
              <w:t>Mission d</w:t>
            </w:r>
            <w:r w:rsidR="00A20444" w:rsidRPr="00251542">
              <w:rPr>
                <w:sz w:val="16"/>
              </w:rPr>
              <w:t>’</w:t>
            </w:r>
            <w:r w:rsidRPr="00251542">
              <w:rPr>
                <w:sz w:val="16"/>
              </w:rPr>
              <w:t>experts sur la création d</w:t>
            </w:r>
            <w:r w:rsidR="00A20444" w:rsidRPr="00251542">
              <w:rPr>
                <w:sz w:val="16"/>
              </w:rPr>
              <w:t>’</w:t>
            </w:r>
            <w:r w:rsidRPr="00251542">
              <w:rPr>
                <w:sz w:val="16"/>
              </w:rPr>
              <w:t>un programme relatif à la propriété intellectuelle dans les facultés de droit et d</w:t>
            </w:r>
            <w:r w:rsidR="00A20444" w:rsidRPr="00251542">
              <w:rPr>
                <w:sz w:val="16"/>
              </w:rPr>
              <w:t>’</w:t>
            </w:r>
            <w:r w:rsidRPr="00251542">
              <w:rPr>
                <w:sz w:val="16"/>
              </w:rPr>
              <w:t>économie ainsi que dans les écoles d</w:t>
            </w:r>
            <w:r w:rsidR="00A20444" w:rsidRPr="00251542">
              <w:rPr>
                <w:sz w:val="16"/>
              </w:rPr>
              <w:t>’</w:t>
            </w:r>
            <w:r w:rsidRPr="00251542">
              <w:rPr>
                <w:sz w:val="16"/>
              </w:rPr>
              <w:t>ingénieurs</w:t>
            </w:r>
          </w:p>
          <w:p w:rsidR="004007D3" w:rsidRPr="00251542" w:rsidRDefault="004007D3" w:rsidP="001A5BF9">
            <w:pPr>
              <w:autoSpaceDE w:val="0"/>
              <w:autoSpaceDN w:val="0"/>
              <w:adjustRightInd w:val="0"/>
              <w:spacing w:before="120" w:after="120"/>
              <w:rPr>
                <w:rFonts w:cs="Arial"/>
                <w:sz w:val="16"/>
                <w:szCs w:val="16"/>
              </w:rPr>
            </w:pPr>
          </w:p>
        </w:tc>
        <w:tc>
          <w:tcPr>
            <w:tcW w:w="1701" w:type="dxa"/>
            <w:gridSpan w:val="2"/>
          </w:tcPr>
          <w:p w:rsidR="004007D3" w:rsidRPr="00251542" w:rsidRDefault="004007D3" w:rsidP="00ED7374">
            <w:pPr>
              <w:autoSpaceDE w:val="0"/>
              <w:autoSpaceDN w:val="0"/>
              <w:adjustRightInd w:val="0"/>
              <w:spacing w:before="120" w:after="120"/>
              <w:rPr>
                <w:rFonts w:cs="Arial"/>
                <w:sz w:val="16"/>
                <w:szCs w:val="16"/>
              </w:rPr>
            </w:pPr>
            <w:r w:rsidRPr="00251542">
              <w:rPr>
                <w:sz w:val="16"/>
              </w:rPr>
              <w:t>25 février</w:t>
            </w:r>
            <w:r w:rsidR="002D6F2A" w:rsidRPr="00251542">
              <w:rPr>
                <w:sz w:val="16"/>
              </w:rPr>
              <w:noBreakHyphen/>
            </w:r>
            <w:r w:rsidR="00A20444" w:rsidRPr="00251542">
              <w:rPr>
                <w:sz w:val="16"/>
              </w:rPr>
              <w:t>1</w:t>
            </w:r>
            <w:r w:rsidR="00A20444" w:rsidRPr="00251542">
              <w:rPr>
                <w:sz w:val="16"/>
                <w:vertAlign w:val="superscript"/>
              </w:rPr>
              <w:t>er</w:t>
            </w:r>
            <w:r w:rsidR="00A20444" w:rsidRPr="00251542">
              <w:rPr>
                <w:sz w:val="16"/>
              </w:rPr>
              <w:t> </w:t>
            </w:r>
            <w:r w:rsidRPr="00251542">
              <w:rPr>
                <w:sz w:val="16"/>
              </w:rPr>
              <w:t>mars</w:t>
            </w:r>
            <w:r w:rsidR="00ED7374">
              <w:rPr>
                <w:sz w:val="16"/>
              </w:rPr>
              <w:t xml:space="preserve"> </w:t>
            </w:r>
            <w:r w:rsidRPr="00251542">
              <w:rPr>
                <w:sz w:val="16"/>
              </w:rPr>
              <w:t>2013</w:t>
            </w:r>
          </w:p>
        </w:tc>
        <w:tc>
          <w:tcPr>
            <w:tcW w:w="2268" w:type="dxa"/>
            <w:gridSpan w:val="2"/>
          </w:tcPr>
          <w:p w:rsidR="00D42474" w:rsidRDefault="004007D3" w:rsidP="001A5BF9">
            <w:pPr>
              <w:autoSpaceDE w:val="0"/>
              <w:autoSpaceDN w:val="0"/>
              <w:adjustRightInd w:val="0"/>
              <w:spacing w:before="120" w:after="120"/>
              <w:rPr>
                <w:sz w:val="16"/>
              </w:rPr>
            </w:pPr>
            <w:r w:rsidRPr="00251542">
              <w:rPr>
                <w:sz w:val="16"/>
              </w:rPr>
              <w:t>Pakistan</w:t>
            </w:r>
          </w:p>
          <w:p w:rsidR="004007D3" w:rsidRPr="00251542" w:rsidRDefault="004007D3" w:rsidP="001A5BF9">
            <w:pPr>
              <w:autoSpaceDE w:val="0"/>
              <w:autoSpaceDN w:val="0"/>
              <w:adjustRightInd w:val="0"/>
              <w:spacing w:before="120" w:after="120"/>
              <w:rPr>
                <w:rFonts w:cs="Arial"/>
                <w:sz w:val="16"/>
                <w:szCs w:val="16"/>
              </w:rPr>
            </w:pPr>
            <w:r w:rsidRPr="00251542">
              <w:rPr>
                <w:sz w:val="16"/>
              </w:rPr>
              <w:t>13 participants</w:t>
            </w:r>
          </w:p>
        </w:tc>
        <w:tc>
          <w:tcPr>
            <w:tcW w:w="3260"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i) Se concerter avec les autorités pédagogiques et les administrations chargées de la propriété intellectuelle sur l</w:t>
            </w:r>
            <w:r w:rsidR="00A20444" w:rsidRPr="00251542">
              <w:rPr>
                <w:sz w:val="16"/>
              </w:rPr>
              <w:t>’</w:t>
            </w:r>
            <w:r w:rsidRPr="00251542">
              <w:rPr>
                <w:sz w:val="16"/>
              </w:rPr>
              <w:t>état actuel de l</w:t>
            </w:r>
            <w:r w:rsidR="00A20444" w:rsidRPr="00251542">
              <w:rPr>
                <w:sz w:val="16"/>
              </w:rPr>
              <w:t>’</w:t>
            </w:r>
            <w:r w:rsidRPr="00251542">
              <w:rPr>
                <w:sz w:val="16"/>
              </w:rPr>
              <w:t>enseignement sur la propriété dans les facultés de droit et d</w:t>
            </w:r>
            <w:r w:rsidR="00A20444" w:rsidRPr="00251542">
              <w:rPr>
                <w:sz w:val="16"/>
              </w:rPr>
              <w:t>’</w:t>
            </w:r>
            <w:r w:rsidRPr="00251542">
              <w:rPr>
                <w:sz w:val="16"/>
              </w:rPr>
              <w:t>économie ainsi que dans les écoles d</w:t>
            </w:r>
            <w:r w:rsidR="00A20444" w:rsidRPr="00251542">
              <w:rPr>
                <w:sz w:val="16"/>
              </w:rPr>
              <w:t>’</w:t>
            </w:r>
            <w:r w:rsidRPr="00251542">
              <w:rPr>
                <w:sz w:val="16"/>
              </w:rPr>
              <w:t>ingénieurs au Pakistan;</w:t>
            </w:r>
            <w:r w:rsidR="004F3E42" w:rsidRPr="00251542">
              <w:rPr>
                <w:sz w:val="16"/>
              </w:rPr>
              <w:t xml:space="preserve"> </w:t>
            </w:r>
            <w:r w:rsidR="0010442A" w:rsidRPr="00251542">
              <w:rPr>
                <w:sz w:val="16"/>
              </w:rPr>
              <w:t xml:space="preserve"> </w:t>
            </w:r>
            <w:r w:rsidRPr="00251542">
              <w:rPr>
                <w:sz w:val="16"/>
              </w:rPr>
              <w:t>ii) définir les exigences de ces universités en ce qui concerne la création d</w:t>
            </w:r>
            <w:r w:rsidR="00A20444" w:rsidRPr="00251542">
              <w:rPr>
                <w:sz w:val="16"/>
              </w:rPr>
              <w:t>’</w:t>
            </w:r>
            <w:r w:rsidRPr="00251542">
              <w:rPr>
                <w:sz w:val="16"/>
              </w:rPr>
              <w:t>un programme relatif à la propriété intellectuelle;</w:t>
            </w:r>
            <w:r w:rsidR="004F3E42" w:rsidRPr="00251542">
              <w:rPr>
                <w:sz w:val="16"/>
              </w:rPr>
              <w:t xml:space="preserve"> </w:t>
            </w:r>
            <w:r w:rsidR="0010442A" w:rsidRPr="00251542">
              <w:rPr>
                <w:sz w:val="16"/>
              </w:rPr>
              <w:t xml:space="preserve"> </w:t>
            </w:r>
            <w:r w:rsidRPr="00251542">
              <w:rPr>
                <w:sz w:val="16"/>
              </w:rPr>
              <w:t>et iii) élaborer un programme relatif à la propriété intellectuelle approprié, sur la base des conclusions, y compris les objectifs de formation et le contenu ainsi que la structure des cours</w:t>
            </w:r>
          </w:p>
        </w:tc>
      </w:tr>
      <w:tr w:rsidR="004007D3" w:rsidRPr="00251542" w:rsidTr="00797A8B">
        <w:trPr>
          <w:trHeight w:val="49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Dernières consultations avec les parties prenantes nationales quant aux choix de marque pour un produit horticole (</w:t>
            </w:r>
            <w:proofErr w:type="spellStart"/>
            <w:r w:rsidRPr="00251542">
              <w:rPr>
                <w:sz w:val="16"/>
              </w:rPr>
              <w:t>Kinnow</w:t>
            </w:r>
            <w:proofErr w:type="spellEnd"/>
            <w:r w:rsidRPr="00251542">
              <w:rPr>
                <w:sz w:val="16"/>
              </w:rPr>
              <w:t>) via l</w:t>
            </w:r>
            <w:r w:rsidR="00A20444" w:rsidRPr="00251542">
              <w:rPr>
                <w:sz w:val="16"/>
              </w:rPr>
              <w:t>’</w:t>
            </w:r>
            <w:r w:rsidRPr="00251542">
              <w:rPr>
                <w:sz w:val="16"/>
              </w:rPr>
              <w:t>utilisation d</w:t>
            </w:r>
            <w:r w:rsidR="00A20444" w:rsidRPr="00251542">
              <w:rPr>
                <w:sz w:val="16"/>
              </w:rPr>
              <w:t>’</w:t>
            </w:r>
            <w:r w:rsidRPr="00251542">
              <w:rPr>
                <w:sz w:val="16"/>
              </w:rPr>
              <w:t>instruments de propriété intellectuelle</w:t>
            </w:r>
          </w:p>
        </w:tc>
        <w:tc>
          <w:tcPr>
            <w:tcW w:w="1701" w:type="dxa"/>
            <w:gridSpan w:val="2"/>
          </w:tcPr>
          <w:p w:rsidR="00D42474" w:rsidRDefault="004007D3" w:rsidP="001A5BF9">
            <w:pPr>
              <w:autoSpaceDE w:val="0"/>
              <w:autoSpaceDN w:val="0"/>
              <w:adjustRightInd w:val="0"/>
              <w:spacing w:before="120" w:after="120"/>
              <w:rPr>
                <w:rFonts w:cs="Arial"/>
                <w:sz w:val="16"/>
                <w:szCs w:val="16"/>
              </w:rPr>
            </w:pPr>
            <w:r w:rsidRPr="00251542">
              <w:rPr>
                <w:sz w:val="16"/>
              </w:rPr>
              <w:t>8</w:t>
            </w:r>
            <w:r w:rsidR="002D6F2A" w:rsidRPr="00251542">
              <w:rPr>
                <w:sz w:val="16"/>
              </w:rPr>
              <w:noBreakHyphen/>
            </w:r>
            <w:r w:rsidRPr="00251542">
              <w:rPr>
                <w:sz w:val="16"/>
              </w:rPr>
              <w:t>11 mars 2013</w:t>
            </w:r>
          </w:p>
          <w:p w:rsidR="004007D3" w:rsidRPr="00251542" w:rsidRDefault="004007D3" w:rsidP="001A5BF9">
            <w:pPr>
              <w:autoSpaceDE w:val="0"/>
              <w:autoSpaceDN w:val="0"/>
              <w:adjustRightInd w:val="0"/>
              <w:spacing w:before="120" w:after="120"/>
              <w:rPr>
                <w:rFonts w:cs="Arial"/>
                <w:sz w:val="16"/>
                <w:szCs w:val="16"/>
              </w:rPr>
            </w:pPr>
          </w:p>
        </w:tc>
        <w:tc>
          <w:tcPr>
            <w:tcW w:w="2268" w:type="dxa"/>
            <w:gridSpan w:val="2"/>
          </w:tcPr>
          <w:p w:rsidR="00D42474" w:rsidRDefault="004007D3" w:rsidP="001A5BF9">
            <w:pPr>
              <w:autoSpaceDE w:val="0"/>
              <w:autoSpaceDN w:val="0"/>
              <w:adjustRightInd w:val="0"/>
              <w:spacing w:before="120" w:after="120"/>
              <w:rPr>
                <w:rFonts w:cs="Arial"/>
                <w:sz w:val="16"/>
                <w:szCs w:val="16"/>
              </w:rPr>
            </w:pPr>
            <w:r w:rsidRPr="00251542">
              <w:rPr>
                <w:sz w:val="16"/>
              </w:rPr>
              <w:t>Pakistan</w:t>
            </w:r>
          </w:p>
          <w:p w:rsidR="004007D3" w:rsidRPr="00251542" w:rsidRDefault="004007D3" w:rsidP="001A5BF9">
            <w:pPr>
              <w:autoSpaceDE w:val="0"/>
              <w:autoSpaceDN w:val="0"/>
              <w:adjustRightInd w:val="0"/>
              <w:spacing w:before="120" w:after="120"/>
              <w:rPr>
                <w:rFonts w:cs="Arial"/>
                <w:sz w:val="16"/>
                <w:szCs w:val="16"/>
              </w:rPr>
            </w:pPr>
            <w:r w:rsidRPr="00251542">
              <w:rPr>
                <w:sz w:val="16"/>
              </w:rPr>
              <w:t>Plus de 50 participants</w:t>
            </w:r>
            <w:r w:rsidRPr="00251542">
              <w:br/>
            </w:r>
          </w:p>
        </w:tc>
        <w:tc>
          <w:tcPr>
            <w:tcW w:w="3260"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 xml:space="preserve">i) Présenter le projet de document sur </w:t>
            </w:r>
            <w:proofErr w:type="spellStart"/>
            <w:r w:rsidRPr="00251542">
              <w:rPr>
                <w:sz w:val="16"/>
              </w:rPr>
              <w:t>Kinnow</w:t>
            </w:r>
            <w:proofErr w:type="spellEnd"/>
            <w:r w:rsidRPr="00251542">
              <w:rPr>
                <w:sz w:val="16"/>
              </w:rPr>
              <w:t>;</w:t>
            </w:r>
            <w:r w:rsidR="0010442A" w:rsidRPr="00251542">
              <w:rPr>
                <w:sz w:val="16"/>
              </w:rPr>
              <w:t xml:space="preserve"> </w:t>
            </w:r>
            <w:r w:rsidR="004F3E42" w:rsidRPr="00251542">
              <w:rPr>
                <w:sz w:val="16"/>
              </w:rPr>
              <w:t xml:space="preserve"> </w:t>
            </w:r>
            <w:r w:rsidRPr="00251542">
              <w:rPr>
                <w:sz w:val="16"/>
              </w:rPr>
              <w:t>ii) réviser et analyser des données supplémentaires en vue de finaliser le document, y compris le potentiel commercial et les mécanismes institutionnels;</w:t>
            </w:r>
            <w:r w:rsidR="004F3E42" w:rsidRPr="00251542">
              <w:rPr>
                <w:sz w:val="16"/>
              </w:rPr>
              <w:t xml:space="preserve"> </w:t>
            </w:r>
            <w:r w:rsidR="0010442A" w:rsidRPr="00251542">
              <w:rPr>
                <w:sz w:val="16"/>
              </w:rPr>
              <w:t xml:space="preserve"> </w:t>
            </w:r>
            <w:r w:rsidRPr="00251542">
              <w:rPr>
                <w:sz w:val="16"/>
              </w:rPr>
              <w:t>iii)</w:t>
            </w:r>
            <w:r w:rsidR="0010442A" w:rsidRPr="00251542">
              <w:rPr>
                <w:sz w:val="16"/>
              </w:rPr>
              <w:t> </w:t>
            </w:r>
            <w:r w:rsidRPr="00251542">
              <w:rPr>
                <w:sz w:val="16"/>
              </w:rPr>
              <w:t>discuter de l</w:t>
            </w:r>
            <w:r w:rsidR="00A20444" w:rsidRPr="00251542">
              <w:rPr>
                <w:sz w:val="16"/>
              </w:rPr>
              <w:t>’</w:t>
            </w:r>
            <w:r w:rsidRPr="00251542">
              <w:rPr>
                <w:sz w:val="16"/>
              </w:rPr>
              <w:t>utilisation éventuelle de marques collectives/de certification et des indications géographiques;</w:t>
            </w:r>
            <w:r w:rsidR="004F3E42" w:rsidRPr="00251542">
              <w:rPr>
                <w:sz w:val="16"/>
              </w:rPr>
              <w:t xml:space="preserve"> </w:t>
            </w:r>
            <w:r w:rsidR="0010442A" w:rsidRPr="00251542">
              <w:rPr>
                <w:sz w:val="16"/>
              </w:rPr>
              <w:t xml:space="preserve"> </w:t>
            </w:r>
            <w:r w:rsidRPr="00251542">
              <w:rPr>
                <w:sz w:val="16"/>
              </w:rPr>
              <w:t>et iv) évoquer le plan d</w:t>
            </w:r>
            <w:r w:rsidR="00A20444" w:rsidRPr="00251542">
              <w:rPr>
                <w:sz w:val="16"/>
              </w:rPr>
              <w:t>’</w:t>
            </w:r>
            <w:r w:rsidRPr="00251542">
              <w:rPr>
                <w:sz w:val="16"/>
              </w:rPr>
              <w:t>action et les étapes suivantes</w:t>
            </w:r>
          </w:p>
        </w:tc>
      </w:tr>
      <w:tr w:rsidR="004007D3" w:rsidRPr="00251542" w:rsidTr="00797A8B">
        <w:trPr>
          <w:trHeight w:val="49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Dernières consultations avec les parties prenantes nationales quant à la création d</w:t>
            </w:r>
            <w:r w:rsidR="00A20444" w:rsidRPr="00251542">
              <w:rPr>
                <w:sz w:val="16"/>
              </w:rPr>
              <w:t>’</w:t>
            </w:r>
            <w:r w:rsidRPr="00251542">
              <w:rPr>
                <w:sz w:val="16"/>
              </w:rPr>
              <w:t>un organisme de gestion collective (</w:t>
            </w:r>
            <w:proofErr w:type="spellStart"/>
            <w:r w:rsidRPr="00251542">
              <w:rPr>
                <w:sz w:val="16"/>
              </w:rPr>
              <w:t>OGC</w:t>
            </w:r>
            <w:proofErr w:type="spellEnd"/>
            <w:r w:rsidRPr="00251542">
              <w:rPr>
                <w:sz w:val="16"/>
              </w:rPr>
              <w:t>)</w:t>
            </w:r>
            <w:r w:rsidRPr="00251542">
              <w:br/>
            </w:r>
          </w:p>
        </w:tc>
        <w:tc>
          <w:tcPr>
            <w:tcW w:w="1701" w:type="dxa"/>
            <w:gridSpan w:val="2"/>
          </w:tcPr>
          <w:p w:rsidR="00D42474" w:rsidRDefault="004007D3" w:rsidP="001A5BF9">
            <w:pPr>
              <w:autoSpaceDE w:val="0"/>
              <w:autoSpaceDN w:val="0"/>
              <w:adjustRightInd w:val="0"/>
              <w:spacing w:before="120" w:after="120"/>
              <w:rPr>
                <w:rFonts w:cs="Arial"/>
                <w:sz w:val="16"/>
                <w:szCs w:val="16"/>
              </w:rPr>
            </w:pPr>
            <w:r w:rsidRPr="00251542">
              <w:rPr>
                <w:sz w:val="16"/>
              </w:rPr>
              <w:t>12</w:t>
            </w:r>
            <w:r w:rsidR="002D6F2A" w:rsidRPr="00251542">
              <w:rPr>
                <w:sz w:val="16"/>
              </w:rPr>
              <w:noBreakHyphen/>
            </w:r>
            <w:r w:rsidRPr="00251542">
              <w:rPr>
                <w:sz w:val="16"/>
              </w:rPr>
              <w:t>13 mars 2013</w:t>
            </w:r>
          </w:p>
          <w:p w:rsidR="004007D3" w:rsidRPr="00251542" w:rsidRDefault="004007D3" w:rsidP="001A5BF9">
            <w:pPr>
              <w:autoSpaceDE w:val="0"/>
              <w:autoSpaceDN w:val="0"/>
              <w:adjustRightInd w:val="0"/>
              <w:spacing w:before="120" w:after="120"/>
              <w:rPr>
                <w:rFonts w:cs="Arial"/>
                <w:sz w:val="16"/>
                <w:szCs w:val="16"/>
              </w:rPr>
            </w:pPr>
          </w:p>
        </w:tc>
        <w:tc>
          <w:tcPr>
            <w:tcW w:w="2268" w:type="dxa"/>
            <w:gridSpan w:val="2"/>
          </w:tcPr>
          <w:p w:rsidR="00D42474" w:rsidRDefault="004007D3" w:rsidP="001A5BF9">
            <w:pPr>
              <w:autoSpaceDE w:val="0"/>
              <w:autoSpaceDN w:val="0"/>
              <w:adjustRightInd w:val="0"/>
              <w:spacing w:before="120" w:after="120"/>
              <w:rPr>
                <w:rFonts w:cs="Arial"/>
                <w:sz w:val="16"/>
                <w:szCs w:val="16"/>
              </w:rPr>
            </w:pPr>
            <w:r w:rsidRPr="00251542">
              <w:rPr>
                <w:sz w:val="16"/>
              </w:rPr>
              <w:t>Pakistan</w:t>
            </w:r>
          </w:p>
          <w:p w:rsidR="004007D3" w:rsidRPr="00251542" w:rsidRDefault="004007D3" w:rsidP="001A5BF9">
            <w:pPr>
              <w:autoSpaceDE w:val="0"/>
              <w:autoSpaceDN w:val="0"/>
              <w:adjustRightInd w:val="0"/>
              <w:spacing w:before="120" w:after="120"/>
              <w:rPr>
                <w:rFonts w:cs="Arial"/>
                <w:sz w:val="16"/>
                <w:szCs w:val="16"/>
              </w:rPr>
            </w:pPr>
            <w:r w:rsidRPr="00251542">
              <w:rPr>
                <w:sz w:val="16"/>
              </w:rPr>
              <w:t>43 participants</w:t>
            </w:r>
            <w:r w:rsidRPr="00251542">
              <w:br/>
            </w:r>
          </w:p>
        </w:tc>
        <w:tc>
          <w:tcPr>
            <w:tcW w:w="3260" w:type="dxa"/>
          </w:tcPr>
          <w:p w:rsidR="00D42474" w:rsidRDefault="004007D3" w:rsidP="001A5BF9">
            <w:pPr>
              <w:autoSpaceDE w:val="0"/>
              <w:autoSpaceDN w:val="0"/>
              <w:adjustRightInd w:val="0"/>
              <w:spacing w:before="120" w:after="120"/>
              <w:rPr>
                <w:rFonts w:cs="Arial"/>
                <w:sz w:val="16"/>
                <w:szCs w:val="16"/>
              </w:rPr>
            </w:pPr>
            <w:r w:rsidRPr="00251542">
              <w:rPr>
                <w:sz w:val="16"/>
              </w:rPr>
              <w:t>i) Présenter l</w:t>
            </w:r>
            <w:r w:rsidR="00A20444" w:rsidRPr="00251542">
              <w:rPr>
                <w:sz w:val="16"/>
              </w:rPr>
              <w:t>’</w:t>
            </w:r>
            <w:r w:rsidRPr="00251542">
              <w:rPr>
                <w:sz w:val="16"/>
              </w:rPr>
              <w:t>étude actualisée sur la création d</w:t>
            </w:r>
            <w:r w:rsidR="00A20444" w:rsidRPr="00251542">
              <w:rPr>
                <w:sz w:val="16"/>
              </w:rPr>
              <w:t>’</w:t>
            </w:r>
            <w:r w:rsidRPr="00251542">
              <w:rPr>
                <w:sz w:val="16"/>
              </w:rPr>
              <w:t>un </w:t>
            </w:r>
            <w:proofErr w:type="spellStart"/>
            <w:r w:rsidRPr="00251542">
              <w:rPr>
                <w:sz w:val="16"/>
              </w:rPr>
              <w:t>OGC</w:t>
            </w:r>
            <w:proofErr w:type="spellEnd"/>
            <w:r w:rsidRPr="00251542">
              <w:rPr>
                <w:sz w:val="16"/>
              </w:rPr>
              <w:t xml:space="preserve"> au Pakistan;</w:t>
            </w:r>
            <w:r w:rsidR="004F3E42" w:rsidRPr="00251542">
              <w:rPr>
                <w:sz w:val="16"/>
              </w:rPr>
              <w:t xml:space="preserve"> </w:t>
            </w:r>
            <w:r w:rsidR="0010442A" w:rsidRPr="00251542">
              <w:rPr>
                <w:sz w:val="16"/>
              </w:rPr>
              <w:t xml:space="preserve"> </w:t>
            </w:r>
            <w:r w:rsidRPr="00251542">
              <w:rPr>
                <w:sz w:val="16"/>
              </w:rPr>
              <w:t>ii) partager les expériences relatives à la création d</w:t>
            </w:r>
            <w:r w:rsidR="00A20444" w:rsidRPr="00251542">
              <w:rPr>
                <w:sz w:val="16"/>
              </w:rPr>
              <w:t>’</w:t>
            </w:r>
            <w:proofErr w:type="spellStart"/>
            <w:r w:rsidRPr="00251542">
              <w:rPr>
                <w:sz w:val="16"/>
              </w:rPr>
              <w:t>OGC</w:t>
            </w:r>
            <w:proofErr w:type="spellEnd"/>
            <w:r w:rsidRPr="00251542">
              <w:rPr>
                <w:sz w:val="16"/>
              </w:rPr>
              <w:t xml:space="preserve"> viables dans la région et ailleurs;</w:t>
            </w:r>
            <w:r w:rsidR="004F3E42" w:rsidRPr="00251542">
              <w:rPr>
                <w:sz w:val="16"/>
              </w:rPr>
              <w:t xml:space="preserve"> </w:t>
            </w:r>
            <w:r w:rsidR="0010442A" w:rsidRPr="00251542">
              <w:rPr>
                <w:sz w:val="16"/>
              </w:rPr>
              <w:t xml:space="preserve"> </w:t>
            </w:r>
            <w:r w:rsidRPr="00251542">
              <w:rPr>
                <w:sz w:val="16"/>
              </w:rPr>
              <w:t>iii) débattre des recommandations de l</w:t>
            </w:r>
            <w:r w:rsidR="00A20444" w:rsidRPr="00251542">
              <w:rPr>
                <w:sz w:val="16"/>
              </w:rPr>
              <w:t>’</w:t>
            </w:r>
            <w:r w:rsidRPr="00251542">
              <w:rPr>
                <w:sz w:val="16"/>
              </w:rPr>
              <w:t>étude;</w:t>
            </w:r>
            <w:r w:rsidR="004F3E42" w:rsidRPr="00251542">
              <w:rPr>
                <w:sz w:val="16"/>
              </w:rPr>
              <w:t xml:space="preserve"> </w:t>
            </w:r>
            <w:r w:rsidR="0010442A" w:rsidRPr="00251542">
              <w:rPr>
                <w:sz w:val="16"/>
              </w:rPr>
              <w:t xml:space="preserve"> </w:t>
            </w:r>
            <w:r w:rsidRPr="00251542">
              <w:rPr>
                <w:sz w:val="16"/>
              </w:rPr>
              <w:t>et iv) débattre des étapes spécifiques à la création d</w:t>
            </w:r>
            <w:r w:rsidR="00A20444" w:rsidRPr="00251542">
              <w:rPr>
                <w:sz w:val="16"/>
              </w:rPr>
              <w:t>’</w:t>
            </w:r>
            <w:r w:rsidRPr="00251542">
              <w:rPr>
                <w:sz w:val="16"/>
              </w:rPr>
              <w:t>un </w:t>
            </w:r>
            <w:proofErr w:type="spellStart"/>
            <w:r w:rsidRPr="00251542">
              <w:rPr>
                <w:sz w:val="16"/>
              </w:rPr>
              <w:t>OGC</w:t>
            </w:r>
            <w:proofErr w:type="spellEnd"/>
            <w:r w:rsidRPr="00251542">
              <w:rPr>
                <w:sz w:val="16"/>
              </w:rPr>
              <w:t xml:space="preserve"> efficace au Pakistan</w:t>
            </w:r>
          </w:p>
          <w:p w:rsidR="004007D3" w:rsidRPr="00251542" w:rsidRDefault="004007D3" w:rsidP="001A5BF9">
            <w:pPr>
              <w:autoSpaceDE w:val="0"/>
              <w:autoSpaceDN w:val="0"/>
              <w:adjustRightInd w:val="0"/>
              <w:spacing w:before="120" w:after="120"/>
              <w:rPr>
                <w:rFonts w:cs="Arial"/>
                <w:sz w:val="16"/>
                <w:szCs w:val="16"/>
              </w:rPr>
            </w:pPr>
          </w:p>
        </w:tc>
      </w:tr>
      <w:tr w:rsidR="004007D3" w:rsidRPr="00251542" w:rsidTr="00797A8B">
        <w:trPr>
          <w:trHeight w:val="495"/>
        </w:trPr>
        <w:tc>
          <w:tcPr>
            <w:tcW w:w="1843" w:type="dxa"/>
            <w:tcBorders>
              <w:bottom w:val="single" w:sz="4" w:space="0" w:color="auto"/>
            </w:tcBorders>
          </w:tcPr>
          <w:p w:rsidR="00D42474" w:rsidRDefault="004007D3" w:rsidP="001A5BF9">
            <w:pPr>
              <w:autoSpaceDE w:val="0"/>
              <w:autoSpaceDN w:val="0"/>
              <w:adjustRightInd w:val="0"/>
              <w:spacing w:before="120" w:after="120"/>
              <w:rPr>
                <w:rFonts w:cs="Arial"/>
                <w:sz w:val="16"/>
                <w:szCs w:val="16"/>
              </w:rPr>
            </w:pPr>
            <w:r w:rsidRPr="00251542">
              <w:rPr>
                <w:sz w:val="16"/>
              </w:rPr>
              <w:t>Table ronde sur la création de bureaux de gestion de la technologie</w:t>
            </w:r>
          </w:p>
          <w:p w:rsidR="004007D3" w:rsidRPr="00251542" w:rsidRDefault="004007D3" w:rsidP="001A5BF9">
            <w:pPr>
              <w:autoSpaceDE w:val="0"/>
              <w:autoSpaceDN w:val="0"/>
              <w:adjustRightInd w:val="0"/>
              <w:spacing w:before="120" w:after="120"/>
              <w:rPr>
                <w:rFonts w:cs="Arial"/>
                <w:sz w:val="16"/>
                <w:szCs w:val="16"/>
              </w:rPr>
            </w:pPr>
          </w:p>
        </w:tc>
        <w:tc>
          <w:tcPr>
            <w:tcW w:w="1701" w:type="dxa"/>
            <w:gridSpan w:val="2"/>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9</w:t>
            </w:r>
            <w:r w:rsidR="002D6F2A" w:rsidRPr="00251542">
              <w:rPr>
                <w:sz w:val="16"/>
              </w:rPr>
              <w:noBreakHyphen/>
            </w:r>
            <w:r w:rsidRPr="00251542">
              <w:rPr>
                <w:sz w:val="16"/>
              </w:rPr>
              <w:t>10 décembre 2013</w:t>
            </w:r>
          </w:p>
        </w:tc>
        <w:tc>
          <w:tcPr>
            <w:tcW w:w="2268" w:type="dxa"/>
            <w:gridSpan w:val="2"/>
            <w:tcBorders>
              <w:bottom w:val="single" w:sz="4" w:space="0" w:color="auto"/>
            </w:tcBorders>
          </w:tcPr>
          <w:p w:rsidR="00D42474" w:rsidRDefault="004007D3" w:rsidP="001A5BF9">
            <w:pPr>
              <w:autoSpaceDE w:val="0"/>
              <w:autoSpaceDN w:val="0"/>
              <w:adjustRightInd w:val="0"/>
              <w:spacing w:before="120" w:after="120"/>
              <w:rPr>
                <w:sz w:val="16"/>
              </w:rPr>
            </w:pPr>
            <w:r w:rsidRPr="00251542">
              <w:rPr>
                <w:sz w:val="16"/>
              </w:rPr>
              <w:t>Pakistan</w:t>
            </w:r>
          </w:p>
          <w:p w:rsidR="004007D3" w:rsidRPr="00251542" w:rsidRDefault="004007D3" w:rsidP="001A5BF9">
            <w:pPr>
              <w:autoSpaceDE w:val="0"/>
              <w:autoSpaceDN w:val="0"/>
              <w:adjustRightInd w:val="0"/>
              <w:spacing w:before="120" w:after="120"/>
              <w:rPr>
                <w:rFonts w:cs="Arial"/>
                <w:sz w:val="16"/>
                <w:szCs w:val="16"/>
              </w:rPr>
            </w:pPr>
            <w:r w:rsidRPr="00251542">
              <w:rPr>
                <w:sz w:val="16"/>
              </w:rPr>
              <w:t>30 participants</w:t>
            </w:r>
          </w:p>
        </w:tc>
        <w:tc>
          <w:tcPr>
            <w:tcW w:w="3260" w:type="dxa"/>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i) Faire le point sur l</w:t>
            </w:r>
            <w:r w:rsidR="00A20444" w:rsidRPr="00251542">
              <w:rPr>
                <w:sz w:val="16"/>
              </w:rPr>
              <w:t>’</w:t>
            </w:r>
            <w:r w:rsidRPr="00251542">
              <w:rPr>
                <w:sz w:val="16"/>
              </w:rPr>
              <w:t>état actuel des bureaux de gestion de la technologie au Pakistan;</w:t>
            </w:r>
            <w:r w:rsidR="0010442A" w:rsidRPr="00251542">
              <w:rPr>
                <w:sz w:val="16"/>
              </w:rPr>
              <w:t xml:space="preserve"> </w:t>
            </w:r>
            <w:r w:rsidR="004F3E42" w:rsidRPr="00251542">
              <w:rPr>
                <w:sz w:val="16"/>
              </w:rPr>
              <w:t xml:space="preserve"> </w:t>
            </w:r>
            <w:r w:rsidRPr="00251542">
              <w:rPr>
                <w:sz w:val="16"/>
              </w:rPr>
              <w:t>ii) échanger des points de vue sur les fonctions et la structure des bureaux de gestion de la technologie;</w:t>
            </w:r>
            <w:r w:rsidR="004F3E42" w:rsidRPr="00251542">
              <w:rPr>
                <w:sz w:val="16"/>
              </w:rPr>
              <w:t xml:space="preserve"> </w:t>
            </w:r>
            <w:r w:rsidR="0010442A" w:rsidRPr="00251542">
              <w:rPr>
                <w:sz w:val="16"/>
              </w:rPr>
              <w:t xml:space="preserve"> </w:t>
            </w:r>
            <w:r w:rsidRPr="00251542">
              <w:rPr>
                <w:sz w:val="16"/>
              </w:rPr>
              <w:t>iii) définir les enjeux liés à la création et à l</w:t>
            </w:r>
            <w:r w:rsidR="00A20444" w:rsidRPr="00251542">
              <w:rPr>
                <w:sz w:val="16"/>
              </w:rPr>
              <w:t>’</w:t>
            </w:r>
            <w:r w:rsidRPr="00251542">
              <w:rPr>
                <w:sz w:val="16"/>
              </w:rPr>
              <w:t>exploitation de bureaux de gestion de la technologie efficaces;</w:t>
            </w:r>
            <w:r w:rsidR="004F3E42" w:rsidRPr="00251542">
              <w:rPr>
                <w:sz w:val="16"/>
              </w:rPr>
              <w:t xml:space="preserve"> </w:t>
            </w:r>
            <w:r w:rsidR="0010442A" w:rsidRPr="00251542">
              <w:rPr>
                <w:sz w:val="16"/>
              </w:rPr>
              <w:t xml:space="preserve"> </w:t>
            </w:r>
            <w:r w:rsidRPr="00251542">
              <w:rPr>
                <w:sz w:val="16"/>
              </w:rPr>
              <w:t>et iv) définir les éléments d</w:t>
            </w:r>
            <w:r w:rsidR="00A20444" w:rsidRPr="00251542">
              <w:rPr>
                <w:sz w:val="16"/>
              </w:rPr>
              <w:t>’</w:t>
            </w:r>
            <w:r w:rsidRPr="00251542">
              <w:rPr>
                <w:sz w:val="16"/>
              </w:rPr>
              <w:t>une feuille de route pour créer et renforcer les bureaux de gestion de la technologie au Pakistan</w:t>
            </w:r>
          </w:p>
        </w:tc>
      </w:tr>
      <w:tr w:rsidR="004007D3" w:rsidRPr="00251542" w:rsidTr="0056083E">
        <w:tc>
          <w:tcPr>
            <w:tcW w:w="9072" w:type="dxa"/>
            <w:gridSpan w:val="6"/>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A343B3">
              <w:rPr>
                <w:b/>
                <w:sz w:val="16"/>
              </w:rPr>
              <w:tab/>
            </w:r>
            <w:r w:rsidRPr="00251542">
              <w:rPr>
                <w:sz w:val="16"/>
              </w:rPr>
              <w:t>Renforcement des ressources humaines en vue de satisfaire un large éventail de besoins et d</w:t>
            </w:r>
            <w:r w:rsidR="00A20444" w:rsidRPr="00251542">
              <w:rPr>
                <w:sz w:val="16"/>
              </w:rPr>
              <w:t>’</w:t>
            </w:r>
            <w:r w:rsidRPr="00251542">
              <w:rPr>
                <w:sz w:val="16"/>
              </w:rPr>
              <w:t>utiliser efficacement la propriété intellectuelle au service du développement</w:t>
            </w:r>
          </w:p>
        </w:tc>
      </w:tr>
      <w:tr w:rsidR="004007D3" w:rsidRPr="00A343B3" w:rsidTr="00797A8B">
        <w:tc>
          <w:tcPr>
            <w:tcW w:w="1843" w:type="dxa"/>
            <w:tcBorders>
              <w:top w:val="single" w:sz="4" w:space="0" w:color="auto"/>
            </w:tcBorders>
            <w:vAlign w:val="center"/>
          </w:tcPr>
          <w:p w:rsidR="004007D3" w:rsidRPr="00A343B3" w:rsidRDefault="004007D3" w:rsidP="001A5BF9">
            <w:pPr>
              <w:keepNext/>
              <w:keepLines/>
              <w:rPr>
                <w:rFonts w:cs="Arial"/>
                <w:b/>
                <w:bCs/>
                <w:sz w:val="16"/>
                <w:szCs w:val="16"/>
              </w:rPr>
            </w:pPr>
            <w:r w:rsidRPr="00A343B3">
              <w:rPr>
                <w:b/>
                <w:sz w:val="16"/>
              </w:rPr>
              <w:t>Activité</w:t>
            </w:r>
          </w:p>
        </w:tc>
        <w:tc>
          <w:tcPr>
            <w:tcW w:w="1559" w:type="dxa"/>
            <w:tcBorders>
              <w:top w:val="single" w:sz="4" w:space="0" w:color="auto"/>
            </w:tcBorders>
            <w:shd w:val="clear" w:color="auto" w:fill="auto"/>
            <w:tcMar>
              <w:top w:w="110" w:type="dxa"/>
            </w:tcMar>
            <w:vAlign w:val="center"/>
          </w:tcPr>
          <w:p w:rsidR="004007D3" w:rsidRPr="00A343B3" w:rsidRDefault="004007D3" w:rsidP="001A5BF9">
            <w:pPr>
              <w:keepNext/>
              <w:keepLines/>
              <w:rPr>
                <w:rFonts w:cs="Arial"/>
                <w:b/>
                <w:sz w:val="16"/>
                <w:szCs w:val="16"/>
              </w:rPr>
            </w:pPr>
            <w:r w:rsidRPr="00A343B3">
              <w:rPr>
                <w:b/>
                <w:sz w:val="16"/>
              </w:rPr>
              <w:t>Date :</w:t>
            </w:r>
          </w:p>
        </w:tc>
        <w:tc>
          <w:tcPr>
            <w:tcW w:w="2410" w:type="dxa"/>
            <w:gridSpan w:val="3"/>
            <w:tcBorders>
              <w:top w:val="single" w:sz="4" w:space="0" w:color="auto"/>
            </w:tcBorders>
            <w:shd w:val="clear" w:color="auto" w:fill="auto"/>
            <w:tcMar>
              <w:top w:w="110" w:type="dxa"/>
            </w:tcMar>
            <w:vAlign w:val="center"/>
          </w:tcPr>
          <w:p w:rsidR="004007D3" w:rsidRPr="00A343B3" w:rsidRDefault="004007D3" w:rsidP="001A5BF9">
            <w:pPr>
              <w:keepNext/>
              <w:keepLines/>
              <w:rPr>
                <w:rFonts w:cs="Arial"/>
                <w:b/>
                <w:sz w:val="16"/>
                <w:szCs w:val="16"/>
              </w:rPr>
            </w:pPr>
            <w:r w:rsidRPr="00A343B3">
              <w:rPr>
                <w:b/>
                <w:sz w:val="16"/>
              </w:rPr>
              <w:t>Pays hôte/bénéficiaire</w:t>
            </w:r>
          </w:p>
        </w:tc>
        <w:tc>
          <w:tcPr>
            <w:tcW w:w="3260" w:type="dxa"/>
            <w:tcBorders>
              <w:top w:val="single" w:sz="4" w:space="0" w:color="auto"/>
            </w:tcBorders>
            <w:shd w:val="clear" w:color="auto" w:fill="FFFFFF"/>
            <w:tcMar>
              <w:top w:w="110" w:type="dxa"/>
            </w:tcMar>
            <w:vAlign w:val="center"/>
          </w:tcPr>
          <w:p w:rsidR="004007D3" w:rsidRPr="00A343B3" w:rsidRDefault="004007D3" w:rsidP="001A5BF9">
            <w:pPr>
              <w:keepNext/>
              <w:keepLines/>
              <w:rPr>
                <w:rFonts w:cs="Arial"/>
                <w:b/>
                <w:sz w:val="16"/>
                <w:szCs w:val="16"/>
              </w:rPr>
            </w:pPr>
            <w:r w:rsidRPr="00A343B3">
              <w:rPr>
                <w:b/>
                <w:sz w:val="16"/>
              </w:rPr>
              <w:t>Objectif(s)/description(s)</w:t>
            </w:r>
          </w:p>
        </w:tc>
      </w:tr>
      <w:tr w:rsidR="004007D3" w:rsidRPr="00251542" w:rsidTr="00797A8B">
        <w:trPr>
          <w:trHeight w:val="520"/>
        </w:trPr>
        <w:tc>
          <w:tcPr>
            <w:tcW w:w="1843" w:type="dxa"/>
          </w:tcPr>
          <w:p w:rsidR="00D42474" w:rsidRDefault="004007D3" w:rsidP="001A5BF9">
            <w:pPr>
              <w:autoSpaceDE w:val="0"/>
              <w:autoSpaceDN w:val="0"/>
              <w:adjustRightInd w:val="0"/>
              <w:spacing w:before="120" w:after="120"/>
              <w:rPr>
                <w:rFonts w:cs="Arial"/>
                <w:sz w:val="16"/>
                <w:szCs w:val="16"/>
              </w:rPr>
            </w:pPr>
            <w:r w:rsidRPr="00251542">
              <w:rPr>
                <w:sz w:val="16"/>
              </w:rPr>
              <w:t>Inscription au cours </w:t>
            </w:r>
            <w:proofErr w:type="spellStart"/>
            <w:r w:rsidRPr="00251542">
              <w:rPr>
                <w:sz w:val="16"/>
              </w:rPr>
              <w:t>LLM</w:t>
            </w:r>
            <w:proofErr w:type="spellEnd"/>
            <w:r w:rsidRPr="00251542">
              <w:rPr>
                <w:sz w:val="16"/>
              </w:rPr>
              <w:t xml:space="preserve"> de l</w:t>
            </w:r>
            <w:r w:rsidR="00A20444" w:rsidRPr="00251542">
              <w:rPr>
                <w:sz w:val="16"/>
              </w:rPr>
              <w:t>’</w:t>
            </w:r>
            <w:r w:rsidRPr="00251542">
              <w:rPr>
                <w:sz w:val="16"/>
              </w:rPr>
              <w:t>OMPI</w:t>
            </w:r>
            <w:r w:rsidR="002D6F2A" w:rsidRPr="00251542">
              <w:rPr>
                <w:sz w:val="16"/>
              </w:rPr>
              <w:noBreakHyphen/>
            </w:r>
            <w:r w:rsidRPr="00251542">
              <w:rPr>
                <w:sz w:val="16"/>
              </w:rPr>
              <w:t>Université de Turin sur la propriété intellectuelle</w:t>
            </w:r>
          </w:p>
          <w:p w:rsidR="004007D3" w:rsidRPr="00251542" w:rsidRDefault="004007D3" w:rsidP="001A5BF9">
            <w:pPr>
              <w:autoSpaceDE w:val="0"/>
              <w:autoSpaceDN w:val="0"/>
              <w:adjustRightInd w:val="0"/>
              <w:spacing w:before="120" w:after="120"/>
              <w:rPr>
                <w:rFonts w:cs="Arial"/>
                <w:sz w:val="16"/>
                <w:szCs w:val="16"/>
              </w:rPr>
            </w:pPr>
          </w:p>
        </w:tc>
        <w:tc>
          <w:tcPr>
            <w:tcW w:w="1559" w:type="dxa"/>
          </w:tcPr>
          <w:p w:rsidR="004007D3" w:rsidRPr="00251542" w:rsidRDefault="00ED7374" w:rsidP="001A5BF9">
            <w:pPr>
              <w:autoSpaceDE w:val="0"/>
              <w:autoSpaceDN w:val="0"/>
              <w:adjustRightInd w:val="0"/>
              <w:spacing w:before="120" w:after="120"/>
              <w:rPr>
                <w:rFonts w:cs="Arial"/>
                <w:sz w:val="16"/>
                <w:szCs w:val="16"/>
              </w:rPr>
            </w:pPr>
            <w:r>
              <w:rPr>
                <w:sz w:val="16"/>
              </w:rPr>
              <w:t>j</w:t>
            </w:r>
            <w:r w:rsidR="004007D3" w:rsidRPr="00251542">
              <w:rPr>
                <w:sz w:val="16"/>
              </w:rPr>
              <w:t>uin à décembre 2013</w:t>
            </w:r>
            <w:r w:rsidR="004007D3" w:rsidRPr="00251542">
              <w:rPr>
                <w:rStyle w:val="FootnoteReference"/>
                <w:sz w:val="16"/>
              </w:rPr>
              <w:footnoteReference w:id="49"/>
            </w:r>
            <w:r w:rsidR="004007D3" w:rsidRPr="00251542">
              <w:rPr>
                <w:sz w:val="16"/>
              </w:rPr>
              <w:t xml:space="preserve"> </w:t>
            </w:r>
            <w:r w:rsidR="004007D3" w:rsidRPr="00251542">
              <w:br/>
            </w:r>
          </w:p>
        </w:tc>
        <w:tc>
          <w:tcPr>
            <w:tcW w:w="2410" w:type="dxa"/>
            <w:gridSpan w:val="3"/>
          </w:tcPr>
          <w:p w:rsidR="00D42474" w:rsidRDefault="004007D3" w:rsidP="001A5BF9">
            <w:pPr>
              <w:autoSpaceDE w:val="0"/>
              <w:autoSpaceDN w:val="0"/>
              <w:adjustRightInd w:val="0"/>
              <w:spacing w:before="120" w:after="120"/>
              <w:rPr>
                <w:rFonts w:cs="Arial"/>
                <w:sz w:val="16"/>
                <w:szCs w:val="16"/>
              </w:rPr>
            </w:pPr>
            <w:r w:rsidRPr="00251542">
              <w:rPr>
                <w:sz w:val="16"/>
              </w:rPr>
              <w:t>Pakistan</w:t>
            </w:r>
          </w:p>
          <w:p w:rsidR="004007D3" w:rsidRPr="00251542" w:rsidRDefault="004007D3" w:rsidP="001A5BF9">
            <w:pPr>
              <w:autoSpaceDE w:val="0"/>
              <w:autoSpaceDN w:val="0"/>
              <w:adjustRightInd w:val="0"/>
              <w:spacing w:before="120" w:after="120"/>
              <w:rPr>
                <w:rFonts w:cs="Arial"/>
                <w:sz w:val="16"/>
                <w:szCs w:val="16"/>
              </w:rPr>
            </w:pPr>
            <w:r w:rsidRPr="00251542">
              <w:rPr>
                <w:sz w:val="16"/>
              </w:rPr>
              <w:t>Un fonctionnaire d</w:t>
            </w:r>
            <w:r w:rsidR="00A20444" w:rsidRPr="00251542">
              <w:rPr>
                <w:sz w:val="16"/>
              </w:rPr>
              <w:t>’</w:t>
            </w:r>
            <w:proofErr w:type="spellStart"/>
            <w:r w:rsidRPr="00251542">
              <w:rPr>
                <w:sz w:val="16"/>
              </w:rPr>
              <w:t>IPO</w:t>
            </w:r>
            <w:proofErr w:type="spellEnd"/>
            <w:r w:rsidRPr="00251542">
              <w:rPr>
                <w:sz w:val="16"/>
              </w:rPr>
              <w:t xml:space="preserve"> Pakistan</w:t>
            </w:r>
          </w:p>
        </w:tc>
        <w:tc>
          <w:tcPr>
            <w:tcW w:w="3260"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i) Renforcer la capacité des fonctionnaires d</w:t>
            </w:r>
            <w:r w:rsidR="00A20444" w:rsidRPr="00251542">
              <w:rPr>
                <w:sz w:val="16"/>
              </w:rPr>
              <w:t>’</w:t>
            </w:r>
            <w:proofErr w:type="spellStart"/>
            <w:r w:rsidRPr="00251542">
              <w:rPr>
                <w:sz w:val="16"/>
              </w:rPr>
              <w:t>IPO</w:t>
            </w:r>
            <w:proofErr w:type="spellEnd"/>
            <w:r w:rsidRPr="00251542">
              <w:rPr>
                <w:sz w:val="16"/>
              </w:rPr>
              <w:t xml:space="preserve"> Pakistan à traiter des questions relatives à la politique en matière de propriété intellectuelle en comprenant plus à fond la législation sur la propriété intellectuelle;</w:t>
            </w:r>
            <w:r w:rsidR="004F3E42" w:rsidRPr="00251542">
              <w:rPr>
                <w:sz w:val="16"/>
              </w:rPr>
              <w:t xml:space="preserve"> </w:t>
            </w:r>
            <w:r w:rsidR="0010442A" w:rsidRPr="00251542">
              <w:rPr>
                <w:sz w:val="16"/>
              </w:rPr>
              <w:t xml:space="preserve"> </w:t>
            </w:r>
            <w:r w:rsidRPr="00251542">
              <w:rPr>
                <w:sz w:val="16"/>
              </w:rPr>
              <w:t>et ii) permettre au fonctionnaire formé d</w:t>
            </w:r>
            <w:r w:rsidR="00A20444" w:rsidRPr="00251542">
              <w:rPr>
                <w:sz w:val="16"/>
              </w:rPr>
              <w:t>’</w:t>
            </w:r>
            <w:r w:rsidRPr="00251542">
              <w:rPr>
                <w:sz w:val="16"/>
              </w:rPr>
              <w:t>apporter des contributions (documents, notes d</w:t>
            </w:r>
            <w:r w:rsidR="00A20444" w:rsidRPr="00251542">
              <w:rPr>
                <w:sz w:val="16"/>
              </w:rPr>
              <w:t>’</w:t>
            </w:r>
            <w:r w:rsidRPr="00251542">
              <w:rPr>
                <w:sz w:val="16"/>
              </w:rPr>
              <w:t>orientation, commentaires) sur les questions spécifiques à la législation sur la propriété intellectuelle</w:t>
            </w:r>
          </w:p>
        </w:tc>
      </w:tr>
      <w:tr w:rsidR="004007D3" w:rsidRPr="00251542" w:rsidTr="00797A8B">
        <w:trPr>
          <w:trHeight w:val="520"/>
        </w:trPr>
        <w:tc>
          <w:tcPr>
            <w:tcW w:w="1843" w:type="dxa"/>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Fourniture d</w:t>
            </w:r>
            <w:r w:rsidR="00A20444" w:rsidRPr="00251542">
              <w:rPr>
                <w:sz w:val="16"/>
              </w:rPr>
              <w:t>’</w:t>
            </w:r>
            <w:r w:rsidRPr="00251542">
              <w:rPr>
                <w:sz w:val="16"/>
              </w:rPr>
              <w:t>une documentation de référence sur la propriété intellectuelle pour les institutions d</w:t>
            </w:r>
            <w:r w:rsidR="00A20444" w:rsidRPr="00251542">
              <w:rPr>
                <w:sz w:val="16"/>
              </w:rPr>
              <w:t>’</w:t>
            </w:r>
            <w:r w:rsidRPr="00251542">
              <w:rPr>
                <w:sz w:val="16"/>
              </w:rPr>
              <w:t xml:space="preserve">enseignement et de formation en matière de propriété intellectuelle sélectionnées </w:t>
            </w:r>
          </w:p>
        </w:tc>
        <w:tc>
          <w:tcPr>
            <w:tcW w:w="1559" w:type="dxa"/>
            <w:tcBorders>
              <w:bottom w:val="single" w:sz="4" w:space="0" w:color="auto"/>
            </w:tcBorders>
          </w:tcPr>
          <w:p w:rsidR="004007D3" w:rsidRPr="00251542" w:rsidRDefault="00ED7374" w:rsidP="001A5BF9">
            <w:pPr>
              <w:autoSpaceDE w:val="0"/>
              <w:autoSpaceDN w:val="0"/>
              <w:adjustRightInd w:val="0"/>
              <w:spacing w:before="120" w:after="120"/>
              <w:rPr>
                <w:rFonts w:cs="Arial"/>
                <w:sz w:val="16"/>
                <w:szCs w:val="16"/>
              </w:rPr>
            </w:pPr>
            <w:r>
              <w:rPr>
                <w:sz w:val="16"/>
              </w:rPr>
              <w:t>d</w:t>
            </w:r>
            <w:r w:rsidR="00BD43F2" w:rsidRPr="00251542">
              <w:rPr>
                <w:sz w:val="16"/>
              </w:rPr>
              <w:t>écembre </w:t>
            </w:r>
            <w:r w:rsidR="004007D3" w:rsidRPr="00251542">
              <w:rPr>
                <w:sz w:val="16"/>
              </w:rPr>
              <w:t>2013</w:t>
            </w:r>
          </w:p>
        </w:tc>
        <w:tc>
          <w:tcPr>
            <w:tcW w:w="2410" w:type="dxa"/>
            <w:gridSpan w:val="3"/>
            <w:tcBorders>
              <w:bottom w:val="single" w:sz="4" w:space="0" w:color="auto"/>
            </w:tcBorders>
          </w:tcPr>
          <w:p w:rsidR="00D42474" w:rsidRDefault="004007D3" w:rsidP="001A5BF9">
            <w:pPr>
              <w:autoSpaceDE w:val="0"/>
              <w:autoSpaceDN w:val="0"/>
              <w:adjustRightInd w:val="0"/>
              <w:spacing w:before="120" w:after="120"/>
              <w:rPr>
                <w:rFonts w:cs="Arial"/>
                <w:sz w:val="16"/>
                <w:szCs w:val="16"/>
                <w:lang w:val="en-US"/>
              </w:rPr>
            </w:pPr>
            <w:r w:rsidRPr="00733F94">
              <w:rPr>
                <w:sz w:val="16"/>
                <w:lang w:val="en-US"/>
              </w:rPr>
              <w:t>Pakistan</w:t>
            </w:r>
          </w:p>
          <w:p w:rsidR="004007D3" w:rsidRPr="00733F94" w:rsidRDefault="004007D3" w:rsidP="001A5BF9">
            <w:pPr>
              <w:autoSpaceDE w:val="0"/>
              <w:autoSpaceDN w:val="0"/>
              <w:adjustRightInd w:val="0"/>
              <w:spacing w:before="120" w:after="120"/>
              <w:rPr>
                <w:rFonts w:cs="Arial"/>
                <w:sz w:val="16"/>
                <w:szCs w:val="16"/>
                <w:lang w:val="en-US"/>
              </w:rPr>
            </w:pPr>
            <w:r w:rsidRPr="00733F94">
              <w:rPr>
                <w:sz w:val="16"/>
                <w:lang w:val="en-US"/>
              </w:rPr>
              <w:t>IPO Pakistan et</w:t>
            </w:r>
            <w:r w:rsidRPr="00733F94">
              <w:rPr>
                <w:lang w:val="en-US"/>
              </w:rPr>
              <w:br/>
            </w:r>
            <w:r w:rsidRPr="00733F94">
              <w:rPr>
                <w:sz w:val="16"/>
                <w:lang w:val="en-US"/>
              </w:rPr>
              <w:t>Pakistan Institute of Trade and Development (</w:t>
            </w:r>
            <w:proofErr w:type="spellStart"/>
            <w:r w:rsidRPr="00733F94">
              <w:rPr>
                <w:sz w:val="16"/>
                <w:lang w:val="en-US"/>
              </w:rPr>
              <w:t>PITAD</w:t>
            </w:r>
            <w:proofErr w:type="spellEnd"/>
            <w:r w:rsidRPr="00733F94">
              <w:rPr>
                <w:sz w:val="16"/>
                <w:lang w:val="en-US"/>
              </w:rPr>
              <w:t>)</w:t>
            </w:r>
          </w:p>
        </w:tc>
        <w:tc>
          <w:tcPr>
            <w:tcW w:w="3260" w:type="dxa"/>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Renforcer les capacités dans le domaine de l</w:t>
            </w:r>
            <w:r w:rsidR="00A20444" w:rsidRPr="00251542">
              <w:rPr>
                <w:sz w:val="16"/>
              </w:rPr>
              <w:t>’</w:t>
            </w:r>
            <w:r w:rsidRPr="00251542">
              <w:rPr>
                <w:sz w:val="16"/>
              </w:rPr>
              <w:t>enseignement et de la formation en matière de propriété intellectuelle au Pakistan</w:t>
            </w:r>
          </w:p>
        </w:tc>
      </w:tr>
      <w:tr w:rsidR="004007D3" w:rsidRPr="00251542" w:rsidTr="0056083E">
        <w:tc>
          <w:tcPr>
            <w:tcW w:w="9072" w:type="dxa"/>
            <w:gridSpan w:val="6"/>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sz w:val="16"/>
              </w:rPr>
              <w:t xml:space="preserve"> </w:t>
            </w:r>
            <w:r w:rsidR="00A343B3">
              <w:rPr>
                <w:sz w:val="16"/>
              </w:rPr>
              <w:tab/>
            </w:r>
            <w:r w:rsidRPr="00251542">
              <w:rPr>
                <w:sz w:val="16"/>
              </w:rPr>
              <w:t>Amélioration de l</w:t>
            </w:r>
            <w:r w:rsidR="00A20444" w:rsidRPr="00251542">
              <w:rPr>
                <w:sz w:val="16"/>
              </w:rPr>
              <w:t>’</w:t>
            </w:r>
            <w:r w:rsidRPr="00251542">
              <w:rPr>
                <w:sz w:val="16"/>
              </w:rPr>
              <w:t>infrastructure technique et du savoir pour les offices de propriété intellectuelle et autres institutions de propriété intellectuelle, leur permettant de fournir à leurs parties prenantes des services améliorés (moins chers, plus rapides, de meilleure qualité)</w:t>
            </w:r>
          </w:p>
        </w:tc>
      </w:tr>
      <w:tr w:rsidR="004007D3" w:rsidRPr="00A343B3" w:rsidTr="00797A8B">
        <w:tc>
          <w:tcPr>
            <w:tcW w:w="1843" w:type="dxa"/>
            <w:tcBorders>
              <w:top w:val="single" w:sz="4" w:space="0" w:color="auto"/>
            </w:tcBorders>
            <w:vAlign w:val="center"/>
          </w:tcPr>
          <w:p w:rsidR="004007D3" w:rsidRPr="00A343B3" w:rsidRDefault="004007D3" w:rsidP="001A5BF9">
            <w:pPr>
              <w:keepNext/>
              <w:keepLines/>
              <w:rPr>
                <w:rFonts w:cs="Arial"/>
                <w:b/>
                <w:bCs/>
                <w:sz w:val="16"/>
                <w:szCs w:val="16"/>
              </w:rPr>
            </w:pPr>
            <w:r w:rsidRPr="00A343B3">
              <w:rPr>
                <w:b/>
                <w:sz w:val="16"/>
              </w:rPr>
              <w:t>Activité</w:t>
            </w:r>
          </w:p>
        </w:tc>
        <w:tc>
          <w:tcPr>
            <w:tcW w:w="1985" w:type="dxa"/>
            <w:gridSpan w:val="3"/>
            <w:tcBorders>
              <w:top w:val="single" w:sz="4" w:space="0" w:color="auto"/>
            </w:tcBorders>
            <w:shd w:val="clear" w:color="auto" w:fill="auto"/>
            <w:tcMar>
              <w:top w:w="110" w:type="dxa"/>
            </w:tcMar>
            <w:vAlign w:val="center"/>
          </w:tcPr>
          <w:p w:rsidR="004007D3" w:rsidRPr="00A343B3" w:rsidRDefault="004007D3" w:rsidP="001A5BF9">
            <w:pPr>
              <w:keepNext/>
              <w:keepLines/>
              <w:rPr>
                <w:rFonts w:cs="Arial"/>
                <w:b/>
                <w:sz w:val="16"/>
                <w:szCs w:val="16"/>
              </w:rPr>
            </w:pPr>
            <w:r w:rsidRPr="00A343B3">
              <w:rPr>
                <w:b/>
                <w:sz w:val="16"/>
              </w:rPr>
              <w:t>Date :</w:t>
            </w:r>
          </w:p>
        </w:tc>
        <w:tc>
          <w:tcPr>
            <w:tcW w:w="1984" w:type="dxa"/>
            <w:tcBorders>
              <w:top w:val="single" w:sz="4" w:space="0" w:color="auto"/>
            </w:tcBorders>
            <w:shd w:val="clear" w:color="auto" w:fill="auto"/>
            <w:tcMar>
              <w:top w:w="110" w:type="dxa"/>
            </w:tcMar>
            <w:vAlign w:val="center"/>
          </w:tcPr>
          <w:p w:rsidR="004007D3" w:rsidRPr="00A343B3" w:rsidRDefault="004007D3" w:rsidP="001A5BF9">
            <w:pPr>
              <w:keepNext/>
              <w:keepLines/>
              <w:rPr>
                <w:rFonts w:cs="Arial"/>
                <w:b/>
                <w:sz w:val="16"/>
                <w:szCs w:val="16"/>
              </w:rPr>
            </w:pPr>
            <w:r w:rsidRPr="00A343B3">
              <w:rPr>
                <w:b/>
                <w:sz w:val="16"/>
              </w:rPr>
              <w:t>Pays hôte/bénéficiaire</w:t>
            </w:r>
          </w:p>
        </w:tc>
        <w:tc>
          <w:tcPr>
            <w:tcW w:w="3260" w:type="dxa"/>
            <w:tcBorders>
              <w:top w:val="single" w:sz="4" w:space="0" w:color="auto"/>
            </w:tcBorders>
            <w:shd w:val="clear" w:color="auto" w:fill="FFFFFF"/>
            <w:tcMar>
              <w:top w:w="110" w:type="dxa"/>
            </w:tcMar>
            <w:vAlign w:val="center"/>
          </w:tcPr>
          <w:p w:rsidR="004007D3" w:rsidRPr="00A343B3" w:rsidRDefault="004007D3" w:rsidP="001A5BF9">
            <w:pPr>
              <w:keepNext/>
              <w:keepLines/>
              <w:rPr>
                <w:rFonts w:cs="Arial"/>
                <w:b/>
                <w:sz w:val="16"/>
                <w:szCs w:val="16"/>
              </w:rPr>
            </w:pPr>
            <w:r w:rsidRPr="00A343B3">
              <w:rPr>
                <w:b/>
                <w:sz w:val="16"/>
              </w:rPr>
              <w:t>Objectif(s)/description(s)</w:t>
            </w:r>
          </w:p>
        </w:tc>
      </w:tr>
      <w:tr w:rsidR="004007D3" w:rsidRPr="00251542" w:rsidTr="00797A8B">
        <w:tc>
          <w:tcPr>
            <w:tcW w:w="1843" w:type="dxa"/>
          </w:tcPr>
          <w:p w:rsidR="00D42474" w:rsidRDefault="004007D3" w:rsidP="001A5BF9">
            <w:pPr>
              <w:autoSpaceDE w:val="0"/>
              <w:autoSpaceDN w:val="0"/>
              <w:adjustRightInd w:val="0"/>
              <w:spacing w:before="120" w:after="120"/>
              <w:rPr>
                <w:rFonts w:cs="Arial"/>
                <w:sz w:val="16"/>
                <w:szCs w:val="16"/>
              </w:rPr>
            </w:pPr>
            <w:r w:rsidRPr="00251542">
              <w:rPr>
                <w:sz w:val="16"/>
              </w:rPr>
              <w:t>Formation aux technologies des serveurs d</w:t>
            </w:r>
            <w:r w:rsidR="00A20444" w:rsidRPr="00251542">
              <w:rPr>
                <w:sz w:val="16"/>
              </w:rPr>
              <w:t>’</w:t>
            </w:r>
            <w:r w:rsidRPr="00251542">
              <w:rPr>
                <w:sz w:val="16"/>
              </w:rPr>
              <w:t xml:space="preserve">applications Java et </w:t>
            </w:r>
            <w:proofErr w:type="spellStart"/>
            <w:r w:rsidRPr="00251542">
              <w:rPr>
                <w:sz w:val="16"/>
              </w:rPr>
              <w:t>GlassFish</w:t>
            </w:r>
            <w:proofErr w:type="spellEnd"/>
          </w:p>
          <w:p w:rsidR="004007D3" w:rsidRPr="00251542" w:rsidRDefault="004007D3" w:rsidP="001A5BF9">
            <w:pPr>
              <w:autoSpaceDE w:val="0"/>
              <w:autoSpaceDN w:val="0"/>
              <w:adjustRightInd w:val="0"/>
              <w:spacing w:before="120" w:after="120"/>
              <w:rPr>
                <w:rFonts w:cs="Arial"/>
                <w:sz w:val="16"/>
                <w:szCs w:val="16"/>
              </w:rPr>
            </w:pPr>
          </w:p>
        </w:tc>
        <w:tc>
          <w:tcPr>
            <w:tcW w:w="1985" w:type="dxa"/>
            <w:gridSpan w:val="3"/>
            <w:shd w:val="clear" w:color="auto" w:fill="auto"/>
            <w:tcMar>
              <w:top w:w="110" w:type="dxa"/>
            </w:tcMar>
          </w:tcPr>
          <w:p w:rsidR="00D42474" w:rsidRDefault="004007D3" w:rsidP="001A5BF9">
            <w:pPr>
              <w:autoSpaceDE w:val="0"/>
              <w:autoSpaceDN w:val="0"/>
              <w:adjustRightInd w:val="0"/>
              <w:spacing w:before="120" w:after="120"/>
              <w:rPr>
                <w:rFonts w:cs="Arial"/>
                <w:sz w:val="16"/>
                <w:szCs w:val="16"/>
              </w:rPr>
            </w:pPr>
            <w:r w:rsidRPr="00251542">
              <w:rPr>
                <w:sz w:val="16"/>
              </w:rPr>
              <w:t>20</w:t>
            </w:r>
            <w:r w:rsidR="002D6F2A" w:rsidRPr="00251542">
              <w:rPr>
                <w:sz w:val="16"/>
              </w:rPr>
              <w:noBreakHyphen/>
            </w:r>
            <w:r w:rsidRPr="00251542">
              <w:rPr>
                <w:sz w:val="16"/>
              </w:rPr>
              <w:t>24 mai 2013</w:t>
            </w:r>
          </w:p>
          <w:p w:rsidR="004007D3" w:rsidRPr="00251542" w:rsidRDefault="004007D3" w:rsidP="001A5BF9">
            <w:pPr>
              <w:autoSpaceDE w:val="0"/>
              <w:autoSpaceDN w:val="0"/>
              <w:adjustRightInd w:val="0"/>
              <w:spacing w:before="120" w:after="120"/>
              <w:rPr>
                <w:rFonts w:cs="Arial"/>
                <w:sz w:val="16"/>
                <w:szCs w:val="16"/>
              </w:rPr>
            </w:pPr>
          </w:p>
        </w:tc>
        <w:tc>
          <w:tcPr>
            <w:tcW w:w="1984" w:type="dxa"/>
            <w:shd w:val="clear" w:color="auto" w:fill="auto"/>
            <w:tcMar>
              <w:top w:w="110" w:type="dxa"/>
            </w:tcMar>
          </w:tcPr>
          <w:p w:rsidR="00D42474" w:rsidRDefault="004007D3" w:rsidP="001A5BF9">
            <w:pPr>
              <w:autoSpaceDE w:val="0"/>
              <w:autoSpaceDN w:val="0"/>
              <w:adjustRightInd w:val="0"/>
              <w:spacing w:before="120" w:after="120"/>
              <w:rPr>
                <w:rFonts w:cs="Arial"/>
                <w:sz w:val="16"/>
                <w:szCs w:val="16"/>
              </w:rPr>
            </w:pPr>
            <w:r w:rsidRPr="00251542">
              <w:rPr>
                <w:sz w:val="16"/>
              </w:rPr>
              <w:t>Pakistan</w:t>
            </w:r>
          </w:p>
          <w:p w:rsidR="004007D3" w:rsidRPr="00251542" w:rsidRDefault="004007D3" w:rsidP="001A5BF9">
            <w:pPr>
              <w:autoSpaceDE w:val="0"/>
              <w:autoSpaceDN w:val="0"/>
              <w:adjustRightInd w:val="0"/>
              <w:spacing w:before="120" w:after="120"/>
              <w:rPr>
                <w:rFonts w:cs="Arial"/>
                <w:sz w:val="16"/>
                <w:szCs w:val="16"/>
              </w:rPr>
            </w:pPr>
            <w:r w:rsidRPr="00251542">
              <w:rPr>
                <w:sz w:val="16"/>
              </w:rPr>
              <w:t>Sept fonctionnaires d</w:t>
            </w:r>
            <w:r w:rsidR="00A20444" w:rsidRPr="00251542">
              <w:rPr>
                <w:sz w:val="16"/>
              </w:rPr>
              <w:t>’</w:t>
            </w:r>
            <w:proofErr w:type="spellStart"/>
            <w:r w:rsidRPr="00251542">
              <w:rPr>
                <w:sz w:val="16"/>
              </w:rPr>
              <w:t>IPO</w:t>
            </w:r>
            <w:proofErr w:type="spellEnd"/>
            <w:r w:rsidRPr="00251542">
              <w:rPr>
                <w:sz w:val="16"/>
              </w:rPr>
              <w:t xml:space="preserve"> Pakistan</w:t>
            </w:r>
          </w:p>
        </w:tc>
        <w:tc>
          <w:tcPr>
            <w:tcW w:w="3260" w:type="dxa"/>
            <w:shd w:val="clear" w:color="auto" w:fill="FFFFFF"/>
            <w:tcMar>
              <w:top w:w="110" w:type="dxa"/>
            </w:tcMar>
          </w:tcPr>
          <w:p w:rsidR="004007D3" w:rsidRPr="00251542" w:rsidRDefault="004007D3" w:rsidP="001A5BF9">
            <w:pPr>
              <w:autoSpaceDE w:val="0"/>
              <w:autoSpaceDN w:val="0"/>
              <w:adjustRightInd w:val="0"/>
              <w:spacing w:before="120" w:after="120"/>
              <w:rPr>
                <w:rFonts w:cs="Arial"/>
                <w:sz w:val="16"/>
                <w:szCs w:val="16"/>
              </w:rPr>
            </w:pPr>
            <w:r w:rsidRPr="00251542">
              <w:rPr>
                <w:sz w:val="16"/>
              </w:rPr>
              <w:t>Améliorer les compétences et l</w:t>
            </w:r>
            <w:r w:rsidR="00A20444" w:rsidRPr="00251542">
              <w:rPr>
                <w:sz w:val="16"/>
              </w:rPr>
              <w:t>’</w:t>
            </w:r>
            <w:r w:rsidRPr="00251542">
              <w:rPr>
                <w:sz w:val="16"/>
              </w:rPr>
              <w:t>expertise technique de l</w:t>
            </w:r>
            <w:r w:rsidR="00A20444" w:rsidRPr="00251542">
              <w:rPr>
                <w:sz w:val="16"/>
              </w:rPr>
              <w:t>’</w:t>
            </w:r>
            <w:r w:rsidRPr="00251542">
              <w:rPr>
                <w:sz w:val="16"/>
              </w:rPr>
              <w:t>équipe informatique d</w:t>
            </w:r>
            <w:r w:rsidR="00A20444" w:rsidRPr="00251542">
              <w:rPr>
                <w:sz w:val="16"/>
              </w:rPr>
              <w:t>’</w:t>
            </w:r>
            <w:proofErr w:type="spellStart"/>
            <w:r w:rsidRPr="00251542">
              <w:rPr>
                <w:sz w:val="16"/>
              </w:rPr>
              <w:t>IPO</w:t>
            </w:r>
            <w:proofErr w:type="spellEnd"/>
            <w:r w:rsidRPr="00251542">
              <w:rPr>
                <w:sz w:val="16"/>
              </w:rPr>
              <w:t xml:space="preserve"> Pakistan pour prendre en charge et soutenir les systèmes de bureautique de l</w:t>
            </w:r>
            <w:r w:rsidR="00A20444" w:rsidRPr="00251542">
              <w:rPr>
                <w:sz w:val="16"/>
              </w:rPr>
              <w:t>’</w:t>
            </w:r>
            <w:r w:rsidRPr="00251542">
              <w:rPr>
                <w:sz w:val="16"/>
              </w:rPr>
              <w:t>office des brevets et du registre des marques</w:t>
            </w:r>
          </w:p>
        </w:tc>
      </w:tr>
      <w:tr w:rsidR="004007D3" w:rsidRPr="00251542" w:rsidTr="00797A8B">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Deux formations sur le système IPAS Java et le système de gestion électronique de documents</w:t>
            </w:r>
          </w:p>
        </w:tc>
        <w:tc>
          <w:tcPr>
            <w:tcW w:w="1985" w:type="dxa"/>
            <w:gridSpan w:val="3"/>
            <w:shd w:val="clear" w:color="auto" w:fill="auto"/>
            <w:tcMar>
              <w:top w:w="110" w:type="dxa"/>
            </w:tcMar>
          </w:tcPr>
          <w:p w:rsidR="004007D3" w:rsidRPr="00251542" w:rsidRDefault="004007D3" w:rsidP="00ED7374">
            <w:pPr>
              <w:autoSpaceDE w:val="0"/>
              <w:autoSpaceDN w:val="0"/>
              <w:adjustRightInd w:val="0"/>
              <w:spacing w:before="120" w:after="120"/>
              <w:rPr>
                <w:rFonts w:cs="Arial"/>
                <w:sz w:val="16"/>
                <w:szCs w:val="16"/>
              </w:rPr>
            </w:pPr>
            <w:r w:rsidRPr="00251542">
              <w:rPr>
                <w:sz w:val="16"/>
              </w:rPr>
              <w:t>i) 27 mai</w:t>
            </w:r>
            <w:r w:rsidR="00076F3E" w:rsidRPr="00251542">
              <w:rPr>
                <w:sz w:val="16"/>
              </w:rPr>
              <w:t xml:space="preserve"> – </w:t>
            </w:r>
            <w:r w:rsidRPr="00251542">
              <w:rPr>
                <w:sz w:val="16"/>
              </w:rPr>
              <w:t>7 juin 2013;</w:t>
            </w:r>
            <w:r w:rsidRPr="00251542">
              <w:br/>
            </w:r>
            <w:r w:rsidRPr="00251542">
              <w:rPr>
                <w:sz w:val="16"/>
              </w:rPr>
              <w:t>ii) 25</w:t>
            </w:r>
            <w:r w:rsidR="00076F3E" w:rsidRPr="00251542">
              <w:rPr>
                <w:sz w:val="16"/>
              </w:rPr>
              <w:t xml:space="preserve"> </w:t>
            </w:r>
            <w:r w:rsidR="002D6F2A" w:rsidRPr="00251542">
              <w:rPr>
                <w:sz w:val="16"/>
              </w:rPr>
              <w:noBreakHyphen/>
            </w:r>
            <w:r w:rsidR="00076F3E" w:rsidRPr="00251542">
              <w:rPr>
                <w:sz w:val="16"/>
              </w:rPr>
              <w:t xml:space="preserve"> </w:t>
            </w:r>
            <w:r w:rsidRPr="00251542">
              <w:rPr>
                <w:sz w:val="16"/>
              </w:rPr>
              <w:t>29 novembre</w:t>
            </w:r>
            <w:r w:rsidR="00ED7374">
              <w:rPr>
                <w:sz w:val="16"/>
              </w:rPr>
              <w:t xml:space="preserve"> </w:t>
            </w:r>
            <w:r w:rsidRPr="00251542">
              <w:rPr>
                <w:sz w:val="16"/>
              </w:rPr>
              <w:t>2013</w:t>
            </w:r>
          </w:p>
        </w:tc>
        <w:tc>
          <w:tcPr>
            <w:tcW w:w="1984" w:type="dxa"/>
            <w:shd w:val="clear" w:color="auto" w:fill="auto"/>
            <w:tcMar>
              <w:top w:w="110" w:type="dxa"/>
            </w:tcMar>
          </w:tcPr>
          <w:p w:rsidR="00D42474" w:rsidRDefault="004007D3" w:rsidP="001A5BF9">
            <w:pPr>
              <w:autoSpaceDE w:val="0"/>
              <w:autoSpaceDN w:val="0"/>
              <w:adjustRightInd w:val="0"/>
              <w:spacing w:before="120" w:after="120"/>
              <w:rPr>
                <w:rFonts w:cs="Arial"/>
                <w:sz w:val="16"/>
                <w:szCs w:val="16"/>
              </w:rPr>
            </w:pPr>
            <w:r w:rsidRPr="00251542">
              <w:rPr>
                <w:sz w:val="16"/>
              </w:rPr>
              <w:t>Pakistan</w:t>
            </w:r>
          </w:p>
          <w:p w:rsidR="004007D3" w:rsidRPr="00251542" w:rsidRDefault="004007D3" w:rsidP="001A5BF9">
            <w:pPr>
              <w:autoSpaceDE w:val="0"/>
              <w:autoSpaceDN w:val="0"/>
              <w:adjustRightInd w:val="0"/>
              <w:spacing w:before="120" w:after="120"/>
              <w:rPr>
                <w:rFonts w:cs="Arial"/>
                <w:sz w:val="16"/>
                <w:szCs w:val="16"/>
              </w:rPr>
            </w:pPr>
            <w:r w:rsidRPr="00251542">
              <w:rPr>
                <w:sz w:val="16"/>
              </w:rPr>
              <w:t>i)</w:t>
            </w:r>
            <w:r w:rsidR="0010442A" w:rsidRPr="00251542">
              <w:rPr>
                <w:sz w:val="16"/>
              </w:rPr>
              <w:t xml:space="preserve"> </w:t>
            </w:r>
            <w:r w:rsidRPr="00251542">
              <w:rPr>
                <w:sz w:val="16"/>
              </w:rPr>
              <w:t>Cinq fonctionnaires d</w:t>
            </w:r>
            <w:r w:rsidR="00A20444" w:rsidRPr="00251542">
              <w:rPr>
                <w:sz w:val="16"/>
              </w:rPr>
              <w:t>’</w:t>
            </w:r>
            <w:proofErr w:type="spellStart"/>
            <w:r w:rsidRPr="00251542">
              <w:rPr>
                <w:sz w:val="16"/>
              </w:rPr>
              <w:t>IPO</w:t>
            </w:r>
            <w:proofErr w:type="spellEnd"/>
            <w:r w:rsidRPr="00251542">
              <w:rPr>
                <w:sz w:val="16"/>
              </w:rPr>
              <w:t xml:space="preserve"> Pakistan</w:t>
            </w:r>
            <w:r w:rsidRPr="00251542">
              <w:br/>
            </w:r>
            <w:r w:rsidRPr="00251542">
              <w:rPr>
                <w:sz w:val="16"/>
              </w:rPr>
              <w:t>ii)</w:t>
            </w:r>
            <w:r w:rsidR="0010442A" w:rsidRPr="00251542">
              <w:rPr>
                <w:sz w:val="16"/>
              </w:rPr>
              <w:t xml:space="preserve"> </w:t>
            </w:r>
            <w:r w:rsidRPr="00251542">
              <w:rPr>
                <w:sz w:val="16"/>
              </w:rPr>
              <w:t>Huit fonctionnaires d</w:t>
            </w:r>
            <w:r w:rsidR="00A20444" w:rsidRPr="00251542">
              <w:rPr>
                <w:sz w:val="16"/>
              </w:rPr>
              <w:t>’</w:t>
            </w:r>
            <w:proofErr w:type="spellStart"/>
            <w:r w:rsidRPr="00251542">
              <w:rPr>
                <w:sz w:val="16"/>
              </w:rPr>
              <w:t>IPO</w:t>
            </w:r>
            <w:proofErr w:type="spellEnd"/>
            <w:r w:rsidRPr="00251542">
              <w:rPr>
                <w:sz w:val="16"/>
              </w:rPr>
              <w:t xml:space="preserve"> Pakistan</w:t>
            </w:r>
          </w:p>
        </w:tc>
        <w:tc>
          <w:tcPr>
            <w:tcW w:w="3260" w:type="dxa"/>
            <w:shd w:val="clear" w:color="auto" w:fill="FFFFFF"/>
            <w:tcMar>
              <w:top w:w="110" w:type="dxa"/>
            </w:tcMar>
          </w:tcPr>
          <w:p w:rsidR="004007D3" w:rsidRPr="00251542" w:rsidRDefault="004007D3" w:rsidP="001A5BF9">
            <w:pPr>
              <w:autoSpaceDE w:val="0"/>
              <w:autoSpaceDN w:val="0"/>
              <w:adjustRightInd w:val="0"/>
              <w:spacing w:before="120" w:after="120"/>
              <w:rPr>
                <w:rFonts w:cs="Arial"/>
                <w:sz w:val="16"/>
                <w:szCs w:val="16"/>
              </w:rPr>
            </w:pPr>
            <w:r w:rsidRPr="00251542">
              <w:rPr>
                <w:sz w:val="16"/>
              </w:rPr>
              <w:t>Former l</w:t>
            </w:r>
            <w:r w:rsidR="00A20444" w:rsidRPr="00251542">
              <w:rPr>
                <w:sz w:val="16"/>
              </w:rPr>
              <w:t>’</w:t>
            </w:r>
            <w:r w:rsidRPr="00251542">
              <w:rPr>
                <w:sz w:val="16"/>
              </w:rPr>
              <w:t>équipe informatique d</w:t>
            </w:r>
            <w:r w:rsidR="00A20444" w:rsidRPr="00251542">
              <w:rPr>
                <w:sz w:val="16"/>
              </w:rPr>
              <w:t>’</w:t>
            </w:r>
            <w:proofErr w:type="spellStart"/>
            <w:r w:rsidRPr="00251542">
              <w:rPr>
                <w:sz w:val="16"/>
              </w:rPr>
              <w:t>IPO</w:t>
            </w:r>
            <w:proofErr w:type="spellEnd"/>
            <w:r w:rsidRPr="00251542">
              <w:rPr>
                <w:sz w:val="16"/>
              </w:rPr>
              <w:t xml:space="preserve"> Pakistan sur : i) l</w:t>
            </w:r>
            <w:r w:rsidR="00A20444" w:rsidRPr="00251542">
              <w:rPr>
                <w:sz w:val="16"/>
              </w:rPr>
              <w:t>’</w:t>
            </w:r>
            <w:r w:rsidRPr="00251542">
              <w:rPr>
                <w:sz w:val="16"/>
              </w:rPr>
              <w:t>installation de base et l</w:t>
            </w:r>
            <w:r w:rsidR="00A20444" w:rsidRPr="00251542">
              <w:rPr>
                <w:sz w:val="16"/>
              </w:rPr>
              <w:t>’</w:t>
            </w:r>
            <w:r w:rsidRPr="00251542">
              <w:rPr>
                <w:sz w:val="16"/>
              </w:rPr>
              <w:t>administration du système IPAS Java;</w:t>
            </w:r>
            <w:r w:rsidR="004F3E42" w:rsidRPr="00251542">
              <w:rPr>
                <w:sz w:val="16"/>
              </w:rPr>
              <w:t xml:space="preserve"> </w:t>
            </w:r>
            <w:r w:rsidR="0010442A" w:rsidRPr="00251542">
              <w:rPr>
                <w:sz w:val="16"/>
              </w:rPr>
              <w:t xml:space="preserve"> </w:t>
            </w:r>
            <w:r w:rsidRPr="00251542">
              <w:rPr>
                <w:sz w:val="16"/>
              </w:rPr>
              <w:t>l</w:t>
            </w:r>
            <w:r w:rsidR="00A20444" w:rsidRPr="00251542">
              <w:rPr>
                <w:sz w:val="16"/>
              </w:rPr>
              <w:t>’</w:t>
            </w:r>
            <w:r w:rsidRPr="00251542">
              <w:rPr>
                <w:sz w:val="16"/>
              </w:rPr>
              <w:t>utilisation de l</w:t>
            </w:r>
            <w:r w:rsidR="00A20444" w:rsidRPr="00251542">
              <w:rPr>
                <w:sz w:val="16"/>
              </w:rPr>
              <w:t>’</w:t>
            </w:r>
            <w:r w:rsidRPr="00251542">
              <w:rPr>
                <w:sz w:val="16"/>
              </w:rPr>
              <w:t>outil IPAS Designer pour la personnalisation;</w:t>
            </w:r>
            <w:r w:rsidR="0010442A" w:rsidRPr="00251542">
              <w:rPr>
                <w:sz w:val="16"/>
              </w:rPr>
              <w:t xml:space="preserve"> </w:t>
            </w:r>
            <w:r w:rsidR="004F3E42" w:rsidRPr="00251542">
              <w:rPr>
                <w:sz w:val="16"/>
              </w:rPr>
              <w:t xml:space="preserve"> </w:t>
            </w:r>
            <w:r w:rsidRPr="00251542">
              <w:rPr>
                <w:sz w:val="16"/>
              </w:rPr>
              <w:t>et ii) la configuration des applications</w:t>
            </w:r>
            <w:r w:rsidR="004F3E42" w:rsidRPr="00251542">
              <w:rPr>
                <w:sz w:val="16"/>
              </w:rPr>
              <w:t xml:space="preserve"> </w:t>
            </w:r>
            <w:proofErr w:type="spellStart"/>
            <w:r w:rsidRPr="00251542">
              <w:rPr>
                <w:sz w:val="16"/>
              </w:rPr>
              <w:t>WIPOScan</w:t>
            </w:r>
            <w:proofErr w:type="spellEnd"/>
            <w:r w:rsidRPr="00251542">
              <w:rPr>
                <w:sz w:val="16"/>
              </w:rPr>
              <w:t xml:space="preserve"> et du système de gestion électronique de documents</w:t>
            </w:r>
          </w:p>
        </w:tc>
      </w:tr>
      <w:tr w:rsidR="004007D3" w:rsidRPr="00251542" w:rsidTr="00797A8B">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Numérisation des titres de propriété intellectuelle d</w:t>
            </w:r>
            <w:r w:rsidR="00A20444" w:rsidRPr="00251542">
              <w:rPr>
                <w:sz w:val="16"/>
              </w:rPr>
              <w:t>’</w:t>
            </w:r>
            <w:proofErr w:type="spellStart"/>
            <w:r w:rsidRPr="00251542">
              <w:rPr>
                <w:sz w:val="16"/>
              </w:rPr>
              <w:t>IPO</w:t>
            </w:r>
            <w:proofErr w:type="spellEnd"/>
            <w:r w:rsidRPr="00251542">
              <w:rPr>
                <w:sz w:val="16"/>
              </w:rPr>
              <w:t xml:space="preserve"> Pakistan</w:t>
            </w:r>
          </w:p>
        </w:tc>
        <w:tc>
          <w:tcPr>
            <w:tcW w:w="1985" w:type="dxa"/>
            <w:gridSpan w:val="3"/>
            <w:shd w:val="clear" w:color="auto" w:fill="auto"/>
            <w:tcMar>
              <w:top w:w="110" w:type="dxa"/>
            </w:tcMar>
          </w:tcPr>
          <w:p w:rsidR="004007D3" w:rsidRPr="00251542" w:rsidRDefault="004007D3" w:rsidP="001A5BF9">
            <w:pPr>
              <w:autoSpaceDE w:val="0"/>
              <w:autoSpaceDN w:val="0"/>
              <w:adjustRightInd w:val="0"/>
              <w:spacing w:before="120" w:after="120"/>
              <w:rPr>
                <w:rFonts w:cs="Arial"/>
                <w:sz w:val="16"/>
                <w:szCs w:val="16"/>
              </w:rPr>
            </w:pPr>
            <w:r w:rsidRPr="00251542">
              <w:rPr>
                <w:sz w:val="16"/>
              </w:rPr>
              <w:t>Démarrage en juillet 2013</w:t>
            </w:r>
            <w:r w:rsidRPr="00251542">
              <w:br/>
            </w:r>
            <w:r w:rsidRPr="00251542">
              <w:rPr>
                <w:i/>
                <w:sz w:val="16"/>
              </w:rPr>
              <w:t>(achèvement prévu fin 2014)</w:t>
            </w:r>
          </w:p>
        </w:tc>
        <w:tc>
          <w:tcPr>
            <w:tcW w:w="1984" w:type="dxa"/>
            <w:shd w:val="clear" w:color="auto" w:fill="auto"/>
            <w:tcMar>
              <w:top w:w="110" w:type="dxa"/>
            </w:tcMar>
          </w:tcPr>
          <w:p w:rsidR="00D42474" w:rsidRDefault="004007D3" w:rsidP="001A5BF9">
            <w:pPr>
              <w:autoSpaceDE w:val="0"/>
              <w:autoSpaceDN w:val="0"/>
              <w:adjustRightInd w:val="0"/>
              <w:spacing w:before="120" w:after="120"/>
              <w:rPr>
                <w:rFonts w:cs="Arial"/>
                <w:sz w:val="16"/>
                <w:szCs w:val="16"/>
              </w:rPr>
            </w:pPr>
            <w:r w:rsidRPr="00251542">
              <w:rPr>
                <w:sz w:val="16"/>
              </w:rPr>
              <w:t>Pakistan</w:t>
            </w:r>
          </w:p>
          <w:p w:rsidR="004007D3" w:rsidRPr="00251542" w:rsidRDefault="004007D3" w:rsidP="001A5BF9">
            <w:pPr>
              <w:autoSpaceDE w:val="0"/>
              <w:autoSpaceDN w:val="0"/>
              <w:adjustRightInd w:val="0"/>
              <w:spacing w:before="120" w:after="120"/>
              <w:rPr>
                <w:rFonts w:cs="Arial"/>
                <w:sz w:val="16"/>
                <w:szCs w:val="16"/>
              </w:rPr>
            </w:pPr>
            <w:r w:rsidRPr="00251542">
              <w:rPr>
                <w:sz w:val="16"/>
              </w:rPr>
              <w:t xml:space="preserve">Office des brevets et </w:t>
            </w:r>
            <w:r w:rsidRPr="00251542">
              <w:br/>
              <w:t>r</w:t>
            </w:r>
            <w:r w:rsidRPr="00251542">
              <w:rPr>
                <w:sz w:val="16"/>
              </w:rPr>
              <w:t xml:space="preserve">egistre des marques </w:t>
            </w:r>
            <w:r w:rsidRPr="00251542">
              <w:br/>
              <w:t>d</w:t>
            </w:r>
            <w:r w:rsidR="00A20444" w:rsidRPr="00251542">
              <w:t>’</w:t>
            </w:r>
            <w:proofErr w:type="spellStart"/>
            <w:r w:rsidRPr="00251542">
              <w:rPr>
                <w:sz w:val="16"/>
              </w:rPr>
              <w:t>IPO</w:t>
            </w:r>
            <w:proofErr w:type="spellEnd"/>
            <w:r w:rsidRPr="00251542">
              <w:rPr>
                <w:sz w:val="16"/>
              </w:rPr>
              <w:t xml:space="preserve"> Pakistan</w:t>
            </w:r>
          </w:p>
        </w:tc>
        <w:tc>
          <w:tcPr>
            <w:tcW w:w="3260" w:type="dxa"/>
            <w:shd w:val="clear" w:color="auto" w:fill="FFFFFF"/>
            <w:tcMar>
              <w:top w:w="110" w:type="dxa"/>
            </w:tcMar>
          </w:tcPr>
          <w:p w:rsidR="004007D3" w:rsidRPr="00251542" w:rsidRDefault="004007D3" w:rsidP="001A5BF9">
            <w:pPr>
              <w:autoSpaceDE w:val="0"/>
              <w:autoSpaceDN w:val="0"/>
              <w:adjustRightInd w:val="0"/>
              <w:spacing w:before="120" w:after="120"/>
              <w:rPr>
                <w:rFonts w:cs="Arial"/>
                <w:sz w:val="16"/>
                <w:szCs w:val="16"/>
              </w:rPr>
            </w:pPr>
            <w:r w:rsidRPr="00251542">
              <w:rPr>
                <w:sz w:val="16"/>
              </w:rPr>
              <w:t>i) numériser plus de six millions de pages de collections de brevets et d</w:t>
            </w:r>
            <w:r w:rsidR="00A20444" w:rsidRPr="00251542">
              <w:rPr>
                <w:sz w:val="16"/>
              </w:rPr>
              <w:t>’</w:t>
            </w:r>
            <w:r w:rsidRPr="00251542">
              <w:rPr>
                <w:sz w:val="16"/>
              </w:rPr>
              <w:t>enregistrements de marques;</w:t>
            </w:r>
            <w:r w:rsidR="004F3E42" w:rsidRPr="00251542">
              <w:rPr>
                <w:sz w:val="16"/>
              </w:rPr>
              <w:t xml:space="preserve"> </w:t>
            </w:r>
            <w:r w:rsidR="0010442A" w:rsidRPr="00251542">
              <w:rPr>
                <w:sz w:val="16"/>
              </w:rPr>
              <w:t xml:space="preserve"> </w:t>
            </w:r>
            <w:r w:rsidRPr="00251542">
              <w:rPr>
                <w:sz w:val="16"/>
              </w:rPr>
              <w:t>ii) saisir environ 25</w:t>
            </w:r>
            <w:r w:rsidR="0010442A" w:rsidRPr="00251542">
              <w:rPr>
                <w:sz w:val="16"/>
              </w:rPr>
              <w:t> </w:t>
            </w:r>
            <w:r w:rsidRPr="00251542">
              <w:rPr>
                <w:sz w:val="16"/>
              </w:rPr>
              <w:t>000 dossiers manquants dans les bases de données de brevets et de marques;</w:t>
            </w:r>
            <w:r w:rsidR="004F3E42" w:rsidRPr="00251542">
              <w:rPr>
                <w:sz w:val="16"/>
              </w:rPr>
              <w:t xml:space="preserve"> </w:t>
            </w:r>
            <w:r w:rsidR="0010442A" w:rsidRPr="00251542">
              <w:rPr>
                <w:sz w:val="16"/>
              </w:rPr>
              <w:t xml:space="preserve"> </w:t>
            </w:r>
            <w:r w:rsidRPr="00251542">
              <w:rPr>
                <w:sz w:val="16"/>
              </w:rPr>
              <w:t>et iii) valider les dossiers dans les bases de données de brevets et de marques</w:t>
            </w:r>
          </w:p>
        </w:tc>
      </w:tr>
    </w:tbl>
    <w:p w:rsidR="00D42474" w:rsidRDefault="00D42474" w:rsidP="001A5BF9">
      <w:pPr>
        <w:tabs>
          <w:tab w:val="left" w:pos="0"/>
          <w:tab w:val="left" w:pos="9071"/>
        </w:tabs>
        <w:rPr>
          <w:rFonts w:cs="Arial"/>
          <w:b/>
          <w:szCs w:val="20"/>
        </w:rPr>
      </w:pPr>
    </w:p>
    <w:p w:rsidR="00D42474" w:rsidRDefault="00DF60ED" w:rsidP="001A5BF9">
      <w:pPr>
        <w:tabs>
          <w:tab w:val="left" w:pos="0"/>
          <w:tab w:val="left" w:pos="9071"/>
        </w:tabs>
        <w:rPr>
          <w:szCs w:val="20"/>
        </w:rPr>
      </w:pPr>
      <w:r w:rsidRPr="00251542">
        <w:rPr>
          <w:szCs w:val="20"/>
        </w:rPr>
        <w:br w:type="page"/>
      </w:r>
    </w:p>
    <w:p w:rsidR="00D42474" w:rsidRDefault="004007D3" w:rsidP="001A5BF9">
      <w:pPr>
        <w:spacing w:before="120"/>
        <w:rPr>
          <w:i/>
          <w:sz w:val="16"/>
        </w:rPr>
      </w:pPr>
      <w:r w:rsidRPr="00251542">
        <w:rPr>
          <w:b/>
          <w:sz w:val="16"/>
        </w:rPr>
        <w:t>UNION EUROPÉENNE (Projet Pakistan) – Contributions des donateurs et dépenses en</w:t>
      </w:r>
      <w:r w:rsidR="0010442A" w:rsidRPr="00251542">
        <w:rPr>
          <w:b/>
          <w:sz w:val="16"/>
        </w:rPr>
        <w:t> </w:t>
      </w:r>
      <w:r w:rsidRPr="00251542">
        <w:rPr>
          <w:b/>
          <w:sz w:val="16"/>
        </w:rPr>
        <w:t>2013</w:t>
      </w:r>
      <w:r w:rsidRPr="00251542">
        <w:rPr>
          <w:b/>
          <w:sz w:val="16"/>
          <w:vertAlign w:val="superscript"/>
        </w:rPr>
        <w:t>1</w:t>
      </w:r>
    </w:p>
    <w:p w:rsidR="004007D3" w:rsidRPr="00251542" w:rsidRDefault="004007D3" w:rsidP="001A5BF9">
      <w:pPr>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4007D3" w:rsidRPr="00251542" w:rsidTr="0056083E">
        <w:trPr>
          <w:trHeight w:val="567"/>
        </w:trPr>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12</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4"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13</w:t>
            </w:r>
          </w:p>
        </w:tc>
      </w:tr>
      <w:tr w:rsidR="004007D3" w:rsidRPr="00251542" w:rsidTr="0056083E">
        <w:trPr>
          <w:trHeight w:val="567"/>
        </w:trPr>
        <w:tc>
          <w:tcPr>
            <w:tcW w:w="184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619 665</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284 598</w:t>
            </w:r>
          </w:p>
        </w:tc>
        <w:tc>
          <w:tcPr>
            <w:tcW w:w="184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298 731</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 </w:t>
            </w:r>
          </w:p>
        </w:tc>
        <w:tc>
          <w:tcPr>
            <w:tcW w:w="1984"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605 533</w:t>
            </w:r>
          </w:p>
        </w:tc>
      </w:tr>
    </w:tbl>
    <w:p w:rsidR="00D42474" w:rsidRDefault="004007D3" w:rsidP="001A5BF9">
      <w:pPr>
        <w:spacing w:before="120"/>
        <w:rPr>
          <w:sz w:val="16"/>
          <w:szCs w:val="16"/>
        </w:rPr>
      </w:pPr>
      <w:r w:rsidRPr="00A343B3">
        <w:rPr>
          <w:i/>
          <w:sz w:val="16"/>
          <w:szCs w:val="16"/>
          <w:vertAlign w:val="superscript"/>
        </w:rPr>
        <w:t xml:space="preserve">1 </w:t>
      </w:r>
      <w:r w:rsidR="00A343B3">
        <w:rPr>
          <w:i/>
          <w:sz w:val="16"/>
          <w:szCs w:val="16"/>
        </w:rPr>
        <w:t xml:space="preserve"> </w:t>
      </w:r>
      <w:r w:rsidRPr="00A343B3">
        <w:rPr>
          <w:i/>
          <w:sz w:val="16"/>
          <w:szCs w:val="16"/>
        </w:rPr>
        <w:t>États financiers de l</w:t>
      </w:r>
      <w:r w:rsidR="00A20444" w:rsidRPr="00A343B3">
        <w:rPr>
          <w:i/>
          <w:sz w:val="16"/>
          <w:szCs w:val="16"/>
        </w:rPr>
        <w:t>’</w:t>
      </w:r>
      <w:r w:rsidRPr="00A343B3">
        <w:rPr>
          <w:i/>
          <w:sz w:val="16"/>
          <w:szCs w:val="16"/>
        </w:rPr>
        <w:t>OMPI 2013 (annexe III)</w:t>
      </w:r>
    </w:p>
    <w:p w:rsidR="00D42474" w:rsidRDefault="00D42474" w:rsidP="001A5BF9">
      <w:pPr>
        <w:rPr>
          <w:szCs w:val="20"/>
        </w:rPr>
      </w:pPr>
    </w:p>
    <w:p w:rsidR="00D42474" w:rsidRDefault="00D42474" w:rsidP="001A5BF9">
      <w:pPr>
        <w:rPr>
          <w:szCs w:val="20"/>
        </w:rPr>
      </w:pPr>
    </w:p>
    <w:p w:rsidR="00D42474" w:rsidRDefault="00D42474" w:rsidP="001A5BF9">
      <w:pPr>
        <w:spacing w:before="120"/>
        <w:rPr>
          <w:rFonts w:cs="Arial"/>
          <w:b/>
          <w:szCs w:val="20"/>
        </w:rPr>
      </w:pPr>
    </w:p>
    <w:p w:rsidR="00D42474" w:rsidRDefault="00D42474" w:rsidP="001A5BF9">
      <w:pPr>
        <w:spacing w:before="120"/>
        <w:rPr>
          <w:rFonts w:cs="Arial"/>
          <w:b/>
          <w:szCs w:val="20"/>
        </w:rPr>
      </w:pPr>
    </w:p>
    <w:p w:rsidR="00D42474" w:rsidRDefault="004007D3" w:rsidP="001A5BF9">
      <w:pPr>
        <w:spacing w:before="120"/>
        <w:rPr>
          <w:rFonts w:cs="Arial"/>
          <w:b/>
          <w:szCs w:val="20"/>
        </w:rPr>
      </w:pPr>
      <w:r w:rsidRPr="00251542">
        <w:br w:type="page"/>
      </w:r>
      <w:r w:rsidR="00A343B3" w:rsidRPr="00A343B3">
        <w:rPr>
          <w:b/>
        </w:rPr>
        <w:t>FINLANDE/DROIT D’AUTEUR III</w:t>
      </w:r>
    </w:p>
    <w:p w:rsidR="004007D3" w:rsidRPr="00251542" w:rsidRDefault="004007D3" w:rsidP="001A5BF9">
      <w:pPr>
        <w:spacing w:before="120"/>
        <w:rPr>
          <w:rFonts w:cs="Arial"/>
          <w:b/>
          <w:szCs w:val="20"/>
        </w:rPr>
      </w:pPr>
    </w:p>
    <w:tbl>
      <w:tblPr>
        <w:tblW w:w="9223"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137"/>
        <w:gridCol w:w="1986"/>
        <w:gridCol w:w="4256"/>
      </w:tblGrid>
      <w:tr w:rsidR="004007D3" w:rsidRPr="00251542" w:rsidTr="00A343B3">
        <w:tc>
          <w:tcPr>
            <w:tcW w:w="9223" w:type="dxa"/>
            <w:gridSpan w:val="4"/>
            <w:tcBorders>
              <w:top w:val="single" w:sz="4" w:space="0" w:color="000000"/>
              <w:bottom w:val="single" w:sz="4" w:space="0" w:color="000000"/>
            </w:tcBorders>
            <w:shd w:val="clear" w:color="auto" w:fill="CCFFFF"/>
            <w:vAlign w:val="center"/>
          </w:tcPr>
          <w:p w:rsidR="004007D3" w:rsidRPr="00251542" w:rsidRDefault="004007D3" w:rsidP="00A343B3">
            <w:pPr>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A343B3">
              <w:rPr>
                <w:b/>
                <w:sz w:val="16"/>
              </w:rPr>
              <w:tab/>
            </w:r>
            <w:r w:rsidRPr="00A343B3">
              <w:rPr>
                <w:sz w:val="16"/>
              </w:rPr>
              <w:t>Prise de décisions fondées sur des données probantes concernant les questions de droit d</w:t>
            </w:r>
            <w:r w:rsidR="00A20444" w:rsidRPr="00A343B3">
              <w:rPr>
                <w:sz w:val="16"/>
              </w:rPr>
              <w:t>’</w:t>
            </w:r>
            <w:r w:rsidRPr="00A343B3">
              <w:rPr>
                <w:sz w:val="16"/>
              </w:rPr>
              <w:t>auteur</w:t>
            </w:r>
          </w:p>
        </w:tc>
      </w:tr>
      <w:tr w:rsidR="004007D3" w:rsidRPr="00A343B3" w:rsidTr="00A343B3">
        <w:tc>
          <w:tcPr>
            <w:tcW w:w="1844" w:type="dxa"/>
            <w:tcBorders>
              <w:top w:val="single" w:sz="4" w:space="0" w:color="000000"/>
            </w:tcBorders>
            <w:vAlign w:val="center"/>
          </w:tcPr>
          <w:p w:rsidR="004007D3" w:rsidRPr="00A343B3" w:rsidRDefault="004007D3" w:rsidP="001A5BF9">
            <w:pPr>
              <w:keepNext/>
              <w:keepLines/>
              <w:rPr>
                <w:rFonts w:cs="Arial"/>
                <w:b/>
                <w:bCs/>
                <w:sz w:val="16"/>
                <w:szCs w:val="16"/>
              </w:rPr>
            </w:pPr>
            <w:r w:rsidRPr="00A343B3">
              <w:rPr>
                <w:b/>
                <w:sz w:val="16"/>
              </w:rPr>
              <w:t>Activité</w:t>
            </w:r>
          </w:p>
        </w:tc>
        <w:tc>
          <w:tcPr>
            <w:tcW w:w="1137" w:type="dxa"/>
            <w:tcBorders>
              <w:top w:val="single" w:sz="4" w:space="0" w:color="000000"/>
            </w:tcBorders>
            <w:shd w:val="clear" w:color="auto" w:fill="auto"/>
            <w:tcMar>
              <w:top w:w="110" w:type="dxa"/>
            </w:tcMar>
            <w:vAlign w:val="center"/>
          </w:tcPr>
          <w:p w:rsidR="004007D3" w:rsidRPr="00A343B3" w:rsidRDefault="004007D3" w:rsidP="001A5BF9">
            <w:pPr>
              <w:keepNext/>
              <w:keepLines/>
              <w:rPr>
                <w:rFonts w:cs="Arial"/>
                <w:b/>
                <w:sz w:val="16"/>
                <w:szCs w:val="16"/>
              </w:rPr>
            </w:pPr>
            <w:r w:rsidRPr="00A343B3">
              <w:rPr>
                <w:b/>
                <w:sz w:val="16"/>
              </w:rPr>
              <w:t>Date :</w:t>
            </w:r>
          </w:p>
        </w:tc>
        <w:tc>
          <w:tcPr>
            <w:tcW w:w="1986" w:type="dxa"/>
            <w:tcBorders>
              <w:top w:val="single" w:sz="4" w:space="0" w:color="000000"/>
            </w:tcBorders>
            <w:shd w:val="clear" w:color="auto" w:fill="auto"/>
            <w:tcMar>
              <w:top w:w="110" w:type="dxa"/>
            </w:tcMar>
            <w:vAlign w:val="center"/>
          </w:tcPr>
          <w:p w:rsidR="004007D3" w:rsidRPr="00A343B3" w:rsidRDefault="004007D3" w:rsidP="001A5BF9">
            <w:pPr>
              <w:keepNext/>
              <w:keepLines/>
              <w:rPr>
                <w:rFonts w:cs="Arial"/>
                <w:b/>
                <w:sz w:val="16"/>
                <w:szCs w:val="16"/>
              </w:rPr>
            </w:pPr>
            <w:r w:rsidRPr="00A343B3">
              <w:rPr>
                <w:b/>
                <w:sz w:val="16"/>
              </w:rPr>
              <w:t>Pays hôte/bénéficiaire</w:t>
            </w:r>
          </w:p>
        </w:tc>
        <w:tc>
          <w:tcPr>
            <w:tcW w:w="4256" w:type="dxa"/>
            <w:tcBorders>
              <w:top w:val="single" w:sz="4" w:space="0" w:color="000000"/>
            </w:tcBorders>
            <w:shd w:val="clear" w:color="auto" w:fill="FFFFFF"/>
            <w:tcMar>
              <w:top w:w="110" w:type="dxa"/>
            </w:tcMar>
            <w:vAlign w:val="center"/>
          </w:tcPr>
          <w:p w:rsidR="004007D3" w:rsidRPr="00A343B3" w:rsidRDefault="004007D3" w:rsidP="001A5BF9">
            <w:pPr>
              <w:keepNext/>
              <w:keepLines/>
              <w:rPr>
                <w:rFonts w:cs="Arial"/>
                <w:b/>
                <w:sz w:val="16"/>
                <w:szCs w:val="16"/>
              </w:rPr>
            </w:pPr>
            <w:r w:rsidRPr="00A343B3">
              <w:rPr>
                <w:b/>
                <w:sz w:val="16"/>
              </w:rPr>
              <w:t>Objectif(s)/description(s)</w:t>
            </w:r>
          </w:p>
        </w:tc>
      </w:tr>
      <w:tr w:rsidR="004007D3" w:rsidRPr="00251542" w:rsidTr="00A343B3">
        <w:tc>
          <w:tcPr>
            <w:tcW w:w="1844"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Préparation d</w:t>
            </w:r>
            <w:r w:rsidR="00A20444" w:rsidRPr="00251542">
              <w:rPr>
                <w:sz w:val="16"/>
              </w:rPr>
              <w:t>’</w:t>
            </w:r>
            <w:r w:rsidRPr="00251542">
              <w:rPr>
                <w:sz w:val="16"/>
              </w:rPr>
              <w:t>une méthode permettant de mesurer les conséquences économiques, sociales et culturelles du droit d</w:t>
            </w:r>
            <w:r w:rsidR="00A20444" w:rsidRPr="00251542">
              <w:rPr>
                <w:sz w:val="16"/>
              </w:rPr>
              <w:t>’</w:t>
            </w:r>
            <w:r w:rsidRPr="00251542">
              <w:rPr>
                <w:sz w:val="16"/>
              </w:rPr>
              <w:t>auteur dans les industries de la création</w:t>
            </w:r>
          </w:p>
        </w:tc>
        <w:tc>
          <w:tcPr>
            <w:tcW w:w="1137" w:type="dxa"/>
          </w:tcPr>
          <w:p w:rsidR="00D42474" w:rsidRDefault="00ED7374" w:rsidP="001A5BF9">
            <w:pPr>
              <w:autoSpaceDE w:val="0"/>
              <w:autoSpaceDN w:val="0"/>
              <w:adjustRightInd w:val="0"/>
              <w:spacing w:before="120" w:after="120"/>
              <w:rPr>
                <w:rFonts w:cs="Arial"/>
                <w:sz w:val="16"/>
                <w:szCs w:val="16"/>
              </w:rPr>
            </w:pPr>
            <w:r>
              <w:rPr>
                <w:sz w:val="16"/>
              </w:rPr>
              <w:t>j</w:t>
            </w:r>
            <w:r w:rsidR="004007D3" w:rsidRPr="00251542">
              <w:rPr>
                <w:sz w:val="16"/>
              </w:rPr>
              <w:t>anvier à décembre 2013</w:t>
            </w:r>
          </w:p>
          <w:p w:rsidR="004007D3" w:rsidRPr="00251542" w:rsidRDefault="004007D3" w:rsidP="00ED7374">
            <w:pPr>
              <w:autoSpaceDE w:val="0"/>
              <w:autoSpaceDN w:val="0"/>
              <w:adjustRightInd w:val="0"/>
              <w:spacing w:before="120" w:after="120"/>
              <w:rPr>
                <w:rFonts w:eastAsia="MS Mincho" w:cs="Arial"/>
                <w:sz w:val="16"/>
                <w:szCs w:val="16"/>
                <w:lang w:bidi="th-TH"/>
              </w:rPr>
            </w:pPr>
            <w:r w:rsidRPr="00251542">
              <w:rPr>
                <w:sz w:val="16"/>
              </w:rPr>
              <w:t>(</w:t>
            </w:r>
            <w:r w:rsidR="00ED7374">
              <w:rPr>
                <w:sz w:val="16"/>
              </w:rPr>
              <w:t>c</w:t>
            </w:r>
            <w:r w:rsidRPr="00251542">
              <w:rPr>
                <w:sz w:val="16"/>
              </w:rPr>
              <w:t>ontinu de</w:t>
            </w:r>
            <w:r w:rsidR="0081044B" w:rsidRPr="00251542">
              <w:rPr>
                <w:sz w:val="16"/>
              </w:rPr>
              <w:t>puis</w:t>
            </w:r>
            <w:r w:rsidR="0081044B" w:rsidRPr="00251542">
              <w:rPr>
                <w:sz w:val="16"/>
              </w:rPr>
              <w:br/>
            </w:r>
            <w:r w:rsidRPr="00251542">
              <w:rPr>
                <w:sz w:val="16"/>
              </w:rPr>
              <w:t>2012)</w:t>
            </w:r>
          </w:p>
        </w:tc>
        <w:tc>
          <w:tcPr>
            <w:tcW w:w="1986"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Tous les utilisateurs</w:t>
            </w:r>
          </w:p>
        </w:tc>
        <w:tc>
          <w:tcPr>
            <w:tcW w:w="4256"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Fournir une solide méthode permettant de mesurer les conséquences du droit d</w:t>
            </w:r>
            <w:r w:rsidR="00A20444" w:rsidRPr="00251542">
              <w:rPr>
                <w:sz w:val="16"/>
              </w:rPr>
              <w:t>’</w:t>
            </w:r>
            <w:r w:rsidRPr="00251542">
              <w:rPr>
                <w:sz w:val="16"/>
              </w:rPr>
              <w:t xml:space="preserve">auteur </w:t>
            </w:r>
          </w:p>
        </w:tc>
      </w:tr>
      <w:tr w:rsidR="004007D3" w:rsidRPr="00251542" w:rsidTr="00A343B3">
        <w:tc>
          <w:tcPr>
            <w:tcW w:w="1844"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Lancement d</w:t>
            </w:r>
            <w:r w:rsidR="00A20444" w:rsidRPr="00251542">
              <w:rPr>
                <w:sz w:val="16"/>
              </w:rPr>
              <w:t>’</w:t>
            </w:r>
            <w:r w:rsidRPr="00251542">
              <w:rPr>
                <w:sz w:val="16"/>
              </w:rPr>
              <w:t>un projet pilote concernant la mesure des conséquences économiques, sociales et culturelles du droit d</w:t>
            </w:r>
            <w:r w:rsidR="00A20444" w:rsidRPr="00251542">
              <w:rPr>
                <w:sz w:val="16"/>
              </w:rPr>
              <w:t>’</w:t>
            </w:r>
            <w:r w:rsidRPr="00251542">
              <w:rPr>
                <w:sz w:val="16"/>
              </w:rPr>
              <w:t xml:space="preserve">auteur dans les industries de la création </w:t>
            </w:r>
          </w:p>
        </w:tc>
        <w:tc>
          <w:tcPr>
            <w:tcW w:w="1137" w:type="dxa"/>
          </w:tcPr>
          <w:p w:rsidR="00D42474" w:rsidRDefault="00ED7374" w:rsidP="001A5BF9">
            <w:pPr>
              <w:autoSpaceDE w:val="0"/>
              <w:autoSpaceDN w:val="0"/>
              <w:adjustRightInd w:val="0"/>
              <w:spacing w:before="120" w:after="120"/>
              <w:rPr>
                <w:rFonts w:eastAsia="MS Mincho" w:cs="Arial"/>
                <w:sz w:val="16"/>
                <w:szCs w:val="16"/>
                <w:lang w:bidi="th-TH"/>
              </w:rPr>
            </w:pPr>
            <w:r>
              <w:rPr>
                <w:sz w:val="16"/>
              </w:rPr>
              <w:t>j</w:t>
            </w:r>
            <w:r w:rsidR="00BD43F2" w:rsidRPr="00251542">
              <w:rPr>
                <w:sz w:val="16"/>
              </w:rPr>
              <w:t>uillet </w:t>
            </w:r>
            <w:r w:rsidR="004007D3" w:rsidRPr="00251542">
              <w:rPr>
                <w:sz w:val="16"/>
              </w:rPr>
              <w:t>2013</w:t>
            </w:r>
          </w:p>
          <w:p w:rsidR="00D42474" w:rsidRDefault="00D42474" w:rsidP="001A5BF9">
            <w:pPr>
              <w:autoSpaceDE w:val="0"/>
              <w:autoSpaceDN w:val="0"/>
              <w:adjustRightInd w:val="0"/>
              <w:spacing w:before="120" w:after="120"/>
              <w:rPr>
                <w:rFonts w:eastAsia="MS Mincho" w:cs="Arial"/>
                <w:sz w:val="16"/>
                <w:szCs w:val="16"/>
                <w:lang w:bidi="th-TH"/>
              </w:rPr>
            </w:pPr>
          </w:p>
          <w:p w:rsidR="004007D3" w:rsidRPr="00251542" w:rsidRDefault="004007D3" w:rsidP="001A5BF9">
            <w:pPr>
              <w:autoSpaceDE w:val="0"/>
              <w:autoSpaceDN w:val="0"/>
              <w:adjustRightInd w:val="0"/>
              <w:spacing w:before="120" w:after="120"/>
              <w:rPr>
                <w:rFonts w:eastAsia="MS Mincho" w:cs="Arial"/>
                <w:sz w:val="16"/>
                <w:szCs w:val="16"/>
                <w:lang w:bidi="th-TH"/>
              </w:rPr>
            </w:pPr>
          </w:p>
        </w:tc>
        <w:tc>
          <w:tcPr>
            <w:tcW w:w="1986" w:type="dxa"/>
          </w:tcPr>
          <w:p w:rsidR="00D42474" w:rsidRDefault="004007D3" w:rsidP="001A5BF9">
            <w:pPr>
              <w:autoSpaceDE w:val="0"/>
              <w:autoSpaceDN w:val="0"/>
              <w:adjustRightInd w:val="0"/>
              <w:spacing w:before="120" w:after="120"/>
              <w:rPr>
                <w:rFonts w:eastAsia="MS Mincho" w:cs="Arial"/>
                <w:sz w:val="16"/>
                <w:szCs w:val="16"/>
                <w:lang w:bidi="th-TH"/>
              </w:rPr>
            </w:pPr>
            <w:r w:rsidRPr="00251542">
              <w:rPr>
                <w:sz w:val="16"/>
              </w:rPr>
              <w:t>Finlande</w:t>
            </w:r>
          </w:p>
          <w:p w:rsidR="004007D3" w:rsidRPr="00251542" w:rsidRDefault="004007D3" w:rsidP="001A5BF9">
            <w:pPr>
              <w:autoSpaceDE w:val="0"/>
              <w:autoSpaceDN w:val="0"/>
              <w:adjustRightInd w:val="0"/>
              <w:spacing w:before="120" w:after="120"/>
              <w:rPr>
                <w:rFonts w:eastAsia="MS Mincho" w:cs="Arial"/>
                <w:sz w:val="16"/>
                <w:szCs w:val="16"/>
                <w:lang w:bidi="th-TH"/>
              </w:rPr>
            </w:pPr>
          </w:p>
        </w:tc>
        <w:tc>
          <w:tcPr>
            <w:tcW w:w="4256"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Fournir un conseil d</w:t>
            </w:r>
            <w:r w:rsidR="00A20444" w:rsidRPr="00251542">
              <w:rPr>
                <w:sz w:val="16"/>
              </w:rPr>
              <w:t>’</w:t>
            </w:r>
            <w:r w:rsidRPr="00251542">
              <w:rPr>
                <w:sz w:val="16"/>
              </w:rPr>
              <w:t>expert sur l</w:t>
            </w:r>
            <w:r w:rsidR="00A20444" w:rsidRPr="00251542">
              <w:rPr>
                <w:sz w:val="16"/>
              </w:rPr>
              <w:t>’</w:t>
            </w:r>
            <w:r w:rsidRPr="00251542">
              <w:rPr>
                <w:sz w:val="16"/>
              </w:rPr>
              <w:t>application de la méthode permettant de mesurer les conséquences plus larges du droit d</w:t>
            </w:r>
            <w:r w:rsidR="00A20444" w:rsidRPr="00251542">
              <w:rPr>
                <w:sz w:val="16"/>
              </w:rPr>
              <w:t>’</w:t>
            </w:r>
            <w:r w:rsidRPr="00251542">
              <w:rPr>
                <w:sz w:val="16"/>
              </w:rPr>
              <w:t>auteur</w:t>
            </w:r>
          </w:p>
        </w:tc>
      </w:tr>
      <w:tr w:rsidR="004007D3" w:rsidRPr="00251542" w:rsidTr="00A343B3">
        <w:tc>
          <w:tcPr>
            <w:tcW w:w="1844"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Lancement d</w:t>
            </w:r>
            <w:r w:rsidR="00A20444" w:rsidRPr="00251542">
              <w:rPr>
                <w:sz w:val="16"/>
              </w:rPr>
              <w:t>’</w:t>
            </w:r>
            <w:r w:rsidRPr="00251542">
              <w:rPr>
                <w:sz w:val="16"/>
              </w:rPr>
              <w:t>un projet pilote concernant la mesure du piratage d</w:t>
            </w:r>
            <w:r w:rsidR="00A20444" w:rsidRPr="00251542">
              <w:rPr>
                <w:sz w:val="16"/>
              </w:rPr>
              <w:t>’</w:t>
            </w:r>
            <w:r w:rsidRPr="00251542">
              <w:rPr>
                <w:sz w:val="16"/>
              </w:rPr>
              <w:t>œuvres protégées par un droit d</w:t>
            </w:r>
            <w:r w:rsidR="00A20444" w:rsidRPr="00251542">
              <w:rPr>
                <w:sz w:val="16"/>
              </w:rPr>
              <w:t>’</w:t>
            </w:r>
            <w:r w:rsidRPr="00251542">
              <w:rPr>
                <w:sz w:val="16"/>
              </w:rPr>
              <w:t>auteur</w:t>
            </w:r>
          </w:p>
        </w:tc>
        <w:tc>
          <w:tcPr>
            <w:tcW w:w="1137" w:type="dxa"/>
          </w:tcPr>
          <w:p w:rsidR="004007D3" w:rsidRPr="00251542" w:rsidRDefault="00ED7374" w:rsidP="00ED7374">
            <w:pPr>
              <w:autoSpaceDE w:val="0"/>
              <w:autoSpaceDN w:val="0"/>
              <w:adjustRightInd w:val="0"/>
              <w:spacing w:before="120" w:after="120"/>
              <w:rPr>
                <w:rFonts w:eastAsia="MS Mincho" w:cs="Arial"/>
                <w:sz w:val="16"/>
                <w:szCs w:val="16"/>
                <w:lang w:bidi="th-TH"/>
              </w:rPr>
            </w:pPr>
            <w:r>
              <w:rPr>
                <w:sz w:val="16"/>
              </w:rPr>
              <w:t>j</w:t>
            </w:r>
            <w:r w:rsidR="004007D3" w:rsidRPr="00251542">
              <w:rPr>
                <w:sz w:val="16"/>
              </w:rPr>
              <w:t>uin 2012 à</w:t>
            </w:r>
            <w:r>
              <w:rPr>
                <w:sz w:val="16"/>
              </w:rPr>
              <w:t xml:space="preserve"> </w:t>
            </w:r>
            <w:r w:rsidR="004007D3" w:rsidRPr="00251542">
              <w:rPr>
                <w:sz w:val="16"/>
              </w:rPr>
              <w:t>juillet 2013</w:t>
            </w:r>
          </w:p>
        </w:tc>
        <w:tc>
          <w:tcPr>
            <w:tcW w:w="1986" w:type="dxa"/>
          </w:tcPr>
          <w:p w:rsidR="00D42474" w:rsidRDefault="004007D3" w:rsidP="001A5BF9">
            <w:pPr>
              <w:autoSpaceDE w:val="0"/>
              <w:autoSpaceDN w:val="0"/>
              <w:adjustRightInd w:val="0"/>
              <w:spacing w:before="120" w:after="120"/>
              <w:rPr>
                <w:rFonts w:eastAsia="MS Mincho" w:cs="Arial"/>
                <w:sz w:val="16"/>
                <w:szCs w:val="16"/>
                <w:lang w:bidi="th-TH"/>
              </w:rPr>
            </w:pPr>
            <w:r w:rsidRPr="00251542">
              <w:rPr>
                <w:sz w:val="16"/>
              </w:rPr>
              <w:t>Philippines</w:t>
            </w:r>
          </w:p>
          <w:p w:rsidR="004007D3" w:rsidRPr="00251542" w:rsidRDefault="004007D3" w:rsidP="001A5BF9">
            <w:pPr>
              <w:autoSpaceDE w:val="0"/>
              <w:autoSpaceDN w:val="0"/>
              <w:adjustRightInd w:val="0"/>
              <w:spacing w:before="120" w:after="120"/>
              <w:rPr>
                <w:rFonts w:eastAsia="MS Mincho" w:cs="Arial"/>
                <w:sz w:val="16"/>
                <w:szCs w:val="16"/>
                <w:lang w:bidi="th-TH"/>
              </w:rPr>
            </w:pPr>
          </w:p>
        </w:tc>
        <w:tc>
          <w:tcPr>
            <w:tcW w:w="4256"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Fournir un conseil d</w:t>
            </w:r>
            <w:r w:rsidR="00A20444" w:rsidRPr="00251542">
              <w:rPr>
                <w:sz w:val="16"/>
              </w:rPr>
              <w:t>’</w:t>
            </w:r>
            <w:r w:rsidRPr="00251542">
              <w:rPr>
                <w:sz w:val="16"/>
              </w:rPr>
              <w:t>expert sur l</w:t>
            </w:r>
            <w:r w:rsidR="00A20444" w:rsidRPr="00251542">
              <w:rPr>
                <w:sz w:val="16"/>
              </w:rPr>
              <w:t>’</w:t>
            </w:r>
            <w:r w:rsidRPr="00251542">
              <w:rPr>
                <w:sz w:val="16"/>
              </w:rPr>
              <w:t>application d</w:t>
            </w:r>
            <w:r w:rsidR="00A20444" w:rsidRPr="00251542">
              <w:rPr>
                <w:sz w:val="16"/>
              </w:rPr>
              <w:t>’</w:t>
            </w:r>
            <w:r w:rsidRPr="00251542">
              <w:rPr>
                <w:sz w:val="16"/>
              </w:rPr>
              <w:t>orientations méthodologiques permettant de mesurer le piratage d</w:t>
            </w:r>
            <w:r w:rsidR="00A20444" w:rsidRPr="00251542">
              <w:rPr>
                <w:sz w:val="16"/>
              </w:rPr>
              <w:t>’</w:t>
            </w:r>
            <w:r w:rsidRPr="00251542">
              <w:rPr>
                <w:sz w:val="16"/>
              </w:rPr>
              <w:t>œuvres protégées par un droit d</w:t>
            </w:r>
            <w:r w:rsidR="00A20444" w:rsidRPr="00251542">
              <w:rPr>
                <w:sz w:val="16"/>
              </w:rPr>
              <w:t>’</w:t>
            </w:r>
            <w:r w:rsidRPr="00251542">
              <w:rPr>
                <w:sz w:val="16"/>
              </w:rPr>
              <w:t>auteur</w:t>
            </w:r>
          </w:p>
        </w:tc>
      </w:tr>
      <w:tr w:rsidR="004007D3" w:rsidRPr="00251542" w:rsidTr="00A343B3">
        <w:tc>
          <w:tcPr>
            <w:tcW w:w="1844"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Révision des principes directeurs de l</w:t>
            </w:r>
            <w:r w:rsidR="00A20444" w:rsidRPr="00251542">
              <w:rPr>
                <w:sz w:val="16"/>
              </w:rPr>
              <w:t>’</w:t>
            </w:r>
            <w:r w:rsidRPr="00251542">
              <w:rPr>
                <w:sz w:val="16"/>
              </w:rPr>
              <w:t>OMPI quant à la mesure de la contribution économique des industries du droit d</w:t>
            </w:r>
            <w:r w:rsidR="00A20444" w:rsidRPr="00251542">
              <w:rPr>
                <w:sz w:val="16"/>
              </w:rPr>
              <w:t>’</w:t>
            </w:r>
            <w:r w:rsidRPr="00251542">
              <w:rPr>
                <w:sz w:val="16"/>
              </w:rPr>
              <w:t>auteur</w:t>
            </w:r>
          </w:p>
        </w:tc>
        <w:tc>
          <w:tcPr>
            <w:tcW w:w="1137" w:type="dxa"/>
          </w:tcPr>
          <w:p w:rsidR="004007D3" w:rsidRPr="00251542" w:rsidRDefault="00ED7374" w:rsidP="001A5BF9">
            <w:pPr>
              <w:autoSpaceDE w:val="0"/>
              <w:autoSpaceDN w:val="0"/>
              <w:adjustRightInd w:val="0"/>
              <w:spacing w:before="120" w:after="120"/>
              <w:rPr>
                <w:rFonts w:eastAsia="MS Mincho" w:cs="Arial"/>
                <w:sz w:val="16"/>
                <w:szCs w:val="16"/>
                <w:lang w:bidi="th-TH"/>
              </w:rPr>
            </w:pPr>
            <w:r>
              <w:rPr>
                <w:sz w:val="16"/>
              </w:rPr>
              <w:t>j</w:t>
            </w:r>
            <w:r w:rsidR="0081044B" w:rsidRPr="00251542">
              <w:rPr>
                <w:sz w:val="16"/>
              </w:rPr>
              <w:t>uin à décembre</w:t>
            </w:r>
            <w:r w:rsidR="0081044B" w:rsidRPr="00251542">
              <w:rPr>
                <w:sz w:val="16"/>
              </w:rPr>
              <w:br/>
            </w:r>
            <w:r w:rsidR="004007D3" w:rsidRPr="00251542">
              <w:rPr>
                <w:sz w:val="16"/>
              </w:rPr>
              <w:t>2013</w:t>
            </w:r>
          </w:p>
        </w:tc>
        <w:tc>
          <w:tcPr>
            <w:tcW w:w="1986"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Tous les pays</w:t>
            </w:r>
          </w:p>
        </w:tc>
        <w:tc>
          <w:tcPr>
            <w:tcW w:w="4256"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Élaborer des principes directeurs révisés sur la mesure de la contribution économique des industries du droit d</w:t>
            </w:r>
            <w:r w:rsidR="00A20444" w:rsidRPr="00251542">
              <w:rPr>
                <w:sz w:val="16"/>
              </w:rPr>
              <w:t>’</w:t>
            </w:r>
            <w:r w:rsidRPr="00251542">
              <w:rPr>
                <w:sz w:val="16"/>
              </w:rPr>
              <w:t>auteur sur la base de l</w:t>
            </w:r>
            <w:r w:rsidR="00A20444" w:rsidRPr="00251542">
              <w:rPr>
                <w:sz w:val="16"/>
              </w:rPr>
              <w:t>’</w:t>
            </w:r>
            <w:r w:rsidRPr="00251542">
              <w:rPr>
                <w:sz w:val="16"/>
              </w:rPr>
              <w:t>expérience acquise grâce à des enquêtes nationales</w:t>
            </w:r>
          </w:p>
        </w:tc>
      </w:tr>
    </w:tbl>
    <w:p w:rsidR="00D42474" w:rsidRDefault="00D42474" w:rsidP="001A5BF9">
      <w:pPr>
        <w:spacing w:before="120"/>
        <w:rPr>
          <w:rFonts w:cs="Arial"/>
          <w:b/>
          <w:sz w:val="16"/>
          <w:szCs w:val="16"/>
        </w:rPr>
      </w:pPr>
    </w:p>
    <w:p w:rsidR="00D42474" w:rsidRDefault="00D42474" w:rsidP="001A5BF9">
      <w:pPr>
        <w:spacing w:before="120"/>
        <w:rPr>
          <w:rFonts w:cs="Arial"/>
          <w:b/>
          <w:szCs w:val="20"/>
        </w:rPr>
      </w:pPr>
    </w:p>
    <w:p w:rsidR="00D42474" w:rsidRDefault="00D42474" w:rsidP="001A5BF9">
      <w:pPr>
        <w:tabs>
          <w:tab w:val="left" w:pos="0"/>
          <w:tab w:val="left" w:pos="9071"/>
        </w:tabs>
        <w:jc w:val="center"/>
        <w:rPr>
          <w:rFonts w:cs="Arial"/>
          <w:b/>
          <w:szCs w:val="20"/>
        </w:rPr>
      </w:pPr>
    </w:p>
    <w:p w:rsidR="00D42474" w:rsidRDefault="004007D3" w:rsidP="001A5BF9">
      <w:pPr>
        <w:rPr>
          <w:rFonts w:cs="Arial"/>
          <w:b/>
          <w:sz w:val="18"/>
          <w:szCs w:val="18"/>
        </w:rPr>
      </w:pPr>
      <w:r w:rsidRPr="00251542">
        <w:rPr>
          <w:b/>
          <w:sz w:val="18"/>
        </w:rPr>
        <w:t>FINLANDE/DROIT D</w:t>
      </w:r>
      <w:r w:rsidR="00A20444" w:rsidRPr="00251542">
        <w:rPr>
          <w:b/>
          <w:sz w:val="18"/>
        </w:rPr>
        <w:t>’</w:t>
      </w:r>
      <w:r w:rsidRPr="00251542">
        <w:rPr>
          <w:b/>
          <w:sz w:val="18"/>
        </w:rPr>
        <w:t>AUTEUR III – Contributions des donateurs et dépenses en 2013</w:t>
      </w:r>
      <w:r w:rsidRPr="00251542">
        <w:rPr>
          <w:rFonts w:ascii="Arial Bold" w:hAnsi="Arial Bold"/>
          <w:b/>
          <w:sz w:val="18"/>
          <w:vertAlign w:val="superscript"/>
        </w:rPr>
        <w:t>1</w:t>
      </w:r>
    </w:p>
    <w:p w:rsidR="004007D3" w:rsidRPr="00251542" w:rsidRDefault="004007D3" w:rsidP="001A5BF9">
      <w:pPr>
        <w:autoSpaceDE w:val="0"/>
        <w:autoSpaceDN w:val="0"/>
        <w:adjustRightInd w:val="0"/>
        <w:rPr>
          <w:rFonts w:eastAsia="MS Mincho" w:cs="Arial"/>
          <w:b/>
          <w:bCs/>
          <w:sz w:val="18"/>
          <w:szCs w:val="18"/>
          <w:lang w:bidi="th-T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4007D3" w:rsidRPr="00251542" w:rsidTr="0056083E">
        <w:trPr>
          <w:trHeight w:val="567"/>
        </w:trPr>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2012</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4"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2013</w:t>
            </w:r>
          </w:p>
        </w:tc>
      </w:tr>
      <w:tr w:rsidR="004007D3" w:rsidRPr="00251542" w:rsidTr="0056083E">
        <w:trPr>
          <w:trHeight w:val="567"/>
        </w:trPr>
        <w:tc>
          <w:tcPr>
            <w:tcW w:w="184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182 635</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39 270</w:t>
            </w:r>
          </w:p>
        </w:tc>
        <w:tc>
          <w:tcPr>
            <w:tcW w:w="184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51 767</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p>
        </w:tc>
        <w:tc>
          <w:tcPr>
            <w:tcW w:w="1984"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170 138</w:t>
            </w:r>
          </w:p>
        </w:tc>
      </w:tr>
    </w:tbl>
    <w:p w:rsidR="00D42474" w:rsidRDefault="004007D3" w:rsidP="001A5BF9">
      <w:pPr>
        <w:spacing w:before="120"/>
        <w:rPr>
          <w:sz w:val="16"/>
          <w:szCs w:val="16"/>
        </w:rPr>
      </w:pPr>
      <w:r w:rsidRPr="00A343B3">
        <w:rPr>
          <w:i/>
          <w:sz w:val="16"/>
          <w:szCs w:val="16"/>
          <w:vertAlign w:val="superscript"/>
        </w:rPr>
        <w:t>1</w:t>
      </w:r>
      <w:r w:rsidR="00A343B3">
        <w:rPr>
          <w:i/>
          <w:sz w:val="16"/>
          <w:szCs w:val="16"/>
        </w:rPr>
        <w:t xml:space="preserve"> </w:t>
      </w:r>
      <w:r w:rsidRPr="00A343B3">
        <w:rPr>
          <w:i/>
          <w:sz w:val="16"/>
          <w:szCs w:val="16"/>
        </w:rPr>
        <w:t xml:space="preserve"> États financiers de l</w:t>
      </w:r>
      <w:r w:rsidR="00A20444" w:rsidRPr="00A343B3">
        <w:rPr>
          <w:i/>
          <w:sz w:val="16"/>
          <w:szCs w:val="16"/>
        </w:rPr>
        <w:t>’</w:t>
      </w:r>
      <w:r w:rsidRPr="00A343B3">
        <w:rPr>
          <w:i/>
          <w:sz w:val="16"/>
          <w:szCs w:val="16"/>
        </w:rPr>
        <w:t>OMPI 2013 (annexe III)</w:t>
      </w:r>
    </w:p>
    <w:p w:rsidR="00D42474" w:rsidRDefault="00D42474" w:rsidP="001A5BF9">
      <w:pPr>
        <w:autoSpaceDE w:val="0"/>
        <w:autoSpaceDN w:val="0"/>
        <w:adjustRightInd w:val="0"/>
        <w:rPr>
          <w:rFonts w:eastAsia="MS Mincho" w:cs="Arial"/>
          <w:b/>
          <w:bCs/>
          <w:sz w:val="18"/>
          <w:szCs w:val="18"/>
          <w:lang w:bidi="th-TH"/>
        </w:rPr>
      </w:pPr>
    </w:p>
    <w:p w:rsidR="00D42474" w:rsidRDefault="00D42474" w:rsidP="001A5BF9">
      <w:pPr>
        <w:autoSpaceDE w:val="0"/>
        <w:autoSpaceDN w:val="0"/>
        <w:adjustRightInd w:val="0"/>
        <w:rPr>
          <w:rFonts w:eastAsia="MS Mincho" w:cs="Arial"/>
          <w:b/>
          <w:bCs/>
          <w:sz w:val="18"/>
          <w:szCs w:val="18"/>
          <w:lang w:bidi="th-TH"/>
        </w:rPr>
      </w:pPr>
    </w:p>
    <w:p w:rsidR="00D42474" w:rsidRDefault="00D42474" w:rsidP="001A5BF9">
      <w:pPr>
        <w:rPr>
          <w:rFonts w:cs="Arial"/>
          <w:b/>
          <w:sz w:val="16"/>
          <w:szCs w:val="16"/>
        </w:rPr>
      </w:pPr>
    </w:p>
    <w:p w:rsidR="00D42474" w:rsidRDefault="004007D3" w:rsidP="001A5BF9">
      <w:pPr>
        <w:rPr>
          <w:rFonts w:cs="Arial"/>
          <w:b/>
          <w:szCs w:val="20"/>
        </w:rPr>
      </w:pPr>
      <w:r w:rsidRPr="00251542">
        <w:br w:type="page"/>
      </w:r>
      <w:r w:rsidRPr="00251542">
        <w:rPr>
          <w:b/>
        </w:rPr>
        <w:t>FRANCE/PROPRIÉTÉ INDUSTRIELLE</w:t>
      </w:r>
    </w:p>
    <w:p w:rsidR="004007D3" w:rsidRPr="00251542" w:rsidRDefault="004007D3" w:rsidP="001A5BF9">
      <w:pPr>
        <w:rPr>
          <w:rFonts w:cs="Arial"/>
          <w:b/>
          <w:sz w:val="16"/>
          <w:szCs w:val="16"/>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0"/>
        <w:gridCol w:w="1220"/>
        <w:gridCol w:w="2185"/>
        <w:gridCol w:w="3969"/>
      </w:tblGrid>
      <w:tr w:rsidR="004007D3" w:rsidRPr="00251542" w:rsidTr="00A343B3">
        <w:tc>
          <w:tcPr>
            <w:tcW w:w="9214" w:type="dxa"/>
            <w:gridSpan w:val="4"/>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60"/>
              <w:ind w:left="1741" w:hanging="1741"/>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A343B3">
              <w:rPr>
                <w:b/>
                <w:sz w:val="16"/>
              </w:rPr>
              <w:tab/>
            </w:r>
            <w:r w:rsidRPr="00A343B3">
              <w:rPr>
                <w:sz w:val="16"/>
              </w:rPr>
              <w:t>Renforcement des ressources humaines dans les pays en développement,</w:t>
            </w:r>
            <w:r w:rsidR="00A20444" w:rsidRPr="00A343B3">
              <w:rPr>
                <w:sz w:val="16"/>
              </w:rPr>
              <w:t xml:space="preserve"> les PMA</w:t>
            </w:r>
            <w:r w:rsidRPr="00A343B3">
              <w:rPr>
                <w:sz w:val="16"/>
              </w:rPr>
              <w:t xml:space="preserve"> et les pays en transition pour leur permettre d</w:t>
            </w:r>
            <w:r w:rsidR="00A20444" w:rsidRPr="00A343B3">
              <w:rPr>
                <w:sz w:val="16"/>
              </w:rPr>
              <w:t>’</w:t>
            </w:r>
            <w:r w:rsidRPr="00A343B3">
              <w:rPr>
                <w:sz w:val="16"/>
              </w:rPr>
              <w:t>utiliser avec efficacité la propriété intellectue</w:t>
            </w:r>
            <w:r w:rsidR="00A343B3">
              <w:rPr>
                <w:sz w:val="16"/>
              </w:rPr>
              <w:t>lle au service du développement</w:t>
            </w:r>
          </w:p>
        </w:tc>
      </w:tr>
      <w:tr w:rsidR="004007D3" w:rsidRPr="00A343B3" w:rsidTr="00A343B3">
        <w:tc>
          <w:tcPr>
            <w:tcW w:w="1840" w:type="dxa"/>
            <w:tcBorders>
              <w:top w:val="single" w:sz="4" w:space="0" w:color="auto"/>
            </w:tcBorders>
            <w:vAlign w:val="center"/>
          </w:tcPr>
          <w:p w:rsidR="004007D3" w:rsidRPr="00A343B3" w:rsidRDefault="004007D3" w:rsidP="001A5BF9">
            <w:pPr>
              <w:keepNext/>
              <w:keepLines/>
              <w:rPr>
                <w:rFonts w:cs="Arial"/>
                <w:b/>
                <w:bCs/>
                <w:sz w:val="16"/>
                <w:szCs w:val="16"/>
              </w:rPr>
            </w:pPr>
            <w:r w:rsidRPr="00A343B3">
              <w:rPr>
                <w:b/>
                <w:sz w:val="16"/>
              </w:rPr>
              <w:t>Activité</w:t>
            </w:r>
          </w:p>
        </w:tc>
        <w:tc>
          <w:tcPr>
            <w:tcW w:w="1220" w:type="dxa"/>
            <w:tcBorders>
              <w:top w:val="single" w:sz="4" w:space="0" w:color="auto"/>
            </w:tcBorders>
            <w:shd w:val="clear" w:color="auto" w:fill="auto"/>
            <w:tcMar>
              <w:top w:w="110" w:type="dxa"/>
            </w:tcMar>
            <w:vAlign w:val="center"/>
          </w:tcPr>
          <w:p w:rsidR="004007D3" w:rsidRPr="00A343B3" w:rsidRDefault="004007D3" w:rsidP="001A5BF9">
            <w:pPr>
              <w:keepNext/>
              <w:keepLines/>
              <w:rPr>
                <w:rFonts w:cs="Arial"/>
                <w:b/>
                <w:sz w:val="16"/>
                <w:szCs w:val="16"/>
              </w:rPr>
            </w:pPr>
            <w:r w:rsidRPr="00A343B3">
              <w:rPr>
                <w:b/>
                <w:sz w:val="16"/>
              </w:rPr>
              <w:t>Date :</w:t>
            </w:r>
          </w:p>
        </w:tc>
        <w:tc>
          <w:tcPr>
            <w:tcW w:w="2185" w:type="dxa"/>
            <w:tcBorders>
              <w:top w:val="single" w:sz="4" w:space="0" w:color="auto"/>
            </w:tcBorders>
            <w:shd w:val="clear" w:color="auto" w:fill="auto"/>
            <w:tcMar>
              <w:top w:w="110" w:type="dxa"/>
            </w:tcMar>
            <w:vAlign w:val="center"/>
          </w:tcPr>
          <w:p w:rsidR="004007D3" w:rsidRPr="00A343B3" w:rsidRDefault="004007D3" w:rsidP="001A5BF9">
            <w:pPr>
              <w:keepNext/>
              <w:keepLines/>
              <w:rPr>
                <w:rFonts w:cs="Arial"/>
                <w:b/>
                <w:sz w:val="16"/>
                <w:szCs w:val="16"/>
              </w:rPr>
            </w:pPr>
            <w:r w:rsidRPr="00A343B3">
              <w:rPr>
                <w:b/>
                <w:sz w:val="16"/>
              </w:rPr>
              <w:t>Pays hôte/bénéficiaire</w:t>
            </w:r>
          </w:p>
        </w:tc>
        <w:tc>
          <w:tcPr>
            <w:tcW w:w="3969" w:type="dxa"/>
            <w:tcBorders>
              <w:top w:val="single" w:sz="4" w:space="0" w:color="auto"/>
            </w:tcBorders>
            <w:shd w:val="clear" w:color="auto" w:fill="FFFFFF"/>
            <w:tcMar>
              <w:top w:w="110" w:type="dxa"/>
            </w:tcMar>
            <w:vAlign w:val="center"/>
          </w:tcPr>
          <w:p w:rsidR="004007D3" w:rsidRPr="00A343B3" w:rsidRDefault="004007D3" w:rsidP="001A5BF9">
            <w:pPr>
              <w:keepNext/>
              <w:keepLines/>
              <w:rPr>
                <w:rFonts w:cs="Arial"/>
                <w:b/>
                <w:sz w:val="16"/>
                <w:szCs w:val="16"/>
              </w:rPr>
            </w:pPr>
            <w:r w:rsidRPr="00A343B3">
              <w:rPr>
                <w:b/>
                <w:sz w:val="16"/>
              </w:rPr>
              <w:t>Objectif(s)/description(s)</w:t>
            </w:r>
          </w:p>
        </w:tc>
      </w:tr>
      <w:tr w:rsidR="004007D3" w:rsidRPr="00251542" w:rsidTr="00A343B3">
        <w:tc>
          <w:tcPr>
            <w:tcW w:w="1840"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Conférence sur le financement et l</w:t>
            </w:r>
            <w:r w:rsidR="00A20444" w:rsidRPr="00251542">
              <w:rPr>
                <w:sz w:val="16"/>
              </w:rPr>
              <w:t>’</w:t>
            </w:r>
            <w:r w:rsidRPr="00251542">
              <w:rPr>
                <w:sz w:val="16"/>
              </w:rPr>
              <w:t>évaluation de la propriété intellectuelle organisée par l</w:t>
            </w:r>
            <w:r w:rsidR="00A20444" w:rsidRPr="00251542">
              <w:rPr>
                <w:sz w:val="16"/>
              </w:rPr>
              <w:t>’</w:t>
            </w:r>
            <w:r w:rsidRPr="00251542">
              <w:rPr>
                <w:sz w:val="16"/>
              </w:rPr>
              <w:t>Institut national de la propriété industrielle (</w:t>
            </w:r>
            <w:proofErr w:type="spellStart"/>
            <w:r w:rsidRPr="00251542">
              <w:rPr>
                <w:sz w:val="16"/>
              </w:rPr>
              <w:t>INPI</w:t>
            </w:r>
            <w:proofErr w:type="spellEnd"/>
            <w:r w:rsidRPr="00251542">
              <w:rPr>
                <w:sz w:val="16"/>
              </w:rPr>
              <w:t>) France, et l</w:t>
            </w:r>
            <w:r w:rsidR="00A20444" w:rsidRPr="00251542">
              <w:rPr>
                <w:sz w:val="16"/>
              </w:rPr>
              <w:t>’</w:t>
            </w:r>
            <w:r w:rsidRPr="00251542">
              <w:rPr>
                <w:sz w:val="16"/>
              </w:rPr>
              <w:t>Office de propriété intellectuelle de Singapour (</w:t>
            </w:r>
            <w:proofErr w:type="spellStart"/>
            <w:r w:rsidRPr="00251542">
              <w:rPr>
                <w:sz w:val="16"/>
              </w:rPr>
              <w:t>IPOS</w:t>
            </w:r>
            <w:proofErr w:type="spellEnd"/>
            <w:r w:rsidRPr="00251542">
              <w:rPr>
                <w:sz w:val="16"/>
              </w:rPr>
              <w:t xml:space="preserve">) </w:t>
            </w:r>
          </w:p>
        </w:tc>
        <w:tc>
          <w:tcPr>
            <w:tcW w:w="1220" w:type="dxa"/>
          </w:tcPr>
          <w:p w:rsidR="004007D3" w:rsidRPr="00251542" w:rsidRDefault="0081044B" w:rsidP="001A5BF9">
            <w:pPr>
              <w:autoSpaceDE w:val="0"/>
              <w:autoSpaceDN w:val="0"/>
              <w:adjustRightInd w:val="0"/>
              <w:spacing w:before="120" w:after="120"/>
              <w:rPr>
                <w:rFonts w:eastAsia="MS Mincho" w:cs="Arial"/>
                <w:sz w:val="16"/>
                <w:szCs w:val="16"/>
                <w:lang w:bidi="th-TH"/>
              </w:rPr>
            </w:pPr>
            <w:r w:rsidRPr="00251542">
              <w:rPr>
                <w:sz w:val="16"/>
              </w:rPr>
              <w:t>29 </w:t>
            </w:r>
            <w:r w:rsidR="00A20444" w:rsidRPr="00251542">
              <w:rPr>
                <w:sz w:val="16"/>
              </w:rPr>
              <w:t>août 20</w:t>
            </w:r>
            <w:r w:rsidR="004007D3" w:rsidRPr="00251542">
              <w:rPr>
                <w:sz w:val="16"/>
              </w:rPr>
              <w:t>13</w:t>
            </w:r>
          </w:p>
        </w:tc>
        <w:tc>
          <w:tcPr>
            <w:tcW w:w="2185" w:type="dxa"/>
          </w:tcPr>
          <w:p w:rsidR="004007D3" w:rsidRPr="00251542" w:rsidRDefault="004007D3" w:rsidP="001A5BF9">
            <w:pPr>
              <w:autoSpaceDE w:val="0"/>
              <w:autoSpaceDN w:val="0"/>
              <w:adjustRightInd w:val="0"/>
              <w:spacing w:before="120" w:after="60"/>
              <w:rPr>
                <w:rFonts w:eastAsia="MS Mincho" w:cs="Arial"/>
                <w:sz w:val="16"/>
                <w:szCs w:val="16"/>
                <w:lang w:bidi="th-TH"/>
              </w:rPr>
            </w:pPr>
            <w:r w:rsidRPr="00251542">
              <w:rPr>
                <w:sz w:val="16"/>
              </w:rPr>
              <w:t>Singapour</w:t>
            </w:r>
          </w:p>
        </w:tc>
        <w:tc>
          <w:tcPr>
            <w:tcW w:w="3969" w:type="dxa"/>
          </w:tcPr>
          <w:p w:rsidR="004007D3" w:rsidRPr="00251542" w:rsidRDefault="004007D3" w:rsidP="001A5BF9">
            <w:pPr>
              <w:autoSpaceDE w:val="0"/>
              <w:autoSpaceDN w:val="0"/>
              <w:adjustRightInd w:val="0"/>
              <w:spacing w:before="120" w:after="120"/>
              <w:rPr>
                <w:rFonts w:eastAsia="MS Mincho" w:cs="Arial"/>
                <w:bCs/>
                <w:sz w:val="16"/>
                <w:szCs w:val="16"/>
                <w:lang w:bidi="th-TH"/>
              </w:rPr>
            </w:pPr>
            <w:r w:rsidRPr="00251542">
              <w:rPr>
                <w:sz w:val="16"/>
              </w:rPr>
              <w:t>Explorer l</w:t>
            </w:r>
            <w:r w:rsidR="00A20444" w:rsidRPr="00251542">
              <w:rPr>
                <w:sz w:val="16"/>
              </w:rPr>
              <w:t>’</w:t>
            </w:r>
            <w:r w:rsidRPr="00251542">
              <w:rPr>
                <w:sz w:val="16"/>
              </w:rPr>
              <w:t>évolution de l</w:t>
            </w:r>
            <w:r w:rsidR="00A20444" w:rsidRPr="00251542">
              <w:rPr>
                <w:sz w:val="16"/>
              </w:rPr>
              <w:t>’</w:t>
            </w:r>
            <w:r w:rsidRPr="00251542">
              <w:rPr>
                <w:sz w:val="16"/>
              </w:rPr>
              <w:t>évaluation de la propriété intellectuelle et le financement de la propriété intellectuelle dans le cadre de la semaine de la propriété intellectuelle @</w:t>
            </w:r>
            <w:proofErr w:type="spellStart"/>
            <w:r w:rsidRPr="00251542">
              <w:rPr>
                <w:sz w:val="16"/>
              </w:rPr>
              <w:t>SG</w:t>
            </w:r>
            <w:proofErr w:type="spellEnd"/>
            <w:r w:rsidRPr="00251542">
              <w:rPr>
                <w:sz w:val="16"/>
              </w:rPr>
              <w:t xml:space="preserve"> (du 26 au 30 août 2013) </w:t>
            </w:r>
          </w:p>
        </w:tc>
      </w:tr>
      <w:tr w:rsidR="004007D3" w:rsidRPr="00251542" w:rsidTr="00A343B3">
        <w:tc>
          <w:tcPr>
            <w:tcW w:w="1840"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 xml:space="preserve">Deux séminaires </w:t>
            </w:r>
            <w:proofErr w:type="spellStart"/>
            <w:r w:rsidRPr="00251542">
              <w:rPr>
                <w:sz w:val="16"/>
              </w:rPr>
              <w:t>sous</w:t>
            </w:r>
            <w:r w:rsidR="002D6F2A" w:rsidRPr="00251542">
              <w:rPr>
                <w:sz w:val="16"/>
              </w:rPr>
              <w:noBreakHyphen/>
            </w:r>
            <w:r w:rsidRPr="00251542">
              <w:rPr>
                <w:sz w:val="16"/>
              </w:rPr>
              <w:t>régionaux</w:t>
            </w:r>
            <w:proofErr w:type="spellEnd"/>
            <w:r w:rsidRPr="00251542">
              <w:rPr>
                <w:sz w:val="16"/>
              </w:rPr>
              <w:t xml:space="preserve"> pour promouvoir le respect de la propriété intellectuelle (</w:t>
            </w:r>
            <w:proofErr w:type="spellStart"/>
            <w:r w:rsidRPr="00251542">
              <w:rPr>
                <w:sz w:val="16"/>
              </w:rPr>
              <w:t>BRIP</w:t>
            </w:r>
            <w:proofErr w:type="spellEnd"/>
            <w:r w:rsidRPr="00251542">
              <w:rPr>
                <w:sz w:val="16"/>
              </w:rPr>
              <w:t>) organisés par l</w:t>
            </w:r>
            <w:r w:rsidR="00A20444" w:rsidRPr="00251542">
              <w:rPr>
                <w:sz w:val="16"/>
              </w:rPr>
              <w:t>’</w:t>
            </w:r>
            <w:proofErr w:type="spellStart"/>
            <w:r w:rsidRPr="00251542">
              <w:rPr>
                <w:sz w:val="16"/>
              </w:rPr>
              <w:t>INPI</w:t>
            </w:r>
            <w:proofErr w:type="spellEnd"/>
            <w:r w:rsidRPr="00251542">
              <w:rPr>
                <w:sz w:val="16"/>
              </w:rPr>
              <w:t xml:space="preserve"> France, l</w:t>
            </w:r>
            <w:r w:rsidR="00A20444" w:rsidRPr="00251542">
              <w:rPr>
                <w:sz w:val="16"/>
              </w:rPr>
              <w:t>’</w:t>
            </w:r>
            <w:r w:rsidRPr="00251542">
              <w:rPr>
                <w:sz w:val="16"/>
              </w:rPr>
              <w:t>OAPI et l</w:t>
            </w:r>
            <w:r w:rsidR="00A20444" w:rsidRPr="00251542">
              <w:rPr>
                <w:sz w:val="16"/>
              </w:rPr>
              <w:t>’</w:t>
            </w:r>
            <w:r w:rsidRPr="00251542">
              <w:rPr>
                <w:sz w:val="16"/>
              </w:rPr>
              <w:t>OMPI</w:t>
            </w:r>
          </w:p>
        </w:tc>
        <w:tc>
          <w:tcPr>
            <w:tcW w:w="1220" w:type="dxa"/>
          </w:tcPr>
          <w:p w:rsidR="00D42474" w:rsidRDefault="0081044B" w:rsidP="001A5BF9">
            <w:pPr>
              <w:autoSpaceDE w:val="0"/>
              <w:autoSpaceDN w:val="0"/>
              <w:adjustRightInd w:val="0"/>
              <w:spacing w:before="120" w:after="120"/>
              <w:rPr>
                <w:rFonts w:eastAsia="MS Mincho" w:cs="Arial"/>
                <w:sz w:val="16"/>
                <w:szCs w:val="16"/>
                <w:lang w:bidi="th-TH"/>
              </w:rPr>
            </w:pPr>
            <w:r w:rsidRPr="00251542">
              <w:rPr>
                <w:sz w:val="16"/>
              </w:rPr>
              <w:t>25</w:t>
            </w:r>
            <w:r w:rsidR="002D6F2A" w:rsidRPr="00251542">
              <w:rPr>
                <w:sz w:val="16"/>
              </w:rPr>
              <w:noBreakHyphen/>
            </w:r>
            <w:r w:rsidRPr="00251542">
              <w:rPr>
                <w:sz w:val="16"/>
              </w:rPr>
              <w:t>27</w:t>
            </w:r>
            <w:r w:rsidR="00ED7374">
              <w:rPr>
                <w:sz w:val="16"/>
              </w:rPr>
              <w:t xml:space="preserve"> </w:t>
            </w:r>
            <w:r w:rsidR="00A20444" w:rsidRPr="00251542">
              <w:rPr>
                <w:sz w:val="16"/>
              </w:rPr>
              <w:t>novembre</w:t>
            </w:r>
            <w:r w:rsidR="00ED7374">
              <w:rPr>
                <w:sz w:val="16"/>
              </w:rPr>
              <w:t xml:space="preserve"> </w:t>
            </w:r>
            <w:r w:rsidR="00A20444" w:rsidRPr="00251542">
              <w:rPr>
                <w:sz w:val="16"/>
              </w:rPr>
              <w:t>20</w:t>
            </w:r>
            <w:r w:rsidR="004007D3" w:rsidRPr="00251542">
              <w:rPr>
                <w:sz w:val="16"/>
              </w:rPr>
              <w:t xml:space="preserve">13 </w:t>
            </w:r>
            <w:r w:rsidR="004007D3" w:rsidRPr="00251542">
              <w:br/>
            </w:r>
            <w:r w:rsidR="004007D3" w:rsidRPr="00251542">
              <w:br/>
            </w:r>
          </w:p>
          <w:p w:rsidR="004007D3" w:rsidRPr="00251542" w:rsidRDefault="004007D3" w:rsidP="00ED7374">
            <w:pPr>
              <w:autoSpaceDE w:val="0"/>
              <w:autoSpaceDN w:val="0"/>
              <w:adjustRightInd w:val="0"/>
              <w:spacing w:before="120" w:after="120"/>
              <w:rPr>
                <w:rFonts w:eastAsia="MS Mincho" w:cs="Arial"/>
                <w:sz w:val="16"/>
                <w:szCs w:val="16"/>
                <w:lang w:bidi="th-TH"/>
              </w:rPr>
            </w:pPr>
            <w:r w:rsidRPr="00251542">
              <w:rPr>
                <w:sz w:val="16"/>
              </w:rPr>
              <w:t>25</w:t>
            </w:r>
            <w:r w:rsidR="002D6F2A" w:rsidRPr="00251542">
              <w:rPr>
                <w:sz w:val="16"/>
              </w:rPr>
              <w:noBreakHyphen/>
            </w:r>
            <w:r w:rsidRPr="00251542">
              <w:rPr>
                <w:sz w:val="16"/>
              </w:rPr>
              <w:t>27</w:t>
            </w:r>
            <w:r w:rsidR="00ED7374">
              <w:rPr>
                <w:sz w:val="16"/>
              </w:rPr>
              <w:t xml:space="preserve"> </w:t>
            </w:r>
            <w:r w:rsidRPr="00251542">
              <w:rPr>
                <w:sz w:val="16"/>
              </w:rPr>
              <w:t>novembre</w:t>
            </w:r>
            <w:r w:rsidR="00ED7374">
              <w:rPr>
                <w:sz w:val="16"/>
              </w:rPr>
              <w:t xml:space="preserve"> </w:t>
            </w:r>
            <w:r w:rsidRPr="00251542">
              <w:rPr>
                <w:sz w:val="16"/>
              </w:rPr>
              <w:t>2013</w:t>
            </w:r>
          </w:p>
        </w:tc>
        <w:tc>
          <w:tcPr>
            <w:tcW w:w="2185" w:type="dxa"/>
          </w:tcPr>
          <w:p w:rsidR="00D42474" w:rsidRDefault="004007D3" w:rsidP="001A5BF9">
            <w:pPr>
              <w:autoSpaceDE w:val="0"/>
              <w:autoSpaceDN w:val="0"/>
              <w:adjustRightInd w:val="0"/>
              <w:spacing w:before="120" w:after="60"/>
              <w:rPr>
                <w:sz w:val="16"/>
              </w:rPr>
            </w:pPr>
            <w:r w:rsidRPr="00251542">
              <w:rPr>
                <w:sz w:val="16"/>
              </w:rPr>
              <w:t>Cameroun (Douala)/28 fonctionnaires du Congo et du Gabon</w:t>
            </w:r>
          </w:p>
          <w:p w:rsidR="00D42474" w:rsidRDefault="00D42474" w:rsidP="001A5BF9">
            <w:pPr>
              <w:autoSpaceDE w:val="0"/>
              <w:autoSpaceDN w:val="0"/>
              <w:adjustRightInd w:val="0"/>
              <w:spacing w:before="120" w:after="60"/>
              <w:rPr>
                <w:rFonts w:eastAsia="MS Mincho" w:cs="Arial"/>
                <w:sz w:val="16"/>
                <w:szCs w:val="16"/>
                <w:lang w:bidi="th-TH"/>
              </w:rPr>
            </w:pPr>
          </w:p>
          <w:p w:rsidR="004007D3" w:rsidRPr="00251542" w:rsidRDefault="004007D3" w:rsidP="001A5BF9">
            <w:pPr>
              <w:autoSpaceDE w:val="0"/>
              <w:autoSpaceDN w:val="0"/>
              <w:adjustRightInd w:val="0"/>
              <w:spacing w:before="120" w:after="60"/>
              <w:rPr>
                <w:rFonts w:eastAsia="MS Mincho" w:cs="Arial"/>
                <w:sz w:val="16"/>
                <w:szCs w:val="16"/>
                <w:lang w:bidi="th-TH"/>
              </w:rPr>
            </w:pPr>
            <w:r w:rsidRPr="00251542">
              <w:rPr>
                <w:sz w:val="16"/>
              </w:rPr>
              <w:t>Sénégal (Dakar)/35 fonctionnaires de Côte d</w:t>
            </w:r>
            <w:r w:rsidR="00A20444" w:rsidRPr="00251542">
              <w:rPr>
                <w:sz w:val="16"/>
              </w:rPr>
              <w:t>’</w:t>
            </w:r>
            <w:r w:rsidRPr="00251542">
              <w:rPr>
                <w:sz w:val="16"/>
              </w:rPr>
              <w:t>Ivoire et du Burkina Faso</w:t>
            </w:r>
          </w:p>
        </w:tc>
        <w:tc>
          <w:tcPr>
            <w:tcW w:w="3969" w:type="dxa"/>
          </w:tcPr>
          <w:p w:rsidR="004007D3" w:rsidRPr="00251542" w:rsidRDefault="004007D3" w:rsidP="001A5BF9">
            <w:pPr>
              <w:autoSpaceDE w:val="0"/>
              <w:autoSpaceDN w:val="0"/>
              <w:adjustRightInd w:val="0"/>
              <w:spacing w:before="120" w:after="120"/>
              <w:rPr>
                <w:rFonts w:eastAsia="MS Mincho" w:cs="Arial"/>
                <w:bCs/>
                <w:sz w:val="16"/>
                <w:szCs w:val="16"/>
                <w:lang w:bidi="th-TH"/>
              </w:rPr>
            </w:pPr>
            <w:r w:rsidRPr="00251542">
              <w:rPr>
                <w:sz w:val="16"/>
              </w:rPr>
              <w:t>Les objectifs du séminaire étaient les suivants : i) renforcer la capacité des juges et des fonctionnaires sur les questions relatives à l</w:t>
            </w:r>
            <w:r w:rsidR="00A20444" w:rsidRPr="00251542">
              <w:rPr>
                <w:sz w:val="16"/>
              </w:rPr>
              <w:t>’</w:t>
            </w:r>
            <w:r w:rsidRPr="00251542">
              <w:rPr>
                <w:sz w:val="16"/>
              </w:rPr>
              <w:t>application des droits de la propriété intellectuelle;</w:t>
            </w:r>
            <w:r w:rsidR="004F3E42" w:rsidRPr="00251542">
              <w:rPr>
                <w:sz w:val="16"/>
              </w:rPr>
              <w:t xml:space="preserve"> </w:t>
            </w:r>
            <w:r w:rsidR="0010442A" w:rsidRPr="00251542">
              <w:rPr>
                <w:sz w:val="16"/>
              </w:rPr>
              <w:t xml:space="preserve"> </w:t>
            </w:r>
            <w:r w:rsidRPr="00251542">
              <w:rPr>
                <w:sz w:val="16"/>
              </w:rPr>
              <w:t>et ii) donner l</w:t>
            </w:r>
            <w:r w:rsidR="00A20444" w:rsidRPr="00251542">
              <w:rPr>
                <w:sz w:val="16"/>
              </w:rPr>
              <w:t>’</w:t>
            </w:r>
            <w:r w:rsidRPr="00251542">
              <w:rPr>
                <w:sz w:val="16"/>
              </w:rPr>
              <w:t>occasion aux fonctionnaires des pays de l</w:t>
            </w:r>
            <w:r w:rsidR="00A20444" w:rsidRPr="00251542">
              <w:rPr>
                <w:sz w:val="16"/>
              </w:rPr>
              <w:t>’</w:t>
            </w:r>
            <w:r w:rsidRPr="00251542">
              <w:rPr>
                <w:sz w:val="16"/>
              </w:rPr>
              <w:t>OAPI de se rencontrer, de discuter et de partager leurs expériences dans le domaine du respect de la propriété intellectuelle.</w:t>
            </w:r>
          </w:p>
        </w:tc>
      </w:tr>
    </w:tbl>
    <w:p w:rsidR="00D42474" w:rsidRDefault="00D42474" w:rsidP="001A5BF9">
      <w:pPr>
        <w:rPr>
          <w:rFonts w:cs="Arial"/>
          <w:b/>
          <w:sz w:val="16"/>
          <w:szCs w:val="16"/>
        </w:rPr>
      </w:pPr>
    </w:p>
    <w:p w:rsidR="00D42474" w:rsidRDefault="00D42474" w:rsidP="001A5BF9">
      <w:pPr>
        <w:rPr>
          <w:rFonts w:cs="Arial"/>
          <w:b/>
          <w:sz w:val="16"/>
          <w:szCs w:val="16"/>
        </w:rPr>
      </w:pPr>
    </w:p>
    <w:p w:rsidR="00D42474" w:rsidRDefault="00D42474" w:rsidP="001A5BF9">
      <w:pPr>
        <w:rPr>
          <w:rFonts w:cs="Arial"/>
          <w:b/>
          <w:sz w:val="16"/>
          <w:szCs w:val="16"/>
        </w:rPr>
      </w:pPr>
    </w:p>
    <w:p w:rsidR="00D42474" w:rsidRDefault="00D42474" w:rsidP="001A5BF9">
      <w:pPr>
        <w:rPr>
          <w:rFonts w:cs="Arial"/>
          <w:b/>
          <w:sz w:val="18"/>
          <w:szCs w:val="18"/>
        </w:rPr>
      </w:pPr>
    </w:p>
    <w:p w:rsidR="00D42474" w:rsidRDefault="004007D3" w:rsidP="001A5BF9">
      <w:pPr>
        <w:rPr>
          <w:rFonts w:cs="Arial"/>
          <w:b/>
          <w:sz w:val="18"/>
          <w:szCs w:val="18"/>
        </w:rPr>
      </w:pPr>
      <w:r w:rsidRPr="00251542">
        <w:rPr>
          <w:b/>
          <w:sz w:val="18"/>
        </w:rPr>
        <w:t>FRANCE/PROPRIÉTÉ INDUSTRIELLE — Contributions des donateurs et dépenses en</w:t>
      </w:r>
      <w:r w:rsidR="0010442A" w:rsidRPr="00251542">
        <w:rPr>
          <w:b/>
          <w:sz w:val="18"/>
        </w:rPr>
        <w:t> </w:t>
      </w:r>
      <w:r w:rsidRPr="00251542">
        <w:rPr>
          <w:b/>
          <w:sz w:val="18"/>
        </w:rPr>
        <w:t>2013</w:t>
      </w:r>
      <w:r w:rsidRPr="00251542">
        <w:rPr>
          <w:b/>
          <w:sz w:val="18"/>
          <w:vertAlign w:val="superscript"/>
        </w:rPr>
        <w:t>1</w:t>
      </w:r>
    </w:p>
    <w:p w:rsidR="004007D3" w:rsidRPr="00251542" w:rsidRDefault="004007D3" w:rsidP="001A5BF9">
      <w:pPr>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4007D3" w:rsidRPr="00251542" w:rsidTr="0056083E">
        <w:trPr>
          <w:trHeight w:val="567"/>
        </w:trPr>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2012</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4"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2013</w:t>
            </w:r>
          </w:p>
        </w:tc>
      </w:tr>
      <w:tr w:rsidR="004007D3" w:rsidRPr="00251542" w:rsidTr="0056083E">
        <w:trPr>
          <w:trHeight w:val="567"/>
        </w:trPr>
        <w:tc>
          <w:tcPr>
            <w:tcW w:w="184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547 288</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301 206</w:t>
            </w:r>
          </w:p>
        </w:tc>
        <w:tc>
          <w:tcPr>
            <w:tcW w:w="184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96 020</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 </w:t>
            </w:r>
          </w:p>
        </w:tc>
        <w:tc>
          <w:tcPr>
            <w:tcW w:w="1984"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752 474</w:t>
            </w:r>
          </w:p>
        </w:tc>
      </w:tr>
    </w:tbl>
    <w:p w:rsidR="00D42474" w:rsidRDefault="004007D3" w:rsidP="001A5BF9">
      <w:pPr>
        <w:spacing w:before="120"/>
        <w:rPr>
          <w:sz w:val="16"/>
          <w:szCs w:val="16"/>
        </w:rPr>
      </w:pPr>
      <w:r w:rsidRPr="00A343B3">
        <w:rPr>
          <w:i/>
          <w:sz w:val="16"/>
          <w:szCs w:val="16"/>
          <w:vertAlign w:val="superscript"/>
        </w:rPr>
        <w:t>1</w:t>
      </w:r>
      <w:r w:rsidRPr="00A343B3">
        <w:rPr>
          <w:i/>
          <w:sz w:val="16"/>
          <w:szCs w:val="16"/>
        </w:rPr>
        <w:t xml:space="preserve"> </w:t>
      </w:r>
      <w:r w:rsidR="00A343B3">
        <w:rPr>
          <w:i/>
          <w:sz w:val="16"/>
          <w:szCs w:val="16"/>
        </w:rPr>
        <w:t xml:space="preserve"> </w:t>
      </w:r>
      <w:r w:rsidRPr="00A343B3">
        <w:rPr>
          <w:i/>
          <w:sz w:val="16"/>
          <w:szCs w:val="16"/>
        </w:rPr>
        <w:t>États financiers de l</w:t>
      </w:r>
      <w:r w:rsidR="00A20444" w:rsidRPr="00A343B3">
        <w:rPr>
          <w:i/>
          <w:sz w:val="16"/>
          <w:szCs w:val="16"/>
        </w:rPr>
        <w:t>’</w:t>
      </w:r>
      <w:r w:rsidRPr="00A343B3">
        <w:rPr>
          <w:i/>
          <w:sz w:val="16"/>
          <w:szCs w:val="16"/>
        </w:rPr>
        <w:t>OMPI 2013 (annexe III)</w:t>
      </w:r>
    </w:p>
    <w:p w:rsidR="00D42474" w:rsidRDefault="00D42474" w:rsidP="001A5BF9">
      <w:pPr>
        <w:rPr>
          <w:szCs w:val="20"/>
        </w:rPr>
      </w:pPr>
    </w:p>
    <w:p w:rsidR="00D42474" w:rsidRDefault="00D42474" w:rsidP="001A5BF9">
      <w:pPr>
        <w:rPr>
          <w:rFonts w:cs="Arial"/>
          <w:b/>
          <w:sz w:val="16"/>
          <w:szCs w:val="16"/>
          <w:u w:val="single"/>
        </w:rPr>
      </w:pPr>
    </w:p>
    <w:p w:rsidR="00D42474" w:rsidRDefault="00D42474" w:rsidP="001A5BF9">
      <w:pPr>
        <w:rPr>
          <w:rFonts w:cs="Arial"/>
          <w:b/>
          <w:sz w:val="16"/>
          <w:szCs w:val="16"/>
          <w:u w:val="single"/>
        </w:rPr>
      </w:pPr>
    </w:p>
    <w:p w:rsidR="00D42474" w:rsidRDefault="004007D3" w:rsidP="001A5BF9">
      <w:pPr>
        <w:rPr>
          <w:rFonts w:cs="Arial"/>
          <w:b/>
          <w:szCs w:val="20"/>
          <w:u w:val="single"/>
        </w:rPr>
      </w:pPr>
      <w:r w:rsidRPr="00251542">
        <w:br w:type="page"/>
      </w:r>
      <w:r w:rsidRPr="00251542">
        <w:rPr>
          <w:b/>
        </w:rPr>
        <w:t>PROGRAMME IBÉRO</w:t>
      </w:r>
      <w:r w:rsidR="002D6F2A" w:rsidRPr="00251542">
        <w:rPr>
          <w:b/>
        </w:rPr>
        <w:noBreakHyphen/>
      </w:r>
      <w:r w:rsidRPr="00251542">
        <w:rPr>
          <w:b/>
        </w:rPr>
        <w:t>AMÉRICAIN DE LA PROPRIÉTÉ INDUSTRIELLE</w:t>
      </w:r>
      <w:r w:rsidRPr="00251542">
        <w:rPr>
          <w:rStyle w:val="FootnoteReference"/>
          <w:b/>
        </w:rPr>
        <w:footnoteReference w:id="50"/>
      </w:r>
    </w:p>
    <w:p w:rsidR="004007D3" w:rsidRPr="00251542" w:rsidRDefault="004007D3" w:rsidP="001A5BF9">
      <w:pPr>
        <w:rPr>
          <w:rFonts w:cs="Arial"/>
          <w:b/>
          <w:szCs w:val="20"/>
          <w:u w:val="single"/>
        </w:rPr>
      </w:pP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567"/>
        <w:gridCol w:w="992"/>
        <w:gridCol w:w="1974"/>
        <w:gridCol w:w="11"/>
        <w:gridCol w:w="3685"/>
      </w:tblGrid>
      <w:tr w:rsidR="004007D3" w:rsidRPr="00251542" w:rsidTr="0056083E">
        <w:tc>
          <w:tcPr>
            <w:tcW w:w="9072" w:type="dxa"/>
            <w:gridSpan w:val="6"/>
            <w:tcBorders>
              <w:top w:val="single" w:sz="4" w:space="0" w:color="000000"/>
              <w:bottom w:val="single" w:sz="4" w:space="0" w:color="000000"/>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A343B3">
              <w:rPr>
                <w:b/>
                <w:sz w:val="16"/>
              </w:rPr>
              <w:tab/>
            </w:r>
            <w:r w:rsidRPr="00A343B3">
              <w:rPr>
                <w:sz w:val="16"/>
              </w:rPr>
              <w:t>Améliorations des compétences de gestion de la propriété intellectuelle</w:t>
            </w:r>
          </w:p>
        </w:tc>
      </w:tr>
      <w:tr w:rsidR="004007D3" w:rsidRPr="00A343B3" w:rsidTr="00A343B3">
        <w:tc>
          <w:tcPr>
            <w:tcW w:w="2410" w:type="dxa"/>
            <w:gridSpan w:val="2"/>
            <w:tcBorders>
              <w:top w:val="single" w:sz="4" w:space="0" w:color="000000"/>
            </w:tcBorders>
            <w:vAlign w:val="center"/>
          </w:tcPr>
          <w:p w:rsidR="004007D3" w:rsidRPr="00A343B3" w:rsidRDefault="004007D3" w:rsidP="001A5BF9">
            <w:pPr>
              <w:keepNext/>
              <w:keepLines/>
              <w:rPr>
                <w:rFonts w:cs="Arial"/>
                <w:b/>
                <w:bCs/>
                <w:sz w:val="16"/>
                <w:szCs w:val="16"/>
              </w:rPr>
            </w:pPr>
            <w:r w:rsidRPr="00A343B3">
              <w:rPr>
                <w:b/>
                <w:sz w:val="16"/>
              </w:rPr>
              <w:t>Activité</w:t>
            </w:r>
          </w:p>
        </w:tc>
        <w:tc>
          <w:tcPr>
            <w:tcW w:w="992" w:type="dxa"/>
            <w:tcBorders>
              <w:top w:val="single" w:sz="4" w:space="0" w:color="000000"/>
            </w:tcBorders>
            <w:shd w:val="clear" w:color="auto" w:fill="auto"/>
            <w:tcMar>
              <w:top w:w="110" w:type="dxa"/>
            </w:tcMar>
            <w:vAlign w:val="center"/>
          </w:tcPr>
          <w:p w:rsidR="004007D3" w:rsidRPr="00A343B3" w:rsidRDefault="004007D3" w:rsidP="001A5BF9">
            <w:pPr>
              <w:keepNext/>
              <w:keepLines/>
              <w:rPr>
                <w:rFonts w:cs="Arial"/>
                <w:b/>
                <w:sz w:val="16"/>
                <w:szCs w:val="16"/>
              </w:rPr>
            </w:pPr>
            <w:r w:rsidRPr="00A343B3">
              <w:rPr>
                <w:b/>
                <w:sz w:val="16"/>
              </w:rPr>
              <w:t>Date :</w:t>
            </w:r>
          </w:p>
        </w:tc>
        <w:tc>
          <w:tcPr>
            <w:tcW w:w="1985" w:type="dxa"/>
            <w:gridSpan w:val="2"/>
            <w:tcBorders>
              <w:top w:val="single" w:sz="4" w:space="0" w:color="000000"/>
            </w:tcBorders>
            <w:shd w:val="clear" w:color="auto" w:fill="auto"/>
            <w:tcMar>
              <w:top w:w="110" w:type="dxa"/>
            </w:tcMar>
            <w:vAlign w:val="center"/>
          </w:tcPr>
          <w:p w:rsidR="004007D3" w:rsidRPr="00A343B3" w:rsidRDefault="004007D3" w:rsidP="001A5BF9">
            <w:pPr>
              <w:keepNext/>
              <w:keepLines/>
              <w:rPr>
                <w:rFonts w:cs="Arial"/>
                <w:b/>
                <w:sz w:val="16"/>
                <w:szCs w:val="16"/>
              </w:rPr>
            </w:pPr>
            <w:r w:rsidRPr="00A343B3">
              <w:rPr>
                <w:b/>
                <w:sz w:val="16"/>
              </w:rPr>
              <w:t>Pays hôte/bénéficiaire</w:t>
            </w:r>
          </w:p>
        </w:tc>
        <w:tc>
          <w:tcPr>
            <w:tcW w:w="3685" w:type="dxa"/>
            <w:tcBorders>
              <w:top w:val="single" w:sz="4" w:space="0" w:color="000000"/>
            </w:tcBorders>
            <w:shd w:val="clear" w:color="auto" w:fill="FFFFFF"/>
            <w:tcMar>
              <w:top w:w="110" w:type="dxa"/>
            </w:tcMar>
            <w:vAlign w:val="center"/>
          </w:tcPr>
          <w:p w:rsidR="004007D3" w:rsidRPr="00A343B3" w:rsidRDefault="004007D3" w:rsidP="001A5BF9">
            <w:pPr>
              <w:keepNext/>
              <w:keepLines/>
              <w:rPr>
                <w:rFonts w:cs="Arial"/>
                <w:b/>
                <w:sz w:val="16"/>
                <w:szCs w:val="16"/>
              </w:rPr>
            </w:pPr>
            <w:r w:rsidRPr="00A343B3">
              <w:rPr>
                <w:b/>
                <w:sz w:val="16"/>
              </w:rPr>
              <w:t>Objectif(s)/description(s)</w:t>
            </w:r>
          </w:p>
        </w:tc>
      </w:tr>
      <w:tr w:rsidR="004007D3" w:rsidRPr="00251542" w:rsidTr="00A343B3">
        <w:trPr>
          <w:trHeight w:val="520"/>
        </w:trPr>
        <w:tc>
          <w:tcPr>
            <w:tcW w:w="2410" w:type="dxa"/>
            <w:gridSpan w:val="2"/>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Mise en œuvre d</w:t>
            </w:r>
            <w:r w:rsidR="00A20444" w:rsidRPr="00251542">
              <w:rPr>
                <w:sz w:val="16"/>
              </w:rPr>
              <w:t>’</w:t>
            </w:r>
            <w:r w:rsidRPr="00251542">
              <w:rPr>
                <w:sz w:val="16"/>
              </w:rPr>
              <w:t>une</w:t>
            </w:r>
            <w:r w:rsidR="004F3E42" w:rsidRPr="00251542">
              <w:rPr>
                <w:sz w:val="16"/>
              </w:rPr>
              <w:t xml:space="preserve"> </w:t>
            </w:r>
            <w:r w:rsidRPr="00251542">
              <w:rPr>
                <w:sz w:val="16"/>
              </w:rPr>
              <w:t>plate</w:t>
            </w:r>
            <w:r w:rsidR="002D6F2A" w:rsidRPr="00251542">
              <w:rPr>
                <w:sz w:val="16"/>
              </w:rPr>
              <w:noBreakHyphen/>
            </w:r>
            <w:r w:rsidRPr="00251542">
              <w:rPr>
                <w:sz w:val="16"/>
              </w:rPr>
              <w:t>forme en espagnol sur les services de propriété industrielle et leurs contenus, adaptés aux besoins du secteur ibéro</w:t>
            </w:r>
            <w:r w:rsidR="002D6F2A" w:rsidRPr="00251542">
              <w:rPr>
                <w:sz w:val="16"/>
              </w:rPr>
              <w:noBreakHyphen/>
            </w:r>
            <w:r w:rsidRPr="00251542">
              <w:rPr>
                <w:sz w:val="16"/>
              </w:rPr>
              <w:t>américain des entrepreneurs, l</w:t>
            </w:r>
            <w:r w:rsidR="00A20444" w:rsidRPr="00251542">
              <w:rPr>
                <w:sz w:val="16"/>
              </w:rPr>
              <w:t>’</w:t>
            </w:r>
            <w:r w:rsidRPr="00251542">
              <w:rPr>
                <w:sz w:val="16"/>
              </w:rPr>
              <w:t>accent étant mis sur</w:t>
            </w:r>
            <w:r w:rsidR="00A20444" w:rsidRPr="00251542">
              <w:rPr>
                <w:sz w:val="16"/>
              </w:rPr>
              <w:t xml:space="preserve"> les PME</w:t>
            </w:r>
            <w:r w:rsidRPr="00251542">
              <w:rPr>
                <w:sz w:val="16"/>
              </w:rPr>
              <w:t xml:space="preserve"> (</w:t>
            </w:r>
            <w:proofErr w:type="spellStart"/>
            <w:r w:rsidRPr="00251542">
              <w:rPr>
                <w:sz w:val="16"/>
              </w:rPr>
              <w:t>CIBEPYME</w:t>
            </w:r>
            <w:proofErr w:type="spellEnd"/>
            <w:r w:rsidRPr="00251542">
              <w:rPr>
                <w:sz w:val="16"/>
              </w:rPr>
              <w:t>)</w:t>
            </w:r>
          </w:p>
        </w:tc>
        <w:tc>
          <w:tcPr>
            <w:tcW w:w="992" w:type="dxa"/>
            <w:tcBorders>
              <w:bottom w:val="single" w:sz="4" w:space="0" w:color="000000"/>
            </w:tcBorders>
          </w:tcPr>
          <w:p w:rsidR="004007D3" w:rsidRPr="00251542" w:rsidRDefault="00ED7374" w:rsidP="00ED7374">
            <w:pPr>
              <w:autoSpaceDE w:val="0"/>
              <w:autoSpaceDN w:val="0"/>
              <w:adjustRightInd w:val="0"/>
              <w:spacing w:before="120" w:after="120"/>
              <w:rPr>
                <w:rFonts w:cs="Arial"/>
                <w:sz w:val="16"/>
                <w:szCs w:val="16"/>
              </w:rPr>
            </w:pPr>
            <w:r>
              <w:rPr>
                <w:sz w:val="16"/>
              </w:rPr>
              <w:t>j</w:t>
            </w:r>
            <w:r w:rsidR="004007D3" w:rsidRPr="00251542">
              <w:rPr>
                <w:sz w:val="16"/>
              </w:rPr>
              <w:t>anvier à</w:t>
            </w:r>
            <w:r>
              <w:rPr>
                <w:sz w:val="16"/>
              </w:rPr>
              <w:t xml:space="preserve"> </w:t>
            </w:r>
            <w:r w:rsidR="004007D3" w:rsidRPr="00251542">
              <w:rPr>
                <w:sz w:val="16"/>
              </w:rPr>
              <w:t xml:space="preserve">décembre 2013 </w:t>
            </w:r>
          </w:p>
        </w:tc>
        <w:tc>
          <w:tcPr>
            <w:tcW w:w="1985" w:type="dxa"/>
            <w:gridSpan w:val="2"/>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Tous les pays d</w:t>
            </w:r>
            <w:r w:rsidR="00A20444" w:rsidRPr="00251542">
              <w:rPr>
                <w:sz w:val="16"/>
              </w:rPr>
              <w:t>’</w:t>
            </w:r>
            <w:r w:rsidRPr="00251542">
              <w:rPr>
                <w:sz w:val="16"/>
              </w:rPr>
              <w:t>Amérique latine</w:t>
            </w:r>
          </w:p>
        </w:tc>
        <w:tc>
          <w:tcPr>
            <w:tcW w:w="3685"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Promouvoir l</w:t>
            </w:r>
            <w:r w:rsidR="00A20444" w:rsidRPr="00251542">
              <w:rPr>
                <w:sz w:val="16"/>
              </w:rPr>
              <w:t>’</w:t>
            </w:r>
            <w:r w:rsidRPr="00251542">
              <w:rPr>
                <w:sz w:val="16"/>
              </w:rPr>
              <w:t>utilisation de la propriété intellectuelle comme un instrument commercial important</w:t>
            </w:r>
          </w:p>
        </w:tc>
      </w:tr>
      <w:tr w:rsidR="004007D3" w:rsidRPr="00251542" w:rsidTr="0056083E">
        <w:trPr>
          <w:trHeight w:val="520"/>
        </w:trPr>
        <w:tc>
          <w:tcPr>
            <w:tcW w:w="9072" w:type="dxa"/>
            <w:gridSpan w:val="6"/>
            <w:tcBorders>
              <w:top w:val="single" w:sz="4" w:space="0" w:color="000000"/>
              <w:bottom w:val="single" w:sz="4" w:space="0" w:color="000000"/>
            </w:tcBorders>
            <w:shd w:val="clear" w:color="auto" w:fill="CCFFFF"/>
          </w:tcPr>
          <w:p w:rsidR="004007D3" w:rsidRPr="00251542" w:rsidRDefault="004007D3" w:rsidP="001A5BF9">
            <w:pPr>
              <w:keepNext/>
              <w:keepLines/>
              <w:tabs>
                <w:tab w:val="left" w:pos="1740"/>
              </w:tabs>
              <w:spacing w:before="120" w:after="120"/>
              <w:ind w:left="1740" w:hanging="1740"/>
              <w:rPr>
                <w:rFonts w:cs="Arial"/>
                <w:sz w:val="16"/>
                <w:szCs w:val="16"/>
              </w:rPr>
            </w:pPr>
            <w:r w:rsidRPr="00251542">
              <w:rPr>
                <w:b/>
                <w:sz w:val="16"/>
              </w:rPr>
              <w:t>RÉSULTAT</w:t>
            </w:r>
            <w:r w:rsidR="0010442A" w:rsidRPr="00251542">
              <w:rPr>
                <w:b/>
                <w:sz w:val="16"/>
              </w:rPr>
              <w:t> </w:t>
            </w:r>
            <w:r w:rsidRPr="00251542">
              <w:rPr>
                <w:b/>
                <w:sz w:val="16"/>
              </w:rPr>
              <w:t>:</w:t>
            </w:r>
            <w:r w:rsidR="004F3E42" w:rsidRPr="00251542">
              <w:rPr>
                <w:sz w:val="16"/>
              </w:rPr>
              <w:t xml:space="preserve"> </w:t>
            </w:r>
            <w:r w:rsidR="00A343B3">
              <w:rPr>
                <w:sz w:val="16"/>
              </w:rPr>
              <w:tab/>
            </w:r>
            <w:r w:rsidRPr="00251542">
              <w:rPr>
                <w:sz w:val="16"/>
              </w:rPr>
              <w:t>Amélioration de l</w:t>
            </w:r>
            <w:r w:rsidR="00A20444" w:rsidRPr="00251542">
              <w:rPr>
                <w:sz w:val="16"/>
              </w:rPr>
              <w:t>’</w:t>
            </w:r>
            <w:r w:rsidRPr="00251542">
              <w:rPr>
                <w:sz w:val="16"/>
              </w:rPr>
              <w:t>infrastructure technique et du savoir pour les offices de propriété intellectuelle et autres institutions de propriété intellectuelle, leur permettant de fournir à leurs parties prenantes des services améliorés (moins chers, plus rapides, de meilleure qualité)</w:t>
            </w:r>
          </w:p>
        </w:tc>
      </w:tr>
      <w:tr w:rsidR="004007D3" w:rsidRPr="00A343B3" w:rsidTr="00A343B3">
        <w:trPr>
          <w:trHeight w:val="520"/>
        </w:trPr>
        <w:tc>
          <w:tcPr>
            <w:tcW w:w="1843" w:type="dxa"/>
            <w:tcBorders>
              <w:top w:val="single" w:sz="4" w:space="0" w:color="000000"/>
            </w:tcBorders>
            <w:vAlign w:val="center"/>
          </w:tcPr>
          <w:p w:rsidR="004007D3" w:rsidRPr="00A343B3" w:rsidRDefault="004007D3" w:rsidP="001A5BF9">
            <w:pPr>
              <w:autoSpaceDE w:val="0"/>
              <w:autoSpaceDN w:val="0"/>
              <w:adjustRightInd w:val="0"/>
              <w:spacing w:before="120" w:after="120"/>
              <w:rPr>
                <w:rFonts w:cs="Arial"/>
                <w:b/>
                <w:sz w:val="16"/>
                <w:szCs w:val="16"/>
              </w:rPr>
            </w:pPr>
            <w:r w:rsidRPr="00A343B3">
              <w:rPr>
                <w:b/>
                <w:sz w:val="16"/>
              </w:rPr>
              <w:t>Activité</w:t>
            </w:r>
          </w:p>
        </w:tc>
        <w:tc>
          <w:tcPr>
            <w:tcW w:w="1559" w:type="dxa"/>
            <w:gridSpan w:val="2"/>
            <w:tcBorders>
              <w:top w:val="single" w:sz="4" w:space="0" w:color="000000"/>
            </w:tcBorders>
            <w:vAlign w:val="center"/>
          </w:tcPr>
          <w:p w:rsidR="004007D3" w:rsidRPr="00A343B3" w:rsidRDefault="004007D3" w:rsidP="001A5BF9">
            <w:pPr>
              <w:autoSpaceDE w:val="0"/>
              <w:autoSpaceDN w:val="0"/>
              <w:adjustRightInd w:val="0"/>
              <w:spacing w:before="120" w:after="120"/>
              <w:rPr>
                <w:rFonts w:cs="Arial"/>
                <w:b/>
                <w:sz w:val="16"/>
                <w:szCs w:val="16"/>
              </w:rPr>
            </w:pPr>
            <w:r w:rsidRPr="00A343B3">
              <w:rPr>
                <w:b/>
                <w:sz w:val="16"/>
              </w:rPr>
              <w:t>Date :</w:t>
            </w:r>
          </w:p>
        </w:tc>
        <w:tc>
          <w:tcPr>
            <w:tcW w:w="1974" w:type="dxa"/>
            <w:tcBorders>
              <w:top w:val="single" w:sz="4" w:space="0" w:color="000000"/>
            </w:tcBorders>
            <w:vAlign w:val="center"/>
          </w:tcPr>
          <w:p w:rsidR="004007D3" w:rsidRPr="00A343B3" w:rsidRDefault="004007D3" w:rsidP="001A5BF9">
            <w:pPr>
              <w:autoSpaceDE w:val="0"/>
              <w:autoSpaceDN w:val="0"/>
              <w:adjustRightInd w:val="0"/>
              <w:spacing w:before="120" w:after="120"/>
              <w:rPr>
                <w:rFonts w:cs="Arial"/>
                <w:b/>
                <w:sz w:val="16"/>
                <w:szCs w:val="16"/>
              </w:rPr>
            </w:pPr>
            <w:r w:rsidRPr="00A343B3">
              <w:rPr>
                <w:b/>
                <w:sz w:val="16"/>
              </w:rPr>
              <w:t>Pays hôte/bénéficiaire</w:t>
            </w:r>
          </w:p>
        </w:tc>
        <w:tc>
          <w:tcPr>
            <w:tcW w:w="3696" w:type="dxa"/>
            <w:gridSpan w:val="2"/>
            <w:tcBorders>
              <w:top w:val="single" w:sz="4" w:space="0" w:color="000000"/>
            </w:tcBorders>
            <w:vAlign w:val="center"/>
          </w:tcPr>
          <w:p w:rsidR="004007D3" w:rsidRPr="00A343B3" w:rsidRDefault="004007D3" w:rsidP="001A5BF9">
            <w:pPr>
              <w:autoSpaceDE w:val="0"/>
              <w:autoSpaceDN w:val="0"/>
              <w:adjustRightInd w:val="0"/>
              <w:spacing w:before="120" w:after="120"/>
              <w:rPr>
                <w:rFonts w:cs="Arial"/>
                <w:b/>
                <w:sz w:val="16"/>
                <w:szCs w:val="16"/>
              </w:rPr>
            </w:pPr>
            <w:r w:rsidRPr="00A343B3">
              <w:rPr>
                <w:b/>
                <w:sz w:val="16"/>
              </w:rPr>
              <w:t>Objectif(s)/description(s)</w:t>
            </w:r>
          </w:p>
        </w:tc>
      </w:tr>
      <w:tr w:rsidR="004007D3" w:rsidRPr="00251542" w:rsidTr="00A343B3">
        <w:trPr>
          <w:trHeight w:val="31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Préparation d</w:t>
            </w:r>
            <w:r w:rsidR="00A20444" w:rsidRPr="00251542">
              <w:rPr>
                <w:sz w:val="16"/>
              </w:rPr>
              <w:t>’</w:t>
            </w:r>
            <w:r w:rsidRPr="00251542">
              <w:rPr>
                <w:sz w:val="16"/>
              </w:rPr>
              <w:t>une analyse situationnelle et d</w:t>
            </w:r>
            <w:r w:rsidR="00A20444" w:rsidRPr="00251542">
              <w:rPr>
                <w:sz w:val="16"/>
              </w:rPr>
              <w:t>’</w:t>
            </w:r>
            <w:r w:rsidRPr="00251542">
              <w:rPr>
                <w:sz w:val="16"/>
              </w:rPr>
              <w:t>un projet de plan d</w:t>
            </w:r>
            <w:r w:rsidR="00A20444" w:rsidRPr="00251542">
              <w:rPr>
                <w:sz w:val="16"/>
              </w:rPr>
              <w:t>’</w:t>
            </w:r>
            <w:r w:rsidRPr="00251542">
              <w:rPr>
                <w:sz w:val="16"/>
              </w:rPr>
              <w:t>action par un consultant externe</w:t>
            </w:r>
          </w:p>
        </w:tc>
        <w:tc>
          <w:tcPr>
            <w:tcW w:w="1559" w:type="dxa"/>
            <w:gridSpan w:val="2"/>
          </w:tcPr>
          <w:p w:rsidR="004007D3" w:rsidRPr="00251542" w:rsidRDefault="00ED7374" w:rsidP="001A5BF9">
            <w:pPr>
              <w:autoSpaceDE w:val="0"/>
              <w:autoSpaceDN w:val="0"/>
              <w:adjustRightInd w:val="0"/>
              <w:spacing w:before="120" w:after="120"/>
              <w:rPr>
                <w:rFonts w:cs="Arial"/>
                <w:sz w:val="16"/>
                <w:szCs w:val="16"/>
              </w:rPr>
            </w:pPr>
            <w:r>
              <w:rPr>
                <w:sz w:val="16"/>
              </w:rPr>
              <w:t>n</w:t>
            </w:r>
            <w:r w:rsidR="004007D3" w:rsidRPr="00251542">
              <w:rPr>
                <w:sz w:val="16"/>
              </w:rPr>
              <w:t>ovembre et décembre 2013</w:t>
            </w:r>
            <w:r w:rsidR="004007D3" w:rsidRPr="00251542">
              <w:rPr>
                <w:rStyle w:val="FootnoteReference"/>
                <w:sz w:val="16"/>
              </w:rPr>
              <w:footnoteReference w:id="51"/>
            </w:r>
            <w:r w:rsidR="004007D3" w:rsidRPr="00251542">
              <w:rPr>
                <w:sz w:val="16"/>
              </w:rPr>
              <w:t xml:space="preserve"> </w:t>
            </w:r>
          </w:p>
        </w:tc>
        <w:tc>
          <w:tcPr>
            <w:tcW w:w="1974"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Tous les pays d</w:t>
            </w:r>
            <w:r w:rsidR="00A20444" w:rsidRPr="00251542">
              <w:rPr>
                <w:sz w:val="16"/>
              </w:rPr>
              <w:t>’</w:t>
            </w:r>
            <w:r w:rsidRPr="00251542">
              <w:rPr>
                <w:sz w:val="16"/>
              </w:rPr>
              <w:t>Amérique latine</w:t>
            </w:r>
          </w:p>
        </w:tc>
        <w:tc>
          <w:tcPr>
            <w:tcW w:w="3696"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Coopération horizontale entre les offices de propriété intellectuelle afin de réduire les asymétries en ce qui concerne la gestion de la qualité en matière de technologies de l</w:t>
            </w:r>
            <w:r w:rsidR="00A20444" w:rsidRPr="00251542">
              <w:rPr>
                <w:sz w:val="16"/>
              </w:rPr>
              <w:t>’</w:t>
            </w:r>
            <w:r w:rsidRPr="00251542">
              <w:rPr>
                <w:sz w:val="16"/>
              </w:rPr>
              <w:t xml:space="preserve">information. </w:t>
            </w:r>
            <w:r w:rsidR="0010442A" w:rsidRPr="00251542">
              <w:rPr>
                <w:sz w:val="16"/>
              </w:rPr>
              <w:t xml:space="preserve"> </w:t>
            </w:r>
            <w:r w:rsidRPr="00251542">
              <w:rPr>
                <w:sz w:val="16"/>
              </w:rPr>
              <w:t>Les tâches du consultant sont : i) déceler les asymétries entre les offices de propriété intellectuelle sur la gestion de la qualité et les technologies de l</w:t>
            </w:r>
            <w:r w:rsidR="00A20444" w:rsidRPr="00251542">
              <w:rPr>
                <w:sz w:val="16"/>
              </w:rPr>
              <w:t>’</w:t>
            </w:r>
            <w:r w:rsidRPr="00251542">
              <w:rPr>
                <w:sz w:val="16"/>
              </w:rPr>
              <w:t>information;</w:t>
            </w:r>
            <w:r w:rsidR="004F3E42" w:rsidRPr="00251542">
              <w:rPr>
                <w:sz w:val="16"/>
              </w:rPr>
              <w:t xml:space="preserve"> </w:t>
            </w:r>
            <w:r w:rsidR="0010442A" w:rsidRPr="00251542">
              <w:rPr>
                <w:sz w:val="16"/>
              </w:rPr>
              <w:t xml:space="preserve"> </w:t>
            </w:r>
            <w:r w:rsidRPr="00251542">
              <w:rPr>
                <w:sz w:val="16"/>
              </w:rPr>
              <w:t>ii) concevoir un programme d</w:t>
            </w:r>
            <w:r w:rsidR="00A20444" w:rsidRPr="00251542">
              <w:rPr>
                <w:sz w:val="16"/>
              </w:rPr>
              <w:t>’</w:t>
            </w:r>
            <w:r w:rsidRPr="00251542">
              <w:rPr>
                <w:sz w:val="16"/>
              </w:rPr>
              <w:t>action visant à les éliminer par le biais de la formation;</w:t>
            </w:r>
            <w:r w:rsidR="004F3E42" w:rsidRPr="00251542">
              <w:rPr>
                <w:sz w:val="16"/>
              </w:rPr>
              <w:t xml:space="preserve"> </w:t>
            </w:r>
            <w:r w:rsidR="0010442A" w:rsidRPr="00251542">
              <w:rPr>
                <w:sz w:val="16"/>
              </w:rPr>
              <w:t xml:space="preserve"> </w:t>
            </w:r>
            <w:r w:rsidRPr="00251542">
              <w:rPr>
                <w:sz w:val="16"/>
              </w:rPr>
              <w:t>et iii) coordonner la mise en œuvre de ce projet</w:t>
            </w:r>
          </w:p>
        </w:tc>
      </w:tr>
    </w:tbl>
    <w:p w:rsidR="00D42474" w:rsidRDefault="00D42474" w:rsidP="001A5BF9">
      <w:pPr>
        <w:rPr>
          <w:rFonts w:cs="Arial"/>
          <w:b/>
          <w:sz w:val="18"/>
          <w:szCs w:val="18"/>
        </w:rPr>
      </w:pPr>
    </w:p>
    <w:p w:rsidR="00D42474" w:rsidRDefault="004007D3" w:rsidP="001A5BF9">
      <w:pPr>
        <w:rPr>
          <w:rFonts w:cs="Arial"/>
          <w:b/>
          <w:sz w:val="18"/>
          <w:szCs w:val="18"/>
        </w:rPr>
      </w:pPr>
      <w:r w:rsidRPr="00251542">
        <w:rPr>
          <w:b/>
          <w:sz w:val="18"/>
        </w:rPr>
        <w:t>PROGRAMME IBÉRO</w:t>
      </w:r>
      <w:r w:rsidR="002D6F2A" w:rsidRPr="00251542">
        <w:rPr>
          <w:b/>
          <w:sz w:val="18"/>
        </w:rPr>
        <w:noBreakHyphen/>
      </w:r>
      <w:r w:rsidRPr="00251542">
        <w:rPr>
          <w:b/>
          <w:sz w:val="18"/>
        </w:rPr>
        <w:t>AMÉRICAIN SUR LA PROPRIÉTÉ INDUSTRIELLE — Contributions des donateurs et dépenses en</w:t>
      </w:r>
      <w:r w:rsidR="0010442A" w:rsidRPr="00251542">
        <w:rPr>
          <w:b/>
          <w:sz w:val="18"/>
        </w:rPr>
        <w:t> </w:t>
      </w:r>
      <w:r w:rsidRPr="00251542">
        <w:rPr>
          <w:b/>
          <w:sz w:val="18"/>
        </w:rPr>
        <w:t>2013</w:t>
      </w:r>
      <w:r w:rsidRPr="00251542">
        <w:rPr>
          <w:b/>
          <w:sz w:val="18"/>
          <w:vertAlign w:val="superscript"/>
        </w:rPr>
        <w:t>1</w:t>
      </w:r>
    </w:p>
    <w:p w:rsidR="004007D3" w:rsidRPr="00251542" w:rsidRDefault="004007D3" w:rsidP="001A5BF9">
      <w:pPr>
        <w:rPr>
          <w:rFonts w:cs="Arial"/>
          <w:b/>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4007D3" w:rsidRPr="00251542" w:rsidTr="0056083E">
        <w:trPr>
          <w:trHeight w:val="567"/>
        </w:trPr>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2012</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4"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2013</w:t>
            </w:r>
          </w:p>
        </w:tc>
      </w:tr>
      <w:tr w:rsidR="004007D3" w:rsidRPr="00251542" w:rsidTr="0056083E">
        <w:trPr>
          <w:trHeight w:val="567"/>
        </w:trPr>
        <w:tc>
          <w:tcPr>
            <w:tcW w:w="184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44 600</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64 314</w:t>
            </w:r>
          </w:p>
        </w:tc>
        <w:tc>
          <w:tcPr>
            <w:tcW w:w="184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86</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 </w:t>
            </w:r>
          </w:p>
        </w:tc>
        <w:tc>
          <w:tcPr>
            <w:tcW w:w="1984"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108 828</w:t>
            </w:r>
          </w:p>
        </w:tc>
      </w:tr>
    </w:tbl>
    <w:p w:rsidR="00D42474" w:rsidRDefault="004007D3" w:rsidP="001A5BF9">
      <w:pPr>
        <w:spacing w:before="120"/>
        <w:rPr>
          <w:sz w:val="16"/>
          <w:szCs w:val="16"/>
        </w:rPr>
      </w:pPr>
      <w:r w:rsidRPr="00A343B3">
        <w:rPr>
          <w:i/>
          <w:sz w:val="16"/>
          <w:szCs w:val="16"/>
          <w:vertAlign w:val="superscript"/>
        </w:rPr>
        <w:t>1</w:t>
      </w:r>
      <w:r w:rsidR="00A343B3" w:rsidRPr="00A343B3">
        <w:rPr>
          <w:i/>
          <w:sz w:val="16"/>
          <w:szCs w:val="16"/>
          <w:vertAlign w:val="superscript"/>
        </w:rPr>
        <w:t xml:space="preserve"> </w:t>
      </w:r>
      <w:r w:rsidRPr="00A343B3">
        <w:rPr>
          <w:i/>
          <w:sz w:val="16"/>
          <w:szCs w:val="16"/>
        </w:rPr>
        <w:t xml:space="preserve"> États financiers de l</w:t>
      </w:r>
      <w:r w:rsidR="00A20444" w:rsidRPr="00A343B3">
        <w:rPr>
          <w:i/>
          <w:sz w:val="16"/>
          <w:szCs w:val="16"/>
        </w:rPr>
        <w:t>’</w:t>
      </w:r>
      <w:r w:rsidRPr="00A343B3">
        <w:rPr>
          <w:i/>
          <w:sz w:val="16"/>
          <w:szCs w:val="16"/>
        </w:rPr>
        <w:t>OMPI 2013 (annexe III)</w:t>
      </w:r>
    </w:p>
    <w:p w:rsidR="00D42474" w:rsidRDefault="00D42474" w:rsidP="001A5BF9">
      <w:pPr>
        <w:rPr>
          <w:rFonts w:cs="Arial"/>
          <w:b/>
          <w:sz w:val="18"/>
          <w:szCs w:val="18"/>
        </w:rPr>
      </w:pPr>
    </w:p>
    <w:p w:rsidR="00D42474" w:rsidRDefault="00D42474" w:rsidP="001A5BF9">
      <w:pPr>
        <w:rPr>
          <w:rFonts w:cs="Arial"/>
          <w:b/>
          <w:sz w:val="18"/>
          <w:szCs w:val="18"/>
        </w:rPr>
      </w:pPr>
    </w:p>
    <w:p w:rsidR="00D42474" w:rsidRDefault="00A343B3">
      <w:pPr>
        <w:rPr>
          <w:b/>
        </w:rPr>
      </w:pPr>
      <w:r>
        <w:rPr>
          <w:b/>
        </w:rPr>
        <w:br w:type="page"/>
      </w:r>
    </w:p>
    <w:p w:rsidR="00D42474" w:rsidRDefault="00A343B3" w:rsidP="001A5BF9">
      <w:pPr>
        <w:keepNext/>
        <w:keepLines/>
        <w:rPr>
          <w:rFonts w:cs="Arial"/>
          <w:b/>
          <w:szCs w:val="20"/>
        </w:rPr>
      </w:pPr>
      <w:r w:rsidRPr="00251542">
        <w:rPr>
          <w:b/>
        </w:rPr>
        <w:t>ITALIE</w:t>
      </w:r>
    </w:p>
    <w:p w:rsidR="004007D3" w:rsidRPr="00251542" w:rsidRDefault="004007D3" w:rsidP="001A5BF9">
      <w:pPr>
        <w:keepNext/>
        <w:keepLines/>
        <w:rPr>
          <w:rFonts w:cs="Arial"/>
          <w:b/>
          <w:szCs w:val="20"/>
        </w:rPr>
      </w:pPr>
    </w:p>
    <w:tbl>
      <w:tblPr>
        <w:tblW w:w="9244"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559"/>
        <w:gridCol w:w="2114"/>
        <w:gridCol w:w="13"/>
        <w:gridCol w:w="3685"/>
      </w:tblGrid>
      <w:tr w:rsidR="004007D3" w:rsidRPr="00251542" w:rsidTr="00A343B3">
        <w:trPr>
          <w:cantSplit/>
        </w:trPr>
        <w:tc>
          <w:tcPr>
            <w:tcW w:w="9244" w:type="dxa"/>
            <w:gridSpan w:val="5"/>
            <w:tcBorders>
              <w:top w:val="single" w:sz="4" w:space="0" w:color="000000"/>
              <w:bottom w:val="single" w:sz="4" w:space="0" w:color="000000"/>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 :</w:t>
            </w:r>
            <w:r w:rsidR="0010442A" w:rsidRPr="00251542">
              <w:rPr>
                <w:b/>
                <w:sz w:val="16"/>
              </w:rPr>
              <w:t xml:space="preserve"> </w:t>
            </w:r>
            <w:r w:rsidRPr="00251542">
              <w:rPr>
                <w:b/>
                <w:sz w:val="16"/>
              </w:rPr>
              <w:tab/>
            </w:r>
            <w:r w:rsidRPr="00A343B3">
              <w:rPr>
                <w:sz w:val="16"/>
              </w:rPr>
              <w:t>Connaissance accrue du système de La Haye</w:t>
            </w:r>
          </w:p>
        </w:tc>
      </w:tr>
      <w:tr w:rsidR="004007D3" w:rsidRPr="00A343B3" w:rsidTr="00A343B3">
        <w:trPr>
          <w:cantSplit/>
        </w:trPr>
        <w:tc>
          <w:tcPr>
            <w:tcW w:w="1873" w:type="dxa"/>
            <w:tcBorders>
              <w:top w:val="single" w:sz="4" w:space="0" w:color="000000"/>
            </w:tcBorders>
            <w:vAlign w:val="center"/>
          </w:tcPr>
          <w:p w:rsidR="004007D3" w:rsidRPr="00A343B3" w:rsidRDefault="004007D3" w:rsidP="001A5BF9">
            <w:pPr>
              <w:keepNext/>
              <w:keepLines/>
              <w:rPr>
                <w:rFonts w:cs="Arial"/>
                <w:b/>
                <w:bCs/>
                <w:sz w:val="16"/>
                <w:szCs w:val="16"/>
              </w:rPr>
            </w:pPr>
            <w:r w:rsidRPr="00A343B3">
              <w:rPr>
                <w:b/>
                <w:sz w:val="16"/>
              </w:rPr>
              <w:t>Activité</w:t>
            </w:r>
          </w:p>
        </w:tc>
        <w:tc>
          <w:tcPr>
            <w:tcW w:w="1559" w:type="dxa"/>
            <w:tcBorders>
              <w:top w:val="single" w:sz="4" w:space="0" w:color="000000"/>
            </w:tcBorders>
            <w:tcMar>
              <w:top w:w="110" w:type="dxa"/>
            </w:tcMar>
            <w:vAlign w:val="center"/>
          </w:tcPr>
          <w:p w:rsidR="004007D3" w:rsidRPr="00A343B3" w:rsidRDefault="004007D3" w:rsidP="001A5BF9">
            <w:pPr>
              <w:keepNext/>
              <w:keepLines/>
              <w:rPr>
                <w:rFonts w:cs="Arial"/>
                <w:b/>
                <w:sz w:val="16"/>
                <w:szCs w:val="16"/>
              </w:rPr>
            </w:pPr>
            <w:r w:rsidRPr="00A343B3">
              <w:rPr>
                <w:b/>
                <w:sz w:val="16"/>
              </w:rPr>
              <w:t>Date :</w:t>
            </w:r>
          </w:p>
        </w:tc>
        <w:tc>
          <w:tcPr>
            <w:tcW w:w="2127" w:type="dxa"/>
            <w:gridSpan w:val="2"/>
            <w:tcBorders>
              <w:top w:val="single" w:sz="4" w:space="0" w:color="000000"/>
            </w:tcBorders>
            <w:tcMar>
              <w:top w:w="110" w:type="dxa"/>
            </w:tcMar>
            <w:vAlign w:val="center"/>
          </w:tcPr>
          <w:p w:rsidR="004007D3" w:rsidRPr="00A343B3" w:rsidRDefault="004007D3" w:rsidP="001A5BF9">
            <w:pPr>
              <w:keepNext/>
              <w:keepLines/>
              <w:rPr>
                <w:rFonts w:cs="Arial"/>
                <w:b/>
                <w:sz w:val="16"/>
                <w:szCs w:val="16"/>
              </w:rPr>
            </w:pPr>
            <w:r w:rsidRPr="00A343B3">
              <w:rPr>
                <w:b/>
                <w:sz w:val="16"/>
              </w:rPr>
              <w:t>Pays hôte/bénéficiaire</w:t>
            </w:r>
          </w:p>
        </w:tc>
        <w:tc>
          <w:tcPr>
            <w:tcW w:w="3682" w:type="dxa"/>
            <w:tcBorders>
              <w:top w:val="single" w:sz="4" w:space="0" w:color="000000"/>
            </w:tcBorders>
            <w:shd w:val="clear" w:color="auto" w:fill="FFFFFF"/>
            <w:tcMar>
              <w:top w:w="110" w:type="dxa"/>
            </w:tcMar>
            <w:vAlign w:val="center"/>
          </w:tcPr>
          <w:p w:rsidR="004007D3" w:rsidRPr="00A343B3" w:rsidRDefault="004007D3" w:rsidP="001A5BF9">
            <w:pPr>
              <w:keepNext/>
              <w:keepLines/>
              <w:rPr>
                <w:rFonts w:cs="Arial"/>
                <w:b/>
                <w:sz w:val="16"/>
                <w:szCs w:val="16"/>
              </w:rPr>
            </w:pPr>
            <w:r w:rsidRPr="00A343B3">
              <w:rPr>
                <w:b/>
                <w:sz w:val="16"/>
              </w:rPr>
              <w:t>Objectif(s)/description(s)</w:t>
            </w:r>
          </w:p>
        </w:tc>
      </w:tr>
      <w:tr w:rsidR="004007D3" w:rsidRPr="00251542" w:rsidTr="00A343B3">
        <w:trPr>
          <w:cantSplit/>
        </w:trPr>
        <w:tc>
          <w:tcPr>
            <w:tcW w:w="1873" w:type="dxa"/>
            <w:tcBorders>
              <w:bottom w:val="single" w:sz="4" w:space="0" w:color="000000"/>
            </w:tcBorders>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Table ronde et exposition sur les dessins et modèles italiens au siège de l</w:t>
            </w:r>
            <w:r w:rsidR="00A20444" w:rsidRPr="00251542">
              <w:rPr>
                <w:sz w:val="16"/>
              </w:rPr>
              <w:t>’</w:t>
            </w:r>
            <w:r w:rsidRPr="00251542">
              <w:rPr>
                <w:sz w:val="16"/>
              </w:rPr>
              <w:t>OMPI à Genève</w:t>
            </w:r>
          </w:p>
        </w:tc>
        <w:tc>
          <w:tcPr>
            <w:tcW w:w="1559" w:type="dxa"/>
            <w:tcBorders>
              <w:bottom w:val="single" w:sz="4" w:space="0" w:color="000000"/>
            </w:tcBorders>
          </w:tcPr>
          <w:p w:rsidR="004007D3" w:rsidRPr="00251542" w:rsidRDefault="00ED7374" w:rsidP="001A5BF9">
            <w:pPr>
              <w:keepNext/>
              <w:keepLines/>
              <w:autoSpaceDE w:val="0"/>
              <w:autoSpaceDN w:val="0"/>
              <w:adjustRightInd w:val="0"/>
              <w:spacing w:before="120" w:after="120"/>
              <w:rPr>
                <w:rFonts w:cs="Arial"/>
                <w:sz w:val="16"/>
                <w:szCs w:val="16"/>
              </w:rPr>
            </w:pPr>
            <w:r>
              <w:rPr>
                <w:sz w:val="16"/>
              </w:rPr>
              <w:t>s</w:t>
            </w:r>
            <w:r w:rsidR="004007D3" w:rsidRPr="00251542">
              <w:rPr>
                <w:sz w:val="16"/>
              </w:rPr>
              <w:t>eptembre à novembre 2013</w:t>
            </w:r>
          </w:p>
        </w:tc>
        <w:tc>
          <w:tcPr>
            <w:tcW w:w="2114" w:type="dxa"/>
            <w:tcBorders>
              <w:bottom w:val="single" w:sz="4" w:space="0" w:color="000000"/>
            </w:tcBorders>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Suisse/</w:t>
            </w:r>
            <w:r w:rsidR="007414A0" w:rsidRPr="00251542">
              <w:rPr>
                <w:sz w:val="16"/>
              </w:rPr>
              <w:t>t</w:t>
            </w:r>
            <w:r w:rsidRPr="00251542">
              <w:rPr>
                <w:sz w:val="16"/>
              </w:rPr>
              <w:t>ous</w:t>
            </w:r>
          </w:p>
        </w:tc>
        <w:tc>
          <w:tcPr>
            <w:tcW w:w="3698" w:type="dxa"/>
            <w:gridSpan w:val="2"/>
            <w:tcBorders>
              <w:bottom w:val="single" w:sz="4" w:space="0" w:color="000000"/>
            </w:tcBorders>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Promouvoir l</w:t>
            </w:r>
            <w:r w:rsidR="00A20444" w:rsidRPr="00251542">
              <w:rPr>
                <w:sz w:val="16"/>
              </w:rPr>
              <w:t>’</w:t>
            </w:r>
            <w:r w:rsidRPr="00251542">
              <w:rPr>
                <w:sz w:val="16"/>
              </w:rPr>
              <w:t>importance des dessins et modèles industriels, et recueillir le soutien des États membres pour tr</w:t>
            </w:r>
            <w:r w:rsidR="007414A0" w:rsidRPr="00251542">
              <w:rPr>
                <w:sz w:val="16"/>
              </w:rPr>
              <w:t>ouver un accord sur un nouveau T</w:t>
            </w:r>
            <w:r w:rsidRPr="00251542">
              <w:rPr>
                <w:sz w:val="16"/>
              </w:rPr>
              <w:t>raité sur le droit des dessins et modèles (</w:t>
            </w:r>
            <w:proofErr w:type="spellStart"/>
            <w:r w:rsidRPr="00251542">
              <w:rPr>
                <w:sz w:val="16"/>
              </w:rPr>
              <w:t>DLT</w:t>
            </w:r>
            <w:proofErr w:type="spellEnd"/>
            <w:r w:rsidRPr="00251542">
              <w:rPr>
                <w:sz w:val="16"/>
              </w:rPr>
              <w:t xml:space="preserve">). </w:t>
            </w:r>
            <w:r w:rsidR="0010442A" w:rsidRPr="00251542">
              <w:rPr>
                <w:sz w:val="16"/>
              </w:rPr>
              <w:t xml:space="preserve"> </w:t>
            </w:r>
            <w:r w:rsidRPr="00251542">
              <w:rPr>
                <w:sz w:val="16"/>
              </w:rPr>
              <w:t>L</w:t>
            </w:r>
            <w:r w:rsidR="00A20444" w:rsidRPr="00251542">
              <w:rPr>
                <w:sz w:val="16"/>
              </w:rPr>
              <w:t>’</w:t>
            </w:r>
            <w:r w:rsidRPr="00251542">
              <w:rPr>
                <w:sz w:val="16"/>
              </w:rPr>
              <w:t xml:space="preserve">exposition a présenté des objets parmi les plus représentatifs des dernières collections de dessins et modèles italiens. </w:t>
            </w:r>
            <w:r w:rsidR="0010442A" w:rsidRPr="00251542">
              <w:rPr>
                <w:sz w:val="16"/>
              </w:rPr>
              <w:t xml:space="preserve"> </w:t>
            </w:r>
          </w:p>
        </w:tc>
      </w:tr>
    </w:tbl>
    <w:p w:rsidR="00D42474" w:rsidRDefault="00D42474" w:rsidP="001A5BF9">
      <w:pPr>
        <w:rPr>
          <w:rFonts w:cs="Arial"/>
          <w:b/>
          <w:sz w:val="16"/>
          <w:szCs w:val="16"/>
        </w:rPr>
      </w:pPr>
    </w:p>
    <w:p w:rsidR="00D42474" w:rsidRDefault="00D42474" w:rsidP="001A5BF9">
      <w:pPr>
        <w:rPr>
          <w:rFonts w:cs="Arial"/>
          <w:b/>
          <w:sz w:val="16"/>
          <w:szCs w:val="16"/>
        </w:rPr>
      </w:pPr>
    </w:p>
    <w:p w:rsidR="00D42474" w:rsidRDefault="00D42474" w:rsidP="001A5BF9">
      <w:pPr>
        <w:rPr>
          <w:rFonts w:cs="Arial"/>
          <w:b/>
          <w:sz w:val="16"/>
          <w:szCs w:val="16"/>
        </w:rPr>
      </w:pPr>
    </w:p>
    <w:p w:rsidR="00D42474" w:rsidRDefault="004007D3" w:rsidP="001A5BF9">
      <w:pPr>
        <w:rPr>
          <w:rFonts w:cs="Arial"/>
          <w:b/>
          <w:sz w:val="18"/>
          <w:szCs w:val="18"/>
        </w:rPr>
      </w:pPr>
      <w:r w:rsidRPr="00251542">
        <w:rPr>
          <w:b/>
          <w:sz w:val="18"/>
        </w:rPr>
        <w:t>ITALIE — Contributions des donateurs et dépenses en</w:t>
      </w:r>
      <w:r w:rsidR="0010442A" w:rsidRPr="00251542">
        <w:rPr>
          <w:b/>
          <w:sz w:val="18"/>
        </w:rPr>
        <w:t> </w:t>
      </w:r>
      <w:r w:rsidRPr="00251542">
        <w:rPr>
          <w:b/>
          <w:sz w:val="18"/>
        </w:rPr>
        <w:t>2013</w:t>
      </w:r>
      <w:r w:rsidRPr="00251542">
        <w:rPr>
          <w:b/>
          <w:sz w:val="18"/>
          <w:vertAlign w:val="superscript"/>
        </w:rPr>
        <w:t>1</w:t>
      </w:r>
    </w:p>
    <w:p w:rsidR="004007D3" w:rsidRPr="00251542" w:rsidRDefault="004007D3" w:rsidP="001A5BF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4007D3" w:rsidRPr="00251542" w:rsidTr="0056083E">
        <w:trPr>
          <w:trHeight w:val="567"/>
        </w:trPr>
        <w:tc>
          <w:tcPr>
            <w:tcW w:w="1843" w:type="dxa"/>
            <w:shd w:val="clear" w:color="auto" w:fill="CCFFFF"/>
            <w:vAlign w:val="center"/>
          </w:tcPr>
          <w:p w:rsidR="004007D3" w:rsidRPr="00251542" w:rsidRDefault="004007D3" w:rsidP="001A5BF9">
            <w:pPr>
              <w:spacing w:after="220"/>
              <w:jc w:val="center"/>
              <w:rPr>
                <w:rFonts w:cs="Arial"/>
                <w:b/>
                <w:sz w:val="16"/>
                <w:szCs w:val="16"/>
              </w:rPr>
            </w:pPr>
            <w:r w:rsidRPr="00251542">
              <w:rPr>
                <w:b/>
                <w:sz w:val="16"/>
              </w:rPr>
              <w:t>Solde au 31 décembre 2012</w:t>
            </w:r>
          </w:p>
        </w:tc>
        <w:tc>
          <w:tcPr>
            <w:tcW w:w="1701" w:type="dxa"/>
            <w:shd w:val="clear" w:color="auto" w:fill="CCFFFF"/>
            <w:vAlign w:val="center"/>
          </w:tcPr>
          <w:p w:rsidR="004007D3" w:rsidRPr="00251542" w:rsidRDefault="004007D3" w:rsidP="001A5BF9">
            <w:pPr>
              <w:spacing w:after="220"/>
              <w:jc w:val="center"/>
              <w:rPr>
                <w:rFonts w:cs="Arial"/>
                <w:b/>
                <w:sz w:val="16"/>
                <w:szCs w:val="16"/>
              </w:rPr>
            </w:pPr>
            <w:r w:rsidRPr="00251542">
              <w:rPr>
                <w:b/>
                <w:sz w:val="16"/>
              </w:rPr>
              <w:t>Recettes 2013</w:t>
            </w:r>
          </w:p>
        </w:tc>
        <w:tc>
          <w:tcPr>
            <w:tcW w:w="1843" w:type="dxa"/>
            <w:shd w:val="clear" w:color="auto" w:fill="CCFFFF"/>
            <w:vAlign w:val="center"/>
          </w:tcPr>
          <w:p w:rsidR="004007D3" w:rsidRPr="00251542" w:rsidRDefault="004007D3" w:rsidP="001A5BF9">
            <w:pPr>
              <w:spacing w:after="220"/>
              <w:jc w:val="center"/>
              <w:rPr>
                <w:rFonts w:cs="Arial"/>
                <w:b/>
                <w:sz w:val="16"/>
                <w:szCs w:val="16"/>
              </w:rPr>
            </w:pPr>
            <w:r w:rsidRPr="00251542">
              <w:rPr>
                <w:b/>
                <w:sz w:val="16"/>
              </w:rPr>
              <w:t>Dépenses 2013</w:t>
            </w:r>
          </w:p>
        </w:tc>
        <w:tc>
          <w:tcPr>
            <w:tcW w:w="1701" w:type="dxa"/>
            <w:shd w:val="clear" w:color="auto" w:fill="CCFFFF"/>
            <w:vAlign w:val="center"/>
          </w:tcPr>
          <w:p w:rsidR="004007D3" w:rsidRPr="00251542" w:rsidRDefault="004007D3" w:rsidP="001A5BF9">
            <w:pPr>
              <w:spacing w:after="220"/>
              <w:jc w:val="center"/>
              <w:rPr>
                <w:rFonts w:cs="Arial"/>
                <w:b/>
                <w:sz w:val="16"/>
                <w:szCs w:val="16"/>
              </w:rPr>
            </w:pPr>
            <w:r w:rsidRPr="00251542">
              <w:rPr>
                <w:b/>
                <w:sz w:val="16"/>
              </w:rPr>
              <w:t>Remboursements</w:t>
            </w:r>
          </w:p>
        </w:tc>
        <w:tc>
          <w:tcPr>
            <w:tcW w:w="1984" w:type="dxa"/>
            <w:shd w:val="clear" w:color="auto" w:fill="CCFFFF"/>
            <w:vAlign w:val="center"/>
          </w:tcPr>
          <w:p w:rsidR="004007D3" w:rsidRPr="00251542" w:rsidRDefault="004007D3" w:rsidP="001A5BF9">
            <w:pPr>
              <w:spacing w:after="220"/>
              <w:jc w:val="center"/>
              <w:rPr>
                <w:rFonts w:cs="Arial"/>
                <w:b/>
                <w:sz w:val="16"/>
                <w:szCs w:val="16"/>
              </w:rPr>
            </w:pPr>
            <w:r w:rsidRPr="00251542">
              <w:rPr>
                <w:b/>
                <w:sz w:val="16"/>
              </w:rPr>
              <w:t>Solde au 31 décembre 2013</w:t>
            </w:r>
          </w:p>
        </w:tc>
      </w:tr>
      <w:tr w:rsidR="004007D3" w:rsidRPr="00251542" w:rsidTr="0056083E">
        <w:trPr>
          <w:trHeight w:val="567"/>
        </w:trPr>
        <w:tc>
          <w:tcPr>
            <w:tcW w:w="1843" w:type="dxa"/>
            <w:shd w:val="clear" w:color="auto" w:fill="auto"/>
            <w:vAlign w:val="center"/>
          </w:tcPr>
          <w:p w:rsidR="004007D3" w:rsidRPr="00251542" w:rsidRDefault="004007D3" w:rsidP="001A5BF9">
            <w:pPr>
              <w:autoSpaceDE w:val="0"/>
              <w:autoSpaceDN w:val="0"/>
              <w:adjustRightInd w:val="0"/>
              <w:spacing w:after="220"/>
              <w:jc w:val="center"/>
              <w:rPr>
                <w:rFonts w:eastAsia="MS Mincho" w:cs="Arial"/>
                <w:sz w:val="16"/>
                <w:szCs w:val="16"/>
                <w:lang w:bidi="th-TH"/>
              </w:rPr>
            </w:pPr>
            <w:r w:rsidRPr="00251542">
              <w:rPr>
                <w:sz w:val="16"/>
              </w:rPr>
              <w:t>737 040</w:t>
            </w:r>
          </w:p>
        </w:tc>
        <w:tc>
          <w:tcPr>
            <w:tcW w:w="1701" w:type="dxa"/>
            <w:shd w:val="clear" w:color="auto" w:fill="auto"/>
            <w:vAlign w:val="center"/>
          </w:tcPr>
          <w:p w:rsidR="004007D3" w:rsidRPr="00251542" w:rsidRDefault="004007D3" w:rsidP="001A5BF9">
            <w:pPr>
              <w:autoSpaceDE w:val="0"/>
              <w:autoSpaceDN w:val="0"/>
              <w:adjustRightInd w:val="0"/>
              <w:spacing w:after="220"/>
              <w:jc w:val="center"/>
              <w:rPr>
                <w:rFonts w:eastAsia="MS Mincho" w:cs="Arial"/>
                <w:sz w:val="16"/>
                <w:szCs w:val="16"/>
                <w:lang w:bidi="th-TH"/>
              </w:rPr>
            </w:pPr>
            <w:r w:rsidRPr="00251542">
              <w:rPr>
                <w:sz w:val="16"/>
              </w:rPr>
              <w:t>230</w:t>
            </w:r>
          </w:p>
        </w:tc>
        <w:tc>
          <w:tcPr>
            <w:tcW w:w="1843" w:type="dxa"/>
            <w:shd w:val="clear" w:color="auto" w:fill="auto"/>
            <w:vAlign w:val="center"/>
          </w:tcPr>
          <w:p w:rsidR="004007D3" w:rsidRPr="00251542" w:rsidRDefault="004007D3" w:rsidP="001A5BF9">
            <w:pPr>
              <w:autoSpaceDE w:val="0"/>
              <w:autoSpaceDN w:val="0"/>
              <w:adjustRightInd w:val="0"/>
              <w:spacing w:after="220"/>
              <w:jc w:val="center"/>
              <w:rPr>
                <w:rFonts w:eastAsia="MS Mincho" w:cs="Arial"/>
                <w:sz w:val="16"/>
                <w:szCs w:val="16"/>
                <w:lang w:bidi="th-TH"/>
              </w:rPr>
            </w:pPr>
            <w:r w:rsidRPr="00251542">
              <w:rPr>
                <w:sz w:val="16"/>
              </w:rPr>
              <w:t>112 590</w:t>
            </w:r>
          </w:p>
        </w:tc>
        <w:tc>
          <w:tcPr>
            <w:tcW w:w="1701" w:type="dxa"/>
            <w:shd w:val="clear" w:color="auto" w:fill="auto"/>
            <w:vAlign w:val="center"/>
          </w:tcPr>
          <w:p w:rsidR="004007D3" w:rsidRPr="00251542" w:rsidRDefault="004007D3" w:rsidP="001A5BF9">
            <w:pPr>
              <w:autoSpaceDE w:val="0"/>
              <w:autoSpaceDN w:val="0"/>
              <w:adjustRightInd w:val="0"/>
              <w:spacing w:after="220"/>
              <w:jc w:val="center"/>
              <w:rPr>
                <w:rFonts w:eastAsia="MS Mincho" w:cs="Arial"/>
                <w:sz w:val="16"/>
                <w:szCs w:val="16"/>
                <w:lang w:bidi="th-TH"/>
              </w:rPr>
            </w:pPr>
            <w:r w:rsidRPr="00251542">
              <w:rPr>
                <w:sz w:val="16"/>
              </w:rPr>
              <w:t> </w:t>
            </w:r>
          </w:p>
        </w:tc>
        <w:tc>
          <w:tcPr>
            <w:tcW w:w="1984" w:type="dxa"/>
            <w:shd w:val="clear" w:color="auto" w:fill="auto"/>
            <w:vAlign w:val="center"/>
          </w:tcPr>
          <w:p w:rsidR="004007D3" w:rsidRPr="00251542" w:rsidRDefault="004007D3" w:rsidP="001A5BF9">
            <w:pPr>
              <w:autoSpaceDE w:val="0"/>
              <w:autoSpaceDN w:val="0"/>
              <w:adjustRightInd w:val="0"/>
              <w:spacing w:after="220"/>
              <w:jc w:val="center"/>
              <w:rPr>
                <w:rFonts w:eastAsia="MS Mincho" w:cs="Arial"/>
                <w:sz w:val="16"/>
                <w:szCs w:val="16"/>
                <w:lang w:bidi="th-TH"/>
              </w:rPr>
            </w:pPr>
            <w:r w:rsidRPr="00251542">
              <w:rPr>
                <w:sz w:val="16"/>
              </w:rPr>
              <w:t>624 680</w:t>
            </w:r>
          </w:p>
        </w:tc>
      </w:tr>
    </w:tbl>
    <w:p w:rsidR="00D42474" w:rsidRDefault="004007D3" w:rsidP="001A5BF9">
      <w:pPr>
        <w:spacing w:before="120"/>
        <w:rPr>
          <w:sz w:val="16"/>
          <w:szCs w:val="16"/>
        </w:rPr>
      </w:pPr>
      <w:r w:rsidRPr="00A343B3">
        <w:rPr>
          <w:i/>
          <w:sz w:val="16"/>
          <w:szCs w:val="16"/>
          <w:vertAlign w:val="superscript"/>
        </w:rPr>
        <w:t>1</w:t>
      </w:r>
      <w:r w:rsidRPr="00A343B3">
        <w:rPr>
          <w:i/>
          <w:sz w:val="16"/>
          <w:szCs w:val="16"/>
        </w:rPr>
        <w:t xml:space="preserve"> </w:t>
      </w:r>
      <w:r w:rsidR="00A343B3">
        <w:rPr>
          <w:i/>
          <w:sz w:val="16"/>
          <w:szCs w:val="16"/>
        </w:rPr>
        <w:t xml:space="preserve"> </w:t>
      </w:r>
      <w:r w:rsidRPr="00A343B3">
        <w:rPr>
          <w:i/>
          <w:sz w:val="16"/>
          <w:szCs w:val="16"/>
        </w:rPr>
        <w:t>États financiers de l</w:t>
      </w:r>
      <w:r w:rsidR="00A20444" w:rsidRPr="00A343B3">
        <w:rPr>
          <w:i/>
          <w:sz w:val="16"/>
          <w:szCs w:val="16"/>
        </w:rPr>
        <w:t>’</w:t>
      </w:r>
      <w:r w:rsidRPr="00A343B3">
        <w:rPr>
          <w:i/>
          <w:sz w:val="16"/>
          <w:szCs w:val="16"/>
        </w:rPr>
        <w:t>OMPI 2013 (annexe III)</w:t>
      </w:r>
    </w:p>
    <w:p w:rsidR="00D42474" w:rsidRDefault="00DF60ED" w:rsidP="001A5BF9">
      <w:pPr>
        <w:rPr>
          <w:rFonts w:cs="Arial"/>
          <w:b/>
          <w:szCs w:val="20"/>
        </w:rPr>
      </w:pPr>
      <w:r w:rsidRPr="00251542">
        <w:rPr>
          <w:b/>
        </w:rPr>
        <w:br w:type="page"/>
      </w:r>
      <w:r w:rsidR="004007D3" w:rsidRPr="00251542">
        <w:rPr>
          <w:b/>
        </w:rPr>
        <w:t>JAPON/DROIT D</w:t>
      </w:r>
      <w:r w:rsidR="00A20444" w:rsidRPr="00251542">
        <w:rPr>
          <w:b/>
        </w:rPr>
        <w:t>’</w:t>
      </w:r>
      <w:r w:rsidR="004007D3" w:rsidRPr="00251542">
        <w:rPr>
          <w:b/>
        </w:rPr>
        <w:t>AUTEUR</w:t>
      </w:r>
    </w:p>
    <w:p w:rsidR="004007D3" w:rsidRPr="00251542" w:rsidRDefault="004007D3" w:rsidP="001A5BF9">
      <w:pPr>
        <w:rPr>
          <w:rFonts w:cs="Arial"/>
          <w:b/>
          <w:szCs w:val="20"/>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1"/>
        <w:gridCol w:w="1845"/>
        <w:gridCol w:w="1984"/>
        <w:gridCol w:w="3402"/>
      </w:tblGrid>
      <w:tr w:rsidR="004007D3" w:rsidRPr="00251542" w:rsidTr="0056083E">
        <w:tc>
          <w:tcPr>
            <w:tcW w:w="9072" w:type="dxa"/>
            <w:gridSpan w:val="4"/>
            <w:tcBorders>
              <w:top w:val="single" w:sz="4" w:space="0" w:color="000000"/>
              <w:bottom w:val="single" w:sz="4" w:space="0" w:color="000000"/>
            </w:tcBorders>
            <w:shd w:val="clear" w:color="auto" w:fill="CCFFFF"/>
            <w:vAlign w:val="center"/>
          </w:tcPr>
          <w:p w:rsidR="00D42474" w:rsidRDefault="004007D3" w:rsidP="00E434F2">
            <w:pPr>
              <w:keepNext/>
              <w:keepLines/>
              <w:tabs>
                <w:tab w:val="left" w:pos="1740"/>
              </w:tabs>
              <w:spacing w:before="120"/>
              <w:ind w:left="1701" w:hanging="1701"/>
              <w:rPr>
                <w:rFonts w:eastAsia="MS Mincho" w:cs="Arial"/>
                <w:bCs/>
                <w:sz w:val="16"/>
                <w:szCs w:val="16"/>
                <w:lang w:bidi="th-TH"/>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E434F2">
              <w:rPr>
                <w:b/>
                <w:sz w:val="16"/>
              </w:rPr>
              <w:tab/>
            </w:r>
            <w:r w:rsidRPr="00E434F2">
              <w:rPr>
                <w:sz w:val="16"/>
              </w:rPr>
              <w:t>Sensibilisation accrue et renforcement des capacités des États membres dans le domaine du droit d</w:t>
            </w:r>
            <w:r w:rsidR="00A20444" w:rsidRPr="00E434F2">
              <w:rPr>
                <w:sz w:val="16"/>
              </w:rPr>
              <w:t>’</w:t>
            </w:r>
            <w:r w:rsidRPr="00E434F2">
              <w:rPr>
                <w:sz w:val="16"/>
              </w:rPr>
              <w:t>auteur et des droits connexes</w:t>
            </w:r>
          </w:p>
          <w:p w:rsidR="00E434F2" w:rsidRPr="00E434F2" w:rsidRDefault="00E434F2" w:rsidP="00E434F2">
            <w:pPr>
              <w:keepNext/>
              <w:keepLines/>
              <w:tabs>
                <w:tab w:val="left" w:pos="1740"/>
              </w:tabs>
              <w:spacing w:before="120"/>
              <w:ind w:left="1701" w:hanging="1701"/>
              <w:rPr>
                <w:rFonts w:eastAsia="MS Mincho" w:cs="Arial"/>
                <w:bCs/>
                <w:sz w:val="2"/>
                <w:szCs w:val="2"/>
                <w:lang w:bidi="th-TH"/>
              </w:rPr>
            </w:pPr>
          </w:p>
        </w:tc>
      </w:tr>
      <w:tr w:rsidR="004007D3" w:rsidRPr="00E434F2" w:rsidTr="00797A8B">
        <w:tc>
          <w:tcPr>
            <w:tcW w:w="1841" w:type="dxa"/>
            <w:tcBorders>
              <w:top w:val="single" w:sz="4" w:space="0" w:color="000000"/>
            </w:tcBorders>
            <w:vAlign w:val="center"/>
          </w:tcPr>
          <w:p w:rsidR="004007D3" w:rsidRPr="00E434F2" w:rsidRDefault="004007D3" w:rsidP="001A5BF9">
            <w:pPr>
              <w:keepNext/>
              <w:keepLines/>
              <w:rPr>
                <w:rFonts w:cs="Arial"/>
                <w:b/>
                <w:bCs/>
                <w:sz w:val="16"/>
                <w:szCs w:val="16"/>
              </w:rPr>
            </w:pPr>
            <w:r w:rsidRPr="00E434F2">
              <w:rPr>
                <w:b/>
                <w:sz w:val="16"/>
              </w:rPr>
              <w:t>Activité</w:t>
            </w:r>
          </w:p>
        </w:tc>
        <w:tc>
          <w:tcPr>
            <w:tcW w:w="1845" w:type="dxa"/>
            <w:tcBorders>
              <w:top w:val="single" w:sz="4" w:space="0" w:color="000000"/>
            </w:tcBorders>
            <w:shd w:val="clear" w:color="auto" w:fill="auto"/>
            <w:tcMar>
              <w:top w:w="110" w:type="dxa"/>
            </w:tcMar>
            <w:vAlign w:val="center"/>
          </w:tcPr>
          <w:p w:rsidR="004007D3" w:rsidRPr="00E434F2" w:rsidRDefault="004007D3" w:rsidP="001A5BF9">
            <w:pPr>
              <w:keepNext/>
              <w:keepLines/>
              <w:rPr>
                <w:rFonts w:cs="Arial"/>
                <w:b/>
                <w:sz w:val="16"/>
                <w:szCs w:val="16"/>
              </w:rPr>
            </w:pPr>
            <w:r w:rsidRPr="00E434F2">
              <w:rPr>
                <w:b/>
                <w:sz w:val="16"/>
              </w:rPr>
              <w:t>Date :</w:t>
            </w:r>
          </w:p>
        </w:tc>
        <w:tc>
          <w:tcPr>
            <w:tcW w:w="1984" w:type="dxa"/>
            <w:tcBorders>
              <w:top w:val="single" w:sz="4" w:space="0" w:color="000000"/>
            </w:tcBorders>
            <w:shd w:val="clear" w:color="auto" w:fill="auto"/>
            <w:tcMar>
              <w:top w:w="110" w:type="dxa"/>
            </w:tcMar>
            <w:vAlign w:val="center"/>
          </w:tcPr>
          <w:p w:rsidR="004007D3" w:rsidRPr="00E434F2" w:rsidRDefault="004007D3" w:rsidP="001A5BF9">
            <w:pPr>
              <w:keepNext/>
              <w:keepLines/>
              <w:rPr>
                <w:rFonts w:cs="Arial"/>
                <w:b/>
                <w:sz w:val="16"/>
                <w:szCs w:val="16"/>
              </w:rPr>
            </w:pPr>
            <w:r w:rsidRPr="00E434F2">
              <w:rPr>
                <w:b/>
                <w:sz w:val="16"/>
              </w:rPr>
              <w:t>Pays hôte/bénéficiaire</w:t>
            </w:r>
          </w:p>
        </w:tc>
        <w:tc>
          <w:tcPr>
            <w:tcW w:w="3402" w:type="dxa"/>
            <w:tcBorders>
              <w:top w:val="single" w:sz="4" w:space="0" w:color="000000"/>
            </w:tcBorders>
            <w:shd w:val="clear" w:color="auto" w:fill="FFFFFF"/>
            <w:tcMar>
              <w:top w:w="110" w:type="dxa"/>
            </w:tcMar>
            <w:vAlign w:val="center"/>
          </w:tcPr>
          <w:p w:rsidR="004007D3" w:rsidRPr="00E434F2" w:rsidRDefault="004007D3" w:rsidP="001A5BF9">
            <w:pPr>
              <w:keepNext/>
              <w:keepLines/>
              <w:rPr>
                <w:rFonts w:cs="Arial"/>
                <w:b/>
                <w:sz w:val="16"/>
                <w:szCs w:val="16"/>
              </w:rPr>
            </w:pPr>
            <w:r w:rsidRPr="00E434F2">
              <w:rPr>
                <w:b/>
                <w:sz w:val="16"/>
              </w:rPr>
              <w:t>Objectif(s)/description(s)</w:t>
            </w:r>
          </w:p>
        </w:tc>
      </w:tr>
      <w:tr w:rsidR="004007D3" w:rsidRPr="00251542" w:rsidTr="00797A8B">
        <w:tc>
          <w:tcPr>
            <w:tcW w:w="1841" w:type="dxa"/>
          </w:tcPr>
          <w:p w:rsidR="004007D3" w:rsidRPr="00251542" w:rsidRDefault="004007D3" w:rsidP="001A5BF9">
            <w:pPr>
              <w:spacing w:before="120" w:after="120"/>
              <w:rPr>
                <w:rFonts w:cs="Arial"/>
                <w:sz w:val="16"/>
                <w:szCs w:val="16"/>
              </w:rPr>
            </w:pPr>
            <w:r w:rsidRPr="00251542">
              <w:rPr>
                <w:sz w:val="16"/>
              </w:rPr>
              <w:t>Séminaire national sur le rôle du droit d</w:t>
            </w:r>
            <w:r w:rsidR="00A20444" w:rsidRPr="00251542">
              <w:rPr>
                <w:sz w:val="16"/>
              </w:rPr>
              <w:t>’</w:t>
            </w:r>
            <w:r w:rsidRPr="00251542">
              <w:rPr>
                <w:sz w:val="16"/>
              </w:rPr>
              <w:t>auteur dans le développement culturel et économique</w:t>
            </w:r>
          </w:p>
        </w:tc>
        <w:tc>
          <w:tcPr>
            <w:tcW w:w="1845" w:type="dxa"/>
          </w:tcPr>
          <w:p w:rsidR="004007D3" w:rsidRPr="00251542" w:rsidRDefault="004007D3" w:rsidP="001A5BF9">
            <w:pPr>
              <w:spacing w:before="120" w:after="120"/>
              <w:rPr>
                <w:rFonts w:cs="Arial"/>
                <w:sz w:val="16"/>
                <w:szCs w:val="16"/>
              </w:rPr>
            </w:pPr>
            <w:r w:rsidRPr="00251542">
              <w:rPr>
                <w:sz w:val="16"/>
              </w:rPr>
              <w:t>28 et 29 mai 2013</w:t>
            </w:r>
          </w:p>
        </w:tc>
        <w:tc>
          <w:tcPr>
            <w:tcW w:w="1984" w:type="dxa"/>
          </w:tcPr>
          <w:p w:rsidR="004007D3" w:rsidRPr="00251542" w:rsidRDefault="004007D3" w:rsidP="001A5BF9">
            <w:pPr>
              <w:spacing w:before="120" w:after="120"/>
              <w:rPr>
                <w:rFonts w:cs="Arial"/>
                <w:sz w:val="16"/>
                <w:szCs w:val="16"/>
              </w:rPr>
            </w:pPr>
            <w:r w:rsidRPr="00251542">
              <w:rPr>
                <w:sz w:val="16"/>
              </w:rPr>
              <w:t>Bhoutan/30 participants locaux</w:t>
            </w:r>
          </w:p>
        </w:tc>
        <w:tc>
          <w:tcPr>
            <w:tcW w:w="3402" w:type="dxa"/>
          </w:tcPr>
          <w:p w:rsidR="004007D3" w:rsidRPr="00251542" w:rsidRDefault="004007D3" w:rsidP="001A5BF9">
            <w:pPr>
              <w:spacing w:before="120" w:after="120"/>
              <w:rPr>
                <w:rFonts w:cs="Arial"/>
                <w:spacing w:val="-4"/>
                <w:sz w:val="16"/>
                <w:szCs w:val="16"/>
              </w:rPr>
            </w:pPr>
            <w:r w:rsidRPr="00251542">
              <w:rPr>
                <w:spacing w:val="-4"/>
                <w:sz w:val="16"/>
              </w:rPr>
              <w:t>Promouvoir une meilleure compréhension du rôle du droit d</w:t>
            </w:r>
            <w:r w:rsidR="00A20444" w:rsidRPr="00251542">
              <w:rPr>
                <w:spacing w:val="-4"/>
                <w:sz w:val="16"/>
              </w:rPr>
              <w:t>’</w:t>
            </w:r>
            <w:r w:rsidRPr="00251542">
              <w:rPr>
                <w:spacing w:val="-4"/>
                <w:sz w:val="16"/>
              </w:rPr>
              <w:t>auteur et des droits connexes dans le développement culturel et économique, et contribuer à encourager une exploitation efficace des ouvrages culturels par le biais du droit d</w:t>
            </w:r>
            <w:r w:rsidR="00A20444" w:rsidRPr="00251542">
              <w:rPr>
                <w:spacing w:val="-4"/>
                <w:sz w:val="16"/>
              </w:rPr>
              <w:t>’</w:t>
            </w:r>
            <w:r w:rsidRPr="00251542">
              <w:rPr>
                <w:spacing w:val="-4"/>
                <w:sz w:val="16"/>
              </w:rPr>
              <w:t>auteur et des droits connexes</w:t>
            </w:r>
          </w:p>
        </w:tc>
      </w:tr>
      <w:tr w:rsidR="004007D3" w:rsidRPr="00251542" w:rsidTr="00797A8B">
        <w:tc>
          <w:tcPr>
            <w:tcW w:w="1841" w:type="dxa"/>
          </w:tcPr>
          <w:p w:rsidR="004007D3" w:rsidRPr="00251542" w:rsidRDefault="004007D3" w:rsidP="001A5BF9">
            <w:pPr>
              <w:spacing w:before="120" w:after="120"/>
              <w:rPr>
                <w:rFonts w:cs="Arial"/>
                <w:sz w:val="16"/>
                <w:szCs w:val="16"/>
              </w:rPr>
            </w:pPr>
            <w:r w:rsidRPr="00251542">
              <w:rPr>
                <w:sz w:val="16"/>
              </w:rPr>
              <w:t>Atelier national sur le renforcement des capacités</w:t>
            </w:r>
          </w:p>
        </w:tc>
        <w:tc>
          <w:tcPr>
            <w:tcW w:w="1845" w:type="dxa"/>
          </w:tcPr>
          <w:p w:rsidR="004007D3" w:rsidRPr="00251542" w:rsidRDefault="004007D3" w:rsidP="001A5BF9">
            <w:pPr>
              <w:spacing w:before="120" w:after="120"/>
              <w:rPr>
                <w:rFonts w:cs="Arial"/>
                <w:sz w:val="16"/>
                <w:szCs w:val="16"/>
              </w:rPr>
            </w:pPr>
            <w:r w:rsidRPr="00251542">
              <w:rPr>
                <w:sz w:val="16"/>
              </w:rPr>
              <w:t>3 juillet 2013</w:t>
            </w:r>
          </w:p>
        </w:tc>
        <w:tc>
          <w:tcPr>
            <w:tcW w:w="1984" w:type="dxa"/>
          </w:tcPr>
          <w:p w:rsidR="004007D3" w:rsidRPr="00251542" w:rsidRDefault="004007D3" w:rsidP="001A5BF9">
            <w:pPr>
              <w:spacing w:before="120" w:after="120"/>
              <w:rPr>
                <w:rFonts w:cs="Arial"/>
                <w:sz w:val="16"/>
                <w:szCs w:val="16"/>
              </w:rPr>
            </w:pPr>
            <w:r w:rsidRPr="00251542">
              <w:rPr>
                <w:sz w:val="16"/>
              </w:rPr>
              <w:t>Népal/40 participants locaux</w:t>
            </w:r>
          </w:p>
        </w:tc>
        <w:tc>
          <w:tcPr>
            <w:tcW w:w="3402" w:type="dxa"/>
          </w:tcPr>
          <w:p w:rsidR="004007D3" w:rsidRPr="00251542" w:rsidRDefault="004007D3" w:rsidP="001A5BF9">
            <w:pPr>
              <w:spacing w:before="120" w:after="120"/>
              <w:rPr>
                <w:rFonts w:cs="Arial"/>
                <w:sz w:val="16"/>
                <w:szCs w:val="16"/>
              </w:rPr>
            </w:pPr>
            <w:r w:rsidRPr="00251542">
              <w:rPr>
                <w:sz w:val="16"/>
              </w:rPr>
              <w:t>Promouvoir une plus grande prise de conscience et renforcer les capacités du droit d</w:t>
            </w:r>
            <w:r w:rsidR="00A20444" w:rsidRPr="00251542">
              <w:rPr>
                <w:sz w:val="16"/>
              </w:rPr>
              <w:t>’</w:t>
            </w:r>
            <w:r w:rsidRPr="00251542">
              <w:rPr>
                <w:sz w:val="16"/>
              </w:rPr>
              <w:t>auteur et des droits connexes, et lancer un Manuel sur le droit d</w:t>
            </w:r>
            <w:r w:rsidR="00A20444" w:rsidRPr="00251542">
              <w:rPr>
                <w:sz w:val="16"/>
              </w:rPr>
              <w:t>’</w:t>
            </w:r>
            <w:r w:rsidRPr="00251542">
              <w:rPr>
                <w:sz w:val="16"/>
              </w:rPr>
              <w:t xml:space="preserve">auteur et les droits connexes en népalais, qui </w:t>
            </w:r>
            <w:proofErr w:type="gramStart"/>
            <w:r w:rsidRPr="00251542">
              <w:rPr>
                <w:sz w:val="16"/>
              </w:rPr>
              <w:t>a</w:t>
            </w:r>
            <w:proofErr w:type="gramEnd"/>
            <w:r w:rsidRPr="00251542">
              <w:rPr>
                <w:sz w:val="16"/>
              </w:rPr>
              <w:t xml:space="preserve"> été élaboré dans le cadre du programme de travail 2012 du fonds fiduciaire du Japon</w:t>
            </w:r>
          </w:p>
        </w:tc>
      </w:tr>
      <w:tr w:rsidR="004007D3" w:rsidRPr="00251542" w:rsidTr="00797A8B">
        <w:tc>
          <w:tcPr>
            <w:tcW w:w="1841" w:type="dxa"/>
          </w:tcPr>
          <w:p w:rsidR="004007D3" w:rsidRPr="00251542" w:rsidRDefault="004007D3" w:rsidP="001A5BF9">
            <w:pPr>
              <w:spacing w:before="120" w:after="120"/>
              <w:rPr>
                <w:rFonts w:cs="Arial"/>
                <w:sz w:val="16"/>
                <w:szCs w:val="16"/>
              </w:rPr>
            </w:pPr>
            <w:r w:rsidRPr="00251542">
              <w:rPr>
                <w:sz w:val="16"/>
              </w:rPr>
              <w:t>Atelier régional Asie</w:t>
            </w:r>
            <w:r w:rsidR="002D6F2A" w:rsidRPr="00251542">
              <w:rPr>
                <w:sz w:val="16"/>
              </w:rPr>
              <w:noBreakHyphen/>
            </w:r>
            <w:r w:rsidRPr="00251542">
              <w:rPr>
                <w:sz w:val="16"/>
              </w:rPr>
              <w:t>Pacifique sur l</w:t>
            </w:r>
            <w:r w:rsidR="00A20444" w:rsidRPr="00251542">
              <w:rPr>
                <w:sz w:val="16"/>
              </w:rPr>
              <w:t>’</w:t>
            </w:r>
            <w:r w:rsidRPr="00251542">
              <w:rPr>
                <w:sz w:val="16"/>
              </w:rPr>
              <w:t>élaboration et la mise en œuvre de politiques et stratégies nationales en matière de droit d</w:t>
            </w:r>
            <w:r w:rsidR="00A20444" w:rsidRPr="00251542">
              <w:rPr>
                <w:sz w:val="16"/>
              </w:rPr>
              <w:t>’</w:t>
            </w:r>
            <w:r w:rsidRPr="00251542">
              <w:rPr>
                <w:sz w:val="16"/>
              </w:rPr>
              <w:t>auteur</w:t>
            </w:r>
          </w:p>
        </w:tc>
        <w:tc>
          <w:tcPr>
            <w:tcW w:w="1845" w:type="dxa"/>
          </w:tcPr>
          <w:p w:rsidR="004007D3" w:rsidRPr="00251542" w:rsidRDefault="004007D3" w:rsidP="001A5BF9">
            <w:pPr>
              <w:spacing w:before="120" w:after="120"/>
              <w:rPr>
                <w:rFonts w:cs="Arial"/>
                <w:sz w:val="16"/>
                <w:szCs w:val="16"/>
              </w:rPr>
            </w:pPr>
            <w:r w:rsidRPr="00251542">
              <w:rPr>
                <w:sz w:val="16"/>
              </w:rPr>
              <w:t>16 et 17 septembre 2013</w:t>
            </w:r>
          </w:p>
        </w:tc>
        <w:tc>
          <w:tcPr>
            <w:tcW w:w="1984" w:type="dxa"/>
          </w:tcPr>
          <w:p w:rsidR="004007D3" w:rsidRPr="00251542" w:rsidRDefault="004007D3" w:rsidP="001A5BF9">
            <w:pPr>
              <w:spacing w:before="120" w:after="120"/>
              <w:rPr>
                <w:rFonts w:cs="Arial"/>
                <w:sz w:val="16"/>
                <w:szCs w:val="16"/>
              </w:rPr>
            </w:pPr>
            <w:r w:rsidRPr="00251542">
              <w:rPr>
                <w:sz w:val="16"/>
              </w:rPr>
              <w:t>Thaïlande/20 participants étrangers issus de 20 pays d</w:t>
            </w:r>
            <w:r w:rsidR="00A20444" w:rsidRPr="00251542">
              <w:rPr>
                <w:sz w:val="16"/>
              </w:rPr>
              <w:t>’</w:t>
            </w:r>
            <w:r w:rsidRPr="00251542">
              <w:rPr>
                <w:sz w:val="16"/>
              </w:rPr>
              <w:t>Asie et du Pacifique</w:t>
            </w:r>
          </w:p>
        </w:tc>
        <w:tc>
          <w:tcPr>
            <w:tcW w:w="3402" w:type="dxa"/>
          </w:tcPr>
          <w:p w:rsidR="004007D3" w:rsidRPr="00251542" w:rsidRDefault="004007D3" w:rsidP="001A5BF9">
            <w:pPr>
              <w:spacing w:before="120" w:after="120"/>
              <w:rPr>
                <w:rFonts w:cs="Arial"/>
                <w:spacing w:val="-4"/>
                <w:sz w:val="16"/>
                <w:szCs w:val="16"/>
              </w:rPr>
            </w:pPr>
            <w:r w:rsidRPr="00251542">
              <w:rPr>
                <w:spacing w:val="-4"/>
                <w:sz w:val="16"/>
              </w:rPr>
              <w:t>Créer une plate</w:t>
            </w:r>
            <w:r w:rsidR="002D6F2A" w:rsidRPr="00251542">
              <w:rPr>
                <w:spacing w:val="-4"/>
                <w:sz w:val="16"/>
              </w:rPr>
              <w:noBreakHyphen/>
            </w:r>
            <w:r w:rsidRPr="00251542">
              <w:rPr>
                <w:spacing w:val="-4"/>
                <w:sz w:val="16"/>
              </w:rPr>
              <w:t>forme pour échanger des points de vue et des informations entre fonctionnaires des offices du droit d</w:t>
            </w:r>
            <w:r w:rsidR="00A20444" w:rsidRPr="00251542">
              <w:rPr>
                <w:spacing w:val="-4"/>
                <w:sz w:val="16"/>
              </w:rPr>
              <w:t>’</w:t>
            </w:r>
            <w:r w:rsidRPr="00251542">
              <w:rPr>
                <w:spacing w:val="-4"/>
                <w:sz w:val="16"/>
              </w:rPr>
              <w:t>auteur des pays de la région sur la nécessité d</w:t>
            </w:r>
            <w:r w:rsidR="00A20444" w:rsidRPr="00251542">
              <w:rPr>
                <w:spacing w:val="-4"/>
                <w:sz w:val="16"/>
              </w:rPr>
              <w:t>’</w:t>
            </w:r>
            <w:r w:rsidRPr="00251542">
              <w:rPr>
                <w:spacing w:val="-4"/>
                <w:sz w:val="16"/>
              </w:rPr>
              <w:t>élaborer des politiques et stratégies nationales sur le droit d</w:t>
            </w:r>
            <w:r w:rsidR="00A20444" w:rsidRPr="00251542">
              <w:rPr>
                <w:spacing w:val="-4"/>
                <w:sz w:val="16"/>
              </w:rPr>
              <w:t>’</w:t>
            </w:r>
            <w:r w:rsidRPr="00251542">
              <w:rPr>
                <w:spacing w:val="-4"/>
                <w:sz w:val="16"/>
              </w:rPr>
              <w:t>auteur qui soient d</w:t>
            </w:r>
            <w:r w:rsidR="00A20444" w:rsidRPr="00251542">
              <w:rPr>
                <w:spacing w:val="-4"/>
                <w:sz w:val="16"/>
              </w:rPr>
              <w:t>’</w:t>
            </w:r>
            <w:r w:rsidRPr="00251542">
              <w:rPr>
                <w:spacing w:val="-4"/>
                <w:sz w:val="16"/>
              </w:rPr>
              <w:t>une pertinence et d</w:t>
            </w:r>
            <w:r w:rsidR="00A20444" w:rsidRPr="00251542">
              <w:rPr>
                <w:spacing w:val="-4"/>
                <w:sz w:val="16"/>
              </w:rPr>
              <w:t>’</w:t>
            </w:r>
            <w:r w:rsidRPr="00251542">
              <w:rPr>
                <w:spacing w:val="-4"/>
                <w:sz w:val="16"/>
              </w:rPr>
              <w:t>une importance particulières pour les pays en développement</w:t>
            </w:r>
          </w:p>
        </w:tc>
      </w:tr>
      <w:tr w:rsidR="004007D3" w:rsidRPr="00251542" w:rsidTr="00797A8B">
        <w:tc>
          <w:tcPr>
            <w:tcW w:w="1841" w:type="dxa"/>
          </w:tcPr>
          <w:p w:rsidR="004007D3" w:rsidRPr="00251542" w:rsidRDefault="004007D3" w:rsidP="001A5BF9">
            <w:pPr>
              <w:spacing w:before="120" w:after="120"/>
              <w:rPr>
                <w:rFonts w:cs="Arial"/>
                <w:sz w:val="16"/>
                <w:szCs w:val="16"/>
              </w:rPr>
            </w:pPr>
            <w:r w:rsidRPr="00251542">
              <w:rPr>
                <w:sz w:val="16"/>
              </w:rPr>
              <w:t>Évaluation et étude du fonds fiduciaire du Japon</w:t>
            </w:r>
          </w:p>
        </w:tc>
        <w:tc>
          <w:tcPr>
            <w:tcW w:w="1845" w:type="dxa"/>
          </w:tcPr>
          <w:p w:rsidR="004007D3" w:rsidRPr="00251542" w:rsidRDefault="004007D3" w:rsidP="001A5BF9">
            <w:pPr>
              <w:spacing w:before="120" w:after="120"/>
              <w:rPr>
                <w:rFonts w:cs="Arial"/>
                <w:sz w:val="16"/>
                <w:szCs w:val="16"/>
              </w:rPr>
            </w:pPr>
            <w:r w:rsidRPr="00251542">
              <w:rPr>
                <w:sz w:val="16"/>
              </w:rPr>
              <w:t>4 et 5 juillet 2013;</w:t>
            </w:r>
            <w:r w:rsidR="004F3E42" w:rsidRPr="00251542">
              <w:rPr>
                <w:sz w:val="16"/>
              </w:rPr>
              <w:t xml:space="preserve"> </w:t>
            </w:r>
            <w:r w:rsidR="0010442A" w:rsidRPr="00251542">
              <w:rPr>
                <w:sz w:val="16"/>
              </w:rPr>
              <w:t xml:space="preserve"> </w:t>
            </w:r>
            <w:r w:rsidRPr="00251542">
              <w:rPr>
                <w:sz w:val="16"/>
              </w:rPr>
              <w:t>18 septembre 2013</w:t>
            </w:r>
          </w:p>
        </w:tc>
        <w:tc>
          <w:tcPr>
            <w:tcW w:w="1984" w:type="dxa"/>
          </w:tcPr>
          <w:p w:rsidR="004007D3" w:rsidRPr="00251542" w:rsidRDefault="004007D3" w:rsidP="001A5BF9">
            <w:pPr>
              <w:spacing w:before="120" w:after="120"/>
              <w:rPr>
                <w:rFonts w:cs="Arial"/>
                <w:sz w:val="16"/>
                <w:szCs w:val="16"/>
              </w:rPr>
            </w:pPr>
            <w:r w:rsidRPr="00251542">
              <w:rPr>
                <w:sz w:val="16"/>
              </w:rPr>
              <w:t>Népal et Thaïlande</w:t>
            </w:r>
          </w:p>
        </w:tc>
        <w:tc>
          <w:tcPr>
            <w:tcW w:w="3402" w:type="dxa"/>
          </w:tcPr>
          <w:p w:rsidR="004007D3" w:rsidRPr="00251542" w:rsidRDefault="004007D3" w:rsidP="001A5BF9">
            <w:pPr>
              <w:spacing w:before="120" w:after="120"/>
              <w:rPr>
                <w:rFonts w:cs="Arial"/>
                <w:sz w:val="16"/>
                <w:szCs w:val="16"/>
              </w:rPr>
            </w:pPr>
            <w:r w:rsidRPr="00251542">
              <w:rPr>
                <w:sz w:val="16"/>
              </w:rPr>
              <w:t>Évaluer l</w:t>
            </w:r>
            <w:r w:rsidR="00A20444" w:rsidRPr="00251542">
              <w:rPr>
                <w:sz w:val="16"/>
              </w:rPr>
              <w:t>’</w:t>
            </w:r>
            <w:r w:rsidRPr="00251542">
              <w:rPr>
                <w:sz w:val="16"/>
              </w:rPr>
              <w:t>efficacité et l</w:t>
            </w:r>
            <w:r w:rsidR="00A20444" w:rsidRPr="00251542">
              <w:rPr>
                <w:sz w:val="16"/>
              </w:rPr>
              <w:t>’</w:t>
            </w:r>
            <w:r w:rsidRPr="00251542">
              <w:rPr>
                <w:sz w:val="16"/>
              </w:rPr>
              <w:t>impact des activités financées par le fonds fiduciaire du Japon sur le renforcement des capacités et de la sensibilisation, ainsi que l</w:t>
            </w:r>
            <w:r w:rsidR="00A20444" w:rsidRPr="00251542">
              <w:rPr>
                <w:sz w:val="16"/>
              </w:rPr>
              <w:t>’</w:t>
            </w:r>
            <w:r w:rsidRPr="00251542">
              <w:rPr>
                <w:sz w:val="16"/>
              </w:rPr>
              <w:t>amélioration des systèmes de droit d</w:t>
            </w:r>
            <w:r w:rsidR="00A20444" w:rsidRPr="00251542">
              <w:rPr>
                <w:sz w:val="16"/>
              </w:rPr>
              <w:t>’</w:t>
            </w:r>
            <w:r w:rsidRPr="00251542">
              <w:rPr>
                <w:sz w:val="16"/>
              </w:rPr>
              <w:t>auteur sur les dernières années</w:t>
            </w:r>
          </w:p>
        </w:tc>
      </w:tr>
      <w:tr w:rsidR="004007D3" w:rsidRPr="00251542" w:rsidTr="00797A8B">
        <w:tc>
          <w:tcPr>
            <w:tcW w:w="1841" w:type="dxa"/>
          </w:tcPr>
          <w:p w:rsidR="004007D3" w:rsidRPr="00251542" w:rsidRDefault="004007D3" w:rsidP="001A5BF9">
            <w:pPr>
              <w:spacing w:before="120" w:after="120"/>
              <w:rPr>
                <w:rFonts w:cs="Arial"/>
                <w:sz w:val="16"/>
                <w:szCs w:val="16"/>
              </w:rPr>
            </w:pPr>
            <w:r w:rsidRPr="00251542">
              <w:rPr>
                <w:sz w:val="16"/>
              </w:rPr>
              <w:t>Séminaire national sur la sensibilisation au droit d</w:t>
            </w:r>
            <w:r w:rsidR="00A20444" w:rsidRPr="00251542">
              <w:rPr>
                <w:sz w:val="16"/>
              </w:rPr>
              <w:t>’</w:t>
            </w:r>
            <w:r w:rsidRPr="00251542">
              <w:rPr>
                <w:sz w:val="16"/>
              </w:rPr>
              <w:t>auteur et aux droits connexes</w:t>
            </w:r>
          </w:p>
        </w:tc>
        <w:tc>
          <w:tcPr>
            <w:tcW w:w="1845" w:type="dxa"/>
          </w:tcPr>
          <w:p w:rsidR="004007D3" w:rsidRPr="00251542" w:rsidRDefault="004007D3" w:rsidP="001A5BF9">
            <w:pPr>
              <w:spacing w:before="120" w:after="120"/>
              <w:rPr>
                <w:rFonts w:cs="Arial"/>
                <w:sz w:val="16"/>
                <w:szCs w:val="16"/>
              </w:rPr>
            </w:pPr>
            <w:r w:rsidRPr="00251542">
              <w:rPr>
                <w:sz w:val="16"/>
              </w:rPr>
              <w:t>6 et 7 novembre 2013</w:t>
            </w:r>
          </w:p>
        </w:tc>
        <w:tc>
          <w:tcPr>
            <w:tcW w:w="1984" w:type="dxa"/>
          </w:tcPr>
          <w:p w:rsidR="004007D3" w:rsidRPr="00251542" w:rsidRDefault="004007D3" w:rsidP="001A5BF9">
            <w:pPr>
              <w:spacing w:before="120" w:after="120"/>
              <w:rPr>
                <w:rFonts w:cs="Arial"/>
                <w:sz w:val="16"/>
                <w:szCs w:val="16"/>
              </w:rPr>
            </w:pPr>
            <w:proofErr w:type="spellStart"/>
            <w:r w:rsidRPr="00251542">
              <w:rPr>
                <w:sz w:val="16"/>
              </w:rPr>
              <w:t>Brunéi</w:t>
            </w:r>
            <w:proofErr w:type="spellEnd"/>
            <w:r w:rsidRPr="00251542">
              <w:rPr>
                <w:sz w:val="16"/>
              </w:rPr>
              <w:t xml:space="preserve"> Darussalam/40 participants locaux</w:t>
            </w:r>
          </w:p>
        </w:tc>
        <w:tc>
          <w:tcPr>
            <w:tcW w:w="3402" w:type="dxa"/>
          </w:tcPr>
          <w:p w:rsidR="004007D3" w:rsidRPr="00251542" w:rsidRDefault="004007D3" w:rsidP="001A5BF9">
            <w:pPr>
              <w:spacing w:before="120" w:after="120"/>
              <w:rPr>
                <w:rFonts w:cs="Arial"/>
                <w:spacing w:val="-2"/>
                <w:sz w:val="16"/>
                <w:szCs w:val="16"/>
              </w:rPr>
            </w:pPr>
            <w:r w:rsidRPr="00251542">
              <w:rPr>
                <w:spacing w:val="-2"/>
                <w:sz w:val="16"/>
              </w:rPr>
              <w:t>Améliorer la perception de la pertinence et de l</w:t>
            </w:r>
            <w:r w:rsidR="00A20444" w:rsidRPr="00251542">
              <w:rPr>
                <w:spacing w:val="-2"/>
                <w:sz w:val="16"/>
              </w:rPr>
              <w:t>’</w:t>
            </w:r>
            <w:r w:rsidRPr="00251542">
              <w:rPr>
                <w:spacing w:val="-2"/>
                <w:sz w:val="16"/>
              </w:rPr>
              <w:t>importance d</w:t>
            </w:r>
            <w:r w:rsidR="00A20444" w:rsidRPr="00251542">
              <w:rPr>
                <w:spacing w:val="-2"/>
                <w:sz w:val="16"/>
              </w:rPr>
              <w:t>’</w:t>
            </w:r>
            <w:r w:rsidRPr="00251542">
              <w:rPr>
                <w:spacing w:val="-2"/>
                <w:sz w:val="16"/>
              </w:rPr>
              <w:t>un système de droit d</w:t>
            </w:r>
            <w:r w:rsidR="00A20444" w:rsidRPr="00251542">
              <w:rPr>
                <w:spacing w:val="-2"/>
                <w:sz w:val="16"/>
              </w:rPr>
              <w:t>’</w:t>
            </w:r>
            <w:r w:rsidRPr="00251542">
              <w:rPr>
                <w:spacing w:val="-2"/>
                <w:sz w:val="16"/>
              </w:rPr>
              <w:t>auteur et évoquer les méthodes et approches permettant de promouvoir une plus grande prise de conscience chez les fonctionnaires et les principales parties prenantes</w:t>
            </w:r>
          </w:p>
        </w:tc>
      </w:tr>
      <w:tr w:rsidR="004007D3" w:rsidRPr="00251542" w:rsidTr="00797A8B">
        <w:tc>
          <w:tcPr>
            <w:tcW w:w="1841" w:type="dxa"/>
          </w:tcPr>
          <w:p w:rsidR="004007D3" w:rsidRPr="00251542" w:rsidRDefault="004007D3" w:rsidP="001A5BF9">
            <w:pPr>
              <w:spacing w:before="120" w:after="120"/>
              <w:rPr>
                <w:rFonts w:cs="Arial"/>
                <w:sz w:val="16"/>
                <w:szCs w:val="16"/>
              </w:rPr>
            </w:pPr>
            <w:r w:rsidRPr="00251542">
              <w:rPr>
                <w:sz w:val="16"/>
              </w:rPr>
              <w:t>Atelier spécial sur la protection du droit d</w:t>
            </w:r>
            <w:r w:rsidR="00A20444" w:rsidRPr="00251542">
              <w:rPr>
                <w:sz w:val="16"/>
              </w:rPr>
              <w:t>’</w:t>
            </w:r>
            <w:r w:rsidRPr="00251542">
              <w:rPr>
                <w:sz w:val="16"/>
              </w:rPr>
              <w:t>auteur et des droits connexes</w:t>
            </w:r>
          </w:p>
        </w:tc>
        <w:tc>
          <w:tcPr>
            <w:tcW w:w="1845" w:type="dxa"/>
          </w:tcPr>
          <w:p w:rsidR="004007D3" w:rsidRPr="00251542" w:rsidRDefault="004007D3" w:rsidP="001A5BF9">
            <w:pPr>
              <w:spacing w:before="120" w:after="120"/>
              <w:rPr>
                <w:rFonts w:cs="Arial"/>
                <w:sz w:val="16"/>
                <w:szCs w:val="16"/>
              </w:rPr>
            </w:pPr>
            <w:r w:rsidRPr="00251542">
              <w:rPr>
                <w:sz w:val="16"/>
              </w:rPr>
              <w:t>18</w:t>
            </w:r>
            <w:r w:rsidR="002D6F2A" w:rsidRPr="00251542">
              <w:rPr>
                <w:sz w:val="16"/>
              </w:rPr>
              <w:noBreakHyphen/>
            </w:r>
            <w:r w:rsidRPr="00251542">
              <w:rPr>
                <w:sz w:val="16"/>
              </w:rPr>
              <w:t>29 novembre 2013</w:t>
            </w:r>
          </w:p>
        </w:tc>
        <w:tc>
          <w:tcPr>
            <w:tcW w:w="1984" w:type="dxa"/>
          </w:tcPr>
          <w:p w:rsidR="004007D3" w:rsidRPr="00251542" w:rsidRDefault="004007D3" w:rsidP="001A5BF9">
            <w:pPr>
              <w:spacing w:before="120" w:after="120"/>
              <w:rPr>
                <w:rFonts w:cs="Arial"/>
                <w:spacing w:val="-4"/>
                <w:sz w:val="16"/>
                <w:szCs w:val="16"/>
              </w:rPr>
            </w:pPr>
            <w:r w:rsidRPr="00251542">
              <w:rPr>
                <w:spacing w:val="-4"/>
                <w:sz w:val="16"/>
              </w:rPr>
              <w:t>Japon/12 participants du Cambodge, de Chine, des Maldives, de Mongolie, du Myanmar et de République démocratique populaire lao</w:t>
            </w:r>
          </w:p>
        </w:tc>
        <w:tc>
          <w:tcPr>
            <w:tcW w:w="3402" w:type="dxa"/>
          </w:tcPr>
          <w:p w:rsidR="004007D3" w:rsidRPr="00251542" w:rsidRDefault="004007D3" w:rsidP="001A5BF9">
            <w:pPr>
              <w:spacing w:before="120" w:after="120"/>
              <w:rPr>
                <w:rFonts w:cs="Arial"/>
                <w:sz w:val="16"/>
                <w:szCs w:val="16"/>
              </w:rPr>
            </w:pPr>
            <w:r w:rsidRPr="00251542">
              <w:rPr>
                <w:sz w:val="16"/>
              </w:rPr>
              <w:t>Partager des informations et des expériences entre les fonctionnaires des offices du droit d</w:t>
            </w:r>
            <w:r w:rsidR="00A20444" w:rsidRPr="00251542">
              <w:rPr>
                <w:sz w:val="16"/>
              </w:rPr>
              <w:t>’</w:t>
            </w:r>
            <w:r w:rsidRPr="00251542">
              <w:rPr>
                <w:sz w:val="16"/>
              </w:rPr>
              <w:t>auteur de la région concernant l</w:t>
            </w:r>
            <w:r w:rsidR="00A20444" w:rsidRPr="00251542">
              <w:rPr>
                <w:sz w:val="16"/>
              </w:rPr>
              <w:t>’</w:t>
            </w:r>
            <w:r w:rsidRPr="00251542">
              <w:rPr>
                <w:sz w:val="16"/>
              </w:rPr>
              <w:t>importance de la protection du droit d</w:t>
            </w:r>
            <w:r w:rsidR="00A20444" w:rsidRPr="00251542">
              <w:rPr>
                <w:sz w:val="16"/>
              </w:rPr>
              <w:t>’</w:t>
            </w:r>
            <w:r w:rsidRPr="00251542">
              <w:rPr>
                <w:sz w:val="16"/>
              </w:rPr>
              <w:t>auteur et des droits connexes</w:t>
            </w:r>
          </w:p>
        </w:tc>
      </w:tr>
      <w:tr w:rsidR="004007D3" w:rsidRPr="00251542" w:rsidTr="00797A8B">
        <w:tc>
          <w:tcPr>
            <w:tcW w:w="1841" w:type="dxa"/>
          </w:tcPr>
          <w:p w:rsidR="004007D3" w:rsidRPr="00251542" w:rsidRDefault="004007D3" w:rsidP="001A5BF9">
            <w:pPr>
              <w:spacing w:before="120" w:after="120"/>
              <w:rPr>
                <w:rFonts w:cs="Arial"/>
                <w:sz w:val="16"/>
                <w:szCs w:val="16"/>
              </w:rPr>
            </w:pPr>
            <w:r w:rsidRPr="00251542">
              <w:rPr>
                <w:sz w:val="16"/>
              </w:rPr>
              <w:t>Visite d</w:t>
            </w:r>
            <w:r w:rsidR="00A20444" w:rsidRPr="00251542">
              <w:rPr>
                <w:sz w:val="16"/>
              </w:rPr>
              <w:t>’</w:t>
            </w:r>
            <w:r w:rsidRPr="00251542">
              <w:rPr>
                <w:sz w:val="16"/>
              </w:rPr>
              <w:t>étude auprès d</w:t>
            </w:r>
            <w:r w:rsidR="00A20444" w:rsidRPr="00251542">
              <w:rPr>
                <w:sz w:val="16"/>
              </w:rPr>
              <w:t>’</w:t>
            </w:r>
            <w:r w:rsidRPr="00251542">
              <w:rPr>
                <w:sz w:val="16"/>
              </w:rPr>
              <w:t>organismes de gestion du droit d</w:t>
            </w:r>
            <w:r w:rsidR="00A20444" w:rsidRPr="00251542">
              <w:rPr>
                <w:sz w:val="16"/>
              </w:rPr>
              <w:t>’</w:t>
            </w:r>
            <w:r w:rsidRPr="00251542">
              <w:rPr>
                <w:sz w:val="16"/>
              </w:rPr>
              <w:t>auteur</w:t>
            </w:r>
          </w:p>
        </w:tc>
        <w:tc>
          <w:tcPr>
            <w:tcW w:w="1845" w:type="dxa"/>
          </w:tcPr>
          <w:p w:rsidR="004007D3" w:rsidRPr="00251542" w:rsidRDefault="004007D3" w:rsidP="001A5BF9">
            <w:pPr>
              <w:spacing w:before="120" w:after="120"/>
              <w:rPr>
                <w:rFonts w:cs="Arial"/>
                <w:sz w:val="16"/>
                <w:szCs w:val="16"/>
              </w:rPr>
            </w:pPr>
            <w:r w:rsidRPr="00251542">
              <w:rPr>
                <w:sz w:val="16"/>
              </w:rPr>
              <w:t>25</w:t>
            </w:r>
            <w:r w:rsidR="002D6F2A" w:rsidRPr="00251542">
              <w:rPr>
                <w:sz w:val="16"/>
              </w:rPr>
              <w:noBreakHyphen/>
            </w:r>
            <w:r w:rsidRPr="00251542">
              <w:rPr>
                <w:sz w:val="16"/>
              </w:rPr>
              <w:t>29 novembre 2013</w:t>
            </w:r>
          </w:p>
        </w:tc>
        <w:tc>
          <w:tcPr>
            <w:tcW w:w="1984" w:type="dxa"/>
          </w:tcPr>
          <w:p w:rsidR="004007D3" w:rsidRPr="00251542" w:rsidRDefault="004007D3" w:rsidP="001A5BF9">
            <w:pPr>
              <w:spacing w:before="120" w:after="120"/>
              <w:rPr>
                <w:rFonts w:cs="Arial"/>
                <w:sz w:val="16"/>
                <w:szCs w:val="16"/>
              </w:rPr>
            </w:pPr>
            <w:r w:rsidRPr="00251542">
              <w:rPr>
                <w:sz w:val="16"/>
              </w:rPr>
              <w:t>Japon/6 participants d</w:t>
            </w:r>
            <w:r w:rsidR="00A20444" w:rsidRPr="00251542">
              <w:rPr>
                <w:sz w:val="16"/>
              </w:rPr>
              <w:t>’</w:t>
            </w:r>
            <w:r w:rsidRPr="00251542">
              <w:rPr>
                <w:sz w:val="16"/>
              </w:rPr>
              <w:t>Indonésie, de Malaisie et de Thaïlande</w:t>
            </w:r>
          </w:p>
        </w:tc>
        <w:tc>
          <w:tcPr>
            <w:tcW w:w="3402" w:type="dxa"/>
          </w:tcPr>
          <w:p w:rsidR="004007D3" w:rsidRPr="00251542" w:rsidRDefault="004007D3" w:rsidP="001A5BF9">
            <w:pPr>
              <w:spacing w:before="120" w:after="120"/>
              <w:rPr>
                <w:rFonts w:cs="Arial"/>
                <w:sz w:val="16"/>
                <w:szCs w:val="16"/>
              </w:rPr>
            </w:pPr>
            <w:r w:rsidRPr="00251542">
              <w:rPr>
                <w:sz w:val="16"/>
              </w:rPr>
              <w:t xml:space="preserve"> i) Approfondir les connaissances et la compréhension des participants sur les questions relatives à la gestion du droit d</w:t>
            </w:r>
            <w:r w:rsidR="00A20444" w:rsidRPr="00251542">
              <w:rPr>
                <w:sz w:val="16"/>
              </w:rPr>
              <w:t>’</w:t>
            </w:r>
            <w:r w:rsidRPr="00251542">
              <w:rPr>
                <w:sz w:val="16"/>
              </w:rPr>
              <w:t>auteur;</w:t>
            </w:r>
            <w:r w:rsidR="004F3E42" w:rsidRPr="00251542">
              <w:rPr>
                <w:sz w:val="16"/>
              </w:rPr>
              <w:t xml:space="preserve"> </w:t>
            </w:r>
            <w:r w:rsidR="0010442A" w:rsidRPr="00251542">
              <w:rPr>
                <w:sz w:val="16"/>
              </w:rPr>
              <w:t xml:space="preserve"> </w:t>
            </w:r>
            <w:r w:rsidRPr="00251542">
              <w:rPr>
                <w:sz w:val="16"/>
              </w:rPr>
              <w:t>ii) faciliter la coopération et la coordination entre les offices du droit d</w:t>
            </w:r>
            <w:r w:rsidR="00A20444" w:rsidRPr="00251542">
              <w:rPr>
                <w:sz w:val="16"/>
              </w:rPr>
              <w:t>’</w:t>
            </w:r>
            <w:r w:rsidRPr="00251542">
              <w:rPr>
                <w:sz w:val="16"/>
              </w:rPr>
              <w:t>auteur et les organismes de gestion du droit d</w:t>
            </w:r>
            <w:r w:rsidR="00A20444" w:rsidRPr="00251542">
              <w:rPr>
                <w:sz w:val="16"/>
              </w:rPr>
              <w:t>’</w:t>
            </w:r>
            <w:r w:rsidRPr="00251542">
              <w:rPr>
                <w:sz w:val="16"/>
              </w:rPr>
              <w:t>auteur;</w:t>
            </w:r>
            <w:r w:rsidR="004F3E42" w:rsidRPr="00251542">
              <w:rPr>
                <w:sz w:val="16"/>
              </w:rPr>
              <w:t xml:space="preserve"> </w:t>
            </w:r>
            <w:r w:rsidR="0010442A" w:rsidRPr="00251542">
              <w:rPr>
                <w:sz w:val="16"/>
              </w:rPr>
              <w:t xml:space="preserve"> </w:t>
            </w:r>
            <w:r w:rsidRPr="00251542">
              <w:rPr>
                <w:sz w:val="16"/>
              </w:rPr>
              <w:t>et iii) s</w:t>
            </w:r>
            <w:r w:rsidR="00A20444" w:rsidRPr="00251542">
              <w:rPr>
                <w:sz w:val="16"/>
              </w:rPr>
              <w:t>’</w:t>
            </w:r>
            <w:r w:rsidRPr="00251542">
              <w:rPr>
                <w:sz w:val="16"/>
              </w:rPr>
              <w:t>instruire sur l</w:t>
            </w:r>
            <w:r w:rsidR="00A20444" w:rsidRPr="00251542">
              <w:rPr>
                <w:sz w:val="16"/>
              </w:rPr>
              <w:t>’</w:t>
            </w:r>
            <w:r w:rsidRPr="00251542">
              <w:rPr>
                <w:sz w:val="16"/>
              </w:rPr>
              <w:t>expérience du Japon dans le domaine du droit d</w:t>
            </w:r>
            <w:r w:rsidR="00A20444" w:rsidRPr="00251542">
              <w:rPr>
                <w:sz w:val="16"/>
              </w:rPr>
              <w:t>’</w:t>
            </w:r>
            <w:r w:rsidRPr="00251542">
              <w:rPr>
                <w:sz w:val="16"/>
              </w:rPr>
              <w:t>auteur et des droits connexes</w:t>
            </w:r>
          </w:p>
        </w:tc>
      </w:tr>
      <w:tr w:rsidR="004007D3" w:rsidRPr="00251542" w:rsidTr="00797A8B">
        <w:tc>
          <w:tcPr>
            <w:tcW w:w="1841" w:type="dxa"/>
          </w:tcPr>
          <w:p w:rsidR="004007D3" w:rsidRPr="00251542" w:rsidRDefault="004007D3" w:rsidP="001A5BF9">
            <w:pPr>
              <w:spacing w:before="120" w:after="120"/>
              <w:rPr>
                <w:rFonts w:cs="Arial"/>
                <w:sz w:val="16"/>
                <w:szCs w:val="16"/>
              </w:rPr>
            </w:pPr>
            <w:r w:rsidRPr="00251542">
              <w:rPr>
                <w:sz w:val="16"/>
              </w:rPr>
              <w:t>Traduction et impression de publications de l</w:t>
            </w:r>
            <w:r w:rsidR="00A20444" w:rsidRPr="00251542">
              <w:rPr>
                <w:sz w:val="16"/>
              </w:rPr>
              <w:t>’</w:t>
            </w:r>
            <w:r w:rsidRPr="00251542">
              <w:rPr>
                <w:sz w:val="16"/>
              </w:rPr>
              <w:t>OMPI sur le droit d</w:t>
            </w:r>
            <w:r w:rsidR="00A20444" w:rsidRPr="00251542">
              <w:rPr>
                <w:sz w:val="16"/>
              </w:rPr>
              <w:t>’</w:t>
            </w:r>
            <w:r w:rsidRPr="00251542">
              <w:rPr>
                <w:sz w:val="16"/>
              </w:rPr>
              <w:t>auteur et les droits connexes dans la langue locale</w:t>
            </w:r>
          </w:p>
        </w:tc>
        <w:tc>
          <w:tcPr>
            <w:tcW w:w="1845" w:type="dxa"/>
          </w:tcPr>
          <w:p w:rsidR="004007D3" w:rsidRPr="00251542" w:rsidRDefault="00ED7374" w:rsidP="00ED7374">
            <w:pPr>
              <w:spacing w:before="120" w:after="120"/>
              <w:rPr>
                <w:rFonts w:cs="Arial"/>
                <w:sz w:val="16"/>
                <w:szCs w:val="16"/>
              </w:rPr>
            </w:pPr>
            <w:r>
              <w:rPr>
                <w:sz w:val="16"/>
              </w:rPr>
              <w:t>d</w:t>
            </w:r>
            <w:r w:rsidR="004007D3" w:rsidRPr="00251542">
              <w:rPr>
                <w:sz w:val="16"/>
              </w:rPr>
              <w:t>écembre 2013</w:t>
            </w:r>
            <w:r w:rsidR="004007D3" w:rsidRPr="00251542">
              <w:rPr>
                <w:rStyle w:val="FootnoteReference"/>
                <w:sz w:val="16"/>
              </w:rPr>
              <w:footnoteReference w:id="52"/>
            </w:r>
            <w:r w:rsidR="004007D3" w:rsidRPr="00251542">
              <w:rPr>
                <w:sz w:val="16"/>
              </w:rPr>
              <w:t xml:space="preserve"> </w:t>
            </w:r>
          </w:p>
        </w:tc>
        <w:tc>
          <w:tcPr>
            <w:tcW w:w="1984" w:type="dxa"/>
          </w:tcPr>
          <w:p w:rsidR="004007D3" w:rsidRPr="00251542" w:rsidRDefault="004007D3" w:rsidP="001A5BF9">
            <w:pPr>
              <w:spacing w:before="120" w:after="120"/>
              <w:rPr>
                <w:rFonts w:cs="Arial"/>
                <w:sz w:val="16"/>
                <w:szCs w:val="16"/>
              </w:rPr>
            </w:pPr>
            <w:r w:rsidRPr="00251542">
              <w:rPr>
                <w:sz w:val="16"/>
              </w:rPr>
              <w:t>Myanmar</w:t>
            </w:r>
          </w:p>
        </w:tc>
        <w:tc>
          <w:tcPr>
            <w:tcW w:w="3402" w:type="dxa"/>
          </w:tcPr>
          <w:p w:rsidR="004007D3" w:rsidRPr="00251542" w:rsidRDefault="004007D3" w:rsidP="001A5BF9">
            <w:pPr>
              <w:spacing w:before="120" w:after="120"/>
              <w:rPr>
                <w:rFonts w:cs="Arial"/>
                <w:spacing w:val="-2"/>
                <w:sz w:val="16"/>
                <w:szCs w:val="16"/>
              </w:rPr>
            </w:pPr>
            <w:r w:rsidRPr="00251542">
              <w:rPr>
                <w:spacing w:val="-2"/>
                <w:sz w:val="16"/>
              </w:rPr>
              <w:t>Faire prendre davantage conscience du droit d</w:t>
            </w:r>
            <w:r w:rsidR="00A20444" w:rsidRPr="00251542">
              <w:rPr>
                <w:spacing w:val="-2"/>
                <w:sz w:val="16"/>
              </w:rPr>
              <w:t>’</w:t>
            </w:r>
            <w:r w:rsidRPr="00251542">
              <w:rPr>
                <w:spacing w:val="-2"/>
                <w:sz w:val="16"/>
              </w:rPr>
              <w:t>auteur et des droits connexes aux fonctionnaires, créateurs et utilisateurs d</w:t>
            </w:r>
            <w:r w:rsidR="00A20444" w:rsidRPr="00251542">
              <w:rPr>
                <w:spacing w:val="-2"/>
                <w:sz w:val="16"/>
              </w:rPr>
              <w:t>’</w:t>
            </w:r>
            <w:r w:rsidRPr="00251542">
              <w:rPr>
                <w:spacing w:val="-2"/>
                <w:sz w:val="16"/>
              </w:rPr>
              <w:t>œuvres protégées au titre du droit d</w:t>
            </w:r>
            <w:r w:rsidR="00A20444" w:rsidRPr="00251542">
              <w:rPr>
                <w:spacing w:val="-2"/>
                <w:sz w:val="16"/>
              </w:rPr>
              <w:t>’</w:t>
            </w:r>
            <w:r w:rsidRPr="00251542">
              <w:rPr>
                <w:spacing w:val="-2"/>
                <w:sz w:val="16"/>
              </w:rPr>
              <w:t>auteur, ainsi que des membres du public local</w:t>
            </w:r>
          </w:p>
        </w:tc>
      </w:tr>
    </w:tbl>
    <w:p w:rsidR="00D42474" w:rsidRDefault="00D42474" w:rsidP="001A5BF9">
      <w:pPr>
        <w:rPr>
          <w:rFonts w:cs="Arial"/>
          <w:b/>
          <w:sz w:val="2"/>
          <w:szCs w:val="20"/>
        </w:rPr>
      </w:pPr>
    </w:p>
    <w:p w:rsidR="00D42474" w:rsidRDefault="00DF60ED" w:rsidP="001A5BF9">
      <w:pPr>
        <w:rPr>
          <w:rFonts w:cs="Arial"/>
          <w:b/>
          <w:sz w:val="18"/>
          <w:szCs w:val="18"/>
        </w:rPr>
      </w:pPr>
      <w:r w:rsidRPr="00251542">
        <w:rPr>
          <w:b/>
          <w:sz w:val="18"/>
        </w:rPr>
        <w:br w:type="page"/>
      </w:r>
      <w:r w:rsidR="004007D3" w:rsidRPr="00251542">
        <w:rPr>
          <w:b/>
          <w:sz w:val="18"/>
        </w:rPr>
        <w:t>JAPON/DROIT D</w:t>
      </w:r>
      <w:r w:rsidR="00A20444" w:rsidRPr="00251542">
        <w:rPr>
          <w:b/>
          <w:sz w:val="18"/>
        </w:rPr>
        <w:t>’</w:t>
      </w:r>
      <w:r w:rsidR="004007D3" w:rsidRPr="00251542">
        <w:rPr>
          <w:b/>
          <w:sz w:val="18"/>
        </w:rPr>
        <w:t>AUTEUR — Contributions des donateurs et dépenses en</w:t>
      </w:r>
      <w:r w:rsidR="0010442A" w:rsidRPr="00251542">
        <w:rPr>
          <w:b/>
          <w:sz w:val="18"/>
        </w:rPr>
        <w:t> </w:t>
      </w:r>
      <w:r w:rsidR="004007D3" w:rsidRPr="00251542">
        <w:rPr>
          <w:b/>
          <w:sz w:val="18"/>
        </w:rPr>
        <w:t>2013</w:t>
      </w:r>
      <w:r w:rsidR="004007D3" w:rsidRPr="00251542">
        <w:rPr>
          <w:b/>
          <w:sz w:val="18"/>
          <w:vertAlign w:val="superscript"/>
        </w:rPr>
        <w:t>1</w:t>
      </w:r>
    </w:p>
    <w:p w:rsidR="004007D3" w:rsidRPr="00251542" w:rsidRDefault="004007D3" w:rsidP="001A5BF9">
      <w:pPr>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17"/>
        <w:gridCol w:w="1703"/>
        <w:gridCol w:w="1980"/>
      </w:tblGrid>
      <w:tr w:rsidR="004007D3" w:rsidRPr="00251542" w:rsidTr="0056083E">
        <w:trPr>
          <w:trHeight w:val="567"/>
        </w:trPr>
        <w:tc>
          <w:tcPr>
            <w:tcW w:w="187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2012</w:t>
            </w:r>
          </w:p>
        </w:tc>
        <w:tc>
          <w:tcPr>
            <w:tcW w:w="165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17"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70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2013</w:t>
            </w:r>
          </w:p>
        </w:tc>
      </w:tr>
      <w:tr w:rsidR="004007D3" w:rsidRPr="00251542" w:rsidTr="0056083E">
        <w:trPr>
          <w:trHeight w:val="567"/>
        </w:trPr>
        <w:tc>
          <w:tcPr>
            <w:tcW w:w="1870"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282 946</w:t>
            </w:r>
          </w:p>
        </w:tc>
        <w:tc>
          <w:tcPr>
            <w:tcW w:w="1650"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469 281</w:t>
            </w:r>
          </w:p>
        </w:tc>
        <w:tc>
          <w:tcPr>
            <w:tcW w:w="1817"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474 825</w:t>
            </w:r>
          </w:p>
        </w:tc>
        <w:tc>
          <w:tcPr>
            <w:tcW w:w="1703"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 </w:t>
            </w:r>
          </w:p>
        </w:tc>
        <w:tc>
          <w:tcPr>
            <w:tcW w:w="1980"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277 402</w:t>
            </w:r>
          </w:p>
        </w:tc>
      </w:tr>
    </w:tbl>
    <w:p w:rsidR="00D42474" w:rsidRDefault="004007D3" w:rsidP="001A5BF9">
      <w:pPr>
        <w:spacing w:before="120"/>
        <w:rPr>
          <w:rFonts w:cs="Arial"/>
          <w:i/>
          <w:iCs/>
          <w:sz w:val="16"/>
          <w:szCs w:val="16"/>
        </w:rPr>
      </w:pPr>
      <w:r w:rsidRPr="00937285">
        <w:rPr>
          <w:i/>
          <w:sz w:val="16"/>
          <w:vertAlign w:val="superscript"/>
        </w:rPr>
        <w:t>1</w:t>
      </w:r>
      <w:r w:rsidRPr="00251542">
        <w:rPr>
          <w:i/>
          <w:sz w:val="16"/>
        </w:rPr>
        <w:t xml:space="preserve"> </w:t>
      </w:r>
      <w:r w:rsidR="00937285">
        <w:rPr>
          <w:i/>
          <w:sz w:val="16"/>
        </w:rPr>
        <w:t xml:space="preserve"> </w:t>
      </w:r>
      <w:r w:rsidRPr="00251542">
        <w:rPr>
          <w:i/>
          <w:sz w:val="16"/>
        </w:rPr>
        <w:t>États financiers de l</w:t>
      </w:r>
      <w:r w:rsidR="00A20444" w:rsidRPr="00251542">
        <w:rPr>
          <w:i/>
          <w:sz w:val="16"/>
        </w:rPr>
        <w:t>’</w:t>
      </w:r>
      <w:r w:rsidRPr="00251542">
        <w:rPr>
          <w:i/>
          <w:sz w:val="16"/>
        </w:rPr>
        <w:t>OMPI 2013 (annexe III)</w:t>
      </w:r>
    </w:p>
    <w:p w:rsidR="00D42474" w:rsidRDefault="00D42474" w:rsidP="001A5BF9">
      <w:pPr>
        <w:keepNext/>
        <w:keepLines/>
        <w:rPr>
          <w:b/>
        </w:rPr>
      </w:pPr>
    </w:p>
    <w:p w:rsidR="00D42474" w:rsidRDefault="00D42474" w:rsidP="001A5BF9">
      <w:pPr>
        <w:keepNext/>
        <w:keepLines/>
        <w:rPr>
          <w:b/>
        </w:rPr>
      </w:pPr>
    </w:p>
    <w:p w:rsidR="00D42474" w:rsidRDefault="004007D3" w:rsidP="001A5BF9">
      <w:pPr>
        <w:keepNext/>
        <w:keepLines/>
        <w:rPr>
          <w:rFonts w:cs="Arial"/>
          <w:b/>
          <w:szCs w:val="20"/>
        </w:rPr>
      </w:pPr>
      <w:r w:rsidRPr="00251542">
        <w:rPr>
          <w:b/>
        </w:rPr>
        <w:t>JAPON/PROPRIÉTÉ INDUSTRIELLE</w:t>
      </w:r>
    </w:p>
    <w:p w:rsidR="004007D3" w:rsidRPr="00251542" w:rsidRDefault="004007D3" w:rsidP="001A5BF9">
      <w:pPr>
        <w:keepNext/>
        <w:keepLines/>
        <w:rPr>
          <w:rFonts w:cs="Arial"/>
          <w:b/>
          <w:szCs w:val="20"/>
        </w:rPr>
      </w:pPr>
    </w:p>
    <w:tbl>
      <w:tblPr>
        <w:tblW w:w="9097" w:type="dxa"/>
        <w:tblInd w:w="1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7"/>
        <w:gridCol w:w="1140"/>
        <w:gridCol w:w="76"/>
        <w:gridCol w:w="342"/>
        <w:gridCol w:w="14"/>
        <w:gridCol w:w="1680"/>
        <w:gridCol w:w="7"/>
        <w:gridCol w:w="3991"/>
      </w:tblGrid>
      <w:tr w:rsidR="004007D3" w:rsidRPr="00251542" w:rsidTr="00385904">
        <w:trPr>
          <w:cantSplit/>
        </w:trPr>
        <w:tc>
          <w:tcPr>
            <w:tcW w:w="9097" w:type="dxa"/>
            <w:gridSpan w:val="8"/>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937285">
              <w:rPr>
                <w:b/>
                <w:sz w:val="16"/>
              </w:rPr>
              <w:tab/>
            </w:r>
            <w:r w:rsidRPr="00937285">
              <w:rPr>
                <w:sz w:val="16"/>
              </w:rPr>
              <w:t>Politiques nationales de propriété intellectuelle et d</w:t>
            </w:r>
            <w:r w:rsidR="00A20444" w:rsidRPr="00937285">
              <w:rPr>
                <w:sz w:val="16"/>
              </w:rPr>
              <w:t>’</w:t>
            </w:r>
            <w:r w:rsidRPr="00937285">
              <w:rPr>
                <w:sz w:val="16"/>
              </w:rPr>
              <w:t>innovation cohérentes et clairement définies, stratégies et plans de développement conformes aux objectifs nationaux</w:t>
            </w:r>
          </w:p>
        </w:tc>
      </w:tr>
      <w:tr w:rsidR="004007D3" w:rsidRPr="00937285" w:rsidTr="00937285">
        <w:trPr>
          <w:cantSplit/>
        </w:trPr>
        <w:tc>
          <w:tcPr>
            <w:tcW w:w="1847" w:type="dxa"/>
            <w:tcBorders>
              <w:top w:val="single" w:sz="4" w:space="0" w:color="auto"/>
            </w:tcBorders>
            <w:vAlign w:val="center"/>
          </w:tcPr>
          <w:p w:rsidR="004007D3" w:rsidRPr="00937285" w:rsidRDefault="004007D3" w:rsidP="001A5BF9">
            <w:pPr>
              <w:keepNext/>
              <w:keepLines/>
              <w:rPr>
                <w:rFonts w:cs="Arial"/>
                <w:b/>
                <w:bCs/>
                <w:sz w:val="16"/>
                <w:szCs w:val="16"/>
              </w:rPr>
            </w:pPr>
            <w:r w:rsidRPr="00937285">
              <w:rPr>
                <w:b/>
                <w:sz w:val="16"/>
              </w:rPr>
              <w:t>Activité</w:t>
            </w:r>
          </w:p>
        </w:tc>
        <w:tc>
          <w:tcPr>
            <w:tcW w:w="1216" w:type="dxa"/>
            <w:gridSpan w:val="2"/>
            <w:tcBorders>
              <w:top w:val="single" w:sz="4" w:space="0" w:color="auto"/>
            </w:tcBorders>
            <w:shd w:val="clear" w:color="auto" w:fill="auto"/>
            <w:tcMar>
              <w:top w:w="110" w:type="dxa"/>
            </w:tcMar>
            <w:vAlign w:val="center"/>
          </w:tcPr>
          <w:p w:rsidR="004007D3" w:rsidRPr="00937285" w:rsidRDefault="004007D3" w:rsidP="001A5BF9">
            <w:pPr>
              <w:keepNext/>
              <w:keepLines/>
              <w:rPr>
                <w:rFonts w:cs="Arial"/>
                <w:b/>
                <w:sz w:val="16"/>
                <w:szCs w:val="16"/>
              </w:rPr>
            </w:pPr>
            <w:r w:rsidRPr="00937285">
              <w:rPr>
                <w:b/>
                <w:sz w:val="16"/>
              </w:rPr>
              <w:t>Date :</w:t>
            </w:r>
          </w:p>
        </w:tc>
        <w:tc>
          <w:tcPr>
            <w:tcW w:w="2043" w:type="dxa"/>
            <w:gridSpan w:val="4"/>
            <w:tcBorders>
              <w:top w:val="single" w:sz="4" w:space="0" w:color="auto"/>
            </w:tcBorders>
            <w:shd w:val="clear" w:color="auto" w:fill="auto"/>
            <w:tcMar>
              <w:top w:w="110" w:type="dxa"/>
            </w:tcMar>
            <w:vAlign w:val="center"/>
          </w:tcPr>
          <w:p w:rsidR="004007D3" w:rsidRPr="00937285" w:rsidRDefault="00937285" w:rsidP="001A5BF9">
            <w:pPr>
              <w:keepNext/>
              <w:keepLines/>
              <w:rPr>
                <w:rFonts w:cs="Arial"/>
                <w:b/>
                <w:sz w:val="16"/>
                <w:szCs w:val="16"/>
              </w:rPr>
            </w:pPr>
            <w:r w:rsidRPr="00937285">
              <w:rPr>
                <w:b/>
                <w:sz w:val="16"/>
              </w:rPr>
              <w:t>Pays hôte/bénéficiaire</w:t>
            </w:r>
          </w:p>
        </w:tc>
        <w:tc>
          <w:tcPr>
            <w:tcW w:w="3991" w:type="dxa"/>
            <w:tcBorders>
              <w:top w:val="single" w:sz="4" w:space="0" w:color="auto"/>
            </w:tcBorders>
            <w:shd w:val="clear" w:color="auto" w:fill="FFFFFF"/>
            <w:tcMar>
              <w:top w:w="110" w:type="dxa"/>
            </w:tcMar>
            <w:vAlign w:val="center"/>
          </w:tcPr>
          <w:p w:rsidR="004007D3" w:rsidRPr="00937285" w:rsidRDefault="004007D3" w:rsidP="001A5BF9">
            <w:pPr>
              <w:keepNext/>
              <w:keepLines/>
              <w:rPr>
                <w:rFonts w:cs="Arial"/>
                <w:b/>
                <w:sz w:val="16"/>
                <w:szCs w:val="16"/>
              </w:rPr>
            </w:pPr>
            <w:r w:rsidRPr="00937285">
              <w:rPr>
                <w:b/>
                <w:sz w:val="16"/>
              </w:rPr>
              <w:t>Objectif(s)/description(s)</w:t>
            </w:r>
          </w:p>
        </w:tc>
      </w:tr>
      <w:tr w:rsidR="004007D3" w:rsidRPr="00251542" w:rsidTr="00937285">
        <w:trPr>
          <w:cantSplit/>
        </w:trPr>
        <w:tc>
          <w:tcPr>
            <w:tcW w:w="1847" w:type="dxa"/>
          </w:tcPr>
          <w:p w:rsidR="004007D3" w:rsidRPr="00251542" w:rsidRDefault="004007D3" w:rsidP="001A5BF9">
            <w:pPr>
              <w:autoSpaceDE w:val="0"/>
              <w:autoSpaceDN w:val="0"/>
              <w:adjustRightInd w:val="0"/>
              <w:spacing w:before="80" w:after="80"/>
              <w:rPr>
                <w:rFonts w:cs="Arial"/>
                <w:sz w:val="16"/>
                <w:szCs w:val="16"/>
                <w:lang w:bidi="th-TH"/>
              </w:rPr>
            </w:pPr>
            <w:r w:rsidRPr="00251542">
              <w:rPr>
                <w:sz w:val="16"/>
              </w:rPr>
              <w:t>Soutien de la visite d</w:t>
            </w:r>
            <w:r w:rsidR="00A20444" w:rsidRPr="00251542">
              <w:rPr>
                <w:sz w:val="16"/>
              </w:rPr>
              <w:t>’</w:t>
            </w:r>
            <w:r w:rsidRPr="00251542">
              <w:rPr>
                <w:sz w:val="16"/>
              </w:rPr>
              <w:t>étude au Japon pour l</w:t>
            </w:r>
            <w:r w:rsidR="00A20444" w:rsidRPr="00251542">
              <w:rPr>
                <w:sz w:val="16"/>
              </w:rPr>
              <w:t>’</w:t>
            </w:r>
            <w:r w:rsidRPr="00251542">
              <w:rPr>
                <w:sz w:val="16"/>
              </w:rPr>
              <w:t>élaboration de stratégies et politiques nationales en matière de propriété intellectuelle</w:t>
            </w:r>
          </w:p>
        </w:tc>
        <w:tc>
          <w:tcPr>
            <w:tcW w:w="1216" w:type="dxa"/>
            <w:gridSpan w:val="2"/>
          </w:tcPr>
          <w:p w:rsidR="004007D3" w:rsidRPr="00251542" w:rsidRDefault="004007D3" w:rsidP="00ED7374">
            <w:pPr>
              <w:autoSpaceDE w:val="0"/>
              <w:autoSpaceDN w:val="0"/>
              <w:adjustRightInd w:val="0"/>
              <w:spacing w:before="80" w:after="80"/>
              <w:rPr>
                <w:rFonts w:cs="Arial"/>
                <w:sz w:val="16"/>
                <w:szCs w:val="16"/>
              </w:rPr>
            </w:pPr>
            <w:r w:rsidRPr="00251542">
              <w:rPr>
                <w:sz w:val="16"/>
              </w:rPr>
              <w:t>27</w:t>
            </w:r>
            <w:r w:rsidR="002D6F2A" w:rsidRPr="00251542">
              <w:rPr>
                <w:sz w:val="16"/>
              </w:rPr>
              <w:noBreakHyphen/>
            </w:r>
            <w:r w:rsidRPr="00251542">
              <w:rPr>
                <w:sz w:val="16"/>
              </w:rPr>
              <w:t>30 mai</w:t>
            </w:r>
            <w:r w:rsidR="00ED7374">
              <w:rPr>
                <w:sz w:val="16"/>
              </w:rPr>
              <w:t xml:space="preserve"> </w:t>
            </w:r>
            <w:r w:rsidRPr="00251542">
              <w:rPr>
                <w:sz w:val="16"/>
              </w:rPr>
              <w:t>2013</w:t>
            </w:r>
          </w:p>
        </w:tc>
        <w:tc>
          <w:tcPr>
            <w:tcW w:w="2043" w:type="dxa"/>
            <w:gridSpan w:val="4"/>
          </w:tcPr>
          <w:p w:rsidR="004007D3" w:rsidRPr="00251542" w:rsidRDefault="004007D3" w:rsidP="001A5BF9">
            <w:pPr>
              <w:autoSpaceDE w:val="0"/>
              <w:autoSpaceDN w:val="0"/>
              <w:adjustRightInd w:val="0"/>
              <w:spacing w:before="80" w:after="80"/>
              <w:rPr>
                <w:rFonts w:cs="Arial"/>
                <w:sz w:val="16"/>
                <w:szCs w:val="16"/>
                <w:lang w:bidi="th-TH"/>
              </w:rPr>
            </w:pPr>
            <w:r w:rsidRPr="00251542">
              <w:rPr>
                <w:sz w:val="16"/>
              </w:rPr>
              <w:t>Japon/Myanmar</w:t>
            </w:r>
          </w:p>
        </w:tc>
        <w:tc>
          <w:tcPr>
            <w:tcW w:w="3991" w:type="dxa"/>
          </w:tcPr>
          <w:p w:rsidR="004007D3" w:rsidRPr="00251542" w:rsidRDefault="004007D3" w:rsidP="001A5BF9">
            <w:pPr>
              <w:autoSpaceDE w:val="0"/>
              <w:autoSpaceDN w:val="0"/>
              <w:adjustRightInd w:val="0"/>
              <w:spacing w:before="80" w:after="80"/>
              <w:rPr>
                <w:rFonts w:cs="Arial"/>
                <w:sz w:val="16"/>
                <w:szCs w:val="16"/>
                <w:lang w:bidi="th-TH"/>
              </w:rPr>
            </w:pPr>
            <w:r w:rsidRPr="00251542">
              <w:rPr>
                <w:sz w:val="16"/>
              </w:rPr>
              <w:t>Donner l</w:t>
            </w:r>
            <w:r w:rsidR="00A20444" w:rsidRPr="00251542">
              <w:rPr>
                <w:sz w:val="16"/>
              </w:rPr>
              <w:t>’</w:t>
            </w:r>
            <w:r w:rsidRPr="00251542">
              <w:rPr>
                <w:sz w:val="16"/>
              </w:rPr>
              <w:t>occasion aux hauts fonctionnaires du Myanmar d</w:t>
            </w:r>
            <w:r w:rsidR="00A20444" w:rsidRPr="00251542">
              <w:rPr>
                <w:sz w:val="16"/>
              </w:rPr>
              <w:t>’</w:t>
            </w:r>
            <w:r w:rsidRPr="00251542">
              <w:rPr>
                <w:sz w:val="16"/>
              </w:rPr>
              <w:t>observer et de s</w:t>
            </w:r>
            <w:r w:rsidR="00A20444" w:rsidRPr="00251542">
              <w:rPr>
                <w:sz w:val="16"/>
              </w:rPr>
              <w:t>’</w:t>
            </w:r>
            <w:r w:rsidRPr="00251542">
              <w:rPr>
                <w:sz w:val="16"/>
              </w:rPr>
              <w:t>instruire sur l</w:t>
            </w:r>
            <w:r w:rsidR="00A20444" w:rsidRPr="00251542">
              <w:rPr>
                <w:sz w:val="16"/>
              </w:rPr>
              <w:t>’</w:t>
            </w:r>
            <w:r w:rsidRPr="00251542">
              <w:rPr>
                <w:sz w:val="16"/>
              </w:rPr>
              <w:t>expérience du Japon quant à l</w:t>
            </w:r>
            <w:r w:rsidR="00A20444" w:rsidRPr="00251542">
              <w:rPr>
                <w:sz w:val="16"/>
              </w:rPr>
              <w:t>’</w:t>
            </w:r>
            <w:r w:rsidRPr="00251542">
              <w:rPr>
                <w:sz w:val="16"/>
              </w:rPr>
              <w:t>élaboration et à l</w:t>
            </w:r>
            <w:r w:rsidR="00A20444" w:rsidRPr="00251542">
              <w:rPr>
                <w:sz w:val="16"/>
              </w:rPr>
              <w:t>’</w:t>
            </w:r>
            <w:r w:rsidRPr="00251542">
              <w:rPr>
                <w:sz w:val="16"/>
              </w:rPr>
              <w:t>utilisation du système de propriété intellectuelle</w:t>
            </w:r>
          </w:p>
        </w:tc>
      </w:tr>
      <w:tr w:rsidR="004007D3" w:rsidRPr="00251542" w:rsidTr="00937285">
        <w:trPr>
          <w:cantSplit/>
        </w:trPr>
        <w:tc>
          <w:tcPr>
            <w:tcW w:w="1847" w:type="dxa"/>
            <w:tcBorders>
              <w:bottom w:val="single" w:sz="4" w:space="0" w:color="auto"/>
            </w:tcBorders>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Soutien de la visite d</w:t>
            </w:r>
            <w:r w:rsidR="00A20444" w:rsidRPr="00251542">
              <w:rPr>
                <w:sz w:val="16"/>
              </w:rPr>
              <w:t>’</w:t>
            </w:r>
            <w:r w:rsidRPr="00251542">
              <w:rPr>
                <w:sz w:val="16"/>
              </w:rPr>
              <w:t>étude au Japon pour l</w:t>
            </w:r>
            <w:r w:rsidR="00A20444" w:rsidRPr="00251542">
              <w:rPr>
                <w:sz w:val="16"/>
              </w:rPr>
              <w:t>’</w:t>
            </w:r>
            <w:r w:rsidRPr="00251542">
              <w:rPr>
                <w:sz w:val="16"/>
              </w:rPr>
              <w:t>élaboration de stratégies et politiques nationales en matière de propriété intellectuelle</w:t>
            </w:r>
          </w:p>
        </w:tc>
        <w:tc>
          <w:tcPr>
            <w:tcW w:w="1216" w:type="dxa"/>
            <w:gridSpan w:val="2"/>
            <w:tcBorders>
              <w:bottom w:val="single" w:sz="4" w:space="0" w:color="auto"/>
            </w:tcBorders>
          </w:tcPr>
          <w:p w:rsidR="004007D3" w:rsidRPr="00251542" w:rsidRDefault="004007D3" w:rsidP="001A5BF9">
            <w:pPr>
              <w:autoSpaceDE w:val="0"/>
              <w:autoSpaceDN w:val="0"/>
              <w:adjustRightInd w:val="0"/>
              <w:spacing w:before="40" w:after="40"/>
              <w:rPr>
                <w:rFonts w:cs="Arial"/>
                <w:sz w:val="16"/>
                <w:szCs w:val="16"/>
              </w:rPr>
            </w:pPr>
            <w:r w:rsidRPr="00251542">
              <w:rPr>
                <w:sz w:val="16"/>
              </w:rPr>
              <w:t>29 octobre</w:t>
            </w:r>
            <w:r w:rsidR="0010442A" w:rsidRPr="00251542">
              <w:rPr>
                <w:sz w:val="16"/>
              </w:rPr>
              <w:t xml:space="preserve"> </w:t>
            </w:r>
            <w:r w:rsidR="00FA74F6" w:rsidRPr="00251542">
              <w:rPr>
                <w:sz w:val="16"/>
              </w:rPr>
              <w:t>–</w:t>
            </w:r>
            <w:r w:rsidRPr="00251542">
              <w:rPr>
                <w:sz w:val="16"/>
              </w:rPr>
              <w:t xml:space="preserve"> 1</w:t>
            </w:r>
            <w:r w:rsidRPr="00251542">
              <w:rPr>
                <w:sz w:val="16"/>
                <w:vertAlign w:val="superscript"/>
              </w:rPr>
              <w:t>er</w:t>
            </w:r>
            <w:r w:rsidRPr="00251542">
              <w:rPr>
                <w:sz w:val="16"/>
              </w:rPr>
              <w:t> novembre 2013</w:t>
            </w:r>
          </w:p>
        </w:tc>
        <w:tc>
          <w:tcPr>
            <w:tcW w:w="2043" w:type="dxa"/>
            <w:gridSpan w:val="4"/>
            <w:tcBorders>
              <w:bottom w:val="single" w:sz="4" w:space="0" w:color="auto"/>
            </w:tcBorders>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Japon/Cambodge</w:t>
            </w:r>
          </w:p>
        </w:tc>
        <w:tc>
          <w:tcPr>
            <w:tcW w:w="3991" w:type="dxa"/>
            <w:tcBorders>
              <w:bottom w:val="single" w:sz="4" w:space="0" w:color="auto"/>
            </w:tcBorders>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Donner l</w:t>
            </w:r>
            <w:r w:rsidR="00A20444" w:rsidRPr="00251542">
              <w:rPr>
                <w:sz w:val="16"/>
              </w:rPr>
              <w:t>’</w:t>
            </w:r>
            <w:r w:rsidRPr="00251542">
              <w:rPr>
                <w:sz w:val="16"/>
              </w:rPr>
              <w:t>occasion aux hauts fonctionnaires du Cambodge d</w:t>
            </w:r>
            <w:r w:rsidR="00A20444" w:rsidRPr="00251542">
              <w:rPr>
                <w:sz w:val="16"/>
              </w:rPr>
              <w:t>’</w:t>
            </w:r>
            <w:r w:rsidRPr="00251542">
              <w:rPr>
                <w:sz w:val="16"/>
              </w:rPr>
              <w:t>observer et de s</w:t>
            </w:r>
            <w:r w:rsidR="00A20444" w:rsidRPr="00251542">
              <w:rPr>
                <w:sz w:val="16"/>
              </w:rPr>
              <w:t>’</w:t>
            </w:r>
            <w:r w:rsidRPr="00251542">
              <w:rPr>
                <w:sz w:val="16"/>
              </w:rPr>
              <w:t>instruire sur l</w:t>
            </w:r>
            <w:r w:rsidR="00A20444" w:rsidRPr="00251542">
              <w:rPr>
                <w:sz w:val="16"/>
              </w:rPr>
              <w:t>’</w:t>
            </w:r>
            <w:r w:rsidRPr="00251542">
              <w:rPr>
                <w:sz w:val="16"/>
              </w:rPr>
              <w:t>expérience du Japon quant à la formulation et la mise en œuvre de sa stratégie nationale en matière de propriété intellectuelle, et en utilisant efficacement le système de propriété intellectuelle pour connaître une croissance économique</w:t>
            </w:r>
          </w:p>
        </w:tc>
      </w:tr>
      <w:tr w:rsidR="004007D3" w:rsidRPr="00251542" w:rsidTr="00385904">
        <w:trPr>
          <w:cantSplit/>
        </w:trPr>
        <w:tc>
          <w:tcPr>
            <w:tcW w:w="9097" w:type="dxa"/>
            <w:gridSpan w:val="8"/>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937285">
              <w:rPr>
                <w:b/>
                <w:sz w:val="16"/>
              </w:rPr>
              <w:tab/>
            </w:r>
            <w:r w:rsidRPr="00251542">
              <w:rPr>
                <w:sz w:val="16"/>
              </w:rPr>
              <w:t>Amélioration de l</w:t>
            </w:r>
            <w:r w:rsidR="00A20444" w:rsidRPr="00251542">
              <w:rPr>
                <w:sz w:val="16"/>
              </w:rPr>
              <w:t>’</w:t>
            </w:r>
            <w:r w:rsidRPr="00251542">
              <w:rPr>
                <w:sz w:val="16"/>
              </w:rPr>
              <w:t>infrastructure technique et du savoir pour les offices de propriété intellectuelle et autres institutions de propriété intellectuelle leur permettant de fournir des services améliorés</w:t>
            </w:r>
          </w:p>
        </w:tc>
      </w:tr>
      <w:tr w:rsidR="004007D3" w:rsidRPr="00937285" w:rsidTr="00937285">
        <w:trPr>
          <w:cantSplit/>
        </w:trPr>
        <w:tc>
          <w:tcPr>
            <w:tcW w:w="1847" w:type="dxa"/>
            <w:tcBorders>
              <w:top w:val="single" w:sz="4" w:space="0" w:color="auto"/>
            </w:tcBorders>
            <w:vAlign w:val="center"/>
          </w:tcPr>
          <w:p w:rsidR="004007D3" w:rsidRPr="00937285" w:rsidRDefault="004007D3" w:rsidP="001A5BF9">
            <w:pPr>
              <w:keepNext/>
              <w:keepLines/>
              <w:rPr>
                <w:rFonts w:cs="Arial"/>
                <w:b/>
                <w:bCs/>
                <w:sz w:val="16"/>
                <w:szCs w:val="16"/>
              </w:rPr>
            </w:pPr>
            <w:r w:rsidRPr="00937285">
              <w:rPr>
                <w:b/>
                <w:sz w:val="16"/>
              </w:rPr>
              <w:t>Activité</w:t>
            </w:r>
          </w:p>
        </w:tc>
        <w:tc>
          <w:tcPr>
            <w:tcW w:w="1140" w:type="dxa"/>
            <w:tcBorders>
              <w:top w:val="single" w:sz="4" w:space="0" w:color="auto"/>
            </w:tcBorders>
            <w:shd w:val="clear" w:color="auto" w:fill="auto"/>
            <w:tcMar>
              <w:top w:w="110" w:type="dxa"/>
            </w:tcMar>
            <w:vAlign w:val="center"/>
          </w:tcPr>
          <w:p w:rsidR="004007D3" w:rsidRPr="00937285" w:rsidRDefault="004007D3" w:rsidP="001A5BF9">
            <w:pPr>
              <w:keepNext/>
              <w:keepLines/>
              <w:rPr>
                <w:rFonts w:cs="Arial"/>
                <w:b/>
                <w:sz w:val="16"/>
                <w:szCs w:val="16"/>
              </w:rPr>
            </w:pPr>
            <w:r w:rsidRPr="00937285">
              <w:rPr>
                <w:b/>
                <w:sz w:val="16"/>
              </w:rPr>
              <w:t>Date :</w:t>
            </w:r>
          </w:p>
        </w:tc>
        <w:tc>
          <w:tcPr>
            <w:tcW w:w="2112" w:type="dxa"/>
            <w:gridSpan w:val="4"/>
            <w:tcBorders>
              <w:top w:val="single" w:sz="4" w:space="0" w:color="auto"/>
            </w:tcBorders>
            <w:shd w:val="clear" w:color="auto" w:fill="auto"/>
            <w:tcMar>
              <w:top w:w="110" w:type="dxa"/>
            </w:tcMar>
            <w:vAlign w:val="center"/>
          </w:tcPr>
          <w:p w:rsidR="004007D3" w:rsidRPr="00937285" w:rsidRDefault="004007D3" w:rsidP="001A5BF9">
            <w:pPr>
              <w:keepNext/>
              <w:keepLines/>
              <w:rPr>
                <w:rFonts w:cs="Arial"/>
                <w:b/>
                <w:sz w:val="16"/>
                <w:szCs w:val="16"/>
              </w:rPr>
            </w:pPr>
            <w:r w:rsidRPr="00937285">
              <w:rPr>
                <w:b/>
                <w:sz w:val="16"/>
              </w:rPr>
              <w:t>Pays hôte/bénéficiaire</w:t>
            </w:r>
          </w:p>
        </w:tc>
        <w:tc>
          <w:tcPr>
            <w:tcW w:w="3998" w:type="dxa"/>
            <w:gridSpan w:val="2"/>
            <w:tcBorders>
              <w:top w:val="single" w:sz="4" w:space="0" w:color="auto"/>
            </w:tcBorders>
            <w:shd w:val="clear" w:color="auto" w:fill="FFFFFF"/>
            <w:tcMar>
              <w:top w:w="110" w:type="dxa"/>
            </w:tcMar>
            <w:vAlign w:val="center"/>
          </w:tcPr>
          <w:p w:rsidR="004007D3" w:rsidRPr="00937285" w:rsidRDefault="004007D3" w:rsidP="001A5BF9">
            <w:pPr>
              <w:keepNext/>
              <w:keepLines/>
              <w:rPr>
                <w:rFonts w:cs="Arial"/>
                <w:b/>
                <w:sz w:val="16"/>
                <w:szCs w:val="16"/>
              </w:rPr>
            </w:pPr>
            <w:r w:rsidRPr="00937285">
              <w:rPr>
                <w:b/>
                <w:sz w:val="16"/>
              </w:rPr>
              <w:t>Objectif(s)/description(s)</w:t>
            </w:r>
          </w:p>
        </w:tc>
      </w:tr>
      <w:tr w:rsidR="004007D3" w:rsidRPr="00251542" w:rsidTr="00937285">
        <w:trPr>
          <w:cantSplit/>
        </w:trPr>
        <w:tc>
          <w:tcPr>
            <w:tcW w:w="1847" w:type="dxa"/>
          </w:tcPr>
          <w:p w:rsidR="00D42474" w:rsidRDefault="00D42474" w:rsidP="001A5BF9">
            <w:pPr>
              <w:autoSpaceDE w:val="0"/>
              <w:autoSpaceDN w:val="0"/>
              <w:adjustRightInd w:val="0"/>
              <w:spacing w:before="40" w:after="40"/>
              <w:rPr>
                <w:sz w:val="16"/>
              </w:rPr>
            </w:pPr>
          </w:p>
          <w:p w:rsidR="00D42474" w:rsidRDefault="00623665" w:rsidP="00623665">
            <w:pPr>
              <w:autoSpaceDE w:val="0"/>
              <w:autoSpaceDN w:val="0"/>
              <w:adjustRightInd w:val="0"/>
              <w:spacing w:before="40" w:after="40"/>
              <w:rPr>
                <w:sz w:val="16"/>
                <w:lang w:val="fr-CH"/>
              </w:rPr>
            </w:pPr>
            <w:r w:rsidRPr="00623665">
              <w:rPr>
                <w:color w:val="000000"/>
                <w:sz w:val="16"/>
                <w:lang w:val="fr-CH"/>
              </w:rPr>
              <w:t>Projet de numérisation et de saisie de données pour la documentation en matière de propriété intellectuelle</w:t>
            </w:r>
          </w:p>
          <w:p w:rsidR="00D42474" w:rsidRDefault="00D42474" w:rsidP="001A5BF9">
            <w:pPr>
              <w:autoSpaceDE w:val="0"/>
              <w:autoSpaceDN w:val="0"/>
              <w:adjustRightInd w:val="0"/>
              <w:spacing w:before="40" w:after="40"/>
              <w:rPr>
                <w:sz w:val="16"/>
                <w:lang w:val="fr-CH"/>
              </w:rPr>
            </w:pPr>
          </w:p>
          <w:p w:rsidR="00D42474" w:rsidRDefault="00D42474" w:rsidP="001A5BF9">
            <w:pPr>
              <w:autoSpaceDE w:val="0"/>
              <w:autoSpaceDN w:val="0"/>
              <w:adjustRightInd w:val="0"/>
              <w:spacing w:before="40" w:after="40"/>
              <w:rPr>
                <w:sz w:val="16"/>
                <w:lang w:val="fr-CH"/>
              </w:rPr>
            </w:pPr>
          </w:p>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Élaboration d</w:t>
            </w:r>
            <w:r w:rsidR="00A20444" w:rsidRPr="00251542">
              <w:rPr>
                <w:sz w:val="16"/>
              </w:rPr>
              <w:t>’</w:t>
            </w:r>
            <w:r w:rsidRPr="00251542">
              <w:rPr>
                <w:sz w:val="16"/>
              </w:rPr>
              <w:t>une plate</w:t>
            </w:r>
            <w:r w:rsidR="002D6F2A" w:rsidRPr="00251542">
              <w:rPr>
                <w:sz w:val="16"/>
              </w:rPr>
              <w:noBreakHyphen/>
            </w:r>
            <w:r w:rsidRPr="00251542">
              <w:rPr>
                <w:sz w:val="16"/>
              </w:rPr>
              <w:t>forme logicielle et liaison de WIPO CASE avec le “portail unique” des offices de l</w:t>
            </w:r>
            <w:r w:rsidR="00A20444" w:rsidRPr="00251542">
              <w:rPr>
                <w:sz w:val="16"/>
              </w:rPr>
              <w:t>’</w:t>
            </w:r>
            <w:proofErr w:type="spellStart"/>
            <w:r w:rsidRPr="00251542">
              <w:rPr>
                <w:sz w:val="16"/>
              </w:rPr>
              <w:t>IP5</w:t>
            </w:r>
            <w:proofErr w:type="spellEnd"/>
          </w:p>
        </w:tc>
        <w:tc>
          <w:tcPr>
            <w:tcW w:w="1140" w:type="dxa"/>
          </w:tcPr>
          <w:p w:rsidR="00D42474" w:rsidRDefault="00D42474" w:rsidP="00ED7374">
            <w:pPr>
              <w:autoSpaceDE w:val="0"/>
              <w:autoSpaceDN w:val="0"/>
              <w:adjustRightInd w:val="0"/>
              <w:spacing w:before="40" w:after="40"/>
              <w:rPr>
                <w:sz w:val="16"/>
              </w:rPr>
            </w:pPr>
          </w:p>
          <w:p w:rsidR="00D42474" w:rsidRDefault="00262B26" w:rsidP="00ED7374">
            <w:pPr>
              <w:autoSpaceDE w:val="0"/>
              <w:autoSpaceDN w:val="0"/>
              <w:adjustRightInd w:val="0"/>
              <w:spacing w:before="40" w:after="40"/>
              <w:rPr>
                <w:sz w:val="16"/>
              </w:rPr>
            </w:pPr>
            <w:r>
              <w:rPr>
                <w:rFonts w:cs="Arial" w:hint="eastAsia"/>
                <w:color w:val="000000"/>
                <w:sz w:val="16"/>
                <w:szCs w:val="16"/>
                <w:lang w:eastAsia="ja-JP"/>
              </w:rPr>
              <w:t>5</w:t>
            </w:r>
            <w:r w:rsidRPr="00251542">
              <w:rPr>
                <w:sz w:val="16"/>
              </w:rPr>
              <w:noBreakHyphen/>
            </w:r>
            <w:r>
              <w:rPr>
                <w:rFonts w:cs="Arial" w:hint="eastAsia"/>
                <w:color w:val="000000"/>
                <w:sz w:val="16"/>
                <w:szCs w:val="16"/>
                <w:lang w:eastAsia="ja-JP"/>
              </w:rPr>
              <w:t>7</w:t>
            </w:r>
            <w:r>
              <w:rPr>
                <w:rFonts w:cs="Arial"/>
                <w:color w:val="000000"/>
                <w:sz w:val="16"/>
                <w:szCs w:val="16"/>
                <w:lang w:eastAsia="ja-JP"/>
              </w:rPr>
              <w:t> mars</w:t>
            </w:r>
            <w:r>
              <w:rPr>
                <w:rFonts w:cs="Arial" w:hint="eastAsia"/>
                <w:color w:val="000000"/>
                <w:sz w:val="16"/>
                <w:szCs w:val="16"/>
                <w:lang w:eastAsia="ja-JP"/>
              </w:rPr>
              <w:t xml:space="preserve"> 2013</w:t>
            </w:r>
          </w:p>
          <w:p w:rsidR="00D42474" w:rsidRDefault="00D42474" w:rsidP="00ED7374">
            <w:pPr>
              <w:autoSpaceDE w:val="0"/>
              <w:autoSpaceDN w:val="0"/>
              <w:adjustRightInd w:val="0"/>
              <w:spacing w:before="40" w:after="40"/>
              <w:rPr>
                <w:sz w:val="16"/>
              </w:rPr>
            </w:pPr>
          </w:p>
          <w:p w:rsidR="00D42474" w:rsidRDefault="00D42474" w:rsidP="00ED7374">
            <w:pPr>
              <w:autoSpaceDE w:val="0"/>
              <w:autoSpaceDN w:val="0"/>
              <w:adjustRightInd w:val="0"/>
              <w:spacing w:before="40" w:after="40"/>
              <w:rPr>
                <w:sz w:val="16"/>
              </w:rPr>
            </w:pPr>
          </w:p>
          <w:p w:rsidR="00D42474" w:rsidRDefault="00D42474" w:rsidP="00ED7374">
            <w:pPr>
              <w:autoSpaceDE w:val="0"/>
              <w:autoSpaceDN w:val="0"/>
              <w:adjustRightInd w:val="0"/>
              <w:spacing w:before="40" w:after="40"/>
              <w:rPr>
                <w:sz w:val="16"/>
              </w:rPr>
            </w:pPr>
          </w:p>
          <w:p w:rsidR="00D42474" w:rsidRDefault="00D42474" w:rsidP="00ED7374">
            <w:pPr>
              <w:autoSpaceDE w:val="0"/>
              <w:autoSpaceDN w:val="0"/>
              <w:adjustRightInd w:val="0"/>
              <w:spacing w:before="40" w:after="40"/>
              <w:rPr>
                <w:sz w:val="16"/>
              </w:rPr>
            </w:pPr>
          </w:p>
          <w:p w:rsidR="00D42474" w:rsidRDefault="00D42474" w:rsidP="00ED7374">
            <w:pPr>
              <w:autoSpaceDE w:val="0"/>
              <w:autoSpaceDN w:val="0"/>
              <w:adjustRightInd w:val="0"/>
              <w:spacing w:before="40" w:after="40"/>
              <w:rPr>
                <w:sz w:val="16"/>
              </w:rPr>
            </w:pPr>
          </w:p>
          <w:p w:rsidR="004007D3" w:rsidRPr="00251542" w:rsidRDefault="00ED7374" w:rsidP="00ED7374">
            <w:pPr>
              <w:autoSpaceDE w:val="0"/>
              <w:autoSpaceDN w:val="0"/>
              <w:adjustRightInd w:val="0"/>
              <w:spacing w:before="40" w:after="40"/>
              <w:rPr>
                <w:rFonts w:cs="Arial"/>
                <w:sz w:val="16"/>
                <w:szCs w:val="16"/>
              </w:rPr>
            </w:pPr>
            <w:r>
              <w:rPr>
                <w:sz w:val="16"/>
              </w:rPr>
              <w:t>a</w:t>
            </w:r>
            <w:r w:rsidR="004007D3" w:rsidRPr="00251542">
              <w:rPr>
                <w:sz w:val="16"/>
              </w:rPr>
              <w:t>vril 2013 (</w:t>
            </w:r>
            <w:r>
              <w:rPr>
                <w:sz w:val="16"/>
              </w:rPr>
              <w:t>l</w:t>
            </w:r>
            <w:r w:rsidR="004007D3" w:rsidRPr="00251542">
              <w:rPr>
                <w:sz w:val="16"/>
              </w:rPr>
              <w:t>ancement)</w:t>
            </w:r>
          </w:p>
        </w:tc>
        <w:tc>
          <w:tcPr>
            <w:tcW w:w="2112" w:type="dxa"/>
            <w:gridSpan w:val="4"/>
          </w:tcPr>
          <w:p w:rsidR="00D42474" w:rsidRDefault="00D42474" w:rsidP="001A5BF9">
            <w:pPr>
              <w:autoSpaceDE w:val="0"/>
              <w:autoSpaceDN w:val="0"/>
              <w:adjustRightInd w:val="0"/>
              <w:spacing w:before="40" w:after="40"/>
              <w:rPr>
                <w:sz w:val="16"/>
              </w:rPr>
            </w:pPr>
          </w:p>
          <w:p w:rsidR="00D42474" w:rsidRDefault="00262B26" w:rsidP="001A5BF9">
            <w:pPr>
              <w:autoSpaceDE w:val="0"/>
              <w:autoSpaceDN w:val="0"/>
              <w:adjustRightInd w:val="0"/>
              <w:spacing w:before="40" w:after="40"/>
              <w:rPr>
                <w:sz w:val="16"/>
              </w:rPr>
            </w:pPr>
            <w:r>
              <w:rPr>
                <w:rFonts w:cs="Arial" w:hint="eastAsia"/>
                <w:color w:val="000000"/>
                <w:sz w:val="16"/>
                <w:szCs w:val="16"/>
                <w:lang w:eastAsia="ja-JP" w:bidi="th-TH"/>
              </w:rPr>
              <w:t>Cambod</w:t>
            </w:r>
            <w:r>
              <w:rPr>
                <w:rFonts w:cs="Arial"/>
                <w:color w:val="000000"/>
                <w:sz w:val="16"/>
                <w:szCs w:val="16"/>
                <w:lang w:eastAsia="ja-JP" w:bidi="th-TH"/>
              </w:rPr>
              <w:t>ge</w:t>
            </w:r>
          </w:p>
          <w:p w:rsidR="00D42474" w:rsidRDefault="00D42474" w:rsidP="001A5BF9">
            <w:pPr>
              <w:autoSpaceDE w:val="0"/>
              <w:autoSpaceDN w:val="0"/>
              <w:adjustRightInd w:val="0"/>
              <w:spacing w:before="40" w:after="40"/>
              <w:rPr>
                <w:sz w:val="16"/>
              </w:rPr>
            </w:pPr>
          </w:p>
          <w:p w:rsidR="00D42474" w:rsidRDefault="00D42474" w:rsidP="001A5BF9">
            <w:pPr>
              <w:autoSpaceDE w:val="0"/>
              <w:autoSpaceDN w:val="0"/>
              <w:adjustRightInd w:val="0"/>
              <w:spacing w:before="40" w:after="40"/>
              <w:rPr>
                <w:sz w:val="16"/>
              </w:rPr>
            </w:pPr>
          </w:p>
          <w:p w:rsidR="00D42474" w:rsidRDefault="00D42474" w:rsidP="001A5BF9">
            <w:pPr>
              <w:autoSpaceDE w:val="0"/>
              <w:autoSpaceDN w:val="0"/>
              <w:adjustRightInd w:val="0"/>
              <w:spacing w:before="40" w:after="40"/>
              <w:rPr>
                <w:sz w:val="16"/>
              </w:rPr>
            </w:pPr>
          </w:p>
          <w:p w:rsidR="00D42474" w:rsidRDefault="00D42474" w:rsidP="001A5BF9">
            <w:pPr>
              <w:autoSpaceDE w:val="0"/>
              <w:autoSpaceDN w:val="0"/>
              <w:adjustRightInd w:val="0"/>
              <w:spacing w:before="40" w:after="40"/>
              <w:rPr>
                <w:sz w:val="16"/>
              </w:rPr>
            </w:pPr>
          </w:p>
          <w:p w:rsidR="00D42474" w:rsidRDefault="00D42474" w:rsidP="001A5BF9">
            <w:pPr>
              <w:autoSpaceDE w:val="0"/>
              <w:autoSpaceDN w:val="0"/>
              <w:adjustRightInd w:val="0"/>
              <w:spacing w:before="40" w:after="40"/>
              <w:rPr>
                <w:sz w:val="16"/>
              </w:rPr>
            </w:pPr>
          </w:p>
          <w:p w:rsidR="00D42474" w:rsidRDefault="00D42474" w:rsidP="001A5BF9">
            <w:pPr>
              <w:autoSpaceDE w:val="0"/>
              <w:autoSpaceDN w:val="0"/>
              <w:adjustRightInd w:val="0"/>
              <w:spacing w:before="40" w:after="40"/>
              <w:rPr>
                <w:sz w:val="16"/>
              </w:rPr>
            </w:pPr>
          </w:p>
          <w:p w:rsidR="004007D3" w:rsidRPr="00623665" w:rsidRDefault="004007D3" w:rsidP="001A5BF9">
            <w:pPr>
              <w:autoSpaceDE w:val="0"/>
              <w:autoSpaceDN w:val="0"/>
              <w:adjustRightInd w:val="0"/>
              <w:spacing w:before="40" w:after="40"/>
              <w:rPr>
                <w:sz w:val="16"/>
              </w:rPr>
            </w:pPr>
            <w:proofErr w:type="spellStart"/>
            <w:r w:rsidRPr="00251542">
              <w:rPr>
                <w:sz w:val="16"/>
              </w:rPr>
              <w:t>Brunéi</w:t>
            </w:r>
            <w:proofErr w:type="spellEnd"/>
            <w:r w:rsidRPr="00251542">
              <w:rPr>
                <w:sz w:val="16"/>
              </w:rPr>
              <w:t xml:space="preserve"> Darussalam, Cambodge, Indonésie, Malaisie, Myanmar, Philippines, République démocratique populaire lao, Singapour, Thaïlande et Viet Nam</w:t>
            </w:r>
          </w:p>
        </w:tc>
        <w:tc>
          <w:tcPr>
            <w:tcW w:w="3998" w:type="dxa"/>
            <w:gridSpan w:val="2"/>
          </w:tcPr>
          <w:p w:rsidR="00D42474" w:rsidRDefault="00D42474" w:rsidP="001A5BF9">
            <w:pPr>
              <w:autoSpaceDE w:val="0"/>
              <w:autoSpaceDN w:val="0"/>
              <w:adjustRightInd w:val="0"/>
              <w:spacing w:before="40" w:after="40"/>
              <w:rPr>
                <w:sz w:val="16"/>
              </w:rPr>
            </w:pPr>
          </w:p>
          <w:p w:rsidR="00D42474" w:rsidRDefault="00623665" w:rsidP="00623665">
            <w:pPr>
              <w:autoSpaceDE w:val="0"/>
              <w:autoSpaceDN w:val="0"/>
              <w:adjustRightInd w:val="0"/>
              <w:spacing w:before="40" w:after="40"/>
              <w:rPr>
                <w:sz w:val="16"/>
                <w:lang w:val="fr-CH"/>
              </w:rPr>
            </w:pPr>
            <w:r w:rsidRPr="00623665">
              <w:rPr>
                <w:color w:val="000000"/>
                <w:sz w:val="16"/>
                <w:lang w:val="fr-CH"/>
              </w:rPr>
              <w:t>Analyser les activités générales de l'office ainsi que la situation actuelle relative à la documentation en matière de propriété intellectuelle et tenir des consultations avec les fonctionnaires de l'office concernés en vue d'établir un projet de numérisation réaliste et viable</w:t>
            </w:r>
          </w:p>
          <w:p w:rsidR="00D42474" w:rsidRDefault="00D42474" w:rsidP="001A5BF9">
            <w:pPr>
              <w:autoSpaceDE w:val="0"/>
              <w:autoSpaceDN w:val="0"/>
              <w:adjustRightInd w:val="0"/>
              <w:spacing w:before="40" w:after="40"/>
              <w:rPr>
                <w:sz w:val="16"/>
                <w:lang w:val="fr-CH"/>
              </w:rPr>
            </w:pPr>
          </w:p>
          <w:p w:rsidR="00D42474" w:rsidRDefault="00D42474" w:rsidP="001A5BF9">
            <w:pPr>
              <w:autoSpaceDE w:val="0"/>
              <w:autoSpaceDN w:val="0"/>
              <w:adjustRightInd w:val="0"/>
              <w:spacing w:before="40" w:after="40"/>
              <w:rPr>
                <w:sz w:val="16"/>
                <w:lang w:val="fr-CH"/>
              </w:rPr>
            </w:pPr>
          </w:p>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i) Créer un système capable de soutenir un réseau mondial d</w:t>
            </w:r>
            <w:r w:rsidR="00A20444" w:rsidRPr="00251542">
              <w:rPr>
                <w:sz w:val="16"/>
              </w:rPr>
              <w:t>’</w:t>
            </w:r>
            <w:r w:rsidRPr="00251542">
              <w:rPr>
                <w:sz w:val="16"/>
              </w:rPr>
              <w:t>offices de propriété intellectuelle participant à des programmes de partage des travaux par le biais de la plate</w:t>
            </w:r>
            <w:r w:rsidR="002D6F2A" w:rsidRPr="00251542">
              <w:rPr>
                <w:sz w:val="16"/>
              </w:rPr>
              <w:noBreakHyphen/>
            </w:r>
            <w:r w:rsidRPr="00251542">
              <w:rPr>
                <w:sz w:val="16"/>
              </w:rPr>
              <w:t>forme WIPO CASE reliée au système du “portail unique” des offices de l</w:t>
            </w:r>
            <w:r w:rsidR="00A20444" w:rsidRPr="00251542">
              <w:rPr>
                <w:sz w:val="16"/>
              </w:rPr>
              <w:t>’</w:t>
            </w:r>
            <w:proofErr w:type="spellStart"/>
            <w:r w:rsidRPr="00251542">
              <w:rPr>
                <w:sz w:val="16"/>
              </w:rPr>
              <w:t>IP5</w:t>
            </w:r>
            <w:proofErr w:type="spellEnd"/>
            <w:r w:rsidRPr="00251542">
              <w:rPr>
                <w:sz w:val="16"/>
              </w:rPr>
              <w:t xml:space="preserve"> en tant que projet pilote;</w:t>
            </w:r>
            <w:r w:rsidR="004F3E42" w:rsidRPr="00251542">
              <w:rPr>
                <w:sz w:val="16"/>
              </w:rPr>
              <w:t xml:space="preserve"> </w:t>
            </w:r>
            <w:r w:rsidR="0010442A" w:rsidRPr="00251542">
              <w:rPr>
                <w:sz w:val="16"/>
              </w:rPr>
              <w:t xml:space="preserve"> </w:t>
            </w:r>
            <w:r w:rsidRPr="00251542">
              <w:rPr>
                <w:sz w:val="16"/>
              </w:rPr>
              <w:t>ii) faciliter l</w:t>
            </w:r>
            <w:r w:rsidR="00A20444" w:rsidRPr="00251542">
              <w:rPr>
                <w:sz w:val="16"/>
              </w:rPr>
              <w:t>’</w:t>
            </w:r>
            <w:r w:rsidRPr="00251542">
              <w:rPr>
                <w:sz w:val="16"/>
              </w:rPr>
              <w:t>accès et assurer la promotion et l</w:t>
            </w:r>
            <w:r w:rsidR="00A20444" w:rsidRPr="00251542">
              <w:rPr>
                <w:sz w:val="16"/>
              </w:rPr>
              <w:t>’</w:t>
            </w:r>
            <w:r w:rsidRPr="00251542">
              <w:rPr>
                <w:sz w:val="16"/>
              </w:rPr>
              <w:t>utilisation des travaux d</w:t>
            </w:r>
            <w:r w:rsidR="00A20444" w:rsidRPr="00251542">
              <w:rPr>
                <w:sz w:val="16"/>
              </w:rPr>
              <w:t>’</w:t>
            </w:r>
            <w:r w:rsidRPr="00251542">
              <w:rPr>
                <w:sz w:val="16"/>
              </w:rPr>
              <w:t>examen des offices de propriété intellectuelle nationaux des pays de l</w:t>
            </w:r>
            <w:r w:rsidR="00A20444" w:rsidRPr="00251542">
              <w:rPr>
                <w:sz w:val="16"/>
              </w:rPr>
              <w:t>’</w:t>
            </w:r>
            <w:r w:rsidR="00F93985">
              <w:rPr>
                <w:sz w:val="16"/>
              </w:rPr>
              <w:t>ASEAN</w:t>
            </w:r>
            <w:r w:rsidRPr="00251542">
              <w:rPr>
                <w:sz w:val="16"/>
              </w:rPr>
              <w:t>, qui peuvent également contribuer à l</w:t>
            </w:r>
            <w:r w:rsidR="00A20444" w:rsidRPr="00251542">
              <w:rPr>
                <w:sz w:val="16"/>
              </w:rPr>
              <w:t>’</w:t>
            </w:r>
            <w:r w:rsidRPr="00251542">
              <w:rPr>
                <w:sz w:val="16"/>
              </w:rPr>
              <w:t>utilisation d</w:t>
            </w:r>
            <w:r w:rsidR="00A20444" w:rsidRPr="00251542">
              <w:rPr>
                <w:sz w:val="16"/>
              </w:rPr>
              <w:t>’</w:t>
            </w:r>
            <w:r w:rsidRPr="00251542">
              <w:rPr>
                <w:sz w:val="16"/>
              </w:rPr>
              <w:t>informations scientifiques et techniques incorporées dans la base de données de brevets;</w:t>
            </w:r>
            <w:r w:rsidR="004F3E42" w:rsidRPr="00251542">
              <w:rPr>
                <w:sz w:val="16"/>
              </w:rPr>
              <w:t xml:space="preserve"> </w:t>
            </w:r>
            <w:r w:rsidR="0010442A" w:rsidRPr="00251542">
              <w:rPr>
                <w:sz w:val="16"/>
              </w:rPr>
              <w:t xml:space="preserve"> </w:t>
            </w:r>
            <w:r w:rsidRPr="00251542">
              <w:rPr>
                <w:sz w:val="16"/>
              </w:rPr>
              <w:t>et iii) fournir aux offices des informations détaillées pouvant servir à formuler des stratégies régionales pour des plates</w:t>
            </w:r>
            <w:r w:rsidR="002D6F2A" w:rsidRPr="00251542">
              <w:rPr>
                <w:sz w:val="16"/>
              </w:rPr>
              <w:noBreakHyphen/>
            </w:r>
            <w:r w:rsidRPr="00251542">
              <w:rPr>
                <w:sz w:val="16"/>
              </w:rPr>
              <w:t>formes informatiques qui favoriseraient le partage des travaux</w:t>
            </w:r>
          </w:p>
        </w:tc>
      </w:tr>
      <w:tr w:rsidR="004007D3" w:rsidRPr="00251542" w:rsidTr="00937285">
        <w:trPr>
          <w:cantSplit/>
          <w:trHeight w:val="1644"/>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Atelier sous</w:t>
            </w:r>
            <w:r w:rsidR="002D6F2A" w:rsidRPr="00251542">
              <w:rPr>
                <w:sz w:val="16"/>
              </w:rPr>
              <w:noBreakHyphen/>
            </w:r>
            <w:r w:rsidRPr="00251542">
              <w:rPr>
                <w:sz w:val="16"/>
              </w:rPr>
              <w:t>régional de l</w:t>
            </w:r>
            <w:r w:rsidR="00A20444" w:rsidRPr="00251542">
              <w:rPr>
                <w:sz w:val="16"/>
              </w:rPr>
              <w:t>’</w:t>
            </w:r>
            <w:r w:rsidRPr="00251542">
              <w:rPr>
                <w:sz w:val="16"/>
              </w:rPr>
              <w:t>OMPI sur la feuille de route informatique de l</w:t>
            </w:r>
            <w:r w:rsidR="00A20444" w:rsidRPr="00251542">
              <w:rPr>
                <w:sz w:val="16"/>
              </w:rPr>
              <w:t>’</w:t>
            </w:r>
            <w:r w:rsidR="00F93985">
              <w:rPr>
                <w:sz w:val="16"/>
              </w:rPr>
              <w:t>ASEAN</w:t>
            </w:r>
            <w:r w:rsidRPr="00251542">
              <w:rPr>
                <w:sz w:val="16"/>
              </w:rPr>
              <w:t xml:space="preserve"> </w:t>
            </w:r>
          </w:p>
        </w:tc>
        <w:tc>
          <w:tcPr>
            <w:tcW w:w="1140" w:type="dxa"/>
          </w:tcPr>
          <w:p w:rsidR="004007D3" w:rsidRPr="00251542" w:rsidRDefault="004007D3" w:rsidP="00ED7374">
            <w:pPr>
              <w:autoSpaceDE w:val="0"/>
              <w:autoSpaceDN w:val="0"/>
              <w:adjustRightInd w:val="0"/>
              <w:spacing w:before="40" w:after="40"/>
              <w:rPr>
                <w:rFonts w:cs="Arial"/>
                <w:sz w:val="16"/>
                <w:szCs w:val="16"/>
              </w:rPr>
            </w:pPr>
            <w:r w:rsidRPr="00251542">
              <w:rPr>
                <w:sz w:val="16"/>
              </w:rPr>
              <w:t>5</w:t>
            </w:r>
            <w:r w:rsidR="002D6F2A" w:rsidRPr="00251542">
              <w:rPr>
                <w:sz w:val="16"/>
              </w:rPr>
              <w:noBreakHyphen/>
            </w:r>
            <w:r w:rsidR="00ED7374">
              <w:rPr>
                <w:sz w:val="16"/>
              </w:rPr>
              <w:t xml:space="preserve">8 </w:t>
            </w:r>
            <w:r w:rsidRPr="00251542">
              <w:rPr>
                <w:sz w:val="16"/>
              </w:rPr>
              <w:t>novembre</w:t>
            </w:r>
            <w:r w:rsidR="00ED7374">
              <w:rPr>
                <w:sz w:val="16"/>
              </w:rPr>
              <w:t xml:space="preserve"> </w:t>
            </w:r>
            <w:r w:rsidRPr="00251542">
              <w:rPr>
                <w:sz w:val="16"/>
              </w:rPr>
              <w:t>2013</w:t>
            </w:r>
          </w:p>
        </w:tc>
        <w:tc>
          <w:tcPr>
            <w:tcW w:w="2112" w:type="dxa"/>
            <w:gridSpan w:val="4"/>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szCs w:val="16"/>
              </w:rPr>
              <w:t>Philippines/</w:t>
            </w:r>
            <w:r w:rsidRPr="00251542">
              <w:rPr>
                <w:sz w:val="16"/>
                <w:szCs w:val="16"/>
              </w:rPr>
              <w:br/>
            </w:r>
            <w:proofErr w:type="spellStart"/>
            <w:r w:rsidRPr="00251542">
              <w:rPr>
                <w:sz w:val="16"/>
                <w:szCs w:val="16"/>
              </w:rPr>
              <w:t>Brunéi</w:t>
            </w:r>
            <w:proofErr w:type="spellEnd"/>
            <w:r w:rsidRPr="00251542">
              <w:rPr>
                <w:sz w:val="16"/>
                <w:szCs w:val="16"/>
              </w:rPr>
              <w:t xml:space="preserve"> Darussalam, Cambodge, Indonésie, Malaisie, Myanmar, République démocratique populaire lao, Singapour, Thaïlande et Viet Nam</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 xml:space="preserve"> i) Partager les expériences et les meilleures pratiques entre les offices de propriété intellectuelle de la région </w:t>
            </w:r>
            <w:r w:rsidR="00F93985">
              <w:rPr>
                <w:sz w:val="16"/>
              </w:rPr>
              <w:t>ASEAN</w:t>
            </w:r>
            <w:r w:rsidRPr="00251542">
              <w:rPr>
                <w:sz w:val="16"/>
              </w:rPr>
              <w:t xml:space="preserve"> sur des services commerciaux efficaces axés sur l</w:t>
            </w:r>
            <w:r w:rsidR="00A20444" w:rsidRPr="00251542">
              <w:rPr>
                <w:sz w:val="16"/>
              </w:rPr>
              <w:t>’</w:t>
            </w:r>
            <w:r w:rsidRPr="00251542">
              <w:rPr>
                <w:sz w:val="16"/>
              </w:rPr>
              <w:t>informatique;</w:t>
            </w:r>
            <w:r w:rsidR="004F3E42" w:rsidRPr="00251542">
              <w:rPr>
                <w:sz w:val="16"/>
              </w:rPr>
              <w:t xml:space="preserve"> </w:t>
            </w:r>
            <w:r w:rsidR="0010442A" w:rsidRPr="00251542">
              <w:rPr>
                <w:sz w:val="16"/>
              </w:rPr>
              <w:t xml:space="preserve"> </w:t>
            </w:r>
            <w:r w:rsidRPr="00251542">
              <w:rPr>
                <w:sz w:val="16"/>
              </w:rPr>
              <w:t>ii) faciliter la promotion et l</w:t>
            </w:r>
            <w:r w:rsidR="00A20444" w:rsidRPr="00251542">
              <w:rPr>
                <w:sz w:val="16"/>
              </w:rPr>
              <w:t>’</w:t>
            </w:r>
            <w:r w:rsidRPr="00251542">
              <w:rPr>
                <w:sz w:val="16"/>
              </w:rPr>
              <w:t>utilisation des produits et services commerciaux de l</w:t>
            </w:r>
            <w:r w:rsidR="00A20444" w:rsidRPr="00251542">
              <w:rPr>
                <w:sz w:val="16"/>
              </w:rPr>
              <w:t>’</w:t>
            </w:r>
            <w:r w:rsidRPr="00251542">
              <w:rPr>
                <w:sz w:val="16"/>
              </w:rPr>
              <w:t xml:space="preserve">OMPI (WIPO CASE, IPAS et </w:t>
            </w:r>
            <w:proofErr w:type="spellStart"/>
            <w:r w:rsidRPr="00251542">
              <w:rPr>
                <w:sz w:val="16"/>
              </w:rPr>
              <w:t>WIPOScan</w:t>
            </w:r>
            <w:proofErr w:type="spellEnd"/>
            <w:r w:rsidRPr="00251542">
              <w:rPr>
                <w:sz w:val="16"/>
              </w:rPr>
              <w:t>) au profit de la région;</w:t>
            </w:r>
            <w:r w:rsidR="004F3E42" w:rsidRPr="00251542">
              <w:rPr>
                <w:sz w:val="16"/>
              </w:rPr>
              <w:t xml:space="preserve"> </w:t>
            </w:r>
            <w:r w:rsidR="0010442A" w:rsidRPr="00251542">
              <w:rPr>
                <w:sz w:val="16"/>
              </w:rPr>
              <w:t xml:space="preserve"> </w:t>
            </w:r>
            <w:r w:rsidRPr="00251542">
              <w:rPr>
                <w:sz w:val="16"/>
              </w:rPr>
              <w:t>et iii) permettre aux offices nationaux et aux utilisateurs d</w:t>
            </w:r>
            <w:r w:rsidR="00A20444" w:rsidRPr="00251542">
              <w:rPr>
                <w:sz w:val="16"/>
              </w:rPr>
              <w:t>’</w:t>
            </w:r>
            <w:r w:rsidRPr="00251542">
              <w:rPr>
                <w:sz w:val="16"/>
              </w:rPr>
              <w:t>accéder à et d</w:t>
            </w:r>
            <w:r w:rsidR="00A20444" w:rsidRPr="00251542">
              <w:rPr>
                <w:sz w:val="16"/>
              </w:rPr>
              <w:t>’</w:t>
            </w:r>
            <w:r w:rsidRPr="00251542">
              <w:rPr>
                <w:sz w:val="16"/>
              </w:rPr>
              <w:t>utiliser au mieux de précieuses informations concernant l</w:t>
            </w:r>
            <w:r w:rsidR="00A20444" w:rsidRPr="00251542">
              <w:rPr>
                <w:sz w:val="16"/>
              </w:rPr>
              <w:t>’</w:t>
            </w:r>
            <w:r w:rsidRPr="00251542">
              <w:rPr>
                <w:sz w:val="16"/>
              </w:rPr>
              <w:t>innovation et les activités commerciales</w:t>
            </w:r>
          </w:p>
        </w:tc>
      </w:tr>
      <w:tr w:rsidR="004007D3" w:rsidRPr="00251542" w:rsidTr="00937285">
        <w:trPr>
          <w:cantSplit/>
          <w:trHeight w:val="1010"/>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Portail Web essentiel de l</w:t>
            </w:r>
            <w:r w:rsidR="00A20444" w:rsidRPr="00251542">
              <w:rPr>
                <w:sz w:val="16"/>
              </w:rPr>
              <w:t>’</w:t>
            </w:r>
            <w:r w:rsidRPr="00251542">
              <w:rPr>
                <w:sz w:val="16"/>
              </w:rPr>
              <w:t>OMPI</w:t>
            </w:r>
          </w:p>
        </w:tc>
        <w:tc>
          <w:tcPr>
            <w:tcW w:w="1140" w:type="dxa"/>
          </w:tcPr>
          <w:p w:rsidR="004007D3" w:rsidRPr="00251542" w:rsidRDefault="00ED7374" w:rsidP="00ED7374">
            <w:pPr>
              <w:autoSpaceDE w:val="0"/>
              <w:autoSpaceDN w:val="0"/>
              <w:adjustRightInd w:val="0"/>
              <w:spacing w:before="40" w:after="40"/>
              <w:rPr>
                <w:rFonts w:cs="Arial"/>
                <w:sz w:val="16"/>
                <w:szCs w:val="16"/>
              </w:rPr>
            </w:pPr>
            <w:r>
              <w:rPr>
                <w:sz w:val="16"/>
              </w:rPr>
              <w:t>a</w:t>
            </w:r>
            <w:r w:rsidR="004007D3" w:rsidRPr="00251542">
              <w:rPr>
                <w:sz w:val="16"/>
              </w:rPr>
              <w:t>oût 2012 à mars 2013</w:t>
            </w:r>
          </w:p>
        </w:tc>
        <w:tc>
          <w:tcPr>
            <w:tcW w:w="2112" w:type="dxa"/>
            <w:gridSpan w:val="4"/>
          </w:tcPr>
          <w:p w:rsidR="004007D3" w:rsidRPr="00251542" w:rsidRDefault="004007D3" w:rsidP="001A5BF9">
            <w:pPr>
              <w:autoSpaceDE w:val="0"/>
              <w:autoSpaceDN w:val="0"/>
              <w:adjustRightInd w:val="0"/>
              <w:spacing w:before="40" w:after="40"/>
              <w:rPr>
                <w:rFonts w:cs="Arial"/>
                <w:spacing w:val="-2"/>
                <w:sz w:val="16"/>
                <w:szCs w:val="16"/>
                <w:lang w:bidi="th-TH"/>
              </w:rPr>
            </w:pPr>
            <w:r w:rsidRPr="00251542">
              <w:rPr>
                <w:spacing w:val="-2"/>
                <w:sz w:val="16"/>
              </w:rPr>
              <w:t>Tous les États membres de l</w:t>
            </w:r>
            <w:r w:rsidR="00A20444" w:rsidRPr="00251542">
              <w:rPr>
                <w:spacing w:val="-2"/>
                <w:sz w:val="16"/>
              </w:rPr>
              <w:t>’</w:t>
            </w:r>
            <w:r w:rsidRPr="00251542">
              <w:rPr>
                <w:spacing w:val="-2"/>
                <w:sz w:val="16"/>
              </w:rPr>
              <w:t>OMPI</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Construire une plate</w:t>
            </w:r>
            <w:r w:rsidR="002D6F2A" w:rsidRPr="00251542">
              <w:rPr>
                <w:sz w:val="16"/>
              </w:rPr>
              <w:noBreakHyphen/>
            </w:r>
            <w:r w:rsidRPr="00251542">
              <w:rPr>
                <w:sz w:val="16"/>
              </w:rPr>
              <w:t>forme systématique et pragmatique pour fournir efficacement des informations sur des brevets relatifs à la santé de manière à ce que les autorités, les organismes de passation de marchés publics et d</w:t>
            </w:r>
            <w:r w:rsidR="00A20444" w:rsidRPr="00251542">
              <w:rPr>
                <w:sz w:val="16"/>
              </w:rPr>
              <w:t>’</w:t>
            </w:r>
            <w:r w:rsidRPr="00251542">
              <w:rPr>
                <w:sz w:val="16"/>
              </w:rPr>
              <w:t>autres aient facilement accès aux informations pertinentes</w:t>
            </w:r>
          </w:p>
        </w:tc>
      </w:tr>
      <w:tr w:rsidR="004007D3" w:rsidRPr="00251542" w:rsidTr="00937285">
        <w:trPr>
          <w:cantSplit/>
          <w:trHeight w:val="315"/>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Base de données WIPO GREEN</w:t>
            </w:r>
          </w:p>
        </w:tc>
        <w:tc>
          <w:tcPr>
            <w:tcW w:w="1558" w:type="dxa"/>
            <w:gridSpan w:val="3"/>
          </w:tcPr>
          <w:p w:rsidR="004007D3" w:rsidRPr="00251542" w:rsidRDefault="00ED7374" w:rsidP="001A5BF9">
            <w:pPr>
              <w:autoSpaceDE w:val="0"/>
              <w:autoSpaceDN w:val="0"/>
              <w:adjustRightInd w:val="0"/>
              <w:spacing w:before="40" w:after="40"/>
              <w:rPr>
                <w:rFonts w:cs="Arial"/>
                <w:sz w:val="16"/>
                <w:szCs w:val="16"/>
              </w:rPr>
            </w:pPr>
            <w:r>
              <w:rPr>
                <w:sz w:val="16"/>
              </w:rPr>
              <w:t>j</w:t>
            </w:r>
            <w:r w:rsidR="004007D3" w:rsidRPr="00251542">
              <w:rPr>
                <w:sz w:val="16"/>
              </w:rPr>
              <w:t>uillet 2011 à mars 2013</w:t>
            </w:r>
          </w:p>
        </w:tc>
        <w:tc>
          <w:tcPr>
            <w:tcW w:w="1694" w:type="dxa"/>
            <w:gridSpan w:val="2"/>
          </w:tcPr>
          <w:p w:rsidR="004007D3" w:rsidRPr="00251542" w:rsidRDefault="004007D3" w:rsidP="001A5BF9">
            <w:pPr>
              <w:autoSpaceDE w:val="0"/>
              <w:autoSpaceDN w:val="0"/>
              <w:adjustRightInd w:val="0"/>
              <w:spacing w:before="40" w:after="40"/>
              <w:rPr>
                <w:rFonts w:cs="Arial"/>
                <w:spacing w:val="-2"/>
                <w:sz w:val="16"/>
                <w:szCs w:val="16"/>
                <w:lang w:bidi="th-TH"/>
              </w:rPr>
            </w:pPr>
            <w:r w:rsidRPr="00251542">
              <w:rPr>
                <w:spacing w:val="-2"/>
                <w:sz w:val="16"/>
              </w:rPr>
              <w:t>Tous les États membres de l</w:t>
            </w:r>
            <w:r w:rsidR="00A20444" w:rsidRPr="00251542">
              <w:rPr>
                <w:spacing w:val="-2"/>
                <w:sz w:val="16"/>
              </w:rPr>
              <w:t>’</w:t>
            </w:r>
            <w:r w:rsidRPr="00251542">
              <w:rPr>
                <w:spacing w:val="-2"/>
                <w:sz w:val="16"/>
              </w:rPr>
              <w:t>OMPI</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Ajouter des fonctionnalités supplémentaires à la base de données WIPO GREEN fondée sur le retour d</w:t>
            </w:r>
            <w:r w:rsidR="00A20444" w:rsidRPr="00251542">
              <w:rPr>
                <w:sz w:val="16"/>
              </w:rPr>
              <w:t>’</w:t>
            </w:r>
            <w:r w:rsidRPr="00251542">
              <w:rPr>
                <w:sz w:val="16"/>
              </w:rPr>
              <w:t>information des utilisateurs</w:t>
            </w:r>
          </w:p>
        </w:tc>
      </w:tr>
      <w:tr w:rsidR="004007D3" w:rsidRPr="00251542" w:rsidTr="00385904">
        <w:trPr>
          <w:cantSplit/>
        </w:trPr>
        <w:tc>
          <w:tcPr>
            <w:tcW w:w="9097" w:type="dxa"/>
            <w:gridSpan w:val="8"/>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Pr="00251542">
              <w:rPr>
                <w:b/>
                <w:sz w:val="16"/>
              </w:rPr>
              <w:t>Renforcement des ressources humaines en vue de satisfaire un large éventail de besoins et d</w:t>
            </w:r>
            <w:r w:rsidR="00A20444" w:rsidRPr="00251542">
              <w:rPr>
                <w:b/>
                <w:sz w:val="16"/>
              </w:rPr>
              <w:t>’</w:t>
            </w:r>
            <w:r w:rsidRPr="00251542">
              <w:rPr>
                <w:b/>
                <w:sz w:val="16"/>
              </w:rPr>
              <w:t>utiliser efficacement la propriété intellectuelle au service du développement</w:t>
            </w:r>
          </w:p>
        </w:tc>
      </w:tr>
      <w:tr w:rsidR="004007D3" w:rsidRPr="00937285" w:rsidTr="00937285">
        <w:trPr>
          <w:cantSplit/>
        </w:trPr>
        <w:tc>
          <w:tcPr>
            <w:tcW w:w="1847" w:type="dxa"/>
            <w:tcBorders>
              <w:top w:val="single" w:sz="4" w:space="0" w:color="auto"/>
            </w:tcBorders>
            <w:vAlign w:val="center"/>
          </w:tcPr>
          <w:p w:rsidR="004007D3" w:rsidRPr="00937285" w:rsidRDefault="004007D3" w:rsidP="001A5BF9">
            <w:pPr>
              <w:keepNext/>
              <w:keepLines/>
              <w:rPr>
                <w:rFonts w:cs="Arial"/>
                <w:b/>
                <w:bCs/>
                <w:sz w:val="16"/>
                <w:szCs w:val="16"/>
              </w:rPr>
            </w:pPr>
            <w:r w:rsidRPr="00937285">
              <w:rPr>
                <w:b/>
                <w:sz w:val="16"/>
              </w:rPr>
              <w:t>Activité</w:t>
            </w:r>
          </w:p>
        </w:tc>
        <w:tc>
          <w:tcPr>
            <w:tcW w:w="1572" w:type="dxa"/>
            <w:gridSpan w:val="4"/>
            <w:tcBorders>
              <w:top w:val="single" w:sz="4" w:space="0" w:color="auto"/>
            </w:tcBorders>
            <w:shd w:val="clear" w:color="auto" w:fill="auto"/>
            <w:tcMar>
              <w:top w:w="110" w:type="dxa"/>
            </w:tcMar>
            <w:vAlign w:val="center"/>
          </w:tcPr>
          <w:p w:rsidR="004007D3" w:rsidRPr="00937285" w:rsidRDefault="004007D3" w:rsidP="001A5BF9">
            <w:pPr>
              <w:keepNext/>
              <w:keepLines/>
              <w:rPr>
                <w:rFonts w:cs="Arial"/>
                <w:b/>
                <w:sz w:val="16"/>
                <w:szCs w:val="16"/>
              </w:rPr>
            </w:pPr>
            <w:r w:rsidRPr="00937285">
              <w:rPr>
                <w:b/>
                <w:sz w:val="16"/>
              </w:rPr>
              <w:t>Date :</w:t>
            </w:r>
          </w:p>
        </w:tc>
        <w:tc>
          <w:tcPr>
            <w:tcW w:w="1680" w:type="dxa"/>
            <w:tcBorders>
              <w:top w:val="single" w:sz="4" w:space="0" w:color="auto"/>
            </w:tcBorders>
            <w:shd w:val="clear" w:color="auto" w:fill="auto"/>
            <w:tcMar>
              <w:top w:w="110" w:type="dxa"/>
            </w:tcMar>
            <w:vAlign w:val="center"/>
          </w:tcPr>
          <w:p w:rsidR="004007D3" w:rsidRPr="00937285" w:rsidRDefault="004007D3" w:rsidP="001A5BF9">
            <w:pPr>
              <w:keepNext/>
              <w:keepLines/>
              <w:rPr>
                <w:rFonts w:cs="Arial"/>
                <w:b/>
                <w:sz w:val="16"/>
                <w:szCs w:val="16"/>
              </w:rPr>
            </w:pPr>
            <w:r w:rsidRPr="00937285">
              <w:rPr>
                <w:b/>
                <w:sz w:val="16"/>
              </w:rPr>
              <w:t>Pays hôte/bénéficiaire</w:t>
            </w:r>
          </w:p>
        </w:tc>
        <w:tc>
          <w:tcPr>
            <w:tcW w:w="3998" w:type="dxa"/>
            <w:gridSpan w:val="2"/>
            <w:tcBorders>
              <w:top w:val="single" w:sz="4" w:space="0" w:color="auto"/>
            </w:tcBorders>
            <w:shd w:val="clear" w:color="auto" w:fill="FFFFFF"/>
            <w:tcMar>
              <w:top w:w="110" w:type="dxa"/>
            </w:tcMar>
            <w:vAlign w:val="center"/>
          </w:tcPr>
          <w:p w:rsidR="004007D3" w:rsidRPr="00937285" w:rsidRDefault="004007D3" w:rsidP="001A5BF9">
            <w:pPr>
              <w:keepNext/>
              <w:keepLines/>
              <w:rPr>
                <w:rFonts w:cs="Arial"/>
                <w:b/>
                <w:sz w:val="16"/>
                <w:szCs w:val="16"/>
              </w:rPr>
            </w:pPr>
            <w:r w:rsidRPr="00937285">
              <w:rPr>
                <w:b/>
                <w:sz w:val="16"/>
              </w:rPr>
              <w:t>Objectif(s)/description(s)</w:t>
            </w:r>
          </w:p>
        </w:tc>
      </w:tr>
      <w:tr w:rsidR="004007D3" w:rsidRPr="00251542" w:rsidTr="00937285">
        <w:trPr>
          <w:cantSplit/>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Atelier régional de l</w:t>
            </w:r>
            <w:r w:rsidR="00A20444" w:rsidRPr="00251542">
              <w:rPr>
                <w:sz w:val="16"/>
              </w:rPr>
              <w:t>’</w:t>
            </w:r>
            <w:r w:rsidRPr="00251542">
              <w:rPr>
                <w:sz w:val="16"/>
              </w:rPr>
              <w:t>OMPI sur la promotion du respect de la propriété intellectuelle</w:t>
            </w:r>
          </w:p>
        </w:tc>
        <w:tc>
          <w:tcPr>
            <w:tcW w:w="1572" w:type="dxa"/>
            <w:gridSpan w:val="4"/>
          </w:tcPr>
          <w:p w:rsidR="004007D3" w:rsidRPr="00251542" w:rsidRDefault="0081044B" w:rsidP="00937285">
            <w:pPr>
              <w:autoSpaceDE w:val="0"/>
              <w:autoSpaceDN w:val="0"/>
              <w:adjustRightInd w:val="0"/>
              <w:spacing w:before="40" w:after="40"/>
              <w:rPr>
                <w:rFonts w:cs="Arial"/>
                <w:sz w:val="16"/>
                <w:szCs w:val="16"/>
                <w:lang w:bidi="th-TH"/>
              </w:rPr>
            </w:pPr>
            <w:r w:rsidRPr="00251542">
              <w:rPr>
                <w:sz w:val="16"/>
              </w:rPr>
              <w:t>13 et 1</w:t>
            </w:r>
            <w:r w:rsidR="00A20444" w:rsidRPr="00251542">
              <w:rPr>
                <w:sz w:val="16"/>
              </w:rPr>
              <w:t>4</w:t>
            </w:r>
            <w:r w:rsidR="00937285">
              <w:rPr>
                <w:sz w:val="16"/>
              </w:rPr>
              <w:t xml:space="preserve"> </w:t>
            </w:r>
            <w:r w:rsidR="00A20444" w:rsidRPr="00251542">
              <w:rPr>
                <w:sz w:val="16"/>
              </w:rPr>
              <w:t>février</w:t>
            </w:r>
            <w:r w:rsidR="004007D3" w:rsidRPr="00251542">
              <w:rPr>
                <w:sz w:val="16"/>
              </w:rPr>
              <w:t> 2013</w:t>
            </w: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Maldives/Bangladesh, Bhoutan, Malaisie, Pakistan et Sri Lanka</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i) Améliorer la compréhension du rôle de la propriété intellectuelle dans le développement socioéconomique, les attitudes et motivations des consommateurs, ainsi que le rôle des entreprises quant à l</w:t>
            </w:r>
            <w:r w:rsidR="00A20444" w:rsidRPr="00251542">
              <w:rPr>
                <w:sz w:val="16"/>
              </w:rPr>
              <w:t>’</w:t>
            </w:r>
            <w:r w:rsidRPr="00251542">
              <w:rPr>
                <w:sz w:val="16"/>
              </w:rPr>
              <w:t>équilibre entre droits de propriété intellectuelle et intérêts;</w:t>
            </w:r>
            <w:r w:rsidR="004F3E42" w:rsidRPr="00251542">
              <w:rPr>
                <w:sz w:val="16"/>
              </w:rPr>
              <w:t xml:space="preserve"> </w:t>
            </w:r>
            <w:r w:rsidR="0010442A" w:rsidRPr="00251542">
              <w:rPr>
                <w:sz w:val="16"/>
              </w:rPr>
              <w:t xml:space="preserve"> </w:t>
            </w:r>
            <w:r w:rsidRPr="00251542">
              <w:rPr>
                <w:sz w:val="16"/>
              </w:rPr>
              <w:t>ii) fournir aux parties prenantes les informations nécessaires sur la manière d</w:t>
            </w:r>
            <w:r w:rsidR="00A20444" w:rsidRPr="00251542">
              <w:rPr>
                <w:sz w:val="16"/>
              </w:rPr>
              <w:t>’</w:t>
            </w:r>
            <w:r w:rsidRPr="00251542">
              <w:rPr>
                <w:sz w:val="16"/>
              </w:rPr>
              <w:t>élaborer et de mettre en œuvre des stratégies nationales de sensibilisation dans le but d</w:t>
            </w:r>
            <w:r w:rsidR="00A20444" w:rsidRPr="00251542">
              <w:rPr>
                <w:sz w:val="16"/>
              </w:rPr>
              <w:t>’</w:t>
            </w:r>
            <w:r w:rsidRPr="00251542">
              <w:rPr>
                <w:sz w:val="16"/>
              </w:rPr>
              <w:t>infléchir la demande de</w:t>
            </w:r>
            <w:r w:rsidR="004F3E42" w:rsidRPr="00251542">
              <w:rPr>
                <w:sz w:val="16"/>
              </w:rPr>
              <w:t xml:space="preserve"> </w:t>
            </w:r>
            <w:r w:rsidRPr="00251542">
              <w:rPr>
                <w:sz w:val="16"/>
              </w:rPr>
              <w:t>produits de contrefaçon;</w:t>
            </w:r>
            <w:r w:rsidR="004F3E42" w:rsidRPr="00251542">
              <w:rPr>
                <w:sz w:val="16"/>
              </w:rPr>
              <w:t xml:space="preserve"> </w:t>
            </w:r>
            <w:r w:rsidR="0010442A" w:rsidRPr="00251542">
              <w:rPr>
                <w:sz w:val="16"/>
              </w:rPr>
              <w:t xml:space="preserve"> </w:t>
            </w:r>
            <w:r w:rsidRPr="00251542">
              <w:rPr>
                <w:sz w:val="16"/>
              </w:rPr>
              <w:t>et iii) encourager la coopération stratégique entre les parties prenantes des secteurs public et privé</w:t>
            </w:r>
          </w:p>
        </w:tc>
      </w:tr>
      <w:tr w:rsidR="004007D3" w:rsidRPr="00251542" w:rsidTr="00937285">
        <w:trPr>
          <w:cantSplit/>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Atelier régional de l</w:t>
            </w:r>
            <w:r w:rsidR="00A20444" w:rsidRPr="00251542">
              <w:rPr>
                <w:sz w:val="16"/>
              </w:rPr>
              <w:t>’</w:t>
            </w:r>
            <w:r w:rsidRPr="00251542">
              <w:rPr>
                <w:sz w:val="16"/>
              </w:rPr>
              <w:t>OMPI sur l</w:t>
            </w:r>
            <w:r w:rsidR="00A20444" w:rsidRPr="00251542">
              <w:rPr>
                <w:sz w:val="16"/>
              </w:rPr>
              <w:t>’</w:t>
            </w:r>
            <w:r w:rsidRPr="00251542">
              <w:rPr>
                <w:sz w:val="16"/>
              </w:rPr>
              <w:t>utilisation efficace des résultats de recherche et des communications découlant du système du Traité de coopération en matière de brevets (PCT) en phase nationale/régionale</w:t>
            </w:r>
          </w:p>
        </w:tc>
        <w:tc>
          <w:tcPr>
            <w:tcW w:w="1572" w:type="dxa"/>
            <w:gridSpan w:val="4"/>
          </w:tcPr>
          <w:p w:rsidR="004007D3" w:rsidRPr="00251542" w:rsidRDefault="004007D3" w:rsidP="00937285">
            <w:pPr>
              <w:autoSpaceDE w:val="0"/>
              <w:autoSpaceDN w:val="0"/>
              <w:adjustRightInd w:val="0"/>
              <w:spacing w:before="40" w:after="40"/>
              <w:rPr>
                <w:rFonts w:cs="Arial"/>
                <w:sz w:val="16"/>
                <w:szCs w:val="16"/>
                <w:lang w:bidi="th-TH"/>
              </w:rPr>
            </w:pPr>
            <w:r w:rsidRPr="00251542">
              <w:rPr>
                <w:sz w:val="16"/>
              </w:rPr>
              <w:t>27 février</w:t>
            </w:r>
            <w:r w:rsidR="002D6F2A" w:rsidRPr="00251542">
              <w:rPr>
                <w:sz w:val="16"/>
              </w:rPr>
              <w:noBreakHyphen/>
            </w:r>
            <w:r w:rsidR="00812285">
              <w:rPr>
                <w:sz w:val="16"/>
              </w:rPr>
              <w:br/>
            </w:r>
            <w:r w:rsidR="00A20444" w:rsidRPr="00251542">
              <w:rPr>
                <w:sz w:val="16"/>
              </w:rPr>
              <w:t>1</w:t>
            </w:r>
            <w:r w:rsidR="00A20444" w:rsidRPr="00251542">
              <w:rPr>
                <w:sz w:val="16"/>
                <w:vertAlign w:val="superscript"/>
              </w:rPr>
              <w:t>er</w:t>
            </w:r>
            <w:r w:rsidR="00A20444" w:rsidRPr="00251542">
              <w:rPr>
                <w:sz w:val="16"/>
              </w:rPr>
              <w:t> </w:t>
            </w:r>
            <w:r w:rsidRPr="00251542">
              <w:rPr>
                <w:sz w:val="16"/>
              </w:rPr>
              <w:t>mars</w:t>
            </w:r>
            <w:r w:rsidR="00937285">
              <w:rPr>
                <w:sz w:val="16"/>
              </w:rPr>
              <w:t xml:space="preserve"> </w:t>
            </w:r>
            <w:r w:rsidRPr="00251542">
              <w:rPr>
                <w:sz w:val="16"/>
              </w:rPr>
              <w:t>2013</w:t>
            </w: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Japon/Burundi, Égypte, Indonésie, Madagascar, Malaisie, Mongolie, Philippines, République démocratique populaire lao, Singapour, Sri Lanka, Thaïlande et Viet Nam</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i) Échanger des défis et des meilleures pratiques sur l</w:t>
            </w:r>
            <w:r w:rsidR="00A20444" w:rsidRPr="00251542">
              <w:rPr>
                <w:sz w:val="16"/>
              </w:rPr>
              <w:t>’</w:t>
            </w:r>
            <w:r w:rsidRPr="00251542">
              <w:rPr>
                <w:sz w:val="16"/>
              </w:rPr>
              <w:t>utilisation efficace d</w:t>
            </w:r>
            <w:r w:rsidR="00A20444" w:rsidRPr="00251542">
              <w:rPr>
                <w:sz w:val="16"/>
              </w:rPr>
              <w:t>’</w:t>
            </w:r>
            <w:r w:rsidRPr="00251542">
              <w:rPr>
                <w:sz w:val="16"/>
              </w:rPr>
              <w:t>informations sur les examens des brevets réalisés par d</w:t>
            </w:r>
            <w:r w:rsidR="00A20444" w:rsidRPr="00251542">
              <w:rPr>
                <w:sz w:val="16"/>
              </w:rPr>
              <w:t>’</w:t>
            </w:r>
            <w:r w:rsidRPr="00251542">
              <w:rPr>
                <w:sz w:val="16"/>
              </w:rPr>
              <w:t>autres offices de propriété intellectuelle;</w:t>
            </w:r>
            <w:r w:rsidR="004F3E42" w:rsidRPr="00251542">
              <w:rPr>
                <w:sz w:val="16"/>
              </w:rPr>
              <w:t xml:space="preserve"> </w:t>
            </w:r>
            <w:r w:rsidR="0010442A" w:rsidRPr="00251542">
              <w:rPr>
                <w:sz w:val="16"/>
              </w:rPr>
              <w:t xml:space="preserve"> </w:t>
            </w:r>
            <w:r w:rsidRPr="00251542">
              <w:rPr>
                <w:sz w:val="16"/>
              </w:rPr>
              <w:t>ii) étudier et examiner les moyens de créer une plate</w:t>
            </w:r>
            <w:r w:rsidR="002D6F2A" w:rsidRPr="00251542">
              <w:rPr>
                <w:sz w:val="16"/>
              </w:rPr>
              <w:noBreakHyphen/>
            </w:r>
            <w:r w:rsidRPr="00251542">
              <w:rPr>
                <w:sz w:val="16"/>
              </w:rPr>
              <w:t>forme pour faciliter l</w:t>
            </w:r>
            <w:r w:rsidR="00A20444" w:rsidRPr="00251542">
              <w:rPr>
                <w:sz w:val="16"/>
              </w:rPr>
              <w:t>’</w:t>
            </w:r>
            <w:r w:rsidRPr="00251542">
              <w:rPr>
                <w:sz w:val="16"/>
              </w:rPr>
              <w:t>accès à ces informations;</w:t>
            </w:r>
            <w:r w:rsidR="004F3E42" w:rsidRPr="00251542">
              <w:rPr>
                <w:sz w:val="16"/>
              </w:rPr>
              <w:t xml:space="preserve"> </w:t>
            </w:r>
            <w:r w:rsidR="0010442A" w:rsidRPr="00251542">
              <w:rPr>
                <w:sz w:val="16"/>
              </w:rPr>
              <w:t xml:space="preserve"> </w:t>
            </w:r>
            <w:r w:rsidRPr="00251542">
              <w:rPr>
                <w:sz w:val="16"/>
              </w:rPr>
              <w:t>et iii)</w:t>
            </w:r>
            <w:r w:rsidR="0010442A" w:rsidRPr="00251542">
              <w:rPr>
                <w:sz w:val="16"/>
              </w:rPr>
              <w:t> </w:t>
            </w:r>
            <w:r w:rsidRPr="00251542">
              <w:rPr>
                <w:sz w:val="16"/>
              </w:rPr>
              <w:t>mieux comprendre l</w:t>
            </w:r>
            <w:r w:rsidR="00A20444" w:rsidRPr="00251542">
              <w:rPr>
                <w:sz w:val="16"/>
              </w:rPr>
              <w:t>’</w:t>
            </w:r>
            <w:r w:rsidRPr="00251542">
              <w:rPr>
                <w:sz w:val="16"/>
              </w:rPr>
              <w:t>utilité des technologies de l</w:t>
            </w:r>
            <w:r w:rsidR="00A20444" w:rsidRPr="00251542">
              <w:rPr>
                <w:sz w:val="16"/>
              </w:rPr>
              <w:t>’</w:t>
            </w:r>
            <w:r w:rsidRPr="00251542">
              <w:rPr>
                <w:sz w:val="16"/>
              </w:rPr>
              <w:t>information dans l</w:t>
            </w:r>
            <w:r w:rsidR="00A20444" w:rsidRPr="00251542">
              <w:rPr>
                <w:sz w:val="16"/>
              </w:rPr>
              <w:t>’</w:t>
            </w:r>
            <w:r w:rsidRPr="00251542">
              <w:rPr>
                <w:sz w:val="16"/>
              </w:rPr>
              <w:t>élaboration d</w:t>
            </w:r>
            <w:r w:rsidR="00A20444" w:rsidRPr="00251542">
              <w:rPr>
                <w:sz w:val="16"/>
              </w:rPr>
              <w:t>’</w:t>
            </w:r>
            <w:r w:rsidRPr="00251542">
              <w:rPr>
                <w:sz w:val="16"/>
              </w:rPr>
              <w:t>une plate</w:t>
            </w:r>
            <w:r w:rsidR="002D6F2A" w:rsidRPr="00251542">
              <w:rPr>
                <w:sz w:val="16"/>
              </w:rPr>
              <w:noBreakHyphen/>
            </w:r>
            <w:r w:rsidRPr="00251542">
              <w:rPr>
                <w:sz w:val="16"/>
              </w:rPr>
              <w:t>forme pour la coopération régionale et internationale sur l</w:t>
            </w:r>
            <w:r w:rsidR="00A20444" w:rsidRPr="00251542">
              <w:rPr>
                <w:sz w:val="16"/>
              </w:rPr>
              <w:t>’</w:t>
            </w:r>
            <w:r w:rsidRPr="00251542">
              <w:rPr>
                <w:sz w:val="16"/>
              </w:rPr>
              <w:t>examen des brevets</w:t>
            </w:r>
          </w:p>
        </w:tc>
      </w:tr>
      <w:tr w:rsidR="004007D3" w:rsidRPr="00251542" w:rsidTr="00937285">
        <w:trPr>
          <w:cantSplit/>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Séminaire régional de l</w:t>
            </w:r>
            <w:r w:rsidR="00A20444" w:rsidRPr="00251542">
              <w:rPr>
                <w:sz w:val="16"/>
              </w:rPr>
              <w:t>’</w:t>
            </w:r>
            <w:r w:rsidRPr="00251542">
              <w:rPr>
                <w:sz w:val="16"/>
              </w:rPr>
              <w:t>OMPI sur l</w:t>
            </w:r>
            <w:r w:rsidR="00A20444" w:rsidRPr="00251542">
              <w:rPr>
                <w:sz w:val="16"/>
              </w:rPr>
              <w:t>’</w:t>
            </w:r>
            <w:r w:rsidRPr="00251542">
              <w:rPr>
                <w:sz w:val="16"/>
              </w:rPr>
              <w:t>utilisation efficace du Traité de coopération en matière de brevets (PCT) et les initiatives en matière de partage international du travail</w:t>
            </w:r>
          </w:p>
        </w:tc>
        <w:tc>
          <w:tcPr>
            <w:tcW w:w="1572" w:type="dxa"/>
            <w:gridSpan w:val="4"/>
          </w:tcPr>
          <w:p w:rsidR="004007D3" w:rsidRPr="00251542" w:rsidRDefault="004007D3" w:rsidP="00937285">
            <w:pPr>
              <w:autoSpaceDE w:val="0"/>
              <w:autoSpaceDN w:val="0"/>
              <w:adjustRightInd w:val="0"/>
              <w:spacing w:before="40" w:after="40"/>
              <w:rPr>
                <w:rFonts w:cs="Arial"/>
                <w:sz w:val="16"/>
                <w:szCs w:val="16"/>
                <w:lang w:bidi="th-TH"/>
              </w:rPr>
            </w:pPr>
            <w:r w:rsidRPr="00251542">
              <w:rPr>
                <w:sz w:val="16"/>
              </w:rPr>
              <w:t>26 – 2</w:t>
            </w:r>
            <w:r w:rsidR="00A20444" w:rsidRPr="00251542">
              <w:rPr>
                <w:sz w:val="16"/>
              </w:rPr>
              <w:t>8</w:t>
            </w:r>
            <w:r w:rsidR="00812285">
              <w:rPr>
                <w:sz w:val="16"/>
              </w:rPr>
              <w:t xml:space="preserve"> </w:t>
            </w:r>
            <w:r w:rsidR="00A20444" w:rsidRPr="00251542">
              <w:rPr>
                <w:sz w:val="16"/>
              </w:rPr>
              <w:t>novembre</w:t>
            </w:r>
            <w:r w:rsidR="00937285">
              <w:rPr>
                <w:sz w:val="16"/>
              </w:rPr>
              <w:t xml:space="preserve"> </w:t>
            </w:r>
            <w:r w:rsidR="00A20444" w:rsidRPr="00251542">
              <w:rPr>
                <w:sz w:val="16"/>
              </w:rPr>
              <w:t>20</w:t>
            </w:r>
            <w:r w:rsidRPr="00251542">
              <w:rPr>
                <w:sz w:val="16"/>
              </w:rPr>
              <w:t>13</w:t>
            </w:r>
          </w:p>
        </w:tc>
        <w:tc>
          <w:tcPr>
            <w:tcW w:w="1680" w:type="dxa"/>
          </w:tcPr>
          <w:p w:rsidR="004007D3" w:rsidRPr="00251542" w:rsidRDefault="004007D3" w:rsidP="00623665">
            <w:pPr>
              <w:autoSpaceDE w:val="0"/>
              <w:autoSpaceDN w:val="0"/>
              <w:adjustRightInd w:val="0"/>
              <w:spacing w:before="40" w:after="40"/>
              <w:rPr>
                <w:rFonts w:cs="Arial"/>
                <w:sz w:val="16"/>
                <w:szCs w:val="16"/>
                <w:lang w:bidi="th-TH"/>
              </w:rPr>
            </w:pPr>
            <w:r w:rsidRPr="00251542">
              <w:rPr>
                <w:sz w:val="16"/>
              </w:rPr>
              <w:t>Japon/</w:t>
            </w:r>
            <w:r w:rsidRPr="00251542">
              <w:br/>
            </w:r>
            <w:proofErr w:type="spellStart"/>
            <w:r w:rsidRPr="00251542">
              <w:rPr>
                <w:sz w:val="16"/>
              </w:rPr>
              <w:t>Brunéi</w:t>
            </w:r>
            <w:proofErr w:type="spellEnd"/>
            <w:r w:rsidRPr="00251542">
              <w:rPr>
                <w:sz w:val="16"/>
              </w:rPr>
              <w:t xml:space="preserve"> Darussala</w:t>
            </w:r>
            <w:r w:rsidR="00623665">
              <w:rPr>
                <w:sz w:val="16"/>
              </w:rPr>
              <w:t>m, Cambodge, Égypte, Indonésie</w:t>
            </w:r>
            <w:r w:rsidRPr="00251542">
              <w:rPr>
                <w:sz w:val="16"/>
              </w:rPr>
              <w:t xml:space="preserve">, Kenya, Malaisie, Myanmar, Philippines, </w:t>
            </w:r>
            <w:r w:rsidR="00623665" w:rsidRPr="00623665">
              <w:rPr>
                <w:sz w:val="16"/>
              </w:rPr>
              <w:t>République démocratique populaire lao</w:t>
            </w:r>
            <w:r w:rsidR="00623665">
              <w:rPr>
                <w:sz w:val="16"/>
              </w:rPr>
              <w:t>,</w:t>
            </w:r>
            <w:r w:rsidR="00623665" w:rsidRPr="00251542">
              <w:rPr>
                <w:sz w:val="16"/>
              </w:rPr>
              <w:t xml:space="preserve"> </w:t>
            </w:r>
            <w:r w:rsidRPr="00251542">
              <w:rPr>
                <w:sz w:val="16"/>
              </w:rPr>
              <w:t>Sin</w:t>
            </w:r>
            <w:r w:rsidR="00623665">
              <w:rPr>
                <w:sz w:val="16"/>
              </w:rPr>
              <w:t xml:space="preserve">gapour, Thaïlande, </w:t>
            </w:r>
            <w:r w:rsidRPr="00251542">
              <w:rPr>
                <w:sz w:val="16"/>
              </w:rPr>
              <w:t>Viet Nam</w:t>
            </w:r>
            <w:r w:rsidR="00623665">
              <w:rPr>
                <w:sz w:val="16"/>
              </w:rPr>
              <w:t>, OAPI et ARIPO</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Approfondir la compréhension sur : i) les fonctions et avantages du PCT;</w:t>
            </w:r>
            <w:r w:rsidR="0010442A" w:rsidRPr="00251542">
              <w:rPr>
                <w:sz w:val="16"/>
              </w:rPr>
              <w:t xml:space="preserve"> </w:t>
            </w:r>
            <w:r w:rsidR="004F3E42" w:rsidRPr="00251542">
              <w:rPr>
                <w:sz w:val="16"/>
              </w:rPr>
              <w:t xml:space="preserve"> </w:t>
            </w:r>
            <w:r w:rsidRPr="00251542">
              <w:rPr>
                <w:sz w:val="16"/>
              </w:rPr>
              <w:t>ii) la manière d</w:t>
            </w:r>
            <w:r w:rsidR="00A20444" w:rsidRPr="00251542">
              <w:rPr>
                <w:sz w:val="16"/>
              </w:rPr>
              <w:t>’</w:t>
            </w:r>
            <w:r w:rsidRPr="00251542">
              <w:rPr>
                <w:sz w:val="16"/>
              </w:rPr>
              <w:t>obtenir des rapports positifs de la part de l</w:t>
            </w:r>
            <w:r w:rsidR="00A20444" w:rsidRPr="00251542">
              <w:rPr>
                <w:sz w:val="16"/>
              </w:rPr>
              <w:t>’</w:t>
            </w:r>
            <w:r w:rsidRPr="00251542">
              <w:rPr>
                <w:sz w:val="16"/>
              </w:rPr>
              <w:t>administration chargée de la recherche internationale/administration chargée de l</w:t>
            </w:r>
            <w:r w:rsidR="00A20444" w:rsidRPr="00251542">
              <w:rPr>
                <w:sz w:val="16"/>
              </w:rPr>
              <w:t>’</w:t>
            </w:r>
            <w:r w:rsidRPr="00251542">
              <w:rPr>
                <w:sz w:val="16"/>
              </w:rPr>
              <w:t>examen préliminaire externe;</w:t>
            </w:r>
            <w:r w:rsidR="004F3E42" w:rsidRPr="00251542">
              <w:rPr>
                <w:sz w:val="16"/>
              </w:rPr>
              <w:t xml:space="preserve"> </w:t>
            </w:r>
            <w:r w:rsidR="0010442A" w:rsidRPr="00251542">
              <w:rPr>
                <w:sz w:val="16"/>
              </w:rPr>
              <w:t xml:space="preserve"> </w:t>
            </w:r>
            <w:r w:rsidRPr="00251542">
              <w:rPr>
                <w:sz w:val="16"/>
              </w:rPr>
              <w:t>et iii) la manière dont les offices nationaux peuvent utiliser efficacement ces rapports</w:t>
            </w:r>
          </w:p>
        </w:tc>
      </w:tr>
      <w:tr w:rsidR="004007D3" w:rsidRPr="00251542" w:rsidTr="00937285">
        <w:trPr>
          <w:cantSplit/>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szCs w:val="16"/>
              </w:rPr>
              <w:t>Séminaire régional du l</w:t>
            </w:r>
            <w:r w:rsidR="00A20444" w:rsidRPr="00251542">
              <w:rPr>
                <w:sz w:val="16"/>
                <w:szCs w:val="16"/>
              </w:rPr>
              <w:t>’</w:t>
            </w:r>
            <w:r w:rsidRPr="00251542">
              <w:rPr>
                <w:sz w:val="16"/>
                <w:szCs w:val="16"/>
              </w:rPr>
              <w:t>OMPI sur l</w:t>
            </w:r>
            <w:r w:rsidR="00A20444" w:rsidRPr="00251542">
              <w:rPr>
                <w:sz w:val="16"/>
                <w:szCs w:val="16"/>
              </w:rPr>
              <w:t>’</w:t>
            </w:r>
            <w:r w:rsidRPr="00251542">
              <w:rPr>
                <w:sz w:val="16"/>
                <w:szCs w:val="16"/>
              </w:rPr>
              <w:t>utilisation efficace des systèmes de classement des brevets</w:t>
            </w:r>
          </w:p>
        </w:tc>
        <w:tc>
          <w:tcPr>
            <w:tcW w:w="1572" w:type="dxa"/>
            <w:gridSpan w:val="4"/>
          </w:tcPr>
          <w:p w:rsidR="004007D3" w:rsidRPr="00251542" w:rsidRDefault="004007D3" w:rsidP="00937285">
            <w:pPr>
              <w:autoSpaceDE w:val="0"/>
              <w:autoSpaceDN w:val="0"/>
              <w:adjustRightInd w:val="0"/>
              <w:spacing w:before="40" w:after="40"/>
              <w:rPr>
                <w:rFonts w:cs="Arial"/>
                <w:sz w:val="16"/>
                <w:szCs w:val="16"/>
                <w:lang w:bidi="th-TH"/>
              </w:rPr>
            </w:pPr>
            <w:r w:rsidRPr="00251542">
              <w:rPr>
                <w:sz w:val="16"/>
                <w:szCs w:val="16"/>
              </w:rPr>
              <w:t>11 – 12</w:t>
            </w:r>
            <w:r w:rsidR="00812285">
              <w:rPr>
                <w:sz w:val="16"/>
                <w:szCs w:val="16"/>
              </w:rPr>
              <w:t xml:space="preserve"> </w:t>
            </w:r>
            <w:r w:rsidRPr="00251542">
              <w:rPr>
                <w:sz w:val="16"/>
                <w:szCs w:val="16"/>
              </w:rPr>
              <w:t>décembre</w:t>
            </w:r>
            <w:r w:rsidR="00937285">
              <w:rPr>
                <w:sz w:val="16"/>
                <w:szCs w:val="16"/>
              </w:rPr>
              <w:t xml:space="preserve"> </w:t>
            </w:r>
            <w:r w:rsidRPr="00251542">
              <w:rPr>
                <w:sz w:val="16"/>
                <w:szCs w:val="16"/>
              </w:rPr>
              <w:t>2013</w:t>
            </w:r>
          </w:p>
        </w:tc>
        <w:tc>
          <w:tcPr>
            <w:tcW w:w="1680" w:type="dxa"/>
          </w:tcPr>
          <w:p w:rsidR="004007D3" w:rsidRPr="00251542" w:rsidRDefault="004007D3" w:rsidP="00623665">
            <w:pPr>
              <w:autoSpaceDE w:val="0"/>
              <w:autoSpaceDN w:val="0"/>
              <w:adjustRightInd w:val="0"/>
              <w:spacing w:before="40" w:after="40"/>
              <w:rPr>
                <w:rFonts w:cs="Arial"/>
                <w:sz w:val="16"/>
                <w:szCs w:val="16"/>
                <w:lang w:bidi="th-TH"/>
              </w:rPr>
            </w:pPr>
            <w:r w:rsidRPr="00251542">
              <w:rPr>
                <w:sz w:val="16"/>
                <w:szCs w:val="16"/>
              </w:rPr>
              <w:t>Japon/</w:t>
            </w:r>
            <w:r w:rsidRPr="00251542">
              <w:rPr>
                <w:sz w:val="16"/>
                <w:szCs w:val="16"/>
              </w:rPr>
              <w:br/>
            </w:r>
            <w:proofErr w:type="spellStart"/>
            <w:r w:rsidRPr="00251542">
              <w:rPr>
                <w:sz w:val="16"/>
                <w:szCs w:val="16"/>
              </w:rPr>
              <w:t>Brunéi</w:t>
            </w:r>
            <w:proofErr w:type="spellEnd"/>
            <w:r w:rsidRPr="00251542">
              <w:rPr>
                <w:sz w:val="16"/>
                <w:szCs w:val="16"/>
              </w:rPr>
              <w:t xml:space="preserve"> Darussalam, Cambodge, Inde, Indonésie, Malaisie, Mongolie, Myanmar, Pakistan,</w:t>
            </w:r>
            <w:r w:rsidR="00623665">
              <w:rPr>
                <w:sz w:val="16"/>
                <w:szCs w:val="16"/>
              </w:rPr>
              <w:t xml:space="preserve"> Philippines,</w:t>
            </w:r>
            <w:r w:rsidRPr="00251542">
              <w:rPr>
                <w:sz w:val="16"/>
                <w:szCs w:val="16"/>
              </w:rPr>
              <w:t xml:space="preserve"> République démocratique populaire lao, </w:t>
            </w:r>
            <w:r w:rsidR="00623665">
              <w:rPr>
                <w:sz w:val="16"/>
                <w:szCs w:val="16"/>
              </w:rPr>
              <w:t>Sri Lanka</w:t>
            </w:r>
            <w:r w:rsidRPr="00251542">
              <w:rPr>
                <w:sz w:val="16"/>
                <w:szCs w:val="16"/>
              </w:rPr>
              <w:t>, Thaïlande et Viet Nam</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szCs w:val="16"/>
              </w:rPr>
              <w:t>Fournir aux participants l</w:t>
            </w:r>
            <w:r w:rsidR="00A20444" w:rsidRPr="00251542">
              <w:rPr>
                <w:sz w:val="16"/>
                <w:szCs w:val="16"/>
              </w:rPr>
              <w:t>’</w:t>
            </w:r>
            <w:r w:rsidRPr="00251542">
              <w:rPr>
                <w:sz w:val="16"/>
                <w:szCs w:val="16"/>
              </w:rPr>
              <w:t>occasion d</w:t>
            </w:r>
            <w:r w:rsidR="00A20444" w:rsidRPr="00251542">
              <w:rPr>
                <w:sz w:val="16"/>
                <w:szCs w:val="16"/>
              </w:rPr>
              <w:t>’</w:t>
            </w:r>
            <w:r w:rsidRPr="00251542">
              <w:rPr>
                <w:sz w:val="16"/>
                <w:szCs w:val="16"/>
              </w:rPr>
              <w:t>en apprendre davantage sur les systèmes de classement des brevets, notamment sur le système </w:t>
            </w:r>
            <w:proofErr w:type="spellStart"/>
            <w:r w:rsidRPr="00251542">
              <w:rPr>
                <w:sz w:val="16"/>
                <w:szCs w:val="16"/>
              </w:rPr>
              <w:t>CIB</w:t>
            </w:r>
            <w:proofErr w:type="spellEnd"/>
            <w:r w:rsidRPr="00251542">
              <w:rPr>
                <w:sz w:val="16"/>
                <w:szCs w:val="16"/>
              </w:rPr>
              <w:t xml:space="preserve"> et d</w:t>
            </w:r>
            <w:r w:rsidR="00A20444" w:rsidRPr="00251542">
              <w:rPr>
                <w:sz w:val="16"/>
                <w:szCs w:val="16"/>
              </w:rPr>
              <w:t>’</w:t>
            </w:r>
            <w:r w:rsidRPr="00251542">
              <w:rPr>
                <w:sz w:val="16"/>
                <w:szCs w:val="16"/>
              </w:rPr>
              <w:t>autres systèmes de classement utiles</w:t>
            </w:r>
          </w:p>
        </w:tc>
      </w:tr>
      <w:tr w:rsidR="004007D3" w:rsidRPr="00251542" w:rsidTr="00937285">
        <w:trPr>
          <w:cantSplit/>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szCs w:val="16"/>
              </w:rPr>
              <w:t>Séminaire régional de l</w:t>
            </w:r>
            <w:r w:rsidR="00A20444" w:rsidRPr="00251542">
              <w:rPr>
                <w:sz w:val="16"/>
                <w:szCs w:val="16"/>
              </w:rPr>
              <w:t>’</w:t>
            </w:r>
            <w:r w:rsidRPr="00251542">
              <w:rPr>
                <w:sz w:val="16"/>
                <w:szCs w:val="16"/>
              </w:rPr>
              <w:t>OMPI sur l</w:t>
            </w:r>
            <w:r w:rsidR="00A20444" w:rsidRPr="00251542">
              <w:rPr>
                <w:sz w:val="16"/>
                <w:szCs w:val="16"/>
              </w:rPr>
              <w:t>’</w:t>
            </w:r>
            <w:r w:rsidRPr="00251542">
              <w:rPr>
                <w:sz w:val="16"/>
                <w:szCs w:val="16"/>
              </w:rPr>
              <w:t>utilisation efficace des données statistiques dans le domaine de la propriété intellectuelle</w:t>
            </w:r>
          </w:p>
        </w:tc>
        <w:tc>
          <w:tcPr>
            <w:tcW w:w="1572" w:type="dxa"/>
            <w:gridSpan w:val="4"/>
          </w:tcPr>
          <w:p w:rsidR="004007D3" w:rsidRPr="00251542" w:rsidRDefault="004007D3" w:rsidP="00937285">
            <w:pPr>
              <w:autoSpaceDE w:val="0"/>
              <w:autoSpaceDN w:val="0"/>
              <w:adjustRightInd w:val="0"/>
              <w:spacing w:before="40" w:after="40"/>
              <w:rPr>
                <w:rFonts w:cs="Arial"/>
                <w:sz w:val="16"/>
                <w:szCs w:val="16"/>
                <w:lang w:bidi="th-TH"/>
              </w:rPr>
            </w:pPr>
            <w:r w:rsidRPr="00251542">
              <w:rPr>
                <w:sz w:val="16"/>
                <w:szCs w:val="16"/>
              </w:rPr>
              <w:t>17 – 1</w:t>
            </w:r>
            <w:r w:rsidR="00A20444" w:rsidRPr="00251542">
              <w:rPr>
                <w:sz w:val="16"/>
                <w:szCs w:val="16"/>
              </w:rPr>
              <w:t>9</w:t>
            </w:r>
            <w:r w:rsidR="00812285">
              <w:rPr>
                <w:sz w:val="16"/>
                <w:szCs w:val="16"/>
              </w:rPr>
              <w:t xml:space="preserve"> </w:t>
            </w:r>
            <w:r w:rsidR="00A20444" w:rsidRPr="00251542">
              <w:rPr>
                <w:sz w:val="16"/>
                <w:szCs w:val="16"/>
              </w:rPr>
              <w:t>décembre</w:t>
            </w:r>
            <w:r w:rsidR="00937285">
              <w:rPr>
                <w:sz w:val="16"/>
                <w:szCs w:val="16"/>
              </w:rPr>
              <w:t xml:space="preserve"> </w:t>
            </w:r>
            <w:r w:rsidR="00A20444" w:rsidRPr="00251542">
              <w:rPr>
                <w:sz w:val="16"/>
                <w:szCs w:val="16"/>
              </w:rPr>
              <w:t>20</w:t>
            </w:r>
            <w:r w:rsidRPr="00251542">
              <w:rPr>
                <w:sz w:val="16"/>
                <w:szCs w:val="16"/>
              </w:rPr>
              <w:t>13</w:t>
            </w:r>
          </w:p>
        </w:tc>
        <w:tc>
          <w:tcPr>
            <w:tcW w:w="1680" w:type="dxa"/>
          </w:tcPr>
          <w:p w:rsidR="004007D3" w:rsidRPr="00251542" w:rsidRDefault="004007D3" w:rsidP="00623665">
            <w:pPr>
              <w:autoSpaceDE w:val="0"/>
              <w:autoSpaceDN w:val="0"/>
              <w:adjustRightInd w:val="0"/>
              <w:spacing w:before="40" w:after="40"/>
              <w:rPr>
                <w:rFonts w:cs="Arial"/>
                <w:sz w:val="16"/>
                <w:szCs w:val="16"/>
                <w:lang w:bidi="th-TH"/>
              </w:rPr>
            </w:pPr>
            <w:r w:rsidRPr="00251542">
              <w:rPr>
                <w:sz w:val="16"/>
                <w:szCs w:val="16"/>
              </w:rPr>
              <w:t>Philippines/</w:t>
            </w:r>
            <w:r w:rsidR="00623665">
              <w:rPr>
                <w:sz w:val="16"/>
                <w:szCs w:val="16"/>
              </w:rPr>
              <w:t xml:space="preserve">Bangladesh, </w:t>
            </w:r>
            <w:r w:rsidRPr="00251542">
              <w:rPr>
                <w:sz w:val="16"/>
                <w:szCs w:val="16"/>
              </w:rPr>
              <w:br/>
            </w:r>
            <w:proofErr w:type="spellStart"/>
            <w:r w:rsidRPr="00251542">
              <w:rPr>
                <w:sz w:val="16"/>
                <w:szCs w:val="16"/>
              </w:rPr>
              <w:t>Brunéi</w:t>
            </w:r>
            <w:proofErr w:type="spellEnd"/>
            <w:r w:rsidRPr="00251542">
              <w:rPr>
                <w:sz w:val="16"/>
                <w:szCs w:val="16"/>
              </w:rPr>
              <w:t xml:space="preserve"> Darussalam, Cambodge, Inde,</w:t>
            </w:r>
            <w:r w:rsidR="00623665">
              <w:rPr>
                <w:sz w:val="16"/>
                <w:szCs w:val="16"/>
              </w:rPr>
              <w:t xml:space="preserve"> Indonésie, Malaisie, </w:t>
            </w:r>
            <w:r w:rsidRPr="00251542">
              <w:rPr>
                <w:sz w:val="16"/>
                <w:szCs w:val="16"/>
              </w:rPr>
              <w:t xml:space="preserve">Pakistan, République démocratique populaire lao, Singapour, </w:t>
            </w:r>
            <w:r w:rsidR="00623665">
              <w:rPr>
                <w:sz w:val="16"/>
                <w:szCs w:val="16"/>
              </w:rPr>
              <w:t>Sri Lanka</w:t>
            </w:r>
            <w:r w:rsidRPr="00251542">
              <w:rPr>
                <w:sz w:val="16"/>
                <w:szCs w:val="16"/>
              </w:rPr>
              <w:t xml:space="preserve"> et Viet Nam</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szCs w:val="16"/>
              </w:rPr>
              <w:t>i) Approfondir la compréhension concernant l</w:t>
            </w:r>
            <w:r w:rsidR="00A20444" w:rsidRPr="00251542">
              <w:rPr>
                <w:sz w:val="16"/>
                <w:szCs w:val="16"/>
              </w:rPr>
              <w:t>’</w:t>
            </w:r>
            <w:r w:rsidRPr="00251542">
              <w:rPr>
                <w:sz w:val="16"/>
                <w:szCs w:val="16"/>
              </w:rPr>
              <w:t>importance des statistiques sur la propriété intellectuelle;</w:t>
            </w:r>
            <w:r w:rsidR="004F3E42" w:rsidRPr="00251542">
              <w:rPr>
                <w:sz w:val="16"/>
                <w:szCs w:val="16"/>
              </w:rPr>
              <w:t xml:space="preserve"> </w:t>
            </w:r>
            <w:r w:rsidR="0010442A" w:rsidRPr="00251542">
              <w:rPr>
                <w:sz w:val="16"/>
                <w:szCs w:val="16"/>
              </w:rPr>
              <w:t xml:space="preserve"> </w:t>
            </w:r>
            <w:r w:rsidRPr="00251542">
              <w:rPr>
                <w:sz w:val="16"/>
                <w:szCs w:val="16"/>
              </w:rPr>
              <w:t>ii) échanger des points de vue sur les différences entre les données statistiques de chaque office de propriété intellectuelle et l</w:t>
            </w:r>
            <w:r w:rsidR="00A20444" w:rsidRPr="00251542">
              <w:rPr>
                <w:sz w:val="16"/>
                <w:szCs w:val="16"/>
              </w:rPr>
              <w:t>’</w:t>
            </w:r>
            <w:r w:rsidRPr="00251542">
              <w:rPr>
                <w:sz w:val="16"/>
                <w:szCs w:val="16"/>
              </w:rPr>
              <w:t>utilisation qui en est faite;</w:t>
            </w:r>
            <w:r w:rsidR="004F3E42" w:rsidRPr="00251542">
              <w:rPr>
                <w:sz w:val="16"/>
                <w:szCs w:val="16"/>
              </w:rPr>
              <w:t xml:space="preserve"> </w:t>
            </w:r>
            <w:r w:rsidR="0010442A" w:rsidRPr="00251542">
              <w:rPr>
                <w:sz w:val="16"/>
                <w:szCs w:val="16"/>
              </w:rPr>
              <w:t xml:space="preserve"> </w:t>
            </w:r>
            <w:r w:rsidRPr="00251542">
              <w:rPr>
                <w:sz w:val="16"/>
                <w:szCs w:val="16"/>
              </w:rPr>
              <w:t>et iii) débattre des mesures possibles pour l</w:t>
            </w:r>
            <w:r w:rsidR="00A20444" w:rsidRPr="00251542">
              <w:rPr>
                <w:sz w:val="16"/>
                <w:szCs w:val="16"/>
              </w:rPr>
              <w:t>’</w:t>
            </w:r>
            <w:r w:rsidRPr="00251542">
              <w:rPr>
                <w:sz w:val="16"/>
                <w:szCs w:val="16"/>
              </w:rPr>
              <w:t>élaboration de statistiques et le partage de statistiques et de données entre les offices de propriété intellectuelle</w:t>
            </w:r>
          </w:p>
        </w:tc>
      </w:tr>
      <w:tr w:rsidR="004007D3" w:rsidRPr="00251542" w:rsidTr="00937285">
        <w:trPr>
          <w:cantSplit/>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Mission d</w:t>
            </w:r>
            <w:r w:rsidR="00A20444" w:rsidRPr="00251542">
              <w:rPr>
                <w:sz w:val="16"/>
              </w:rPr>
              <w:t>’</w:t>
            </w:r>
            <w:r w:rsidRPr="00251542">
              <w:rPr>
                <w:sz w:val="16"/>
              </w:rPr>
              <w:t>experts en vue d</w:t>
            </w:r>
            <w:r w:rsidR="00A20444" w:rsidRPr="00251542">
              <w:rPr>
                <w:sz w:val="16"/>
              </w:rPr>
              <w:t>’</w:t>
            </w:r>
            <w:r w:rsidRPr="00251542">
              <w:rPr>
                <w:sz w:val="16"/>
              </w:rPr>
              <w:t>impartir une formation sur les classifications de Nice, de Vienne et de Locarno</w:t>
            </w:r>
          </w:p>
        </w:tc>
        <w:tc>
          <w:tcPr>
            <w:tcW w:w="1572" w:type="dxa"/>
            <w:gridSpan w:val="4"/>
          </w:tcPr>
          <w:p w:rsidR="004007D3" w:rsidRPr="00251542" w:rsidRDefault="004007D3" w:rsidP="00937285">
            <w:pPr>
              <w:autoSpaceDE w:val="0"/>
              <w:autoSpaceDN w:val="0"/>
              <w:adjustRightInd w:val="0"/>
              <w:spacing w:before="40" w:after="40"/>
              <w:rPr>
                <w:rFonts w:cs="Arial"/>
                <w:sz w:val="16"/>
                <w:szCs w:val="16"/>
                <w:lang w:bidi="th-TH"/>
              </w:rPr>
            </w:pPr>
            <w:r w:rsidRPr="00251542">
              <w:rPr>
                <w:sz w:val="16"/>
              </w:rPr>
              <w:t>27</w:t>
            </w:r>
            <w:r w:rsidR="002D6F2A" w:rsidRPr="00251542">
              <w:rPr>
                <w:sz w:val="16"/>
              </w:rPr>
              <w:noBreakHyphen/>
            </w:r>
            <w:r w:rsidRPr="00251542">
              <w:rPr>
                <w:sz w:val="16"/>
              </w:rPr>
              <w:t>31 mai</w:t>
            </w:r>
            <w:r w:rsidR="00937285">
              <w:rPr>
                <w:sz w:val="16"/>
              </w:rPr>
              <w:t xml:space="preserve"> </w:t>
            </w:r>
            <w:r w:rsidRPr="00251542">
              <w:rPr>
                <w:sz w:val="16"/>
              </w:rPr>
              <w:t>2013</w:t>
            </w: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Indonésie/</w:t>
            </w:r>
            <w:r w:rsidRPr="00251542">
              <w:br/>
            </w:r>
            <w:proofErr w:type="spellStart"/>
            <w:r w:rsidRPr="00251542">
              <w:rPr>
                <w:sz w:val="16"/>
              </w:rPr>
              <w:t>Brunéi</w:t>
            </w:r>
            <w:proofErr w:type="spellEnd"/>
            <w:r w:rsidRPr="00251542">
              <w:rPr>
                <w:sz w:val="16"/>
              </w:rPr>
              <w:t xml:space="preserve"> Darussalam et Malaisie</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Former les examinateurs de marques sur les classifications de Nice et de Vienne et les examinateurs de conception sur la classification de Locarno</w:t>
            </w:r>
          </w:p>
        </w:tc>
      </w:tr>
      <w:tr w:rsidR="004007D3" w:rsidRPr="00251542" w:rsidTr="00937285">
        <w:trPr>
          <w:cantSplit/>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Programme de formation sur les pratiques d</w:t>
            </w:r>
            <w:r w:rsidR="00A20444" w:rsidRPr="00251542">
              <w:rPr>
                <w:sz w:val="16"/>
              </w:rPr>
              <w:t>’</w:t>
            </w:r>
            <w:r w:rsidRPr="00251542">
              <w:rPr>
                <w:sz w:val="16"/>
              </w:rPr>
              <w:t>examen de la propriété industrielle</w:t>
            </w:r>
            <w:r w:rsidR="00623665">
              <w:rPr>
                <w:sz w:val="16"/>
              </w:rPr>
              <w:t xml:space="preserve"> (Programme de base)</w:t>
            </w:r>
          </w:p>
        </w:tc>
        <w:tc>
          <w:tcPr>
            <w:tcW w:w="1572" w:type="dxa"/>
            <w:gridSpan w:val="4"/>
          </w:tcPr>
          <w:p w:rsidR="004007D3" w:rsidRPr="00251542" w:rsidRDefault="004007D3" w:rsidP="00937285">
            <w:pPr>
              <w:autoSpaceDE w:val="0"/>
              <w:autoSpaceDN w:val="0"/>
              <w:adjustRightInd w:val="0"/>
              <w:spacing w:before="40" w:after="40"/>
              <w:rPr>
                <w:rFonts w:cs="Arial"/>
                <w:sz w:val="16"/>
                <w:szCs w:val="16"/>
                <w:lang w:bidi="th-TH"/>
              </w:rPr>
            </w:pPr>
            <w:r w:rsidRPr="00251542">
              <w:rPr>
                <w:sz w:val="16"/>
              </w:rPr>
              <w:t>21 janvier</w:t>
            </w:r>
            <w:r w:rsidR="0010442A" w:rsidRPr="00251542">
              <w:rPr>
                <w:sz w:val="16"/>
              </w:rPr>
              <w:t xml:space="preserve"> –</w:t>
            </w:r>
            <w:r w:rsidRPr="00251542">
              <w:rPr>
                <w:sz w:val="16"/>
              </w:rPr>
              <w:t xml:space="preserve"> 1</w:t>
            </w:r>
            <w:r w:rsidRPr="00251542">
              <w:rPr>
                <w:sz w:val="16"/>
                <w:vertAlign w:val="superscript"/>
              </w:rPr>
              <w:t>er</w:t>
            </w:r>
            <w:r w:rsidRPr="00251542">
              <w:rPr>
                <w:sz w:val="16"/>
              </w:rPr>
              <w:t> février</w:t>
            </w:r>
            <w:r w:rsidR="00937285">
              <w:rPr>
                <w:sz w:val="16"/>
              </w:rPr>
              <w:t xml:space="preserve"> </w:t>
            </w:r>
            <w:r w:rsidRPr="00251542">
              <w:rPr>
                <w:sz w:val="16"/>
              </w:rPr>
              <w:t>2013</w:t>
            </w: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 xml:space="preserve">Japon/Bhoutan, </w:t>
            </w:r>
            <w:r w:rsidRPr="00251542">
              <w:br/>
            </w:r>
            <w:proofErr w:type="spellStart"/>
            <w:r w:rsidRPr="00251542">
              <w:rPr>
                <w:sz w:val="16"/>
              </w:rPr>
              <w:t>Brunéi</w:t>
            </w:r>
            <w:proofErr w:type="spellEnd"/>
            <w:r w:rsidRPr="00251542">
              <w:rPr>
                <w:sz w:val="16"/>
              </w:rPr>
              <w:t xml:space="preserve"> Darussalam, Cambodge, Chine, Éthiopie, Indonésie, Malaisie, Mongolie, Maroc, Nigéria, Pakistan, Papouasie</w:t>
            </w:r>
            <w:r w:rsidR="002D6F2A" w:rsidRPr="00251542">
              <w:rPr>
                <w:sz w:val="16"/>
              </w:rPr>
              <w:noBreakHyphen/>
            </w:r>
            <w:r w:rsidRPr="00251542">
              <w:rPr>
                <w:sz w:val="16"/>
              </w:rPr>
              <w:t>Nouvelle</w:t>
            </w:r>
            <w:r w:rsidR="002D6F2A" w:rsidRPr="00251542">
              <w:rPr>
                <w:sz w:val="16"/>
              </w:rPr>
              <w:noBreakHyphen/>
            </w:r>
            <w:r w:rsidRPr="00251542">
              <w:rPr>
                <w:sz w:val="16"/>
              </w:rPr>
              <w:t>Guinée, Pérou, République démocratique populaire lao, Sri Lanka et Viet Nam</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Améliorer les connaissances de base importantes sur les lois et les procédures d</w:t>
            </w:r>
            <w:r w:rsidR="00A20444" w:rsidRPr="00251542">
              <w:rPr>
                <w:sz w:val="16"/>
              </w:rPr>
              <w:t>’</w:t>
            </w:r>
            <w:r w:rsidRPr="00251542">
              <w:rPr>
                <w:sz w:val="16"/>
              </w:rPr>
              <w:t>examen quant au fond dans le domaine de l</w:t>
            </w:r>
            <w:r w:rsidR="00A20444" w:rsidRPr="00251542">
              <w:rPr>
                <w:sz w:val="16"/>
              </w:rPr>
              <w:t>’</w:t>
            </w:r>
            <w:r w:rsidRPr="00251542">
              <w:rPr>
                <w:sz w:val="16"/>
              </w:rPr>
              <w:t>examen des droits de la propriété industrielle</w:t>
            </w:r>
          </w:p>
        </w:tc>
      </w:tr>
      <w:tr w:rsidR="004007D3" w:rsidRPr="00251542" w:rsidTr="00937285">
        <w:trPr>
          <w:cantSplit/>
        </w:trPr>
        <w:tc>
          <w:tcPr>
            <w:tcW w:w="1847" w:type="dxa"/>
          </w:tcPr>
          <w:p w:rsidR="004007D3" w:rsidRPr="00251542" w:rsidRDefault="004007D3" w:rsidP="00623665">
            <w:pPr>
              <w:autoSpaceDE w:val="0"/>
              <w:autoSpaceDN w:val="0"/>
              <w:adjustRightInd w:val="0"/>
              <w:spacing w:before="40" w:after="40"/>
              <w:rPr>
                <w:rFonts w:cs="Arial"/>
                <w:sz w:val="16"/>
                <w:szCs w:val="16"/>
                <w:lang w:bidi="th-TH"/>
              </w:rPr>
            </w:pPr>
            <w:r w:rsidRPr="00251542">
              <w:rPr>
                <w:sz w:val="16"/>
              </w:rPr>
              <w:t>Programme de formation sur l</w:t>
            </w:r>
            <w:r w:rsidR="00A20444" w:rsidRPr="00251542">
              <w:rPr>
                <w:sz w:val="16"/>
              </w:rPr>
              <w:t>’</w:t>
            </w:r>
            <w:r w:rsidRPr="00251542">
              <w:rPr>
                <w:sz w:val="16"/>
              </w:rPr>
              <w:t>administrati</w:t>
            </w:r>
            <w:r w:rsidR="00623665">
              <w:rPr>
                <w:sz w:val="16"/>
              </w:rPr>
              <w:t>on de la propriété industrielle</w:t>
            </w:r>
          </w:p>
        </w:tc>
        <w:tc>
          <w:tcPr>
            <w:tcW w:w="1572" w:type="dxa"/>
            <w:gridSpan w:val="4"/>
          </w:tcPr>
          <w:p w:rsidR="004007D3" w:rsidRPr="00251542" w:rsidRDefault="004007D3" w:rsidP="00812285">
            <w:pPr>
              <w:autoSpaceDE w:val="0"/>
              <w:autoSpaceDN w:val="0"/>
              <w:adjustRightInd w:val="0"/>
              <w:spacing w:before="40" w:after="40"/>
              <w:rPr>
                <w:rFonts w:cs="Arial"/>
                <w:sz w:val="16"/>
                <w:szCs w:val="16"/>
                <w:lang w:bidi="th-TH"/>
              </w:rPr>
            </w:pPr>
            <w:r w:rsidRPr="00251542">
              <w:rPr>
                <w:sz w:val="16"/>
              </w:rPr>
              <w:t xml:space="preserve">4 – </w:t>
            </w:r>
            <w:r w:rsidR="00A20444" w:rsidRPr="00251542">
              <w:rPr>
                <w:sz w:val="16"/>
              </w:rPr>
              <w:t>8</w:t>
            </w:r>
            <w:r w:rsidR="00812285">
              <w:rPr>
                <w:sz w:val="16"/>
              </w:rPr>
              <w:t xml:space="preserve"> </w:t>
            </w:r>
            <w:r w:rsidR="00A20444" w:rsidRPr="00251542">
              <w:rPr>
                <w:sz w:val="16"/>
              </w:rPr>
              <w:t>février 20</w:t>
            </w:r>
            <w:r w:rsidRPr="00251542">
              <w:rPr>
                <w:sz w:val="16"/>
              </w:rPr>
              <w:t>13</w:t>
            </w: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Japon/Bangladesh, Chine, Inde, Indonésie, Malaisie, Pakistan, Philippines, Sri Lanka, Thaïlande, Tunisie et Viet Nam</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 xml:space="preserve">i) Améliorer les connaissances des cadres dirigeants des offices de la propriété intellectuelle sur les pratiques et outils modernes </w:t>
            </w:r>
            <w:r w:rsidR="002264E8" w:rsidRPr="00251542">
              <w:rPr>
                <w:sz w:val="16"/>
              </w:rPr>
              <w:t>d’</w:t>
            </w:r>
            <w:r w:rsidRPr="00251542">
              <w:rPr>
                <w:sz w:val="16"/>
              </w:rPr>
              <w:t>administration dans ce domaine;</w:t>
            </w:r>
            <w:r w:rsidR="004F3E42" w:rsidRPr="00251542">
              <w:rPr>
                <w:sz w:val="16"/>
              </w:rPr>
              <w:t xml:space="preserve"> </w:t>
            </w:r>
            <w:r w:rsidR="0010442A" w:rsidRPr="00251542">
              <w:rPr>
                <w:sz w:val="16"/>
              </w:rPr>
              <w:t xml:space="preserve"> </w:t>
            </w:r>
            <w:r w:rsidRPr="00251542">
              <w:rPr>
                <w:sz w:val="16"/>
              </w:rPr>
              <w:t>ii)</w:t>
            </w:r>
            <w:r w:rsidR="0010442A" w:rsidRPr="00251542">
              <w:rPr>
                <w:sz w:val="16"/>
              </w:rPr>
              <w:t> </w:t>
            </w:r>
            <w:r w:rsidRPr="00251542">
              <w:rPr>
                <w:sz w:val="16"/>
              </w:rPr>
              <w:t>accroître l</w:t>
            </w:r>
            <w:r w:rsidR="00A20444" w:rsidRPr="00251542">
              <w:rPr>
                <w:sz w:val="16"/>
              </w:rPr>
              <w:t>’</w:t>
            </w:r>
            <w:r w:rsidRPr="00251542">
              <w:rPr>
                <w:sz w:val="16"/>
              </w:rPr>
              <w:t>aptitude des participants à administrer avec efficacité le système de propriété intellectuelle conformément aux pratiques modernes de gestion;</w:t>
            </w:r>
            <w:r w:rsidR="004F3E42" w:rsidRPr="00251542">
              <w:rPr>
                <w:sz w:val="16"/>
              </w:rPr>
              <w:t xml:space="preserve"> </w:t>
            </w:r>
            <w:r w:rsidR="0010442A" w:rsidRPr="00251542">
              <w:rPr>
                <w:sz w:val="16"/>
              </w:rPr>
              <w:t xml:space="preserve"> </w:t>
            </w:r>
            <w:r w:rsidRPr="00251542">
              <w:rPr>
                <w:sz w:val="16"/>
              </w:rPr>
              <w:t>et iii)</w:t>
            </w:r>
            <w:r w:rsidR="0010442A" w:rsidRPr="00251542">
              <w:rPr>
                <w:sz w:val="16"/>
              </w:rPr>
              <w:t> </w:t>
            </w:r>
            <w:r w:rsidRPr="00251542">
              <w:rPr>
                <w:sz w:val="16"/>
              </w:rPr>
              <w:t>exposer aux participants les stratégies de gestion qui permettront aux offices de propriété intellectuelle d</w:t>
            </w:r>
            <w:r w:rsidR="00A20444" w:rsidRPr="00251542">
              <w:rPr>
                <w:sz w:val="16"/>
              </w:rPr>
              <w:t>’</w:t>
            </w:r>
            <w:r w:rsidRPr="00251542">
              <w:rPr>
                <w:sz w:val="16"/>
              </w:rPr>
              <w:t>apporter leur concours à l</w:t>
            </w:r>
            <w:r w:rsidR="00A20444" w:rsidRPr="00251542">
              <w:rPr>
                <w:sz w:val="16"/>
              </w:rPr>
              <w:t>’</w:t>
            </w:r>
            <w:r w:rsidRPr="00251542">
              <w:rPr>
                <w:sz w:val="16"/>
              </w:rPr>
              <w:t>élaboration d</w:t>
            </w:r>
            <w:r w:rsidR="00A20444" w:rsidRPr="00251542">
              <w:rPr>
                <w:sz w:val="16"/>
              </w:rPr>
              <w:t>’</w:t>
            </w:r>
            <w:r w:rsidRPr="00251542">
              <w:rPr>
                <w:sz w:val="16"/>
              </w:rPr>
              <w:t>objectifs et de politiques générales de développement au niveau national</w:t>
            </w:r>
          </w:p>
        </w:tc>
      </w:tr>
      <w:tr w:rsidR="004007D3" w:rsidRPr="00251542" w:rsidTr="00937285">
        <w:trPr>
          <w:cantSplit/>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Programme de formation pour les examinateurs de brevets sur certaines technologies (programmes informatiques)</w:t>
            </w:r>
          </w:p>
        </w:tc>
        <w:tc>
          <w:tcPr>
            <w:tcW w:w="1572" w:type="dxa"/>
            <w:gridSpan w:val="4"/>
          </w:tcPr>
          <w:p w:rsidR="004007D3" w:rsidRPr="00251542" w:rsidRDefault="004007D3" w:rsidP="00812285">
            <w:pPr>
              <w:autoSpaceDE w:val="0"/>
              <w:autoSpaceDN w:val="0"/>
              <w:adjustRightInd w:val="0"/>
              <w:spacing w:before="40" w:after="40"/>
              <w:rPr>
                <w:rFonts w:cs="Arial"/>
                <w:sz w:val="16"/>
                <w:szCs w:val="16"/>
                <w:lang w:bidi="th-TH"/>
              </w:rPr>
            </w:pPr>
            <w:r w:rsidRPr="00251542">
              <w:rPr>
                <w:sz w:val="16"/>
              </w:rPr>
              <w:t>13</w:t>
            </w:r>
            <w:r w:rsidR="002D6F2A" w:rsidRPr="00251542">
              <w:rPr>
                <w:sz w:val="16"/>
              </w:rPr>
              <w:noBreakHyphen/>
            </w:r>
            <w:r w:rsidRPr="00251542">
              <w:rPr>
                <w:sz w:val="16"/>
              </w:rPr>
              <w:t>20</w:t>
            </w:r>
            <w:r w:rsidR="00812285">
              <w:rPr>
                <w:sz w:val="16"/>
              </w:rPr>
              <w:t xml:space="preserve"> </w:t>
            </w:r>
            <w:r w:rsidRPr="00251542">
              <w:rPr>
                <w:sz w:val="16"/>
              </w:rPr>
              <w:t>février 2013</w:t>
            </w: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Japon/Chine, Indonésie, Kenya, Malaisie, Maroc, Philippines, Singapour, Turquie et Viet Nam</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 xml:space="preserve"> i) Informer les participants des tendances actuelles et des pratiques modernes d</w:t>
            </w:r>
            <w:r w:rsidR="00A20444" w:rsidRPr="00251542">
              <w:rPr>
                <w:sz w:val="16"/>
              </w:rPr>
              <w:t>’</w:t>
            </w:r>
            <w:r w:rsidRPr="00251542">
              <w:rPr>
                <w:sz w:val="16"/>
              </w:rPr>
              <w:t>examen des brevets concernant les appareils optiques;</w:t>
            </w:r>
            <w:r w:rsidR="004F3E42" w:rsidRPr="00251542">
              <w:rPr>
                <w:sz w:val="16"/>
              </w:rPr>
              <w:t xml:space="preserve"> </w:t>
            </w:r>
            <w:r w:rsidR="0010442A" w:rsidRPr="00251542">
              <w:rPr>
                <w:sz w:val="16"/>
              </w:rPr>
              <w:t xml:space="preserve"> </w:t>
            </w:r>
            <w:r w:rsidRPr="00251542">
              <w:rPr>
                <w:sz w:val="16"/>
              </w:rPr>
              <w:t>ii) leur transmettre des connaissances et informations concrètes sur les méthodes d</w:t>
            </w:r>
            <w:r w:rsidR="00A20444" w:rsidRPr="00251542">
              <w:rPr>
                <w:sz w:val="16"/>
              </w:rPr>
              <w:t>’</w:t>
            </w:r>
            <w:r w:rsidRPr="00251542">
              <w:rPr>
                <w:sz w:val="16"/>
              </w:rPr>
              <w:t>examen;</w:t>
            </w:r>
            <w:r w:rsidR="0010442A" w:rsidRPr="00251542">
              <w:rPr>
                <w:sz w:val="16"/>
              </w:rPr>
              <w:t xml:space="preserve"> </w:t>
            </w:r>
            <w:r w:rsidR="004F3E42" w:rsidRPr="00251542">
              <w:rPr>
                <w:sz w:val="16"/>
              </w:rPr>
              <w:t xml:space="preserve"> </w:t>
            </w:r>
            <w:r w:rsidRPr="00251542">
              <w:rPr>
                <w:sz w:val="16"/>
              </w:rPr>
              <w:t>iii) permettre aux participants d</w:t>
            </w:r>
            <w:r w:rsidR="00A20444" w:rsidRPr="00251542">
              <w:rPr>
                <w:sz w:val="16"/>
              </w:rPr>
              <w:t>’</w:t>
            </w:r>
            <w:r w:rsidRPr="00251542">
              <w:rPr>
                <w:sz w:val="16"/>
              </w:rPr>
              <w:t>échanger des expériences et des points de vue sur les questions d</w:t>
            </w:r>
            <w:r w:rsidR="00A20444" w:rsidRPr="00251542">
              <w:rPr>
                <w:sz w:val="16"/>
              </w:rPr>
              <w:t>’</w:t>
            </w:r>
            <w:r w:rsidRPr="00251542">
              <w:rPr>
                <w:sz w:val="16"/>
              </w:rPr>
              <w:t xml:space="preserve">examen des brevets; </w:t>
            </w:r>
            <w:r w:rsidR="0010442A" w:rsidRPr="00251542">
              <w:rPr>
                <w:sz w:val="16"/>
              </w:rPr>
              <w:t xml:space="preserve"> </w:t>
            </w:r>
            <w:r w:rsidRPr="00251542">
              <w:rPr>
                <w:sz w:val="16"/>
              </w:rPr>
              <w:t>et</w:t>
            </w:r>
            <w:r w:rsidR="004F3E42" w:rsidRPr="00251542">
              <w:rPr>
                <w:sz w:val="16"/>
              </w:rPr>
              <w:t xml:space="preserve"> </w:t>
            </w:r>
            <w:r w:rsidRPr="00251542">
              <w:rPr>
                <w:sz w:val="16"/>
              </w:rPr>
              <w:t>iv) renforcer les compétences professionnelles des participants en matière d</w:t>
            </w:r>
            <w:r w:rsidR="00A20444" w:rsidRPr="00251542">
              <w:rPr>
                <w:sz w:val="16"/>
              </w:rPr>
              <w:t>’</w:t>
            </w:r>
            <w:r w:rsidRPr="00251542">
              <w:rPr>
                <w:sz w:val="16"/>
              </w:rPr>
              <w:t>examen dans le domaine des programmes informatiques</w:t>
            </w:r>
          </w:p>
        </w:tc>
      </w:tr>
      <w:tr w:rsidR="004007D3" w:rsidRPr="00251542" w:rsidTr="00937285">
        <w:trPr>
          <w:cantSplit/>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Programme de formation pour les examinateurs de brevets sur certaines technologies (éclairage)</w:t>
            </w:r>
          </w:p>
        </w:tc>
        <w:tc>
          <w:tcPr>
            <w:tcW w:w="1572" w:type="dxa"/>
            <w:gridSpan w:val="4"/>
          </w:tcPr>
          <w:p w:rsidR="004007D3" w:rsidRPr="00251542" w:rsidRDefault="004007D3" w:rsidP="00812285">
            <w:pPr>
              <w:autoSpaceDE w:val="0"/>
              <w:autoSpaceDN w:val="0"/>
              <w:adjustRightInd w:val="0"/>
              <w:spacing w:before="40" w:after="40"/>
              <w:rPr>
                <w:rFonts w:cs="Arial"/>
                <w:sz w:val="16"/>
                <w:szCs w:val="16"/>
                <w:lang w:bidi="th-TH"/>
              </w:rPr>
            </w:pPr>
            <w:r w:rsidRPr="00251542">
              <w:rPr>
                <w:sz w:val="16"/>
              </w:rPr>
              <w:t>21</w:t>
            </w:r>
            <w:r w:rsidR="002D6F2A" w:rsidRPr="00251542">
              <w:rPr>
                <w:sz w:val="16"/>
              </w:rPr>
              <w:noBreakHyphen/>
            </w:r>
            <w:r w:rsidRPr="00251542">
              <w:rPr>
                <w:sz w:val="16"/>
              </w:rPr>
              <w:t>28</w:t>
            </w:r>
            <w:r w:rsidR="00812285">
              <w:rPr>
                <w:sz w:val="16"/>
              </w:rPr>
              <w:t xml:space="preserve"> </w:t>
            </w:r>
            <w:r w:rsidRPr="00251542">
              <w:rPr>
                <w:sz w:val="16"/>
              </w:rPr>
              <w:t>février 2013</w:t>
            </w: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Japon/Chine, Égypte, Indonésie, Malaisie, Mexique, Maroc, Pakistan, Philippines, Thaïlande, Viet Nam et OAPI</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i) Informer les participants des tendances actuelles et des pratiques modernes d</w:t>
            </w:r>
            <w:r w:rsidR="00A20444" w:rsidRPr="00251542">
              <w:rPr>
                <w:sz w:val="16"/>
              </w:rPr>
              <w:t>’</w:t>
            </w:r>
            <w:r w:rsidRPr="00251542">
              <w:rPr>
                <w:sz w:val="16"/>
              </w:rPr>
              <w:t>examen des brevets concernant les appareils optiques;</w:t>
            </w:r>
            <w:r w:rsidR="004F3E42" w:rsidRPr="00251542">
              <w:rPr>
                <w:sz w:val="16"/>
              </w:rPr>
              <w:t xml:space="preserve"> </w:t>
            </w:r>
            <w:r w:rsidR="0010442A" w:rsidRPr="00251542">
              <w:rPr>
                <w:sz w:val="16"/>
              </w:rPr>
              <w:t xml:space="preserve"> </w:t>
            </w:r>
            <w:r w:rsidRPr="00251542">
              <w:rPr>
                <w:sz w:val="16"/>
              </w:rPr>
              <w:t>ii) leur transmettre des connaissances et informations concrètes sur les méthodes d</w:t>
            </w:r>
            <w:r w:rsidR="00A20444" w:rsidRPr="00251542">
              <w:rPr>
                <w:sz w:val="16"/>
              </w:rPr>
              <w:t>’</w:t>
            </w:r>
            <w:r w:rsidRPr="00251542">
              <w:rPr>
                <w:sz w:val="16"/>
              </w:rPr>
              <w:t>examen;</w:t>
            </w:r>
            <w:r w:rsidR="0010442A" w:rsidRPr="00251542">
              <w:rPr>
                <w:sz w:val="16"/>
              </w:rPr>
              <w:t xml:space="preserve"> </w:t>
            </w:r>
            <w:r w:rsidR="004F3E42" w:rsidRPr="00251542">
              <w:rPr>
                <w:sz w:val="16"/>
              </w:rPr>
              <w:t xml:space="preserve"> </w:t>
            </w:r>
            <w:r w:rsidRPr="00251542">
              <w:rPr>
                <w:sz w:val="16"/>
              </w:rPr>
              <w:t>iii) permettre aux participants d</w:t>
            </w:r>
            <w:r w:rsidR="00A20444" w:rsidRPr="00251542">
              <w:rPr>
                <w:sz w:val="16"/>
              </w:rPr>
              <w:t>’</w:t>
            </w:r>
            <w:r w:rsidRPr="00251542">
              <w:rPr>
                <w:sz w:val="16"/>
              </w:rPr>
              <w:t>échanger des expériences et des points de vue sur les questions d</w:t>
            </w:r>
            <w:r w:rsidR="00A20444" w:rsidRPr="00251542">
              <w:rPr>
                <w:sz w:val="16"/>
              </w:rPr>
              <w:t>’</w:t>
            </w:r>
            <w:r w:rsidRPr="00251542">
              <w:rPr>
                <w:sz w:val="16"/>
              </w:rPr>
              <w:t xml:space="preserve">examen des brevets; </w:t>
            </w:r>
            <w:r w:rsidR="0010442A" w:rsidRPr="00251542">
              <w:rPr>
                <w:sz w:val="16"/>
              </w:rPr>
              <w:t xml:space="preserve"> </w:t>
            </w:r>
            <w:r w:rsidRPr="00251542">
              <w:rPr>
                <w:sz w:val="16"/>
              </w:rPr>
              <w:t>et</w:t>
            </w:r>
            <w:r w:rsidR="004F3E42" w:rsidRPr="00251542">
              <w:rPr>
                <w:sz w:val="16"/>
              </w:rPr>
              <w:t xml:space="preserve"> </w:t>
            </w:r>
            <w:r w:rsidRPr="00251542">
              <w:rPr>
                <w:sz w:val="16"/>
              </w:rPr>
              <w:t>iv) renforcer les compétences professionnelles des participants en matière d</w:t>
            </w:r>
            <w:r w:rsidR="00A20444" w:rsidRPr="00251542">
              <w:rPr>
                <w:sz w:val="16"/>
              </w:rPr>
              <w:t>’</w:t>
            </w:r>
            <w:r w:rsidRPr="00251542">
              <w:rPr>
                <w:sz w:val="16"/>
              </w:rPr>
              <w:t>examen dans le domaine des programmes informatiques</w:t>
            </w:r>
          </w:p>
        </w:tc>
      </w:tr>
      <w:tr w:rsidR="004007D3" w:rsidRPr="00251542" w:rsidTr="00937285">
        <w:trPr>
          <w:cantSplit/>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Programme de formation sur le recours aux technologies de l</w:t>
            </w:r>
            <w:r w:rsidR="00A20444" w:rsidRPr="00251542">
              <w:rPr>
                <w:sz w:val="16"/>
              </w:rPr>
              <w:t>’</w:t>
            </w:r>
            <w:r w:rsidRPr="00251542">
              <w:rPr>
                <w:sz w:val="16"/>
              </w:rPr>
              <w:t>information dans l</w:t>
            </w:r>
            <w:r w:rsidR="00A20444" w:rsidRPr="00251542">
              <w:rPr>
                <w:sz w:val="16"/>
              </w:rPr>
              <w:t>’</w:t>
            </w:r>
            <w:r w:rsidRPr="00251542">
              <w:rPr>
                <w:sz w:val="16"/>
              </w:rPr>
              <w:t>administration de la propriété industrielle</w:t>
            </w:r>
          </w:p>
        </w:tc>
        <w:tc>
          <w:tcPr>
            <w:tcW w:w="1572" w:type="dxa"/>
            <w:gridSpan w:val="4"/>
          </w:tcPr>
          <w:p w:rsidR="004007D3" w:rsidRPr="00251542" w:rsidRDefault="00812285" w:rsidP="00937285">
            <w:pPr>
              <w:autoSpaceDE w:val="0"/>
              <w:autoSpaceDN w:val="0"/>
              <w:adjustRightInd w:val="0"/>
              <w:spacing w:before="40" w:after="40"/>
              <w:rPr>
                <w:rFonts w:cs="Arial"/>
                <w:sz w:val="16"/>
                <w:szCs w:val="16"/>
                <w:lang w:bidi="th-TH"/>
              </w:rPr>
            </w:pPr>
            <w:r>
              <w:rPr>
                <w:sz w:val="16"/>
              </w:rPr>
              <w:t>d</w:t>
            </w:r>
            <w:r w:rsidR="004007D3" w:rsidRPr="00251542">
              <w:rPr>
                <w:sz w:val="16"/>
              </w:rPr>
              <w:t>u 28</w:t>
            </w:r>
            <w:r w:rsidR="00937285">
              <w:rPr>
                <w:sz w:val="16"/>
              </w:rPr>
              <w:t xml:space="preserve"> </w:t>
            </w:r>
            <w:r w:rsidR="004007D3" w:rsidRPr="00251542">
              <w:rPr>
                <w:sz w:val="16"/>
              </w:rPr>
              <w:t>octobre au 8</w:t>
            </w:r>
            <w:r w:rsidR="00937285">
              <w:rPr>
                <w:sz w:val="16"/>
              </w:rPr>
              <w:t xml:space="preserve"> </w:t>
            </w:r>
            <w:r w:rsidR="004007D3" w:rsidRPr="00251542">
              <w:rPr>
                <w:sz w:val="16"/>
              </w:rPr>
              <w:t>novembre</w:t>
            </w:r>
            <w:r w:rsidR="00937285">
              <w:rPr>
                <w:sz w:val="16"/>
              </w:rPr>
              <w:t xml:space="preserve"> </w:t>
            </w:r>
            <w:r w:rsidR="004007D3" w:rsidRPr="00251542">
              <w:rPr>
                <w:sz w:val="16"/>
              </w:rPr>
              <w:t>2013</w:t>
            </w:r>
          </w:p>
        </w:tc>
        <w:tc>
          <w:tcPr>
            <w:tcW w:w="1680" w:type="dxa"/>
          </w:tcPr>
          <w:p w:rsidR="004007D3" w:rsidRPr="00251542" w:rsidRDefault="004007D3" w:rsidP="00811C89">
            <w:pPr>
              <w:autoSpaceDE w:val="0"/>
              <w:autoSpaceDN w:val="0"/>
              <w:adjustRightInd w:val="0"/>
              <w:spacing w:before="40" w:after="40"/>
              <w:rPr>
                <w:rFonts w:cs="Arial"/>
                <w:sz w:val="16"/>
                <w:szCs w:val="16"/>
                <w:lang w:bidi="th-TH"/>
              </w:rPr>
            </w:pPr>
            <w:r w:rsidRPr="00251542">
              <w:rPr>
                <w:sz w:val="16"/>
              </w:rPr>
              <w:t>Japon/B</w:t>
            </w:r>
            <w:r w:rsidR="00623665">
              <w:rPr>
                <w:sz w:val="16"/>
              </w:rPr>
              <w:t>angladesh, B</w:t>
            </w:r>
            <w:r w:rsidRPr="00251542">
              <w:rPr>
                <w:sz w:val="16"/>
              </w:rPr>
              <w:t xml:space="preserve">résil, </w:t>
            </w:r>
            <w:proofErr w:type="spellStart"/>
            <w:r w:rsidR="00623665" w:rsidRPr="00623665">
              <w:rPr>
                <w:sz w:val="16"/>
              </w:rPr>
              <w:t>Brunéi</w:t>
            </w:r>
            <w:proofErr w:type="spellEnd"/>
            <w:r w:rsidR="00623665" w:rsidRPr="00623665">
              <w:rPr>
                <w:sz w:val="16"/>
              </w:rPr>
              <w:t xml:space="preserve"> Darussalam</w:t>
            </w:r>
            <w:r w:rsidR="00623665">
              <w:rPr>
                <w:sz w:val="16"/>
              </w:rPr>
              <w:t xml:space="preserve">, Cambodge, </w:t>
            </w:r>
            <w:r w:rsidRPr="00251542">
              <w:rPr>
                <w:sz w:val="16"/>
              </w:rPr>
              <w:t>Chi</w:t>
            </w:r>
            <w:r w:rsidR="00623665">
              <w:rPr>
                <w:sz w:val="16"/>
              </w:rPr>
              <w:t>li</w:t>
            </w:r>
            <w:r w:rsidR="00811C89">
              <w:rPr>
                <w:sz w:val="16"/>
              </w:rPr>
              <w:t>, Inde, Indonésie</w:t>
            </w:r>
            <w:r w:rsidR="00623665">
              <w:rPr>
                <w:sz w:val="16"/>
              </w:rPr>
              <w:t>,</w:t>
            </w:r>
            <w:r w:rsidR="00623665" w:rsidRPr="00251542">
              <w:rPr>
                <w:sz w:val="16"/>
              </w:rPr>
              <w:t xml:space="preserve"> </w:t>
            </w:r>
            <w:r w:rsidRPr="00251542">
              <w:rPr>
                <w:sz w:val="16"/>
              </w:rPr>
              <w:t xml:space="preserve">Malaisie, </w:t>
            </w:r>
            <w:r w:rsidR="00811C89">
              <w:rPr>
                <w:sz w:val="16"/>
              </w:rPr>
              <w:t xml:space="preserve">Maroc Mongolie, </w:t>
            </w:r>
            <w:r w:rsidRPr="00251542">
              <w:rPr>
                <w:sz w:val="16"/>
              </w:rPr>
              <w:t xml:space="preserve">Philippines, </w:t>
            </w:r>
            <w:r w:rsidR="00811C89" w:rsidRPr="00251542">
              <w:rPr>
                <w:sz w:val="16"/>
              </w:rPr>
              <w:t>République démocratique populaire lao</w:t>
            </w:r>
            <w:r w:rsidR="00811C89">
              <w:rPr>
                <w:sz w:val="16"/>
              </w:rPr>
              <w:t xml:space="preserve">, </w:t>
            </w:r>
            <w:r w:rsidR="00623665">
              <w:rPr>
                <w:sz w:val="16"/>
              </w:rPr>
              <w:t xml:space="preserve">Sri Lanka, Thaïlande </w:t>
            </w:r>
            <w:r w:rsidRPr="00251542">
              <w:rPr>
                <w:sz w:val="16"/>
              </w:rPr>
              <w:t xml:space="preserve">et </w:t>
            </w:r>
            <w:r w:rsidR="00623665">
              <w:rPr>
                <w:sz w:val="16"/>
              </w:rPr>
              <w:t>Tunisie</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i) Présenter aux participants les implications des récents progrès réalisés dans le domaine des technologies de l</w:t>
            </w:r>
            <w:r w:rsidR="00A20444" w:rsidRPr="00251542">
              <w:rPr>
                <w:sz w:val="16"/>
              </w:rPr>
              <w:t>’</w:t>
            </w:r>
            <w:r w:rsidRPr="00251542">
              <w:rPr>
                <w:sz w:val="16"/>
              </w:rPr>
              <w:t>information en rapport avec l</w:t>
            </w:r>
            <w:r w:rsidR="00A20444" w:rsidRPr="00251542">
              <w:rPr>
                <w:sz w:val="16"/>
              </w:rPr>
              <w:t>’</w:t>
            </w:r>
            <w:r w:rsidRPr="00251542">
              <w:rPr>
                <w:sz w:val="16"/>
              </w:rPr>
              <w:t>administration de la propriété industrielle;</w:t>
            </w:r>
            <w:r w:rsidR="004F3E42" w:rsidRPr="00251542">
              <w:rPr>
                <w:sz w:val="16"/>
              </w:rPr>
              <w:t xml:space="preserve"> </w:t>
            </w:r>
            <w:r w:rsidR="0010442A" w:rsidRPr="00251542">
              <w:rPr>
                <w:sz w:val="16"/>
              </w:rPr>
              <w:t xml:space="preserve"> </w:t>
            </w:r>
            <w:r w:rsidRPr="00251542">
              <w:rPr>
                <w:sz w:val="16"/>
              </w:rPr>
              <w:t>ii) leur inculquer des connaissances concrètes sur la mise en œuvre des technologies de l</w:t>
            </w:r>
            <w:r w:rsidR="00A20444" w:rsidRPr="00251542">
              <w:rPr>
                <w:sz w:val="16"/>
              </w:rPr>
              <w:t>’</w:t>
            </w:r>
            <w:r w:rsidRPr="00251542">
              <w:rPr>
                <w:sz w:val="16"/>
              </w:rPr>
              <w:t>information au cours de sessions interactives,</w:t>
            </w:r>
            <w:r w:rsidR="004F3E42" w:rsidRPr="00251542">
              <w:rPr>
                <w:sz w:val="16"/>
              </w:rPr>
              <w:t xml:space="preserve"> </w:t>
            </w:r>
            <w:r w:rsidRPr="00251542">
              <w:rPr>
                <w:sz w:val="16"/>
              </w:rPr>
              <w:t xml:space="preserve">et; </w:t>
            </w:r>
            <w:r w:rsidR="0010442A" w:rsidRPr="00251542">
              <w:rPr>
                <w:sz w:val="16"/>
              </w:rPr>
              <w:t xml:space="preserve"> </w:t>
            </w:r>
            <w:r w:rsidRPr="00251542">
              <w:rPr>
                <w:sz w:val="16"/>
              </w:rPr>
              <w:t>iii) leur permettre d</w:t>
            </w:r>
            <w:r w:rsidR="00A20444" w:rsidRPr="00251542">
              <w:rPr>
                <w:sz w:val="16"/>
              </w:rPr>
              <w:t>’</w:t>
            </w:r>
            <w:r w:rsidRPr="00251542">
              <w:rPr>
                <w:sz w:val="16"/>
              </w:rPr>
              <w:t>échanger leurs points de vue et leurs préoccupations sur des questions d</w:t>
            </w:r>
            <w:r w:rsidR="00A20444" w:rsidRPr="00251542">
              <w:rPr>
                <w:sz w:val="16"/>
              </w:rPr>
              <w:t>’</w:t>
            </w:r>
            <w:r w:rsidRPr="00251542">
              <w:rPr>
                <w:sz w:val="16"/>
              </w:rPr>
              <w:t>actualité et ainsi renforcer les compétences professionnelles des participants en matière de planification et de gestion des technologies de l</w:t>
            </w:r>
            <w:r w:rsidR="00A20444" w:rsidRPr="00251542">
              <w:rPr>
                <w:sz w:val="16"/>
              </w:rPr>
              <w:t>’</w:t>
            </w:r>
            <w:r w:rsidRPr="00251542">
              <w:rPr>
                <w:sz w:val="16"/>
              </w:rPr>
              <w:t>information pour l</w:t>
            </w:r>
            <w:r w:rsidR="00A20444" w:rsidRPr="00251542">
              <w:rPr>
                <w:sz w:val="16"/>
              </w:rPr>
              <w:t>’</w:t>
            </w:r>
            <w:r w:rsidRPr="00251542">
              <w:rPr>
                <w:sz w:val="16"/>
              </w:rPr>
              <w:t>administration de la propriété industrielle</w:t>
            </w:r>
          </w:p>
        </w:tc>
      </w:tr>
      <w:tr w:rsidR="004007D3" w:rsidRPr="00251542" w:rsidTr="00937285">
        <w:trPr>
          <w:cantSplit/>
        </w:trPr>
        <w:tc>
          <w:tcPr>
            <w:tcW w:w="1847" w:type="dxa"/>
          </w:tcPr>
          <w:p w:rsidR="004007D3" w:rsidRPr="00251542" w:rsidRDefault="004007D3" w:rsidP="00811C89">
            <w:pPr>
              <w:autoSpaceDE w:val="0"/>
              <w:autoSpaceDN w:val="0"/>
              <w:adjustRightInd w:val="0"/>
              <w:spacing w:before="40" w:after="40"/>
              <w:rPr>
                <w:rFonts w:cs="Arial"/>
                <w:sz w:val="16"/>
                <w:szCs w:val="16"/>
                <w:lang w:bidi="th-TH"/>
              </w:rPr>
            </w:pPr>
            <w:r w:rsidRPr="00251542">
              <w:rPr>
                <w:sz w:val="16"/>
              </w:rPr>
              <w:t>Programme de formation sur les pratiques d</w:t>
            </w:r>
            <w:r w:rsidR="00A20444" w:rsidRPr="00251542">
              <w:rPr>
                <w:sz w:val="16"/>
              </w:rPr>
              <w:t>’</w:t>
            </w:r>
            <w:r w:rsidRPr="00251542">
              <w:rPr>
                <w:sz w:val="16"/>
              </w:rPr>
              <w:t xml:space="preserve">examen du programme avancé sur la propriété industrielle </w:t>
            </w:r>
          </w:p>
        </w:tc>
        <w:tc>
          <w:tcPr>
            <w:tcW w:w="1572" w:type="dxa"/>
            <w:gridSpan w:val="4"/>
          </w:tcPr>
          <w:p w:rsidR="00D42474" w:rsidRDefault="00812285" w:rsidP="00937285">
            <w:pPr>
              <w:autoSpaceDE w:val="0"/>
              <w:autoSpaceDN w:val="0"/>
              <w:adjustRightInd w:val="0"/>
              <w:spacing w:before="40" w:after="40"/>
              <w:rPr>
                <w:sz w:val="16"/>
              </w:rPr>
            </w:pPr>
            <w:r>
              <w:rPr>
                <w:sz w:val="16"/>
              </w:rPr>
              <w:t>d</w:t>
            </w:r>
            <w:r w:rsidR="0081044B" w:rsidRPr="00251542">
              <w:rPr>
                <w:sz w:val="16"/>
              </w:rPr>
              <w:t>u 11 au 2</w:t>
            </w:r>
            <w:r w:rsidR="00A20444" w:rsidRPr="00251542">
              <w:rPr>
                <w:sz w:val="16"/>
              </w:rPr>
              <w:t>2</w:t>
            </w:r>
            <w:r>
              <w:rPr>
                <w:sz w:val="16"/>
              </w:rPr>
              <w:t xml:space="preserve"> </w:t>
            </w:r>
            <w:r w:rsidR="00A20444" w:rsidRPr="00251542">
              <w:rPr>
                <w:sz w:val="16"/>
              </w:rPr>
              <w:t>novembre</w:t>
            </w:r>
          </w:p>
          <w:p w:rsidR="004007D3" w:rsidRPr="00251542" w:rsidRDefault="004007D3" w:rsidP="00937285">
            <w:pPr>
              <w:autoSpaceDE w:val="0"/>
              <w:autoSpaceDN w:val="0"/>
              <w:adjustRightInd w:val="0"/>
              <w:spacing w:before="40" w:after="40"/>
              <w:rPr>
                <w:rFonts w:cs="Arial"/>
                <w:sz w:val="16"/>
                <w:szCs w:val="16"/>
                <w:lang w:bidi="th-TH"/>
              </w:rPr>
            </w:pPr>
            <w:r w:rsidRPr="00251542">
              <w:rPr>
                <w:sz w:val="16"/>
              </w:rPr>
              <w:t>2013</w:t>
            </w:r>
          </w:p>
        </w:tc>
        <w:tc>
          <w:tcPr>
            <w:tcW w:w="1680" w:type="dxa"/>
          </w:tcPr>
          <w:p w:rsidR="004007D3" w:rsidRPr="00251542" w:rsidRDefault="004007D3" w:rsidP="00811C89">
            <w:pPr>
              <w:autoSpaceDE w:val="0"/>
              <w:autoSpaceDN w:val="0"/>
              <w:adjustRightInd w:val="0"/>
              <w:spacing w:before="40" w:after="40"/>
              <w:rPr>
                <w:rFonts w:cs="Arial"/>
                <w:sz w:val="16"/>
                <w:szCs w:val="16"/>
                <w:lang w:bidi="th-TH"/>
              </w:rPr>
            </w:pPr>
            <w:r w:rsidRPr="00251542">
              <w:rPr>
                <w:sz w:val="16"/>
              </w:rPr>
              <w:t>Chine, Ind</w:t>
            </w:r>
            <w:r w:rsidR="00811C89">
              <w:rPr>
                <w:sz w:val="16"/>
              </w:rPr>
              <w:t>e, Ind</w:t>
            </w:r>
            <w:r w:rsidRPr="00251542">
              <w:rPr>
                <w:sz w:val="16"/>
              </w:rPr>
              <w:t>onésie, Japon/</w:t>
            </w:r>
            <w:r w:rsidR="00811C89">
              <w:rPr>
                <w:sz w:val="16"/>
              </w:rPr>
              <w:t>Brésil</w:t>
            </w:r>
            <w:r w:rsidRPr="00251542">
              <w:rPr>
                <w:sz w:val="16"/>
              </w:rPr>
              <w:t>, Ma</w:t>
            </w:r>
            <w:r w:rsidR="00811C89">
              <w:rPr>
                <w:sz w:val="16"/>
              </w:rPr>
              <w:t>laisie</w:t>
            </w:r>
            <w:r w:rsidRPr="00251542">
              <w:rPr>
                <w:sz w:val="16"/>
              </w:rPr>
              <w:t xml:space="preserve">, </w:t>
            </w:r>
            <w:r w:rsidR="00811C89">
              <w:rPr>
                <w:sz w:val="16"/>
              </w:rPr>
              <w:t xml:space="preserve">Pakistan, </w:t>
            </w:r>
            <w:r w:rsidRPr="00251542">
              <w:rPr>
                <w:sz w:val="16"/>
              </w:rPr>
              <w:t xml:space="preserve">Philippines, </w:t>
            </w:r>
            <w:proofErr w:type="gramStart"/>
            <w:r w:rsidRPr="00251542">
              <w:rPr>
                <w:sz w:val="16"/>
              </w:rPr>
              <w:t xml:space="preserve">Thaïlande </w:t>
            </w:r>
            <w:r w:rsidR="00811C89">
              <w:rPr>
                <w:sz w:val="16"/>
              </w:rPr>
              <w:t>,</w:t>
            </w:r>
            <w:proofErr w:type="gramEnd"/>
            <w:r w:rsidR="00811C89">
              <w:rPr>
                <w:sz w:val="16"/>
              </w:rPr>
              <w:t xml:space="preserve"> Turquie </w:t>
            </w:r>
            <w:r w:rsidRPr="00251542">
              <w:rPr>
                <w:sz w:val="16"/>
              </w:rPr>
              <w:t>et Viet Nam</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Inculquer les connaissances de base sur les lois et les procédures d</w:t>
            </w:r>
            <w:r w:rsidR="00A20444" w:rsidRPr="00251542">
              <w:rPr>
                <w:sz w:val="16"/>
              </w:rPr>
              <w:t>’</w:t>
            </w:r>
            <w:r w:rsidRPr="00251542">
              <w:rPr>
                <w:sz w:val="16"/>
              </w:rPr>
              <w:t>examen quant au fond de l</w:t>
            </w:r>
            <w:r w:rsidR="00A20444" w:rsidRPr="00251542">
              <w:rPr>
                <w:sz w:val="16"/>
              </w:rPr>
              <w:t>’</w:t>
            </w:r>
            <w:r w:rsidRPr="00251542">
              <w:rPr>
                <w:sz w:val="16"/>
              </w:rPr>
              <w:t>examen de la propriété industrielle</w:t>
            </w:r>
          </w:p>
        </w:tc>
      </w:tr>
      <w:tr w:rsidR="004007D3" w:rsidRPr="00251542" w:rsidTr="00937285">
        <w:trPr>
          <w:cantSplit/>
          <w:trHeight w:val="1655"/>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Programme de formation sur le respect des droits de la propriété intellectuelle</w:t>
            </w:r>
          </w:p>
        </w:tc>
        <w:tc>
          <w:tcPr>
            <w:tcW w:w="1572" w:type="dxa"/>
            <w:gridSpan w:val="4"/>
          </w:tcPr>
          <w:p w:rsidR="00D42474" w:rsidRDefault="00812285" w:rsidP="00937285">
            <w:pPr>
              <w:autoSpaceDE w:val="0"/>
              <w:autoSpaceDN w:val="0"/>
              <w:adjustRightInd w:val="0"/>
              <w:spacing w:before="40" w:after="40"/>
              <w:rPr>
                <w:sz w:val="16"/>
              </w:rPr>
            </w:pPr>
            <w:r>
              <w:rPr>
                <w:sz w:val="16"/>
              </w:rPr>
              <w:t>d</w:t>
            </w:r>
            <w:r w:rsidR="0081044B" w:rsidRPr="00251542">
              <w:rPr>
                <w:sz w:val="16"/>
              </w:rPr>
              <w:t>u 2 au 1</w:t>
            </w:r>
            <w:r w:rsidR="00A20444" w:rsidRPr="00251542">
              <w:rPr>
                <w:sz w:val="16"/>
              </w:rPr>
              <w:t>3</w:t>
            </w:r>
            <w:r>
              <w:rPr>
                <w:sz w:val="16"/>
              </w:rPr>
              <w:t xml:space="preserve"> </w:t>
            </w:r>
            <w:r w:rsidR="00A20444" w:rsidRPr="00251542">
              <w:rPr>
                <w:sz w:val="16"/>
              </w:rPr>
              <w:t>décembre</w:t>
            </w:r>
          </w:p>
          <w:p w:rsidR="004007D3" w:rsidRPr="00251542" w:rsidRDefault="004007D3" w:rsidP="00937285">
            <w:pPr>
              <w:autoSpaceDE w:val="0"/>
              <w:autoSpaceDN w:val="0"/>
              <w:adjustRightInd w:val="0"/>
              <w:spacing w:before="40" w:after="40"/>
              <w:rPr>
                <w:rFonts w:cs="Arial"/>
                <w:sz w:val="16"/>
                <w:szCs w:val="16"/>
                <w:lang w:bidi="th-TH"/>
              </w:rPr>
            </w:pPr>
            <w:r w:rsidRPr="00251542">
              <w:rPr>
                <w:sz w:val="16"/>
              </w:rPr>
              <w:t>2013</w:t>
            </w:r>
          </w:p>
        </w:tc>
        <w:tc>
          <w:tcPr>
            <w:tcW w:w="1680" w:type="dxa"/>
          </w:tcPr>
          <w:p w:rsidR="004007D3" w:rsidRPr="00251542" w:rsidRDefault="004007D3" w:rsidP="00811C89">
            <w:pPr>
              <w:autoSpaceDE w:val="0"/>
              <w:autoSpaceDN w:val="0"/>
              <w:adjustRightInd w:val="0"/>
              <w:spacing w:before="40" w:after="40"/>
              <w:rPr>
                <w:rFonts w:cs="Arial"/>
                <w:sz w:val="16"/>
                <w:szCs w:val="16"/>
                <w:lang w:bidi="th-TH"/>
              </w:rPr>
            </w:pPr>
            <w:r w:rsidRPr="00251542">
              <w:rPr>
                <w:sz w:val="16"/>
              </w:rPr>
              <w:t>Japon/</w:t>
            </w:r>
            <w:r w:rsidR="00811C89">
              <w:rPr>
                <w:sz w:val="16"/>
              </w:rPr>
              <w:t>Algérie</w:t>
            </w:r>
            <w:r w:rsidRPr="00251542">
              <w:rPr>
                <w:sz w:val="16"/>
              </w:rPr>
              <w:t>, B</w:t>
            </w:r>
            <w:r w:rsidR="00811C89">
              <w:rPr>
                <w:sz w:val="16"/>
              </w:rPr>
              <w:t>houtan</w:t>
            </w:r>
            <w:r w:rsidRPr="00251542">
              <w:rPr>
                <w:sz w:val="16"/>
              </w:rPr>
              <w:t xml:space="preserve">, </w:t>
            </w:r>
            <w:r w:rsidR="00811C89">
              <w:rPr>
                <w:sz w:val="16"/>
              </w:rPr>
              <w:t xml:space="preserve">Cambodge, Chine, </w:t>
            </w:r>
            <w:r w:rsidRPr="00251542">
              <w:rPr>
                <w:sz w:val="16"/>
              </w:rPr>
              <w:t>Indonésie,</w:t>
            </w:r>
            <w:r w:rsidR="00811C89">
              <w:rPr>
                <w:sz w:val="16"/>
              </w:rPr>
              <w:t xml:space="preserve"> </w:t>
            </w:r>
            <w:r w:rsidRPr="00251542">
              <w:rPr>
                <w:sz w:val="16"/>
              </w:rPr>
              <w:t xml:space="preserve">Malaisie, </w:t>
            </w:r>
            <w:r w:rsidR="00811C89">
              <w:rPr>
                <w:sz w:val="16"/>
              </w:rPr>
              <w:t xml:space="preserve">Maroc, Myanmar, </w:t>
            </w:r>
            <w:r w:rsidRPr="00251542">
              <w:rPr>
                <w:sz w:val="16"/>
              </w:rPr>
              <w:t>Pakistan, Philippines, Républi</w:t>
            </w:r>
            <w:r w:rsidR="00811C89">
              <w:rPr>
                <w:sz w:val="16"/>
              </w:rPr>
              <w:t>que démocratique populaire lao, Thaïlande et Viet Nam</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i) Examiner les tendances et les pratiques actuelles dans le domaine de l</w:t>
            </w:r>
            <w:r w:rsidR="00A20444" w:rsidRPr="00251542">
              <w:rPr>
                <w:sz w:val="16"/>
              </w:rPr>
              <w:t>’</w:t>
            </w:r>
            <w:r w:rsidRPr="00251542">
              <w:rPr>
                <w:sz w:val="16"/>
              </w:rPr>
              <w:t>application des droits de propriété intellectuelle;</w:t>
            </w:r>
            <w:r w:rsidR="004F3E42" w:rsidRPr="00251542">
              <w:rPr>
                <w:sz w:val="16"/>
              </w:rPr>
              <w:t xml:space="preserve"> </w:t>
            </w:r>
            <w:r w:rsidR="0010442A" w:rsidRPr="00251542">
              <w:rPr>
                <w:sz w:val="16"/>
              </w:rPr>
              <w:t xml:space="preserve"> </w:t>
            </w:r>
            <w:r w:rsidRPr="00251542">
              <w:rPr>
                <w:sz w:val="16"/>
              </w:rPr>
              <w:t>ii)</w:t>
            </w:r>
            <w:r w:rsidR="0010442A" w:rsidRPr="00251542">
              <w:rPr>
                <w:sz w:val="16"/>
              </w:rPr>
              <w:t> </w:t>
            </w:r>
            <w:r w:rsidRPr="00251542">
              <w:rPr>
                <w:sz w:val="16"/>
              </w:rPr>
              <w:t>examiner la justification, les éléments, les enquêtes, les poursuites et les responsabilités des crimes et des atteintes aux droits de propriété intellectuelle;</w:t>
            </w:r>
            <w:r w:rsidR="004F3E42" w:rsidRPr="00251542">
              <w:rPr>
                <w:sz w:val="16"/>
              </w:rPr>
              <w:t xml:space="preserve"> </w:t>
            </w:r>
            <w:r w:rsidR="0010442A" w:rsidRPr="00251542">
              <w:rPr>
                <w:sz w:val="16"/>
              </w:rPr>
              <w:t xml:space="preserve"> </w:t>
            </w:r>
            <w:r w:rsidRPr="00251542">
              <w:rPr>
                <w:sz w:val="16"/>
              </w:rPr>
              <w:t>et iii)</w:t>
            </w:r>
            <w:r w:rsidR="0010442A" w:rsidRPr="00251542">
              <w:rPr>
                <w:sz w:val="16"/>
              </w:rPr>
              <w:t> </w:t>
            </w:r>
            <w:r w:rsidRPr="00251542">
              <w:rPr>
                <w:sz w:val="16"/>
              </w:rPr>
              <w:t>discuter de diverses questions d</w:t>
            </w:r>
            <w:r w:rsidR="00A20444" w:rsidRPr="00251542">
              <w:rPr>
                <w:sz w:val="16"/>
              </w:rPr>
              <w:t>’</w:t>
            </w:r>
            <w:r w:rsidRPr="00251542">
              <w:rPr>
                <w:sz w:val="16"/>
              </w:rPr>
              <w:t>actualité sur l</w:t>
            </w:r>
            <w:r w:rsidR="00A20444" w:rsidRPr="00251542">
              <w:rPr>
                <w:sz w:val="16"/>
              </w:rPr>
              <w:t>’</w:t>
            </w:r>
            <w:r w:rsidRPr="00251542">
              <w:rPr>
                <w:sz w:val="16"/>
              </w:rPr>
              <w:t>application des droits de propriété intellectuelle.</w:t>
            </w:r>
          </w:p>
        </w:tc>
      </w:tr>
      <w:tr w:rsidR="004007D3" w:rsidRPr="00251542" w:rsidTr="00937285">
        <w:trPr>
          <w:cantSplit/>
          <w:trHeight w:val="1161"/>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Recherche du bureau japonais de l</w:t>
            </w:r>
            <w:r w:rsidR="00A20444" w:rsidRPr="00251542">
              <w:rPr>
                <w:sz w:val="16"/>
              </w:rPr>
              <w:t>’</w:t>
            </w:r>
            <w:r w:rsidRPr="00251542">
              <w:rPr>
                <w:sz w:val="16"/>
              </w:rPr>
              <w:t xml:space="preserve">OMPI sur les réussites reliant le commerce et la propriété intellectuelle </w:t>
            </w:r>
          </w:p>
        </w:tc>
        <w:tc>
          <w:tcPr>
            <w:tcW w:w="1572" w:type="dxa"/>
            <w:gridSpan w:val="4"/>
          </w:tcPr>
          <w:p w:rsidR="004007D3" w:rsidRPr="00251542" w:rsidRDefault="00812285" w:rsidP="00812285">
            <w:pPr>
              <w:autoSpaceDE w:val="0"/>
              <w:autoSpaceDN w:val="0"/>
              <w:adjustRightInd w:val="0"/>
              <w:spacing w:before="40" w:after="40"/>
              <w:rPr>
                <w:rFonts w:cs="Arial"/>
                <w:sz w:val="16"/>
                <w:szCs w:val="16"/>
                <w:lang w:bidi="th-TH"/>
              </w:rPr>
            </w:pPr>
            <w:r>
              <w:rPr>
                <w:sz w:val="16"/>
              </w:rPr>
              <w:t>j</w:t>
            </w:r>
            <w:r w:rsidR="004007D3" w:rsidRPr="00251542">
              <w:rPr>
                <w:sz w:val="16"/>
              </w:rPr>
              <w:t>anvier</w:t>
            </w:r>
            <w:r w:rsidR="0081044B" w:rsidRPr="00251542">
              <w:rPr>
                <w:sz w:val="16"/>
              </w:rPr>
              <w:t xml:space="preserve"> à </w:t>
            </w:r>
            <w:r w:rsidR="00A20444" w:rsidRPr="00251542">
              <w:rPr>
                <w:sz w:val="16"/>
              </w:rPr>
              <w:t>décembre</w:t>
            </w:r>
            <w:r>
              <w:rPr>
                <w:sz w:val="16"/>
              </w:rPr>
              <w:t xml:space="preserve"> </w:t>
            </w:r>
            <w:r w:rsidR="00A20444" w:rsidRPr="00251542">
              <w:rPr>
                <w:sz w:val="16"/>
              </w:rPr>
              <w:t>20</w:t>
            </w:r>
            <w:r w:rsidR="004007D3" w:rsidRPr="00251542">
              <w:rPr>
                <w:sz w:val="16"/>
              </w:rPr>
              <w:t>13</w:t>
            </w:r>
          </w:p>
        </w:tc>
        <w:tc>
          <w:tcPr>
            <w:tcW w:w="1680" w:type="dxa"/>
          </w:tcPr>
          <w:p w:rsidR="004007D3" w:rsidRPr="00251542" w:rsidRDefault="004007D3" w:rsidP="001A5BF9">
            <w:pPr>
              <w:autoSpaceDE w:val="0"/>
              <w:autoSpaceDN w:val="0"/>
              <w:adjustRightInd w:val="0"/>
              <w:spacing w:before="40" w:after="40"/>
              <w:rPr>
                <w:rFonts w:cs="Arial"/>
                <w:spacing w:val="-2"/>
                <w:sz w:val="16"/>
                <w:szCs w:val="16"/>
                <w:lang w:bidi="th-TH"/>
              </w:rPr>
            </w:pPr>
            <w:r w:rsidRPr="00251542">
              <w:rPr>
                <w:spacing w:val="-2"/>
                <w:sz w:val="16"/>
              </w:rPr>
              <w:t>Tous les États membres de l</w:t>
            </w:r>
            <w:r w:rsidR="00A20444" w:rsidRPr="00251542">
              <w:rPr>
                <w:spacing w:val="-2"/>
                <w:sz w:val="16"/>
              </w:rPr>
              <w:t>’</w:t>
            </w:r>
            <w:r w:rsidRPr="00251542">
              <w:rPr>
                <w:spacing w:val="-2"/>
                <w:sz w:val="16"/>
              </w:rPr>
              <w:t>OMPI</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Entreprendre des recherches et la collecte des exemples de réussites reliant le commerce et la propriété intellectuelle, par l</w:t>
            </w:r>
            <w:r w:rsidR="00A20444" w:rsidRPr="00251542">
              <w:rPr>
                <w:sz w:val="16"/>
              </w:rPr>
              <w:t>’</w:t>
            </w:r>
            <w:r w:rsidRPr="00251542">
              <w:rPr>
                <w:sz w:val="16"/>
              </w:rPr>
              <w:t>office japonais de l</w:t>
            </w:r>
            <w:r w:rsidR="00A20444" w:rsidRPr="00251542">
              <w:rPr>
                <w:sz w:val="16"/>
              </w:rPr>
              <w:t>’</w:t>
            </w:r>
            <w:r w:rsidRPr="00251542">
              <w:rPr>
                <w:sz w:val="16"/>
              </w:rPr>
              <w:t xml:space="preserve">OMPI, avec un accent particulier placé sur les exemples associés aux pays en développement. </w:t>
            </w:r>
            <w:r w:rsidR="0010442A" w:rsidRPr="00251542">
              <w:rPr>
                <w:sz w:val="16"/>
              </w:rPr>
              <w:t xml:space="preserve"> </w:t>
            </w:r>
            <w:r w:rsidRPr="00251542">
              <w:rPr>
                <w:sz w:val="16"/>
              </w:rPr>
              <w:t>Cela enrichirait également la base de données IP </w:t>
            </w:r>
            <w:proofErr w:type="spellStart"/>
            <w:r w:rsidRPr="00251542">
              <w:rPr>
                <w:sz w:val="16"/>
              </w:rPr>
              <w:t>Advantage</w:t>
            </w:r>
            <w:proofErr w:type="spellEnd"/>
          </w:p>
        </w:tc>
      </w:tr>
      <w:tr w:rsidR="004007D3" w:rsidRPr="00251542" w:rsidTr="00937285">
        <w:trPr>
          <w:cantSplit/>
          <w:trHeight w:val="806"/>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Traduction de la publication de l</w:t>
            </w:r>
            <w:r w:rsidR="00A20444" w:rsidRPr="00251542">
              <w:rPr>
                <w:sz w:val="16"/>
              </w:rPr>
              <w:t>’</w:t>
            </w:r>
            <w:r w:rsidRPr="00251542">
              <w:rPr>
                <w:sz w:val="16"/>
              </w:rPr>
              <w:t>OMPI</w:t>
            </w:r>
          </w:p>
        </w:tc>
        <w:tc>
          <w:tcPr>
            <w:tcW w:w="1572" w:type="dxa"/>
            <w:gridSpan w:val="4"/>
          </w:tcPr>
          <w:p w:rsidR="00D42474" w:rsidRDefault="00812285" w:rsidP="001A5BF9">
            <w:pPr>
              <w:autoSpaceDE w:val="0"/>
              <w:autoSpaceDN w:val="0"/>
              <w:adjustRightInd w:val="0"/>
              <w:spacing w:before="40" w:after="40"/>
              <w:rPr>
                <w:rFonts w:cs="Arial"/>
                <w:sz w:val="16"/>
                <w:szCs w:val="16"/>
                <w:lang w:bidi="th-TH"/>
              </w:rPr>
            </w:pPr>
            <w:r>
              <w:rPr>
                <w:sz w:val="16"/>
              </w:rPr>
              <w:t>j</w:t>
            </w:r>
            <w:r w:rsidR="004007D3" w:rsidRPr="00251542">
              <w:rPr>
                <w:sz w:val="16"/>
              </w:rPr>
              <w:t>anvier à décembre 2013</w:t>
            </w:r>
          </w:p>
          <w:p w:rsidR="00D42474" w:rsidRDefault="00D42474" w:rsidP="00811C89">
            <w:pPr>
              <w:autoSpaceDE w:val="0"/>
              <w:autoSpaceDN w:val="0"/>
              <w:adjustRightInd w:val="0"/>
              <w:spacing w:before="40" w:after="40"/>
              <w:rPr>
                <w:rFonts w:cs="Arial"/>
                <w:sz w:val="16"/>
                <w:szCs w:val="16"/>
                <w:lang w:bidi="th-TH"/>
              </w:rPr>
            </w:pPr>
          </w:p>
          <w:p w:rsidR="004007D3" w:rsidRPr="00251542" w:rsidRDefault="004007D3" w:rsidP="00937285">
            <w:pPr>
              <w:autoSpaceDE w:val="0"/>
              <w:autoSpaceDN w:val="0"/>
              <w:adjustRightInd w:val="0"/>
              <w:spacing w:before="40" w:after="40"/>
              <w:rPr>
                <w:rFonts w:cs="Arial"/>
                <w:sz w:val="16"/>
                <w:szCs w:val="16"/>
                <w:lang w:bidi="th-TH"/>
              </w:rPr>
            </w:pP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Viet Nam</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Traduction de longue durée en vietnamien de la publication de l</w:t>
            </w:r>
            <w:r w:rsidR="00A20444" w:rsidRPr="00251542">
              <w:rPr>
                <w:sz w:val="16"/>
              </w:rPr>
              <w:t>’</w:t>
            </w:r>
            <w:r w:rsidRPr="00251542">
              <w:rPr>
                <w:sz w:val="16"/>
              </w:rPr>
              <w:t>OMPI : La propriété intellectuelle au service des entreprises (publication de l</w:t>
            </w:r>
            <w:r w:rsidR="00A20444" w:rsidRPr="00251542">
              <w:rPr>
                <w:sz w:val="16"/>
              </w:rPr>
              <w:t>’</w:t>
            </w:r>
            <w:r w:rsidRPr="00251542">
              <w:rPr>
                <w:sz w:val="16"/>
              </w:rPr>
              <w:t>OMPI n° 956)</w:t>
            </w:r>
          </w:p>
        </w:tc>
      </w:tr>
      <w:tr w:rsidR="004007D3" w:rsidRPr="00251542" w:rsidTr="00937285">
        <w:trPr>
          <w:cantSplit/>
          <w:trHeight w:val="816"/>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Traduction de la publication de l</w:t>
            </w:r>
            <w:r w:rsidR="00A20444" w:rsidRPr="00251542">
              <w:rPr>
                <w:sz w:val="16"/>
              </w:rPr>
              <w:t>’</w:t>
            </w:r>
            <w:r w:rsidRPr="00251542">
              <w:rPr>
                <w:sz w:val="16"/>
              </w:rPr>
              <w:t>OMPI</w:t>
            </w:r>
          </w:p>
        </w:tc>
        <w:tc>
          <w:tcPr>
            <w:tcW w:w="1572" w:type="dxa"/>
            <w:gridSpan w:val="4"/>
          </w:tcPr>
          <w:p w:rsidR="00D42474" w:rsidRDefault="00812285" w:rsidP="001A5BF9">
            <w:pPr>
              <w:autoSpaceDE w:val="0"/>
              <w:autoSpaceDN w:val="0"/>
              <w:adjustRightInd w:val="0"/>
              <w:spacing w:before="40" w:after="40"/>
              <w:rPr>
                <w:rFonts w:cs="Arial"/>
                <w:sz w:val="16"/>
                <w:szCs w:val="16"/>
                <w:lang w:bidi="th-TH"/>
              </w:rPr>
            </w:pPr>
            <w:r>
              <w:rPr>
                <w:sz w:val="16"/>
              </w:rPr>
              <w:t>j</w:t>
            </w:r>
            <w:r w:rsidR="004007D3" w:rsidRPr="00251542">
              <w:rPr>
                <w:sz w:val="16"/>
              </w:rPr>
              <w:t>anvier à décembre 2013</w:t>
            </w:r>
          </w:p>
          <w:p w:rsidR="004007D3" w:rsidRPr="00251542" w:rsidRDefault="004007D3" w:rsidP="00937285">
            <w:pPr>
              <w:autoSpaceDE w:val="0"/>
              <w:autoSpaceDN w:val="0"/>
              <w:adjustRightInd w:val="0"/>
              <w:spacing w:before="40" w:after="40"/>
              <w:rPr>
                <w:rFonts w:cs="Arial"/>
                <w:sz w:val="16"/>
                <w:szCs w:val="16"/>
                <w:lang w:bidi="th-TH"/>
              </w:rPr>
            </w:pP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Cambodge</w:t>
            </w:r>
          </w:p>
        </w:tc>
        <w:tc>
          <w:tcPr>
            <w:tcW w:w="3998" w:type="dxa"/>
            <w:gridSpan w:val="2"/>
          </w:tcPr>
          <w:p w:rsidR="004007D3" w:rsidRPr="00251542" w:rsidRDefault="004007D3" w:rsidP="00811C89">
            <w:pPr>
              <w:autoSpaceDE w:val="0"/>
              <w:autoSpaceDN w:val="0"/>
              <w:adjustRightInd w:val="0"/>
              <w:spacing w:before="40" w:after="40"/>
              <w:rPr>
                <w:rFonts w:cs="Arial"/>
                <w:sz w:val="16"/>
                <w:szCs w:val="16"/>
                <w:lang w:bidi="th-TH"/>
              </w:rPr>
            </w:pPr>
            <w:r w:rsidRPr="00251542">
              <w:rPr>
                <w:sz w:val="16"/>
              </w:rPr>
              <w:t xml:space="preserve">Traduction de longue durée en </w:t>
            </w:r>
            <w:r w:rsidR="00811C89">
              <w:rPr>
                <w:sz w:val="16"/>
              </w:rPr>
              <w:t>khmer</w:t>
            </w:r>
            <w:r w:rsidRPr="00251542">
              <w:rPr>
                <w:sz w:val="16"/>
              </w:rPr>
              <w:t xml:space="preserve"> de la publication de l</w:t>
            </w:r>
            <w:r w:rsidR="00A20444" w:rsidRPr="00251542">
              <w:rPr>
                <w:sz w:val="16"/>
              </w:rPr>
              <w:t>’</w:t>
            </w:r>
            <w:r w:rsidRPr="00251542">
              <w:rPr>
                <w:sz w:val="16"/>
              </w:rPr>
              <w:t>OMPI : Guide pour l</w:t>
            </w:r>
            <w:r w:rsidR="00A20444" w:rsidRPr="00251542">
              <w:rPr>
                <w:sz w:val="16"/>
              </w:rPr>
              <w:t>’</w:t>
            </w:r>
            <w:r w:rsidRPr="00251542">
              <w:rPr>
                <w:sz w:val="16"/>
              </w:rPr>
              <w:t>enregistrement international des marques (publication de l</w:t>
            </w:r>
            <w:r w:rsidR="00A20444" w:rsidRPr="00251542">
              <w:rPr>
                <w:sz w:val="16"/>
              </w:rPr>
              <w:t>’</w:t>
            </w:r>
            <w:r w:rsidRPr="00251542">
              <w:rPr>
                <w:sz w:val="16"/>
              </w:rPr>
              <w:t>OMPI n° 455)</w:t>
            </w:r>
            <w:r w:rsidR="00811C89">
              <w:rPr>
                <w:sz w:val="16"/>
              </w:rPr>
              <w:t xml:space="preserve"> : </w:t>
            </w:r>
            <w:r w:rsidR="00811C89" w:rsidRPr="00811C89">
              <w:rPr>
                <w:color w:val="000000"/>
                <w:sz w:val="16"/>
              </w:rPr>
              <w:t>Arrangement de Madrid concernant l’enregistrement international des marques (publication n° 204 de l’OMPI)</w:t>
            </w:r>
          </w:p>
        </w:tc>
      </w:tr>
      <w:tr w:rsidR="004007D3" w:rsidRPr="00251542" w:rsidTr="00937285">
        <w:trPr>
          <w:cantSplit/>
          <w:trHeight w:val="881"/>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Traduction de la publication de l</w:t>
            </w:r>
            <w:r w:rsidR="00A20444" w:rsidRPr="00251542">
              <w:rPr>
                <w:sz w:val="16"/>
              </w:rPr>
              <w:t>’</w:t>
            </w:r>
            <w:r w:rsidRPr="00251542">
              <w:rPr>
                <w:sz w:val="16"/>
              </w:rPr>
              <w:t>OMPI</w:t>
            </w:r>
          </w:p>
        </w:tc>
        <w:tc>
          <w:tcPr>
            <w:tcW w:w="1572" w:type="dxa"/>
            <w:gridSpan w:val="4"/>
          </w:tcPr>
          <w:p w:rsidR="00D42474" w:rsidRDefault="00812285" w:rsidP="001A5BF9">
            <w:pPr>
              <w:autoSpaceDE w:val="0"/>
              <w:autoSpaceDN w:val="0"/>
              <w:adjustRightInd w:val="0"/>
              <w:spacing w:before="40" w:after="40"/>
              <w:rPr>
                <w:sz w:val="16"/>
              </w:rPr>
            </w:pPr>
            <w:r>
              <w:rPr>
                <w:sz w:val="16"/>
              </w:rPr>
              <w:t>j</w:t>
            </w:r>
            <w:r w:rsidR="004007D3" w:rsidRPr="00251542">
              <w:rPr>
                <w:sz w:val="16"/>
              </w:rPr>
              <w:t>anvier à décembre 2013</w:t>
            </w:r>
          </w:p>
          <w:p w:rsidR="004007D3" w:rsidRPr="00251542" w:rsidRDefault="004007D3" w:rsidP="00811C89">
            <w:pPr>
              <w:autoSpaceDE w:val="0"/>
              <w:autoSpaceDN w:val="0"/>
              <w:adjustRightInd w:val="0"/>
              <w:spacing w:before="40" w:after="40"/>
              <w:rPr>
                <w:rFonts w:cs="Arial"/>
                <w:sz w:val="16"/>
                <w:szCs w:val="16"/>
                <w:lang w:bidi="th-TH"/>
              </w:rPr>
            </w:pP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Tous les États membres de l</w:t>
            </w:r>
            <w:r w:rsidR="00A20444" w:rsidRPr="00251542">
              <w:rPr>
                <w:sz w:val="16"/>
              </w:rPr>
              <w:t>’</w:t>
            </w:r>
            <w:r w:rsidR="00F93985">
              <w:rPr>
                <w:sz w:val="16"/>
              </w:rPr>
              <w:t>ASEAN</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Traduction et impression de “</w:t>
            </w:r>
            <w:proofErr w:type="spellStart"/>
            <w:r w:rsidRPr="00251542">
              <w:rPr>
                <w:sz w:val="16"/>
              </w:rPr>
              <w:t>HONMONO</w:t>
            </w:r>
            <w:proofErr w:type="spellEnd"/>
            <w:r w:rsidRPr="00251542">
              <w:rPr>
                <w:sz w:val="16"/>
              </w:rPr>
              <w:t>” dans les langues des pays de l</w:t>
            </w:r>
            <w:r w:rsidR="00A20444" w:rsidRPr="00251542">
              <w:rPr>
                <w:sz w:val="16"/>
              </w:rPr>
              <w:t>’</w:t>
            </w:r>
            <w:r w:rsidR="00F93985">
              <w:rPr>
                <w:sz w:val="16"/>
              </w:rPr>
              <w:t>ASEAN</w:t>
            </w:r>
            <w:r w:rsidRPr="00251542">
              <w:rPr>
                <w:sz w:val="16"/>
              </w:rPr>
              <w:t xml:space="preserve"> en cours (publication de l</w:t>
            </w:r>
            <w:r w:rsidR="00A20444" w:rsidRPr="00251542">
              <w:rPr>
                <w:sz w:val="16"/>
              </w:rPr>
              <w:t>’</w:t>
            </w:r>
            <w:r w:rsidRPr="00251542">
              <w:rPr>
                <w:sz w:val="16"/>
              </w:rPr>
              <w:t>OMPI n° 1028)</w:t>
            </w:r>
          </w:p>
        </w:tc>
      </w:tr>
      <w:tr w:rsidR="004007D3" w:rsidRPr="00251542" w:rsidTr="00937285">
        <w:trPr>
          <w:cantSplit/>
          <w:trHeight w:val="634"/>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Traduction de lois</w:t>
            </w:r>
          </w:p>
        </w:tc>
        <w:tc>
          <w:tcPr>
            <w:tcW w:w="1572" w:type="dxa"/>
            <w:gridSpan w:val="4"/>
          </w:tcPr>
          <w:p w:rsidR="004007D3" w:rsidRPr="00251542" w:rsidRDefault="00812285" w:rsidP="00811C89">
            <w:pPr>
              <w:autoSpaceDE w:val="0"/>
              <w:autoSpaceDN w:val="0"/>
              <w:adjustRightInd w:val="0"/>
              <w:spacing w:before="40" w:after="40"/>
              <w:rPr>
                <w:rFonts w:cs="Arial"/>
                <w:sz w:val="16"/>
                <w:szCs w:val="16"/>
                <w:lang w:bidi="th-TH"/>
              </w:rPr>
            </w:pPr>
            <w:r>
              <w:rPr>
                <w:sz w:val="16"/>
              </w:rPr>
              <w:t>juillet </w:t>
            </w:r>
            <w:r w:rsidR="00811C89">
              <w:rPr>
                <w:sz w:val="16"/>
              </w:rPr>
              <w:t>à décembre 2013</w:t>
            </w: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Maldives</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Le projet national de loi sur les marques et les indications géographiques est en cours de traduction dans la langue locale</w:t>
            </w:r>
          </w:p>
        </w:tc>
      </w:tr>
      <w:tr w:rsidR="004007D3" w:rsidRPr="00251542" w:rsidTr="00937285">
        <w:trPr>
          <w:cantSplit/>
          <w:trHeight w:val="387"/>
        </w:trPr>
        <w:tc>
          <w:tcPr>
            <w:tcW w:w="1847"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Fourniture d</w:t>
            </w:r>
            <w:r w:rsidR="00A20444" w:rsidRPr="00251542">
              <w:rPr>
                <w:sz w:val="16"/>
              </w:rPr>
              <w:t>’</w:t>
            </w:r>
            <w:r w:rsidRPr="00251542">
              <w:rPr>
                <w:sz w:val="16"/>
              </w:rPr>
              <w:t xml:space="preserve">une documentation de référence sur la propriété intellectuelle </w:t>
            </w:r>
          </w:p>
        </w:tc>
        <w:tc>
          <w:tcPr>
            <w:tcW w:w="1572" w:type="dxa"/>
            <w:gridSpan w:val="4"/>
          </w:tcPr>
          <w:p w:rsidR="00D42474" w:rsidRDefault="00937285" w:rsidP="00937285">
            <w:pPr>
              <w:autoSpaceDE w:val="0"/>
              <w:autoSpaceDN w:val="0"/>
              <w:adjustRightInd w:val="0"/>
              <w:spacing w:before="40" w:after="40"/>
              <w:rPr>
                <w:sz w:val="16"/>
              </w:rPr>
            </w:pPr>
            <w:r>
              <w:rPr>
                <w:sz w:val="16"/>
              </w:rPr>
              <w:t>n</w:t>
            </w:r>
            <w:r w:rsidR="00812285">
              <w:rPr>
                <w:sz w:val="16"/>
              </w:rPr>
              <w:t>ovembre</w:t>
            </w:r>
          </w:p>
          <w:p w:rsidR="004007D3" w:rsidRPr="00251542" w:rsidRDefault="00811C89" w:rsidP="00811C89">
            <w:pPr>
              <w:autoSpaceDE w:val="0"/>
              <w:autoSpaceDN w:val="0"/>
              <w:adjustRightInd w:val="0"/>
              <w:spacing w:before="40" w:after="40"/>
              <w:rPr>
                <w:rFonts w:cs="Arial"/>
                <w:sz w:val="16"/>
                <w:szCs w:val="16"/>
                <w:lang w:bidi="th-TH"/>
              </w:rPr>
            </w:pPr>
            <w:r>
              <w:rPr>
                <w:sz w:val="16"/>
              </w:rPr>
              <w:t>2013</w:t>
            </w:r>
          </w:p>
        </w:tc>
        <w:tc>
          <w:tcPr>
            <w:tcW w:w="1680" w:type="dxa"/>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Cambodge et Myanmar</w:t>
            </w:r>
          </w:p>
        </w:tc>
        <w:tc>
          <w:tcPr>
            <w:tcW w:w="3998" w:type="dxa"/>
            <w:gridSpan w:val="2"/>
          </w:tcPr>
          <w:p w:rsidR="004007D3" w:rsidRPr="00251542" w:rsidRDefault="004007D3" w:rsidP="001A5BF9">
            <w:pPr>
              <w:autoSpaceDE w:val="0"/>
              <w:autoSpaceDN w:val="0"/>
              <w:adjustRightInd w:val="0"/>
              <w:spacing w:before="40" w:after="40"/>
              <w:rPr>
                <w:rFonts w:cs="Arial"/>
                <w:sz w:val="16"/>
                <w:szCs w:val="16"/>
                <w:lang w:bidi="th-TH"/>
              </w:rPr>
            </w:pPr>
            <w:r w:rsidRPr="00251542">
              <w:rPr>
                <w:sz w:val="16"/>
              </w:rPr>
              <w:t>Un jeu de documents de référence en matière de propriété intellectuelle a été fourni au Ministère des sciences et technologies de Myanmar, et un autre jeu est fourni au Ministère du commerce du Cambodge</w:t>
            </w:r>
          </w:p>
        </w:tc>
      </w:tr>
    </w:tbl>
    <w:p w:rsidR="00D42474" w:rsidRDefault="00D42474" w:rsidP="001A5BF9">
      <w:pPr>
        <w:keepNext/>
        <w:keepLines/>
        <w:rPr>
          <w:rFonts w:cs="Arial"/>
          <w:b/>
          <w:szCs w:val="20"/>
        </w:rPr>
      </w:pPr>
    </w:p>
    <w:p w:rsidR="00D42474" w:rsidRDefault="00D42474" w:rsidP="001A5BF9">
      <w:pPr>
        <w:keepNext/>
        <w:keepLines/>
        <w:rPr>
          <w:rFonts w:cs="Arial"/>
          <w:b/>
          <w:szCs w:val="20"/>
        </w:rPr>
      </w:pPr>
    </w:p>
    <w:p w:rsidR="00D42474" w:rsidRDefault="00D42474" w:rsidP="001A5BF9">
      <w:pPr>
        <w:rPr>
          <w:rFonts w:cs="Arial"/>
          <w:sz w:val="18"/>
          <w:szCs w:val="18"/>
        </w:rPr>
      </w:pPr>
    </w:p>
    <w:p w:rsidR="00D42474" w:rsidRDefault="004007D3" w:rsidP="001A5BF9">
      <w:pPr>
        <w:rPr>
          <w:rFonts w:cs="Arial"/>
          <w:b/>
          <w:sz w:val="18"/>
          <w:szCs w:val="18"/>
        </w:rPr>
      </w:pPr>
      <w:r w:rsidRPr="00251542">
        <w:rPr>
          <w:b/>
          <w:sz w:val="18"/>
        </w:rPr>
        <w:t>JAPON/PROPRIÉTÉ INDUSTRIELLE — Contributions des donateurs et dépenses en</w:t>
      </w:r>
      <w:r w:rsidR="0010442A" w:rsidRPr="00251542">
        <w:rPr>
          <w:b/>
          <w:sz w:val="18"/>
        </w:rPr>
        <w:t> </w:t>
      </w:r>
      <w:r w:rsidRPr="00251542">
        <w:rPr>
          <w:b/>
          <w:sz w:val="18"/>
        </w:rPr>
        <w:t>2013</w:t>
      </w:r>
      <w:r w:rsidRPr="00251542">
        <w:rPr>
          <w:b/>
          <w:sz w:val="18"/>
          <w:vertAlign w:val="superscript"/>
        </w:rPr>
        <w:t>1</w:t>
      </w:r>
    </w:p>
    <w:p w:rsidR="004007D3" w:rsidRPr="00251542" w:rsidRDefault="004007D3" w:rsidP="001A5BF9">
      <w:pPr>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516"/>
        <w:gridCol w:w="1781"/>
        <w:gridCol w:w="1685"/>
        <w:gridCol w:w="2278"/>
      </w:tblGrid>
      <w:tr w:rsidR="004007D3" w:rsidRPr="00251542" w:rsidTr="0056083E">
        <w:trPr>
          <w:trHeight w:val="567"/>
        </w:trPr>
        <w:tc>
          <w:tcPr>
            <w:tcW w:w="187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2012</w:t>
            </w:r>
          </w:p>
        </w:tc>
        <w:tc>
          <w:tcPr>
            <w:tcW w:w="1516"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78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685"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2278"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2013</w:t>
            </w:r>
          </w:p>
        </w:tc>
      </w:tr>
      <w:tr w:rsidR="004007D3" w:rsidRPr="00251542" w:rsidTr="0056083E">
        <w:trPr>
          <w:trHeight w:val="567"/>
        </w:trPr>
        <w:tc>
          <w:tcPr>
            <w:tcW w:w="1870"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1 914 176</w:t>
            </w:r>
          </w:p>
        </w:tc>
        <w:tc>
          <w:tcPr>
            <w:tcW w:w="1516"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4 332 131</w:t>
            </w:r>
          </w:p>
        </w:tc>
        <w:tc>
          <w:tcPr>
            <w:tcW w:w="178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1 958 836</w:t>
            </w:r>
          </w:p>
        </w:tc>
        <w:tc>
          <w:tcPr>
            <w:tcW w:w="1685"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 </w:t>
            </w:r>
          </w:p>
        </w:tc>
        <w:tc>
          <w:tcPr>
            <w:tcW w:w="2278"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4 287 471</w:t>
            </w:r>
          </w:p>
        </w:tc>
      </w:tr>
    </w:tbl>
    <w:p w:rsidR="00D42474" w:rsidRDefault="004007D3" w:rsidP="001A5BF9">
      <w:pPr>
        <w:spacing w:before="120"/>
        <w:rPr>
          <w:sz w:val="16"/>
          <w:szCs w:val="16"/>
        </w:rPr>
      </w:pPr>
      <w:r w:rsidRPr="00937285">
        <w:rPr>
          <w:i/>
          <w:sz w:val="16"/>
          <w:szCs w:val="16"/>
          <w:vertAlign w:val="superscript"/>
        </w:rPr>
        <w:t>1</w:t>
      </w:r>
      <w:r w:rsidRPr="00937285">
        <w:rPr>
          <w:i/>
          <w:sz w:val="16"/>
          <w:szCs w:val="16"/>
        </w:rPr>
        <w:t xml:space="preserve"> </w:t>
      </w:r>
      <w:r w:rsidR="00937285">
        <w:rPr>
          <w:i/>
          <w:sz w:val="16"/>
          <w:szCs w:val="16"/>
        </w:rPr>
        <w:t xml:space="preserve"> </w:t>
      </w:r>
      <w:r w:rsidRPr="00937285">
        <w:rPr>
          <w:i/>
          <w:sz w:val="16"/>
          <w:szCs w:val="16"/>
        </w:rPr>
        <w:t>États financiers de l</w:t>
      </w:r>
      <w:r w:rsidR="00A20444" w:rsidRPr="00937285">
        <w:rPr>
          <w:i/>
          <w:sz w:val="16"/>
          <w:szCs w:val="16"/>
        </w:rPr>
        <w:t>’</w:t>
      </w:r>
      <w:r w:rsidRPr="00937285">
        <w:rPr>
          <w:i/>
          <w:sz w:val="16"/>
          <w:szCs w:val="16"/>
        </w:rPr>
        <w:t>OMPI 2013 (annexe III)</w:t>
      </w:r>
    </w:p>
    <w:p w:rsidR="00D42474" w:rsidRDefault="00D42474" w:rsidP="001A5BF9">
      <w:pPr>
        <w:rPr>
          <w:rFonts w:cs="Arial"/>
          <w:b/>
          <w:szCs w:val="20"/>
        </w:rPr>
      </w:pPr>
    </w:p>
    <w:p w:rsidR="00D42474" w:rsidRDefault="004007D3" w:rsidP="001A5BF9">
      <w:pPr>
        <w:keepNext/>
        <w:keepLines/>
        <w:rPr>
          <w:rFonts w:cs="Arial"/>
          <w:b/>
          <w:szCs w:val="20"/>
        </w:rPr>
      </w:pPr>
      <w:r w:rsidRPr="00251542">
        <w:br w:type="page"/>
      </w:r>
      <w:r w:rsidRPr="00251542">
        <w:rPr>
          <w:b/>
        </w:rPr>
        <w:t>JAPON/PROPRIÉTÉ INTELLECTUELLE/AFRIQUE – PAYS LES MOINS AVANCÉS</w:t>
      </w:r>
    </w:p>
    <w:p w:rsidR="004007D3" w:rsidRPr="00251542" w:rsidRDefault="004007D3" w:rsidP="001A5BF9">
      <w:pPr>
        <w:keepNext/>
        <w:keepLines/>
        <w:rPr>
          <w:rFonts w:cs="Arial"/>
          <w:b/>
          <w:szCs w:val="20"/>
        </w:rPr>
      </w:pPr>
    </w:p>
    <w:tbl>
      <w:tblPr>
        <w:tblW w:w="9075" w:type="dxa"/>
        <w:tblInd w:w="10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1421"/>
        <w:gridCol w:w="141"/>
        <w:gridCol w:w="1560"/>
        <w:gridCol w:w="4110"/>
      </w:tblGrid>
      <w:tr w:rsidR="004007D3" w:rsidRPr="00251542" w:rsidTr="0056083E">
        <w:tc>
          <w:tcPr>
            <w:tcW w:w="9075" w:type="dxa"/>
            <w:gridSpan w:val="5"/>
            <w:tcBorders>
              <w:top w:val="single" w:sz="4" w:space="0" w:color="auto"/>
              <w:bottom w:val="single" w:sz="4" w:space="0" w:color="auto"/>
            </w:tcBorders>
            <w:shd w:val="clear" w:color="auto" w:fill="CCFFFF"/>
            <w:vAlign w:val="center"/>
          </w:tcPr>
          <w:p w:rsidR="004007D3" w:rsidRPr="00251542" w:rsidRDefault="004007D3" w:rsidP="001A5BF9">
            <w:pPr>
              <w:tabs>
                <w:tab w:val="left" w:pos="1740"/>
              </w:tabs>
              <w:spacing w:before="120" w:after="120"/>
              <w:ind w:left="1740" w:hanging="1740"/>
              <w:rPr>
                <w:rFonts w:cs="Arial"/>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937285">
              <w:rPr>
                <w:b/>
                <w:sz w:val="16"/>
              </w:rPr>
              <w:tab/>
            </w:r>
            <w:r w:rsidRPr="00251542">
              <w:rPr>
                <w:sz w:val="16"/>
              </w:rPr>
              <w:t>Amélioration de l</w:t>
            </w:r>
            <w:r w:rsidR="00A20444" w:rsidRPr="00251542">
              <w:rPr>
                <w:sz w:val="16"/>
              </w:rPr>
              <w:t>’</w:t>
            </w:r>
            <w:r w:rsidRPr="00251542">
              <w:rPr>
                <w:sz w:val="16"/>
              </w:rPr>
              <w:t>infrastructure technique et du savoir pour les offices de propriété intellectuelle et autres institutions de propriété intellectuelle leur permettant de fournir des services améliorés</w:t>
            </w:r>
          </w:p>
        </w:tc>
      </w:tr>
      <w:tr w:rsidR="004007D3" w:rsidRPr="00937285" w:rsidTr="00385904">
        <w:tc>
          <w:tcPr>
            <w:tcW w:w="1843" w:type="dxa"/>
            <w:tcBorders>
              <w:top w:val="single" w:sz="4" w:space="0" w:color="auto"/>
            </w:tcBorders>
            <w:vAlign w:val="center"/>
          </w:tcPr>
          <w:p w:rsidR="004007D3" w:rsidRPr="00937285" w:rsidRDefault="004007D3" w:rsidP="001A5BF9">
            <w:pPr>
              <w:rPr>
                <w:rFonts w:cs="Arial"/>
                <w:b/>
                <w:bCs/>
                <w:sz w:val="16"/>
                <w:szCs w:val="16"/>
              </w:rPr>
            </w:pPr>
            <w:r w:rsidRPr="00937285">
              <w:rPr>
                <w:b/>
                <w:sz w:val="16"/>
              </w:rPr>
              <w:t>Activité</w:t>
            </w:r>
          </w:p>
        </w:tc>
        <w:tc>
          <w:tcPr>
            <w:tcW w:w="1562" w:type="dxa"/>
            <w:gridSpan w:val="2"/>
            <w:tcBorders>
              <w:top w:val="single" w:sz="4" w:space="0" w:color="auto"/>
            </w:tcBorders>
            <w:shd w:val="clear" w:color="auto" w:fill="auto"/>
            <w:tcMar>
              <w:top w:w="110" w:type="dxa"/>
            </w:tcMar>
            <w:vAlign w:val="center"/>
          </w:tcPr>
          <w:p w:rsidR="004007D3" w:rsidRPr="00937285" w:rsidRDefault="004007D3" w:rsidP="001A5BF9">
            <w:pPr>
              <w:rPr>
                <w:rFonts w:cs="Arial"/>
                <w:b/>
                <w:sz w:val="16"/>
                <w:szCs w:val="16"/>
              </w:rPr>
            </w:pPr>
            <w:r w:rsidRPr="00937285">
              <w:rPr>
                <w:b/>
                <w:sz w:val="16"/>
              </w:rPr>
              <w:t>Date :</w:t>
            </w:r>
          </w:p>
        </w:tc>
        <w:tc>
          <w:tcPr>
            <w:tcW w:w="1560" w:type="dxa"/>
            <w:tcBorders>
              <w:top w:val="single" w:sz="4" w:space="0" w:color="auto"/>
            </w:tcBorders>
            <w:shd w:val="clear" w:color="auto" w:fill="auto"/>
            <w:tcMar>
              <w:top w:w="110" w:type="dxa"/>
            </w:tcMar>
            <w:vAlign w:val="center"/>
          </w:tcPr>
          <w:p w:rsidR="004007D3" w:rsidRPr="00937285" w:rsidRDefault="004007D3" w:rsidP="001A5BF9">
            <w:pPr>
              <w:rPr>
                <w:rFonts w:cs="Arial"/>
                <w:b/>
                <w:sz w:val="16"/>
                <w:szCs w:val="16"/>
              </w:rPr>
            </w:pPr>
            <w:r w:rsidRPr="00937285">
              <w:rPr>
                <w:b/>
                <w:sz w:val="16"/>
              </w:rPr>
              <w:t>Pays hôte/bénéficiaire</w:t>
            </w:r>
          </w:p>
        </w:tc>
        <w:tc>
          <w:tcPr>
            <w:tcW w:w="4110" w:type="dxa"/>
            <w:tcBorders>
              <w:top w:val="single" w:sz="4" w:space="0" w:color="auto"/>
            </w:tcBorders>
            <w:shd w:val="clear" w:color="auto" w:fill="FFFFFF"/>
            <w:tcMar>
              <w:top w:w="110" w:type="dxa"/>
            </w:tcMar>
            <w:vAlign w:val="center"/>
          </w:tcPr>
          <w:p w:rsidR="004007D3" w:rsidRPr="00937285" w:rsidRDefault="004007D3" w:rsidP="001A5BF9">
            <w:pPr>
              <w:rPr>
                <w:rFonts w:cs="Arial"/>
                <w:b/>
                <w:sz w:val="16"/>
                <w:szCs w:val="16"/>
              </w:rPr>
            </w:pPr>
            <w:r w:rsidRPr="00937285">
              <w:rPr>
                <w:b/>
                <w:sz w:val="16"/>
              </w:rPr>
              <w:t>Objectif(s)/description(s)</w:t>
            </w:r>
          </w:p>
        </w:tc>
      </w:tr>
      <w:tr w:rsidR="004007D3" w:rsidRPr="00251542" w:rsidTr="00385904">
        <w:tc>
          <w:tcPr>
            <w:tcW w:w="1843"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Atelier régional pour les examinateurs de brevets pour les pays francophones sur l</w:t>
            </w:r>
            <w:r w:rsidR="00A20444" w:rsidRPr="00251542">
              <w:rPr>
                <w:sz w:val="16"/>
              </w:rPr>
              <w:t>’</w:t>
            </w:r>
            <w:r w:rsidRPr="00251542">
              <w:rPr>
                <w:sz w:val="16"/>
              </w:rPr>
              <w:t>utilisation des résultats d</w:t>
            </w:r>
            <w:r w:rsidR="00A20444" w:rsidRPr="00251542">
              <w:rPr>
                <w:sz w:val="16"/>
              </w:rPr>
              <w:t>’</w:t>
            </w:r>
            <w:r w:rsidRPr="00251542">
              <w:rPr>
                <w:sz w:val="16"/>
              </w:rPr>
              <w:t>examen des autres offices de propriété intellectuelle</w:t>
            </w:r>
          </w:p>
        </w:tc>
        <w:tc>
          <w:tcPr>
            <w:tcW w:w="1562" w:type="dxa"/>
            <w:gridSpan w:val="2"/>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30 janvier</w:t>
            </w:r>
            <w:r w:rsidR="0010442A" w:rsidRPr="00251542">
              <w:rPr>
                <w:sz w:val="16"/>
              </w:rPr>
              <w:t xml:space="preserve"> –</w:t>
            </w:r>
            <w:r w:rsidRPr="00251542">
              <w:rPr>
                <w:sz w:val="16"/>
              </w:rPr>
              <w:t xml:space="preserve"> </w:t>
            </w:r>
            <w:r w:rsidR="00A20444" w:rsidRPr="00251542">
              <w:rPr>
                <w:sz w:val="16"/>
              </w:rPr>
              <w:t>1</w:t>
            </w:r>
            <w:r w:rsidR="00A20444" w:rsidRPr="00251542">
              <w:rPr>
                <w:sz w:val="16"/>
                <w:vertAlign w:val="superscript"/>
              </w:rPr>
              <w:t>er</w:t>
            </w:r>
            <w:r w:rsidR="00A20444" w:rsidRPr="00251542">
              <w:rPr>
                <w:sz w:val="16"/>
              </w:rPr>
              <w:t> </w:t>
            </w:r>
            <w:r w:rsidRPr="00251542">
              <w:rPr>
                <w:sz w:val="16"/>
              </w:rPr>
              <w:t>février 2013</w:t>
            </w:r>
          </w:p>
        </w:tc>
        <w:tc>
          <w:tcPr>
            <w:tcW w:w="1560"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Cameroun/</w:t>
            </w:r>
            <w:r w:rsidR="00FE3459" w:rsidRPr="00251542">
              <w:rPr>
                <w:sz w:val="16"/>
              </w:rPr>
              <w:br/>
            </w:r>
            <w:r w:rsidRPr="00251542">
              <w:rPr>
                <w:sz w:val="16"/>
              </w:rPr>
              <w:t>17</w:t>
            </w:r>
            <w:r w:rsidR="00FE3459" w:rsidRPr="00251542">
              <w:rPr>
                <w:sz w:val="16"/>
              </w:rPr>
              <w:t> </w:t>
            </w:r>
            <w:r w:rsidRPr="00251542">
              <w:rPr>
                <w:sz w:val="16"/>
              </w:rPr>
              <w:t>participants issus de 17 pays africains</w:t>
            </w:r>
          </w:p>
        </w:tc>
        <w:tc>
          <w:tcPr>
            <w:tcW w:w="4110"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i) Permettre aux participants de mieux appréhender l</w:t>
            </w:r>
            <w:r w:rsidR="00A20444" w:rsidRPr="00251542">
              <w:rPr>
                <w:sz w:val="16"/>
              </w:rPr>
              <w:t>’</w:t>
            </w:r>
            <w:r w:rsidRPr="00251542">
              <w:rPr>
                <w:sz w:val="16"/>
              </w:rPr>
              <w:t>intérêt de s</w:t>
            </w:r>
            <w:r w:rsidR="00A20444" w:rsidRPr="00251542">
              <w:rPr>
                <w:sz w:val="16"/>
              </w:rPr>
              <w:t>’</w:t>
            </w:r>
            <w:r w:rsidRPr="00251542">
              <w:rPr>
                <w:sz w:val="16"/>
              </w:rPr>
              <w:t>appuyer efficacement sur les résultats des examens préalables (rapports de recherche et/ou d</w:t>
            </w:r>
            <w:r w:rsidR="00A20444" w:rsidRPr="00251542">
              <w:rPr>
                <w:sz w:val="16"/>
              </w:rPr>
              <w:t>’</w:t>
            </w:r>
            <w:r w:rsidRPr="00251542">
              <w:rPr>
                <w:sz w:val="16"/>
              </w:rPr>
              <w:t>examen) effectués par d</w:t>
            </w:r>
            <w:r w:rsidR="00A20444" w:rsidRPr="00251542">
              <w:rPr>
                <w:sz w:val="16"/>
              </w:rPr>
              <w:t>’</w:t>
            </w:r>
            <w:r w:rsidRPr="00251542">
              <w:rPr>
                <w:sz w:val="16"/>
              </w:rPr>
              <w:t>autres offices de la propriété intellectuelle, par exemple au cours des phases nationales de la procédure du PCT, ou sur les résultats des examens finals (octroi ou rejet des revendications) en vue de réduire la charge de travail des offices de propriété intellectuelle et de simplifier les procédures de délivrance des brevets;</w:t>
            </w:r>
            <w:r w:rsidR="004F3E42" w:rsidRPr="00251542">
              <w:rPr>
                <w:sz w:val="16"/>
              </w:rPr>
              <w:t xml:space="preserve"> </w:t>
            </w:r>
            <w:r w:rsidR="0010442A" w:rsidRPr="00251542">
              <w:rPr>
                <w:sz w:val="16"/>
              </w:rPr>
              <w:t xml:space="preserve"> </w:t>
            </w:r>
            <w:r w:rsidRPr="00251542">
              <w:rPr>
                <w:sz w:val="16"/>
              </w:rPr>
              <w:t>ii) renforcer leurs compétences pour leur permettre d</w:t>
            </w:r>
            <w:r w:rsidR="00A20444" w:rsidRPr="00251542">
              <w:rPr>
                <w:sz w:val="16"/>
              </w:rPr>
              <w:t>’</w:t>
            </w:r>
            <w:r w:rsidRPr="00251542">
              <w:rPr>
                <w:sz w:val="16"/>
              </w:rPr>
              <w:t>utiliser des services tels que le programme de Coopération internationale en matière d</w:t>
            </w:r>
            <w:r w:rsidR="00A20444" w:rsidRPr="00251542">
              <w:rPr>
                <w:sz w:val="16"/>
              </w:rPr>
              <w:t>’</w:t>
            </w:r>
            <w:r w:rsidRPr="00251542">
              <w:rPr>
                <w:sz w:val="16"/>
              </w:rPr>
              <w:t>examen (</w:t>
            </w:r>
            <w:proofErr w:type="spellStart"/>
            <w:r w:rsidRPr="00251542">
              <w:rPr>
                <w:sz w:val="16"/>
              </w:rPr>
              <w:t>ICE</w:t>
            </w:r>
            <w:proofErr w:type="spellEnd"/>
            <w:r w:rsidRPr="00251542">
              <w:rPr>
                <w:sz w:val="16"/>
              </w:rPr>
              <w:t>) de l</w:t>
            </w:r>
            <w:r w:rsidR="00A20444" w:rsidRPr="00251542">
              <w:rPr>
                <w:sz w:val="16"/>
              </w:rPr>
              <w:t>’</w:t>
            </w:r>
            <w:r w:rsidRPr="00251542">
              <w:rPr>
                <w:sz w:val="16"/>
              </w:rPr>
              <w:t>OMPI et le Réseau de propriété intellectuelle avancé (</w:t>
            </w:r>
            <w:proofErr w:type="spellStart"/>
            <w:r w:rsidRPr="00251542">
              <w:rPr>
                <w:sz w:val="16"/>
              </w:rPr>
              <w:t>AIPN</w:t>
            </w:r>
            <w:proofErr w:type="spellEnd"/>
            <w:r w:rsidRPr="00251542">
              <w:rPr>
                <w:sz w:val="16"/>
              </w:rPr>
              <w:t>) de l</w:t>
            </w:r>
            <w:r w:rsidR="00A20444" w:rsidRPr="00251542">
              <w:rPr>
                <w:sz w:val="16"/>
              </w:rPr>
              <w:t>’</w:t>
            </w:r>
            <w:r w:rsidRPr="00251542">
              <w:rPr>
                <w:sz w:val="16"/>
              </w:rPr>
              <w:t>Office japonais des brevets;</w:t>
            </w:r>
            <w:r w:rsidR="004F3E42" w:rsidRPr="00251542">
              <w:rPr>
                <w:sz w:val="16"/>
              </w:rPr>
              <w:t xml:space="preserve"> </w:t>
            </w:r>
            <w:r w:rsidR="0010442A" w:rsidRPr="00251542">
              <w:rPr>
                <w:sz w:val="16"/>
              </w:rPr>
              <w:t xml:space="preserve"> </w:t>
            </w:r>
            <w:r w:rsidRPr="00251542">
              <w:rPr>
                <w:sz w:val="16"/>
              </w:rPr>
              <w:t>iii) d</w:t>
            </w:r>
            <w:r w:rsidR="00A20444" w:rsidRPr="00251542">
              <w:rPr>
                <w:sz w:val="16"/>
              </w:rPr>
              <w:t>’</w:t>
            </w:r>
            <w:r w:rsidRPr="00251542">
              <w:rPr>
                <w:sz w:val="16"/>
              </w:rPr>
              <w:t>échanger les meilleures pratiques en matière d</w:t>
            </w:r>
            <w:r w:rsidR="00A20444" w:rsidRPr="00251542">
              <w:rPr>
                <w:sz w:val="16"/>
              </w:rPr>
              <w:t>’</w:t>
            </w:r>
            <w:r w:rsidRPr="00251542">
              <w:rPr>
                <w:sz w:val="16"/>
              </w:rPr>
              <w:t>analyse des revendications et de rédaction de revendications modifiées dans certains domaines technologiques,</w:t>
            </w:r>
            <w:r w:rsidR="004F3E42" w:rsidRPr="00251542">
              <w:rPr>
                <w:sz w:val="16"/>
              </w:rPr>
              <w:t xml:space="preserve"> </w:t>
            </w:r>
            <w:r w:rsidRPr="00251542">
              <w:rPr>
                <w:sz w:val="16"/>
              </w:rPr>
              <w:t>et iv) partager les expériences des différents offices de la propriété intellectuelle et examinateurs sur les difficultés rencontrées pour accélérer les procédures d</w:t>
            </w:r>
            <w:r w:rsidR="00A20444" w:rsidRPr="00251542">
              <w:rPr>
                <w:sz w:val="16"/>
              </w:rPr>
              <w:t>’</w:t>
            </w:r>
            <w:r w:rsidRPr="00251542">
              <w:rPr>
                <w:sz w:val="16"/>
              </w:rPr>
              <w:t>examen et améliorer la qualité des brevets</w:t>
            </w:r>
          </w:p>
        </w:tc>
      </w:tr>
      <w:tr w:rsidR="004007D3" w:rsidRPr="00251542" w:rsidTr="00385904">
        <w:tc>
          <w:tcPr>
            <w:tcW w:w="1843"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Déploiement de projets de saisie de données</w:t>
            </w:r>
          </w:p>
        </w:tc>
        <w:tc>
          <w:tcPr>
            <w:tcW w:w="1562" w:type="dxa"/>
            <w:gridSpan w:val="2"/>
          </w:tcPr>
          <w:p w:rsidR="004007D3" w:rsidRPr="00251542" w:rsidRDefault="00812285" w:rsidP="001A5BF9">
            <w:pPr>
              <w:autoSpaceDE w:val="0"/>
              <w:autoSpaceDN w:val="0"/>
              <w:adjustRightInd w:val="0"/>
              <w:spacing w:before="120" w:after="120"/>
              <w:rPr>
                <w:rFonts w:cs="Arial"/>
                <w:sz w:val="16"/>
                <w:szCs w:val="16"/>
                <w:lang w:bidi="th-TH"/>
              </w:rPr>
            </w:pPr>
            <w:r>
              <w:rPr>
                <w:sz w:val="16"/>
              </w:rPr>
              <w:t>j</w:t>
            </w:r>
            <w:r w:rsidR="004007D3" w:rsidRPr="00251542">
              <w:rPr>
                <w:sz w:val="16"/>
              </w:rPr>
              <w:t>anvier à décembre 2013</w:t>
            </w:r>
          </w:p>
        </w:tc>
        <w:tc>
          <w:tcPr>
            <w:tcW w:w="1560"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Maurice et Zimbabwe</w:t>
            </w:r>
          </w:p>
        </w:tc>
        <w:tc>
          <w:tcPr>
            <w:tcW w:w="4110" w:type="dxa"/>
          </w:tcPr>
          <w:p w:rsidR="004007D3" w:rsidRPr="00251542" w:rsidRDefault="004007D3" w:rsidP="00811C89">
            <w:pPr>
              <w:autoSpaceDE w:val="0"/>
              <w:autoSpaceDN w:val="0"/>
              <w:adjustRightInd w:val="0"/>
              <w:spacing w:before="120" w:after="120"/>
              <w:rPr>
                <w:rFonts w:cs="Arial"/>
                <w:sz w:val="16"/>
                <w:szCs w:val="16"/>
                <w:highlight w:val="yellow"/>
                <w:lang w:bidi="th-TH"/>
              </w:rPr>
            </w:pPr>
            <w:r w:rsidRPr="00251542">
              <w:rPr>
                <w:sz w:val="16"/>
              </w:rPr>
              <w:t>Aider la saisie électronique au format numérique des fichiers de marque en retard maintenus au format papier en préparation du déploiement du système d</w:t>
            </w:r>
            <w:r w:rsidR="00A20444" w:rsidRPr="00251542">
              <w:rPr>
                <w:sz w:val="16"/>
              </w:rPr>
              <w:t>’</w:t>
            </w:r>
            <w:r w:rsidRPr="00251542">
              <w:rPr>
                <w:sz w:val="16"/>
              </w:rPr>
              <w:t>automatisation de la propriété industrielle (IPAS) par le biais de l</w:t>
            </w:r>
            <w:r w:rsidR="00A20444" w:rsidRPr="00251542">
              <w:rPr>
                <w:sz w:val="16"/>
              </w:rPr>
              <w:t>’</w:t>
            </w:r>
            <w:r w:rsidRPr="00251542">
              <w:rPr>
                <w:sz w:val="16"/>
              </w:rPr>
              <w:t xml:space="preserve">externalisation à un entrepreneur local spécialisé. </w:t>
            </w:r>
            <w:r w:rsidR="0010442A" w:rsidRPr="00251542">
              <w:rPr>
                <w:sz w:val="16"/>
              </w:rPr>
              <w:t xml:space="preserve"> </w:t>
            </w:r>
            <w:r w:rsidRPr="00251542">
              <w:rPr>
                <w:sz w:val="16"/>
              </w:rPr>
              <w:t>L</w:t>
            </w:r>
            <w:r w:rsidR="00A20444" w:rsidRPr="00251542">
              <w:rPr>
                <w:sz w:val="16"/>
              </w:rPr>
              <w:t>’</w:t>
            </w:r>
            <w:r w:rsidRPr="00251542">
              <w:rPr>
                <w:sz w:val="16"/>
              </w:rPr>
              <w:t>objectif est de construire et de peupler une base de données existante contenant des informations bibliographiques textuelles, des images numériques sélectionnées et des informations relatives aux opérations concernant les fichiers de propriété industrielle conservés par l</w:t>
            </w:r>
            <w:r w:rsidR="00A20444" w:rsidRPr="00251542">
              <w:rPr>
                <w:sz w:val="16"/>
              </w:rPr>
              <w:t>’</w:t>
            </w:r>
            <w:r w:rsidRPr="00251542">
              <w:rPr>
                <w:sz w:val="16"/>
              </w:rPr>
              <w:t>off</w:t>
            </w:r>
            <w:r w:rsidR="00811C89">
              <w:rPr>
                <w:sz w:val="16"/>
              </w:rPr>
              <w:t>ice de propriété intellectuelle</w:t>
            </w:r>
          </w:p>
        </w:tc>
      </w:tr>
      <w:tr w:rsidR="004007D3" w:rsidRPr="00251542" w:rsidTr="00385904">
        <w:tc>
          <w:tcPr>
            <w:tcW w:w="1843" w:type="dxa"/>
          </w:tcPr>
          <w:p w:rsidR="004007D3" w:rsidRPr="00251542" w:rsidRDefault="004007D3" w:rsidP="001A5BF9">
            <w:pPr>
              <w:autoSpaceDE w:val="0"/>
              <w:autoSpaceDN w:val="0"/>
              <w:adjustRightInd w:val="0"/>
              <w:spacing w:before="120" w:after="60"/>
              <w:rPr>
                <w:rFonts w:cs="Arial"/>
                <w:spacing w:val="-4"/>
                <w:sz w:val="16"/>
                <w:szCs w:val="16"/>
                <w:lang w:bidi="th-TH"/>
              </w:rPr>
            </w:pPr>
            <w:r w:rsidRPr="00251542">
              <w:rPr>
                <w:spacing w:val="-4"/>
                <w:sz w:val="16"/>
              </w:rPr>
              <w:t>Deuxième atelier du centre d</w:t>
            </w:r>
            <w:r w:rsidR="00A20444" w:rsidRPr="00251542">
              <w:rPr>
                <w:spacing w:val="-4"/>
                <w:sz w:val="16"/>
              </w:rPr>
              <w:t>’</w:t>
            </w:r>
            <w:r w:rsidRPr="00251542">
              <w:rPr>
                <w:spacing w:val="-4"/>
                <w:sz w:val="16"/>
              </w:rPr>
              <w:t>appui à la technologie et à l</w:t>
            </w:r>
            <w:r w:rsidR="00A20444" w:rsidRPr="00251542">
              <w:rPr>
                <w:spacing w:val="-4"/>
                <w:sz w:val="16"/>
              </w:rPr>
              <w:t>’</w:t>
            </w:r>
            <w:r w:rsidRPr="00251542">
              <w:rPr>
                <w:spacing w:val="-4"/>
                <w:sz w:val="16"/>
              </w:rPr>
              <w:t>innovation (CATI) sur l</w:t>
            </w:r>
            <w:r w:rsidR="00A20444" w:rsidRPr="00251542">
              <w:rPr>
                <w:spacing w:val="-4"/>
                <w:sz w:val="16"/>
              </w:rPr>
              <w:t>’</w:t>
            </w:r>
            <w:r w:rsidRPr="00251542">
              <w:rPr>
                <w:spacing w:val="-4"/>
                <w:sz w:val="16"/>
              </w:rPr>
              <w:t>élaboration du projet CATI et la recherche de brevets et de revues scientifiques et techniques, et lancement du CATI</w:t>
            </w:r>
          </w:p>
        </w:tc>
        <w:tc>
          <w:tcPr>
            <w:tcW w:w="1562" w:type="dxa"/>
            <w:gridSpan w:val="2"/>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25</w:t>
            </w:r>
            <w:r w:rsidR="002D6F2A" w:rsidRPr="00251542">
              <w:rPr>
                <w:sz w:val="16"/>
              </w:rPr>
              <w:noBreakHyphen/>
            </w:r>
            <w:r w:rsidRPr="00251542">
              <w:rPr>
                <w:sz w:val="16"/>
              </w:rPr>
              <w:t>27 mars 2013</w:t>
            </w:r>
          </w:p>
        </w:tc>
        <w:tc>
          <w:tcPr>
            <w:tcW w:w="1560" w:type="dxa"/>
          </w:tcPr>
          <w:p w:rsidR="004007D3" w:rsidRPr="00251542" w:rsidRDefault="0081044B" w:rsidP="001A5BF9">
            <w:pPr>
              <w:autoSpaceDE w:val="0"/>
              <w:autoSpaceDN w:val="0"/>
              <w:adjustRightInd w:val="0"/>
              <w:spacing w:before="120" w:after="120"/>
              <w:rPr>
                <w:rFonts w:cs="Arial"/>
                <w:sz w:val="16"/>
                <w:szCs w:val="16"/>
                <w:lang w:bidi="th-TH"/>
              </w:rPr>
            </w:pPr>
            <w:r w:rsidRPr="00251542">
              <w:rPr>
                <w:sz w:val="16"/>
              </w:rPr>
              <w:t>Rwanda/</w:t>
            </w:r>
            <w:r w:rsidR="00FE3459" w:rsidRPr="00251542">
              <w:rPr>
                <w:sz w:val="16"/>
              </w:rPr>
              <w:br/>
            </w:r>
            <w:r w:rsidRPr="00251542">
              <w:rPr>
                <w:sz w:val="16"/>
              </w:rPr>
              <w:t>50</w:t>
            </w:r>
            <w:r w:rsidR="00FE3459" w:rsidRPr="00251542">
              <w:rPr>
                <w:sz w:val="16"/>
              </w:rPr>
              <w:t> </w:t>
            </w:r>
            <w:r w:rsidR="004007D3" w:rsidRPr="00251542">
              <w:rPr>
                <w:sz w:val="16"/>
              </w:rPr>
              <w:t>participants locaux</w:t>
            </w:r>
          </w:p>
        </w:tc>
        <w:tc>
          <w:tcPr>
            <w:tcW w:w="4110" w:type="dxa"/>
          </w:tcPr>
          <w:p w:rsidR="004007D3" w:rsidRPr="00251542" w:rsidRDefault="00FE3459" w:rsidP="001A5BF9">
            <w:pPr>
              <w:autoSpaceDE w:val="0"/>
              <w:autoSpaceDN w:val="0"/>
              <w:adjustRightInd w:val="0"/>
              <w:spacing w:before="120" w:after="120"/>
              <w:rPr>
                <w:rFonts w:cs="Arial"/>
                <w:sz w:val="16"/>
                <w:szCs w:val="16"/>
                <w:lang w:bidi="th-TH"/>
              </w:rPr>
            </w:pPr>
            <w:r w:rsidRPr="00251542">
              <w:rPr>
                <w:sz w:val="16"/>
              </w:rPr>
              <w:t>i) </w:t>
            </w:r>
            <w:r w:rsidR="004007D3" w:rsidRPr="00251542">
              <w:rPr>
                <w:sz w:val="16"/>
              </w:rPr>
              <w:t>Discuter avec les autorités nationales de la planification du projet CATI;</w:t>
            </w:r>
            <w:r w:rsidR="004F3E42" w:rsidRPr="00251542">
              <w:rPr>
                <w:sz w:val="16"/>
              </w:rPr>
              <w:t xml:space="preserve"> </w:t>
            </w:r>
            <w:r w:rsidR="0010442A" w:rsidRPr="00251542">
              <w:rPr>
                <w:sz w:val="16"/>
              </w:rPr>
              <w:t xml:space="preserve"> </w:t>
            </w:r>
            <w:r w:rsidR="004007D3" w:rsidRPr="00251542">
              <w:rPr>
                <w:sz w:val="16"/>
              </w:rPr>
              <w:t>ii)</w:t>
            </w:r>
            <w:r w:rsidR="0010442A" w:rsidRPr="00251542">
              <w:rPr>
                <w:sz w:val="16"/>
              </w:rPr>
              <w:t> </w:t>
            </w:r>
            <w:r w:rsidR="004007D3" w:rsidRPr="00251542">
              <w:rPr>
                <w:sz w:val="16"/>
              </w:rPr>
              <w:t>sensibiliser et former les chercheurs, professeurs et étudiants à la recherche et à l</w:t>
            </w:r>
            <w:r w:rsidR="00A20444" w:rsidRPr="00251542">
              <w:rPr>
                <w:sz w:val="16"/>
              </w:rPr>
              <w:t>’</w:t>
            </w:r>
            <w:r w:rsidR="004007D3" w:rsidRPr="00251542">
              <w:rPr>
                <w:sz w:val="16"/>
              </w:rPr>
              <w:t>extraction d</w:t>
            </w:r>
            <w:r w:rsidR="00A20444" w:rsidRPr="00251542">
              <w:rPr>
                <w:sz w:val="16"/>
              </w:rPr>
              <w:t>’</w:t>
            </w:r>
            <w:r w:rsidR="004007D3" w:rsidRPr="00251542">
              <w:rPr>
                <w:sz w:val="16"/>
              </w:rPr>
              <w:t>informations sur les brevets et la littérature concernant des domaines autres que les brevets;</w:t>
            </w:r>
            <w:r w:rsidR="004F3E42" w:rsidRPr="00251542">
              <w:rPr>
                <w:sz w:val="16"/>
              </w:rPr>
              <w:t xml:space="preserve"> </w:t>
            </w:r>
            <w:r w:rsidR="0010442A" w:rsidRPr="00251542">
              <w:rPr>
                <w:sz w:val="16"/>
              </w:rPr>
              <w:t xml:space="preserve"> </w:t>
            </w:r>
            <w:r w:rsidR="004007D3" w:rsidRPr="00251542">
              <w:rPr>
                <w:sz w:val="16"/>
              </w:rPr>
              <w:t>et iii) former les formateurs à effectuer les présentations des centres d</w:t>
            </w:r>
            <w:r w:rsidR="00A20444" w:rsidRPr="00251542">
              <w:rPr>
                <w:sz w:val="16"/>
              </w:rPr>
              <w:t>’</w:t>
            </w:r>
            <w:r w:rsidR="004007D3" w:rsidRPr="00251542">
              <w:rPr>
                <w:sz w:val="16"/>
              </w:rPr>
              <w:t>appui à la technologie et à l</w:t>
            </w:r>
            <w:r w:rsidR="00A20444" w:rsidRPr="00251542">
              <w:rPr>
                <w:sz w:val="16"/>
              </w:rPr>
              <w:t>’</w:t>
            </w:r>
            <w:r w:rsidR="004007D3" w:rsidRPr="00251542">
              <w:rPr>
                <w:sz w:val="16"/>
              </w:rPr>
              <w:t>innovation et à lancer le réseau de centres d</w:t>
            </w:r>
            <w:r w:rsidR="00A20444" w:rsidRPr="00251542">
              <w:rPr>
                <w:sz w:val="16"/>
              </w:rPr>
              <w:t>’</w:t>
            </w:r>
            <w:r w:rsidR="004007D3" w:rsidRPr="00251542">
              <w:rPr>
                <w:sz w:val="16"/>
              </w:rPr>
              <w:t>appui à la technologie et à l</w:t>
            </w:r>
            <w:r w:rsidR="00A20444" w:rsidRPr="00251542">
              <w:rPr>
                <w:sz w:val="16"/>
              </w:rPr>
              <w:t>’</w:t>
            </w:r>
            <w:r w:rsidR="004007D3" w:rsidRPr="00251542">
              <w:rPr>
                <w:sz w:val="16"/>
              </w:rPr>
              <w:t>innovation national</w:t>
            </w:r>
          </w:p>
        </w:tc>
      </w:tr>
      <w:tr w:rsidR="004007D3" w:rsidRPr="00251542" w:rsidTr="00385904">
        <w:tc>
          <w:tcPr>
            <w:tcW w:w="1843"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Atelier de formation régional de l</w:t>
            </w:r>
            <w:r w:rsidR="00A20444" w:rsidRPr="00251542">
              <w:rPr>
                <w:sz w:val="16"/>
              </w:rPr>
              <w:t>’</w:t>
            </w:r>
            <w:r w:rsidRPr="00251542">
              <w:rPr>
                <w:sz w:val="16"/>
              </w:rPr>
              <w:t>OMPI sur le système IPAS à l</w:t>
            </w:r>
            <w:r w:rsidR="00A20444" w:rsidRPr="00251542">
              <w:rPr>
                <w:sz w:val="16"/>
              </w:rPr>
              <w:t>’</w:t>
            </w:r>
            <w:r w:rsidRPr="00251542">
              <w:rPr>
                <w:sz w:val="16"/>
              </w:rPr>
              <w:t>intention des États membres africains</w:t>
            </w:r>
          </w:p>
        </w:tc>
        <w:tc>
          <w:tcPr>
            <w:tcW w:w="1562" w:type="dxa"/>
            <w:gridSpan w:val="2"/>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14 – 1</w:t>
            </w:r>
            <w:r w:rsidR="00A20444" w:rsidRPr="00251542">
              <w:rPr>
                <w:sz w:val="16"/>
              </w:rPr>
              <w:t>8 octobre 20</w:t>
            </w:r>
            <w:r w:rsidRPr="00251542">
              <w:rPr>
                <w:sz w:val="16"/>
              </w:rPr>
              <w:t>13</w:t>
            </w:r>
          </w:p>
        </w:tc>
        <w:tc>
          <w:tcPr>
            <w:tcW w:w="1560" w:type="dxa"/>
          </w:tcPr>
          <w:p w:rsidR="004007D3" w:rsidRPr="00251542" w:rsidRDefault="0081044B" w:rsidP="001A5BF9">
            <w:pPr>
              <w:autoSpaceDE w:val="0"/>
              <w:autoSpaceDN w:val="0"/>
              <w:adjustRightInd w:val="0"/>
              <w:spacing w:before="120" w:after="120"/>
              <w:rPr>
                <w:rFonts w:cs="Arial"/>
                <w:sz w:val="16"/>
                <w:szCs w:val="16"/>
                <w:lang w:bidi="th-TH"/>
              </w:rPr>
            </w:pPr>
            <w:r w:rsidRPr="00251542">
              <w:rPr>
                <w:sz w:val="16"/>
              </w:rPr>
              <w:t>Zimbabwe/</w:t>
            </w:r>
            <w:r w:rsidR="00FE3459" w:rsidRPr="00251542">
              <w:rPr>
                <w:sz w:val="16"/>
              </w:rPr>
              <w:br/>
            </w:r>
            <w:r w:rsidRPr="00251542">
              <w:rPr>
                <w:sz w:val="16"/>
              </w:rPr>
              <w:t>21</w:t>
            </w:r>
            <w:r w:rsidR="00FE3459" w:rsidRPr="00251542">
              <w:rPr>
                <w:sz w:val="16"/>
              </w:rPr>
              <w:t> </w:t>
            </w:r>
            <w:r w:rsidR="004007D3" w:rsidRPr="00251542">
              <w:rPr>
                <w:sz w:val="16"/>
              </w:rPr>
              <w:t>participants africains</w:t>
            </w:r>
          </w:p>
        </w:tc>
        <w:tc>
          <w:tcPr>
            <w:tcW w:w="4110" w:type="dxa"/>
          </w:tcPr>
          <w:p w:rsidR="004007D3" w:rsidRPr="00251542" w:rsidRDefault="004007D3" w:rsidP="001A5BF9">
            <w:pPr>
              <w:autoSpaceDE w:val="0"/>
              <w:autoSpaceDN w:val="0"/>
              <w:adjustRightInd w:val="0"/>
              <w:spacing w:before="120" w:after="60"/>
              <w:rPr>
                <w:rFonts w:cs="Arial"/>
                <w:sz w:val="16"/>
                <w:szCs w:val="16"/>
                <w:lang w:bidi="th-TH"/>
              </w:rPr>
            </w:pPr>
            <w:r w:rsidRPr="00251542">
              <w:rPr>
                <w:sz w:val="16"/>
              </w:rPr>
              <w:t>i) Renforcer les capacités et les compétences techniques des coordonnateurs des systèmes IPAS sur le côté commercial et le côté technique;</w:t>
            </w:r>
            <w:r w:rsidR="004F3E42" w:rsidRPr="00251542">
              <w:rPr>
                <w:sz w:val="16"/>
              </w:rPr>
              <w:t xml:space="preserve"> </w:t>
            </w:r>
            <w:r w:rsidR="0010442A" w:rsidRPr="00251542">
              <w:rPr>
                <w:sz w:val="16"/>
              </w:rPr>
              <w:t xml:space="preserve"> </w:t>
            </w:r>
            <w:r w:rsidRPr="00251542">
              <w:rPr>
                <w:sz w:val="16"/>
              </w:rPr>
              <w:t>ii) apprendre à mieux maîtriser l</w:t>
            </w:r>
            <w:r w:rsidR="00A20444" w:rsidRPr="00251542">
              <w:rPr>
                <w:sz w:val="16"/>
              </w:rPr>
              <w:t>’</w:t>
            </w:r>
            <w:r w:rsidRPr="00251542">
              <w:rPr>
                <w:sz w:val="16"/>
              </w:rPr>
              <w:t>architecture des deux</w:t>
            </w:r>
            <w:r w:rsidR="0010442A" w:rsidRPr="00251542">
              <w:rPr>
                <w:sz w:val="16"/>
              </w:rPr>
              <w:t> </w:t>
            </w:r>
            <w:r w:rsidRPr="00251542">
              <w:rPr>
                <w:sz w:val="16"/>
              </w:rPr>
              <w:t>systèmes et mettre en place un réseau d</w:t>
            </w:r>
            <w:r w:rsidR="00A20444" w:rsidRPr="00251542">
              <w:rPr>
                <w:sz w:val="16"/>
              </w:rPr>
              <w:t>’</w:t>
            </w:r>
            <w:r w:rsidRPr="00251542">
              <w:rPr>
                <w:sz w:val="16"/>
              </w:rPr>
              <w:t>appui régional pour la gestion des systèmes;</w:t>
            </w:r>
            <w:r w:rsidR="0010442A" w:rsidRPr="00251542">
              <w:rPr>
                <w:sz w:val="16"/>
              </w:rPr>
              <w:t xml:space="preserve"> </w:t>
            </w:r>
            <w:r w:rsidR="004F3E42" w:rsidRPr="00251542">
              <w:rPr>
                <w:sz w:val="16"/>
              </w:rPr>
              <w:t xml:space="preserve"> </w:t>
            </w:r>
            <w:r w:rsidRPr="00251542">
              <w:rPr>
                <w:sz w:val="16"/>
              </w:rPr>
              <w:t>et iii) partager les connaissances et les expériences en matière de support et de dépannage des systèmes IPAS/</w:t>
            </w:r>
            <w:proofErr w:type="spellStart"/>
            <w:r w:rsidRPr="00251542">
              <w:rPr>
                <w:sz w:val="16"/>
              </w:rPr>
              <w:t>WIPOScan</w:t>
            </w:r>
            <w:proofErr w:type="spellEnd"/>
            <w:r w:rsidRPr="00251542">
              <w:rPr>
                <w:sz w:val="16"/>
              </w:rPr>
              <w:t xml:space="preserve"> dans la région</w:t>
            </w:r>
          </w:p>
        </w:tc>
      </w:tr>
      <w:tr w:rsidR="004007D3" w:rsidRPr="00251542" w:rsidTr="00385904">
        <w:tc>
          <w:tcPr>
            <w:tcW w:w="1843"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Création de centres d</w:t>
            </w:r>
            <w:r w:rsidR="00A20444" w:rsidRPr="00251542">
              <w:rPr>
                <w:sz w:val="16"/>
              </w:rPr>
              <w:t>’</w:t>
            </w:r>
            <w:r w:rsidRPr="00251542">
              <w:rPr>
                <w:sz w:val="16"/>
              </w:rPr>
              <w:t>appui à la technologie et à l</w:t>
            </w:r>
            <w:r w:rsidR="00A20444" w:rsidRPr="00251542">
              <w:rPr>
                <w:sz w:val="16"/>
              </w:rPr>
              <w:t>’</w:t>
            </w:r>
            <w:r w:rsidRPr="00251542">
              <w:rPr>
                <w:sz w:val="16"/>
              </w:rPr>
              <w:t xml:space="preserve">innovation à </w:t>
            </w:r>
            <w:r w:rsidR="002264E8" w:rsidRPr="00251542">
              <w:rPr>
                <w:sz w:val="16"/>
              </w:rPr>
              <w:t>Dar es</w:t>
            </w:r>
            <w:r w:rsidR="002264E8" w:rsidRPr="00251542">
              <w:rPr>
                <w:sz w:val="16"/>
              </w:rPr>
              <w:noBreakHyphen/>
              <w:t>Salaam</w:t>
            </w:r>
            <w:r w:rsidRPr="00251542">
              <w:rPr>
                <w:sz w:val="16"/>
              </w:rPr>
              <w:t>, en République</w:t>
            </w:r>
            <w:r w:rsidR="002D6F2A" w:rsidRPr="00251542">
              <w:rPr>
                <w:sz w:val="16"/>
              </w:rPr>
              <w:noBreakHyphen/>
            </w:r>
            <w:r w:rsidRPr="00251542">
              <w:rPr>
                <w:sz w:val="16"/>
              </w:rPr>
              <w:t xml:space="preserve">Unie de Tanzanie </w:t>
            </w:r>
          </w:p>
        </w:tc>
        <w:tc>
          <w:tcPr>
            <w:tcW w:w="1562" w:type="dxa"/>
            <w:gridSpan w:val="2"/>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30 juillet</w:t>
            </w:r>
            <w:r w:rsidR="00E40890" w:rsidRPr="00251542">
              <w:rPr>
                <w:sz w:val="16"/>
              </w:rPr>
              <w:t xml:space="preserve"> </w:t>
            </w:r>
            <w:r w:rsidR="002D6F2A" w:rsidRPr="00251542">
              <w:rPr>
                <w:sz w:val="16"/>
              </w:rPr>
              <w:noBreakHyphen/>
            </w:r>
            <w:r w:rsidRPr="00251542">
              <w:rPr>
                <w:sz w:val="16"/>
              </w:rPr>
              <w:t xml:space="preserve"> 1</w:t>
            </w:r>
            <w:r w:rsidRPr="00251542">
              <w:rPr>
                <w:sz w:val="16"/>
                <w:vertAlign w:val="superscript"/>
              </w:rPr>
              <w:t>er</w:t>
            </w:r>
            <w:r w:rsidRPr="00251542">
              <w:rPr>
                <w:sz w:val="16"/>
              </w:rPr>
              <w:t> août 2013</w:t>
            </w:r>
          </w:p>
        </w:tc>
        <w:tc>
          <w:tcPr>
            <w:tcW w:w="1560" w:type="dxa"/>
          </w:tcPr>
          <w:p w:rsidR="004007D3" w:rsidRPr="00251542" w:rsidRDefault="0081044B" w:rsidP="001A5BF9">
            <w:pPr>
              <w:autoSpaceDE w:val="0"/>
              <w:autoSpaceDN w:val="0"/>
              <w:adjustRightInd w:val="0"/>
              <w:spacing w:before="120" w:after="120"/>
              <w:rPr>
                <w:rFonts w:cs="Arial"/>
                <w:sz w:val="16"/>
                <w:szCs w:val="16"/>
                <w:lang w:bidi="th-TH"/>
              </w:rPr>
            </w:pPr>
            <w:r w:rsidRPr="00251542">
              <w:rPr>
                <w:sz w:val="16"/>
              </w:rPr>
              <w:t>République</w:t>
            </w:r>
            <w:r w:rsidR="002D6F2A" w:rsidRPr="00251542">
              <w:rPr>
                <w:sz w:val="16"/>
              </w:rPr>
              <w:noBreakHyphen/>
            </w:r>
            <w:r w:rsidRPr="00251542">
              <w:rPr>
                <w:sz w:val="16"/>
              </w:rPr>
              <w:t>Unie de Tanzanie/</w:t>
            </w:r>
            <w:r w:rsidR="002264E8" w:rsidRPr="00251542">
              <w:rPr>
                <w:sz w:val="16"/>
              </w:rPr>
              <w:br/>
            </w:r>
            <w:r w:rsidRPr="00251542">
              <w:rPr>
                <w:sz w:val="16"/>
              </w:rPr>
              <w:t>50</w:t>
            </w:r>
            <w:r w:rsidR="002264E8" w:rsidRPr="00251542">
              <w:rPr>
                <w:sz w:val="16"/>
              </w:rPr>
              <w:t> </w:t>
            </w:r>
            <w:r w:rsidR="004007D3" w:rsidRPr="00251542">
              <w:rPr>
                <w:sz w:val="16"/>
              </w:rPr>
              <w:t xml:space="preserve">participants locaux </w:t>
            </w:r>
          </w:p>
        </w:tc>
        <w:tc>
          <w:tcPr>
            <w:tcW w:w="4110" w:type="dxa"/>
          </w:tcPr>
          <w:p w:rsidR="004007D3" w:rsidRPr="00251542" w:rsidRDefault="004007D3" w:rsidP="001A5BF9">
            <w:pPr>
              <w:autoSpaceDE w:val="0"/>
              <w:autoSpaceDN w:val="0"/>
              <w:adjustRightInd w:val="0"/>
              <w:spacing w:before="120" w:after="60"/>
              <w:rPr>
                <w:rFonts w:cs="Arial"/>
                <w:sz w:val="16"/>
                <w:szCs w:val="16"/>
                <w:lang w:bidi="th-TH"/>
              </w:rPr>
            </w:pPr>
            <w:r w:rsidRPr="00251542">
              <w:rPr>
                <w:sz w:val="16"/>
              </w:rPr>
              <w:t>Fournir une infrastructure de base capable d</w:t>
            </w:r>
            <w:r w:rsidR="00A20444" w:rsidRPr="00251542">
              <w:rPr>
                <w:sz w:val="16"/>
              </w:rPr>
              <w:t>’</w:t>
            </w:r>
            <w:r w:rsidRPr="00251542">
              <w:rPr>
                <w:sz w:val="16"/>
              </w:rPr>
              <w:t>accéder à l</w:t>
            </w:r>
            <w:r w:rsidR="00A20444" w:rsidRPr="00251542">
              <w:rPr>
                <w:sz w:val="16"/>
              </w:rPr>
              <w:t>’</w:t>
            </w:r>
            <w:r w:rsidRPr="00251542">
              <w:rPr>
                <w:sz w:val="16"/>
              </w:rPr>
              <w:t>Internet et former le personnel aux centres d</w:t>
            </w:r>
            <w:r w:rsidR="00A20444" w:rsidRPr="00251542">
              <w:rPr>
                <w:sz w:val="16"/>
              </w:rPr>
              <w:t>’</w:t>
            </w:r>
            <w:r w:rsidRPr="00251542">
              <w:rPr>
                <w:sz w:val="16"/>
              </w:rPr>
              <w:t>appui à la technologie et à l</w:t>
            </w:r>
            <w:r w:rsidR="00A20444" w:rsidRPr="00251542">
              <w:rPr>
                <w:sz w:val="16"/>
              </w:rPr>
              <w:t>’</w:t>
            </w:r>
            <w:r w:rsidRPr="00251542">
              <w:rPr>
                <w:sz w:val="16"/>
              </w:rPr>
              <w:t>innovation de manière à aider les utilisateurs locaux des pays en développement à utiliser et exploiter efficacement des technologies trouvées dans les bases de données en ligne</w:t>
            </w:r>
          </w:p>
        </w:tc>
      </w:tr>
      <w:tr w:rsidR="004007D3" w:rsidRPr="00251542" w:rsidTr="00385904">
        <w:tc>
          <w:tcPr>
            <w:tcW w:w="1843" w:type="dxa"/>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Deuxième réunion du centre d</w:t>
            </w:r>
            <w:r w:rsidR="00A20444" w:rsidRPr="00251542">
              <w:rPr>
                <w:sz w:val="16"/>
              </w:rPr>
              <w:t>’</w:t>
            </w:r>
            <w:r w:rsidRPr="00251542">
              <w:rPr>
                <w:sz w:val="16"/>
              </w:rPr>
              <w:t>appui à la technologie et à l</w:t>
            </w:r>
            <w:r w:rsidR="00A20444" w:rsidRPr="00251542">
              <w:rPr>
                <w:sz w:val="16"/>
              </w:rPr>
              <w:t>’</w:t>
            </w:r>
            <w:r w:rsidRPr="00251542">
              <w:rPr>
                <w:sz w:val="16"/>
              </w:rPr>
              <w:t>innovation (CATI) sur l</w:t>
            </w:r>
            <w:r w:rsidR="00A20444" w:rsidRPr="00251542">
              <w:rPr>
                <w:sz w:val="16"/>
              </w:rPr>
              <w:t>’</w:t>
            </w:r>
            <w:r w:rsidRPr="00251542">
              <w:rPr>
                <w:sz w:val="16"/>
              </w:rPr>
              <w:t xml:space="preserve">élaboration du projet CATI et la recherche de brevets et de bases de données de revues scientifiques et techniques </w:t>
            </w:r>
          </w:p>
        </w:tc>
        <w:tc>
          <w:tcPr>
            <w:tcW w:w="1562" w:type="dxa"/>
            <w:gridSpan w:val="2"/>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16 – 1</w:t>
            </w:r>
            <w:r w:rsidR="00A20444" w:rsidRPr="00251542">
              <w:rPr>
                <w:sz w:val="16"/>
              </w:rPr>
              <w:t>8 juillet 20</w:t>
            </w:r>
            <w:r w:rsidRPr="00251542">
              <w:rPr>
                <w:sz w:val="16"/>
              </w:rPr>
              <w:t>13</w:t>
            </w:r>
          </w:p>
        </w:tc>
        <w:tc>
          <w:tcPr>
            <w:tcW w:w="1560" w:type="dxa"/>
            <w:tcBorders>
              <w:bottom w:val="single" w:sz="4" w:space="0" w:color="auto"/>
            </w:tcBorders>
          </w:tcPr>
          <w:p w:rsidR="004007D3" w:rsidRPr="00251542" w:rsidRDefault="0081044B" w:rsidP="001A5BF9">
            <w:pPr>
              <w:autoSpaceDE w:val="0"/>
              <w:autoSpaceDN w:val="0"/>
              <w:adjustRightInd w:val="0"/>
              <w:spacing w:before="120" w:after="120"/>
              <w:rPr>
                <w:rFonts w:cs="Arial"/>
                <w:sz w:val="16"/>
                <w:szCs w:val="16"/>
                <w:lang w:bidi="th-TH"/>
              </w:rPr>
            </w:pPr>
            <w:r w:rsidRPr="00251542">
              <w:rPr>
                <w:sz w:val="16"/>
              </w:rPr>
              <w:t>Zambie/</w:t>
            </w:r>
            <w:r w:rsidR="00FE3459" w:rsidRPr="00251542">
              <w:rPr>
                <w:sz w:val="16"/>
              </w:rPr>
              <w:br/>
            </w:r>
            <w:r w:rsidRPr="00251542">
              <w:rPr>
                <w:sz w:val="16"/>
              </w:rPr>
              <w:t xml:space="preserve">35 </w:t>
            </w:r>
            <w:r w:rsidR="004007D3" w:rsidRPr="00251542">
              <w:rPr>
                <w:sz w:val="16"/>
              </w:rPr>
              <w:t>participants locaux</w:t>
            </w:r>
          </w:p>
        </w:tc>
        <w:tc>
          <w:tcPr>
            <w:tcW w:w="4110" w:type="dxa"/>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i) Réunir les parties prenantes des CATI afin de réviser le document de projet CATI et débattre des détails de la planification et de la mise en œuvre au niveau national en Zambie;</w:t>
            </w:r>
            <w:r w:rsidR="004F3E42" w:rsidRPr="00251542">
              <w:rPr>
                <w:sz w:val="16"/>
              </w:rPr>
              <w:t xml:space="preserve"> </w:t>
            </w:r>
            <w:r w:rsidR="0010442A" w:rsidRPr="00251542">
              <w:rPr>
                <w:sz w:val="16"/>
              </w:rPr>
              <w:t xml:space="preserve"> </w:t>
            </w:r>
            <w:r w:rsidRPr="00251542">
              <w:rPr>
                <w:sz w:val="16"/>
              </w:rPr>
              <w:t>ii) tenir un deuxième séminaire d</w:t>
            </w:r>
            <w:r w:rsidR="00A20444" w:rsidRPr="00251542">
              <w:rPr>
                <w:sz w:val="16"/>
              </w:rPr>
              <w:t>’</w:t>
            </w:r>
            <w:r w:rsidRPr="00251542">
              <w:rPr>
                <w:sz w:val="16"/>
              </w:rPr>
              <w:t>une journée de formation</w:t>
            </w:r>
            <w:r w:rsidR="00A20444" w:rsidRPr="00251542">
              <w:rPr>
                <w:sz w:val="16"/>
              </w:rPr>
              <w:t xml:space="preserve"> aux CAT</w:t>
            </w:r>
            <w:r w:rsidRPr="00251542">
              <w:rPr>
                <w:sz w:val="16"/>
              </w:rPr>
              <w:t>I consacré à la recherche d</w:t>
            </w:r>
            <w:r w:rsidR="00A20444" w:rsidRPr="00251542">
              <w:rPr>
                <w:sz w:val="16"/>
              </w:rPr>
              <w:t>’</w:t>
            </w:r>
            <w:r w:rsidRPr="00251542">
              <w:rPr>
                <w:sz w:val="16"/>
              </w:rPr>
              <w:t>informations sur les brevets, en particulier les types de recherche des bases de données de brevets ainsi que la recherche dans la base de données de revues scientifiques et techniques;</w:t>
            </w:r>
            <w:r w:rsidR="004F3E42" w:rsidRPr="00251542">
              <w:rPr>
                <w:sz w:val="16"/>
              </w:rPr>
              <w:t xml:space="preserve"> </w:t>
            </w:r>
            <w:r w:rsidR="0010442A" w:rsidRPr="00251542">
              <w:rPr>
                <w:sz w:val="16"/>
              </w:rPr>
              <w:t xml:space="preserve"> </w:t>
            </w:r>
            <w:r w:rsidRPr="00251542">
              <w:rPr>
                <w:sz w:val="16"/>
              </w:rPr>
              <w:t>et iii) piloter un atelier d</w:t>
            </w:r>
            <w:r w:rsidR="00A20444" w:rsidRPr="00251542">
              <w:rPr>
                <w:sz w:val="16"/>
              </w:rPr>
              <w:t>’</w:t>
            </w:r>
            <w:r w:rsidRPr="00251542">
              <w:rPr>
                <w:sz w:val="16"/>
              </w:rPr>
              <w:t>une journée de formation des formateurs afin de dispenser une formation approfondie à l</w:t>
            </w:r>
            <w:r w:rsidR="00A20444" w:rsidRPr="00251542">
              <w:rPr>
                <w:sz w:val="16"/>
              </w:rPr>
              <w:t>’</w:t>
            </w:r>
            <w:r w:rsidRPr="00251542">
              <w:rPr>
                <w:sz w:val="16"/>
              </w:rPr>
              <w:t>intention du personnel des CATI et des représentants des différentes parties prenantes</w:t>
            </w:r>
          </w:p>
        </w:tc>
      </w:tr>
      <w:tr w:rsidR="004007D3" w:rsidRPr="00251542" w:rsidTr="0056083E">
        <w:tc>
          <w:tcPr>
            <w:tcW w:w="9075" w:type="dxa"/>
            <w:gridSpan w:val="5"/>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1" w:hanging="1741"/>
              <w:rPr>
                <w:rFonts w:cs="Arial"/>
                <w:bCs/>
                <w:sz w:val="16"/>
                <w:szCs w:val="16"/>
              </w:rPr>
            </w:pPr>
            <w:r w:rsidRPr="007A524A">
              <w:rPr>
                <w:b/>
                <w:sz w:val="16"/>
              </w:rPr>
              <w:t>RÉSULTAT</w:t>
            </w:r>
            <w:r w:rsidR="0010442A" w:rsidRPr="007A524A">
              <w:rPr>
                <w:b/>
                <w:sz w:val="16"/>
              </w:rPr>
              <w:t> </w:t>
            </w:r>
            <w:r w:rsidRPr="007A524A">
              <w:rPr>
                <w:b/>
                <w:sz w:val="16"/>
              </w:rPr>
              <w:t>:</w:t>
            </w:r>
            <w:r w:rsidR="004F3E42" w:rsidRPr="00251542">
              <w:rPr>
                <w:sz w:val="16"/>
              </w:rPr>
              <w:t xml:space="preserve"> </w:t>
            </w:r>
            <w:r w:rsidR="007A524A">
              <w:rPr>
                <w:sz w:val="16"/>
              </w:rPr>
              <w:tab/>
            </w:r>
            <w:r w:rsidRPr="00251542">
              <w:rPr>
                <w:sz w:val="16"/>
              </w:rPr>
              <w:t>Renforcement des ressources humaines en vue de satisfaire un large éventail de besoins et d</w:t>
            </w:r>
            <w:r w:rsidR="00A20444" w:rsidRPr="00251542">
              <w:rPr>
                <w:sz w:val="16"/>
              </w:rPr>
              <w:t>’</w:t>
            </w:r>
            <w:r w:rsidRPr="00251542">
              <w:rPr>
                <w:sz w:val="16"/>
              </w:rPr>
              <w:t>utiliser efficacement la propriété intellectuelle au service du développement</w:t>
            </w:r>
          </w:p>
        </w:tc>
      </w:tr>
      <w:tr w:rsidR="004007D3" w:rsidRPr="007A524A" w:rsidTr="002264E8">
        <w:tc>
          <w:tcPr>
            <w:tcW w:w="1843" w:type="dxa"/>
            <w:tcBorders>
              <w:top w:val="single" w:sz="4" w:space="0" w:color="auto"/>
            </w:tcBorders>
            <w:vAlign w:val="center"/>
          </w:tcPr>
          <w:p w:rsidR="004007D3" w:rsidRPr="007A524A" w:rsidRDefault="004007D3" w:rsidP="001A5BF9">
            <w:pPr>
              <w:rPr>
                <w:rFonts w:cs="Arial"/>
                <w:b/>
                <w:bCs/>
                <w:sz w:val="16"/>
                <w:szCs w:val="16"/>
              </w:rPr>
            </w:pPr>
            <w:r w:rsidRPr="007A524A">
              <w:rPr>
                <w:b/>
                <w:sz w:val="16"/>
              </w:rPr>
              <w:t>Activité</w:t>
            </w:r>
          </w:p>
        </w:tc>
        <w:tc>
          <w:tcPr>
            <w:tcW w:w="1421" w:type="dxa"/>
            <w:tcBorders>
              <w:top w:val="single" w:sz="4" w:space="0" w:color="auto"/>
            </w:tcBorders>
            <w:shd w:val="clear" w:color="auto" w:fill="auto"/>
            <w:tcMar>
              <w:top w:w="110" w:type="dxa"/>
            </w:tcMar>
            <w:vAlign w:val="center"/>
          </w:tcPr>
          <w:p w:rsidR="004007D3" w:rsidRPr="007A524A" w:rsidRDefault="004007D3" w:rsidP="001A5BF9">
            <w:pPr>
              <w:rPr>
                <w:rFonts w:cs="Arial"/>
                <w:b/>
                <w:sz w:val="16"/>
                <w:szCs w:val="16"/>
              </w:rPr>
            </w:pPr>
            <w:r w:rsidRPr="007A524A">
              <w:rPr>
                <w:b/>
                <w:sz w:val="16"/>
              </w:rPr>
              <w:t>Date :</w:t>
            </w:r>
          </w:p>
        </w:tc>
        <w:tc>
          <w:tcPr>
            <w:tcW w:w="1701" w:type="dxa"/>
            <w:gridSpan w:val="2"/>
            <w:tcBorders>
              <w:top w:val="single" w:sz="4" w:space="0" w:color="auto"/>
            </w:tcBorders>
            <w:shd w:val="clear" w:color="auto" w:fill="auto"/>
            <w:tcMar>
              <w:top w:w="110" w:type="dxa"/>
            </w:tcMar>
            <w:vAlign w:val="center"/>
          </w:tcPr>
          <w:p w:rsidR="004007D3" w:rsidRPr="007A524A" w:rsidRDefault="004007D3" w:rsidP="001A5BF9">
            <w:pPr>
              <w:rPr>
                <w:rFonts w:cs="Arial"/>
                <w:b/>
                <w:sz w:val="16"/>
                <w:szCs w:val="16"/>
              </w:rPr>
            </w:pPr>
            <w:r w:rsidRPr="007A524A">
              <w:rPr>
                <w:b/>
                <w:sz w:val="16"/>
              </w:rPr>
              <w:t>Pays hôte/bénéficiaire</w:t>
            </w:r>
          </w:p>
        </w:tc>
        <w:tc>
          <w:tcPr>
            <w:tcW w:w="4110" w:type="dxa"/>
            <w:tcBorders>
              <w:top w:val="single" w:sz="4" w:space="0" w:color="auto"/>
            </w:tcBorders>
            <w:shd w:val="clear" w:color="auto" w:fill="FFFFFF"/>
            <w:tcMar>
              <w:top w:w="110" w:type="dxa"/>
            </w:tcMar>
            <w:vAlign w:val="center"/>
          </w:tcPr>
          <w:p w:rsidR="004007D3" w:rsidRPr="007A524A" w:rsidRDefault="004007D3" w:rsidP="001A5BF9">
            <w:pPr>
              <w:rPr>
                <w:rFonts w:cs="Arial"/>
                <w:b/>
                <w:sz w:val="16"/>
                <w:szCs w:val="16"/>
              </w:rPr>
            </w:pPr>
            <w:r w:rsidRPr="007A524A">
              <w:rPr>
                <w:b/>
                <w:sz w:val="16"/>
              </w:rPr>
              <w:t>Objectif(s)/description(s)</w:t>
            </w:r>
          </w:p>
        </w:tc>
      </w:tr>
      <w:tr w:rsidR="004007D3" w:rsidRPr="00251542" w:rsidTr="002264E8">
        <w:tc>
          <w:tcPr>
            <w:tcW w:w="1843" w:type="dxa"/>
          </w:tcPr>
          <w:p w:rsidR="004007D3" w:rsidRPr="00251542" w:rsidRDefault="00811C89" w:rsidP="00811C89">
            <w:pPr>
              <w:autoSpaceDE w:val="0"/>
              <w:autoSpaceDN w:val="0"/>
              <w:adjustRightInd w:val="0"/>
              <w:spacing w:before="120" w:after="120"/>
              <w:rPr>
                <w:rFonts w:cs="Arial"/>
                <w:sz w:val="16"/>
                <w:szCs w:val="16"/>
              </w:rPr>
            </w:pPr>
            <w:r>
              <w:rPr>
                <w:sz w:val="16"/>
              </w:rPr>
              <w:t>Cours de formation sur la p</w:t>
            </w:r>
            <w:r w:rsidR="004007D3" w:rsidRPr="00251542">
              <w:rPr>
                <w:sz w:val="16"/>
              </w:rPr>
              <w:t>ratique en matière d</w:t>
            </w:r>
            <w:r w:rsidR="00A20444" w:rsidRPr="00251542">
              <w:rPr>
                <w:sz w:val="16"/>
              </w:rPr>
              <w:t>’</w:t>
            </w:r>
            <w:r w:rsidR="004007D3" w:rsidRPr="00251542">
              <w:rPr>
                <w:sz w:val="16"/>
              </w:rPr>
              <w:t>examen dans le domaine de la propriété industrielle (programme de base)</w:t>
            </w:r>
          </w:p>
        </w:tc>
        <w:tc>
          <w:tcPr>
            <w:tcW w:w="1421"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21 janvier</w:t>
            </w:r>
            <w:r w:rsidR="002264E8" w:rsidRPr="00251542">
              <w:rPr>
                <w:sz w:val="16"/>
              </w:rPr>
              <w:t xml:space="preserve"> </w:t>
            </w:r>
            <w:r w:rsidR="002D6F2A" w:rsidRPr="00251542">
              <w:rPr>
                <w:sz w:val="16"/>
              </w:rPr>
              <w:noBreakHyphen/>
            </w:r>
            <w:r w:rsidRPr="00251542">
              <w:rPr>
                <w:sz w:val="16"/>
              </w:rPr>
              <w:t xml:space="preserve"> </w:t>
            </w:r>
            <w:r w:rsidR="002264E8" w:rsidRPr="00251542">
              <w:rPr>
                <w:sz w:val="16"/>
              </w:rPr>
              <w:br/>
            </w:r>
            <w:r w:rsidRPr="00251542">
              <w:rPr>
                <w:sz w:val="16"/>
              </w:rPr>
              <w:t>1</w:t>
            </w:r>
            <w:r w:rsidRPr="00251542">
              <w:rPr>
                <w:sz w:val="16"/>
                <w:vertAlign w:val="superscript"/>
              </w:rPr>
              <w:t>er</w:t>
            </w:r>
            <w:r w:rsidR="0081044B" w:rsidRPr="00251542">
              <w:rPr>
                <w:sz w:val="16"/>
              </w:rPr>
              <w:t> </w:t>
            </w:r>
            <w:r w:rsidR="00A20444" w:rsidRPr="00251542">
              <w:rPr>
                <w:sz w:val="16"/>
              </w:rPr>
              <w:t>février 20</w:t>
            </w:r>
            <w:r w:rsidRPr="00251542">
              <w:rPr>
                <w:sz w:val="16"/>
              </w:rPr>
              <w:t>13</w:t>
            </w:r>
          </w:p>
        </w:tc>
        <w:tc>
          <w:tcPr>
            <w:tcW w:w="1701" w:type="dxa"/>
            <w:gridSpan w:val="2"/>
          </w:tcPr>
          <w:p w:rsidR="004007D3" w:rsidRPr="00251542" w:rsidRDefault="004007D3" w:rsidP="00D42474">
            <w:pPr>
              <w:autoSpaceDE w:val="0"/>
              <w:autoSpaceDN w:val="0"/>
              <w:adjustRightInd w:val="0"/>
              <w:spacing w:before="120" w:after="120"/>
              <w:rPr>
                <w:rFonts w:cs="Arial"/>
                <w:sz w:val="16"/>
                <w:szCs w:val="16"/>
                <w:highlight w:val="yellow"/>
              </w:rPr>
            </w:pPr>
            <w:r w:rsidRPr="00251542">
              <w:rPr>
                <w:sz w:val="16"/>
              </w:rPr>
              <w:t>Japon/</w:t>
            </w:r>
            <w:r w:rsidR="002264E8" w:rsidRPr="00251542">
              <w:rPr>
                <w:sz w:val="16"/>
              </w:rPr>
              <w:br/>
              <w:t>t</w:t>
            </w:r>
            <w:r w:rsidRPr="00251542">
              <w:rPr>
                <w:sz w:val="16"/>
              </w:rPr>
              <w:t>rois participants africains</w:t>
            </w:r>
            <w:r w:rsidR="00811C89">
              <w:rPr>
                <w:sz w:val="16"/>
              </w:rPr>
              <w:t xml:space="preserve"> (</w:t>
            </w:r>
            <w:r w:rsidR="00D42474">
              <w:rPr>
                <w:sz w:val="16"/>
              </w:rPr>
              <w:t>représentant  l’</w:t>
            </w:r>
            <w:r w:rsidR="00811C89">
              <w:rPr>
                <w:rFonts w:cs="Arial"/>
                <w:sz w:val="16"/>
              </w:rPr>
              <w:t>É</w:t>
            </w:r>
            <w:r w:rsidR="00811C89">
              <w:rPr>
                <w:sz w:val="16"/>
              </w:rPr>
              <w:t xml:space="preserve">thiopie, </w:t>
            </w:r>
            <w:r w:rsidR="00D42474">
              <w:rPr>
                <w:sz w:val="16"/>
              </w:rPr>
              <w:t xml:space="preserve">le </w:t>
            </w:r>
            <w:r w:rsidR="00811C89">
              <w:rPr>
                <w:sz w:val="16"/>
              </w:rPr>
              <w:t xml:space="preserve">Maroc et </w:t>
            </w:r>
            <w:r w:rsidR="00D42474">
              <w:rPr>
                <w:sz w:val="16"/>
              </w:rPr>
              <w:t xml:space="preserve">le </w:t>
            </w:r>
            <w:r w:rsidR="00811C89">
              <w:rPr>
                <w:sz w:val="16"/>
              </w:rPr>
              <w:t>Nigéria)</w:t>
            </w:r>
          </w:p>
        </w:tc>
        <w:tc>
          <w:tcPr>
            <w:tcW w:w="4110" w:type="dxa"/>
          </w:tcPr>
          <w:p w:rsidR="004007D3" w:rsidRPr="00251542" w:rsidRDefault="004007D3" w:rsidP="001A5BF9">
            <w:pPr>
              <w:autoSpaceDE w:val="0"/>
              <w:autoSpaceDN w:val="0"/>
              <w:adjustRightInd w:val="0"/>
              <w:spacing w:before="120" w:after="80"/>
              <w:rPr>
                <w:rFonts w:cs="Arial"/>
                <w:sz w:val="16"/>
                <w:szCs w:val="16"/>
                <w:lang w:bidi="th-TH"/>
              </w:rPr>
            </w:pPr>
            <w:r w:rsidRPr="00251542">
              <w:rPr>
                <w:sz w:val="16"/>
              </w:rPr>
              <w:t>Aider les participants à acquérir des connaissances de base sur les lois et les procédures d</w:t>
            </w:r>
            <w:r w:rsidR="00A20444" w:rsidRPr="00251542">
              <w:rPr>
                <w:sz w:val="16"/>
              </w:rPr>
              <w:t>’</w:t>
            </w:r>
            <w:r w:rsidRPr="00251542">
              <w:rPr>
                <w:sz w:val="16"/>
              </w:rPr>
              <w:t>examen quant au fond dans le domaine des droits de la propriété industrielle par le biais de cours magistraux, d</w:t>
            </w:r>
            <w:r w:rsidR="00A20444" w:rsidRPr="00251542">
              <w:rPr>
                <w:sz w:val="16"/>
              </w:rPr>
              <w:t>’</w:t>
            </w:r>
            <w:r w:rsidRPr="00251542">
              <w:rPr>
                <w:sz w:val="16"/>
              </w:rPr>
              <w:t>exercices pratiques et d</w:t>
            </w:r>
            <w:r w:rsidR="00A20444" w:rsidRPr="00251542">
              <w:rPr>
                <w:sz w:val="16"/>
              </w:rPr>
              <w:t>’</w:t>
            </w:r>
            <w:r w:rsidRPr="00251542">
              <w:rPr>
                <w:sz w:val="16"/>
              </w:rPr>
              <w:t>études de cas.</w:t>
            </w:r>
          </w:p>
        </w:tc>
      </w:tr>
      <w:tr w:rsidR="004007D3" w:rsidRPr="00251542" w:rsidTr="002264E8">
        <w:tc>
          <w:tcPr>
            <w:tcW w:w="1843" w:type="dxa"/>
          </w:tcPr>
          <w:p w:rsidR="004007D3" w:rsidRPr="00251542" w:rsidRDefault="00811C89" w:rsidP="00811C89">
            <w:pPr>
              <w:keepNext/>
              <w:autoSpaceDE w:val="0"/>
              <w:autoSpaceDN w:val="0"/>
              <w:adjustRightInd w:val="0"/>
              <w:spacing w:before="120" w:after="120"/>
              <w:rPr>
                <w:rFonts w:cs="Arial"/>
                <w:sz w:val="16"/>
                <w:szCs w:val="16"/>
              </w:rPr>
            </w:pPr>
            <w:r>
              <w:rPr>
                <w:sz w:val="16"/>
              </w:rPr>
              <w:t>Cours de formation sur l’a</w:t>
            </w:r>
            <w:r w:rsidR="004007D3" w:rsidRPr="00251542">
              <w:rPr>
                <w:sz w:val="16"/>
              </w:rPr>
              <w:t>dministration en matière de propriété industrielle</w:t>
            </w:r>
          </w:p>
        </w:tc>
        <w:tc>
          <w:tcPr>
            <w:tcW w:w="1421" w:type="dxa"/>
          </w:tcPr>
          <w:p w:rsidR="004007D3" w:rsidRPr="00251542" w:rsidRDefault="004007D3" w:rsidP="00812285">
            <w:pPr>
              <w:keepNext/>
              <w:autoSpaceDE w:val="0"/>
              <w:autoSpaceDN w:val="0"/>
              <w:adjustRightInd w:val="0"/>
              <w:spacing w:before="120" w:after="120"/>
              <w:rPr>
                <w:rFonts w:cs="Arial"/>
                <w:sz w:val="16"/>
                <w:szCs w:val="16"/>
              </w:rPr>
            </w:pPr>
            <w:r w:rsidRPr="00251542">
              <w:rPr>
                <w:sz w:val="16"/>
              </w:rPr>
              <w:t xml:space="preserve">4 – </w:t>
            </w:r>
            <w:r w:rsidR="00A20444" w:rsidRPr="00251542">
              <w:rPr>
                <w:sz w:val="16"/>
              </w:rPr>
              <w:t>8</w:t>
            </w:r>
            <w:r w:rsidR="00812285">
              <w:rPr>
                <w:sz w:val="16"/>
              </w:rPr>
              <w:t xml:space="preserve"> </w:t>
            </w:r>
            <w:r w:rsidR="00A20444" w:rsidRPr="00251542">
              <w:rPr>
                <w:sz w:val="16"/>
              </w:rPr>
              <w:t>février 20</w:t>
            </w:r>
            <w:r w:rsidRPr="00251542">
              <w:rPr>
                <w:sz w:val="16"/>
              </w:rPr>
              <w:t>13</w:t>
            </w:r>
          </w:p>
        </w:tc>
        <w:tc>
          <w:tcPr>
            <w:tcW w:w="1701" w:type="dxa"/>
            <w:gridSpan w:val="2"/>
          </w:tcPr>
          <w:p w:rsidR="004007D3" w:rsidRPr="00251542" w:rsidRDefault="004007D3" w:rsidP="001A5BF9">
            <w:pPr>
              <w:keepNext/>
              <w:autoSpaceDE w:val="0"/>
              <w:autoSpaceDN w:val="0"/>
              <w:adjustRightInd w:val="0"/>
              <w:spacing w:before="120" w:after="120"/>
              <w:rPr>
                <w:rFonts w:cs="Arial"/>
                <w:sz w:val="16"/>
                <w:szCs w:val="16"/>
              </w:rPr>
            </w:pPr>
            <w:r w:rsidRPr="00251542">
              <w:rPr>
                <w:sz w:val="16"/>
              </w:rPr>
              <w:t>Japon/participant venant de Tunisie</w:t>
            </w:r>
          </w:p>
        </w:tc>
        <w:tc>
          <w:tcPr>
            <w:tcW w:w="4110" w:type="dxa"/>
          </w:tcPr>
          <w:p w:rsidR="004007D3" w:rsidRPr="00251542" w:rsidRDefault="004007D3" w:rsidP="001A5BF9">
            <w:pPr>
              <w:keepNext/>
              <w:autoSpaceDE w:val="0"/>
              <w:autoSpaceDN w:val="0"/>
              <w:adjustRightInd w:val="0"/>
              <w:spacing w:before="120" w:after="80"/>
              <w:rPr>
                <w:rFonts w:cs="Arial"/>
                <w:sz w:val="16"/>
                <w:szCs w:val="16"/>
                <w:lang w:bidi="th-TH"/>
              </w:rPr>
            </w:pPr>
            <w:r w:rsidRPr="00251542">
              <w:rPr>
                <w:sz w:val="16"/>
              </w:rPr>
              <w:t>i) Développer les connaissances des participants quant aux pratiques de gestion moderne en matière de propriété intellectuelle;</w:t>
            </w:r>
            <w:r w:rsidR="004F3E42" w:rsidRPr="00251542">
              <w:rPr>
                <w:sz w:val="16"/>
              </w:rPr>
              <w:t xml:space="preserve"> </w:t>
            </w:r>
            <w:r w:rsidR="0010442A" w:rsidRPr="00251542">
              <w:rPr>
                <w:sz w:val="16"/>
              </w:rPr>
              <w:t xml:space="preserve"> </w:t>
            </w:r>
            <w:r w:rsidRPr="00251542">
              <w:rPr>
                <w:sz w:val="16"/>
              </w:rPr>
              <w:t>et ii) renforcer les capacités des participants afin de formuler, mettre en œuvre et évaluer les plans des offices de propriété industrielle qui sont contraignants en termes de temps, axés sur les résultats, et ont un impact mesurable</w:t>
            </w:r>
          </w:p>
        </w:tc>
      </w:tr>
      <w:tr w:rsidR="004007D3" w:rsidRPr="00251542" w:rsidTr="002264E8">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Programmes de formation pour les examinateurs de brevets sur certaines technologies (programmes informatiques)</w:t>
            </w:r>
          </w:p>
        </w:tc>
        <w:tc>
          <w:tcPr>
            <w:tcW w:w="1421" w:type="dxa"/>
          </w:tcPr>
          <w:p w:rsidR="004007D3" w:rsidRPr="00251542" w:rsidRDefault="0081044B" w:rsidP="00812285">
            <w:pPr>
              <w:autoSpaceDE w:val="0"/>
              <w:autoSpaceDN w:val="0"/>
              <w:adjustRightInd w:val="0"/>
              <w:spacing w:before="120" w:after="120"/>
              <w:rPr>
                <w:rFonts w:cs="Arial"/>
                <w:sz w:val="16"/>
                <w:szCs w:val="16"/>
              </w:rPr>
            </w:pPr>
            <w:r w:rsidRPr="00251542">
              <w:rPr>
                <w:sz w:val="16"/>
              </w:rPr>
              <w:t>13</w:t>
            </w:r>
            <w:r w:rsidR="002D6F2A" w:rsidRPr="00251542">
              <w:rPr>
                <w:sz w:val="16"/>
              </w:rPr>
              <w:noBreakHyphen/>
            </w:r>
            <w:r w:rsidRPr="00251542">
              <w:rPr>
                <w:sz w:val="16"/>
              </w:rPr>
              <w:t>2</w:t>
            </w:r>
            <w:r w:rsidR="00A20444" w:rsidRPr="00251542">
              <w:rPr>
                <w:sz w:val="16"/>
              </w:rPr>
              <w:t>0</w:t>
            </w:r>
            <w:r w:rsidR="00812285">
              <w:rPr>
                <w:sz w:val="16"/>
              </w:rPr>
              <w:t xml:space="preserve"> </w:t>
            </w:r>
            <w:r w:rsidR="00BD43F2" w:rsidRPr="00251542">
              <w:rPr>
                <w:sz w:val="16"/>
              </w:rPr>
              <w:t>février </w:t>
            </w:r>
            <w:r w:rsidR="004007D3" w:rsidRPr="00251542">
              <w:rPr>
                <w:sz w:val="16"/>
              </w:rPr>
              <w:t>2013</w:t>
            </w:r>
          </w:p>
        </w:tc>
        <w:tc>
          <w:tcPr>
            <w:tcW w:w="1701" w:type="dxa"/>
            <w:gridSpan w:val="2"/>
          </w:tcPr>
          <w:p w:rsidR="004007D3" w:rsidRPr="00251542" w:rsidRDefault="002264E8" w:rsidP="00D42474">
            <w:pPr>
              <w:autoSpaceDE w:val="0"/>
              <w:autoSpaceDN w:val="0"/>
              <w:adjustRightInd w:val="0"/>
              <w:spacing w:before="120" w:after="120"/>
              <w:rPr>
                <w:rFonts w:cs="Arial"/>
                <w:sz w:val="16"/>
                <w:szCs w:val="16"/>
              </w:rPr>
            </w:pPr>
            <w:r w:rsidRPr="00251542">
              <w:rPr>
                <w:sz w:val="16"/>
              </w:rPr>
              <w:t>Japon/</w:t>
            </w:r>
            <w:r w:rsidRPr="00251542">
              <w:rPr>
                <w:sz w:val="16"/>
              </w:rPr>
              <w:br/>
              <w:t>d</w:t>
            </w:r>
            <w:r w:rsidR="004007D3" w:rsidRPr="00251542">
              <w:rPr>
                <w:sz w:val="16"/>
              </w:rPr>
              <w:t xml:space="preserve">eux participants africains </w:t>
            </w:r>
            <w:r w:rsidR="00D42474">
              <w:rPr>
                <w:sz w:val="16"/>
              </w:rPr>
              <w:t>(représentant  le Maroc et le Kenya)</w:t>
            </w:r>
          </w:p>
        </w:tc>
        <w:tc>
          <w:tcPr>
            <w:tcW w:w="4110"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 xml:space="preserve"> i) Informer les participants des tendances actuelles et des pratiques modernes d</w:t>
            </w:r>
            <w:r w:rsidR="00A20444" w:rsidRPr="00251542">
              <w:rPr>
                <w:sz w:val="16"/>
              </w:rPr>
              <w:t>’</w:t>
            </w:r>
            <w:r w:rsidRPr="00251542">
              <w:rPr>
                <w:sz w:val="16"/>
              </w:rPr>
              <w:t>examen des brevets relatifs aux programmes informatiques;</w:t>
            </w:r>
            <w:r w:rsidR="004F3E42" w:rsidRPr="00251542">
              <w:rPr>
                <w:sz w:val="16"/>
              </w:rPr>
              <w:t xml:space="preserve"> </w:t>
            </w:r>
            <w:r w:rsidR="0010442A" w:rsidRPr="00251542">
              <w:rPr>
                <w:sz w:val="16"/>
              </w:rPr>
              <w:t xml:space="preserve"> </w:t>
            </w:r>
            <w:r w:rsidRPr="00251542">
              <w:rPr>
                <w:sz w:val="16"/>
              </w:rPr>
              <w:t>ii) leur transmettre des connaissances et informations concrètes sur les méthodes d</w:t>
            </w:r>
            <w:r w:rsidR="00A20444" w:rsidRPr="00251542">
              <w:rPr>
                <w:sz w:val="16"/>
              </w:rPr>
              <w:t>’</w:t>
            </w:r>
            <w:r w:rsidRPr="00251542">
              <w:rPr>
                <w:sz w:val="16"/>
              </w:rPr>
              <w:t>examen de brevet;</w:t>
            </w:r>
            <w:r w:rsidR="004F3E42" w:rsidRPr="00251542">
              <w:rPr>
                <w:sz w:val="16"/>
              </w:rPr>
              <w:t xml:space="preserve"> </w:t>
            </w:r>
            <w:r w:rsidR="0010442A" w:rsidRPr="00251542">
              <w:rPr>
                <w:sz w:val="16"/>
              </w:rPr>
              <w:t xml:space="preserve"> </w:t>
            </w:r>
            <w:r w:rsidRPr="00251542">
              <w:rPr>
                <w:sz w:val="16"/>
              </w:rPr>
              <w:t>iii) donner aux participants l</w:t>
            </w:r>
            <w:r w:rsidR="00A20444" w:rsidRPr="00251542">
              <w:rPr>
                <w:sz w:val="16"/>
              </w:rPr>
              <w:t>’</w:t>
            </w:r>
            <w:r w:rsidRPr="00251542">
              <w:rPr>
                <w:sz w:val="16"/>
              </w:rPr>
              <w:t>occasion d</w:t>
            </w:r>
            <w:r w:rsidR="00A20444" w:rsidRPr="00251542">
              <w:rPr>
                <w:sz w:val="16"/>
              </w:rPr>
              <w:t>’</w:t>
            </w:r>
            <w:r w:rsidRPr="00251542">
              <w:rPr>
                <w:sz w:val="16"/>
              </w:rPr>
              <w:t>échanger des expériences et des points de vue sur les questions d</w:t>
            </w:r>
            <w:r w:rsidR="00A20444" w:rsidRPr="00251542">
              <w:rPr>
                <w:sz w:val="16"/>
              </w:rPr>
              <w:t>’</w:t>
            </w:r>
            <w:r w:rsidRPr="00251542">
              <w:rPr>
                <w:sz w:val="16"/>
              </w:rPr>
              <w:t xml:space="preserve">examen des brevets; </w:t>
            </w:r>
            <w:r w:rsidR="0010442A" w:rsidRPr="00251542">
              <w:rPr>
                <w:sz w:val="16"/>
              </w:rPr>
              <w:t xml:space="preserve"> </w:t>
            </w:r>
            <w:r w:rsidRPr="00251542">
              <w:rPr>
                <w:sz w:val="16"/>
              </w:rPr>
              <w:t>et</w:t>
            </w:r>
            <w:r w:rsidR="004F3E42" w:rsidRPr="00251542">
              <w:rPr>
                <w:sz w:val="16"/>
              </w:rPr>
              <w:t xml:space="preserve"> </w:t>
            </w:r>
            <w:r w:rsidRPr="00251542">
              <w:rPr>
                <w:sz w:val="16"/>
              </w:rPr>
              <w:t>iv) renforcer les compétences professionnelles des participants en matière d</w:t>
            </w:r>
            <w:r w:rsidR="00A20444" w:rsidRPr="00251542">
              <w:rPr>
                <w:sz w:val="16"/>
              </w:rPr>
              <w:t>’</w:t>
            </w:r>
            <w:r w:rsidRPr="00251542">
              <w:rPr>
                <w:sz w:val="16"/>
              </w:rPr>
              <w:t>examen de brevets de programmes informatiques</w:t>
            </w:r>
          </w:p>
        </w:tc>
      </w:tr>
      <w:tr w:rsidR="004007D3" w:rsidRPr="00251542" w:rsidTr="002264E8">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Programmes de formation pour les examinateurs de brevets sur certaines technologies (éclairage)</w:t>
            </w:r>
          </w:p>
        </w:tc>
        <w:tc>
          <w:tcPr>
            <w:tcW w:w="1421" w:type="dxa"/>
          </w:tcPr>
          <w:p w:rsidR="004007D3" w:rsidRPr="00251542" w:rsidRDefault="0081044B" w:rsidP="00812285">
            <w:pPr>
              <w:autoSpaceDE w:val="0"/>
              <w:autoSpaceDN w:val="0"/>
              <w:adjustRightInd w:val="0"/>
              <w:spacing w:before="120" w:after="120"/>
              <w:rPr>
                <w:sz w:val="16"/>
              </w:rPr>
            </w:pPr>
            <w:r w:rsidRPr="00251542">
              <w:rPr>
                <w:sz w:val="16"/>
              </w:rPr>
              <w:t>21</w:t>
            </w:r>
            <w:r w:rsidR="002D6F2A" w:rsidRPr="00251542">
              <w:rPr>
                <w:sz w:val="16"/>
              </w:rPr>
              <w:noBreakHyphen/>
            </w:r>
            <w:r w:rsidRPr="00251542">
              <w:rPr>
                <w:sz w:val="16"/>
              </w:rPr>
              <w:t>28</w:t>
            </w:r>
            <w:r w:rsidR="00812285">
              <w:rPr>
                <w:sz w:val="16"/>
              </w:rPr>
              <w:t xml:space="preserve"> </w:t>
            </w:r>
            <w:r w:rsidR="00BD43F2" w:rsidRPr="00251542">
              <w:rPr>
                <w:sz w:val="16"/>
              </w:rPr>
              <w:t>février </w:t>
            </w:r>
            <w:r w:rsidR="00A20444" w:rsidRPr="00251542">
              <w:rPr>
                <w:sz w:val="16"/>
              </w:rPr>
              <w:t>20</w:t>
            </w:r>
            <w:r w:rsidR="004007D3" w:rsidRPr="00251542">
              <w:rPr>
                <w:sz w:val="16"/>
              </w:rPr>
              <w:t>13</w:t>
            </w:r>
          </w:p>
        </w:tc>
        <w:tc>
          <w:tcPr>
            <w:tcW w:w="1701" w:type="dxa"/>
            <w:gridSpan w:val="2"/>
          </w:tcPr>
          <w:p w:rsidR="004007D3" w:rsidRPr="00251542" w:rsidRDefault="004007D3" w:rsidP="00D42474">
            <w:pPr>
              <w:autoSpaceDE w:val="0"/>
              <w:autoSpaceDN w:val="0"/>
              <w:adjustRightInd w:val="0"/>
              <w:spacing w:before="120" w:after="120"/>
              <w:rPr>
                <w:rFonts w:cs="Arial"/>
                <w:sz w:val="16"/>
                <w:szCs w:val="16"/>
              </w:rPr>
            </w:pPr>
            <w:r w:rsidRPr="00251542">
              <w:rPr>
                <w:sz w:val="16"/>
              </w:rPr>
              <w:t>Japon/</w:t>
            </w:r>
            <w:r w:rsidR="002264E8" w:rsidRPr="00251542">
              <w:rPr>
                <w:sz w:val="16"/>
              </w:rPr>
              <w:br/>
              <w:t>t</w:t>
            </w:r>
            <w:r w:rsidRPr="00251542">
              <w:rPr>
                <w:sz w:val="16"/>
              </w:rPr>
              <w:t>rois participants africains</w:t>
            </w:r>
            <w:r w:rsidR="00D42474">
              <w:rPr>
                <w:sz w:val="16"/>
              </w:rPr>
              <w:t xml:space="preserve"> (représentant l’</w:t>
            </w:r>
            <w:r w:rsidR="00D42474">
              <w:rPr>
                <w:rFonts w:cs="Arial"/>
                <w:sz w:val="16"/>
              </w:rPr>
              <w:t>Égypte, le Maroc et l’OAPI)</w:t>
            </w:r>
          </w:p>
        </w:tc>
        <w:tc>
          <w:tcPr>
            <w:tcW w:w="4110" w:type="dxa"/>
          </w:tcPr>
          <w:p w:rsidR="004007D3" w:rsidRPr="00251542" w:rsidRDefault="004007D3" w:rsidP="001A5BF9">
            <w:pPr>
              <w:rPr>
                <w:rFonts w:cs="Arial"/>
                <w:sz w:val="16"/>
                <w:szCs w:val="16"/>
                <w:lang w:bidi="th-TH"/>
              </w:rPr>
            </w:pPr>
            <w:r w:rsidRPr="00251542">
              <w:rPr>
                <w:sz w:val="16"/>
              </w:rPr>
              <w:t xml:space="preserve"> i) Informer les participants des tendances actuelles et des pratiques modernes d</w:t>
            </w:r>
            <w:r w:rsidR="00A20444" w:rsidRPr="00251542">
              <w:rPr>
                <w:sz w:val="16"/>
              </w:rPr>
              <w:t>’</w:t>
            </w:r>
            <w:r w:rsidRPr="00251542">
              <w:rPr>
                <w:sz w:val="16"/>
              </w:rPr>
              <w:t>examen des brevets relatifs à l</w:t>
            </w:r>
            <w:r w:rsidR="00A20444" w:rsidRPr="00251542">
              <w:rPr>
                <w:sz w:val="16"/>
              </w:rPr>
              <w:t>’</w:t>
            </w:r>
            <w:r w:rsidRPr="00251542">
              <w:rPr>
                <w:sz w:val="16"/>
              </w:rPr>
              <w:t>éclairage;</w:t>
            </w:r>
            <w:r w:rsidR="004F3E42" w:rsidRPr="00251542">
              <w:rPr>
                <w:sz w:val="16"/>
              </w:rPr>
              <w:t xml:space="preserve"> </w:t>
            </w:r>
            <w:r w:rsidR="0010442A" w:rsidRPr="00251542">
              <w:rPr>
                <w:sz w:val="16"/>
              </w:rPr>
              <w:t xml:space="preserve"> </w:t>
            </w:r>
            <w:r w:rsidRPr="00251542">
              <w:rPr>
                <w:sz w:val="16"/>
              </w:rPr>
              <w:t>ii) leur transmettre des connaissances et informations concrètes sur les méthodes d</w:t>
            </w:r>
            <w:r w:rsidR="00A20444" w:rsidRPr="00251542">
              <w:rPr>
                <w:sz w:val="16"/>
              </w:rPr>
              <w:t>’</w:t>
            </w:r>
            <w:r w:rsidRPr="00251542">
              <w:rPr>
                <w:sz w:val="16"/>
              </w:rPr>
              <w:t>examen de brevet;</w:t>
            </w:r>
            <w:r w:rsidR="004F3E42" w:rsidRPr="00251542">
              <w:rPr>
                <w:sz w:val="16"/>
              </w:rPr>
              <w:t xml:space="preserve"> </w:t>
            </w:r>
            <w:r w:rsidR="0010442A" w:rsidRPr="00251542">
              <w:rPr>
                <w:sz w:val="16"/>
              </w:rPr>
              <w:t xml:space="preserve"> </w:t>
            </w:r>
            <w:r w:rsidRPr="00251542">
              <w:rPr>
                <w:sz w:val="16"/>
              </w:rPr>
              <w:t>iii) donner aux participants l</w:t>
            </w:r>
            <w:r w:rsidR="00A20444" w:rsidRPr="00251542">
              <w:rPr>
                <w:sz w:val="16"/>
              </w:rPr>
              <w:t>’</w:t>
            </w:r>
            <w:r w:rsidRPr="00251542">
              <w:rPr>
                <w:sz w:val="16"/>
              </w:rPr>
              <w:t>occasion d</w:t>
            </w:r>
            <w:r w:rsidR="00A20444" w:rsidRPr="00251542">
              <w:rPr>
                <w:sz w:val="16"/>
              </w:rPr>
              <w:t>’</w:t>
            </w:r>
            <w:r w:rsidRPr="00251542">
              <w:rPr>
                <w:sz w:val="16"/>
              </w:rPr>
              <w:t>échanger des expériences et des points de vue sur les questions d</w:t>
            </w:r>
            <w:r w:rsidR="00A20444" w:rsidRPr="00251542">
              <w:rPr>
                <w:sz w:val="16"/>
              </w:rPr>
              <w:t>’</w:t>
            </w:r>
            <w:r w:rsidRPr="00251542">
              <w:rPr>
                <w:sz w:val="16"/>
              </w:rPr>
              <w:t xml:space="preserve">examen des brevets; </w:t>
            </w:r>
            <w:r w:rsidR="0010442A" w:rsidRPr="00251542">
              <w:rPr>
                <w:sz w:val="16"/>
              </w:rPr>
              <w:t xml:space="preserve"> </w:t>
            </w:r>
            <w:r w:rsidRPr="00251542">
              <w:rPr>
                <w:sz w:val="16"/>
              </w:rPr>
              <w:t>et</w:t>
            </w:r>
            <w:r w:rsidR="004F3E42" w:rsidRPr="00251542">
              <w:rPr>
                <w:sz w:val="16"/>
              </w:rPr>
              <w:t xml:space="preserve"> </w:t>
            </w:r>
            <w:r w:rsidRPr="00251542">
              <w:rPr>
                <w:sz w:val="16"/>
              </w:rPr>
              <w:t>iv) renforcer les compétences professionnelles des participants en matière d</w:t>
            </w:r>
            <w:r w:rsidR="00A20444" w:rsidRPr="00251542">
              <w:rPr>
                <w:sz w:val="16"/>
              </w:rPr>
              <w:t>’</w:t>
            </w:r>
            <w:r w:rsidRPr="00251542">
              <w:rPr>
                <w:sz w:val="16"/>
              </w:rPr>
              <w:t>examen de brevets relatifs à l</w:t>
            </w:r>
            <w:r w:rsidR="00A20444" w:rsidRPr="00251542">
              <w:rPr>
                <w:sz w:val="16"/>
              </w:rPr>
              <w:t>’</w:t>
            </w:r>
            <w:r w:rsidRPr="00251542">
              <w:rPr>
                <w:sz w:val="16"/>
              </w:rPr>
              <w:t>éclairage</w:t>
            </w:r>
          </w:p>
        </w:tc>
      </w:tr>
      <w:tr w:rsidR="004007D3" w:rsidRPr="00251542" w:rsidTr="002264E8">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Atelier de l</w:t>
            </w:r>
            <w:r w:rsidR="00A20444" w:rsidRPr="00251542">
              <w:rPr>
                <w:sz w:val="16"/>
              </w:rPr>
              <w:t>’</w:t>
            </w:r>
            <w:r w:rsidRPr="00251542">
              <w:rPr>
                <w:sz w:val="16"/>
              </w:rPr>
              <w:t>OMPI sur l</w:t>
            </w:r>
            <w:r w:rsidR="00A20444" w:rsidRPr="00251542">
              <w:rPr>
                <w:sz w:val="16"/>
              </w:rPr>
              <w:t>’</w:t>
            </w:r>
            <w:r w:rsidRPr="00251542">
              <w:rPr>
                <w:sz w:val="16"/>
              </w:rPr>
              <w:t>utilisation efficace des résultats de recherche et des communications découlant du système du Traité de coopération en matière de brevets (PCT) en phase nationale</w:t>
            </w:r>
          </w:p>
        </w:tc>
        <w:tc>
          <w:tcPr>
            <w:tcW w:w="1421"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26 février</w:t>
            </w:r>
            <w:r w:rsidR="002264E8" w:rsidRPr="00251542">
              <w:rPr>
                <w:sz w:val="16"/>
              </w:rPr>
              <w:t xml:space="preserve"> </w:t>
            </w:r>
            <w:r w:rsidR="002D6F2A" w:rsidRPr="00251542">
              <w:rPr>
                <w:sz w:val="16"/>
              </w:rPr>
              <w:noBreakHyphen/>
            </w:r>
            <w:r w:rsidR="002264E8" w:rsidRPr="00251542">
              <w:rPr>
                <w:sz w:val="16"/>
              </w:rPr>
              <w:t xml:space="preserve"> </w:t>
            </w:r>
            <w:r w:rsidR="002264E8" w:rsidRPr="00251542">
              <w:rPr>
                <w:sz w:val="16"/>
              </w:rPr>
              <w:br/>
            </w:r>
            <w:r w:rsidRPr="00251542">
              <w:rPr>
                <w:sz w:val="16"/>
              </w:rPr>
              <w:t>1</w:t>
            </w:r>
            <w:r w:rsidRPr="00251542">
              <w:rPr>
                <w:sz w:val="16"/>
                <w:vertAlign w:val="superscript"/>
              </w:rPr>
              <w:t>er</w:t>
            </w:r>
            <w:r w:rsidR="0081044B" w:rsidRPr="00251542">
              <w:rPr>
                <w:sz w:val="16"/>
              </w:rPr>
              <w:t> </w:t>
            </w:r>
            <w:r w:rsidR="00A20444" w:rsidRPr="00251542">
              <w:rPr>
                <w:sz w:val="16"/>
              </w:rPr>
              <w:t>mars 20</w:t>
            </w:r>
            <w:r w:rsidRPr="00251542">
              <w:rPr>
                <w:sz w:val="16"/>
              </w:rPr>
              <w:t>13</w:t>
            </w:r>
          </w:p>
        </w:tc>
        <w:tc>
          <w:tcPr>
            <w:tcW w:w="1701"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Japon/</w:t>
            </w:r>
            <w:r w:rsidR="002264E8" w:rsidRPr="00251542">
              <w:rPr>
                <w:sz w:val="16"/>
              </w:rPr>
              <w:br/>
              <w:t>t</w:t>
            </w:r>
            <w:r w:rsidRPr="00251542">
              <w:rPr>
                <w:sz w:val="16"/>
              </w:rPr>
              <w:t>rois participants africains d</w:t>
            </w:r>
            <w:r w:rsidR="00A20444" w:rsidRPr="00251542">
              <w:rPr>
                <w:sz w:val="16"/>
              </w:rPr>
              <w:t>’</w:t>
            </w:r>
            <w:r w:rsidRPr="00251542">
              <w:rPr>
                <w:sz w:val="16"/>
              </w:rPr>
              <w:t>Égypte, du Burundi et de Madagascar</w:t>
            </w:r>
          </w:p>
        </w:tc>
        <w:tc>
          <w:tcPr>
            <w:tcW w:w="4110" w:type="dxa"/>
          </w:tcPr>
          <w:p w:rsidR="004007D3" w:rsidRPr="00251542" w:rsidRDefault="004007D3" w:rsidP="001A5BF9">
            <w:pPr>
              <w:autoSpaceDE w:val="0"/>
              <w:autoSpaceDN w:val="0"/>
              <w:adjustRightInd w:val="0"/>
              <w:spacing w:before="120" w:after="80"/>
              <w:rPr>
                <w:rFonts w:cs="Arial"/>
                <w:sz w:val="16"/>
                <w:szCs w:val="16"/>
                <w:lang w:bidi="th-TH"/>
              </w:rPr>
            </w:pPr>
            <w:r w:rsidRPr="00251542">
              <w:rPr>
                <w:sz w:val="16"/>
              </w:rPr>
              <w:t xml:space="preserve"> i) Donner l</w:t>
            </w:r>
            <w:r w:rsidR="00A20444" w:rsidRPr="00251542">
              <w:rPr>
                <w:sz w:val="16"/>
              </w:rPr>
              <w:t>’</w:t>
            </w:r>
            <w:r w:rsidRPr="00251542">
              <w:rPr>
                <w:sz w:val="16"/>
              </w:rPr>
              <w:t>occasion d</w:t>
            </w:r>
            <w:r w:rsidR="00A20444" w:rsidRPr="00251542">
              <w:rPr>
                <w:sz w:val="16"/>
              </w:rPr>
              <w:t>’</w:t>
            </w:r>
            <w:r w:rsidRPr="00251542">
              <w:rPr>
                <w:sz w:val="16"/>
              </w:rPr>
              <w:t>échanger des défis et des meilleures pratiques sur l</w:t>
            </w:r>
            <w:r w:rsidR="00A20444" w:rsidRPr="00251542">
              <w:rPr>
                <w:sz w:val="16"/>
              </w:rPr>
              <w:t>’</w:t>
            </w:r>
            <w:r w:rsidRPr="00251542">
              <w:rPr>
                <w:sz w:val="16"/>
              </w:rPr>
              <w:t>utilisation efficace d</w:t>
            </w:r>
            <w:r w:rsidR="00A20444" w:rsidRPr="00251542">
              <w:rPr>
                <w:sz w:val="16"/>
              </w:rPr>
              <w:t>’</w:t>
            </w:r>
            <w:r w:rsidRPr="00251542">
              <w:rPr>
                <w:sz w:val="16"/>
              </w:rPr>
              <w:t>informations sur l</w:t>
            </w:r>
            <w:r w:rsidR="00A20444" w:rsidRPr="00251542">
              <w:rPr>
                <w:sz w:val="16"/>
              </w:rPr>
              <w:t>’</w:t>
            </w:r>
            <w:r w:rsidRPr="00251542">
              <w:rPr>
                <w:sz w:val="16"/>
              </w:rPr>
              <w:t>examen des brevets réalisés par d</w:t>
            </w:r>
            <w:r w:rsidR="00A20444" w:rsidRPr="00251542">
              <w:rPr>
                <w:sz w:val="16"/>
              </w:rPr>
              <w:t>’</w:t>
            </w:r>
            <w:r w:rsidRPr="00251542">
              <w:rPr>
                <w:sz w:val="16"/>
              </w:rPr>
              <w:t>autres offices de propriété intellectuelle;</w:t>
            </w:r>
            <w:r w:rsidR="004F3E42" w:rsidRPr="00251542">
              <w:rPr>
                <w:sz w:val="16"/>
              </w:rPr>
              <w:t xml:space="preserve"> </w:t>
            </w:r>
            <w:r w:rsidR="0010442A" w:rsidRPr="00251542">
              <w:rPr>
                <w:sz w:val="16"/>
              </w:rPr>
              <w:t xml:space="preserve"> </w:t>
            </w:r>
            <w:r w:rsidRPr="00251542">
              <w:rPr>
                <w:sz w:val="16"/>
              </w:rPr>
              <w:t>ii) étudier et examiner les moyens de créer une plate</w:t>
            </w:r>
            <w:r w:rsidR="002D6F2A" w:rsidRPr="00251542">
              <w:rPr>
                <w:sz w:val="16"/>
              </w:rPr>
              <w:noBreakHyphen/>
            </w:r>
            <w:r w:rsidRPr="00251542">
              <w:rPr>
                <w:sz w:val="16"/>
              </w:rPr>
              <w:t>forme pour faciliter l</w:t>
            </w:r>
            <w:r w:rsidR="00A20444" w:rsidRPr="00251542">
              <w:rPr>
                <w:sz w:val="16"/>
              </w:rPr>
              <w:t>’</w:t>
            </w:r>
            <w:r w:rsidRPr="00251542">
              <w:rPr>
                <w:sz w:val="16"/>
              </w:rPr>
              <w:t>accès à ces informations, en faisant notamment référence aux projets internationaux en cours;</w:t>
            </w:r>
            <w:r w:rsidR="004F3E42" w:rsidRPr="00251542">
              <w:rPr>
                <w:sz w:val="16"/>
              </w:rPr>
              <w:t xml:space="preserve"> </w:t>
            </w:r>
            <w:r w:rsidR="0010442A" w:rsidRPr="00251542">
              <w:rPr>
                <w:sz w:val="16"/>
              </w:rPr>
              <w:t xml:space="preserve"> </w:t>
            </w:r>
            <w:r w:rsidRPr="00251542">
              <w:rPr>
                <w:sz w:val="16"/>
              </w:rPr>
              <w:t>et iii) mieux comprendre l</w:t>
            </w:r>
            <w:r w:rsidR="00A20444" w:rsidRPr="00251542">
              <w:rPr>
                <w:sz w:val="16"/>
              </w:rPr>
              <w:t>’</w:t>
            </w:r>
            <w:r w:rsidRPr="00251542">
              <w:rPr>
                <w:sz w:val="16"/>
              </w:rPr>
              <w:t>utilité des technologies de l</w:t>
            </w:r>
            <w:r w:rsidR="00A20444" w:rsidRPr="00251542">
              <w:rPr>
                <w:sz w:val="16"/>
              </w:rPr>
              <w:t>’</w:t>
            </w:r>
            <w:r w:rsidRPr="00251542">
              <w:rPr>
                <w:sz w:val="16"/>
              </w:rPr>
              <w:t>information dans l</w:t>
            </w:r>
            <w:r w:rsidR="00A20444" w:rsidRPr="00251542">
              <w:rPr>
                <w:sz w:val="16"/>
              </w:rPr>
              <w:t>’</w:t>
            </w:r>
            <w:r w:rsidRPr="00251542">
              <w:rPr>
                <w:sz w:val="16"/>
              </w:rPr>
              <w:t>élaboration d</w:t>
            </w:r>
            <w:r w:rsidR="00A20444" w:rsidRPr="00251542">
              <w:rPr>
                <w:sz w:val="16"/>
              </w:rPr>
              <w:t>’</w:t>
            </w:r>
            <w:r w:rsidRPr="00251542">
              <w:rPr>
                <w:sz w:val="16"/>
              </w:rPr>
              <w:t>une plate</w:t>
            </w:r>
            <w:r w:rsidR="002D6F2A" w:rsidRPr="00251542">
              <w:rPr>
                <w:sz w:val="16"/>
              </w:rPr>
              <w:noBreakHyphen/>
            </w:r>
            <w:r w:rsidRPr="00251542">
              <w:rPr>
                <w:sz w:val="16"/>
              </w:rPr>
              <w:t>forme pour la coopération régionale et internationale sur l</w:t>
            </w:r>
            <w:r w:rsidR="00A20444" w:rsidRPr="00251542">
              <w:rPr>
                <w:sz w:val="16"/>
              </w:rPr>
              <w:t>’</w:t>
            </w:r>
            <w:r w:rsidRPr="00251542">
              <w:rPr>
                <w:sz w:val="16"/>
              </w:rPr>
              <w:t>examen des brevets</w:t>
            </w:r>
          </w:p>
        </w:tc>
      </w:tr>
      <w:tr w:rsidR="004007D3" w:rsidRPr="00251542" w:rsidTr="002264E8">
        <w:tc>
          <w:tcPr>
            <w:tcW w:w="1843" w:type="dxa"/>
          </w:tcPr>
          <w:p w:rsidR="004007D3" w:rsidRPr="00251542" w:rsidRDefault="004007D3" w:rsidP="001A5BF9">
            <w:pPr>
              <w:pageBreakBefore/>
              <w:autoSpaceDE w:val="0"/>
              <w:autoSpaceDN w:val="0"/>
              <w:adjustRightInd w:val="0"/>
              <w:spacing w:before="120" w:after="80"/>
              <w:rPr>
                <w:rFonts w:cs="Arial"/>
                <w:sz w:val="16"/>
                <w:szCs w:val="16"/>
              </w:rPr>
            </w:pPr>
            <w:r w:rsidRPr="00251542">
              <w:rPr>
                <w:sz w:val="16"/>
              </w:rPr>
              <w:t>Conférence africaine sur l</w:t>
            </w:r>
            <w:r w:rsidR="00A20444" w:rsidRPr="00251542">
              <w:rPr>
                <w:sz w:val="16"/>
              </w:rPr>
              <w:t>’</w:t>
            </w:r>
            <w:r w:rsidRPr="00251542">
              <w:rPr>
                <w:sz w:val="16"/>
              </w:rPr>
              <w:t>importance stratégique des politiques de propriété intellectuelle pour favoriser l</w:t>
            </w:r>
            <w:r w:rsidR="00A20444" w:rsidRPr="00251542">
              <w:rPr>
                <w:sz w:val="16"/>
              </w:rPr>
              <w:t>’</w:t>
            </w:r>
            <w:r w:rsidRPr="00251542">
              <w:rPr>
                <w:sz w:val="16"/>
              </w:rPr>
              <w:t>innovation, la création de valeur et la compétitivité, et réunion préparatoire régionale de l</w:t>
            </w:r>
            <w:r w:rsidR="00A20444" w:rsidRPr="00251542">
              <w:rPr>
                <w:sz w:val="16"/>
              </w:rPr>
              <w:t>’</w:t>
            </w:r>
            <w:proofErr w:type="spellStart"/>
            <w:r w:rsidRPr="00251542">
              <w:rPr>
                <w:sz w:val="16"/>
              </w:rPr>
              <w:t>ECOSOC</w:t>
            </w:r>
            <w:proofErr w:type="spellEnd"/>
            <w:r w:rsidRPr="00251542">
              <w:rPr>
                <w:sz w:val="16"/>
              </w:rPr>
              <w:t xml:space="preserve"> pour l</w:t>
            </w:r>
            <w:r w:rsidR="00A20444" w:rsidRPr="00251542">
              <w:rPr>
                <w:sz w:val="16"/>
              </w:rPr>
              <w:t>’</w:t>
            </w:r>
            <w:r w:rsidRPr="00251542">
              <w:rPr>
                <w:sz w:val="16"/>
              </w:rPr>
              <w:t>Afrique</w:t>
            </w:r>
          </w:p>
        </w:tc>
        <w:tc>
          <w:tcPr>
            <w:tcW w:w="1421" w:type="dxa"/>
          </w:tcPr>
          <w:p w:rsidR="004007D3" w:rsidRPr="00251542" w:rsidRDefault="0081044B" w:rsidP="00812285">
            <w:pPr>
              <w:autoSpaceDE w:val="0"/>
              <w:autoSpaceDN w:val="0"/>
              <w:adjustRightInd w:val="0"/>
              <w:spacing w:before="120" w:after="120"/>
              <w:rPr>
                <w:rFonts w:cs="Arial"/>
                <w:sz w:val="16"/>
                <w:szCs w:val="16"/>
              </w:rPr>
            </w:pPr>
            <w:r w:rsidRPr="00251542">
              <w:rPr>
                <w:sz w:val="16"/>
              </w:rPr>
              <w:t>12</w:t>
            </w:r>
            <w:r w:rsidR="002D6F2A" w:rsidRPr="00251542">
              <w:rPr>
                <w:sz w:val="16"/>
              </w:rPr>
              <w:noBreakHyphen/>
            </w:r>
            <w:r w:rsidRPr="00251542">
              <w:rPr>
                <w:sz w:val="16"/>
              </w:rPr>
              <w:t>14</w:t>
            </w:r>
            <w:r w:rsidR="00812285">
              <w:rPr>
                <w:sz w:val="16"/>
              </w:rPr>
              <w:t xml:space="preserve"> </w:t>
            </w:r>
            <w:r w:rsidR="00BD43F2" w:rsidRPr="00251542">
              <w:rPr>
                <w:sz w:val="16"/>
              </w:rPr>
              <w:t>mars </w:t>
            </w:r>
            <w:r w:rsidR="00A20444" w:rsidRPr="00251542">
              <w:rPr>
                <w:sz w:val="16"/>
              </w:rPr>
              <w:t>20</w:t>
            </w:r>
            <w:r w:rsidR="004007D3" w:rsidRPr="00251542">
              <w:rPr>
                <w:sz w:val="16"/>
              </w:rPr>
              <w:t>13</w:t>
            </w:r>
          </w:p>
        </w:tc>
        <w:tc>
          <w:tcPr>
            <w:tcW w:w="1701"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République</w:t>
            </w:r>
            <w:r w:rsidR="002D6F2A" w:rsidRPr="00251542">
              <w:rPr>
                <w:sz w:val="16"/>
              </w:rPr>
              <w:noBreakHyphen/>
            </w:r>
            <w:r w:rsidRPr="00251542">
              <w:rPr>
                <w:sz w:val="16"/>
              </w:rPr>
              <w:t>Unie de Tanzanie/</w:t>
            </w:r>
            <w:r w:rsidR="00FE3459" w:rsidRPr="00251542">
              <w:rPr>
                <w:sz w:val="16"/>
              </w:rPr>
              <w:br/>
              <w:t>p</w:t>
            </w:r>
            <w:r w:rsidRPr="00251542">
              <w:rPr>
                <w:sz w:val="16"/>
              </w:rPr>
              <w:t>lus de 200 participants africains</w:t>
            </w:r>
          </w:p>
        </w:tc>
        <w:tc>
          <w:tcPr>
            <w:tcW w:w="4110" w:type="dxa"/>
          </w:tcPr>
          <w:p w:rsidR="00D42474" w:rsidRPr="00D42474" w:rsidRDefault="00D42474" w:rsidP="00D42474">
            <w:pPr>
              <w:autoSpaceDE w:val="0"/>
              <w:autoSpaceDN w:val="0"/>
              <w:adjustRightInd w:val="0"/>
              <w:spacing w:before="120" w:after="120"/>
              <w:rPr>
                <w:rFonts w:cs="Arial"/>
                <w:color w:val="000000"/>
                <w:sz w:val="16"/>
                <w:szCs w:val="16"/>
                <w:lang w:val="fr-CH" w:eastAsia="ja-JP" w:bidi="th-TH"/>
              </w:rPr>
            </w:pPr>
            <w:r w:rsidRPr="00D42474">
              <w:rPr>
                <w:rFonts w:cs="Arial"/>
                <w:color w:val="000000"/>
                <w:sz w:val="16"/>
                <w:szCs w:val="16"/>
                <w:lang w:val="fr-CH" w:eastAsia="ja-JP" w:bidi="th-TH"/>
              </w:rPr>
              <w:t>La conférence avait essentiellement pour objectif de mettre en évidence l’importance de la propriété intellectuelle pour le développement commercial, la création de richesses et la croissance économique générale, ainsi que l'efficacité des politiques de propriété intellectuelle au niveau des pays, des institutions et des entreprises grâce à l'</w:t>
            </w:r>
            <w:proofErr w:type="spellStart"/>
            <w:r w:rsidRPr="00D42474">
              <w:rPr>
                <w:rFonts w:cs="Arial"/>
                <w:color w:val="000000"/>
                <w:sz w:val="16"/>
                <w:szCs w:val="16"/>
                <w:lang w:val="fr-CH" w:eastAsia="ja-JP" w:bidi="th-TH"/>
              </w:rPr>
              <w:t>tulisation</w:t>
            </w:r>
            <w:proofErr w:type="spellEnd"/>
            <w:r w:rsidRPr="00D42474">
              <w:rPr>
                <w:rFonts w:cs="Arial"/>
                <w:color w:val="000000"/>
                <w:sz w:val="16"/>
                <w:szCs w:val="16"/>
                <w:lang w:val="fr-CH" w:eastAsia="ja-JP" w:bidi="th-TH"/>
              </w:rPr>
              <w:t xml:space="preserve"> des possibilités offertes par les systèmes de propriété intellectuelle.</w:t>
            </w:r>
          </w:p>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La réunion a abordé : i) l</w:t>
            </w:r>
            <w:r w:rsidR="00A20444" w:rsidRPr="00251542">
              <w:rPr>
                <w:sz w:val="16"/>
              </w:rPr>
              <w:t>’</w:t>
            </w:r>
            <w:r w:rsidRPr="00251542">
              <w:rPr>
                <w:sz w:val="16"/>
              </w:rPr>
              <w:t>état actuel et l</w:t>
            </w:r>
            <w:r w:rsidR="00A20444" w:rsidRPr="00251542">
              <w:rPr>
                <w:sz w:val="16"/>
              </w:rPr>
              <w:t>’</w:t>
            </w:r>
            <w:r w:rsidRPr="00251542">
              <w:rPr>
                <w:sz w:val="16"/>
              </w:rPr>
              <w:t>importance de l</w:t>
            </w:r>
            <w:r w:rsidR="00A20444" w:rsidRPr="00251542">
              <w:rPr>
                <w:sz w:val="16"/>
              </w:rPr>
              <w:t>’</w:t>
            </w:r>
            <w:r w:rsidRPr="00251542">
              <w:rPr>
                <w:sz w:val="16"/>
              </w:rPr>
              <w:t>innovation pour chercher des solutions afin de se confronter aux enjeux de développement;</w:t>
            </w:r>
            <w:r w:rsidR="004F3E42" w:rsidRPr="00251542">
              <w:rPr>
                <w:sz w:val="16"/>
              </w:rPr>
              <w:t xml:space="preserve"> </w:t>
            </w:r>
            <w:r w:rsidR="0010442A" w:rsidRPr="00251542">
              <w:rPr>
                <w:sz w:val="16"/>
              </w:rPr>
              <w:t xml:space="preserve"> </w:t>
            </w:r>
            <w:r w:rsidRPr="00251542">
              <w:rPr>
                <w:sz w:val="16"/>
              </w:rPr>
              <w:t>ii) comment créer, promouvoir et soutenir un environnement novateur;</w:t>
            </w:r>
            <w:r w:rsidR="004F3E42" w:rsidRPr="00251542">
              <w:rPr>
                <w:sz w:val="16"/>
              </w:rPr>
              <w:t xml:space="preserve"> </w:t>
            </w:r>
            <w:r w:rsidR="0010442A" w:rsidRPr="00251542">
              <w:rPr>
                <w:sz w:val="16"/>
              </w:rPr>
              <w:t xml:space="preserve"> </w:t>
            </w:r>
            <w:r w:rsidRPr="00251542">
              <w:rPr>
                <w:sz w:val="16"/>
              </w:rPr>
              <w:t>et iii)</w:t>
            </w:r>
            <w:r w:rsidR="0010442A" w:rsidRPr="00251542">
              <w:rPr>
                <w:sz w:val="16"/>
              </w:rPr>
              <w:t> </w:t>
            </w:r>
            <w:r w:rsidRPr="00251542">
              <w:rPr>
                <w:sz w:val="16"/>
              </w:rPr>
              <w:t>comment convertir des solutions innovantes en produits commercialisables</w:t>
            </w:r>
          </w:p>
        </w:tc>
      </w:tr>
      <w:tr w:rsidR="004007D3" w:rsidRPr="00251542" w:rsidTr="002264E8">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WIPO GREEN</w:t>
            </w:r>
            <w:r w:rsidR="00E40890" w:rsidRPr="00251542">
              <w:rPr>
                <w:sz w:val="16"/>
              </w:rPr>
              <w:t xml:space="preserve"> </w:t>
            </w:r>
            <w:r w:rsidR="002D6F2A" w:rsidRPr="00251542">
              <w:rPr>
                <w:sz w:val="16"/>
              </w:rPr>
              <w:noBreakHyphen/>
            </w:r>
            <w:r w:rsidRPr="00251542">
              <w:rPr>
                <w:sz w:val="16"/>
              </w:rPr>
              <w:t xml:space="preserve"> </w:t>
            </w:r>
            <w:r w:rsidR="00E40890" w:rsidRPr="00251542">
              <w:rPr>
                <w:sz w:val="16"/>
              </w:rPr>
              <w:br/>
            </w:r>
            <w:r w:rsidRPr="00251542">
              <w:rPr>
                <w:sz w:val="16"/>
              </w:rPr>
              <w:t>Changement climatique et innovation en Afrique : le climat pour un développement durable</w:t>
            </w:r>
          </w:p>
        </w:tc>
        <w:tc>
          <w:tcPr>
            <w:tcW w:w="1421" w:type="dxa"/>
          </w:tcPr>
          <w:p w:rsidR="004007D3" w:rsidRPr="00251542" w:rsidRDefault="004007D3" w:rsidP="00812285">
            <w:pPr>
              <w:autoSpaceDE w:val="0"/>
              <w:autoSpaceDN w:val="0"/>
              <w:adjustRightInd w:val="0"/>
              <w:spacing w:before="120" w:after="120"/>
              <w:rPr>
                <w:rFonts w:cs="Arial"/>
                <w:sz w:val="16"/>
                <w:szCs w:val="16"/>
              </w:rPr>
            </w:pPr>
            <w:r w:rsidRPr="00251542">
              <w:rPr>
                <w:sz w:val="16"/>
              </w:rPr>
              <w:t>24 – 2</w:t>
            </w:r>
            <w:r w:rsidR="00A20444" w:rsidRPr="00251542">
              <w:rPr>
                <w:sz w:val="16"/>
              </w:rPr>
              <w:t>6</w:t>
            </w:r>
            <w:r w:rsidR="00812285">
              <w:rPr>
                <w:sz w:val="16"/>
              </w:rPr>
              <w:t xml:space="preserve"> </w:t>
            </w:r>
            <w:r w:rsidR="00A20444" w:rsidRPr="00251542">
              <w:rPr>
                <w:sz w:val="16"/>
              </w:rPr>
              <w:t>juin 20</w:t>
            </w:r>
            <w:r w:rsidRPr="00251542">
              <w:rPr>
                <w:sz w:val="16"/>
              </w:rPr>
              <w:t>13</w:t>
            </w:r>
          </w:p>
        </w:tc>
        <w:tc>
          <w:tcPr>
            <w:tcW w:w="1701"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Kenya/</w:t>
            </w:r>
            <w:r w:rsidR="00FE3459" w:rsidRPr="00251542">
              <w:rPr>
                <w:sz w:val="16"/>
              </w:rPr>
              <w:br/>
            </w:r>
            <w:r w:rsidRPr="00251542">
              <w:rPr>
                <w:sz w:val="16"/>
              </w:rPr>
              <w:t>200 participants représentant 13 pays africains</w:t>
            </w:r>
          </w:p>
        </w:tc>
        <w:tc>
          <w:tcPr>
            <w:tcW w:w="4110" w:type="dxa"/>
          </w:tcPr>
          <w:p w:rsidR="004007D3" w:rsidRPr="00251542" w:rsidRDefault="004007D3" w:rsidP="001A5BF9">
            <w:pPr>
              <w:autoSpaceDE w:val="0"/>
              <w:autoSpaceDN w:val="0"/>
              <w:adjustRightInd w:val="0"/>
              <w:spacing w:before="120" w:after="80"/>
              <w:rPr>
                <w:rFonts w:cs="Arial"/>
                <w:sz w:val="16"/>
                <w:szCs w:val="16"/>
                <w:lang w:bidi="th-TH"/>
              </w:rPr>
            </w:pPr>
            <w:r w:rsidRPr="00251542">
              <w:rPr>
                <w:sz w:val="16"/>
              </w:rPr>
              <w:t>Créer un cadre de dialogue avec les différentes parties prenantes impliquées dans le changement climatique, l</w:t>
            </w:r>
            <w:r w:rsidR="00A20444" w:rsidRPr="00251542">
              <w:rPr>
                <w:sz w:val="16"/>
              </w:rPr>
              <w:t>’</w:t>
            </w:r>
            <w:r w:rsidRPr="00251542">
              <w:rPr>
                <w:sz w:val="16"/>
              </w:rPr>
              <w:t>innovation et le développement en Afrique pour : i) partager des connaissances, des réseaux et favoriser le transfert des technologies vertes;</w:t>
            </w:r>
            <w:r w:rsidR="004F3E42" w:rsidRPr="00251542">
              <w:rPr>
                <w:sz w:val="16"/>
              </w:rPr>
              <w:t xml:space="preserve"> </w:t>
            </w:r>
            <w:r w:rsidR="0010442A" w:rsidRPr="00251542">
              <w:rPr>
                <w:sz w:val="16"/>
              </w:rPr>
              <w:t xml:space="preserve"> </w:t>
            </w:r>
            <w:r w:rsidRPr="00251542">
              <w:rPr>
                <w:sz w:val="16"/>
              </w:rPr>
              <w:t>ii) encourager les initiatives innovantes et la collaboration en abordant le changement climatique en Afrique;</w:t>
            </w:r>
            <w:r w:rsidR="004F3E42" w:rsidRPr="00251542">
              <w:rPr>
                <w:sz w:val="16"/>
              </w:rPr>
              <w:t xml:space="preserve"> </w:t>
            </w:r>
            <w:r w:rsidR="0010442A" w:rsidRPr="00251542">
              <w:rPr>
                <w:sz w:val="16"/>
              </w:rPr>
              <w:t xml:space="preserve"> </w:t>
            </w:r>
            <w:r w:rsidRPr="00251542">
              <w:rPr>
                <w:sz w:val="16"/>
              </w:rPr>
              <w:t>iii) renforcer la sensibilisation sur la manière dont la propriété intellectuelle peut être utilisée efficacement pour soutenir l</w:t>
            </w:r>
            <w:r w:rsidR="00A20444" w:rsidRPr="00251542">
              <w:rPr>
                <w:sz w:val="16"/>
              </w:rPr>
              <w:t>’</w:t>
            </w:r>
            <w:r w:rsidRPr="00251542">
              <w:rPr>
                <w:sz w:val="16"/>
              </w:rPr>
              <w:t>innovation et le transfert de technologie;</w:t>
            </w:r>
            <w:r w:rsidR="004F3E42" w:rsidRPr="00251542">
              <w:rPr>
                <w:sz w:val="16"/>
              </w:rPr>
              <w:t xml:space="preserve"> </w:t>
            </w:r>
            <w:r w:rsidR="0010442A" w:rsidRPr="00251542">
              <w:rPr>
                <w:sz w:val="16"/>
              </w:rPr>
              <w:t xml:space="preserve"> </w:t>
            </w:r>
            <w:r w:rsidRPr="00251542">
              <w:rPr>
                <w:sz w:val="16"/>
              </w:rPr>
              <w:t>et iv) faire valoir l</w:t>
            </w:r>
            <w:r w:rsidR="00A20444" w:rsidRPr="00251542">
              <w:rPr>
                <w:sz w:val="16"/>
              </w:rPr>
              <w:t>’</w:t>
            </w:r>
            <w:r w:rsidRPr="00251542">
              <w:rPr>
                <w:sz w:val="16"/>
              </w:rPr>
              <w:t>urgence et la nécessité de poursuivre un développement résistant au changement climatique et à l</w:t>
            </w:r>
            <w:r w:rsidR="00A20444" w:rsidRPr="00251542">
              <w:rPr>
                <w:sz w:val="16"/>
              </w:rPr>
              <w:t>’</w:t>
            </w:r>
            <w:r w:rsidRPr="00251542">
              <w:rPr>
                <w:sz w:val="16"/>
              </w:rPr>
              <w:t>épreuve du climat en Afrique et notamment en Afrique de l</w:t>
            </w:r>
            <w:r w:rsidR="00A20444" w:rsidRPr="00251542">
              <w:rPr>
                <w:sz w:val="16"/>
              </w:rPr>
              <w:t>’</w:t>
            </w:r>
            <w:r w:rsidRPr="00251542">
              <w:rPr>
                <w:sz w:val="16"/>
              </w:rPr>
              <w:t>Est, par le biais de politiques, de pratiques et d</w:t>
            </w:r>
            <w:r w:rsidR="00A20444" w:rsidRPr="00251542">
              <w:rPr>
                <w:sz w:val="16"/>
              </w:rPr>
              <w:t>’</w:t>
            </w:r>
            <w:r w:rsidRPr="00251542">
              <w:rPr>
                <w:sz w:val="16"/>
              </w:rPr>
              <w:t>innovations plus éclairées</w:t>
            </w:r>
          </w:p>
        </w:tc>
      </w:tr>
      <w:tr w:rsidR="004007D3" w:rsidRPr="00251542" w:rsidTr="002264E8">
        <w:tc>
          <w:tcPr>
            <w:tcW w:w="1843"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Séminaire régional du PCT pour les États membres d</w:t>
            </w:r>
            <w:r w:rsidR="00A20444" w:rsidRPr="00251542">
              <w:rPr>
                <w:sz w:val="16"/>
              </w:rPr>
              <w:t>’</w:t>
            </w:r>
            <w:r w:rsidRPr="00251542">
              <w:rPr>
                <w:sz w:val="16"/>
              </w:rPr>
              <w:t>ARIPO</w:t>
            </w:r>
          </w:p>
        </w:tc>
        <w:tc>
          <w:tcPr>
            <w:tcW w:w="1421" w:type="dxa"/>
          </w:tcPr>
          <w:p w:rsidR="004007D3" w:rsidRPr="00251542" w:rsidRDefault="004007D3" w:rsidP="00812285">
            <w:pPr>
              <w:autoSpaceDE w:val="0"/>
              <w:autoSpaceDN w:val="0"/>
              <w:adjustRightInd w:val="0"/>
              <w:spacing w:before="120" w:after="120"/>
              <w:rPr>
                <w:rFonts w:cs="Arial"/>
                <w:sz w:val="16"/>
                <w:szCs w:val="16"/>
                <w:lang w:bidi="th-TH"/>
              </w:rPr>
            </w:pPr>
            <w:r w:rsidRPr="00251542">
              <w:rPr>
                <w:sz w:val="16"/>
              </w:rPr>
              <w:t>25 – 2</w:t>
            </w:r>
            <w:r w:rsidR="00A20444" w:rsidRPr="00251542">
              <w:rPr>
                <w:sz w:val="16"/>
              </w:rPr>
              <w:t>7</w:t>
            </w:r>
            <w:r w:rsidR="00812285">
              <w:rPr>
                <w:sz w:val="16"/>
              </w:rPr>
              <w:t xml:space="preserve"> </w:t>
            </w:r>
            <w:r w:rsidR="00A20444" w:rsidRPr="00251542">
              <w:rPr>
                <w:sz w:val="16"/>
              </w:rPr>
              <w:t>juin 20</w:t>
            </w:r>
            <w:r w:rsidRPr="00251542">
              <w:rPr>
                <w:sz w:val="16"/>
              </w:rPr>
              <w:t>13</w:t>
            </w:r>
          </w:p>
        </w:tc>
        <w:tc>
          <w:tcPr>
            <w:tcW w:w="1701" w:type="dxa"/>
            <w:gridSpan w:val="2"/>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Namibie/</w:t>
            </w:r>
            <w:r w:rsidR="00FE3459" w:rsidRPr="00251542">
              <w:rPr>
                <w:sz w:val="16"/>
              </w:rPr>
              <w:br/>
            </w:r>
            <w:r w:rsidRPr="00251542">
              <w:rPr>
                <w:sz w:val="16"/>
              </w:rPr>
              <w:t>30 participants africains</w:t>
            </w:r>
          </w:p>
        </w:tc>
        <w:tc>
          <w:tcPr>
            <w:tcW w:w="4110"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Favoriser l</w:t>
            </w:r>
            <w:r w:rsidR="00A20444" w:rsidRPr="00251542">
              <w:rPr>
                <w:sz w:val="16"/>
              </w:rPr>
              <w:t>’</w:t>
            </w:r>
            <w:r w:rsidRPr="00251542">
              <w:rPr>
                <w:sz w:val="16"/>
              </w:rPr>
              <w:t>échange d</w:t>
            </w:r>
            <w:r w:rsidR="00A20444" w:rsidRPr="00251542">
              <w:rPr>
                <w:sz w:val="16"/>
              </w:rPr>
              <w:t>’</w:t>
            </w:r>
            <w:r w:rsidRPr="00251542">
              <w:rPr>
                <w:sz w:val="16"/>
              </w:rPr>
              <w:t>expériences parmi les États membres du PCT et ceux qui envisagent d</w:t>
            </w:r>
            <w:r w:rsidR="00A20444" w:rsidRPr="00251542">
              <w:rPr>
                <w:sz w:val="16"/>
              </w:rPr>
              <w:t>’</w:t>
            </w:r>
            <w:r w:rsidRPr="00251542">
              <w:rPr>
                <w:sz w:val="16"/>
              </w:rPr>
              <w:t>y adhérer, et proposer une mise à niveau quant aux évolutions récentes au sein du système du PCT dans le cadre de l</w:t>
            </w:r>
            <w:r w:rsidR="00A20444" w:rsidRPr="00251542">
              <w:rPr>
                <w:sz w:val="16"/>
              </w:rPr>
              <w:t>’</w:t>
            </w:r>
            <w:r w:rsidRPr="00251542">
              <w:rPr>
                <w:sz w:val="16"/>
              </w:rPr>
              <w:t>ARIPO en tant qu</w:t>
            </w:r>
            <w:r w:rsidR="00A20444" w:rsidRPr="00251542">
              <w:rPr>
                <w:sz w:val="16"/>
              </w:rPr>
              <w:t>’</w:t>
            </w:r>
            <w:r w:rsidRPr="00251542">
              <w:rPr>
                <w:sz w:val="16"/>
              </w:rPr>
              <w:t>organisation régionale des brevets</w:t>
            </w:r>
          </w:p>
        </w:tc>
      </w:tr>
      <w:tr w:rsidR="004007D3" w:rsidRPr="00251542" w:rsidTr="002264E8">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Partenariat entre l</w:t>
            </w:r>
            <w:r w:rsidR="00A20444" w:rsidRPr="00251542">
              <w:rPr>
                <w:sz w:val="16"/>
                <w:szCs w:val="16"/>
              </w:rPr>
              <w:t>’</w:t>
            </w:r>
            <w:r w:rsidRPr="00251542">
              <w:rPr>
                <w:sz w:val="16"/>
                <w:szCs w:val="16"/>
              </w:rPr>
              <w:t>OMPI/l</w:t>
            </w:r>
            <w:r w:rsidR="00A20444" w:rsidRPr="00251542">
              <w:rPr>
                <w:sz w:val="16"/>
                <w:szCs w:val="16"/>
              </w:rPr>
              <w:t>’</w:t>
            </w:r>
            <w:r w:rsidRPr="00251542">
              <w:rPr>
                <w:sz w:val="16"/>
                <w:szCs w:val="16"/>
              </w:rPr>
              <w:t xml:space="preserve">OAPI (Centre de formation Denis </w:t>
            </w:r>
            <w:proofErr w:type="spellStart"/>
            <w:r w:rsidRPr="00251542">
              <w:rPr>
                <w:sz w:val="16"/>
                <w:szCs w:val="16"/>
              </w:rPr>
              <w:t>Ekani</w:t>
            </w:r>
            <w:proofErr w:type="spellEnd"/>
            <w:r w:rsidRPr="00251542">
              <w:rPr>
                <w:sz w:val="16"/>
                <w:szCs w:val="16"/>
              </w:rPr>
              <w:t>) et l</w:t>
            </w:r>
            <w:r w:rsidR="00A20444" w:rsidRPr="00251542">
              <w:rPr>
                <w:sz w:val="16"/>
                <w:szCs w:val="16"/>
              </w:rPr>
              <w:t>’</w:t>
            </w:r>
            <w:r w:rsidRPr="00251542">
              <w:rPr>
                <w:sz w:val="16"/>
                <w:szCs w:val="16"/>
              </w:rPr>
              <w:t>Université de Yaoundé II</w:t>
            </w:r>
          </w:p>
        </w:tc>
        <w:tc>
          <w:tcPr>
            <w:tcW w:w="1421" w:type="dxa"/>
          </w:tcPr>
          <w:p w:rsidR="004007D3" w:rsidRPr="00251542" w:rsidRDefault="00812285" w:rsidP="00812285">
            <w:pPr>
              <w:autoSpaceDE w:val="0"/>
              <w:autoSpaceDN w:val="0"/>
              <w:adjustRightInd w:val="0"/>
              <w:spacing w:before="120" w:after="120"/>
              <w:rPr>
                <w:rFonts w:cs="Arial"/>
                <w:sz w:val="16"/>
                <w:szCs w:val="16"/>
              </w:rPr>
            </w:pPr>
            <w:r>
              <w:rPr>
                <w:sz w:val="16"/>
                <w:szCs w:val="16"/>
              </w:rPr>
              <w:t>d</w:t>
            </w:r>
            <w:r w:rsidR="004007D3" w:rsidRPr="00251542">
              <w:rPr>
                <w:sz w:val="16"/>
                <w:szCs w:val="16"/>
              </w:rPr>
              <w:t>u 3 </w:t>
            </w:r>
            <w:r w:rsidR="00BD43F2" w:rsidRPr="00251542">
              <w:rPr>
                <w:sz w:val="16"/>
                <w:szCs w:val="16"/>
              </w:rPr>
              <w:t>octobre</w:t>
            </w:r>
            <w:r>
              <w:rPr>
                <w:sz w:val="16"/>
                <w:szCs w:val="16"/>
              </w:rPr>
              <w:t xml:space="preserve"> </w:t>
            </w:r>
            <w:r w:rsidR="004007D3" w:rsidRPr="00251542">
              <w:rPr>
                <w:sz w:val="16"/>
                <w:szCs w:val="16"/>
              </w:rPr>
              <w:t>2012 au</w:t>
            </w:r>
            <w:r>
              <w:rPr>
                <w:sz w:val="16"/>
                <w:szCs w:val="16"/>
              </w:rPr>
              <w:t xml:space="preserve"> </w:t>
            </w:r>
            <w:r w:rsidR="004007D3" w:rsidRPr="00251542">
              <w:rPr>
                <w:sz w:val="16"/>
                <w:szCs w:val="16"/>
              </w:rPr>
              <w:t>30 </w:t>
            </w:r>
            <w:r w:rsidR="00BD43F2" w:rsidRPr="00251542">
              <w:rPr>
                <w:sz w:val="16"/>
                <w:szCs w:val="16"/>
              </w:rPr>
              <w:t>juin </w:t>
            </w:r>
            <w:r w:rsidR="004007D3" w:rsidRPr="00251542">
              <w:rPr>
                <w:sz w:val="16"/>
                <w:szCs w:val="16"/>
              </w:rPr>
              <w:t>2013</w:t>
            </w:r>
          </w:p>
        </w:tc>
        <w:tc>
          <w:tcPr>
            <w:tcW w:w="1701"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Cameroun/</w:t>
            </w:r>
            <w:r w:rsidR="00FE3459" w:rsidRPr="00251542">
              <w:rPr>
                <w:sz w:val="16"/>
                <w:szCs w:val="16"/>
              </w:rPr>
              <w:br/>
            </w:r>
            <w:r w:rsidRPr="00251542">
              <w:rPr>
                <w:sz w:val="16"/>
                <w:szCs w:val="16"/>
              </w:rPr>
              <w:t>10 bourses remises à des étudiants africains</w:t>
            </w:r>
          </w:p>
        </w:tc>
        <w:tc>
          <w:tcPr>
            <w:tcW w:w="4110"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szCs w:val="16"/>
              </w:rPr>
              <w:t>Offrir des perspectives de renforcement des ressources humaines et des capacités par le biais de formations et de cours consacrés à la propriété intellectuelle et destinés aux personnes chargées de l</w:t>
            </w:r>
            <w:r w:rsidR="00A20444" w:rsidRPr="00251542">
              <w:rPr>
                <w:sz w:val="16"/>
                <w:szCs w:val="16"/>
              </w:rPr>
              <w:t>’</w:t>
            </w:r>
            <w:r w:rsidRPr="00251542">
              <w:rPr>
                <w:sz w:val="16"/>
                <w:szCs w:val="16"/>
              </w:rPr>
              <w:t>enseignement et de la recherche dans ce domaine au sein des universités et autres institutions.</w:t>
            </w:r>
          </w:p>
        </w:tc>
      </w:tr>
      <w:tr w:rsidR="004007D3" w:rsidRPr="00251542" w:rsidTr="002264E8">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Partenariat entre l</w:t>
            </w:r>
            <w:r w:rsidR="00A20444" w:rsidRPr="00251542">
              <w:rPr>
                <w:sz w:val="16"/>
                <w:szCs w:val="16"/>
              </w:rPr>
              <w:t>’</w:t>
            </w:r>
            <w:r w:rsidRPr="00251542">
              <w:rPr>
                <w:sz w:val="16"/>
                <w:szCs w:val="16"/>
              </w:rPr>
              <w:t>OMPI/ARIPO et l</w:t>
            </w:r>
            <w:r w:rsidR="00A20444" w:rsidRPr="00251542">
              <w:rPr>
                <w:sz w:val="16"/>
                <w:szCs w:val="16"/>
              </w:rPr>
              <w:t>’</w:t>
            </w:r>
            <w:r w:rsidRPr="00251542">
              <w:rPr>
                <w:sz w:val="16"/>
                <w:szCs w:val="16"/>
              </w:rPr>
              <w:t>Université d</w:t>
            </w:r>
            <w:r w:rsidR="00A20444" w:rsidRPr="00251542">
              <w:rPr>
                <w:sz w:val="16"/>
                <w:szCs w:val="16"/>
              </w:rPr>
              <w:t>’</w:t>
            </w:r>
            <w:r w:rsidRPr="00251542">
              <w:rPr>
                <w:sz w:val="16"/>
                <w:szCs w:val="16"/>
              </w:rPr>
              <w:t>Afrique à Mutare (Zimbabwe)</w:t>
            </w:r>
          </w:p>
        </w:tc>
        <w:tc>
          <w:tcPr>
            <w:tcW w:w="1421" w:type="dxa"/>
          </w:tcPr>
          <w:p w:rsidR="004007D3" w:rsidRPr="00251542" w:rsidRDefault="00812285" w:rsidP="00D42474">
            <w:pPr>
              <w:autoSpaceDE w:val="0"/>
              <w:autoSpaceDN w:val="0"/>
              <w:adjustRightInd w:val="0"/>
              <w:spacing w:before="120" w:after="120"/>
              <w:rPr>
                <w:rFonts w:cs="Arial"/>
                <w:sz w:val="16"/>
                <w:szCs w:val="16"/>
              </w:rPr>
            </w:pPr>
            <w:r>
              <w:rPr>
                <w:sz w:val="16"/>
                <w:szCs w:val="16"/>
              </w:rPr>
              <w:t>d</w:t>
            </w:r>
            <w:r w:rsidR="004007D3" w:rsidRPr="00251542">
              <w:rPr>
                <w:sz w:val="16"/>
                <w:szCs w:val="16"/>
              </w:rPr>
              <w:t>u </w:t>
            </w:r>
            <w:r w:rsidR="00D42474">
              <w:rPr>
                <w:sz w:val="16"/>
                <w:szCs w:val="16"/>
              </w:rPr>
              <w:t>15</w:t>
            </w:r>
            <w:r w:rsidR="004007D3" w:rsidRPr="00251542">
              <w:rPr>
                <w:sz w:val="16"/>
                <w:szCs w:val="16"/>
              </w:rPr>
              <w:t> </w:t>
            </w:r>
            <w:r w:rsidR="00D42474">
              <w:rPr>
                <w:sz w:val="16"/>
                <w:szCs w:val="16"/>
              </w:rPr>
              <w:t>août 2012</w:t>
            </w:r>
            <w:r w:rsidR="004007D3" w:rsidRPr="00251542">
              <w:rPr>
                <w:sz w:val="16"/>
                <w:szCs w:val="16"/>
              </w:rPr>
              <w:t xml:space="preserve"> au 27 </w:t>
            </w:r>
            <w:r w:rsidR="00BD43F2" w:rsidRPr="00251542">
              <w:rPr>
                <w:sz w:val="16"/>
                <w:szCs w:val="16"/>
              </w:rPr>
              <w:t>juillet</w:t>
            </w:r>
            <w:r>
              <w:rPr>
                <w:sz w:val="16"/>
                <w:szCs w:val="16"/>
              </w:rPr>
              <w:t xml:space="preserve"> </w:t>
            </w:r>
            <w:r w:rsidR="004007D3" w:rsidRPr="00251542">
              <w:rPr>
                <w:sz w:val="16"/>
                <w:szCs w:val="16"/>
              </w:rPr>
              <w:t>2013</w:t>
            </w:r>
          </w:p>
        </w:tc>
        <w:tc>
          <w:tcPr>
            <w:tcW w:w="1701"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Zimbabwe/</w:t>
            </w:r>
            <w:r w:rsidR="00FE3459" w:rsidRPr="00251542">
              <w:rPr>
                <w:sz w:val="16"/>
                <w:szCs w:val="16"/>
              </w:rPr>
              <w:br/>
            </w:r>
            <w:r w:rsidRPr="00251542">
              <w:rPr>
                <w:sz w:val="16"/>
                <w:szCs w:val="16"/>
              </w:rPr>
              <w:t>huit bourses remises à des étudiants africains</w:t>
            </w:r>
          </w:p>
        </w:tc>
        <w:tc>
          <w:tcPr>
            <w:tcW w:w="4110"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szCs w:val="16"/>
              </w:rPr>
              <w:t>Offrir des perspectives de renforcement des ressources humaines et des capacités par le biais de formations et de cours consacrés à la propriété intellectuelle et destinés aux personnes chargées de l</w:t>
            </w:r>
            <w:r w:rsidR="00A20444" w:rsidRPr="00251542">
              <w:rPr>
                <w:sz w:val="16"/>
                <w:szCs w:val="16"/>
              </w:rPr>
              <w:t>’</w:t>
            </w:r>
            <w:r w:rsidRPr="00251542">
              <w:rPr>
                <w:sz w:val="16"/>
                <w:szCs w:val="16"/>
              </w:rPr>
              <w:t>enseignement et de la recherche dans ce domaine au sein des universités et autres institutions.</w:t>
            </w:r>
          </w:p>
        </w:tc>
      </w:tr>
      <w:tr w:rsidR="004007D3" w:rsidRPr="00251542" w:rsidTr="002264E8">
        <w:tc>
          <w:tcPr>
            <w:tcW w:w="1843" w:type="dxa"/>
          </w:tcPr>
          <w:p w:rsidR="004007D3" w:rsidRPr="00251542" w:rsidRDefault="004007D3" w:rsidP="001A5BF9">
            <w:pPr>
              <w:keepNext/>
              <w:autoSpaceDE w:val="0"/>
              <w:autoSpaceDN w:val="0"/>
              <w:adjustRightInd w:val="0"/>
              <w:spacing w:before="120" w:after="120"/>
              <w:rPr>
                <w:rFonts w:cs="Arial"/>
                <w:sz w:val="16"/>
                <w:szCs w:val="16"/>
              </w:rPr>
            </w:pPr>
            <w:r w:rsidRPr="00251542">
              <w:rPr>
                <w:sz w:val="16"/>
              </w:rPr>
              <w:t>Programme de formation sous</w:t>
            </w:r>
            <w:r w:rsidR="002D6F2A" w:rsidRPr="00251542">
              <w:rPr>
                <w:sz w:val="16"/>
              </w:rPr>
              <w:noBreakHyphen/>
            </w:r>
            <w:r w:rsidRPr="00251542">
              <w:rPr>
                <w:sz w:val="16"/>
              </w:rPr>
              <w:t>régional sur la gestion de la propriété intellectuelle et la formulation ainsi que la mise en œuvre des plans des offices de propriété intellectuelle axés sur les résultats</w:t>
            </w:r>
          </w:p>
        </w:tc>
        <w:tc>
          <w:tcPr>
            <w:tcW w:w="1421" w:type="dxa"/>
          </w:tcPr>
          <w:p w:rsidR="004007D3" w:rsidRPr="00251542" w:rsidRDefault="00812285" w:rsidP="00812285">
            <w:pPr>
              <w:keepNext/>
              <w:autoSpaceDE w:val="0"/>
              <w:autoSpaceDN w:val="0"/>
              <w:adjustRightInd w:val="0"/>
              <w:spacing w:before="120" w:after="120"/>
              <w:rPr>
                <w:rFonts w:cs="Arial"/>
                <w:sz w:val="16"/>
                <w:szCs w:val="16"/>
              </w:rPr>
            </w:pPr>
            <w:r>
              <w:rPr>
                <w:sz w:val="16"/>
              </w:rPr>
              <w:t>d</w:t>
            </w:r>
            <w:r w:rsidR="004007D3" w:rsidRPr="00251542">
              <w:rPr>
                <w:sz w:val="16"/>
              </w:rPr>
              <w:t>u 26 au</w:t>
            </w:r>
            <w:r w:rsidR="00FE3459" w:rsidRPr="00251542">
              <w:rPr>
                <w:sz w:val="16"/>
              </w:rPr>
              <w:br/>
            </w:r>
            <w:r w:rsidR="004007D3" w:rsidRPr="00251542">
              <w:rPr>
                <w:sz w:val="16"/>
              </w:rPr>
              <w:t>30 août 2013</w:t>
            </w:r>
          </w:p>
        </w:tc>
        <w:tc>
          <w:tcPr>
            <w:tcW w:w="1701" w:type="dxa"/>
            <w:gridSpan w:val="2"/>
          </w:tcPr>
          <w:p w:rsidR="004007D3" w:rsidRPr="00251542" w:rsidRDefault="004007D3" w:rsidP="001A5BF9">
            <w:pPr>
              <w:keepNext/>
              <w:autoSpaceDE w:val="0"/>
              <w:autoSpaceDN w:val="0"/>
              <w:adjustRightInd w:val="0"/>
              <w:spacing w:before="120" w:after="120"/>
              <w:rPr>
                <w:rFonts w:cs="Arial"/>
                <w:sz w:val="16"/>
                <w:szCs w:val="16"/>
              </w:rPr>
            </w:pPr>
            <w:r w:rsidRPr="00251542">
              <w:rPr>
                <w:sz w:val="16"/>
              </w:rPr>
              <w:t>Cameroun/</w:t>
            </w:r>
            <w:r w:rsidR="00FE3459" w:rsidRPr="00251542">
              <w:rPr>
                <w:sz w:val="16"/>
              </w:rPr>
              <w:br/>
            </w:r>
            <w:r w:rsidRPr="00251542">
              <w:rPr>
                <w:sz w:val="16"/>
              </w:rPr>
              <w:t>14 responsables de bureaux de liaison nationaux de l</w:t>
            </w:r>
            <w:r w:rsidR="00A20444" w:rsidRPr="00251542">
              <w:rPr>
                <w:sz w:val="16"/>
              </w:rPr>
              <w:t>’</w:t>
            </w:r>
            <w:r w:rsidRPr="00251542">
              <w:rPr>
                <w:sz w:val="16"/>
              </w:rPr>
              <w:t>OAPI</w:t>
            </w:r>
          </w:p>
        </w:tc>
        <w:tc>
          <w:tcPr>
            <w:tcW w:w="4110" w:type="dxa"/>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Le programme a abordé les principaux enjeux auxquels sont confrontés les offices de propriété intellectuelle, y compris : assurer des services plus efficaces dans le domaine de la propriété intellectuelle;</w:t>
            </w:r>
            <w:r w:rsidR="004F3E42" w:rsidRPr="00251542">
              <w:rPr>
                <w:sz w:val="16"/>
              </w:rPr>
              <w:t xml:space="preserve"> </w:t>
            </w:r>
            <w:r w:rsidR="0010442A" w:rsidRPr="00251542">
              <w:rPr>
                <w:sz w:val="16"/>
              </w:rPr>
              <w:t xml:space="preserve"> </w:t>
            </w:r>
            <w:r w:rsidRPr="00251542">
              <w:rPr>
                <w:sz w:val="16"/>
              </w:rPr>
              <w:t>la contribution au développement et la mise en œuvre de stratégies nationales en matière de propriété intellectuelle et d</w:t>
            </w:r>
            <w:r w:rsidR="00A20444" w:rsidRPr="00251542">
              <w:rPr>
                <w:sz w:val="16"/>
              </w:rPr>
              <w:t>’</w:t>
            </w:r>
            <w:r w:rsidRPr="00251542">
              <w:rPr>
                <w:sz w:val="16"/>
              </w:rPr>
              <w:t>innovation;</w:t>
            </w:r>
            <w:r w:rsidR="004F3E42" w:rsidRPr="00251542">
              <w:rPr>
                <w:sz w:val="16"/>
              </w:rPr>
              <w:t xml:space="preserve"> </w:t>
            </w:r>
            <w:r w:rsidR="0010442A" w:rsidRPr="00251542">
              <w:rPr>
                <w:sz w:val="16"/>
              </w:rPr>
              <w:t xml:space="preserve"> </w:t>
            </w:r>
            <w:r w:rsidRPr="00251542">
              <w:rPr>
                <w:sz w:val="16"/>
              </w:rPr>
              <w:t>la promotion de la propriété intellectuelle au sein</w:t>
            </w:r>
            <w:r w:rsidR="00A20444" w:rsidRPr="00251542">
              <w:rPr>
                <w:sz w:val="16"/>
              </w:rPr>
              <w:t xml:space="preserve"> des PME</w:t>
            </w:r>
            <w:r w:rsidRPr="00251542">
              <w:rPr>
                <w:sz w:val="16"/>
              </w:rPr>
              <w:t xml:space="preserve"> et des instituts de recherche;</w:t>
            </w:r>
            <w:r w:rsidR="0010442A" w:rsidRPr="00251542">
              <w:rPr>
                <w:sz w:val="16"/>
              </w:rPr>
              <w:t xml:space="preserve"> </w:t>
            </w:r>
            <w:r w:rsidR="004F3E42" w:rsidRPr="00251542">
              <w:rPr>
                <w:sz w:val="16"/>
              </w:rPr>
              <w:t xml:space="preserve"> </w:t>
            </w:r>
            <w:r w:rsidRPr="00251542">
              <w:rPr>
                <w:sz w:val="16"/>
              </w:rPr>
              <w:t>la promotion de l</w:t>
            </w:r>
            <w:r w:rsidR="00A20444" w:rsidRPr="00251542">
              <w:rPr>
                <w:sz w:val="16"/>
              </w:rPr>
              <w:t>’</w:t>
            </w:r>
            <w:r w:rsidRPr="00251542">
              <w:rPr>
                <w:sz w:val="16"/>
              </w:rPr>
              <w:t>utilisation de la propriété intellectuelle pour renforcer la compétitivité</w:t>
            </w:r>
            <w:r w:rsidR="00A20444" w:rsidRPr="00251542">
              <w:rPr>
                <w:sz w:val="16"/>
              </w:rPr>
              <w:t xml:space="preserve"> des PME</w:t>
            </w:r>
            <w:r w:rsidRPr="00251542">
              <w:rPr>
                <w:sz w:val="16"/>
              </w:rPr>
              <w:t>;</w:t>
            </w:r>
            <w:r w:rsidR="004F3E42" w:rsidRPr="00251542">
              <w:rPr>
                <w:sz w:val="16"/>
              </w:rPr>
              <w:t xml:space="preserve"> </w:t>
            </w:r>
            <w:r w:rsidR="0010442A" w:rsidRPr="00251542">
              <w:rPr>
                <w:sz w:val="16"/>
              </w:rPr>
              <w:t xml:space="preserve"> </w:t>
            </w:r>
            <w:r w:rsidRPr="00251542">
              <w:rPr>
                <w:sz w:val="16"/>
              </w:rPr>
              <w:t>la promotion de l</w:t>
            </w:r>
            <w:r w:rsidR="00A20444" w:rsidRPr="00251542">
              <w:rPr>
                <w:sz w:val="16"/>
              </w:rPr>
              <w:t>’</w:t>
            </w:r>
            <w:r w:rsidRPr="00251542">
              <w:rPr>
                <w:sz w:val="16"/>
              </w:rPr>
              <w:t>innovation;</w:t>
            </w:r>
            <w:r w:rsidR="0010442A" w:rsidRPr="00251542">
              <w:rPr>
                <w:sz w:val="16"/>
              </w:rPr>
              <w:t xml:space="preserve"> </w:t>
            </w:r>
            <w:r w:rsidR="004F3E42" w:rsidRPr="00251542">
              <w:rPr>
                <w:sz w:val="16"/>
              </w:rPr>
              <w:t xml:space="preserve"> </w:t>
            </w:r>
            <w:r w:rsidRPr="00251542">
              <w:rPr>
                <w:sz w:val="16"/>
              </w:rPr>
              <w:t>la promotion de l</w:t>
            </w:r>
            <w:r w:rsidR="00A20444" w:rsidRPr="00251542">
              <w:rPr>
                <w:sz w:val="16"/>
              </w:rPr>
              <w:t>’</w:t>
            </w:r>
            <w:r w:rsidRPr="00251542">
              <w:rPr>
                <w:sz w:val="16"/>
              </w:rPr>
              <w:t>utilisation de la propriété intellectuelle dans le secteur agricole par le biais de la création de marques (présentations de l</w:t>
            </w:r>
            <w:r w:rsidR="00A20444" w:rsidRPr="00251542">
              <w:rPr>
                <w:sz w:val="16"/>
              </w:rPr>
              <w:t>’</w:t>
            </w:r>
            <w:r w:rsidRPr="00251542">
              <w:rPr>
                <w:sz w:val="16"/>
              </w:rPr>
              <w:t>ITC);</w:t>
            </w:r>
            <w:r w:rsidR="004F3E42" w:rsidRPr="00251542">
              <w:rPr>
                <w:sz w:val="16"/>
              </w:rPr>
              <w:t xml:space="preserve"> </w:t>
            </w:r>
            <w:r w:rsidR="0010442A" w:rsidRPr="00251542">
              <w:rPr>
                <w:sz w:val="16"/>
              </w:rPr>
              <w:t xml:space="preserve"> </w:t>
            </w:r>
            <w:r w:rsidRPr="00251542">
              <w:rPr>
                <w:sz w:val="16"/>
              </w:rPr>
              <w:t>et les pratiques de gestion axée sur les résultats concentrées sur la formulation, le suivi et l</w:t>
            </w:r>
            <w:r w:rsidR="00A20444" w:rsidRPr="00251542">
              <w:rPr>
                <w:sz w:val="16"/>
              </w:rPr>
              <w:t>’</w:t>
            </w:r>
            <w:r w:rsidRPr="00251542">
              <w:rPr>
                <w:sz w:val="16"/>
              </w:rPr>
              <w:t>évaluation des plans des offices de propriété intellectuelle, dans le cadre global de stratégies nationales de propriété intellectuelle</w:t>
            </w:r>
          </w:p>
        </w:tc>
      </w:tr>
      <w:tr w:rsidR="004007D3" w:rsidRPr="00251542" w:rsidTr="002264E8">
        <w:tblPrEx>
          <w:tblBorders>
            <w:top w:val="single" w:sz="4" w:space="0" w:color="000000"/>
            <w:left w:val="single" w:sz="4" w:space="0" w:color="000000"/>
            <w:bottom w:val="single" w:sz="4" w:space="0" w:color="000000"/>
            <w:right w:val="single" w:sz="4" w:space="0" w:color="000000"/>
          </w:tblBorders>
        </w:tblPrEx>
        <w:trPr>
          <w:cantSplit/>
          <w:trHeight w:val="1043"/>
        </w:trPr>
        <w:tc>
          <w:tcPr>
            <w:tcW w:w="1843" w:type="dxa"/>
            <w:tcBorders>
              <w:top w:val="nil"/>
              <w:left w:val="single" w:sz="4" w:space="0" w:color="auto"/>
              <w:bottom w:val="nil"/>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Atelier régional sur la promotion du respect de la propriété intellectuelle à l</w:t>
            </w:r>
            <w:r w:rsidR="00A20444" w:rsidRPr="00251542">
              <w:rPr>
                <w:sz w:val="16"/>
              </w:rPr>
              <w:t>’</w:t>
            </w:r>
            <w:r w:rsidRPr="00251542">
              <w:rPr>
                <w:sz w:val="16"/>
              </w:rPr>
              <w:t>intention du personnel judiciaire et des responsables de l</w:t>
            </w:r>
            <w:r w:rsidR="00A20444" w:rsidRPr="00251542">
              <w:rPr>
                <w:sz w:val="16"/>
              </w:rPr>
              <w:t>’</w:t>
            </w:r>
            <w:r w:rsidRPr="00251542">
              <w:rPr>
                <w:sz w:val="16"/>
              </w:rPr>
              <w:t>application des lois des États membres de la Communauté pour le développement de l</w:t>
            </w:r>
            <w:r w:rsidR="00A20444" w:rsidRPr="00251542">
              <w:rPr>
                <w:sz w:val="16"/>
              </w:rPr>
              <w:t>’</w:t>
            </w:r>
            <w:r w:rsidRPr="00251542">
              <w:rPr>
                <w:sz w:val="16"/>
              </w:rPr>
              <w:t>Afrique australe et de l</w:t>
            </w:r>
            <w:r w:rsidR="00A20444" w:rsidRPr="00251542">
              <w:rPr>
                <w:sz w:val="16"/>
              </w:rPr>
              <w:t>’</w:t>
            </w:r>
            <w:r w:rsidRPr="00251542">
              <w:rPr>
                <w:sz w:val="16"/>
              </w:rPr>
              <w:t>Organisation régionale africaine de la propriété intellectuelle (ARIPO)</w:t>
            </w:r>
          </w:p>
        </w:tc>
        <w:tc>
          <w:tcPr>
            <w:tcW w:w="1421" w:type="dxa"/>
            <w:tcBorders>
              <w:top w:val="nil"/>
              <w:bottom w:val="nil"/>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30 et 3</w:t>
            </w:r>
            <w:r w:rsidR="00A20444" w:rsidRPr="00251542">
              <w:rPr>
                <w:sz w:val="16"/>
              </w:rPr>
              <w:t>1 octobre 20</w:t>
            </w:r>
            <w:r w:rsidRPr="00251542">
              <w:rPr>
                <w:sz w:val="16"/>
              </w:rPr>
              <w:t>13</w:t>
            </w:r>
          </w:p>
        </w:tc>
        <w:tc>
          <w:tcPr>
            <w:tcW w:w="1701" w:type="dxa"/>
            <w:gridSpan w:val="2"/>
            <w:tcBorders>
              <w:top w:val="nil"/>
              <w:bottom w:val="nil"/>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Namibie/</w:t>
            </w:r>
            <w:r w:rsidR="00FE3459" w:rsidRPr="00251542">
              <w:rPr>
                <w:sz w:val="16"/>
              </w:rPr>
              <w:br/>
            </w:r>
            <w:r w:rsidRPr="00251542">
              <w:rPr>
                <w:sz w:val="16"/>
              </w:rPr>
              <w:t>48 participants africains</w:t>
            </w:r>
          </w:p>
        </w:tc>
        <w:tc>
          <w:tcPr>
            <w:tcW w:w="4110" w:type="dxa"/>
            <w:tcBorders>
              <w:top w:val="nil"/>
              <w:bottom w:val="nil"/>
              <w:right w:val="single" w:sz="4" w:space="0" w:color="auto"/>
            </w:tcBorders>
          </w:tcPr>
          <w:p w:rsidR="004007D3" w:rsidRPr="00251542" w:rsidRDefault="004007D3" w:rsidP="001A5BF9">
            <w:pPr>
              <w:keepNext/>
              <w:keepLines/>
              <w:autoSpaceDE w:val="0"/>
              <w:autoSpaceDN w:val="0"/>
              <w:adjustRightInd w:val="0"/>
              <w:spacing w:before="120" w:after="120"/>
              <w:rPr>
                <w:rFonts w:cs="Arial"/>
                <w:sz w:val="16"/>
                <w:szCs w:val="16"/>
                <w:lang w:bidi="th-TH"/>
              </w:rPr>
            </w:pPr>
            <w:r w:rsidRPr="00251542">
              <w:rPr>
                <w:sz w:val="16"/>
              </w:rPr>
              <w:t>Dans le cadre de l</w:t>
            </w:r>
            <w:r w:rsidR="00A20444" w:rsidRPr="00251542">
              <w:rPr>
                <w:sz w:val="16"/>
              </w:rPr>
              <w:t>’</w:t>
            </w:r>
            <w:r w:rsidRPr="00251542">
              <w:rPr>
                <w:sz w:val="16"/>
              </w:rPr>
              <w:t>objectif stratégique VI de l</w:t>
            </w:r>
            <w:r w:rsidR="00A20444" w:rsidRPr="00251542">
              <w:rPr>
                <w:sz w:val="16"/>
              </w:rPr>
              <w:t>’</w:t>
            </w:r>
            <w:r w:rsidRPr="00251542">
              <w:rPr>
                <w:sz w:val="16"/>
              </w:rPr>
              <w:t>OMPI, examiner : i) l</w:t>
            </w:r>
            <w:r w:rsidR="00A20444" w:rsidRPr="00251542">
              <w:rPr>
                <w:sz w:val="16"/>
              </w:rPr>
              <w:t>’</w:t>
            </w:r>
            <w:r w:rsidRPr="00251542">
              <w:rPr>
                <w:sz w:val="16"/>
              </w:rPr>
              <w:t>incidence de la protection et de l</w:t>
            </w:r>
            <w:r w:rsidR="00A20444" w:rsidRPr="00251542">
              <w:rPr>
                <w:sz w:val="16"/>
              </w:rPr>
              <w:t>’</w:t>
            </w:r>
            <w:r w:rsidRPr="00251542">
              <w:rPr>
                <w:sz w:val="16"/>
              </w:rPr>
              <w:t>application des droits de propriété intellectuelle sur le développement social et économique des pays participants;</w:t>
            </w:r>
            <w:r w:rsidR="004F3E42" w:rsidRPr="00251542">
              <w:rPr>
                <w:sz w:val="16"/>
              </w:rPr>
              <w:t xml:space="preserve"> </w:t>
            </w:r>
            <w:r w:rsidR="0010442A" w:rsidRPr="00251542">
              <w:rPr>
                <w:sz w:val="16"/>
              </w:rPr>
              <w:t xml:space="preserve"> </w:t>
            </w:r>
            <w:r w:rsidRPr="00251542">
              <w:rPr>
                <w:sz w:val="16"/>
              </w:rPr>
              <w:t>ii) les normes minimales et les éléments de flexibilité prévus à la partie III de l</w:t>
            </w:r>
            <w:r w:rsidR="00A20444" w:rsidRPr="00251542">
              <w:rPr>
                <w:sz w:val="16"/>
              </w:rPr>
              <w:t>’</w:t>
            </w:r>
            <w:r w:rsidRPr="00251542">
              <w:rPr>
                <w:sz w:val="16"/>
              </w:rPr>
              <w:t>Accord sur les ADPIC;</w:t>
            </w:r>
            <w:r w:rsidR="004F3E42" w:rsidRPr="00251542">
              <w:rPr>
                <w:sz w:val="16"/>
              </w:rPr>
              <w:t xml:space="preserve"> </w:t>
            </w:r>
            <w:r w:rsidR="0010442A" w:rsidRPr="00251542">
              <w:rPr>
                <w:sz w:val="16"/>
              </w:rPr>
              <w:t xml:space="preserve"> </w:t>
            </w:r>
            <w:r w:rsidRPr="00251542">
              <w:rPr>
                <w:sz w:val="16"/>
              </w:rPr>
              <w:t>iii) les questions d</w:t>
            </w:r>
            <w:r w:rsidR="00A20444" w:rsidRPr="00251542">
              <w:rPr>
                <w:sz w:val="16"/>
              </w:rPr>
              <w:t>’</w:t>
            </w:r>
            <w:r w:rsidRPr="00251542">
              <w:rPr>
                <w:sz w:val="16"/>
              </w:rPr>
              <w:t>actualité telles que la sensibilisation des consommateurs à titre préventif et la mise à l</w:t>
            </w:r>
            <w:r w:rsidR="00A20444" w:rsidRPr="00251542">
              <w:rPr>
                <w:sz w:val="16"/>
              </w:rPr>
              <w:t>’</w:t>
            </w:r>
            <w:r w:rsidRPr="00251542">
              <w:rPr>
                <w:sz w:val="16"/>
              </w:rPr>
              <w:t>écart des circuits commerciaux équitables des marchandises portant atteinte à des droits de propriété intellectuelle;</w:t>
            </w:r>
            <w:r w:rsidR="004F3E42" w:rsidRPr="00251542">
              <w:rPr>
                <w:sz w:val="16"/>
              </w:rPr>
              <w:t xml:space="preserve"> </w:t>
            </w:r>
            <w:r w:rsidR="0010442A" w:rsidRPr="00251542">
              <w:rPr>
                <w:sz w:val="16"/>
              </w:rPr>
              <w:t xml:space="preserve"> </w:t>
            </w:r>
            <w:r w:rsidRPr="00251542">
              <w:rPr>
                <w:sz w:val="16"/>
              </w:rPr>
              <w:t>et iv) l</w:t>
            </w:r>
            <w:r w:rsidR="00A20444" w:rsidRPr="00251542">
              <w:rPr>
                <w:sz w:val="16"/>
              </w:rPr>
              <w:t>’</w:t>
            </w:r>
            <w:r w:rsidRPr="00251542">
              <w:rPr>
                <w:sz w:val="16"/>
              </w:rPr>
              <w:t>importance des stratégies nationales et régionales visant à établir une coopération efficace, y compris des partenariats public</w:t>
            </w:r>
            <w:r w:rsidR="002D6F2A" w:rsidRPr="00251542">
              <w:rPr>
                <w:sz w:val="16"/>
              </w:rPr>
              <w:noBreakHyphen/>
            </w:r>
            <w:r w:rsidRPr="00251542">
              <w:rPr>
                <w:sz w:val="16"/>
              </w:rPr>
              <w:t>privé</w:t>
            </w:r>
          </w:p>
        </w:tc>
      </w:tr>
      <w:tr w:rsidR="004007D3" w:rsidRPr="00251542" w:rsidTr="002264E8">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Programme de formation sur le recours aux technologies de l</w:t>
            </w:r>
            <w:r w:rsidR="00A20444" w:rsidRPr="00251542">
              <w:rPr>
                <w:sz w:val="16"/>
              </w:rPr>
              <w:t>’</w:t>
            </w:r>
            <w:r w:rsidRPr="00251542">
              <w:rPr>
                <w:sz w:val="16"/>
              </w:rPr>
              <w:t>information dans l</w:t>
            </w:r>
            <w:r w:rsidR="00A20444" w:rsidRPr="00251542">
              <w:rPr>
                <w:sz w:val="16"/>
              </w:rPr>
              <w:t>’</w:t>
            </w:r>
            <w:r w:rsidRPr="00251542">
              <w:rPr>
                <w:sz w:val="16"/>
              </w:rPr>
              <w:t>administration de la propriété industrielle</w:t>
            </w:r>
          </w:p>
        </w:tc>
        <w:tc>
          <w:tcPr>
            <w:tcW w:w="1421" w:type="dxa"/>
          </w:tcPr>
          <w:p w:rsidR="004007D3" w:rsidRPr="00251542" w:rsidRDefault="00812285" w:rsidP="00812285">
            <w:pPr>
              <w:autoSpaceDE w:val="0"/>
              <w:autoSpaceDN w:val="0"/>
              <w:adjustRightInd w:val="0"/>
              <w:spacing w:before="120" w:after="120"/>
              <w:rPr>
                <w:rFonts w:cs="Arial"/>
                <w:sz w:val="16"/>
                <w:szCs w:val="16"/>
              </w:rPr>
            </w:pPr>
            <w:r>
              <w:rPr>
                <w:sz w:val="16"/>
              </w:rPr>
              <w:t>d</w:t>
            </w:r>
            <w:r w:rsidR="0081044B" w:rsidRPr="00251542">
              <w:rPr>
                <w:sz w:val="16"/>
              </w:rPr>
              <w:t>u 2</w:t>
            </w:r>
            <w:r w:rsidR="00A20444" w:rsidRPr="00251542">
              <w:rPr>
                <w:sz w:val="16"/>
              </w:rPr>
              <w:t>8 octobre</w:t>
            </w:r>
            <w:r w:rsidR="004007D3" w:rsidRPr="00251542">
              <w:rPr>
                <w:sz w:val="16"/>
              </w:rPr>
              <w:t xml:space="preserve"> au 8 </w:t>
            </w:r>
            <w:r w:rsidR="00BD43F2" w:rsidRPr="00251542">
              <w:rPr>
                <w:sz w:val="16"/>
              </w:rPr>
              <w:t>novembre</w:t>
            </w:r>
            <w:r>
              <w:rPr>
                <w:sz w:val="16"/>
              </w:rPr>
              <w:t xml:space="preserve"> </w:t>
            </w:r>
            <w:r w:rsidR="004007D3" w:rsidRPr="00251542">
              <w:rPr>
                <w:sz w:val="16"/>
              </w:rPr>
              <w:t>2013</w:t>
            </w:r>
          </w:p>
        </w:tc>
        <w:tc>
          <w:tcPr>
            <w:tcW w:w="1701" w:type="dxa"/>
            <w:gridSpan w:val="2"/>
          </w:tcPr>
          <w:p w:rsidR="004007D3" w:rsidRPr="00251542" w:rsidRDefault="004007D3" w:rsidP="00D42474">
            <w:pPr>
              <w:autoSpaceDE w:val="0"/>
              <w:autoSpaceDN w:val="0"/>
              <w:adjustRightInd w:val="0"/>
              <w:spacing w:before="120" w:after="120"/>
              <w:rPr>
                <w:rFonts w:cs="Arial"/>
                <w:sz w:val="16"/>
                <w:szCs w:val="16"/>
              </w:rPr>
            </w:pPr>
            <w:r w:rsidRPr="00251542">
              <w:rPr>
                <w:sz w:val="16"/>
              </w:rPr>
              <w:t>Japon/</w:t>
            </w:r>
            <w:r w:rsidR="00D42474">
              <w:rPr>
                <w:sz w:val="16"/>
              </w:rPr>
              <w:t xml:space="preserve">deux </w:t>
            </w:r>
            <w:r w:rsidR="00FE3459" w:rsidRPr="00251542">
              <w:rPr>
                <w:sz w:val="16"/>
              </w:rPr>
              <w:t>p</w:t>
            </w:r>
            <w:r w:rsidRPr="00251542">
              <w:rPr>
                <w:sz w:val="16"/>
              </w:rPr>
              <w:t>articipants</w:t>
            </w:r>
            <w:r w:rsidR="00D42474">
              <w:rPr>
                <w:sz w:val="16"/>
              </w:rPr>
              <w:t xml:space="preserve"> africains (du Maroc et de la Tunisie)</w:t>
            </w:r>
          </w:p>
        </w:tc>
        <w:tc>
          <w:tcPr>
            <w:tcW w:w="4110"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Présenter aux participants les dernières évolutions dans le domaine des technologies de l</w:t>
            </w:r>
            <w:r w:rsidR="00A20444" w:rsidRPr="00251542">
              <w:rPr>
                <w:sz w:val="16"/>
              </w:rPr>
              <w:t>’</w:t>
            </w:r>
            <w:r w:rsidRPr="00251542">
              <w:rPr>
                <w:sz w:val="16"/>
              </w:rPr>
              <w:t>information associées à : i) l</w:t>
            </w:r>
            <w:r w:rsidR="00A20444" w:rsidRPr="00251542">
              <w:rPr>
                <w:sz w:val="16"/>
              </w:rPr>
              <w:t>’</w:t>
            </w:r>
            <w:r w:rsidRPr="00251542">
              <w:rPr>
                <w:sz w:val="16"/>
              </w:rPr>
              <w:t>administration de la propriété industrielle, la diffusion de l</w:t>
            </w:r>
            <w:r w:rsidR="00A20444" w:rsidRPr="00251542">
              <w:rPr>
                <w:sz w:val="16"/>
              </w:rPr>
              <w:t>’</w:t>
            </w:r>
            <w:r w:rsidRPr="00251542">
              <w:rPr>
                <w:sz w:val="16"/>
              </w:rPr>
              <w:t>information en matière de propriété industrielle et la fourniture de services en ligne;</w:t>
            </w:r>
            <w:r w:rsidR="004F3E42" w:rsidRPr="00251542">
              <w:rPr>
                <w:sz w:val="16"/>
              </w:rPr>
              <w:t xml:space="preserve"> </w:t>
            </w:r>
            <w:r w:rsidR="0010442A" w:rsidRPr="00251542">
              <w:rPr>
                <w:sz w:val="16"/>
              </w:rPr>
              <w:t xml:space="preserve"> </w:t>
            </w:r>
            <w:r w:rsidRPr="00251542">
              <w:rPr>
                <w:sz w:val="16"/>
              </w:rPr>
              <w:t>ii) transmettre des connaissances concrètes quant aux derniers outils et technologies via des sessions interactives, ainsi que par le biais de visites auprès d</w:t>
            </w:r>
            <w:r w:rsidR="00A20444" w:rsidRPr="00251542">
              <w:rPr>
                <w:sz w:val="16"/>
              </w:rPr>
              <w:t>’</w:t>
            </w:r>
            <w:r w:rsidRPr="00251542">
              <w:rPr>
                <w:sz w:val="16"/>
              </w:rPr>
              <w:t>entités privées pertinentes;</w:t>
            </w:r>
            <w:r w:rsidR="004F3E42" w:rsidRPr="00251542">
              <w:rPr>
                <w:sz w:val="16"/>
              </w:rPr>
              <w:t xml:space="preserve"> </w:t>
            </w:r>
            <w:r w:rsidR="0010442A" w:rsidRPr="00251542">
              <w:rPr>
                <w:sz w:val="16"/>
              </w:rPr>
              <w:t xml:space="preserve"> </w:t>
            </w:r>
            <w:r w:rsidRPr="00251542">
              <w:rPr>
                <w:sz w:val="16"/>
              </w:rPr>
              <w:t>et iii) donner l</w:t>
            </w:r>
            <w:r w:rsidR="00A20444" w:rsidRPr="00251542">
              <w:rPr>
                <w:sz w:val="16"/>
              </w:rPr>
              <w:t>’</w:t>
            </w:r>
            <w:r w:rsidRPr="00251542">
              <w:rPr>
                <w:sz w:val="16"/>
              </w:rPr>
              <w:t>occasion aux participants d</w:t>
            </w:r>
            <w:r w:rsidR="00A20444" w:rsidRPr="00251542">
              <w:rPr>
                <w:sz w:val="16"/>
              </w:rPr>
              <w:t>’</w:t>
            </w:r>
            <w:r w:rsidRPr="00251542">
              <w:rPr>
                <w:sz w:val="16"/>
              </w:rPr>
              <w:t>échanger leurs points de vue et leurs préoccupations sur des questions d</w:t>
            </w:r>
            <w:r w:rsidR="00A20444" w:rsidRPr="00251542">
              <w:rPr>
                <w:sz w:val="16"/>
              </w:rPr>
              <w:t>’</w:t>
            </w:r>
            <w:r w:rsidRPr="00251542">
              <w:rPr>
                <w:sz w:val="16"/>
              </w:rPr>
              <w:t>actualité et ainsi renforcer les compétences professionnelles des participants en matière de planification et de gestion des technologies de l</w:t>
            </w:r>
            <w:r w:rsidR="00A20444" w:rsidRPr="00251542">
              <w:rPr>
                <w:sz w:val="16"/>
              </w:rPr>
              <w:t>’</w:t>
            </w:r>
            <w:r w:rsidRPr="00251542">
              <w:rPr>
                <w:sz w:val="16"/>
              </w:rPr>
              <w:t>information pour l</w:t>
            </w:r>
            <w:r w:rsidR="00A20444" w:rsidRPr="00251542">
              <w:rPr>
                <w:sz w:val="16"/>
              </w:rPr>
              <w:t>’</w:t>
            </w:r>
            <w:r w:rsidRPr="00251542">
              <w:rPr>
                <w:sz w:val="16"/>
              </w:rPr>
              <w:t>administration de la propriété industrielle</w:t>
            </w:r>
          </w:p>
        </w:tc>
      </w:tr>
      <w:tr w:rsidR="004007D3" w:rsidRPr="00251542" w:rsidTr="002264E8">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Atelier sous</w:t>
            </w:r>
            <w:r w:rsidR="002D6F2A" w:rsidRPr="00251542">
              <w:rPr>
                <w:sz w:val="16"/>
              </w:rPr>
              <w:noBreakHyphen/>
            </w:r>
            <w:r w:rsidRPr="00251542">
              <w:rPr>
                <w:sz w:val="16"/>
              </w:rPr>
              <w:t>régional et programme de formation sur la</w:t>
            </w:r>
            <w:r w:rsidR="004F3E42" w:rsidRPr="00251542">
              <w:rPr>
                <w:sz w:val="16"/>
              </w:rPr>
              <w:t xml:space="preserve"> </w:t>
            </w:r>
            <w:r w:rsidRPr="00251542">
              <w:rPr>
                <w:sz w:val="16"/>
              </w:rPr>
              <w:t>gestion de la propriété intellectuelle et la formulation ainsi que la mise en œuvre des plans des offices de propriété intellectuelle axés sur les résultats (à destination des États membres de l</w:t>
            </w:r>
            <w:r w:rsidR="00A20444" w:rsidRPr="00251542">
              <w:rPr>
                <w:sz w:val="16"/>
              </w:rPr>
              <w:t>’</w:t>
            </w:r>
            <w:r w:rsidRPr="00251542">
              <w:rPr>
                <w:sz w:val="16"/>
              </w:rPr>
              <w:t>ARIPO et des pays anglophones d</w:t>
            </w:r>
            <w:r w:rsidR="00A20444" w:rsidRPr="00251542">
              <w:rPr>
                <w:sz w:val="16"/>
              </w:rPr>
              <w:t>’</w:t>
            </w:r>
            <w:r w:rsidRPr="00251542">
              <w:rPr>
                <w:sz w:val="16"/>
              </w:rPr>
              <w:t>Afrique)</w:t>
            </w:r>
          </w:p>
        </w:tc>
        <w:tc>
          <w:tcPr>
            <w:tcW w:w="1421" w:type="dxa"/>
          </w:tcPr>
          <w:p w:rsidR="004007D3" w:rsidRPr="00251542" w:rsidRDefault="00812285" w:rsidP="00812285">
            <w:pPr>
              <w:autoSpaceDE w:val="0"/>
              <w:autoSpaceDN w:val="0"/>
              <w:adjustRightInd w:val="0"/>
              <w:spacing w:before="120" w:after="120"/>
              <w:rPr>
                <w:rFonts w:cs="Arial"/>
                <w:sz w:val="16"/>
                <w:szCs w:val="16"/>
              </w:rPr>
            </w:pPr>
            <w:r>
              <w:rPr>
                <w:sz w:val="16"/>
              </w:rPr>
              <w:t>d</w:t>
            </w:r>
            <w:r w:rsidR="0081044B" w:rsidRPr="00251542">
              <w:rPr>
                <w:sz w:val="16"/>
              </w:rPr>
              <w:t>u 19 au</w:t>
            </w:r>
            <w:r w:rsidR="00FE3459" w:rsidRPr="00251542">
              <w:rPr>
                <w:sz w:val="16"/>
              </w:rPr>
              <w:br/>
            </w:r>
            <w:r w:rsidR="0081044B" w:rsidRPr="00251542">
              <w:rPr>
                <w:sz w:val="16"/>
              </w:rPr>
              <w:t>22 </w:t>
            </w:r>
            <w:r w:rsidR="00BD43F2" w:rsidRPr="00251542">
              <w:rPr>
                <w:sz w:val="16"/>
              </w:rPr>
              <w:t>novembre</w:t>
            </w:r>
            <w:r>
              <w:rPr>
                <w:sz w:val="16"/>
              </w:rPr>
              <w:t xml:space="preserve"> </w:t>
            </w:r>
            <w:r w:rsidR="00A20444" w:rsidRPr="00251542">
              <w:rPr>
                <w:sz w:val="16"/>
              </w:rPr>
              <w:t>20</w:t>
            </w:r>
            <w:r w:rsidR="004007D3" w:rsidRPr="00251542">
              <w:rPr>
                <w:sz w:val="16"/>
              </w:rPr>
              <w:t>13</w:t>
            </w:r>
          </w:p>
        </w:tc>
        <w:tc>
          <w:tcPr>
            <w:tcW w:w="1701"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Ouganda/</w:t>
            </w:r>
            <w:r w:rsidR="00FE3459" w:rsidRPr="00251542">
              <w:rPr>
                <w:sz w:val="16"/>
              </w:rPr>
              <w:br/>
            </w:r>
            <w:r w:rsidRPr="00251542">
              <w:rPr>
                <w:sz w:val="16"/>
              </w:rPr>
              <w:t>20 participants africains</w:t>
            </w:r>
          </w:p>
        </w:tc>
        <w:tc>
          <w:tcPr>
            <w:tcW w:w="4110"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 xml:space="preserve"> i) Développer les connaissances des participants quant aux pratiques de gestion moderne en matière de propriété intellectuelle;</w:t>
            </w:r>
            <w:r w:rsidR="004F3E42" w:rsidRPr="00251542">
              <w:rPr>
                <w:sz w:val="16"/>
              </w:rPr>
              <w:t xml:space="preserve"> </w:t>
            </w:r>
            <w:r w:rsidR="0010442A" w:rsidRPr="00251542">
              <w:rPr>
                <w:sz w:val="16"/>
              </w:rPr>
              <w:t xml:space="preserve"> </w:t>
            </w:r>
            <w:r w:rsidRPr="00251542">
              <w:rPr>
                <w:sz w:val="16"/>
              </w:rPr>
              <w:t>et ii) renforcer les capacités des participants afin de formuler, mettre en œuvre et évaluer les plans des offices de propriété industrielle qui sont contraignants en termes de temps, axés sur les résultats, et ont un impact mesurable</w:t>
            </w:r>
          </w:p>
        </w:tc>
      </w:tr>
      <w:tr w:rsidR="004007D3" w:rsidRPr="00251542" w:rsidTr="002264E8">
        <w:tc>
          <w:tcPr>
            <w:tcW w:w="1843" w:type="dxa"/>
          </w:tcPr>
          <w:p w:rsidR="004007D3" w:rsidRPr="00251542" w:rsidRDefault="004007D3" w:rsidP="001A5BF9">
            <w:pPr>
              <w:pageBreakBefore/>
              <w:autoSpaceDE w:val="0"/>
              <w:autoSpaceDN w:val="0"/>
              <w:adjustRightInd w:val="0"/>
              <w:spacing w:before="120" w:after="120"/>
              <w:rPr>
                <w:rFonts w:cs="Arial"/>
                <w:sz w:val="16"/>
                <w:szCs w:val="16"/>
              </w:rPr>
            </w:pPr>
            <w:r w:rsidRPr="00251542">
              <w:rPr>
                <w:sz w:val="16"/>
              </w:rPr>
              <w:t>Séminaire régional de l</w:t>
            </w:r>
            <w:r w:rsidR="00A20444" w:rsidRPr="00251542">
              <w:rPr>
                <w:sz w:val="16"/>
              </w:rPr>
              <w:t>’</w:t>
            </w:r>
            <w:r w:rsidRPr="00251542">
              <w:rPr>
                <w:sz w:val="16"/>
              </w:rPr>
              <w:t>OMPI sur l</w:t>
            </w:r>
            <w:r w:rsidR="00A20444" w:rsidRPr="00251542">
              <w:rPr>
                <w:sz w:val="16"/>
              </w:rPr>
              <w:t>’</w:t>
            </w:r>
            <w:r w:rsidRPr="00251542">
              <w:rPr>
                <w:sz w:val="16"/>
              </w:rPr>
              <w:t xml:space="preserve">utilisation efficace du Traité de coopération en matière de brevets (PCT) et les initiatives en matière de partage international du travail </w:t>
            </w:r>
          </w:p>
        </w:tc>
        <w:tc>
          <w:tcPr>
            <w:tcW w:w="1421" w:type="dxa"/>
          </w:tcPr>
          <w:p w:rsidR="004007D3" w:rsidRPr="00251542" w:rsidRDefault="004007D3" w:rsidP="00812285">
            <w:pPr>
              <w:autoSpaceDE w:val="0"/>
              <w:autoSpaceDN w:val="0"/>
              <w:adjustRightInd w:val="0"/>
              <w:spacing w:before="120" w:after="120"/>
              <w:rPr>
                <w:rFonts w:cs="Arial"/>
                <w:sz w:val="16"/>
                <w:szCs w:val="16"/>
              </w:rPr>
            </w:pPr>
            <w:r w:rsidRPr="00251542">
              <w:rPr>
                <w:sz w:val="16"/>
              </w:rPr>
              <w:t>26 – 2</w:t>
            </w:r>
            <w:r w:rsidR="00A20444" w:rsidRPr="00251542">
              <w:rPr>
                <w:sz w:val="16"/>
              </w:rPr>
              <w:t>8 </w:t>
            </w:r>
            <w:r w:rsidR="00BD43F2" w:rsidRPr="00251542">
              <w:rPr>
                <w:sz w:val="16"/>
              </w:rPr>
              <w:t>novembre</w:t>
            </w:r>
            <w:r w:rsidR="00812285">
              <w:rPr>
                <w:sz w:val="16"/>
              </w:rPr>
              <w:t xml:space="preserve"> </w:t>
            </w:r>
            <w:r w:rsidR="00A20444" w:rsidRPr="00251542">
              <w:rPr>
                <w:sz w:val="16"/>
              </w:rPr>
              <w:t>20</w:t>
            </w:r>
            <w:r w:rsidRPr="00251542">
              <w:rPr>
                <w:sz w:val="16"/>
              </w:rPr>
              <w:t>13</w:t>
            </w:r>
          </w:p>
        </w:tc>
        <w:tc>
          <w:tcPr>
            <w:tcW w:w="1701" w:type="dxa"/>
            <w:gridSpan w:val="2"/>
          </w:tcPr>
          <w:p w:rsidR="004007D3" w:rsidRPr="00251542" w:rsidRDefault="004007D3" w:rsidP="001A5BF9">
            <w:pPr>
              <w:autoSpaceDE w:val="0"/>
              <w:autoSpaceDN w:val="0"/>
              <w:adjustRightInd w:val="0"/>
              <w:spacing w:before="120" w:after="120"/>
              <w:rPr>
                <w:sz w:val="16"/>
              </w:rPr>
            </w:pPr>
            <w:r w:rsidRPr="00251542">
              <w:rPr>
                <w:sz w:val="16"/>
              </w:rPr>
              <w:t>Japon/</w:t>
            </w:r>
            <w:r w:rsidR="00361674" w:rsidRPr="00251542">
              <w:rPr>
                <w:sz w:val="16"/>
              </w:rPr>
              <w:br/>
              <w:t>q</w:t>
            </w:r>
            <w:r w:rsidRPr="00251542">
              <w:rPr>
                <w:sz w:val="16"/>
              </w:rPr>
              <w:t>uatre participants africains</w:t>
            </w:r>
          </w:p>
        </w:tc>
        <w:tc>
          <w:tcPr>
            <w:tcW w:w="4110" w:type="dxa"/>
          </w:tcPr>
          <w:p w:rsidR="004007D3" w:rsidRPr="00251542" w:rsidRDefault="004007D3" w:rsidP="001A5BF9">
            <w:pPr>
              <w:autoSpaceDE w:val="0"/>
              <w:autoSpaceDN w:val="0"/>
              <w:adjustRightInd w:val="0"/>
              <w:spacing w:before="120" w:after="120"/>
              <w:rPr>
                <w:rFonts w:cs="Arial"/>
                <w:sz w:val="16"/>
                <w:szCs w:val="16"/>
                <w:lang w:bidi="th-TH"/>
              </w:rPr>
            </w:pPr>
            <w:r w:rsidRPr="00251542">
              <w:rPr>
                <w:sz w:val="16"/>
              </w:rPr>
              <w:t>Approfondir la compréhension sur : i) les fonctions et avantages du PCT;</w:t>
            </w:r>
            <w:r w:rsidR="0010442A" w:rsidRPr="00251542">
              <w:rPr>
                <w:sz w:val="16"/>
              </w:rPr>
              <w:t xml:space="preserve"> </w:t>
            </w:r>
            <w:r w:rsidR="004F3E42" w:rsidRPr="00251542">
              <w:rPr>
                <w:sz w:val="16"/>
              </w:rPr>
              <w:t xml:space="preserve"> </w:t>
            </w:r>
            <w:r w:rsidRPr="00251542">
              <w:rPr>
                <w:sz w:val="16"/>
              </w:rPr>
              <w:t>ii) la manière d</w:t>
            </w:r>
            <w:r w:rsidR="00A20444" w:rsidRPr="00251542">
              <w:rPr>
                <w:sz w:val="16"/>
              </w:rPr>
              <w:t>’</w:t>
            </w:r>
            <w:r w:rsidRPr="00251542">
              <w:rPr>
                <w:sz w:val="16"/>
              </w:rPr>
              <w:t>obtenir des rapports positifs de la part de l</w:t>
            </w:r>
            <w:r w:rsidR="00A20444" w:rsidRPr="00251542">
              <w:rPr>
                <w:sz w:val="16"/>
              </w:rPr>
              <w:t>’</w:t>
            </w:r>
            <w:r w:rsidRPr="00251542">
              <w:rPr>
                <w:sz w:val="16"/>
              </w:rPr>
              <w:t>administration chargée de la recherche internationale/administration chargée de l</w:t>
            </w:r>
            <w:r w:rsidR="00A20444" w:rsidRPr="00251542">
              <w:rPr>
                <w:sz w:val="16"/>
              </w:rPr>
              <w:t>’</w:t>
            </w:r>
            <w:r w:rsidRPr="00251542">
              <w:rPr>
                <w:sz w:val="16"/>
              </w:rPr>
              <w:t>examen préliminaire externe;</w:t>
            </w:r>
            <w:r w:rsidR="004F3E42" w:rsidRPr="00251542">
              <w:rPr>
                <w:sz w:val="16"/>
              </w:rPr>
              <w:t xml:space="preserve"> </w:t>
            </w:r>
            <w:r w:rsidR="0010442A" w:rsidRPr="00251542">
              <w:rPr>
                <w:sz w:val="16"/>
              </w:rPr>
              <w:t xml:space="preserve"> </w:t>
            </w:r>
            <w:r w:rsidRPr="00251542">
              <w:rPr>
                <w:sz w:val="16"/>
              </w:rPr>
              <w:t>et iii) la manière dont les offices nationaux peuvent utiliser efficacement ces rapports</w:t>
            </w:r>
            <w:r w:rsidR="00FE3459" w:rsidRPr="00251542">
              <w:rPr>
                <w:sz w:val="16"/>
              </w:rPr>
              <w:t xml:space="preserve">. </w:t>
            </w:r>
            <w:r w:rsidRPr="00251542">
              <w:rPr>
                <w:sz w:val="16"/>
              </w:rPr>
              <w:t xml:space="preserve"> En outre, la manifestation donnait l</w:t>
            </w:r>
            <w:r w:rsidR="00A20444" w:rsidRPr="00251542">
              <w:rPr>
                <w:sz w:val="16"/>
              </w:rPr>
              <w:t>’</w:t>
            </w:r>
            <w:r w:rsidRPr="00251542">
              <w:rPr>
                <w:sz w:val="16"/>
              </w:rPr>
              <w:t>occasion d</w:t>
            </w:r>
            <w:r w:rsidR="00A20444" w:rsidRPr="00251542">
              <w:rPr>
                <w:sz w:val="16"/>
              </w:rPr>
              <w:t>’</w:t>
            </w:r>
            <w:r w:rsidRPr="00251542">
              <w:rPr>
                <w:sz w:val="16"/>
              </w:rPr>
              <w:t>échanger des points de vue et des expériences sur l</w:t>
            </w:r>
            <w:r w:rsidR="00A20444" w:rsidRPr="00251542">
              <w:rPr>
                <w:sz w:val="16"/>
              </w:rPr>
              <w:t>’</w:t>
            </w:r>
            <w:r w:rsidRPr="00251542">
              <w:rPr>
                <w:sz w:val="16"/>
              </w:rPr>
              <w:t>utilisation de cadres de partage du travail et la collaboration à l</w:t>
            </w:r>
            <w:r w:rsidR="00A20444" w:rsidRPr="00251542">
              <w:rPr>
                <w:sz w:val="16"/>
              </w:rPr>
              <w:t>’</w:t>
            </w:r>
            <w:r w:rsidRPr="00251542">
              <w:rPr>
                <w:sz w:val="16"/>
              </w:rPr>
              <w:t xml:space="preserve">échelle internationale, y compris le système du PCT et le Patent </w:t>
            </w:r>
            <w:proofErr w:type="spellStart"/>
            <w:r w:rsidRPr="00251542">
              <w:rPr>
                <w:sz w:val="16"/>
              </w:rPr>
              <w:t>Prosecution</w:t>
            </w:r>
            <w:proofErr w:type="spellEnd"/>
            <w:r w:rsidRPr="00251542">
              <w:rPr>
                <w:sz w:val="16"/>
              </w:rPr>
              <w:t xml:space="preserve"> </w:t>
            </w:r>
            <w:proofErr w:type="spellStart"/>
            <w:r w:rsidRPr="00251542">
              <w:rPr>
                <w:sz w:val="16"/>
              </w:rPr>
              <w:t>Highway</w:t>
            </w:r>
            <w:proofErr w:type="spellEnd"/>
            <w:r w:rsidRPr="00251542">
              <w:rPr>
                <w:sz w:val="16"/>
              </w:rPr>
              <w:t xml:space="preserve"> (</w:t>
            </w:r>
            <w:proofErr w:type="spellStart"/>
            <w:r w:rsidRPr="00251542">
              <w:rPr>
                <w:sz w:val="16"/>
              </w:rPr>
              <w:t>PPH</w:t>
            </w:r>
            <w:proofErr w:type="spellEnd"/>
            <w:r w:rsidRPr="00251542">
              <w:rPr>
                <w:sz w:val="16"/>
              </w:rPr>
              <w:t>)</w:t>
            </w:r>
          </w:p>
        </w:tc>
      </w:tr>
      <w:tr w:rsidR="004007D3" w:rsidRPr="00251542" w:rsidTr="002264E8">
        <w:tc>
          <w:tcPr>
            <w:tcW w:w="1843" w:type="dxa"/>
            <w:tcBorders>
              <w:bottom w:val="nil"/>
            </w:tcBorders>
          </w:tcPr>
          <w:p w:rsidR="004007D3" w:rsidRPr="00251542" w:rsidRDefault="004007D3" w:rsidP="001A5BF9">
            <w:pPr>
              <w:keepNext/>
              <w:autoSpaceDE w:val="0"/>
              <w:autoSpaceDN w:val="0"/>
              <w:adjustRightInd w:val="0"/>
              <w:spacing w:before="120" w:after="120"/>
              <w:rPr>
                <w:rFonts w:cs="Arial"/>
                <w:sz w:val="16"/>
                <w:szCs w:val="16"/>
              </w:rPr>
            </w:pPr>
            <w:r w:rsidRPr="00251542">
              <w:rPr>
                <w:sz w:val="16"/>
              </w:rPr>
              <w:t>Cours d</w:t>
            </w:r>
            <w:r w:rsidR="00A20444" w:rsidRPr="00251542">
              <w:rPr>
                <w:sz w:val="16"/>
              </w:rPr>
              <w:t>’</w:t>
            </w:r>
            <w:r w:rsidRPr="00251542">
              <w:rPr>
                <w:sz w:val="16"/>
              </w:rPr>
              <w:t>été avancé OMPI</w:t>
            </w:r>
            <w:r w:rsidR="002D6F2A" w:rsidRPr="00251542">
              <w:rPr>
                <w:sz w:val="16"/>
              </w:rPr>
              <w:noBreakHyphen/>
            </w:r>
            <w:r w:rsidRPr="00251542">
              <w:rPr>
                <w:sz w:val="16"/>
              </w:rPr>
              <w:t xml:space="preserve">Afrique du Sud sur la propriété intellectuelle et le transfert de technologie, </w:t>
            </w:r>
          </w:p>
        </w:tc>
        <w:tc>
          <w:tcPr>
            <w:tcW w:w="1421" w:type="dxa"/>
            <w:tcBorders>
              <w:bottom w:val="nil"/>
            </w:tcBorders>
          </w:tcPr>
          <w:p w:rsidR="004007D3" w:rsidRPr="00251542" w:rsidRDefault="00812285" w:rsidP="00812285">
            <w:pPr>
              <w:keepNext/>
              <w:autoSpaceDE w:val="0"/>
              <w:autoSpaceDN w:val="0"/>
              <w:adjustRightInd w:val="0"/>
              <w:spacing w:before="120" w:after="120"/>
              <w:rPr>
                <w:rFonts w:cs="Arial"/>
                <w:sz w:val="16"/>
                <w:szCs w:val="16"/>
              </w:rPr>
            </w:pPr>
            <w:r>
              <w:rPr>
                <w:sz w:val="16"/>
              </w:rPr>
              <w:t>d</w:t>
            </w:r>
            <w:r w:rsidR="0081044B" w:rsidRPr="00251542">
              <w:rPr>
                <w:sz w:val="16"/>
              </w:rPr>
              <w:t>u 2</w:t>
            </w:r>
            <w:r w:rsidR="00A20444" w:rsidRPr="00251542">
              <w:rPr>
                <w:sz w:val="16"/>
              </w:rPr>
              <w:t>5 novembre</w:t>
            </w:r>
            <w:r w:rsidR="0081044B" w:rsidRPr="00251542">
              <w:rPr>
                <w:sz w:val="16"/>
              </w:rPr>
              <w:t xml:space="preserve"> au </w:t>
            </w:r>
            <w:r w:rsidR="00A20444" w:rsidRPr="00251542">
              <w:rPr>
                <w:sz w:val="16"/>
              </w:rPr>
              <w:t>6 </w:t>
            </w:r>
            <w:r w:rsidR="00BD43F2" w:rsidRPr="00251542">
              <w:rPr>
                <w:sz w:val="16"/>
              </w:rPr>
              <w:t>décembre</w:t>
            </w:r>
            <w:r>
              <w:rPr>
                <w:sz w:val="16"/>
              </w:rPr>
              <w:t xml:space="preserve"> </w:t>
            </w:r>
            <w:r w:rsidR="00A20444" w:rsidRPr="00251542">
              <w:rPr>
                <w:sz w:val="16"/>
              </w:rPr>
              <w:t>20</w:t>
            </w:r>
            <w:r w:rsidR="004007D3" w:rsidRPr="00251542">
              <w:rPr>
                <w:sz w:val="16"/>
              </w:rPr>
              <w:t>13</w:t>
            </w:r>
          </w:p>
        </w:tc>
        <w:tc>
          <w:tcPr>
            <w:tcW w:w="1701" w:type="dxa"/>
            <w:gridSpan w:val="2"/>
            <w:tcBorders>
              <w:bottom w:val="nil"/>
            </w:tcBorders>
          </w:tcPr>
          <w:p w:rsidR="004007D3" w:rsidRPr="00251542" w:rsidRDefault="004007D3" w:rsidP="001A5BF9">
            <w:pPr>
              <w:keepNext/>
              <w:autoSpaceDE w:val="0"/>
              <w:autoSpaceDN w:val="0"/>
              <w:adjustRightInd w:val="0"/>
              <w:spacing w:before="120" w:after="120"/>
              <w:rPr>
                <w:rFonts w:cs="Arial"/>
                <w:sz w:val="16"/>
                <w:szCs w:val="16"/>
              </w:rPr>
            </w:pPr>
            <w:r w:rsidRPr="00251542">
              <w:rPr>
                <w:sz w:val="16"/>
              </w:rPr>
              <w:t>Afrique du Sud/10 participants africains</w:t>
            </w:r>
          </w:p>
        </w:tc>
        <w:tc>
          <w:tcPr>
            <w:tcW w:w="4110" w:type="dxa"/>
            <w:tcBorders>
              <w:bottom w:val="nil"/>
            </w:tcBorders>
          </w:tcPr>
          <w:p w:rsidR="004007D3" w:rsidRPr="00251542" w:rsidRDefault="004007D3" w:rsidP="001A5BF9">
            <w:pPr>
              <w:keepNext/>
              <w:autoSpaceDE w:val="0"/>
              <w:autoSpaceDN w:val="0"/>
              <w:adjustRightInd w:val="0"/>
              <w:spacing w:before="120" w:after="120"/>
              <w:rPr>
                <w:rFonts w:cs="Arial"/>
                <w:sz w:val="16"/>
                <w:szCs w:val="16"/>
                <w:lang w:bidi="th-TH"/>
              </w:rPr>
            </w:pPr>
            <w:r w:rsidRPr="00251542">
              <w:rPr>
                <w:sz w:val="16"/>
              </w:rPr>
              <w:t xml:space="preserve"> i) Donner l</w:t>
            </w:r>
            <w:r w:rsidR="00A20444" w:rsidRPr="00251542">
              <w:rPr>
                <w:sz w:val="16"/>
              </w:rPr>
              <w:t>’</w:t>
            </w:r>
            <w:r w:rsidRPr="00251542">
              <w:rPr>
                <w:sz w:val="16"/>
              </w:rPr>
              <w:t>occasion aux étudiants (des deuxième et troisième cycles) et aux jeunes actifs d</w:t>
            </w:r>
            <w:r w:rsidR="00A20444" w:rsidRPr="00251542">
              <w:rPr>
                <w:sz w:val="16"/>
              </w:rPr>
              <w:t>’</w:t>
            </w:r>
            <w:r w:rsidRPr="00251542">
              <w:rPr>
                <w:sz w:val="16"/>
              </w:rPr>
              <w:t>acquérir une meilleure connaissance de la propriété intellectuelle et du transfert de technologie;</w:t>
            </w:r>
            <w:r w:rsidR="004F3E42" w:rsidRPr="00251542">
              <w:rPr>
                <w:sz w:val="16"/>
              </w:rPr>
              <w:t xml:space="preserve"> </w:t>
            </w:r>
            <w:r w:rsidR="0010442A" w:rsidRPr="00251542">
              <w:rPr>
                <w:sz w:val="16"/>
              </w:rPr>
              <w:t xml:space="preserve"> </w:t>
            </w:r>
            <w:r w:rsidRPr="00251542">
              <w:rPr>
                <w:sz w:val="16"/>
              </w:rPr>
              <w:t>ii) débattre des questions d</w:t>
            </w:r>
            <w:r w:rsidR="00A20444" w:rsidRPr="00251542">
              <w:rPr>
                <w:sz w:val="16"/>
              </w:rPr>
              <w:t>’</w:t>
            </w:r>
            <w:r w:rsidRPr="00251542">
              <w:rPr>
                <w:sz w:val="16"/>
              </w:rPr>
              <w:t>actualité relatives à la gestion et à la commercialisation de la propriété intellectuelle;</w:t>
            </w:r>
            <w:r w:rsidR="004F3E42" w:rsidRPr="00251542">
              <w:rPr>
                <w:sz w:val="16"/>
              </w:rPr>
              <w:t xml:space="preserve"> </w:t>
            </w:r>
            <w:r w:rsidR="0010442A" w:rsidRPr="00251542">
              <w:rPr>
                <w:sz w:val="16"/>
              </w:rPr>
              <w:t xml:space="preserve"> </w:t>
            </w:r>
            <w:r w:rsidRPr="00251542">
              <w:rPr>
                <w:sz w:val="16"/>
              </w:rPr>
              <w:t>et iii) enseigner aux étudiants le rôle joué par l</w:t>
            </w:r>
            <w:r w:rsidR="00A20444" w:rsidRPr="00251542">
              <w:rPr>
                <w:sz w:val="16"/>
              </w:rPr>
              <w:t>’</w:t>
            </w:r>
            <w:r w:rsidRPr="00251542">
              <w:rPr>
                <w:sz w:val="16"/>
              </w:rPr>
              <w:t>OMPI dans l</w:t>
            </w:r>
            <w:r w:rsidR="00A20444" w:rsidRPr="00251542">
              <w:rPr>
                <w:sz w:val="16"/>
              </w:rPr>
              <w:t>’</w:t>
            </w:r>
            <w:r w:rsidRPr="00251542">
              <w:rPr>
                <w:sz w:val="16"/>
              </w:rPr>
              <w:t>administration mondiale de la propriété intellectuelle en améliorant le transfert de technologie</w:t>
            </w:r>
          </w:p>
        </w:tc>
      </w:tr>
      <w:tr w:rsidR="004007D3" w:rsidRPr="00251542" w:rsidTr="002264E8">
        <w:tblPrEx>
          <w:tblBorders>
            <w:top w:val="single" w:sz="4" w:space="0" w:color="000000"/>
            <w:left w:val="single" w:sz="4" w:space="0" w:color="000000"/>
            <w:bottom w:val="single" w:sz="4" w:space="0" w:color="000000"/>
            <w:right w:val="single" w:sz="4" w:space="0" w:color="000000"/>
          </w:tblBorders>
        </w:tblPrEx>
        <w:trPr>
          <w:cantSplit/>
          <w:trHeight w:val="1043"/>
        </w:trPr>
        <w:tc>
          <w:tcPr>
            <w:tcW w:w="1843" w:type="dxa"/>
            <w:tcBorders>
              <w:top w:val="nil"/>
              <w:left w:val="single" w:sz="4" w:space="0" w:color="auto"/>
              <w:bottom w:val="single" w:sz="4" w:space="0" w:color="auto"/>
            </w:tcBorders>
          </w:tcPr>
          <w:p w:rsidR="004007D3" w:rsidRPr="00251542" w:rsidRDefault="00D42474" w:rsidP="001A5BF9">
            <w:pPr>
              <w:autoSpaceDE w:val="0"/>
              <w:autoSpaceDN w:val="0"/>
              <w:adjustRightInd w:val="0"/>
              <w:spacing w:before="120" w:after="120"/>
              <w:rPr>
                <w:rFonts w:cs="Arial"/>
                <w:sz w:val="16"/>
                <w:szCs w:val="16"/>
              </w:rPr>
            </w:pPr>
            <w:r w:rsidRPr="00251542">
              <w:rPr>
                <w:sz w:val="16"/>
              </w:rPr>
              <w:t xml:space="preserve">Cours </w:t>
            </w:r>
            <w:r>
              <w:rPr>
                <w:sz w:val="16"/>
              </w:rPr>
              <w:t xml:space="preserve">de </w:t>
            </w:r>
            <w:proofErr w:type="spellStart"/>
            <w:r>
              <w:rPr>
                <w:sz w:val="16"/>
              </w:rPr>
              <w:t>formaiton</w:t>
            </w:r>
            <w:proofErr w:type="spellEnd"/>
            <w:r>
              <w:rPr>
                <w:sz w:val="16"/>
              </w:rPr>
              <w:t xml:space="preserve"> sur le r</w:t>
            </w:r>
            <w:r w:rsidR="004007D3" w:rsidRPr="00251542">
              <w:rPr>
                <w:sz w:val="16"/>
              </w:rPr>
              <w:t>espect des droits de la propriété intellectuelle</w:t>
            </w:r>
          </w:p>
        </w:tc>
        <w:tc>
          <w:tcPr>
            <w:tcW w:w="1421" w:type="dxa"/>
            <w:tcBorders>
              <w:top w:val="nil"/>
              <w:bottom w:val="single" w:sz="4" w:space="0" w:color="auto"/>
            </w:tcBorders>
          </w:tcPr>
          <w:p w:rsidR="004007D3" w:rsidRPr="00251542" w:rsidRDefault="00812285" w:rsidP="00812285">
            <w:pPr>
              <w:autoSpaceDE w:val="0"/>
              <w:autoSpaceDN w:val="0"/>
              <w:adjustRightInd w:val="0"/>
              <w:spacing w:before="120" w:after="120"/>
              <w:rPr>
                <w:rFonts w:cs="Arial"/>
                <w:sz w:val="16"/>
                <w:szCs w:val="16"/>
              </w:rPr>
            </w:pPr>
            <w:r>
              <w:rPr>
                <w:sz w:val="16"/>
              </w:rPr>
              <w:t>d</w:t>
            </w:r>
            <w:r w:rsidR="00361674" w:rsidRPr="00251542">
              <w:rPr>
                <w:sz w:val="16"/>
              </w:rPr>
              <w:t>u 2 au</w:t>
            </w:r>
            <w:r w:rsidR="00361674" w:rsidRPr="00251542">
              <w:rPr>
                <w:sz w:val="16"/>
              </w:rPr>
              <w:br/>
            </w:r>
            <w:r w:rsidR="0081044B" w:rsidRPr="00251542">
              <w:rPr>
                <w:sz w:val="16"/>
              </w:rPr>
              <w:t>1</w:t>
            </w:r>
            <w:r w:rsidR="00A20444" w:rsidRPr="00251542">
              <w:rPr>
                <w:sz w:val="16"/>
              </w:rPr>
              <w:t>3 </w:t>
            </w:r>
            <w:r w:rsidR="00BD43F2" w:rsidRPr="00251542">
              <w:rPr>
                <w:sz w:val="16"/>
              </w:rPr>
              <w:t>décembre</w:t>
            </w:r>
            <w:r>
              <w:rPr>
                <w:sz w:val="16"/>
              </w:rPr>
              <w:t xml:space="preserve"> </w:t>
            </w:r>
            <w:r w:rsidR="00A20444" w:rsidRPr="00251542">
              <w:rPr>
                <w:sz w:val="16"/>
              </w:rPr>
              <w:t>20</w:t>
            </w:r>
            <w:r w:rsidR="004007D3" w:rsidRPr="00251542">
              <w:rPr>
                <w:sz w:val="16"/>
              </w:rPr>
              <w:t>13</w:t>
            </w:r>
          </w:p>
        </w:tc>
        <w:tc>
          <w:tcPr>
            <w:tcW w:w="1701" w:type="dxa"/>
            <w:gridSpan w:val="2"/>
            <w:tcBorders>
              <w:top w:val="nil"/>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Japon/</w:t>
            </w:r>
            <w:r w:rsidR="00361674" w:rsidRPr="00251542">
              <w:rPr>
                <w:sz w:val="16"/>
              </w:rPr>
              <w:br/>
              <w:t>d</w:t>
            </w:r>
            <w:r w:rsidRPr="00251542">
              <w:rPr>
                <w:sz w:val="16"/>
              </w:rPr>
              <w:t>eux participants africains</w:t>
            </w:r>
            <w:r w:rsidR="00D42474">
              <w:rPr>
                <w:sz w:val="16"/>
              </w:rPr>
              <w:t xml:space="preserve"> (de l’Algérie et du Maroc)</w:t>
            </w:r>
          </w:p>
        </w:tc>
        <w:tc>
          <w:tcPr>
            <w:tcW w:w="4110" w:type="dxa"/>
            <w:tcBorders>
              <w:top w:val="nil"/>
              <w:bottom w:val="single" w:sz="4" w:space="0" w:color="auto"/>
              <w:right w:val="single" w:sz="4" w:space="0" w:color="auto"/>
            </w:tcBorders>
          </w:tcPr>
          <w:p w:rsidR="004007D3" w:rsidRPr="00251542" w:rsidRDefault="00D42474" w:rsidP="001A5BF9">
            <w:pPr>
              <w:keepNext/>
              <w:keepLines/>
              <w:autoSpaceDE w:val="0"/>
              <w:autoSpaceDN w:val="0"/>
              <w:adjustRightInd w:val="0"/>
              <w:spacing w:before="120" w:after="120"/>
              <w:rPr>
                <w:rFonts w:cs="Arial"/>
                <w:sz w:val="16"/>
                <w:szCs w:val="16"/>
                <w:lang w:bidi="th-TH"/>
              </w:rPr>
            </w:pPr>
            <w:r>
              <w:rPr>
                <w:sz w:val="16"/>
              </w:rPr>
              <w:t xml:space="preserve">i) </w:t>
            </w:r>
            <w:r w:rsidR="004007D3" w:rsidRPr="00251542">
              <w:rPr>
                <w:sz w:val="16"/>
              </w:rPr>
              <w:t>Examiner les normes minimales et les options prévues à la partie III de l</w:t>
            </w:r>
            <w:r w:rsidR="00A20444" w:rsidRPr="00251542">
              <w:rPr>
                <w:sz w:val="16"/>
              </w:rPr>
              <w:t>’</w:t>
            </w:r>
            <w:r w:rsidR="004007D3" w:rsidRPr="00251542">
              <w:rPr>
                <w:sz w:val="16"/>
              </w:rPr>
              <w:t>Accord sur</w:t>
            </w:r>
            <w:r w:rsidR="00A20444" w:rsidRPr="00251542">
              <w:rPr>
                <w:sz w:val="16"/>
              </w:rPr>
              <w:t xml:space="preserve"> les ADP</w:t>
            </w:r>
            <w:r w:rsidR="004007D3" w:rsidRPr="00251542">
              <w:rPr>
                <w:sz w:val="16"/>
              </w:rPr>
              <w:t>IC;</w:t>
            </w:r>
            <w:r w:rsidR="0010442A" w:rsidRPr="00251542">
              <w:rPr>
                <w:sz w:val="16"/>
              </w:rPr>
              <w:t xml:space="preserve"> </w:t>
            </w:r>
            <w:r w:rsidR="004F3E42" w:rsidRPr="00251542">
              <w:rPr>
                <w:sz w:val="16"/>
              </w:rPr>
              <w:t xml:space="preserve"> </w:t>
            </w:r>
            <w:r w:rsidR="004007D3" w:rsidRPr="00251542">
              <w:rPr>
                <w:sz w:val="16"/>
              </w:rPr>
              <w:t>ii) discuter de différentes questions relatives à la promotion du respect de la propriété intellectuelle et des droits de propriété intellectuelle, comme d</w:t>
            </w:r>
            <w:r w:rsidR="00A20444" w:rsidRPr="00251542">
              <w:rPr>
                <w:sz w:val="16"/>
              </w:rPr>
              <w:t>’</w:t>
            </w:r>
            <w:r w:rsidR="004007D3" w:rsidRPr="00251542">
              <w:rPr>
                <w:sz w:val="16"/>
              </w:rPr>
              <w:t>autres modèles pour faire face à la contrefaçon et au piratage et la destruction ou la mise hors circuit de marchandises portant atteinte à un droit, les attitudes des consommateurs par rapport à la contrefaçon et au piratage, et les dernières évolutions dans l</w:t>
            </w:r>
            <w:r w:rsidR="00A20444" w:rsidRPr="00251542">
              <w:rPr>
                <w:sz w:val="16"/>
              </w:rPr>
              <w:t>’</w:t>
            </w:r>
            <w:r w:rsidR="004007D3" w:rsidRPr="00251542">
              <w:rPr>
                <w:sz w:val="16"/>
              </w:rPr>
              <w:t>intégration de la jurisprudence;</w:t>
            </w:r>
            <w:r w:rsidR="004F3E42" w:rsidRPr="00251542">
              <w:rPr>
                <w:sz w:val="16"/>
              </w:rPr>
              <w:t xml:space="preserve"> </w:t>
            </w:r>
            <w:r w:rsidR="0010442A" w:rsidRPr="00251542">
              <w:rPr>
                <w:sz w:val="16"/>
              </w:rPr>
              <w:t xml:space="preserve"> </w:t>
            </w:r>
            <w:r w:rsidR="004007D3" w:rsidRPr="00251542">
              <w:rPr>
                <w:sz w:val="16"/>
              </w:rPr>
              <w:t>iii) examiner les motifs, les éléments, les enquêtes et les poursuites des crimes et des atteintes à la propriété intellectuelle, notamment le prononcé de la peine et la proportionnalité;</w:t>
            </w:r>
            <w:r w:rsidR="004F3E42" w:rsidRPr="00251542">
              <w:rPr>
                <w:sz w:val="16"/>
              </w:rPr>
              <w:t xml:space="preserve"> </w:t>
            </w:r>
            <w:r w:rsidR="0010442A" w:rsidRPr="00251542">
              <w:rPr>
                <w:sz w:val="16"/>
              </w:rPr>
              <w:t xml:space="preserve"> </w:t>
            </w:r>
            <w:r w:rsidR="004007D3" w:rsidRPr="00251542">
              <w:rPr>
                <w:sz w:val="16"/>
              </w:rPr>
              <w:t>et iv) analyser le rôle de diverses parties prenantes dans l</w:t>
            </w:r>
            <w:r w:rsidR="00A20444" w:rsidRPr="00251542">
              <w:rPr>
                <w:sz w:val="16"/>
              </w:rPr>
              <w:t>’</w:t>
            </w:r>
            <w:r w:rsidR="004007D3" w:rsidRPr="00251542">
              <w:rPr>
                <w:sz w:val="16"/>
              </w:rPr>
              <w:t>intérêt d</w:t>
            </w:r>
            <w:r w:rsidR="00A20444" w:rsidRPr="00251542">
              <w:rPr>
                <w:sz w:val="16"/>
              </w:rPr>
              <w:t>’</w:t>
            </w:r>
            <w:r w:rsidR="004007D3" w:rsidRPr="00251542">
              <w:rPr>
                <w:sz w:val="16"/>
              </w:rPr>
              <w:t>une coopération stratégique et efficace</w:t>
            </w:r>
          </w:p>
        </w:tc>
      </w:tr>
    </w:tbl>
    <w:p w:rsidR="00D42474" w:rsidRDefault="00D42474" w:rsidP="001A5BF9">
      <w:pPr>
        <w:rPr>
          <w:rFonts w:cs="Arial"/>
          <w:b/>
          <w:sz w:val="16"/>
          <w:szCs w:val="16"/>
        </w:rPr>
      </w:pPr>
    </w:p>
    <w:p w:rsidR="00D42474" w:rsidRDefault="00D42474" w:rsidP="001A5BF9">
      <w:pPr>
        <w:keepNext/>
        <w:keepLines/>
        <w:rPr>
          <w:rFonts w:cs="Arial"/>
          <w:b/>
          <w:szCs w:val="20"/>
        </w:rPr>
      </w:pPr>
    </w:p>
    <w:p w:rsidR="00D42474" w:rsidRDefault="00D42474" w:rsidP="001A5BF9">
      <w:pPr>
        <w:keepNext/>
        <w:keepLines/>
        <w:rPr>
          <w:rFonts w:cs="Arial"/>
          <w:b/>
          <w:szCs w:val="20"/>
        </w:rPr>
      </w:pPr>
    </w:p>
    <w:p w:rsidR="00D42474" w:rsidRDefault="004007D3" w:rsidP="001A5BF9">
      <w:pPr>
        <w:rPr>
          <w:rFonts w:cs="Arial"/>
          <w:b/>
          <w:sz w:val="18"/>
          <w:szCs w:val="18"/>
        </w:rPr>
      </w:pPr>
      <w:r w:rsidRPr="00251542">
        <w:rPr>
          <w:b/>
          <w:sz w:val="18"/>
        </w:rPr>
        <w:t>JAPON/PROPRIÉTÉ INTELLECTUELLE/AFRIQUE – PAYS LES MOINS AVANCÉS – Contributions des donateurs et dépenses en</w:t>
      </w:r>
      <w:r w:rsidR="0010442A" w:rsidRPr="00251542">
        <w:rPr>
          <w:b/>
          <w:sz w:val="18"/>
        </w:rPr>
        <w:t> </w:t>
      </w:r>
      <w:r w:rsidRPr="00251542">
        <w:rPr>
          <w:b/>
          <w:sz w:val="18"/>
        </w:rPr>
        <w:t>2013</w:t>
      </w:r>
      <w:r w:rsidRPr="00251542">
        <w:rPr>
          <w:b/>
          <w:sz w:val="18"/>
          <w:vertAlign w:val="superscript"/>
        </w:rPr>
        <w:t>1</w:t>
      </w:r>
    </w:p>
    <w:p w:rsidR="004007D3" w:rsidRPr="00251542" w:rsidRDefault="004007D3" w:rsidP="001A5BF9">
      <w:pPr>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4007D3" w:rsidRPr="00251542" w:rsidTr="0056083E">
        <w:trPr>
          <w:trHeight w:val="567"/>
        </w:trPr>
        <w:tc>
          <w:tcPr>
            <w:tcW w:w="187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2012</w:t>
            </w:r>
          </w:p>
        </w:tc>
        <w:tc>
          <w:tcPr>
            <w:tcW w:w="165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7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65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31 décembre 2013</w:t>
            </w:r>
          </w:p>
        </w:tc>
      </w:tr>
      <w:tr w:rsidR="004007D3" w:rsidRPr="00251542" w:rsidTr="0056083E">
        <w:trPr>
          <w:trHeight w:val="567"/>
        </w:trPr>
        <w:tc>
          <w:tcPr>
            <w:tcW w:w="1870"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1 507 801</w:t>
            </w:r>
          </w:p>
        </w:tc>
        <w:tc>
          <w:tcPr>
            <w:tcW w:w="1650"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1 100 656</w:t>
            </w:r>
          </w:p>
        </w:tc>
        <w:tc>
          <w:tcPr>
            <w:tcW w:w="1870"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1 216 674</w:t>
            </w:r>
          </w:p>
        </w:tc>
        <w:tc>
          <w:tcPr>
            <w:tcW w:w="1650"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 </w:t>
            </w:r>
          </w:p>
        </w:tc>
        <w:tc>
          <w:tcPr>
            <w:tcW w:w="1980"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1 391 783</w:t>
            </w:r>
          </w:p>
        </w:tc>
      </w:tr>
    </w:tbl>
    <w:p w:rsidR="00D42474" w:rsidRDefault="004007D3" w:rsidP="001A5BF9">
      <w:pPr>
        <w:spacing w:before="120"/>
        <w:rPr>
          <w:sz w:val="16"/>
          <w:szCs w:val="16"/>
        </w:rPr>
      </w:pPr>
      <w:r w:rsidRPr="007A524A">
        <w:rPr>
          <w:i/>
          <w:sz w:val="16"/>
          <w:szCs w:val="16"/>
          <w:vertAlign w:val="superscript"/>
        </w:rPr>
        <w:t>1</w:t>
      </w:r>
      <w:r w:rsidRPr="007A524A">
        <w:rPr>
          <w:i/>
          <w:sz w:val="16"/>
          <w:szCs w:val="16"/>
        </w:rPr>
        <w:t xml:space="preserve"> </w:t>
      </w:r>
      <w:r w:rsidR="007A524A">
        <w:rPr>
          <w:i/>
          <w:sz w:val="16"/>
          <w:szCs w:val="16"/>
        </w:rPr>
        <w:t xml:space="preserve"> </w:t>
      </w:r>
      <w:r w:rsidRPr="007A524A">
        <w:rPr>
          <w:i/>
          <w:sz w:val="16"/>
          <w:szCs w:val="16"/>
        </w:rPr>
        <w:t>États financiers de l</w:t>
      </w:r>
      <w:r w:rsidR="00A20444" w:rsidRPr="007A524A">
        <w:rPr>
          <w:i/>
          <w:sz w:val="16"/>
          <w:szCs w:val="16"/>
        </w:rPr>
        <w:t>’</w:t>
      </w:r>
      <w:r w:rsidRPr="007A524A">
        <w:rPr>
          <w:i/>
          <w:sz w:val="16"/>
          <w:szCs w:val="16"/>
        </w:rPr>
        <w:t>OMPI 2013 (annexe III)</w:t>
      </w:r>
    </w:p>
    <w:p w:rsidR="00D42474" w:rsidRDefault="00D42474" w:rsidP="001A5BF9">
      <w:pPr>
        <w:keepNext/>
        <w:keepLines/>
        <w:rPr>
          <w:rFonts w:cs="Arial"/>
          <w:b/>
          <w:szCs w:val="20"/>
        </w:rPr>
      </w:pPr>
    </w:p>
    <w:p w:rsidR="00D42474" w:rsidRDefault="00D42474" w:rsidP="001A5BF9">
      <w:pPr>
        <w:keepNext/>
        <w:keepLines/>
        <w:rPr>
          <w:rFonts w:cs="Arial"/>
          <w:b/>
          <w:sz w:val="18"/>
          <w:szCs w:val="18"/>
        </w:rPr>
      </w:pPr>
    </w:p>
    <w:p w:rsidR="00D42474" w:rsidRDefault="00D42474" w:rsidP="001A5BF9">
      <w:pPr>
        <w:rPr>
          <w:sz w:val="16"/>
          <w:szCs w:val="16"/>
        </w:rPr>
      </w:pPr>
    </w:p>
    <w:p w:rsidR="00D42474" w:rsidRDefault="004007D3" w:rsidP="001A5BF9">
      <w:pPr>
        <w:rPr>
          <w:rFonts w:cs="Arial"/>
          <w:b/>
          <w:szCs w:val="20"/>
        </w:rPr>
      </w:pPr>
      <w:r w:rsidRPr="00251542">
        <w:br w:type="page"/>
      </w:r>
    </w:p>
    <w:p w:rsidR="00D42474" w:rsidRDefault="004007D3" w:rsidP="001A5BF9">
      <w:pPr>
        <w:keepNext/>
        <w:keepLines/>
        <w:rPr>
          <w:rFonts w:cs="Arial"/>
          <w:b/>
          <w:szCs w:val="20"/>
        </w:rPr>
      </w:pPr>
      <w:r w:rsidRPr="00251542">
        <w:rPr>
          <w:b/>
        </w:rPr>
        <w:t>RÉPUBLIQUE DE CORÉE/DROIT D</w:t>
      </w:r>
      <w:r w:rsidR="00A20444" w:rsidRPr="00251542">
        <w:rPr>
          <w:b/>
        </w:rPr>
        <w:t>’</w:t>
      </w:r>
      <w:r w:rsidRPr="00251542">
        <w:rPr>
          <w:b/>
        </w:rPr>
        <w:t>AUTEUR</w:t>
      </w:r>
    </w:p>
    <w:p w:rsidR="004007D3" w:rsidRDefault="004007D3" w:rsidP="001A5BF9">
      <w:pPr>
        <w:keepNext/>
        <w:keepLines/>
        <w:rPr>
          <w:rFonts w:cs="Arial"/>
          <w:b/>
          <w:sz w:val="16"/>
          <w:szCs w:val="16"/>
        </w:rPr>
      </w:pP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252"/>
      </w:tblGrid>
      <w:tr w:rsidR="004007D3" w:rsidRPr="00251542" w:rsidTr="007A524A">
        <w:trPr>
          <w:cantSplit/>
        </w:trPr>
        <w:tc>
          <w:tcPr>
            <w:tcW w:w="9102" w:type="dxa"/>
            <w:gridSpan w:val="4"/>
            <w:tcBorders>
              <w:top w:val="single" w:sz="4" w:space="0" w:color="000000"/>
              <w:bottom w:val="single" w:sz="4" w:space="0" w:color="000000"/>
            </w:tcBorders>
            <w:shd w:val="clear" w:color="auto" w:fill="CCFFFF"/>
            <w:vAlign w:val="center"/>
          </w:tcPr>
          <w:p w:rsidR="00D42474" w:rsidRDefault="004007D3" w:rsidP="001A5BF9">
            <w:pPr>
              <w:keepNext/>
              <w:keepLines/>
              <w:spacing w:before="120" w:after="60"/>
              <w:ind w:left="1701" w:hanging="1701"/>
              <w:rPr>
                <w:rFonts w:cs="Arial"/>
                <w:bCs/>
                <w:sz w:val="16"/>
                <w:szCs w:val="16"/>
              </w:rPr>
            </w:pPr>
            <w:r w:rsidRPr="00251542">
              <w:rPr>
                <w:b/>
                <w:sz w:val="16"/>
              </w:rPr>
              <w:t>RÉSULTAT</w:t>
            </w:r>
            <w:r w:rsidR="0010442A" w:rsidRPr="00251542">
              <w:rPr>
                <w:b/>
                <w:sz w:val="16"/>
              </w:rPr>
              <w:t xml:space="preserve"> : </w:t>
            </w:r>
            <w:r w:rsidR="00385904" w:rsidRPr="00251542">
              <w:rPr>
                <w:b/>
                <w:sz w:val="16"/>
              </w:rPr>
              <w:tab/>
            </w:r>
            <w:r w:rsidRPr="007A524A">
              <w:rPr>
                <w:sz w:val="16"/>
              </w:rPr>
              <w:t>Sensibilisation accrue et renforcement des capacités des États membres dans le domaine du droit d</w:t>
            </w:r>
            <w:r w:rsidR="00A20444" w:rsidRPr="007A524A">
              <w:rPr>
                <w:sz w:val="16"/>
              </w:rPr>
              <w:t>’</w:t>
            </w:r>
            <w:r w:rsidRPr="007A524A">
              <w:rPr>
                <w:sz w:val="16"/>
              </w:rPr>
              <w:t>auteur et des droits connexes</w:t>
            </w:r>
          </w:p>
          <w:p w:rsidR="004007D3" w:rsidRPr="00251542" w:rsidRDefault="004007D3" w:rsidP="001A5BF9">
            <w:pPr>
              <w:keepNext/>
              <w:keepLines/>
              <w:spacing w:before="120" w:after="120"/>
              <w:ind w:left="1701"/>
              <w:rPr>
                <w:rFonts w:cs="Arial"/>
                <w:bCs/>
                <w:sz w:val="16"/>
                <w:szCs w:val="16"/>
              </w:rPr>
            </w:pPr>
            <w:r w:rsidRPr="00251542">
              <w:rPr>
                <w:sz w:val="16"/>
              </w:rPr>
              <w:t>Mise en valeur des ressources humaines pour répondre aux diverses exigences en matière d</w:t>
            </w:r>
            <w:r w:rsidR="00A20444" w:rsidRPr="00251542">
              <w:rPr>
                <w:sz w:val="16"/>
              </w:rPr>
              <w:t>’</w:t>
            </w:r>
            <w:r w:rsidRPr="00251542">
              <w:rPr>
                <w:sz w:val="16"/>
              </w:rPr>
              <w:t>utilisation efficace de la propriété intellectuelle au service du développement dans les pays en développement,</w:t>
            </w:r>
            <w:r w:rsidR="00A20444" w:rsidRPr="00251542">
              <w:rPr>
                <w:sz w:val="16"/>
              </w:rPr>
              <w:t xml:space="preserve"> les PMA</w:t>
            </w:r>
            <w:r w:rsidRPr="00251542">
              <w:rPr>
                <w:sz w:val="16"/>
              </w:rPr>
              <w:t xml:space="preserve"> et les pays en transition</w:t>
            </w:r>
          </w:p>
        </w:tc>
      </w:tr>
      <w:tr w:rsidR="004007D3" w:rsidRPr="007A524A" w:rsidTr="007A524A">
        <w:trPr>
          <w:cantSplit/>
        </w:trPr>
        <w:tc>
          <w:tcPr>
            <w:tcW w:w="1873" w:type="dxa"/>
            <w:tcBorders>
              <w:top w:val="single" w:sz="4" w:space="0" w:color="000000"/>
            </w:tcBorders>
            <w:vAlign w:val="center"/>
          </w:tcPr>
          <w:p w:rsidR="004007D3" w:rsidRPr="007A524A" w:rsidRDefault="004007D3" w:rsidP="001A5BF9">
            <w:pPr>
              <w:keepNext/>
              <w:keepLines/>
              <w:rPr>
                <w:rFonts w:cs="Arial"/>
                <w:b/>
                <w:bCs/>
                <w:sz w:val="16"/>
                <w:szCs w:val="16"/>
              </w:rPr>
            </w:pPr>
            <w:r w:rsidRPr="007A524A">
              <w:rPr>
                <w:b/>
                <w:sz w:val="16"/>
              </w:rPr>
              <w:t>Activité</w:t>
            </w:r>
          </w:p>
        </w:tc>
        <w:tc>
          <w:tcPr>
            <w:tcW w:w="1134" w:type="dxa"/>
            <w:tcBorders>
              <w:top w:val="single" w:sz="4" w:space="0" w:color="000000"/>
            </w:tcBorders>
            <w:shd w:val="clear" w:color="auto" w:fill="auto"/>
            <w:tcMar>
              <w:top w:w="110" w:type="dxa"/>
            </w:tcMar>
            <w:vAlign w:val="center"/>
          </w:tcPr>
          <w:p w:rsidR="004007D3" w:rsidRPr="007A524A" w:rsidRDefault="004007D3" w:rsidP="001A5BF9">
            <w:pPr>
              <w:keepNext/>
              <w:keepLines/>
              <w:rPr>
                <w:rFonts w:cs="Arial"/>
                <w:b/>
                <w:bCs/>
                <w:sz w:val="16"/>
                <w:szCs w:val="16"/>
              </w:rPr>
            </w:pPr>
            <w:r w:rsidRPr="007A524A">
              <w:rPr>
                <w:b/>
                <w:sz w:val="16"/>
              </w:rPr>
              <w:t>Date :</w:t>
            </w:r>
          </w:p>
        </w:tc>
        <w:tc>
          <w:tcPr>
            <w:tcW w:w="1843" w:type="dxa"/>
            <w:tcBorders>
              <w:top w:val="single" w:sz="4" w:space="0" w:color="000000"/>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Pays hôte/bénéficiaire</w:t>
            </w:r>
          </w:p>
        </w:tc>
        <w:tc>
          <w:tcPr>
            <w:tcW w:w="4252" w:type="dxa"/>
            <w:tcBorders>
              <w:top w:val="single" w:sz="4" w:space="0" w:color="000000"/>
            </w:tcBorders>
            <w:shd w:val="clear" w:color="auto" w:fill="FFFFFF"/>
            <w:tcMar>
              <w:top w:w="110" w:type="dxa"/>
            </w:tcMar>
            <w:vAlign w:val="center"/>
          </w:tcPr>
          <w:p w:rsidR="004007D3" w:rsidRPr="007A524A" w:rsidRDefault="004007D3" w:rsidP="001A5BF9">
            <w:pPr>
              <w:keepNext/>
              <w:keepLines/>
              <w:rPr>
                <w:rFonts w:cs="Arial"/>
                <w:b/>
                <w:sz w:val="16"/>
                <w:szCs w:val="16"/>
              </w:rPr>
            </w:pPr>
            <w:r w:rsidRPr="007A524A">
              <w:rPr>
                <w:b/>
                <w:sz w:val="16"/>
              </w:rPr>
              <w:t>Objectif(s)/description(s)</w:t>
            </w:r>
          </w:p>
        </w:tc>
      </w:tr>
      <w:tr w:rsidR="004007D3" w:rsidRPr="00251542" w:rsidTr="007A524A">
        <w:trPr>
          <w:cantSplit/>
        </w:trPr>
        <w:tc>
          <w:tcPr>
            <w:tcW w:w="1873" w:type="dxa"/>
          </w:tcPr>
          <w:p w:rsidR="004007D3" w:rsidRPr="00251542" w:rsidRDefault="004007D3" w:rsidP="001A5BF9">
            <w:pPr>
              <w:rPr>
                <w:rFonts w:eastAsia="Batang" w:cs="Arial"/>
                <w:sz w:val="16"/>
                <w:szCs w:val="16"/>
              </w:rPr>
            </w:pPr>
            <w:r w:rsidRPr="00251542">
              <w:rPr>
                <w:sz w:val="16"/>
              </w:rPr>
              <w:t>Atelier interrégional à destination des experts locaux sur le renforcement des capacités en matière de droit d</w:t>
            </w:r>
            <w:r w:rsidR="00A20444" w:rsidRPr="00251542">
              <w:rPr>
                <w:sz w:val="16"/>
              </w:rPr>
              <w:t>’</w:t>
            </w:r>
            <w:r w:rsidRPr="00251542">
              <w:rPr>
                <w:sz w:val="16"/>
              </w:rPr>
              <w:t>auteur</w:t>
            </w:r>
          </w:p>
        </w:tc>
        <w:tc>
          <w:tcPr>
            <w:tcW w:w="1134" w:type="dxa"/>
            <w:shd w:val="clear" w:color="auto" w:fill="auto"/>
            <w:tcMar>
              <w:top w:w="110" w:type="dxa"/>
            </w:tcMar>
          </w:tcPr>
          <w:p w:rsidR="004007D3" w:rsidRPr="00251542" w:rsidRDefault="00812285" w:rsidP="00812285">
            <w:pPr>
              <w:keepNext/>
              <w:keepLines/>
              <w:rPr>
                <w:rFonts w:cs="Arial"/>
                <w:b/>
                <w:bCs/>
                <w:sz w:val="16"/>
                <w:szCs w:val="16"/>
              </w:rPr>
            </w:pPr>
            <w:r>
              <w:rPr>
                <w:sz w:val="16"/>
              </w:rPr>
              <w:t>d</w:t>
            </w:r>
            <w:r w:rsidR="004007D3" w:rsidRPr="00251542">
              <w:rPr>
                <w:sz w:val="16"/>
              </w:rPr>
              <w:t>u 22 au</w:t>
            </w:r>
            <w:r>
              <w:rPr>
                <w:sz w:val="16"/>
              </w:rPr>
              <w:t xml:space="preserve"> </w:t>
            </w:r>
            <w:r w:rsidR="004007D3" w:rsidRPr="00251542">
              <w:rPr>
                <w:sz w:val="16"/>
              </w:rPr>
              <w:t>25 avril 2013</w:t>
            </w:r>
          </w:p>
        </w:tc>
        <w:tc>
          <w:tcPr>
            <w:tcW w:w="1843" w:type="dxa"/>
            <w:shd w:val="clear" w:color="auto" w:fill="auto"/>
            <w:tcMar>
              <w:top w:w="110" w:type="dxa"/>
            </w:tcMar>
          </w:tcPr>
          <w:p w:rsidR="004007D3" w:rsidRPr="00251542" w:rsidRDefault="004007D3" w:rsidP="001A5BF9">
            <w:pPr>
              <w:rPr>
                <w:rFonts w:cs="Arial"/>
                <w:bCs/>
                <w:kern w:val="36"/>
                <w:sz w:val="16"/>
                <w:szCs w:val="16"/>
              </w:rPr>
            </w:pPr>
            <w:r w:rsidRPr="00251542">
              <w:rPr>
                <w:sz w:val="16"/>
              </w:rPr>
              <w:t>République de Corée/12 participants étrangers du Brésil, de Chine, d</w:t>
            </w:r>
            <w:r w:rsidR="00A20444" w:rsidRPr="00251542">
              <w:rPr>
                <w:sz w:val="16"/>
              </w:rPr>
              <w:t>’</w:t>
            </w:r>
            <w:r w:rsidRPr="00251542">
              <w:rPr>
                <w:sz w:val="16"/>
              </w:rPr>
              <w:t>Égypte, d</w:t>
            </w:r>
            <w:r w:rsidR="00A20444" w:rsidRPr="00251542">
              <w:rPr>
                <w:sz w:val="16"/>
              </w:rPr>
              <w:t>’</w:t>
            </w:r>
            <w:r w:rsidRPr="00251542">
              <w:rPr>
                <w:sz w:val="16"/>
              </w:rPr>
              <w:t>Inde, de Jordanie, du Kenya, du Mozambique, du Sénégal, de Thaïlande et de l</w:t>
            </w:r>
            <w:r w:rsidR="00A20444" w:rsidRPr="00251542">
              <w:rPr>
                <w:sz w:val="16"/>
              </w:rPr>
              <w:t>’</w:t>
            </w:r>
            <w:r w:rsidRPr="00251542">
              <w:rPr>
                <w:sz w:val="16"/>
              </w:rPr>
              <w:t>OAPI</w:t>
            </w:r>
          </w:p>
        </w:tc>
        <w:tc>
          <w:tcPr>
            <w:tcW w:w="4252" w:type="dxa"/>
            <w:shd w:val="clear" w:color="auto" w:fill="FFFFFF"/>
            <w:tcMar>
              <w:top w:w="110" w:type="dxa"/>
            </w:tcMar>
          </w:tcPr>
          <w:p w:rsidR="004007D3" w:rsidRPr="00251542" w:rsidRDefault="004007D3" w:rsidP="001A5BF9">
            <w:pPr>
              <w:rPr>
                <w:rFonts w:cs="Arial"/>
                <w:sz w:val="16"/>
                <w:szCs w:val="16"/>
              </w:rPr>
            </w:pPr>
            <w:r w:rsidRPr="00251542">
              <w:rPr>
                <w:sz w:val="16"/>
              </w:rPr>
              <w:t>Proposer aux experts locaux du renforcement des capacités en matière de droit d</w:t>
            </w:r>
            <w:r w:rsidR="00A20444" w:rsidRPr="00251542">
              <w:rPr>
                <w:sz w:val="16"/>
              </w:rPr>
              <w:t>’</w:t>
            </w:r>
            <w:r w:rsidRPr="00251542">
              <w:rPr>
                <w:sz w:val="16"/>
              </w:rPr>
              <w:t>auteur d</w:t>
            </w:r>
            <w:r w:rsidR="00A20444" w:rsidRPr="00251542">
              <w:rPr>
                <w:sz w:val="16"/>
              </w:rPr>
              <w:t>’</w:t>
            </w:r>
            <w:r w:rsidRPr="00251542">
              <w:rPr>
                <w:sz w:val="16"/>
              </w:rPr>
              <w:t>actualiser leurs connaissances, de partager leur expérience dans le renforcement des capacités, d</w:t>
            </w:r>
            <w:r w:rsidR="00A20444" w:rsidRPr="00251542">
              <w:rPr>
                <w:sz w:val="16"/>
              </w:rPr>
              <w:t>’</w:t>
            </w:r>
            <w:r w:rsidRPr="00251542">
              <w:rPr>
                <w:sz w:val="16"/>
              </w:rPr>
              <w:t>échanger leurs points de vue sur différents programmes de renforcement des capacités et les méthodes de ces programmes, et de débattre du moyen d</w:t>
            </w:r>
            <w:r w:rsidR="00A20444" w:rsidRPr="00251542">
              <w:rPr>
                <w:sz w:val="16"/>
              </w:rPr>
              <w:t>’</w:t>
            </w:r>
            <w:r w:rsidRPr="00251542">
              <w:rPr>
                <w:sz w:val="16"/>
              </w:rPr>
              <w:t>améliorer les programmes de renforcement des capacités en matière de droit d</w:t>
            </w:r>
            <w:r w:rsidR="00A20444" w:rsidRPr="00251542">
              <w:rPr>
                <w:sz w:val="16"/>
              </w:rPr>
              <w:t>’</w:t>
            </w:r>
            <w:r w:rsidRPr="00251542">
              <w:rPr>
                <w:sz w:val="16"/>
              </w:rPr>
              <w:t>auteur aux niveaux régional, national et international</w:t>
            </w:r>
          </w:p>
        </w:tc>
      </w:tr>
      <w:tr w:rsidR="004007D3" w:rsidRPr="00251542" w:rsidTr="007A524A">
        <w:trPr>
          <w:cantSplit/>
        </w:trPr>
        <w:tc>
          <w:tcPr>
            <w:tcW w:w="1873" w:type="dxa"/>
          </w:tcPr>
          <w:p w:rsidR="004007D3" w:rsidRPr="00251542" w:rsidRDefault="004007D3" w:rsidP="001A5BF9">
            <w:pPr>
              <w:rPr>
                <w:rFonts w:eastAsia="Batang" w:cs="Arial"/>
                <w:sz w:val="16"/>
                <w:szCs w:val="16"/>
              </w:rPr>
            </w:pPr>
            <w:r w:rsidRPr="00251542">
              <w:rPr>
                <w:sz w:val="16"/>
              </w:rPr>
              <w:t>Séminaire national sur le droit d</w:t>
            </w:r>
            <w:r w:rsidR="00A20444" w:rsidRPr="00251542">
              <w:rPr>
                <w:sz w:val="16"/>
              </w:rPr>
              <w:t>’</w:t>
            </w:r>
            <w:r w:rsidRPr="00251542">
              <w:rPr>
                <w:sz w:val="16"/>
              </w:rPr>
              <w:t>auteur et les droits connexes</w:t>
            </w:r>
          </w:p>
        </w:tc>
        <w:tc>
          <w:tcPr>
            <w:tcW w:w="1134" w:type="dxa"/>
            <w:shd w:val="clear" w:color="auto" w:fill="auto"/>
            <w:tcMar>
              <w:top w:w="110" w:type="dxa"/>
            </w:tcMar>
          </w:tcPr>
          <w:p w:rsidR="004007D3" w:rsidRPr="00251542" w:rsidRDefault="00812285" w:rsidP="00812285">
            <w:pPr>
              <w:rPr>
                <w:rFonts w:cs="Arial"/>
                <w:sz w:val="16"/>
                <w:szCs w:val="16"/>
              </w:rPr>
            </w:pPr>
            <w:r>
              <w:rPr>
                <w:sz w:val="16"/>
              </w:rPr>
              <w:t>d</w:t>
            </w:r>
            <w:r w:rsidR="004007D3" w:rsidRPr="00251542">
              <w:rPr>
                <w:sz w:val="16"/>
              </w:rPr>
              <w:t>u 23 au</w:t>
            </w:r>
            <w:r>
              <w:rPr>
                <w:sz w:val="16"/>
              </w:rPr>
              <w:t xml:space="preserve"> </w:t>
            </w:r>
            <w:r w:rsidR="004007D3" w:rsidRPr="00251542">
              <w:rPr>
                <w:sz w:val="16"/>
              </w:rPr>
              <w:t>24 mai 2013</w:t>
            </w:r>
          </w:p>
        </w:tc>
        <w:tc>
          <w:tcPr>
            <w:tcW w:w="1843" w:type="dxa"/>
            <w:shd w:val="clear" w:color="auto" w:fill="auto"/>
            <w:tcMar>
              <w:top w:w="110" w:type="dxa"/>
            </w:tcMar>
          </w:tcPr>
          <w:p w:rsidR="004007D3" w:rsidRPr="00251542" w:rsidRDefault="004007D3" w:rsidP="001A5BF9">
            <w:pPr>
              <w:rPr>
                <w:rFonts w:cs="Arial"/>
                <w:bCs/>
                <w:kern w:val="36"/>
                <w:sz w:val="16"/>
                <w:szCs w:val="16"/>
              </w:rPr>
            </w:pPr>
            <w:r w:rsidRPr="00251542">
              <w:rPr>
                <w:sz w:val="16"/>
              </w:rPr>
              <w:t>Mongolie/75 participants locaux</w:t>
            </w:r>
          </w:p>
        </w:tc>
        <w:tc>
          <w:tcPr>
            <w:tcW w:w="4252" w:type="dxa"/>
            <w:shd w:val="clear" w:color="auto" w:fill="FFFFFF"/>
            <w:tcMar>
              <w:top w:w="110" w:type="dxa"/>
            </w:tcMar>
          </w:tcPr>
          <w:p w:rsidR="004007D3" w:rsidRPr="00251542" w:rsidRDefault="004007D3" w:rsidP="001A5BF9">
            <w:pPr>
              <w:rPr>
                <w:rFonts w:cs="Arial"/>
                <w:sz w:val="16"/>
                <w:szCs w:val="16"/>
              </w:rPr>
            </w:pPr>
            <w:r w:rsidRPr="00251542">
              <w:rPr>
                <w:kern w:val="2"/>
                <w:sz w:val="16"/>
              </w:rPr>
              <w:t>Améliorer la compréhension des hauts responsables gouvernementaux, des experts juridiques ainsi que des titulaires de droit, quant à l</w:t>
            </w:r>
            <w:r w:rsidR="00A20444" w:rsidRPr="00251542">
              <w:rPr>
                <w:kern w:val="2"/>
                <w:sz w:val="16"/>
              </w:rPr>
              <w:t>’</w:t>
            </w:r>
            <w:r w:rsidRPr="00251542">
              <w:rPr>
                <w:kern w:val="2"/>
                <w:sz w:val="16"/>
              </w:rPr>
              <w:t>importance du droit d</w:t>
            </w:r>
            <w:r w:rsidR="00A20444" w:rsidRPr="00251542">
              <w:rPr>
                <w:kern w:val="2"/>
                <w:sz w:val="16"/>
              </w:rPr>
              <w:t>’</w:t>
            </w:r>
            <w:r w:rsidRPr="00251542">
              <w:rPr>
                <w:kern w:val="2"/>
                <w:sz w:val="16"/>
              </w:rPr>
              <w:t>auteur et des méthodes et approches visant à promouvoir la sensibilisation au droit d</w:t>
            </w:r>
            <w:r w:rsidR="00A20444" w:rsidRPr="00251542">
              <w:rPr>
                <w:kern w:val="2"/>
                <w:sz w:val="16"/>
              </w:rPr>
              <w:t>’</w:t>
            </w:r>
            <w:r w:rsidRPr="00251542">
              <w:rPr>
                <w:kern w:val="2"/>
                <w:sz w:val="16"/>
              </w:rPr>
              <w:t>auteur parmi les différents groupes cibles</w:t>
            </w:r>
          </w:p>
        </w:tc>
      </w:tr>
      <w:tr w:rsidR="004007D3" w:rsidRPr="00251542" w:rsidTr="007A524A">
        <w:trPr>
          <w:cantSplit/>
        </w:trPr>
        <w:tc>
          <w:tcPr>
            <w:tcW w:w="1873" w:type="dxa"/>
          </w:tcPr>
          <w:p w:rsidR="004007D3" w:rsidRPr="00251542" w:rsidRDefault="004007D3" w:rsidP="001A5BF9">
            <w:pPr>
              <w:rPr>
                <w:rFonts w:eastAsia="Batang" w:cs="Arial"/>
                <w:sz w:val="16"/>
                <w:szCs w:val="16"/>
              </w:rPr>
            </w:pPr>
            <w:r w:rsidRPr="00251542">
              <w:rPr>
                <w:sz w:val="16"/>
              </w:rPr>
              <w:t>Séminaire national sur le droit d</w:t>
            </w:r>
            <w:r w:rsidR="00A20444" w:rsidRPr="00251542">
              <w:rPr>
                <w:sz w:val="16"/>
              </w:rPr>
              <w:t>’</w:t>
            </w:r>
            <w:r w:rsidRPr="00251542">
              <w:rPr>
                <w:sz w:val="16"/>
              </w:rPr>
              <w:t>auteur et les droits connexes</w:t>
            </w:r>
          </w:p>
        </w:tc>
        <w:tc>
          <w:tcPr>
            <w:tcW w:w="1134" w:type="dxa"/>
            <w:shd w:val="clear" w:color="auto" w:fill="auto"/>
            <w:tcMar>
              <w:top w:w="110" w:type="dxa"/>
            </w:tcMar>
          </w:tcPr>
          <w:p w:rsidR="004007D3" w:rsidRPr="00251542" w:rsidRDefault="004007D3" w:rsidP="001A5BF9">
            <w:pPr>
              <w:rPr>
                <w:rFonts w:cs="Arial"/>
                <w:sz w:val="16"/>
                <w:szCs w:val="16"/>
              </w:rPr>
            </w:pPr>
            <w:r w:rsidRPr="00251542">
              <w:rPr>
                <w:sz w:val="16"/>
              </w:rPr>
              <w:t>6 et 7 juin</w:t>
            </w:r>
            <w:r w:rsidR="00385904" w:rsidRPr="00251542">
              <w:rPr>
                <w:sz w:val="16"/>
              </w:rPr>
              <w:br/>
            </w:r>
            <w:r w:rsidRPr="00251542">
              <w:rPr>
                <w:sz w:val="16"/>
              </w:rPr>
              <w:t>2013</w:t>
            </w:r>
          </w:p>
        </w:tc>
        <w:tc>
          <w:tcPr>
            <w:tcW w:w="1843" w:type="dxa"/>
            <w:shd w:val="clear" w:color="auto" w:fill="auto"/>
            <w:tcMar>
              <w:top w:w="110" w:type="dxa"/>
            </w:tcMar>
          </w:tcPr>
          <w:p w:rsidR="004007D3" w:rsidRPr="00251542" w:rsidRDefault="004007D3" w:rsidP="001A5BF9">
            <w:pPr>
              <w:rPr>
                <w:rFonts w:cs="Arial"/>
                <w:bCs/>
                <w:kern w:val="36"/>
                <w:sz w:val="16"/>
                <w:szCs w:val="16"/>
              </w:rPr>
            </w:pPr>
            <w:r w:rsidRPr="00251542">
              <w:rPr>
                <w:kern w:val="36"/>
                <w:sz w:val="16"/>
              </w:rPr>
              <w:t>Cambodge/</w:t>
            </w:r>
            <w:r w:rsidR="00FE3459" w:rsidRPr="00251542">
              <w:rPr>
                <w:kern w:val="36"/>
                <w:sz w:val="16"/>
              </w:rPr>
              <w:br/>
            </w:r>
            <w:r w:rsidRPr="00251542">
              <w:rPr>
                <w:kern w:val="36"/>
                <w:sz w:val="16"/>
              </w:rPr>
              <w:t>85 participants locaux</w:t>
            </w:r>
          </w:p>
        </w:tc>
        <w:tc>
          <w:tcPr>
            <w:tcW w:w="4252" w:type="dxa"/>
            <w:shd w:val="clear" w:color="auto" w:fill="FFFFFF"/>
            <w:tcMar>
              <w:top w:w="110" w:type="dxa"/>
            </w:tcMar>
          </w:tcPr>
          <w:p w:rsidR="004007D3" w:rsidRPr="00251542" w:rsidRDefault="004007D3" w:rsidP="001A5BF9">
            <w:pPr>
              <w:rPr>
                <w:rFonts w:cs="Arial"/>
                <w:sz w:val="16"/>
                <w:szCs w:val="16"/>
              </w:rPr>
            </w:pPr>
            <w:r w:rsidRPr="00251542">
              <w:rPr>
                <w:sz w:val="16"/>
              </w:rPr>
              <w:t>Permettre au pays de renforcer son office du droit d</w:t>
            </w:r>
            <w:r w:rsidR="00A20444" w:rsidRPr="00251542">
              <w:rPr>
                <w:sz w:val="16"/>
              </w:rPr>
              <w:t>’</w:t>
            </w:r>
            <w:r w:rsidRPr="00251542">
              <w:rPr>
                <w:sz w:val="16"/>
              </w:rPr>
              <w:t>auteur et lui fournir des informations quant au contenu et aux avantages des traités internationaux dans le domaine du droit d</w:t>
            </w:r>
            <w:r w:rsidR="00A20444" w:rsidRPr="00251542">
              <w:rPr>
                <w:sz w:val="16"/>
              </w:rPr>
              <w:t>’</w:t>
            </w:r>
            <w:r w:rsidRPr="00251542">
              <w:rPr>
                <w:sz w:val="16"/>
              </w:rPr>
              <w:t>auteur et des droits connexes</w:t>
            </w:r>
          </w:p>
        </w:tc>
      </w:tr>
      <w:tr w:rsidR="004007D3" w:rsidRPr="00251542" w:rsidTr="007A524A">
        <w:trPr>
          <w:cantSplit/>
        </w:trPr>
        <w:tc>
          <w:tcPr>
            <w:tcW w:w="1873" w:type="dxa"/>
          </w:tcPr>
          <w:p w:rsidR="004007D3" w:rsidRPr="00251542" w:rsidRDefault="004007D3" w:rsidP="001A5BF9">
            <w:pPr>
              <w:rPr>
                <w:rFonts w:eastAsia="Batang" w:cs="Arial"/>
                <w:sz w:val="16"/>
                <w:szCs w:val="16"/>
              </w:rPr>
            </w:pPr>
            <w:r w:rsidRPr="00251542">
              <w:rPr>
                <w:sz w:val="16"/>
              </w:rPr>
              <w:t>Atelier national sur le droit d</w:t>
            </w:r>
            <w:r w:rsidR="00A20444" w:rsidRPr="00251542">
              <w:rPr>
                <w:sz w:val="16"/>
              </w:rPr>
              <w:t>’</w:t>
            </w:r>
            <w:r w:rsidRPr="00251542">
              <w:rPr>
                <w:sz w:val="16"/>
              </w:rPr>
              <w:t>auteur et les industries de la création</w:t>
            </w:r>
          </w:p>
        </w:tc>
        <w:tc>
          <w:tcPr>
            <w:tcW w:w="1134" w:type="dxa"/>
            <w:shd w:val="clear" w:color="auto" w:fill="auto"/>
            <w:tcMar>
              <w:top w:w="110" w:type="dxa"/>
            </w:tcMar>
          </w:tcPr>
          <w:p w:rsidR="004007D3" w:rsidRPr="00251542" w:rsidRDefault="004007D3" w:rsidP="00812285">
            <w:pPr>
              <w:rPr>
                <w:rFonts w:cs="Arial"/>
                <w:sz w:val="16"/>
                <w:szCs w:val="16"/>
              </w:rPr>
            </w:pPr>
            <w:r w:rsidRPr="00251542">
              <w:rPr>
                <w:sz w:val="16"/>
              </w:rPr>
              <w:t>23 – 2</w:t>
            </w:r>
            <w:r w:rsidR="00A20444" w:rsidRPr="00251542">
              <w:rPr>
                <w:sz w:val="16"/>
              </w:rPr>
              <w:t>4</w:t>
            </w:r>
            <w:r w:rsidR="00812285">
              <w:rPr>
                <w:sz w:val="16"/>
              </w:rPr>
              <w:t xml:space="preserve"> </w:t>
            </w:r>
            <w:r w:rsidR="00BD43F2" w:rsidRPr="00251542">
              <w:rPr>
                <w:sz w:val="16"/>
              </w:rPr>
              <w:t>juillet </w:t>
            </w:r>
            <w:r w:rsidR="00A20444" w:rsidRPr="00251542">
              <w:rPr>
                <w:sz w:val="16"/>
              </w:rPr>
              <w:t>20</w:t>
            </w:r>
            <w:r w:rsidRPr="00251542">
              <w:rPr>
                <w:sz w:val="16"/>
              </w:rPr>
              <w:t>13</w:t>
            </w:r>
          </w:p>
        </w:tc>
        <w:tc>
          <w:tcPr>
            <w:tcW w:w="1843" w:type="dxa"/>
            <w:shd w:val="clear" w:color="auto" w:fill="auto"/>
            <w:tcMar>
              <w:top w:w="110" w:type="dxa"/>
            </w:tcMar>
          </w:tcPr>
          <w:p w:rsidR="004007D3" w:rsidRPr="00251542" w:rsidRDefault="004007D3" w:rsidP="001A5BF9">
            <w:pPr>
              <w:rPr>
                <w:rFonts w:cs="Arial"/>
                <w:sz w:val="16"/>
                <w:szCs w:val="16"/>
              </w:rPr>
            </w:pPr>
            <w:r w:rsidRPr="00251542">
              <w:rPr>
                <w:sz w:val="16"/>
              </w:rPr>
              <w:t>Philippines/</w:t>
            </w:r>
            <w:r w:rsidR="00FE3459" w:rsidRPr="00251542">
              <w:rPr>
                <w:sz w:val="16"/>
              </w:rPr>
              <w:br/>
            </w:r>
            <w:r w:rsidRPr="00251542">
              <w:rPr>
                <w:sz w:val="16"/>
              </w:rPr>
              <w:t>100 participants locaux</w:t>
            </w:r>
          </w:p>
        </w:tc>
        <w:tc>
          <w:tcPr>
            <w:tcW w:w="4252" w:type="dxa"/>
            <w:shd w:val="clear" w:color="auto" w:fill="FFFFFF"/>
            <w:tcMar>
              <w:top w:w="110" w:type="dxa"/>
            </w:tcMar>
          </w:tcPr>
          <w:p w:rsidR="004007D3" w:rsidRPr="00251542" w:rsidRDefault="004007D3" w:rsidP="001A5BF9">
            <w:pPr>
              <w:rPr>
                <w:rFonts w:cs="Arial"/>
                <w:sz w:val="16"/>
                <w:szCs w:val="16"/>
              </w:rPr>
            </w:pPr>
            <w:r w:rsidRPr="00251542">
              <w:rPr>
                <w:kern w:val="2"/>
                <w:sz w:val="16"/>
              </w:rPr>
              <w:t>Sensibiliser les décideurs et les principales parties prenantes à l</w:t>
            </w:r>
            <w:r w:rsidR="00A20444" w:rsidRPr="00251542">
              <w:rPr>
                <w:kern w:val="2"/>
                <w:sz w:val="16"/>
              </w:rPr>
              <w:t>’</w:t>
            </w:r>
            <w:r w:rsidRPr="00251542">
              <w:rPr>
                <w:kern w:val="2"/>
                <w:sz w:val="16"/>
              </w:rPr>
              <w:t>importance du droit d</w:t>
            </w:r>
            <w:r w:rsidR="00A20444" w:rsidRPr="00251542">
              <w:rPr>
                <w:kern w:val="2"/>
                <w:sz w:val="16"/>
              </w:rPr>
              <w:t>’</w:t>
            </w:r>
            <w:r w:rsidRPr="00251542">
              <w:rPr>
                <w:kern w:val="2"/>
                <w:sz w:val="16"/>
              </w:rPr>
              <w:t>auteur pour assurer la croissance soutenue des industries de la création et la prospérité culturelle, et leur inculquer les savoirs pratiques pour les aider à élaborer et à maintenir des politiques et des stratégies suffisantes en matière de droit d</w:t>
            </w:r>
            <w:r w:rsidR="00A20444" w:rsidRPr="00251542">
              <w:rPr>
                <w:kern w:val="2"/>
                <w:sz w:val="16"/>
              </w:rPr>
              <w:t>’</w:t>
            </w:r>
            <w:r w:rsidRPr="00251542">
              <w:rPr>
                <w:kern w:val="2"/>
                <w:sz w:val="16"/>
              </w:rPr>
              <w:t>auteur</w:t>
            </w:r>
          </w:p>
        </w:tc>
      </w:tr>
      <w:tr w:rsidR="004007D3" w:rsidRPr="00251542" w:rsidTr="007A524A">
        <w:trPr>
          <w:cantSplit/>
        </w:trPr>
        <w:tc>
          <w:tcPr>
            <w:tcW w:w="1873" w:type="dxa"/>
            <w:tcBorders>
              <w:bottom w:val="single" w:sz="4" w:space="0" w:color="000000"/>
            </w:tcBorders>
          </w:tcPr>
          <w:p w:rsidR="004007D3" w:rsidRPr="00251542" w:rsidRDefault="004007D3" w:rsidP="001A5BF9">
            <w:pPr>
              <w:rPr>
                <w:rFonts w:eastAsia="Batang" w:cs="Arial"/>
                <w:sz w:val="16"/>
                <w:szCs w:val="16"/>
              </w:rPr>
            </w:pPr>
            <w:r w:rsidRPr="00251542">
              <w:rPr>
                <w:sz w:val="16"/>
              </w:rPr>
              <w:t>Atelier sous</w:t>
            </w:r>
            <w:r w:rsidR="002D6F2A" w:rsidRPr="00251542">
              <w:rPr>
                <w:sz w:val="16"/>
              </w:rPr>
              <w:noBreakHyphen/>
            </w:r>
            <w:r w:rsidRPr="00251542">
              <w:rPr>
                <w:sz w:val="16"/>
              </w:rPr>
              <w:t>régional sur la coopération en matière de droit d</w:t>
            </w:r>
            <w:r w:rsidR="00A20444" w:rsidRPr="00251542">
              <w:rPr>
                <w:sz w:val="16"/>
              </w:rPr>
              <w:t>’</w:t>
            </w:r>
            <w:r w:rsidRPr="00251542">
              <w:rPr>
                <w:sz w:val="16"/>
              </w:rPr>
              <w:t>auteur et de droits connexes</w:t>
            </w:r>
          </w:p>
        </w:tc>
        <w:tc>
          <w:tcPr>
            <w:tcW w:w="1134" w:type="dxa"/>
            <w:tcBorders>
              <w:bottom w:val="single" w:sz="4" w:space="0" w:color="000000"/>
            </w:tcBorders>
            <w:shd w:val="clear" w:color="auto" w:fill="auto"/>
            <w:tcMar>
              <w:top w:w="110" w:type="dxa"/>
            </w:tcMar>
          </w:tcPr>
          <w:p w:rsidR="004007D3" w:rsidRPr="00251542" w:rsidRDefault="004007D3" w:rsidP="001A5BF9">
            <w:pPr>
              <w:rPr>
                <w:rFonts w:cs="Arial"/>
                <w:spacing w:val="-4"/>
                <w:sz w:val="16"/>
                <w:szCs w:val="16"/>
              </w:rPr>
            </w:pPr>
            <w:r w:rsidRPr="00251542">
              <w:rPr>
                <w:spacing w:val="-4"/>
                <w:sz w:val="16"/>
              </w:rPr>
              <w:t>28 août 2013</w:t>
            </w:r>
          </w:p>
        </w:tc>
        <w:tc>
          <w:tcPr>
            <w:tcW w:w="1843" w:type="dxa"/>
            <w:tcBorders>
              <w:bottom w:val="single" w:sz="4" w:space="0" w:color="000000"/>
            </w:tcBorders>
            <w:shd w:val="clear" w:color="auto" w:fill="auto"/>
            <w:tcMar>
              <w:top w:w="110" w:type="dxa"/>
            </w:tcMar>
          </w:tcPr>
          <w:p w:rsidR="004007D3" w:rsidRPr="00251542" w:rsidRDefault="004007D3" w:rsidP="001A5BF9">
            <w:pPr>
              <w:rPr>
                <w:rFonts w:cs="Arial"/>
                <w:sz w:val="16"/>
                <w:szCs w:val="16"/>
              </w:rPr>
            </w:pPr>
            <w:r w:rsidRPr="00251542">
              <w:rPr>
                <w:sz w:val="16"/>
              </w:rPr>
              <w:t>Chine/</w:t>
            </w:r>
            <w:r w:rsidR="00FE3459" w:rsidRPr="00251542">
              <w:rPr>
                <w:sz w:val="16"/>
              </w:rPr>
              <w:br/>
              <w:t>n</w:t>
            </w:r>
            <w:r w:rsidRPr="00251542">
              <w:rPr>
                <w:sz w:val="16"/>
              </w:rPr>
              <w:t>euf participants de Mongolie, de la Fédération de Russie et de la République de Corée, et 12 participants locaux</w:t>
            </w:r>
          </w:p>
        </w:tc>
        <w:tc>
          <w:tcPr>
            <w:tcW w:w="4252" w:type="dxa"/>
            <w:tcBorders>
              <w:bottom w:val="single" w:sz="4" w:space="0" w:color="000000"/>
            </w:tcBorders>
            <w:shd w:val="clear" w:color="auto" w:fill="FFFFFF"/>
            <w:tcMar>
              <w:top w:w="110" w:type="dxa"/>
            </w:tcMar>
          </w:tcPr>
          <w:p w:rsidR="004007D3" w:rsidRPr="00251542" w:rsidRDefault="004007D3" w:rsidP="001A5BF9">
            <w:pPr>
              <w:rPr>
                <w:rFonts w:cs="Arial"/>
                <w:sz w:val="16"/>
                <w:szCs w:val="16"/>
              </w:rPr>
            </w:pPr>
            <w:r w:rsidRPr="00251542">
              <w:rPr>
                <w:sz w:val="16"/>
              </w:rPr>
              <w:t>Donner l</w:t>
            </w:r>
            <w:r w:rsidR="00A20444" w:rsidRPr="00251542">
              <w:rPr>
                <w:sz w:val="16"/>
              </w:rPr>
              <w:t>’</w:t>
            </w:r>
            <w:r w:rsidRPr="00251542">
              <w:rPr>
                <w:sz w:val="16"/>
              </w:rPr>
              <w:t>occasion aux pays voisins de partager leurs informations et leurs expériences concernant les questions et l</w:t>
            </w:r>
            <w:r w:rsidR="00A20444" w:rsidRPr="00251542">
              <w:rPr>
                <w:sz w:val="16"/>
              </w:rPr>
              <w:t>’</w:t>
            </w:r>
            <w:r w:rsidRPr="00251542">
              <w:rPr>
                <w:sz w:val="16"/>
              </w:rPr>
              <w:t>élaboration du système de droit d</w:t>
            </w:r>
            <w:r w:rsidR="00A20444" w:rsidRPr="00251542">
              <w:rPr>
                <w:sz w:val="16"/>
              </w:rPr>
              <w:t>’</w:t>
            </w:r>
            <w:r w:rsidRPr="00251542">
              <w:rPr>
                <w:sz w:val="16"/>
              </w:rPr>
              <w:t>auteur, et demander davantage de coopération dans le domaine du droit d</w:t>
            </w:r>
            <w:r w:rsidR="00A20444" w:rsidRPr="00251542">
              <w:rPr>
                <w:sz w:val="16"/>
              </w:rPr>
              <w:t>’</w:t>
            </w:r>
            <w:r w:rsidRPr="00251542">
              <w:rPr>
                <w:sz w:val="16"/>
              </w:rPr>
              <w:t>auteur et des droits connexes</w:t>
            </w:r>
          </w:p>
        </w:tc>
      </w:tr>
      <w:tr w:rsidR="004007D3" w:rsidRPr="00251542" w:rsidTr="007A524A">
        <w:trPr>
          <w:cantSplit/>
        </w:trPr>
        <w:tc>
          <w:tcPr>
            <w:tcW w:w="9102" w:type="dxa"/>
            <w:gridSpan w:val="4"/>
            <w:tcBorders>
              <w:top w:val="single" w:sz="4" w:space="0" w:color="000000"/>
              <w:bottom w:val="single" w:sz="4" w:space="0" w:color="000000"/>
            </w:tcBorders>
            <w:shd w:val="clear" w:color="auto" w:fill="CCFFFF"/>
            <w:vAlign w:val="center"/>
          </w:tcPr>
          <w:p w:rsidR="00D42474" w:rsidRDefault="004007D3" w:rsidP="001A5BF9">
            <w:pPr>
              <w:keepNext/>
              <w:keepLines/>
              <w:tabs>
                <w:tab w:val="left" w:pos="1740"/>
              </w:tabs>
              <w:spacing w:before="120" w:after="120"/>
              <w:ind w:left="1701" w:hanging="1701"/>
              <w:rPr>
                <w:rFonts w:cs="Arial"/>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Sensibilisation accrue et renforcement des capacités des États membres dans le domaine du droit d</w:t>
            </w:r>
            <w:r w:rsidR="00A20444" w:rsidRPr="007A524A">
              <w:rPr>
                <w:sz w:val="16"/>
              </w:rPr>
              <w:t>’</w:t>
            </w:r>
            <w:r w:rsidRPr="007A524A">
              <w:rPr>
                <w:sz w:val="16"/>
              </w:rPr>
              <w:t>auteur et des droits connexes</w:t>
            </w:r>
          </w:p>
          <w:p w:rsidR="00D42474" w:rsidRDefault="004007D3" w:rsidP="001A5BF9">
            <w:pPr>
              <w:keepNext/>
              <w:keepLines/>
              <w:ind w:left="1701"/>
              <w:rPr>
                <w:rFonts w:cs="Arial"/>
                <w:bCs/>
                <w:sz w:val="16"/>
                <w:szCs w:val="16"/>
              </w:rPr>
            </w:pPr>
            <w:r w:rsidRPr="00251542">
              <w:rPr>
                <w:sz w:val="16"/>
              </w:rPr>
              <w:t>Amélioration de l</w:t>
            </w:r>
            <w:r w:rsidR="00A20444" w:rsidRPr="00251542">
              <w:rPr>
                <w:sz w:val="16"/>
              </w:rPr>
              <w:t>’</w:t>
            </w:r>
            <w:r w:rsidRPr="00251542">
              <w:rPr>
                <w:sz w:val="16"/>
              </w:rPr>
              <w:t>infrastructure technique et du savoir pour les offices de propriété intellectuelle et les autres institutions de propriété intellectuelle, leur permettant de fournir à leurs parties prenantes des services améliorés (moins chers, plus rapides, de meilleure qualité)</w:t>
            </w:r>
          </w:p>
          <w:p w:rsidR="004007D3" w:rsidRPr="00251542" w:rsidRDefault="004007D3" w:rsidP="001A5BF9">
            <w:pPr>
              <w:keepNext/>
              <w:keepLines/>
              <w:ind w:left="1701"/>
              <w:rPr>
                <w:rFonts w:cs="Arial"/>
                <w:bCs/>
                <w:sz w:val="16"/>
                <w:szCs w:val="16"/>
              </w:rPr>
            </w:pPr>
          </w:p>
        </w:tc>
      </w:tr>
      <w:tr w:rsidR="004007D3" w:rsidRPr="007A524A" w:rsidTr="007A524A">
        <w:trPr>
          <w:cantSplit/>
        </w:trPr>
        <w:tc>
          <w:tcPr>
            <w:tcW w:w="1873" w:type="dxa"/>
            <w:tcBorders>
              <w:top w:val="single" w:sz="4" w:space="0" w:color="000000"/>
            </w:tcBorders>
            <w:vAlign w:val="center"/>
          </w:tcPr>
          <w:p w:rsidR="004007D3" w:rsidRPr="007A524A" w:rsidRDefault="004007D3" w:rsidP="001A5BF9">
            <w:pPr>
              <w:keepNext/>
              <w:keepLines/>
              <w:rPr>
                <w:rFonts w:cs="Arial"/>
                <w:b/>
                <w:bCs/>
                <w:sz w:val="16"/>
                <w:szCs w:val="16"/>
              </w:rPr>
            </w:pPr>
            <w:r w:rsidRPr="007A524A">
              <w:rPr>
                <w:b/>
                <w:sz w:val="16"/>
              </w:rPr>
              <w:t>Activité</w:t>
            </w:r>
          </w:p>
        </w:tc>
        <w:tc>
          <w:tcPr>
            <w:tcW w:w="1134" w:type="dxa"/>
            <w:tcBorders>
              <w:top w:val="single" w:sz="4" w:space="0" w:color="000000"/>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Date :</w:t>
            </w:r>
          </w:p>
        </w:tc>
        <w:tc>
          <w:tcPr>
            <w:tcW w:w="1843" w:type="dxa"/>
            <w:tcBorders>
              <w:top w:val="single" w:sz="4" w:space="0" w:color="000000"/>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Pays hôte/bénéficiaire</w:t>
            </w:r>
          </w:p>
        </w:tc>
        <w:tc>
          <w:tcPr>
            <w:tcW w:w="4252" w:type="dxa"/>
            <w:tcBorders>
              <w:top w:val="single" w:sz="4" w:space="0" w:color="000000"/>
            </w:tcBorders>
            <w:shd w:val="clear" w:color="auto" w:fill="FFFFFF"/>
            <w:tcMar>
              <w:top w:w="110" w:type="dxa"/>
            </w:tcMar>
            <w:vAlign w:val="center"/>
          </w:tcPr>
          <w:p w:rsidR="004007D3" w:rsidRPr="007A524A" w:rsidRDefault="004007D3" w:rsidP="001A5BF9">
            <w:pPr>
              <w:keepNext/>
              <w:keepLines/>
              <w:rPr>
                <w:rFonts w:cs="Arial"/>
                <w:b/>
                <w:sz w:val="16"/>
                <w:szCs w:val="16"/>
              </w:rPr>
            </w:pPr>
            <w:r w:rsidRPr="007A524A">
              <w:rPr>
                <w:b/>
                <w:sz w:val="16"/>
              </w:rPr>
              <w:t>Objectif(s)/description(s)</w:t>
            </w:r>
          </w:p>
        </w:tc>
      </w:tr>
      <w:tr w:rsidR="004007D3" w:rsidRPr="00251542" w:rsidTr="007A524A">
        <w:trPr>
          <w:cantSplit/>
        </w:trPr>
        <w:tc>
          <w:tcPr>
            <w:tcW w:w="1873" w:type="dxa"/>
          </w:tcPr>
          <w:p w:rsidR="004007D3" w:rsidRPr="00251542" w:rsidRDefault="004007D3" w:rsidP="001A5BF9">
            <w:pPr>
              <w:rPr>
                <w:rFonts w:eastAsia="Batang" w:cs="Arial"/>
                <w:sz w:val="16"/>
                <w:szCs w:val="16"/>
              </w:rPr>
            </w:pPr>
            <w:r w:rsidRPr="00251542">
              <w:rPr>
                <w:sz w:val="16"/>
              </w:rPr>
              <w:t>Traduction en bengali et impression des publications de l</w:t>
            </w:r>
            <w:r w:rsidR="00A20444" w:rsidRPr="00251542">
              <w:rPr>
                <w:sz w:val="16"/>
              </w:rPr>
              <w:t>’</w:t>
            </w:r>
            <w:r w:rsidRPr="00251542">
              <w:rPr>
                <w:sz w:val="16"/>
              </w:rPr>
              <w:t>OMPI intitulées “De l</w:t>
            </w:r>
            <w:r w:rsidR="00A20444" w:rsidRPr="00251542">
              <w:rPr>
                <w:sz w:val="16"/>
              </w:rPr>
              <w:t>’</w:t>
            </w:r>
            <w:r w:rsidRPr="00251542">
              <w:rPr>
                <w:sz w:val="16"/>
              </w:rPr>
              <w:t>artiste au public” et “Tirer les leçons du passé, créer l</w:t>
            </w:r>
            <w:r w:rsidR="00A20444" w:rsidRPr="00251542">
              <w:rPr>
                <w:sz w:val="16"/>
              </w:rPr>
              <w:t>’</w:t>
            </w:r>
            <w:r w:rsidRPr="00251542">
              <w:rPr>
                <w:sz w:val="16"/>
              </w:rPr>
              <w:t>avenir : Les arts et le droit d</w:t>
            </w:r>
            <w:r w:rsidR="00A20444" w:rsidRPr="00251542">
              <w:rPr>
                <w:sz w:val="16"/>
              </w:rPr>
              <w:t>’</w:t>
            </w:r>
            <w:r w:rsidRPr="00251542">
              <w:rPr>
                <w:sz w:val="16"/>
              </w:rPr>
              <w:t>auteur”</w:t>
            </w:r>
          </w:p>
        </w:tc>
        <w:tc>
          <w:tcPr>
            <w:tcW w:w="1134" w:type="dxa"/>
            <w:shd w:val="clear" w:color="auto" w:fill="auto"/>
            <w:tcMar>
              <w:top w:w="110" w:type="dxa"/>
            </w:tcMar>
          </w:tcPr>
          <w:p w:rsidR="004007D3" w:rsidRPr="00251542" w:rsidRDefault="00812285" w:rsidP="00812285">
            <w:pPr>
              <w:rPr>
                <w:rFonts w:cs="Arial"/>
                <w:sz w:val="16"/>
                <w:szCs w:val="16"/>
              </w:rPr>
            </w:pPr>
            <w:r>
              <w:rPr>
                <w:sz w:val="16"/>
              </w:rPr>
              <w:t>j</w:t>
            </w:r>
            <w:r w:rsidR="004007D3" w:rsidRPr="00251542">
              <w:rPr>
                <w:sz w:val="16"/>
              </w:rPr>
              <w:t>uillet 2012 à juillet 2013</w:t>
            </w:r>
          </w:p>
        </w:tc>
        <w:tc>
          <w:tcPr>
            <w:tcW w:w="1843" w:type="dxa"/>
            <w:shd w:val="clear" w:color="auto" w:fill="auto"/>
            <w:tcMar>
              <w:top w:w="110" w:type="dxa"/>
            </w:tcMar>
          </w:tcPr>
          <w:p w:rsidR="004007D3" w:rsidRPr="00251542" w:rsidRDefault="004007D3" w:rsidP="001A5BF9">
            <w:pPr>
              <w:rPr>
                <w:rFonts w:cs="Arial"/>
                <w:sz w:val="16"/>
                <w:szCs w:val="16"/>
              </w:rPr>
            </w:pPr>
            <w:r w:rsidRPr="00251542">
              <w:rPr>
                <w:sz w:val="16"/>
              </w:rPr>
              <w:t>Bangladesh</w:t>
            </w:r>
          </w:p>
        </w:tc>
        <w:tc>
          <w:tcPr>
            <w:tcW w:w="4252" w:type="dxa"/>
            <w:shd w:val="clear" w:color="auto" w:fill="FFFFFF"/>
            <w:tcMar>
              <w:top w:w="110" w:type="dxa"/>
            </w:tcMar>
          </w:tcPr>
          <w:p w:rsidR="004007D3" w:rsidRPr="00251542" w:rsidRDefault="004007D3" w:rsidP="001A5BF9">
            <w:pPr>
              <w:rPr>
                <w:rFonts w:cs="Arial"/>
                <w:kern w:val="2"/>
                <w:sz w:val="16"/>
                <w:szCs w:val="16"/>
              </w:rPr>
            </w:pPr>
            <w:r w:rsidRPr="00251542">
              <w:rPr>
                <w:kern w:val="2"/>
                <w:sz w:val="16"/>
              </w:rPr>
              <w:t>Sensibiliser davantage des hauts fonctionnaires et les experts juridiques ainsi que les titulaires de droits et les utilisateurs au droit d</w:t>
            </w:r>
            <w:r w:rsidR="00A20444" w:rsidRPr="00251542">
              <w:rPr>
                <w:kern w:val="2"/>
                <w:sz w:val="16"/>
              </w:rPr>
              <w:t>’</w:t>
            </w:r>
            <w:r w:rsidRPr="00251542">
              <w:rPr>
                <w:kern w:val="2"/>
                <w:sz w:val="16"/>
              </w:rPr>
              <w:t>auteur et aux droits connexes, en fournissant la traduction des publications de l</w:t>
            </w:r>
            <w:r w:rsidR="00A20444" w:rsidRPr="00251542">
              <w:rPr>
                <w:kern w:val="2"/>
                <w:sz w:val="16"/>
              </w:rPr>
              <w:t>’</w:t>
            </w:r>
            <w:r w:rsidRPr="00251542">
              <w:rPr>
                <w:kern w:val="2"/>
                <w:sz w:val="16"/>
              </w:rPr>
              <w:t>OMPI relatives au droit d</w:t>
            </w:r>
            <w:r w:rsidR="00A20444" w:rsidRPr="00251542">
              <w:rPr>
                <w:kern w:val="2"/>
                <w:sz w:val="16"/>
              </w:rPr>
              <w:t>’</w:t>
            </w:r>
            <w:r w:rsidRPr="00251542">
              <w:rPr>
                <w:kern w:val="2"/>
                <w:sz w:val="16"/>
              </w:rPr>
              <w:t>auteur et aux droits connexes dans les langues locales</w:t>
            </w:r>
          </w:p>
        </w:tc>
      </w:tr>
      <w:tr w:rsidR="004007D3" w:rsidRPr="00251542" w:rsidTr="007A524A">
        <w:trPr>
          <w:cantSplit/>
        </w:trPr>
        <w:tc>
          <w:tcPr>
            <w:tcW w:w="1873" w:type="dxa"/>
          </w:tcPr>
          <w:p w:rsidR="004007D3" w:rsidRPr="00251542" w:rsidRDefault="004007D3" w:rsidP="001A5BF9">
            <w:pPr>
              <w:rPr>
                <w:rFonts w:eastAsia="Batang" w:cs="Arial"/>
                <w:sz w:val="16"/>
                <w:szCs w:val="16"/>
              </w:rPr>
            </w:pPr>
            <w:r w:rsidRPr="00251542">
              <w:rPr>
                <w:sz w:val="16"/>
              </w:rPr>
              <w:t>Traduction et impression du Traité de l</w:t>
            </w:r>
            <w:r w:rsidR="00A20444" w:rsidRPr="00251542">
              <w:rPr>
                <w:sz w:val="16"/>
              </w:rPr>
              <w:t>’</w:t>
            </w:r>
            <w:r w:rsidRPr="00251542">
              <w:rPr>
                <w:sz w:val="16"/>
              </w:rPr>
              <w:t>OMPI sur le droit d</w:t>
            </w:r>
            <w:r w:rsidR="00A20444" w:rsidRPr="00251542">
              <w:rPr>
                <w:sz w:val="16"/>
              </w:rPr>
              <w:t>’</w:t>
            </w:r>
            <w:r w:rsidRPr="00251542">
              <w:rPr>
                <w:sz w:val="16"/>
              </w:rPr>
              <w:t>auteur et du Traité de l</w:t>
            </w:r>
            <w:r w:rsidR="00A20444" w:rsidRPr="00251542">
              <w:rPr>
                <w:sz w:val="16"/>
              </w:rPr>
              <w:t>’</w:t>
            </w:r>
            <w:r w:rsidRPr="00251542">
              <w:rPr>
                <w:sz w:val="16"/>
              </w:rPr>
              <w:t>OMPI sur les interprétations et exécutions et les phonogrammes dans la langue locale du Cambodge</w:t>
            </w:r>
          </w:p>
        </w:tc>
        <w:tc>
          <w:tcPr>
            <w:tcW w:w="1134" w:type="dxa"/>
            <w:shd w:val="clear" w:color="auto" w:fill="auto"/>
            <w:tcMar>
              <w:top w:w="110" w:type="dxa"/>
            </w:tcMar>
          </w:tcPr>
          <w:p w:rsidR="004007D3" w:rsidRPr="00251542" w:rsidRDefault="00812285" w:rsidP="00812285">
            <w:pPr>
              <w:rPr>
                <w:rFonts w:cs="Arial"/>
                <w:sz w:val="16"/>
                <w:szCs w:val="16"/>
              </w:rPr>
            </w:pPr>
            <w:r>
              <w:rPr>
                <w:sz w:val="16"/>
              </w:rPr>
              <w:t>m</w:t>
            </w:r>
            <w:r w:rsidR="004007D3" w:rsidRPr="00251542">
              <w:rPr>
                <w:sz w:val="16"/>
              </w:rPr>
              <w:t>ars 2013 à juin 2013</w:t>
            </w:r>
          </w:p>
        </w:tc>
        <w:tc>
          <w:tcPr>
            <w:tcW w:w="1843" w:type="dxa"/>
            <w:shd w:val="clear" w:color="auto" w:fill="auto"/>
            <w:tcMar>
              <w:top w:w="110" w:type="dxa"/>
            </w:tcMar>
          </w:tcPr>
          <w:p w:rsidR="004007D3" w:rsidRPr="00251542" w:rsidRDefault="004007D3" w:rsidP="001A5BF9">
            <w:pPr>
              <w:rPr>
                <w:rFonts w:cs="Arial"/>
                <w:sz w:val="16"/>
                <w:szCs w:val="16"/>
              </w:rPr>
            </w:pPr>
            <w:r w:rsidRPr="00251542">
              <w:rPr>
                <w:sz w:val="16"/>
              </w:rPr>
              <w:t>Cambodge</w:t>
            </w:r>
          </w:p>
        </w:tc>
        <w:tc>
          <w:tcPr>
            <w:tcW w:w="4252" w:type="dxa"/>
            <w:shd w:val="clear" w:color="auto" w:fill="FFFFFF"/>
            <w:tcMar>
              <w:top w:w="110" w:type="dxa"/>
            </w:tcMar>
          </w:tcPr>
          <w:p w:rsidR="004007D3" w:rsidRPr="00251542" w:rsidRDefault="004007D3" w:rsidP="001A5BF9">
            <w:pPr>
              <w:rPr>
                <w:rFonts w:cs="Arial"/>
                <w:kern w:val="2"/>
                <w:sz w:val="16"/>
                <w:szCs w:val="16"/>
              </w:rPr>
            </w:pPr>
            <w:r w:rsidRPr="00251542">
              <w:rPr>
                <w:kern w:val="2"/>
                <w:sz w:val="16"/>
              </w:rPr>
              <w:t>Sensibiliser davantage des hauts fonctionnaires et les experts juridiques ainsi que les titulaires de droits et les utilisateurs au droit d</w:t>
            </w:r>
            <w:r w:rsidR="00A20444" w:rsidRPr="00251542">
              <w:rPr>
                <w:kern w:val="2"/>
                <w:sz w:val="16"/>
              </w:rPr>
              <w:t>’</w:t>
            </w:r>
            <w:r w:rsidRPr="00251542">
              <w:rPr>
                <w:kern w:val="2"/>
                <w:sz w:val="16"/>
              </w:rPr>
              <w:t>auteur et aux droits connexes, en fournissant la traduction des traités de l</w:t>
            </w:r>
            <w:r w:rsidR="00A20444" w:rsidRPr="00251542">
              <w:rPr>
                <w:kern w:val="2"/>
                <w:sz w:val="16"/>
              </w:rPr>
              <w:t>’</w:t>
            </w:r>
            <w:r w:rsidRPr="00251542">
              <w:rPr>
                <w:kern w:val="2"/>
                <w:sz w:val="16"/>
              </w:rPr>
              <w:t>OMPI relatifs au droit d</w:t>
            </w:r>
            <w:r w:rsidR="00A20444" w:rsidRPr="00251542">
              <w:rPr>
                <w:kern w:val="2"/>
                <w:sz w:val="16"/>
              </w:rPr>
              <w:t>’</w:t>
            </w:r>
            <w:r w:rsidRPr="00251542">
              <w:rPr>
                <w:kern w:val="2"/>
                <w:sz w:val="16"/>
              </w:rPr>
              <w:t>auteur et aux droits connexes dans les langues locales</w:t>
            </w:r>
          </w:p>
        </w:tc>
      </w:tr>
      <w:tr w:rsidR="004007D3" w:rsidRPr="00251542" w:rsidTr="007A524A">
        <w:trPr>
          <w:cantSplit/>
        </w:trPr>
        <w:tc>
          <w:tcPr>
            <w:tcW w:w="1873" w:type="dxa"/>
          </w:tcPr>
          <w:p w:rsidR="004007D3" w:rsidRPr="00251542" w:rsidRDefault="004007D3" w:rsidP="001A5BF9">
            <w:pPr>
              <w:rPr>
                <w:rFonts w:cs="Arial"/>
                <w:sz w:val="16"/>
                <w:szCs w:val="16"/>
              </w:rPr>
            </w:pPr>
            <w:r w:rsidRPr="00251542">
              <w:rPr>
                <w:sz w:val="16"/>
              </w:rPr>
              <w:t>Visite d</w:t>
            </w:r>
            <w:r w:rsidR="00A20444" w:rsidRPr="00251542">
              <w:rPr>
                <w:sz w:val="16"/>
              </w:rPr>
              <w:t>’</w:t>
            </w:r>
            <w:r w:rsidRPr="00251542">
              <w:rPr>
                <w:sz w:val="16"/>
              </w:rPr>
              <w:t>étude à la Commission du droit d</w:t>
            </w:r>
            <w:r w:rsidR="00A20444" w:rsidRPr="00251542">
              <w:rPr>
                <w:sz w:val="16"/>
              </w:rPr>
              <w:t>’</w:t>
            </w:r>
            <w:r w:rsidRPr="00251542">
              <w:rPr>
                <w:sz w:val="16"/>
              </w:rPr>
              <w:t>auteur de Corée</w:t>
            </w:r>
          </w:p>
        </w:tc>
        <w:tc>
          <w:tcPr>
            <w:tcW w:w="1134" w:type="dxa"/>
            <w:shd w:val="clear" w:color="auto" w:fill="auto"/>
            <w:tcMar>
              <w:top w:w="110" w:type="dxa"/>
            </w:tcMar>
          </w:tcPr>
          <w:p w:rsidR="004007D3" w:rsidRPr="00251542" w:rsidRDefault="004007D3" w:rsidP="00812285">
            <w:pPr>
              <w:rPr>
                <w:rFonts w:cs="Arial"/>
                <w:sz w:val="16"/>
                <w:szCs w:val="16"/>
              </w:rPr>
            </w:pPr>
            <w:r w:rsidRPr="00251542">
              <w:rPr>
                <w:sz w:val="16"/>
              </w:rPr>
              <w:t>22 – 2</w:t>
            </w:r>
            <w:r w:rsidR="00A20444" w:rsidRPr="00251542">
              <w:rPr>
                <w:sz w:val="16"/>
              </w:rPr>
              <w:t>5</w:t>
            </w:r>
            <w:r w:rsidR="00812285">
              <w:rPr>
                <w:sz w:val="16"/>
              </w:rPr>
              <w:t xml:space="preserve"> </w:t>
            </w:r>
            <w:r w:rsidR="00A20444" w:rsidRPr="00251542">
              <w:rPr>
                <w:sz w:val="16"/>
              </w:rPr>
              <w:t>octobre</w:t>
            </w:r>
            <w:r w:rsidR="00812285">
              <w:rPr>
                <w:sz w:val="16"/>
              </w:rPr>
              <w:t xml:space="preserve"> </w:t>
            </w:r>
            <w:r w:rsidR="00A20444" w:rsidRPr="00251542">
              <w:rPr>
                <w:sz w:val="16"/>
              </w:rPr>
              <w:t>20</w:t>
            </w:r>
            <w:r w:rsidRPr="00251542">
              <w:rPr>
                <w:sz w:val="16"/>
              </w:rPr>
              <w:t>13</w:t>
            </w:r>
          </w:p>
        </w:tc>
        <w:tc>
          <w:tcPr>
            <w:tcW w:w="1843" w:type="dxa"/>
            <w:shd w:val="clear" w:color="auto" w:fill="auto"/>
            <w:tcMar>
              <w:top w:w="110" w:type="dxa"/>
            </w:tcMar>
          </w:tcPr>
          <w:p w:rsidR="00D42474" w:rsidRDefault="004007D3" w:rsidP="001A5BF9">
            <w:pPr>
              <w:rPr>
                <w:sz w:val="16"/>
              </w:rPr>
            </w:pPr>
            <w:r w:rsidRPr="00251542">
              <w:rPr>
                <w:sz w:val="16"/>
              </w:rPr>
              <w:t>République de Corée/</w:t>
            </w:r>
          </w:p>
          <w:p w:rsidR="004007D3" w:rsidRPr="00251542" w:rsidRDefault="004007D3" w:rsidP="001A5BF9">
            <w:pPr>
              <w:rPr>
                <w:rFonts w:cs="Arial"/>
                <w:sz w:val="16"/>
                <w:szCs w:val="16"/>
              </w:rPr>
            </w:pPr>
            <w:r w:rsidRPr="00251542">
              <w:rPr>
                <w:sz w:val="16"/>
              </w:rPr>
              <w:t>12 participants étrangers de Bahreïn, du Brésil, du Chili, de l</w:t>
            </w:r>
            <w:r w:rsidR="00A20444" w:rsidRPr="00251542">
              <w:rPr>
                <w:sz w:val="16"/>
              </w:rPr>
              <w:t>’</w:t>
            </w:r>
            <w:r w:rsidRPr="00251542">
              <w:rPr>
                <w:sz w:val="16"/>
              </w:rPr>
              <w:t>Équateur, du Ghana, d</w:t>
            </w:r>
            <w:r w:rsidR="00A20444" w:rsidRPr="00251542">
              <w:rPr>
                <w:sz w:val="16"/>
              </w:rPr>
              <w:t>’</w:t>
            </w:r>
            <w:r w:rsidRPr="00251542">
              <w:rPr>
                <w:sz w:val="16"/>
              </w:rPr>
              <w:t>Inde, d</w:t>
            </w:r>
            <w:r w:rsidR="00A20444" w:rsidRPr="00251542">
              <w:rPr>
                <w:sz w:val="16"/>
              </w:rPr>
              <w:t>’</w:t>
            </w:r>
            <w:r w:rsidRPr="00251542">
              <w:rPr>
                <w:sz w:val="16"/>
              </w:rPr>
              <w:t>Indonésie, de Malaisie, des Philippines, du Soudan, de Thaïlande et du Yémen</w:t>
            </w:r>
          </w:p>
        </w:tc>
        <w:tc>
          <w:tcPr>
            <w:tcW w:w="4252" w:type="dxa"/>
            <w:shd w:val="clear" w:color="auto" w:fill="FFFFFF"/>
            <w:tcMar>
              <w:top w:w="110" w:type="dxa"/>
            </w:tcMar>
          </w:tcPr>
          <w:p w:rsidR="004007D3" w:rsidRPr="00251542" w:rsidRDefault="004007D3" w:rsidP="001A5BF9">
            <w:pPr>
              <w:rPr>
                <w:rFonts w:cs="Arial"/>
                <w:sz w:val="16"/>
                <w:szCs w:val="16"/>
              </w:rPr>
            </w:pPr>
            <w:r w:rsidRPr="00251542">
              <w:rPr>
                <w:sz w:val="16"/>
              </w:rPr>
              <w:t>Donner l</w:t>
            </w:r>
            <w:r w:rsidR="00A20444" w:rsidRPr="00251542">
              <w:rPr>
                <w:sz w:val="16"/>
              </w:rPr>
              <w:t>’</w:t>
            </w:r>
            <w:r w:rsidRPr="00251542">
              <w:rPr>
                <w:sz w:val="16"/>
              </w:rPr>
              <w:t>occasion aux participants d</w:t>
            </w:r>
            <w:r w:rsidR="00A20444" w:rsidRPr="00251542">
              <w:rPr>
                <w:sz w:val="16"/>
              </w:rPr>
              <w:t>’</w:t>
            </w:r>
            <w:r w:rsidRPr="00251542">
              <w:rPr>
                <w:sz w:val="16"/>
              </w:rPr>
              <w:t>échanger sur l</w:t>
            </w:r>
            <w:r w:rsidR="00A20444" w:rsidRPr="00251542">
              <w:rPr>
                <w:sz w:val="16"/>
              </w:rPr>
              <w:t>’</w:t>
            </w:r>
            <w:r w:rsidRPr="00251542">
              <w:rPr>
                <w:sz w:val="16"/>
              </w:rPr>
              <w:t>expérience de la Corée dans l</w:t>
            </w:r>
            <w:r w:rsidR="00A20444" w:rsidRPr="00251542">
              <w:rPr>
                <w:sz w:val="16"/>
              </w:rPr>
              <w:t>’</w:t>
            </w:r>
            <w:r w:rsidRPr="00251542">
              <w:rPr>
                <w:sz w:val="16"/>
              </w:rPr>
              <w:t>administration du droit d</w:t>
            </w:r>
            <w:r w:rsidR="00A20444" w:rsidRPr="00251542">
              <w:rPr>
                <w:sz w:val="16"/>
              </w:rPr>
              <w:t>’</w:t>
            </w:r>
            <w:r w:rsidRPr="00251542">
              <w:rPr>
                <w:sz w:val="16"/>
              </w:rPr>
              <w:t>auteur et des droits connexes, ce qui leur permettrait de renforcer leur capacité à formuler des politiques sur le droit d</w:t>
            </w:r>
            <w:r w:rsidR="00A20444" w:rsidRPr="00251542">
              <w:rPr>
                <w:sz w:val="16"/>
              </w:rPr>
              <w:t>’</w:t>
            </w:r>
            <w:r w:rsidRPr="00251542">
              <w:rPr>
                <w:sz w:val="16"/>
              </w:rPr>
              <w:t>auteur, à moderniser les cadres législatifs et administratifs et à améliorer le fonctionnement des organismes de gestion du droit d</w:t>
            </w:r>
            <w:r w:rsidR="00A20444" w:rsidRPr="00251542">
              <w:rPr>
                <w:sz w:val="16"/>
              </w:rPr>
              <w:t>’</w:t>
            </w:r>
            <w:r w:rsidRPr="00251542">
              <w:rPr>
                <w:sz w:val="16"/>
              </w:rPr>
              <w:t>auteur de leurs pays respectifs</w:t>
            </w:r>
          </w:p>
        </w:tc>
      </w:tr>
      <w:tr w:rsidR="004007D3" w:rsidRPr="00251542" w:rsidTr="007A524A">
        <w:trPr>
          <w:cantSplit/>
        </w:trPr>
        <w:tc>
          <w:tcPr>
            <w:tcW w:w="1873" w:type="dxa"/>
          </w:tcPr>
          <w:p w:rsidR="004007D3" w:rsidRPr="00251542" w:rsidRDefault="004007D3" w:rsidP="001A5BF9">
            <w:pPr>
              <w:rPr>
                <w:rFonts w:eastAsia="Batang" w:cs="Arial"/>
                <w:sz w:val="16"/>
                <w:szCs w:val="16"/>
              </w:rPr>
            </w:pPr>
            <w:r w:rsidRPr="00251542">
              <w:rPr>
                <w:sz w:val="16"/>
              </w:rPr>
              <w:t>Traduction et impression des publications de l</w:t>
            </w:r>
            <w:r w:rsidR="00A20444" w:rsidRPr="00251542">
              <w:rPr>
                <w:sz w:val="16"/>
              </w:rPr>
              <w:t>’</w:t>
            </w:r>
            <w:r w:rsidRPr="00251542">
              <w:rPr>
                <w:sz w:val="16"/>
              </w:rPr>
              <w:t>OMPI dans la langue locale de l</w:t>
            </w:r>
            <w:r w:rsidR="00A20444" w:rsidRPr="00251542">
              <w:rPr>
                <w:sz w:val="16"/>
              </w:rPr>
              <w:t>’</w:t>
            </w:r>
            <w:r w:rsidRPr="00251542">
              <w:rPr>
                <w:sz w:val="16"/>
              </w:rPr>
              <w:t>Éthiopie</w:t>
            </w:r>
          </w:p>
        </w:tc>
        <w:tc>
          <w:tcPr>
            <w:tcW w:w="1134" w:type="dxa"/>
            <w:shd w:val="clear" w:color="auto" w:fill="auto"/>
            <w:tcMar>
              <w:top w:w="110" w:type="dxa"/>
            </w:tcMar>
          </w:tcPr>
          <w:p w:rsidR="00D42474" w:rsidRDefault="00812285" w:rsidP="001A5BF9">
            <w:pPr>
              <w:rPr>
                <w:sz w:val="16"/>
              </w:rPr>
            </w:pPr>
            <w:r>
              <w:rPr>
                <w:sz w:val="16"/>
              </w:rPr>
              <w:t>N</w:t>
            </w:r>
            <w:r w:rsidR="00BD43F2" w:rsidRPr="00251542">
              <w:rPr>
                <w:sz w:val="16"/>
              </w:rPr>
              <w:t>ovembre</w:t>
            </w:r>
            <w:r>
              <w:rPr>
                <w:sz w:val="16"/>
              </w:rPr>
              <w:t xml:space="preserve"> </w:t>
            </w:r>
            <w:r w:rsidR="004007D3" w:rsidRPr="00251542">
              <w:rPr>
                <w:sz w:val="16"/>
              </w:rPr>
              <w:t>2013 à</w:t>
            </w:r>
          </w:p>
          <w:p w:rsidR="004007D3" w:rsidRPr="00251542" w:rsidRDefault="004007D3" w:rsidP="001A5BF9">
            <w:pPr>
              <w:rPr>
                <w:rFonts w:cs="Arial"/>
                <w:sz w:val="16"/>
                <w:szCs w:val="16"/>
              </w:rPr>
            </w:pPr>
            <w:r w:rsidRPr="00251542">
              <w:rPr>
                <w:sz w:val="16"/>
              </w:rPr>
              <w:t>avril 2014</w:t>
            </w:r>
          </w:p>
        </w:tc>
        <w:tc>
          <w:tcPr>
            <w:tcW w:w="1843" w:type="dxa"/>
            <w:shd w:val="clear" w:color="auto" w:fill="auto"/>
            <w:tcMar>
              <w:top w:w="110" w:type="dxa"/>
            </w:tcMar>
          </w:tcPr>
          <w:p w:rsidR="004007D3" w:rsidRPr="00251542" w:rsidRDefault="004007D3" w:rsidP="001A5BF9">
            <w:pPr>
              <w:rPr>
                <w:rFonts w:cs="Arial"/>
                <w:sz w:val="16"/>
                <w:szCs w:val="16"/>
              </w:rPr>
            </w:pPr>
            <w:r w:rsidRPr="00251542">
              <w:rPr>
                <w:sz w:val="16"/>
              </w:rPr>
              <w:t>Éthiopie</w:t>
            </w:r>
          </w:p>
        </w:tc>
        <w:tc>
          <w:tcPr>
            <w:tcW w:w="4252" w:type="dxa"/>
            <w:shd w:val="clear" w:color="auto" w:fill="FFFFFF"/>
            <w:tcMar>
              <w:top w:w="110" w:type="dxa"/>
            </w:tcMar>
          </w:tcPr>
          <w:p w:rsidR="00D42474" w:rsidRDefault="004007D3" w:rsidP="001A5BF9">
            <w:pPr>
              <w:rPr>
                <w:rFonts w:cs="Arial"/>
                <w:kern w:val="2"/>
                <w:sz w:val="16"/>
                <w:szCs w:val="16"/>
              </w:rPr>
            </w:pPr>
            <w:r w:rsidRPr="00251542">
              <w:rPr>
                <w:kern w:val="2"/>
                <w:sz w:val="16"/>
              </w:rPr>
              <w:t>Sensibiliser davantage des hauts fonctionnaires et les experts juridiques ainsi que les titulaires de droits et les utilisateurs au droit d</w:t>
            </w:r>
            <w:r w:rsidR="00A20444" w:rsidRPr="00251542">
              <w:rPr>
                <w:kern w:val="2"/>
                <w:sz w:val="16"/>
              </w:rPr>
              <w:t>’</w:t>
            </w:r>
            <w:r w:rsidRPr="00251542">
              <w:rPr>
                <w:kern w:val="2"/>
                <w:sz w:val="16"/>
              </w:rPr>
              <w:t>auteur et aux droits connexes, en fournissant la traduction des publications de l</w:t>
            </w:r>
            <w:r w:rsidR="00A20444" w:rsidRPr="00251542">
              <w:rPr>
                <w:kern w:val="2"/>
                <w:sz w:val="16"/>
              </w:rPr>
              <w:t>’</w:t>
            </w:r>
            <w:r w:rsidRPr="00251542">
              <w:rPr>
                <w:kern w:val="2"/>
                <w:sz w:val="16"/>
              </w:rPr>
              <w:t>OMPI relatives au droit d</w:t>
            </w:r>
            <w:r w:rsidR="00A20444" w:rsidRPr="00251542">
              <w:rPr>
                <w:kern w:val="2"/>
                <w:sz w:val="16"/>
              </w:rPr>
              <w:t>’</w:t>
            </w:r>
            <w:r w:rsidRPr="00251542">
              <w:rPr>
                <w:kern w:val="2"/>
                <w:sz w:val="16"/>
              </w:rPr>
              <w:t>auteur et aux droits connexes dans les langues locales</w:t>
            </w:r>
          </w:p>
          <w:p w:rsidR="004007D3" w:rsidRPr="00251542" w:rsidRDefault="004007D3" w:rsidP="001A5BF9">
            <w:pPr>
              <w:rPr>
                <w:rFonts w:cs="Arial"/>
                <w:kern w:val="2"/>
                <w:sz w:val="16"/>
                <w:szCs w:val="16"/>
              </w:rPr>
            </w:pPr>
          </w:p>
        </w:tc>
      </w:tr>
      <w:tr w:rsidR="004007D3" w:rsidRPr="00251542" w:rsidTr="007A524A">
        <w:trPr>
          <w:cantSplit/>
        </w:trPr>
        <w:tc>
          <w:tcPr>
            <w:tcW w:w="1873" w:type="dxa"/>
          </w:tcPr>
          <w:p w:rsidR="004007D3" w:rsidRPr="00251542" w:rsidRDefault="004007D3" w:rsidP="001A5BF9">
            <w:pPr>
              <w:rPr>
                <w:rFonts w:cs="Arial"/>
                <w:sz w:val="16"/>
                <w:szCs w:val="16"/>
              </w:rPr>
            </w:pPr>
            <w:r w:rsidRPr="00251542">
              <w:rPr>
                <w:sz w:val="16"/>
              </w:rPr>
              <w:t>Projet national de sensibilisation approfondie au droit d</w:t>
            </w:r>
            <w:r w:rsidR="00A20444" w:rsidRPr="00251542">
              <w:rPr>
                <w:sz w:val="16"/>
              </w:rPr>
              <w:t>’</w:t>
            </w:r>
            <w:r w:rsidRPr="00251542">
              <w:rPr>
                <w:sz w:val="16"/>
              </w:rPr>
              <w:t>auteur et aux droits connexes au Bhoutan</w:t>
            </w:r>
          </w:p>
        </w:tc>
        <w:tc>
          <w:tcPr>
            <w:tcW w:w="1134" w:type="dxa"/>
            <w:shd w:val="clear" w:color="auto" w:fill="auto"/>
            <w:tcMar>
              <w:top w:w="110" w:type="dxa"/>
            </w:tcMar>
          </w:tcPr>
          <w:p w:rsidR="00D42474" w:rsidRDefault="00812285" w:rsidP="001A5BF9">
            <w:pPr>
              <w:rPr>
                <w:rFonts w:cs="Arial"/>
                <w:sz w:val="16"/>
                <w:szCs w:val="16"/>
              </w:rPr>
            </w:pPr>
            <w:r>
              <w:rPr>
                <w:sz w:val="16"/>
              </w:rPr>
              <w:t>n</w:t>
            </w:r>
            <w:r w:rsidR="004007D3" w:rsidRPr="00251542">
              <w:rPr>
                <w:sz w:val="16"/>
              </w:rPr>
              <w:t>ovembre à</w:t>
            </w:r>
          </w:p>
          <w:p w:rsidR="004007D3" w:rsidRPr="00251542" w:rsidRDefault="00BD43F2" w:rsidP="00812285">
            <w:pPr>
              <w:rPr>
                <w:rFonts w:cs="Arial"/>
                <w:sz w:val="16"/>
                <w:szCs w:val="16"/>
              </w:rPr>
            </w:pPr>
            <w:r w:rsidRPr="00251542">
              <w:rPr>
                <w:sz w:val="16"/>
              </w:rPr>
              <w:t>décembre</w:t>
            </w:r>
            <w:r w:rsidR="00812285">
              <w:rPr>
                <w:sz w:val="16"/>
              </w:rPr>
              <w:t xml:space="preserve"> </w:t>
            </w:r>
            <w:r w:rsidR="004007D3" w:rsidRPr="00251542">
              <w:rPr>
                <w:sz w:val="16"/>
              </w:rPr>
              <w:t>2013</w:t>
            </w:r>
            <w:r w:rsidR="004007D3" w:rsidRPr="00251542">
              <w:rPr>
                <w:rStyle w:val="FootnoteReference"/>
                <w:sz w:val="16"/>
              </w:rPr>
              <w:footnoteReference w:id="53"/>
            </w:r>
          </w:p>
        </w:tc>
        <w:tc>
          <w:tcPr>
            <w:tcW w:w="1843" w:type="dxa"/>
            <w:shd w:val="clear" w:color="auto" w:fill="auto"/>
            <w:tcMar>
              <w:top w:w="110" w:type="dxa"/>
            </w:tcMar>
          </w:tcPr>
          <w:p w:rsidR="004007D3" w:rsidRPr="00251542" w:rsidRDefault="004007D3" w:rsidP="001A5BF9">
            <w:pPr>
              <w:rPr>
                <w:rFonts w:cs="Arial"/>
                <w:sz w:val="16"/>
                <w:szCs w:val="16"/>
              </w:rPr>
            </w:pPr>
            <w:r w:rsidRPr="00251542">
              <w:rPr>
                <w:sz w:val="16"/>
              </w:rPr>
              <w:t>Bhoutan</w:t>
            </w:r>
          </w:p>
        </w:tc>
        <w:tc>
          <w:tcPr>
            <w:tcW w:w="4252" w:type="dxa"/>
            <w:shd w:val="clear" w:color="auto" w:fill="FFFFFF"/>
            <w:tcMar>
              <w:top w:w="110" w:type="dxa"/>
            </w:tcMar>
          </w:tcPr>
          <w:p w:rsidR="004007D3" w:rsidRPr="00251542" w:rsidRDefault="004007D3" w:rsidP="001A5BF9">
            <w:pPr>
              <w:rPr>
                <w:rFonts w:cs="Arial"/>
                <w:sz w:val="16"/>
                <w:szCs w:val="16"/>
              </w:rPr>
            </w:pPr>
            <w:r w:rsidRPr="00251542">
              <w:rPr>
                <w:kern w:val="2"/>
                <w:sz w:val="16"/>
              </w:rPr>
              <w:t>Renforcer la capacité d</w:t>
            </w:r>
            <w:r w:rsidR="00A20444" w:rsidRPr="00251542">
              <w:rPr>
                <w:kern w:val="2"/>
                <w:sz w:val="16"/>
              </w:rPr>
              <w:t>’</w:t>
            </w:r>
            <w:r w:rsidRPr="00251542">
              <w:rPr>
                <w:kern w:val="2"/>
                <w:sz w:val="16"/>
              </w:rPr>
              <w:t>un pays à entreprendre des programmes systématiques de sensibilisation et de renforcement des capacités, générant ainsi un environnement propice à l</w:t>
            </w:r>
            <w:r w:rsidR="00A20444" w:rsidRPr="00251542">
              <w:rPr>
                <w:kern w:val="2"/>
                <w:sz w:val="16"/>
              </w:rPr>
              <w:t>’</w:t>
            </w:r>
            <w:r w:rsidRPr="00251542">
              <w:rPr>
                <w:kern w:val="2"/>
                <w:sz w:val="16"/>
              </w:rPr>
              <w:t>utilisation et à la protection efficace du droit d</w:t>
            </w:r>
            <w:r w:rsidR="00A20444" w:rsidRPr="00251542">
              <w:rPr>
                <w:kern w:val="2"/>
                <w:sz w:val="16"/>
              </w:rPr>
              <w:t>’</w:t>
            </w:r>
            <w:r w:rsidRPr="00251542">
              <w:rPr>
                <w:kern w:val="2"/>
                <w:sz w:val="16"/>
              </w:rPr>
              <w:t>auteur et des droits connexes</w:t>
            </w:r>
          </w:p>
        </w:tc>
      </w:tr>
      <w:tr w:rsidR="004007D3" w:rsidRPr="00251542" w:rsidTr="007A524A">
        <w:trPr>
          <w:cantSplit/>
        </w:trPr>
        <w:tc>
          <w:tcPr>
            <w:tcW w:w="1873" w:type="dxa"/>
          </w:tcPr>
          <w:p w:rsidR="00D42474" w:rsidRDefault="004007D3" w:rsidP="001A5BF9">
            <w:pPr>
              <w:rPr>
                <w:rFonts w:eastAsia="Batang" w:cs="Arial"/>
                <w:sz w:val="16"/>
                <w:szCs w:val="16"/>
              </w:rPr>
            </w:pPr>
            <w:r w:rsidRPr="00251542">
              <w:rPr>
                <w:sz w:val="16"/>
              </w:rPr>
              <w:t>Compilation d</w:t>
            </w:r>
            <w:r w:rsidR="00A20444" w:rsidRPr="00251542">
              <w:rPr>
                <w:sz w:val="16"/>
              </w:rPr>
              <w:t>’</w:t>
            </w:r>
            <w:r w:rsidRPr="00251542">
              <w:rPr>
                <w:sz w:val="16"/>
              </w:rPr>
              <w:t>affaires juridiques relatives au droit d</w:t>
            </w:r>
            <w:r w:rsidR="00A20444" w:rsidRPr="00251542">
              <w:rPr>
                <w:sz w:val="16"/>
              </w:rPr>
              <w:t>’</w:t>
            </w:r>
            <w:r w:rsidRPr="00251542">
              <w:rPr>
                <w:sz w:val="16"/>
              </w:rPr>
              <w:t>auteur et droits connexes dans le domaine de la musique dans la région Asie</w:t>
            </w:r>
            <w:r w:rsidR="00C8367A">
              <w:rPr>
                <w:sz w:val="16"/>
              </w:rPr>
              <w:t xml:space="preserve"> et </w:t>
            </w:r>
            <w:r w:rsidRPr="00251542">
              <w:rPr>
                <w:sz w:val="16"/>
              </w:rPr>
              <w:t>Pacifique</w:t>
            </w:r>
          </w:p>
          <w:p w:rsidR="004007D3" w:rsidRPr="00251542" w:rsidRDefault="004007D3" w:rsidP="001A5BF9">
            <w:pPr>
              <w:rPr>
                <w:rFonts w:cs="Arial"/>
                <w:sz w:val="16"/>
                <w:szCs w:val="16"/>
              </w:rPr>
            </w:pPr>
          </w:p>
        </w:tc>
        <w:tc>
          <w:tcPr>
            <w:tcW w:w="1134" w:type="dxa"/>
            <w:shd w:val="clear" w:color="auto" w:fill="auto"/>
            <w:tcMar>
              <w:top w:w="110" w:type="dxa"/>
            </w:tcMar>
          </w:tcPr>
          <w:p w:rsidR="00D42474" w:rsidRDefault="00812285" w:rsidP="001A5BF9">
            <w:pPr>
              <w:rPr>
                <w:rFonts w:cs="Arial"/>
                <w:sz w:val="16"/>
                <w:szCs w:val="16"/>
              </w:rPr>
            </w:pPr>
            <w:r>
              <w:rPr>
                <w:sz w:val="16"/>
              </w:rPr>
              <w:t>o</w:t>
            </w:r>
            <w:r w:rsidR="004007D3" w:rsidRPr="00251542">
              <w:rPr>
                <w:sz w:val="16"/>
              </w:rPr>
              <w:t>ctobre à</w:t>
            </w:r>
          </w:p>
          <w:p w:rsidR="004007D3" w:rsidRPr="00251542" w:rsidRDefault="00BD43F2" w:rsidP="00812285">
            <w:pPr>
              <w:rPr>
                <w:rFonts w:cs="Arial"/>
                <w:sz w:val="16"/>
                <w:szCs w:val="16"/>
              </w:rPr>
            </w:pPr>
            <w:r w:rsidRPr="00251542">
              <w:rPr>
                <w:sz w:val="16"/>
              </w:rPr>
              <w:t>décembre</w:t>
            </w:r>
            <w:r w:rsidR="00812285">
              <w:rPr>
                <w:sz w:val="16"/>
              </w:rPr>
              <w:t xml:space="preserve"> </w:t>
            </w:r>
            <w:r w:rsidR="004007D3" w:rsidRPr="00251542">
              <w:rPr>
                <w:sz w:val="16"/>
              </w:rPr>
              <w:t>2013</w:t>
            </w:r>
            <w:r w:rsidR="004007D3" w:rsidRPr="00251542">
              <w:rPr>
                <w:rStyle w:val="FootnoteReference"/>
                <w:sz w:val="16"/>
              </w:rPr>
              <w:footnoteReference w:id="54"/>
            </w:r>
          </w:p>
        </w:tc>
        <w:tc>
          <w:tcPr>
            <w:tcW w:w="1843" w:type="dxa"/>
            <w:shd w:val="clear" w:color="auto" w:fill="auto"/>
            <w:tcMar>
              <w:top w:w="110" w:type="dxa"/>
            </w:tcMar>
          </w:tcPr>
          <w:p w:rsidR="004007D3" w:rsidRPr="00251542" w:rsidRDefault="004007D3" w:rsidP="001A5BF9">
            <w:pPr>
              <w:rPr>
                <w:rFonts w:cs="Arial"/>
                <w:sz w:val="16"/>
                <w:szCs w:val="16"/>
              </w:rPr>
            </w:pPr>
            <w:r w:rsidRPr="00251542">
              <w:rPr>
                <w:sz w:val="16"/>
              </w:rPr>
              <w:t>Pays d</w:t>
            </w:r>
            <w:r w:rsidR="00A20444" w:rsidRPr="00251542">
              <w:rPr>
                <w:sz w:val="16"/>
              </w:rPr>
              <w:t>’</w:t>
            </w:r>
            <w:r w:rsidRPr="00251542">
              <w:rPr>
                <w:sz w:val="16"/>
              </w:rPr>
              <w:t>Asie et du Pacifique</w:t>
            </w:r>
          </w:p>
        </w:tc>
        <w:tc>
          <w:tcPr>
            <w:tcW w:w="4252" w:type="dxa"/>
            <w:shd w:val="clear" w:color="auto" w:fill="FFFFFF"/>
            <w:tcMar>
              <w:top w:w="110" w:type="dxa"/>
            </w:tcMar>
          </w:tcPr>
          <w:p w:rsidR="004007D3" w:rsidRPr="00251542" w:rsidRDefault="004007D3" w:rsidP="001A5BF9">
            <w:pPr>
              <w:rPr>
                <w:rFonts w:cs="Arial"/>
                <w:sz w:val="16"/>
                <w:szCs w:val="16"/>
              </w:rPr>
            </w:pPr>
            <w:r w:rsidRPr="00251542">
              <w:rPr>
                <w:sz w:val="16"/>
              </w:rPr>
              <w:t>Fournir des informations actualisées aux pays en</w:t>
            </w:r>
            <w:r w:rsidR="00C8367A">
              <w:rPr>
                <w:sz w:val="16"/>
              </w:rPr>
              <w:t xml:space="preserve"> développement de la région </w:t>
            </w:r>
            <w:r w:rsidRPr="00251542">
              <w:rPr>
                <w:sz w:val="16"/>
              </w:rPr>
              <w:t>Asie</w:t>
            </w:r>
            <w:r w:rsidR="00C8367A">
              <w:rPr>
                <w:sz w:val="16"/>
              </w:rPr>
              <w:t xml:space="preserve"> et </w:t>
            </w:r>
            <w:r w:rsidRPr="00251542">
              <w:rPr>
                <w:sz w:val="16"/>
              </w:rPr>
              <w:t>Pacifique sur les dernières affaires juridiques en matière de droit d</w:t>
            </w:r>
            <w:r w:rsidR="00A20444" w:rsidRPr="00251542">
              <w:rPr>
                <w:sz w:val="16"/>
              </w:rPr>
              <w:t>’</w:t>
            </w:r>
            <w:r w:rsidRPr="00251542">
              <w:rPr>
                <w:sz w:val="16"/>
              </w:rPr>
              <w:t>auteur et de droits connexes dans l</w:t>
            </w:r>
            <w:r w:rsidR="00A20444" w:rsidRPr="00251542">
              <w:rPr>
                <w:sz w:val="16"/>
              </w:rPr>
              <w:t>’</w:t>
            </w:r>
            <w:r w:rsidRPr="00251542">
              <w:rPr>
                <w:sz w:val="16"/>
              </w:rPr>
              <w:t>industrie musicale</w:t>
            </w:r>
          </w:p>
        </w:tc>
      </w:tr>
    </w:tbl>
    <w:p w:rsidR="00D42474" w:rsidRDefault="00D42474" w:rsidP="001A5BF9">
      <w:pPr>
        <w:keepNext/>
        <w:keepLines/>
        <w:rPr>
          <w:rFonts w:cs="Arial"/>
          <w:b/>
          <w:szCs w:val="20"/>
        </w:rPr>
      </w:pPr>
    </w:p>
    <w:p w:rsidR="00D42474" w:rsidRDefault="00D42474" w:rsidP="001A5BF9">
      <w:pPr>
        <w:rPr>
          <w:szCs w:val="20"/>
        </w:rPr>
      </w:pPr>
    </w:p>
    <w:p w:rsidR="00D42474" w:rsidRDefault="004007D3" w:rsidP="001A5BF9">
      <w:pPr>
        <w:keepNext/>
        <w:keepLines/>
        <w:rPr>
          <w:rFonts w:cs="Arial"/>
          <w:b/>
          <w:bCs/>
          <w:sz w:val="18"/>
          <w:szCs w:val="18"/>
        </w:rPr>
      </w:pPr>
      <w:r w:rsidRPr="00251542">
        <w:rPr>
          <w:b/>
          <w:sz w:val="18"/>
        </w:rPr>
        <w:t>RÉPUBLIQUE DE CORÉE/DROIT D</w:t>
      </w:r>
      <w:r w:rsidR="00A20444" w:rsidRPr="00251542">
        <w:rPr>
          <w:b/>
          <w:sz w:val="18"/>
        </w:rPr>
        <w:t>’</w:t>
      </w:r>
      <w:r w:rsidRPr="00251542">
        <w:rPr>
          <w:b/>
          <w:sz w:val="18"/>
        </w:rPr>
        <w:t>AUTEUR – Contributions des donateurs et dépenses en</w:t>
      </w:r>
      <w:r w:rsidR="0010442A" w:rsidRPr="00251542">
        <w:rPr>
          <w:b/>
          <w:sz w:val="18"/>
        </w:rPr>
        <w:t> </w:t>
      </w:r>
      <w:r w:rsidRPr="00251542">
        <w:rPr>
          <w:b/>
          <w:sz w:val="18"/>
        </w:rPr>
        <w:t>2013</w:t>
      </w:r>
      <w:r w:rsidRPr="00251542">
        <w:rPr>
          <w:b/>
          <w:sz w:val="18"/>
          <w:vertAlign w:val="superscript"/>
        </w:rPr>
        <w:t>1</w:t>
      </w:r>
    </w:p>
    <w:p w:rsidR="004007D3" w:rsidRPr="00251542" w:rsidRDefault="004007D3" w:rsidP="001A5BF9">
      <w:pPr>
        <w:keepNext/>
        <w:keepLines/>
        <w:rPr>
          <w:rFonts w:cs="Arial"/>
          <w:b/>
          <w:bCs/>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4007D3" w:rsidRPr="00251542" w:rsidTr="0056083E">
        <w:trPr>
          <w:trHeight w:val="567"/>
        </w:trPr>
        <w:tc>
          <w:tcPr>
            <w:tcW w:w="187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12</w:t>
            </w:r>
          </w:p>
        </w:tc>
        <w:tc>
          <w:tcPr>
            <w:tcW w:w="165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7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65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13</w:t>
            </w:r>
          </w:p>
        </w:tc>
      </w:tr>
      <w:tr w:rsidR="004007D3" w:rsidRPr="00251542" w:rsidTr="0056083E">
        <w:trPr>
          <w:trHeight w:val="567"/>
        </w:trPr>
        <w:tc>
          <w:tcPr>
            <w:tcW w:w="1870" w:type="dxa"/>
            <w:shd w:val="clear" w:color="auto" w:fill="auto"/>
            <w:vAlign w:val="center"/>
          </w:tcPr>
          <w:p w:rsidR="004007D3" w:rsidRPr="00251542" w:rsidRDefault="007A524A" w:rsidP="001A5BF9">
            <w:pPr>
              <w:autoSpaceDE w:val="0"/>
              <w:autoSpaceDN w:val="0"/>
              <w:adjustRightInd w:val="0"/>
              <w:spacing w:after="220"/>
              <w:jc w:val="center"/>
              <w:rPr>
                <w:rFonts w:eastAsia="MS Mincho" w:cs="Arial"/>
                <w:sz w:val="16"/>
                <w:szCs w:val="16"/>
                <w:lang w:bidi="th-TH"/>
              </w:rPr>
            </w:pPr>
            <w:r>
              <w:rPr>
                <w:sz w:val="16"/>
              </w:rPr>
              <w:t>532 </w:t>
            </w:r>
            <w:r w:rsidR="004007D3" w:rsidRPr="00251542">
              <w:rPr>
                <w:sz w:val="16"/>
              </w:rPr>
              <w:t>905</w:t>
            </w:r>
          </w:p>
        </w:tc>
        <w:tc>
          <w:tcPr>
            <w:tcW w:w="1650" w:type="dxa"/>
            <w:shd w:val="clear" w:color="auto" w:fill="auto"/>
            <w:vAlign w:val="center"/>
          </w:tcPr>
          <w:p w:rsidR="004007D3" w:rsidRPr="00251542" w:rsidRDefault="007A524A" w:rsidP="001A5BF9">
            <w:pPr>
              <w:autoSpaceDE w:val="0"/>
              <w:autoSpaceDN w:val="0"/>
              <w:adjustRightInd w:val="0"/>
              <w:spacing w:after="220"/>
              <w:jc w:val="center"/>
              <w:rPr>
                <w:rFonts w:eastAsia="MS Mincho" w:cs="Arial"/>
                <w:sz w:val="16"/>
                <w:szCs w:val="16"/>
                <w:lang w:bidi="th-TH"/>
              </w:rPr>
            </w:pPr>
            <w:r>
              <w:rPr>
                <w:sz w:val="16"/>
              </w:rPr>
              <w:t>339 </w:t>
            </w:r>
            <w:r w:rsidR="004007D3" w:rsidRPr="00251542">
              <w:rPr>
                <w:sz w:val="16"/>
              </w:rPr>
              <w:t>245</w:t>
            </w:r>
          </w:p>
        </w:tc>
        <w:tc>
          <w:tcPr>
            <w:tcW w:w="1870" w:type="dxa"/>
            <w:shd w:val="clear" w:color="auto" w:fill="auto"/>
            <w:vAlign w:val="center"/>
          </w:tcPr>
          <w:p w:rsidR="004007D3" w:rsidRPr="00251542" w:rsidRDefault="007A524A" w:rsidP="001A5BF9">
            <w:pPr>
              <w:autoSpaceDE w:val="0"/>
              <w:autoSpaceDN w:val="0"/>
              <w:adjustRightInd w:val="0"/>
              <w:spacing w:after="220"/>
              <w:jc w:val="center"/>
              <w:rPr>
                <w:rFonts w:eastAsia="MS Mincho" w:cs="Arial"/>
                <w:sz w:val="16"/>
                <w:szCs w:val="16"/>
                <w:lang w:bidi="th-TH"/>
              </w:rPr>
            </w:pPr>
            <w:r>
              <w:rPr>
                <w:sz w:val="16"/>
              </w:rPr>
              <w:t>306 </w:t>
            </w:r>
            <w:r w:rsidR="004007D3" w:rsidRPr="00251542">
              <w:rPr>
                <w:sz w:val="16"/>
              </w:rPr>
              <w:t>326</w:t>
            </w:r>
          </w:p>
        </w:tc>
        <w:tc>
          <w:tcPr>
            <w:tcW w:w="1650" w:type="dxa"/>
            <w:shd w:val="clear" w:color="auto" w:fill="auto"/>
            <w:vAlign w:val="center"/>
          </w:tcPr>
          <w:p w:rsidR="004007D3" w:rsidRPr="00251542" w:rsidRDefault="004007D3" w:rsidP="001A5BF9">
            <w:pPr>
              <w:autoSpaceDE w:val="0"/>
              <w:autoSpaceDN w:val="0"/>
              <w:adjustRightInd w:val="0"/>
              <w:spacing w:after="220"/>
              <w:jc w:val="center"/>
              <w:rPr>
                <w:rFonts w:eastAsia="MS Mincho" w:cs="Arial"/>
                <w:sz w:val="16"/>
                <w:szCs w:val="16"/>
                <w:lang w:bidi="th-TH"/>
              </w:rPr>
            </w:pPr>
            <w:r w:rsidRPr="00251542">
              <w:rPr>
                <w:sz w:val="16"/>
              </w:rPr>
              <w:t> </w:t>
            </w:r>
          </w:p>
        </w:tc>
        <w:tc>
          <w:tcPr>
            <w:tcW w:w="1980" w:type="dxa"/>
            <w:shd w:val="clear" w:color="auto" w:fill="auto"/>
            <w:vAlign w:val="center"/>
          </w:tcPr>
          <w:p w:rsidR="004007D3" w:rsidRPr="00251542" w:rsidRDefault="007A524A" w:rsidP="001A5BF9">
            <w:pPr>
              <w:autoSpaceDE w:val="0"/>
              <w:autoSpaceDN w:val="0"/>
              <w:adjustRightInd w:val="0"/>
              <w:spacing w:after="220"/>
              <w:jc w:val="center"/>
              <w:rPr>
                <w:rFonts w:eastAsia="MS Mincho" w:cs="Arial"/>
                <w:sz w:val="16"/>
                <w:szCs w:val="16"/>
                <w:lang w:bidi="th-TH"/>
              </w:rPr>
            </w:pPr>
            <w:r>
              <w:rPr>
                <w:sz w:val="16"/>
              </w:rPr>
              <w:t>565 </w:t>
            </w:r>
            <w:r w:rsidR="004007D3" w:rsidRPr="00251542">
              <w:rPr>
                <w:sz w:val="16"/>
              </w:rPr>
              <w:t>824</w:t>
            </w:r>
          </w:p>
        </w:tc>
      </w:tr>
    </w:tbl>
    <w:p w:rsidR="00D42474" w:rsidRDefault="004007D3" w:rsidP="001A5BF9">
      <w:pPr>
        <w:spacing w:before="120"/>
        <w:rPr>
          <w:sz w:val="16"/>
          <w:szCs w:val="16"/>
        </w:rPr>
      </w:pPr>
      <w:r w:rsidRPr="007A524A">
        <w:rPr>
          <w:i/>
          <w:sz w:val="16"/>
          <w:szCs w:val="16"/>
          <w:vertAlign w:val="superscript"/>
        </w:rPr>
        <w:t>1</w:t>
      </w:r>
      <w:r w:rsidRPr="007A524A">
        <w:rPr>
          <w:i/>
          <w:sz w:val="16"/>
          <w:szCs w:val="16"/>
        </w:rPr>
        <w:t xml:space="preserve"> </w:t>
      </w:r>
      <w:r w:rsidR="007A524A">
        <w:rPr>
          <w:i/>
          <w:sz w:val="16"/>
          <w:szCs w:val="16"/>
        </w:rPr>
        <w:t xml:space="preserve"> </w:t>
      </w:r>
      <w:r w:rsidRPr="007A524A">
        <w:rPr>
          <w:i/>
          <w:sz w:val="16"/>
          <w:szCs w:val="16"/>
        </w:rPr>
        <w:t>États financiers de l</w:t>
      </w:r>
      <w:r w:rsidR="00A20444" w:rsidRPr="007A524A">
        <w:rPr>
          <w:i/>
          <w:sz w:val="16"/>
          <w:szCs w:val="16"/>
        </w:rPr>
        <w:t>’</w:t>
      </w:r>
      <w:r w:rsidRPr="007A524A">
        <w:rPr>
          <w:i/>
          <w:sz w:val="16"/>
          <w:szCs w:val="16"/>
        </w:rPr>
        <w:t>OMPI 2013 (annexe III)</w:t>
      </w:r>
    </w:p>
    <w:p w:rsidR="00D42474" w:rsidRDefault="00D42474" w:rsidP="001A5BF9">
      <w:pPr>
        <w:keepNext/>
        <w:keepLines/>
        <w:rPr>
          <w:rFonts w:cs="Arial"/>
          <w:b/>
          <w:bCs/>
          <w:sz w:val="18"/>
          <w:szCs w:val="18"/>
        </w:rPr>
      </w:pPr>
    </w:p>
    <w:p w:rsidR="00D42474" w:rsidRDefault="00D42474" w:rsidP="001A5BF9">
      <w:pPr>
        <w:keepNext/>
        <w:keepLines/>
        <w:rPr>
          <w:rFonts w:cs="Arial"/>
          <w:b/>
          <w:bCs/>
          <w:sz w:val="18"/>
          <w:szCs w:val="18"/>
        </w:rPr>
      </w:pPr>
    </w:p>
    <w:p w:rsidR="00D42474" w:rsidRDefault="00DF60ED" w:rsidP="001A5BF9">
      <w:pPr>
        <w:rPr>
          <w:rFonts w:cs="Arial"/>
          <w:b/>
          <w:szCs w:val="20"/>
        </w:rPr>
      </w:pPr>
      <w:r w:rsidRPr="00251542">
        <w:rPr>
          <w:b/>
        </w:rPr>
        <w:br w:type="page"/>
      </w:r>
      <w:r w:rsidR="004007D3" w:rsidRPr="00251542">
        <w:rPr>
          <w:b/>
        </w:rPr>
        <w:t>RÉPUBLIQUE DE CORÉE (FORMATION) – Bourses sur la propriété intellectuelle (académie)</w:t>
      </w:r>
    </w:p>
    <w:p w:rsidR="004007D3" w:rsidRPr="00251542" w:rsidRDefault="004007D3" w:rsidP="001A5BF9">
      <w:pPr>
        <w:rPr>
          <w:rFonts w:cs="Arial"/>
          <w:b/>
          <w:szCs w:val="20"/>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1134"/>
        <w:gridCol w:w="2243"/>
        <w:gridCol w:w="25"/>
        <w:gridCol w:w="3827"/>
      </w:tblGrid>
      <w:tr w:rsidR="004007D3" w:rsidRPr="00251542" w:rsidTr="0056083E">
        <w:tc>
          <w:tcPr>
            <w:tcW w:w="9072" w:type="dxa"/>
            <w:gridSpan w:val="5"/>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Renforcement des ressources humaines dans les pays en développement,</w:t>
            </w:r>
            <w:r w:rsidR="00A20444" w:rsidRPr="007A524A">
              <w:rPr>
                <w:sz w:val="16"/>
              </w:rPr>
              <w:t xml:space="preserve"> les PMA</w:t>
            </w:r>
            <w:r w:rsidRPr="007A524A">
              <w:rPr>
                <w:sz w:val="16"/>
              </w:rPr>
              <w:t xml:space="preserve"> et les pays en transition pour leur permettre d</w:t>
            </w:r>
            <w:r w:rsidR="00A20444" w:rsidRPr="007A524A">
              <w:rPr>
                <w:sz w:val="16"/>
              </w:rPr>
              <w:t>’</w:t>
            </w:r>
            <w:r w:rsidRPr="007A524A">
              <w:rPr>
                <w:sz w:val="16"/>
              </w:rPr>
              <w:t>utiliser avec efficacité la propriété intellectue</w:t>
            </w:r>
            <w:r w:rsidR="007A524A">
              <w:rPr>
                <w:sz w:val="16"/>
              </w:rPr>
              <w:t>lle au service du développement</w:t>
            </w:r>
          </w:p>
        </w:tc>
      </w:tr>
      <w:tr w:rsidR="004007D3" w:rsidRPr="007A524A" w:rsidTr="0056083E">
        <w:tc>
          <w:tcPr>
            <w:tcW w:w="1843" w:type="dxa"/>
            <w:tcBorders>
              <w:top w:val="single" w:sz="4" w:space="0" w:color="auto"/>
            </w:tcBorders>
            <w:vAlign w:val="center"/>
          </w:tcPr>
          <w:p w:rsidR="004007D3" w:rsidRPr="007A524A" w:rsidRDefault="004007D3" w:rsidP="001A5BF9">
            <w:pPr>
              <w:keepNext/>
              <w:keepLines/>
              <w:rPr>
                <w:rFonts w:cs="Arial"/>
                <w:b/>
                <w:bCs/>
                <w:sz w:val="16"/>
                <w:szCs w:val="16"/>
              </w:rPr>
            </w:pPr>
            <w:r w:rsidRPr="007A524A">
              <w:rPr>
                <w:b/>
                <w:sz w:val="16"/>
              </w:rPr>
              <w:t>Activité</w:t>
            </w:r>
          </w:p>
        </w:tc>
        <w:tc>
          <w:tcPr>
            <w:tcW w:w="1134" w:type="dxa"/>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Date :</w:t>
            </w:r>
          </w:p>
        </w:tc>
        <w:tc>
          <w:tcPr>
            <w:tcW w:w="2268" w:type="dxa"/>
            <w:gridSpan w:val="2"/>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Pays hôte/bénéficiaire</w:t>
            </w:r>
          </w:p>
        </w:tc>
        <w:tc>
          <w:tcPr>
            <w:tcW w:w="3827" w:type="dxa"/>
            <w:tcBorders>
              <w:top w:val="single" w:sz="4" w:space="0" w:color="auto"/>
            </w:tcBorders>
            <w:shd w:val="clear" w:color="auto" w:fill="FFFFFF"/>
            <w:tcMar>
              <w:top w:w="110" w:type="dxa"/>
            </w:tcMar>
            <w:vAlign w:val="center"/>
          </w:tcPr>
          <w:p w:rsidR="004007D3" w:rsidRPr="007A524A" w:rsidRDefault="004007D3" w:rsidP="001A5BF9">
            <w:pPr>
              <w:keepNext/>
              <w:keepLines/>
              <w:rPr>
                <w:rFonts w:cs="Arial"/>
                <w:b/>
                <w:sz w:val="16"/>
                <w:szCs w:val="16"/>
              </w:rPr>
            </w:pPr>
            <w:r w:rsidRPr="007A524A">
              <w:rPr>
                <w:b/>
                <w:sz w:val="16"/>
              </w:rPr>
              <w:t>Objectif(s)/description(s)</w:t>
            </w:r>
          </w:p>
        </w:tc>
      </w:tr>
      <w:tr w:rsidR="004007D3" w:rsidRPr="00251542" w:rsidTr="0056083E">
        <w:trPr>
          <w:trHeight w:val="495"/>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Bourses pour le programme de maîtrise en droit de la propriété intellectuelle (DPI) de l</w:t>
            </w:r>
            <w:r w:rsidR="00A20444" w:rsidRPr="00251542">
              <w:rPr>
                <w:sz w:val="16"/>
                <w:szCs w:val="16"/>
              </w:rPr>
              <w:t>’</w:t>
            </w:r>
            <w:r w:rsidRPr="00251542">
              <w:rPr>
                <w:sz w:val="16"/>
                <w:szCs w:val="16"/>
              </w:rPr>
              <w:t>OMPI</w:t>
            </w:r>
            <w:r w:rsidR="002D6F2A" w:rsidRPr="00251542">
              <w:rPr>
                <w:sz w:val="16"/>
                <w:szCs w:val="16"/>
              </w:rPr>
              <w:noBreakHyphen/>
            </w:r>
            <w:r w:rsidRPr="00251542">
              <w:rPr>
                <w:sz w:val="16"/>
                <w:szCs w:val="16"/>
              </w:rPr>
              <w:t xml:space="preserve">Queensland </w:t>
            </w:r>
            <w:proofErr w:type="spellStart"/>
            <w:r w:rsidRPr="00251542">
              <w:rPr>
                <w:sz w:val="16"/>
                <w:szCs w:val="16"/>
              </w:rPr>
              <w:t>University</w:t>
            </w:r>
            <w:proofErr w:type="spellEnd"/>
            <w:r w:rsidRPr="00251542">
              <w:rPr>
                <w:sz w:val="16"/>
                <w:szCs w:val="16"/>
              </w:rPr>
              <w:t xml:space="preserve"> of </w:t>
            </w:r>
            <w:proofErr w:type="spellStart"/>
            <w:r w:rsidRPr="00251542">
              <w:rPr>
                <w:sz w:val="16"/>
                <w:szCs w:val="16"/>
              </w:rPr>
              <w:t>Technology</w:t>
            </w:r>
            <w:proofErr w:type="spellEnd"/>
            <w:r w:rsidRPr="00251542">
              <w:rPr>
                <w:sz w:val="16"/>
                <w:szCs w:val="16"/>
              </w:rPr>
              <w:t xml:space="preserve"> (</w:t>
            </w:r>
            <w:proofErr w:type="spellStart"/>
            <w:r w:rsidRPr="00251542">
              <w:rPr>
                <w:sz w:val="16"/>
                <w:szCs w:val="16"/>
              </w:rPr>
              <w:t>QUT</w:t>
            </w:r>
            <w:proofErr w:type="spellEnd"/>
            <w:r w:rsidRPr="00251542">
              <w:rPr>
                <w:sz w:val="16"/>
                <w:szCs w:val="16"/>
              </w:rPr>
              <w:t>)</w:t>
            </w:r>
          </w:p>
        </w:tc>
        <w:tc>
          <w:tcPr>
            <w:tcW w:w="1134" w:type="dxa"/>
          </w:tcPr>
          <w:p w:rsidR="004007D3" w:rsidRPr="00251542" w:rsidRDefault="00812285" w:rsidP="00812285">
            <w:pPr>
              <w:autoSpaceDE w:val="0"/>
              <w:autoSpaceDN w:val="0"/>
              <w:adjustRightInd w:val="0"/>
              <w:spacing w:before="120" w:after="120"/>
              <w:rPr>
                <w:rFonts w:cs="Arial"/>
                <w:sz w:val="16"/>
                <w:szCs w:val="16"/>
              </w:rPr>
            </w:pPr>
            <w:r>
              <w:rPr>
                <w:sz w:val="16"/>
                <w:szCs w:val="16"/>
              </w:rPr>
              <w:t>d</w:t>
            </w:r>
            <w:r w:rsidR="00234CE1" w:rsidRPr="00251542">
              <w:rPr>
                <w:sz w:val="16"/>
                <w:szCs w:val="16"/>
              </w:rPr>
              <w:t>u 25 février au</w:t>
            </w:r>
            <w:r w:rsidR="00FE3459" w:rsidRPr="00251542">
              <w:rPr>
                <w:sz w:val="16"/>
                <w:szCs w:val="16"/>
              </w:rPr>
              <w:t xml:space="preserve"> </w:t>
            </w:r>
            <w:r w:rsidR="00234CE1" w:rsidRPr="00251542">
              <w:rPr>
                <w:sz w:val="16"/>
                <w:szCs w:val="16"/>
              </w:rPr>
              <w:t>2</w:t>
            </w:r>
            <w:r w:rsidR="00A20444" w:rsidRPr="00251542">
              <w:rPr>
                <w:sz w:val="16"/>
                <w:szCs w:val="16"/>
              </w:rPr>
              <w:t>8 </w:t>
            </w:r>
            <w:r w:rsidR="00BD43F2" w:rsidRPr="00251542">
              <w:rPr>
                <w:sz w:val="16"/>
                <w:szCs w:val="16"/>
              </w:rPr>
              <w:t>octobre</w:t>
            </w:r>
            <w:r>
              <w:rPr>
                <w:sz w:val="16"/>
                <w:szCs w:val="16"/>
              </w:rPr>
              <w:t xml:space="preserve"> </w:t>
            </w:r>
            <w:r w:rsidR="00A20444" w:rsidRPr="00251542">
              <w:rPr>
                <w:sz w:val="16"/>
                <w:szCs w:val="16"/>
              </w:rPr>
              <w:t>20</w:t>
            </w:r>
            <w:r w:rsidR="004007D3" w:rsidRPr="00251542">
              <w:rPr>
                <w:sz w:val="16"/>
                <w:szCs w:val="16"/>
              </w:rPr>
              <w:t>13</w:t>
            </w:r>
          </w:p>
        </w:tc>
        <w:tc>
          <w:tcPr>
            <w:tcW w:w="2268"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Australie/République de Corée (5), Malaisie (1) et Thaïlande (1)</w:t>
            </w:r>
          </w:p>
        </w:tc>
        <w:tc>
          <w:tcPr>
            <w:tcW w:w="3827" w:type="dxa"/>
          </w:tcPr>
          <w:p w:rsidR="004007D3" w:rsidRPr="00251542" w:rsidRDefault="004007D3" w:rsidP="001A5BF9">
            <w:pPr>
              <w:autoSpaceDE w:val="0"/>
              <w:autoSpaceDN w:val="0"/>
              <w:adjustRightInd w:val="0"/>
              <w:spacing w:before="120" w:after="120"/>
              <w:jc w:val="both"/>
              <w:rPr>
                <w:rFonts w:cs="Arial"/>
                <w:sz w:val="16"/>
                <w:szCs w:val="16"/>
              </w:rPr>
            </w:pPr>
            <w:r w:rsidRPr="00251542">
              <w:rPr>
                <w:sz w:val="16"/>
                <w:szCs w:val="16"/>
              </w:rPr>
              <w:t>Les fonds fiduciaires ont octroyé des fonds à cinq fonctionnaires de l</w:t>
            </w:r>
            <w:r w:rsidR="00A20444" w:rsidRPr="00251542">
              <w:rPr>
                <w:sz w:val="16"/>
                <w:szCs w:val="16"/>
              </w:rPr>
              <w:t>’</w:t>
            </w:r>
            <w:r w:rsidRPr="00251542">
              <w:rPr>
                <w:sz w:val="16"/>
                <w:szCs w:val="16"/>
              </w:rPr>
              <w:t>Office coréen de la propriété intellectuelle (</w:t>
            </w:r>
            <w:proofErr w:type="spellStart"/>
            <w:r w:rsidRPr="00251542">
              <w:rPr>
                <w:sz w:val="16"/>
                <w:szCs w:val="16"/>
              </w:rPr>
              <w:t>KIPO</w:t>
            </w:r>
            <w:proofErr w:type="spellEnd"/>
            <w:r w:rsidRPr="00251542">
              <w:rPr>
                <w:sz w:val="16"/>
                <w:szCs w:val="16"/>
              </w:rPr>
              <w:t>) de la République de Corée et à deux étudiants de pays en développement d</w:t>
            </w:r>
            <w:r w:rsidR="00A20444" w:rsidRPr="00251542">
              <w:rPr>
                <w:sz w:val="16"/>
                <w:szCs w:val="16"/>
              </w:rPr>
              <w:t>’</w:t>
            </w:r>
            <w:r w:rsidRPr="00251542">
              <w:rPr>
                <w:sz w:val="16"/>
                <w:szCs w:val="16"/>
              </w:rPr>
              <w:t>Asie pour qu</w:t>
            </w:r>
            <w:r w:rsidR="00A20444" w:rsidRPr="00251542">
              <w:rPr>
                <w:sz w:val="16"/>
                <w:szCs w:val="16"/>
              </w:rPr>
              <w:t>’</w:t>
            </w:r>
            <w:r w:rsidRPr="00251542">
              <w:rPr>
                <w:sz w:val="16"/>
                <w:szCs w:val="16"/>
              </w:rPr>
              <w:t>ils participent au programme DPI de l</w:t>
            </w:r>
            <w:r w:rsidR="00A20444" w:rsidRPr="00251542">
              <w:rPr>
                <w:sz w:val="16"/>
                <w:szCs w:val="16"/>
              </w:rPr>
              <w:t>’</w:t>
            </w:r>
            <w:r w:rsidRPr="00251542">
              <w:rPr>
                <w:sz w:val="16"/>
                <w:szCs w:val="16"/>
              </w:rPr>
              <w:t>OMPI</w:t>
            </w:r>
            <w:r w:rsidR="002D6F2A" w:rsidRPr="00251542">
              <w:rPr>
                <w:sz w:val="16"/>
                <w:szCs w:val="16"/>
              </w:rPr>
              <w:noBreakHyphen/>
            </w:r>
            <w:proofErr w:type="spellStart"/>
            <w:r w:rsidRPr="00251542">
              <w:rPr>
                <w:sz w:val="16"/>
                <w:szCs w:val="16"/>
              </w:rPr>
              <w:t>QUT</w:t>
            </w:r>
            <w:proofErr w:type="spellEnd"/>
            <w:r w:rsidRPr="00251542">
              <w:rPr>
                <w:sz w:val="16"/>
                <w:szCs w:val="16"/>
              </w:rPr>
              <w:t>.</w:t>
            </w:r>
          </w:p>
        </w:tc>
      </w:tr>
      <w:tr w:rsidR="004007D3" w:rsidRPr="00251542" w:rsidTr="0056083E">
        <w:trPr>
          <w:trHeight w:val="520"/>
        </w:trPr>
        <w:tc>
          <w:tcPr>
            <w:tcW w:w="1843" w:type="dxa"/>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Bourses pour le programme de maîtrise en droit de la propriété intellectuelle (DPI) de l</w:t>
            </w:r>
            <w:r w:rsidR="00A20444" w:rsidRPr="00251542">
              <w:rPr>
                <w:sz w:val="16"/>
                <w:szCs w:val="16"/>
              </w:rPr>
              <w:t>’</w:t>
            </w:r>
            <w:r w:rsidRPr="00251542">
              <w:rPr>
                <w:sz w:val="16"/>
                <w:szCs w:val="16"/>
              </w:rPr>
              <w:t>OMPI</w:t>
            </w:r>
            <w:r w:rsidR="002D6F2A" w:rsidRPr="00251542">
              <w:rPr>
                <w:sz w:val="16"/>
                <w:szCs w:val="16"/>
              </w:rPr>
              <w:noBreakHyphen/>
            </w:r>
            <w:r w:rsidRPr="00251542">
              <w:rPr>
                <w:sz w:val="16"/>
                <w:szCs w:val="16"/>
              </w:rPr>
              <w:t xml:space="preserve">Queensland </w:t>
            </w:r>
            <w:proofErr w:type="spellStart"/>
            <w:r w:rsidRPr="00251542">
              <w:rPr>
                <w:sz w:val="16"/>
                <w:szCs w:val="16"/>
              </w:rPr>
              <w:t>University</w:t>
            </w:r>
            <w:proofErr w:type="spellEnd"/>
            <w:r w:rsidRPr="00251542">
              <w:rPr>
                <w:sz w:val="16"/>
                <w:szCs w:val="16"/>
              </w:rPr>
              <w:t xml:space="preserve"> of </w:t>
            </w:r>
            <w:proofErr w:type="spellStart"/>
            <w:r w:rsidRPr="00251542">
              <w:rPr>
                <w:sz w:val="16"/>
                <w:szCs w:val="16"/>
              </w:rPr>
              <w:t>Technology</w:t>
            </w:r>
            <w:proofErr w:type="spellEnd"/>
            <w:r w:rsidRPr="00251542">
              <w:rPr>
                <w:sz w:val="16"/>
                <w:szCs w:val="16"/>
              </w:rPr>
              <w:t xml:space="preserve"> (</w:t>
            </w:r>
            <w:proofErr w:type="spellStart"/>
            <w:r w:rsidRPr="00251542">
              <w:rPr>
                <w:sz w:val="16"/>
                <w:szCs w:val="16"/>
              </w:rPr>
              <w:t>QUT</w:t>
            </w:r>
            <w:proofErr w:type="spellEnd"/>
            <w:r w:rsidRPr="00251542">
              <w:rPr>
                <w:sz w:val="16"/>
                <w:szCs w:val="16"/>
              </w:rPr>
              <w:t>)</w:t>
            </w:r>
          </w:p>
        </w:tc>
        <w:tc>
          <w:tcPr>
            <w:tcW w:w="1134" w:type="dxa"/>
          </w:tcPr>
          <w:p w:rsidR="004007D3" w:rsidRPr="00251542" w:rsidRDefault="00812285" w:rsidP="001A5BF9">
            <w:pPr>
              <w:autoSpaceDE w:val="0"/>
              <w:autoSpaceDN w:val="0"/>
              <w:adjustRightInd w:val="0"/>
              <w:spacing w:before="120" w:after="120"/>
              <w:rPr>
                <w:rFonts w:cs="Arial"/>
                <w:sz w:val="16"/>
                <w:szCs w:val="16"/>
              </w:rPr>
            </w:pPr>
            <w:r>
              <w:rPr>
                <w:sz w:val="16"/>
                <w:szCs w:val="16"/>
              </w:rPr>
              <w:t>j</w:t>
            </w:r>
            <w:r w:rsidR="004007D3" w:rsidRPr="00251542">
              <w:rPr>
                <w:sz w:val="16"/>
                <w:szCs w:val="16"/>
              </w:rPr>
              <w:t>anvier à décembre 2013</w:t>
            </w:r>
          </w:p>
        </w:tc>
        <w:tc>
          <w:tcPr>
            <w:tcW w:w="2243" w:type="dxa"/>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République de Corée</w:t>
            </w:r>
            <w:r w:rsidR="00E40890" w:rsidRPr="00251542">
              <w:rPr>
                <w:sz w:val="16"/>
                <w:szCs w:val="16"/>
              </w:rPr>
              <w:t>/</w:t>
            </w:r>
            <w:r w:rsidRPr="00251542">
              <w:rPr>
                <w:sz w:val="16"/>
                <w:szCs w:val="16"/>
              </w:rPr>
              <w:t xml:space="preserve">Chine, Malaisie, Mongolie, </w:t>
            </w:r>
            <w:r w:rsidRPr="00251542">
              <w:rPr>
                <w:spacing w:val="-4"/>
                <w:sz w:val="16"/>
                <w:szCs w:val="16"/>
              </w:rPr>
              <w:t>Philippines et Ouzbékistan (2)</w:t>
            </w:r>
          </w:p>
        </w:tc>
        <w:tc>
          <w:tcPr>
            <w:tcW w:w="3852" w:type="dxa"/>
            <w:gridSpan w:val="2"/>
          </w:tcPr>
          <w:p w:rsidR="004007D3" w:rsidRPr="00251542" w:rsidRDefault="004007D3" w:rsidP="00C8367A">
            <w:pPr>
              <w:autoSpaceDE w:val="0"/>
              <w:autoSpaceDN w:val="0"/>
              <w:adjustRightInd w:val="0"/>
              <w:spacing w:before="120" w:after="120"/>
              <w:jc w:val="both"/>
              <w:rPr>
                <w:rFonts w:cs="Arial"/>
                <w:sz w:val="16"/>
                <w:szCs w:val="16"/>
              </w:rPr>
            </w:pPr>
            <w:r w:rsidRPr="00251542">
              <w:rPr>
                <w:sz w:val="16"/>
                <w:szCs w:val="16"/>
              </w:rPr>
              <w:t>En 2013, les fonds fiduciaires ont continué à octroyer des bourses à</w:t>
            </w:r>
            <w:r w:rsidR="00C8367A">
              <w:rPr>
                <w:sz w:val="16"/>
                <w:szCs w:val="16"/>
              </w:rPr>
              <w:t xml:space="preserve"> six étudiants de la région </w:t>
            </w:r>
            <w:r w:rsidRPr="00251542">
              <w:rPr>
                <w:sz w:val="16"/>
                <w:szCs w:val="16"/>
              </w:rPr>
              <w:t>Asie et Pacifique pour qu</w:t>
            </w:r>
            <w:r w:rsidR="00A20444" w:rsidRPr="00251542">
              <w:rPr>
                <w:sz w:val="16"/>
                <w:szCs w:val="16"/>
              </w:rPr>
              <w:t>’</w:t>
            </w:r>
            <w:r w:rsidRPr="00251542">
              <w:rPr>
                <w:sz w:val="16"/>
                <w:szCs w:val="16"/>
              </w:rPr>
              <w:t>ils participent au programme de l</w:t>
            </w:r>
            <w:r w:rsidR="00A20444" w:rsidRPr="00251542">
              <w:rPr>
                <w:sz w:val="16"/>
                <w:szCs w:val="16"/>
              </w:rPr>
              <w:t>’</w:t>
            </w:r>
            <w:r w:rsidRPr="00251542">
              <w:rPr>
                <w:sz w:val="16"/>
                <w:szCs w:val="16"/>
              </w:rPr>
              <w:t>OMPI</w:t>
            </w:r>
            <w:r w:rsidR="002D6F2A" w:rsidRPr="00251542">
              <w:rPr>
                <w:sz w:val="16"/>
                <w:szCs w:val="16"/>
              </w:rPr>
              <w:noBreakHyphen/>
            </w:r>
            <w:proofErr w:type="spellStart"/>
            <w:r w:rsidRPr="00251542">
              <w:rPr>
                <w:sz w:val="16"/>
                <w:szCs w:val="16"/>
              </w:rPr>
              <w:t>SNU</w:t>
            </w:r>
            <w:proofErr w:type="spellEnd"/>
            <w:r w:rsidRPr="00251542">
              <w:rPr>
                <w:sz w:val="16"/>
                <w:szCs w:val="16"/>
              </w:rPr>
              <w:t xml:space="preserve"> à Séoul, en République de Corée, programme dont la durée est de deux ans (de septembre 2012 à juin 2014).</w:t>
            </w:r>
          </w:p>
        </w:tc>
      </w:tr>
    </w:tbl>
    <w:p w:rsidR="00D42474" w:rsidRDefault="00D42474" w:rsidP="001A5BF9"/>
    <w:p w:rsidR="00D42474" w:rsidRDefault="00D42474" w:rsidP="001A5BF9"/>
    <w:p w:rsidR="00D42474" w:rsidRDefault="004007D3" w:rsidP="001A5BF9">
      <w:pPr>
        <w:keepNext/>
        <w:keepLines/>
        <w:rPr>
          <w:rFonts w:cs="Arial"/>
          <w:b/>
          <w:bCs/>
          <w:sz w:val="18"/>
          <w:szCs w:val="18"/>
        </w:rPr>
      </w:pPr>
      <w:r w:rsidRPr="00251542">
        <w:rPr>
          <w:b/>
          <w:sz w:val="18"/>
        </w:rPr>
        <w:t>RÉP</w:t>
      </w:r>
      <w:r w:rsidR="007A524A">
        <w:rPr>
          <w:b/>
          <w:sz w:val="18"/>
        </w:rPr>
        <w:t>UBLIQUE DE CORÉE (FORMATION) – B</w:t>
      </w:r>
      <w:r w:rsidRPr="00251542">
        <w:rPr>
          <w:b/>
          <w:sz w:val="18"/>
        </w:rPr>
        <w:t>ourses sur la propriété intellectuelle (académie) – Contributions des donateurs et dépenses en</w:t>
      </w:r>
      <w:r w:rsidR="0010442A" w:rsidRPr="00251542">
        <w:rPr>
          <w:b/>
          <w:sz w:val="18"/>
        </w:rPr>
        <w:t> </w:t>
      </w:r>
      <w:r w:rsidRPr="00251542">
        <w:rPr>
          <w:b/>
          <w:sz w:val="18"/>
        </w:rPr>
        <w:t>2013</w:t>
      </w:r>
      <w:r w:rsidRPr="00251542">
        <w:rPr>
          <w:b/>
          <w:sz w:val="18"/>
          <w:vertAlign w:val="superscript"/>
        </w:rPr>
        <w:t>1</w:t>
      </w:r>
    </w:p>
    <w:p w:rsidR="004007D3" w:rsidRPr="00251542" w:rsidRDefault="004007D3" w:rsidP="001A5BF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17"/>
        <w:gridCol w:w="1703"/>
        <w:gridCol w:w="1980"/>
      </w:tblGrid>
      <w:tr w:rsidR="004007D3" w:rsidRPr="00251542" w:rsidTr="0056083E">
        <w:trPr>
          <w:trHeight w:val="567"/>
        </w:trPr>
        <w:tc>
          <w:tcPr>
            <w:tcW w:w="187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12</w:t>
            </w:r>
          </w:p>
        </w:tc>
        <w:tc>
          <w:tcPr>
            <w:tcW w:w="165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17"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70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13</w:t>
            </w:r>
          </w:p>
        </w:tc>
      </w:tr>
      <w:tr w:rsidR="004007D3" w:rsidRPr="00251542" w:rsidTr="0056083E">
        <w:trPr>
          <w:trHeight w:val="567"/>
        </w:trPr>
        <w:tc>
          <w:tcPr>
            <w:tcW w:w="1870" w:type="dxa"/>
            <w:shd w:val="clear" w:color="auto" w:fill="auto"/>
            <w:vAlign w:val="center"/>
          </w:tcPr>
          <w:p w:rsidR="004007D3" w:rsidRPr="00251542" w:rsidRDefault="007A524A" w:rsidP="001A5BF9">
            <w:pPr>
              <w:autoSpaceDE w:val="0"/>
              <w:autoSpaceDN w:val="0"/>
              <w:adjustRightInd w:val="0"/>
              <w:spacing w:after="220"/>
              <w:jc w:val="center"/>
              <w:rPr>
                <w:rFonts w:eastAsia="MS Mincho" w:cs="Arial"/>
                <w:sz w:val="16"/>
                <w:szCs w:val="16"/>
                <w:lang w:bidi="th-TH"/>
              </w:rPr>
            </w:pPr>
            <w:r>
              <w:rPr>
                <w:sz w:val="16"/>
              </w:rPr>
              <w:t>229 </w:t>
            </w:r>
            <w:r w:rsidR="004007D3" w:rsidRPr="00251542">
              <w:rPr>
                <w:sz w:val="16"/>
              </w:rPr>
              <w:t>820</w:t>
            </w:r>
          </w:p>
        </w:tc>
        <w:tc>
          <w:tcPr>
            <w:tcW w:w="1650" w:type="dxa"/>
            <w:shd w:val="clear" w:color="auto" w:fill="auto"/>
            <w:vAlign w:val="center"/>
          </w:tcPr>
          <w:p w:rsidR="004007D3" w:rsidRPr="00251542" w:rsidRDefault="007A524A" w:rsidP="001A5BF9">
            <w:pPr>
              <w:autoSpaceDE w:val="0"/>
              <w:autoSpaceDN w:val="0"/>
              <w:adjustRightInd w:val="0"/>
              <w:spacing w:after="220"/>
              <w:jc w:val="center"/>
              <w:rPr>
                <w:rFonts w:eastAsia="MS Mincho" w:cs="Arial"/>
                <w:sz w:val="16"/>
                <w:szCs w:val="16"/>
                <w:lang w:bidi="th-TH"/>
              </w:rPr>
            </w:pPr>
            <w:r>
              <w:rPr>
                <w:sz w:val="16"/>
              </w:rPr>
              <w:t>172 </w:t>
            </w:r>
            <w:r w:rsidR="004007D3" w:rsidRPr="00251542">
              <w:rPr>
                <w:sz w:val="16"/>
              </w:rPr>
              <w:t>622</w:t>
            </w:r>
          </w:p>
        </w:tc>
        <w:tc>
          <w:tcPr>
            <w:tcW w:w="1817" w:type="dxa"/>
            <w:shd w:val="clear" w:color="auto" w:fill="auto"/>
            <w:vAlign w:val="center"/>
          </w:tcPr>
          <w:p w:rsidR="004007D3" w:rsidRPr="00251542" w:rsidRDefault="007A524A" w:rsidP="001A5BF9">
            <w:pPr>
              <w:autoSpaceDE w:val="0"/>
              <w:autoSpaceDN w:val="0"/>
              <w:adjustRightInd w:val="0"/>
              <w:spacing w:after="220"/>
              <w:jc w:val="center"/>
              <w:rPr>
                <w:rFonts w:eastAsia="MS Mincho" w:cs="Arial"/>
                <w:sz w:val="16"/>
                <w:szCs w:val="16"/>
                <w:lang w:bidi="th-TH"/>
              </w:rPr>
            </w:pPr>
            <w:r>
              <w:rPr>
                <w:sz w:val="16"/>
              </w:rPr>
              <w:t>154 </w:t>
            </w:r>
            <w:r w:rsidR="004007D3" w:rsidRPr="00251542">
              <w:rPr>
                <w:sz w:val="16"/>
              </w:rPr>
              <w:t>953</w:t>
            </w:r>
          </w:p>
        </w:tc>
        <w:tc>
          <w:tcPr>
            <w:tcW w:w="1703" w:type="dxa"/>
            <w:shd w:val="clear" w:color="auto" w:fill="auto"/>
            <w:vAlign w:val="center"/>
          </w:tcPr>
          <w:p w:rsidR="004007D3" w:rsidRPr="00251542" w:rsidRDefault="004007D3" w:rsidP="001A5BF9">
            <w:pPr>
              <w:autoSpaceDE w:val="0"/>
              <w:autoSpaceDN w:val="0"/>
              <w:adjustRightInd w:val="0"/>
              <w:spacing w:after="220"/>
              <w:jc w:val="center"/>
              <w:rPr>
                <w:rFonts w:eastAsia="MS Mincho" w:cs="Arial"/>
                <w:sz w:val="16"/>
                <w:szCs w:val="16"/>
                <w:lang w:bidi="th-TH"/>
              </w:rPr>
            </w:pPr>
            <w:r w:rsidRPr="00251542">
              <w:rPr>
                <w:sz w:val="16"/>
              </w:rPr>
              <w:t> </w:t>
            </w:r>
          </w:p>
        </w:tc>
        <w:tc>
          <w:tcPr>
            <w:tcW w:w="1980" w:type="dxa"/>
            <w:shd w:val="clear" w:color="auto" w:fill="auto"/>
            <w:vAlign w:val="center"/>
          </w:tcPr>
          <w:p w:rsidR="004007D3" w:rsidRPr="00251542" w:rsidRDefault="007A524A" w:rsidP="001A5BF9">
            <w:pPr>
              <w:autoSpaceDE w:val="0"/>
              <w:autoSpaceDN w:val="0"/>
              <w:adjustRightInd w:val="0"/>
              <w:spacing w:after="220"/>
              <w:jc w:val="center"/>
              <w:rPr>
                <w:rFonts w:eastAsia="MS Mincho" w:cs="Arial"/>
                <w:sz w:val="16"/>
                <w:szCs w:val="16"/>
                <w:lang w:bidi="th-TH"/>
              </w:rPr>
            </w:pPr>
            <w:r>
              <w:rPr>
                <w:sz w:val="16"/>
              </w:rPr>
              <w:t>247 </w:t>
            </w:r>
            <w:r w:rsidR="004007D3" w:rsidRPr="00251542">
              <w:rPr>
                <w:sz w:val="16"/>
              </w:rPr>
              <w:t>489</w:t>
            </w:r>
          </w:p>
        </w:tc>
      </w:tr>
    </w:tbl>
    <w:p w:rsidR="00D42474" w:rsidRDefault="004007D3" w:rsidP="001A5BF9">
      <w:pPr>
        <w:spacing w:before="120"/>
        <w:rPr>
          <w:sz w:val="16"/>
          <w:szCs w:val="16"/>
        </w:rPr>
      </w:pPr>
      <w:r w:rsidRPr="007A524A">
        <w:rPr>
          <w:i/>
          <w:sz w:val="16"/>
          <w:szCs w:val="16"/>
          <w:vertAlign w:val="superscript"/>
        </w:rPr>
        <w:t>1</w:t>
      </w:r>
      <w:r w:rsidRPr="007A524A">
        <w:rPr>
          <w:i/>
          <w:sz w:val="16"/>
          <w:szCs w:val="16"/>
        </w:rPr>
        <w:t xml:space="preserve"> </w:t>
      </w:r>
      <w:r w:rsidR="007A524A">
        <w:rPr>
          <w:i/>
          <w:sz w:val="16"/>
          <w:szCs w:val="16"/>
        </w:rPr>
        <w:t xml:space="preserve"> </w:t>
      </w:r>
      <w:r w:rsidRPr="007A524A">
        <w:rPr>
          <w:i/>
          <w:sz w:val="16"/>
          <w:szCs w:val="16"/>
        </w:rPr>
        <w:t>États financiers de l</w:t>
      </w:r>
      <w:r w:rsidR="00A20444" w:rsidRPr="007A524A">
        <w:rPr>
          <w:i/>
          <w:sz w:val="16"/>
          <w:szCs w:val="16"/>
        </w:rPr>
        <w:t>’</w:t>
      </w:r>
      <w:r w:rsidRPr="007A524A">
        <w:rPr>
          <w:i/>
          <w:sz w:val="16"/>
          <w:szCs w:val="16"/>
        </w:rPr>
        <w:t>OMPI 2013 (annexe III)</w:t>
      </w:r>
    </w:p>
    <w:p w:rsidR="00D42474" w:rsidRDefault="00D42474" w:rsidP="001A5BF9">
      <w:pPr>
        <w:keepNext/>
        <w:keepLines/>
        <w:rPr>
          <w:b/>
        </w:rPr>
      </w:pPr>
    </w:p>
    <w:p w:rsidR="00D42474" w:rsidRDefault="00D42474" w:rsidP="001A5BF9">
      <w:pPr>
        <w:keepNext/>
        <w:keepLines/>
        <w:rPr>
          <w:b/>
        </w:rPr>
      </w:pPr>
    </w:p>
    <w:p w:rsidR="00D42474" w:rsidRDefault="004007D3" w:rsidP="001A5BF9">
      <w:pPr>
        <w:keepNext/>
        <w:keepLines/>
        <w:rPr>
          <w:rFonts w:cs="Arial"/>
          <w:b/>
          <w:szCs w:val="20"/>
        </w:rPr>
      </w:pPr>
      <w:r w:rsidRPr="00251542">
        <w:rPr>
          <w:b/>
        </w:rPr>
        <w:t>RÉPUBLIQUE DE CORÉE/PROPRIÉTÉ INTELLECTUELLE</w:t>
      </w:r>
    </w:p>
    <w:p w:rsidR="004007D3" w:rsidRPr="00251542" w:rsidRDefault="004007D3" w:rsidP="001A5BF9">
      <w:pPr>
        <w:keepNext/>
        <w:keepLines/>
        <w:rPr>
          <w:rFonts w:cs="Arial"/>
          <w:b/>
          <w:szCs w:val="20"/>
        </w:rPr>
      </w:pP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229"/>
        <w:gridCol w:w="1756"/>
        <w:gridCol w:w="4110"/>
      </w:tblGrid>
      <w:tr w:rsidR="004007D3" w:rsidRPr="00251542" w:rsidTr="0056083E">
        <w:tc>
          <w:tcPr>
            <w:tcW w:w="9102" w:type="dxa"/>
            <w:gridSpan w:val="5"/>
            <w:tcBorders>
              <w:top w:val="single" w:sz="4" w:space="0" w:color="000000"/>
              <w:bottom w:val="single" w:sz="4" w:space="0" w:color="000000"/>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Amélioration de l</w:t>
            </w:r>
            <w:r w:rsidR="00A20444" w:rsidRPr="007A524A">
              <w:rPr>
                <w:sz w:val="16"/>
              </w:rPr>
              <w:t>’</w:t>
            </w:r>
            <w:r w:rsidRPr="007A524A">
              <w:rPr>
                <w:sz w:val="16"/>
              </w:rPr>
              <w:t>accès aux informations et au savoir en matière de propriété intellectuelle et de leur utilisation par les institutions de propriété intellectuelle et le public au service de l</w:t>
            </w:r>
            <w:r w:rsidR="00A20444" w:rsidRPr="007A524A">
              <w:rPr>
                <w:sz w:val="16"/>
              </w:rPr>
              <w:t>’</w:t>
            </w:r>
            <w:r w:rsidRPr="007A524A">
              <w:rPr>
                <w:sz w:val="16"/>
              </w:rPr>
              <w:t>innovation et du développement socioéconomique.</w:t>
            </w:r>
          </w:p>
        </w:tc>
      </w:tr>
      <w:tr w:rsidR="004007D3" w:rsidRPr="007A524A" w:rsidTr="00385904">
        <w:tc>
          <w:tcPr>
            <w:tcW w:w="1873" w:type="dxa"/>
            <w:tcBorders>
              <w:top w:val="single" w:sz="4" w:space="0" w:color="000000"/>
            </w:tcBorders>
            <w:vAlign w:val="center"/>
          </w:tcPr>
          <w:p w:rsidR="004007D3" w:rsidRPr="007A524A" w:rsidRDefault="004007D3" w:rsidP="001A5BF9">
            <w:pPr>
              <w:keepNext/>
              <w:keepLines/>
              <w:rPr>
                <w:rFonts w:cs="Arial"/>
                <w:b/>
                <w:bCs/>
                <w:sz w:val="16"/>
                <w:szCs w:val="16"/>
              </w:rPr>
            </w:pPr>
            <w:r w:rsidRPr="007A524A">
              <w:rPr>
                <w:b/>
                <w:sz w:val="16"/>
              </w:rPr>
              <w:t>Activité</w:t>
            </w:r>
          </w:p>
        </w:tc>
        <w:tc>
          <w:tcPr>
            <w:tcW w:w="1363" w:type="dxa"/>
            <w:gridSpan w:val="2"/>
            <w:tcBorders>
              <w:top w:val="single" w:sz="4" w:space="0" w:color="000000"/>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Date :</w:t>
            </w:r>
          </w:p>
        </w:tc>
        <w:tc>
          <w:tcPr>
            <w:tcW w:w="1756" w:type="dxa"/>
            <w:tcBorders>
              <w:top w:val="single" w:sz="4" w:space="0" w:color="000000"/>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Pays hôte/bénéficiaire</w:t>
            </w:r>
          </w:p>
        </w:tc>
        <w:tc>
          <w:tcPr>
            <w:tcW w:w="4110" w:type="dxa"/>
            <w:tcBorders>
              <w:top w:val="single" w:sz="4" w:space="0" w:color="000000"/>
            </w:tcBorders>
            <w:shd w:val="clear" w:color="auto" w:fill="FFFFFF"/>
            <w:tcMar>
              <w:top w:w="110" w:type="dxa"/>
            </w:tcMar>
            <w:vAlign w:val="center"/>
          </w:tcPr>
          <w:p w:rsidR="004007D3" w:rsidRPr="007A524A" w:rsidRDefault="004007D3" w:rsidP="001A5BF9">
            <w:pPr>
              <w:keepNext/>
              <w:keepLines/>
              <w:rPr>
                <w:rFonts w:cs="Arial"/>
                <w:b/>
                <w:sz w:val="16"/>
                <w:szCs w:val="16"/>
              </w:rPr>
            </w:pPr>
            <w:r w:rsidRPr="007A524A">
              <w:rPr>
                <w:b/>
                <w:sz w:val="16"/>
              </w:rPr>
              <w:t>Objectif(s)/description(s)</w:t>
            </w:r>
          </w:p>
        </w:tc>
      </w:tr>
      <w:tr w:rsidR="004007D3" w:rsidRPr="00251542" w:rsidTr="00385904">
        <w:tc>
          <w:tcPr>
            <w:tcW w:w="1873" w:type="dxa"/>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Concours sur les technologies appropriées</w:t>
            </w:r>
          </w:p>
        </w:tc>
        <w:tc>
          <w:tcPr>
            <w:tcW w:w="1363" w:type="dxa"/>
            <w:gridSpan w:val="2"/>
          </w:tcPr>
          <w:p w:rsidR="004007D3" w:rsidRPr="00251542" w:rsidRDefault="00812285" w:rsidP="001A5BF9">
            <w:pPr>
              <w:autoSpaceDE w:val="0"/>
              <w:autoSpaceDN w:val="0"/>
              <w:adjustRightInd w:val="0"/>
              <w:spacing w:before="120" w:after="120"/>
              <w:rPr>
                <w:rFonts w:cs="Arial"/>
                <w:sz w:val="16"/>
                <w:szCs w:val="16"/>
              </w:rPr>
            </w:pPr>
            <w:r>
              <w:rPr>
                <w:sz w:val="16"/>
                <w:szCs w:val="16"/>
              </w:rPr>
              <w:t>a</w:t>
            </w:r>
            <w:r w:rsidR="004007D3" w:rsidRPr="00251542">
              <w:rPr>
                <w:sz w:val="16"/>
                <w:szCs w:val="16"/>
              </w:rPr>
              <w:t>oût à novembre 2013</w:t>
            </w:r>
          </w:p>
        </w:tc>
        <w:tc>
          <w:tcPr>
            <w:tcW w:w="1756" w:type="dxa"/>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Viet Nam/</w:t>
            </w:r>
            <w:r w:rsidR="00385904" w:rsidRPr="00251542">
              <w:rPr>
                <w:sz w:val="16"/>
                <w:szCs w:val="16"/>
              </w:rPr>
              <w:br/>
            </w:r>
            <w:r w:rsidRPr="00251542">
              <w:rPr>
                <w:sz w:val="16"/>
                <w:szCs w:val="16"/>
              </w:rPr>
              <w:t>300 participants</w:t>
            </w:r>
          </w:p>
        </w:tc>
        <w:tc>
          <w:tcPr>
            <w:tcW w:w="4110" w:type="dxa"/>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Encourager et récompenser l</w:t>
            </w:r>
            <w:r w:rsidR="00A20444" w:rsidRPr="00251542">
              <w:rPr>
                <w:sz w:val="16"/>
                <w:szCs w:val="16"/>
              </w:rPr>
              <w:t>’</w:t>
            </w:r>
            <w:r w:rsidRPr="00251542">
              <w:rPr>
                <w:sz w:val="16"/>
                <w:szCs w:val="16"/>
              </w:rPr>
              <w:t xml:space="preserve">excellence en matière de solutions innovantes apportées à des problèmes récurrents, en particulier, des solutions qui font appel à des technologies appropriées et adaptées aux conditions locales. </w:t>
            </w:r>
            <w:r w:rsidR="0010442A" w:rsidRPr="00251542">
              <w:rPr>
                <w:sz w:val="16"/>
                <w:szCs w:val="16"/>
              </w:rPr>
              <w:t xml:space="preserve"> </w:t>
            </w:r>
            <w:r w:rsidRPr="00251542">
              <w:rPr>
                <w:sz w:val="16"/>
                <w:szCs w:val="16"/>
              </w:rPr>
              <w:t>L</w:t>
            </w:r>
            <w:r w:rsidR="00A20444" w:rsidRPr="00251542">
              <w:rPr>
                <w:sz w:val="16"/>
                <w:szCs w:val="16"/>
              </w:rPr>
              <w:t>’</w:t>
            </w:r>
            <w:r w:rsidRPr="00251542">
              <w:rPr>
                <w:sz w:val="16"/>
                <w:szCs w:val="16"/>
              </w:rPr>
              <w:t>utilisation d</w:t>
            </w:r>
            <w:r w:rsidR="00A20444" w:rsidRPr="00251542">
              <w:rPr>
                <w:sz w:val="16"/>
                <w:szCs w:val="16"/>
              </w:rPr>
              <w:t>’</w:t>
            </w:r>
            <w:r w:rsidRPr="00251542">
              <w:rPr>
                <w:sz w:val="16"/>
                <w:szCs w:val="16"/>
              </w:rPr>
              <w:t>informations relatives aux brevets lors de la conception des solutions élaborées a été un élément clé du concours</w:t>
            </w:r>
            <w:r w:rsidRPr="00251542">
              <w:rPr>
                <w:sz w:val="16"/>
                <w:szCs w:val="16"/>
              </w:rPr>
              <w:br/>
            </w:r>
            <w:r w:rsidRPr="00251542">
              <w:rPr>
                <w:sz w:val="16"/>
                <w:szCs w:val="16"/>
              </w:rPr>
              <w:br/>
              <w:t>Le concours a compris un atelier d</w:t>
            </w:r>
            <w:r w:rsidR="00A20444" w:rsidRPr="00251542">
              <w:rPr>
                <w:sz w:val="16"/>
                <w:szCs w:val="16"/>
              </w:rPr>
              <w:t>’</w:t>
            </w:r>
            <w:r w:rsidRPr="00251542">
              <w:rPr>
                <w:sz w:val="16"/>
                <w:szCs w:val="16"/>
              </w:rPr>
              <w:t>orientation (16 et 17 septembre 2013), l</w:t>
            </w:r>
            <w:r w:rsidR="00A20444" w:rsidRPr="00251542">
              <w:rPr>
                <w:sz w:val="16"/>
                <w:szCs w:val="16"/>
              </w:rPr>
              <w:t>’</w:t>
            </w:r>
            <w:r w:rsidRPr="00251542">
              <w:rPr>
                <w:sz w:val="16"/>
                <w:szCs w:val="16"/>
              </w:rPr>
              <w:t xml:space="preserve">évaluation et la </w:t>
            </w:r>
            <w:proofErr w:type="spellStart"/>
            <w:r w:rsidRPr="00251542">
              <w:rPr>
                <w:sz w:val="16"/>
                <w:szCs w:val="16"/>
              </w:rPr>
              <w:t>présélection</w:t>
            </w:r>
            <w:proofErr w:type="spellEnd"/>
            <w:r w:rsidRPr="00251542">
              <w:rPr>
                <w:sz w:val="16"/>
                <w:szCs w:val="16"/>
              </w:rPr>
              <w:t xml:space="preserve"> des entrées saisies (146 soumissions), des présentations par les candidats présélectionnés et une cérémonie de remise des prix (7</w:t>
            </w:r>
            <w:r w:rsidR="002D6F2A" w:rsidRPr="00251542">
              <w:rPr>
                <w:sz w:val="16"/>
                <w:szCs w:val="16"/>
              </w:rPr>
              <w:noBreakHyphen/>
            </w:r>
            <w:r w:rsidRPr="00251542">
              <w:rPr>
                <w:sz w:val="16"/>
                <w:szCs w:val="16"/>
              </w:rPr>
              <w:t>9 novembre 2013).</w:t>
            </w:r>
          </w:p>
        </w:tc>
      </w:tr>
      <w:tr w:rsidR="004007D3" w:rsidRPr="00251542" w:rsidTr="00385904">
        <w:tc>
          <w:tcPr>
            <w:tcW w:w="1873" w:type="dxa"/>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Concours sur les technologies appropriées</w:t>
            </w:r>
          </w:p>
        </w:tc>
        <w:tc>
          <w:tcPr>
            <w:tcW w:w="1363" w:type="dxa"/>
            <w:gridSpan w:val="2"/>
          </w:tcPr>
          <w:p w:rsidR="004007D3" w:rsidRPr="00251542" w:rsidRDefault="00812285" w:rsidP="001A5BF9">
            <w:pPr>
              <w:autoSpaceDE w:val="0"/>
              <w:autoSpaceDN w:val="0"/>
              <w:adjustRightInd w:val="0"/>
              <w:spacing w:before="120" w:after="120"/>
              <w:rPr>
                <w:rFonts w:cs="Arial"/>
                <w:sz w:val="16"/>
                <w:szCs w:val="16"/>
              </w:rPr>
            </w:pPr>
            <w:r>
              <w:rPr>
                <w:sz w:val="16"/>
                <w:szCs w:val="16"/>
              </w:rPr>
              <w:t>m</w:t>
            </w:r>
            <w:r w:rsidR="004007D3" w:rsidRPr="00251542">
              <w:rPr>
                <w:sz w:val="16"/>
                <w:szCs w:val="16"/>
              </w:rPr>
              <w:t>ai à décembre 2013</w:t>
            </w:r>
          </w:p>
        </w:tc>
        <w:tc>
          <w:tcPr>
            <w:tcW w:w="1756" w:type="dxa"/>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Zambie/</w:t>
            </w:r>
            <w:r w:rsidR="00385904" w:rsidRPr="00251542">
              <w:rPr>
                <w:sz w:val="16"/>
                <w:szCs w:val="16"/>
              </w:rPr>
              <w:br/>
            </w:r>
            <w:r w:rsidRPr="00251542">
              <w:rPr>
                <w:sz w:val="16"/>
                <w:szCs w:val="16"/>
              </w:rPr>
              <w:t>60 participants</w:t>
            </w:r>
          </w:p>
        </w:tc>
        <w:tc>
          <w:tcPr>
            <w:tcW w:w="4110" w:type="dxa"/>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Le concours a compris un atelier d</w:t>
            </w:r>
            <w:r w:rsidR="00A20444" w:rsidRPr="00251542">
              <w:rPr>
                <w:sz w:val="16"/>
                <w:szCs w:val="16"/>
              </w:rPr>
              <w:t>’</w:t>
            </w:r>
            <w:r w:rsidRPr="00251542">
              <w:rPr>
                <w:sz w:val="16"/>
                <w:szCs w:val="16"/>
              </w:rPr>
              <w:t>orientation (23 mai 2013), l</w:t>
            </w:r>
            <w:r w:rsidR="00A20444" w:rsidRPr="00251542">
              <w:rPr>
                <w:sz w:val="16"/>
                <w:szCs w:val="16"/>
              </w:rPr>
              <w:t>’</w:t>
            </w:r>
            <w:r w:rsidRPr="00251542">
              <w:rPr>
                <w:sz w:val="16"/>
                <w:szCs w:val="16"/>
              </w:rPr>
              <w:t xml:space="preserve">évaluation et la </w:t>
            </w:r>
            <w:proofErr w:type="spellStart"/>
            <w:r w:rsidRPr="00251542">
              <w:rPr>
                <w:sz w:val="16"/>
                <w:szCs w:val="16"/>
              </w:rPr>
              <w:t>présélection</w:t>
            </w:r>
            <w:proofErr w:type="spellEnd"/>
            <w:r w:rsidRPr="00251542">
              <w:rPr>
                <w:sz w:val="16"/>
                <w:szCs w:val="16"/>
              </w:rPr>
              <w:t xml:space="preserve"> des entrées saisies (23 soumissions). </w:t>
            </w:r>
            <w:r w:rsidR="0010442A" w:rsidRPr="00251542">
              <w:rPr>
                <w:sz w:val="16"/>
                <w:szCs w:val="16"/>
              </w:rPr>
              <w:t xml:space="preserve"> </w:t>
            </w:r>
            <w:r w:rsidRPr="00251542">
              <w:rPr>
                <w:sz w:val="16"/>
                <w:szCs w:val="16"/>
              </w:rPr>
              <w:t>Des présentations par les candidats présélectionnés, une cérémonie de remise des prix et un atelier sur la commercialisation auront lieu du 4 au 6 février 2014</w:t>
            </w:r>
          </w:p>
        </w:tc>
      </w:tr>
      <w:tr w:rsidR="004007D3" w:rsidRPr="00251542" w:rsidTr="00385904">
        <w:tc>
          <w:tcPr>
            <w:tcW w:w="1873"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Séminaire sous</w:t>
            </w:r>
            <w:r w:rsidR="002D6F2A" w:rsidRPr="00251542">
              <w:rPr>
                <w:sz w:val="16"/>
                <w:szCs w:val="16"/>
              </w:rPr>
              <w:noBreakHyphen/>
            </w:r>
            <w:r w:rsidRPr="00251542">
              <w:rPr>
                <w:sz w:val="16"/>
                <w:szCs w:val="16"/>
              </w:rPr>
              <w:t>régional sur le partenariat public privé dans le développement et la commercialisation des technologies appropriées</w:t>
            </w:r>
          </w:p>
        </w:tc>
        <w:tc>
          <w:tcPr>
            <w:tcW w:w="1363" w:type="dxa"/>
            <w:gridSpan w:val="2"/>
            <w:tcBorders>
              <w:bottom w:val="single" w:sz="4" w:space="0" w:color="000000"/>
            </w:tcBorders>
          </w:tcPr>
          <w:p w:rsidR="004007D3" w:rsidRPr="00251542" w:rsidRDefault="00234CE1" w:rsidP="00812285">
            <w:pPr>
              <w:autoSpaceDE w:val="0"/>
              <w:autoSpaceDN w:val="0"/>
              <w:adjustRightInd w:val="0"/>
              <w:spacing w:before="120" w:after="120"/>
              <w:rPr>
                <w:rFonts w:cs="Arial"/>
                <w:sz w:val="16"/>
                <w:szCs w:val="16"/>
              </w:rPr>
            </w:pPr>
            <w:r w:rsidRPr="00251542">
              <w:rPr>
                <w:sz w:val="16"/>
                <w:szCs w:val="16"/>
              </w:rPr>
              <w:t>21 et 2</w:t>
            </w:r>
            <w:r w:rsidR="00A20444" w:rsidRPr="00251542">
              <w:rPr>
                <w:sz w:val="16"/>
                <w:szCs w:val="16"/>
              </w:rPr>
              <w:t>2</w:t>
            </w:r>
            <w:r w:rsidR="00812285">
              <w:rPr>
                <w:sz w:val="16"/>
                <w:szCs w:val="16"/>
              </w:rPr>
              <w:t xml:space="preserve"> </w:t>
            </w:r>
            <w:r w:rsidR="00A20444" w:rsidRPr="00251542">
              <w:rPr>
                <w:sz w:val="16"/>
                <w:szCs w:val="16"/>
              </w:rPr>
              <w:t>octobre</w:t>
            </w:r>
            <w:r w:rsidR="004007D3" w:rsidRPr="00251542">
              <w:rPr>
                <w:sz w:val="16"/>
                <w:szCs w:val="16"/>
              </w:rPr>
              <w:t> 2013</w:t>
            </w:r>
          </w:p>
        </w:tc>
        <w:tc>
          <w:tcPr>
            <w:tcW w:w="1756"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Éthiopie/</w:t>
            </w:r>
            <w:r w:rsidR="00385904" w:rsidRPr="00251542">
              <w:rPr>
                <w:sz w:val="16"/>
                <w:szCs w:val="16"/>
              </w:rPr>
              <w:br/>
            </w:r>
            <w:r w:rsidRPr="00251542">
              <w:rPr>
                <w:sz w:val="16"/>
                <w:szCs w:val="16"/>
              </w:rPr>
              <w:t>50 participants d</w:t>
            </w:r>
            <w:r w:rsidR="00A20444" w:rsidRPr="00251542">
              <w:rPr>
                <w:sz w:val="16"/>
                <w:szCs w:val="16"/>
              </w:rPr>
              <w:t>’</w:t>
            </w:r>
            <w:r w:rsidRPr="00251542">
              <w:rPr>
                <w:sz w:val="16"/>
                <w:szCs w:val="16"/>
              </w:rPr>
              <w:t>Éthiopie, du Ghana et de Zambie</w:t>
            </w:r>
          </w:p>
        </w:tc>
        <w:tc>
          <w:tcPr>
            <w:tcW w:w="4110"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szCs w:val="16"/>
              </w:rPr>
              <w:t>Les participants au séminaire ont i) échangé leurs points de vue sur les questions relatives au développement des technologies appropriées;</w:t>
            </w:r>
            <w:r w:rsidR="004F3E42" w:rsidRPr="00251542">
              <w:rPr>
                <w:sz w:val="16"/>
                <w:szCs w:val="16"/>
              </w:rPr>
              <w:t xml:space="preserve"> </w:t>
            </w:r>
            <w:r w:rsidR="0010442A" w:rsidRPr="00251542">
              <w:rPr>
                <w:sz w:val="16"/>
                <w:szCs w:val="16"/>
              </w:rPr>
              <w:t xml:space="preserve"> </w:t>
            </w:r>
            <w:r w:rsidRPr="00251542">
              <w:rPr>
                <w:sz w:val="16"/>
                <w:szCs w:val="16"/>
              </w:rPr>
              <w:t xml:space="preserve">et ii) défini des moyens permettant de relever les défis posés par la commercialisation des technologies appropriées. </w:t>
            </w:r>
            <w:r w:rsidR="0010442A" w:rsidRPr="00251542">
              <w:rPr>
                <w:sz w:val="16"/>
                <w:szCs w:val="16"/>
              </w:rPr>
              <w:t xml:space="preserve"> </w:t>
            </w:r>
            <w:r w:rsidRPr="00251542">
              <w:rPr>
                <w:sz w:val="16"/>
                <w:szCs w:val="16"/>
              </w:rPr>
              <w:t>Le séminaire a rassemblé des hauts fonctionnaires, des représentants du secteur privé, des inventeurs, des avocats en propriété intellectuelle et d</w:t>
            </w:r>
            <w:r w:rsidR="00A20444" w:rsidRPr="00251542">
              <w:rPr>
                <w:sz w:val="16"/>
                <w:szCs w:val="16"/>
              </w:rPr>
              <w:t>’</w:t>
            </w:r>
            <w:r w:rsidRPr="00251542">
              <w:rPr>
                <w:sz w:val="16"/>
                <w:szCs w:val="16"/>
              </w:rPr>
              <w:t>autres fonctionnaires.</w:t>
            </w:r>
          </w:p>
        </w:tc>
      </w:tr>
      <w:tr w:rsidR="004007D3" w:rsidRPr="00251542" w:rsidTr="0056083E">
        <w:tc>
          <w:tcPr>
            <w:tcW w:w="9102" w:type="dxa"/>
            <w:gridSpan w:val="5"/>
            <w:tcBorders>
              <w:top w:val="single" w:sz="4" w:space="0" w:color="000000"/>
              <w:bottom w:val="single" w:sz="4" w:space="0" w:color="000000"/>
            </w:tcBorders>
            <w:shd w:val="clear" w:color="auto" w:fill="CCFFFF"/>
            <w:vAlign w:val="center"/>
          </w:tcPr>
          <w:p w:rsidR="004007D3" w:rsidRPr="00251542" w:rsidRDefault="004007D3" w:rsidP="001A5BF9">
            <w:pPr>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Cadres législatifs, réglementaires et politiques adaptés et équilibrés en matière de propriété intellectuelle</w:t>
            </w:r>
          </w:p>
        </w:tc>
      </w:tr>
      <w:tr w:rsidR="004007D3" w:rsidRPr="007A524A" w:rsidTr="0056083E">
        <w:tc>
          <w:tcPr>
            <w:tcW w:w="1873" w:type="dxa"/>
            <w:tcBorders>
              <w:top w:val="single" w:sz="4" w:space="0" w:color="000000"/>
            </w:tcBorders>
            <w:vAlign w:val="center"/>
          </w:tcPr>
          <w:p w:rsidR="004007D3" w:rsidRPr="007A524A" w:rsidRDefault="004007D3" w:rsidP="001A5BF9">
            <w:pPr>
              <w:rPr>
                <w:rFonts w:cs="Arial"/>
                <w:b/>
                <w:bCs/>
                <w:sz w:val="16"/>
                <w:szCs w:val="16"/>
              </w:rPr>
            </w:pPr>
            <w:r w:rsidRPr="007A524A">
              <w:rPr>
                <w:b/>
                <w:sz w:val="16"/>
              </w:rPr>
              <w:t>Activité</w:t>
            </w:r>
          </w:p>
        </w:tc>
        <w:tc>
          <w:tcPr>
            <w:tcW w:w="1134" w:type="dxa"/>
            <w:tcBorders>
              <w:top w:val="single" w:sz="4" w:space="0" w:color="000000"/>
            </w:tcBorders>
            <w:shd w:val="clear" w:color="auto" w:fill="auto"/>
            <w:tcMar>
              <w:top w:w="110" w:type="dxa"/>
            </w:tcMar>
            <w:vAlign w:val="center"/>
          </w:tcPr>
          <w:p w:rsidR="004007D3" w:rsidRPr="007A524A" w:rsidRDefault="004007D3" w:rsidP="001A5BF9">
            <w:pPr>
              <w:rPr>
                <w:rFonts w:cs="Arial"/>
                <w:b/>
                <w:sz w:val="16"/>
                <w:szCs w:val="16"/>
              </w:rPr>
            </w:pPr>
            <w:r w:rsidRPr="007A524A">
              <w:rPr>
                <w:b/>
                <w:sz w:val="16"/>
              </w:rPr>
              <w:t>Date :</w:t>
            </w:r>
          </w:p>
        </w:tc>
        <w:tc>
          <w:tcPr>
            <w:tcW w:w="1985" w:type="dxa"/>
            <w:gridSpan w:val="2"/>
            <w:tcBorders>
              <w:top w:val="single" w:sz="4" w:space="0" w:color="000000"/>
            </w:tcBorders>
            <w:shd w:val="clear" w:color="auto" w:fill="auto"/>
            <w:tcMar>
              <w:top w:w="110" w:type="dxa"/>
            </w:tcMar>
            <w:vAlign w:val="center"/>
          </w:tcPr>
          <w:p w:rsidR="004007D3" w:rsidRPr="007A524A" w:rsidRDefault="004007D3" w:rsidP="001A5BF9">
            <w:pPr>
              <w:rPr>
                <w:rFonts w:cs="Arial"/>
                <w:b/>
                <w:sz w:val="16"/>
                <w:szCs w:val="16"/>
              </w:rPr>
            </w:pPr>
            <w:r w:rsidRPr="007A524A">
              <w:rPr>
                <w:b/>
                <w:sz w:val="16"/>
              </w:rPr>
              <w:t>Pays hôte/bénéficiaire</w:t>
            </w:r>
          </w:p>
        </w:tc>
        <w:tc>
          <w:tcPr>
            <w:tcW w:w="4110" w:type="dxa"/>
            <w:tcBorders>
              <w:top w:val="single" w:sz="4" w:space="0" w:color="000000"/>
            </w:tcBorders>
            <w:shd w:val="clear" w:color="auto" w:fill="FFFFFF"/>
            <w:tcMar>
              <w:top w:w="110" w:type="dxa"/>
            </w:tcMar>
            <w:vAlign w:val="center"/>
          </w:tcPr>
          <w:p w:rsidR="004007D3" w:rsidRPr="007A524A" w:rsidRDefault="004007D3" w:rsidP="001A5BF9">
            <w:pPr>
              <w:rPr>
                <w:rFonts w:cs="Arial"/>
                <w:b/>
                <w:sz w:val="16"/>
                <w:szCs w:val="16"/>
              </w:rPr>
            </w:pPr>
            <w:r w:rsidRPr="007A524A">
              <w:rPr>
                <w:b/>
                <w:sz w:val="16"/>
              </w:rPr>
              <w:t>Objectif(s)/description(s)</w:t>
            </w:r>
          </w:p>
        </w:tc>
      </w:tr>
      <w:tr w:rsidR="004007D3" w:rsidRPr="00251542" w:rsidTr="0056083E">
        <w:tc>
          <w:tcPr>
            <w:tcW w:w="1873" w:type="dxa"/>
          </w:tcPr>
          <w:p w:rsidR="004007D3" w:rsidRPr="00251542" w:rsidRDefault="004007D3" w:rsidP="001A5BF9">
            <w:pPr>
              <w:spacing w:before="120" w:after="120"/>
              <w:rPr>
                <w:rFonts w:cs="Arial"/>
                <w:sz w:val="16"/>
                <w:szCs w:val="16"/>
              </w:rPr>
            </w:pPr>
            <w:r w:rsidRPr="00251542">
              <w:rPr>
                <w:sz w:val="16"/>
              </w:rPr>
              <w:t>Mission d</w:t>
            </w:r>
            <w:r w:rsidR="00A20444" w:rsidRPr="00251542">
              <w:rPr>
                <w:sz w:val="16"/>
              </w:rPr>
              <w:t>’</w:t>
            </w:r>
            <w:r w:rsidRPr="00251542">
              <w:rPr>
                <w:sz w:val="16"/>
              </w:rPr>
              <w:t>experts</w:t>
            </w:r>
          </w:p>
        </w:tc>
        <w:tc>
          <w:tcPr>
            <w:tcW w:w="1134" w:type="dxa"/>
            <w:shd w:val="clear" w:color="auto" w:fill="auto"/>
            <w:tcMar>
              <w:top w:w="110" w:type="dxa"/>
            </w:tcMar>
          </w:tcPr>
          <w:p w:rsidR="004007D3" w:rsidRPr="007A524A" w:rsidRDefault="00812285" w:rsidP="00812285">
            <w:pPr>
              <w:spacing w:before="120" w:after="120"/>
              <w:rPr>
                <w:rFonts w:cs="Arial"/>
                <w:sz w:val="16"/>
                <w:szCs w:val="16"/>
              </w:rPr>
            </w:pPr>
            <w:r w:rsidRPr="007A524A">
              <w:rPr>
                <w:sz w:val="16"/>
              </w:rPr>
              <w:t>d</w:t>
            </w:r>
            <w:r w:rsidR="004007D3" w:rsidRPr="007A524A">
              <w:rPr>
                <w:sz w:val="16"/>
              </w:rPr>
              <w:t>u </w:t>
            </w:r>
            <w:r w:rsidR="00A20444" w:rsidRPr="007A524A">
              <w:rPr>
                <w:sz w:val="16"/>
              </w:rPr>
              <w:t>1</w:t>
            </w:r>
            <w:r w:rsidR="00A20444" w:rsidRPr="007A524A">
              <w:rPr>
                <w:sz w:val="16"/>
                <w:vertAlign w:val="superscript"/>
              </w:rPr>
              <w:t>er</w:t>
            </w:r>
            <w:r w:rsidR="00A20444" w:rsidRPr="007A524A">
              <w:rPr>
                <w:sz w:val="16"/>
              </w:rPr>
              <w:t> </w:t>
            </w:r>
            <w:r w:rsidR="004007D3" w:rsidRPr="007A524A">
              <w:rPr>
                <w:sz w:val="16"/>
              </w:rPr>
              <w:t>au 3</w:t>
            </w:r>
            <w:r w:rsidRPr="007A524A">
              <w:rPr>
                <w:sz w:val="16"/>
              </w:rPr>
              <w:t xml:space="preserve"> </w:t>
            </w:r>
            <w:r w:rsidR="004007D3" w:rsidRPr="007A524A">
              <w:rPr>
                <w:sz w:val="16"/>
              </w:rPr>
              <w:t>octobre</w:t>
            </w:r>
            <w:r w:rsidRPr="007A524A">
              <w:rPr>
                <w:sz w:val="16"/>
              </w:rPr>
              <w:t xml:space="preserve"> </w:t>
            </w:r>
            <w:r w:rsidR="004007D3" w:rsidRPr="007A524A">
              <w:rPr>
                <w:sz w:val="16"/>
              </w:rPr>
              <w:t>2013</w:t>
            </w:r>
          </w:p>
        </w:tc>
        <w:tc>
          <w:tcPr>
            <w:tcW w:w="1985" w:type="dxa"/>
            <w:gridSpan w:val="2"/>
            <w:shd w:val="clear" w:color="auto" w:fill="auto"/>
            <w:tcMar>
              <w:top w:w="110" w:type="dxa"/>
            </w:tcMar>
          </w:tcPr>
          <w:p w:rsidR="004007D3" w:rsidRPr="007A524A" w:rsidRDefault="004007D3" w:rsidP="001A5BF9">
            <w:pPr>
              <w:autoSpaceDE w:val="0"/>
              <w:autoSpaceDN w:val="0"/>
              <w:adjustRightInd w:val="0"/>
              <w:spacing w:before="120" w:after="120"/>
              <w:rPr>
                <w:rFonts w:cs="Arial"/>
                <w:bCs/>
                <w:sz w:val="16"/>
                <w:szCs w:val="16"/>
              </w:rPr>
            </w:pPr>
            <w:r w:rsidRPr="007A524A">
              <w:rPr>
                <w:sz w:val="16"/>
              </w:rPr>
              <w:t>Myanmar</w:t>
            </w:r>
          </w:p>
        </w:tc>
        <w:tc>
          <w:tcPr>
            <w:tcW w:w="4110" w:type="dxa"/>
            <w:shd w:val="clear" w:color="auto" w:fill="FFFFFF"/>
            <w:tcMar>
              <w:top w:w="110" w:type="dxa"/>
            </w:tcMar>
          </w:tcPr>
          <w:p w:rsidR="004007D3" w:rsidRPr="00251542" w:rsidRDefault="004007D3" w:rsidP="001A5BF9">
            <w:pPr>
              <w:spacing w:before="120" w:after="120"/>
              <w:rPr>
                <w:rFonts w:cs="Arial"/>
                <w:sz w:val="16"/>
                <w:szCs w:val="16"/>
              </w:rPr>
            </w:pPr>
            <w:r w:rsidRPr="00251542">
              <w:rPr>
                <w:sz w:val="16"/>
              </w:rPr>
              <w:t>Concertation sur les dispositions liées à l</w:t>
            </w:r>
            <w:r w:rsidR="00A20444" w:rsidRPr="00251542">
              <w:rPr>
                <w:sz w:val="16"/>
              </w:rPr>
              <w:t>’</w:t>
            </w:r>
            <w:r w:rsidRPr="00251542">
              <w:rPr>
                <w:sz w:val="16"/>
              </w:rPr>
              <w:t>application des projets de lois relatives aux brevets, aux marques, aux dessins et modèles industriels, et au droit d</w:t>
            </w:r>
            <w:r w:rsidR="00A20444" w:rsidRPr="00251542">
              <w:rPr>
                <w:sz w:val="16"/>
              </w:rPr>
              <w:t>’</w:t>
            </w:r>
            <w:r w:rsidRPr="00251542">
              <w:rPr>
                <w:sz w:val="16"/>
              </w:rPr>
              <w:t>auteur.</w:t>
            </w:r>
          </w:p>
        </w:tc>
      </w:tr>
      <w:tr w:rsidR="004007D3" w:rsidRPr="00251542" w:rsidTr="0056083E">
        <w:tc>
          <w:tcPr>
            <w:tcW w:w="1873" w:type="dxa"/>
            <w:tcBorders>
              <w:bottom w:val="single" w:sz="4" w:space="0" w:color="000000"/>
            </w:tcBorders>
          </w:tcPr>
          <w:p w:rsidR="004007D3" w:rsidRPr="00251542" w:rsidRDefault="004007D3" w:rsidP="001A5BF9">
            <w:pPr>
              <w:spacing w:before="120" w:after="120"/>
              <w:rPr>
                <w:rFonts w:cs="Arial"/>
                <w:b/>
                <w:bCs/>
                <w:sz w:val="16"/>
                <w:szCs w:val="16"/>
              </w:rPr>
            </w:pPr>
            <w:r w:rsidRPr="00251542">
              <w:rPr>
                <w:sz w:val="16"/>
              </w:rPr>
              <w:t>Publication d</w:t>
            </w:r>
            <w:r w:rsidR="00A20444" w:rsidRPr="00251542">
              <w:rPr>
                <w:sz w:val="16"/>
              </w:rPr>
              <w:t>’</w:t>
            </w:r>
            <w:r w:rsidRPr="00251542">
              <w:rPr>
                <w:sz w:val="16"/>
              </w:rPr>
              <w:t>une étude sur l</w:t>
            </w:r>
            <w:r w:rsidR="00A20444" w:rsidRPr="00251542">
              <w:rPr>
                <w:sz w:val="16"/>
              </w:rPr>
              <w:t>’</w:t>
            </w:r>
            <w:r w:rsidRPr="00251542">
              <w:rPr>
                <w:sz w:val="16"/>
              </w:rPr>
              <w:t>adhésion au système de Madrid et son utilisation dans les pays sélectionnés</w:t>
            </w:r>
          </w:p>
        </w:tc>
        <w:tc>
          <w:tcPr>
            <w:tcW w:w="1134" w:type="dxa"/>
            <w:tcBorders>
              <w:bottom w:val="single" w:sz="4" w:space="0" w:color="000000"/>
            </w:tcBorders>
            <w:shd w:val="clear" w:color="auto" w:fill="auto"/>
            <w:tcMar>
              <w:top w:w="110" w:type="dxa"/>
            </w:tcMar>
          </w:tcPr>
          <w:p w:rsidR="004007D3" w:rsidRPr="007A524A" w:rsidRDefault="00812285" w:rsidP="001A5BF9">
            <w:pPr>
              <w:spacing w:before="120" w:after="120"/>
              <w:rPr>
                <w:rFonts w:cs="Arial"/>
                <w:bCs/>
                <w:sz w:val="16"/>
                <w:szCs w:val="16"/>
              </w:rPr>
            </w:pPr>
            <w:r w:rsidRPr="007A524A">
              <w:rPr>
                <w:sz w:val="16"/>
              </w:rPr>
              <w:t>a</w:t>
            </w:r>
            <w:r w:rsidR="00BD43F2" w:rsidRPr="007A524A">
              <w:rPr>
                <w:sz w:val="16"/>
              </w:rPr>
              <w:t>vril </w:t>
            </w:r>
            <w:r w:rsidR="004007D3" w:rsidRPr="007A524A">
              <w:rPr>
                <w:sz w:val="16"/>
              </w:rPr>
              <w:t>2013</w:t>
            </w:r>
          </w:p>
        </w:tc>
        <w:tc>
          <w:tcPr>
            <w:tcW w:w="1985" w:type="dxa"/>
            <w:gridSpan w:val="2"/>
            <w:tcBorders>
              <w:bottom w:val="single" w:sz="4" w:space="0" w:color="000000"/>
            </w:tcBorders>
            <w:shd w:val="clear" w:color="auto" w:fill="auto"/>
            <w:tcMar>
              <w:top w:w="110" w:type="dxa"/>
            </w:tcMar>
          </w:tcPr>
          <w:p w:rsidR="004007D3" w:rsidRPr="00251542" w:rsidRDefault="004007D3" w:rsidP="001A5BF9">
            <w:pPr>
              <w:spacing w:before="120" w:after="120"/>
              <w:rPr>
                <w:rFonts w:cs="Arial"/>
                <w:bCs/>
                <w:spacing w:val="-4"/>
                <w:sz w:val="16"/>
                <w:szCs w:val="16"/>
              </w:rPr>
            </w:pPr>
            <w:r w:rsidRPr="00251542">
              <w:rPr>
                <w:spacing w:val="-4"/>
                <w:sz w:val="16"/>
              </w:rPr>
              <w:t>Tous les États membres de l</w:t>
            </w:r>
            <w:r w:rsidR="00A20444" w:rsidRPr="00251542">
              <w:rPr>
                <w:spacing w:val="-4"/>
                <w:sz w:val="16"/>
              </w:rPr>
              <w:t>’</w:t>
            </w:r>
            <w:r w:rsidRPr="00251542">
              <w:rPr>
                <w:spacing w:val="-4"/>
                <w:sz w:val="16"/>
              </w:rPr>
              <w:t>OMPI</w:t>
            </w:r>
          </w:p>
        </w:tc>
        <w:tc>
          <w:tcPr>
            <w:tcW w:w="4110" w:type="dxa"/>
            <w:tcBorders>
              <w:bottom w:val="single" w:sz="4" w:space="0" w:color="000000"/>
            </w:tcBorders>
            <w:shd w:val="clear" w:color="auto" w:fill="FFFFFF"/>
            <w:tcMar>
              <w:top w:w="110" w:type="dxa"/>
            </w:tcMar>
          </w:tcPr>
          <w:p w:rsidR="004007D3" w:rsidRPr="00251542" w:rsidRDefault="004007D3" w:rsidP="001A5BF9">
            <w:pPr>
              <w:spacing w:before="120" w:after="120"/>
              <w:rPr>
                <w:rFonts w:cs="Arial"/>
                <w:b/>
                <w:bCs/>
                <w:sz w:val="16"/>
                <w:szCs w:val="16"/>
              </w:rPr>
            </w:pPr>
            <w:r w:rsidRPr="00251542">
              <w:rPr>
                <w:sz w:val="16"/>
              </w:rPr>
              <w:t>L</w:t>
            </w:r>
            <w:r w:rsidR="00A20444" w:rsidRPr="00251542">
              <w:rPr>
                <w:sz w:val="16"/>
              </w:rPr>
              <w:t>’</w:t>
            </w:r>
            <w:r w:rsidRPr="00251542">
              <w:rPr>
                <w:sz w:val="16"/>
              </w:rPr>
              <w:t>étude traite des questions entrant en jeu dans l</w:t>
            </w:r>
            <w:r w:rsidR="00A20444" w:rsidRPr="00251542">
              <w:rPr>
                <w:sz w:val="16"/>
              </w:rPr>
              <w:t>’</w:t>
            </w:r>
            <w:r w:rsidRPr="00251542">
              <w:rPr>
                <w:sz w:val="16"/>
              </w:rPr>
              <w:t>adhésion au système de Madrid et son utilisation dans cinq</w:t>
            </w:r>
            <w:r w:rsidR="0010442A" w:rsidRPr="00251542">
              <w:rPr>
                <w:sz w:val="16"/>
              </w:rPr>
              <w:t> </w:t>
            </w:r>
            <w:r w:rsidRPr="00251542">
              <w:rPr>
                <w:sz w:val="16"/>
              </w:rPr>
              <w:t xml:space="preserve">pays (Mongolie, République de Corée, Turquie, Singapour et Viet Nam). </w:t>
            </w:r>
            <w:r w:rsidR="0010442A" w:rsidRPr="00251542">
              <w:rPr>
                <w:sz w:val="16"/>
              </w:rPr>
              <w:t xml:space="preserve"> </w:t>
            </w:r>
          </w:p>
        </w:tc>
      </w:tr>
      <w:tr w:rsidR="004007D3" w:rsidRPr="00251542" w:rsidTr="0056083E">
        <w:tc>
          <w:tcPr>
            <w:tcW w:w="9102" w:type="dxa"/>
            <w:gridSpan w:val="5"/>
            <w:tcBorders>
              <w:top w:val="single" w:sz="4" w:space="0" w:color="000000"/>
              <w:bottom w:val="single" w:sz="4" w:space="0" w:color="000000"/>
            </w:tcBorders>
            <w:shd w:val="clear" w:color="auto" w:fill="CCFFFF"/>
            <w:vAlign w:val="center"/>
          </w:tcPr>
          <w:p w:rsidR="004007D3" w:rsidRPr="00251542" w:rsidRDefault="004007D3" w:rsidP="001A5BF9">
            <w:pPr>
              <w:keepNext/>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Politiques, stratégies et plans de développement nationaux clairement définis et cohérents en matière d</w:t>
            </w:r>
            <w:r w:rsidR="00A20444" w:rsidRPr="007A524A">
              <w:rPr>
                <w:sz w:val="16"/>
              </w:rPr>
              <w:t>’</w:t>
            </w:r>
            <w:r w:rsidRPr="007A524A">
              <w:rPr>
                <w:sz w:val="16"/>
              </w:rPr>
              <w:t>innovation et de propriété intellectuelle, conformes aux objectifs et aux priorités de développement à l</w:t>
            </w:r>
            <w:r w:rsidR="00A20444" w:rsidRPr="007A524A">
              <w:rPr>
                <w:sz w:val="16"/>
              </w:rPr>
              <w:t>’</w:t>
            </w:r>
            <w:r w:rsidRPr="007A524A">
              <w:rPr>
                <w:sz w:val="16"/>
              </w:rPr>
              <w:t>échelle nationale</w:t>
            </w:r>
          </w:p>
        </w:tc>
      </w:tr>
      <w:tr w:rsidR="004007D3" w:rsidRPr="007A524A" w:rsidTr="0056083E">
        <w:tc>
          <w:tcPr>
            <w:tcW w:w="1873" w:type="dxa"/>
            <w:tcBorders>
              <w:top w:val="single" w:sz="4" w:space="0" w:color="000000"/>
            </w:tcBorders>
            <w:vAlign w:val="center"/>
          </w:tcPr>
          <w:p w:rsidR="004007D3" w:rsidRPr="007A524A" w:rsidRDefault="004007D3" w:rsidP="001A5BF9">
            <w:pPr>
              <w:keepNext/>
              <w:rPr>
                <w:rFonts w:cs="Arial"/>
                <w:b/>
                <w:bCs/>
                <w:sz w:val="16"/>
                <w:szCs w:val="16"/>
              </w:rPr>
            </w:pPr>
            <w:r w:rsidRPr="007A524A">
              <w:rPr>
                <w:b/>
                <w:sz w:val="16"/>
              </w:rPr>
              <w:t>Activité</w:t>
            </w:r>
          </w:p>
        </w:tc>
        <w:tc>
          <w:tcPr>
            <w:tcW w:w="1134" w:type="dxa"/>
            <w:tcBorders>
              <w:top w:val="single" w:sz="4" w:space="0" w:color="000000"/>
            </w:tcBorders>
            <w:shd w:val="clear" w:color="auto" w:fill="auto"/>
            <w:tcMar>
              <w:top w:w="110" w:type="dxa"/>
            </w:tcMar>
            <w:vAlign w:val="center"/>
          </w:tcPr>
          <w:p w:rsidR="004007D3" w:rsidRPr="007A524A" w:rsidRDefault="004007D3" w:rsidP="001A5BF9">
            <w:pPr>
              <w:keepNext/>
              <w:rPr>
                <w:rFonts w:cs="Arial"/>
                <w:b/>
                <w:sz w:val="16"/>
                <w:szCs w:val="16"/>
              </w:rPr>
            </w:pPr>
            <w:r w:rsidRPr="007A524A">
              <w:rPr>
                <w:b/>
                <w:sz w:val="16"/>
              </w:rPr>
              <w:t>Date :</w:t>
            </w:r>
          </w:p>
        </w:tc>
        <w:tc>
          <w:tcPr>
            <w:tcW w:w="1985" w:type="dxa"/>
            <w:gridSpan w:val="2"/>
            <w:tcBorders>
              <w:top w:val="single" w:sz="4" w:space="0" w:color="000000"/>
            </w:tcBorders>
            <w:shd w:val="clear" w:color="auto" w:fill="auto"/>
            <w:tcMar>
              <w:top w:w="110" w:type="dxa"/>
            </w:tcMar>
            <w:vAlign w:val="center"/>
          </w:tcPr>
          <w:p w:rsidR="004007D3" w:rsidRPr="007A524A" w:rsidRDefault="004007D3" w:rsidP="001A5BF9">
            <w:pPr>
              <w:keepNext/>
              <w:rPr>
                <w:rFonts w:cs="Arial"/>
                <w:b/>
                <w:sz w:val="16"/>
                <w:szCs w:val="16"/>
              </w:rPr>
            </w:pPr>
            <w:r w:rsidRPr="007A524A">
              <w:rPr>
                <w:b/>
                <w:sz w:val="16"/>
              </w:rPr>
              <w:t>Pays hôte/bénéficiaire</w:t>
            </w:r>
          </w:p>
        </w:tc>
        <w:tc>
          <w:tcPr>
            <w:tcW w:w="4110" w:type="dxa"/>
            <w:tcBorders>
              <w:top w:val="single" w:sz="4" w:space="0" w:color="000000"/>
            </w:tcBorders>
            <w:shd w:val="clear" w:color="auto" w:fill="FFFFFF"/>
            <w:tcMar>
              <w:top w:w="110" w:type="dxa"/>
            </w:tcMar>
            <w:vAlign w:val="center"/>
          </w:tcPr>
          <w:p w:rsidR="004007D3" w:rsidRPr="007A524A" w:rsidRDefault="004007D3" w:rsidP="001A5BF9">
            <w:pPr>
              <w:keepNext/>
              <w:rPr>
                <w:rFonts w:cs="Arial"/>
                <w:b/>
                <w:sz w:val="16"/>
                <w:szCs w:val="16"/>
              </w:rPr>
            </w:pPr>
            <w:r w:rsidRPr="007A524A">
              <w:rPr>
                <w:b/>
                <w:sz w:val="16"/>
              </w:rPr>
              <w:t>Objectif(s)/description(s)</w:t>
            </w:r>
          </w:p>
        </w:tc>
      </w:tr>
      <w:tr w:rsidR="004007D3" w:rsidRPr="00251542" w:rsidTr="0056083E">
        <w:tc>
          <w:tcPr>
            <w:tcW w:w="1873"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Visite d</w:t>
            </w:r>
            <w:r w:rsidR="00A20444" w:rsidRPr="00251542">
              <w:rPr>
                <w:sz w:val="16"/>
              </w:rPr>
              <w:t>’</w:t>
            </w:r>
            <w:r w:rsidRPr="00251542">
              <w:rPr>
                <w:sz w:val="16"/>
              </w:rPr>
              <w:t>étude</w:t>
            </w:r>
          </w:p>
        </w:tc>
        <w:tc>
          <w:tcPr>
            <w:tcW w:w="1134" w:type="dxa"/>
            <w:tcBorders>
              <w:bottom w:val="single" w:sz="4" w:space="0" w:color="000000"/>
            </w:tcBorders>
          </w:tcPr>
          <w:p w:rsidR="004007D3" w:rsidRPr="00251542" w:rsidRDefault="00812285" w:rsidP="001A5BF9">
            <w:pPr>
              <w:autoSpaceDE w:val="0"/>
              <w:autoSpaceDN w:val="0"/>
              <w:adjustRightInd w:val="0"/>
              <w:spacing w:before="120" w:after="120"/>
              <w:rPr>
                <w:rFonts w:cs="Arial"/>
                <w:sz w:val="16"/>
                <w:szCs w:val="16"/>
              </w:rPr>
            </w:pPr>
            <w:r>
              <w:rPr>
                <w:sz w:val="16"/>
              </w:rPr>
              <w:t>d</w:t>
            </w:r>
            <w:r w:rsidR="004007D3" w:rsidRPr="00251542">
              <w:rPr>
                <w:sz w:val="16"/>
              </w:rPr>
              <w:t>u 26 au 29 août 2013</w:t>
            </w:r>
          </w:p>
        </w:tc>
        <w:tc>
          <w:tcPr>
            <w:tcW w:w="1985" w:type="dxa"/>
            <w:gridSpan w:val="2"/>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République de Corée/Myanmar</w:t>
            </w:r>
          </w:p>
        </w:tc>
        <w:tc>
          <w:tcPr>
            <w:tcW w:w="4110" w:type="dxa"/>
            <w:tcBorders>
              <w:bottom w:val="single" w:sz="4" w:space="0" w:color="000000"/>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S</w:t>
            </w:r>
            <w:r w:rsidR="00A20444" w:rsidRPr="00251542">
              <w:rPr>
                <w:sz w:val="16"/>
              </w:rPr>
              <w:t>’</w:t>
            </w:r>
            <w:r w:rsidRPr="00251542">
              <w:rPr>
                <w:sz w:val="16"/>
              </w:rPr>
              <w:t>instruire de l</w:t>
            </w:r>
            <w:r w:rsidR="00A20444" w:rsidRPr="00251542">
              <w:rPr>
                <w:sz w:val="16"/>
              </w:rPr>
              <w:t>’</w:t>
            </w:r>
            <w:r w:rsidRPr="00251542">
              <w:rPr>
                <w:sz w:val="16"/>
              </w:rPr>
              <w:t>expérience de la Corée dans la prestation de services de conseil et d</w:t>
            </w:r>
            <w:r w:rsidR="00A20444" w:rsidRPr="00251542">
              <w:rPr>
                <w:sz w:val="16"/>
              </w:rPr>
              <w:t>’</w:t>
            </w:r>
            <w:r w:rsidRPr="00251542">
              <w:rPr>
                <w:sz w:val="16"/>
              </w:rPr>
              <w:t>information en matière de propriété intellectuelle et dans la promotion d</w:t>
            </w:r>
            <w:r w:rsidR="00A20444" w:rsidRPr="00251542">
              <w:rPr>
                <w:sz w:val="16"/>
              </w:rPr>
              <w:t>’</w:t>
            </w:r>
            <w:r w:rsidRPr="00251542">
              <w:rPr>
                <w:sz w:val="16"/>
              </w:rPr>
              <w:t xml:space="preserve">une utilisation efficace de la propriété intellectuelle par la communauté des affaires. </w:t>
            </w:r>
            <w:r w:rsidR="0010442A" w:rsidRPr="00251542">
              <w:rPr>
                <w:sz w:val="16"/>
              </w:rPr>
              <w:t xml:space="preserve"> </w:t>
            </w:r>
            <w:r w:rsidRPr="00251542">
              <w:rPr>
                <w:sz w:val="16"/>
              </w:rPr>
              <w:t>La délégation du Myanmar, composée de fonctionnaires de l</w:t>
            </w:r>
            <w:r w:rsidR="00A20444" w:rsidRPr="00251542">
              <w:rPr>
                <w:sz w:val="16"/>
              </w:rPr>
              <w:t>’</w:t>
            </w:r>
            <w:proofErr w:type="spellStart"/>
            <w:r w:rsidRPr="00251542">
              <w:rPr>
                <w:sz w:val="16"/>
              </w:rPr>
              <w:t>UMFCCI</w:t>
            </w:r>
            <w:proofErr w:type="spellEnd"/>
            <w:r w:rsidRPr="00251542">
              <w:rPr>
                <w:sz w:val="16"/>
              </w:rPr>
              <w:t xml:space="preserve"> et du Ministère des sciences et des technologies, a visité </w:t>
            </w:r>
            <w:proofErr w:type="spellStart"/>
            <w:r w:rsidRPr="00251542">
              <w:rPr>
                <w:sz w:val="16"/>
              </w:rPr>
              <w:t>Daejeon</w:t>
            </w:r>
            <w:proofErr w:type="spellEnd"/>
            <w:r w:rsidRPr="00251542">
              <w:rPr>
                <w:sz w:val="16"/>
              </w:rPr>
              <w:t xml:space="preserve"> et Séoul en République de Corée</w:t>
            </w:r>
          </w:p>
        </w:tc>
      </w:tr>
      <w:tr w:rsidR="004007D3" w:rsidRPr="00251542" w:rsidTr="0056083E">
        <w:tc>
          <w:tcPr>
            <w:tcW w:w="9102" w:type="dxa"/>
            <w:gridSpan w:val="5"/>
            <w:tcBorders>
              <w:top w:val="single" w:sz="4" w:space="0" w:color="000000"/>
              <w:bottom w:val="single" w:sz="4" w:space="0" w:color="000000"/>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Renforcement des ressources humaines en vue de satisfaire un large éventail de besoins et d</w:t>
            </w:r>
            <w:r w:rsidR="00A20444" w:rsidRPr="007A524A">
              <w:rPr>
                <w:sz w:val="16"/>
              </w:rPr>
              <w:t>’</w:t>
            </w:r>
            <w:r w:rsidRPr="007A524A">
              <w:rPr>
                <w:sz w:val="16"/>
              </w:rPr>
              <w:t>utiliser efficacement la propriété intellectuelle au service du développement</w:t>
            </w:r>
          </w:p>
        </w:tc>
      </w:tr>
      <w:tr w:rsidR="004007D3" w:rsidRPr="007A524A" w:rsidTr="0056083E">
        <w:tc>
          <w:tcPr>
            <w:tcW w:w="1873" w:type="dxa"/>
            <w:tcBorders>
              <w:top w:val="single" w:sz="4" w:space="0" w:color="000000"/>
            </w:tcBorders>
            <w:vAlign w:val="center"/>
          </w:tcPr>
          <w:p w:rsidR="004007D3" w:rsidRPr="007A524A" w:rsidRDefault="004007D3" w:rsidP="001A5BF9">
            <w:pPr>
              <w:keepNext/>
              <w:keepLines/>
              <w:rPr>
                <w:rFonts w:cs="Arial"/>
                <w:b/>
                <w:bCs/>
                <w:sz w:val="16"/>
                <w:szCs w:val="16"/>
              </w:rPr>
            </w:pPr>
            <w:r w:rsidRPr="007A524A">
              <w:rPr>
                <w:b/>
                <w:sz w:val="16"/>
              </w:rPr>
              <w:t>Activité</w:t>
            </w:r>
          </w:p>
        </w:tc>
        <w:tc>
          <w:tcPr>
            <w:tcW w:w="1134" w:type="dxa"/>
            <w:tcBorders>
              <w:top w:val="single" w:sz="4" w:space="0" w:color="000000"/>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Date :</w:t>
            </w:r>
          </w:p>
        </w:tc>
        <w:tc>
          <w:tcPr>
            <w:tcW w:w="1985" w:type="dxa"/>
            <w:gridSpan w:val="2"/>
            <w:tcBorders>
              <w:top w:val="single" w:sz="4" w:space="0" w:color="000000"/>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Pays hôte/bénéficiaire</w:t>
            </w:r>
          </w:p>
        </w:tc>
        <w:tc>
          <w:tcPr>
            <w:tcW w:w="4110" w:type="dxa"/>
            <w:tcBorders>
              <w:top w:val="single" w:sz="4" w:space="0" w:color="000000"/>
            </w:tcBorders>
            <w:shd w:val="clear" w:color="auto" w:fill="FFFFFF"/>
            <w:tcMar>
              <w:top w:w="110" w:type="dxa"/>
            </w:tcMar>
            <w:vAlign w:val="center"/>
          </w:tcPr>
          <w:p w:rsidR="004007D3" w:rsidRPr="007A524A" w:rsidRDefault="004007D3" w:rsidP="001A5BF9">
            <w:pPr>
              <w:keepNext/>
              <w:keepLines/>
              <w:rPr>
                <w:rFonts w:cs="Arial"/>
                <w:b/>
                <w:sz w:val="16"/>
                <w:szCs w:val="16"/>
              </w:rPr>
            </w:pPr>
            <w:r w:rsidRPr="007A524A">
              <w:rPr>
                <w:b/>
                <w:sz w:val="16"/>
              </w:rPr>
              <w:t>Objectif(s)/description(s)</w:t>
            </w:r>
          </w:p>
        </w:tc>
      </w:tr>
      <w:tr w:rsidR="004007D3" w:rsidRPr="00251542" w:rsidTr="0056083E">
        <w:tc>
          <w:tcPr>
            <w:tcW w:w="1873" w:type="dxa"/>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Atelier sur le droit et l</w:t>
            </w:r>
            <w:r w:rsidR="00A20444" w:rsidRPr="00251542">
              <w:rPr>
                <w:sz w:val="16"/>
              </w:rPr>
              <w:t>’</w:t>
            </w:r>
            <w:r w:rsidRPr="00251542">
              <w:rPr>
                <w:sz w:val="16"/>
              </w:rPr>
              <w:t xml:space="preserve">examen des brevets </w:t>
            </w:r>
          </w:p>
        </w:tc>
        <w:tc>
          <w:tcPr>
            <w:tcW w:w="1134" w:type="dxa"/>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5</w:t>
            </w:r>
            <w:r w:rsidR="002D6F2A" w:rsidRPr="00251542">
              <w:rPr>
                <w:sz w:val="16"/>
              </w:rPr>
              <w:noBreakHyphen/>
            </w:r>
            <w:r w:rsidRPr="00251542">
              <w:rPr>
                <w:sz w:val="16"/>
              </w:rPr>
              <w:t>14 mars </w:t>
            </w:r>
            <w:r w:rsidR="00385904" w:rsidRPr="00251542">
              <w:rPr>
                <w:sz w:val="16"/>
              </w:rPr>
              <w:br/>
            </w:r>
            <w:r w:rsidRPr="00251542">
              <w:rPr>
                <w:sz w:val="16"/>
              </w:rPr>
              <w:t>2013</w:t>
            </w:r>
          </w:p>
        </w:tc>
        <w:tc>
          <w:tcPr>
            <w:tcW w:w="1985" w:type="dxa"/>
            <w:gridSpan w:val="2"/>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République de Corée/15 examinateurs de brevets de 11 pays</w:t>
            </w:r>
          </w:p>
        </w:tc>
        <w:tc>
          <w:tcPr>
            <w:tcW w:w="4110" w:type="dxa"/>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Donner une vue d</w:t>
            </w:r>
            <w:r w:rsidR="00A20444" w:rsidRPr="00251542">
              <w:rPr>
                <w:sz w:val="16"/>
              </w:rPr>
              <w:t>’</w:t>
            </w:r>
            <w:r w:rsidRPr="00251542">
              <w:rPr>
                <w:sz w:val="16"/>
              </w:rPr>
              <w:t>ensemble et une explication du système mondial des brevets, des principes du droit des brevets et des procédures d</w:t>
            </w:r>
            <w:r w:rsidR="00A20444" w:rsidRPr="00251542">
              <w:rPr>
                <w:sz w:val="16"/>
              </w:rPr>
              <w:t>’</w:t>
            </w:r>
            <w:r w:rsidRPr="00251542">
              <w:rPr>
                <w:sz w:val="16"/>
              </w:rPr>
              <w:t>examen</w:t>
            </w:r>
          </w:p>
        </w:tc>
      </w:tr>
      <w:tr w:rsidR="004007D3" w:rsidRPr="00251542" w:rsidTr="0056083E">
        <w:tc>
          <w:tcPr>
            <w:tcW w:w="1873" w:type="dxa"/>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Atelier sur le droit et l</w:t>
            </w:r>
            <w:r w:rsidR="00A20444" w:rsidRPr="00251542">
              <w:rPr>
                <w:sz w:val="16"/>
              </w:rPr>
              <w:t>’</w:t>
            </w:r>
            <w:r w:rsidRPr="00251542">
              <w:rPr>
                <w:sz w:val="16"/>
              </w:rPr>
              <w:t>examen des brevets</w:t>
            </w:r>
          </w:p>
        </w:tc>
        <w:tc>
          <w:tcPr>
            <w:tcW w:w="1134" w:type="dxa"/>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17 – 26 avril </w:t>
            </w:r>
            <w:r w:rsidR="00385904" w:rsidRPr="00251542">
              <w:rPr>
                <w:sz w:val="16"/>
              </w:rPr>
              <w:br/>
            </w:r>
            <w:r w:rsidRPr="00251542">
              <w:rPr>
                <w:sz w:val="16"/>
              </w:rPr>
              <w:t>2013</w:t>
            </w:r>
          </w:p>
        </w:tc>
        <w:tc>
          <w:tcPr>
            <w:tcW w:w="1985" w:type="dxa"/>
            <w:gridSpan w:val="2"/>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République de Corée/18 examinateurs de marques de 12 pays</w:t>
            </w:r>
          </w:p>
        </w:tc>
        <w:tc>
          <w:tcPr>
            <w:tcW w:w="4110" w:type="dxa"/>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Fournir un aperçu et une explication des principes du droit des marques et des procédures d</w:t>
            </w:r>
            <w:r w:rsidR="00A20444" w:rsidRPr="00251542">
              <w:rPr>
                <w:sz w:val="16"/>
              </w:rPr>
              <w:t>’</w:t>
            </w:r>
            <w:r w:rsidRPr="00251542">
              <w:rPr>
                <w:sz w:val="16"/>
              </w:rPr>
              <w:t>examen ainsi que du système de Madrid</w:t>
            </w:r>
          </w:p>
        </w:tc>
      </w:tr>
      <w:tr w:rsidR="004007D3" w:rsidRPr="00251542" w:rsidTr="0056083E">
        <w:tc>
          <w:tcPr>
            <w:tcW w:w="187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Atelier sur le droit et l</w:t>
            </w:r>
            <w:r w:rsidR="00A20444" w:rsidRPr="00251542">
              <w:rPr>
                <w:sz w:val="16"/>
              </w:rPr>
              <w:t>’</w:t>
            </w:r>
            <w:r w:rsidRPr="00251542">
              <w:rPr>
                <w:sz w:val="16"/>
              </w:rPr>
              <w:t xml:space="preserve">examen des dessins et modèles industriels </w:t>
            </w:r>
          </w:p>
        </w:tc>
        <w:tc>
          <w:tcPr>
            <w:tcW w:w="1134"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11</w:t>
            </w:r>
            <w:r w:rsidR="002D6F2A" w:rsidRPr="00251542">
              <w:rPr>
                <w:sz w:val="16"/>
              </w:rPr>
              <w:noBreakHyphen/>
            </w:r>
            <w:r w:rsidRPr="00251542">
              <w:rPr>
                <w:sz w:val="16"/>
              </w:rPr>
              <w:t>14 mars </w:t>
            </w:r>
            <w:r w:rsidR="00385904" w:rsidRPr="00251542">
              <w:rPr>
                <w:sz w:val="16"/>
              </w:rPr>
              <w:br/>
            </w:r>
            <w:r w:rsidRPr="00251542">
              <w:rPr>
                <w:sz w:val="16"/>
              </w:rPr>
              <w:t>2013</w:t>
            </w:r>
          </w:p>
        </w:tc>
        <w:tc>
          <w:tcPr>
            <w:tcW w:w="1985" w:type="dxa"/>
            <w:gridSpan w:val="2"/>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République de Corée/14 examinateurs de marques de 14 pays</w:t>
            </w:r>
          </w:p>
        </w:tc>
        <w:tc>
          <w:tcPr>
            <w:tcW w:w="4110" w:type="dxa"/>
          </w:tcPr>
          <w:p w:rsidR="004007D3" w:rsidRPr="00251542" w:rsidRDefault="007A524A" w:rsidP="007A524A">
            <w:pPr>
              <w:autoSpaceDE w:val="0"/>
              <w:autoSpaceDN w:val="0"/>
              <w:adjustRightInd w:val="0"/>
              <w:spacing w:before="120" w:after="120"/>
              <w:rPr>
                <w:rFonts w:cs="Arial"/>
                <w:sz w:val="16"/>
                <w:szCs w:val="16"/>
              </w:rPr>
            </w:pPr>
            <w:r>
              <w:rPr>
                <w:sz w:val="16"/>
              </w:rPr>
              <w:t>Ren</w:t>
            </w:r>
            <w:r w:rsidR="004007D3" w:rsidRPr="00251542">
              <w:rPr>
                <w:sz w:val="16"/>
              </w:rPr>
              <w:t>forcer la capacité des pays sélectionnés à entreprendre un examen des dessins et modèles industriels et élargir leur compréhension des évolutions en cours dans le domaine des dessins et modèles industriels</w:t>
            </w:r>
          </w:p>
        </w:tc>
      </w:tr>
      <w:tr w:rsidR="004007D3" w:rsidRPr="00251542" w:rsidTr="0056083E">
        <w:trPr>
          <w:trHeight w:val="487"/>
        </w:trPr>
        <w:tc>
          <w:tcPr>
            <w:tcW w:w="187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Production d</w:t>
            </w:r>
            <w:r w:rsidR="00A20444" w:rsidRPr="00251542">
              <w:rPr>
                <w:sz w:val="16"/>
              </w:rPr>
              <w:t>’</w:t>
            </w:r>
            <w:r w:rsidRPr="00251542">
              <w:rPr>
                <w:sz w:val="16"/>
              </w:rPr>
              <w:t>un support pédagogique concernant la propriété intellectuelle</w:t>
            </w:r>
          </w:p>
        </w:tc>
        <w:tc>
          <w:tcPr>
            <w:tcW w:w="1134" w:type="dxa"/>
          </w:tcPr>
          <w:p w:rsidR="004007D3" w:rsidRPr="00251542" w:rsidRDefault="00812285" w:rsidP="001A5BF9">
            <w:pPr>
              <w:autoSpaceDE w:val="0"/>
              <w:autoSpaceDN w:val="0"/>
              <w:adjustRightInd w:val="0"/>
              <w:spacing w:before="120" w:after="120"/>
              <w:rPr>
                <w:rFonts w:cs="Arial"/>
                <w:sz w:val="16"/>
                <w:szCs w:val="16"/>
              </w:rPr>
            </w:pPr>
            <w:r>
              <w:rPr>
                <w:sz w:val="16"/>
              </w:rPr>
              <w:t>a</w:t>
            </w:r>
            <w:r w:rsidR="004007D3" w:rsidRPr="00251542">
              <w:rPr>
                <w:sz w:val="16"/>
              </w:rPr>
              <w:t>oût 2013 (lancement)</w:t>
            </w:r>
          </w:p>
        </w:tc>
        <w:tc>
          <w:tcPr>
            <w:tcW w:w="1985" w:type="dxa"/>
            <w:gridSpan w:val="2"/>
          </w:tcPr>
          <w:p w:rsidR="004007D3" w:rsidRPr="00251542" w:rsidRDefault="004007D3" w:rsidP="001A5BF9">
            <w:pPr>
              <w:autoSpaceDE w:val="0"/>
              <w:autoSpaceDN w:val="0"/>
              <w:adjustRightInd w:val="0"/>
              <w:spacing w:before="120" w:after="120"/>
              <w:rPr>
                <w:rFonts w:cs="Arial"/>
                <w:spacing w:val="-2"/>
                <w:sz w:val="16"/>
                <w:szCs w:val="16"/>
              </w:rPr>
            </w:pPr>
            <w:r w:rsidRPr="00251542">
              <w:rPr>
                <w:spacing w:val="-2"/>
                <w:sz w:val="16"/>
              </w:rPr>
              <w:t>Tous les États membres de l</w:t>
            </w:r>
            <w:r w:rsidR="00A20444" w:rsidRPr="00251542">
              <w:rPr>
                <w:spacing w:val="-2"/>
                <w:sz w:val="16"/>
              </w:rPr>
              <w:t>’</w:t>
            </w:r>
            <w:r w:rsidRPr="00251542">
              <w:rPr>
                <w:spacing w:val="-2"/>
                <w:sz w:val="16"/>
              </w:rPr>
              <w:t>OMPI</w:t>
            </w:r>
          </w:p>
        </w:tc>
        <w:tc>
          <w:tcPr>
            <w:tcW w:w="4110" w:type="dxa"/>
          </w:tcPr>
          <w:p w:rsidR="004007D3" w:rsidRPr="007A524A" w:rsidRDefault="004007D3" w:rsidP="007A524A">
            <w:pPr>
              <w:autoSpaceDE w:val="0"/>
              <w:autoSpaceDN w:val="0"/>
              <w:adjustRightInd w:val="0"/>
              <w:spacing w:before="120" w:after="120"/>
              <w:rPr>
                <w:rFonts w:cs="Arial"/>
                <w:spacing w:val="-2"/>
                <w:sz w:val="16"/>
                <w:szCs w:val="16"/>
              </w:rPr>
            </w:pPr>
            <w:r w:rsidRPr="007A524A">
              <w:rPr>
                <w:spacing w:val="-2"/>
                <w:sz w:val="16"/>
              </w:rPr>
              <w:t>i) </w:t>
            </w:r>
            <w:r w:rsidR="007A524A" w:rsidRPr="007A524A">
              <w:rPr>
                <w:spacing w:val="-2"/>
                <w:sz w:val="16"/>
              </w:rPr>
              <w:t>C</w:t>
            </w:r>
            <w:r w:rsidRPr="007A524A">
              <w:rPr>
                <w:spacing w:val="-2"/>
                <w:sz w:val="16"/>
              </w:rPr>
              <w:t>oncevoir un support pédagogique concernant la propriété intellectuelle, d</w:t>
            </w:r>
            <w:r w:rsidR="00A20444" w:rsidRPr="007A524A">
              <w:rPr>
                <w:spacing w:val="-2"/>
                <w:sz w:val="16"/>
              </w:rPr>
              <w:t>’</w:t>
            </w:r>
            <w:r w:rsidRPr="007A524A">
              <w:rPr>
                <w:spacing w:val="-2"/>
                <w:sz w:val="16"/>
              </w:rPr>
              <w:t>accès facile pour des non</w:t>
            </w:r>
            <w:r w:rsidR="002D6F2A" w:rsidRPr="007A524A">
              <w:rPr>
                <w:spacing w:val="-2"/>
                <w:sz w:val="16"/>
              </w:rPr>
              <w:noBreakHyphen/>
            </w:r>
            <w:r w:rsidRPr="007A524A">
              <w:rPr>
                <w:spacing w:val="-2"/>
                <w:sz w:val="16"/>
              </w:rPr>
              <w:t>spécialistes de la propriété intellectuelle;</w:t>
            </w:r>
            <w:r w:rsidR="004F3E42" w:rsidRPr="007A524A">
              <w:rPr>
                <w:spacing w:val="-2"/>
                <w:sz w:val="16"/>
              </w:rPr>
              <w:t xml:space="preserve"> </w:t>
            </w:r>
            <w:r w:rsidR="0010442A" w:rsidRPr="007A524A">
              <w:rPr>
                <w:spacing w:val="-2"/>
                <w:sz w:val="16"/>
              </w:rPr>
              <w:t xml:space="preserve"> </w:t>
            </w:r>
            <w:r w:rsidRPr="007A524A">
              <w:rPr>
                <w:spacing w:val="-2"/>
                <w:sz w:val="16"/>
              </w:rPr>
              <w:t>ii) augmenter l</w:t>
            </w:r>
            <w:r w:rsidR="00A20444" w:rsidRPr="007A524A">
              <w:rPr>
                <w:spacing w:val="-2"/>
                <w:sz w:val="16"/>
              </w:rPr>
              <w:t>’</w:t>
            </w:r>
            <w:r w:rsidRPr="007A524A">
              <w:rPr>
                <w:spacing w:val="-2"/>
                <w:sz w:val="16"/>
              </w:rPr>
              <w:t>intérêt du public sur des sujets de propriété intellectuelle;</w:t>
            </w:r>
            <w:r w:rsidR="0010442A" w:rsidRPr="007A524A">
              <w:rPr>
                <w:spacing w:val="-2"/>
                <w:sz w:val="16"/>
              </w:rPr>
              <w:t xml:space="preserve"> </w:t>
            </w:r>
            <w:r w:rsidR="004F3E42" w:rsidRPr="007A524A">
              <w:rPr>
                <w:spacing w:val="-2"/>
                <w:sz w:val="16"/>
              </w:rPr>
              <w:t xml:space="preserve"> </w:t>
            </w:r>
            <w:r w:rsidRPr="007A524A">
              <w:rPr>
                <w:spacing w:val="-2"/>
                <w:sz w:val="16"/>
              </w:rPr>
              <w:t xml:space="preserve">et iii) aider les écoles et autres établissements éducatifs à élaborer des cours favorisant la créativité. </w:t>
            </w:r>
            <w:r w:rsidR="0010442A" w:rsidRPr="007A524A">
              <w:rPr>
                <w:spacing w:val="-2"/>
                <w:sz w:val="16"/>
              </w:rPr>
              <w:t xml:space="preserve"> </w:t>
            </w:r>
            <w:r w:rsidRPr="007A524A">
              <w:rPr>
                <w:spacing w:val="-2"/>
                <w:sz w:val="16"/>
              </w:rPr>
              <w:t>Le support pédagogique inclurait des activités et des exercices que les étudiants du secondaire pourraient être encouragés à entreprendre afin de mieux saisir les concepts de base touchant à la créativité, à l</w:t>
            </w:r>
            <w:r w:rsidR="00A20444" w:rsidRPr="007A524A">
              <w:rPr>
                <w:spacing w:val="-2"/>
                <w:sz w:val="16"/>
              </w:rPr>
              <w:t>’</w:t>
            </w:r>
            <w:r w:rsidRPr="007A524A">
              <w:rPr>
                <w:spacing w:val="-2"/>
                <w:sz w:val="16"/>
              </w:rPr>
              <w:t>inventivité et à la propriété intellectuelle</w:t>
            </w:r>
          </w:p>
        </w:tc>
      </w:tr>
      <w:tr w:rsidR="004007D3" w:rsidRPr="00251542" w:rsidTr="0056083E">
        <w:trPr>
          <w:trHeight w:val="487"/>
        </w:trPr>
        <w:tc>
          <w:tcPr>
            <w:tcW w:w="1873"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Production d</w:t>
            </w:r>
            <w:r w:rsidR="00A20444" w:rsidRPr="00251542">
              <w:rPr>
                <w:sz w:val="16"/>
              </w:rPr>
              <w:t>’</w:t>
            </w:r>
            <w:r w:rsidRPr="00251542">
              <w:rPr>
                <w:sz w:val="16"/>
              </w:rPr>
              <w:t>un guide éducatif sur la propriété intellectuelle</w:t>
            </w:r>
          </w:p>
        </w:tc>
        <w:tc>
          <w:tcPr>
            <w:tcW w:w="1134" w:type="dxa"/>
          </w:tcPr>
          <w:p w:rsidR="004007D3" w:rsidRPr="00251542" w:rsidRDefault="00812285" w:rsidP="001A5BF9">
            <w:pPr>
              <w:autoSpaceDE w:val="0"/>
              <w:autoSpaceDN w:val="0"/>
              <w:adjustRightInd w:val="0"/>
              <w:spacing w:before="120" w:after="120"/>
              <w:rPr>
                <w:rFonts w:cs="Arial"/>
                <w:sz w:val="16"/>
                <w:szCs w:val="16"/>
              </w:rPr>
            </w:pPr>
            <w:r>
              <w:rPr>
                <w:sz w:val="16"/>
              </w:rPr>
              <w:t>j</w:t>
            </w:r>
            <w:r w:rsidR="004007D3" w:rsidRPr="00251542">
              <w:rPr>
                <w:sz w:val="16"/>
              </w:rPr>
              <w:t>anvier 2013 (lancement)</w:t>
            </w:r>
          </w:p>
        </w:tc>
        <w:tc>
          <w:tcPr>
            <w:tcW w:w="1985" w:type="dxa"/>
            <w:gridSpan w:val="2"/>
          </w:tcPr>
          <w:p w:rsidR="004007D3" w:rsidRPr="00251542" w:rsidRDefault="004007D3" w:rsidP="001A5BF9">
            <w:pPr>
              <w:autoSpaceDE w:val="0"/>
              <w:autoSpaceDN w:val="0"/>
              <w:adjustRightInd w:val="0"/>
              <w:spacing w:before="120" w:after="120"/>
              <w:rPr>
                <w:rFonts w:cs="Arial"/>
                <w:spacing w:val="-4"/>
                <w:sz w:val="16"/>
                <w:szCs w:val="16"/>
              </w:rPr>
            </w:pPr>
            <w:r w:rsidRPr="00251542">
              <w:rPr>
                <w:spacing w:val="-4"/>
                <w:sz w:val="16"/>
              </w:rPr>
              <w:t>Tous les États membres de l</w:t>
            </w:r>
            <w:r w:rsidR="00A20444" w:rsidRPr="00251542">
              <w:rPr>
                <w:spacing w:val="-4"/>
                <w:sz w:val="16"/>
              </w:rPr>
              <w:t>’</w:t>
            </w:r>
            <w:r w:rsidRPr="00251542">
              <w:rPr>
                <w:spacing w:val="-4"/>
                <w:sz w:val="16"/>
              </w:rPr>
              <w:t>OMPI</w:t>
            </w:r>
          </w:p>
        </w:tc>
        <w:tc>
          <w:tcPr>
            <w:tcW w:w="4110"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Aider les enseignants à apprendre aux enfants les concepts de base de la propriété intellectuelle, la relation entre la propriété intellectuelle et la créativité, et les avantages que pourrait offrir l</w:t>
            </w:r>
            <w:r w:rsidR="00A20444" w:rsidRPr="00251542">
              <w:rPr>
                <w:sz w:val="16"/>
              </w:rPr>
              <w:t>’</w:t>
            </w:r>
            <w:r w:rsidRPr="00251542">
              <w:rPr>
                <w:sz w:val="16"/>
              </w:rPr>
              <w:t>utilisation de la propriété intellectuelle</w:t>
            </w:r>
          </w:p>
        </w:tc>
      </w:tr>
    </w:tbl>
    <w:p w:rsidR="00D42474" w:rsidRDefault="00D42474" w:rsidP="001A5BF9">
      <w:pPr>
        <w:keepNext/>
        <w:keepLines/>
        <w:rPr>
          <w:rFonts w:cs="Arial"/>
          <w:b/>
          <w:szCs w:val="20"/>
        </w:rPr>
      </w:pPr>
    </w:p>
    <w:p w:rsidR="00D42474" w:rsidRDefault="00D42474" w:rsidP="001A5BF9">
      <w:pPr>
        <w:keepNext/>
        <w:keepLines/>
        <w:rPr>
          <w:rFonts w:cs="Arial"/>
          <w:b/>
          <w:sz w:val="18"/>
          <w:szCs w:val="18"/>
        </w:rPr>
      </w:pPr>
    </w:p>
    <w:p w:rsidR="00D42474" w:rsidRDefault="00D42474" w:rsidP="001A5BF9">
      <w:pPr>
        <w:keepNext/>
        <w:keepLines/>
        <w:rPr>
          <w:rFonts w:cs="Arial"/>
          <w:b/>
          <w:sz w:val="18"/>
          <w:szCs w:val="18"/>
        </w:rPr>
      </w:pPr>
    </w:p>
    <w:p w:rsidR="00D42474" w:rsidRDefault="004007D3" w:rsidP="001A5BF9">
      <w:pPr>
        <w:keepNext/>
        <w:keepLines/>
        <w:rPr>
          <w:rFonts w:cs="Arial"/>
          <w:b/>
          <w:sz w:val="18"/>
          <w:szCs w:val="18"/>
        </w:rPr>
      </w:pPr>
      <w:r w:rsidRPr="00251542">
        <w:rPr>
          <w:b/>
          <w:sz w:val="18"/>
        </w:rPr>
        <w:t>RÉPUBLIQUE DE CORÉE/PROPRIÉTÉ INTELLECTUELLE – Contributions des donateurs et dépenses en</w:t>
      </w:r>
      <w:r w:rsidR="0010442A" w:rsidRPr="00251542">
        <w:rPr>
          <w:b/>
          <w:sz w:val="18"/>
        </w:rPr>
        <w:t> </w:t>
      </w:r>
      <w:r w:rsidRPr="00251542">
        <w:rPr>
          <w:b/>
          <w:sz w:val="18"/>
        </w:rPr>
        <w:t>2013</w:t>
      </w:r>
      <w:r w:rsidRPr="00251542">
        <w:rPr>
          <w:b/>
          <w:sz w:val="18"/>
          <w:vertAlign w:val="superscript"/>
        </w:rPr>
        <w:t>1</w:t>
      </w:r>
    </w:p>
    <w:p w:rsidR="004007D3" w:rsidRPr="00251542" w:rsidRDefault="004007D3" w:rsidP="001A5BF9">
      <w:pPr>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4007D3" w:rsidRPr="00251542" w:rsidTr="0056083E">
        <w:trPr>
          <w:trHeight w:val="567"/>
        </w:trPr>
        <w:tc>
          <w:tcPr>
            <w:tcW w:w="187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12</w:t>
            </w:r>
          </w:p>
        </w:tc>
        <w:tc>
          <w:tcPr>
            <w:tcW w:w="165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7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65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0"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13</w:t>
            </w:r>
          </w:p>
        </w:tc>
      </w:tr>
      <w:tr w:rsidR="004007D3" w:rsidRPr="00251542" w:rsidTr="0056083E">
        <w:trPr>
          <w:trHeight w:val="567"/>
        </w:trPr>
        <w:tc>
          <w:tcPr>
            <w:tcW w:w="1870" w:type="dxa"/>
            <w:shd w:val="clear" w:color="auto" w:fill="auto"/>
            <w:vAlign w:val="center"/>
          </w:tcPr>
          <w:p w:rsidR="004007D3" w:rsidRPr="00251542" w:rsidRDefault="007A524A" w:rsidP="007A524A">
            <w:pPr>
              <w:autoSpaceDE w:val="0"/>
              <w:autoSpaceDN w:val="0"/>
              <w:adjustRightInd w:val="0"/>
              <w:spacing w:before="120" w:after="120"/>
              <w:jc w:val="center"/>
              <w:rPr>
                <w:rFonts w:eastAsia="MS Mincho" w:cs="Arial"/>
                <w:sz w:val="16"/>
                <w:szCs w:val="16"/>
                <w:lang w:bidi="th-TH"/>
              </w:rPr>
            </w:pPr>
            <w:r>
              <w:rPr>
                <w:sz w:val="16"/>
              </w:rPr>
              <w:t>1 </w:t>
            </w:r>
            <w:r w:rsidR="004007D3" w:rsidRPr="00251542">
              <w:rPr>
                <w:sz w:val="16"/>
              </w:rPr>
              <w:t>165</w:t>
            </w:r>
            <w:r>
              <w:rPr>
                <w:sz w:val="16"/>
              </w:rPr>
              <w:t> </w:t>
            </w:r>
            <w:r w:rsidR="004007D3" w:rsidRPr="00251542">
              <w:rPr>
                <w:sz w:val="16"/>
              </w:rPr>
              <w:t>387</w:t>
            </w:r>
          </w:p>
        </w:tc>
        <w:tc>
          <w:tcPr>
            <w:tcW w:w="1650" w:type="dxa"/>
            <w:shd w:val="clear" w:color="auto" w:fill="auto"/>
            <w:vAlign w:val="center"/>
          </w:tcPr>
          <w:p w:rsidR="004007D3" w:rsidRPr="00251542" w:rsidRDefault="007A524A" w:rsidP="001A5BF9">
            <w:pPr>
              <w:autoSpaceDE w:val="0"/>
              <w:autoSpaceDN w:val="0"/>
              <w:adjustRightInd w:val="0"/>
              <w:spacing w:before="120" w:after="120"/>
              <w:jc w:val="center"/>
              <w:rPr>
                <w:rFonts w:eastAsia="MS Mincho" w:cs="Arial"/>
                <w:sz w:val="16"/>
                <w:szCs w:val="16"/>
                <w:lang w:bidi="th-TH"/>
              </w:rPr>
            </w:pPr>
            <w:r>
              <w:rPr>
                <w:sz w:val="16"/>
              </w:rPr>
              <w:t>656 </w:t>
            </w:r>
            <w:r w:rsidR="004007D3" w:rsidRPr="00251542">
              <w:rPr>
                <w:sz w:val="16"/>
              </w:rPr>
              <w:t>646</w:t>
            </w:r>
          </w:p>
        </w:tc>
        <w:tc>
          <w:tcPr>
            <w:tcW w:w="1870" w:type="dxa"/>
            <w:shd w:val="clear" w:color="auto" w:fill="auto"/>
            <w:vAlign w:val="center"/>
          </w:tcPr>
          <w:p w:rsidR="004007D3" w:rsidRPr="00251542" w:rsidRDefault="007A524A" w:rsidP="001A5BF9">
            <w:pPr>
              <w:autoSpaceDE w:val="0"/>
              <w:autoSpaceDN w:val="0"/>
              <w:adjustRightInd w:val="0"/>
              <w:spacing w:before="120" w:after="120"/>
              <w:jc w:val="center"/>
              <w:rPr>
                <w:rFonts w:eastAsia="MS Mincho" w:cs="Arial"/>
                <w:sz w:val="16"/>
                <w:szCs w:val="16"/>
                <w:lang w:bidi="th-TH"/>
              </w:rPr>
            </w:pPr>
            <w:r>
              <w:rPr>
                <w:sz w:val="16"/>
              </w:rPr>
              <w:t>549 </w:t>
            </w:r>
            <w:r w:rsidR="004007D3" w:rsidRPr="00251542">
              <w:rPr>
                <w:sz w:val="16"/>
              </w:rPr>
              <w:t>279</w:t>
            </w:r>
          </w:p>
        </w:tc>
        <w:tc>
          <w:tcPr>
            <w:tcW w:w="1650"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 </w:t>
            </w:r>
          </w:p>
        </w:tc>
        <w:tc>
          <w:tcPr>
            <w:tcW w:w="1980" w:type="dxa"/>
            <w:shd w:val="clear" w:color="auto" w:fill="auto"/>
            <w:vAlign w:val="center"/>
          </w:tcPr>
          <w:p w:rsidR="004007D3" w:rsidRPr="00251542" w:rsidRDefault="007A524A" w:rsidP="007A524A">
            <w:pPr>
              <w:autoSpaceDE w:val="0"/>
              <w:autoSpaceDN w:val="0"/>
              <w:adjustRightInd w:val="0"/>
              <w:spacing w:before="120" w:after="120"/>
              <w:jc w:val="center"/>
              <w:rPr>
                <w:rFonts w:eastAsia="MS Mincho" w:cs="Arial"/>
                <w:sz w:val="16"/>
                <w:szCs w:val="16"/>
                <w:lang w:bidi="th-TH"/>
              </w:rPr>
            </w:pPr>
            <w:r>
              <w:rPr>
                <w:sz w:val="16"/>
              </w:rPr>
              <w:t>1 </w:t>
            </w:r>
            <w:r w:rsidR="004007D3" w:rsidRPr="00251542">
              <w:rPr>
                <w:sz w:val="16"/>
              </w:rPr>
              <w:t>272</w:t>
            </w:r>
            <w:r>
              <w:rPr>
                <w:sz w:val="16"/>
              </w:rPr>
              <w:t> </w:t>
            </w:r>
            <w:r w:rsidR="004007D3" w:rsidRPr="00251542">
              <w:rPr>
                <w:sz w:val="16"/>
              </w:rPr>
              <w:t>754</w:t>
            </w:r>
          </w:p>
        </w:tc>
      </w:tr>
    </w:tbl>
    <w:p w:rsidR="00D42474" w:rsidRDefault="004007D3" w:rsidP="001A5BF9">
      <w:pPr>
        <w:spacing w:before="120"/>
        <w:rPr>
          <w:rFonts w:cs="Arial"/>
          <w:b/>
          <w:sz w:val="16"/>
          <w:szCs w:val="16"/>
        </w:rPr>
      </w:pPr>
      <w:r w:rsidRPr="007A524A">
        <w:rPr>
          <w:i/>
          <w:sz w:val="16"/>
          <w:szCs w:val="16"/>
          <w:vertAlign w:val="superscript"/>
        </w:rPr>
        <w:t>1</w:t>
      </w:r>
      <w:r w:rsidR="007A524A">
        <w:rPr>
          <w:i/>
          <w:sz w:val="16"/>
          <w:szCs w:val="16"/>
        </w:rPr>
        <w:t xml:space="preserve"> </w:t>
      </w:r>
      <w:r w:rsidRPr="007A524A">
        <w:rPr>
          <w:i/>
          <w:sz w:val="16"/>
          <w:szCs w:val="16"/>
        </w:rPr>
        <w:t xml:space="preserve"> États financiers de l</w:t>
      </w:r>
      <w:r w:rsidR="00A20444" w:rsidRPr="007A524A">
        <w:rPr>
          <w:i/>
          <w:sz w:val="16"/>
          <w:szCs w:val="16"/>
        </w:rPr>
        <w:t>’</w:t>
      </w:r>
      <w:r w:rsidRPr="007A524A">
        <w:rPr>
          <w:i/>
          <w:sz w:val="16"/>
          <w:szCs w:val="16"/>
        </w:rPr>
        <w:t>OMPI 2013 (annexe III)</w:t>
      </w:r>
    </w:p>
    <w:p w:rsidR="00D42474" w:rsidRDefault="00D42474" w:rsidP="001A5BF9">
      <w:pPr>
        <w:spacing w:before="120"/>
        <w:rPr>
          <w:rFonts w:cs="Arial"/>
          <w:b/>
          <w:szCs w:val="20"/>
        </w:rPr>
      </w:pPr>
    </w:p>
    <w:p w:rsidR="00D42474" w:rsidRDefault="004007D3" w:rsidP="001A5BF9">
      <w:pPr>
        <w:spacing w:before="120"/>
        <w:rPr>
          <w:rFonts w:cs="Arial"/>
          <w:b/>
          <w:szCs w:val="20"/>
        </w:rPr>
      </w:pPr>
      <w:r w:rsidRPr="00251542">
        <w:br w:type="page"/>
      </w:r>
      <w:r w:rsidRPr="00251542">
        <w:rPr>
          <w:b/>
        </w:rPr>
        <w:t>ESPAGNE</w:t>
      </w:r>
    </w:p>
    <w:p w:rsidR="004007D3" w:rsidRPr="00251542" w:rsidRDefault="004007D3" w:rsidP="001A5BF9">
      <w:pPr>
        <w:spacing w:before="120"/>
        <w:rPr>
          <w:rFonts w:cs="Arial"/>
          <w:b/>
          <w:szCs w:val="20"/>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1"/>
        <w:gridCol w:w="1260"/>
        <w:gridCol w:w="1721"/>
        <w:gridCol w:w="141"/>
        <w:gridCol w:w="142"/>
        <w:gridCol w:w="3827"/>
      </w:tblGrid>
      <w:tr w:rsidR="004007D3" w:rsidRPr="00251542" w:rsidTr="0056083E">
        <w:trPr>
          <w:cantSplit/>
        </w:trPr>
        <w:tc>
          <w:tcPr>
            <w:tcW w:w="9072" w:type="dxa"/>
            <w:gridSpan w:val="6"/>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Renforcement des capacités en matière de ressources humaines pour répondre aux nombreuses exigences en ce qui concerne l</w:t>
            </w:r>
            <w:r w:rsidR="00A20444" w:rsidRPr="007A524A">
              <w:rPr>
                <w:sz w:val="16"/>
              </w:rPr>
              <w:t>’</w:t>
            </w:r>
            <w:r w:rsidRPr="007A524A">
              <w:rPr>
                <w:sz w:val="16"/>
              </w:rPr>
              <w:t>utilisation efficace de la propriété au service du développement dans les pays en développement</w:t>
            </w:r>
          </w:p>
        </w:tc>
      </w:tr>
      <w:tr w:rsidR="004007D3" w:rsidRPr="007A524A" w:rsidTr="0056083E">
        <w:trPr>
          <w:cantSplit/>
        </w:trPr>
        <w:tc>
          <w:tcPr>
            <w:tcW w:w="1981" w:type="dxa"/>
            <w:tcBorders>
              <w:top w:val="single" w:sz="4" w:space="0" w:color="auto"/>
            </w:tcBorders>
            <w:vAlign w:val="center"/>
          </w:tcPr>
          <w:p w:rsidR="004007D3" w:rsidRPr="007A524A" w:rsidRDefault="004007D3" w:rsidP="001A5BF9">
            <w:pPr>
              <w:rPr>
                <w:rFonts w:cs="Arial"/>
                <w:b/>
                <w:bCs/>
                <w:sz w:val="16"/>
                <w:szCs w:val="16"/>
              </w:rPr>
            </w:pPr>
            <w:r w:rsidRPr="007A524A">
              <w:rPr>
                <w:b/>
                <w:sz w:val="16"/>
              </w:rPr>
              <w:t>Activité</w:t>
            </w:r>
          </w:p>
        </w:tc>
        <w:tc>
          <w:tcPr>
            <w:tcW w:w="1260" w:type="dxa"/>
            <w:tcBorders>
              <w:top w:val="single" w:sz="4" w:space="0" w:color="auto"/>
            </w:tcBorders>
            <w:shd w:val="clear" w:color="auto" w:fill="auto"/>
            <w:tcMar>
              <w:top w:w="110" w:type="dxa"/>
            </w:tcMar>
            <w:vAlign w:val="center"/>
          </w:tcPr>
          <w:p w:rsidR="004007D3" w:rsidRPr="007A524A" w:rsidRDefault="004007D3" w:rsidP="001A5BF9">
            <w:pPr>
              <w:rPr>
                <w:rFonts w:cs="Arial"/>
                <w:b/>
                <w:sz w:val="16"/>
                <w:szCs w:val="16"/>
              </w:rPr>
            </w:pPr>
            <w:r w:rsidRPr="007A524A">
              <w:rPr>
                <w:b/>
                <w:sz w:val="16"/>
              </w:rPr>
              <w:t>Date :</w:t>
            </w:r>
          </w:p>
        </w:tc>
        <w:tc>
          <w:tcPr>
            <w:tcW w:w="2004" w:type="dxa"/>
            <w:gridSpan w:val="3"/>
            <w:tcBorders>
              <w:top w:val="single" w:sz="4" w:space="0" w:color="auto"/>
            </w:tcBorders>
            <w:shd w:val="clear" w:color="auto" w:fill="auto"/>
            <w:tcMar>
              <w:top w:w="110" w:type="dxa"/>
            </w:tcMar>
            <w:vAlign w:val="center"/>
          </w:tcPr>
          <w:p w:rsidR="004007D3" w:rsidRPr="007A524A" w:rsidRDefault="004007D3" w:rsidP="001A5BF9">
            <w:pPr>
              <w:rPr>
                <w:rFonts w:cs="Arial"/>
                <w:b/>
                <w:sz w:val="16"/>
                <w:szCs w:val="16"/>
              </w:rPr>
            </w:pPr>
            <w:r w:rsidRPr="007A524A">
              <w:rPr>
                <w:b/>
                <w:sz w:val="16"/>
              </w:rPr>
              <w:t>Pays hôte/bénéficiaire</w:t>
            </w:r>
          </w:p>
        </w:tc>
        <w:tc>
          <w:tcPr>
            <w:tcW w:w="3827" w:type="dxa"/>
            <w:tcBorders>
              <w:top w:val="single" w:sz="4" w:space="0" w:color="auto"/>
            </w:tcBorders>
            <w:shd w:val="clear" w:color="auto" w:fill="FFFFFF"/>
            <w:tcMar>
              <w:top w:w="110" w:type="dxa"/>
            </w:tcMar>
            <w:vAlign w:val="center"/>
          </w:tcPr>
          <w:p w:rsidR="004007D3" w:rsidRPr="007A524A" w:rsidRDefault="004007D3" w:rsidP="001A5BF9">
            <w:pPr>
              <w:rPr>
                <w:rFonts w:cs="Arial"/>
                <w:b/>
                <w:sz w:val="16"/>
                <w:szCs w:val="16"/>
              </w:rPr>
            </w:pPr>
            <w:r w:rsidRPr="007A524A">
              <w:rPr>
                <w:b/>
                <w:sz w:val="16"/>
              </w:rPr>
              <w:t>Objectif(s)/description(s)</w:t>
            </w:r>
          </w:p>
        </w:tc>
      </w:tr>
      <w:tr w:rsidR="004007D3" w:rsidRPr="00251542" w:rsidTr="0056083E">
        <w:trPr>
          <w:cantSplit/>
        </w:trPr>
        <w:tc>
          <w:tcPr>
            <w:tcW w:w="1981" w:type="dxa"/>
            <w:tcBorders>
              <w:bottom w:val="single" w:sz="4" w:space="0" w:color="auto"/>
            </w:tcBorders>
          </w:tcPr>
          <w:p w:rsidR="004007D3" w:rsidRPr="00251542" w:rsidRDefault="004007D3" w:rsidP="001A5BF9">
            <w:pPr>
              <w:autoSpaceDE w:val="0"/>
              <w:autoSpaceDN w:val="0"/>
              <w:adjustRightInd w:val="0"/>
              <w:spacing w:after="120"/>
              <w:rPr>
                <w:rFonts w:cs="Arial"/>
                <w:sz w:val="16"/>
                <w:szCs w:val="16"/>
              </w:rPr>
            </w:pPr>
            <w:r w:rsidRPr="00251542">
              <w:rPr>
                <w:sz w:val="16"/>
              </w:rPr>
              <w:t>Douzième séminaire régional OMPI/OEB/</w:t>
            </w:r>
            <w:proofErr w:type="spellStart"/>
            <w:r w:rsidRPr="00251542">
              <w:rPr>
                <w:sz w:val="16"/>
              </w:rPr>
              <w:t>OEPM</w:t>
            </w:r>
            <w:proofErr w:type="spellEnd"/>
            <w:r w:rsidRPr="00251542">
              <w:rPr>
                <w:sz w:val="16"/>
              </w:rPr>
              <w:t xml:space="preserve"> sur la propriété intellectuelle à l</w:t>
            </w:r>
            <w:r w:rsidR="00A20444" w:rsidRPr="00251542">
              <w:rPr>
                <w:sz w:val="16"/>
              </w:rPr>
              <w:t>’</w:t>
            </w:r>
            <w:r w:rsidRPr="00251542">
              <w:rPr>
                <w:sz w:val="16"/>
              </w:rPr>
              <w:t>intention des juges et des procureurs de pays d</w:t>
            </w:r>
            <w:r w:rsidR="00A20444" w:rsidRPr="00251542">
              <w:rPr>
                <w:sz w:val="16"/>
              </w:rPr>
              <w:t>’</w:t>
            </w:r>
            <w:r w:rsidRPr="00251542">
              <w:rPr>
                <w:sz w:val="16"/>
              </w:rPr>
              <w:t xml:space="preserve">Amérique latine, Cartagena de </w:t>
            </w:r>
            <w:proofErr w:type="spellStart"/>
            <w:r w:rsidRPr="00251542">
              <w:rPr>
                <w:sz w:val="16"/>
              </w:rPr>
              <w:t>Indias</w:t>
            </w:r>
            <w:proofErr w:type="spellEnd"/>
            <w:r w:rsidRPr="00251542">
              <w:rPr>
                <w:sz w:val="16"/>
              </w:rPr>
              <w:t xml:space="preserve"> (Colombie)</w:t>
            </w:r>
          </w:p>
        </w:tc>
        <w:tc>
          <w:tcPr>
            <w:tcW w:w="1260" w:type="dxa"/>
            <w:tcBorders>
              <w:bottom w:val="single" w:sz="4" w:space="0" w:color="auto"/>
            </w:tcBorders>
          </w:tcPr>
          <w:p w:rsidR="004007D3" w:rsidRPr="00251542" w:rsidRDefault="004007D3" w:rsidP="001A5BF9">
            <w:pPr>
              <w:autoSpaceDE w:val="0"/>
              <w:autoSpaceDN w:val="0"/>
              <w:adjustRightInd w:val="0"/>
              <w:spacing w:after="120"/>
              <w:rPr>
                <w:rFonts w:cs="Arial"/>
                <w:sz w:val="16"/>
                <w:szCs w:val="16"/>
              </w:rPr>
            </w:pPr>
            <w:r w:rsidRPr="00251542">
              <w:rPr>
                <w:sz w:val="16"/>
              </w:rPr>
              <w:t>4</w:t>
            </w:r>
            <w:r w:rsidR="002D6F2A" w:rsidRPr="00251542">
              <w:rPr>
                <w:sz w:val="16"/>
              </w:rPr>
              <w:noBreakHyphen/>
            </w:r>
            <w:r w:rsidRPr="00251542">
              <w:rPr>
                <w:sz w:val="16"/>
              </w:rPr>
              <w:t>7 novembre </w:t>
            </w:r>
            <w:r w:rsidR="00385904" w:rsidRPr="00251542">
              <w:rPr>
                <w:sz w:val="16"/>
              </w:rPr>
              <w:br/>
            </w:r>
            <w:r w:rsidRPr="00251542">
              <w:rPr>
                <w:sz w:val="16"/>
              </w:rPr>
              <w:t>2013</w:t>
            </w:r>
          </w:p>
        </w:tc>
        <w:tc>
          <w:tcPr>
            <w:tcW w:w="2004" w:type="dxa"/>
            <w:gridSpan w:val="3"/>
            <w:tcBorders>
              <w:bottom w:val="single" w:sz="4" w:space="0" w:color="auto"/>
            </w:tcBorders>
          </w:tcPr>
          <w:p w:rsidR="004007D3" w:rsidRPr="00251542" w:rsidRDefault="004007D3" w:rsidP="001A5BF9">
            <w:pPr>
              <w:autoSpaceDE w:val="0"/>
              <w:autoSpaceDN w:val="0"/>
              <w:adjustRightInd w:val="0"/>
              <w:spacing w:after="120"/>
              <w:rPr>
                <w:rFonts w:cs="Arial"/>
                <w:sz w:val="16"/>
                <w:szCs w:val="16"/>
              </w:rPr>
            </w:pPr>
            <w:r w:rsidRPr="00251542">
              <w:rPr>
                <w:sz w:val="16"/>
              </w:rPr>
              <w:t>Colombie/tous les pays d</w:t>
            </w:r>
            <w:r w:rsidR="00A20444" w:rsidRPr="00251542">
              <w:rPr>
                <w:sz w:val="16"/>
              </w:rPr>
              <w:t>’</w:t>
            </w:r>
            <w:r w:rsidRPr="00251542">
              <w:rPr>
                <w:sz w:val="16"/>
              </w:rPr>
              <w:t>Amérique latine et Tribunal de la communauté andine</w:t>
            </w:r>
          </w:p>
        </w:tc>
        <w:tc>
          <w:tcPr>
            <w:tcW w:w="3827" w:type="dxa"/>
            <w:tcBorders>
              <w:bottom w:val="single" w:sz="4" w:space="0" w:color="auto"/>
            </w:tcBorders>
          </w:tcPr>
          <w:p w:rsidR="004007D3" w:rsidRPr="00251542" w:rsidRDefault="004007D3" w:rsidP="001A5BF9">
            <w:pPr>
              <w:autoSpaceDE w:val="0"/>
              <w:autoSpaceDN w:val="0"/>
              <w:adjustRightInd w:val="0"/>
              <w:spacing w:after="120"/>
              <w:rPr>
                <w:rFonts w:cs="Arial"/>
                <w:sz w:val="16"/>
                <w:szCs w:val="16"/>
              </w:rPr>
            </w:pPr>
            <w:r w:rsidRPr="00251542">
              <w:rPr>
                <w:sz w:val="16"/>
              </w:rPr>
              <w:t>i) Dispenser aux juges et aux procureurs publics responsables de la propriété intellectuelle dans les pays d</w:t>
            </w:r>
            <w:r w:rsidR="00A20444" w:rsidRPr="00251542">
              <w:rPr>
                <w:sz w:val="16"/>
              </w:rPr>
              <w:t>’</w:t>
            </w:r>
            <w:r w:rsidRPr="00251542">
              <w:rPr>
                <w:sz w:val="16"/>
              </w:rPr>
              <w:t>Amérique latine une formation sur les questions de propriété intellectuelle pour trancher les cas litigieux;</w:t>
            </w:r>
            <w:r w:rsidR="004F3E42" w:rsidRPr="00251542">
              <w:rPr>
                <w:sz w:val="16"/>
              </w:rPr>
              <w:t xml:space="preserve"> </w:t>
            </w:r>
            <w:r w:rsidR="0010442A" w:rsidRPr="00251542">
              <w:rPr>
                <w:sz w:val="16"/>
              </w:rPr>
              <w:t xml:space="preserve"> </w:t>
            </w:r>
            <w:r w:rsidRPr="00251542">
              <w:rPr>
                <w:sz w:val="16"/>
              </w:rPr>
              <w:t>et ii)</w:t>
            </w:r>
            <w:r w:rsidR="0010442A" w:rsidRPr="00251542">
              <w:rPr>
                <w:sz w:val="16"/>
              </w:rPr>
              <w:t> </w:t>
            </w:r>
            <w:r w:rsidRPr="00251542">
              <w:rPr>
                <w:sz w:val="16"/>
              </w:rPr>
              <w:t>fournir aux participants des informations à jour et une formation pratique dans les domaines des brevets, des marques, du droit d</w:t>
            </w:r>
            <w:r w:rsidR="00A20444" w:rsidRPr="00251542">
              <w:rPr>
                <w:sz w:val="16"/>
              </w:rPr>
              <w:t>’</w:t>
            </w:r>
            <w:r w:rsidRPr="00251542">
              <w:rPr>
                <w:sz w:val="16"/>
              </w:rPr>
              <w:t>auteur et des cas d</w:t>
            </w:r>
            <w:r w:rsidR="00A20444" w:rsidRPr="00251542">
              <w:rPr>
                <w:sz w:val="16"/>
              </w:rPr>
              <w:t>’</w:t>
            </w:r>
            <w:r w:rsidRPr="00251542">
              <w:rPr>
                <w:sz w:val="16"/>
              </w:rPr>
              <w:t>application des droits de propriété intellectuelle</w:t>
            </w:r>
          </w:p>
        </w:tc>
      </w:tr>
      <w:tr w:rsidR="004007D3" w:rsidRPr="00251542" w:rsidTr="0056083E">
        <w:trPr>
          <w:cantSplit/>
        </w:trPr>
        <w:tc>
          <w:tcPr>
            <w:tcW w:w="9072" w:type="dxa"/>
            <w:gridSpan w:val="6"/>
            <w:tcBorders>
              <w:top w:val="single" w:sz="4" w:space="0" w:color="auto"/>
              <w:bottom w:val="single" w:sz="4" w:space="0" w:color="auto"/>
            </w:tcBorders>
            <w:shd w:val="clear" w:color="auto" w:fill="CCFFFF"/>
            <w:vAlign w:val="center"/>
          </w:tcPr>
          <w:p w:rsidR="004007D3" w:rsidRPr="00251542" w:rsidRDefault="004007D3" w:rsidP="001A5BF9">
            <w:pPr>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Améliorations des compétences de gestion de la propriété intellectuelle</w:t>
            </w:r>
          </w:p>
        </w:tc>
      </w:tr>
      <w:tr w:rsidR="004007D3" w:rsidRPr="00251542" w:rsidTr="0056083E">
        <w:trPr>
          <w:cantSplit/>
        </w:trPr>
        <w:tc>
          <w:tcPr>
            <w:tcW w:w="1981" w:type="dxa"/>
            <w:tcBorders>
              <w:top w:val="single" w:sz="4" w:space="0" w:color="auto"/>
            </w:tcBorders>
          </w:tcPr>
          <w:p w:rsidR="004007D3" w:rsidRPr="00251542" w:rsidRDefault="004007D3" w:rsidP="001A5BF9">
            <w:pPr>
              <w:autoSpaceDE w:val="0"/>
              <w:autoSpaceDN w:val="0"/>
              <w:adjustRightInd w:val="0"/>
              <w:spacing w:before="120" w:after="120"/>
              <w:rPr>
                <w:rFonts w:cs="Arial"/>
                <w:b/>
                <w:sz w:val="16"/>
                <w:szCs w:val="16"/>
              </w:rPr>
            </w:pPr>
            <w:r w:rsidRPr="00251542">
              <w:rPr>
                <w:b/>
                <w:sz w:val="16"/>
              </w:rPr>
              <w:t>Activité</w:t>
            </w:r>
          </w:p>
        </w:tc>
        <w:tc>
          <w:tcPr>
            <w:tcW w:w="1260" w:type="dxa"/>
            <w:tcBorders>
              <w:top w:val="single" w:sz="4" w:space="0" w:color="auto"/>
            </w:tcBorders>
            <w:shd w:val="clear" w:color="auto" w:fill="auto"/>
            <w:tcMar>
              <w:top w:w="110" w:type="dxa"/>
            </w:tcMar>
          </w:tcPr>
          <w:p w:rsidR="004007D3" w:rsidRPr="00251542" w:rsidRDefault="004007D3" w:rsidP="001A5BF9">
            <w:pPr>
              <w:autoSpaceDE w:val="0"/>
              <w:autoSpaceDN w:val="0"/>
              <w:adjustRightInd w:val="0"/>
              <w:spacing w:before="120" w:after="120"/>
              <w:rPr>
                <w:rFonts w:cs="Arial"/>
                <w:b/>
                <w:sz w:val="16"/>
                <w:szCs w:val="16"/>
              </w:rPr>
            </w:pPr>
            <w:r w:rsidRPr="00251542">
              <w:rPr>
                <w:b/>
                <w:sz w:val="16"/>
              </w:rPr>
              <w:t>Date :</w:t>
            </w:r>
          </w:p>
        </w:tc>
        <w:tc>
          <w:tcPr>
            <w:tcW w:w="1862" w:type="dxa"/>
            <w:gridSpan w:val="2"/>
            <w:tcBorders>
              <w:top w:val="single" w:sz="4" w:space="0" w:color="auto"/>
            </w:tcBorders>
            <w:shd w:val="clear" w:color="auto" w:fill="auto"/>
            <w:tcMar>
              <w:top w:w="110" w:type="dxa"/>
            </w:tcMar>
            <w:vAlign w:val="center"/>
          </w:tcPr>
          <w:p w:rsidR="004007D3" w:rsidRPr="00251542" w:rsidRDefault="004007D3" w:rsidP="001A5BF9">
            <w:pPr>
              <w:rPr>
                <w:rFonts w:cs="Arial"/>
                <w:b/>
                <w:sz w:val="16"/>
                <w:szCs w:val="16"/>
              </w:rPr>
            </w:pPr>
            <w:r w:rsidRPr="00251542">
              <w:rPr>
                <w:b/>
                <w:sz w:val="16"/>
              </w:rPr>
              <w:t>Pays hôte/bénéficiaire</w:t>
            </w:r>
          </w:p>
        </w:tc>
        <w:tc>
          <w:tcPr>
            <w:tcW w:w="3969" w:type="dxa"/>
            <w:gridSpan w:val="2"/>
            <w:tcBorders>
              <w:top w:val="single" w:sz="4" w:space="0" w:color="auto"/>
            </w:tcBorders>
            <w:shd w:val="clear" w:color="auto" w:fill="FFFFFF"/>
            <w:tcMar>
              <w:top w:w="110" w:type="dxa"/>
            </w:tcMar>
          </w:tcPr>
          <w:p w:rsidR="004007D3" w:rsidRPr="00251542" w:rsidRDefault="00FE3459" w:rsidP="001A5BF9">
            <w:pPr>
              <w:autoSpaceDE w:val="0"/>
              <w:autoSpaceDN w:val="0"/>
              <w:adjustRightInd w:val="0"/>
              <w:spacing w:before="120" w:after="120"/>
              <w:rPr>
                <w:rFonts w:cs="Arial"/>
                <w:b/>
                <w:sz w:val="16"/>
                <w:szCs w:val="16"/>
              </w:rPr>
            </w:pPr>
            <w:r w:rsidRPr="00251542">
              <w:rPr>
                <w:b/>
                <w:sz w:val="16"/>
              </w:rPr>
              <w:t>Objectif</w:t>
            </w:r>
            <w:r w:rsidR="004007D3" w:rsidRPr="00251542">
              <w:rPr>
                <w:b/>
                <w:sz w:val="16"/>
              </w:rPr>
              <w:t>(s)/Description</w:t>
            </w:r>
          </w:p>
        </w:tc>
      </w:tr>
      <w:tr w:rsidR="004007D3" w:rsidRPr="00251542" w:rsidTr="0056083E">
        <w:trPr>
          <w:cantSplit/>
        </w:trPr>
        <w:tc>
          <w:tcPr>
            <w:tcW w:w="1981" w:type="dxa"/>
          </w:tcPr>
          <w:p w:rsidR="004007D3" w:rsidRPr="00251542" w:rsidRDefault="004007D3" w:rsidP="001A5BF9">
            <w:pPr>
              <w:autoSpaceDE w:val="0"/>
              <w:autoSpaceDN w:val="0"/>
              <w:adjustRightInd w:val="0"/>
              <w:spacing w:after="120"/>
              <w:rPr>
                <w:rFonts w:cs="Arial"/>
                <w:spacing w:val="-6"/>
                <w:sz w:val="16"/>
                <w:szCs w:val="16"/>
              </w:rPr>
            </w:pPr>
            <w:r w:rsidRPr="00251542">
              <w:rPr>
                <w:sz w:val="16"/>
              </w:rPr>
              <w:t>Projet visant à créer une plate</w:t>
            </w:r>
            <w:r w:rsidR="002D6F2A" w:rsidRPr="00251542">
              <w:rPr>
                <w:sz w:val="16"/>
              </w:rPr>
              <w:noBreakHyphen/>
            </w:r>
            <w:r w:rsidRPr="00251542">
              <w:rPr>
                <w:sz w:val="16"/>
              </w:rPr>
              <w:t>forme en espagnol avec des contenus et des services de propriété industrielle à l</w:t>
            </w:r>
            <w:r w:rsidR="00A20444" w:rsidRPr="00251542">
              <w:rPr>
                <w:sz w:val="16"/>
              </w:rPr>
              <w:t>’</w:t>
            </w:r>
            <w:r w:rsidRPr="00251542">
              <w:rPr>
                <w:sz w:val="16"/>
              </w:rPr>
              <w:t>intention du secteur des entrepreneurs ibéro</w:t>
            </w:r>
            <w:r w:rsidR="002D6F2A" w:rsidRPr="00251542">
              <w:rPr>
                <w:sz w:val="16"/>
              </w:rPr>
              <w:noBreakHyphen/>
            </w:r>
            <w:r w:rsidRPr="00251542">
              <w:rPr>
                <w:sz w:val="16"/>
              </w:rPr>
              <w:t>américains, en attachant une importance particulière</w:t>
            </w:r>
            <w:r w:rsidR="00A20444" w:rsidRPr="00251542">
              <w:rPr>
                <w:sz w:val="16"/>
              </w:rPr>
              <w:t xml:space="preserve"> aux PME</w:t>
            </w:r>
            <w:r w:rsidRPr="00251542">
              <w:rPr>
                <w:sz w:val="16"/>
              </w:rPr>
              <w:t xml:space="preserve"> (</w:t>
            </w:r>
            <w:proofErr w:type="spellStart"/>
            <w:r w:rsidRPr="00251542">
              <w:rPr>
                <w:sz w:val="16"/>
              </w:rPr>
              <w:t>CIBEPYME</w:t>
            </w:r>
            <w:proofErr w:type="spellEnd"/>
            <w:r w:rsidRPr="00251542">
              <w:rPr>
                <w:sz w:val="16"/>
              </w:rPr>
              <w:t>)</w:t>
            </w:r>
          </w:p>
        </w:tc>
        <w:tc>
          <w:tcPr>
            <w:tcW w:w="1260" w:type="dxa"/>
            <w:shd w:val="clear" w:color="auto" w:fill="auto"/>
            <w:tcMar>
              <w:top w:w="110" w:type="dxa"/>
            </w:tcMar>
          </w:tcPr>
          <w:p w:rsidR="00D42474" w:rsidRDefault="00812285" w:rsidP="001A5BF9">
            <w:pPr>
              <w:autoSpaceDE w:val="0"/>
              <w:autoSpaceDN w:val="0"/>
              <w:adjustRightInd w:val="0"/>
              <w:spacing w:after="120"/>
              <w:rPr>
                <w:rFonts w:cs="Arial"/>
                <w:sz w:val="16"/>
                <w:szCs w:val="16"/>
              </w:rPr>
            </w:pPr>
            <w:r>
              <w:rPr>
                <w:sz w:val="16"/>
              </w:rPr>
              <w:t>j</w:t>
            </w:r>
            <w:r w:rsidR="004007D3" w:rsidRPr="00251542">
              <w:rPr>
                <w:sz w:val="16"/>
              </w:rPr>
              <w:t>anvier 2013 à décembre </w:t>
            </w:r>
            <w:r w:rsidR="00385904" w:rsidRPr="00251542">
              <w:rPr>
                <w:sz w:val="16"/>
              </w:rPr>
              <w:br/>
            </w:r>
            <w:r w:rsidR="004007D3" w:rsidRPr="00251542">
              <w:rPr>
                <w:sz w:val="16"/>
              </w:rPr>
              <w:t>2013</w:t>
            </w:r>
          </w:p>
          <w:p w:rsidR="004007D3" w:rsidRPr="00251542" w:rsidRDefault="004007D3" w:rsidP="001A5BF9">
            <w:pPr>
              <w:autoSpaceDE w:val="0"/>
              <w:autoSpaceDN w:val="0"/>
              <w:adjustRightInd w:val="0"/>
              <w:spacing w:after="120"/>
              <w:rPr>
                <w:rFonts w:cs="Arial"/>
                <w:sz w:val="16"/>
                <w:szCs w:val="16"/>
              </w:rPr>
            </w:pPr>
            <w:r w:rsidRPr="00251542">
              <w:rPr>
                <w:sz w:val="16"/>
              </w:rPr>
              <w:t>(projet en cours depuis</w:t>
            </w:r>
            <w:r w:rsidR="0010442A" w:rsidRPr="00251542">
              <w:rPr>
                <w:sz w:val="16"/>
              </w:rPr>
              <w:t> </w:t>
            </w:r>
            <w:r w:rsidRPr="00251542">
              <w:rPr>
                <w:sz w:val="16"/>
              </w:rPr>
              <w:t>2010)</w:t>
            </w:r>
          </w:p>
        </w:tc>
        <w:tc>
          <w:tcPr>
            <w:tcW w:w="1862" w:type="dxa"/>
            <w:gridSpan w:val="2"/>
            <w:shd w:val="clear" w:color="auto" w:fill="auto"/>
            <w:tcMar>
              <w:top w:w="110" w:type="dxa"/>
            </w:tcMar>
          </w:tcPr>
          <w:p w:rsidR="004007D3" w:rsidRPr="00251542" w:rsidRDefault="004007D3" w:rsidP="001A5BF9">
            <w:pPr>
              <w:autoSpaceDE w:val="0"/>
              <w:autoSpaceDN w:val="0"/>
              <w:adjustRightInd w:val="0"/>
              <w:spacing w:after="120"/>
              <w:rPr>
                <w:rFonts w:cs="Arial"/>
                <w:sz w:val="16"/>
                <w:szCs w:val="16"/>
              </w:rPr>
            </w:pPr>
            <w:r w:rsidRPr="00251542">
              <w:rPr>
                <w:sz w:val="16"/>
              </w:rPr>
              <w:t>Tous les pays d</w:t>
            </w:r>
            <w:r w:rsidR="00A20444" w:rsidRPr="00251542">
              <w:rPr>
                <w:sz w:val="16"/>
              </w:rPr>
              <w:t>’</w:t>
            </w:r>
            <w:r w:rsidRPr="00251542">
              <w:rPr>
                <w:sz w:val="16"/>
              </w:rPr>
              <w:t>Amérique latine</w:t>
            </w:r>
          </w:p>
        </w:tc>
        <w:tc>
          <w:tcPr>
            <w:tcW w:w="3969" w:type="dxa"/>
            <w:gridSpan w:val="2"/>
            <w:shd w:val="clear" w:color="auto" w:fill="FFFFFF"/>
            <w:tcMar>
              <w:top w:w="110" w:type="dxa"/>
            </w:tcMar>
          </w:tcPr>
          <w:p w:rsidR="004007D3" w:rsidRPr="00251542" w:rsidRDefault="004007D3" w:rsidP="001A5BF9">
            <w:pPr>
              <w:autoSpaceDE w:val="0"/>
              <w:autoSpaceDN w:val="0"/>
              <w:adjustRightInd w:val="0"/>
              <w:spacing w:after="120"/>
              <w:rPr>
                <w:rFonts w:cs="Arial"/>
                <w:sz w:val="16"/>
                <w:szCs w:val="16"/>
              </w:rPr>
            </w:pPr>
            <w:r w:rsidRPr="00251542">
              <w:rPr>
                <w:sz w:val="16"/>
              </w:rPr>
              <w:t>Poursuite de la conception et création d</w:t>
            </w:r>
            <w:r w:rsidR="00A20444" w:rsidRPr="00251542">
              <w:rPr>
                <w:sz w:val="16"/>
              </w:rPr>
              <w:t>’</w:t>
            </w:r>
            <w:r w:rsidRPr="00251542">
              <w:rPr>
                <w:sz w:val="16"/>
              </w:rPr>
              <w:t>une plate</w:t>
            </w:r>
            <w:r w:rsidR="002D6F2A" w:rsidRPr="00251542">
              <w:rPr>
                <w:sz w:val="16"/>
              </w:rPr>
              <w:noBreakHyphen/>
            </w:r>
            <w:r w:rsidRPr="00251542">
              <w:rPr>
                <w:sz w:val="16"/>
              </w:rPr>
              <w:t>forme pour le secteur privé afin de</w:t>
            </w:r>
            <w:r w:rsidR="0010442A" w:rsidRPr="00251542">
              <w:rPr>
                <w:sz w:val="16"/>
              </w:rPr>
              <w:t> </w:t>
            </w:r>
            <w:r w:rsidRPr="00251542">
              <w:rPr>
                <w:sz w:val="16"/>
              </w:rPr>
              <w:t>: i) fournir assistance et services lors de l</w:t>
            </w:r>
            <w:r w:rsidR="00A20444" w:rsidRPr="00251542">
              <w:rPr>
                <w:sz w:val="16"/>
              </w:rPr>
              <w:t>’</w:t>
            </w:r>
            <w:r w:rsidRPr="00251542">
              <w:rPr>
                <w:sz w:val="16"/>
              </w:rPr>
              <w:t>utilisation de la propriété intellectuelle;</w:t>
            </w:r>
            <w:r w:rsidR="004F3E42" w:rsidRPr="00251542">
              <w:rPr>
                <w:sz w:val="16"/>
              </w:rPr>
              <w:t xml:space="preserve"> </w:t>
            </w:r>
            <w:r w:rsidR="0010442A" w:rsidRPr="00251542">
              <w:rPr>
                <w:sz w:val="16"/>
              </w:rPr>
              <w:t xml:space="preserve"> </w:t>
            </w:r>
            <w:r w:rsidRPr="00251542">
              <w:rPr>
                <w:sz w:val="16"/>
              </w:rPr>
              <w:t>ii) augmenter la valeur de leurs activités commerciales;</w:t>
            </w:r>
            <w:r w:rsidR="0010442A" w:rsidRPr="00251542">
              <w:rPr>
                <w:sz w:val="16"/>
              </w:rPr>
              <w:t xml:space="preserve"> </w:t>
            </w:r>
            <w:r w:rsidR="004F3E42" w:rsidRPr="00251542">
              <w:rPr>
                <w:sz w:val="16"/>
              </w:rPr>
              <w:t xml:space="preserve"> </w:t>
            </w:r>
            <w:r w:rsidRPr="00251542">
              <w:rPr>
                <w:sz w:val="16"/>
              </w:rPr>
              <w:t>et iii) constituer un forum pour le secteur privé visant à assurer les échanges d</w:t>
            </w:r>
            <w:r w:rsidR="00A20444" w:rsidRPr="00251542">
              <w:rPr>
                <w:sz w:val="16"/>
              </w:rPr>
              <w:t>’</w:t>
            </w:r>
            <w:r w:rsidRPr="00251542">
              <w:rPr>
                <w:sz w:val="16"/>
              </w:rPr>
              <w:t>idées et les partages d</w:t>
            </w:r>
            <w:r w:rsidR="00A20444" w:rsidRPr="00251542">
              <w:rPr>
                <w:sz w:val="16"/>
              </w:rPr>
              <w:t>’</w:t>
            </w:r>
            <w:r w:rsidRPr="00251542">
              <w:rPr>
                <w:sz w:val="16"/>
              </w:rPr>
              <w:t>expériences</w:t>
            </w:r>
          </w:p>
        </w:tc>
      </w:tr>
      <w:tr w:rsidR="004007D3" w:rsidRPr="00251542" w:rsidTr="0056083E">
        <w:trPr>
          <w:cantSplit/>
        </w:trPr>
        <w:tc>
          <w:tcPr>
            <w:tcW w:w="1981" w:type="dxa"/>
          </w:tcPr>
          <w:p w:rsidR="004007D3" w:rsidRPr="00251542" w:rsidRDefault="004007D3" w:rsidP="001A5BF9">
            <w:pPr>
              <w:autoSpaceDE w:val="0"/>
              <w:autoSpaceDN w:val="0"/>
              <w:adjustRightInd w:val="0"/>
              <w:spacing w:after="120"/>
              <w:rPr>
                <w:rFonts w:cs="Arial"/>
                <w:sz w:val="16"/>
                <w:szCs w:val="16"/>
              </w:rPr>
            </w:pPr>
            <w:r w:rsidRPr="00251542">
              <w:rPr>
                <w:sz w:val="16"/>
              </w:rPr>
              <w:t>Progrès réalisés par l</w:t>
            </w:r>
            <w:r w:rsidR="00A20444" w:rsidRPr="00251542">
              <w:rPr>
                <w:sz w:val="16"/>
              </w:rPr>
              <w:t>’</w:t>
            </w:r>
            <w:r w:rsidRPr="00251542">
              <w:rPr>
                <w:sz w:val="16"/>
              </w:rPr>
              <w:t>Office espagnol des brevets et des marques (</w:t>
            </w:r>
            <w:proofErr w:type="spellStart"/>
            <w:r w:rsidRPr="00251542">
              <w:rPr>
                <w:sz w:val="16"/>
              </w:rPr>
              <w:t>OEPM</w:t>
            </w:r>
            <w:proofErr w:type="spellEnd"/>
            <w:r w:rsidRPr="00251542">
              <w:rPr>
                <w:sz w:val="16"/>
              </w:rPr>
              <w:t>) dans le recrutement d</w:t>
            </w:r>
            <w:r w:rsidR="00A20444" w:rsidRPr="00251542">
              <w:rPr>
                <w:sz w:val="16"/>
              </w:rPr>
              <w:t>’</w:t>
            </w:r>
            <w:r w:rsidRPr="00251542">
              <w:rPr>
                <w:sz w:val="16"/>
              </w:rPr>
              <w:t>une entreprise pour la mise au point de la plate</w:t>
            </w:r>
            <w:r w:rsidR="002D6F2A" w:rsidRPr="00251542">
              <w:rPr>
                <w:sz w:val="16"/>
              </w:rPr>
              <w:noBreakHyphen/>
            </w:r>
            <w:r w:rsidRPr="00251542">
              <w:rPr>
                <w:sz w:val="16"/>
              </w:rPr>
              <w:t>forme adaptée aux besoins de l</w:t>
            </w:r>
            <w:r w:rsidR="00A20444" w:rsidRPr="00251542">
              <w:rPr>
                <w:sz w:val="16"/>
              </w:rPr>
              <w:t>’</w:t>
            </w:r>
            <w:r w:rsidRPr="00251542">
              <w:rPr>
                <w:sz w:val="16"/>
              </w:rPr>
              <w:t>Amérique latine</w:t>
            </w:r>
          </w:p>
        </w:tc>
        <w:tc>
          <w:tcPr>
            <w:tcW w:w="1260" w:type="dxa"/>
            <w:shd w:val="clear" w:color="auto" w:fill="auto"/>
            <w:tcMar>
              <w:top w:w="110" w:type="dxa"/>
            </w:tcMar>
          </w:tcPr>
          <w:p w:rsidR="00D42474" w:rsidRDefault="00812285" w:rsidP="001A5BF9">
            <w:pPr>
              <w:autoSpaceDE w:val="0"/>
              <w:autoSpaceDN w:val="0"/>
              <w:adjustRightInd w:val="0"/>
              <w:spacing w:after="120"/>
              <w:rPr>
                <w:rFonts w:cs="Arial"/>
                <w:sz w:val="16"/>
                <w:szCs w:val="16"/>
              </w:rPr>
            </w:pPr>
            <w:r w:rsidRPr="007A524A">
              <w:rPr>
                <w:sz w:val="16"/>
              </w:rPr>
              <w:t>j</w:t>
            </w:r>
            <w:r w:rsidR="004007D3" w:rsidRPr="007A524A">
              <w:rPr>
                <w:sz w:val="16"/>
              </w:rPr>
              <w:t>anvier à décembre </w:t>
            </w:r>
            <w:r w:rsidR="00385904" w:rsidRPr="007A524A">
              <w:rPr>
                <w:sz w:val="16"/>
              </w:rPr>
              <w:br/>
            </w:r>
            <w:r w:rsidR="004007D3" w:rsidRPr="007A524A">
              <w:rPr>
                <w:sz w:val="16"/>
              </w:rPr>
              <w:t>2013</w:t>
            </w:r>
          </w:p>
          <w:p w:rsidR="004007D3" w:rsidRPr="007A524A" w:rsidRDefault="004007D3" w:rsidP="001A5BF9">
            <w:pPr>
              <w:autoSpaceDE w:val="0"/>
              <w:autoSpaceDN w:val="0"/>
              <w:adjustRightInd w:val="0"/>
              <w:spacing w:after="120"/>
              <w:rPr>
                <w:rFonts w:cs="Arial"/>
                <w:sz w:val="16"/>
                <w:szCs w:val="16"/>
              </w:rPr>
            </w:pPr>
            <w:r w:rsidRPr="007A524A">
              <w:rPr>
                <w:sz w:val="16"/>
              </w:rPr>
              <w:t>(projet en cours depuis</w:t>
            </w:r>
            <w:r w:rsidR="0010442A" w:rsidRPr="007A524A">
              <w:rPr>
                <w:sz w:val="16"/>
              </w:rPr>
              <w:t> </w:t>
            </w:r>
            <w:r w:rsidRPr="007A524A">
              <w:rPr>
                <w:sz w:val="16"/>
              </w:rPr>
              <w:t>2010)</w:t>
            </w:r>
          </w:p>
        </w:tc>
        <w:tc>
          <w:tcPr>
            <w:tcW w:w="1862" w:type="dxa"/>
            <w:gridSpan w:val="2"/>
            <w:shd w:val="clear" w:color="auto" w:fill="auto"/>
            <w:tcMar>
              <w:top w:w="110" w:type="dxa"/>
            </w:tcMar>
          </w:tcPr>
          <w:p w:rsidR="004007D3" w:rsidRPr="007A524A" w:rsidRDefault="004007D3" w:rsidP="001A5BF9">
            <w:pPr>
              <w:autoSpaceDE w:val="0"/>
              <w:autoSpaceDN w:val="0"/>
              <w:adjustRightInd w:val="0"/>
              <w:spacing w:after="120"/>
              <w:rPr>
                <w:rFonts w:cs="Arial"/>
                <w:sz w:val="16"/>
                <w:szCs w:val="16"/>
              </w:rPr>
            </w:pPr>
            <w:r w:rsidRPr="007A524A">
              <w:rPr>
                <w:sz w:val="16"/>
              </w:rPr>
              <w:t>Tous les pays d</w:t>
            </w:r>
            <w:r w:rsidR="00A20444" w:rsidRPr="007A524A">
              <w:rPr>
                <w:sz w:val="16"/>
              </w:rPr>
              <w:t>’</w:t>
            </w:r>
            <w:r w:rsidRPr="007A524A">
              <w:rPr>
                <w:sz w:val="16"/>
              </w:rPr>
              <w:t>Amérique latine</w:t>
            </w:r>
          </w:p>
        </w:tc>
        <w:tc>
          <w:tcPr>
            <w:tcW w:w="3969" w:type="dxa"/>
            <w:gridSpan w:val="2"/>
            <w:shd w:val="clear" w:color="auto" w:fill="FFFFFF"/>
            <w:tcMar>
              <w:top w:w="110" w:type="dxa"/>
            </w:tcMar>
          </w:tcPr>
          <w:p w:rsidR="004007D3" w:rsidRPr="00251542" w:rsidRDefault="004007D3" w:rsidP="001A5BF9">
            <w:pPr>
              <w:autoSpaceDE w:val="0"/>
              <w:autoSpaceDN w:val="0"/>
              <w:adjustRightInd w:val="0"/>
              <w:spacing w:after="120"/>
              <w:rPr>
                <w:rFonts w:cs="Arial"/>
                <w:b/>
                <w:sz w:val="16"/>
                <w:szCs w:val="16"/>
              </w:rPr>
            </w:pPr>
            <w:r w:rsidRPr="00251542">
              <w:rPr>
                <w:sz w:val="16"/>
              </w:rPr>
              <w:t>Continuer la création de la plate</w:t>
            </w:r>
            <w:r w:rsidR="002D6F2A" w:rsidRPr="00251542">
              <w:rPr>
                <w:sz w:val="16"/>
              </w:rPr>
              <w:noBreakHyphen/>
            </w:r>
            <w:r w:rsidRPr="00251542">
              <w:rPr>
                <w:sz w:val="16"/>
              </w:rPr>
              <w:t xml:space="preserve">forme </w:t>
            </w:r>
            <w:proofErr w:type="spellStart"/>
            <w:r w:rsidRPr="00251542">
              <w:rPr>
                <w:sz w:val="16"/>
              </w:rPr>
              <w:t>CIBEPYME</w:t>
            </w:r>
            <w:proofErr w:type="spellEnd"/>
            <w:r w:rsidRPr="00251542">
              <w:rPr>
                <w:sz w:val="16"/>
              </w:rPr>
              <w:t xml:space="preserve"> </w:t>
            </w:r>
          </w:p>
        </w:tc>
      </w:tr>
      <w:tr w:rsidR="004007D3" w:rsidRPr="00251542" w:rsidTr="0056083E">
        <w:trPr>
          <w:cantSplit/>
        </w:trPr>
        <w:tc>
          <w:tcPr>
            <w:tcW w:w="1981" w:type="dxa"/>
          </w:tcPr>
          <w:p w:rsidR="004007D3" w:rsidRPr="00251542" w:rsidRDefault="004007D3" w:rsidP="001A5BF9">
            <w:pPr>
              <w:autoSpaceDE w:val="0"/>
              <w:autoSpaceDN w:val="0"/>
              <w:adjustRightInd w:val="0"/>
              <w:spacing w:after="120"/>
              <w:rPr>
                <w:rFonts w:cs="Arial"/>
                <w:sz w:val="16"/>
                <w:szCs w:val="16"/>
              </w:rPr>
            </w:pPr>
            <w:r w:rsidRPr="00251542">
              <w:rPr>
                <w:sz w:val="16"/>
              </w:rPr>
              <w:t>L</w:t>
            </w:r>
            <w:r w:rsidR="00A20444" w:rsidRPr="00251542">
              <w:rPr>
                <w:sz w:val="16"/>
              </w:rPr>
              <w:t>’</w:t>
            </w:r>
            <w:proofErr w:type="spellStart"/>
            <w:r w:rsidRPr="00251542">
              <w:rPr>
                <w:sz w:val="16"/>
              </w:rPr>
              <w:t>OEBM</w:t>
            </w:r>
            <w:proofErr w:type="spellEnd"/>
            <w:r w:rsidRPr="00251542">
              <w:rPr>
                <w:sz w:val="16"/>
              </w:rPr>
              <w:t xml:space="preserve"> a hébergé un serveur pour la plate</w:t>
            </w:r>
            <w:r w:rsidR="002D6F2A" w:rsidRPr="00251542">
              <w:rPr>
                <w:sz w:val="16"/>
              </w:rPr>
              <w:noBreakHyphen/>
            </w:r>
            <w:r w:rsidRPr="00251542">
              <w:rPr>
                <w:sz w:val="16"/>
              </w:rPr>
              <w:t>forme</w:t>
            </w:r>
          </w:p>
        </w:tc>
        <w:tc>
          <w:tcPr>
            <w:tcW w:w="1260" w:type="dxa"/>
            <w:shd w:val="clear" w:color="auto" w:fill="auto"/>
            <w:tcMar>
              <w:top w:w="110" w:type="dxa"/>
            </w:tcMar>
          </w:tcPr>
          <w:p w:rsidR="00D42474" w:rsidRDefault="00812285" w:rsidP="001A5BF9">
            <w:pPr>
              <w:autoSpaceDE w:val="0"/>
              <w:autoSpaceDN w:val="0"/>
              <w:adjustRightInd w:val="0"/>
              <w:spacing w:after="120"/>
              <w:rPr>
                <w:rFonts w:cs="Arial"/>
                <w:sz w:val="16"/>
                <w:szCs w:val="16"/>
              </w:rPr>
            </w:pPr>
            <w:r>
              <w:rPr>
                <w:sz w:val="16"/>
              </w:rPr>
              <w:t>j</w:t>
            </w:r>
            <w:r w:rsidR="004007D3" w:rsidRPr="00251542">
              <w:rPr>
                <w:sz w:val="16"/>
              </w:rPr>
              <w:t>anvier à décembre</w:t>
            </w:r>
            <w:r w:rsidR="00385904" w:rsidRPr="00251542">
              <w:rPr>
                <w:sz w:val="16"/>
              </w:rPr>
              <w:br/>
            </w:r>
            <w:r w:rsidR="004007D3" w:rsidRPr="00251542">
              <w:rPr>
                <w:sz w:val="16"/>
              </w:rPr>
              <w:t>2013</w:t>
            </w:r>
          </w:p>
          <w:p w:rsidR="004007D3" w:rsidRPr="00251542" w:rsidRDefault="004007D3" w:rsidP="001A5BF9">
            <w:pPr>
              <w:autoSpaceDE w:val="0"/>
              <w:autoSpaceDN w:val="0"/>
              <w:adjustRightInd w:val="0"/>
              <w:spacing w:after="120"/>
              <w:rPr>
                <w:rFonts w:cs="Arial"/>
                <w:sz w:val="16"/>
                <w:szCs w:val="16"/>
              </w:rPr>
            </w:pPr>
            <w:r w:rsidRPr="00251542">
              <w:rPr>
                <w:sz w:val="16"/>
              </w:rPr>
              <w:t>(projet en cours depuis</w:t>
            </w:r>
            <w:r w:rsidR="0010442A" w:rsidRPr="00251542">
              <w:rPr>
                <w:sz w:val="16"/>
              </w:rPr>
              <w:t> </w:t>
            </w:r>
            <w:r w:rsidRPr="00251542">
              <w:rPr>
                <w:sz w:val="16"/>
              </w:rPr>
              <w:t>2010)</w:t>
            </w:r>
          </w:p>
        </w:tc>
        <w:tc>
          <w:tcPr>
            <w:tcW w:w="1862" w:type="dxa"/>
            <w:gridSpan w:val="2"/>
            <w:shd w:val="clear" w:color="auto" w:fill="auto"/>
            <w:tcMar>
              <w:top w:w="110" w:type="dxa"/>
            </w:tcMar>
          </w:tcPr>
          <w:p w:rsidR="004007D3" w:rsidRPr="00251542" w:rsidRDefault="004007D3" w:rsidP="001A5BF9">
            <w:pPr>
              <w:autoSpaceDE w:val="0"/>
              <w:autoSpaceDN w:val="0"/>
              <w:adjustRightInd w:val="0"/>
              <w:spacing w:after="120"/>
              <w:rPr>
                <w:rFonts w:cs="Arial"/>
                <w:sz w:val="16"/>
                <w:szCs w:val="16"/>
              </w:rPr>
            </w:pPr>
            <w:r w:rsidRPr="00251542">
              <w:rPr>
                <w:sz w:val="16"/>
              </w:rPr>
              <w:t>Tous les pays d</w:t>
            </w:r>
            <w:r w:rsidR="00A20444" w:rsidRPr="00251542">
              <w:rPr>
                <w:sz w:val="16"/>
              </w:rPr>
              <w:t>’</w:t>
            </w:r>
            <w:r w:rsidRPr="00251542">
              <w:rPr>
                <w:sz w:val="16"/>
              </w:rPr>
              <w:t>Amérique latine</w:t>
            </w:r>
          </w:p>
        </w:tc>
        <w:tc>
          <w:tcPr>
            <w:tcW w:w="3969" w:type="dxa"/>
            <w:gridSpan w:val="2"/>
            <w:shd w:val="clear" w:color="auto" w:fill="FFFFFF"/>
            <w:tcMar>
              <w:top w:w="110" w:type="dxa"/>
            </w:tcMar>
          </w:tcPr>
          <w:p w:rsidR="004007D3" w:rsidRPr="00251542" w:rsidRDefault="004007D3" w:rsidP="001A5BF9">
            <w:pPr>
              <w:autoSpaceDE w:val="0"/>
              <w:autoSpaceDN w:val="0"/>
              <w:adjustRightInd w:val="0"/>
              <w:spacing w:after="120"/>
              <w:rPr>
                <w:rFonts w:cs="Arial"/>
                <w:sz w:val="16"/>
                <w:szCs w:val="16"/>
              </w:rPr>
            </w:pPr>
            <w:r w:rsidRPr="00251542">
              <w:rPr>
                <w:sz w:val="16"/>
              </w:rPr>
              <w:t>Rendre accessible la plate</w:t>
            </w:r>
            <w:r w:rsidR="002D6F2A" w:rsidRPr="00251542">
              <w:rPr>
                <w:sz w:val="16"/>
              </w:rPr>
              <w:noBreakHyphen/>
            </w:r>
            <w:r w:rsidRPr="00251542">
              <w:rPr>
                <w:sz w:val="16"/>
              </w:rPr>
              <w:t xml:space="preserve">forme </w:t>
            </w:r>
            <w:proofErr w:type="spellStart"/>
            <w:r w:rsidRPr="00251542">
              <w:rPr>
                <w:sz w:val="16"/>
              </w:rPr>
              <w:t>CIBEPYME</w:t>
            </w:r>
            <w:proofErr w:type="spellEnd"/>
            <w:r w:rsidRPr="00251542">
              <w:rPr>
                <w:sz w:val="16"/>
              </w:rPr>
              <w:t xml:space="preserve"> </w:t>
            </w:r>
          </w:p>
        </w:tc>
      </w:tr>
      <w:tr w:rsidR="004007D3" w:rsidRPr="00251542" w:rsidTr="0056083E">
        <w:trPr>
          <w:cantSplit/>
        </w:trPr>
        <w:tc>
          <w:tcPr>
            <w:tcW w:w="1981" w:type="dxa"/>
          </w:tcPr>
          <w:p w:rsidR="004007D3" w:rsidRPr="00251542" w:rsidRDefault="004007D3" w:rsidP="001A5BF9">
            <w:pPr>
              <w:autoSpaceDE w:val="0"/>
              <w:autoSpaceDN w:val="0"/>
              <w:adjustRightInd w:val="0"/>
              <w:spacing w:after="120"/>
              <w:rPr>
                <w:rFonts w:cs="Arial"/>
                <w:sz w:val="16"/>
                <w:szCs w:val="16"/>
              </w:rPr>
            </w:pPr>
            <w:r w:rsidRPr="00251542">
              <w:rPr>
                <w:sz w:val="16"/>
                <w:szCs w:val="16"/>
              </w:rPr>
              <w:t>Recrutement par l</w:t>
            </w:r>
            <w:r w:rsidR="00A20444" w:rsidRPr="00251542">
              <w:rPr>
                <w:sz w:val="16"/>
                <w:szCs w:val="16"/>
              </w:rPr>
              <w:t>’</w:t>
            </w:r>
            <w:r w:rsidRPr="00251542">
              <w:rPr>
                <w:sz w:val="16"/>
                <w:szCs w:val="16"/>
              </w:rPr>
              <w:t>OMPI d</w:t>
            </w:r>
            <w:r w:rsidR="00A20444" w:rsidRPr="00251542">
              <w:rPr>
                <w:sz w:val="16"/>
                <w:szCs w:val="16"/>
              </w:rPr>
              <w:t>’</w:t>
            </w:r>
            <w:r w:rsidRPr="00251542">
              <w:rPr>
                <w:sz w:val="16"/>
                <w:szCs w:val="16"/>
              </w:rPr>
              <w:t>un expert chargé de mettre au point les services et les contenus de la plate</w:t>
            </w:r>
            <w:r w:rsidR="002D6F2A" w:rsidRPr="00251542">
              <w:rPr>
                <w:sz w:val="16"/>
                <w:szCs w:val="16"/>
              </w:rPr>
              <w:noBreakHyphen/>
            </w:r>
            <w:r w:rsidRPr="00251542">
              <w:rPr>
                <w:sz w:val="16"/>
                <w:szCs w:val="16"/>
              </w:rPr>
              <w:t>forme et de coordonner les apports des pays ibéro</w:t>
            </w:r>
            <w:r w:rsidR="002D6F2A" w:rsidRPr="00251542">
              <w:rPr>
                <w:sz w:val="16"/>
                <w:szCs w:val="16"/>
              </w:rPr>
              <w:noBreakHyphen/>
            </w:r>
            <w:r w:rsidRPr="00251542">
              <w:rPr>
                <w:sz w:val="16"/>
                <w:szCs w:val="16"/>
              </w:rPr>
              <w:t>américains</w:t>
            </w:r>
          </w:p>
        </w:tc>
        <w:tc>
          <w:tcPr>
            <w:tcW w:w="1260" w:type="dxa"/>
            <w:shd w:val="clear" w:color="auto" w:fill="auto"/>
            <w:tcMar>
              <w:top w:w="110" w:type="dxa"/>
            </w:tcMar>
          </w:tcPr>
          <w:p w:rsidR="00D42474" w:rsidRDefault="00812285" w:rsidP="001A5BF9">
            <w:pPr>
              <w:autoSpaceDE w:val="0"/>
              <w:autoSpaceDN w:val="0"/>
              <w:adjustRightInd w:val="0"/>
              <w:spacing w:after="120"/>
              <w:rPr>
                <w:rFonts w:cs="Arial"/>
                <w:sz w:val="16"/>
                <w:szCs w:val="16"/>
              </w:rPr>
            </w:pPr>
            <w:r>
              <w:rPr>
                <w:sz w:val="16"/>
                <w:szCs w:val="16"/>
              </w:rPr>
              <w:t>o</w:t>
            </w:r>
            <w:r w:rsidR="004007D3" w:rsidRPr="00251542">
              <w:rPr>
                <w:sz w:val="16"/>
                <w:szCs w:val="16"/>
              </w:rPr>
              <w:t>ctobre à décembre</w:t>
            </w:r>
            <w:r w:rsidR="00385904" w:rsidRPr="00251542">
              <w:rPr>
                <w:sz w:val="16"/>
                <w:szCs w:val="16"/>
              </w:rPr>
              <w:br/>
            </w:r>
            <w:r w:rsidR="004007D3" w:rsidRPr="00251542">
              <w:rPr>
                <w:sz w:val="16"/>
                <w:szCs w:val="16"/>
              </w:rPr>
              <w:t>2013</w:t>
            </w:r>
          </w:p>
          <w:p w:rsidR="004007D3" w:rsidRPr="00251542" w:rsidRDefault="004007D3" w:rsidP="001A5BF9">
            <w:pPr>
              <w:autoSpaceDE w:val="0"/>
              <w:autoSpaceDN w:val="0"/>
              <w:adjustRightInd w:val="0"/>
              <w:spacing w:after="120"/>
              <w:rPr>
                <w:rFonts w:cs="Arial"/>
                <w:sz w:val="16"/>
                <w:szCs w:val="16"/>
              </w:rPr>
            </w:pPr>
          </w:p>
        </w:tc>
        <w:tc>
          <w:tcPr>
            <w:tcW w:w="1862" w:type="dxa"/>
            <w:gridSpan w:val="2"/>
            <w:shd w:val="clear" w:color="auto" w:fill="auto"/>
            <w:tcMar>
              <w:top w:w="110" w:type="dxa"/>
            </w:tcMar>
          </w:tcPr>
          <w:p w:rsidR="004007D3" w:rsidRPr="00251542" w:rsidRDefault="004007D3" w:rsidP="001A5BF9">
            <w:pPr>
              <w:autoSpaceDE w:val="0"/>
              <w:autoSpaceDN w:val="0"/>
              <w:adjustRightInd w:val="0"/>
              <w:spacing w:after="120"/>
              <w:rPr>
                <w:rFonts w:cs="Arial"/>
                <w:sz w:val="16"/>
                <w:szCs w:val="16"/>
              </w:rPr>
            </w:pPr>
            <w:r w:rsidRPr="00251542">
              <w:rPr>
                <w:sz w:val="16"/>
                <w:szCs w:val="16"/>
              </w:rPr>
              <w:t>Tous les pays d</w:t>
            </w:r>
            <w:r w:rsidR="00A20444" w:rsidRPr="00251542">
              <w:rPr>
                <w:sz w:val="16"/>
                <w:szCs w:val="16"/>
              </w:rPr>
              <w:t>’</w:t>
            </w:r>
            <w:r w:rsidRPr="00251542">
              <w:rPr>
                <w:sz w:val="16"/>
                <w:szCs w:val="16"/>
              </w:rPr>
              <w:t>Amérique latine</w:t>
            </w:r>
          </w:p>
        </w:tc>
        <w:tc>
          <w:tcPr>
            <w:tcW w:w="3969" w:type="dxa"/>
            <w:gridSpan w:val="2"/>
            <w:shd w:val="clear" w:color="auto" w:fill="FFFFFF"/>
            <w:tcMar>
              <w:top w:w="110" w:type="dxa"/>
            </w:tcMar>
          </w:tcPr>
          <w:p w:rsidR="004007D3" w:rsidRPr="00251542" w:rsidRDefault="004007D3" w:rsidP="001A5BF9">
            <w:pPr>
              <w:autoSpaceDE w:val="0"/>
              <w:autoSpaceDN w:val="0"/>
              <w:adjustRightInd w:val="0"/>
              <w:spacing w:after="120"/>
              <w:rPr>
                <w:rFonts w:cs="Arial"/>
                <w:sz w:val="16"/>
                <w:szCs w:val="16"/>
              </w:rPr>
            </w:pPr>
            <w:r w:rsidRPr="00251542">
              <w:rPr>
                <w:sz w:val="16"/>
                <w:szCs w:val="16"/>
              </w:rPr>
              <w:t xml:space="preserve">Mettre au point les services et les contenus, et coordonner les apports des pays dans </w:t>
            </w:r>
            <w:proofErr w:type="spellStart"/>
            <w:r w:rsidRPr="00251542">
              <w:rPr>
                <w:sz w:val="16"/>
                <w:szCs w:val="16"/>
              </w:rPr>
              <w:t>CIBEPYME</w:t>
            </w:r>
            <w:proofErr w:type="spellEnd"/>
            <w:r w:rsidRPr="00251542">
              <w:rPr>
                <w:sz w:val="16"/>
                <w:szCs w:val="16"/>
              </w:rPr>
              <w:t xml:space="preserve"> </w:t>
            </w:r>
          </w:p>
        </w:tc>
      </w:tr>
      <w:tr w:rsidR="004007D3" w:rsidRPr="00251542" w:rsidTr="0056083E">
        <w:trPr>
          <w:cantSplit/>
        </w:trPr>
        <w:tc>
          <w:tcPr>
            <w:tcW w:w="1981" w:type="dxa"/>
          </w:tcPr>
          <w:p w:rsidR="004007D3" w:rsidRPr="00251542" w:rsidRDefault="004007D3" w:rsidP="001A5BF9">
            <w:pPr>
              <w:autoSpaceDE w:val="0"/>
              <w:autoSpaceDN w:val="0"/>
              <w:adjustRightInd w:val="0"/>
              <w:spacing w:after="120"/>
              <w:rPr>
                <w:rFonts w:cs="Arial"/>
                <w:sz w:val="16"/>
                <w:szCs w:val="16"/>
              </w:rPr>
            </w:pPr>
            <w:r w:rsidRPr="00251542">
              <w:rPr>
                <w:sz w:val="16"/>
                <w:szCs w:val="16"/>
              </w:rPr>
              <w:t>Programme de formation de l</w:t>
            </w:r>
            <w:r w:rsidR="00A20444" w:rsidRPr="00251542">
              <w:rPr>
                <w:sz w:val="16"/>
                <w:szCs w:val="16"/>
              </w:rPr>
              <w:t>’</w:t>
            </w:r>
            <w:r w:rsidRPr="00251542">
              <w:rPr>
                <w:sz w:val="16"/>
                <w:szCs w:val="16"/>
              </w:rPr>
              <w:t>expert chargé de la mise au point des services et contenus de la plate</w:t>
            </w:r>
            <w:r w:rsidR="002D6F2A" w:rsidRPr="00251542">
              <w:rPr>
                <w:sz w:val="16"/>
                <w:szCs w:val="16"/>
              </w:rPr>
              <w:noBreakHyphen/>
            </w:r>
            <w:r w:rsidRPr="00251542">
              <w:rPr>
                <w:sz w:val="16"/>
                <w:szCs w:val="16"/>
              </w:rPr>
              <w:t>forme</w:t>
            </w:r>
          </w:p>
        </w:tc>
        <w:tc>
          <w:tcPr>
            <w:tcW w:w="1260" w:type="dxa"/>
            <w:shd w:val="clear" w:color="auto" w:fill="auto"/>
            <w:tcMar>
              <w:top w:w="110" w:type="dxa"/>
            </w:tcMar>
          </w:tcPr>
          <w:p w:rsidR="004007D3" w:rsidRPr="00251542" w:rsidRDefault="00812285" w:rsidP="001A5BF9">
            <w:pPr>
              <w:autoSpaceDE w:val="0"/>
              <w:autoSpaceDN w:val="0"/>
              <w:adjustRightInd w:val="0"/>
              <w:spacing w:after="120"/>
              <w:rPr>
                <w:rFonts w:cs="Arial"/>
                <w:sz w:val="16"/>
                <w:szCs w:val="16"/>
              </w:rPr>
            </w:pPr>
            <w:r>
              <w:rPr>
                <w:sz w:val="16"/>
                <w:szCs w:val="16"/>
              </w:rPr>
              <w:t>n</w:t>
            </w:r>
            <w:r w:rsidR="004007D3" w:rsidRPr="00251542">
              <w:rPr>
                <w:sz w:val="16"/>
                <w:szCs w:val="16"/>
              </w:rPr>
              <w:t>ovembre </w:t>
            </w:r>
            <w:r w:rsidR="00385904" w:rsidRPr="00251542">
              <w:rPr>
                <w:sz w:val="16"/>
                <w:szCs w:val="16"/>
              </w:rPr>
              <w:br/>
            </w:r>
            <w:r w:rsidR="004007D3" w:rsidRPr="00251542">
              <w:rPr>
                <w:sz w:val="16"/>
                <w:szCs w:val="16"/>
              </w:rPr>
              <w:t>2013</w:t>
            </w:r>
          </w:p>
        </w:tc>
        <w:tc>
          <w:tcPr>
            <w:tcW w:w="1862" w:type="dxa"/>
            <w:gridSpan w:val="2"/>
            <w:shd w:val="clear" w:color="auto" w:fill="auto"/>
            <w:tcMar>
              <w:top w:w="110" w:type="dxa"/>
            </w:tcMar>
          </w:tcPr>
          <w:p w:rsidR="004007D3" w:rsidRPr="00251542" w:rsidRDefault="004007D3" w:rsidP="001A5BF9">
            <w:pPr>
              <w:autoSpaceDE w:val="0"/>
              <w:autoSpaceDN w:val="0"/>
              <w:adjustRightInd w:val="0"/>
              <w:spacing w:after="120"/>
              <w:rPr>
                <w:rFonts w:cs="Arial"/>
                <w:sz w:val="16"/>
                <w:szCs w:val="16"/>
              </w:rPr>
            </w:pPr>
            <w:r w:rsidRPr="00251542">
              <w:rPr>
                <w:sz w:val="16"/>
                <w:szCs w:val="16"/>
              </w:rPr>
              <w:t>Tous les pays d</w:t>
            </w:r>
            <w:r w:rsidR="00A20444" w:rsidRPr="00251542">
              <w:rPr>
                <w:sz w:val="16"/>
                <w:szCs w:val="16"/>
              </w:rPr>
              <w:t>’</w:t>
            </w:r>
            <w:r w:rsidRPr="00251542">
              <w:rPr>
                <w:sz w:val="16"/>
                <w:szCs w:val="16"/>
              </w:rPr>
              <w:t>Amérique latine</w:t>
            </w:r>
          </w:p>
        </w:tc>
        <w:tc>
          <w:tcPr>
            <w:tcW w:w="3969" w:type="dxa"/>
            <w:gridSpan w:val="2"/>
            <w:shd w:val="clear" w:color="auto" w:fill="FFFFFF"/>
            <w:tcMar>
              <w:top w:w="110" w:type="dxa"/>
            </w:tcMar>
          </w:tcPr>
          <w:p w:rsidR="004007D3" w:rsidRPr="00251542" w:rsidRDefault="004007D3" w:rsidP="001A5BF9">
            <w:pPr>
              <w:autoSpaceDE w:val="0"/>
              <w:autoSpaceDN w:val="0"/>
              <w:adjustRightInd w:val="0"/>
              <w:spacing w:after="120"/>
              <w:rPr>
                <w:rFonts w:cs="Arial"/>
                <w:sz w:val="16"/>
                <w:szCs w:val="16"/>
              </w:rPr>
            </w:pPr>
            <w:r w:rsidRPr="00251542">
              <w:rPr>
                <w:sz w:val="16"/>
                <w:szCs w:val="16"/>
              </w:rPr>
              <w:t>Programme de formation de l</w:t>
            </w:r>
            <w:r w:rsidR="00A20444" w:rsidRPr="00251542">
              <w:rPr>
                <w:sz w:val="16"/>
                <w:szCs w:val="16"/>
              </w:rPr>
              <w:t>’</w:t>
            </w:r>
            <w:r w:rsidRPr="00251542">
              <w:rPr>
                <w:sz w:val="16"/>
                <w:szCs w:val="16"/>
              </w:rPr>
              <w:t>expert chargé de la mise au point des services et contenus de la plate</w:t>
            </w:r>
            <w:r w:rsidR="002D6F2A" w:rsidRPr="00251542">
              <w:rPr>
                <w:sz w:val="16"/>
                <w:szCs w:val="16"/>
              </w:rPr>
              <w:noBreakHyphen/>
            </w:r>
            <w:r w:rsidRPr="00251542">
              <w:rPr>
                <w:sz w:val="16"/>
                <w:szCs w:val="16"/>
              </w:rPr>
              <w:t xml:space="preserve">forme </w:t>
            </w:r>
          </w:p>
        </w:tc>
      </w:tr>
      <w:tr w:rsidR="004007D3" w:rsidRPr="00251542" w:rsidTr="0056083E">
        <w:trPr>
          <w:cantSplit/>
          <w:trHeight w:val="460"/>
        </w:trPr>
        <w:tc>
          <w:tcPr>
            <w:tcW w:w="1981" w:type="dxa"/>
          </w:tcPr>
          <w:p w:rsidR="004007D3" w:rsidRPr="00251542" w:rsidRDefault="004007D3" w:rsidP="001A5BF9">
            <w:pPr>
              <w:autoSpaceDE w:val="0"/>
              <w:autoSpaceDN w:val="0"/>
              <w:adjustRightInd w:val="0"/>
              <w:spacing w:after="120"/>
              <w:rPr>
                <w:rFonts w:cs="Arial"/>
                <w:sz w:val="16"/>
                <w:szCs w:val="16"/>
              </w:rPr>
            </w:pPr>
            <w:r w:rsidRPr="00251542">
              <w:rPr>
                <w:sz w:val="16"/>
              </w:rPr>
              <w:t>Réunion de coordination et de suivi des pays participant au projet</w:t>
            </w:r>
          </w:p>
        </w:tc>
        <w:tc>
          <w:tcPr>
            <w:tcW w:w="1260" w:type="dxa"/>
            <w:shd w:val="clear" w:color="auto" w:fill="auto"/>
            <w:tcMar>
              <w:top w:w="110" w:type="dxa"/>
            </w:tcMar>
          </w:tcPr>
          <w:p w:rsidR="004007D3" w:rsidRPr="00251542" w:rsidRDefault="00812285" w:rsidP="001A5BF9">
            <w:pPr>
              <w:autoSpaceDE w:val="0"/>
              <w:autoSpaceDN w:val="0"/>
              <w:adjustRightInd w:val="0"/>
              <w:spacing w:after="120"/>
              <w:rPr>
                <w:rFonts w:cs="Arial"/>
                <w:sz w:val="16"/>
                <w:szCs w:val="16"/>
              </w:rPr>
            </w:pPr>
            <w:r>
              <w:rPr>
                <w:sz w:val="16"/>
              </w:rPr>
              <w:t>o</w:t>
            </w:r>
            <w:r w:rsidR="00BD43F2" w:rsidRPr="00251542">
              <w:rPr>
                <w:sz w:val="16"/>
              </w:rPr>
              <w:t>ctobre </w:t>
            </w:r>
            <w:r w:rsidR="004007D3" w:rsidRPr="00251542">
              <w:rPr>
                <w:sz w:val="16"/>
              </w:rPr>
              <w:t>2013</w:t>
            </w:r>
          </w:p>
        </w:tc>
        <w:tc>
          <w:tcPr>
            <w:tcW w:w="1862" w:type="dxa"/>
            <w:gridSpan w:val="2"/>
            <w:shd w:val="clear" w:color="auto" w:fill="auto"/>
            <w:tcMar>
              <w:top w:w="110" w:type="dxa"/>
            </w:tcMar>
          </w:tcPr>
          <w:p w:rsidR="004007D3" w:rsidRPr="00251542" w:rsidRDefault="004007D3" w:rsidP="001A5BF9">
            <w:pPr>
              <w:autoSpaceDE w:val="0"/>
              <w:autoSpaceDN w:val="0"/>
              <w:adjustRightInd w:val="0"/>
              <w:spacing w:after="120"/>
              <w:rPr>
                <w:rFonts w:cs="Arial"/>
                <w:sz w:val="16"/>
                <w:szCs w:val="16"/>
              </w:rPr>
            </w:pPr>
            <w:r w:rsidRPr="00251542">
              <w:rPr>
                <w:sz w:val="16"/>
              </w:rPr>
              <w:t>Tous les pays d</w:t>
            </w:r>
            <w:r w:rsidR="00A20444" w:rsidRPr="00251542">
              <w:rPr>
                <w:sz w:val="16"/>
              </w:rPr>
              <w:t>’</w:t>
            </w:r>
            <w:r w:rsidRPr="00251542">
              <w:rPr>
                <w:sz w:val="16"/>
              </w:rPr>
              <w:t>Amérique latine</w:t>
            </w:r>
          </w:p>
        </w:tc>
        <w:tc>
          <w:tcPr>
            <w:tcW w:w="3969" w:type="dxa"/>
            <w:gridSpan w:val="2"/>
            <w:shd w:val="clear" w:color="auto" w:fill="FFFFFF"/>
            <w:tcMar>
              <w:top w:w="110" w:type="dxa"/>
            </w:tcMar>
          </w:tcPr>
          <w:p w:rsidR="004007D3" w:rsidRPr="00251542" w:rsidRDefault="004007D3" w:rsidP="001A5BF9">
            <w:pPr>
              <w:autoSpaceDE w:val="0"/>
              <w:autoSpaceDN w:val="0"/>
              <w:adjustRightInd w:val="0"/>
              <w:spacing w:after="120"/>
              <w:rPr>
                <w:rFonts w:cs="Arial"/>
                <w:sz w:val="16"/>
                <w:szCs w:val="16"/>
              </w:rPr>
            </w:pPr>
            <w:r w:rsidRPr="00251542">
              <w:rPr>
                <w:sz w:val="16"/>
              </w:rPr>
              <w:t>Fournir des mises à jour de l</w:t>
            </w:r>
            <w:r w:rsidR="00A20444" w:rsidRPr="00251542">
              <w:rPr>
                <w:sz w:val="16"/>
              </w:rPr>
              <w:t>’</w:t>
            </w:r>
            <w:r w:rsidRPr="00251542">
              <w:rPr>
                <w:sz w:val="16"/>
              </w:rPr>
              <w:t>avancement et coordonner le projet </w:t>
            </w:r>
            <w:proofErr w:type="spellStart"/>
            <w:r w:rsidRPr="00251542">
              <w:rPr>
                <w:sz w:val="16"/>
              </w:rPr>
              <w:t>CIBEPYME</w:t>
            </w:r>
            <w:proofErr w:type="spellEnd"/>
            <w:r w:rsidRPr="00251542">
              <w:rPr>
                <w:sz w:val="16"/>
              </w:rPr>
              <w:t>.</w:t>
            </w:r>
          </w:p>
        </w:tc>
      </w:tr>
      <w:tr w:rsidR="004007D3" w:rsidRPr="00251542" w:rsidTr="0056083E">
        <w:trPr>
          <w:cantSplit/>
        </w:trPr>
        <w:tc>
          <w:tcPr>
            <w:tcW w:w="9072" w:type="dxa"/>
            <w:gridSpan w:val="6"/>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Mise à jour du système mondial</w:t>
            </w:r>
            <w:r w:rsidR="00A20444" w:rsidRPr="007A524A">
              <w:rPr>
                <w:sz w:val="16"/>
              </w:rPr>
              <w:t xml:space="preserve"> du PCT</w:t>
            </w:r>
            <w:r w:rsidRPr="007A524A">
              <w:rPr>
                <w:sz w:val="16"/>
              </w:rPr>
              <w:t xml:space="preserve"> et utilisation stratégique de ce système par tous les innovateurs qui en bénéficient</w:t>
            </w:r>
          </w:p>
        </w:tc>
      </w:tr>
      <w:tr w:rsidR="004007D3" w:rsidRPr="007A524A" w:rsidTr="0056083E">
        <w:trPr>
          <w:cantSplit/>
        </w:trPr>
        <w:tc>
          <w:tcPr>
            <w:tcW w:w="1981" w:type="dxa"/>
            <w:tcBorders>
              <w:top w:val="single" w:sz="4" w:space="0" w:color="auto"/>
            </w:tcBorders>
            <w:vAlign w:val="center"/>
          </w:tcPr>
          <w:p w:rsidR="004007D3" w:rsidRPr="007A524A" w:rsidRDefault="004007D3" w:rsidP="001A5BF9">
            <w:pPr>
              <w:keepNext/>
              <w:keepLines/>
              <w:rPr>
                <w:rFonts w:cs="Arial"/>
                <w:b/>
                <w:bCs/>
                <w:sz w:val="16"/>
                <w:szCs w:val="16"/>
              </w:rPr>
            </w:pPr>
            <w:r w:rsidRPr="007A524A">
              <w:rPr>
                <w:b/>
                <w:sz w:val="16"/>
              </w:rPr>
              <w:t>Activité</w:t>
            </w:r>
          </w:p>
        </w:tc>
        <w:tc>
          <w:tcPr>
            <w:tcW w:w="1260" w:type="dxa"/>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Date :</w:t>
            </w:r>
          </w:p>
        </w:tc>
        <w:tc>
          <w:tcPr>
            <w:tcW w:w="1862" w:type="dxa"/>
            <w:gridSpan w:val="2"/>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Pays hôte/bénéficiaire</w:t>
            </w:r>
          </w:p>
        </w:tc>
        <w:tc>
          <w:tcPr>
            <w:tcW w:w="3969" w:type="dxa"/>
            <w:gridSpan w:val="2"/>
            <w:tcBorders>
              <w:top w:val="single" w:sz="4" w:space="0" w:color="auto"/>
            </w:tcBorders>
            <w:shd w:val="clear" w:color="auto" w:fill="FFFFFF"/>
            <w:tcMar>
              <w:top w:w="110" w:type="dxa"/>
            </w:tcMar>
            <w:vAlign w:val="center"/>
          </w:tcPr>
          <w:p w:rsidR="004007D3" w:rsidRPr="007A524A" w:rsidRDefault="004007D3" w:rsidP="001A5BF9">
            <w:pPr>
              <w:keepNext/>
              <w:keepLines/>
              <w:rPr>
                <w:rFonts w:cs="Arial"/>
                <w:b/>
                <w:sz w:val="16"/>
                <w:szCs w:val="16"/>
              </w:rPr>
            </w:pPr>
            <w:r w:rsidRPr="007A524A">
              <w:rPr>
                <w:b/>
                <w:sz w:val="16"/>
              </w:rPr>
              <w:t>Objectif(s)/description(s)</w:t>
            </w:r>
          </w:p>
        </w:tc>
      </w:tr>
      <w:tr w:rsidR="004007D3" w:rsidRPr="00251542" w:rsidTr="0056083E">
        <w:trPr>
          <w:cantSplit/>
        </w:trPr>
        <w:tc>
          <w:tcPr>
            <w:tcW w:w="1981"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Séminaire régional sur le PCT à l</w:t>
            </w:r>
            <w:r w:rsidR="00A20444" w:rsidRPr="00251542">
              <w:rPr>
                <w:sz w:val="16"/>
              </w:rPr>
              <w:t>’</w:t>
            </w:r>
            <w:r w:rsidRPr="00251542">
              <w:rPr>
                <w:sz w:val="16"/>
              </w:rPr>
              <w:t>attention des pays d</w:t>
            </w:r>
            <w:r w:rsidR="00A20444" w:rsidRPr="00251542">
              <w:rPr>
                <w:sz w:val="16"/>
              </w:rPr>
              <w:t>’</w:t>
            </w:r>
            <w:r w:rsidRPr="00251542">
              <w:rPr>
                <w:sz w:val="16"/>
              </w:rPr>
              <w:t>Amérique latine : Le PCT dans le cadre de l</w:t>
            </w:r>
            <w:r w:rsidR="00A20444" w:rsidRPr="00251542">
              <w:rPr>
                <w:sz w:val="16"/>
              </w:rPr>
              <w:t>’</w:t>
            </w:r>
            <w:r w:rsidRPr="00251542">
              <w:rPr>
                <w:sz w:val="16"/>
              </w:rPr>
              <w:t>organisation institutionnelle de la gestion de la propriété intellectuelle (Pérou).</w:t>
            </w:r>
          </w:p>
        </w:tc>
        <w:tc>
          <w:tcPr>
            <w:tcW w:w="1260" w:type="dxa"/>
          </w:tcPr>
          <w:p w:rsidR="00D42474" w:rsidRDefault="004007D3" w:rsidP="001A5BF9">
            <w:pPr>
              <w:autoSpaceDE w:val="0"/>
              <w:autoSpaceDN w:val="0"/>
              <w:adjustRightInd w:val="0"/>
              <w:spacing w:before="120" w:after="120"/>
              <w:rPr>
                <w:rFonts w:cs="Arial"/>
                <w:sz w:val="16"/>
                <w:szCs w:val="16"/>
              </w:rPr>
            </w:pPr>
            <w:r w:rsidRPr="00251542">
              <w:rPr>
                <w:sz w:val="16"/>
              </w:rPr>
              <w:t>15</w:t>
            </w:r>
            <w:r w:rsidR="002D6F2A" w:rsidRPr="00251542">
              <w:rPr>
                <w:sz w:val="16"/>
              </w:rPr>
              <w:noBreakHyphen/>
            </w:r>
            <w:r w:rsidRPr="00251542">
              <w:rPr>
                <w:sz w:val="16"/>
              </w:rPr>
              <w:t>16 juillet </w:t>
            </w:r>
            <w:r w:rsidR="00385904" w:rsidRPr="00251542">
              <w:rPr>
                <w:sz w:val="16"/>
              </w:rPr>
              <w:br/>
            </w:r>
            <w:r w:rsidRPr="00251542">
              <w:rPr>
                <w:sz w:val="16"/>
              </w:rPr>
              <w:t>2013</w:t>
            </w:r>
          </w:p>
          <w:p w:rsidR="004007D3" w:rsidRPr="00251542" w:rsidRDefault="004007D3" w:rsidP="001A5BF9">
            <w:pPr>
              <w:autoSpaceDE w:val="0"/>
              <w:autoSpaceDN w:val="0"/>
              <w:adjustRightInd w:val="0"/>
              <w:spacing w:before="120" w:after="120"/>
              <w:rPr>
                <w:rFonts w:cs="Arial"/>
                <w:sz w:val="16"/>
                <w:szCs w:val="16"/>
              </w:rPr>
            </w:pPr>
          </w:p>
        </w:tc>
        <w:tc>
          <w:tcPr>
            <w:tcW w:w="1862"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Pérou (Lima)/tous les pays d</w:t>
            </w:r>
            <w:r w:rsidR="00A20444" w:rsidRPr="00251542">
              <w:rPr>
                <w:sz w:val="16"/>
              </w:rPr>
              <w:t>’</w:t>
            </w:r>
            <w:r w:rsidRPr="00251542">
              <w:rPr>
                <w:sz w:val="16"/>
              </w:rPr>
              <w:t>Amérique latine et des Caraïbes</w:t>
            </w:r>
          </w:p>
        </w:tc>
        <w:tc>
          <w:tcPr>
            <w:tcW w:w="3969"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L</w:t>
            </w:r>
            <w:r w:rsidR="00A20444" w:rsidRPr="00251542">
              <w:rPr>
                <w:sz w:val="16"/>
              </w:rPr>
              <w:t>’</w:t>
            </w:r>
            <w:r w:rsidRPr="00251542">
              <w:rPr>
                <w:sz w:val="16"/>
              </w:rPr>
              <w:t>objectif de ce séminaire, qui est traditionnellement organisé chaque année en coopération avec l</w:t>
            </w:r>
            <w:r w:rsidR="00A20444" w:rsidRPr="00251542">
              <w:rPr>
                <w:sz w:val="16"/>
              </w:rPr>
              <w:t>’</w:t>
            </w:r>
            <w:r w:rsidRPr="00251542">
              <w:rPr>
                <w:sz w:val="16"/>
              </w:rPr>
              <w:t>Office espagnol des brevets et des marques (</w:t>
            </w:r>
            <w:proofErr w:type="spellStart"/>
            <w:r w:rsidRPr="00251542">
              <w:rPr>
                <w:sz w:val="16"/>
              </w:rPr>
              <w:t>OEBM</w:t>
            </w:r>
            <w:proofErr w:type="spellEnd"/>
            <w:r w:rsidRPr="00251542">
              <w:rPr>
                <w:sz w:val="16"/>
              </w:rPr>
              <w:t>), est de promouvoir les discussions sur le système du PCT dans la région et d</w:t>
            </w:r>
            <w:r w:rsidR="00A20444" w:rsidRPr="00251542">
              <w:rPr>
                <w:sz w:val="16"/>
              </w:rPr>
              <w:t>’</w:t>
            </w:r>
            <w:r w:rsidRPr="00251542">
              <w:rPr>
                <w:sz w:val="16"/>
              </w:rPr>
              <w:t>encourager l</w:t>
            </w:r>
            <w:r w:rsidR="00A20444" w:rsidRPr="00251542">
              <w:rPr>
                <w:sz w:val="16"/>
              </w:rPr>
              <w:t>’</w:t>
            </w:r>
            <w:r w:rsidRPr="00251542">
              <w:rPr>
                <w:sz w:val="16"/>
              </w:rPr>
              <w:t>échange d</w:t>
            </w:r>
            <w:r w:rsidR="00A20444" w:rsidRPr="00251542">
              <w:rPr>
                <w:sz w:val="16"/>
              </w:rPr>
              <w:t>’</w:t>
            </w:r>
            <w:r w:rsidRPr="00251542">
              <w:rPr>
                <w:sz w:val="16"/>
              </w:rPr>
              <w:t>idées et d</w:t>
            </w:r>
            <w:r w:rsidR="00A20444" w:rsidRPr="00251542">
              <w:rPr>
                <w:sz w:val="16"/>
              </w:rPr>
              <w:t>’</w:t>
            </w:r>
            <w:r w:rsidRPr="00251542">
              <w:rPr>
                <w:sz w:val="16"/>
              </w:rPr>
              <w:t>expériences sur la mise en œuvre du PCT</w:t>
            </w:r>
          </w:p>
        </w:tc>
      </w:tr>
      <w:tr w:rsidR="004007D3" w:rsidRPr="00251542" w:rsidTr="0056083E">
        <w:trPr>
          <w:cantSplit/>
        </w:trPr>
        <w:tc>
          <w:tcPr>
            <w:tcW w:w="1981" w:type="dxa"/>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Projet régional d</w:t>
            </w:r>
            <w:r w:rsidR="00A20444" w:rsidRPr="00251542">
              <w:rPr>
                <w:sz w:val="16"/>
              </w:rPr>
              <w:t>’</w:t>
            </w:r>
            <w:r w:rsidRPr="00251542">
              <w:rPr>
                <w:sz w:val="16"/>
              </w:rPr>
              <w:t>automatisation pour la traduction espagnole du niveau avancé de la classification internationale des brevets (</w:t>
            </w:r>
            <w:proofErr w:type="spellStart"/>
            <w:r w:rsidRPr="00251542">
              <w:rPr>
                <w:sz w:val="16"/>
              </w:rPr>
              <w:t>CIB</w:t>
            </w:r>
            <w:proofErr w:type="spellEnd"/>
            <w:r w:rsidRPr="00251542">
              <w:rPr>
                <w:sz w:val="16"/>
              </w:rPr>
              <w:t>)</w:t>
            </w:r>
          </w:p>
        </w:tc>
        <w:tc>
          <w:tcPr>
            <w:tcW w:w="1260" w:type="dxa"/>
            <w:tcBorders>
              <w:bottom w:val="single" w:sz="4" w:space="0" w:color="auto"/>
            </w:tcBorders>
          </w:tcPr>
          <w:p w:rsidR="00D42474" w:rsidRDefault="00812285" w:rsidP="001A5BF9">
            <w:pPr>
              <w:autoSpaceDE w:val="0"/>
              <w:autoSpaceDN w:val="0"/>
              <w:adjustRightInd w:val="0"/>
              <w:spacing w:before="120" w:after="120"/>
              <w:rPr>
                <w:rFonts w:cs="Arial"/>
                <w:sz w:val="16"/>
                <w:szCs w:val="16"/>
              </w:rPr>
            </w:pPr>
            <w:r>
              <w:rPr>
                <w:sz w:val="16"/>
              </w:rPr>
              <w:t>j</w:t>
            </w:r>
            <w:r w:rsidR="004007D3" w:rsidRPr="00251542">
              <w:rPr>
                <w:sz w:val="16"/>
              </w:rPr>
              <w:t>anvier à décembre </w:t>
            </w:r>
            <w:r w:rsidR="00385904" w:rsidRPr="00251542">
              <w:rPr>
                <w:sz w:val="16"/>
              </w:rPr>
              <w:br/>
            </w:r>
            <w:r w:rsidR="004007D3" w:rsidRPr="00251542">
              <w:rPr>
                <w:sz w:val="16"/>
              </w:rPr>
              <w:t>2013</w:t>
            </w:r>
          </w:p>
          <w:p w:rsidR="004007D3" w:rsidRPr="00251542" w:rsidRDefault="004007D3" w:rsidP="001A5BF9">
            <w:pPr>
              <w:autoSpaceDE w:val="0"/>
              <w:autoSpaceDN w:val="0"/>
              <w:adjustRightInd w:val="0"/>
              <w:spacing w:before="120" w:after="120"/>
              <w:rPr>
                <w:rFonts w:cs="Arial"/>
                <w:sz w:val="16"/>
                <w:szCs w:val="16"/>
              </w:rPr>
            </w:pPr>
            <w:r w:rsidRPr="00251542">
              <w:rPr>
                <w:sz w:val="16"/>
              </w:rPr>
              <w:t>(projet en cours depuis</w:t>
            </w:r>
            <w:r w:rsidR="0010442A" w:rsidRPr="00251542">
              <w:rPr>
                <w:sz w:val="16"/>
              </w:rPr>
              <w:t> </w:t>
            </w:r>
            <w:r w:rsidRPr="00251542">
              <w:rPr>
                <w:sz w:val="16"/>
              </w:rPr>
              <w:t>2010)</w:t>
            </w:r>
          </w:p>
        </w:tc>
        <w:tc>
          <w:tcPr>
            <w:tcW w:w="1862" w:type="dxa"/>
            <w:gridSpan w:val="2"/>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Pérou (Lima)/tous les pays d</w:t>
            </w:r>
            <w:r w:rsidR="00A20444" w:rsidRPr="00251542">
              <w:rPr>
                <w:sz w:val="16"/>
              </w:rPr>
              <w:t>’</w:t>
            </w:r>
            <w:r w:rsidRPr="00251542">
              <w:rPr>
                <w:sz w:val="16"/>
              </w:rPr>
              <w:t>Amérique latine et des Caraïbes</w:t>
            </w:r>
          </w:p>
        </w:tc>
        <w:tc>
          <w:tcPr>
            <w:tcW w:w="3969" w:type="dxa"/>
            <w:gridSpan w:val="2"/>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i) Mettre en œuvre l</w:t>
            </w:r>
            <w:r w:rsidR="00A20444" w:rsidRPr="00251542">
              <w:rPr>
                <w:sz w:val="16"/>
              </w:rPr>
              <w:t>’</w:t>
            </w:r>
            <w:r w:rsidRPr="00251542">
              <w:rPr>
                <w:sz w:val="16"/>
              </w:rPr>
              <w:t>automatisation pour la traduction espagnole du niveau avancé de</w:t>
            </w:r>
            <w:r w:rsidR="00A20444" w:rsidRPr="00251542">
              <w:rPr>
                <w:sz w:val="16"/>
              </w:rPr>
              <w:t xml:space="preserve"> la </w:t>
            </w:r>
            <w:proofErr w:type="spellStart"/>
            <w:r w:rsidR="00A20444" w:rsidRPr="00251542">
              <w:rPr>
                <w:sz w:val="16"/>
              </w:rPr>
              <w:t>CIB</w:t>
            </w:r>
            <w:proofErr w:type="spellEnd"/>
            <w:r w:rsidRPr="00251542">
              <w:rPr>
                <w:sz w:val="16"/>
              </w:rPr>
              <w:t>, qui est d</w:t>
            </w:r>
            <w:r w:rsidR="00A20444" w:rsidRPr="00251542">
              <w:rPr>
                <w:sz w:val="16"/>
              </w:rPr>
              <w:t>’</w:t>
            </w:r>
            <w:r w:rsidRPr="00251542">
              <w:rPr>
                <w:sz w:val="16"/>
              </w:rPr>
              <w:t>abord déployé en anglais et en français uniquement;</w:t>
            </w:r>
            <w:r w:rsidR="004F3E42" w:rsidRPr="00251542">
              <w:rPr>
                <w:sz w:val="16"/>
              </w:rPr>
              <w:t xml:space="preserve"> </w:t>
            </w:r>
            <w:r w:rsidR="0010442A" w:rsidRPr="00251542">
              <w:rPr>
                <w:sz w:val="16"/>
              </w:rPr>
              <w:t xml:space="preserve"> </w:t>
            </w:r>
            <w:r w:rsidRPr="00251542">
              <w:rPr>
                <w:sz w:val="16"/>
              </w:rPr>
              <w:t>et ii)</w:t>
            </w:r>
            <w:r w:rsidR="0010442A" w:rsidRPr="00251542">
              <w:rPr>
                <w:sz w:val="16"/>
              </w:rPr>
              <w:t> </w:t>
            </w:r>
            <w:r w:rsidRPr="00251542">
              <w:rPr>
                <w:sz w:val="16"/>
              </w:rPr>
              <w:t>assurer sa mise à disposition des offices de propriété industrielle dans les pays d</w:t>
            </w:r>
            <w:r w:rsidR="00A20444" w:rsidRPr="00251542">
              <w:rPr>
                <w:sz w:val="16"/>
              </w:rPr>
              <w:t>’</w:t>
            </w:r>
            <w:r w:rsidRPr="00251542">
              <w:rPr>
                <w:sz w:val="16"/>
              </w:rPr>
              <w:t>Amérique latine.</w:t>
            </w:r>
          </w:p>
        </w:tc>
      </w:tr>
      <w:tr w:rsidR="004007D3" w:rsidRPr="00251542" w:rsidTr="0056083E">
        <w:trPr>
          <w:cantSplit/>
        </w:trPr>
        <w:tc>
          <w:tcPr>
            <w:tcW w:w="9072" w:type="dxa"/>
            <w:gridSpan w:val="6"/>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Mécanismes, programmes et partenariats de coopération renforcés ou nouveaux</w:t>
            </w:r>
          </w:p>
        </w:tc>
      </w:tr>
      <w:tr w:rsidR="004007D3" w:rsidRPr="007A524A" w:rsidTr="0056083E">
        <w:trPr>
          <w:cantSplit/>
        </w:trPr>
        <w:tc>
          <w:tcPr>
            <w:tcW w:w="1981" w:type="dxa"/>
            <w:tcBorders>
              <w:top w:val="single" w:sz="4" w:space="0" w:color="auto"/>
            </w:tcBorders>
            <w:vAlign w:val="center"/>
          </w:tcPr>
          <w:p w:rsidR="004007D3" w:rsidRPr="007A524A" w:rsidRDefault="004007D3" w:rsidP="001A5BF9">
            <w:pPr>
              <w:keepNext/>
              <w:keepLines/>
              <w:rPr>
                <w:rFonts w:cs="Arial"/>
                <w:b/>
                <w:bCs/>
                <w:sz w:val="16"/>
                <w:szCs w:val="16"/>
              </w:rPr>
            </w:pPr>
            <w:r w:rsidRPr="007A524A">
              <w:rPr>
                <w:b/>
                <w:sz w:val="16"/>
              </w:rPr>
              <w:t>Activité</w:t>
            </w:r>
          </w:p>
        </w:tc>
        <w:tc>
          <w:tcPr>
            <w:tcW w:w="1260" w:type="dxa"/>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Date :</w:t>
            </w:r>
          </w:p>
        </w:tc>
        <w:tc>
          <w:tcPr>
            <w:tcW w:w="1862" w:type="dxa"/>
            <w:gridSpan w:val="2"/>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Pays hôte/bénéficiaire</w:t>
            </w:r>
          </w:p>
        </w:tc>
        <w:tc>
          <w:tcPr>
            <w:tcW w:w="3969" w:type="dxa"/>
            <w:gridSpan w:val="2"/>
            <w:tcBorders>
              <w:top w:val="single" w:sz="4" w:space="0" w:color="auto"/>
            </w:tcBorders>
            <w:shd w:val="clear" w:color="auto" w:fill="FFFFFF"/>
            <w:tcMar>
              <w:top w:w="110" w:type="dxa"/>
            </w:tcMar>
            <w:vAlign w:val="center"/>
          </w:tcPr>
          <w:p w:rsidR="004007D3" w:rsidRPr="007A524A" w:rsidRDefault="004007D3" w:rsidP="001A5BF9">
            <w:pPr>
              <w:keepNext/>
              <w:keepLines/>
              <w:rPr>
                <w:rFonts w:cs="Arial"/>
                <w:b/>
                <w:sz w:val="16"/>
                <w:szCs w:val="16"/>
              </w:rPr>
            </w:pPr>
            <w:r w:rsidRPr="007A524A">
              <w:rPr>
                <w:b/>
                <w:sz w:val="16"/>
              </w:rPr>
              <w:t>Objectif(s)/description(s)</w:t>
            </w:r>
          </w:p>
        </w:tc>
      </w:tr>
      <w:tr w:rsidR="004007D3" w:rsidRPr="00251542" w:rsidTr="0056083E">
        <w:trPr>
          <w:cantSplit/>
        </w:trPr>
        <w:tc>
          <w:tcPr>
            <w:tcW w:w="1981"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Réunion sous</w:t>
            </w:r>
            <w:r w:rsidR="002D6F2A" w:rsidRPr="00251542">
              <w:rPr>
                <w:sz w:val="16"/>
              </w:rPr>
              <w:noBreakHyphen/>
            </w:r>
            <w:r w:rsidRPr="00251542">
              <w:rPr>
                <w:sz w:val="16"/>
              </w:rPr>
              <w:t>régionale sur les marques des pays d</w:t>
            </w:r>
            <w:r w:rsidR="00A20444" w:rsidRPr="00251542">
              <w:rPr>
                <w:sz w:val="16"/>
              </w:rPr>
              <w:t>’</w:t>
            </w:r>
            <w:r w:rsidRPr="00251542">
              <w:rPr>
                <w:sz w:val="16"/>
              </w:rPr>
              <w:t>Amérique centrale, du Panama et de la République dominicaine pour l</w:t>
            </w:r>
            <w:r w:rsidR="00A20444" w:rsidRPr="00251542">
              <w:rPr>
                <w:sz w:val="16"/>
              </w:rPr>
              <w:t>’</w:t>
            </w:r>
            <w:r w:rsidRPr="00251542">
              <w:rPr>
                <w:sz w:val="16"/>
              </w:rPr>
              <w:t>examen et l</w:t>
            </w:r>
            <w:r w:rsidR="00A20444" w:rsidRPr="00251542">
              <w:rPr>
                <w:sz w:val="16"/>
              </w:rPr>
              <w:t>’</w:t>
            </w:r>
            <w:r w:rsidRPr="00251542">
              <w:rPr>
                <w:sz w:val="16"/>
              </w:rPr>
              <w:t>approbation d</w:t>
            </w:r>
            <w:r w:rsidR="00A20444" w:rsidRPr="00251542">
              <w:rPr>
                <w:sz w:val="16"/>
              </w:rPr>
              <w:t>’</w:t>
            </w:r>
            <w:r w:rsidRPr="00251542">
              <w:rPr>
                <w:sz w:val="16"/>
              </w:rPr>
              <w:t>un Manuel sur l</w:t>
            </w:r>
            <w:r w:rsidR="00A20444" w:rsidRPr="00251542">
              <w:rPr>
                <w:sz w:val="16"/>
              </w:rPr>
              <w:t>’</w:t>
            </w:r>
            <w:r w:rsidRPr="00251542">
              <w:rPr>
                <w:sz w:val="16"/>
              </w:rPr>
              <w:t>examen des demandes d</w:t>
            </w:r>
            <w:r w:rsidR="00A20444" w:rsidRPr="00251542">
              <w:rPr>
                <w:sz w:val="16"/>
              </w:rPr>
              <w:t>’</w:t>
            </w:r>
            <w:r w:rsidRPr="00251542">
              <w:rPr>
                <w:sz w:val="16"/>
              </w:rPr>
              <w:t>enregistrement de marques</w:t>
            </w:r>
          </w:p>
        </w:tc>
        <w:tc>
          <w:tcPr>
            <w:tcW w:w="1260"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20</w:t>
            </w:r>
            <w:r w:rsidR="002D6F2A" w:rsidRPr="00251542">
              <w:rPr>
                <w:sz w:val="16"/>
              </w:rPr>
              <w:noBreakHyphen/>
            </w:r>
            <w:r w:rsidRPr="00251542">
              <w:rPr>
                <w:sz w:val="16"/>
              </w:rPr>
              <w:t>21 février </w:t>
            </w:r>
            <w:r w:rsidR="00385904" w:rsidRPr="00251542">
              <w:rPr>
                <w:sz w:val="16"/>
              </w:rPr>
              <w:br/>
            </w:r>
            <w:r w:rsidRPr="00251542">
              <w:rPr>
                <w:sz w:val="16"/>
              </w:rPr>
              <w:t>2013</w:t>
            </w:r>
          </w:p>
        </w:tc>
        <w:tc>
          <w:tcPr>
            <w:tcW w:w="1862"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Panama/tous les pays ibéro</w:t>
            </w:r>
            <w:r w:rsidR="002D6F2A" w:rsidRPr="00251542">
              <w:rPr>
                <w:sz w:val="16"/>
              </w:rPr>
              <w:noBreakHyphen/>
            </w:r>
            <w:r w:rsidRPr="00251542">
              <w:rPr>
                <w:sz w:val="16"/>
              </w:rPr>
              <w:t>américains</w:t>
            </w:r>
          </w:p>
        </w:tc>
        <w:tc>
          <w:tcPr>
            <w:tcW w:w="3969"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i) Fournir l</w:t>
            </w:r>
            <w:r w:rsidR="00A20444" w:rsidRPr="00251542">
              <w:rPr>
                <w:sz w:val="16"/>
              </w:rPr>
              <w:t>’</w:t>
            </w:r>
            <w:r w:rsidRPr="00251542">
              <w:rPr>
                <w:sz w:val="16"/>
              </w:rPr>
              <w:t>opportunité d</w:t>
            </w:r>
            <w:r w:rsidR="00A20444" w:rsidRPr="00251542">
              <w:rPr>
                <w:sz w:val="16"/>
              </w:rPr>
              <w:t>’</w:t>
            </w:r>
            <w:r w:rsidRPr="00251542">
              <w:rPr>
                <w:sz w:val="16"/>
              </w:rPr>
              <w:t>un examen final du Manuel sur l</w:t>
            </w:r>
            <w:r w:rsidR="00A20444" w:rsidRPr="00251542">
              <w:rPr>
                <w:sz w:val="16"/>
              </w:rPr>
              <w:t>’</w:t>
            </w:r>
            <w:r w:rsidRPr="00251542">
              <w:rPr>
                <w:sz w:val="16"/>
              </w:rPr>
              <w:t>examen des marques pour les pays d</w:t>
            </w:r>
            <w:r w:rsidR="00A20444" w:rsidRPr="00251542">
              <w:rPr>
                <w:sz w:val="16"/>
              </w:rPr>
              <w:t>’</w:t>
            </w:r>
            <w:r w:rsidRPr="00251542">
              <w:rPr>
                <w:sz w:val="16"/>
              </w:rPr>
              <w:t>Amérique centrale, le Panama et la République dominicaine;</w:t>
            </w:r>
            <w:r w:rsidR="004F3E42" w:rsidRPr="00251542">
              <w:rPr>
                <w:sz w:val="16"/>
              </w:rPr>
              <w:t xml:space="preserve"> </w:t>
            </w:r>
            <w:r w:rsidR="0010442A" w:rsidRPr="00251542">
              <w:rPr>
                <w:sz w:val="16"/>
              </w:rPr>
              <w:t xml:space="preserve"> </w:t>
            </w:r>
            <w:r w:rsidRPr="00251542">
              <w:rPr>
                <w:sz w:val="16"/>
              </w:rPr>
              <w:t>ii) proposer des mesures pour l</w:t>
            </w:r>
            <w:r w:rsidR="00A20444" w:rsidRPr="00251542">
              <w:rPr>
                <w:sz w:val="16"/>
              </w:rPr>
              <w:t>’</w:t>
            </w:r>
            <w:r w:rsidRPr="00251542">
              <w:rPr>
                <w:sz w:val="16"/>
              </w:rPr>
              <w:t>utilisation future du Manuel pour les processus d</w:t>
            </w:r>
            <w:r w:rsidR="00A20444" w:rsidRPr="00251542">
              <w:rPr>
                <w:sz w:val="16"/>
              </w:rPr>
              <w:t>’</w:t>
            </w:r>
            <w:r w:rsidRPr="00251542">
              <w:rPr>
                <w:sz w:val="16"/>
              </w:rPr>
              <w:t>examen dans ces pays;</w:t>
            </w:r>
            <w:r w:rsidR="004F3E42" w:rsidRPr="00251542">
              <w:rPr>
                <w:sz w:val="16"/>
              </w:rPr>
              <w:t xml:space="preserve"> </w:t>
            </w:r>
            <w:r w:rsidR="0010442A" w:rsidRPr="00251542">
              <w:rPr>
                <w:sz w:val="16"/>
              </w:rPr>
              <w:t xml:space="preserve"> </w:t>
            </w:r>
            <w:r w:rsidRPr="00251542">
              <w:rPr>
                <w:sz w:val="16"/>
              </w:rPr>
              <w:t>et iii) définir des mesures pour assurer un consensus sur les mécanismes qui permettraient de maintenir la pertinence de ce Manuel</w:t>
            </w:r>
          </w:p>
        </w:tc>
      </w:tr>
      <w:tr w:rsidR="004007D3" w:rsidRPr="00251542" w:rsidTr="0056083E">
        <w:trPr>
          <w:cantSplit/>
        </w:trPr>
        <w:tc>
          <w:tcPr>
            <w:tcW w:w="1981"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Amérique latine</w:t>
            </w:r>
            <w:r w:rsidR="0010442A" w:rsidRPr="00251542">
              <w:rPr>
                <w:sz w:val="16"/>
              </w:rPr>
              <w:t> </w:t>
            </w:r>
            <w:r w:rsidRPr="00251542">
              <w:rPr>
                <w:sz w:val="16"/>
              </w:rPr>
              <w:t>: projet régional sur la documentation et les mécanismes d</w:t>
            </w:r>
            <w:r w:rsidR="00A20444" w:rsidRPr="00251542">
              <w:rPr>
                <w:sz w:val="16"/>
              </w:rPr>
              <w:t>’</w:t>
            </w:r>
            <w:r w:rsidRPr="00251542">
              <w:rPr>
                <w:sz w:val="16"/>
              </w:rPr>
              <w:t>accès aux décisions administratives et juridiques concernant la propriété intellectuelle</w:t>
            </w:r>
          </w:p>
        </w:tc>
        <w:tc>
          <w:tcPr>
            <w:tcW w:w="1260"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2012</w:t>
            </w:r>
            <w:r w:rsidR="002D6F2A" w:rsidRPr="00251542">
              <w:rPr>
                <w:sz w:val="16"/>
              </w:rPr>
              <w:noBreakHyphen/>
            </w:r>
            <w:r w:rsidRPr="00251542">
              <w:rPr>
                <w:sz w:val="16"/>
              </w:rPr>
              <w:t>2013</w:t>
            </w:r>
          </w:p>
        </w:tc>
        <w:tc>
          <w:tcPr>
            <w:tcW w:w="1862"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Tous les pays d</w:t>
            </w:r>
            <w:r w:rsidR="00A20444" w:rsidRPr="00251542">
              <w:rPr>
                <w:sz w:val="16"/>
              </w:rPr>
              <w:t>’</w:t>
            </w:r>
            <w:r w:rsidRPr="00251542">
              <w:rPr>
                <w:sz w:val="16"/>
              </w:rPr>
              <w:t>Amérique latine</w:t>
            </w:r>
          </w:p>
        </w:tc>
        <w:tc>
          <w:tcPr>
            <w:tcW w:w="3969" w:type="dxa"/>
            <w:gridSpan w:val="2"/>
          </w:tcPr>
          <w:p w:rsidR="004007D3" w:rsidRPr="00251542" w:rsidRDefault="004007D3" w:rsidP="001A5BF9">
            <w:pPr>
              <w:autoSpaceDE w:val="0"/>
              <w:autoSpaceDN w:val="0"/>
              <w:adjustRightInd w:val="0"/>
              <w:spacing w:before="120" w:after="120"/>
              <w:rPr>
                <w:rFonts w:cs="Arial"/>
                <w:sz w:val="16"/>
                <w:szCs w:val="16"/>
              </w:rPr>
            </w:pPr>
            <w:r w:rsidRPr="00251542">
              <w:rPr>
                <w:sz w:val="16"/>
              </w:rPr>
              <w:t>i) Compiler et diffuser des informations;</w:t>
            </w:r>
            <w:r w:rsidR="004F3E42" w:rsidRPr="00251542">
              <w:rPr>
                <w:sz w:val="16"/>
              </w:rPr>
              <w:t xml:space="preserve"> </w:t>
            </w:r>
            <w:r w:rsidR="0010442A" w:rsidRPr="00251542">
              <w:rPr>
                <w:sz w:val="16"/>
              </w:rPr>
              <w:t xml:space="preserve"> </w:t>
            </w:r>
            <w:r w:rsidRPr="00251542">
              <w:rPr>
                <w:sz w:val="16"/>
              </w:rPr>
              <w:t>et ii)</w:t>
            </w:r>
            <w:r w:rsidR="0010442A" w:rsidRPr="00251542">
              <w:rPr>
                <w:sz w:val="16"/>
              </w:rPr>
              <w:t> </w:t>
            </w:r>
            <w:r w:rsidRPr="00251542">
              <w:rPr>
                <w:sz w:val="16"/>
              </w:rPr>
              <w:t>promouvoir l</w:t>
            </w:r>
            <w:r w:rsidR="00A20444" w:rsidRPr="00251542">
              <w:rPr>
                <w:sz w:val="16"/>
              </w:rPr>
              <w:t>’</w:t>
            </w:r>
            <w:r w:rsidRPr="00251542">
              <w:rPr>
                <w:sz w:val="16"/>
              </w:rPr>
              <w:t>utilisation d</w:t>
            </w:r>
            <w:r w:rsidR="00A20444" w:rsidRPr="00251542">
              <w:rPr>
                <w:sz w:val="16"/>
              </w:rPr>
              <w:t>’</w:t>
            </w:r>
            <w:r w:rsidRPr="00251542">
              <w:rPr>
                <w:sz w:val="16"/>
              </w:rPr>
              <w:t>une plate</w:t>
            </w:r>
            <w:r w:rsidR="002D6F2A" w:rsidRPr="00251542">
              <w:rPr>
                <w:sz w:val="16"/>
              </w:rPr>
              <w:noBreakHyphen/>
            </w:r>
            <w:r w:rsidRPr="00251542">
              <w:rPr>
                <w:sz w:val="16"/>
              </w:rPr>
              <w:t>forme Internet pour la base de données sur la jurisprudence en matière de propriété intellectuelle pour la région.</w:t>
            </w:r>
          </w:p>
        </w:tc>
      </w:tr>
      <w:tr w:rsidR="004007D3" w:rsidRPr="00251542" w:rsidTr="0056083E">
        <w:trPr>
          <w:cantSplit/>
        </w:trPr>
        <w:tc>
          <w:tcPr>
            <w:tcW w:w="1981" w:type="dxa"/>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Programme de propriété intellectuelle d</w:t>
            </w:r>
            <w:r w:rsidR="00A20444" w:rsidRPr="00251542">
              <w:rPr>
                <w:sz w:val="16"/>
              </w:rPr>
              <w:t>’</w:t>
            </w:r>
            <w:r w:rsidRPr="00251542">
              <w:rPr>
                <w:sz w:val="16"/>
              </w:rPr>
              <w:t>Amérique latine</w:t>
            </w:r>
          </w:p>
        </w:tc>
        <w:tc>
          <w:tcPr>
            <w:tcW w:w="1260" w:type="dxa"/>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En cours</w:t>
            </w:r>
          </w:p>
        </w:tc>
        <w:tc>
          <w:tcPr>
            <w:tcW w:w="1862" w:type="dxa"/>
            <w:gridSpan w:val="2"/>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p>
        </w:tc>
        <w:tc>
          <w:tcPr>
            <w:tcW w:w="3969" w:type="dxa"/>
            <w:gridSpan w:val="2"/>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Promouvoir le développement social et économique de la région dans le cadre du Sommet des chefs d</w:t>
            </w:r>
            <w:r w:rsidR="00A20444" w:rsidRPr="00251542">
              <w:rPr>
                <w:sz w:val="16"/>
              </w:rPr>
              <w:t>’</w:t>
            </w:r>
            <w:r w:rsidRPr="00251542">
              <w:rPr>
                <w:sz w:val="16"/>
              </w:rPr>
              <w:t>État et de gouvernement des pays d</w:t>
            </w:r>
            <w:r w:rsidR="00A20444" w:rsidRPr="00251542">
              <w:rPr>
                <w:sz w:val="16"/>
              </w:rPr>
              <w:t>’</w:t>
            </w:r>
            <w:r w:rsidRPr="00251542">
              <w:rPr>
                <w:sz w:val="16"/>
              </w:rPr>
              <w:t>Amérique latine</w:t>
            </w:r>
          </w:p>
        </w:tc>
      </w:tr>
      <w:tr w:rsidR="004007D3" w:rsidRPr="00251542" w:rsidTr="0056083E">
        <w:trPr>
          <w:cantSplit/>
        </w:trPr>
        <w:tc>
          <w:tcPr>
            <w:tcW w:w="9072" w:type="dxa"/>
            <w:gridSpan w:val="6"/>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Amélioration de la compréhension/la capacité</w:t>
            </w:r>
            <w:r w:rsidR="00A20444" w:rsidRPr="007A524A">
              <w:rPr>
                <w:sz w:val="16"/>
              </w:rPr>
              <w:t xml:space="preserve"> des PME</w:t>
            </w:r>
            <w:r w:rsidRPr="007A524A">
              <w:rPr>
                <w:sz w:val="16"/>
              </w:rPr>
              <w:t xml:space="preserve"> et des institutions d</w:t>
            </w:r>
            <w:r w:rsidR="00A20444" w:rsidRPr="007A524A">
              <w:rPr>
                <w:sz w:val="16"/>
              </w:rPr>
              <w:t>’</w:t>
            </w:r>
            <w:r w:rsidRPr="007A524A">
              <w:rPr>
                <w:sz w:val="16"/>
              </w:rPr>
              <w:t>aide au développement de ces entreprises pour leur permettre une meilleure mise en œuvre de la propriété intellectuelle au service de l</w:t>
            </w:r>
            <w:r w:rsidR="00A20444" w:rsidRPr="007A524A">
              <w:rPr>
                <w:sz w:val="16"/>
              </w:rPr>
              <w:t>’</w:t>
            </w:r>
            <w:r w:rsidRPr="007A524A">
              <w:rPr>
                <w:sz w:val="16"/>
              </w:rPr>
              <w:t>innovation et de la commercialisation</w:t>
            </w:r>
          </w:p>
        </w:tc>
      </w:tr>
      <w:tr w:rsidR="004007D3" w:rsidRPr="007A524A" w:rsidTr="0056083E">
        <w:trPr>
          <w:cantSplit/>
        </w:trPr>
        <w:tc>
          <w:tcPr>
            <w:tcW w:w="1981" w:type="dxa"/>
            <w:tcBorders>
              <w:top w:val="single" w:sz="4" w:space="0" w:color="auto"/>
            </w:tcBorders>
            <w:vAlign w:val="center"/>
          </w:tcPr>
          <w:p w:rsidR="004007D3" w:rsidRPr="007A524A" w:rsidRDefault="004007D3" w:rsidP="001A5BF9">
            <w:pPr>
              <w:keepNext/>
              <w:keepLines/>
              <w:rPr>
                <w:rFonts w:cs="Arial"/>
                <w:b/>
                <w:bCs/>
                <w:sz w:val="16"/>
                <w:szCs w:val="16"/>
              </w:rPr>
            </w:pPr>
            <w:r w:rsidRPr="007A524A">
              <w:rPr>
                <w:b/>
                <w:sz w:val="16"/>
              </w:rPr>
              <w:t>Activité</w:t>
            </w:r>
          </w:p>
        </w:tc>
        <w:tc>
          <w:tcPr>
            <w:tcW w:w="1260" w:type="dxa"/>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Date :</w:t>
            </w:r>
          </w:p>
        </w:tc>
        <w:tc>
          <w:tcPr>
            <w:tcW w:w="1862" w:type="dxa"/>
            <w:gridSpan w:val="2"/>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Pays hôte/bénéficiaire</w:t>
            </w:r>
          </w:p>
        </w:tc>
        <w:tc>
          <w:tcPr>
            <w:tcW w:w="3969" w:type="dxa"/>
            <w:gridSpan w:val="2"/>
            <w:tcBorders>
              <w:top w:val="single" w:sz="4" w:space="0" w:color="auto"/>
            </w:tcBorders>
            <w:shd w:val="clear" w:color="auto" w:fill="FFFFFF"/>
            <w:tcMar>
              <w:top w:w="110" w:type="dxa"/>
            </w:tcMar>
            <w:vAlign w:val="center"/>
          </w:tcPr>
          <w:p w:rsidR="004007D3" w:rsidRPr="007A524A" w:rsidRDefault="004007D3" w:rsidP="001A5BF9">
            <w:pPr>
              <w:keepNext/>
              <w:keepLines/>
              <w:rPr>
                <w:rFonts w:cs="Arial"/>
                <w:b/>
                <w:sz w:val="16"/>
                <w:szCs w:val="16"/>
              </w:rPr>
            </w:pPr>
            <w:r w:rsidRPr="007A524A">
              <w:rPr>
                <w:b/>
                <w:sz w:val="16"/>
              </w:rPr>
              <w:t>Objectif(s)/description(s)</w:t>
            </w:r>
          </w:p>
        </w:tc>
      </w:tr>
      <w:tr w:rsidR="004007D3" w:rsidRPr="00251542" w:rsidTr="0056083E">
        <w:trPr>
          <w:cantSplit/>
        </w:trPr>
        <w:tc>
          <w:tcPr>
            <w:tcW w:w="1981" w:type="dxa"/>
            <w:tcBorders>
              <w:bottom w:val="single" w:sz="4" w:space="0" w:color="auto"/>
            </w:tcBorders>
          </w:tcPr>
          <w:p w:rsidR="00D42474" w:rsidRDefault="004007D3" w:rsidP="001A5BF9">
            <w:pPr>
              <w:autoSpaceDE w:val="0"/>
              <w:autoSpaceDN w:val="0"/>
              <w:adjustRightInd w:val="0"/>
              <w:spacing w:before="120" w:after="120"/>
              <w:rPr>
                <w:sz w:val="16"/>
              </w:rPr>
            </w:pPr>
            <w:r w:rsidRPr="00251542">
              <w:rPr>
                <w:sz w:val="16"/>
              </w:rPr>
              <w:t>Séminaire régional sur les marques et les dessins et modèles industriels comme facteur d</w:t>
            </w:r>
            <w:r w:rsidR="00A20444" w:rsidRPr="00251542">
              <w:rPr>
                <w:sz w:val="16"/>
              </w:rPr>
              <w:t>’</w:t>
            </w:r>
            <w:r w:rsidRPr="00251542">
              <w:rPr>
                <w:sz w:val="16"/>
              </w:rPr>
              <w:t>innovation</w:t>
            </w:r>
          </w:p>
          <w:p w:rsidR="004007D3" w:rsidRPr="00251542" w:rsidRDefault="004007D3" w:rsidP="001A5BF9">
            <w:pPr>
              <w:autoSpaceDE w:val="0"/>
              <w:autoSpaceDN w:val="0"/>
              <w:adjustRightInd w:val="0"/>
              <w:spacing w:before="120" w:after="120"/>
              <w:rPr>
                <w:rFonts w:cs="Arial"/>
                <w:sz w:val="16"/>
                <w:szCs w:val="16"/>
              </w:rPr>
            </w:pPr>
            <w:r w:rsidRPr="00251542">
              <w:rPr>
                <w:sz w:val="16"/>
              </w:rPr>
              <w:t>Se reporter à la</w:t>
            </w:r>
            <w:r w:rsidR="004F3E42" w:rsidRPr="00251542">
              <w:rPr>
                <w:sz w:val="16"/>
              </w:rPr>
              <w:t xml:space="preserve"> </w:t>
            </w:r>
            <w:r w:rsidRPr="00251542">
              <w:rPr>
                <w:sz w:val="16"/>
              </w:rPr>
              <w:t>plate</w:t>
            </w:r>
            <w:r w:rsidR="002D6F2A" w:rsidRPr="00251542">
              <w:rPr>
                <w:sz w:val="16"/>
              </w:rPr>
              <w:noBreakHyphen/>
            </w:r>
            <w:r w:rsidRPr="00251542">
              <w:rPr>
                <w:sz w:val="16"/>
              </w:rPr>
              <w:t>forme en espagnol sur les services de propriété industrielle et leurs contenus, adaptés aux besoins du secteur ibéro</w:t>
            </w:r>
            <w:r w:rsidR="002D6F2A" w:rsidRPr="00251542">
              <w:rPr>
                <w:sz w:val="16"/>
              </w:rPr>
              <w:noBreakHyphen/>
            </w:r>
            <w:r w:rsidRPr="00251542">
              <w:rPr>
                <w:sz w:val="16"/>
              </w:rPr>
              <w:t>américain des entrepreneurs, l</w:t>
            </w:r>
            <w:r w:rsidR="00A20444" w:rsidRPr="00251542">
              <w:rPr>
                <w:sz w:val="16"/>
              </w:rPr>
              <w:t>’</w:t>
            </w:r>
            <w:r w:rsidRPr="00251542">
              <w:rPr>
                <w:sz w:val="16"/>
              </w:rPr>
              <w:t>accent étant mis sur</w:t>
            </w:r>
            <w:r w:rsidR="00A20444" w:rsidRPr="00251542">
              <w:rPr>
                <w:sz w:val="16"/>
              </w:rPr>
              <w:t xml:space="preserve"> les PME</w:t>
            </w:r>
            <w:r w:rsidRPr="00251542">
              <w:rPr>
                <w:sz w:val="16"/>
              </w:rPr>
              <w:t xml:space="preserve"> (</w:t>
            </w:r>
            <w:proofErr w:type="spellStart"/>
            <w:r w:rsidRPr="00251542">
              <w:rPr>
                <w:sz w:val="16"/>
              </w:rPr>
              <w:t>CIBEPYME</w:t>
            </w:r>
            <w:proofErr w:type="spellEnd"/>
            <w:r w:rsidRPr="00251542">
              <w:rPr>
                <w:sz w:val="16"/>
              </w:rPr>
              <w:t>).</w:t>
            </w:r>
          </w:p>
        </w:tc>
        <w:tc>
          <w:tcPr>
            <w:tcW w:w="1260" w:type="dxa"/>
            <w:tcBorders>
              <w:bottom w:val="single" w:sz="4" w:space="0" w:color="auto"/>
            </w:tcBorders>
          </w:tcPr>
          <w:p w:rsidR="004007D3" w:rsidRPr="00251542" w:rsidRDefault="004007D3" w:rsidP="00812285">
            <w:pPr>
              <w:autoSpaceDE w:val="0"/>
              <w:autoSpaceDN w:val="0"/>
              <w:adjustRightInd w:val="0"/>
              <w:spacing w:before="120" w:after="120"/>
              <w:rPr>
                <w:rFonts w:cs="Arial"/>
                <w:sz w:val="16"/>
                <w:szCs w:val="16"/>
              </w:rPr>
            </w:pPr>
            <w:r w:rsidRPr="00251542">
              <w:rPr>
                <w:sz w:val="16"/>
              </w:rPr>
              <w:t>25</w:t>
            </w:r>
            <w:r w:rsidR="002D6F2A" w:rsidRPr="00251542">
              <w:rPr>
                <w:sz w:val="16"/>
              </w:rPr>
              <w:noBreakHyphen/>
            </w:r>
            <w:r w:rsidRPr="00251542">
              <w:rPr>
                <w:sz w:val="16"/>
              </w:rPr>
              <w:t>29</w:t>
            </w:r>
            <w:r w:rsidR="00812285">
              <w:rPr>
                <w:sz w:val="16"/>
              </w:rPr>
              <w:t xml:space="preserve"> </w:t>
            </w:r>
            <w:r w:rsidRPr="00251542">
              <w:rPr>
                <w:sz w:val="16"/>
              </w:rPr>
              <w:t>novembre</w:t>
            </w:r>
            <w:r w:rsidR="00812285">
              <w:rPr>
                <w:sz w:val="16"/>
              </w:rPr>
              <w:t xml:space="preserve"> </w:t>
            </w:r>
            <w:r w:rsidRPr="00251542">
              <w:rPr>
                <w:sz w:val="16"/>
              </w:rPr>
              <w:t>2013</w:t>
            </w:r>
          </w:p>
        </w:tc>
        <w:tc>
          <w:tcPr>
            <w:tcW w:w="1862" w:type="dxa"/>
            <w:gridSpan w:val="2"/>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Uruguay/tous les pays d</w:t>
            </w:r>
            <w:r w:rsidR="00A20444" w:rsidRPr="00251542">
              <w:rPr>
                <w:sz w:val="16"/>
              </w:rPr>
              <w:t>’</w:t>
            </w:r>
            <w:r w:rsidRPr="00251542">
              <w:rPr>
                <w:sz w:val="16"/>
              </w:rPr>
              <w:t>Amérique latine</w:t>
            </w:r>
          </w:p>
        </w:tc>
        <w:tc>
          <w:tcPr>
            <w:tcW w:w="3969" w:type="dxa"/>
            <w:gridSpan w:val="2"/>
            <w:tcBorders>
              <w:bottom w:val="single" w:sz="4" w:space="0" w:color="auto"/>
            </w:tcBorders>
          </w:tcPr>
          <w:p w:rsidR="004007D3" w:rsidRPr="00251542" w:rsidRDefault="004007D3" w:rsidP="001A5BF9">
            <w:pPr>
              <w:rPr>
                <w:rFonts w:cs="Arial"/>
                <w:sz w:val="16"/>
                <w:szCs w:val="16"/>
              </w:rPr>
            </w:pPr>
            <w:r w:rsidRPr="00251542">
              <w:rPr>
                <w:sz w:val="16"/>
              </w:rPr>
              <w:t>i) Fournir aux participants des informations actualisées, une formation concrète et des outils utiles dans le domaine de l</w:t>
            </w:r>
            <w:r w:rsidR="00A20444" w:rsidRPr="00251542">
              <w:rPr>
                <w:sz w:val="16"/>
              </w:rPr>
              <w:t>’</w:t>
            </w:r>
            <w:r w:rsidRPr="00251542">
              <w:rPr>
                <w:sz w:val="16"/>
              </w:rPr>
              <w:t>utilisation stratégique des marques et des dessins et modèles industriels dans le commerce;</w:t>
            </w:r>
            <w:r w:rsidR="004F3E42" w:rsidRPr="00251542">
              <w:rPr>
                <w:sz w:val="16"/>
              </w:rPr>
              <w:t xml:space="preserve"> </w:t>
            </w:r>
            <w:r w:rsidR="0010442A" w:rsidRPr="00251542">
              <w:rPr>
                <w:sz w:val="16"/>
              </w:rPr>
              <w:t xml:space="preserve"> </w:t>
            </w:r>
            <w:r w:rsidRPr="00251542">
              <w:rPr>
                <w:sz w:val="16"/>
              </w:rPr>
              <w:t>et ii) promouvoir et échanger des expériences, y compris les meilleures pratiques, afin de déterminer les mécanismes qui peuvent contribuer à rendre les droits de propriété intellectuelle plus accessibles et pertinents pour le secteur des entrepreneurs d</w:t>
            </w:r>
            <w:r w:rsidR="00A20444" w:rsidRPr="00251542">
              <w:rPr>
                <w:sz w:val="16"/>
              </w:rPr>
              <w:t>’</w:t>
            </w:r>
            <w:r w:rsidRPr="00251542">
              <w:rPr>
                <w:sz w:val="16"/>
              </w:rPr>
              <w:t>Amérique latine.</w:t>
            </w:r>
          </w:p>
        </w:tc>
      </w:tr>
      <w:tr w:rsidR="004007D3" w:rsidRPr="00251542" w:rsidTr="0056083E">
        <w:trPr>
          <w:cantSplit/>
        </w:trPr>
        <w:tc>
          <w:tcPr>
            <w:tcW w:w="9072" w:type="dxa"/>
            <w:gridSpan w:val="6"/>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sz w:val="16"/>
              </w:rPr>
              <w:t xml:space="preserve"> </w:t>
            </w:r>
            <w:r w:rsidR="007A524A">
              <w:rPr>
                <w:sz w:val="16"/>
              </w:rPr>
              <w:tab/>
            </w:r>
            <w:r w:rsidRPr="00251542">
              <w:rPr>
                <w:sz w:val="16"/>
              </w:rPr>
              <w:t>Amélioration de l</w:t>
            </w:r>
            <w:r w:rsidR="00A20444" w:rsidRPr="00251542">
              <w:rPr>
                <w:sz w:val="16"/>
              </w:rPr>
              <w:t>’</w:t>
            </w:r>
            <w:r w:rsidRPr="00251542">
              <w:rPr>
                <w:sz w:val="16"/>
              </w:rPr>
              <w:t>infrastructure technique et du savoir pour les offices de propriété intellectuelle et autres institutions de propriété intellectuelle, leur permettant de fournir à leurs parties prenantes des services améliorés (moins chers, plus rapides, de meilleure qualité)</w:t>
            </w:r>
          </w:p>
        </w:tc>
      </w:tr>
      <w:tr w:rsidR="004007D3" w:rsidRPr="007A524A" w:rsidTr="0056083E">
        <w:trPr>
          <w:cantSplit/>
        </w:trPr>
        <w:tc>
          <w:tcPr>
            <w:tcW w:w="1981" w:type="dxa"/>
            <w:tcBorders>
              <w:top w:val="single" w:sz="4" w:space="0" w:color="auto"/>
            </w:tcBorders>
            <w:vAlign w:val="center"/>
          </w:tcPr>
          <w:p w:rsidR="004007D3" w:rsidRPr="007A524A" w:rsidRDefault="004007D3" w:rsidP="001A5BF9">
            <w:pPr>
              <w:keepNext/>
              <w:keepLines/>
              <w:rPr>
                <w:rFonts w:cs="Arial"/>
                <w:b/>
                <w:bCs/>
                <w:sz w:val="16"/>
                <w:szCs w:val="16"/>
              </w:rPr>
            </w:pPr>
            <w:r w:rsidRPr="007A524A">
              <w:rPr>
                <w:b/>
                <w:sz w:val="16"/>
              </w:rPr>
              <w:t>Activité</w:t>
            </w:r>
          </w:p>
        </w:tc>
        <w:tc>
          <w:tcPr>
            <w:tcW w:w="1260" w:type="dxa"/>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Date :</w:t>
            </w:r>
          </w:p>
        </w:tc>
        <w:tc>
          <w:tcPr>
            <w:tcW w:w="1862" w:type="dxa"/>
            <w:gridSpan w:val="2"/>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Pays hôte/bénéficiaire</w:t>
            </w:r>
          </w:p>
        </w:tc>
        <w:tc>
          <w:tcPr>
            <w:tcW w:w="3969" w:type="dxa"/>
            <w:gridSpan w:val="2"/>
            <w:tcBorders>
              <w:top w:val="single" w:sz="4" w:space="0" w:color="auto"/>
            </w:tcBorders>
            <w:shd w:val="clear" w:color="auto" w:fill="FFFFFF"/>
            <w:tcMar>
              <w:top w:w="110" w:type="dxa"/>
            </w:tcMar>
            <w:vAlign w:val="center"/>
          </w:tcPr>
          <w:p w:rsidR="004007D3" w:rsidRPr="007A524A" w:rsidRDefault="004007D3" w:rsidP="001A5BF9">
            <w:pPr>
              <w:keepNext/>
              <w:keepLines/>
              <w:rPr>
                <w:rFonts w:cs="Arial"/>
                <w:b/>
                <w:sz w:val="16"/>
                <w:szCs w:val="16"/>
              </w:rPr>
            </w:pPr>
            <w:r w:rsidRPr="007A524A">
              <w:rPr>
                <w:b/>
                <w:sz w:val="16"/>
              </w:rPr>
              <w:t>Objectif(s)/description(s)</w:t>
            </w:r>
          </w:p>
        </w:tc>
      </w:tr>
      <w:tr w:rsidR="004007D3" w:rsidRPr="00251542" w:rsidTr="0056083E">
        <w:trPr>
          <w:cantSplit/>
        </w:trPr>
        <w:tc>
          <w:tcPr>
            <w:tcW w:w="1981" w:type="dxa"/>
            <w:tcBorders>
              <w:bottom w:val="single" w:sz="4" w:space="0" w:color="auto"/>
            </w:tcBorders>
          </w:tcPr>
          <w:p w:rsidR="004007D3" w:rsidRPr="00251542" w:rsidRDefault="004007D3" w:rsidP="001A5BF9">
            <w:pPr>
              <w:autoSpaceDE w:val="0"/>
              <w:autoSpaceDN w:val="0"/>
              <w:adjustRightInd w:val="0"/>
              <w:spacing w:before="120"/>
              <w:rPr>
                <w:rFonts w:cs="Arial"/>
                <w:sz w:val="16"/>
                <w:szCs w:val="16"/>
              </w:rPr>
            </w:pPr>
            <w:r w:rsidRPr="00251542">
              <w:rPr>
                <w:sz w:val="16"/>
              </w:rPr>
              <w:t>Quatrième séminaire régional sur la planification et la gestion stratégique des offices de propriété intellectuelle des pays d</w:t>
            </w:r>
            <w:r w:rsidR="00A20444" w:rsidRPr="00251542">
              <w:rPr>
                <w:sz w:val="16"/>
              </w:rPr>
              <w:t>’</w:t>
            </w:r>
            <w:r w:rsidRPr="00251542">
              <w:rPr>
                <w:sz w:val="16"/>
              </w:rPr>
              <w:t>Amérique latine</w:t>
            </w:r>
          </w:p>
        </w:tc>
        <w:tc>
          <w:tcPr>
            <w:tcW w:w="1260" w:type="dxa"/>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7</w:t>
            </w:r>
            <w:r w:rsidR="002D6F2A" w:rsidRPr="00251542">
              <w:rPr>
                <w:sz w:val="16"/>
              </w:rPr>
              <w:noBreakHyphen/>
            </w:r>
            <w:r w:rsidRPr="00251542">
              <w:rPr>
                <w:sz w:val="16"/>
              </w:rPr>
              <w:t>10 octobre </w:t>
            </w:r>
            <w:r w:rsidR="00385904" w:rsidRPr="00251542">
              <w:rPr>
                <w:sz w:val="16"/>
              </w:rPr>
              <w:br/>
            </w:r>
            <w:r w:rsidRPr="00251542">
              <w:rPr>
                <w:sz w:val="16"/>
              </w:rPr>
              <w:t>2013</w:t>
            </w:r>
          </w:p>
        </w:tc>
        <w:tc>
          <w:tcPr>
            <w:tcW w:w="1862" w:type="dxa"/>
            <w:gridSpan w:val="2"/>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Colombie/</w:t>
            </w:r>
            <w:r w:rsidR="00FE3459" w:rsidRPr="00251542">
              <w:rPr>
                <w:sz w:val="16"/>
              </w:rPr>
              <w:t>tous</w:t>
            </w:r>
            <w:r w:rsidRPr="00251542">
              <w:rPr>
                <w:sz w:val="16"/>
              </w:rPr>
              <w:t xml:space="preserve"> les pays d</w:t>
            </w:r>
            <w:r w:rsidR="00A20444" w:rsidRPr="00251542">
              <w:rPr>
                <w:sz w:val="16"/>
              </w:rPr>
              <w:t>’</w:t>
            </w:r>
            <w:r w:rsidRPr="00251542">
              <w:rPr>
                <w:sz w:val="16"/>
              </w:rPr>
              <w:t>Amérique latine</w:t>
            </w:r>
          </w:p>
        </w:tc>
        <w:tc>
          <w:tcPr>
            <w:tcW w:w="3969" w:type="dxa"/>
            <w:gridSpan w:val="2"/>
            <w:tcBorders>
              <w:bottom w:val="single" w:sz="4" w:space="0" w:color="auto"/>
            </w:tcBorders>
          </w:tcPr>
          <w:p w:rsidR="004007D3" w:rsidRPr="00251542" w:rsidRDefault="004007D3" w:rsidP="001A5BF9">
            <w:pPr>
              <w:autoSpaceDE w:val="0"/>
              <w:autoSpaceDN w:val="0"/>
              <w:adjustRightInd w:val="0"/>
              <w:spacing w:before="120" w:after="120"/>
              <w:rPr>
                <w:rFonts w:cs="Arial"/>
                <w:sz w:val="16"/>
                <w:szCs w:val="16"/>
              </w:rPr>
            </w:pPr>
            <w:r w:rsidRPr="00251542">
              <w:rPr>
                <w:sz w:val="16"/>
              </w:rPr>
              <w:t>i) Fournir aux participants des informations à jour, une formation pratique et des outils utiles dans le domaine de la planification stratégique, des politiques sur les ressources humaines et de la gestion de la qualité;</w:t>
            </w:r>
            <w:r w:rsidR="004F3E42" w:rsidRPr="00251542">
              <w:rPr>
                <w:sz w:val="16"/>
              </w:rPr>
              <w:t xml:space="preserve"> </w:t>
            </w:r>
            <w:r w:rsidR="0010442A" w:rsidRPr="00251542">
              <w:rPr>
                <w:sz w:val="16"/>
              </w:rPr>
              <w:t xml:space="preserve"> </w:t>
            </w:r>
            <w:r w:rsidRPr="00251542">
              <w:rPr>
                <w:sz w:val="16"/>
              </w:rPr>
              <w:t>ii)</w:t>
            </w:r>
            <w:r w:rsidR="0010442A" w:rsidRPr="00251542">
              <w:rPr>
                <w:sz w:val="16"/>
              </w:rPr>
              <w:t> </w:t>
            </w:r>
            <w:r w:rsidRPr="00251542">
              <w:rPr>
                <w:sz w:val="16"/>
              </w:rPr>
              <w:t>moderniser les administrations de la propriété intellectuelle;</w:t>
            </w:r>
            <w:r w:rsidR="004F3E42" w:rsidRPr="00251542">
              <w:rPr>
                <w:sz w:val="16"/>
              </w:rPr>
              <w:t xml:space="preserve"> </w:t>
            </w:r>
            <w:r w:rsidR="0010442A" w:rsidRPr="00251542">
              <w:rPr>
                <w:sz w:val="16"/>
              </w:rPr>
              <w:t xml:space="preserve"> </w:t>
            </w:r>
            <w:r w:rsidRPr="00251542">
              <w:rPr>
                <w:sz w:val="16"/>
              </w:rPr>
              <w:t>et iii)</w:t>
            </w:r>
            <w:r w:rsidR="0010442A" w:rsidRPr="00251542">
              <w:rPr>
                <w:sz w:val="16"/>
              </w:rPr>
              <w:t> </w:t>
            </w:r>
            <w:r w:rsidRPr="00251542">
              <w:rPr>
                <w:sz w:val="16"/>
              </w:rPr>
              <w:t>inculquer un sens aigu de la gestion axée sur les services parmi les administrateurs des offices de propriété intellectuelle des pays d</w:t>
            </w:r>
            <w:r w:rsidR="00A20444" w:rsidRPr="00251542">
              <w:rPr>
                <w:sz w:val="16"/>
              </w:rPr>
              <w:t>’</w:t>
            </w:r>
            <w:r w:rsidRPr="00251542">
              <w:rPr>
                <w:sz w:val="16"/>
              </w:rPr>
              <w:t>Amérique latine.</w:t>
            </w:r>
          </w:p>
        </w:tc>
      </w:tr>
      <w:tr w:rsidR="004007D3" w:rsidRPr="00251542" w:rsidTr="0056083E">
        <w:trPr>
          <w:cantSplit/>
        </w:trPr>
        <w:tc>
          <w:tcPr>
            <w:tcW w:w="9072" w:type="dxa"/>
            <w:gridSpan w:val="6"/>
            <w:tcBorders>
              <w:top w:val="single" w:sz="4" w:space="0" w:color="auto"/>
              <w:bottom w:val="single" w:sz="4" w:space="0" w:color="auto"/>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Amélioration de l</w:t>
            </w:r>
            <w:r w:rsidR="00A20444" w:rsidRPr="007A524A">
              <w:rPr>
                <w:sz w:val="16"/>
              </w:rPr>
              <w:t>’</w:t>
            </w:r>
            <w:r w:rsidRPr="007A524A">
              <w:rPr>
                <w:sz w:val="16"/>
              </w:rPr>
              <w:t>accès aux informations et au savoir en matière de propriété intellectuelle et leur utilisation par les institutions de propriété intellectuelle et le public au service de l</w:t>
            </w:r>
            <w:r w:rsidR="00A20444" w:rsidRPr="007A524A">
              <w:rPr>
                <w:sz w:val="16"/>
              </w:rPr>
              <w:t>’</w:t>
            </w:r>
            <w:r w:rsidRPr="007A524A">
              <w:rPr>
                <w:sz w:val="16"/>
              </w:rPr>
              <w:t>innovation, et facilité d</w:t>
            </w:r>
            <w:r w:rsidR="00A20444" w:rsidRPr="007A524A">
              <w:rPr>
                <w:sz w:val="16"/>
              </w:rPr>
              <w:t>’</w:t>
            </w:r>
            <w:r w:rsidRPr="007A524A">
              <w:rPr>
                <w:sz w:val="16"/>
              </w:rPr>
              <w:t>accès aux œuvres créatives protégées et aux œuvres créatives tombées dans le domaine public</w:t>
            </w:r>
          </w:p>
        </w:tc>
      </w:tr>
      <w:tr w:rsidR="004007D3" w:rsidRPr="007A524A" w:rsidTr="0056083E">
        <w:trPr>
          <w:cantSplit/>
        </w:trPr>
        <w:tc>
          <w:tcPr>
            <w:tcW w:w="1981" w:type="dxa"/>
            <w:tcBorders>
              <w:top w:val="single" w:sz="4" w:space="0" w:color="auto"/>
            </w:tcBorders>
            <w:vAlign w:val="center"/>
          </w:tcPr>
          <w:p w:rsidR="004007D3" w:rsidRPr="007A524A" w:rsidRDefault="004007D3" w:rsidP="001A5BF9">
            <w:pPr>
              <w:keepNext/>
              <w:keepLines/>
              <w:rPr>
                <w:rFonts w:cs="Arial"/>
                <w:b/>
                <w:bCs/>
                <w:sz w:val="16"/>
                <w:szCs w:val="16"/>
              </w:rPr>
            </w:pPr>
            <w:r w:rsidRPr="007A524A">
              <w:rPr>
                <w:b/>
                <w:sz w:val="16"/>
              </w:rPr>
              <w:t>Activité</w:t>
            </w:r>
          </w:p>
        </w:tc>
        <w:tc>
          <w:tcPr>
            <w:tcW w:w="1260" w:type="dxa"/>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Date :</w:t>
            </w:r>
          </w:p>
        </w:tc>
        <w:tc>
          <w:tcPr>
            <w:tcW w:w="1721" w:type="dxa"/>
            <w:tcBorders>
              <w:top w:val="single" w:sz="4" w:space="0" w:color="auto"/>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Pays hôte/bénéficiaire</w:t>
            </w:r>
          </w:p>
        </w:tc>
        <w:tc>
          <w:tcPr>
            <w:tcW w:w="4110" w:type="dxa"/>
            <w:gridSpan w:val="3"/>
            <w:tcBorders>
              <w:top w:val="single" w:sz="4" w:space="0" w:color="auto"/>
            </w:tcBorders>
            <w:shd w:val="clear" w:color="auto" w:fill="FFFFFF"/>
            <w:tcMar>
              <w:top w:w="110" w:type="dxa"/>
            </w:tcMar>
            <w:vAlign w:val="center"/>
          </w:tcPr>
          <w:p w:rsidR="004007D3" w:rsidRPr="007A524A" w:rsidRDefault="004007D3" w:rsidP="001A5BF9">
            <w:pPr>
              <w:keepNext/>
              <w:keepLines/>
              <w:rPr>
                <w:rFonts w:cs="Arial"/>
                <w:b/>
                <w:sz w:val="16"/>
                <w:szCs w:val="16"/>
              </w:rPr>
            </w:pPr>
            <w:r w:rsidRPr="007A524A">
              <w:rPr>
                <w:b/>
                <w:sz w:val="16"/>
              </w:rPr>
              <w:t>Objectif(s)/description(s)</w:t>
            </w:r>
          </w:p>
        </w:tc>
      </w:tr>
      <w:tr w:rsidR="004007D3" w:rsidRPr="00251542" w:rsidTr="0056083E">
        <w:trPr>
          <w:cantSplit/>
        </w:trPr>
        <w:tc>
          <w:tcPr>
            <w:tcW w:w="1981" w:type="dxa"/>
          </w:tcPr>
          <w:p w:rsidR="004007D3" w:rsidRPr="007A524A" w:rsidRDefault="004007D3" w:rsidP="001A5BF9">
            <w:pPr>
              <w:keepNext/>
              <w:keepLines/>
              <w:autoSpaceDE w:val="0"/>
              <w:autoSpaceDN w:val="0"/>
              <w:adjustRightInd w:val="0"/>
              <w:spacing w:before="120" w:after="120"/>
              <w:rPr>
                <w:rFonts w:cs="Arial"/>
                <w:sz w:val="16"/>
                <w:szCs w:val="16"/>
              </w:rPr>
            </w:pPr>
            <w:r w:rsidRPr="007A524A">
              <w:rPr>
                <w:sz w:val="16"/>
              </w:rPr>
              <w:t xml:space="preserve">Projet </w:t>
            </w:r>
            <w:proofErr w:type="spellStart"/>
            <w:r w:rsidRPr="007A524A">
              <w:rPr>
                <w:sz w:val="16"/>
              </w:rPr>
              <w:t>LATIPAT</w:t>
            </w:r>
            <w:proofErr w:type="spellEnd"/>
            <w:r w:rsidRPr="007A524A">
              <w:rPr>
                <w:sz w:val="16"/>
              </w:rPr>
              <w:t>, neuvième réunion régionale OMPI/OEB/</w:t>
            </w:r>
            <w:proofErr w:type="spellStart"/>
            <w:r w:rsidRPr="007A524A">
              <w:rPr>
                <w:sz w:val="16"/>
              </w:rPr>
              <w:t>OEBM</w:t>
            </w:r>
            <w:proofErr w:type="spellEnd"/>
            <w:r w:rsidRPr="007A524A">
              <w:rPr>
                <w:sz w:val="16"/>
              </w:rPr>
              <w:t xml:space="preserve"> des spécialistes des technologies de l</w:t>
            </w:r>
            <w:r w:rsidR="00A20444" w:rsidRPr="007A524A">
              <w:rPr>
                <w:sz w:val="16"/>
              </w:rPr>
              <w:t>’</w:t>
            </w:r>
            <w:r w:rsidRPr="007A524A">
              <w:rPr>
                <w:sz w:val="16"/>
              </w:rPr>
              <w:t>information et de la gestion des informations relatives aux brevets des Offices de propriété industrielle en Amérique latine</w:t>
            </w:r>
          </w:p>
        </w:tc>
        <w:tc>
          <w:tcPr>
            <w:tcW w:w="1260" w:type="dxa"/>
          </w:tcPr>
          <w:p w:rsidR="004007D3" w:rsidRPr="007A524A" w:rsidRDefault="004007D3" w:rsidP="00812285">
            <w:pPr>
              <w:keepNext/>
              <w:keepLines/>
              <w:autoSpaceDE w:val="0"/>
              <w:autoSpaceDN w:val="0"/>
              <w:adjustRightInd w:val="0"/>
              <w:spacing w:before="120" w:after="120"/>
              <w:rPr>
                <w:rFonts w:cs="Arial"/>
                <w:sz w:val="16"/>
                <w:szCs w:val="16"/>
              </w:rPr>
            </w:pPr>
            <w:r w:rsidRPr="007A524A">
              <w:rPr>
                <w:sz w:val="16"/>
              </w:rPr>
              <w:t xml:space="preserve">4 – </w:t>
            </w:r>
            <w:r w:rsidR="00A20444" w:rsidRPr="007A524A">
              <w:rPr>
                <w:sz w:val="16"/>
              </w:rPr>
              <w:t>6</w:t>
            </w:r>
            <w:r w:rsidR="00812285" w:rsidRPr="007A524A">
              <w:rPr>
                <w:sz w:val="16"/>
              </w:rPr>
              <w:t xml:space="preserve"> </w:t>
            </w:r>
            <w:r w:rsidR="00A20444" w:rsidRPr="007A524A">
              <w:rPr>
                <w:sz w:val="16"/>
              </w:rPr>
              <w:t>novembre</w:t>
            </w:r>
            <w:r w:rsidR="00812285" w:rsidRPr="007A524A">
              <w:rPr>
                <w:sz w:val="16"/>
              </w:rPr>
              <w:t xml:space="preserve"> </w:t>
            </w:r>
            <w:r w:rsidR="00A20444" w:rsidRPr="007A524A">
              <w:rPr>
                <w:sz w:val="16"/>
              </w:rPr>
              <w:t>20</w:t>
            </w:r>
            <w:r w:rsidRPr="007A524A">
              <w:rPr>
                <w:sz w:val="16"/>
              </w:rPr>
              <w:t>13</w:t>
            </w:r>
          </w:p>
        </w:tc>
        <w:tc>
          <w:tcPr>
            <w:tcW w:w="1721" w:type="dxa"/>
          </w:tcPr>
          <w:p w:rsidR="00D42474" w:rsidRDefault="004007D3" w:rsidP="001A5BF9">
            <w:pPr>
              <w:keepNext/>
              <w:keepLines/>
              <w:autoSpaceDE w:val="0"/>
              <w:autoSpaceDN w:val="0"/>
              <w:adjustRightInd w:val="0"/>
              <w:spacing w:before="120" w:after="120"/>
              <w:rPr>
                <w:rFonts w:cs="Arial"/>
                <w:sz w:val="16"/>
                <w:szCs w:val="16"/>
              </w:rPr>
            </w:pPr>
            <w:r w:rsidRPr="00251542">
              <w:rPr>
                <w:sz w:val="16"/>
              </w:rPr>
              <w:t>Uruguay/tous les pays d</w:t>
            </w:r>
            <w:r w:rsidR="00A20444" w:rsidRPr="00251542">
              <w:rPr>
                <w:sz w:val="16"/>
              </w:rPr>
              <w:t>’</w:t>
            </w:r>
            <w:r w:rsidRPr="00251542">
              <w:rPr>
                <w:sz w:val="16"/>
              </w:rPr>
              <w:t>Amérique latine</w:t>
            </w:r>
          </w:p>
          <w:p w:rsidR="004007D3" w:rsidRPr="00251542" w:rsidRDefault="004007D3" w:rsidP="001A5BF9">
            <w:pPr>
              <w:keepNext/>
              <w:keepLines/>
              <w:autoSpaceDE w:val="0"/>
              <w:autoSpaceDN w:val="0"/>
              <w:adjustRightInd w:val="0"/>
              <w:spacing w:before="120" w:after="120"/>
              <w:rPr>
                <w:rFonts w:cs="Arial"/>
                <w:sz w:val="16"/>
                <w:szCs w:val="16"/>
              </w:rPr>
            </w:pPr>
          </w:p>
        </w:tc>
        <w:tc>
          <w:tcPr>
            <w:tcW w:w="4110" w:type="dxa"/>
            <w:gridSpan w:val="3"/>
          </w:tcPr>
          <w:p w:rsidR="004007D3" w:rsidRPr="00251542" w:rsidRDefault="004007D3" w:rsidP="001A5BF9">
            <w:pPr>
              <w:keepNext/>
              <w:keepLines/>
              <w:autoSpaceDE w:val="0"/>
              <w:autoSpaceDN w:val="0"/>
              <w:adjustRightInd w:val="0"/>
              <w:spacing w:before="120" w:after="120"/>
              <w:rPr>
                <w:rFonts w:cs="Arial"/>
                <w:sz w:val="16"/>
                <w:szCs w:val="16"/>
              </w:rPr>
            </w:pPr>
            <w:r w:rsidRPr="00251542">
              <w:rPr>
                <w:sz w:val="16"/>
              </w:rPr>
              <w:t xml:space="preserve">Le projet </w:t>
            </w:r>
            <w:proofErr w:type="spellStart"/>
            <w:r w:rsidRPr="00251542">
              <w:rPr>
                <w:sz w:val="16"/>
              </w:rPr>
              <w:t>LATIPAT</w:t>
            </w:r>
            <w:proofErr w:type="spellEnd"/>
            <w:r w:rsidRPr="00251542">
              <w:rPr>
                <w:sz w:val="16"/>
              </w:rPr>
              <w:t xml:space="preserve"> a été créé pour constituer une base de données et entrer des informations relatives aux brevets concernant tous les pays d</w:t>
            </w:r>
            <w:r w:rsidR="00A20444" w:rsidRPr="00251542">
              <w:rPr>
                <w:sz w:val="16"/>
              </w:rPr>
              <w:t>’</w:t>
            </w:r>
            <w:r w:rsidRPr="00251542">
              <w:rPr>
                <w:sz w:val="16"/>
              </w:rPr>
              <w:t xml:space="preserve">Amérique latine. </w:t>
            </w:r>
            <w:r w:rsidR="0010442A" w:rsidRPr="00251542">
              <w:rPr>
                <w:sz w:val="16"/>
              </w:rPr>
              <w:t xml:space="preserve"> </w:t>
            </w:r>
            <w:r w:rsidRPr="00251542">
              <w:rPr>
                <w:sz w:val="16"/>
              </w:rPr>
              <w:t xml:space="preserve">Actuellement, le projet </w:t>
            </w:r>
            <w:proofErr w:type="spellStart"/>
            <w:r w:rsidRPr="00251542">
              <w:rPr>
                <w:sz w:val="16"/>
              </w:rPr>
              <w:t>LATIPAT</w:t>
            </w:r>
            <w:proofErr w:type="spellEnd"/>
            <w:r w:rsidRPr="00251542">
              <w:rPr>
                <w:sz w:val="16"/>
              </w:rPr>
              <w:t xml:space="preserve"> est un exemple, non seulement pour les pays d</w:t>
            </w:r>
            <w:r w:rsidR="00A20444" w:rsidRPr="00251542">
              <w:rPr>
                <w:sz w:val="16"/>
              </w:rPr>
              <w:t>’</w:t>
            </w:r>
            <w:r w:rsidRPr="00251542">
              <w:rPr>
                <w:sz w:val="16"/>
              </w:rPr>
              <w:t>Amérique latine, mais pour les différents forums internationaux se rapportant aux informations sur les brevets, aux engagements, à la persévérance et au travail d</w:t>
            </w:r>
            <w:r w:rsidR="00A20444" w:rsidRPr="00251542">
              <w:rPr>
                <w:sz w:val="16"/>
              </w:rPr>
              <w:t>’</w:t>
            </w:r>
            <w:r w:rsidRPr="00251542">
              <w:rPr>
                <w:sz w:val="16"/>
              </w:rPr>
              <w:t xml:space="preserve">équipe. </w:t>
            </w:r>
            <w:r w:rsidR="0010442A" w:rsidRPr="00251542">
              <w:rPr>
                <w:sz w:val="16"/>
              </w:rPr>
              <w:t xml:space="preserve"> </w:t>
            </w:r>
            <w:r w:rsidR="00E40890" w:rsidRPr="00251542">
              <w:rPr>
                <w:sz w:val="16"/>
              </w:rPr>
              <w:t>Sur une période de 13 </w:t>
            </w:r>
            <w:r w:rsidRPr="00251542">
              <w:rPr>
                <w:sz w:val="16"/>
              </w:rPr>
              <w:t>ans, la base de données a recueilli plus de 2</w:t>
            </w:r>
            <w:r w:rsidR="0010442A" w:rsidRPr="00251542">
              <w:rPr>
                <w:sz w:val="16"/>
              </w:rPr>
              <w:t> </w:t>
            </w:r>
            <w:r w:rsidRPr="00251542">
              <w:rPr>
                <w:sz w:val="16"/>
              </w:rPr>
              <w:t>millions de documents et elle reçoit en moyenne 14</w:t>
            </w:r>
            <w:r w:rsidR="0010442A" w:rsidRPr="00251542">
              <w:rPr>
                <w:sz w:val="16"/>
              </w:rPr>
              <w:t> </w:t>
            </w:r>
            <w:r w:rsidRPr="00251542">
              <w:rPr>
                <w:sz w:val="16"/>
              </w:rPr>
              <w:t>000 visites par mois.</w:t>
            </w:r>
          </w:p>
        </w:tc>
      </w:tr>
    </w:tbl>
    <w:p w:rsidR="00D42474" w:rsidRDefault="00D42474" w:rsidP="001A5BF9">
      <w:pPr>
        <w:keepNext/>
        <w:rPr>
          <w:rFonts w:cs="Arial"/>
          <w:b/>
          <w:szCs w:val="20"/>
        </w:rPr>
      </w:pPr>
    </w:p>
    <w:p w:rsidR="00D42474" w:rsidRDefault="00D42474" w:rsidP="001A5BF9">
      <w:pPr>
        <w:rPr>
          <w:rFonts w:cs="Arial"/>
          <w:b/>
          <w:szCs w:val="20"/>
        </w:rPr>
      </w:pPr>
    </w:p>
    <w:p w:rsidR="00D42474" w:rsidRDefault="004007D3" w:rsidP="001A5BF9">
      <w:pPr>
        <w:keepNext/>
        <w:keepLines/>
        <w:rPr>
          <w:rFonts w:ascii="Arial Bold" w:hAnsi="Arial Bold" w:cs="Arial Bold"/>
          <w:b/>
          <w:bCs/>
          <w:sz w:val="18"/>
          <w:szCs w:val="18"/>
        </w:rPr>
      </w:pPr>
      <w:r w:rsidRPr="00251542">
        <w:rPr>
          <w:rFonts w:ascii="Arial Bold" w:hAnsi="Arial Bold"/>
          <w:b/>
          <w:sz w:val="18"/>
        </w:rPr>
        <w:t>ESPAGNE – Contributions des donateurs et dépenses en</w:t>
      </w:r>
      <w:r w:rsidR="0010442A" w:rsidRPr="00251542">
        <w:rPr>
          <w:rFonts w:ascii="Arial Bold" w:hAnsi="Arial Bold"/>
          <w:b/>
          <w:sz w:val="18"/>
        </w:rPr>
        <w:t> </w:t>
      </w:r>
      <w:r w:rsidRPr="00251542">
        <w:rPr>
          <w:rFonts w:ascii="Arial Bold" w:hAnsi="Arial Bold"/>
          <w:b/>
          <w:sz w:val="18"/>
        </w:rPr>
        <w:t>2013</w:t>
      </w:r>
      <w:r w:rsidRPr="00251542">
        <w:rPr>
          <w:rFonts w:ascii="Arial Bold" w:hAnsi="Arial Bold"/>
          <w:b/>
          <w:sz w:val="18"/>
          <w:vertAlign w:val="superscript"/>
        </w:rPr>
        <w:t>1</w:t>
      </w:r>
    </w:p>
    <w:p w:rsidR="004007D3" w:rsidRPr="00251542" w:rsidRDefault="004007D3" w:rsidP="001A5BF9">
      <w:pPr>
        <w:keepNext/>
        <w:keepLines/>
        <w:rPr>
          <w:rFonts w:cs="Arial"/>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4007D3" w:rsidRPr="00251542" w:rsidTr="0056083E">
        <w:trPr>
          <w:trHeight w:val="567"/>
        </w:trPr>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12</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4"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13</w:t>
            </w:r>
          </w:p>
        </w:tc>
      </w:tr>
      <w:tr w:rsidR="004007D3" w:rsidRPr="00251542" w:rsidTr="0056083E">
        <w:trPr>
          <w:trHeight w:val="567"/>
        </w:trPr>
        <w:tc>
          <w:tcPr>
            <w:tcW w:w="1843" w:type="dxa"/>
            <w:shd w:val="clear" w:color="auto" w:fill="auto"/>
            <w:vAlign w:val="center"/>
          </w:tcPr>
          <w:p w:rsidR="004007D3" w:rsidRPr="00251542" w:rsidRDefault="007A524A" w:rsidP="001A5BF9">
            <w:pPr>
              <w:autoSpaceDE w:val="0"/>
              <w:autoSpaceDN w:val="0"/>
              <w:adjustRightInd w:val="0"/>
              <w:spacing w:before="120" w:after="120"/>
              <w:jc w:val="center"/>
              <w:rPr>
                <w:rFonts w:eastAsia="MS Mincho" w:cs="Arial"/>
                <w:sz w:val="16"/>
                <w:szCs w:val="16"/>
                <w:lang w:bidi="th-TH"/>
              </w:rPr>
            </w:pPr>
            <w:r>
              <w:rPr>
                <w:sz w:val="16"/>
              </w:rPr>
              <w:t>121 </w:t>
            </w:r>
            <w:r w:rsidR="004007D3" w:rsidRPr="00251542">
              <w:rPr>
                <w:sz w:val="16"/>
              </w:rPr>
              <w:t>400</w:t>
            </w:r>
          </w:p>
        </w:tc>
        <w:tc>
          <w:tcPr>
            <w:tcW w:w="1701" w:type="dxa"/>
            <w:shd w:val="clear" w:color="auto" w:fill="auto"/>
            <w:vAlign w:val="center"/>
          </w:tcPr>
          <w:p w:rsidR="004007D3" w:rsidRPr="00251542" w:rsidRDefault="007A524A" w:rsidP="001A5BF9">
            <w:pPr>
              <w:autoSpaceDE w:val="0"/>
              <w:autoSpaceDN w:val="0"/>
              <w:adjustRightInd w:val="0"/>
              <w:spacing w:before="120" w:after="120"/>
              <w:jc w:val="center"/>
              <w:rPr>
                <w:rFonts w:eastAsia="MS Mincho" w:cs="Arial"/>
                <w:sz w:val="16"/>
                <w:szCs w:val="16"/>
                <w:lang w:bidi="th-TH"/>
              </w:rPr>
            </w:pPr>
            <w:r>
              <w:rPr>
                <w:sz w:val="16"/>
              </w:rPr>
              <w:t>179 </w:t>
            </w:r>
            <w:r w:rsidR="004007D3" w:rsidRPr="00251542">
              <w:rPr>
                <w:sz w:val="16"/>
              </w:rPr>
              <w:t>285</w:t>
            </w:r>
          </w:p>
        </w:tc>
        <w:tc>
          <w:tcPr>
            <w:tcW w:w="1843" w:type="dxa"/>
            <w:shd w:val="clear" w:color="auto" w:fill="auto"/>
            <w:vAlign w:val="center"/>
          </w:tcPr>
          <w:p w:rsidR="004007D3" w:rsidRPr="00251542" w:rsidRDefault="007A524A" w:rsidP="001A5BF9">
            <w:pPr>
              <w:autoSpaceDE w:val="0"/>
              <w:autoSpaceDN w:val="0"/>
              <w:adjustRightInd w:val="0"/>
              <w:spacing w:before="120" w:after="120"/>
              <w:jc w:val="center"/>
              <w:rPr>
                <w:rFonts w:eastAsia="MS Mincho" w:cs="Arial"/>
                <w:sz w:val="16"/>
                <w:szCs w:val="16"/>
                <w:lang w:bidi="th-TH"/>
              </w:rPr>
            </w:pPr>
            <w:r>
              <w:rPr>
                <w:sz w:val="16"/>
              </w:rPr>
              <w:t>135 </w:t>
            </w:r>
            <w:r w:rsidR="004007D3" w:rsidRPr="00251542">
              <w:rPr>
                <w:sz w:val="16"/>
              </w:rPr>
              <w:t>093</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 </w:t>
            </w:r>
          </w:p>
        </w:tc>
        <w:tc>
          <w:tcPr>
            <w:tcW w:w="1984" w:type="dxa"/>
            <w:shd w:val="clear" w:color="auto" w:fill="auto"/>
            <w:vAlign w:val="center"/>
          </w:tcPr>
          <w:p w:rsidR="004007D3" w:rsidRPr="00251542" w:rsidRDefault="007A524A" w:rsidP="001A5BF9">
            <w:pPr>
              <w:autoSpaceDE w:val="0"/>
              <w:autoSpaceDN w:val="0"/>
              <w:adjustRightInd w:val="0"/>
              <w:spacing w:before="120" w:after="120"/>
              <w:jc w:val="center"/>
              <w:rPr>
                <w:rFonts w:eastAsia="MS Mincho" w:cs="Arial"/>
                <w:sz w:val="16"/>
                <w:szCs w:val="16"/>
                <w:lang w:bidi="th-TH"/>
              </w:rPr>
            </w:pPr>
            <w:r>
              <w:rPr>
                <w:sz w:val="16"/>
              </w:rPr>
              <w:t>165 </w:t>
            </w:r>
            <w:r w:rsidR="004007D3" w:rsidRPr="00251542">
              <w:rPr>
                <w:sz w:val="16"/>
              </w:rPr>
              <w:t>592</w:t>
            </w:r>
          </w:p>
        </w:tc>
      </w:tr>
    </w:tbl>
    <w:p w:rsidR="00D42474" w:rsidRDefault="004007D3" w:rsidP="001A5BF9">
      <w:pPr>
        <w:spacing w:before="120"/>
        <w:rPr>
          <w:sz w:val="16"/>
          <w:szCs w:val="16"/>
        </w:rPr>
      </w:pPr>
      <w:r w:rsidRPr="007A524A">
        <w:rPr>
          <w:i/>
          <w:sz w:val="16"/>
          <w:szCs w:val="16"/>
          <w:vertAlign w:val="superscript"/>
        </w:rPr>
        <w:t>1</w:t>
      </w:r>
      <w:r w:rsidR="007A524A" w:rsidRPr="007A524A">
        <w:rPr>
          <w:i/>
          <w:sz w:val="16"/>
          <w:szCs w:val="16"/>
          <w:vertAlign w:val="superscript"/>
        </w:rPr>
        <w:t xml:space="preserve"> </w:t>
      </w:r>
      <w:r w:rsidR="007A524A">
        <w:rPr>
          <w:i/>
          <w:sz w:val="16"/>
          <w:szCs w:val="16"/>
        </w:rPr>
        <w:t xml:space="preserve"> </w:t>
      </w:r>
      <w:r w:rsidRPr="007A524A">
        <w:rPr>
          <w:i/>
          <w:sz w:val="16"/>
          <w:szCs w:val="16"/>
        </w:rPr>
        <w:t>États financiers de l</w:t>
      </w:r>
      <w:r w:rsidR="00A20444" w:rsidRPr="007A524A">
        <w:rPr>
          <w:i/>
          <w:sz w:val="16"/>
          <w:szCs w:val="16"/>
        </w:rPr>
        <w:t>’</w:t>
      </w:r>
      <w:r w:rsidRPr="007A524A">
        <w:rPr>
          <w:i/>
          <w:sz w:val="16"/>
          <w:szCs w:val="16"/>
        </w:rPr>
        <w:t>OMPI 2013 (annexe III)</w:t>
      </w:r>
    </w:p>
    <w:p w:rsidR="00D42474" w:rsidRDefault="004007D3" w:rsidP="001A5BF9">
      <w:pPr>
        <w:keepNext/>
        <w:keepLines/>
        <w:rPr>
          <w:rFonts w:cs="Arial"/>
          <w:b/>
          <w:szCs w:val="20"/>
        </w:rPr>
      </w:pPr>
      <w:r w:rsidRPr="00251542">
        <w:rPr>
          <w:b/>
        </w:rPr>
        <w:t>ÉTATS</w:t>
      </w:r>
      <w:r w:rsidR="002D6F2A" w:rsidRPr="00251542">
        <w:rPr>
          <w:b/>
        </w:rPr>
        <w:noBreakHyphen/>
      </w:r>
      <w:r w:rsidRPr="00251542">
        <w:rPr>
          <w:b/>
        </w:rPr>
        <w:t>UNIS D</w:t>
      </w:r>
      <w:r w:rsidR="00A20444" w:rsidRPr="00251542">
        <w:rPr>
          <w:b/>
        </w:rPr>
        <w:t>’</w:t>
      </w:r>
      <w:r w:rsidRPr="00251542">
        <w:rPr>
          <w:b/>
        </w:rPr>
        <w:t>AMÉRIQUE/DROIT D</w:t>
      </w:r>
      <w:r w:rsidR="00A20444" w:rsidRPr="00251542">
        <w:rPr>
          <w:b/>
        </w:rPr>
        <w:t>’</w:t>
      </w:r>
      <w:r w:rsidRPr="00251542">
        <w:rPr>
          <w:b/>
        </w:rPr>
        <w:t>AUTEUR</w:t>
      </w:r>
    </w:p>
    <w:p w:rsidR="004007D3" w:rsidRPr="00251542" w:rsidRDefault="004007D3" w:rsidP="001A5BF9">
      <w:pPr>
        <w:keepNext/>
        <w:keepLines/>
        <w:rPr>
          <w:rFonts w:cs="Arial"/>
          <w:b/>
          <w:szCs w:val="20"/>
        </w:rPr>
      </w:pPr>
    </w:p>
    <w:tbl>
      <w:tblPr>
        <w:tblW w:w="9080"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137"/>
        <w:gridCol w:w="2836"/>
        <w:gridCol w:w="3263"/>
      </w:tblGrid>
      <w:tr w:rsidR="004007D3" w:rsidRPr="00251542" w:rsidTr="0056083E">
        <w:tc>
          <w:tcPr>
            <w:tcW w:w="9080" w:type="dxa"/>
            <w:gridSpan w:val="4"/>
            <w:tcBorders>
              <w:top w:val="single" w:sz="4" w:space="0" w:color="000000"/>
              <w:bottom w:val="single" w:sz="4" w:space="0" w:color="000000"/>
            </w:tcBorders>
            <w:shd w:val="clear" w:color="auto" w:fill="CCFFFF"/>
            <w:vAlign w:val="center"/>
          </w:tcPr>
          <w:p w:rsidR="004007D3" w:rsidRPr="00251542" w:rsidRDefault="004007D3" w:rsidP="007A524A">
            <w:pPr>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Prise de décisions fondées sur des données probantes concernant les questions de droit d</w:t>
            </w:r>
            <w:r w:rsidR="00A20444" w:rsidRPr="007A524A">
              <w:rPr>
                <w:sz w:val="16"/>
              </w:rPr>
              <w:t>’</w:t>
            </w:r>
            <w:r w:rsidRPr="007A524A">
              <w:rPr>
                <w:sz w:val="16"/>
              </w:rPr>
              <w:t>auteur</w:t>
            </w:r>
          </w:p>
        </w:tc>
      </w:tr>
      <w:tr w:rsidR="004007D3" w:rsidRPr="007A524A" w:rsidTr="0056083E">
        <w:tc>
          <w:tcPr>
            <w:tcW w:w="1844" w:type="dxa"/>
            <w:tcBorders>
              <w:top w:val="single" w:sz="4" w:space="0" w:color="000000"/>
            </w:tcBorders>
            <w:vAlign w:val="center"/>
          </w:tcPr>
          <w:p w:rsidR="004007D3" w:rsidRPr="007A524A" w:rsidRDefault="004007D3" w:rsidP="001A5BF9">
            <w:pPr>
              <w:keepNext/>
              <w:keepLines/>
              <w:rPr>
                <w:rFonts w:cs="Arial"/>
                <w:b/>
                <w:bCs/>
                <w:sz w:val="16"/>
                <w:szCs w:val="16"/>
              </w:rPr>
            </w:pPr>
            <w:r w:rsidRPr="007A524A">
              <w:rPr>
                <w:b/>
                <w:sz w:val="16"/>
              </w:rPr>
              <w:t>Activité</w:t>
            </w:r>
          </w:p>
        </w:tc>
        <w:tc>
          <w:tcPr>
            <w:tcW w:w="1137" w:type="dxa"/>
            <w:tcBorders>
              <w:top w:val="single" w:sz="4" w:space="0" w:color="000000"/>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Date :</w:t>
            </w:r>
          </w:p>
        </w:tc>
        <w:tc>
          <w:tcPr>
            <w:tcW w:w="2836" w:type="dxa"/>
            <w:tcBorders>
              <w:top w:val="single" w:sz="4" w:space="0" w:color="000000"/>
            </w:tcBorders>
            <w:shd w:val="clear" w:color="auto" w:fill="auto"/>
            <w:tcMar>
              <w:top w:w="110" w:type="dxa"/>
            </w:tcMar>
            <w:vAlign w:val="center"/>
          </w:tcPr>
          <w:p w:rsidR="004007D3" w:rsidRPr="007A524A" w:rsidRDefault="004007D3" w:rsidP="001A5BF9">
            <w:pPr>
              <w:keepNext/>
              <w:keepLines/>
              <w:rPr>
                <w:rFonts w:cs="Arial"/>
                <w:b/>
                <w:sz w:val="16"/>
                <w:szCs w:val="16"/>
              </w:rPr>
            </w:pPr>
            <w:r w:rsidRPr="007A524A">
              <w:rPr>
                <w:b/>
                <w:sz w:val="16"/>
              </w:rPr>
              <w:t>Pays hôte/bénéficiaire</w:t>
            </w:r>
          </w:p>
        </w:tc>
        <w:tc>
          <w:tcPr>
            <w:tcW w:w="3263" w:type="dxa"/>
            <w:tcBorders>
              <w:top w:val="single" w:sz="4" w:space="0" w:color="000000"/>
            </w:tcBorders>
            <w:shd w:val="clear" w:color="auto" w:fill="FFFFFF"/>
            <w:tcMar>
              <w:top w:w="110" w:type="dxa"/>
            </w:tcMar>
            <w:vAlign w:val="center"/>
          </w:tcPr>
          <w:p w:rsidR="004007D3" w:rsidRPr="007A524A" w:rsidRDefault="004007D3" w:rsidP="001A5BF9">
            <w:pPr>
              <w:keepNext/>
              <w:keepLines/>
              <w:rPr>
                <w:rFonts w:cs="Arial"/>
                <w:b/>
                <w:sz w:val="16"/>
                <w:szCs w:val="16"/>
              </w:rPr>
            </w:pPr>
            <w:r w:rsidRPr="007A524A">
              <w:rPr>
                <w:b/>
                <w:sz w:val="16"/>
              </w:rPr>
              <w:t>Objectif(s)/description(s)</w:t>
            </w:r>
          </w:p>
        </w:tc>
      </w:tr>
      <w:tr w:rsidR="004007D3" w:rsidRPr="00251542" w:rsidTr="0056083E">
        <w:tc>
          <w:tcPr>
            <w:tcW w:w="1844"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Études nationales sur la contribution économique des industries fondées sur le droit d</w:t>
            </w:r>
            <w:r w:rsidR="00A20444" w:rsidRPr="00251542">
              <w:rPr>
                <w:sz w:val="16"/>
              </w:rPr>
              <w:t>’</w:t>
            </w:r>
            <w:r w:rsidRPr="00251542">
              <w:rPr>
                <w:sz w:val="16"/>
              </w:rPr>
              <w:t>auteur.</w:t>
            </w:r>
          </w:p>
        </w:tc>
        <w:tc>
          <w:tcPr>
            <w:tcW w:w="1137" w:type="dxa"/>
          </w:tcPr>
          <w:p w:rsidR="00D42474" w:rsidRDefault="00812285" w:rsidP="001A5BF9">
            <w:pPr>
              <w:autoSpaceDE w:val="0"/>
              <w:autoSpaceDN w:val="0"/>
              <w:adjustRightInd w:val="0"/>
              <w:spacing w:before="120" w:after="120"/>
              <w:rPr>
                <w:sz w:val="16"/>
              </w:rPr>
            </w:pPr>
            <w:r>
              <w:rPr>
                <w:sz w:val="16"/>
              </w:rPr>
              <w:t>j</w:t>
            </w:r>
            <w:r w:rsidR="004007D3" w:rsidRPr="00251542">
              <w:rPr>
                <w:sz w:val="16"/>
              </w:rPr>
              <w:t>anvier à décembre</w:t>
            </w:r>
          </w:p>
          <w:p w:rsidR="004007D3" w:rsidRPr="00251542" w:rsidRDefault="00812285" w:rsidP="001A5BF9">
            <w:pPr>
              <w:autoSpaceDE w:val="0"/>
              <w:autoSpaceDN w:val="0"/>
              <w:adjustRightInd w:val="0"/>
              <w:spacing w:before="120" w:after="120"/>
              <w:rPr>
                <w:rFonts w:eastAsia="MS Mincho" w:cs="Arial"/>
                <w:sz w:val="16"/>
                <w:szCs w:val="16"/>
                <w:lang w:bidi="th-TH"/>
              </w:rPr>
            </w:pPr>
            <w:r>
              <w:rPr>
                <w:sz w:val="16"/>
              </w:rPr>
              <w:t>(c</w:t>
            </w:r>
            <w:r w:rsidR="004007D3" w:rsidRPr="00251542">
              <w:rPr>
                <w:sz w:val="16"/>
              </w:rPr>
              <w:t>ontinu depuis </w:t>
            </w:r>
            <w:r w:rsidR="00385904" w:rsidRPr="00251542">
              <w:rPr>
                <w:sz w:val="16"/>
              </w:rPr>
              <w:br/>
            </w:r>
            <w:r w:rsidR="004007D3" w:rsidRPr="00251542">
              <w:rPr>
                <w:sz w:val="16"/>
              </w:rPr>
              <w:t>2012</w:t>
            </w:r>
            <w:r w:rsidR="002D6F2A" w:rsidRPr="00251542">
              <w:rPr>
                <w:sz w:val="16"/>
              </w:rPr>
              <w:noBreakHyphen/>
            </w:r>
            <w:r w:rsidR="004007D3" w:rsidRPr="00251542">
              <w:rPr>
                <w:sz w:val="16"/>
              </w:rPr>
              <w:t>2013)</w:t>
            </w:r>
          </w:p>
        </w:tc>
        <w:tc>
          <w:tcPr>
            <w:tcW w:w="2836" w:type="dxa"/>
          </w:tcPr>
          <w:p w:rsidR="004007D3" w:rsidRPr="00251542" w:rsidRDefault="004007D3" w:rsidP="001A5BF9">
            <w:pPr>
              <w:autoSpaceDE w:val="0"/>
              <w:autoSpaceDN w:val="0"/>
              <w:adjustRightInd w:val="0"/>
              <w:spacing w:before="120" w:after="120"/>
              <w:rPr>
                <w:rFonts w:cs="Arial"/>
                <w:sz w:val="16"/>
                <w:szCs w:val="16"/>
              </w:rPr>
            </w:pPr>
            <w:r w:rsidRPr="00251542">
              <w:rPr>
                <w:sz w:val="16"/>
              </w:rPr>
              <w:t>Afrique du Sud, Albanie, Argentine, Brésil, Chine, Indonésie, Jordanie, Lituanie, Malawi, Organisation des États des Antilles orientales (</w:t>
            </w:r>
            <w:proofErr w:type="spellStart"/>
            <w:r w:rsidRPr="00251542">
              <w:rPr>
                <w:sz w:val="16"/>
              </w:rPr>
              <w:t>OEAO</w:t>
            </w:r>
            <w:proofErr w:type="spellEnd"/>
            <w:r w:rsidRPr="00251542">
              <w:rPr>
                <w:sz w:val="16"/>
              </w:rPr>
              <w:t>), République de Corée, République</w:t>
            </w:r>
            <w:r w:rsidR="002D6F2A" w:rsidRPr="00251542">
              <w:rPr>
                <w:sz w:val="16"/>
              </w:rPr>
              <w:noBreakHyphen/>
            </w:r>
            <w:r w:rsidRPr="00251542">
              <w:rPr>
                <w:sz w:val="16"/>
              </w:rPr>
              <w:t>Unie de Tanzanie, Thaïlande, Trinité</w:t>
            </w:r>
            <w:r w:rsidR="002D6F2A" w:rsidRPr="00251542">
              <w:rPr>
                <w:sz w:val="16"/>
              </w:rPr>
              <w:noBreakHyphen/>
            </w:r>
            <w:r w:rsidRPr="00251542">
              <w:rPr>
                <w:sz w:val="16"/>
              </w:rPr>
              <w:t>et</w:t>
            </w:r>
            <w:r w:rsidR="002D6F2A" w:rsidRPr="00251542">
              <w:rPr>
                <w:sz w:val="16"/>
              </w:rPr>
              <w:noBreakHyphen/>
            </w:r>
            <w:r w:rsidRPr="00251542">
              <w:rPr>
                <w:sz w:val="16"/>
              </w:rPr>
              <w:t>Tobago</w:t>
            </w:r>
          </w:p>
        </w:tc>
        <w:tc>
          <w:tcPr>
            <w:tcW w:w="3263"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i) Quantifier la contribution économique des industries fondées sur le droit d</w:t>
            </w:r>
            <w:r w:rsidR="00A20444" w:rsidRPr="00251542">
              <w:rPr>
                <w:sz w:val="16"/>
              </w:rPr>
              <w:t>’</w:t>
            </w:r>
            <w:r w:rsidRPr="00251542">
              <w:rPr>
                <w:sz w:val="16"/>
              </w:rPr>
              <w:t>auteur et ii)</w:t>
            </w:r>
            <w:r w:rsidR="0010442A" w:rsidRPr="00251542">
              <w:rPr>
                <w:sz w:val="16"/>
              </w:rPr>
              <w:t> </w:t>
            </w:r>
            <w:r w:rsidRPr="00251542">
              <w:rPr>
                <w:sz w:val="16"/>
              </w:rPr>
              <w:t>jeter les bases de l</w:t>
            </w:r>
            <w:r w:rsidR="00A20444" w:rsidRPr="00251542">
              <w:rPr>
                <w:sz w:val="16"/>
              </w:rPr>
              <w:t>’</w:t>
            </w:r>
            <w:r w:rsidRPr="00251542">
              <w:rPr>
                <w:sz w:val="16"/>
              </w:rPr>
              <w:t>élaboration d</w:t>
            </w:r>
            <w:r w:rsidR="00A20444" w:rsidRPr="00251542">
              <w:rPr>
                <w:sz w:val="16"/>
              </w:rPr>
              <w:t>’</w:t>
            </w:r>
            <w:r w:rsidRPr="00251542">
              <w:rPr>
                <w:sz w:val="16"/>
              </w:rPr>
              <w:t xml:space="preserve">une politique fondée sur des informations statistiques. </w:t>
            </w:r>
            <w:r w:rsidR="0010442A" w:rsidRPr="00251542">
              <w:rPr>
                <w:sz w:val="16"/>
              </w:rPr>
              <w:t xml:space="preserve"> </w:t>
            </w:r>
          </w:p>
        </w:tc>
      </w:tr>
      <w:tr w:rsidR="004007D3" w:rsidRPr="00251542" w:rsidTr="0056083E">
        <w:tc>
          <w:tcPr>
            <w:tcW w:w="1844"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Études de l</w:t>
            </w:r>
            <w:r w:rsidR="00A20444" w:rsidRPr="00251542">
              <w:rPr>
                <w:sz w:val="16"/>
              </w:rPr>
              <w:t>’</w:t>
            </w:r>
            <w:r w:rsidRPr="00251542">
              <w:rPr>
                <w:sz w:val="16"/>
              </w:rPr>
              <w:t>incidence sur des industries spécifiques fondées sur le droit d</w:t>
            </w:r>
            <w:r w:rsidR="00A20444" w:rsidRPr="00251542">
              <w:rPr>
                <w:sz w:val="16"/>
              </w:rPr>
              <w:t>’</w:t>
            </w:r>
            <w:r w:rsidRPr="00251542">
              <w:rPr>
                <w:sz w:val="16"/>
              </w:rPr>
              <w:t>auteur</w:t>
            </w:r>
          </w:p>
        </w:tc>
        <w:tc>
          <w:tcPr>
            <w:tcW w:w="1137" w:type="dxa"/>
          </w:tcPr>
          <w:p w:rsidR="00D42474" w:rsidRDefault="00812285" w:rsidP="001A5BF9">
            <w:pPr>
              <w:autoSpaceDE w:val="0"/>
              <w:autoSpaceDN w:val="0"/>
              <w:adjustRightInd w:val="0"/>
              <w:spacing w:before="120" w:after="120"/>
              <w:rPr>
                <w:rFonts w:eastAsia="MS Mincho" w:cs="Arial"/>
                <w:sz w:val="16"/>
                <w:szCs w:val="16"/>
                <w:lang w:bidi="th-TH"/>
              </w:rPr>
            </w:pPr>
            <w:r>
              <w:rPr>
                <w:sz w:val="16"/>
              </w:rPr>
              <w:t>j</w:t>
            </w:r>
            <w:r w:rsidR="004007D3" w:rsidRPr="00251542">
              <w:rPr>
                <w:sz w:val="16"/>
              </w:rPr>
              <w:t>anvier à décembre 2013</w:t>
            </w:r>
          </w:p>
          <w:p w:rsidR="004007D3" w:rsidRPr="00251542" w:rsidRDefault="00812285" w:rsidP="00812285">
            <w:pPr>
              <w:autoSpaceDE w:val="0"/>
              <w:autoSpaceDN w:val="0"/>
              <w:adjustRightInd w:val="0"/>
              <w:spacing w:before="120" w:after="120"/>
              <w:rPr>
                <w:rFonts w:eastAsia="MS Mincho" w:cs="Arial"/>
                <w:sz w:val="16"/>
                <w:szCs w:val="16"/>
                <w:lang w:bidi="th-TH"/>
              </w:rPr>
            </w:pPr>
            <w:r>
              <w:rPr>
                <w:sz w:val="16"/>
              </w:rPr>
              <w:t>(c</w:t>
            </w:r>
            <w:r w:rsidR="004007D3" w:rsidRPr="00251542">
              <w:rPr>
                <w:sz w:val="16"/>
              </w:rPr>
              <w:t>ontinu depuis</w:t>
            </w:r>
            <w:r>
              <w:rPr>
                <w:sz w:val="16"/>
              </w:rPr>
              <w:t xml:space="preserve"> </w:t>
            </w:r>
            <w:r w:rsidR="004007D3" w:rsidRPr="00251542">
              <w:rPr>
                <w:sz w:val="16"/>
              </w:rPr>
              <w:t>2012)</w:t>
            </w:r>
          </w:p>
        </w:tc>
        <w:tc>
          <w:tcPr>
            <w:tcW w:w="2836"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Chine, Mexique, Liban</w:t>
            </w:r>
          </w:p>
        </w:tc>
        <w:tc>
          <w:tcPr>
            <w:tcW w:w="3263"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i) Analyser l</w:t>
            </w:r>
            <w:r w:rsidR="00A20444" w:rsidRPr="00251542">
              <w:rPr>
                <w:sz w:val="16"/>
              </w:rPr>
              <w:t>’</w:t>
            </w:r>
            <w:r w:rsidRPr="00251542">
              <w:rPr>
                <w:sz w:val="16"/>
              </w:rPr>
              <w:t>impact du droit d</w:t>
            </w:r>
            <w:r w:rsidR="00A20444" w:rsidRPr="00251542">
              <w:rPr>
                <w:sz w:val="16"/>
              </w:rPr>
              <w:t>’</w:t>
            </w:r>
            <w:r w:rsidRPr="00251542">
              <w:rPr>
                <w:sz w:val="16"/>
              </w:rPr>
              <w:t>auteur sur des industries spécifiques fondées sur le droit d</w:t>
            </w:r>
            <w:r w:rsidR="00A20444" w:rsidRPr="00251542">
              <w:rPr>
                <w:sz w:val="16"/>
              </w:rPr>
              <w:t>’</w:t>
            </w:r>
            <w:r w:rsidRPr="00251542">
              <w:rPr>
                <w:sz w:val="16"/>
              </w:rPr>
              <w:t>auteur et ii)</w:t>
            </w:r>
            <w:r w:rsidR="0010442A" w:rsidRPr="00251542">
              <w:rPr>
                <w:sz w:val="16"/>
              </w:rPr>
              <w:t> </w:t>
            </w:r>
            <w:r w:rsidRPr="00251542">
              <w:rPr>
                <w:sz w:val="16"/>
              </w:rPr>
              <w:t>assurer une meilleure compréhension des tendances existant dans les industries créatives et des facteurs affectant leur performance.</w:t>
            </w:r>
          </w:p>
        </w:tc>
      </w:tr>
      <w:tr w:rsidR="004007D3" w:rsidRPr="00251542" w:rsidTr="0056083E">
        <w:tc>
          <w:tcPr>
            <w:tcW w:w="9080" w:type="dxa"/>
            <w:gridSpan w:val="4"/>
            <w:tcBorders>
              <w:top w:val="single" w:sz="4" w:space="0" w:color="000000"/>
              <w:bottom w:val="single" w:sz="4" w:space="0" w:color="000000"/>
            </w:tcBorders>
            <w:shd w:val="clear" w:color="auto" w:fill="CCFFFF"/>
            <w:vAlign w:val="center"/>
          </w:tcPr>
          <w:p w:rsidR="004007D3" w:rsidRPr="00251542" w:rsidRDefault="004007D3" w:rsidP="001A5BF9">
            <w:pPr>
              <w:keepNext/>
              <w:keepLines/>
              <w:tabs>
                <w:tab w:val="left" w:pos="1740"/>
              </w:tabs>
              <w:spacing w:before="120" w:after="120"/>
              <w:ind w:left="1740" w:hanging="1740"/>
              <w:rPr>
                <w:rFonts w:cs="Arial"/>
                <w:b/>
                <w:bCs/>
                <w:sz w:val="16"/>
                <w:szCs w:val="16"/>
              </w:rPr>
            </w:pPr>
            <w:r w:rsidRPr="00251542">
              <w:rPr>
                <w:b/>
                <w:sz w:val="16"/>
              </w:rPr>
              <w:t>RÉSULTAT</w:t>
            </w:r>
            <w:r w:rsidR="0010442A" w:rsidRPr="00251542">
              <w:rPr>
                <w:b/>
                <w:sz w:val="16"/>
              </w:rPr>
              <w:t> </w:t>
            </w:r>
            <w:r w:rsidRPr="00251542">
              <w:rPr>
                <w:b/>
                <w:sz w:val="16"/>
              </w:rPr>
              <w:t>:</w:t>
            </w:r>
            <w:r w:rsidR="004F3E42" w:rsidRPr="00251542">
              <w:rPr>
                <w:b/>
                <w:sz w:val="16"/>
              </w:rPr>
              <w:t xml:space="preserve"> </w:t>
            </w:r>
            <w:r w:rsidR="007A524A">
              <w:rPr>
                <w:b/>
                <w:sz w:val="16"/>
              </w:rPr>
              <w:tab/>
            </w:r>
            <w:r w:rsidRPr="007A524A">
              <w:rPr>
                <w:sz w:val="16"/>
              </w:rPr>
              <w:t>Renforcement des ressources humaines dans les pays en développement,</w:t>
            </w:r>
            <w:r w:rsidR="00A20444" w:rsidRPr="007A524A">
              <w:rPr>
                <w:sz w:val="16"/>
              </w:rPr>
              <w:t xml:space="preserve"> les PMA</w:t>
            </w:r>
            <w:r w:rsidRPr="007A524A">
              <w:rPr>
                <w:sz w:val="16"/>
              </w:rPr>
              <w:t xml:space="preserve"> et les pays en transition pour leur permettre d</w:t>
            </w:r>
            <w:r w:rsidR="00A20444" w:rsidRPr="007A524A">
              <w:rPr>
                <w:sz w:val="16"/>
              </w:rPr>
              <w:t>’</w:t>
            </w:r>
            <w:r w:rsidRPr="007A524A">
              <w:rPr>
                <w:sz w:val="16"/>
              </w:rPr>
              <w:t>utiliser avec efficacité la propriété intellectuelle au service du développement.</w:t>
            </w:r>
          </w:p>
        </w:tc>
      </w:tr>
      <w:tr w:rsidR="004007D3" w:rsidRPr="00251542" w:rsidTr="0056083E">
        <w:tc>
          <w:tcPr>
            <w:tcW w:w="1844"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Préparation, traduction et publication des études de l</w:t>
            </w:r>
            <w:r w:rsidR="00A20444" w:rsidRPr="00251542">
              <w:rPr>
                <w:sz w:val="16"/>
              </w:rPr>
              <w:t>’</w:t>
            </w:r>
            <w:r w:rsidRPr="00251542">
              <w:rPr>
                <w:sz w:val="16"/>
              </w:rPr>
              <w:t>OMPI et des outils de formation sur la gestion de la propriété intellectuelle dans des industries spécifiques fondées sur le droit d</w:t>
            </w:r>
            <w:r w:rsidR="00A20444" w:rsidRPr="00251542">
              <w:rPr>
                <w:sz w:val="16"/>
              </w:rPr>
              <w:t>’</w:t>
            </w:r>
            <w:r w:rsidRPr="00251542">
              <w:rPr>
                <w:sz w:val="16"/>
              </w:rPr>
              <w:t>auteur</w:t>
            </w:r>
          </w:p>
        </w:tc>
        <w:tc>
          <w:tcPr>
            <w:tcW w:w="1137" w:type="dxa"/>
          </w:tcPr>
          <w:p w:rsidR="004007D3" w:rsidRPr="00251542" w:rsidRDefault="00812285" w:rsidP="001A5BF9">
            <w:pPr>
              <w:autoSpaceDE w:val="0"/>
              <w:autoSpaceDN w:val="0"/>
              <w:adjustRightInd w:val="0"/>
              <w:spacing w:before="120" w:after="120"/>
              <w:rPr>
                <w:rFonts w:eastAsia="MS Mincho" w:cs="Arial"/>
                <w:sz w:val="16"/>
                <w:szCs w:val="16"/>
                <w:lang w:bidi="th-TH"/>
              </w:rPr>
            </w:pPr>
            <w:r>
              <w:rPr>
                <w:sz w:val="16"/>
              </w:rPr>
              <w:t>j</w:t>
            </w:r>
            <w:r w:rsidR="004007D3" w:rsidRPr="00251542">
              <w:rPr>
                <w:sz w:val="16"/>
              </w:rPr>
              <w:t>anvier à décembre 2013</w:t>
            </w:r>
          </w:p>
        </w:tc>
        <w:tc>
          <w:tcPr>
            <w:tcW w:w="2836"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Tous les États membres de l</w:t>
            </w:r>
            <w:r w:rsidR="00A20444" w:rsidRPr="00251542">
              <w:rPr>
                <w:sz w:val="16"/>
              </w:rPr>
              <w:t>’</w:t>
            </w:r>
            <w:r w:rsidRPr="00251542">
              <w:rPr>
                <w:sz w:val="16"/>
              </w:rPr>
              <w:t xml:space="preserve">OMPI </w:t>
            </w:r>
          </w:p>
        </w:tc>
        <w:tc>
          <w:tcPr>
            <w:tcW w:w="3263" w:type="dxa"/>
          </w:tcPr>
          <w:p w:rsidR="004007D3" w:rsidRPr="00251542" w:rsidRDefault="004007D3" w:rsidP="001A5BF9">
            <w:pPr>
              <w:autoSpaceDE w:val="0"/>
              <w:autoSpaceDN w:val="0"/>
              <w:adjustRightInd w:val="0"/>
              <w:spacing w:before="120" w:after="120"/>
              <w:rPr>
                <w:rFonts w:eastAsia="MS Mincho" w:cs="Arial"/>
                <w:sz w:val="16"/>
                <w:szCs w:val="16"/>
                <w:lang w:bidi="th-TH"/>
              </w:rPr>
            </w:pPr>
            <w:r w:rsidRPr="00251542">
              <w:rPr>
                <w:sz w:val="16"/>
              </w:rPr>
              <w:t>Enrichir les connaissances des parties prenantes dans les industries créatives pour comprendre et gérer la propriété intellectuelle/droit d</w:t>
            </w:r>
            <w:r w:rsidR="00A20444" w:rsidRPr="00251542">
              <w:rPr>
                <w:sz w:val="16"/>
              </w:rPr>
              <w:t>’</w:t>
            </w:r>
            <w:r w:rsidRPr="00251542">
              <w:rPr>
                <w:sz w:val="16"/>
              </w:rPr>
              <w:t xml:space="preserve">auteur dans des industries créatives spécifiques concernées </w:t>
            </w:r>
          </w:p>
        </w:tc>
      </w:tr>
    </w:tbl>
    <w:p w:rsidR="00D42474" w:rsidRDefault="00D42474" w:rsidP="001A5BF9">
      <w:pPr>
        <w:keepNext/>
        <w:keepLines/>
        <w:rPr>
          <w:rFonts w:cs="Arial"/>
          <w:b/>
          <w:szCs w:val="20"/>
        </w:rPr>
      </w:pPr>
    </w:p>
    <w:p w:rsidR="00D42474" w:rsidRDefault="00D42474" w:rsidP="001A5BF9">
      <w:pPr>
        <w:rPr>
          <w:rFonts w:cs="Arial"/>
          <w:b/>
          <w:szCs w:val="20"/>
        </w:rPr>
      </w:pPr>
    </w:p>
    <w:p w:rsidR="00D42474" w:rsidRDefault="004007D3" w:rsidP="001A5BF9">
      <w:pPr>
        <w:keepNext/>
        <w:keepLines/>
        <w:rPr>
          <w:rFonts w:cs="Arial"/>
          <w:b/>
          <w:sz w:val="18"/>
          <w:szCs w:val="18"/>
        </w:rPr>
      </w:pPr>
      <w:r w:rsidRPr="00251542">
        <w:rPr>
          <w:b/>
          <w:sz w:val="18"/>
        </w:rPr>
        <w:t>ÉTATS</w:t>
      </w:r>
      <w:r w:rsidR="002D6F2A" w:rsidRPr="00251542">
        <w:rPr>
          <w:b/>
          <w:sz w:val="18"/>
        </w:rPr>
        <w:noBreakHyphen/>
      </w:r>
      <w:r w:rsidRPr="00251542">
        <w:rPr>
          <w:b/>
          <w:sz w:val="18"/>
        </w:rPr>
        <w:t>UNIS D</w:t>
      </w:r>
      <w:r w:rsidR="00A20444" w:rsidRPr="00251542">
        <w:rPr>
          <w:b/>
          <w:sz w:val="18"/>
        </w:rPr>
        <w:t>’</w:t>
      </w:r>
      <w:r w:rsidRPr="00251542">
        <w:rPr>
          <w:b/>
          <w:sz w:val="18"/>
        </w:rPr>
        <w:t>AMÉRIQUE/DROIT D</w:t>
      </w:r>
      <w:r w:rsidR="00A20444" w:rsidRPr="00251542">
        <w:rPr>
          <w:b/>
          <w:sz w:val="18"/>
        </w:rPr>
        <w:t>’</w:t>
      </w:r>
      <w:r w:rsidRPr="00251542">
        <w:rPr>
          <w:b/>
          <w:sz w:val="18"/>
        </w:rPr>
        <w:t>AUTEUR – Contributions des donateurs et dépenses en</w:t>
      </w:r>
      <w:r w:rsidR="0010442A" w:rsidRPr="00251542">
        <w:rPr>
          <w:b/>
          <w:sz w:val="18"/>
        </w:rPr>
        <w:t> </w:t>
      </w:r>
      <w:r w:rsidRPr="00251542">
        <w:rPr>
          <w:b/>
          <w:sz w:val="18"/>
        </w:rPr>
        <w:t>2013</w:t>
      </w:r>
      <w:r w:rsidRPr="00251542">
        <w:rPr>
          <w:b/>
          <w:sz w:val="18"/>
          <w:vertAlign w:val="superscript"/>
        </w:rPr>
        <w:t>1</w:t>
      </w:r>
    </w:p>
    <w:p w:rsidR="004007D3" w:rsidRPr="00251542" w:rsidRDefault="004007D3" w:rsidP="001A5BF9">
      <w:pPr>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4007D3" w:rsidRPr="00251542" w:rsidTr="0056083E">
        <w:trPr>
          <w:trHeight w:val="567"/>
        </w:trPr>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12</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Recettes 2013</w:t>
            </w:r>
          </w:p>
        </w:tc>
        <w:tc>
          <w:tcPr>
            <w:tcW w:w="1843"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Dépenses 2013</w:t>
            </w:r>
          </w:p>
        </w:tc>
        <w:tc>
          <w:tcPr>
            <w:tcW w:w="1701"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Remboursements</w:t>
            </w:r>
          </w:p>
        </w:tc>
        <w:tc>
          <w:tcPr>
            <w:tcW w:w="1984" w:type="dxa"/>
            <w:shd w:val="clear" w:color="auto" w:fill="CCFFFF"/>
            <w:vAlign w:val="center"/>
          </w:tcPr>
          <w:p w:rsidR="004007D3" w:rsidRPr="00251542" w:rsidRDefault="004007D3" w:rsidP="001A5BF9">
            <w:pPr>
              <w:spacing w:before="120" w:after="120"/>
              <w:jc w:val="center"/>
              <w:rPr>
                <w:rFonts w:cs="Arial"/>
                <w:b/>
                <w:sz w:val="16"/>
                <w:szCs w:val="16"/>
              </w:rPr>
            </w:pPr>
            <w:r w:rsidRPr="00251542">
              <w:rPr>
                <w:b/>
                <w:sz w:val="16"/>
              </w:rPr>
              <w:t>Solde au 3</w:t>
            </w:r>
            <w:r w:rsidR="00A20444" w:rsidRPr="00251542">
              <w:rPr>
                <w:b/>
                <w:sz w:val="16"/>
              </w:rPr>
              <w:t>1 décembre 20</w:t>
            </w:r>
            <w:r w:rsidRPr="00251542">
              <w:rPr>
                <w:b/>
                <w:sz w:val="16"/>
              </w:rPr>
              <w:t>13</w:t>
            </w:r>
          </w:p>
        </w:tc>
      </w:tr>
      <w:tr w:rsidR="004007D3" w:rsidRPr="00251542" w:rsidTr="0056083E">
        <w:trPr>
          <w:trHeight w:val="567"/>
        </w:trPr>
        <w:tc>
          <w:tcPr>
            <w:tcW w:w="1843" w:type="dxa"/>
            <w:shd w:val="clear" w:color="auto" w:fill="auto"/>
            <w:vAlign w:val="center"/>
          </w:tcPr>
          <w:p w:rsidR="004007D3" w:rsidRPr="00251542" w:rsidRDefault="007A524A" w:rsidP="001A5BF9">
            <w:pPr>
              <w:autoSpaceDE w:val="0"/>
              <w:autoSpaceDN w:val="0"/>
              <w:adjustRightInd w:val="0"/>
              <w:spacing w:before="120" w:after="120"/>
              <w:jc w:val="center"/>
              <w:rPr>
                <w:rFonts w:eastAsia="MS Mincho" w:cs="Arial"/>
                <w:sz w:val="16"/>
                <w:szCs w:val="16"/>
                <w:lang w:bidi="th-TH"/>
              </w:rPr>
            </w:pPr>
            <w:r>
              <w:rPr>
                <w:sz w:val="16"/>
              </w:rPr>
              <w:t>112 </w:t>
            </w:r>
            <w:r w:rsidR="004007D3" w:rsidRPr="00251542">
              <w:rPr>
                <w:sz w:val="16"/>
              </w:rPr>
              <w:t>008</w:t>
            </w:r>
          </w:p>
        </w:tc>
        <w:tc>
          <w:tcPr>
            <w:tcW w:w="1701" w:type="dxa"/>
            <w:shd w:val="clear" w:color="auto" w:fill="auto"/>
            <w:vAlign w:val="center"/>
          </w:tcPr>
          <w:p w:rsidR="004007D3" w:rsidRPr="00251542" w:rsidRDefault="007A524A" w:rsidP="001A5BF9">
            <w:pPr>
              <w:autoSpaceDE w:val="0"/>
              <w:autoSpaceDN w:val="0"/>
              <w:adjustRightInd w:val="0"/>
              <w:spacing w:before="120" w:after="120"/>
              <w:jc w:val="center"/>
              <w:rPr>
                <w:rFonts w:eastAsia="MS Mincho" w:cs="Arial"/>
                <w:sz w:val="16"/>
                <w:szCs w:val="16"/>
                <w:lang w:bidi="th-TH"/>
              </w:rPr>
            </w:pPr>
            <w:r>
              <w:rPr>
                <w:sz w:val="16"/>
              </w:rPr>
              <w:t>1 </w:t>
            </w:r>
            <w:r w:rsidR="004007D3" w:rsidRPr="00251542">
              <w:rPr>
                <w:sz w:val="16"/>
              </w:rPr>
              <w:t>449</w:t>
            </w:r>
          </w:p>
        </w:tc>
        <w:tc>
          <w:tcPr>
            <w:tcW w:w="1843" w:type="dxa"/>
            <w:shd w:val="clear" w:color="auto" w:fill="auto"/>
            <w:vAlign w:val="center"/>
          </w:tcPr>
          <w:p w:rsidR="004007D3" w:rsidRPr="00251542" w:rsidRDefault="007A524A" w:rsidP="001A5BF9">
            <w:pPr>
              <w:autoSpaceDE w:val="0"/>
              <w:autoSpaceDN w:val="0"/>
              <w:adjustRightInd w:val="0"/>
              <w:spacing w:before="120" w:after="120"/>
              <w:jc w:val="center"/>
              <w:rPr>
                <w:rFonts w:eastAsia="MS Mincho" w:cs="Arial"/>
                <w:sz w:val="16"/>
                <w:szCs w:val="16"/>
                <w:lang w:bidi="th-TH"/>
              </w:rPr>
            </w:pPr>
            <w:r>
              <w:rPr>
                <w:sz w:val="16"/>
              </w:rPr>
              <w:t>110 </w:t>
            </w:r>
            <w:r w:rsidR="004007D3" w:rsidRPr="00251542">
              <w:rPr>
                <w:sz w:val="16"/>
              </w:rPr>
              <w:t>747</w:t>
            </w:r>
          </w:p>
        </w:tc>
        <w:tc>
          <w:tcPr>
            <w:tcW w:w="1701" w:type="dxa"/>
            <w:shd w:val="clear" w:color="auto" w:fill="auto"/>
            <w:vAlign w:val="center"/>
          </w:tcPr>
          <w:p w:rsidR="004007D3" w:rsidRPr="00251542" w:rsidRDefault="004007D3" w:rsidP="001A5BF9">
            <w:pPr>
              <w:autoSpaceDE w:val="0"/>
              <w:autoSpaceDN w:val="0"/>
              <w:adjustRightInd w:val="0"/>
              <w:spacing w:before="120" w:after="120"/>
              <w:jc w:val="center"/>
              <w:rPr>
                <w:rFonts w:eastAsia="MS Mincho" w:cs="Arial"/>
                <w:sz w:val="16"/>
                <w:szCs w:val="16"/>
                <w:lang w:bidi="th-TH"/>
              </w:rPr>
            </w:pPr>
            <w:r w:rsidRPr="00251542">
              <w:rPr>
                <w:sz w:val="16"/>
              </w:rPr>
              <w:t> </w:t>
            </w:r>
          </w:p>
        </w:tc>
        <w:tc>
          <w:tcPr>
            <w:tcW w:w="1984" w:type="dxa"/>
            <w:shd w:val="clear" w:color="auto" w:fill="auto"/>
            <w:vAlign w:val="center"/>
          </w:tcPr>
          <w:p w:rsidR="004007D3" w:rsidRPr="00251542" w:rsidRDefault="007A524A" w:rsidP="001A5BF9">
            <w:pPr>
              <w:autoSpaceDE w:val="0"/>
              <w:autoSpaceDN w:val="0"/>
              <w:adjustRightInd w:val="0"/>
              <w:spacing w:before="120" w:after="120"/>
              <w:jc w:val="center"/>
              <w:rPr>
                <w:rFonts w:eastAsia="MS Mincho" w:cs="Arial"/>
                <w:sz w:val="16"/>
                <w:szCs w:val="16"/>
                <w:lang w:bidi="th-TH"/>
              </w:rPr>
            </w:pPr>
            <w:r>
              <w:rPr>
                <w:sz w:val="16"/>
              </w:rPr>
              <w:t>2 </w:t>
            </w:r>
            <w:r w:rsidR="004007D3" w:rsidRPr="00251542">
              <w:rPr>
                <w:sz w:val="16"/>
              </w:rPr>
              <w:t>709</w:t>
            </w:r>
          </w:p>
        </w:tc>
      </w:tr>
    </w:tbl>
    <w:p w:rsidR="00D42474" w:rsidRDefault="004007D3" w:rsidP="001A5BF9">
      <w:pPr>
        <w:spacing w:before="120"/>
        <w:rPr>
          <w:rFonts w:cs="Arial"/>
          <w:b/>
          <w:sz w:val="16"/>
          <w:szCs w:val="16"/>
        </w:rPr>
      </w:pPr>
      <w:r w:rsidRPr="007A524A">
        <w:rPr>
          <w:i/>
          <w:sz w:val="16"/>
          <w:szCs w:val="16"/>
          <w:vertAlign w:val="superscript"/>
        </w:rPr>
        <w:t>1</w:t>
      </w:r>
      <w:r w:rsidRPr="007A524A">
        <w:rPr>
          <w:i/>
          <w:sz w:val="16"/>
          <w:szCs w:val="16"/>
        </w:rPr>
        <w:t xml:space="preserve"> </w:t>
      </w:r>
      <w:r w:rsidR="007A524A">
        <w:rPr>
          <w:i/>
          <w:sz w:val="16"/>
          <w:szCs w:val="16"/>
        </w:rPr>
        <w:t xml:space="preserve"> </w:t>
      </w:r>
      <w:r w:rsidRPr="007A524A">
        <w:rPr>
          <w:i/>
          <w:sz w:val="16"/>
          <w:szCs w:val="16"/>
        </w:rPr>
        <w:t>États financiers de l</w:t>
      </w:r>
      <w:r w:rsidR="00A20444" w:rsidRPr="007A524A">
        <w:rPr>
          <w:i/>
          <w:sz w:val="16"/>
          <w:szCs w:val="16"/>
        </w:rPr>
        <w:t>’</w:t>
      </w:r>
      <w:r w:rsidRPr="007A524A">
        <w:rPr>
          <w:i/>
          <w:sz w:val="16"/>
          <w:szCs w:val="16"/>
        </w:rPr>
        <w:t>OMPI 2013 (annexe III)</w:t>
      </w:r>
    </w:p>
    <w:p w:rsidR="00D42474" w:rsidRDefault="00D42474" w:rsidP="007A524A">
      <w:pPr>
        <w:pStyle w:val="Endofdocument-Annex"/>
      </w:pPr>
    </w:p>
    <w:p w:rsidR="00D42474" w:rsidRDefault="00D42474" w:rsidP="007A524A">
      <w:pPr>
        <w:pStyle w:val="Endofdocument-Annex"/>
      </w:pPr>
    </w:p>
    <w:p w:rsidR="00D42474" w:rsidRDefault="00D42474" w:rsidP="007A524A">
      <w:pPr>
        <w:pStyle w:val="Endofdocument-Annex"/>
      </w:pPr>
    </w:p>
    <w:p w:rsidR="00D42474" w:rsidRDefault="004007D3" w:rsidP="007A524A">
      <w:pPr>
        <w:pStyle w:val="Endofdocument-Annex"/>
      </w:pPr>
      <w:r w:rsidRPr="00251542">
        <w:t>[L</w:t>
      </w:r>
      <w:r w:rsidR="00A20444" w:rsidRPr="00251542">
        <w:t>’</w:t>
      </w:r>
      <w:r w:rsidRPr="00251542">
        <w:t>annexe III suit]</w:t>
      </w:r>
    </w:p>
    <w:p w:rsidR="00D42474" w:rsidRDefault="00D42474" w:rsidP="001A5BF9">
      <w:pPr>
        <w:rPr>
          <w:rFonts w:eastAsia="Calibri" w:cs="Arial"/>
          <w:sz w:val="16"/>
          <w:szCs w:val="16"/>
        </w:rPr>
      </w:pPr>
    </w:p>
    <w:p w:rsidR="00D42474" w:rsidRDefault="00D42474" w:rsidP="001A5BF9">
      <w:pPr>
        <w:rPr>
          <w:rFonts w:cs="Arial"/>
          <w:szCs w:val="20"/>
        </w:rPr>
      </w:pPr>
    </w:p>
    <w:p w:rsidR="00D42474" w:rsidRDefault="00D42474" w:rsidP="001A5BF9">
      <w:pPr>
        <w:rPr>
          <w:rFonts w:cs="Arial"/>
          <w:szCs w:val="20"/>
        </w:rPr>
      </w:pPr>
    </w:p>
    <w:p w:rsidR="00D42474" w:rsidRDefault="00D42474" w:rsidP="001A5BF9">
      <w:pPr>
        <w:rPr>
          <w:rFonts w:cs="Arial"/>
          <w:szCs w:val="20"/>
        </w:rPr>
      </w:pPr>
    </w:p>
    <w:p w:rsidR="00D42474" w:rsidRDefault="00D42474" w:rsidP="001A5BF9">
      <w:pPr>
        <w:rPr>
          <w:rFonts w:cs="Arial"/>
          <w:szCs w:val="20"/>
        </w:rPr>
      </w:pPr>
    </w:p>
    <w:p w:rsidR="004007D3" w:rsidRPr="00251542" w:rsidRDefault="004007D3" w:rsidP="001A5BF9">
      <w:pPr>
        <w:sectPr w:rsidR="004007D3" w:rsidRPr="00251542" w:rsidSect="00B470C6">
          <w:headerReference w:type="default" r:id="rId80"/>
          <w:pgSz w:w="11906" w:h="16838"/>
          <w:pgMar w:top="567" w:right="1134" w:bottom="1418" w:left="1418" w:header="510" w:footer="1021" w:gutter="0"/>
          <w:cols w:space="708"/>
          <w:docGrid w:linePitch="360"/>
        </w:sectPr>
      </w:pPr>
    </w:p>
    <w:p w:rsidR="00D42474" w:rsidRDefault="004007D3" w:rsidP="001A5BF9">
      <w:pPr>
        <w:pStyle w:val="Heading4"/>
      </w:pPr>
      <w:bookmarkStart w:id="53" w:name="_Toc395082505"/>
      <w:r w:rsidRPr="00251542">
        <w:t>Annexe III</w:t>
      </w:r>
      <w:r w:rsidRPr="00251542">
        <w:br/>
      </w:r>
      <w:r w:rsidRPr="00251542">
        <w:br/>
        <w:t>Sigles utilisés dans le présent document</w:t>
      </w:r>
      <w:bookmarkEnd w:id="53"/>
    </w:p>
    <w:p w:rsidR="00D42474" w:rsidRDefault="00D42474" w:rsidP="00B92EB0">
      <w:pPr>
        <w:ind w:left="2268" w:hanging="2268"/>
      </w:pPr>
    </w:p>
    <w:p w:rsidR="00D42474" w:rsidRDefault="00D42474" w:rsidP="00B92EB0">
      <w:pPr>
        <w:ind w:left="2268" w:hanging="2268"/>
      </w:pPr>
    </w:p>
    <w:p w:rsidR="00D42474" w:rsidRDefault="00B92EB0" w:rsidP="00B92EB0">
      <w:pPr>
        <w:ind w:left="2268" w:hanging="2268"/>
      </w:pPr>
      <w:r w:rsidRPr="00251542">
        <w:t>ACE</w:t>
      </w:r>
      <w:r w:rsidRPr="00251542">
        <w:tab/>
        <w:t>Comité consultatif sur l’application des droits</w:t>
      </w:r>
    </w:p>
    <w:p w:rsidR="00D42474" w:rsidRDefault="00B92EB0" w:rsidP="00B92EB0">
      <w:pPr>
        <w:ind w:left="2268" w:hanging="2268"/>
      </w:pPr>
      <w:proofErr w:type="spellStart"/>
      <w:r w:rsidRPr="00251542">
        <w:t>AGICOA</w:t>
      </w:r>
      <w:proofErr w:type="spellEnd"/>
      <w:r w:rsidRPr="00251542">
        <w:tab/>
        <w:t>Association de gestion internationale collective des œuvres audiovisuelles</w:t>
      </w:r>
    </w:p>
    <w:p w:rsidR="00D42474" w:rsidRDefault="00B92EB0" w:rsidP="00B92EB0">
      <w:pPr>
        <w:ind w:left="2268" w:hanging="2268"/>
      </w:pPr>
      <w:proofErr w:type="spellStart"/>
      <w:r w:rsidRPr="00251542">
        <w:t>AIPMS</w:t>
      </w:r>
      <w:proofErr w:type="spellEnd"/>
      <w:r w:rsidRPr="00251542">
        <w:tab/>
        <w:t>Système automatisé arabe de gestion de la propriété intellectuelle</w:t>
      </w:r>
    </w:p>
    <w:p w:rsidR="00D42474" w:rsidRDefault="00B92EB0" w:rsidP="00B92EB0">
      <w:pPr>
        <w:ind w:left="2268" w:hanging="2268"/>
      </w:pPr>
      <w:proofErr w:type="spellStart"/>
      <w:r>
        <w:t>AMCS</w:t>
      </w:r>
      <w:proofErr w:type="spellEnd"/>
      <w:r w:rsidRPr="00251542">
        <w:tab/>
        <w:t>Assurance</w:t>
      </w:r>
      <w:r w:rsidRPr="00251542">
        <w:noBreakHyphen/>
        <w:t>maladie a</w:t>
      </w:r>
      <w:r>
        <w:t>près cessation de service</w:t>
      </w:r>
    </w:p>
    <w:p w:rsidR="00D42474" w:rsidRDefault="00B92EB0" w:rsidP="00B92EB0">
      <w:pPr>
        <w:ind w:left="2268" w:hanging="2268"/>
      </w:pPr>
      <w:proofErr w:type="spellStart"/>
      <w:proofErr w:type="gramStart"/>
      <w:r w:rsidRPr="00251542">
        <w:t>aRDi</w:t>
      </w:r>
      <w:proofErr w:type="spellEnd"/>
      <w:proofErr w:type="gramEnd"/>
      <w:r w:rsidRPr="00251542">
        <w:tab/>
        <w:t>Accès à la recherche pour le développement et l’innovation</w:t>
      </w:r>
    </w:p>
    <w:p w:rsidR="00D42474" w:rsidRDefault="00B92EB0" w:rsidP="00B92EB0">
      <w:pPr>
        <w:ind w:left="2268" w:hanging="2268"/>
        <w:rPr>
          <w:bCs/>
        </w:rPr>
      </w:pPr>
      <w:r w:rsidRPr="00251542">
        <w:t>ARIPO</w:t>
      </w:r>
      <w:r w:rsidRPr="00251542">
        <w:tab/>
        <w:t>Organisation régionale africaine de la propriété intellectuelle</w:t>
      </w:r>
    </w:p>
    <w:p w:rsidR="00D42474" w:rsidRDefault="00B92EB0" w:rsidP="00B92EB0">
      <w:pPr>
        <w:ind w:left="2268" w:hanging="2268"/>
      </w:pPr>
      <w:r>
        <w:t>ASEAN</w:t>
      </w:r>
      <w:r w:rsidRPr="00251542">
        <w:tab/>
        <w:t>Association des nations de l’Asie du Sud</w:t>
      </w:r>
      <w:r w:rsidRPr="00251542">
        <w:noBreakHyphen/>
        <w:t>Est</w:t>
      </w:r>
    </w:p>
    <w:p w:rsidR="00D42474" w:rsidRDefault="00B92EB0" w:rsidP="00B92EB0">
      <w:pPr>
        <w:ind w:left="2268" w:hanging="2268"/>
      </w:pPr>
      <w:r w:rsidRPr="00251542">
        <w:t>ASPI</w:t>
      </w:r>
      <w:r w:rsidRPr="00251542">
        <w:tab/>
        <w:t>Accès au programme d’information spécialisée en matière de brevets</w:t>
      </w:r>
    </w:p>
    <w:p w:rsidR="00D42474" w:rsidRDefault="00D42474" w:rsidP="00B92EB0">
      <w:pPr>
        <w:ind w:left="2268" w:hanging="2268"/>
      </w:pPr>
    </w:p>
    <w:p w:rsidR="00D42474" w:rsidRDefault="00B92EB0" w:rsidP="00B92EB0">
      <w:pPr>
        <w:ind w:left="2268" w:hanging="2268"/>
        <w:rPr>
          <w:rFonts w:cs="Arial"/>
          <w:bCs/>
        </w:rPr>
      </w:pPr>
      <w:proofErr w:type="spellStart"/>
      <w:r w:rsidRPr="00251542">
        <w:t>CCG</w:t>
      </w:r>
      <w:proofErr w:type="spellEnd"/>
      <w:r w:rsidRPr="00251542">
        <w:tab/>
        <w:t>Conseil de coopération des États arabes du Golfe</w:t>
      </w:r>
    </w:p>
    <w:p w:rsidR="00D42474" w:rsidRDefault="00B92EB0" w:rsidP="00B92EB0">
      <w:pPr>
        <w:ind w:left="2268" w:hanging="2268"/>
        <w:rPr>
          <w:rFonts w:cs="Arial"/>
        </w:rPr>
      </w:pPr>
      <w:proofErr w:type="spellStart"/>
      <w:proofErr w:type="gramStart"/>
      <w:r w:rsidRPr="00251542">
        <w:t>ccTLDs</w:t>
      </w:r>
      <w:proofErr w:type="spellEnd"/>
      <w:proofErr w:type="gramEnd"/>
      <w:r w:rsidRPr="00251542">
        <w:tab/>
        <w:t>Domaines de premier niveau qui sont des codes de pays</w:t>
      </w:r>
    </w:p>
    <w:p w:rsidR="00D42474" w:rsidRDefault="00B92EB0" w:rsidP="00B92EB0">
      <w:pPr>
        <w:ind w:left="2268" w:hanging="2268"/>
        <w:rPr>
          <w:rFonts w:cs="Arial"/>
        </w:rPr>
      </w:pPr>
      <w:r w:rsidRPr="00251542">
        <w:t>CDIP</w:t>
      </w:r>
      <w:r w:rsidRPr="00251542">
        <w:tab/>
        <w:t>Comité du développement et de la propriété intellectuelle</w:t>
      </w:r>
    </w:p>
    <w:p w:rsidR="00D42474" w:rsidRDefault="00B92EB0" w:rsidP="00B92EB0">
      <w:pPr>
        <w:ind w:left="2268" w:hanging="2268"/>
      </w:pPr>
      <w:r w:rsidRPr="00251542">
        <w:t>CERN</w:t>
      </w:r>
      <w:r w:rsidRPr="00251542">
        <w:tab/>
        <w:t>Organisation européenne de la recherche nucléaire</w:t>
      </w:r>
    </w:p>
    <w:p w:rsidR="00D42474" w:rsidRDefault="00B92EB0" w:rsidP="00B92EB0">
      <w:pPr>
        <w:ind w:left="2268" w:hanging="2268"/>
      </w:pPr>
      <w:r w:rsidRPr="00251542">
        <w:t>CFPI</w:t>
      </w:r>
      <w:r w:rsidRPr="00251542">
        <w:tab/>
        <w:t>Commission de la fonction publique international</w:t>
      </w:r>
    </w:p>
    <w:p w:rsidR="00D42474" w:rsidRDefault="00B92EB0" w:rsidP="00B92EB0">
      <w:pPr>
        <w:ind w:left="2268" w:hanging="2268"/>
        <w:rPr>
          <w:rFonts w:cs="Arial"/>
        </w:rPr>
      </w:pPr>
      <w:proofErr w:type="spellStart"/>
      <w:r w:rsidRPr="00251542">
        <w:t>CIB</w:t>
      </w:r>
      <w:proofErr w:type="spellEnd"/>
      <w:r w:rsidRPr="00251542">
        <w:tab/>
        <w:t>Classification internationale des brevets</w:t>
      </w:r>
    </w:p>
    <w:p w:rsidR="00D42474" w:rsidRDefault="00B92EB0" w:rsidP="00B92EB0">
      <w:pPr>
        <w:ind w:left="2268" w:hanging="2268"/>
        <w:rPr>
          <w:rFonts w:cs="Arial"/>
        </w:rPr>
      </w:pPr>
      <w:r w:rsidRPr="00251542">
        <w:t>CIC</w:t>
      </w:r>
      <w:r w:rsidRPr="00251542">
        <w:tab/>
        <w:t>Centre international de calcul des Nations Unies</w:t>
      </w:r>
    </w:p>
    <w:p w:rsidR="00D42474" w:rsidRDefault="00B92EB0" w:rsidP="00B92EB0">
      <w:pPr>
        <w:ind w:left="2268" w:hanging="2268"/>
        <w:rPr>
          <w:rFonts w:cs="Arial"/>
        </w:rPr>
      </w:pPr>
      <w:proofErr w:type="spellStart"/>
      <w:r w:rsidRPr="00251542">
        <w:t>CLIR</w:t>
      </w:r>
      <w:proofErr w:type="spellEnd"/>
      <w:r w:rsidRPr="00251542">
        <w:tab/>
        <w:t xml:space="preserve">Cross Lingual Information </w:t>
      </w:r>
      <w:proofErr w:type="spellStart"/>
      <w:r w:rsidRPr="00251542">
        <w:t>Retrieval</w:t>
      </w:r>
      <w:proofErr w:type="spellEnd"/>
    </w:p>
    <w:p w:rsidR="00D42474" w:rsidRDefault="00B92EB0" w:rsidP="00B92EB0">
      <w:pPr>
        <w:ind w:left="2268" w:hanging="2268"/>
        <w:rPr>
          <w:rFonts w:cs="Arial"/>
        </w:rPr>
      </w:pPr>
      <w:proofErr w:type="spellStart"/>
      <w:r w:rsidRPr="00251542">
        <w:t>CNUCC</w:t>
      </w:r>
      <w:proofErr w:type="spellEnd"/>
      <w:r w:rsidRPr="00251542">
        <w:tab/>
        <w:t>Convention</w:t>
      </w:r>
      <w:r w:rsidRPr="00251542">
        <w:noBreakHyphen/>
        <w:t>cadre des Nations Unies sur les changements climatiques</w:t>
      </w:r>
    </w:p>
    <w:p w:rsidR="00D42474" w:rsidRDefault="00B92EB0" w:rsidP="00B92EB0">
      <w:pPr>
        <w:ind w:left="2268" w:hanging="2268"/>
        <w:rPr>
          <w:rFonts w:cs="Arial"/>
        </w:rPr>
      </w:pPr>
      <w:r w:rsidRPr="00251542">
        <w:t>CNUCED</w:t>
      </w:r>
      <w:r w:rsidRPr="00251542">
        <w:tab/>
        <w:t>Conférence des Nations Unies sur le commerce et le développement</w:t>
      </w:r>
    </w:p>
    <w:p w:rsidR="00D42474" w:rsidRDefault="00B92EB0" w:rsidP="00B92EB0">
      <w:pPr>
        <w:ind w:left="2268" w:hanging="2268"/>
        <w:rPr>
          <w:rFonts w:cs="Arial"/>
        </w:rPr>
      </w:pPr>
      <w:proofErr w:type="spellStart"/>
      <w:r w:rsidRPr="00251542">
        <w:t>CSEI</w:t>
      </w:r>
      <w:proofErr w:type="spellEnd"/>
      <w:r w:rsidRPr="00251542">
        <w:tab/>
        <w:t>Coopération internationale pour la recherche et l’examen des inventions</w:t>
      </w:r>
    </w:p>
    <w:p w:rsidR="00D42474" w:rsidRDefault="00B92EB0" w:rsidP="00B92EB0">
      <w:pPr>
        <w:ind w:left="2268" w:hanging="2268"/>
        <w:rPr>
          <w:rFonts w:cs="Arial"/>
        </w:rPr>
      </w:pPr>
      <w:r w:rsidRPr="00251542">
        <w:t>CWS</w:t>
      </w:r>
      <w:r w:rsidRPr="00251542">
        <w:tab/>
        <w:t>Comité des normes de l’OMPI</w:t>
      </w:r>
    </w:p>
    <w:p w:rsidR="00D42474" w:rsidRDefault="00D42474" w:rsidP="00B92EB0">
      <w:pPr>
        <w:ind w:left="2268" w:hanging="2268"/>
      </w:pPr>
    </w:p>
    <w:p w:rsidR="00D42474" w:rsidRDefault="00B92EB0" w:rsidP="00B92EB0">
      <w:pPr>
        <w:ind w:left="2268" w:hanging="2268"/>
        <w:rPr>
          <w:rFonts w:cs="Arial"/>
        </w:rPr>
      </w:pPr>
      <w:r w:rsidRPr="00251542">
        <w:t>DAS</w:t>
      </w:r>
      <w:r w:rsidRPr="00251542">
        <w:tab/>
        <w:t>Service d’accès numérique aux documents de priorité</w:t>
      </w:r>
    </w:p>
    <w:p w:rsidR="00D42474" w:rsidRDefault="00B92EB0" w:rsidP="00B92EB0">
      <w:pPr>
        <w:ind w:left="2268" w:hanging="2268"/>
        <w:rPr>
          <w:rFonts w:cs="Arial"/>
        </w:rPr>
      </w:pPr>
      <w:proofErr w:type="spellStart"/>
      <w:r w:rsidRPr="00251542">
        <w:t>DASI</w:t>
      </w:r>
      <w:proofErr w:type="spellEnd"/>
      <w:r w:rsidRPr="00251542">
        <w:tab/>
        <w:t>Division de l’audit et de la supervision internes</w:t>
      </w:r>
    </w:p>
    <w:p w:rsidR="00D42474" w:rsidRDefault="00B92EB0" w:rsidP="00B92EB0">
      <w:pPr>
        <w:ind w:left="2268" w:hanging="2268"/>
        <w:rPr>
          <w:rFonts w:cs="Arial"/>
        </w:rPr>
      </w:pPr>
      <w:proofErr w:type="spellStart"/>
      <w:r w:rsidRPr="00251542">
        <w:t>DGRH</w:t>
      </w:r>
      <w:proofErr w:type="spellEnd"/>
      <w:r w:rsidRPr="00251542">
        <w:tab/>
        <w:t>Département de la gestion des ressources humaines</w:t>
      </w:r>
    </w:p>
    <w:p w:rsidR="00D42474" w:rsidRDefault="00D42474" w:rsidP="00B92EB0">
      <w:pPr>
        <w:ind w:left="2268" w:hanging="2268"/>
      </w:pPr>
    </w:p>
    <w:p w:rsidR="00D42474" w:rsidRDefault="00B92EB0" w:rsidP="00B92EB0">
      <w:pPr>
        <w:ind w:left="2268" w:hanging="2268"/>
        <w:rPr>
          <w:rFonts w:cs="Arial"/>
          <w:b/>
          <w:bCs/>
        </w:rPr>
      </w:pPr>
      <w:proofErr w:type="spellStart"/>
      <w:r w:rsidRPr="00251542">
        <w:t>ECLA</w:t>
      </w:r>
      <w:proofErr w:type="spellEnd"/>
      <w:r w:rsidRPr="00251542">
        <w:tab/>
        <w:t>classification de brevet attribuée par l’Office européen des brevets (OEB)</w:t>
      </w:r>
    </w:p>
    <w:p w:rsidR="00D42474" w:rsidRDefault="00B92EB0" w:rsidP="00B92EB0">
      <w:pPr>
        <w:ind w:left="2268" w:hanging="2268"/>
        <w:rPr>
          <w:rFonts w:cs="Arial"/>
        </w:rPr>
      </w:pPr>
      <w:proofErr w:type="spellStart"/>
      <w:r w:rsidRPr="00D54DAE">
        <w:t>EGEDA</w:t>
      </w:r>
      <w:proofErr w:type="spellEnd"/>
      <w:r w:rsidRPr="00D54DAE">
        <w:tab/>
      </w:r>
      <w:proofErr w:type="spellStart"/>
      <w:r w:rsidRPr="00D54DAE">
        <w:t>Entidad</w:t>
      </w:r>
      <w:proofErr w:type="spellEnd"/>
      <w:r w:rsidRPr="00D54DAE">
        <w:t xml:space="preserve"> de </w:t>
      </w:r>
      <w:proofErr w:type="spellStart"/>
      <w:r w:rsidRPr="00D54DAE">
        <w:t>Gestión</w:t>
      </w:r>
      <w:proofErr w:type="spellEnd"/>
      <w:r w:rsidRPr="00D54DAE">
        <w:t xml:space="preserve"> de </w:t>
      </w:r>
      <w:proofErr w:type="spellStart"/>
      <w:r w:rsidRPr="00D54DAE">
        <w:t>Derechos</w:t>
      </w:r>
      <w:proofErr w:type="spellEnd"/>
      <w:r w:rsidRPr="00D54DAE">
        <w:t xml:space="preserve"> de los </w:t>
      </w:r>
      <w:proofErr w:type="spellStart"/>
      <w:r w:rsidRPr="00D54DAE">
        <w:t>Productores</w:t>
      </w:r>
      <w:proofErr w:type="spellEnd"/>
      <w:r w:rsidRPr="00D54DAE">
        <w:t xml:space="preserve"> </w:t>
      </w:r>
      <w:proofErr w:type="spellStart"/>
      <w:r w:rsidRPr="00D54DAE">
        <w:t>Audiovisuales</w:t>
      </w:r>
      <w:proofErr w:type="spellEnd"/>
    </w:p>
    <w:p w:rsidR="00D42474" w:rsidRDefault="00B92EB0" w:rsidP="00B92EB0">
      <w:pPr>
        <w:ind w:left="2268" w:hanging="2268"/>
        <w:rPr>
          <w:rFonts w:cs="Arial"/>
        </w:rPr>
      </w:pPr>
      <w:proofErr w:type="spellStart"/>
      <w:r w:rsidRPr="00251542">
        <w:t>EPM</w:t>
      </w:r>
      <w:proofErr w:type="spellEnd"/>
      <w:r w:rsidRPr="00251542">
        <w:tab/>
        <w:t>système de gestion des performances</w:t>
      </w:r>
    </w:p>
    <w:p w:rsidR="00D42474" w:rsidRDefault="00B92EB0" w:rsidP="00B92EB0">
      <w:pPr>
        <w:ind w:left="2268" w:hanging="2268"/>
        <w:rPr>
          <w:rFonts w:cs="Arial"/>
        </w:rPr>
      </w:pPr>
      <w:r w:rsidRPr="00251542">
        <w:t>ERP</w:t>
      </w:r>
      <w:r w:rsidRPr="00251542">
        <w:tab/>
        <w:t>système de planification des ressources</w:t>
      </w:r>
    </w:p>
    <w:p w:rsidR="00D42474" w:rsidRDefault="00D42474" w:rsidP="00B92EB0">
      <w:pPr>
        <w:ind w:left="2268" w:hanging="2268"/>
      </w:pPr>
    </w:p>
    <w:p w:rsidR="00D42474" w:rsidRDefault="00B92EB0" w:rsidP="00B92EB0">
      <w:pPr>
        <w:ind w:left="2268" w:hanging="2268"/>
      </w:pPr>
      <w:r w:rsidRPr="00251542">
        <w:t>FAO</w:t>
      </w:r>
      <w:r w:rsidRPr="00251542">
        <w:tab/>
        <w:t>Organisation des Nations Unies pour l’alimentation et l’agriculture</w:t>
      </w:r>
    </w:p>
    <w:p w:rsidR="00D42474" w:rsidRDefault="00B92EB0" w:rsidP="00B92EB0">
      <w:pPr>
        <w:ind w:left="2268" w:hanging="2268"/>
        <w:rPr>
          <w:rFonts w:cs="Arial"/>
        </w:rPr>
      </w:pPr>
      <w:r w:rsidRPr="00251542">
        <w:t>FI</w:t>
      </w:r>
      <w:r w:rsidRPr="00251542">
        <w:tab/>
        <w:t>classification de brevet attribuée par l’Office des brevets japonais</w:t>
      </w:r>
    </w:p>
    <w:p w:rsidR="00D42474" w:rsidRDefault="00B92EB0" w:rsidP="00B92EB0">
      <w:pPr>
        <w:ind w:left="2268" w:hanging="2268"/>
        <w:rPr>
          <w:rFonts w:cs="Arial"/>
        </w:rPr>
      </w:pPr>
      <w:r w:rsidRPr="00251542">
        <w:t>FIT</w:t>
      </w:r>
      <w:r w:rsidRPr="00251542">
        <w:tab/>
        <w:t>Fonds fiduciaire</w:t>
      </w:r>
    </w:p>
    <w:p w:rsidR="00D42474" w:rsidRDefault="00D42474" w:rsidP="00B92EB0">
      <w:pPr>
        <w:ind w:left="2268" w:hanging="2268"/>
      </w:pPr>
    </w:p>
    <w:p w:rsidR="00D42474" w:rsidRDefault="00B92EB0" w:rsidP="00B92EB0">
      <w:pPr>
        <w:ind w:left="2268" w:hanging="2268"/>
        <w:rPr>
          <w:rFonts w:cs="Arial"/>
          <w:bCs/>
        </w:rPr>
      </w:pPr>
      <w:proofErr w:type="spellStart"/>
      <w:r w:rsidRPr="00251542">
        <w:t>GDA</w:t>
      </w:r>
      <w:proofErr w:type="spellEnd"/>
      <w:r w:rsidRPr="00251542">
        <w:tab/>
        <w:t>Logiciel pour la gestion collective du droit d’auteur et les droits connexes</w:t>
      </w:r>
    </w:p>
    <w:p w:rsidR="00D42474" w:rsidRDefault="00B92EB0" w:rsidP="00B92EB0">
      <w:pPr>
        <w:ind w:left="2268" w:hanging="2268"/>
        <w:rPr>
          <w:rFonts w:cs="Arial"/>
          <w:bCs/>
        </w:rPr>
      </w:pPr>
      <w:proofErr w:type="spellStart"/>
      <w:r w:rsidRPr="00251542">
        <w:t>GII</w:t>
      </w:r>
      <w:proofErr w:type="spellEnd"/>
      <w:r w:rsidRPr="00251542">
        <w:tab/>
        <w:t>Indice mondial de l’innovation</w:t>
      </w:r>
    </w:p>
    <w:p w:rsidR="00D42474" w:rsidRDefault="00B92EB0" w:rsidP="00B92EB0">
      <w:pPr>
        <w:ind w:left="2268" w:hanging="2268"/>
        <w:rPr>
          <w:rFonts w:cs="Arial"/>
          <w:b/>
          <w:bCs/>
        </w:rPr>
      </w:pPr>
      <w:proofErr w:type="spellStart"/>
      <w:r w:rsidRPr="00251542">
        <w:t>GNIPA</w:t>
      </w:r>
      <w:proofErr w:type="spellEnd"/>
      <w:r w:rsidRPr="00251542">
        <w:tab/>
        <w:t>Réseau mondial d’académies de la propriété intellectuelle</w:t>
      </w:r>
    </w:p>
    <w:p w:rsidR="00D42474" w:rsidRDefault="00B92EB0" w:rsidP="00B92EB0">
      <w:pPr>
        <w:ind w:left="2268" w:hanging="2268"/>
        <w:rPr>
          <w:rFonts w:cs="Arial"/>
        </w:rPr>
      </w:pPr>
      <w:proofErr w:type="spellStart"/>
      <w:proofErr w:type="gramStart"/>
      <w:r w:rsidRPr="00251542">
        <w:t>gTLDs</w:t>
      </w:r>
      <w:proofErr w:type="spellEnd"/>
      <w:proofErr w:type="gramEnd"/>
      <w:r w:rsidRPr="00251542">
        <w:tab/>
        <w:t>Domaines génériques de premier niveau</w:t>
      </w:r>
    </w:p>
    <w:p w:rsidR="00D42474" w:rsidRDefault="00D42474" w:rsidP="00B92EB0">
      <w:pPr>
        <w:ind w:left="2268" w:hanging="2268"/>
      </w:pPr>
    </w:p>
    <w:p w:rsidR="00D42474" w:rsidRDefault="00B92EB0" w:rsidP="00B92EB0">
      <w:pPr>
        <w:ind w:left="2268" w:hanging="2268"/>
        <w:rPr>
          <w:rFonts w:cs="Arial"/>
        </w:rPr>
      </w:pPr>
      <w:proofErr w:type="spellStart"/>
      <w:r w:rsidRPr="00251542">
        <w:t>HLCM</w:t>
      </w:r>
      <w:proofErr w:type="spellEnd"/>
      <w:r w:rsidRPr="00251542">
        <w:tab/>
        <w:t>Comité de haut niveau chargé des questions de gestion</w:t>
      </w:r>
    </w:p>
    <w:p w:rsidR="00D42474" w:rsidRDefault="00D42474" w:rsidP="00B92EB0">
      <w:pPr>
        <w:ind w:left="2268" w:hanging="2268"/>
      </w:pPr>
    </w:p>
    <w:p w:rsidR="00D42474" w:rsidRDefault="00B92EB0" w:rsidP="00B92EB0">
      <w:pPr>
        <w:ind w:left="2268" w:hanging="2268"/>
        <w:rPr>
          <w:lang w:val="en-US"/>
        </w:rPr>
      </w:pPr>
      <w:proofErr w:type="spellStart"/>
      <w:r w:rsidRPr="00733F94">
        <w:rPr>
          <w:lang w:val="en-US"/>
        </w:rPr>
        <w:t>ICANN</w:t>
      </w:r>
      <w:proofErr w:type="spellEnd"/>
      <w:r w:rsidRPr="00733F94">
        <w:rPr>
          <w:lang w:val="en-US"/>
        </w:rPr>
        <w:tab/>
        <w:t>Internet Corporation for Assigned Names and Numbers</w:t>
      </w:r>
    </w:p>
    <w:p w:rsidR="00D42474" w:rsidRDefault="00B92EB0" w:rsidP="00B92EB0">
      <w:pPr>
        <w:ind w:left="2268" w:hanging="2268"/>
        <w:rPr>
          <w:rFonts w:cs="Arial"/>
        </w:rPr>
      </w:pPr>
      <w:proofErr w:type="spellStart"/>
      <w:r w:rsidRPr="00251542">
        <w:t>ICE</w:t>
      </w:r>
      <w:proofErr w:type="spellEnd"/>
      <w:r w:rsidRPr="00251542">
        <w:tab/>
        <w:t xml:space="preserve">Coopération internationale en matière d’examen, anciennement connu sous le sigle </w:t>
      </w:r>
      <w:proofErr w:type="spellStart"/>
      <w:r w:rsidRPr="00251542">
        <w:t>CSEI</w:t>
      </w:r>
      <w:proofErr w:type="spellEnd"/>
      <w:r w:rsidRPr="00251542">
        <w:t xml:space="preserve"> (</w:t>
      </w:r>
      <w:proofErr w:type="spellStart"/>
      <w:r w:rsidRPr="00251542">
        <w:t>ICSEI</w:t>
      </w:r>
      <w:proofErr w:type="spellEnd"/>
      <w:r w:rsidRPr="00251542">
        <w:t xml:space="preserve"> en anglais)</w:t>
      </w:r>
    </w:p>
    <w:p w:rsidR="00D42474" w:rsidRDefault="00B92EB0" w:rsidP="00B92EB0">
      <w:pPr>
        <w:ind w:left="2268" w:hanging="2268"/>
        <w:rPr>
          <w:rFonts w:cs="Arial"/>
        </w:rPr>
      </w:pPr>
      <w:proofErr w:type="spellStart"/>
      <w:r w:rsidRPr="00251542">
        <w:t>ICS</w:t>
      </w:r>
      <w:proofErr w:type="spellEnd"/>
      <w:r w:rsidRPr="00251542">
        <w:tab/>
        <w:t>Services contractuels de personnes</w:t>
      </w:r>
    </w:p>
    <w:p w:rsidR="00D42474" w:rsidRDefault="00B92EB0" w:rsidP="00B92EB0">
      <w:pPr>
        <w:ind w:left="2268" w:hanging="2268"/>
        <w:rPr>
          <w:rFonts w:cs="Arial"/>
        </w:rPr>
      </w:pPr>
      <w:r w:rsidRPr="00251542">
        <w:t>IGC</w:t>
      </w:r>
      <w:r w:rsidRPr="00251542">
        <w:tab/>
        <w:t>Comité intergouvernemental de la propriété intellectuelle relative aux ressources génétiques, aux savoirs traditionnels et au folklore</w:t>
      </w:r>
    </w:p>
    <w:p w:rsidR="00D42474" w:rsidRDefault="00B92EB0" w:rsidP="00B92EB0">
      <w:pPr>
        <w:ind w:left="2268" w:hanging="2268"/>
        <w:rPr>
          <w:rFonts w:cs="Arial"/>
        </w:rPr>
      </w:pPr>
      <w:r w:rsidRPr="00251542">
        <w:t>IIA</w:t>
      </w:r>
      <w:r w:rsidRPr="00251542">
        <w:tab/>
        <w:t>Institut des auditeurs internes</w:t>
      </w:r>
    </w:p>
    <w:p w:rsidR="00D42474" w:rsidRDefault="00B92EB0" w:rsidP="00B92EB0">
      <w:pPr>
        <w:ind w:left="2268" w:hanging="2268"/>
        <w:rPr>
          <w:rFonts w:cs="Arial"/>
        </w:rPr>
      </w:pPr>
      <w:r w:rsidRPr="00251542">
        <w:t>IPAS</w:t>
      </w:r>
      <w:r w:rsidRPr="00251542">
        <w:tab/>
        <w:t>Système d’automatisation de la propriété industrielle</w:t>
      </w:r>
    </w:p>
    <w:p w:rsidR="00D42474" w:rsidRDefault="00B92EB0" w:rsidP="00B92EB0">
      <w:pPr>
        <w:ind w:left="2268" w:hanging="2268"/>
        <w:rPr>
          <w:rFonts w:cs="Arial"/>
        </w:rPr>
      </w:pPr>
      <w:r w:rsidRPr="00251542">
        <w:t>IPSAS</w:t>
      </w:r>
      <w:r w:rsidRPr="00251542">
        <w:tab/>
        <w:t>Normes comptables internationales du secteur public</w:t>
      </w:r>
    </w:p>
    <w:p w:rsidR="00D42474" w:rsidRDefault="00B92EB0" w:rsidP="00B92EB0">
      <w:pPr>
        <w:ind w:left="2268" w:hanging="2268"/>
        <w:rPr>
          <w:rFonts w:cs="Arial"/>
        </w:rPr>
      </w:pPr>
      <w:r w:rsidRPr="00251542">
        <w:t>IT</w:t>
      </w:r>
      <w:r w:rsidRPr="00251542">
        <w:tab/>
        <w:t>Technologies de l’information</w:t>
      </w:r>
    </w:p>
    <w:p w:rsidR="00D42474" w:rsidRDefault="00B92EB0" w:rsidP="00B92EB0">
      <w:pPr>
        <w:ind w:left="2268" w:hanging="2268"/>
        <w:rPr>
          <w:rFonts w:cs="Arial"/>
        </w:rPr>
      </w:pPr>
      <w:proofErr w:type="spellStart"/>
      <w:r w:rsidRPr="00251542">
        <w:t>ITIL</w:t>
      </w:r>
      <w:proofErr w:type="spellEnd"/>
      <w:r w:rsidRPr="00251542">
        <w:tab/>
        <w:t>Bibliothèque sur les infrastructures informatiques</w:t>
      </w:r>
    </w:p>
    <w:p w:rsidR="00D42474" w:rsidRDefault="00D42474" w:rsidP="00B92EB0">
      <w:pPr>
        <w:ind w:left="2268" w:hanging="2268"/>
      </w:pPr>
    </w:p>
    <w:p w:rsidR="00D42474" w:rsidRDefault="00B92EB0" w:rsidP="00B92EB0">
      <w:pPr>
        <w:ind w:left="2268" w:hanging="2268"/>
        <w:rPr>
          <w:rFonts w:cs="Arial"/>
        </w:rPr>
      </w:pPr>
      <w:r w:rsidRPr="00251542">
        <w:t>OAPI</w:t>
      </w:r>
      <w:r w:rsidRPr="00251542">
        <w:tab/>
        <w:t>Organisation Africaine de la Propriété Intellectuelle</w:t>
      </w:r>
    </w:p>
    <w:p w:rsidR="00D42474" w:rsidRDefault="00B92EB0" w:rsidP="00B92EB0">
      <w:pPr>
        <w:ind w:left="2268" w:hanging="2268"/>
        <w:rPr>
          <w:rFonts w:cs="Arial"/>
        </w:rPr>
      </w:pPr>
      <w:r w:rsidRPr="00251542">
        <w:t>OCDE</w:t>
      </w:r>
      <w:r w:rsidRPr="00251542">
        <w:tab/>
        <w:t>Organisation de coopération et de développement économiques</w:t>
      </w:r>
    </w:p>
    <w:p w:rsidR="00D42474" w:rsidRDefault="00B92EB0" w:rsidP="00B92EB0">
      <w:pPr>
        <w:ind w:left="2268" w:hanging="2268"/>
        <w:rPr>
          <w:rFonts w:cs="Arial"/>
        </w:rPr>
      </w:pPr>
      <w:proofErr w:type="spellStart"/>
      <w:r w:rsidRPr="00251542">
        <w:t>OCIS</w:t>
      </w:r>
      <w:proofErr w:type="spellEnd"/>
      <w:r w:rsidRPr="00251542">
        <w:tab/>
        <w:t>Organe consultatif indépendant de surveillance</w:t>
      </w:r>
    </w:p>
    <w:p w:rsidR="00D42474" w:rsidRDefault="00B92EB0" w:rsidP="00B92EB0">
      <w:pPr>
        <w:ind w:left="2268" w:hanging="2268"/>
        <w:rPr>
          <w:rFonts w:cs="Arial"/>
        </w:rPr>
      </w:pPr>
      <w:r w:rsidRPr="00251542">
        <w:t>OEB</w:t>
      </w:r>
      <w:r w:rsidRPr="00251542">
        <w:tab/>
        <w:t>Office européen des brevets</w:t>
      </w:r>
    </w:p>
    <w:p w:rsidR="00D42474" w:rsidRDefault="00B92EB0" w:rsidP="00B92EB0">
      <w:pPr>
        <w:ind w:left="2268" w:hanging="2268"/>
        <w:rPr>
          <w:rFonts w:cs="Arial"/>
        </w:rPr>
      </w:pPr>
      <w:proofErr w:type="spellStart"/>
      <w:r>
        <w:t>OGC</w:t>
      </w:r>
      <w:proofErr w:type="spellEnd"/>
      <w:r w:rsidRPr="00251542">
        <w:tab/>
        <w:t>Organi</w:t>
      </w:r>
      <w:r>
        <w:t>smes de gestion collective</w:t>
      </w:r>
    </w:p>
    <w:p w:rsidR="00D42474" w:rsidRDefault="00B92EB0" w:rsidP="00B92EB0">
      <w:pPr>
        <w:ind w:left="2268" w:hanging="2268"/>
        <w:rPr>
          <w:rFonts w:cs="Arial"/>
        </w:rPr>
      </w:pPr>
      <w:r w:rsidRPr="00251542">
        <w:t>OHMI</w:t>
      </w:r>
      <w:r w:rsidRPr="00251542">
        <w:tab/>
        <w:t>Office de l’harmonisation dans le marché intérieur</w:t>
      </w:r>
    </w:p>
    <w:p w:rsidR="00D42474" w:rsidRDefault="00B92EB0" w:rsidP="00B92EB0">
      <w:pPr>
        <w:ind w:left="2268" w:hanging="2268"/>
        <w:rPr>
          <w:rFonts w:cs="Arial"/>
        </w:rPr>
      </w:pPr>
      <w:r w:rsidRPr="00251542">
        <w:t>OIT</w:t>
      </w:r>
      <w:r w:rsidRPr="00251542">
        <w:tab/>
        <w:t>Organisation internationale du Travail</w:t>
      </w:r>
    </w:p>
    <w:p w:rsidR="00D42474" w:rsidRDefault="00B92EB0" w:rsidP="00B92EB0">
      <w:pPr>
        <w:ind w:left="2268" w:hanging="2268"/>
      </w:pPr>
      <w:r>
        <w:t>OMC</w:t>
      </w:r>
      <w:r w:rsidRPr="00251542">
        <w:tab/>
        <w:t>Organisation mondiale du commerce</w:t>
      </w:r>
    </w:p>
    <w:p w:rsidR="00D42474" w:rsidRDefault="00B92EB0" w:rsidP="00B92EB0">
      <w:pPr>
        <w:ind w:left="2268" w:hanging="2268"/>
        <w:rPr>
          <w:rFonts w:cs="Arial"/>
        </w:rPr>
      </w:pPr>
      <w:proofErr w:type="spellStart"/>
      <w:r w:rsidRPr="00251542">
        <w:t>OMD</w:t>
      </w:r>
      <w:proofErr w:type="spellEnd"/>
      <w:r w:rsidRPr="00251542">
        <w:tab/>
        <w:t>objectifs du Millénaire pour le développement</w:t>
      </w:r>
    </w:p>
    <w:p w:rsidR="00D42474" w:rsidRDefault="00B92EB0" w:rsidP="00B92EB0">
      <w:pPr>
        <w:ind w:left="2268" w:hanging="2268"/>
        <w:rPr>
          <w:rFonts w:cs="Arial"/>
        </w:rPr>
      </w:pPr>
      <w:r w:rsidRPr="00251542">
        <w:t>OMS</w:t>
      </w:r>
      <w:r w:rsidRPr="00251542">
        <w:tab/>
        <w:t>Organisation mondiale de la santé</w:t>
      </w:r>
    </w:p>
    <w:p w:rsidR="00D42474" w:rsidRDefault="00B92EB0" w:rsidP="00B92EB0">
      <w:pPr>
        <w:ind w:left="2268" w:hanging="2268"/>
        <w:rPr>
          <w:rFonts w:cs="Arial"/>
        </w:rPr>
      </w:pPr>
      <w:r w:rsidRPr="00251542">
        <w:t>ONG</w:t>
      </w:r>
      <w:r w:rsidRPr="00251542">
        <w:tab/>
        <w:t>Organisation non gouvernementale</w:t>
      </w:r>
    </w:p>
    <w:p w:rsidR="00D42474" w:rsidRDefault="00B92EB0" w:rsidP="00B92EB0">
      <w:pPr>
        <w:ind w:left="2268" w:hanging="2268"/>
        <w:rPr>
          <w:rFonts w:cs="Arial"/>
        </w:rPr>
      </w:pPr>
      <w:r w:rsidRPr="00251542">
        <w:t>ONU</w:t>
      </w:r>
      <w:r w:rsidRPr="00251542">
        <w:tab/>
        <w:t>Organisation des Nations Unies</w:t>
      </w:r>
    </w:p>
    <w:p w:rsidR="00D42474" w:rsidRDefault="00B92EB0" w:rsidP="00B92EB0">
      <w:pPr>
        <w:ind w:left="2268" w:hanging="2268"/>
        <w:rPr>
          <w:rFonts w:cs="Arial"/>
        </w:rPr>
      </w:pPr>
      <w:r w:rsidRPr="00251542">
        <w:t>ONUDI</w:t>
      </w:r>
      <w:r w:rsidRPr="00251542">
        <w:tab/>
        <w:t>Organisation des Nations Unies pour le développement industriel</w:t>
      </w:r>
    </w:p>
    <w:p w:rsidR="00D42474" w:rsidRDefault="00D42474" w:rsidP="00B92EB0">
      <w:pPr>
        <w:ind w:left="2268" w:hanging="2268"/>
      </w:pPr>
    </w:p>
    <w:p w:rsidR="00D42474" w:rsidRDefault="00B92EB0" w:rsidP="00B92EB0">
      <w:pPr>
        <w:ind w:left="2268" w:hanging="2268"/>
        <w:rPr>
          <w:rFonts w:cs="Arial"/>
        </w:rPr>
      </w:pPr>
      <w:r w:rsidRPr="00251542">
        <w:t>PCT</w:t>
      </w:r>
      <w:r w:rsidRPr="00251542">
        <w:tab/>
        <w:t>Traité de coopération en matière de brevets</w:t>
      </w:r>
    </w:p>
    <w:p w:rsidR="00D42474" w:rsidRDefault="00B92EB0" w:rsidP="00B92EB0">
      <w:pPr>
        <w:ind w:left="2268" w:hanging="2268"/>
        <w:rPr>
          <w:rFonts w:cs="Arial"/>
        </w:rPr>
      </w:pPr>
      <w:r w:rsidRPr="00251542">
        <w:t>PLT</w:t>
      </w:r>
      <w:r w:rsidRPr="00251542">
        <w:tab/>
        <w:t>Traité sur le droit des brevets</w:t>
      </w:r>
    </w:p>
    <w:p w:rsidR="00D42474" w:rsidRDefault="00B92EB0" w:rsidP="00B92EB0">
      <w:pPr>
        <w:ind w:left="2268" w:hanging="2268"/>
        <w:rPr>
          <w:rFonts w:cs="Arial"/>
        </w:rPr>
      </w:pPr>
      <w:r w:rsidRPr="00251542">
        <w:t>PMA</w:t>
      </w:r>
      <w:r w:rsidRPr="00251542">
        <w:tab/>
        <w:t>Pays les moins avancés</w:t>
      </w:r>
    </w:p>
    <w:p w:rsidR="00D42474" w:rsidRDefault="00B92EB0" w:rsidP="00B92EB0">
      <w:pPr>
        <w:ind w:left="2268" w:hanging="2268"/>
        <w:rPr>
          <w:rFonts w:cs="Arial"/>
        </w:rPr>
      </w:pPr>
      <w:r w:rsidRPr="00251542">
        <w:t>PME</w:t>
      </w:r>
      <w:r w:rsidRPr="00251542">
        <w:tab/>
        <w:t>Petites et moyennes entreprises</w:t>
      </w:r>
    </w:p>
    <w:p w:rsidR="00D42474" w:rsidRDefault="00B92EB0" w:rsidP="00B92EB0">
      <w:pPr>
        <w:ind w:left="2268" w:hanging="2268"/>
        <w:rPr>
          <w:rFonts w:cs="Arial"/>
        </w:rPr>
      </w:pPr>
      <w:r w:rsidRPr="00251542">
        <w:t>PMSDS</w:t>
      </w:r>
      <w:r w:rsidRPr="00251542">
        <w:tab/>
        <w:t>Système de gestion des performances et de perfectionnement du personnel</w:t>
      </w:r>
    </w:p>
    <w:p w:rsidR="00D42474" w:rsidRDefault="00B92EB0" w:rsidP="00B92EB0">
      <w:pPr>
        <w:ind w:left="2268" w:hanging="2268"/>
        <w:rPr>
          <w:rFonts w:cs="Arial"/>
        </w:rPr>
      </w:pPr>
      <w:r w:rsidRPr="00251542">
        <w:rPr>
          <w:noProof/>
        </w:rPr>
        <mc:AlternateContent>
          <mc:Choice Requires="wps">
            <w:drawing>
              <wp:anchor distT="0" distB="0" distL="114300" distR="114300" simplePos="0" relativeHeight="251659264" behindDoc="0" locked="0" layoutInCell="0" allowOverlap="1" wp14:anchorId="61259F3E" wp14:editId="7B5AF6CB">
                <wp:simplePos x="0" y="0"/>
                <wp:positionH relativeFrom="column">
                  <wp:posOffset>-2118995</wp:posOffset>
                </wp:positionH>
                <wp:positionV relativeFrom="paragraph">
                  <wp:posOffset>83185</wp:posOffset>
                </wp:positionV>
                <wp:extent cx="731520" cy="1097280"/>
                <wp:effectExtent l="0" t="0" r="11430" b="26670"/>
                <wp:wrapNone/>
                <wp:docPr id="11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97280"/>
                        </a:xfrm>
                        <a:prstGeom prst="rect">
                          <a:avLst/>
                        </a:prstGeom>
                        <a:solidFill>
                          <a:srgbClr val="FFFFFF"/>
                        </a:solidFill>
                        <a:ln w="9525">
                          <a:solidFill>
                            <a:srgbClr val="000000"/>
                          </a:solidFill>
                          <a:miter lim="800000"/>
                          <a:headEnd/>
                          <a:tailEnd/>
                        </a:ln>
                      </wps:spPr>
                      <wps:txbx>
                        <w:txbxContent>
                          <w:p w:rsidR="00F7033E" w:rsidRDefault="00F7033E" w:rsidP="009D2FE2">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166.85pt;margin-top:6.55pt;width:57.6pt;height:8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" o:allowincell="f">
                <v:textbox>
                  <w:txbxContent>
                    <w:p w:rsidR="00F7033E" w:rsidRDefault="00F7033E" w:rsidP="009D2FE2">
                      <w:pPr>
                        <w:pStyle w:val="BodyText2"/>
                      </w:pPr>
                    </w:p>
                  </w:txbxContent>
                </v:textbox>
              </v:shape>
            </w:pict>
          </mc:Fallback>
        </mc:AlternateContent>
      </w:r>
      <w:r w:rsidRPr="00251542">
        <w:t>PNUE</w:t>
      </w:r>
      <w:r w:rsidRPr="00251542">
        <w:tab/>
        <w:t>Programme des Nations Unies pour l’environnement</w:t>
      </w:r>
    </w:p>
    <w:p w:rsidR="00D42474" w:rsidRDefault="00B92EB0" w:rsidP="00B92EB0">
      <w:pPr>
        <w:ind w:left="2268" w:hanging="2268"/>
      </w:pPr>
      <w:proofErr w:type="spellStart"/>
      <w:r w:rsidRPr="00251542">
        <w:t>PPR</w:t>
      </w:r>
      <w:proofErr w:type="spellEnd"/>
      <w:r w:rsidRPr="00251542">
        <w:tab/>
        <w:t>Rapport sur l’exécution du programme</w:t>
      </w:r>
    </w:p>
    <w:p w:rsidR="00D42474" w:rsidRDefault="00B92EB0" w:rsidP="00B92EB0">
      <w:pPr>
        <w:ind w:left="2268" w:hanging="2268"/>
        <w:rPr>
          <w:rFonts w:cs="Arial"/>
        </w:rPr>
      </w:pPr>
      <w:r w:rsidRPr="00251542">
        <w:t>PRS</w:t>
      </w:r>
      <w:r w:rsidRPr="00251542">
        <w:tab/>
        <w:t>Programme de réorientation stratégique</w:t>
      </w:r>
    </w:p>
    <w:p w:rsidR="00D42474" w:rsidRDefault="00B92EB0" w:rsidP="00B92EB0">
      <w:pPr>
        <w:ind w:left="2268" w:hanging="2268"/>
        <w:rPr>
          <w:rFonts w:cs="Arial"/>
        </w:rPr>
      </w:pPr>
      <w:r w:rsidRPr="00251542">
        <w:t>PSMT</w:t>
      </w:r>
      <w:r w:rsidRPr="00251542">
        <w:tab/>
        <w:t>Plan stratégique à moyen terme</w:t>
      </w:r>
    </w:p>
    <w:p w:rsidR="00D42474" w:rsidRDefault="00D42474" w:rsidP="00B92EB0">
      <w:pPr>
        <w:ind w:left="2268" w:hanging="2268"/>
      </w:pPr>
    </w:p>
    <w:p w:rsidR="00D42474" w:rsidRDefault="00B92EB0" w:rsidP="00B92EB0">
      <w:pPr>
        <w:ind w:left="2268" w:hanging="2268"/>
        <w:rPr>
          <w:rFonts w:cs="Arial"/>
        </w:rPr>
      </w:pPr>
      <w:r w:rsidRPr="00251542">
        <w:t>R</w:t>
      </w:r>
      <w:r w:rsidRPr="00251542">
        <w:noBreakHyphen/>
        <w:t>D</w:t>
      </w:r>
      <w:r w:rsidRPr="00251542">
        <w:tab/>
        <w:t>Recherche et développement</w:t>
      </w:r>
    </w:p>
    <w:p w:rsidR="00D42474" w:rsidRDefault="00B92EB0" w:rsidP="00B92EB0">
      <w:pPr>
        <w:ind w:left="2268" w:hanging="2268"/>
        <w:rPr>
          <w:rFonts w:cs="Arial"/>
        </w:rPr>
      </w:pPr>
      <w:r w:rsidRPr="00251542">
        <w:t>RH</w:t>
      </w:r>
      <w:r w:rsidRPr="00251542">
        <w:tab/>
        <w:t>Ressources humaines</w:t>
      </w:r>
    </w:p>
    <w:p w:rsidR="00D42474" w:rsidRDefault="00D42474" w:rsidP="00B92EB0">
      <w:pPr>
        <w:ind w:left="2268" w:hanging="2268"/>
      </w:pPr>
    </w:p>
    <w:p w:rsidR="00D42474" w:rsidRDefault="00B92EB0" w:rsidP="00B92EB0">
      <w:pPr>
        <w:ind w:left="2268" w:hanging="2268"/>
        <w:rPr>
          <w:rFonts w:cs="Arial"/>
        </w:rPr>
      </w:pPr>
      <w:r w:rsidRPr="00251542">
        <w:t>SCCR</w:t>
      </w:r>
      <w:r w:rsidRPr="00251542">
        <w:tab/>
        <w:t>Comité permanent du droit d’auteur et des droits connexes</w:t>
      </w:r>
    </w:p>
    <w:p w:rsidR="00D42474" w:rsidRDefault="00B92EB0" w:rsidP="00B92EB0">
      <w:pPr>
        <w:ind w:left="2268" w:hanging="2268"/>
        <w:rPr>
          <w:rFonts w:cs="Arial"/>
        </w:rPr>
      </w:pPr>
      <w:r w:rsidRPr="00251542">
        <w:t>SCP</w:t>
      </w:r>
      <w:r w:rsidRPr="00251542">
        <w:tab/>
        <w:t>Comité permanent du droit des brevets</w:t>
      </w:r>
    </w:p>
    <w:p w:rsidR="00D42474" w:rsidRDefault="00B92EB0" w:rsidP="00B92EB0">
      <w:pPr>
        <w:ind w:left="2268" w:hanging="2268"/>
        <w:rPr>
          <w:rFonts w:cs="Arial"/>
        </w:rPr>
      </w:pPr>
      <w:r w:rsidRPr="00251542">
        <w:t>SCT</w:t>
      </w:r>
      <w:r w:rsidRPr="00251542">
        <w:tab/>
        <w:t>Comité permanent du droit des marques, des dessins et modèles industriels et des indications géographiques</w:t>
      </w:r>
    </w:p>
    <w:p w:rsidR="00D42474" w:rsidRDefault="00B92EB0" w:rsidP="00B92EB0">
      <w:pPr>
        <w:ind w:left="2268" w:hanging="2268"/>
        <w:rPr>
          <w:rFonts w:cs="Arial"/>
        </w:rPr>
      </w:pPr>
      <w:proofErr w:type="spellStart"/>
      <w:r w:rsidRPr="00251542">
        <w:t>SGED</w:t>
      </w:r>
      <w:proofErr w:type="spellEnd"/>
      <w:r w:rsidRPr="00251542">
        <w:tab/>
        <w:t>Système de gestion électronique des documents</w:t>
      </w:r>
    </w:p>
    <w:p w:rsidR="00D42474" w:rsidRDefault="00B92EB0" w:rsidP="00B92EB0">
      <w:pPr>
        <w:ind w:left="2268" w:hanging="2268"/>
        <w:rPr>
          <w:rFonts w:cs="Arial"/>
        </w:rPr>
      </w:pPr>
      <w:proofErr w:type="spellStart"/>
      <w:r w:rsidRPr="00251542">
        <w:t>SLC</w:t>
      </w:r>
      <w:proofErr w:type="spellEnd"/>
      <w:r w:rsidRPr="00251542">
        <w:tab/>
        <w:t>Contrat de travail spécial</w:t>
      </w:r>
    </w:p>
    <w:p w:rsidR="00D42474" w:rsidRDefault="00B92EB0" w:rsidP="00B92EB0">
      <w:pPr>
        <w:ind w:left="2268" w:hanging="2268"/>
        <w:rPr>
          <w:rFonts w:cs="Arial"/>
        </w:rPr>
      </w:pPr>
      <w:proofErr w:type="spellStart"/>
      <w:r w:rsidRPr="00251542">
        <w:t>SMSI</w:t>
      </w:r>
      <w:proofErr w:type="spellEnd"/>
      <w:r w:rsidRPr="00251542">
        <w:tab/>
        <w:t>Sommet mondial sur la société de l’information</w:t>
      </w:r>
    </w:p>
    <w:p w:rsidR="00D42474" w:rsidRDefault="00B92EB0" w:rsidP="00B92EB0">
      <w:pPr>
        <w:ind w:left="2268" w:hanging="2268"/>
        <w:rPr>
          <w:rFonts w:cs="Arial"/>
        </w:rPr>
      </w:pPr>
      <w:proofErr w:type="spellStart"/>
      <w:r w:rsidRPr="00251542">
        <w:t>SSA</w:t>
      </w:r>
      <w:proofErr w:type="spellEnd"/>
      <w:r w:rsidRPr="00251542">
        <w:tab/>
        <w:t>Contrats de louage de services</w:t>
      </w:r>
    </w:p>
    <w:p w:rsidR="00D42474" w:rsidRDefault="00D42474" w:rsidP="00B92EB0">
      <w:pPr>
        <w:ind w:left="2268" w:hanging="2268"/>
      </w:pPr>
    </w:p>
    <w:p w:rsidR="00D42474" w:rsidRDefault="00B92EB0" w:rsidP="00B92EB0">
      <w:pPr>
        <w:ind w:left="2268" w:hanging="2268"/>
      </w:pPr>
      <w:proofErr w:type="spellStart"/>
      <w:r w:rsidRPr="00251542">
        <w:t>TAD</w:t>
      </w:r>
      <w:proofErr w:type="spellEnd"/>
      <w:r w:rsidRPr="00251542">
        <w:tab/>
        <w:t>Base de données de l’assistance technique (en matière de propriété intellectuelle)</w:t>
      </w:r>
    </w:p>
    <w:p w:rsidR="00D42474" w:rsidRDefault="00B92EB0" w:rsidP="00B92EB0">
      <w:pPr>
        <w:ind w:left="2268" w:hanging="2268"/>
      </w:pPr>
      <w:r w:rsidRPr="00251542">
        <w:t>TIC</w:t>
      </w:r>
      <w:r w:rsidRPr="00251542">
        <w:tab/>
        <w:t>Technologies de l’information et des communications</w:t>
      </w:r>
    </w:p>
    <w:p w:rsidR="00D42474" w:rsidRDefault="00B92EB0" w:rsidP="00B92EB0">
      <w:pPr>
        <w:ind w:left="2268" w:hanging="2268"/>
        <w:rPr>
          <w:rFonts w:cs="Arial"/>
        </w:rPr>
      </w:pPr>
      <w:r w:rsidRPr="00251542">
        <w:t>TIGAR</w:t>
      </w:r>
      <w:r w:rsidRPr="00251542">
        <w:tab/>
        <w:t>Ressources mondialement accessibles des intermédiaires de confiance</w:t>
      </w:r>
    </w:p>
    <w:p w:rsidR="00D42474" w:rsidRDefault="00B92EB0" w:rsidP="00B92EB0">
      <w:pPr>
        <w:ind w:left="2268" w:hanging="2268"/>
        <w:rPr>
          <w:rFonts w:cs="Arial"/>
        </w:rPr>
      </w:pPr>
      <w:proofErr w:type="spellStart"/>
      <w:r w:rsidRPr="00251542">
        <w:t>TISCs</w:t>
      </w:r>
      <w:proofErr w:type="spellEnd"/>
      <w:r w:rsidRPr="00251542">
        <w:tab/>
        <w:t>Centres d’appui à la technologie et à l’innovation</w:t>
      </w:r>
    </w:p>
    <w:p w:rsidR="00D42474" w:rsidRDefault="00D42474" w:rsidP="00B92EB0">
      <w:pPr>
        <w:ind w:left="2268" w:hanging="2268"/>
      </w:pPr>
    </w:p>
    <w:p w:rsidR="00D42474" w:rsidRDefault="00B92EB0" w:rsidP="00B92EB0">
      <w:pPr>
        <w:ind w:left="2268" w:hanging="2268"/>
        <w:rPr>
          <w:rFonts w:cs="Arial"/>
        </w:rPr>
      </w:pPr>
      <w:r w:rsidRPr="00251542">
        <w:t>UDRP</w:t>
      </w:r>
      <w:r w:rsidRPr="00251542">
        <w:tab/>
        <w:t>Règlement uniforme des litiges relatifs aux noms de domaine</w:t>
      </w:r>
    </w:p>
    <w:p w:rsidR="00D42474" w:rsidRDefault="00B92EB0" w:rsidP="00B92EB0">
      <w:pPr>
        <w:ind w:left="2268" w:hanging="2268"/>
        <w:rPr>
          <w:rFonts w:cs="Arial"/>
        </w:rPr>
      </w:pPr>
      <w:proofErr w:type="spellStart"/>
      <w:r w:rsidRPr="00251542">
        <w:t>UIT</w:t>
      </w:r>
      <w:proofErr w:type="spellEnd"/>
      <w:r w:rsidRPr="00251542">
        <w:tab/>
        <w:t>Union internationale des télécommunications</w:t>
      </w:r>
    </w:p>
    <w:p w:rsidR="00D42474" w:rsidRDefault="00B92EB0" w:rsidP="00B92EB0">
      <w:pPr>
        <w:ind w:left="2268" w:hanging="2268"/>
        <w:rPr>
          <w:rFonts w:cs="Arial"/>
        </w:rPr>
      </w:pPr>
      <w:r w:rsidRPr="00251542">
        <w:t xml:space="preserve">UN </w:t>
      </w:r>
      <w:proofErr w:type="spellStart"/>
      <w:r w:rsidRPr="00251542">
        <w:t>CEB</w:t>
      </w:r>
      <w:proofErr w:type="spellEnd"/>
      <w:r w:rsidRPr="00251542">
        <w:tab/>
        <w:t>Conseil des Chefs de secrétariat des Nations Unies</w:t>
      </w:r>
    </w:p>
    <w:p w:rsidR="00D42474" w:rsidRDefault="00B92EB0" w:rsidP="00B92EB0">
      <w:pPr>
        <w:ind w:left="2268" w:hanging="2268"/>
        <w:rPr>
          <w:rFonts w:cs="Arial"/>
        </w:rPr>
      </w:pPr>
      <w:r w:rsidRPr="00251542">
        <w:t>UNESCO</w:t>
      </w:r>
      <w:r w:rsidRPr="00251542">
        <w:tab/>
        <w:t>Organisation des Nations Unies pour l’éducation, la science et la culture</w:t>
      </w:r>
    </w:p>
    <w:p w:rsidR="00D42474" w:rsidRDefault="00B92EB0" w:rsidP="00B92EB0">
      <w:pPr>
        <w:ind w:left="2268" w:hanging="2268"/>
        <w:rPr>
          <w:rFonts w:cs="Arial"/>
        </w:rPr>
      </w:pPr>
      <w:r w:rsidRPr="00251542">
        <w:t>USPTO</w:t>
      </w:r>
      <w:r w:rsidRPr="00251542">
        <w:tab/>
        <w:t xml:space="preserve">United States Patent and </w:t>
      </w:r>
      <w:proofErr w:type="spellStart"/>
      <w:r w:rsidRPr="00251542">
        <w:t>Trademark</w:t>
      </w:r>
      <w:proofErr w:type="spellEnd"/>
      <w:r w:rsidRPr="00251542">
        <w:t xml:space="preserve"> Office (Office américain des brevets et des marques)</w:t>
      </w:r>
    </w:p>
    <w:p w:rsidR="00D42474" w:rsidRDefault="00D42474" w:rsidP="00B92EB0">
      <w:pPr>
        <w:ind w:left="2268" w:hanging="2268"/>
      </w:pPr>
    </w:p>
    <w:p w:rsidR="00D42474" w:rsidRDefault="00B92EB0" w:rsidP="00B92EB0">
      <w:pPr>
        <w:ind w:left="2268" w:hanging="2268"/>
        <w:rPr>
          <w:rFonts w:cs="Arial"/>
        </w:rPr>
      </w:pPr>
      <w:r w:rsidRPr="00251542">
        <w:t>VIP</w:t>
      </w:r>
      <w:r w:rsidRPr="00251542">
        <w:tab/>
        <w:t>Déficients visuels et personnes ayant des difficultés de lecture des textes imprimés aux œuvres publiées</w:t>
      </w:r>
    </w:p>
    <w:p w:rsidR="00D42474" w:rsidRDefault="00D42474" w:rsidP="00B92EB0">
      <w:pPr>
        <w:ind w:left="2268" w:hanging="2268"/>
      </w:pPr>
    </w:p>
    <w:p w:rsidR="00D42474" w:rsidRDefault="00B92EB0" w:rsidP="00B92EB0">
      <w:pPr>
        <w:ind w:left="2268" w:hanging="2268"/>
        <w:rPr>
          <w:rFonts w:cs="Arial"/>
        </w:rPr>
      </w:pPr>
      <w:r w:rsidRPr="00251542">
        <w:t>WCT</w:t>
      </w:r>
      <w:r w:rsidRPr="00251542">
        <w:tab/>
        <w:t>Traité de l’OMPI sur le droit d’auteur</w:t>
      </w:r>
    </w:p>
    <w:p w:rsidR="00D42474" w:rsidRDefault="00B92EB0" w:rsidP="00B92EB0">
      <w:pPr>
        <w:ind w:left="2268" w:hanging="2268"/>
        <w:rPr>
          <w:rFonts w:cs="Arial"/>
        </w:rPr>
      </w:pPr>
      <w:r w:rsidRPr="00251542">
        <w:t>WPPT</w:t>
      </w:r>
      <w:r w:rsidRPr="00251542">
        <w:tab/>
        <w:t>Traité de l’OMPI sur les interprétations et exécutions et les phonogrammes</w:t>
      </w:r>
    </w:p>
    <w:p w:rsidR="00D42474" w:rsidRDefault="00D42474" w:rsidP="00D54DAE">
      <w:pPr>
        <w:pStyle w:val="Endofdocument-Annex"/>
        <w:rPr>
          <w:sz w:val="20"/>
        </w:rPr>
      </w:pPr>
    </w:p>
    <w:p w:rsidR="00D42474" w:rsidRDefault="00D42474" w:rsidP="00D54DAE">
      <w:pPr>
        <w:pStyle w:val="Endofdocument-Annex"/>
        <w:rPr>
          <w:sz w:val="20"/>
        </w:rPr>
      </w:pPr>
    </w:p>
    <w:p w:rsidR="00D42474" w:rsidRDefault="00D42474" w:rsidP="00D54DAE">
      <w:pPr>
        <w:pStyle w:val="Endofdocument-Annex"/>
        <w:rPr>
          <w:sz w:val="20"/>
        </w:rPr>
      </w:pPr>
    </w:p>
    <w:p w:rsidR="00D42474" w:rsidRDefault="004007D3" w:rsidP="00D54DAE">
      <w:pPr>
        <w:pStyle w:val="Endofdocument-Annex"/>
        <w:rPr>
          <w:sz w:val="20"/>
        </w:rPr>
      </w:pPr>
      <w:r w:rsidRPr="00D54DAE">
        <w:rPr>
          <w:sz w:val="20"/>
        </w:rPr>
        <w:t>[Fin de l</w:t>
      </w:r>
      <w:r w:rsidR="00A20444" w:rsidRPr="00D54DAE">
        <w:rPr>
          <w:sz w:val="20"/>
        </w:rPr>
        <w:t>’</w:t>
      </w:r>
      <w:r w:rsidRPr="00D54DAE">
        <w:rPr>
          <w:sz w:val="20"/>
        </w:rPr>
        <w:t>annexe III et du document]</w:t>
      </w:r>
    </w:p>
    <w:p w:rsidR="00D42474" w:rsidRDefault="00D42474" w:rsidP="001A5BF9">
      <w:pPr>
        <w:ind w:left="4253"/>
        <w:jc w:val="center"/>
      </w:pPr>
    </w:p>
    <w:p w:rsidR="00D42474" w:rsidRDefault="00D42474" w:rsidP="001A5BF9">
      <w:pPr>
        <w:ind w:left="4253"/>
        <w:jc w:val="center"/>
      </w:pPr>
    </w:p>
    <w:p w:rsidR="00D42474" w:rsidRDefault="00D42474" w:rsidP="001A5BF9">
      <w:pPr>
        <w:ind w:left="4253"/>
        <w:jc w:val="center"/>
      </w:pPr>
    </w:p>
    <w:p w:rsidR="00D42474" w:rsidRDefault="00D42474" w:rsidP="001A5BF9">
      <w:pPr>
        <w:ind w:left="4253"/>
        <w:jc w:val="center"/>
      </w:pPr>
    </w:p>
    <w:p w:rsidR="00D42474" w:rsidRDefault="00D42474" w:rsidP="001A5BF9">
      <w:pPr>
        <w:ind w:left="4253"/>
        <w:jc w:val="center"/>
      </w:pPr>
    </w:p>
    <w:p w:rsidR="00D42474" w:rsidRDefault="00D42474" w:rsidP="001A5BF9">
      <w:pPr>
        <w:ind w:left="4253"/>
        <w:jc w:val="center"/>
      </w:pPr>
    </w:p>
    <w:p w:rsidR="00D42474" w:rsidRDefault="00D42474" w:rsidP="001A5BF9">
      <w:pPr>
        <w:ind w:left="4253"/>
        <w:jc w:val="center"/>
      </w:pPr>
    </w:p>
    <w:p w:rsidR="004007D3" w:rsidRPr="00251542" w:rsidRDefault="004007D3" w:rsidP="001A5BF9">
      <w:pPr>
        <w:ind w:left="4253"/>
        <w:jc w:val="center"/>
      </w:pPr>
    </w:p>
    <w:sectPr w:rsidR="004007D3" w:rsidRPr="00251542" w:rsidSect="00B470C6">
      <w:pgSz w:w="11907" w:h="16840" w:code="9"/>
      <w:pgMar w:top="567" w:right="1134" w:bottom="1418" w:left="1418" w:header="510" w:footer="1021" w:gutter="0"/>
      <w:pgNumType w:start="293"/>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33E" w:rsidRDefault="00F7033E">
      <w:r>
        <w:separator/>
      </w:r>
    </w:p>
  </w:endnote>
  <w:endnote w:type="continuationSeparator" w:id="0">
    <w:p w:rsidR="00F7033E" w:rsidRDefault="00F7033E">
      <w:r>
        <w:continuationSeparator/>
      </w:r>
    </w:p>
  </w:endnote>
  <w:endnote w:type="continuationNotice" w:id="1">
    <w:p w:rsidR="00F7033E" w:rsidRDefault="00F70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0000000" w:usb2="01000407"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33E" w:rsidRPr="00921F56" w:rsidRDefault="00F7033E" w:rsidP="00BB3F3E">
    <w:pPr>
      <w:pStyle w:val="Footer"/>
      <w:jc w:val="center"/>
      <w:rPr>
        <w:szCs w:val="22"/>
      </w:rPr>
    </w:pPr>
    <w:r>
      <w:fldChar w:fldCharType="begin"/>
    </w:r>
    <w:r>
      <w:instrText xml:space="preserve"> PAGE   \* MERGEFORMAT </w:instrText>
    </w:r>
    <w:r>
      <w:fldChar w:fldCharType="separate"/>
    </w:r>
    <w:r w:rsidR="005B5604">
      <w:rPr>
        <w:noProof/>
      </w:rPr>
      <w:t>ii</w:t>
    </w:r>
    <w:r>
      <w:fldChar w:fldCharType="end"/>
    </w:r>
  </w:p>
  <w:p w:rsidR="00F7033E" w:rsidRDefault="00F703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33E" w:rsidRPr="00D54DAE" w:rsidRDefault="00F7033E" w:rsidP="0056083E">
    <w:pPr>
      <w:pStyle w:val="Footer"/>
      <w:jc w:val="center"/>
      <w:rPr>
        <w:noProof/>
      </w:rPr>
    </w:pPr>
    <w:r>
      <w:rPr>
        <w:noProof/>
      </w:rPr>
      <w:fldChar w:fldCharType="begin"/>
    </w:r>
    <w:r>
      <w:rPr>
        <w:noProof/>
      </w:rPr>
      <w:instrText xml:space="preserve"> PAGE   \* MERGEFORMAT </w:instrText>
    </w:r>
    <w:r>
      <w:rPr>
        <w:noProof/>
      </w:rPr>
      <w:fldChar w:fldCharType="separate"/>
    </w:r>
    <w:r w:rsidR="005B5604">
      <w:rPr>
        <w:noProof/>
      </w:rPr>
      <w:t>295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33E" w:rsidRDefault="00F7033E">
      <w:r>
        <w:separator/>
      </w:r>
    </w:p>
  </w:footnote>
  <w:footnote w:type="continuationSeparator" w:id="0">
    <w:p w:rsidR="00F7033E" w:rsidRDefault="00F7033E">
      <w:r>
        <w:continuationSeparator/>
      </w:r>
    </w:p>
  </w:footnote>
  <w:footnote w:type="continuationNotice" w:id="1">
    <w:p w:rsidR="00F7033E" w:rsidRDefault="00F7033E"/>
  </w:footnote>
  <w:footnote w:id="2">
    <w:p w:rsidR="00F7033E" w:rsidRPr="00A9776E" w:rsidRDefault="00F7033E" w:rsidP="007B04CB">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Conformément à la pratique établie, les pays en transition sont pris en considération aux fins du programme et budget.</w:t>
      </w:r>
    </w:p>
  </w:footnote>
  <w:footnote w:id="3">
    <w:p w:rsidR="00F7033E" w:rsidRPr="00A9776E" w:rsidRDefault="00F7033E" w:rsidP="00F40E87">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Rectificatif : en raison d’une erreur rédactionnelle, le nombre total de parties contractantes à la fin de 2011 figurant dans le rapport sur l’exécution du programme de 2012 était 25, alors que le nombre correct était 24.  Le niveau de référence actualisé a donc été modifié en conséquence.</w:t>
      </w:r>
    </w:p>
  </w:footnote>
  <w:footnote w:id="4">
    <w:p w:rsidR="00F7033E" w:rsidRPr="00A9776E" w:rsidRDefault="00F7033E" w:rsidP="007D47F2">
      <w:pPr>
        <w:pStyle w:val="FootnoteText"/>
        <w:tabs>
          <w:tab w:val="left" w:pos="567"/>
        </w:tabs>
        <w:rPr>
          <w:rFonts w:ascii="Arial" w:hAnsi="Arial" w:cs="Arial"/>
          <w:sz w:val="16"/>
          <w:szCs w:val="16"/>
          <w:lang w:bidi="th-TH"/>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Vingt</w:t>
      </w:r>
      <w:r w:rsidRPr="00A9776E">
        <w:rPr>
          <w:rFonts w:ascii="Arial" w:hAnsi="Arial" w:cs="Arial"/>
          <w:sz w:val="16"/>
          <w:szCs w:val="16"/>
        </w:rPr>
        <w:noBreakHyphen/>
        <w:t xml:space="preserve">quatrième session du Comité permanent du droit d’auteur et des droits connexes (SCCR) : http://www.wipo.int/meetings/en/details.jsp?meeting_id=25014; </w:t>
      </w:r>
    </w:p>
    <w:p w:rsidR="00F7033E" w:rsidRPr="00A9776E" w:rsidRDefault="00F7033E" w:rsidP="007D47F2">
      <w:pPr>
        <w:pStyle w:val="FootnoteText"/>
        <w:tabs>
          <w:tab w:val="left" w:pos="567"/>
        </w:tabs>
        <w:rPr>
          <w:rFonts w:ascii="Arial" w:hAnsi="Arial" w:cs="Arial"/>
          <w:sz w:val="16"/>
          <w:szCs w:val="16"/>
          <w:lang w:bidi="th-TH"/>
        </w:rPr>
      </w:pPr>
      <w:r w:rsidRPr="00A9776E">
        <w:rPr>
          <w:rFonts w:ascii="Arial" w:hAnsi="Arial" w:cs="Arial"/>
          <w:sz w:val="16"/>
          <w:szCs w:val="16"/>
        </w:rPr>
        <w:tab/>
        <w:t>Vingt</w:t>
      </w:r>
      <w:r w:rsidRPr="00A9776E">
        <w:rPr>
          <w:rFonts w:ascii="Arial" w:hAnsi="Arial" w:cs="Arial"/>
          <w:sz w:val="16"/>
          <w:szCs w:val="16"/>
        </w:rPr>
        <w:noBreakHyphen/>
        <w:t xml:space="preserve">cinquième session du Comité permanent du droit d’auteur et des droits connexes (SCCR) : http://www.wipo.int/meetings/en/details.jsp?meeting_id=25024; et, </w:t>
      </w:r>
    </w:p>
    <w:p w:rsidR="00F7033E" w:rsidRPr="00A9776E" w:rsidRDefault="00F7033E" w:rsidP="007D47F2">
      <w:pPr>
        <w:pStyle w:val="FootnoteText"/>
        <w:tabs>
          <w:tab w:val="left" w:pos="567"/>
        </w:tabs>
        <w:rPr>
          <w:rFonts w:ascii="Arial" w:hAnsi="Arial" w:cs="Arial"/>
          <w:sz w:val="16"/>
          <w:szCs w:val="16"/>
        </w:rPr>
      </w:pPr>
      <w:r w:rsidRPr="00A9776E">
        <w:rPr>
          <w:rFonts w:ascii="Arial" w:hAnsi="Arial" w:cs="Arial"/>
          <w:sz w:val="16"/>
          <w:szCs w:val="16"/>
        </w:rPr>
        <w:tab/>
        <w:t>Vingt</w:t>
      </w:r>
      <w:r w:rsidRPr="00A9776E">
        <w:rPr>
          <w:rFonts w:ascii="Arial" w:hAnsi="Arial" w:cs="Arial"/>
          <w:sz w:val="16"/>
          <w:szCs w:val="16"/>
        </w:rPr>
        <w:noBreakHyphen/>
        <w:t>sixième session du Comité permanent du droit d’auteur et des droits connexes (SCCR) : http://www.wipo.int/meetings/en/details.jsp?meeting_id=29944.</w:t>
      </w:r>
    </w:p>
  </w:footnote>
  <w:footnote w:id="5">
    <w:p w:rsidR="00F7033E" w:rsidRPr="00A9776E" w:rsidRDefault="00F7033E" w:rsidP="007D47F2">
      <w:pPr>
        <w:pStyle w:val="Footer"/>
        <w:tabs>
          <w:tab w:val="clear" w:pos="4320"/>
          <w:tab w:val="clear" w:pos="8640"/>
        </w:tabs>
        <w:rPr>
          <w:rFonts w:cs="Arial"/>
          <w:sz w:val="16"/>
          <w:szCs w:val="16"/>
        </w:rPr>
      </w:pPr>
      <w:r w:rsidRPr="00A9776E">
        <w:rPr>
          <w:rStyle w:val="FootnoteReference"/>
          <w:rFonts w:cs="Arial"/>
          <w:sz w:val="16"/>
          <w:szCs w:val="16"/>
        </w:rPr>
        <w:footnoteRef/>
      </w:r>
      <w:r w:rsidRPr="00A9776E">
        <w:rPr>
          <w:rFonts w:cs="Arial"/>
          <w:sz w:val="16"/>
          <w:szCs w:val="16"/>
        </w:rPr>
        <w:t xml:space="preserve"> </w:t>
      </w:r>
      <w:r w:rsidRPr="00A9776E">
        <w:rPr>
          <w:rFonts w:cs="Arial"/>
          <w:sz w:val="16"/>
          <w:szCs w:val="16"/>
        </w:rPr>
        <w:tab/>
        <w:t>Source : Base de données statistiques de l’OMPI, mars 2014.</w:t>
      </w:r>
    </w:p>
  </w:footnote>
  <w:footnote w:id="6">
    <w:p w:rsidR="00F7033E" w:rsidRPr="00A9776E" w:rsidRDefault="00F7033E" w:rsidP="007D47F2">
      <w:pPr>
        <w:pStyle w:val="Footer"/>
        <w:tabs>
          <w:tab w:val="clear" w:pos="4320"/>
          <w:tab w:val="clear" w:pos="8640"/>
        </w:tabs>
        <w:rPr>
          <w:rFonts w:cs="Arial"/>
          <w:sz w:val="16"/>
          <w:szCs w:val="16"/>
        </w:rPr>
      </w:pPr>
      <w:r w:rsidRPr="00A9776E">
        <w:rPr>
          <w:rStyle w:val="FootnoteReference"/>
          <w:rFonts w:cs="Arial"/>
          <w:sz w:val="16"/>
          <w:szCs w:val="16"/>
        </w:rPr>
        <w:footnoteRef/>
      </w:r>
      <w:r w:rsidRPr="00A9776E">
        <w:rPr>
          <w:rFonts w:cs="Arial"/>
          <w:sz w:val="16"/>
          <w:szCs w:val="16"/>
        </w:rPr>
        <w:t xml:space="preserve"> </w:t>
      </w:r>
      <w:r w:rsidRPr="00A9776E">
        <w:rPr>
          <w:rFonts w:cs="Arial"/>
          <w:sz w:val="16"/>
          <w:szCs w:val="16"/>
        </w:rPr>
        <w:tab/>
        <w:t xml:space="preserve">Veuillez noter que le nombre d’entrées en phase nationale est fourni à l’OMPI par les offices de brevets nationaux et régionaux, plusieurs mois après la clôture de chaque exercice.  </w:t>
      </w:r>
      <w:r w:rsidRPr="00733F94">
        <w:rPr>
          <w:rFonts w:cs="Arial"/>
          <w:sz w:val="16"/>
          <w:szCs w:val="16"/>
          <w:lang w:val="fr-CH" w:eastAsia="zh-CN" w:bidi="th-TH"/>
        </w:rPr>
        <w:t>C’est pourquoi, au début de 2012, les données les plus récentes disponibles des entrées en phase nationale se rapportent à 2011.</w:t>
      </w:r>
    </w:p>
  </w:footnote>
  <w:footnote w:id="7">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Les coûts unitaires en 2012, comme en 2013, sont calculés sur la base de la méthodologie révisée des coûts unitaires.  Cette méthodologie a été révisée en 2013 pour garantir la cohérence avec le calcul des coûts de l’</w:t>
      </w:r>
      <w:r>
        <w:rPr>
          <w:rFonts w:ascii="Arial" w:hAnsi="Arial" w:cs="Arial"/>
          <w:sz w:val="16"/>
          <w:szCs w:val="16"/>
        </w:rPr>
        <w:t>u</w:t>
      </w:r>
      <w:r w:rsidRPr="00A9776E">
        <w:rPr>
          <w:rFonts w:ascii="Arial" w:hAnsi="Arial" w:cs="Arial"/>
          <w:sz w:val="16"/>
          <w:szCs w:val="16"/>
        </w:rPr>
        <w:t xml:space="preserve">nion. </w:t>
      </w:r>
    </w:p>
  </w:footnote>
  <w:footnote w:id="8">
    <w:p w:rsidR="00F7033E" w:rsidRPr="00311A3B"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Un exemplaire original est une demande selon le PCT transmise au Bureau international par un office récepteur après son dépôt, et son traitement, par cet office. Étant donné que les exemplaires originaux ne sont reçus par le Bureau international qu’à l’issue de leur traitement par un office récepteur, les chiffres sont fortement influencés par les délais de traitement dans ces offices. Pour cette raison, les tendances observées dans la réception d’exemplaires originaux donnent des indications utiles sur la charge de travail du Bureau international mais ne constituent pas toujours des indicateurs fiables du nombre de dépôts de demandes selon le PCT</w:t>
      </w:r>
      <w:r w:rsidRPr="00311A3B">
        <w:rPr>
          <w:rFonts w:ascii="Arial" w:hAnsi="Arial" w:cs="Arial"/>
          <w:sz w:val="16"/>
          <w:szCs w:val="16"/>
        </w:rPr>
        <w:t>.</w:t>
      </w:r>
    </w:p>
  </w:footnote>
  <w:footnote w:id="9">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Idem.</w:t>
      </w:r>
    </w:p>
  </w:footnote>
  <w:footnote w:id="10">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Pourcentage d’irrégularités liées aux classifications.</w:t>
      </w:r>
    </w:p>
  </w:footnote>
  <w:footnote w:id="11">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 xml:space="preserve">Rectificatif : suite à une différence dans les critères de données utilisés pour calculer les données relatives à l’exécution pour le rapport sur l’exécution du programme en 2012, le chiffre publié de 68% était incorrect. </w:t>
      </w:r>
    </w:p>
  </w:footnote>
  <w:footnote w:id="12">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 xml:space="preserve">Rectificatif : le nombre de désignations de pays en développement et de PMA indiqué dans le Rapport d’exécution du programme en 2012 (2 211) a été modifié pour inclure les chiffres du Niger qui avaient été accidentellement omis en 2012, en raison d’une erreur administrative. </w:t>
      </w:r>
    </w:p>
  </w:footnote>
  <w:footnote w:id="13">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http://www.wipo.int/export/sites/www/amc/en/docs/surveyresults.pdf</w:t>
      </w:r>
    </w:p>
  </w:footnote>
  <w:footnote w:id="14">
    <w:p w:rsidR="00F7033E" w:rsidRPr="00A9776E" w:rsidRDefault="00F7033E" w:rsidP="0096696E">
      <w:pPr>
        <w:pStyle w:val="FootnoteText"/>
        <w:rPr>
          <w:rFonts w:ascii="Arial" w:hAnsi="Arial" w:cs="Arial"/>
          <w:sz w:val="16"/>
          <w:szCs w:val="16"/>
        </w:rPr>
      </w:pPr>
      <w:r w:rsidRPr="00A9776E">
        <w:rPr>
          <w:rFonts w:ascii="Arial" w:hAnsi="Arial" w:cs="Arial"/>
          <w:sz w:val="16"/>
          <w:szCs w:val="16"/>
          <w:vertAlign w:val="superscript"/>
        </w:rPr>
        <w:footnoteRef/>
      </w:r>
      <w:r w:rsidRPr="00A9776E">
        <w:rPr>
          <w:rFonts w:ascii="Arial" w:hAnsi="Arial" w:cs="Arial"/>
          <w:sz w:val="16"/>
          <w:szCs w:val="16"/>
          <w:vertAlign w:val="superscript"/>
        </w:rPr>
        <w:t xml:space="preserve"> </w:t>
      </w:r>
      <w:r w:rsidRPr="00A9776E">
        <w:rPr>
          <w:rFonts w:ascii="Arial" w:hAnsi="Arial" w:cs="Arial"/>
          <w:sz w:val="16"/>
          <w:szCs w:val="16"/>
        </w:rPr>
        <w:tab/>
        <w:t>http://www.wipo.int/export/sites/www/amc/en/docs/lroreport.pdf.</w:t>
      </w:r>
    </w:p>
  </w:footnote>
  <w:footnote w:id="15">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http://www.wipo.int/export/sites/www/amc/en/docs/surveyresults.pdf.</w:t>
      </w:r>
    </w:p>
  </w:footnote>
  <w:footnote w:id="16">
    <w:p w:rsidR="00F7033E" w:rsidRPr="00A9776E" w:rsidRDefault="00F7033E" w:rsidP="0096696E">
      <w:pPr>
        <w:pStyle w:val="FootnoteText"/>
        <w:tabs>
          <w:tab w:val="left" w:pos="284"/>
        </w:tabs>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r>
      <w:r w:rsidRPr="00A9776E">
        <w:rPr>
          <w:rFonts w:ascii="Arial" w:hAnsi="Arial" w:cs="Arial"/>
          <w:sz w:val="16"/>
          <w:szCs w:val="16"/>
        </w:rPr>
        <w:tab/>
      </w:r>
      <w:hyperlink r:id="rId1" w:tooltip="http://www.wipo.int/meetings/en/doc_details.jsp?doc_id=208882" w:history="1">
        <w:r w:rsidRPr="0033279F">
          <w:rPr>
            <w:rStyle w:val="Hyperlink"/>
            <w:color w:val="0000FF"/>
          </w:rPr>
          <w:t>http://www.wipo.int/meetings/en/doc_details.jsp?doc_id=208882</w:t>
        </w:r>
      </w:hyperlink>
      <w:r w:rsidRPr="00A9776E">
        <w:rPr>
          <w:rFonts w:ascii="Arial" w:hAnsi="Arial" w:cs="Arial"/>
          <w:sz w:val="16"/>
          <w:szCs w:val="16"/>
        </w:rPr>
        <w:t xml:space="preserve"> et</w:t>
      </w:r>
    </w:p>
    <w:p w:rsidR="00F7033E" w:rsidRPr="00A9776E" w:rsidRDefault="00F7033E" w:rsidP="0096696E">
      <w:pPr>
        <w:pStyle w:val="FootnoteText"/>
        <w:tabs>
          <w:tab w:val="left" w:pos="284"/>
        </w:tabs>
        <w:rPr>
          <w:rFonts w:ascii="Arial" w:hAnsi="Arial" w:cs="Arial"/>
          <w:sz w:val="16"/>
          <w:szCs w:val="16"/>
        </w:rPr>
      </w:pPr>
      <w:r w:rsidRPr="00A9776E">
        <w:rPr>
          <w:rFonts w:ascii="Arial" w:hAnsi="Arial" w:cs="Arial"/>
          <w:sz w:val="16"/>
          <w:szCs w:val="16"/>
        </w:rPr>
        <w:tab/>
      </w:r>
      <w:r w:rsidRPr="00A9776E">
        <w:rPr>
          <w:rFonts w:ascii="Arial" w:hAnsi="Arial" w:cs="Arial"/>
          <w:sz w:val="16"/>
          <w:szCs w:val="16"/>
        </w:rPr>
        <w:tab/>
      </w:r>
      <w:hyperlink r:id="rId2" w:history="1">
        <w:r w:rsidRPr="0033279F">
          <w:rPr>
            <w:rStyle w:val="Hyperlink"/>
            <w:color w:val="0000FF"/>
          </w:rPr>
          <w:t>http://www.wipo.int/meetings/en/doc_details.jsp?doc_id=239806</w:t>
        </w:r>
      </w:hyperlink>
      <w:r w:rsidRPr="00A9776E">
        <w:rPr>
          <w:rFonts w:ascii="Arial" w:hAnsi="Arial" w:cs="Arial"/>
          <w:sz w:val="16"/>
          <w:szCs w:val="16"/>
        </w:rPr>
        <w:t>.</w:t>
      </w:r>
    </w:p>
  </w:footnote>
  <w:footnote w:id="17">
    <w:p w:rsidR="00F7033E" w:rsidRPr="00A9776E" w:rsidRDefault="00F7033E" w:rsidP="0096696E">
      <w:pPr>
        <w:pStyle w:val="FootnoteText"/>
        <w:rPr>
          <w:rFonts w:ascii="Arial" w:hAnsi="Arial" w:cs="Arial"/>
          <w:sz w:val="16"/>
          <w:szCs w:val="16"/>
        </w:rPr>
      </w:pPr>
    </w:p>
  </w:footnote>
  <w:footnote w:id="18">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r>
      <w:hyperlink r:id="rId3" w:history="1">
        <w:r w:rsidRPr="0033279F">
          <w:rPr>
            <w:rStyle w:val="Hyperlink"/>
            <w:color w:val="0000FF"/>
          </w:rPr>
          <w:t>http://www.wipo.int/tad/fr/</w:t>
        </w:r>
      </w:hyperlink>
      <w:r w:rsidRPr="00A9776E">
        <w:rPr>
          <w:rFonts w:ascii="Arial" w:hAnsi="Arial" w:cs="Arial"/>
          <w:sz w:val="16"/>
          <w:szCs w:val="16"/>
        </w:rPr>
        <w:t>.</w:t>
      </w:r>
    </w:p>
  </w:footnote>
  <w:footnote w:id="19">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r>
      <w:hyperlink r:id="rId4" w:history="1">
        <w:r w:rsidRPr="0033279F">
          <w:rPr>
            <w:rStyle w:val="Hyperlink"/>
            <w:color w:val="0000FF"/>
          </w:rPr>
          <w:t>http://www.wipo.int/roc/fr/</w:t>
        </w:r>
      </w:hyperlink>
      <w:r w:rsidRPr="00A9776E">
        <w:rPr>
          <w:rFonts w:ascii="Arial" w:hAnsi="Arial" w:cs="Arial"/>
          <w:sz w:val="16"/>
          <w:szCs w:val="16"/>
        </w:rPr>
        <w:t>.</w:t>
      </w:r>
    </w:p>
  </w:footnote>
  <w:footnote w:id="20">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r>
      <w:hyperlink r:id="rId5" w:history="1">
        <w:r w:rsidRPr="0033279F">
          <w:rPr>
            <w:rStyle w:val="Hyperlink"/>
            <w:color w:val="0000FF"/>
          </w:rPr>
          <w:t>www.wipo.int/dmd</w:t>
        </w:r>
      </w:hyperlink>
      <w:r w:rsidRPr="00A9776E">
        <w:rPr>
          <w:rFonts w:ascii="Arial" w:hAnsi="Arial" w:cs="Arial"/>
          <w:sz w:val="16"/>
          <w:szCs w:val="16"/>
        </w:rPr>
        <w:t>.</w:t>
      </w:r>
    </w:p>
  </w:footnote>
  <w:footnote w:id="21">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 xml:space="preserve">Rectificatif : les chiffres du niveau de référence actualisé pour l’Afrique et les pays arabes ont été inversés dans la publication du rapport sur l’exécution du programme en 2012 (WO/PBC/2012).  Ces chiffres ont été corrigés. </w:t>
      </w:r>
    </w:p>
  </w:footnote>
  <w:footnote w:id="22">
    <w:p w:rsidR="00F7033E" w:rsidRPr="00A9776E" w:rsidRDefault="00F7033E" w:rsidP="0096696E">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L’objectif visé de huit bureaux de transfert de technologie se rapporte à l’ensemble des régions.</w:t>
      </w:r>
    </w:p>
  </w:footnote>
  <w:footnote w:id="23">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Rectificatif : les quatre pays pilotes sont la Colombie, le Pérou, la République dominicaine et la Tunisie, pas l’Équateur, comme indiqué dans le rapport sur l’exécution du programme 2012.</w:t>
      </w:r>
    </w:p>
  </w:footnote>
  <w:footnote w:id="24">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L’objectif a été établi sur une base annuelle.</w:t>
      </w:r>
    </w:p>
  </w:footnote>
  <w:footnote w:id="25">
    <w:p w:rsidR="00F7033E" w:rsidRPr="00A9776E" w:rsidRDefault="00F7033E" w:rsidP="00784E52">
      <w:pPr>
        <w:pStyle w:val="FootnoteText"/>
        <w:rPr>
          <w:rFonts w:ascii="Arial" w:hAnsi="Arial" w:cs="Arial"/>
          <w:sz w:val="16"/>
          <w:szCs w:val="16"/>
        </w:rPr>
      </w:pPr>
    </w:p>
  </w:footnote>
  <w:footnote w:id="26">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r>
      <w:hyperlink r:id="rId6" w:history="1">
        <w:r w:rsidRPr="00922501">
          <w:rPr>
            <w:rStyle w:val="Hyperlink"/>
          </w:rPr>
          <w:t>http://etisc.wipo.org</w:t>
        </w:r>
      </w:hyperlink>
      <w:r w:rsidRPr="00A9776E">
        <w:rPr>
          <w:rStyle w:val="Hyperlink"/>
          <w:color w:val="auto"/>
          <w:u w:val="none"/>
        </w:rPr>
        <w:t>.</w:t>
      </w:r>
    </w:p>
  </w:footnote>
  <w:footnote w:id="27">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r>
      <w:hyperlink r:id="rId7" w:history="1">
        <w:r w:rsidRPr="00D32A9C">
          <w:rPr>
            <w:rStyle w:val="Hyperlink"/>
          </w:rPr>
          <w:t>http://www.wipo.int/tisc/etutorial</w:t>
        </w:r>
      </w:hyperlink>
      <w:r w:rsidRPr="00A9776E">
        <w:rPr>
          <w:rFonts w:ascii="Arial" w:hAnsi="Arial" w:cs="Arial"/>
          <w:sz w:val="16"/>
          <w:szCs w:val="16"/>
        </w:rPr>
        <w:t>.</w:t>
      </w:r>
    </w:p>
  </w:footnote>
  <w:footnote w:id="28">
    <w:p w:rsidR="00F7033E" w:rsidRPr="00A9776E" w:rsidRDefault="00F7033E" w:rsidP="00784E52">
      <w:pPr>
        <w:pStyle w:val="FootnoteText"/>
        <w:rPr>
          <w:rFonts w:ascii="Arial" w:hAnsi="Arial" w:cs="Arial"/>
          <w:sz w:val="16"/>
          <w:szCs w:val="16"/>
        </w:rPr>
      </w:pPr>
      <w:r w:rsidRPr="00A9776E">
        <w:rPr>
          <w:rStyle w:val="Hyperlink"/>
          <w:color w:val="auto"/>
          <w:u w:val="none"/>
          <w:vertAlign w:val="superscript"/>
        </w:rPr>
        <w:footnoteRef/>
      </w:r>
      <w:r w:rsidRPr="00A9776E">
        <w:rPr>
          <w:rStyle w:val="Hyperlink"/>
          <w:color w:val="auto"/>
          <w:u w:val="none"/>
          <w:vertAlign w:val="superscript"/>
        </w:rPr>
        <w:t xml:space="preserve">  </w:t>
      </w:r>
      <w:r w:rsidRPr="00A9776E">
        <w:rPr>
          <w:rStyle w:val="Hyperlink"/>
          <w:color w:val="auto"/>
          <w:u w:val="none"/>
          <w:vertAlign w:val="superscript"/>
        </w:rPr>
        <w:tab/>
      </w:r>
      <w:hyperlink r:id="rId8" w:history="1">
        <w:r w:rsidRPr="00922501">
          <w:rPr>
            <w:rStyle w:val="Hyperlink"/>
          </w:rPr>
          <w:t>http://www.wipo.int/tisc/fr/etutoria</w:t>
        </w:r>
        <w:r w:rsidRPr="00D32A9C">
          <w:rPr>
            <w:rStyle w:val="Hyperlink"/>
            <w:color w:val="0000FF"/>
          </w:rPr>
          <w:t>l</w:t>
        </w:r>
      </w:hyperlink>
      <w:r w:rsidRPr="00A9776E">
        <w:rPr>
          <w:rStyle w:val="Hyperlink"/>
          <w:color w:val="auto"/>
          <w:u w:val="none"/>
        </w:rPr>
        <w:t>.</w:t>
      </w:r>
    </w:p>
  </w:footnote>
  <w:footnote w:id="29">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r>
      <w:hyperlink r:id="rId9" w:history="1">
        <w:r w:rsidRPr="00922501">
          <w:rPr>
            <w:rStyle w:val="Hyperlink"/>
          </w:rPr>
          <w:t>http://www.wipo.int/export/sites/www/freepublications/en/patents/948/wipo_pub_948_4.pdf</w:t>
        </w:r>
      </w:hyperlink>
      <w:r w:rsidRPr="00A9776E">
        <w:rPr>
          <w:rFonts w:ascii="Arial" w:hAnsi="Arial" w:cs="Arial"/>
          <w:sz w:val="16"/>
          <w:szCs w:val="16"/>
        </w:rPr>
        <w:t>.</w:t>
      </w:r>
    </w:p>
  </w:footnote>
  <w:footnote w:id="30">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 xml:space="preserve">Rectificatif : les chiffres du niveau de référence actualisé pour l’Afrique et les pays arabes ont été inversés dans la publication du rapport sur l’exécution du programme en 2012 (WO/PBC/2012).  Ces chiffres ont été corrigés. </w:t>
      </w:r>
    </w:p>
  </w:footnote>
  <w:footnote w:id="31">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 xml:space="preserve">50 offices sur un total de 80 à être entièrement automatisés. </w:t>
      </w:r>
    </w:p>
  </w:footnote>
  <w:footnote w:id="32">
    <w:p w:rsidR="00F7033E" w:rsidRPr="00755C5C" w:rsidRDefault="00F7033E">
      <w:pPr>
        <w:pStyle w:val="FootnoteText"/>
        <w:rPr>
          <w:rFonts w:ascii="Arial" w:hAnsi="Arial" w:cs="Arial"/>
          <w:sz w:val="16"/>
          <w:szCs w:val="16"/>
          <w:lang w:val="fr-CH"/>
        </w:rPr>
      </w:pPr>
      <w:r w:rsidRPr="00755C5C">
        <w:rPr>
          <w:rStyle w:val="FootnoteReference"/>
          <w:rFonts w:ascii="Arial" w:hAnsi="Arial" w:cs="Arial"/>
          <w:sz w:val="16"/>
          <w:szCs w:val="16"/>
        </w:rPr>
        <w:footnoteRef/>
      </w:r>
      <w:r w:rsidRPr="00755C5C">
        <w:rPr>
          <w:rFonts w:ascii="Arial" w:hAnsi="Arial" w:cs="Arial"/>
          <w:sz w:val="16"/>
          <w:szCs w:val="16"/>
        </w:rPr>
        <w:t xml:space="preserve"> </w:t>
      </w:r>
      <w:r>
        <w:rPr>
          <w:rFonts w:ascii="Arial" w:hAnsi="Arial" w:cs="Arial"/>
          <w:sz w:val="16"/>
          <w:szCs w:val="16"/>
        </w:rPr>
        <w:tab/>
        <w:t>Les niveaux de référence et objectifs concernant les indicateurs d’exécution n’ont pu être établis en raison de l’inexistence d’un instrument de suivi statistique fiable fondé sur le Web.</w:t>
      </w:r>
    </w:p>
  </w:footnote>
  <w:footnote w:id="33">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http://www.wipo.int/export/sites/www/freepublications/en/intproperty/941/wipo_pub_941_2013.pdf.</w:t>
      </w:r>
    </w:p>
  </w:footnote>
  <w:footnote w:id="34">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http://www.wipo.int/export/sites/www/freepublications/en/statistics/943/wipo_pub_943_2013.pdf.</w:t>
      </w:r>
    </w:p>
  </w:footnote>
  <w:footnote w:id="35">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http://www.wipo.int/export/sites/www/freepublications/en/intproperty/944/wipo_pub_944_2013.pdf.</w:t>
      </w:r>
    </w:p>
  </w:footnote>
  <w:footnote w:id="36">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http://www.wipo.int/policy/en/global_health/trilateral_cooperation.html.</w:t>
      </w:r>
    </w:p>
  </w:footnote>
  <w:footnote w:id="37">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r>
      <w:hyperlink r:id="rId10" w:history="1">
        <w:r w:rsidRPr="00866763">
          <w:rPr>
            <w:rStyle w:val="Hyperlink"/>
          </w:rPr>
          <w:t>http://www.wipo.int/policy/en/global_health/trilateral_cooperation.html</w:t>
        </w:r>
      </w:hyperlink>
      <w:r w:rsidRPr="00A9776E">
        <w:rPr>
          <w:rFonts w:ascii="Arial" w:hAnsi="Arial" w:cs="Arial"/>
          <w:sz w:val="16"/>
          <w:szCs w:val="16"/>
        </w:rPr>
        <w:t>.</w:t>
      </w:r>
    </w:p>
  </w:footnote>
  <w:footnote w:id="38">
    <w:p w:rsidR="00F7033E" w:rsidRPr="00A9776E" w:rsidRDefault="00F7033E" w:rsidP="00784E52">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 xml:space="preserve">Rectificatif : 13 collaborations étaient en cours fin 2012 (comme indiqué dans le rapport sur l’exécution du programme en 2012), mais seules deux collaborations avaient effectivement intégré l’accord de non-divulgation.  L’accord de collaboration effectif n’a été signé qu’en 2013.  À ce titre, les données ont été modifiées en conséquence. </w:t>
      </w:r>
    </w:p>
  </w:footnote>
  <w:footnote w:id="39">
    <w:p w:rsidR="00F7033E" w:rsidRPr="00A9776E" w:rsidRDefault="00F7033E" w:rsidP="00C82EE5">
      <w:pPr>
        <w:pStyle w:val="FootnoteText"/>
        <w:rPr>
          <w:rFonts w:ascii="Arial" w:hAnsi="Arial" w:cs="Arial"/>
          <w:sz w:val="16"/>
          <w:szCs w:val="16"/>
        </w:rPr>
      </w:pPr>
    </w:p>
  </w:footnote>
  <w:footnote w:id="40">
    <w:p w:rsidR="00F7033E" w:rsidRPr="00311A3B" w:rsidRDefault="00F7033E" w:rsidP="00C82EE5">
      <w:pPr>
        <w:pStyle w:val="FootnoteText"/>
        <w:rPr>
          <w:rFonts w:ascii="Arial" w:hAnsi="Arial" w:cs="Arial"/>
          <w:sz w:val="16"/>
          <w:szCs w:val="16"/>
        </w:rPr>
      </w:pPr>
      <w:r w:rsidRPr="00311A3B">
        <w:rPr>
          <w:rFonts w:ascii="Arial" w:hAnsi="Arial" w:cs="Arial"/>
          <w:sz w:val="16"/>
          <w:szCs w:val="16"/>
          <w:vertAlign w:val="superscript"/>
        </w:rPr>
        <w:t>[1]</w:t>
      </w:r>
      <w:r w:rsidRPr="00311A3B">
        <w:rPr>
          <w:rFonts w:ascii="Arial" w:hAnsi="Arial" w:cs="Arial"/>
          <w:sz w:val="16"/>
          <w:szCs w:val="16"/>
        </w:rPr>
        <w:t xml:space="preserve"> </w:t>
      </w:r>
      <w:r w:rsidRPr="00311A3B">
        <w:rPr>
          <w:rFonts w:ascii="Arial" w:hAnsi="Arial" w:cs="Arial"/>
          <w:sz w:val="16"/>
          <w:szCs w:val="16"/>
        </w:rPr>
        <w:tab/>
        <w:t>Une moyenne des réponses à l’enquête sur les valeurs essentielles concernant la perception par le personnel de l’OMPI de l’orientation vers les services en interne (51,4%) et de l’orientation vers les services à l’externe (61,5%) comme étant excellentes ou bonnes conformément à la grille d’évaluation des résultats 2012 (</w:t>
      </w:r>
      <w:r w:rsidRPr="00311A3B">
        <w:rPr>
          <w:rFonts w:ascii="Arial" w:hAnsi="Arial" w:cs="Arial"/>
          <w:sz w:val="16"/>
          <w:szCs w:val="16"/>
          <w:u w:val="single"/>
        </w:rPr>
        <w:t>http://www.wipo.int/about-wipo/en/strategic_realignment/results_framework.html</w:t>
      </w:r>
      <w:r w:rsidRPr="00311A3B">
        <w:rPr>
          <w:rFonts w:ascii="Arial" w:hAnsi="Arial" w:cs="Arial"/>
          <w:sz w:val="16"/>
          <w:szCs w:val="16"/>
        </w:rPr>
        <w:t>).</w:t>
      </w:r>
    </w:p>
  </w:footnote>
  <w:footnote w:id="41">
    <w:p w:rsidR="00F7033E" w:rsidRPr="00311A3B" w:rsidRDefault="00F7033E" w:rsidP="00C82EE5">
      <w:pPr>
        <w:pStyle w:val="FootnoteText"/>
        <w:rPr>
          <w:rFonts w:ascii="Arial" w:hAnsi="Arial" w:cs="Arial"/>
          <w:sz w:val="16"/>
          <w:szCs w:val="16"/>
        </w:rPr>
      </w:pPr>
      <w:r w:rsidRPr="00311A3B">
        <w:rPr>
          <w:rFonts w:ascii="Arial" w:hAnsi="Arial" w:cs="Arial"/>
          <w:sz w:val="16"/>
          <w:szCs w:val="16"/>
          <w:vertAlign w:val="superscript"/>
        </w:rPr>
        <w:t>[2]</w:t>
      </w:r>
      <w:r w:rsidRPr="00311A3B">
        <w:rPr>
          <w:rFonts w:ascii="Arial" w:hAnsi="Arial" w:cs="Arial"/>
          <w:sz w:val="16"/>
          <w:szCs w:val="16"/>
        </w:rPr>
        <w:t xml:space="preserve"> </w:t>
      </w:r>
      <w:r w:rsidRPr="00311A3B">
        <w:rPr>
          <w:rFonts w:ascii="Arial" w:hAnsi="Arial" w:cs="Arial"/>
          <w:sz w:val="16"/>
          <w:szCs w:val="16"/>
        </w:rPr>
        <w:tab/>
        <w:t>Une moyenne des réponses aux questions de l’enquête sur les valeurs essentielles concernant l’éthique (70,3%) et l’environnement (69,8%) conformément à la grille d’évaluation des résultats 2012 (</w:t>
      </w:r>
      <w:r w:rsidRPr="00311A3B">
        <w:rPr>
          <w:rFonts w:ascii="Arial" w:hAnsi="Arial" w:cs="Arial"/>
          <w:sz w:val="16"/>
          <w:szCs w:val="16"/>
          <w:u w:val="single"/>
        </w:rPr>
        <w:t>http://www.wipo.int/about-wipo/en/strategic_realignment/results_framework.html</w:t>
      </w:r>
      <w:r w:rsidRPr="00311A3B">
        <w:rPr>
          <w:rFonts w:ascii="Arial" w:hAnsi="Arial" w:cs="Arial"/>
          <w:sz w:val="16"/>
          <w:szCs w:val="16"/>
        </w:rPr>
        <w:t>).</w:t>
      </w:r>
    </w:p>
  </w:footnote>
  <w:footnote w:id="42">
    <w:p w:rsidR="00F7033E" w:rsidRPr="00A9776E" w:rsidRDefault="00F7033E" w:rsidP="004007D3">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Notée précédemment comme présentant un “risque très élevé” - WO/PBC/19/10 du 31 juillet 2012 - paragraphes 30 et 40.</w:t>
      </w:r>
    </w:p>
  </w:footnote>
  <w:footnote w:id="43">
    <w:p w:rsidR="00F7033E" w:rsidRPr="00A9776E" w:rsidRDefault="00F7033E" w:rsidP="004007D3">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WO/</w:t>
      </w:r>
      <w:proofErr w:type="spellStart"/>
      <w:r w:rsidRPr="00A9776E">
        <w:rPr>
          <w:rFonts w:ascii="Arial" w:hAnsi="Arial" w:cs="Arial"/>
          <w:sz w:val="16"/>
          <w:szCs w:val="16"/>
        </w:rPr>
        <w:t>IAOC</w:t>
      </w:r>
      <w:proofErr w:type="spellEnd"/>
      <w:r w:rsidRPr="00A9776E">
        <w:rPr>
          <w:rFonts w:ascii="Arial" w:hAnsi="Arial" w:cs="Arial"/>
          <w:sz w:val="16"/>
          <w:szCs w:val="16"/>
        </w:rPr>
        <w:t>/31/2 du 6 décembre 2013 – paragraphe 26.</w:t>
      </w:r>
    </w:p>
  </w:footnote>
  <w:footnote w:id="44">
    <w:p w:rsidR="00F7033E" w:rsidRPr="00A9776E" w:rsidRDefault="00F7033E" w:rsidP="004007D3">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r>
      <w:r w:rsidRPr="00A9776E">
        <w:rPr>
          <w:rFonts w:ascii="Arial" w:hAnsi="Arial" w:cs="Arial"/>
          <w:spacing w:val="-2"/>
          <w:sz w:val="16"/>
          <w:szCs w:val="16"/>
        </w:rPr>
        <w:t>Exception faite des mots révisés dans le cadre du processus de contrôle qualité (révision et relecture) pour les documents traduits.</w:t>
      </w:r>
    </w:p>
  </w:footnote>
  <w:footnote w:id="45">
    <w:p w:rsidR="00F7033E" w:rsidRPr="00A9776E" w:rsidRDefault="00F7033E" w:rsidP="004007D3">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Idem.</w:t>
      </w:r>
    </w:p>
  </w:footnote>
  <w:footnote w:id="46">
    <w:p w:rsidR="00F7033E" w:rsidRPr="00A9776E" w:rsidRDefault="00F7033E" w:rsidP="004007D3">
      <w:pPr>
        <w:pStyle w:val="FootnoteText"/>
        <w:rPr>
          <w:rFonts w:ascii="Arial" w:hAnsi="Arial" w:cs="Arial"/>
          <w:sz w:val="16"/>
          <w:szCs w:val="16"/>
        </w:rPr>
      </w:pPr>
      <w:r w:rsidRPr="00A9776E">
        <w:rPr>
          <w:rFonts w:ascii="Arial" w:hAnsi="Arial" w:cs="Arial"/>
          <w:sz w:val="16"/>
          <w:szCs w:val="16"/>
          <w:vertAlign w:val="superscript"/>
        </w:rPr>
        <w:footnoteRef/>
      </w:r>
      <w:r w:rsidRPr="00A9776E">
        <w:rPr>
          <w:rFonts w:ascii="Arial" w:hAnsi="Arial" w:cs="Arial"/>
          <w:sz w:val="16"/>
          <w:szCs w:val="16"/>
        </w:rPr>
        <w:t xml:space="preserve"> </w:t>
      </w:r>
      <w:r w:rsidRPr="00A9776E">
        <w:rPr>
          <w:rFonts w:ascii="Arial" w:hAnsi="Arial" w:cs="Arial"/>
          <w:sz w:val="16"/>
          <w:szCs w:val="16"/>
        </w:rPr>
        <w:tab/>
        <w:t>La date d’achèvement prévue a encore été modifiée début 2014 à juillet 2014.</w:t>
      </w:r>
    </w:p>
  </w:footnote>
  <w:footnote w:id="47">
    <w:p w:rsidR="00F7033E" w:rsidRPr="00A9776E" w:rsidRDefault="00F7033E" w:rsidP="004007D3">
      <w:pPr>
        <w:pStyle w:val="FootnoteText"/>
        <w:rPr>
          <w:rFonts w:ascii="Arial" w:hAnsi="Arial" w:cs="Arial"/>
          <w:sz w:val="16"/>
          <w:szCs w:val="16"/>
        </w:rPr>
      </w:pPr>
      <w:r w:rsidRPr="00A9776E">
        <w:rPr>
          <w:rFonts w:ascii="Arial" w:hAnsi="Arial" w:cs="Arial"/>
          <w:sz w:val="16"/>
          <w:szCs w:val="16"/>
          <w:vertAlign w:val="superscript"/>
        </w:rPr>
        <w:footnoteRef/>
      </w:r>
      <w:r w:rsidRPr="00A9776E">
        <w:rPr>
          <w:rFonts w:ascii="Arial" w:hAnsi="Arial" w:cs="Arial"/>
          <w:sz w:val="16"/>
          <w:szCs w:val="16"/>
        </w:rPr>
        <w:t xml:space="preserve"> </w:t>
      </w:r>
      <w:r w:rsidRPr="00A9776E">
        <w:rPr>
          <w:rFonts w:ascii="Arial" w:hAnsi="Arial" w:cs="Arial"/>
          <w:sz w:val="16"/>
          <w:szCs w:val="16"/>
        </w:rPr>
        <w:tab/>
        <w:t>Idem.</w:t>
      </w:r>
    </w:p>
  </w:footnote>
  <w:footnote w:id="48">
    <w:p w:rsidR="00F7033E" w:rsidRPr="00A9776E" w:rsidRDefault="00F7033E" w:rsidP="004007D3">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Examen de la procédure budgétaire appliquée aux projets proposés par le Comité du développement et de la propriété intellectuelle (CDIP) pour la mise en œuvre des recommandations relatives au Plan d’action pour le développement (A/48/5 </w:t>
      </w:r>
      <w:proofErr w:type="spellStart"/>
      <w:r w:rsidRPr="00A9776E">
        <w:rPr>
          <w:rFonts w:ascii="Arial" w:hAnsi="Arial" w:cs="Arial"/>
          <w:sz w:val="16"/>
          <w:szCs w:val="16"/>
        </w:rPr>
        <w:t>Rev</w:t>
      </w:r>
      <w:proofErr w:type="spellEnd"/>
      <w:r w:rsidRPr="00A9776E">
        <w:rPr>
          <w:rFonts w:ascii="Arial" w:hAnsi="Arial" w:cs="Arial"/>
          <w:sz w:val="16"/>
          <w:szCs w:val="16"/>
        </w:rPr>
        <w:t>.).</w:t>
      </w:r>
    </w:p>
  </w:footnote>
  <w:footnote w:id="49">
    <w:p w:rsidR="00F7033E" w:rsidRPr="00A9776E" w:rsidRDefault="00F7033E" w:rsidP="004007D3">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La date d’achèvement du programme est le 28 février 2014.</w:t>
      </w:r>
    </w:p>
  </w:footnote>
  <w:footnote w:id="50">
    <w:p w:rsidR="00F7033E" w:rsidRPr="00A9776E" w:rsidRDefault="00F7033E" w:rsidP="004007D3">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En octobre 2012, un mémorandum créant le fonds fiduciaires/</w:t>
      </w:r>
      <w:proofErr w:type="spellStart"/>
      <w:r w:rsidRPr="00A9776E">
        <w:rPr>
          <w:rFonts w:ascii="Arial" w:hAnsi="Arial" w:cs="Arial"/>
          <w:sz w:val="16"/>
          <w:szCs w:val="16"/>
        </w:rPr>
        <w:t>IBERO</w:t>
      </w:r>
      <w:proofErr w:type="spellEnd"/>
      <w:r w:rsidRPr="00A9776E">
        <w:rPr>
          <w:rFonts w:ascii="Arial" w:hAnsi="Arial" w:cs="Arial"/>
          <w:sz w:val="16"/>
          <w:szCs w:val="16"/>
        </w:rPr>
        <w:t xml:space="preserve"> a été signé en tant qu’instrument financier du programme ibéro-américain de la propriété industrielle.</w:t>
      </w:r>
    </w:p>
  </w:footnote>
  <w:footnote w:id="51">
    <w:p w:rsidR="00F7033E" w:rsidRPr="00A9776E" w:rsidRDefault="00F7033E" w:rsidP="004007D3">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La procédure de recrutement devrait se terminer en juin 2014.</w:t>
      </w:r>
    </w:p>
  </w:footnote>
  <w:footnote w:id="52">
    <w:p w:rsidR="00F7033E" w:rsidRPr="00A9776E" w:rsidRDefault="00F7033E" w:rsidP="004007D3">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 xml:space="preserve">Date d’achèvement prévue : </w:t>
      </w:r>
      <w:r>
        <w:rPr>
          <w:rFonts w:ascii="Arial" w:hAnsi="Arial" w:cs="Arial"/>
          <w:sz w:val="16"/>
          <w:szCs w:val="16"/>
        </w:rPr>
        <w:t>octobre</w:t>
      </w:r>
      <w:r w:rsidRPr="00A9776E">
        <w:rPr>
          <w:rFonts w:ascii="Arial" w:hAnsi="Arial" w:cs="Arial"/>
          <w:sz w:val="16"/>
          <w:szCs w:val="16"/>
        </w:rPr>
        <w:t> 2014.</w:t>
      </w:r>
    </w:p>
  </w:footnote>
  <w:footnote w:id="53">
    <w:p w:rsidR="00F7033E" w:rsidRPr="00A9776E" w:rsidRDefault="00F7033E" w:rsidP="004007D3">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Date d’achèvement prévue : avril 2014.</w:t>
      </w:r>
    </w:p>
  </w:footnote>
  <w:footnote w:id="54">
    <w:p w:rsidR="00F7033E" w:rsidRPr="00A9776E" w:rsidRDefault="00F7033E" w:rsidP="004007D3">
      <w:pPr>
        <w:pStyle w:val="FootnoteText"/>
        <w:rPr>
          <w:rFonts w:ascii="Arial" w:hAnsi="Arial" w:cs="Arial"/>
          <w:sz w:val="16"/>
          <w:szCs w:val="16"/>
        </w:rPr>
      </w:pPr>
      <w:r w:rsidRPr="00A9776E">
        <w:rPr>
          <w:rStyle w:val="FootnoteReference"/>
          <w:rFonts w:ascii="Arial" w:hAnsi="Arial" w:cs="Arial"/>
          <w:sz w:val="16"/>
          <w:szCs w:val="16"/>
        </w:rPr>
        <w:footnoteRef/>
      </w:r>
      <w:r w:rsidRPr="00A9776E">
        <w:rPr>
          <w:rFonts w:ascii="Arial" w:hAnsi="Arial" w:cs="Arial"/>
          <w:sz w:val="16"/>
          <w:szCs w:val="16"/>
        </w:rPr>
        <w:t xml:space="preserve"> </w:t>
      </w:r>
      <w:r w:rsidRPr="00A9776E">
        <w:rPr>
          <w:rFonts w:ascii="Arial" w:hAnsi="Arial" w:cs="Arial"/>
          <w:sz w:val="16"/>
          <w:szCs w:val="16"/>
        </w:rPr>
        <w:tab/>
        <w:t>Idem.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33E" w:rsidRDefault="00F7033E" w:rsidP="00BB3F3E">
    <w:pPr>
      <w:jc w:val="right"/>
    </w:pPr>
  </w:p>
  <w:p w:rsidR="00F7033E" w:rsidRDefault="00F7033E" w:rsidP="00BB3F3E">
    <w:pPr>
      <w:jc w:val="right"/>
    </w:pPr>
  </w:p>
  <w:p w:rsidR="00F7033E" w:rsidRDefault="00F7033E" w:rsidP="00BB3F3E">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33E" w:rsidRDefault="00F7033E" w:rsidP="00BB3F3E">
    <w:pPr>
      <w:pStyle w:val="Header"/>
      <w:jc w:val="right"/>
    </w:pPr>
    <w:r>
      <w:t>WO/PBC/22/8 </w:t>
    </w:r>
    <w:proofErr w:type="spellStart"/>
    <w:r>
      <w:t>Rev.</w:t>
    </w:r>
    <w:r w:rsidR="009B1D84">
      <w:t>2</w:t>
    </w:r>
    <w:proofErr w:type="spellEnd"/>
  </w:p>
  <w:p w:rsidR="00F7033E" w:rsidRDefault="00F7033E" w:rsidP="00BB3F3E">
    <w:pPr>
      <w:pStyle w:val="Header"/>
      <w:jc w:val="right"/>
    </w:pPr>
    <w:proofErr w:type="gramStart"/>
    <w:r>
      <w:t>page</w:t>
    </w:r>
    <w:proofErr w:type="gramEnd"/>
    <w:r>
      <w:t> </w:t>
    </w:r>
    <w:r>
      <w:fldChar w:fldCharType="begin"/>
    </w:r>
    <w:r>
      <w:instrText>PAGE   \* MERGEFORMAT</w:instrText>
    </w:r>
    <w:r>
      <w:fldChar w:fldCharType="separate"/>
    </w:r>
    <w:r w:rsidR="005B5604">
      <w:rPr>
        <w:noProof/>
      </w:rPr>
      <w:t>3</w:t>
    </w:r>
    <w:r>
      <w:fldChar w:fldCharType="end"/>
    </w:r>
  </w:p>
  <w:p w:rsidR="00F7033E" w:rsidRDefault="00F7033E" w:rsidP="00BB3F3E">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33E" w:rsidRDefault="00F7033E" w:rsidP="00BB3F3E">
    <w:pPr>
      <w:pStyle w:val="Header"/>
      <w:rPr>
        <w:rFonts w:cs="Arial"/>
        <w:sz w:val="18"/>
        <w:szCs w:val="18"/>
      </w:rPr>
    </w:pPr>
  </w:p>
  <w:p w:rsidR="00F7033E" w:rsidRPr="00101F3F" w:rsidRDefault="00F7033E" w:rsidP="00BB3F3E">
    <w:pPr>
      <w:pStyle w:val="Header"/>
      <w:jc w:val="right"/>
      <w:rPr>
        <w:rFonts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33E" w:rsidRPr="00B470C6" w:rsidRDefault="00F7033E" w:rsidP="00B470C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33E" w:rsidRDefault="00F7033E" w:rsidP="00BB3F3E">
    <w:pPr>
      <w:pStyle w:val="Header"/>
      <w:jc w:val="right"/>
      <w:rPr>
        <w:rFonts w:cs="Arial"/>
        <w:b/>
        <w:sz w:val="18"/>
        <w:szCs w:val="18"/>
      </w:rPr>
    </w:pPr>
    <w:r>
      <w:rPr>
        <w:b/>
        <w:sz w:val="18"/>
      </w:rPr>
      <w:t>Rapport sur l’exécution du programme en 2012-2013</w:t>
    </w:r>
  </w:p>
  <w:p w:rsidR="00F7033E" w:rsidRDefault="00F7033E" w:rsidP="00BB3F3E">
    <w:pPr>
      <w:pStyle w:val="Header"/>
      <w:jc w:val="right"/>
      <w:rPr>
        <w:rFonts w:cs="Arial"/>
        <w:b/>
        <w:sz w:val="18"/>
        <w:szCs w:val="18"/>
      </w:rPr>
    </w:pPr>
  </w:p>
  <w:p w:rsidR="00F7033E" w:rsidRPr="00101F3F" w:rsidRDefault="00F7033E" w:rsidP="00BB3F3E">
    <w:pPr>
      <w:pStyle w:val="Header"/>
      <w:jc w:val="right"/>
      <w:rPr>
        <w:rFonts w:cs="Arial"/>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33E" w:rsidRPr="00312A2D" w:rsidRDefault="00F7033E" w:rsidP="0056083E">
    <w:pPr>
      <w:pStyle w:val="Header"/>
      <w:jc w:val="right"/>
      <w:rPr>
        <w:rFonts w:cs="Arial"/>
        <w:b/>
        <w:sz w:val="18"/>
        <w:szCs w:val="18"/>
      </w:rPr>
    </w:pPr>
    <w:r>
      <w:rPr>
        <w:b/>
        <w:sz w:val="18"/>
      </w:rPr>
      <w:t>Rapport sur l’exécution du programme en 2012-2013</w:t>
    </w:r>
  </w:p>
  <w:p w:rsidR="00F7033E" w:rsidRDefault="00F7033E" w:rsidP="0056083E">
    <w:pPr>
      <w:pStyle w:val="Header"/>
      <w:jc w:val="right"/>
      <w:rPr>
        <w:rFonts w:cs="Arial"/>
        <w:sz w:val="18"/>
        <w:szCs w:val="18"/>
      </w:rPr>
    </w:pPr>
  </w:p>
  <w:p w:rsidR="00F7033E" w:rsidRPr="00101F3F" w:rsidRDefault="00F7033E" w:rsidP="0056083E">
    <w:pPr>
      <w:pStyle w:val="Header"/>
      <w:jc w:val="right"/>
      <w:rPr>
        <w:rFonts w:cs="Arial"/>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33E" w:rsidRPr="00312A2D" w:rsidRDefault="00F7033E" w:rsidP="0056083E">
    <w:pPr>
      <w:pStyle w:val="Header"/>
      <w:jc w:val="right"/>
      <w:rPr>
        <w:rFonts w:cs="Arial"/>
        <w:b/>
        <w:sz w:val="18"/>
        <w:szCs w:val="18"/>
      </w:rPr>
    </w:pPr>
    <w:r>
      <w:rPr>
        <w:b/>
        <w:sz w:val="18"/>
      </w:rPr>
      <w:t>Rapport sur l’exécution du programme 2012-2013</w:t>
    </w:r>
  </w:p>
  <w:p w:rsidR="00F7033E" w:rsidRDefault="00F7033E" w:rsidP="0056083E">
    <w:pPr>
      <w:pStyle w:val="Header"/>
      <w:jc w:val="right"/>
      <w:rPr>
        <w:rFonts w:cs="Arial"/>
        <w:sz w:val="18"/>
        <w:szCs w:val="18"/>
      </w:rPr>
    </w:pPr>
  </w:p>
  <w:p w:rsidR="00F7033E" w:rsidRPr="00101F3F" w:rsidRDefault="00F7033E" w:rsidP="0056083E">
    <w:pPr>
      <w:pStyle w:val="Header"/>
      <w:jc w:val="right"/>
      <w:rPr>
        <w:rFonts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1EB6"/>
    <w:multiLevelType w:val="hybridMultilevel"/>
    <w:tmpl w:val="1BD04E24"/>
    <w:lvl w:ilvl="0" w:tplc="357AD662">
      <w:start w:val="1"/>
      <w:numFmt w:val="decimal"/>
      <w:lvlText w:val="11.%1."/>
      <w:lvlJc w:val="left"/>
      <w:pPr>
        <w:ind w:left="720" w:hanging="360"/>
      </w:pPr>
      <w:rPr>
        <w:rFonts w:hint="default"/>
      </w:rPr>
    </w:lvl>
    <w:lvl w:ilvl="1" w:tplc="EBEC4276" w:tentative="1">
      <w:start w:val="1"/>
      <w:numFmt w:val="lowerLetter"/>
      <w:lvlText w:val="%2."/>
      <w:lvlJc w:val="left"/>
      <w:pPr>
        <w:ind w:left="1440" w:hanging="360"/>
      </w:pPr>
    </w:lvl>
    <w:lvl w:ilvl="2" w:tplc="330A8010" w:tentative="1">
      <w:start w:val="1"/>
      <w:numFmt w:val="lowerRoman"/>
      <w:lvlText w:val="%3."/>
      <w:lvlJc w:val="right"/>
      <w:pPr>
        <w:ind w:left="2160" w:hanging="180"/>
      </w:pPr>
    </w:lvl>
    <w:lvl w:ilvl="3" w:tplc="4EC075A6" w:tentative="1">
      <w:start w:val="1"/>
      <w:numFmt w:val="decimal"/>
      <w:lvlText w:val="%4."/>
      <w:lvlJc w:val="left"/>
      <w:pPr>
        <w:ind w:left="2880" w:hanging="360"/>
      </w:pPr>
    </w:lvl>
    <w:lvl w:ilvl="4" w:tplc="BE381B82" w:tentative="1">
      <w:start w:val="1"/>
      <w:numFmt w:val="lowerLetter"/>
      <w:lvlText w:val="%5."/>
      <w:lvlJc w:val="left"/>
      <w:pPr>
        <w:ind w:left="3600" w:hanging="360"/>
      </w:pPr>
    </w:lvl>
    <w:lvl w:ilvl="5" w:tplc="AE568E9A" w:tentative="1">
      <w:start w:val="1"/>
      <w:numFmt w:val="lowerRoman"/>
      <w:lvlText w:val="%6."/>
      <w:lvlJc w:val="right"/>
      <w:pPr>
        <w:ind w:left="4320" w:hanging="180"/>
      </w:pPr>
    </w:lvl>
    <w:lvl w:ilvl="6" w:tplc="30DCB3F2" w:tentative="1">
      <w:start w:val="1"/>
      <w:numFmt w:val="decimal"/>
      <w:lvlText w:val="%7."/>
      <w:lvlJc w:val="left"/>
      <w:pPr>
        <w:ind w:left="5040" w:hanging="360"/>
      </w:pPr>
    </w:lvl>
    <w:lvl w:ilvl="7" w:tplc="EE420DB2" w:tentative="1">
      <w:start w:val="1"/>
      <w:numFmt w:val="lowerLetter"/>
      <w:lvlText w:val="%8."/>
      <w:lvlJc w:val="left"/>
      <w:pPr>
        <w:ind w:left="5760" w:hanging="360"/>
      </w:pPr>
    </w:lvl>
    <w:lvl w:ilvl="8" w:tplc="E438C13C" w:tentative="1">
      <w:start w:val="1"/>
      <w:numFmt w:val="lowerRoman"/>
      <w:lvlText w:val="%9."/>
      <w:lvlJc w:val="right"/>
      <w:pPr>
        <w:ind w:left="6480" w:hanging="180"/>
      </w:pPr>
    </w:lvl>
  </w:abstractNum>
  <w:abstractNum w:abstractNumId="1">
    <w:nsid w:val="03214558"/>
    <w:multiLevelType w:val="hybridMultilevel"/>
    <w:tmpl w:val="46F82366"/>
    <w:lvl w:ilvl="0" w:tplc="21B6A314">
      <w:start w:val="1"/>
      <w:numFmt w:val="bullet"/>
      <w:lvlText w:val=""/>
      <w:lvlJc w:val="left"/>
      <w:pPr>
        <w:ind w:left="720" w:hanging="360"/>
      </w:pPr>
      <w:rPr>
        <w:rFonts w:ascii="Symbol" w:hAnsi="Symbol" w:hint="default"/>
      </w:rPr>
    </w:lvl>
    <w:lvl w:ilvl="1" w:tplc="AE441946" w:tentative="1">
      <w:start w:val="1"/>
      <w:numFmt w:val="bullet"/>
      <w:lvlText w:val="o"/>
      <w:lvlJc w:val="left"/>
      <w:pPr>
        <w:ind w:left="1440" w:hanging="360"/>
      </w:pPr>
      <w:rPr>
        <w:rFonts w:ascii="Courier New" w:hAnsi="Courier New" w:cs="Courier New" w:hint="default"/>
      </w:rPr>
    </w:lvl>
    <w:lvl w:ilvl="2" w:tplc="F22297EE" w:tentative="1">
      <w:start w:val="1"/>
      <w:numFmt w:val="bullet"/>
      <w:lvlText w:val=""/>
      <w:lvlJc w:val="left"/>
      <w:pPr>
        <w:ind w:left="2160" w:hanging="360"/>
      </w:pPr>
      <w:rPr>
        <w:rFonts w:ascii="Wingdings" w:hAnsi="Wingdings" w:hint="default"/>
      </w:rPr>
    </w:lvl>
    <w:lvl w:ilvl="3" w:tplc="F828D1CC" w:tentative="1">
      <w:start w:val="1"/>
      <w:numFmt w:val="bullet"/>
      <w:lvlText w:val=""/>
      <w:lvlJc w:val="left"/>
      <w:pPr>
        <w:ind w:left="2880" w:hanging="360"/>
      </w:pPr>
      <w:rPr>
        <w:rFonts w:ascii="Symbol" w:hAnsi="Symbol" w:hint="default"/>
      </w:rPr>
    </w:lvl>
    <w:lvl w:ilvl="4" w:tplc="3F1C752C" w:tentative="1">
      <w:start w:val="1"/>
      <w:numFmt w:val="bullet"/>
      <w:lvlText w:val="o"/>
      <w:lvlJc w:val="left"/>
      <w:pPr>
        <w:ind w:left="3600" w:hanging="360"/>
      </w:pPr>
      <w:rPr>
        <w:rFonts w:ascii="Courier New" w:hAnsi="Courier New" w:cs="Courier New" w:hint="default"/>
      </w:rPr>
    </w:lvl>
    <w:lvl w:ilvl="5" w:tplc="7F2E9580" w:tentative="1">
      <w:start w:val="1"/>
      <w:numFmt w:val="bullet"/>
      <w:lvlText w:val=""/>
      <w:lvlJc w:val="left"/>
      <w:pPr>
        <w:ind w:left="4320" w:hanging="360"/>
      </w:pPr>
      <w:rPr>
        <w:rFonts w:ascii="Wingdings" w:hAnsi="Wingdings" w:hint="default"/>
      </w:rPr>
    </w:lvl>
    <w:lvl w:ilvl="6" w:tplc="B87844EE" w:tentative="1">
      <w:start w:val="1"/>
      <w:numFmt w:val="bullet"/>
      <w:lvlText w:val=""/>
      <w:lvlJc w:val="left"/>
      <w:pPr>
        <w:ind w:left="5040" w:hanging="360"/>
      </w:pPr>
      <w:rPr>
        <w:rFonts w:ascii="Symbol" w:hAnsi="Symbol" w:hint="default"/>
      </w:rPr>
    </w:lvl>
    <w:lvl w:ilvl="7" w:tplc="AD7AB202" w:tentative="1">
      <w:start w:val="1"/>
      <w:numFmt w:val="bullet"/>
      <w:lvlText w:val="o"/>
      <w:lvlJc w:val="left"/>
      <w:pPr>
        <w:ind w:left="5760" w:hanging="360"/>
      </w:pPr>
      <w:rPr>
        <w:rFonts w:ascii="Courier New" w:hAnsi="Courier New" w:cs="Courier New" w:hint="default"/>
      </w:rPr>
    </w:lvl>
    <w:lvl w:ilvl="8" w:tplc="8334EE9A" w:tentative="1">
      <w:start w:val="1"/>
      <w:numFmt w:val="bullet"/>
      <w:lvlText w:val=""/>
      <w:lvlJc w:val="left"/>
      <w:pPr>
        <w:ind w:left="6480" w:hanging="360"/>
      </w:pPr>
      <w:rPr>
        <w:rFonts w:ascii="Wingdings" w:hAnsi="Wingdings" w:hint="default"/>
      </w:rPr>
    </w:lvl>
  </w:abstractNum>
  <w:abstractNum w:abstractNumId="2">
    <w:nsid w:val="051B7A25"/>
    <w:multiLevelType w:val="hybridMultilevel"/>
    <w:tmpl w:val="906E5FE2"/>
    <w:lvl w:ilvl="0" w:tplc="B9F2F4DC">
      <w:start w:val="1"/>
      <w:numFmt w:val="bullet"/>
      <w:lvlText w:val="-"/>
      <w:lvlJc w:val="left"/>
      <w:pPr>
        <w:tabs>
          <w:tab w:val="num" w:pos="964"/>
        </w:tabs>
        <w:ind w:left="964" w:hanging="397"/>
      </w:pPr>
      <w:rPr>
        <w:rFonts w:ascii="Arial" w:eastAsia="Times New Roman" w:hAnsi="Arial" w:hint="default"/>
        <w:color w:val="auto"/>
      </w:rPr>
    </w:lvl>
    <w:lvl w:ilvl="1" w:tplc="54FA6BE6">
      <w:start w:val="1"/>
      <w:numFmt w:val="bullet"/>
      <w:lvlText w:val=""/>
      <w:lvlJc w:val="left"/>
      <w:pPr>
        <w:tabs>
          <w:tab w:val="num" w:pos="2160"/>
        </w:tabs>
        <w:ind w:left="2160" w:hanging="360"/>
      </w:pPr>
      <w:rPr>
        <w:rFonts w:ascii="Symbol" w:hAnsi="Symbol" w:hint="default"/>
        <w:color w:val="auto"/>
      </w:rPr>
    </w:lvl>
    <w:lvl w:ilvl="2" w:tplc="EEB434D6">
      <w:start w:val="1"/>
      <w:numFmt w:val="lowerRoman"/>
      <w:lvlText w:val="%3."/>
      <w:lvlJc w:val="right"/>
      <w:pPr>
        <w:tabs>
          <w:tab w:val="num" w:pos="2880"/>
        </w:tabs>
        <w:ind w:left="2880" w:hanging="180"/>
      </w:pPr>
    </w:lvl>
    <w:lvl w:ilvl="3" w:tplc="67127798">
      <w:start w:val="1"/>
      <w:numFmt w:val="decimal"/>
      <w:lvlText w:val="%4."/>
      <w:lvlJc w:val="left"/>
      <w:pPr>
        <w:tabs>
          <w:tab w:val="num" w:pos="3600"/>
        </w:tabs>
        <w:ind w:left="3600" w:hanging="360"/>
      </w:pPr>
    </w:lvl>
    <w:lvl w:ilvl="4" w:tplc="9AC88012">
      <w:start w:val="1"/>
      <w:numFmt w:val="lowerLetter"/>
      <w:lvlText w:val="%5."/>
      <w:lvlJc w:val="left"/>
      <w:pPr>
        <w:tabs>
          <w:tab w:val="num" w:pos="4320"/>
        </w:tabs>
        <w:ind w:left="4320" w:hanging="360"/>
      </w:pPr>
    </w:lvl>
    <w:lvl w:ilvl="5" w:tplc="A2284C16">
      <w:start w:val="1"/>
      <w:numFmt w:val="lowerRoman"/>
      <w:lvlText w:val="%6."/>
      <w:lvlJc w:val="right"/>
      <w:pPr>
        <w:tabs>
          <w:tab w:val="num" w:pos="5040"/>
        </w:tabs>
        <w:ind w:left="5040" w:hanging="180"/>
      </w:pPr>
    </w:lvl>
    <w:lvl w:ilvl="6" w:tplc="7A5EFCD4">
      <w:start w:val="1"/>
      <w:numFmt w:val="decimal"/>
      <w:lvlText w:val="%7."/>
      <w:lvlJc w:val="left"/>
      <w:pPr>
        <w:tabs>
          <w:tab w:val="num" w:pos="5760"/>
        </w:tabs>
        <w:ind w:left="5760" w:hanging="360"/>
      </w:pPr>
    </w:lvl>
    <w:lvl w:ilvl="7" w:tplc="E75A1E32">
      <w:start w:val="1"/>
      <w:numFmt w:val="lowerLetter"/>
      <w:lvlText w:val="%8."/>
      <w:lvlJc w:val="left"/>
      <w:pPr>
        <w:tabs>
          <w:tab w:val="num" w:pos="6480"/>
        </w:tabs>
        <w:ind w:left="6480" w:hanging="360"/>
      </w:pPr>
    </w:lvl>
    <w:lvl w:ilvl="8" w:tplc="A6E07CC4">
      <w:start w:val="1"/>
      <w:numFmt w:val="lowerRoman"/>
      <w:lvlText w:val="%9."/>
      <w:lvlJc w:val="right"/>
      <w:pPr>
        <w:tabs>
          <w:tab w:val="num" w:pos="7200"/>
        </w:tabs>
        <w:ind w:left="7200" w:hanging="180"/>
      </w:pPr>
    </w:lvl>
  </w:abstractNum>
  <w:abstractNum w:abstractNumId="3">
    <w:nsid w:val="06CD29E3"/>
    <w:multiLevelType w:val="multilevel"/>
    <w:tmpl w:val="F6607E54"/>
    <w:lvl w:ilvl="0">
      <w:start w:val="1"/>
      <w:numFmt w:val="decimal"/>
      <w:lvlRestart w:val="0"/>
      <w:pStyle w:val="ONUMFS"/>
      <w:lvlText w:val="%1."/>
      <w:lvlJc w:val="left"/>
      <w:pPr>
        <w:tabs>
          <w:tab w:val="num" w:pos="567"/>
        </w:tabs>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493B94"/>
    <w:multiLevelType w:val="hybridMultilevel"/>
    <w:tmpl w:val="A282FF72"/>
    <w:lvl w:ilvl="0" w:tplc="DDC69E30">
      <w:start w:val="1"/>
      <w:numFmt w:val="bullet"/>
      <w:lvlText w:val=""/>
      <w:lvlJc w:val="left"/>
      <w:pPr>
        <w:ind w:left="360" w:hanging="360"/>
      </w:pPr>
      <w:rPr>
        <w:rFonts w:ascii="Symbol" w:hAnsi="Symbol" w:hint="default"/>
      </w:rPr>
    </w:lvl>
    <w:lvl w:ilvl="1" w:tplc="1DE65DB6" w:tentative="1">
      <w:start w:val="1"/>
      <w:numFmt w:val="bullet"/>
      <w:lvlText w:val="o"/>
      <w:lvlJc w:val="left"/>
      <w:pPr>
        <w:ind w:left="1080" w:hanging="360"/>
      </w:pPr>
      <w:rPr>
        <w:rFonts w:ascii="Courier New" w:hAnsi="Courier New" w:cs="Courier New" w:hint="default"/>
      </w:rPr>
    </w:lvl>
    <w:lvl w:ilvl="2" w:tplc="9D2AD7C0" w:tentative="1">
      <w:start w:val="1"/>
      <w:numFmt w:val="bullet"/>
      <w:lvlText w:val=""/>
      <w:lvlJc w:val="left"/>
      <w:pPr>
        <w:ind w:left="1800" w:hanging="360"/>
      </w:pPr>
      <w:rPr>
        <w:rFonts w:ascii="Wingdings" w:hAnsi="Wingdings" w:hint="default"/>
      </w:rPr>
    </w:lvl>
    <w:lvl w:ilvl="3" w:tplc="6AAA9CB4" w:tentative="1">
      <w:start w:val="1"/>
      <w:numFmt w:val="bullet"/>
      <w:lvlText w:val=""/>
      <w:lvlJc w:val="left"/>
      <w:pPr>
        <w:ind w:left="2520" w:hanging="360"/>
      </w:pPr>
      <w:rPr>
        <w:rFonts w:ascii="Symbol" w:hAnsi="Symbol" w:hint="default"/>
      </w:rPr>
    </w:lvl>
    <w:lvl w:ilvl="4" w:tplc="39FE36D6" w:tentative="1">
      <w:start w:val="1"/>
      <w:numFmt w:val="bullet"/>
      <w:lvlText w:val="o"/>
      <w:lvlJc w:val="left"/>
      <w:pPr>
        <w:ind w:left="3240" w:hanging="360"/>
      </w:pPr>
      <w:rPr>
        <w:rFonts w:ascii="Courier New" w:hAnsi="Courier New" w:cs="Courier New" w:hint="default"/>
      </w:rPr>
    </w:lvl>
    <w:lvl w:ilvl="5" w:tplc="F9DABECE" w:tentative="1">
      <w:start w:val="1"/>
      <w:numFmt w:val="bullet"/>
      <w:lvlText w:val=""/>
      <w:lvlJc w:val="left"/>
      <w:pPr>
        <w:ind w:left="3960" w:hanging="360"/>
      </w:pPr>
      <w:rPr>
        <w:rFonts w:ascii="Wingdings" w:hAnsi="Wingdings" w:hint="default"/>
      </w:rPr>
    </w:lvl>
    <w:lvl w:ilvl="6" w:tplc="837CB836" w:tentative="1">
      <w:start w:val="1"/>
      <w:numFmt w:val="bullet"/>
      <w:lvlText w:val=""/>
      <w:lvlJc w:val="left"/>
      <w:pPr>
        <w:ind w:left="4680" w:hanging="360"/>
      </w:pPr>
      <w:rPr>
        <w:rFonts w:ascii="Symbol" w:hAnsi="Symbol" w:hint="default"/>
      </w:rPr>
    </w:lvl>
    <w:lvl w:ilvl="7" w:tplc="91B0A284" w:tentative="1">
      <w:start w:val="1"/>
      <w:numFmt w:val="bullet"/>
      <w:lvlText w:val="o"/>
      <w:lvlJc w:val="left"/>
      <w:pPr>
        <w:ind w:left="5400" w:hanging="360"/>
      </w:pPr>
      <w:rPr>
        <w:rFonts w:ascii="Courier New" w:hAnsi="Courier New" w:cs="Courier New" w:hint="default"/>
      </w:rPr>
    </w:lvl>
    <w:lvl w:ilvl="8" w:tplc="21AE8EA4" w:tentative="1">
      <w:start w:val="1"/>
      <w:numFmt w:val="bullet"/>
      <w:lvlText w:val=""/>
      <w:lvlJc w:val="left"/>
      <w:pPr>
        <w:ind w:left="6120" w:hanging="360"/>
      </w:pPr>
      <w:rPr>
        <w:rFonts w:ascii="Wingdings" w:hAnsi="Wingdings" w:hint="default"/>
      </w:rPr>
    </w:lvl>
  </w:abstractNum>
  <w:abstractNum w:abstractNumId="5">
    <w:nsid w:val="082D54FC"/>
    <w:multiLevelType w:val="hybridMultilevel"/>
    <w:tmpl w:val="EA5C925E"/>
    <w:lvl w:ilvl="0" w:tplc="CA5226FC">
      <w:start w:val="1"/>
      <w:numFmt w:val="upperLetter"/>
      <w:lvlText w:val="%1."/>
      <w:lvlJc w:val="left"/>
      <w:pPr>
        <w:ind w:left="360" w:hanging="360"/>
      </w:pPr>
      <w:rPr>
        <w:rFonts w:hint="default"/>
      </w:rPr>
    </w:lvl>
    <w:lvl w:ilvl="1" w:tplc="E548C09A" w:tentative="1">
      <w:start w:val="1"/>
      <w:numFmt w:val="lowerLetter"/>
      <w:lvlText w:val="%2."/>
      <w:lvlJc w:val="left"/>
      <w:pPr>
        <w:ind w:left="1080" w:hanging="360"/>
      </w:pPr>
    </w:lvl>
    <w:lvl w:ilvl="2" w:tplc="785CDFF4" w:tentative="1">
      <w:start w:val="1"/>
      <w:numFmt w:val="lowerRoman"/>
      <w:lvlText w:val="%3."/>
      <w:lvlJc w:val="right"/>
      <w:pPr>
        <w:ind w:left="1800" w:hanging="180"/>
      </w:pPr>
    </w:lvl>
    <w:lvl w:ilvl="3" w:tplc="376A3F32" w:tentative="1">
      <w:start w:val="1"/>
      <w:numFmt w:val="decimal"/>
      <w:lvlText w:val="%4."/>
      <w:lvlJc w:val="left"/>
      <w:pPr>
        <w:ind w:left="2520" w:hanging="360"/>
      </w:pPr>
    </w:lvl>
    <w:lvl w:ilvl="4" w:tplc="B2E810CA" w:tentative="1">
      <w:start w:val="1"/>
      <w:numFmt w:val="lowerLetter"/>
      <w:lvlText w:val="%5."/>
      <w:lvlJc w:val="left"/>
      <w:pPr>
        <w:ind w:left="3240" w:hanging="360"/>
      </w:pPr>
    </w:lvl>
    <w:lvl w:ilvl="5" w:tplc="967CBD56" w:tentative="1">
      <w:start w:val="1"/>
      <w:numFmt w:val="lowerRoman"/>
      <w:lvlText w:val="%6."/>
      <w:lvlJc w:val="right"/>
      <w:pPr>
        <w:ind w:left="3960" w:hanging="180"/>
      </w:pPr>
    </w:lvl>
    <w:lvl w:ilvl="6" w:tplc="3AB6E6A6" w:tentative="1">
      <w:start w:val="1"/>
      <w:numFmt w:val="decimal"/>
      <w:lvlText w:val="%7."/>
      <w:lvlJc w:val="left"/>
      <w:pPr>
        <w:ind w:left="4680" w:hanging="360"/>
      </w:pPr>
    </w:lvl>
    <w:lvl w:ilvl="7" w:tplc="F7ECAA5C" w:tentative="1">
      <w:start w:val="1"/>
      <w:numFmt w:val="lowerLetter"/>
      <w:lvlText w:val="%8."/>
      <w:lvlJc w:val="left"/>
      <w:pPr>
        <w:ind w:left="5400" w:hanging="360"/>
      </w:pPr>
    </w:lvl>
    <w:lvl w:ilvl="8" w:tplc="2474EDA2" w:tentative="1">
      <w:start w:val="1"/>
      <w:numFmt w:val="lowerRoman"/>
      <w:lvlText w:val="%9."/>
      <w:lvlJc w:val="right"/>
      <w:pPr>
        <w:ind w:left="6120" w:hanging="180"/>
      </w:pPr>
    </w:lvl>
  </w:abstractNum>
  <w:abstractNum w:abstractNumId="6">
    <w:nsid w:val="09BD4B5B"/>
    <w:multiLevelType w:val="hybridMultilevel"/>
    <w:tmpl w:val="4C2E0A68"/>
    <w:lvl w:ilvl="0" w:tplc="D86EA51E">
      <w:start w:val="1"/>
      <w:numFmt w:val="bullet"/>
      <w:lvlText w:val=""/>
      <w:lvlJc w:val="left"/>
      <w:pPr>
        <w:ind w:left="720" w:hanging="360"/>
      </w:pPr>
      <w:rPr>
        <w:rFonts w:ascii="Symbol" w:hAnsi="Symbol" w:hint="default"/>
      </w:rPr>
    </w:lvl>
    <w:lvl w:ilvl="1" w:tplc="ECD44662" w:tentative="1">
      <w:start w:val="1"/>
      <w:numFmt w:val="bullet"/>
      <w:lvlText w:val="o"/>
      <w:lvlJc w:val="left"/>
      <w:pPr>
        <w:ind w:left="1440" w:hanging="360"/>
      </w:pPr>
      <w:rPr>
        <w:rFonts w:ascii="Courier New" w:hAnsi="Courier New" w:cs="Courier New" w:hint="default"/>
      </w:rPr>
    </w:lvl>
    <w:lvl w:ilvl="2" w:tplc="A1AEFAA4" w:tentative="1">
      <w:start w:val="1"/>
      <w:numFmt w:val="bullet"/>
      <w:lvlText w:val=""/>
      <w:lvlJc w:val="left"/>
      <w:pPr>
        <w:ind w:left="2160" w:hanging="360"/>
      </w:pPr>
      <w:rPr>
        <w:rFonts w:ascii="Wingdings" w:hAnsi="Wingdings" w:hint="default"/>
      </w:rPr>
    </w:lvl>
    <w:lvl w:ilvl="3" w:tplc="FD984B78" w:tentative="1">
      <w:start w:val="1"/>
      <w:numFmt w:val="bullet"/>
      <w:lvlText w:val=""/>
      <w:lvlJc w:val="left"/>
      <w:pPr>
        <w:ind w:left="2880" w:hanging="360"/>
      </w:pPr>
      <w:rPr>
        <w:rFonts w:ascii="Symbol" w:hAnsi="Symbol" w:hint="default"/>
      </w:rPr>
    </w:lvl>
    <w:lvl w:ilvl="4" w:tplc="CBDC54AA" w:tentative="1">
      <w:start w:val="1"/>
      <w:numFmt w:val="bullet"/>
      <w:lvlText w:val="o"/>
      <w:lvlJc w:val="left"/>
      <w:pPr>
        <w:ind w:left="3600" w:hanging="360"/>
      </w:pPr>
      <w:rPr>
        <w:rFonts w:ascii="Courier New" w:hAnsi="Courier New" w:cs="Courier New" w:hint="default"/>
      </w:rPr>
    </w:lvl>
    <w:lvl w:ilvl="5" w:tplc="51EEAE06" w:tentative="1">
      <w:start w:val="1"/>
      <w:numFmt w:val="bullet"/>
      <w:lvlText w:val=""/>
      <w:lvlJc w:val="left"/>
      <w:pPr>
        <w:ind w:left="4320" w:hanging="360"/>
      </w:pPr>
      <w:rPr>
        <w:rFonts w:ascii="Wingdings" w:hAnsi="Wingdings" w:hint="default"/>
      </w:rPr>
    </w:lvl>
    <w:lvl w:ilvl="6" w:tplc="CC0442A4" w:tentative="1">
      <w:start w:val="1"/>
      <w:numFmt w:val="bullet"/>
      <w:lvlText w:val=""/>
      <w:lvlJc w:val="left"/>
      <w:pPr>
        <w:ind w:left="5040" w:hanging="360"/>
      </w:pPr>
      <w:rPr>
        <w:rFonts w:ascii="Symbol" w:hAnsi="Symbol" w:hint="default"/>
      </w:rPr>
    </w:lvl>
    <w:lvl w:ilvl="7" w:tplc="E5CC49CE" w:tentative="1">
      <w:start w:val="1"/>
      <w:numFmt w:val="bullet"/>
      <w:lvlText w:val="o"/>
      <w:lvlJc w:val="left"/>
      <w:pPr>
        <w:ind w:left="5760" w:hanging="360"/>
      </w:pPr>
      <w:rPr>
        <w:rFonts w:ascii="Courier New" w:hAnsi="Courier New" w:cs="Courier New" w:hint="default"/>
      </w:rPr>
    </w:lvl>
    <w:lvl w:ilvl="8" w:tplc="B6F4422E" w:tentative="1">
      <w:start w:val="1"/>
      <w:numFmt w:val="bullet"/>
      <w:lvlText w:val=""/>
      <w:lvlJc w:val="left"/>
      <w:pPr>
        <w:ind w:left="6480" w:hanging="360"/>
      </w:pPr>
      <w:rPr>
        <w:rFonts w:ascii="Wingdings" w:hAnsi="Wingdings" w:hint="default"/>
      </w:rPr>
    </w:lvl>
  </w:abstractNum>
  <w:abstractNum w:abstractNumId="7">
    <w:nsid w:val="0AA34E7F"/>
    <w:multiLevelType w:val="hybridMultilevel"/>
    <w:tmpl w:val="7750CF86"/>
    <w:lvl w:ilvl="0" w:tplc="9FB6A144">
      <w:start w:val="1"/>
      <w:numFmt w:val="decimal"/>
      <w:lvlRestart w:val="0"/>
      <w:lvlText w:val="19.%1."/>
      <w:lvlJc w:val="left"/>
      <w:pPr>
        <w:tabs>
          <w:tab w:val="num" w:pos="680"/>
        </w:tabs>
      </w:pPr>
      <w:rPr>
        <w:rFonts w:ascii="Arial" w:hAnsi="Arial" w:cs="Arial" w:hint="default"/>
        <w:b w:val="0"/>
        <w:bCs w:val="0"/>
        <w:i w:val="0"/>
        <w:sz w:val="20"/>
        <w:szCs w:val="20"/>
      </w:rPr>
    </w:lvl>
    <w:lvl w:ilvl="1" w:tplc="4362740E">
      <w:start w:val="1"/>
      <w:numFmt w:val="lowerLetter"/>
      <w:lvlText w:val="%2."/>
      <w:lvlJc w:val="left"/>
      <w:pPr>
        <w:tabs>
          <w:tab w:val="num" w:pos="1440"/>
        </w:tabs>
        <w:ind w:left="1440" w:hanging="360"/>
      </w:pPr>
    </w:lvl>
    <w:lvl w:ilvl="2" w:tplc="A6465112">
      <w:start w:val="1"/>
      <w:numFmt w:val="lowerRoman"/>
      <w:lvlText w:val="%3."/>
      <w:lvlJc w:val="right"/>
      <w:pPr>
        <w:tabs>
          <w:tab w:val="num" w:pos="2160"/>
        </w:tabs>
        <w:ind w:left="2160" w:hanging="180"/>
      </w:pPr>
    </w:lvl>
    <w:lvl w:ilvl="3" w:tplc="757EC224">
      <w:start w:val="1"/>
      <w:numFmt w:val="decimal"/>
      <w:lvlText w:val="%4."/>
      <w:lvlJc w:val="left"/>
      <w:pPr>
        <w:tabs>
          <w:tab w:val="num" w:pos="2880"/>
        </w:tabs>
        <w:ind w:left="2880" w:hanging="360"/>
      </w:pPr>
    </w:lvl>
    <w:lvl w:ilvl="4" w:tplc="829E7912">
      <w:start w:val="1"/>
      <w:numFmt w:val="lowerLetter"/>
      <w:lvlText w:val="%5."/>
      <w:lvlJc w:val="left"/>
      <w:pPr>
        <w:tabs>
          <w:tab w:val="num" w:pos="3600"/>
        </w:tabs>
        <w:ind w:left="3600" w:hanging="360"/>
      </w:pPr>
    </w:lvl>
    <w:lvl w:ilvl="5" w:tplc="38963C72">
      <w:start w:val="1"/>
      <w:numFmt w:val="lowerRoman"/>
      <w:lvlText w:val="%6."/>
      <w:lvlJc w:val="right"/>
      <w:pPr>
        <w:tabs>
          <w:tab w:val="num" w:pos="4320"/>
        </w:tabs>
        <w:ind w:left="4320" w:hanging="180"/>
      </w:pPr>
    </w:lvl>
    <w:lvl w:ilvl="6" w:tplc="2B7482AE">
      <w:start w:val="1"/>
      <w:numFmt w:val="decimal"/>
      <w:lvlText w:val="%7."/>
      <w:lvlJc w:val="left"/>
      <w:pPr>
        <w:tabs>
          <w:tab w:val="num" w:pos="5040"/>
        </w:tabs>
        <w:ind w:left="5040" w:hanging="360"/>
      </w:pPr>
    </w:lvl>
    <w:lvl w:ilvl="7" w:tplc="D3EA67FE">
      <w:start w:val="1"/>
      <w:numFmt w:val="lowerLetter"/>
      <w:lvlText w:val="%8."/>
      <w:lvlJc w:val="left"/>
      <w:pPr>
        <w:tabs>
          <w:tab w:val="num" w:pos="5760"/>
        </w:tabs>
        <w:ind w:left="5760" w:hanging="360"/>
      </w:pPr>
    </w:lvl>
    <w:lvl w:ilvl="8" w:tplc="1CF427AA">
      <w:start w:val="1"/>
      <w:numFmt w:val="lowerRoman"/>
      <w:lvlText w:val="%9."/>
      <w:lvlJc w:val="right"/>
      <w:pPr>
        <w:tabs>
          <w:tab w:val="num" w:pos="6480"/>
        </w:tabs>
        <w:ind w:left="6480" w:hanging="180"/>
      </w:pPr>
    </w:lvl>
  </w:abstractNum>
  <w:abstractNum w:abstractNumId="8">
    <w:nsid w:val="0B2672DB"/>
    <w:multiLevelType w:val="hybridMultilevel"/>
    <w:tmpl w:val="2F425B20"/>
    <w:lvl w:ilvl="0" w:tplc="E47E4E06">
      <w:start w:val="1"/>
      <w:numFmt w:val="bullet"/>
      <w:lvlText w:val=""/>
      <w:lvlJc w:val="left"/>
      <w:pPr>
        <w:ind w:left="360" w:hanging="360"/>
      </w:pPr>
      <w:rPr>
        <w:rFonts w:ascii="Symbol" w:hAnsi="Symbol" w:hint="default"/>
      </w:rPr>
    </w:lvl>
    <w:lvl w:ilvl="1" w:tplc="9E92C512" w:tentative="1">
      <w:start w:val="1"/>
      <w:numFmt w:val="bullet"/>
      <w:lvlText w:val="o"/>
      <w:lvlJc w:val="left"/>
      <w:pPr>
        <w:ind w:left="1080" w:hanging="360"/>
      </w:pPr>
      <w:rPr>
        <w:rFonts w:ascii="Courier New" w:hAnsi="Courier New" w:cs="Courier New" w:hint="default"/>
      </w:rPr>
    </w:lvl>
    <w:lvl w:ilvl="2" w:tplc="B91AA2BC" w:tentative="1">
      <w:start w:val="1"/>
      <w:numFmt w:val="bullet"/>
      <w:lvlText w:val=""/>
      <w:lvlJc w:val="left"/>
      <w:pPr>
        <w:ind w:left="1800" w:hanging="360"/>
      </w:pPr>
      <w:rPr>
        <w:rFonts w:ascii="Wingdings" w:hAnsi="Wingdings" w:hint="default"/>
      </w:rPr>
    </w:lvl>
    <w:lvl w:ilvl="3" w:tplc="763E958A" w:tentative="1">
      <w:start w:val="1"/>
      <w:numFmt w:val="bullet"/>
      <w:lvlText w:val=""/>
      <w:lvlJc w:val="left"/>
      <w:pPr>
        <w:ind w:left="2520" w:hanging="360"/>
      </w:pPr>
      <w:rPr>
        <w:rFonts w:ascii="Symbol" w:hAnsi="Symbol" w:hint="default"/>
      </w:rPr>
    </w:lvl>
    <w:lvl w:ilvl="4" w:tplc="5A3E96B0" w:tentative="1">
      <w:start w:val="1"/>
      <w:numFmt w:val="bullet"/>
      <w:lvlText w:val="o"/>
      <w:lvlJc w:val="left"/>
      <w:pPr>
        <w:ind w:left="3240" w:hanging="360"/>
      </w:pPr>
      <w:rPr>
        <w:rFonts w:ascii="Courier New" w:hAnsi="Courier New" w:cs="Courier New" w:hint="default"/>
      </w:rPr>
    </w:lvl>
    <w:lvl w:ilvl="5" w:tplc="8B78EA78" w:tentative="1">
      <w:start w:val="1"/>
      <w:numFmt w:val="bullet"/>
      <w:lvlText w:val=""/>
      <w:lvlJc w:val="left"/>
      <w:pPr>
        <w:ind w:left="3960" w:hanging="360"/>
      </w:pPr>
      <w:rPr>
        <w:rFonts w:ascii="Wingdings" w:hAnsi="Wingdings" w:hint="default"/>
      </w:rPr>
    </w:lvl>
    <w:lvl w:ilvl="6" w:tplc="A88222CA" w:tentative="1">
      <w:start w:val="1"/>
      <w:numFmt w:val="bullet"/>
      <w:lvlText w:val=""/>
      <w:lvlJc w:val="left"/>
      <w:pPr>
        <w:ind w:left="4680" w:hanging="360"/>
      </w:pPr>
      <w:rPr>
        <w:rFonts w:ascii="Symbol" w:hAnsi="Symbol" w:hint="default"/>
      </w:rPr>
    </w:lvl>
    <w:lvl w:ilvl="7" w:tplc="F4D65AD4" w:tentative="1">
      <w:start w:val="1"/>
      <w:numFmt w:val="bullet"/>
      <w:lvlText w:val="o"/>
      <w:lvlJc w:val="left"/>
      <w:pPr>
        <w:ind w:left="5400" w:hanging="360"/>
      </w:pPr>
      <w:rPr>
        <w:rFonts w:ascii="Courier New" w:hAnsi="Courier New" w:cs="Courier New" w:hint="default"/>
      </w:rPr>
    </w:lvl>
    <w:lvl w:ilvl="8" w:tplc="FF589126" w:tentative="1">
      <w:start w:val="1"/>
      <w:numFmt w:val="bullet"/>
      <w:lvlText w:val=""/>
      <w:lvlJc w:val="left"/>
      <w:pPr>
        <w:ind w:left="6120" w:hanging="360"/>
      </w:pPr>
      <w:rPr>
        <w:rFonts w:ascii="Wingdings" w:hAnsi="Wingdings" w:hint="default"/>
      </w:rPr>
    </w:lvl>
  </w:abstractNum>
  <w:abstractNum w:abstractNumId="9">
    <w:nsid w:val="0B4C02D6"/>
    <w:multiLevelType w:val="hybridMultilevel"/>
    <w:tmpl w:val="33F80932"/>
    <w:lvl w:ilvl="0" w:tplc="A8EAA326">
      <w:start w:val="1"/>
      <w:numFmt w:val="decimal"/>
      <w:lvlText w:val="5.%1."/>
      <w:lvlJc w:val="left"/>
      <w:pPr>
        <w:ind w:left="720" w:hanging="360"/>
      </w:pPr>
      <w:rPr>
        <w:rFonts w:hint="default"/>
      </w:rPr>
    </w:lvl>
    <w:lvl w:ilvl="1" w:tplc="5656BDB2" w:tentative="1">
      <w:start w:val="1"/>
      <w:numFmt w:val="lowerLetter"/>
      <w:lvlText w:val="%2."/>
      <w:lvlJc w:val="left"/>
      <w:pPr>
        <w:ind w:left="1440" w:hanging="360"/>
      </w:pPr>
    </w:lvl>
    <w:lvl w:ilvl="2" w:tplc="FEBAA950" w:tentative="1">
      <w:start w:val="1"/>
      <w:numFmt w:val="lowerRoman"/>
      <w:lvlText w:val="%3."/>
      <w:lvlJc w:val="right"/>
      <w:pPr>
        <w:ind w:left="2160" w:hanging="180"/>
      </w:pPr>
    </w:lvl>
    <w:lvl w:ilvl="3" w:tplc="CF686C80" w:tentative="1">
      <w:start w:val="1"/>
      <w:numFmt w:val="decimal"/>
      <w:lvlText w:val="%4."/>
      <w:lvlJc w:val="left"/>
      <w:pPr>
        <w:ind w:left="2880" w:hanging="360"/>
      </w:pPr>
    </w:lvl>
    <w:lvl w:ilvl="4" w:tplc="F7981F2A" w:tentative="1">
      <w:start w:val="1"/>
      <w:numFmt w:val="lowerLetter"/>
      <w:lvlText w:val="%5."/>
      <w:lvlJc w:val="left"/>
      <w:pPr>
        <w:ind w:left="3600" w:hanging="360"/>
      </w:pPr>
    </w:lvl>
    <w:lvl w:ilvl="5" w:tplc="F1BA130E" w:tentative="1">
      <w:start w:val="1"/>
      <w:numFmt w:val="lowerRoman"/>
      <w:lvlText w:val="%6."/>
      <w:lvlJc w:val="right"/>
      <w:pPr>
        <w:ind w:left="4320" w:hanging="180"/>
      </w:pPr>
    </w:lvl>
    <w:lvl w:ilvl="6" w:tplc="47D4E4B8" w:tentative="1">
      <w:start w:val="1"/>
      <w:numFmt w:val="decimal"/>
      <w:lvlText w:val="%7."/>
      <w:lvlJc w:val="left"/>
      <w:pPr>
        <w:ind w:left="5040" w:hanging="360"/>
      </w:pPr>
    </w:lvl>
    <w:lvl w:ilvl="7" w:tplc="F3661832" w:tentative="1">
      <w:start w:val="1"/>
      <w:numFmt w:val="lowerLetter"/>
      <w:lvlText w:val="%8."/>
      <w:lvlJc w:val="left"/>
      <w:pPr>
        <w:ind w:left="5760" w:hanging="360"/>
      </w:pPr>
    </w:lvl>
    <w:lvl w:ilvl="8" w:tplc="78086E10" w:tentative="1">
      <w:start w:val="1"/>
      <w:numFmt w:val="lowerRoman"/>
      <w:lvlText w:val="%9."/>
      <w:lvlJc w:val="right"/>
      <w:pPr>
        <w:ind w:left="6480" w:hanging="180"/>
      </w:pPr>
    </w:lvl>
  </w:abstractNum>
  <w:abstractNum w:abstractNumId="10">
    <w:nsid w:val="112C748A"/>
    <w:multiLevelType w:val="hybridMultilevel"/>
    <w:tmpl w:val="52448A44"/>
    <w:lvl w:ilvl="0" w:tplc="1D163542">
      <w:start w:val="1"/>
      <w:numFmt w:val="bullet"/>
      <w:lvlText w:val=""/>
      <w:lvlJc w:val="left"/>
      <w:pPr>
        <w:ind w:left="720" w:hanging="360"/>
      </w:pPr>
      <w:rPr>
        <w:rFonts w:ascii="Symbol" w:hAnsi="Symbol" w:hint="default"/>
      </w:rPr>
    </w:lvl>
    <w:lvl w:ilvl="1" w:tplc="9E7A330C" w:tentative="1">
      <w:start w:val="1"/>
      <w:numFmt w:val="bullet"/>
      <w:lvlText w:val="o"/>
      <w:lvlJc w:val="left"/>
      <w:pPr>
        <w:ind w:left="1440" w:hanging="360"/>
      </w:pPr>
      <w:rPr>
        <w:rFonts w:ascii="Courier New" w:hAnsi="Courier New" w:cs="Courier New" w:hint="default"/>
      </w:rPr>
    </w:lvl>
    <w:lvl w:ilvl="2" w:tplc="D0FE4684" w:tentative="1">
      <w:start w:val="1"/>
      <w:numFmt w:val="bullet"/>
      <w:lvlText w:val=""/>
      <w:lvlJc w:val="left"/>
      <w:pPr>
        <w:ind w:left="2160" w:hanging="360"/>
      </w:pPr>
      <w:rPr>
        <w:rFonts w:ascii="Wingdings" w:hAnsi="Wingdings" w:hint="default"/>
      </w:rPr>
    </w:lvl>
    <w:lvl w:ilvl="3" w:tplc="AF56E8C0" w:tentative="1">
      <w:start w:val="1"/>
      <w:numFmt w:val="bullet"/>
      <w:lvlText w:val=""/>
      <w:lvlJc w:val="left"/>
      <w:pPr>
        <w:ind w:left="2880" w:hanging="360"/>
      </w:pPr>
      <w:rPr>
        <w:rFonts w:ascii="Symbol" w:hAnsi="Symbol" w:hint="default"/>
      </w:rPr>
    </w:lvl>
    <w:lvl w:ilvl="4" w:tplc="C8BC855A" w:tentative="1">
      <w:start w:val="1"/>
      <w:numFmt w:val="bullet"/>
      <w:lvlText w:val="o"/>
      <w:lvlJc w:val="left"/>
      <w:pPr>
        <w:ind w:left="3600" w:hanging="360"/>
      </w:pPr>
      <w:rPr>
        <w:rFonts w:ascii="Courier New" w:hAnsi="Courier New" w:cs="Courier New" w:hint="default"/>
      </w:rPr>
    </w:lvl>
    <w:lvl w:ilvl="5" w:tplc="484CDD24" w:tentative="1">
      <w:start w:val="1"/>
      <w:numFmt w:val="bullet"/>
      <w:lvlText w:val=""/>
      <w:lvlJc w:val="left"/>
      <w:pPr>
        <w:ind w:left="4320" w:hanging="360"/>
      </w:pPr>
      <w:rPr>
        <w:rFonts w:ascii="Wingdings" w:hAnsi="Wingdings" w:hint="default"/>
      </w:rPr>
    </w:lvl>
    <w:lvl w:ilvl="6" w:tplc="38184D9A" w:tentative="1">
      <w:start w:val="1"/>
      <w:numFmt w:val="bullet"/>
      <w:lvlText w:val=""/>
      <w:lvlJc w:val="left"/>
      <w:pPr>
        <w:ind w:left="5040" w:hanging="360"/>
      </w:pPr>
      <w:rPr>
        <w:rFonts w:ascii="Symbol" w:hAnsi="Symbol" w:hint="default"/>
      </w:rPr>
    </w:lvl>
    <w:lvl w:ilvl="7" w:tplc="9F145490" w:tentative="1">
      <w:start w:val="1"/>
      <w:numFmt w:val="bullet"/>
      <w:lvlText w:val="o"/>
      <w:lvlJc w:val="left"/>
      <w:pPr>
        <w:ind w:left="5760" w:hanging="360"/>
      </w:pPr>
      <w:rPr>
        <w:rFonts w:ascii="Courier New" w:hAnsi="Courier New" w:cs="Courier New" w:hint="default"/>
      </w:rPr>
    </w:lvl>
    <w:lvl w:ilvl="8" w:tplc="7018AF7C" w:tentative="1">
      <w:start w:val="1"/>
      <w:numFmt w:val="bullet"/>
      <w:lvlText w:val=""/>
      <w:lvlJc w:val="left"/>
      <w:pPr>
        <w:ind w:left="6480" w:hanging="360"/>
      </w:pPr>
      <w:rPr>
        <w:rFonts w:ascii="Wingdings" w:hAnsi="Wingdings" w:hint="default"/>
      </w:rPr>
    </w:lvl>
  </w:abstractNum>
  <w:abstractNum w:abstractNumId="11">
    <w:nsid w:val="125325CA"/>
    <w:multiLevelType w:val="hybridMultilevel"/>
    <w:tmpl w:val="34CE2BC2"/>
    <w:lvl w:ilvl="0" w:tplc="248C5CA0">
      <w:start w:val="1"/>
      <w:numFmt w:val="bullet"/>
      <w:lvlText w:val=""/>
      <w:lvlJc w:val="left"/>
      <w:pPr>
        <w:ind w:left="360" w:hanging="360"/>
      </w:pPr>
      <w:rPr>
        <w:rFonts w:ascii="Symbol" w:hAnsi="Symbol" w:hint="default"/>
      </w:rPr>
    </w:lvl>
    <w:lvl w:ilvl="1" w:tplc="F474AC7E" w:tentative="1">
      <w:start w:val="1"/>
      <w:numFmt w:val="bullet"/>
      <w:lvlText w:val="o"/>
      <w:lvlJc w:val="left"/>
      <w:pPr>
        <w:ind w:left="1080" w:hanging="360"/>
      </w:pPr>
      <w:rPr>
        <w:rFonts w:ascii="Courier New" w:hAnsi="Courier New" w:cs="Courier New" w:hint="default"/>
      </w:rPr>
    </w:lvl>
    <w:lvl w:ilvl="2" w:tplc="01021434" w:tentative="1">
      <w:start w:val="1"/>
      <w:numFmt w:val="bullet"/>
      <w:lvlText w:val=""/>
      <w:lvlJc w:val="left"/>
      <w:pPr>
        <w:ind w:left="1800" w:hanging="360"/>
      </w:pPr>
      <w:rPr>
        <w:rFonts w:ascii="Wingdings" w:hAnsi="Wingdings" w:hint="default"/>
      </w:rPr>
    </w:lvl>
    <w:lvl w:ilvl="3" w:tplc="6BD07D6A" w:tentative="1">
      <w:start w:val="1"/>
      <w:numFmt w:val="bullet"/>
      <w:lvlText w:val=""/>
      <w:lvlJc w:val="left"/>
      <w:pPr>
        <w:ind w:left="2520" w:hanging="360"/>
      </w:pPr>
      <w:rPr>
        <w:rFonts w:ascii="Symbol" w:hAnsi="Symbol" w:hint="default"/>
      </w:rPr>
    </w:lvl>
    <w:lvl w:ilvl="4" w:tplc="D3B8EBB8" w:tentative="1">
      <w:start w:val="1"/>
      <w:numFmt w:val="bullet"/>
      <w:lvlText w:val="o"/>
      <w:lvlJc w:val="left"/>
      <w:pPr>
        <w:ind w:left="3240" w:hanging="360"/>
      </w:pPr>
      <w:rPr>
        <w:rFonts w:ascii="Courier New" w:hAnsi="Courier New" w:cs="Courier New" w:hint="default"/>
      </w:rPr>
    </w:lvl>
    <w:lvl w:ilvl="5" w:tplc="87462050" w:tentative="1">
      <w:start w:val="1"/>
      <w:numFmt w:val="bullet"/>
      <w:lvlText w:val=""/>
      <w:lvlJc w:val="left"/>
      <w:pPr>
        <w:ind w:left="3960" w:hanging="360"/>
      </w:pPr>
      <w:rPr>
        <w:rFonts w:ascii="Wingdings" w:hAnsi="Wingdings" w:hint="default"/>
      </w:rPr>
    </w:lvl>
    <w:lvl w:ilvl="6" w:tplc="E1FE611C" w:tentative="1">
      <w:start w:val="1"/>
      <w:numFmt w:val="bullet"/>
      <w:lvlText w:val=""/>
      <w:lvlJc w:val="left"/>
      <w:pPr>
        <w:ind w:left="4680" w:hanging="360"/>
      </w:pPr>
      <w:rPr>
        <w:rFonts w:ascii="Symbol" w:hAnsi="Symbol" w:hint="default"/>
      </w:rPr>
    </w:lvl>
    <w:lvl w:ilvl="7" w:tplc="DA36DA46" w:tentative="1">
      <w:start w:val="1"/>
      <w:numFmt w:val="bullet"/>
      <w:lvlText w:val="o"/>
      <w:lvlJc w:val="left"/>
      <w:pPr>
        <w:ind w:left="5400" w:hanging="360"/>
      </w:pPr>
      <w:rPr>
        <w:rFonts w:ascii="Courier New" w:hAnsi="Courier New" w:cs="Courier New" w:hint="default"/>
      </w:rPr>
    </w:lvl>
    <w:lvl w:ilvl="8" w:tplc="30D480C4" w:tentative="1">
      <w:start w:val="1"/>
      <w:numFmt w:val="bullet"/>
      <w:lvlText w:val=""/>
      <w:lvlJc w:val="left"/>
      <w:pPr>
        <w:ind w:left="6120" w:hanging="360"/>
      </w:pPr>
      <w:rPr>
        <w:rFonts w:ascii="Wingdings" w:hAnsi="Wingdings" w:hint="default"/>
      </w:rPr>
    </w:lvl>
  </w:abstractNum>
  <w:abstractNum w:abstractNumId="12">
    <w:nsid w:val="13636494"/>
    <w:multiLevelType w:val="hybridMultilevel"/>
    <w:tmpl w:val="EA08EB56"/>
    <w:lvl w:ilvl="0" w:tplc="B9DEEADE">
      <w:start w:val="1"/>
      <w:numFmt w:val="lowerLetter"/>
      <w:lvlText w:val="%1)"/>
      <w:lvlJc w:val="left"/>
      <w:pPr>
        <w:ind w:left="1080" w:hanging="720"/>
      </w:pPr>
      <w:rPr>
        <w:rFonts w:hint="default"/>
      </w:rPr>
    </w:lvl>
    <w:lvl w:ilvl="1" w:tplc="FB4EA7CC" w:tentative="1">
      <w:start w:val="1"/>
      <w:numFmt w:val="lowerLetter"/>
      <w:lvlText w:val="%2."/>
      <w:lvlJc w:val="left"/>
      <w:pPr>
        <w:ind w:left="1440" w:hanging="360"/>
      </w:pPr>
    </w:lvl>
    <w:lvl w:ilvl="2" w:tplc="E5E88A42" w:tentative="1">
      <w:start w:val="1"/>
      <w:numFmt w:val="lowerRoman"/>
      <w:lvlText w:val="%3."/>
      <w:lvlJc w:val="right"/>
      <w:pPr>
        <w:ind w:left="2160" w:hanging="180"/>
      </w:pPr>
    </w:lvl>
    <w:lvl w:ilvl="3" w:tplc="6D46A456" w:tentative="1">
      <w:start w:val="1"/>
      <w:numFmt w:val="decimal"/>
      <w:lvlText w:val="%4."/>
      <w:lvlJc w:val="left"/>
      <w:pPr>
        <w:ind w:left="2880" w:hanging="360"/>
      </w:pPr>
    </w:lvl>
    <w:lvl w:ilvl="4" w:tplc="FD8231B2" w:tentative="1">
      <w:start w:val="1"/>
      <w:numFmt w:val="lowerLetter"/>
      <w:lvlText w:val="%5."/>
      <w:lvlJc w:val="left"/>
      <w:pPr>
        <w:ind w:left="3600" w:hanging="360"/>
      </w:pPr>
    </w:lvl>
    <w:lvl w:ilvl="5" w:tplc="D7A42C24" w:tentative="1">
      <w:start w:val="1"/>
      <w:numFmt w:val="lowerRoman"/>
      <w:lvlText w:val="%6."/>
      <w:lvlJc w:val="right"/>
      <w:pPr>
        <w:ind w:left="4320" w:hanging="180"/>
      </w:pPr>
    </w:lvl>
    <w:lvl w:ilvl="6" w:tplc="E5D2425E" w:tentative="1">
      <w:start w:val="1"/>
      <w:numFmt w:val="decimal"/>
      <w:lvlText w:val="%7."/>
      <w:lvlJc w:val="left"/>
      <w:pPr>
        <w:ind w:left="5040" w:hanging="360"/>
      </w:pPr>
    </w:lvl>
    <w:lvl w:ilvl="7" w:tplc="6DF2498A" w:tentative="1">
      <w:start w:val="1"/>
      <w:numFmt w:val="lowerLetter"/>
      <w:lvlText w:val="%8."/>
      <w:lvlJc w:val="left"/>
      <w:pPr>
        <w:ind w:left="5760" w:hanging="360"/>
      </w:pPr>
    </w:lvl>
    <w:lvl w:ilvl="8" w:tplc="BDEEDECE" w:tentative="1">
      <w:start w:val="1"/>
      <w:numFmt w:val="lowerRoman"/>
      <w:lvlText w:val="%9."/>
      <w:lvlJc w:val="right"/>
      <w:pPr>
        <w:ind w:left="6480" w:hanging="180"/>
      </w:pPr>
    </w:lvl>
  </w:abstractNum>
  <w:abstractNum w:abstractNumId="13">
    <w:nsid w:val="14437332"/>
    <w:multiLevelType w:val="hybridMultilevel"/>
    <w:tmpl w:val="0BAC38BA"/>
    <w:lvl w:ilvl="0" w:tplc="2EF844E2">
      <w:start w:val="1"/>
      <w:numFmt w:val="bullet"/>
      <w:lvlText w:val=""/>
      <w:lvlJc w:val="left"/>
      <w:pPr>
        <w:ind w:left="720" w:hanging="360"/>
      </w:pPr>
      <w:rPr>
        <w:rFonts w:ascii="Symbol" w:hAnsi="Symbol" w:hint="default"/>
      </w:rPr>
    </w:lvl>
    <w:lvl w:ilvl="1" w:tplc="0144C630" w:tentative="1">
      <w:start w:val="1"/>
      <w:numFmt w:val="bullet"/>
      <w:lvlText w:val="o"/>
      <w:lvlJc w:val="left"/>
      <w:pPr>
        <w:ind w:left="1440" w:hanging="360"/>
      </w:pPr>
      <w:rPr>
        <w:rFonts w:ascii="Courier New" w:hAnsi="Courier New" w:cs="Courier New" w:hint="default"/>
      </w:rPr>
    </w:lvl>
    <w:lvl w:ilvl="2" w:tplc="DCE4A456" w:tentative="1">
      <w:start w:val="1"/>
      <w:numFmt w:val="bullet"/>
      <w:lvlText w:val=""/>
      <w:lvlJc w:val="left"/>
      <w:pPr>
        <w:ind w:left="2160" w:hanging="360"/>
      </w:pPr>
      <w:rPr>
        <w:rFonts w:ascii="Wingdings" w:hAnsi="Wingdings" w:hint="default"/>
      </w:rPr>
    </w:lvl>
    <w:lvl w:ilvl="3" w:tplc="1C6475CE" w:tentative="1">
      <w:start w:val="1"/>
      <w:numFmt w:val="bullet"/>
      <w:lvlText w:val=""/>
      <w:lvlJc w:val="left"/>
      <w:pPr>
        <w:ind w:left="2880" w:hanging="360"/>
      </w:pPr>
      <w:rPr>
        <w:rFonts w:ascii="Symbol" w:hAnsi="Symbol" w:hint="default"/>
      </w:rPr>
    </w:lvl>
    <w:lvl w:ilvl="4" w:tplc="F8DCAC66" w:tentative="1">
      <w:start w:val="1"/>
      <w:numFmt w:val="bullet"/>
      <w:lvlText w:val="o"/>
      <w:lvlJc w:val="left"/>
      <w:pPr>
        <w:ind w:left="3600" w:hanging="360"/>
      </w:pPr>
      <w:rPr>
        <w:rFonts w:ascii="Courier New" w:hAnsi="Courier New" w:cs="Courier New" w:hint="default"/>
      </w:rPr>
    </w:lvl>
    <w:lvl w:ilvl="5" w:tplc="486CA4E4" w:tentative="1">
      <w:start w:val="1"/>
      <w:numFmt w:val="bullet"/>
      <w:lvlText w:val=""/>
      <w:lvlJc w:val="left"/>
      <w:pPr>
        <w:ind w:left="4320" w:hanging="360"/>
      </w:pPr>
      <w:rPr>
        <w:rFonts w:ascii="Wingdings" w:hAnsi="Wingdings" w:hint="default"/>
      </w:rPr>
    </w:lvl>
    <w:lvl w:ilvl="6" w:tplc="40D2209E" w:tentative="1">
      <w:start w:val="1"/>
      <w:numFmt w:val="bullet"/>
      <w:lvlText w:val=""/>
      <w:lvlJc w:val="left"/>
      <w:pPr>
        <w:ind w:left="5040" w:hanging="360"/>
      </w:pPr>
      <w:rPr>
        <w:rFonts w:ascii="Symbol" w:hAnsi="Symbol" w:hint="default"/>
      </w:rPr>
    </w:lvl>
    <w:lvl w:ilvl="7" w:tplc="C9A6670A" w:tentative="1">
      <w:start w:val="1"/>
      <w:numFmt w:val="bullet"/>
      <w:lvlText w:val="o"/>
      <w:lvlJc w:val="left"/>
      <w:pPr>
        <w:ind w:left="5760" w:hanging="360"/>
      </w:pPr>
      <w:rPr>
        <w:rFonts w:ascii="Courier New" w:hAnsi="Courier New" w:cs="Courier New" w:hint="default"/>
      </w:rPr>
    </w:lvl>
    <w:lvl w:ilvl="8" w:tplc="5664CA30" w:tentative="1">
      <w:start w:val="1"/>
      <w:numFmt w:val="bullet"/>
      <w:lvlText w:val=""/>
      <w:lvlJc w:val="left"/>
      <w:pPr>
        <w:ind w:left="6480" w:hanging="360"/>
      </w:pPr>
      <w:rPr>
        <w:rFonts w:ascii="Wingdings" w:hAnsi="Wingdings" w:hint="default"/>
      </w:rPr>
    </w:lvl>
  </w:abstractNum>
  <w:abstractNum w:abstractNumId="14">
    <w:nsid w:val="14A47D93"/>
    <w:multiLevelType w:val="hybridMultilevel"/>
    <w:tmpl w:val="D78838D6"/>
    <w:lvl w:ilvl="0" w:tplc="EF181F3C">
      <w:start w:val="1"/>
      <w:numFmt w:val="decimal"/>
      <w:lvlText w:val="4.%1."/>
      <w:lvlJc w:val="left"/>
      <w:pPr>
        <w:ind w:left="720" w:hanging="360"/>
      </w:pPr>
      <w:rPr>
        <w:rFonts w:hint="default"/>
      </w:rPr>
    </w:lvl>
    <w:lvl w:ilvl="1" w:tplc="954E4C8E">
      <w:start w:val="1"/>
      <w:numFmt w:val="decimal"/>
      <w:lvlText w:val="4.%2."/>
      <w:lvlJc w:val="left"/>
      <w:pPr>
        <w:ind w:left="1440" w:hanging="360"/>
      </w:pPr>
      <w:rPr>
        <w:rFonts w:hint="default"/>
      </w:rPr>
    </w:lvl>
    <w:lvl w:ilvl="2" w:tplc="65307170" w:tentative="1">
      <w:start w:val="1"/>
      <w:numFmt w:val="lowerRoman"/>
      <w:lvlText w:val="%3."/>
      <w:lvlJc w:val="right"/>
      <w:pPr>
        <w:ind w:left="2160" w:hanging="180"/>
      </w:pPr>
    </w:lvl>
    <w:lvl w:ilvl="3" w:tplc="4C8E610C" w:tentative="1">
      <w:start w:val="1"/>
      <w:numFmt w:val="decimal"/>
      <w:lvlText w:val="%4."/>
      <w:lvlJc w:val="left"/>
      <w:pPr>
        <w:ind w:left="2880" w:hanging="360"/>
      </w:pPr>
    </w:lvl>
    <w:lvl w:ilvl="4" w:tplc="664E4A92" w:tentative="1">
      <w:start w:val="1"/>
      <w:numFmt w:val="lowerLetter"/>
      <w:lvlText w:val="%5."/>
      <w:lvlJc w:val="left"/>
      <w:pPr>
        <w:ind w:left="3600" w:hanging="360"/>
      </w:pPr>
    </w:lvl>
    <w:lvl w:ilvl="5" w:tplc="34B68A5C" w:tentative="1">
      <w:start w:val="1"/>
      <w:numFmt w:val="lowerRoman"/>
      <w:lvlText w:val="%6."/>
      <w:lvlJc w:val="right"/>
      <w:pPr>
        <w:ind w:left="4320" w:hanging="180"/>
      </w:pPr>
    </w:lvl>
    <w:lvl w:ilvl="6" w:tplc="90CC757C" w:tentative="1">
      <w:start w:val="1"/>
      <w:numFmt w:val="decimal"/>
      <w:lvlText w:val="%7."/>
      <w:lvlJc w:val="left"/>
      <w:pPr>
        <w:ind w:left="5040" w:hanging="360"/>
      </w:pPr>
    </w:lvl>
    <w:lvl w:ilvl="7" w:tplc="B8900D1E" w:tentative="1">
      <w:start w:val="1"/>
      <w:numFmt w:val="lowerLetter"/>
      <w:lvlText w:val="%8."/>
      <w:lvlJc w:val="left"/>
      <w:pPr>
        <w:ind w:left="5760" w:hanging="360"/>
      </w:pPr>
    </w:lvl>
    <w:lvl w:ilvl="8" w:tplc="9A2407FC" w:tentative="1">
      <w:start w:val="1"/>
      <w:numFmt w:val="lowerRoman"/>
      <w:lvlText w:val="%9."/>
      <w:lvlJc w:val="right"/>
      <w:pPr>
        <w:ind w:left="6480" w:hanging="180"/>
      </w:pPr>
    </w:lvl>
  </w:abstractNum>
  <w:abstractNum w:abstractNumId="15">
    <w:nsid w:val="153A10EF"/>
    <w:multiLevelType w:val="hybridMultilevel"/>
    <w:tmpl w:val="91783D60"/>
    <w:lvl w:ilvl="0" w:tplc="C3309ABE">
      <w:start w:val="1"/>
      <w:numFmt w:val="bullet"/>
      <w:lvlText w:val="-"/>
      <w:lvlJc w:val="left"/>
      <w:pPr>
        <w:ind w:left="720" w:hanging="360"/>
      </w:pPr>
      <w:rPr>
        <w:rFonts w:ascii="Courier New" w:hAnsi="Courier New" w:hint="default"/>
      </w:rPr>
    </w:lvl>
    <w:lvl w:ilvl="1" w:tplc="06C41060" w:tentative="1">
      <w:start w:val="1"/>
      <w:numFmt w:val="bullet"/>
      <w:lvlText w:val="o"/>
      <w:lvlJc w:val="left"/>
      <w:pPr>
        <w:ind w:left="1440" w:hanging="360"/>
      </w:pPr>
      <w:rPr>
        <w:rFonts w:ascii="Courier New" w:hAnsi="Courier New" w:cs="Courier New" w:hint="default"/>
      </w:rPr>
    </w:lvl>
    <w:lvl w:ilvl="2" w:tplc="9D24FA22" w:tentative="1">
      <w:start w:val="1"/>
      <w:numFmt w:val="bullet"/>
      <w:lvlText w:val=""/>
      <w:lvlJc w:val="left"/>
      <w:pPr>
        <w:ind w:left="2160" w:hanging="360"/>
      </w:pPr>
      <w:rPr>
        <w:rFonts w:ascii="Wingdings" w:hAnsi="Wingdings" w:hint="default"/>
      </w:rPr>
    </w:lvl>
    <w:lvl w:ilvl="3" w:tplc="B6B25D68" w:tentative="1">
      <w:start w:val="1"/>
      <w:numFmt w:val="bullet"/>
      <w:lvlText w:val=""/>
      <w:lvlJc w:val="left"/>
      <w:pPr>
        <w:ind w:left="2880" w:hanging="360"/>
      </w:pPr>
      <w:rPr>
        <w:rFonts w:ascii="Symbol" w:hAnsi="Symbol" w:hint="default"/>
      </w:rPr>
    </w:lvl>
    <w:lvl w:ilvl="4" w:tplc="B4941836" w:tentative="1">
      <w:start w:val="1"/>
      <w:numFmt w:val="bullet"/>
      <w:lvlText w:val="o"/>
      <w:lvlJc w:val="left"/>
      <w:pPr>
        <w:ind w:left="3600" w:hanging="360"/>
      </w:pPr>
      <w:rPr>
        <w:rFonts w:ascii="Courier New" w:hAnsi="Courier New" w:cs="Courier New" w:hint="default"/>
      </w:rPr>
    </w:lvl>
    <w:lvl w:ilvl="5" w:tplc="579C4F4C" w:tentative="1">
      <w:start w:val="1"/>
      <w:numFmt w:val="bullet"/>
      <w:lvlText w:val=""/>
      <w:lvlJc w:val="left"/>
      <w:pPr>
        <w:ind w:left="4320" w:hanging="360"/>
      </w:pPr>
      <w:rPr>
        <w:rFonts w:ascii="Wingdings" w:hAnsi="Wingdings" w:hint="default"/>
      </w:rPr>
    </w:lvl>
    <w:lvl w:ilvl="6" w:tplc="6E867F5E" w:tentative="1">
      <w:start w:val="1"/>
      <w:numFmt w:val="bullet"/>
      <w:lvlText w:val=""/>
      <w:lvlJc w:val="left"/>
      <w:pPr>
        <w:ind w:left="5040" w:hanging="360"/>
      </w:pPr>
      <w:rPr>
        <w:rFonts w:ascii="Symbol" w:hAnsi="Symbol" w:hint="default"/>
      </w:rPr>
    </w:lvl>
    <w:lvl w:ilvl="7" w:tplc="CD02399A" w:tentative="1">
      <w:start w:val="1"/>
      <w:numFmt w:val="bullet"/>
      <w:lvlText w:val="o"/>
      <w:lvlJc w:val="left"/>
      <w:pPr>
        <w:ind w:left="5760" w:hanging="360"/>
      </w:pPr>
      <w:rPr>
        <w:rFonts w:ascii="Courier New" w:hAnsi="Courier New" w:cs="Courier New" w:hint="default"/>
      </w:rPr>
    </w:lvl>
    <w:lvl w:ilvl="8" w:tplc="1FEAAAFA" w:tentative="1">
      <w:start w:val="1"/>
      <w:numFmt w:val="bullet"/>
      <w:lvlText w:val=""/>
      <w:lvlJc w:val="left"/>
      <w:pPr>
        <w:ind w:left="6480" w:hanging="360"/>
      </w:pPr>
      <w:rPr>
        <w:rFonts w:ascii="Wingdings" w:hAnsi="Wingdings" w:hint="default"/>
      </w:rPr>
    </w:lvl>
  </w:abstractNum>
  <w:abstractNum w:abstractNumId="16">
    <w:nsid w:val="161E2E61"/>
    <w:multiLevelType w:val="hybridMultilevel"/>
    <w:tmpl w:val="EE389558"/>
    <w:lvl w:ilvl="0" w:tplc="CC02F780">
      <w:start w:val="1"/>
      <w:numFmt w:val="upperRoman"/>
      <w:pStyle w:val="Heading1"/>
      <w:lvlText w:val="%1."/>
      <w:lvlJc w:val="right"/>
      <w:pPr>
        <w:tabs>
          <w:tab w:val="num" w:pos="3828"/>
        </w:tabs>
        <w:ind w:left="4264" w:hanging="720"/>
      </w:pPr>
      <w:rPr>
        <w:rFonts w:ascii="Arial" w:hAnsi="Arial" w:hint="default"/>
        <w:sz w:val="22"/>
      </w:rPr>
    </w:lvl>
    <w:lvl w:ilvl="1" w:tplc="EE3E7C16" w:tentative="1">
      <w:start w:val="1"/>
      <w:numFmt w:val="lowerLetter"/>
      <w:lvlText w:val="%2."/>
      <w:lvlJc w:val="left"/>
      <w:pPr>
        <w:tabs>
          <w:tab w:val="num" w:pos="1440"/>
        </w:tabs>
        <w:ind w:left="1440" w:hanging="360"/>
      </w:pPr>
    </w:lvl>
    <w:lvl w:ilvl="2" w:tplc="C046D7BC" w:tentative="1">
      <w:start w:val="1"/>
      <w:numFmt w:val="lowerRoman"/>
      <w:lvlText w:val="%3."/>
      <w:lvlJc w:val="right"/>
      <w:pPr>
        <w:tabs>
          <w:tab w:val="num" w:pos="2160"/>
        </w:tabs>
        <w:ind w:left="2160" w:hanging="180"/>
      </w:pPr>
    </w:lvl>
    <w:lvl w:ilvl="3" w:tplc="06C85F2A" w:tentative="1">
      <w:start w:val="1"/>
      <w:numFmt w:val="decimal"/>
      <w:lvlText w:val="%4."/>
      <w:lvlJc w:val="left"/>
      <w:pPr>
        <w:tabs>
          <w:tab w:val="num" w:pos="2880"/>
        </w:tabs>
        <w:ind w:left="2880" w:hanging="360"/>
      </w:pPr>
    </w:lvl>
    <w:lvl w:ilvl="4" w:tplc="5EFC56B2" w:tentative="1">
      <w:start w:val="1"/>
      <w:numFmt w:val="lowerLetter"/>
      <w:lvlText w:val="%5."/>
      <w:lvlJc w:val="left"/>
      <w:pPr>
        <w:tabs>
          <w:tab w:val="num" w:pos="3600"/>
        </w:tabs>
        <w:ind w:left="3600" w:hanging="360"/>
      </w:pPr>
    </w:lvl>
    <w:lvl w:ilvl="5" w:tplc="7D1E5194" w:tentative="1">
      <w:start w:val="1"/>
      <w:numFmt w:val="lowerRoman"/>
      <w:lvlText w:val="%6."/>
      <w:lvlJc w:val="right"/>
      <w:pPr>
        <w:tabs>
          <w:tab w:val="num" w:pos="4320"/>
        </w:tabs>
        <w:ind w:left="4320" w:hanging="180"/>
      </w:pPr>
    </w:lvl>
    <w:lvl w:ilvl="6" w:tplc="FDE28984" w:tentative="1">
      <w:start w:val="1"/>
      <w:numFmt w:val="decimal"/>
      <w:lvlText w:val="%7."/>
      <w:lvlJc w:val="left"/>
      <w:pPr>
        <w:tabs>
          <w:tab w:val="num" w:pos="5040"/>
        </w:tabs>
        <w:ind w:left="5040" w:hanging="360"/>
      </w:pPr>
    </w:lvl>
    <w:lvl w:ilvl="7" w:tplc="1B003F52" w:tentative="1">
      <w:start w:val="1"/>
      <w:numFmt w:val="lowerLetter"/>
      <w:lvlText w:val="%8."/>
      <w:lvlJc w:val="left"/>
      <w:pPr>
        <w:tabs>
          <w:tab w:val="num" w:pos="5760"/>
        </w:tabs>
        <w:ind w:left="5760" w:hanging="360"/>
      </w:pPr>
    </w:lvl>
    <w:lvl w:ilvl="8" w:tplc="77E640BC" w:tentative="1">
      <w:start w:val="1"/>
      <w:numFmt w:val="lowerRoman"/>
      <w:lvlText w:val="%9."/>
      <w:lvlJc w:val="right"/>
      <w:pPr>
        <w:tabs>
          <w:tab w:val="num" w:pos="6480"/>
        </w:tabs>
        <w:ind w:left="6480" w:hanging="180"/>
      </w:pPr>
    </w:lvl>
  </w:abstractNum>
  <w:abstractNum w:abstractNumId="17">
    <w:nsid w:val="16654ACA"/>
    <w:multiLevelType w:val="hybridMultilevel"/>
    <w:tmpl w:val="D04A63C8"/>
    <w:lvl w:ilvl="0" w:tplc="EEB64192">
      <w:start w:val="1"/>
      <w:numFmt w:val="bullet"/>
      <w:lvlText w:val="-"/>
      <w:lvlJc w:val="left"/>
      <w:pPr>
        <w:ind w:left="360" w:hanging="360"/>
      </w:pPr>
      <w:rPr>
        <w:rFonts w:ascii="Arial" w:eastAsia="Times New Roman" w:hAnsi="Arial" w:hint="default"/>
      </w:rPr>
    </w:lvl>
    <w:lvl w:ilvl="1" w:tplc="D398EED0" w:tentative="1">
      <w:start w:val="1"/>
      <w:numFmt w:val="bullet"/>
      <w:lvlText w:val="o"/>
      <w:lvlJc w:val="left"/>
      <w:pPr>
        <w:ind w:left="1080" w:hanging="360"/>
      </w:pPr>
      <w:rPr>
        <w:rFonts w:ascii="Courier New" w:hAnsi="Courier New" w:cs="Courier New" w:hint="default"/>
      </w:rPr>
    </w:lvl>
    <w:lvl w:ilvl="2" w:tplc="50DEBC4C" w:tentative="1">
      <w:start w:val="1"/>
      <w:numFmt w:val="bullet"/>
      <w:lvlText w:val=""/>
      <w:lvlJc w:val="left"/>
      <w:pPr>
        <w:ind w:left="1800" w:hanging="360"/>
      </w:pPr>
      <w:rPr>
        <w:rFonts w:ascii="Wingdings" w:hAnsi="Wingdings" w:hint="default"/>
      </w:rPr>
    </w:lvl>
    <w:lvl w:ilvl="3" w:tplc="64D6FB06" w:tentative="1">
      <w:start w:val="1"/>
      <w:numFmt w:val="bullet"/>
      <w:lvlText w:val=""/>
      <w:lvlJc w:val="left"/>
      <w:pPr>
        <w:ind w:left="2520" w:hanging="360"/>
      </w:pPr>
      <w:rPr>
        <w:rFonts w:ascii="Symbol" w:hAnsi="Symbol" w:hint="default"/>
      </w:rPr>
    </w:lvl>
    <w:lvl w:ilvl="4" w:tplc="BA968094" w:tentative="1">
      <w:start w:val="1"/>
      <w:numFmt w:val="bullet"/>
      <w:lvlText w:val="o"/>
      <w:lvlJc w:val="left"/>
      <w:pPr>
        <w:ind w:left="3240" w:hanging="360"/>
      </w:pPr>
      <w:rPr>
        <w:rFonts w:ascii="Courier New" w:hAnsi="Courier New" w:cs="Courier New" w:hint="default"/>
      </w:rPr>
    </w:lvl>
    <w:lvl w:ilvl="5" w:tplc="37646224" w:tentative="1">
      <w:start w:val="1"/>
      <w:numFmt w:val="bullet"/>
      <w:lvlText w:val=""/>
      <w:lvlJc w:val="left"/>
      <w:pPr>
        <w:ind w:left="3960" w:hanging="360"/>
      </w:pPr>
      <w:rPr>
        <w:rFonts w:ascii="Wingdings" w:hAnsi="Wingdings" w:hint="default"/>
      </w:rPr>
    </w:lvl>
    <w:lvl w:ilvl="6" w:tplc="56A22034" w:tentative="1">
      <w:start w:val="1"/>
      <w:numFmt w:val="bullet"/>
      <w:lvlText w:val=""/>
      <w:lvlJc w:val="left"/>
      <w:pPr>
        <w:ind w:left="4680" w:hanging="360"/>
      </w:pPr>
      <w:rPr>
        <w:rFonts w:ascii="Symbol" w:hAnsi="Symbol" w:hint="default"/>
      </w:rPr>
    </w:lvl>
    <w:lvl w:ilvl="7" w:tplc="ED9055CC" w:tentative="1">
      <w:start w:val="1"/>
      <w:numFmt w:val="bullet"/>
      <w:lvlText w:val="o"/>
      <w:lvlJc w:val="left"/>
      <w:pPr>
        <w:ind w:left="5400" w:hanging="360"/>
      </w:pPr>
      <w:rPr>
        <w:rFonts w:ascii="Courier New" w:hAnsi="Courier New" w:cs="Courier New" w:hint="default"/>
      </w:rPr>
    </w:lvl>
    <w:lvl w:ilvl="8" w:tplc="DDBAC8DE" w:tentative="1">
      <w:start w:val="1"/>
      <w:numFmt w:val="bullet"/>
      <w:lvlText w:val=""/>
      <w:lvlJc w:val="left"/>
      <w:pPr>
        <w:ind w:left="6120" w:hanging="360"/>
      </w:pPr>
      <w:rPr>
        <w:rFonts w:ascii="Wingdings" w:hAnsi="Wingdings" w:hint="default"/>
      </w:rPr>
    </w:lvl>
  </w:abstractNum>
  <w:abstractNum w:abstractNumId="18">
    <w:nsid w:val="17106EBE"/>
    <w:multiLevelType w:val="hybridMultilevel"/>
    <w:tmpl w:val="5962666E"/>
    <w:lvl w:ilvl="0" w:tplc="7FF8E218">
      <w:start w:val="1"/>
      <w:numFmt w:val="bullet"/>
      <w:lvlText w:val=""/>
      <w:lvlJc w:val="left"/>
      <w:pPr>
        <w:ind w:left="927" w:hanging="360"/>
      </w:pPr>
      <w:rPr>
        <w:rFonts w:ascii="Symbol" w:hAnsi="Symbol" w:hint="default"/>
      </w:rPr>
    </w:lvl>
    <w:lvl w:ilvl="1" w:tplc="557E15E2" w:tentative="1">
      <w:start w:val="1"/>
      <w:numFmt w:val="bullet"/>
      <w:lvlText w:val="o"/>
      <w:lvlJc w:val="left"/>
      <w:pPr>
        <w:ind w:left="1647" w:hanging="360"/>
      </w:pPr>
      <w:rPr>
        <w:rFonts w:ascii="Courier New" w:hAnsi="Courier New" w:cs="Courier New" w:hint="default"/>
      </w:rPr>
    </w:lvl>
    <w:lvl w:ilvl="2" w:tplc="D1424922" w:tentative="1">
      <w:start w:val="1"/>
      <w:numFmt w:val="bullet"/>
      <w:lvlText w:val=""/>
      <w:lvlJc w:val="left"/>
      <w:pPr>
        <w:ind w:left="2367" w:hanging="360"/>
      </w:pPr>
      <w:rPr>
        <w:rFonts w:ascii="Wingdings" w:hAnsi="Wingdings" w:hint="default"/>
      </w:rPr>
    </w:lvl>
    <w:lvl w:ilvl="3" w:tplc="2FB80210" w:tentative="1">
      <w:start w:val="1"/>
      <w:numFmt w:val="bullet"/>
      <w:lvlText w:val=""/>
      <w:lvlJc w:val="left"/>
      <w:pPr>
        <w:ind w:left="3087" w:hanging="360"/>
      </w:pPr>
      <w:rPr>
        <w:rFonts w:ascii="Symbol" w:hAnsi="Symbol" w:hint="default"/>
      </w:rPr>
    </w:lvl>
    <w:lvl w:ilvl="4" w:tplc="85E8B6F0" w:tentative="1">
      <w:start w:val="1"/>
      <w:numFmt w:val="bullet"/>
      <w:lvlText w:val="o"/>
      <w:lvlJc w:val="left"/>
      <w:pPr>
        <w:ind w:left="3807" w:hanging="360"/>
      </w:pPr>
      <w:rPr>
        <w:rFonts w:ascii="Courier New" w:hAnsi="Courier New" w:cs="Courier New" w:hint="default"/>
      </w:rPr>
    </w:lvl>
    <w:lvl w:ilvl="5" w:tplc="9A3C676C" w:tentative="1">
      <w:start w:val="1"/>
      <w:numFmt w:val="bullet"/>
      <w:lvlText w:val=""/>
      <w:lvlJc w:val="left"/>
      <w:pPr>
        <w:ind w:left="4527" w:hanging="360"/>
      </w:pPr>
      <w:rPr>
        <w:rFonts w:ascii="Wingdings" w:hAnsi="Wingdings" w:hint="default"/>
      </w:rPr>
    </w:lvl>
    <w:lvl w:ilvl="6" w:tplc="2CDE9BD8" w:tentative="1">
      <w:start w:val="1"/>
      <w:numFmt w:val="bullet"/>
      <w:lvlText w:val=""/>
      <w:lvlJc w:val="left"/>
      <w:pPr>
        <w:ind w:left="5247" w:hanging="360"/>
      </w:pPr>
      <w:rPr>
        <w:rFonts w:ascii="Symbol" w:hAnsi="Symbol" w:hint="default"/>
      </w:rPr>
    </w:lvl>
    <w:lvl w:ilvl="7" w:tplc="372E2F3A" w:tentative="1">
      <w:start w:val="1"/>
      <w:numFmt w:val="bullet"/>
      <w:lvlText w:val="o"/>
      <w:lvlJc w:val="left"/>
      <w:pPr>
        <w:ind w:left="5967" w:hanging="360"/>
      </w:pPr>
      <w:rPr>
        <w:rFonts w:ascii="Courier New" w:hAnsi="Courier New" w:cs="Courier New" w:hint="default"/>
      </w:rPr>
    </w:lvl>
    <w:lvl w:ilvl="8" w:tplc="08B0CAA2" w:tentative="1">
      <w:start w:val="1"/>
      <w:numFmt w:val="bullet"/>
      <w:lvlText w:val=""/>
      <w:lvlJc w:val="left"/>
      <w:pPr>
        <w:ind w:left="6687" w:hanging="360"/>
      </w:pPr>
      <w:rPr>
        <w:rFonts w:ascii="Wingdings" w:hAnsi="Wingdings" w:hint="default"/>
      </w:rPr>
    </w:lvl>
  </w:abstractNum>
  <w:abstractNum w:abstractNumId="19">
    <w:nsid w:val="17D45F57"/>
    <w:multiLevelType w:val="multilevel"/>
    <w:tmpl w:val="29145F1C"/>
    <w:lvl w:ilvl="0">
      <w:start w:val="1"/>
      <w:numFmt w:val="lowerRoman"/>
      <w:lvlText w:val="%1)"/>
      <w:lvlJc w:val="left"/>
      <w:pPr>
        <w:tabs>
          <w:tab w:val="num" w:pos="1324"/>
        </w:tabs>
        <w:ind w:left="1324" w:hanging="360"/>
      </w:pPr>
      <w:rPr>
        <w:rFonts w:hint="default"/>
        <w:sz w:val="20"/>
      </w:rPr>
    </w:lvl>
    <w:lvl w:ilvl="1">
      <w:start w:val="1"/>
      <w:numFmt w:val="bullet"/>
      <w:lvlText w:val=""/>
      <w:lvlJc w:val="left"/>
      <w:pPr>
        <w:tabs>
          <w:tab w:val="num" w:pos="2007"/>
        </w:tabs>
        <w:ind w:left="2007" w:hanging="360"/>
      </w:pPr>
      <w:rPr>
        <w:rFonts w:ascii="Symbol" w:hAnsi="Symbol" w:hint="default"/>
        <w:sz w:val="20"/>
      </w:rPr>
    </w:lvl>
    <w:lvl w:ilvl="2">
      <w:start w:val="1"/>
      <w:numFmt w:val="bullet"/>
      <w:lvlText w:val=""/>
      <w:lvlJc w:val="left"/>
      <w:pPr>
        <w:tabs>
          <w:tab w:val="num" w:pos="2727"/>
        </w:tabs>
        <w:ind w:left="2727" w:hanging="360"/>
      </w:pPr>
      <w:rPr>
        <w:rFonts w:ascii="Symbol" w:hAnsi="Symbol" w:hint="default"/>
        <w:sz w:val="20"/>
      </w:rPr>
    </w:lvl>
    <w:lvl w:ilvl="3">
      <w:start w:val="1"/>
      <w:numFmt w:val="bullet"/>
      <w:lvlText w:val=""/>
      <w:lvlJc w:val="left"/>
      <w:pPr>
        <w:tabs>
          <w:tab w:val="num" w:pos="3447"/>
        </w:tabs>
        <w:ind w:left="3447" w:hanging="360"/>
      </w:pPr>
      <w:rPr>
        <w:rFonts w:ascii="Symbol" w:hAnsi="Symbol" w:hint="default"/>
        <w:sz w:val="20"/>
      </w:rPr>
    </w:lvl>
    <w:lvl w:ilvl="4">
      <w:start w:val="1"/>
      <w:numFmt w:val="bullet"/>
      <w:lvlText w:val=""/>
      <w:lvlJc w:val="left"/>
      <w:pPr>
        <w:tabs>
          <w:tab w:val="num" w:pos="4167"/>
        </w:tabs>
        <w:ind w:left="4167" w:hanging="360"/>
      </w:pPr>
      <w:rPr>
        <w:rFonts w:ascii="Symbol" w:hAnsi="Symbol" w:hint="default"/>
        <w:sz w:val="20"/>
      </w:rPr>
    </w:lvl>
    <w:lvl w:ilvl="5">
      <w:start w:val="1"/>
      <w:numFmt w:val="bullet"/>
      <w:lvlText w:val=""/>
      <w:lvlJc w:val="left"/>
      <w:pPr>
        <w:tabs>
          <w:tab w:val="num" w:pos="4887"/>
        </w:tabs>
        <w:ind w:left="4887" w:hanging="360"/>
      </w:pPr>
      <w:rPr>
        <w:rFonts w:ascii="Symbol" w:hAnsi="Symbol" w:hint="default"/>
        <w:sz w:val="20"/>
      </w:rPr>
    </w:lvl>
    <w:lvl w:ilvl="6">
      <w:start w:val="1"/>
      <w:numFmt w:val="bullet"/>
      <w:lvlText w:val=""/>
      <w:lvlJc w:val="left"/>
      <w:pPr>
        <w:tabs>
          <w:tab w:val="num" w:pos="5607"/>
        </w:tabs>
        <w:ind w:left="5607" w:hanging="360"/>
      </w:pPr>
      <w:rPr>
        <w:rFonts w:ascii="Symbol" w:hAnsi="Symbol" w:hint="default"/>
        <w:sz w:val="20"/>
      </w:rPr>
    </w:lvl>
    <w:lvl w:ilvl="7">
      <w:start w:val="1"/>
      <w:numFmt w:val="bullet"/>
      <w:lvlText w:val=""/>
      <w:lvlJc w:val="left"/>
      <w:pPr>
        <w:tabs>
          <w:tab w:val="num" w:pos="6327"/>
        </w:tabs>
        <w:ind w:left="6327" w:hanging="360"/>
      </w:pPr>
      <w:rPr>
        <w:rFonts w:ascii="Symbol" w:hAnsi="Symbol" w:hint="default"/>
        <w:sz w:val="20"/>
      </w:rPr>
    </w:lvl>
    <w:lvl w:ilvl="8">
      <w:start w:val="1"/>
      <w:numFmt w:val="bullet"/>
      <w:lvlText w:val=""/>
      <w:lvlJc w:val="left"/>
      <w:pPr>
        <w:tabs>
          <w:tab w:val="num" w:pos="7047"/>
        </w:tabs>
        <w:ind w:left="7047" w:hanging="360"/>
      </w:pPr>
      <w:rPr>
        <w:rFonts w:ascii="Symbol" w:hAnsi="Symbol" w:hint="default"/>
        <w:sz w:val="20"/>
      </w:rPr>
    </w:lvl>
  </w:abstractNum>
  <w:abstractNum w:abstractNumId="20">
    <w:nsid w:val="182F7E1C"/>
    <w:multiLevelType w:val="hybridMultilevel"/>
    <w:tmpl w:val="8ABCC6EC"/>
    <w:lvl w:ilvl="0" w:tplc="2028F63A">
      <w:start w:val="1"/>
      <w:numFmt w:val="bullet"/>
      <w:lvlText w:val=""/>
      <w:lvlJc w:val="left"/>
      <w:pPr>
        <w:ind w:left="360" w:hanging="360"/>
      </w:pPr>
      <w:rPr>
        <w:rFonts w:ascii="Symbol" w:hAnsi="Symbol" w:hint="default"/>
      </w:rPr>
    </w:lvl>
    <w:lvl w:ilvl="1" w:tplc="BE4C117E" w:tentative="1">
      <w:start w:val="1"/>
      <w:numFmt w:val="bullet"/>
      <w:lvlText w:val="o"/>
      <w:lvlJc w:val="left"/>
      <w:pPr>
        <w:ind w:left="1080" w:hanging="360"/>
      </w:pPr>
      <w:rPr>
        <w:rFonts w:ascii="Courier New" w:hAnsi="Courier New" w:cs="Courier New" w:hint="default"/>
      </w:rPr>
    </w:lvl>
    <w:lvl w:ilvl="2" w:tplc="7C460A02" w:tentative="1">
      <w:start w:val="1"/>
      <w:numFmt w:val="bullet"/>
      <w:lvlText w:val=""/>
      <w:lvlJc w:val="left"/>
      <w:pPr>
        <w:ind w:left="1800" w:hanging="360"/>
      </w:pPr>
      <w:rPr>
        <w:rFonts w:ascii="Wingdings" w:hAnsi="Wingdings" w:hint="default"/>
      </w:rPr>
    </w:lvl>
    <w:lvl w:ilvl="3" w:tplc="4D76070C" w:tentative="1">
      <w:start w:val="1"/>
      <w:numFmt w:val="bullet"/>
      <w:lvlText w:val=""/>
      <w:lvlJc w:val="left"/>
      <w:pPr>
        <w:ind w:left="2520" w:hanging="360"/>
      </w:pPr>
      <w:rPr>
        <w:rFonts w:ascii="Symbol" w:hAnsi="Symbol" w:hint="default"/>
      </w:rPr>
    </w:lvl>
    <w:lvl w:ilvl="4" w:tplc="99E46CD2" w:tentative="1">
      <w:start w:val="1"/>
      <w:numFmt w:val="bullet"/>
      <w:lvlText w:val="o"/>
      <w:lvlJc w:val="left"/>
      <w:pPr>
        <w:ind w:left="3240" w:hanging="360"/>
      </w:pPr>
      <w:rPr>
        <w:rFonts w:ascii="Courier New" w:hAnsi="Courier New" w:cs="Courier New" w:hint="default"/>
      </w:rPr>
    </w:lvl>
    <w:lvl w:ilvl="5" w:tplc="37787434" w:tentative="1">
      <w:start w:val="1"/>
      <w:numFmt w:val="bullet"/>
      <w:lvlText w:val=""/>
      <w:lvlJc w:val="left"/>
      <w:pPr>
        <w:ind w:left="3960" w:hanging="360"/>
      </w:pPr>
      <w:rPr>
        <w:rFonts w:ascii="Wingdings" w:hAnsi="Wingdings" w:hint="default"/>
      </w:rPr>
    </w:lvl>
    <w:lvl w:ilvl="6" w:tplc="81C4E4A8" w:tentative="1">
      <w:start w:val="1"/>
      <w:numFmt w:val="bullet"/>
      <w:lvlText w:val=""/>
      <w:lvlJc w:val="left"/>
      <w:pPr>
        <w:ind w:left="4680" w:hanging="360"/>
      </w:pPr>
      <w:rPr>
        <w:rFonts w:ascii="Symbol" w:hAnsi="Symbol" w:hint="default"/>
      </w:rPr>
    </w:lvl>
    <w:lvl w:ilvl="7" w:tplc="A7FAC5B0" w:tentative="1">
      <w:start w:val="1"/>
      <w:numFmt w:val="bullet"/>
      <w:lvlText w:val="o"/>
      <w:lvlJc w:val="left"/>
      <w:pPr>
        <w:ind w:left="5400" w:hanging="360"/>
      </w:pPr>
      <w:rPr>
        <w:rFonts w:ascii="Courier New" w:hAnsi="Courier New" w:cs="Courier New" w:hint="default"/>
      </w:rPr>
    </w:lvl>
    <w:lvl w:ilvl="8" w:tplc="8656FFB6" w:tentative="1">
      <w:start w:val="1"/>
      <w:numFmt w:val="bullet"/>
      <w:lvlText w:val=""/>
      <w:lvlJc w:val="left"/>
      <w:pPr>
        <w:ind w:left="6120" w:hanging="360"/>
      </w:pPr>
      <w:rPr>
        <w:rFonts w:ascii="Wingdings" w:hAnsi="Wingdings" w:hint="default"/>
      </w:rPr>
    </w:lvl>
  </w:abstractNum>
  <w:abstractNum w:abstractNumId="21">
    <w:nsid w:val="1CE700FE"/>
    <w:multiLevelType w:val="hybridMultilevel"/>
    <w:tmpl w:val="E66E8912"/>
    <w:lvl w:ilvl="0" w:tplc="9B5EDC44">
      <w:start w:val="1"/>
      <w:numFmt w:val="upperLetter"/>
      <w:lvlText w:val="%1."/>
      <w:lvlJc w:val="left"/>
      <w:pPr>
        <w:ind w:left="360" w:hanging="360"/>
      </w:pPr>
      <w:rPr>
        <w:rFonts w:hint="default"/>
      </w:rPr>
    </w:lvl>
    <w:lvl w:ilvl="1" w:tplc="C73A7FB6" w:tentative="1">
      <w:start w:val="1"/>
      <w:numFmt w:val="lowerLetter"/>
      <w:lvlText w:val="%2."/>
      <w:lvlJc w:val="left"/>
      <w:pPr>
        <w:ind w:left="1080" w:hanging="360"/>
      </w:pPr>
    </w:lvl>
    <w:lvl w:ilvl="2" w:tplc="0F544652" w:tentative="1">
      <w:start w:val="1"/>
      <w:numFmt w:val="lowerRoman"/>
      <w:lvlText w:val="%3."/>
      <w:lvlJc w:val="right"/>
      <w:pPr>
        <w:ind w:left="1800" w:hanging="180"/>
      </w:pPr>
    </w:lvl>
    <w:lvl w:ilvl="3" w:tplc="1868D0C8" w:tentative="1">
      <w:start w:val="1"/>
      <w:numFmt w:val="decimal"/>
      <w:lvlText w:val="%4."/>
      <w:lvlJc w:val="left"/>
      <w:pPr>
        <w:ind w:left="2520" w:hanging="360"/>
      </w:pPr>
    </w:lvl>
    <w:lvl w:ilvl="4" w:tplc="032606C4" w:tentative="1">
      <w:start w:val="1"/>
      <w:numFmt w:val="lowerLetter"/>
      <w:lvlText w:val="%5."/>
      <w:lvlJc w:val="left"/>
      <w:pPr>
        <w:ind w:left="3240" w:hanging="360"/>
      </w:pPr>
    </w:lvl>
    <w:lvl w:ilvl="5" w:tplc="F8D83734" w:tentative="1">
      <w:start w:val="1"/>
      <w:numFmt w:val="lowerRoman"/>
      <w:lvlText w:val="%6."/>
      <w:lvlJc w:val="right"/>
      <w:pPr>
        <w:ind w:left="3960" w:hanging="180"/>
      </w:pPr>
    </w:lvl>
    <w:lvl w:ilvl="6" w:tplc="2F42448C" w:tentative="1">
      <w:start w:val="1"/>
      <w:numFmt w:val="decimal"/>
      <w:lvlText w:val="%7."/>
      <w:lvlJc w:val="left"/>
      <w:pPr>
        <w:ind w:left="4680" w:hanging="360"/>
      </w:pPr>
    </w:lvl>
    <w:lvl w:ilvl="7" w:tplc="0016CDDC" w:tentative="1">
      <w:start w:val="1"/>
      <w:numFmt w:val="lowerLetter"/>
      <w:lvlText w:val="%8."/>
      <w:lvlJc w:val="left"/>
      <w:pPr>
        <w:ind w:left="5400" w:hanging="360"/>
      </w:pPr>
    </w:lvl>
    <w:lvl w:ilvl="8" w:tplc="0720A95E" w:tentative="1">
      <w:start w:val="1"/>
      <w:numFmt w:val="lowerRoman"/>
      <w:lvlText w:val="%9."/>
      <w:lvlJc w:val="right"/>
      <w:pPr>
        <w:ind w:left="6120" w:hanging="180"/>
      </w:pPr>
    </w:lvl>
  </w:abstractNum>
  <w:abstractNum w:abstractNumId="22">
    <w:nsid w:val="1D0E6885"/>
    <w:multiLevelType w:val="hybridMultilevel"/>
    <w:tmpl w:val="1CA89FB6"/>
    <w:lvl w:ilvl="0" w:tplc="5930E56A">
      <w:start w:val="1"/>
      <w:numFmt w:val="bullet"/>
      <w:lvlText w:val=""/>
      <w:lvlJc w:val="left"/>
      <w:pPr>
        <w:ind w:left="927" w:hanging="360"/>
      </w:pPr>
      <w:rPr>
        <w:rFonts w:ascii="Symbol" w:hAnsi="Symbol" w:hint="default"/>
      </w:rPr>
    </w:lvl>
    <w:lvl w:ilvl="1" w:tplc="CB982834" w:tentative="1">
      <w:start w:val="1"/>
      <w:numFmt w:val="bullet"/>
      <w:lvlText w:val="o"/>
      <w:lvlJc w:val="left"/>
      <w:pPr>
        <w:ind w:left="1647" w:hanging="360"/>
      </w:pPr>
      <w:rPr>
        <w:rFonts w:ascii="Courier New" w:hAnsi="Courier New" w:cs="Courier New" w:hint="default"/>
      </w:rPr>
    </w:lvl>
    <w:lvl w:ilvl="2" w:tplc="A202D240" w:tentative="1">
      <w:start w:val="1"/>
      <w:numFmt w:val="bullet"/>
      <w:lvlText w:val=""/>
      <w:lvlJc w:val="left"/>
      <w:pPr>
        <w:ind w:left="2367" w:hanging="360"/>
      </w:pPr>
      <w:rPr>
        <w:rFonts w:ascii="Wingdings" w:hAnsi="Wingdings" w:hint="default"/>
      </w:rPr>
    </w:lvl>
    <w:lvl w:ilvl="3" w:tplc="9A7ADFEC" w:tentative="1">
      <w:start w:val="1"/>
      <w:numFmt w:val="bullet"/>
      <w:lvlText w:val=""/>
      <w:lvlJc w:val="left"/>
      <w:pPr>
        <w:ind w:left="3087" w:hanging="360"/>
      </w:pPr>
      <w:rPr>
        <w:rFonts w:ascii="Symbol" w:hAnsi="Symbol" w:hint="default"/>
      </w:rPr>
    </w:lvl>
    <w:lvl w:ilvl="4" w:tplc="ED127612" w:tentative="1">
      <w:start w:val="1"/>
      <w:numFmt w:val="bullet"/>
      <w:lvlText w:val="o"/>
      <w:lvlJc w:val="left"/>
      <w:pPr>
        <w:ind w:left="3807" w:hanging="360"/>
      </w:pPr>
      <w:rPr>
        <w:rFonts w:ascii="Courier New" w:hAnsi="Courier New" w:cs="Courier New" w:hint="default"/>
      </w:rPr>
    </w:lvl>
    <w:lvl w:ilvl="5" w:tplc="2CDA1B1A" w:tentative="1">
      <w:start w:val="1"/>
      <w:numFmt w:val="bullet"/>
      <w:lvlText w:val=""/>
      <w:lvlJc w:val="left"/>
      <w:pPr>
        <w:ind w:left="4527" w:hanging="360"/>
      </w:pPr>
      <w:rPr>
        <w:rFonts w:ascii="Wingdings" w:hAnsi="Wingdings" w:hint="default"/>
      </w:rPr>
    </w:lvl>
    <w:lvl w:ilvl="6" w:tplc="12E2C322" w:tentative="1">
      <w:start w:val="1"/>
      <w:numFmt w:val="bullet"/>
      <w:lvlText w:val=""/>
      <w:lvlJc w:val="left"/>
      <w:pPr>
        <w:ind w:left="5247" w:hanging="360"/>
      </w:pPr>
      <w:rPr>
        <w:rFonts w:ascii="Symbol" w:hAnsi="Symbol" w:hint="default"/>
      </w:rPr>
    </w:lvl>
    <w:lvl w:ilvl="7" w:tplc="A94404CA" w:tentative="1">
      <w:start w:val="1"/>
      <w:numFmt w:val="bullet"/>
      <w:lvlText w:val="o"/>
      <w:lvlJc w:val="left"/>
      <w:pPr>
        <w:ind w:left="5967" w:hanging="360"/>
      </w:pPr>
      <w:rPr>
        <w:rFonts w:ascii="Courier New" w:hAnsi="Courier New" w:cs="Courier New" w:hint="default"/>
      </w:rPr>
    </w:lvl>
    <w:lvl w:ilvl="8" w:tplc="096A7060" w:tentative="1">
      <w:start w:val="1"/>
      <w:numFmt w:val="bullet"/>
      <w:lvlText w:val=""/>
      <w:lvlJc w:val="left"/>
      <w:pPr>
        <w:ind w:left="6687" w:hanging="360"/>
      </w:pPr>
      <w:rPr>
        <w:rFonts w:ascii="Wingdings" w:hAnsi="Wingdings" w:hint="default"/>
      </w:rPr>
    </w:lvl>
  </w:abstractNum>
  <w:abstractNum w:abstractNumId="23">
    <w:nsid w:val="1FD44917"/>
    <w:multiLevelType w:val="hybridMultilevel"/>
    <w:tmpl w:val="7F8CC5BE"/>
    <w:lvl w:ilvl="0" w:tplc="39F27130">
      <w:start w:val="1"/>
      <w:numFmt w:val="decimal"/>
      <w:lvlRestart w:val="0"/>
      <w:lvlText w:val="21.%1."/>
      <w:lvlJc w:val="left"/>
      <w:pPr>
        <w:tabs>
          <w:tab w:val="num" w:pos="680"/>
        </w:tabs>
        <w:ind w:left="0" w:firstLine="0"/>
      </w:pPr>
      <w:rPr>
        <w:rFonts w:ascii="Arial" w:hAnsi="Arial" w:cs="Arial" w:hint="default"/>
        <w:sz w:val="20"/>
        <w:szCs w:val="20"/>
      </w:rPr>
    </w:lvl>
    <w:lvl w:ilvl="1" w:tplc="DA6E61E8" w:tentative="1">
      <w:start w:val="1"/>
      <w:numFmt w:val="lowerLetter"/>
      <w:lvlText w:val="%2."/>
      <w:lvlJc w:val="left"/>
      <w:pPr>
        <w:tabs>
          <w:tab w:val="num" w:pos="1440"/>
        </w:tabs>
        <w:ind w:left="1440" w:hanging="360"/>
      </w:pPr>
    </w:lvl>
    <w:lvl w:ilvl="2" w:tplc="5BE6F30C" w:tentative="1">
      <w:start w:val="1"/>
      <w:numFmt w:val="lowerRoman"/>
      <w:lvlText w:val="%3."/>
      <w:lvlJc w:val="right"/>
      <w:pPr>
        <w:tabs>
          <w:tab w:val="num" w:pos="2160"/>
        </w:tabs>
        <w:ind w:left="2160" w:hanging="180"/>
      </w:pPr>
    </w:lvl>
    <w:lvl w:ilvl="3" w:tplc="D6645EC2" w:tentative="1">
      <w:start w:val="1"/>
      <w:numFmt w:val="decimal"/>
      <w:lvlText w:val="%4."/>
      <w:lvlJc w:val="left"/>
      <w:pPr>
        <w:tabs>
          <w:tab w:val="num" w:pos="2880"/>
        </w:tabs>
        <w:ind w:left="2880" w:hanging="360"/>
      </w:pPr>
    </w:lvl>
    <w:lvl w:ilvl="4" w:tplc="8D64D7E8" w:tentative="1">
      <w:start w:val="1"/>
      <w:numFmt w:val="lowerLetter"/>
      <w:lvlText w:val="%5."/>
      <w:lvlJc w:val="left"/>
      <w:pPr>
        <w:tabs>
          <w:tab w:val="num" w:pos="3600"/>
        </w:tabs>
        <w:ind w:left="3600" w:hanging="360"/>
      </w:pPr>
    </w:lvl>
    <w:lvl w:ilvl="5" w:tplc="7CB81F3A" w:tentative="1">
      <w:start w:val="1"/>
      <w:numFmt w:val="lowerRoman"/>
      <w:lvlText w:val="%6."/>
      <w:lvlJc w:val="right"/>
      <w:pPr>
        <w:tabs>
          <w:tab w:val="num" w:pos="4320"/>
        </w:tabs>
        <w:ind w:left="4320" w:hanging="180"/>
      </w:pPr>
    </w:lvl>
    <w:lvl w:ilvl="6" w:tplc="4CDABC24" w:tentative="1">
      <w:start w:val="1"/>
      <w:numFmt w:val="decimal"/>
      <w:lvlText w:val="%7."/>
      <w:lvlJc w:val="left"/>
      <w:pPr>
        <w:tabs>
          <w:tab w:val="num" w:pos="5040"/>
        </w:tabs>
        <w:ind w:left="5040" w:hanging="360"/>
      </w:pPr>
    </w:lvl>
    <w:lvl w:ilvl="7" w:tplc="2AC2BF38" w:tentative="1">
      <w:start w:val="1"/>
      <w:numFmt w:val="lowerLetter"/>
      <w:lvlText w:val="%8."/>
      <w:lvlJc w:val="left"/>
      <w:pPr>
        <w:tabs>
          <w:tab w:val="num" w:pos="5760"/>
        </w:tabs>
        <w:ind w:left="5760" w:hanging="360"/>
      </w:pPr>
    </w:lvl>
    <w:lvl w:ilvl="8" w:tplc="7F6849A0" w:tentative="1">
      <w:start w:val="1"/>
      <w:numFmt w:val="lowerRoman"/>
      <w:lvlText w:val="%9."/>
      <w:lvlJc w:val="right"/>
      <w:pPr>
        <w:tabs>
          <w:tab w:val="num" w:pos="6480"/>
        </w:tabs>
        <w:ind w:left="6480" w:hanging="180"/>
      </w:pPr>
    </w:lvl>
  </w:abstractNum>
  <w:abstractNum w:abstractNumId="24">
    <w:nsid w:val="22567DBB"/>
    <w:multiLevelType w:val="hybridMultilevel"/>
    <w:tmpl w:val="20584CB0"/>
    <w:lvl w:ilvl="0" w:tplc="34F64956">
      <w:start w:val="1"/>
      <w:numFmt w:val="decimal"/>
      <w:lvlText w:val="6.%1."/>
      <w:lvlJc w:val="left"/>
      <w:pPr>
        <w:ind w:left="720" w:hanging="360"/>
      </w:pPr>
      <w:rPr>
        <w:rFonts w:hint="default"/>
      </w:rPr>
    </w:lvl>
    <w:lvl w:ilvl="1" w:tplc="E162FAE8" w:tentative="1">
      <w:start w:val="1"/>
      <w:numFmt w:val="lowerLetter"/>
      <w:lvlText w:val="%2."/>
      <w:lvlJc w:val="left"/>
      <w:pPr>
        <w:ind w:left="1440" w:hanging="360"/>
      </w:pPr>
    </w:lvl>
    <w:lvl w:ilvl="2" w:tplc="2B582AA6" w:tentative="1">
      <w:start w:val="1"/>
      <w:numFmt w:val="lowerRoman"/>
      <w:lvlText w:val="%3."/>
      <w:lvlJc w:val="right"/>
      <w:pPr>
        <w:ind w:left="2160" w:hanging="180"/>
      </w:pPr>
    </w:lvl>
    <w:lvl w:ilvl="3" w:tplc="6F044E08" w:tentative="1">
      <w:start w:val="1"/>
      <w:numFmt w:val="decimal"/>
      <w:lvlText w:val="%4."/>
      <w:lvlJc w:val="left"/>
      <w:pPr>
        <w:ind w:left="2880" w:hanging="360"/>
      </w:pPr>
    </w:lvl>
    <w:lvl w:ilvl="4" w:tplc="F6F4933C" w:tentative="1">
      <w:start w:val="1"/>
      <w:numFmt w:val="lowerLetter"/>
      <w:lvlText w:val="%5."/>
      <w:lvlJc w:val="left"/>
      <w:pPr>
        <w:ind w:left="3600" w:hanging="360"/>
      </w:pPr>
    </w:lvl>
    <w:lvl w:ilvl="5" w:tplc="F318A5D6" w:tentative="1">
      <w:start w:val="1"/>
      <w:numFmt w:val="lowerRoman"/>
      <w:lvlText w:val="%6."/>
      <w:lvlJc w:val="right"/>
      <w:pPr>
        <w:ind w:left="4320" w:hanging="180"/>
      </w:pPr>
    </w:lvl>
    <w:lvl w:ilvl="6" w:tplc="8E26BCF2" w:tentative="1">
      <w:start w:val="1"/>
      <w:numFmt w:val="decimal"/>
      <w:lvlText w:val="%7."/>
      <w:lvlJc w:val="left"/>
      <w:pPr>
        <w:ind w:left="5040" w:hanging="360"/>
      </w:pPr>
    </w:lvl>
    <w:lvl w:ilvl="7" w:tplc="16B69652" w:tentative="1">
      <w:start w:val="1"/>
      <w:numFmt w:val="lowerLetter"/>
      <w:lvlText w:val="%8."/>
      <w:lvlJc w:val="left"/>
      <w:pPr>
        <w:ind w:left="5760" w:hanging="360"/>
      </w:pPr>
    </w:lvl>
    <w:lvl w:ilvl="8" w:tplc="44DAE0F6" w:tentative="1">
      <w:start w:val="1"/>
      <w:numFmt w:val="lowerRoman"/>
      <w:lvlText w:val="%9."/>
      <w:lvlJc w:val="right"/>
      <w:pPr>
        <w:ind w:left="6480" w:hanging="180"/>
      </w:pPr>
    </w:lvl>
  </w:abstractNum>
  <w:abstractNum w:abstractNumId="25">
    <w:nsid w:val="22694810"/>
    <w:multiLevelType w:val="hybridMultilevel"/>
    <w:tmpl w:val="932EF95A"/>
    <w:lvl w:ilvl="0" w:tplc="93A0C6DA">
      <w:start w:val="1"/>
      <w:numFmt w:val="bullet"/>
      <w:lvlText w:val="-"/>
      <w:lvlJc w:val="left"/>
      <w:pPr>
        <w:ind w:left="360" w:hanging="360"/>
      </w:pPr>
      <w:rPr>
        <w:rFonts w:ascii="Courier New" w:hAnsi="Courier New" w:hint="default"/>
      </w:rPr>
    </w:lvl>
    <w:lvl w:ilvl="1" w:tplc="2D240DD4" w:tentative="1">
      <w:start w:val="1"/>
      <w:numFmt w:val="bullet"/>
      <w:lvlText w:val="o"/>
      <w:lvlJc w:val="left"/>
      <w:pPr>
        <w:ind w:left="1080" w:hanging="360"/>
      </w:pPr>
      <w:rPr>
        <w:rFonts w:ascii="Courier New" w:hAnsi="Courier New" w:cs="Courier New" w:hint="default"/>
      </w:rPr>
    </w:lvl>
    <w:lvl w:ilvl="2" w:tplc="DADCD6D2" w:tentative="1">
      <w:start w:val="1"/>
      <w:numFmt w:val="bullet"/>
      <w:lvlText w:val=""/>
      <w:lvlJc w:val="left"/>
      <w:pPr>
        <w:ind w:left="1800" w:hanging="360"/>
      </w:pPr>
      <w:rPr>
        <w:rFonts w:ascii="Wingdings" w:hAnsi="Wingdings" w:hint="default"/>
      </w:rPr>
    </w:lvl>
    <w:lvl w:ilvl="3" w:tplc="E77C1E6C" w:tentative="1">
      <w:start w:val="1"/>
      <w:numFmt w:val="bullet"/>
      <w:lvlText w:val=""/>
      <w:lvlJc w:val="left"/>
      <w:pPr>
        <w:ind w:left="2520" w:hanging="360"/>
      </w:pPr>
      <w:rPr>
        <w:rFonts w:ascii="Symbol" w:hAnsi="Symbol" w:hint="default"/>
      </w:rPr>
    </w:lvl>
    <w:lvl w:ilvl="4" w:tplc="96EA15EC" w:tentative="1">
      <w:start w:val="1"/>
      <w:numFmt w:val="bullet"/>
      <w:lvlText w:val="o"/>
      <w:lvlJc w:val="left"/>
      <w:pPr>
        <w:ind w:left="3240" w:hanging="360"/>
      </w:pPr>
      <w:rPr>
        <w:rFonts w:ascii="Courier New" w:hAnsi="Courier New" w:cs="Courier New" w:hint="default"/>
      </w:rPr>
    </w:lvl>
    <w:lvl w:ilvl="5" w:tplc="82CA1858" w:tentative="1">
      <w:start w:val="1"/>
      <w:numFmt w:val="bullet"/>
      <w:lvlText w:val=""/>
      <w:lvlJc w:val="left"/>
      <w:pPr>
        <w:ind w:left="3960" w:hanging="360"/>
      </w:pPr>
      <w:rPr>
        <w:rFonts w:ascii="Wingdings" w:hAnsi="Wingdings" w:hint="default"/>
      </w:rPr>
    </w:lvl>
    <w:lvl w:ilvl="6" w:tplc="5086896E" w:tentative="1">
      <w:start w:val="1"/>
      <w:numFmt w:val="bullet"/>
      <w:lvlText w:val=""/>
      <w:lvlJc w:val="left"/>
      <w:pPr>
        <w:ind w:left="4680" w:hanging="360"/>
      </w:pPr>
      <w:rPr>
        <w:rFonts w:ascii="Symbol" w:hAnsi="Symbol" w:hint="default"/>
      </w:rPr>
    </w:lvl>
    <w:lvl w:ilvl="7" w:tplc="CA583706" w:tentative="1">
      <w:start w:val="1"/>
      <w:numFmt w:val="bullet"/>
      <w:lvlText w:val="o"/>
      <w:lvlJc w:val="left"/>
      <w:pPr>
        <w:ind w:left="5400" w:hanging="360"/>
      </w:pPr>
      <w:rPr>
        <w:rFonts w:ascii="Courier New" w:hAnsi="Courier New" w:cs="Courier New" w:hint="default"/>
      </w:rPr>
    </w:lvl>
    <w:lvl w:ilvl="8" w:tplc="5156DA72" w:tentative="1">
      <w:start w:val="1"/>
      <w:numFmt w:val="bullet"/>
      <w:lvlText w:val=""/>
      <w:lvlJc w:val="left"/>
      <w:pPr>
        <w:ind w:left="6120" w:hanging="360"/>
      </w:pPr>
      <w:rPr>
        <w:rFonts w:ascii="Wingdings" w:hAnsi="Wingdings" w:hint="default"/>
      </w:rPr>
    </w:lvl>
  </w:abstractNum>
  <w:abstractNum w:abstractNumId="26">
    <w:nsid w:val="23FF1CE4"/>
    <w:multiLevelType w:val="hybridMultilevel"/>
    <w:tmpl w:val="0AFA890E"/>
    <w:lvl w:ilvl="0" w:tplc="69D81358">
      <w:start w:val="1"/>
      <w:numFmt w:val="bullet"/>
      <w:lvlText w:val=""/>
      <w:lvlJc w:val="left"/>
      <w:pPr>
        <w:ind w:left="720" w:hanging="360"/>
      </w:pPr>
      <w:rPr>
        <w:rFonts w:ascii="Symbol" w:hAnsi="Symbol" w:hint="default"/>
      </w:rPr>
    </w:lvl>
    <w:lvl w:ilvl="1" w:tplc="912CF180" w:tentative="1">
      <w:start w:val="1"/>
      <w:numFmt w:val="bullet"/>
      <w:lvlText w:val="o"/>
      <w:lvlJc w:val="left"/>
      <w:pPr>
        <w:ind w:left="1440" w:hanging="360"/>
      </w:pPr>
      <w:rPr>
        <w:rFonts w:ascii="Courier New" w:hAnsi="Courier New" w:hint="default"/>
      </w:rPr>
    </w:lvl>
    <w:lvl w:ilvl="2" w:tplc="60AC1C20" w:tentative="1">
      <w:start w:val="1"/>
      <w:numFmt w:val="bullet"/>
      <w:lvlText w:val=""/>
      <w:lvlJc w:val="left"/>
      <w:pPr>
        <w:ind w:left="2160" w:hanging="360"/>
      </w:pPr>
      <w:rPr>
        <w:rFonts w:ascii="Wingdings" w:hAnsi="Wingdings" w:hint="default"/>
      </w:rPr>
    </w:lvl>
    <w:lvl w:ilvl="3" w:tplc="50E49B44" w:tentative="1">
      <w:start w:val="1"/>
      <w:numFmt w:val="bullet"/>
      <w:lvlText w:val=""/>
      <w:lvlJc w:val="left"/>
      <w:pPr>
        <w:ind w:left="2880" w:hanging="360"/>
      </w:pPr>
      <w:rPr>
        <w:rFonts w:ascii="Symbol" w:hAnsi="Symbol" w:hint="default"/>
      </w:rPr>
    </w:lvl>
    <w:lvl w:ilvl="4" w:tplc="F5844C9C" w:tentative="1">
      <w:start w:val="1"/>
      <w:numFmt w:val="bullet"/>
      <w:lvlText w:val="o"/>
      <w:lvlJc w:val="left"/>
      <w:pPr>
        <w:ind w:left="3600" w:hanging="360"/>
      </w:pPr>
      <w:rPr>
        <w:rFonts w:ascii="Courier New" w:hAnsi="Courier New" w:hint="default"/>
      </w:rPr>
    </w:lvl>
    <w:lvl w:ilvl="5" w:tplc="7F985472" w:tentative="1">
      <w:start w:val="1"/>
      <w:numFmt w:val="bullet"/>
      <w:lvlText w:val=""/>
      <w:lvlJc w:val="left"/>
      <w:pPr>
        <w:ind w:left="4320" w:hanging="360"/>
      </w:pPr>
      <w:rPr>
        <w:rFonts w:ascii="Wingdings" w:hAnsi="Wingdings" w:hint="default"/>
      </w:rPr>
    </w:lvl>
    <w:lvl w:ilvl="6" w:tplc="1A9085F8" w:tentative="1">
      <w:start w:val="1"/>
      <w:numFmt w:val="bullet"/>
      <w:lvlText w:val=""/>
      <w:lvlJc w:val="left"/>
      <w:pPr>
        <w:ind w:left="5040" w:hanging="360"/>
      </w:pPr>
      <w:rPr>
        <w:rFonts w:ascii="Symbol" w:hAnsi="Symbol" w:hint="default"/>
      </w:rPr>
    </w:lvl>
    <w:lvl w:ilvl="7" w:tplc="018802AE" w:tentative="1">
      <w:start w:val="1"/>
      <w:numFmt w:val="bullet"/>
      <w:lvlText w:val="o"/>
      <w:lvlJc w:val="left"/>
      <w:pPr>
        <w:ind w:left="5760" w:hanging="360"/>
      </w:pPr>
      <w:rPr>
        <w:rFonts w:ascii="Courier New" w:hAnsi="Courier New" w:hint="default"/>
      </w:rPr>
    </w:lvl>
    <w:lvl w:ilvl="8" w:tplc="33F6E26A" w:tentative="1">
      <w:start w:val="1"/>
      <w:numFmt w:val="bullet"/>
      <w:lvlText w:val=""/>
      <w:lvlJc w:val="left"/>
      <w:pPr>
        <w:ind w:left="6480" w:hanging="360"/>
      </w:pPr>
      <w:rPr>
        <w:rFonts w:ascii="Wingdings" w:hAnsi="Wingdings" w:hint="default"/>
      </w:rPr>
    </w:lvl>
  </w:abstractNum>
  <w:abstractNum w:abstractNumId="27">
    <w:nsid w:val="24FA47EC"/>
    <w:multiLevelType w:val="hybridMultilevel"/>
    <w:tmpl w:val="B590E79E"/>
    <w:lvl w:ilvl="0" w:tplc="67BAD43C">
      <w:start w:val="1"/>
      <w:numFmt w:val="bullet"/>
      <w:lvlText w:val=""/>
      <w:lvlJc w:val="left"/>
      <w:pPr>
        <w:ind w:left="360" w:hanging="360"/>
      </w:pPr>
      <w:rPr>
        <w:rFonts w:ascii="Symbol" w:hAnsi="Symbol" w:hint="default"/>
      </w:rPr>
    </w:lvl>
    <w:lvl w:ilvl="1" w:tplc="7CDEB220" w:tentative="1">
      <w:start w:val="1"/>
      <w:numFmt w:val="bullet"/>
      <w:lvlText w:val="o"/>
      <w:lvlJc w:val="left"/>
      <w:pPr>
        <w:ind w:left="1440" w:hanging="360"/>
      </w:pPr>
      <w:rPr>
        <w:rFonts w:ascii="Courier New" w:hAnsi="Courier New" w:cs="Courier New" w:hint="default"/>
      </w:rPr>
    </w:lvl>
    <w:lvl w:ilvl="2" w:tplc="F2B6EF88" w:tentative="1">
      <w:start w:val="1"/>
      <w:numFmt w:val="bullet"/>
      <w:lvlText w:val=""/>
      <w:lvlJc w:val="left"/>
      <w:pPr>
        <w:ind w:left="2160" w:hanging="360"/>
      </w:pPr>
      <w:rPr>
        <w:rFonts w:ascii="Wingdings" w:hAnsi="Wingdings" w:hint="default"/>
      </w:rPr>
    </w:lvl>
    <w:lvl w:ilvl="3" w:tplc="CAD03EA4" w:tentative="1">
      <w:start w:val="1"/>
      <w:numFmt w:val="bullet"/>
      <w:lvlText w:val=""/>
      <w:lvlJc w:val="left"/>
      <w:pPr>
        <w:ind w:left="2880" w:hanging="360"/>
      </w:pPr>
      <w:rPr>
        <w:rFonts w:ascii="Symbol" w:hAnsi="Symbol" w:hint="default"/>
      </w:rPr>
    </w:lvl>
    <w:lvl w:ilvl="4" w:tplc="630C227E" w:tentative="1">
      <w:start w:val="1"/>
      <w:numFmt w:val="bullet"/>
      <w:lvlText w:val="o"/>
      <w:lvlJc w:val="left"/>
      <w:pPr>
        <w:ind w:left="3600" w:hanging="360"/>
      </w:pPr>
      <w:rPr>
        <w:rFonts w:ascii="Courier New" w:hAnsi="Courier New" w:cs="Courier New" w:hint="default"/>
      </w:rPr>
    </w:lvl>
    <w:lvl w:ilvl="5" w:tplc="B0F6649C" w:tentative="1">
      <w:start w:val="1"/>
      <w:numFmt w:val="bullet"/>
      <w:lvlText w:val=""/>
      <w:lvlJc w:val="left"/>
      <w:pPr>
        <w:ind w:left="4320" w:hanging="360"/>
      </w:pPr>
      <w:rPr>
        <w:rFonts w:ascii="Wingdings" w:hAnsi="Wingdings" w:hint="default"/>
      </w:rPr>
    </w:lvl>
    <w:lvl w:ilvl="6" w:tplc="1BE8DB28" w:tentative="1">
      <w:start w:val="1"/>
      <w:numFmt w:val="bullet"/>
      <w:lvlText w:val=""/>
      <w:lvlJc w:val="left"/>
      <w:pPr>
        <w:ind w:left="5040" w:hanging="360"/>
      </w:pPr>
      <w:rPr>
        <w:rFonts w:ascii="Symbol" w:hAnsi="Symbol" w:hint="default"/>
      </w:rPr>
    </w:lvl>
    <w:lvl w:ilvl="7" w:tplc="4DFC0E5C" w:tentative="1">
      <w:start w:val="1"/>
      <w:numFmt w:val="bullet"/>
      <w:lvlText w:val="o"/>
      <w:lvlJc w:val="left"/>
      <w:pPr>
        <w:ind w:left="5760" w:hanging="360"/>
      </w:pPr>
      <w:rPr>
        <w:rFonts w:ascii="Courier New" w:hAnsi="Courier New" w:cs="Courier New" w:hint="default"/>
      </w:rPr>
    </w:lvl>
    <w:lvl w:ilvl="8" w:tplc="391EA036" w:tentative="1">
      <w:start w:val="1"/>
      <w:numFmt w:val="bullet"/>
      <w:lvlText w:val=""/>
      <w:lvlJc w:val="left"/>
      <w:pPr>
        <w:ind w:left="6480" w:hanging="360"/>
      </w:pPr>
      <w:rPr>
        <w:rFonts w:ascii="Wingdings" w:hAnsi="Wingdings" w:hint="default"/>
      </w:rPr>
    </w:lvl>
  </w:abstractNum>
  <w:abstractNum w:abstractNumId="28">
    <w:nsid w:val="27E941D9"/>
    <w:multiLevelType w:val="multilevel"/>
    <w:tmpl w:val="9B3E3A60"/>
    <w:lvl w:ilvl="0">
      <w:start w:val="1"/>
      <w:numFmt w:val="none"/>
      <w:lvlText w:val="-"/>
      <w:lvlJc w:val="left"/>
      <w:pPr>
        <w:tabs>
          <w:tab w:val="num" w:pos="1324"/>
        </w:tabs>
        <w:ind w:left="1324" w:hanging="360"/>
      </w:pPr>
      <w:rPr>
        <w:rFonts w:hint="default"/>
        <w:sz w:val="20"/>
      </w:rPr>
    </w:lvl>
    <w:lvl w:ilvl="1">
      <w:start w:val="1"/>
      <w:numFmt w:val="bullet"/>
      <w:lvlText w:val=""/>
      <w:lvlJc w:val="left"/>
      <w:pPr>
        <w:tabs>
          <w:tab w:val="num" w:pos="2007"/>
        </w:tabs>
        <w:ind w:left="2007" w:hanging="360"/>
      </w:pPr>
      <w:rPr>
        <w:rFonts w:ascii="Symbol" w:hAnsi="Symbol" w:hint="default"/>
        <w:sz w:val="20"/>
      </w:rPr>
    </w:lvl>
    <w:lvl w:ilvl="2">
      <w:start w:val="1"/>
      <w:numFmt w:val="bullet"/>
      <w:lvlText w:val=""/>
      <w:lvlJc w:val="left"/>
      <w:pPr>
        <w:tabs>
          <w:tab w:val="num" w:pos="2727"/>
        </w:tabs>
        <w:ind w:left="2727" w:hanging="360"/>
      </w:pPr>
      <w:rPr>
        <w:rFonts w:ascii="Symbol" w:hAnsi="Symbol" w:hint="default"/>
        <w:sz w:val="20"/>
      </w:rPr>
    </w:lvl>
    <w:lvl w:ilvl="3">
      <w:start w:val="1"/>
      <w:numFmt w:val="bullet"/>
      <w:lvlText w:val=""/>
      <w:lvlJc w:val="left"/>
      <w:pPr>
        <w:tabs>
          <w:tab w:val="num" w:pos="3447"/>
        </w:tabs>
        <w:ind w:left="3447" w:hanging="360"/>
      </w:pPr>
      <w:rPr>
        <w:rFonts w:ascii="Symbol" w:hAnsi="Symbol" w:hint="default"/>
        <w:sz w:val="20"/>
      </w:rPr>
    </w:lvl>
    <w:lvl w:ilvl="4">
      <w:start w:val="1"/>
      <w:numFmt w:val="bullet"/>
      <w:lvlText w:val=""/>
      <w:lvlJc w:val="left"/>
      <w:pPr>
        <w:tabs>
          <w:tab w:val="num" w:pos="4167"/>
        </w:tabs>
        <w:ind w:left="4167" w:hanging="360"/>
      </w:pPr>
      <w:rPr>
        <w:rFonts w:ascii="Symbol" w:hAnsi="Symbol" w:hint="default"/>
        <w:sz w:val="20"/>
      </w:rPr>
    </w:lvl>
    <w:lvl w:ilvl="5">
      <w:start w:val="1"/>
      <w:numFmt w:val="bullet"/>
      <w:lvlText w:val=""/>
      <w:lvlJc w:val="left"/>
      <w:pPr>
        <w:tabs>
          <w:tab w:val="num" w:pos="4887"/>
        </w:tabs>
        <w:ind w:left="4887" w:hanging="360"/>
      </w:pPr>
      <w:rPr>
        <w:rFonts w:ascii="Symbol" w:hAnsi="Symbol" w:hint="default"/>
        <w:sz w:val="20"/>
      </w:rPr>
    </w:lvl>
    <w:lvl w:ilvl="6">
      <w:start w:val="1"/>
      <w:numFmt w:val="bullet"/>
      <w:lvlText w:val=""/>
      <w:lvlJc w:val="left"/>
      <w:pPr>
        <w:tabs>
          <w:tab w:val="num" w:pos="5607"/>
        </w:tabs>
        <w:ind w:left="5607" w:hanging="360"/>
      </w:pPr>
      <w:rPr>
        <w:rFonts w:ascii="Symbol" w:hAnsi="Symbol" w:hint="default"/>
        <w:sz w:val="20"/>
      </w:rPr>
    </w:lvl>
    <w:lvl w:ilvl="7">
      <w:start w:val="1"/>
      <w:numFmt w:val="bullet"/>
      <w:lvlText w:val=""/>
      <w:lvlJc w:val="left"/>
      <w:pPr>
        <w:tabs>
          <w:tab w:val="num" w:pos="6327"/>
        </w:tabs>
        <w:ind w:left="6327" w:hanging="360"/>
      </w:pPr>
      <w:rPr>
        <w:rFonts w:ascii="Symbol" w:hAnsi="Symbol" w:hint="default"/>
        <w:sz w:val="20"/>
      </w:rPr>
    </w:lvl>
    <w:lvl w:ilvl="8">
      <w:start w:val="1"/>
      <w:numFmt w:val="bullet"/>
      <w:lvlText w:val=""/>
      <w:lvlJc w:val="left"/>
      <w:pPr>
        <w:tabs>
          <w:tab w:val="num" w:pos="7047"/>
        </w:tabs>
        <w:ind w:left="7047" w:hanging="360"/>
      </w:pPr>
      <w:rPr>
        <w:rFonts w:ascii="Symbol" w:hAnsi="Symbol" w:hint="default"/>
        <w:sz w:val="20"/>
      </w:rPr>
    </w:lvl>
  </w:abstractNum>
  <w:abstractNum w:abstractNumId="29">
    <w:nsid w:val="287424CA"/>
    <w:multiLevelType w:val="hybridMultilevel"/>
    <w:tmpl w:val="3E525CA0"/>
    <w:lvl w:ilvl="0" w:tplc="CE96DF32">
      <w:start w:val="1"/>
      <w:numFmt w:val="lowerRoman"/>
      <w:lvlText w:val="%1)"/>
      <w:lvlJc w:val="left"/>
      <w:pPr>
        <w:ind w:left="360" w:hanging="360"/>
      </w:pPr>
      <w:rPr>
        <w:rFonts w:ascii="Arial" w:eastAsia="Calibri" w:hAnsi="Arial" w:cs="Arial"/>
      </w:rPr>
    </w:lvl>
    <w:lvl w:ilvl="1" w:tplc="091E3DCA" w:tentative="1">
      <w:start w:val="1"/>
      <w:numFmt w:val="bullet"/>
      <w:lvlText w:val="o"/>
      <w:lvlJc w:val="left"/>
      <w:pPr>
        <w:ind w:left="1080" w:hanging="360"/>
      </w:pPr>
      <w:rPr>
        <w:rFonts w:ascii="Courier New" w:hAnsi="Courier New" w:cs="Courier New" w:hint="default"/>
      </w:rPr>
    </w:lvl>
    <w:lvl w:ilvl="2" w:tplc="D160F0BA" w:tentative="1">
      <w:start w:val="1"/>
      <w:numFmt w:val="bullet"/>
      <w:lvlText w:val=""/>
      <w:lvlJc w:val="left"/>
      <w:pPr>
        <w:ind w:left="1800" w:hanging="360"/>
      </w:pPr>
      <w:rPr>
        <w:rFonts w:ascii="Wingdings" w:hAnsi="Wingdings" w:hint="default"/>
      </w:rPr>
    </w:lvl>
    <w:lvl w:ilvl="3" w:tplc="BA12C6EC" w:tentative="1">
      <w:start w:val="1"/>
      <w:numFmt w:val="bullet"/>
      <w:lvlText w:val=""/>
      <w:lvlJc w:val="left"/>
      <w:pPr>
        <w:ind w:left="2520" w:hanging="360"/>
      </w:pPr>
      <w:rPr>
        <w:rFonts w:ascii="Symbol" w:hAnsi="Symbol" w:hint="default"/>
      </w:rPr>
    </w:lvl>
    <w:lvl w:ilvl="4" w:tplc="C846A156" w:tentative="1">
      <w:start w:val="1"/>
      <w:numFmt w:val="bullet"/>
      <w:lvlText w:val="o"/>
      <w:lvlJc w:val="left"/>
      <w:pPr>
        <w:ind w:left="3240" w:hanging="360"/>
      </w:pPr>
      <w:rPr>
        <w:rFonts w:ascii="Courier New" w:hAnsi="Courier New" w:cs="Courier New" w:hint="default"/>
      </w:rPr>
    </w:lvl>
    <w:lvl w:ilvl="5" w:tplc="109C812E" w:tentative="1">
      <w:start w:val="1"/>
      <w:numFmt w:val="bullet"/>
      <w:lvlText w:val=""/>
      <w:lvlJc w:val="left"/>
      <w:pPr>
        <w:ind w:left="3960" w:hanging="360"/>
      </w:pPr>
      <w:rPr>
        <w:rFonts w:ascii="Wingdings" w:hAnsi="Wingdings" w:hint="default"/>
      </w:rPr>
    </w:lvl>
    <w:lvl w:ilvl="6" w:tplc="49ACC72C" w:tentative="1">
      <w:start w:val="1"/>
      <w:numFmt w:val="bullet"/>
      <w:lvlText w:val=""/>
      <w:lvlJc w:val="left"/>
      <w:pPr>
        <w:ind w:left="4680" w:hanging="360"/>
      </w:pPr>
      <w:rPr>
        <w:rFonts w:ascii="Symbol" w:hAnsi="Symbol" w:hint="default"/>
      </w:rPr>
    </w:lvl>
    <w:lvl w:ilvl="7" w:tplc="9B00D1D0" w:tentative="1">
      <w:start w:val="1"/>
      <w:numFmt w:val="bullet"/>
      <w:lvlText w:val="o"/>
      <w:lvlJc w:val="left"/>
      <w:pPr>
        <w:ind w:left="5400" w:hanging="360"/>
      </w:pPr>
      <w:rPr>
        <w:rFonts w:ascii="Courier New" w:hAnsi="Courier New" w:cs="Courier New" w:hint="default"/>
      </w:rPr>
    </w:lvl>
    <w:lvl w:ilvl="8" w:tplc="D0004516" w:tentative="1">
      <w:start w:val="1"/>
      <w:numFmt w:val="bullet"/>
      <w:lvlText w:val=""/>
      <w:lvlJc w:val="left"/>
      <w:pPr>
        <w:ind w:left="6120" w:hanging="360"/>
      </w:pPr>
      <w:rPr>
        <w:rFonts w:ascii="Wingdings" w:hAnsi="Wingdings" w:hint="default"/>
      </w:rPr>
    </w:lvl>
  </w:abstractNum>
  <w:abstractNum w:abstractNumId="30">
    <w:nsid w:val="29CE7E18"/>
    <w:multiLevelType w:val="hybridMultilevel"/>
    <w:tmpl w:val="3616674E"/>
    <w:lvl w:ilvl="0" w:tplc="BF54854C">
      <w:start w:val="1"/>
      <w:numFmt w:val="bullet"/>
      <w:lvlText w:val=""/>
      <w:lvlJc w:val="left"/>
      <w:pPr>
        <w:ind w:left="360" w:hanging="360"/>
      </w:pPr>
      <w:rPr>
        <w:rFonts w:ascii="Symbol" w:hAnsi="Symbol" w:hint="default"/>
      </w:rPr>
    </w:lvl>
    <w:lvl w:ilvl="1" w:tplc="132AA894" w:tentative="1">
      <w:start w:val="1"/>
      <w:numFmt w:val="bullet"/>
      <w:lvlText w:val="o"/>
      <w:lvlJc w:val="left"/>
      <w:pPr>
        <w:ind w:left="1080" w:hanging="360"/>
      </w:pPr>
      <w:rPr>
        <w:rFonts w:ascii="Courier New" w:hAnsi="Courier New" w:cs="Courier New" w:hint="default"/>
      </w:rPr>
    </w:lvl>
    <w:lvl w:ilvl="2" w:tplc="C906A484" w:tentative="1">
      <w:start w:val="1"/>
      <w:numFmt w:val="bullet"/>
      <w:lvlText w:val=""/>
      <w:lvlJc w:val="left"/>
      <w:pPr>
        <w:ind w:left="1800" w:hanging="360"/>
      </w:pPr>
      <w:rPr>
        <w:rFonts w:ascii="Wingdings" w:hAnsi="Wingdings" w:hint="default"/>
      </w:rPr>
    </w:lvl>
    <w:lvl w:ilvl="3" w:tplc="D68429A2" w:tentative="1">
      <w:start w:val="1"/>
      <w:numFmt w:val="bullet"/>
      <w:lvlText w:val=""/>
      <w:lvlJc w:val="left"/>
      <w:pPr>
        <w:ind w:left="2520" w:hanging="360"/>
      </w:pPr>
      <w:rPr>
        <w:rFonts w:ascii="Symbol" w:hAnsi="Symbol" w:hint="default"/>
      </w:rPr>
    </w:lvl>
    <w:lvl w:ilvl="4" w:tplc="AEBABAF0" w:tentative="1">
      <w:start w:val="1"/>
      <w:numFmt w:val="bullet"/>
      <w:lvlText w:val="o"/>
      <w:lvlJc w:val="left"/>
      <w:pPr>
        <w:ind w:left="3240" w:hanging="360"/>
      </w:pPr>
      <w:rPr>
        <w:rFonts w:ascii="Courier New" w:hAnsi="Courier New" w:cs="Courier New" w:hint="default"/>
      </w:rPr>
    </w:lvl>
    <w:lvl w:ilvl="5" w:tplc="1F7A0A34" w:tentative="1">
      <w:start w:val="1"/>
      <w:numFmt w:val="bullet"/>
      <w:lvlText w:val=""/>
      <w:lvlJc w:val="left"/>
      <w:pPr>
        <w:ind w:left="3960" w:hanging="360"/>
      </w:pPr>
      <w:rPr>
        <w:rFonts w:ascii="Wingdings" w:hAnsi="Wingdings" w:hint="default"/>
      </w:rPr>
    </w:lvl>
    <w:lvl w:ilvl="6" w:tplc="DE2616D2" w:tentative="1">
      <w:start w:val="1"/>
      <w:numFmt w:val="bullet"/>
      <w:lvlText w:val=""/>
      <w:lvlJc w:val="left"/>
      <w:pPr>
        <w:ind w:left="4680" w:hanging="360"/>
      </w:pPr>
      <w:rPr>
        <w:rFonts w:ascii="Symbol" w:hAnsi="Symbol" w:hint="default"/>
      </w:rPr>
    </w:lvl>
    <w:lvl w:ilvl="7" w:tplc="C31E0B4A" w:tentative="1">
      <w:start w:val="1"/>
      <w:numFmt w:val="bullet"/>
      <w:lvlText w:val="o"/>
      <w:lvlJc w:val="left"/>
      <w:pPr>
        <w:ind w:left="5400" w:hanging="360"/>
      </w:pPr>
      <w:rPr>
        <w:rFonts w:ascii="Courier New" w:hAnsi="Courier New" w:cs="Courier New" w:hint="default"/>
      </w:rPr>
    </w:lvl>
    <w:lvl w:ilvl="8" w:tplc="653AC0B2" w:tentative="1">
      <w:start w:val="1"/>
      <w:numFmt w:val="bullet"/>
      <w:lvlText w:val=""/>
      <w:lvlJc w:val="left"/>
      <w:pPr>
        <w:ind w:left="6120" w:hanging="360"/>
      </w:pPr>
      <w:rPr>
        <w:rFonts w:ascii="Wingdings" w:hAnsi="Wingdings" w:hint="default"/>
      </w:rPr>
    </w:lvl>
  </w:abstractNum>
  <w:abstractNum w:abstractNumId="31">
    <w:nsid w:val="2A995966"/>
    <w:multiLevelType w:val="hybridMultilevel"/>
    <w:tmpl w:val="5B10FBB4"/>
    <w:lvl w:ilvl="0" w:tplc="C4661936">
      <w:start w:val="1"/>
      <w:numFmt w:val="bullet"/>
      <w:lvlText w:val=""/>
      <w:lvlJc w:val="left"/>
      <w:pPr>
        <w:ind w:left="360" w:hanging="360"/>
      </w:pPr>
      <w:rPr>
        <w:rFonts w:ascii="Symbol" w:hAnsi="Symbol" w:hint="default"/>
      </w:rPr>
    </w:lvl>
    <w:lvl w:ilvl="1" w:tplc="97E6C166">
      <w:start w:val="1"/>
      <w:numFmt w:val="bullet"/>
      <w:lvlText w:val="o"/>
      <w:lvlJc w:val="left"/>
      <w:pPr>
        <w:ind w:left="1080" w:hanging="360"/>
      </w:pPr>
      <w:rPr>
        <w:rFonts w:ascii="Courier New" w:hAnsi="Courier New" w:cs="Courier New" w:hint="default"/>
      </w:rPr>
    </w:lvl>
    <w:lvl w:ilvl="2" w:tplc="F1668264" w:tentative="1">
      <w:start w:val="1"/>
      <w:numFmt w:val="bullet"/>
      <w:lvlText w:val=""/>
      <w:lvlJc w:val="left"/>
      <w:pPr>
        <w:ind w:left="1800" w:hanging="360"/>
      </w:pPr>
      <w:rPr>
        <w:rFonts w:ascii="Wingdings" w:hAnsi="Wingdings" w:hint="default"/>
      </w:rPr>
    </w:lvl>
    <w:lvl w:ilvl="3" w:tplc="B89E167E" w:tentative="1">
      <w:start w:val="1"/>
      <w:numFmt w:val="bullet"/>
      <w:lvlText w:val=""/>
      <w:lvlJc w:val="left"/>
      <w:pPr>
        <w:ind w:left="2520" w:hanging="360"/>
      </w:pPr>
      <w:rPr>
        <w:rFonts w:ascii="Symbol" w:hAnsi="Symbol" w:hint="default"/>
      </w:rPr>
    </w:lvl>
    <w:lvl w:ilvl="4" w:tplc="487AC790" w:tentative="1">
      <w:start w:val="1"/>
      <w:numFmt w:val="bullet"/>
      <w:lvlText w:val="o"/>
      <w:lvlJc w:val="left"/>
      <w:pPr>
        <w:ind w:left="3240" w:hanging="360"/>
      </w:pPr>
      <w:rPr>
        <w:rFonts w:ascii="Courier New" w:hAnsi="Courier New" w:cs="Courier New" w:hint="default"/>
      </w:rPr>
    </w:lvl>
    <w:lvl w:ilvl="5" w:tplc="7CA421E6" w:tentative="1">
      <w:start w:val="1"/>
      <w:numFmt w:val="bullet"/>
      <w:lvlText w:val=""/>
      <w:lvlJc w:val="left"/>
      <w:pPr>
        <w:ind w:left="3960" w:hanging="360"/>
      </w:pPr>
      <w:rPr>
        <w:rFonts w:ascii="Wingdings" w:hAnsi="Wingdings" w:hint="default"/>
      </w:rPr>
    </w:lvl>
    <w:lvl w:ilvl="6" w:tplc="E9B8E1B2" w:tentative="1">
      <w:start w:val="1"/>
      <w:numFmt w:val="bullet"/>
      <w:lvlText w:val=""/>
      <w:lvlJc w:val="left"/>
      <w:pPr>
        <w:ind w:left="4680" w:hanging="360"/>
      </w:pPr>
      <w:rPr>
        <w:rFonts w:ascii="Symbol" w:hAnsi="Symbol" w:hint="default"/>
      </w:rPr>
    </w:lvl>
    <w:lvl w:ilvl="7" w:tplc="EE60784A" w:tentative="1">
      <w:start w:val="1"/>
      <w:numFmt w:val="bullet"/>
      <w:lvlText w:val="o"/>
      <w:lvlJc w:val="left"/>
      <w:pPr>
        <w:ind w:left="5400" w:hanging="360"/>
      </w:pPr>
      <w:rPr>
        <w:rFonts w:ascii="Courier New" w:hAnsi="Courier New" w:cs="Courier New" w:hint="default"/>
      </w:rPr>
    </w:lvl>
    <w:lvl w:ilvl="8" w:tplc="471EA57C" w:tentative="1">
      <w:start w:val="1"/>
      <w:numFmt w:val="bullet"/>
      <w:lvlText w:val=""/>
      <w:lvlJc w:val="left"/>
      <w:pPr>
        <w:ind w:left="6120" w:hanging="360"/>
      </w:pPr>
      <w:rPr>
        <w:rFonts w:ascii="Wingdings" w:hAnsi="Wingdings" w:hint="default"/>
      </w:rPr>
    </w:lvl>
  </w:abstractNum>
  <w:abstractNum w:abstractNumId="32">
    <w:nsid w:val="2D130078"/>
    <w:multiLevelType w:val="hybridMultilevel"/>
    <w:tmpl w:val="03F0663A"/>
    <w:lvl w:ilvl="0" w:tplc="E864ED46">
      <w:start w:val="1"/>
      <w:numFmt w:val="lowerRoman"/>
      <w:lvlText w:val="%1)"/>
      <w:lvlJc w:val="left"/>
      <w:pPr>
        <w:tabs>
          <w:tab w:val="num" w:pos="1080"/>
        </w:tabs>
        <w:ind w:left="1080" w:hanging="720"/>
      </w:pPr>
      <w:rPr>
        <w:rFonts w:hint="default"/>
      </w:rPr>
    </w:lvl>
    <w:lvl w:ilvl="1" w:tplc="53A2CD78" w:tentative="1">
      <w:start w:val="1"/>
      <w:numFmt w:val="lowerLetter"/>
      <w:lvlText w:val="%2."/>
      <w:lvlJc w:val="left"/>
      <w:pPr>
        <w:tabs>
          <w:tab w:val="num" w:pos="1440"/>
        </w:tabs>
        <w:ind w:left="1440" w:hanging="360"/>
      </w:pPr>
    </w:lvl>
    <w:lvl w:ilvl="2" w:tplc="10247FA2" w:tentative="1">
      <w:start w:val="1"/>
      <w:numFmt w:val="lowerRoman"/>
      <w:lvlText w:val="%3."/>
      <w:lvlJc w:val="right"/>
      <w:pPr>
        <w:tabs>
          <w:tab w:val="num" w:pos="2160"/>
        </w:tabs>
        <w:ind w:left="2160" w:hanging="180"/>
      </w:pPr>
    </w:lvl>
    <w:lvl w:ilvl="3" w:tplc="F49A6EC2" w:tentative="1">
      <w:start w:val="1"/>
      <w:numFmt w:val="decimal"/>
      <w:lvlText w:val="%4."/>
      <w:lvlJc w:val="left"/>
      <w:pPr>
        <w:tabs>
          <w:tab w:val="num" w:pos="2880"/>
        </w:tabs>
        <w:ind w:left="2880" w:hanging="360"/>
      </w:pPr>
    </w:lvl>
    <w:lvl w:ilvl="4" w:tplc="A2EE0406" w:tentative="1">
      <w:start w:val="1"/>
      <w:numFmt w:val="lowerLetter"/>
      <w:lvlText w:val="%5."/>
      <w:lvlJc w:val="left"/>
      <w:pPr>
        <w:tabs>
          <w:tab w:val="num" w:pos="3600"/>
        </w:tabs>
        <w:ind w:left="3600" w:hanging="360"/>
      </w:pPr>
    </w:lvl>
    <w:lvl w:ilvl="5" w:tplc="94260196" w:tentative="1">
      <w:start w:val="1"/>
      <w:numFmt w:val="lowerRoman"/>
      <w:lvlText w:val="%6."/>
      <w:lvlJc w:val="right"/>
      <w:pPr>
        <w:tabs>
          <w:tab w:val="num" w:pos="4320"/>
        </w:tabs>
        <w:ind w:left="4320" w:hanging="180"/>
      </w:pPr>
    </w:lvl>
    <w:lvl w:ilvl="6" w:tplc="3926CB7C" w:tentative="1">
      <w:start w:val="1"/>
      <w:numFmt w:val="decimal"/>
      <w:lvlText w:val="%7."/>
      <w:lvlJc w:val="left"/>
      <w:pPr>
        <w:tabs>
          <w:tab w:val="num" w:pos="5040"/>
        </w:tabs>
        <w:ind w:left="5040" w:hanging="360"/>
      </w:pPr>
    </w:lvl>
    <w:lvl w:ilvl="7" w:tplc="11A2F4D0" w:tentative="1">
      <w:start w:val="1"/>
      <w:numFmt w:val="lowerLetter"/>
      <w:lvlText w:val="%8."/>
      <w:lvlJc w:val="left"/>
      <w:pPr>
        <w:tabs>
          <w:tab w:val="num" w:pos="5760"/>
        </w:tabs>
        <w:ind w:left="5760" w:hanging="360"/>
      </w:pPr>
    </w:lvl>
    <w:lvl w:ilvl="8" w:tplc="717ACABC" w:tentative="1">
      <w:start w:val="1"/>
      <w:numFmt w:val="lowerRoman"/>
      <w:lvlText w:val="%9."/>
      <w:lvlJc w:val="right"/>
      <w:pPr>
        <w:tabs>
          <w:tab w:val="num" w:pos="6480"/>
        </w:tabs>
        <w:ind w:left="6480" w:hanging="180"/>
      </w:pPr>
    </w:lvl>
  </w:abstractNum>
  <w:abstractNum w:abstractNumId="33">
    <w:nsid w:val="2ECD1A5E"/>
    <w:multiLevelType w:val="hybridMultilevel"/>
    <w:tmpl w:val="5D8C1E6C"/>
    <w:lvl w:ilvl="0" w:tplc="2F789D10">
      <w:start w:val="1"/>
      <w:numFmt w:val="bullet"/>
      <w:lvlText w:val=""/>
      <w:lvlJc w:val="left"/>
      <w:pPr>
        <w:tabs>
          <w:tab w:val="num" w:pos="720"/>
        </w:tabs>
        <w:ind w:left="720" w:hanging="360"/>
      </w:pPr>
      <w:rPr>
        <w:rFonts w:ascii="Wingdings" w:hAnsi="Wingdings" w:hint="default"/>
      </w:rPr>
    </w:lvl>
    <w:lvl w:ilvl="1" w:tplc="D406725E" w:tentative="1">
      <w:start w:val="1"/>
      <w:numFmt w:val="bullet"/>
      <w:lvlText w:val="o"/>
      <w:lvlJc w:val="left"/>
      <w:pPr>
        <w:tabs>
          <w:tab w:val="num" w:pos="1440"/>
        </w:tabs>
        <w:ind w:left="1440" w:hanging="360"/>
      </w:pPr>
      <w:rPr>
        <w:rFonts w:ascii="Courier New" w:hAnsi="Courier New" w:cs="Courier New" w:hint="default"/>
      </w:rPr>
    </w:lvl>
    <w:lvl w:ilvl="2" w:tplc="FA7CED50" w:tentative="1">
      <w:start w:val="1"/>
      <w:numFmt w:val="bullet"/>
      <w:lvlText w:val=""/>
      <w:lvlJc w:val="left"/>
      <w:pPr>
        <w:tabs>
          <w:tab w:val="num" w:pos="2160"/>
        </w:tabs>
        <w:ind w:left="2160" w:hanging="360"/>
      </w:pPr>
      <w:rPr>
        <w:rFonts w:ascii="Wingdings" w:hAnsi="Wingdings" w:hint="default"/>
      </w:rPr>
    </w:lvl>
    <w:lvl w:ilvl="3" w:tplc="C63EC910" w:tentative="1">
      <w:start w:val="1"/>
      <w:numFmt w:val="bullet"/>
      <w:lvlText w:val=""/>
      <w:lvlJc w:val="left"/>
      <w:pPr>
        <w:tabs>
          <w:tab w:val="num" w:pos="2880"/>
        </w:tabs>
        <w:ind w:left="2880" w:hanging="360"/>
      </w:pPr>
      <w:rPr>
        <w:rFonts w:ascii="Symbol" w:hAnsi="Symbol" w:hint="default"/>
      </w:rPr>
    </w:lvl>
    <w:lvl w:ilvl="4" w:tplc="0E4CEB94" w:tentative="1">
      <w:start w:val="1"/>
      <w:numFmt w:val="bullet"/>
      <w:lvlText w:val="o"/>
      <w:lvlJc w:val="left"/>
      <w:pPr>
        <w:tabs>
          <w:tab w:val="num" w:pos="3600"/>
        </w:tabs>
        <w:ind w:left="3600" w:hanging="360"/>
      </w:pPr>
      <w:rPr>
        <w:rFonts w:ascii="Courier New" w:hAnsi="Courier New" w:cs="Courier New" w:hint="default"/>
      </w:rPr>
    </w:lvl>
    <w:lvl w:ilvl="5" w:tplc="0E1A3A9E" w:tentative="1">
      <w:start w:val="1"/>
      <w:numFmt w:val="bullet"/>
      <w:lvlText w:val=""/>
      <w:lvlJc w:val="left"/>
      <w:pPr>
        <w:tabs>
          <w:tab w:val="num" w:pos="4320"/>
        </w:tabs>
        <w:ind w:left="4320" w:hanging="360"/>
      </w:pPr>
      <w:rPr>
        <w:rFonts w:ascii="Wingdings" w:hAnsi="Wingdings" w:hint="default"/>
      </w:rPr>
    </w:lvl>
    <w:lvl w:ilvl="6" w:tplc="51849DDC" w:tentative="1">
      <w:start w:val="1"/>
      <w:numFmt w:val="bullet"/>
      <w:lvlText w:val=""/>
      <w:lvlJc w:val="left"/>
      <w:pPr>
        <w:tabs>
          <w:tab w:val="num" w:pos="5040"/>
        </w:tabs>
        <w:ind w:left="5040" w:hanging="360"/>
      </w:pPr>
      <w:rPr>
        <w:rFonts w:ascii="Symbol" w:hAnsi="Symbol" w:hint="default"/>
      </w:rPr>
    </w:lvl>
    <w:lvl w:ilvl="7" w:tplc="9C723F26" w:tentative="1">
      <w:start w:val="1"/>
      <w:numFmt w:val="bullet"/>
      <w:lvlText w:val="o"/>
      <w:lvlJc w:val="left"/>
      <w:pPr>
        <w:tabs>
          <w:tab w:val="num" w:pos="5760"/>
        </w:tabs>
        <w:ind w:left="5760" w:hanging="360"/>
      </w:pPr>
      <w:rPr>
        <w:rFonts w:ascii="Courier New" w:hAnsi="Courier New" w:cs="Courier New" w:hint="default"/>
      </w:rPr>
    </w:lvl>
    <w:lvl w:ilvl="8" w:tplc="F1A86A1C" w:tentative="1">
      <w:start w:val="1"/>
      <w:numFmt w:val="bullet"/>
      <w:lvlText w:val=""/>
      <w:lvlJc w:val="left"/>
      <w:pPr>
        <w:tabs>
          <w:tab w:val="num" w:pos="6480"/>
        </w:tabs>
        <w:ind w:left="6480" w:hanging="360"/>
      </w:pPr>
      <w:rPr>
        <w:rFonts w:ascii="Wingdings" w:hAnsi="Wingdings" w:hint="default"/>
      </w:rPr>
    </w:lvl>
  </w:abstractNum>
  <w:abstractNum w:abstractNumId="34">
    <w:nsid w:val="2EFC378E"/>
    <w:multiLevelType w:val="hybridMultilevel"/>
    <w:tmpl w:val="4E2673C6"/>
    <w:lvl w:ilvl="0" w:tplc="B6B024E8">
      <w:start w:val="1"/>
      <w:numFmt w:val="bullet"/>
      <w:lvlText w:val="-"/>
      <w:lvlJc w:val="left"/>
      <w:pPr>
        <w:ind w:left="360" w:hanging="360"/>
      </w:pPr>
      <w:rPr>
        <w:rFonts w:ascii="Arial" w:eastAsia="Times New Roman" w:hAnsi="Arial" w:hint="default"/>
      </w:rPr>
    </w:lvl>
    <w:lvl w:ilvl="1" w:tplc="3E2CB0CA" w:tentative="1">
      <w:start w:val="1"/>
      <w:numFmt w:val="bullet"/>
      <w:lvlText w:val="o"/>
      <w:lvlJc w:val="left"/>
      <w:pPr>
        <w:ind w:left="1080" w:hanging="360"/>
      </w:pPr>
      <w:rPr>
        <w:rFonts w:ascii="Courier New" w:hAnsi="Courier New" w:cs="Courier New" w:hint="default"/>
      </w:rPr>
    </w:lvl>
    <w:lvl w:ilvl="2" w:tplc="ADC4D4D2" w:tentative="1">
      <w:start w:val="1"/>
      <w:numFmt w:val="bullet"/>
      <w:lvlText w:val=""/>
      <w:lvlJc w:val="left"/>
      <w:pPr>
        <w:ind w:left="1800" w:hanging="360"/>
      </w:pPr>
      <w:rPr>
        <w:rFonts w:ascii="Wingdings" w:hAnsi="Wingdings" w:hint="default"/>
      </w:rPr>
    </w:lvl>
    <w:lvl w:ilvl="3" w:tplc="FC387842" w:tentative="1">
      <w:start w:val="1"/>
      <w:numFmt w:val="bullet"/>
      <w:lvlText w:val=""/>
      <w:lvlJc w:val="left"/>
      <w:pPr>
        <w:ind w:left="2520" w:hanging="360"/>
      </w:pPr>
      <w:rPr>
        <w:rFonts w:ascii="Symbol" w:hAnsi="Symbol" w:hint="default"/>
      </w:rPr>
    </w:lvl>
    <w:lvl w:ilvl="4" w:tplc="F48EB118" w:tentative="1">
      <w:start w:val="1"/>
      <w:numFmt w:val="bullet"/>
      <w:lvlText w:val="o"/>
      <w:lvlJc w:val="left"/>
      <w:pPr>
        <w:ind w:left="3240" w:hanging="360"/>
      </w:pPr>
      <w:rPr>
        <w:rFonts w:ascii="Courier New" w:hAnsi="Courier New" w:cs="Courier New" w:hint="default"/>
      </w:rPr>
    </w:lvl>
    <w:lvl w:ilvl="5" w:tplc="86A85B2A" w:tentative="1">
      <w:start w:val="1"/>
      <w:numFmt w:val="bullet"/>
      <w:lvlText w:val=""/>
      <w:lvlJc w:val="left"/>
      <w:pPr>
        <w:ind w:left="3960" w:hanging="360"/>
      </w:pPr>
      <w:rPr>
        <w:rFonts w:ascii="Wingdings" w:hAnsi="Wingdings" w:hint="default"/>
      </w:rPr>
    </w:lvl>
    <w:lvl w:ilvl="6" w:tplc="DA1E3752" w:tentative="1">
      <w:start w:val="1"/>
      <w:numFmt w:val="bullet"/>
      <w:lvlText w:val=""/>
      <w:lvlJc w:val="left"/>
      <w:pPr>
        <w:ind w:left="4680" w:hanging="360"/>
      </w:pPr>
      <w:rPr>
        <w:rFonts w:ascii="Symbol" w:hAnsi="Symbol" w:hint="default"/>
      </w:rPr>
    </w:lvl>
    <w:lvl w:ilvl="7" w:tplc="9C32C284" w:tentative="1">
      <w:start w:val="1"/>
      <w:numFmt w:val="bullet"/>
      <w:lvlText w:val="o"/>
      <w:lvlJc w:val="left"/>
      <w:pPr>
        <w:ind w:left="5400" w:hanging="360"/>
      </w:pPr>
      <w:rPr>
        <w:rFonts w:ascii="Courier New" w:hAnsi="Courier New" w:cs="Courier New" w:hint="default"/>
      </w:rPr>
    </w:lvl>
    <w:lvl w:ilvl="8" w:tplc="C396CE4A" w:tentative="1">
      <w:start w:val="1"/>
      <w:numFmt w:val="bullet"/>
      <w:lvlText w:val=""/>
      <w:lvlJc w:val="left"/>
      <w:pPr>
        <w:ind w:left="6120" w:hanging="360"/>
      </w:pPr>
      <w:rPr>
        <w:rFonts w:ascii="Wingdings" w:hAnsi="Wingdings" w:hint="default"/>
      </w:rPr>
    </w:lvl>
  </w:abstractNum>
  <w:abstractNum w:abstractNumId="35">
    <w:nsid w:val="34AE4553"/>
    <w:multiLevelType w:val="hybridMultilevel"/>
    <w:tmpl w:val="981CE354"/>
    <w:lvl w:ilvl="0" w:tplc="FD8A4E78">
      <w:start w:val="1"/>
      <w:numFmt w:val="bullet"/>
      <w:lvlText w:val=""/>
      <w:lvlJc w:val="left"/>
      <w:pPr>
        <w:ind w:left="360" w:hanging="360"/>
      </w:pPr>
      <w:rPr>
        <w:rFonts w:ascii="Symbol" w:hAnsi="Symbol" w:hint="default"/>
      </w:rPr>
    </w:lvl>
    <w:lvl w:ilvl="1" w:tplc="C00C1D0E" w:tentative="1">
      <w:start w:val="1"/>
      <w:numFmt w:val="bullet"/>
      <w:lvlText w:val="o"/>
      <w:lvlJc w:val="left"/>
      <w:pPr>
        <w:ind w:left="1080" w:hanging="360"/>
      </w:pPr>
      <w:rPr>
        <w:rFonts w:ascii="Courier New" w:hAnsi="Courier New" w:cs="Courier New" w:hint="default"/>
      </w:rPr>
    </w:lvl>
    <w:lvl w:ilvl="2" w:tplc="0F7AF946" w:tentative="1">
      <w:start w:val="1"/>
      <w:numFmt w:val="bullet"/>
      <w:lvlText w:val=""/>
      <w:lvlJc w:val="left"/>
      <w:pPr>
        <w:ind w:left="1800" w:hanging="360"/>
      </w:pPr>
      <w:rPr>
        <w:rFonts w:ascii="Wingdings" w:hAnsi="Wingdings" w:hint="default"/>
      </w:rPr>
    </w:lvl>
    <w:lvl w:ilvl="3" w:tplc="7A687F5C" w:tentative="1">
      <w:start w:val="1"/>
      <w:numFmt w:val="bullet"/>
      <w:lvlText w:val=""/>
      <w:lvlJc w:val="left"/>
      <w:pPr>
        <w:ind w:left="2520" w:hanging="360"/>
      </w:pPr>
      <w:rPr>
        <w:rFonts w:ascii="Symbol" w:hAnsi="Symbol" w:hint="default"/>
      </w:rPr>
    </w:lvl>
    <w:lvl w:ilvl="4" w:tplc="819A7242" w:tentative="1">
      <w:start w:val="1"/>
      <w:numFmt w:val="bullet"/>
      <w:lvlText w:val="o"/>
      <w:lvlJc w:val="left"/>
      <w:pPr>
        <w:ind w:left="3240" w:hanging="360"/>
      </w:pPr>
      <w:rPr>
        <w:rFonts w:ascii="Courier New" w:hAnsi="Courier New" w:cs="Courier New" w:hint="default"/>
      </w:rPr>
    </w:lvl>
    <w:lvl w:ilvl="5" w:tplc="CBA4EFF0" w:tentative="1">
      <w:start w:val="1"/>
      <w:numFmt w:val="bullet"/>
      <w:lvlText w:val=""/>
      <w:lvlJc w:val="left"/>
      <w:pPr>
        <w:ind w:left="3960" w:hanging="360"/>
      </w:pPr>
      <w:rPr>
        <w:rFonts w:ascii="Wingdings" w:hAnsi="Wingdings" w:hint="default"/>
      </w:rPr>
    </w:lvl>
    <w:lvl w:ilvl="6" w:tplc="63DA2FFC" w:tentative="1">
      <w:start w:val="1"/>
      <w:numFmt w:val="bullet"/>
      <w:lvlText w:val=""/>
      <w:lvlJc w:val="left"/>
      <w:pPr>
        <w:ind w:left="4680" w:hanging="360"/>
      </w:pPr>
      <w:rPr>
        <w:rFonts w:ascii="Symbol" w:hAnsi="Symbol" w:hint="default"/>
      </w:rPr>
    </w:lvl>
    <w:lvl w:ilvl="7" w:tplc="2DB6EC0C" w:tentative="1">
      <w:start w:val="1"/>
      <w:numFmt w:val="bullet"/>
      <w:lvlText w:val="o"/>
      <w:lvlJc w:val="left"/>
      <w:pPr>
        <w:ind w:left="5400" w:hanging="360"/>
      </w:pPr>
      <w:rPr>
        <w:rFonts w:ascii="Courier New" w:hAnsi="Courier New" w:cs="Courier New" w:hint="default"/>
      </w:rPr>
    </w:lvl>
    <w:lvl w:ilvl="8" w:tplc="231EA4C8" w:tentative="1">
      <w:start w:val="1"/>
      <w:numFmt w:val="bullet"/>
      <w:lvlText w:val=""/>
      <w:lvlJc w:val="left"/>
      <w:pPr>
        <w:ind w:left="6120" w:hanging="360"/>
      </w:pPr>
      <w:rPr>
        <w:rFonts w:ascii="Wingdings" w:hAnsi="Wingdings" w:hint="default"/>
      </w:rPr>
    </w:lvl>
  </w:abstractNum>
  <w:abstractNum w:abstractNumId="36">
    <w:nsid w:val="35D26F74"/>
    <w:multiLevelType w:val="hybridMultilevel"/>
    <w:tmpl w:val="F8580234"/>
    <w:lvl w:ilvl="0" w:tplc="20CCB54C">
      <w:start w:val="1"/>
      <w:numFmt w:val="bullet"/>
      <w:lvlText w:val=""/>
      <w:lvlJc w:val="left"/>
      <w:pPr>
        <w:tabs>
          <w:tab w:val="num" w:pos="720"/>
        </w:tabs>
        <w:ind w:left="720" w:hanging="360"/>
      </w:pPr>
      <w:rPr>
        <w:rFonts w:ascii="Wingdings" w:hAnsi="Wingdings" w:hint="default"/>
        <w:sz w:val="24"/>
      </w:rPr>
    </w:lvl>
    <w:lvl w:ilvl="1" w:tplc="A0C04D10" w:tentative="1">
      <w:start w:val="1"/>
      <w:numFmt w:val="bullet"/>
      <w:lvlText w:val="o"/>
      <w:lvlJc w:val="left"/>
      <w:pPr>
        <w:tabs>
          <w:tab w:val="num" w:pos="1440"/>
        </w:tabs>
        <w:ind w:left="1440" w:hanging="360"/>
      </w:pPr>
      <w:rPr>
        <w:rFonts w:ascii="Courier New" w:hAnsi="Courier New" w:cs="Courier New" w:hint="default"/>
      </w:rPr>
    </w:lvl>
    <w:lvl w:ilvl="2" w:tplc="C19E6534" w:tentative="1">
      <w:start w:val="1"/>
      <w:numFmt w:val="bullet"/>
      <w:lvlText w:val=""/>
      <w:lvlJc w:val="left"/>
      <w:pPr>
        <w:tabs>
          <w:tab w:val="num" w:pos="2160"/>
        </w:tabs>
        <w:ind w:left="2160" w:hanging="360"/>
      </w:pPr>
      <w:rPr>
        <w:rFonts w:ascii="Wingdings" w:hAnsi="Wingdings" w:hint="default"/>
      </w:rPr>
    </w:lvl>
    <w:lvl w:ilvl="3" w:tplc="DE46A916" w:tentative="1">
      <w:start w:val="1"/>
      <w:numFmt w:val="bullet"/>
      <w:lvlText w:val=""/>
      <w:lvlJc w:val="left"/>
      <w:pPr>
        <w:tabs>
          <w:tab w:val="num" w:pos="2880"/>
        </w:tabs>
        <w:ind w:left="2880" w:hanging="360"/>
      </w:pPr>
      <w:rPr>
        <w:rFonts w:ascii="Symbol" w:hAnsi="Symbol" w:hint="default"/>
      </w:rPr>
    </w:lvl>
    <w:lvl w:ilvl="4" w:tplc="3454C8CE" w:tentative="1">
      <w:start w:val="1"/>
      <w:numFmt w:val="bullet"/>
      <w:lvlText w:val="o"/>
      <w:lvlJc w:val="left"/>
      <w:pPr>
        <w:tabs>
          <w:tab w:val="num" w:pos="3600"/>
        </w:tabs>
        <w:ind w:left="3600" w:hanging="360"/>
      </w:pPr>
      <w:rPr>
        <w:rFonts w:ascii="Courier New" w:hAnsi="Courier New" w:cs="Courier New" w:hint="default"/>
      </w:rPr>
    </w:lvl>
    <w:lvl w:ilvl="5" w:tplc="39E8D55C" w:tentative="1">
      <w:start w:val="1"/>
      <w:numFmt w:val="bullet"/>
      <w:lvlText w:val=""/>
      <w:lvlJc w:val="left"/>
      <w:pPr>
        <w:tabs>
          <w:tab w:val="num" w:pos="4320"/>
        </w:tabs>
        <w:ind w:left="4320" w:hanging="360"/>
      </w:pPr>
      <w:rPr>
        <w:rFonts w:ascii="Wingdings" w:hAnsi="Wingdings" w:hint="default"/>
      </w:rPr>
    </w:lvl>
    <w:lvl w:ilvl="6" w:tplc="BF72249A" w:tentative="1">
      <w:start w:val="1"/>
      <w:numFmt w:val="bullet"/>
      <w:lvlText w:val=""/>
      <w:lvlJc w:val="left"/>
      <w:pPr>
        <w:tabs>
          <w:tab w:val="num" w:pos="5040"/>
        </w:tabs>
        <w:ind w:left="5040" w:hanging="360"/>
      </w:pPr>
      <w:rPr>
        <w:rFonts w:ascii="Symbol" w:hAnsi="Symbol" w:hint="default"/>
      </w:rPr>
    </w:lvl>
    <w:lvl w:ilvl="7" w:tplc="79EAAAB4" w:tentative="1">
      <w:start w:val="1"/>
      <w:numFmt w:val="bullet"/>
      <w:lvlText w:val="o"/>
      <w:lvlJc w:val="left"/>
      <w:pPr>
        <w:tabs>
          <w:tab w:val="num" w:pos="5760"/>
        </w:tabs>
        <w:ind w:left="5760" w:hanging="360"/>
      </w:pPr>
      <w:rPr>
        <w:rFonts w:ascii="Courier New" w:hAnsi="Courier New" w:cs="Courier New" w:hint="default"/>
      </w:rPr>
    </w:lvl>
    <w:lvl w:ilvl="8" w:tplc="648A5B88" w:tentative="1">
      <w:start w:val="1"/>
      <w:numFmt w:val="bullet"/>
      <w:lvlText w:val=""/>
      <w:lvlJc w:val="left"/>
      <w:pPr>
        <w:tabs>
          <w:tab w:val="num" w:pos="6480"/>
        </w:tabs>
        <w:ind w:left="6480" w:hanging="360"/>
      </w:pPr>
      <w:rPr>
        <w:rFonts w:ascii="Wingdings" w:hAnsi="Wingdings" w:hint="default"/>
      </w:rPr>
    </w:lvl>
  </w:abstractNum>
  <w:abstractNum w:abstractNumId="37">
    <w:nsid w:val="378E7173"/>
    <w:multiLevelType w:val="hybridMultilevel"/>
    <w:tmpl w:val="2DD25932"/>
    <w:lvl w:ilvl="0" w:tplc="81C4D4B0">
      <w:start w:val="1"/>
      <w:numFmt w:val="bullet"/>
      <w:lvlText w:val=""/>
      <w:lvlJc w:val="left"/>
      <w:pPr>
        <w:ind w:left="927" w:hanging="360"/>
      </w:pPr>
      <w:rPr>
        <w:rFonts w:ascii="Symbol" w:hAnsi="Symbol" w:hint="default"/>
      </w:rPr>
    </w:lvl>
    <w:lvl w:ilvl="1" w:tplc="24A08A22" w:tentative="1">
      <w:start w:val="1"/>
      <w:numFmt w:val="bullet"/>
      <w:lvlText w:val="o"/>
      <w:lvlJc w:val="left"/>
      <w:pPr>
        <w:ind w:left="1647" w:hanging="360"/>
      </w:pPr>
      <w:rPr>
        <w:rFonts w:ascii="Courier New" w:hAnsi="Courier New" w:cs="Courier New" w:hint="default"/>
      </w:rPr>
    </w:lvl>
    <w:lvl w:ilvl="2" w:tplc="9F32C276" w:tentative="1">
      <w:start w:val="1"/>
      <w:numFmt w:val="bullet"/>
      <w:lvlText w:val=""/>
      <w:lvlJc w:val="left"/>
      <w:pPr>
        <w:ind w:left="2367" w:hanging="360"/>
      </w:pPr>
      <w:rPr>
        <w:rFonts w:ascii="Wingdings" w:hAnsi="Wingdings" w:hint="default"/>
      </w:rPr>
    </w:lvl>
    <w:lvl w:ilvl="3" w:tplc="AED83C92" w:tentative="1">
      <w:start w:val="1"/>
      <w:numFmt w:val="bullet"/>
      <w:lvlText w:val=""/>
      <w:lvlJc w:val="left"/>
      <w:pPr>
        <w:ind w:left="3087" w:hanging="360"/>
      </w:pPr>
      <w:rPr>
        <w:rFonts w:ascii="Symbol" w:hAnsi="Symbol" w:hint="default"/>
      </w:rPr>
    </w:lvl>
    <w:lvl w:ilvl="4" w:tplc="2DBA8878" w:tentative="1">
      <w:start w:val="1"/>
      <w:numFmt w:val="bullet"/>
      <w:lvlText w:val="o"/>
      <w:lvlJc w:val="left"/>
      <w:pPr>
        <w:ind w:left="3807" w:hanging="360"/>
      </w:pPr>
      <w:rPr>
        <w:rFonts w:ascii="Courier New" w:hAnsi="Courier New" w:cs="Courier New" w:hint="default"/>
      </w:rPr>
    </w:lvl>
    <w:lvl w:ilvl="5" w:tplc="F6269FC6" w:tentative="1">
      <w:start w:val="1"/>
      <w:numFmt w:val="bullet"/>
      <w:lvlText w:val=""/>
      <w:lvlJc w:val="left"/>
      <w:pPr>
        <w:ind w:left="4527" w:hanging="360"/>
      </w:pPr>
      <w:rPr>
        <w:rFonts w:ascii="Wingdings" w:hAnsi="Wingdings" w:hint="default"/>
      </w:rPr>
    </w:lvl>
    <w:lvl w:ilvl="6" w:tplc="FE383572" w:tentative="1">
      <w:start w:val="1"/>
      <w:numFmt w:val="bullet"/>
      <w:lvlText w:val=""/>
      <w:lvlJc w:val="left"/>
      <w:pPr>
        <w:ind w:left="5247" w:hanging="360"/>
      </w:pPr>
      <w:rPr>
        <w:rFonts w:ascii="Symbol" w:hAnsi="Symbol" w:hint="default"/>
      </w:rPr>
    </w:lvl>
    <w:lvl w:ilvl="7" w:tplc="9EC807B6" w:tentative="1">
      <w:start w:val="1"/>
      <w:numFmt w:val="bullet"/>
      <w:lvlText w:val="o"/>
      <w:lvlJc w:val="left"/>
      <w:pPr>
        <w:ind w:left="5967" w:hanging="360"/>
      </w:pPr>
      <w:rPr>
        <w:rFonts w:ascii="Courier New" w:hAnsi="Courier New" w:cs="Courier New" w:hint="default"/>
      </w:rPr>
    </w:lvl>
    <w:lvl w:ilvl="8" w:tplc="3912DCA4" w:tentative="1">
      <w:start w:val="1"/>
      <w:numFmt w:val="bullet"/>
      <w:lvlText w:val=""/>
      <w:lvlJc w:val="left"/>
      <w:pPr>
        <w:ind w:left="6687" w:hanging="360"/>
      </w:pPr>
      <w:rPr>
        <w:rFonts w:ascii="Wingdings" w:hAnsi="Wingdings" w:hint="default"/>
      </w:rPr>
    </w:lvl>
  </w:abstractNum>
  <w:abstractNum w:abstractNumId="38">
    <w:nsid w:val="38497E5F"/>
    <w:multiLevelType w:val="hybridMultilevel"/>
    <w:tmpl w:val="98267710"/>
    <w:lvl w:ilvl="0" w:tplc="8D94DB58">
      <w:start w:val="1"/>
      <w:numFmt w:val="bullet"/>
      <w:lvlText w:val=""/>
      <w:lvlJc w:val="left"/>
      <w:pPr>
        <w:ind w:left="927" w:hanging="360"/>
      </w:pPr>
      <w:rPr>
        <w:rFonts w:ascii="Symbol" w:hAnsi="Symbol" w:hint="default"/>
      </w:rPr>
    </w:lvl>
    <w:lvl w:ilvl="1" w:tplc="79BC84F6" w:tentative="1">
      <w:start w:val="1"/>
      <w:numFmt w:val="bullet"/>
      <w:lvlText w:val="o"/>
      <w:lvlJc w:val="left"/>
      <w:pPr>
        <w:ind w:left="1647" w:hanging="360"/>
      </w:pPr>
      <w:rPr>
        <w:rFonts w:ascii="Courier New" w:hAnsi="Courier New" w:cs="Courier New" w:hint="default"/>
      </w:rPr>
    </w:lvl>
    <w:lvl w:ilvl="2" w:tplc="47A27AF2" w:tentative="1">
      <w:start w:val="1"/>
      <w:numFmt w:val="bullet"/>
      <w:lvlText w:val=""/>
      <w:lvlJc w:val="left"/>
      <w:pPr>
        <w:ind w:left="2367" w:hanging="360"/>
      </w:pPr>
      <w:rPr>
        <w:rFonts w:ascii="Wingdings" w:hAnsi="Wingdings" w:hint="default"/>
      </w:rPr>
    </w:lvl>
    <w:lvl w:ilvl="3" w:tplc="180E33C0" w:tentative="1">
      <w:start w:val="1"/>
      <w:numFmt w:val="bullet"/>
      <w:lvlText w:val=""/>
      <w:lvlJc w:val="left"/>
      <w:pPr>
        <w:ind w:left="3087" w:hanging="360"/>
      </w:pPr>
      <w:rPr>
        <w:rFonts w:ascii="Symbol" w:hAnsi="Symbol" w:hint="default"/>
      </w:rPr>
    </w:lvl>
    <w:lvl w:ilvl="4" w:tplc="9F76EC64" w:tentative="1">
      <w:start w:val="1"/>
      <w:numFmt w:val="bullet"/>
      <w:lvlText w:val="o"/>
      <w:lvlJc w:val="left"/>
      <w:pPr>
        <w:ind w:left="3807" w:hanging="360"/>
      </w:pPr>
      <w:rPr>
        <w:rFonts w:ascii="Courier New" w:hAnsi="Courier New" w:cs="Courier New" w:hint="default"/>
      </w:rPr>
    </w:lvl>
    <w:lvl w:ilvl="5" w:tplc="431ACDEA" w:tentative="1">
      <w:start w:val="1"/>
      <w:numFmt w:val="bullet"/>
      <w:lvlText w:val=""/>
      <w:lvlJc w:val="left"/>
      <w:pPr>
        <w:ind w:left="4527" w:hanging="360"/>
      </w:pPr>
      <w:rPr>
        <w:rFonts w:ascii="Wingdings" w:hAnsi="Wingdings" w:hint="default"/>
      </w:rPr>
    </w:lvl>
    <w:lvl w:ilvl="6" w:tplc="3A7C1DF4" w:tentative="1">
      <w:start w:val="1"/>
      <w:numFmt w:val="bullet"/>
      <w:lvlText w:val=""/>
      <w:lvlJc w:val="left"/>
      <w:pPr>
        <w:ind w:left="5247" w:hanging="360"/>
      </w:pPr>
      <w:rPr>
        <w:rFonts w:ascii="Symbol" w:hAnsi="Symbol" w:hint="default"/>
      </w:rPr>
    </w:lvl>
    <w:lvl w:ilvl="7" w:tplc="65F03CD4" w:tentative="1">
      <w:start w:val="1"/>
      <w:numFmt w:val="bullet"/>
      <w:lvlText w:val="o"/>
      <w:lvlJc w:val="left"/>
      <w:pPr>
        <w:ind w:left="5967" w:hanging="360"/>
      </w:pPr>
      <w:rPr>
        <w:rFonts w:ascii="Courier New" w:hAnsi="Courier New" w:cs="Courier New" w:hint="default"/>
      </w:rPr>
    </w:lvl>
    <w:lvl w:ilvl="8" w:tplc="05226836" w:tentative="1">
      <w:start w:val="1"/>
      <w:numFmt w:val="bullet"/>
      <w:lvlText w:val=""/>
      <w:lvlJc w:val="left"/>
      <w:pPr>
        <w:ind w:left="6687" w:hanging="360"/>
      </w:pPr>
      <w:rPr>
        <w:rFonts w:ascii="Wingdings" w:hAnsi="Wingdings" w:hint="default"/>
      </w:rPr>
    </w:lvl>
  </w:abstractNum>
  <w:abstractNum w:abstractNumId="39">
    <w:nsid w:val="3A1E6165"/>
    <w:multiLevelType w:val="hybridMultilevel"/>
    <w:tmpl w:val="79CAA5B2"/>
    <w:lvl w:ilvl="0" w:tplc="20EC59D2">
      <w:start w:val="1"/>
      <w:numFmt w:val="bullet"/>
      <w:lvlText w:val=""/>
      <w:lvlJc w:val="left"/>
      <w:pPr>
        <w:ind w:left="720" w:hanging="360"/>
      </w:pPr>
      <w:rPr>
        <w:rFonts w:ascii="Symbol" w:hAnsi="Symbol" w:hint="default"/>
      </w:rPr>
    </w:lvl>
    <w:lvl w:ilvl="1" w:tplc="4BB60D70" w:tentative="1">
      <w:start w:val="1"/>
      <w:numFmt w:val="bullet"/>
      <w:lvlText w:val="o"/>
      <w:lvlJc w:val="left"/>
      <w:pPr>
        <w:ind w:left="1440" w:hanging="360"/>
      </w:pPr>
      <w:rPr>
        <w:rFonts w:ascii="Courier New" w:hAnsi="Courier New" w:cs="Courier New" w:hint="default"/>
      </w:rPr>
    </w:lvl>
    <w:lvl w:ilvl="2" w:tplc="C90445C0" w:tentative="1">
      <w:start w:val="1"/>
      <w:numFmt w:val="bullet"/>
      <w:lvlText w:val=""/>
      <w:lvlJc w:val="left"/>
      <w:pPr>
        <w:ind w:left="2160" w:hanging="360"/>
      </w:pPr>
      <w:rPr>
        <w:rFonts w:ascii="Wingdings" w:hAnsi="Wingdings" w:hint="default"/>
      </w:rPr>
    </w:lvl>
    <w:lvl w:ilvl="3" w:tplc="5950ED8C" w:tentative="1">
      <w:start w:val="1"/>
      <w:numFmt w:val="bullet"/>
      <w:lvlText w:val=""/>
      <w:lvlJc w:val="left"/>
      <w:pPr>
        <w:ind w:left="2880" w:hanging="360"/>
      </w:pPr>
      <w:rPr>
        <w:rFonts w:ascii="Symbol" w:hAnsi="Symbol" w:hint="default"/>
      </w:rPr>
    </w:lvl>
    <w:lvl w:ilvl="4" w:tplc="BE42639E" w:tentative="1">
      <w:start w:val="1"/>
      <w:numFmt w:val="bullet"/>
      <w:lvlText w:val="o"/>
      <w:lvlJc w:val="left"/>
      <w:pPr>
        <w:ind w:left="3600" w:hanging="360"/>
      </w:pPr>
      <w:rPr>
        <w:rFonts w:ascii="Courier New" w:hAnsi="Courier New" w:cs="Courier New" w:hint="default"/>
      </w:rPr>
    </w:lvl>
    <w:lvl w:ilvl="5" w:tplc="34D4339A" w:tentative="1">
      <w:start w:val="1"/>
      <w:numFmt w:val="bullet"/>
      <w:lvlText w:val=""/>
      <w:lvlJc w:val="left"/>
      <w:pPr>
        <w:ind w:left="4320" w:hanging="360"/>
      </w:pPr>
      <w:rPr>
        <w:rFonts w:ascii="Wingdings" w:hAnsi="Wingdings" w:hint="default"/>
      </w:rPr>
    </w:lvl>
    <w:lvl w:ilvl="6" w:tplc="27B220F8" w:tentative="1">
      <w:start w:val="1"/>
      <w:numFmt w:val="bullet"/>
      <w:lvlText w:val=""/>
      <w:lvlJc w:val="left"/>
      <w:pPr>
        <w:ind w:left="5040" w:hanging="360"/>
      </w:pPr>
      <w:rPr>
        <w:rFonts w:ascii="Symbol" w:hAnsi="Symbol" w:hint="default"/>
      </w:rPr>
    </w:lvl>
    <w:lvl w:ilvl="7" w:tplc="1694A40E" w:tentative="1">
      <w:start w:val="1"/>
      <w:numFmt w:val="bullet"/>
      <w:lvlText w:val="o"/>
      <w:lvlJc w:val="left"/>
      <w:pPr>
        <w:ind w:left="5760" w:hanging="360"/>
      </w:pPr>
      <w:rPr>
        <w:rFonts w:ascii="Courier New" w:hAnsi="Courier New" w:cs="Courier New" w:hint="default"/>
      </w:rPr>
    </w:lvl>
    <w:lvl w:ilvl="8" w:tplc="319EC114" w:tentative="1">
      <w:start w:val="1"/>
      <w:numFmt w:val="bullet"/>
      <w:lvlText w:val=""/>
      <w:lvlJc w:val="left"/>
      <w:pPr>
        <w:ind w:left="6480" w:hanging="360"/>
      </w:pPr>
      <w:rPr>
        <w:rFonts w:ascii="Wingdings" w:hAnsi="Wingdings" w:hint="default"/>
      </w:rPr>
    </w:lvl>
  </w:abstractNum>
  <w:abstractNum w:abstractNumId="40">
    <w:nsid w:val="3E5B6183"/>
    <w:multiLevelType w:val="hybridMultilevel"/>
    <w:tmpl w:val="7A70A786"/>
    <w:lvl w:ilvl="0" w:tplc="F5CA01C4">
      <w:start w:val="1"/>
      <w:numFmt w:val="bullet"/>
      <w:lvlText w:val=""/>
      <w:lvlJc w:val="left"/>
      <w:pPr>
        <w:ind w:left="360" w:hanging="360"/>
      </w:pPr>
      <w:rPr>
        <w:rFonts w:ascii="Symbol" w:hAnsi="Symbol" w:hint="default"/>
      </w:rPr>
    </w:lvl>
    <w:lvl w:ilvl="1" w:tplc="1EE0B77A" w:tentative="1">
      <w:start w:val="1"/>
      <w:numFmt w:val="bullet"/>
      <w:lvlText w:val="o"/>
      <w:lvlJc w:val="left"/>
      <w:pPr>
        <w:ind w:left="1080" w:hanging="360"/>
      </w:pPr>
      <w:rPr>
        <w:rFonts w:ascii="Courier New" w:hAnsi="Courier New" w:cs="Courier New" w:hint="default"/>
      </w:rPr>
    </w:lvl>
    <w:lvl w:ilvl="2" w:tplc="4CA0FD18" w:tentative="1">
      <w:start w:val="1"/>
      <w:numFmt w:val="bullet"/>
      <w:lvlText w:val=""/>
      <w:lvlJc w:val="left"/>
      <w:pPr>
        <w:ind w:left="1800" w:hanging="360"/>
      </w:pPr>
      <w:rPr>
        <w:rFonts w:ascii="Wingdings" w:hAnsi="Wingdings" w:hint="default"/>
      </w:rPr>
    </w:lvl>
    <w:lvl w:ilvl="3" w:tplc="15E0A3A4" w:tentative="1">
      <w:start w:val="1"/>
      <w:numFmt w:val="bullet"/>
      <w:lvlText w:val=""/>
      <w:lvlJc w:val="left"/>
      <w:pPr>
        <w:ind w:left="2520" w:hanging="360"/>
      </w:pPr>
      <w:rPr>
        <w:rFonts w:ascii="Symbol" w:hAnsi="Symbol" w:hint="default"/>
      </w:rPr>
    </w:lvl>
    <w:lvl w:ilvl="4" w:tplc="75A24C28" w:tentative="1">
      <w:start w:val="1"/>
      <w:numFmt w:val="bullet"/>
      <w:lvlText w:val="o"/>
      <w:lvlJc w:val="left"/>
      <w:pPr>
        <w:ind w:left="3240" w:hanging="360"/>
      </w:pPr>
      <w:rPr>
        <w:rFonts w:ascii="Courier New" w:hAnsi="Courier New" w:cs="Courier New" w:hint="default"/>
      </w:rPr>
    </w:lvl>
    <w:lvl w:ilvl="5" w:tplc="E9D8B2F8" w:tentative="1">
      <w:start w:val="1"/>
      <w:numFmt w:val="bullet"/>
      <w:lvlText w:val=""/>
      <w:lvlJc w:val="left"/>
      <w:pPr>
        <w:ind w:left="3960" w:hanging="360"/>
      </w:pPr>
      <w:rPr>
        <w:rFonts w:ascii="Wingdings" w:hAnsi="Wingdings" w:hint="default"/>
      </w:rPr>
    </w:lvl>
    <w:lvl w:ilvl="6" w:tplc="7AF6CBE4" w:tentative="1">
      <w:start w:val="1"/>
      <w:numFmt w:val="bullet"/>
      <w:lvlText w:val=""/>
      <w:lvlJc w:val="left"/>
      <w:pPr>
        <w:ind w:left="4680" w:hanging="360"/>
      </w:pPr>
      <w:rPr>
        <w:rFonts w:ascii="Symbol" w:hAnsi="Symbol" w:hint="default"/>
      </w:rPr>
    </w:lvl>
    <w:lvl w:ilvl="7" w:tplc="8312DC62" w:tentative="1">
      <w:start w:val="1"/>
      <w:numFmt w:val="bullet"/>
      <w:lvlText w:val="o"/>
      <w:lvlJc w:val="left"/>
      <w:pPr>
        <w:ind w:left="5400" w:hanging="360"/>
      </w:pPr>
      <w:rPr>
        <w:rFonts w:ascii="Courier New" w:hAnsi="Courier New" w:cs="Courier New" w:hint="default"/>
      </w:rPr>
    </w:lvl>
    <w:lvl w:ilvl="8" w:tplc="3CCCAA54" w:tentative="1">
      <w:start w:val="1"/>
      <w:numFmt w:val="bullet"/>
      <w:lvlText w:val=""/>
      <w:lvlJc w:val="left"/>
      <w:pPr>
        <w:ind w:left="6120" w:hanging="360"/>
      </w:pPr>
      <w:rPr>
        <w:rFonts w:ascii="Wingdings" w:hAnsi="Wingdings" w:hint="default"/>
      </w:rPr>
    </w:lvl>
  </w:abstractNum>
  <w:abstractNum w:abstractNumId="41">
    <w:nsid w:val="3F835284"/>
    <w:multiLevelType w:val="hybridMultilevel"/>
    <w:tmpl w:val="5D5C14F0"/>
    <w:lvl w:ilvl="0" w:tplc="4C606626">
      <w:start w:val="1"/>
      <w:numFmt w:val="lowerRoman"/>
      <w:lvlText w:val="%1)"/>
      <w:lvlJc w:val="left"/>
      <w:pPr>
        <w:ind w:left="720" w:hanging="720"/>
      </w:pPr>
      <w:rPr>
        <w:rFonts w:hint="default"/>
      </w:rPr>
    </w:lvl>
    <w:lvl w:ilvl="1" w:tplc="BEB0DA80" w:tentative="1">
      <w:start w:val="1"/>
      <w:numFmt w:val="lowerLetter"/>
      <w:lvlText w:val="%2."/>
      <w:lvlJc w:val="left"/>
      <w:pPr>
        <w:ind w:left="1080" w:hanging="360"/>
      </w:pPr>
    </w:lvl>
    <w:lvl w:ilvl="2" w:tplc="0A2237E6" w:tentative="1">
      <w:start w:val="1"/>
      <w:numFmt w:val="lowerRoman"/>
      <w:lvlText w:val="%3."/>
      <w:lvlJc w:val="right"/>
      <w:pPr>
        <w:ind w:left="1800" w:hanging="180"/>
      </w:pPr>
    </w:lvl>
    <w:lvl w:ilvl="3" w:tplc="EAC428F2" w:tentative="1">
      <w:start w:val="1"/>
      <w:numFmt w:val="decimal"/>
      <w:lvlText w:val="%4."/>
      <w:lvlJc w:val="left"/>
      <w:pPr>
        <w:ind w:left="2520" w:hanging="360"/>
      </w:pPr>
    </w:lvl>
    <w:lvl w:ilvl="4" w:tplc="2F38C7A4" w:tentative="1">
      <w:start w:val="1"/>
      <w:numFmt w:val="lowerLetter"/>
      <w:lvlText w:val="%5."/>
      <w:lvlJc w:val="left"/>
      <w:pPr>
        <w:ind w:left="3240" w:hanging="360"/>
      </w:pPr>
    </w:lvl>
    <w:lvl w:ilvl="5" w:tplc="9460C4C4" w:tentative="1">
      <w:start w:val="1"/>
      <w:numFmt w:val="lowerRoman"/>
      <w:lvlText w:val="%6."/>
      <w:lvlJc w:val="right"/>
      <w:pPr>
        <w:ind w:left="3960" w:hanging="180"/>
      </w:pPr>
    </w:lvl>
    <w:lvl w:ilvl="6" w:tplc="0D2A7C9A" w:tentative="1">
      <w:start w:val="1"/>
      <w:numFmt w:val="decimal"/>
      <w:lvlText w:val="%7."/>
      <w:lvlJc w:val="left"/>
      <w:pPr>
        <w:ind w:left="4680" w:hanging="360"/>
      </w:pPr>
    </w:lvl>
    <w:lvl w:ilvl="7" w:tplc="995A820E" w:tentative="1">
      <w:start w:val="1"/>
      <w:numFmt w:val="lowerLetter"/>
      <w:lvlText w:val="%8."/>
      <w:lvlJc w:val="left"/>
      <w:pPr>
        <w:ind w:left="5400" w:hanging="360"/>
      </w:pPr>
    </w:lvl>
    <w:lvl w:ilvl="8" w:tplc="F0F2291A" w:tentative="1">
      <w:start w:val="1"/>
      <w:numFmt w:val="lowerRoman"/>
      <w:lvlText w:val="%9."/>
      <w:lvlJc w:val="right"/>
      <w:pPr>
        <w:ind w:left="6120" w:hanging="180"/>
      </w:pPr>
    </w:lvl>
  </w:abstractNum>
  <w:abstractNum w:abstractNumId="42">
    <w:nsid w:val="4106349D"/>
    <w:multiLevelType w:val="hybridMultilevel"/>
    <w:tmpl w:val="4BB02048"/>
    <w:lvl w:ilvl="0" w:tplc="35684BB0">
      <w:start w:val="1"/>
      <w:numFmt w:val="bullet"/>
      <w:lvlText w:val=""/>
      <w:lvlJc w:val="left"/>
      <w:pPr>
        <w:ind w:left="360" w:hanging="360"/>
      </w:pPr>
      <w:rPr>
        <w:rFonts w:ascii="Symbol" w:hAnsi="Symbol" w:hint="default"/>
      </w:rPr>
    </w:lvl>
    <w:lvl w:ilvl="1" w:tplc="306C07A4" w:tentative="1">
      <w:start w:val="1"/>
      <w:numFmt w:val="bullet"/>
      <w:lvlText w:val="o"/>
      <w:lvlJc w:val="left"/>
      <w:pPr>
        <w:ind w:left="1080" w:hanging="360"/>
      </w:pPr>
      <w:rPr>
        <w:rFonts w:ascii="Courier New" w:hAnsi="Courier New" w:cs="Courier New" w:hint="default"/>
      </w:rPr>
    </w:lvl>
    <w:lvl w:ilvl="2" w:tplc="A2762306" w:tentative="1">
      <w:start w:val="1"/>
      <w:numFmt w:val="bullet"/>
      <w:lvlText w:val=""/>
      <w:lvlJc w:val="left"/>
      <w:pPr>
        <w:ind w:left="1800" w:hanging="360"/>
      </w:pPr>
      <w:rPr>
        <w:rFonts w:ascii="Wingdings" w:hAnsi="Wingdings" w:hint="default"/>
      </w:rPr>
    </w:lvl>
    <w:lvl w:ilvl="3" w:tplc="01848B0E" w:tentative="1">
      <w:start w:val="1"/>
      <w:numFmt w:val="bullet"/>
      <w:lvlText w:val=""/>
      <w:lvlJc w:val="left"/>
      <w:pPr>
        <w:ind w:left="2520" w:hanging="360"/>
      </w:pPr>
      <w:rPr>
        <w:rFonts w:ascii="Symbol" w:hAnsi="Symbol" w:hint="default"/>
      </w:rPr>
    </w:lvl>
    <w:lvl w:ilvl="4" w:tplc="220469C0" w:tentative="1">
      <w:start w:val="1"/>
      <w:numFmt w:val="bullet"/>
      <w:lvlText w:val="o"/>
      <w:lvlJc w:val="left"/>
      <w:pPr>
        <w:ind w:left="3240" w:hanging="360"/>
      </w:pPr>
      <w:rPr>
        <w:rFonts w:ascii="Courier New" w:hAnsi="Courier New" w:cs="Courier New" w:hint="default"/>
      </w:rPr>
    </w:lvl>
    <w:lvl w:ilvl="5" w:tplc="702810C4" w:tentative="1">
      <w:start w:val="1"/>
      <w:numFmt w:val="bullet"/>
      <w:lvlText w:val=""/>
      <w:lvlJc w:val="left"/>
      <w:pPr>
        <w:ind w:left="3960" w:hanging="360"/>
      </w:pPr>
      <w:rPr>
        <w:rFonts w:ascii="Wingdings" w:hAnsi="Wingdings" w:hint="default"/>
      </w:rPr>
    </w:lvl>
    <w:lvl w:ilvl="6" w:tplc="AB9E4648" w:tentative="1">
      <w:start w:val="1"/>
      <w:numFmt w:val="bullet"/>
      <w:lvlText w:val=""/>
      <w:lvlJc w:val="left"/>
      <w:pPr>
        <w:ind w:left="4680" w:hanging="360"/>
      </w:pPr>
      <w:rPr>
        <w:rFonts w:ascii="Symbol" w:hAnsi="Symbol" w:hint="default"/>
      </w:rPr>
    </w:lvl>
    <w:lvl w:ilvl="7" w:tplc="A830D520" w:tentative="1">
      <w:start w:val="1"/>
      <w:numFmt w:val="bullet"/>
      <w:lvlText w:val="o"/>
      <w:lvlJc w:val="left"/>
      <w:pPr>
        <w:ind w:left="5400" w:hanging="360"/>
      </w:pPr>
      <w:rPr>
        <w:rFonts w:ascii="Courier New" w:hAnsi="Courier New" w:cs="Courier New" w:hint="default"/>
      </w:rPr>
    </w:lvl>
    <w:lvl w:ilvl="8" w:tplc="D1C05BC8" w:tentative="1">
      <w:start w:val="1"/>
      <w:numFmt w:val="bullet"/>
      <w:lvlText w:val=""/>
      <w:lvlJc w:val="left"/>
      <w:pPr>
        <w:ind w:left="6120" w:hanging="360"/>
      </w:pPr>
      <w:rPr>
        <w:rFonts w:ascii="Wingdings" w:hAnsi="Wingdings" w:hint="default"/>
      </w:rPr>
    </w:lvl>
  </w:abstractNum>
  <w:abstractNum w:abstractNumId="43">
    <w:nsid w:val="42341618"/>
    <w:multiLevelType w:val="hybridMultilevel"/>
    <w:tmpl w:val="9D509960"/>
    <w:lvl w:ilvl="0" w:tplc="229AF4E6">
      <w:start w:val="1"/>
      <w:numFmt w:val="bullet"/>
      <w:lvlText w:val=""/>
      <w:lvlJc w:val="left"/>
      <w:pPr>
        <w:ind w:left="720" w:hanging="360"/>
      </w:pPr>
      <w:rPr>
        <w:rFonts w:ascii="Symbol" w:hAnsi="Symbol" w:hint="default"/>
      </w:rPr>
    </w:lvl>
    <w:lvl w:ilvl="1" w:tplc="D0A84DAE" w:tentative="1">
      <w:start w:val="1"/>
      <w:numFmt w:val="bullet"/>
      <w:lvlText w:val="o"/>
      <w:lvlJc w:val="left"/>
      <w:pPr>
        <w:ind w:left="1440" w:hanging="360"/>
      </w:pPr>
      <w:rPr>
        <w:rFonts w:ascii="Courier New" w:hAnsi="Courier New" w:cs="Courier New" w:hint="default"/>
      </w:rPr>
    </w:lvl>
    <w:lvl w:ilvl="2" w:tplc="9C26D1C0" w:tentative="1">
      <w:start w:val="1"/>
      <w:numFmt w:val="bullet"/>
      <w:lvlText w:val=""/>
      <w:lvlJc w:val="left"/>
      <w:pPr>
        <w:ind w:left="2160" w:hanging="360"/>
      </w:pPr>
      <w:rPr>
        <w:rFonts w:ascii="Wingdings" w:hAnsi="Wingdings" w:hint="default"/>
      </w:rPr>
    </w:lvl>
    <w:lvl w:ilvl="3" w:tplc="3F4491EA" w:tentative="1">
      <w:start w:val="1"/>
      <w:numFmt w:val="bullet"/>
      <w:lvlText w:val=""/>
      <w:lvlJc w:val="left"/>
      <w:pPr>
        <w:ind w:left="2880" w:hanging="360"/>
      </w:pPr>
      <w:rPr>
        <w:rFonts w:ascii="Symbol" w:hAnsi="Symbol" w:hint="default"/>
      </w:rPr>
    </w:lvl>
    <w:lvl w:ilvl="4" w:tplc="248EBEA8" w:tentative="1">
      <w:start w:val="1"/>
      <w:numFmt w:val="bullet"/>
      <w:lvlText w:val="o"/>
      <w:lvlJc w:val="left"/>
      <w:pPr>
        <w:ind w:left="3600" w:hanging="360"/>
      </w:pPr>
      <w:rPr>
        <w:rFonts w:ascii="Courier New" w:hAnsi="Courier New" w:cs="Courier New" w:hint="default"/>
      </w:rPr>
    </w:lvl>
    <w:lvl w:ilvl="5" w:tplc="CF1AADAA" w:tentative="1">
      <w:start w:val="1"/>
      <w:numFmt w:val="bullet"/>
      <w:lvlText w:val=""/>
      <w:lvlJc w:val="left"/>
      <w:pPr>
        <w:ind w:left="4320" w:hanging="360"/>
      </w:pPr>
      <w:rPr>
        <w:rFonts w:ascii="Wingdings" w:hAnsi="Wingdings" w:hint="default"/>
      </w:rPr>
    </w:lvl>
    <w:lvl w:ilvl="6" w:tplc="E1A29016" w:tentative="1">
      <w:start w:val="1"/>
      <w:numFmt w:val="bullet"/>
      <w:lvlText w:val=""/>
      <w:lvlJc w:val="left"/>
      <w:pPr>
        <w:ind w:left="5040" w:hanging="360"/>
      </w:pPr>
      <w:rPr>
        <w:rFonts w:ascii="Symbol" w:hAnsi="Symbol" w:hint="default"/>
      </w:rPr>
    </w:lvl>
    <w:lvl w:ilvl="7" w:tplc="3702A3C6" w:tentative="1">
      <w:start w:val="1"/>
      <w:numFmt w:val="bullet"/>
      <w:lvlText w:val="o"/>
      <w:lvlJc w:val="left"/>
      <w:pPr>
        <w:ind w:left="5760" w:hanging="360"/>
      </w:pPr>
      <w:rPr>
        <w:rFonts w:ascii="Courier New" w:hAnsi="Courier New" w:cs="Courier New" w:hint="default"/>
      </w:rPr>
    </w:lvl>
    <w:lvl w:ilvl="8" w:tplc="5888AE32" w:tentative="1">
      <w:start w:val="1"/>
      <w:numFmt w:val="bullet"/>
      <w:lvlText w:val=""/>
      <w:lvlJc w:val="left"/>
      <w:pPr>
        <w:ind w:left="6480" w:hanging="360"/>
      </w:pPr>
      <w:rPr>
        <w:rFonts w:ascii="Wingdings" w:hAnsi="Wingdings" w:hint="default"/>
      </w:rPr>
    </w:lvl>
  </w:abstractNum>
  <w:abstractNum w:abstractNumId="44">
    <w:nsid w:val="45A3478B"/>
    <w:multiLevelType w:val="hybridMultilevel"/>
    <w:tmpl w:val="AB7C389C"/>
    <w:lvl w:ilvl="0" w:tplc="97981E40">
      <w:start w:val="1"/>
      <w:numFmt w:val="bullet"/>
      <w:lvlText w:val=""/>
      <w:lvlJc w:val="left"/>
      <w:pPr>
        <w:ind w:left="360" w:hanging="360"/>
      </w:pPr>
      <w:rPr>
        <w:rFonts w:ascii="Symbol" w:hAnsi="Symbol" w:hint="default"/>
      </w:rPr>
    </w:lvl>
    <w:lvl w:ilvl="1" w:tplc="FDECCD7A" w:tentative="1">
      <w:start w:val="1"/>
      <w:numFmt w:val="bullet"/>
      <w:lvlText w:val="o"/>
      <w:lvlJc w:val="left"/>
      <w:pPr>
        <w:ind w:left="1080" w:hanging="360"/>
      </w:pPr>
      <w:rPr>
        <w:rFonts w:ascii="Courier New" w:hAnsi="Courier New" w:cs="Courier New" w:hint="default"/>
      </w:rPr>
    </w:lvl>
    <w:lvl w:ilvl="2" w:tplc="5B08BCF2" w:tentative="1">
      <w:start w:val="1"/>
      <w:numFmt w:val="bullet"/>
      <w:lvlText w:val=""/>
      <w:lvlJc w:val="left"/>
      <w:pPr>
        <w:ind w:left="1800" w:hanging="360"/>
      </w:pPr>
      <w:rPr>
        <w:rFonts w:ascii="Wingdings" w:hAnsi="Wingdings" w:hint="default"/>
      </w:rPr>
    </w:lvl>
    <w:lvl w:ilvl="3" w:tplc="2F4001F2" w:tentative="1">
      <w:start w:val="1"/>
      <w:numFmt w:val="bullet"/>
      <w:lvlText w:val=""/>
      <w:lvlJc w:val="left"/>
      <w:pPr>
        <w:ind w:left="2520" w:hanging="360"/>
      </w:pPr>
      <w:rPr>
        <w:rFonts w:ascii="Symbol" w:hAnsi="Symbol" w:hint="default"/>
      </w:rPr>
    </w:lvl>
    <w:lvl w:ilvl="4" w:tplc="E65E55F6" w:tentative="1">
      <w:start w:val="1"/>
      <w:numFmt w:val="bullet"/>
      <w:lvlText w:val="o"/>
      <w:lvlJc w:val="left"/>
      <w:pPr>
        <w:ind w:left="3240" w:hanging="360"/>
      </w:pPr>
      <w:rPr>
        <w:rFonts w:ascii="Courier New" w:hAnsi="Courier New" w:cs="Courier New" w:hint="default"/>
      </w:rPr>
    </w:lvl>
    <w:lvl w:ilvl="5" w:tplc="1AC2E3AC" w:tentative="1">
      <w:start w:val="1"/>
      <w:numFmt w:val="bullet"/>
      <w:lvlText w:val=""/>
      <w:lvlJc w:val="left"/>
      <w:pPr>
        <w:ind w:left="3960" w:hanging="360"/>
      </w:pPr>
      <w:rPr>
        <w:rFonts w:ascii="Wingdings" w:hAnsi="Wingdings" w:hint="default"/>
      </w:rPr>
    </w:lvl>
    <w:lvl w:ilvl="6" w:tplc="DA069702" w:tentative="1">
      <w:start w:val="1"/>
      <w:numFmt w:val="bullet"/>
      <w:lvlText w:val=""/>
      <w:lvlJc w:val="left"/>
      <w:pPr>
        <w:ind w:left="4680" w:hanging="360"/>
      </w:pPr>
      <w:rPr>
        <w:rFonts w:ascii="Symbol" w:hAnsi="Symbol" w:hint="default"/>
      </w:rPr>
    </w:lvl>
    <w:lvl w:ilvl="7" w:tplc="BBEA92A4" w:tentative="1">
      <w:start w:val="1"/>
      <w:numFmt w:val="bullet"/>
      <w:lvlText w:val="o"/>
      <w:lvlJc w:val="left"/>
      <w:pPr>
        <w:ind w:left="5400" w:hanging="360"/>
      </w:pPr>
      <w:rPr>
        <w:rFonts w:ascii="Courier New" w:hAnsi="Courier New" w:cs="Courier New" w:hint="default"/>
      </w:rPr>
    </w:lvl>
    <w:lvl w:ilvl="8" w:tplc="1666A73A" w:tentative="1">
      <w:start w:val="1"/>
      <w:numFmt w:val="bullet"/>
      <w:lvlText w:val=""/>
      <w:lvlJc w:val="left"/>
      <w:pPr>
        <w:ind w:left="6120" w:hanging="360"/>
      </w:pPr>
      <w:rPr>
        <w:rFonts w:ascii="Wingdings" w:hAnsi="Wingdings" w:hint="default"/>
      </w:rPr>
    </w:lvl>
  </w:abstractNum>
  <w:abstractNum w:abstractNumId="45">
    <w:nsid w:val="45D36A22"/>
    <w:multiLevelType w:val="hybridMultilevel"/>
    <w:tmpl w:val="991C3B04"/>
    <w:lvl w:ilvl="0" w:tplc="50789CB0">
      <w:start w:val="1"/>
      <w:numFmt w:val="lowerRoman"/>
      <w:lvlText w:val="%1)"/>
      <w:lvlJc w:val="left"/>
      <w:pPr>
        <w:ind w:left="720" w:hanging="360"/>
      </w:pPr>
      <w:rPr>
        <w:rFonts w:hint="default"/>
      </w:rPr>
    </w:lvl>
    <w:lvl w:ilvl="1" w:tplc="D584B3E8" w:tentative="1">
      <w:start w:val="1"/>
      <w:numFmt w:val="lowerLetter"/>
      <w:lvlText w:val="%2."/>
      <w:lvlJc w:val="left"/>
      <w:pPr>
        <w:ind w:left="1440" w:hanging="360"/>
      </w:pPr>
    </w:lvl>
    <w:lvl w:ilvl="2" w:tplc="5D70E514" w:tentative="1">
      <w:start w:val="1"/>
      <w:numFmt w:val="lowerRoman"/>
      <w:lvlText w:val="%3."/>
      <w:lvlJc w:val="right"/>
      <w:pPr>
        <w:ind w:left="2160" w:hanging="180"/>
      </w:pPr>
    </w:lvl>
    <w:lvl w:ilvl="3" w:tplc="DD5A863E" w:tentative="1">
      <w:start w:val="1"/>
      <w:numFmt w:val="decimal"/>
      <w:lvlText w:val="%4."/>
      <w:lvlJc w:val="left"/>
      <w:pPr>
        <w:ind w:left="2880" w:hanging="360"/>
      </w:pPr>
    </w:lvl>
    <w:lvl w:ilvl="4" w:tplc="956CE170" w:tentative="1">
      <w:start w:val="1"/>
      <w:numFmt w:val="lowerLetter"/>
      <w:lvlText w:val="%5."/>
      <w:lvlJc w:val="left"/>
      <w:pPr>
        <w:ind w:left="3600" w:hanging="360"/>
      </w:pPr>
    </w:lvl>
    <w:lvl w:ilvl="5" w:tplc="3BAECDC0" w:tentative="1">
      <w:start w:val="1"/>
      <w:numFmt w:val="lowerRoman"/>
      <w:lvlText w:val="%6."/>
      <w:lvlJc w:val="right"/>
      <w:pPr>
        <w:ind w:left="4320" w:hanging="180"/>
      </w:pPr>
    </w:lvl>
    <w:lvl w:ilvl="6" w:tplc="C846D6A8" w:tentative="1">
      <w:start w:val="1"/>
      <w:numFmt w:val="decimal"/>
      <w:lvlText w:val="%7."/>
      <w:lvlJc w:val="left"/>
      <w:pPr>
        <w:ind w:left="5040" w:hanging="360"/>
      </w:pPr>
    </w:lvl>
    <w:lvl w:ilvl="7" w:tplc="84183218" w:tentative="1">
      <w:start w:val="1"/>
      <w:numFmt w:val="lowerLetter"/>
      <w:lvlText w:val="%8."/>
      <w:lvlJc w:val="left"/>
      <w:pPr>
        <w:ind w:left="5760" w:hanging="360"/>
      </w:pPr>
    </w:lvl>
    <w:lvl w:ilvl="8" w:tplc="0FFECBCE" w:tentative="1">
      <w:start w:val="1"/>
      <w:numFmt w:val="lowerRoman"/>
      <w:lvlText w:val="%9."/>
      <w:lvlJc w:val="right"/>
      <w:pPr>
        <w:ind w:left="6480" w:hanging="180"/>
      </w:pPr>
    </w:lvl>
  </w:abstractNum>
  <w:abstractNum w:abstractNumId="46">
    <w:nsid w:val="477642DC"/>
    <w:multiLevelType w:val="hybridMultilevel"/>
    <w:tmpl w:val="746E3FD6"/>
    <w:lvl w:ilvl="0" w:tplc="4D2036B4">
      <w:start w:val="1"/>
      <w:numFmt w:val="bullet"/>
      <w:lvlText w:val=""/>
      <w:lvlJc w:val="left"/>
      <w:pPr>
        <w:ind w:left="360" w:hanging="360"/>
      </w:pPr>
      <w:rPr>
        <w:rFonts w:ascii="Symbol" w:hAnsi="Symbol" w:hint="default"/>
      </w:rPr>
    </w:lvl>
    <w:lvl w:ilvl="1" w:tplc="EE721A28" w:tentative="1">
      <w:start w:val="1"/>
      <w:numFmt w:val="bullet"/>
      <w:lvlText w:val="o"/>
      <w:lvlJc w:val="left"/>
      <w:pPr>
        <w:ind w:left="1080" w:hanging="360"/>
      </w:pPr>
      <w:rPr>
        <w:rFonts w:ascii="Courier New" w:hAnsi="Courier New" w:cs="Courier New" w:hint="default"/>
      </w:rPr>
    </w:lvl>
    <w:lvl w:ilvl="2" w:tplc="DFD23290" w:tentative="1">
      <w:start w:val="1"/>
      <w:numFmt w:val="bullet"/>
      <w:lvlText w:val=""/>
      <w:lvlJc w:val="left"/>
      <w:pPr>
        <w:ind w:left="1800" w:hanging="360"/>
      </w:pPr>
      <w:rPr>
        <w:rFonts w:ascii="Wingdings" w:hAnsi="Wingdings" w:hint="default"/>
      </w:rPr>
    </w:lvl>
    <w:lvl w:ilvl="3" w:tplc="14BCEBCE" w:tentative="1">
      <w:start w:val="1"/>
      <w:numFmt w:val="bullet"/>
      <w:lvlText w:val=""/>
      <w:lvlJc w:val="left"/>
      <w:pPr>
        <w:ind w:left="2520" w:hanging="360"/>
      </w:pPr>
      <w:rPr>
        <w:rFonts w:ascii="Symbol" w:hAnsi="Symbol" w:hint="default"/>
      </w:rPr>
    </w:lvl>
    <w:lvl w:ilvl="4" w:tplc="C9008E18" w:tentative="1">
      <w:start w:val="1"/>
      <w:numFmt w:val="bullet"/>
      <w:lvlText w:val="o"/>
      <w:lvlJc w:val="left"/>
      <w:pPr>
        <w:ind w:left="3240" w:hanging="360"/>
      </w:pPr>
      <w:rPr>
        <w:rFonts w:ascii="Courier New" w:hAnsi="Courier New" w:cs="Courier New" w:hint="default"/>
      </w:rPr>
    </w:lvl>
    <w:lvl w:ilvl="5" w:tplc="CD143618" w:tentative="1">
      <w:start w:val="1"/>
      <w:numFmt w:val="bullet"/>
      <w:lvlText w:val=""/>
      <w:lvlJc w:val="left"/>
      <w:pPr>
        <w:ind w:left="3960" w:hanging="360"/>
      </w:pPr>
      <w:rPr>
        <w:rFonts w:ascii="Wingdings" w:hAnsi="Wingdings" w:hint="default"/>
      </w:rPr>
    </w:lvl>
    <w:lvl w:ilvl="6" w:tplc="95406066" w:tentative="1">
      <w:start w:val="1"/>
      <w:numFmt w:val="bullet"/>
      <w:lvlText w:val=""/>
      <w:lvlJc w:val="left"/>
      <w:pPr>
        <w:ind w:left="4680" w:hanging="360"/>
      </w:pPr>
      <w:rPr>
        <w:rFonts w:ascii="Symbol" w:hAnsi="Symbol" w:hint="default"/>
      </w:rPr>
    </w:lvl>
    <w:lvl w:ilvl="7" w:tplc="B71C2100" w:tentative="1">
      <w:start w:val="1"/>
      <w:numFmt w:val="bullet"/>
      <w:lvlText w:val="o"/>
      <w:lvlJc w:val="left"/>
      <w:pPr>
        <w:ind w:left="5400" w:hanging="360"/>
      </w:pPr>
      <w:rPr>
        <w:rFonts w:ascii="Courier New" w:hAnsi="Courier New" w:cs="Courier New" w:hint="default"/>
      </w:rPr>
    </w:lvl>
    <w:lvl w:ilvl="8" w:tplc="73D8AD74" w:tentative="1">
      <w:start w:val="1"/>
      <w:numFmt w:val="bullet"/>
      <w:lvlText w:val=""/>
      <w:lvlJc w:val="left"/>
      <w:pPr>
        <w:ind w:left="6120" w:hanging="360"/>
      </w:pPr>
      <w:rPr>
        <w:rFonts w:ascii="Wingdings" w:hAnsi="Wingdings" w:hint="default"/>
      </w:rPr>
    </w:lvl>
  </w:abstractNum>
  <w:abstractNum w:abstractNumId="47">
    <w:nsid w:val="492B43EE"/>
    <w:multiLevelType w:val="hybridMultilevel"/>
    <w:tmpl w:val="95765C7A"/>
    <w:lvl w:ilvl="0" w:tplc="FE7A5938">
      <w:start w:val="1"/>
      <w:numFmt w:val="bullet"/>
      <w:lvlText w:val="-"/>
      <w:lvlJc w:val="left"/>
      <w:pPr>
        <w:tabs>
          <w:tab w:val="num" w:pos="794"/>
        </w:tabs>
        <w:ind w:left="794" w:hanging="227"/>
      </w:pPr>
      <w:rPr>
        <w:rFonts w:ascii="Courier New" w:hAnsi="Courier New" w:hint="default"/>
      </w:rPr>
    </w:lvl>
    <w:lvl w:ilvl="1" w:tplc="47FAA33E" w:tentative="1">
      <w:start w:val="1"/>
      <w:numFmt w:val="bullet"/>
      <w:lvlText w:val="o"/>
      <w:lvlJc w:val="left"/>
      <w:pPr>
        <w:tabs>
          <w:tab w:val="num" w:pos="1440"/>
        </w:tabs>
        <w:ind w:left="1440" w:hanging="360"/>
      </w:pPr>
      <w:rPr>
        <w:rFonts w:ascii="Courier New" w:hAnsi="Courier New" w:cs="Courier New" w:hint="default"/>
      </w:rPr>
    </w:lvl>
    <w:lvl w:ilvl="2" w:tplc="23BEAC0E" w:tentative="1">
      <w:start w:val="1"/>
      <w:numFmt w:val="bullet"/>
      <w:lvlText w:val=""/>
      <w:lvlJc w:val="left"/>
      <w:pPr>
        <w:tabs>
          <w:tab w:val="num" w:pos="2160"/>
        </w:tabs>
        <w:ind w:left="2160" w:hanging="360"/>
      </w:pPr>
      <w:rPr>
        <w:rFonts w:ascii="Wingdings" w:hAnsi="Wingdings" w:hint="default"/>
      </w:rPr>
    </w:lvl>
    <w:lvl w:ilvl="3" w:tplc="3D88FC74" w:tentative="1">
      <w:start w:val="1"/>
      <w:numFmt w:val="bullet"/>
      <w:lvlText w:val=""/>
      <w:lvlJc w:val="left"/>
      <w:pPr>
        <w:tabs>
          <w:tab w:val="num" w:pos="2880"/>
        </w:tabs>
        <w:ind w:left="2880" w:hanging="360"/>
      </w:pPr>
      <w:rPr>
        <w:rFonts w:ascii="Symbol" w:hAnsi="Symbol" w:hint="default"/>
      </w:rPr>
    </w:lvl>
    <w:lvl w:ilvl="4" w:tplc="B1EC1980" w:tentative="1">
      <w:start w:val="1"/>
      <w:numFmt w:val="bullet"/>
      <w:lvlText w:val="o"/>
      <w:lvlJc w:val="left"/>
      <w:pPr>
        <w:tabs>
          <w:tab w:val="num" w:pos="3600"/>
        </w:tabs>
        <w:ind w:left="3600" w:hanging="360"/>
      </w:pPr>
      <w:rPr>
        <w:rFonts w:ascii="Courier New" w:hAnsi="Courier New" w:cs="Courier New" w:hint="default"/>
      </w:rPr>
    </w:lvl>
    <w:lvl w:ilvl="5" w:tplc="9950021E" w:tentative="1">
      <w:start w:val="1"/>
      <w:numFmt w:val="bullet"/>
      <w:lvlText w:val=""/>
      <w:lvlJc w:val="left"/>
      <w:pPr>
        <w:tabs>
          <w:tab w:val="num" w:pos="4320"/>
        </w:tabs>
        <w:ind w:left="4320" w:hanging="360"/>
      </w:pPr>
      <w:rPr>
        <w:rFonts w:ascii="Wingdings" w:hAnsi="Wingdings" w:hint="default"/>
      </w:rPr>
    </w:lvl>
    <w:lvl w:ilvl="6" w:tplc="9E7EE64A" w:tentative="1">
      <w:start w:val="1"/>
      <w:numFmt w:val="bullet"/>
      <w:lvlText w:val=""/>
      <w:lvlJc w:val="left"/>
      <w:pPr>
        <w:tabs>
          <w:tab w:val="num" w:pos="5040"/>
        </w:tabs>
        <w:ind w:left="5040" w:hanging="360"/>
      </w:pPr>
      <w:rPr>
        <w:rFonts w:ascii="Symbol" w:hAnsi="Symbol" w:hint="default"/>
      </w:rPr>
    </w:lvl>
    <w:lvl w:ilvl="7" w:tplc="661A57A0" w:tentative="1">
      <w:start w:val="1"/>
      <w:numFmt w:val="bullet"/>
      <w:lvlText w:val="o"/>
      <w:lvlJc w:val="left"/>
      <w:pPr>
        <w:tabs>
          <w:tab w:val="num" w:pos="5760"/>
        </w:tabs>
        <w:ind w:left="5760" w:hanging="360"/>
      </w:pPr>
      <w:rPr>
        <w:rFonts w:ascii="Courier New" w:hAnsi="Courier New" w:cs="Courier New" w:hint="default"/>
      </w:rPr>
    </w:lvl>
    <w:lvl w:ilvl="8" w:tplc="2D44E528" w:tentative="1">
      <w:start w:val="1"/>
      <w:numFmt w:val="bullet"/>
      <w:lvlText w:val=""/>
      <w:lvlJc w:val="left"/>
      <w:pPr>
        <w:tabs>
          <w:tab w:val="num" w:pos="6480"/>
        </w:tabs>
        <w:ind w:left="6480" w:hanging="360"/>
      </w:pPr>
      <w:rPr>
        <w:rFonts w:ascii="Wingdings" w:hAnsi="Wingdings" w:hint="default"/>
      </w:rPr>
    </w:lvl>
  </w:abstractNum>
  <w:abstractNum w:abstractNumId="48">
    <w:nsid w:val="49D10E54"/>
    <w:multiLevelType w:val="hybridMultilevel"/>
    <w:tmpl w:val="A09ACF5E"/>
    <w:lvl w:ilvl="0" w:tplc="41F4BAAC">
      <w:start w:val="1"/>
      <w:numFmt w:val="bullet"/>
      <w:lvlText w:val=""/>
      <w:lvlJc w:val="left"/>
      <w:pPr>
        <w:ind w:left="360" w:hanging="360"/>
      </w:pPr>
      <w:rPr>
        <w:rFonts w:ascii="Symbol" w:hAnsi="Symbol" w:hint="default"/>
      </w:rPr>
    </w:lvl>
    <w:lvl w:ilvl="1" w:tplc="D6BEDD7C" w:tentative="1">
      <w:start w:val="1"/>
      <w:numFmt w:val="bullet"/>
      <w:lvlText w:val="o"/>
      <w:lvlJc w:val="left"/>
      <w:pPr>
        <w:ind w:left="1080" w:hanging="360"/>
      </w:pPr>
      <w:rPr>
        <w:rFonts w:ascii="Courier New" w:hAnsi="Courier New" w:cs="Courier New" w:hint="default"/>
      </w:rPr>
    </w:lvl>
    <w:lvl w:ilvl="2" w:tplc="8A7AF1D6" w:tentative="1">
      <w:start w:val="1"/>
      <w:numFmt w:val="bullet"/>
      <w:lvlText w:val=""/>
      <w:lvlJc w:val="left"/>
      <w:pPr>
        <w:ind w:left="1800" w:hanging="360"/>
      </w:pPr>
      <w:rPr>
        <w:rFonts w:ascii="Wingdings" w:hAnsi="Wingdings" w:hint="default"/>
      </w:rPr>
    </w:lvl>
    <w:lvl w:ilvl="3" w:tplc="3CEA46DA" w:tentative="1">
      <w:start w:val="1"/>
      <w:numFmt w:val="bullet"/>
      <w:lvlText w:val=""/>
      <w:lvlJc w:val="left"/>
      <w:pPr>
        <w:ind w:left="2520" w:hanging="360"/>
      </w:pPr>
      <w:rPr>
        <w:rFonts w:ascii="Symbol" w:hAnsi="Symbol" w:hint="default"/>
      </w:rPr>
    </w:lvl>
    <w:lvl w:ilvl="4" w:tplc="A2FAD0D4" w:tentative="1">
      <w:start w:val="1"/>
      <w:numFmt w:val="bullet"/>
      <w:lvlText w:val="o"/>
      <w:lvlJc w:val="left"/>
      <w:pPr>
        <w:ind w:left="3240" w:hanging="360"/>
      </w:pPr>
      <w:rPr>
        <w:rFonts w:ascii="Courier New" w:hAnsi="Courier New" w:cs="Courier New" w:hint="default"/>
      </w:rPr>
    </w:lvl>
    <w:lvl w:ilvl="5" w:tplc="D32E278A" w:tentative="1">
      <w:start w:val="1"/>
      <w:numFmt w:val="bullet"/>
      <w:lvlText w:val=""/>
      <w:lvlJc w:val="left"/>
      <w:pPr>
        <w:ind w:left="3960" w:hanging="360"/>
      </w:pPr>
      <w:rPr>
        <w:rFonts w:ascii="Wingdings" w:hAnsi="Wingdings" w:hint="default"/>
      </w:rPr>
    </w:lvl>
    <w:lvl w:ilvl="6" w:tplc="3EB28464" w:tentative="1">
      <w:start w:val="1"/>
      <w:numFmt w:val="bullet"/>
      <w:lvlText w:val=""/>
      <w:lvlJc w:val="left"/>
      <w:pPr>
        <w:ind w:left="4680" w:hanging="360"/>
      </w:pPr>
      <w:rPr>
        <w:rFonts w:ascii="Symbol" w:hAnsi="Symbol" w:hint="default"/>
      </w:rPr>
    </w:lvl>
    <w:lvl w:ilvl="7" w:tplc="821616BC" w:tentative="1">
      <w:start w:val="1"/>
      <w:numFmt w:val="bullet"/>
      <w:lvlText w:val="o"/>
      <w:lvlJc w:val="left"/>
      <w:pPr>
        <w:ind w:left="5400" w:hanging="360"/>
      </w:pPr>
      <w:rPr>
        <w:rFonts w:ascii="Courier New" w:hAnsi="Courier New" w:cs="Courier New" w:hint="default"/>
      </w:rPr>
    </w:lvl>
    <w:lvl w:ilvl="8" w:tplc="8C424CA6" w:tentative="1">
      <w:start w:val="1"/>
      <w:numFmt w:val="bullet"/>
      <w:lvlText w:val=""/>
      <w:lvlJc w:val="left"/>
      <w:pPr>
        <w:ind w:left="6120" w:hanging="360"/>
      </w:pPr>
      <w:rPr>
        <w:rFonts w:ascii="Wingdings" w:hAnsi="Wingdings" w:hint="default"/>
      </w:rPr>
    </w:lvl>
  </w:abstractNum>
  <w:abstractNum w:abstractNumId="49">
    <w:nsid w:val="4A376991"/>
    <w:multiLevelType w:val="hybridMultilevel"/>
    <w:tmpl w:val="1CC64A44"/>
    <w:lvl w:ilvl="0" w:tplc="5F2A254C">
      <w:start w:val="1"/>
      <w:numFmt w:val="lowerRoman"/>
      <w:lvlText w:val="%1)"/>
      <w:lvlJc w:val="left"/>
      <w:pPr>
        <w:ind w:left="1080" w:hanging="720"/>
      </w:pPr>
      <w:rPr>
        <w:rFonts w:hint="default"/>
      </w:rPr>
    </w:lvl>
    <w:lvl w:ilvl="1" w:tplc="4AF85E80" w:tentative="1">
      <w:start w:val="1"/>
      <w:numFmt w:val="lowerLetter"/>
      <w:lvlText w:val="%2."/>
      <w:lvlJc w:val="left"/>
      <w:pPr>
        <w:ind w:left="1440" w:hanging="360"/>
      </w:pPr>
    </w:lvl>
    <w:lvl w:ilvl="2" w:tplc="F392B22C" w:tentative="1">
      <w:start w:val="1"/>
      <w:numFmt w:val="lowerRoman"/>
      <w:lvlText w:val="%3."/>
      <w:lvlJc w:val="right"/>
      <w:pPr>
        <w:ind w:left="2160" w:hanging="180"/>
      </w:pPr>
    </w:lvl>
    <w:lvl w:ilvl="3" w:tplc="EB1C1B40" w:tentative="1">
      <w:start w:val="1"/>
      <w:numFmt w:val="decimal"/>
      <w:lvlText w:val="%4."/>
      <w:lvlJc w:val="left"/>
      <w:pPr>
        <w:ind w:left="2880" w:hanging="360"/>
      </w:pPr>
    </w:lvl>
    <w:lvl w:ilvl="4" w:tplc="E0FCA41E" w:tentative="1">
      <w:start w:val="1"/>
      <w:numFmt w:val="lowerLetter"/>
      <w:lvlText w:val="%5."/>
      <w:lvlJc w:val="left"/>
      <w:pPr>
        <w:ind w:left="3600" w:hanging="360"/>
      </w:pPr>
    </w:lvl>
    <w:lvl w:ilvl="5" w:tplc="C158C3CE" w:tentative="1">
      <w:start w:val="1"/>
      <w:numFmt w:val="lowerRoman"/>
      <w:lvlText w:val="%6."/>
      <w:lvlJc w:val="right"/>
      <w:pPr>
        <w:ind w:left="4320" w:hanging="180"/>
      </w:pPr>
    </w:lvl>
    <w:lvl w:ilvl="6" w:tplc="32E041A2" w:tentative="1">
      <w:start w:val="1"/>
      <w:numFmt w:val="decimal"/>
      <w:lvlText w:val="%7."/>
      <w:lvlJc w:val="left"/>
      <w:pPr>
        <w:ind w:left="5040" w:hanging="360"/>
      </w:pPr>
    </w:lvl>
    <w:lvl w:ilvl="7" w:tplc="4204E64A" w:tentative="1">
      <w:start w:val="1"/>
      <w:numFmt w:val="lowerLetter"/>
      <w:lvlText w:val="%8."/>
      <w:lvlJc w:val="left"/>
      <w:pPr>
        <w:ind w:left="5760" w:hanging="360"/>
      </w:pPr>
    </w:lvl>
    <w:lvl w:ilvl="8" w:tplc="52D89E4C" w:tentative="1">
      <w:start w:val="1"/>
      <w:numFmt w:val="lowerRoman"/>
      <w:lvlText w:val="%9."/>
      <w:lvlJc w:val="right"/>
      <w:pPr>
        <w:ind w:left="6480" w:hanging="180"/>
      </w:pPr>
    </w:lvl>
  </w:abstractNum>
  <w:abstractNum w:abstractNumId="50">
    <w:nsid w:val="4A567E82"/>
    <w:multiLevelType w:val="hybridMultilevel"/>
    <w:tmpl w:val="ACD850A0"/>
    <w:lvl w:ilvl="0" w:tplc="484AD424">
      <w:start w:val="1"/>
      <w:numFmt w:val="bullet"/>
      <w:lvlText w:val=""/>
      <w:lvlJc w:val="left"/>
      <w:pPr>
        <w:ind w:left="360" w:hanging="360"/>
      </w:pPr>
      <w:rPr>
        <w:rFonts w:ascii="Symbol" w:hAnsi="Symbol" w:hint="default"/>
      </w:rPr>
    </w:lvl>
    <w:lvl w:ilvl="1" w:tplc="0D7E0B0E" w:tentative="1">
      <w:start w:val="1"/>
      <w:numFmt w:val="bullet"/>
      <w:lvlText w:val="o"/>
      <w:lvlJc w:val="left"/>
      <w:pPr>
        <w:ind w:left="1080" w:hanging="360"/>
      </w:pPr>
      <w:rPr>
        <w:rFonts w:ascii="Courier New" w:hAnsi="Courier New" w:cs="Courier New" w:hint="default"/>
      </w:rPr>
    </w:lvl>
    <w:lvl w:ilvl="2" w:tplc="57CA5C46" w:tentative="1">
      <w:start w:val="1"/>
      <w:numFmt w:val="bullet"/>
      <w:lvlText w:val=""/>
      <w:lvlJc w:val="left"/>
      <w:pPr>
        <w:ind w:left="1800" w:hanging="360"/>
      </w:pPr>
      <w:rPr>
        <w:rFonts w:ascii="Wingdings" w:hAnsi="Wingdings" w:hint="default"/>
      </w:rPr>
    </w:lvl>
    <w:lvl w:ilvl="3" w:tplc="3FBA1168" w:tentative="1">
      <w:start w:val="1"/>
      <w:numFmt w:val="bullet"/>
      <w:lvlText w:val=""/>
      <w:lvlJc w:val="left"/>
      <w:pPr>
        <w:ind w:left="2520" w:hanging="360"/>
      </w:pPr>
      <w:rPr>
        <w:rFonts w:ascii="Symbol" w:hAnsi="Symbol" w:hint="default"/>
      </w:rPr>
    </w:lvl>
    <w:lvl w:ilvl="4" w:tplc="27460A1C" w:tentative="1">
      <w:start w:val="1"/>
      <w:numFmt w:val="bullet"/>
      <w:lvlText w:val="o"/>
      <w:lvlJc w:val="left"/>
      <w:pPr>
        <w:ind w:left="3240" w:hanging="360"/>
      </w:pPr>
      <w:rPr>
        <w:rFonts w:ascii="Courier New" w:hAnsi="Courier New" w:cs="Courier New" w:hint="default"/>
      </w:rPr>
    </w:lvl>
    <w:lvl w:ilvl="5" w:tplc="47700DB0" w:tentative="1">
      <w:start w:val="1"/>
      <w:numFmt w:val="bullet"/>
      <w:lvlText w:val=""/>
      <w:lvlJc w:val="left"/>
      <w:pPr>
        <w:ind w:left="3960" w:hanging="360"/>
      </w:pPr>
      <w:rPr>
        <w:rFonts w:ascii="Wingdings" w:hAnsi="Wingdings" w:hint="default"/>
      </w:rPr>
    </w:lvl>
    <w:lvl w:ilvl="6" w:tplc="5A04BA5E" w:tentative="1">
      <w:start w:val="1"/>
      <w:numFmt w:val="bullet"/>
      <w:lvlText w:val=""/>
      <w:lvlJc w:val="left"/>
      <w:pPr>
        <w:ind w:left="4680" w:hanging="360"/>
      </w:pPr>
      <w:rPr>
        <w:rFonts w:ascii="Symbol" w:hAnsi="Symbol" w:hint="default"/>
      </w:rPr>
    </w:lvl>
    <w:lvl w:ilvl="7" w:tplc="261667CA" w:tentative="1">
      <w:start w:val="1"/>
      <w:numFmt w:val="bullet"/>
      <w:lvlText w:val="o"/>
      <w:lvlJc w:val="left"/>
      <w:pPr>
        <w:ind w:left="5400" w:hanging="360"/>
      </w:pPr>
      <w:rPr>
        <w:rFonts w:ascii="Courier New" w:hAnsi="Courier New" w:cs="Courier New" w:hint="default"/>
      </w:rPr>
    </w:lvl>
    <w:lvl w:ilvl="8" w:tplc="2DAA346C" w:tentative="1">
      <w:start w:val="1"/>
      <w:numFmt w:val="bullet"/>
      <w:lvlText w:val=""/>
      <w:lvlJc w:val="left"/>
      <w:pPr>
        <w:ind w:left="6120" w:hanging="360"/>
      </w:pPr>
      <w:rPr>
        <w:rFonts w:ascii="Wingdings" w:hAnsi="Wingdings" w:hint="default"/>
      </w:rPr>
    </w:lvl>
  </w:abstractNum>
  <w:abstractNum w:abstractNumId="51">
    <w:nsid w:val="4A835AA1"/>
    <w:multiLevelType w:val="hybridMultilevel"/>
    <w:tmpl w:val="2222BDE0"/>
    <w:lvl w:ilvl="0" w:tplc="70CE24F4">
      <w:start w:val="1"/>
      <w:numFmt w:val="bullet"/>
      <w:pStyle w:val="ListNumber"/>
      <w:lvlText w:val=""/>
      <w:lvlJc w:val="left"/>
      <w:pPr>
        <w:ind w:left="360" w:hanging="360"/>
      </w:pPr>
      <w:rPr>
        <w:rFonts w:ascii="Symbol" w:hAnsi="Symbol" w:hint="default"/>
      </w:rPr>
    </w:lvl>
    <w:lvl w:ilvl="1" w:tplc="FC34E37E" w:tentative="1">
      <w:start w:val="1"/>
      <w:numFmt w:val="bullet"/>
      <w:lvlText w:val="o"/>
      <w:lvlJc w:val="left"/>
      <w:pPr>
        <w:ind w:left="1080" w:hanging="360"/>
      </w:pPr>
      <w:rPr>
        <w:rFonts w:ascii="Courier New" w:hAnsi="Courier New" w:cs="Courier New" w:hint="default"/>
      </w:rPr>
    </w:lvl>
    <w:lvl w:ilvl="2" w:tplc="09EE2F24" w:tentative="1">
      <w:start w:val="1"/>
      <w:numFmt w:val="bullet"/>
      <w:lvlText w:val=""/>
      <w:lvlJc w:val="left"/>
      <w:pPr>
        <w:ind w:left="1800" w:hanging="360"/>
      </w:pPr>
      <w:rPr>
        <w:rFonts w:ascii="Wingdings" w:hAnsi="Wingdings" w:hint="default"/>
      </w:rPr>
    </w:lvl>
    <w:lvl w:ilvl="3" w:tplc="C100CF50" w:tentative="1">
      <w:start w:val="1"/>
      <w:numFmt w:val="bullet"/>
      <w:lvlText w:val=""/>
      <w:lvlJc w:val="left"/>
      <w:pPr>
        <w:ind w:left="2520" w:hanging="360"/>
      </w:pPr>
      <w:rPr>
        <w:rFonts w:ascii="Symbol" w:hAnsi="Symbol" w:hint="default"/>
      </w:rPr>
    </w:lvl>
    <w:lvl w:ilvl="4" w:tplc="B47A559E" w:tentative="1">
      <w:start w:val="1"/>
      <w:numFmt w:val="bullet"/>
      <w:lvlText w:val="o"/>
      <w:lvlJc w:val="left"/>
      <w:pPr>
        <w:ind w:left="3240" w:hanging="360"/>
      </w:pPr>
      <w:rPr>
        <w:rFonts w:ascii="Courier New" w:hAnsi="Courier New" w:cs="Courier New" w:hint="default"/>
      </w:rPr>
    </w:lvl>
    <w:lvl w:ilvl="5" w:tplc="EC56684E" w:tentative="1">
      <w:start w:val="1"/>
      <w:numFmt w:val="bullet"/>
      <w:lvlText w:val=""/>
      <w:lvlJc w:val="left"/>
      <w:pPr>
        <w:ind w:left="3960" w:hanging="360"/>
      </w:pPr>
      <w:rPr>
        <w:rFonts w:ascii="Wingdings" w:hAnsi="Wingdings" w:hint="default"/>
      </w:rPr>
    </w:lvl>
    <w:lvl w:ilvl="6" w:tplc="016CFF94" w:tentative="1">
      <w:start w:val="1"/>
      <w:numFmt w:val="bullet"/>
      <w:lvlText w:val=""/>
      <w:lvlJc w:val="left"/>
      <w:pPr>
        <w:ind w:left="4680" w:hanging="360"/>
      </w:pPr>
      <w:rPr>
        <w:rFonts w:ascii="Symbol" w:hAnsi="Symbol" w:hint="default"/>
      </w:rPr>
    </w:lvl>
    <w:lvl w:ilvl="7" w:tplc="9D72A302" w:tentative="1">
      <w:start w:val="1"/>
      <w:numFmt w:val="bullet"/>
      <w:lvlText w:val="o"/>
      <w:lvlJc w:val="left"/>
      <w:pPr>
        <w:ind w:left="5400" w:hanging="360"/>
      </w:pPr>
      <w:rPr>
        <w:rFonts w:ascii="Courier New" w:hAnsi="Courier New" w:cs="Courier New" w:hint="default"/>
      </w:rPr>
    </w:lvl>
    <w:lvl w:ilvl="8" w:tplc="0B0C4B2C" w:tentative="1">
      <w:start w:val="1"/>
      <w:numFmt w:val="bullet"/>
      <w:lvlText w:val=""/>
      <w:lvlJc w:val="left"/>
      <w:pPr>
        <w:ind w:left="6120" w:hanging="360"/>
      </w:pPr>
      <w:rPr>
        <w:rFonts w:ascii="Wingdings" w:hAnsi="Wingdings" w:hint="default"/>
      </w:rPr>
    </w:lvl>
  </w:abstractNum>
  <w:abstractNum w:abstractNumId="52">
    <w:nsid w:val="4AB6663C"/>
    <w:multiLevelType w:val="hybridMultilevel"/>
    <w:tmpl w:val="C708F700"/>
    <w:lvl w:ilvl="0" w:tplc="949A73A8">
      <w:start w:val="1"/>
      <w:numFmt w:val="bullet"/>
      <w:lvlText w:val=""/>
      <w:lvlJc w:val="left"/>
      <w:pPr>
        <w:ind w:left="720" w:hanging="360"/>
      </w:pPr>
      <w:rPr>
        <w:rFonts w:ascii="Symbol" w:hAnsi="Symbol" w:hint="default"/>
      </w:rPr>
    </w:lvl>
    <w:lvl w:ilvl="1" w:tplc="6C06BEBA" w:tentative="1">
      <w:start w:val="1"/>
      <w:numFmt w:val="bullet"/>
      <w:lvlText w:val="o"/>
      <w:lvlJc w:val="left"/>
      <w:pPr>
        <w:ind w:left="1440" w:hanging="360"/>
      </w:pPr>
      <w:rPr>
        <w:rFonts w:ascii="Courier New" w:hAnsi="Courier New" w:cs="Courier New" w:hint="default"/>
      </w:rPr>
    </w:lvl>
    <w:lvl w:ilvl="2" w:tplc="86342148" w:tentative="1">
      <w:start w:val="1"/>
      <w:numFmt w:val="bullet"/>
      <w:lvlText w:val=""/>
      <w:lvlJc w:val="left"/>
      <w:pPr>
        <w:ind w:left="2160" w:hanging="360"/>
      </w:pPr>
      <w:rPr>
        <w:rFonts w:ascii="Wingdings" w:hAnsi="Wingdings" w:hint="default"/>
      </w:rPr>
    </w:lvl>
    <w:lvl w:ilvl="3" w:tplc="1008676C" w:tentative="1">
      <w:start w:val="1"/>
      <w:numFmt w:val="bullet"/>
      <w:lvlText w:val=""/>
      <w:lvlJc w:val="left"/>
      <w:pPr>
        <w:ind w:left="2880" w:hanging="360"/>
      </w:pPr>
      <w:rPr>
        <w:rFonts w:ascii="Symbol" w:hAnsi="Symbol" w:hint="default"/>
      </w:rPr>
    </w:lvl>
    <w:lvl w:ilvl="4" w:tplc="007009BA" w:tentative="1">
      <w:start w:val="1"/>
      <w:numFmt w:val="bullet"/>
      <w:lvlText w:val="o"/>
      <w:lvlJc w:val="left"/>
      <w:pPr>
        <w:ind w:left="3600" w:hanging="360"/>
      </w:pPr>
      <w:rPr>
        <w:rFonts w:ascii="Courier New" w:hAnsi="Courier New" w:cs="Courier New" w:hint="default"/>
      </w:rPr>
    </w:lvl>
    <w:lvl w:ilvl="5" w:tplc="972AC494" w:tentative="1">
      <w:start w:val="1"/>
      <w:numFmt w:val="bullet"/>
      <w:lvlText w:val=""/>
      <w:lvlJc w:val="left"/>
      <w:pPr>
        <w:ind w:left="4320" w:hanging="360"/>
      </w:pPr>
      <w:rPr>
        <w:rFonts w:ascii="Wingdings" w:hAnsi="Wingdings" w:hint="default"/>
      </w:rPr>
    </w:lvl>
    <w:lvl w:ilvl="6" w:tplc="E9C609BE" w:tentative="1">
      <w:start w:val="1"/>
      <w:numFmt w:val="bullet"/>
      <w:lvlText w:val=""/>
      <w:lvlJc w:val="left"/>
      <w:pPr>
        <w:ind w:left="5040" w:hanging="360"/>
      </w:pPr>
      <w:rPr>
        <w:rFonts w:ascii="Symbol" w:hAnsi="Symbol" w:hint="default"/>
      </w:rPr>
    </w:lvl>
    <w:lvl w:ilvl="7" w:tplc="0E043472" w:tentative="1">
      <w:start w:val="1"/>
      <w:numFmt w:val="bullet"/>
      <w:lvlText w:val="o"/>
      <w:lvlJc w:val="left"/>
      <w:pPr>
        <w:ind w:left="5760" w:hanging="360"/>
      </w:pPr>
      <w:rPr>
        <w:rFonts w:ascii="Courier New" w:hAnsi="Courier New" w:cs="Courier New" w:hint="default"/>
      </w:rPr>
    </w:lvl>
    <w:lvl w:ilvl="8" w:tplc="4D680EE4" w:tentative="1">
      <w:start w:val="1"/>
      <w:numFmt w:val="bullet"/>
      <w:lvlText w:val=""/>
      <w:lvlJc w:val="left"/>
      <w:pPr>
        <w:ind w:left="6480" w:hanging="360"/>
      </w:pPr>
      <w:rPr>
        <w:rFonts w:ascii="Wingdings" w:hAnsi="Wingdings" w:hint="default"/>
      </w:rPr>
    </w:lvl>
  </w:abstractNum>
  <w:abstractNum w:abstractNumId="53">
    <w:nsid w:val="4C7C7C24"/>
    <w:multiLevelType w:val="hybridMultilevel"/>
    <w:tmpl w:val="865CDD0E"/>
    <w:lvl w:ilvl="0" w:tplc="E96468EE">
      <w:start w:val="1"/>
      <w:numFmt w:val="bullet"/>
      <w:lvlText w:val=""/>
      <w:lvlJc w:val="left"/>
      <w:pPr>
        <w:ind w:left="720" w:hanging="360"/>
      </w:pPr>
      <w:rPr>
        <w:rFonts w:ascii="Symbol" w:hAnsi="Symbol" w:hint="default"/>
      </w:rPr>
    </w:lvl>
    <w:lvl w:ilvl="1" w:tplc="11067580" w:tentative="1">
      <w:start w:val="1"/>
      <w:numFmt w:val="bullet"/>
      <w:lvlText w:val="o"/>
      <w:lvlJc w:val="left"/>
      <w:pPr>
        <w:ind w:left="1440" w:hanging="360"/>
      </w:pPr>
      <w:rPr>
        <w:rFonts w:ascii="Courier New" w:hAnsi="Courier New" w:cs="Courier New" w:hint="default"/>
      </w:rPr>
    </w:lvl>
    <w:lvl w:ilvl="2" w:tplc="38D00508" w:tentative="1">
      <w:start w:val="1"/>
      <w:numFmt w:val="bullet"/>
      <w:lvlText w:val=""/>
      <w:lvlJc w:val="left"/>
      <w:pPr>
        <w:ind w:left="2160" w:hanging="360"/>
      </w:pPr>
      <w:rPr>
        <w:rFonts w:ascii="Wingdings" w:hAnsi="Wingdings" w:hint="default"/>
      </w:rPr>
    </w:lvl>
    <w:lvl w:ilvl="3" w:tplc="7A8CB1B0" w:tentative="1">
      <w:start w:val="1"/>
      <w:numFmt w:val="bullet"/>
      <w:lvlText w:val=""/>
      <w:lvlJc w:val="left"/>
      <w:pPr>
        <w:ind w:left="2880" w:hanging="360"/>
      </w:pPr>
      <w:rPr>
        <w:rFonts w:ascii="Symbol" w:hAnsi="Symbol" w:hint="default"/>
      </w:rPr>
    </w:lvl>
    <w:lvl w:ilvl="4" w:tplc="4BB4BEAC" w:tentative="1">
      <w:start w:val="1"/>
      <w:numFmt w:val="bullet"/>
      <w:lvlText w:val="o"/>
      <w:lvlJc w:val="left"/>
      <w:pPr>
        <w:ind w:left="3600" w:hanging="360"/>
      </w:pPr>
      <w:rPr>
        <w:rFonts w:ascii="Courier New" w:hAnsi="Courier New" w:cs="Courier New" w:hint="default"/>
      </w:rPr>
    </w:lvl>
    <w:lvl w:ilvl="5" w:tplc="64629B5A" w:tentative="1">
      <w:start w:val="1"/>
      <w:numFmt w:val="bullet"/>
      <w:lvlText w:val=""/>
      <w:lvlJc w:val="left"/>
      <w:pPr>
        <w:ind w:left="4320" w:hanging="360"/>
      </w:pPr>
      <w:rPr>
        <w:rFonts w:ascii="Wingdings" w:hAnsi="Wingdings" w:hint="default"/>
      </w:rPr>
    </w:lvl>
    <w:lvl w:ilvl="6" w:tplc="3DC63516" w:tentative="1">
      <w:start w:val="1"/>
      <w:numFmt w:val="bullet"/>
      <w:lvlText w:val=""/>
      <w:lvlJc w:val="left"/>
      <w:pPr>
        <w:ind w:left="5040" w:hanging="360"/>
      </w:pPr>
      <w:rPr>
        <w:rFonts w:ascii="Symbol" w:hAnsi="Symbol" w:hint="default"/>
      </w:rPr>
    </w:lvl>
    <w:lvl w:ilvl="7" w:tplc="DC1482A4" w:tentative="1">
      <w:start w:val="1"/>
      <w:numFmt w:val="bullet"/>
      <w:lvlText w:val="o"/>
      <w:lvlJc w:val="left"/>
      <w:pPr>
        <w:ind w:left="5760" w:hanging="360"/>
      </w:pPr>
      <w:rPr>
        <w:rFonts w:ascii="Courier New" w:hAnsi="Courier New" w:cs="Courier New" w:hint="default"/>
      </w:rPr>
    </w:lvl>
    <w:lvl w:ilvl="8" w:tplc="2F260F70" w:tentative="1">
      <w:start w:val="1"/>
      <w:numFmt w:val="bullet"/>
      <w:lvlText w:val=""/>
      <w:lvlJc w:val="left"/>
      <w:pPr>
        <w:ind w:left="6480" w:hanging="360"/>
      </w:pPr>
      <w:rPr>
        <w:rFonts w:ascii="Wingdings" w:hAnsi="Wingdings" w:hint="default"/>
      </w:rPr>
    </w:lvl>
  </w:abstractNum>
  <w:abstractNum w:abstractNumId="54">
    <w:nsid w:val="4DD47587"/>
    <w:multiLevelType w:val="hybridMultilevel"/>
    <w:tmpl w:val="11C410A0"/>
    <w:lvl w:ilvl="0" w:tplc="B59EE66E">
      <w:start w:val="1"/>
      <w:numFmt w:val="bullet"/>
      <w:lvlText w:val=""/>
      <w:lvlJc w:val="left"/>
      <w:pPr>
        <w:ind w:left="927" w:hanging="360"/>
      </w:pPr>
      <w:rPr>
        <w:rFonts w:ascii="Symbol" w:hAnsi="Symbol" w:hint="default"/>
      </w:rPr>
    </w:lvl>
    <w:lvl w:ilvl="1" w:tplc="9CD41864" w:tentative="1">
      <w:start w:val="1"/>
      <w:numFmt w:val="bullet"/>
      <w:lvlText w:val="o"/>
      <w:lvlJc w:val="left"/>
      <w:pPr>
        <w:ind w:left="1647" w:hanging="360"/>
      </w:pPr>
      <w:rPr>
        <w:rFonts w:ascii="Courier New" w:hAnsi="Courier New" w:cs="Courier New" w:hint="default"/>
      </w:rPr>
    </w:lvl>
    <w:lvl w:ilvl="2" w:tplc="0506F1C4" w:tentative="1">
      <w:start w:val="1"/>
      <w:numFmt w:val="bullet"/>
      <w:lvlText w:val=""/>
      <w:lvlJc w:val="left"/>
      <w:pPr>
        <w:ind w:left="2367" w:hanging="360"/>
      </w:pPr>
      <w:rPr>
        <w:rFonts w:ascii="Wingdings" w:hAnsi="Wingdings" w:hint="default"/>
      </w:rPr>
    </w:lvl>
    <w:lvl w:ilvl="3" w:tplc="769A7464" w:tentative="1">
      <w:start w:val="1"/>
      <w:numFmt w:val="bullet"/>
      <w:lvlText w:val=""/>
      <w:lvlJc w:val="left"/>
      <w:pPr>
        <w:ind w:left="3087" w:hanging="360"/>
      </w:pPr>
      <w:rPr>
        <w:rFonts w:ascii="Symbol" w:hAnsi="Symbol" w:hint="default"/>
      </w:rPr>
    </w:lvl>
    <w:lvl w:ilvl="4" w:tplc="AC6EA148" w:tentative="1">
      <w:start w:val="1"/>
      <w:numFmt w:val="bullet"/>
      <w:lvlText w:val="o"/>
      <w:lvlJc w:val="left"/>
      <w:pPr>
        <w:ind w:left="3807" w:hanging="360"/>
      </w:pPr>
      <w:rPr>
        <w:rFonts w:ascii="Courier New" w:hAnsi="Courier New" w:cs="Courier New" w:hint="default"/>
      </w:rPr>
    </w:lvl>
    <w:lvl w:ilvl="5" w:tplc="D4AA33CA" w:tentative="1">
      <w:start w:val="1"/>
      <w:numFmt w:val="bullet"/>
      <w:lvlText w:val=""/>
      <w:lvlJc w:val="left"/>
      <w:pPr>
        <w:ind w:left="4527" w:hanging="360"/>
      </w:pPr>
      <w:rPr>
        <w:rFonts w:ascii="Wingdings" w:hAnsi="Wingdings" w:hint="default"/>
      </w:rPr>
    </w:lvl>
    <w:lvl w:ilvl="6" w:tplc="496631BE" w:tentative="1">
      <w:start w:val="1"/>
      <w:numFmt w:val="bullet"/>
      <w:lvlText w:val=""/>
      <w:lvlJc w:val="left"/>
      <w:pPr>
        <w:ind w:left="5247" w:hanging="360"/>
      </w:pPr>
      <w:rPr>
        <w:rFonts w:ascii="Symbol" w:hAnsi="Symbol" w:hint="default"/>
      </w:rPr>
    </w:lvl>
    <w:lvl w:ilvl="7" w:tplc="D0BAF474" w:tentative="1">
      <w:start w:val="1"/>
      <w:numFmt w:val="bullet"/>
      <w:lvlText w:val="o"/>
      <w:lvlJc w:val="left"/>
      <w:pPr>
        <w:ind w:left="5967" w:hanging="360"/>
      </w:pPr>
      <w:rPr>
        <w:rFonts w:ascii="Courier New" w:hAnsi="Courier New" w:cs="Courier New" w:hint="default"/>
      </w:rPr>
    </w:lvl>
    <w:lvl w:ilvl="8" w:tplc="9568337A" w:tentative="1">
      <w:start w:val="1"/>
      <w:numFmt w:val="bullet"/>
      <w:lvlText w:val=""/>
      <w:lvlJc w:val="left"/>
      <w:pPr>
        <w:ind w:left="6687" w:hanging="360"/>
      </w:pPr>
      <w:rPr>
        <w:rFonts w:ascii="Wingdings" w:hAnsi="Wingdings" w:hint="default"/>
      </w:rPr>
    </w:lvl>
  </w:abstractNum>
  <w:abstractNum w:abstractNumId="55">
    <w:nsid w:val="4E9857D2"/>
    <w:multiLevelType w:val="hybridMultilevel"/>
    <w:tmpl w:val="2A266738"/>
    <w:lvl w:ilvl="0" w:tplc="B3B84772">
      <w:start w:val="1"/>
      <w:numFmt w:val="bullet"/>
      <w:lvlText w:val="-"/>
      <w:lvlJc w:val="left"/>
      <w:pPr>
        <w:ind w:left="720" w:hanging="360"/>
      </w:pPr>
      <w:rPr>
        <w:rFonts w:ascii="Arial" w:eastAsia="Times New Roman" w:hAnsi="Arial" w:hint="default"/>
      </w:rPr>
    </w:lvl>
    <w:lvl w:ilvl="1" w:tplc="30EAEC64" w:tentative="1">
      <w:start w:val="1"/>
      <w:numFmt w:val="bullet"/>
      <w:lvlText w:val="o"/>
      <w:lvlJc w:val="left"/>
      <w:pPr>
        <w:ind w:left="1440" w:hanging="360"/>
      </w:pPr>
      <w:rPr>
        <w:rFonts w:ascii="Courier New" w:hAnsi="Courier New" w:cs="Courier New" w:hint="default"/>
      </w:rPr>
    </w:lvl>
    <w:lvl w:ilvl="2" w:tplc="59E8A824" w:tentative="1">
      <w:start w:val="1"/>
      <w:numFmt w:val="bullet"/>
      <w:lvlText w:val=""/>
      <w:lvlJc w:val="left"/>
      <w:pPr>
        <w:ind w:left="2160" w:hanging="360"/>
      </w:pPr>
      <w:rPr>
        <w:rFonts w:ascii="Wingdings" w:hAnsi="Wingdings" w:hint="default"/>
      </w:rPr>
    </w:lvl>
    <w:lvl w:ilvl="3" w:tplc="EDDCD8C8" w:tentative="1">
      <w:start w:val="1"/>
      <w:numFmt w:val="bullet"/>
      <w:lvlText w:val=""/>
      <w:lvlJc w:val="left"/>
      <w:pPr>
        <w:ind w:left="2880" w:hanging="360"/>
      </w:pPr>
      <w:rPr>
        <w:rFonts w:ascii="Symbol" w:hAnsi="Symbol" w:hint="default"/>
      </w:rPr>
    </w:lvl>
    <w:lvl w:ilvl="4" w:tplc="007E3A64" w:tentative="1">
      <w:start w:val="1"/>
      <w:numFmt w:val="bullet"/>
      <w:lvlText w:val="o"/>
      <w:lvlJc w:val="left"/>
      <w:pPr>
        <w:ind w:left="3600" w:hanging="360"/>
      </w:pPr>
      <w:rPr>
        <w:rFonts w:ascii="Courier New" w:hAnsi="Courier New" w:cs="Courier New" w:hint="default"/>
      </w:rPr>
    </w:lvl>
    <w:lvl w:ilvl="5" w:tplc="5BCAA866" w:tentative="1">
      <w:start w:val="1"/>
      <w:numFmt w:val="bullet"/>
      <w:lvlText w:val=""/>
      <w:lvlJc w:val="left"/>
      <w:pPr>
        <w:ind w:left="4320" w:hanging="360"/>
      </w:pPr>
      <w:rPr>
        <w:rFonts w:ascii="Wingdings" w:hAnsi="Wingdings" w:hint="default"/>
      </w:rPr>
    </w:lvl>
    <w:lvl w:ilvl="6" w:tplc="055CF21A" w:tentative="1">
      <w:start w:val="1"/>
      <w:numFmt w:val="bullet"/>
      <w:lvlText w:val=""/>
      <w:lvlJc w:val="left"/>
      <w:pPr>
        <w:ind w:left="5040" w:hanging="360"/>
      </w:pPr>
      <w:rPr>
        <w:rFonts w:ascii="Symbol" w:hAnsi="Symbol" w:hint="default"/>
      </w:rPr>
    </w:lvl>
    <w:lvl w:ilvl="7" w:tplc="65C01604" w:tentative="1">
      <w:start w:val="1"/>
      <w:numFmt w:val="bullet"/>
      <w:lvlText w:val="o"/>
      <w:lvlJc w:val="left"/>
      <w:pPr>
        <w:ind w:left="5760" w:hanging="360"/>
      </w:pPr>
      <w:rPr>
        <w:rFonts w:ascii="Courier New" w:hAnsi="Courier New" w:cs="Courier New" w:hint="default"/>
      </w:rPr>
    </w:lvl>
    <w:lvl w:ilvl="8" w:tplc="E5069712" w:tentative="1">
      <w:start w:val="1"/>
      <w:numFmt w:val="bullet"/>
      <w:lvlText w:val=""/>
      <w:lvlJc w:val="left"/>
      <w:pPr>
        <w:ind w:left="6480" w:hanging="360"/>
      </w:pPr>
      <w:rPr>
        <w:rFonts w:ascii="Wingdings" w:hAnsi="Wingdings" w:hint="default"/>
      </w:rPr>
    </w:lvl>
  </w:abstractNum>
  <w:abstractNum w:abstractNumId="56">
    <w:nsid w:val="5030080B"/>
    <w:multiLevelType w:val="hybridMultilevel"/>
    <w:tmpl w:val="96D289E8"/>
    <w:lvl w:ilvl="0" w:tplc="3AAE9CD8">
      <w:start w:val="1"/>
      <w:numFmt w:val="bullet"/>
      <w:lvlText w:val=""/>
      <w:lvlJc w:val="left"/>
      <w:pPr>
        <w:ind w:left="720" w:hanging="360"/>
      </w:pPr>
      <w:rPr>
        <w:rFonts w:ascii="Symbol" w:hAnsi="Symbol" w:hint="default"/>
      </w:rPr>
    </w:lvl>
    <w:lvl w:ilvl="1" w:tplc="791CA2DC" w:tentative="1">
      <w:start w:val="1"/>
      <w:numFmt w:val="bullet"/>
      <w:lvlText w:val="o"/>
      <w:lvlJc w:val="left"/>
      <w:pPr>
        <w:ind w:left="1440" w:hanging="360"/>
      </w:pPr>
      <w:rPr>
        <w:rFonts w:ascii="Courier New" w:hAnsi="Courier New" w:cs="Courier New" w:hint="default"/>
      </w:rPr>
    </w:lvl>
    <w:lvl w:ilvl="2" w:tplc="4CA24938" w:tentative="1">
      <w:start w:val="1"/>
      <w:numFmt w:val="bullet"/>
      <w:lvlText w:val=""/>
      <w:lvlJc w:val="left"/>
      <w:pPr>
        <w:ind w:left="2160" w:hanging="360"/>
      </w:pPr>
      <w:rPr>
        <w:rFonts w:ascii="Wingdings" w:hAnsi="Wingdings" w:hint="default"/>
      </w:rPr>
    </w:lvl>
    <w:lvl w:ilvl="3" w:tplc="42D41156" w:tentative="1">
      <w:start w:val="1"/>
      <w:numFmt w:val="bullet"/>
      <w:lvlText w:val=""/>
      <w:lvlJc w:val="left"/>
      <w:pPr>
        <w:ind w:left="2880" w:hanging="360"/>
      </w:pPr>
      <w:rPr>
        <w:rFonts w:ascii="Symbol" w:hAnsi="Symbol" w:hint="default"/>
      </w:rPr>
    </w:lvl>
    <w:lvl w:ilvl="4" w:tplc="5EE88170" w:tentative="1">
      <w:start w:val="1"/>
      <w:numFmt w:val="bullet"/>
      <w:lvlText w:val="o"/>
      <w:lvlJc w:val="left"/>
      <w:pPr>
        <w:ind w:left="3600" w:hanging="360"/>
      </w:pPr>
      <w:rPr>
        <w:rFonts w:ascii="Courier New" w:hAnsi="Courier New" w:cs="Courier New" w:hint="default"/>
      </w:rPr>
    </w:lvl>
    <w:lvl w:ilvl="5" w:tplc="2A7091A0" w:tentative="1">
      <w:start w:val="1"/>
      <w:numFmt w:val="bullet"/>
      <w:lvlText w:val=""/>
      <w:lvlJc w:val="left"/>
      <w:pPr>
        <w:ind w:left="4320" w:hanging="360"/>
      </w:pPr>
      <w:rPr>
        <w:rFonts w:ascii="Wingdings" w:hAnsi="Wingdings" w:hint="default"/>
      </w:rPr>
    </w:lvl>
    <w:lvl w:ilvl="6" w:tplc="2FA8BA06" w:tentative="1">
      <w:start w:val="1"/>
      <w:numFmt w:val="bullet"/>
      <w:lvlText w:val=""/>
      <w:lvlJc w:val="left"/>
      <w:pPr>
        <w:ind w:left="5040" w:hanging="360"/>
      </w:pPr>
      <w:rPr>
        <w:rFonts w:ascii="Symbol" w:hAnsi="Symbol" w:hint="default"/>
      </w:rPr>
    </w:lvl>
    <w:lvl w:ilvl="7" w:tplc="E6969A6A" w:tentative="1">
      <w:start w:val="1"/>
      <w:numFmt w:val="bullet"/>
      <w:lvlText w:val="o"/>
      <w:lvlJc w:val="left"/>
      <w:pPr>
        <w:ind w:left="5760" w:hanging="360"/>
      </w:pPr>
      <w:rPr>
        <w:rFonts w:ascii="Courier New" w:hAnsi="Courier New" w:cs="Courier New" w:hint="default"/>
      </w:rPr>
    </w:lvl>
    <w:lvl w:ilvl="8" w:tplc="3E521EF8" w:tentative="1">
      <w:start w:val="1"/>
      <w:numFmt w:val="bullet"/>
      <w:lvlText w:val=""/>
      <w:lvlJc w:val="left"/>
      <w:pPr>
        <w:ind w:left="6480" w:hanging="360"/>
      </w:pPr>
      <w:rPr>
        <w:rFonts w:ascii="Wingdings" w:hAnsi="Wingdings" w:hint="default"/>
      </w:rPr>
    </w:lvl>
  </w:abstractNum>
  <w:abstractNum w:abstractNumId="57">
    <w:nsid w:val="5157303C"/>
    <w:multiLevelType w:val="hybridMultilevel"/>
    <w:tmpl w:val="64A0C9B8"/>
    <w:lvl w:ilvl="0" w:tplc="E30E5506">
      <w:start w:val="1"/>
      <w:numFmt w:val="bullet"/>
      <w:lvlText w:val=""/>
      <w:lvlJc w:val="left"/>
      <w:pPr>
        <w:ind w:left="360" w:hanging="360"/>
      </w:pPr>
      <w:rPr>
        <w:rFonts w:ascii="Symbol" w:hAnsi="Symbol" w:hint="default"/>
      </w:rPr>
    </w:lvl>
    <w:lvl w:ilvl="1" w:tplc="2954CE64" w:tentative="1">
      <w:start w:val="1"/>
      <w:numFmt w:val="bullet"/>
      <w:lvlText w:val="o"/>
      <w:lvlJc w:val="left"/>
      <w:pPr>
        <w:ind w:left="1080" w:hanging="360"/>
      </w:pPr>
      <w:rPr>
        <w:rFonts w:ascii="Courier New" w:hAnsi="Courier New" w:cs="Courier New" w:hint="default"/>
      </w:rPr>
    </w:lvl>
    <w:lvl w:ilvl="2" w:tplc="92D0CE2A" w:tentative="1">
      <w:start w:val="1"/>
      <w:numFmt w:val="bullet"/>
      <w:lvlText w:val=""/>
      <w:lvlJc w:val="left"/>
      <w:pPr>
        <w:ind w:left="1800" w:hanging="360"/>
      </w:pPr>
      <w:rPr>
        <w:rFonts w:ascii="Wingdings" w:hAnsi="Wingdings" w:hint="default"/>
      </w:rPr>
    </w:lvl>
    <w:lvl w:ilvl="3" w:tplc="D17CFC8A" w:tentative="1">
      <w:start w:val="1"/>
      <w:numFmt w:val="bullet"/>
      <w:lvlText w:val=""/>
      <w:lvlJc w:val="left"/>
      <w:pPr>
        <w:ind w:left="2520" w:hanging="360"/>
      </w:pPr>
      <w:rPr>
        <w:rFonts w:ascii="Symbol" w:hAnsi="Symbol" w:hint="default"/>
      </w:rPr>
    </w:lvl>
    <w:lvl w:ilvl="4" w:tplc="FB823F98" w:tentative="1">
      <w:start w:val="1"/>
      <w:numFmt w:val="bullet"/>
      <w:lvlText w:val="o"/>
      <w:lvlJc w:val="left"/>
      <w:pPr>
        <w:ind w:left="3240" w:hanging="360"/>
      </w:pPr>
      <w:rPr>
        <w:rFonts w:ascii="Courier New" w:hAnsi="Courier New" w:cs="Courier New" w:hint="default"/>
      </w:rPr>
    </w:lvl>
    <w:lvl w:ilvl="5" w:tplc="FF1EE87A" w:tentative="1">
      <w:start w:val="1"/>
      <w:numFmt w:val="bullet"/>
      <w:lvlText w:val=""/>
      <w:lvlJc w:val="left"/>
      <w:pPr>
        <w:ind w:left="3960" w:hanging="360"/>
      </w:pPr>
      <w:rPr>
        <w:rFonts w:ascii="Wingdings" w:hAnsi="Wingdings" w:hint="default"/>
      </w:rPr>
    </w:lvl>
    <w:lvl w:ilvl="6" w:tplc="4BD805D2" w:tentative="1">
      <w:start w:val="1"/>
      <w:numFmt w:val="bullet"/>
      <w:lvlText w:val=""/>
      <w:lvlJc w:val="left"/>
      <w:pPr>
        <w:ind w:left="4680" w:hanging="360"/>
      </w:pPr>
      <w:rPr>
        <w:rFonts w:ascii="Symbol" w:hAnsi="Symbol" w:hint="default"/>
      </w:rPr>
    </w:lvl>
    <w:lvl w:ilvl="7" w:tplc="C7185EB4" w:tentative="1">
      <w:start w:val="1"/>
      <w:numFmt w:val="bullet"/>
      <w:lvlText w:val="o"/>
      <w:lvlJc w:val="left"/>
      <w:pPr>
        <w:ind w:left="5400" w:hanging="360"/>
      </w:pPr>
      <w:rPr>
        <w:rFonts w:ascii="Courier New" w:hAnsi="Courier New" w:cs="Courier New" w:hint="default"/>
      </w:rPr>
    </w:lvl>
    <w:lvl w:ilvl="8" w:tplc="A274C836" w:tentative="1">
      <w:start w:val="1"/>
      <w:numFmt w:val="bullet"/>
      <w:lvlText w:val=""/>
      <w:lvlJc w:val="left"/>
      <w:pPr>
        <w:ind w:left="6120" w:hanging="360"/>
      </w:pPr>
      <w:rPr>
        <w:rFonts w:ascii="Wingdings" w:hAnsi="Wingdings" w:hint="default"/>
      </w:rPr>
    </w:lvl>
  </w:abstractNum>
  <w:abstractNum w:abstractNumId="58">
    <w:nsid w:val="53193052"/>
    <w:multiLevelType w:val="hybridMultilevel"/>
    <w:tmpl w:val="58F630F0"/>
    <w:lvl w:ilvl="0" w:tplc="0D5CC792">
      <w:start w:val="1"/>
      <w:numFmt w:val="bullet"/>
      <w:lvlText w:val=""/>
      <w:lvlJc w:val="left"/>
      <w:pPr>
        <w:ind w:left="360" w:hanging="360"/>
      </w:pPr>
      <w:rPr>
        <w:rFonts w:ascii="Symbol" w:hAnsi="Symbol" w:hint="default"/>
      </w:rPr>
    </w:lvl>
    <w:lvl w:ilvl="1" w:tplc="D2163B86" w:tentative="1">
      <w:start w:val="1"/>
      <w:numFmt w:val="bullet"/>
      <w:lvlText w:val="o"/>
      <w:lvlJc w:val="left"/>
      <w:pPr>
        <w:ind w:left="1080" w:hanging="360"/>
      </w:pPr>
      <w:rPr>
        <w:rFonts w:ascii="Courier New" w:hAnsi="Courier New" w:cs="Courier New" w:hint="default"/>
      </w:rPr>
    </w:lvl>
    <w:lvl w:ilvl="2" w:tplc="0BD0757A" w:tentative="1">
      <w:start w:val="1"/>
      <w:numFmt w:val="bullet"/>
      <w:lvlText w:val=""/>
      <w:lvlJc w:val="left"/>
      <w:pPr>
        <w:ind w:left="1800" w:hanging="360"/>
      </w:pPr>
      <w:rPr>
        <w:rFonts w:ascii="Wingdings" w:hAnsi="Wingdings" w:hint="default"/>
      </w:rPr>
    </w:lvl>
    <w:lvl w:ilvl="3" w:tplc="34A61FEA" w:tentative="1">
      <w:start w:val="1"/>
      <w:numFmt w:val="bullet"/>
      <w:lvlText w:val=""/>
      <w:lvlJc w:val="left"/>
      <w:pPr>
        <w:ind w:left="2520" w:hanging="360"/>
      </w:pPr>
      <w:rPr>
        <w:rFonts w:ascii="Symbol" w:hAnsi="Symbol" w:hint="default"/>
      </w:rPr>
    </w:lvl>
    <w:lvl w:ilvl="4" w:tplc="C8785304" w:tentative="1">
      <w:start w:val="1"/>
      <w:numFmt w:val="bullet"/>
      <w:lvlText w:val="o"/>
      <w:lvlJc w:val="left"/>
      <w:pPr>
        <w:ind w:left="3240" w:hanging="360"/>
      </w:pPr>
      <w:rPr>
        <w:rFonts w:ascii="Courier New" w:hAnsi="Courier New" w:cs="Courier New" w:hint="default"/>
      </w:rPr>
    </w:lvl>
    <w:lvl w:ilvl="5" w:tplc="426ED63A" w:tentative="1">
      <w:start w:val="1"/>
      <w:numFmt w:val="bullet"/>
      <w:lvlText w:val=""/>
      <w:lvlJc w:val="left"/>
      <w:pPr>
        <w:ind w:left="3960" w:hanging="360"/>
      </w:pPr>
      <w:rPr>
        <w:rFonts w:ascii="Wingdings" w:hAnsi="Wingdings" w:hint="default"/>
      </w:rPr>
    </w:lvl>
    <w:lvl w:ilvl="6" w:tplc="1BEA1F50" w:tentative="1">
      <w:start w:val="1"/>
      <w:numFmt w:val="bullet"/>
      <w:lvlText w:val=""/>
      <w:lvlJc w:val="left"/>
      <w:pPr>
        <w:ind w:left="4680" w:hanging="360"/>
      </w:pPr>
      <w:rPr>
        <w:rFonts w:ascii="Symbol" w:hAnsi="Symbol" w:hint="default"/>
      </w:rPr>
    </w:lvl>
    <w:lvl w:ilvl="7" w:tplc="9CC4B60E" w:tentative="1">
      <w:start w:val="1"/>
      <w:numFmt w:val="bullet"/>
      <w:lvlText w:val="o"/>
      <w:lvlJc w:val="left"/>
      <w:pPr>
        <w:ind w:left="5400" w:hanging="360"/>
      </w:pPr>
      <w:rPr>
        <w:rFonts w:ascii="Courier New" w:hAnsi="Courier New" w:cs="Courier New" w:hint="default"/>
      </w:rPr>
    </w:lvl>
    <w:lvl w:ilvl="8" w:tplc="DDD854D4" w:tentative="1">
      <w:start w:val="1"/>
      <w:numFmt w:val="bullet"/>
      <w:lvlText w:val=""/>
      <w:lvlJc w:val="left"/>
      <w:pPr>
        <w:ind w:left="6120" w:hanging="360"/>
      </w:pPr>
      <w:rPr>
        <w:rFonts w:ascii="Wingdings" w:hAnsi="Wingdings" w:hint="default"/>
      </w:rPr>
    </w:lvl>
  </w:abstractNum>
  <w:abstractNum w:abstractNumId="59">
    <w:nsid w:val="55A02C9F"/>
    <w:multiLevelType w:val="hybridMultilevel"/>
    <w:tmpl w:val="21CCFEF4"/>
    <w:lvl w:ilvl="0" w:tplc="FD80BEAA">
      <w:start w:val="19"/>
      <w:numFmt w:val="bullet"/>
      <w:lvlText w:val="-"/>
      <w:lvlJc w:val="left"/>
      <w:pPr>
        <w:ind w:left="360" w:hanging="360"/>
      </w:pPr>
      <w:rPr>
        <w:rFonts w:ascii="Arial" w:eastAsia="Times New Roman" w:hAnsi="Arial" w:cs="Arial" w:hint="default"/>
      </w:rPr>
    </w:lvl>
    <w:lvl w:ilvl="1" w:tplc="3760B80A" w:tentative="1">
      <w:start w:val="1"/>
      <w:numFmt w:val="bullet"/>
      <w:lvlText w:val="o"/>
      <w:lvlJc w:val="left"/>
      <w:pPr>
        <w:ind w:left="1080" w:hanging="360"/>
      </w:pPr>
      <w:rPr>
        <w:rFonts w:ascii="Courier New" w:hAnsi="Courier New" w:cs="Courier New" w:hint="default"/>
      </w:rPr>
    </w:lvl>
    <w:lvl w:ilvl="2" w:tplc="C75CAA32" w:tentative="1">
      <w:start w:val="1"/>
      <w:numFmt w:val="bullet"/>
      <w:lvlText w:val=""/>
      <w:lvlJc w:val="left"/>
      <w:pPr>
        <w:ind w:left="1800" w:hanging="360"/>
      </w:pPr>
      <w:rPr>
        <w:rFonts w:ascii="Wingdings" w:hAnsi="Wingdings" w:hint="default"/>
      </w:rPr>
    </w:lvl>
    <w:lvl w:ilvl="3" w:tplc="B144303A" w:tentative="1">
      <w:start w:val="1"/>
      <w:numFmt w:val="bullet"/>
      <w:lvlText w:val=""/>
      <w:lvlJc w:val="left"/>
      <w:pPr>
        <w:ind w:left="2520" w:hanging="360"/>
      </w:pPr>
      <w:rPr>
        <w:rFonts w:ascii="Symbol" w:hAnsi="Symbol" w:hint="default"/>
      </w:rPr>
    </w:lvl>
    <w:lvl w:ilvl="4" w:tplc="AB58DCBE" w:tentative="1">
      <w:start w:val="1"/>
      <w:numFmt w:val="bullet"/>
      <w:lvlText w:val="o"/>
      <w:lvlJc w:val="left"/>
      <w:pPr>
        <w:ind w:left="3240" w:hanging="360"/>
      </w:pPr>
      <w:rPr>
        <w:rFonts w:ascii="Courier New" w:hAnsi="Courier New" w:cs="Courier New" w:hint="default"/>
      </w:rPr>
    </w:lvl>
    <w:lvl w:ilvl="5" w:tplc="0F823788" w:tentative="1">
      <w:start w:val="1"/>
      <w:numFmt w:val="bullet"/>
      <w:lvlText w:val=""/>
      <w:lvlJc w:val="left"/>
      <w:pPr>
        <w:ind w:left="3960" w:hanging="360"/>
      </w:pPr>
      <w:rPr>
        <w:rFonts w:ascii="Wingdings" w:hAnsi="Wingdings" w:hint="default"/>
      </w:rPr>
    </w:lvl>
    <w:lvl w:ilvl="6" w:tplc="BB1480B4" w:tentative="1">
      <w:start w:val="1"/>
      <w:numFmt w:val="bullet"/>
      <w:lvlText w:val=""/>
      <w:lvlJc w:val="left"/>
      <w:pPr>
        <w:ind w:left="4680" w:hanging="360"/>
      </w:pPr>
      <w:rPr>
        <w:rFonts w:ascii="Symbol" w:hAnsi="Symbol" w:hint="default"/>
      </w:rPr>
    </w:lvl>
    <w:lvl w:ilvl="7" w:tplc="01580E78" w:tentative="1">
      <w:start w:val="1"/>
      <w:numFmt w:val="bullet"/>
      <w:lvlText w:val="o"/>
      <w:lvlJc w:val="left"/>
      <w:pPr>
        <w:ind w:left="5400" w:hanging="360"/>
      </w:pPr>
      <w:rPr>
        <w:rFonts w:ascii="Courier New" w:hAnsi="Courier New" w:cs="Courier New" w:hint="default"/>
      </w:rPr>
    </w:lvl>
    <w:lvl w:ilvl="8" w:tplc="9762F96C" w:tentative="1">
      <w:start w:val="1"/>
      <w:numFmt w:val="bullet"/>
      <w:lvlText w:val=""/>
      <w:lvlJc w:val="left"/>
      <w:pPr>
        <w:ind w:left="6120" w:hanging="360"/>
      </w:pPr>
      <w:rPr>
        <w:rFonts w:ascii="Wingdings" w:hAnsi="Wingdings" w:hint="default"/>
      </w:rPr>
    </w:lvl>
  </w:abstractNum>
  <w:abstractNum w:abstractNumId="60">
    <w:nsid w:val="55A4468A"/>
    <w:multiLevelType w:val="hybridMultilevel"/>
    <w:tmpl w:val="B3846B5C"/>
    <w:lvl w:ilvl="0" w:tplc="70D87688">
      <w:start w:val="20"/>
      <w:numFmt w:val="bullet"/>
      <w:lvlText w:val="-"/>
      <w:lvlJc w:val="left"/>
      <w:pPr>
        <w:ind w:left="360" w:hanging="360"/>
      </w:pPr>
      <w:rPr>
        <w:rFonts w:ascii="Arial" w:eastAsia="Times New Roman" w:hAnsi="Arial" w:cs="Arial" w:hint="default"/>
      </w:rPr>
    </w:lvl>
    <w:lvl w:ilvl="1" w:tplc="D910B4AA" w:tentative="1">
      <w:start w:val="1"/>
      <w:numFmt w:val="bullet"/>
      <w:lvlText w:val="o"/>
      <w:lvlJc w:val="left"/>
      <w:pPr>
        <w:ind w:left="1080" w:hanging="360"/>
      </w:pPr>
      <w:rPr>
        <w:rFonts w:ascii="Courier New" w:hAnsi="Courier New" w:cs="Courier New" w:hint="default"/>
      </w:rPr>
    </w:lvl>
    <w:lvl w:ilvl="2" w:tplc="8F041022" w:tentative="1">
      <w:start w:val="1"/>
      <w:numFmt w:val="bullet"/>
      <w:lvlText w:val=""/>
      <w:lvlJc w:val="left"/>
      <w:pPr>
        <w:ind w:left="1800" w:hanging="360"/>
      </w:pPr>
      <w:rPr>
        <w:rFonts w:ascii="Wingdings" w:hAnsi="Wingdings" w:hint="default"/>
      </w:rPr>
    </w:lvl>
    <w:lvl w:ilvl="3" w:tplc="5A18E1AE" w:tentative="1">
      <w:start w:val="1"/>
      <w:numFmt w:val="bullet"/>
      <w:lvlText w:val=""/>
      <w:lvlJc w:val="left"/>
      <w:pPr>
        <w:ind w:left="2520" w:hanging="360"/>
      </w:pPr>
      <w:rPr>
        <w:rFonts w:ascii="Symbol" w:hAnsi="Symbol" w:hint="default"/>
      </w:rPr>
    </w:lvl>
    <w:lvl w:ilvl="4" w:tplc="7472C576" w:tentative="1">
      <w:start w:val="1"/>
      <w:numFmt w:val="bullet"/>
      <w:lvlText w:val="o"/>
      <w:lvlJc w:val="left"/>
      <w:pPr>
        <w:ind w:left="3240" w:hanging="360"/>
      </w:pPr>
      <w:rPr>
        <w:rFonts w:ascii="Courier New" w:hAnsi="Courier New" w:cs="Courier New" w:hint="default"/>
      </w:rPr>
    </w:lvl>
    <w:lvl w:ilvl="5" w:tplc="DB84E594" w:tentative="1">
      <w:start w:val="1"/>
      <w:numFmt w:val="bullet"/>
      <w:lvlText w:val=""/>
      <w:lvlJc w:val="left"/>
      <w:pPr>
        <w:ind w:left="3960" w:hanging="360"/>
      </w:pPr>
      <w:rPr>
        <w:rFonts w:ascii="Wingdings" w:hAnsi="Wingdings" w:hint="default"/>
      </w:rPr>
    </w:lvl>
    <w:lvl w:ilvl="6" w:tplc="F578A0F0" w:tentative="1">
      <w:start w:val="1"/>
      <w:numFmt w:val="bullet"/>
      <w:lvlText w:val=""/>
      <w:lvlJc w:val="left"/>
      <w:pPr>
        <w:ind w:left="4680" w:hanging="360"/>
      </w:pPr>
      <w:rPr>
        <w:rFonts w:ascii="Symbol" w:hAnsi="Symbol" w:hint="default"/>
      </w:rPr>
    </w:lvl>
    <w:lvl w:ilvl="7" w:tplc="96408132" w:tentative="1">
      <w:start w:val="1"/>
      <w:numFmt w:val="bullet"/>
      <w:lvlText w:val="o"/>
      <w:lvlJc w:val="left"/>
      <w:pPr>
        <w:ind w:left="5400" w:hanging="360"/>
      </w:pPr>
      <w:rPr>
        <w:rFonts w:ascii="Courier New" w:hAnsi="Courier New" w:cs="Courier New" w:hint="default"/>
      </w:rPr>
    </w:lvl>
    <w:lvl w:ilvl="8" w:tplc="E436998E" w:tentative="1">
      <w:start w:val="1"/>
      <w:numFmt w:val="bullet"/>
      <w:lvlText w:val=""/>
      <w:lvlJc w:val="left"/>
      <w:pPr>
        <w:ind w:left="6120" w:hanging="360"/>
      </w:pPr>
      <w:rPr>
        <w:rFonts w:ascii="Wingdings" w:hAnsi="Wingdings" w:hint="default"/>
      </w:rPr>
    </w:lvl>
  </w:abstractNum>
  <w:abstractNum w:abstractNumId="61">
    <w:nsid w:val="585216E9"/>
    <w:multiLevelType w:val="hybridMultilevel"/>
    <w:tmpl w:val="21BA38F4"/>
    <w:lvl w:ilvl="0" w:tplc="B81CB1D6">
      <w:start w:val="1"/>
      <w:numFmt w:val="bullet"/>
      <w:lvlText w:val=""/>
      <w:lvlJc w:val="left"/>
      <w:pPr>
        <w:ind w:left="720" w:hanging="360"/>
      </w:pPr>
      <w:rPr>
        <w:rFonts w:ascii="Symbol" w:hAnsi="Symbol" w:hint="default"/>
      </w:rPr>
    </w:lvl>
    <w:lvl w:ilvl="1" w:tplc="E6C80F5A" w:tentative="1">
      <w:start w:val="1"/>
      <w:numFmt w:val="bullet"/>
      <w:lvlText w:val="o"/>
      <w:lvlJc w:val="left"/>
      <w:pPr>
        <w:ind w:left="1440" w:hanging="360"/>
      </w:pPr>
      <w:rPr>
        <w:rFonts w:ascii="Courier New" w:hAnsi="Courier New" w:cs="Courier New" w:hint="default"/>
      </w:rPr>
    </w:lvl>
    <w:lvl w:ilvl="2" w:tplc="73BC63E8" w:tentative="1">
      <w:start w:val="1"/>
      <w:numFmt w:val="bullet"/>
      <w:lvlText w:val=""/>
      <w:lvlJc w:val="left"/>
      <w:pPr>
        <w:ind w:left="2160" w:hanging="360"/>
      </w:pPr>
      <w:rPr>
        <w:rFonts w:ascii="Wingdings" w:hAnsi="Wingdings" w:hint="default"/>
      </w:rPr>
    </w:lvl>
    <w:lvl w:ilvl="3" w:tplc="2C40110E" w:tentative="1">
      <w:start w:val="1"/>
      <w:numFmt w:val="bullet"/>
      <w:lvlText w:val=""/>
      <w:lvlJc w:val="left"/>
      <w:pPr>
        <w:ind w:left="2880" w:hanging="360"/>
      </w:pPr>
      <w:rPr>
        <w:rFonts w:ascii="Symbol" w:hAnsi="Symbol" w:hint="default"/>
      </w:rPr>
    </w:lvl>
    <w:lvl w:ilvl="4" w:tplc="98F6A41C" w:tentative="1">
      <w:start w:val="1"/>
      <w:numFmt w:val="bullet"/>
      <w:lvlText w:val="o"/>
      <w:lvlJc w:val="left"/>
      <w:pPr>
        <w:ind w:left="3600" w:hanging="360"/>
      </w:pPr>
      <w:rPr>
        <w:rFonts w:ascii="Courier New" w:hAnsi="Courier New" w:cs="Courier New" w:hint="default"/>
      </w:rPr>
    </w:lvl>
    <w:lvl w:ilvl="5" w:tplc="5E52C3C2" w:tentative="1">
      <w:start w:val="1"/>
      <w:numFmt w:val="bullet"/>
      <w:lvlText w:val=""/>
      <w:lvlJc w:val="left"/>
      <w:pPr>
        <w:ind w:left="4320" w:hanging="360"/>
      </w:pPr>
      <w:rPr>
        <w:rFonts w:ascii="Wingdings" w:hAnsi="Wingdings" w:hint="default"/>
      </w:rPr>
    </w:lvl>
    <w:lvl w:ilvl="6" w:tplc="686EE312" w:tentative="1">
      <w:start w:val="1"/>
      <w:numFmt w:val="bullet"/>
      <w:lvlText w:val=""/>
      <w:lvlJc w:val="left"/>
      <w:pPr>
        <w:ind w:left="5040" w:hanging="360"/>
      </w:pPr>
      <w:rPr>
        <w:rFonts w:ascii="Symbol" w:hAnsi="Symbol" w:hint="default"/>
      </w:rPr>
    </w:lvl>
    <w:lvl w:ilvl="7" w:tplc="C6C4C1D2" w:tentative="1">
      <w:start w:val="1"/>
      <w:numFmt w:val="bullet"/>
      <w:lvlText w:val="o"/>
      <w:lvlJc w:val="left"/>
      <w:pPr>
        <w:ind w:left="5760" w:hanging="360"/>
      </w:pPr>
      <w:rPr>
        <w:rFonts w:ascii="Courier New" w:hAnsi="Courier New" w:cs="Courier New" w:hint="default"/>
      </w:rPr>
    </w:lvl>
    <w:lvl w:ilvl="8" w:tplc="0A3058FC" w:tentative="1">
      <w:start w:val="1"/>
      <w:numFmt w:val="bullet"/>
      <w:lvlText w:val=""/>
      <w:lvlJc w:val="left"/>
      <w:pPr>
        <w:ind w:left="6480" w:hanging="360"/>
      </w:pPr>
      <w:rPr>
        <w:rFonts w:ascii="Wingdings" w:hAnsi="Wingdings" w:hint="default"/>
      </w:rPr>
    </w:lvl>
  </w:abstractNum>
  <w:abstractNum w:abstractNumId="62">
    <w:nsid w:val="58BD1658"/>
    <w:multiLevelType w:val="hybridMultilevel"/>
    <w:tmpl w:val="7952DD3A"/>
    <w:lvl w:ilvl="0" w:tplc="8834C5BE">
      <w:start w:val="1"/>
      <w:numFmt w:val="decimal"/>
      <w:lvlRestart w:val="0"/>
      <w:lvlText w:val="20.%1"/>
      <w:lvlJc w:val="left"/>
      <w:pPr>
        <w:tabs>
          <w:tab w:val="num" w:pos="680"/>
        </w:tabs>
        <w:ind w:left="0" w:firstLine="0"/>
      </w:pPr>
      <w:rPr>
        <w:rFonts w:ascii="Arial" w:hAnsi="Arial" w:hint="default"/>
        <w:sz w:val="20"/>
        <w:szCs w:val="20"/>
      </w:rPr>
    </w:lvl>
    <w:lvl w:ilvl="1" w:tplc="8A208736">
      <w:start w:val="1"/>
      <w:numFmt w:val="lowerRoman"/>
      <w:lvlText w:val="%2)"/>
      <w:lvlJc w:val="left"/>
      <w:pPr>
        <w:tabs>
          <w:tab w:val="num" w:pos="1211"/>
        </w:tabs>
        <w:ind w:left="1211" w:hanging="360"/>
      </w:pPr>
      <w:rPr>
        <w:rFonts w:hint="default"/>
        <w:b w:val="0"/>
        <w:bCs w:val="0"/>
        <w:sz w:val="20"/>
        <w:szCs w:val="20"/>
        <w:u w:val="none"/>
      </w:rPr>
    </w:lvl>
    <w:lvl w:ilvl="2" w:tplc="78329EC6" w:tentative="1">
      <w:start w:val="1"/>
      <w:numFmt w:val="lowerRoman"/>
      <w:lvlText w:val="%3."/>
      <w:lvlJc w:val="right"/>
      <w:pPr>
        <w:tabs>
          <w:tab w:val="num" w:pos="2160"/>
        </w:tabs>
        <w:ind w:left="2160" w:hanging="180"/>
      </w:pPr>
    </w:lvl>
    <w:lvl w:ilvl="3" w:tplc="B22A7736" w:tentative="1">
      <w:start w:val="1"/>
      <w:numFmt w:val="decimal"/>
      <w:lvlText w:val="%4."/>
      <w:lvlJc w:val="left"/>
      <w:pPr>
        <w:tabs>
          <w:tab w:val="num" w:pos="2880"/>
        </w:tabs>
        <w:ind w:left="2880" w:hanging="360"/>
      </w:pPr>
    </w:lvl>
    <w:lvl w:ilvl="4" w:tplc="CC9E577C" w:tentative="1">
      <w:start w:val="1"/>
      <w:numFmt w:val="lowerLetter"/>
      <w:lvlText w:val="%5."/>
      <w:lvlJc w:val="left"/>
      <w:pPr>
        <w:tabs>
          <w:tab w:val="num" w:pos="3600"/>
        </w:tabs>
        <w:ind w:left="3600" w:hanging="360"/>
      </w:pPr>
    </w:lvl>
    <w:lvl w:ilvl="5" w:tplc="838C2B18" w:tentative="1">
      <w:start w:val="1"/>
      <w:numFmt w:val="lowerRoman"/>
      <w:lvlText w:val="%6."/>
      <w:lvlJc w:val="right"/>
      <w:pPr>
        <w:tabs>
          <w:tab w:val="num" w:pos="4320"/>
        </w:tabs>
        <w:ind w:left="4320" w:hanging="180"/>
      </w:pPr>
    </w:lvl>
    <w:lvl w:ilvl="6" w:tplc="9AE23B7C" w:tentative="1">
      <w:start w:val="1"/>
      <w:numFmt w:val="decimal"/>
      <w:lvlText w:val="%7."/>
      <w:lvlJc w:val="left"/>
      <w:pPr>
        <w:tabs>
          <w:tab w:val="num" w:pos="5040"/>
        </w:tabs>
        <w:ind w:left="5040" w:hanging="360"/>
      </w:pPr>
    </w:lvl>
    <w:lvl w:ilvl="7" w:tplc="738C4740" w:tentative="1">
      <w:start w:val="1"/>
      <w:numFmt w:val="lowerLetter"/>
      <w:lvlText w:val="%8."/>
      <w:lvlJc w:val="left"/>
      <w:pPr>
        <w:tabs>
          <w:tab w:val="num" w:pos="5760"/>
        </w:tabs>
        <w:ind w:left="5760" w:hanging="360"/>
      </w:pPr>
    </w:lvl>
    <w:lvl w:ilvl="8" w:tplc="C3D09938" w:tentative="1">
      <w:start w:val="1"/>
      <w:numFmt w:val="lowerRoman"/>
      <w:lvlText w:val="%9."/>
      <w:lvlJc w:val="right"/>
      <w:pPr>
        <w:tabs>
          <w:tab w:val="num" w:pos="6480"/>
        </w:tabs>
        <w:ind w:left="6480" w:hanging="180"/>
      </w:pPr>
    </w:lvl>
  </w:abstractNum>
  <w:abstractNum w:abstractNumId="63">
    <w:nsid w:val="59E86743"/>
    <w:multiLevelType w:val="hybridMultilevel"/>
    <w:tmpl w:val="EE1AE100"/>
    <w:lvl w:ilvl="0" w:tplc="AF1650E6">
      <w:start w:val="1"/>
      <w:numFmt w:val="bullet"/>
      <w:lvlText w:val=""/>
      <w:lvlJc w:val="left"/>
      <w:pPr>
        <w:ind w:left="720" w:hanging="360"/>
      </w:pPr>
      <w:rPr>
        <w:rFonts w:ascii="Symbol" w:hAnsi="Symbol" w:hint="default"/>
      </w:rPr>
    </w:lvl>
    <w:lvl w:ilvl="1" w:tplc="129C30B4" w:tentative="1">
      <w:start w:val="1"/>
      <w:numFmt w:val="bullet"/>
      <w:lvlText w:val="o"/>
      <w:lvlJc w:val="left"/>
      <w:pPr>
        <w:ind w:left="1440" w:hanging="360"/>
      </w:pPr>
      <w:rPr>
        <w:rFonts w:ascii="Courier New" w:hAnsi="Courier New" w:cs="Courier New" w:hint="default"/>
      </w:rPr>
    </w:lvl>
    <w:lvl w:ilvl="2" w:tplc="BEAA1DF8" w:tentative="1">
      <w:start w:val="1"/>
      <w:numFmt w:val="bullet"/>
      <w:lvlText w:val=""/>
      <w:lvlJc w:val="left"/>
      <w:pPr>
        <w:ind w:left="2160" w:hanging="360"/>
      </w:pPr>
      <w:rPr>
        <w:rFonts w:ascii="Wingdings" w:hAnsi="Wingdings" w:hint="default"/>
      </w:rPr>
    </w:lvl>
    <w:lvl w:ilvl="3" w:tplc="301E6A56" w:tentative="1">
      <w:start w:val="1"/>
      <w:numFmt w:val="bullet"/>
      <w:lvlText w:val=""/>
      <w:lvlJc w:val="left"/>
      <w:pPr>
        <w:ind w:left="2880" w:hanging="360"/>
      </w:pPr>
      <w:rPr>
        <w:rFonts w:ascii="Symbol" w:hAnsi="Symbol" w:hint="default"/>
      </w:rPr>
    </w:lvl>
    <w:lvl w:ilvl="4" w:tplc="C8CCED64" w:tentative="1">
      <w:start w:val="1"/>
      <w:numFmt w:val="bullet"/>
      <w:lvlText w:val="o"/>
      <w:lvlJc w:val="left"/>
      <w:pPr>
        <w:ind w:left="3600" w:hanging="360"/>
      </w:pPr>
      <w:rPr>
        <w:rFonts w:ascii="Courier New" w:hAnsi="Courier New" w:cs="Courier New" w:hint="default"/>
      </w:rPr>
    </w:lvl>
    <w:lvl w:ilvl="5" w:tplc="D7E40854" w:tentative="1">
      <w:start w:val="1"/>
      <w:numFmt w:val="bullet"/>
      <w:lvlText w:val=""/>
      <w:lvlJc w:val="left"/>
      <w:pPr>
        <w:ind w:left="4320" w:hanging="360"/>
      </w:pPr>
      <w:rPr>
        <w:rFonts w:ascii="Wingdings" w:hAnsi="Wingdings" w:hint="default"/>
      </w:rPr>
    </w:lvl>
    <w:lvl w:ilvl="6" w:tplc="D416FC7C" w:tentative="1">
      <w:start w:val="1"/>
      <w:numFmt w:val="bullet"/>
      <w:lvlText w:val=""/>
      <w:lvlJc w:val="left"/>
      <w:pPr>
        <w:ind w:left="5040" w:hanging="360"/>
      </w:pPr>
      <w:rPr>
        <w:rFonts w:ascii="Symbol" w:hAnsi="Symbol" w:hint="default"/>
      </w:rPr>
    </w:lvl>
    <w:lvl w:ilvl="7" w:tplc="D4FC7E12" w:tentative="1">
      <w:start w:val="1"/>
      <w:numFmt w:val="bullet"/>
      <w:lvlText w:val="o"/>
      <w:lvlJc w:val="left"/>
      <w:pPr>
        <w:ind w:left="5760" w:hanging="360"/>
      </w:pPr>
      <w:rPr>
        <w:rFonts w:ascii="Courier New" w:hAnsi="Courier New" w:cs="Courier New" w:hint="default"/>
      </w:rPr>
    </w:lvl>
    <w:lvl w:ilvl="8" w:tplc="F132B0DA" w:tentative="1">
      <w:start w:val="1"/>
      <w:numFmt w:val="bullet"/>
      <w:lvlText w:val=""/>
      <w:lvlJc w:val="left"/>
      <w:pPr>
        <w:ind w:left="6480" w:hanging="360"/>
      </w:pPr>
      <w:rPr>
        <w:rFonts w:ascii="Wingdings" w:hAnsi="Wingdings" w:hint="default"/>
      </w:rPr>
    </w:lvl>
  </w:abstractNum>
  <w:abstractNum w:abstractNumId="64">
    <w:nsid w:val="5A0375EB"/>
    <w:multiLevelType w:val="hybridMultilevel"/>
    <w:tmpl w:val="3BC0A6B8"/>
    <w:lvl w:ilvl="0" w:tplc="FA9E45C2">
      <w:start w:val="1"/>
      <w:numFmt w:val="bullet"/>
      <w:lvlText w:val=""/>
      <w:lvlJc w:val="left"/>
      <w:pPr>
        <w:ind w:left="360" w:hanging="360"/>
      </w:pPr>
      <w:rPr>
        <w:rFonts w:ascii="Symbol" w:hAnsi="Symbol" w:hint="default"/>
      </w:rPr>
    </w:lvl>
    <w:lvl w:ilvl="1" w:tplc="B414E220" w:tentative="1">
      <w:start w:val="1"/>
      <w:numFmt w:val="bullet"/>
      <w:lvlText w:val="o"/>
      <w:lvlJc w:val="left"/>
      <w:pPr>
        <w:ind w:left="1080" w:hanging="360"/>
      </w:pPr>
      <w:rPr>
        <w:rFonts w:ascii="Courier New" w:hAnsi="Courier New" w:cs="Courier New" w:hint="default"/>
      </w:rPr>
    </w:lvl>
    <w:lvl w:ilvl="2" w:tplc="6BFE8454" w:tentative="1">
      <w:start w:val="1"/>
      <w:numFmt w:val="bullet"/>
      <w:lvlText w:val=""/>
      <w:lvlJc w:val="left"/>
      <w:pPr>
        <w:ind w:left="1800" w:hanging="360"/>
      </w:pPr>
      <w:rPr>
        <w:rFonts w:ascii="Wingdings" w:hAnsi="Wingdings" w:hint="default"/>
      </w:rPr>
    </w:lvl>
    <w:lvl w:ilvl="3" w:tplc="284677AC" w:tentative="1">
      <w:start w:val="1"/>
      <w:numFmt w:val="bullet"/>
      <w:lvlText w:val=""/>
      <w:lvlJc w:val="left"/>
      <w:pPr>
        <w:ind w:left="2520" w:hanging="360"/>
      </w:pPr>
      <w:rPr>
        <w:rFonts w:ascii="Symbol" w:hAnsi="Symbol" w:hint="default"/>
      </w:rPr>
    </w:lvl>
    <w:lvl w:ilvl="4" w:tplc="67D83E1E" w:tentative="1">
      <w:start w:val="1"/>
      <w:numFmt w:val="bullet"/>
      <w:lvlText w:val="o"/>
      <w:lvlJc w:val="left"/>
      <w:pPr>
        <w:ind w:left="3240" w:hanging="360"/>
      </w:pPr>
      <w:rPr>
        <w:rFonts w:ascii="Courier New" w:hAnsi="Courier New" w:cs="Courier New" w:hint="default"/>
      </w:rPr>
    </w:lvl>
    <w:lvl w:ilvl="5" w:tplc="5672AA44" w:tentative="1">
      <w:start w:val="1"/>
      <w:numFmt w:val="bullet"/>
      <w:lvlText w:val=""/>
      <w:lvlJc w:val="left"/>
      <w:pPr>
        <w:ind w:left="3960" w:hanging="360"/>
      </w:pPr>
      <w:rPr>
        <w:rFonts w:ascii="Wingdings" w:hAnsi="Wingdings" w:hint="default"/>
      </w:rPr>
    </w:lvl>
    <w:lvl w:ilvl="6" w:tplc="68702B36" w:tentative="1">
      <w:start w:val="1"/>
      <w:numFmt w:val="bullet"/>
      <w:lvlText w:val=""/>
      <w:lvlJc w:val="left"/>
      <w:pPr>
        <w:ind w:left="4680" w:hanging="360"/>
      </w:pPr>
      <w:rPr>
        <w:rFonts w:ascii="Symbol" w:hAnsi="Symbol" w:hint="default"/>
      </w:rPr>
    </w:lvl>
    <w:lvl w:ilvl="7" w:tplc="FFA878AA" w:tentative="1">
      <w:start w:val="1"/>
      <w:numFmt w:val="bullet"/>
      <w:lvlText w:val="o"/>
      <w:lvlJc w:val="left"/>
      <w:pPr>
        <w:ind w:left="5400" w:hanging="360"/>
      </w:pPr>
      <w:rPr>
        <w:rFonts w:ascii="Courier New" w:hAnsi="Courier New" w:cs="Courier New" w:hint="default"/>
      </w:rPr>
    </w:lvl>
    <w:lvl w:ilvl="8" w:tplc="9C26C3E6" w:tentative="1">
      <w:start w:val="1"/>
      <w:numFmt w:val="bullet"/>
      <w:lvlText w:val=""/>
      <w:lvlJc w:val="left"/>
      <w:pPr>
        <w:ind w:left="6120" w:hanging="360"/>
      </w:pPr>
      <w:rPr>
        <w:rFonts w:ascii="Wingdings" w:hAnsi="Wingdings" w:hint="default"/>
      </w:rPr>
    </w:lvl>
  </w:abstractNum>
  <w:abstractNum w:abstractNumId="65">
    <w:nsid w:val="5B050C84"/>
    <w:multiLevelType w:val="hybridMultilevel"/>
    <w:tmpl w:val="10BEB5D4"/>
    <w:lvl w:ilvl="0" w:tplc="6478C318">
      <w:start w:val="1"/>
      <w:numFmt w:val="decimal"/>
      <w:lvlText w:val="9.%1."/>
      <w:lvlJc w:val="left"/>
      <w:pPr>
        <w:ind w:left="720" w:hanging="360"/>
      </w:pPr>
      <w:rPr>
        <w:rFonts w:hint="default"/>
      </w:rPr>
    </w:lvl>
    <w:lvl w:ilvl="1" w:tplc="EDAA1774" w:tentative="1">
      <w:start w:val="1"/>
      <w:numFmt w:val="lowerLetter"/>
      <w:lvlText w:val="%2."/>
      <w:lvlJc w:val="left"/>
      <w:pPr>
        <w:ind w:left="1440" w:hanging="360"/>
      </w:pPr>
    </w:lvl>
    <w:lvl w:ilvl="2" w:tplc="0D782E96" w:tentative="1">
      <w:start w:val="1"/>
      <w:numFmt w:val="lowerRoman"/>
      <w:lvlText w:val="%3."/>
      <w:lvlJc w:val="right"/>
      <w:pPr>
        <w:ind w:left="2160" w:hanging="180"/>
      </w:pPr>
    </w:lvl>
    <w:lvl w:ilvl="3" w:tplc="86C24C1C" w:tentative="1">
      <w:start w:val="1"/>
      <w:numFmt w:val="decimal"/>
      <w:lvlText w:val="%4."/>
      <w:lvlJc w:val="left"/>
      <w:pPr>
        <w:ind w:left="2880" w:hanging="360"/>
      </w:pPr>
    </w:lvl>
    <w:lvl w:ilvl="4" w:tplc="52388DB0" w:tentative="1">
      <w:start w:val="1"/>
      <w:numFmt w:val="lowerLetter"/>
      <w:lvlText w:val="%5."/>
      <w:lvlJc w:val="left"/>
      <w:pPr>
        <w:ind w:left="3600" w:hanging="360"/>
      </w:pPr>
    </w:lvl>
    <w:lvl w:ilvl="5" w:tplc="3CBAF42A" w:tentative="1">
      <w:start w:val="1"/>
      <w:numFmt w:val="lowerRoman"/>
      <w:lvlText w:val="%6."/>
      <w:lvlJc w:val="right"/>
      <w:pPr>
        <w:ind w:left="4320" w:hanging="180"/>
      </w:pPr>
    </w:lvl>
    <w:lvl w:ilvl="6" w:tplc="6FF8F696" w:tentative="1">
      <w:start w:val="1"/>
      <w:numFmt w:val="decimal"/>
      <w:lvlText w:val="%7."/>
      <w:lvlJc w:val="left"/>
      <w:pPr>
        <w:ind w:left="5040" w:hanging="360"/>
      </w:pPr>
    </w:lvl>
    <w:lvl w:ilvl="7" w:tplc="75885A9A" w:tentative="1">
      <w:start w:val="1"/>
      <w:numFmt w:val="lowerLetter"/>
      <w:lvlText w:val="%8."/>
      <w:lvlJc w:val="left"/>
      <w:pPr>
        <w:ind w:left="5760" w:hanging="360"/>
      </w:pPr>
    </w:lvl>
    <w:lvl w:ilvl="8" w:tplc="4BA08E16" w:tentative="1">
      <w:start w:val="1"/>
      <w:numFmt w:val="lowerRoman"/>
      <w:lvlText w:val="%9."/>
      <w:lvlJc w:val="right"/>
      <w:pPr>
        <w:ind w:left="6480" w:hanging="180"/>
      </w:pPr>
    </w:lvl>
  </w:abstractNum>
  <w:abstractNum w:abstractNumId="66">
    <w:nsid w:val="5CC829CD"/>
    <w:multiLevelType w:val="hybridMultilevel"/>
    <w:tmpl w:val="C304E554"/>
    <w:lvl w:ilvl="0" w:tplc="7194B188">
      <w:start w:val="1"/>
      <w:numFmt w:val="bullet"/>
      <w:lvlText w:val=""/>
      <w:lvlJc w:val="left"/>
      <w:pPr>
        <w:ind w:left="720" w:hanging="360"/>
      </w:pPr>
      <w:rPr>
        <w:rFonts w:ascii="Symbol" w:hAnsi="Symbol" w:hint="default"/>
      </w:rPr>
    </w:lvl>
    <w:lvl w:ilvl="1" w:tplc="279864F6" w:tentative="1">
      <w:start w:val="1"/>
      <w:numFmt w:val="bullet"/>
      <w:lvlText w:val="o"/>
      <w:lvlJc w:val="left"/>
      <w:pPr>
        <w:ind w:left="1440" w:hanging="360"/>
      </w:pPr>
      <w:rPr>
        <w:rFonts w:ascii="Courier New" w:hAnsi="Courier New" w:cs="Courier New" w:hint="default"/>
      </w:rPr>
    </w:lvl>
    <w:lvl w:ilvl="2" w:tplc="8DF8EB5C" w:tentative="1">
      <w:start w:val="1"/>
      <w:numFmt w:val="bullet"/>
      <w:lvlText w:val=""/>
      <w:lvlJc w:val="left"/>
      <w:pPr>
        <w:ind w:left="2160" w:hanging="360"/>
      </w:pPr>
      <w:rPr>
        <w:rFonts w:ascii="Wingdings" w:hAnsi="Wingdings" w:hint="default"/>
      </w:rPr>
    </w:lvl>
    <w:lvl w:ilvl="3" w:tplc="B964DC7C" w:tentative="1">
      <w:start w:val="1"/>
      <w:numFmt w:val="bullet"/>
      <w:lvlText w:val=""/>
      <w:lvlJc w:val="left"/>
      <w:pPr>
        <w:ind w:left="2880" w:hanging="360"/>
      </w:pPr>
      <w:rPr>
        <w:rFonts w:ascii="Symbol" w:hAnsi="Symbol" w:hint="default"/>
      </w:rPr>
    </w:lvl>
    <w:lvl w:ilvl="4" w:tplc="417814C4" w:tentative="1">
      <w:start w:val="1"/>
      <w:numFmt w:val="bullet"/>
      <w:lvlText w:val="o"/>
      <w:lvlJc w:val="left"/>
      <w:pPr>
        <w:ind w:left="3600" w:hanging="360"/>
      </w:pPr>
      <w:rPr>
        <w:rFonts w:ascii="Courier New" w:hAnsi="Courier New" w:cs="Courier New" w:hint="default"/>
      </w:rPr>
    </w:lvl>
    <w:lvl w:ilvl="5" w:tplc="1F80FA94" w:tentative="1">
      <w:start w:val="1"/>
      <w:numFmt w:val="bullet"/>
      <w:lvlText w:val=""/>
      <w:lvlJc w:val="left"/>
      <w:pPr>
        <w:ind w:left="4320" w:hanging="360"/>
      </w:pPr>
      <w:rPr>
        <w:rFonts w:ascii="Wingdings" w:hAnsi="Wingdings" w:hint="default"/>
      </w:rPr>
    </w:lvl>
    <w:lvl w:ilvl="6" w:tplc="C0340A3A" w:tentative="1">
      <w:start w:val="1"/>
      <w:numFmt w:val="bullet"/>
      <w:lvlText w:val=""/>
      <w:lvlJc w:val="left"/>
      <w:pPr>
        <w:ind w:left="5040" w:hanging="360"/>
      </w:pPr>
      <w:rPr>
        <w:rFonts w:ascii="Symbol" w:hAnsi="Symbol" w:hint="default"/>
      </w:rPr>
    </w:lvl>
    <w:lvl w:ilvl="7" w:tplc="BA5E2CF6" w:tentative="1">
      <w:start w:val="1"/>
      <w:numFmt w:val="bullet"/>
      <w:lvlText w:val="o"/>
      <w:lvlJc w:val="left"/>
      <w:pPr>
        <w:ind w:left="5760" w:hanging="360"/>
      </w:pPr>
      <w:rPr>
        <w:rFonts w:ascii="Courier New" w:hAnsi="Courier New" w:cs="Courier New" w:hint="default"/>
      </w:rPr>
    </w:lvl>
    <w:lvl w:ilvl="8" w:tplc="529203B4" w:tentative="1">
      <w:start w:val="1"/>
      <w:numFmt w:val="bullet"/>
      <w:lvlText w:val=""/>
      <w:lvlJc w:val="left"/>
      <w:pPr>
        <w:ind w:left="6480" w:hanging="360"/>
      </w:pPr>
      <w:rPr>
        <w:rFonts w:ascii="Wingdings" w:hAnsi="Wingdings" w:hint="default"/>
      </w:rPr>
    </w:lvl>
  </w:abstractNum>
  <w:abstractNum w:abstractNumId="67">
    <w:nsid w:val="5CE92CAD"/>
    <w:multiLevelType w:val="hybridMultilevel"/>
    <w:tmpl w:val="EFE0F9D0"/>
    <w:lvl w:ilvl="0" w:tplc="7D828496">
      <w:start w:val="78"/>
      <w:numFmt w:val="bullet"/>
      <w:lvlText w:val="-"/>
      <w:lvlJc w:val="left"/>
      <w:pPr>
        <w:ind w:left="360" w:hanging="360"/>
      </w:pPr>
      <w:rPr>
        <w:rFonts w:ascii="Arial" w:eastAsia="Times New Roman" w:hAnsi="Arial" w:cs="Arial" w:hint="default"/>
      </w:rPr>
    </w:lvl>
    <w:lvl w:ilvl="1" w:tplc="D7E29498" w:tentative="1">
      <w:start w:val="1"/>
      <w:numFmt w:val="bullet"/>
      <w:lvlText w:val="o"/>
      <w:lvlJc w:val="left"/>
      <w:pPr>
        <w:ind w:left="1080" w:hanging="360"/>
      </w:pPr>
      <w:rPr>
        <w:rFonts w:ascii="Courier New" w:hAnsi="Courier New" w:cs="Courier New" w:hint="default"/>
      </w:rPr>
    </w:lvl>
    <w:lvl w:ilvl="2" w:tplc="2E76ECB2" w:tentative="1">
      <w:start w:val="1"/>
      <w:numFmt w:val="bullet"/>
      <w:lvlText w:val=""/>
      <w:lvlJc w:val="left"/>
      <w:pPr>
        <w:ind w:left="1800" w:hanging="360"/>
      </w:pPr>
      <w:rPr>
        <w:rFonts w:ascii="Wingdings" w:hAnsi="Wingdings" w:hint="default"/>
      </w:rPr>
    </w:lvl>
    <w:lvl w:ilvl="3" w:tplc="1B062914" w:tentative="1">
      <w:start w:val="1"/>
      <w:numFmt w:val="bullet"/>
      <w:lvlText w:val=""/>
      <w:lvlJc w:val="left"/>
      <w:pPr>
        <w:ind w:left="2520" w:hanging="360"/>
      </w:pPr>
      <w:rPr>
        <w:rFonts w:ascii="Symbol" w:hAnsi="Symbol" w:hint="default"/>
      </w:rPr>
    </w:lvl>
    <w:lvl w:ilvl="4" w:tplc="686C5276" w:tentative="1">
      <w:start w:val="1"/>
      <w:numFmt w:val="bullet"/>
      <w:lvlText w:val="o"/>
      <w:lvlJc w:val="left"/>
      <w:pPr>
        <w:ind w:left="3240" w:hanging="360"/>
      </w:pPr>
      <w:rPr>
        <w:rFonts w:ascii="Courier New" w:hAnsi="Courier New" w:cs="Courier New" w:hint="default"/>
      </w:rPr>
    </w:lvl>
    <w:lvl w:ilvl="5" w:tplc="0D98E0DA" w:tentative="1">
      <w:start w:val="1"/>
      <w:numFmt w:val="bullet"/>
      <w:lvlText w:val=""/>
      <w:lvlJc w:val="left"/>
      <w:pPr>
        <w:ind w:left="3960" w:hanging="360"/>
      </w:pPr>
      <w:rPr>
        <w:rFonts w:ascii="Wingdings" w:hAnsi="Wingdings" w:hint="default"/>
      </w:rPr>
    </w:lvl>
    <w:lvl w:ilvl="6" w:tplc="8FFC4E66" w:tentative="1">
      <w:start w:val="1"/>
      <w:numFmt w:val="bullet"/>
      <w:lvlText w:val=""/>
      <w:lvlJc w:val="left"/>
      <w:pPr>
        <w:ind w:left="4680" w:hanging="360"/>
      </w:pPr>
      <w:rPr>
        <w:rFonts w:ascii="Symbol" w:hAnsi="Symbol" w:hint="default"/>
      </w:rPr>
    </w:lvl>
    <w:lvl w:ilvl="7" w:tplc="006ED756" w:tentative="1">
      <w:start w:val="1"/>
      <w:numFmt w:val="bullet"/>
      <w:lvlText w:val="o"/>
      <w:lvlJc w:val="left"/>
      <w:pPr>
        <w:ind w:left="5400" w:hanging="360"/>
      </w:pPr>
      <w:rPr>
        <w:rFonts w:ascii="Courier New" w:hAnsi="Courier New" w:cs="Courier New" w:hint="default"/>
      </w:rPr>
    </w:lvl>
    <w:lvl w:ilvl="8" w:tplc="AFF2753E" w:tentative="1">
      <w:start w:val="1"/>
      <w:numFmt w:val="bullet"/>
      <w:lvlText w:val=""/>
      <w:lvlJc w:val="left"/>
      <w:pPr>
        <w:ind w:left="6120" w:hanging="360"/>
      </w:pPr>
      <w:rPr>
        <w:rFonts w:ascii="Wingdings" w:hAnsi="Wingdings" w:hint="default"/>
      </w:rPr>
    </w:lvl>
  </w:abstractNum>
  <w:abstractNum w:abstractNumId="68">
    <w:nsid w:val="5DE86687"/>
    <w:multiLevelType w:val="hybridMultilevel"/>
    <w:tmpl w:val="140A3BA4"/>
    <w:lvl w:ilvl="0" w:tplc="E82C9FB0">
      <w:start w:val="1"/>
      <w:numFmt w:val="bullet"/>
      <w:lvlText w:val=""/>
      <w:lvlJc w:val="left"/>
      <w:pPr>
        <w:ind w:left="927" w:hanging="360"/>
      </w:pPr>
      <w:rPr>
        <w:rFonts w:ascii="Symbol" w:hAnsi="Symbol" w:hint="default"/>
      </w:rPr>
    </w:lvl>
    <w:lvl w:ilvl="1" w:tplc="D27ECF3A" w:tentative="1">
      <w:start w:val="1"/>
      <w:numFmt w:val="bullet"/>
      <w:lvlText w:val="o"/>
      <w:lvlJc w:val="left"/>
      <w:pPr>
        <w:ind w:left="1647" w:hanging="360"/>
      </w:pPr>
      <w:rPr>
        <w:rFonts w:ascii="Courier New" w:hAnsi="Courier New" w:cs="Courier New" w:hint="default"/>
      </w:rPr>
    </w:lvl>
    <w:lvl w:ilvl="2" w:tplc="59D253E8" w:tentative="1">
      <w:start w:val="1"/>
      <w:numFmt w:val="bullet"/>
      <w:lvlText w:val=""/>
      <w:lvlJc w:val="left"/>
      <w:pPr>
        <w:ind w:left="2367" w:hanging="360"/>
      </w:pPr>
      <w:rPr>
        <w:rFonts w:ascii="Wingdings" w:hAnsi="Wingdings" w:hint="default"/>
      </w:rPr>
    </w:lvl>
    <w:lvl w:ilvl="3" w:tplc="63F2DB16" w:tentative="1">
      <w:start w:val="1"/>
      <w:numFmt w:val="bullet"/>
      <w:lvlText w:val=""/>
      <w:lvlJc w:val="left"/>
      <w:pPr>
        <w:ind w:left="3087" w:hanging="360"/>
      </w:pPr>
      <w:rPr>
        <w:rFonts w:ascii="Symbol" w:hAnsi="Symbol" w:hint="default"/>
      </w:rPr>
    </w:lvl>
    <w:lvl w:ilvl="4" w:tplc="70BAFF0E" w:tentative="1">
      <w:start w:val="1"/>
      <w:numFmt w:val="bullet"/>
      <w:lvlText w:val="o"/>
      <w:lvlJc w:val="left"/>
      <w:pPr>
        <w:ind w:left="3807" w:hanging="360"/>
      </w:pPr>
      <w:rPr>
        <w:rFonts w:ascii="Courier New" w:hAnsi="Courier New" w:cs="Courier New" w:hint="default"/>
      </w:rPr>
    </w:lvl>
    <w:lvl w:ilvl="5" w:tplc="71CE72FA" w:tentative="1">
      <w:start w:val="1"/>
      <w:numFmt w:val="bullet"/>
      <w:lvlText w:val=""/>
      <w:lvlJc w:val="left"/>
      <w:pPr>
        <w:ind w:left="4527" w:hanging="360"/>
      </w:pPr>
      <w:rPr>
        <w:rFonts w:ascii="Wingdings" w:hAnsi="Wingdings" w:hint="default"/>
      </w:rPr>
    </w:lvl>
    <w:lvl w:ilvl="6" w:tplc="660AF080" w:tentative="1">
      <w:start w:val="1"/>
      <w:numFmt w:val="bullet"/>
      <w:lvlText w:val=""/>
      <w:lvlJc w:val="left"/>
      <w:pPr>
        <w:ind w:left="5247" w:hanging="360"/>
      </w:pPr>
      <w:rPr>
        <w:rFonts w:ascii="Symbol" w:hAnsi="Symbol" w:hint="default"/>
      </w:rPr>
    </w:lvl>
    <w:lvl w:ilvl="7" w:tplc="0D861252" w:tentative="1">
      <w:start w:val="1"/>
      <w:numFmt w:val="bullet"/>
      <w:lvlText w:val="o"/>
      <w:lvlJc w:val="left"/>
      <w:pPr>
        <w:ind w:left="5967" w:hanging="360"/>
      </w:pPr>
      <w:rPr>
        <w:rFonts w:ascii="Courier New" w:hAnsi="Courier New" w:cs="Courier New" w:hint="default"/>
      </w:rPr>
    </w:lvl>
    <w:lvl w:ilvl="8" w:tplc="19A4EC94" w:tentative="1">
      <w:start w:val="1"/>
      <w:numFmt w:val="bullet"/>
      <w:lvlText w:val=""/>
      <w:lvlJc w:val="left"/>
      <w:pPr>
        <w:ind w:left="6687" w:hanging="360"/>
      </w:pPr>
      <w:rPr>
        <w:rFonts w:ascii="Wingdings" w:hAnsi="Wingdings" w:hint="default"/>
      </w:rPr>
    </w:lvl>
  </w:abstractNum>
  <w:abstractNum w:abstractNumId="69">
    <w:nsid w:val="5E745982"/>
    <w:multiLevelType w:val="hybridMultilevel"/>
    <w:tmpl w:val="687A7EF8"/>
    <w:lvl w:ilvl="0" w:tplc="BB8A0EBA">
      <w:start w:val="1"/>
      <w:numFmt w:val="decimal"/>
      <w:lvlText w:val="%1."/>
      <w:lvlJc w:val="left"/>
      <w:pPr>
        <w:ind w:left="927" w:hanging="360"/>
      </w:pPr>
      <w:rPr>
        <w:rFonts w:hint="default"/>
      </w:rPr>
    </w:lvl>
    <w:lvl w:ilvl="1" w:tplc="776A89AA" w:tentative="1">
      <w:start w:val="1"/>
      <w:numFmt w:val="lowerLetter"/>
      <w:lvlText w:val="%2."/>
      <w:lvlJc w:val="left"/>
      <w:pPr>
        <w:ind w:left="1647" w:hanging="360"/>
      </w:pPr>
    </w:lvl>
    <w:lvl w:ilvl="2" w:tplc="AE2EA9EE" w:tentative="1">
      <w:start w:val="1"/>
      <w:numFmt w:val="lowerRoman"/>
      <w:lvlText w:val="%3."/>
      <w:lvlJc w:val="right"/>
      <w:pPr>
        <w:ind w:left="2367" w:hanging="180"/>
      </w:pPr>
    </w:lvl>
    <w:lvl w:ilvl="3" w:tplc="C0B8E238" w:tentative="1">
      <w:start w:val="1"/>
      <w:numFmt w:val="decimal"/>
      <w:lvlText w:val="%4."/>
      <w:lvlJc w:val="left"/>
      <w:pPr>
        <w:ind w:left="3087" w:hanging="360"/>
      </w:pPr>
    </w:lvl>
    <w:lvl w:ilvl="4" w:tplc="1F08E6D0" w:tentative="1">
      <w:start w:val="1"/>
      <w:numFmt w:val="lowerLetter"/>
      <w:lvlText w:val="%5."/>
      <w:lvlJc w:val="left"/>
      <w:pPr>
        <w:ind w:left="3807" w:hanging="360"/>
      </w:pPr>
    </w:lvl>
    <w:lvl w:ilvl="5" w:tplc="6F1E6270" w:tentative="1">
      <w:start w:val="1"/>
      <w:numFmt w:val="lowerRoman"/>
      <w:lvlText w:val="%6."/>
      <w:lvlJc w:val="right"/>
      <w:pPr>
        <w:ind w:left="4527" w:hanging="180"/>
      </w:pPr>
    </w:lvl>
    <w:lvl w:ilvl="6" w:tplc="FDC40238" w:tentative="1">
      <w:start w:val="1"/>
      <w:numFmt w:val="decimal"/>
      <w:lvlText w:val="%7."/>
      <w:lvlJc w:val="left"/>
      <w:pPr>
        <w:ind w:left="5247" w:hanging="360"/>
      </w:pPr>
    </w:lvl>
    <w:lvl w:ilvl="7" w:tplc="69FEB40E" w:tentative="1">
      <w:start w:val="1"/>
      <w:numFmt w:val="lowerLetter"/>
      <w:lvlText w:val="%8."/>
      <w:lvlJc w:val="left"/>
      <w:pPr>
        <w:ind w:left="5967" w:hanging="360"/>
      </w:pPr>
    </w:lvl>
    <w:lvl w:ilvl="8" w:tplc="211A488E" w:tentative="1">
      <w:start w:val="1"/>
      <w:numFmt w:val="lowerRoman"/>
      <w:lvlText w:val="%9."/>
      <w:lvlJc w:val="right"/>
      <w:pPr>
        <w:ind w:left="6687" w:hanging="180"/>
      </w:pPr>
    </w:lvl>
  </w:abstractNum>
  <w:abstractNum w:abstractNumId="70">
    <w:nsid w:val="5EDA250F"/>
    <w:multiLevelType w:val="hybridMultilevel"/>
    <w:tmpl w:val="F50A36E0"/>
    <w:lvl w:ilvl="0" w:tplc="5A106B84">
      <w:start w:val="1"/>
      <w:numFmt w:val="bullet"/>
      <w:lvlText w:val=""/>
      <w:lvlJc w:val="left"/>
      <w:pPr>
        <w:ind w:left="720" w:hanging="360"/>
      </w:pPr>
      <w:rPr>
        <w:rFonts w:ascii="Symbol" w:hAnsi="Symbol" w:hint="default"/>
      </w:rPr>
    </w:lvl>
    <w:lvl w:ilvl="1" w:tplc="15A49462" w:tentative="1">
      <w:start w:val="1"/>
      <w:numFmt w:val="bullet"/>
      <w:lvlText w:val="o"/>
      <w:lvlJc w:val="left"/>
      <w:pPr>
        <w:ind w:left="1440" w:hanging="360"/>
      </w:pPr>
      <w:rPr>
        <w:rFonts w:ascii="Courier New" w:hAnsi="Courier New" w:cs="Courier New" w:hint="default"/>
      </w:rPr>
    </w:lvl>
    <w:lvl w:ilvl="2" w:tplc="EFF06D36" w:tentative="1">
      <w:start w:val="1"/>
      <w:numFmt w:val="bullet"/>
      <w:lvlText w:val=""/>
      <w:lvlJc w:val="left"/>
      <w:pPr>
        <w:ind w:left="2160" w:hanging="360"/>
      </w:pPr>
      <w:rPr>
        <w:rFonts w:ascii="Wingdings" w:hAnsi="Wingdings" w:hint="default"/>
      </w:rPr>
    </w:lvl>
    <w:lvl w:ilvl="3" w:tplc="2722B9B0" w:tentative="1">
      <w:start w:val="1"/>
      <w:numFmt w:val="bullet"/>
      <w:lvlText w:val=""/>
      <w:lvlJc w:val="left"/>
      <w:pPr>
        <w:ind w:left="2880" w:hanging="360"/>
      </w:pPr>
      <w:rPr>
        <w:rFonts w:ascii="Symbol" w:hAnsi="Symbol" w:hint="default"/>
      </w:rPr>
    </w:lvl>
    <w:lvl w:ilvl="4" w:tplc="3190D4A0" w:tentative="1">
      <w:start w:val="1"/>
      <w:numFmt w:val="bullet"/>
      <w:lvlText w:val="o"/>
      <w:lvlJc w:val="left"/>
      <w:pPr>
        <w:ind w:left="3600" w:hanging="360"/>
      </w:pPr>
      <w:rPr>
        <w:rFonts w:ascii="Courier New" w:hAnsi="Courier New" w:cs="Courier New" w:hint="default"/>
      </w:rPr>
    </w:lvl>
    <w:lvl w:ilvl="5" w:tplc="BA6C3462" w:tentative="1">
      <w:start w:val="1"/>
      <w:numFmt w:val="bullet"/>
      <w:lvlText w:val=""/>
      <w:lvlJc w:val="left"/>
      <w:pPr>
        <w:ind w:left="4320" w:hanging="360"/>
      </w:pPr>
      <w:rPr>
        <w:rFonts w:ascii="Wingdings" w:hAnsi="Wingdings" w:hint="default"/>
      </w:rPr>
    </w:lvl>
    <w:lvl w:ilvl="6" w:tplc="E218499C" w:tentative="1">
      <w:start w:val="1"/>
      <w:numFmt w:val="bullet"/>
      <w:lvlText w:val=""/>
      <w:lvlJc w:val="left"/>
      <w:pPr>
        <w:ind w:left="5040" w:hanging="360"/>
      </w:pPr>
      <w:rPr>
        <w:rFonts w:ascii="Symbol" w:hAnsi="Symbol" w:hint="default"/>
      </w:rPr>
    </w:lvl>
    <w:lvl w:ilvl="7" w:tplc="7250F812" w:tentative="1">
      <w:start w:val="1"/>
      <w:numFmt w:val="bullet"/>
      <w:lvlText w:val="o"/>
      <w:lvlJc w:val="left"/>
      <w:pPr>
        <w:ind w:left="5760" w:hanging="360"/>
      </w:pPr>
      <w:rPr>
        <w:rFonts w:ascii="Courier New" w:hAnsi="Courier New" w:cs="Courier New" w:hint="default"/>
      </w:rPr>
    </w:lvl>
    <w:lvl w:ilvl="8" w:tplc="846A3A06" w:tentative="1">
      <w:start w:val="1"/>
      <w:numFmt w:val="bullet"/>
      <w:lvlText w:val=""/>
      <w:lvlJc w:val="left"/>
      <w:pPr>
        <w:ind w:left="6480" w:hanging="360"/>
      </w:pPr>
      <w:rPr>
        <w:rFonts w:ascii="Wingdings" w:hAnsi="Wingdings" w:hint="default"/>
      </w:rPr>
    </w:lvl>
  </w:abstractNum>
  <w:abstractNum w:abstractNumId="71">
    <w:nsid w:val="5EF77C59"/>
    <w:multiLevelType w:val="hybridMultilevel"/>
    <w:tmpl w:val="3E525CA0"/>
    <w:lvl w:ilvl="0" w:tplc="B11875DC">
      <w:start w:val="1"/>
      <w:numFmt w:val="lowerRoman"/>
      <w:lvlText w:val="%1)"/>
      <w:lvlJc w:val="left"/>
      <w:pPr>
        <w:ind w:left="360" w:hanging="360"/>
      </w:pPr>
      <w:rPr>
        <w:rFonts w:ascii="Arial" w:eastAsia="Calibri" w:hAnsi="Arial" w:cs="Arial"/>
      </w:rPr>
    </w:lvl>
    <w:lvl w:ilvl="1" w:tplc="183E7DA8" w:tentative="1">
      <w:start w:val="1"/>
      <w:numFmt w:val="bullet"/>
      <w:lvlText w:val="o"/>
      <w:lvlJc w:val="left"/>
      <w:pPr>
        <w:ind w:left="1080" w:hanging="360"/>
      </w:pPr>
      <w:rPr>
        <w:rFonts w:ascii="Courier New" w:hAnsi="Courier New" w:cs="Courier New" w:hint="default"/>
      </w:rPr>
    </w:lvl>
    <w:lvl w:ilvl="2" w:tplc="04220BFC" w:tentative="1">
      <w:start w:val="1"/>
      <w:numFmt w:val="bullet"/>
      <w:lvlText w:val=""/>
      <w:lvlJc w:val="left"/>
      <w:pPr>
        <w:ind w:left="1800" w:hanging="360"/>
      </w:pPr>
      <w:rPr>
        <w:rFonts w:ascii="Wingdings" w:hAnsi="Wingdings" w:hint="default"/>
      </w:rPr>
    </w:lvl>
    <w:lvl w:ilvl="3" w:tplc="041AB8C2" w:tentative="1">
      <w:start w:val="1"/>
      <w:numFmt w:val="bullet"/>
      <w:lvlText w:val=""/>
      <w:lvlJc w:val="left"/>
      <w:pPr>
        <w:ind w:left="2520" w:hanging="360"/>
      </w:pPr>
      <w:rPr>
        <w:rFonts w:ascii="Symbol" w:hAnsi="Symbol" w:hint="default"/>
      </w:rPr>
    </w:lvl>
    <w:lvl w:ilvl="4" w:tplc="877C1E20" w:tentative="1">
      <w:start w:val="1"/>
      <w:numFmt w:val="bullet"/>
      <w:lvlText w:val="o"/>
      <w:lvlJc w:val="left"/>
      <w:pPr>
        <w:ind w:left="3240" w:hanging="360"/>
      </w:pPr>
      <w:rPr>
        <w:rFonts w:ascii="Courier New" w:hAnsi="Courier New" w:cs="Courier New" w:hint="default"/>
      </w:rPr>
    </w:lvl>
    <w:lvl w:ilvl="5" w:tplc="15DE23CE" w:tentative="1">
      <w:start w:val="1"/>
      <w:numFmt w:val="bullet"/>
      <w:lvlText w:val=""/>
      <w:lvlJc w:val="left"/>
      <w:pPr>
        <w:ind w:left="3960" w:hanging="360"/>
      </w:pPr>
      <w:rPr>
        <w:rFonts w:ascii="Wingdings" w:hAnsi="Wingdings" w:hint="default"/>
      </w:rPr>
    </w:lvl>
    <w:lvl w:ilvl="6" w:tplc="1512A3D6" w:tentative="1">
      <w:start w:val="1"/>
      <w:numFmt w:val="bullet"/>
      <w:lvlText w:val=""/>
      <w:lvlJc w:val="left"/>
      <w:pPr>
        <w:ind w:left="4680" w:hanging="360"/>
      </w:pPr>
      <w:rPr>
        <w:rFonts w:ascii="Symbol" w:hAnsi="Symbol" w:hint="default"/>
      </w:rPr>
    </w:lvl>
    <w:lvl w:ilvl="7" w:tplc="CA20C612" w:tentative="1">
      <w:start w:val="1"/>
      <w:numFmt w:val="bullet"/>
      <w:lvlText w:val="o"/>
      <w:lvlJc w:val="left"/>
      <w:pPr>
        <w:ind w:left="5400" w:hanging="360"/>
      </w:pPr>
      <w:rPr>
        <w:rFonts w:ascii="Courier New" w:hAnsi="Courier New" w:cs="Courier New" w:hint="default"/>
      </w:rPr>
    </w:lvl>
    <w:lvl w:ilvl="8" w:tplc="469E8294" w:tentative="1">
      <w:start w:val="1"/>
      <w:numFmt w:val="bullet"/>
      <w:lvlText w:val=""/>
      <w:lvlJc w:val="left"/>
      <w:pPr>
        <w:ind w:left="6120" w:hanging="360"/>
      </w:pPr>
      <w:rPr>
        <w:rFonts w:ascii="Wingdings" w:hAnsi="Wingdings" w:hint="default"/>
      </w:rPr>
    </w:lvl>
  </w:abstractNum>
  <w:abstractNum w:abstractNumId="72">
    <w:nsid w:val="5EF94C86"/>
    <w:multiLevelType w:val="hybridMultilevel"/>
    <w:tmpl w:val="812AA620"/>
    <w:lvl w:ilvl="0" w:tplc="BD38969E">
      <w:start w:val="1"/>
      <w:numFmt w:val="upperLetter"/>
      <w:lvlText w:val="%1."/>
      <w:lvlJc w:val="left"/>
      <w:pPr>
        <w:ind w:left="360" w:hanging="360"/>
      </w:pPr>
      <w:rPr>
        <w:rFonts w:hint="default"/>
      </w:rPr>
    </w:lvl>
    <w:lvl w:ilvl="1" w:tplc="ADD8B196" w:tentative="1">
      <w:start w:val="1"/>
      <w:numFmt w:val="lowerLetter"/>
      <w:lvlText w:val="%2."/>
      <w:lvlJc w:val="left"/>
      <w:pPr>
        <w:ind w:left="1080" w:hanging="360"/>
      </w:pPr>
    </w:lvl>
    <w:lvl w:ilvl="2" w:tplc="4CBAF060" w:tentative="1">
      <w:start w:val="1"/>
      <w:numFmt w:val="lowerRoman"/>
      <w:lvlText w:val="%3."/>
      <w:lvlJc w:val="right"/>
      <w:pPr>
        <w:ind w:left="1800" w:hanging="180"/>
      </w:pPr>
    </w:lvl>
    <w:lvl w:ilvl="3" w:tplc="4CFA99DA" w:tentative="1">
      <w:start w:val="1"/>
      <w:numFmt w:val="decimal"/>
      <w:lvlText w:val="%4."/>
      <w:lvlJc w:val="left"/>
      <w:pPr>
        <w:ind w:left="2520" w:hanging="360"/>
      </w:pPr>
    </w:lvl>
    <w:lvl w:ilvl="4" w:tplc="D6389B26" w:tentative="1">
      <w:start w:val="1"/>
      <w:numFmt w:val="lowerLetter"/>
      <w:lvlText w:val="%5."/>
      <w:lvlJc w:val="left"/>
      <w:pPr>
        <w:ind w:left="3240" w:hanging="360"/>
      </w:pPr>
    </w:lvl>
    <w:lvl w:ilvl="5" w:tplc="81121D9C" w:tentative="1">
      <w:start w:val="1"/>
      <w:numFmt w:val="lowerRoman"/>
      <w:lvlText w:val="%6."/>
      <w:lvlJc w:val="right"/>
      <w:pPr>
        <w:ind w:left="3960" w:hanging="180"/>
      </w:pPr>
    </w:lvl>
    <w:lvl w:ilvl="6" w:tplc="6D48E8CE" w:tentative="1">
      <w:start w:val="1"/>
      <w:numFmt w:val="decimal"/>
      <w:lvlText w:val="%7."/>
      <w:lvlJc w:val="left"/>
      <w:pPr>
        <w:ind w:left="4680" w:hanging="360"/>
      </w:pPr>
    </w:lvl>
    <w:lvl w:ilvl="7" w:tplc="BAD2904A" w:tentative="1">
      <w:start w:val="1"/>
      <w:numFmt w:val="lowerLetter"/>
      <w:lvlText w:val="%8."/>
      <w:lvlJc w:val="left"/>
      <w:pPr>
        <w:ind w:left="5400" w:hanging="360"/>
      </w:pPr>
    </w:lvl>
    <w:lvl w:ilvl="8" w:tplc="FF2C02D6" w:tentative="1">
      <w:start w:val="1"/>
      <w:numFmt w:val="lowerRoman"/>
      <w:lvlText w:val="%9."/>
      <w:lvlJc w:val="right"/>
      <w:pPr>
        <w:ind w:left="6120" w:hanging="180"/>
      </w:pPr>
    </w:lvl>
  </w:abstractNum>
  <w:abstractNum w:abstractNumId="73">
    <w:nsid w:val="5EFA5F3F"/>
    <w:multiLevelType w:val="hybridMultilevel"/>
    <w:tmpl w:val="9B906654"/>
    <w:lvl w:ilvl="0" w:tplc="E7C4F358">
      <w:start w:val="1"/>
      <w:numFmt w:val="bullet"/>
      <w:lvlText w:val=""/>
      <w:lvlJc w:val="left"/>
      <w:pPr>
        <w:tabs>
          <w:tab w:val="num" w:pos="720"/>
        </w:tabs>
        <w:ind w:left="720" w:hanging="360"/>
      </w:pPr>
      <w:rPr>
        <w:rFonts w:ascii="Symbol" w:hAnsi="Symbol" w:hint="default"/>
      </w:rPr>
    </w:lvl>
    <w:lvl w:ilvl="1" w:tplc="40042E54" w:tentative="1">
      <w:start w:val="1"/>
      <w:numFmt w:val="bullet"/>
      <w:lvlText w:val="o"/>
      <w:lvlJc w:val="left"/>
      <w:pPr>
        <w:tabs>
          <w:tab w:val="num" w:pos="1440"/>
        </w:tabs>
        <w:ind w:left="1440" w:hanging="360"/>
      </w:pPr>
      <w:rPr>
        <w:rFonts w:ascii="Courier New" w:hAnsi="Courier New" w:cs="Tahoma" w:hint="default"/>
      </w:rPr>
    </w:lvl>
    <w:lvl w:ilvl="2" w:tplc="DCC02C1A" w:tentative="1">
      <w:start w:val="1"/>
      <w:numFmt w:val="bullet"/>
      <w:lvlText w:val=""/>
      <w:lvlJc w:val="left"/>
      <w:pPr>
        <w:tabs>
          <w:tab w:val="num" w:pos="2160"/>
        </w:tabs>
        <w:ind w:left="2160" w:hanging="360"/>
      </w:pPr>
      <w:rPr>
        <w:rFonts w:ascii="Wingdings" w:hAnsi="Wingdings" w:hint="default"/>
      </w:rPr>
    </w:lvl>
    <w:lvl w:ilvl="3" w:tplc="5C2C624E" w:tentative="1">
      <w:start w:val="1"/>
      <w:numFmt w:val="bullet"/>
      <w:lvlText w:val=""/>
      <w:lvlJc w:val="left"/>
      <w:pPr>
        <w:tabs>
          <w:tab w:val="num" w:pos="2880"/>
        </w:tabs>
        <w:ind w:left="2880" w:hanging="360"/>
      </w:pPr>
      <w:rPr>
        <w:rFonts w:ascii="Symbol" w:hAnsi="Symbol" w:hint="default"/>
      </w:rPr>
    </w:lvl>
    <w:lvl w:ilvl="4" w:tplc="BEF8E552" w:tentative="1">
      <w:start w:val="1"/>
      <w:numFmt w:val="bullet"/>
      <w:lvlText w:val="o"/>
      <w:lvlJc w:val="left"/>
      <w:pPr>
        <w:tabs>
          <w:tab w:val="num" w:pos="3600"/>
        </w:tabs>
        <w:ind w:left="3600" w:hanging="360"/>
      </w:pPr>
      <w:rPr>
        <w:rFonts w:ascii="Courier New" w:hAnsi="Courier New" w:cs="Tahoma" w:hint="default"/>
      </w:rPr>
    </w:lvl>
    <w:lvl w:ilvl="5" w:tplc="419EAD7A" w:tentative="1">
      <w:start w:val="1"/>
      <w:numFmt w:val="bullet"/>
      <w:lvlText w:val=""/>
      <w:lvlJc w:val="left"/>
      <w:pPr>
        <w:tabs>
          <w:tab w:val="num" w:pos="4320"/>
        </w:tabs>
        <w:ind w:left="4320" w:hanging="360"/>
      </w:pPr>
      <w:rPr>
        <w:rFonts w:ascii="Wingdings" w:hAnsi="Wingdings" w:hint="default"/>
      </w:rPr>
    </w:lvl>
    <w:lvl w:ilvl="6" w:tplc="BA3C1922" w:tentative="1">
      <w:start w:val="1"/>
      <w:numFmt w:val="bullet"/>
      <w:lvlText w:val=""/>
      <w:lvlJc w:val="left"/>
      <w:pPr>
        <w:tabs>
          <w:tab w:val="num" w:pos="5040"/>
        </w:tabs>
        <w:ind w:left="5040" w:hanging="360"/>
      </w:pPr>
      <w:rPr>
        <w:rFonts w:ascii="Symbol" w:hAnsi="Symbol" w:hint="default"/>
      </w:rPr>
    </w:lvl>
    <w:lvl w:ilvl="7" w:tplc="74D8DC6E" w:tentative="1">
      <w:start w:val="1"/>
      <w:numFmt w:val="bullet"/>
      <w:lvlText w:val="o"/>
      <w:lvlJc w:val="left"/>
      <w:pPr>
        <w:tabs>
          <w:tab w:val="num" w:pos="5760"/>
        </w:tabs>
        <w:ind w:left="5760" w:hanging="360"/>
      </w:pPr>
      <w:rPr>
        <w:rFonts w:ascii="Courier New" w:hAnsi="Courier New" w:cs="Tahoma" w:hint="default"/>
      </w:rPr>
    </w:lvl>
    <w:lvl w:ilvl="8" w:tplc="06D21126" w:tentative="1">
      <w:start w:val="1"/>
      <w:numFmt w:val="bullet"/>
      <w:lvlText w:val=""/>
      <w:lvlJc w:val="left"/>
      <w:pPr>
        <w:tabs>
          <w:tab w:val="num" w:pos="6480"/>
        </w:tabs>
        <w:ind w:left="6480" w:hanging="360"/>
      </w:pPr>
      <w:rPr>
        <w:rFonts w:ascii="Wingdings" w:hAnsi="Wingdings" w:hint="default"/>
      </w:rPr>
    </w:lvl>
  </w:abstractNum>
  <w:abstractNum w:abstractNumId="74">
    <w:nsid w:val="60A56718"/>
    <w:multiLevelType w:val="hybridMultilevel"/>
    <w:tmpl w:val="86D896CA"/>
    <w:lvl w:ilvl="0" w:tplc="2F9E04F4">
      <w:start w:val="1"/>
      <w:numFmt w:val="bullet"/>
      <w:lvlText w:val=""/>
      <w:lvlJc w:val="left"/>
      <w:pPr>
        <w:ind w:left="360" w:hanging="360"/>
      </w:pPr>
      <w:rPr>
        <w:rFonts w:ascii="Symbol" w:hAnsi="Symbol" w:hint="default"/>
      </w:rPr>
    </w:lvl>
    <w:lvl w:ilvl="1" w:tplc="5C3E2788" w:tentative="1">
      <w:start w:val="1"/>
      <w:numFmt w:val="bullet"/>
      <w:lvlText w:val="o"/>
      <w:lvlJc w:val="left"/>
      <w:pPr>
        <w:ind w:left="1080" w:hanging="360"/>
      </w:pPr>
      <w:rPr>
        <w:rFonts w:ascii="Courier New" w:hAnsi="Courier New" w:cs="Courier New" w:hint="default"/>
      </w:rPr>
    </w:lvl>
    <w:lvl w:ilvl="2" w:tplc="03509620" w:tentative="1">
      <w:start w:val="1"/>
      <w:numFmt w:val="bullet"/>
      <w:lvlText w:val=""/>
      <w:lvlJc w:val="left"/>
      <w:pPr>
        <w:ind w:left="1800" w:hanging="360"/>
      </w:pPr>
      <w:rPr>
        <w:rFonts w:ascii="Wingdings" w:hAnsi="Wingdings" w:hint="default"/>
      </w:rPr>
    </w:lvl>
    <w:lvl w:ilvl="3" w:tplc="BB040F3A" w:tentative="1">
      <w:start w:val="1"/>
      <w:numFmt w:val="bullet"/>
      <w:lvlText w:val=""/>
      <w:lvlJc w:val="left"/>
      <w:pPr>
        <w:ind w:left="2520" w:hanging="360"/>
      </w:pPr>
      <w:rPr>
        <w:rFonts w:ascii="Symbol" w:hAnsi="Symbol" w:hint="default"/>
      </w:rPr>
    </w:lvl>
    <w:lvl w:ilvl="4" w:tplc="A7FC168C" w:tentative="1">
      <w:start w:val="1"/>
      <w:numFmt w:val="bullet"/>
      <w:lvlText w:val="o"/>
      <w:lvlJc w:val="left"/>
      <w:pPr>
        <w:ind w:left="3240" w:hanging="360"/>
      </w:pPr>
      <w:rPr>
        <w:rFonts w:ascii="Courier New" w:hAnsi="Courier New" w:cs="Courier New" w:hint="default"/>
      </w:rPr>
    </w:lvl>
    <w:lvl w:ilvl="5" w:tplc="7C9E1C02" w:tentative="1">
      <w:start w:val="1"/>
      <w:numFmt w:val="bullet"/>
      <w:lvlText w:val=""/>
      <w:lvlJc w:val="left"/>
      <w:pPr>
        <w:ind w:left="3960" w:hanging="360"/>
      </w:pPr>
      <w:rPr>
        <w:rFonts w:ascii="Wingdings" w:hAnsi="Wingdings" w:hint="default"/>
      </w:rPr>
    </w:lvl>
    <w:lvl w:ilvl="6" w:tplc="EF80CA54" w:tentative="1">
      <w:start w:val="1"/>
      <w:numFmt w:val="bullet"/>
      <w:lvlText w:val=""/>
      <w:lvlJc w:val="left"/>
      <w:pPr>
        <w:ind w:left="4680" w:hanging="360"/>
      </w:pPr>
      <w:rPr>
        <w:rFonts w:ascii="Symbol" w:hAnsi="Symbol" w:hint="default"/>
      </w:rPr>
    </w:lvl>
    <w:lvl w:ilvl="7" w:tplc="73805D20" w:tentative="1">
      <w:start w:val="1"/>
      <w:numFmt w:val="bullet"/>
      <w:lvlText w:val="o"/>
      <w:lvlJc w:val="left"/>
      <w:pPr>
        <w:ind w:left="5400" w:hanging="360"/>
      </w:pPr>
      <w:rPr>
        <w:rFonts w:ascii="Courier New" w:hAnsi="Courier New" w:cs="Courier New" w:hint="default"/>
      </w:rPr>
    </w:lvl>
    <w:lvl w:ilvl="8" w:tplc="E9422F98" w:tentative="1">
      <w:start w:val="1"/>
      <w:numFmt w:val="bullet"/>
      <w:lvlText w:val=""/>
      <w:lvlJc w:val="left"/>
      <w:pPr>
        <w:ind w:left="6120" w:hanging="360"/>
      </w:pPr>
      <w:rPr>
        <w:rFonts w:ascii="Wingdings" w:hAnsi="Wingdings" w:hint="default"/>
      </w:rPr>
    </w:lvl>
  </w:abstractNum>
  <w:abstractNum w:abstractNumId="75">
    <w:nsid w:val="60E62517"/>
    <w:multiLevelType w:val="hybridMultilevel"/>
    <w:tmpl w:val="13145D74"/>
    <w:lvl w:ilvl="0" w:tplc="E020AD66">
      <w:start w:val="1"/>
      <w:numFmt w:val="bullet"/>
      <w:lvlText w:val=""/>
      <w:lvlJc w:val="left"/>
      <w:pPr>
        <w:ind w:left="360" w:hanging="360"/>
      </w:pPr>
      <w:rPr>
        <w:rFonts w:ascii="Symbol" w:hAnsi="Symbol" w:hint="default"/>
      </w:rPr>
    </w:lvl>
    <w:lvl w:ilvl="1" w:tplc="D1568E38" w:tentative="1">
      <w:start w:val="1"/>
      <w:numFmt w:val="bullet"/>
      <w:lvlText w:val="o"/>
      <w:lvlJc w:val="left"/>
      <w:pPr>
        <w:ind w:left="1080" w:hanging="360"/>
      </w:pPr>
      <w:rPr>
        <w:rFonts w:ascii="Courier New" w:hAnsi="Courier New" w:cs="Courier New" w:hint="default"/>
      </w:rPr>
    </w:lvl>
    <w:lvl w:ilvl="2" w:tplc="61C401B4" w:tentative="1">
      <w:start w:val="1"/>
      <w:numFmt w:val="bullet"/>
      <w:lvlText w:val=""/>
      <w:lvlJc w:val="left"/>
      <w:pPr>
        <w:ind w:left="1800" w:hanging="360"/>
      </w:pPr>
      <w:rPr>
        <w:rFonts w:ascii="Wingdings" w:hAnsi="Wingdings" w:hint="default"/>
      </w:rPr>
    </w:lvl>
    <w:lvl w:ilvl="3" w:tplc="9340921C" w:tentative="1">
      <w:start w:val="1"/>
      <w:numFmt w:val="bullet"/>
      <w:lvlText w:val=""/>
      <w:lvlJc w:val="left"/>
      <w:pPr>
        <w:ind w:left="2520" w:hanging="360"/>
      </w:pPr>
      <w:rPr>
        <w:rFonts w:ascii="Symbol" w:hAnsi="Symbol" w:hint="default"/>
      </w:rPr>
    </w:lvl>
    <w:lvl w:ilvl="4" w:tplc="C0588E22" w:tentative="1">
      <w:start w:val="1"/>
      <w:numFmt w:val="bullet"/>
      <w:lvlText w:val="o"/>
      <w:lvlJc w:val="left"/>
      <w:pPr>
        <w:ind w:left="3240" w:hanging="360"/>
      </w:pPr>
      <w:rPr>
        <w:rFonts w:ascii="Courier New" w:hAnsi="Courier New" w:cs="Courier New" w:hint="default"/>
      </w:rPr>
    </w:lvl>
    <w:lvl w:ilvl="5" w:tplc="597EB776" w:tentative="1">
      <w:start w:val="1"/>
      <w:numFmt w:val="bullet"/>
      <w:lvlText w:val=""/>
      <w:lvlJc w:val="left"/>
      <w:pPr>
        <w:ind w:left="3960" w:hanging="360"/>
      </w:pPr>
      <w:rPr>
        <w:rFonts w:ascii="Wingdings" w:hAnsi="Wingdings" w:hint="default"/>
      </w:rPr>
    </w:lvl>
    <w:lvl w:ilvl="6" w:tplc="E06410C0" w:tentative="1">
      <w:start w:val="1"/>
      <w:numFmt w:val="bullet"/>
      <w:lvlText w:val=""/>
      <w:lvlJc w:val="left"/>
      <w:pPr>
        <w:ind w:left="4680" w:hanging="360"/>
      </w:pPr>
      <w:rPr>
        <w:rFonts w:ascii="Symbol" w:hAnsi="Symbol" w:hint="default"/>
      </w:rPr>
    </w:lvl>
    <w:lvl w:ilvl="7" w:tplc="F110BB42" w:tentative="1">
      <w:start w:val="1"/>
      <w:numFmt w:val="bullet"/>
      <w:lvlText w:val="o"/>
      <w:lvlJc w:val="left"/>
      <w:pPr>
        <w:ind w:left="5400" w:hanging="360"/>
      </w:pPr>
      <w:rPr>
        <w:rFonts w:ascii="Courier New" w:hAnsi="Courier New" w:cs="Courier New" w:hint="default"/>
      </w:rPr>
    </w:lvl>
    <w:lvl w:ilvl="8" w:tplc="880A8080" w:tentative="1">
      <w:start w:val="1"/>
      <w:numFmt w:val="bullet"/>
      <w:lvlText w:val=""/>
      <w:lvlJc w:val="left"/>
      <w:pPr>
        <w:ind w:left="6120" w:hanging="360"/>
      </w:pPr>
      <w:rPr>
        <w:rFonts w:ascii="Wingdings" w:hAnsi="Wingdings" w:hint="default"/>
      </w:rPr>
    </w:lvl>
  </w:abstractNum>
  <w:abstractNum w:abstractNumId="76">
    <w:nsid w:val="617C21EC"/>
    <w:multiLevelType w:val="hybridMultilevel"/>
    <w:tmpl w:val="3F60CFD0"/>
    <w:lvl w:ilvl="0" w:tplc="C8503568">
      <w:start w:val="1"/>
      <w:numFmt w:val="bullet"/>
      <w:lvlText w:val=""/>
      <w:lvlJc w:val="left"/>
      <w:pPr>
        <w:ind w:left="720" w:hanging="360"/>
      </w:pPr>
      <w:rPr>
        <w:rFonts w:ascii="Symbol" w:hAnsi="Symbol" w:hint="default"/>
      </w:rPr>
    </w:lvl>
    <w:lvl w:ilvl="1" w:tplc="3A0A0148" w:tentative="1">
      <w:start w:val="1"/>
      <w:numFmt w:val="bullet"/>
      <w:lvlText w:val="o"/>
      <w:lvlJc w:val="left"/>
      <w:pPr>
        <w:ind w:left="1440" w:hanging="360"/>
      </w:pPr>
      <w:rPr>
        <w:rFonts w:ascii="Courier New" w:hAnsi="Courier New" w:cs="Courier New" w:hint="default"/>
      </w:rPr>
    </w:lvl>
    <w:lvl w:ilvl="2" w:tplc="75722D58" w:tentative="1">
      <w:start w:val="1"/>
      <w:numFmt w:val="bullet"/>
      <w:lvlText w:val=""/>
      <w:lvlJc w:val="left"/>
      <w:pPr>
        <w:ind w:left="2160" w:hanging="360"/>
      </w:pPr>
      <w:rPr>
        <w:rFonts w:ascii="Wingdings" w:hAnsi="Wingdings" w:hint="default"/>
      </w:rPr>
    </w:lvl>
    <w:lvl w:ilvl="3" w:tplc="F8D8F90C" w:tentative="1">
      <w:start w:val="1"/>
      <w:numFmt w:val="bullet"/>
      <w:lvlText w:val=""/>
      <w:lvlJc w:val="left"/>
      <w:pPr>
        <w:ind w:left="2880" w:hanging="360"/>
      </w:pPr>
      <w:rPr>
        <w:rFonts w:ascii="Symbol" w:hAnsi="Symbol" w:hint="default"/>
      </w:rPr>
    </w:lvl>
    <w:lvl w:ilvl="4" w:tplc="002CF5F0" w:tentative="1">
      <w:start w:val="1"/>
      <w:numFmt w:val="bullet"/>
      <w:lvlText w:val="o"/>
      <w:lvlJc w:val="left"/>
      <w:pPr>
        <w:ind w:left="3600" w:hanging="360"/>
      </w:pPr>
      <w:rPr>
        <w:rFonts w:ascii="Courier New" w:hAnsi="Courier New" w:cs="Courier New" w:hint="default"/>
      </w:rPr>
    </w:lvl>
    <w:lvl w:ilvl="5" w:tplc="B66CCFEC" w:tentative="1">
      <w:start w:val="1"/>
      <w:numFmt w:val="bullet"/>
      <w:lvlText w:val=""/>
      <w:lvlJc w:val="left"/>
      <w:pPr>
        <w:ind w:left="4320" w:hanging="360"/>
      </w:pPr>
      <w:rPr>
        <w:rFonts w:ascii="Wingdings" w:hAnsi="Wingdings" w:hint="default"/>
      </w:rPr>
    </w:lvl>
    <w:lvl w:ilvl="6" w:tplc="08145412" w:tentative="1">
      <w:start w:val="1"/>
      <w:numFmt w:val="bullet"/>
      <w:lvlText w:val=""/>
      <w:lvlJc w:val="left"/>
      <w:pPr>
        <w:ind w:left="5040" w:hanging="360"/>
      </w:pPr>
      <w:rPr>
        <w:rFonts w:ascii="Symbol" w:hAnsi="Symbol" w:hint="default"/>
      </w:rPr>
    </w:lvl>
    <w:lvl w:ilvl="7" w:tplc="A3E640C2" w:tentative="1">
      <w:start w:val="1"/>
      <w:numFmt w:val="bullet"/>
      <w:lvlText w:val="o"/>
      <w:lvlJc w:val="left"/>
      <w:pPr>
        <w:ind w:left="5760" w:hanging="360"/>
      </w:pPr>
      <w:rPr>
        <w:rFonts w:ascii="Courier New" w:hAnsi="Courier New" w:cs="Courier New" w:hint="default"/>
      </w:rPr>
    </w:lvl>
    <w:lvl w:ilvl="8" w:tplc="AB2E8C54" w:tentative="1">
      <w:start w:val="1"/>
      <w:numFmt w:val="bullet"/>
      <w:lvlText w:val=""/>
      <w:lvlJc w:val="left"/>
      <w:pPr>
        <w:ind w:left="6480" w:hanging="360"/>
      </w:pPr>
      <w:rPr>
        <w:rFonts w:ascii="Wingdings" w:hAnsi="Wingdings" w:hint="default"/>
      </w:rPr>
    </w:lvl>
  </w:abstractNum>
  <w:abstractNum w:abstractNumId="77">
    <w:nsid w:val="623029D2"/>
    <w:multiLevelType w:val="hybridMultilevel"/>
    <w:tmpl w:val="8F0AE39E"/>
    <w:lvl w:ilvl="0" w:tplc="8B048BFC">
      <w:start w:val="1"/>
      <w:numFmt w:val="decimal"/>
      <w:lvlRestart w:val="0"/>
      <w:lvlText w:val="03.%1."/>
      <w:lvlJc w:val="left"/>
      <w:pPr>
        <w:tabs>
          <w:tab w:val="num" w:pos="567"/>
        </w:tabs>
        <w:ind w:left="0" w:firstLine="0"/>
      </w:pPr>
      <w:rPr>
        <w:rFonts w:hint="default"/>
        <w:sz w:val="20"/>
      </w:rPr>
    </w:lvl>
    <w:lvl w:ilvl="1" w:tplc="C09EF93C" w:tentative="1">
      <w:start w:val="1"/>
      <w:numFmt w:val="lowerLetter"/>
      <w:lvlText w:val="%2."/>
      <w:lvlJc w:val="left"/>
      <w:pPr>
        <w:tabs>
          <w:tab w:val="num" w:pos="1440"/>
        </w:tabs>
        <w:ind w:left="1440" w:hanging="360"/>
      </w:pPr>
    </w:lvl>
    <w:lvl w:ilvl="2" w:tplc="20FCAA0C" w:tentative="1">
      <w:start w:val="1"/>
      <w:numFmt w:val="lowerRoman"/>
      <w:lvlText w:val="%3."/>
      <w:lvlJc w:val="right"/>
      <w:pPr>
        <w:tabs>
          <w:tab w:val="num" w:pos="2160"/>
        </w:tabs>
        <w:ind w:left="2160" w:hanging="180"/>
      </w:pPr>
    </w:lvl>
    <w:lvl w:ilvl="3" w:tplc="35401E92" w:tentative="1">
      <w:start w:val="1"/>
      <w:numFmt w:val="decimal"/>
      <w:lvlText w:val="%4."/>
      <w:lvlJc w:val="left"/>
      <w:pPr>
        <w:tabs>
          <w:tab w:val="num" w:pos="2880"/>
        </w:tabs>
        <w:ind w:left="2880" w:hanging="360"/>
      </w:pPr>
    </w:lvl>
    <w:lvl w:ilvl="4" w:tplc="3132CFF0" w:tentative="1">
      <w:start w:val="1"/>
      <w:numFmt w:val="lowerLetter"/>
      <w:lvlText w:val="%5."/>
      <w:lvlJc w:val="left"/>
      <w:pPr>
        <w:tabs>
          <w:tab w:val="num" w:pos="3600"/>
        </w:tabs>
        <w:ind w:left="3600" w:hanging="360"/>
      </w:pPr>
    </w:lvl>
    <w:lvl w:ilvl="5" w:tplc="A6323D22" w:tentative="1">
      <w:start w:val="1"/>
      <w:numFmt w:val="lowerRoman"/>
      <w:lvlText w:val="%6."/>
      <w:lvlJc w:val="right"/>
      <w:pPr>
        <w:tabs>
          <w:tab w:val="num" w:pos="4320"/>
        </w:tabs>
        <w:ind w:left="4320" w:hanging="180"/>
      </w:pPr>
    </w:lvl>
    <w:lvl w:ilvl="6" w:tplc="D414A51C" w:tentative="1">
      <w:start w:val="1"/>
      <w:numFmt w:val="decimal"/>
      <w:lvlText w:val="%7."/>
      <w:lvlJc w:val="left"/>
      <w:pPr>
        <w:tabs>
          <w:tab w:val="num" w:pos="5040"/>
        </w:tabs>
        <w:ind w:left="5040" w:hanging="360"/>
      </w:pPr>
    </w:lvl>
    <w:lvl w:ilvl="7" w:tplc="8C2E57F4" w:tentative="1">
      <w:start w:val="1"/>
      <w:numFmt w:val="lowerLetter"/>
      <w:lvlText w:val="%8."/>
      <w:lvlJc w:val="left"/>
      <w:pPr>
        <w:tabs>
          <w:tab w:val="num" w:pos="5760"/>
        </w:tabs>
        <w:ind w:left="5760" w:hanging="360"/>
      </w:pPr>
    </w:lvl>
    <w:lvl w:ilvl="8" w:tplc="8594DD98" w:tentative="1">
      <w:start w:val="1"/>
      <w:numFmt w:val="lowerRoman"/>
      <w:lvlText w:val="%9."/>
      <w:lvlJc w:val="right"/>
      <w:pPr>
        <w:tabs>
          <w:tab w:val="num" w:pos="6480"/>
        </w:tabs>
        <w:ind w:left="6480" w:hanging="180"/>
      </w:pPr>
    </w:lvl>
  </w:abstractNum>
  <w:abstractNum w:abstractNumId="78">
    <w:nsid w:val="63EF18E4"/>
    <w:multiLevelType w:val="hybridMultilevel"/>
    <w:tmpl w:val="38F80890"/>
    <w:lvl w:ilvl="0" w:tplc="48A0A3D6">
      <w:start w:val="1"/>
      <w:numFmt w:val="decimal"/>
      <w:lvlText w:val="25.%1."/>
      <w:lvlJc w:val="left"/>
      <w:pPr>
        <w:tabs>
          <w:tab w:val="num" w:pos="680"/>
        </w:tabs>
        <w:ind w:left="0" w:firstLine="0"/>
      </w:pPr>
      <w:rPr>
        <w:rFonts w:ascii="Arial" w:hAnsi="Arial" w:cs="Arial" w:hint="default"/>
        <w:sz w:val="20"/>
        <w:szCs w:val="20"/>
      </w:rPr>
    </w:lvl>
    <w:lvl w:ilvl="1" w:tplc="CD9448F4">
      <w:start w:val="1"/>
      <w:numFmt w:val="lowerLetter"/>
      <w:lvlText w:val="%2."/>
      <w:lvlJc w:val="left"/>
      <w:pPr>
        <w:tabs>
          <w:tab w:val="num" w:pos="1440"/>
        </w:tabs>
        <w:ind w:left="1440" w:hanging="360"/>
      </w:pPr>
    </w:lvl>
    <w:lvl w:ilvl="2" w:tplc="39967B60">
      <w:start w:val="1"/>
      <w:numFmt w:val="lowerRoman"/>
      <w:lvlText w:val="%3."/>
      <w:lvlJc w:val="right"/>
      <w:pPr>
        <w:tabs>
          <w:tab w:val="num" w:pos="2160"/>
        </w:tabs>
        <w:ind w:left="2160" w:hanging="180"/>
      </w:pPr>
    </w:lvl>
    <w:lvl w:ilvl="3" w:tplc="A502A926">
      <w:start w:val="1"/>
      <w:numFmt w:val="decimal"/>
      <w:lvlText w:val="%4."/>
      <w:lvlJc w:val="left"/>
      <w:pPr>
        <w:tabs>
          <w:tab w:val="num" w:pos="2880"/>
        </w:tabs>
        <w:ind w:left="2880" w:hanging="360"/>
      </w:pPr>
    </w:lvl>
    <w:lvl w:ilvl="4" w:tplc="A410683C">
      <w:start w:val="1"/>
      <w:numFmt w:val="lowerLetter"/>
      <w:lvlText w:val="%5."/>
      <w:lvlJc w:val="left"/>
      <w:pPr>
        <w:tabs>
          <w:tab w:val="num" w:pos="3600"/>
        </w:tabs>
        <w:ind w:left="3600" w:hanging="360"/>
      </w:pPr>
    </w:lvl>
    <w:lvl w:ilvl="5" w:tplc="36C0B3D4">
      <w:start w:val="1"/>
      <w:numFmt w:val="lowerRoman"/>
      <w:lvlText w:val="%6."/>
      <w:lvlJc w:val="right"/>
      <w:pPr>
        <w:tabs>
          <w:tab w:val="num" w:pos="4320"/>
        </w:tabs>
        <w:ind w:left="4320" w:hanging="180"/>
      </w:pPr>
    </w:lvl>
    <w:lvl w:ilvl="6" w:tplc="73B67304">
      <w:start w:val="1"/>
      <w:numFmt w:val="decimal"/>
      <w:lvlText w:val="%7."/>
      <w:lvlJc w:val="left"/>
      <w:pPr>
        <w:tabs>
          <w:tab w:val="num" w:pos="5040"/>
        </w:tabs>
        <w:ind w:left="5040" w:hanging="360"/>
      </w:pPr>
    </w:lvl>
    <w:lvl w:ilvl="7" w:tplc="CB8AF25E">
      <w:start w:val="1"/>
      <w:numFmt w:val="lowerLetter"/>
      <w:lvlText w:val="%8."/>
      <w:lvlJc w:val="left"/>
      <w:pPr>
        <w:tabs>
          <w:tab w:val="num" w:pos="5760"/>
        </w:tabs>
        <w:ind w:left="5760" w:hanging="360"/>
      </w:pPr>
    </w:lvl>
    <w:lvl w:ilvl="8" w:tplc="83888FC2">
      <w:start w:val="1"/>
      <w:numFmt w:val="lowerRoman"/>
      <w:lvlText w:val="%9."/>
      <w:lvlJc w:val="right"/>
      <w:pPr>
        <w:tabs>
          <w:tab w:val="num" w:pos="6480"/>
        </w:tabs>
        <w:ind w:left="6480" w:hanging="180"/>
      </w:pPr>
    </w:lvl>
  </w:abstractNum>
  <w:abstractNum w:abstractNumId="79">
    <w:nsid w:val="67126758"/>
    <w:multiLevelType w:val="hybridMultilevel"/>
    <w:tmpl w:val="CF06A19C"/>
    <w:lvl w:ilvl="0" w:tplc="87AA17D0">
      <w:start w:val="1"/>
      <w:numFmt w:val="bullet"/>
      <w:lvlText w:val=""/>
      <w:lvlJc w:val="left"/>
      <w:pPr>
        <w:ind w:left="360" w:hanging="360"/>
      </w:pPr>
      <w:rPr>
        <w:rFonts w:ascii="Symbol" w:hAnsi="Symbol" w:hint="default"/>
      </w:rPr>
    </w:lvl>
    <w:lvl w:ilvl="1" w:tplc="07209038" w:tentative="1">
      <w:start w:val="1"/>
      <w:numFmt w:val="bullet"/>
      <w:lvlText w:val="o"/>
      <w:lvlJc w:val="left"/>
      <w:pPr>
        <w:ind w:left="1080" w:hanging="360"/>
      </w:pPr>
      <w:rPr>
        <w:rFonts w:ascii="Courier New" w:hAnsi="Courier New" w:cs="Courier New" w:hint="default"/>
      </w:rPr>
    </w:lvl>
    <w:lvl w:ilvl="2" w:tplc="1FFC6DA2" w:tentative="1">
      <w:start w:val="1"/>
      <w:numFmt w:val="bullet"/>
      <w:lvlText w:val=""/>
      <w:lvlJc w:val="left"/>
      <w:pPr>
        <w:ind w:left="1800" w:hanging="360"/>
      </w:pPr>
      <w:rPr>
        <w:rFonts w:ascii="Wingdings" w:hAnsi="Wingdings" w:hint="default"/>
      </w:rPr>
    </w:lvl>
    <w:lvl w:ilvl="3" w:tplc="470C1B8A" w:tentative="1">
      <w:start w:val="1"/>
      <w:numFmt w:val="bullet"/>
      <w:lvlText w:val=""/>
      <w:lvlJc w:val="left"/>
      <w:pPr>
        <w:ind w:left="2520" w:hanging="360"/>
      </w:pPr>
      <w:rPr>
        <w:rFonts w:ascii="Symbol" w:hAnsi="Symbol" w:hint="default"/>
      </w:rPr>
    </w:lvl>
    <w:lvl w:ilvl="4" w:tplc="F2A8DA32" w:tentative="1">
      <w:start w:val="1"/>
      <w:numFmt w:val="bullet"/>
      <w:lvlText w:val="o"/>
      <w:lvlJc w:val="left"/>
      <w:pPr>
        <w:ind w:left="3240" w:hanging="360"/>
      </w:pPr>
      <w:rPr>
        <w:rFonts w:ascii="Courier New" w:hAnsi="Courier New" w:cs="Courier New" w:hint="default"/>
      </w:rPr>
    </w:lvl>
    <w:lvl w:ilvl="5" w:tplc="677ED9EA" w:tentative="1">
      <w:start w:val="1"/>
      <w:numFmt w:val="bullet"/>
      <w:lvlText w:val=""/>
      <w:lvlJc w:val="left"/>
      <w:pPr>
        <w:ind w:left="3960" w:hanging="360"/>
      </w:pPr>
      <w:rPr>
        <w:rFonts w:ascii="Wingdings" w:hAnsi="Wingdings" w:hint="default"/>
      </w:rPr>
    </w:lvl>
    <w:lvl w:ilvl="6" w:tplc="8C9EFA6A" w:tentative="1">
      <w:start w:val="1"/>
      <w:numFmt w:val="bullet"/>
      <w:lvlText w:val=""/>
      <w:lvlJc w:val="left"/>
      <w:pPr>
        <w:ind w:left="4680" w:hanging="360"/>
      </w:pPr>
      <w:rPr>
        <w:rFonts w:ascii="Symbol" w:hAnsi="Symbol" w:hint="default"/>
      </w:rPr>
    </w:lvl>
    <w:lvl w:ilvl="7" w:tplc="78E0BA22" w:tentative="1">
      <w:start w:val="1"/>
      <w:numFmt w:val="bullet"/>
      <w:lvlText w:val="o"/>
      <w:lvlJc w:val="left"/>
      <w:pPr>
        <w:ind w:left="5400" w:hanging="360"/>
      </w:pPr>
      <w:rPr>
        <w:rFonts w:ascii="Courier New" w:hAnsi="Courier New" w:cs="Courier New" w:hint="default"/>
      </w:rPr>
    </w:lvl>
    <w:lvl w:ilvl="8" w:tplc="460CB3CC" w:tentative="1">
      <w:start w:val="1"/>
      <w:numFmt w:val="bullet"/>
      <w:lvlText w:val=""/>
      <w:lvlJc w:val="left"/>
      <w:pPr>
        <w:ind w:left="6120" w:hanging="360"/>
      </w:pPr>
      <w:rPr>
        <w:rFonts w:ascii="Wingdings" w:hAnsi="Wingdings" w:hint="default"/>
      </w:rPr>
    </w:lvl>
  </w:abstractNum>
  <w:abstractNum w:abstractNumId="80">
    <w:nsid w:val="67364E5C"/>
    <w:multiLevelType w:val="hybridMultilevel"/>
    <w:tmpl w:val="355C6E9A"/>
    <w:lvl w:ilvl="0" w:tplc="50789CB0">
      <w:start w:val="1"/>
      <w:numFmt w:val="lowerRoman"/>
      <w:lvlText w:val="%1)"/>
      <w:lvlJc w:val="left"/>
      <w:pPr>
        <w:ind w:left="1440" w:hanging="360"/>
      </w:pPr>
      <w:rPr>
        <w:rFonts w:hint="default"/>
      </w:rPr>
    </w:lvl>
    <w:lvl w:ilvl="1" w:tplc="943AE7FE" w:tentative="1">
      <w:start w:val="1"/>
      <w:numFmt w:val="bullet"/>
      <w:lvlText w:val="o"/>
      <w:lvlJc w:val="left"/>
      <w:pPr>
        <w:ind w:left="2160" w:hanging="360"/>
      </w:pPr>
      <w:rPr>
        <w:rFonts w:ascii="Courier New" w:hAnsi="Courier New" w:cs="Courier New" w:hint="default"/>
      </w:rPr>
    </w:lvl>
    <w:lvl w:ilvl="2" w:tplc="BC70C65E" w:tentative="1">
      <w:start w:val="1"/>
      <w:numFmt w:val="bullet"/>
      <w:lvlText w:val=""/>
      <w:lvlJc w:val="left"/>
      <w:pPr>
        <w:ind w:left="2880" w:hanging="360"/>
      </w:pPr>
      <w:rPr>
        <w:rFonts w:ascii="Wingdings" w:hAnsi="Wingdings" w:hint="default"/>
      </w:rPr>
    </w:lvl>
    <w:lvl w:ilvl="3" w:tplc="BFDE427C" w:tentative="1">
      <w:start w:val="1"/>
      <w:numFmt w:val="bullet"/>
      <w:lvlText w:val=""/>
      <w:lvlJc w:val="left"/>
      <w:pPr>
        <w:ind w:left="3600" w:hanging="360"/>
      </w:pPr>
      <w:rPr>
        <w:rFonts w:ascii="Symbol" w:hAnsi="Symbol" w:hint="default"/>
      </w:rPr>
    </w:lvl>
    <w:lvl w:ilvl="4" w:tplc="008427C4" w:tentative="1">
      <w:start w:val="1"/>
      <w:numFmt w:val="bullet"/>
      <w:lvlText w:val="o"/>
      <w:lvlJc w:val="left"/>
      <w:pPr>
        <w:ind w:left="4320" w:hanging="360"/>
      </w:pPr>
      <w:rPr>
        <w:rFonts w:ascii="Courier New" w:hAnsi="Courier New" w:cs="Courier New" w:hint="default"/>
      </w:rPr>
    </w:lvl>
    <w:lvl w:ilvl="5" w:tplc="F6DAA2C6" w:tentative="1">
      <w:start w:val="1"/>
      <w:numFmt w:val="bullet"/>
      <w:lvlText w:val=""/>
      <w:lvlJc w:val="left"/>
      <w:pPr>
        <w:ind w:left="5040" w:hanging="360"/>
      </w:pPr>
      <w:rPr>
        <w:rFonts w:ascii="Wingdings" w:hAnsi="Wingdings" w:hint="default"/>
      </w:rPr>
    </w:lvl>
    <w:lvl w:ilvl="6" w:tplc="14C89CE4" w:tentative="1">
      <w:start w:val="1"/>
      <w:numFmt w:val="bullet"/>
      <w:lvlText w:val=""/>
      <w:lvlJc w:val="left"/>
      <w:pPr>
        <w:ind w:left="5760" w:hanging="360"/>
      </w:pPr>
      <w:rPr>
        <w:rFonts w:ascii="Symbol" w:hAnsi="Symbol" w:hint="default"/>
      </w:rPr>
    </w:lvl>
    <w:lvl w:ilvl="7" w:tplc="884C6EA2" w:tentative="1">
      <w:start w:val="1"/>
      <w:numFmt w:val="bullet"/>
      <w:lvlText w:val="o"/>
      <w:lvlJc w:val="left"/>
      <w:pPr>
        <w:ind w:left="6480" w:hanging="360"/>
      </w:pPr>
      <w:rPr>
        <w:rFonts w:ascii="Courier New" w:hAnsi="Courier New" w:cs="Courier New" w:hint="default"/>
      </w:rPr>
    </w:lvl>
    <w:lvl w:ilvl="8" w:tplc="BD66AD5C" w:tentative="1">
      <w:start w:val="1"/>
      <w:numFmt w:val="bullet"/>
      <w:lvlText w:val=""/>
      <w:lvlJc w:val="left"/>
      <w:pPr>
        <w:ind w:left="7200" w:hanging="360"/>
      </w:pPr>
      <w:rPr>
        <w:rFonts w:ascii="Wingdings" w:hAnsi="Wingdings" w:hint="default"/>
      </w:rPr>
    </w:lvl>
  </w:abstractNum>
  <w:abstractNum w:abstractNumId="81">
    <w:nsid w:val="679D446F"/>
    <w:multiLevelType w:val="hybridMultilevel"/>
    <w:tmpl w:val="18B2C2C8"/>
    <w:lvl w:ilvl="0" w:tplc="23445998">
      <w:start w:val="1"/>
      <w:numFmt w:val="bullet"/>
      <w:lvlText w:val=""/>
      <w:lvlJc w:val="left"/>
      <w:pPr>
        <w:ind w:left="927" w:hanging="360"/>
      </w:pPr>
      <w:rPr>
        <w:rFonts w:ascii="Symbol" w:hAnsi="Symbol" w:hint="default"/>
      </w:rPr>
    </w:lvl>
    <w:lvl w:ilvl="1" w:tplc="7E88CCD2">
      <w:start w:val="1"/>
      <w:numFmt w:val="bullet"/>
      <w:lvlText w:val="o"/>
      <w:lvlJc w:val="left"/>
      <w:pPr>
        <w:ind w:left="1647" w:hanging="360"/>
      </w:pPr>
      <w:rPr>
        <w:rFonts w:ascii="Courier New" w:hAnsi="Courier New" w:cs="Courier New" w:hint="default"/>
      </w:rPr>
    </w:lvl>
    <w:lvl w:ilvl="2" w:tplc="4CE8AEF8" w:tentative="1">
      <w:start w:val="1"/>
      <w:numFmt w:val="bullet"/>
      <w:lvlText w:val=""/>
      <w:lvlJc w:val="left"/>
      <w:pPr>
        <w:ind w:left="2367" w:hanging="360"/>
      </w:pPr>
      <w:rPr>
        <w:rFonts w:ascii="Wingdings" w:hAnsi="Wingdings" w:hint="default"/>
      </w:rPr>
    </w:lvl>
    <w:lvl w:ilvl="3" w:tplc="FC5E704E" w:tentative="1">
      <w:start w:val="1"/>
      <w:numFmt w:val="bullet"/>
      <w:lvlText w:val=""/>
      <w:lvlJc w:val="left"/>
      <w:pPr>
        <w:ind w:left="3087" w:hanging="360"/>
      </w:pPr>
      <w:rPr>
        <w:rFonts w:ascii="Symbol" w:hAnsi="Symbol" w:hint="default"/>
      </w:rPr>
    </w:lvl>
    <w:lvl w:ilvl="4" w:tplc="ECC6243C" w:tentative="1">
      <w:start w:val="1"/>
      <w:numFmt w:val="bullet"/>
      <w:lvlText w:val="o"/>
      <w:lvlJc w:val="left"/>
      <w:pPr>
        <w:ind w:left="3807" w:hanging="360"/>
      </w:pPr>
      <w:rPr>
        <w:rFonts w:ascii="Courier New" w:hAnsi="Courier New" w:cs="Courier New" w:hint="default"/>
      </w:rPr>
    </w:lvl>
    <w:lvl w:ilvl="5" w:tplc="776E3B70" w:tentative="1">
      <w:start w:val="1"/>
      <w:numFmt w:val="bullet"/>
      <w:lvlText w:val=""/>
      <w:lvlJc w:val="left"/>
      <w:pPr>
        <w:ind w:left="4527" w:hanging="360"/>
      </w:pPr>
      <w:rPr>
        <w:rFonts w:ascii="Wingdings" w:hAnsi="Wingdings" w:hint="default"/>
      </w:rPr>
    </w:lvl>
    <w:lvl w:ilvl="6" w:tplc="8C0887F0" w:tentative="1">
      <w:start w:val="1"/>
      <w:numFmt w:val="bullet"/>
      <w:lvlText w:val=""/>
      <w:lvlJc w:val="left"/>
      <w:pPr>
        <w:ind w:left="5247" w:hanging="360"/>
      </w:pPr>
      <w:rPr>
        <w:rFonts w:ascii="Symbol" w:hAnsi="Symbol" w:hint="default"/>
      </w:rPr>
    </w:lvl>
    <w:lvl w:ilvl="7" w:tplc="87402D7A" w:tentative="1">
      <w:start w:val="1"/>
      <w:numFmt w:val="bullet"/>
      <w:lvlText w:val="o"/>
      <w:lvlJc w:val="left"/>
      <w:pPr>
        <w:ind w:left="5967" w:hanging="360"/>
      </w:pPr>
      <w:rPr>
        <w:rFonts w:ascii="Courier New" w:hAnsi="Courier New" w:cs="Courier New" w:hint="default"/>
      </w:rPr>
    </w:lvl>
    <w:lvl w:ilvl="8" w:tplc="28FCCB24" w:tentative="1">
      <w:start w:val="1"/>
      <w:numFmt w:val="bullet"/>
      <w:lvlText w:val=""/>
      <w:lvlJc w:val="left"/>
      <w:pPr>
        <w:ind w:left="6687" w:hanging="360"/>
      </w:pPr>
      <w:rPr>
        <w:rFonts w:ascii="Wingdings" w:hAnsi="Wingdings" w:hint="default"/>
      </w:rPr>
    </w:lvl>
  </w:abstractNum>
  <w:abstractNum w:abstractNumId="82">
    <w:nsid w:val="67A14BFA"/>
    <w:multiLevelType w:val="hybridMultilevel"/>
    <w:tmpl w:val="ED68728A"/>
    <w:lvl w:ilvl="0" w:tplc="0AF2275A">
      <w:start w:val="1"/>
      <w:numFmt w:val="bullet"/>
      <w:lvlText w:val="-"/>
      <w:lvlJc w:val="left"/>
      <w:pPr>
        <w:ind w:left="720" w:hanging="360"/>
      </w:pPr>
      <w:rPr>
        <w:rFonts w:ascii="Courier New" w:hAnsi="Courier New" w:hint="default"/>
      </w:rPr>
    </w:lvl>
    <w:lvl w:ilvl="1" w:tplc="1706B336" w:tentative="1">
      <w:start w:val="1"/>
      <w:numFmt w:val="bullet"/>
      <w:lvlText w:val="o"/>
      <w:lvlJc w:val="left"/>
      <w:pPr>
        <w:ind w:left="1440" w:hanging="360"/>
      </w:pPr>
      <w:rPr>
        <w:rFonts w:ascii="Courier New" w:hAnsi="Courier New" w:cs="Courier New" w:hint="default"/>
      </w:rPr>
    </w:lvl>
    <w:lvl w:ilvl="2" w:tplc="BC348A58" w:tentative="1">
      <w:start w:val="1"/>
      <w:numFmt w:val="bullet"/>
      <w:lvlText w:val=""/>
      <w:lvlJc w:val="left"/>
      <w:pPr>
        <w:ind w:left="2160" w:hanging="360"/>
      </w:pPr>
      <w:rPr>
        <w:rFonts w:ascii="Wingdings" w:hAnsi="Wingdings" w:hint="default"/>
      </w:rPr>
    </w:lvl>
    <w:lvl w:ilvl="3" w:tplc="F7341BA0" w:tentative="1">
      <w:start w:val="1"/>
      <w:numFmt w:val="bullet"/>
      <w:lvlText w:val=""/>
      <w:lvlJc w:val="left"/>
      <w:pPr>
        <w:ind w:left="2880" w:hanging="360"/>
      </w:pPr>
      <w:rPr>
        <w:rFonts w:ascii="Symbol" w:hAnsi="Symbol" w:hint="default"/>
      </w:rPr>
    </w:lvl>
    <w:lvl w:ilvl="4" w:tplc="334086F0" w:tentative="1">
      <w:start w:val="1"/>
      <w:numFmt w:val="bullet"/>
      <w:lvlText w:val="o"/>
      <w:lvlJc w:val="left"/>
      <w:pPr>
        <w:ind w:left="3600" w:hanging="360"/>
      </w:pPr>
      <w:rPr>
        <w:rFonts w:ascii="Courier New" w:hAnsi="Courier New" w:cs="Courier New" w:hint="default"/>
      </w:rPr>
    </w:lvl>
    <w:lvl w:ilvl="5" w:tplc="2D881C16" w:tentative="1">
      <w:start w:val="1"/>
      <w:numFmt w:val="bullet"/>
      <w:lvlText w:val=""/>
      <w:lvlJc w:val="left"/>
      <w:pPr>
        <w:ind w:left="4320" w:hanging="360"/>
      </w:pPr>
      <w:rPr>
        <w:rFonts w:ascii="Wingdings" w:hAnsi="Wingdings" w:hint="default"/>
      </w:rPr>
    </w:lvl>
    <w:lvl w:ilvl="6" w:tplc="EDC05E08" w:tentative="1">
      <w:start w:val="1"/>
      <w:numFmt w:val="bullet"/>
      <w:lvlText w:val=""/>
      <w:lvlJc w:val="left"/>
      <w:pPr>
        <w:ind w:left="5040" w:hanging="360"/>
      </w:pPr>
      <w:rPr>
        <w:rFonts w:ascii="Symbol" w:hAnsi="Symbol" w:hint="default"/>
      </w:rPr>
    </w:lvl>
    <w:lvl w:ilvl="7" w:tplc="E012BCFE" w:tentative="1">
      <w:start w:val="1"/>
      <w:numFmt w:val="bullet"/>
      <w:lvlText w:val="o"/>
      <w:lvlJc w:val="left"/>
      <w:pPr>
        <w:ind w:left="5760" w:hanging="360"/>
      </w:pPr>
      <w:rPr>
        <w:rFonts w:ascii="Courier New" w:hAnsi="Courier New" w:cs="Courier New" w:hint="default"/>
      </w:rPr>
    </w:lvl>
    <w:lvl w:ilvl="8" w:tplc="E44E1270" w:tentative="1">
      <w:start w:val="1"/>
      <w:numFmt w:val="bullet"/>
      <w:lvlText w:val=""/>
      <w:lvlJc w:val="left"/>
      <w:pPr>
        <w:ind w:left="6480" w:hanging="360"/>
      </w:pPr>
      <w:rPr>
        <w:rFonts w:ascii="Wingdings" w:hAnsi="Wingdings" w:hint="default"/>
      </w:rPr>
    </w:lvl>
  </w:abstractNum>
  <w:abstractNum w:abstractNumId="83">
    <w:nsid w:val="68670D36"/>
    <w:multiLevelType w:val="hybridMultilevel"/>
    <w:tmpl w:val="E3EA35F6"/>
    <w:lvl w:ilvl="0" w:tplc="69683E9A">
      <w:start w:val="1"/>
      <w:numFmt w:val="bullet"/>
      <w:lvlText w:val=""/>
      <w:lvlJc w:val="left"/>
      <w:pPr>
        <w:ind w:left="360" w:hanging="360"/>
      </w:pPr>
      <w:rPr>
        <w:rFonts w:ascii="Symbol" w:hAnsi="Symbol" w:hint="default"/>
      </w:rPr>
    </w:lvl>
    <w:lvl w:ilvl="1" w:tplc="E85EF352" w:tentative="1">
      <w:start w:val="1"/>
      <w:numFmt w:val="bullet"/>
      <w:lvlText w:val="o"/>
      <w:lvlJc w:val="left"/>
      <w:pPr>
        <w:ind w:left="1080" w:hanging="360"/>
      </w:pPr>
      <w:rPr>
        <w:rFonts w:ascii="Courier New" w:hAnsi="Courier New" w:cs="Courier New" w:hint="default"/>
      </w:rPr>
    </w:lvl>
    <w:lvl w:ilvl="2" w:tplc="0FD49174" w:tentative="1">
      <w:start w:val="1"/>
      <w:numFmt w:val="bullet"/>
      <w:lvlText w:val=""/>
      <w:lvlJc w:val="left"/>
      <w:pPr>
        <w:ind w:left="1800" w:hanging="360"/>
      </w:pPr>
      <w:rPr>
        <w:rFonts w:ascii="Wingdings" w:hAnsi="Wingdings" w:hint="default"/>
      </w:rPr>
    </w:lvl>
    <w:lvl w:ilvl="3" w:tplc="8C46CFD2" w:tentative="1">
      <w:start w:val="1"/>
      <w:numFmt w:val="bullet"/>
      <w:lvlText w:val=""/>
      <w:lvlJc w:val="left"/>
      <w:pPr>
        <w:ind w:left="2520" w:hanging="360"/>
      </w:pPr>
      <w:rPr>
        <w:rFonts w:ascii="Symbol" w:hAnsi="Symbol" w:hint="default"/>
      </w:rPr>
    </w:lvl>
    <w:lvl w:ilvl="4" w:tplc="57B2C968" w:tentative="1">
      <w:start w:val="1"/>
      <w:numFmt w:val="bullet"/>
      <w:lvlText w:val="o"/>
      <w:lvlJc w:val="left"/>
      <w:pPr>
        <w:ind w:left="3240" w:hanging="360"/>
      </w:pPr>
      <w:rPr>
        <w:rFonts w:ascii="Courier New" w:hAnsi="Courier New" w:cs="Courier New" w:hint="default"/>
      </w:rPr>
    </w:lvl>
    <w:lvl w:ilvl="5" w:tplc="209A2244" w:tentative="1">
      <w:start w:val="1"/>
      <w:numFmt w:val="bullet"/>
      <w:lvlText w:val=""/>
      <w:lvlJc w:val="left"/>
      <w:pPr>
        <w:ind w:left="3960" w:hanging="360"/>
      </w:pPr>
      <w:rPr>
        <w:rFonts w:ascii="Wingdings" w:hAnsi="Wingdings" w:hint="default"/>
      </w:rPr>
    </w:lvl>
    <w:lvl w:ilvl="6" w:tplc="07269AA6" w:tentative="1">
      <w:start w:val="1"/>
      <w:numFmt w:val="bullet"/>
      <w:lvlText w:val=""/>
      <w:lvlJc w:val="left"/>
      <w:pPr>
        <w:ind w:left="4680" w:hanging="360"/>
      </w:pPr>
      <w:rPr>
        <w:rFonts w:ascii="Symbol" w:hAnsi="Symbol" w:hint="default"/>
      </w:rPr>
    </w:lvl>
    <w:lvl w:ilvl="7" w:tplc="66EA9636" w:tentative="1">
      <w:start w:val="1"/>
      <w:numFmt w:val="bullet"/>
      <w:lvlText w:val="o"/>
      <w:lvlJc w:val="left"/>
      <w:pPr>
        <w:ind w:left="5400" w:hanging="360"/>
      </w:pPr>
      <w:rPr>
        <w:rFonts w:ascii="Courier New" w:hAnsi="Courier New" w:cs="Courier New" w:hint="default"/>
      </w:rPr>
    </w:lvl>
    <w:lvl w:ilvl="8" w:tplc="1160F23A" w:tentative="1">
      <w:start w:val="1"/>
      <w:numFmt w:val="bullet"/>
      <w:lvlText w:val=""/>
      <w:lvlJc w:val="left"/>
      <w:pPr>
        <w:ind w:left="6120" w:hanging="360"/>
      </w:pPr>
      <w:rPr>
        <w:rFonts w:ascii="Wingdings" w:hAnsi="Wingdings" w:hint="default"/>
      </w:rPr>
    </w:lvl>
  </w:abstractNum>
  <w:abstractNum w:abstractNumId="84">
    <w:nsid w:val="6DD97BF7"/>
    <w:multiLevelType w:val="hybridMultilevel"/>
    <w:tmpl w:val="3034C6D6"/>
    <w:lvl w:ilvl="0" w:tplc="42AC336A">
      <w:start w:val="1"/>
      <w:numFmt w:val="decimal"/>
      <w:lvlText w:val="30.%1."/>
      <w:lvlJc w:val="left"/>
      <w:pPr>
        <w:ind w:left="1440" w:hanging="360"/>
      </w:pPr>
      <w:rPr>
        <w:rFonts w:hint="default"/>
        <w:b w:val="0"/>
      </w:rPr>
    </w:lvl>
    <w:lvl w:ilvl="1" w:tplc="F6EC4252" w:tentative="1">
      <w:start w:val="1"/>
      <w:numFmt w:val="lowerLetter"/>
      <w:lvlText w:val="%2."/>
      <w:lvlJc w:val="left"/>
      <w:pPr>
        <w:ind w:left="1890" w:hanging="360"/>
      </w:pPr>
    </w:lvl>
    <w:lvl w:ilvl="2" w:tplc="AFDE5640" w:tentative="1">
      <w:start w:val="1"/>
      <w:numFmt w:val="lowerRoman"/>
      <w:lvlText w:val="%3."/>
      <w:lvlJc w:val="right"/>
      <w:pPr>
        <w:ind w:left="2610" w:hanging="180"/>
      </w:pPr>
    </w:lvl>
    <w:lvl w:ilvl="3" w:tplc="7166D578" w:tentative="1">
      <w:start w:val="1"/>
      <w:numFmt w:val="decimal"/>
      <w:lvlText w:val="%4."/>
      <w:lvlJc w:val="left"/>
      <w:pPr>
        <w:ind w:left="3330" w:hanging="360"/>
      </w:pPr>
    </w:lvl>
    <w:lvl w:ilvl="4" w:tplc="E062CBF6" w:tentative="1">
      <w:start w:val="1"/>
      <w:numFmt w:val="lowerLetter"/>
      <w:lvlText w:val="%5."/>
      <w:lvlJc w:val="left"/>
      <w:pPr>
        <w:ind w:left="4050" w:hanging="360"/>
      </w:pPr>
    </w:lvl>
    <w:lvl w:ilvl="5" w:tplc="22A6B9A2" w:tentative="1">
      <w:start w:val="1"/>
      <w:numFmt w:val="lowerRoman"/>
      <w:lvlText w:val="%6."/>
      <w:lvlJc w:val="right"/>
      <w:pPr>
        <w:ind w:left="4770" w:hanging="180"/>
      </w:pPr>
    </w:lvl>
    <w:lvl w:ilvl="6" w:tplc="2AD4516A" w:tentative="1">
      <w:start w:val="1"/>
      <w:numFmt w:val="decimal"/>
      <w:lvlText w:val="%7."/>
      <w:lvlJc w:val="left"/>
      <w:pPr>
        <w:ind w:left="5490" w:hanging="360"/>
      </w:pPr>
    </w:lvl>
    <w:lvl w:ilvl="7" w:tplc="C37E3884" w:tentative="1">
      <w:start w:val="1"/>
      <w:numFmt w:val="lowerLetter"/>
      <w:lvlText w:val="%8."/>
      <w:lvlJc w:val="left"/>
      <w:pPr>
        <w:ind w:left="6210" w:hanging="360"/>
      </w:pPr>
    </w:lvl>
    <w:lvl w:ilvl="8" w:tplc="70B2FEAC" w:tentative="1">
      <w:start w:val="1"/>
      <w:numFmt w:val="lowerRoman"/>
      <w:lvlText w:val="%9."/>
      <w:lvlJc w:val="right"/>
      <w:pPr>
        <w:ind w:left="6930" w:hanging="180"/>
      </w:pPr>
    </w:lvl>
  </w:abstractNum>
  <w:abstractNum w:abstractNumId="85">
    <w:nsid w:val="71E66721"/>
    <w:multiLevelType w:val="hybridMultilevel"/>
    <w:tmpl w:val="4224ABA4"/>
    <w:lvl w:ilvl="0" w:tplc="E96A3056">
      <w:start w:val="1"/>
      <w:numFmt w:val="bullet"/>
      <w:lvlText w:val=""/>
      <w:lvlJc w:val="left"/>
      <w:pPr>
        <w:ind w:left="720" w:hanging="360"/>
      </w:pPr>
      <w:rPr>
        <w:rFonts w:ascii="Wingdings" w:hAnsi="Wingdings" w:hint="default"/>
      </w:rPr>
    </w:lvl>
    <w:lvl w:ilvl="1" w:tplc="AA227AA4" w:tentative="1">
      <w:start w:val="1"/>
      <w:numFmt w:val="bullet"/>
      <w:lvlText w:val="o"/>
      <w:lvlJc w:val="left"/>
      <w:pPr>
        <w:ind w:left="1440" w:hanging="360"/>
      </w:pPr>
      <w:rPr>
        <w:rFonts w:ascii="Courier New" w:hAnsi="Courier New" w:cs="Courier New" w:hint="default"/>
      </w:rPr>
    </w:lvl>
    <w:lvl w:ilvl="2" w:tplc="8C949D70" w:tentative="1">
      <w:start w:val="1"/>
      <w:numFmt w:val="bullet"/>
      <w:lvlText w:val=""/>
      <w:lvlJc w:val="left"/>
      <w:pPr>
        <w:ind w:left="2160" w:hanging="360"/>
      </w:pPr>
      <w:rPr>
        <w:rFonts w:ascii="Wingdings" w:hAnsi="Wingdings" w:hint="default"/>
      </w:rPr>
    </w:lvl>
    <w:lvl w:ilvl="3" w:tplc="5FFA7D42" w:tentative="1">
      <w:start w:val="1"/>
      <w:numFmt w:val="bullet"/>
      <w:lvlText w:val=""/>
      <w:lvlJc w:val="left"/>
      <w:pPr>
        <w:ind w:left="2880" w:hanging="360"/>
      </w:pPr>
      <w:rPr>
        <w:rFonts w:ascii="Symbol" w:hAnsi="Symbol" w:hint="default"/>
      </w:rPr>
    </w:lvl>
    <w:lvl w:ilvl="4" w:tplc="B02E720A" w:tentative="1">
      <w:start w:val="1"/>
      <w:numFmt w:val="bullet"/>
      <w:lvlText w:val="o"/>
      <w:lvlJc w:val="left"/>
      <w:pPr>
        <w:ind w:left="3600" w:hanging="360"/>
      </w:pPr>
      <w:rPr>
        <w:rFonts w:ascii="Courier New" w:hAnsi="Courier New" w:cs="Courier New" w:hint="default"/>
      </w:rPr>
    </w:lvl>
    <w:lvl w:ilvl="5" w:tplc="4F46BA52" w:tentative="1">
      <w:start w:val="1"/>
      <w:numFmt w:val="bullet"/>
      <w:lvlText w:val=""/>
      <w:lvlJc w:val="left"/>
      <w:pPr>
        <w:ind w:left="4320" w:hanging="360"/>
      </w:pPr>
      <w:rPr>
        <w:rFonts w:ascii="Wingdings" w:hAnsi="Wingdings" w:hint="default"/>
      </w:rPr>
    </w:lvl>
    <w:lvl w:ilvl="6" w:tplc="75583002" w:tentative="1">
      <w:start w:val="1"/>
      <w:numFmt w:val="bullet"/>
      <w:lvlText w:val=""/>
      <w:lvlJc w:val="left"/>
      <w:pPr>
        <w:ind w:left="5040" w:hanging="360"/>
      </w:pPr>
      <w:rPr>
        <w:rFonts w:ascii="Symbol" w:hAnsi="Symbol" w:hint="default"/>
      </w:rPr>
    </w:lvl>
    <w:lvl w:ilvl="7" w:tplc="43823108" w:tentative="1">
      <w:start w:val="1"/>
      <w:numFmt w:val="bullet"/>
      <w:lvlText w:val="o"/>
      <w:lvlJc w:val="left"/>
      <w:pPr>
        <w:ind w:left="5760" w:hanging="360"/>
      </w:pPr>
      <w:rPr>
        <w:rFonts w:ascii="Courier New" w:hAnsi="Courier New" w:cs="Courier New" w:hint="default"/>
      </w:rPr>
    </w:lvl>
    <w:lvl w:ilvl="8" w:tplc="89E6A5AC" w:tentative="1">
      <w:start w:val="1"/>
      <w:numFmt w:val="bullet"/>
      <w:lvlText w:val=""/>
      <w:lvlJc w:val="left"/>
      <w:pPr>
        <w:ind w:left="6480" w:hanging="360"/>
      </w:pPr>
      <w:rPr>
        <w:rFonts w:ascii="Wingdings" w:hAnsi="Wingdings" w:hint="default"/>
      </w:rPr>
    </w:lvl>
  </w:abstractNum>
  <w:abstractNum w:abstractNumId="86">
    <w:nsid w:val="72376FFB"/>
    <w:multiLevelType w:val="multilevel"/>
    <w:tmpl w:val="12E4239A"/>
    <w:lvl w:ilvl="0">
      <w:start w:val="1"/>
      <w:numFmt w:val="bullet"/>
      <w:pStyle w:val="Tes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7">
    <w:nsid w:val="7257394F"/>
    <w:multiLevelType w:val="hybridMultilevel"/>
    <w:tmpl w:val="A92C825A"/>
    <w:lvl w:ilvl="0" w:tplc="0D5E500A">
      <w:start w:val="1"/>
      <w:numFmt w:val="bullet"/>
      <w:lvlText w:val=""/>
      <w:lvlJc w:val="left"/>
      <w:pPr>
        <w:tabs>
          <w:tab w:val="num" w:pos="720"/>
        </w:tabs>
        <w:ind w:left="720" w:hanging="360"/>
      </w:pPr>
      <w:rPr>
        <w:rFonts w:ascii="Wingdings" w:hAnsi="Wingdings" w:hint="default"/>
      </w:rPr>
    </w:lvl>
    <w:lvl w:ilvl="1" w:tplc="00726F1A" w:tentative="1">
      <w:start w:val="1"/>
      <w:numFmt w:val="bullet"/>
      <w:lvlText w:val="o"/>
      <w:lvlJc w:val="left"/>
      <w:pPr>
        <w:tabs>
          <w:tab w:val="num" w:pos="1440"/>
        </w:tabs>
        <w:ind w:left="1440" w:hanging="360"/>
      </w:pPr>
      <w:rPr>
        <w:rFonts w:ascii="Courier New" w:hAnsi="Courier New" w:cs="Courier New" w:hint="default"/>
      </w:rPr>
    </w:lvl>
    <w:lvl w:ilvl="2" w:tplc="CB2CFFCE" w:tentative="1">
      <w:start w:val="1"/>
      <w:numFmt w:val="bullet"/>
      <w:lvlText w:val=""/>
      <w:lvlJc w:val="left"/>
      <w:pPr>
        <w:tabs>
          <w:tab w:val="num" w:pos="2160"/>
        </w:tabs>
        <w:ind w:left="2160" w:hanging="360"/>
      </w:pPr>
      <w:rPr>
        <w:rFonts w:ascii="Wingdings" w:hAnsi="Wingdings" w:hint="default"/>
      </w:rPr>
    </w:lvl>
    <w:lvl w:ilvl="3" w:tplc="396C5874" w:tentative="1">
      <w:start w:val="1"/>
      <w:numFmt w:val="bullet"/>
      <w:lvlText w:val=""/>
      <w:lvlJc w:val="left"/>
      <w:pPr>
        <w:tabs>
          <w:tab w:val="num" w:pos="2880"/>
        </w:tabs>
        <w:ind w:left="2880" w:hanging="360"/>
      </w:pPr>
      <w:rPr>
        <w:rFonts w:ascii="Symbol" w:hAnsi="Symbol" w:hint="default"/>
      </w:rPr>
    </w:lvl>
    <w:lvl w:ilvl="4" w:tplc="F574F516" w:tentative="1">
      <w:start w:val="1"/>
      <w:numFmt w:val="bullet"/>
      <w:lvlText w:val="o"/>
      <w:lvlJc w:val="left"/>
      <w:pPr>
        <w:tabs>
          <w:tab w:val="num" w:pos="3600"/>
        </w:tabs>
        <w:ind w:left="3600" w:hanging="360"/>
      </w:pPr>
      <w:rPr>
        <w:rFonts w:ascii="Courier New" w:hAnsi="Courier New" w:cs="Courier New" w:hint="default"/>
      </w:rPr>
    </w:lvl>
    <w:lvl w:ilvl="5" w:tplc="DB7E32C6" w:tentative="1">
      <w:start w:val="1"/>
      <w:numFmt w:val="bullet"/>
      <w:lvlText w:val=""/>
      <w:lvlJc w:val="left"/>
      <w:pPr>
        <w:tabs>
          <w:tab w:val="num" w:pos="4320"/>
        </w:tabs>
        <w:ind w:left="4320" w:hanging="360"/>
      </w:pPr>
      <w:rPr>
        <w:rFonts w:ascii="Wingdings" w:hAnsi="Wingdings" w:hint="default"/>
      </w:rPr>
    </w:lvl>
    <w:lvl w:ilvl="6" w:tplc="2546562C" w:tentative="1">
      <w:start w:val="1"/>
      <w:numFmt w:val="bullet"/>
      <w:lvlText w:val=""/>
      <w:lvlJc w:val="left"/>
      <w:pPr>
        <w:tabs>
          <w:tab w:val="num" w:pos="5040"/>
        </w:tabs>
        <w:ind w:left="5040" w:hanging="360"/>
      </w:pPr>
      <w:rPr>
        <w:rFonts w:ascii="Symbol" w:hAnsi="Symbol" w:hint="default"/>
      </w:rPr>
    </w:lvl>
    <w:lvl w:ilvl="7" w:tplc="703871A6" w:tentative="1">
      <w:start w:val="1"/>
      <w:numFmt w:val="bullet"/>
      <w:lvlText w:val="o"/>
      <w:lvlJc w:val="left"/>
      <w:pPr>
        <w:tabs>
          <w:tab w:val="num" w:pos="5760"/>
        </w:tabs>
        <w:ind w:left="5760" w:hanging="360"/>
      </w:pPr>
      <w:rPr>
        <w:rFonts w:ascii="Courier New" w:hAnsi="Courier New" w:cs="Courier New" w:hint="default"/>
      </w:rPr>
    </w:lvl>
    <w:lvl w:ilvl="8" w:tplc="685E58AE" w:tentative="1">
      <w:start w:val="1"/>
      <w:numFmt w:val="bullet"/>
      <w:lvlText w:val=""/>
      <w:lvlJc w:val="left"/>
      <w:pPr>
        <w:tabs>
          <w:tab w:val="num" w:pos="6480"/>
        </w:tabs>
        <w:ind w:left="6480" w:hanging="360"/>
      </w:pPr>
      <w:rPr>
        <w:rFonts w:ascii="Wingdings" w:hAnsi="Wingdings" w:hint="default"/>
      </w:rPr>
    </w:lvl>
  </w:abstractNum>
  <w:abstractNum w:abstractNumId="88">
    <w:nsid w:val="745A662D"/>
    <w:multiLevelType w:val="hybridMultilevel"/>
    <w:tmpl w:val="63BA6656"/>
    <w:lvl w:ilvl="0" w:tplc="36943FA8">
      <w:start w:val="1"/>
      <w:numFmt w:val="decimal"/>
      <w:pStyle w:val="Style1"/>
      <w:lvlText w:val="13.%1."/>
      <w:lvlJc w:val="left"/>
      <w:pPr>
        <w:ind w:left="720" w:hanging="360"/>
      </w:pPr>
      <w:rPr>
        <w:rFonts w:ascii="Arial" w:hAnsi="Arial" w:cs="Arial" w:hint="default"/>
        <w:sz w:val="20"/>
        <w:szCs w:val="20"/>
      </w:rPr>
    </w:lvl>
    <w:lvl w:ilvl="1" w:tplc="93245738" w:tentative="1">
      <w:start w:val="1"/>
      <w:numFmt w:val="lowerLetter"/>
      <w:lvlText w:val="%2."/>
      <w:lvlJc w:val="left"/>
      <w:pPr>
        <w:ind w:left="1440" w:hanging="360"/>
      </w:pPr>
    </w:lvl>
    <w:lvl w:ilvl="2" w:tplc="73E457CE" w:tentative="1">
      <w:start w:val="1"/>
      <w:numFmt w:val="lowerRoman"/>
      <w:lvlText w:val="%3."/>
      <w:lvlJc w:val="right"/>
      <w:pPr>
        <w:ind w:left="2160" w:hanging="180"/>
      </w:pPr>
    </w:lvl>
    <w:lvl w:ilvl="3" w:tplc="E23477A4" w:tentative="1">
      <w:start w:val="1"/>
      <w:numFmt w:val="decimal"/>
      <w:lvlText w:val="%4."/>
      <w:lvlJc w:val="left"/>
      <w:pPr>
        <w:ind w:left="2880" w:hanging="360"/>
      </w:pPr>
    </w:lvl>
    <w:lvl w:ilvl="4" w:tplc="62A27A5C" w:tentative="1">
      <w:start w:val="1"/>
      <w:numFmt w:val="lowerLetter"/>
      <w:lvlText w:val="%5."/>
      <w:lvlJc w:val="left"/>
      <w:pPr>
        <w:ind w:left="3600" w:hanging="360"/>
      </w:pPr>
    </w:lvl>
    <w:lvl w:ilvl="5" w:tplc="A29A8B92" w:tentative="1">
      <w:start w:val="1"/>
      <w:numFmt w:val="lowerRoman"/>
      <w:lvlText w:val="%6."/>
      <w:lvlJc w:val="right"/>
      <w:pPr>
        <w:ind w:left="4320" w:hanging="180"/>
      </w:pPr>
    </w:lvl>
    <w:lvl w:ilvl="6" w:tplc="EEB6585C" w:tentative="1">
      <w:start w:val="1"/>
      <w:numFmt w:val="decimal"/>
      <w:lvlText w:val="%7."/>
      <w:lvlJc w:val="left"/>
      <w:pPr>
        <w:ind w:left="5040" w:hanging="360"/>
      </w:pPr>
    </w:lvl>
    <w:lvl w:ilvl="7" w:tplc="2DB4A3DE" w:tentative="1">
      <w:start w:val="1"/>
      <w:numFmt w:val="lowerLetter"/>
      <w:lvlText w:val="%8."/>
      <w:lvlJc w:val="left"/>
      <w:pPr>
        <w:ind w:left="5760" w:hanging="360"/>
      </w:pPr>
    </w:lvl>
    <w:lvl w:ilvl="8" w:tplc="E8F0F0B2" w:tentative="1">
      <w:start w:val="1"/>
      <w:numFmt w:val="lowerRoman"/>
      <w:lvlText w:val="%9."/>
      <w:lvlJc w:val="right"/>
      <w:pPr>
        <w:ind w:left="6480" w:hanging="180"/>
      </w:pPr>
    </w:lvl>
  </w:abstractNum>
  <w:abstractNum w:abstractNumId="89">
    <w:nsid w:val="7520235E"/>
    <w:multiLevelType w:val="hybridMultilevel"/>
    <w:tmpl w:val="6A001150"/>
    <w:lvl w:ilvl="0" w:tplc="8690AF1A">
      <w:start w:val="1"/>
      <w:numFmt w:val="bullet"/>
      <w:lvlText w:val=""/>
      <w:lvlJc w:val="left"/>
      <w:pPr>
        <w:ind w:left="360" w:hanging="360"/>
      </w:pPr>
      <w:rPr>
        <w:rFonts w:ascii="Symbol" w:hAnsi="Symbol" w:hint="default"/>
      </w:rPr>
    </w:lvl>
    <w:lvl w:ilvl="1" w:tplc="287CAB90" w:tentative="1">
      <w:start w:val="1"/>
      <w:numFmt w:val="bullet"/>
      <w:lvlText w:val="o"/>
      <w:lvlJc w:val="left"/>
      <w:pPr>
        <w:ind w:left="1080" w:hanging="360"/>
      </w:pPr>
      <w:rPr>
        <w:rFonts w:ascii="Courier New" w:hAnsi="Courier New" w:cs="Courier New" w:hint="default"/>
      </w:rPr>
    </w:lvl>
    <w:lvl w:ilvl="2" w:tplc="42B69DBA" w:tentative="1">
      <w:start w:val="1"/>
      <w:numFmt w:val="bullet"/>
      <w:lvlText w:val=""/>
      <w:lvlJc w:val="left"/>
      <w:pPr>
        <w:ind w:left="1800" w:hanging="360"/>
      </w:pPr>
      <w:rPr>
        <w:rFonts w:ascii="Wingdings" w:hAnsi="Wingdings" w:hint="default"/>
      </w:rPr>
    </w:lvl>
    <w:lvl w:ilvl="3" w:tplc="7C76359A" w:tentative="1">
      <w:start w:val="1"/>
      <w:numFmt w:val="bullet"/>
      <w:lvlText w:val=""/>
      <w:lvlJc w:val="left"/>
      <w:pPr>
        <w:ind w:left="2520" w:hanging="360"/>
      </w:pPr>
      <w:rPr>
        <w:rFonts w:ascii="Symbol" w:hAnsi="Symbol" w:hint="default"/>
      </w:rPr>
    </w:lvl>
    <w:lvl w:ilvl="4" w:tplc="CDCA7A2A" w:tentative="1">
      <w:start w:val="1"/>
      <w:numFmt w:val="bullet"/>
      <w:lvlText w:val="o"/>
      <w:lvlJc w:val="left"/>
      <w:pPr>
        <w:ind w:left="3240" w:hanging="360"/>
      </w:pPr>
      <w:rPr>
        <w:rFonts w:ascii="Courier New" w:hAnsi="Courier New" w:cs="Courier New" w:hint="default"/>
      </w:rPr>
    </w:lvl>
    <w:lvl w:ilvl="5" w:tplc="FDC05082" w:tentative="1">
      <w:start w:val="1"/>
      <w:numFmt w:val="bullet"/>
      <w:lvlText w:val=""/>
      <w:lvlJc w:val="left"/>
      <w:pPr>
        <w:ind w:left="3960" w:hanging="360"/>
      </w:pPr>
      <w:rPr>
        <w:rFonts w:ascii="Wingdings" w:hAnsi="Wingdings" w:hint="default"/>
      </w:rPr>
    </w:lvl>
    <w:lvl w:ilvl="6" w:tplc="FFE00330" w:tentative="1">
      <w:start w:val="1"/>
      <w:numFmt w:val="bullet"/>
      <w:lvlText w:val=""/>
      <w:lvlJc w:val="left"/>
      <w:pPr>
        <w:ind w:left="4680" w:hanging="360"/>
      </w:pPr>
      <w:rPr>
        <w:rFonts w:ascii="Symbol" w:hAnsi="Symbol" w:hint="default"/>
      </w:rPr>
    </w:lvl>
    <w:lvl w:ilvl="7" w:tplc="9A147ADE" w:tentative="1">
      <w:start w:val="1"/>
      <w:numFmt w:val="bullet"/>
      <w:lvlText w:val="o"/>
      <w:lvlJc w:val="left"/>
      <w:pPr>
        <w:ind w:left="5400" w:hanging="360"/>
      </w:pPr>
      <w:rPr>
        <w:rFonts w:ascii="Courier New" w:hAnsi="Courier New" w:cs="Courier New" w:hint="default"/>
      </w:rPr>
    </w:lvl>
    <w:lvl w:ilvl="8" w:tplc="FAD8F13E" w:tentative="1">
      <w:start w:val="1"/>
      <w:numFmt w:val="bullet"/>
      <w:lvlText w:val=""/>
      <w:lvlJc w:val="left"/>
      <w:pPr>
        <w:ind w:left="6120" w:hanging="360"/>
      </w:pPr>
      <w:rPr>
        <w:rFonts w:ascii="Wingdings" w:hAnsi="Wingdings" w:hint="default"/>
      </w:rPr>
    </w:lvl>
  </w:abstractNum>
  <w:abstractNum w:abstractNumId="90">
    <w:nsid w:val="7714091B"/>
    <w:multiLevelType w:val="hybridMultilevel"/>
    <w:tmpl w:val="E23E2AE2"/>
    <w:lvl w:ilvl="0" w:tplc="B4581548">
      <w:start w:val="1"/>
      <w:numFmt w:val="bullet"/>
      <w:lvlText w:val=""/>
      <w:lvlJc w:val="left"/>
      <w:pPr>
        <w:ind w:left="360" w:hanging="360"/>
      </w:pPr>
      <w:rPr>
        <w:rFonts w:ascii="Symbol" w:hAnsi="Symbol" w:hint="default"/>
      </w:rPr>
    </w:lvl>
    <w:lvl w:ilvl="1" w:tplc="D9BA6BFA" w:tentative="1">
      <w:start w:val="1"/>
      <w:numFmt w:val="bullet"/>
      <w:lvlText w:val="o"/>
      <w:lvlJc w:val="left"/>
      <w:pPr>
        <w:ind w:left="1080" w:hanging="360"/>
      </w:pPr>
      <w:rPr>
        <w:rFonts w:ascii="Courier New" w:hAnsi="Courier New" w:cs="Courier New" w:hint="default"/>
      </w:rPr>
    </w:lvl>
    <w:lvl w:ilvl="2" w:tplc="F252E57C" w:tentative="1">
      <w:start w:val="1"/>
      <w:numFmt w:val="bullet"/>
      <w:lvlText w:val=""/>
      <w:lvlJc w:val="left"/>
      <w:pPr>
        <w:ind w:left="1800" w:hanging="360"/>
      </w:pPr>
      <w:rPr>
        <w:rFonts w:ascii="Wingdings" w:hAnsi="Wingdings" w:hint="default"/>
      </w:rPr>
    </w:lvl>
    <w:lvl w:ilvl="3" w:tplc="45F0914A" w:tentative="1">
      <w:start w:val="1"/>
      <w:numFmt w:val="bullet"/>
      <w:lvlText w:val=""/>
      <w:lvlJc w:val="left"/>
      <w:pPr>
        <w:ind w:left="2520" w:hanging="360"/>
      </w:pPr>
      <w:rPr>
        <w:rFonts w:ascii="Symbol" w:hAnsi="Symbol" w:hint="default"/>
      </w:rPr>
    </w:lvl>
    <w:lvl w:ilvl="4" w:tplc="5798C130" w:tentative="1">
      <w:start w:val="1"/>
      <w:numFmt w:val="bullet"/>
      <w:lvlText w:val="o"/>
      <w:lvlJc w:val="left"/>
      <w:pPr>
        <w:ind w:left="3240" w:hanging="360"/>
      </w:pPr>
      <w:rPr>
        <w:rFonts w:ascii="Courier New" w:hAnsi="Courier New" w:cs="Courier New" w:hint="default"/>
      </w:rPr>
    </w:lvl>
    <w:lvl w:ilvl="5" w:tplc="F334A36C" w:tentative="1">
      <w:start w:val="1"/>
      <w:numFmt w:val="bullet"/>
      <w:lvlText w:val=""/>
      <w:lvlJc w:val="left"/>
      <w:pPr>
        <w:ind w:left="3960" w:hanging="360"/>
      </w:pPr>
      <w:rPr>
        <w:rFonts w:ascii="Wingdings" w:hAnsi="Wingdings" w:hint="default"/>
      </w:rPr>
    </w:lvl>
    <w:lvl w:ilvl="6" w:tplc="F8F461A6" w:tentative="1">
      <w:start w:val="1"/>
      <w:numFmt w:val="bullet"/>
      <w:lvlText w:val=""/>
      <w:lvlJc w:val="left"/>
      <w:pPr>
        <w:ind w:left="4680" w:hanging="360"/>
      </w:pPr>
      <w:rPr>
        <w:rFonts w:ascii="Symbol" w:hAnsi="Symbol" w:hint="default"/>
      </w:rPr>
    </w:lvl>
    <w:lvl w:ilvl="7" w:tplc="9FA02C7A" w:tentative="1">
      <w:start w:val="1"/>
      <w:numFmt w:val="bullet"/>
      <w:lvlText w:val="o"/>
      <w:lvlJc w:val="left"/>
      <w:pPr>
        <w:ind w:left="5400" w:hanging="360"/>
      </w:pPr>
      <w:rPr>
        <w:rFonts w:ascii="Courier New" w:hAnsi="Courier New" w:cs="Courier New" w:hint="default"/>
      </w:rPr>
    </w:lvl>
    <w:lvl w:ilvl="8" w:tplc="C842069A" w:tentative="1">
      <w:start w:val="1"/>
      <w:numFmt w:val="bullet"/>
      <w:lvlText w:val=""/>
      <w:lvlJc w:val="left"/>
      <w:pPr>
        <w:ind w:left="6120" w:hanging="360"/>
      </w:pPr>
      <w:rPr>
        <w:rFonts w:ascii="Wingdings" w:hAnsi="Wingdings" w:hint="default"/>
      </w:rPr>
    </w:lvl>
  </w:abstractNum>
  <w:abstractNum w:abstractNumId="91">
    <w:nsid w:val="7AB54400"/>
    <w:multiLevelType w:val="hybridMultilevel"/>
    <w:tmpl w:val="F08016B0"/>
    <w:lvl w:ilvl="0" w:tplc="24182AC2">
      <w:start w:val="1"/>
      <w:numFmt w:val="bullet"/>
      <w:lvlText w:val=""/>
      <w:lvlJc w:val="left"/>
      <w:pPr>
        <w:ind w:left="720" w:hanging="360"/>
      </w:pPr>
      <w:rPr>
        <w:rFonts w:ascii="Symbol" w:hAnsi="Symbol" w:hint="default"/>
      </w:rPr>
    </w:lvl>
    <w:lvl w:ilvl="1" w:tplc="DAAA4924" w:tentative="1">
      <w:start w:val="1"/>
      <w:numFmt w:val="bullet"/>
      <w:lvlText w:val="o"/>
      <w:lvlJc w:val="left"/>
      <w:pPr>
        <w:ind w:left="1440" w:hanging="360"/>
      </w:pPr>
      <w:rPr>
        <w:rFonts w:ascii="Courier New" w:hAnsi="Courier New" w:cs="Courier New" w:hint="default"/>
      </w:rPr>
    </w:lvl>
    <w:lvl w:ilvl="2" w:tplc="7F08DE30" w:tentative="1">
      <w:start w:val="1"/>
      <w:numFmt w:val="bullet"/>
      <w:lvlText w:val=""/>
      <w:lvlJc w:val="left"/>
      <w:pPr>
        <w:ind w:left="2160" w:hanging="360"/>
      </w:pPr>
      <w:rPr>
        <w:rFonts w:ascii="Wingdings" w:hAnsi="Wingdings" w:hint="default"/>
      </w:rPr>
    </w:lvl>
    <w:lvl w:ilvl="3" w:tplc="69FA2B30" w:tentative="1">
      <w:start w:val="1"/>
      <w:numFmt w:val="bullet"/>
      <w:lvlText w:val=""/>
      <w:lvlJc w:val="left"/>
      <w:pPr>
        <w:ind w:left="2880" w:hanging="360"/>
      </w:pPr>
      <w:rPr>
        <w:rFonts w:ascii="Symbol" w:hAnsi="Symbol" w:hint="default"/>
      </w:rPr>
    </w:lvl>
    <w:lvl w:ilvl="4" w:tplc="5D1C5340" w:tentative="1">
      <w:start w:val="1"/>
      <w:numFmt w:val="bullet"/>
      <w:lvlText w:val="o"/>
      <w:lvlJc w:val="left"/>
      <w:pPr>
        <w:ind w:left="3600" w:hanging="360"/>
      </w:pPr>
      <w:rPr>
        <w:rFonts w:ascii="Courier New" w:hAnsi="Courier New" w:cs="Courier New" w:hint="default"/>
      </w:rPr>
    </w:lvl>
    <w:lvl w:ilvl="5" w:tplc="2B8ABE20" w:tentative="1">
      <w:start w:val="1"/>
      <w:numFmt w:val="bullet"/>
      <w:lvlText w:val=""/>
      <w:lvlJc w:val="left"/>
      <w:pPr>
        <w:ind w:left="4320" w:hanging="360"/>
      </w:pPr>
      <w:rPr>
        <w:rFonts w:ascii="Wingdings" w:hAnsi="Wingdings" w:hint="default"/>
      </w:rPr>
    </w:lvl>
    <w:lvl w:ilvl="6" w:tplc="6640FCA0" w:tentative="1">
      <w:start w:val="1"/>
      <w:numFmt w:val="bullet"/>
      <w:lvlText w:val=""/>
      <w:lvlJc w:val="left"/>
      <w:pPr>
        <w:ind w:left="5040" w:hanging="360"/>
      </w:pPr>
      <w:rPr>
        <w:rFonts w:ascii="Symbol" w:hAnsi="Symbol" w:hint="default"/>
      </w:rPr>
    </w:lvl>
    <w:lvl w:ilvl="7" w:tplc="16228BD6" w:tentative="1">
      <w:start w:val="1"/>
      <w:numFmt w:val="bullet"/>
      <w:lvlText w:val="o"/>
      <w:lvlJc w:val="left"/>
      <w:pPr>
        <w:ind w:left="5760" w:hanging="360"/>
      </w:pPr>
      <w:rPr>
        <w:rFonts w:ascii="Courier New" w:hAnsi="Courier New" w:cs="Courier New" w:hint="default"/>
      </w:rPr>
    </w:lvl>
    <w:lvl w:ilvl="8" w:tplc="2B2ED518" w:tentative="1">
      <w:start w:val="1"/>
      <w:numFmt w:val="bullet"/>
      <w:lvlText w:val=""/>
      <w:lvlJc w:val="left"/>
      <w:pPr>
        <w:ind w:left="6480" w:hanging="360"/>
      </w:pPr>
      <w:rPr>
        <w:rFonts w:ascii="Wingdings" w:hAnsi="Wingdings" w:hint="default"/>
      </w:rPr>
    </w:lvl>
  </w:abstractNum>
  <w:abstractNum w:abstractNumId="92">
    <w:nsid w:val="7B023F4F"/>
    <w:multiLevelType w:val="hybridMultilevel"/>
    <w:tmpl w:val="574A26D0"/>
    <w:lvl w:ilvl="0" w:tplc="86FC0DFC">
      <w:start w:val="1"/>
      <w:numFmt w:val="bullet"/>
      <w:lvlText w:val="-"/>
      <w:lvlJc w:val="left"/>
      <w:pPr>
        <w:ind w:left="360" w:hanging="360"/>
      </w:pPr>
      <w:rPr>
        <w:rFonts w:ascii="Arial" w:eastAsia="Times New Roman" w:hAnsi="Arial" w:hint="default"/>
      </w:rPr>
    </w:lvl>
    <w:lvl w:ilvl="1" w:tplc="BC5C8B54" w:tentative="1">
      <w:start w:val="1"/>
      <w:numFmt w:val="bullet"/>
      <w:lvlText w:val="o"/>
      <w:lvlJc w:val="left"/>
      <w:pPr>
        <w:ind w:left="1080" w:hanging="360"/>
      </w:pPr>
      <w:rPr>
        <w:rFonts w:ascii="Courier New" w:hAnsi="Courier New" w:cs="Courier New" w:hint="default"/>
      </w:rPr>
    </w:lvl>
    <w:lvl w:ilvl="2" w:tplc="7CBCD270" w:tentative="1">
      <w:start w:val="1"/>
      <w:numFmt w:val="bullet"/>
      <w:lvlText w:val=""/>
      <w:lvlJc w:val="left"/>
      <w:pPr>
        <w:ind w:left="1800" w:hanging="360"/>
      </w:pPr>
      <w:rPr>
        <w:rFonts w:ascii="Wingdings" w:hAnsi="Wingdings" w:hint="default"/>
      </w:rPr>
    </w:lvl>
    <w:lvl w:ilvl="3" w:tplc="C7BC04A2" w:tentative="1">
      <w:start w:val="1"/>
      <w:numFmt w:val="bullet"/>
      <w:lvlText w:val=""/>
      <w:lvlJc w:val="left"/>
      <w:pPr>
        <w:ind w:left="2520" w:hanging="360"/>
      </w:pPr>
      <w:rPr>
        <w:rFonts w:ascii="Symbol" w:hAnsi="Symbol" w:hint="default"/>
      </w:rPr>
    </w:lvl>
    <w:lvl w:ilvl="4" w:tplc="0A162A84" w:tentative="1">
      <w:start w:val="1"/>
      <w:numFmt w:val="bullet"/>
      <w:lvlText w:val="o"/>
      <w:lvlJc w:val="left"/>
      <w:pPr>
        <w:ind w:left="3240" w:hanging="360"/>
      </w:pPr>
      <w:rPr>
        <w:rFonts w:ascii="Courier New" w:hAnsi="Courier New" w:cs="Courier New" w:hint="default"/>
      </w:rPr>
    </w:lvl>
    <w:lvl w:ilvl="5" w:tplc="91DC4226" w:tentative="1">
      <w:start w:val="1"/>
      <w:numFmt w:val="bullet"/>
      <w:lvlText w:val=""/>
      <w:lvlJc w:val="left"/>
      <w:pPr>
        <w:ind w:left="3960" w:hanging="360"/>
      </w:pPr>
      <w:rPr>
        <w:rFonts w:ascii="Wingdings" w:hAnsi="Wingdings" w:hint="default"/>
      </w:rPr>
    </w:lvl>
    <w:lvl w:ilvl="6" w:tplc="0B146340" w:tentative="1">
      <w:start w:val="1"/>
      <w:numFmt w:val="bullet"/>
      <w:lvlText w:val=""/>
      <w:lvlJc w:val="left"/>
      <w:pPr>
        <w:ind w:left="4680" w:hanging="360"/>
      </w:pPr>
      <w:rPr>
        <w:rFonts w:ascii="Symbol" w:hAnsi="Symbol" w:hint="default"/>
      </w:rPr>
    </w:lvl>
    <w:lvl w:ilvl="7" w:tplc="E5F0B73A" w:tentative="1">
      <w:start w:val="1"/>
      <w:numFmt w:val="bullet"/>
      <w:lvlText w:val="o"/>
      <w:lvlJc w:val="left"/>
      <w:pPr>
        <w:ind w:left="5400" w:hanging="360"/>
      </w:pPr>
      <w:rPr>
        <w:rFonts w:ascii="Courier New" w:hAnsi="Courier New" w:cs="Courier New" w:hint="default"/>
      </w:rPr>
    </w:lvl>
    <w:lvl w:ilvl="8" w:tplc="BCF0F34E" w:tentative="1">
      <w:start w:val="1"/>
      <w:numFmt w:val="bullet"/>
      <w:lvlText w:val=""/>
      <w:lvlJc w:val="left"/>
      <w:pPr>
        <w:ind w:left="6120" w:hanging="360"/>
      </w:pPr>
      <w:rPr>
        <w:rFonts w:ascii="Wingdings" w:hAnsi="Wingdings" w:hint="default"/>
      </w:rPr>
    </w:lvl>
  </w:abstractNum>
  <w:num w:numId="1">
    <w:abstractNumId w:val="16"/>
  </w:num>
  <w:num w:numId="2">
    <w:abstractNumId w:val="51"/>
  </w:num>
  <w:num w:numId="3">
    <w:abstractNumId w:val="75"/>
  </w:num>
  <w:num w:numId="4">
    <w:abstractNumId w:val="43"/>
  </w:num>
  <w:num w:numId="5">
    <w:abstractNumId w:val="13"/>
  </w:num>
  <w:num w:numId="6">
    <w:abstractNumId w:val="52"/>
  </w:num>
  <w:num w:numId="7">
    <w:abstractNumId w:val="15"/>
  </w:num>
  <w:num w:numId="8">
    <w:abstractNumId w:val="39"/>
  </w:num>
  <w:num w:numId="9">
    <w:abstractNumId w:val="14"/>
  </w:num>
  <w:num w:numId="10">
    <w:abstractNumId w:val="9"/>
  </w:num>
  <w:num w:numId="11">
    <w:abstractNumId w:val="87"/>
  </w:num>
  <w:num w:numId="12">
    <w:abstractNumId w:val="36"/>
  </w:num>
  <w:num w:numId="13">
    <w:abstractNumId w:val="73"/>
  </w:num>
  <w:num w:numId="14">
    <w:abstractNumId w:val="33"/>
  </w:num>
  <w:num w:numId="15">
    <w:abstractNumId w:val="85"/>
  </w:num>
  <w:num w:numId="16">
    <w:abstractNumId w:val="4"/>
  </w:num>
  <w:num w:numId="17">
    <w:abstractNumId w:val="24"/>
  </w:num>
  <w:num w:numId="18">
    <w:abstractNumId w:val="21"/>
  </w:num>
  <w:num w:numId="19">
    <w:abstractNumId w:val="41"/>
  </w:num>
  <w:num w:numId="20">
    <w:abstractNumId w:val="47"/>
  </w:num>
  <w:num w:numId="21">
    <w:abstractNumId w:val="38"/>
  </w:num>
  <w:num w:numId="22">
    <w:abstractNumId w:val="54"/>
  </w:num>
  <w:num w:numId="23">
    <w:abstractNumId w:val="18"/>
  </w:num>
  <w:num w:numId="24">
    <w:abstractNumId w:val="37"/>
  </w:num>
  <w:num w:numId="25">
    <w:abstractNumId w:val="68"/>
  </w:num>
  <w:num w:numId="26">
    <w:abstractNumId w:val="22"/>
  </w:num>
  <w:num w:numId="27">
    <w:abstractNumId w:val="81"/>
  </w:num>
  <w:num w:numId="28">
    <w:abstractNumId w:val="20"/>
  </w:num>
  <w:num w:numId="29">
    <w:abstractNumId w:val="91"/>
  </w:num>
  <w:num w:numId="30">
    <w:abstractNumId w:val="79"/>
  </w:num>
  <w:num w:numId="31">
    <w:abstractNumId w:val="31"/>
  </w:num>
  <w:num w:numId="32">
    <w:abstractNumId w:val="27"/>
  </w:num>
  <w:num w:numId="33">
    <w:abstractNumId w:val="30"/>
  </w:num>
  <w:num w:numId="34">
    <w:abstractNumId w:val="25"/>
  </w:num>
  <w:num w:numId="35">
    <w:abstractNumId w:val="65"/>
  </w:num>
  <w:num w:numId="36">
    <w:abstractNumId w:val="42"/>
  </w:num>
  <w:num w:numId="37">
    <w:abstractNumId w:val="58"/>
  </w:num>
  <w:num w:numId="38">
    <w:abstractNumId w:val="89"/>
  </w:num>
  <w:num w:numId="39">
    <w:abstractNumId w:val="0"/>
  </w:num>
  <w:num w:numId="40">
    <w:abstractNumId w:val="88"/>
  </w:num>
  <w:num w:numId="41">
    <w:abstractNumId w:val="83"/>
  </w:num>
  <w:num w:numId="42">
    <w:abstractNumId w:val="60"/>
  </w:num>
  <w:num w:numId="43">
    <w:abstractNumId w:val="67"/>
  </w:num>
  <w:num w:numId="44">
    <w:abstractNumId w:val="45"/>
  </w:num>
  <w:num w:numId="45">
    <w:abstractNumId w:val="48"/>
  </w:num>
  <w:num w:numId="46">
    <w:abstractNumId w:val="8"/>
  </w:num>
  <w:num w:numId="47">
    <w:abstractNumId w:val="90"/>
  </w:num>
  <w:num w:numId="48">
    <w:abstractNumId w:val="82"/>
  </w:num>
  <w:num w:numId="49">
    <w:abstractNumId w:val="49"/>
  </w:num>
  <w:num w:numId="50">
    <w:abstractNumId w:val="63"/>
  </w:num>
  <w:num w:numId="51">
    <w:abstractNumId w:val="59"/>
  </w:num>
  <w:num w:numId="52">
    <w:abstractNumId w:val="7"/>
  </w:num>
  <w:num w:numId="53">
    <w:abstractNumId w:val="26"/>
  </w:num>
  <w:num w:numId="54">
    <w:abstractNumId w:val="62"/>
  </w:num>
  <w:num w:numId="55">
    <w:abstractNumId w:val="23"/>
  </w:num>
  <w:num w:numId="56">
    <w:abstractNumId w:val="11"/>
  </w:num>
  <w:num w:numId="57">
    <w:abstractNumId w:val="50"/>
  </w:num>
  <w:num w:numId="58">
    <w:abstractNumId w:val="40"/>
  </w:num>
  <w:num w:numId="59">
    <w:abstractNumId w:val="64"/>
  </w:num>
  <w:num w:numId="60">
    <w:abstractNumId w:val="6"/>
  </w:num>
  <w:num w:numId="61">
    <w:abstractNumId w:val="46"/>
  </w:num>
  <w:num w:numId="62">
    <w:abstractNumId w:val="70"/>
  </w:num>
  <w:num w:numId="63">
    <w:abstractNumId w:val="57"/>
  </w:num>
  <w:num w:numId="64">
    <w:abstractNumId w:val="35"/>
  </w:num>
  <w:num w:numId="65">
    <w:abstractNumId w:val="74"/>
  </w:num>
  <w:num w:numId="66">
    <w:abstractNumId w:val="44"/>
  </w:num>
  <w:num w:numId="67">
    <w:abstractNumId w:val="92"/>
  </w:num>
  <w:num w:numId="68">
    <w:abstractNumId w:val="55"/>
  </w:num>
  <w:num w:numId="69">
    <w:abstractNumId w:val="10"/>
  </w:num>
  <w:num w:numId="70">
    <w:abstractNumId w:val="56"/>
  </w:num>
  <w:num w:numId="71">
    <w:abstractNumId w:val="1"/>
  </w:num>
  <w:num w:numId="72">
    <w:abstractNumId w:val="72"/>
  </w:num>
  <w:num w:numId="73">
    <w:abstractNumId w:val="34"/>
  </w:num>
  <w:num w:numId="74">
    <w:abstractNumId w:val="17"/>
  </w:num>
  <w:num w:numId="75">
    <w:abstractNumId w:val="32"/>
  </w:num>
  <w:num w:numId="76">
    <w:abstractNumId w:val="86"/>
  </w:num>
  <w:num w:numId="7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9"/>
  </w:num>
  <w:num w:numId="79">
    <w:abstractNumId w:val="28"/>
  </w:num>
  <w:num w:numId="80">
    <w:abstractNumId w:val="5"/>
  </w:num>
  <w:num w:numId="81">
    <w:abstractNumId w:val="77"/>
  </w:num>
  <w:num w:numId="82">
    <w:abstractNumId w:val="69"/>
  </w:num>
  <w:num w:numId="83">
    <w:abstractNumId w:val="84"/>
  </w:num>
  <w:num w:numId="84">
    <w:abstractNumId w:val="2"/>
  </w:num>
  <w:num w:numId="85">
    <w:abstractNumId w:val="61"/>
  </w:num>
  <w:num w:numId="86">
    <w:abstractNumId w:val="66"/>
  </w:num>
  <w:num w:numId="87">
    <w:abstractNumId w:val="53"/>
  </w:num>
  <w:num w:numId="88">
    <w:abstractNumId w:val="29"/>
  </w:num>
  <w:num w:numId="89">
    <w:abstractNumId w:val="71"/>
  </w:num>
  <w:num w:numId="90">
    <w:abstractNumId w:val="76"/>
  </w:num>
  <w:num w:numId="91">
    <w:abstractNumId w:val="12"/>
  </w:num>
  <w:num w:numId="92">
    <w:abstractNumId w:val="80"/>
  </w:num>
  <w:num w:numId="93">
    <w:abstractNumId w:val="3"/>
  </w:num>
  <w:num w:numId="94">
    <w:abstractNumId w:val="32"/>
  </w:num>
  <w:num w:numId="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isplayBackgroundShape/>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uplicates NT"/>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IP in General\Academy|IP in General\Arbitration and Mediation|IP in General\Meetings|IP in General\Other|IP in General\Press Room|IP in General\Publications|Administrative\Meetings|Administrative\Other|Administrative\Publications"/>
    <w:docVar w:name="TextBaseURL" w:val="empty"/>
    <w:docVar w:name="UILng" w:val="en"/>
  </w:docVars>
  <w:rsids>
    <w:rsidRoot w:val="007658A8"/>
    <w:rsid w:val="000124A4"/>
    <w:rsid w:val="00063B6A"/>
    <w:rsid w:val="00067499"/>
    <w:rsid w:val="00070A0C"/>
    <w:rsid w:val="00076F3E"/>
    <w:rsid w:val="00082623"/>
    <w:rsid w:val="00083EF7"/>
    <w:rsid w:val="00085B43"/>
    <w:rsid w:val="0009563F"/>
    <w:rsid w:val="00097F61"/>
    <w:rsid w:val="000A5E43"/>
    <w:rsid w:val="000A664E"/>
    <w:rsid w:val="000B4E62"/>
    <w:rsid w:val="000C1AED"/>
    <w:rsid w:val="000C35E7"/>
    <w:rsid w:val="000D2274"/>
    <w:rsid w:val="000F1A6E"/>
    <w:rsid w:val="0010442A"/>
    <w:rsid w:val="00106829"/>
    <w:rsid w:val="00111DDF"/>
    <w:rsid w:val="001126A2"/>
    <w:rsid w:val="0012178F"/>
    <w:rsid w:val="00122FDE"/>
    <w:rsid w:val="00140799"/>
    <w:rsid w:val="001462DD"/>
    <w:rsid w:val="00147720"/>
    <w:rsid w:val="00147BB4"/>
    <w:rsid w:val="001523DC"/>
    <w:rsid w:val="0015421B"/>
    <w:rsid w:val="001655CA"/>
    <w:rsid w:val="00167DE6"/>
    <w:rsid w:val="00194574"/>
    <w:rsid w:val="001A4C22"/>
    <w:rsid w:val="001A4E63"/>
    <w:rsid w:val="001A5BF9"/>
    <w:rsid w:val="001A7B94"/>
    <w:rsid w:val="001B5CFE"/>
    <w:rsid w:val="001D553C"/>
    <w:rsid w:val="001E0F23"/>
    <w:rsid w:val="001E70E7"/>
    <w:rsid w:val="001F5113"/>
    <w:rsid w:val="001F6424"/>
    <w:rsid w:val="001F665F"/>
    <w:rsid w:val="002109D8"/>
    <w:rsid w:val="0021218C"/>
    <w:rsid w:val="002264E8"/>
    <w:rsid w:val="00226E30"/>
    <w:rsid w:val="0023086A"/>
    <w:rsid w:val="00232949"/>
    <w:rsid w:val="002331AD"/>
    <w:rsid w:val="00234CE1"/>
    <w:rsid w:val="002400BF"/>
    <w:rsid w:val="00251542"/>
    <w:rsid w:val="002576A9"/>
    <w:rsid w:val="00261484"/>
    <w:rsid w:val="00262B26"/>
    <w:rsid w:val="00293D2C"/>
    <w:rsid w:val="002950DF"/>
    <w:rsid w:val="002A2523"/>
    <w:rsid w:val="002A762E"/>
    <w:rsid w:val="002B564C"/>
    <w:rsid w:val="002C52FC"/>
    <w:rsid w:val="002D02F3"/>
    <w:rsid w:val="002D6F2A"/>
    <w:rsid w:val="002E1426"/>
    <w:rsid w:val="002E30B0"/>
    <w:rsid w:val="00305FA5"/>
    <w:rsid w:val="00311A3B"/>
    <w:rsid w:val="00312E07"/>
    <w:rsid w:val="003133EE"/>
    <w:rsid w:val="003153A5"/>
    <w:rsid w:val="003203D3"/>
    <w:rsid w:val="00332224"/>
    <w:rsid w:val="00332294"/>
    <w:rsid w:val="0033279F"/>
    <w:rsid w:val="00361674"/>
    <w:rsid w:val="00385904"/>
    <w:rsid w:val="00386403"/>
    <w:rsid w:val="00391253"/>
    <w:rsid w:val="00397C2A"/>
    <w:rsid w:val="003A3928"/>
    <w:rsid w:val="003A7DA2"/>
    <w:rsid w:val="003B6D28"/>
    <w:rsid w:val="003C618F"/>
    <w:rsid w:val="003D2207"/>
    <w:rsid w:val="003D32C1"/>
    <w:rsid w:val="003F6CFA"/>
    <w:rsid w:val="004007D3"/>
    <w:rsid w:val="00401321"/>
    <w:rsid w:val="004304AF"/>
    <w:rsid w:val="0043129C"/>
    <w:rsid w:val="004356CF"/>
    <w:rsid w:val="00435F59"/>
    <w:rsid w:val="00443231"/>
    <w:rsid w:val="00486AEA"/>
    <w:rsid w:val="004B047D"/>
    <w:rsid w:val="004C6D49"/>
    <w:rsid w:val="004D2DC5"/>
    <w:rsid w:val="004E5112"/>
    <w:rsid w:val="004F3E42"/>
    <w:rsid w:val="00502728"/>
    <w:rsid w:val="00516343"/>
    <w:rsid w:val="00545053"/>
    <w:rsid w:val="0056083E"/>
    <w:rsid w:val="00567E44"/>
    <w:rsid w:val="00582089"/>
    <w:rsid w:val="00585C2F"/>
    <w:rsid w:val="00592401"/>
    <w:rsid w:val="005B4F86"/>
    <w:rsid w:val="005B5604"/>
    <w:rsid w:val="005C3E25"/>
    <w:rsid w:val="005C5FA1"/>
    <w:rsid w:val="005C7CCE"/>
    <w:rsid w:val="00623665"/>
    <w:rsid w:val="00636D8B"/>
    <w:rsid w:val="0064432C"/>
    <w:rsid w:val="006574A9"/>
    <w:rsid w:val="00667FB3"/>
    <w:rsid w:val="006851DA"/>
    <w:rsid w:val="00686D5C"/>
    <w:rsid w:val="006A1627"/>
    <w:rsid w:val="006A66AD"/>
    <w:rsid w:val="006B7E80"/>
    <w:rsid w:val="006C679E"/>
    <w:rsid w:val="006D16B6"/>
    <w:rsid w:val="006D796D"/>
    <w:rsid w:val="006E4689"/>
    <w:rsid w:val="006F7107"/>
    <w:rsid w:val="00733AE8"/>
    <w:rsid w:val="00733F94"/>
    <w:rsid w:val="00734119"/>
    <w:rsid w:val="007366E5"/>
    <w:rsid w:val="007409F8"/>
    <w:rsid w:val="007414A0"/>
    <w:rsid w:val="00750E1F"/>
    <w:rsid w:val="00755C5C"/>
    <w:rsid w:val="00761625"/>
    <w:rsid w:val="007658A8"/>
    <w:rsid w:val="007731D1"/>
    <w:rsid w:val="00784255"/>
    <w:rsid w:val="00784E52"/>
    <w:rsid w:val="00795E32"/>
    <w:rsid w:val="00797A8B"/>
    <w:rsid w:val="007A524A"/>
    <w:rsid w:val="007A5394"/>
    <w:rsid w:val="007A77D2"/>
    <w:rsid w:val="007B04CB"/>
    <w:rsid w:val="007B0500"/>
    <w:rsid w:val="007C537F"/>
    <w:rsid w:val="007D47F2"/>
    <w:rsid w:val="007E442D"/>
    <w:rsid w:val="007E4BFB"/>
    <w:rsid w:val="007E5834"/>
    <w:rsid w:val="007F4207"/>
    <w:rsid w:val="00807546"/>
    <w:rsid w:val="0081044B"/>
    <w:rsid w:val="00811C89"/>
    <w:rsid w:val="00812285"/>
    <w:rsid w:val="00825154"/>
    <w:rsid w:val="00830A0F"/>
    <w:rsid w:val="008570B7"/>
    <w:rsid w:val="00857F09"/>
    <w:rsid w:val="00864E88"/>
    <w:rsid w:val="00866763"/>
    <w:rsid w:val="00880D61"/>
    <w:rsid w:val="00882581"/>
    <w:rsid w:val="00895C47"/>
    <w:rsid w:val="00896F15"/>
    <w:rsid w:val="008A271C"/>
    <w:rsid w:val="008E150B"/>
    <w:rsid w:val="008E60FE"/>
    <w:rsid w:val="008F19EC"/>
    <w:rsid w:val="008F3C2C"/>
    <w:rsid w:val="00901475"/>
    <w:rsid w:val="009040F4"/>
    <w:rsid w:val="00922501"/>
    <w:rsid w:val="009301E0"/>
    <w:rsid w:val="00933D5A"/>
    <w:rsid w:val="00937285"/>
    <w:rsid w:val="00955E96"/>
    <w:rsid w:val="009665DA"/>
    <w:rsid w:val="0096696E"/>
    <w:rsid w:val="009712C0"/>
    <w:rsid w:val="00983C48"/>
    <w:rsid w:val="0098611A"/>
    <w:rsid w:val="00987B37"/>
    <w:rsid w:val="00993241"/>
    <w:rsid w:val="009A0557"/>
    <w:rsid w:val="009A62FF"/>
    <w:rsid w:val="009B0EB1"/>
    <w:rsid w:val="009B1D84"/>
    <w:rsid w:val="009B28F7"/>
    <w:rsid w:val="009C658D"/>
    <w:rsid w:val="009D1C63"/>
    <w:rsid w:val="009D2FE2"/>
    <w:rsid w:val="009E0E77"/>
    <w:rsid w:val="00A13E94"/>
    <w:rsid w:val="00A20444"/>
    <w:rsid w:val="00A323B5"/>
    <w:rsid w:val="00A343B3"/>
    <w:rsid w:val="00A36B64"/>
    <w:rsid w:val="00A41D5A"/>
    <w:rsid w:val="00A4797D"/>
    <w:rsid w:val="00A515B4"/>
    <w:rsid w:val="00A70911"/>
    <w:rsid w:val="00A7273C"/>
    <w:rsid w:val="00A744D2"/>
    <w:rsid w:val="00A747A7"/>
    <w:rsid w:val="00A86EF2"/>
    <w:rsid w:val="00A930EA"/>
    <w:rsid w:val="00A93636"/>
    <w:rsid w:val="00A9776E"/>
    <w:rsid w:val="00AA3983"/>
    <w:rsid w:val="00AC077A"/>
    <w:rsid w:val="00AF56DE"/>
    <w:rsid w:val="00B10DA8"/>
    <w:rsid w:val="00B470C6"/>
    <w:rsid w:val="00B54F87"/>
    <w:rsid w:val="00B55E07"/>
    <w:rsid w:val="00B64C83"/>
    <w:rsid w:val="00B6612B"/>
    <w:rsid w:val="00B66DCC"/>
    <w:rsid w:val="00B76999"/>
    <w:rsid w:val="00B9205A"/>
    <w:rsid w:val="00B92EB0"/>
    <w:rsid w:val="00B93C56"/>
    <w:rsid w:val="00BA741D"/>
    <w:rsid w:val="00BB3F3E"/>
    <w:rsid w:val="00BB7B60"/>
    <w:rsid w:val="00BD43F2"/>
    <w:rsid w:val="00BD640D"/>
    <w:rsid w:val="00BE3BF9"/>
    <w:rsid w:val="00BF4F45"/>
    <w:rsid w:val="00C107B4"/>
    <w:rsid w:val="00C24718"/>
    <w:rsid w:val="00C26F40"/>
    <w:rsid w:val="00C373FF"/>
    <w:rsid w:val="00C44B56"/>
    <w:rsid w:val="00C4659B"/>
    <w:rsid w:val="00C5435B"/>
    <w:rsid w:val="00C61B12"/>
    <w:rsid w:val="00C72113"/>
    <w:rsid w:val="00C756AD"/>
    <w:rsid w:val="00C77664"/>
    <w:rsid w:val="00C82E6A"/>
    <w:rsid w:val="00C82EE5"/>
    <w:rsid w:val="00C8367A"/>
    <w:rsid w:val="00C9168C"/>
    <w:rsid w:val="00C9554C"/>
    <w:rsid w:val="00C959B5"/>
    <w:rsid w:val="00CB2895"/>
    <w:rsid w:val="00CB3CF6"/>
    <w:rsid w:val="00CC4700"/>
    <w:rsid w:val="00CD758D"/>
    <w:rsid w:val="00CE6E2B"/>
    <w:rsid w:val="00D10EBC"/>
    <w:rsid w:val="00D32A9C"/>
    <w:rsid w:val="00D33EAF"/>
    <w:rsid w:val="00D34B91"/>
    <w:rsid w:val="00D42474"/>
    <w:rsid w:val="00D46283"/>
    <w:rsid w:val="00D47893"/>
    <w:rsid w:val="00D50C75"/>
    <w:rsid w:val="00D54DAE"/>
    <w:rsid w:val="00D656BD"/>
    <w:rsid w:val="00D662FA"/>
    <w:rsid w:val="00D7163E"/>
    <w:rsid w:val="00D7345C"/>
    <w:rsid w:val="00D74EB9"/>
    <w:rsid w:val="00D819EF"/>
    <w:rsid w:val="00D90B16"/>
    <w:rsid w:val="00D93C72"/>
    <w:rsid w:val="00D97BB3"/>
    <w:rsid w:val="00DD499A"/>
    <w:rsid w:val="00DD7716"/>
    <w:rsid w:val="00DE1804"/>
    <w:rsid w:val="00DE4664"/>
    <w:rsid w:val="00DE6AB5"/>
    <w:rsid w:val="00DF60ED"/>
    <w:rsid w:val="00E05381"/>
    <w:rsid w:val="00E127F3"/>
    <w:rsid w:val="00E15133"/>
    <w:rsid w:val="00E40890"/>
    <w:rsid w:val="00E434F2"/>
    <w:rsid w:val="00E519E2"/>
    <w:rsid w:val="00E750E0"/>
    <w:rsid w:val="00EA350A"/>
    <w:rsid w:val="00EA3FF8"/>
    <w:rsid w:val="00ED5274"/>
    <w:rsid w:val="00ED7374"/>
    <w:rsid w:val="00EE7C90"/>
    <w:rsid w:val="00F14187"/>
    <w:rsid w:val="00F15D4F"/>
    <w:rsid w:val="00F174C1"/>
    <w:rsid w:val="00F31840"/>
    <w:rsid w:val="00F32D50"/>
    <w:rsid w:val="00F3334C"/>
    <w:rsid w:val="00F34A22"/>
    <w:rsid w:val="00F40E87"/>
    <w:rsid w:val="00F612B4"/>
    <w:rsid w:val="00F7033E"/>
    <w:rsid w:val="00F76B10"/>
    <w:rsid w:val="00F80E4F"/>
    <w:rsid w:val="00F820EF"/>
    <w:rsid w:val="00F93985"/>
    <w:rsid w:val="00F966A7"/>
    <w:rsid w:val="00FA4203"/>
    <w:rsid w:val="00FA74F6"/>
    <w:rsid w:val="00FC3E1C"/>
    <w:rsid w:val="00FE3459"/>
    <w:rsid w:val="00FF41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499A"/>
    <w:rPr>
      <w:rFonts w:ascii="Arial" w:hAnsi="Arial"/>
      <w:szCs w:val="24"/>
    </w:rPr>
  </w:style>
  <w:style w:type="paragraph" w:styleId="Heading1">
    <w:name w:val="heading 1"/>
    <w:basedOn w:val="Normal"/>
    <w:next w:val="Normal"/>
    <w:link w:val="Heading1Char"/>
    <w:qFormat/>
    <w:rsid w:val="007B0500"/>
    <w:pPr>
      <w:keepNext/>
      <w:numPr>
        <w:numId w:val="1"/>
      </w:numPr>
      <w:tabs>
        <w:tab w:val="clear" w:pos="3828"/>
        <w:tab w:val="left" w:pos="284"/>
      </w:tabs>
      <w:ind w:left="0" w:firstLine="0"/>
      <w:jc w:val="center"/>
      <w:outlineLvl w:val="0"/>
    </w:pPr>
    <w:rPr>
      <w:b/>
      <w:bCs/>
      <w:kern w:val="32"/>
      <w:sz w:val="22"/>
      <w:szCs w:val="22"/>
    </w:rPr>
  </w:style>
  <w:style w:type="paragraph" w:styleId="Heading2">
    <w:name w:val="heading 2"/>
    <w:basedOn w:val="Normal"/>
    <w:next w:val="Normal"/>
    <w:link w:val="Heading2Char"/>
    <w:qFormat/>
    <w:rsid w:val="00582788"/>
    <w:pPr>
      <w:keepNext/>
      <w:tabs>
        <w:tab w:val="left" w:pos="2268"/>
        <w:tab w:val="right" w:pos="9072"/>
      </w:tabs>
      <w:jc w:val="center"/>
      <w:outlineLvl w:val="1"/>
    </w:pPr>
    <w:rPr>
      <w:rFonts w:ascii="Arial Bold" w:hAnsi="Arial Bold"/>
      <w:b/>
      <w:bCs/>
      <w:iCs/>
      <w:caps/>
      <w:szCs w:val="28"/>
    </w:rPr>
  </w:style>
  <w:style w:type="paragraph" w:styleId="Heading3">
    <w:name w:val="heading 3"/>
    <w:basedOn w:val="Normal"/>
    <w:next w:val="Normal"/>
    <w:link w:val="Heading3Char"/>
    <w:qFormat/>
    <w:rsid w:val="00305272"/>
    <w:pPr>
      <w:keepNext/>
      <w:keepLines/>
      <w:tabs>
        <w:tab w:val="left" w:pos="2268"/>
      </w:tabs>
      <w:ind w:left="2268" w:hanging="2268"/>
      <w:outlineLvl w:val="2"/>
    </w:pPr>
    <w:rPr>
      <w:rFonts w:ascii="Arial Bold" w:hAnsi="Arial Bold"/>
      <w:b/>
      <w:bCs/>
      <w:caps/>
      <w:sz w:val="22"/>
    </w:rPr>
  </w:style>
  <w:style w:type="paragraph" w:styleId="Heading4">
    <w:name w:val="heading 4"/>
    <w:basedOn w:val="Normal"/>
    <w:next w:val="Normal"/>
    <w:link w:val="Heading4Char"/>
    <w:qFormat/>
    <w:rsid w:val="007343FE"/>
    <w:pPr>
      <w:keepNext/>
      <w:spacing w:before="120" w:after="60"/>
      <w:ind w:left="567" w:right="567"/>
      <w:jc w:val="center"/>
      <w:outlineLvl w:val="3"/>
    </w:pPr>
    <w:rPr>
      <w:rFonts w:ascii="Arial Bold" w:hAnsi="Arial Bold"/>
      <w:b/>
      <w:bCs/>
      <w: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table" w:styleId="TableGrid">
    <w:name w:val="Table Grid"/>
    <w:basedOn w:val="TableNormal"/>
    <w:rsid w:val="00765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rsid w:val="007658A8"/>
    <w:pPr>
      <w:spacing w:after="160" w:line="240" w:lineRule="exact"/>
    </w:pPr>
    <w:rPr>
      <w:rFonts w:ascii="Verdana" w:hAnsi="Verdana"/>
      <w:szCs w:val="20"/>
    </w:rPr>
  </w:style>
  <w:style w:type="paragraph" w:styleId="BodyText">
    <w:name w:val="Body Text"/>
    <w:basedOn w:val="Normal"/>
    <w:link w:val="BodyTextChar"/>
    <w:rsid w:val="007658A8"/>
    <w:rPr>
      <w:szCs w:val="20"/>
    </w:rPr>
  </w:style>
  <w:style w:type="character" w:customStyle="1" w:styleId="BodyTextChar">
    <w:name w:val="Body Text Char"/>
    <w:link w:val="BodyText"/>
    <w:rsid w:val="007658A8"/>
    <w:rPr>
      <w:rFonts w:ascii="Arial" w:hAnsi="Arial"/>
      <w:lang w:val="fr-FR" w:eastAsia="fr-FR" w:bidi="ar-SA"/>
    </w:rPr>
  </w:style>
  <w:style w:type="paragraph" w:styleId="BodyTextIndent">
    <w:name w:val="Body Text Indent"/>
    <w:basedOn w:val="Normal"/>
    <w:link w:val="BodyTextIndentChar"/>
    <w:rsid w:val="00101F3F"/>
    <w:pPr>
      <w:ind w:left="567"/>
    </w:pPr>
    <w:rPr>
      <w:szCs w:val="20"/>
    </w:rPr>
  </w:style>
  <w:style w:type="paragraph" w:styleId="Footer">
    <w:name w:val="footer"/>
    <w:basedOn w:val="Normal"/>
    <w:link w:val="FooterChar"/>
    <w:rsid w:val="00101F3F"/>
    <w:pPr>
      <w:tabs>
        <w:tab w:val="center" w:pos="4320"/>
        <w:tab w:val="right" w:pos="8640"/>
      </w:tabs>
    </w:pPr>
  </w:style>
  <w:style w:type="character" w:styleId="PageNumber">
    <w:name w:val="page number"/>
    <w:basedOn w:val="DefaultParagraphFont"/>
    <w:rsid w:val="00101F3F"/>
  </w:style>
  <w:style w:type="character" w:customStyle="1" w:styleId="CharChar">
    <w:name w:val="Char Char"/>
    <w:locked/>
    <w:rsid w:val="00FA18B8"/>
    <w:rPr>
      <w:rFonts w:ascii="Arial" w:hAnsi="Arial" w:cs="Times New Roman"/>
      <w:lang w:val="fr-FR" w:eastAsia="fr-FR" w:bidi="ar-SA"/>
    </w:rPr>
  </w:style>
  <w:style w:type="character" w:styleId="Hyperlink">
    <w:name w:val="Hyperlink"/>
    <w:uiPriority w:val="99"/>
    <w:rsid w:val="00D32A9C"/>
    <w:rPr>
      <w:rFonts w:ascii="Arial" w:hAnsi="Arial" w:cs="Arial"/>
      <w:color w:val="000099"/>
      <w:sz w:val="16"/>
      <w:szCs w:val="16"/>
      <w:u w:val="single"/>
    </w:rPr>
  </w:style>
  <w:style w:type="paragraph" w:styleId="FootnoteText">
    <w:name w:val="footnote text"/>
    <w:basedOn w:val="Normal"/>
    <w:link w:val="FootnoteTextChar"/>
    <w:semiHidden/>
    <w:rsid w:val="007C76C9"/>
    <w:rPr>
      <w:rFonts w:ascii="Times New Roman" w:hAnsi="Times New Roman"/>
      <w:szCs w:val="20"/>
    </w:rPr>
  </w:style>
  <w:style w:type="character" w:styleId="FootnoteReference">
    <w:name w:val="footnote reference"/>
    <w:rsid w:val="007C76C9"/>
    <w:rPr>
      <w:vertAlign w:val="superscript"/>
      <w:lang w:val="fr-FR" w:eastAsia="fr-FR"/>
    </w:rPr>
  </w:style>
  <w:style w:type="paragraph" w:styleId="BalloonText">
    <w:name w:val="Balloon Text"/>
    <w:basedOn w:val="Normal"/>
    <w:link w:val="BalloonTextChar"/>
    <w:semiHidden/>
    <w:rsid w:val="005C3C2A"/>
    <w:rPr>
      <w:rFonts w:ascii="Tahoma" w:hAnsi="Tahoma"/>
      <w:sz w:val="16"/>
      <w:szCs w:val="16"/>
    </w:rPr>
  </w:style>
  <w:style w:type="paragraph" w:customStyle="1" w:styleId="CarCar">
    <w:name w:val="Car Car"/>
    <w:basedOn w:val="Normal"/>
    <w:rsid w:val="00F229CA"/>
    <w:pPr>
      <w:spacing w:after="160" w:line="240" w:lineRule="exact"/>
    </w:pPr>
    <w:rPr>
      <w:rFonts w:ascii="Verdana" w:hAnsi="Verdana"/>
      <w:szCs w:val="20"/>
    </w:rPr>
  </w:style>
  <w:style w:type="character" w:styleId="CommentReference">
    <w:name w:val="annotation reference"/>
    <w:semiHidden/>
    <w:rsid w:val="00BE1EF6"/>
    <w:rPr>
      <w:sz w:val="16"/>
      <w:szCs w:val="16"/>
      <w:lang w:val="fr-FR" w:eastAsia="fr-FR"/>
    </w:rPr>
  </w:style>
  <w:style w:type="paragraph" w:styleId="CommentText">
    <w:name w:val="annotation text"/>
    <w:basedOn w:val="Normal"/>
    <w:link w:val="CommentTextChar"/>
    <w:semiHidden/>
    <w:rsid w:val="00BE1EF6"/>
    <w:rPr>
      <w:szCs w:val="20"/>
    </w:rPr>
  </w:style>
  <w:style w:type="paragraph" w:styleId="CommentSubject">
    <w:name w:val="annotation subject"/>
    <w:basedOn w:val="CommentText"/>
    <w:next w:val="CommentText"/>
    <w:link w:val="CommentSubjectChar"/>
    <w:semiHidden/>
    <w:rsid w:val="00BE1EF6"/>
    <w:rPr>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rPr>
  </w:style>
  <w:style w:type="character" w:customStyle="1" w:styleId="CharChar2">
    <w:name w:val="Char Char2"/>
    <w:rsid w:val="007E6799"/>
    <w:rPr>
      <w:rFonts w:ascii="Arial" w:hAnsi="Arial"/>
      <w:lang w:val="fr-FR" w:eastAsia="fr-FR" w:bidi="ar-SA"/>
    </w:rPr>
  </w:style>
  <w:style w:type="paragraph" w:styleId="TOC2">
    <w:name w:val="toc 2"/>
    <w:basedOn w:val="Normal"/>
    <w:next w:val="Normal"/>
    <w:autoRedefine/>
    <w:uiPriority w:val="39"/>
    <w:qFormat/>
    <w:rsid w:val="006E4689"/>
    <w:pPr>
      <w:keepNext/>
      <w:tabs>
        <w:tab w:val="left" w:pos="3289"/>
        <w:tab w:val="right" w:pos="9356"/>
      </w:tabs>
      <w:spacing w:before="240" w:after="120"/>
      <w:ind w:left="3346" w:right="284" w:hanging="3062"/>
    </w:pPr>
    <w:rPr>
      <w:rFonts w:ascii="Arial Bold" w:hAnsi="Arial Bold"/>
      <w:b/>
      <w:szCs w:val="20"/>
    </w:rPr>
  </w:style>
  <w:style w:type="paragraph" w:styleId="TOC1">
    <w:name w:val="toc 1"/>
    <w:basedOn w:val="Normal"/>
    <w:next w:val="Normal"/>
    <w:autoRedefine/>
    <w:uiPriority w:val="39"/>
    <w:qFormat/>
    <w:rsid w:val="008A725B"/>
    <w:pPr>
      <w:tabs>
        <w:tab w:val="left" w:pos="567"/>
        <w:tab w:val="right" w:pos="9356"/>
      </w:tabs>
      <w:spacing w:before="240" w:after="240"/>
      <w:ind w:left="567" w:hanging="567"/>
    </w:pPr>
    <w:rPr>
      <w:b/>
      <w:noProof/>
      <w:sz w:val="22"/>
    </w:rPr>
  </w:style>
  <w:style w:type="paragraph" w:customStyle="1" w:styleId="Indicators">
    <w:name w:val="Indicators"/>
    <w:basedOn w:val="Normal"/>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fr-FR" w:eastAsia="fr-FR" w:bidi="ar-SA"/>
    </w:rPr>
  </w:style>
  <w:style w:type="paragraph" w:customStyle="1" w:styleId="DecisionInvitingPara">
    <w:name w:val="Decision Inviting Para."/>
    <w:basedOn w:val="Normal"/>
    <w:rsid w:val="00222A8D"/>
    <w:pPr>
      <w:spacing w:after="120" w:line="260" w:lineRule="exact"/>
      <w:ind w:left="5534"/>
    </w:pPr>
    <w:rPr>
      <w:i/>
      <w:szCs w:val="20"/>
    </w:rPr>
  </w:style>
  <w:style w:type="paragraph" w:customStyle="1" w:styleId="preparedby">
    <w:name w:val="prepared by"/>
    <w:basedOn w:val="Normal"/>
    <w:next w:val="Normal"/>
    <w:rsid w:val="00222A8D"/>
    <w:pPr>
      <w:spacing w:after="480" w:line="260" w:lineRule="exact"/>
      <w:ind w:left="1021"/>
    </w:pPr>
    <w:rPr>
      <w:i/>
      <w:szCs w:val="20"/>
    </w:rPr>
  </w:style>
  <w:style w:type="paragraph" w:customStyle="1" w:styleId="Documenttitle">
    <w:name w:val="Document title"/>
    <w:basedOn w:val="Normal"/>
    <w:rsid w:val="00222A8D"/>
    <w:pPr>
      <w:spacing w:before="1200" w:after="120" w:line="260" w:lineRule="exact"/>
      <w:ind w:left="1021"/>
    </w:pPr>
    <w:rPr>
      <w:b/>
      <w:caps/>
      <w:szCs w:val="20"/>
    </w:rPr>
  </w:style>
  <w:style w:type="paragraph" w:customStyle="1" w:styleId="MeetinglanguageDate">
    <w:name w:val="Meeting language &amp; Date"/>
    <w:basedOn w:val="Normal"/>
    <w:next w:val="Meetingtitle"/>
    <w:rsid w:val="00222A8D"/>
    <w:pPr>
      <w:spacing w:after="1680" w:line="160" w:lineRule="exact"/>
      <w:ind w:left="1021"/>
      <w:contextualSpacing/>
      <w:jc w:val="right"/>
    </w:pPr>
    <w:rPr>
      <w:rFonts w:ascii="Arial Black" w:hAnsi="Arial Black"/>
      <w:b/>
      <w:caps/>
      <w:sz w:val="15"/>
      <w:szCs w:val="20"/>
    </w:rPr>
  </w:style>
  <w:style w:type="paragraph" w:customStyle="1" w:styleId="Language">
    <w:name w:val="Language"/>
    <w:basedOn w:val="Normal"/>
    <w:next w:val="Normal"/>
    <w:autoRedefine/>
    <w:rsid w:val="00222A8D"/>
    <w:pPr>
      <w:spacing w:after="120" w:line="340" w:lineRule="atLeast"/>
      <w:ind w:left="1021"/>
      <w:jc w:val="right"/>
    </w:pPr>
    <w:rPr>
      <w:b/>
      <w:caps/>
      <w:sz w:val="40"/>
      <w:szCs w:val="20"/>
    </w:rPr>
  </w:style>
  <w:style w:type="paragraph" w:customStyle="1" w:styleId="MeetingCode">
    <w:name w:val="Meeting Code"/>
    <w:basedOn w:val="MeetinglanguageDate"/>
    <w:rsid w:val="00222A8D"/>
    <w:pPr>
      <w:spacing w:before="300" w:after="0"/>
    </w:pPr>
  </w:style>
  <w:style w:type="paragraph" w:customStyle="1" w:styleId="Meetingtitle">
    <w:name w:val="Meeting title"/>
    <w:basedOn w:val="Normal"/>
    <w:next w:val="Sessiontitle"/>
    <w:rsid w:val="00222A8D"/>
    <w:pPr>
      <w:spacing w:after="360" w:line="336" w:lineRule="exact"/>
      <w:ind w:left="1021"/>
    </w:pPr>
    <w:rPr>
      <w:b/>
      <w:sz w:val="28"/>
      <w:szCs w:val="20"/>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style>
  <w:style w:type="character" w:customStyle="1" w:styleId="CharChar3">
    <w:name w:val="Char Char3"/>
    <w:rsid w:val="009100BA"/>
    <w:rPr>
      <w:rFonts w:ascii="Arial" w:hAnsi="Arial"/>
      <w:lang w:val="fr-FR" w:eastAsia="fr-FR" w:bidi="ar-SA"/>
    </w:rPr>
  </w:style>
  <w:style w:type="paragraph" w:styleId="BlockText">
    <w:name w:val="Block Text"/>
    <w:basedOn w:val="Normal"/>
    <w:rsid w:val="009100BA"/>
    <w:pPr>
      <w:spacing w:before="60" w:after="60"/>
      <w:ind w:left="266" w:right="142"/>
    </w:pPr>
    <w:rPr>
      <w:sz w:val="22"/>
      <w:szCs w:val="20"/>
    </w:rPr>
  </w:style>
  <w:style w:type="paragraph" w:customStyle="1" w:styleId="BoxText1">
    <w:name w:val="Box Text1"/>
    <w:basedOn w:val="Normal"/>
    <w:rsid w:val="009100BA"/>
    <w:pPr>
      <w:ind w:left="284"/>
    </w:pPr>
    <w:rPr>
      <w:snapToGrid w:val="0"/>
      <w:sz w:val="22"/>
      <w:szCs w:val="20"/>
    </w:rPr>
  </w:style>
  <w:style w:type="paragraph" w:customStyle="1" w:styleId="Normal1">
    <w:name w:val="Normal+1"/>
    <w:basedOn w:val="Normal"/>
    <w:next w:val="Normal"/>
    <w:rsid w:val="00191E10"/>
    <w:pPr>
      <w:autoSpaceDE w:val="0"/>
      <w:autoSpaceDN w:val="0"/>
      <w:adjustRightInd w:val="0"/>
    </w:pPr>
  </w:style>
  <w:style w:type="paragraph" w:styleId="NormalWeb">
    <w:name w:val="Normal (Web)"/>
    <w:basedOn w:val="Normal"/>
    <w:uiPriority w:val="99"/>
    <w:rsid w:val="00EE4CDE"/>
    <w:pPr>
      <w:spacing w:before="100" w:beforeAutospacing="1" w:after="100" w:afterAutospacing="1"/>
    </w:pPr>
    <w:rPr>
      <w:rFonts w:cs="Arial"/>
      <w:sz w:val="18"/>
      <w:szCs w:val="18"/>
    </w:rPr>
  </w:style>
  <w:style w:type="paragraph" w:styleId="BodyText2">
    <w:name w:val="Body Text 2"/>
    <w:basedOn w:val="Normal"/>
    <w:link w:val="BodyText2Char"/>
    <w:rsid w:val="00EE4CDE"/>
    <w:pPr>
      <w:spacing w:after="120" w:line="480" w:lineRule="auto"/>
    </w:pPr>
  </w:style>
  <w:style w:type="character" w:customStyle="1" w:styleId="CharChar4">
    <w:name w:val="Char Char4"/>
    <w:rsid w:val="00027DD5"/>
    <w:rPr>
      <w:rFonts w:ascii="Arial" w:hAnsi="Arial"/>
      <w:lang w:val="fr-FR" w:eastAsia="fr-FR" w:bidi="ar-SA"/>
    </w:rPr>
  </w:style>
  <w:style w:type="paragraph" w:customStyle="1" w:styleId="Paragraphedeliste">
    <w:name w:val="Paragraphe de liste"/>
    <w:basedOn w:val="Normal"/>
    <w:uiPriority w:val="34"/>
    <w:qFormat/>
    <w:rsid w:val="003071E6"/>
    <w:pPr>
      <w:ind w:left="720"/>
    </w:pPr>
    <w:rPr>
      <w:szCs w:val="20"/>
    </w:rPr>
  </w:style>
  <w:style w:type="character" w:styleId="FollowedHyperlink">
    <w:name w:val="FollowedHyperlink"/>
    <w:rsid w:val="009E4B99"/>
    <w:rPr>
      <w:color w:val="606420"/>
      <w:u w:val="single"/>
      <w:lang w:val="fr-FR" w:eastAsia="fr-FR"/>
    </w:rPr>
  </w:style>
  <w:style w:type="paragraph" w:customStyle="1" w:styleId="Meetingplacedate">
    <w:name w:val="Meeting place &amp; date"/>
    <w:basedOn w:val="Sessiontitle"/>
    <w:next w:val="Documenttitle"/>
    <w:rsid w:val="00862E39"/>
  </w:style>
  <w:style w:type="character" w:customStyle="1" w:styleId="CharChar6">
    <w:name w:val="Char Char6"/>
    <w:rsid w:val="00B767D6"/>
    <w:rPr>
      <w:rFonts w:ascii="Arial" w:hAnsi="Arial"/>
      <w:lang w:val="fr-FR" w:eastAsia="fr-FR" w:bidi="ar-SA"/>
    </w:rPr>
  </w:style>
  <w:style w:type="character" w:customStyle="1" w:styleId="Novruzova">
    <w:name w:val="Novruzova"/>
    <w:semiHidden/>
    <w:rsid w:val="00E774BF"/>
    <w:rPr>
      <w:rFonts w:ascii="Arial" w:hAnsi="Arial" w:cs="Arial"/>
      <w:color w:val="000080"/>
      <w:sz w:val="20"/>
      <w:szCs w:val="20"/>
      <w:lang w:val="fr-FR" w:eastAsia="fr-FR"/>
    </w:rPr>
  </w:style>
  <w:style w:type="character" w:customStyle="1" w:styleId="description">
    <w:name w:val="description"/>
    <w:basedOn w:val="DefaultParagraphFont"/>
    <w:rsid w:val="008A7EEB"/>
  </w:style>
  <w:style w:type="paragraph" w:customStyle="1" w:styleId="FreeFormA">
    <w:name w:val="Free Form A"/>
    <w:rsid w:val="003214B5"/>
    <w:rPr>
      <w:rFonts w:ascii="Helvetica" w:eastAsia="ヒラギノ角ゴ Pro W3" w:hAnsi="Helvetica"/>
      <w:color w:val="000000"/>
      <w:sz w:val="24"/>
    </w:rPr>
  </w:style>
  <w:style w:type="paragraph" w:customStyle="1" w:styleId="ONUME">
    <w:name w:val="ONUM E"/>
    <w:basedOn w:val="BodyText"/>
    <w:link w:val="ONUMEChar"/>
    <w:rsid w:val="00042826"/>
    <w:pPr>
      <w:spacing w:after="220"/>
    </w:pPr>
    <w:rPr>
      <w:rFonts w:eastAsia="SimSun" w:cs="Arial"/>
    </w:rPr>
  </w:style>
  <w:style w:type="paragraph" w:customStyle="1" w:styleId="Char">
    <w:name w:val="Char 字元 字元"/>
    <w:basedOn w:val="Normal"/>
    <w:rsid w:val="00C129E2"/>
    <w:pPr>
      <w:spacing w:after="160" w:line="240" w:lineRule="exact"/>
    </w:pPr>
    <w:rPr>
      <w:rFonts w:ascii="Verdana" w:eastAsia="PMingLiU" w:hAnsi="Verdana"/>
      <w:szCs w:val="20"/>
    </w:rPr>
  </w:style>
  <w:style w:type="character" w:customStyle="1" w:styleId="underline">
    <w:name w:val="underline"/>
    <w:rsid w:val="00C129E2"/>
    <w:rPr>
      <w:u w:val="single"/>
      <w:lang w:val="fr-FR" w:eastAsia="fr-FR"/>
    </w:rPr>
  </w:style>
  <w:style w:type="paragraph" w:customStyle="1" w:styleId="FreeForm">
    <w:name w:val="Free Form"/>
    <w:rsid w:val="009336F3"/>
    <w:rPr>
      <w:rFonts w:eastAsia="ヒラギノ角ゴ Pro W3"/>
      <w:color w:val="000000"/>
    </w:rPr>
  </w:style>
  <w:style w:type="paragraph" w:customStyle="1" w:styleId="Heading2A">
    <w:name w:val="Heading 2 A"/>
    <w:next w:val="Normal"/>
    <w:rsid w:val="009336F3"/>
    <w:pPr>
      <w:keepNext/>
      <w:tabs>
        <w:tab w:val="left" w:pos="567"/>
        <w:tab w:val="right" w:pos="9072"/>
      </w:tabs>
      <w:ind w:left="1701" w:hanging="1701"/>
      <w:outlineLvl w:val="1"/>
    </w:pPr>
    <w:rPr>
      <w:rFonts w:ascii="Arial Bold" w:eastAsia="ヒラギノ角ゴ Pro W3" w:hAnsi="Arial Bold"/>
      <w:color w:val="000000"/>
      <w:sz w:val="22"/>
    </w:rPr>
  </w:style>
  <w:style w:type="character" w:customStyle="1" w:styleId="FootnoteTextChar">
    <w:name w:val="Footnote Text Char"/>
    <w:link w:val="FootnoteText"/>
    <w:semiHidden/>
    <w:locked/>
    <w:rsid w:val="00415453"/>
    <w:rPr>
      <w:lang w:val="fr-FR" w:eastAsia="fr-FR" w:bidi="ar-SA"/>
    </w:rPr>
  </w:style>
  <w:style w:type="paragraph" w:customStyle="1" w:styleId="Normal-Header">
    <w:name w:val="Normal-Header"/>
    <w:rsid w:val="008B6ED6"/>
    <w:rPr>
      <w:rFonts w:ascii="Arial" w:hAnsi="Arial"/>
      <w:sz w:val="16"/>
    </w:rPr>
  </w:style>
  <w:style w:type="character" w:customStyle="1" w:styleId="Textedelespacerserv">
    <w:name w:val="Texte de l'espace réservé"/>
    <w:uiPriority w:val="99"/>
    <w:semiHidden/>
    <w:rsid w:val="00400A45"/>
    <w:rPr>
      <w:color w:val="808080"/>
      <w:lang w:val="fr-FR" w:eastAsia="fr-FR"/>
    </w:rPr>
  </w:style>
  <w:style w:type="character" w:customStyle="1" w:styleId="Style5">
    <w:name w:val="Style5"/>
    <w:uiPriority w:val="99"/>
    <w:rsid w:val="00400A45"/>
    <w:rPr>
      <w:rFonts w:ascii="Calibri" w:hAnsi="Calibri"/>
      <w:sz w:val="20"/>
      <w:lang w:val="fr-FR" w:eastAsia="fr-FR"/>
    </w:rPr>
  </w:style>
  <w:style w:type="paragraph" w:customStyle="1" w:styleId="Rvision">
    <w:name w:val="Révision"/>
    <w:hidden/>
    <w:uiPriority w:val="99"/>
    <w:semiHidden/>
    <w:rsid w:val="00A93FCA"/>
    <w:rPr>
      <w:rFonts w:ascii="Arial" w:hAnsi="Arial"/>
      <w:szCs w:val="24"/>
    </w:rPr>
  </w:style>
  <w:style w:type="paragraph" w:customStyle="1" w:styleId="StyleStyleHeading3ComplexItalicLatin12pt">
    <w:name w:val="Style Style Heading 3 + (Complex) Italic + (Latin) 12 pt"/>
    <w:basedOn w:val="Normal"/>
    <w:link w:val="StyleStyleHeading3ComplexItalicLatin12ptChar"/>
    <w:rsid w:val="00035B75"/>
    <w:pPr>
      <w:keepNext/>
      <w:tabs>
        <w:tab w:val="left" w:pos="1985"/>
      </w:tabs>
      <w:outlineLvl w:val="2"/>
    </w:pPr>
    <w:rPr>
      <w:b/>
      <w:iCs/>
      <w:caps/>
      <w:szCs w:val="22"/>
    </w:rPr>
  </w:style>
  <w:style w:type="character" w:customStyle="1" w:styleId="StyleStyleHeading3ComplexItalicLatin12ptChar">
    <w:name w:val="Style Style Heading 3 + (Complex) Italic + (Latin) 12 pt Char"/>
    <w:link w:val="StyleStyleHeading3ComplexItalicLatin12pt"/>
    <w:rsid w:val="00035B75"/>
    <w:rPr>
      <w:rFonts w:ascii="Arial" w:hAnsi="Arial"/>
      <w:b/>
      <w:iCs/>
      <w:caps/>
      <w:szCs w:val="22"/>
      <w:lang w:val="fr-FR" w:eastAsia="fr-FR"/>
    </w:rPr>
  </w:style>
  <w:style w:type="character" w:customStyle="1" w:styleId="FooterChar">
    <w:name w:val="Footer Char"/>
    <w:link w:val="Footer"/>
    <w:rsid w:val="00FC4F64"/>
    <w:rPr>
      <w:rFonts w:ascii="Arial" w:hAnsi="Arial"/>
      <w:szCs w:val="24"/>
      <w:lang w:val="fr-FR" w:eastAsia="fr-FR"/>
    </w:rPr>
  </w:style>
  <w:style w:type="paragraph" w:styleId="TOC3">
    <w:name w:val="toc 3"/>
    <w:basedOn w:val="Normal"/>
    <w:next w:val="Normal"/>
    <w:autoRedefine/>
    <w:uiPriority w:val="39"/>
    <w:qFormat/>
    <w:rsid w:val="001655CA"/>
    <w:pPr>
      <w:tabs>
        <w:tab w:val="left" w:pos="2665"/>
        <w:tab w:val="right" w:leader="dot" w:pos="9356"/>
      </w:tabs>
      <w:spacing w:before="120" w:after="120"/>
      <w:ind w:left="2381" w:right="1134" w:hanging="1814"/>
    </w:pPr>
  </w:style>
  <w:style w:type="character" w:customStyle="1" w:styleId="Heading3Char">
    <w:name w:val="Heading 3 Char"/>
    <w:link w:val="Heading3"/>
    <w:rsid w:val="00305272"/>
    <w:rPr>
      <w:rFonts w:ascii="Arial Bold" w:eastAsia="Times New Roman" w:hAnsi="Arial Bold" w:cs="Times New Roman"/>
      <w:b/>
      <w:bCs/>
      <w:caps/>
      <w:sz w:val="22"/>
      <w:szCs w:val="24"/>
      <w:lang w:val="fr-FR" w:eastAsia="fr-FR"/>
    </w:rPr>
  </w:style>
  <w:style w:type="character" w:customStyle="1" w:styleId="st">
    <w:name w:val="st"/>
    <w:basedOn w:val="DefaultParagraphFont"/>
    <w:rsid w:val="008B3E53"/>
  </w:style>
  <w:style w:type="character" w:customStyle="1" w:styleId="CommentTextChar">
    <w:name w:val="Comment Text Char"/>
    <w:link w:val="CommentText"/>
    <w:semiHidden/>
    <w:rsid w:val="008B3E53"/>
    <w:rPr>
      <w:rFonts w:ascii="Arial" w:hAnsi="Arial"/>
      <w:lang w:val="fr-FR" w:eastAsia="fr-FR"/>
    </w:rPr>
  </w:style>
  <w:style w:type="paragraph" w:customStyle="1" w:styleId="Style1">
    <w:name w:val="Style1"/>
    <w:basedOn w:val="Normal"/>
    <w:qFormat/>
    <w:rsid w:val="005660B2"/>
    <w:pPr>
      <w:numPr>
        <w:numId w:val="40"/>
      </w:numPr>
    </w:pPr>
  </w:style>
  <w:style w:type="paragraph" w:styleId="PlainText">
    <w:name w:val="Plain Text"/>
    <w:basedOn w:val="Normal"/>
    <w:link w:val="PlainTextChar"/>
    <w:uiPriority w:val="99"/>
    <w:unhideWhenUsed/>
    <w:rsid w:val="000B5438"/>
    <w:rPr>
      <w:rFonts w:ascii="Courier New" w:eastAsia="Calibri" w:hAnsi="Courier New"/>
      <w:sz w:val="22"/>
      <w:szCs w:val="21"/>
    </w:rPr>
  </w:style>
  <w:style w:type="character" w:customStyle="1" w:styleId="PlainTextChar">
    <w:name w:val="Plain Text Char"/>
    <w:link w:val="PlainText"/>
    <w:uiPriority w:val="99"/>
    <w:rsid w:val="000B5438"/>
    <w:rPr>
      <w:rFonts w:ascii="Courier New" w:eastAsia="Calibri" w:hAnsi="Courier New" w:cs="Times New Roman"/>
      <w:sz w:val="22"/>
      <w:szCs w:val="21"/>
      <w:lang w:val="fr-FR" w:eastAsia="fr-FR"/>
    </w:rPr>
  </w:style>
  <w:style w:type="paragraph" w:customStyle="1" w:styleId="Sansinterligne">
    <w:name w:val="Sans interligne"/>
    <w:uiPriority w:val="1"/>
    <w:qFormat/>
    <w:rsid w:val="000B5438"/>
    <w:rPr>
      <w:rFonts w:ascii="Calibri" w:eastAsia="Calibri" w:hAnsi="Calibri"/>
      <w:sz w:val="22"/>
      <w:szCs w:val="22"/>
    </w:rPr>
  </w:style>
  <w:style w:type="paragraph" w:customStyle="1" w:styleId="CharCharCharChar2">
    <w:name w:val="Char Char Char Char2"/>
    <w:basedOn w:val="Normal"/>
    <w:rsid w:val="00145892"/>
    <w:pPr>
      <w:spacing w:after="160" w:line="240" w:lineRule="exact"/>
    </w:pPr>
    <w:rPr>
      <w:rFonts w:ascii="Verdana" w:hAnsi="Verdana"/>
      <w:szCs w:val="20"/>
    </w:rPr>
  </w:style>
  <w:style w:type="paragraph" w:customStyle="1" w:styleId="StyleHeading214ptAuto">
    <w:name w:val="Style Heading 2 + 14 pt Auto"/>
    <w:basedOn w:val="Heading2"/>
    <w:rsid w:val="00145892"/>
    <w:pPr>
      <w:keepNext w:val="0"/>
      <w:widowControl w:val="0"/>
      <w:tabs>
        <w:tab w:val="clear" w:pos="2268"/>
        <w:tab w:val="clear" w:pos="9072"/>
        <w:tab w:val="num" w:pos="567"/>
      </w:tabs>
      <w:spacing w:line="300" w:lineRule="atLeast"/>
      <w:ind w:left="567" w:hanging="567"/>
    </w:pPr>
    <w:rPr>
      <w:sz w:val="24"/>
    </w:rPr>
  </w:style>
  <w:style w:type="paragraph" w:customStyle="1" w:styleId="StyleHeading3ComplexItalic">
    <w:name w:val="Style Heading 3 + (Complex) Italic"/>
    <w:basedOn w:val="Heading3"/>
    <w:link w:val="StyleHeading3ComplexItalicChar"/>
    <w:rsid w:val="00121D79"/>
    <w:pPr>
      <w:keepLines w:val="0"/>
      <w:tabs>
        <w:tab w:val="clear" w:pos="2268"/>
        <w:tab w:val="left" w:pos="1985"/>
      </w:tabs>
      <w:ind w:left="0" w:firstLine="0"/>
    </w:pPr>
    <w:rPr>
      <w:rFonts w:ascii="Arial" w:hAnsi="Arial"/>
      <w:bCs w:val="0"/>
      <w:iCs/>
      <w:szCs w:val="22"/>
    </w:rPr>
  </w:style>
  <w:style w:type="character" w:customStyle="1" w:styleId="StyleHeading3ComplexItalicChar">
    <w:name w:val="Style Heading 3 + (Complex) Italic Char"/>
    <w:link w:val="StyleHeading3ComplexItalic"/>
    <w:rsid w:val="00121D79"/>
    <w:rPr>
      <w:rFonts w:ascii="Arial" w:hAnsi="Arial" w:cs="Arial"/>
      <w:b/>
      <w:iCs/>
      <w:caps/>
      <w:sz w:val="22"/>
      <w:szCs w:val="22"/>
      <w:lang w:val="fr-FR" w:eastAsia="fr-FR"/>
    </w:rPr>
  </w:style>
  <w:style w:type="paragraph" w:customStyle="1" w:styleId="Test">
    <w:name w:val="Test"/>
    <w:basedOn w:val="Normal"/>
    <w:qFormat/>
    <w:rsid w:val="0078145B"/>
    <w:pPr>
      <w:numPr>
        <w:numId w:val="76"/>
      </w:numPr>
    </w:pPr>
    <w:rPr>
      <w:rFonts w:eastAsia="Calibri" w:cs="Arial"/>
      <w:sz w:val="22"/>
      <w:szCs w:val="22"/>
    </w:rPr>
  </w:style>
  <w:style w:type="paragraph" w:styleId="Salutation">
    <w:name w:val="Salutation"/>
    <w:basedOn w:val="Normal"/>
    <w:next w:val="Normal"/>
    <w:link w:val="SalutationChar"/>
    <w:rsid w:val="005703CF"/>
    <w:rPr>
      <w:rFonts w:ascii="Times New Roman" w:hAnsi="Times New Roman"/>
      <w:sz w:val="24"/>
    </w:rPr>
  </w:style>
  <w:style w:type="character" w:customStyle="1" w:styleId="SalutationChar">
    <w:name w:val="Salutation Char"/>
    <w:link w:val="Salutation"/>
    <w:rsid w:val="005703CF"/>
    <w:rPr>
      <w:sz w:val="24"/>
      <w:szCs w:val="24"/>
      <w:lang w:val="fr-FR" w:eastAsia="fr-FR"/>
    </w:rPr>
  </w:style>
  <w:style w:type="paragraph" w:styleId="Signature">
    <w:name w:val="Signature"/>
    <w:basedOn w:val="Normal"/>
    <w:link w:val="SignatureChar"/>
    <w:rsid w:val="005703CF"/>
    <w:pPr>
      <w:ind w:left="5250"/>
    </w:pPr>
    <w:rPr>
      <w:rFonts w:ascii="Times New Roman" w:hAnsi="Times New Roman"/>
      <w:sz w:val="24"/>
    </w:rPr>
  </w:style>
  <w:style w:type="character" w:customStyle="1" w:styleId="SignatureChar">
    <w:name w:val="Signature Char"/>
    <w:link w:val="Signature"/>
    <w:rsid w:val="005703CF"/>
    <w:rPr>
      <w:sz w:val="24"/>
      <w:szCs w:val="24"/>
      <w:lang w:val="fr-FR" w:eastAsia="fr-FR"/>
    </w:rPr>
  </w:style>
  <w:style w:type="paragraph" w:styleId="EndnoteText">
    <w:name w:val="endnote text"/>
    <w:basedOn w:val="Normal"/>
    <w:link w:val="EndnoteTextChar"/>
    <w:rsid w:val="005703CF"/>
    <w:rPr>
      <w:rFonts w:ascii="Times New Roman" w:hAnsi="Times New Roman"/>
      <w:sz w:val="18"/>
      <w:szCs w:val="20"/>
    </w:rPr>
  </w:style>
  <w:style w:type="character" w:customStyle="1" w:styleId="EndnoteTextChar">
    <w:name w:val="Endnote Text Char"/>
    <w:link w:val="EndnoteText"/>
    <w:rsid w:val="005703CF"/>
    <w:rPr>
      <w:sz w:val="18"/>
      <w:lang w:val="fr-FR" w:eastAsia="fr-FR"/>
    </w:rPr>
  </w:style>
  <w:style w:type="paragraph" w:styleId="Caption">
    <w:name w:val="caption"/>
    <w:basedOn w:val="Normal"/>
    <w:next w:val="Normal"/>
    <w:qFormat/>
    <w:rsid w:val="005703CF"/>
    <w:rPr>
      <w:rFonts w:ascii="Times New Roman" w:hAnsi="Times New Roman"/>
      <w:b/>
      <w:bCs/>
      <w:sz w:val="18"/>
      <w:szCs w:val="20"/>
    </w:rPr>
  </w:style>
  <w:style w:type="paragraph" w:customStyle="1" w:styleId="ONUMFS">
    <w:name w:val="ONUM FS"/>
    <w:basedOn w:val="ONUME"/>
    <w:rsid w:val="001A5BF9"/>
    <w:pPr>
      <w:numPr>
        <w:numId w:val="93"/>
      </w:numPr>
    </w:pPr>
    <w:rPr>
      <w:sz w:val="22"/>
      <w:szCs w:val="22"/>
    </w:rPr>
  </w:style>
  <w:style w:type="paragraph" w:styleId="ListNumber">
    <w:name w:val="List Number"/>
    <w:basedOn w:val="Normal"/>
    <w:rsid w:val="005703CF"/>
    <w:pPr>
      <w:numPr>
        <w:numId w:val="2"/>
      </w:numPr>
    </w:pPr>
    <w:rPr>
      <w:rFonts w:ascii="Times New Roman" w:hAnsi="Times New Roman"/>
      <w:sz w:val="24"/>
    </w:rPr>
  </w:style>
  <w:style w:type="paragraph" w:customStyle="1" w:styleId="CharCharCharChar1">
    <w:name w:val="Char Char Char Char1"/>
    <w:basedOn w:val="Normal"/>
    <w:rsid w:val="005703CF"/>
    <w:pPr>
      <w:spacing w:after="160" w:line="240" w:lineRule="exact"/>
    </w:pPr>
    <w:rPr>
      <w:rFonts w:ascii="Verdana" w:hAnsi="Verdana"/>
      <w:szCs w:val="20"/>
    </w:rPr>
  </w:style>
  <w:style w:type="character" w:customStyle="1" w:styleId="CharChar1">
    <w:name w:val="Char Char1"/>
    <w:locked/>
    <w:rsid w:val="005703CF"/>
    <w:rPr>
      <w:rFonts w:ascii="Arial" w:hAnsi="Arial" w:cs="Times New Roman"/>
      <w:lang w:val="fr-FR" w:eastAsia="fr-FR" w:bidi="ar-SA"/>
    </w:rPr>
  </w:style>
  <w:style w:type="paragraph" w:customStyle="1" w:styleId="CarCar1">
    <w:name w:val="Car Car1"/>
    <w:basedOn w:val="Normal"/>
    <w:rsid w:val="005703CF"/>
    <w:pPr>
      <w:spacing w:after="160" w:line="240" w:lineRule="exact"/>
    </w:pPr>
    <w:rPr>
      <w:rFonts w:ascii="Verdana" w:hAnsi="Verdana"/>
      <w:szCs w:val="20"/>
    </w:rPr>
  </w:style>
  <w:style w:type="character" w:customStyle="1" w:styleId="CharChar21">
    <w:name w:val="Char Char21"/>
    <w:rsid w:val="005703CF"/>
    <w:rPr>
      <w:rFonts w:ascii="Arial" w:hAnsi="Arial"/>
      <w:lang w:val="fr-FR" w:eastAsia="fr-FR" w:bidi="ar-SA"/>
    </w:rPr>
  </w:style>
  <w:style w:type="character" w:customStyle="1" w:styleId="CharChar31">
    <w:name w:val="Char Char31"/>
    <w:rsid w:val="005703CF"/>
    <w:rPr>
      <w:rFonts w:ascii="Arial" w:hAnsi="Arial"/>
      <w:lang w:val="fr-FR" w:eastAsia="fr-FR" w:bidi="ar-SA"/>
    </w:rPr>
  </w:style>
  <w:style w:type="character" w:customStyle="1" w:styleId="CharChar41">
    <w:name w:val="Char Char41"/>
    <w:rsid w:val="005703CF"/>
    <w:rPr>
      <w:rFonts w:ascii="Arial" w:hAnsi="Arial"/>
      <w:lang w:val="fr-FR" w:eastAsia="fr-FR" w:bidi="ar-SA"/>
    </w:rPr>
  </w:style>
  <w:style w:type="character" w:customStyle="1" w:styleId="CharChar61">
    <w:name w:val="Char Char61"/>
    <w:rsid w:val="005703CF"/>
    <w:rPr>
      <w:rFonts w:ascii="Arial" w:hAnsi="Arial"/>
      <w:lang w:val="fr-FR" w:eastAsia="fr-FR" w:bidi="ar-SA"/>
    </w:rPr>
  </w:style>
  <w:style w:type="paragraph" w:customStyle="1" w:styleId="Char1">
    <w:name w:val="Char 字元 字元1"/>
    <w:basedOn w:val="Normal"/>
    <w:rsid w:val="005703CF"/>
    <w:pPr>
      <w:spacing w:after="160" w:line="240" w:lineRule="exact"/>
    </w:pPr>
    <w:rPr>
      <w:rFonts w:ascii="Verdana" w:eastAsia="PMingLiU" w:hAnsi="Verdana"/>
      <w:szCs w:val="20"/>
    </w:rPr>
  </w:style>
  <w:style w:type="character" w:customStyle="1" w:styleId="HeaderChar">
    <w:name w:val="Header Char"/>
    <w:link w:val="Header"/>
    <w:locked/>
    <w:rsid w:val="005703CF"/>
    <w:rPr>
      <w:rFonts w:ascii="Arial" w:hAnsi="Arial"/>
      <w:szCs w:val="24"/>
      <w:lang w:val="fr-FR" w:eastAsia="fr-FR"/>
    </w:rPr>
  </w:style>
  <w:style w:type="table" w:customStyle="1" w:styleId="TableGrid1">
    <w:name w:val="Table Grid1"/>
    <w:basedOn w:val="TableNormal"/>
    <w:next w:val="TableGrid"/>
    <w:uiPriority w:val="59"/>
    <w:rsid w:val="00035F8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ttedetabledesmatires">
    <w:name w:val="En-tête de table des matières"/>
    <w:basedOn w:val="Heading1"/>
    <w:next w:val="Normal"/>
    <w:uiPriority w:val="39"/>
    <w:semiHidden/>
    <w:unhideWhenUsed/>
    <w:qFormat/>
    <w:rsid w:val="007343FE"/>
    <w:pPr>
      <w:keepLines/>
      <w:numPr>
        <w:numId w:val="0"/>
      </w:numPr>
      <w:tabs>
        <w:tab w:val="clear" w:pos="284"/>
      </w:tabs>
      <w:spacing w:before="480" w:line="276" w:lineRule="auto"/>
      <w:jc w:val="left"/>
      <w:outlineLvl w:val="9"/>
    </w:pPr>
    <w:rPr>
      <w:rFonts w:ascii="Cambria" w:hAnsi="Cambria"/>
      <w:color w:val="365F91"/>
      <w:sz w:val="28"/>
      <w:szCs w:val="28"/>
    </w:rPr>
  </w:style>
  <w:style w:type="paragraph" w:styleId="TOC4">
    <w:name w:val="toc 4"/>
    <w:basedOn w:val="Normal"/>
    <w:next w:val="Normal"/>
    <w:autoRedefine/>
    <w:uiPriority w:val="39"/>
    <w:rsid w:val="008A725B"/>
    <w:pPr>
      <w:tabs>
        <w:tab w:val="right" w:pos="9356"/>
      </w:tabs>
      <w:spacing w:before="180"/>
      <w:ind w:left="1985" w:right="567" w:hanging="1418"/>
    </w:pPr>
    <w:rPr>
      <w:rFonts w:eastAsia="Calibri"/>
      <w:noProof/>
    </w:rPr>
  </w:style>
  <w:style w:type="paragraph" w:customStyle="1" w:styleId="Endofdocument">
    <w:name w:val="End of document"/>
    <w:basedOn w:val="Normal"/>
    <w:rsid w:val="006A1FCF"/>
    <w:pPr>
      <w:ind w:left="4536"/>
      <w:jc w:val="center"/>
    </w:pPr>
    <w:rPr>
      <w:rFonts w:ascii="Times New Roman" w:hAnsi="Times New Roman"/>
      <w:sz w:val="24"/>
      <w:szCs w:val="20"/>
    </w:rPr>
  </w:style>
  <w:style w:type="paragraph" w:customStyle="1" w:styleId="Endofdocument-Annex">
    <w:name w:val="[End of document - Annex]"/>
    <w:basedOn w:val="Normal"/>
    <w:rsid w:val="00455C73"/>
    <w:pPr>
      <w:ind w:left="5534"/>
    </w:pPr>
    <w:rPr>
      <w:rFonts w:eastAsia="SimSun" w:cs="Arial"/>
      <w:sz w:val="22"/>
      <w:szCs w:val="20"/>
    </w:rPr>
  </w:style>
  <w:style w:type="character" w:customStyle="1" w:styleId="Heading1Char">
    <w:name w:val="Heading 1 Char"/>
    <w:link w:val="Heading1"/>
    <w:rsid w:val="007B0500"/>
    <w:rPr>
      <w:rFonts w:ascii="Arial" w:hAnsi="Arial"/>
      <w:b/>
      <w:bCs/>
      <w:kern w:val="32"/>
      <w:sz w:val="22"/>
      <w:szCs w:val="22"/>
    </w:rPr>
  </w:style>
  <w:style w:type="character" w:customStyle="1" w:styleId="Heading2Char">
    <w:name w:val="Heading 2 Char"/>
    <w:link w:val="Heading2"/>
    <w:rsid w:val="000F5CF2"/>
    <w:rPr>
      <w:rFonts w:ascii="Arial Bold" w:hAnsi="Arial Bold" w:cs="Arial"/>
      <w:b/>
      <w:bCs/>
      <w:iCs/>
      <w:caps/>
      <w:szCs w:val="28"/>
      <w:lang w:val="fr-FR" w:eastAsia="fr-FR"/>
    </w:rPr>
  </w:style>
  <w:style w:type="character" w:customStyle="1" w:styleId="Heading4Char">
    <w:name w:val="Heading 4 Char"/>
    <w:link w:val="Heading4"/>
    <w:rsid w:val="000F5CF2"/>
    <w:rPr>
      <w:rFonts w:ascii="Arial Bold" w:hAnsi="Arial Bold"/>
      <w:b/>
      <w:bCs/>
      <w:caps/>
      <w:szCs w:val="28"/>
      <w:lang w:val="fr-FR" w:eastAsia="fr-FR"/>
    </w:rPr>
  </w:style>
  <w:style w:type="character" w:customStyle="1" w:styleId="BodyTextIndentChar">
    <w:name w:val="Body Text Indent Char"/>
    <w:link w:val="BodyTextIndent"/>
    <w:rsid w:val="000F5CF2"/>
    <w:rPr>
      <w:rFonts w:ascii="Arial" w:hAnsi="Arial"/>
      <w:lang w:val="fr-FR" w:eastAsia="fr-FR"/>
    </w:rPr>
  </w:style>
  <w:style w:type="character" w:customStyle="1" w:styleId="BalloonTextChar">
    <w:name w:val="Balloon Text Char"/>
    <w:link w:val="BalloonText"/>
    <w:semiHidden/>
    <w:rsid w:val="000F5CF2"/>
    <w:rPr>
      <w:rFonts w:ascii="Tahoma" w:hAnsi="Tahoma" w:cs="Tahoma"/>
      <w:sz w:val="16"/>
      <w:szCs w:val="16"/>
      <w:lang w:val="fr-FR" w:eastAsia="fr-FR"/>
    </w:rPr>
  </w:style>
  <w:style w:type="character" w:customStyle="1" w:styleId="CommentSubjectChar">
    <w:name w:val="Comment Subject Char"/>
    <w:link w:val="CommentSubject"/>
    <w:semiHidden/>
    <w:rsid w:val="000F5CF2"/>
    <w:rPr>
      <w:rFonts w:ascii="Arial" w:hAnsi="Arial"/>
      <w:b/>
      <w:bCs/>
      <w:lang w:val="fr-FR" w:eastAsia="fr-FR"/>
    </w:rPr>
  </w:style>
  <w:style w:type="character" w:customStyle="1" w:styleId="BodyText2Char">
    <w:name w:val="Body Text 2 Char"/>
    <w:link w:val="BodyText2"/>
    <w:rsid w:val="000F5CF2"/>
    <w:rPr>
      <w:rFonts w:ascii="Arial" w:hAnsi="Arial"/>
      <w:szCs w:val="24"/>
      <w:lang w:val="fr-FR" w:eastAsia="fr-FR"/>
    </w:rPr>
  </w:style>
  <w:style w:type="paragraph" w:styleId="DocumentMap">
    <w:name w:val="Document Map"/>
    <w:basedOn w:val="Normal"/>
    <w:semiHidden/>
    <w:rsid w:val="00085B43"/>
    <w:pPr>
      <w:shd w:val="clear" w:color="auto" w:fill="000080"/>
    </w:pPr>
    <w:rPr>
      <w:rFonts w:ascii="Tahoma" w:hAnsi="Tahoma" w:cs="Tahoma"/>
      <w:szCs w:val="20"/>
    </w:rPr>
  </w:style>
  <w:style w:type="paragraph" w:styleId="ListParagraph">
    <w:name w:val="List Paragraph"/>
    <w:basedOn w:val="Normal"/>
    <w:uiPriority w:val="34"/>
    <w:qFormat/>
    <w:rsid w:val="00D33EAF"/>
    <w:pPr>
      <w:ind w:left="720"/>
      <w:contextualSpacing/>
    </w:pPr>
  </w:style>
  <w:style w:type="character" w:customStyle="1" w:styleId="ONUMEChar">
    <w:name w:val="ONUM E Char"/>
    <w:link w:val="ONUME"/>
    <w:rsid w:val="00880D61"/>
    <w:rPr>
      <w:rFonts w:ascii="Arial" w:eastAsia="SimSu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499A"/>
    <w:rPr>
      <w:rFonts w:ascii="Arial" w:hAnsi="Arial"/>
      <w:szCs w:val="24"/>
    </w:rPr>
  </w:style>
  <w:style w:type="paragraph" w:styleId="Heading1">
    <w:name w:val="heading 1"/>
    <w:basedOn w:val="Normal"/>
    <w:next w:val="Normal"/>
    <w:link w:val="Heading1Char"/>
    <w:qFormat/>
    <w:rsid w:val="007B0500"/>
    <w:pPr>
      <w:keepNext/>
      <w:numPr>
        <w:numId w:val="1"/>
      </w:numPr>
      <w:tabs>
        <w:tab w:val="clear" w:pos="3828"/>
        <w:tab w:val="left" w:pos="284"/>
      </w:tabs>
      <w:ind w:left="0" w:firstLine="0"/>
      <w:jc w:val="center"/>
      <w:outlineLvl w:val="0"/>
    </w:pPr>
    <w:rPr>
      <w:b/>
      <w:bCs/>
      <w:kern w:val="32"/>
      <w:sz w:val="22"/>
      <w:szCs w:val="22"/>
    </w:rPr>
  </w:style>
  <w:style w:type="paragraph" w:styleId="Heading2">
    <w:name w:val="heading 2"/>
    <w:basedOn w:val="Normal"/>
    <w:next w:val="Normal"/>
    <w:link w:val="Heading2Char"/>
    <w:qFormat/>
    <w:rsid w:val="00582788"/>
    <w:pPr>
      <w:keepNext/>
      <w:tabs>
        <w:tab w:val="left" w:pos="2268"/>
        <w:tab w:val="right" w:pos="9072"/>
      </w:tabs>
      <w:jc w:val="center"/>
      <w:outlineLvl w:val="1"/>
    </w:pPr>
    <w:rPr>
      <w:rFonts w:ascii="Arial Bold" w:hAnsi="Arial Bold"/>
      <w:b/>
      <w:bCs/>
      <w:iCs/>
      <w:caps/>
      <w:szCs w:val="28"/>
    </w:rPr>
  </w:style>
  <w:style w:type="paragraph" w:styleId="Heading3">
    <w:name w:val="heading 3"/>
    <w:basedOn w:val="Normal"/>
    <w:next w:val="Normal"/>
    <w:link w:val="Heading3Char"/>
    <w:qFormat/>
    <w:rsid w:val="00305272"/>
    <w:pPr>
      <w:keepNext/>
      <w:keepLines/>
      <w:tabs>
        <w:tab w:val="left" w:pos="2268"/>
      </w:tabs>
      <w:ind w:left="2268" w:hanging="2268"/>
      <w:outlineLvl w:val="2"/>
    </w:pPr>
    <w:rPr>
      <w:rFonts w:ascii="Arial Bold" w:hAnsi="Arial Bold"/>
      <w:b/>
      <w:bCs/>
      <w:caps/>
      <w:sz w:val="22"/>
    </w:rPr>
  </w:style>
  <w:style w:type="paragraph" w:styleId="Heading4">
    <w:name w:val="heading 4"/>
    <w:basedOn w:val="Normal"/>
    <w:next w:val="Normal"/>
    <w:link w:val="Heading4Char"/>
    <w:qFormat/>
    <w:rsid w:val="007343FE"/>
    <w:pPr>
      <w:keepNext/>
      <w:spacing w:before="120" w:after="60"/>
      <w:ind w:left="567" w:right="567"/>
      <w:jc w:val="center"/>
      <w:outlineLvl w:val="3"/>
    </w:pPr>
    <w:rPr>
      <w:rFonts w:ascii="Arial Bold" w:hAnsi="Arial Bold"/>
      <w:b/>
      <w:bCs/>
      <w:cap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table" w:styleId="TableGrid">
    <w:name w:val="Table Grid"/>
    <w:basedOn w:val="TableNormal"/>
    <w:rsid w:val="00765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rsid w:val="007658A8"/>
    <w:pPr>
      <w:spacing w:after="160" w:line="240" w:lineRule="exact"/>
    </w:pPr>
    <w:rPr>
      <w:rFonts w:ascii="Verdana" w:hAnsi="Verdana"/>
      <w:szCs w:val="20"/>
    </w:rPr>
  </w:style>
  <w:style w:type="paragraph" w:styleId="BodyText">
    <w:name w:val="Body Text"/>
    <w:basedOn w:val="Normal"/>
    <w:link w:val="BodyTextChar"/>
    <w:rsid w:val="007658A8"/>
    <w:rPr>
      <w:szCs w:val="20"/>
    </w:rPr>
  </w:style>
  <w:style w:type="character" w:customStyle="1" w:styleId="BodyTextChar">
    <w:name w:val="Body Text Char"/>
    <w:link w:val="BodyText"/>
    <w:rsid w:val="007658A8"/>
    <w:rPr>
      <w:rFonts w:ascii="Arial" w:hAnsi="Arial"/>
      <w:lang w:val="fr-FR" w:eastAsia="fr-FR" w:bidi="ar-SA"/>
    </w:rPr>
  </w:style>
  <w:style w:type="paragraph" w:styleId="BodyTextIndent">
    <w:name w:val="Body Text Indent"/>
    <w:basedOn w:val="Normal"/>
    <w:link w:val="BodyTextIndentChar"/>
    <w:rsid w:val="00101F3F"/>
    <w:pPr>
      <w:ind w:left="567"/>
    </w:pPr>
    <w:rPr>
      <w:szCs w:val="20"/>
    </w:rPr>
  </w:style>
  <w:style w:type="paragraph" w:styleId="Footer">
    <w:name w:val="footer"/>
    <w:basedOn w:val="Normal"/>
    <w:link w:val="FooterChar"/>
    <w:rsid w:val="00101F3F"/>
    <w:pPr>
      <w:tabs>
        <w:tab w:val="center" w:pos="4320"/>
        <w:tab w:val="right" w:pos="8640"/>
      </w:tabs>
    </w:pPr>
  </w:style>
  <w:style w:type="character" w:styleId="PageNumber">
    <w:name w:val="page number"/>
    <w:basedOn w:val="DefaultParagraphFont"/>
    <w:rsid w:val="00101F3F"/>
  </w:style>
  <w:style w:type="character" w:customStyle="1" w:styleId="CharChar">
    <w:name w:val="Char Char"/>
    <w:locked/>
    <w:rsid w:val="00FA18B8"/>
    <w:rPr>
      <w:rFonts w:ascii="Arial" w:hAnsi="Arial" w:cs="Times New Roman"/>
      <w:lang w:val="fr-FR" w:eastAsia="fr-FR" w:bidi="ar-SA"/>
    </w:rPr>
  </w:style>
  <w:style w:type="character" w:styleId="Hyperlink">
    <w:name w:val="Hyperlink"/>
    <w:uiPriority w:val="99"/>
    <w:rsid w:val="00D32A9C"/>
    <w:rPr>
      <w:rFonts w:ascii="Arial" w:hAnsi="Arial" w:cs="Arial"/>
      <w:color w:val="000099"/>
      <w:sz w:val="16"/>
      <w:szCs w:val="16"/>
      <w:u w:val="single"/>
    </w:rPr>
  </w:style>
  <w:style w:type="paragraph" w:styleId="FootnoteText">
    <w:name w:val="footnote text"/>
    <w:basedOn w:val="Normal"/>
    <w:link w:val="FootnoteTextChar"/>
    <w:semiHidden/>
    <w:rsid w:val="007C76C9"/>
    <w:rPr>
      <w:rFonts w:ascii="Times New Roman" w:hAnsi="Times New Roman"/>
      <w:szCs w:val="20"/>
    </w:rPr>
  </w:style>
  <w:style w:type="character" w:styleId="FootnoteReference">
    <w:name w:val="footnote reference"/>
    <w:rsid w:val="007C76C9"/>
    <w:rPr>
      <w:vertAlign w:val="superscript"/>
      <w:lang w:val="fr-FR" w:eastAsia="fr-FR"/>
    </w:rPr>
  </w:style>
  <w:style w:type="paragraph" w:styleId="BalloonText">
    <w:name w:val="Balloon Text"/>
    <w:basedOn w:val="Normal"/>
    <w:link w:val="BalloonTextChar"/>
    <w:semiHidden/>
    <w:rsid w:val="005C3C2A"/>
    <w:rPr>
      <w:rFonts w:ascii="Tahoma" w:hAnsi="Tahoma"/>
      <w:sz w:val="16"/>
      <w:szCs w:val="16"/>
    </w:rPr>
  </w:style>
  <w:style w:type="paragraph" w:customStyle="1" w:styleId="CarCar">
    <w:name w:val="Car Car"/>
    <w:basedOn w:val="Normal"/>
    <w:rsid w:val="00F229CA"/>
    <w:pPr>
      <w:spacing w:after="160" w:line="240" w:lineRule="exact"/>
    </w:pPr>
    <w:rPr>
      <w:rFonts w:ascii="Verdana" w:hAnsi="Verdana"/>
      <w:szCs w:val="20"/>
    </w:rPr>
  </w:style>
  <w:style w:type="character" w:styleId="CommentReference">
    <w:name w:val="annotation reference"/>
    <w:semiHidden/>
    <w:rsid w:val="00BE1EF6"/>
    <w:rPr>
      <w:sz w:val="16"/>
      <w:szCs w:val="16"/>
      <w:lang w:val="fr-FR" w:eastAsia="fr-FR"/>
    </w:rPr>
  </w:style>
  <w:style w:type="paragraph" w:styleId="CommentText">
    <w:name w:val="annotation text"/>
    <w:basedOn w:val="Normal"/>
    <w:link w:val="CommentTextChar"/>
    <w:semiHidden/>
    <w:rsid w:val="00BE1EF6"/>
    <w:rPr>
      <w:szCs w:val="20"/>
    </w:rPr>
  </w:style>
  <w:style w:type="paragraph" w:styleId="CommentSubject">
    <w:name w:val="annotation subject"/>
    <w:basedOn w:val="CommentText"/>
    <w:next w:val="CommentText"/>
    <w:link w:val="CommentSubjectChar"/>
    <w:semiHidden/>
    <w:rsid w:val="00BE1EF6"/>
    <w:rPr>
      <w:b/>
      <w:bCs/>
    </w:rPr>
  </w:style>
  <w:style w:type="paragraph" w:customStyle="1" w:styleId="Default">
    <w:name w:val="Default"/>
    <w:rsid w:val="007E6799"/>
    <w:pPr>
      <w:autoSpaceDE w:val="0"/>
      <w:autoSpaceDN w:val="0"/>
      <w:adjustRightInd w:val="0"/>
    </w:pPr>
    <w:rPr>
      <w:rFonts w:ascii="Arial" w:eastAsia="Batang" w:hAnsi="Arial" w:cs="Arial"/>
      <w:color w:val="000000"/>
      <w:sz w:val="24"/>
      <w:szCs w:val="24"/>
    </w:rPr>
  </w:style>
  <w:style w:type="character" w:customStyle="1" w:styleId="CharChar2">
    <w:name w:val="Char Char2"/>
    <w:rsid w:val="007E6799"/>
    <w:rPr>
      <w:rFonts w:ascii="Arial" w:hAnsi="Arial"/>
      <w:lang w:val="fr-FR" w:eastAsia="fr-FR" w:bidi="ar-SA"/>
    </w:rPr>
  </w:style>
  <w:style w:type="paragraph" w:styleId="TOC2">
    <w:name w:val="toc 2"/>
    <w:basedOn w:val="Normal"/>
    <w:next w:val="Normal"/>
    <w:autoRedefine/>
    <w:uiPriority w:val="39"/>
    <w:qFormat/>
    <w:rsid w:val="006E4689"/>
    <w:pPr>
      <w:keepNext/>
      <w:tabs>
        <w:tab w:val="left" w:pos="3289"/>
        <w:tab w:val="right" w:pos="9356"/>
      </w:tabs>
      <w:spacing w:before="240" w:after="120"/>
      <w:ind w:left="3346" w:right="284" w:hanging="3062"/>
    </w:pPr>
    <w:rPr>
      <w:rFonts w:ascii="Arial Bold" w:hAnsi="Arial Bold"/>
      <w:b/>
      <w:szCs w:val="20"/>
    </w:rPr>
  </w:style>
  <w:style w:type="paragraph" w:styleId="TOC1">
    <w:name w:val="toc 1"/>
    <w:basedOn w:val="Normal"/>
    <w:next w:val="Normal"/>
    <w:autoRedefine/>
    <w:uiPriority w:val="39"/>
    <w:qFormat/>
    <w:rsid w:val="008A725B"/>
    <w:pPr>
      <w:tabs>
        <w:tab w:val="left" w:pos="567"/>
        <w:tab w:val="right" w:pos="9356"/>
      </w:tabs>
      <w:spacing w:before="240" w:after="240"/>
      <w:ind w:left="567" w:hanging="567"/>
    </w:pPr>
    <w:rPr>
      <w:b/>
      <w:noProof/>
      <w:sz w:val="22"/>
    </w:rPr>
  </w:style>
  <w:style w:type="paragraph" w:customStyle="1" w:styleId="Indicators">
    <w:name w:val="Indicators"/>
    <w:basedOn w:val="Normal"/>
    <w:link w:val="IndicatorsChar"/>
    <w:rsid w:val="00E7796E"/>
    <w:pPr>
      <w:spacing w:before="120"/>
      <w:ind w:left="284" w:right="170"/>
    </w:pPr>
    <w:rPr>
      <w:szCs w:val="20"/>
    </w:rPr>
  </w:style>
  <w:style w:type="character" w:customStyle="1" w:styleId="IndicatorsChar">
    <w:name w:val="Indicators Char"/>
    <w:link w:val="Indicators"/>
    <w:rsid w:val="00E7796E"/>
    <w:rPr>
      <w:rFonts w:ascii="Arial" w:hAnsi="Arial"/>
      <w:lang w:val="fr-FR" w:eastAsia="fr-FR" w:bidi="ar-SA"/>
    </w:rPr>
  </w:style>
  <w:style w:type="paragraph" w:customStyle="1" w:styleId="DecisionInvitingPara">
    <w:name w:val="Decision Inviting Para."/>
    <w:basedOn w:val="Normal"/>
    <w:rsid w:val="00222A8D"/>
    <w:pPr>
      <w:spacing w:after="120" w:line="260" w:lineRule="exact"/>
      <w:ind w:left="5534"/>
    </w:pPr>
    <w:rPr>
      <w:i/>
      <w:szCs w:val="20"/>
    </w:rPr>
  </w:style>
  <w:style w:type="paragraph" w:customStyle="1" w:styleId="preparedby">
    <w:name w:val="prepared by"/>
    <w:basedOn w:val="Normal"/>
    <w:next w:val="Normal"/>
    <w:rsid w:val="00222A8D"/>
    <w:pPr>
      <w:spacing w:after="480" w:line="260" w:lineRule="exact"/>
      <w:ind w:left="1021"/>
    </w:pPr>
    <w:rPr>
      <w:i/>
      <w:szCs w:val="20"/>
    </w:rPr>
  </w:style>
  <w:style w:type="paragraph" w:customStyle="1" w:styleId="Documenttitle">
    <w:name w:val="Document title"/>
    <w:basedOn w:val="Normal"/>
    <w:rsid w:val="00222A8D"/>
    <w:pPr>
      <w:spacing w:before="1200" w:after="120" w:line="260" w:lineRule="exact"/>
      <w:ind w:left="1021"/>
    </w:pPr>
    <w:rPr>
      <w:b/>
      <w:caps/>
      <w:szCs w:val="20"/>
    </w:rPr>
  </w:style>
  <w:style w:type="paragraph" w:customStyle="1" w:styleId="MeetinglanguageDate">
    <w:name w:val="Meeting language &amp; Date"/>
    <w:basedOn w:val="Normal"/>
    <w:next w:val="Meetingtitle"/>
    <w:rsid w:val="00222A8D"/>
    <w:pPr>
      <w:spacing w:after="1680" w:line="160" w:lineRule="exact"/>
      <w:ind w:left="1021"/>
      <w:contextualSpacing/>
      <w:jc w:val="right"/>
    </w:pPr>
    <w:rPr>
      <w:rFonts w:ascii="Arial Black" w:hAnsi="Arial Black"/>
      <w:b/>
      <w:caps/>
      <w:sz w:val="15"/>
      <w:szCs w:val="20"/>
    </w:rPr>
  </w:style>
  <w:style w:type="paragraph" w:customStyle="1" w:styleId="Language">
    <w:name w:val="Language"/>
    <w:basedOn w:val="Normal"/>
    <w:next w:val="Normal"/>
    <w:autoRedefine/>
    <w:rsid w:val="00222A8D"/>
    <w:pPr>
      <w:spacing w:after="120" w:line="340" w:lineRule="atLeast"/>
      <w:ind w:left="1021"/>
      <w:jc w:val="right"/>
    </w:pPr>
    <w:rPr>
      <w:b/>
      <w:caps/>
      <w:sz w:val="40"/>
      <w:szCs w:val="20"/>
    </w:rPr>
  </w:style>
  <w:style w:type="paragraph" w:customStyle="1" w:styleId="MeetingCode">
    <w:name w:val="Meeting Code"/>
    <w:basedOn w:val="MeetinglanguageDate"/>
    <w:rsid w:val="00222A8D"/>
    <w:pPr>
      <w:spacing w:before="300" w:after="0"/>
    </w:pPr>
  </w:style>
  <w:style w:type="paragraph" w:customStyle="1" w:styleId="Meetingtitle">
    <w:name w:val="Meeting title"/>
    <w:basedOn w:val="Normal"/>
    <w:next w:val="Sessiontitle"/>
    <w:rsid w:val="00222A8D"/>
    <w:pPr>
      <w:spacing w:after="360" w:line="336" w:lineRule="exact"/>
      <w:ind w:left="1021"/>
    </w:pPr>
    <w:rPr>
      <w:b/>
      <w:sz w:val="28"/>
      <w:szCs w:val="20"/>
    </w:rPr>
  </w:style>
  <w:style w:type="paragraph" w:customStyle="1" w:styleId="Sessiontitle">
    <w:name w:val="Session title"/>
    <w:basedOn w:val="Meetingtitle"/>
    <w:next w:val="Meetingdateplace"/>
    <w:rsid w:val="00222A8D"/>
    <w:pPr>
      <w:spacing w:after="0"/>
    </w:pPr>
    <w:rPr>
      <w:sz w:val="24"/>
    </w:rPr>
  </w:style>
  <w:style w:type="paragraph" w:customStyle="1" w:styleId="Meetingdateplace">
    <w:name w:val="Meeting date &amp; place"/>
    <w:basedOn w:val="Sessiontitle"/>
    <w:next w:val="Documenttitle"/>
    <w:rsid w:val="00222A8D"/>
  </w:style>
  <w:style w:type="character" w:customStyle="1" w:styleId="CharChar3">
    <w:name w:val="Char Char3"/>
    <w:rsid w:val="009100BA"/>
    <w:rPr>
      <w:rFonts w:ascii="Arial" w:hAnsi="Arial"/>
      <w:lang w:val="fr-FR" w:eastAsia="fr-FR" w:bidi="ar-SA"/>
    </w:rPr>
  </w:style>
  <w:style w:type="paragraph" w:styleId="BlockText">
    <w:name w:val="Block Text"/>
    <w:basedOn w:val="Normal"/>
    <w:rsid w:val="009100BA"/>
    <w:pPr>
      <w:spacing w:before="60" w:after="60"/>
      <w:ind w:left="266" w:right="142"/>
    </w:pPr>
    <w:rPr>
      <w:sz w:val="22"/>
      <w:szCs w:val="20"/>
    </w:rPr>
  </w:style>
  <w:style w:type="paragraph" w:customStyle="1" w:styleId="BoxText1">
    <w:name w:val="Box Text1"/>
    <w:basedOn w:val="Normal"/>
    <w:rsid w:val="009100BA"/>
    <w:pPr>
      <w:ind w:left="284"/>
    </w:pPr>
    <w:rPr>
      <w:snapToGrid w:val="0"/>
      <w:sz w:val="22"/>
      <w:szCs w:val="20"/>
    </w:rPr>
  </w:style>
  <w:style w:type="paragraph" w:customStyle="1" w:styleId="Normal1">
    <w:name w:val="Normal+1"/>
    <w:basedOn w:val="Normal"/>
    <w:next w:val="Normal"/>
    <w:rsid w:val="00191E10"/>
    <w:pPr>
      <w:autoSpaceDE w:val="0"/>
      <w:autoSpaceDN w:val="0"/>
      <w:adjustRightInd w:val="0"/>
    </w:pPr>
  </w:style>
  <w:style w:type="paragraph" w:styleId="NormalWeb">
    <w:name w:val="Normal (Web)"/>
    <w:basedOn w:val="Normal"/>
    <w:uiPriority w:val="99"/>
    <w:rsid w:val="00EE4CDE"/>
    <w:pPr>
      <w:spacing w:before="100" w:beforeAutospacing="1" w:after="100" w:afterAutospacing="1"/>
    </w:pPr>
    <w:rPr>
      <w:rFonts w:cs="Arial"/>
      <w:sz w:val="18"/>
      <w:szCs w:val="18"/>
    </w:rPr>
  </w:style>
  <w:style w:type="paragraph" w:styleId="BodyText2">
    <w:name w:val="Body Text 2"/>
    <w:basedOn w:val="Normal"/>
    <w:link w:val="BodyText2Char"/>
    <w:rsid w:val="00EE4CDE"/>
    <w:pPr>
      <w:spacing w:after="120" w:line="480" w:lineRule="auto"/>
    </w:pPr>
  </w:style>
  <w:style w:type="character" w:customStyle="1" w:styleId="CharChar4">
    <w:name w:val="Char Char4"/>
    <w:rsid w:val="00027DD5"/>
    <w:rPr>
      <w:rFonts w:ascii="Arial" w:hAnsi="Arial"/>
      <w:lang w:val="fr-FR" w:eastAsia="fr-FR" w:bidi="ar-SA"/>
    </w:rPr>
  </w:style>
  <w:style w:type="paragraph" w:customStyle="1" w:styleId="Paragraphedeliste">
    <w:name w:val="Paragraphe de liste"/>
    <w:basedOn w:val="Normal"/>
    <w:uiPriority w:val="34"/>
    <w:qFormat/>
    <w:rsid w:val="003071E6"/>
    <w:pPr>
      <w:ind w:left="720"/>
    </w:pPr>
    <w:rPr>
      <w:szCs w:val="20"/>
    </w:rPr>
  </w:style>
  <w:style w:type="character" w:styleId="FollowedHyperlink">
    <w:name w:val="FollowedHyperlink"/>
    <w:rsid w:val="009E4B99"/>
    <w:rPr>
      <w:color w:val="606420"/>
      <w:u w:val="single"/>
      <w:lang w:val="fr-FR" w:eastAsia="fr-FR"/>
    </w:rPr>
  </w:style>
  <w:style w:type="paragraph" w:customStyle="1" w:styleId="Meetingplacedate">
    <w:name w:val="Meeting place &amp; date"/>
    <w:basedOn w:val="Sessiontitle"/>
    <w:next w:val="Documenttitle"/>
    <w:rsid w:val="00862E39"/>
  </w:style>
  <w:style w:type="character" w:customStyle="1" w:styleId="CharChar6">
    <w:name w:val="Char Char6"/>
    <w:rsid w:val="00B767D6"/>
    <w:rPr>
      <w:rFonts w:ascii="Arial" w:hAnsi="Arial"/>
      <w:lang w:val="fr-FR" w:eastAsia="fr-FR" w:bidi="ar-SA"/>
    </w:rPr>
  </w:style>
  <w:style w:type="character" w:customStyle="1" w:styleId="Novruzova">
    <w:name w:val="Novruzova"/>
    <w:semiHidden/>
    <w:rsid w:val="00E774BF"/>
    <w:rPr>
      <w:rFonts w:ascii="Arial" w:hAnsi="Arial" w:cs="Arial"/>
      <w:color w:val="000080"/>
      <w:sz w:val="20"/>
      <w:szCs w:val="20"/>
      <w:lang w:val="fr-FR" w:eastAsia="fr-FR"/>
    </w:rPr>
  </w:style>
  <w:style w:type="character" w:customStyle="1" w:styleId="description">
    <w:name w:val="description"/>
    <w:basedOn w:val="DefaultParagraphFont"/>
    <w:rsid w:val="008A7EEB"/>
  </w:style>
  <w:style w:type="paragraph" w:customStyle="1" w:styleId="FreeFormA">
    <w:name w:val="Free Form A"/>
    <w:rsid w:val="003214B5"/>
    <w:rPr>
      <w:rFonts w:ascii="Helvetica" w:eastAsia="ヒラギノ角ゴ Pro W3" w:hAnsi="Helvetica"/>
      <w:color w:val="000000"/>
      <w:sz w:val="24"/>
    </w:rPr>
  </w:style>
  <w:style w:type="paragraph" w:customStyle="1" w:styleId="ONUME">
    <w:name w:val="ONUM E"/>
    <w:basedOn w:val="BodyText"/>
    <w:link w:val="ONUMEChar"/>
    <w:rsid w:val="00042826"/>
    <w:pPr>
      <w:spacing w:after="220"/>
    </w:pPr>
    <w:rPr>
      <w:rFonts w:eastAsia="SimSun" w:cs="Arial"/>
    </w:rPr>
  </w:style>
  <w:style w:type="paragraph" w:customStyle="1" w:styleId="Char">
    <w:name w:val="Char 字元 字元"/>
    <w:basedOn w:val="Normal"/>
    <w:rsid w:val="00C129E2"/>
    <w:pPr>
      <w:spacing w:after="160" w:line="240" w:lineRule="exact"/>
    </w:pPr>
    <w:rPr>
      <w:rFonts w:ascii="Verdana" w:eastAsia="PMingLiU" w:hAnsi="Verdana"/>
      <w:szCs w:val="20"/>
    </w:rPr>
  </w:style>
  <w:style w:type="character" w:customStyle="1" w:styleId="underline">
    <w:name w:val="underline"/>
    <w:rsid w:val="00C129E2"/>
    <w:rPr>
      <w:u w:val="single"/>
      <w:lang w:val="fr-FR" w:eastAsia="fr-FR"/>
    </w:rPr>
  </w:style>
  <w:style w:type="paragraph" w:customStyle="1" w:styleId="FreeForm">
    <w:name w:val="Free Form"/>
    <w:rsid w:val="009336F3"/>
    <w:rPr>
      <w:rFonts w:eastAsia="ヒラギノ角ゴ Pro W3"/>
      <w:color w:val="000000"/>
    </w:rPr>
  </w:style>
  <w:style w:type="paragraph" w:customStyle="1" w:styleId="Heading2A">
    <w:name w:val="Heading 2 A"/>
    <w:next w:val="Normal"/>
    <w:rsid w:val="009336F3"/>
    <w:pPr>
      <w:keepNext/>
      <w:tabs>
        <w:tab w:val="left" w:pos="567"/>
        <w:tab w:val="right" w:pos="9072"/>
      </w:tabs>
      <w:ind w:left="1701" w:hanging="1701"/>
      <w:outlineLvl w:val="1"/>
    </w:pPr>
    <w:rPr>
      <w:rFonts w:ascii="Arial Bold" w:eastAsia="ヒラギノ角ゴ Pro W3" w:hAnsi="Arial Bold"/>
      <w:color w:val="000000"/>
      <w:sz w:val="22"/>
    </w:rPr>
  </w:style>
  <w:style w:type="character" w:customStyle="1" w:styleId="FootnoteTextChar">
    <w:name w:val="Footnote Text Char"/>
    <w:link w:val="FootnoteText"/>
    <w:semiHidden/>
    <w:locked/>
    <w:rsid w:val="00415453"/>
    <w:rPr>
      <w:lang w:val="fr-FR" w:eastAsia="fr-FR" w:bidi="ar-SA"/>
    </w:rPr>
  </w:style>
  <w:style w:type="paragraph" w:customStyle="1" w:styleId="Normal-Header">
    <w:name w:val="Normal-Header"/>
    <w:rsid w:val="008B6ED6"/>
    <w:rPr>
      <w:rFonts w:ascii="Arial" w:hAnsi="Arial"/>
      <w:sz w:val="16"/>
    </w:rPr>
  </w:style>
  <w:style w:type="character" w:customStyle="1" w:styleId="Textedelespacerserv">
    <w:name w:val="Texte de l'espace réservé"/>
    <w:uiPriority w:val="99"/>
    <w:semiHidden/>
    <w:rsid w:val="00400A45"/>
    <w:rPr>
      <w:color w:val="808080"/>
      <w:lang w:val="fr-FR" w:eastAsia="fr-FR"/>
    </w:rPr>
  </w:style>
  <w:style w:type="character" w:customStyle="1" w:styleId="Style5">
    <w:name w:val="Style5"/>
    <w:uiPriority w:val="99"/>
    <w:rsid w:val="00400A45"/>
    <w:rPr>
      <w:rFonts w:ascii="Calibri" w:hAnsi="Calibri"/>
      <w:sz w:val="20"/>
      <w:lang w:val="fr-FR" w:eastAsia="fr-FR"/>
    </w:rPr>
  </w:style>
  <w:style w:type="paragraph" w:customStyle="1" w:styleId="Rvision">
    <w:name w:val="Révision"/>
    <w:hidden/>
    <w:uiPriority w:val="99"/>
    <w:semiHidden/>
    <w:rsid w:val="00A93FCA"/>
    <w:rPr>
      <w:rFonts w:ascii="Arial" w:hAnsi="Arial"/>
      <w:szCs w:val="24"/>
    </w:rPr>
  </w:style>
  <w:style w:type="paragraph" w:customStyle="1" w:styleId="StyleStyleHeading3ComplexItalicLatin12pt">
    <w:name w:val="Style Style Heading 3 + (Complex) Italic + (Latin) 12 pt"/>
    <w:basedOn w:val="Normal"/>
    <w:link w:val="StyleStyleHeading3ComplexItalicLatin12ptChar"/>
    <w:rsid w:val="00035B75"/>
    <w:pPr>
      <w:keepNext/>
      <w:tabs>
        <w:tab w:val="left" w:pos="1985"/>
      </w:tabs>
      <w:outlineLvl w:val="2"/>
    </w:pPr>
    <w:rPr>
      <w:b/>
      <w:iCs/>
      <w:caps/>
      <w:szCs w:val="22"/>
    </w:rPr>
  </w:style>
  <w:style w:type="character" w:customStyle="1" w:styleId="StyleStyleHeading3ComplexItalicLatin12ptChar">
    <w:name w:val="Style Style Heading 3 + (Complex) Italic + (Latin) 12 pt Char"/>
    <w:link w:val="StyleStyleHeading3ComplexItalicLatin12pt"/>
    <w:rsid w:val="00035B75"/>
    <w:rPr>
      <w:rFonts w:ascii="Arial" w:hAnsi="Arial"/>
      <w:b/>
      <w:iCs/>
      <w:caps/>
      <w:szCs w:val="22"/>
      <w:lang w:val="fr-FR" w:eastAsia="fr-FR"/>
    </w:rPr>
  </w:style>
  <w:style w:type="character" w:customStyle="1" w:styleId="FooterChar">
    <w:name w:val="Footer Char"/>
    <w:link w:val="Footer"/>
    <w:rsid w:val="00FC4F64"/>
    <w:rPr>
      <w:rFonts w:ascii="Arial" w:hAnsi="Arial"/>
      <w:szCs w:val="24"/>
      <w:lang w:val="fr-FR" w:eastAsia="fr-FR"/>
    </w:rPr>
  </w:style>
  <w:style w:type="paragraph" w:styleId="TOC3">
    <w:name w:val="toc 3"/>
    <w:basedOn w:val="Normal"/>
    <w:next w:val="Normal"/>
    <w:autoRedefine/>
    <w:uiPriority w:val="39"/>
    <w:qFormat/>
    <w:rsid w:val="001655CA"/>
    <w:pPr>
      <w:tabs>
        <w:tab w:val="left" w:pos="2665"/>
        <w:tab w:val="right" w:leader="dot" w:pos="9356"/>
      </w:tabs>
      <w:spacing w:before="120" w:after="120"/>
      <w:ind w:left="2381" w:right="1134" w:hanging="1814"/>
    </w:pPr>
  </w:style>
  <w:style w:type="character" w:customStyle="1" w:styleId="Heading3Char">
    <w:name w:val="Heading 3 Char"/>
    <w:link w:val="Heading3"/>
    <w:rsid w:val="00305272"/>
    <w:rPr>
      <w:rFonts w:ascii="Arial Bold" w:eastAsia="Times New Roman" w:hAnsi="Arial Bold" w:cs="Times New Roman"/>
      <w:b/>
      <w:bCs/>
      <w:caps/>
      <w:sz w:val="22"/>
      <w:szCs w:val="24"/>
      <w:lang w:val="fr-FR" w:eastAsia="fr-FR"/>
    </w:rPr>
  </w:style>
  <w:style w:type="character" w:customStyle="1" w:styleId="st">
    <w:name w:val="st"/>
    <w:basedOn w:val="DefaultParagraphFont"/>
    <w:rsid w:val="008B3E53"/>
  </w:style>
  <w:style w:type="character" w:customStyle="1" w:styleId="CommentTextChar">
    <w:name w:val="Comment Text Char"/>
    <w:link w:val="CommentText"/>
    <w:semiHidden/>
    <w:rsid w:val="008B3E53"/>
    <w:rPr>
      <w:rFonts w:ascii="Arial" w:hAnsi="Arial"/>
      <w:lang w:val="fr-FR" w:eastAsia="fr-FR"/>
    </w:rPr>
  </w:style>
  <w:style w:type="paragraph" w:customStyle="1" w:styleId="Style1">
    <w:name w:val="Style1"/>
    <w:basedOn w:val="Normal"/>
    <w:qFormat/>
    <w:rsid w:val="005660B2"/>
    <w:pPr>
      <w:numPr>
        <w:numId w:val="40"/>
      </w:numPr>
    </w:pPr>
  </w:style>
  <w:style w:type="paragraph" w:styleId="PlainText">
    <w:name w:val="Plain Text"/>
    <w:basedOn w:val="Normal"/>
    <w:link w:val="PlainTextChar"/>
    <w:uiPriority w:val="99"/>
    <w:unhideWhenUsed/>
    <w:rsid w:val="000B5438"/>
    <w:rPr>
      <w:rFonts w:ascii="Courier New" w:eastAsia="Calibri" w:hAnsi="Courier New"/>
      <w:sz w:val="22"/>
      <w:szCs w:val="21"/>
    </w:rPr>
  </w:style>
  <w:style w:type="character" w:customStyle="1" w:styleId="PlainTextChar">
    <w:name w:val="Plain Text Char"/>
    <w:link w:val="PlainText"/>
    <w:uiPriority w:val="99"/>
    <w:rsid w:val="000B5438"/>
    <w:rPr>
      <w:rFonts w:ascii="Courier New" w:eastAsia="Calibri" w:hAnsi="Courier New" w:cs="Times New Roman"/>
      <w:sz w:val="22"/>
      <w:szCs w:val="21"/>
      <w:lang w:val="fr-FR" w:eastAsia="fr-FR"/>
    </w:rPr>
  </w:style>
  <w:style w:type="paragraph" w:customStyle="1" w:styleId="Sansinterligne">
    <w:name w:val="Sans interligne"/>
    <w:uiPriority w:val="1"/>
    <w:qFormat/>
    <w:rsid w:val="000B5438"/>
    <w:rPr>
      <w:rFonts w:ascii="Calibri" w:eastAsia="Calibri" w:hAnsi="Calibri"/>
      <w:sz w:val="22"/>
      <w:szCs w:val="22"/>
    </w:rPr>
  </w:style>
  <w:style w:type="paragraph" w:customStyle="1" w:styleId="CharCharCharChar2">
    <w:name w:val="Char Char Char Char2"/>
    <w:basedOn w:val="Normal"/>
    <w:rsid w:val="00145892"/>
    <w:pPr>
      <w:spacing w:after="160" w:line="240" w:lineRule="exact"/>
    </w:pPr>
    <w:rPr>
      <w:rFonts w:ascii="Verdana" w:hAnsi="Verdana"/>
      <w:szCs w:val="20"/>
    </w:rPr>
  </w:style>
  <w:style w:type="paragraph" w:customStyle="1" w:styleId="StyleHeading214ptAuto">
    <w:name w:val="Style Heading 2 + 14 pt Auto"/>
    <w:basedOn w:val="Heading2"/>
    <w:rsid w:val="00145892"/>
    <w:pPr>
      <w:keepNext w:val="0"/>
      <w:widowControl w:val="0"/>
      <w:tabs>
        <w:tab w:val="clear" w:pos="2268"/>
        <w:tab w:val="clear" w:pos="9072"/>
        <w:tab w:val="num" w:pos="567"/>
      </w:tabs>
      <w:spacing w:line="300" w:lineRule="atLeast"/>
      <w:ind w:left="567" w:hanging="567"/>
    </w:pPr>
    <w:rPr>
      <w:sz w:val="24"/>
    </w:rPr>
  </w:style>
  <w:style w:type="paragraph" w:customStyle="1" w:styleId="StyleHeading3ComplexItalic">
    <w:name w:val="Style Heading 3 + (Complex) Italic"/>
    <w:basedOn w:val="Heading3"/>
    <w:link w:val="StyleHeading3ComplexItalicChar"/>
    <w:rsid w:val="00121D79"/>
    <w:pPr>
      <w:keepLines w:val="0"/>
      <w:tabs>
        <w:tab w:val="clear" w:pos="2268"/>
        <w:tab w:val="left" w:pos="1985"/>
      </w:tabs>
      <w:ind w:left="0" w:firstLine="0"/>
    </w:pPr>
    <w:rPr>
      <w:rFonts w:ascii="Arial" w:hAnsi="Arial"/>
      <w:bCs w:val="0"/>
      <w:iCs/>
      <w:szCs w:val="22"/>
    </w:rPr>
  </w:style>
  <w:style w:type="character" w:customStyle="1" w:styleId="StyleHeading3ComplexItalicChar">
    <w:name w:val="Style Heading 3 + (Complex) Italic Char"/>
    <w:link w:val="StyleHeading3ComplexItalic"/>
    <w:rsid w:val="00121D79"/>
    <w:rPr>
      <w:rFonts w:ascii="Arial" w:hAnsi="Arial" w:cs="Arial"/>
      <w:b/>
      <w:iCs/>
      <w:caps/>
      <w:sz w:val="22"/>
      <w:szCs w:val="22"/>
      <w:lang w:val="fr-FR" w:eastAsia="fr-FR"/>
    </w:rPr>
  </w:style>
  <w:style w:type="paragraph" w:customStyle="1" w:styleId="Test">
    <w:name w:val="Test"/>
    <w:basedOn w:val="Normal"/>
    <w:qFormat/>
    <w:rsid w:val="0078145B"/>
    <w:pPr>
      <w:numPr>
        <w:numId w:val="76"/>
      </w:numPr>
    </w:pPr>
    <w:rPr>
      <w:rFonts w:eastAsia="Calibri" w:cs="Arial"/>
      <w:sz w:val="22"/>
      <w:szCs w:val="22"/>
    </w:rPr>
  </w:style>
  <w:style w:type="paragraph" w:styleId="Salutation">
    <w:name w:val="Salutation"/>
    <w:basedOn w:val="Normal"/>
    <w:next w:val="Normal"/>
    <w:link w:val="SalutationChar"/>
    <w:rsid w:val="005703CF"/>
    <w:rPr>
      <w:rFonts w:ascii="Times New Roman" w:hAnsi="Times New Roman"/>
      <w:sz w:val="24"/>
    </w:rPr>
  </w:style>
  <w:style w:type="character" w:customStyle="1" w:styleId="SalutationChar">
    <w:name w:val="Salutation Char"/>
    <w:link w:val="Salutation"/>
    <w:rsid w:val="005703CF"/>
    <w:rPr>
      <w:sz w:val="24"/>
      <w:szCs w:val="24"/>
      <w:lang w:val="fr-FR" w:eastAsia="fr-FR"/>
    </w:rPr>
  </w:style>
  <w:style w:type="paragraph" w:styleId="Signature">
    <w:name w:val="Signature"/>
    <w:basedOn w:val="Normal"/>
    <w:link w:val="SignatureChar"/>
    <w:rsid w:val="005703CF"/>
    <w:pPr>
      <w:ind w:left="5250"/>
    </w:pPr>
    <w:rPr>
      <w:rFonts w:ascii="Times New Roman" w:hAnsi="Times New Roman"/>
      <w:sz w:val="24"/>
    </w:rPr>
  </w:style>
  <w:style w:type="character" w:customStyle="1" w:styleId="SignatureChar">
    <w:name w:val="Signature Char"/>
    <w:link w:val="Signature"/>
    <w:rsid w:val="005703CF"/>
    <w:rPr>
      <w:sz w:val="24"/>
      <w:szCs w:val="24"/>
      <w:lang w:val="fr-FR" w:eastAsia="fr-FR"/>
    </w:rPr>
  </w:style>
  <w:style w:type="paragraph" w:styleId="EndnoteText">
    <w:name w:val="endnote text"/>
    <w:basedOn w:val="Normal"/>
    <w:link w:val="EndnoteTextChar"/>
    <w:rsid w:val="005703CF"/>
    <w:rPr>
      <w:rFonts w:ascii="Times New Roman" w:hAnsi="Times New Roman"/>
      <w:sz w:val="18"/>
      <w:szCs w:val="20"/>
    </w:rPr>
  </w:style>
  <w:style w:type="character" w:customStyle="1" w:styleId="EndnoteTextChar">
    <w:name w:val="Endnote Text Char"/>
    <w:link w:val="EndnoteText"/>
    <w:rsid w:val="005703CF"/>
    <w:rPr>
      <w:sz w:val="18"/>
      <w:lang w:val="fr-FR" w:eastAsia="fr-FR"/>
    </w:rPr>
  </w:style>
  <w:style w:type="paragraph" w:styleId="Caption">
    <w:name w:val="caption"/>
    <w:basedOn w:val="Normal"/>
    <w:next w:val="Normal"/>
    <w:qFormat/>
    <w:rsid w:val="005703CF"/>
    <w:rPr>
      <w:rFonts w:ascii="Times New Roman" w:hAnsi="Times New Roman"/>
      <w:b/>
      <w:bCs/>
      <w:sz w:val="18"/>
      <w:szCs w:val="20"/>
    </w:rPr>
  </w:style>
  <w:style w:type="paragraph" w:customStyle="1" w:styleId="ONUMFS">
    <w:name w:val="ONUM FS"/>
    <w:basedOn w:val="ONUME"/>
    <w:rsid w:val="001A5BF9"/>
    <w:pPr>
      <w:numPr>
        <w:numId w:val="93"/>
      </w:numPr>
    </w:pPr>
    <w:rPr>
      <w:sz w:val="22"/>
      <w:szCs w:val="22"/>
    </w:rPr>
  </w:style>
  <w:style w:type="paragraph" w:styleId="ListNumber">
    <w:name w:val="List Number"/>
    <w:basedOn w:val="Normal"/>
    <w:rsid w:val="005703CF"/>
    <w:pPr>
      <w:numPr>
        <w:numId w:val="2"/>
      </w:numPr>
    </w:pPr>
    <w:rPr>
      <w:rFonts w:ascii="Times New Roman" w:hAnsi="Times New Roman"/>
      <w:sz w:val="24"/>
    </w:rPr>
  </w:style>
  <w:style w:type="paragraph" w:customStyle="1" w:styleId="CharCharCharChar1">
    <w:name w:val="Char Char Char Char1"/>
    <w:basedOn w:val="Normal"/>
    <w:rsid w:val="005703CF"/>
    <w:pPr>
      <w:spacing w:after="160" w:line="240" w:lineRule="exact"/>
    </w:pPr>
    <w:rPr>
      <w:rFonts w:ascii="Verdana" w:hAnsi="Verdana"/>
      <w:szCs w:val="20"/>
    </w:rPr>
  </w:style>
  <w:style w:type="character" w:customStyle="1" w:styleId="CharChar1">
    <w:name w:val="Char Char1"/>
    <w:locked/>
    <w:rsid w:val="005703CF"/>
    <w:rPr>
      <w:rFonts w:ascii="Arial" w:hAnsi="Arial" w:cs="Times New Roman"/>
      <w:lang w:val="fr-FR" w:eastAsia="fr-FR" w:bidi="ar-SA"/>
    </w:rPr>
  </w:style>
  <w:style w:type="paragraph" w:customStyle="1" w:styleId="CarCar1">
    <w:name w:val="Car Car1"/>
    <w:basedOn w:val="Normal"/>
    <w:rsid w:val="005703CF"/>
    <w:pPr>
      <w:spacing w:after="160" w:line="240" w:lineRule="exact"/>
    </w:pPr>
    <w:rPr>
      <w:rFonts w:ascii="Verdana" w:hAnsi="Verdana"/>
      <w:szCs w:val="20"/>
    </w:rPr>
  </w:style>
  <w:style w:type="character" w:customStyle="1" w:styleId="CharChar21">
    <w:name w:val="Char Char21"/>
    <w:rsid w:val="005703CF"/>
    <w:rPr>
      <w:rFonts w:ascii="Arial" w:hAnsi="Arial"/>
      <w:lang w:val="fr-FR" w:eastAsia="fr-FR" w:bidi="ar-SA"/>
    </w:rPr>
  </w:style>
  <w:style w:type="character" w:customStyle="1" w:styleId="CharChar31">
    <w:name w:val="Char Char31"/>
    <w:rsid w:val="005703CF"/>
    <w:rPr>
      <w:rFonts w:ascii="Arial" w:hAnsi="Arial"/>
      <w:lang w:val="fr-FR" w:eastAsia="fr-FR" w:bidi="ar-SA"/>
    </w:rPr>
  </w:style>
  <w:style w:type="character" w:customStyle="1" w:styleId="CharChar41">
    <w:name w:val="Char Char41"/>
    <w:rsid w:val="005703CF"/>
    <w:rPr>
      <w:rFonts w:ascii="Arial" w:hAnsi="Arial"/>
      <w:lang w:val="fr-FR" w:eastAsia="fr-FR" w:bidi="ar-SA"/>
    </w:rPr>
  </w:style>
  <w:style w:type="character" w:customStyle="1" w:styleId="CharChar61">
    <w:name w:val="Char Char61"/>
    <w:rsid w:val="005703CF"/>
    <w:rPr>
      <w:rFonts w:ascii="Arial" w:hAnsi="Arial"/>
      <w:lang w:val="fr-FR" w:eastAsia="fr-FR" w:bidi="ar-SA"/>
    </w:rPr>
  </w:style>
  <w:style w:type="paragraph" w:customStyle="1" w:styleId="Char1">
    <w:name w:val="Char 字元 字元1"/>
    <w:basedOn w:val="Normal"/>
    <w:rsid w:val="005703CF"/>
    <w:pPr>
      <w:spacing w:after="160" w:line="240" w:lineRule="exact"/>
    </w:pPr>
    <w:rPr>
      <w:rFonts w:ascii="Verdana" w:eastAsia="PMingLiU" w:hAnsi="Verdana"/>
      <w:szCs w:val="20"/>
    </w:rPr>
  </w:style>
  <w:style w:type="character" w:customStyle="1" w:styleId="HeaderChar">
    <w:name w:val="Header Char"/>
    <w:link w:val="Header"/>
    <w:locked/>
    <w:rsid w:val="005703CF"/>
    <w:rPr>
      <w:rFonts w:ascii="Arial" w:hAnsi="Arial"/>
      <w:szCs w:val="24"/>
      <w:lang w:val="fr-FR" w:eastAsia="fr-FR"/>
    </w:rPr>
  </w:style>
  <w:style w:type="table" w:customStyle="1" w:styleId="TableGrid1">
    <w:name w:val="Table Grid1"/>
    <w:basedOn w:val="TableNormal"/>
    <w:next w:val="TableGrid"/>
    <w:uiPriority w:val="59"/>
    <w:rsid w:val="00035F8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ttedetabledesmatires">
    <w:name w:val="En-tête de table des matières"/>
    <w:basedOn w:val="Heading1"/>
    <w:next w:val="Normal"/>
    <w:uiPriority w:val="39"/>
    <w:semiHidden/>
    <w:unhideWhenUsed/>
    <w:qFormat/>
    <w:rsid w:val="007343FE"/>
    <w:pPr>
      <w:keepLines/>
      <w:numPr>
        <w:numId w:val="0"/>
      </w:numPr>
      <w:tabs>
        <w:tab w:val="clear" w:pos="284"/>
      </w:tabs>
      <w:spacing w:before="480" w:line="276" w:lineRule="auto"/>
      <w:jc w:val="left"/>
      <w:outlineLvl w:val="9"/>
    </w:pPr>
    <w:rPr>
      <w:rFonts w:ascii="Cambria" w:hAnsi="Cambria"/>
      <w:color w:val="365F91"/>
      <w:sz w:val="28"/>
      <w:szCs w:val="28"/>
    </w:rPr>
  </w:style>
  <w:style w:type="paragraph" w:styleId="TOC4">
    <w:name w:val="toc 4"/>
    <w:basedOn w:val="Normal"/>
    <w:next w:val="Normal"/>
    <w:autoRedefine/>
    <w:uiPriority w:val="39"/>
    <w:rsid w:val="008A725B"/>
    <w:pPr>
      <w:tabs>
        <w:tab w:val="right" w:pos="9356"/>
      </w:tabs>
      <w:spacing w:before="180"/>
      <w:ind w:left="1985" w:right="567" w:hanging="1418"/>
    </w:pPr>
    <w:rPr>
      <w:rFonts w:eastAsia="Calibri"/>
      <w:noProof/>
    </w:rPr>
  </w:style>
  <w:style w:type="paragraph" w:customStyle="1" w:styleId="Endofdocument">
    <w:name w:val="End of document"/>
    <w:basedOn w:val="Normal"/>
    <w:rsid w:val="006A1FCF"/>
    <w:pPr>
      <w:ind w:left="4536"/>
      <w:jc w:val="center"/>
    </w:pPr>
    <w:rPr>
      <w:rFonts w:ascii="Times New Roman" w:hAnsi="Times New Roman"/>
      <w:sz w:val="24"/>
      <w:szCs w:val="20"/>
    </w:rPr>
  </w:style>
  <w:style w:type="paragraph" w:customStyle="1" w:styleId="Endofdocument-Annex">
    <w:name w:val="[End of document - Annex]"/>
    <w:basedOn w:val="Normal"/>
    <w:rsid w:val="00455C73"/>
    <w:pPr>
      <w:ind w:left="5534"/>
    </w:pPr>
    <w:rPr>
      <w:rFonts w:eastAsia="SimSun" w:cs="Arial"/>
      <w:sz w:val="22"/>
      <w:szCs w:val="20"/>
    </w:rPr>
  </w:style>
  <w:style w:type="character" w:customStyle="1" w:styleId="Heading1Char">
    <w:name w:val="Heading 1 Char"/>
    <w:link w:val="Heading1"/>
    <w:rsid w:val="007B0500"/>
    <w:rPr>
      <w:rFonts w:ascii="Arial" w:hAnsi="Arial"/>
      <w:b/>
      <w:bCs/>
      <w:kern w:val="32"/>
      <w:sz w:val="22"/>
      <w:szCs w:val="22"/>
    </w:rPr>
  </w:style>
  <w:style w:type="character" w:customStyle="1" w:styleId="Heading2Char">
    <w:name w:val="Heading 2 Char"/>
    <w:link w:val="Heading2"/>
    <w:rsid w:val="000F5CF2"/>
    <w:rPr>
      <w:rFonts w:ascii="Arial Bold" w:hAnsi="Arial Bold" w:cs="Arial"/>
      <w:b/>
      <w:bCs/>
      <w:iCs/>
      <w:caps/>
      <w:szCs w:val="28"/>
      <w:lang w:val="fr-FR" w:eastAsia="fr-FR"/>
    </w:rPr>
  </w:style>
  <w:style w:type="character" w:customStyle="1" w:styleId="Heading4Char">
    <w:name w:val="Heading 4 Char"/>
    <w:link w:val="Heading4"/>
    <w:rsid w:val="000F5CF2"/>
    <w:rPr>
      <w:rFonts w:ascii="Arial Bold" w:hAnsi="Arial Bold"/>
      <w:b/>
      <w:bCs/>
      <w:caps/>
      <w:szCs w:val="28"/>
      <w:lang w:val="fr-FR" w:eastAsia="fr-FR"/>
    </w:rPr>
  </w:style>
  <w:style w:type="character" w:customStyle="1" w:styleId="BodyTextIndentChar">
    <w:name w:val="Body Text Indent Char"/>
    <w:link w:val="BodyTextIndent"/>
    <w:rsid w:val="000F5CF2"/>
    <w:rPr>
      <w:rFonts w:ascii="Arial" w:hAnsi="Arial"/>
      <w:lang w:val="fr-FR" w:eastAsia="fr-FR"/>
    </w:rPr>
  </w:style>
  <w:style w:type="character" w:customStyle="1" w:styleId="BalloonTextChar">
    <w:name w:val="Balloon Text Char"/>
    <w:link w:val="BalloonText"/>
    <w:semiHidden/>
    <w:rsid w:val="000F5CF2"/>
    <w:rPr>
      <w:rFonts w:ascii="Tahoma" w:hAnsi="Tahoma" w:cs="Tahoma"/>
      <w:sz w:val="16"/>
      <w:szCs w:val="16"/>
      <w:lang w:val="fr-FR" w:eastAsia="fr-FR"/>
    </w:rPr>
  </w:style>
  <w:style w:type="character" w:customStyle="1" w:styleId="CommentSubjectChar">
    <w:name w:val="Comment Subject Char"/>
    <w:link w:val="CommentSubject"/>
    <w:semiHidden/>
    <w:rsid w:val="000F5CF2"/>
    <w:rPr>
      <w:rFonts w:ascii="Arial" w:hAnsi="Arial"/>
      <w:b/>
      <w:bCs/>
      <w:lang w:val="fr-FR" w:eastAsia="fr-FR"/>
    </w:rPr>
  </w:style>
  <w:style w:type="character" w:customStyle="1" w:styleId="BodyText2Char">
    <w:name w:val="Body Text 2 Char"/>
    <w:link w:val="BodyText2"/>
    <w:rsid w:val="000F5CF2"/>
    <w:rPr>
      <w:rFonts w:ascii="Arial" w:hAnsi="Arial"/>
      <w:szCs w:val="24"/>
      <w:lang w:val="fr-FR" w:eastAsia="fr-FR"/>
    </w:rPr>
  </w:style>
  <w:style w:type="paragraph" w:styleId="DocumentMap">
    <w:name w:val="Document Map"/>
    <w:basedOn w:val="Normal"/>
    <w:semiHidden/>
    <w:rsid w:val="00085B43"/>
    <w:pPr>
      <w:shd w:val="clear" w:color="auto" w:fill="000080"/>
    </w:pPr>
    <w:rPr>
      <w:rFonts w:ascii="Tahoma" w:hAnsi="Tahoma" w:cs="Tahoma"/>
      <w:szCs w:val="20"/>
    </w:rPr>
  </w:style>
  <w:style w:type="paragraph" w:styleId="ListParagraph">
    <w:name w:val="List Paragraph"/>
    <w:basedOn w:val="Normal"/>
    <w:uiPriority w:val="34"/>
    <w:qFormat/>
    <w:rsid w:val="00D33EAF"/>
    <w:pPr>
      <w:ind w:left="720"/>
      <w:contextualSpacing/>
    </w:pPr>
  </w:style>
  <w:style w:type="character" w:customStyle="1" w:styleId="ONUMEChar">
    <w:name w:val="ONUM E Char"/>
    <w:link w:val="ONUME"/>
    <w:rsid w:val="00880D61"/>
    <w:rPr>
      <w:rFonts w:ascii="Arial" w:eastAsia="SimSu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009281">
      <w:bodyDiv w:val="1"/>
      <w:marLeft w:val="0"/>
      <w:marRight w:val="0"/>
      <w:marTop w:val="0"/>
      <w:marBottom w:val="0"/>
      <w:divBdr>
        <w:top w:val="none" w:sz="0" w:space="0" w:color="auto"/>
        <w:left w:val="none" w:sz="0" w:space="0" w:color="auto"/>
        <w:bottom w:val="none" w:sz="0" w:space="0" w:color="auto"/>
        <w:right w:val="none" w:sz="0" w:space="0" w:color="auto"/>
      </w:divBdr>
    </w:div>
    <w:div w:id="417750999">
      <w:bodyDiv w:val="1"/>
      <w:marLeft w:val="0"/>
      <w:marRight w:val="0"/>
      <w:marTop w:val="0"/>
      <w:marBottom w:val="0"/>
      <w:divBdr>
        <w:top w:val="none" w:sz="0" w:space="0" w:color="auto"/>
        <w:left w:val="none" w:sz="0" w:space="0" w:color="auto"/>
        <w:bottom w:val="none" w:sz="0" w:space="0" w:color="auto"/>
        <w:right w:val="none" w:sz="0" w:space="0" w:color="auto"/>
      </w:divBdr>
    </w:div>
    <w:div w:id="513495345">
      <w:bodyDiv w:val="1"/>
      <w:marLeft w:val="0"/>
      <w:marRight w:val="0"/>
      <w:marTop w:val="0"/>
      <w:marBottom w:val="0"/>
      <w:divBdr>
        <w:top w:val="none" w:sz="0" w:space="0" w:color="auto"/>
        <w:left w:val="none" w:sz="0" w:space="0" w:color="auto"/>
        <w:bottom w:val="none" w:sz="0" w:space="0" w:color="auto"/>
        <w:right w:val="none" w:sz="0" w:space="0" w:color="auto"/>
      </w:divBdr>
    </w:div>
    <w:div w:id="528838880">
      <w:bodyDiv w:val="1"/>
      <w:marLeft w:val="0"/>
      <w:marRight w:val="0"/>
      <w:marTop w:val="0"/>
      <w:marBottom w:val="0"/>
      <w:divBdr>
        <w:top w:val="none" w:sz="0" w:space="0" w:color="auto"/>
        <w:left w:val="none" w:sz="0" w:space="0" w:color="auto"/>
        <w:bottom w:val="none" w:sz="0" w:space="0" w:color="auto"/>
        <w:right w:val="none" w:sz="0" w:space="0" w:color="auto"/>
      </w:divBdr>
    </w:div>
    <w:div w:id="843017038">
      <w:bodyDiv w:val="1"/>
      <w:marLeft w:val="0"/>
      <w:marRight w:val="0"/>
      <w:marTop w:val="0"/>
      <w:marBottom w:val="0"/>
      <w:divBdr>
        <w:top w:val="none" w:sz="0" w:space="0" w:color="auto"/>
        <w:left w:val="none" w:sz="0" w:space="0" w:color="auto"/>
        <w:bottom w:val="none" w:sz="0" w:space="0" w:color="auto"/>
        <w:right w:val="none" w:sz="0" w:space="0" w:color="auto"/>
      </w:divBdr>
    </w:div>
    <w:div w:id="1013341115">
      <w:bodyDiv w:val="1"/>
      <w:marLeft w:val="0"/>
      <w:marRight w:val="0"/>
      <w:marTop w:val="0"/>
      <w:marBottom w:val="0"/>
      <w:divBdr>
        <w:top w:val="none" w:sz="0" w:space="0" w:color="auto"/>
        <w:left w:val="none" w:sz="0" w:space="0" w:color="auto"/>
        <w:bottom w:val="none" w:sz="0" w:space="0" w:color="auto"/>
        <w:right w:val="none" w:sz="0" w:space="0" w:color="auto"/>
      </w:divBdr>
    </w:div>
    <w:div w:id="1082213340">
      <w:bodyDiv w:val="1"/>
      <w:marLeft w:val="0"/>
      <w:marRight w:val="0"/>
      <w:marTop w:val="0"/>
      <w:marBottom w:val="0"/>
      <w:divBdr>
        <w:top w:val="none" w:sz="0" w:space="0" w:color="auto"/>
        <w:left w:val="none" w:sz="0" w:space="0" w:color="auto"/>
        <w:bottom w:val="none" w:sz="0" w:space="0" w:color="auto"/>
        <w:right w:val="none" w:sz="0" w:space="0" w:color="auto"/>
      </w:divBdr>
    </w:div>
    <w:div w:id="1593203874">
      <w:bodyDiv w:val="1"/>
      <w:marLeft w:val="0"/>
      <w:marRight w:val="0"/>
      <w:marTop w:val="0"/>
      <w:marBottom w:val="0"/>
      <w:divBdr>
        <w:top w:val="none" w:sz="0" w:space="0" w:color="auto"/>
        <w:left w:val="none" w:sz="0" w:space="0" w:color="auto"/>
        <w:bottom w:val="none" w:sz="0" w:space="0" w:color="auto"/>
        <w:right w:val="none" w:sz="0" w:space="0" w:color="auto"/>
      </w:divBdr>
    </w:div>
    <w:div w:id="161821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w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emf"/><Relationship Id="rId63" Type="http://schemas.openxmlformats.org/officeDocument/2006/relationships/image" Target="media/image38.png"/><Relationship Id="rId68" Type="http://schemas.openxmlformats.org/officeDocument/2006/relationships/chart" Target="charts/chart5.xml"/><Relationship Id="rId76" Type="http://schemas.openxmlformats.org/officeDocument/2006/relationships/hyperlink" Target="https://intranet.wipo.int/export/sites/intranet/homepages/iaod/en/iaod_reports/executive_summaries/es_2013_evaluation_program1_patent_law.pdf" TargetMode="External"/><Relationship Id="rId7" Type="http://schemas.openxmlformats.org/officeDocument/2006/relationships/footnotes" Target="footnotes.xml"/><Relationship Id="rId71" Type="http://schemas.openxmlformats.org/officeDocument/2006/relationships/image" Target="media/image41.emf"/><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5.emf"/><Relationship Id="rId11" Type="http://schemas.openxmlformats.org/officeDocument/2006/relationships/header" Target="header2.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png"/><Relationship Id="rId40" Type="http://schemas.openxmlformats.org/officeDocument/2006/relationships/oleObject" Target="embeddings/oleObject1.bin"/><Relationship Id="rId45" Type="http://schemas.openxmlformats.org/officeDocument/2006/relationships/image" Target="media/image30.png"/><Relationship Id="rId58" Type="http://schemas.openxmlformats.org/officeDocument/2006/relationships/oleObject" Target="embeddings/Microsoft_Excel_Chart1.xls"/><Relationship Id="rId66" Type="http://schemas.openxmlformats.org/officeDocument/2006/relationships/oleObject" Target="embeddings/Microsoft_Excel_Chart4.xls"/><Relationship Id="rId74" Type="http://schemas.openxmlformats.org/officeDocument/2006/relationships/image" Target="media/image44.emf"/><Relationship Id="rId79"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png"/><Relationship Id="rId49" Type="http://schemas.openxmlformats.org/officeDocument/2006/relationships/image" Target="media/image34.emf"/><Relationship Id="rId57" Type="http://schemas.openxmlformats.org/officeDocument/2006/relationships/image" Target="media/image37.png"/><Relationship Id="rId61" Type="http://schemas.openxmlformats.org/officeDocument/2006/relationships/chart" Target="charts/chart4.xml"/><Relationship Id="rId82"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image" Target="media/image17.emf"/><Relationship Id="rId44" Type="http://schemas.openxmlformats.org/officeDocument/2006/relationships/image" Target="media/image29.png"/><Relationship Id="rId52" Type="http://schemas.openxmlformats.org/officeDocument/2006/relationships/chart" Target="charts/chart2.xml"/><Relationship Id="rId60" Type="http://schemas.openxmlformats.org/officeDocument/2006/relationships/chart" Target="charts/chart3.xml"/><Relationship Id="rId65" Type="http://schemas.openxmlformats.org/officeDocument/2006/relationships/oleObject" Target="embeddings/Microsoft_Excel_Chart3.xls"/><Relationship Id="rId73" Type="http://schemas.openxmlformats.org/officeDocument/2006/relationships/image" Target="media/image43.emf"/><Relationship Id="rId78" Type="http://schemas.openxmlformats.org/officeDocument/2006/relationships/header" Target="header6.xm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36.png"/><Relationship Id="rId64" Type="http://schemas.openxmlformats.org/officeDocument/2006/relationships/image" Target="media/image39.png"/><Relationship Id="rId69" Type="http://schemas.openxmlformats.org/officeDocument/2006/relationships/chart" Target="charts/chart6.xml"/><Relationship Id="rId77" Type="http://schemas.openxmlformats.org/officeDocument/2006/relationships/hyperlink" Target="https://intranet.wipo.int/export/sites/intranet/homepages/iaod/en/iaod_reports/executive_summaries/es_2013_evaluation_igc.pdf" TargetMode="External"/><Relationship Id="rId8" Type="http://schemas.openxmlformats.org/officeDocument/2006/relationships/endnotes" Target="endnotes.xml"/><Relationship Id="rId51" Type="http://schemas.openxmlformats.org/officeDocument/2006/relationships/chart" Target="charts/chart1.xml"/><Relationship Id="rId72" Type="http://schemas.openxmlformats.org/officeDocument/2006/relationships/image" Target="media/image42.emf"/><Relationship Id="rId80"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png"/><Relationship Id="rId46" Type="http://schemas.openxmlformats.org/officeDocument/2006/relationships/image" Target="media/image31.png"/><Relationship Id="rId59" Type="http://schemas.openxmlformats.org/officeDocument/2006/relationships/oleObject" Target="embeddings/Microsoft_Excel_Chart2.xls"/><Relationship Id="rId67" Type="http://schemas.openxmlformats.org/officeDocument/2006/relationships/image" Target="media/image36.emf"/><Relationship Id="rId20" Type="http://schemas.openxmlformats.org/officeDocument/2006/relationships/image" Target="media/image6.emf"/><Relationship Id="rId41" Type="http://schemas.openxmlformats.org/officeDocument/2006/relationships/image" Target="media/image26.png"/><Relationship Id="rId70" Type="http://schemas.openxmlformats.org/officeDocument/2006/relationships/image" Target="media/image40.png"/><Relationship Id="rId75"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tisc/fr/etutorial" TargetMode="External"/><Relationship Id="rId3" Type="http://schemas.openxmlformats.org/officeDocument/2006/relationships/hyperlink" Target="http://www.wipo.int/tad/fr/" TargetMode="External"/><Relationship Id="rId7" Type="http://schemas.openxmlformats.org/officeDocument/2006/relationships/hyperlink" Target="http://www.wipo.int/tisc/etutorial" TargetMode="External"/><Relationship Id="rId2" Type="http://schemas.openxmlformats.org/officeDocument/2006/relationships/hyperlink" Target="http://www.wipo.int/meetings/en/doc_details.jsp?doc_id=239806" TargetMode="External"/><Relationship Id="rId1" Type="http://schemas.openxmlformats.org/officeDocument/2006/relationships/hyperlink" Target="http://www.wipo.int/meetings/en/doc_details.jsp?doc_id=208882" TargetMode="External"/><Relationship Id="rId6" Type="http://schemas.openxmlformats.org/officeDocument/2006/relationships/hyperlink" Target="http://etisc.wipo.org/" TargetMode="External"/><Relationship Id="rId5" Type="http://schemas.openxmlformats.org/officeDocument/2006/relationships/hyperlink" Target="http://www.wipo.int/dmd" TargetMode="External"/><Relationship Id="rId10" Type="http://schemas.openxmlformats.org/officeDocument/2006/relationships/hyperlink" Target="http://www.wipo.int/policy/en/global_health/trilateral_cooperation.html" TargetMode="External"/><Relationship Id="rId4" Type="http://schemas.openxmlformats.org/officeDocument/2006/relationships/hyperlink" Target="http://www.wipo.int/roc/fr/" TargetMode="External"/><Relationship Id="rId9" Type="http://schemas.openxmlformats.org/officeDocument/2006/relationships/hyperlink" Target="http://www.wipo.int/export/sites/www/freepublications/en/patents/948/wipo_pub_948_4.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oleObject" Target="file:///D:\monthly%20reports\GraphStatsGlobalDatabases20122013.xlsx"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oleObject" Target="file:///D:\monthly%20reports\GraphStatsGlobalDatabases20122013.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0.45305887824754021"/>
          <c:y val="8.0971659919028341E-2"/>
          <c:w val="0.46110648918469216"/>
          <c:h val="0.81597350018402648"/>
        </c:manualLayout>
      </c:layout>
      <c:pieChart>
        <c:varyColors val="1"/>
        <c:ser>
          <c:idx val="0"/>
          <c:order val="0"/>
          <c:dPt>
            <c:idx val="0"/>
            <c:bubble3D val="0"/>
            <c:spPr>
              <a:solidFill>
                <a:schemeClr val="accent2"/>
              </a:solidFill>
            </c:spPr>
          </c:dPt>
          <c:dPt>
            <c:idx val="1"/>
            <c:bubble3D val="0"/>
            <c:spPr>
              <a:solidFill>
                <a:schemeClr val="accent2">
                  <a:lumMod val="60000"/>
                  <a:lumOff val="40000"/>
                </a:schemeClr>
              </a:solidFill>
            </c:spPr>
          </c:dPt>
          <c:dPt>
            <c:idx val="2"/>
            <c:bubble3D val="0"/>
            <c:spPr>
              <a:solidFill>
                <a:schemeClr val="accent4"/>
              </a:solidFill>
            </c:spPr>
          </c:dPt>
          <c:dPt>
            <c:idx val="3"/>
            <c:bubble3D val="0"/>
            <c:spPr>
              <a:solidFill>
                <a:schemeClr val="accent4">
                  <a:lumMod val="40000"/>
                  <a:lumOff val="60000"/>
                </a:schemeClr>
              </a:solidFill>
            </c:spPr>
          </c:dPt>
          <c:dPt>
            <c:idx val="4"/>
            <c:bubble3D val="0"/>
            <c:spPr>
              <a:solidFill>
                <a:schemeClr val="accent3"/>
              </a:solidFill>
            </c:spPr>
          </c:dPt>
          <c:dLbls>
            <c:spPr>
              <a:scene3d>
                <a:camera prst="orthographicFront"/>
                <a:lightRig rig="threePt" dir="t"/>
              </a:scene3d>
              <a:sp3d prstMaterial="metal"/>
            </c:spPr>
            <c:dLblPos val="ctr"/>
            <c:showLegendKey val="0"/>
            <c:showVal val="0"/>
            <c:showCatName val="0"/>
            <c:showSerName val="0"/>
            <c:showPercent val="1"/>
            <c:showBubbleSize val="0"/>
            <c:showLeaderLines val="0"/>
          </c:dLbls>
          <c:cat>
            <c:strRef>
              <c:f>Sheet3!$A$16:$A$20</c:f>
              <c:strCache>
                <c:ptCount val="5"/>
                <c:pt idx="0">
                  <c:v>Latin America and the Caribbean: 77; 33%</c:v>
                </c:pt>
                <c:pt idx="1">
                  <c:v>Africa: 56; 24%</c:v>
                </c:pt>
                <c:pt idx="2">
                  <c:v>Asia-Pacific: 45; 19%</c:v>
                </c:pt>
                <c:pt idx="3">
                  <c:v>Arab countries: 30; 13%</c:v>
                </c:pt>
                <c:pt idx="4">
                  <c:v>Certain Countries in Europe and Asia: 25; 11%</c:v>
                </c:pt>
              </c:strCache>
            </c:strRef>
          </c:cat>
          <c:val>
            <c:numRef>
              <c:f>Sheet3!$B$16:$B$20</c:f>
              <c:numCache>
                <c:formatCode>General</c:formatCode>
                <c:ptCount val="5"/>
                <c:pt idx="0">
                  <c:v>77</c:v>
                </c:pt>
                <c:pt idx="1">
                  <c:v>56</c:v>
                </c:pt>
                <c:pt idx="2">
                  <c:v>45</c:v>
                </c:pt>
                <c:pt idx="3">
                  <c:v>30</c:v>
                </c:pt>
                <c:pt idx="4">
                  <c:v>25</c:v>
                </c:pt>
              </c:numCache>
            </c:numRef>
          </c:val>
        </c:ser>
        <c:dLbls>
          <c:showLegendKey val="0"/>
          <c:showVal val="0"/>
          <c:showCatName val="0"/>
          <c:showSerName val="0"/>
          <c:showPercent val="0"/>
          <c:showBubbleSize val="0"/>
          <c:showLeaderLines val="0"/>
        </c:dLbls>
        <c:firstSliceAng val="0"/>
      </c:pieChart>
      <c:spPr>
        <a:noFill/>
        <a:ln w="25396">
          <a:noFill/>
        </a:ln>
      </c:spPr>
    </c:plotArea>
    <c:legend>
      <c:legendPos val="l"/>
      <c:layout>
        <c:manualLayout>
          <c:xMode val="edge"/>
          <c:yMode val="edge"/>
          <c:x val="2.5901210509221465E-2"/>
          <c:y val="4.0227778545225704E-2"/>
          <c:w val="0.34224352390733764"/>
          <c:h val="0.95977222145477425"/>
        </c:manualLayout>
      </c:layout>
      <c:overlay val="0"/>
      <c:txPr>
        <a:bodyPr/>
        <a:lstStyle/>
        <a:p>
          <a:pPr>
            <a:defRPr sz="750">
              <a:latin typeface="Arial Narrow" pitchFamily="34" charset="0"/>
              <a:cs typeface="Arial" pitchFamily="34" charset="0"/>
            </a:defRPr>
          </a:pPr>
          <a:endParaRPr lang="fr-FR"/>
        </a:p>
      </c:txPr>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7.7037577184755054E-2"/>
          <c:y val="8.0971659919028341E-2"/>
          <c:w val="0.46665250637213251"/>
          <c:h val="0.80861244019138756"/>
        </c:manualLayout>
      </c:layout>
      <c:pieChart>
        <c:varyColors val="1"/>
        <c:ser>
          <c:idx val="0"/>
          <c:order val="0"/>
          <c:dPt>
            <c:idx val="0"/>
            <c:bubble3D val="0"/>
            <c:spPr>
              <a:solidFill>
                <a:schemeClr val="accent2"/>
              </a:solidFill>
            </c:spPr>
          </c:dPt>
          <c:dPt>
            <c:idx val="1"/>
            <c:bubble3D val="0"/>
            <c:spPr>
              <a:solidFill>
                <a:schemeClr val="accent2">
                  <a:lumMod val="60000"/>
                  <a:lumOff val="40000"/>
                </a:schemeClr>
              </a:solidFill>
            </c:spPr>
          </c:dPt>
          <c:dPt>
            <c:idx val="2"/>
            <c:bubble3D val="0"/>
            <c:spPr>
              <a:solidFill>
                <a:schemeClr val="accent4"/>
              </a:solidFill>
            </c:spPr>
          </c:dPt>
          <c:dPt>
            <c:idx val="3"/>
            <c:bubble3D val="0"/>
            <c:spPr>
              <a:solidFill>
                <a:schemeClr val="accent4">
                  <a:lumMod val="40000"/>
                  <a:lumOff val="60000"/>
                </a:schemeClr>
              </a:solidFill>
            </c:spPr>
          </c:dPt>
          <c:dPt>
            <c:idx val="4"/>
            <c:bubble3D val="0"/>
            <c:spPr>
              <a:solidFill>
                <a:schemeClr val="accent3"/>
              </a:solidFill>
            </c:spPr>
          </c:dPt>
          <c:dLbls>
            <c:dLblPos val="ctr"/>
            <c:showLegendKey val="0"/>
            <c:showVal val="0"/>
            <c:showCatName val="0"/>
            <c:showSerName val="0"/>
            <c:showPercent val="1"/>
            <c:showBubbleSize val="0"/>
            <c:showLeaderLines val="0"/>
          </c:dLbls>
          <c:cat>
            <c:strRef>
              <c:f>Sheet3!$D$16:$D$20</c:f>
              <c:strCache>
                <c:ptCount val="5"/>
                <c:pt idx="0">
                  <c:v>Latin America and the Caribbean: 75; 30%</c:v>
                </c:pt>
                <c:pt idx="1">
                  <c:v>Africa: 58; 23%</c:v>
                </c:pt>
                <c:pt idx="2">
                  <c:v>Asia-Pacific: 53; 21%</c:v>
                </c:pt>
                <c:pt idx="3">
                  <c:v>Arab countries: 35; 14%</c:v>
                </c:pt>
                <c:pt idx="4">
                  <c:v>Certain Countries in Europe and Asia: 30; 12%</c:v>
                </c:pt>
              </c:strCache>
            </c:strRef>
          </c:cat>
          <c:val>
            <c:numRef>
              <c:f>Sheet3!$E$16:$E$20</c:f>
              <c:numCache>
                <c:formatCode>General</c:formatCode>
                <c:ptCount val="5"/>
                <c:pt idx="0">
                  <c:v>75</c:v>
                </c:pt>
                <c:pt idx="1">
                  <c:v>58</c:v>
                </c:pt>
                <c:pt idx="2">
                  <c:v>53</c:v>
                </c:pt>
                <c:pt idx="3">
                  <c:v>35</c:v>
                </c:pt>
                <c:pt idx="4">
                  <c:v>30</c:v>
                </c:pt>
              </c:numCache>
            </c:numRef>
          </c:val>
        </c:ser>
        <c:dLbls>
          <c:showLegendKey val="0"/>
          <c:showVal val="0"/>
          <c:showCatName val="0"/>
          <c:showSerName val="0"/>
          <c:showPercent val="0"/>
          <c:showBubbleSize val="0"/>
          <c:showLeaderLines val="0"/>
        </c:dLbls>
        <c:firstSliceAng val="0"/>
      </c:pieChart>
      <c:spPr>
        <a:noFill/>
        <a:ln w="25396">
          <a:noFill/>
        </a:ln>
      </c:spPr>
    </c:plotArea>
    <c:legend>
      <c:legendPos val="r"/>
      <c:layout>
        <c:manualLayout>
          <c:xMode val="edge"/>
          <c:yMode val="edge"/>
          <c:x val="0.63771998894874982"/>
          <c:y val="4.0227778545225704E-2"/>
          <c:w val="0.33679133858267718"/>
          <c:h val="0.95977222145477425"/>
        </c:manualLayout>
      </c:layout>
      <c:overlay val="0"/>
      <c:txPr>
        <a:bodyPr/>
        <a:lstStyle/>
        <a:p>
          <a:pPr>
            <a:defRPr sz="750">
              <a:latin typeface="Arial Narrow" pitchFamily="34" charset="0"/>
              <a:cs typeface="Arial" pitchFamily="34" charset="0"/>
            </a:defRPr>
          </a:pPr>
          <a:endParaRPr lang="fr-FR"/>
        </a:p>
      </c:txPr>
    </c:legend>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pieChart>
        <c:varyColors val="1"/>
        <c:ser>
          <c:idx val="0"/>
          <c:order val="0"/>
          <c:dPt>
            <c:idx val="0"/>
            <c:bubble3D val="0"/>
            <c:spPr>
              <a:solidFill>
                <a:schemeClr val="accent2"/>
              </a:solidFill>
            </c:spPr>
          </c:dPt>
          <c:dPt>
            <c:idx val="1"/>
            <c:bubble3D val="0"/>
            <c:spPr>
              <a:solidFill>
                <a:schemeClr val="accent4"/>
              </a:solidFill>
            </c:spPr>
          </c:dPt>
          <c:dPt>
            <c:idx val="2"/>
            <c:bubble3D val="0"/>
            <c:spPr>
              <a:solidFill>
                <a:schemeClr val="accent3"/>
              </a:solidFill>
            </c:spPr>
          </c:dPt>
          <c:dPt>
            <c:idx val="3"/>
            <c:bubble3D val="0"/>
            <c:spPr>
              <a:solidFill>
                <a:schemeClr val="accent3">
                  <a:lumMod val="60000"/>
                  <a:lumOff val="40000"/>
                </a:schemeClr>
              </a:solidFill>
            </c:spPr>
          </c:dPt>
          <c:dPt>
            <c:idx val="4"/>
            <c:bubble3D val="0"/>
            <c:spPr>
              <a:solidFill>
                <a:schemeClr val="accent2">
                  <a:lumMod val="60000"/>
                  <a:lumOff val="40000"/>
                </a:schemeClr>
              </a:solidFill>
            </c:spPr>
          </c:dPt>
          <c:dPt>
            <c:idx val="5"/>
            <c:bubble3D val="0"/>
            <c:spPr>
              <a:solidFill>
                <a:schemeClr val="accent4">
                  <a:lumMod val="60000"/>
                  <a:lumOff val="40000"/>
                </a:schemeClr>
              </a:solidFill>
            </c:spPr>
          </c:dPt>
          <c:dPt>
            <c:idx val="6"/>
            <c:bubble3D val="0"/>
          </c:dPt>
          <c:dLbls>
            <c:dLbl>
              <c:idx val="0"/>
              <c:spPr/>
              <c:txPr>
                <a:bodyPr/>
                <a:lstStyle/>
                <a:p>
                  <a:pPr>
                    <a:defRPr/>
                  </a:pPr>
                  <a:endParaRPr lang="fr-FR"/>
                </a:p>
              </c:txPr>
              <c:dLblPos val="ctr"/>
              <c:showLegendKey val="0"/>
              <c:showVal val="0"/>
              <c:showCatName val="0"/>
              <c:showSerName val="0"/>
              <c:showPercent val="1"/>
              <c:showBubbleSize val="0"/>
            </c:dLbl>
            <c:dLbl>
              <c:idx val="1"/>
              <c:spPr/>
              <c:txPr>
                <a:bodyPr/>
                <a:lstStyle/>
                <a:p>
                  <a:pPr>
                    <a:defRPr/>
                  </a:pPr>
                  <a:endParaRPr lang="fr-FR"/>
                </a:p>
              </c:txPr>
              <c:dLblPos val="ctr"/>
              <c:showLegendKey val="0"/>
              <c:showVal val="0"/>
              <c:showCatName val="0"/>
              <c:showSerName val="0"/>
              <c:showPercent val="1"/>
              <c:showBubbleSize val="0"/>
            </c:dLbl>
            <c:dLbl>
              <c:idx val="6"/>
              <c:delete val="1"/>
            </c:dLbl>
            <c:dLblPos val="inEnd"/>
            <c:showLegendKey val="0"/>
            <c:showVal val="0"/>
            <c:showCatName val="0"/>
            <c:showSerName val="0"/>
            <c:showPercent val="1"/>
            <c:showBubbleSize val="0"/>
            <c:showLeaderLines val="0"/>
          </c:dLbls>
          <c:cat>
            <c:strRef>
              <c:f>Sheet3!$D$25:$D$31</c:f>
              <c:strCache>
                <c:ptCount val="7"/>
                <c:pt idx="0">
                  <c:v>Latin America and the Caribbean: 19641; 48%</c:v>
                </c:pt>
                <c:pt idx="1">
                  <c:v>Asia-Pacific: 10687; 26%</c:v>
                </c:pt>
                <c:pt idx="2">
                  <c:v>Certain Countries in Europe and Asia: 3849; 10%</c:v>
                </c:pt>
                <c:pt idx="3">
                  <c:v>Other developed countries: 2255; 6%</c:v>
                </c:pt>
                <c:pt idx="4">
                  <c:v>Africa: 2210; 5%</c:v>
                </c:pt>
                <c:pt idx="5">
                  <c:v>Arab countries: 1677; 4%</c:v>
                </c:pt>
                <c:pt idx="6">
                  <c:v>Other Areas: 321; less than 1%</c:v>
                </c:pt>
              </c:strCache>
            </c:strRef>
          </c:cat>
          <c:val>
            <c:numRef>
              <c:f>Sheet3!$E$25:$E$31</c:f>
              <c:numCache>
                <c:formatCode>General</c:formatCode>
                <c:ptCount val="7"/>
                <c:pt idx="0">
                  <c:v>19641</c:v>
                </c:pt>
                <c:pt idx="1">
                  <c:v>10687</c:v>
                </c:pt>
                <c:pt idx="2">
                  <c:v>3849</c:v>
                </c:pt>
                <c:pt idx="3">
                  <c:v>2255</c:v>
                </c:pt>
                <c:pt idx="4">
                  <c:v>2210</c:v>
                </c:pt>
                <c:pt idx="5">
                  <c:v>1677</c:v>
                </c:pt>
                <c:pt idx="6">
                  <c:v>321</c:v>
                </c:pt>
              </c:numCache>
            </c:numRef>
          </c:val>
        </c:ser>
        <c:dLbls>
          <c:showLegendKey val="0"/>
          <c:showVal val="0"/>
          <c:showCatName val="0"/>
          <c:showSerName val="0"/>
          <c:showPercent val="0"/>
          <c:showBubbleSize val="0"/>
          <c:showLeaderLines val="0"/>
        </c:dLbls>
        <c:firstSliceAng val="0"/>
      </c:pieChart>
      <c:spPr>
        <a:noFill/>
        <a:ln w="25396">
          <a:noFill/>
        </a:ln>
      </c:spPr>
    </c:plotArea>
    <c:legend>
      <c:legendPos val="r"/>
      <c:layout>
        <c:manualLayout>
          <c:xMode val="edge"/>
          <c:yMode val="edge"/>
          <c:x val="0.58996561073430176"/>
          <c:y val="4.2008257739712361E-2"/>
          <c:w val="0.38087471739299916"/>
          <c:h val="0.91598348452057521"/>
        </c:manualLayout>
      </c:layout>
      <c:overlay val="0"/>
      <c:txPr>
        <a:bodyPr/>
        <a:lstStyle/>
        <a:p>
          <a:pPr>
            <a:defRPr sz="750">
              <a:latin typeface="Arial Narrow" pitchFamily="34" charset="0"/>
            </a:defRPr>
          </a:pPr>
          <a:endParaRPr lang="fr-FR"/>
        </a:p>
      </c:txPr>
    </c:legend>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pieChart>
        <c:varyColors val="1"/>
        <c:ser>
          <c:idx val="0"/>
          <c:order val="0"/>
          <c:dPt>
            <c:idx val="0"/>
            <c:bubble3D val="0"/>
            <c:spPr>
              <a:solidFill>
                <a:schemeClr val="accent2"/>
              </a:solidFill>
            </c:spPr>
          </c:dPt>
          <c:dPt>
            <c:idx val="1"/>
            <c:bubble3D val="0"/>
            <c:spPr>
              <a:solidFill>
                <a:schemeClr val="accent4"/>
              </a:solidFill>
            </c:spPr>
          </c:dPt>
          <c:dPt>
            <c:idx val="2"/>
            <c:bubble3D val="0"/>
            <c:spPr>
              <a:solidFill>
                <a:schemeClr val="accent3"/>
              </a:solidFill>
            </c:spPr>
          </c:dPt>
          <c:dPt>
            <c:idx val="3"/>
            <c:bubble3D val="0"/>
            <c:spPr>
              <a:solidFill>
                <a:schemeClr val="accent3">
                  <a:lumMod val="60000"/>
                  <a:lumOff val="40000"/>
                </a:schemeClr>
              </a:solidFill>
            </c:spPr>
          </c:dPt>
          <c:dPt>
            <c:idx val="4"/>
            <c:bubble3D val="0"/>
            <c:spPr>
              <a:solidFill>
                <a:schemeClr val="accent2">
                  <a:lumMod val="60000"/>
                  <a:lumOff val="40000"/>
                </a:schemeClr>
              </a:solidFill>
            </c:spPr>
          </c:dPt>
          <c:dPt>
            <c:idx val="5"/>
            <c:bubble3D val="0"/>
            <c:spPr>
              <a:solidFill>
                <a:schemeClr val="accent4">
                  <a:lumMod val="60000"/>
                  <a:lumOff val="40000"/>
                </a:schemeClr>
              </a:solidFill>
            </c:spPr>
          </c:dPt>
          <c:dPt>
            <c:idx val="6"/>
            <c:bubble3D val="0"/>
          </c:dPt>
          <c:dLbls>
            <c:dLbl>
              <c:idx val="0"/>
              <c:spPr/>
              <c:txPr>
                <a:bodyPr/>
                <a:lstStyle/>
                <a:p>
                  <a:pPr>
                    <a:defRPr/>
                  </a:pPr>
                  <a:endParaRPr lang="fr-FR"/>
                </a:p>
              </c:txPr>
              <c:dLblPos val="ctr"/>
              <c:showLegendKey val="0"/>
              <c:showVal val="0"/>
              <c:showCatName val="0"/>
              <c:showSerName val="0"/>
              <c:showPercent val="1"/>
              <c:showBubbleSize val="0"/>
            </c:dLbl>
            <c:dLbl>
              <c:idx val="1"/>
              <c:spPr/>
              <c:txPr>
                <a:bodyPr/>
                <a:lstStyle/>
                <a:p>
                  <a:pPr>
                    <a:defRPr/>
                  </a:pPr>
                  <a:endParaRPr lang="fr-FR"/>
                </a:p>
              </c:txPr>
              <c:dLblPos val="ctr"/>
              <c:showLegendKey val="0"/>
              <c:showVal val="0"/>
              <c:showCatName val="0"/>
              <c:showSerName val="0"/>
              <c:showPercent val="1"/>
              <c:showBubbleSize val="0"/>
            </c:dLbl>
            <c:dLbl>
              <c:idx val="6"/>
              <c:delete val="1"/>
            </c:dLbl>
            <c:dLblPos val="inEnd"/>
            <c:showLegendKey val="0"/>
            <c:showVal val="0"/>
            <c:showCatName val="0"/>
            <c:showSerName val="0"/>
            <c:showPercent val="1"/>
            <c:showBubbleSize val="0"/>
            <c:showLeaderLines val="0"/>
          </c:dLbls>
          <c:cat>
            <c:strRef>
              <c:f>Sheet3!$A$25:$A$31</c:f>
              <c:strCache>
                <c:ptCount val="7"/>
                <c:pt idx="0">
                  <c:v>Latin America and the Caribbean: 20007; 49%</c:v>
                </c:pt>
                <c:pt idx="1">
                  <c:v>Asia-Pacific: 13056; 32%</c:v>
                </c:pt>
                <c:pt idx="2">
                  <c:v>Certain Countries in Europe and Asia: 2937; 7%</c:v>
                </c:pt>
                <c:pt idx="3">
                  <c:v>Other developed countries: 1972; 5%</c:v>
                </c:pt>
                <c:pt idx="4">
                  <c:v>Africa: 1600; 4%</c:v>
                </c:pt>
                <c:pt idx="5">
                  <c:v>Arab countries: 1264; 3%</c:v>
                </c:pt>
                <c:pt idx="6">
                  <c:v>Other Areas: 8; less than 1%</c:v>
                </c:pt>
              </c:strCache>
            </c:strRef>
          </c:cat>
          <c:val>
            <c:numRef>
              <c:f>Sheet3!$B$25:$B$31</c:f>
              <c:numCache>
                <c:formatCode>General</c:formatCode>
                <c:ptCount val="7"/>
                <c:pt idx="0">
                  <c:v>20007</c:v>
                </c:pt>
                <c:pt idx="1">
                  <c:v>13056</c:v>
                </c:pt>
                <c:pt idx="2">
                  <c:v>2937</c:v>
                </c:pt>
                <c:pt idx="3">
                  <c:v>1972</c:v>
                </c:pt>
                <c:pt idx="4">
                  <c:v>1600</c:v>
                </c:pt>
                <c:pt idx="5">
                  <c:v>1264</c:v>
                </c:pt>
                <c:pt idx="6">
                  <c:v>8</c:v>
                </c:pt>
              </c:numCache>
            </c:numRef>
          </c:val>
        </c:ser>
        <c:dLbls>
          <c:showLegendKey val="0"/>
          <c:showVal val="0"/>
          <c:showCatName val="0"/>
          <c:showSerName val="0"/>
          <c:showPercent val="0"/>
          <c:showBubbleSize val="0"/>
          <c:showLeaderLines val="0"/>
        </c:dLbls>
        <c:firstSliceAng val="0"/>
      </c:pieChart>
      <c:spPr>
        <a:noFill/>
        <a:ln w="25397">
          <a:noFill/>
        </a:ln>
      </c:spPr>
    </c:plotArea>
    <c:legend>
      <c:legendPos val="l"/>
      <c:layout>
        <c:manualLayout>
          <c:xMode val="edge"/>
          <c:yMode val="edge"/>
          <c:x val="3.1743234082494659E-2"/>
          <c:y val="7.6633666405734366E-2"/>
          <c:w val="0.37200292016478076"/>
          <c:h val="0.90562048165032005"/>
        </c:manualLayout>
      </c:layout>
      <c:overlay val="0"/>
      <c:txPr>
        <a:bodyPr/>
        <a:lstStyle/>
        <a:p>
          <a:pPr>
            <a:defRPr sz="750">
              <a:latin typeface="Arial Narrow" pitchFamily="34" charset="0"/>
            </a:defRPr>
          </a:pPr>
          <a:endParaRPr lang="fr-FR"/>
        </a:p>
      </c:txPr>
    </c:legend>
    <c:plotVisOnly val="1"/>
    <c:dispBlanksAs val="zero"/>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Sheet1!$A$2</c:f>
              <c:strCache>
                <c:ptCount val="1"/>
                <c:pt idx="0">
                  <c:v>PCT</c:v>
                </c:pt>
              </c:strCache>
            </c:strRef>
          </c:tx>
          <c:invertIfNegative val="0"/>
          <c:cat>
            <c:strRef>
              <c:f>Sheet1!$B$1:$I$1</c:f>
              <c:strCache>
                <c:ptCount val="8"/>
                <c:pt idx="0">
                  <c:v>March 2012</c:v>
                </c:pt>
                <c:pt idx="1">
                  <c:v>June 2012</c:v>
                </c:pt>
                <c:pt idx="2">
                  <c:v>September 2012</c:v>
                </c:pt>
                <c:pt idx="3">
                  <c:v>December 2012</c:v>
                </c:pt>
                <c:pt idx="4">
                  <c:v>March 2013</c:v>
                </c:pt>
                <c:pt idx="5">
                  <c:v>June 2013</c:v>
                </c:pt>
                <c:pt idx="6">
                  <c:v>September 2013</c:v>
                </c:pt>
                <c:pt idx="7">
                  <c:v>December 2013</c:v>
                </c:pt>
              </c:strCache>
            </c:strRef>
          </c:cat>
          <c:val>
            <c:numRef>
              <c:f>Sheet1!$B$2:$I$2</c:f>
              <c:numCache>
                <c:formatCode>#,##0</c:formatCode>
                <c:ptCount val="8"/>
                <c:pt idx="0">
                  <c:v>2030348</c:v>
                </c:pt>
                <c:pt idx="1">
                  <c:v>2078150</c:v>
                </c:pt>
                <c:pt idx="2">
                  <c:v>2119178</c:v>
                </c:pt>
                <c:pt idx="3" formatCode="General">
                  <c:v>2167815</c:v>
                </c:pt>
                <c:pt idx="4" formatCode="General">
                  <c:v>2212089</c:v>
                </c:pt>
                <c:pt idx="5" formatCode="General">
                  <c:v>2258762</c:v>
                </c:pt>
                <c:pt idx="6">
                  <c:v>2310696</c:v>
                </c:pt>
                <c:pt idx="7">
                  <c:v>2360448</c:v>
                </c:pt>
              </c:numCache>
            </c:numRef>
          </c:val>
        </c:ser>
        <c:ser>
          <c:idx val="1"/>
          <c:order val="1"/>
          <c:tx>
            <c:strRef>
              <c:f>Sheet1!$A$3</c:f>
              <c:strCache>
                <c:ptCount val="1"/>
                <c:pt idx="0">
                  <c:v>Non-PCT</c:v>
                </c:pt>
              </c:strCache>
            </c:strRef>
          </c:tx>
          <c:invertIfNegative val="0"/>
          <c:cat>
            <c:strRef>
              <c:f>Sheet1!$B$1:$I$1</c:f>
              <c:strCache>
                <c:ptCount val="8"/>
                <c:pt idx="0">
                  <c:v>March 2012</c:v>
                </c:pt>
                <c:pt idx="1">
                  <c:v>June 2012</c:v>
                </c:pt>
                <c:pt idx="2">
                  <c:v>September 2012</c:v>
                </c:pt>
                <c:pt idx="3">
                  <c:v>December 2012</c:v>
                </c:pt>
                <c:pt idx="4">
                  <c:v>March 2013</c:v>
                </c:pt>
                <c:pt idx="5">
                  <c:v>June 2013</c:v>
                </c:pt>
                <c:pt idx="6">
                  <c:v>September 2013</c:v>
                </c:pt>
                <c:pt idx="7">
                  <c:v>December 2013</c:v>
                </c:pt>
              </c:strCache>
            </c:strRef>
          </c:cat>
          <c:val>
            <c:numRef>
              <c:f>Sheet1!$B$3:$I$3</c:f>
              <c:numCache>
                <c:formatCode>#,##0</c:formatCode>
                <c:ptCount val="8"/>
                <c:pt idx="0">
                  <c:v>8594738</c:v>
                </c:pt>
                <c:pt idx="1">
                  <c:v>8727414</c:v>
                </c:pt>
                <c:pt idx="2">
                  <c:v>11897186</c:v>
                </c:pt>
                <c:pt idx="3">
                  <c:v>16481609</c:v>
                </c:pt>
                <c:pt idx="4" formatCode="General">
                  <c:v>16568807</c:v>
                </c:pt>
                <c:pt idx="5" formatCode="General">
                  <c:v>28906767</c:v>
                </c:pt>
                <c:pt idx="6">
                  <c:v>30163849</c:v>
                </c:pt>
                <c:pt idx="7">
                  <c:v>32580463</c:v>
                </c:pt>
              </c:numCache>
            </c:numRef>
          </c:val>
        </c:ser>
        <c:dLbls>
          <c:showLegendKey val="0"/>
          <c:showVal val="0"/>
          <c:showCatName val="0"/>
          <c:showSerName val="0"/>
          <c:showPercent val="0"/>
          <c:showBubbleSize val="0"/>
        </c:dLbls>
        <c:gapWidth val="150"/>
        <c:overlap val="100"/>
        <c:axId val="210644992"/>
        <c:axId val="210646528"/>
      </c:barChart>
      <c:dateAx>
        <c:axId val="210644992"/>
        <c:scaling>
          <c:orientation val="minMax"/>
        </c:scaling>
        <c:delete val="0"/>
        <c:axPos val="b"/>
        <c:numFmt formatCode="@" sourceLinked="1"/>
        <c:majorTickMark val="out"/>
        <c:minorTickMark val="none"/>
        <c:tickLblPos val="nextTo"/>
        <c:crossAx val="210646528"/>
        <c:crosses val="autoZero"/>
        <c:auto val="0"/>
        <c:lblOffset val="100"/>
        <c:baseTimeUnit val="months"/>
      </c:dateAx>
      <c:valAx>
        <c:axId val="210646528"/>
        <c:scaling>
          <c:orientation val="minMax"/>
        </c:scaling>
        <c:delete val="0"/>
        <c:axPos val="l"/>
        <c:majorGridlines/>
        <c:numFmt formatCode="#,##0" sourceLinked="1"/>
        <c:majorTickMark val="out"/>
        <c:minorTickMark val="none"/>
        <c:tickLblPos val="nextTo"/>
        <c:crossAx val="210644992"/>
        <c:crosses val="autoZero"/>
        <c:crossBetween val="between"/>
        <c:dispUnits>
          <c:builtInUnit val="millions"/>
          <c:dispUnitsLbl>
            <c:txPr>
              <a:bodyPr/>
              <a:lstStyle/>
              <a:p>
                <a:pPr>
                  <a:defRPr sz="1200" baseline="0"/>
                </a:pPr>
                <a:endParaRPr lang="fr-FR"/>
              </a:p>
            </c:txPr>
          </c:dispUnitsLbl>
        </c:dispUnits>
      </c:valAx>
    </c:plotArea>
    <c:legend>
      <c:legendPos val="t"/>
      <c:overlay val="0"/>
      <c:txPr>
        <a:bodyPr/>
        <a:lstStyle/>
        <a:p>
          <a:pPr>
            <a:defRPr sz="1800" baseline="0"/>
          </a:pPr>
          <a:endParaRPr lang="fr-FR"/>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Sheet1!$A$30</c:f>
              <c:strCache>
                <c:ptCount val="1"/>
                <c:pt idx="0">
                  <c:v>Madrid</c:v>
                </c:pt>
              </c:strCache>
            </c:strRef>
          </c:tx>
          <c:invertIfNegative val="0"/>
          <c:cat>
            <c:strRef>
              <c:f>Sheet1!$B$29:$I$29</c:f>
              <c:strCache>
                <c:ptCount val="8"/>
                <c:pt idx="0">
                  <c:v>March 2012</c:v>
                </c:pt>
                <c:pt idx="1">
                  <c:v>June 2012</c:v>
                </c:pt>
                <c:pt idx="2">
                  <c:v>September 2012</c:v>
                </c:pt>
                <c:pt idx="3">
                  <c:v>December 2012</c:v>
                </c:pt>
                <c:pt idx="4">
                  <c:v>March 2013</c:v>
                </c:pt>
                <c:pt idx="5">
                  <c:v>June 2013</c:v>
                </c:pt>
                <c:pt idx="6">
                  <c:v>September 2013</c:v>
                </c:pt>
                <c:pt idx="7">
                  <c:v>December 2013</c:v>
                </c:pt>
              </c:strCache>
            </c:strRef>
          </c:cat>
          <c:val>
            <c:numRef>
              <c:f>Sheet1!$B$30:$I$30</c:f>
              <c:numCache>
                <c:formatCode>General</c:formatCode>
                <c:ptCount val="8"/>
                <c:pt idx="0" formatCode="#,##0">
                  <c:v>700000</c:v>
                </c:pt>
                <c:pt idx="1">
                  <c:v>710000</c:v>
                </c:pt>
                <c:pt idx="2" formatCode="#,##0">
                  <c:v>720000</c:v>
                </c:pt>
                <c:pt idx="3">
                  <c:v>730000</c:v>
                </c:pt>
                <c:pt idx="4">
                  <c:v>740000</c:v>
                </c:pt>
                <c:pt idx="5">
                  <c:v>750000</c:v>
                </c:pt>
                <c:pt idx="6" formatCode="#,##0">
                  <c:v>760000</c:v>
                </c:pt>
                <c:pt idx="7" formatCode="#,##0">
                  <c:v>770000</c:v>
                </c:pt>
              </c:numCache>
            </c:numRef>
          </c:val>
        </c:ser>
        <c:ser>
          <c:idx val="1"/>
          <c:order val="1"/>
          <c:tx>
            <c:strRef>
              <c:f>Sheet1!$A$31</c:f>
              <c:strCache>
                <c:ptCount val="1"/>
                <c:pt idx="0">
                  <c:v>Non-Madrid</c:v>
                </c:pt>
              </c:strCache>
            </c:strRef>
          </c:tx>
          <c:spPr>
            <a:solidFill>
              <a:srgbClr val="00B050"/>
            </a:solidFill>
          </c:spPr>
          <c:invertIfNegative val="0"/>
          <c:cat>
            <c:strRef>
              <c:f>Sheet1!$B$29:$I$29</c:f>
              <c:strCache>
                <c:ptCount val="8"/>
                <c:pt idx="0">
                  <c:v>March 2012</c:v>
                </c:pt>
                <c:pt idx="1">
                  <c:v>June 2012</c:v>
                </c:pt>
                <c:pt idx="2">
                  <c:v>September 2012</c:v>
                </c:pt>
                <c:pt idx="3">
                  <c:v>December 2012</c:v>
                </c:pt>
                <c:pt idx="4">
                  <c:v>March 2013</c:v>
                </c:pt>
                <c:pt idx="5">
                  <c:v>June 2013</c:v>
                </c:pt>
                <c:pt idx="6">
                  <c:v>September 2013</c:v>
                </c:pt>
                <c:pt idx="7">
                  <c:v>December 2013</c:v>
                </c:pt>
              </c:strCache>
            </c:strRef>
          </c:cat>
          <c:val>
            <c:numRef>
              <c:f>Sheet1!$B$31:$I$31</c:f>
              <c:numCache>
                <c:formatCode>#,##0</c:formatCode>
                <c:ptCount val="8"/>
                <c:pt idx="0">
                  <c:v>0</c:v>
                </c:pt>
                <c:pt idx="1">
                  <c:v>1280000</c:v>
                </c:pt>
                <c:pt idx="2">
                  <c:v>1280000</c:v>
                </c:pt>
                <c:pt idx="3">
                  <c:v>3270000</c:v>
                </c:pt>
                <c:pt idx="4" formatCode="General">
                  <c:v>10260000</c:v>
                </c:pt>
                <c:pt idx="5" formatCode="General">
                  <c:v>10260000</c:v>
                </c:pt>
                <c:pt idx="6">
                  <c:v>11240000</c:v>
                </c:pt>
                <c:pt idx="7">
                  <c:v>11240000</c:v>
                </c:pt>
              </c:numCache>
            </c:numRef>
          </c:val>
        </c:ser>
        <c:dLbls>
          <c:showLegendKey val="0"/>
          <c:showVal val="0"/>
          <c:showCatName val="0"/>
          <c:showSerName val="0"/>
          <c:showPercent val="0"/>
          <c:showBubbleSize val="0"/>
        </c:dLbls>
        <c:gapWidth val="150"/>
        <c:overlap val="100"/>
        <c:axId val="211835520"/>
        <c:axId val="212734336"/>
      </c:barChart>
      <c:catAx>
        <c:axId val="211835520"/>
        <c:scaling>
          <c:orientation val="minMax"/>
        </c:scaling>
        <c:delete val="0"/>
        <c:axPos val="b"/>
        <c:majorTickMark val="out"/>
        <c:minorTickMark val="none"/>
        <c:tickLblPos val="nextTo"/>
        <c:crossAx val="212734336"/>
        <c:crosses val="autoZero"/>
        <c:auto val="1"/>
        <c:lblAlgn val="ctr"/>
        <c:lblOffset val="100"/>
        <c:noMultiLvlLbl val="0"/>
      </c:catAx>
      <c:valAx>
        <c:axId val="212734336"/>
        <c:scaling>
          <c:orientation val="minMax"/>
        </c:scaling>
        <c:delete val="0"/>
        <c:axPos val="l"/>
        <c:majorGridlines/>
        <c:numFmt formatCode="#,##0" sourceLinked="1"/>
        <c:majorTickMark val="out"/>
        <c:minorTickMark val="none"/>
        <c:tickLblPos val="nextTo"/>
        <c:crossAx val="211835520"/>
        <c:crosses val="autoZero"/>
        <c:crossBetween val="between"/>
        <c:dispUnits>
          <c:builtInUnit val="millions"/>
          <c:dispUnitsLbl>
            <c:txPr>
              <a:bodyPr/>
              <a:lstStyle/>
              <a:p>
                <a:pPr>
                  <a:defRPr sz="1200"/>
                </a:pPr>
                <a:endParaRPr lang="fr-FR"/>
              </a:p>
            </c:txPr>
          </c:dispUnitsLbl>
        </c:dispUnits>
      </c:valAx>
    </c:plotArea>
    <c:legend>
      <c:legendPos val="t"/>
      <c:overlay val="0"/>
      <c:txPr>
        <a:bodyPr/>
        <a:lstStyle/>
        <a:p>
          <a:pPr>
            <a:defRPr sz="1800" b="0"/>
          </a:pPr>
          <a:endParaRPr lang="fr-FR"/>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DDA66-AF9F-434C-B995-0DF99D646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306</Pages>
  <Words>128078</Words>
  <Characters>734647</Characters>
  <Application>Microsoft Office Word</Application>
  <DocSecurity>0</DocSecurity>
  <Lines>6122</Lines>
  <Paragraphs>1722</Paragraphs>
  <ScaleCrop>false</ScaleCrop>
  <HeadingPairs>
    <vt:vector size="2" baseType="variant">
      <vt:variant>
        <vt:lpstr>Title</vt:lpstr>
      </vt:variant>
      <vt:variant>
        <vt:i4>1</vt:i4>
      </vt:variant>
    </vt:vector>
  </HeadingPairs>
  <TitlesOfParts>
    <vt:vector size="1" baseType="lpstr">
      <vt:lpstr>Program Performance Report 2008-09, program 1</vt:lpstr>
    </vt:vector>
  </TitlesOfParts>
  <Company>World Intellectual Property Organization</Company>
  <LinksUpToDate>false</LinksUpToDate>
  <CharactersWithSpaces>861003</CharactersWithSpaces>
  <SharedDoc>false</SharedDoc>
  <HLinks>
    <vt:vector size="366" baseType="variant">
      <vt:variant>
        <vt:i4>720992</vt:i4>
      </vt:variant>
      <vt:variant>
        <vt:i4>318</vt:i4>
      </vt:variant>
      <vt:variant>
        <vt:i4>0</vt:i4>
      </vt:variant>
      <vt:variant>
        <vt:i4>5</vt:i4>
      </vt:variant>
      <vt:variant>
        <vt:lpwstr>https://intranet.wipo.int/export/sites/intranet/homepages/iaod/en/iaod_reports/executive_summaries/es_2013_evaluation_igc.pdf</vt:lpwstr>
      </vt:variant>
      <vt:variant>
        <vt:lpwstr/>
      </vt:variant>
      <vt:variant>
        <vt:i4>8192094</vt:i4>
      </vt:variant>
      <vt:variant>
        <vt:i4>315</vt:i4>
      </vt:variant>
      <vt:variant>
        <vt:i4>0</vt:i4>
      </vt:variant>
      <vt:variant>
        <vt:i4>5</vt:i4>
      </vt:variant>
      <vt:variant>
        <vt:lpwstr>https://intranet.wipo.int/export/sites/intranet/homepages/iaod/en/iaod_reports/executive_summaries/es_2013_evaluation_program1_patent_law.pdf</vt:lpwstr>
      </vt:variant>
      <vt:variant>
        <vt:lpwstr/>
      </vt:variant>
      <vt:variant>
        <vt:i4>4980807</vt:i4>
      </vt:variant>
      <vt:variant>
        <vt:i4>306</vt:i4>
      </vt:variant>
      <vt:variant>
        <vt:i4>0</vt:i4>
      </vt:variant>
      <vt:variant>
        <vt:i4>5</vt:i4>
      </vt:variant>
      <vt:variant>
        <vt:lpwstr>http://www.wipo.int/amc/en/center/specific-sectors/ict/frand/</vt:lpwstr>
      </vt:variant>
      <vt:variant>
        <vt:lpwstr/>
      </vt:variant>
      <vt:variant>
        <vt:i4>2359355</vt:i4>
      </vt:variant>
      <vt:variant>
        <vt:i4>303</vt:i4>
      </vt:variant>
      <vt:variant>
        <vt:i4>0</vt:i4>
      </vt:variant>
      <vt:variant>
        <vt:i4>5</vt:i4>
      </vt:variant>
      <vt:variant>
        <vt:lpwstr>http://www.ipos.gov.sg/Services/HearingsandMediation/MediationOptionforTradeMarks.aspx</vt:lpwstr>
      </vt:variant>
      <vt:variant>
        <vt:lpwstr/>
      </vt:variant>
      <vt:variant>
        <vt:i4>2359355</vt:i4>
      </vt:variant>
      <vt:variant>
        <vt:i4>297</vt:i4>
      </vt:variant>
      <vt:variant>
        <vt:i4>0</vt:i4>
      </vt:variant>
      <vt:variant>
        <vt:i4>5</vt:i4>
      </vt:variant>
      <vt:variant>
        <vt:lpwstr>http://www.ipos.gov.sg/Services/HearingsandMediation/MediationOptionforTradeMarks.aspx</vt:lpwstr>
      </vt:variant>
      <vt:variant>
        <vt:lpwstr/>
      </vt:variant>
      <vt:variant>
        <vt:i4>1638448</vt:i4>
      </vt:variant>
      <vt:variant>
        <vt:i4>290</vt:i4>
      </vt:variant>
      <vt:variant>
        <vt:i4>0</vt:i4>
      </vt:variant>
      <vt:variant>
        <vt:i4>5</vt:i4>
      </vt:variant>
      <vt:variant>
        <vt:lpwstr/>
      </vt:variant>
      <vt:variant>
        <vt:lpwstr>_Toc394577055</vt:lpwstr>
      </vt:variant>
      <vt:variant>
        <vt:i4>1638448</vt:i4>
      </vt:variant>
      <vt:variant>
        <vt:i4>284</vt:i4>
      </vt:variant>
      <vt:variant>
        <vt:i4>0</vt:i4>
      </vt:variant>
      <vt:variant>
        <vt:i4>5</vt:i4>
      </vt:variant>
      <vt:variant>
        <vt:lpwstr/>
      </vt:variant>
      <vt:variant>
        <vt:lpwstr>_Toc394577054</vt:lpwstr>
      </vt:variant>
      <vt:variant>
        <vt:i4>1638448</vt:i4>
      </vt:variant>
      <vt:variant>
        <vt:i4>278</vt:i4>
      </vt:variant>
      <vt:variant>
        <vt:i4>0</vt:i4>
      </vt:variant>
      <vt:variant>
        <vt:i4>5</vt:i4>
      </vt:variant>
      <vt:variant>
        <vt:lpwstr/>
      </vt:variant>
      <vt:variant>
        <vt:lpwstr>_Toc394577053</vt:lpwstr>
      </vt:variant>
      <vt:variant>
        <vt:i4>1638448</vt:i4>
      </vt:variant>
      <vt:variant>
        <vt:i4>272</vt:i4>
      </vt:variant>
      <vt:variant>
        <vt:i4>0</vt:i4>
      </vt:variant>
      <vt:variant>
        <vt:i4>5</vt:i4>
      </vt:variant>
      <vt:variant>
        <vt:lpwstr/>
      </vt:variant>
      <vt:variant>
        <vt:lpwstr>_Toc394577052</vt:lpwstr>
      </vt:variant>
      <vt:variant>
        <vt:i4>1638448</vt:i4>
      </vt:variant>
      <vt:variant>
        <vt:i4>266</vt:i4>
      </vt:variant>
      <vt:variant>
        <vt:i4>0</vt:i4>
      </vt:variant>
      <vt:variant>
        <vt:i4>5</vt:i4>
      </vt:variant>
      <vt:variant>
        <vt:lpwstr/>
      </vt:variant>
      <vt:variant>
        <vt:lpwstr>_Toc394577051</vt:lpwstr>
      </vt:variant>
      <vt:variant>
        <vt:i4>1638448</vt:i4>
      </vt:variant>
      <vt:variant>
        <vt:i4>260</vt:i4>
      </vt:variant>
      <vt:variant>
        <vt:i4>0</vt:i4>
      </vt:variant>
      <vt:variant>
        <vt:i4>5</vt:i4>
      </vt:variant>
      <vt:variant>
        <vt:lpwstr/>
      </vt:variant>
      <vt:variant>
        <vt:lpwstr>_Toc394577050</vt:lpwstr>
      </vt:variant>
      <vt:variant>
        <vt:i4>1572912</vt:i4>
      </vt:variant>
      <vt:variant>
        <vt:i4>254</vt:i4>
      </vt:variant>
      <vt:variant>
        <vt:i4>0</vt:i4>
      </vt:variant>
      <vt:variant>
        <vt:i4>5</vt:i4>
      </vt:variant>
      <vt:variant>
        <vt:lpwstr/>
      </vt:variant>
      <vt:variant>
        <vt:lpwstr>_Toc394577049</vt:lpwstr>
      </vt:variant>
      <vt:variant>
        <vt:i4>1572912</vt:i4>
      </vt:variant>
      <vt:variant>
        <vt:i4>248</vt:i4>
      </vt:variant>
      <vt:variant>
        <vt:i4>0</vt:i4>
      </vt:variant>
      <vt:variant>
        <vt:i4>5</vt:i4>
      </vt:variant>
      <vt:variant>
        <vt:lpwstr/>
      </vt:variant>
      <vt:variant>
        <vt:lpwstr>_Toc394577048</vt:lpwstr>
      </vt:variant>
      <vt:variant>
        <vt:i4>1572912</vt:i4>
      </vt:variant>
      <vt:variant>
        <vt:i4>242</vt:i4>
      </vt:variant>
      <vt:variant>
        <vt:i4>0</vt:i4>
      </vt:variant>
      <vt:variant>
        <vt:i4>5</vt:i4>
      </vt:variant>
      <vt:variant>
        <vt:lpwstr/>
      </vt:variant>
      <vt:variant>
        <vt:lpwstr>_Toc394577047</vt:lpwstr>
      </vt:variant>
      <vt:variant>
        <vt:i4>1572912</vt:i4>
      </vt:variant>
      <vt:variant>
        <vt:i4>236</vt:i4>
      </vt:variant>
      <vt:variant>
        <vt:i4>0</vt:i4>
      </vt:variant>
      <vt:variant>
        <vt:i4>5</vt:i4>
      </vt:variant>
      <vt:variant>
        <vt:lpwstr/>
      </vt:variant>
      <vt:variant>
        <vt:lpwstr>_Toc394577046</vt:lpwstr>
      </vt:variant>
      <vt:variant>
        <vt:i4>1572912</vt:i4>
      </vt:variant>
      <vt:variant>
        <vt:i4>230</vt:i4>
      </vt:variant>
      <vt:variant>
        <vt:i4>0</vt:i4>
      </vt:variant>
      <vt:variant>
        <vt:i4>5</vt:i4>
      </vt:variant>
      <vt:variant>
        <vt:lpwstr/>
      </vt:variant>
      <vt:variant>
        <vt:lpwstr>_Toc394577045</vt:lpwstr>
      </vt:variant>
      <vt:variant>
        <vt:i4>1572912</vt:i4>
      </vt:variant>
      <vt:variant>
        <vt:i4>224</vt:i4>
      </vt:variant>
      <vt:variant>
        <vt:i4>0</vt:i4>
      </vt:variant>
      <vt:variant>
        <vt:i4>5</vt:i4>
      </vt:variant>
      <vt:variant>
        <vt:lpwstr/>
      </vt:variant>
      <vt:variant>
        <vt:lpwstr>_Toc394577044</vt:lpwstr>
      </vt:variant>
      <vt:variant>
        <vt:i4>1572912</vt:i4>
      </vt:variant>
      <vt:variant>
        <vt:i4>218</vt:i4>
      </vt:variant>
      <vt:variant>
        <vt:i4>0</vt:i4>
      </vt:variant>
      <vt:variant>
        <vt:i4>5</vt:i4>
      </vt:variant>
      <vt:variant>
        <vt:lpwstr/>
      </vt:variant>
      <vt:variant>
        <vt:lpwstr>_Toc394577043</vt:lpwstr>
      </vt:variant>
      <vt:variant>
        <vt:i4>1572912</vt:i4>
      </vt:variant>
      <vt:variant>
        <vt:i4>212</vt:i4>
      </vt:variant>
      <vt:variant>
        <vt:i4>0</vt:i4>
      </vt:variant>
      <vt:variant>
        <vt:i4>5</vt:i4>
      </vt:variant>
      <vt:variant>
        <vt:lpwstr/>
      </vt:variant>
      <vt:variant>
        <vt:lpwstr>_Toc394577042</vt:lpwstr>
      </vt:variant>
      <vt:variant>
        <vt:i4>1572912</vt:i4>
      </vt:variant>
      <vt:variant>
        <vt:i4>206</vt:i4>
      </vt:variant>
      <vt:variant>
        <vt:i4>0</vt:i4>
      </vt:variant>
      <vt:variant>
        <vt:i4>5</vt:i4>
      </vt:variant>
      <vt:variant>
        <vt:lpwstr/>
      </vt:variant>
      <vt:variant>
        <vt:lpwstr>_Toc394577041</vt:lpwstr>
      </vt:variant>
      <vt:variant>
        <vt:i4>1572912</vt:i4>
      </vt:variant>
      <vt:variant>
        <vt:i4>200</vt:i4>
      </vt:variant>
      <vt:variant>
        <vt:i4>0</vt:i4>
      </vt:variant>
      <vt:variant>
        <vt:i4>5</vt:i4>
      </vt:variant>
      <vt:variant>
        <vt:lpwstr/>
      </vt:variant>
      <vt:variant>
        <vt:lpwstr>_Toc394577040</vt:lpwstr>
      </vt:variant>
      <vt:variant>
        <vt:i4>2031664</vt:i4>
      </vt:variant>
      <vt:variant>
        <vt:i4>194</vt:i4>
      </vt:variant>
      <vt:variant>
        <vt:i4>0</vt:i4>
      </vt:variant>
      <vt:variant>
        <vt:i4>5</vt:i4>
      </vt:variant>
      <vt:variant>
        <vt:lpwstr/>
      </vt:variant>
      <vt:variant>
        <vt:lpwstr>_Toc394577039</vt:lpwstr>
      </vt:variant>
      <vt:variant>
        <vt:i4>2031664</vt:i4>
      </vt:variant>
      <vt:variant>
        <vt:i4>188</vt:i4>
      </vt:variant>
      <vt:variant>
        <vt:i4>0</vt:i4>
      </vt:variant>
      <vt:variant>
        <vt:i4>5</vt:i4>
      </vt:variant>
      <vt:variant>
        <vt:lpwstr/>
      </vt:variant>
      <vt:variant>
        <vt:lpwstr>_Toc394577038</vt:lpwstr>
      </vt:variant>
      <vt:variant>
        <vt:i4>2031664</vt:i4>
      </vt:variant>
      <vt:variant>
        <vt:i4>182</vt:i4>
      </vt:variant>
      <vt:variant>
        <vt:i4>0</vt:i4>
      </vt:variant>
      <vt:variant>
        <vt:i4>5</vt:i4>
      </vt:variant>
      <vt:variant>
        <vt:lpwstr/>
      </vt:variant>
      <vt:variant>
        <vt:lpwstr>_Toc394577037</vt:lpwstr>
      </vt:variant>
      <vt:variant>
        <vt:i4>2031664</vt:i4>
      </vt:variant>
      <vt:variant>
        <vt:i4>176</vt:i4>
      </vt:variant>
      <vt:variant>
        <vt:i4>0</vt:i4>
      </vt:variant>
      <vt:variant>
        <vt:i4>5</vt:i4>
      </vt:variant>
      <vt:variant>
        <vt:lpwstr/>
      </vt:variant>
      <vt:variant>
        <vt:lpwstr>_Toc394577036</vt:lpwstr>
      </vt:variant>
      <vt:variant>
        <vt:i4>2031664</vt:i4>
      </vt:variant>
      <vt:variant>
        <vt:i4>170</vt:i4>
      </vt:variant>
      <vt:variant>
        <vt:i4>0</vt:i4>
      </vt:variant>
      <vt:variant>
        <vt:i4>5</vt:i4>
      </vt:variant>
      <vt:variant>
        <vt:lpwstr/>
      </vt:variant>
      <vt:variant>
        <vt:lpwstr>_Toc394577035</vt:lpwstr>
      </vt:variant>
      <vt:variant>
        <vt:i4>2031664</vt:i4>
      </vt:variant>
      <vt:variant>
        <vt:i4>164</vt:i4>
      </vt:variant>
      <vt:variant>
        <vt:i4>0</vt:i4>
      </vt:variant>
      <vt:variant>
        <vt:i4>5</vt:i4>
      </vt:variant>
      <vt:variant>
        <vt:lpwstr/>
      </vt:variant>
      <vt:variant>
        <vt:lpwstr>_Toc394577034</vt:lpwstr>
      </vt:variant>
      <vt:variant>
        <vt:i4>2031664</vt:i4>
      </vt:variant>
      <vt:variant>
        <vt:i4>158</vt:i4>
      </vt:variant>
      <vt:variant>
        <vt:i4>0</vt:i4>
      </vt:variant>
      <vt:variant>
        <vt:i4>5</vt:i4>
      </vt:variant>
      <vt:variant>
        <vt:lpwstr/>
      </vt:variant>
      <vt:variant>
        <vt:lpwstr>_Toc394577033</vt:lpwstr>
      </vt:variant>
      <vt:variant>
        <vt:i4>2031664</vt:i4>
      </vt:variant>
      <vt:variant>
        <vt:i4>152</vt:i4>
      </vt:variant>
      <vt:variant>
        <vt:i4>0</vt:i4>
      </vt:variant>
      <vt:variant>
        <vt:i4>5</vt:i4>
      </vt:variant>
      <vt:variant>
        <vt:lpwstr/>
      </vt:variant>
      <vt:variant>
        <vt:lpwstr>_Toc394577032</vt:lpwstr>
      </vt:variant>
      <vt:variant>
        <vt:i4>2031664</vt:i4>
      </vt:variant>
      <vt:variant>
        <vt:i4>146</vt:i4>
      </vt:variant>
      <vt:variant>
        <vt:i4>0</vt:i4>
      </vt:variant>
      <vt:variant>
        <vt:i4>5</vt:i4>
      </vt:variant>
      <vt:variant>
        <vt:lpwstr/>
      </vt:variant>
      <vt:variant>
        <vt:lpwstr>_Toc394577031</vt:lpwstr>
      </vt:variant>
      <vt:variant>
        <vt:i4>2031664</vt:i4>
      </vt:variant>
      <vt:variant>
        <vt:i4>140</vt:i4>
      </vt:variant>
      <vt:variant>
        <vt:i4>0</vt:i4>
      </vt:variant>
      <vt:variant>
        <vt:i4>5</vt:i4>
      </vt:variant>
      <vt:variant>
        <vt:lpwstr/>
      </vt:variant>
      <vt:variant>
        <vt:lpwstr>_Toc394577030</vt:lpwstr>
      </vt:variant>
      <vt:variant>
        <vt:i4>1966128</vt:i4>
      </vt:variant>
      <vt:variant>
        <vt:i4>134</vt:i4>
      </vt:variant>
      <vt:variant>
        <vt:i4>0</vt:i4>
      </vt:variant>
      <vt:variant>
        <vt:i4>5</vt:i4>
      </vt:variant>
      <vt:variant>
        <vt:lpwstr/>
      </vt:variant>
      <vt:variant>
        <vt:lpwstr>_Toc394577029</vt:lpwstr>
      </vt:variant>
      <vt:variant>
        <vt:i4>1966128</vt:i4>
      </vt:variant>
      <vt:variant>
        <vt:i4>128</vt:i4>
      </vt:variant>
      <vt:variant>
        <vt:i4>0</vt:i4>
      </vt:variant>
      <vt:variant>
        <vt:i4>5</vt:i4>
      </vt:variant>
      <vt:variant>
        <vt:lpwstr/>
      </vt:variant>
      <vt:variant>
        <vt:lpwstr>_Toc394577028</vt:lpwstr>
      </vt:variant>
      <vt:variant>
        <vt:i4>1966128</vt:i4>
      </vt:variant>
      <vt:variant>
        <vt:i4>122</vt:i4>
      </vt:variant>
      <vt:variant>
        <vt:i4>0</vt:i4>
      </vt:variant>
      <vt:variant>
        <vt:i4>5</vt:i4>
      </vt:variant>
      <vt:variant>
        <vt:lpwstr/>
      </vt:variant>
      <vt:variant>
        <vt:lpwstr>_Toc394577027</vt:lpwstr>
      </vt:variant>
      <vt:variant>
        <vt:i4>1966128</vt:i4>
      </vt:variant>
      <vt:variant>
        <vt:i4>116</vt:i4>
      </vt:variant>
      <vt:variant>
        <vt:i4>0</vt:i4>
      </vt:variant>
      <vt:variant>
        <vt:i4>5</vt:i4>
      </vt:variant>
      <vt:variant>
        <vt:lpwstr/>
      </vt:variant>
      <vt:variant>
        <vt:lpwstr>_Toc394577026</vt:lpwstr>
      </vt:variant>
      <vt:variant>
        <vt:i4>1966128</vt:i4>
      </vt:variant>
      <vt:variant>
        <vt:i4>110</vt:i4>
      </vt:variant>
      <vt:variant>
        <vt:i4>0</vt:i4>
      </vt:variant>
      <vt:variant>
        <vt:i4>5</vt:i4>
      </vt:variant>
      <vt:variant>
        <vt:lpwstr/>
      </vt:variant>
      <vt:variant>
        <vt:lpwstr>_Toc394577025</vt:lpwstr>
      </vt:variant>
      <vt:variant>
        <vt:i4>1966128</vt:i4>
      </vt:variant>
      <vt:variant>
        <vt:i4>104</vt:i4>
      </vt:variant>
      <vt:variant>
        <vt:i4>0</vt:i4>
      </vt:variant>
      <vt:variant>
        <vt:i4>5</vt:i4>
      </vt:variant>
      <vt:variant>
        <vt:lpwstr/>
      </vt:variant>
      <vt:variant>
        <vt:lpwstr>_Toc394577024</vt:lpwstr>
      </vt:variant>
      <vt:variant>
        <vt:i4>1966128</vt:i4>
      </vt:variant>
      <vt:variant>
        <vt:i4>98</vt:i4>
      </vt:variant>
      <vt:variant>
        <vt:i4>0</vt:i4>
      </vt:variant>
      <vt:variant>
        <vt:i4>5</vt:i4>
      </vt:variant>
      <vt:variant>
        <vt:lpwstr/>
      </vt:variant>
      <vt:variant>
        <vt:lpwstr>_Toc394577023</vt:lpwstr>
      </vt:variant>
      <vt:variant>
        <vt:i4>1966128</vt:i4>
      </vt:variant>
      <vt:variant>
        <vt:i4>92</vt:i4>
      </vt:variant>
      <vt:variant>
        <vt:i4>0</vt:i4>
      </vt:variant>
      <vt:variant>
        <vt:i4>5</vt:i4>
      </vt:variant>
      <vt:variant>
        <vt:lpwstr/>
      </vt:variant>
      <vt:variant>
        <vt:lpwstr>_Toc394577022</vt:lpwstr>
      </vt:variant>
      <vt:variant>
        <vt:i4>1966128</vt:i4>
      </vt:variant>
      <vt:variant>
        <vt:i4>86</vt:i4>
      </vt:variant>
      <vt:variant>
        <vt:i4>0</vt:i4>
      </vt:variant>
      <vt:variant>
        <vt:i4>5</vt:i4>
      </vt:variant>
      <vt:variant>
        <vt:lpwstr/>
      </vt:variant>
      <vt:variant>
        <vt:lpwstr>_Toc394577021</vt:lpwstr>
      </vt:variant>
      <vt:variant>
        <vt:i4>1966128</vt:i4>
      </vt:variant>
      <vt:variant>
        <vt:i4>80</vt:i4>
      </vt:variant>
      <vt:variant>
        <vt:i4>0</vt:i4>
      </vt:variant>
      <vt:variant>
        <vt:i4>5</vt:i4>
      </vt:variant>
      <vt:variant>
        <vt:lpwstr/>
      </vt:variant>
      <vt:variant>
        <vt:lpwstr>_Toc394577020</vt:lpwstr>
      </vt:variant>
      <vt:variant>
        <vt:i4>1900592</vt:i4>
      </vt:variant>
      <vt:variant>
        <vt:i4>74</vt:i4>
      </vt:variant>
      <vt:variant>
        <vt:i4>0</vt:i4>
      </vt:variant>
      <vt:variant>
        <vt:i4>5</vt:i4>
      </vt:variant>
      <vt:variant>
        <vt:lpwstr/>
      </vt:variant>
      <vt:variant>
        <vt:lpwstr>_Toc394577019</vt:lpwstr>
      </vt:variant>
      <vt:variant>
        <vt:i4>1900592</vt:i4>
      </vt:variant>
      <vt:variant>
        <vt:i4>68</vt:i4>
      </vt:variant>
      <vt:variant>
        <vt:i4>0</vt:i4>
      </vt:variant>
      <vt:variant>
        <vt:i4>5</vt:i4>
      </vt:variant>
      <vt:variant>
        <vt:lpwstr/>
      </vt:variant>
      <vt:variant>
        <vt:lpwstr>_Toc394577018</vt:lpwstr>
      </vt:variant>
      <vt:variant>
        <vt:i4>1900592</vt:i4>
      </vt:variant>
      <vt:variant>
        <vt:i4>62</vt:i4>
      </vt:variant>
      <vt:variant>
        <vt:i4>0</vt:i4>
      </vt:variant>
      <vt:variant>
        <vt:i4>5</vt:i4>
      </vt:variant>
      <vt:variant>
        <vt:lpwstr/>
      </vt:variant>
      <vt:variant>
        <vt:lpwstr>_Toc394577017</vt:lpwstr>
      </vt:variant>
      <vt:variant>
        <vt:i4>1900592</vt:i4>
      </vt:variant>
      <vt:variant>
        <vt:i4>56</vt:i4>
      </vt:variant>
      <vt:variant>
        <vt:i4>0</vt:i4>
      </vt:variant>
      <vt:variant>
        <vt:i4>5</vt:i4>
      </vt:variant>
      <vt:variant>
        <vt:lpwstr/>
      </vt:variant>
      <vt:variant>
        <vt:lpwstr>_Toc394577016</vt:lpwstr>
      </vt:variant>
      <vt:variant>
        <vt:i4>1900592</vt:i4>
      </vt:variant>
      <vt:variant>
        <vt:i4>50</vt:i4>
      </vt:variant>
      <vt:variant>
        <vt:i4>0</vt:i4>
      </vt:variant>
      <vt:variant>
        <vt:i4>5</vt:i4>
      </vt:variant>
      <vt:variant>
        <vt:lpwstr/>
      </vt:variant>
      <vt:variant>
        <vt:lpwstr>_Toc394577015</vt:lpwstr>
      </vt:variant>
      <vt:variant>
        <vt:i4>1900592</vt:i4>
      </vt:variant>
      <vt:variant>
        <vt:i4>44</vt:i4>
      </vt:variant>
      <vt:variant>
        <vt:i4>0</vt:i4>
      </vt:variant>
      <vt:variant>
        <vt:i4>5</vt:i4>
      </vt:variant>
      <vt:variant>
        <vt:lpwstr/>
      </vt:variant>
      <vt:variant>
        <vt:lpwstr>_Toc394577014</vt:lpwstr>
      </vt:variant>
      <vt:variant>
        <vt:i4>1900592</vt:i4>
      </vt:variant>
      <vt:variant>
        <vt:i4>38</vt:i4>
      </vt:variant>
      <vt:variant>
        <vt:i4>0</vt:i4>
      </vt:variant>
      <vt:variant>
        <vt:i4>5</vt:i4>
      </vt:variant>
      <vt:variant>
        <vt:lpwstr/>
      </vt:variant>
      <vt:variant>
        <vt:lpwstr>_Toc394577013</vt:lpwstr>
      </vt:variant>
      <vt:variant>
        <vt:i4>1900592</vt:i4>
      </vt:variant>
      <vt:variant>
        <vt:i4>32</vt:i4>
      </vt:variant>
      <vt:variant>
        <vt:i4>0</vt:i4>
      </vt:variant>
      <vt:variant>
        <vt:i4>5</vt:i4>
      </vt:variant>
      <vt:variant>
        <vt:lpwstr/>
      </vt:variant>
      <vt:variant>
        <vt:lpwstr>_Toc394577012</vt:lpwstr>
      </vt:variant>
      <vt:variant>
        <vt:i4>1900592</vt:i4>
      </vt:variant>
      <vt:variant>
        <vt:i4>26</vt:i4>
      </vt:variant>
      <vt:variant>
        <vt:i4>0</vt:i4>
      </vt:variant>
      <vt:variant>
        <vt:i4>5</vt:i4>
      </vt:variant>
      <vt:variant>
        <vt:lpwstr/>
      </vt:variant>
      <vt:variant>
        <vt:lpwstr>_Toc394577011</vt:lpwstr>
      </vt:variant>
      <vt:variant>
        <vt:i4>1900592</vt:i4>
      </vt:variant>
      <vt:variant>
        <vt:i4>20</vt:i4>
      </vt:variant>
      <vt:variant>
        <vt:i4>0</vt:i4>
      </vt:variant>
      <vt:variant>
        <vt:i4>5</vt:i4>
      </vt:variant>
      <vt:variant>
        <vt:lpwstr/>
      </vt:variant>
      <vt:variant>
        <vt:lpwstr>_Toc394577010</vt:lpwstr>
      </vt:variant>
      <vt:variant>
        <vt:i4>1835056</vt:i4>
      </vt:variant>
      <vt:variant>
        <vt:i4>14</vt:i4>
      </vt:variant>
      <vt:variant>
        <vt:i4>0</vt:i4>
      </vt:variant>
      <vt:variant>
        <vt:i4>5</vt:i4>
      </vt:variant>
      <vt:variant>
        <vt:lpwstr/>
      </vt:variant>
      <vt:variant>
        <vt:lpwstr>_Toc394577009</vt:lpwstr>
      </vt:variant>
      <vt:variant>
        <vt:i4>1835056</vt:i4>
      </vt:variant>
      <vt:variant>
        <vt:i4>8</vt:i4>
      </vt:variant>
      <vt:variant>
        <vt:i4>0</vt:i4>
      </vt:variant>
      <vt:variant>
        <vt:i4>5</vt:i4>
      </vt:variant>
      <vt:variant>
        <vt:lpwstr/>
      </vt:variant>
      <vt:variant>
        <vt:lpwstr>_Toc394577008</vt:lpwstr>
      </vt:variant>
      <vt:variant>
        <vt:i4>1835056</vt:i4>
      </vt:variant>
      <vt:variant>
        <vt:i4>2</vt:i4>
      </vt:variant>
      <vt:variant>
        <vt:i4>0</vt:i4>
      </vt:variant>
      <vt:variant>
        <vt:i4>5</vt:i4>
      </vt:variant>
      <vt:variant>
        <vt:lpwstr/>
      </vt:variant>
      <vt:variant>
        <vt:lpwstr>_Toc394577007</vt:lpwstr>
      </vt:variant>
      <vt:variant>
        <vt:i4>1245191</vt:i4>
      </vt:variant>
      <vt:variant>
        <vt:i4>18</vt:i4>
      </vt:variant>
      <vt:variant>
        <vt:i4>0</vt:i4>
      </vt:variant>
      <vt:variant>
        <vt:i4>5</vt:i4>
      </vt:variant>
      <vt:variant>
        <vt:lpwstr>http://www.wipo.int/tisc/fr/etutorial</vt:lpwstr>
      </vt:variant>
      <vt:variant>
        <vt:lpwstr/>
      </vt:variant>
      <vt:variant>
        <vt:i4>3145774</vt:i4>
      </vt:variant>
      <vt:variant>
        <vt:i4>15</vt:i4>
      </vt:variant>
      <vt:variant>
        <vt:i4>0</vt:i4>
      </vt:variant>
      <vt:variant>
        <vt:i4>5</vt:i4>
      </vt:variant>
      <vt:variant>
        <vt:lpwstr>http://etisc.wipo.org/</vt:lpwstr>
      </vt:variant>
      <vt:variant>
        <vt:lpwstr/>
      </vt:variant>
      <vt:variant>
        <vt:i4>3014703</vt:i4>
      </vt:variant>
      <vt:variant>
        <vt:i4>12</vt:i4>
      </vt:variant>
      <vt:variant>
        <vt:i4>0</vt:i4>
      </vt:variant>
      <vt:variant>
        <vt:i4>5</vt:i4>
      </vt:variant>
      <vt:variant>
        <vt:lpwstr>http://www.wipo.int/dmd</vt:lpwstr>
      </vt:variant>
      <vt:variant>
        <vt:lpwstr/>
      </vt:variant>
      <vt:variant>
        <vt:i4>7405628</vt:i4>
      </vt:variant>
      <vt:variant>
        <vt:i4>9</vt:i4>
      </vt:variant>
      <vt:variant>
        <vt:i4>0</vt:i4>
      </vt:variant>
      <vt:variant>
        <vt:i4>5</vt:i4>
      </vt:variant>
      <vt:variant>
        <vt:lpwstr>http://www.wipo.int/roc/fr/</vt:lpwstr>
      </vt:variant>
      <vt:variant>
        <vt:lpwstr/>
      </vt:variant>
      <vt:variant>
        <vt:i4>8323133</vt:i4>
      </vt:variant>
      <vt:variant>
        <vt:i4>6</vt:i4>
      </vt:variant>
      <vt:variant>
        <vt:i4>0</vt:i4>
      </vt:variant>
      <vt:variant>
        <vt:i4>5</vt:i4>
      </vt:variant>
      <vt:variant>
        <vt:lpwstr>http://www.wipo.int/tad/fr/</vt:lpwstr>
      </vt:variant>
      <vt:variant>
        <vt:lpwstr/>
      </vt:variant>
      <vt:variant>
        <vt:i4>5242947</vt:i4>
      </vt:variant>
      <vt:variant>
        <vt:i4>3</vt:i4>
      </vt:variant>
      <vt:variant>
        <vt:i4>0</vt:i4>
      </vt:variant>
      <vt:variant>
        <vt:i4>5</vt:i4>
      </vt:variant>
      <vt:variant>
        <vt:lpwstr>http://www.wipo.int/meetings/en/doc_details.jsp?doc_id=239806</vt:lpwstr>
      </vt:variant>
      <vt:variant>
        <vt:lpwstr/>
      </vt:variant>
      <vt:variant>
        <vt:i4>5832768</vt:i4>
      </vt:variant>
      <vt:variant>
        <vt:i4>0</vt:i4>
      </vt:variant>
      <vt:variant>
        <vt:i4>0</vt:i4>
      </vt:variant>
      <vt:variant>
        <vt:i4>5</vt:i4>
      </vt:variant>
      <vt:variant>
        <vt:lpwstr>http://www.wipo.int/meetings/en/doc_details.jsp?doc_id=208882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Performance Report 2008-09, program 1</dc:title>
  <dc:creator>baechtold</dc:creator>
  <cp:lastModifiedBy>COUTURE Sébastien</cp:lastModifiedBy>
  <cp:revision>7</cp:revision>
  <cp:lastPrinted>2014-09-30T13:46:00Z</cp:lastPrinted>
  <dcterms:created xsi:type="dcterms:W3CDTF">2014-09-12T10:26:00Z</dcterms:created>
  <dcterms:modified xsi:type="dcterms:W3CDTF">2014-09-30T13:48:00Z</dcterms:modified>
</cp:coreProperties>
</file>